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60" w:type="dxa"/>
        <w:tblCellMar>
          <w:left w:w="70" w:type="dxa"/>
          <w:right w:w="70" w:type="dxa"/>
        </w:tblCellMar>
        <w:tblLook w:val="04A0" w:firstRow="1" w:lastRow="0" w:firstColumn="1" w:lastColumn="0" w:noHBand="0" w:noVBand="1"/>
      </w:tblPr>
      <w:tblGrid>
        <w:gridCol w:w="3400"/>
        <w:gridCol w:w="1780"/>
        <w:gridCol w:w="2050"/>
        <w:gridCol w:w="1984"/>
        <w:gridCol w:w="766"/>
      </w:tblGrid>
      <w:tr w:rsidR="00A275CF" w:rsidRPr="00C44E9D" w14:paraId="145FCAF5" w14:textId="77777777" w:rsidTr="00C44E9D">
        <w:trPr>
          <w:trHeight w:val="440"/>
        </w:trPr>
        <w:tc>
          <w:tcPr>
            <w:tcW w:w="7230" w:type="dxa"/>
            <w:gridSpan w:val="3"/>
            <w:tcBorders>
              <w:top w:val="nil"/>
              <w:left w:val="nil"/>
              <w:bottom w:val="nil"/>
              <w:right w:val="nil"/>
            </w:tcBorders>
            <w:shd w:val="clear" w:color="auto" w:fill="auto"/>
            <w:noWrap/>
            <w:vAlign w:val="bottom"/>
            <w:hideMark/>
          </w:tcPr>
          <w:p w14:paraId="701470EA" w14:textId="77777777" w:rsidR="00A275CF" w:rsidRPr="00A275CF" w:rsidRDefault="00A275CF" w:rsidP="00A275CF">
            <w:pPr>
              <w:spacing w:after="0" w:line="240" w:lineRule="auto"/>
              <w:rPr>
                <w:rFonts w:ascii="Calibri" w:eastAsia="Times New Roman" w:hAnsi="Calibri" w:cs="Arial"/>
                <w:b/>
                <w:bCs/>
                <w:sz w:val="36"/>
                <w:szCs w:val="36"/>
                <w:lang w:eastAsia="cs-CZ"/>
              </w:rPr>
            </w:pPr>
            <w:r w:rsidRPr="00A275CF">
              <w:rPr>
                <w:rFonts w:ascii="Calibri" w:eastAsia="Times New Roman" w:hAnsi="Calibri" w:cs="Arial"/>
                <w:b/>
                <w:bCs/>
                <w:sz w:val="36"/>
                <w:szCs w:val="36"/>
                <w:lang w:eastAsia="cs-CZ"/>
              </w:rPr>
              <w:t xml:space="preserve">Čerpání rozpočtu Středočeského kraje </w:t>
            </w:r>
          </w:p>
        </w:tc>
        <w:tc>
          <w:tcPr>
            <w:tcW w:w="1984" w:type="dxa"/>
            <w:tcBorders>
              <w:top w:val="nil"/>
              <w:left w:val="nil"/>
              <w:bottom w:val="nil"/>
              <w:right w:val="nil"/>
            </w:tcBorders>
            <w:shd w:val="clear" w:color="auto" w:fill="auto"/>
            <w:noWrap/>
            <w:vAlign w:val="bottom"/>
            <w:hideMark/>
          </w:tcPr>
          <w:p w14:paraId="5B3CBDE9" w14:textId="77777777" w:rsidR="00A275CF" w:rsidRPr="00A275CF" w:rsidRDefault="00A275CF" w:rsidP="00A275CF">
            <w:pPr>
              <w:spacing w:after="0" w:line="240" w:lineRule="auto"/>
              <w:rPr>
                <w:rFonts w:ascii="Calibri" w:eastAsia="Times New Roman" w:hAnsi="Calibri" w:cs="Arial"/>
                <w:b/>
                <w:bCs/>
                <w:sz w:val="36"/>
                <w:szCs w:val="36"/>
                <w:lang w:eastAsia="cs-CZ"/>
              </w:rPr>
            </w:pPr>
          </w:p>
        </w:tc>
        <w:tc>
          <w:tcPr>
            <w:tcW w:w="546" w:type="dxa"/>
            <w:tcBorders>
              <w:top w:val="nil"/>
              <w:left w:val="nil"/>
              <w:bottom w:val="nil"/>
              <w:right w:val="nil"/>
            </w:tcBorders>
            <w:shd w:val="clear" w:color="auto" w:fill="auto"/>
            <w:noWrap/>
            <w:vAlign w:val="bottom"/>
          </w:tcPr>
          <w:p w14:paraId="444E8C0E" w14:textId="72CFABC6" w:rsidR="00A275CF" w:rsidRPr="00C44E9D" w:rsidRDefault="00A275CF" w:rsidP="00A275CF">
            <w:pPr>
              <w:spacing w:after="0" w:line="240" w:lineRule="auto"/>
              <w:rPr>
                <w:rFonts w:ascii="Times New Roman" w:eastAsia="Times New Roman" w:hAnsi="Times New Roman" w:cs="Times New Roman"/>
                <w:sz w:val="16"/>
                <w:szCs w:val="16"/>
                <w:lang w:eastAsia="cs-CZ"/>
              </w:rPr>
            </w:pPr>
          </w:p>
        </w:tc>
      </w:tr>
      <w:tr w:rsidR="00A275CF" w:rsidRPr="00A275CF" w14:paraId="63240547" w14:textId="77777777" w:rsidTr="00E144A7">
        <w:trPr>
          <w:trHeight w:val="360"/>
        </w:trPr>
        <w:tc>
          <w:tcPr>
            <w:tcW w:w="3400" w:type="dxa"/>
            <w:tcBorders>
              <w:top w:val="nil"/>
              <w:left w:val="nil"/>
              <w:bottom w:val="nil"/>
              <w:right w:val="nil"/>
            </w:tcBorders>
            <w:shd w:val="clear" w:color="auto" w:fill="auto"/>
            <w:noWrap/>
            <w:vAlign w:val="bottom"/>
            <w:hideMark/>
          </w:tcPr>
          <w:p w14:paraId="39F9D2A0" w14:textId="77777777" w:rsidR="00A275CF" w:rsidRPr="00A275CF" w:rsidRDefault="00A275CF" w:rsidP="00A275CF">
            <w:pPr>
              <w:spacing w:after="0" w:line="240" w:lineRule="auto"/>
              <w:rPr>
                <w:rFonts w:ascii="Calibri" w:eastAsia="Times New Roman" w:hAnsi="Calibri" w:cs="Arial"/>
                <w:b/>
                <w:bCs/>
                <w:sz w:val="28"/>
                <w:szCs w:val="28"/>
                <w:lang w:eastAsia="cs-CZ"/>
              </w:rPr>
            </w:pPr>
            <w:r w:rsidRPr="00A275CF">
              <w:rPr>
                <w:rFonts w:ascii="Calibri" w:eastAsia="Times New Roman" w:hAnsi="Calibri" w:cs="Arial"/>
                <w:b/>
                <w:bCs/>
                <w:sz w:val="28"/>
                <w:szCs w:val="28"/>
                <w:lang w:eastAsia="cs-CZ"/>
              </w:rPr>
              <w:t>Období: 1. - 12. 2021</w:t>
            </w:r>
          </w:p>
        </w:tc>
        <w:tc>
          <w:tcPr>
            <w:tcW w:w="1780" w:type="dxa"/>
            <w:tcBorders>
              <w:top w:val="nil"/>
              <w:left w:val="nil"/>
              <w:bottom w:val="nil"/>
              <w:right w:val="nil"/>
            </w:tcBorders>
            <w:shd w:val="clear" w:color="auto" w:fill="auto"/>
            <w:noWrap/>
            <w:vAlign w:val="bottom"/>
            <w:hideMark/>
          </w:tcPr>
          <w:p w14:paraId="401211C0" w14:textId="77777777" w:rsidR="00A275CF" w:rsidRPr="00A275CF" w:rsidRDefault="00A275CF" w:rsidP="00A275CF">
            <w:pPr>
              <w:spacing w:after="0" w:line="240" w:lineRule="auto"/>
              <w:rPr>
                <w:rFonts w:ascii="Calibri" w:eastAsia="Times New Roman" w:hAnsi="Calibri" w:cs="Arial"/>
                <w:b/>
                <w:bCs/>
                <w:sz w:val="28"/>
                <w:szCs w:val="28"/>
                <w:lang w:eastAsia="cs-CZ"/>
              </w:rPr>
            </w:pPr>
          </w:p>
        </w:tc>
        <w:tc>
          <w:tcPr>
            <w:tcW w:w="2050" w:type="dxa"/>
            <w:tcBorders>
              <w:top w:val="nil"/>
              <w:left w:val="nil"/>
              <w:bottom w:val="nil"/>
              <w:right w:val="nil"/>
            </w:tcBorders>
            <w:shd w:val="clear" w:color="auto" w:fill="auto"/>
            <w:noWrap/>
            <w:vAlign w:val="bottom"/>
            <w:hideMark/>
          </w:tcPr>
          <w:p w14:paraId="103FD37C" w14:textId="77777777" w:rsidR="00A275CF" w:rsidRPr="00A275CF" w:rsidRDefault="00A275CF" w:rsidP="00A275CF">
            <w:pPr>
              <w:spacing w:after="0" w:line="240" w:lineRule="auto"/>
              <w:rPr>
                <w:rFonts w:ascii="Times New Roman" w:eastAsia="Times New Roman" w:hAnsi="Times New Roman" w:cs="Times New Roman"/>
                <w:sz w:val="20"/>
                <w:szCs w:val="20"/>
                <w:lang w:eastAsia="cs-CZ"/>
              </w:rPr>
            </w:pPr>
          </w:p>
        </w:tc>
        <w:tc>
          <w:tcPr>
            <w:tcW w:w="1984" w:type="dxa"/>
            <w:tcBorders>
              <w:top w:val="nil"/>
              <w:left w:val="nil"/>
              <w:bottom w:val="nil"/>
              <w:right w:val="nil"/>
            </w:tcBorders>
            <w:shd w:val="clear" w:color="auto" w:fill="auto"/>
            <w:noWrap/>
            <w:vAlign w:val="bottom"/>
            <w:hideMark/>
          </w:tcPr>
          <w:p w14:paraId="7BA102A0" w14:textId="77777777" w:rsidR="00A275CF" w:rsidRPr="00A275CF" w:rsidRDefault="00A275CF" w:rsidP="00A275CF">
            <w:pPr>
              <w:spacing w:after="0" w:line="240" w:lineRule="auto"/>
              <w:rPr>
                <w:rFonts w:ascii="Times New Roman" w:eastAsia="Times New Roman" w:hAnsi="Times New Roman" w:cs="Times New Roman"/>
                <w:sz w:val="20"/>
                <w:szCs w:val="20"/>
                <w:lang w:eastAsia="cs-CZ"/>
              </w:rPr>
            </w:pPr>
          </w:p>
        </w:tc>
        <w:tc>
          <w:tcPr>
            <w:tcW w:w="546" w:type="dxa"/>
            <w:tcBorders>
              <w:top w:val="nil"/>
              <w:left w:val="nil"/>
              <w:bottom w:val="nil"/>
              <w:right w:val="nil"/>
            </w:tcBorders>
            <w:shd w:val="clear" w:color="auto" w:fill="auto"/>
            <w:noWrap/>
            <w:vAlign w:val="bottom"/>
            <w:hideMark/>
          </w:tcPr>
          <w:p w14:paraId="6AEEB85F" w14:textId="77777777" w:rsidR="00A275CF" w:rsidRPr="00A275CF" w:rsidRDefault="00A275CF" w:rsidP="00A275CF">
            <w:pPr>
              <w:spacing w:after="0" w:line="240" w:lineRule="auto"/>
              <w:rPr>
                <w:rFonts w:ascii="Times New Roman" w:eastAsia="Times New Roman" w:hAnsi="Times New Roman" w:cs="Times New Roman"/>
                <w:sz w:val="20"/>
                <w:szCs w:val="20"/>
                <w:lang w:eastAsia="cs-CZ"/>
              </w:rPr>
            </w:pPr>
          </w:p>
        </w:tc>
      </w:tr>
      <w:tr w:rsidR="00A275CF" w:rsidRPr="00A275CF" w14:paraId="7FF46134" w14:textId="77777777" w:rsidTr="00E144A7">
        <w:trPr>
          <w:trHeight w:val="360"/>
        </w:trPr>
        <w:tc>
          <w:tcPr>
            <w:tcW w:w="3400" w:type="dxa"/>
            <w:tcBorders>
              <w:top w:val="nil"/>
              <w:left w:val="nil"/>
              <w:bottom w:val="nil"/>
              <w:right w:val="nil"/>
            </w:tcBorders>
            <w:shd w:val="clear" w:color="auto" w:fill="auto"/>
            <w:noWrap/>
            <w:vAlign w:val="bottom"/>
            <w:hideMark/>
          </w:tcPr>
          <w:p w14:paraId="77EB5CDE" w14:textId="77777777" w:rsidR="00A275CF" w:rsidRPr="00A275CF" w:rsidRDefault="00A275CF" w:rsidP="00A275CF">
            <w:pPr>
              <w:spacing w:after="0" w:line="240" w:lineRule="auto"/>
              <w:rPr>
                <w:rFonts w:ascii="Times New Roman" w:eastAsia="Times New Roman" w:hAnsi="Times New Roman" w:cs="Times New Roman"/>
                <w:sz w:val="20"/>
                <w:szCs w:val="20"/>
                <w:lang w:eastAsia="cs-CZ"/>
              </w:rPr>
            </w:pPr>
          </w:p>
        </w:tc>
        <w:tc>
          <w:tcPr>
            <w:tcW w:w="1780" w:type="dxa"/>
            <w:tcBorders>
              <w:top w:val="nil"/>
              <w:left w:val="nil"/>
              <w:bottom w:val="nil"/>
              <w:right w:val="nil"/>
            </w:tcBorders>
            <w:shd w:val="clear" w:color="auto" w:fill="auto"/>
            <w:noWrap/>
            <w:vAlign w:val="bottom"/>
            <w:hideMark/>
          </w:tcPr>
          <w:p w14:paraId="1B5695F4" w14:textId="77777777" w:rsidR="00A275CF" w:rsidRPr="00A275CF" w:rsidRDefault="00A275CF" w:rsidP="00A275CF">
            <w:pPr>
              <w:spacing w:after="0" w:line="240" w:lineRule="auto"/>
              <w:rPr>
                <w:rFonts w:ascii="Times New Roman" w:eastAsia="Times New Roman" w:hAnsi="Times New Roman" w:cs="Times New Roman"/>
                <w:sz w:val="20"/>
                <w:szCs w:val="20"/>
                <w:lang w:eastAsia="cs-CZ"/>
              </w:rPr>
            </w:pPr>
          </w:p>
        </w:tc>
        <w:tc>
          <w:tcPr>
            <w:tcW w:w="2050" w:type="dxa"/>
            <w:tcBorders>
              <w:top w:val="nil"/>
              <w:left w:val="nil"/>
              <w:bottom w:val="nil"/>
              <w:right w:val="nil"/>
            </w:tcBorders>
            <w:shd w:val="clear" w:color="auto" w:fill="auto"/>
            <w:noWrap/>
            <w:vAlign w:val="bottom"/>
            <w:hideMark/>
          </w:tcPr>
          <w:p w14:paraId="63C37B4B" w14:textId="77777777" w:rsidR="00A275CF" w:rsidRPr="00A275CF" w:rsidRDefault="00A275CF" w:rsidP="00A275CF">
            <w:pPr>
              <w:spacing w:after="0" w:line="240" w:lineRule="auto"/>
              <w:rPr>
                <w:rFonts w:ascii="Times New Roman" w:eastAsia="Times New Roman" w:hAnsi="Times New Roman" w:cs="Times New Roman"/>
                <w:sz w:val="20"/>
                <w:szCs w:val="20"/>
                <w:lang w:eastAsia="cs-CZ"/>
              </w:rPr>
            </w:pPr>
          </w:p>
        </w:tc>
        <w:tc>
          <w:tcPr>
            <w:tcW w:w="1984" w:type="dxa"/>
            <w:tcBorders>
              <w:top w:val="nil"/>
              <w:left w:val="nil"/>
              <w:bottom w:val="nil"/>
              <w:right w:val="nil"/>
            </w:tcBorders>
            <w:shd w:val="clear" w:color="auto" w:fill="auto"/>
            <w:noWrap/>
            <w:vAlign w:val="bottom"/>
            <w:hideMark/>
          </w:tcPr>
          <w:p w14:paraId="5D5DDB4A" w14:textId="77777777" w:rsidR="00A275CF" w:rsidRPr="00A275CF" w:rsidRDefault="00A275CF" w:rsidP="00A275CF">
            <w:pPr>
              <w:spacing w:after="0" w:line="240" w:lineRule="auto"/>
              <w:rPr>
                <w:rFonts w:ascii="Times New Roman" w:eastAsia="Times New Roman" w:hAnsi="Times New Roman" w:cs="Times New Roman"/>
                <w:sz w:val="20"/>
                <w:szCs w:val="20"/>
                <w:lang w:eastAsia="cs-CZ"/>
              </w:rPr>
            </w:pPr>
          </w:p>
        </w:tc>
        <w:tc>
          <w:tcPr>
            <w:tcW w:w="546" w:type="dxa"/>
            <w:tcBorders>
              <w:top w:val="nil"/>
              <w:left w:val="nil"/>
              <w:bottom w:val="nil"/>
              <w:right w:val="nil"/>
            </w:tcBorders>
            <w:shd w:val="clear" w:color="auto" w:fill="auto"/>
            <w:noWrap/>
            <w:vAlign w:val="bottom"/>
            <w:hideMark/>
          </w:tcPr>
          <w:p w14:paraId="74B28710" w14:textId="77777777" w:rsidR="00A275CF" w:rsidRPr="00A275CF" w:rsidRDefault="00A275CF" w:rsidP="00A275CF">
            <w:pPr>
              <w:spacing w:after="0" w:line="240" w:lineRule="auto"/>
              <w:rPr>
                <w:rFonts w:ascii="Times New Roman" w:eastAsia="Times New Roman" w:hAnsi="Times New Roman" w:cs="Times New Roman"/>
                <w:sz w:val="20"/>
                <w:szCs w:val="20"/>
                <w:lang w:eastAsia="cs-CZ"/>
              </w:rPr>
            </w:pPr>
          </w:p>
        </w:tc>
      </w:tr>
      <w:tr w:rsidR="00A275CF" w:rsidRPr="00A275CF" w14:paraId="0162B0BB" w14:textId="77777777" w:rsidTr="00E144A7">
        <w:trPr>
          <w:trHeight w:val="360"/>
        </w:trPr>
        <w:tc>
          <w:tcPr>
            <w:tcW w:w="5180" w:type="dxa"/>
            <w:gridSpan w:val="2"/>
            <w:tcBorders>
              <w:top w:val="nil"/>
              <w:left w:val="nil"/>
              <w:bottom w:val="nil"/>
              <w:right w:val="nil"/>
            </w:tcBorders>
            <w:shd w:val="clear" w:color="auto" w:fill="auto"/>
            <w:noWrap/>
            <w:vAlign w:val="bottom"/>
            <w:hideMark/>
          </w:tcPr>
          <w:p w14:paraId="5D41F369" w14:textId="77777777" w:rsidR="00A275CF" w:rsidRPr="00A275CF" w:rsidRDefault="00A275CF" w:rsidP="00A275CF">
            <w:pPr>
              <w:spacing w:after="0" w:line="240" w:lineRule="auto"/>
              <w:rPr>
                <w:rFonts w:ascii="Calibri" w:eastAsia="Times New Roman" w:hAnsi="Calibri" w:cs="Arial"/>
                <w:b/>
                <w:bCs/>
                <w:sz w:val="28"/>
                <w:szCs w:val="28"/>
                <w:lang w:eastAsia="cs-CZ"/>
              </w:rPr>
            </w:pPr>
            <w:r w:rsidRPr="00A275CF">
              <w:rPr>
                <w:rFonts w:ascii="Calibri" w:eastAsia="Times New Roman" w:hAnsi="Calibri" w:cs="Arial"/>
                <w:b/>
                <w:bCs/>
                <w:sz w:val="28"/>
                <w:szCs w:val="28"/>
                <w:lang w:eastAsia="cs-CZ"/>
              </w:rPr>
              <w:t xml:space="preserve">Celková bilance hospodaření </w:t>
            </w:r>
          </w:p>
        </w:tc>
        <w:tc>
          <w:tcPr>
            <w:tcW w:w="2050" w:type="dxa"/>
            <w:tcBorders>
              <w:top w:val="nil"/>
              <w:left w:val="nil"/>
              <w:bottom w:val="nil"/>
              <w:right w:val="nil"/>
            </w:tcBorders>
            <w:shd w:val="clear" w:color="auto" w:fill="auto"/>
            <w:noWrap/>
            <w:vAlign w:val="bottom"/>
            <w:hideMark/>
          </w:tcPr>
          <w:p w14:paraId="4623F629" w14:textId="77777777" w:rsidR="00A275CF" w:rsidRPr="00A275CF" w:rsidRDefault="00A275CF" w:rsidP="00A275CF">
            <w:pPr>
              <w:spacing w:after="0" w:line="240" w:lineRule="auto"/>
              <w:rPr>
                <w:rFonts w:ascii="Calibri" w:eastAsia="Times New Roman" w:hAnsi="Calibri" w:cs="Arial"/>
                <w:b/>
                <w:bCs/>
                <w:sz w:val="28"/>
                <w:szCs w:val="28"/>
                <w:lang w:eastAsia="cs-CZ"/>
              </w:rPr>
            </w:pPr>
          </w:p>
        </w:tc>
        <w:tc>
          <w:tcPr>
            <w:tcW w:w="1984" w:type="dxa"/>
            <w:tcBorders>
              <w:top w:val="nil"/>
              <w:left w:val="nil"/>
              <w:bottom w:val="nil"/>
              <w:right w:val="nil"/>
            </w:tcBorders>
            <w:shd w:val="clear" w:color="auto" w:fill="auto"/>
            <w:noWrap/>
            <w:vAlign w:val="bottom"/>
            <w:hideMark/>
          </w:tcPr>
          <w:p w14:paraId="6CA755C3" w14:textId="77777777" w:rsidR="00A275CF" w:rsidRPr="00A275CF" w:rsidRDefault="00A275CF" w:rsidP="00A275CF">
            <w:pPr>
              <w:spacing w:after="0" w:line="240" w:lineRule="auto"/>
              <w:rPr>
                <w:rFonts w:ascii="Times New Roman" w:eastAsia="Times New Roman" w:hAnsi="Times New Roman" w:cs="Times New Roman"/>
                <w:sz w:val="20"/>
                <w:szCs w:val="20"/>
                <w:lang w:eastAsia="cs-CZ"/>
              </w:rPr>
            </w:pPr>
          </w:p>
        </w:tc>
        <w:tc>
          <w:tcPr>
            <w:tcW w:w="546" w:type="dxa"/>
            <w:tcBorders>
              <w:top w:val="nil"/>
              <w:left w:val="nil"/>
              <w:bottom w:val="nil"/>
              <w:right w:val="nil"/>
            </w:tcBorders>
            <w:shd w:val="clear" w:color="auto" w:fill="auto"/>
            <w:noWrap/>
            <w:vAlign w:val="bottom"/>
            <w:hideMark/>
          </w:tcPr>
          <w:p w14:paraId="6A9215FE" w14:textId="77777777" w:rsidR="00A275CF" w:rsidRPr="00A275CF" w:rsidRDefault="00A275CF" w:rsidP="00A275CF">
            <w:pPr>
              <w:spacing w:after="0" w:line="240" w:lineRule="auto"/>
              <w:rPr>
                <w:rFonts w:ascii="Times New Roman" w:eastAsia="Times New Roman" w:hAnsi="Times New Roman" w:cs="Times New Roman"/>
                <w:sz w:val="20"/>
                <w:szCs w:val="20"/>
                <w:lang w:eastAsia="cs-CZ"/>
              </w:rPr>
            </w:pPr>
          </w:p>
        </w:tc>
      </w:tr>
      <w:tr w:rsidR="00A275CF" w:rsidRPr="00A275CF" w14:paraId="14D7EAA4" w14:textId="77777777" w:rsidTr="00E144A7">
        <w:trPr>
          <w:trHeight w:val="360"/>
        </w:trPr>
        <w:tc>
          <w:tcPr>
            <w:tcW w:w="3400" w:type="dxa"/>
            <w:tcBorders>
              <w:top w:val="nil"/>
              <w:left w:val="nil"/>
              <w:bottom w:val="nil"/>
              <w:right w:val="nil"/>
            </w:tcBorders>
            <w:shd w:val="clear" w:color="auto" w:fill="auto"/>
            <w:noWrap/>
            <w:vAlign w:val="bottom"/>
            <w:hideMark/>
          </w:tcPr>
          <w:p w14:paraId="4222A849" w14:textId="77777777" w:rsidR="00A275CF" w:rsidRPr="00A275CF" w:rsidRDefault="00A275CF" w:rsidP="00A275CF">
            <w:pPr>
              <w:spacing w:after="0" w:line="240" w:lineRule="auto"/>
              <w:rPr>
                <w:rFonts w:ascii="Times New Roman" w:eastAsia="Times New Roman" w:hAnsi="Times New Roman" w:cs="Times New Roman"/>
                <w:sz w:val="20"/>
                <w:szCs w:val="20"/>
                <w:lang w:eastAsia="cs-CZ"/>
              </w:rPr>
            </w:pPr>
          </w:p>
        </w:tc>
        <w:tc>
          <w:tcPr>
            <w:tcW w:w="1780" w:type="dxa"/>
            <w:tcBorders>
              <w:top w:val="nil"/>
              <w:left w:val="nil"/>
              <w:bottom w:val="nil"/>
              <w:right w:val="nil"/>
            </w:tcBorders>
            <w:shd w:val="clear" w:color="auto" w:fill="auto"/>
            <w:noWrap/>
            <w:vAlign w:val="bottom"/>
            <w:hideMark/>
          </w:tcPr>
          <w:p w14:paraId="469ED4C2" w14:textId="77777777" w:rsidR="00A275CF" w:rsidRPr="00A275CF" w:rsidRDefault="00A275CF" w:rsidP="00A275CF">
            <w:pPr>
              <w:spacing w:after="0" w:line="240" w:lineRule="auto"/>
              <w:rPr>
                <w:rFonts w:ascii="Times New Roman" w:eastAsia="Times New Roman" w:hAnsi="Times New Roman" w:cs="Times New Roman"/>
                <w:sz w:val="20"/>
                <w:szCs w:val="20"/>
                <w:lang w:eastAsia="cs-CZ"/>
              </w:rPr>
            </w:pPr>
          </w:p>
        </w:tc>
        <w:tc>
          <w:tcPr>
            <w:tcW w:w="2050" w:type="dxa"/>
            <w:tcBorders>
              <w:top w:val="nil"/>
              <w:left w:val="nil"/>
              <w:bottom w:val="nil"/>
              <w:right w:val="nil"/>
            </w:tcBorders>
            <w:shd w:val="clear" w:color="auto" w:fill="auto"/>
            <w:noWrap/>
            <w:vAlign w:val="bottom"/>
            <w:hideMark/>
          </w:tcPr>
          <w:p w14:paraId="5654EC6B" w14:textId="77777777" w:rsidR="00A275CF" w:rsidRPr="00A275CF" w:rsidRDefault="00A275CF" w:rsidP="00A275CF">
            <w:pPr>
              <w:spacing w:after="0" w:line="240" w:lineRule="auto"/>
              <w:rPr>
                <w:rFonts w:ascii="Times New Roman" w:eastAsia="Times New Roman" w:hAnsi="Times New Roman" w:cs="Times New Roman"/>
                <w:sz w:val="20"/>
                <w:szCs w:val="20"/>
                <w:lang w:eastAsia="cs-CZ"/>
              </w:rPr>
            </w:pPr>
          </w:p>
        </w:tc>
        <w:tc>
          <w:tcPr>
            <w:tcW w:w="1984" w:type="dxa"/>
            <w:tcBorders>
              <w:top w:val="nil"/>
              <w:left w:val="nil"/>
              <w:bottom w:val="nil"/>
              <w:right w:val="nil"/>
            </w:tcBorders>
            <w:shd w:val="clear" w:color="auto" w:fill="auto"/>
            <w:noWrap/>
            <w:vAlign w:val="bottom"/>
            <w:hideMark/>
          </w:tcPr>
          <w:p w14:paraId="12FEABD3" w14:textId="77777777" w:rsidR="00A275CF" w:rsidRPr="00A275CF" w:rsidRDefault="00A275CF" w:rsidP="00A275CF">
            <w:pPr>
              <w:spacing w:after="0" w:line="240" w:lineRule="auto"/>
              <w:rPr>
                <w:rFonts w:ascii="Times New Roman" w:eastAsia="Times New Roman" w:hAnsi="Times New Roman" w:cs="Times New Roman"/>
                <w:sz w:val="20"/>
                <w:szCs w:val="20"/>
                <w:lang w:eastAsia="cs-CZ"/>
              </w:rPr>
            </w:pPr>
          </w:p>
        </w:tc>
        <w:tc>
          <w:tcPr>
            <w:tcW w:w="546" w:type="dxa"/>
            <w:tcBorders>
              <w:top w:val="nil"/>
              <w:left w:val="nil"/>
              <w:bottom w:val="nil"/>
              <w:right w:val="nil"/>
            </w:tcBorders>
            <w:shd w:val="clear" w:color="auto" w:fill="auto"/>
            <w:noWrap/>
            <w:vAlign w:val="bottom"/>
            <w:hideMark/>
          </w:tcPr>
          <w:p w14:paraId="4F128728" w14:textId="77777777" w:rsidR="00A275CF" w:rsidRPr="00A275CF" w:rsidRDefault="00A275CF" w:rsidP="00A275CF">
            <w:pPr>
              <w:spacing w:after="0" w:line="240" w:lineRule="auto"/>
              <w:rPr>
                <w:rFonts w:ascii="Times New Roman" w:eastAsia="Times New Roman" w:hAnsi="Times New Roman" w:cs="Times New Roman"/>
                <w:sz w:val="20"/>
                <w:szCs w:val="20"/>
                <w:lang w:eastAsia="cs-CZ"/>
              </w:rPr>
            </w:pPr>
          </w:p>
        </w:tc>
      </w:tr>
      <w:tr w:rsidR="00A275CF" w:rsidRPr="00A275CF" w14:paraId="14DD5280" w14:textId="77777777" w:rsidTr="00E144A7">
        <w:trPr>
          <w:trHeight w:val="360"/>
        </w:trPr>
        <w:tc>
          <w:tcPr>
            <w:tcW w:w="3400" w:type="dxa"/>
            <w:tcBorders>
              <w:top w:val="nil"/>
              <w:left w:val="nil"/>
              <w:bottom w:val="nil"/>
              <w:right w:val="nil"/>
            </w:tcBorders>
            <w:shd w:val="clear" w:color="auto" w:fill="auto"/>
            <w:noWrap/>
            <w:vAlign w:val="bottom"/>
            <w:hideMark/>
          </w:tcPr>
          <w:p w14:paraId="3A5158A4" w14:textId="77777777" w:rsidR="00A275CF" w:rsidRPr="00A275CF" w:rsidRDefault="00A275CF" w:rsidP="00A275CF">
            <w:pPr>
              <w:spacing w:after="0" w:line="240" w:lineRule="auto"/>
              <w:rPr>
                <w:rFonts w:ascii="Times New Roman" w:eastAsia="Times New Roman" w:hAnsi="Times New Roman" w:cs="Times New Roman"/>
                <w:sz w:val="20"/>
                <w:szCs w:val="20"/>
                <w:lang w:eastAsia="cs-CZ"/>
              </w:rPr>
            </w:pPr>
          </w:p>
        </w:tc>
        <w:tc>
          <w:tcPr>
            <w:tcW w:w="1780" w:type="dxa"/>
            <w:tcBorders>
              <w:top w:val="nil"/>
              <w:left w:val="nil"/>
              <w:bottom w:val="nil"/>
              <w:right w:val="nil"/>
            </w:tcBorders>
            <w:shd w:val="clear" w:color="auto" w:fill="auto"/>
            <w:noWrap/>
            <w:vAlign w:val="bottom"/>
            <w:hideMark/>
          </w:tcPr>
          <w:p w14:paraId="5DC254DB" w14:textId="77777777" w:rsidR="00A275CF" w:rsidRPr="00A275CF" w:rsidRDefault="00A275CF" w:rsidP="00A275CF">
            <w:pPr>
              <w:spacing w:after="0" w:line="240" w:lineRule="auto"/>
              <w:rPr>
                <w:rFonts w:ascii="Times New Roman" w:eastAsia="Times New Roman" w:hAnsi="Times New Roman" w:cs="Times New Roman"/>
                <w:sz w:val="20"/>
                <w:szCs w:val="20"/>
                <w:lang w:eastAsia="cs-CZ"/>
              </w:rPr>
            </w:pPr>
          </w:p>
        </w:tc>
        <w:tc>
          <w:tcPr>
            <w:tcW w:w="2050" w:type="dxa"/>
            <w:tcBorders>
              <w:top w:val="nil"/>
              <w:left w:val="nil"/>
              <w:bottom w:val="nil"/>
              <w:right w:val="nil"/>
            </w:tcBorders>
            <w:shd w:val="clear" w:color="auto" w:fill="auto"/>
            <w:noWrap/>
            <w:vAlign w:val="bottom"/>
            <w:hideMark/>
          </w:tcPr>
          <w:p w14:paraId="033E4821" w14:textId="77777777" w:rsidR="00A275CF" w:rsidRPr="00A275CF" w:rsidRDefault="00A275CF" w:rsidP="00A275CF">
            <w:pPr>
              <w:spacing w:after="0" w:line="240" w:lineRule="auto"/>
              <w:jc w:val="right"/>
              <w:rPr>
                <w:rFonts w:ascii="Times New Roman" w:eastAsia="Times New Roman" w:hAnsi="Times New Roman" w:cs="Times New Roman"/>
                <w:sz w:val="20"/>
                <w:szCs w:val="20"/>
                <w:lang w:eastAsia="cs-CZ"/>
              </w:rPr>
            </w:pPr>
          </w:p>
        </w:tc>
        <w:tc>
          <w:tcPr>
            <w:tcW w:w="1984" w:type="dxa"/>
            <w:tcBorders>
              <w:top w:val="nil"/>
              <w:left w:val="nil"/>
              <w:bottom w:val="nil"/>
              <w:right w:val="nil"/>
            </w:tcBorders>
            <w:shd w:val="clear" w:color="auto" w:fill="auto"/>
            <w:noWrap/>
            <w:vAlign w:val="bottom"/>
            <w:hideMark/>
          </w:tcPr>
          <w:p w14:paraId="0761C30E" w14:textId="77777777" w:rsidR="00A275CF" w:rsidRPr="00A275CF" w:rsidRDefault="00A275CF" w:rsidP="00A275CF">
            <w:pPr>
              <w:spacing w:after="0" w:line="240" w:lineRule="auto"/>
              <w:jc w:val="right"/>
              <w:rPr>
                <w:rFonts w:ascii="Times New Roman" w:eastAsia="Times New Roman" w:hAnsi="Times New Roman" w:cs="Times New Roman"/>
                <w:sz w:val="20"/>
                <w:szCs w:val="20"/>
                <w:lang w:eastAsia="cs-CZ"/>
              </w:rPr>
            </w:pPr>
          </w:p>
        </w:tc>
        <w:tc>
          <w:tcPr>
            <w:tcW w:w="546" w:type="dxa"/>
            <w:tcBorders>
              <w:top w:val="nil"/>
              <w:left w:val="nil"/>
              <w:bottom w:val="nil"/>
              <w:right w:val="nil"/>
            </w:tcBorders>
            <w:shd w:val="clear" w:color="auto" w:fill="auto"/>
            <w:noWrap/>
            <w:vAlign w:val="bottom"/>
            <w:hideMark/>
          </w:tcPr>
          <w:p w14:paraId="4C8491E1" w14:textId="77777777" w:rsidR="00A275CF" w:rsidRPr="00A275CF" w:rsidRDefault="00A275CF" w:rsidP="00A275CF">
            <w:pPr>
              <w:spacing w:after="0" w:line="240" w:lineRule="auto"/>
              <w:jc w:val="right"/>
              <w:rPr>
                <w:rFonts w:ascii="Calibri" w:eastAsia="Times New Roman" w:hAnsi="Calibri" w:cs="Arial"/>
                <w:lang w:eastAsia="cs-CZ"/>
              </w:rPr>
            </w:pPr>
            <w:r w:rsidRPr="00A275CF">
              <w:rPr>
                <w:rFonts w:ascii="Calibri" w:eastAsia="Times New Roman" w:hAnsi="Calibri" w:cs="Arial"/>
                <w:lang w:eastAsia="cs-CZ"/>
              </w:rPr>
              <w:t>v  Kč</w:t>
            </w:r>
          </w:p>
        </w:tc>
      </w:tr>
      <w:tr w:rsidR="00A275CF" w:rsidRPr="00A275CF" w14:paraId="04311CAE" w14:textId="77777777" w:rsidTr="00E144A7">
        <w:trPr>
          <w:trHeight w:val="645"/>
        </w:trPr>
        <w:tc>
          <w:tcPr>
            <w:tcW w:w="3400" w:type="dxa"/>
            <w:tcBorders>
              <w:top w:val="single" w:sz="8" w:space="0" w:color="auto"/>
              <w:left w:val="single" w:sz="8" w:space="0" w:color="auto"/>
              <w:bottom w:val="single" w:sz="8" w:space="0" w:color="auto"/>
              <w:right w:val="single" w:sz="4" w:space="0" w:color="auto"/>
            </w:tcBorders>
            <w:shd w:val="clear" w:color="000000" w:fill="CCFFFF"/>
            <w:noWrap/>
            <w:vAlign w:val="center"/>
            <w:hideMark/>
          </w:tcPr>
          <w:p w14:paraId="09B2C707" w14:textId="77777777" w:rsidR="00A275CF" w:rsidRPr="00A275CF" w:rsidRDefault="00A275CF" w:rsidP="00A275CF">
            <w:pPr>
              <w:spacing w:after="0" w:line="240" w:lineRule="auto"/>
              <w:jc w:val="center"/>
              <w:rPr>
                <w:rFonts w:ascii="Calibri" w:eastAsia="Times New Roman" w:hAnsi="Calibri" w:cs="Arial"/>
                <w:b/>
                <w:bCs/>
                <w:sz w:val="24"/>
                <w:szCs w:val="24"/>
                <w:lang w:eastAsia="cs-CZ"/>
              </w:rPr>
            </w:pPr>
            <w:r w:rsidRPr="00A275CF">
              <w:rPr>
                <w:rFonts w:ascii="Calibri" w:eastAsia="Times New Roman" w:hAnsi="Calibri" w:cs="Arial"/>
                <w:b/>
                <w:bCs/>
                <w:sz w:val="24"/>
                <w:szCs w:val="24"/>
                <w:lang w:eastAsia="cs-CZ"/>
              </w:rPr>
              <w:t>Ukazatel</w:t>
            </w:r>
          </w:p>
        </w:tc>
        <w:tc>
          <w:tcPr>
            <w:tcW w:w="1780" w:type="dxa"/>
            <w:tcBorders>
              <w:top w:val="single" w:sz="8" w:space="0" w:color="auto"/>
              <w:left w:val="nil"/>
              <w:bottom w:val="single" w:sz="8" w:space="0" w:color="auto"/>
              <w:right w:val="single" w:sz="4" w:space="0" w:color="auto"/>
            </w:tcBorders>
            <w:shd w:val="clear" w:color="000000" w:fill="CCFFFF"/>
            <w:vAlign w:val="center"/>
            <w:hideMark/>
          </w:tcPr>
          <w:p w14:paraId="2A8A18CF" w14:textId="77777777" w:rsidR="00A275CF" w:rsidRPr="00A275CF" w:rsidRDefault="00A275CF" w:rsidP="00A275CF">
            <w:pPr>
              <w:spacing w:after="0" w:line="240" w:lineRule="auto"/>
              <w:jc w:val="center"/>
              <w:rPr>
                <w:rFonts w:ascii="Calibri" w:eastAsia="Times New Roman" w:hAnsi="Calibri" w:cs="Arial"/>
                <w:b/>
                <w:bCs/>
                <w:sz w:val="24"/>
                <w:szCs w:val="24"/>
                <w:lang w:eastAsia="cs-CZ"/>
              </w:rPr>
            </w:pPr>
            <w:r w:rsidRPr="00A275CF">
              <w:rPr>
                <w:rFonts w:ascii="Calibri" w:eastAsia="Times New Roman" w:hAnsi="Calibri" w:cs="Arial"/>
                <w:b/>
                <w:bCs/>
                <w:sz w:val="24"/>
                <w:szCs w:val="24"/>
                <w:lang w:eastAsia="cs-CZ"/>
              </w:rPr>
              <w:t>Rozpočet 2021</w:t>
            </w:r>
          </w:p>
        </w:tc>
        <w:tc>
          <w:tcPr>
            <w:tcW w:w="2050" w:type="dxa"/>
            <w:tcBorders>
              <w:top w:val="single" w:sz="8" w:space="0" w:color="auto"/>
              <w:left w:val="nil"/>
              <w:bottom w:val="single" w:sz="8" w:space="0" w:color="auto"/>
              <w:right w:val="single" w:sz="4" w:space="0" w:color="auto"/>
            </w:tcBorders>
            <w:shd w:val="clear" w:color="000000" w:fill="CCFFFF"/>
            <w:vAlign w:val="center"/>
            <w:hideMark/>
          </w:tcPr>
          <w:p w14:paraId="0EE678B2" w14:textId="77777777" w:rsidR="00A275CF" w:rsidRPr="00A275CF" w:rsidRDefault="00A275CF" w:rsidP="00A275CF">
            <w:pPr>
              <w:spacing w:after="0" w:line="240" w:lineRule="auto"/>
              <w:jc w:val="center"/>
              <w:rPr>
                <w:rFonts w:ascii="Calibri" w:eastAsia="Times New Roman" w:hAnsi="Calibri" w:cs="Arial"/>
                <w:b/>
                <w:bCs/>
                <w:sz w:val="24"/>
                <w:szCs w:val="24"/>
                <w:lang w:eastAsia="cs-CZ"/>
              </w:rPr>
            </w:pPr>
            <w:r w:rsidRPr="00A275CF">
              <w:rPr>
                <w:rFonts w:ascii="Calibri" w:eastAsia="Times New Roman" w:hAnsi="Calibri" w:cs="Arial"/>
                <w:b/>
                <w:bCs/>
                <w:sz w:val="24"/>
                <w:szCs w:val="24"/>
                <w:lang w:eastAsia="cs-CZ"/>
              </w:rPr>
              <w:t>Rozpočet                        po úpravě</w:t>
            </w:r>
          </w:p>
        </w:tc>
        <w:tc>
          <w:tcPr>
            <w:tcW w:w="1984" w:type="dxa"/>
            <w:tcBorders>
              <w:top w:val="single" w:sz="8" w:space="0" w:color="auto"/>
              <w:left w:val="nil"/>
              <w:bottom w:val="single" w:sz="8" w:space="0" w:color="auto"/>
              <w:right w:val="single" w:sz="4" w:space="0" w:color="auto"/>
            </w:tcBorders>
            <w:shd w:val="clear" w:color="000000" w:fill="CCFFFF"/>
            <w:noWrap/>
            <w:vAlign w:val="center"/>
            <w:hideMark/>
          </w:tcPr>
          <w:p w14:paraId="3AB100AF" w14:textId="77777777" w:rsidR="00A275CF" w:rsidRPr="00A275CF" w:rsidRDefault="00A275CF" w:rsidP="00A275CF">
            <w:pPr>
              <w:spacing w:after="0" w:line="240" w:lineRule="auto"/>
              <w:jc w:val="center"/>
              <w:rPr>
                <w:rFonts w:ascii="Calibri" w:eastAsia="Times New Roman" w:hAnsi="Calibri" w:cs="Arial"/>
                <w:b/>
                <w:bCs/>
                <w:sz w:val="24"/>
                <w:szCs w:val="24"/>
                <w:lang w:eastAsia="cs-CZ"/>
              </w:rPr>
            </w:pPr>
            <w:r w:rsidRPr="00A275CF">
              <w:rPr>
                <w:rFonts w:ascii="Calibri" w:eastAsia="Times New Roman" w:hAnsi="Calibri" w:cs="Arial"/>
                <w:b/>
                <w:bCs/>
                <w:sz w:val="24"/>
                <w:szCs w:val="24"/>
                <w:lang w:eastAsia="cs-CZ"/>
              </w:rPr>
              <w:t xml:space="preserve">Skutečnost </w:t>
            </w:r>
          </w:p>
        </w:tc>
        <w:tc>
          <w:tcPr>
            <w:tcW w:w="546" w:type="dxa"/>
            <w:tcBorders>
              <w:top w:val="single" w:sz="8" w:space="0" w:color="auto"/>
              <w:left w:val="nil"/>
              <w:bottom w:val="single" w:sz="8" w:space="0" w:color="auto"/>
              <w:right w:val="single" w:sz="8" w:space="0" w:color="auto"/>
            </w:tcBorders>
            <w:shd w:val="clear" w:color="000000" w:fill="CCFFFF"/>
            <w:vAlign w:val="center"/>
            <w:hideMark/>
          </w:tcPr>
          <w:p w14:paraId="33740002" w14:textId="77777777" w:rsidR="00A275CF" w:rsidRPr="00A275CF" w:rsidRDefault="00A275CF" w:rsidP="00A275CF">
            <w:pPr>
              <w:spacing w:after="0" w:line="240" w:lineRule="auto"/>
              <w:jc w:val="center"/>
              <w:rPr>
                <w:rFonts w:ascii="Calibri" w:eastAsia="Times New Roman" w:hAnsi="Calibri" w:cs="Arial"/>
                <w:b/>
                <w:bCs/>
                <w:sz w:val="24"/>
                <w:szCs w:val="24"/>
                <w:lang w:eastAsia="cs-CZ"/>
              </w:rPr>
            </w:pPr>
            <w:r w:rsidRPr="00A275CF">
              <w:rPr>
                <w:rFonts w:ascii="Calibri" w:eastAsia="Times New Roman" w:hAnsi="Calibri" w:cs="Arial"/>
                <w:b/>
                <w:bCs/>
                <w:sz w:val="24"/>
                <w:szCs w:val="24"/>
                <w:lang w:eastAsia="cs-CZ"/>
              </w:rPr>
              <w:t>% plnění</w:t>
            </w:r>
          </w:p>
        </w:tc>
      </w:tr>
      <w:tr w:rsidR="00A275CF" w:rsidRPr="00A275CF" w14:paraId="25E3D839" w14:textId="77777777" w:rsidTr="00E144A7">
        <w:trPr>
          <w:trHeight w:val="360"/>
        </w:trPr>
        <w:tc>
          <w:tcPr>
            <w:tcW w:w="3400" w:type="dxa"/>
            <w:tcBorders>
              <w:top w:val="nil"/>
              <w:left w:val="single" w:sz="8" w:space="0" w:color="auto"/>
              <w:bottom w:val="single" w:sz="4" w:space="0" w:color="auto"/>
              <w:right w:val="single" w:sz="4" w:space="0" w:color="auto"/>
            </w:tcBorders>
            <w:shd w:val="clear" w:color="auto" w:fill="auto"/>
            <w:noWrap/>
            <w:vAlign w:val="bottom"/>
            <w:hideMark/>
          </w:tcPr>
          <w:p w14:paraId="6B25EB6B" w14:textId="77777777" w:rsidR="00A275CF" w:rsidRPr="00A275CF" w:rsidRDefault="00A275CF" w:rsidP="00A275CF">
            <w:pPr>
              <w:spacing w:after="0" w:line="240" w:lineRule="auto"/>
              <w:rPr>
                <w:rFonts w:ascii="Calibri" w:eastAsia="Times New Roman" w:hAnsi="Calibri" w:cs="Arial"/>
                <w:sz w:val="20"/>
                <w:szCs w:val="20"/>
                <w:lang w:eastAsia="cs-CZ"/>
              </w:rPr>
            </w:pPr>
            <w:r w:rsidRPr="00A275CF">
              <w:rPr>
                <w:rFonts w:ascii="Calibri" w:eastAsia="Times New Roman" w:hAnsi="Calibri" w:cs="Arial"/>
                <w:sz w:val="20"/>
                <w:szCs w:val="20"/>
                <w:lang w:eastAsia="cs-CZ"/>
              </w:rPr>
              <w:t>Třída 1 - Daňové příjmy</w:t>
            </w:r>
          </w:p>
        </w:tc>
        <w:tc>
          <w:tcPr>
            <w:tcW w:w="1780" w:type="dxa"/>
            <w:tcBorders>
              <w:top w:val="nil"/>
              <w:left w:val="nil"/>
              <w:bottom w:val="single" w:sz="4" w:space="0" w:color="auto"/>
              <w:right w:val="single" w:sz="4" w:space="0" w:color="auto"/>
            </w:tcBorders>
            <w:shd w:val="clear" w:color="auto" w:fill="auto"/>
            <w:noWrap/>
            <w:vAlign w:val="bottom"/>
            <w:hideMark/>
          </w:tcPr>
          <w:p w14:paraId="28C54828" w14:textId="77777777" w:rsidR="00A275CF" w:rsidRPr="00A275CF" w:rsidRDefault="00A275CF" w:rsidP="00A275CF">
            <w:pPr>
              <w:spacing w:after="0" w:line="240" w:lineRule="auto"/>
              <w:jc w:val="right"/>
              <w:rPr>
                <w:rFonts w:ascii="Calibri" w:eastAsia="Times New Roman" w:hAnsi="Calibri" w:cs="Arial"/>
                <w:sz w:val="20"/>
                <w:szCs w:val="20"/>
                <w:lang w:eastAsia="cs-CZ"/>
              </w:rPr>
            </w:pPr>
            <w:r w:rsidRPr="00A275CF">
              <w:rPr>
                <w:rFonts w:ascii="Calibri" w:eastAsia="Times New Roman" w:hAnsi="Calibri" w:cs="Arial"/>
                <w:sz w:val="20"/>
                <w:szCs w:val="20"/>
                <w:lang w:eastAsia="cs-CZ"/>
              </w:rPr>
              <w:t>8 667 500 000</w:t>
            </w:r>
          </w:p>
        </w:tc>
        <w:tc>
          <w:tcPr>
            <w:tcW w:w="2050" w:type="dxa"/>
            <w:tcBorders>
              <w:top w:val="nil"/>
              <w:left w:val="nil"/>
              <w:bottom w:val="single" w:sz="4" w:space="0" w:color="auto"/>
              <w:right w:val="single" w:sz="4" w:space="0" w:color="auto"/>
            </w:tcBorders>
            <w:shd w:val="clear" w:color="auto" w:fill="auto"/>
            <w:noWrap/>
            <w:vAlign w:val="bottom"/>
            <w:hideMark/>
          </w:tcPr>
          <w:p w14:paraId="336DE9BE" w14:textId="77777777" w:rsidR="00A275CF" w:rsidRPr="00A275CF" w:rsidRDefault="00A275CF" w:rsidP="00A275CF">
            <w:pPr>
              <w:spacing w:after="0" w:line="240" w:lineRule="auto"/>
              <w:jc w:val="right"/>
              <w:rPr>
                <w:rFonts w:ascii="Calibri" w:eastAsia="Times New Roman" w:hAnsi="Calibri" w:cs="Arial"/>
                <w:sz w:val="20"/>
                <w:szCs w:val="20"/>
                <w:lang w:eastAsia="cs-CZ"/>
              </w:rPr>
            </w:pPr>
            <w:r w:rsidRPr="00A275CF">
              <w:rPr>
                <w:rFonts w:ascii="Calibri" w:eastAsia="Times New Roman" w:hAnsi="Calibri" w:cs="Arial"/>
                <w:sz w:val="20"/>
                <w:szCs w:val="20"/>
                <w:lang w:eastAsia="cs-CZ"/>
              </w:rPr>
              <w:t>9 911 982 070,05</w:t>
            </w:r>
          </w:p>
        </w:tc>
        <w:tc>
          <w:tcPr>
            <w:tcW w:w="1984" w:type="dxa"/>
            <w:tcBorders>
              <w:top w:val="nil"/>
              <w:left w:val="nil"/>
              <w:bottom w:val="single" w:sz="4" w:space="0" w:color="auto"/>
              <w:right w:val="single" w:sz="4" w:space="0" w:color="auto"/>
            </w:tcBorders>
            <w:shd w:val="clear" w:color="auto" w:fill="auto"/>
            <w:noWrap/>
            <w:vAlign w:val="bottom"/>
            <w:hideMark/>
          </w:tcPr>
          <w:p w14:paraId="1AACF53E" w14:textId="77777777" w:rsidR="00A275CF" w:rsidRPr="00A275CF" w:rsidRDefault="00A275CF" w:rsidP="00A275CF">
            <w:pPr>
              <w:spacing w:after="0" w:line="240" w:lineRule="auto"/>
              <w:jc w:val="right"/>
              <w:rPr>
                <w:rFonts w:ascii="Calibri" w:eastAsia="Times New Roman" w:hAnsi="Calibri" w:cs="Arial"/>
                <w:sz w:val="20"/>
                <w:szCs w:val="20"/>
                <w:lang w:eastAsia="cs-CZ"/>
              </w:rPr>
            </w:pPr>
            <w:r w:rsidRPr="00A275CF">
              <w:rPr>
                <w:rFonts w:ascii="Calibri" w:eastAsia="Times New Roman" w:hAnsi="Calibri" w:cs="Arial"/>
                <w:sz w:val="20"/>
                <w:szCs w:val="20"/>
                <w:lang w:eastAsia="cs-CZ"/>
              </w:rPr>
              <w:t>11 345 244 155,44</w:t>
            </w:r>
          </w:p>
        </w:tc>
        <w:tc>
          <w:tcPr>
            <w:tcW w:w="546" w:type="dxa"/>
            <w:tcBorders>
              <w:top w:val="nil"/>
              <w:left w:val="nil"/>
              <w:bottom w:val="single" w:sz="4" w:space="0" w:color="auto"/>
              <w:right w:val="single" w:sz="8" w:space="0" w:color="auto"/>
            </w:tcBorders>
            <w:shd w:val="clear" w:color="auto" w:fill="auto"/>
            <w:noWrap/>
            <w:vAlign w:val="bottom"/>
            <w:hideMark/>
          </w:tcPr>
          <w:p w14:paraId="78490F7B" w14:textId="77777777" w:rsidR="00A275CF" w:rsidRPr="00A275CF" w:rsidRDefault="00A275CF" w:rsidP="00A275CF">
            <w:pPr>
              <w:spacing w:after="0" w:line="240" w:lineRule="auto"/>
              <w:jc w:val="right"/>
              <w:rPr>
                <w:rFonts w:ascii="Calibri" w:eastAsia="Times New Roman" w:hAnsi="Calibri" w:cs="Arial"/>
                <w:sz w:val="20"/>
                <w:szCs w:val="20"/>
                <w:lang w:eastAsia="cs-CZ"/>
              </w:rPr>
            </w:pPr>
            <w:r w:rsidRPr="00A275CF">
              <w:rPr>
                <w:rFonts w:ascii="Calibri" w:eastAsia="Times New Roman" w:hAnsi="Calibri" w:cs="Arial"/>
                <w:sz w:val="20"/>
                <w:szCs w:val="20"/>
                <w:lang w:eastAsia="cs-CZ"/>
              </w:rPr>
              <w:t>114,5</w:t>
            </w:r>
          </w:p>
        </w:tc>
      </w:tr>
      <w:tr w:rsidR="00A275CF" w:rsidRPr="00A275CF" w14:paraId="50E3394D" w14:textId="77777777" w:rsidTr="00E144A7">
        <w:trPr>
          <w:trHeight w:val="360"/>
        </w:trPr>
        <w:tc>
          <w:tcPr>
            <w:tcW w:w="3400" w:type="dxa"/>
            <w:tcBorders>
              <w:top w:val="nil"/>
              <w:left w:val="single" w:sz="8" w:space="0" w:color="auto"/>
              <w:bottom w:val="single" w:sz="4" w:space="0" w:color="auto"/>
              <w:right w:val="single" w:sz="4" w:space="0" w:color="auto"/>
            </w:tcBorders>
            <w:shd w:val="clear" w:color="auto" w:fill="auto"/>
            <w:noWrap/>
            <w:vAlign w:val="bottom"/>
            <w:hideMark/>
          </w:tcPr>
          <w:p w14:paraId="30EAC3F9" w14:textId="77777777" w:rsidR="00A275CF" w:rsidRPr="00A275CF" w:rsidRDefault="00A275CF" w:rsidP="00A275CF">
            <w:pPr>
              <w:spacing w:after="0" w:line="240" w:lineRule="auto"/>
              <w:rPr>
                <w:rFonts w:ascii="Calibri" w:eastAsia="Times New Roman" w:hAnsi="Calibri" w:cs="Arial"/>
                <w:sz w:val="20"/>
                <w:szCs w:val="20"/>
                <w:lang w:eastAsia="cs-CZ"/>
              </w:rPr>
            </w:pPr>
            <w:r w:rsidRPr="00A275CF">
              <w:rPr>
                <w:rFonts w:ascii="Calibri" w:eastAsia="Times New Roman" w:hAnsi="Calibri" w:cs="Arial"/>
                <w:sz w:val="20"/>
                <w:szCs w:val="20"/>
                <w:lang w:eastAsia="cs-CZ"/>
              </w:rPr>
              <w:t>Třída 2 - Nedaňové příjmy</w:t>
            </w:r>
          </w:p>
        </w:tc>
        <w:tc>
          <w:tcPr>
            <w:tcW w:w="1780" w:type="dxa"/>
            <w:tcBorders>
              <w:top w:val="nil"/>
              <w:left w:val="nil"/>
              <w:bottom w:val="single" w:sz="4" w:space="0" w:color="auto"/>
              <w:right w:val="single" w:sz="4" w:space="0" w:color="auto"/>
            </w:tcBorders>
            <w:shd w:val="clear" w:color="auto" w:fill="auto"/>
            <w:noWrap/>
            <w:vAlign w:val="bottom"/>
            <w:hideMark/>
          </w:tcPr>
          <w:p w14:paraId="396CE2F3" w14:textId="77777777" w:rsidR="00A275CF" w:rsidRPr="00A275CF" w:rsidRDefault="00A275CF" w:rsidP="00A275CF">
            <w:pPr>
              <w:spacing w:after="0" w:line="240" w:lineRule="auto"/>
              <w:jc w:val="right"/>
              <w:rPr>
                <w:rFonts w:ascii="Calibri" w:eastAsia="Times New Roman" w:hAnsi="Calibri" w:cs="Arial"/>
                <w:sz w:val="20"/>
                <w:szCs w:val="20"/>
                <w:lang w:eastAsia="cs-CZ"/>
              </w:rPr>
            </w:pPr>
            <w:r w:rsidRPr="00A275CF">
              <w:rPr>
                <w:rFonts w:ascii="Calibri" w:eastAsia="Times New Roman" w:hAnsi="Calibri" w:cs="Arial"/>
                <w:sz w:val="20"/>
                <w:szCs w:val="20"/>
                <w:lang w:eastAsia="cs-CZ"/>
              </w:rPr>
              <w:t>2 024 532 000</w:t>
            </w:r>
          </w:p>
        </w:tc>
        <w:tc>
          <w:tcPr>
            <w:tcW w:w="2050" w:type="dxa"/>
            <w:tcBorders>
              <w:top w:val="nil"/>
              <w:left w:val="nil"/>
              <w:bottom w:val="single" w:sz="4" w:space="0" w:color="auto"/>
              <w:right w:val="single" w:sz="4" w:space="0" w:color="auto"/>
            </w:tcBorders>
            <w:shd w:val="clear" w:color="auto" w:fill="auto"/>
            <w:noWrap/>
            <w:vAlign w:val="bottom"/>
            <w:hideMark/>
          </w:tcPr>
          <w:p w14:paraId="214B66A9" w14:textId="77777777" w:rsidR="00A275CF" w:rsidRPr="00A275CF" w:rsidRDefault="00A275CF" w:rsidP="00A275CF">
            <w:pPr>
              <w:spacing w:after="0" w:line="240" w:lineRule="auto"/>
              <w:jc w:val="right"/>
              <w:rPr>
                <w:rFonts w:ascii="Calibri" w:eastAsia="Times New Roman" w:hAnsi="Calibri" w:cs="Arial"/>
                <w:sz w:val="20"/>
                <w:szCs w:val="20"/>
                <w:lang w:eastAsia="cs-CZ"/>
              </w:rPr>
            </w:pPr>
            <w:r w:rsidRPr="00A275CF">
              <w:rPr>
                <w:rFonts w:ascii="Calibri" w:eastAsia="Times New Roman" w:hAnsi="Calibri" w:cs="Arial"/>
                <w:sz w:val="20"/>
                <w:szCs w:val="20"/>
                <w:lang w:eastAsia="cs-CZ"/>
              </w:rPr>
              <w:t>1 848 414 813,22</w:t>
            </w:r>
          </w:p>
        </w:tc>
        <w:tc>
          <w:tcPr>
            <w:tcW w:w="1984" w:type="dxa"/>
            <w:tcBorders>
              <w:top w:val="nil"/>
              <w:left w:val="nil"/>
              <w:bottom w:val="single" w:sz="4" w:space="0" w:color="auto"/>
              <w:right w:val="single" w:sz="4" w:space="0" w:color="auto"/>
            </w:tcBorders>
            <w:shd w:val="clear" w:color="auto" w:fill="auto"/>
            <w:noWrap/>
            <w:vAlign w:val="bottom"/>
            <w:hideMark/>
          </w:tcPr>
          <w:p w14:paraId="64AE27D3" w14:textId="77777777" w:rsidR="00A275CF" w:rsidRPr="00A275CF" w:rsidRDefault="00A275CF" w:rsidP="00A275CF">
            <w:pPr>
              <w:spacing w:after="0" w:line="240" w:lineRule="auto"/>
              <w:jc w:val="right"/>
              <w:rPr>
                <w:rFonts w:ascii="Calibri" w:eastAsia="Times New Roman" w:hAnsi="Calibri" w:cs="Arial"/>
                <w:sz w:val="20"/>
                <w:szCs w:val="20"/>
                <w:lang w:eastAsia="cs-CZ"/>
              </w:rPr>
            </w:pPr>
            <w:r w:rsidRPr="00A275CF">
              <w:rPr>
                <w:rFonts w:ascii="Calibri" w:eastAsia="Times New Roman" w:hAnsi="Calibri" w:cs="Arial"/>
                <w:sz w:val="20"/>
                <w:szCs w:val="20"/>
                <w:lang w:eastAsia="cs-CZ"/>
              </w:rPr>
              <w:t>1 473 634 623,31</w:t>
            </w:r>
          </w:p>
        </w:tc>
        <w:tc>
          <w:tcPr>
            <w:tcW w:w="546" w:type="dxa"/>
            <w:tcBorders>
              <w:top w:val="nil"/>
              <w:left w:val="nil"/>
              <w:bottom w:val="single" w:sz="4" w:space="0" w:color="auto"/>
              <w:right w:val="single" w:sz="8" w:space="0" w:color="auto"/>
            </w:tcBorders>
            <w:shd w:val="clear" w:color="auto" w:fill="auto"/>
            <w:noWrap/>
            <w:vAlign w:val="bottom"/>
            <w:hideMark/>
          </w:tcPr>
          <w:p w14:paraId="083ABFF8" w14:textId="77777777" w:rsidR="00A275CF" w:rsidRPr="00A275CF" w:rsidRDefault="00A275CF" w:rsidP="00A275CF">
            <w:pPr>
              <w:spacing w:after="0" w:line="240" w:lineRule="auto"/>
              <w:jc w:val="right"/>
              <w:rPr>
                <w:rFonts w:ascii="Calibri" w:eastAsia="Times New Roman" w:hAnsi="Calibri" w:cs="Arial"/>
                <w:sz w:val="20"/>
                <w:szCs w:val="20"/>
                <w:lang w:eastAsia="cs-CZ"/>
              </w:rPr>
            </w:pPr>
            <w:r w:rsidRPr="00A275CF">
              <w:rPr>
                <w:rFonts w:ascii="Calibri" w:eastAsia="Times New Roman" w:hAnsi="Calibri" w:cs="Arial"/>
                <w:sz w:val="20"/>
                <w:szCs w:val="20"/>
                <w:lang w:eastAsia="cs-CZ"/>
              </w:rPr>
              <w:t>79,7</w:t>
            </w:r>
          </w:p>
        </w:tc>
      </w:tr>
      <w:tr w:rsidR="00A275CF" w:rsidRPr="00A275CF" w14:paraId="77782785" w14:textId="77777777" w:rsidTr="00E144A7">
        <w:trPr>
          <w:trHeight w:val="360"/>
        </w:trPr>
        <w:tc>
          <w:tcPr>
            <w:tcW w:w="3400" w:type="dxa"/>
            <w:tcBorders>
              <w:top w:val="nil"/>
              <w:left w:val="single" w:sz="8" w:space="0" w:color="auto"/>
              <w:bottom w:val="single" w:sz="4" w:space="0" w:color="auto"/>
              <w:right w:val="single" w:sz="4" w:space="0" w:color="auto"/>
            </w:tcBorders>
            <w:shd w:val="clear" w:color="auto" w:fill="auto"/>
            <w:noWrap/>
            <w:vAlign w:val="bottom"/>
            <w:hideMark/>
          </w:tcPr>
          <w:p w14:paraId="381A1F42" w14:textId="77777777" w:rsidR="00A275CF" w:rsidRPr="00A275CF" w:rsidRDefault="00A275CF" w:rsidP="00A275CF">
            <w:pPr>
              <w:spacing w:after="0" w:line="240" w:lineRule="auto"/>
              <w:rPr>
                <w:rFonts w:ascii="Calibri" w:eastAsia="Times New Roman" w:hAnsi="Calibri" w:cs="Arial"/>
                <w:sz w:val="20"/>
                <w:szCs w:val="20"/>
                <w:lang w:eastAsia="cs-CZ"/>
              </w:rPr>
            </w:pPr>
            <w:r w:rsidRPr="00A275CF">
              <w:rPr>
                <w:rFonts w:ascii="Calibri" w:eastAsia="Times New Roman" w:hAnsi="Calibri" w:cs="Arial"/>
                <w:sz w:val="20"/>
                <w:szCs w:val="20"/>
                <w:lang w:eastAsia="cs-CZ"/>
              </w:rPr>
              <w:t>Třída 3 - Kapitálové příjmy</w:t>
            </w:r>
          </w:p>
        </w:tc>
        <w:tc>
          <w:tcPr>
            <w:tcW w:w="1780" w:type="dxa"/>
            <w:tcBorders>
              <w:top w:val="nil"/>
              <w:left w:val="nil"/>
              <w:bottom w:val="single" w:sz="4" w:space="0" w:color="auto"/>
              <w:right w:val="single" w:sz="4" w:space="0" w:color="auto"/>
            </w:tcBorders>
            <w:shd w:val="clear" w:color="auto" w:fill="auto"/>
            <w:noWrap/>
            <w:vAlign w:val="bottom"/>
            <w:hideMark/>
          </w:tcPr>
          <w:p w14:paraId="5D2DEA1C" w14:textId="77777777" w:rsidR="00A275CF" w:rsidRPr="00A275CF" w:rsidRDefault="00A275CF" w:rsidP="00A275CF">
            <w:pPr>
              <w:spacing w:after="0" w:line="240" w:lineRule="auto"/>
              <w:jc w:val="right"/>
              <w:rPr>
                <w:rFonts w:ascii="Calibri" w:eastAsia="Times New Roman" w:hAnsi="Calibri" w:cs="Arial"/>
                <w:sz w:val="20"/>
                <w:szCs w:val="20"/>
                <w:lang w:eastAsia="cs-CZ"/>
              </w:rPr>
            </w:pPr>
            <w:r w:rsidRPr="00A275CF">
              <w:rPr>
                <w:rFonts w:ascii="Calibri" w:eastAsia="Times New Roman" w:hAnsi="Calibri" w:cs="Arial"/>
                <w:sz w:val="20"/>
                <w:szCs w:val="20"/>
                <w:lang w:eastAsia="cs-CZ"/>
              </w:rPr>
              <w:t>8 000 000</w:t>
            </w:r>
          </w:p>
        </w:tc>
        <w:tc>
          <w:tcPr>
            <w:tcW w:w="2050" w:type="dxa"/>
            <w:tcBorders>
              <w:top w:val="nil"/>
              <w:left w:val="nil"/>
              <w:bottom w:val="single" w:sz="4" w:space="0" w:color="auto"/>
              <w:right w:val="single" w:sz="4" w:space="0" w:color="auto"/>
            </w:tcBorders>
            <w:shd w:val="clear" w:color="auto" w:fill="auto"/>
            <w:noWrap/>
            <w:vAlign w:val="bottom"/>
            <w:hideMark/>
          </w:tcPr>
          <w:p w14:paraId="457B2AC9" w14:textId="77777777" w:rsidR="00A275CF" w:rsidRPr="00A275CF" w:rsidRDefault="00A275CF" w:rsidP="00A275CF">
            <w:pPr>
              <w:spacing w:after="0" w:line="240" w:lineRule="auto"/>
              <w:jc w:val="right"/>
              <w:rPr>
                <w:rFonts w:ascii="Calibri" w:eastAsia="Times New Roman" w:hAnsi="Calibri" w:cs="Arial"/>
                <w:sz w:val="20"/>
                <w:szCs w:val="20"/>
                <w:lang w:eastAsia="cs-CZ"/>
              </w:rPr>
            </w:pPr>
            <w:r w:rsidRPr="00A275CF">
              <w:rPr>
                <w:rFonts w:ascii="Calibri" w:eastAsia="Times New Roman" w:hAnsi="Calibri" w:cs="Arial"/>
                <w:sz w:val="20"/>
                <w:szCs w:val="20"/>
                <w:lang w:eastAsia="cs-CZ"/>
              </w:rPr>
              <w:t>8 000 000,00</w:t>
            </w:r>
          </w:p>
        </w:tc>
        <w:tc>
          <w:tcPr>
            <w:tcW w:w="1984" w:type="dxa"/>
            <w:tcBorders>
              <w:top w:val="nil"/>
              <w:left w:val="nil"/>
              <w:bottom w:val="single" w:sz="4" w:space="0" w:color="auto"/>
              <w:right w:val="single" w:sz="4" w:space="0" w:color="auto"/>
            </w:tcBorders>
            <w:shd w:val="clear" w:color="auto" w:fill="auto"/>
            <w:noWrap/>
            <w:vAlign w:val="bottom"/>
            <w:hideMark/>
          </w:tcPr>
          <w:p w14:paraId="2125291A" w14:textId="77777777" w:rsidR="00A275CF" w:rsidRPr="00A275CF" w:rsidRDefault="00A275CF" w:rsidP="00A275CF">
            <w:pPr>
              <w:spacing w:after="0" w:line="240" w:lineRule="auto"/>
              <w:jc w:val="right"/>
              <w:rPr>
                <w:rFonts w:ascii="Calibri" w:eastAsia="Times New Roman" w:hAnsi="Calibri" w:cs="Arial"/>
                <w:sz w:val="20"/>
                <w:szCs w:val="20"/>
                <w:lang w:eastAsia="cs-CZ"/>
              </w:rPr>
            </w:pPr>
            <w:r w:rsidRPr="00A275CF">
              <w:rPr>
                <w:rFonts w:ascii="Calibri" w:eastAsia="Times New Roman" w:hAnsi="Calibri" w:cs="Arial"/>
                <w:sz w:val="20"/>
                <w:szCs w:val="20"/>
                <w:lang w:eastAsia="cs-CZ"/>
              </w:rPr>
              <w:t>9 609 059,47</w:t>
            </w:r>
          </w:p>
        </w:tc>
        <w:tc>
          <w:tcPr>
            <w:tcW w:w="546" w:type="dxa"/>
            <w:tcBorders>
              <w:top w:val="nil"/>
              <w:left w:val="nil"/>
              <w:bottom w:val="single" w:sz="4" w:space="0" w:color="auto"/>
              <w:right w:val="single" w:sz="8" w:space="0" w:color="auto"/>
            </w:tcBorders>
            <w:shd w:val="clear" w:color="auto" w:fill="auto"/>
            <w:noWrap/>
            <w:vAlign w:val="bottom"/>
            <w:hideMark/>
          </w:tcPr>
          <w:p w14:paraId="29A69A3F" w14:textId="77777777" w:rsidR="00A275CF" w:rsidRPr="00A275CF" w:rsidRDefault="00A275CF" w:rsidP="00A275CF">
            <w:pPr>
              <w:spacing w:after="0" w:line="240" w:lineRule="auto"/>
              <w:jc w:val="right"/>
              <w:rPr>
                <w:rFonts w:ascii="Calibri" w:eastAsia="Times New Roman" w:hAnsi="Calibri" w:cs="Arial"/>
                <w:sz w:val="20"/>
                <w:szCs w:val="20"/>
                <w:lang w:eastAsia="cs-CZ"/>
              </w:rPr>
            </w:pPr>
            <w:r w:rsidRPr="00A275CF">
              <w:rPr>
                <w:rFonts w:ascii="Calibri" w:eastAsia="Times New Roman" w:hAnsi="Calibri" w:cs="Arial"/>
                <w:sz w:val="20"/>
                <w:szCs w:val="20"/>
                <w:lang w:eastAsia="cs-CZ"/>
              </w:rPr>
              <w:t>120,1</w:t>
            </w:r>
          </w:p>
        </w:tc>
      </w:tr>
      <w:tr w:rsidR="00A275CF" w:rsidRPr="00A275CF" w14:paraId="1FC755DA" w14:textId="77777777" w:rsidTr="00E144A7">
        <w:trPr>
          <w:trHeight w:val="360"/>
        </w:trPr>
        <w:tc>
          <w:tcPr>
            <w:tcW w:w="3400" w:type="dxa"/>
            <w:tcBorders>
              <w:top w:val="nil"/>
              <w:left w:val="single" w:sz="8" w:space="0" w:color="auto"/>
              <w:bottom w:val="single" w:sz="4" w:space="0" w:color="auto"/>
              <w:right w:val="single" w:sz="4" w:space="0" w:color="auto"/>
            </w:tcBorders>
            <w:shd w:val="clear" w:color="auto" w:fill="auto"/>
            <w:noWrap/>
            <w:vAlign w:val="bottom"/>
            <w:hideMark/>
          </w:tcPr>
          <w:p w14:paraId="579101D7" w14:textId="77777777" w:rsidR="00A275CF" w:rsidRPr="00A275CF" w:rsidRDefault="00A275CF" w:rsidP="00A275CF">
            <w:pPr>
              <w:spacing w:after="0" w:line="240" w:lineRule="auto"/>
              <w:rPr>
                <w:rFonts w:ascii="Calibri" w:eastAsia="Times New Roman" w:hAnsi="Calibri" w:cs="Arial"/>
                <w:sz w:val="20"/>
                <w:szCs w:val="20"/>
                <w:lang w:eastAsia="cs-CZ"/>
              </w:rPr>
            </w:pPr>
            <w:r w:rsidRPr="00A275CF">
              <w:rPr>
                <w:rFonts w:ascii="Calibri" w:eastAsia="Times New Roman" w:hAnsi="Calibri" w:cs="Arial"/>
                <w:sz w:val="20"/>
                <w:szCs w:val="20"/>
                <w:lang w:eastAsia="cs-CZ"/>
              </w:rPr>
              <w:t>Třída 4 - Přijaté transfery</w:t>
            </w:r>
          </w:p>
        </w:tc>
        <w:tc>
          <w:tcPr>
            <w:tcW w:w="1780" w:type="dxa"/>
            <w:tcBorders>
              <w:top w:val="nil"/>
              <w:left w:val="nil"/>
              <w:bottom w:val="single" w:sz="4" w:space="0" w:color="auto"/>
              <w:right w:val="single" w:sz="4" w:space="0" w:color="auto"/>
            </w:tcBorders>
            <w:shd w:val="clear" w:color="auto" w:fill="auto"/>
            <w:noWrap/>
            <w:vAlign w:val="bottom"/>
            <w:hideMark/>
          </w:tcPr>
          <w:p w14:paraId="71007DED" w14:textId="77777777" w:rsidR="00A275CF" w:rsidRPr="00A275CF" w:rsidRDefault="00A275CF" w:rsidP="00A275CF">
            <w:pPr>
              <w:spacing w:after="0" w:line="240" w:lineRule="auto"/>
              <w:jc w:val="right"/>
              <w:rPr>
                <w:rFonts w:ascii="Calibri" w:eastAsia="Times New Roman" w:hAnsi="Calibri" w:cs="Arial"/>
                <w:sz w:val="20"/>
                <w:szCs w:val="20"/>
                <w:lang w:eastAsia="cs-CZ"/>
              </w:rPr>
            </w:pPr>
            <w:r w:rsidRPr="00A275CF">
              <w:rPr>
                <w:rFonts w:ascii="Calibri" w:eastAsia="Times New Roman" w:hAnsi="Calibri" w:cs="Arial"/>
                <w:sz w:val="20"/>
                <w:szCs w:val="20"/>
                <w:lang w:eastAsia="cs-CZ"/>
              </w:rPr>
              <w:t>21 236 609 200</w:t>
            </w:r>
          </w:p>
        </w:tc>
        <w:tc>
          <w:tcPr>
            <w:tcW w:w="2050" w:type="dxa"/>
            <w:tcBorders>
              <w:top w:val="nil"/>
              <w:left w:val="nil"/>
              <w:bottom w:val="single" w:sz="4" w:space="0" w:color="auto"/>
              <w:right w:val="single" w:sz="4" w:space="0" w:color="auto"/>
            </w:tcBorders>
            <w:shd w:val="clear" w:color="auto" w:fill="auto"/>
            <w:noWrap/>
            <w:vAlign w:val="bottom"/>
            <w:hideMark/>
          </w:tcPr>
          <w:p w14:paraId="3AEBF1B9" w14:textId="77777777" w:rsidR="00A275CF" w:rsidRPr="00A275CF" w:rsidRDefault="00A275CF" w:rsidP="00A275CF">
            <w:pPr>
              <w:spacing w:after="0" w:line="240" w:lineRule="auto"/>
              <w:jc w:val="right"/>
              <w:rPr>
                <w:rFonts w:ascii="Calibri" w:eastAsia="Times New Roman" w:hAnsi="Calibri" w:cs="Arial"/>
                <w:sz w:val="20"/>
                <w:szCs w:val="20"/>
                <w:lang w:eastAsia="cs-CZ"/>
              </w:rPr>
            </w:pPr>
            <w:r w:rsidRPr="00A275CF">
              <w:rPr>
                <w:rFonts w:ascii="Calibri" w:eastAsia="Times New Roman" w:hAnsi="Calibri" w:cs="Arial"/>
                <w:sz w:val="20"/>
                <w:szCs w:val="20"/>
                <w:lang w:eastAsia="cs-CZ"/>
              </w:rPr>
              <w:t>30 659 769 344,39</w:t>
            </w:r>
          </w:p>
        </w:tc>
        <w:tc>
          <w:tcPr>
            <w:tcW w:w="1984" w:type="dxa"/>
            <w:tcBorders>
              <w:top w:val="nil"/>
              <w:left w:val="nil"/>
              <w:bottom w:val="single" w:sz="4" w:space="0" w:color="auto"/>
              <w:right w:val="single" w:sz="4" w:space="0" w:color="auto"/>
            </w:tcBorders>
            <w:shd w:val="clear" w:color="auto" w:fill="auto"/>
            <w:noWrap/>
            <w:vAlign w:val="bottom"/>
            <w:hideMark/>
          </w:tcPr>
          <w:p w14:paraId="08A50D2B" w14:textId="77777777" w:rsidR="00A275CF" w:rsidRPr="00A275CF" w:rsidRDefault="00A275CF" w:rsidP="00A275CF">
            <w:pPr>
              <w:spacing w:after="0" w:line="240" w:lineRule="auto"/>
              <w:jc w:val="right"/>
              <w:rPr>
                <w:rFonts w:ascii="Calibri" w:eastAsia="Times New Roman" w:hAnsi="Calibri" w:cs="Arial"/>
                <w:sz w:val="20"/>
                <w:szCs w:val="20"/>
                <w:lang w:eastAsia="cs-CZ"/>
              </w:rPr>
            </w:pPr>
            <w:r w:rsidRPr="00A275CF">
              <w:rPr>
                <w:rFonts w:ascii="Calibri" w:eastAsia="Times New Roman" w:hAnsi="Calibri" w:cs="Arial"/>
                <w:sz w:val="20"/>
                <w:szCs w:val="20"/>
                <w:lang w:eastAsia="cs-CZ"/>
              </w:rPr>
              <w:t>29 195 822 979,87</w:t>
            </w:r>
          </w:p>
        </w:tc>
        <w:tc>
          <w:tcPr>
            <w:tcW w:w="546" w:type="dxa"/>
            <w:tcBorders>
              <w:top w:val="nil"/>
              <w:left w:val="nil"/>
              <w:bottom w:val="single" w:sz="4" w:space="0" w:color="auto"/>
              <w:right w:val="single" w:sz="8" w:space="0" w:color="auto"/>
            </w:tcBorders>
            <w:shd w:val="clear" w:color="auto" w:fill="auto"/>
            <w:noWrap/>
            <w:vAlign w:val="bottom"/>
            <w:hideMark/>
          </w:tcPr>
          <w:p w14:paraId="3EF6DE9F" w14:textId="77777777" w:rsidR="00A275CF" w:rsidRPr="00A275CF" w:rsidRDefault="00A275CF" w:rsidP="00A275CF">
            <w:pPr>
              <w:spacing w:after="0" w:line="240" w:lineRule="auto"/>
              <w:jc w:val="right"/>
              <w:rPr>
                <w:rFonts w:ascii="Calibri" w:eastAsia="Times New Roman" w:hAnsi="Calibri" w:cs="Arial"/>
                <w:sz w:val="20"/>
                <w:szCs w:val="20"/>
                <w:lang w:eastAsia="cs-CZ"/>
              </w:rPr>
            </w:pPr>
            <w:r w:rsidRPr="00A275CF">
              <w:rPr>
                <w:rFonts w:ascii="Calibri" w:eastAsia="Times New Roman" w:hAnsi="Calibri" w:cs="Arial"/>
                <w:sz w:val="20"/>
                <w:szCs w:val="20"/>
                <w:lang w:eastAsia="cs-CZ"/>
              </w:rPr>
              <w:t>95,2</w:t>
            </w:r>
          </w:p>
        </w:tc>
      </w:tr>
      <w:tr w:rsidR="00A275CF" w:rsidRPr="00A275CF" w14:paraId="4DA7D6EB" w14:textId="77777777" w:rsidTr="00E144A7">
        <w:trPr>
          <w:trHeight w:val="600"/>
        </w:trPr>
        <w:tc>
          <w:tcPr>
            <w:tcW w:w="3400" w:type="dxa"/>
            <w:tcBorders>
              <w:top w:val="nil"/>
              <w:left w:val="single" w:sz="8" w:space="0" w:color="auto"/>
              <w:bottom w:val="single" w:sz="4" w:space="0" w:color="auto"/>
              <w:right w:val="single" w:sz="4" w:space="0" w:color="auto"/>
            </w:tcBorders>
            <w:shd w:val="clear" w:color="auto" w:fill="auto"/>
            <w:noWrap/>
            <w:vAlign w:val="bottom"/>
            <w:hideMark/>
          </w:tcPr>
          <w:p w14:paraId="3D3548BD" w14:textId="77777777" w:rsidR="00A275CF" w:rsidRPr="00A275CF" w:rsidRDefault="00A275CF" w:rsidP="00A275CF">
            <w:pPr>
              <w:spacing w:after="0" w:line="240" w:lineRule="auto"/>
              <w:rPr>
                <w:rFonts w:ascii="Calibri" w:eastAsia="Times New Roman" w:hAnsi="Calibri" w:cs="Arial"/>
                <w:b/>
                <w:bCs/>
                <w:sz w:val="24"/>
                <w:szCs w:val="24"/>
                <w:lang w:eastAsia="cs-CZ"/>
              </w:rPr>
            </w:pPr>
            <w:r w:rsidRPr="00A275CF">
              <w:rPr>
                <w:rFonts w:ascii="Calibri" w:eastAsia="Times New Roman" w:hAnsi="Calibri" w:cs="Arial"/>
                <w:b/>
                <w:bCs/>
                <w:sz w:val="24"/>
                <w:szCs w:val="24"/>
                <w:lang w:eastAsia="cs-CZ"/>
              </w:rPr>
              <w:t>Příjmy celkem</w:t>
            </w:r>
          </w:p>
        </w:tc>
        <w:tc>
          <w:tcPr>
            <w:tcW w:w="1780" w:type="dxa"/>
            <w:tcBorders>
              <w:top w:val="nil"/>
              <w:left w:val="nil"/>
              <w:bottom w:val="single" w:sz="4" w:space="0" w:color="auto"/>
              <w:right w:val="single" w:sz="4" w:space="0" w:color="auto"/>
            </w:tcBorders>
            <w:shd w:val="clear" w:color="auto" w:fill="auto"/>
            <w:noWrap/>
            <w:vAlign w:val="bottom"/>
            <w:hideMark/>
          </w:tcPr>
          <w:p w14:paraId="40344B82" w14:textId="77777777" w:rsidR="00A275CF" w:rsidRPr="00A275CF" w:rsidRDefault="00A275CF" w:rsidP="00A275CF">
            <w:pPr>
              <w:spacing w:after="0" w:line="240" w:lineRule="auto"/>
              <w:jc w:val="right"/>
              <w:rPr>
                <w:rFonts w:ascii="Calibri" w:eastAsia="Times New Roman" w:hAnsi="Calibri" w:cs="Arial"/>
                <w:b/>
                <w:bCs/>
                <w:sz w:val="24"/>
                <w:szCs w:val="24"/>
                <w:lang w:eastAsia="cs-CZ"/>
              </w:rPr>
            </w:pPr>
            <w:r w:rsidRPr="00A275CF">
              <w:rPr>
                <w:rFonts w:ascii="Calibri" w:eastAsia="Times New Roman" w:hAnsi="Calibri" w:cs="Arial"/>
                <w:b/>
                <w:bCs/>
                <w:sz w:val="24"/>
                <w:szCs w:val="24"/>
                <w:lang w:eastAsia="cs-CZ"/>
              </w:rPr>
              <w:t>31 936 641 200</w:t>
            </w:r>
          </w:p>
        </w:tc>
        <w:tc>
          <w:tcPr>
            <w:tcW w:w="2050" w:type="dxa"/>
            <w:tcBorders>
              <w:top w:val="nil"/>
              <w:left w:val="nil"/>
              <w:bottom w:val="single" w:sz="4" w:space="0" w:color="auto"/>
              <w:right w:val="single" w:sz="4" w:space="0" w:color="auto"/>
            </w:tcBorders>
            <w:shd w:val="clear" w:color="auto" w:fill="auto"/>
            <w:noWrap/>
            <w:vAlign w:val="bottom"/>
            <w:hideMark/>
          </w:tcPr>
          <w:p w14:paraId="314193B1" w14:textId="77777777" w:rsidR="00A275CF" w:rsidRPr="00A275CF" w:rsidRDefault="00A275CF" w:rsidP="00A275CF">
            <w:pPr>
              <w:spacing w:after="0" w:line="240" w:lineRule="auto"/>
              <w:jc w:val="right"/>
              <w:rPr>
                <w:rFonts w:ascii="Calibri" w:eastAsia="Times New Roman" w:hAnsi="Calibri" w:cs="Arial"/>
                <w:b/>
                <w:bCs/>
                <w:sz w:val="24"/>
                <w:szCs w:val="24"/>
                <w:lang w:eastAsia="cs-CZ"/>
              </w:rPr>
            </w:pPr>
            <w:r w:rsidRPr="00A275CF">
              <w:rPr>
                <w:rFonts w:ascii="Calibri" w:eastAsia="Times New Roman" w:hAnsi="Calibri" w:cs="Arial"/>
                <w:b/>
                <w:bCs/>
                <w:sz w:val="24"/>
                <w:szCs w:val="24"/>
                <w:lang w:eastAsia="cs-CZ"/>
              </w:rPr>
              <w:t>42 428 166 227,66</w:t>
            </w:r>
          </w:p>
        </w:tc>
        <w:tc>
          <w:tcPr>
            <w:tcW w:w="1984" w:type="dxa"/>
            <w:tcBorders>
              <w:top w:val="nil"/>
              <w:left w:val="nil"/>
              <w:bottom w:val="single" w:sz="4" w:space="0" w:color="auto"/>
              <w:right w:val="single" w:sz="4" w:space="0" w:color="auto"/>
            </w:tcBorders>
            <w:shd w:val="clear" w:color="auto" w:fill="auto"/>
            <w:noWrap/>
            <w:vAlign w:val="bottom"/>
            <w:hideMark/>
          </w:tcPr>
          <w:p w14:paraId="3BCBC27F" w14:textId="77777777" w:rsidR="00A275CF" w:rsidRPr="00A275CF" w:rsidRDefault="00A275CF" w:rsidP="00A275CF">
            <w:pPr>
              <w:spacing w:after="0" w:line="240" w:lineRule="auto"/>
              <w:jc w:val="right"/>
              <w:rPr>
                <w:rFonts w:ascii="Calibri" w:eastAsia="Times New Roman" w:hAnsi="Calibri" w:cs="Arial"/>
                <w:b/>
                <w:bCs/>
                <w:sz w:val="24"/>
                <w:szCs w:val="24"/>
                <w:lang w:eastAsia="cs-CZ"/>
              </w:rPr>
            </w:pPr>
            <w:r w:rsidRPr="00A275CF">
              <w:rPr>
                <w:rFonts w:ascii="Calibri" w:eastAsia="Times New Roman" w:hAnsi="Calibri" w:cs="Arial"/>
                <w:b/>
                <w:bCs/>
                <w:sz w:val="24"/>
                <w:szCs w:val="24"/>
                <w:lang w:eastAsia="cs-CZ"/>
              </w:rPr>
              <w:t>42 024 310 818,09</w:t>
            </w:r>
          </w:p>
        </w:tc>
        <w:tc>
          <w:tcPr>
            <w:tcW w:w="546" w:type="dxa"/>
            <w:tcBorders>
              <w:top w:val="nil"/>
              <w:left w:val="nil"/>
              <w:bottom w:val="single" w:sz="4" w:space="0" w:color="auto"/>
              <w:right w:val="single" w:sz="8" w:space="0" w:color="auto"/>
            </w:tcBorders>
            <w:shd w:val="clear" w:color="auto" w:fill="auto"/>
            <w:noWrap/>
            <w:vAlign w:val="bottom"/>
            <w:hideMark/>
          </w:tcPr>
          <w:p w14:paraId="12F149C5" w14:textId="77777777" w:rsidR="00A275CF" w:rsidRPr="00A275CF" w:rsidRDefault="00A275CF" w:rsidP="00A275CF">
            <w:pPr>
              <w:spacing w:after="0" w:line="240" w:lineRule="auto"/>
              <w:jc w:val="right"/>
              <w:rPr>
                <w:rFonts w:ascii="Calibri" w:eastAsia="Times New Roman" w:hAnsi="Calibri" w:cs="Arial"/>
                <w:b/>
                <w:bCs/>
                <w:sz w:val="24"/>
                <w:szCs w:val="24"/>
                <w:lang w:eastAsia="cs-CZ"/>
              </w:rPr>
            </w:pPr>
            <w:r w:rsidRPr="00A275CF">
              <w:rPr>
                <w:rFonts w:ascii="Calibri" w:eastAsia="Times New Roman" w:hAnsi="Calibri" w:cs="Arial"/>
                <w:b/>
                <w:bCs/>
                <w:sz w:val="24"/>
                <w:szCs w:val="24"/>
                <w:lang w:eastAsia="cs-CZ"/>
              </w:rPr>
              <w:t>99,0</w:t>
            </w:r>
          </w:p>
        </w:tc>
      </w:tr>
      <w:tr w:rsidR="00A275CF" w:rsidRPr="00A275CF" w14:paraId="2A3DBAC0" w14:textId="77777777" w:rsidTr="00E144A7">
        <w:trPr>
          <w:trHeight w:val="360"/>
        </w:trPr>
        <w:tc>
          <w:tcPr>
            <w:tcW w:w="3400" w:type="dxa"/>
            <w:tcBorders>
              <w:top w:val="nil"/>
              <w:left w:val="single" w:sz="8" w:space="0" w:color="auto"/>
              <w:bottom w:val="single" w:sz="4" w:space="0" w:color="auto"/>
              <w:right w:val="single" w:sz="4" w:space="0" w:color="auto"/>
            </w:tcBorders>
            <w:shd w:val="clear" w:color="auto" w:fill="auto"/>
            <w:noWrap/>
            <w:vAlign w:val="bottom"/>
            <w:hideMark/>
          </w:tcPr>
          <w:p w14:paraId="3AECD2BB" w14:textId="77777777" w:rsidR="00A275CF" w:rsidRPr="00A275CF" w:rsidRDefault="00A275CF" w:rsidP="00A275CF">
            <w:pPr>
              <w:spacing w:after="0" w:line="240" w:lineRule="auto"/>
              <w:rPr>
                <w:rFonts w:ascii="Calibri" w:eastAsia="Times New Roman" w:hAnsi="Calibri" w:cs="Arial"/>
                <w:sz w:val="20"/>
                <w:szCs w:val="20"/>
                <w:lang w:eastAsia="cs-CZ"/>
              </w:rPr>
            </w:pPr>
            <w:r w:rsidRPr="00A275CF">
              <w:rPr>
                <w:rFonts w:ascii="Calibri" w:eastAsia="Times New Roman" w:hAnsi="Calibri" w:cs="Arial"/>
                <w:sz w:val="20"/>
                <w:szCs w:val="20"/>
                <w:lang w:eastAsia="cs-CZ"/>
              </w:rPr>
              <w:t>Třída 5 - Běžné výdaje</w:t>
            </w:r>
          </w:p>
        </w:tc>
        <w:tc>
          <w:tcPr>
            <w:tcW w:w="1780" w:type="dxa"/>
            <w:tcBorders>
              <w:top w:val="nil"/>
              <w:left w:val="nil"/>
              <w:bottom w:val="single" w:sz="4" w:space="0" w:color="auto"/>
              <w:right w:val="single" w:sz="4" w:space="0" w:color="auto"/>
            </w:tcBorders>
            <w:shd w:val="clear" w:color="auto" w:fill="auto"/>
            <w:noWrap/>
            <w:vAlign w:val="bottom"/>
            <w:hideMark/>
          </w:tcPr>
          <w:p w14:paraId="2A5D3636" w14:textId="77777777" w:rsidR="00A275CF" w:rsidRPr="00A275CF" w:rsidRDefault="00A275CF" w:rsidP="00A275CF">
            <w:pPr>
              <w:spacing w:after="0" w:line="240" w:lineRule="auto"/>
              <w:jc w:val="right"/>
              <w:rPr>
                <w:rFonts w:ascii="Calibri" w:eastAsia="Times New Roman" w:hAnsi="Calibri" w:cs="Arial"/>
                <w:sz w:val="20"/>
                <w:szCs w:val="20"/>
                <w:lang w:eastAsia="cs-CZ"/>
              </w:rPr>
            </w:pPr>
            <w:r w:rsidRPr="00A275CF">
              <w:rPr>
                <w:rFonts w:ascii="Calibri" w:eastAsia="Times New Roman" w:hAnsi="Calibri" w:cs="Arial"/>
                <w:sz w:val="20"/>
                <w:szCs w:val="20"/>
                <w:lang w:eastAsia="cs-CZ"/>
              </w:rPr>
              <w:t>29 514 408 200</w:t>
            </w:r>
          </w:p>
        </w:tc>
        <w:tc>
          <w:tcPr>
            <w:tcW w:w="2050" w:type="dxa"/>
            <w:tcBorders>
              <w:top w:val="nil"/>
              <w:left w:val="nil"/>
              <w:bottom w:val="single" w:sz="4" w:space="0" w:color="auto"/>
              <w:right w:val="single" w:sz="4" w:space="0" w:color="auto"/>
            </w:tcBorders>
            <w:shd w:val="clear" w:color="auto" w:fill="auto"/>
            <w:noWrap/>
            <w:vAlign w:val="bottom"/>
            <w:hideMark/>
          </w:tcPr>
          <w:p w14:paraId="54F58D22" w14:textId="77777777" w:rsidR="00A275CF" w:rsidRPr="00A275CF" w:rsidRDefault="00A275CF" w:rsidP="00A275CF">
            <w:pPr>
              <w:spacing w:after="0" w:line="240" w:lineRule="auto"/>
              <w:jc w:val="right"/>
              <w:rPr>
                <w:rFonts w:ascii="Calibri" w:eastAsia="Times New Roman" w:hAnsi="Calibri" w:cs="Arial"/>
                <w:sz w:val="20"/>
                <w:szCs w:val="20"/>
                <w:lang w:eastAsia="cs-CZ"/>
              </w:rPr>
            </w:pPr>
            <w:r w:rsidRPr="00A275CF">
              <w:rPr>
                <w:rFonts w:ascii="Calibri" w:eastAsia="Times New Roman" w:hAnsi="Calibri" w:cs="Arial"/>
                <w:sz w:val="20"/>
                <w:szCs w:val="20"/>
                <w:lang w:eastAsia="cs-CZ"/>
              </w:rPr>
              <w:t>37 643 998 188,73</w:t>
            </w:r>
          </w:p>
        </w:tc>
        <w:tc>
          <w:tcPr>
            <w:tcW w:w="1984" w:type="dxa"/>
            <w:tcBorders>
              <w:top w:val="nil"/>
              <w:left w:val="nil"/>
              <w:bottom w:val="single" w:sz="4" w:space="0" w:color="auto"/>
              <w:right w:val="single" w:sz="4" w:space="0" w:color="auto"/>
            </w:tcBorders>
            <w:shd w:val="clear" w:color="auto" w:fill="auto"/>
            <w:noWrap/>
            <w:vAlign w:val="bottom"/>
            <w:hideMark/>
          </w:tcPr>
          <w:p w14:paraId="6B34312F" w14:textId="77777777" w:rsidR="00A275CF" w:rsidRPr="00A275CF" w:rsidRDefault="00A275CF" w:rsidP="00A275CF">
            <w:pPr>
              <w:spacing w:after="0" w:line="240" w:lineRule="auto"/>
              <w:jc w:val="right"/>
              <w:rPr>
                <w:rFonts w:ascii="Calibri" w:eastAsia="Times New Roman" w:hAnsi="Calibri" w:cs="Arial"/>
                <w:sz w:val="20"/>
                <w:szCs w:val="20"/>
                <w:lang w:eastAsia="cs-CZ"/>
              </w:rPr>
            </w:pPr>
            <w:r w:rsidRPr="00A275CF">
              <w:rPr>
                <w:rFonts w:ascii="Calibri" w:eastAsia="Times New Roman" w:hAnsi="Calibri" w:cs="Arial"/>
                <w:sz w:val="20"/>
                <w:szCs w:val="20"/>
                <w:lang w:eastAsia="cs-CZ"/>
              </w:rPr>
              <w:t>36 047 900 631,78</w:t>
            </w:r>
          </w:p>
        </w:tc>
        <w:tc>
          <w:tcPr>
            <w:tcW w:w="546" w:type="dxa"/>
            <w:tcBorders>
              <w:top w:val="nil"/>
              <w:left w:val="nil"/>
              <w:bottom w:val="single" w:sz="4" w:space="0" w:color="auto"/>
              <w:right w:val="single" w:sz="8" w:space="0" w:color="auto"/>
            </w:tcBorders>
            <w:shd w:val="clear" w:color="auto" w:fill="auto"/>
            <w:noWrap/>
            <w:vAlign w:val="bottom"/>
            <w:hideMark/>
          </w:tcPr>
          <w:p w14:paraId="4C4FBE20" w14:textId="77777777" w:rsidR="00A275CF" w:rsidRPr="00A275CF" w:rsidRDefault="00A275CF" w:rsidP="00A275CF">
            <w:pPr>
              <w:spacing w:after="0" w:line="240" w:lineRule="auto"/>
              <w:jc w:val="right"/>
              <w:rPr>
                <w:rFonts w:ascii="Calibri" w:eastAsia="Times New Roman" w:hAnsi="Calibri" w:cs="Arial"/>
                <w:sz w:val="20"/>
                <w:szCs w:val="20"/>
                <w:lang w:eastAsia="cs-CZ"/>
              </w:rPr>
            </w:pPr>
            <w:r w:rsidRPr="00A275CF">
              <w:rPr>
                <w:rFonts w:ascii="Calibri" w:eastAsia="Times New Roman" w:hAnsi="Calibri" w:cs="Arial"/>
                <w:sz w:val="20"/>
                <w:szCs w:val="20"/>
                <w:lang w:eastAsia="cs-CZ"/>
              </w:rPr>
              <w:t>95,8</w:t>
            </w:r>
          </w:p>
        </w:tc>
      </w:tr>
      <w:tr w:rsidR="00A275CF" w:rsidRPr="00A275CF" w14:paraId="64859660" w14:textId="77777777" w:rsidTr="00E144A7">
        <w:trPr>
          <w:trHeight w:val="360"/>
        </w:trPr>
        <w:tc>
          <w:tcPr>
            <w:tcW w:w="3400" w:type="dxa"/>
            <w:tcBorders>
              <w:top w:val="nil"/>
              <w:left w:val="single" w:sz="8" w:space="0" w:color="auto"/>
              <w:bottom w:val="single" w:sz="4" w:space="0" w:color="auto"/>
              <w:right w:val="single" w:sz="4" w:space="0" w:color="auto"/>
            </w:tcBorders>
            <w:shd w:val="clear" w:color="auto" w:fill="auto"/>
            <w:noWrap/>
            <w:vAlign w:val="bottom"/>
            <w:hideMark/>
          </w:tcPr>
          <w:p w14:paraId="1D322B86" w14:textId="77777777" w:rsidR="00A275CF" w:rsidRPr="00A275CF" w:rsidRDefault="00A275CF" w:rsidP="00A275CF">
            <w:pPr>
              <w:spacing w:after="0" w:line="240" w:lineRule="auto"/>
              <w:rPr>
                <w:rFonts w:ascii="Calibri" w:eastAsia="Times New Roman" w:hAnsi="Calibri" w:cs="Arial"/>
                <w:sz w:val="20"/>
                <w:szCs w:val="20"/>
                <w:lang w:eastAsia="cs-CZ"/>
              </w:rPr>
            </w:pPr>
            <w:r w:rsidRPr="00A275CF">
              <w:rPr>
                <w:rFonts w:ascii="Calibri" w:eastAsia="Times New Roman" w:hAnsi="Calibri" w:cs="Arial"/>
                <w:sz w:val="20"/>
                <w:szCs w:val="20"/>
                <w:lang w:eastAsia="cs-CZ"/>
              </w:rPr>
              <w:t>Třída 6 - Kapitálové výdaje</w:t>
            </w:r>
          </w:p>
        </w:tc>
        <w:tc>
          <w:tcPr>
            <w:tcW w:w="1780" w:type="dxa"/>
            <w:tcBorders>
              <w:top w:val="nil"/>
              <w:left w:val="nil"/>
              <w:bottom w:val="single" w:sz="4" w:space="0" w:color="auto"/>
              <w:right w:val="single" w:sz="4" w:space="0" w:color="auto"/>
            </w:tcBorders>
            <w:shd w:val="clear" w:color="auto" w:fill="auto"/>
            <w:noWrap/>
            <w:vAlign w:val="bottom"/>
            <w:hideMark/>
          </w:tcPr>
          <w:p w14:paraId="28BC6A01" w14:textId="77777777" w:rsidR="00A275CF" w:rsidRPr="00A275CF" w:rsidRDefault="00A275CF" w:rsidP="00A275CF">
            <w:pPr>
              <w:spacing w:after="0" w:line="240" w:lineRule="auto"/>
              <w:jc w:val="right"/>
              <w:rPr>
                <w:rFonts w:ascii="Calibri" w:eastAsia="Times New Roman" w:hAnsi="Calibri" w:cs="Arial"/>
                <w:sz w:val="20"/>
                <w:szCs w:val="20"/>
                <w:lang w:eastAsia="cs-CZ"/>
              </w:rPr>
            </w:pPr>
            <w:r w:rsidRPr="00A275CF">
              <w:rPr>
                <w:rFonts w:ascii="Calibri" w:eastAsia="Times New Roman" w:hAnsi="Calibri" w:cs="Arial"/>
                <w:sz w:val="20"/>
                <w:szCs w:val="20"/>
                <w:lang w:eastAsia="cs-CZ"/>
              </w:rPr>
              <w:t>3 630 987 000</w:t>
            </w:r>
          </w:p>
        </w:tc>
        <w:tc>
          <w:tcPr>
            <w:tcW w:w="2050" w:type="dxa"/>
            <w:tcBorders>
              <w:top w:val="nil"/>
              <w:left w:val="nil"/>
              <w:bottom w:val="single" w:sz="4" w:space="0" w:color="auto"/>
              <w:right w:val="single" w:sz="4" w:space="0" w:color="auto"/>
            </w:tcBorders>
            <w:shd w:val="clear" w:color="auto" w:fill="auto"/>
            <w:noWrap/>
            <w:vAlign w:val="bottom"/>
            <w:hideMark/>
          </w:tcPr>
          <w:p w14:paraId="5F3B764A" w14:textId="77777777" w:rsidR="00A275CF" w:rsidRPr="00A275CF" w:rsidRDefault="00A275CF" w:rsidP="00A275CF">
            <w:pPr>
              <w:spacing w:after="0" w:line="240" w:lineRule="auto"/>
              <w:jc w:val="right"/>
              <w:rPr>
                <w:rFonts w:ascii="Calibri" w:eastAsia="Times New Roman" w:hAnsi="Calibri" w:cs="Arial"/>
                <w:sz w:val="20"/>
                <w:szCs w:val="20"/>
                <w:lang w:eastAsia="cs-CZ"/>
              </w:rPr>
            </w:pPr>
            <w:r w:rsidRPr="00A275CF">
              <w:rPr>
                <w:rFonts w:ascii="Calibri" w:eastAsia="Times New Roman" w:hAnsi="Calibri" w:cs="Arial"/>
                <w:sz w:val="20"/>
                <w:szCs w:val="20"/>
                <w:lang w:eastAsia="cs-CZ"/>
              </w:rPr>
              <w:t>9 063 977 530,46</w:t>
            </w:r>
          </w:p>
        </w:tc>
        <w:tc>
          <w:tcPr>
            <w:tcW w:w="1984" w:type="dxa"/>
            <w:tcBorders>
              <w:top w:val="nil"/>
              <w:left w:val="nil"/>
              <w:bottom w:val="single" w:sz="4" w:space="0" w:color="auto"/>
              <w:right w:val="single" w:sz="4" w:space="0" w:color="auto"/>
            </w:tcBorders>
            <w:shd w:val="clear" w:color="auto" w:fill="auto"/>
            <w:noWrap/>
            <w:vAlign w:val="bottom"/>
            <w:hideMark/>
          </w:tcPr>
          <w:p w14:paraId="0735CB21" w14:textId="77777777" w:rsidR="00A275CF" w:rsidRPr="00A275CF" w:rsidRDefault="00A275CF" w:rsidP="00A275CF">
            <w:pPr>
              <w:spacing w:after="0" w:line="240" w:lineRule="auto"/>
              <w:jc w:val="right"/>
              <w:rPr>
                <w:rFonts w:ascii="Calibri" w:eastAsia="Times New Roman" w:hAnsi="Calibri" w:cs="Arial"/>
                <w:sz w:val="20"/>
                <w:szCs w:val="20"/>
                <w:lang w:eastAsia="cs-CZ"/>
              </w:rPr>
            </w:pPr>
            <w:r w:rsidRPr="00A275CF">
              <w:rPr>
                <w:rFonts w:ascii="Calibri" w:eastAsia="Times New Roman" w:hAnsi="Calibri" w:cs="Arial"/>
                <w:sz w:val="20"/>
                <w:szCs w:val="20"/>
                <w:lang w:eastAsia="cs-CZ"/>
              </w:rPr>
              <w:t>5 522 800 500,25</w:t>
            </w:r>
          </w:p>
        </w:tc>
        <w:tc>
          <w:tcPr>
            <w:tcW w:w="546" w:type="dxa"/>
            <w:tcBorders>
              <w:top w:val="nil"/>
              <w:left w:val="nil"/>
              <w:bottom w:val="single" w:sz="4" w:space="0" w:color="auto"/>
              <w:right w:val="single" w:sz="8" w:space="0" w:color="auto"/>
            </w:tcBorders>
            <w:shd w:val="clear" w:color="auto" w:fill="auto"/>
            <w:noWrap/>
            <w:vAlign w:val="bottom"/>
            <w:hideMark/>
          </w:tcPr>
          <w:p w14:paraId="35BE6716" w14:textId="77777777" w:rsidR="00A275CF" w:rsidRPr="00A275CF" w:rsidRDefault="00A275CF" w:rsidP="00A275CF">
            <w:pPr>
              <w:spacing w:after="0" w:line="240" w:lineRule="auto"/>
              <w:jc w:val="right"/>
              <w:rPr>
                <w:rFonts w:ascii="Calibri" w:eastAsia="Times New Roman" w:hAnsi="Calibri" w:cs="Arial"/>
                <w:sz w:val="20"/>
                <w:szCs w:val="20"/>
                <w:lang w:eastAsia="cs-CZ"/>
              </w:rPr>
            </w:pPr>
            <w:r w:rsidRPr="00A275CF">
              <w:rPr>
                <w:rFonts w:ascii="Calibri" w:eastAsia="Times New Roman" w:hAnsi="Calibri" w:cs="Arial"/>
                <w:sz w:val="20"/>
                <w:szCs w:val="20"/>
                <w:lang w:eastAsia="cs-CZ"/>
              </w:rPr>
              <w:t>60,9</w:t>
            </w:r>
          </w:p>
        </w:tc>
      </w:tr>
      <w:tr w:rsidR="00A275CF" w:rsidRPr="00A275CF" w14:paraId="02C96272" w14:textId="77777777" w:rsidTr="00E144A7">
        <w:trPr>
          <w:trHeight w:val="600"/>
        </w:trPr>
        <w:tc>
          <w:tcPr>
            <w:tcW w:w="3400" w:type="dxa"/>
            <w:tcBorders>
              <w:top w:val="nil"/>
              <w:left w:val="single" w:sz="8" w:space="0" w:color="auto"/>
              <w:bottom w:val="single" w:sz="4" w:space="0" w:color="auto"/>
              <w:right w:val="single" w:sz="4" w:space="0" w:color="auto"/>
            </w:tcBorders>
            <w:shd w:val="clear" w:color="auto" w:fill="auto"/>
            <w:vAlign w:val="bottom"/>
            <w:hideMark/>
          </w:tcPr>
          <w:p w14:paraId="73E6C37A" w14:textId="77777777" w:rsidR="00A275CF" w:rsidRPr="00A275CF" w:rsidRDefault="00A275CF" w:rsidP="00A275CF">
            <w:pPr>
              <w:spacing w:after="0" w:line="240" w:lineRule="auto"/>
              <w:rPr>
                <w:rFonts w:ascii="Calibri" w:eastAsia="Times New Roman" w:hAnsi="Calibri" w:cs="Arial"/>
                <w:b/>
                <w:bCs/>
                <w:sz w:val="24"/>
                <w:szCs w:val="24"/>
                <w:lang w:eastAsia="cs-CZ"/>
              </w:rPr>
            </w:pPr>
            <w:r w:rsidRPr="00A275CF">
              <w:rPr>
                <w:rFonts w:ascii="Calibri" w:eastAsia="Times New Roman" w:hAnsi="Calibri" w:cs="Arial"/>
                <w:b/>
                <w:bCs/>
                <w:sz w:val="24"/>
                <w:szCs w:val="24"/>
                <w:lang w:eastAsia="cs-CZ"/>
              </w:rPr>
              <w:t xml:space="preserve">Výdaje celkem </w:t>
            </w:r>
          </w:p>
        </w:tc>
        <w:tc>
          <w:tcPr>
            <w:tcW w:w="1780" w:type="dxa"/>
            <w:tcBorders>
              <w:top w:val="nil"/>
              <w:left w:val="nil"/>
              <w:bottom w:val="single" w:sz="4" w:space="0" w:color="auto"/>
              <w:right w:val="single" w:sz="4" w:space="0" w:color="auto"/>
            </w:tcBorders>
            <w:shd w:val="clear" w:color="auto" w:fill="auto"/>
            <w:noWrap/>
            <w:vAlign w:val="bottom"/>
            <w:hideMark/>
          </w:tcPr>
          <w:p w14:paraId="76E62105" w14:textId="77777777" w:rsidR="00A275CF" w:rsidRPr="00A275CF" w:rsidRDefault="00A275CF" w:rsidP="00A275CF">
            <w:pPr>
              <w:spacing w:after="0" w:line="240" w:lineRule="auto"/>
              <w:jc w:val="right"/>
              <w:rPr>
                <w:rFonts w:ascii="Calibri" w:eastAsia="Times New Roman" w:hAnsi="Calibri" w:cs="Arial"/>
                <w:b/>
                <w:bCs/>
                <w:sz w:val="24"/>
                <w:szCs w:val="24"/>
                <w:lang w:eastAsia="cs-CZ"/>
              </w:rPr>
            </w:pPr>
            <w:r w:rsidRPr="00A275CF">
              <w:rPr>
                <w:rFonts w:ascii="Calibri" w:eastAsia="Times New Roman" w:hAnsi="Calibri" w:cs="Arial"/>
                <w:b/>
                <w:bCs/>
                <w:sz w:val="24"/>
                <w:szCs w:val="24"/>
                <w:lang w:eastAsia="cs-CZ"/>
              </w:rPr>
              <w:t>33 145 395 200</w:t>
            </w:r>
          </w:p>
        </w:tc>
        <w:tc>
          <w:tcPr>
            <w:tcW w:w="2050" w:type="dxa"/>
            <w:tcBorders>
              <w:top w:val="nil"/>
              <w:left w:val="nil"/>
              <w:bottom w:val="single" w:sz="4" w:space="0" w:color="auto"/>
              <w:right w:val="single" w:sz="4" w:space="0" w:color="auto"/>
            </w:tcBorders>
            <w:shd w:val="clear" w:color="auto" w:fill="auto"/>
            <w:noWrap/>
            <w:vAlign w:val="bottom"/>
            <w:hideMark/>
          </w:tcPr>
          <w:p w14:paraId="758DA6D6" w14:textId="77777777" w:rsidR="00A275CF" w:rsidRPr="00A275CF" w:rsidRDefault="00A275CF" w:rsidP="00A275CF">
            <w:pPr>
              <w:spacing w:after="0" w:line="240" w:lineRule="auto"/>
              <w:jc w:val="right"/>
              <w:rPr>
                <w:rFonts w:ascii="Calibri" w:eastAsia="Times New Roman" w:hAnsi="Calibri" w:cs="Arial"/>
                <w:b/>
                <w:bCs/>
                <w:sz w:val="24"/>
                <w:szCs w:val="24"/>
                <w:lang w:eastAsia="cs-CZ"/>
              </w:rPr>
            </w:pPr>
            <w:r w:rsidRPr="00A275CF">
              <w:rPr>
                <w:rFonts w:ascii="Calibri" w:eastAsia="Times New Roman" w:hAnsi="Calibri" w:cs="Arial"/>
                <w:b/>
                <w:bCs/>
                <w:sz w:val="24"/>
                <w:szCs w:val="24"/>
                <w:lang w:eastAsia="cs-CZ"/>
              </w:rPr>
              <w:t>46 707 975 719,19</w:t>
            </w:r>
          </w:p>
        </w:tc>
        <w:tc>
          <w:tcPr>
            <w:tcW w:w="1984" w:type="dxa"/>
            <w:tcBorders>
              <w:top w:val="nil"/>
              <w:left w:val="nil"/>
              <w:bottom w:val="single" w:sz="4" w:space="0" w:color="auto"/>
              <w:right w:val="single" w:sz="4" w:space="0" w:color="auto"/>
            </w:tcBorders>
            <w:shd w:val="clear" w:color="auto" w:fill="auto"/>
            <w:noWrap/>
            <w:vAlign w:val="bottom"/>
            <w:hideMark/>
          </w:tcPr>
          <w:p w14:paraId="564660D8" w14:textId="77777777" w:rsidR="00A275CF" w:rsidRPr="00A275CF" w:rsidRDefault="00A275CF" w:rsidP="00A275CF">
            <w:pPr>
              <w:spacing w:after="0" w:line="240" w:lineRule="auto"/>
              <w:jc w:val="right"/>
              <w:rPr>
                <w:rFonts w:ascii="Calibri" w:eastAsia="Times New Roman" w:hAnsi="Calibri" w:cs="Arial"/>
                <w:b/>
                <w:bCs/>
                <w:sz w:val="24"/>
                <w:szCs w:val="24"/>
                <w:lang w:eastAsia="cs-CZ"/>
              </w:rPr>
            </w:pPr>
            <w:r w:rsidRPr="00A275CF">
              <w:rPr>
                <w:rFonts w:ascii="Calibri" w:eastAsia="Times New Roman" w:hAnsi="Calibri" w:cs="Arial"/>
                <w:b/>
                <w:bCs/>
                <w:sz w:val="24"/>
                <w:szCs w:val="24"/>
                <w:lang w:eastAsia="cs-CZ"/>
              </w:rPr>
              <w:t>41 570 701 132,03</w:t>
            </w:r>
          </w:p>
        </w:tc>
        <w:tc>
          <w:tcPr>
            <w:tcW w:w="546" w:type="dxa"/>
            <w:tcBorders>
              <w:top w:val="nil"/>
              <w:left w:val="nil"/>
              <w:bottom w:val="single" w:sz="4" w:space="0" w:color="auto"/>
              <w:right w:val="single" w:sz="8" w:space="0" w:color="auto"/>
            </w:tcBorders>
            <w:shd w:val="clear" w:color="auto" w:fill="auto"/>
            <w:noWrap/>
            <w:vAlign w:val="bottom"/>
            <w:hideMark/>
          </w:tcPr>
          <w:p w14:paraId="64FE171B" w14:textId="77777777" w:rsidR="00A275CF" w:rsidRPr="00A275CF" w:rsidRDefault="00A275CF" w:rsidP="00A275CF">
            <w:pPr>
              <w:spacing w:after="0" w:line="240" w:lineRule="auto"/>
              <w:jc w:val="right"/>
              <w:rPr>
                <w:rFonts w:ascii="Calibri" w:eastAsia="Times New Roman" w:hAnsi="Calibri" w:cs="Arial"/>
                <w:b/>
                <w:bCs/>
                <w:sz w:val="24"/>
                <w:szCs w:val="24"/>
                <w:lang w:eastAsia="cs-CZ"/>
              </w:rPr>
            </w:pPr>
            <w:r w:rsidRPr="00A275CF">
              <w:rPr>
                <w:rFonts w:ascii="Calibri" w:eastAsia="Times New Roman" w:hAnsi="Calibri" w:cs="Arial"/>
                <w:b/>
                <w:bCs/>
                <w:sz w:val="24"/>
                <w:szCs w:val="24"/>
                <w:lang w:eastAsia="cs-CZ"/>
              </w:rPr>
              <w:t>89,0</w:t>
            </w:r>
          </w:p>
        </w:tc>
      </w:tr>
      <w:tr w:rsidR="00A275CF" w:rsidRPr="00A275CF" w14:paraId="2172D35F" w14:textId="77777777" w:rsidTr="00E144A7">
        <w:trPr>
          <w:trHeight w:val="600"/>
        </w:trPr>
        <w:tc>
          <w:tcPr>
            <w:tcW w:w="3400" w:type="dxa"/>
            <w:tcBorders>
              <w:top w:val="nil"/>
              <w:left w:val="single" w:sz="8" w:space="0" w:color="auto"/>
              <w:bottom w:val="single" w:sz="4" w:space="0" w:color="auto"/>
              <w:right w:val="single" w:sz="4" w:space="0" w:color="auto"/>
            </w:tcBorders>
            <w:shd w:val="clear" w:color="auto" w:fill="auto"/>
            <w:vAlign w:val="bottom"/>
            <w:hideMark/>
          </w:tcPr>
          <w:p w14:paraId="02D257A8" w14:textId="77777777" w:rsidR="00A275CF" w:rsidRPr="00A275CF" w:rsidRDefault="00A275CF" w:rsidP="00A275CF">
            <w:pPr>
              <w:spacing w:after="0" w:line="240" w:lineRule="auto"/>
              <w:rPr>
                <w:rFonts w:ascii="Calibri" w:eastAsia="Times New Roman" w:hAnsi="Calibri" w:cs="Arial"/>
                <w:b/>
                <w:bCs/>
                <w:sz w:val="24"/>
                <w:szCs w:val="24"/>
                <w:lang w:eastAsia="cs-CZ"/>
              </w:rPr>
            </w:pPr>
            <w:r w:rsidRPr="00A275CF">
              <w:rPr>
                <w:rFonts w:ascii="Calibri" w:eastAsia="Times New Roman" w:hAnsi="Calibri" w:cs="Arial"/>
                <w:b/>
                <w:bCs/>
                <w:sz w:val="24"/>
                <w:szCs w:val="24"/>
                <w:lang w:eastAsia="cs-CZ"/>
              </w:rPr>
              <w:t>Saldo (příjmy - výdaje) = financování</w:t>
            </w:r>
          </w:p>
        </w:tc>
        <w:tc>
          <w:tcPr>
            <w:tcW w:w="1780" w:type="dxa"/>
            <w:tcBorders>
              <w:top w:val="nil"/>
              <w:left w:val="nil"/>
              <w:bottom w:val="single" w:sz="4" w:space="0" w:color="auto"/>
              <w:right w:val="single" w:sz="4" w:space="0" w:color="auto"/>
            </w:tcBorders>
            <w:shd w:val="clear" w:color="auto" w:fill="auto"/>
            <w:noWrap/>
            <w:vAlign w:val="bottom"/>
            <w:hideMark/>
          </w:tcPr>
          <w:p w14:paraId="5A7969E6" w14:textId="77777777" w:rsidR="00A275CF" w:rsidRPr="00A275CF" w:rsidRDefault="00A275CF" w:rsidP="00A275CF">
            <w:pPr>
              <w:spacing w:after="0" w:line="240" w:lineRule="auto"/>
              <w:jc w:val="right"/>
              <w:rPr>
                <w:rFonts w:ascii="Calibri" w:eastAsia="Times New Roman" w:hAnsi="Calibri" w:cs="Arial"/>
                <w:b/>
                <w:bCs/>
                <w:sz w:val="24"/>
                <w:szCs w:val="24"/>
                <w:lang w:eastAsia="cs-CZ"/>
              </w:rPr>
            </w:pPr>
            <w:r w:rsidRPr="00A275CF">
              <w:rPr>
                <w:rFonts w:ascii="Calibri" w:eastAsia="Times New Roman" w:hAnsi="Calibri" w:cs="Arial"/>
                <w:b/>
                <w:bCs/>
                <w:sz w:val="24"/>
                <w:szCs w:val="24"/>
                <w:lang w:eastAsia="cs-CZ"/>
              </w:rPr>
              <w:t>-1 208 754 000</w:t>
            </w:r>
          </w:p>
        </w:tc>
        <w:tc>
          <w:tcPr>
            <w:tcW w:w="2050" w:type="dxa"/>
            <w:tcBorders>
              <w:top w:val="nil"/>
              <w:left w:val="nil"/>
              <w:bottom w:val="single" w:sz="4" w:space="0" w:color="auto"/>
              <w:right w:val="single" w:sz="4" w:space="0" w:color="auto"/>
            </w:tcBorders>
            <w:shd w:val="clear" w:color="auto" w:fill="auto"/>
            <w:noWrap/>
            <w:vAlign w:val="bottom"/>
            <w:hideMark/>
          </w:tcPr>
          <w:p w14:paraId="7EE09149" w14:textId="77777777" w:rsidR="00A275CF" w:rsidRPr="00A275CF" w:rsidRDefault="00A275CF" w:rsidP="00A275CF">
            <w:pPr>
              <w:spacing w:after="0" w:line="240" w:lineRule="auto"/>
              <w:jc w:val="right"/>
              <w:rPr>
                <w:rFonts w:ascii="Calibri" w:eastAsia="Times New Roman" w:hAnsi="Calibri" w:cs="Arial"/>
                <w:b/>
                <w:bCs/>
                <w:sz w:val="24"/>
                <w:szCs w:val="24"/>
                <w:lang w:eastAsia="cs-CZ"/>
              </w:rPr>
            </w:pPr>
            <w:r w:rsidRPr="00A275CF">
              <w:rPr>
                <w:rFonts w:ascii="Calibri" w:eastAsia="Times New Roman" w:hAnsi="Calibri" w:cs="Arial"/>
                <w:b/>
                <w:bCs/>
                <w:sz w:val="24"/>
                <w:szCs w:val="24"/>
                <w:lang w:eastAsia="cs-CZ"/>
              </w:rPr>
              <w:t>-4 279 809 491,53</w:t>
            </w:r>
          </w:p>
        </w:tc>
        <w:tc>
          <w:tcPr>
            <w:tcW w:w="1984" w:type="dxa"/>
            <w:tcBorders>
              <w:top w:val="nil"/>
              <w:left w:val="nil"/>
              <w:bottom w:val="single" w:sz="4" w:space="0" w:color="auto"/>
              <w:right w:val="single" w:sz="4" w:space="0" w:color="auto"/>
            </w:tcBorders>
            <w:shd w:val="clear" w:color="auto" w:fill="auto"/>
            <w:noWrap/>
            <w:vAlign w:val="bottom"/>
            <w:hideMark/>
          </w:tcPr>
          <w:p w14:paraId="083295EF" w14:textId="77777777" w:rsidR="00A275CF" w:rsidRPr="00A275CF" w:rsidRDefault="00A275CF" w:rsidP="00A275CF">
            <w:pPr>
              <w:spacing w:after="0" w:line="240" w:lineRule="auto"/>
              <w:jc w:val="right"/>
              <w:rPr>
                <w:rFonts w:ascii="Calibri" w:eastAsia="Times New Roman" w:hAnsi="Calibri" w:cs="Arial"/>
                <w:b/>
                <w:bCs/>
                <w:sz w:val="24"/>
                <w:szCs w:val="24"/>
                <w:lang w:eastAsia="cs-CZ"/>
              </w:rPr>
            </w:pPr>
            <w:r w:rsidRPr="00A275CF">
              <w:rPr>
                <w:rFonts w:ascii="Calibri" w:eastAsia="Times New Roman" w:hAnsi="Calibri" w:cs="Arial"/>
                <w:b/>
                <w:bCs/>
                <w:sz w:val="24"/>
                <w:szCs w:val="24"/>
                <w:lang w:eastAsia="cs-CZ"/>
              </w:rPr>
              <w:t>453 609 686,06</w:t>
            </w:r>
          </w:p>
        </w:tc>
        <w:tc>
          <w:tcPr>
            <w:tcW w:w="546" w:type="dxa"/>
            <w:tcBorders>
              <w:top w:val="nil"/>
              <w:left w:val="nil"/>
              <w:bottom w:val="single" w:sz="4" w:space="0" w:color="auto"/>
              <w:right w:val="single" w:sz="8" w:space="0" w:color="auto"/>
            </w:tcBorders>
            <w:shd w:val="clear" w:color="auto" w:fill="auto"/>
            <w:noWrap/>
            <w:vAlign w:val="bottom"/>
            <w:hideMark/>
          </w:tcPr>
          <w:p w14:paraId="17AEA168" w14:textId="77777777" w:rsidR="00A275CF" w:rsidRPr="00A275CF" w:rsidRDefault="00A275CF" w:rsidP="00A275CF">
            <w:pPr>
              <w:spacing w:after="0" w:line="240" w:lineRule="auto"/>
              <w:jc w:val="right"/>
              <w:rPr>
                <w:rFonts w:ascii="Calibri" w:eastAsia="Times New Roman" w:hAnsi="Calibri" w:cs="Arial"/>
                <w:b/>
                <w:bCs/>
                <w:sz w:val="24"/>
                <w:szCs w:val="24"/>
                <w:lang w:eastAsia="cs-CZ"/>
              </w:rPr>
            </w:pPr>
            <w:r w:rsidRPr="00A275CF">
              <w:rPr>
                <w:rFonts w:ascii="Calibri" w:eastAsia="Times New Roman" w:hAnsi="Calibri" w:cs="Arial"/>
                <w:b/>
                <w:bCs/>
                <w:sz w:val="24"/>
                <w:szCs w:val="24"/>
                <w:lang w:eastAsia="cs-CZ"/>
              </w:rPr>
              <w:t>x</w:t>
            </w:r>
          </w:p>
        </w:tc>
      </w:tr>
      <w:tr w:rsidR="00A275CF" w:rsidRPr="00A275CF" w14:paraId="5ADDC99C" w14:textId="77777777" w:rsidTr="00E144A7">
        <w:trPr>
          <w:trHeight w:val="360"/>
        </w:trPr>
        <w:tc>
          <w:tcPr>
            <w:tcW w:w="3400" w:type="dxa"/>
            <w:tcBorders>
              <w:top w:val="nil"/>
              <w:left w:val="single" w:sz="8" w:space="0" w:color="auto"/>
              <w:bottom w:val="single" w:sz="4" w:space="0" w:color="auto"/>
              <w:right w:val="single" w:sz="4" w:space="0" w:color="auto"/>
            </w:tcBorders>
            <w:shd w:val="clear" w:color="auto" w:fill="auto"/>
            <w:vAlign w:val="bottom"/>
            <w:hideMark/>
          </w:tcPr>
          <w:p w14:paraId="4D23AD04" w14:textId="77777777" w:rsidR="00A275CF" w:rsidRPr="00A275CF" w:rsidRDefault="00A275CF" w:rsidP="00A275CF">
            <w:pPr>
              <w:spacing w:after="0" w:line="240" w:lineRule="auto"/>
              <w:rPr>
                <w:rFonts w:ascii="Calibri" w:eastAsia="Times New Roman" w:hAnsi="Calibri" w:cs="Arial"/>
                <w:sz w:val="20"/>
                <w:szCs w:val="20"/>
                <w:lang w:eastAsia="cs-CZ"/>
              </w:rPr>
            </w:pPr>
            <w:r w:rsidRPr="00A275CF">
              <w:rPr>
                <w:rFonts w:ascii="Calibri" w:eastAsia="Times New Roman" w:hAnsi="Calibri" w:cs="Arial"/>
                <w:sz w:val="20"/>
                <w:szCs w:val="20"/>
                <w:lang w:eastAsia="cs-CZ"/>
              </w:rPr>
              <w:t>Změna stavu prostředků na bankovních účtech *)</w:t>
            </w:r>
          </w:p>
        </w:tc>
        <w:tc>
          <w:tcPr>
            <w:tcW w:w="1780" w:type="dxa"/>
            <w:tcBorders>
              <w:top w:val="nil"/>
              <w:left w:val="nil"/>
              <w:bottom w:val="single" w:sz="4" w:space="0" w:color="auto"/>
              <w:right w:val="single" w:sz="4" w:space="0" w:color="auto"/>
            </w:tcBorders>
            <w:shd w:val="clear" w:color="auto" w:fill="auto"/>
            <w:noWrap/>
            <w:vAlign w:val="bottom"/>
            <w:hideMark/>
          </w:tcPr>
          <w:p w14:paraId="6CB1538F" w14:textId="77777777" w:rsidR="00A275CF" w:rsidRPr="00A275CF" w:rsidRDefault="00A275CF" w:rsidP="00A275CF">
            <w:pPr>
              <w:spacing w:after="0" w:line="240" w:lineRule="auto"/>
              <w:jc w:val="right"/>
              <w:rPr>
                <w:rFonts w:ascii="Calibri" w:eastAsia="Times New Roman" w:hAnsi="Calibri" w:cs="Arial"/>
                <w:sz w:val="20"/>
                <w:szCs w:val="20"/>
                <w:lang w:eastAsia="cs-CZ"/>
              </w:rPr>
            </w:pPr>
            <w:r w:rsidRPr="00A275CF">
              <w:rPr>
                <w:rFonts w:ascii="Calibri" w:eastAsia="Times New Roman" w:hAnsi="Calibri" w:cs="Arial"/>
                <w:sz w:val="20"/>
                <w:szCs w:val="20"/>
                <w:lang w:eastAsia="cs-CZ"/>
              </w:rPr>
              <w:t>0</w:t>
            </w:r>
          </w:p>
        </w:tc>
        <w:tc>
          <w:tcPr>
            <w:tcW w:w="2050" w:type="dxa"/>
            <w:tcBorders>
              <w:top w:val="nil"/>
              <w:left w:val="nil"/>
              <w:bottom w:val="single" w:sz="4" w:space="0" w:color="auto"/>
              <w:right w:val="single" w:sz="4" w:space="0" w:color="auto"/>
            </w:tcBorders>
            <w:shd w:val="clear" w:color="auto" w:fill="auto"/>
            <w:noWrap/>
            <w:vAlign w:val="bottom"/>
            <w:hideMark/>
          </w:tcPr>
          <w:p w14:paraId="69DF7E5F" w14:textId="77777777" w:rsidR="00A275CF" w:rsidRPr="00A275CF" w:rsidRDefault="00A275CF" w:rsidP="00A275CF">
            <w:pPr>
              <w:spacing w:after="0" w:line="240" w:lineRule="auto"/>
              <w:jc w:val="right"/>
              <w:rPr>
                <w:rFonts w:ascii="Calibri" w:eastAsia="Times New Roman" w:hAnsi="Calibri" w:cs="Arial"/>
                <w:sz w:val="20"/>
                <w:szCs w:val="20"/>
                <w:lang w:eastAsia="cs-CZ"/>
              </w:rPr>
            </w:pPr>
            <w:r w:rsidRPr="00A275CF">
              <w:rPr>
                <w:rFonts w:ascii="Calibri" w:eastAsia="Times New Roman" w:hAnsi="Calibri" w:cs="Arial"/>
                <w:sz w:val="20"/>
                <w:szCs w:val="20"/>
                <w:lang w:eastAsia="cs-CZ"/>
              </w:rPr>
              <w:t>3 071 373 564,53</w:t>
            </w:r>
          </w:p>
        </w:tc>
        <w:tc>
          <w:tcPr>
            <w:tcW w:w="1984" w:type="dxa"/>
            <w:tcBorders>
              <w:top w:val="nil"/>
              <w:left w:val="nil"/>
              <w:bottom w:val="single" w:sz="4" w:space="0" w:color="auto"/>
              <w:right w:val="single" w:sz="4" w:space="0" w:color="auto"/>
            </w:tcBorders>
            <w:shd w:val="clear" w:color="auto" w:fill="auto"/>
            <w:noWrap/>
            <w:vAlign w:val="bottom"/>
            <w:hideMark/>
          </w:tcPr>
          <w:p w14:paraId="3DFFF23B" w14:textId="77777777" w:rsidR="00A275CF" w:rsidRPr="00A275CF" w:rsidRDefault="00A275CF" w:rsidP="00A275CF">
            <w:pPr>
              <w:spacing w:after="0" w:line="240" w:lineRule="auto"/>
              <w:jc w:val="right"/>
              <w:rPr>
                <w:rFonts w:ascii="Calibri" w:eastAsia="Times New Roman" w:hAnsi="Calibri" w:cs="Arial"/>
                <w:sz w:val="20"/>
                <w:szCs w:val="20"/>
                <w:lang w:eastAsia="cs-CZ"/>
              </w:rPr>
            </w:pPr>
            <w:r w:rsidRPr="00A275CF">
              <w:rPr>
                <w:rFonts w:ascii="Calibri" w:eastAsia="Times New Roman" w:hAnsi="Calibri" w:cs="Arial"/>
                <w:sz w:val="20"/>
                <w:szCs w:val="20"/>
                <w:lang w:eastAsia="cs-CZ"/>
              </w:rPr>
              <w:t>-1 373 248 258,02</w:t>
            </w:r>
          </w:p>
        </w:tc>
        <w:tc>
          <w:tcPr>
            <w:tcW w:w="546" w:type="dxa"/>
            <w:tcBorders>
              <w:top w:val="nil"/>
              <w:left w:val="nil"/>
              <w:bottom w:val="single" w:sz="4" w:space="0" w:color="auto"/>
              <w:right w:val="single" w:sz="8" w:space="0" w:color="auto"/>
            </w:tcBorders>
            <w:shd w:val="clear" w:color="auto" w:fill="auto"/>
            <w:noWrap/>
            <w:vAlign w:val="bottom"/>
            <w:hideMark/>
          </w:tcPr>
          <w:p w14:paraId="1EFC949B" w14:textId="77777777" w:rsidR="00A275CF" w:rsidRPr="00A275CF" w:rsidRDefault="00A275CF" w:rsidP="00A275CF">
            <w:pPr>
              <w:spacing w:after="0" w:line="240" w:lineRule="auto"/>
              <w:jc w:val="right"/>
              <w:rPr>
                <w:rFonts w:ascii="Calibri" w:eastAsia="Times New Roman" w:hAnsi="Calibri" w:cs="Arial"/>
                <w:sz w:val="20"/>
                <w:szCs w:val="20"/>
                <w:lang w:eastAsia="cs-CZ"/>
              </w:rPr>
            </w:pPr>
            <w:r w:rsidRPr="00A275CF">
              <w:rPr>
                <w:rFonts w:ascii="Calibri" w:eastAsia="Times New Roman" w:hAnsi="Calibri" w:cs="Arial"/>
                <w:sz w:val="20"/>
                <w:szCs w:val="20"/>
                <w:lang w:eastAsia="cs-CZ"/>
              </w:rPr>
              <w:t>x</w:t>
            </w:r>
          </w:p>
        </w:tc>
      </w:tr>
      <w:tr w:rsidR="00A275CF" w:rsidRPr="00A275CF" w14:paraId="192065FF" w14:textId="77777777" w:rsidTr="00E144A7">
        <w:trPr>
          <w:trHeight w:val="360"/>
        </w:trPr>
        <w:tc>
          <w:tcPr>
            <w:tcW w:w="3400" w:type="dxa"/>
            <w:tcBorders>
              <w:top w:val="nil"/>
              <w:left w:val="single" w:sz="8" w:space="0" w:color="auto"/>
              <w:bottom w:val="single" w:sz="4" w:space="0" w:color="auto"/>
              <w:right w:val="nil"/>
            </w:tcBorders>
            <w:shd w:val="clear" w:color="auto" w:fill="auto"/>
            <w:vAlign w:val="bottom"/>
            <w:hideMark/>
          </w:tcPr>
          <w:p w14:paraId="098C5492" w14:textId="77777777" w:rsidR="00A275CF" w:rsidRPr="00A275CF" w:rsidRDefault="00A275CF" w:rsidP="00A275CF">
            <w:pPr>
              <w:spacing w:after="0" w:line="240" w:lineRule="auto"/>
              <w:rPr>
                <w:rFonts w:ascii="Calibri" w:eastAsia="Times New Roman" w:hAnsi="Calibri" w:cs="Arial"/>
                <w:sz w:val="20"/>
                <w:szCs w:val="20"/>
                <w:lang w:eastAsia="cs-CZ"/>
              </w:rPr>
            </w:pPr>
            <w:r w:rsidRPr="00A275CF">
              <w:rPr>
                <w:rFonts w:ascii="Calibri" w:eastAsia="Times New Roman" w:hAnsi="Calibri" w:cs="Arial"/>
                <w:sz w:val="20"/>
                <w:szCs w:val="20"/>
                <w:lang w:eastAsia="cs-CZ"/>
              </w:rPr>
              <w:t>Čerpání bankovního úvěru ČS a.s. z roku 2019</w:t>
            </w:r>
          </w:p>
        </w:tc>
        <w:tc>
          <w:tcPr>
            <w:tcW w:w="1780" w:type="dxa"/>
            <w:tcBorders>
              <w:top w:val="nil"/>
              <w:left w:val="single" w:sz="4" w:space="0" w:color="auto"/>
              <w:bottom w:val="single" w:sz="4" w:space="0" w:color="auto"/>
              <w:right w:val="single" w:sz="4" w:space="0" w:color="auto"/>
            </w:tcBorders>
            <w:shd w:val="clear" w:color="auto" w:fill="auto"/>
            <w:noWrap/>
            <w:vAlign w:val="bottom"/>
            <w:hideMark/>
          </w:tcPr>
          <w:p w14:paraId="679511EB" w14:textId="77777777" w:rsidR="00A275CF" w:rsidRPr="00A275CF" w:rsidRDefault="00A275CF" w:rsidP="00A275CF">
            <w:pPr>
              <w:spacing w:after="0" w:line="240" w:lineRule="auto"/>
              <w:jc w:val="right"/>
              <w:rPr>
                <w:rFonts w:ascii="Calibri" w:eastAsia="Times New Roman" w:hAnsi="Calibri" w:cs="Arial"/>
                <w:sz w:val="20"/>
                <w:szCs w:val="20"/>
                <w:lang w:eastAsia="cs-CZ"/>
              </w:rPr>
            </w:pPr>
            <w:r w:rsidRPr="00A275CF">
              <w:rPr>
                <w:rFonts w:ascii="Calibri" w:eastAsia="Times New Roman" w:hAnsi="Calibri" w:cs="Arial"/>
                <w:sz w:val="20"/>
                <w:szCs w:val="20"/>
                <w:lang w:eastAsia="cs-CZ"/>
              </w:rPr>
              <w:t>688 241 000</w:t>
            </w:r>
          </w:p>
        </w:tc>
        <w:tc>
          <w:tcPr>
            <w:tcW w:w="2050" w:type="dxa"/>
            <w:tcBorders>
              <w:top w:val="nil"/>
              <w:left w:val="nil"/>
              <w:bottom w:val="single" w:sz="4" w:space="0" w:color="auto"/>
              <w:right w:val="single" w:sz="4" w:space="0" w:color="auto"/>
            </w:tcBorders>
            <w:shd w:val="clear" w:color="auto" w:fill="auto"/>
            <w:noWrap/>
            <w:vAlign w:val="bottom"/>
            <w:hideMark/>
          </w:tcPr>
          <w:p w14:paraId="5CDD5D01" w14:textId="77777777" w:rsidR="00A275CF" w:rsidRPr="00A275CF" w:rsidRDefault="00A275CF" w:rsidP="00A275CF">
            <w:pPr>
              <w:spacing w:after="0" w:line="240" w:lineRule="auto"/>
              <w:jc w:val="right"/>
              <w:rPr>
                <w:rFonts w:ascii="Calibri" w:eastAsia="Times New Roman" w:hAnsi="Calibri" w:cs="Arial"/>
                <w:sz w:val="20"/>
                <w:szCs w:val="20"/>
                <w:lang w:eastAsia="cs-CZ"/>
              </w:rPr>
            </w:pPr>
            <w:r w:rsidRPr="00A275CF">
              <w:rPr>
                <w:rFonts w:ascii="Calibri" w:eastAsia="Times New Roman" w:hAnsi="Calibri" w:cs="Arial"/>
                <w:sz w:val="20"/>
                <w:szCs w:val="20"/>
                <w:lang w:eastAsia="cs-CZ"/>
              </w:rPr>
              <w:t>688 241 000,00</w:t>
            </w:r>
          </w:p>
        </w:tc>
        <w:tc>
          <w:tcPr>
            <w:tcW w:w="1984" w:type="dxa"/>
            <w:tcBorders>
              <w:top w:val="nil"/>
              <w:left w:val="nil"/>
              <w:bottom w:val="single" w:sz="4" w:space="0" w:color="auto"/>
              <w:right w:val="single" w:sz="4" w:space="0" w:color="auto"/>
            </w:tcBorders>
            <w:shd w:val="clear" w:color="auto" w:fill="auto"/>
            <w:noWrap/>
            <w:vAlign w:val="bottom"/>
            <w:hideMark/>
          </w:tcPr>
          <w:p w14:paraId="3345DA23" w14:textId="77777777" w:rsidR="00A275CF" w:rsidRPr="00A275CF" w:rsidRDefault="00A275CF" w:rsidP="00A275CF">
            <w:pPr>
              <w:spacing w:after="0" w:line="240" w:lineRule="auto"/>
              <w:jc w:val="right"/>
              <w:rPr>
                <w:rFonts w:ascii="Calibri" w:eastAsia="Times New Roman" w:hAnsi="Calibri" w:cs="Arial"/>
                <w:sz w:val="20"/>
                <w:szCs w:val="20"/>
                <w:lang w:eastAsia="cs-CZ"/>
              </w:rPr>
            </w:pPr>
            <w:r w:rsidRPr="00A275CF">
              <w:rPr>
                <w:rFonts w:ascii="Calibri" w:eastAsia="Times New Roman" w:hAnsi="Calibri" w:cs="Arial"/>
                <w:sz w:val="20"/>
                <w:szCs w:val="20"/>
                <w:lang w:eastAsia="cs-CZ"/>
              </w:rPr>
              <w:t>688 241 000,00</w:t>
            </w:r>
          </w:p>
        </w:tc>
        <w:tc>
          <w:tcPr>
            <w:tcW w:w="546" w:type="dxa"/>
            <w:tcBorders>
              <w:top w:val="nil"/>
              <w:left w:val="nil"/>
              <w:bottom w:val="single" w:sz="4" w:space="0" w:color="auto"/>
              <w:right w:val="single" w:sz="8" w:space="0" w:color="auto"/>
            </w:tcBorders>
            <w:shd w:val="clear" w:color="auto" w:fill="auto"/>
            <w:noWrap/>
            <w:vAlign w:val="bottom"/>
            <w:hideMark/>
          </w:tcPr>
          <w:p w14:paraId="19CE4456" w14:textId="77777777" w:rsidR="00A275CF" w:rsidRPr="00A275CF" w:rsidRDefault="00A275CF" w:rsidP="00A275CF">
            <w:pPr>
              <w:spacing w:after="0" w:line="240" w:lineRule="auto"/>
              <w:jc w:val="right"/>
              <w:rPr>
                <w:rFonts w:ascii="Calibri" w:eastAsia="Times New Roman" w:hAnsi="Calibri" w:cs="Arial"/>
                <w:sz w:val="20"/>
                <w:szCs w:val="20"/>
                <w:lang w:eastAsia="cs-CZ"/>
              </w:rPr>
            </w:pPr>
            <w:r w:rsidRPr="00A275CF">
              <w:rPr>
                <w:rFonts w:ascii="Calibri" w:eastAsia="Times New Roman" w:hAnsi="Calibri" w:cs="Arial"/>
                <w:sz w:val="20"/>
                <w:szCs w:val="20"/>
                <w:lang w:eastAsia="cs-CZ"/>
              </w:rPr>
              <w:t>100,0</w:t>
            </w:r>
          </w:p>
        </w:tc>
      </w:tr>
      <w:tr w:rsidR="00A275CF" w:rsidRPr="00A275CF" w14:paraId="4FCBEC4F" w14:textId="77777777" w:rsidTr="00E144A7">
        <w:trPr>
          <w:trHeight w:val="360"/>
        </w:trPr>
        <w:tc>
          <w:tcPr>
            <w:tcW w:w="3400" w:type="dxa"/>
            <w:tcBorders>
              <w:top w:val="nil"/>
              <w:left w:val="single" w:sz="8" w:space="0" w:color="auto"/>
              <w:bottom w:val="single" w:sz="4" w:space="0" w:color="auto"/>
              <w:right w:val="nil"/>
            </w:tcBorders>
            <w:shd w:val="clear" w:color="auto" w:fill="auto"/>
            <w:vAlign w:val="bottom"/>
            <w:hideMark/>
          </w:tcPr>
          <w:p w14:paraId="0AF59772" w14:textId="298BEA98" w:rsidR="00A275CF" w:rsidRPr="00A275CF" w:rsidRDefault="00A275CF" w:rsidP="00A275CF">
            <w:pPr>
              <w:spacing w:after="0" w:line="240" w:lineRule="auto"/>
              <w:rPr>
                <w:rFonts w:ascii="Calibri" w:eastAsia="Times New Roman" w:hAnsi="Calibri" w:cs="Arial"/>
                <w:sz w:val="20"/>
                <w:szCs w:val="20"/>
                <w:lang w:eastAsia="cs-CZ"/>
              </w:rPr>
            </w:pPr>
            <w:r w:rsidRPr="00A275CF">
              <w:rPr>
                <w:rFonts w:ascii="Calibri" w:eastAsia="Times New Roman" w:hAnsi="Calibri" w:cs="Arial"/>
                <w:sz w:val="20"/>
                <w:szCs w:val="20"/>
                <w:lang w:eastAsia="cs-CZ"/>
              </w:rPr>
              <w:t>Čerpání bankovního úvěru EIB z roku 2020</w:t>
            </w:r>
            <w:r w:rsidR="003C64F8">
              <w:rPr>
                <w:rFonts w:ascii="Calibri" w:eastAsia="Times New Roman" w:hAnsi="Calibri" w:cs="Arial"/>
                <w:sz w:val="20"/>
                <w:szCs w:val="20"/>
                <w:lang w:eastAsia="cs-CZ"/>
              </w:rPr>
              <w:t xml:space="preserve"> a 2021</w:t>
            </w:r>
          </w:p>
        </w:tc>
        <w:tc>
          <w:tcPr>
            <w:tcW w:w="1780" w:type="dxa"/>
            <w:tcBorders>
              <w:top w:val="nil"/>
              <w:left w:val="single" w:sz="4" w:space="0" w:color="auto"/>
              <w:bottom w:val="single" w:sz="4" w:space="0" w:color="auto"/>
              <w:right w:val="single" w:sz="4" w:space="0" w:color="auto"/>
            </w:tcBorders>
            <w:shd w:val="clear" w:color="auto" w:fill="auto"/>
            <w:noWrap/>
            <w:vAlign w:val="bottom"/>
            <w:hideMark/>
          </w:tcPr>
          <w:p w14:paraId="0ABF9F8C" w14:textId="77777777" w:rsidR="00A275CF" w:rsidRPr="00A275CF" w:rsidRDefault="00A275CF" w:rsidP="00A275CF">
            <w:pPr>
              <w:spacing w:after="0" w:line="240" w:lineRule="auto"/>
              <w:jc w:val="right"/>
              <w:rPr>
                <w:rFonts w:ascii="Calibri" w:eastAsia="Times New Roman" w:hAnsi="Calibri" w:cs="Arial"/>
                <w:sz w:val="20"/>
                <w:szCs w:val="20"/>
                <w:lang w:eastAsia="cs-CZ"/>
              </w:rPr>
            </w:pPr>
            <w:r w:rsidRPr="00A275CF">
              <w:rPr>
                <w:rFonts w:ascii="Calibri" w:eastAsia="Times New Roman" w:hAnsi="Calibri" w:cs="Arial"/>
                <w:sz w:val="20"/>
                <w:szCs w:val="20"/>
                <w:lang w:eastAsia="cs-CZ"/>
              </w:rPr>
              <w:t>800 000 000</w:t>
            </w:r>
          </w:p>
        </w:tc>
        <w:tc>
          <w:tcPr>
            <w:tcW w:w="2050" w:type="dxa"/>
            <w:tcBorders>
              <w:top w:val="nil"/>
              <w:left w:val="nil"/>
              <w:bottom w:val="single" w:sz="4" w:space="0" w:color="auto"/>
              <w:right w:val="single" w:sz="4" w:space="0" w:color="auto"/>
            </w:tcBorders>
            <w:shd w:val="clear" w:color="auto" w:fill="auto"/>
            <w:noWrap/>
            <w:vAlign w:val="bottom"/>
            <w:hideMark/>
          </w:tcPr>
          <w:p w14:paraId="74587AFF" w14:textId="77777777" w:rsidR="00A275CF" w:rsidRPr="00A275CF" w:rsidRDefault="00A275CF" w:rsidP="00A275CF">
            <w:pPr>
              <w:spacing w:after="0" w:line="240" w:lineRule="auto"/>
              <w:jc w:val="right"/>
              <w:rPr>
                <w:rFonts w:ascii="Calibri" w:eastAsia="Times New Roman" w:hAnsi="Calibri" w:cs="Arial"/>
                <w:sz w:val="20"/>
                <w:szCs w:val="20"/>
                <w:lang w:eastAsia="cs-CZ"/>
              </w:rPr>
            </w:pPr>
            <w:r w:rsidRPr="00A275CF">
              <w:rPr>
                <w:rFonts w:ascii="Calibri" w:eastAsia="Times New Roman" w:hAnsi="Calibri" w:cs="Arial"/>
                <w:sz w:val="20"/>
                <w:szCs w:val="20"/>
                <w:lang w:eastAsia="cs-CZ"/>
              </w:rPr>
              <w:t>800 000 000,00</w:t>
            </w:r>
          </w:p>
        </w:tc>
        <w:tc>
          <w:tcPr>
            <w:tcW w:w="1984" w:type="dxa"/>
            <w:tcBorders>
              <w:top w:val="nil"/>
              <w:left w:val="nil"/>
              <w:bottom w:val="single" w:sz="4" w:space="0" w:color="auto"/>
              <w:right w:val="single" w:sz="4" w:space="0" w:color="auto"/>
            </w:tcBorders>
            <w:shd w:val="clear" w:color="auto" w:fill="auto"/>
            <w:noWrap/>
            <w:vAlign w:val="bottom"/>
            <w:hideMark/>
          </w:tcPr>
          <w:p w14:paraId="0173913C" w14:textId="77777777" w:rsidR="00A275CF" w:rsidRPr="00A275CF" w:rsidRDefault="00A275CF" w:rsidP="00A275CF">
            <w:pPr>
              <w:spacing w:after="0" w:line="240" w:lineRule="auto"/>
              <w:jc w:val="right"/>
              <w:rPr>
                <w:rFonts w:ascii="Calibri" w:eastAsia="Times New Roman" w:hAnsi="Calibri" w:cs="Arial"/>
                <w:sz w:val="20"/>
                <w:szCs w:val="20"/>
                <w:lang w:eastAsia="cs-CZ"/>
              </w:rPr>
            </w:pPr>
            <w:r w:rsidRPr="00A275CF">
              <w:rPr>
                <w:rFonts w:ascii="Calibri" w:eastAsia="Times New Roman" w:hAnsi="Calibri" w:cs="Arial"/>
                <w:sz w:val="20"/>
                <w:szCs w:val="20"/>
                <w:lang w:eastAsia="cs-CZ"/>
              </w:rPr>
              <w:t>515 000 000,00</w:t>
            </w:r>
          </w:p>
        </w:tc>
        <w:tc>
          <w:tcPr>
            <w:tcW w:w="546" w:type="dxa"/>
            <w:tcBorders>
              <w:top w:val="nil"/>
              <w:left w:val="nil"/>
              <w:bottom w:val="single" w:sz="4" w:space="0" w:color="auto"/>
              <w:right w:val="single" w:sz="8" w:space="0" w:color="auto"/>
            </w:tcBorders>
            <w:shd w:val="clear" w:color="auto" w:fill="auto"/>
            <w:noWrap/>
            <w:vAlign w:val="bottom"/>
            <w:hideMark/>
          </w:tcPr>
          <w:p w14:paraId="4997635E" w14:textId="77777777" w:rsidR="00A275CF" w:rsidRPr="00A275CF" w:rsidRDefault="00A275CF" w:rsidP="00A275CF">
            <w:pPr>
              <w:spacing w:after="0" w:line="240" w:lineRule="auto"/>
              <w:jc w:val="right"/>
              <w:rPr>
                <w:rFonts w:ascii="Calibri" w:eastAsia="Times New Roman" w:hAnsi="Calibri" w:cs="Arial"/>
                <w:sz w:val="20"/>
                <w:szCs w:val="20"/>
                <w:lang w:eastAsia="cs-CZ"/>
              </w:rPr>
            </w:pPr>
            <w:r w:rsidRPr="00A275CF">
              <w:rPr>
                <w:rFonts w:ascii="Calibri" w:eastAsia="Times New Roman" w:hAnsi="Calibri" w:cs="Arial"/>
                <w:sz w:val="20"/>
                <w:szCs w:val="20"/>
                <w:lang w:eastAsia="cs-CZ"/>
              </w:rPr>
              <w:t>64,4</w:t>
            </w:r>
          </w:p>
        </w:tc>
      </w:tr>
      <w:tr w:rsidR="00A275CF" w:rsidRPr="00A275CF" w14:paraId="27BA6E9B" w14:textId="77777777" w:rsidTr="00E144A7">
        <w:trPr>
          <w:trHeight w:val="583"/>
        </w:trPr>
        <w:tc>
          <w:tcPr>
            <w:tcW w:w="3400" w:type="dxa"/>
            <w:tcBorders>
              <w:top w:val="nil"/>
              <w:left w:val="single" w:sz="8" w:space="0" w:color="auto"/>
              <w:bottom w:val="single" w:sz="4" w:space="0" w:color="auto"/>
              <w:right w:val="nil"/>
            </w:tcBorders>
            <w:shd w:val="clear" w:color="auto" w:fill="auto"/>
            <w:vAlign w:val="bottom"/>
            <w:hideMark/>
          </w:tcPr>
          <w:p w14:paraId="5D356BDD" w14:textId="77777777" w:rsidR="00A275CF" w:rsidRPr="00A275CF" w:rsidRDefault="00A275CF" w:rsidP="00A275CF">
            <w:pPr>
              <w:spacing w:after="0" w:line="240" w:lineRule="auto"/>
              <w:rPr>
                <w:rFonts w:ascii="Calibri" w:eastAsia="Times New Roman" w:hAnsi="Calibri" w:cs="Arial"/>
                <w:sz w:val="20"/>
                <w:szCs w:val="20"/>
                <w:lang w:eastAsia="cs-CZ"/>
              </w:rPr>
            </w:pPr>
            <w:r w:rsidRPr="00A275CF">
              <w:rPr>
                <w:rFonts w:ascii="Calibri" w:eastAsia="Times New Roman" w:hAnsi="Calibri" w:cs="Arial"/>
                <w:sz w:val="20"/>
                <w:szCs w:val="20"/>
                <w:lang w:eastAsia="cs-CZ"/>
              </w:rPr>
              <w:t>Splátky přijatého úvěru kraje KB a.s. z roku 2007 (jistina)</w:t>
            </w:r>
          </w:p>
        </w:tc>
        <w:tc>
          <w:tcPr>
            <w:tcW w:w="1780" w:type="dxa"/>
            <w:tcBorders>
              <w:top w:val="nil"/>
              <w:left w:val="single" w:sz="4" w:space="0" w:color="auto"/>
              <w:bottom w:val="single" w:sz="4" w:space="0" w:color="auto"/>
              <w:right w:val="single" w:sz="4" w:space="0" w:color="auto"/>
            </w:tcBorders>
            <w:shd w:val="clear" w:color="auto" w:fill="auto"/>
            <w:noWrap/>
            <w:vAlign w:val="bottom"/>
            <w:hideMark/>
          </w:tcPr>
          <w:p w14:paraId="6577DCF7" w14:textId="77777777" w:rsidR="00A275CF" w:rsidRPr="00A275CF" w:rsidRDefault="00A275CF" w:rsidP="00A275CF">
            <w:pPr>
              <w:spacing w:after="0" w:line="240" w:lineRule="auto"/>
              <w:jc w:val="right"/>
              <w:rPr>
                <w:rFonts w:ascii="Calibri" w:eastAsia="Times New Roman" w:hAnsi="Calibri" w:cs="Arial"/>
                <w:sz w:val="20"/>
                <w:szCs w:val="20"/>
                <w:lang w:eastAsia="cs-CZ"/>
              </w:rPr>
            </w:pPr>
            <w:r w:rsidRPr="00A275CF">
              <w:rPr>
                <w:rFonts w:ascii="Calibri" w:eastAsia="Times New Roman" w:hAnsi="Calibri" w:cs="Arial"/>
                <w:sz w:val="20"/>
                <w:szCs w:val="20"/>
                <w:lang w:eastAsia="cs-CZ"/>
              </w:rPr>
              <w:t>-239 487 000</w:t>
            </w:r>
          </w:p>
        </w:tc>
        <w:tc>
          <w:tcPr>
            <w:tcW w:w="2050" w:type="dxa"/>
            <w:tcBorders>
              <w:top w:val="nil"/>
              <w:left w:val="nil"/>
              <w:bottom w:val="single" w:sz="4" w:space="0" w:color="auto"/>
              <w:right w:val="single" w:sz="4" w:space="0" w:color="auto"/>
            </w:tcBorders>
            <w:shd w:val="clear" w:color="auto" w:fill="auto"/>
            <w:noWrap/>
            <w:vAlign w:val="bottom"/>
            <w:hideMark/>
          </w:tcPr>
          <w:p w14:paraId="4264EE36" w14:textId="77777777" w:rsidR="00A275CF" w:rsidRPr="00A275CF" w:rsidRDefault="00A275CF" w:rsidP="00A275CF">
            <w:pPr>
              <w:spacing w:after="0" w:line="240" w:lineRule="auto"/>
              <w:jc w:val="right"/>
              <w:rPr>
                <w:rFonts w:ascii="Calibri" w:eastAsia="Times New Roman" w:hAnsi="Calibri" w:cs="Arial"/>
                <w:sz w:val="20"/>
                <w:szCs w:val="20"/>
                <w:lang w:eastAsia="cs-CZ"/>
              </w:rPr>
            </w:pPr>
            <w:r w:rsidRPr="00A275CF">
              <w:rPr>
                <w:rFonts w:ascii="Calibri" w:eastAsia="Times New Roman" w:hAnsi="Calibri" w:cs="Arial"/>
                <w:sz w:val="20"/>
                <w:szCs w:val="20"/>
                <w:lang w:eastAsia="cs-CZ"/>
              </w:rPr>
              <w:t>-239 487 000,00</w:t>
            </w:r>
          </w:p>
        </w:tc>
        <w:tc>
          <w:tcPr>
            <w:tcW w:w="1984" w:type="dxa"/>
            <w:tcBorders>
              <w:top w:val="nil"/>
              <w:left w:val="nil"/>
              <w:bottom w:val="single" w:sz="4" w:space="0" w:color="auto"/>
              <w:right w:val="single" w:sz="4" w:space="0" w:color="auto"/>
            </w:tcBorders>
            <w:shd w:val="clear" w:color="000000" w:fill="FFFFFF"/>
            <w:noWrap/>
            <w:vAlign w:val="bottom"/>
            <w:hideMark/>
          </w:tcPr>
          <w:p w14:paraId="35135879" w14:textId="77777777" w:rsidR="00A275CF" w:rsidRPr="00A275CF" w:rsidRDefault="00A275CF" w:rsidP="00A275CF">
            <w:pPr>
              <w:spacing w:after="0" w:line="240" w:lineRule="auto"/>
              <w:jc w:val="right"/>
              <w:rPr>
                <w:rFonts w:ascii="Calibri" w:eastAsia="Times New Roman" w:hAnsi="Calibri" w:cs="Arial"/>
                <w:sz w:val="20"/>
                <w:szCs w:val="20"/>
                <w:lang w:eastAsia="cs-CZ"/>
              </w:rPr>
            </w:pPr>
            <w:r w:rsidRPr="00A275CF">
              <w:rPr>
                <w:rFonts w:ascii="Calibri" w:eastAsia="Times New Roman" w:hAnsi="Calibri" w:cs="Arial"/>
                <w:sz w:val="20"/>
                <w:szCs w:val="20"/>
                <w:lang w:eastAsia="cs-CZ"/>
              </w:rPr>
              <w:t>-239 486 816,00</w:t>
            </w:r>
          </w:p>
        </w:tc>
        <w:tc>
          <w:tcPr>
            <w:tcW w:w="546" w:type="dxa"/>
            <w:tcBorders>
              <w:top w:val="nil"/>
              <w:left w:val="nil"/>
              <w:bottom w:val="single" w:sz="4" w:space="0" w:color="auto"/>
              <w:right w:val="single" w:sz="8" w:space="0" w:color="auto"/>
            </w:tcBorders>
            <w:shd w:val="clear" w:color="auto" w:fill="auto"/>
            <w:noWrap/>
            <w:vAlign w:val="bottom"/>
            <w:hideMark/>
          </w:tcPr>
          <w:p w14:paraId="4235DF0B" w14:textId="77777777" w:rsidR="00A275CF" w:rsidRPr="00A275CF" w:rsidRDefault="00A275CF" w:rsidP="00A275CF">
            <w:pPr>
              <w:spacing w:after="0" w:line="240" w:lineRule="auto"/>
              <w:jc w:val="right"/>
              <w:rPr>
                <w:rFonts w:ascii="Calibri" w:eastAsia="Times New Roman" w:hAnsi="Calibri" w:cs="Arial"/>
                <w:sz w:val="20"/>
                <w:szCs w:val="20"/>
                <w:lang w:eastAsia="cs-CZ"/>
              </w:rPr>
            </w:pPr>
            <w:r w:rsidRPr="00A275CF">
              <w:rPr>
                <w:rFonts w:ascii="Calibri" w:eastAsia="Times New Roman" w:hAnsi="Calibri" w:cs="Arial"/>
                <w:sz w:val="20"/>
                <w:szCs w:val="20"/>
                <w:lang w:eastAsia="cs-CZ"/>
              </w:rPr>
              <w:t>100,0</w:t>
            </w:r>
          </w:p>
        </w:tc>
      </w:tr>
      <w:tr w:rsidR="00A275CF" w:rsidRPr="00A275CF" w14:paraId="48A30571" w14:textId="77777777" w:rsidTr="00E144A7">
        <w:trPr>
          <w:trHeight w:val="583"/>
        </w:trPr>
        <w:tc>
          <w:tcPr>
            <w:tcW w:w="3400" w:type="dxa"/>
            <w:tcBorders>
              <w:top w:val="nil"/>
              <w:left w:val="single" w:sz="8" w:space="0" w:color="auto"/>
              <w:bottom w:val="single" w:sz="4" w:space="0" w:color="auto"/>
              <w:right w:val="nil"/>
            </w:tcBorders>
            <w:shd w:val="clear" w:color="auto" w:fill="auto"/>
            <w:vAlign w:val="bottom"/>
            <w:hideMark/>
          </w:tcPr>
          <w:p w14:paraId="36320055" w14:textId="77777777" w:rsidR="00A275CF" w:rsidRPr="00A275CF" w:rsidRDefault="00A275CF" w:rsidP="00A275CF">
            <w:pPr>
              <w:spacing w:after="0" w:line="240" w:lineRule="auto"/>
              <w:rPr>
                <w:rFonts w:ascii="Calibri" w:eastAsia="Times New Roman" w:hAnsi="Calibri" w:cs="Arial"/>
                <w:sz w:val="20"/>
                <w:szCs w:val="20"/>
                <w:lang w:eastAsia="cs-CZ"/>
              </w:rPr>
            </w:pPr>
            <w:r w:rsidRPr="00A275CF">
              <w:rPr>
                <w:rFonts w:ascii="Calibri" w:eastAsia="Times New Roman" w:hAnsi="Calibri" w:cs="Arial"/>
                <w:sz w:val="20"/>
                <w:szCs w:val="20"/>
                <w:lang w:eastAsia="cs-CZ"/>
              </w:rPr>
              <w:t>Splátky přijatého úvěru kraje KB a.s. z roku 2020 (jistina)</w:t>
            </w:r>
          </w:p>
        </w:tc>
        <w:tc>
          <w:tcPr>
            <w:tcW w:w="1780" w:type="dxa"/>
            <w:tcBorders>
              <w:top w:val="nil"/>
              <w:left w:val="single" w:sz="4" w:space="0" w:color="auto"/>
              <w:bottom w:val="single" w:sz="4" w:space="0" w:color="auto"/>
              <w:right w:val="single" w:sz="4" w:space="0" w:color="auto"/>
            </w:tcBorders>
            <w:shd w:val="clear" w:color="auto" w:fill="auto"/>
            <w:noWrap/>
            <w:vAlign w:val="bottom"/>
            <w:hideMark/>
          </w:tcPr>
          <w:p w14:paraId="3743966B" w14:textId="77777777" w:rsidR="00A275CF" w:rsidRPr="00A275CF" w:rsidRDefault="00A275CF" w:rsidP="00A275CF">
            <w:pPr>
              <w:spacing w:after="0" w:line="240" w:lineRule="auto"/>
              <w:jc w:val="right"/>
              <w:rPr>
                <w:rFonts w:ascii="Calibri" w:eastAsia="Times New Roman" w:hAnsi="Calibri" w:cs="Arial"/>
                <w:sz w:val="20"/>
                <w:szCs w:val="20"/>
                <w:lang w:eastAsia="cs-CZ"/>
              </w:rPr>
            </w:pPr>
            <w:r w:rsidRPr="00A275CF">
              <w:rPr>
                <w:rFonts w:ascii="Calibri" w:eastAsia="Times New Roman" w:hAnsi="Calibri" w:cs="Arial"/>
                <w:sz w:val="20"/>
                <w:szCs w:val="20"/>
                <w:lang w:eastAsia="cs-CZ"/>
              </w:rPr>
              <w:t>-40 000 000</w:t>
            </w:r>
          </w:p>
        </w:tc>
        <w:tc>
          <w:tcPr>
            <w:tcW w:w="2050" w:type="dxa"/>
            <w:tcBorders>
              <w:top w:val="nil"/>
              <w:left w:val="nil"/>
              <w:bottom w:val="single" w:sz="4" w:space="0" w:color="auto"/>
              <w:right w:val="single" w:sz="4" w:space="0" w:color="auto"/>
            </w:tcBorders>
            <w:shd w:val="clear" w:color="auto" w:fill="auto"/>
            <w:noWrap/>
            <w:vAlign w:val="bottom"/>
            <w:hideMark/>
          </w:tcPr>
          <w:p w14:paraId="36EE6309" w14:textId="77777777" w:rsidR="00A275CF" w:rsidRPr="00A275CF" w:rsidRDefault="00A275CF" w:rsidP="00A275CF">
            <w:pPr>
              <w:spacing w:after="0" w:line="240" w:lineRule="auto"/>
              <w:jc w:val="right"/>
              <w:rPr>
                <w:rFonts w:ascii="Calibri" w:eastAsia="Times New Roman" w:hAnsi="Calibri" w:cs="Arial"/>
                <w:sz w:val="20"/>
                <w:szCs w:val="20"/>
                <w:lang w:eastAsia="cs-CZ"/>
              </w:rPr>
            </w:pPr>
            <w:r w:rsidRPr="00A275CF">
              <w:rPr>
                <w:rFonts w:ascii="Calibri" w:eastAsia="Times New Roman" w:hAnsi="Calibri" w:cs="Arial"/>
                <w:sz w:val="20"/>
                <w:szCs w:val="20"/>
                <w:lang w:eastAsia="cs-CZ"/>
              </w:rPr>
              <w:t>-40 318 073,00</w:t>
            </w:r>
          </w:p>
        </w:tc>
        <w:tc>
          <w:tcPr>
            <w:tcW w:w="1984" w:type="dxa"/>
            <w:tcBorders>
              <w:top w:val="nil"/>
              <w:left w:val="nil"/>
              <w:bottom w:val="single" w:sz="4" w:space="0" w:color="auto"/>
              <w:right w:val="single" w:sz="4" w:space="0" w:color="auto"/>
            </w:tcBorders>
            <w:shd w:val="clear" w:color="000000" w:fill="FFFFFF"/>
            <w:noWrap/>
            <w:vAlign w:val="bottom"/>
            <w:hideMark/>
          </w:tcPr>
          <w:p w14:paraId="725A13C7" w14:textId="77777777" w:rsidR="00A275CF" w:rsidRPr="00A275CF" w:rsidRDefault="00A275CF" w:rsidP="00A275CF">
            <w:pPr>
              <w:spacing w:after="0" w:line="240" w:lineRule="auto"/>
              <w:jc w:val="right"/>
              <w:rPr>
                <w:rFonts w:ascii="Calibri" w:eastAsia="Times New Roman" w:hAnsi="Calibri" w:cs="Arial"/>
                <w:sz w:val="20"/>
                <w:szCs w:val="20"/>
                <w:lang w:eastAsia="cs-CZ"/>
              </w:rPr>
            </w:pPr>
            <w:r w:rsidRPr="00A275CF">
              <w:rPr>
                <w:rFonts w:ascii="Calibri" w:eastAsia="Times New Roman" w:hAnsi="Calibri" w:cs="Arial"/>
                <w:sz w:val="20"/>
                <w:szCs w:val="20"/>
                <w:lang w:eastAsia="cs-CZ"/>
              </w:rPr>
              <w:t>-39 070 000,00</w:t>
            </w:r>
          </w:p>
        </w:tc>
        <w:tc>
          <w:tcPr>
            <w:tcW w:w="546" w:type="dxa"/>
            <w:tcBorders>
              <w:top w:val="nil"/>
              <w:left w:val="nil"/>
              <w:bottom w:val="single" w:sz="4" w:space="0" w:color="auto"/>
              <w:right w:val="single" w:sz="8" w:space="0" w:color="auto"/>
            </w:tcBorders>
            <w:shd w:val="clear" w:color="auto" w:fill="auto"/>
            <w:noWrap/>
            <w:vAlign w:val="bottom"/>
            <w:hideMark/>
          </w:tcPr>
          <w:p w14:paraId="04B5AC63" w14:textId="77777777" w:rsidR="00A275CF" w:rsidRPr="00A275CF" w:rsidRDefault="00A275CF" w:rsidP="00A275CF">
            <w:pPr>
              <w:spacing w:after="0" w:line="240" w:lineRule="auto"/>
              <w:jc w:val="right"/>
              <w:rPr>
                <w:rFonts w:ascii="Calibri" w:eastAsia="Times New Roman" w:hAnsi="Calibri" w:cs="Arial"/>
                <w:sz w:val="20"/>
                <w:szCs w:val="20"/>
                <w:lang w:eastAsia="cs-CZ"/>
              </w:rPr>
            </w:pPr>
            <w:r w:rsidRPr="00A275CF">
              <w:rPr>
                <w:rFonts w:ascii="Calibri" w:eastAsia="Times New Roman" w:hAnsi="Calibri" w:cs="Arial"/>
                <w:sz w:val="20"/>
                <w:szCs w:val="20"/>
                <w:lang w:eastAsia="cs-CZ"/>
              </w:rPr>
              <w:t>96,9</w:t>
            </w:r>
          </w:p>
        </w:tc>
      </w:tr>
      <w:tr w:rsidR="00A275CF" w:rsidRPr="00A275CF" w14:paraId="17DF6049" w14:textId="77777777" w:rsidTr="00E144A7">
        <w:trPr>
          <w:trHeight w:val="360"/>
        </w:trPr>
        <w:tc>
          <w:tcPr>
            <w:tcW w:w="3400" w:type="dxa"/>
            <w:tcBorders>
              <w:top w:val="nil"/>
              <w:left w:val="single" w:sz="8" w:space="0" w:color="auto"/>
              <w:bottom w:val="single" w:sz="4" w:space="0" w:color="auto"/>
              <w:right w:val="single" w:sz="4" w:space="0" w:color="auto"/>
            </w:tcBorders>
            <w:shd w:val="clear" w:color="auto" w:fill="auto"/>
            <w:vAlign w:val="bottom"/>
            <w:hideMark/>
          </w:tcPr>
          <w:p w14:paraId="311491B9" w14:textId="77777777" w:rsidR="00A275CF" w:rsidRPr="00A275CF" w:rsidRDefault="00A275CF" w:rsidP="00A275CF">
            <w:pPr>
              <w:spacing w:after="0" w:line="240" w:lineRule="auto"/>
              <w:rPr>
                <w:rFonts w:ascii="Calibri" w:eastAsia="Times New Roman" w:hAnsi="Calibri" w:cs="Arial"/>
                <w:sz w:val="20"/>
                <w:szCs w:val="20"/>
                <w:lang w:eastAsia="cs-CZ"/>
              </w:rPr>
            </w:pPr>
            <w:r w:rsidRPr="00A275CF">
              <w:rPr>
                <w:rFonts w:ascii="Calibri" w:eastAsia="Times New Roman" w:hAnsi="Calibri" w:cs="Arial"/>
                <w:sz w:val="20"/>
                <w:szCs w:val="20"/>
                <w:lang w:eastAsia="cs-CZ"/>
              </w:rPr>
              <w:t>Opravné položky</w:t>
            </w:r>
          </w:p>
        </w:tc>
        <w:tc>
          <w:tcPr>
            <w:tcW w:w="1780" w:type="dxa"/>
            <w:tcBorders>
              <w:top w:val="nil"/>
              <w:left w:val="nil"/>
              <w:bottom w:val="single" w:sz="4" w:space="0" w:color="auto"/>
              <w:right w:val="single" w:sz="4" w:space="0" w:color="auto"/>
            </w:tcBorders>
            <w:shd w:val="clear" w:color="auto" w:fill="auto"/>
            <w:noWrap/>
            <w:vAlign w:val="bottom"/>
            <w:hideMark/>
          </w:tcPr>
          <w:p w14:paraId="7D273F98" w14:textId="77777777" w:rsidR="00A275CF" w:rsidRPr="00A275CF" w:rsidRDefault="00A275CF" w:rsidP="00A275CF">
            <w:pPr>
              <w:spacing w:after="0" w:line="240" w:lineRule="auto"/>
              <w:jc w:val="right"/>
              <w:rPr>
                <w:rFonts w:ascii="Calibri" w:eastAsia="Times New Roman" w:hAnsi="Calibri" w:cs="Arial"/>
                <w:sz w:val="20"/>
                <w:szCs w:val="20"/>
                <w:lang w:eastAsia="cs-CZ"/>
              </w:rPr>
            </w:pPr>
            <w:r w:rsidRPr="00A275CF">
              <w:rPr>
                <w:rFonts w:ascii="Calibri" w:eastAsia="Times New Roman" w:hAnsi="Calibri" w:cs="Arial"/>
                <w:sz w:val="20"/>
                <w:szCs w:val="20"/>
                <w:lang w:eastAsia="cs-CZ"/>
              </w:rPr>
              <w:t>0</w:t>
            </w:r>
          </w:p>
        </w:tc>
        <w:tc>
          <w:tcPr>
            <w:tcW w:w="2050" w:type="dxa"/>
            <w:tcBorders>
              <w:top w:val="nil"/>
              <w:left w:val="nil"/>
              <w:bottom w:val="single" w:sz="4" w:space="0" w:color="auto"/>
              <w:right w:val="single" w:sz="4" w:space="0" w:color="auto"/>
            </w:tcBorders>
            <w:shd w:val="clear" w:color="auto" w:fill="auto"/>
            <w:noWrap/>
            <w:vAlign w:val="bottom"/>
            <w:hideMark/>
          </w:tcPr>
          <w:p w14:paraId="65BF9ECE" w14:textId="77777777" w:rsidR="00A275CF" w:rsidRPr="00A275CF" w:rsidRDefault="00A275CF" w:rsidP="00A275CF">
            <w:pPr>
              <w:spacing w:after="0" w:line="240" w:lineRule="auto"/>
              <w:jc w:val="right"/>
              <w:rPr>
                <w:rFonts w:ascii="Calibri" w:eastAsia="Times New Roman" w:hAnsi="Calibri" w:cs="Arial"/>
                <w:sz w:val="20"/>
                <w:szCs w:val="20"/>
                <w:lang w:eastAsia="cs-CZ"/>
              </w:rPr>
            </w:pPr>
            <w:r w:rsidRPr="00A275CF">
              <w:rPr>
                <w:rFonts w:ascii="Calibri" w:eastAsia="Times New Roman" w:hAnsi="Calibri" w:cs="Arial"/>
                <w:sz w:val="20"/>
                <w:szCs w:val="20"/>
                <w:lang w:eastAsia="cs-CZ"/>
              </w:rPr>
              <w:t>0,00</w:t>
            </w:r>
          </w:p>
        </w:tc>
        <w:tc>
          <w:tcPr>
            <w:tcW w:w="1984" w:type="dxa"/>
            <w:tcBorders>
              <w:top w:val="nil"/>
              <w:left w:val="nil"/>
              <w:bottom w:val="single" w:sz="4" w:space="0" w:color="auto"/>
              <w:right w:val="single" w:sz="4" w:space="0" w:color="auto"/>
            </w:tcBorders>
            <w:shd w:val="clear" w:color="000000" w:fill="FFFFFF"/>
            <w:noWrap/>
            <w:vAlign w:val="bottom"/>
            <w:hideMark/>
          </w:tcPr>
          <w:p w14:paraId="033C36F5" w14:textId="77777777" w:rsidR="00A275CF" w:rsidRPr="00A275CF" w:rsidRDefault="00A275CF" w:rsidP="00A275CF">
            <w:pPr>
              <w:spacing w:after="0" w:line="240" w:lineRule="auto"/>
              <w:jc w:val="right"/>
              <w:rPr>
                <w:rFonts w:ascii="Calibri" w:eastAsia="Times New Roman" w:hAnsi="Calibri" w:cs="Arial"/>
                <w:sz w:val="20"/>
                <w:szCs w:val="20"/>
                <w:lang w:eastAsia="cs-CZ"/>
              </w:rPr>
            </w:pPr>
            <w:r w:rsidRPr="00A275CF">
              <w:rPr>
                <w:rFonts w:ascii="Calibri" w:eastAsia="Times New Roman" w:hAnsi="Calibri" w:cs="Arial"/>
                <w:sz w:val="20"/>
                <w:szCs w:val="20"/>
                <w:lang w:eastAsia="cs-CZ"/>
              </w:rPr>
              <w:t>-5 045 612,04</w:t>
            </w:r>
          </w:p>
        </w:tc>
        <w:tc>
          <w:tcPr>
            <w:tcW w:w="546" w:type="dxa"/>
            <w:tcBorders>
              <w:top w:val="nil"/>
              <w:left w:val="nil"/>
              <w:bottom w:val="single" w:sz="4" w:space="0" w:color="auto"/>
              <w:right w:val="single" w:sz="8" w:space="0" w:color="auto"/>
            </w:tcBorders>
            <w:shd w:val="clear" w:color="auto" w:fill="auto"/>
            <w:noWrap/>
            <w:vAlign w:val="bottom"/>
            <w:hideMark/>
          </w:tcPr>
          <w:p w14:paraId="3814FA9E" w14:textId="77777777" w:rsidR="00A275CF" w:rsidRPr="00A275CF" w:rsidRDefault="00A275CF" w:rsidP="00A275CF">
            <w:pPr>
              <w:spacing w:after="0" w:line="240" w:lineRule="auto"/>
              <w:jc w:val="right"/>
              <w:rPr>
                <w:rFonts w:ascii="Calibri" w:eastAsia="Times New Roman" w:hAnsi="Calibri" w:cs="Arial"/>
                <w:sz w:val="20"/>
                <w:szCs w:val="20"/>
                <w:lang w:eastAsia="cs-CZ"/>
              </w:rPr>
            </w:pPr>
            <w:r w:rsidRPr="00A275CF">
              <w:rPr>
                <w:rFonts w:ascii="Calibri" w:eastAsia="Times New Roman" w:hAnsi="Calibri" w:cs="Arial"/>
                <w:sz w:val="20"/>
                <w:szCs w:val="20"/>
                <w:lang w:eastAsia="cs-CZ"/>
              </w:rPr>
              <w:t>x</w:t>
            </w:r>
          </w:p>
        </w:tc>
      </w:tr>
      <w:tr w:rsidR="00A275CF" w:rsidRPr="00A275CF" w14:paraId="7CAEBA67" w14:textId="77777777" w:rsidTr="00E144A7">
        <w:trPr>
          <w:trHeight w:val="600"/>
        </w:trPr>
        <w:tc>
          <w:tcPr>
            <w:tcW w:w="3400" w:type="dxa"/>
            <w:tcBorders>
              <w:top w:val="nil"/>
              <w:left w:val="single" w:sz="8" w:space="0" w:color="auto"/>
              <w:bottom w:val="single" w:sz="8" w:space="0" w:color="auto"/>
              <w:right w:val="single" w:sz="4" w:space="0" w:color="auto"/>
            </w:tcBorders>
            <w:shd w:val="clear" w:color="auto" w:fill="auto"/>
            <w:vAlign w:val="bottom"/>
            <w:hideMark/>
          </w:tcPr>
          <w:p w14:paraId="6F7D95AD" w14:textId="77777777" w:rsidR="00A275CF" w:rsidRPr="00A275CF" w:rsidRDefault="00A275CF" w:rsidP="00A275CF">
            <w:pPr>
              <w:spacing w:after="0" w:line="240" w:lineRule="auto"/>
              <w:rPr>
                <w:rFonts w:ascii="Calibri" w:eastAsia="Times New Roman" w:hAnsi="Calibri" w:cs="Arial"/>
                <w:b/>
                <w:bCs/>
                <w:sz w:val="24"/>
                <w:szCs w:val="24"/>
                <w:lang w:eastAsia="cs-CZ"/>
              </w:rPr>
            </w:pPr>
            <w:r w:rsidRPr="00A275CF">
              <w:rPr>
                <w:rFonts w:ascii="Calibri" w:eastAsia="Times New Roman" w:hAnsi="Calibri" w:cs="Arial"/>
                <w:b/>
                <w:bCs/>
                <w:sz w:val="24"/>
                <w:szCs w:val="24"/>
                <w:lang w:eastAsia="cs-CZ"/>
              </w:rPr>
              <w:t>Financování celkem</w:t>
            </w:r>
          </w:p>
        </w:tc>
        <w:tc>
          <w:tcPr>
            <w:tcW w:w="1780" w:type="dxa"/>
            <w:tcBorders>
              <w:top w:val="nil"/>
              <w:left w:val="nil"/>
              <w:bottom w:val="single" w:sz="8" w:space="0" w:color="auto"/>
              <w:right w:val="single" w:sz="4" w:space="0" w:color="auto"/>
            </w:tcBorders>
            <w:shd w:val="clear" w:color="auto" w:fill="auto"/>
            <w:noWrap/>
            <w:vAlign w:val="bottom"/>
            <w:hideMark/>
          </w:tcPr>
          <w:p w14:paraId="3FE400CA" w14:textId="77777777" w:rsidR="00A275CF" w:rsidRPr="00A275CF" w:rsidRDefault="00A275CF" w:rsidP="00A275CF">
            <w:pPr>
              <w:spacing w:after="0" w:line="240" w:lineRule="auto"/>
              <w:jc w:val="right"/>
              <w:rPr>
                <w:rFonts w:ascii="Calibri" w:eastAsia="Times New Roman" w:hAnsi="Calibri" w:cs="Arial"/>
                <w:b/>
                <w:bCs/>
                <w:sz w:val="24"/>
                <w:szCs w:val="24"/>
                <w:lang w:eastAsia="cs-CZ"/>
              </w:rPr>
            </w:pPr>
            <w:r w:rsidRPr="00A275CF">
              <w:rPr>
                <w:rFonts w:ascii="Calibri" w:eastAsia="Times New Roman" w:hAnsi="Calibri" w:cs="Arial"/>
                <w:b/>
                <w:bCs/>
                <w:sz w:val="24"/>
                <w:szCs w:val="24"/>
                <w:lang w:eastAsia="cs-CZ"/>
              </w:rPr>
              <w:t>1 208 754 000</w:t>
            </w:r>
          </w:p>
        </w:tc>
        <w:tc>
          <w:tcPr>
            <w:tcW w:w="2050" w:type="dxa"/>
            <w:tcBorders>
              <w:top w:val="nil"/>
              <w:left w:val="nil"/>
              <w:bottom w:val="single" w:sz="8" w:space="0" w:color="auto"/>
              <w:right w:val="single" w:sz="4" w:space="0" w:color="auto"/>
            </w:tcBorders>
            <w:shd w:val="clear" w:color="auto" w:fill="auto"/>
            <w:noWrap/>
            <w:vAlign w:val="bottom"/>
            <w:hideMark/>
          </w:tcPr>
          <w:p w14:paraId="28FF1170" w14:textId="77777777" w:rsidR="00A275CF" w:rsidRPr="00A275CF" w:rsidRDefault="00A275CF" w:rsidP="00A275CF">
            <w:pPr>
              <w:spacing w:after="0" w:line="240" w:lineRule="auto"/>
              <w:jc w:val="right"/>
              <w:rPr>
                <w:rFonts w:ascii="Calibri" w:eastAsia="Times New Roman" w:hAnsi="Calibri" w:cs="Arial"/>
                <w:b/>
                <w:bCs/>
                <w:sz w:val="24"/>
                <w:szCs w:val="24"/>
                <w:lang w:eastAsia="cs-CZ"/>
              </w:rPr>
            </w:pPr>
            <w:r w:rsidRPr="00A275CF">
              <w:rPr>
                <w:rFonts w:ascii="Calibri" w:eastAsia="Times New Roman" w:hAnsi="Calibri" w:cs="Arial"/>
                <w:b/>
                <w:bCs/>
                <w:sz w:val="24"/>
                <w:szCs w:val="24"/>
                <w:lang w:eastAsia="cs-CZ"/>
              </w:rPr>
              <w:t>4 279 809 491,53</w:t>
            </w:r>
          </w:p>
        </w:tc>
        <w:tc>
          <w:tcPr>
            <w:tcW w:w="1984" w:type="dxa"/>
            <w:tcBorders>
              <w:top w:val="nil"/>
              <w:left w:val="nil"/>
              <w:bottom w:val="single" w:sz="8" w:space="0" w:color="auto"/>
              <w:right w:val="single" w:sz="4" w:space="0" w:color="auto"/>
            </w:tcBorders>
            <w:shd w:val="clear" w:color="auto" w:fill="auto"/>
            <w:noWrap/>
            <w:vAlign w:val="bottom"/>
            <w:hideMark/>
          </w:tcPr>
          <w:p w14:paraId="5C4CB72C" w14:textId="77777777" w:rsidR="00A275CF" w:rsidRPr="00A275CF" w:rsidRDefault="00A275CF" w:rsidP="00A275CF">
            <w:pPr>
              <w:spacing w:after="0" w:line="240" w:lineRule="auto"/>
              <w:jc w:val="right"/>
              <w:rPr>
                <w:rFonts w:ascii="Calibri" w:eastAsia="Times New Roman" w:hAnsi="Calibri" w:cs="Arial"/>
                <w:b/>
                <w:bCs/>
                <w:sz w:val="24"/>
                <w:szCs w:val="24"/>
                <w:lang w:eastAsia="cs-CZ"/>
              </w:rPr>
            </w:pPr>
            <w:r w:rsidRPr="00A275CF">
              <w:rPr>
                <w:rFonts w:ascii="Calibri" w:eastAsia="Times New Roman" w:hAnsi="Calibri" w:cs="Arial"/>
                <w:b/>
                <w:bCs/>
                <w:sz w:val="24"/>
                <w:szCs w:val="24"/>
                <w:lang w:eastAsia="cs-CZ"/>
              </w:rPr>
              <w:t>-453 609 686,06</w:t>
            </w:r>
          </w:p>
        </w:tc>
        <w:tc>
          <w:tcPr>
            <w:tcW w:w="546" w:type="dxa"/>
            <w:tcBorders>
              <w:top w:val="nil"/>
              <w:left w:val="nil"/>
              <w:bottom w:val="single" w:sz="8" w:space="0" w:color="auto"/>
              <w:right w:val="single" w:sz="8" w:space="0" w:color="auto"/>
            </w:tcBorders>
            <w:shd w:val="clear" w:color="auto" w:fill="auto"/>
            <w:noWrap/>
            <w:vAlign w:val="bottom"/>
            <w:hideMark/>
          </w:tcPr>
          <w:p w14:paraId="061C09C0" w14:textId="77777777" w:rsidR="00A275CF" w:rsidRPr="00A275CF" w:rsidRDefault="00A275CF" w:rsidP="00A275CF">
            <w:pPr>
              <w:spacing w:after="0" w:line="240" w:lineRule="auto"/>
              <w:jc w:val="right"/>
              <w:rPr>
                <w:rFonts w:ascii="Calibri" w:eastAsia="Times New Roman" w:hAnsi="Calibri" w:cs="Arial"/>
                <w:b/>
                <w:bCs/>
                <w:sz w:val="24"/>
                <w:szCs w:val="24"/>
                <w:lang w:eastAsia="cs-CZ"/>
              </w:rPr>
            </w:pPr>
            <w:r w:rsidRPr="00A275CF">
              <w:rPr>
                <w:rFonts w:ascii="Calibri" w:eastAsia="Times New Roman" w:hAnsi="Calibri" w:cs="Arial"/>
                <w:b/>
                <w:bCs/>
                <w:sz w:val="24"/>
                <w:szCs w:val="24"/>
                <w:lang w:eastAsia="cs-CZ"/>
              </w:rPr>
              <w:t>x</w:t>
            </w:r>
          </w:p>
        </w:tc>
      </w:tr>
      <w:tr w:rsidR="00A275CF" w:rsidRPr="00A275CF" w14:paraId="61134B66" w14:textId="77777777" w:rsidTr="00E144A7">
        <w:trPr>
          <w:trHeight w:val="600"/>
        </w:trPr>
        <w:tc>
          <w:tcPr>
            <w:tcW w:w="3400" w:type="dxa"/>
            <w:tcBorders>
              <w:top w:val="nil"/>
              <w:left w:val="single" w:sz="8" w:space="0" w:color="auto"/>
              <w:bottom w:val="single" w:sz="8" w:space="0" w:color="auto"/>
              <w:right w:val="single" w:sz="4" w:space="0" w:color="auto"/>
            </w:tcBorders>
            <w:shd w:val="clear" w:color="auto" w:fill="auto"/>
            <w:noWrap/>
            <w:vAlign w:val="bottom"/>
            <w:hideMark/>
          </w:tcPr>
          <w:p w14:paraId="5631EF56" w14:textId="77777777" w:rsidR="00A275CF" w:rsidRPr="00A275CF" w:rsidRDefault="00A275CF" w:rsidP="00A275CF">
            <w:pPr>
              <w:spacing w:after="0" w:line="240" w:lineRule="auto"/>
              <w:rPr>
                <w:rFonts w:ascii="Calibri" w:eastAsia="Times New Roman" w:hAnsi="Calibri" w:cs="Arial"/>
                <w:b/>
                <w:bCs/>
                <w:sz w:val="24"/>
                <w:szCs w:val="24"/>
                <w:lang w:eastAsia="cs-CZ"/>
              </w:rPr>
            </w:pPr>
            <w:r w:rsidRPr="00A275CF">
              <w:rPr>
                <w:rFonts w:ascii="Calibri" w:eastAsia="Times New Roman" w:hAnsi="Calibri" w:cs="Arial"/>
                <w:b/>
                <w:bCs/>
                <w:sz w:val="24"/>
                <w:szCs w:val="24"/>
                <w:lang w:eastAsia="cs-CZ"/>
              </w:rPr>
              <w:t>Celková bilance hospodaření</w:t>
            </w:r>
          </w:p>
        </w:tc>
        <w:tc>
          <w:tcPr>
            <w:tcW w:w="1780" w:type="dxa"/>
            <w:tcBorders>
              <w:top w:val="nil"/>
              <w:left w:val="nil"/>
              <w:bottom w:val="single" w:sz="8" w:space="0" w:color="auto"/>
              <w:right w:val="single" w:sz="4" w:space="0" w:color="auto"/>
            </w:tcBorders>
            <w:shd w:val="clear" w:color="auto" w:fill="auto"/>
            <w:noWrap/>
            <w:vAlign w:val="bottom"/>
            <w:hideMark/>
          </w:tcPr>
          <w:p w14:paraId="54B7A210" w14:textId="77777777" w:rsidR="00A275CF" w:rsidRPr="00A275CF" w:rsidRDefault="00A275CF" w:rsidP="00A275CF">
            <w:pPr>
              <w:spacing w:after="0" w:line="240" w:lineRule="auto"/>
              <w:jc w:val="right"/>
              <w:rPr>
                <w:rFonts w:ascii="Calibri" w:eastAsia="Times New Roman" w:hAnsi="Calibri" w:cs="Arial"/>
                <w:b/>
                <w:bCs/>
                <w:sz w:val="24"/>
                <w:szCs w:val="24"/>
                <w:lang w:eastAsia="cs-CZ"/>
              </w:rPr>
            </w:pPr>
            <w:r w:rsidRPr="00A275CF">
              <w:rPr>
                <w:rFonts w:ascii="Calibri" w:eastAsia="Times New Roman" w:hAnsi="Calibri" w:cs="Arial"/>
                <w:b/>
                <w:bCs/>
                <w:sz w:val="24"/>
                <w:szCs w:val="24"/>
                <w:lang w:eastAsia="cs-CZ"/>
              </w:rPr>
              <w:t>0</w:t>
            </w:r>
          </w:p>
        </w:tc>
        <w:tc>
          <w:tcPr>
            <w:tcW w:w="2050" w:type="dxa"/>
            <w:tcBorders>
              <w:top w:val="nil"/>
              <w:left w:val="nil"/>
              <w:bottom w:val="single" w:sz="8" w:space="0" w:color="auto"/>
              <w:right w:val="single" w:sz="4" w:space="0" w:color="auto"/>
            </w:tcBorders>
            <w:shd w:val="clear" w:color="auto" w:fill="auto"/>
            <w:noWrap/>
            <w:vAlign w:val="bottom"/>
            <w:hideMark/>
          </w:tcPr>
          <w:p w14:paraId="23D12844" w14:textId="77777777" w:rsidR="00A275CF" w:rsidRPr="00A275CF" w:rsidRDefault="00A275CF" w:rsidP="00A275CF">
            <w:pPr>
              <w:spacing w:after="0" w:line="240" w:lineRule="auto"/>
              <w:jc w:val="right"/>
              <w:rPr>
                <w:rFonts w:ascii="Calibri" w:eastAsia="Times New Roman" w:hAnsi="Calibri" w:cs="Arial"/>
                <w:b/>
                <w:bCs/>
                <w:sz w:val="24"/>
                <w:szCs w:val="24"/>
                <w:lang w:eastAsia="cs-CZ"/>
              </w:rPr>
            </w:pPr>
            <w:r w:rsidRPr="00A275CF">
              <w:rPr>
                <w:rFonts w:ascii="Calibri" w:eastAsia="Times New Roman" w:hAnsi="Calibri" w:cs="Arial"/>
                <w:b/>
                <w:bCs/>
                <w:sz w:val="24"/>
                <w:szCs w:val="24"/>
                <w:lang w:eastAsia="cs-CZ"/>
              </w:rPr>
              <w:t>0,00</w:t>
            </w:r>
          </w:p>
        </w:tc>
        <w:tc>
          <w:tcPr>
            <w:tcW w:w="1984" w:type="dxa"/>
            <w:tcBorders>
              <w:top w:val="nil"/>
              <w:left w:val="nil"/>
              <w:bottom w:val="single" w:sz="8" w:space="0" w:color="auto"/>
              <w:right w:val="single" w:sz="4" w:space="0" w:color="auto"/>
            </w:tcBorders>
            <w:shd w:val="clear" w:color="auto" w:fill="auto"/>
            <w:noWrap/>
            <w:vAlign w:val="bottom"/>
            <w:hideMark/>
          </w:tcPr>
          <w:p w14:paraId="2A02741F" w14:textId="77777777" w:rsidR="00A275CF" w:rsidRPr="00A275CF" w:rsidRDefault="00A275CF" w:rsidP="00A275CF">
            <w:pPr>
              <w:spacing w:after="0" w:line="240" w:lineRule="auto"/>
              <w:jc w:val="right"/>
              <w:rPr>
                <w:rFonts w:ascii="Calibri" w:eastAsia="Times New Roman" w:hAnsi="Calibri" w:cs="Arial"/>
                <w:b/>
                <w:bCs/>
                <w:sz w:val="24"/>
                <w:szCs w:val="24"/>
                <w:lang w:eastAsia="cs-CZ"/>
              </w:rPr>
            </w:pPr>
            <w:r w:rsidRPr="00A275CF">
              <w:rPr>
                <w:rFonts w:ascii="Calibri" w:eastAsia="Times New Roman" w:hAnsi="Calibri" w:cs="Arial"/>
                <w:b/>
                <w:bCs/>
                <w:sz w:val="24"/>
                <w:szCs w:val="24"/>
                <w:lang w:eastAsia="cs-CZ"/>
              </w:rPr>
              <w:t>0,00</w:t>
            </w:r>
          </w:p>
        </w:tc>
        <w:tc>
          <w:tcPr>
            <w:tcW w:w="546" w:type="dxa"/>
            <w:tcBorders>
              <w:top w:val="nil"/>
              <w:left w:val="nil"/>
              <w:bottom w:val="single" w:sz="8" w:space="0" w:color="auto"/>
              <w:right w:val="single" w:sz="8" w:space="0" w:color="auto"/>
            </w:tcBorders>
            <w:shd w:val="clear" w:color="auto" w:fill="auto"/>
            <w:noWrap/>
            <w:vAlign w:val="bottom"/>
            <w:hideMark/>
          </w:tcPr>
          <w:p w14:paraId="3B2DA4AD" w14:textId="77777777" w:rsidR="00A275CF" w:rsidRPr="00A275CF" w:rsidRDefault="00A275CF" w:rsidP="00A275CF">
            <w:pPr>
              <w:spacing w:after="0" w:line="240" w:lineRule="auto"/>
              <w:jc w:val="right"/>
              <w:rPr>
                <w:rFonts w:ascii="Calibri" w:eastAsia="Times New Roman" w:hAnsi="Calibri" w:cs="Arial"/>
                <w:b/>
                <w:bCs/>
                <w:sz w:val="24"/>
                <w:szCs w:val="24"/>
                <w:lang w:eastAsia="cs-CZ"/>
              </w:rPr>
            </w:pPr>
            <w:r w:rsidRPr="00A275CF">
              <w:rPr>
                <w:rFonts w:ascii="Calibri" w:eastAsia="Times New Roman" w:hAnsi="Calibri" w:cs="Arial"/>
                <w:b/>
                <w:bCs/>
                <w:sz w:val="24"/>
                <w:szCs w:val="24"/>
                <w:lang w:eastAsia="cs-CZ"/>
              </w:rPr>
              <w:t>x</w:t>
            </w:r>
          </w:p>
        </w:tc>
      </w:tr>
      <w:tr w:rsidR="00A275CF" w:rsidRPr="00A275CF" w14:paraId="294CC3ED" w14:textId="77777777" w:rsidTr="00E144A7">
        <w:trPr>
          <w:trHeight w:val="310"/>
        </w:trPr>
        <w:tc>
          <w:tcPr>
            <w:tcW w:w="3400" w:type="dxa"/>
            <w:tcBorders>
              <w:top w:val="nil"/>
              <w:left w:val="nil"/>
              <w:bottom w:val="nil"/>
              <w:right w:val="nil"/>
            </w:tcBorders>
            <w:shd w:val="clear" w:color="auto" w:fill="auto"/>
            <w:noWrap/>
            <w:vAlign w:val="bottom"/>
            <w:hideMark/>
          </w:tcPr>
          <w:p w14:paraId="3C407DFE" w14:textId="77777777" w:rsidR="00A275CF" w:rsidRPr="00A275CF" w:rsidRDefault="00A275CF" w:rsidP="00A275CF">
            <w:pPr>
              <w:spacing w:after="0" w:line="240" w:lineRule="auto"/>
              <w:jc w:val="right"/>
              <w:rPr>
                <w:rFonts w:ascii="Calibri" w:eastAsia="Times New Roman" w:hAnsi="Calibri" w:cs="Arial"/>
                <w:b/>
                <w:bCs/>
                <w:sz w:val="24"/>
                <w:szCs w:val="24"/>
                <w:lang w:eastAsia="cs-CZ"/>
              </w:rPr>
            </w:pPr>
          </w:p>
        </w:tc>
        <w:tc>
          <w:tcPr>
            <w:tcW w:w="1780" w:type="dxa"/>
            <w:tcBorders>
              <w:top w:val="nil"/>
              <w:left w:val="nil"/>
              <w:bottom w:val="nil"/>
              <w:right w:val="nil"/>
            </w:tcBorders>
            <w:shd w:val="clear" w:color="auto" w:fill="auto"/>
            <w:noWrap/>
            <w:vAlign w:val="bottom"/>
            <w:hideMark/>
          </w:tcPr>
          <w:p w14:paraId="112E4F5F" w14:textId="77777777" w:rsidR="00A275CF" w:rsidRPr="00A275CF" w:rsidRDefault="00A275CF" w:rsidP="00A275CF">
            <w:pPr>
              <w:spacing w:after="0" w:line="240" w:lineRule="auto"/>
              <w:rPr>
                <w:rFonts w:ascii="Times New Roman" w:eastAsia="Times New Roman" w:hAnsi="Times New Roman" w:cs="Times New Roman"/>
                <w:sz w:val="20"/>
                <w:szCs w:val="20"/>
                <w:lang w:eastAsia="cs-CZ"/>
              </w:rPr>
            </w:pPr>
          </w:p>
        </w:tc>
        <w:tc>
          <w:tcPr>
            <w:tcW w:w="2050" w:type="dxa"/>
            <w:tcBorders>
              <w:top w:val="nil"/>
              <w:left w:val="nil"/>
              <w:bottom w:val="nil"/>
              <w:right w:val="nil"/>
            </w:tcBorders>
            <w:shd w:val="clear" w:color="auto" w:fill="auto"/>
            <w:noWrap/>
            <w:vAlign w:val="bottom"/>
            <w:hideMark/>
          </w:tcPr>
          <w:p w14:paraId="38A797AD" w14:textId="77777777" w:rsidR="00A275CF" w:rsidRPr="00A275CF" w:rsidRDefault="00A275CF" w:rsidP="00A275CF">
            <w:pPr>
              <w:spacing w:after="0" w:line="240" w:lineRule="auto"/>
              <w:rPr>
                <w:rFonts w:ascii="Times New Roman" w:eastAsia="Times New Roman" w:hAnsi="Times New Roman" w:cs="Times New Roman"/>
                <w:sz w:val="20"/>
                <w:szCs w:val="20"/>
                <w:lang w:eastAsia="cs-CZ"/>
              </w:rPr>
            </w:pPr>
          </w:p>
        </w:tc>
        <w:tc>
          <w:tcPr>
            <w:tcW w:w="1984" w:type="dxa"/>
            <w:tcBorders>
              <w:top w:val="nil"/>
              <w:left w:val="nil"/>
              <w:bottom w:val="nil"/>
              <w:right w:val="nil"/>
            </w:tcBorders>
            <w:shd w:val="clear" w:color="auto" w:fill="auto"/>
            <w:noWrap/>
            <w:vAlign w:val="bottom"/>
            <w:hideMark/>
          </w:tcPr>
          <w:p w14:paraId="1072891D" w14:textId="77777777" w:rsidR="00A275CF" w:rsidRPr="00A275CF" w:rsidRDefault="00A275CF" w:rsidP="00A275CF">
            <w:pPr>
              <w:spacing w:after="0" w:line="240" w:lineRule="auto"/>
              <w:rPr>
                <w:rFonts w:ascii="Times New Roman" w:eastAsia="Times New Roman" w:hAnsi="Times New Roman" w:cs="Times New Roman"/>
                <w:sz w:val="20"/>
                <w:szCs w:val="20"/>
                <w:lang w:eastAsia="cs-CZ"/>
              </w:rPr>
            </w:pPr>
          </w:p>
        </w:tc>
        <w:tc>
          <w:tcPr>
            <w:tcW w:w="546" w:type="dxa"/>
            <w:tcBorders>
              <w:top w:val="nil"/>
              <w:left w:val="nil"/>
              <w:bottom w:val="nil"/>
              <w:right w:val="nil"/>
            </w:tcBorders>
            <w:shd w:val="clear" w:color="auto" w:fill="auto"/>
            <w:noWrap/>
            <w:vAlign w:val="bottom"/>
            <w:hideMark/>
          </w:tcPr>
          <w:p w14:paraId="1502D908" w14:textId="77777777" w:rsidR="00A275CF" w:rsidRPr="00A275CF" w:rsidRDefault="00A275CF" w:rsidP="00A275CF">
            <w:pPr>
              <w:spacing w:after="0" w:line="240" w:lineRule="auto"/>
              <w:rPr>
                <w:rFonts w:ascii="Times New Roman" w:eastAsia="Times New Roman" w:hAnsi="Times New Roman" w:cs="Times New Roman"/>
                <w:sz w:val="20"/>
                <w:szCs w:val="20"/>
                <w:lang w:eastAsia="cs-CZ"/>
              </w:rPr>
            </w:pPr>
          </w:p>
        </w:tc>
      </w:tr>
      <w:tr w:rsidR="00A275CF" w:rsidRPr="00A275CF" w14:paraId="70DEFE47" w14:textId="77777777" w:rsidTr="00E144A7">
        <w:trPr>
          <w:trHeight w:val="260"/>
        </w:trPr>
        <w:tc>
          <w:tcPr>
            <w:tcW w:w="5180" w:type="dxa"/>
            <w:gridSpan w:val="2"/>
            <w:tcBorders>
              <w:top w:val="nil"/>
              <w:left w:val="nil"/>
              <w:bottom w:val="nil"/>
              <w:right w:val="nil"/>
            </w:tcBorders>
            <w:shd w:val="clear" w:color="auto" w:fill="auto"/>
            <w:noWrap/>
            <w:vAlign w:val="bottom"/>
            <w:hideMark/>
          </w:tcPr>
          <w:p w14:paraId="01052189" w14:textId="4D49AA68" w:rsidR="00A275CF" w:rsidRPr="00A275CF" w:rsidRDefault="00A275CF" w:rsidP="00A275CF">
            <w:pPr>
              <w:spacing w:after="0" w:line="240" w:lineRule="auto"/>
              <w:rPr>
                <w:rFonts w:ascii="Calibri" w:eastAsia="Times New Roman" w:hAnsi="Calibri" w:cs="Arial"/>
                <w:sz w:val="20"/>
                <w:szCs w:val="20"/>
                <w:lang w:eastAsia="cs-CZ"/>
              </w:rPr>
            </w:pPr>
            <w:r w:rsidRPr="00A275CF">
              <w:rPr>
                <w:rFonts w:ascii="Calibri" w:eastAsia="Times New Roman" w:hAnsi="Calibri" w:cs="Arial"/>
                <w:sz w:val="20"/>
                <w:szCs w:val="20"/>
                <w:lang w:eastAsia="cs-CZ"/>
              </w:rPr>
              <w:t>Stav na účtech SK k 01.01.2021 (bez depozitních účtů)</w:t>
            </w:r>
          </w:p>
        </w:tc>
        <w:tc>
          <w:tcPr>
            <w:tcW w:w="2050" w:type="dxa"/>
            <w:tcBorders>
              <w:top w:val="nil"/>
              <w:left w:val="nil"/>
              <w:bottom w:val="nil"/>
              <w:right w:val="nil"/>
            </w:tcBorders>
            <w:shd w:val="clear" w:color="auto" w:fill="auto"/>
            <w:noWrap/>
            <w:vAlign w:val="bottom"/>
            <w:hideMark/>
          </w:tcPr>
          <w:p w14:paraId="3CE42E5B" w14:textId="77777777" w:rsidR="00A275CF" w:rsidRPr="00A275CF" w:rsidRDefault="00A275CF" w:rsidP="00A275CF">
            <w:pPr>
              <w:spacing w:after="0" w:line="240" w:lineRule="auto"/>
              <w:rPr>
                <w:rFonts w:ascii="Calibri" w:eastAsia="Times New Roman" w:hAnsi="Calibri" w:cs="Arial"/>
                <w:sz w:val="20"/>
                <w:szCs w:val="20"/>
                <w:lang w:eastAsia="cs-CZ"/>
              </w:rPr>
            </w:pPr>
          </w:p>
        </w:tc>
        <w:tc>
          <w:tcPr>
            <w:tcW w:w="1984" w:type="dxa"/>
            <w:tcBorders>
              <w:top w:val="nil"/>
              <w:left w:val="nil"/>
              <w:bottom w:val="nil"/>
              <w:right w:val="nil"/>
            </w:tcBorders>
            <w:shd w:val="clear" w:color="auto" w:fill="auto"/>
            <w:noWrap/>
            <w:vAlign w:val="bottom"/>
            <w:hideMark/>
          </w:tcPr>
          <w:p w14:paraId="18D32BA2" w14:textId="77777777" w:rsidR="00A275CF" w:rsidRPr="00A275CF" w:rsidRDefault="00A275CF" w:rsidP="00A275CF">
            <w:pPr>
              <w:spacing w:after="0" w:line="240" w:lineRule="auto"/>
              <w:jc w:val="right"/>
              <w:rPr>
                <w:rFonts w:ascii="Calibri" w:eastAsia="Times New Roman" w:hAnsi="Calibri" w:cs="Arial"/>
                <w:sz w:val="20"/>
                <w:szCs w:val="20"/>
                <w:lang w:eastAsia="cs-CZ"/>
              </w:rPr>
            </w:pPr>
            <w:r w:rsidRPr="00A275CF">
              <w:rPr>
                <w:rFonts w:ascii="Calibri" w:eastAsia="Times New Roman" w:hAnsi="Calibri" w:cs="Arial"/>
                <w:sz w:val="20"/>
                <w:szCs w:val="20"/>
                <w:lang w:eastAsia="cs-CZ"/>
              </w:rPr>
              <w:t>2 723 721 887,79</w:t>
            </w:r>
          </w:p>
        </w:tc>
        <w:tc>
          <w:tcPr>
            <w:tcW w:w="546" w:type="dxa"/>
            <w:tcBorders>
              <w:top w:val="nil"/>
              <w:left w:val="nil"/>
              <w:bottom w:val="nil"/>
              <w:right w:val="nil"/>
            </w:tcBorders>
            <w:shd w:val="clear" w:color="auto" w:fill="auto"/>
            <w:noWrap/>
            <w:vAlign w:val="bottom"/>
            <w:hideMark/>
          </w:tcPr>
          <w:p w14:paraId="783DAB3B" w14:textId="77777777" w:rsidR="00A275CF" w:rsidRPr="00A275CF" w:rsidRDefault="00A275CF" w:rsidP="00A275CF">
            <w:pPr>
              <w:spacing w:after="0" w:line="240" w:lineRule="auto"/>
              <w:rPr>
                <w:rFonts w:ascii="Calibri" w:eastAsia="Times New Roman" w:hAnsi="Calibri" w:cs="Arial"/>
                <w:sz w:val="20"/>
                <w:szCs w:val="20"/>
                <w:lang w:eastAsia="cs-CZ"/>
              </w:rPr>
            </w:pPr>
            <w:r w:rsidRPr="00A275CF">
              <w:rPr>
                <w:rFonts w:ascii="Calibri" w:eastAsia="Times New Roman" w:hAnsi="Calibri" w:cs="Arial"/>
                <w:sz w:val="20"/>
                <w:szCs w:val="20"/>
                <w:lang w:eastAsia="cs-CZ"/>
              </w:rPr>
              <w:t>Kč</w:t>
            </w:r>
          </w:p>
        </w:tc>
      </w:tr>
      <w:tr w:rsidR="00A275CF" w:rsidRPr="00A275CF" w14:paraId="7F1FC880" w14:textId="77777777" w:rsidTr="00E144A7">
        <w:trPr>
          <w:trHeight w:val="260"/>
        </w:trPr>
        <w:tc>
          <w:tcPr>
            <w:tcW w:w="7230" w:type="dxa"/>
            <w:gridSpan w:val="3"/>
            <w:tcBorders>
              <w:top w:val="nil"/>
              <w:left w:val="nil"/>
              <w:bottom w:val="nil"/>
              <w:right w:val="nil"/>
            </w:tcBorders>
            <w:shd w:val="clear" w:color="auto" w:fill="auto"/>
            <w:noWrap/>
            <w:vAlign w:val="bottom"/>
            <w:hideMark/>
          </w:tcPr>
          <w:p w14:paraId="35CDCFC5" w14:textId="77777777" w:rsidR="00A275CF" w:rsidRPr="00A275CF" w:rsidRDefault="00A275CF" w:rsidP="00A275CF">
            <w:pPr>
              <w:spacing w:after="0" w:line="240" w:lineRule="auto"/>
              <w:rPr>
                <w:rFonts w:ascii="Calibri" w:eastAsia="Times New Roman" w:hAnsi="Calibri" w:cs="Arial"/>
                <w:sz w:val="20"/>
                <w:szCs w:val="20"/>
                <w:lang w:eastAsia="cs-CZ"/>
              </w:rPr>
            </w:pPr>
            <w:r w:rsidRPr="00A275CF">
              <w:rPr>
                <w:rFonts w:ascii="Calibri" w:eastAsia="Times New Roman" w:hAnsi="Calibri" w:cs="Arial"/>
                <w:sz w:val="20"/>
                <w:szCs w:val="20"/>
                <w:lang w:eastAsia="cs-CZ"/>
              </w:rPr>
              <w:t>Změna stavu prostředků na bankovních účtech v období leden-prosinec 2021</w:t>
            </w:r>
          </w:p>
        </w:tc>
        <w:tc>
          <w:tcPr>
            <w:tcW w:w="1984" w:type="dxa"/>
            <w:tcBorders>
              <w:top w:val="nil"/>
              <w:left w:val="nil"/>
              <w:bottom w:val="nil"/>
              <w:right w:val="nil"/>
            </w:tcBorders>
            <w:shd w:val="clear" w:color="auto" w:fill="auto"/>
            <w:noWrap/>
            <w:vAlign w:val="bottom"/>
            <w:hideMark/>
          </w:tcPr>
          <w:p w14:paraId="33A89AA6" w14:textId="77777777" w:rsidR="00A275CF" w:rsidRPr="00A275CF" w:rsidRDefault="00A275CF" w:rsidP="00A275CF">
            <w:pPr>
              <w:spacing w:after="0" w:line="240" w:lineRule="auto"/>
              <w:jc w:val="right"/>
              <w:rPr>
                <w:rFonts w:ascii="Calibri" w:eastAsia="Times New Roman" w:hAnsi="Calibri" w:cs="Arial"/>
                <w:sz w:val="20"/>
                <w:szCs w:val="20"/>
                <w:lang w:eastAsia="cs-CZ"/>
              </w:rPr>
            </w:pPr>
            <w:r w:rsidRPr="00A275CF">
              <w:rPr>
                <w:rFonts w:ascii="Calibri" w:eastAsia="Times New Roman" w:hAnsi="Calibri" w:cs="Arial"/>
                <w:sz w:val="20"/>
                <w:szCs w:val="20"/>
                <w:lang w:eastAsia="cs-CZ"/>
              </w:rPr>
              <w:t>1 373 248 258,02</w:t>
            </w:r>
          </w:p>
        </w:tc>
        <w:tc>
          <w:tcPr>
            <w:tcW w:w="546" w:type="dxa"/>
            <w:tcBorders>
              <w:top w:val="nil"/>
              <w:left w:val="nil"/>
              <w:bottom w:val="nil"/>
              <w:right w:val="nil"/>
            </w:tcBorders>
            <w:shd w:val="clear" w:color="auto" w:fill="auto"/>
            <w:noWrap/>
            <w:vAlign w:val="bottom"/>
            <w:hideMark/>
          </w:tcPr>
          <w:p w14:paraId="6641A33A" w14:textId="77777777" w:rsidR="00A275CF" w:rsidRPr="00A275CF" w:rsidRDefault="00A275CF" w:rsidP="00A275CF">
            <w:pPr>
              <w:spacing w:after="0" w:line="240" w:lineRule="auto"/>
              <w:rPr>
                <w:rFonts w:ascii="Calibri" w:eastAsia="Times New Roman" w:hAnsi="Calibri" w:cs="Arial"/>
                <w:sz w:val="20"/>
                <w:szCs w:val="20"/>
                <w:lang w:eastAsia="cs-CZ"/>
              </w:rPr>
            </w:pPr>
            <w:r w:rsidRPr="00A275CF">
              <w:rPr>
                <w:rFonts w:ascii="Calibri" w:eastAsia="Times New Roman" w:hAnsi="Calibri" w:cs="Arial"/>
                <w:sz w:val="20"/>
                <w:szCs w:val="20"/>
                <w:lang w:eastAsia="cs-CZ"/>
              </w:rPr>
              <w:t>Kč</w:t>
            </w:r>
          </w:p>
        </w:tc>
      </w:tr>
      <w:tr w:rsidR="00A275CF" w:rsidRPr="00A275CF" w14:paraId="40FF021A" w14:textId="77777777" w:rsidTr="00E144A7">
        <w:trPr>
          <w:trHeight w:val="260"/>
        </w:trPr>
        <w:tc>
          <w:tcPr>
            <w:tcW w:w="5180" w:type="dxa"/>
            <w:gridSpan w:val="2"/>
            <w:tcBorders>
              <w:top w:val="nil"/>
              <w:left w:val="nil"/>
              <w:bottom w:val="nil"/>
              <w:right w:val="nil"/>
            </w:tcBorders>
            <w:shd w:val="clear" w:color="auto" w:fill="auto"/>
            <w:noWrap/>
            <w:vAlign w:val="bottom"/>
            <w:hideMark/>
          </w:tcPr>
          <w:p w14:paraId="015BCDF1" w14:textId="153727D5" w:rsidR="00A275CF" w:rsidRPr="00A275CF" w:rsidRDefault="00A275CF" w:rsidP="00A275CF">
            <w:pPr>
              <w:spacing w:after="0" w:line="240" w:lineRule="auto"/>
              <w:rPr>
                <w:rFonts w:ascii="Calibri" w:eastAsia="Times New Roman" w:hAnsi="Calibri" w:cs="Arial"/>
                <w:b/>
                <w:bCs/>
                <w:sz w:val="20"/>
                <w:szCs w:val="20"/>
                <w:lang w:eastAsia="cs-CZ"/>
              </w:rPr>
            </w:pPr>
            <w:r w:rsidRPr="00A275CF">
              <w:rPr>
                <w:rFonts w:ascii="Calibri" w:eastAsia="Times New Roman" w:hAnsi="Calibri" w:cs="Arial"/>
                <w:b/>
                <w:bCs/>
                <w:sz w:val="20"/>
                <w:szCs w:val="20"/>
                <w:lang w:eastAsia="cs-CZ"/>
              </w:rPr>
              <w:t xml:space="preserve">Stav na účtech </w:t>
            </w:r>
            <w:r w:rsidR="002178E3">
              <w:rPr>
                <w:rFonts w:ascii="Calibri" w:eastAsia="Times New Roman" w:hAnsi="Calibri" w:cs="Arial"/>
                <w:b/>
                <w:bCs/>
                <w:sz w:val="20"/>
                <w:szCs w:val="20"/>
                <w:lang w:eastAsia="cs-CZ"/>
              </w:rPr>
              <w:t xml:space="preserve">SK </w:t>
            </w:r>
            <w:r w:rsidRPr="00A275CF">
              <w:rPr>
                <w:rFonts w:ascii="Calibri" w:eastAsia="Times New Roman" w:hAnsi="Calibri" w:cs="Arial"/>
                <w:b/>
                <w:bCs/>
                <w:sz w:val="20"/>
                <w:szCs w:val="20"/>
                <w:lang w:eastAsia="cs-CZ"/>
              </w:rPr>
              <w:t>k 31.12.2021 (bez depozitních účtů)</w:t>
            </w:r>
          </w:p>
        </w:tc>
        <w:tc>
          <w:tcPr>
            <w:tcW w:w="2050" w:type="dxa"/>
            <w:tcBorders>
              <w:top w:val="nil"/>
              <w:left w:val="nil"/>
              <w:bottom w:val="nil"/>
              <w:right w:val="nil"/>
            </w:tcBorders>
            <w:shd w:val="clear" w:color="auto" w:fill="auto"/>
            <w:noWrap/>
            <w:vAlign w:val="bottom"/>
            <w:hideMark/>
          </w:tcPr>
          <w:p w14:paraId="39F83858" w14:textId="77777777" w:rsidR="00A275CF" w:rsidRPr="00A275CF" w:rsidRDefault="00A275CF" w:rsidP="00A275CF">
            <w:pPr>
              <w:spacing w:after="0" w:line="240" w:lineRule="auto"/>
              <w:rPr>
                <w:rFonts w:ascii="Calibri" w:eastAsia="Times New Roman" w:hAnsi="Calibri" w:cs="Arial"/>
                <w:b/>
                <w:bCs/>
                <w:sz w:val="20"/>
                <w:szCs w:val="20"/>
                <w:lang w:eastAsia="cs-CZ"/>
              </w:rPr>
            </w:pPr>
          </w:p>
        </w:tc>
        <w:tc>
          <w:tcPr>
            <w:tcW w:w="1984" w:type="dxa"/>
            <w:tcBorders>
              <w:top w:val="nil"/>
              <w:left w:val="nil"/>
              <w:bottom w:val="nil"/>
              <w:right w:val="nil"/>
            </w:tcBorders>
            <w:shd w:val="clear" w:color="auto" w:fill="auto"/>
            <w:noWrap/>
            <w:vAlign w:val="bottom"/>
            <w:hideMark/>
          </w:tcPr>
          <w:p w14:paraId="02965EBE" w14:textId="77777777" w:rsidR="00A275CF" w:rsidRPr="00A275CF" w:rsidRDefault="00A275CF" w:rsidP="00A275CF">
            <w:pPr>
              <w:spacing w:after="0" w:line="240" w:lineRule="auto"/>
              <w:jc w:val="right"/>
              <w:rPr>
                <w:rFonts w:ascii="Calibri" w:eastAsia="Times New Roman" w:hAnsi="Calibri" w:cs="Arial"/>
                <w:b/>
                <w:bCs/>
                <w:sz w:val="20"/>
                <w:szCs w:val="20"/>
                <w:lang w:eastAsia="cs-CZ"/>
              </w:rPr>
            </w:pPr>
            <w:r w:rsidRPr="00A275CF">
              <w:rPr>
                <w:rFonts w:ascii="Calibri" w:eastAsia="Times New Roman" w:hAnsi="Calibri" w:cs="Arial"/>
                <w:b/>
                <w:bCs/>
                <w:sz w:val="20"/>
                <w:szCs w:val="20"/>
                <w:lang w:eastAsia="cs-CZ"/>
              </w:rPr>
              <w:t>4 096 970 145,81</w:t>
            </w:r>
          </w:p>
        </w:tc>
        <w:tc>
          <w:tcPr>
            <w:tcW w:w="546" w:type="dxa"/>
            <w:tcBorders>
              <w:top w:val="nil"/>
              <w:left w:val="nil"/>
              <w:bottom w:val="nil"/>
              <w:right w:val="nil"/>
            </w:tcBorders>
            <w:shd w:val="clear" w:color="auto" w:fill="auto"/>
            <w:noWrap/>
            <w:vAlign w:val="bottom"/>
            <w:hideMark/>
          </w:tcPr>
          <w:p w14:paraId="5DBD44A3" w14:textId="77777777" w:rsidR="00A275CF" w:rsidRPr="00A275CF" w:rsidRDefault="00A275CF" w:rsidP="00A275CF">
            <w:pPr>
              <w:spacing w:after="0" w:line="240" w:lineRule="auto"/>
              <w:rPr>
                <w:rFonts w:ascii="Calibri" w:eastAsia="Times New Roman" w:hAnsi="Calibri" w:cs="Arial"/>
                <w:b/>
                <w:bCs/>
                <w:sz w:val="20"/>
                <w:szCs w:val="20"/>
                <w:lang w:eastAsia="cs-CZ"/>
              </w:rPr>
            </w:pPr>
            <w:r w:rsidRPr="00A275CF">
              <w:rPr>
                <w:rFonts w:ascii="Calibri" w:eastAsia="Times New Roman" w:hAnsi="Calibri" w:cs="Arial"/>
                <w:b/>
                <w:bCs/>
                <w:sz w:val="20"/>
                <w:szCs w:val="20"/>
                <w:lang w:eastAsia="cs-CZ"/>
              </w:rPr>
              <w:t>Kč</w:t>
            </w:r>
          </w:p>
        </w:tc>
      </w:tr>
    </w:tbl>
    <w:p w14:paraId="4FC3A086" w14:textId="584B825E" w:rsidR="00A275CF" w:rsidRDefault="00A275CF"/>
    <w:p w14:paraId="63D52A0F" w14:textId="03BB8075" w:rsidR="00A275CF" w:rsidRDefault="00A275CF"/>
    <w:p w14:paraId="6E80583B" w14:textId="77777777" w:rsidR="002178E3" w:rsidRPr="002178E3" w:rsidRDefault="002178E3" w:rsidP="002178E3">
      <w:pPr>
        <w:spacing w:after="0" w:line="240" w:lineRule="auto"/>
        <w:rPr>
          <w:rFonts w:ascii="Calibri" w:eastAsia="Times New Roman" w:hAnsi="Calibri" w:cs="Calibri"/>
          <w:sz w:val="18"/>
          <w:szCs w:val="18"/>
          <w:lang w:eastAsia="cs-CZ"/>
        </w:rPr>
      </w:pPr>
      <w:r w:rsidRPr="002178E3">
        <w:rPr>
          <w:rFonts w:ascii="Calibri" w:eastAsia="Times New Roman" w:hAnsi="Calibri" w:cs="Calibri"/>
          <w:sz w:val="18"/>
          <w:szCs w:val="18"/>
          <w:lang w:eastAsia="cs-CZ"/>
        </w:rPr>
        <w:t xml:space="preserve">*) změna stavu finančních prostředků na účtech představuje ve schváleném a upraveném rozpočtu zapojení prostředků (zůstatku) z minulých let. Ve skutečnosti představuje financování změnu stavu na bankovních účtech. Příjmy - výdaje = přebytek(+) / schodek(-) = financování -/+. Tzn. rozpočet přebytkový tj. kladný rozdíl mezi příjmy a výdaji, financování je rovno minus (stav ke konci vykazovaného období je vyšší než stav k 1.1.), rozpočet schodkový, tj záporný rozdíl příjmů a výdajů, financování je plusové (stav vykazovaného období je nižší než stav k 1.1.). </w:t>
      </w:r>
    </w:p>
    <w:p w14:paraId="6201389E" w14:textId="63E5E322" w:rsidR="00A275CF" w:rsidRDefault="00A275CF"/>
    <w:p w14:paraId="0547721C" w14:textId="20F15F16" w:rsidR="00A275CF" w:rsidRDefault="00A275CF"/>
    <w:tbl>
      <w:tblPr>
        <w:tblW w:w="9923" w:type="dxa"/>
        <w:tblCellMar>
          <w:left w:w="70" w:type="dxa"/>
          <w:right w:w="70" w:type="dxa"/>
        </w:tblCellMar>
        <w:tblLook w:val="04A0" w:firstRow="1" w:lastRow="0" w:firstColumn="1" w:lastColumn="0" w:noHBand="0" w:noVBand="1"/>
      </w:tblPr>
      <w:tblGrid>
        <w:gridCol w:w="4253"/>
        <w:gridCol w:w="1417"/>
        <w:gridCol w:w="1701"/>
        <w:gridCol w:w="1701"/>
        <w:gridCol w:w="851"/>
      </w:tblGrid>
      <w:tr w:rsidR="000B3331" w:rsidRPr="000B3331" w14:paraId="5CB73858" w14:textId="77777777" w:rsidTr="000B3331">
        <w:trPr>
          <w:trHeight w:val="440"/>
        </w:trPr>
        <w:tc>
          <w:tcPr>
            <w:tcW w:w="7371" w:type="dxa"/>
            <w:gridSpan w:val="3"/>
            <w:tcBorders>
              <w:top w:val="nil"/>
              <w:left w:val="nil"/>
              <w:bottom w:val="nil"/>
              <w:right w:val="nil"/>
            </w:tcBorders>
            <w:shd w:val="clear" w:color="auto" w:fill="auto"/>
            <w:noWrap/>
            <w:vAlign w:val="bottom"/>
            <w:hideMark/>
          </w:tcPr>
          <w:p w14:paraId="29CB7337" w14:textId="77777777" w:rsidR="000B3331" w:rsidRPr="000B3331" w:rsidRDefault="000B3331" w:rsidP="000B3331">
            <w:pPr>
              <w:spacing w:after="0" w:line="240" w:lineRule="auto"/>
              <w:rPr>
                <w:rFonts w:ascii="Calibri" w:eastAsia="Times New Roman" w:hAnsi="Calibri" w:cs="Arial"/>
                <w:b/>
                <w:bCs/>
                <w:sz w:val="36"/>
                <w:szCs w:val="36"/>
                <w:lang w:eastAsia="cs-CZ"/>
              </w:rPr>
            </w:pPr>
            <w:r w:rsidRPr="000B3331">
              <w:rPr>
                <w:rFonts w:ascii="Calibri" w:eastAsia="Times New Roman" w:hAnsi="Calibri" w:cs="Arial"/>
                <w:b/>
                <w:bCs/>
                <w:sz w:val="36"/>
                <w:szCs w:val="36"/>
                <w:lang w:eastAsia="cs-CZ"/>
              </w:rPr>
              <w:t xml:space="preserve">Čerpání rozpočtu Středočeského kraje </w:t>
            </w:r>
          </w:p>
        </w:tc>
        <w:tc>
          <w:tcPr>
            <w:tcW w:w="1701" w:type="dxa"/>
            <w:tcBorders>
              <w:top w:val="nil"/>
              <w:left w:val="nil"/>
              <w:bottom w:val="nil"/>
              <w:right w:val="nil"/>
            </w:tcBorders>
            <w:shd w:val="clear" w:color="auto" w:fill="auto"/>
            <w:noWrap/>
            <w:vAlign w:val="bottom"/>
            <w:hideMark/>
          </w:tcPr>
          <w:p w14:paraId="7D0FD214" w14:textId="77777777" w:rsidR="000B3331" w:rsidRPr="000B3331" w:rsidRDefault="000B3331" w:rsidP="000B3331">
            <w:pPr>
              <w:spacing w:after="0" w:line="240" w:lineRule="auto"/>
              <w:rPr>
                <w:rFonts w:ascii="Calibri" w:eastAsia="Times New Roman" w:hAnsi="Calibri" w:cs="Arial"/>
                <w:b/>
                <w:bCs/>
                <w:sz w:val="36"/>
                <w:szCs w:val="36"/>
                <w:lang w:eastAsia="cs-CZ"/>
              </w:rPr>
            </w:pPr>
          </w:p>
        </w:tc>
        <w:tc>
          <w:tcPr>
            <w:tcW w:w="851" w:type="dxa"/>
            <w:tcBorders>
              <w:top w:val="nil"/>
              <w:left w:val="nil"/>
              <w:bottom w:val="nil"/>
              <w:right w:val="nil"/>
            </w:tcBorders>
            <w:shd w:val="clear" w:color="auto" w:fill="auto"/>
            <w:noWrap/>
            <w:vAlign w:val="bottom"/>
            <w:hideMark/>
          </w:tcPr>
          <w:p w14:paraId="62FB45F2" w14:textId="77777777" w:rsidR="000B3331" w:rsidRPr="000B3331" w:rsidRDefault="000B3331" w:rsidP="000B3331">
            <w:pPr>
              <w:spacing w:after="0" w:line="240" w:lineRule="auto"/>
              <w:rPr>
                <w:rFonts w:ascii="Times New Roman" w:eastAsia="Times New Roman" w:hAnsi="Times New Roman" w:cs="Times New Roman"/>
                <w:sz w:val="20"/>
                <w:szCs w:val="20"/>
                <w:lang w:eastAsia="cs-CZ"/>
              </w:rPr>
            </w:pPr>
          </w:p>
        </w:tc>
      </w:tr>
      <w:tr w:rsidR="000B3331" w:rsidRPr="000B3331" w14:paraId="33A4CD11" w14:textId="77777777" w:rsidTr="000B3331">
        <w:trPr>
          <w:trHeight w:val="360"/>
        </w:trPr>
        <w:tc>
          <w:tcPr>
            <w:tcW w:w="4253" w:type="dxa"/>
            <w:tcBorders>
              <w:top w:val="nil"/>
              <w:left w:val="nil"/>
              <w:bottom w:val="nil"/>
              <w:right w:val="nil"/>
            </w:tcBorders>
            <w:shd w:val="clear" w:color="auto" w:fill="auto"/>
            <w:noWrap/>
            <w:vAlign w:val="bottom"/>
            <w:hideMark/>
          </w:tcPr>
          <w:p w14:paraId="7BF9633A" w14:textId="77777777" w:rsidR="000B3331" w:rsidRPr="000B3331" w:rsidRDefault="000B3331" w:rsidP="000B3331">
            <w:pPr>
              <w:spacing w:after="0" w:line="240" w:lineRule="auto"/>
              <w:rPr>
                <w:rFonts w:ascii="Calibri" w:eastAsia="Times New Roman" w:hAnsi="Calibri" w:cs="Arial"/>
                <w:b/>
                <w:bCs/>
                <w:sz w:val="28"/>
                <w:szCs w:val="28"/>
                <w:lang w:eastAsia="cs-CZ"/>
              </w:rPr>
            </w:pPr>
            <w:r w:rsidRPr="000B3331">
              <w:rPr>
                <w:rFonts w:ascii="Calibri" w:eastAsia="Times New Roman" w:hAnsi="Calibri" w:cs="Arial"/>
                <w:b/>
                <w:bCs/>
                <w:sz w:val="28"/>
                <w:szCs w:val="28"/>
                <w:lang w:eastAsia="cs-CZ"/>
              </w:rPr>
              <w:t>Období: 1. - 12. 2021</w:t>
            </w:r>
          </w:p>
        </w:tc>
        <w:tc>
          <w:tcPr>
            <w:tcW w:w="1417" w:type="dxa"/>
            <w:tcBorders>
              <w:top w:val="nil"/>
              <w:left w:val="nil"/>
              <w:bottom w:val="nil"/>
              <w:right w:val="nil"/>
            </w:tcBorders>
            <w:shd w:val="clear" w:color="auto" w:fill="auto"/>
            <w:noWrap/>
            <w:vAlign w:val="bottom"/>
            <w:hideMark/>
          </w:tcPr>
          <w:p w14:paraId="2960B16A" w14:textId="77777777" w:rsidR="000B3331" w:rsidRPr="000B3331" w:rsidRDefault="000B3331" w:rsidP="000B3331">
            <w:pPr>
              <w:spacing w:after="0" w:line="240" w:lineRule="auto"/>
              <w:rPr>
                <w:rFonts w:ascii="Calibri" w:eastAsia="Times New Roman" w:hAnsi="Calibri" w:cs="Arial"/>
                <w:b/>
                <w:bCs/>
                <w:sz w:val="28"/>
                <w:szCs w:val="28"/>
                <w:lang w:eastAsia="cs-CZ"/>
              </w:rPr>
            </w:pPr>
          </w:p>
        </w:tc>
        <w:tc>
          <w:tcPr>
            <w:tcW w:w="1701" w:type="dxa"/>
            <w:tcBorders>
              <w:top w:val="nil"/>
              <w:left w:val="nil"/>
              <w:bottom w:val="nil"/>
              <w:right w:val="nil"/>
            </w:tcBorders>
            <w:shd w:val="clear" w:color="auto" w:fill="auto"/>
            <w:noWrap/>
            <w:vAlign w:val="bottom"/>
            <w:hideMark/>
          </w:tcPr>
          <w:p w14:paraId="7D830765" w14:textId="77777777" w:rsidR="000B3331" w:rsidRPr="000B3331" w:rsidRDefault="000B3331" w:rsidP="000B3331">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26BFB05E" w14:textId="77777777" w:rsidR="000B3331" w:rsidRPr="000B3331" w:rsidRDefault="000B3331" w:rsidP="000B3331">
            <w:pPr>
              <w:spacing w:after="0" w:line="240" w:lineRule="auto"/>
              <w:rPr>
                <w:rFonts w:ascii="Times New Roman" w:eastAsia="Times New Roman" w:hAnsi="Times New Roman" w:cs="Times New Roman"/>
                <w:sz w:val="20"/>
                <w:szCs w:val="20"/>
                <w:lang w:eastAsia="cs-CZ"/>
              </w:rPr>
            </w:pPr>
          </w:p>
        </w:tc>
        <w:tc>
          <w:tcPr>
            <w:tcW w:w="851" w:type="dxa"/>
            <w:tcBorders>
              <w:top w:val="nil"/>
              <w:left w:val="nil"/>
              <w:bottom w:val="nil"/>
              <w:right w:val="nil"/>
            </w:tcBorders>
            <w:shd w:val="clear" w:color="auto" w:fill="auto"/>
            <w:noWrap/>
            <w:vAlign w:val="bottom"/>
            <w:hideMark/>
          </w:tcPr>
          <w:p w14:paraId="22DDD799" w14:textId="77777777" w:rsidR="000B3331" w:rsidRPr="000B3331" w:rsidRDefault="000B3331" w:rsidP="000B3331">
            <w:pPr>
              <w:spacing w:after="0" w:line="240" w:lineRule="auto"/>
              <w:rPr>
                <w:rFonts w:ascii="Times New Roman" w:eastAsia="Times New Roman" w:hAnsi="Times New Roman" w:cs="Times New Roman"/>
                <w:sz w:val="20"/>
                <w:szCs w:val="20"/>
                <w:lang w:eastAsia="cs-CZ"/>
              </w:rPr>
            </w:pPr>
          </w:p>
        </w:tc>
      </w:tr>
      <w:tr w:rsidR="000B3331" w:rsidRPr="000B3331" w14:paraId="5AE6F8C5" w14:textId="77777777" w:rsidTr="000B3331">
        <w:trPr>
          <w:trHeight w:val="360"/>
        </w:trPr>
        <w:tc>
          <w:tcPr>
            <w:tcW w:w="4253" w:type="dxa"/>
            <w:tcBorders>
              <w:top w:val="nil"/>
              <w:left w:val="nil"/>
              <w:bottom w:val="nil"/>
              <w:right w:val="nil"/>
            </w:tcBorders>
            <w:shd w:val="clear" w:color="auto" w:fill="auto"/>
            <w:noWrap/>
            <w:vAlign w:val="bottom"/>
            <w:hideMark/>
          </w:tcPr>
          <w:p w14:paraId="545BDFC3" w14:textId="77777777" w:rsidR="000B3331" w:rsidRPr="000B3331" w:rsidRDefault="000B3331" w:rsidP="000B3331">
            <w:pPr>
              <w:spacing w:after="0" w:line="240" w:lineRule="auto"/>
              <w:rPr>
                <w:rFonts w:ascii="Times New Roman" w:eastAsia="Times New Roman" w:hAnsi="Times New Roman" w:cs="Times New Roman"/>
                <w:sz w:val="20"/>
                <w:szCs w:val="20"/>
                <w:lang w:eastAsia="cs-CZ"/>
              </w:rPr>
            </w:pPr>
          </w:p>
        </w:tc>
        <w:tc>
          <w:tcPr>
            <w:tcW w:w="1417" w:type="dxa"/>
            <w:tcBorders>
              <w:top w:val="nil"/>
              <w:left w:val="nil"/>
              <w:bottom w:val="nil"/>
              <w:right w:val="nil"/>
            </w:tcBorders>
            <w:shd w:val="clear" w:color="auto" w:fill="auto"/>
            <w:noWrap/>
            <w:vAlign w:val="bottom"/>
            <w:hideMark/>
          </w:tcPr>
          <w:p w14:paraId="63A42CD4" w14:textId="77777777" w:rsidR="000B3331" w:rsidRPr="000B3331" w:rsidRDefault="000B3331" w:rsidP="000B3331">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2C58BDEC" w14:textId="77777777" w:rsidR="000B3331" w:rsidRPr="000B3331" w:rsidRDefault="000B3331" w:rsidP="000B3331">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637AD8B4" w14:textId="77777777" w:rsidR="000B3331" w:rsidRPr="000B3331" w:rsidRDefault="000B3331" w:rsidP="000B3331">
            <w:pPr>
              <w:spacing w:after="0" w:line="240" w:lineRule="auto"/>
              <w:rPr>
                <w:rFonts w:ascii="Times New Roman" w:eastAsia="Times New Roman" w:hAnsi="Times New Roman" w:cs="Times New Roman"/>
                <w:sz w:val="20"/>
                <w:szCs w:val="20"/>
                <w:lang w:eastAsia="cs-CZ"/>
              </w:rPr>
            </w:pPr>
          </w:p>
        </w:tc>
        <w:tc>
          <w:tcPr>
            <w:tcW w:w="851" w:type="dxa"/>
            <w:tcBorders>
              <w:top w:val="nil"/>
              <w:left w:val="nil"/>
              <w:bottom w:val="nil"/>
              <w:right w:val="nil"/>
            </w:tcBorders>
            <w:shd w:val="clear" w:color="auto" w:fill="auto"/>
            <w:noWrap/>
            <w:vAlign w:val="bottom"/>
            <w:hideMark/>
          </w:tcPr>
          <w:p w14:paraId="7AD866A6" w14:textId="77777777" w:rsidR="000B3331" w:rsidRPr="000B3331" w:rsidRDefault="000B3331" w:rsidP="000B3331">
            <w:pPr>
              <w:spacing w:after="0" w:line="240" w:lineRule="auto"/>
              <w:rPr>
                <w:rFonts w:ascii="Times New Roman" w:eastAsia="Times New Roman" w:hAnsi="Times New Roman" w:cs="Times New Roman"/>
                <w:sz w:val="20"/>
                <w:szCs w:val="20"/>
                <w:lang w:eastAsia="cs-CZ"/>
              </w:rPr>
            </w:pPr>
          </w:p>
        </w:tc>
      </w:tr>
      <w:tr w:rsidR="000B3331" w:rsidRPr="000B3331" w14:paraId="0DCEC81B" w14:textId="77777777" w:rsidTr="000B3331">
        <w:trPr>
          <w:trHeight w:val="360"/>
        </w:trPr>
        <w:tc>
          <w:tcPr>
            <w:tcW w:w="4253" w:type="dxa"/>
            <w:tcBorders>
              <w:top w:val="nil"/>
              <w:left w:val="nil"/>
              <w:bottom w:val="nil"/>
              <w:right w:val="nil"/>
            </w:tcBorders>
            <w:shd w:val="clear" w:color="auto" w:fill="auto"/>
            <w:noWrap/>
            <w:vAlign w:val="bottom"/>
            <w:hideMark/>
          </w:tcPr>
          <w:p w14:paraId="69E2912E" w14:textId="77777777" w:rsidR="000B3331" w:rsidRPr="000B3331" w:rsidRDefault="000B3331" w:rsidP="000B3331">
            <w:pPr>
              <w:spacing w:after="0" w:line="240" w:lineRule="auto"/>
              <w:rPr>
                <w:rFonts w:ascii="Calibri" w:eastAsia="Times New Roman" w:hAnsi="Calibri" w:cs="Arial"/>
                <w:b/>
                <w:bCs/>
                <w:sz w:val="28"/>
                <w:szCs w:val="28"/>
                <w:lang w:eastAsia="cs-CZ"/>
              </w:rPr>
            </w:pPr>
            <w:r w:rsidRPr="000B3331">
              <w:rPr>
                <w:rFonts w:ascii="Calibri" w:eastAsia="Times New Roman" w:hAnsi="Calibri" w:cs="Arial"/>
                <w:b/>
                <w:bCs/>
                <w:sz w:val="28"/>
                <w:szCs w:val="28"/>
                <w:lang w:eastAsia="cs-CZ"/>
              </w:rPr>
              <w:t>Sumář příjmů</w:t>
            </w:r>
          </w:p>
        </w:tc>
        <w:tc>
          <w:tcPr>
            <w:tcW w:w="1417" w:type="dxa"/>
            <w:tcBorders>
              <w:top w:val="nil"/>
              <w:left w:val="nil"/>
              <w:bottom w:val="nil"/>
              <w:right w:val="nil"/>
            </w:tcBorders>
            <w:shd w:val="clear" w:color="auto" w:fill="auto"/>
            <w:noWrap/>
            <w:vAlign w:val="bottom"/>
            <w:hideMark/>
          </w:tcPr>
          <w:p w14:paraId="33E875F7" w14:textId="77777777" w:rsidR="000B3331" w:rsidRPr="000B3331" w:rsidRDefault="000B3331" w:rsidP="000B3331">
            <w:pPr>
              <w:spacing w:after="0" w:line="240" w:lineRule="auto"/>
              <w:rPr>
                <w:rFonts w:ascii="Calibri" w:eastAsia="Times New Roman" w:hAnsi="Calibri" w:cs="Arial"/>
                <w:b/>
                <w:bCs/>
                <w:sz w:val="28"/>
                <w:szCs w:val="28"/>
                <w:lang w:eastAsia="cs-CZ"/>
              </w:rPr>
            </w:pPr>
          </w:p>
        </w:tc>
        <w:tc>
          <w:tcPr>
            <w:tcW w:w="1701" w:type="dxa"/>
            <w:tcBorders>
              <w:top w:val="nil"/>
              <w:left w:val="nil"/>
              <w:bottom w:val="nil"/>
              <w:right w:val="nil"/>
            </w:tcBorders>
            <w:shd w:val="clear" w:color="auto" w:fill="auto"/>
            <w:noWrap/>
            <w:vAlign w:val="bottom"/>
            <w:hideMark/>
          </w:tcPr>
          <w:p w14:paraId="78025FEA" w14:textId="77777777" w:rsidR="000B3331" w:rsidRPr="000B3331" w:rsidRDefault="000B3331" w:rsidP="000B3331">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0E269663" w14:textId="77777777" w:rsidR="000B3331" w:rsidRPr="000B3331" w:rsidRDefault="000B3331" w:rsidP="000B3331">
            <w:pPr>
              <w:spacing w:after="0" w:line="240" w:lineRule="auto"/>
              <w:rPr>
                <w:rFonts w:ascii="Times New Roman" w:eastAsia="Times New Roman" w:hAnsi="Times New Roman" w:cs="Times New Roman"/>
                <w:sz w:val="20"/>
                <w:szCs w:val="20"/>
                <w:lang w:eastAsia="cs-CZ"/>
              </w:rPr>
            </w:pPr>
          </w:p>
        </w:tc>
        <w:tc>
          <w:tcPr>
            <w:tcW w:w="851" w:type="dxa"/>
            <w:tcBorders>
              <w:top w:val="nil"/>
              <w:left w:val="nil"/>
              <w:bottom w:val="nil"/>
              <w:right w:val="nil"/>
            </w:tcBorders>
            <w:shd w:val="clear" w:color="auto" w:fill="auto"/>
            <w:noWrap/>
            <w:vAlign w:val="bottom"/>
            <w:hideMark/>
          </w:tcPr>
          <w:p w14:paraId="79640989" w14:textId="77777777" w:rsidR="000B3331" w:rsidRPr="000B3331" w:rsidRDefault="000B3331" w:rsidP="000B3331">
            <w:pPr>
              <w:spacing w:after="0" w:line="240" w:lineRule="auto"/>
              <w:rPr>
                <w:rFonts w:ascii="Times New Roman" w:eastAsia="Times New Roman" w:hAnsi="Times New Roman" w:cs="Times New Roman"/>
                <w:sz w:val="20"/>
                <w:szCs w:val="20"/>
                <w:lang w:eastAsia="cs-CZ"/>
              </w:rPr>
            </w:pPr>
          </w:p>
        </w:tc>
      </w:tr>
      <w:tr w:rsidR="000B3331" w:rsidRPr="000B3331" w14:paraId="45741856" w14:textId="77777777" w:rsidTr="000B3331">
        <w:trPr>
          <w:trHeight w:val="360"/>
        </w:trPr>
        <w:tc>
          <w:tcPr>
            <w:tcW w:w="4253" w:type="dxa"/>
            <w:tcBorders>
              <w:top w:val="nil"/>
              <w:left w:val="nil"/>
              <w:bottom w:val="nil"/>
              <w:right w:val="nil"/>
            </w:tcBorders>
            <w:shd w:val="clear" w:color="auto" w:fill="auto"/>
            <w:noWrap/>
            <w:vAlign w:val="bottom"/>
            <w:hideMark/>
          </w:tcPr>
          <w:p w14:paraId="50DF66AF" w14:textId="77777777" w:rsidR="000B3331" w:rsidRPr="000B3331" w:rsidRDefault="000B3331" w:rsidP="000B3331">
            <w:pPr>
              <w:spacing w:after="0" w:line="240" w:lineRule="auto"/>
              <w:rPr>
                <w:rFonts w:ascii="Times New Roman" w:eastAsia="Times New Roman" w:hAnsi="Times New Roman" w:cs="Times New Roman"/>
                <w:sz w:val="20"/>
                <w:szCs w:val="20"/>
                <w:lang w:eastAsia="cs-CZ"/>
              </w:rPr>
            </w:pPr>
          </w:p>
        </w:tc>
        <w:tc>
          <w:tcPr>
            <w:tcW w:w="1417" w:type="dxa"/>
            <w:tcBorders>
              <w:top w:val="nil"/>
              <w:left w:val="nil"/>
              <w:bottom w:val="nil"/>
              <w:right w:val="nil"/>
            </w:tcBorders>
            <w:shd w:val="clear" w:color="auto" w:fill="auto"/>
            <w:noWrap/>
            <w:vAlign w:val="bottom"/>
            <w:hideMark/>
          </w:tcPr>
          <w:p w14:paraId="25732E3A" w14:textId="77777777" w:rsidR="000B3331" w:rsidRPr="000B3331" w:rsidRDefault="000B3331" w:rsidP="000B3331">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4EC13B10" w14:textId="77777777" w:rsidR="000B3331" w:rsidRPr="000B3331" w:rsidRDefault="000B3331" w:rsidP="000B3331">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6603C667" w14:textId="77777777" w:rsidR="000B3331" w:rsidRPr="000B3331" w:rsidRDefault="000B3331" w:rsidP="000B3331">
            <w:pPr>
              <w:spacing w:after="0" w:line="240" w:lineRule="auto"/>
              <w:rPr>
                <w:rFonts w:ascii="Times New Roman" w:eastAsia="Times New Roman" w:hAnsi="Times New Roman" w:cs="Times New Roman"/>
                <w:sz w:val="20"/>
                <w:szCs w:val="20"/>
                <w:lang w:eastAsia="cs-CZ"/>
              </w:rPr>
            </w:pPr>
          </w:p>
        </w:tc>
        <w:tc>
          <w:tcPr>
            <w:tcW w:w="851" w:type="dxa"/>
            <w:tcBorders>
              <w:top w:val="nil"/>
              <w:left w:val="nil"/>
              <w:bottom w:val="nil"/>
              <w:right w:val="nil"/>
            </w:tcBorders>
            <w:shd w:val="clear" w:color="auto" w:fill="auto"/>
            <w:noWrap/>
            <w:vAlign w:val="bottom"/>
            <w:hideMark/>
          </w:tcPr>
          <w:p w14:paraId="39DF4558" w14:textId="77777777" w:rsidR="000B3331" w:rsidRPr="000B3331" w:rsidRDefault="000B3331" w:rsidP="000B3331">
            <w:pPr>
              <w:spacing w:after="0" w:line="240" w:lineRule="auto"/>
              <w:rPr>
                <w:rFonts w:ascii="Times New Roman" w:eastAsia="Times New Roman" w:hAnsi="Times New Roman" w:cs="Times New Roman"/>
                <w:sz w:val="20"/>
                <w:szCs w:val="20"/>
                <w:lang w:eastAsia="cs-CZ"/>
              </w:rPr>
            </w:pPr>
          </w:p>
        </w:tc>
      </w:tr>
      <w:tr w:rsidR="000B3331" w:rsidRPr="000B3331" w14:paraId="4DD0115D" w14:textId="77777777" w:rsidTr="000B3331">
        <w:trPr>
          <w:trHeight w:val="360"/>
        </w:trPr>
        <w:tc>
          <w:tcPr>
            <w:tcW w:w="4253" w:type="dxa"/>
            <w:tcBorders>
              <w:top w:val="nil"/>
              <w:left w:val="nil"/>
              <w:bottom w:val="nil"/>
              <w:right w:val="nil"/>
            </w:tcBorders>
            <w:shd w:val="clear" w:color="auto" w:fill="auto"/>
            <w:noWrap/>
            <w:vAlign w:val="bottom"/>
            <w:hideMark/>
          </w:tcPr>
          <w:p w14:paraId="11D66D24" w14:textId="77777777" w:rsidR="000B3331" w:rsidRPr="000B3331" w:rsidRDefault="000B3331" w:rsidP="000B3331">
            <w:pPr>
              <w:spacing w:after="0" w:line="240" w:lineRule="auto"/>
              <w:rPr>
                <w:rFonts w:ascii="Times New Roman" w:eastAsia="Times New Roman" w:hAnsi="Times New Roman" w:cs="Times New Roman"/>
                <w:sz w:val="20"/>
                <w:szCs w:val="20"/>
                <w:lang w:eastAsia="cs-CZ"/>
              </w:rPr>
            </w:pPr>
          </w:p>
        </w:tc>
        <w:tc>
          <w:tcPr>
            <w:tcW w:w="1417" w:type="dxa"/>
            <w:tcBorders>
              <w:top w:val="nil"/>
              <w:left w:val="nil"/>
              <w:bottom w:val="nil"/>
              <w:right w:val="nil"/>
            </w:tcBorders>
            <w:shd w:val="clear" w:color="auto" w:fill="auto"/>
            <w:noWrap/>
            <w:vAlign w:val="bottom"/>
            <w:hideMark/>
          </w:tcPr>
          <w:p w14:paraId="6A25C602" w14:textId="77777777" w:rsidR="000B3331" w:rsidRPr="000B3331" w:rsidRDefault="000B3331" w:rsidP="000B3331">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462A22F4" w14:textId="77777777" w:rsidR="000B3331" w:rsidRPr="000B3331" w:rsidRDefault="000B3331" w:rsidP="000B3331">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598BB784" w14:textId="77777777" w:rsidR="000B3331" w:rsidRPr="000B3331" w:rsidRDefault="000B3331" w:rsidP="000B3331">
            <w:pPr>
              <w:spacing w:after="0" w:line="240" w:lineRule="auto"/>
              <w:rPr>
                <w:rFonts w:ascii="Times New Roman" w:eastAsia="Times New Roman" w:hAnsi="Times New Roman" w:cs="Times New Roman"/>
                <w:sz w:val="20"/>
                <w:szCs w:val="20"/>
                <w:lang w:eastAsia="cs-CZ"/>
              </w:rPr>
            </w:pPr>
          </w:p>
        </w:tc>
        <w:tc>
          <w:tcPr>
            <w:tcW w:w="851" w:type="dxa"/>
            <w:tcBorders>
              <w:top w:val="nil"/>
              <w:left w:val="nil"/>
              <w:bottom w:val="nil"/>
              <w:right w:val="nil"/>
            </w:tcBorders>
            <w:shd w:val="clear" w:color="auto" w:fill="auto"/>
            <w:noWrap/>
            <w:vAlign w:val="bottom"/>
            <w:hideMark/>
          </w:tcPr>
          <w:p w14:paraId="600C2ABA" w14:textId="77777777" w:rsidR="000B3331" w:rsidRPr="000B3331" w:rsidRDefault="000B3331" w:rsidP="000B3331">
            <w:pPr>
              <w:spacing w:after="0" w:line="240" w:lineRule="auto"/>
              <w:jc w:val="right"/>
              <w:rPr>
                <w:rFonts w:ascii="Calibri" w:eastAsia="Times New Roman" w:hAnsi="Calibri" w:cs="Arial"/>
                <w:lang w:eastAsia="cs-CZ"/>
              </w:rPr>
            </w:pPr>
            <w:r w:rsidRPr="000B3331">
              <w:rPr>
                <w:rFonts w:ascii="Calibri" w:eastAsia="Times New Roman" w:hAnsi="Calibri" w:cs="Arial"/>
                <w:lang w:eastAsia="cs-CZ"/>
              </w:rPr>
              <w:t>v Kč</w:t>
            </w:r>
          </w:p>
        </w:tc>
      </w:tr>
      <w:tr w:rsidR="000B3331" w:rsidRPr="000B3331" w14:paraId="69B4D2C1" w14:textId="77777777" w:rsidTr="000B3331">
        <w:trPr>
          <w:trHeight w:val="960"/>
        </w:trPr>
        <w:tc>
          <w:tcPr>
            <w:tcW w:w="4253" w:type="dxa"/>
            <w:tcBorders>
              <w:top w:val="single" w:sz="8" w:space="0" w:color="auto"/>
              <w:left w:val="single" w:sz="8" w:space="0" w:color="auto"/>
              <w:bottom w:val="single" w:sz="8" w:space="0" w:color="auto"/>
              <w:right w:val="single" w:sz="4" w:space="0" w:color="auto"/>
            </w:tcBorders>
            <w:shd w:val="clear" w:color="000000" w:fill="CCFFFF"/>
            <w:noWrap/>
            <w:vAlign w:val="center"/>
            <w:hideMark/>
          </w:tcPr>
          <w:p w14:paraId="4236F6ED" w14:textId="77777777" w:rsidR="000B3331" w:rsidRPr="000B3331" w:rsidRDefault="000B3331" w:rsidP="000B3331">
            <w:pPr>
              <w:spacing w:after="0" w:line="240" w:lineRule="auto"/>
              <w:jc w:val="center"/>
              <w:rPr>
                <w:rFonts w:ascii="Calibri" w:eastAsia="Times New Roman" w:hAnsi="Calibri" w:cs="Arial"/>
                <w:b/>
                <w:bCs/>
                <w:sz w:val="24"/>
                <w:szCs w:val="24"/>
                <w:lang w:eastAsia="cs-CZ"/>
              </w:rPr>
            </w:pPr>
            <w:r w:rsidRPr="000B3331">
              <w:rPr>
                <w:rFonts w:ascii="Calibri" w:eastAsia="Times New Roman" w:hAnsi="Calibri" w:cs="Arial"/>
                <w:b/>
                <w:bCs/>
                <w:sz w:val="24"/>
                <w:szCs w:val="24"/>
                <w:lang w:eastAsia="cs-CZ"/>
              </w:rPr>
              <w:t>Ukazatel</w:t>
            </w:r>
          </w:p>
        </w:tc>
        <w:tc>
          <w:tcPr>
            <w:tcW w:w="1417" w:type="dxa"/>
            <w:tcBorders>
              <w:top w:val="single" w:sz="8" w:space="0" w:color="auto"/>
              <w:left w:val="nil"/>
              <w:bottom w:val="single" w:sz="8" w:space="0" w:color="auto"/>
              <w:right w:val="single" w:sz="4" w:space="0" w:color="auto"/>
            </w:tcBorders>
            <w:shd w:val="clear" w:color="000000" w:fill="CCFFFF"/>
            <w:vAlign w:val="center"/>
            <w:hideMark/>
          </w:tcPr>
          <w:p w14:paraId="51ABA947" w14:textId="77777777" w:rsidR="000B3331" w:rsidRPr="000B3331" w:rsidRDefault="000B3331" w:rsidP="000B3331">
            <w:pPr>
              <w:spacing w:after="0" w:line="240" w:lineRule="auto"/>
              <w:jc w:val="center"/>
              <w:rPr>
                <w:rFonts w:ascii="Calibri" w:eastAsia="Times New Roman" w:hAnsi="Calibri" w:cs="Arial"/>
                <w:b/>
                <w:bCs/>
                <w:sz w:val="24"/>
                <w:szCs w:val="24"/>
                <w:lang w:eastAsia="cs-CZ"/>
              </w:rPr>
            </w:pPr>
            <w:r w:rsidRPr="000B3331">
              <w:rPr>
                <w:rFonts w:ascii="Calibri" w:eastAsia="Times New Roman" w:hAnsi="Calibri" w:cs="Arial"/>
                <w:b/>
                <w:bCs/>
                <w:sz w:val="24"/>
                <w:szCs w:val="24"/>
                <w:lang w:eastAsia="cs-CZ"/>
              </w:rPr>
              <w:t>Rozpočet 2021</w:t>
            </w:r>
          </w:p>
        </w:tc>
        <w:tc>
          <w:tcPr>
            <w:tcW w:w="1701" w:type="dxa"/>
            <w:tcBorders>
              <w:top w:val="single" w:sz="8" w:space="0" w:color="auto"/>
              <w:left w:val="nil"/>
              <w:bottom w:val="single" w:sz="8" w:space="0" w:color="auto"/>
              <w:right w:val="single" w:sz="4" w:space="0" w:color="auto"/>
            </w:tcBorders>
            <w:shd w:val="clear" w:color="000000" w:fill="CCFFFF"/>
            <w:vAlign w:val="center"/>
            <w:hideMark/>
          </w:tcPr>
          <w:p w14:paraId="4189F810" w14:textId="77777777" w:rsidR="000B3331" w:rsidRPr="000B3331" w:rsidRDefault="000B3331" w:rsidP="000B3331">
            <w:pPr>
              <w:spacing w:after="0" w:line="240" w:lineRule="auto"/>
              <w:jc w:val="center"/>
              <w:rPr>
                <w:rFonts w:ascii="Calibri" w:eastAsia="Times New Roman" w:hAnsi="Calibri" w:cs="Arial"/>
                <w:b/>
                <w:bCs/>
                <w:sz w:val="24"/>
                <w:szCs w:val="24"/>
                <w:lang w:eastAsia="cs-CZ"/>
              </w:rPr>
            </w:pPr>
            <w:r w:rsidRPr="000B3331">
              <w:rPr>
                <w:rFonts w:ascii="Calibri" w:eastAsia="Times New Roman" w:hAnsi="Calibri" w:cs="Arial"/>
                <w:b/>
                <w:bCs/>
                <w:sz w:val="24"/>
                <w:szCs w:val="24"/>
                <w:lang w:eastAsia="cs-CZ"/>
              </w:rPr>
              <w:t>Rozpočet                          po úpravě</w:t>
            </w:r>
          </w:p>
        </w:tc>
        <w:tc>
          <w:tcPr>
            <w:tcW w:w="1701" w:type="dxa"/>
            <w:tcBorders>
              <w:top w:val="single" w:sz="8" w:space="0" w:color="auto"/>
              <w:left w:val="nil"/>
              <w:bottom w:val="single" w:sz="8" w:space="0" w:color="auto"/>
              <w:right w:val="single" w:sz="4" w:space="0" w:color="auto"/>
            </w:tcBorders>
            <w:shd w:val="clear" w:color="000000" w:fill="CCFFFF"/>
            <w:noWrap/>
            <w:vAlign w:val="center"/>
            <w:hideMark/>
          </w:tcPr>
          <w:p w14:paraId="64FE4D89" w14:textId="77777777" w:rsidR="000B3331" w:rsidRPr="000B3331" w:rsidRDefault="000B3331" w:rsidP="000B3331">
            <w:pPr>
              <w:spacing w:after="0" w:line="240" w:lineRule="auto"/>
              <w:jc w:val="center"/>
              <w:rPr>
                <w:rFonts w:ascii="Calibri" w:eastAsia="Times New Roman" w:hAnsi="Calibri" w:cs="Arial"/>
                <w:b/>
                <w:bCs/>
                <w:sz w:val="24"/>
                <w:szCs w:val="24"/>
                <w:lang w:eastAsia="cs-CZ"/>
              </w:rPr>
            </w:pPr>
            <w:r w:rsidRPr="000B3331">
              <w:rPr>
                <w:rFonts w:ascii="Calibri" w:eastAsia="Times New Roman" w:hAnsi="Calibri" w:cs="Arial"/>
                <w:b/>
                <w:bCs/>
                <w:sz w:val="24"/>
                <w:szCs w:val="24"/>
                <w:lang w:eastAsia="cs-CZ"/>
              </w:rPr>
              <w:t xml:space="preserve">Skutečnost </w:t>
            </w:r>
          </w:p>
        </w:tc>
        <w:tc>
          <w:tcPr>
            <w:tcW w:w="851" w:type="dxa"/>
            <w:tcBorders>
              <w:top w:val="single" w:sz="8" w:space="0" w:color="auto"/>
              <w:left w:val="nil"/>
              <w:bottom w:val="single" w:sz="8" w:space="0" w:color="auto"/>
              <w:right w:val="single" w:sz="8" w:space="0" w:color="auto"/>
            </w:tcBorders>
            <w:shd w:val="clear" w:color="000000" w:fill="CCFFFF"/>
            <w:vAlign w:val="center"/>
            <w:hideMark/>
          </w:tcPr>
          <w:p w14:paraId="0AF164CD" w14:textId="77777777" w:rsidR="000B3331" w:rsidRPr="000B3331" w:rsidRDefault="000B3331" w:rsidP="000B3331">
            <w:pPr>
              <w:spacing w:after="0" w:line="240" w:lineRule="auto"/>
              <w:jc w:val="center"/>
              <w:rPr>
                <w:rFonts w:ascii="Calibri" w:eastAsia="Times New Roman" w:hAnsi="Calibri" w:cs="Arial"/>
                <w:b/>
                <w:bCs/>
                <w:sz w:val="24"/>
                <w:szCs w:val="24"/>
                <w:lang w:eastAsia="cs-CZ"/>
              </w:rPr>
            </w:pPr>
            <w:r w:rsidRPr="000B3331">
              <w:rPr>
                <w:rFonts w:ascii="Calibri" w:eastAsia="Times New Roman" w:hAnsi="Calibri" w:cs="Arial"/>
                <w:b/>
                <w:bCs/>
                <w:sz w:val="24"/>
                <w:szCs w:val="24"/>
                <w:lang w:eastAsia="cs-CZ"/>
              </w:rPr>
              <w:t>% plnění</w:t>
            </w:r>
          </w:p>
        </w:tc>
      </w:tr>
      <w:tr w:rsidR="000B3331" w:rsidRPr="000B3331" w14:paraId="650C5D7C" w14:textId="77777777" w:rsidTr="000B3331">
        <w:trPr>
          <w:trHeight w:val="405"/>
        </w:trPr>
        <w:tc>
          <w:tcPr>
            <w:tcW w:w="4253" w:type="dxa"/>
            <w:tcBorders>
              <w:top w:val="nil"/>
              <w:left w:val="single" w:sz="8" w:space="0" w:color="auto"/>
              <w:bottom w:val="single" w:sz="4" w:space="0" w:color="auto"/>
              <w:right w:val="single" w:sz="4" w:space="0" w:color="auto"/>
            </w:tcBorders>
            <w:shd w:val="clear" w:color="auto" w:fill="auto"/>
            <w:noWrap/>
            <w:vAlign w:val="bottom"/>
            <w:hideMark/>
          </w:tcPr>
          <w:p w14:paraId="59061E7D" w14:textId="77777777" w:rsidR="000B3331" w:rsidRPr="000B3331" w:rsidRDefault="000B3331" w:rsidP="000B3331">
            <w:pPr>
              <w:spacing w:after="0" w:line="240" w:lineRule="auto"/>
              <w:rPr>
                <w:rFonts w:ascii="Calibri" w:eastAsia="Times New Roman" w:hAnsi="Calibri" w:cs="Arial"/>
                <w:b/>
                <w:bCs/>
                <w:sz w:val="20"/>
                <w:szCs w:val="20"/>
                <w:lang w:eastAsia="cs-CZ"/>
              </w:rPr>
            </w:pPr>
            <w:r w:rsidRPr="000B3331">
              <w:rPr>
                <w:rFonts w:ascii="Calibri" w:eastAsia="Times New Roman" w:hAnsi="Calibri" w:cs="Arial"/>
                <w:b/>
                <w:bCs/>
                <w:sz w:val="20"/>
                <w:szCs w:val="20"/>
                <w:lang w:eastAsia="cs-CZ"/>
              </w:rPr>
              <w:t>Třída 1 - Daňové příjmy</w:t>
            </w:r>
          </w:p>
        </w:tc>
        <w:tc>
          <w:tcPr>
            <w:tcW w:w="1417" w:type="dxa"/>
            <w:tcBorders>
              <w:top w:val="nil"/>
              <w:left w:val="nil"/>
              <w:bottom w:val="single" w:sz="4" w:space="0" w:color="auto"/>
              <w:right w:val="single" w:sz="4" w:space="0" w:color="auto"/>
            </w:tcBorders>
            <w:shd w:val="clear" w:color="auto" w:fill="auto"/>
            <w:vAlign w:val="bottom"/>
            <w:hideMark/>
          </w:tcPr>
          <w:p w14:paraId="5ACC7C39" w14:textId="77777777" w:rsidR="000B3331" w:rsidRPr="000B3331" w:rsidRDefault="000B3331" w:rsidP="000B3331">
            <w:pPr>
              <w:spacing w:after="0" w:line="240" w:lineRule="auto"/>
              <w:jc w:val="right"/>
              <w:rPr>
                <w:rFonts w:ascii="Calibri" w:eastAsia="Times New Roman" w:hAnsi="Calibri" w:cs="Arial"/>
                <w:b/>
                <w:bCs/>
                <w:sz w:val="20"/>
                <w:szCs w:val="20"/>
                <w:lang w:eastAsia="cs-CZ"/>
              </w:rPr>
            </w:pPr>
            <w:r w:rsidRPr="000B3331">
              <w:rPr>
                <w:rFonts w:ascii="Calibri" w:eastAsia="Times New Roman" w:hAnsi="Calibri" w:cs="Arial"/>
                <w:b/>
                <w:bCs/>
                <w:sz w:val="20"/>
                <w:szCs w:val="20"/>
                <w:lang w:eastAsia="cs-CZ"/>
              </w:rPr>
              <w:t>8 667 500 000</w:t>
            </w:r>
          </w:p>
        </w:tc>
        <w:tc>
          <w:tcPr>
            <w:tcW w:w="1701" w:type="dxa"/>
            <w:tcBorders>
              <w:top w:val="nil"/>
              <w:left w:val="nil"/>
              <w:bottom w:val="single" w:sz="4" w:space="0" w:color="auto"/>
              <w:right w:val="single" w:sz="4" w:space="0" w:color="auto"/>
            </w:tcBorders>
            <w:shd w:val="clear" w:color="auto" w:fill="auto"/>
            <w:vAlign w:val="bottom"/>
            <w:hideMark/>
          </w:tcPr>
          <w:p w14:paraId="71C6763D" w14:textId="77777777" w:rsidR="000B3331" w:rsidRPr="000B3331" w:rsidRDefault="000B3331" w:rsidP="000B3331">
            <w:pPr>
              <w:spacing w:after="0" w:line="240" w:lineRule="auto"/>
              <w:jc w:val="right"/>
              <w:rPr>
                <w:rFonts w:ascii="Calibri" w:eastAsia="Times New Roman" w:hAnsi="Calibri" w:cs="Arial"/>
                <w:b/>
                <w:bCs/>
                <w:sz w:val="20"/>
                <w:szCs w:val="20"/>
                <w:lang w:eastAsia="cs-CZ"/>
              </w:rPr>
            </w:pPr>
            <w:r w:rsidRPr="000B3331">
              <w:rPr>
                <w:rFonts w:ascii="Calibri" w:eastAsia="Times New Roman" w:hAnsi="Calibri" w:cs="Arial"/>
                <w:b/>
                <w:bCs/>
                <w:sz w:val="20"/>
                <w:szCs w:val="20"/>
                <w:lang w:eastAsia="cs-CZ"/>
              </w:rPr>
              <w:t>9 911 982 070,05</w:t>
            </w:r>
          </w:p>
        </w:tc>
        <w:tc>
          <w:tcPr>
            <w:tcW w:w="1701" w:type="dxa"/>
            <w:tcBorders>
              <w:top w:val="nil"/>
              <w:left w:val="nil"/>
              <w:bottom w:val="single" w:sz="4" w:space="0" w:color="auto"/>
              <w:right w:val="single" w:sz="4" w:space="0" w:color="auto"/>
            </w:tcBorders>
            <w:shd w:val="clear" w:color="auto" w:fill="auto"/>
            <w:vAlign w:val="bottom"/>
            <w:hideMark/>
          </w:tcPr>
          <w:p w14:paraId="65B2F2B3" w14:textId="77777777" w:rsidR="000B3331" w:rsidRPr="000B3331" w:rsidRDefault="000B3331" w:rsidP="000B3331">
            <w:pPr>
              <w:spacing w:after="0" w:line="240" w:lineRule="auto"/>
              <w:jc w:val="right"/>
              <w:rPr>
                <w:rFonts w:ascii="Calibri" w:eastAsia="Times New Roman" w:hAnsi="Calibri" w:cs="Arial"/>
                <w:b/>
                <w:bCs/>
                <w:sz w:val="20"/>
                <w:szCs w:val="20"/>
                <w:lang w:eastAsia="cs-CZ"/>
              </w:rPr>
            </w:pPr>
            <w:r w:rsidRPr="000B3331">
              <w:rPr>
                <w:rFonts w:ascii="Calibri" w:eastAsia="Times New Roman" w:hAnsi="Calibri" w:cs="Arial"/>
                <w:b/>
                <w:bCs/>
                <w:sz w:val="20"/>
                <w:szCs w:val="20"/>
                <w:lang w:eastAsia="cs-CZ"/>
              </w:rPr>
              <w:t>11 345 244 155,44</w:t>
            </w:r>
          </w:p>
        </w:tc>
        <w:tc>
          <w:tcPr>
            <w:tcW w:w="851" w:type="dxa"/>
            <w:tcBorders>
              <w:top w:val="nil"/>
              <w:left w:val="nil"/>
              <w:bottom w:val="single" w:sz="4" w:space="0" w:color="auto"/>
              <w:right w:val="single" w:sz="8" w:space="0" w:color="auto"/>
            </w:tcBorders>
            <w:shd w:val="clear" w:color="auto" w:fill="auto"/>
            <w:noWrap/>
            <w:vAlign w:val="bottom"/>
            <w:hideMark/>
          </w:tcPr>
          <w:p w14:paraId="1D15B6A3" w14:textId="77777777" w:rsidR="000B3331" w:rsidRPr="000B3331" w:rsidRDefault="000B3331" w:rsidP="000B3331">
            <w:pPr>
              <w:spacing w:after="0" w:line="240" w:lineRule="auto"/>
              <w:jc w:val="right"/>
              <w:rPr>
                <w:rFonts w:ascii="Calibri" w:eastAsia="Times New Roman" w:hAnsi="Calibri" w:cs="Arial"/>
                <w:b/>
                <w:bCs/>
                <w:sz w:val="20"/>
                <w:szCs w:val="20"/>
                <w:lang w:eastAsia="cs-CZ"/>
              </w:rPr>
            </w:pPr>
            <w:r w:rsidRPr="000B3331">
              <w:rPr>
                <w:rFonts w:ascii="Calibri" w:eastAsia="Times New Roman" w:hAnsi="Calibri" w:cs="Arial"/>
                <w:b/>
                <w:bCs/>
                <w:sz w:val="20"/>
                <w:szCs w:val="20"/>
                <w:lang w:eastAsia="cs-CZ"/>
              </w:rPr>
              <w:t>114,5</w:t>
            </w:r>
          </w:p>
        </w:tc>
      </w:tr>
      <w:tr w:rsidR="000B3331" w:rsidRPr="000B3331" w14:paraId="2380E10E" w14:textId="77777777" w:rsidTr="000B3331">
        <w:trPr>
          <w:trHeight w:val="405"/>
        </w:trPr>
        <w:tc>
          <w:tcPr>
            <w:tcW w:w="4253" w:type="dxa"/>
            <w:tcBorders>
              <w:top w:val="nil"/>
              <w:left w:val="single" w:sz="8" w:space="0" w:color="auto"/>
              <w:bottom w:val="single" w:sz="4" w:space="0" w:color="auto"/>
              <w:right w:val="single" w:sz="4" w:space="0" w:color="auto"/>
            </w:tcBorders>
            <w:shd w:val="clear" w:color="auto" w:fill="auto"/>
            <w:noWrap/>
            <w:vAlign w:val="bottom"/>
            <w:hideMark/>
          </w:tcPr>
          <w:p w14:paraId="266B48D2" w14:textId="77777777" w:rsidR="000B3331" w:rsidRPr="000B3331" w:rsidRDefault="000B3331" w:rsidP="000B3331">
            <w:pPr>
              <w:spacing w:after="0" w:line="240" w:lineRule="auto"/>
              <w:rPr>
                <w:rFonts w:ascii="Calibri" w:eastAsia="Times New Roman" w:hAnsi="Calibri" w:cs="Arial"/>
                <w:sz w:val="20"/>
                <w:szCs w:val="20"/>
                <w:lang w:eastAsia="cs-CZ"/>
              </w:rPr>
            </w:pPr>
            <w:r w:rsidRPr="000B3331">
              <w:rPr>
                <w:rFonts w:ascii="Calibri" w:eastAsia="Times New Roman" w:hAnsi="Calibri" w:cs="Arial"/>
                <w:sz w:val="20"/>
                <w:szCs w:val="20"/>
                <w:lang w:eastAsia="cs-CZ"/>
              </w:rPr>
              <w:t>Podíly na daních (třída 1)</w:t>
            </w:r>
          </w:p>
        </w:tc>
        <w:tc>
          <w:tcPr>
            <w:tcW w:w="1417" w:type="dxa"/>
            <w:tcBorders>
              <w:top w:val="nil"/>
              <w:left w:val="nil"/>
              <w:bottom w:val="single" w:sz="4" w:space="0" w:color="auto"/>
              <w:right w:val="single" w:sz="4" w:space="0" w:color="auto"/>
            </w:tcBorders>
            <w:shd w:val="clear" w:color="auto" w:fill="auto"/>
            <w:noWrap/>
            <w:vAlign w:val="bottom"/>
            <w:hideMark/>
          </w:tcPr>
          <w:p w14:paraId="7CD573E8"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8 600 000 000</w:t>
            </w:r>
          </w:p>
        </w:tc>
        <w:tc>
          <w:tcPr>
            <w:tcW w:w="1701" w:type="dxa"/>
            <w:tcBorders>
              <w:top w:val="nil"/>
              <w:left w:val="nil"/>
              <w:bottom w:val="single" w:sz="4" w:space="0" w:color="auto"/>
              <w:right w:val="single" w:sz="4" w:space="0" w:color="auto"/>
            </w:tcBorders>
            <w:shd w:val="clear" w:color="auto" w:fill="auto"/>
            <w:noWrap/>
            <w:vAlign w:val="bottom"/>
            <w:hideMark/>
          </w:tcPr>
          <w:p w14:paraId="23CC8065"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9 825 425 470,00</w:t>
            </w:r>
          </w:p>
        </w:tc>
        <w:tc>
          <w:tcPr>
            <w:tcW w:w="1701" w:type="dxa"/>
            <w:tcBorders>
              <w:top w:val="nil"/>
              <w:left w:val="nil"/>
              <w:bottom w:val="single" w:sz="4" w:space="0" w:color="auto"/>
              <w:right w:val="single" w:sz="4" w:space="0" w:color="auto"/>
            </w:tcBorders>
            <w:shd w:val="clear" w:color="auto" w:fill="auto"/>
            <w:noWrap/>
            <w:vAlign w:val="bottom"/>
            <w:hideMark/>
          </w:tcPr>
          <w:p w14:paraId="776678EE"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11 257 861 620,89</w:t>
            </w:r>
          </w:p>
        </w:tc>
        <w:tc>
          <w:tcPr>
            <w:tcW w:w="851" w:type="dxa"/>
            <w:tcBorders>
              <w:top w:val="nil"/>
              <w:left w:val="nil"/>
              <w:bottom w:val="single" w:sz="4" w:space="0" w:color="auto"/>
              <w:right w:val="single" w:sz="8" w:space="0" w:color="auto"/>
            </w:tcBorders>
            <w:shd w:val="clear" w:color="auto" w:fill="auto"/>
            <w:noWrap/>
            <w:vAlign w:val="bottom"/>
            <w:hideMark/>
          </w:tcPr>
          <w:p w14:paraId="313A4549"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114,6</w:t>
            </w:r>
          </w:p>
        </w:tc>
      </w:tr>
      <w:tr w:rsidR="000B3331" w:rsidRPr="000B3331" w14:paraId="26983FF8" w14:textId="77777777" w:rsidTr="000B3331">
        <w:trPr>
          <w:trHeight w:val="405"/>
        </w:trPr>
        <w:tc>
          <w:tcPr>
            <w:tcW w:w="4253" w:type="dxa"/>
            <w:tcBorders>
              <w:top w:val="nil"/>
              <w:left w:val="single" w:sz="8" w:space="0" w:color="auto"/>
              <w:bottom w:val="single" w:sz="4" w:space="0" w:color="auto"/>
              <w:right w:val="single" w:sz="4" w:space="0" w:color="auto"/>
            </w:tcBorders>
            <w:shd w:val="clear" w:color="auto" w:fill="auto"/>
            <w:noWrap/>
            <w:vAlign w:val="bottom"/>
            <w:hideMark/>
          </w:tcPr>
          <w:p w14:paraId="2246A044" w14:textId="77777777" w:rsidR="000B3331" w:rsidRPr="000B3331" w:rsidRDefault="000B3331" w:rsidP="000B3331">
            <w:pPr>
              <w:spacing w:after="0" w:line="240" w:lineRule="auto"/>
              <w:rPr>
                <w:rFonts w:ascii="Calibri" w:eastAsia="Times New Roman" w:hAnsi="Calibri" w:cs="Arial"/>
                <w:sz w:val="20"/>
                <w:szCs w:val="20"/>
                <w:lang w:eastAsia="cs-CZ"/>
              </w:rPr>
            </w:pPr>
            <w:r w:rsidRPr="000B3331">
              <w:rPr>
                <w:rFonts w:ascii="Calibri" w:eastAsia="Times New Roman" w:hAnsi="Calibri" w:cs="Arial"/>
                <w:sz w:val="20"/>
                <w:szCs w:val="20"/>
                <w:lang w:eastAsia="cs-CZ"/>
              </w:rPr>
              <w:t>Správní poplatky (třída 1)</w:t>
            </w:r>
          </w:p>
        </w:tc>
        <w:tc>
          <w:tcPr>
            <w:tcW w:w="1417" w:type="dxa"/>
            <w:tcBorders>
              <w:top w:val="nil"/>
              <w:left w:val="nil"/>
              <w:bottom w:val="single" w:sz="4" w:space="0" w:color="auto"/>
              <w:right w:val="single" w:sz="4" w:space="0" w:color="auto"/>
            </w:tcBorders>
            <w:shd w:val="clear" w:color="auto" w:fill="auto"/>
            <w:noWrap/>
            <w:vAlign w:val="bottom"/>
            <w:hideMark/>
          </w:tcPr>
          <w:p w14:paraId="0A7F23CD"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2 500 000</w:t>
            </w:r>
          </w:p>
        </w:tc>
        <w:tc>
          <w:tcPr>
            <w:tcW w:w="1701" w:type="dxa"/>
            <w:tcBorders>
              <w:top w:val="nil"/>
              <w:left w:val="nil"/>
              <w:bottom w:val="single" w:sz="4" w:space="0" w:color="auto"/>
              <w:right w:val="single" w:sz="4" w:space="0" w:color="auto"/>
            </w:tcBorders>
            <w:shd w:val="clear" w:color="auto" w:fill="auto"/>
            <w:noWrap/>
            <w:vAlign w:val="bottom"/>
            <w:hideMark/>
          </w:tcPr>
          <w:p w14:paraId="4A8D33CF"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2 500 000,00</w:t>
            </w:r>
          </w:p>
        </w:tc>
        <w:tc>
          <w:tcPr>
            <w:tcW w:w="1701" w:type="dxa"/>
            <w:tcBorders>
              <w:top w:val="nil"/>
              <w:left w:val="nil"/>
              <w:bottom w:val="single" w:sz="4" w:space="0" w:color="auto"/>
              <w:right w:val="single" w:sz="4" w:space="0" w:color="auto"/>
            </w:tcBorders>
            <w:shd w:val="clear" w:color="auto" w:fill="auto"/>
            <w:noWrap/>
            <w:vAlign w:val="bottom"/>
            <w:hideMark/>
          </w:tcPr>
          <w:p w14:paraId="260958DA"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3 573 150,00</w:t>
            </w:r>
          </w:p>
        </w:tc>
        <w:tc>
          <w:tcPr>
            <w:tcW w:w="851" w:type="dxa"/>
            <w:tcBorders>
              <w:top w:val="nil"/>
              <w:left w:val="nil"/>
              <w:bottom w:val="single" w:sz="4" w:space="0" w:color="auto"/>
              <w:right w:val="single" w:sz="8" w:space="0" w:color="auto"/>
            </w:tcBorders>
            <w:shd w:val="clear" w:color="auto" w:fill="auto"/>
            <w:noWrap/>
            <w:vAlign w:val="bottom"/>
            <w:hideMark/>
          </w:tcPr>
          <w:p w14:paraId="4FA27611"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142,9</w:t>
            </w:r>
          </w:p>
        </w:tc>
      </w:tr>
      <w:tr w:rsidR="000B3331" w:rsidRPr="000B3331" w14:paraId="37A8644C" w14:textId="77777777" w:rsidTr="000B3331">
        <w:trPr>
          <w:trHeight w:val="405"/>
        </w:trPr>
        <w:tc>
          <w:tcPr>
            <w:tcW w:w="4253" w:type="dxa"/>
            <w:tcBorders>
              <w:top w:val="nil"/>
              <w:left w:val="single" w:sz="8" w:space="0" w:color="auto"/>
              <w:bottom w:val="single" w:sz="4" w:space="0" w:color="auto"/>
              <w:right w:val="single" w:sz="4" w:space="0" w:color="auto"/>
            </w:tcBorders>
            <w:shd w:val="clear" w:color="auto" w:fill="auto"/>
            <w:noWrap/>
            <w:vAlign w:val="bottom"/>
            <w:hideMark/>
          </w:tcPr>
          <w:p w14:paraId="39DAE61C" w14:textId="77777777" w:rsidR="000B3331" w:rsidRPr="000B3331" w:rsidRDefault="000B3331" w:rsidP="000B3331">
            <w:pPr>
              <w:spacing w:after="0" w:line="240" w:lineRule="auto"/>
              <w:rPr>
                <w:rFonts w:ascii="Calibri" w:eastAsia="Times New Roman" w:hAnsi="Calibri" w:cs="Arial"/>
                <w:sz w:val="20"/>
                <w:szCs w:val="20"/>
                <w:lang w:eastAsia="cs-CZ"/>
              </w:rPr>
            </w:pPr>
            <w:r w:rsidRPr="000B3331">
              <w:rPr>
                <w:rFonts w:ascii="Calibri" w:eastAsia="Times New Roman" w:hAnsi="Calibri" w:cs="Arial"/>
                <w:sz w:val="20"/>
                <w:szCs w:val="20"/>
                <w:lang w:eastAsia="cs-CZ"/>
              </w:rPr>
              <w:t>Poplatky za znečišťování ovzduší (třída 1)</w:t>
            </w:r>
          </w:p>
        </w:tc>
        <w:tc>
          <w:tcPr>
            <w:tcW w:w="1417" w:type="dxa"/>
            <w:tcBorders>
              <w:top w:val="nil"/>
              <w:left w:val="nil"/>
              <w:bottom w:val="single" w:sz="4" w:space="0" w:color="auto"/>
              <w:right w:val="single" w:sz="4" w:space="0" w:color="auto"/>
            </w:tcBorders>
            <w:shd w:val="clear" w:color="auto" w:fill="auto"/>
            <w:noWrap/>
            <w:vAlign w:val="bottom"/>
            <w:hideMark/>
          </w:tcPr>
          <w:p w14:paraId="1DBA91EC"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15 000 000</w:t>
            </w:r>
          </w:p>
        </w:tc>
        <w:tc>
          <w:tcPr>
            <w:tcW w:w="1701" w:type="dxa"/>
            <w:tcBorders>
              <w:top w:val="nil"/>
              <w:left w:val="nil"/>
              <w:bottom w:val="single" w:sz="4" w:space="0" w:color="auto"/>
              <w:right w:val="single" w:sz="4" w:space="0" w:color="auto"/>
            </w:tcBorders>
            <w:shd w:val="clear" w:color="auto" w:fill="auto"/>
            <w:noWrap/>
            <w:vAlign w:val="bottom"/>
            <w:hideMark/>
          </w:tcPr>
          <w:p w14:paraId="197CC4BB"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15 000 000,00</w:t>
            </w:r>
          </w:p>
        </w:tc>
        <w:tc>
          <w:tcPr>
            <w:tcW w:w="1701" w:type="dxa"/>
            <w:tcBorders>
              <w:top w:val="nil"/>
              <w:left w:val="nil"/>
              <w:bottom w:val="single" w:sz="4" w:space="0" w:color="auto"/>
              <w:right w:val="single" w:sz="4" w:space="0" w:color="auto"/>
            </w:tcBorders>
            <w:shd w:val="clear" w:color="auto" w:fill="auto"/>
            <w:noWrap/>
            <w:vAlign w:val="bottom"/>
            <w:hideMark/>
          </w:tcPr>
          <w:p w14:paraId="62940409"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14 736 300,00</w:t>
            </w:r>
          </w:p>
        </w:tc>
        <w:tc>
          <w:tcPr>
            <w:tcW w:w="851" w:type="dxa"/>
            <w:tcBorders>
              <w:top w:val="nil"/>
              <w:left w:val="nil"/>
              <w:bottom w:val="single" w:sz="4" w:space="0" w:color="auto"/>
              <w:right w:val="single" w:sz="8" w:space="0" w:color="auto"/>
            </w:tcBorders>
            <w:shd w:val="clear" w:color="auto" w:fill="auto"/>
            <w:noWrap/>
            <w:vAlign w:val="bottom"/>
            <w:hideMark/>
          </w:tcPr>
          <w:p w14:paraId="636BBFC2"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98,2</w:t>
            </w:r>
          </w:p>
        </w:tc>
      </w:tr>
      <w:tr w:rsidR="000B3331" w:rsidRPr="000B3331" w14:paraId="3B7BC268" w14:textId="77777777" w:rsidTr="000B3331">
        <w:trPr>
          <w:trHeight w:val="405"/>
        </w:trPr>
        <w:tc>
          <w:tcPr>
            <w:tcW w:w="4253" w:type="dxa"/>
            <w:tcBorders>
              <w:top w:val="nil"/>
              <w:left w:val="single" w:sz="8" w:space="0" w:color="auto"/>
              <w:bottom w:val="single" w:sz="4" w:space="0" w:color="auto"/>
              <w:right w:val="single" w:sz="4" w:space="0" w:color="auto"/>
            </w:tcBorders>
            <w:shd w:val="clear" w:color="auto" w:fill="auto"/>
            <w:noWrap/>
            <w:vAlign w:val="bottom"/>
            <w:hideMark/>
          </w:tcPr>
          <w:p w14:paraId="521C83E3" w14:textId="77777777" w:rsidR="000B3331" w:rsidRPr="000B3331" w:rsidRDefault="000B3331" w:rsidP="000B3331">
            <w:pPr>
              <w:spacing w:after="0" w:line="240" w:lineRule="auto"/>
              <w:rPr>
                <w:rFonts w:ascii="Calibri" w:eastAsia="Times New Roman" w:hAnsi="Calibri" w:cs="Arial"/>
                <w:sz w:val="20"/>
                <w:szCs w:val="20"/>
                <w:lang w:eastAsia="cs-CZ"/>
              </w:rPr>
            </w:pPr>
            <w:r w:rsidRPr="000B3331">
              <w:rPr>
                <w:rFonts w:ascii="Calibri" w:eastAsia="Times New Roman" w:hAnsi="Calibri" w:cs="Arial"/>
                <w:sz w:val="20"/>
                <w:szCs w:val="20"/>
                <w:lang w:eastAsia="cs-CZ"/>
              </w:rPr>
              <w:t>Poplatky za odběr podzemních vod (třída 1)</w:t>
            </w:r>
          </w:p>
        </w:tc>
        <w:tc>
          <w:tcPr>
            <w:tcW w:w="1417" w:type="dxa"/>
            <w:tcBorders>
              <w:top w:val="nil"/>
              <w:left w:val="nil"/>
              <w:bottom w:val="single" w:sz="4" w:space="0" w:color="auto"/>
              <w:right w:val="single" w:sz="4" w:space="0" w:color="auto"/>
            </w:tcBorders>
            <w:shd w:val="clear" w:color="auto" w:fill="auto"/>
            <w:noWrap/>
            <w:vAlign w:val="bottom"/>
            <w:hideMark/>
          </w:tcPr>
          <w:p w14:paraId="2AFC71DC"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50 000 000</w:t>
            </w:r>
          </w:p>
        </w:tc>
        <w:tc>
          <w:tcPr>
            <w:tcW w:w="1701" w:type="dxa"/>
            <w:tcBorders>
              <w:top w:val="nil"/>
              <w:left w:val="nil"/>
              <w:bottom w:val="single" w:sz="4" w:space="0" w:color="auto"/>
              <w:right w:val="single" w:sz="4" w:space="0" w:color="auto"/>
            </w:tcBorders>
            <w:shd w:val="clear" w:color="auto" w:fill="auto"/>
            <w:noWrap/>
            <w:vAlign w:val="bottom"/>
            <w:hideMark/>
          </w:tcPr>
          <w:p w14:paraId="31A8C8F5"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69 056 600,05</w:t>
            </w:r>
          </w:p>
        </w:tc>
        <w:tc>
          <w:tcPr>
            <w:tcW w:w="1701" w:type="dxa"/>
            <w:tcBorders>
              <w:top w:val="nil"/>
              <w:left w:val="nil"/>
              <w:bottom w:val="single" w:sz="4" w:space="0" w:color="auto"/>
              <w:right w:val="single" w:sz="4" w:space="0" w:color="auto"/>
            </w:tcBorders>
            <w:shd w:val="clear" w:color="auto" w:fill="auto"/>
            <w:noWrap/>
            <w:vAlign w:val="bottom"/>
            <w:hideMark/>
          </w:tcPr>
          <w:p w14:paraId="33323626"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69 073 084,55</w:t>
            </w:r>
          </w:p>
        </w:tc>
        <w:tc>
          <w:tcPr>
            <w:tcW w:w="851" w:type="dxa"/>
            <w:tcBorders>
              <w:top w:val="nil"/>
              <w:left w:val="nil"/>
              <w:bottom w:val="single" w:sz="4" w:space="0" w:color="auto"/>
              <w:right w:val="single" w:sz="8" w:space="0" w:color="auto"/>
            </w:tcBorders>
            <w:shd w:val="clear" w:color="auto" w:fill="auto"/>
            <w:noWrap/>
            <w:vAlign w:val="bottom"/>
            <w:hideMark/>
          </w:tcPr>
          <w:p w14:paraId="28540CCC"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100,0</w:t>
            </w:r>
          </w:p>
        </w:tc>
      </w:tr>
      <w:tr w:rsidR="000B3331" w:rsidRPr="000B3331" w14:paraId="5B2E2732" w14:textId="77777777" w:rsidTr="000B3331">
        <w:trPr>
          <w:trHeight w:val="405"/>
        </w:trPr>
        <w:tc>
          <w:tcPr>
            <w:tcW w:w="4253" w:type="dxa"/>
            <w:tcBorders>
              <w:top w:val="nil"/>
              <w:left w:val="single" w:sz="8" w:space="0" w:color="auto"/>
              <w:bottom w:val="single" w:sz="4" w:space="0" w:color="auto"/>
              <w:right w:val="single" w:sz="4" w:space="0" w:color="auto"/>
            </w:tcBorders>
            <w:shd w:val="clear" w:color="auto" w:fill="auto"/>
            <w:noWrap/>
            <w:vAlign w:val="bottom"/>
            <w:hideMark/>
          </w:tcPr>
          <w:p w14:paraId="15DDD086" w14:textId="77777777" w:rsidR="000B3331" w:rsidRPr="000B3331" w:rsidRDefault="000B3331" w:rsidP="000B3331">
            <w:pPr>
              <w:spacing w:after="0" w:line="240" w:lineRule="auto"/>
              <w:rPr>
                <w:rFonts w:ascii="Calibri" w:eastAsia="Times New Roman" w:hAnsi="Calibri" w:cs="Arial"/>
                <w:b/>
                <w:bCs/>
                <w:sz w:val="20"/>
                <w:szCs w:val="20"/>
                <w:lang w:eastAsia="cs-CZ"/>
              </w:rPr>
            </w:pPr>
            <w:r w:rsidRPr="000B3331">
              <w:rPr>
                <w:rFonts w:ascii="Calibri" w:eastAsia="Times New Roman" w:hAnsi="Calibri" w:cs="Arial"/>
                <w:b/>
                <w:bCs/>
                <w:sz w:val="20"/>
                <w:szCs w:val="20"/>
                <w:lang w:eastAsia="cs-CZ"/>
              </w:rPr>
              <w:t>Třída 2 - Nedaňové příjmy</w:t>
            </w:r>
          </w:p>
        </w:tc>
        <w:tc>
          <w:tcPr>
            <w:tcW w:w="1417" w:type="dxa"/>
            <w:tcBorders>
              <w:top w:val="nil"/>
              <w:left w:val="nil"/>
              <w:bottom w:val="single" w:sz="4" w:space="0" w:color="auto"/>
              <w:right w:val="single" w:sz="4" w:space="0" w:color="auto"/>
            </w:tcBorders>
            <w:shd w:val="clear" w:color="auto" w:fill="auto"/>
            <w:noWrap/>
            <w:vAlign w:val="bottom"/>
            <w:hideMark/>
          </w:tcPr>
          <w:p w14:paraId="799555C1" w14:textId="77777777" w:rsidR="000B3331" w:rsidRPr="000B3331" w:rsidRDefault="000B3331" w:rsidP="000B3331">
            <w:pPr>
              <w:spacing w:after="0" w:line="240" w:lineRule="auto"/>
              <w:jc w:val="right"/>
              <w:rPr>
                <w:rFonts w:ascii="Calibri" w:eastAsia="Times New Roman" w:hAnsi="Calibri" w:cs="Arial"/>
                <w:b/>
                <w:bCs/>
                <w:sz w:val="20"/>
                <w:szCs w:val="20"/>
                <w:lang w:eastAsia="cs-CZ"/>
              </w:rPr>
            </w:pPr>
            <w:r w:rsidRPr="000B3331">
              <w:rPr>
                <w:rFonts w:ascii="Calibri" w:eastAsia="Times New Roman" w:hAnsi="Calibri" w:cs="Arial"/>
                <w:b/>
                <w:bCs/>
                <w:sz w:val="20"/>
                <w:szCs w:val="20"/>
                <w:lang w:eastAsia="cs-CZ"/>
              </w:rPr>
              <w:t>2 024 532 000</w:t>
            </w:r>
          </w:p>
        </w:tc>
        <w:tc>
          <w:tcPr>
            <w:tcW w:w="1701" w:type="dxa"/>
            <w:tcBorders>
              <w:top w:val="nil"/>
              <w:left w:val="nil"/>
              <w:bottom w:val="single" w:sz="4" w:space="0" w:color="auto"/>
              <w:right w:val="single" w:sz="4" w:space="0" w:color="auto"/>
            </w:tcBorders>
            <w:shd w:val="clear" w:color="auto" w:fill="auto"/>
            <w:noWrap/>
            <w:vAlign w:val="bottom"/>
            <w:hideMark/>
          </w:tcPr>
          <w:p w14:paraId="7107CC57" w14:textId="77777777" w:rsidR="000B3331" w:rsidRPr="000B3331" w:rsidRDefault="000B3331" w:rsidP="000B3331">
            <w:pPr>
              <w:spacing w:after="0" w:line="240" w:lineRule="auto"/>
              <w:jc w:val="right"/>
              <w:rPr>
                <w:rFonts w:ascii="Calibri" w:eastAsia="Times New Roman" w:hAnsi="Calibri" w:cs="Arial"/>
                <w:b/>
                <w:bCs/>
                <w:sz w:val="20"/>
                <w:szCs w:val="20"/>
                <w:lang w:eastAsia="cs-CZ"/>
              </w:rPr>
            </w:pPr>
            <w:r w:rsidRPr="000B3331">
              <w:rPr>
                <w:rFonts w:ascii="Calibri" w:eastAsia="Times New Roman" w:hAnsi="Calibri" w:cs="Arial"/>
                <w:b/>
                <w:bCs/>
                <w:sz w:val="20"/>
                <w:szCs w:val="20"/>
                <w:lang w:eastAsia="cs-CZ"/>
              </w:rPr>
              <w:t>1 848 414 813,22</w:t>
            </w:r>
          </w:p>
        </w:tc>
        <w:tc>
          <w:tcPr>
            <w:tcW w:w="1701" w:type="dxa"/>
            <w:tcBorders>
              <w:top w:val="nil"/>
              <w:left w:val="nil"/>
              <w:bottom w:val="single" w:sz="4" w:space="0" w:color="auto"/>
              <w:right w:val="single" w:sz="4" w:space="0" w:color="auto"/>
            </w:tcBorders>
            <w:shd w:val="clear" w:color="auto" w:fill="auto"/>
            <w:noWrap/>
            <w:vAlign w:val="bottom"/>
            <w:hideMark/>
          </w:tcPr>
          <w:p w14:paraId="53370FEE" w14:textId="77777777" w:rsidR="000B3331" w:rsidRPr="000B3331" w:rsidRDefault="000B3331" w:rsidP="000B3331">
            <w:pPr>
              <w:spacing w:after="0" w:line="240" w:lineRule="auto"/>
              <w:jc w:val="right"/>
              <w:rPr>
                <w:rFonts w:ascii="Calibri" w:eastAsia="Times New Roman" w:hAnsi="Calibri" w:cs="Arial"/>
                <w:b/>
                <w:bCs/>
                <w:sz w:val="20"/>
                <w:szCs w:val="20"/>
                <w:lang w:eastAsia="cs-CZ"/>
              </w:rPr>
            </w:pPr>
            <w:r w:rsidRPr="000B3331">
              <w:rPr>
                <w:rFonts w:ascii="Calibri" w:eastAsia="Times New Roman" w:hAnsi="Calibri" w:cs="Arial"/>
                <w:b/>
                <w:bCs/>
                <w:sz w:val="20"/>
                <w:szCs w:val="20"/>
                <w:lang w:eastAsia="cs-CZ"/>
              </w:rPr>
              <w:t>1 473 634 623,31</w:t>
            </w:r>
          </w:p>
        </w:tc>
        <w:tc>
          <w:tcPr>
            <w:tcW w:w="851" w:type="dxa"/>
            <w:tcBorders>
              <w:top w:val="nil"/>
              <w:left w:val="nil"/>
              <w:bottom w:val="single" w:sz="4" w:space="0" w:color="auto"/>
              <w:right w:val="single" w:sz="8" w:space="0" w:color="auto"/>
            </w:tcBorders>
            <w:shd w:val="clear" w:color="auto" w:fill="auto"/>
            <w:noWrap/>
            <w:vAlign w:val="bottom"/>
            <w:hideMark/>
          </w:tcPr>
          <w:p w14:paraId="026AEDB7" w14:textId="77777777" w:rsidR="000B3331" w:rsidRPr="000B3331" w:rsidRDefault="000B3331" w:rsidP="000B3331">
            <w:pPr>
              <w:spacing w:after="0" w:line="240" w:lineRule="auto"/>
              <w:jc w:val="right"/>
              <w:rPr>
                <w:rFonts w:ascii="Calibri" w:eastAsia="Times New Roman" w:hAnsi="Calibri" w:cs="Arial"/>
                <w:b/>
                <w:bCs/>
                <w:sz w:val="20"/>
                <w:szCs w:val="20"/>
                <w:lang w:eastAsia="cs-CZ"/>
              </w:rPr>
            </w:pPr>
            <w:r w:rsidRPr="000B3331">
              <w:rPr>
                <w:rFonts w:ascii="Calibri" w:eastAsia="Times New Roman" w:hAnsi="Calibri" w:cs="Arial"/>
                <w:b/>
                <w:bCs/>
                <w:sz w:val="20"/>
                <w:szCs w:val="20"/>
                <w:lang w:eastAsia="cs-CZ"/>
              </w:rPr>
              <w:t>79,7</w:t>
            </w:r>
          </w:p>
        </w:tc>
      </w:tr>
      <w:tr w:rsidR="000B3331" w:rsidRPr="000B3331" w14:paraId="759309D8" w14:textId="77777777" w:rsidTr="000B3331">
        <w:trPr>
          <w:trHeight w:val="405"/>
        </w:trPr>
        <w:tc>
          <w:tcPr>
            <w:tcW w:w="4253" w:type="dxa"/>
            <w:tcBorders>
              <w:top w:val="nil"/>
              <w:left w:val="single" w:sz="8" w:space="0" w:color="auto"/>
              <w:bottom w:val="single" w:sz="4" w:space="0" w:color="auto"/>
              <w:right w:val="single" w:sz="4" w:space="0" w:color="auto"/>
            </w:tcBorders>
            <w:shd w:val="clear" w:color="auto" w:fill="auto"/>
            <w:noWrap/>
            <w:vAlign w:val="bottom"/>
            <w:hideMark/>
          </w:tcPr>
          <w:p w14:paraId="14A29F55" w14:textId="77777777" w:rsidR="000B3331" w:rsidRPr="000B3331" w:rsidRDefault="000B3331" w:rsidP="000B3331">
            <w:pPr>
              <w:spacing w:after="0" w:line="240" w:lineRule="auto"/>
              <w:rPr>
                <w:rFonts w:ascii="Calibri" w:eastAsia="Times New Roman" w:hAnsi="Calibri" w:cs="Arial"/>
                <w:sz w:val="20"/>
                <w:szCs w:val="20"/>
                <w:lang w:eastAsia="cs-CZ"/>
              </w:rPr>
            </w:pPr>
            <w:r w:rsidRPr="000B3331">
              <w:rPr>
                <w:rFonts w:ascii="Calibri" w:eastAsia="Times New Roman" w:hAnsi="Calibri" w:cs="Arial"/>
                <w:sz w:val="20"/>
                <w:szCs w:val="20"/>
                <w:lang w:eastAsia="cs-CZ"/>
              </w:rPr>
              <w:t>Příjmy z úroků na bankovních účtech (třída 2)</w:t>
            </w:r>
          </w:p>
        </w:tc>
        <w:tc>
          <w:tcPr>
            <w:tcW w:w="1417" w:type="dxa"/>
            <w:tcBorders>
              <w:top w:val="nil"/>
              <w:left w:val="nil"/>
              <w:bottom w:val="single" w:sz="4" w:space="0" w:color="auto"/>
              <w:right w:val="single" w:sz="4" w:space="0" w:color="auto"/>
            </w:tcBorders>
            <w:shd w:val="clear" w:color="auto" w:fill="auto"/>
            <w:noWrap/>
            <w:vAlign w:val="bottom"/>
            <w:hideMark/>
          </w:tcPr>
          <w:p w14:paraId="3DC73527"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2 000 000</w:t>
            </w:r>
          </w:p>
        </w:tc>
        <w:tc>
          <w:tcPr>
            <w:tcW w:w="1701" w:type="dxa"/>
            <w:tcBorders>
              <w:top w:val="nil"/>
              <w:left w:val="nil"/>
              <w:bottom w:val="single" w:sz="4" w:space="0" w:color="auto"/>
              <w:right w:val="single" w:sz="4" w:space="0" w:color="auto"/>
            </w:tcBorders>
            <w:shd w:val="clear" w:color="auto" w:fill="auto"/>
            <w:noWrap/>
            <w:vAlign w:val="bottom"/>
            <w:hideMark/>
          </w:tcPr>
          <w:p w14:paraId="1E4EF8A1"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2 157 331,65</w:t>
            </w:r>
          </w:p>
        </w:tc>
        <w:tc>
          <w:tcPr>
            <w:tcW w:w="1701" w:type="dxa"/>
            <w:tcBorders>
              <w:top w:val="nil"/>
              <w:left w:val="nil"/>
              <w:bottom w:val="single" w:sz="4" w:space="0" w:color="auto"/>
              <w:right w:val="single" w:sz="4" w:space="0" w:color="auto"/>
            </w:tcBorders>
            <w:shd w:val="clear" w:color="auto" w:fill="auto"/>
            <w:noWrap/>
            <w:vAlign w:val="bottom"/>
            <w:hideMark/>
          </w:tcPr>
          <w:p w14:paraId="56A4FBB3"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8 046 052,93</w:t>
            </w:r>
          </w:p>
        </w:tc>
        <w:tc>
          <w:tcPr>
            <w:tcW w:w="851" w:type="dxa"/>
            <w:tcBorders>
              <w:top w:val="nil"/>
              <w:left w:val="nil"/>
              <w:bottom w:val="single" w:sz="4" w:space="0" w:color="auto"/>
              <w:right w:val="single" w:sz="8" w:space="0" w:color="auto"/>
            </w:tcBorders>
            <w:shd w:val="clear" w:color="auto" w:fill="auto"/>
            <w:noWrap/>
            <w:vAlign w:val="bottom"/>
            <w:hideMark/>
          </w:tcPr>
          <w:p w14:paraId="1258D93F"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373,0</w:t>
            </w:r>
          </w:p>
        </w:tc>
      </w:tr>
      <w:tr w:rsidR="000B3331" w:rsidRPr="000B3331" w14:paraId="0E30C30D" w14:textId="77777777" w:rsidTr="000B3331">
        <w:trPr>
          <w:trHeight w:val="405"/>
        </w:trPr>
        <w:tc>
          <w:tcPr>
            <w:tcW w:w="4253" w:type="dxa"/>
            <w:tcBorders>
              <w:top w:val="nil"/>
              <w:left w:val="single" w:sz="8" w:space="0" w:color="auto"/>
              <w:bottom w:val="single" w:sz="4" w:space="0" w:color="auto"/>
              <w:right w:val="single" w:sz="4" w:space="0" w:color="auto"/>
            </w:tcBorders>
            <w:shd w:val="clear" w:color="auto" w:fill="auto"/>
            <w:noWrap/>
            <w:vAlign w:val="bottom"/>
            <w:hideMark/>
          </w:tcPr>
          <w:p w14:paraId="24ED9A02" w14:textId="77777777" w:rsidR="000B3331" w:rsidRPr="000B3331" w:rsidRDefault="000B3331" w:rsidP="000B3331">
            <w:pPr>
              <w:spacing w:after="0" w:line="240" w:lineRule="auto"/>
              <w:rPr>
                <w:rFonts w:ascii="Calibri" w:eastAsia="Times New Roman" w:hAnsi="Calibri" w:cs="Arial"/>
                <w:sz w:val="20"/>
                <w:szCs w:val="20"/>
                <w:lang w:eastAsia="cs-CZ"/>
              </w:rPr>
            </w:pPr>
            <w:r w:rsidRPr="000B3331">
              <w:rPr>
                <w:rFonts w:ascii="Calibri" w:eastAsia="Times New Roman" w:hAnsi="Calibri" w:cs="Arial"/>
                <w:sz w:val="20"/>
                <w:szCs w:val="20"/>
                <w:lang w:eastAsia="cs-CZ"/>
              </w:rPr>
              <w:t>Odvody příspěvkových organizací (třída 2)</w:t>
            </w:r>
          </w:p>
        </w:tc>
        <w:tc>
          <w:tcPr>
            <w:tcW w:w="1417" w:type="dxa"/>
            <w:tcBorders>
              <w:top w:val="nil"/>
              <w:left w:val="nil"/>
              <w:bottom w:val="single" w:sz="4" w:space="0" w:color="auto"/>
              <w:right w:val="single" w:sz="4" w:space="0" w:color="auto"/>
            </w:tcBorders>
            <w:shd w:val="clear" w:color="auto" w:fill="auto"/>
            <w:noWrap/>
            <w:vAlign w:val="bottom"/>
            <w:hideMark/>
          </w:tcPr>
          <w:p w14:paraId="4A39FFFD"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2E1E6EC5"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395 700,00</w:t>
            </w:r>
          </w:p>
        </w:tc>
        <w:tc>
          <w:tcPr>
            <w:tcW w:w="1701" w:type="dxa"/>
            <w:tcBorders>
              <w:top w:val="nil"/>
              <w:left w:val="nil"/>
              <w:bottom w:val="single" w:sz="4" w:space="0" w:color="auto"/>
              <w:right w:val="single" w:sz="4" w:space="0" w:color="auto"/>
            </w:tcBorders>
            <w:shd w:val="clear" w:color="auto" w:fill="auto"/>
            <w:noWrap/>
            <w:vAlign w:val="bottom"/>
            <w:hideMark/>
          </w:tcPr>
          <w:p w14:paraId="608C3795"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395 700,00</w:t>
            </w:r>
          </w:p>
        </w:tc>
        <w:tc>
          <w:tcPr>
            <w:tcW w:w="851" w:type="dxa"/>
            <w:tcBorders>
              <w:top w:val="nil"/>
              <w:left w:val="nil"/>
              <w:bottom w:val="single" w:sz="4" w:space="0" w:color="auto"/>
              <w:right w:val="single" w:sz="8" w:space="0" w:color="auto"/>
            </w:tcBorders>
            <w:shd w:val="clear" w:color="auto" w:fill="auto"/>
            <w:noWrap/>
            <w:vAlign w:val="bottom"/>
            <w:hideMark/>
          </w:tcPr>
          <w:p w14:paraId="7E3D3BEC"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100,0</w:t>
            </w:r>
          </w:p>
        </w:tc>
      </w:tr>
      <w:tr w:rsidR="000B3331" w:rsidRPr="000B3331" w14:paraId="4615DA9B" w14:textId="77777777" w:rsidTr="000B3331">
        <w:trPr>
          <w:trHeight w:val="405"/>
        </w:trPr>
        <w:tc>
          <w:tcPr>
            <w:tcW w:w="4253" w:type="dxa"/>
            <w:tcBorders>
              <w:top w:val="nil"/>
              <w:left w:val="single" w:sz="8" w:space="0" w:color="auto"/>
              <w:bottom w:val="single" w:sz="4" w:space="0" w:color="auto"/>
              <w:right w:val="single" w:sz="4" w:space="0" w:color="auto"/>
            </w:tcBorders>
            <w:shd w:val="clear" w:color="auto" w:fill="auto"/>
            <w:noWrap/>
            <w:vAlign w:val="bottom"/>
            <w:hideMark/>
          </w:tcPr>
          <w:p w14:paraId="7FB77600" w14:textId="77777777" w:rsidR="000B3331" w:rsidRPr="000B3331" w:rsidRDefault="000B3331" w:rsidP="000B3331">
            <w:pPr>
              <w:spacing w:after="0" w:line="240" w:lineRule="auto"/>
              <w:rPr>
                <w:rFonts w:ascii="Calibri" w:eastAsia="Times New Roman" w:hAnsi="Calibri" w:cs="Arial"/>
                <w:sz w:val="20"/>
                <w:szCs w:val="20"/>
                <w:lang w:eastAsia="cs-CZ"/>
              </w:rPr>
            </w:pPr>
            <w:r w:rsidRPr="000B3331">
              <w:rPr>
                <w:rFonts w:ascii="Calibri" w:eastAsia="Times New Roman" w:hAnsi="Calibri" w:cs="Arial"/>
                <w:sz w:val="20"/>
                <w:szCs w:val="20"/>
                <w:lang w:eastAsia="cs-CZ"/>
              </w:rPr>
              <w:t>Ostatní odvody příspěvkových organizací (třída 2)</w:t>
            </w:r>
          </w:p>
        </w:tc>
        <w:tc>
          <w:tcPr>
            <w:tcW w:w="1417" w:type="dxa"/>
            <w:tcBorders>
              <w:top w:val="nil"/>
              <w:left w:val="nil"/>
              <w:bottom w:val="single" w:sz="4" w:space="0" w:color="auto"/>
              <w:right w:val="single" w:sz="4" w:space="0" w:color="auto"/>
            </w:tcBorders>
            <w:shd w:val="clear" w:color="auto" w:fill="auto"/>
            <w:noWrap/>
            <w:vAlign w:val="bottom"/>
            <w:hideMark/>
          </w:tcPr>
          <w:p w14:paraId="3C36EB9D"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21F9CB91"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0,00</w:t>
            </w:r>
          </w:p>
        </w:tc>
        <w:tc>
          <w:tcPr>
            <w:tcW w:w="1701" w:type="dxa"/>
            <w:tcBorders>
              <w:top w:val="nil"/>
              <w:left w:val="nil"/>
              <w:bottom w:val="single" w:sz="4" w:space="0" w:color="auto"/>
              <w:right w:val="single" w:sz="4" w:space="0" w:color="auto"/>
            </w:tcBorders>
            <w:shd w:val="clear" w:color="auto" w:fill="auto"/>
            <w:noWrap/>
            <w:vAlign w:val="bottom"/>
            <w:hideMark/>
          </w:tcPr>
          <w:p w14:paraId="070331E0"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380 778,70</w:t>
            </w:r>
          </w:p>
        </w:tc>
        <w:tc>
          <w:tcPr>
            <w:tcW w:w="851" w:type="dxa"/>
            <w:tcBorders>
              <w:top w:val="nil"/>
              <w:left w:val="nil"/>
              <w:bottom w:val="single" w:sz="4" w:space="0" w:color="auto"/>
              <w:right w:val="single" w:sz="8" w:space="0" w:color="auto"/>
            </w:tcBorders>
            <w:shd w:val="clear" w:color="auto" w:fill="auto"/>
            <w:noWrap/>
            <w:vAlign w:val="bottom"/>
            <w:hideMark/>
          </w:tcPr>
          <w:p w14:paraId="209D1AB2"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w:t>
            </w:r>
          </w:p>
        </w:tc>
      </w:tr>
      <w:tr w:rsidR="000B3331" w:rsidRPr="000B3331" w14:paraId="6F8E9F36" w14:textId="77777777" w:rsidTr="000B3331">
        <w:trPr>
          <w:trHeight w:val="405"/>
        </w:trPr>
        <w:tc>
          <w:tcPr>
            <w:tcW w:w="4253" w:type="dxa"/>
            <w:tcBorders>
              <w:top w:val="nil"/>
              <w:left w:val="single" w:sz="8" w:space="0" w:color="auto"/>
              <w:bottom w:val="single" w:sz="4" w:space="0" w:color="auto"/>
              <w:right w:val="single" w:sz="4" w:space="0" w:color="auto"/>
            </w:tcBorders>
            <w:shd w:val="clear" w:color="auto" w:fill="auto"/>
            <w:noWrap/>
            <w:vAlign w:val="bottom"/>
            <w:hideMark/>
          </w:tcPr>
          <w:p w14:paraId="4F705223" w14:textId="11153C65" w:rsidR="000B3331" w:rsidRPr="000B3331" w:rsidRDefault="000B3331" w:rsidP="000B3331">
            <w:pPr>
              <w:spacing w:after="0" w:line="240" w:lineRule="auto"/>
              <w:rPr>
                <w:rFonts w:ascii="Calibri" w:eastAsia="Times New Roman" w:hAnsi="Calibri" w:cs="Arial"/>
                <w:sz w:val="20"/>
                <w:szCs w:val="20"/>
                <w:lang w:eastAsia="cs-CZ"/>
              </w:rPr>
            </w:pPr>
            <w:r w:rsidRPr="000B3331">
              <w:rPr>
                <w:rFonts w:ascii="Calibri" w:eastAsia="Times New Roman" w:hAnsi="Calibri" w:cs="Arial"/>
                <w:sz w:val="20"/>
                <w:szCs w:val="20"/>
                <w:lang w:eastAsia="cs-CZ"/>
              </w:rPr>
              <w:t xml:space="preserve">Příjmy z pronájmu majetku </w:t>
            </w:r>
            <w:r w:rsidR="002178E3">
              <w:rPr>
                <w:rFonts w:ascii="Calibri" w:eastAsia="Times New Roman" w:hAnsi="Calibri" w:cs="Arial"/>
                <w:sz w:val="20"/>
                <w:szCs w:val="20"/>
                <w:lang w:eastAsia="cs-CZ"/>
              </w:rPr>
              <w:t xml:space="preserve">svěřeného </w:t>
            </w:r>
            <w:r w:rsidRPr="000B3331">
              <w:rPr>
                <w:rFonts w:ascii="Calibri" w:eastAsia="Times New Roman" w:hAnsi="Calibri" w:cs="Arial"/>
                <w:sz w:val="20"/>
                <w:szCs w:val="20"/>
                <w:lang w:eastAsia="cs-CZ"/>
              </w:rPr>
              <w:t>PO (třída 2)</w:t>
            </w:r>
          </w:p>
        </w:tc>
        <w:tc>
          <w:tcPr>
            <w:tcW w:w="1417" w:type="dxa"/>
            <w:tcBorders>
              <w:top w:val="nil"/>
              <w:left w:val="nil"/>
              <w:bottom w:val="single" w:sz="4" w:space="0" w:color="auto"/>
              <w:right w:val="single" w:sz="4" w:space="0" w:color="auto"/>
            </w:tcBorders>
            <w:shd w:val="clear" w:color="auto" w:fill="auto"/>
            <w:noWrap/>
            <w:vAlign w:val="bottom"/>
            <w:hideMark/>
          </w:tcPr>
          <w:p w14:paraId="230BDCC9"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62 532 000</w:t>
            </w:r>
          </w:p>
        </w:tc>
        <w:tc>
          <w:tcPr>
            <w:tcW w:w="1701" w:type="dxa"/>
            <w:tcBorders>
              <w:top w:val="nil"/>
              <w:left w:val="nil"/>
              <w:bottom w:val="single" w:sz="4" w:space="0" w:color="auto"/>
              <w:right w:val="single" w:sz="4" w:space="0" w:color="auto"/>
            </w:tcBorders>
            <w:shd w:val="clear" w:color="auto" w:fill="auto"/>
            <w:noWrap/>
            <w:vAlign w:val="bottom"/>
            <w:hideMark/>
          </w:tcPr>
          <w:p w14:paraId="1921DD38"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43 002 961,68</w:t>
            </w:r>
          </w:p>
        </w:tc>
        <w:tc>
          <w:tcPr>
            <w:tcW w:w="1701" w:type="dxa"/>
            <w:tcBorders>
              <w:top w:val="nil"/>
              <w:left w:val="nil"/>
              <w:bottom w:val="single" w:sz="4" w:space="0" w:color="auto"/>
              <w:right w:val="single" w:sz="4" w:space="0" w:color="auto"/>
            </w:tcBorders>
            <w:shd w:val="clear" w:color="000000" w:fill="FFFFFF"/>
            <w:noWrap/>
            <w:vAlign w:val="bottom"/>
            <w:hideMark/>
          </w:tcPr>
          <w:p w14:paraId="43306AC9"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47 868 086,50</w:t>
            </w:r>
          </w:p>
        </w:tc>
        <w:tc>
          <w:tcPr>
            <w:tcW w:w="851" w:type="dxa"/>
            <w:tcBorders>
              <w:top w:val="nil"/>
              <w:left w:val="nil"/>
              <w:bottom w:val="single" w:sz="4" w:space="0" w:color="auto"/>
              <w:right w:val="single" w:sz="8" w:space="0" w:color="auto"/>
            </w:tcBorders>
            <w:shd w:val="clear" w:color="auto" w:fill="auto"/>
            <w:noWrap/>
            <w:vAlign w:val="bottom"/>
            <w:hideMark/>
          </w:tcPr>
          <w:p w14:paraId="337D78C3"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111,3</w:t>
            </w:r>
          </w:p>
        </w:tc>
      </w:tr>
      <w:tr w:rsidR="000B3331" w:rsidRPr="000B3331" w14:paraId="470F12FA" w14:textId="77777777" w:rsidTr="000B3331">
        <w:trPr>
          <w:trHeight w:val="405"/>
        </w:trPr>
        <w:tc>
          <w:tcPr>
            <w:tcW w:w="4253" w:type="dxa"/>
            <w:tcBorders>
              <w:top w:val="nil"/>
              <w:left w:val="single" w:sz="8" w:space="0" w:color="auto"/>
              <w:bottom w:val="single" w:sz="4" w:space="0" w:color="auto"/>
              <w:right w:val="single" w:sz="4" w:space="0" w:color="auto"/>
            </w:tcBorders>
            <w:shd w:val="clear" w:color="auto" w:fill="auto"/>
            <w:noWrap/>
            <w:vAlign w:val="bottom"/>
            <w:hideMark/>
          </w:tcPr>
          <w:p w14:paraId="4D7EDAAB" w14:textId="77777777" w:rsidR="000B3331" w:rsidRPr="000B3331" w:rsidRDefault="000B3331" w:rsidP="000B3331">
            <w:pPr>
              <w:spacing w:after="0" w:line="240" w:lineRule="auto"/>
              <w:rPr>
                <w:rFonts w:ascii="Calibri" w:eastAsia="Times New Roman" w:hAnsi="Calibri" w:cs="Arial"/>
                <w:sz w:val="20"/>
                <w:szCs w:val="20"/>
                <w:lang w:eastAsia="cs-CZ"/>
              </w:rPr>
            </w:pPr>
            <w:r w:rsidRPr="000B3331">
              <w:rPr>
                <w:rFonts w:ascii="Calibri" w:eastAsia="Times New Roman" w:hAnsi="Calibri" w:cs="Arial"/>
                <w:sz w:val="20"/>
                <w:szCs w:val="20"/>
                <w:lang w:eastAsia="cs-CZ"/>
              </w:rPr>
              <w:t>Příjmy z pronájmu majetku (třída 2)</w:t>
            </w:r>
          </w:p>
        </w:tc>
        <w:tc>
          <w:tcPr>
            <w:tcW w:w="1417" w:type="dxa"/>
            <w:tcBorders>
              <w:top w:val="nil"/>
              <w:left w:val="nil"/>
              <w:bottom w:val="single" w:sz="4" w:space="0" w:color="auto"/>
              <w:right w:val="single" w:sz="4" w:space="0" w:color="auto"/>
            </w:tcBorders>
            <w:shd w:val="clear" w:color="auto" w:fill="auto"/>
            <w:noWrap/>
            <w:vAlign w:val="bottom"/>
            <w:hideMark/>
          </w:tcPr>
          <w:p w14:paraId="1697BC4C"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561F71D8"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0,00</w:t>
            </w:r>
          </w:p>
        </w:tc>
        <w:tc>
          <w:tcPr>
            <w:tcW w:w="1701" w:type="dxa"/>
            <w:tcBorders>
              <w:top w:val="nil"/>
              <w:left w:val="nil"/>
              <w:bottom w:val="single" w:sz="4" w:space="0" w:color="auto"/>
              <w:right w:val="single" w:sz="4" w:space="0" w:color="auto"/>
            </w:tcBorders>
            <w:shd w:val="clear" w:color="000000" w:fill="FFFFFF"/>
            <w:noWrap/>
            <w:vAlign w:val="bottom"/>
            <w:hideMark/>
          </w:tcPr>
          <w:p w14:paraId="0F5F5B31"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10 438 841,50</w:t>
            </w:r>
          </w:p>
        </w:tc>
        <w:tc>
          <w:tcPr>
            <w:tcW w:w="851" w:type="dxa"/>
            <w:tcBorders>
              <w:top w:val="nil"/>
              <w:left w:val="nil"/>
              <w:bottom w:val="single" w:sz="4" w:space="0" w:color="auto"/>
              <w:right w:val="single" w:sz="8" w:space="0" w:color="auto"/>
            </w:tcBorders>
            <w:shd w:val="clear" w:color="auto" w:fill="auto"/>
            <w:noWrap/>
            <w:vAlign w:val="bottom"/>
            <w:hideMark/>
          </w:tcPr>
          <w:p w14:paraId="583A139B"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w:t>
            </w:r>
          </w:p>
        </w:tc>
      </w:tr>
      <w:tr w:rsidR="000B3331" w:rsidRPr="000B3331" w14:paraId="6EDD2012" w14:textId="77777777" w:rsidTr="000B3331">
        <w:trPr>
          <w:trHeight w:val="405"/>
        </w:trPr>
        <w:tc>
          <w:tcPr>
            <w:tcW w:w="4253" w:type="dxa"/>
            <w:tcBorders>
              <w:top w:val="nil"/>
              <w:left w:val="single" w:sz="8" w:space="0" w:color="auto"/>
              <w:bottom w:val="single" w:sz="4" w:space="0" w:color="auto"/>
              <w:right w:val="single" w:sz="4" w:space="0" w:color="auto"/>
            </w:tcBorders>
            <w:shd w:val="clear" w:color="auto" w:fill="auto"/>
            <w:noWrap/>
            <w:vAlign w:val="bottom"/>
            <w:hideMark/>
          </w:tcPr>
          <w:p w14:paraId="2857C95A" w14:textId="77777777" w:rsidR="000B3331" w:rsidRPr="000B3331" w:rsidRDefault="000B3331" w:rsidP="000B3331">
            <w:pPr>
              <w:spacing w:after="0" w:line="240" w:lineRule="auto"/>
              <w:rPr>
                <w:rFonts w:ascii="Calibri" w:eastAsia="Times New Roman" w:hAnsi="Calibri" w:cs="Arial"/>
                <w:sz w:val="20"/>
                <w:szCs w:val="20"/>
                <w:lang w:eastAsia="cs-CZ"/>
              </w:rPr>
            </w:pPr>
            <w:r w:rsidRPr="000B3331">
              <w:rPr>
                <w:rFonts w:ascii="Calibri" w:eastAsia="Times New Roman" w:hAnsi="Calibri" w:cs="Arial"/>
                <w:sz w:val="20"/>
                <w:szCs w:val="20"/>
                <w:lang w:eastAsia="cs-CZ"/>
              </w:rPr>
              <w:t>Příjmy z prodeje nekapitálového majetku (třída 2)</w:t>
            </w:r>
          </w:p>
        </w:tc>
        <w:tc>
          <w:tcPr>
            <w:tcW w:w="1417" w:type="dxa"/>
            <w:tcBorders>
              <w:top w:val="nil"/>
              <w:left w:val="nil"/>
              <w:bottom w:val="single" w:sz="4" w:space="0" w:color="auto"/>
              <w:right w:val="single" w:sz="4" w:space="0" w:color="auto"/>
            </w:tcBorders>
            <w:shd w:val="clear" w:color="auto" w:fill="auto"/>
            <w:noWrap/>
            <w:vAlign w:val="bottom"/>
            <w:hideMark/>
          </w:tcPr>
          <w:p w14:paraId="4AD454F1"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4ECB73D2"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0,00</w:t>
            </w:r>
          </w:p>
        </w:tc>
        <w:tc>
          <w:tcPr>
            <w:tcW w:w="1701" w:type="dxa"/>
            <w:tcBorders>
              <w:top w:val="nil"/>
              <w:left w:val="nil"/>
              <w:bottom w:val="single" w:sz="4" w:space="0" w:color="auto"/>
              <w:right w:val="single" w:sz="4" w:space="0" w:color="auto"/>
            </w:tcBorders>
            <w:shd w:val="clear" w:color="auto" w:fill="auto"/>
            <w:noWrap/>
            <w:vAlign w:val="bottom"/>
            <w:hideMark/>
          </w:tcPr>
          <w:p w14:paraId="6E272A0F"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97 800,00</w:t>
            </w:r>
          </w:p>
        </w:tc>
        <w:tc>
          <w:tcPr>
            <w:tcW w:w="851" w:type="dxa"/>
            <w:tcBorders>
              <w:top w:val="nil"/>
              <w:left w:val="nil"/>
              <w:bottom w:val="single" w:sz="4" w:space="0" w:color="auto"/>
              <w:right w:val="single" w:sz="8" w:space="0" w:color="auto"/>
            </w:tcBorders>
            <w:shd w:val="clear" w:color="auto" w:fill="auto"/>
            <w:noWrap/>
            <w:vAlign w:val="bottom"/>
            <w:hideMark/>
          </w:tcPr>
          <w:p w14:paraId="6F857B6E"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w:t>
            </w:r>
          </w:p>
        </w:tc>
      </w:tr>
      <w:tr w:rsidR="000B3331" w:rsidRPr="000B3331" w14:paraId="1AE5368C" w14:textId="77777777" w:rsidTr="000B3331">
        <w:trPr>
          <w:trHeight w:val="405"/>
        </w:trPr>
        <w:tc>
          <w:tcPr>
            <w:tcW w:w="4253" w:type="dxa"/>
            <w:tcBorders>
              <w:top w:val="nil"/>
              <w:left w:val="single" w:sz="8" w:space="0" w:color="auto"/>
              <w:bottom w:val="single" w:sz="4" w:space="0" w:color="auto"/>
              <w:right w:val="single" w:sz="4" w:space="0" w:color="auto"/>
            </w:tcBorders>
            <w:shd w:val="clear" w:color="auto" w:fill="auto"/>
            <w:noWrap/>
            <w:vAlign w:val="bottom"/>
            <w:hideMark/>
          </w:tcPr>
          <w:p w14:paraId="34244F25" w14:textId="48955342" w:rsidR="000B3331" w:rsidRPr="000B3331" w:rsidRDefault="000B3331" w:rsidP="000B3331">
            <w:pPr>
              <w:spacing w:after="0" w:line="240" w:lineRule="auto"/>
              <w:rPr>
                <w:rFonts w:ascii="Calibri" w:eastAsia="Times New Roman" w:hAnsi="Calibri" w:cs="Arial"/>
                <w:sz w:val="20"/>
                <w:szCs w:val="20"/>
                <w:lang w:eastAsia="cs-CZ"/>
              </w:rPr>
            </w:pPr>
            <w:r w:rsidRPr="000B3331">
              <w:rPr>
                <w:rFonts w:ascii="Calibri" w:eastAsia="Times New Roman" w:hAnsi="Calibri" w:cs="Arial"/>
                <w:sz w:val="20"/>
                <w:szCs w:val="20"/>
                <w:lang w:eastAsia="cs-CZ"/>
              </w:rPr>
              <w:t>Vratky z předfin</w:t>
            </w:r>
            <w:r w:rsidR="00C5679A">
              <w:rPr>
                <w:rFonts w:ascii="Calibri" w:eastAsia="Times New Roman" w:hAnsi="Calibri" w:cs="Arial"/>
                <w:sz w:val="20"/>
                <w:szCs w:val="20"/>
                <w:lang w:eastAsia="cs-CZ"/>
              </w:rPr>
              <w:t>ancování</w:t>
            </w:r>
            <w:r w:rsidRPr="000B3331">
              <w:rPr>
                <w:rFonts w:ascii="Calibri" w:eastAsia="Times New Roman" w:hAnsi="Calibri" w:cs="Arial"/>
                <w:sz w:val="20"/>
                <w:szCs w:val="20"/>
                <w:lang w:eastAsia="cs-CZ"/>
              </w:rPr>
              <w:t xml:space="preserve"> projektů EU (třída 2) *</w:t>
            </w:r>
          </w:p>
        </w:tc>
        <w:tc>
          <w:tcPr>
            <w:tcW w:w="1417" w:type="dxa"/>
            <w:tcBorders>
              <w:top w:val="nil"/>
              <w:left w:val="nil"/>
              <w:bottom w:val="single" w:sz="4" w:space="0" w:color="auto"/>
              <w:right w:val="single" w:sz="4" w:space="0" w:color="auto"/>
            </w:tcBorders>
            <w:shd w:val="clear" w:color="auto" w:fill="auto"/>
            <w:noWrap/>
            <w:vAlign w:val="bottom"/>
            <w:hideMark/>
          </w:tcPr>
          <w:p w14:paraId="6FFD1AFA"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1 910 000 000</w:t>
            </w:r>
          </w:p>
        </w:tc>
        <w:tc>
          <w:tcPr>
            <w:tcW w:w="1701" w:type="dxa"/>
            <w:tcBorders>
              <w:top w:val="nil"/>
              <w:left w:val="nil"/>
              <w:bottom w:val="single" w:sz="4" w:space="0" w:color="auto"/>
              <w:right w:val="single" w:sz="4" w:space="0" w:color="auto"/>
            </w:tcBorders>
            <w:shd w:val="clear" w:color="auto" w:fill="auto"/>
            <w:noWrap/>
            <w:vAlign w:val="bottom"/>
            <w:hideMark/>
          </w:tcPr>
          <w:p w14:paraId="5C00CF2C"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1 248 835 767,45</w:t>
            </w:r>
          </w:p>
        </w:tc>
        <w:tc>
          <w:tcPr>
            <w:tcW w:w="1701" w:type="dxa"/>
            <w:tcBorders>
              <w:top w:val="nil"/>
              <w:left w:val="nil"/>
              <w:bottom w:val="single" w:sz="4" w:space="0" w:color="auto"/>
              <w:right w:val="single" w:sz="4" w:space="0" w:color="auto"/>
            </w:tcBorders>
            <w:shd w:val="clear" w:color="auto" w:fill="auto"/>
            <w:noWrap/>
            <w:vAlign w:val="bottom"/>
            <w:hideMark/>
          </w:tcPr>
          <w:p w14:paraId="2618A99F"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777 071 568,47</w:t>
            </w:r>
          </w:p>
        </w:tc>
        <w:tc>
          <w:tcPr>
            <w:tcW w:w="851" w:type="dxa"/>
            <w:tcBorders>
              <w:top w:val="nil"/>
              <w:left w:val="nil"/>
              <w:bottom w:val="single" w:sz="4" w:space="0" w:color="auto"/>
              <w:right w:val="single" w:sz="8" w:space="0" w:color="auto"/>
            </w:tcBorders>
            <w:shd w:val="clear" w:color="auto" w:fill="auto"/>
            <w:noWrap/>
            <w:vAlign w:val="bottom"/>
            <w:hideMark/>
          </w:tcPr>
          <w:p w14:paraId="1B2FFC0D"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62,2</w:t>
            </w:r>
          </w:p>
        </w:tc>
      </w:tr>
      <w:tr w:rsidR="000B3331" w:rsidRPr="000B3331" w14:paraId="2033C822" w14:textId="77777777" w:rsidTr="000B3331">
        <w:trPr>
          <w:trHeight w:val="480"/>
        </w:trPr>
        <w:tc>
          <w:tcPr>
            <w:tcW w:w="4253" w:type="dxa"/>
            <w:tcBorders>
              <w:top w:val="nil"/>
              <w:left w:val="single" w:sz="8" w:space="0" w:color="auto"/>
              <w:bottom w:val="single" w:sz="4" w:space="0" w:color="auto"/>
              <w:right w:val="single" w:sz="4" w:space="0" w:color="auto"/>
            </w:tcBorders>
            <w:shd w:val="clear" w:color="auto" w:fill="auto"/>
            <w:vAlign w:val="center"/>
            <w:hideMark/>
          </w:tcPr>
          <w:p w14:paraId="666A58B2" w14:textId="398E4BBE" w:rsidR="000B3331" w:rsidRPr="000B3331" w:rsidRDefault="000B3331" w:rsidP="000B3331">
            <w:pPr>
              <w:spacing w:after="0" w:line="240" w:lineRule="auto"/>
              <w:rPr>
                <w:rFonts w:ascii="Calibri" w:eastAsia="Times New Roman" w:hAnsi="Calibri" w:cs="Arial"/>
                <w:sz w:val="20"/>
                <w:szCs w:val="20"/>
                <w:lang w:eastAsia="cs-CZ"/>
              </w:rPr>
            </w:pPr>
            <w:r w:rsidRPr="000B3331">
              <w:rPr>
                <w:rFonts w:ascii="Calibri" w:eastAsia="Times New Roman" w:hAnsi="Calibri" w:cs="Arial"/>
                <w:sz w:val="20"/>
                <w:szCs w:val="20"/>
                <w:lang w:eastAsia="cs-CZ"/>
              </w:rPr>
              <w:t>Vratky z předfin</w:t>
            </w:r>
            <w:r w:rsidR="00C5679A">
              <w:rPr>
                <w:rFonts w:ascii="Calibri" w:eastAsia="Times New Roman" w:hAnsi="Calibri" w:cs="Arial"/>
                <w:sz w:val="20"/>
                <w:szCs w:val="20"/>
                <w:lang w:eastAsia="cs-CZ"/>
              </w:rPr>
              <w:t>ancování</w:t>
            </w:r>
            <w:r w:rsidRPr="000B3331">
              <w:rPr>
                <w:rFonts w:ascii="Calibri" w:eastAsia="Times New Roman" w:hAnsi="Calibri" w:cs="Arial"/>
                <w:sz w:val="20"/>
                <w:szCs w:val="20"/>
                <w:lang w:eastAsia="cs-CZ"/>
              </w:rPr>
              <w:t xml:space="preserve"> projektů spolufinancovaných z národních zdrojů (třída 2)</w:t>
            </w:r>
          </w:p>
        </w:tc>
        <w:tc>
          <w:tcPr>
            <w:tcW w:w="1417" w:type="dxa"/>
            <w:tcBorders>
              <w:top w:val="nil"/>
              <w:left w:val="nil"/>
              <w:bottom w:val="single" w:sz="4" w:space="0" w:color="auto"/>
              <w:right w:val="single" w:sz="4" w:space="0" w:color="auto"/>
            </w:tcBorders>
            <w:shd w:val="clear" w:color="auto" w:fill="auto"/>
            <w:noWrap/>
            <w:vAlign w:val="bottom"/>
            <w:hideMark/>
          </w:tcPr>
          <w:p w14:paraId="18D99B94"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10 000 000</w:t>
            </w:r>
          </w:p>
        </w:tc>
        <w:tc>
          <w:tcPr>
            <w:tcW w:w="1701" w:type="dxa"/>
            <w:tcBorders>
              <w:top w:val="nil"/>
              <w:left w:val="nil"/>
              <w:bottom w:val="single" w:sz="4" w:space="0" w:color="auto"/>
              <w:right w:val="single" w:sz="4" w:space="0" w:color="auto"/>
            </w:tcBorders>
            <w:shd w:val="clear" w:color="auto" w:fill="auto"/>
            <w:noWrap/>
            <w:vAlign w:val="bottom"/>
            <w:hideMark/>
          </w:tcPr>
          <w:p w14:paraId="6F323A5B"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9 437 245,00</w:t>
            </w:r>
          </w:p>
        </w:tc>
        <w:tc>
          <w:tcPr>
            <w:tcW w:w="1701" w:type="dxa"/>
            <w:tcBorders>
              <w:top w:val="nil"/>
              <w:left w:val="nil"/>
              <w:bottom w:val="single" w:sz="4" w:space="0" w:color="auto"/>
              <w:right w:val="single" w:sz="4" w:space="0" w:color="auto"/>
            </w:tcBorders>
            <w:shd w:val="clear" w:color="auto" w:fill="auto"/>
            <w:noWrap/>
            <w:vAlign w:val="bottom"/>
            <w:hideMark/>
          </w:tcPr>
          <w:p w14:paraId="74F59ABC"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7 807 900,00</w:t>
            </w:r>
          </w:p>
        </w:tc>
        <w:tc>
          <w:tcPr>
            <w:tcW w:w="851" w:type="dxa"/>
            <w:tcBorders>
              <w:top w:val="nil"/>
              <w:left w:val="nil"/>
              <w:bottom w:val="single" w:sz="4" w:space="0" w:color="auto"/>
              <w:right w:val="single" w:sz="8" w:space="0" w:color="auto"/>
            </w:tcBorders>
            <w:shd w:val="clear" w:color="auto" w:fill="auto"/>
            <w:noWrap/>
            <w:vAlign w:val="bottom"/>
            <w:hideMark/>
          </w:tcPr>
          <w:p w14:paraId="0D3E0ADF"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82,7</w:t>
            </w:r>
          </w:p>
        </w:tc>
      </w:tr>
      <w:tr w:rsidR="000B3331" w:rsidRPr="000B3331" w14:paraId="07C8446A" w14:textId="77777777" w:rsidTr="000B3331">
        <w:trPr>
          <w:trHeight w:val="480"/>
        </w:trPr>
        <w:tc>
          <w:tcPr>
            <w:tcW w:w="4253" w:type="dxa"/>
            <w:tcBorders>
              <w:top w:val="nil"/>
              <w:left w:val="single" w:sz="8" w:space="0" w:color="auto"/>
              <w:bottom w:val="single" w:sz="4" w:space="0" w:color="auto"/>
              <w:right w:val="single" w:sz="4" w:space="0" w:color="auto"/>
            </w:tcBorders>
            <w:shd w:val="clear" w:color="auto" w:fill="auto"/>
            <w:vAlign w:val="bottom"/>
            <w:hideMark/>
          </w:tcPr>
          <w:p w14:paraId="7D917FE3" w14:textId="77777777" w:rsidR="000B3331" w:rsidRPr="000B3331" w:rsidRDefault="000B3331" w:rsidP="000B3331">
            <w:pPr>
              <w:spacing w:after="0" w:line="240" w:lineRule="auto"/>
              <w:rPr>
                <w:rFonts w:ascii="Calibri" w:eastAsia="Times New Roman" w:hAnsi="Calibri" w:cs="Arial"/>
                <w:sz w:val="20"/>
                <w:szCs w:val="20"/>
                <w:lang w:eastAsia="cs-CZ"/>
              </w:rPr>
            </w:pPr>
            <w:r w:rsidRPr="000B3331">
              <w:rPr>
                <w:rFonts w:ascii="Calibri" w:eastAsia="Times New Roman" w:hAnsi="Calibri" w:cs="Arial"/>
                <w:sz w:val="20"/>
                <w:szCs w:val="20"/>
                <w:lang w:eastAsia="cs-CZ"/>
              </w:rPr>
              <w:t xml:space="preserve">Splátky návratných finančních výpomocí OSVČ </w:t>
            </w:r>
          </w:p>
        </w:tc>
        <w:tc>
          <w:tcPr>
            <w:tcW w:w="1417" w:type="dxa"/>
            <w:tcBorders>
              <w:top w:val="nil"/>
              <w:left w:val="nil"/>
              <w:bottom w:val="single" w:sz="4" w:space="0" w:color="auto"/>
              <w:right w:val="single" w:sz="4" w:space="0" w:color="auto"/>
            </w:tcBorders>
            <w:shd w:val="clear" w:color="auto" w:fill="auto"/>
            <w:noWrap/>
            <w:vAlign w:val="bottom"/>
            <w:hideMark/>
          </w:tcPr>
          <w:p w14:paraId="51E428DE"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40 000 000</w:t>
            </w:r>
          </w:p>
        </w:tc>
        <w:tc>
          <w:tcPr>
            <w:tcW w:w="1701" w:type="dxa"/>
            <w:tcBorders>
              <w:top w:val="nil"/>
              <w:left w:val="nil"/>
              <w:bottom w:val="single" w:sz="4" w:space="0" w:color="auto"/>
              <w:right w:val="single" w:sz="4" w:space="0" w:color="auto"/>
            </w:tcBorders>
            <w:shd w:val="clear" w:color="auto" w:fill="auto"/>
            <w:noWrap/>
            <w:vAlign w:val="bottom"/>
            <w:hideMark/>
          </w:tcPr>
          <w:p w14:paraId="39009ACD"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40 000 000,00</w:t>
            </w:r>
          </w:p>
        </w:tc>
        <w:tc>
          <w:tcPr>
            <w:tcW w:w="1701" w:type="dxa"/>
            <w:tcBorders>
              <w:top w:val="nil"/>
              <w:left w:val="nil"/>
              <w:bottom w:val="single" w:sz="4" w:space="0" w:color="auto"/>
              <w:right w:val="single" w:sz="4" w:space="0" w:color="auto"/>
            </w:tcBorders>
            <w:shd w:val="clear" w:color="auto" w:fill="auto"/>
            <w:noWrap/>
            <w:vAlign w:val="bottom"/>
            <w:hideMark/>
          </w:tcPr>
          <w:p w14:paraId="673F6F41"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63 019 071,00</w:t>
            </w:r>
          </w:p>
        </w:tc>
        <w:tc>
          <w:tcPr>
            <w:tcW w:w="851" w:type="dxa"/>
            <w:tcBorders>
              <w:top w:val="nil"/>
              <w:left w:val="nil"/>
              <w:bottom w:val="single" w:sz="4" w:space="0" w:color="auto"/>
              <w:right w:val="single" w:sz="8" w:space="0" w:color="auto"/>
            </w:tcBorders>
            <w:shd w:val="clear" w:color="auto" w:fill="auto"/>
            <w:noWrap/>
            <w:vAlign w:val="bottom"/>
            <w:hideMark/>
          </w:tcPr>
          <w:p w14:paraId="079C0714"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157,5</w:t>
            </w:r>
          </w:p>
        </w:tc>
      </w:tr>
      <w:tr w:rsidR="000B3331" w:rsidRPr="000B3331" w14:paraId="66783D8C" w14:textId="77777777" w:rsidTr="000B3331">
        <w:trPr>
          <w:trHeight w:val="405"/>
        </w:trPr>
        <w:tc>
          <w:tcPr>
            <w:tcW w:w="4253" w:type="dxa"/>
            <w:tcBorders>
              <w:top w:val="nil"/>
              <w:left w:val="single" w:sz="8" w:space="0" w:color="auto"/>
              <w:bottom w:val="single" w:sz="4" w:space="0" w:color="auto"/>
              <w:right w:val="single" w:sz="4" w:space="0" w:color="auto"/>
            </w:tcBorders>
            <w:shd w:val="clear" w:color="auto" w:fill="auto"/>
            <w:noWrap/>
            <w:vAlign w:val="bottom"/>
            <w:hideMark/>
          </w:tcPr>
          <w:p w14:paraId="28F54830" w14:textId="77777777" w:rsidR="000B3331" w:rsidRPr="000B3331" w:rsidRDefault="000B3331" w:rsidP="000B3331">
            <w:pPr>
              <w:spacing w:after="0" w:line="240" w:lineRule="auto"/>
              <w:rPr>
                <w:rFonts w:ascii="Calibri" w:eastAsia="Times New Roman" w:hAnsi="Calibri" w:cs="Arial"/>
                <w:sz w:val="20"/>
                <w:szCs w:val="20"/>
                <w:lang w:eastAsia="cs-CZ"/>
              </w:rPr>
            </w:pPr>
            <w:r w:rsidRPr="000B3331">
              <w:rPr>
                <w:rFonts w:ascii="Calibri" w:eastAsia="Times New Roman" w:hAnsi="Calibri" w:cs="Arial"/>
                <w:sz w:val="20"/>
                <w:szCs w:val="20"/>
                <w:lang w:eastAsia="cs-CZ"/>
              </w:rPr>
              <w:t>Přijaté sankční platby (třída 2)</w:t>
            </w:r>
          </w:p>
        </w:tc>
        <w:tc>
          <w:tcPr>
            <w:tcW w:w="1417" w:type="dxa"/>
            <w:tcBorders>
              <w:top w:val="nil"/>
              <w:left w:val="nil"/>
              <w:bottom w:val="single" w:sz="4" w:space="0" w:color="auto"/>
              <w:right w:val="single" w:sz="4" w:space="0" w:color="auto"/>
            </w:tcBorders>
            <w:shd w:val="clear" w:color="auto" w:fill="auto"/>
            <w:noWrap/>
            <w:vAlign w:val="bottom"/>
            <w:hideMark/>
          </w:tcPr>
          <w:p w14:paraId="64DF1D52"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5E74C25B"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8 159 179,00</w:t>
            </w:r>
          </w:p>
        </w:tc>
        <w:tc>
          <w:tcPr>
            <w:tcW w:w="1701" w:type="dxa"/>
            <w:tcBorders>
              <w:top w:val="nil"/>
              <w:left w:val="nil"/>
              <w:bottom w:val="single" w:sz="4" w:space="0" w:color="auto"/>
              <w:right w:val="single" w:sz="4" w:space="0" w:color="auto"/>
            </w:tcBorders>
            <w:shd w:val="clear" w:color="auto" w:fill="auto"/>
            <w:noWrap/>
            <w:vAlign w:val="bottom"/>
            <w:hideMark/>
          </w:tcPr>
          <w:p w14:paraId="405108A8"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14 139 204,04</w:t>
            </w:r>
          </w:p>
        </w:tc>
        <w:tc>
          <w:tcPr>
            <w:tcW w:w="851" w:type="dxa"/>
            <w:tcBorders>
              <w:top w:val="nil"/>
              <w:left w:val="nil"/>
              <w:bottom w:val="single" w:sz="4" w:space="0" w:color="auto"/>
              <w:right w:val="single" w:sz="8" w:space="0" w:color="auto"/>
            </w:tcBorders>
            <w:shd w:val="clear" w:color="auto" w:fill="auto"/>
            <w:noWrap/>
            <w:vAlign w:val="bottom"/>
            <w:hideMark/>
          </w:tcPr>
          <w:p w14:paraId="7FC5E893"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173,3</w:t>
            </w:r>
          </w:p>
        </w:tc>
      </w:tr>
      <w:tr w:rsidR="000B3331" w:rsidRPr="000B3331" w14:paraId="000B5EFA" w14:textId="77777777" w:rsidTr="000B3331">
        <w:trPr>
          <w:trHeight w:val="405"/>
        </w:trPr>
        <w:tc>
          <w:tcPr>
            <w:tcW w:w="4253" w:type="dxa"/>
            <w:tcBorders>
              <w:top w:val="nil"/>
              <w:left w:val="single" w:sz="8" w:space="0" w:color="auto"/>
              <w:bottom w:val="single" w:sz="4" w:space="0" w:color="auto"/>
              <w:right w:val="single" w:sz="4" w:space="0" w:color="auto"/>
            </w:tcBorders>
            <w:shd w:val="clear" w:color="auto" w:fill="auto"/>
            <w:noWrap/>
            <w:vAlign w:val="bottom"/>
            <w:hideMark/>
          </w:tcPr>
          <w:p w14:paraId="2DDDFE4D" w14:textId="77777777" w:rsidR="000B3331" w:rsidRPr="000B3331" w:rsidRDefault="000B3331" w:rsidP="000B3331">
            <w:pPr>
              <w:spacing w:after="0" w:line="240" w:lineRule="auto"/>
              <w:rPr>
                <w:rFonts w:ascii="Calibri" w:eastAsia="Times New Roman" w:hAnsi="Calibri" w:cs="Arial"/>
                <w:sz w:val="20"/>
                <w:szCs w:val="20"/>
                <w:lang w:eastAsia="cs-CZ"/>
              </w:rPr>
            </w:pPr>
            <w:r w:rsidRPr="000B3331">
              <w:rPr>
                <w:rFonts w:ascii="Calibri" w:eastAsia="Times New Roman" w:hAnsi="Calibri" w:cs="Arial"/>
                <w:sz w:val="20"/>
                <w:szCs w:val="20"/>
                <w:lang w:eastAsia="cs-CZ"/>
              </w:rPr>
              <w:t>Přijaté příspěvky a náhrady (třída 2)</w:t>
            </w:r>
          </w:p>
        </w:tc>
        <w:tc>
          <w:tcPr>
            <w:tcW w:w="1417" w:type="dxa"/>
            <w:tcBorders>
              <w:top w:val="nil"/>
              <w:left w:val="nil"/>
              <w:bottom w:val="single" w:sz="4" w:space="0" w:color="auto"/>
              <w:right w:val="single" w:sz="4" w:space="0" w:color="auto"/>
            </w:tcBorders>
            <w:shd w:val="clear" w:color="auto" w:fill="auto"/>
            <w:noWrap/>
            <w:vAlign w:val="bottom"/>
            <w:hideMark/>
          </w:tcPr>
          <w:p w14:paraId="38718CAA"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772E348A"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13 705 003,72</w:t>
            </w:r>
          </w:p>
        </w:tc>
        <w:tc>
          <w:tcPr>
            <w:tcW w:w="1701" w:type="dxa"/>
            <w:tcBorders>
              <w:top w:val="nil"/>
              <w:left w:val="nil"/>
              <w:bottom w:val="single" w:sz="4" w:space="0" w:color="auto"/>
              <w:right w:val="single" w:sz="4" w:space="0" w:color="auto"/>
            </w:tcBorders>
            <w:shd w:val="clear" w:color="auto" w:fill="auto"/>
            <w:noWrap/>
            <w:vAlign w:val="bottom"/>
            <w:hideMark/>
          </w:tcPr>
          <w:p w14:paraId="42A289B8"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19 308 926,01</w:t>
            </w:r>
          </w:p>
        </w:tc>
        <w:tc>
          <w:tcPr>
            <w:tcW w:w="851" w:type="dxa"/>
            <w:tcBorders>
              <w:top w:val="nil"/>
              <w:left w:val="nil"/>
              <w:bottom w:val="single" w:sz="4" w:space="0" w:color="auto"/>
              <w:right w:val="single" w:sz="8" w:space="0" w:color="auto"/>
            </w:tcBorders>
            <w:shd w:val="clear" w:color="auto" w:fill="auto"/>
            <w:noWrap/>
            <w:vAlign w:val="bottom"/>
            <w:hideMark/>
          </w:tcPr>
          <w:p w14:paraId="708A2DC9"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140,9</w:t>
            </w:r>
          </w:p>
        </w:tc>
      </w:tr>
      <w:tr w:rsidR="000B3331" w:rsidRPr="000B3331" w14:paraId="3140165E" w14:textId="77777777" w:rsidTr="000B3331">
        <w:trPr>
          <w:trHeight w:val="555"/>
        </w:trPr>
        <w:tc>
          <w:tcPr>
            <w:tcW w:w="4253" w:type="dxa"/>
            <w:tcBorders>
              <w:top w:val="nil"/>
              <w:left w:val="single" w:sz="8" w:space="0" w:color="auto"/>
              <w:bottom w:val="single" w:sz="4" w:space="0" w:color="auto"/>
              <w:right w:val="single" w:sz="4" w:space="0" w:color="auto"/>
            </w:tcBorders>
            <w:shd w:val="clear" w:color="auto" w:fill="auto"/>
            <w:vAlign w:val="bottom"/>
            <w:hideMark/>
          </w:tcPr>
          <w:p w14:paraId="4F47401C" w14:textId="77777777" w:rsidR="000B3331" w:rsidRPr="000B3331" w:rsidRDefault="000B3331" w:rsidP="000B3331">
            <w:pPr>
              <w:spacing w:after="0" w:line="240" w:lineRule="auto"/>
              <w:rPr>
                <w:rFonts w:ascii="Calibri" w:eastAsia="Times New Roman" w:hAnsi="Calibri" w:cs="Arial"/>
                <w:sz w:val="20"/>
                <w:szCs w:val="20"/>
                <w:lang w:eastAsia="cs-CZ"/>
              </w:rPr>
            </w:pPr>
            <w:r w:rsidRPr="000B3331">
              <w:rPr>
                <w:rFonts w:ascii="Calibri" w:eastAsia="Times New Roman" w:hAnsi="Calibri" w:cs="Arial"/>
                <w:sz w:val="20"/>
                <w:szCs w:val="20"/>
                <w:lang w:eastAsia="cs-CZ"/>
              </w:rPr>
              <w:t>Splátky půjček - mimo vratek z prostředků na předfinancování projektů EU (třída 2)</w:t>
            </w:r>
          </w:p>
        </w:tc>
        <w:tc>
          <w:tcPr>
            <w:tcW w:w="1417" w:type="dxa"/>
            <w:tcBorders>
              <w:top w:val="nil"/>
              <w:left w:val="nil"/>
              <w:bottom w:val="single" w:sz="4" w:space="0" w:color="auto"/>
              <w:right w:val="single" w:sz="4" w:space="0" w:color="auto"/>
            </w:tcBorders>
            <w:shd w:val="clear" w:color="auto" w:fill="auto"/>
            <w:noWrap/>
            <w:vAlign w:val="bottom"/>
            <w:hideMark/>
          </w:tcPr>
          <w:p w14:paraId="7B736137"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146569CD"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64 000,00</w:t>
            </w:r>
          </w:p>
        </w:tc>
        <w:tc>
          <w:tcPr>
            <w:tcW w:w="1701" w:type="dxa"/>
            <w:tcBorders>
              <w:top w:val="nil"/>
              <w:left w:val="nil"/>
              <w:bottom w:val="single" w:sz="4" w:space="0" w:color="auto"/>
              <w:right w:val="single" w:sz="4" w:space="0" w:color="auto"/>
            </w:tcBorders>
            <w:shd w:val="clear" w:color="auto" w:fill="auto"/>
            <w:noWrap/>
            <w:vAlign w:val="bottom"/>
            <w:hideMark/>
          </w:tcPr>
          <w:p w14:paraId="1198A9D4"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1 833 000,00</w:t>
            </w:r>
          </w:p>
        </w:tc>
        <w:tc>
          <w:tcPr>
            <w:tcW w:w="851" w:type="dxa"/>
            <w:tcBorders>
              <w:top w:val="nil"/>
              <w:left w:val="nil"/>
              <w:bottom w:val="single" w:sz="4" w:space="0" w:color="auto"/>
              <w:right w:val="single" w:sz="8" w:space="0" w:color="auto"/>
            </w:tcBorders>
            <w:shd w:val="clear" w:color="auto" w:fill="auto"/>
            <w:noWrap/>
            <w:vAlign w:val="bottom"/>
            <w:hideMark/>
          </w:tcPr>
          <w:p w14:paraId="28B7E104"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w:t>
            </w:r>
          </w:p>
        </w:tc>
      </w:tr>
      <w:tr w:rsidR="000B3331" w:rsidRPr="000B3331" w14:paraId="61B0F68F" w14:textId="77777777" w:rsidTr="000B3331">
        <w:trPr>
          <w:trHeight w:val="435"/>
        </w:trPr>
        <w:tc>
          <w:tcPr>
            <w:tcW w:w="4253" w:type="dxa"/>
            <w:tcBorders>
              <w:top w:val="nil"/>
              <w:left w:val="single" w:sz="8" w:space="0" w:color="auto"/>
              <w:bottom w:val="single" w:sz="4" w:space="0" w:color="auto"/>
              <w:right w:val="single" w:sz="4" w:space="0" w:color="auto"/>
            </w:tcBorders>
            <w:shd w:val="clear" w:color="auto" w:fill="auto"/>
            <w:vAlign w:val="bottom"/>
            <w:hideMark/>
          </w:tcPr>
          <w:p w14:paraId="02A6EBAB" w14:textId="77777777" w:rsidR="000B3331" w:rsidRPr="000B3331" w:rsidRDefault="000B3331" w:rsidP="000B3331">
            <w:pPr>
              <w:spacing w:after="0" w:line="240" w:lineRule="auto"/>
              <w:rPr>
                <w:rFonts w:ascii="Calibri" w:eastAsia="Times New Roman" w:hAnsi="Calibri" w:cs="Arial"/>
                <w:sz w:val="20"/>
                <w:szCs w:val="20"/>
                <w:lang w:eastAsia="cs-CZ"/>
              </w:rPr>
            </w:pPr>
            <w:r w:rsidRPr="000B3331">
              <w:rPr>
                <w:rFonts w:ascii="Calibri" w:eastAsia="Times New Roman" w:hAnsi="Calibri" w:cs="Arial"/>
                <w:sz w:val="20"/>
                <w:szCs w:val="20"/>
                <w:lang w:eastAsia="cs-CZ"/>
              </w:rPr>
              <w:t>Splátky půjček od obcí (třída 2)</w:t>
            </w:r>
          </w:p>
        </w:tc>
        <w:tc>
          <w:tcPr>
            <w:tcW w:w="1417" w:type="dxa"/>
            <w:tcBorders>
              <w:top w:val="nil"/>
              <w:left w:val="nil"/>
              <w:bottom w:val="single" w:sz="4" w:space="0" w:color="auto"/>
              <w:right w:val="single" w:sz="4" w:space="0" w:color="auto"/>
            </w:tcBorders>
            <w:shd w:val="clear" w:color="auto" w:fill="auto"/>
            <w:noWrap/>
            <w:vAlign w:val="bottom"/>
            <w:hideMark/>
          </w:tcPr>
          <w:p w14:paraId="58ABB897"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4ED55EE9"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9 700 000,00</w:t>
            </w:r>
          </w:p>
        </w:tc>
        <w:tc>
          <w:tcPr>
            <w:tcW w:w="1701" w:type="dxa"/>
            <w:tcBorders>
              <w:top w:val="nil"/>
              <w:left w:val="nil"/>
              <w:bottom w:val="single" w:sz="4" w:space="0" w:color="auto"/>
              <w:right w:val="single" w:sz="4" w:space="0" w:color="auto"/>
            </w:tcBorders>
            <w:shd w:val="clear" w:color="auto" w:fill="auto"/>
            <w:noWrap/>
            <w:vAlign w:val="bottom"/>
            <w:hideMark/>
          </w:tcPr>
          <w:p w14:paraId="6AA6EA42"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9 700 000,00</w:t>
            </w:r>
          </w:p>
        </w:tc>
        <w:tc>
          <w:tcPr>
            <w:tcW w:w="851" w:type="dxa"/>
            <w:tcBorders>
              <w:top w:val="nil"/>
              <w:left w:val="nil"/>
              <w:bottom w:val="single" w:sz="4" w:space="0" w:color="auto"/>
              <w:right w:val="single" w:sz="8" w:space="0" w:color="auto"/>
            </w:tcBorders>
            <w:shd w:val="clear" w:color="auto" w:fill="auto"/>
            <w:noWrap/>
            <w:vAlign w:val="bottom"/>
            <w:hideMark/>
          </w:tcPr>
          <w:p w14:paraId="2075C91C"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100,0</w:t>
            </w:r>
          </w:p>
        </w:tc>
      </w:tr>
      <w:tr w:rsidR="000B3331" w:rsidRPr="000B3331" w14:paraId="052894E9" w14:textId="77777777" w:rsidTr="000B3331">
        <w:trPr>
          <w:trHeight w:val="520"/>
        </w:trPr>
        <w:tc>
          <w:tcPr>
            <w:tcW w:w="4253" w:type="dxa"/>
            <w:tcBorders>
              <w:top w:val="nil"/>
              <w:left w:val="single" w:sz="8" w:space="0" w:color="auto"/>
              <w:bottom w:val="single" w:sz="4" w:space="0" w:color="auto"/>
              <w:right w:val="single" w:sz="4" w:space="0" w:color="auto"/>
            </w:tcBorders>
            <w:shd w:val="clear" w:color="auto" w:fill="auto"/>
            <w:vAlign w:val="center"/>
            <w:hideMark/>
          </w:tcPr>
          <w:p w14:paraId="5CEFBF6A" w14:textId="6C9BDD7D" w:rsidR="000B3331" w:rsidRPr="000B3331" w:rsidRDefault="000B3331" w:rsidP="000B3331">
            <w:pPr>
              <w:spacing w:after="0" w:line="240" w:lineRule="auto"/>
              <w:rPr>
                <w:rFonts w:ascii="Calibri" w:eastAsia="Times New Roman" w:hAnsi="Calibri" w:cs="Arial"/>
                <w:sz w:val="20"/>
                <w:szCs w:val="20"/>
                <w:lang w:eastAsia="cs-CZ"/>
              </w:rPr>
            </w:pPr>
            <w:r w:rsidRPr="000B3331">
              <w:rPr>
                <w:rFonts w:ascii="Calibri" w:eastAsia="Times New Roman" w:hAnsi="Calibri" w:cs="Arial"/>
                <w:sz w:val="20"/>
                <w:szCs w:val="20"/>
                <w:lang w:eastAsia="cs-CZ"/>
              </w:rPr>
              <w:t>Vratky předchozích let - vypořádání se Středoč</w:t>
            </w:r>
            <w:r w:rsidR="002178E3">
              <w:rPr>
                <w:rFonts w:ascii="Calibri" w:eastAsia="Times New Roman" w:hAnsi="Calibri" w:cs="Arial"/>
                <w:sz w:val="20"/>
                <w:szCs w:val="20"/>
                <w:lang w:eastAsia="cs-CZ"/>
              </w:rPr>
              <w:t xml:space="preserve">eským </w:t>
            </w:r>
            <w:r w:rsidRPr="000B3331">
              <w:rPr>
                <w:rFonts w:ascii="Calibri" w:eastAsia="Times New Roman" w:hAnsi="Calibri" w:cs="Arial"/>
                <w:sz w:val="20"/>
                <w:szCs w:val="20"/>
                <w:lang w:eastAsia="cs-CZ"/>
              </w:rPr>
              <w:t>krajem (třída 2)</w:t>
            </w:r>
          </w:p>
        </w:tc>
        <w:tc>
          <w:tcPr>
            <w:tcW w:w="1417" w:type="dxa"/>
            <w:tcBorders>
              <w:top w:val="nil"/>
              <w:left w:val="nil"/>
              <w:bottom w:val="single" w:sz="4" w:space="0" w:color="auto"/>
              <w:right w:val="single" w:sz="4" w:space="0" w:color="auto"/>
            </w:tcBorders>
            <w:shd w:val="clear" w:color="auto" w:fill="auto"/>
            <w:noWrap/>
            <w:vAlign w:val="bottom"/>
            <w:hideMark/>
          </w:tcPr>
          <w:p w14:paraId="748F1BD3"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312B5115"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6 972 461,53</w:t>
            </w:r>
          </w:p>
        </w:tc>
        <w:tc>
          <w:tcPr>
            <w:tcW w:w="1701" w:type="dxa"/>
            <w:tcBorders>
              <w:top w:val="nil"/>
              <w:left w:val="nil"/>
              <w:bottom w:val="single" w:sz="4" w:space="0" w:color="auto"/>
              <w:right w:val="single" w:sz="4" w:space="0" w:color="auto"/>
            </w:tcBorders>
            <w:shd w:val="clear" w:color="auto" w:fill="auto"/>
            <w:noWrap/>
            <w:vAlign w:val="bottom"/>
            <w:hideMark/>
          </w:tcPr>
          <w:p w14:paraId="65D26DF7"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25 558 617,55</w:t>
            </w:r>
          </w:p>
        </w:tc>
        <w:tc>
          <w:tcPr>
            <w:tcW w:w="851" w:type="dxa"/>
            <w:tcBorders>
              <w:top w:val="nil"/>
              <w:left w:val="nil"/>
              <w:bottom w:val="single" w:sz="4" w:space="0" w:color="auto"/>
              <w:right w:val="single" w:sz="8" w:space="0" w:color="auto"/>
            </w:tcBorders>
            <w:shd w:val="clear" w:color="auto" w:fill="auto"/>
            <w:noWrap/>
            <w:vAlign w:val="bottom"/>
            <w:hideMark/>
          </w:tcPr>
          <w:p w14:paraId="54D186AE"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366,6</w:t>
            </w:r>
          </w:p>
        </w:tc>
      </w:tr>
      <w:tr w:rsidR="000B3331" w:rsidRPr="000B3331" w14:paraId="7E3BFA03" w14:textId="77777777" w:rsidTr="000B3331">
        <w:trPr>
          <w:trHeight w:val="520"/>
        </w:trPr>
        <w:tc>
          <w:tcPr>
            <w:tcW w:w="4253" w:type="dxa"/>
            <w:tcBorders>
              <w:top w:val="nil"/>
              <w:left w:val="single" w:sz="8" w:space="0" w:color="auto"/>
              <w:bottom w:val="single" w:sz="4" w:space="0" w:color="auto"/>
              <w:right w:val="single" w:sz="4" w:space="0" w:color="auto"/>
            </w:tcBorders>
            <w:shd w:val="clear" w:color="auto" w:fill="auto"/>
            <w:vAlign w:val="center"/>
            <w:hideMark/>
          </w:tcPr>
          <w:p w14:paraId="00E55E01" w14:textId="77777777" w:rsidR="000B3331" w:rsidRPr="000B3331" w:rsidRDefault="000B3331" w:rsidP="000B3331">
            <w:pPr>
              <w:spacing w:after="0" w:line="240" w:lineRule="auto"/>
              <w:rPr>
                <w:rFonts w:ascii="Calibri" w:eastAsia="Times New Roman" w:hAnsi="Calibri" w:cs="Arial"/>
                <w:sz w:val="20"/>
                <w:szCs w:val="20"/>
                <w:lang w:eastAsia="cs-CZ"/>
              </w:rPr>
            </w:pPr>
            <w:r w:rsidRPr="000B3331">
              <w:rPr>
                <w:rFonts w:ascii="Calibri" w:eastAsia="Times New Roman" w:hAnsi="Calibri" w:cs="Arial"/>
                <w:sz w:val="20"/>
                <w:szCs w:val="20"/>
                <w:lang w:eastAsia="cs-CZ"/>
              </w:rPr>
              <w:t>Vratky předchozích let - vypořádání se státním rozpočtem (třída 2)</w:t>
            </w:r>
          </w:p>
        </w:tc>
        <w:tc>
          <w:tcPr>
            <w:tcW w:w="1417" w:type="dxa"/>
            <w:tcBorders>
              <w:top w:val="nil"/>
              <w:left w:val="nil"/>
              <w:bottom w:val="single" w:sz="4" w:space="0" w:color="auto"/>
              <w:right w:val="single" w:sz="4" w:space="0" w:color="auto"/>
            </w:tcBorders>
            <w:shd w:val="clear" w:color="auto" w:fill="auto"/>
            <w:noWrap/>
            <w:vAlign w:val="bottom"/>
            <w:hideMark/>
          </w:tcPr>
          <w:p w14:paraId="7A53F80B"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025FBA3C"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443 282 553,85</w:t>
            </w:r>
          </w:p>
        </w:tc>
        <w:tc>
          <w:tcPr>
            <w:tcW w:w="1701" w:type="dxa"/>
            <w:tcBorders>
              <w:top w:val="nil"/>
              <w:left w:val="nil"/>
              <w:bottom w:val="single" w:sz="4" w:space="0" w:color="auto"/>
              <w:right w:val="single" w:sz="4" w:space="0" w:color="auto"/>
            </w:tcBorders>
            <w:shd w:val="clear" w:color="auto" w:fill="auto"/>
            <w:noWrap/>
            <w:vAlign w:val="bottom"/>
            <w:hideMark/>
          </w:tcPr>
          <w:p w14:paraId="2D782E98"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442 609 810,90</w:t>
            </w:r>
          </w:p>
        </w:tc>
        <w:tc>
          <w:tcPr>
            <w:tcW w:w="851" w:type="dxa"/>
            <w:tcBorders>
              <w:top w:val="nil"/>
              <w:left w:val="nil"/>
              <w:bottom w:val="single" w:sz="4" w:space="0" w:color="auto"/>
              <w:right w:val="single" w:sz="8" w:space="0" w:color="auto"/>
            </w:tcBorders>
            <w:shd w:val="clear" w:color="auto" w:fill="auto"/>
            <w:noWrap/>
            <w:vAlign w:val="bottom"/>
            <w:hideMark/>
          </w:tcPr>
          <w:p w14:paraId="76A049CB"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99,8</w:t>
            </w:r>
          </w:p>
        </w:tc>
      </w:tr>
      <w:tr w:rsidR="000B3331" w:rsidRPr="000B3331" w14:paraId="3921AA09" w14:textId="77777777" w:rsidTr="000B3331">
        <w:trPr>
          <w:trHeight w:val="405"/>
        </w:trPr>
        <w:tc>
          <w:tcPr>
            <w:tcW w:w="4253" w:type="dxa"/>
            <w:tcBorders>
              <w:top w:val="nil"/>
              <w:left w:val="single" w:sz="8" w:space="0" w:color="auto"/>
              <w:bottom w:val="single" w:sz="4" w:space="0" w:color="auto"/>
              <w:right w:val="single" w:sz="4" w:space="0" w:color="auto"/>
            </w:tcBorders>
            <w:shd w:val="clear" w:color="auto" w:fill="auto"/>
            <w:noWrap/>
            <w:vAlign w:val="bottom"/>
            <w:hideMark/>
          </w:tcPr>
          <w:p w14:paraId="5DF33C4D" w14:textId="77777777" w:rsidR="000B3331" w:rsidRPr="000B3331" w:rsidRDefault="000B3331" w:rsidP="000B3331">
            <w:pPr>
              <w:spacing w:after="0" w:line="240" w:lineRule="auto"/>
              <w:rPr>
                <w:rFonts w:ascii="Calibri" w:eastAsia="Times New Roman" w:hAnsi="Calibri" w:cs="Arial"/>
                <w:sz w:val="20"/>
                <w:szCs w:val="20"/>
                <w:lang w:eastAsia="cs-CZ"/>
              </w:rPr>
            </w:pPr>
            <w:r w:rsidRPr="000B3331">
              <w:rPr>
                <w:rFonts w:ascii="Calibri" w:eastAsia="Times New Roman" w:hAnsi="Calibri" w:cs="Arial"/>
                <w:sz w:val="20"/>
                <w:szCs w:val="20"/>
                <w:lang w:eastAsia="cs-CZ"/>
              </w:rPr>
              <w:t>Ostatní přijaté vratky (třída 2)</w:t>
            </w:r>
          </w:p>
        </w:tc>
        <w:tc>
          <w:tcPr>
            <w:tcW w:w="1417" w:type="dxa"/>
            <w:tcBorders>
              <w:top w:val="nil"/>
              <w:left w:val="nil"/>
              <w:bottom w:val="single" w:sz="4" w:space="0" w:color="auto"/>
              <w:right w:val="single" w:sz="4" w:space="0" w:color="auto"/>
            </w:tcBorders>
            <w:shd w:val="clear" w:color="auto" w:fill="auto"/>
            <w:noWrap/>
            <w:vAlign w:val="bottom"/>
            <w:hideMark/>
          </w:tcPr>
          <w:p w14:paraId="575D2F83"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2CF490C1"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1 424 791,02</w:t>
            </w:r>
          </w:p>
        </w:tc>
        <w:tc>
          <w:tcPr>
            <w:tcW w:w="1701" w:type="dxa"/>
            <w:tcBorders>
              <w:top w:val="nil"/>
              <w:left w:val="nil"/>
              <w:bottom w:val="single" w:sz="4" w:space="0" w:color="auto"/>
              <w:right w:val="single" w:sz="4" w:space="0" w:color="auto"/>
            </w:tcBorders>
            <w:shd w:val="clear" w:color="auto" w:fill="auto"/>
            <w:noWrap/>
            <w:vAlign w:val="bottom"/>
            <w:hideMark/>
          </w:tcPr>
          <w:p w14:paraId="3D61FFA0"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2 680 820,90</w:t>
            </w:r>
          </w:p>
        </w:tc>
        <w:tc>
          <w:tcPr>
            <w:tcW w:w="851" w:type="dxa"/>
            <w:tcBorders>
              <w:top w:val="nil"/>
              <w:left w:val="nil"/>
              <w:bottom w:val="single" w:sz="4" w:space="0" w:color="auto"/>
              <w:right w:val="single" w:sz="8" w:space="0" w:color="auto"/>
            </w:tcBorders>
            <w:shd w:val="clear" w:color="auto" w:fill="auto"/>
            <w:noWrap/>
            <w:vAlign w:val="bottom"/>
            <w:hideMark/>
          </w:tcPr>
          <w:p w14:paraId="739869D9"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188,2</w:t>
            </w:r>
          </w:p>
        </w:tc>
      </w:tr>
      <w:tr w:rsidR="000B3331" w:rsidRPr="000B3331" w14:paraId="6557361B" w14:textId="77777777" w:rsidTr="000B3331">
        <w:trPr>
          <w:trHeight w:val="405"/>
        </w:trPr>
        <w:tc>
          <w:tcPr>
            <w:tcW w:w="4253" w:type="dxa"/>
            <w:tcBorders>
              <w:top w:val="nil"/>
              <w:left w:val="single" w:sz="8" w:space="0" w:color="auto"/>
              <w:bottom w:val="single" w:sz="4" w:space="0" w:color="auto"/>
              <w:right w:val="single" w:sz="4" w:space="0" w:color="auto"/>
            </w:tcBorders>
            <w:shd w:val="clear" w:color="auto" w:fill="auto"/>
            <w:noWrap/>
            <w:vAlign w:val="bottom"/>
            <w:hideMark/>
          </w:tcPr>
          <w:p w14:paraId="5B84ED04" w14:textId="77777777" w:rsidR="000B3331" w:rsidRPr="000B3331" w:rsidRDefault="000B3331" w:rsidP="000B3331">
            <w:pPr>
              <w:spacing w:after="0" w:line="240" w:lineRule="auto"/>
              <w:rPr>
                <w:rFonts w:ascii="Calibri" w:eastAsia="Times New Roman" w:hAnsi="Calibri" w:cs="Arial"/>
                <w:sz w:val="20"/>
                <w:szCs w:val="20"/>
                <w:lang w:eastAsia="cs-CZ"/>
              </w:rPr>
            </w:pPr>
            <w:r w:rsidRPr="000B3331">
              <w:rPr>
                <w:rFonts w:ascii="Calibri" w:eastAsia="Times New Roman" w:hAnsi="Calibri" w:cs="Arial"/>
                <w:sz w:val="20"/>
                <w:szCs w:val="20"/>
                <w:lang w:eastAsia="cs-CZ"/>
              </w:rPr>
              <w:t>Příjmy z poskytování služeb a výrobků (třída 2)</w:t>
            </w:r>
          </w:p>
        </w:tc>
        <w:tc>
          <w:tcPr>
            <w:tcW w:w="1417" w:type="dxa"/>
            <w:tcBorders>
              <w:top w:val="nil"/>
              <w:left w:val="nil"/>
              <w:bottom w:val="single" w:sz="4" w:space="0" w:color="auto"/>
              <w:right w:val="single" w:sz="4" w:space="0" w:color="auto"/>
            </w:tcBorders>
            <w:shd w:val="clear" w:color="auto" w:fill="auto"/>
            <w:noWrap/>
            <w:vAlign w:val="bottom"/>
            <w:hideMark/>
          </w:tcPr>
          <w:p w14:paraId="158592D0"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405DFFAB"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0,00</w:t>
            </w:r>
          </w:p>
        </w:tc>
        <w:tc>
          <w:tcPr>
            <w:tcW w:w="1701" w:type="dxa"/>
            <w:tcBorders>
              <w:top w:val="nil"/>
              <w:left w:val="nil"/>
              <w:bottom w:val="single" w:sz="4" w:space="0" w:color="auto"/>
              <w:right w:val="single" w:sz="4" w:space="0" w:color="auto"/>
            </w:tcBorders>
            <w:shd w:val="clear" w:color="auto" w:fill="auto"/>
            <w:noWrap/>
            <w:vAlign w:val="bottom"/>
            <w:hideMark/>
          </w:tcPr>
          <w:p w14:paraId="71260F3F"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3 428 964,14</w:t>
            </w:r>
          </w:p>
        </w:tc>
        <w:tc>
          <w:tcPr>
            <w:tcW w:w="851" w:type="dxa"/>
            <w:tcBorders>
              <w:top w:val="nil"/>
              <w:left w:val="nil"/>
              <w:bottom w:val="single" w:sz="4" w:space="0" w:color="auto"/>
              <w:right w:val="single" w:sz="8" w:space="0" w:color="auto"/>
            </w:tcBorders>
            <w:shd w:val="clear" w:color="auto" w:fill="auto"/>
            <w:noWrap/>
            <w:vAlign w:val="bottom"/>
            <w:hideMark/>
          </w:tcPr>
          <w:p w14:paraId="5C23D2B4"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w:t>
            </w:r>
          </w:p>
        </w:tc>
      </w:tr>
      <w:tr w:rsidR="000B3331" w:rsidRPr="000B3331" w14:paraId="2BA51D4B" w14:textId="77777777" w:rsidTr="000B3331">
        <w:trPr>
          <w:trHeight w:val="405"/>
        </w:trPr>
        <w:tc>
          <w:tcPr>
            <w:tcW w:w="4253" w:type="dxa"/>
            <w:tcBorders>
              <w:top w:val="nil"/>
              <w:left w:val="single" w:sz="8" w:space="0" w:color="auto"/>
              <w:bottom w:val="single" w:sz="4" w:space="0" w:color="auto"/>
              <w:right w:val="single" w:sz="4" w:space="0" w:color="auto"/>
            </w:tcBorders>
            <w:shd w:val="clear" w:color="auto" w:fill="auto"/>
            <w:noWrap/>
            <w:vAlign w:val="bottom"/>
            <w:hideMark/>
          </w:tcPr>
          <w:p w14:paraId="5DC3872B" w14:textId="77777777" w:rsidR="000B3331" w:rsidRPr="000B3331" w:rsidRDefault="000B3331" w:rsidP="000B3331">
            <w:pPr>
              <w:spacing w:after="0" w:line="240" w:lineRule="auto"/>
              <w:rPr>
                <w:rFonts w:ascii="Calibri" w:eastAsia="Times New Roman" w:hAnsi="Calibri" w:cs="Arial"/>
                <w:sz w:val="20"/>
                <w:szCs w:val="20"/>
                <w:lang w:eastAsia="cs-CZ"/>
              </w:rPr>
            </w:pPr>
            <w:r w:rsidRPr="000B3331">
              <w:rPr>
                <w:rFonts w:ascii="Calibri" w:eastAsia="Times New Roman" w:hAnsi="Calibri" w:cs="Arial"/>
                <w:sz w:val="20"/>
                <w:szCs w:val="20"/>
                <w:lang w:eastAsia="cs-CZ"/>
              </w:rPr>
              <w:t>Neidentifikované příjmy (třída 2)</w:t>
            </w:r>
          </w:p>
        </w:tc>
        <w:tc>
          <w:tcPr>
            <w:tcW w:w="1417" w:type="dxa"/>
            <w:tcBorders>
              <w:top w:val="nil"/>
              <w:left w:val="nil"/>
              <w:bottom w:val="single" w:sz="4" w:space="0" w:color="auto"/>
              <w:right w:val="single" w:sz="4" w:space="0" w:color="auto"/>
            </w:tcBorders>
            <w:shd w:val="clear" w:color="auto" w:fill="auto"/>
            <w:noWrap/>
            <w:vAlign w:val="bottom"/>
            <w:hideMark/>
          </w:tcPr>
          <w:p w14:paraId="312562E6"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024FE913"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0,00</w:t>
            </w:r>
          </w:p>
        </w:tc>
        <w:tc>
          <w:tcPr>
            <w:tcW w:w="1701" w:type="dxa"/>
            <w:tcBorders>
              <w:top w:val="nil"/>
              <w:left w:val="nil"/>
              <w:bottom w:val="single" w:sz="4" w:space="0" w:color="auto"/>
              <w:right w:val="single" w:sz="4" w:space="0" w:color="auto"/>
            </w:tcBorders>
            <w:shd w:val="clear" w:color="auto" w:fill="auto"/>
            <w:noWrap/>
            <w:vAlign w:val="bottom"/>
            <w:hideMark/>
          </w:tcPr>
          <w:p w14:paraId="4EAD375F"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0,00</w:t>
            </w:r>
          </w:p>
        </w:tc>
        <w:tc>
          <w:tcPr>
            <w:tcW w:w="851" w:type="dxa"/>
            <w:tcBorders>
              <w:top w:val="nil"/>
              <w:left w:val="nil"/>
              <w:bottom w:val="single" w:sz="4" w:space="0" w:color="auto"/>
              <w:right w:val="single" w:sz="8" w:space="0" w:color="auto"/>
            </w:tcBorders>
            <w:shd w:val="clear" w:color="auto" w:fill="auto"/>
            <w:noWrap/>
            <w:vAlign w:val="bottom"/>
            <w:hideMark/>
          </w:tcPr>
          <w:p w14:paraId="66321D90"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w:t>
            </w:r>
          </w:p>
        </w:tc>
      </w:tr>
      <w:tr w:rsidR="000B3331" w:rsidRPr="000B3331" w14:paraId="31DC8A28" w14:textId="77777777" w:rsidTr="000B3331">
        <w:trPr>
          <w:trHeight w:val="405"/>
        </w:trPr>
        <w:tc>
          <w:tcPr>
            <w:tcW w:w="4253" w:type="dxa"/>
            <w:tcBorders>
              <w:top w:val="nil"/>
              <w:left w:val="single" w:sz="8" w:space="0" w:color="auto"/>
              <w:bottom w:val="single" w:sz="4" w:space="0" w:color="auto"/>
              <w:right w:val="single" w:sz="4" w:space="0" w:color="auto"/>
            </w:tcBorders>
            <w:shd w:val="clear" w:color="auto" w:fill="auto"/>
            <w:noWrap/>
            <w:vAlign w:val="bottom"/>
            <w:hideMark/>
          </w:tcPr>
          <w:p w14:paraId="78618303" w14:textId="77777777" w:rsidR="000B3331" w:rsidRPr="000B3331" w:rsidRDefault="000B3331" w:rsidP="000B3331">
            <w:pPr>
              <w:spacing w:after="0" w:line="240" w:lineRule="auto"/>
              <w:rPr>
                <w:rFonts w:ascii="Calibri" w:eastAsia="Times New Roman" w:hAnsi="Calibri" w:cs="Arial"/>
                <w:sz w:val="20"/>
                <w:szCs w:val="20"/>
                <w:lang w:eastAsia="cs-CZ"/>
              </w:rPr>
            </w:pPr>
            <w:r w:rsidRPr="000B3331">
              <w:rPr>
                <w:rFonts w:ascii="Calibri" w:eastAsia="Times New Roman" w:hAnsi="Calibri" w:cs="Arial"/>
                <w:sz w:val="20"/>
                <w:szCs w:val="20"/>
                <w:lang w:eastAsia="cs-CZ"/>
              </w:rPr>
              <w:lastRenderedPageBreak/>
              <w:t>Ostatní příjmy z vlastní činnosti (třída 2)</w:t>
            </w:r>
          </w:p>
        </w:tc>
        <w:tc>
          <w:tcPr>
            <w:tcW w:w="1417" w:type="dxa"/>
            <w:tcBorders>
              <w:top w:val="nil"/>
              <w:left w:val="nil"/>
              <w:bottom w:val="single" w:sz="4" w:space="0" w:color="auto"/>
              <w:right w:val="single" w:sz="4" w:space="0" w:color="auto"/>
            </w:tcBorders>
            <w:shd w:val="clear" w:color="auto" w:fill="auto"/>
            <w:noWrap/>
            <w:vAlign w:val="bottom"/>
            <w:hideMark/>
          </w:tcPr>
          <w:p w14:paraId="4FEBEFD8"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295CFEB9"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19 529 038,32</w:t>
            </w:r>
          </w:p>
        </w:tc>
        <w:tc>
          <w:tcPr>
            <w:tcW w:w="1701" w:type="dxa"/>
            <w:tcBorders>
              <w:top w:val="nil"/>
              <w:left w:val="nil"/>
              <w:bottom w:val="single" w:sz="4" w:space="0" w:color="auto"/>
              <w:right w:val="single" w:sz="4" w:space="0" w:color="auto"/>
            </w:tcBorders>
            <w:shd w:val="clear" w:color="auto" w:fill="auto"/>
            <w:noWrap/>
            <w:vAlign w:val="bottom"/>
            <w:hideMark/>
          </w:tcPr>
          <w:p w14:paraId="6FA4BD18"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22 767 523,38</w:t>
            </w:r>
          </w:p>
        </w:tc>
        <w:tc>
          <w:tcPr>
            <w:tcW w:w="851" w:type="dxa"/>
            <w:tcBorders>
              <w:top w:val="nil"/>
              <w:left w:val="nil"/>
              <w:bottom w:val="single" w:sz="4" w:space="0" w:color="auto"/>
              <w:right w:val="single" w:sz="8" w:space="0" w:color="auto"/>
            </w:tcBorders>
            <w:shd w:val="clear" w:color="auto" w:fill="auto"/>
            <w:noWrap/>
            <w:vAlign w:val="bottom"/>
            <w:hideMark/>
          </w:tcPr>
          <w:p w14:paraId="1DF74346"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116,6</w:t>
            </w:r>
          </w:p>
        </w:tc>
      </w:tr>
      <w:tr w:rsidR="000B3331" w:rsidRPr="000B3331" w14:paraId="240BA2BE" w14:textId="77777777" w:rsidTr="000B3331">
        <w:trPr>
          <w:trHeight w:val="405"/>
        </w:trPr>
        <w:tc>
          <w:tcPr>
            <w:tcW w:w="4253" w:type="dxa"/>
            <w:tcBorders>
              <w:top w:val="nil"/>
              <w:left w:val="single" w:sz="8" w:space="0" w:color="auto"/>
              <w:bottom w:val="single" w:sz="4" w:space="0" w:color="auto"/>
              <w:right w:val="single" w:sz="4" w:space="0" w:color="auto"/>
            </w:tcBorders>
            <w:shd w:val="clear" w:color="auto" w:fill="auto"/>
            <w:noWrap/>
            <w:vAlign w:val="bottom"/>
            <w:hideMark/>
          </w:tcPr>
          <w:p w14:paraId="74ACDD12" w14:textId="77777777" w:rsidR="000B3331" w:rsidRPr="000B3331" w:rsidRDefault="000B3331" w:rsidP="000B3331">
            <w:pPr>
              <w:spacing w:after="0" w:line="240" w:lineRule="auto"/>
              <w:rPr>
                <w:rFonts w:ascii="Calibri" w:eastAsia="Times New Roman" w:hAnsi="Calibri" w:cs="Arial"/>
                <w:sz w:val="20"/>
                <w:szCs w:val="20"/>
                <w:lang w:eastAsia="cs-CZ"/>
              </w:rPr>
            </w:pPr>
            <w:r w:rsidRPr="000B3331">
              <w:rPr>
                <w:rFonts w:ascii="Calibri" w:eastAsia="Times New Roman" w:hAnsi="Calibri" w:cs="Arial"/>
                <w:sz w:val="20"/>
                <w:szCs w:val="20"/>
                <w:lang w:eastAsia="cs-CZ"/>
              </w:rPr>
              <w:t>Ostatní nedaňové příjmy (třída 2)</w:t>
            </w:r>
          </w:p>
        </w:tc>
        <w:tc>
          <w:tcPr>
            <w:tcW w:w="1417" w:type="dxa"/>
            <w:tcBorders>
              <w:top w:val="nil"/>
              <w:left w:val="nil"/>
              <w:bottom w:val="single" w:sz="4" w:space="0" w:color="auto"/>
              <w:right w:val="single" w:sz="4" w:space="0" w:color="auto"/>
            </w:tcBorders>
            <w:shd w:val="clear" w:color="auto" w:fill="auto"/>
            <w:noWrap/>
            <w:vAlign w:val="bottom"/>
            <w:hideMark/>
          </w:tcPr>
          <w:p w14:paraId="26A9F2C0"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60D2894A"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1 748 780,00</w:t>
            </w:r>
          </w:p>
        </w:tc>
        <w:tc>
          <w:tcPr>
            <w:tcW w:w="1701" w:type="dxa"/>
            <w:tcBorders>
              <w:top w:val="nil"/>
              <w:left w:val="nil"/>
              <w:bottom w:val="single" w:sz="4" w:space="0" w:color="auto"/>
              <w:right w:val="single" w:sz="4" w:space="0" w:color="auto"/>
            </w:tcBorders>
            <w:shd w:val="clear" w:color="auto" w:fill="auto"/>
            <w:noWrap/>
            <w:vAlign w:val="bottom"/>
            <w:hideMark/>
          </w:tcPr>
          <w:p w14:paraId="07E9B80C"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16 481 802,00</w:t>
            </w:r>
          </w:p>
        </w:tc>
        <w:tc>
          <w:tcPr>
            <w:tcW w:w="851" w:type="dxa"/>
            <w:tcBorders>
              <w:top w:val="nil"/>
              <w:left w:val="nil"/>
              <w:bottom w:val="single" w:sz="4" w:space="0" w:color="auto"/>
              <w:right w:val="single" w:sz="8" w:space="0" w:color="auto"/>
            </w:tcBorders>
            <w:shd w:val="clear" w:color="auto" w:fill="auto"/>
            <w:noWrap/>
            <w:vAlign w:val="bottom"/>
            <w:hideMark/>
          </w:tcPr>
          <w:p w14:paraId="2C4667DF" w14:textId="6BF689D4" w:rsidR="000B3331" w:rsidRPr="000B3331" w:rsidRDefault="002178E3" w:rsidP="000B3331">
            <w:pPr>
              <w:spacing w:after="0" w:line="240" w:lineRule="auto"/>
              <w:jc w:val="right"/>
              <w:rPr>
                <w:rFonts w:ascii="Calibri" w:eastAsia="Times New Roman" w:hAnsi="Calibri" w:cs="Arial"/>
                <w:sz w:val="20"/>
                <w:szCs w:val="20"/>
                <w:lang w:eastAsia="cs-CZ"/>
              </w:rPr>
            </w:pPr>
            <w:r>
              <w:rPr>
                <w:rFonts w:ascii="Calibri" w:eastAsia="Times New Roman" w:hAnsi="Calibri" w:cs="Arial"/>
                <w:sz w:val="20"/>
                <w:szCs w:val="20"/>
                <w:lang w:eastAsia="cs-CZ"/>
              </w:rPr>
              <w:t>9,4</w:t>
            </w:r>
          </w:p>
        </w:tc>
      </w:tr>
      <w:tr w:rsidR="000B3331" w:rsidRPr="000B3331" w14:paraId="278399E9" w14:textId="77777777" w:rsidTr="000B3331">
        <w:trPr>
          <w:trHeight w:val="405"/>
        </w:trPr>
        <w:tc>
          <w:tcPr>
            <w:tcW w:w="4253" w:type="dxa"/>
            <w:tcBorders>
              <w:top w:val="nil"/>
              <w:left w:val="single" w:sz="8" w:space="0" w:color="auto"/>
              <w:bottom w:val="single" w:sz="4" w:space="0" w:color="auto"/>
              <w:right w:val="single" w:sz="4" w:space="0" w:color="auto"/>
            </w:tcBorders>
            <w:shd w:val="clear" w:color="auto" w:fill="auto"/>
            <w:noWrap/>
            <w:vAlign w:val="bottom"/>
            <w:hideMark/>
          </w:tcPr>
          <w:p w14:paraId="6D6F067F" w14:textId="77777777" w:rsidR="000B3331" w:rsidRPr="000B3331" w:rsidRDefault="000B3331" w:rsidP="000B3331">
            <w:pPr>
              <w:spacing w:after="0" w:line="240" w:lineRule="auto"/>
              <w:rPr>
                <w:rFonts w:ascii="Calibri" w:eastAsia="Times New Roman" w:hAnsi="Calibri" w:cs="Arial"/>
                <w:sz w:val="20"/>
                <w:szCs w:val="20"/>
                <w:lang w:eastAsia="cs-CZ"/>
              </w:rPr>
            </w:pPr>
            <w:r w:rsidRPr="000B3331">
              <w:rPr>
                <w:rFonts w:ascii="Calibri" w:eastAsia="Times New Roman" w:hAnsi="Calibri" w:cs="Arial"/>
                <w:sz w:val="20"/>
                <w:szCs w:val="20"/>
                <w:lang w:eastAsia="cs-CZ"/>
              </w:rPr>
              <w:t>Kurzové rozdíly v příjmech (třída 2)</w:t>
            </w:r>
          </w:p>
        </w:tc>
        <w:tc>
          <w:tcPr>
            <w:tcW w:w="1417" w:type="dxa"/>
            <w:tcBorders>
              <w:top w:val="nil"/>
              <w:left w:val="nil"/>
              <w:bottom w:val="single" w:sz="4" w:space="0" w:color="auto"/>
              <w:right w:val="single" w:sz="4" w:space="0" w:color="auto"/>
            </w:tcBorders>
            <w:shd w:val="clear" w:color="auto" w:fill="auto"/>
            <w:noWrap/>
            <w:vAlign w:val="bottom"/>
            <w:hideMark/>
          </w:tcPr>
          <w:p w14:paraId="57592E2C"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134D2787"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0,00</w:t>
            </w:r>
          </w:p>
        </w:tc>
        <w:tc>
          <w:tcPr>
            <w:tcW w:w="1701" w:type="dxa"/>
            <w:tcBorders>
              <w:top w:val="nil"/>
              <w:left w:val="nil"/>
              <w:bottom w:val="single" w:sz="4" w:space="0" w:color="auto"/>
              <w:right w:val="single" w:sz="4" w:space="0" w:color="auto"/>
            </w:tcBorders>
            <w:shd w:val="clear" w:color="auto" w:fill="auto"/>
            <w:noWrap/>
            <w:vAlign w:val="bottom"/>
            <w:hideMark/>
          </w:tcPr>
          <w:p w14:paraId="11F21BD8"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155,29</w:t>
            </w:r>
          </w:p>
        </w:tc>
        <w:tc>
          <w:tcPr>
            <w:tcW w:w="851" w:type="dxa"/>
            <w:tcBorders>
              <w:top w:val="nil"/>
              <w:left w:val="nil"/>
              <w:bottom w:val="single" w:sz="4" w:space="0" w:color="auto"/>
              <w:right w:val="single" w:sz="8" w:space="0" w:color="auto"/>
            </w:tcBorders>
            <w:shd w:val="clear" w:color="auto" w:fill="auto"/>
            <w:noWrap/>
            <w:vAlign w:val="bottom"/>
            <w:hideMark/>
          </w:tcPr>
          <w:p w14:paraId="1022F0FB"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w:t>
            </w:r>
          </w:p>
        </w:tc>
      </w:tr>
      <w:tr w:rsidR="000B3331" w:rsidRPr="000B3331" w14:paraId="70EA7D34" w14:textId="77777777" w:rsidTr="000B3331">
        <w:trPr>
          <w:trHeight w:val="405"/>
        </w:trPr>
        <w:tc>
          <w:tcPr>
            <w:tcW w:w="4253" w:type="dxa"/>
            <w:tcBorders>
              <w:top w:val="nil"/>
              <w:left w:val="single" w:sz="8" w:space="0" w:color="auto"/>
              <w:bottom w:val="single" w:sz="4" w:space="0" w:color="auto"/>
              <w:right w:val="single" w:sz="4" w:space="0" w:color="auto"/>
            </w:tcBorders>
            <w:shd w:val="clear" w:color="auto" w:fill="auto"/>
            <w:noWrap/>
            <w:vAlign w:val="bottom"/>
            <w:hideMark/>
          </w:tcPr>
          <w:p w14:paraId="7EB4597B" w14:textId="77777777" w:rsidR="000B3331" w:rsidRPr="000B3331" w:rsidRDefault="000B3331" w:rsidP="000B3331">
            <w:pPr>
              <w:spacing w:after="0" w:line="240" w:lineRule="auto"/>
              <w:rPr>
                <w:rFonts w:ascii="Calibri" w:eastAsia="Times New Roman" w:hAnsi="Calibri" w:cs="Arial"/>
                <w:b/>
                <w:bCs/>
                <w:sz w:val="20"/>
                <w:szCs w:val="20"/>
                <w:lang w:eastAsia="cs-CZ"/>
              </w:rPr>
            </w:pPr>
            <w:r w:rsidRPr="000B3331">
              <w:rPr>
                <w:rFonts w:ascii="Calibri" w:eastAsia="Times New Roman" w:hAnsi="Calibri" w:cs="Arial"/>
                <w:b/>
                <w:bCs/>
                <w:sz w:val="20"/>
                <w:szCs w:val="20"/>
                <w:lang w:eastAsia="cs-CZ"/>
              </w:rPr>
              <w:t>Třída 3 - Kapitálové příjmy</w:t>
            </w:r>
          </w:p>
        </w:tc>
        <w:tc>
          <w:tcPr>
            <w:tcW w:w="1417" w:type="dxa"/>
            <w:tcBorders>
              <w:top w:val="nil"/>
              <w:left w:val="nil"/>
              <w:bottom w:val="single" w:sz="4" w:space="0" w:color="auto"/>
              <w:right w:val="single" w:sz="4" w:space="0" w:color="auto"/>
            </w:tcBorders>
            <w:shd w:val="clear" w:color="auto" w:fill="auto"/>
            <w:noWrap/>
            <w:vAlign w:val="bottom"/>
            <w:hideMark/>
          </w:tcPr>
          <w:p w14:paraId="67D9BBB7" w14:textId="77777777" w:rsidR="000B3331" w:rsidRPr="000B3331" w:rsidRDefault="000B3331" w:rsidP="000B3331">
            <w:pPr>
              <w:spacing w:after="0" w:line="240" w:lineRule="auto"/>
              <w:jc w:val="right"/>
              <w:rPr>
                <w:rFonts w:ascii="Calibri" w:eastAsia="Times New Roman" w:hAnsi="Calibri" w:cs="Arial"/>
                <w:b/>
                <w:bCs/>
                <w:sz w:val="20"/>
                <w:szCs w:val="20"/>
                <w:lang w:eastAsia="cs-CZ"/>
              </w:rPr>
            </w:pPr>
            <w:r w:rsidRPr="000B3331">
              <w:rPr>
                <w:rFonts w:ascii="Calibri" w:eastAsia="Times New Roman" w:hAnsi="Calibri" w:cs="Arial"/>
                <w:b/>
                <w:bCs/>
                <w:sz w:val="20"/>
                <w:szCs w:val="20"/>
                <w:lang w:eastAsia="cs-CZ"/>
              </w:rPr>
              <w:t>8 000 000</w:t>
            </w:r>
          </w:p>
        </w:tc>
        <w:tc>
          <w:tcPr>
            <w:tcW w:w="1701" w:type="dxa"/>
            <w:tcBorders>
              <w:top w:val="nil"/>
              <w:left w:val="nil"/>
              <w:bottom w:val="single" w:sz="4" w:space="0" w:color="auto"/>
              <w:right w:val="single" w:sz="4" w:space="0" w:color="auto"/>
            </w:tcBorders>
            <w:shd w:val="clear" w:color="auto" w:fill="auto"/>
            <w:noWrap/>
            <w:vAlign w:val="bottom"/>
            <w:hideMark/>
          </w:tcPr>
          <w:p w14:paraId="27035B63" w14:textId="77777777" w:rsidR="000B3331" w:rsidRPr="000B3331" w:rsidRDefault="000B3331" w:rsidP="000B3331">
            <w:pPr>
              <w:spacing w:after="0" w:line="240" w:lineRule="auto"/>
              <w:jc w:val="right"/>
              <w:rPr>
                <w:rFonts w:ascii="Calibri" w:eastAsia="Times New Roman" w:hAnsi="Calibri" w:cs="Arial"/>
                <w:b/>
                <w:bCs/>
                <w:sz w:val="20"/>
                <w:szCs w:val="20"/>
                <w:lang w:eastAsia="cs-CZ"/>
              </w:rPr>
            </w:pPr>
            <w:r w:rsidRPr="000B3331">
              <w:rPr>
                <w:rFonts w:ascii="Calibri" w:eastAsia="Times New Roman" w:hAnsi="Calibri" w:cs="Arial"/>
                <w:b/>
                <w:bCs/>
                <w:sz w:val="20"/>
                <w:szCs w:val="20"/>
                <w:lang w:eastAsia="cs-CZ"/>
              </w:rPr>
              <w:t>8 000 000,00</w:t>
            </w:r>
          </w:p>
        </w:tc>
        <w:tc>
          <w:tcPr>
            <w:tcW w:w="1701" w:type="dxa"/>
            <w:tcBorders>
              <w:top w:val="nil"/>
              <w:left w:val="nil"/>
              <w:bottom w:val="single" w:sz="4" w:space="0" w:color="auto"/>
              <w:right w:val="single" w:sz="4" w:space="0" w:color="auto"/>
            </w:tcBorders>
            <w:shd w:val="clear" w:color="auto" w:fill="auto"/>
            <w:noWrap/>
            <w:vAlign w:val="bottom"/>
            <w:hideMark/>
          </w:tcPr>
          <w:p w14:paraId="46D59AC3" w14:textId="77777777" w:rsidR="000B3331" w:rsidRPr="000B3331" w:rsidRDefault="000B3331" w:rsidP="000B3331">
            <w:pPr>
              <w:spacing w:after="0" w:line="240" w:lineRule="auto"/>
              <w:jc w:val="right"/>
              <w:rPr>
                <w:rFonts w:ascii="Calibri" w:eastAsia="Times New Roman" w:hAnsi="Calibri" w:cs="Arial"/>
                <w:b/>
                <w:bCs/>
                <w:sz w:val="20"/>
                <w:szCs w:val="20"/>
                <w:lang w:eastAsia="cs-CZ"/>
              </w:rPr>
            </w:pPr>
            <w:r w:rsidRPr="000B3331">
              <w:rPr>
                <w:rFonts w:ascii="Calibri" w:eastAsia="Times New Roman" w:hAnsi="Calibri" w:cs="Arial"/>
                <w:b/>
                <w:bCs/>
                <w:sz w:val="20"/>
                <w:szCs w:val="20"/>
                <w:lang w:eastAsia="cs-CZ"/>
              </w:rPr>
              <w:t>9 609 059,47</w:t>
            </w:r>
          </w:p>
        </w:tc>
        <w:tc>
          <w:tcPr>
            <w:tcW w:w="851" w:type="dxa"/>
            <w:tcBorders>
              <w:top w:val="nil"/>
              <w:left w:val="nil"/>
              <w:bottom w:val="single" w:sz="4" w:space="0" w:color="auto"/>
              <w:right w:val="single" w:sz="8" w:space="0" w:color="auto"/>
            </w:tcBorders>
            <w:shd w:val="clear" w:color="auto" w:fill="auto"/>
            <w:noWrap/>
            <w:vAlign w:val="bottom"/>
            <w:hideMark/>
          </w:tcPr>
          <w:p w14:paraId="0B9F14B8" w14:textId="77777777" w:rsidR="000B3331" w:rsidRPr="000B3331" w:rsidRDefault="000B3331" w:rsidP="000B3331">
            <w:pPr>
              <w:spacing w:after="0" w:line="240" w:lineRule="auto"/>
              <w:jc w:val="right"/>
              <w:rPr>
                <w:rFonts w:ascii="Calibri" w:eastAsia="Times New Roman" w:hAnsi="Calibri" w:cs="Arial"/>
                <w:b/>
                <w:bCs/>
                <w:sz w:val="20"/>
                <w:szCs w:val="20"/>
                <w:lang w:eastAsia="cs-CZ"/>
              </w:rPr>
            </w:pPr>
            <w:r w:rsidRPr="000B3331">
              <w:rPr>
                <w:rFonts w:ascii="Calibri" w:eastAsia="Times New Roman" w:hAnsi="Calibri" w:cs="Arial"/>
                <w:b/>
                <w:bCs/>
                <w:sz w:val="20"/>
                <w:szCs w:val="20"/>
                <w:lang w:eastAsia="cs-CZ"/>
              </w:rPr>
              <w:t>120,1</w:t>
            </w:r>
          </w:p>
        </w:tc>
      </w:tr>
      <w:tr w:rsidR="000B3331" w:rsidRPr="000B3331" w14:paraId="5E74F6CB" w14:textId="77777777" w:rsidTr="000B3331">
        <w:trPr>
          <w:trHeight w:val="405"/>
        </w:trPr>
        <w:tc>
          <w:tcPr>
            <w:tcW w:w="4253" w:type="dxa"/>
            <w:tcBorders>
              <w:top w:val="nil"/>
              <w:left w:val="single" w:sz="8" w:space="0" w:color="auto"/>
              <w:bottom w:val="single" w:sz="4" w:space="0" w:color="auto"/>
              <w:right w:val="single" w:sz="4" w:space="0" w:color="auto"/>
            </w:tcBorders>
            <w:shd w:val="clear" w:color="auto" w:fill="auto"/>
            <w:noWrap/>
            <w:vAlign w:val="bottom"/>
            <w:hideMark/>
          </w:tcPr>
          <w:p w14:paraId="6ED23417" w14:textId="77777777" w:rsidR="000B3331" w:rsidRPr="000B3331" w:rsidRDefault="000B3331" w:rsidP="000B3331">
            <w:pPr>
              <w:spacing w:after="0" w:line="240" w:lineRule="auto"/>
              <w:rPr>
                <w:rFonts w:ascii="Calibri" w:eastAsia="Times New Roman" w:hAnsi="Calibri" w:cs="Arial"/>
                <w:sz w:val="20"/>
                <w:szCs w:val="20"/>
                <w:lang w:eastAsia="cs-CZ"/>
              </w:rPr>
            </w:pPr>
            <w:r w:rsidRPr="000B3331">
              <w:rPr>
                <w:rFonts w:ascii="Calibri" w:eastAsia="Times New Roman" w:hAnsi="Calibri" w:cs="Arial"/>
                <w:sz w:val="20"/>
                <w:szCs w:val="20"/>
                <w:lang w:eastAsia="cs-CZ"/>
              </w:rPr>
              <w:t>Příjmy z prodeje majetku (třída 3)</w:t>
            </w:r>
          </w:p>
        </w:tc>
        <w:tc>
          <w:tcPr>
            <w:tcW w:w="1417" w:type="dxa"/>
            <w:tcBorders>
              <w:top w:val="nil"/>
              <w:left w:val="nil"/>
              <w:bottom w:val="single" w:sz="4" w:space="0" w:color="auto"/>
              <w:right w:val="single" w:sz="4" w:space="0" w:color="auto"/>
            </w:tcBorders>
            <w:shd w:val="clear" w:color="auto" w:fill="auto"/>
            <w:noWrap/>
            <w:vAlign w:val="bottom"/>
            <w:hideMark/>
          </w:tcPr>
          <w:p w14:paraId="11254E78"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8 000 000</w:t>
            </w:r>
          </w:p>
        </w:tc>
        <w:tc>
          <w:tcPr>
            <w:tcW w:w="1701" w:type="dxa"/>
            <w:tcBorders>
              <w:top w:val="nil"/>
              <w:left w:val="nil"/>
              <w:bottom w:val="single" w:sz="4" w:space="0" w:color="auto"/>
              <w:right w:val="single" w:sz="4" w:space="0" w:color="auto"/>
            </w:tcBorders>
            <w:shd w:val="clear" w:color="auto" w:fill="auto"/>
            <w:noWrap/>
            <w:vAlign w:val="bottom"/>
            <w:hideMark/>
          </w:tcPr>
          <w:p w14:paraId="5F400BA9"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8 000 000,00</w:t>
            </w:r>
          </w:p>
        </w:tc>
        <w:tc>
          <w:tcPr>
            <w:tcW w:w="1701" w:type="dxa"/>
            <w:tcBorders>
              <w:top w:val="nil"/>
              <w:left w:val="nil"/>
              <w:bottom w:val="single" w:sz="4" w:space="0" w:color="auto"/>
              <w:right w:val="single" w:sz="4" w:space="0" w:color="auto"/>
            </w:tcBorders>
            <w:shd w:val="clear" w:color="auto" w:fill="auto"/>
            <w:noWrap/>
            <w:vAlign w:val="bottom"/>
            <w:hideMark/>
          </w:tcPr>
          <w:p w14:paraId="370C49D5"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9 609 059,47</w:t>
            </w:r>
          </w:p>
        </w:tc>
        <w:tc>
          <w:tcPr>
            <w:tcW w:w="851" w:type="dxa"/>
            <w:tcBorders>
              <w:top w:val="nil"/>
              <w:left w:val="nil"/>
              <w:bottom w:val="single" w:sz="4" w:space="0" w:color="auto"/>
              <w:right w:val="single" w:sz="8" w:space="0" w:color="auto"/>
            </w:tcBorders>
            <w:shd w:val="clear" w:color="auto" w:fill="auto"/>
            <w:noWrap/>
            <w:vAlign w:val="bottom"/>
            <w:hideMark/>
          </w:tcPr>
          <w:p w14:paraId="6D793862"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120,1</w:t>
            </w:r>
          </w:p>
        </w:tc>
      </w:tr>
      <w:tr w:rsidR="000B3331" w:rsidRPr="000B3331" w14:paraId="7C7E3230" w14:textId="77777777" w:rsidTr="000B3331">
        <w:trPr>
          <w:trHeight w:val="405"/>
        </w:trPr>
        <w:tc>
          <w:tcPr>
            <w:tcW w:w="4253" w:type="dxa"/>
            <w:tcBorders>
              <w:top w:val="nil"/>
              <w:left w:val="single" w:sz="8" w:space="0" w:color="auto"/>
              <w:bottom w:val="single" w:sz="4" w:space="0" w:color="auto"/>
              <w:right w:val="single" w:sz="4" w:space="0" w:color="auto"/>
            </w:tcBorders>
            <w:shd w:val="clear" w:color="auto" w:fill="auto"/>
            <w:noWrap/>
            <w:vAlign w:val="bottom"/>
            <w:hideMark/>
          </w:tcPr>
          <w:p w14:paraId="482CB8DD" w14:textId="77777777" w:rsidR="000B3331" w:rsidRPr="000B3331" w:rsidRDefault="000B3331" w:rsidP="000B3331">
            <w:pPr>
              <w:spacing w:after="0" w:line="240" w:lineRule="auto"/>
              <w:rPr>
                <w:rFonts w:ascii="Calibri" w:eastAsia="Times New Roman" w:hAnsi="Calibri" w:cs="Arial"/>
                <w:b/>
                <w:bCs/>
                <w:sz w:val="20"/>
                <w:szCs w:val="20"/>
                <w:lang w:eastAsia="cs-CZ"/>
              </w:rPr>
            </w:pPr>
            <w:r w:rsidRPr="000B3331">
              <w:rPr>
                <w:rFonts w:ascii="Calibri" w:eastAsia="Times New Roman" w:hAnsi="Calibri" w:cs="Arial"/>
                <w:b/>
                <w:bCs/>
                <w:sz w:val="20"/>
                <w:szCs w:val="20"/>
                <w:lang w:eastAsia="cs-CZ"/>
              </w:rPr>
              <w:t>Třída 4 - Přijaté transfery (krajské)</w:t>
            </w:r>
          </w:p>
        </w:tc>
        <w:tc>
          <w:tcPr>
            <w:tcW w:w="1417" w:type="dxa"/>
            <w:tcBorders>
              <w:top w:val="nil"/>
              <w:left w:val="nil"/>
              <w:bottom w:val="single" w:sz="4" w:space="0" w:color="auto"/>
              <w:right w:val="single" w:sz="4" w:space="0" w:color="auto"/>
            </w:tcBorders>
            <w:shd w:val="clear" w:color="auto" w:fill="auto"/>
            <w:noWrap/>
            <w:vAlign w:val="bottom"/>
            <w:hideMark/>
          </w:tcPr>
          <w:p w14:paraId="76BCDE6F" w14:textId="77777777" w:rsidR="000B3331" w:rsidRPr="000B3331" w:rsidRDefault="000B3331" w:rsidP="000B3331">
            <w:pPr>
              <w:spacing w:after="0" w:line="240" w:lineRule="auto"/>
              <w:jc w:val="right"/>
              <w:rPr>
                <w:rFonts w:ascii="Calibri" w:eastAsia="Times New Roman" w:hAnsi="Calibri" w:cs="Arial"/>
                <w:b/>
                <w:bCs/>
                <w:sz w:val="20"/>
                <w:szCs w:val="20"/>
                <w:lang w:eastAsia="cs-CZ"/>
              </w:rPr>
            </w:pPr>
            <w:r w:rsidRPr="000B3331">
              <w:rPr>
                <w:rFonts w:ascii="Calibri" w:eastAsia="Times New Roman" w:hAnsi="Calibri" w:cs="Arial"/>
                <w:b/>
                <w:bCs/>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46AE3498" w14:textId="77777777" w:rsidR="000B3331" w:rsidRPr="000B3331" w:rsidRDefault="000B3331" w:rsidP="000B3331">
            <w:pPr>
              <w:spacing w:after="0" w:line="240" w:lineRule="auto"/>
              <w:jc w:val="right"/>
              <w:rPr>
                <w:rFonts w:ascii="Calibri" w:eastAsia="Times New Roman" w:hAnsi="Calibri" w:cs="Arial"/>
                <w:b/>
                <w:bCs/>
                <w:sz w:val="20"/>
                <w:szCs w:val="20"/>
                <w:lang w:eastAsia="cs-CZ"/>
              </w:rPr>
            </w:pPr>
            <w:r w:rsidRPr="000B3331">
              <w:rPr>
                <w:rFonts w:ascii="Calibri" w:eastAsia="Times New Roman" w:hAnsi="Calibri" w:cs="Arial"/>
                <w:b/>
                <w:bCs/>
                <w:sz w:val="20"/>
                <w:szCs w:val="20"/>
                <w:lang w:eastAsia="cs-CZ"/>
              </w:rPr>
              <w:t>1 068 744,00</w:t>
            </w:r>
          </w:p>
        </w:tc>
        <w:tc>
          <w:tcPr>
            <w:tcW w:w="1701" w:type="dxa"/>
            <w:tcBorders>
              <w:top w:val="nil"/>
              <w:left w:val="nil"/>
              <w:bottom w:val="single" w:sz="4" w:space="0" w:color="auto"/>
              <w:right w:val="single" w:sz="4" w:space="0" w:color="auto"/>
            </w:tcBorders>
            <w:shd w:val="clear" w:color="auto" w:fill="auto"/>
            <w:noWrap/>
            <w:vAlign w:val="bottom"/>
            <w:hideMark/>
          </w:tcPr>
          <w:p w14:paraId="24249731" w14:textId="77777777" w:rsidR="000B3331" w:rsidRPr="000B3331" w:rsidRDefault="000B3331" w:rsidP="000B3331">
            <w:pPr>
              <w:spacing w:after="0" w:line="240" w:lineRule="auto"/>
              <w:jc w:val="right"/>
              <w:rPr>
                <w:rFonts w:ascii="Calibri" w:eastAsia="Times New Roman" w:hAnsi="Calibri" w:cs="Arial"/>
                <w:b/>
                <w:bCs/>
                <w:sz w:val="20"/>
                <w:szCs w:val="20"/>
                <w:lang w:eastAsia="cs-CZ"/>
              </w:rPr>
            </w:pPr>
            <w:r w:rsidRPr="000B3331">
              <w:rPr>
                <w:rFonts w:ascii="Calibri" w:eastAsia="Times New Roman" w:hAnsi="Calibri" w:cs="Arial"/>
                <w:b/>
                <w:bCs/>
                <w:sz w:val="20"/>
                <w:szCs w:val="20"/>
                <w:lang w:eastAsia="cs-CZ"/>
              </w:rPr>
              <w:t>1 068 744,00</w:t>
            </w:r>
          </w:p>
        </w:tc>
        <w:tc>
          <w:tcPr>
            <w:tcW w:w="851" w:type="dxa"/>
            <w:tcBorders>
              <w:top w:val="nil"/>
              <w:left w:val="nil"/>
              <w:bottom w:val="single" w:sz="4" w:space="0" w:color="auto"/>
              <w:right w:val="single" w:sz="8" w:space="0" w:color="auto"/>
            </w:tcBorders>
            <w:shd w:val="clear" w:color="auto" w:fill="auto"/>
            <w:noWrap/>
            <w:vAlign w:val="bottom"/>
            <w:hideMark/>
          </w:tcPr>
          <w:p w14:paraId="2AC902D3" w14:textId="77777777" w:rsidR="000B3331" w:rsidRPr="000B3331" w:rsidRDefault="000B3331" w:rsidP="000B3331">
            <w:pPr>
              <w:spacing w:after="0" w:line="240" w:lineRule="auto"/>
              <w:jc w:val="right"/>
              <w:rPr>
                <w:rFonts w:ascii="Calibri" w:eastAsia="Times New Roman" w:hAnsi="Calibri" w:cs="Arial"/>
                <w:b/>
                <w:bCs/>
                <w:sz w:val="20"/>
                <w:szCs w:val="20"/>
                <w:lang w:eastAsia="cs-CZ"/>
              </w:rPr>
            </w:pPr>
            <w:r w:rsidRPr="000B3331">
              <w:rPr>
                <w:rFonts w:ascii="Calibri" w:eastAsia="Times New Roman" w:hAnsi="Calibri" w:cs="Arial"/>
                <w:b/>
                <w:bCs/>
                <w:sz w:val="20"/>
                <w:szCs w:val="20"/>
                <w:lang w:eastAsia="cs-CZ"/>
              </w:rPr>
              <w:t>100,0</w:t>
            </w:r>
          </w:p>
        </w:tc>
      </w:tr>
      <w:tr w:rsidR="000B3331" w:rsidRPr="000B3331" w14:paraId="219104AC" w14:textId="77777777" w:rsidTr="000B3331">
        <w:trPr>
          <w:trHeight w:val="405"/>
        </w:trPr>
        <w:tc>
          <w:tcPr>
            <w:tcW w:w="4253" w:type="dxa"/>
            <w:tcBorders>
              <w:top w:val="nil"/>
              <w:left w:val="single" w:sz="8" w:space="0" w:color="auto"/>
              <w:bottom w:val="single" w:sz="4" w:space="0" w:color="auto"/>
              <w:right w:val="single" w:sz="4" w:space="0" w:color="auto"/>
            </w:tcBorders>
            <w:shd w:val="clear" w:color="auto" w:fill="auto"/>
            <w:noWrap/>
            <w:vAlign w:val="bottom"/>
            <w:hideMark/>
          </w:tcPr>
          <w:p w14:paraId="10585DF7" w14:textId="77777777" w:rsidR="000B3331" w:rsidRPr="000B3331" w:rsidRDefault="000B3331" w:rsidP="000B3331">
            <w:pPr>
              <w:spacing w:after="0" w:line="240" w:lineRule="auto"/>
              <w:rPr>
                <w:rFonts w:ascii="Calibri" w:eastAsia="Times New Roman" w:hAnsi="Calibri" w:cs="Arial"/>
                <w:sz w:val="20"/>
                <w:szCs w:val="20"/>
                <w:lang w:eastAsia="cs-CZ"/>
              </w:rPr>
            </w:pPr>
            <w:r w:rsidRPr="000B3331">
              <w:rPr>
                <w:rFonts w:ascii="Calibri" w:eastAsia="Times New Roman" w:hAnsi="Calibri" w:cs="Arial"/>
                <w:sz w:val="20"/>
                <w:szCs w:val="20"/>
                <w:lang w:eastAsia="cs-CZ"/>
              </w:rPr>
              <w:t>Příjmy z převodů z účtů a z fondů (třída 4)</w:t>
            </w:r>
          </w:p>
        </w:tc>
        <w:tc>
          <w:tcPr>
            <w:tcW w:w="1417" w:type="dxa"/>
            <w:tcBorders>
              <w:top w:val="nil"/>
              <w:left w:val="nil"/>
              <w:bottom w:val="single" w:sz="4" w:space="0" w:color="auto"/>
              <w:right w:val="single" w:sz="4" w:space="0" w:color="auto"/>
            </w:tcBorders>
            <w:shd w:val="clear" w:color="auto" w:fill="auto"/>
            <w:noWrap/>
            <w:vAlign w:val="bottom"/>
            <w:hideMark/>
          </w:tcPr>
          <w:p w14:paraId="29199064"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54C526FE"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1 068 744,00</w:t>
            </w:r>
          </w:p>
        </w:tc>
        <w:tc>
          <w:tcPr>
            <w:tcW w:w="1701" w:type="dxa"/>
            <w:tcBorders>
              <w:top w:val="nil"/>
              <w:left w:val="nil"/>
              <w:bottom w:val="single" w:sz="4" w:space="0" w:color="auto"/>
              <w:right w:val="single" w:sz="4" w:space="0" w:color="auto"/>
            </w:tcBorders>
            <w:shd w:val="clear" w:color="auto" w:fill="auto"/>
            <w:noWrap/>
            <w:vAlign w:val="bottom"/>
            <w:hideMark/>
          </w:tcPr>
          <w:p w14:paraId="2A75AFDF"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1 068 744,00</w:t>
            </w:r>
          </w:p>
        </w:tc>
        <w:tc>
          <w:tcPr>
            <w:tcW w:w="851" w:type="dxa"/>
            <w:tcBorders>
              <w:top w:val="nil"/>
              <w:left w:val="nil"/>
              <w:bottom w:val="single" w:sz="4" w:space="0" w:color="auto"/>
              <w:right w:val="single" w:sz="8" w:space="0" w:color="auto"/>
            </w:tcBorders>
            <w:shd w:val="clear" w:color="auto" w:fill="auto"/>
            <w:noWrap/>
            <w:vAlign w:val="bottom"/>
            <w:hideMark/>
          </w:tcPr>
          <w:p w14:paraId="7FE8D06E"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100,0</w:t>
            </w:r>
          </w:p>
        </w:tc>
      </w:tr>
      <w:tr w:rsidR="000B3331" w:rsidRPr="000B3331" w14:paraId="4AFC8BCF" w14:textId="77777777" w:rsidTr="000B3331">
        <w:trPr>
          <w:trHeight w:val="405"/>
        </w:trPr>
        <w:tc>
          <w:tcPr>
            <w:tcW w:w="4253" w:type="dxa"/>
            <w:tcBorders>
              <w:top w:val="nil"/>
              <w:left w:val="single" w:sz="8" w:space="0" w:color="auto"/>
              <w:bottom w:val="single" w:sz="4" w:space="0" w:color="auto"/>
              <w:right w:val="single" w:sz="4" w:space="0" w:color="auto"/>
            </w:tcBorders>
            <w:shd w:val="clear" w:color="auto" w:fill="auto"/>
            <w:noWrap/>
            <w:vAlign w:val="bottom"/>
            <w:hideMark/>
          </w:tcPr>
          <w:p w14:paraId="536D05F0" w14:textId="77777777" w:rsidR="000B3331" w:rsidRPr="000B3331" w:rsidRDefault="000B3331" w:rsidP="000B3331">
            <w:pPr>
              <w:spacing w:after="0" w:line="240" w:lineRule="auto"/>
              <w:rPr>
                <w:rFonts w:ascii="Calibri" w:eastAsia="Times New Roman" w:hAnsi="Calibri" w:cs="Arial"/>
                <w:b/>
                <w:bCs/>
                <w:sz w:val="20"/>
                <w:szCs w:val="20"/>
                <w:lang w:eastAsia="cs-CZ"/>
              </w:rPr>
            </w:pPr>
            <w:r w:rsidRPr="000B3331">
              <w:rPr>
                <w:rFonts w:ascii="Calibri" w:eastAsia="Times New Roman" w:hAnsi="Calibri" w:cs="Arial"/>
                <w:b/>
                <w:bCs/>
                <w:sz w:val="20"/>
                <w:szCs w:val="20"/>
                <w:lang w:eastAsia="cs-CZ"/>
              </w:rPr>
              <w:t xml:space="preserve">Vlastní příjmy celkem </w:t>
            </w:r>
          </w:p>
        </w:tc>
        <w:tc>
          <w:tcPr>
            <w:tcW w:w="1417" w:type="dxa"/>
            <w:tcBorders>
              <w:top w:val="nil"/>
              <w:left w:val="nil"/>
              <w:bottom w:val="single" w:sz="4" w:space="0" w:color="auto"/>
              <w:right w:val="single" w:sz="4" w:space="0" w:color="auto"/>
            </w:tcBorders>
            <w:shd w:val="clear" w:color="auto" w:fill="auto"/>
            <w:noWrap/>
            <w:vAlign w:val="bottom"/>
            <w:hideMark/>
          </w:tcPr>
          <w:p w14:paraId="18899EA8" w14:textId="77777777" w:rsidR="000B3331" w:rsidRPr="000B3331" w:rsidRDefault="000B3331" w:rsidP="000B3331">
            <w:pPr>
              <w:spacing w:after="0" w:line="240" w:lineRule="auto"/>
              <w:jc w:val="right"/>
              <w:rPr>
                <w:rFonts w:ascii="Calibri" w:eastAsia="Times New Roman" w:hAnsi="Calibri" w:cs="Arial"/>
                <w:b/>
                <w:bCs/>
                <w:sz w:val="20"/>
                <w:szCs w:val="20"/>
                <w:lang w:eastAsia="cs-CZ"/>
              </w:rPr>
            </w:pPr>
            <w:r w:rsidRPr="000B3331">
              <w:rPr>
                <w:rFonts w:ascii="Calibri" w:eastAsia="Times New Roman" w:hAnsi="Calibri" w:cs="Arial"/>
                <w:b/>
                <w:bCs/>
                <w:sz w:val="20"/>
                <w:szCs w:val="20"/>
                <w:lang w:eastAsia="cs-CZ"/>
              </w:rPr>
              <w:t>10 700 032 000</w:t>
            </w:r>
          </w:p>
        </w:tc>
        <w:tc>
          <w:tcPr>
            <w:tcW w:w="1701" w:type="dxa"/>
            <w:tcBorders>
              <w:top w:val="nil"/>
              <w:left w:val="nil"/>
              <w:bottom w:val="single" w:sz="4" w:space="0" w:color="auto"/>
              <w:right w:val="single" w:sz="4" w:space="0" w:color="auto"/>
            </w:tcBorders>
            <w:shd w:val="clear" w:color="auto" w:fill="auto"/>
            <w:noWrap/>
            <w:vAlign w:val="bottom"/>
            <w:hideMark/>
          </w:tcPr>
          <w:p w14:paraId="72985E08" w14:textId="77777777" w:rsidR="000B3331" w:rsidRPr="000B3331" w:rsidRDefault="000B3331" w:rsidP="000B3331">
            <w:pPr>
              <w:spacing w:after="0" w:line="240" w:lineRule="auto"/>
              <w:jc w:val="right"/>
              <w:rPr>
                <w:rFonts w:ascii="Calibri" w:eastAsia="Times New Roman" w:hAnsi="Calibri" w:cs="Arial"/>
                <w:b/>
                <w:bCs/>
                <w:sz w:val="20"/>
                <w:szCs w:val="20"/>
                <w:lang w:eastAsia="cs-CZ"/>
              </w:rPr>
            </w:pPr>
            <w:r w:rsidRPr="000B3331">
              <w:rPr>
                <w:rFonts w:ascii="Calibri" w:eastAsia="Times New Roman" w:hAnsi="Calibri" w:cs="Arial"/>
                <w:b/>
                <w:bCs/>
                <w:sz w:val="20"/>
                <w:szCs w:val="20"/>
                <w:lang w:eastAsia="cs-CZ"/>
              </w:rPr>
              <w:t>11 769 465 627,27</w:t>
            </w:r>
          </w:p>
        </w:tc>
        <w:tc>
          <w:tcPr>
            <w:tcW w:w="1701" w:type="dxa"/>
            <w:tcBorders>
              <w:top w:val="nil"/>
              <w:left w:val="nil"/>
              <w:bottom w:val="single" w:sz="4" w:space="0" w:color="auto"/>
              <w:right w:val="single" w:sz="4" w:space="0" w:color="auto"/>
            </w:tcBorders>
            <w:shd w:val="clear" w:color="auto" w:fill="auto"/>
            <w:noWrap/>
            <w:vAlign w:val="bottom"/>
            <w:hideMark/>
          </w:tcPr>
          <w:p w14:paraId="5A5C524A" w14:textId="77777777" w:rsidR="000B3331" w:rsidRPr="000B3331" w:rsidRDefault="000B3331" w:rsidP="000B3331">
            <w:pPr>
              <w:spacing w:after="0" w:line="240" w:lineRule="auto"/>
              <w:jc w:val="right"/>
              <w:rPr>
                <w:rFonts w:ascii="Calibri" w:eastAsia="Times New Roman" w:hAnsi="Calibri" w:cs="Arial"/>
                <w:b/>
                <w:bCs/>
                <w:sz w:val="20"/>
                <w:szCs w:val="20"/>
                <w:lang w:eastAsia="cs-CZ"/>
              </w:rPr>
            </w:pPr>
            <w:r w:rsidRPr="000B3331">
              <w:rPr>
                <w:rFonts w:ascii="Calibri" w:eastAsia="Times New Roman" w:hAnsi="Calibri" w:cs="Arial"/>
                <w:b/>
                <w:bCs/>
                <w:sz w:val="20"/>
                <w:szCs w:val="20"/>
                <w:lang w:eastAsia="cs-CZ"/>
              </w:rPr>
              <w:t>12 829 556 582,22</w:t>
            </w:r>
          </w:p>
        </w:tc>
        <w:tc>
          <w:tcPr>
            <w:tcW w:w="851" w:type="dxa"/>
            <w:tcBorders>
              <w:top w:val="nil"/>
              <w:left w:val="nil"/>
              <w:bottom w:val="single" w:sz="4" w:space="0" w:color="auto"/>
              <w:right w:val="single" w:sz="8" w:space="0" w:color="auto"/>
            </w:tcBorders>
            <w:shd w:val="clear" w:color="auto" w:fill="auto"/>
            <w:noWrap/>
            <w:vAlign w:val="bottom"/>
            <w:hideMark/>
          </w:tcPr>
          <w:p w14:paraId="22CDC49D" w14:textId="77777777" w:rsidR="000B3331" w:rsidRPr="000B3331" w:rsidRDefault="000B3331" w:rsidP="000B3331">
            <w:pPr>
              <w:spacing w:after="0" w:line="240" w:lineRule="auto"/>
              <w:jc w:val="right"/>
              <w:rPr>
                <w:rFonts w:ascii="Calibri" w:eastAsia="Times New Roman" w:hAnsi="Calibri" w:cs="Arial"/>
                <w:b/>
                <w:bCs/>
                <w:sz w:val="20"/>
                <w:szCs w:val="20"/>
                <w:lang w:eastAsia="cs-CZ"/>
              </w:rPr>
            </w:pPr>
            <w:r w:rsidRPr="000B3331">
              <w:rPr>
                <w:rFonts w:ascii="Calibri" w:eastAsia="Times New Roman" w:hAnsi="Calibri" w:cs="Arial"/>
                <w:b/>
                <w:bCs/>
                <w:sz w:val="20"/>
                <w:szCs w:val="20"/>
                <w:lang w:eastAsia="cs-CZ"/>
              </w:rPr>
              <w:t>109,0</w:t>
            </w:r>
          </w:p>
        </w:tc>
      </w:tr>
      <w:tr w:rsidR="000B3331" w:rsidRPr="000B3331" w14:paraId="6304BF6E" w14:textId="77777777" w:rsidTr="000B3331">
        <w:trPr>
          <w:trHeight w:val="405"/>
        </w:trPr>
        <w:tc>
          <w:tcPr>
            <w:tcW w:w="4253" w:type="dxa"/>
            <w:tcBorders>
              <w:top w:val="nil"/>
              <w:left w:val="single" w:sz="8" w:space="0" w:color="auto"/>
              <w:bottom w:val="single" w:sz="4" w:space="0" w:color="auto"/>
              <w:right w:val="single" w:sz="4" w:space="0" w:color="auto"/>
            </w:tcBorders>
            <w:shd w:val="clear" w:color="auto" w:fill="auto"/>
            <w:noWrap/>
            <w:vAlign w:val="bottom"/>
            <w:hideMark/>
          </w:tcPr>
          <w:p w14:paraId="558C56B2" w14:textId="77777777" w:rsidR="000B3331" w:rsidRPr="000B3331" w:rsidRDefault="000B3331" w:rsidP="000B3331">
            <w:pPr>
              <w:spacing w:after="0" w:line="240" w:lineRule="auto"/>
              <w:rPr>
                <w:rFonts w:ascii="Calibri" w:eastAsia="Times New Roman" w:hAnsi="Calibri" w:cs="Arial"/>
                <w:b/>
                <w:bCs/>
                <w:sz w:val="20"/>
                <w:szCs w:val="20"/>
                <w:lang w:eastAsia="cs-CZ"/>
              </w:rPr>
            </w:pPr>
            <w:r w:rsidRPr="000B3331">
              <w:rPr>
                <w:rFonts w:ascii="Calibri" w:eastAsia="Times New Roman" w:hAnsi="Calibri" w:cs="Arial"/>
                <w:b/>
                <w:bCs/>
                <w:sz w:val="20"/>
                <w:szCs w:val="20"/>
                <w:lang w:eastAsia="cs-CZ"/>
              </w:rPr>
              <w:t> </w:t>
            </w:r>
          </w:p>
        </w:tc>
        <w:tc>
          <w:tcPr>
            <w:tcW w:w="1417" w:type="dxa"/>
            <w:tcBorders>
              <w:top w:val="nil"/>
              <w:left w:val="nil"/>
              <w:bottom w:val="single" w:sz="4" w:space="0" w:color="auto"/>
              <w:right w:val="single" w:sz="4" w:space="0" w:color="auto"/>
            </w:tcBorders>
            <w:shd w:val="clear" w:color="auto" w:fill="auto"/>
            <w:noWrap/>
            <w:vAlign w:val="bottom"/>
            <w:hideMark/>
          </w:tcPr>
          <w:p w14:paraId="03E6C3FC" w14:textId="77777777" w:rsidR="000B3331" w:rsidRPr="000B3331" w:rsidRDefault="000B3331" w:rsidP="000B3331">
            <w:pPr>
              <w:spacing w:after="0" w:line="240" w:lineRule="auto"/>
              <w:jc w:val="right"/>
              <w:rPr>
                <w:rFonts w:ascii="Calibri" w:eastAsia="Times New Roman" w:hAnsi="Calibri" w:cs="Arial"/>
                <w:b/>
                <w:bCs/>
                <w:sz w:val="20"/>
                <w:szCs w:val="20"/>
                <w:lang w:eastAsia="cs-CZ"/>
              </w:rPr>
            </w:pPr>
            <w:r w:rsidRPr="000B3331">
              <w:rPr>
                <w:rFonts w:ascii="Calibri" w:eastAsia="Times New Roman" w:hAnsi="Calibri" w:cs="Arial"/>
                <w:b/>
                <w:bCs/>
                <w:sz w:val="20"/>
                <w:szCs w:val="20"/>
                <w:lang w:eastAsia="cs-CZ"/>
              </w:rPr>
              <w:t> </w:t>
            </w:r>
          </w:p>
        </w:tc>
        <w:tc>
          <w:tcPr>
            <w:tcW w:w="1701" w:type="dxa"/>
            <w:tcBorders>
              <w:top w:val="nil"/>
              <w:left w:val="nil"/>
              <w:bottom w:val="single" w:sz="4" w:space="0" w:color="auto"/>
              <w:right w:val="single" w:sz="4" w:space="0" w:color="auto"/>
            </w:tcBorders>
            <w:shd w:val="clear" w:color="auto" w:fill="auto"/>
            <w:noWrap/>
            <w:vAlign w:val="bottom"/>
            <w:hideMark/>
          </w:tcPr>
          <w:p w14:paraId="46F93B71" w14:textId="77777777" w:rsidR="000B3331" w:rsidRPr="000B3331" w:rsidRDefault="000B3331" w:rsidP="000B3331">
            <w:pPr>
              <w:spacing w:after="0" w:line="240" w:lineRule="auto"/>
              <w:rPr>
                <w:rFonts w:ascii="Calibri" w:eastAsia="Times New Roman" w:hAnsi="Calibri" w:cs="Arial"/>
                <w:b/>
                <w:bCs/>
                <w:sz w:val="20"/>
                <w:szCs w:val="20"/>
                <w:lang w:eastAsia="cs-CZ"/>
              </w:rPr>
            </w:pPr>
            <w:r w:rsidRPr="000B3331">
              <w:rPr>
                <w:rFonts w:ascii="Calibri" w:eastAsia="Times New Roman" w:hAnsi="Calibri" w:cs="Arial"/>
                <w:b/>
                <w:bCs/>
                <w:sz w:val="20"/>
                <w:szCs w:val="20"/>
                <w:lang w:eastAsia="cs-CZ"/>
              </w:rPr>
              <w:t> </w:t>
            </w:r>
          </w:p>
        </w:tc>
        <w:tc>
          <w:tcPr>
            <w:tcW w:w="1701" w:type="dxa"/>
            <w:tcBorders>
              <w:top w:val="nil"/>
              <w:left w:val="nil"/>
              <w:bottom w:val="single" w:sz="4" w:space="0" w:color="auto"/>
              <w:right w:val="single" w:sz="4" w:space="0" w:color="auto"/>
            </w:tcBorders>
            <w:shd w:val="clear" w:color="auto" w:fill="auto"/>
            <w:noWrap/>
            <w:vAlign w:val="bottom"/>
            <w:hideMark/>
          </w:tcPr>
          <w:p w14:paraId="626A2DEC" w14:textId="77777777" w:rsidR="000B3331" w:rsidRPr="000B3331" w:rsidRDefault="000B3331" w:rsidP="000B3331">
            <w:pPr>
              <w:spacing w:after="0" w:line="240" w:lineRule="auto"/>
              <w:rPr>
                <w:rFonts w:ascii="Calibri" w:eastAsia="Times New Roman" w:hAnsi="Calibri" w:cs="Arial"/>
                <w:b/>
                <w:bCs/>
                <w:sz w:val="20"/>
                <w:szCs w:val="20"/>
                <w:lang w:eastAsia="cs-CZ"/>
              </w:rPr>
            </w:pPr>
            <w:r w:rsidRPr="000B3331">
              <w:rPr>
                <w:rFonts w:ascii="Calibri" w:eastAsia="Times New Roman" w:hAnsi="Calibri" w:cs="Arial"/>
                <w:b/>
                <w:bCs/>
                <w:sz w:val="20"/>
                <w:szCs w:val="20"/>
                <w:lang w:eastAsia="cs-CZ"/>
              </w:rPr>
              <w:t> </w:t>
            </w:r>
          </w:p>
        </w:tc>
        <w:tc>
          <w:tcPr>
            <w:tcW w:w="851" w:type="dxa"/>
            <w:tcBorders>
              <w:top w:val="nil"/>
              <w:left w:val="nil"/>
              <w:bottom w:val="single" w:sz="4" w:space="0" w:color="auto"/>
              <w:right w:val="single" w:sz="8" w:space="0" w:color="auto"/>
            </w:tcBorders>
            <w:shd w:val="clear" w:color="auto" w:fill="auto"/>
            <w:noWrap/>
            <w:vAlign w:val="bottom"/>
            <w:hideMark/>
          </w:tcPr>
          <w:p w14:paraId="1E70A8B4"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 </w:t>
            </w:r>
          </w:p>
        </w:tc>
      </w:tr>
      <w:tr w:rsidR="000B3331" w:rsidRPr="000B3331" w14:paraId="5400E7B4" w14:textId="77777777" w:rsidTr="000B3331">
        <w:trPr>
          <w:trHeight w:val="555"/>
        </w:trPr>
        <w:tc>
          <w:tcPr>
            <w:tcW w:w="4253" w:type="dxa"/>
            <w:tcBorders>
              <w:top w:val="nil"/>
              <w:left w:val="single" w:sz="8" w:space="0" w:color="auto"/>
              <w:bottom w:val="single" w:sz="4" w:space="0" w:color="auto"/>
              <w:right w:val="single" w:sz="4" w:space="0" w:color="auto"/>
            </w:tcBorders>
            <w:shd w:val="clear" w:color="auto" w:fill="auto"/>
            <w:vAlign w:val="bottom"/>
            <w:hideMark/>
          </w:tcPr>
          <w:p w14:paraId="4830C816" w14:textId="77777777" w:rsidR="000B3331" w:rsidRPr="000B3331" w:rsidRDefault="000B3331" w:rsidP="000B3331">
            <w:pPr>
              <w:spacing w:after="0" w:line="240" w:lineRule="auto"/>
              <w:rPr>
                <w:rFonts w:ascii="Calibri" w:eastAsia="Times New Roman" w:hAnsi="Calibri" w:cs="Arial"/>
                <w:b/>
                <w:bCs/>
                <w:sz w:val="20"/>
                <w:szCs w:val="20"/>
                <w:lang w:eastAsia="cs-CZ"/>
              </w:rPr>
            </w:pPr>
            <w:r w:rsidRPr="000B3331">
              <w:rPr>
                <w:rFonts w:ascii="Calibri" w:eastAsia="Times New Roman" w:hAnsi="Calibri" w:cs="Arial"/>
                <w:b/>
                <w:bCs/>
                <w:sz w:val="20"/>
                <w:szCs w:val="20"/>
                <w:lang w:eastAsia="cs-CZ"/>
              </w:rPr>
              <w:t xml:space="preserve">Třída 4 - Přijaté transfery (dotace ze státního rozpočtu a ostatních veřejných rozpočtů) </w:t>
            </w:r>
          </w:p>
        </w:tc>
        <w:tc>
          <w:tcPr>
            <w:tcW w:w="1417" w:type="dxa"/>
            <w:tcBorders>
              <w:top w:val="nil"/>
              <w:left w:val="nil"/>
              <w:bottom w:val="single" w:sz="4" w:space="0" w:color="auto"/>
              <w:right w:val="single" w:sz="4" w:space="0" w:color="auto"/>
            </w:tcBorders>
            <w:shd w:val="clear" w:color="auto" w:fill="auto"/>
            <w:noWrap/>
            <w:vAlign w:val="bottom"/>
            <w:hideMark/>
          </w:tcPr>
          <w:p w14:paraId="1278C7C4" w14:textId="77777777" w:rsidR="000B3331" w:rsidRPr="000B3331" w:rsidRDefault="000B3331" w:rsidP="000B3331">
            <w:pPr>
              <w:spacing w:after="0" w:line="240" w:lineRule="auto"/>
              <w:jc w:val="right"/>
              <w:rPr>
                <w:rFonts w:ascii="Calibri" w:eastAsia="Times New Roman" w:hAnsi="Calibri" w:cs="Arial"/>
                <w:b/>
                <w:bCs/>
                <w:sz w:val="20"/>
                <w:szCs w:val="20"/>
                <w:lang w:eastAsia="cs-CZ"/>
              </w:rPr>
            </w:pPr>
            <w:r w:rsidRPr="000B3331">
              <w:rPr>
                <w:rFonts w:ascii="Calibri" w:eastAsia="Times New Roman" w:hAnsi="Calibri" w:cs="Arial"/>
                <w:b/>
                <w:bCs/>
                <w:sz w:val="20"/>
                <w:szCs w:val="20"/>
                <w:lang w:eastAsia="cs-CZ"/>
              </w:rPr>
              <w:t>21 236 609 200</w:t>
            </w:r>
          </w:p>
        </w:tc>
        <w:tc>
          <w:tcPr>
            <w:tcW w:w="1701" w:type="dxa"/>
            <w:tcBorders>
              <w:top w:val="nil"/>
              <w:left w:val="nil"/>
              <w:bottom w:val="single" w:sz="4" w:space="0" w:color="auto"/>
              <w:right w:val="single" w:sz="4" w:space="0" w:color="auto"/>
            </w:tcBorders>
            <w:shd w:val="clear" w:color="auto" w:fill="auto"/>
            <w:noWrap/>
            <w:vAlign w:val="bottom"/>
            <w:hideMark/>
          </w:tcPr>
          <w:p w14:paraId="3E946087" w14:textId="77777777" w:rsidR="000B3331" w:rsidRPr="000B3331" w:rsidRDefault="000B3331" w:rsidP="000B3331">
            <w:pPr>
              <w:spacing w:after="0" w:line="240" w:lineRule="auto"/>
              <w:jc w:val="right"/>
              <w:rPr>
                <w:rFonts w:ascii="Calibri" w:eastAsia="Times New Roman" w:hAnsi="Calibri" w:cs="Arial"/>
                <w:b/>
                <w:bCs/>
                <w:sz w:val="20"/>
                <w:szCs w:val="20"/>
                <w:lang w:eastAsia="cs-CZ"/>
              </w:rPr>
            </w:pPr>
            <w:r w:rsidRPr="000B3331">
              <w:rPr>
                <w:rFonts w:ascii="Calibri" w:eastAsia="Times New Roman" w:hAnsi="Calibri" w:cs="Arial"/>
                <w:b/>
                <w:bCs/>
                <w:sz w:val="20"/>
                <w:szCs w:val="20"/>
                <w:lang w:eastAsia="cs-CZ"/>
              </w:rPr>
              <w:t>30 658 700 600,39</w:t>
            </w:r>
          </w:p>
        </w:tc>
        <w:tc>
          <w:tcPr>
            <w:tcW w:w="1701" w:type="dxa"/>
            <w:tcBorders>
              <w:top w:val="nil"/>
              <w:left w:val="nil"/>
              <w:bottom w:val="single" w:sz="4" w:space="0" w:color="auto"/>
              <w:right w:val="single" w:sz="4" w:space="0" w:color="auto"/>
            </w:tcBorders>
            <w:shd w:val="clear" w:color="auto" w:fill="auto"/>
            <w:noWrap/>
            <w:vAlign w:val="bottom"/>
            <w:hideMark/>
          </w:tcPr>
          <w:p w14:paraId="5D47E8F8" w14:textId="77777777" w:rsidR="000B3331" w:rsidRPr="000B3331" w:rsidRDefault="000B3331" w:rsidP="000B3331">
            <w:pPr>
              <w:spacing w:after="0" w:line="240" w:lineRule="auto"/>
              <w:jc w:val="right"/>
              <w:rPr>
                <w:rFonts w:ascii="Calibri" w:eastAsia="Times New Roman" w:hAnsi="Calibri" w:cs="Arial"/>
                <w:b/>
                <w:bCs/>
                <w:sz w:val="20"/>
                <w:szCs w:val="20"/>
                <w:lang w:eastAsia="cs-CZ"/>
              </w:rPr>
            </w:pPr>
            <w:r w:rsidRPr="000B3331">
              <w:rPr>
                <w:rFonts w:ascii="Calibri" w:eastAsia="Times New Roman" w:hAnsi="Calibri" w:cs="Arial"/>
                <w:b/>
                <w:bCs/>
                <w:sz w:val="20"/>
                <w:szCs w:val="20"/>
                <w:lang w:eastAsia="cs-CZ"/>
              </w:rPr>
              <w:t>29 194 754 235,87</w:t>
            </w:r>
          </w:p>
        </w:tc>
        <w:tc>
          <w:tcPr>
            <w:tcW w:w="851" w:type="dxa"/>
            <w:tcBorders>
              <w:top w:val="nil"/>
              <w:left w:val="nil"/>
              <w:bottom w:val="single" w:sz="4" w:space="0" w:color="auto"/>
              <w:right w:val="single" w:sz="8" w:space="0" w:color="auto"/>
            </w:tcBorders>
            <w:shd w:val="clear" w:color="auto" w:fill="auto"/>
            <w:noWrap/>
            <w:vAlign w:val="bottom"/>
            <w:hideMark/>
          </w:tcPr>
          <w:p w14:paraId="2AC14856" w14:textId="77777777" w:rsidR="000B3331" w:rsidRPr="000B3331" w:rsidRDefault="000B3331" w:rsidP="000B3331">
            <w:pPr>
              <w:spacing w:after="0" w:line="240" w:lineRule="auto"/>
              <w:jc w:val="right"/>
              <w:rPr>
                <w:rFonts w:ascii="Calibri" w:eastAsia="Times New Roman" w:hAnsi="Calibri" w:cs="Arial"/>
                <w:b/>
                <w:bCs/>
                <w:sz w:val="20"/>
                <w:szCs w:val="20"/>
                <w:lang w:eastAsia="cs-CZ"/>
              </w:rPr>
            </w:pPr>
            <w:r w:rsidRPr="000B3331">
              <w:rPr>
                <w:rFonts w:ascii="Calibri" w:eastAsia="Times New Roman" w:hAnsi="Calibri" w:cs="Arial"/>
                <w:b/>
                <w:bCs/>
                <w:sz w:val="20"/>
                <w:szCs w:val="20"/>
                <w:lang w:eastAsia="cs-CZ"/>
              </w:rPr>
              <w:t>95,2</w:t>
            </w:r>
          </w:p>
        </w:tc>
      </w:tr>
      <w:tr w:rsidR="000B3331" w:rsidRPr="000B3331" w14:paraId="2DCF7C72" w14:textId="77777777" w:rsidTr="000B3331">
        <w:trPr>
          <w:trHeight w:val="585"/>
        </w:trPr>
        <w:tc>
          <w:tcPr>
            <w:tcW w:w="4253" w:type="dxa"/>
            <w:tcBorders>
              <w:top w:val="nil"/>
              <w:left w:val="single" w:sz="8" w:space="0" w:color="auto"/>
              <w:bottom w:val="single" w:sz="4" w:space="0" w:color="auto"/>
              <w:right w:val="single" w:sz="4" w:space="0" w:color="auto"/>
            </w:tcBorders>
            <w:shd w:val="clear" w:color="auto" w:fill="auto"/>
            <w:vAlign w:val="bottom"/>
            <w:hideMark/>
          </w:tcPr>
          <w:p w14:paraId="41C5C3C6" w14:textId="77777777" w:rsidR="000B3331" w:rsidRPr="000B3331" w:rsidRDefault="000B3331" w:rsidP="000B3331">
            <w:pPr>
              <w:spacing w:after="0" w:line="240" w:lineRule="auto"/>
              <w:rPr>
                <w:rFonts w:ascii="Calibri" w:eastAsia="Times New Roman" w:hAnsi="Calibri" w:cs="Arial"/>
                <w:sz w:val="20"/>
                <w:szCs w:val="20"/>
                <w:lang w:eastAsia="cs-CZ"/>
              </w:rPr>
            </w:pPr>
            <w:r w:rsidRPr="000B3331">
              <w:rPr>
                <w:rFonts w:ascii="Calibri" w:eastAsia="Times New Roman" w:hAnsi="Calibri" w:cs="Arial"/>
                <w:sz w:val="20"/>
                <w:szCs w:val="20"/>
                <w:lang w:eastAsia="cs-CZ"/>
              </w:rPr>
              <w:t xml:space="preserve">Finanční dotační vztah státního rozpočtu k rozpočtu kraje na výkon přenesené působnosti </w:t>
            </w:r>
          </w:p>
        </w:tc>
        <w:tc>
          <w:tcPr>
            <w:tcW w:w="1417" w:type="dxa"/>
            <w:tcBorders>
              <w:top w:val="nil"/>
              <w:left w:val="nil"/>
              <w:bottom w:val="single" w:sz="4" w:space="0" w:color="auto"/>
              <w:right w:val="single" w:sz="4" w:space="0" w:color="auto"/>
            </w:tcBorders>
            <w:shd w:val="clear" w:color="auto" w:fill="auto"/>
            <w:noWrap/>
            <w:vAlign w:val="bottom"/>
            <w:hideMark/>
          </w:tcPr>
          <w:p w14:paraId="5AF46589"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180 609 200</w:t>
            </w:r>
          </w:p>
        </w:tc>
        <w:tc>
          <w:tcPr>
            <w:tcW w:w="1701" w:type="dxa"/>
            <w:tcBorders>
              <w:top w:val="nil"/>
              <w:left w:val="nil"/>
              <w:bottom w:val="single" w:sz="4" w:space="0" w:color="auto"/>
              <w:right w:val="single" w:sz="4" w:space="0" w:color="auto"/>
            </w:tcBorders>
            <w:shd w:val="clear" w:color="auto" w:fill="auto"/>
            <w:noWrap/>
            <w:vAlign w:val="bottom"/>
            <w:hideMark/>
          </w:tcPr>
          <w:p w14:paraId="6CE8141B"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180 609 200,00</w:t>
            </w:r>
          </w:p>
        </w:tc>
        <w:tc>
          <w:tcPr>
            <w:tcW w:w="1701" w:type="dxa"/>
            <w:tcBorders>
              <w:top w:val="nil"/>
              <w:left w:val="nil"/>
              <w:bottom w:val="single" w:sz="4" w:space="0" w:color="auto"/>
              <w:right w:val="single" w:sz="4" w:space="0" w:color="auto"/>
            </w:tcBorders>
            <w:shd w:val="clear" w:color="auto" w:fill="auto"/>
            <w:noWrap/>
            <w:vAlign w:val="bottom"/>
            <w:hideMark/>
          </w:tcPr>
          <w:p w14:paraId="1E5839C2"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180 609 200,00</w:t>
            </w:r>
          </w:p>
        </w:tc>
        <w:tc>
          <w:tcPr>
            <w:tcW w:w="851" w:type="dxa"/>
            <w:tcBorders>
              <w:top w:val="nil"/>
              <w:left w:val="nil"/>
              <w:bottom w:val="single" w:sz="4" w:space="0" w:color="auto"/>
              <w:right w:val="single" w:sz="8" w:space="0" w:color="auto"/>
            </w:tcBorders>
            <w:shd w:val="clear" w:color="auto" w:fill="auto"/>
            <w:noWrap/>
            <w:vAlign w:val="bottom"/>
            <w:hideMark/>
          </w:tcPr>
          <w:p w14:paraId="39AC9B52"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100,0</w:t>
            </w:r>
          </w:p>
        </w:tc>
      </w:tr>
      <w:tr w:rsidR="000B3331" w:rsidRPr="000B3331" w14:paraId="077B5E35" w14:textId="77777777" w:rsidTr="000B3331">
        <w:trPr>
          <w:trHeight w:val="405"/>
        </w:trPr>
        <w:tc>
          <w:tcPr>
            <w:tcW w:w="4253" w:type="dxa"/>
            <w:tcBorders>
              <w:top w:val="nil"/>
              <w:left w:val="single" w:sz="8" w:space="0" w:color="auto"/>
              <w:bottom w:val="single" w:sz="4" w:space="0" w:color="auto"/>
              <w:right w:val="single" w:sz="4" w:space="0" w:color="auto"/>
            </w:tcBorders>
            <w:shd w:val="clear" w:color="auto" w:fill="auto"/>
            <w:vAlign w:val="bottom"/>
            <w:hideMark/>
          </w:tcPr>
          <w:p w14:paraId="0BE5EB39" w14:textId="77777777" w:rsidR="000B3331" w:rsidRPr="000B3331" w:rsidRDefault="000B3331" w:rsidP="000B3331">
            <w:pPr>
              <w:spacing w:after="0" w:line="240" w:lineRule="auto"/>
              <w:rPr>
                <w:rFonts w:ascii="Calibri" w:eastAsia="Times New Roman" w:hAnsi="Calibri" w:cs="Arial"/>
                <w:sz w:val="20"/>
                <w:szCs w:val="20"/>
                <w:lang w:eastAsia="cs-CZ"/>
              </w:rPr>
            </w:pPr>
            <w:r w:rsidRPr="000B3331">
              <w:rPr>
                <w:rFonts w:ascii="Calibri" w:eastAsia="Times New Roman" w:hAnsi="Calibri" w:cs="Arial"/>
                <w:sz w:val="20"/>
                <w:szCs w:val="20"/>
                <w:lang w:eastAsia="cs-CZ"/>
              </w:rPr>
              <w:t xml:space="preserve">Činnost Zastupitelstva </w:t>
            </w:r>
          </w:p>
        </w:tc>
        <w:tc>
          <w:tcPr>
            <w:tcW w:w="1417" w:type="dxa"/>
            <w:tcBorders>
              <w:top w:val="nil"/>
              <w:left w:val="nil"/>
              <w:bottom w:val="single" w:sz="4" w:space="0" w:color="auto"/>
              <w:right w:val="single" w:sz="4" w:space="0" w:color="auto"/>
            </w:tcBorders>
            <w:shd w:val="clear" w:color="auto" w:fill="auto"/>
            <w:noWrap/>
            <w:vAlign w:val="bottom"/>
            <w:hideMark/>
          </w:tcPr>
          <w:p w14:paraId="0E7D99F7"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000000" w:fill="FFFFFF"/>
            <w:noWrap/>
            <w:vAlign w:val="bottom"/>
            <w:hideMark/>
          </w:tcPr>
          <w:p w14:paraId="03884B50"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10 000 000,00</w:t>
            </w:r>
          </w:p>
        </w:tc>
        <w:tc>
          <w:tcPr>
            <w:tcW w:w="1701" w:type="dxa"/>
            <w:tcBorders>
              <w:top w:val="nil"/>
              <w:left w:val="nil"/>
              <w:bottom w:val="single" w:sz="4" w:space="0" w:color="auto"/>
              <w:right w:val="single" w:sz="4" w:space="0" w:color="auto"/>
            </w:tcBorders>
            <w:shd w:val="clear" w:color="000000" w:fill="FFFFFF"/>
            <w:noWrap/>
            <w:vAlign w:val="bottom"/>
            <w:hideMark/>
          </w:tcPr>
          <w:p w14:paraId="1EBDE07B"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10 000 000,00</w:t>
            </w:r>
          </w:p>
        </w:tc>
        <w:tc>
          <w:tcPr>
            <w:tcW w:w="851" w:type="dxa"/>
            <w:tcBorders>
              <w:top w:val="nil"/>
              <w:left w:val="nil"/>
              <w:bottom w:val="single" w:sz="4" w:space="0" w:color="auto"/>
              <w:right w:val="single" w:sz="8" w:space="0" w:color="auto"/>
            </w:tcBorders>
            <w:shd w:val="clear" w:color="auto" w:fill="auto"/>
            <w:noWrap/>
            <w:vAlign w:val="bottom"/>
            <w:hideMark/>
          </w:tcPr>
          <w:p w14:paraId="75598CCC"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100,0</w:t>
            </w:r>
          </w:p>
        </w:tc>
      </w:tr>
      <w:tr w:rsidR="000B3331" w:rsidRPr="000B3331" w14:paraId="61A46CD9" w14:textId="77777777" w:rsidTr="000B3331">
        <w:trPr>
          <w:trHeight w:val="405"/>
        </w:trPr>
        <w:tc>
          <w:tcPr>
            <w:tcW w:w="4253" w:type="dxa"/>
            <w:tcBorders>
              <w:top w:val="nil"/>
              <w:left w:val="single" w:sz="8" w:space="0" w:color="auto"/>
              <w:bottom w:val="single" w:sz="4" w:space="0" w:color="auto"/>
              <w:right w:val="single" w:sz="4" w:space="0" w:color="auto"/>
            </w:tcBorders>
            <w:shd w:val="clear" w:color="auto" w:fill="auto"/>
            <w:vAlign w:val="bottom"/>
            <w:hideMark/>
          </w:tcPr>
          <w:p w14:paraId="22D9C08B" w14:textId="77777777" w:rsidR="000B3331" w:rsidRPr="000B3331" w:rsidRDefault="000B3331" w:rsidP="000B3331">
            <w:pPr>
              <w:spacing w:after="0" w:line="240" w:lineRule="auto"/>
              <w:rPr>
                <w:rFonts w:ascii="Calibri" w:eastAsia="Times New Roman" w:hAnsi="Calibri" w:cs="Arial"/>
                <w:sz w:val="20"/>
                <w:szCs w:val="20"/>
                <w:lang w:eastAsia="cs-CZ"/>
              </w:rPr>
            </w:pPr>
            <w:r w:rsidRPr="000B3331">
              <w:rPr>
                <w:rFonts w:ascii="Calibri" w:eastAsia="Times New Roman" w:hAnsi="Calibri" w:cs="Arial"/>
                <w:sz w:val="20"/>
                <w:szCs w:val="20"/>
                <w:lang w:eastAsia="cs-CZ"/>
              </w:rPr>
              <w:t xml:space="preserve">Doprava  </w:t>
            </w:r>
          </w:p>
        </w:tc>
        <w:tc>
          <w:tcPr>
            <w:tcW w:w="1417" w:type="dxa"/>
            <w:tcBorders>
              <w:top w:val="nil"/>
              <w:left w:val="nil"/>
              <w:bottom w:val="single" w:sz="4" w:space="0" w:color="auto"/>
              <w:right w:val="single" w:sz="4" w:space="0" w:color="auto"/>
            </w:tcBorders>
            <w:shd w:val="clear" w:color="auto" w:fill="auto"/>
            <w:noWrap/>
            <w:vAlign w:val="bottom"/>
            <w:hideMark/>
          </w:tcPr>
          <w:p w14:paraId="16BC4B32"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509D8791"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4 106 289 323,95</w:t>
            </w:r>
          </w:p>
        </w:tc>
        <w:tc>
          <w:tcPr>
            <w:tcW w:w="1701" w:type="dxa"/>
            <w:tcBorders>
              <w:top w:val="nil"/>
              <w:left w:val="nil"/>
              <w:bottom w:val="single" w:sz="4" w:space="0" w:color="auto"/>
              <w:right w:val="single" w:sz="4" w:space="0" w:color="auto"/>
            </w:tcBorders>
            <w:shd w:val="clear" w:color="auto" w:fill="auto"/>
            <w:noWrap/>
            <w:vAlign w:val="bottom"/>
            <w:hideMark/>
          </w:tcPr>
          <w:p w14:paraId="4666ADAD"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2 620 524 378,52</w:t>
            </w:r>
          </w:p>
        </w:tc>
        <w:tc>
          <w:tcPr>
            <w:tcW w:w="851" w:type="dxa"/>
            <w:tcBorders>
              <w:top w:val="nil"/>
              <w:left w:val="nil"/>
              <w:bottom w:val="single" w:sz="4" w:space="0" w:color="auto"/>
              <w:right w:val="single" w:sz="8" w:space="0" w:color="auto"/>
            </w:tcBorders>
            <w:shd w:val="clear" w:color="auto" w:fill="auto"/>
            <w:noWrap/>
            <w:vAlign w:val="bottom"/>
            <w:hideMark/>
          </w:tcPr>
          <w:p w14:paraId="6C21A42E"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63,8</w:t>
            </w:r>
          </w:p>
        </w:tc>
      </w:tr>
      <w:tr w:rsidR="000B3331" w:rsidRPr="000B3331" w14:paraId="500B4473" w14:textId="77777777" w:rsidTr="000B3331">
        <w:trPr>
          <w:trHeight w:val="405"/>
        </w:trPr>
        <w:tc>
          <w:tcPr>
            <w:tcW w:w="4253" w:type="dxa"/>
            <w:tcBorders>
              <w:top w:val="nil"/>
              <w:left w:val="single" w:sz="8" w:space="0" w:color="auto"/>
              <w:bottom w:val="nil"/>
              <w:right w:val="single" w:sz="4" w:space="0" w:color="auto"/>
            </w:tcBorders>
            <w:shd w:val="clear" w:color="auto" w:fill="auto"/>
            <w:vAlign w:val="bottom"/>
            <w:hideMark/>
          </w:tcPr>
          <w:p w14:paraId="7BF0AFA6" w14:textId="77777777" w:rsidR="000B3331" w:rsidRPr="000B3331" w:rsidRDefault="000B3331" w:rsidP="000B3331">
            <w:pPr>
              <w:spacing w:after="0" w:line="240" w:lineRule="auto"/>
              <w:rPr>
                <w:rFonts w:ascii="Calibri" w:eastAsia="Times New Roman" w:hAnsi="Calibri" w:cs="Arial"/>
                <w:sz w:val="20"/>
                <w:szCs w:val="20"/>
                <w:lang w:eastAsia="cs-CZ"/>
              </w:rPr>
            </w:pPr>
            <w:r w:rsidRPr="000B3331">
              <w:rPr>
                <w:rFonts w:ascii="Calibri" w:eastAsia="Times New Roman" w:hAnsi="Calibri" w:cs="Arial"/>
                <w:sz w:val="20"/>
                <w:szCs w:val="20"/>
                <w:lang w:eastAsia="cs-CZ"/>
              </w:rPr>
              <w:t>Školství</w:t>
            </w:r>
          </w:p>
        </w:tc>
        <w:tc>
          <w:tcPr>
            <w:tcW w:w="1417" w:type="dxa"/>
            <w:tcBorders>
              <w:top w:val="nil"/>
              <w:left w:val="nil"/>
              <w:bottom w:val="nil"/>
              <w:right w:val="single" w:sz="4" w:space="0" w:color="auto"/>
            </w:tcBorders>
            <w:shd w:val="clear" w:color="auto" w:fill="auto"/>
            <w:noWrap/>
            <w:vAlign w:val="bottom"/>
            <w:hideMark/>
          </w:tcPr>
          <w:p w14:paraId="5B8F65F2"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21 056 000 000</w:t>
            </w:r>
          </w:p>
        </w:tc>
        <w:tc>
          <w:tcPr>
            <w:tcW w:w="1701" w:type="dxa"/>
            <w:tcBorders>
              <w:top w:val="nil"/>
              <w:left w:val="nil"/>
              <w:bottom w:val="nil"/>
              <w:right w:val="single" w:sz="4" w:space="0" w:color="auto"/>
            </w:tcBorders>
            <w:shd w:val="clear" w:color="auto" w:fill="auto"/>
            <w:noWrap/>
            <w:vAlign w:val="bottom"/>
            <w:hideMark/>
          </w:tcPr>
          <w:p w14:paraId="2746CB75"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22 406 078 525,69</w:t>
            </w:r>
          </w:p>
        </w:tc>
        <w:tc>
          <w:tcPr>
            <w:tcW w:w="1701" w:type="dxa"/>
            <w:tcBorders>
              <w:top w:val="nil"/>
              <w:left w:val="nil"/>
              <w:bottom w:val="single" w:sz="4" w:space="0" w:color="auto"/>
              <w:right w:val="single" w:sz="4" w:space="0" w:color="auto"/>
            </w:tcBorders>
            <w:shd w:val="clear" w:color="auto" w:fill="auto"/>
            <w:noWrap/>
            <w:vAlign w:val="bottom"/>
            <w:hideMark/>
          </w:tcPr>
          <w:p w14:paraId="61F81979"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22 406 138 339,13</w:t>
            </w:r>
          </w:p>
        </w:tc>
        <w:tc>
          <w:tcPr>
            <w:tcW w:w="851" w:type="dxa"/>
            <w:tcBorders>
              <w:top w:val="nil"/>
              <w:left w:val="nil"/>
              <w:bottom w:val="single" w:sz="4" w:space="0" w:color="auto"/>
              <w:right w:val="single" w:sz="8" w:space="0" w:color="auto"/>
            </w:tcBorders>
            <w:shd w:val="clear" w:color="auto" w:fill="auto"/>
            <w:noWrap/>
            <w:vAlign w:val="bottom"/>
            <w:hideMark/>
          </w:tcPr>
          <w:p w14:paraId="05F62C39"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100,0</w:t>
            </w:r>
          </w:p>
        </w:tc>
      </w:tr>
      <w:tr w:rsidR="000B3331" w:rsidRPr="000B3331" w14:paraId="28B7BBFF" w14:textId="77777777" w:rsidTr="000B3331">
        <w:trPr>
          <w:trHeight w:val="405"/>
        </w:trPr>
        <w:tc>
          <w:tcPr>
            <w:tcW w:w="4253" w:type="dxa"/>
            <w:tcBorders>
              <w:top w:val="single" w:sz="4" w:space="0" w:color="auto"/>
              <w:left w:val="single" w:sz="8" w:space="0" w:color="auto"/>
              <w:bottom w:val="single" w:sz="4" w:space="0" w:color="auto"/>
              <w:right w:val="single" w:sz="4" w:space="0" w:color="auto"/>
            </w:tcBorders>
            <w:shd w:val="clear" w:color="auto" w:fill="auto"/>
            <w:vAlign w:val="bottom"/>
            <w:hideMark/>
          </w:tcPr>
          <w:p w14:paraId="5B4DBD07" w14:textId="77777777" w:rsidR="000B3331" w:rsidRPr="000B3331" w:rsidRDefault="000B3331" w:rsidP="000B3331">
            <w:pPr>
              <w:spacing w:after="0" w:line="240" w:lineRule="auto"/>
              <w:rPr>
                <w:rFonts w:ascii="Calibri" w:eastAsia="Times New Roman" w:hAnsi="Calibri" w:cs="Arial"/>
                <w:sz w:val="20"/>
                <w:szCs w:val="20"/>
                <w:lang w:eastAsia="cs-CZ"/>
              </w:rPr>
            </w:pPr>
            <w:r w:rsidRPr="000B3331">
              <w:rPr>
                <w:rFonts w:ascii="Calibri" w:eastAsia="Times New Roman" w:hAnsi="Calibri" w:cs="Arial"/>
                <w:sz w:val="20"/>
                <w:szCs w:val="20"/>
                <w:lang w:eastAsia="cs-CZ"/>
              </w:rPr>
              <w:t>Kultura a památková péče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505999CC"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186E024D"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114 219 789,57</w:t>
            </w:r>
          </w:p>
        </w:tc>
        <w:tc>
          <w:tcPr>
            <w:tcW w:w="1701" w:type="dxa"/>
            <w:tcBorders>
              <w:top w:val="nil"/>
              <w:left w:val="nil"/>
              <w:bottom w:val="single" w:sz="4" w:space="0" w:color="auto"/>
              <w:right w:val="single" w:sz="4" w:space="0" w:color="auto"/>
            </w:tcBorders>
            <w:shd w:val="clear" w:color="auto" w:fill="auto"/>
            <w:noWrap/>
            <w:vAlign w:val="bottom"/>
            <w:hideMark/>
          </w:tcPr>
          <w:p w14:paraId="4F5AF99F"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114 038 789,57</w:t>
            </w:r>
          </w:p>
        </w:tc>
        <w:tc>
          <w:tcPr>
            <w:tcW w:w="851" w:type="dxa"/>
            <w:tcBorders>
              <w:top w:val="nil"/>
              <w:left w:val="nil"/>
              <w:bottom w:val="single" w:sz="4" w:space="0" w:color="auto"/>
              <w:right w:val="single" w:sz="8" w:space="0" w:color="auto"/>
            </w:tcBorders>
            <w:shd w:val="clear" w:color="auto" w:fill="auto"/>
            <w:noWrap/>
            <w:vAlign w:val="bottom"/>
            <w:hideMark/>
          </w:tcPr>
          <w:p w14:paraId="702724B2"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99,8</w:t>
            </w:r>
          </w:p>
        </w:tc>
      </w:tr>
      <w:tr w:rsidR="000B3331" w:rsidRPr="000B3331" w14:paraId="5E56F9C6" w14:textId="77777777" w:rsidTr="000B3331">
        <w:trPr>
          <w:trHeight w:val="405"/>
        </w:trPr>
        <w:tc>
          <w:tcPr>
            <w:tcW w:w="4253" w:type="dxa"/>
            <w:tcBorders>
              <w:top w:val="nil"/>
              <w:left w:val="single" w:sz="8" w:space="0" w:color="auto"/>
              <w:bottom w:val="single" w:sz="4" w:space="0" w:color="auto"/>
              <w:right w:val="single" w:sz="4" w:space="0" w:color="auto"/>
            </w:tcBorders>
            <w:shd w:val="clear" w:color="auto" w:fill="auto"/>
            <w:vAlign w:val="bottom"/>
            <w:hideMark/>
          </w:tcPr>
          <w:p w14:paraId="2BB3FEE1" w14:textId="77777777" w:rsidR="000B3331" w:rsidRPr="000B3331" w:rsidRDefault="000B3331" w:rsidP="000B3331">
            <w:pPr>
              <w:spacing w:after="0" w:line="240" w:lineRule="auto"/>
              <w:rPr>
                <w:rFonts w:ascii="Calibri" w:eastAsia="Times New Roman" w:hAnsi="Calibri" w:cs="Arial"/>
                <w:sz w:val="20"/>
                <w:szCs w:val="20"/>
                <w:lang w:eastAsia="cs-CZ"/>
              </w:rPr>
            </w:pPr>
            <w:r w:rsidRPr="000B3331">
              <w:rPr>
                <w:rFonts w:ascii="Calibri" w:eastAsia="Times New Roman" w:hAnsi="Calibri" w:cs="Arial"/>
                <w:sz w:val="20"/>
                <w:szCs w:val="20"/>
                <w:lang w:eastAsia="cs-CZ"/>
              </w:rPr>
              <w:t xml:space="preserve">Zdravotnictví </w:t>
            </w:r>
          </w:p>
        </w:tc>
        <w:tc>
          <w:tcPr>
            <w:tcW w:w="1417" w:type="dxa"/>
            <w:tcBorders>
              <w:top w:val="nil"/>
              <w:left w:val="nil"/>
              <w:bottom w:val="single" w:sz="4" w:space="0" w:color="auto"/>
              <w:right w:val="single" w:sz="4" w:space="0" w:color="auto"/>
            </w:tcBorders>
            <w:shd w:val="clear" w:color="auto" w:fill="auto"/>
            <w:noWrap/>
            <w:vAlign w:val="bottom"/>
            <w:hideMark/>
          </w:tcPr>
          <w:p w14:paraId="3345BE07"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1597E68A"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20 786 931,50</w:t>
            </w:r>
          </w:p>
        </w:tc>
        <w:tc>
          <w:tcPr>
            <w:tcW w:w="1701" w:type="dxa"/>
            <w:tcBorders>
              <w:top w:val="nil"/>
              <w:left w:val="nil"/>
              <w:bottom w:val="single" w:sz="4" w:space="0" w:color="auto"/>
              <w:right w:val="single" w:sz="4" w:space="0" w:color="auto"/>
            </w:tcBorders>
            <w:shd w:val="clear" w:color="auto" w:fill="auto"/>
            <w:noWrap/>
            <w:vAlign w:val="bottom"/>
            <w:hideMark/>
          </w:tcPr>
          <w:p w14:paraId="7F74075B"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20 786 931,50</w:t>
            </w:r>
          </w:p>
        </w:tc>
        <w:tc>
          <w:tcPr>
            <w:tcW w:w="851" w:type="dxa"/>
            <w:tcBorders>
              <w:top w:val="nil"/>
              <w:left w:val="nil"/>
              <w:bottom w:val="single" w:sz="4" w:space="0" w:color="auto"/>
              <w:right w:val="single" w:sz="8" w:space="0" w:color="auto"/>
            </w:tcBorders>
            <w:shd w:val="clear" w:color="auto" w:fill="auto"/>
            <w:noWrap/>
            <w:vAlign w:val="bottom"/>
            <w:hideMark/>
          </w:tcPr>
          <w:p w14:paraId="214B3C5A"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100,0</w:t>
            </w:r>
          </w:p>
        </w:tc>
      </w:tr>
      <w:tr w:rsidR="000B3331" w:rsidRPr="000B3331" w14:paraId="3F79639A" w14:textId="77777777" w:rsidTr="000B3331">
        <w:trPr>
          <w:trHeight w:val="405"/>
        </w:trPr>
        <w:tc>
          <w:tcPr>
            <w:tcW w:w="4253" w:type="dxa"/>
            <w:tcBorders>
              <w:top w:val="nil"/>
              <w:left w:val="single" w:sz="8" w:space="0" w:color="auto"/>
              <w:bottom w:val="single" w:sz="4" w:space="0" w:color="auto"/>
              <w:right w:val="single" w:sz="4" w:space="0" w:color="auto"/>
            </w:tcBorders>
            <w:shd w:val="clear" w:color="auto" w:fill="auto"/>
            <w:vAlign w:val="bottom"/>
            <w:hideMark/>
          </w:tcPr>
          <w:p w14:paraId="49B8F9CB" w14:textId="77777777" w:rsidR="000B3331" w:rsidRPr="000B3331" w:rsidRDefault="000B3331" w:rsidP="000B3331">
            <w:pPr>
              <w:spacing w:after="0" w:line="240" w:lineRule="auto"/>
              <w:rPr>
                <w:rFonts w:ascii="Calibri" w:eastAsia="Times New Roman" w:hAnsi="Calibri" w:cs="Arial"/>
                <w:sz w:val="20"/>
                <w:szCs w:val="20"/>
                <w:lang w:eastAsia="cs-CZ"/>
              </w:rPr>
            </w:pPr>
            <w:r w:rsidRPr="000B3331">
              <w:rPr>
                <w:rFonts w:ascii="Calibri" w:eastAsia="Times New Roman" w:hAnsi="Calibri" w:cs="Arial"/>
                <w:sz w:val="20"/>
                <w:szCs w:val="20"/>
                <w:lang w:eastAsia="cs-CZ"/>
              </w:rPr>
              <w:t xml:space="preserve">Regionální rozvoj </w:t>
            </w:r>
          </w:p>
        </w:tc>
        <w:tc>
          <w:tcPr>
            <w:tcW w:w="1417" w:type="dxa"/>
            <w:tcBorders>
              <w:top w:val="nil"/>
              <w:left w:val="nil"/>
              <w:bottom w:val="single" w:sz="4" w:space="0" w:color="auto"/>
              <w:right w:val="single" w:sz="4" w:space="0" w:color="auto"/>
            </w:tcBorders>
            <w:shd w:val="clear" w:color="auto" w:fill="auto"/>
            <w:noWrap/>
            <w:vAlign w:val="bottom"/>
            <w:hideMark/>
          </w:tcPr>
          <w:p w14:paraId="5853CAEB"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219C81F9"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5 487 020,01</w:t>
            </w:r>
          </w:p>
        </w:tc>
        <w:tc>
          <w:tcPr>
            <w:tcW w:w="1701" w:type="dxa"/>
            <w:tcBorders>
              <w:top w:val="nil"/>
              <w:left w:val="nil"/>
              <w:bottom w:val="single" w:sz="4" w:space="0" w:color="auto"/>
              <w:right w:val="single" w:sz="4" w:space="0" w:color="auto"/>
            </w:tcBorders>
            <w:shd w:val="clear" w:color="auto" w:fill="auto"/>
            <w:noWrap/>
            <w:vAlign w:val="bottom"/>
            <w:hideMark/>
          </w:tcPr>
          <w:p w14:paraId="0C32F6D1"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5 487 020,01</w:t>
            </w:r>
          </w:p>
        </w:tc>
        <w:tc>
          <w:tcPr>
            <w:tcW w:w="851" w:type="dxa"/>
            <w:tcBorders>
              <w:top w:val="nil"/>
              <w:left w:val="nil"/>
              <w:bottom w:val="single" w:sz="4" w:space="0" w:color="auto"/>
              <w:right w:val="single" w:sz="8" w:space="0" w:color="auto"/>
            </w:tcBorders>
            <w:shd w:val="clear" w:color="auto" w:fill="auto"/>
            <w:noWrap/>
            <w:vAlign w:val="bottom"/>
            <w:hideMark/>
          </w:tcPr>
          <w:p w14:paraId="1A335CBC"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100,0</w:t>
            </w:r>
          </w:p>
        </w:tc>
      </w:tr>
      <w:tr w:rsidR="000B3331" w:rsidRPr="000B3331" w14:paraId="75E0FFB2" w14:textId="77777777" w:rsidTr="000B3331">
        <w:trPr>
          <w:trHeight w:val="405"/>
        </w:trPr>
        <w:tc>
          <w:tcPr>
            <w:tcW w:w="4253" w:type="dxa"/>
            <w:tcBorders>
              <w:top w:val="nil"/>
              <w:left w:val="single" w:sz="8" w:space="0" w:color="auto"/>
              <w:bottom w:val="single" w:sz="4" w:space="0" w:color="auto"/>
              <w:right w:val="single" w:sz="4" w:space="0" w:color="auto"/>
            </w:tcBorders>
            <w:shd w:val="clear" w:color="auto" w:fill="auto"/>
            <w:vAlign w:val="bottom"/>
            <w:hideMark/>
          </w:tcPr>
          <w:p w14:paraId="2EEED37A" w14:textId="77777777" w:rsidR="000B3331" w:rsidRPr="000B3331" w:rsidRDefault="000B3331" w:rsidP="000B3331">
            <w:pPr>
              <w:spacing w:after="0" w:line="240" w:lineRule="auto"/>
              <w:rPr>
                <w:rFonts w:ascii="Calibri" w:eastAsia="Times New Roman" w:hAnsi="Calibri" w:cs="Arial"/>
                <w:sz w:val="20"/>
                <w:szCs w:val="20"/>
                <w:lang w:eastAsia="cs-CZ"/>
              </w:rPr>
            </w:pPr>
            <w:r w:rsidRPr="000B3331">
              <w:rPr>
                <w:rFonts w:ascii="Calibri" w:eastAsia="Times New Roman" w:hAnsi="Calibri" w:cs="Arial"/>
                <w:sz w:val="20"/>
                <w:szCs w:val="20"/>
                <w:lang w:eastAsia="cs-CZ"/>
              </w:rPr>
              <w:t>Evropská integrace</w:t>
            </w:r>
          </w:p>
        </w:tc>
        <w:tc>
          <w:tcPr>
            <w:tcW w:w="1417" w:type="dxa"/>
            <w:tcBorders>
              <w:top w:val="nil"/>
              <w:left w:val="nil"/>
              <w:bottom w:val="single" w:sz="4" w:space="0" w:color="auto"/>
              <w:right w:val="single" w:sz="4" w:space="0" w:color="auto"/>
            </w:tcBorders>
            <w:shd w:val="clear" w:color="auto" w:fill="auto"/>
            <w:noWrap/>
            <w:vAlign w:val="bottom"/>
            <w:hideMark/>
          </w:tcPr>
          <w:p w14:paraId="1B33C291"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2BBC06F3"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337 760 044,53</w:t>
            </w:r>
          </w:p>
        </w:tc>
        <w:tc>
          <w:tcPr>
            <w:tcW w:w="1701" w:type="dxa"/>
            <w:tcBorders>
              <w:top w:val="nil"/>
              <w:left w:val="nil"/>
              <w:bottom w:val="single" w:sz="4" w:space="0" w:color="auto"/>
              <w:right w:val="single" w:sz="4" w:space="0" w:color="auto"/>
            </w:tcBorders>
            <w:shd w:val="clear" w:color="auto" w:fill="auto"/>
            <w:noWrap/>
            <w:vAlign w:val="bottom"/>
            <w:hideMark/>
          </w:tcPr>
          <w:p w14:paraId="67635CAF"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337 760 044,53</w:t>
            </w:r>
          </w:p>
        </w:tc>
        <w:tc>
          <w:tcPr>
            <w:tcW w:w="851" w:type="dxa"/>
            <w:tcBorders>
              <w:top w:val="nil"/>
              <w:left w:val="nil"/>
              <w:bottom w:val="single" w:sz="4" w:space="0" w:color="auto"/>
              <w:right w:val="single" w:sz="8" w:space="0" w:color="auto"/>
            </w:tcBorders>
            <w:shd w:val="clear" w:color="auto" w:fill="auto"/>
            <w:noWrap/>
            <w:vAlign w:val="bottom"/>
            <w:hideMark/>
          </w:tcPr>
          <w:p w14:paraId="69E79F8E"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100,0</w:t>
            </w:r>
          </w:p>
        </w:tc>
      </w:tr>
      <w:tr w:rsidR="000B3331" w:rsidRPr="000B3331" w14:paraId="7FC5CDD9" w14:textId="77777777" w:rsidTr="000B3331">
        <w:trPr>
          <w:trHeight w:val="405"/>
        </w:trPr>
        <w:tc>
          <w:tcPr>
            <w:tcW w:w="4253" w:type="dxa"/>
            <w:tcBorders>
              <w:top w:val="nil"/>
              <w:left w:val="single" w:sz="8" w:space="0" w:color="auto"/>
              <w:bottom w:val="single" w:sz="4" w:space="0" w:color="auto"/>
              <w:right w:val="single" w:sz="4" w:space="0" w:color="auto"/>
            </w:tcBorders>
            <w:shd w:val="clear" w:color="auto" w:fill="auto"/>
            <w:vAlign w:val="bottom"/>
            <w:hideMark/>
          </w:tcPr>
          <w:p w14:paraId="53BE4C32" w14:textId="77777777" w:rsidR="000B3331" w:rsidRPr="000B3331" w:rsidRDefault="000B3331" w:rsidP="000B3331">
            <w:pPr>
              <w:spacing w:after="0" w:line="240" w:lineRule="auto"/>
              <w:rPr>
                <w:rFonts w:ascii="Calibri" w:eastAsia="Times New Roman" w:hAnsi="Calibri" w:cs="Arial"/>
                <w:sz w:val="20"/>
                <w:szCs w:val="20"/>
                <w:lang w:eastAsia="cs-CZ"/>
              </w:rPr>
            </w:pPr>
            <w:r w:rsidRPr="000B3331">
              <w:rPr>
                <w:rFonts w:ascii="Calibri" w:eastAsia="Times New Roman" w:hAnsi="Calibri" w:cs="Arial"/>
                <w:sz w:val="20"/>
                <w:szCs w:val="20"/>
                <w:lang w:eastAsia="cs-CZ"/>
              </w:rPr>
              <w:t>Životní prostředí a zemědělství</w:t>
            </w:r>
          </w:p>
        </w:tc>
        <w:tc>
          <w:tcPr>
            <w:tcW w:w="1417" w:type="dxa"/>
            <w:tcBorders>
              <w:top w:val="nil"/>
              <w:left w:val="nil"/>
              <w:bottom w:val="single" w:sz="4" w:space="0" w:color="auto"/>
              <w:right w:val="single" w:sz="4" w:space="0" w:color="auto"/>
            </w:tcBorders>
            <w:shd w:val="clear" w:color="auto" w:fill="auto"/>
            <w:noWrap/>
            <w:vAlign w:val="bottom"/>
            <w:hideMark/>
          </w:tcPr>
          <w:p w14:paraId="467DEFCF"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6865A346"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8 332 528,85</w:t>
            </w:r>
          </w:p>
        </w:tc>
        <w:tc>
          <w:tcPr>
            <w:tcW w:w="1701" w:type="dxa"/>
            <w:tcBorders>
              <w:top w:val="nil"/>
              <w:left w:val="nil"/>
              <w:bottom w:val="single" w:sz="4" w:space="0" w:color="auto"/>
              <w:right w:val="single" w:sz="4" w:space="0" w:color="auto"/>
            </w:tcBorders>
            <w:shd w:val="clear" w:color="auto" w:fill="auto"/>
            <w:noWrap/>
            <w:vAlign w:val="bottom"/>
            <w:hideMark/>
          </w:tcPr>
          <w:p w14:paraId="1E35B4C9"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8 332 528,85</w:t>
            </w:r>
          </w:p>
        </w:tc>
        <w:tc>
          <w:tcPr>
            <w:tcW w:w="851" w:type="dxa"/>
            <w:tcBorders>
              <w:top w:val="nil"/>
              <w:left w:val="nil"/>
              <w:bottom w:val="single" w:sz="4" w:space="0" w:color="auto"/>
              <w:right w:val="single" w:sz="8" w:space="0" w:color="auto"/>
            </w:tcBorders>
            <w:shd w:val="clear" w:color="auto" w:fill="auto"/>
            <w:noWrap/>
            <w:vAlign w:val="bottom"/>
            <w:hideMark/>
          </w:tcPr>
          <w:p w14:paraId="0D653C45"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100,0</w:t>
            </w:r>
          </w:p>
        </w:tc>
      </w:tr>
      <w:tr w:rsidR="000B3331" w:rsidRPr="000B3331" w14:paraId="668788A4" w14:textId="77777777" w:rsidTr="000B3331">
        <w:trPr>
          <w:trHeight w:val="405"/>
        </w:trPr>
        <w:tc>
          <w:tcPr>
            <w:tcW w:w="4253" w:type="dxa"/>
            <w:tcBorders>
              <w:top w:val="nil"/>
              <w:left w:val="single" w:sz="8" w:space="0" w:color="auto"/>
              <w:bottom w:val="single" w:sz="4" w:space="0" w:color="auto"/>
              <w:right w:val="single" w:sz="4" w:space="0" w:color="auto"/>
            </w:tcBorders>
            <w:shd w:val="clear" w:color="auto" w:fill="auto"/>
            <w:vAlign w:val="bottom"/>
            <w:hideMark/>
          </w:tcPr>
          <w:p w14:paraId="6276F32B" w14:textId="77777777" w:rsidR="000B3331" w:rsidRPr="000B3331" w:rsidRDefault="000B3331" w:rsidP="000B3331">
            <w:pPr>
              <w:spacing w:after="0" w:line="240" w:lineRule="auto"/>
              <w:rPr>
                <w:rFonts w:ascii="Calibri" w:eastAsia="Times New Roman" w:hAnsi="Calibri" w:cs="Arial"/>
                <w:sz w:val="20"/>
                <w:szCs w:val="20"/>
                <w:lang w:eastAsia="cs-CZ"/>
              </w:rPr>
            </w:pPr>
            <w:r w:rsidRPr="000B3331">
              <w:rPr>
                <w:rFonts w:ascii="Calibri" w:eastAsia="Times New Roman" w:hAnsi="Calibri" w:cs="Arial"/>
                <w:sz w:val="20"/>
                <w:szCs w:val="20"/>
                <w:lang w:eastAsia="cs-CZ"/>
              </w:rPr>
              <w:t xml:space="preserve">Sociální věci </w:t>
            </w:r>
          </w:p>
        </w:tc>
        <w:tc>
          <w:tcPr>
            <w:tcW w:w="1417" w:type="dxa"/>
            <w:tcBorders>
              <w:top w:val="nil"/>
              <w:left w:val="nil"/>
              <w:bottom w:val="single" w:sz="4" w:space="0" w:color="auto"/>
              <w:right w:val="single" w:sz="4" w:space="0" w:color="auto"/>
            </w:tcBorders>
            <w:shd w:val="clear" w:color="auto" w:fill="auto"/>
            <w:noWrap/>
            <w:vAlign w:val="bottom"/>
            <w:hideMark/>
          </w:tcPr>
          <w:p w14:paraId="085BA3D9"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3EA96C89"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2 749 938 154,33</w:t>
            </w:r>
          </w:p>
        </w:tc>
        <w:tc>
          <w:tcPr>
            <w:tcW w:w="1701" w:type="dxa"/>
            <w:tcBorders>
              <w:top w:val="nil"/>
              <w:left w:val="nil"/>
              <w:bottom w:val="single" w:sz="4" w:space="0" w:color="auto"/>
              <w:right w:val="single" w:sz="4" w:space="0" w:color="auto"/>
            </w:tcBorders>
            <w:shd w:val="clear" w:color="auto" w:fill="auto"/>
            <w:noWrap/>
            <w:vAlign w:val="bottom"/>
            <w:hideMark/>
          </w:tcPr>
          <w:p w14:paraId="04B5A029"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2 751 380 683,19</w:t>
            </w:r>
          </w:p>
        </w:tc>
        <w:tc>
          <w:tcPr>
            <w:tcW w:w="851" w:type="dxa"/>
            <w:tcBorders>
              <w:top w:val="nil"/>
              <w:left w:val="nil"/>
              <w:bottom w:val="single" w:sz="4" w:space="0" w:color="auto"/>
              <w:right w:val="single" w:sz="8" w:space="0" w:color="auto"/>
            </w:tcBorders>
            <w:shd w:val="clear" w:color="auto" w:fill="auto"/>
            <w:noWrap/>
            <w:vAlign w:val="bottom"/>
            <w:hideMark/>
          </w:tcPr>
          <w:p w14:paraId="46CDF6F2"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100,1</w:t>
            </w:r>
          </w:p>
        </w:tc>
      </w:tr>
      <w:tr w:rsidR="000B3331" w:rsidRPr="000B3331" w14:paraId="101D58DE" w14:textId="77777777" w:rsidTr="000B3331">
        <w:trPr>
          <w:trHeight w:val="405"/>
        </w:trPr>
        <w:tc>
          <w:tcPr>
            <w:tcW w:w="4253" w:type="dxa"/>
            <w:tcBorders>
              <w:top w:val="nil"/>
              <w:left w:val="single" w:sz="8" w:space="0" w:color="auto"/>
              <w:bottom w:val="single" w:sz="4" w:space="0" w:color="auto"/>
              <w:right w:val="single" w:sz="4" w:space="0" w:color="auto"/>
            </w:tcBorders>
            <w:shd w:val="clear" w:color="auto" w:fill="auto"/>
            <w:vAlign w:val="bottom"/>
            <w:hideMark/>
          </w:tcPr>
          <w:p w14:paraId="7891D68A" w14:textId="77777777" w:rsidR="000B3331" w:rsidRPr="000B3331" w:rsidRDefault="000B3331" w:rsidP="000B3331">
            <w:pPr>
              <w:spacing w:after="0" w:line="240" w:lineRule="auto"/>
              <w:rPr>
                <w:rFonts w:ascii="Calibri" w:eastAsia="Times New Roman" w:hAnsi="Calibri" w:cs="Arial"/>
                <w:sz w:val="20"/>
                <w:szCs w:val="20"/>
                <w:lang w:eastAsia="cs-CZ"/>
              </w:rPr>
            </w:pPr>
            <w:r w:rsidRPr="000B3331">
              <w:rPr>
                <w:rFonts w:ascii="Calibri" w:eastAsia="Times New Roman" w:hAnsi="Calibri" w:cs="Arial"/>
                <w:sz w:val="20"/>
                <w:szCs w:val="20"/>
                <w:lang w:eastAsia="cs-CZ"/>
              </w:rPr>
              <w:t>Volby</w:t>
            </w:r>
          </w:p>
        </w:tc>
        <w:tc>
          <w:tcPr>
            <w:tcW w:w="1417" w:type="dxa"/>
            <w:tcBorders>
              <w:top w:val="nil"/>
              <w:left w:val="nil"/>
              <w:bottom w:val="single" w:sz="4" w:space="0" w:color="auto"/>
              <w:right w:val="single" w:sz="4" w:space="0" w:color="auto"/>
            </w:tcBorders>
            <w:shd w:val="clear" w:color="auto" w:fill="auto"/>
            <w:noWrap/>
            <w:vAlign w:val="bottom"/>
            <w:hideMark/>
          </w:tcPr>
          <w:p w14:paraId="0DE0599B"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72DA5151"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2 545 000,00</w:t>
            </w:r>
          </w:p>
        </w:tc>
        <w:tc>
          <w:tcPr>
            <w:tcW w:w="1701" w:type="dxa"/>
            <w:tcBorders>
              <w:top w:val="nil"/>
              <w:left w:val="nil"/>
              <w:bottom w:val="single" w:sz="4" w:space="0" w:color="auto"/>
              <w:right w:val="single" w:sz="4" w:space="0" w:color="auto"/>
            </w:tcBorders>
            <w:shd w:val="clear" w:color="auto" w:fill="auto"/>
            <w:noWrap/>
            <w:vAlign w:val="bottom"/>
            <w:hideMark/>
          </w:tcPr>
          <w:p w14:paraId="3C6E919A"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2 545 000,00</w:t>
            </w:r>
          </w:p>
        </w:tc>
        <w:tc>
          <w:tcPr>
            <w:tcW w:w="851" w:type="dxa"/>
            <w:tcBorders>
              <w:top w:val="nil"/>
              <w:left w:val="nil"/>
              <w:bottom w:val="single" w:sz="4" w:space="0" w:color="auto"/>
              <w:right w:val="single" w:sz="8" w:space="0" w:color="auto"/>
            </w:tcBorders>
            <w:shd w:val="clear" w:color="auto" w:fill="auto"/>
            <w:noWrap/>
            <w:vAlign w:val="bottom"/>
            <w:hideMark/>
          </w:tcPr>
          <w:p w14:paraId="78D4A07A"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100,0</w:t>
            </w:r>
          </w:p>
        </w:tc>
      </w:tr>
      <w:tr w:rsidR="000B3331" w:rsidRPr="000B3331" w14:paraId="4E18C2DD" w14:textId="77777777" w:rsidTr="000B3331">
        <w:trPr>
          <w:trHeight w:val="405"/>
        </w:trPr>
        <w:tc>
          <w:tcPr>
            <w:tcW w:w="4253" w:type="dxa"/>
            <w:tcBorders>
              <w:top w:val="nil"/>
              <w:left w:val="single" w:sz="8" w:space="0" w:color="auto"/>
              <w:bottom w:val="single" w:sz="4" w:space="0" w:color="auto"/>
              <w:right w:val="single" w:sz="4" w:space="0" w:color="auto"/>
            </w:tcBorders>
            <w:shd w:val="clear" w:color="auto" w:fill="auto"/>
            <w:vAlign w:val="bottom"/>
            <w:hideMark/>
          </w:tcPr>
          <w:p w14:paraId="50E6E988" w14:textId="77777777" w:rsidR="000B3331" w:rsidRPr="000B3331" w:rsidRDefault="000B3331" w:rsidP="000B3331">
            <w:pPr>
              <w:spacing w:after="0" w:line="240" w:lineRule="auto"/>
              <w:rPr>
                <w:rFonts w:ascii="Calibri" w:eastAsia="Times New Roman" w:hAnsi="Calibri" w:cs="Arial"/>
                <w:sz w:val="20"/>
                <w:szCs w:val="20"/>
                <w:lang w:eastAsia="cs-CZ"/>
              </w:rPr>
            </w:pPr>
            <w:r w:rsidRPr="000B3331">
              <w:rPr>
                <w:rFonts w:ascii="Calibri" w:eastAsia="Times New Roman" w:hAnsi="Calibri" w:cs="Arial"/>
                <w:sz w:val="20"/>
                <w:szCs w:val="20"/>
                <w:lang w:eastAsia="cs-CZ"/>
              </w:rPr>
              <w:t>Dotace obce</w:t>
            </w:r>
          </w:p>
        </w:tc>
        <w:tc>
          <w:tcPr>
            <w:tcW w:w="1417" w:type="dxa"/>
            <w:tcBorders>
              <w:top w:val="nil"/>
              <w:left w:val="nil"/>
              <w:bottom w:val="single" w:sz="4" w:space="0" w:color="auto"/>
              <w:right w:val="single" w:sz="4" w:space="0" w:color="auto"/>
            </w:tcBorders>
            <w:shd w:val="clear" w:color="auto" w:fill="auto"/>
            <w:noWrap/>
            <w:vAlign w:val="bottom"/>
            <w:hideMark/>
          </w:tcPr>
          <w:p w14:paraId="4599D8AD"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3A1A4F9F"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0,00</w:t>
            </w:r>
          </w:p>
        </w:tc>
        <w:tc>
          <w:tcPr>
            <w:tcW w:w="1701" w:type="dxa"/>
            <w:tcBorders>
              <w:top w:val="nil"/>
              <w:left w:val="nil"/>
              <w:bottom w:val="single" w:sz="4" w:space="0" w:color="auto"/>
              <w:right w:val="single" w:sz="4" w:space="0" w:color="auto"/>
            </w:tcBorders>
            <w:shd w:val="clear" w:color="auto" w:fill="auto"/>
            <w:noWrap/>
            <w:vAlign w:val="bottom"/>
            <w:hideMark/>
          </w:tcPr>
          <w:p w14:paraId="1E6D5A62"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13 939 355,06</w:t>
            </w:r>
          </w:p>
        </w:tc>
        <w:tc>
          <w:tcPr>
            <w:tcW w:w="851" w:type="dxa"/>
            <w:tcBorders>
              <w:top w:val="nil"/>
              <w:left w:val="nil"/>
              <w:bottom w:val="single" w:sz="4" w:space="0" w:color="auto"/>
              <w:right w:val="single" w:sz="8" w:space="0" w:color="auto"/>
            </w:tcBorders>
            <w:shd w:val="clear" w:color="auto" w:fill="auto"/>
            <w:noWrap/>
            <w:vAlign w:val="bottom"/>
            <w:hideMark/>
          </w:tcPr>
          <w:p w14:paraId="64313059"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w:t>
            </w:r>
          </w:p>
        </w:tc>
      </w:tr>
      <w:tr w:rsidR="000B3331" w:rsidRPr="000B3331" w14:paraId="2FC1F40F" w14:textId="77777777" w:rsidTr="000B3331">
        <w:trPr>
          <w:trHeight w:val="780"/>
        </w:trPr>
        <w:tc>
          <w:tcPr>
            <w:tcW w:w="4253" w:type="dxa"/>
            <w:tcBorders>
              <w:top w:val="nil"/>
              <w:left w:val="single" w:sz="8" w:space="0" w:color="auto"/>
              <w:bottom w:val="single" w:sz="4" w:space="0" w:color="auto"/>
              <w:right w:val="single" w:sz="4" w:space="0" w:color="auto"/>
            </w:tcBorders>
            <w:shd w:val="clear" w:color="auto" w:fill="auto"/>
            <w:vAlign w:val="bottom"/>
            <w:hideMark/>
          </w:tcPr>
          <w:p w14:paraId="26F86DC8" w14:textId="77777777" w:rsidR="000B3331" w:rsidRPr="000B3331" w:rsidRDefault="000B3331" w:rsidP="000B3331">
            <w:pPr>
              <w:spacing w:after="0" w:line="240" w:lineRule="auto"/>
              <w:rPr>
                <w:rFonts w:ascii="Calibri" w:eastAsia="Times New Roman" w:hAnsi="Calibri" w:cs="Arial"/>
                <w:sz w:val="20"/>
                <w:szCs w:val="20"/>
                <w:lang w:eastAsia="cs-CZ"/>
              </w:rPr>
            </w:pPr>
            <w:r w:rsidRPr="000B3331">
              <w:rPr>
                <w:rFonts w:ascii="Calibri" w:eastAsia="Times New Roman" w:hAnsi="Calibri" w:cs="Arial"/>
                <w:sz w:val="20"/>
                <w:szCs w:val="20"/>
                <w:lang w:eastAsia="cs-CZ"/>
              </w:rPr>
              <w:t>Zmírnění negativních dopadů působnosti zákona č. 95/2021 Sb., o kompenzačním bonusu pro rok 2021, na daňové příjmy kraje</w:t>
            </w:r>
          </w:p>
        </w:tc>
        <w:tc>
          <w:tcPr>
            <w:tcW w:w="1417" w:type="dxa"/>
            <w:tcBorders>
              <w:top w:val="nil"/>
              <w:left w:val="nil"/>
              <w:bottom w:val="single" w:sz="4" w:space="0" w:color="auto"/>
              <w:right w:val="single" w:sz="4" w:space="0" w:color="auto"/>
            </w:tcBorders>
            <w:shd w:val="clear" w:color="auto" w:fill="auto"/>
            <w:noWrap/>
            <w:vAlign w:val="bottom"/>
            <w:hideMark/>
          </w:tcPr>
          <w:p w14:paraId="23984ECD"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2513CA58"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148 813 276,96</w:t>
            </w:r>
          </w:p>
        </w:tc>
        <w:tc>
          <w:tcPr>
            <w:tcW w:w="1701" w:type="dxa"/>
            <w:tcBorders>
              <w:top w:val="nil"/>
              <w:left w:val="nil"/>
              <w:bottom w:val="single" w:sz="4" w:space="0" w:color="auto"/>
              <w:right w:val="single" w:sz="4" w:space="0" w:color="auto"/>
            </w:tcBorders>
            <w:shd w:val="clear" w:color="auto" w:fill="auto"/>
            <w:noWrap/>
            <w:vAlign w:val="bottom"/>
            <w:hideMark/>
          </w:tcPr>
          <w:p w14:paraId="03464A78"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155 366 160,51</w:t>
            </w:r>
          </w:p>
        </w:tc>
        <w:tc>
          <w:tcPr>
            <w:tcW w:w="851" w:type="dxa"/>
            <w:tcBorders>
              <w:top w:val="nil"/>
              <w:left w:val="nil"/>
              <w:bottom w:val="single" w:sz="4" w:space="0" w:color="auto"/>
              <w:right w:val="single" w:sz="8" w:space="0" w:color="auto"/>
            </w:tcBorders>
            <w:shd w:val="clear" w:color="auto" w:fill="auto"/>
            <w:noWrap/>
            <w:vAlign w:val="bottom"/>
            <w:hideMark/>
          </w:tcPr>
          <w:p w14:paraId="3AA38F6C"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104,4</w:t>
            </w:r>
          </w:p>
        </w:tc>
      </w:tr>
      <w:tr w:rsidR="000B3331" w:rsidRPr="000B3331" w14:paraId="6D6901D9" w14:textId="77777777" w:rsidTr="000B3331">
        <w:trPr>
          <w:trHeight w:val="405"/>
        </w:trPr>
        <w:tc>
          <w:tcPr>
            <w:tcW w:w="4253" w:type="dxa"/>
            <w:tcBorders>
              <w:top w:val="nil"/>
              <w:left w:val="single" w:sz="8" w:space="0" w:color="auto"/>
              <w:bottom w:val="single" w:sz="4" w:space="0" w:color="auto"/>
              <w:right w:val="single" w:sz="4" w:space="0" w:color="auto"/>
            </w:tcBorders>
            <w:shd w:val="clear" w:color="auto" w:fill="auto"/>
            <w:vAlign w:val="bottom"/>
            <w:hideMark/>
          </w:tcPr>
          <w:p w14:paraId="3EBCBB6A" w14:textId="77777777" w:rsidR="000B3331" w:rsidRPr="000B3331" w:rsidRDefault="000B3331" w:rsidP="000B3331">
            <w:pPr>
              <w:spacing w:after="0" w:line="240" w:lineRule="auto"/>
              <w:rPr>
                <w:rFonts w:ascii="Calibri" w:eastAsia="Times New Roman" w:hAnsi="Calibri" w:cs="Arial"/>
                <w:sz w:val="20"/>
                <w:szCs w:val="20"/>
                <w:lang w:eastAsia="cs-CZ"/>
              </w:rPr>
            </w:pPr>
            <w:r w:rsidRPr="000B3331">
              <w:rPr>
                <w:rFonts w:ascii="Calibri" w:eastAsia="Times New Roman" w:hAnsi="Calibri" w:cs="Arial"/>
                <w:sz w:val="20"/>
                <w:szCs w:val="20"/>
                <w:lang w:eastAsia="cs-CZ"/>
              </w:rPr>
              <w:t>Bezpečnost a prevence</w:t>
            </w:r>
          </w:p>
        </w:tc>
        <w:tc>
          <w:tcPr>
            <w:tcW w:w="1417" w:type="dxa"/>
            <w:tcBorders>
              <w:top w:val="nil"/>
              <w:left w:val="nil"/>
              <w:bottom w:val="single" w:sz="4" w:space="0" w:color="auto"/>
              <w:right w:val="single" w:sz="4" w:space="0" w:color="auto"/>
            </w:tcBorders>
            <w:shd w:val="clear" w:color="auto" w:fill="auto"/>
            <w:noWrap/>
            <w:vAlign w:val="bottom"/>
            <w:hideMark/>
          </w:tcPr>
          <w:p w14:paraId="696EB4C9"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571A76B5"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4 060 496,00</w:t>
            </w:r>
          </w:p>
        </w:tc>
        <w:tc>
          <w:tcPr>
            <w:tcW w:w="1701" w:type="dxa"/>
            <w:tcBorders>
              <w:top w:val="nil"/>
              <w:left w:val="nil"/>
              <w:bottom w:val="single" w:sz="4" w:space="0" w:color="auto"/>
              <w:right w:val="single" w:sz="4" w:space="0" w:color="auto"/>
            </w:tcBorders>
            <w:shd w:val="clear" w:color="auto" w:fill="auto"/>
            <w:noWrap/>
            <w:vAlign w:val="bottom"/>
            <w:hideMark/>
          </w:tcPr>
          <w:p w14:paraId="2D48E8FA"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4 065 496,00</w:t>
            </w:r>
          </w:p>
        </w:tc>
        <w:tc>
          <w:tcPr>
            <w:tcW w:w="851" w:type="dxa"/>
            <w:tcBorders>
              <w:top w:val="nil"/>
              <w:left w:val="nil"/>
              <w:bottom w:val="single" w:sz="4" w:space="0" w:color="auto"/>
              <w:right w:val="single" w:sz="8" w:space="0" w:color="auto"/>
            </w:tcBorders>
            <w:shd w:val="clear" w:color="auto" w:fill="auto"/>
            <w:noWrap/>
            <w:vAlign w:val="bottom"/>
            <w:hideMark/>
          </w:tcPr>
          <w:p w14:paraId="611E95E3"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100,1</w:t>
            </w:r>
          </w:p>
        </w:tc>
      </w:tr>
      <w:tr w:rsidR="000B3331" w:rsidRPr="000B3331" w14:paraId="52172C64" w14:textId="77777777" w:rsidTr="000B3331">
        <w:trPr>
          <w:trHeight w:val="405"/>
        </w:trPr>
        <w:tc>
          <w:tcPr>
            <w:tcW w:w="4253" w:type="dxa"/>
            <w:tcBorders>
              <w:top w:val="nil"/>
              <w:left w:val="single" w:sz="8" w:space="0" w:color="auto"/>
              <w:bottom w:val="nil"/>
              <w:right w:val="single" w:sz="4" w:space="0" w:color="auto"/>
            </w:tcBorders>
            <w:shd w:val="clear" w:color="000000" w:fill="FFFFFF"/>
            <w:vAlign w:val="bottom"/>
            <w:hideMark/>
          </w:tcPr>
          <w:p w14:paraId="7078E09C" w14:textId="77777777" w:rsidR="000B3331" w:rsidRPr="000B3331" w:rsidRDefault="000B3331" w:rsidP="000B3331">
            <w:pPr>
              <w:spacing w:after="0" w:line="240" w:lineRule="auto"/>
              <w:rPr>
                <w:rFonts w:ascii="Calibri" w:eastAsia="Times New Roman" w:hAnsi="Calibri" w:cs="Arial"/>
                <w:sz w:val="20"/>
                <w:szCs w:val="20"/>
                <w:lang w:eastAsia="cs-CZ"/>
              </w:rPr>
            </w:pPr>
            <w:r w:rsidRPr="000B3331">
              <w:rPr>
                <w:rFonts w:ascii="Calibri" w:eastAsia="Times New Roman" w:hAnsi="Calibri" w:cs="Arial"/>
                <w:sz w:val="20"/>
                <w:szCs w:val="20"/>
                <w:lang w:eastAsia="cs-CZ"/>
              </w:rPr>
              <w:t>Veřejná mobilita</w:t>
            </w:r>
          </w:p>
        </w:tc>
        <w:tc>
          <w:tcPr>
            <w:tcW w:w="1417" w:type="dxa"/>
            <w:tcBorders>
              <w:top w:val="nil"/>
              <w:left w:val="nil"/>
              <w:bottom w:val="nil"/>
              <w:right w:val="single" w:sz="4" w:space="0" w:color="auto"/>
            </w:tcBorders>
            <w:shd w:val="clear" w:color="000000" w:fill="FFFFFF"/>
            <w:noWrap/>
            <w:vAlign w:val="bottom"/>
            <w:hideMark/>
          </w:tcPr>
          <w:p w14:paraId="684DA765"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0</w:t>
            </w:r>
          </w:p>
        </w:tc>
        <w:tc>
          <w:tcPr>
            <w:tcW w:w="1701" w:type="dxa"/>
            <w:tcBorders>
              <w:top w:val="nil"/>
              <w:left w:val="nil"/>
              <w:bottom w:val="nil"/>
              <w:right w:val="single" w:sz="4" w:space="0" w:color="auto"/>
            </w:tcBorders>
            <w:shd w:val="clear" w:color="000000" w:fill="FFFFFF"/>
            <w:noWrap/>
            <w:vAlign w:val="bottom"/>
            <w:hideMark/>
          </w:tcPr>
          <w:p w14:paraId="061BCF19"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563 780 309,00</w:t>
            </w:r>
          </w:p>
        </w:tc>
        <w:tc>
          <w:tcPr>
            <w:tcW w:w="1701" w:type="dxa"/>
            <w:tcBorders>
              <w:top w:val="nil"/>
              <w:left w:val="nil"/>
              <w:bottom w:val="nil"/>
              <w:right w:val="single" w:sz="4" w:space="0" w:color="auto"/>
            </w:tcBorders>
            <w:shd w:val="clear" w:color="000000" w:fill="FFFFFF"/>
            <w:noWrap/>
            <w:vAlign w:val="bottom"/>
            <w:hideMark/>
          </w:tcPr>
          <w:p w14:paraId="73E499CB"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563 780 309,00</w:t>
            </w:r>
          </w:p>
        </w:tc>
        <w:tc>
          <w:tcPr>
            <w:tcW w:w="851" w:type="dxa"/>
            <w:tcBorders>
              <w:top w:val="nil"/>
              <w:left w:val="nil"/>
              <w:bottom w:val="nil"/>
              <w:right w:val="single" w:sz="8" w:space="0" w:color="auto"/>
            </w:tcBorders>
            <w:shd w:val="clear" w:color="000000" w:fill="FFFFFF"/>
            <w:noWrap/>
            <w:vAlign w:val="bottom"/>
            <w:hideMark/>
          </w:tcPr>
          <w:p w14:paraId="23ECE4ED" w14:textId="77777777" w:rsidR="000B3331" w:rsidRPr="000B3331" w:rsidRDefault="000B3331" w:rsidP="000B3331">
            <w:pPr>
              <w:spacing w:after="0" w:line="240" w:lineRule="auto"/>
              <w:jc w:val="right"/>
              <w:rPr>
                <w:rFonts w:ascii="Calibri" w:eastAsia="Times New Roman" w:hAnsi="Calibri" w:cs="Arial"/>
                <w:sz w:val="20"/>
                <w:szCs w:val="20"/>
                <w:lang w:eastAsia="cs-CZ"/>
              </w:rPr>
            </w:pPr>
            <w:r w:rsidRPr="000B3331">
              <w:rPr>
                <w:rFonts w:ascii="Calibri" w:eastAsia="Times New Roman" w:hAnsi="Calibri" w:cs="Arial"/>
                <w:sz w:val="20"/>
                <w:szCs w:val="20"/>
                <w:lang w:eastAsia="cs-CZ"/>
              </w:rPr>
              <w:t>100,0</w:t>
            </w:r>
          </w:p>
        </w:tc>
      </w:tr>
      <w:tr w:rsidR="000B3331" w:rsidRPr="000B3331" w14:paraId="02E7310A" w14:textId="77777777" w:rsidTr="000B3331">
        <w:trPr>
          <w:trHeight w:val="405"/>
        </w:trPr>
        <w:tc>
          <w:tcPr>
            <w:tcW w:w="4253" w:type="dxa"/>
            <w:tcBorders>
              <w:top w:val="single" w:sz="4" w:space="0" w:color="auto"/>
              <w:left w:val="single" w:sz="8" w:space="0" w:color="auto"/>
              <w:bottom w:val="single" w:sz="8" w:space="0" w:color="auto"/>
              <w:right w:val="single" w:sz="4" w:space="0" w:color="auto"/>
            </w:tcBorders>
            <w:shd w:val="clear" w:color="auto" w:fill="auto"/>
            <w:vAlign w:val="bottom"/>
            <w:hideMark/>
          </w:tcPr>
          <w:p w14:paraId="5E0EDF6E" w14:textId="77777777" w:rsidR="000B3331" w:rsidRPr="000B3331" w:rsidRDefault="000B3331" w:rsidP="000B3331">
            <w:pPr>
              <w:spacing w:after="0" w:line="240" w:lineRule="auto"/>
              <w:rPr>
                <w:rFonts w:ascii="Calibri" w:eastAsia="Times New Roman" w:hAnsi="Calibri" w:cs="Arial"/>
                <w:b/>
                <w:bCs/>
                <w:sz w:val="20"/>
                <w:szCs w:val="20"/>
                <w:lang w:eastAsia="cs-CZ"/>
              </w:rPr>
            </w:pPr>
            <w:r w:rsidRPr="000B3331">
              <w:rPr>
                <w:rFonts w:ascii="Calibri" w:eastAsia="Times New Roman" w:hAnsi="Calibri" w:cs="Arial"/>
                <w:b/>
                <w:bCs/>
                <w:sz w:val="20"/>
                <w:szCs w:val="20"/>
                <w:lang w:eastAsia="cs-CZ"/>
              </w:rPr>
              <w:t>Třída 4 - Přijaté transfery celkem</w:t>
            </w:r>
          </w:p>
        </w:tc>
        <w:tc>
          <w:tcPr>
            <w:tcW w:w="1417" w:type="dxa"/>
            <w:tcBorders>
              <w:top w:val="single" w:sz="4" w:space="0" w:color="auto"/>
              <w:left w:val="nil"/>
              <w:bottom w:val="single" w:sz="8" w:space="0" w:color="auto"/>
              <w:right w:val="single" w:sz="4" w:space="0" w:color="auto"/>
            </w:tcBorders>
            <w:shd w:val="clear" w:color="auto" w:fill="auto"/>
            <w:noWrap/>
            <w:vAlign w:val="bottom"/>
            <w:hideMark/>
          </w:tcPr>
          <w:p w14:paraId="7B9E5666" w14:textId="77777777" w:rsidR="000B3331" w:rsidRPr="000B3331" w:rsidRDefault="000B3331" w:rsidP="000B3331">
            <w:pPr>
              <w:spacing w:after="0" w:line="240" w:lineRule="auto"/>
              <w:jc w:val="right"/>
              <w:rPr>
                <w:rFonts w:ascii="Calibri" w:eastAsia="Times New Roman" w:hAnsi="Calibri" w:cs="Arial"/>
                <w:b/>
                <w:bCs/>
                <w:sz w:val="20"/>
                <w:szCs w:val="20"/>
                <w:lang w:eastAsia="cs-CZ"/>
              </w:rPr>
            </w:pPr>
            <w:r w:rsidRPr="000B3331">
              <w:rPr>
                <w:rFonts w:ascii="Calibri" w:eastAsia="Times New Roman" w:hAnsi="Calibri" w:cs="Arial"/>
                <w:b/>
                <w:bCs/>
                <w:sz w:val="20"/>
                <w:szCs w:val="20"/>
                <w:lang w:eastAsia="cs-CZ"/>
              </w:rPr>
              <w:t>21 236 609 200</w:t>
            </w:r>
          </w:p>
        </w:tc>
        <w:tc>
          <w:tcPr>
            <w:tcW w:w="1701" w:type="dxa"/>
            <w:tcBorders>
              <w:top w:val="single" w:sz="4" w:space="0" w:color="auto"/>
              <w:left w:val="nil"/>
              <w:bottom w:val="single" w:sz="8" w:space="0" w:color="auto"/>
              <w:right w:val="single" w:sz="4" w:space="0" w:color="auto"/>
            </w:tcBorders>
            <w:shd w:val="clear" w:color="auto" w:fill="auto"/>
            <w:noWrap/>
            <w:vAlign w:val="bottom"/>
            <w:hideMark/>
          </w:tcPr>
          <w:p w14:paraId="04658649" w14:textId="77777777" w:rsidR="000B3331" w:rsidRPr="000B3331" w:rsidRDefault="000B3331" w:rsidP="000B3331">
            <w:pPr>
              <w:spacing w:after="0" w:line="240" w:lineRule="auto"/>
              <w:jc w:val="right"/>
              <w:rPr>
                <w:rFonts w:ascii="Calibri" w:eastAsia="Times New Roman" w:hAnsi="Calibri" w:cs="Arial"/>
                <w:b/>
                <w:bCs/>
                <w:sz w:val="20"/>
                <w:szCs w:val="20"/>
                <w:lang w:eastAsia="cs-CZ"/>
              </w:rPr>
            </w:pPr>
            <w:r w:rsidRPr="000B3331">
              <w:rPr>
                <w:rFonts w:ascii="Calibri" w:eastAsia="Times New Roman" w:hAnsi="Calibri" w:cs="Arial"/>
                <w:b/>
                <w:bCs/>
                <w:sz w:val="20"/>
                <w:szCs w:val="20"/>
                <w:lang w:eastAsia="cs-CZ"/>
              </w:rPr>
              <w:t>30 659 769 344,39</w:t>
            </w:r>
          </w:p>
        </w:tc>
        <w:tc>
          <w:tcPr>
            <w:tcW w:w="1701" w:type="dxa"/>
            <w:tcBorders>
              <w:top w:val="single" w:sz="4" w:space="0" w:color="auto"/>
              <w:left w:val="nil"/>
              <w:bottom w:val="single" w:sz="8" w:space="0" w:color="auto"/>
              <w:right w:val="single" w:sz="4" w:space="0" w:color="auto"/>
            </w:tcBorders>
            <w:shd w:val="clear" w:color="auto" w:fill="auto"/>
            <w:noWrap/>
            <w:vAlign w:val="bottom"/>
            <w:hideMark/>
          </w:tcPr>
          <w:p w14:paraId="45DD627B" w14:textId="77777777" w:rsidR="000B3331" w:rsidRPr="000B3331" w:rsidRDefault="000B3331" w:rsidP="000B3331">
            <w:pPr>
              <w:spacing w:after="0" w:line="240" w:lineRule="auto"/>
              <w:jc w:val="right"/>
              <w:rPr>
                <w:rFonts w:ascii="Calibri" w:eastAsia="Times New Roman" w:hAnsi="Calibri" w:cs="Arial"/>
                <w:b/>
                <w:bCs/>
                <w:sz w:val="20"/>
                <w:szCs w:val="20"/>
                <w:lang w:eastAsia="cs-CZ"/>
              </w:rPr>
            </w:pPr>
            <w:r w:rsidRPr="000B3331">
              <w:rPr>
                <w:rFonts w:ascii="Calibri" w:eastAsia="Times New Roman" w:hAnsi="Calibri" w:cs="Arial"/>
                <w:b/>
                <w:bCs/>
                <w:sz w:val="20"/>
                <w:szCs w:val="20"/>
                <w:lang w:eastAsia="cs-CZ"/>
              </w:rPr>
              <w:t>29 195 822 979,87</w:t>
            </w:r>
          </w:p>
        </w:tc>
        <w:tc>
          <w:tcPr>
            <w:tcW w:w="851" w:type="dxa"/>
            <w:tcBorders>
              <w:top w:val="single" w:sz="4" w:space="0" w:color="auto"/>
              <w:left w:val="nil"/>
              <w:bottom w:val="single" w:sz="8" w:space="0" w:color="auto"/>
              <w:right w:val="single" w:sz="8" w:space="0" w:color="auto"/>
            </w:tcBorders>
            <w:shd w:val="clear" w:color="auto" w:fill="auto"/>
            <w:noWrap/>
            <w:vAlign w:val="bottom"/>
            <w:hideMark/>
          </w:tcPr>
          <w:p w14:paraId="5917D8DB" w14:textId="77777777" w:rsidR="000B3331" w:rsidRPr="000B3331" w:rsidRDefault="000B3331" w:rsidP="000B3331">
            <w:pPr>
              <w:spacing w:after="0" w:line="240" w:lineRule="auto"/>
              <w:jc w:val="right"/>
              <w:rPr>
                <w:rFonts w:ascii="Calibri" w:eastAsia="Times New Roman" w:hAnsi="Calibri" w:cs="Arial"/>
                <w:b/>
                <w:bCs/>
                <w:sz w:val="20"/>
                <w:szCs w:val="20"/>
                <w:lang w:eastAsia="cs-CZ"/>
              </w:rPr>
            </w:pPr>
            <w:r w:rsidRPr="000B3331">
              <w:rPr>
                <w:rFonts w:ascii="Calibri" w:eastAsia="Times New Roman" w:hAnsi="Calibri" w:cs="Arial"/>
                <w:b/>
                <w:bCs/>
                <w:sz w:val="20"/>
                <w:szCs w:val="20"/>
                <w:lang w:eastAsia="cs-CZ"/>
              </w:rPr>
              <w:t>95,2</w:t>
            </w:r>
          </w:p>
        </w:tc>
      </w:tr>
      <w:tr w:rsidR="000B3331" w:rsidRPr="000B3331" w14:paraId="626B2791" w14:textId="77777777" w:rsidTr="000B3331">
        <w:trPr>
          <w:trHeight w:val="600"/>
        </w:trPr>
        <w:tc>
          <w:tcPr>
            <w:tcW w:w="4253" w:type="dxa"/>
            <w:tcBorders>
              <w:top w:val="nil"/>
              <w:left w:val="single" w:sz="8" w:space="0" w:color="auto"/>
              <w:bottom w:val="single" w:sz="8" w:space="0" w:color="auto"/>
              <w:right w:val="single" w:sz="4" w:space="0" w:color="auto"/>
            </w:tcBorders>
            <w:shd w:val="clear" w:color="auto" w:fill="auto"/>
            <w:noWrap/>
            <w:vAlign w:val="bottom"/>
            <w:hideMark/>
          </w:tcPr>
          <w:p w14:paraId="7A50FA30" w14:textId="77777777" w:rsidR="000B3331" w:rsidRPr="000B3331" w:rsidRDefault="000B3331" w:rsidP="000B3331">
            <w:pPr>
              <w:spacing w:after="0" w:line="240" w:lineRule="auto"/>
              <w:rPr>
                <w:rFonts w:ascii="Calibri" w:eastAsia="Times New Roman" w:hAnsi="Calibri" w:cs="Arial"/>
                <w:b/>
                <w:bCs/>
                <w:sz w:val="20"/>
                <w:szCs w:val="20"/>
                <w:lang w:eastAsia="cs-CZ"/>
              </w:rPr>
            </w:pPr>
            <w:r w:rsidRPr="000B3331">
              <w:rPr>
                <w:rFonts w:ascii="Calibri" w:eastAsia="Times New Roman" w:hAnsi="Calibri" w:cs="Arial"/>
                <w:b/>
                <w:bCs/>
                <w:sz w:val="20"/>
                <w:szCs w:val="20"/>
                <w:lang w:eastAsia="cs-CZ"/>
              </w:rPr>
              <w:t>Příjmy celkem</w:t>
            </w:r>
          </w:p>
        </w:tc>
        <w:tc>
          <w:tcPr>
            <w:tcW w:w="1417" w:type="dxa"/>
            <w:tcBorders>
              <w:top w:val="nil"/>
              <w:left w:val="nil"/>
              <w:bottom w:val="single" w:sz="8" w:space="0" w:color="auto"/>
              <w:right w:val="single" w:sz="4" w:space="0" w:color="auto"/>
            </w:tcBorders>
            <w:shd w:val="clear" w:color="auto" w:fill="auto"/>
            <w:noWrap/>
            <w:vAlign w:val="bottom"/>
            <w:hideMark/>
          </w:tcPr>
          <w:p w14:paraId="0F9AEE11" w14:textId="77777777" w:rsidR="000B3331" w:rsidRPr="000B3331" w:rsidRDefault="000B3331" w:rsidP="000B3331">
            <w:pPr>
              <w:spacing w:after="0" w:line="240" w:lineRule="auto"/>
              <w:jc w:val="right"/>
              <w:rPr>
                <w:rFonts w:ascii="Calibri" w:eastAsia="Times New Roman" w:hAnsi="Calibri" w:cs="Arial"/>
                <w:b/>
                <w:bCs/>
                <w:sz w:val="20"/>
                <w:szCs w:val="20"/>
                <w:lang w:eastAsia="cs-CZ"/>
              </w:rPr>
            </w:pPr>
            <w:r w:rsidRPr="000B3331">
              <w:rPr>
                <w:rFonts w:ascii="Calibri" w:eastAsia="Times New Roman" w:hAnsi="Calibri" w:cs="Arial"/>
                <w:b/>
                <w:bCs/>
                <w:sz w:val="20"/>
                <w:szCs w:val="20"/>
                <w:lang w:eastAsia="cs-CZ"/>
              </w:rPr>
              <w:t>31 936 641 200</w:t>
            </w:r>
          </w:p>
        </w:tc>
        <w:tc>
          <w:tcPr>
            <w:tcW w:w="1701" w:type="dxa"/>
            <w:tcBorders>
              <w:top w:val="nil"/>
              <w:left w:val="nil"/>
              <w:bottom w:val="single" w:sz="8" w:space="0" w:color="auto"/>
              <w:right w:val="single" w:sz="4" w:space="0" w:color="auto"/>
            </w:tcBorders>
            <w:shd w:val="clear" w:color="auto" w:fill="auto"/>
            <w:noWrap/>
            <w:vAlign w:val="bottom"/>
            <w:hideMark/>
          </w:tcPr>
          <w:p w14:paraId="45ABB880" w14:textId="77777777" w:rsidR="000B3331" w:rsidRPr="000B3331" w:rsidRDefault="000B3331" w:rsidP="000B3331">
            <w:pPr>
              <w:spacing w:after="0" w:line="240" w:lineRule="auto"/>
              <w:jc w:val="right"/>
              <w:rPr>
                <w:rFonts w:ascii="Calibri" w:eastAsia="Times New Roman" w:hAnsi="Calibri" w:cs="Arial"/>
                <w:b/>
                <w:bCs/>
                <w:sz w:val="20"/>
                <w:szCs w:val="20"/>
                <w:lang w:eastAsia="cs-CZ"/>
              </w:rPr>
            </w:pPr>
            <w:r w:rsidRPr="000B3331">
              <w:rPr>
                <w:rFonts w:ascii="Calibri" w:eastAsia="Times New Roman" w:hAnsi="Calibri" w:cs="Arial"/>
                <w:b/>
                <w:bCs/>
                <w:sz w:val="20"/>
                <w:szCs w:val="20"/>
                <w:lang w:eastAsia="cs-CZ"/>
              </w:rPr>
              <w:t>42 428 166 227,66</w:t>
            </w:r>
          </w:p>
        </w:tc>
        <w:tc>
          <w:tcPr>
            <w:tcW w:w="1701" w:type="dxa"/>
            <w:tcBorders>
              <w:top w:val="nil"/>
              <w:left w:val="nil"/>
              <w:bottom w:val="single" w:sz="8" w:space="0" w:color="auto"/>
              <w:right w:val="single" w:sz="4" w:space="0" w:color="auto"/>
            </w:tcBorders>
            <w:shd w:val="clear" w:color="auto" w:fill="auto"/>
            <w:noWrap/>
            <w:vAlign w:val="bottom"/>
            <w:hideMark/>
          </w:tcPr>
          <w:p w14:paraId="67D1D46C" w14:textId="77777777" w:rsidR="000B3331" w:rsidRPr="000B3331" w:rsidRDefault="000B3331" w:rsidP="000B3331">
            <w:pPr>
              <w:spacing w:after="0" w:line="240" w:lineRule="auto"/>
              <w:jc w:val="right"/>
              <w:rPr>
                <w:rFonts w:ascii="Calibri" w:eastAsia="Times New Roman" w:hAnsi="Calibri" w:cs="Arial"/>
                <w:b/>
                <w:bCs/>
                <w:sz w:val="20"/>
                <w:szCs w:val="20"/>
                <w:lang w:eastAsia="cs-CZ"/>
              </w:rPr>
            </w:pPr>
            <w:r w:rsidRPr="000B3331">
              <w:rPr>
                <w:rFonts w:ascii="Calibri" w:eastAsia="Times New Roman" w:hAnsi="Calibri" w:cs="Arial"/>
                <w:b/>
                <w:bCs/>
                <w:sz w:val="20"/>
                <w:szCs w:val="20"/>
                <w:lang w:eastAsia="cs-CZ"/>
              </w:rPr>
              <w:t>42 024 310 818,09</w:t>
            </w:r>
          </w:p>
        </w:tc>
        <w:tc>
          <w:tcPr>
            <w:tcW w:w="851" w:type="dxa"/>
            <w:tcBorders>
              <w:top w:val="nil"/>
              <w:left w:val="nil"/>
              <w:bottom w:val="single" w:sz="8" w:space="0" w:color="auto"/>
              <w:right w:val="single" w:sz="8" w:space="0" w:color="auto"/>
            </w:tcBorders>
            <w:shd w:val="clear" w:color="auto" w:fill="auto"/>
            <w:noWrap/>
            <w:vAlign w:val="bottom"/>
            <w:hideMark/>
          </w:tcPr>
          <w:p w14:paraId="77CF2FD6" w14:textId="77777777" w:rsidR="000B3331" w:rsidRPr="000B3331" w:rsidRDefault="000B3331" w:rsidP="000B3331">
            <w:pPr>
              <w:spacing w:after="0" w:line="240" w:lineRule="auto"/>
              <w:jc w:val="right"/>
              <w:rPr>
                <w:rFonts w:ascii="Calibri" w:eastAsia="Times New Roman" w:hAnsi="Calibri" w:cs="Arial"/>
                <w:b/>
                <w:bCs/>
                <w:sz w:val="20"/>
                <w:szCs w:val="20"/>
                <w:lang w:eastAsia="cs-CZ"/>
              </w:rPr>
            </w:pPr>
            <w:r w:rsidRPr="000B3331">
              <w:rPr>
                <w:rFonts w:ascii="Calibri" w:eastAsia="Times New Roman" w:hAnsi="Calibri" w:cs="Arial"/>
                <w:b/>
                <w:bCs/>
                <w:sz w:val="20"/>
                <w:szCs w:val="20"/>
                <w:lang w:eastAsia="cs-CZ"/>
              </w:rPr>
              <w:t>99,0</w:t>
            </w:r>
          </w:p>
        </w:tc>
      </w:tr>
      <w:tr w:rsidR="000B3331" w:rsidRPr="000B3331" w14:paraId="44AB0F19" w14:textId="77777777" w:rsidTr="000B3331">
        <w:trPr>
          <w:trHeight w:val="300"/>
        </w:trPr>
        <w:tc>
          <w:tcPr>
            <w:tcW w:w="4253" w:type="dxa"/>
            <w:tcBorders>
              <w:top w:val="nil"/>
              <w:left w:val="nil"/>
              <w:bottom w:val="nil"/>
              <w:right w:val="nil"/>
            </w:tcBorders>
            <w:shd w:val="clear" w:color="auto" w:fill="auto"/>
            <w:noWrap/>
            <w:vAlign w:val="bottom"/>
            <w:hideMark/>
          </w:tcPr>
          <w:p w14:paraId="43D9C536" w14:textId="77777777" w:rsidR="000B3331" w:rsidRPr="000B3331" w:rsidRDefault="000B3331" w:rsidP="000B3331">
            <w:pPr>
              <w:spacing w:after="0" w:line="240" w:lineRule="auto"/>
              <w:jc w:val="right"/>
              <w:rPr>
                <w:rFonts w:ascii="Calibri" w:eastAsia="Times New Roman" w:hAnsi="Calibri" w:cs="Arial"/>
                <w:b/>
                <w:bCs/>
                <w:lang w:eastAsia="cs-CZ"/>
              </w:rPr>
            </w:pPr>
          </w:p>
        </w:tc>
        <w:tc>
          <w:tcPr>
            <w:tcW w:w="1417" w:type="dxa"/>
            <w:tcBorders>
              <w:top w:val="nil"/>
              <w:left w:val="nil"/>
              <w:bottom w:val="nil"/>
              <w:right w:val="nil"/>
            </w:tcBorders>
            <w:shd w:val="clear" w:color="auto" w:fill="auto"/>
            <w:noWrap/>
            <w:vAlign w:val="bottom"/>
            <w:hideMark/>
          </w:tcPr>
          <w:p w14:paraId="146F72CD" w14:textId="77777777" w:rsidR="000B3331" w:rsidRPr="000B3331" w:rsidRDefault="000B3331" w:rsidP="000B3331">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1293CF35" w14:textId="77777777" w:rsidR="000B3331" w:rsidRPr="000B3331" w:rsidRDefault="000B3331" w:rsidP="000B3331">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4B80E897" w14:textId="77777777" w:rsidR="000B3331" w:rsidRPr="000B3331" w:rsidRDefault="000B3331" w:rsidP="000B3331">
            <w:pPr>
              <w:spacing w:after="0" w:line="240" w:lineRule="auto"/>
              <w:rPr>
                <w:rFonts w:ascii="Times New Roman" w:eastAsia="Times New Roman" w:hAnsi="Times New Roman" w:cs="Times New Roman"/>
                <w:sz w:val="20"/>
                <w:szCs w:val="20"/>
                <w:lang w:eastAsia="cs-CZ"/>
              </w:rPr>
            </w:pPr>
          </w:p>
        </w:tc>
        <w:tc>
          <w:tcPr>
            <w:tcW w:w="851" w:type="dxa"/>
            <w:tcBorders>
              <w:top w:val="nil"/>
              <w:left w:val="nil"/>
              <w:bottom w:val="nil"/>
              <w:right w:val="nil"/>
            </w:tcBorders>
            <w:shd w:val="clear" w:color="auto" w:fill="auto"/>
            <w:noWrap/>
            <w:vAlign w:val="bottom"/>
            <w:hideMark/>
          </w:tcPr>
          <w:p w14:paraId="2B67B582" w14:textId="77777777" w:rsidR="000B3331" w:rsidRPr="000B3331" w:rsidRDefault="000B3331" w:rsidP="000B3331">
            <w:pPr>
              <w:spacing w:after="0" w:line="240" w:lineRule="auto"/>
              <w:rPr>
                <w:rFonts w:ascii="Times New Roman" w:eastAsia="Times New Roman" w:hAnsi="Times New Roman" w:cs="Times New Roman"/>
                <w:sz w:val="20"/>
                <w:szCs w:val="20"/>
                <w:lang w:eastAsia="cs-CZ"/>
              </w:rPr>
            </w:pPr>
          </w:p>
        </w:tc>
      </w:tr>
      <w:tr w:rsidR="000B3331" w:rsidRPr="000B3331" w14:paraId="4B8DF564" w14:textId="77777777" w:rsidTr="000B3331">
        <w:trPr>
          <w:trHeight w:val="1003"/>
        </w:trPr>
        <w:tc>
          <w:tcPr>
            <w:tcW w:w="9923" w:type="dxa"/>
            <w:gridSpan w:val="5"/>
            <w:tcBorders>
              <w:top w:val="nil"/>
              <w:left w:val="nil"/>
              <w:bottom w:val="nil"/>
              <w:right w:val="nil"/>
            </w:tcBorders>
            <w:shd w:val="clear" w:color="auto" w:fill="auto"/>
            <w:noWrap/>
            <w:vAlign w:val="bottom"/>
            <w:hideMark/>
          </w:tcPr>
          <w:p w14:paraId="716F07DF" w14:textId="77777777" w:rsidR="000B3331" w:rsidRPr="000B3331" w:rsidRDefault="000B3331" w:rsidP="000B3331">
            <w:pPr>
              <w:spacing w:after="0" w:line="240" w:lineRule="auto"/>
              <w:jc w:val="both"/>
              <w:rPr>
                <w:rFonts w:ascii="Calibri" w:eastAsia="Times New Roman" w:hAnsi="Calibri" w:cs="Arial"/>
                <w:sz w:val="18"/>
                <w:szCs w:val="18"/>
                <w:lang w:eastAsia="cs-CZ"/>
              </w:rPr>
            </w:pPr>
            <w:r w:rsidRPr="000B3331">
              <w:rPr>
                <w:rFonts w:ascii="Calibri" w:eastAsia="Times New Roman" w:hAnsi="Calibri" w:cs="Arial"/>
                <w:sz w:val="18"/>
                <w:szCs w:val="18"/>
                <w:lang w:eastAsia="cs-CZ"/>
              </w:rPr>
              <w:t xml:space="preserve">*) Projekty EU jsou předfinancovány z rozpočtu Středočeského kraje. Při proplácení nákladů projektů z prostředků EU jsou tyto prostředky (vratky) rozpočtovány na rozpočtové Třídě 2 - Přijaté splátky půjčených prostředků (v případě, že se jedná o projekty administrované příspěvkovými organizacemi, akciovými společnostmi) nebo na rozpočtové Třídě 4 - Přijaté transfery (v případě, že se jedná o projekty administrované Středočeským krajem). </w:t>
            </w:r>
          </w:p>
        </w:tc>
      </w:tr>
    </w:tbl>
    <w:p w14:paraId="1658039D" w14:textId="77777777" w:rsidR="00A275CF" w:rsidRDefault="00A275CF"/>
    <w:p w14:paraId="48FB40C7" w14:textId="69F0FA5E" w:rsidR="00A275CF" w:rsidRDefault="00A275CF"/>
    <w:p w14:paraId="2223268B" w14:textId="77777777" w:rsidR="00561061" w:rsidRDefault="00561061"/>
    <w:tbl>
      <w:tblPr>
        <w:tblW w:w="10405" w:type="dxa"/>
        <w:tblCellMar>
          <w:left w:w="70" w:type="dxa"/>
          <w:right w:w="70" w:type="dxa"/>
        </w:tblCellMar>
        <w:tblLook w:val="04A0" w:firstRow="1" w:lastRow="0" w:firstColumn="1" w:lastColumn="0" w:noHBand="0" w:noVBand="1"/>
      </w:tblPr>
      <w:tblGrid>
        <w:gridCol w:w="4395"/>
        <w:gridCol w:w="1559"/>
        <w:gridCol w:w="1843"/>
        <w:gridCol w:w="1842"/>
        <w:gridCol w:w="766"/>
      </w:tblGrid>
      <w:tr w:rsidR="00E07FEA" w:rsidRPr="00E07FEA" w14:paraId="0146D266" w14:textId="77777777" w:rsidTr="00E07FEA">
        <w:trPr>
          <w:trHeight w:val="440"/>
        </w:trPr>
        <w:tc>
          <w:tcPr>
            <w:tcW w:w="7797" w:type="dxa"/>
            <w:gridSpan w:val="3"/>
            <w:tcBorders>
              <w:top w:val="nil"/>
              <w:left w:val="nil"/>
              <w:bottom w:val="nil"/>
              <w:right w:val="nil"/>
            </w:tcBorders>
            <w:shd w:val="clear" w:color="auto" w:fill="auto"/>
            <w:noWrap/>
            <w:vAlign w:val="bottom"/>
            <w:hideMark/>
          </w:tcPr>
          <w:p w14:paraId="1024539E" w14:textId="77777777" w:rsidR="00E07FEA" w:rsidRPr="00E07FEA" w:rsidRDefault="00E07FEA" w:rsidP="00E07FEA">
            <w:pPr>
              <w:spacing w:after="0" w:line="240" w:lineRule="auto"/>
              <w:rPr>
                <w:rFonts w:ascii="Calibri" w:eastAsia="Times New Roman" w:hAnsi="Calibri" w:cs="Arial"/>
                <w:b/>
                <w:bCs/>
                <w:sz w:val="36"/>
                <w:szCs w:val="36"/>
                <w:lang w:eastAsia="cs-CZ"/>
              </w:rPr>
            </w:pPr>
            <w:r w:rsidRPr="00E07FEA">
              <w:rPr>
                <w:rFonts w:ascii="Calibri" w:eastAsia="Times New Roman" w:hAnsi="Calibri" w:cs="Arial"/>
                <w:b/>
                <w:bCs/>
                <w:sz w:val="36"/>
                <w:szCs w:val="36"/>
                <w:lang w:eastAsia="cs-CZ"/>
              </w:rPr>
              <w:t xml:space="preserve">Čerpání rozpočtu Středočeského kraje </w:t>
            </w:r>
          </w:p>
        </w:tc>
        <w:tc>
          <w:tcPr>
            <w:tcW w:w="1842" w:type="dxa"/>
            <w:tcBorders>
              <w:top w:val="nil"/>
              <w:left w:val="nil"/>
              <w:bottom w:val="nil"/>
              <w:right w:val="nil"/>
            </w:tcBorders>
            <w:shd w:val="clear" w:color="auto" w:fill="auto"/>
            <w:noWrap/>
            <w:vAlign w:val="bottom"/>
            <w:hideMark/>
          </w:tcPr>
          <w:p w14:paraId="5CA89523" w14:textId="77777777" w:rsidR="00E07FEA" w:rsidRPr="00E07FEA" w:rsidRDefault="00E07FEA" w:rsidP="00E07FEA">
            <w:pPr>
              <w:spacing w:after="0" w:line="240" w:lineRule="auto"/>
              <w:rPr>
                <w:rFonts w:ascii="Calibri" w:eastAsia="Times New Roman" w:hAnsi="Calibri" w:cs="Arial"/>
                <w:b/>
                <w:bCs/>
                <w:sz w:val="36"/>
                <w:szCs w:val="36"/>
                <w:lang w:eastAsia="cs-CZ"/>
              </w:rPr>
            </w:pPr>
          </w:p>
        </w:tc>
        <w:tc>
          <w:tcPr>
            <w:tcW w:w="766" w:type="dxa"/>
            <w:tcBorders>
              <w:top w:val="nil"/>
              <w:left w:val="nil"/>
              <w:bottom w:val="nil"/>
              <w:right w:val="nil"/>
            </w:tcBorders>
            <w:shd w:val="clear" w:color="auto" w:fill="auto"/>
            <w:noWrap/>
            <w:vAlign w:val="bottom"/>
            <w:hideMark/>
          </w:tcPr>
          <w:p w14:paraId="4A6E3728" w14:textId="77777777" w:rsidR="00E07FEA" w:rsidRPr="00E07FEA" w:rsidRDefault="00E07FEA" w:rsidP="00E07FEA">
            <w:pPr>
              <w:spacing w:after="0" w:line="240" w:lineRule="auto"/>
              <w:rPr>
                <w:rFonts w:ascii="Times New Roman" w:eastAsia="Times New Roman" w:hAnsi="Times New Roman" w:cs="Times New Roman"/>
                <w:sz w:val="20"/>
                <w:szCs w:val="20"/>
                <w:lang w:eastAsia="cs-CZ"/>
              </w:rPr>
            </w:pPr>
          </w:p>
        </w:tc>
      </w:tr>
      <w:tr w:rsidR="00E07FEA" w:rsidRPr="00E07FEA" w14:paraId="560A31AD" w14:textId="77777777" w:rsidTr="00E07FEA">
        <w:trPr>
          <w:trHeight w:val="360"/>
        </w:trPr>
        <w:tc>
          <w:tcPr>
            <w:tcW w:w="4395" w:type="dxa"/>
            <w:tcBorders>
              <w:top w:val="nil"/>
              <w:left w:val="nil"/>
              <w:bottom w:val="nil"/>
              <w:right w:val="nil"/>
            </w:tcBorders>
            <w:shd w:val="clear" w:color="auto" w:fill="auto"/>
            <w:noWrap/>
            <w:vAlign w:val="bottom"/>
            <w:hideMark/>
          </w:tcPr>
          <w:p w14:paraId="150256DE" w14:textId="77777777" w:rsidR="00E07FEA" w:rsidRPr="00E07FEA" w:rsidRDefault="00E07FEA" w:rsidP="00E07FEA">
            <w:pPr>
              <w:spacing w:after="0" w:line="240" w:lineRule="auto"/>
              <w:rPr>
                <w:rFonts w:ascii="Calibri" w:eastAsia="Times New Roman" w:hAnsi="Calibri" w:cs="Arial"/>
                <w:b/>
                <w:bCs/>
                <w:sz w:val="28"/>
                <w:szCs w:val="28"/>
                <w:lang w:eastAsia="cs-CZ"/>
              </w:rPr>
            </w:pPr>
            <w:r w:rsidRPr="00E07FEA">
              <w:rPr>
                <w:rFonts w:ascii="Calibri" w:eastAsia="Times New Roman" w:hAnsi="Calibri" w:cs="Arial"/>
                <w:b/>
                <w:bCs/>
                <w:sz w:val="28"/>
                <w:szCs w:val="28"/>
                <w:lang w:eastAsia="cs-CZ"/>
              </w:rPr>
              <w:t>Období: 1. - 12. 2021</w:t>
            </w:r>
          </w:p>
        </w:tc>
        <w:tc>
          <w:tcPr>
            <w:tcW w:w="1559" w:type="dxa"/>
            <w:tcBorders>
              <w:top w:val="nil"/>
              <w:left w:val="nil"/>
              <w:bottom w:val="nil"/>
              <w:right w:val="nil"/>
            </w:tcBorders>
            <w:shd w:val="clear" w:color="auto" w:fill="auto"/>
            <w:noWrap/>
            <w:vAlign w:val="bottom"/>
            <w:hideMark/>
          </w:tcPr>
          <w:p w14:paraId="15CB44E4" w14:textId="77777777" w:rsidR="00E07FEA" w:rsidRPr="00E07FEA" w:rsidRDefault="00E07FEA" w:rsidP="00E07FEA">
            <w:pPr>
              <w:spacing w:after="0" w:line="240" w:lineRule="auto"/>
              <w:rPr>
                <w:rFonts w:ascii="Calibri" w:eastAsia="Times New Roman" w:hAnsi="Calibri" w:cs="Arial"/>
                <w:b/>
                <w:bCs/>
                <w:sz w:val="28"/>
                <w:szCs w:val="28"/>
                <w:lang w:eastAsia="cs-CZ"/>
              </w:rPr>
            </w:pPr>
          </w:p>
        </w:tc>
        <w:tc>
          <w:tcPr>
            <w:tcW w:w="1843" w:type="dxa"/>
            <w:tcBorders>
              <w:top w:val="nil"/>
              <w:left w:val="nil"/>
              <w:bottom w:val="nil"/>
              <w:right w:val="nil"/>
            </w:tcBorders>
            <w:shd w:val="clear" w:color="auto" w:fill="auto"/>
            <w:noWrap/>
            <w:vAlign w:val="bottom"/>
            <w:hideMark/>
          </w:tcPr>
          <w:p w14:paraId="321E8D53" w14:textId="77777777" w:rsidR="00E07FEA" w:rsidRPr="00E07FEA" w:rsidRDefault="00E07FEA" w:rsidP="00E07FEA">
            <w:pPr>
              <w:spacing w:after="0" w:line="240" w:lineRule="auto"/>
              <w:rPr>
                <w:rFonts w:ascii="Times New Roman" w:eastAsia="Times New Roman" w:hAnsi="Times New Roman" w:cs="Times New Roman"/>
                <w:sz w:val="20"/>
                <w:szCs w:val="20"/>
                <w:lang w:eastAsia="cs-CZ"/>
              </w:rPr>
            </w:pPr>
          </w:p>
        </w:tc>
        <w:tc>
          <w:tcPr>
            <w:tcW w:w="1842" w:type="dxa"/>
            <w:tcBorders>
              <w:top w:val="nil"/>
              <w:left w:val="nil"/>
              <w:bottom w:val="nil"/>
              <w:right w:val="nil"/>
            </w:tcBorders>
            <w:shd w:val="clear" w:color="auto" w:fill="auto"/>
            <w:noWrap/>
            <w:vAlign w:val="bottom"/>
            <w:hideMark/>
          </w:tcPr>
          <w:p w14:paraId="5920649B" w14:textId="77777777" w:rsidR="00E07FEA" w:rsidRPr="00E07FEA" w:rsidRDefault="00E07FEA" w:rsidP="00E07FEA">
            <w:pPr>
              <w:spacing w:after="0" w:line="240" w:lineRule="auto"/>
              <w:rPr>
                <w:rFonts w:ascii="Times New Roman" w:eastAsia="Times New Roman" w:hAnsi="Times New Roman" w:cs="Times New Roman"/>
                <w:sz w:val="20"/>
                <w:szCs w:val="20"/>
                <w:lang w:eastAsia="cs-CZ"/>
              </w:rPr>
            </w:pPr>
          </w:p>
        </w:tc>
        <w:tc>
          <w:tcPr>
            <w:tcW w:w="766" w:type="dxa"/>
            <w:tcBorders>
              <w:top w:val="nil"/>
              <w:left w:val="nil"/>
              <w:bottom w:val="nil"/>
              <w:right w:val="nil"/>
            </w:tcBorders>
            <w:shd w:val="clear" w:color="auto" w:fill="auto"/>
            <w:noWrap/>
            <w:vAlign w:val="bottom"/>
            <w:hideMark/>
          </w:tcPr>
          <w:p w14:paraId="4AC08063" w14:textId="77777777" w:rsidR="00E07FEA" w:rsidRPr="00E07FEA" w:rsidRDefault="00E07FEA" w:rsidP="00E07FEA">
            <w:pPr>
              <w:spacing w:after="0" w:line="240" w:lineRule="auto"/>
              <w:rPr>
                <w:rFonts w:ascii="Times New Roman" w:eastAsia="Times New Roman" w:hAnsi="Times New Roman" w:cs="Times New Roman"/>
                <w:sz w:val="20"/>
                <w:szCs w:val="20"/>
                <w:lang w:eastAsia="cs-CZ"/>
              </w:rPr>
            </w:pPr>
          </w:p>
        </w:tc>
      </w:tr>
      <w:tr w:rsidR="00E07FEA" w:rsidRPr="00E07FEA" w14:paraId="5CB5D739" w14:textId="77777777" w:rsidTr="00E07FEA">
        <w:trPr>
          <w:trHeight w:val="360"/>
        </w:trPr>
        <w:tc>
          <w:tcPr>
            <w:tcW w:w="4395" w:type="dxa"/>
            <w:tcBorders>
              <w:top w:val="nil"/>
              <w:left w:val="nil"/>
              <w:bottom w:val="nil"/>
              <w:right w:val="nil"/>
            </w:tcBorders>
            <w:shd w:val="clear" w:color="auto" w:fill="auto"/>
            <w:noWrap/>
            <w:vAlign w:val="bottom"/>
            <w:hideMark/>
          </w:tcPr>
          <w:p w14:paraId="6020A046" w14:textId="77777777" w:rsidR="00E07FEA" w:rsidRPr="00E07FEA" w:rsidRDefault="00E07FEA" w:rsidP="00E07FEA">
            <w:pPr>
              <w:spacing w:after="0" w:line="240" w:lineRule="auto"/>
              <w:rPr>
                <w:rFonts w:ascii="Times New Roman" w:eastAsia="Times New Roman" w:hAnsi="Times New Roman" w:cs="Times New Roman"/>
                <w:sz w:val="20"/>
                <w:szCs w:val="20"/>
                <w:lang w:eastAsia="cs-CZ"/>
              </w:rPr>
            </w:pPr>
          </w:p>
        </w:tc>
        <w:tc>
          <w:tcPr>
            <w:tcW w:w="1559" w:type="dxa"/>
            <w:tcBorders>
              <w:top w:val="nil"/>
              <w:left w:val="nil"/>
              <w:bottom w:val="nil"/>
              <w:right w:val="nil"/>
            </w:tcBorders>
            <w:shd w:val="clear" w:color="auto" w:fill="auto"/>
            <w:noWrap/>
            <w:vAlign w:val="bottom"/>
            <w:hideMark/>
          </w:tcPr>
          <w:p w14:paraId="5EB182E2" w14:textId="77777777" w:rsidR="00E07FEA" w:rsidRPr="00E07FEA" w:rsidRDefault="00E07FEA" w:rsidP="00E07FEA">
            <w:pPr>
              <w:spacing w:after="0" w:line="240" w:lineRule="auto"/>
              <w:rPr>
                <w:rFonts w:ascii="Times New Roman" w:eastAsia="Times New Roman" w:hAnsi="Times New Roman" w:cs="Times New Roman"/>
                <w:sz w:val="20"/>
                <w:szCs w:val="20"/>
                <w:lang w:eastAsia="cs-CZ"/>
              </w:rPr>
            </w:pPr>
          </w:p>
        </w:tc>
        <w:tc>
          <w:tcPr>
            <w:tcW w:w="1843" w:type="dxa"/>
            <w:tcBorders>
              <w:top w:val="nil"/>
              <w:left w:val="nil"/>
              <w:bottom w:val="nil"/>
              <w:right w:val="nil"/>
            </w:tcBorders>
            <w:shd w:val="clear" w:color="auto" w:fill="auto"/>
            <w:noWrap/>
            <w:vAlign w:val="bottom"/>
            <w:hideMark/>
          </w:tcPr>
          <w:p w14:paraId="5AF6EFB1" w14:textId="77777777" w:rsidR="00E07FEA" w:rsidRPr="00E07FEA" w:rsidRDefault="00E07FEA" w:rsidP="00E07FEA">
            <w:pPr>
              <w:spacing w:after="0" w:line="240" w:lineRule="auto"/>
              <w:rPr>
                <w:rFonts w:ascii="Times New Roman" w:eastAsia="Times New Roman" w:hAnsi="Times New Roman" w:cs="Times New Roman"/>
                <w:sz w:val="20"/>
                <w:szCs w:val="20"/>
                <w:lang w:eastAsia="cs-CZ"/>
              </w:rPr>
            </w:pPr>
          </w:p>
        </w:tc>
        <w:tc>
          <w:tcPr>
            <w:tcW w:w="1842" w:type="dxa"/>
            <w:tcBorders>
              <w:top w:val="nil"/>
              <w:left w:val="nil"/>
              <w:bottom w:val="nil"/>
              <w:right w:val="nil"/>
            </w:tcBorders>
            <w:shd w:val="clear" w:color="auto" w:fill="auto"/>
            <w:noWrap/>
            <w:vAlign w:val="bottom"/>
            <w:hideMark/>
          </w:tcPr>
          <w:p w14:paraId="4E56401A" w14:textId="77777777" w:rsidR="00E07FEA" w:rsidRPr="00E07FEA" w:rsidRDefault="00E07FEA" w:rsidP="00E07FEA">
            <w:pPr>
              <w:spacing w:after="0" w:line="240" w:lineRule="auto"/>
              <w:rPr>
                <w:rFonts w:ascii="Times New Roman" w:eastAsia="Times New Roman" w:hAnsi="Times New Roman" w:cs="Times New Roman"/>
                <w:sz w:val="20"/>
                <w:szCs w:val="20"/>
                <w:lang w:eastAsia="cs-CZ"/>
              </w:rPr>
            </w:pPr>
          </w:p>
        </w:tc>
        <w:tc>
          <w:tcPr>
            <w:tcW w:w="766" w:type="dxa"/>
            <w:tcBorders>
              <w:top w:val="nil"/>
              <w:left w:val="nil"/>
              <w:bottom w:val="nil"/>
              <w:right w:val="nil"/>
            </w:tcBorders>
            <w:shd w:val="clear" w:color="auto" w:fill="auto"/>
            <w:noWrap/>
            <w:vAlign w:val="bottom"/>
            <w:hideMark/>
          </w:tcPr>
          <w:p w14:paraId="5DE60760" w14:textId="77777777" w:rsidR="00E07FEA" w:rsidRPr="00E07FEA" w:rsidRDefault="00E07FEA" w:rsidP="00E07FEA">
            <w:pPr>
              <w:spacing w:after="0" w:line="240" w:lineRule="auto"/>
              <w:rPr>
                <w:rFonts w:ascii="Times New Roman" w:eastAsia="Times New Roman" w:hAnsi="Times New Roman" w:cs="Times New Roman"/>
                <w:sz w:val="20"/>
                <w:szCs w:val="20"/>
                <w:lang w:eastAsia="cs-CZ"/>
              </w:rPr>
            </w:pPr>
          </w:p>
        </w:tc>
      </w:tr>
      <w:tr w:rsidR="00E07FEA" w:rsidRPr="00E07FEA" w14:paraId="07B29918" w14:textId="77777777" w:rsidTr="00E07FEA">
        <w:trPr>
          <w:trHeight w:val="360"/>
        </w:trPr>
        <w:tc>
          <w:tcPr>
            <w:tcW w:w="4395" w:type="dxa"/>
            <w:tcBorders>
              <w:top w:val="nil"/>
              <w:left w:val="nil"/>
              <w:bottom w:val="nil"/>
              <w:right w:val="nil"/>
            </w:tcBorders>
            <w:shd w:val="clear" w:color="auto" w:fill="auto"/>
            <w:noWrap/>
            <w:vAlign w:val="bottom"/>
            <w:hideMark/>
          </w:tcPr>
          <w:p w14:paraId="470E8E62" w14:textId="77777777" w:rsidR="00E07FEA" w:rsidRPr="00E07FEA" w:rsidRDefault="00E07FEA" w:rsidP="00E07FEA">
            <w:pPr>
              <w:spacing w:after="0" w:line="240" w:lineRule="auto"/>
              <w:rPr>
                <w:rFonts w:ascii="Calibri" w:eastAsia="Times New Roman" w:hAnsi="Calibri" w:cs="Arial"/>
                <w:b/>
                <w:bCs/>
                <w:sz w:val="28"/>
                <w:szCs w:val="28"/>
                <w:lang w:eastAsia="cs-CZ"/>
              </w:rPr>
            </w:pPr>
            <w:r w:rsidRPr="00E07FEA">
              <w:rPr>
                <w:rFonts w:ascii="Calibri" w:eastAsia="Times New Roman" w:hAnsi="Calibri" w:cs="Arial"/>
                <w:b/>
                <w:bCs/>
                <w:sz w:val="28"/>
                <w:szCs w:val="28"/>
                <w:lang w:eastAsia="cs-CZ"/>
              </w:rPr>
              <w:t>Sumář výdajů</w:t>
            </w:r>
          </w:p>
        </w:tc>
        <w:tc>
          <w:tcPr>
            <w:tcW w:w="1559" w:type="dxa"/>
            <w:tcBorders>
              <w:top w:val="nil"/>
              <w:left w:val="nil"/>
              <w:bottom w:val="nil"/>
              <w:right w:val="nil"/>
            </w:tcBorders>
            <w:shd w:val="clear" w:color="auto" w:fill="auto"/>
            <w:noWrap/>
            <w:vAlign w:val="bottom"/>
            <w:hideMark/>
          </w:tcPr>
          <w:p w14:paraId="147915ED" w14:textId="77777777" w:rsidR="00E07FEA" w:rsidRPr="00E07FEA" w:rsidRDefault="00E07FEA" w:rsidP="00E07FEA">
            <w:pPr>
              <w:spacing w:after="0" w:line="240" w:lineRule="auto"/>
              <w:rPr>
                <w:rFonts w:ascii="Calibri" w:eastAsia="Times New Roman" w:hAnsi="Calibri" w:cs="Arial"/>
                <w:b/>
                <w:bCs/>
                <w:sz w:val="28"/>
                <w:szCs w:val="28"/>
                <w:lang w:eastAsia="cs-CZ"/>
              </w:rPr>
            </w:pPr>
          </w:p>
        </w:tc>
        <w:tc>
          <w:tcPr>
            <w:tcW w:w="1843" w:type="dxa"/>
            <w:tcBorders>
              <w:top w:val="nil"/>
              <w:left w:val="nil"/>
              <w:bottom w:val="nil"/>
              <w:right w:val="nil"/>
            </w:tcBorders>
            <w:shd w:val="clear" w:color="auto" w:fill="auto"/>
            <w:noWrap/>
            <w:vAlign w:val="bottom"/>
            <w:hideMark/>
          </w:tcPr>
          <w:p w14:paraId="044AF427" w14:textId="77777777" w:rsidR="00E07FEA" w:rsidRPr="00E07FEA" w:rsidRDefault="00E07FEA" w:rsidP="00E07FEA">
            <w:pPr>
              <w:spacing w:after="0" w:line="240" w:lineRule="auto"/>
              <w:rPr>
                <w:rFonts w:ascii="Times New Roman" w:eastAsia="Times New Roman" w:hAnsi="Times New Roman" w:cs="Times New Roman"/>
                <w:sz w:val="20"/>
                <w:szCs w:val="20"/>
                <w:lang w:eastAsia="cs-CZ"/>
              </w:rPr>
            </w:pPr>
          </w:p>
        </w:tc>
        <w:tc>
          <w:tcPr>
            <w:tcW w:w="1842" w:type="dxa"/>
            <w:tcBorders>
              <w:top w:val="nil"/>
              <w:left w:val="nil"/>
              <w:bottom w:val="nil"/>
              <w:right w:val="nil"/>
            </w:tcBorders>
            <w:shd w:val="clear" w:color="auto" w:fill="auto"/>
            <w:noWrap/>
            <w:vAlign w:val="bottom"/>
            <w:hideMark/>
          </w:tcPr>
          <w:p w14:paraId="4A85217B" w14:textId="77777777" w:rsidR="00E07FEA" w:rsidRPr="00E07FEA" w:rsidRDefault="00E07FEA" w:rsidP="00E07FEA">
            <w:pPr>
              <w:spacing w:after="0" w:line="240" w:lineRule="auto"/>
              <w:rPr>
                <w:rFonts w:ascii="Times New Roman" w:eastAsia="Times New Roman" w:hAnsi="Times New Roman" w:cs="Times New Roman"/>
                <w:sz w:val="20"/>
                <w:szCs w:val="20"/>
                <w:lang w:eastAsia="cs-CZ"/>
              </w:rPr>
            </w:pPr>
          </w:p>
        </w:tc>
        <w:tc>
          <w:tcPr>
            <w:tcW w:w="766" w:type="dxa"/>
            <w:tcBorders>
              <w:top w:val="nil"/>
              <w:left w:val="nil"/>
              <w:bottom w:val="nil"/>
              <w:right w:val="nil"/>
            </w:tcBorders>
            <w:shd w:val="clear" w:color="auto" w:fill="auto"/>
            <w:noWrap/>
            <w:vAlign w:val="bottom"/>
            <w:hideMark/>
          </w:tcPr>
          <w:p w14:paraId="7062570E" w14:textId="77777777" w:rsidR="00E07FEA" w:rsidRPr="00E07FEA" w:rsidRDefault="00E07FEA" w:rsidP="00E07FEA">
            <w:pPr>
              <w:spacing w:after="0" w:line="240" w:lineRule="auto"/>
              <w:rPr>
                <w:rFonts w:ascii="Times New Roman" w:eastAsia="Times New Roman" w:hAnsi="Times New Roman" w:cs="Times New Roman"/>
                <w:sz w:val="20"/>
                <w:szCs w:val="20"/>
                <w:lang w:eastAsia="cs-CZ"/>
              </w:rPr>
            </w:pPr>
          </w:p>
        </w:tc>
      </w:tr>
      <w:tr w:rsidR="00E07FEA" w:rsidRPr="00E07FEA" w14:paraId="3AC84B68" w14:textId="77777777" w:rsidTr="00E07FEA">
        <w:trPr>
          <w:trHeight w:val="360"/>
        </w:trPr>
        <w:tc>
          <w:tcPr>
            <w:tcW w:w="4395" w:type="dxa"/>
            <w:tcBorders>
              <w:top w:val="nil"/>
              <w:left w:val="nil"/>
              <w:bottom w:val="nil"/>
              <w:right w:val="nil"/>
            </w:tcBorders>
            <w:shd w:val="clear" w:color="auto" w:fill="auto"/>
            <w:noWrap/>
            <w:vAlign w:val="bottom"/>
            <w:hideMark/>
          </w:tcPr>
          <w:p w14:paraId="69A7DB7F" w14:textId="77777777" w:rsidR="00E07FEA" w:rsidRPr="00E07FEA" w:rsidRDefault="00E07FEA" w:rsidP="00E07FEA">
            <w:pPr>
              <w:spacing w:after="0" w:line="240" w:lineRule="auto"/>
              <w:rPr>
                <w:rFonts w:ascii="Times New Roman" w:eastAsia="Times New Roman" w:hAnsi="Times New Roman" w:cs="Times New Roman"/>
                <w:sz w:val="20"/>
                <w:szCs w:val="20"/>
                <w:lang w:eastAsia="cs-CZ"/>
              </w:rPr>
            </w:pPr>
          </w:p>
        </w:tc>
        <w:tc>
          <w:tcPr>
            <w:tcW w:w="1559" w:type="dxa"/>
            <w:tcBorders>
              <w:top w:val="nil"/>
              <w:left w:val="nil"/>
              <w:bottom w:val="nil"/>
              <w:right w:val="nil"/>
            </w:tcBorders>
            <w:shd w:val="clear" w:color="auto" w:fill="auto"/>
            <w:noWrap/>
            <w:vAlign w:val="bottom"/>
            <w:hideMark/>
          </w:tcPr>
          <w:p w14:paraId="679C96AA" w14:textId="77777777" w:rsidR="00E07FEA" w:rsidRPr="00E07FEA" w:rsidRDefault="00E07FEA" w:rsidP="00E07FEA">
            <w:pPr>
              <w:spacing w:after="0" w:line="240" w:lineRule="auto"/>
              <w:rPr>
                <w:rFonts w:ascii="Times New Roman" w:eastAsia="Times New Roman" w:hAnsi="Times New Roman" w:cs="Times New Roman"/>
                <w:sz w:val="20"/>
                <w:szCs w:val="20"/>
                <w:lang w:eastAsia="cs-CZ"/>
              </w:rPr>
            </w:pPr>
          </w:p>
        </w:tc>
        <w:tc>
          <w:tcPr>
            <w:tcW w:w="1843" w:type="dxa"/>
            <w:tcBorders>
              <w:top w:val="nil"/>
              <w:left w:val="nil"/>
              <w:bottom w:val="nil"/>
              <w:right w:val="nil"/>
            </w:tcBorders>
            <w:shd w:val="clear" w:color="auto" w:fill="auto"/>
            <w:noWrap/>
            <w:vAlign w:val="bottom"/>
            <w:hideMark/>
          </w:tcPr>
          <w:p w14:paraId="7D4CD770" w14:textId="77777777" w:rsidR="00E07FEA" w:rsidRPr="00E07FEA" w:rsidRDefault="00E07FEA" w:rsidP="00E07FEA">
            <w:pPr>
              <w:spacing w:after="0" w:line="240" w:lineRule="auto"/>
              <w:rPr>
                <w:rFonts w:ascii="Times New Roman" w:eastAsia="Times New Roman" w:hAnsi="Times New Roman" w:cs="Times New Roman"/>
                <w:sz w:val="20"/>
                <w:szCs w:val="20"/>
                <w:lang w:eastAsia="cs-CZ"/>
              </w:rPr>
            </w:pPr>
          </w:p>
        </w:tc>
        <w:tc>
          <w:tcPr>
            <w:tcW w:w="1842" w:type="dxa"/>
            <w:tcBorders>
              <w:top w:val="nil"/>
              <w:left w:val="nil"/>
              <w:bottom w:val="nil"/>
              <w:right w:val="nil"/>
            </w:tcBorders>
            <w:shd w:val="clear" w:color="auto" w:fill="auto"/>
            <w:noWrap/>
            <w:vAlign w:val="bottom"/>
            <w:hideMark/>
          </w:tcPr>
          <w:p w14:paraId="07F1E22C" w14:textId="77777777" w:rsidR="00E07FEA" w:rsidRPr="00E07FEA" w:rsidRDefault="00E07FEA" w:rsidP="00E07FEA">
            <w:pPr>
              <w:spacing w:after="0" w:line="240" w:lineRule="auto"/>
              <w:rPr>
                <w:rFonts w:ascii="Times New Roman" w:eastAsia="Times New Roman" w:hAnsi="Times New Roman" w:cs="Times New Roman"/>
                <w:sz w:val="20"/>
                <w:szCs w:val="20"/>
                <w:lang w:eastAsia="cs-CZ"/>
              </w:rPr>
            </w:pPr>
          </w:p>
        </w:tc>
        <w:tc>
          <w:tcPr>
            <w:tcW w:w="766" w:type="dxa"/>
            <w:tcBorders>
              <w:top w:val="nil"/>
              <w:left w:val="nil"/>
              <w:bottom w:val="nil"/>
              <w:right w:val="nil"/>
            </w:tcBorders>
            <w:shd w:val="clear" w:color="auto" w:fill="auto"/>
            <w:noWrap/>
            <w:vAlign w:val="bottom"/>
            <w:hideMark/>
          </w:tcPr>
          <w:p w14:paraId="657E5679" w14:textId="77777777" w:rsidR="00E07FEA" w:rsidRPr="00E07FEA" w:rsidRDefault="00E07FEA" w:rsidP="00E07FEA">
            <w:pPr>
              <w:spacing w:after="0" w:line="240" w:lineRule="auto"/>
              <w:jc w:val="right"/>
              <w:rPr>
                <w:rFonts w:ascii="Calibri" w:eastAsia="Times New Roman" w:hAnsi="Calibri" w:cs="Arial"/>
                <w:lang w:eastAsia="cs-CZ"/>
              </w:rPr>
            </w:pPr>
            <w:r w:rsidRPr="00E07FEA">
              <w:rPr>
                <w:rFonts w:ascii="Calibri" w:eastAsia="Times New Roman" w:hAnsi="Calibri" w:cs="Arial"/>
                <w:lang w:eastAsia="cs-CZ"/>
              </w:rPr>
              <w:t>v Kč</w:t>
            </w:r>
          </w:p>
        </w:tc>
      </w:tr>
      <w:tr w:rsidR="00E07FEA" w:rsidRPr="00E07FEA" w14:paraId="2B5ED178" w14:textId="77777777" w:rsidTr="00E07FEA">
        <w:trPr>
          <w:trHeight w:val="960"/>
        </w:trPr>
        <w:tc>
          <w:tcPr>
            <w:tcW w:w="4395" w:type="dxa"/>
            <w:tcBorders>
              <w:top w:val="single" w:sz="8" w:space="0" w:color="auto"/>
              <w:left w:val="single" w:sz="8" w:space="0" w:color="auto"/>
              <w:bottom w:val="single" w:sz="8" w:space="0" w:color="auto"/>
              <w:right w:val="single" w:sz="4" w:space="0" w:color="auto"/>
            </w:tcBorders>
            <w:shd w:val="clear" w:color="000000" w:fill="CCFFFF"/>
            <w:noWrap/>
            <w:vAlign w:val="center"/>
            <w:hideMark/>
          </w:tcPr>
          <w:p w14:paraId="31019A64" w14:textId="77777777" w:rsidR="00E07FEA" w:rsidRPr="00E07FEA" w:rsidRDefault="00E07FEA" w:rsidP="00E07FEA">
            <w:pPr>
              <w:spacing w:after="0" w:line="240" w:lineRule="auto"/>
              <w:jc w:val="center"/>
              <w:rPr>
                <w:rFonts w:ascii="Calibri" w:eastAsia="Times New Roman" w:hAnsi="Calibri" w:cs="Arial"/>
                <w:b/>
                <w:bCs/>
                <w:sz w:val="24"/>
                <w:szCs w:val="24"/>
                <w:lang w:eastAsia="cs-CZ"/>
              </w:rPr>
            </w:pPr>
            <w:r w:rsidRPr="00E07FEA">
              <w:rPr>
                <w:rFonts w:ascii="Calibri" w:eastAsia="Times New Roman" w:hAnsi="Calibri" w:cs="Arial"/>
                <w:b/>
                <w:bCs/>
                <w:sz w:val="24"/>
                <w:szCs w:val="24"/>
                <w:lang w:eastAsia="cs-CZ"/>
              </w:rPr>
              <w:t>Ukazatel</w:t>
            </w:r>
          </w:p>
        </w:tc>
        <w:tc>
          <w:tcPr>
            <w:tcW w:w="1559" w:type="dxa"/>
            <w:tcBorders>
              <w:top w:val="single" w:sz="8" w:space="0" w:color="auto"/>
              <w:left w:val="nil"/>
              <w:bottom w:val="single" w:sz="8" w:space="0" w:color="auto"/>
              <w:right w:val="single" w:sz="4" w:space="0" w:color="auto"/>
            </w:tcBorders>
            <w:shd w:val="clear" w:color="000000" w:fill="CCFFFF"/>
            <w:vAlign w:val="center"/>
            <w:hideMark/>
          </w:tcPr>
          <w:p w14:paraId="258CBE5A" w14:textId="77777777" w:rsidR="00E07FEA" w:rsidRPr="00E07FEA" w:rsidRDefault="00E07FEA" w:rsidP="00E07FEA">
            <w:pPr>
              <w:spacing w:after="0" w:line="240" w:lineRule="auto"/>
              <w:jc w:val="center"/>
              <w:rPr>
                <w:rFonts w:ascii="Calibri" w:eastAsia="Times New Roman" w:hAnsi="Calibri" w:cs="Arial"/>
                <w:b/>
                <w:bCs/>
                <w:sz w:val="24"/>
                <w:szCs w:val="24"/>
                <w:lang w:eastAsia="cs-CZ"/>
              </w:rPr>
            </w:pPr>
            <w:r w:rsidRPr="00E07FEA">
              <w:rPr>
                <w:rFonts w:ascii="Calibri" w:eastAsia="Times New Roman" w:hAnsi="Calibri" w:cs="Arial"/>
                <w:b/>
                <w:bCs/>
                <w:sz w:val="24"/>
                <w:szCs w:val="24"/>
                <w:lang w:eastAsia="cs-CZ"/>
              </w:rPr>
              <w:t>Rozpočet 2021</w:t>
            </w:r>
          </w:p>
        </w:tc>
        <w:tc>
          <w:tcPr>
            <w:tcW w:w="1843" w:type="dxa"/>
            <w:tcBorders>
              <w:top w:val="single" w:sz="8" w:space="0" w:color="auto"/>
              <w:left w:val="nil"/>
              <w:bottom w:val="single" w:sz="8" w:space="0" w:color="auto"/>
              <w:right w:val="single" w:sz="4" w:space="0" w:color="auto"/>
            </w:tcBorders>
            <w:shd w:val="clear" w:color="000000" w:fill="CCFFFF"/>
            <w:vAlign w:val="center"/>
            <w:hideMark/>
          </w:tcPr>
          <w:p w14:paraId="236F5C3D" w14:textId="77777777" w:rsidR="00E07FEA" w:rsidRPr="00E07FEA" w:rsidRDefault="00E07FEA" w:rsidP="00E07FEA">
            <w:pPr>
              <w:spacing w:after="0" w:line="240" w:lineRule="auto"/>
              <w:jc w:val="center"/>
              <w:rPr>
                <w:rFonts w:ascii="Calibri" w:eastAsia="Times New Roman" w:hAnsi="Calibri" w:cs="Arial"/>
                <w:b/>
                <w:bCs/>
                <w:sz w:val="24"/>
                <w:szCs w:val="24"/>
                <w:lang w:eastAsia="cs-CZ"/>
              </w:rPr>
            </w:pPr>
            <w:r w:rsidRPr="00E07FEA">
              <w:rPr>
                <w:rFonts w:ascii="Calibri" w:eastAsia="Times New Roman" w:hAnsi="Calibri" w:cs="Arial"/>
                <w:b/>
                <w:bCs/>
                <w:sz w:val="24"/>
                <w:szCs w:val="24"/>
                <w:lang w:eastAsia="cs-CZ"/>
              </w:rPr>
              <w:t>Rozpočet                    po úpravě</w:t>
            </w:r>
          </w:p>
        </w:tc>
        <w:tc>
          <w:tcPr>
            <w:tcW w:w="1842" w:type="dxa"/>
            <w:tcBorders>
              <w:top w:val="single" w:sz="8" w:space="0" w:color="auto"/>
              <w:left w:val="nil"/>
              <w:bottom w:val="single" w:sz="8" w:space="0" w:color="auto"/>
              <w:right w:val="single" w:sz="4" w:space="0" w:color="auto"/>
            </w:tcBorders>
            <w:shd w:val="clear" w:color="000000" w:fill="CCFFFF"/>
            <w:noWrap/>
            <w:vAlign w:val="center"/>
            <w:hideMark/>
          </w:tcPr>
          <w:p w14:paraId="023245F6" w14:textId="77777777" w:rsidR="00E07FEA" w:rsidRPr="00E07FEA" w:rsidRDefault="00E07FEA" w:rsidP="00E07FEA">
            <w:pPr>
              <w:spacing w:after="0" w:line="240" w:lineRule="auto"/>
              <w:jc w:val="center"/>
              <w:rPr>
                <w:rFonts w:ascii="Calibri" w:eastAsia="Times New Roman" w:hAnsi="Calibri" w:cs="Arial"/>
                <w:b/>
                <w:bCs/>
                <w:sz w:val="24"/>
                <w:szCs w:val="24"/>
                <w:lang w:eastAsia="cs-CZ"/>
              </w:rPr>
            </w:pPr>
            <w:r w:rsidRPr="00E07FEA">
              <w:rPr>
                <w:rFonts w:ascii="Calibri" w:eastAsia="Times New Roman" w:hAnsi="Calibri" w:cs="Arial"/>
                <w:b/>
                <w:bCs/>
                <w:sz w:val="24"/>
                <w:szCs w:val="24"/>
                <w:lang w:eastAsia="cs-CZ"/>
              </w:rPr>
              <w:t xml:space="preserve">Skutečnost </w:t>
            </w:r>
          </w:p>
        </w:tc>
        <w:tc>
          <w:tcPr>
            <w:tcW w:w="766" w:type="dxa"/>
            <w:tcBorders>
              <w:top w:val="single" w:sz="8" w:space="0" w:color="auto"/>
              <w:left w:val="nil"/>
              <w:bottom w:val="single" w:sz="8" w:space="0" w:color="auto"/>
              <w:right w:val="single" w:sz="8" w:space="0" w:color="auto"/>
            </w:tcBorders>
            <w:shd w:val="clear" w:color="000000" w:fill="CCFFFF"/>
            <w:vAlign w:val="center"/>
            <w:hideMark/>
          </w:tcPr>
          <w:p w14:paraId="5DB2B1E0" w14:textId="77777777" w:rsidR="00E07FEA" w:rsidRPr="00E07FEA" w:rsidRDefault="00E07FEA" w:rsidP="00E07FEA">
            <w:pPr>
              <w:spacing w:after="0" w:line="240" w:lineRule="auto"/>
              <w:jc w:val="center"/>
              <w:rPr>
                <w:rFonts w:ascii="Calibri" w:eastAsia="Times New Roman" w:hAnsi="Calibri" w:cs="Arial"/>
                <w:b/>
                <w:bCs/>
                <w:sz w:val="24"/>
                <w:szCs w:val="24"/>
                <w:lang w:eastAsia="cs-CZ"/>
              </w:rPr>
            </w:pPr>
            <w:r w:rsidRPr="00E07FEA">
              <w:rPr>
                <w:rFonts w:ascii="Calibri" w:eastAsia="Times New Roman" w:hAnsi="Calibri" w:cs="Arial"/>
                <w:b/>
                <w:bCs/>
                <w:sz w:val="24"/>
                <w:szCs w:val="24"/>
                <w:lang w:eastAsia="cs-CZ"/>
              </w:rPr>
              <w:t>% plnění</w:t>
            </w:r>
          </w:p>
        </w:tc>
      </w:tr>
      <w:tr w:rsidR="00E07FEA" w:rsidRPr="00E07FEA" w14:paraId="42923626" w14:textId="77777777" w:rsidTr="00E07FEA">
        <w:trPr>
          <w:trHeight w:val="405"/>
        </w:trPr>
        <w:tc>
          <w:tcPr>
            <w:tcW w:w="4395"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6F96B312" w14:textId="77777777" w:rsidR="00E07FEA" w:rsidRPr="00E07FEA" w:rsidRDefault="00E07FEA" w:rsidP="00E07FEA">
            <w:pPr>
              <w:spacing w:after="0" w:line="240" w:lineRule="auto"/>
              <w:rPr>
                <w:rFonts w:ascii="Calibri" w:eastAsia="Times New Roman" w:hAnsi="Calibri" w:cs="Arial"/>
                <w:sz w:val="20"/>
                <w:szCs w:val="20"/>
                <w:lang w:eastAsia="cs-CZ"/>
              </w:rPr>
            </w:pPr>
            <w:r w:rsidRPr="00E07FEA">
              <w:rPr>
                <w:rFonts w:ascii="Calibri" w:eastAsia="Times New Roman" w:hAnsi="Calibri" w:cs="Arial"/>
                <w:sz w:val="20"/>
                <w:szCs w:val="20"/>
                <w:lang w:eastAsia="cs-CZ"/>
              </w:rPr>
              <w:t>Běžné výdaje kapitol</w:t>
            </w:r>
          </w:p>
        </w:tc>
        <w:tc>
          <w:tcPr>
            <w:tcW w:w="1559" w:type="dxa"/>
            <w:tcBorders>
              <w:top w:val="single" w:sz="4" w:space="0" w:color="auto"/>
              <w:left w:val="nil"/>
              <w:bottom w:val="single" w:sz="4" w:space="0" w:color="auto"/>
              <w:right w:val="nil"/>
            </w:tcBorders>
            <w:shd w:val="clear" w:color="auto" w:fill="auto"/>
            <w:noWrap/>
            <w:vAlign w:val="bottom"/>
            <w:hideMark/>
          </w:tcPr>
          <w:p w14:paraId="0360A883"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7 849 522 000</w:t>
            </w:r>
          </w:p>
        </w:tc>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2E2D5D84"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9 389 795 840,20</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1D696613"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9 068 835 724,34</w:t>
            </w:r>
          </w:p>
        </w:tc>
        <w:tc>
          <w:tcPr>
            <w:tcW w:w="766" w:type="dxa"/>
            <w:tcBorders>
              <w:top w:val="single" w:sz="4" w:space="0" w:color="auto"/>
              <w:left w:val="nil"/>
              <w:bottom w:val="single" w:sz="4" w:space="0" w:color="auto"/>
              <w:right w:val="single" w:sz="8" w:space="0" w:color="auto"/>
            </w:tcBorders>
            <w:shd w:val="clear" w:color="auto" w:fill="auto"/>
            <w:noWrap/>
            <w:vAlign w:val="bottom"/>
            <w:hideMark/>
          </w:tcPr>
          <w:p w14:paraId="6F7DA790"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96,6</w:t>
            </w:r>
          </w:p>
        </w:tc>
      </w:tr>
      <w:tr w:rsidR="00E07FEA" w:rsidRPr="00E07FEA" w14:paraId="2D8DCF0D" w14:textId="77777777" w:rsidTr="00E07FEA">
        <w:trPr>
          <w:trHeight w:val="520"/>
        </w:trPr>
        <w:tc>
          <w:tcPr>
            <w:tcW w:w="4395" w:type="dxa"/>
            <w:tcBorders>
              <w:top w:val="nil"/>
              <w:left w:val="single" w:sz="8" w:space="0" w:color="auto"/>
              <w:bottom w:val="single" w:sz="4" w:space="0" w:color="auto"/>
              <w:right w:val="nil"/>
            </w:tcBorders>
            <w:shd w:val="clear" w:color="auto" w:fill="auto"/>
            <w:vAlign w:val="bottom"/>
            <w:hideMark/>
          </w:tcPr>
          <w:p w14:paraId="7E342CF0" w14:textId="77777777" w:rsidR="00E07FEA" w:rsidRPr="00E07FEA" w:rsidRDefault="00E07FEA" w:rsidP="00E07FEA">
            <w:pPr>
              <w:spacing w:after="0" w:line="240" w:lineRule="auto"/>
              <w:rPr>
                <w:rFonts w:ascii="Calibri" w:eastAsia="Times New Roman" w:hAnsi="Calibri" w:cs="Arial"/>
                <w:sz w:val="20"/>
                <w:szCs w:val="20"/>
                <w:lang w:eastAsia="cs-CZ"/>
              </w:rPr>
            </w:pPr>
            <w:r w:rsidRPr="00E07FEA">
              <w:rPr>
                <w:rFonts w:ascii="Calibri" w:eastAsia="Times New Roman" w:hAnsi="Calibri" w:cs="Arial"/>
                <w:sz w:val="20"/>
                <w:szCs w:val="20"/>
                <w:lang w:eastAsia="cs-CZ"/>
              </w:rPr>
              <w:t>Středočeské Fondy - grantové a dotační výdaje kapitol</w:t>
            </w:r>
          </w:p>
        </w:tc>
        <w:tc>
          <w:tcPr>
            <w:tcW w:w="1559" w:type="dxa"/>
            <w:tcBorders>
              <w:top w:val="nil"/>
              <w:left w:val="single" w:sz="4" w:space="0" w:color="auto"/>
              <w:bottom w:val="single" w:sz="4" w:space="0" w:color="auto"/>
              <w:right w:val="nil"/>
            </w:tcBorders>
            <w:shd w:val="clear" w:color="auto" w:fill="auto"/>
            <w:noWrap/>
            <w:vAlign w:val="bottom"/>
            <w:hideMark/>
          </w:tcPr>
          <w:p w14:paraId="32ACEAED"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70 000 000</w:t>
            </w:r>
          </w:p>
        </w:tc>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2EBD43C4"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871 204 921,50</w:t>
            </w:r>
          </w:p>
        </w:tc>
        <w:tc>
          <w:tcPr>
            <w:tcW w:w="1842" w:type="dxa"/>
            <w:tcBorders>
              <w:top w:val="nil"/>
              <w:left w:val="nil"/>
              <w:bottom w:val="nil"/>
              <w:right w:val="single" w:sz="4" w:space="0" w:color="auto"/>
            </w:tcBorders>
            <w:shd w:val="clear" w:color="auto" w:fill="auto"/>
            <w:noWrap/>
            <w:vAlign w:val="bottom"/>
            <w:hideMark/>
          </w:tcPr>
          <w:p w14:paraId="2DDD7C7D"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559 467 975,90</w:t>
            </w:r>
          </w:p>
        </w:tc>
        <w:tc>
          <w:tcPr>
            <w:tcW w:w="766" w:type="dxa"/>
            <w:tcBorders>
              <w:top w:val="nil"/>
              <w:left w:val="nil"/>
              <w:bottom w:val="single" w:sz="4" w:space="0" w:color="auto"/>
              <w:right w:val="single" w:sz="8" w:space="0" w:color="auto"/>
            </w:tcBorders>
            <w:shd w:val="clear" w:color="auto" w:fill="auto"/>
            <w:noWrap/>
            <w:vAlign w:val="bottom"/>
            <w:hideMark/>
          </w:tcPr>
          <w:p w14:paraId="24FD896D"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64,2</w:t>
            </w:r>
          </w:p>
        </w:tc>
      </w:tr>
      <w:tr w:rsidR="00E07FEA" w:rsidRPr="00E07FEA" w14:paraId="4A085A1C" w14:textId="77777777" w:rsidTr="00E07FEA">
        <w:trPr>
          <w:trHeight w:val="1300"/>
        </w:trPr>
        <w:tc>
          <w:tcPr>
            <w:tcW w:w="4395" w:type="dxa"/>
            <w:tcBorders>
              <w:top w:val="nil"/>
              <w:left w:val="single" w:sz="8" w:space="0" w:color="auto"/>
              <w:bottom w:val="single" w:sz="4" w:space="0" w:color="auto"/>
              <w:right w:val="nil"/>
            </w:tcBorders>
            <w:shd w:val="clear" w:color="auto" w:fill="auto"/>
            <w:vAlign w:val="center"/>
            <w:hideMark/>
          </w:tcPr>
          <w:p w14:paraId="344CDEE5" w14:textId="77777777" w:rsidR="00E07FEA" w:rsidRPr="00E07FEA" w:rsidRDefault="00E07FEA" w:rsidP="00E07FEA">
            <w:pPr>
              <w:spacing w:after="0" w:line="240" w:lineRule="auto"/>
              <w:rPr>
                <w:rFonts w:ascii="Calibri" w:eastAsia="Times New Roman" w:hAnsi="Calibri" w:cs="Arial"/>
                <w:sz w:val="20"/>
                <w:szCs w:val="20"/>
                <w:lang w:eastAsia="cs-CZ"/>
              </w:rPr>
            </w:pPr>
            <w:r w:rsidRPr="00E07FEA">
              <w:rPr>
                <w:rFonts w:ascii="Calibri" w:eastAsia="Times New Roman" w:hAnsi="Calibri" w:cs="Arial"/>
                <w:sz w:val="20"/>
                <w:szCs w:val="20"/>
                <w:lang w:eastAsia="cs-CZ"/>
              </w:rPr>
              <w:t xml:space="preserve">Zesmluvněné dotace na vodohospodářskou infrastrukturu vyplácené prostřednictvím Středočeského Fondu životního prostředí a zemědělství - financované z vybraných poplatků za odebrané množství podzemní vody </w:t>
            </w:r>
          </w:p>
        </w:tc>
        <w:tc>
          <w:tcPr>
            <w:tcW w:w="1559" w:type="dxa"/>
            <w:tcBorders>
              <w:top w:val="nil"/>
              <w:left w:val="single" w:sz="4" w:space="0" w:color="auto"/>
              <w:bottom w:val="single" w:sz="4" w:space="0" w:color="auto"/>
              <w:right w:val="nil"/>
            </w:tcBorders>
            <w:shd w:val="clear" w:color="auto" w:fill="auto"/>
            <w:noWrap/>
            <w:vAlign w:val="bottom"/>
            <w:hideMark/>
          </w:tcPr>
          <w:p w14:paraId="040FC160"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0</w:t>
            </w:r>
          </w:p>
        </w:tc>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6B7A2C9B"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7 897 500,00</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490E2102"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6 458 134,00</w:t>
            </w:r>
          </w:p>
        </w:tc>
        <w:tc>
          <w:tcPr>
            <w:tcW w:w="766" w:type="dxa"/>
            <w:tcBorders>
              <w:top w:val="nil"/>
              <w:left w:val="nil"/>
              <w:bottom w:val="single" w:sz="4" w:space="0" w:color="auto"/>
              <w:right w:val="single" w:sz="8" w:space="0" w:color="auto"/>
            </w:tcBorders>
            <w:shd w:val="clear" w:color="auto" w:fill="auto"/>
            <w:noWrap/>
            <w:vAlign w:val="bottom"/>
            <w:hideMark/>
          </w:tcPr>
          <w:p w14:paraId="3E151661"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81,8</w:t>
            </w:r>
          </w:p>
        </w:tc>
      </w:tr>
      <w:tr w:rsidR="00E07FEA" w:rsidRPr="00E07FEA" w14:paraId="5E5EF4D5" w14:textId="77777777" w:rsidTr="00E07FEA">
        <w:trPr>
          <w:trHeight w:val="405"/>
        </w:trPr>
        <w:tc>
          <w:tcPr>
            <w:tcW w:w="4395" w:type="dxa"/>
            <w:tcBorders>
              <w:top w:val="nil"/>
              <w:left w:val="single" w:sz="8" w:space="0" w:color="auto"/>
              <w:bottom w:val="single" w:sz="4" w:space="0" w:color="auto"/>
              <w:right w:val="nil"/>
            </w:tcBorders>
            <w:shd w:val="clear" w:color="auto" w:fill="auto"/>
            <w:vAlign w:val="bottom"/>
            <w:hideMark/>
          </w:tcPr>
          <w:p w14:paraId="3D75B9F7" w14:textId="77777777" w:rsidR="00E07FEA" w:rsidRPr="00E07FEA" w:rsidRDefault="00E07FEA" w:rsidP="00E07FEA">
            <w:pPr>
              <w:spacing w:after="0" w:line="240" w:lineRule="auto"/>
              <w:rPr>
                <w:rFonts w:ascii="Calibri" w:eastAsia="Times New Roman" w:hAnsi="Calibri" w:cs="Arial"/>
                <w:sz w:val="20"/>
                <w:szCs w:val="20"/>
                <w:lang w:eastAsia="cs-CZ"/>
              </w:rPr>
            </w:pPr>
            <w:r w:rsidRPr="00E07FEA">
              <w:rPr>
                <w:rFonts w:ascii="Calibri" w:eastAsia="Times New Roman" w:hAnsi="Calibri" w:cs="Arial"/>
                <w:sz w:val="20"/>
                <w:szCs w:val="20"/>
                <w:lang w:eastAsia="cs-CZ"/>
              </w:rPr>
              <w:t>Havarijní fond pro ochranu jakosti vod SK</w:t>
            </w:r>
          </w:p>
        </w:tc>
        <w:tc>
          <w:tcPr>
            <w:tcW w:w="1559" w:type="dxa"/>
            <w:tcBorders>
              <w:top w:val="nil"/>
              <w:left w:val="single" w:sz="4" w:space="0" w:color="auto"/>
              <w:bottom w:val="single" w:sz="4" w:space="0" w:color="auto"/>
              <w:right w:val="nil"/>
            </w:tcBorders>
            <w:shd w:val="clear" w:color="auto" w:fill="auto"/>
            <w:noWrap/>
            <w:vAlign w:val="bottom"/>
            <w:hideMark/>
          </w:tcPr>
          <w:p w14:paraId="686C11BE"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0</w:t>
            </w:r>
          </w:p>
        </w:tc>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14F19E23"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25 549 936,66</w:t>
            </w:r>
          </w:p>
        </w:tc>
        <w:tc>
          <w:tcPr>
            <w:tcW w:w="1842" w:type="dxa"/>
            <w:tcBorders>
              <w:top w:val="nil"/>
              <w:left w:val="nil"/>
              <w:bottom w:val="single" w:sz="4" w:space="0" w:color="auto"/>
              <w:right w:val="single" w:sz="4" w:space="0" w:color="auto"/>
            </w:tcBorders>
            <w:shd w:val="clear" w:color="auto" w:fill="auto"/>
            <w:noWrap/>
            <w:vAlign w:val="bottom"/>
            <w:hideMark/>
          </w:tcPr>
          <w:p w14:paraId="144C5EB6"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14 622 558,25</w:t>
            </w:r>
          </w:p>
        </w:tc>
        <w:tc>
          <w:tcPr>
            <w:tcW w:w="766" w:type="dxa"/>
            <w:tcBorders>
              <w:top w:val="nil"/>
              <w:left w:val="nil"/>
              <w:bottom w:val="single" w:sz="4" w:space="0" w:color="auto"/>
              <w:right w:val="single" w:sz="8" w:space="0" w:color="auto"/>
            </w:tcBorders>
            <w:shd w:val="clear" w:color="auto" w:fill="auto"/>
            <w:noWrap/>
            <w:vAlign w:val="bottom"/>
            <w:hideMark/>
          </w:tcPr>
          <w:p w14:paraId="50DA3638"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57,2</w:t>
            </w:r>
          </w:p>
        </w:tc>
      </w:tr>
      <w:tr w:rsidR="00E07FEA" w:rsidRPr="00E07FEA" w14:paraId="02AB4C10" w14:textId="77777777" w:rsidTr="00E07FEA">
        <w:trPr>
          <w:trHeight w:val="405"/>
        </w:trPr>
        <w:tc>
          <w:tcPr>
            <w:tcW w:w="4395" w:type="dxa"/>
            <w:tcBorders>
              <w:top w:val="nil"/>
              <w:left w:val="single" w:sz="8" w:space="0" w:color="auto"/>
              <w:bottom w:val="single" w:sz="4" w:space="0" w:color="auto"/>
              <w:right w:val="nil"/>
            </w:tcBorders>
            <w:shd w:val="clear" w:color="auto" w:fill="auto"/>
            <w:noWrap/>
            <w:vAlign w:val="bottom"/>
            <w:hideMark/>
          </w:tcPr>
          <w:p w14:paraId="7BE37E32" w14:textId="77777777" w:rsidR="00E07FEA" w:rsidRPr="00E07FEA" w:rsidRDefault="00E07FEA" w:rsidP="00E07FEA">
            <w:pPr>
              <w:spacing w:after="0" w:line="240" w:lineRule="auto"/>
              <w:rPr>
                <w:rFonts w:ascii="Calibri" w:eastAsia="Times New Roman" w:hAnsi="Calibri" w:cs="Arial"/>
                <w:sz w:val="20"/>
                <w:szCs w:val="20"/>
                <w:lang w:eastAsia="cs-CZ"/>
              </w:rPr>
            </w:pPr>
            <w:r w:rsidRPr="00E07FEA">
              <w:rPr>
                <w:rFonts w:ascii="Calibri" w:eastAsia="Times New Roman" w:hAnsi="Calibri" w:cs="Arial"/>
                <w:sz w:val="20"/>
                <w:szCs w:val="20"/>
                <w:lang w:eastAsia="cs-CZ"/>
              </w:rPr>
              <w:t>Výdaje na havárie</w:t>
            </w:r>
          </w:p>
        </w:tc>
        <w:tc>
          <w:tcPr>
            <w:tcW w:w="1559" w:type="dxa"/>
            <w:tcBorders>
              <w:top w:val="nil"/>
              <w:left w:val="single" w:sz="4" w:space="0" w:color="auto"/>
              <w:bottom w:val="single" w:sz="4" w:space="0" w:color="auto"/>
              <w:right w:val="nil"/>
            </w:tcBorders>
            <w:shd w:val="clear" w:color="auto" w:fill="auto"/>
            <w:noWrap/>
            <w:vAlign w:val="bottom"/>
            <w:hideMark/>
          </w:tcPr>
          <w:p w14:paraId="616D36CD"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20 000 000</w:t>
            </w:r>
          </w:p>
        </w:tc>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35DC5361"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32 269 118,95</w:t>
            </w:r>
          </w:p>
        </w:tc>
        <w:tc>
          <w:tcPr>
            <w:tcW w:w="1842" w:type="dxa"/>
            <w:tcBorders>
              <w:top w:val="nil"/>
              <w:left w:val="nil"/>
              <w:bottom w:val="single" w:sz="4" w:space="0" w:color="auto"/>
              <w:right w:val="single" w:sz="4" w:space="0" w:color="auto"/>
            </w:tcBorders>
            <w:shd w:val="clear" w:color="auto" w:fill="auto"/>
            <w:noWrap/>
            <w:vAlign w:val="bottom"/>
            <w:hideMark/>
          </w:tcPr>
          <w:p w14:paraId="60778235"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598 010,00</w:t>
            </w:r>
          </w:p>
        </w:tc>
        <w:tc>
          <w:tcPr>
            <w:tcW w:w="766" w:type="dxa"/>
            <w:tcBorders>
              <w:top w:val="nil"/>
              <w:left w:val="nil"/>
              <w:bottom w:val="single" w:sz="4" w:space="0" w:color="auto"/>
              <w:right w:val="single" w:sz="8" w:space="0" w:color="auto"/>
            </w:tcBorders>
            <w:shd w:val="clear" w:color="auto" w:fill="auto"/>
            <w:noWrap/>
            <w:vAlign w:val="bottom"/>
            <w:hideMark/>
          </w:tcPr>
          <w:p w14:paraId="63CB2084"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1,9</w:t>
            </w:r>
          </w:p>
        </w:tc>
      </w:tr>
      <w:tr w:rsidR="00E07FEA" w:rsidRPr="00E07FEA" w14:paraId="6266903B" w14:textId="77777777" w:rsidTr="00E07FEA">
        <w:trPr>
          <w:trHeight w:val="780"/>
        </w:trPr>
        <w:tc>
          <w:tcPr>
            <w:tcW w:w="4395" w:type="dxa"/>
            <w:tcBorders>
              <w:top w:val="nil"/>
              <w:left w:val="single" w:sz="8" w:space="0" w:color="auto"/>
              <w:bottom w:val="single" w:sz="4" w:space="0" w:color="auto"/>
              <w:right w:val="nil"/>
            </w:tcBorders>
            <w:shd w:val="clear" w:color="auto" w:fill="auto"/>
            <w:vAlign w:val="center"/>
            <w:hideMark/>
          </w:tcPr>
          <w:p w14:paraId="0091A8B4" w14:textId="77777777" w:rsidR="00E07FEA" w:rsidRPr="00E07FEA" w:rsidRDefault="00E07FEA" w:rsidP="00E07FEA">
            <w:pPr>
              <w:spacing w:after="0" w:line="240" w:lineRule="auto"/>
              <w:rPr>
                <w:rFonts w:ascii="Calibri" w:eastAsia="Times New Roman" w:hAnsi="Calibri" w:cs="Arial"/>
                <w:sz w:val="20"/>
                <w:szCs w:val="20"/>
                <w:lang w:eastAsia="cs-CZ"/>
              </w:rPr>
            </w:pPr>
            <w:r w:rsidRPr="00E07FEA">
              <w:rPr>
                <w:rFonts w:ascii="Calibri" w:eastAsia="Times New Roman" w:hAnsi="Calibri" w:cs="Arial"/>
                <w:sz w:val="20"/>
                <w:szCs w:val="20"/>
                <w:lang w:eastAsia="cs-CZ"/>
              </w:rPr>
              <w:t>Výdaje na reprodukci majetku příspěvkových organizací (financované z vybraných příjmů z pronájmu)</w:t>
            </w:r>
          </w:p>
        </w:tc>
        <w:tc>
          <w:tcPr>
            <w:tcW w:w="1559" w:type="dxa"/>
            <w:tcBorders>
              <w:top w:val="nil"/>
              <w:left w:val="single" w:sz="4" w:space="0" w:color="auto"/>
              <w:bottom w:val="single" w:sz="4" w:space="0" w:color="auto"/>
              <w:right w:val="nil"/>
            </w:tcBorders>
            <w:shd w:val="clear" w:color="auto" w:fill="auto"/>
            <w:noWrap/>
            <w:vAlign w:val="bottom"/>
            <w:hideMark/>
          </w:tcPr>
          <w:p w14:paraId="6F01BF48"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46 899 000</w:t>
            </w:r>
          </w:p>
        </w:tc>
        <w:tc>
          <w:tcPr>
            <w:tcW w:w="1843" w:type="dxa"/>
            <w:tcBorders>
              <w:top w:val="nil"/>
              <w:left w:val="single" w:sz="4" w:space="0" w:color="auto"/>
              <w:bottom w:val="nil"/>
              <w:right w:val="single" w:sz="4" w:space="0" w:color="auto"/>
            </w:tcBorders>
            <w:shd w:val="clear" w:color="auto" w:fill="auto"/>
            <w:noWrap/>
            <w:vAlign w:val="bottom"/>
            <w:hideMark/>
          </w:tcPr>
          <w:p w14:paraId="31141F58"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68 752 873,91</w:t>
            </w:r>
          </w:p>
        </w:tc>
        <w:tc>
          <w:tcPr>
            <w:tcW w:w="1842" w:type="dxa"/>
            <w:tcBorders>
              <w:top w:val="nil"/>
              <w:left w:val="nil"/>
              <w:bottom w:val="single" w:sz="4" w:space="0" w:color="auto"/>
              <w:right w:val="single" w:sz="4" w:space="0" w:color="auto"/>
            </w:tcBorders>
            <w:shd w:val="clear" w:color="auto" w:fill="auto"/>
            <w:noWrap/>
            <w:vAlign w:val="bottom"/>
            <w:hideMark/>
          </w:tcPr>
          <w:p w14:paraId="6C0332E1"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64 820 793,17</w:t>
            </w:r>
          </w:p>
        </w:tc>
        <w:tc>
          <w:tcPr>
            <w:tcW w:w="766" w:type="dxa"/>
            <w:tcBorders>
              <w:top w:val="nil"/>
              <w:left w:val="nil"/>
              <w:bottom w:val="single" w:sz="4" w:space="0" w:color="auto"/>
              <w:right w:val="single" w:sz="8" w:space="0" w:color="auto"/>
            </w:tcBorders>
            <w:shd w:val="clear" w:color="auto" w:fill="auto"/>
            <w:noWrap/>
            <w:vAlign w:val="bottom"/>
            <w:hideMark/>
          </w:tcPr>
          <w:p w14:paraId="51C3DF9E"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94,3</w:t>
            </w:r>
          </w:p>
        </w:tc>
      </w:tr>
      <w:tr w:rsidR="00E07FEA" w:rsidRPr="00E07FEA" w14:paraId="7C55248E" w14:textId="77777777" w:rsidTr="00E07FEA">
        <w:trPr>
          <w:trHeight w:val="780"/>
        </w:trPr>
        <w:tc>
          <w:tcPr>
            <w:tcW w:w="4395" w:type="dxa"/>
            <w:tcBorders>
              <w:top w:val="nil"/>
              <w:left w:val="single" w:sz="8" w:space="0" w:color="auto"/>
              <w:bottom w:val="single" w:sz="4" w:space="0" w:color="auto"/>
              <w:right w:val="nil"/>
            </w:tcBorders>
            <w:shd w:val="clear" w:color="auto" w:fill="auto"/>
            <w:vAlign w:val="center"/>
            <w:hideMark/>
          </w:tcPr>
          <w:p w14:paraId="13B80D7D" w14:textId="77777777" w:rsidR="00E07FEA" w:rsidRPr="00E07FEA" w:rsidRDefault="00E07FEA" w:rsidP="00E07FEA">
            <w:pPr>
              <w:spacing w:after="0" w:line="240" w:lineRule="auto"/>
              <w:rPr>
                <w:rFonts w:ascii="Calibri" w:eastAsia="Times New Roman" w:hAnsi="Calibri" w:cs="Arial"/>
                <w:sz w:val="20"/>
                <w:szCs w:val="20"/>
                <w:lang w:eastAsia="cs-CZ"/>
              </w:rPr>
            </w:pPr>
            <w:r w:rsidRPr="00E07FEA">
              <w:rPr>
                <w:rFonts w:ascii="Calibri" w:eastAsia="Times New Roman" w:hAnsi="Calibri" w:cs="Arial"/>
                <w:sz w:val="20"/>
                <w:szCs w:val="20"/>
                <w:lang w:eastAsia="cs-CZ"/>
              </w:rPr>
              <w:t>Kapitálové (investiční) výdaje v jednotlivých kapitolách (bez prostředků na krytí Zásobníku investic)</w:t>
            </w:r>
          </w:p>
        </w:tc>
        <w:tc>
          <w:tcPr>
            <w:tcW w:w="1559" w:type="dxa"/>
            <w:tcBorders>
              <w:top w:val="nil"/>
              <w:left w:val="single" w:sz="4" w:space="0" w:color="auto"/>
              <w:bottom w:val="single" w:sz="4" w:space="0" w:color="auto"/>
              <w:right w:val="nil"/>
            </w:tcBorders>
            <w:shd w:val="clear" w:color="auto" w:fill="auto"/>
            <w:noWrap/>
            <w:vAlign w:val="bottom"/>
            <w:hideMark/>
          </w:tcPr>
          <w:p w14:paraId="16EA3706"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4DA704"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182 082 393,43</w:t>
            </w:r>
          </w:p>
        </w:tc>
        <w:tc>
          <w:tcPr>
            <w:tcW w:w="1842" w:type="dxa"/>
            <w:tcBorders>
              <w:top w:val="nil"/>
              <w:left w:val="nil"/>
              <w:bottom w:val="single" w:sz="4" w:space="0" w:color="auto"/>
              <w:right w:val="single" w:sz="4" w:space="0" w:color="auto"/>
            </w:tcBorders>
            <w:shd w:val="clear" w:color="auto" w:fill="auto"/>
            <w:noWrap/>
            <w:vAlign w:val="bottom"/>
            <w:hideMark/>
          </w:tcPr>
          <w:p w14:paraId="680D0304"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160 137 896,19</w:t>
            </w:r>
          </w:p>
        </w:tc>
        <w:tc>
          <w:tcPr>
            <w:tcW w:w="766" w:type="dxa"/>
            <w:tcBorders>
              <w:top w:val="nil"/>
              <w:left w:val="nil"/>
              <w:bottom w:val="single" w:sz="4" w:space="0" w:color="auto"/>
              <w:right w:val="single" w:sz="8" w:space="0" w:color="auto"/>
            </w:tcBorders>
            <w:shd w:val="clear" w:color="auto" w:fill="auto"/>
            <w:noWrap/>
            <w:vAlign w:val="bottom"/>
            <w:hideMark/>
          </w:tcPr>
          <w:p w14:paraId="5639A3FE"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87,9</w:t>
            </w:r>
          </w:p>
        </w:tc>
      </w:tr>
      <w:tr w:rsidR="00E07FEA" w:rsidRPr="00E07FEA" w14:paraId="68D65B2E" w14:textId="77777777" w:rsidTr="00E07FEA">
        <w:trPr>
          <w:trHeight w:val="520"/>
        </w:trPr>
        <w:tc>
          <w:tcPr>
            <w:tcW w:w="4395" w:type="dxa"/>
            <w:tcBorders>
              <w:top w:val="nil"/>
              <w:left w:val="single" w:sz="8" w:space="0" w:color="auto"/>
              <w:bottom w:val="single" w:sz="4" w:space="0" w:color="auto"/>
              <w:right w:val="nil"/>
            </w:tcBorders>
            <w:shd w:val="clear" w:color="auto" w:fill="auto"/>
            <w:vAlign w:val="center"/>
            <w:hideMark/>
          </w:tcPr>
          <w:p w14:paraId="69686141" w14:textId="77777777" w:rsidR="00E07FEA" w:rsidRPr="00E07FEA" w:rsidRDefault="00E07FEA" w:rsidP="00E07FEA">
            <w:pPr>
              <w:spacing w:after="0" w:line="240" w:lineRule="auto"/>
              <w:rPr>
                <w:rFonts w:ascii="Calibri" w:eastAsia="Times New Roman" w:hAnsi="Calibri" w:cs="Arial"/>
                <w:sz w:val="20"/>
                <w:szCs w:val="20"/>
                <w:lang w:eastAsia="cs-CZ"/>
              </w:rPr>
            </w:pPr>
            <w:r w:rsidRPr="00E07FEA">
              <w:rPr>
                <w:rFonts w:ascii="Calibri" w:eastAsia="Times New Roman" w:hAnsi="Calibri" w:cs="Arial"/>
                <w:sz w:val="20"/>
                <w:szCs w:val="20"/>
                <w:lang w:eastAsia="cs-CZ"/>
              </w:rPr>
              <w:t>Kapitálové (investiční) výdaje na kapitole 23 - Ostatní (prostředky na krytí Zásobníku investic)</w:t>
            </w:r>
          </w:p>
        </w:tc>
        <w:tc>
          <w:tcPr>
            <w:tcW w:w="1559" w:type="dxa"/>
            <w:tcBorders>
              <w:top w:val="nil"/>
              <w:left w:val="single" w:sz="4" w:space="0" w:color="auto"/>
              <w:bottom w:val="single" w:sz="4" w:space="0" w:color="auto"/>
              <w:right w:val="nil"/>
            </w:tcBorders>
            <w:shd w:val="clear" w:color="auto" w:fill="auto"/>
            <w:noWrap/>
            <w:vAlign w:val="bottom"/>
            <w:hideMark/>
          </w:tcPr>
          <w:p w14:paraId="6467FC9D"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0</w:t>
            </w:r>
          </w:p>
        </w:tc>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0452F27F"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0,00</w:t>
            </w:r>
          </w:p>
        </w:tc>
        <w:tc>
          <w:tcPr>
            <w:tcW w:w="1842" w:type="dxa"/>
            <w:tcBorders>
              <w:top w:val="nil"/>
              <w:left w:val="nil"/>
              <w:bottom w:val="single" w:sz="4" w:space="0" w:color="auto"/>
              <w:right w:val="single" w:sz="4" w:space="0" w:color="auto"/>
            </w:tcBorders>
            <w:shd w:val="clear" w:color="auto" w:fill="auto"/>
            <w:noWrap/>
            <w:vAlign w:val="bottom"/>
            <w:hideMark/>
          </w:tcPr>
          <w:p w14:paraId="7D2DB558"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0,00</w:t>
            </w:r>
          </w:p>
        </w:tc>
        <w:tc>
          <w:tcPr>
            <w:tcW w:w="766" w:type="dxa"/>
            <w:tcBorders>
              <w:top w:val="nil"/>
              <w:left w:val="nil"/>
              <w:bottom w:val="single" w:sz="4" w:space="0" w:color="auto"/>
              <w:right w:val="single" w:sz="8" w:space="0" w:color="auto"/>
            </w:tcBorders>
            <w:shd w:val="clear" w:color="auto" w:fill="auto"/>
            <w:noWrap/>
            <w:vAlign w:val="bottom"/>
            <w:hideMark/>
          </w:tcPr>
          <w:p w14:paraId="5D92EE8C"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w:t>
            </w:r>
          </w:p>
        </w:tc>
      </w:tr>
      <w:tr w:rsidR="00E07FEA" w:rsidRPr="00E07FEA" w14:paraId="7CB6E223" w14:textId="77777777" w:rsidTr="00E07FEA">
        <w:trPr>
          <w:trHeight w:val="800"/>
        </w:trPr>
        <w:tc>
          <w:tcPr>
            <w:tcW w:w="4395" w:type="dxa"/>
            <w:tcBorders>
              <w:top w:val="nil"/>
              <w:left w:val="single" w:sz="8" w:space="0" w:color="auto"/>
              <w:bottom w:val="single" w:sz="4" w:space="0" w:color="auto"/>
              <w:right w:val="nil"/>
            </w:tcBorders>
            <w:shd w:val="clear" w:color="auto" w:fill="auto"/>
            <w:vAlign w:val="center"/>
            <w:hideMark/>
          </w:tcPr>
          <w:p w14:paraId="0274EA40" w14:textId="77777777" w:rsidR="00E07FEA" w:rsidRPr="00E07FEA" w:rsidRDefault="00E07FEA" w:rsidP="00E07FEA">
            <w:pPr>
              <w:spacing w:after="0" w:line="240" w:lineRule="auto"/>
              <w:rPr>
                <w:rFonts w:ascii="Calibri" w:eastAsia="Times New Roman" w:hAnsi="Calibri" w:cs="Arial"/>
                <w:sz w:val="20"/>
                <w:szCs w:val="20"/>
                <w:lang w:eastAsia="cs-CZ"/>
              </w:rPr>
            </w:pPr>
            <w:r w:rsidRPr="00E07FEA">
              <w:rPr>
                <w:rFonts w:ascii="Calibri" w:eastAsia="Times New Roman" w:hAnsi="Calibri" w:cs="Arial"/>
                <w:sz w:val="20"/>
                <w:szCs w:val="20"/>
                <w:lang w:eastAsia="cs-CZ"/>
              </w:rPr>
              <w:t>Kapitálové (investiční) výdaje zařazené v Zásobníku investic hrazené z vlastních zdrojů kraje (kapitola 12 - Investiční výdaje)</w:t>
            </w:r>
          </w:p>
        </w:tc>
        <w:tc>
          <w:tcPr>
            <w:tcW w:w="1559" w:type="dxa"/>
            <w:tcBorders>
              <w:top w:val="nil"/>
              <w:left w:val="single" w:sz="4" w:space="0" w:color="auto"/>
              <w:bottom w:val="single" w:sz="4" w:space="0" w:color="auto"/>
              <w:right w:val="nil"/>
            </w:tcBorders>
            <w:shd w:val="clear" w:color="auto" w:fill="auto"/>
            <w:noWrap/>
            <w:vAlign w:val="bottom"/>
            <w:hideMark/>
          </w:tcPr>
          <w:p w14:paraId="5A4B5A5D"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209 500 000</w:t>
            </w:r>
          </w:p>
        </w:tc>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17D675B6"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550 731 897,49</w:t>
            </w:r>
          </w:p>
        </w:tc>
        <w:tc>
          <w:tcPr>
            <w:tcW w:w="1842" w:type="dxa"/>
            <w:tcBorders>
              <w:top w:val="nil"/>
              <w:left w:val="nil"/>
              <w:bottom w:val="single" w:sz="4" w:space="0" w:color="auto"/>
              <w:right w:val="single" w:sz="4" w:space="0" w:color="auto"/>
            </w:tcBorders>
            <w:shd w:val="clear" w:color="auto" w:fill="auto"/>
            <w:noWrap/>
            <w:vAlign w:val="bottom"/>
            <w:hideMark/>
          </w:tcPr>
          <w:p w14:paraId="196E7C05"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400 988 888,29</w:t>
            </w:r>
          </w:p>
        </w:tc>
        <w:tc>
          <w:tcPr>
            <w:tcW w:w="766" w:type="dxa"/>
            <w:tcBorders>
              <w:top w:val="nil"/>
              <w:left w:val="nil"/>
              <w:bottom w:val="single" w:sz="4" w:space="0" w:color="auto"/>
              <w:right w:val="single" w:sz="8" w:space="0" w:color="auto"/>
            </w:tcBorders>
            <w:shd w:val="clear" w:color="auto" w:fill="auto"/>
            <w:noWrap/>
            <w:vAlign w:val="bottom"/>
            <w:hideMark/>
          </w:tcPr>
          <w:p w14:paraId="3E98886F"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72,8</w:t>
            </w:r>
          </w:p>
        </w:tc>
      </w:tr>
      <w:tr w:rsidR="00E07FEA" w:rsidRPr="00E07FEA" w14:paraId="0054038D" w14:textId="77777777" w:rsidTr="00E07FEA">
        <w:trPr>
          <w:trHeight w:val="800"/>
        </w:trPr>
        <w:tc>
          <w:tcPr>
            <w:tcW w:w="4395" w:type="dxa"/>
            <w:tcBorders>
              <w:top w:val="nil"/>
              <w:left w:val="single" w:sz="8" w:space="0" w:color="auto"/>
              <w:bottom w:val="single" w:sz="4" w:space="0" w:color="auto"/>
              <w:right w:val="nil"/>
            </w:tcBorders>
            <w:shd w:val="clear" w:color="auto" w:fill="auto"/>
            <w:vAlign w:val="center"/>
            <w:hideMark/>
          </w:tcPr>
          <w:p w14:paraId="0F0E546D" w14:textId="77777777" w:rsidR="00E07FEA" w:rsidRPr="00E07FEA" w:rsidRDefault="00E07FEA" w:rsidP="00E07FEA">
            <w:pPr>
              <w:spacing w:after="0" w:line="240" w:lineRule="auto"/>
              <w:rPr>
                <w:rFonts w:ascii="Calibri" w:eastAsia="Times New Roman" w:hAnsi="Calibri" w:cs="Arial"/>
                <w:sz w:val="20"/>
                <w:szCs w:val="20"/>
                <w:lang w:eastAsia="cs-CZ"/>
              </w:rPr>
            </w:pPr>
            <w:r w:rsidRPr="00E07FEA">
              <w:rPr>
                <w:rFonts w:ascii="Calibri" w:eastAsia="Times New Roman" w:hAnsi="Calibri" w:cs="Arial"/>
                <w:sz w:val="20"/>
                <w:szCs w:val="20"/>
                <w:lang w:eastAsia="cs-CZ"/>
              </w:rPr>
              <w:t xml:space="preserve">Kapitálové (investiční) výdaje zařazené v Zásobníku investic hrazené z úvěru přijatého od EIB (kapitola 12 - Investiční výdaje) </w:t>
            </w:r>
          </w:p>
        </w:tc>
        <w:tc>
          <w:tcPr>
            <w:tcW w:w="1559" w:type="dxa"/>
            <w:tcBorders>
              <w:top w:val="nil"/>
              <w:left w:val="single" w:sz="4" w:space="0" w:color="auto"/>
              <w:bottom w:val="single" w:sz="4" w:space="0" w:color="auto"/>
              <w:right w:val="nil"/>
            </w:tcBorders>
            <w:shd w:val="clear" w:color="auto" w:fill="auto"/>
            <w:noWrap/>
            <w:vAlign w:val="bottom"/>
            <w:hideMark/>
          </w:tcPr>
          <w:p w14:paraId="33C988E1"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300 000 000</w:t>
            </w:r>
          </w:p>
        </w:tc>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5594EAD1"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500 000 000,00</w:t>
            </w:r>
          </w:p>
        </w:tc>
        <w:tc>
          <w:tcPr>
            <w:tcW w:w="1842" w:type="dxa"/>
            <w:tcBorders>
              <w:top w:val="nil"/>
              <w:left w:val="nil"/>
              <w:bottom w:val="single" w:sz="4" w:space="0" w:color="auto"/>
              <w:right w:val="single" w:sz="4" w:space="0" w:color="auto"/>
            </w:tcBorders>
            <w:shd w:val="clear" w:color="auto" w:fill="auto"/>
            <w:noWrap/>
            <w:vAlign w:val="bottom"/>
            <w:hideMark/>
          </w:tcPr>
          <w:p w14:paraId="4D012DEA"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317 040 177,62</w:t>
            </w:r>
          </w:p>
        </w:tc>
        <w:tc>
          <w:tcPr>
            <w:tcW w:w="766" w:type="dxa"/>
            <w:tcBorders>
              <w:top w:val="nil"/>
              <w:left w:val="nil"/>
              <w:bottom w:val="single" w:sz="4" w:space="0" w:color="auto"/>
              <w:right w:val="single" w:sz="8" w:space="0" w:color="auto"/>
            </w:tcBorders>
            <w:shd w:val="clear" w:color="auto" w:fill="auto"/>
            <w:noWrap/>
            <w:vAlign w:val="bottom"/>
            <w:hideMark/>
          </w:tcPr>
          <w:p w14:paraId="414B499E"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63,4</w:t>
            </w:r>
          </w:p>
        </w:tc>
      </w:tr>
      <w:tr w:rsidR="00E07FEA" w:rsidRPr="00E07FEA" w14:paraId="2982BF17" w14:textId="77777777" w:rsidTr="00E07FEA">
        <w:trPr>
          <w:trHeight w:val="800"/>
        </w:trPr>
        <w:tc>
          <w:tcPr>
            <w:tcW w:w="4395" w:type="dxa"/>
            <w:tcBorders>
              <w:top w:val="nil"/>
              <w:left w:val="single" w:sz="8" w:space="0" w:color="auto"/>
              <w:bottom w:val="single" w:sz="4" w:space="0" w:color="auto"/>
              <w:right w:val="nil"/>
            </w:tcBorders>
            <w:shd w:val="clear" w:color="auto" w:fill="auto"/>
            <w:vAlign w:val="center"/>
            <w:hideMark/>
          </w:tcPr>
          <w:p w14:paraId="3218E0D6" w14:textId="77777777" w:rsidR="00E07FEA" w:rsidRPr="00E07FEA" w:rsidRDefault="00E07FEA" w:rsidP="00E07FEA">
            <w:pPr>
              <w:spacing w:after="0" w:line="240" w:lineRule="auto"/>
              <w:rPr>
                <w:rFonts w:ascii="Calibri" w:eastAsia="Times New Roman" w:hAnsi="Calibri" w:cs="Arial"/>
                <w:sz w:val="20"/>
                <w:szCs w:val="20"/>
                <w:lang w:eastAsia="cs-CZ"/>
              </w:rPr>
            </w:pPr>
            <w:r w:rsidRPr="00E07FEA">
              <w:rPr>
                <w:rFonts w:ascii="Calibri" w:eastAsia="Times New Roman" w:hAnsi="Calibri" w:cs="Arial"/>
                <w:sz w:val="20"/>
                <w:szCs w:val="20"/>
                <w:lang w:eastAsia="cs-CZ"/>
              </w:rPr>
              <w:t xml:space="preserve">Kapitálové (investiční) výdaje nezařazené v Zásobníku investic hrazené z úvěru přijatého od EIB (kapitola 12 - Investiční výdaje) </w:t>
            </w:r>
          </w:p>
        </w:tc>
        <w:tc>
          <w:tcPr>
            <w:tcW w:w="1559" w:type="dxa"/>
            <w:tcBorders>
              <w:top w:val="nil"/>
              <w:left w:val="single" w:sz="4" w:space="0" w:color="auto"/>
              <w:bottom w:val="single" w:sz="4" w:space="0" w:color="auto"/>
              <w:right w:val="nil"/>
            </w:tcBorders>
            <w:shd w:val="clear" w:color="auto" w:fill="auto"/>
            <w:noWrap/>
            <w:vAlign w:val="bottom"/>
            <w:hideMark/>
          </w:tcPr>
          <w:p w14:paraId="7F763673"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200 000 000</w:t>
            </w:r>
          </w:p>
        </w:tc>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7513D7A7"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0,00</w:t>
            </w:r>
          </w:p>
        </w:tc>
        <w:tc>
          <w:tcPr>
            <w:tcW w:w="1842" w:type="dxa"/>
            <w:tcBorders>
              <w:top w:val="nil"/>
              <w:left w:val="nil"/>
              <w:bottom w:val="single" w:sz="4" w:space="0" w:color="auto"/>
              <w:right w:val="single" w:sz="4" w:space="0" w:color="auto"/>
            </w:tcBorders>
            <w:shd w:val="clear" w:color="auto" w:fill="auto"/>
            <w:noWrap/>
            <w:vAlign w:val="bottom"/>
            <w:hideMark/>
          </w:tcPr>
          <w:p w14:paraId="154527DE"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0,00</w:t>
            </w:r>
          </w:p>
        </w:tc>
        <w:tc>
          <w:tcPr>
            <w:tcW w:w="766" w:type="dxa"/>
            <w:tcBorders>
              <w:top w:val="nil"/>
              <w:left w:val="nil"/>
              <w:bottom w:val="single" w:sz="4" w:space="0" w:color="auto"/>
              <w:right w:val="single" w:sz="8" w:space="0" w:color="auto"/>
            </w:tcBorders>
            <w:shd w:val="clear" w:color="auto" w:fill="auto"/>
            <w:noWrap/>
            <w:vAlign w:val="bottom"/>
            <w:hideMark/>
          </w:tcPr>
          <w:p w14:paraId="19172F6A"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w:t>
            </w:r>
          </w:p>
        </w:tc>
      </w:tr>
      <w:tr w:rsidR="00E07FEA" w:rsidRPr="00E07FEA" w14:paraId="40FE2076" w14:textId="77777777" w:rsidTr="00E07FEA">
        <w:trPr>
          <w:trHeight w:val="800"/>
        </w:trPr>
        <w:tc>
          <w:tcPr>
            <w:tcW w:w="4395" w:type="dxa"/>
            <w:tcBorders>
              <w:top w:val="nil"/>
              <w:left w:val="single" w:sz="8" w:space="0" w:color="auto"/>
              <w:bottom w:val="single" w:sz="4" w:space="0" w:color="auto"/>
              <w:right w:val="nil"/>
            </w:tcBorders>
            <w:shd w:val="clear" w:color="auto" w:fill="auto"/>
            <w:vAlign w:val="center"/>
            <w:hideMark/>
          </w:tcPr>
          <w:p w14:paraId="17E99712" w14:textId="77777777" w:rsidR="00E07FEA" w:rsidRPr="00E07FEA" w:rsidRDefault="00E07FEA" w:rsidP="00E07FEA">
            <w:pPr>
              <w:spacing w:after="0" w:line="240" w:lineRule="auto"/>
              <w:rPr>
                <w:rFonts w:ascii="Calibri" w:eastAsia="Times New Roman" w:hAnsi="Calibri" w:cs="Arial"/>
                <w:sz w:val="20"/>
                <w:szCs w:val="20"/>
                <w:lang w:eastAsia="cs-CZ"/>
              </w:rPr>
            </w:pPr>
            <w:r w:rsidRPr="00E07FEA">
              <w:rPr>
                <w:rFonts w:ascii="Calibri" w:eastAsia="Times New Roman" w:hAnsi="Calibri" w:cs="Arial"/>
                <w:sz w:val="20"/>
                <w:szCs w:val="20"/>
                <w:lang w:eastAsia="cs-CZ"/>
              </w:rPr>
              <w:t>Předfinancování a kofinancování projektů spolufinancovaných z EU/EHP a ostatní související výdaje s projekty EU/EHP</w:t>
            </w:r>
          </w:p>
        </w:tc>
        <w:tc>
          <w:tcPr>
            <w:tcW w:w="1559" w:type="dxa"/>
            <w:tcBorders>
              <w:top w:val="nil"/>
              <w:left w:val="single" w:sz="4" w:space="0" w:color="auto"/>
              <w:bottom w:val="single" w:sz="4" w:space="0" w:color="auto"/>
              <w:right w:val="nil"/>
            </w:tcBorders>
            <w:shd w:val="clear" w:color="auto" w:fill="auto"/>
            <w:noWrap/>
            <w:vAlign w:val="bottom"/>
            <w:hideMark/>
          </w:tcPr>
          <w:p w14:paraId="77554C7A"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2 563 100 000</w:t>
            </w:r>
          </w:p>
        </w:tc>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1E63D457"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3 081 457 057,26</w:t>
            </w:r>
          </w:p>
        </w:tc>
        <w:tc>
          <w:tcPr>
            <w:tcW w:w="1842" w:type="dxa"/>
            <w:tcBorders>
              <w:top w:val="nil"/>
              <w:left w:val="nil"/>
              <w:bottom w:val="single" w:sz="4" w:space="0" w:color="auto"/>
              <w:right w:val="single" w:sz="4" w:space="0" w:color="auto"/>
            </w:tcBorders>
            <w:shd w:val="clear" w:color="auto" w:fill="auto"/>
            <w:noWrap/>
            <w:vAlign w:val="bottom"/>
            <w:hideMark/>
          </w:tcPr>
          <w:p w14:paraId="76D5D65C"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1 739 348 734,71</w:t>
            </w:r>
          </w:p>
        </w:tc>
        <w:tc>
          <w:tcPr>
            <w:tcW w:w="766" w:type="dxa"/>
            <w:tcBorders>
              <w:top w:val="nil"/>
              <w:left w:val="nil"/>
              <w:bottom w:val="single" w:sz="4" w:space="0" w:color="auto"/>
              <w:right w:val="single" w:sz="8" w:space="0" w:color="auto"/>
            </w:tcBorders>
            <w:shd w:val="clear" w:color="auto" w:fill="auto"/>
            <w:noWrap/>
            <w:vAlign w:val="bottom"/>
            <w:hideMark/>
          </w:tcPr>
          <w:p w14:paraId="048D6F93"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56,4</w:t>
            </w:r>
          </w:p>
        </w:tc>
      </w:tr>
      <w:tr w:rsidR="00E07FEA" w:rsidRPr="00E07FEA" w14:paraId="32EC75F1" w14:textId="77777777" w:rsidTr="00E07FEA">
        <w:trPr>
          <w:trHeight w:val="800"/>
        </w:trPr>
        <w:tc>
          <w:tcPr>
            <w:tcW w:w="4395" w:type="dxa"/>
            <w:tcBorders>
              <w:top w:val="nil"/>
              <w:left w:val="single" w:sz="8" w:space="0" w:color="auto"/>
              <w:bottom w:val="single" w:sz="4" w:space="0" w:color="auto"/>
              <w:right w:val="single" w:sz="4" w:space="0" w:color="auto"/>
            </w:tcBorders>
            <w:shd w:val="clear" w:color="auto" w:fill="auto"/>
            <w:vAlign w:val="center"/>
            <w:hideMark/>
          </w:tcPr>
          <w:p w14:paraId="70302256" w14:textId="77777777" w:rsidR="00E07FEA" w:rsidRPr="00E07FEA" w:rsidRDefault="00E07FEA" w:rsidP="00E07FEA">
            <w:pPr>
              <w:spacing w:after="0" w:line="240" w:lineRule="auto"/>
              <w:rPr>
                <w:rFonts w:ascii="Calibri" w:eastAsia="Times New Roman" w:hAnsi="Calibri" w:cs="Arial"/>
                <w:sz w:val="20"/>
                <w:szCs w:val="20"/>
                <w:lang w:eastAsia="cs-CZ"/>
              </w:rPr>
            </w:pPr>
            <w:r w:rsidRPr="00E07FEA">
              <w:rPr>
                <w:rFonts w:ascii="Calibri" w:eastAsia="Times New Roman" w:hAnsi="Calibri" w:cs="Arial"/>
                <w:sz w:val="20"/>
                <w:szCs w:val="20"/>
                <w:lang w:eastAsia="cs-CZ"/>
              </w:rPr>
              <w:t>Spolufinancování projektů spolufinancovaných z EU/EHP a ostatní související výdaje s projekty EU/EHP - hrazené z úvěru přijatého od EIB</w:t>
            </w:r>
          </w:p>
        </w:tc>
        <w:tc>
          <w:tcPr>
            <w:tcW w:w="1559" w:type="dxa"/>
            <w:tcBorders>
              <w:top w:val="nil"/>
              <w:left w:val="nil"/>
              <w:bottom w:val="single" w:sz="4" w:space="0" w:color="auto"/>
              <w:right w:val="nil"/>
            </w:tcBorders>
            <w:shd w:val="clear" w:color="auto" w:fill="auto"/>
            <w:noWrap/>
            <w:vAlign w:val="bottom"/>
            <w:hideMark/>
          </w:tcPr>
          <w:p w14:paraId="01A2246C"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300 000 000</w:t>
            </w:r>
          </w:p>
        </w:tc>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445BFB5B"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300 000 000,00</w:t>
            </w:r>
          </w:p>
        </w:tc>
        <w:tc>
          <w:tcPr>
            <w:tcW w:w="1842" w:type="dxa"/>
            <w:tcBorders>
              <w:top w:val="nil"/>
              <w:left w:val="nil"/>
              <w:bottom w:val="single" w:sz="4" w:space="0" w:color="auto"/>
              <w:right w:val="single" w:sz="4" w:space="0" w:color="auto"/>
            </w:tcBorders>
            <w:shd w:val="clear" w:color="auto" w:fill="auto"/>
            <w:noWrap/>
            <w:vAlign w:val="bottom"/>
            <w:hideMark/>
          </w:tcPr>
          <w:p w14:paraId="17C6ADC6"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92 425 106,09</w:t>
            </w:r>
          </w:p>
        </w:tc>
        <w:tc>
          <w:tcPr>
            <w:tcW w:w="766" w:type="dxa"/>
            <w:tcBorders>
              <w:top w:val="nil"/>
              <w:left w:val="nil"/>
              <w:bottom w:val="single" w:sz="4" w:space="0" w:color="auto"/>
              <w:right w:val="single" w:sz="8" w:space="0" w:color="auto"/>
            </w:tcBorders>
            <w:shd w:val="clear" w:color="auto" w:fill="auto"/>
            <w:noWrap/>
            <w:vAlign w:val="bottom"/>
            <w:hideMark/>
          </w:tcPr>
          <w:p w14:paraId="3C055075"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30,8</w:t>
            </w:r>
          </w:p>
        </w:tc>
      </w:tr>
      <w:tr w:rsidR="00E07FEA" w:rsidRPr="00E07FEA" w14:paraId="5D6DBA40" w14:textId="77777777" w:rsidTr="00E07FEA">
        <w:trPr>
          <w:trHeight w:val="800"/>
        </w:trPr>
        <w:tc>
          <w:tcPr>
            <w:tcW w:w="4395" w:type="dxa"/>
            <w:tcBorders>
              <w:top w:val="nil"/>
              <w:left w:val="single" w:sz="8" w:space="0" w:color="auto"/>
              <w:bottom w:val="single" w:sz="4" w:space="0" w:color="auto"/>
              <w:right w:val="single" w:sz="4" w:space="0" w:color="auto"/>
            </w:tcBorders>
            <w:shd w:val="clear" w:color="auto" w:fill="auto"/>
            <w:vAlign w:val="center"/>
            <w:hideMark/>
          </w:tcPr>
          <w:p w14:paraId="3475656F" w14:textId="77777777" w:rsidR="00E07FEA" w:rsidRPr="00E07FEA" w:rsidRDefault="00E07FEA" w:rsidP="00E07FEA">
            <w:pPr>
              <w:spacing w:after="0" w:line="240" w:lineRule="auto"/>
              <w:rPr>
                <w:rFonts w:ascii="Calibri" w:eastAsia="Times New Roman" w:hAnsi="Calibri" w:cs="Arial"/>
                <w:sz w:val="20"/>
                <w:szCs w:val="20"/>
                <w:lang w:eastAsia="cs-CZ"/>
              </w:rPr>
            </w:pPr>
            <w:r w:rsidRPr="00E07FEA">
              <w:rPr>
                <w:rFonts w:ascii="Calibri" w:eastAsia="Times New Roman" w:hAnsi="Calibri" w:cs="Arial"/>
                <w:sz w:val="20"/>
                <w:szCs w:val="20"/>
                <w:lang w:eastAsia="cs-CZ"/>
              </w:rPr>
              <w:t xml:space="preserve">Předfinancování a kofinancování projektů spolufinancovaných z národních zdrojů a ostatní související výdaje s projekty z národních zdrojů </w:t>
            </w:r>
          </w:p>
        </w:tc>
        <w:tc>
          <w:tcPr>
            <w:tcW w:w="1559" w:type="dxa"/>
            <w:tcBorders>
              <w:top w:val="nil"/>
              <w:left w:val="nil"/>
              <w:bottom w:val="single" w:sz="4" w:space="0" w:color="auto"/>
              <w:right w:val="nil"/>
            </w:tcBorders>
            <w:shd w:val="clear" w:color="auto" w:fill="auto"/>
            <w:noWrap/>
            <w:vAlign w:val="bottom"/>
            <w:hideMark/>
          </w:tcPr>
          <w:p w14:paraId="16C126B9"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123 000 000</w:t>
            </w:r>
          </w:p>
        </w:tc>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0AF7410E"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158 338 007,70</w:t>
            </w:r>
          </w:p>
        </w:tc>
        <w:tc>
          <w:tcPr>
            <w:tcW w:w="1842" w:type="dxa"/>
            <w:tcBorders>
              <w:top w:val="nil"/>
              <w:left w:val="nil"/>
              <w:bottom w:val="single" w:sz="4" w:space="0" w:color="auto"/>
              <w:right w:val="single" w:sz="4" w:space="0" w:color="auto"/>
            </w:tcBorders>
            <w:shd w:val="clear" w:color="auto" w:fill="auto"/>
            <w:noWrap/>
            <w:vAlign w:val="bottom"/>
            <w:hideMark/>
          </w:tcPr>
          <w:p w14:paraId="4A877241"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21 000 873,35</w:t>
            </w:r>
          </w:p>
        </w:tc>
        <w:tc>
          <w:tcPr>
            <w:tcW w:w="766" w:type="dxa"/>
            <w:tcBorders>
              <w:top w:val="nil"/>
              <w:left w:val="nil"/>
              <w:bottom w:val="single" w:sz="4" w:space="0" w:color="auto"/>
              <w:right w:val="single" w:sz="8" w:space="0" w:color="auto"/>
            </w:tcBorders>
            <w:shd w:val="clear" w:color="auto" w:fill="auto"/>
            <w:noWrap/>
            <w:vAlign w:val="bottom"/>
            <w:hideMark/>
          </w:tcPr>
          <w:p w14:paraId="4936FBFB"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13,3</w:t>
            </w:r>
          </w:p>
        </w:tc>
      </w:tr>
      <w:tr w:rsidR="00E07FEA" w:rsidRPr="00E07FEA" w14:paraId="17FD7C31" w14:textId="77777777" w:rsidTr="00E07FEA">
        <w:trPr>
          <w:trHeight w:val="525"/>
        </w:trPr>
        <w:tc>
          <w:tcPr>
            <w:tcW w:w="4395" w:type="dxa"/>
            <w:tcBorders>
              <w:top w:val="nil"/>
              <w:left w:val="single" w:sz="8" w:space="0" w:color="auto"/>
              <w:bottom w:val="single" w:sz="4" w:space="0" w:color="auto"/>
              <w:right w:val="nil"/>
            </w:tcBorders>
            <w:shd w:val="clear" w:color="auto" w:fill="auto"/>
            <w:vAlign w:val="center"/>
            <w:hideMark/>
          </w:tcPr>
          <w:p w14:paraId="558F22EF" w14:textId="77777777" w:rsidR="00E07FEA" w:rsidRPr="00E07FEA" w:rsidRDefault="00E07FEA" w:rsidP="00E07FEA">
            <w:pPr>
              <w:spacing w:after="0" w:line="240" w:lineRule="auto"/>
              <w:rPr>
                <w:rFonts w:ascii="Calibri" w:eastAsia="Times New Roman" w:hAnsi="Calibri" w:cs="Arial"/>
                <w:sz w:val="20"/>
                <w:szCs w:val="20"/>
                <w:lang w:eastAsia="cs-CZ"/>
              </w:rPr>
            </w:pPr>
            <w:r w:rsidRPr="00E07FEA">
              <w:rPr>
                <w:rFonts w:ascii="Calibri" w:eastAsia="Times New Roman" w:hAnsi="Calibri" w:cs="Arial"/>
                <w:sz w:val="20"/>
                <w:szCs w:val="20"/>
                <w:lang w:eastAsia="cs-CZ"/>
              </w:rPr>
              <w:t>Rezerva - nepředvídatelné události a finanční záruky (kapitola 23 - Ostatní)</w:t>
            </w:r>
          </w:p>
        </w:tc>
        <w:tc>
          <w:tcPr>
            <w:tcW w:w="1559" w:type="dxa"/>
            <w:tcBorders>
              <w:top w:val="nil"/>
              <w:left w:val="single" w:sz="4" w:space="0" w:color="auto"/>
              <w:bottom w:val="single" w:sz="4" w:space="0" w:color="auto"/>
              <w:right w:val="nil"/>
            </w:tcBorders>
            <w:shd w:val="clear" w:color="auto" w:fill="auto"/>
            <w:noWrap/>
            <w:vAlign w:val="bottom"/>
            <w:hideMark/>
          </w:tcPr>
          <w:p w14:paraId="6F3C0410"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49 966 200</w:t>
            </w:r>
          </w:p>
        </w:tc>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6C74C076"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317 315 057,41</w:t>
            </w:r>
          </w:p>
        </w:tc>
        <w:tc>
          <w:tcPr>
            <w:tcW w:w="1842" w:type="dxa"/>
            <w:tcBorders>
              <w:top w:val="nil"/>
              <w:left w:val="nil"/>
              <w:bottom w:val="single" w:sz="4" w:space="0" w:color="auto"/>
              <w:right w:val="single" w:sz="4" w:space="0" w:color="auto"/>
            </w:tcBorders>
            <w:shd w:val="clear" w:color="auto" w:fill="auto"/>
            <w:noWrap/>
            <w:vAlign w:val="bottom"/>
            <w:hideMark/>
          </w:tcPr>
          <w:p w14:paraId="56086960"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0,00</w:t>
            </w:r>
          </w:p>
        </w:tc>
        <w:tc>
          <w:tcPr>
            <w:tcW w:w="766" w:type="dxa"/>
            <w:tcBorders>
              <w:top w:val="nil"/>
              <w:left w:val="nil"/>
              <w:bottom w:val="single" w:sz="4" w:space="0" w:color="auto"/>
              <w:right w:val="single" w:sz="8" w:space="0" w:color="auto"/>
            </w:tcBorders>
            <w:shd w:val="clear" w:color="auto" w:fill="auto"/>
            <w:noWrap/>
            <w:vAlign w:val="bottom"/>
            <w:hideMark/>
          </w:tcPr>
          <w:p w14:paraId="1BBF611E"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0,0</w:t>
            </w:r>
          </w:p>
        </w:tc>
      </w:tr>
      <w:tr w:rsidR="00E07FEA" w:rsidRPr="00E07FEA" w14:paraId="01CD4309" w14:textId="77777777" w:rsidTr="00E07FEA">
        <w:trPr>
          <w:trHeight w:val="525"/>
        </w:trPr>
        <w:tc>
          <w:tcPr>
            <w:tcW w:w="4395" w:type="dxa"/>
            <w:tcBorders>
              <w:top w:val="nil"/>
              <w:left w:val="single" w:sz="8" w:space="0" w:color="auto"/>
              <w:bottom w:val="single" w:sz="4" w:space="0" w:color="auto"/>
              <w:right w:val="nil"/>
            </w:tcBorders>
            <w:shd w:val="clear" w:color="auto" w:fill="auto"/>
            <w:vAlign w:val="center"/>
            <w:hideMark/>
          </w:tcPr>
          <w:p w14:paraId="7292116E" w14:textId="77777777" w:rsidR="00E07FEA" w:rsidRPr="00E07FEA" w:rsidRDefault="00E07FEA" w:rsidP="00E07FEA">
            <w:pPr>
              <w:spacing w:after="0" w:line="240" w:lineRule="auto"/>
              <w:rPr>
                <w:rFonts w:ascii="Calibri" w:eastAsia="Times New Roman" w:hAnsi="Calibri" w:cs="Arial"/>
                <w:sz w:val="20"/>
                <w:szCs w:val="20"/>
                <w:lang w:eastAsia="cs-CZ"/>
              </w:rPr>
            </w:pPr>
            <w:r w:rsidRPr="00E07FEA">
              <w:rPr>
                <w:rFonts w:ascii="Calibri" w:eastAsia="Times New Roman" w:hAnsi="Calibri" w:cs="Arial"/>
                <w:sz w:val="20"/>
                <w:szCs w:val="20"/>
                <w:lang w:eastAsia="cs-CZ"/>
              </w:rPr>
              <w:t>Výdaje na krytí očekávaných výdajů kapitol                                          (kapitola 23 - Ostatní)</w:t>
            </w:r>
          </w:p>
        </w:tc>
        <w:tc>
          <w:tcPr>
            <w:tcW w:w="1559" w:type="dxa"/>
            <w:tcBorders>
              <w:top w:val="nil"/>
              <w:left w:val="single" w:sz="4" w:space="0" w:color="auto"/>
              <w:bottom w:val="single" w:sz="4" w:space="0" w:color="auto"/>
              <w:right w:val="nil"/>
            </w:tcBorders>
            <w:shd w:val="clear" w:color="auto" w:fill="auto"/>
            <w:noWrap/>
            <w:vAlign w:val="bottom"/>
            <w:hideMark/>
          </w:tcPr>
          <w:p w14:paraId="68B39A8D"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10 000 000</w:t>
            </w:r>
          </w:p>
        </w:tc>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4D3CFB26"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15 329 055,06</w:t>
            </w:r>
          </w:p>
        </w:tc>
        <w:tc>
          <w:tcPr>
            <w:tcW w:w="1842" w:type="dxa"/>
            <w:tcBorders>
              <w:top w:val="nil"/>
              <w:left w:val="nil"/>
              <w:bottom w:val="single" w:sz="4" w:space="0" w:color="auto"/>
              <w:right w:val="single" w:sz="4" w:space="0" w:color="auto"/>
            </w:tcBorders>
            <w:shd w:val="clear" w:color="auto" w:fill="auto"/>
            <w:noWrap/>
            <w:vAlign w:val="bottom"/>
            <w:hideMark/>
          </w:tcPr>
          <w:p w14:paraId="377BB82C"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0,00</w:t>
            </w:r>
          </w:p>
        </w:tc>
        <w:tc>
          <w:tcPr>
            <w:tcW w:w="766" w:type="dxa"/>
            <w:tcBorders>
              <w:top w:val="nil"/>
              <w:left w:val="nil"/>
              <w:bottom w:val="single" w:sz="4" w:space="0" w:color="auto"/>
              <w:right w:val="single" w:sz="8" w:space="0" w:color="auto"/>
            </w:tcBorders>
            <w:shd w:val="clear" w:color="auto" w:fill="auto"/>
            <w:noWrap/>
            <w:vAlign w:val="bottom"/>
            <w:hideMark/>
          </w:tcPr>
          <w:p w14:paraId="205541E2"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0,0</w:t>
            </w:r>
          </w:p>
        </w:tc>
      </w:tr>
      <w:tr w:rsidR="00E07FEA" w:rsidRPr="00E07FEA" w14:paraId="673DED1D" w14:textId="77777777" w:rsidTr="00E07FEA">
        <w:trPr>
          <w:trHeight w:val="405"/>
        </w:trPr>
        <w:tc>
          <w:tcPr>
            <w:tcW w:w="4395" w:type="dxa"/>
            <w:tcBorders>
              <w:top w:val="nil"/>
              <w:left w:val="single" w:sz="8" w:space="0" w:color="auto"/>
              <w:bottom w:val="single" w:sz="4" w:space="0" w:color="auto"/>
              <w:right w:val="nil"/>
            </w:tcBorders>
            <w:shd w:val="clear" w:color="auto" w:fill="auto"/>
            <w:vAlign w:val="bottom"/>
            <w:hideMark/>
          </w:tcPr>
          <w:p w14:paraId="3A917222" w14:textId="77777777" w:rsidR="00E07FEA" w:rsidRPr="00E07FEA" w:rsidRDefault="00E07FEA" w:rsidP="00E07FEA">
            <w:pPr>
              <w:spacing w:after="0" w:line="240" w:lineRule="auto"/>
              <w:rPr>
                <w:rFonts w:ascii="Calibri" w:eastAsia="Times New Roman" w:hAnsi="Calibri" w:cs="Arial"/>
                <w:sz w:val="20"/>
                <w:szCs w:val="20"/>
                <w:lang w:eastAsia="cs-CZ"/>
              </w:rPr>
            </w:pPr>
            <w:r w:rsidRPr="00E07FEA">
              <w:rPr>
                <w:rFonts w:ascii="Calibri" w:eastAsia="Times New Roman" w:hAnsi="Calibri" w:cs="Arial"/>
                <w:sz w:val="20"/>
                <w:szCs w:val="20"/>
                <w:lang w:eastAsia="cs-CZ"/>
              </w:rPr>
              <w:lastRenderedPageBreak/>
              <w:t>Výdaje dle programů (kapitola 23 - Ostatní)</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78D44F3A"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0</w:t>
            </w:r>
          </w:p>
        </w:tc>
        <w:tc>
          <w:tcPr>
            <w:tcW w:w="1843" w:type="dxa"/>
            <w:tcBorders>
              <w:top w:val="nil"/>
              <w:left w:val="nil"/>
              <w:bottom w:val="single" w:sz="4" w:space="0" w:color="auto"/>
              <w:right w:val="single" w:sz="4" w:space="0" w:color="auto"/>
            </w:tcBorders>
            <w:shd w:val="clear" w:color="auto" w:fill="auto"/>
            <w:noWrap/>
            <w:vAlign w:val="bottom"/>
            <w:hideMark/>
          </w:tcPr>
          <w:p w14:paraId="03F062DA"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142 532 910,65</w:t>
            </w:r>
          </w:p>
        </w:tc>
        <w:tc>
          <w:tcPr>
            <w:tcW w:w="1842" w:type="dxa"/>
            <w:tcBorders>
              <w:top w:val="nil"/>
              <w:left w:val="nil"/>
              <w:bottom w:val="single" w:sz="4" w:space="0" w:color="auto"/>
              <w:right w:val="single" w:sz="4" w:space="0" w:color="auto"/>
            </w:tcBorders>
            <w:shd w:val="clear" w:color="auto" w:fill="auto"/>
            <w:noWrap/>
            <w:vAlign w:val="bottom"/>
            <w:hideMark/>
          </w:tcPr>
          <w:p w14:paraId="380D058F"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0,00</w:t>
            </w:r>
          </w:p>
        </w:tc>
        <w:tc>
          <w:tcPr>
            <w:tcW w:w="766" w:type="dxa"/>
            <w:tcBorders>
              <w:top w:val="nil"/>
              <w:left w:val="nil"/>
              <w:bottom w:val="single" w:sz="4" w:space="0" w:color="auto"/>
              <w:right w:val="single" w:sz="8" w:space="0" w:color="auto"/>
            </w:tcBorders>
            <w:shd w:val="clear" w:color="auto" w:fill="auto"/>
            <w:noWrap/>
            <w:vAlign w:val="bottom"/>
            <w:hideMark/>
          </w:tcPr>
          <w:p w14:paraId="669B19E9"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0,0</w:t>
            </w:r>
          </w:p>
        </w:tc>
      </w:tr>
      <w:tr w:rsidR="00E07FEA" w:rsidRPr="00E07FEA" w14:paraId="463AADD3" w14:textId="77777777" w:rsidTr="00E07FEA">
        <w:trPr>
          <w:trHeight w:val="525"/>
        </w:trPr>
        <w:tc>
          <w:tcPr>
            <w:tcW w:w="4395" w:type="dxa"/>
            <w:tcBorders>
              <w:top w:val="nil"/>
              <w:left w:val="single" w:sz="8" w:space="0" w:color="auto"/>
              <w:bottom w:val="single" w:sz="4" w:space="0" w:color="auto"/>
              <w:right w:val="nil"/>
            </w:tcBorders>
            <w:shd w:val="clear" w:color="auto" w:fill="auto"/>
            <w:vAlign w:val="center"/>
            <w:hideMark/>
          </w:tcPr>
          <w:p w14:paraId="4DBE59D6" w14:textId="77777777" w:rsidR="00E07FEA" w:rsidRPr="00E07FEA" w:rsidRDefault="00E07FEA" w:rsidP="00E07FEA">
            <w:pPr>
              <w:spacing w:after="0" w:line="240" w:lineRule="auto"/>
              <w:rPr>
                <w:rFonts w:ascii="Calibri" w:eastAsia="Times New Roman" w:hAnsi="Calibri" w:cs="Arial"/>
                <w:sz w:val="20"/>
                <w:szCs w:val="20"/>
                <w:lang w:eastAsia="cs-CZ"/>
              </w:rPr>
            </w:pPr>
            <w:r w:rsidRPr="00E07FEA">
              <w:rPr>
                <w:rFonts w:ascii="Calibri" w:eastAsia="Times New Roman" w:hAnsi="Calibri" w:cs="Arial"/>
                <w:sz w:val="20"/>
                <w:szCs w:val="20"/>
                <w:lang w:eastAsia="cs-CZ"/>
              </w:rPr>
              <w:t>Pojištění majetku, vozidel a odpovědnosti k refundaci (kapitola 23 - Ostatní)</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1A893A97"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24 500 000</w:t>
            </w:r>
          </w:p>
        </w:tc>
        <w:tc>
          <w:tcPr>
            <w:tcW w:w="1843" w:type="dxa"/>
            <w:tcBorders>
              <w:top w:val="nil"/>
              <w:left w:val="nil"/>
              <w:bottom w:val="single" w:sz="4" w:space="0" w:color="auto"/>
              <w:right w:val="single" w:sz="4" w:space="0" w:color="auto"/>
            </w:tcBorders>
            <w:shd w:val="clear" w:color="auto" w:fill="auto"/>
            <w:noWrap/>
            <w:vAlign w:val="bottom"/>
            <w:hideMark/>
          </w:tcPr>
          <w:p w14:paraId="1D997026"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34 899,00</w:t>
            </w:r>
          </w:p>
        </w:tc>
        <w:tc>
          <w:tcPr>
            <w:tcW w:w="1842" w:type="dxa"/>
            <w:tcBorders>
              <w:top w:val="nil"/>
              <w:left w:val="nil"/>
              <w:bottom w:val="single" w:sz="4" w:space="0" w:color="auto"/>
              <w:right w:val="single" w:sz="4" w:space="0" w:color="auto"/>
            </w:tcBorders>
            <w:shd w:val="clear" w:color="auto" w:fill="auto"/>
            <w:noWrap/>
            <w:vAlign w:val="bottom"/>
            <w:hideMark/>
          </w:tcPr>
          <w:p w14:paraId="22702B9C"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0,00</w:t>
            </w:r>
          </w:p>
        </w:tc>
        <w:tc>
          <w:tcPr>
            <w:tcW w:w="766" w:type="dxa"/>
            <w:tcBorders>
              <w:top w:val="nil"/>
              <w:left w:val="nil"/>
              <w:bottom w:val="single" w:sz="4" w:space="0" w:color="auto"/>
              <w:right w:val="single" w:sz="8" w:space="0" w:color="auto"/>
            </w:tcBorders>
            <w:shd w:val="clear" w:color="auto" w:fill="auto"/>
            <w:noWrap/>
            <w:vAlign w:val="bottom"/>
            <w:hideMark/>
          </w:tcPr>
          <w:p w14:paraId="4445D64A"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0,0</w:t>
            </w:r>
          </w:p>
        </w:tc>
      </w:tr>
      <w:tr w:rsidR="00E07FEA" w:rsidRPr="00E07FEA" w14:paraId="22A86676" w14:textId="77777777" w:rsidTr="00E07FEA">
        <w:trPr>
          <w:trHeight w:val="405"/>
        </w:trPr>
        <w:tc>
          <w:tcPr>
            <w:tcW w:w="4395" w:type="dxa"/>
            <w:tcBorders>
              <w:top w:val="nil"/>
              <w:left w:val="single" w:sz="8" w:space="0" w:color="auto"/>
              <w:bottom w:val="single" w:sz="4" w:space="0" w:color="auto"/>
              <w:right w:val="nil"/>
            </w:tcBorders>
            <w:shd w:val="clear" w:color="auto" w:fill="auto"/>
            <w:vAlign w:val="bottom"/>
            <w:hideMark/>
          </w:tcPr>
          <w:p w14:paraId="542B426E" w14:textId="77777777" w:rsidR="00E07FEA" w:rsidRPr="00E07FEA" w:rsidRDefault="00E07FEA" w:rsidP="00E07FEA">
            <w:pPr>
              <w:spacing w:after="0" w:line="240" w:lineRule="auto"/>
              <w:rPr>
                <w:rFonts w:ascii="Calibri" w:eastAsia="Times New Roman" w:hAnsi="Calibri" w:cs="Arial"/>
                <w:sz w:val="20"/>
                <w:szCs w:val="20"/>
                <w:lang w:eastAsia="cs-CZ"/>
              </w:rPr>
            </w:pPr>
            <w:r w:rsidRPr="00E07FEA">
              <w:rPr>
                <w:rFonts w:ascii="Calibri" w:eastAsia="Times New Roman" w:hAnsi="Calibri" w:cs="Arial"/>
                <w:sz w:val="20"/>
                <w:szCs w:val="20"/>
                <w:lang w:eastAsia="cs-CZ"/>
              </w:rPr>
              <w:t>Specifické rezervy (kapitola 23 - Ostatní)</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1AA05A71"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93 000 000</w:t>
            </w:r>
          </w:p>
        </w:tc>
        <w:tc>
          <w:tcPr>
            <w:tcW w:w="1843" w:type="dxa"/>
            <w:tcBorders>
              <w:top w:val="nil"/>
              <w:left w:val="nil"/>
              <w:bottom w:val="single" w:sz="4" w:space="0" w:color="auto"/>
              <w:right w:val="single" w:sz="4" w:space="0" w:color="auto"/>
            </w:tcBorders>
            <w:shd w:val="clear" w:color="auto" w:fill="auto"/>
            <w:noWrap/>
            <w:vAlign w:val="bottom"/>
            <w:hideMark/>
          </w:tcPr>
          <w:p w14:paraId="14BA6AC8"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29 320 093,94</w:t>
            </w:r>
          </w:p>
        </w:tc>
        <w:tc>
          <w:tcPr>
            <w:tcW w:w="1842" w:type="dxa"/>
            <w:tcBorders>
              <w:top w:val="nil"/>
              <w:left w:val="nil"/>
              <w:bottom w:val="single" w:sz="4" w:space="0" w:color="auto"/>
              <w:right w:val="single" w:sz="4" w:space="0" w:color="auto"/>
            </w:tcBorders>
            <w:shd w:val="clear" w:color="auto" w:fill="auto"/>
            <w:noWrap/>
            <w:vAlign w:val="bottom"/>
            <w:hideMark/>
          </w:tcPr>
          <w:p w14:paraId="4E9F4A4E"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0,00</w:t>
            </w:r>
          </w:p>
        </w:tc>
        <w:tc>
          <w:tcPr>
            <w:tcW w:w="766" w:type="dxa"/>
            <w:tcBorders>
              <w:top w:val="nil"/>
              <w:left w:val="nil"/>
              <w:bottom w:val="single" w:sz="4" w:space="0" w:color="auto"/>
              <w:right w:val="single" w:sz="8" w:space="0" w:color="auto"/>
            </w:tcBorders>
            <w:shd w:val="clear" w:color="auto" w:fill="auto"/>
            <w:noWrap/>
            <w:vAlign w:val="bottom"/>
            <w:hideMark/>
          </w:tcPr>
          <w:p w14:paraId="4FF26F65"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0,0</w:t>
            </w:r>
          </w:p>
        </w:tc>
      </w:tr>
      <w:tr w:rsidR="00E07FEA" w:rsidRPr="00E07FEA" w14:paraId="1F56FBCB" w14:textId="77777777" w:rsidTr="00E07FEA">
        <w:trPr>
          <w:trHeight w:val="405"/>
        </w:trPr>
        <w:tc>
          <w:tcPr>
            <w:tcW w:w="4395" w:type="dxa"/>
            <w:tcBorders>
              <w:top w:val="nil"/>
              <w:left w:val="single" w:sz="8" w:space="0" w:color="auto"/>
              <w:bottom w:val="single" w:sz="4" w:space="0" w:color="auto"/>
              <w:right w:val="nil"/>
            </w:tcBorders>
            <w:shd w:val="clear" w:color="auto" w:fill="auto"/>
            <w:vAlign w:val="bottom"/>
            <w:hideMark/>
          </w:tcPr>
          <w:p w14:paraId="316F7E81" w14:textId="77777777" w:rsidR="00E07FEA" w:rsidRPr="00E07FEA" w:rsidRDefault="00E07FEA" w:rsidP="00E07FEA">
            <w:pPr>
              <w:spacing w:after="0" w:line="240" w:lineRule="auto"/>
              <w:rPr>
                <w:rFonts w:ascii="Calibri" w:eastAsia="Times New Roman" w:hAnsi="Calibri" w:cs="Arial"/>
                <w:sz w:val="20"/>
                <w:szCs w:val="20"/>
                <w:lang w:eastAsia="cs-CZ"/>
              </w:rPr>
            </w:pPr>
            <w:r w:rsidRPr="00E07FEA">
              <w:rPr>
                <w:rFonts w:ascii="Calibri" w:eastAsia="Times New Roman" w:hAnsi="Calibri" w:cs="Arial"/>
                <w:sz w:val="20"/>
                <w:szCs w:val="20"/>
                <w:lang w:eastAsia="cs-CZ"/>
              </w:rPr>
              <w:t xml:space="preserve">Dluhová služba </w:t>
            </w:r>
          </w:p>
        </w:tc>
        <w:tc>
          <w:tcPr>
            <w:tcW w:w="1559" w:type="dxa"/>
            <w:tcBorders>
              <w:top w:val="nil"/>
              <w:left w:val="single" w:sz="4" w:space="0" w:color="auto"/>
              <w:bottom w:val="nil"/>
              <w:right w:val="nil"/>
            </w:tcBorders>
            <w:shd w:val="clear" w:color="auto" w:fill="auto"/>
            <w:noWrap/>
            <w:vAlign w:val="bottom"/>
            <w:hideMark/>
          </w:tcPr>
          <w:p w14:paraId="1D54F933"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229 908 000</w:t>
            </w:r>
          </w:p>
        </w:tc>
        <w:tc>
          <w:tcPr>
            <w:tcW w:w="1843" w:type="dxa"/>
            <w:tcBorders>
              <w:top w:val="nil"/>
              <w:left w:val="single" w:sz="4" w:space="0" w:color="auto"/>
              <w:bottom w:val="nil"/>
              <w:right w:val="nil"/>
            </w:tcBorders>
            <w:shd w:val="clear" w:color="auto" w:fill="auto"/>
            <w:noWrap/>
            <w:vAlign w:val="bottom"/>
            <w:hideMark/>
          </w:tcPr>
          <w:p w14:paraId="5FE8E74D"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249 521 292,32</w:t>
            </w:r>
          </w:p>
        </w:tc>
        <w:tc>
          <w:tcPr>
            <w:tcW w:w="1842" w:type="dxa"/>
            <w:tcBorders>
              <w:top w:val="nil"/>
              <w:left w:val="single" w:sz="4" w:space="0" w:color="auto"/>
              <w:bottom w:val="nil"/>
              <w:right w:val="nil"/>
            </w:tcBorders>
            <w:shd w:val="clear" w:color="auto" w:fill="auto"/>
            <w:noWrap/>
            <w:vAlign w:val="bottom"/>
            <w:hideMark/>
          </w:tcPr>
          <w:p w14:paraId="04FE63A5"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211 328 527,05</w:t>
            </w:r>
          </w:p>
        </w:tc>
        <w:tc>
          <w:tcPr>
            <w:tcW w:w="766" w:type="dxa"/>
            <w:tcBorders>
              <w:top w:val="nil"/>
              <w:left w:val="single" w:sz="4" w:space="0" w:color="auto"/>
              <w:bottom w:val="single" w:sz="4" w:space="0" w:color="auto"/>
              <w:right w:val="single" w:sz="8" w:space="0" w:color="auto"/>
            </w:tcBorders>
            <w:shd w:val="clear" w:color="auto" w:fill="auto"/>
            <w:noWrap/>
            <w:vAlign w:val="bottom"/>
            <w:hideMark/>
          </w:tcPr>
          <w:p w14:paraId="2E416F48"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84,7</w:t>
            </w:r>
          </w:p>
        </w:tc>
      </w:tr>
      <w:tr w:rsidR="00E07FEA" w:rsidRPr="00E07FEA" w14:paraId="2FAB6109" w14:textId="77777777" w:rsidTr="00E07FEA">
        <w:trPr>
          <w:trHeight w:val="520"/>
        </w:trPr>
        <w:tc>
          <w:tcPr>
            <w:tcW w:w="4395" w:type="dxa"/>
            <w:tcBorders>
              <w:top w:val="nil"/>
              <w:left w:val="single" w:sz="8" w:space="0" w:color="auto"/>
              <w:bottom w:val="single" w:sz="4" w:space="0" w:color="auto"/>
              <w:right w:val="nil"/>
            </w:tcBorders>
            <w:shd w:val="clear" w:color="auto" w:fill="auto"/>
            <w:vAlign w:val="center"/>
            <w:hideMark/>
          </w:tcPr>
          <w:p w14:paraId="67065E08" w14:textId="77777777" w:rsidR="00E07FEA" w:rsidRPr="00E07FEA" w:rsidRDefault="00E07FEA" w:rsidP="00E07FEA">
            <w:pPr>
              <w:spacing w:after="0" w:line="240" w:lineRule="auto"/>
              <w:rPr>
                <w:rFonts w:ascii="Calibri" w:eastAsia="Times New Roman" w:hAnsi="Calibri" w:cs="Arial"/>
                <w:sz w:val="20"/>
                <w:szCs w:val="20"/>
                <w:lang w:eastAsia="cs-CZ"/>
              </w:rPr>
            </w:pPr>
            <w:r w:rsidRPr="00E07FEA">
              <w:rPr>
                <w:rFonts w:ascii="Calibri" w:eastAsia="Times New Roman" w:hAnsi="Calibri" w:cs="Arial"/>
                <w:sz w:val="20"/>
                <w:szCs w:val="20"/>
                <w:lang w:eastAsia="cs-CZ"/>
              </w:rPr>
              <w:t>Dotace ze státního rozpočtu a ostatních veřejných rozpočtů</w:t>
            </w:r>
          </w:p>
        </w:tc>
        <w:tc>
          <w:tcPr>
            <w:tcW w:w="1559" w:type="dxa"/>
            <w:tcBorders>
              <w:top w:val="single" w:sz="4" w:space="0" w:color="auto"/>
              <w:left w:val="single" w:sz="4" w:space="0" w:color="auto"/>
              <w:bottom w:val="nil"/>
              <w:right w:val="nil"/>
            </w:tcBorders>
            <w:shd w:val="clear" w:color="auto" w:fill="auto"/>
            <w:noWrap/>
            <w:vAlign w:val="bottom"/>
            <w:hideMark/>
          </w:tcPr>
          <w:p w14:paraId="7A523716"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21 056 000 000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18538F"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30 345 242 580,46</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234A6580"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28 473 027 449,82</w:t>
            </w:r>
          </w:p>
        </w:tc>
        <w:tc>
          <w:tcPr>
            <w:tcW w:w="766" w:type="dxa"/>
            <w:tcBorders>
              <w:top w:val="nil"/>
              <w:left w:val="nil"/>
              <w:bottom w:val="single" w:sz="4" w:space="0" w:color="auto"/>
              <w:right w:val="single" w:sz="8" w:space="0" w:color="auto"/>
            </w:tcBorders>
            <w:shd w:val="clear" w:color="auto" w:fill="auto"/>
            <w:noWrap/>
            <w:vAlign w:val="bottom"/>
            <w:hideMark/>
          </w:tcPr>
          <w:p w14:paraId="78249D17"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93,8</w:t>
            </w:r>
          </w:p>
        </w:tc>
      </w:tr>
      <w:tr w:rsidR="00E07FEA" w:rsidRPr="00E07FEA" w14:paraId="62F5D570" w14:textId="77777777" w:rsidTr="00E07FEA">
        <w:trPr>
          <w:trHeight w:val="520"/>
        </w:trPr>
        <w:tc>
          <w:tcPr>
            <w:tcW w:w="4395" w:type="dxa"/>
            <w:tcBorders>
              <w:top w:val="nil"/>
              <w:left w:val="single" w:sz="8" w:space="0" w:color="auto"/>
              <w:bottom w:val="nil"/>
              <w:right w:val="nil"/>
            </w:tcBorders>
            <w:shd w:val="clear" w:color="auto" w:fill="auto"/>
            <w:vAlign w:val="center"/>
            <w:hideMark/>
          </w:tcPr>
          <w:p w14:paraId="5CB65C7A" w14:textId="77777777" w:rsidR="00E07FEA" w:rsidRPr="00E07FEA" w:rsidRDefault="00E07FEA" w:rsidP="00E07FEA">
            <w:pPr>
              <w:spacing w:after="0" w:line="240" w:lineRule="auto"/>
              <w:rPr>
                <w:rFonts w:ascii="Calibri" w:eastAsia="Times New Roman" w:hAnsi="Calibri" w:cs="Arial"/>
                <w:sz w:val="20"/>
                <w:szCs w:val="20"/>
                <w:lang w:eastAsia="cs-CZ"/>
              </w:rPr>
            </w:pPr>
            <w:r w:rsidRPr="00E07FEA">
              <w:rPr>
                <w:rFonts w:ascii="Calibri" w:eastAsia="Times New Roman" w:hAnsi="Calibri" w:cs="Arial"/>
                <w:sz w:val="20"/>
                <w:szCs w:val="20"/>
                <w:lang w:eastAsia="cs-CZ"/>
              </w:rPr>
              <w:t>Náhrady nákladů ze státního rozpočtu (kapitola 10 - Životní prostředí a zemědělství)</w:t>
            </w:r>
          </w:p>
        </w:tc>
        <w:tc>
          <w:tcPr>
            <w:tcW w:w="1559" w:type="dxa"/>
            <w:tcBorders>
              <w:top w:val="single" w:sz="4" w:space="0" w:color="auto"/>
              <w:left w:val="single" w:sz="4" w:space="0" w:color="auto"/>
              <w:bottom w:val="nil"/>
              <w:right w:val="nil"/>
            </w:tcBorders>
            <w:shd w:val="clear" w:color="auto" w:fill="auto"/>
            <w:noWrap/>
            <w:vAlign w:val="bottom"/>
            <w:hideMark/>
          </w:tcPr>
          <w:p w14:paraId="5B0695BA"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0</w:t>
            </w:r>
          </w:p>
        </w:tc>
        <w:tc>
          <w:tcPr>
            <w:tcW w:w="1843" w:type="dxa"/>
            <w:tcBorders>
              <w:top w:val="nil"/>
              <w:left w:val="single" w:sz="4" w:space="0" w:color="auto"/>
              <w:bottom w:val="nil"/>
              <w:right w:val="single" w:sz="4" w:space="0" w:color="auto"/>
            </w:tcBorders>
            <w:shd w:val="clear" w:color="auto" w:fill="auto"/>
            <w:noWrap/>
            <w:vAlign w:val="bottom"/>
            <w:hideMark/>
          </w:tcPr>
          <w:p w14:paraId="26AADF82"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0,00</w:t>
            </w:r>
          </w:p>
        </w:tc>
        <w:tc>
          <w:tcPr>
            <w:tcW w:w="1842" w:type="dxa"/>
            <w:tcBorders>
              <w:top w:val="nil"/>
              <w:left w:val="nil"/>
              <w:bottom w:val="nil"/>
              <w:right w:val="single" w:sz="4" w:space="0" w:color="auto"/>
            </w:tcBorders>
            <w:shd w:val="clear" w:color="auto" w:fill="auto"/>
            <w:noWrap/>
            <w:vAlign w:val="bottom"/>
            <w:hideMark/>
          </w:tcPr>
          <w:p w14:paraId="044D3707"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0,00</w:t>
            </w:r>
          </w:p>
        </w:tc>
        <w:tc>
          <w:tcPr>
            <w:tcW w:w="766" w:type="dxa"/>
            <w:tcBorders>
              <w:top w:val="nil"/>
              <w:left w:val="nil"/>
              <w:bottom w:val="nil"/>
              <w:right w:val="single" w:sz="8" w:space="0" w:color="auto"/>
            </w:tcBorders>
            <w:shd w:val="clear" w:color="auto" w:fill="auto"/>
            <w:noWrap/>
            <w:vAlign w:val="bottom"/>
            <w:hideMark/>
          </w:tcPr>
          <w:p w14:paraId="2144AEE2"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w:t>
            </w:r>
          </w:p>
        </w:tc>
      </w:tr>
      <w:tr w:rsidR="00E07FEA" w:rsidRPr="00E07FEA" w14:paraId="08250C2B" w14:textId="77777777" w:rsidTr="00E07FEA">
        <w:trPr>
          <w:trHeight w:val="530"/>
        </w:trPr>
        <w:tc>
          <w:tcPr>
            <w:tcW w:w="4395" w:type="dxa"/>
            <w:tcBorders>
              <w:top w:val="single" w:sz="4" w:space="0" w:color="auto"/>
              <w:left w:val="single" w:sz="8" w:space="0" w:color="auto"/>
              <w:bottom w:val="nil"/>
              <w:right w:val="nil"/>
            </w:tcBorders>
            <w:shd w:val="clear" w:color="auto" w:fill="auto"/>
            <w:vAlign w:val="center"/>
            <w:hideMark/>
          </w:tcPr>
          <w:p w14:paraId="0C0A1284" w14:textId="77777777" w:rsidR="00E07FEA" w:rsidRPr="00E07FEA" w:rsidRDefault="00E07FEA" w:rsidP="00E07FEA">
            <w:pPr>
              <w:spacing w:after="0" w:line="240" w:lineRule="auto"/>
              <w:rPr>
                <w:rFonts w:ascii="Calibri" w:eastAsia="Times New Roman" w:hAnsi="Calibri" w:cs="Arial"/>
                <w:sz w:val="20"/>
                <w:szCs w:val="20"/>
                <w:lang w:eastAsia="cs-CZ"/>
              </w:rPr>
            </w:pPr>
            <w:r w:rsidRPr="00E07FEA">
              <w:rPr>
                <w:rFonts w:ascii="Calibri" w:eastAsia="Times New Roman" w:hAnsi="Calibri" w:cs="Arial"/>
                <w:sz w:val="20"/>
                <w:szCs w:val="20"/>
                <w:lang w:eastAsia="cs-CZ"/>
              </w:rPr>
              <w:t>Finanční vypořádání minulých let se státním rozpočtem</w:t>
            </w:r>
          </w:p>
        </w:tc>
        <w:tc>
          <w:tcPr>
            <w:tcW w:w="1559" w:type="dxa"/>
            <w:tcBorders>
              <w:top w:val="single" w:sz="4" w:space="0" w:color="auto"/>
              <w:left w:val="single" w:sz="4" w:space="0" w:color="auto"/>
              <w:bottom w:val="nil"/>
              <w:right w:val="nil"/>
            </w:tcBorders>
            <w:shd w:val="clear" w:color="auto" w:fill="auto"/>
            <w:noWrap/>
            <w:vAlign w:val="bottom"/>
            <w:hideMark/>
          </w:tcPr>
          <w:p w14:paraId="797509D9"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0</w:t>
            </w:r>
          </w:p>
        </w:tc>
        <w:tc>
          <w:tcPr>
            <w:tcW w:w="1843" w:type="dxa"/>
            <w:tcBorders>
              <w:top w:val="single" w:sz="4" w:space="0" w:color="auto"/>
              <w:left w:val="single" w:sz="4" w:space="0" w:color="auto"/>
              <w:bottom w:val="single" w:sz="8" w:space="0" w:color="auto"/>
              <w:right w:val="single" w:sz="4" w:space="0" w:color="auto"/>
            </w:tcBorders>
            <w:shd w:val="clear" w:color="auto" w:fill="auto"/>
            <w:noWrap/>
            <w:vAlign w:val="bottom"/>
            <w:hideMark/>
          </w:tcPr>
          <w:p w14:paraId="1A07B701"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440 600 283,25</w:t>
            </w:r>
          </w:p>
        </w:tc>
        <w:tc>
          <w:tcPr>
            <w:tcW w:w="1842" w:type="dxa"/>
            <w:tcBorders>
              <w:top w:val="single" w:sz="4" w:space="0" w:color="auto"/>
              <w:left w:val="nil"/>
              <w:bottom w:val="nil"/>
              <w:right w:val="single" w:sz="4" w:space="0" w:color="auto"/>
            </w:tcBorders>
            <w:shd w:val="clear" w:color="auto" w:fill="auto"/>
            <w:noWrap/>
            <w:vAlign w:val="bottom"/>
            <w:hideMark/>
          </w:tcPr>
          <w:p w14:paraId="35046DDE"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440 600 283,25</w:t>
            </w:r>
          </w:p>
        </w:tc>
        <w:tc>
          <w:tcPr>
            <w:tcW w:w="766" w:type="dxa"/>
            <w:tcBorders>
              <w:top w:val="single" w:sz="4" w:space="0" w:color="auto"/>
              <w:left w:val="nil"/>
              <w:bottom w:val="nil"/>
              <w:right w:val="single" w:sz="8" w:space="0" w:color="auto"/>
            </w:tcBorders>
            <w:shd w:val="clear" w:color="auto" w:fill="auto"/>
            <w:noWrap/>
            <w:vAlign w:val="bottom"/>
            <w:hideMark/>
          </w:tcPr>
          <w:p w14:paraId="05F7A296" w14:textId="77777777" w:rsidR="00E07FEA" w:rsidRPr="00E07FEA" w:rsidRDefault="00E07FEA" w:rsidP="00E07FEA">
            <w:pPr>
              <w:spacing w:after="0" w:line="240" w:lineRule="auto"/>
              <w:jc w:val="right"/>
              <w:rPr>
                <w:rFonts w:ascii="Calibri" w:eastAsia="Times New Roman" w:hAnsi="Calibri" w:cs="Arial"/>
                <w:sz w:val="20"/>
                <w:szCs w:val="20"/>
                <w:lang w:eastAsia="cs-CZ"/>
              </w:rPr>
            </w:pPr>
            <w:r w:rsidRPr="00E07FEA">
              <w:rPr>
                <w:rFonts w:ascii="Calibri" w:eastAsia="Times New Roman" w:hAnsi="Calibri" w:cs="Arial"/>
                <w:sz w:val="20"/>
                <w:szCs w:val="20"/>
                <w:lang w:eastAsia="cs-CZ"/>
              </w:rPr>
              <w:t>100,0</w:t>
            </w:r>
          </w:p>
        </w:tc>
      </w:tr>
      <w:tr w:rsidR="00E07FEA" w:rsidRPr="00E07FEA" w14:paraId="3E4C581D" w14:textId="77777777" w:rsidTr="00E07FEA">
        <w:trPr>
          <w:trHeight w:val="360"/>
        </w:trPr>
        <w:tc>
          <w:tcPr>
            <w:tcW w:w="4395" w:type="dxa"/>
            <w:tcBorders>
              <w:top w:val="single" w:sz="8" w:space="0" w:color="auto"/>
              <w:left w:val="single" w:sz="8" w:space="0" w:color="auto"/>
              <w:bottom w:val="single" w:sz="8" w:space="0" w:color="auto"/>
              <w:right w:val="nil"/>
            </w:tcBorders>
            <w:shd w:val="clear" w:color="auto" w:fill="auto"/>
            <w:noWrap/>
            <w:vAlign w:val="bottom"/>
            <w:hideMark/>
          </w:tcPr>
          <w:p w14:paraId="10507F87" w14:textId="77777777" w:rsidR="00E07FEA" w:rsidRPr="00E07FEA" w:rsidRDefault="00E07FEA" w:rsidP="00E07FEA">
            <w:pPr>
              <w:spacing w:after="0" w:line="240" w:lineRule="auto"/>
              <w:rPr>
                <w:rFonts w:ascii="Calibri" w:eastAsia="Times New Roman" w:hAnsi="Calibri" w:cs="Arial"/>
                <w:b/>
                <w:bCs/>
                <w:sz w:val="24"/>
                <w:szCs w:val="24"/>
                <w:lang w:eastAsia="cs-CZ"/>
              </w:rPr>
            </w:pPr>
            <w:r w:rsidRPr="00E07FEA">
              <w:rPr>
                <w:rFonts w:ascii="Calibri" w:eastAsia="Times New Roman" w:hAnsi="Calibri" w:cs="Arial"/>
                <w:b/>
                <w:bCs/>
                <w:sz w:val="24"/>
                <w:szCs w:val="24"/>
                <w:lang w:eastAsia="cs-CZ"/>
              </w:rPr>
              <w:t>Výdaje celkem</w:t>
            </w:r>
          </w:p>
        </w:tc>
        <w:tc>
          <w:tcPr>
            <w:tcW w:w="1559" w:type="dxa"/>
            <w:tcBorders>
              <w:top w:val="single" w:sz="8" w:space="0" w:color="auto"/>
              <w:left w:val="single" w:sz="4" w:space="0" w:color="auto"/>
              <w:bottom w:val="single" w:sz="8" w:space="0" w:color="auto"/>
              <w:right w:val="single" w:sz="4" w:space="0" w:color="auto"/>
            </w:tcBorders>
            <w:shd w:val="clear" w:color="auto" w:fill="auto"/>
            <w:noWrap/>
            <w:vAlign w:val="bottom"/>
            <w:hideMark/>
          </w:tcPr>
          <w:p w14:paraId="7B391077" w14:textId="77777777" w:rsidR="00E07FEA" w:rsidRPr="00E07FEA" w:rsidRDefault="00E07FEA" w:rsidP="00E07FEA">
            <w:pPr>
              <w:spacing w:after="0" w:line="240" w:lineRule="auto"/>
              <w:jc w:val="right"/>
              <w:rPr>
                <w:rFonts w:ascii="Calibri" w:eastAsia="Times New Roman" w:hAnsi="Calibri" w:cs="Arial"/>
                <w:b/>
                <w:bCs/>
                <w:lang w:eastAsia="cs-CZ"/>
              </w:rPr>
            </w:pPr>
            <w:r w:rsidRPr="00E07FEA">
              <w:rPr>
                <w:rFonts w:ascii="Calibri" w:eastAsia="Times New Roman" w:hAnsi="Calibri" w:cs="Arial"/>
                <w:b/>
                <w:bCs/>
                <w:lang w:eastAsia="cs-CZ"/>
              </w:rPr>
              <w:t>33 145 395 200</w:t>
            </w:r>
          </w:p>
        </w:tc>
        <w:tc>
          <w:tcPr>
            <w:tcW w:w="1843" w:type="dxa"/>
            <w:tcBorders>
              <w:top w:val="nil"/>
              <w:left w:val="nil"/>
              <w:bottom w:val="single" w:sz="8" w:space="0" w:color="auto"/>
              <w:right w:val="single" w:sz="4" w:space="0" w:color="auto"/>
            </w:tcBorders>
            <w:shd w:val="clear" w:color="auto" w:fill="auto"/>
            <w:noWrap/>
            <w:vAlign w:val="bottom"/>
            <w:hideMark/>
          </w:tcPr>
          <w:p w14:paraId="5739AECC" w14:textId="77777777" w:rsidR="00E07FEA" w:rsidRPr="00E07FEA" w:rsidRDefault="00E07FEA" w:rsidP="00E07FEA">
            <w:pPr>
              <w:spacing w:after="0" w:line="240" w:lineRule="auto"/>
              <w:jc w:val="right"/>
              <w:rPr>
                <w:rFonts w:ascii="Calibri" w:eastAsia="Times New Roman" w:hAnsi="Calibri" w:cs="Arial"/>
                <w:b/>
                <w:bCs/>
                <w:lang w:eastAsia="cs-CZ"/>
              </w:rPr>
            </w:pPr>
            <w:r w:rsidRPr="00E07FEA">
              <w:rPr>
                <w:rFonts w:ascii="Calibri" w:eastAsia="Times New Roman" w:hAnsi="Calibri" w:cs="Arial"/>
                <w:b/>
                <w:bCs/>
                <w:lang w:eastAsia="cs-CZ"/>
              </w:rPr>
              <w:t>46 707 975 719,19</w:t>
            </w:r>
          </w:p>
        </w:tc>
        <w:tc>
          <w:tcPr>
            <w:tcW w:w="1842" w:type="dxa"/>
            <w:tcBorders>
              <w:top w:val="single" w:sz="8" w:space="0" w:color="auto"/>
              <w:left w:val="nil"/>
              <w:bottom w:val="single" w:sz="8" w:space="0" w:color="auto"/>
              <w:right w:val="single" w:sz="4" w:space="0" w:color="auto"/>
            </w:tcBorders>
            <w:shd w:val="clear" w:color="auto" w:fill="auto"/>
            <w:noWrap/>
            <w:vAlign w:val="bottom"/>
            <w:hideMark/>
          </w:tcPr>
          <w:p w14:paraId="5AF3B4D4" w14:textId="77777777" w:rsidR="00E07FEA" w:rsidRPr="00E07FEA" w:rsidRDefault="00E07FEA" w:rsidP="00E07FEA">
            <w:pPr>
              <w:spacing w:after="0" w:line="240" w:lineRule="auto"/>
              <w:jc w:val="right"/>
              <w:rPr>
                <w:rFonts w:ascii="Calibri" w:eastAsia="Times New Roman" w:hAnsi="Calibri" w:cs="Arial"/>
                <w:b/>
                <w:bCs/>
                <w:lang w:eastAsia="cs-CZ"/>
              </w:rPr>
            </w:pPr>
            <w:r w:rsidRPr="00E07FEA">
              <w:rPr>
                <w:rFonts w:ascii="Calibri" w:eastAsia="Times New Roman" w:hAnsi="Calibri" w:cs="Arial"/>
                <w:b/>
                <w:bCs/>
                <w:lang w:eastAsia="cs-CZ"/>
              </w:rPr>
              <w:t>41 570 701 132,03</w:t>
            </w:r>
          </w:p>
        </w:tc>
        <w:tc>
          <w:tcPr>
            <w:tcW w:w="766" w:type="dxa"/>
            <w:tcBorders>
              <w:top w:val="single" w:sz="8" w:space="0" w:color="auto"/>
              <w:left w:val="nil"/>
              <w:bottom w:val="single" w:sz="8" w:space="0" w:color="auto"/>
              <w:right w:val="single" w:sz="8" w:space="0" w:color="auto"/>
            </w:tcBorders>
            <w:shd w:val="clear" w:color="auto" w:fill="auto"/>
            <w:noWrap/>
            <w:vAlign w:val="bottom"/>
            <w:hideMark/>
          </w:tcPr>
          <w:p w14:paraId="526D185C" w14:textId="77777777" w:rsidR="00E07FEA" w:rsidRPr="00E07FEA" w:rsidRDefault="00E07FEA" w:rsidP="00E07FEA">
            <w:pPr>
              <w:spacing w:after="0" w:line="240" w:lineRule="auto"/>
              <w:jc w:val="right"/>
              <w:rPr>
                <w:rFonts w:ascii="Calibri" w:eastAsia="Times New Roman" w:hAnsi="Calibri" w:cs="Arial"/>
                <w:b/>
                <w:bCs/>
                <w:lang w:eastAsia="cs-CZ"/>
              </w:rPr>
            </w:pPr>
            <w:r w:rsidRPr="00E07FEA">
              <w:rPr>
                <w:rFonts w:ascii="Calibri" w:eastAsia="Times New Roman" w:hAnsi="Calibri" w:cs="Arial"/>
                <w:b/>
                <w:bCs/>
                <w:lang w:eastAsia="cs-CZ"/>
              </w:rPr>
              <w:t>89,0</w:t>
            </w:r>
          </w:p>
        </w:tc>
      </w:tr>
    </w:tbl>
    <w:p w14:paraId="355F0433" w14:textId="40C008EC" w:rsidR="00E07FEA" w:rsidRDefault="00E07FEA">
      <w:pPr>
        <w:sectPr w:rsidR="00E07FEA" w:rsidSect="00561061">
          <w:footerReference w:type="default" r:id="rId7"/>
          <w:pgSz w:w="11906" w:h="16838"/>
          <w:pgMar w:top="1134" w:right="851" w:bottom="1134" w:left="567" w:header="709" w:footer="709" w:gutter="0"/>
          <w:cols w:space="708"/>
          <w:docGrid w:linePitch="360"/>
        </w:sectPr>
      </w:pPr>
    </w:p>
    <w:tbl>
      <w:tblPr>
        <w:tblW w:w="15186" w:type="dxa"/>
        <w:tblCellMar>
          <w:left w:w="70" w:type="dxa"/>
          <w:right w:w="70" w:type="dxa"/>
        </w:tblCellMar>
        <w:tblLook w:val="04A0" w:firstRow="1" w:lastRow="0" w:firstColumn="1" w:lastColumn="0" w:noHBand="0" w:noVBand="1"/>
      </w:tblPr>
      <w:tblGrid>
        <w:gridCol w:w="4536"/>
        <w:gridCol w:w="1560"/>
        <w:gridCol w:w="1150"/>
        <w:gridCol w:w="1860"/>
        <w:gridCol w:w="1828"/>
        <w:gridCol w:w="1701"/>
        <w:gridCol w:w="1789"/>
        <w:gridCol w:w="766"/>
      </w:tblGrid>
      <w:tr w:rsidR="00FA48C7" w:rsidRPr="00FA48C7" w14:paraId="6B9A7E8A" w14:textId="77777777" w:rsidTr="00E07FEA">
        <w:trPr>
          <w:trHeight w:val="480"/>
        </w:trPr>
        <w:tc>
          <w:tcPr>
            <w:tcW w:w="7246" w:type="dxa"/>
            <w:gridSpan w:val="3"/>
            <w:tcBorders>
              <w:top w:val="nil"/>
              <w:left w:val="nil"/>
              <w:bottom w:val="nil"/>
              <w:right w:val="nil"/>
            </w:tcBorders>
            <w:shd w:val="clear" w:color="auto" w:fill="auto"/>
            <w:noWrap/>
            <w:vAlign w:val="bottom"/>
            <w:hideMark/>
          </w:tcPr>
          <w:p w14:paraId="291837CC" w14:textId="77777777" w:rsidR="00FA48C7" w:rsidRPr="00FA48C7" w:rsidRDefault="00FA48C7" w:rsidP="00FA48C7">
            <w:pPr>
              <w:spacing w:after="0" w:line="240" w:lineRule="auto"/>
              <w:rPr>
                <w:rFonts w:ascii="Calibri" w:eastAsia="Times New Roman" w:hAnsi="Calibri" w:cs="Arial"/>
                <w:b/>
                <w:bCs/>
                <w:sz w:val="36"/>
                <w:szCs w:val="36"/>
                <w:lang w:eastAsia="cs-CZ"/>
              </w:rPr>
            </w:pPr>
            <w:r w:rsidRPr="00FA48C7">
              <w:rPr>
                <w:rFonts w:ascii="Calibri" w:eastAsia="Times New Roman" w:hAnsi="Calibri" w:cs="Arial"/>
                <w:b/>
                <w:bCs/>
                <w:sz w:val="36"/>
                <w:szCs w:val="36"/>
                <w:lang w:eastAsia="cs-CZ"/>
              </w:rPr>
              <w:lastRenderedPageBreak/>
              <w:t xml:space="preserve">Čerpání rozpočtu Středočeského kraje </w:t>
            </w:r>
          </w:p>
        </w:tc>
        <w:tc>
          <w:tcPr>
            <w:tcW w:w="1860" w:type="dxa"/>
            <w:tcBorders>
              <w:top w:val="nil"/>
              <w:left w:val="nil"/>
              <w:bottom w:val="nil"/>
              <w:right w:val="nil"/>
            </w:tcBorders>
            <w:shd w:val="clear" w:color="auto" w:fill="auto"/>
            <w:noWrap/>
            <w:vAlign w:val="bottom"/>
            <w:hideMark/>
          </w:tcPr>
          <w:p w14:paraId="212151AC" w14:textId="77777777" w:rsidR="00FA48C7" w:rsidRPr="00FA48C7" w:rsidRDefault="00FA48C7" w:rsidP="00FA48C7">
            <w:pPr>
              <w:spacing w:after="0" w:line="240" w:lineRule="auto"/>
              <w:rPr>
                <w:rFonts w:ascii="Calibri" w:eastAsia="Times New Roman" w:hAnsi="Calibri" w:cs="Arial"/>
                <w:b/>
                <w:bCs/>
                <w:sz w:val="36"/>
                <w:szCs w:val="36"/>
                <w:lang w:eastAsia="cs-CZ"/>
              </w:rPr>
            </w:pPr>
          </w:p>
        </w:tc>
        <w:tc>
          <w:tcPr>
            <w:tcW w:w="1828" w:type="dxa"/>
            <w:tcBorders>
              <w:top w:val="nil"/>
              <w:left w:val="nil"/>
              <w:bottom w:val="nil"/>
              <w:right w:val="nil"/>
            </w:tcBorders>
            <w:shd w:val="clear" w:color="auto" w:fill="auto"/>
            <w:noWrap/>
            <w:vAlign w:val="bottom"/>
            <w:hideMark/>
          </w:tcPr>
          <w:p w14:paraId="1646EEAE" w14:textId="77777777" w:rsidR="00FA48C7" w:rsidRPr="00FA48C7" w:rsidRDefault="00FA48C7" w:rsidP="00FA48C7">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3A3F4FB8" w14:textId="77777777" w:rsidR="00FA48C7" w:rsidRPr="00FA48C7" w:rsidRDefault="00FA48C7" w:rsidP="00FA48C7">
            <w:pPr>
              <w:spacing w:after="0" w:line="240" w:lineRule="auto"/>
              <w:rPr>
                <w:rFonts w:ascii="Times New Roman" w:eastAsia="Times New Roman" w:hAnsi="Times New Roman" w:cs="Times New Roman"/>
                <w:sz w:val="20"/>
                <w:szCs w:val="20"/>
                <w:lang w:eastAsia="cs-CZ"/>
              </w:rPr>
            </w:pPr>
          </w:p>
        </w:tc>
        <w:tc>
          <w:tcPr>
            <w:tcW w:w="1789" w:type="dxa"/>
            <w:tcBorders>
              <w:top w:val="nil"/>
              <w:left w:val="nil"/>
              <w:bottom w:val="nil"/>
              <w:right w:val="nil"/>
            </w:tcBorders>
            <w:shd w:val="clear" w:color="auto" w:fill="auto"/>
            <w:noWrap/>
            <w:vAlign w:val="bottom"/>
            <w:hideMark/>
          </w:tcPr>
          <w:p w14:paraId="29E21CC3" w14:textId="77777777" w:rsidR="00FA48C7" w:rsidRPr="00FA48C7" w:rsidRDefault="00FA48C7" w:rsidP="00FA48C7">
            <w:pPr>
              <w:spacing w:after="0" w:line="240" w:lineRule="auto"/>
              <w:rPr>
                <w:rFonts w:ascii="Times New Roman" w:eastAsia="Times New Roman" w:hAnsi="Times New Roman" w:cs="Times New Roman"/>
                <w:sz w:val="20"/>
                <w:szCs w:val="20"/>
                <w:lang w:eastAsia="cs-CZ"/>
              </w:rPr>
            </w:pPr>
          </w:p>
        </w:tc>
        <w:tc>
          <w:tcPr>
            <w:tcW w:w="762" w:type="dxa"/>
            <w:tcBorders>
              <w:top w:val="nil"/>
              <w:left w:val="nil"/>
              <w:bottom w:val="nil"/>
              <w:right w:val="nil"/>
            </w:tcBorders>
            <w:shd w:val="clear" w:color="auto" w:fill="auto"/>
            <w:noWrap/>
            <w:vAlign w:val="bottom"/>
            <w:hideMark/>
          </w:tcPr>
          <w:p w14:paraId="6276334A" w14:textId="77777777" w:rsidR="00FA48C7" w:rsidRPr="00FA48C7" w:rsidRDefault="00FA48C7" w:rsidP="00FA48C7">
            <w:pPr>
              <w:spacing w:after="0" w:line="240" w:lineRule="auto"/>
              <w:rPr>
                <w:rFonts w:ascii="Times New Roman" w:eastAsia="Times New Roman" w:hAnsi="Times New Roman" w:cs="Times New Roman"/>
                <w:sz w:val="20"/>
                <w:szCs w:val="20"/>
                <w:lang w:eastAsia="cs-CZ"/>
              </w:rPr>
            </w:pPr>
          </w:p>
        </w:tc>
      </w:tr>
      <w:tr w:rsidR="00FA48C7" w:rsidRPr="00FA48C7" w14:paraId="1A84FE32" w14:textId="77777777" w:rsidTr="00E07FEA">
        <w:trPr>
          <w:trHeight w:val="390"/>
        </w:trPr>
        <w:tc>
          <w:tcPr>
            <w:tcW w:w="4536" w:type="dxa"/>
            <w:tcBorders>
              <w:top w:val="nil"/>
              <w:left w:val="nil"/>
              <w:bottom w:val="nil"/>
              <w:right w:val="nil"/>
            </w:tcBorders>
            <w:shd w:val="clear" w:color="auto" w:fill="auto"/>
            <w:noWrap/>
            <w:vAlign w:val="bottom"/>
            <w:hideMark/>
          </w:tcPr>
          <w:p w14:paraId="20F55A1D" w14:textId="77777777" w:rsidR="00FA48C7" w:rsidRPr="00FA48C7" w:rsidRDefault="00FA48C7" w:rsidP="00FA48C7">
            <w:pPr>
              <w:spacing w:after="0" w:line="240" w:lineRule="auto"/>
              <w:rPr>
                <w:rFonts w:ascii="Calibri" w:eastAsia="Times New Roman" w:hAnsi="Calibri" w:cs="Arial"/>
                <w:b/>
                <w:bCs/>
                <w:sz w:val="28"/>
                <w:szCs w:val="28"/>
                <w:lang w:eastAsia="cs-CZ"/>
              </w:rPr>
            </w:pPr>
            <w:r w:rsidRPr="00FA48C7">
              <w:rPr>
                <w:rFonts w:ascii="Calibri" w:eastAsia="Times New Roman" w:hAnsi="Calibri" w:cs="Arial"/>
                <w:b/>
                <w:bCs/>
                <w:sz w:val="28"/>
                <w:szCs w:val="28"/>
                <w:lang w:eastAsia="cs-CZ"/>
              </w:rPr>
              <w:t>Období: 1. - 12. 2021</w:t>
            </w:r>
          </w:p>
        </w:tc>
        <w:tc>
          <w:tcPr>
            <w:tcW w:w="1560" w:type="dxa"/>
            <w:tcBorders>
              <w:top w:val="nil"/>
              <w:left w:val="nil"/>
              <w:bottom w:val="nil"/>
              <w:right w:val="nil"/>
            </w:tcBorders>
            <w:shd w:val="clear" w:color="auto" w:fill="auto"/>
            <w:noWrap/>
            <w:vAlign w:val="bottom"/>
            <w:hideMark/>
          </w:tcPr>
          <w:p w14:paraId="7F8EC640" w14:textId="77777777" w:rsidR="00FA48C7" w:rsidRPr="00FA48C7" w:rsidRDefault="00FA48C7" w:rsidP="00FA48C7">
            <w:pPr>
              <w:spacing w:after="0" w:line="240" w:lineRule="auto"/>
              <w:rPr>
                <w:rFonts w:ascii="Calibri" w:eastAsia="Times New Roman" w:hAnsi="Calibri" w:cs="Arial"/>
                <w:b/>
                <w:bCs/>
                <w:sz w:val="28"/>
                <w:szCs w:val="28"/>
                <w:lang w:eastAsia="cs-CZ"/>
              </w:rPr>
            </w:pPr>
          </w:p>
        </w:tc>
        <w:tc>
          <w:tcPr>
            <w:tcW w:w="1150" w:type="dxa"/>
            <w:tcBorders>
              <w:top w:val="nil"/>
              <w:left w:val="nil"/>
              <w:bottom w:val="nil"/>
              <w:right w:val="nil"/>
            </w:tcBorders>
            <w:shd w:val="clear" w:color="auto" w:fill="auto"/>
            <w:noWrap/>
            <w:vAlign w:val="bottom"/>
            <w:hideMark/>
          </w:tcPr>
          <w:p w14:paraId="23587C8A" w14:textId="77777777" w:rsidR="00FA48C7" w:rsidRPr="00FA48C7" w:rsidRDefault="00FA48C7" w:rsidP="00FA48C7">
            <w:pPr>
              <w:spacing w:after="0" w:line="240" w:lineRule="auto"/>
              <w:rPr>
                <w:rFonts w:ascii="Times New Roman" w:eastAsia="Times New Roman" w:hAnsi="Times New Roman" w:cs="Times New Roman"/>
                <w:sz w:val="20"/>
                <w:szCs w:val="20"/>
                <w:lang w:eastAsia="cs-CZ"/>
              </w:rPr>
            </w:pPr>
          </w:p>
        </w:tc>
        <w:tc>
          <w:tcPr>
            <w:tcW w:w="1860" w:type="dxa"/>
            <w:tcBorders>
              <w:top w:val="nil"/>
              <w:left w:val="nil"/>
              <w:bottom w:val="nil"/>
              <w:right w:val="nil"/>
            </w:tcBorders>
            <w:shd w:val="clear" w:color="auto" w:fill="auto"/>
            <w:noWrap/>
            <w:vAlign w:val="bottom"/>
            <w:hideMark/>
          </w:tcPr>
          <w:p w14:paraId="14AE7435" w14:textId="77777777" w:rsidR="00FA48C7" w:rsidRPr="00FA48C7" w:rsidRDefault="00FA48C7" w:rsidP="00FA48C7">
            <w:pPr>
              <w:spacing w:after="0" w:line="240" w:lineRule="auto"/>
              <w:rPr>
                <w:rFonts w:ascii="Times New Roman" w:eastAsia="Times New Roman" w:hAnsi="Times New Roman" w:cs="Times New Roman"/>
                <w:sz w:val="20"/>
                <w:szCs w:val="20"/>
                <w:lang w:eastAsia="cs-CZ"/>
              </w:rPr>
            </w:pPr>
          </w:p>
        </w:tc>
        <w:tc>
          <w:tcPr>
            <w:tcW w:w="1828" w:type="dxa"/>
            <w:tcBorders>
              <w:top w:val="nil"/>
              <w:left w:val="nil"/>
              <w:bottom w:val="nil"/>
              <w:right w:val="nil"/>
            </w:tcBorders>
            <w:shd w:val="clear" w:color="auto" w:fill="auto"/>
            <w:noWrap/>
            <w:vAlign w:val="bottom"/>
            <w:hideMark/>
          </w:tcPr>
          <w:p w14:paraId="03ACBFF8" w14:textId="77777777" w:rsidR="00FA48C7" w:rsidRPr="00FA48C7" w:rsidRDefault="00FA48C7" w:rsidP="00FA48C7">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154D2EBD" w14:textId="77777777" w:rsidR="00FA48C7" w:rsidRPr="00FA48C7" w:rsidRDefault="00FA48C7" w:rsidP="00FA48C7">
            <w:pPr>
              <w:spacing w:after="0" w:line="240" w:lineRule="auto"/>
              <w:rPr>
                <w:rFonts w:ascii="Times New Roman" w:eastAsia="Times New Roman" w:hAnsi="Times New Roman" w:cs="Times New Roman"/>
                <w:sz w:val="20"/>
                <w:szCs w:val="20"/>
                <w:lang w:eastAsia="cs-CZ"/>
              </w:rPr>
            </w:pPr>
          </w:p>
        </w:tc>
        <w:tc>
          <w:tcPr>
            <w:tcW w:w="1789" w:type="dxa"/>
            <w:tcBorders>
              <w:top w:val="nil"/>
              <w:left w:val="nil"/>
              <w:bottom w:val="nil"/>
              <w:right w:val="nil"/>
            </w:tcBorders>
            <w:shd w:val="clear" w:color="auto" w:fill="auto"/>
            <w:noWrap/>
            <w:vAlign w:val="bottom"/>
            <w:hideMark/>
          </w:tcPr>
          <w:p w14:paraId="4D06D17D" w14:textId="77777777" w:rsidR="00FA48C7" w:rsidRPr="00FA48C7" w:rsidRDefault="00FA48C7" w:rsidP="00FA48C7">
            <w:pPr>
              <w:spacing w:after="0" w:line="240" w:lineRule="auto"/>
              <w:rPr>
                <w:rFonts w:ascii="Times New Roman" w:eastAsia="Times New Roman" w:hAnsi="Times New Roman" w:cs="Times New Roman"/>
                <w:sz w:val="20"/>
                <w:szCs w:val="20"/>
                <w:lang w:eastAsia="cs-CZ"/>
              </w:rPr>
            </w:pPr>
          </w:p>
        </w:tc>
        <w:tc>
          <w:tcPr>
            <w:tcW w:w="762" w:type="dxa"/>
            <w:tcBorders>
              <w:top w:val="nil"/>
              <w:left w:val="nil"/>
              <w:bottom w:val="nil"/>
              <w:right w:val="nil"/>
            </w:tcBorders>
            <w:shd w:val="clear" w:color="auto" w:fill="auto"/>
            <w:noWrap/>
            <w:vAlign w:val="bottom"/>
            <w:hideMark/>
          </w:tcPr>
          <w:p w14:paraId="199F9788" w14:textId="77777777" w:rsidR="00FA48C7" w:rsidRPr="00FA48C7" w:rsidRDefault="00FA48C7" w:rsidP="00FA48C7">
            <w:pPr>
              <w:spacing w:after="0" w:line="240" w:lineRule="auto"/>
              <w:rPr>
                <w:rFonts w:ascii="Times New Roman" w:eastAsia="Times New Roman" w:hAnsi="Times New Roman" w:cs="Times New Roman"/>
                <w:sz w:val="20"/>
                <w:szCs w:val="20"/>
                <w:lang w:eastAsia="cs-CZ"/>
              </w:rPr>
            </w:pPr>
          </w:p>
        </w:tc>
      </w:tr>
      <w:tr w:rsidR="00FA48C7" w:rsidRPr="00FA48C7" w14:paraId="063D22E4" w14:textId="77777777" w:rsidTr="00E07FEA">
        <w:trPr>
          <w:trHeight w:val="210"/>
        </w:trPr>
        <w:tc>
          <w:tcPr>
            <w:tcW w:w="4536" w:type="dxa"/>
            <w:tcBorders>
              <w:top w:val="nil"/>
              <w:left w:val="nil"/>
              <w:bottom w:val="nil"/>
              <w:right w:val="nil"/>
            </w:tcBorders>
            <w:shd w:val="clear" w:color="auto" w:fill="auto"/>
            <w:noWrap/>
            <w:vAlign w:val="bottom"/>
            <w:hideMark/>
          </w:tcPr>
          <w:p w14:paraId="7B188A12" w14:textId="77777777" w:rsidR="00FA48C7" w:rsidRPr="00FA48C7" w:rsidRDefault="00FA48C7" w:rsidP="00FA48C7">
            <w:pPr>
              <w:spacing w:after="0" w:line="240" w:lineRule="auto"/>
              <w:rPr>
                <w:rFonts w:ascii="Times New Roman" w:eastAsia="Times New Roman" w:hAnsi="Times New Roman" w:cs="Times New Roman"/>
                <w:sz w:val="20"/>
                <w:szCs w:val="20"/>
                <w:lang w:eastAsia="cs-CZ"/>
              </w:rPr>
            </w:pPr>
          </w:p>
        </w:tc>
        <w:tc>
          <w:tcPr>
            <w:tcW w:w="1560" w:type="dxa"/>
            <w:tcBorders>
              <w:top w:val="nil"/>
              <w:left w:val="nil"/>
              <w:bottom w:val="nil"/>
              <w:right w:val="nil"/>
            </w:tcBorders>
            <w:shd w:val="clear" w:color="auto" w:fill="auto"/>
            <w:noWrap/>
            <w:vAlign w:val="bottom"/>
            <w:hideMark/>
          </w:tcPr>
          <w:p w14:paraId="7775C06F" w14:textId="77777777" w:rsidR="00FA48C7" w:rsidRPr="00FA48C7" w:rsidRDefault="00FA48C7" w:rsidP="00FA48C7">
            <w:pPr>
              <w:spacing w:after="0" w:line="240" w:lineRule="auto"/>
              <w:rPr>
                <w:rFonts w:ascii="Times New Roman" w:eastAsia="Times New Roman" w:hAnsi="Times New Roman" w:cs="Times New Roman"/>
                <w:sz w:val="20"/>
                <w:szCs w:val="20"/>
                <w:lang w:eastAsia="cs-CZ"/>
              </w:rPr>
            </w:pPr>
          </w:p>
        </w:tc>
        <w:tc>
          <w:tcPr>
            <w:tcW w:w="1150" w:type="dxa"/>
            <w:tcBorders>
              <w:top w:val="nil"/>
              <w:left w:val="nil"/>
              <w:bottom w:val="nil"/>
              <w:right w:val="nil"/>
            </w:tcBorders>
            <w:shd w:val="clear" w:color="auto" w:fill="auto"/>
            <w:noWrap/>
            <w:vAlign w:val="bottom"/>
            <w:hideMark/>
          </w:tcPr>
          <w:p w14:paraId="7B6451BD" w14:textId="77777777" w:rsidR="00FA48C7" w:rsidRPr="00FA48C7" w:rsidRDefault="00FA48C7" w:rsidP="00FA48C7">
            <w:pPr>
              <w:spacing w:after="0" w:line="240" w:lineRule="auto"/>
              <w:rPr>
                <w:rFonts w:ascii="Times New Roman" w:eastAsia="Times New Roman" w:hAnsi="Times New Roman" w:cs="Times New Roman"/>
                <w:sz w:val="20"/>
                <w:szCs w:val="20"/>
                <w:lang w:eastAsia="cs-CZ"/>
              </w:rPr>
            </w:pPr>
          </w:p>
        </w:tc>
        <w:tc>
          <w:tcPr>
            <w:tcW w:w="1860" w:type="dxa"/>
            <w:tcBorders>
              <w:top w:val="nil"/>
              <w:left w:val="nil"/>
              <w:bottom w:val="nil"/>
              <w:right w:val="nil"/>
            </w:tcBorders>
            <w:shd w:val="clear" w:color="auto" w:fill="auto"/>
            <w:noWrap/>
            <w:vAlign w:val="bottom"/>
            <w:hideMark/>
          </w:tcPr>
          <w:p w14:paraId="52A0C3C2" w14:textId="77777777" w:rsidR="00FA48C7" w:rsidRPr="00FA48C7" w:rsidRDefault="00FA48C7" w:rsidP="00FA48C7">
            <w:pPr>
              <w:spacing w:after="0" w:line="240" w:lineRule="auto"/>
              <w:rPr>
                <w:rFonts w:ascii="Times New Roman" w:eastAsia="Times New Roman" w:hAnsi="Times New Roman" w:cs="Times New Roman"/>
                <w:sz w:val="20"/>
                <w:szCs w:val="20"/>
                <w:lang w:eastAsia="cs-CZ"/>
              </w:rPr>
            </w:pPr>
          </w:p>
        </w:tc>
        <w:tc>
          <w:tcPr>
            <w:tcW w:w="1828" w:type="dxa"/>
            <w:tcBorders>
              <w:top w:val="nil"/>
              <w:left w:val="nil"/>
              <w:bottom w:val="nil"/>
              <w:right w:val="nil"/>
            </w:tcBorders>
            <w:shd w:val="clear" w:color="auto" w:fill="auto"/>
            <w:noWrap/>
            <w:vAlign w:val="bottom"/>
            <w:hideMark/>
          </w:tcPr>
          <w:p w14:paraId="7C82CC4E" w14:textId="77777777" w:rsidR="00FA48C7" w:rsidRPr="00FA48C7" w:rsidRDefault="00FA48C7" w:rsidP="00FA48C7">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40E4BC94" w14:textId="77777777" w:rsidR="00FA48C7" w:rsidRPr="00FA48C7" w:rsidRDefault="00FA48C7" w:rsidP="00FA48C7">
            <w:pPr>
              <w:spacing w:after="0" w:line="240" w:lineRule="auto"/>
              <w:rPr>
                <w:rFonts w:ascii="Times New Roman" w:eastAsia="Times New Roman" w:hAnsi="Times New Roman" w:cs="Times New Roman"/>
                <w:sz w:val="20"/>
                <w:szCs w:val="20"/>
                <w:lang w:eastAsia="cs-CZ"/>
              </w:rPr>
            </w:pPr>
          </w:p>
        </w:tc>
        <w:tc>
          <w:tcPr>
            <w:tcW w:w="1789" w:type="dxa"/>
            <w:tcBorders>
              <w:top w:val="nil"/>
              <w:left w:val="nil"/>
              <w:bottom w:val="nil"/>
              <w:right w:val="nil"/>
            </w:tcBorders>
            <w:shd w:val="clear" w:color="auto" w:fill="auto"/>
            <w:noWrap/>
            <w:vAlign w:val="bottom"/>
            <w:hideMark/>
          </w:tcPr>
          <w:p w14:paraId="22235781" w14:textId="77777777" w:rsidR="00FA48C7" w:rsidRPr="00FA48C7" w:rsidRDefault="00FA48C7" w:rsidP="00FA48C7">
            <w:pPr>
              <w:spacing w:after="0" w:line="240" w:lineRule="auto"/>
              <w:rPr>
                <w:rFonts w:ascii="Times New Roman" w:eastAsia="Times New Roman" w:hAnsi="Times New Roman" w:cs="Times New Roman"/>
                <w:sz w:val="20"/>
                <w:szCs w:val="20"/>
                <w:lang w:eastAsia="cs-CZ"/>
              </w:rPr>
            </w:pPr>
          </w:p>
        </w:tc>
        <w:tc>
          <w:tcPr>
            <w:tcW w:w="762" w:type="dxa"/>
            <w:tcBorders>
              <w:top w:val="nil"/>
              <w:left w:val="nil"/>
              <w:bottom w:val="nil"/>
              <w:right w:val="nil"/>
            </w:tcBorders>
            <w:shd w:val="clear" w:color="auto" w:fill="auto"/>
            <w:noWrap/>
            <w:vAlign w:val="bottom"/>
            <w:hideMark/>
          </w:tcPr>
          <w:p w14:paraId="40E0AC41" w14:textId="77777777" w:rsidR="00FA48C7" w:rsidRPr="00FA48C7" w:rsidRDefault="00FA48C7" w:rsidP="00FA48C7">
            <w:pPr>
              <w:spacing w:after="0" w:line="240" w:lineRule="auto"/>
              <w:rPr>
                <w:rFonts w:ascii="Times New Roman" w:eastAsia="Times New Roman" w:hAnsi="Times New Roman" w:cs="Times New Roman"/>
                <w:sz w:val="20"/>
                <w:szCs w:val="20"/>
                <w:lang w:eastAsia="cs-CZ"/>
              </w:rPr>
            </w:pPr>
          </w:p>
        </w:tc>
      </w:tr>
      <w:tr w:rsidR="00FA48C7" w:rsidRPr="00FA48C7" w14:paraId="146D09F3" w14:textId="77777777" w:rsidTr="00E07FEA">
        <w:trPr>
          <w:trHeight w:val="403"/>
        </w:trPr>
        <w:tc>
          <w:tcPr>
            <w:tcW w:w="4536" w:type="dxa"/>
            <w:tcBorders>
              <w:top w:val="nil"/>
              <w:left w:val="nil"/>
              <w:bottom w:val="nil"/>
              <w:right w:val="nil"/>
            </w:tcBorders>
            <w:shd w:val="clear" w:color="auto" w:fill="auto"/>
            <w:noWrap/>
            <w:vAlign w:val="bottom"/>
            <w:hideMark/>
          </w:tcPr>
          <w:p w14:paraId="7270402B" w14:textId="77777777" w:rsidR="00FA48C7" w:rsidRPr="00FA48C7" w:rsidRDefault="00FA48C7" w:rsidP="00FA48C7">
            <w:pPr>
              <w:spacing w:after="0" w:line="240" w:lineRule="auto"/>
              <w:rPr>
                <w:rFonts w:ascii="Calibri" w:eastAsia="Times New Roman" w:hAnsi="Calibri" w:cs="Arial"/>
                <w:b/>
                <w:bCs/>
                <w:sz w:val="28"/>
                <w:szCs w:val="28"/>
                <w:lang w:eastAsia="cs-CZ"/>
              </w:rPr>
            </w:pPr>
            <w:r w:rsidRPr="00FA48C7">
              <w:rPr>
                <w:rFonts w:ascii="Calibri" w:eastAsia="Times New Roman" w:hAnsi="Calibri" w:cs="Arial"/>
                <w:b/>
                <w:bCs/>
                <w:sz w:val="28"/>
                <w:szCs w:val="28"/>
                <w:lang w:eastAsia="cs-CZ"/>
              </w:rPr>
              <w:t xml:space="preserve">Dluhová služba za úvěry kraje </w:t>
            </w:r>
          </w:p>
        </w:tc>
        <w:tc>
          <w:tcPr>
            <w:tcW w:w="1560" w:type="dxa"/>
            <w:tcBorders>
              <w:top w:val="nil"/>
              <w:left w:val="nil"/>
              <w:bottom w:val="nil"/>
              <w:right w:val="nil"/>
            </w:tcBorders>
            <w:shd w:val="clear" w:color="auto" w:fill="auto"/>
            <w:noWrap/>
            <w:vAlign w:val="bottom"/>
            <w:hideMark/>
          </w:tcPr>
          <w:p w14:paraId="575AAC6D" w14:textId="77777777" w:rsidR="00FA48C7" w:rsidRPr="00FA48C7" w:rsidRDefault="00FA48C7" w:rsidP="00FA48C7">
            <w:pPr>
              <w:spacing w:after="0" w:line="240" w:lineRule="auto"/>
              <w:rPr>
                <w:rFonts w:ascii="Calibri" w:eastAsia="Times New Roman" w:hAnsi="Calibri" w:cs="Arial"/>
                <w:b/>
                <w:bCs/>
                <w:sz w:val="28"/>
                <w:szCs w:val="28"/>
                <w:lang w:eastAsia="cs-CZ"/>
              </w:rPr>
            </w:pPr>
          </w:p>
        </w:tc>
        <w:tc>
          <w:tcPr>
            <w:tcW w:w="1150" w:type="dxa"/>
            <w:tcBorders>
              <w:top w:val="nil"/>
              <w:left w:val="nil"/>
              <w:bottom w:val="nil"/>
              <w:right w:val="nil"/>
            </w:tcBorders>
            <w:shd w:val="clear" w:color="auto" w:fill="auto"/>
            <w:noWrap/>
            <w:vAlign w:val="bottom"/>
            <w:hideMark/>
          </w:tcPr>
          <w:p w14:paraId="4C95C6B6" w14:textId="77777777" w:rsidR="00FA48C7" w:rsidRPr="00FA48C7" w:rsidRDefault="00FA48C7" w:rsidP="00FA48C7">
            <w:pPr>
              <w:spacing w:after="0" w:line="240" w:lineRule="auto"/>
              <w:rPr>
                <w:rFonts w:ascii="Times New Roman" w:eastAsia="Times New Roman" w:hAnsi="Times New Roman" w:cs="Times New Roman"/>
                <w:sz w:val="20"/>
                <w:szCs w:val="20"/>
                <w:lang w:eastAsia="cs-CZ"/>
              </w:rPr>
            </w:pPr>
          </w:p>
        </w:tc>
        <w:tc>
          <w:tcPr>
            <w:tcW w:w="1860" w:type="dxa"/>
            <w:tcBorders>
              <w:top w:val="nil"/>
              <w:left w:val="nil"/>
              <w:bottom w:val="nil"/>
              <w:right w:val="nil"/>
            </w:tcBorders>
            <w:shd w:val="clear" w:color="auto" w:fill="auto"/>
            <w:noWrap/>
            <w:vAlign w:val="bottom"/>
            <w:hideMark/>
          </w:tcPr>
          <w:p w14:paraId="28F50A49" w14:textId="77777777" w:rsidR="00FA48C7" w:rsidRPr="00FA48C7" w:rsidRDefault="00FA48C7" w:rsidP="00FA48C7">
            <w:pPr>
              <w:spacing w:after="0" w:line="240" w:lineRule="auto"/>
              <w:rPr>
                <w:rFonts w:ascii="Times New Roman" w:eastAsia="Times New Roman" w:hAnsi="Times New Roman" w:cs="Times New Roman"/>
                <w:sz w:val="20"/>
                <w:szCs w:val="20"/>
                <w:lang w:eastAsia="cs-CZ"/>
              </w:rPr>
            </w:pPr>
          </w:p>
        </w:tc>
        <w:tc>
          <w:tcPr>
            <w:tcW w:w="1828" w:type="dxa"/>
            <w:tcBorders>
              <w:top w:val="nil"/>
              <w:left w:val="nil"/>
              <w:bottom w:val="nil"/>
              <w:right w:val="nil"/>
            </w:tcBorders>
            <w:shd w:val="clear" w:color="auto" w:fill="auto"/>
            <w:noWrap/>
            <w:vAlign w:val="bottom"/>
            <w:hideMark/>
          </w:tcPr>
          <w:p w14:paraId="5B986803" w14:textId="77777777" w:rsidR="00FA48C7" w:rsidRPr="00FA48C7" w:rsidRDefault="00FA48C7" w:rsidP="00FA48C7">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00DB1E99" w14:textId="77777777" w:rsidR="00FA48C7" w:rsidRPr="00FA48C7" w:rsidRDefault="00FA48C7" w:rsidP="00FA48C7">
            <w:pPr>
              <w:spacing w:after="0" w:line="240" w:lineRule="auto"/>
              <w:jc w:val="center"/>
              <w:rPr>
                <w:rFonts w:ascii="Times New Roman" w:eastAsia="Times New Roman" w:hAnsi="Times New Roman" w:cs="Times New Roman"/>
                <w:sz w:val="20"/>
                <w:szCs w:val="20"/>
                <w:lang w:eastAsia="cs-CZ"/>
              </w:rPr>
            </w:pPr>
          </w:p>
        </w:tc>
        <w:tc>
          <w:tcPr>
            <w:tcW w:w="1789" w:type="dxa"/>
            <w:tcBorders>
              <w:top w:val="nil"/>
              <w:left w:val="nil"/>
              <w:bottom w:val="nil"/>
              <w:right w:val="nil"/>
            </w:tcBorders>
            <w:shd w:val="clear" w:color="auto" w:fill="auto"/>
            <w:noWrap/>
            <w:vAlign w:val="bottom"/>
            <w:hideMark/>
          </w:tcPr>
          <w:p w14:paraId="71318F72" w14:textId="77777777" w:rsidR="00FA48C7" w:rsidRPr="00FA48C7" w:rsidRDefault="00FA48C7" w:rsidP="00FA48C7">
            <w:pPr>
              <w:spacing w:after="0" w:line="240" w:lineRule="auto"/>
              <w:jc w:val="center"/>
              <w:rPr>
                <w:rFonts w:ascii="Times New Roman" w:eastAsia="Times New Roman" w:hAnsi="Times New Roman" w:cs="Times New Roman"/>
                <w:sz w:val="20"/>
                <w:szCs w:val="20"/>
                <w:lang w:eastAsia="cs-CZ"/>
              </w:rPr>
            </w:pPr>
          </w:p>
        </w:tc>
        <w:tc>
          <w:tcPr>
            <w:tcW w:w="762" w:type="dxa"/>
            <w:tcBorders>
              <w:top w:val="nil"/>
              <w:left w:val="nil"/>
              <w:bottom w:val="nil"/>
              <w:right w:val="nil"/>
            </w:tcBorders>
            <w:shd w:val="clear" w:color="auto" w:fill="auto"/>
            <w:noWrap/>
            <w:vAlign w:val="bottom"/>
            <w:hideMark/>
          </w:tcPr>
          <w:p w14:paraId="15590DA4" w14:textId="77777777" w:rsidR="00FA48C7" w:rsidRPr="00FA48C7" w:rsidRDefault="00FA48C7" w:rsidP="00FA48C7">
            <w:pPr>
              <w:spacing w:after="0" w:line="240" w:lineRule="auto"/>
              <w:jc w:val="center"/>
              <w:rPr>
                <w:rFonts w:ascii="Times New Roman" w:eastAsia="Times New Roman" w:hAnsi="Times New Roman" w:cs="Times New Roman"/>
                <w:sz w:val="20"/>
                <w:szCs w:val="20"/>
                <w:lang w:eastAsia="cs-CZ"/>
              </w:rPr>
            </w:pPr>
          </w:p>
        </w:tc>
      </w:tr>
      <w:tr w:rsidR="00FA48C7" w:rsidRPr="00FA48C7" w14:paraId="0C67BAAD" w14:textId="77777777" w:rsidTr="00E07FEA">
        <w:trPr>
          <w:trHeight w:val="300"/>
        </w:trPr>
        <w:tc>
          <w:tcPr>
            <w:tcW w:w="4536" w:type="dxa"/>
            <w:tcBorders>
              <w:top w:val="nil"/>
              <w:left w:val="nil"/>
              <w:bottom w:val="nil"/>
              <w:right w:val="nil"/>
            </w:tcBorders>
            <w:shd w:val="clear" w:color="auto" w:fill="auto"/>
            <w:noWrap/>
            <w:vAlign w:val="bottom"/>
            <w:hideMark/>
          </w:tcPr>
          <w:p w14:paraId="362359B0" w14:textId="77777777" w:rsidR="00FA48C7" w:rsidRPr="00FA48C7" w:rsidRDefault="00FA48C7" w:rsidP="00FA48C7">
            <w:pPr>
              <w:spacing w:after="0" w:line="240" w:lineRule="auto"/>
              <w:rPr>
                <w:rFonts w:ascii="Times New Roman" w:eastAsia="Times New Roman" w:hAnsi="Times New Roman" w:cs="Times New Roman"/>
                <w:sz w:val="20"/>
                <w:szCs w:val="20"/>
                <w:lang w:eastAsia="cs-CZ"/>
              </w:rPr>
            </w:pPr>
          </w:p>
        </w:tc>
        <w:tc>
          <w:tcPr>
            <w:tcW w:w="1560" w:type="dxa"/>
            <w:tcBorders>
              <w:top w:val="nil"/>
              <w:left w:val="nil"/>
              <w:bottom w:val="nil"/>
              <w:right w:val="nil"/>
            </w:tcBorders>
            <w:shd w:val="clear" w:color="auto" w:fill="auto"/>
            <w:noWrap/>
            <w:vAlign w:val="bottom"/>
            <w:hideMark/>
          </w:tcPr>
          <w:p w14:paraId="05348770" w14:textId="77777777" w:rsidR="00FA48C7" w:rsidRPr="00FA48C7" w:rsidRDefault="00FA48C7" w:rsidP="00FA48C7">
            <w:pPr>
              <w:spacing w:after="0" w:line="240" w:lineRule="auto"/>
              <w:rPr>
                <w:rFonts w:ascii="Times New Roman" w:eastAsia="Times New Roman" w:hAnsi="Times New Roman" w:cs="Times New Roman"/>
                <w:sz w:val="20"/>
                <w:szCs w:val="20"/>
                <w:lang w:eastAsia="cs-CZ"/>
              </w:rPr>
            </w:pPr>
          </w:p>
        </w:tc>
        <w:tc>
          <w:tcPr>
            <w:tcW w:w="1150" w:type="dxa"/>
            <w:tcBorders>
              <w:top w:val="nil"/>
              <w:left w:val="nil"/>
              <w:bottom w:val="nil"/>
              <w:right w:val="nil"/>
            </w:tcBorders>
            <w:shd w:val="clear" w:color="auto" w:fill="auto"/>
            <w:noWrap/>
            <w:vAlign w:val="bottom"/>
            <w:hideMark/>
          </w:tcPr>
          <w:p w14:paraId="4B3C86A3" w14:textId="77777777" w:rsidR="00FA48C7" w:rsidRPr="00FA48C7" w:rsidRDefault="00FA48C7" w:rsidP="00FA48C7">
            <w:pPr>
              <w:spacing w:after="0" w:line="240" w:lineRule="auto"/>
              <w:rPr>
                <w:rFonts w:ascii="Times New Roman" w:eastAsia="Times New Roman" w:hAnsi="Times New Roman" w:cs="Times New Roman"/>
                <w:sz w:val="20"/>
                <w:szCs w:val="20"/>
                <w:lang w:eastAsia="cs-CZ"/>
              </w:rPr>
            </w:pPr>
          </w:p>
        </w:tc>
        <w:tc>
          <w:tcPr>
            <w:tcW w:w="1860" w:type="dxa"/>
            <w:tcBorders>
              <w:top w:val="nil"/>
              <w:left w:val="nil"/>
              <w:bottom w:val="nil"/>
              <w:right w:val="nil"/>
            </w:tcBorders>
            <w:shd w:val="clear" w:color="auto" w:fill="auto"/>
            <w:noWrap/>
            <w:vAlign w:val="bottom"/>
            <w:hideMark/>
          </w:tcPr>
          <w:p w14:paraId="6C0608D5" w14:textId="77777777" w:rsidR="00FA48C7" w:rsidRPr="00FA48C7" w:rsidRDefault="00FA48C7" w:rsidP="00FA48C7">
            <w:pPr>
              <w:spacing w:after="0" w:line="240" w:lineRule="auto"/>
              <w:rPr>
                <w:rFonts w:ascii="Times New Roman" w:eastAsia="Times New Roman" w:hAnsi="Times New Roman" w:cs="Times New Roman"/>
                <w:sz w:val="20"/>
                <w:szCs w:val="20"/>
                <w:lang w:eastAsia="cs-CZ"/>
              </w:rPr>
            </w:pPr>
          </w:p>
        </w:tc>
        <w:tc>
          <w:tcPr>
            <w:tcW w:w="1828" w:type="dxa"/>
            <w:tcBorders>
              <w:top w:val="nil"/>
              <w:left w:val="nil"/>
              <w:bottom w:val="nil"/>
              <w:right w:val="nil"/>
            </w:tcBorders>
            <w:shd w:val="clear" w:color="auto" w:fill="auto"/>
            <w:noWrap/>
            <w:vAlign w:val="bottom"/>
            <w:hideMark/>
          </w:tcPr>
          <w:p w14:paraId="3E8DC99E" w14:textId="77777777" w:rsidR="00FA48C7" w:rsidRPr="00FA48C7" w:rsidRDefault="00FA48C7" w:rsidP="00FA48C7">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607C7E26" w14:textId="77777777" w:rsidR="00FA48C7" w:rsidRPr="00FA48C7" w:rsidRDefault="00FA48C7" w:rsidP="00FA48C7">
            <w:pPr>
              <w:spacing w:after="0" w:line="240" w:lineRule="auto"/>
              <w:jc w:val="right"/>
              <w:rPr>
                <w:rFonts w:ascii="Times New Roman" w:eastAsia="Times New Roman" w:hAnsi="Times New Roman" w:cs="Times New Roman"/>
                <w:sz w:val="20"/>
                <w:szCs w:val="20"/>
                <w:lang w:eastAsia="cs-CZ"/>
              </w:rPr>
            </w:pPr>
          </w:p>
        </w:tc>
        <w:tc>
          <w:tcPr>
            <w:tcW w:w="1789" w:type="dxa"/>
            <w:tcBorders>
              <w:top w:val="nil"/>
              <w:left w:val="nil"/>
              <w:bottom w:val="nil"/>
              <w:right w:val="nil"/>
            </w:tcBorders>
            <w:shd w:val="clear" w:color="auto" w:fill="auto"/>
            <w:noWrap/>
            <w:vAlign w:val="bottom"/>
            <w:hideMark/>
          </w:tcPr>
          <w:p w14:paraId="23006A26" w14:textId="77777777" w:rsidR="00FA48C7" w:rsidRPr="00FA48C7" w:rsidRDefault="00FA48C7" w:rsidP="00FA48C7">
            <w:pPr>
              <w:spacing w:after="0" w:line="240" w:lineRule="auto"/>
              <w:jc w:val="right"/>
              <w:rPr>
                <w:rFonts w:ascii="Times New Roman" w:eastAsia="Times New Roman" w:hAnsi="Times New Roman" w:cs="Times New Roman"/>
                <w:sz w:val="20"/>
                <w:szCs w:val="20"/>
                <w:lang w:eastAsia="cs-CZ"/>
              </w:rPr>
            </w:pPr>
          </w:p>
        </w:tc>
        <w:tc>
          <w:tcPr>
            <w:tcW w:w="762" w:type="dxa"/>
            <w:tcBorders>
              <w:top w:val="nil"/>
              <w:left w:val="nil"/>
              <w:bottom w:val="nil"/>
              <w:right w:val="nil"/>
            </w:tcBorders>
            <w:shd w:val="clear" w:color="auto" w:fill="auto"/>
            <w:noWrap/>
            <w:vAlign w:val="bottom"/>
            <w:hideMark/>
          </w:tcPr>
          <w:p w14:paraId="61F4EE52" w14:textId="77777777" w:rsidR="00FA48C7" w:rsidRPr="00FA48C7" w:rsidRDefault="00FA48C7" w:rsidP="00FA48C7">
            <w:pPr>
              <w:spacing w:after="0" w:line="240" w:lineRule="auto"/>
              <w:jc w:val="right"/>
              <w:rPr>
                <w:rFonts w:ascii="Calibri" w:eastAsia="Times New Roman" w:hAnsi="Calibri" w:cs="Arial"/>
                <w:lang w:eastAsia="cs-CZ"/>
              </w:rPr>
            </w:pPr>
            <w:r w:rsidRPr="00FA48C7">
              <w:rPr>
                <w:rFonts w:ascii="Calibri" w:eastAsia="Times New Roman" w:hAnsi="Calibri" w:cs="Arial"/>
                <w:lang w:eastAsia="cs-CZ"/>
              </w:rPr>
              <w:t>v Kč</w:t>
            </w:r>
          </w:p>
        </w:tc>
      </w:tr>
      <w:tr w:rsidR="00FA48C7" w:rsidRPr="00FA48C7" w14:paraId="78BE5463" w14:textId="77777777" w:rsidTr="00E07FEA">
        <w:trPr>
          <w:trHeight w:val="590"/>
        </w:trPr>
        <w:tc>
          <w:tcPr>
            <w:tcW w:w="4536" w:type="dxa"/>
            <w:tcBorders>
              <w:top w:val="single" w:sz="8" w:space="0" w:color="auto"/>
              <w:left w:val="single" w:sz="8" w:space="0" w:color="auto"/>
              <w:bottom w:val="single" w:sz="8" w:space="0" w:color="auto"/>
              <w:right w:val="single" w:sz="8" w:space="0" w:color="auto"/>
            </w:tcBorders>
            <w:shd w:val="clear" w:color="000000" w:fill="CCFFFF"/>
            <w:noWrap/>
            <w:vAlign w:val="center"/>
            <w:hideMark/>
          </w:tcPr>
          <w:p w14:paraId="02712E22" w14:textId="77777777" w:rsidR="00FA48C7" w:rsidRPr="00FA48C7" w:rsidRDefault="00FA48C7" w:rsidP="00FA48C7">
            <w:pPr>
              <w:spacing w:after="0" w:line="240" w:lineRule="auto"/>
              <w:jc w:val="center"/>
              <w:rPr>
                <w:rFonts w:ascii="Calibri" w:eastAsia="Times New Roman" w:hAnsi="Calibri" w:cs="Arial"/>
                <w:b/>
                <w:bCs/>
                <w:sz w:val="24"/>
                <w:szCs w:val="24"/>
                <w:lang w:eastAsia="cs-CZ"/>
              </w:rPr>
            </w:pPr>
            <w:r w:rsidRPr="00FA48C7">
              <w:rPr>
                <w:rFonts w:ascii="Calibri" w:eastAsia="Times New Roman" w:hAnsi="Calibri" w:cs="Arial"/>
                <w:b/>
                <w:bCs/>
                <w:sz w:val="24"/>
                <w:szCs w:val="24"/>
                <w:lang w:eastAsia="cs-CZ"/>
              </w:rPr>
              <w:t>Ukazatel</w:t>
            </w:r>
          </w:p>
        </w:tc>
        <w:tc>
          <w:tcPr>
            <w:tcW w:w="1560" w:type="dxa"/>
            <w:tcBorders>
              <w:top w:val="single" w:sz="8" w:space="0" w:color="auto"/>
              <w:left w:val="nil"/>
              <w:bottom w:val="single" w:sz="8" w:space="0" w:color="auto"/>
              <w:right w:val="nil"/>
            </w:tcBorders>
            <w:shd w:val="clear" w:color="000000" w:fill="CCFFFF"/>
            <w:vAlign w:val="center"/>
            <w:hideMark/>
          </w:tcPr>
          <w:p w14:paraId="4B037311" w14:textId="77777777" w:rsidR="00FA48C7" w:rsidRPr="00FA48C7" w:rsidRDefault="00FA48C7" w:rsidP="00FA48C7">
            <w:pPr>
              <w:spacing w:after="0" w:line="240" w:lineRule="auto"/>
              <w:jc w:val="center"/>
              <w:rPr>
                <w:rFonts w:ascii="Calibri" w:eastAsia="Times New Roman" w:hAnsi="Calibri" w:cs="Arial"/>
                <w:b/>
                <w:bCs/>
                <w:lang w:eastAsia="cs-CZ"/>
              </w:rPr>
            </w:pPr>
            <w:r w:rsidRPr="00FA48C7">
              <w:rPr>
                <w:rFonts w:ascii="Calibri" w:eastAsia="Times New Roman" w:hAnsi="Calibri" w:cs="Arial"/>
                <w:b/>
                <w:bCs/>
                <w:lang w:eastAsia="cs-CZ"/>
              </w:rPr>
              <w:t>Limit úvěru</w:t>
            </w:r>
          </w:p>
        </w:tc>
        <w:tc>
          <w:tcPr>
            <w:tcW w:w="1150" w:type="dxa"/>
            <w:tcBorders>
              <w:top w:val="single" w:sz="8" w:space="0" w:color="auto"/>
              <w:left w:val="single" w:sz="8" w:space="0" w:color="auto"/>
              <w:bottom w:val="single" w:sz="8" w:space="0" w:color="auto"/>
              <w:right w:val="nil"/>
            </w:tcBorders>
            <w:shd w:val="clear" w:color="000000" w:fill="CCFFFF"/>
            <w:vAlign w:val="center"/>
            <w:hideMark/>
          </w:tcPr>
          <w:p w14:paraId="5E622D2A" w14:textId="77777777" w:rsidR="00FA48C7" w:rsidRPr="00FA48C7" w:rsidRDefault="00FA48C7" w:rsidP="00FA48C7">
            <w:pPr>
              <w:spacing w:after="0" w:line="240" w:lineRule="auto"/>
              <w:jc w:val="center"/>
              <w:rPr>
                <w:rFonts w:ascii="Calibri" w:eastAsia="Times New Roman" w:hAnsi="Calibri" w:cs="Arial"/>
                <w:b/>
                <w:bCs/>
                <w:lang w:eastAsia="cs-CZ"/>
              </w:rPr>
            </w:pPr>
            <w:r w:rsidRPr="00FA48C7">
              <w:rPr>
                <w:rFonts w:ascii="Calibri" w:eastAsia="Times New Roman" w:hAnsi="Calibri" w:cs="Arial"/>
                <w:b/>
                <w:bCs/>
                <w:lang w:eastAsia="cs-CZ"/>
              </w:rPr>
              <w:t>Konečná splatnost</w:t>
            </w:r>
          </w:p>
        </w:tc>
        <w:tc>
          <w:tcPr>
            <w:tcW w:w="1860" w:type="dxa"/>
            <w:tcBorders>
              <w:top w:val="single" w:sz="8" w:space="0" w:color="auto"/>
              <w:left w:val="single" w:sz="8" w:space="0" w:color="auto"/>
              <w:bottom w:val="single" w:sz="8" w:space="0" w:color="auto"/>
              <w:right w:val="nil"/>
            </w:tcBorders>
            <w:shd w:val="clear" w:color="000000" w:fill="CCFFFF"/>
            <w:vAlign w:val="center"/>
            <w:hideMark/>
          </w:tcPr>
          <w:p w14:paraId="776B9ADE" w14:textId="77777777" w:rsidR="00FA48C7" w:rsidRPr="00FA48C7" w:rsidRDefault="00FA48C7" w:rsidP="00FA48C7">
            <w:pPr>
              <w:spacing w:after="0" w:line="240" w:lineRule="auto"/>
              <w:jc w:val="center"/>
              <w:rPr>
                <w:rFonts w:ascii="Calibri" w:eastAsia="Times New Roman" w:hAnsi="Calibri" w:cs="Arial"/>
                <w:b/>
                <w:bCs/>
                <w:lang w:eastAsia="cs-CZ"/>
              </w:rPr>
            </w:pPr>
            <w:r w:rsidRPr="00FA48C7">
              <w:rPr>
                <w:rFonts w:ascii="Calibri" w:eastAsia="Times New Roman" w:hAnsi="Calibri" w:cs="Arial"/>
                <w:b/>
                <w:bCs/>
                <w:lang w:eastAsia="cs-CZ"/>
              </w:rPr>
              <w:t>Zbývá uhradit</w:t>
            </w:r>
          </w:p>
        </w:tc>
        <w:tc>
          <w:tcPr>
            <w:tcW w:w="1828" w:type="dxa"/>
            <w:tcBorders>
              <w:top w:val="single" w:sz="8" w:space="0" w:color="auto"/>
              <w:left w:val="single" w:sz="8" w:space="0" w:color="auto"/>
              <w:bottom w:val="single" w:sz="8" w:space="0" w:color="auto"/>
              <w:right w:val="single" w:sz="4" w:space="0" w:color="auto"/>
            </w:tcBorders>
            <w:shd w:val="clear" w:color="000000" w:fill="CCFFFF"/>
            <w:vAlign w:val="center"/>
            <w:hideMark/>
          </w:tcPr>
          <w:p w14:paraId="76212517" w14:textId="77777777" w:rsidR="00FA48C7" w:rsidRPr="00FA48C7" w:rsidRDefault="00FA48C7" w:rsidP="00FA48C7">
            <w:pPr>
              <w:spacing w:after="0" w:line="240" w:lineRule="auto"/>
              <w:jc w:val="center"/>
              <w:rPr>
                <w:rFonts w:ascii="Calibri" w:eastAsia="Times New Roman" w:hAnsi="Calibri" w:cs="Arial"/>
                <w:b/>
                <w:bCs/>
                <w:lang w:eastAsia="cs-CZ"/>
              </w:rPr>
            </w:pPr>
            <w:r w:rsidRPr="00FA48C7">
              <w:rPr>
                <w:rFonts w:ascii="Calibri" w:eastAsia="Times New Roman" w:hAnsi="Calibri" w:cs="Arial"/>
                <w:b/>
                <w:bCs/>
                <w:lang w:eastAsia="cs-CZ"/>
              </w:rPr>
              <w:t xml:space="preserve">Schválený rozpočet </w:t>
            </w:r>
          </w:p>
        </w:tc>
        <w:tc>
          <w:tcPr>
            <w:tcW w:w="1701" w:type="dxa"/>
            <w:tcBorders>
              <w:top w:val="single" w:sz="8" w:space="0" w:color="auto"/>
              <w:left w:val="nil"/>
              <w:bottom w:val="single" w:sz="8" w:space="0" w:color="auto"/>
              <w:right w:val="single" w:sz="4" w:space="0" w:color="auto"/>
            </w:tcBorders>
            <w:shd w:val="clear" w:color="000000" w:fill="CCFFFF"/>
            <w:vAlign w:val="center"/>
            <w:hideMark/>
          </w:tcPr>
          <w:p w14:paraId="7098D9AA" w14:textId="77777777" w:rsidR="00FA48C7" w:rsidRPr="00FA48C7" w:rsidRDefault="00FA48C7" w:rsidP="00FA48C7">
            <w:pPr>
              <w:spacing w:after="0" w:line="240" w:lineRule="auto"/>
              <w:jc w:val="center"/>
              <w:rPr>
                <w:rFonts w:ascii="Calibri" w:eastAsia="Times New Roman" w:hAnsi="Calibri" w:cs="Arial"/>
                <w:b/>
                <w:bCs/>
                <w:lang w:eastAsia="cs-CZ"/>
              </w:rPr>
            </w:pPr>
            <w:r w:rsidRPr="00FA48C7">
              <w:rPr>
                <w:rFonts w:ascii="Calibri" w:eastAsia="Times New Roman" w:hAnsi="Calibri" w:cs="Arial"/>
                <w:b/>
                <w:bCs/>
                <w:lang w:eastAsia="cs-CZ"/>
              </w:rPr>
              <w:t xml:space="preserve">Upravený rozpočet </w:t>
            </w:r>
          </w:p>
        </w:tc>
        <w:tc>
          <w:tcPr>
            <w:tcW w:w="1789" w:type="dxa"/>
            <w:tcBorders>
              <w:top w:val="single" w:sz="8" w:space="0" w:color="auto"/>
              <w:left w:val="nil"/>
              <w:bottom w:val="single" w:sz="8" w:space="0" w:color="auto"/>
              <w:right w:val="nil"/>
            </w:tcBorders>
            <w:shd w:val="clear" w:color="000000" w:fill="CCFFFF"/>
            <w:vAlign w:val="center"/>
            <w:hideMark/>
          </w:tcPr>
          <w:p w14:paraId="32E347C5" w14:textId="77777777" w:rsidR="00FA48C7" w:rsidRPr="00FA48C7" w:rsidRDefault="00FA48C7" w:rsidP="00FA48C7">
            <w:pPr>
              <w:spacing w:after="0" w:line="240" w:lineRule="auto"/>
              <w:jc w:val="center"/>
              <w:rPr>
                <w:rFonts w:ascii="Calibri" w:eastAsia="Times New Roman" w:hAnsi="Calibri" w:cs="Arial"/>
                <w:b/>
                <w:bCs/>
                <w:lang w:eastAsia="cs-CZ"/>
              </w:rPr>
            </w:pPr>
            <w:r w:rsidRPr="00FA48C7">
              <w:rPr>
                <w:rFonts w:ascii="Calibri" w:eastAsia="Times New Roman" w:hAnsi="Calibri" w:cs="Arial"/>
                <w:b/>
                <w:bCs/>
                <w:lang w:eastAsia="cs-CZ"/>
              </w:rPr>
              <w:t>Skutečnost</w:t>
            </w:r>
          </w:p>
        </w:tc>
        <w:tc>
          <w:tcPr>
            <w:tcW w:w="762" w:type="dxa"/>
            <w:tcBorders>
              <w:top w:val="single" w:sz="8" w:space="0" w:color="auto"/>
              <w:left w:val="single" w:sz="4" w:space="0" w:color="auto"/>
              <w:bottom w:val="single" w:sz="8" w:space="0" w:color="auto"/>
              <w:right w:val="single" w:sz="8" w:space="0" w:color="auto"/>
            </w:tcBorders>
            <w:shd w:val="clear" w:color="000000" w:fill="CCFFFF"/>
            <w:vAlign w:val="center"/>
            <w:hideMark/>
          </w:tcPr>
          <w:p w14:paraId="54451187" w14:textId="77777777" w:rsidR="00FA48C7" w:rsidRPr="00FA48C7" w:rsidRDefault="00FA48C7" w:rsidP="00FA48C7">
            <w:pPr>
              <w:spacing w:after="0" w:line="240" w:lineRule="auto"/>
              <w:jc w:val="center"/>
              <w:rPr>
                <w:rFonts w:ascii="Calibri" w:eastAsia="Times New Roman" w:hAnsi="Calibri" w:cs="Arial"/>
                <w:b/>
                <w:bCs/>
                <w:sz w:val="24"/>
                <w:szCs w:val="24"/>
                <w:lang w:eastAsia="cs-CZ"/>
              </w:rPr>
            </w:pPr>
            <w:r w:rsidRPr="00FA48C7">
              <w:rPr>
                <w:rFonts w:ascii="Calibri" w:eastAsia="Times New Roman" w:hAnsi="Calibri" w:cs="Arial"/>
                <w:b/>
                <w:bCs/>
                <w:sz w:val="24"/>
                <w:szCs w:val="24"/>
                <w:lang w:eastAsia="cs-CZ"/>
              </w:rPr>
              <w:t>% plnění</w:t>
            </w:r>
          </w:p>
        </w:tc>
      </w:tr>
      <w:tr w:rsidR="00FA48C7" w:rsidRPr="00FA48C7" w14:paraId="151346C9" w14:textId="77777777" w:rsidTr="00E07FEA">
        <w:trPr>
          <w:trHeight w:val="870"/>
        </w:trPr>
        <w:tc>
          <w:tcPr>
            <w:tcW w:w="4536" w:type="dxa"/>
            <w:tcBorders>
              <w:top w:val="nil"/>
              <w:left w:val="single" w:sz="8" w:space="0" w:color="auto"/>
              <w:bottom w:val="single" w:sz="4" w:space="0" w:color="auto"/>
              <w:right w:val="nil"/>
            </w:tcBorders>
            <w:shd w:val="clear" w:color="auto" w:fill="auto"/>
            <w:vAlign w:val="center"/>
            <w:hideMark/>
          </w:tcPr>
          <w:p w14:paraId="38B84CD5" w14:textId="2B504B87" w:rsidR="00FA48C7" w:rsidRPr="00FA48C7" w:rsidRDefault="00FA48C7" w:rsidP="00FA48C7">
            <w:pPr>
              <w:spacing w:after="0" w:line="240" w:lineRule="auto"/>
              <w:rPr>
                <w:rFonts w:ascii="Calibri" w:eastAsia="Times New Roman" w:hAnsi="Calibri" w:cs="Arial"/>
                <w:b/>
                <w:bCs/>
                <w:lang w:eastAsia="cs-CZ"/>
              </w:rPr>
            </w:pPr>
            <w:r w:rsidRPr="00FA48C7">
              <w:rPr>
                <w:rFonts w:ascii="Calibri" w:eastAsia="Times New Roman" w:hAnsi="Calibri" w:cs="Arial"/>
                <w:b/>
                <w:bCs/>
                <w:lang w:eastAsia="cs-CZ"/>
              </w:rPr>
              <w:t>Smlouva o úvěru uzavřená s Komerční bankou, a.s</w:t>
            </w:r>
            <w:r w:rsidR="00637ED1">
              <w:rPr>
                <w:rFonts w:ascii="Calibri" w:eastAsia="Times New Roman" w:hAnsi="Calibri" w:cs="Arial"/>
                <w:b/>
                <w:bCs/>
                <w:lang w:eastAsia="cs-CZ"/>
              </w:rPr>
              <w:t>.</w:t>
            </w:r>
            <w:r w:rsidRPr="00FA48C7">
              <w:rPr>
                <w:rFonts w:ascii="Calibri" w:eastAsia="Times New Roman" w:hAnsi="Calibri" w:cs="Arial"/>
                <w:b/>
                <w:bCs/>
                <w:lang w:eastAsia="cs-CZ"/>
              </w:rPr>
              <w:t xml:space="preserve"> dne 12. 9. 2007 </w:t>
            </w:r>
            <w:r w:rsidRPr="00FA48C7">
              <w:rPr>
                <w:rFonts w:ascii="Calibri" w:eastAsia="Times New Roman" w:hAnsi="Calibri" w:cs="Arial"/>
                <w:lang w:eastAsia="cs-CZ"/>
              </w:rPr>
              <w:t>(financování investic v oblasti dopravy, zdravotnictví, životního prostředí, sociálních věcí, projektů spolufinancovaných strukturálními fondy EU, ..)</w:t>
            </w:r>
          </w:p>
        </w:tc>
        <w:tc>
          <w:tcPr>
            <w:tcW w:w="15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1684C64" w14:textId="77777777" w:rsidR="00FA48C7" w:rsidRPr="00FA48C7" w:rsidRDefault="00FA48C7" w:rsidP="00FA48C7">
            <w:pPr>
              <w:spacing w:after="0" w:line="240" w:lineRule="auto"/>
              <w:jc w:val="right"/>
              <w:rPr>
                <w:rFonts w:ascii="Calibri" w:eastAsia="Times New Roman" w:hAnsi="Calibri" w:cs="Arial"/>
                <w:b/>
                <w:bCs/>
                <w:lang w:eastAsia="cs-CZ"/>
              </w:rPr>
            </w:pPr>
            <w:r w:rsidRPr="00FA48C7">
              <w:rPr>
                <w:rFonts w:ascii="Calibri" w:eastAsia="Times New Roman" w:hAnsi="Calibri" w:cs="Arial"/>
                <w:b/>
                <w:bCs/>
                <w:lang w:eastAsia="cs-CZ"/>
              </w:rPr>
              <w:t>4 000 000 000</w:t>
            </w:r>
          </w:p>
        </w:tc>
        <w:tc>
          <w:tcPr>
            <w:tcW w:w="115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94756F7" w14:textId="77777777" w:rsidR="00FA48C7" w:rsidRPr="00FA48C7" w:rsidRDefault="00FA48C7" w:rsidP="00FA48C7">
            <w:pPr>
              <w:spacing w:after="0" w:line="240" w:lineRule="auto"/>
              <w:jc w:val="center"/>
              <w:rPr>
                <w:rFonts w:ascii="Calibri" w:eastAsia="Times New Roman" w:hAnsi="Calibri" w:cs="Arial"/>
                <w:b/>
                <w:bCs/>
                <w:lang w:eastAsia="cs-CZ"/>
              </w:rPr>
            </w:pPr>
            <w:r w:rsidRPr="00FA48C7">
              <w:rPr>
                <w:rFonts w:ascii="Calibri" w:eastAsia="Times New Roman" w:hAnsi="Calibri" w:cs="Arial"/>
                <w:b/>
                <w:bCs/>
                <w:lang w:eastAsia="cs-CZ"/>
              </w:rPr>
              <w:t>12.9.2027</w:t>
            </w:r>
          </w:p>
        </w:tc>
        <w:tc>
          <w:tcPr>
            <w:tcW w:w="18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0E03C3C" w14:textId="77777777" w:rsidR="00FA48C7" w:rsidRPr="00FA48C7" w:rsidRDefault="00FA48C7" w:rsidP="00FA48C7">
            <w:pPr>
              <w:spacing w:after="0" w:line="240" w:lineRule="auto"/>
              <w:jc w:val="right"/>
              <w:rPr>
                <w:rFonts w:ascii="Calibri" w:eastAsia="Times New Roman" w:hAnsi="Calibri" w:cs="Arial"/>
                <w:b/>
                <w:bCs/>
                <w:lang w:eastAsia="cs-CZ"/>
              </w:rPr>
            </w:pPr>
            <w:r w:rsidRPr="00FA48C7">
              <w:rPr>
                <w:rFonts w:ascii="Calibri" w:eastAsia="Times New Roman" w:hAnsi="Calibri" w:cs="Arial"/>
                <w:b/>
                <w:bCs/>
                <w:lang w:eastAsia="cs-CZ"/>
              </w:rPr>
              <w:t>1 377 049 168,00</w:t>
            </w:r>
          </w:p>
        </w:tc>
        <w:tc>
          <w:tcPr>
            <w:tcW w:w="1828" w:type="dxa"/>
            <w:tcBorders>
              <w:top w:val="nil"/>
              <w:left w:val="nil"/>
              <w:bottom w:val="single" w:sz="4" w:space="0" w:color="auto"/>
              <w:right w:val="single" w:sz="4" w:space="0" w:color="auto"/>
            </w:tcBorders>
            <w:shd w:val="clear" w:color="auto" w:fill="auto"/>
            <w:noWrap/>
            <w:vAlign w:val="center"/>
            <w:hideMark/>
          </w:tcPr>
          <w:p w14:paraId="6573C953" w14:textId="77777777" w:rsidR="00FA48C7" w:rsidRPr="00FA48C7" w:rsidRDefault="00FA48C7" w:rsidP="00FA48C7">
            <w:pPr>
              <w:spacing w:after="0" w:line="240" w:lineRule="auto"/>
              <w:jc w:val="right"/>
              <w:rPr>
                <w:rFonts w:ascii="Calibri" w:eastAsia="Times New Roman" w:hAnsi="Calibri" w:cs="Arial"/>
                <w:b/>
                <w:bCs/>
                <w:lang w:eastAsia="cs-CZ"/>
              </w:rPr>
            </w:pPr>
            <w:r w:rsidRPr="00FA48C7">
              <w:rPr>
                <w:rFonts w:ascii="Calibri" w:eastAsia="Times New Roman" w:hAnsi="Calibri" w:cs="Arial"/>
                <w:b/>
                <w:bCs/>
                <w:lang w:eastAsia="cs-CZ"/>
              </w:rPr>
              <w:t>251 097 000</w:t>
            </w:r>
          </w:p>
        </w:tc>
        <w:tc>
          <w:tcPr>
            <w:tcW w:w="1701" w:type="dxa"/>
            <w:tcBorders>
              <w:top w:val="nil"/>
              <w:left w:val="nil"/>
              <w:bottom w:val="single" w:sz="4" w:space="0" w:color="auto"/>
              <w:right w:val="single" w:sz="4" w:space="0" w:color="auto"/>
            </w:tcBorders>
            <w:shd w:val="clear" w:color="auto" w:fill="auto"/>
            <w:noWrap/>
            <w:vAlign w:val="center"/>
            <w:hideMark/>
          </w:tcPr>
          <w:p w14:paraId="25FF54FD" w14:textId="77777777" w:rsidR="00FA48C7" w:rsidRPr="00FA48C7" w:rsidRDefault="00FA48C7" w:rsidP="00FA48C7">
            <w:pPr>
              <w:spacing w:after="0" w:line="240" w:lineRule="auto"/>
              <w:jc w:val="right"/>
              <w:rPr>
                <w:rFonts w:ascii="Calibri" w:eastAsia="Times New Roman" w:hAnsi="Calibri" w:cs="Arial"/>
                <w:b/>
                <w:bCs/>
                <w:lang w:eastAsia="cs-CZ"/>
              </w:rPr>
            </w:pPr>
            <w:r w:rsidRPr="00FA48C7">
              <w:rPr>
                <w:rFonts w:ascii="Calibri" w:eastAsia="Times New Roman" w:hAnsi="Calibri" w:cs="Arial"/>
                <w:b/>
                <w:bCs/>
                <w:lang w:eastAsia="cs-CZ"/>
              </w:rPr>
              <w:t>259 574 788,19</w:t>
            </w:r>
          </w:p>
        </w:tc>
        <w:tc>
          <w:tcPr>
            <w:tcW w:w="1789" w:type="dxa"/>
            <w:tcBorders>
              <w:top w:val="nil"/>
              <w:left w:val="nil"/>
              <w:bottom w:val="single" w:sz="4" w:space="0" w:color="auto"/>
              <w:right w:val="nil"/>
            </w:tcBorders>
            <w:shd w:val="clear" w:color="auto" w:fill="auto"/>
            <w:noWrap/>
            <w:vAlign w:val="center"/>
            <w:hideMark/>
          </w:tcPr>
          <w:p w14:paraId="4F6C2D99" w14:textId="77777777" w:rsidR="00FA48C7" w:rsidRPr="00FA48C7" w:rsidRDefault="00FA48C7" w:rsidP="00FA48C7">
            <w:pPr>
              <w:spacing w:after="0" w:line="240" w:lineRule="auto"/>
              <w:jc w:val="right"/>
              <w:rPr>
                <w:rFonts w:ascii="Calibri" w:eastAsia="Times New Roman" w:hAnsi="Calibri" w:cs="Arial"/>
                <w:b/>
                <w:bCs/>
                <w:lang w:eastAsia="cs-CZ"/>
              </w:rPr>
            </w:pPr>
            <w:r w:rsidRPr="00FA48C7">
              <w:rPr>
                <w:rFonts w:ascii="Calibri" w:eastAsia="Times New Roman" w:hAnsi="Calibri" w:cs="Arial"/>
                <w:b/>
                <w:bCs/>
                <w:lang w:eastAsia="cs-CZ"/>
              </w:rPr>
              <w:t>247 935 411,81</w:t>
            </w:r>
          </w:p>
        </w:tc>
        <w:tc>
          <w:tcPr>
            <w:tcW w:w="762" w:type="dxa"/>
            <w:tcBorders>
              <w:top w:val="nil"/>
              <w:left w:val="single" w:sz="4" w:space="0" w:color="auto"/>
              <w:bottom w:val="single" w:sz="4" w:space="0" w:color="auto"/>
              <w:right w:val="single" w:sz="8" w:space="0" w:color="auto"/>
            </w:tcBorders>
            <w:shd w:val="clear" w:color="auto" w:fill="auto"/>
            <w:noWrap/>
            <w:vAlign w:val="center"/>
            <w:hideMark/>
          </w:tcPr>
          <w:p w14:paraId="041E2F90" w14:textId="77777777" w:rsidR="00FA48C7" w:rsidRPr="00FA48C7" w:rsidRDefault="00FA48C7" w:rsidP="00FA48C7">
            <w:pPr>
              <w:spacing w:after="0" w:line="240" w:lineRule="auto"/>
              <w:jc w:val="right"/>
              <w:rPr>
                <w:rFonts w:ascii="Calibri" w:eastAsia="Times New Roman" w:hAnsi="Calibri" w:cs="Arial"/>
                <w:b/>
                <w:bCs/>
                <w:sz w:val="20"/>
                <w:szCs w:val="20"/>
                <w:lang w:eastAsia="cs-CZ"/>
              </w:rPr>
            </w:pPr>
            <w:r w:rsidRPr="00FA48C7">
              <w:rPr>
                <w:rFonts w:ascii="Calibri" w:eastAsia="Times New Roman" w:hAnsi="Calibri" w:cs="Arial"/>
                <w:b/>
                <w:bCs/>
                <w:sz w:val="20"/>
                <w:szCs w:val="20"/>
                <w:lang w:eastAsia="cs-CZ"/>
              </w:rPr>
              <w:t>95,5</w:t>
            </w:r>
          </w:p>
        </w:tc>
      </w:tr>
      <w:tr w:rsidR="00FA48C7" w:rsidRPr="00FA48C7" w14:paraId="08695661" w14:textId="77777777" w:rsidTr="00E07FEA">
        <w:trPr>
          <w:trHeight w:val="300"/>
        </w:trPr>
        <w:tc>
          <w:tcPr>
            <w:tcW w:w="4536" w:type="dxa"/>
            <w:tcBorders>
              <w:top w:val="nil"/>
              <w:left w:val="single" w:sz="8" w:space="0" w:color="auto"/>
              <w:bottom w:val="single" w:sz="4" w:space="0" w:color="auto"/>
              <w:right w:val="nil"/>
            </w:tcBorders>
            <w:shd w:val="clear" w:color="auto" w:fill="auto"/>
            <w:noWrap/>
            <w:vAlign w:val="center"/>
            <w:hideMark/>
          </w:tcPr>
          <w:p w14:paraId="1F8F4B96" w14:textId="77777777" w:rsidR="00FA48C7" w:rsidRPr="00FA48C7" w:rsidRDefault="00FA48C7" w:rsidP="00FA48C7">
            <w:pPr>
              <w:spacing w:after="0" w:line="240" w:lineRule="auto"/>
              <w:rPr>
                <w:rFonts w:ascii="Calibri" w:eastAsia="Times New Roman" w:hAnsi="Calibri" w:cs="Arial"/>
                <w:lang w:eastAsia="cs-CZ"/>
              </w:rPr>
            </w:pPr>
            <w:r w:rsidRPr="00FA48C7">
              <w:rPr>
                <w:rFonts w:ascii="Calibri" w:eastAsia="Times New Roman" w:hAnsi="Calibri" w:cs="Arial"/>
                <w:lang w:eastAsia="cs-CZ"/>
              </w:rPr>
              <w:t>Splátky přijatého úvěru kraje (jistina)</w:t>
            </w:r>
          </w:p>
        </w:tc>
        <w:tc>
          <w:tcPr>
            <w:tcW w:w="1560" w:type="dxa"/>
            <w:vMerge/>
            <w:tcBorders>
              <w:top w:val="nil"/>
              <w:left w:val="single" w:sz="8" w:space="0" w:color="auto"/>
              <w:bottom w:val="single" w:sz="8" w:space="0" w:color="000000"/>
              <w:right w:val="single" w:sz="8" w:space="0" w:color="auto"/>
            </w:tcBorders>
            <w:vAlign w:val="center"/>
            <w:hideMark/>
          </w:tcPr>
          <w:p w14:paraId="575386AB" w14:textId="77777777" w:rsidR="00FA48C7" w:rsidRPr="00FA48C7" w:rsidRDefault="00FA48C7" w:rsidP="00FA48C7">
            <w:pPr>
              <w:spacing w:after="0" w:line="240" w:lineRule="auto"/>
              <w:rPr>
                <w:rFonts w:ascii="Calibri" w:eastAsia="Times New Roman" w:hAnsi="Calibri" w:cs="Arial"/>
                <w:b/>
                <w:bCs/>
                <w:lang w:eastAsia="cs-CZ"/>
              </w:rPr>
            </w:pPr>
          </w:p>
        </w:tc>
        <w:tc>
          <w:tcPr>
            <w:tcW w:w="1150" w:type="dxa"/>
            <w:vMerge/>
            <w:tcBorders>
              <w:top w:val="nil"/>
              <w:left w:val="single" w:sz="8" w:space="0" w:color="auto"/>
              <w:bottom w:val="single" w:sz="8" w:space="0" w:color="000000"/>
              <w:right w:val="single" w:sz="8" w:space="0" w:color="auto"/>
            </w:tcBorders>
            <w:vAlign w:val="center"/>
            <w:hideMark/>
          </w:tcPr>
          <w:p w14:paraId="3A622B68" w14:textId="77777777" w:rsidR="00FA48C7" w:rsidRPr="00FA48C7" w:rsidRDefault="00FA48C7" w:rsidP="00FA48C7">
            <w:pPr>
              <w:spacing w:after="0" w:line="240" w:lineRule="auto"/>
              <w:rPr>
                <w:rFonts w:ascii="Calibri" w:eastAsia="Times New Roman" w:hAnsi="Calibri" w:cs="Arial"/>
                <w:b/>
                <w:bCs/>
                <w:lang w:eastAsia="cs-CZ"/>
              </w:rPr>
            </w:pPr>
          </w:p>
        </w:tc>
        <w:tc>
          <w:tcPr>
            <w:tcW w:w="1860" w:type="dxa"/>
            <w:vMerge/>
            <w:tcBorders>
              <w:top w:val="nil"/>
              <w:left w:val="single" w:sz="8" w:space="0" w:color="auto"/>
              <w:bottom w:val="single" w:sz="8" w:space="0" w:color="000000"/>
              <w:right w:val="single" w:sz="8" w:space="0" w:color="auto"/>
            </w:tcBorders>
            <w:vAlign w:val="center"/>
            <w:hideMark/>
          </w:tcPr>
          <w:p w14:paraId="63281417" w14:textId="77777777" w:rsidR="00FA48C7" w:rsidRPr="00FA48C7" w:rsidRDefault="00FA48C7" w:rsidP="00FA48C7">
            <w:pPr>
              <w:spacing w:after="0" w:line="240" w:lineRule="auto"/>
              <w:rPr>
                <w:rFonts w:ascii="Calibri" w:eastAsia="Times New Roman" w:hAnsi="Calibri" w:cs="Arial"/>
                <w:b/>
                <w:bCs/>
                <w:lang w:eastAsia="cs-CZ"/>
              </w:rPr>
            </w:pPr>
          </w:p>
        </w:tc>
        <w:tc>
          <w:tcPr>
            <w:tcW w:w="1828" w:type="dxa"/>
            <w:tcBorders>
              <w:top w:val="nil"/>
              <w:left w:val="nil"/>
              <w:bottom w:val="single" w:sz="4" w:space="0" w:color="auto"/>
              <w:right w:val="single" w:sz="4" w:space="0" w:color="auto"/>
            </w:tcBorders>
            <w:shd w:val="clear" w:color="auto" w:fill="auto"/>
            <w:noWrap/>
            <w:vAlign w:val="center"/>
            <w:hideMark/>
          </w:tcPr>
          <w:p w14:paraId="139791FF" w14:textId="77777777" w:rsidR="00FA48C7" w:rsidRPr="00FA48C7" w:rsidRDefault="00FA48C7" w:rsidP="00FA48C7">
            <w:pPr>
              <w:spacing w:after="0" w:line="240" w:lineRule="auto"/>
              <w:jc w:val="right"/>
              <w:rPr>
                <w:rFonts w:ascii="Calibri" w:eastAsia="Times New Roman" w:hAnsi="Calibri" w:cs="Arial"/>
                <w:lang w:eastAsia="cs-CZ"/>
              </w:rPr>
            </w:pPr>
            <w:r w:rsidRPr="00FA48C7">
              <w:rPr>
                <w:rFonts w:ascii="Calibri" w:eastAsia="Times New Roman" w:hAnsi="Calibri" w:cs="Arial"/>
                <w:lang w:eastAsia="cs-CZ"/>
              </w:rPr>
              <w:t>239 487 000</w:t>
            </w:r>
          </w:p>
        </w:tc>
        <w:tc>
          <w:tcPr>
            <w:tcW w:w="1701" w:type="dxa"/>
            <w:tcBorders>
              <w:top w:val="nil"/>
              <w:left w:val="nil"/>
              <w:bottom w:val="single" w:sz="4" w:space="0" w:color="auto"/>
              <w:right w:val="single" w:sz="4" w:space="0" w:color="auto"/>
            </w:tcBorders>
            <w:shd w:val="clear" w:color="auto" w:fill="auto"/>
            <w:noWrap/>
            <w:vAlign w:val="center"/>
            <w:hideMark/>
          </w:tcPr>
          <w:p w14:paraId="38C89CBC" w14:textId="77777777" w:rsidR="00FA48C7" w:rsidRPr="00FA48C7" w:rsidRDefault="00FA48C7" w:rsidP="00FA48C7">
            <w:pPr>
              <w:spacing w:after="0" w:line="240" w:lineRule="auto"/>
              <w:jc w:val="right"/>
              <w:rPr>
                <w:rFonts w:ascii="Calibri" w:eastAsia="Times New Roman" w:hAnsi="Calibri" w:cs="Arial"/>
                <w:lang w:eastAsia="cs-CZ"/>
              </w:rPr>
            </w:pPr>
            <w:r w:rsidRPr="00FA48C7">
              <w:rPr>
                <w:rFonts w:ascii="Calibri" w:eastAsia="Times New Roman" w:hAnsi="Calibri" w:cs="Arial"/>
                <w:lang w:eastAsia="cs-CZ"/>
              </w:rPr>
              <w:t>239 487 000,00</w:t>
            </w:r>
          </w:p>
        </w:tc>
        <w:tc>
          <w:tcPr>
            <w:tcW w:w="1789" w:type="dxa"/>
            <w:tcBorders>
              <w:top w:val="nil"/>
              <w:left w:val="nil"/>
              <w:bottom w:val="single" w:sz="4" w:space="0" w:color="auto"/>
              <w:right w:val="nil"/>
            </w:tcBorders>
            <w:shd w:val="clear" w:color="auto" w:fill="auto"/>
            <w:noWrap/>
            <w:vAlign w:val="center"/>
            <w:hideMark/>
          </w:tcPr>
          <w:p w14:paraId="03319B83" w14:textId="77777777" w:rsidR="00FA48C7" w:rsidRPr="00FA48C7" w:rsidRDefault="00FA48C7" w:rsidP="00FA48C7">
            <w:pPr>
              <w:spacing w:after="0" w:line="240" w:lineRule="auto"/>
              <w:jc w:val="right"/>
              <w:rPr>
                <w:rFonts w:ascii="Calibri" w:eastAsia="Times New Roman" w:hAnsi="Calibri" w:cs="Arial"/>
                <w:lang w:eastAsia="cs-CZ"/>
              </w:rPr>
            </w:pPr>
            <w:r w:rsidRPr="00FA48C7">
              <w:rPr>
                <w:rFonts w:ascii="Calibri" w:eastAsia="Times New Roman" w:hAnsi="Calibri" w:cs="Arial"/>
                <w:lang w:eastAsia="cs-CZ"/>
              </w:rPr>
              <w:t>239 486 816,00</w:t>
            </w:r>
          </w:p>
        </w:tc>
        <w:tc>
          <w:tcPr>
            <w:tcW w:w="762" w:type="dxa"/>
            <w:tcBorders>
              <w:top w:val="nil"/>
              <w:left w:val="single" w:sz="4" w:space="0" w:color="auto"/>
              <w:bottom w:val="single" w:sz="4" w:space="0" w:color="auto"/>
              <w:right w:val="single" w:sz="8" w:space="0" w:color="auto"/>
            </w:tcBorders>
            <w:shd w:val="clear" w:color="auto" w:fill="auto"/>
            <w:noWrap/>
            <w:vAlign w:val="center"/>
            <w:hideMark/>
          </w:tcPr>
          <w:p w14:paraId="2127A172" w14:textId="77777777" w:rsidR="00FA48C7" w:rsidRPr="00FA48C7" w:rsidRDefault="00FA48C7" w:rsidP="00FA48C7">
            <w:pPr>
              <w:spacing w:after="0" w:line="240" w:lineRule="auto"/>
              <w:jc w:val="right"/>
              <w:rPr>
                <w:rFonts w:ascii="Calibri" w:eastAsia="Times New Roman" w:hAnsi="Calibri" w:cs="Arial"/>
                <w:sz w:val="20"/>
                <w:szCs w:val="20"/>
                <w:lang w:eastAsia="cs-CZ"/>
              </w:rPr>
            </w:pPr>
            <w:r w:rsidRPr="00FA48C7">
              <w:rPr>
                <w:rFonts w:ascii="Calibri" w:eastAsia="Times New Roman" w:hAnsi="Calibri" w:cs="Arial"/>
                <w:sz w:val="20"/>
                <w:szCs w:val="20"/>
                <w:lang w:eastAsia="cs-CZ"/>
              </w:rPr>
              <w:t>100,0</w:t>
            </w:r>
          </w:p>
        </w:tc>
      </w:tr>
      <w:tr w:rsidR="00FA48C7" w:rsidRPr="00FA48C7" w14:paraId="031C2188" w14:textId="77777777" w:rsidTr="00E07FEA">
        <w:trPr>
          <w:trHeight w:val="300"/>
        </w:trPr>
        <w:tc>
          <w:tcPr>
            <w:tcW w:w="4536" w:type="dxa"/>
            <w:tcBorders>
              <w:top w:val="nil"/>
              <w:left w:val="single" w:sz="8" w:space="0" w:color="auto"/>
              <w:bottom w:val="nil"/>
              <w:right w:val="nil"/>
            </w:tcBorders>
            <w:shd w:val="clear" w:color="auto" w:fill="auto"/>
            <w:noWrap/>
            <w:vAlign w:val="center"/>
            <w:hideMark/>
          </w:tcPr>
          <w:p w14:paraId="4C23880D" w14:textId="77777777" w:rsidR="00FA48C7" w:rsidRPr="00FA48C7" w:rsidRDefault="00FA48C7" w:rsidP="00FA48C7">
            <w:pPr>
              <w:spacing w:after="0" w:line="240" w:lineRule="auto"/>
              <w:rPr>
                <w:rFonts w:ascii="Calibri" w:eastAsia="Times New Roman" w:hAnsi="Calibri" w:cs="Arial"/>
                <w:lang w:eastAsia="cs-CZ"/>
              </w:rPr>
            </w:pPr>
            <w:r w:rsidRPr="00FA48C7">
              <w:rPr>
                <w:rFonts w:ascii="Calibri" w:eastAsia="Times New Roman" w:hAnsi="Calibri" w:cs="Arial"/>
                <w:lang w:eastAsia="cs-CZ"/>
              </w:rPr>
              <w:t xml:space="preserve">Splátky úroků z přijatého úvěru kraje </w:t>
            </w:r>
          </w:p>
        </w:tc>
        <w:tc>
          <w:tcPr>
            <w:tcW w:w="1560" w:type="dxa"/>
            <w:vMerge/>
            <w:tcBorders>
              <w:top w:val="nil"/>
              <w:left w:val="single" w:sz="8" w:space="0" w:color="auto"/>
              <w:bottom w:val="single" w:sz="8" w:space="0" w:color="000000"/>
              <w:right w:val="single" w:sz="8" w:space="0" w:color="auto"/>
            </w:tcBorders>
            <w:vAlign w:val="center"/>
            <w:hideMark/>
          </w:tcPr>
          <w:p w14:paraId="0A273923" w14:textId="77777777" w:rsidR="00FA48C7" w:rsidRPr="00FA48C7" w:rsidRDefault="00FA48C7" w:rsidP="00FA48C7">
            <w:pPr>
              <w:spacing w:after="0" w:line="240" w:lineRule="auto"/>
              <w:rPr>
                <w:rFonts w:ascii="Calibri" w:eastAsia="Times New Roman" w:hAnsi="Calibri" w:cs="Arial"/>
                <w:b/>
                <w:bCs/>
                <w:lang w:eastAsia="cs-CZ"/>
              </w:rPr>
            </w:pPr>
          </w:p>
        </w:tc>
        <w:tc>
          <w:tcPr>
            <w:tcW w:w="1150" w:type="dxa"/>
            <w:vMerge/>
            <w:tcBorders>
              <w:top w:val="nil"/>
              <w:left w:val="single" w:sz="8" w:space="0" w:color="auto"/>
              <w:bottom w:val="single" w:sz="8" w:space="0" w:color="000000"/>
              <w:right w:val="single" w:sz="8" w:space="0" w:color="auto"/>
            </w:tcBorders>
            <w:vAlign w:val="center"/>
            <w:hideMark/>
          </w:tcPr>
          <w:p w14:paraId="1DC7A219" w14:textId="77777777" w:rsidR="00FA48C7" w:rsidRPr="00FA48C7" w:rsidRDefault="00FA48C7" w:rsidP="00FA48C7">
            <w:pPr>
              <w:spacing w:after="0" w:line="240" w:lineRule="auto"/>
              <w:rPr>
                <w:rFonts w:ascii="Calibri" w:eastAsia="Times New Roman" w:hAnsi="Calibri" w:cs="Arial"/>
                <w:b/>
                <w:bCs/>
                <w:lang w:eastAsia="cs-CZ"/>
              </w:rPr>
            </w:pPr>
          </w:p>
        </w:tc>
        <w:tc>
          <w:tcPr>
            <w:tcW w:w="1860" w:type="dxa"/>
            <w:vMerge/>
            <w:tcBorders>
              <w:top w:val="nil"/>
              <w:left w:val="single" w:sz="8" w:space="0" w:color="auto"/>
              <w:bottom w:val="single" w:sz="8" w:space="0" w:color="000000"/>
              <w:right w:val="single" w:sz="8" w:space="0" w:color="auto"/>
            </w:tcBorders>
            <w:vAlign w:val="center"/>
            <w:hideMark/>
          </w:tcPr>
          <w:p w14:paraId="0EA25D45" w14:textId="77777777" w:rsidR="00FA48C7" w:rsidRPr="00FA48C7" w:rsidRDefault="00FA48C7" w:rsidP="00FA48C7">
            <w:pPr>
              <w:spacing w:after="0" w:line="240" w:lineRule="auto"/>
              <w:rPr>
                <w:rFonts w:ascii="Calibri" w:eastAsia="Times New Roman" w:hAnsi="Calibri" w:cs="Arial"/>
                <w:b/>
                <w:bCs/>
                <w:lang w:eastAsia="cs-CZ"/>
              </w:rPr>
            </w:pPr>
          </w:p>
        </w:tc>
        <w:tc>
          <w:tcPr>
            <w:tcW w:w="1828" w:type="dxa"/>
            <w:tcBorders>
              <w:top w:val="nil"/>
              <w:left w:val="nil"/>
              <w:bottom w:val="single" w:sz="8" w:space="0" w:color="auto"/>
              <w:right w:val="single" w:sz="4" w:space="0" w:color="auto"/>
            </w:tcBorders>
            <w:shd w:val="clear" w:color="auto" w:fill="auto"/>
            <w:noWrap/>
            <w:vAlign w:val="center"/>
            <w:hideMark/>
          </w:tcPr>
          <w:p w14:paraId="05E0DEC9" w14:textId="77777777" w:rsidR="00FA48C7" w:rsidRPr="00FA48C7" w:rsidRDefault="00FA48C7" w:rsidP="00FA48C7">
            <w:pPr>
              <w:spacing w:after="0" w:line="240" w:lineRule="auto"/>
              <w:jc w:val="right"/>
              <w:rPr>
                <w:rFonts w:ascii="Calibri" w:eastAsia="Times New Roman" w:hAnsi="Calibri" w:cs="Arial"/>
                <w:lang w:eastAsia="cs-CZ"/>
              </w:rPr>
            </w:pPr>
            <w:r w:rsidRPr="00FA48C7">
              <w:rPr>
                <w:rFonts w:ascii="Calibri" w:eastAsia="Times New Roman" w:hAnsi="Calibri" w:cs="Arial"/>
                <w:lang w:eastAsia="cs-CZ"/>
              </w:rPr>
              <w:t>11 610 000</w:t>
            </w:r>
          </w:p>
        </w:tc>
        <w:tc>
          <w:tcPr>
            <w:tcW w:w="1701" w:type="dxa"/>
            <w:tcBorders>
              <w:top w:val="nil"/>
              <w:left w:val="nil"/>
              <w:bottom w:val="single" w:sz="8" w:space="0" w:color="auto"/>
              <w:right w:val="single" w:sz="4" w:space="0" w:color="auto"/>
            </w:tcBorders>
            <w:shd w:val="clear" w:color="auto" w:fill="auto"/>
            <w:noWrap/>
            <w:vAlign w:val="center"/>
            <w:hideMark/>
          </w:tcPr>
          <w:p w14:paraId="1ECF79C5" w14:textId="77777777" w:rsidR="00FA48C7" w:rsidRPr="00FA48C7" w:rsidRDefault="00FA48C7" w:rsidP="00FA48C7">
            <w:pPr>
              <w:spacing w:after="0" w:line="240" w:lineRule="auto"/>
              <w:jc w:val="right"/>
              <w:rPr>
                <w:rFonts w:ascii="Calibri" w:eastAsia="Times New Roman" w:hAnsi="Calibri" w:cs="Arial"/>
                <w:lang w:eastAsia="cs-CZ"/>
              </w:rPr>
            </w:pPr>
            <w:r w:rsidRPr="00FA48C7">
              <w:rPr>
                <w:rFonts w:ascii="Calibri" w:eastAsia="Times New Roman" w:hAnsi="Calibri" w:cs="Arial"/>
                <w:lang w:eastAsia="cs-CZ"/>
              </w:rPr>
              <w:t>20 087 788,19</w:t>
            </w:r>
          </w:p>
        </w:tc>
        <w:tc>
          <w:tcPr>
            <w:tcW w:w="1789" w:type="dxa"/>
            <w:tcBorders>
              <w:top w:val="nil"/>
              <w:left w:val="nil"/>
              <w:bottom w:val="single" w:sz="8" w:space="0" w:color="auto"/>
              <w:right w:val="single" w:sz="4" w:space="0" w:color="auto"/>
            </w:tcBorders>
            <w:shd w:val="clear" w:color="auto" w:fill="auto"/>
            <w:noWrap/>
            <w:vAlign w:val="center"/>
            <w:hideMark/>
          </w:tcPr>
          <w:p w14:paraId="187F4F9D" w14:textId="77777777" w:rsidR="00FA48C7" w:rsidRPr="00FA48C7" w:rsidRDefault="00FA48C7" w:rsidP="00FA48C7">
            <w:pPr>
              <w:spacing w:after="0" w:line="240" w:lineRule="auto"/>
              <w:jc w:val="right"/>
              <w:rPr>
                <w:rFonts w:ascii="Calibri" w:eastAsia="Times New Roman" w:hAnsi="Calibri" w:cs="Arial"/>
                <w:lang w:eastAsia="cs-CZ"/>
              </w:rPr>
            </w:pPr>
            <w:r w:rsidRPr="00FA48C7">
              <w:rPr>
                <w:rFonts w:ascii="Calibri" w:eastAsia="Times New Roman" w:hAnsi="Calibri" w:cs="Arial"/>
                <w:lang w:eastAsia="cs-CZ"/>
              </w:rPr>
              <w:t>8 448 595,81</w:t>
            </w:r>
          </w:p>
        </w:tc>
        <w:tc>
          <w:tcPr>
            <w:tcW w:w="762" w:type="dxa"/>
            <w:tcBorders>
              <w:top w:val="nil"/>
              <w:left w:val="nil"/>
              <w:bottom w:val="single" w:sz="8" w:space="0" w:color="auto"/>
              <w:right w:val="single" w:sz="8" w:space="0" w:color="auto"/>
            </w:tcBorders>
            <w:shd w:val="clear" w:color="auto" w:fill="auto"/>
            <w:noWrap/>
            <w:vAlign w:val="center"/>
            <w:hideMark/>
          </w:tcPr>
          <w:p w14:paraId="671DF3BA" w14:textId="77777777" w:rsidR="00FA48C7" w:rsidRPr="00FA48C7" w:rsidRDefault="00FA48C7" w:rsidP="00FA48C7">
            <w:pPr>
              <w:spacing w:after="0" w:line="240" w:lineRule="auto"/>
              <w:jc w:val="right"/>
              <w:rPr>
                <w:rFonts w:ascii="Calibri" w:eastAsia="Times New Roman" w:hAnsi="Calibri" w:cs="Arial"/>
                <w:sz w:val="20"/>
                <w:szCs w:val="20"/>
                <w:lang w:eastAsia="cs-CZ"/>
              </w:rPr>
            </w:pPr>
            <w:r w:rsidRPr="00FA48C7">
              <w:rPr>
                <w:rFonts w:ascii="Calibri" w:eastAsia="Times New Roman" w:hAnsi="Calibri" w:cs="Arial"/>
                <w:sz w:val="20"/>
                <w:szCs w:val="20"/>
                <w:lang w:eastAsia="cs-CZ"/>
              </w:rPr>
              <w:t>42,1</w:t>
            </w:r>
          </w:p>
        </w:tc>
      </w:tr>
      <w:tr w:rsidR="00FA48C7" w:rsidRPr="00FA48C7" w14:paraId="7C401396" w14:textId="77777777" w:rsidTr="00E07FEA">
        <w:trPr>
          <w:trHeight w:val="900"/>
        </w:trPr>
        <w:tc>
          <w:tcPr>
            <w:tcW w:w="4536" w:type="dxa"/>
            <w:tcBorders>
              <w:top w:val="single" w:sz="8" w:space="0" w:color="auto"/>
              <w:left w:val="single" w:sz="8" w:space="0" w:color="auto"/>
              <w:bottom w:val="single" w:sz="4" w:space="0" w:color="auto"/>
              <w:right w:val="nil"/>
            </w:tcBorders>
            <w:shd w:val="clear" w:color="auto" w:fill="auto"/>
            <w:vAlign w:val="center"/>
            <w:hideMark/>
          </w:tcPr>
          <w:p w14:paraId="693F14A7" w14:textId="0E9954A1" w:rsidR="00FA48C7" w:rsidRPr="00FA48C7" w:rsidRDefault="00FA48C7" w:rsidP="00FA48C7">
            <w:pPr>
              <w:spacing w:after="0" w:line="240" w:lineRule="auto"/>
              <w:rPr>
                <w:rFonts w:ascii="Calibri" w:eastAsia="Times New Roman" w:hAnsi="Calibri" w:cs="Arial"/>
                <w:b/>
                <w:bCs/>
                <w:lang w:eastAsia="cs-CZ"/>
              </w:rPr>
            </w:pPr>
            <w:r w:rsidRPr="00FA48C7">
              <w:rPr>
                <w:rFonts w:ascii="Calibri" w:eastAsia="Times New Roman" w:hAnsi="Calibri" w:cs="Arial"/>
                <w:b/>
                <w:bCs/>
                <w:lang w:eastAsia="cs-CZ"/>
              </w:rPr>
              <w:t>Smlouva o úvěru uzavřená s Českou spořitelnou, a.s</w:t>
            </w:r>
            <w:r w:rsidR="00637ED1">
              <w:rPr>
                <w:rFonts w:ascii="Calibri" w:eastAsia="Times New Roman" w:hAnsi="Calibri" w:cs="Arial"/>
                <w:b/>
                <w:bCs/>
                <w:lang w:eastAsia="cs-CZ"/>
              </w:rPr>
              <w:t>.</w:t>
            </w:r>
            <w:r w:rsidRPr="00FA48C7">
              <w:rPr>
                <w:rFonts w:ascii="Calibri" w:eastAsia="Times New Roman" w:hAnsi="Calibri" w:cs="Arial"/>
                <w:b/>
                <w:bCs/>
                <w:lang w:eastAsia="cs-CZ"/>
              </w:rPr>
              <w:t xml:space="preserve"> dne 27. 8. 2019 </w:t>
            </w:r>
            <w:r w:rsidRPr="00FA48C7">
              <w:rPr>
                <w:rFonts w:ascii="Calibri" w:eastAsia="Times New Roman" w:hAnsi="Calibri" w:cs="Arial"/>
                <w:lang w:eastAsia="cs-CZ"/>
              </w:rPr>
              <w:t>(financování vybraných projektů podporovaných ze zdrojů Evropské unie; krytí časového nesouladu mezi příjmy a výdaji Středočeského kraje)</w:t>
            </w:r>
          </w:p>
        </w:tc>
        <w:tc>
          <w:tcPr>
            <w:tcW w:w="15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40837FE" w14:textId="77777777" w:rsidR="00FA48C7" w:rsidRPr="00FA48C7" w:rsidRDefault="00FA48C7" w:rsidP="00FA48C7">
            <w:pPr>
              <w:spacing w:after="0" w:line="240" w:lineRule="auto"/>
              <w:jc w:val="right"/>
              <w:rPr>
                <w:rFonts w:ascii="Calibri" w:eastAsia="Times New Roman" w:hAnsi="Calibri" w:cs="Arial"/>
                <w:b/>
                <w:bCs/>
                <w:lang w:eastAsia="cs-CZ"/>
              </w:rPr>
            </w:pPr>
            <w:r w:rsidRPr="00FA48C7">
              <w:rPr>
                <w:rFonts w:ascii="Calibri" w:eastAsia="Times New Roman" w:hAnsi="Calibri" w:cs="Arial"/>
                <w:b/>
                <w:bCs/>
                <w:lang w:eastAsia="cs-CZ"/>
              </w:rPr>
              <w:t>2 000 000 000</w:t>
            </w:r>
          </w:p>
        </w:tc>
        <w:tc>
          <w:tcPr>
            <w:tcW w:w="115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A58D647" w14:textId="77777777" w:rsidR="00FA48C7" w:rsidRPr="00FA48C7" w:rsidRDefault="00FA48C7" w:rsidP="00FA48C7">
            <w:pPr>
              <w:spacing w:after="0" w:line="240" w:lineRule="auto"/>
              <w:jc w:val="center"/>
              <w:rPr>
                <w:rFonts w:ascii="Calibri" w:eastAsia="Times New Roman" w:hAnsi="Calibri" w:cs="Arial"/>
                <w:b/>
                <w:bCs/>
                <w:lang w:eastAsia="cs-CZ"/>
              </w:rPr>
            </w:pPr>
            <w:r w:rsidRPr="00FA48C7">
              <w:rPr>
                <w:rFonts w:ascii="Calibri" w:eastAsia="Times New Roman" w:hAnsi="Calibri" w:cs="Arial"/>
                <w:b/>
                <w:bCs/>
                <w:lang w:eastAsia="cs-CZ"/>
              </w:rPr>
              <w:t>31.10.2024</w:t>
            </w:r>
          </w:p>
        </w:tc>
        <w:tc>
          <w:tcPr>
            <w:tcW w:w="18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D2134CF" w14:textId="77777777" w:rsidR="00FA48C7" w:rsidRPr="00FA48C7" w:rsidRDefault="00FA48C7" w:rsidP="00FA48C7">
            <w:pPr>
              <w:spacing w:after="0" w:line="240" w:lineRule="auto"/>
              <w:jc w:val="right"/>
              <w:rPr>
                <w:rFonts w:ascii="Calibri" w:eastAsia="Times New Roman" w:hAnsi="Calibri" w:cs="Arial"/>
                <w:b/>
                <w:bCs/>
                <w:lang w:eastAsia="cs-CZ"/>
              </w:rPr>
            </w:pPr>
            <w:r w:rsidRPr="00FA48C7">
              <w:rPr>
                <w:rFonts w:ascii="Calibri" w:eastAsia="Times New Roman" w:hAnsi="Calibri" w:cs="Arial"/>
                <w:b/>
                <w:bCs/>
                <w:lang w:eastAsia="cs-CZ"/>
              </w:rPr>
              <w:t>2 000 000 000,00</w:t>
            </w:r>
          </w:p>
        </w:tc>
        <w:tc>
          <w:tcPr>
            <w:tcW w:w="1828" w:type="dxa"/>
            <w:tcBorders>
              <w:top w:val="nil"/>
              <w:left w:val="nil"/>
              <w:bottom w:val="single" w:sz="4" w:space="0" w:color="auto"/>
              <w:right w:val="single" w:sz="4" w:space="0" w:color="auto"/>
            </w:tcBorders>
            <w:shd w:val="clear" w:color="auto" w:fill="auto"/>
            <w:noWrap/>
            <w:vAlign w:val="center"/>
            <w:hideMark/>
          </w:tcPr>
          <w:p w14:paraId="7DF3F34A" w14:textId="77777777" w:rsidR="00FA48C7" w:rsidRPr="00FA48C7" w:rsidRDefault="00FA48C7" w:rsidP="00FA48C7">
            <w:pPr>
              <w:spacing w:after="0" w:line="240" w:lineRule="auto"/>
              <w:jc w:val="right"/>
              <w:rPr>
                <w:rFonts w:ascii="Calibri" w:eastAsia="Times New Roman" w:hAnsi="Calibri" w:cs="Arial"/>
                <w:b/>
                <w:bCs/>
                <w:lang w:eastAsia="cs-CZ"/>
              </w:rPr>
            </w:pPr>
            <w:r w:rsidRPr="00FA48C7">
              <w:rPr>
                <w:rFonts w:ascii="Calibri" w:eastAsia="Times New Roman" w:hAnsi="Calibri" w:cs="Arial"/>
                <w:b/>
                <w:bCs/>
                <w:lang w:eastAsia="cs-CZ"/>
              </w:rPr>
              <w:t>16 831 000</w:t>
            </w:r>
          </w:p>
        </w:tc>
        <w:tc>
          <w:tcPr>
            <w:tcW w:w="1701" w:type="dxa"/>
            <w:tcBorders>
              <w:top w:val="nil"/>
              <w:left w:val="nil"/>
              <w:bottom w:val="single" w:sz="4" w:space="0" w:color="auto"/>
              <w:right w:val="single" w:sz="4" w:space="0" w:color="auto"/>
            </w:tcBorders>
            <w:shd w:val="clear" w:color="auto" w:fill="auto"/>
            <w:noWrap/>
            <w:vAlign w:val="center"/>
            <w:hideMark/>
          </w:tcPr>
          <w:p w14:paraId="12C95519" w14:textId="77777777" w:rsidR="00FA48C7" w:rsidRPr="00FA48C7" w:rsidRDefault="00FA48C7" w:rsidP="00FA48C7">
            <w:pPr>
              <w:spacing w:after="0" w:line="240" w:lineRule="auto"/>
              <w:jc w:val="right"/>
              <w:rPr>
                <w:rFonts w:ascii="Calibri" w:eastAsia="Times New Roman" w:hAnsi="Calibri" w:cs="Arial"/>
                <w:b/>
                <w:bCs/>
                <w:lang w:eastAsia="cs-CZ"/>
              </w:rPr>
            </w:pPr>
            <w:r w:rsidRPr="00FA48C7">
              <w:rPr>
                <w:rFonts w:ascii="Calibri" w:eastAsia="Times New Roman" w:hAnsi="Calibri" w:cs="Arial"/>
                <w:b/>
                <w:bCs/>
                <w:lang w:eastAsia="cs-CZ"/>
              </w:rPr>
              <w:t>27 943 138,62</w:t>
            </w:r>
          </w:p>
        </w:tc>
        <w:tc>
          <w:tcPr>
            <w:tcW w:w="1789" w:type="dxa"/>
            <w:tcBorders>
              <w:top w:val="nil"/>
              <w:left w:val="nil"/>
              <w:bottom w:val="single" w:sz="4" w:space="0" w:color="auto"/>
              <w:right w:val="nil"/>
            </w:tcBorders>
            <w:shd w:val="clear" w:color="auto" w:fill="auto"/>
            <w:noWrap/>
            <w:vAlign w:val="center"/>
            <w:hideMark/>
          </w:tcPr>
          <w:p w14:paraId="50D25342" w14:textId="77777777" w:rsidR="00FA48C7" w:rsidRPr="00FA48C7" w:rsidRDefault="00FA48C7" w:rsidP="00FA48C7">
            <w:pPr>
              <w:spacing w:after="0" w:line="240" w:lineRule="auto"/>
              <w:jc w:val="right"/>
              <w:rPr>
                <w:rFonts w:ascii="Calibri" w:eastAsia="Times New Roman" w:hAnsi="Calibri" w:cs="Arial"/>
                <w:b/>
                <w:bCs/>
                <w:lang w:eastAsia="cs-CZ"/>
              </w:rPr>
            </w:pPr>
            <w:r w:rsidRPr="00FA48C7">
              <w:rPr>
                <w:rFonts w:ascii="Calibri" w:eastAsia="Times New Roman" w:hAnsi="Calibri" w:cs="Arial"/>
                <w:b/>
                <w:bCs/>
                <w:lang w:eastAsia="cs-CZ"/>
              </w:rPr>
              <w:t>13 533 117,42</w:t>
            </w:r>
          </w:p>
        </w:tc>
        <w:tc>
          <w:tcPr>
            <w:tcW w:w="762" w:type="dxa"/>
            <w:tcBorders>
              <w:top w:val="nil"/>
              <w:left w:val="single" w:sz="4" w:space="0" w:color="auto"/>
              <w:bottom w:val="single" w:sz="4" w:space="0" w:color="auto"/>
              <w:right w:val="single" w:sz="8" w:space="0" w:color="auto"/>
            </w:tcBorders>
            <w:shd w:val="clear" w:color="auto" w:fill="auto"/>
            <w:noWrap/>
            <w:vAlign w:val="center"/>
            <w:hideMark/>
          </w:tcPr>
          <w:p w14:paraId="2FD0E724" w14:textId="77777777" w:rsidR="00FA48C7" w:rsidRPr="00FA48C7" w:rsidRDefault="00FA48C7" w:rsidP="00FA48C7">
            <w:pPr>
              <w:spacing w:after="0" w:line="240" w:lineRule="auto"/>
              <w:jc w:val="right"/>
              <w:rPr>
                <w:rFonts w:ascii="Calibri" w:eastAsia="Times New Roman" w:hAnsi="Calibri" w:cs="Arial"/>
                <w:b/>
                <w:bCs/>
                <w:sz w:val="20"/>
                <w:szCs w:val="20"/>
                <w:lang w:eastAsia="cs-CZ"/>
              </w:rPr>
            </w:pPr>
            <w:r w:rsidRPr="00FA48C7">
              <w:rPr>
                <w:rFonts w:ascii="Calibri" w:eastAsia="Times New Roman" w:hAnsi="Calibri" w:cs="Arial"/>
                <w:b/>
                <w:bCs/>
                <w:sz w:val="20"/>
                <w:szCs w:val="20"/>
                <w:lang w:eastAsia="cs-CZ"/>
              </w:rPr>
              <w:t>48,4</w:t>
            </w:r>
          </w:p>
        </w:tc>
      </w:tr>
      <w:tr w:rsidR="00FA48C7" w:rsidRPr="00FA48C7" w14:paraId="44D34EC0" w14:textId="77777777" w:rsidTr="00E07FEA">
        <w:trPr>
          <w:trHeight w:val="300"/>
        </w:trPr>
        <w:tc>
          <w:tcPr>
            <w:tcW w:w="4536" w:type="dxa"/>
            <w:tcBorders>
              <w:top w:val="nil"/>
              <w:left w:val="single" w:sz="8" w:space="0" w:color="auto"/>
              <w:bottom w:val="single" w:sz="4" w:space="0" w:color="auto"/>
              <w:right w:val="nil"/>
            </w:tcBorders>
            <w:shd w:val="clear" w:color="auto" w:fill="auto"/>
            <w:noWrap/>
            <w:vAlign w:val="center"/>
            <w:hideMark/>
          </w:tcPr>
          <w:p w14:paraId="413C5495" w14:textId="77777777" w:rsidR="00FA48C7" w:rsidRPr="00FA48C7" w:rsidRDefault="00FA48C7" w:rsidP="00FA48C7">
            <w:pPr>
              <w:spacing w:after="0" w:line="240" w:lineRule="auto"/>
              <w:rPr>
                <w:rFonts w:ascii="Calibri" w:eastAsia="Times New Roman" w:hAnsi="Calibri" w:cs="Arial"/>
                <w:lang w:eastAsia="cs-CZ"/>
              </w:rPr>
            </w:pPr>
            <w:r w:rsidRPr="00FA48C7">
              <w:rPr>
                <w:rFonts w:ascii="Calibri" w:eastAsia="Times New Roman" w:hAnsi="Calibri" w:cs="Arial"/>
                <w:lang w:eastAsia="cs-CZ"/>
              </w:rPr>
              <w:t>Splátky přijatého úvěru kraje (jistina)</w:t>
            </w:r>
          </w:p>
        </w:tc>
        <w:tc>
          <w:tcPr>
            <w:tcW w:w="1560" w:type="dxa"/>
            <w:vMerge/>
            <w:tcBorders>
              <w:top w:val="nil"/>
              <w:left w:val="single" w:sz="8" w:space="0" w:color="auto"/>
              <w:bottom w:val="single" w:sz="8" w:space="0" w:color="000000"/>
              <w:right w:val="single" w:sz="8" w:space="0" w:color="auto"/>
            </w:tcBorders>
            <w:vAlign w:val="center"/>
            <w:hideMark/>
          </w:tcPr>
          <w:p w14:paraId="4285B1F8" w14:textId="77777777" w:rsidR="00FA48C7" w:rsidRPr="00FA48C7" w:rsidRDefault="00FA48C7" w:rsidP="00FA48C7">
            <w:pPr>
              <w:spacing w:after="0" w:line="240" w:lineRule="auto"/>
              <w:rPr>
                <w:rFonts w:ascii="Calibri" w:eastAsia="Times New Roman" w:hAnsi="Calibri" w:cs="Arial"/>
                <w:b/>
                <w:bCs/>
                <w:lang w:eastAsia="cs-CZ"/>
              </w:rPr>
            </w:pPr>
          </w:p>
        </w:tc>
        <w:tc>
          <w:tcPr>
            <w:tcW w:w="1150" w:type="dxa"/>
            <w:vMerge/>
            <w:tcBorders>
              <w:top w:val="nil"/>
              <w:left w:val="single" w:sz="8" w:space="0" w:color="auto"/>
              <w:bottom w:val="single" w:sz="8" w:space="0" w:color="000000"/>
              <w:right w:val="single" w:sz="8" w:space="0" w:color="auto"/>
            </w:tcBorders>
            <w:vAlign w:val="center"/>
            <w:hideMark/>
          </w:tcPr>
          <w:p w14:paraId="1E0948C5" w14:textId="77777777" w:rsidR="00FA48C7" w:rsidRPr="00FA48C7" w:rsidRDefault="00FA48C7" w:rsidP="00FA48C7">
            <w:pPr>
              <w:spacing w:after="0" w:line="240" w:lineRule="auto"/>
              <w:rPr>
                <w:rFonts w:ascii="Calibri" w:eastAsia="Times New Roman" w:hAnsi="Calibri" w:cs="Arial"/>
                <w:b/>
                <w:bCs/>
                <w:lang w:eastAsia="cs-CZ"/>
              </w:rPr>
            </w:pPr>
          </w:p>
        </w:tc>
        <w:tc>
          <w:tcPr>
            <w:tcW w:w="1860" w:type="dxa"/>
            <w:vMerge/>
            <w:tcBorders>
              <w:top w:val="nil"/>
              <w:left w:val="single" w:sz="8" w:space="0" w:color="auto"/>
              <w:bottom w:val="single" w:sz="8" w:space="0" w:color="000000"/>
              <w:right w:val="single" w:sz="8" w:space="0" w:color="auto"/>
            </w:tcBorders>
            <w:vAlign w:val="center"/>
            <w:hideMark/>
          </w:tcPr>
          <w:p w14:paraId="65396097" w14:textId="77777777" w:rsidR="00FA48C7" w:rsidRPr="00FA48C7" w:rsidRDefault="00FA48C7" w:rsidP="00FA48C7">
            <w:pPr>
              <w:spacing w:after="0" w:line="240" w:lineRule="auto"/>
              <w:rPr>
                <w:rFonts w:ascii="Calibri" w:eastAsia="Times New Roman" w:hAnsi="Calibri" w:cs="Arial"/>
                <w:b/>
                <w:bCs/>
                <w:lang w:eastAsia="cs-CZ"/>
              </w:rPr>
            </w:pPr>
          </w:p>
        </w:tc>
        <w:tc>
          <w:tcPr>
            <w:tcW w:w="1828" w:type="dxa"/>
            <w:tcBorders>
              <w:top w:val="nil"/>
              <w:left w:val="nil"/>
              <w:bottom w:val="single" w:sz="4" w:space="0" w:color="auto"/>
              <w:right w:val="single" w:sz="4" w:space="0" w:color="auto"/>
            </w:tcBorders>
            <w:shd w:val="clear" w:color="auto" w:fill="auto"/>
            <w:noWrap/>
            <w:vAlign w:val="center"/>
            <w:hideMark/>
          </w:tcPr>
          <w:p w14:paraId="653B7571" w14:textId="77777777" w:rsidR="00FA48C7" w:rsidRPr="00FA48C7" w:rsidRDefault="00FA48C7" w:rsidP="00FA48C7">
            <w:pPr>
              <w:spacing w:after="0" w:line="240" w:lineRule="auto"/>
              <w:jc w:val="right"/>
              <w:rPr>
                <w:rFonts w:ascii="Calibri" w:eastAsia="Times New Roman" w:hAnsi="Calibri" w:cs="Arial"/>
                <w:lang w:eastAsia="cs-CZ"/>
              </w:rPr>
            </w:pPr>
            <w:r w:rsidRPr="00FA48C7">
              <w:rPr>
                <w:rFonts w:ascii="Calibri" w:eastAsia="Times New Roman" w:hAnsi="Calibri" w:cs="Arial"/>
                <w:lang w:eastAsia="cs-CZ"/>
              </w:rPr>
              <w:t>0</w:t>
            </w:r>
          </w:p>
        </w:tc>
        <w:tc>
          <w:tcPr>
            <w:tcW w:w="1701" w:type="dxa"/>
            <w:tcBorders>
              <w:top w:val="nil"/>
              <w:left w:val="nil"/>
              <w:bottom w:val="single" w:sz="4" w:space="0" w:color="auto"/>
              <w:right w:val="single" w:sz="4" w:space="0" w:color="auto"/>
            </w:tcBorders>
            <w:shd w:val="clear" w:color="auto" w:fill="auto"/>
            <w:noWrap/>
            <w:vAlign w:val="center"/>
            <w:hideMark/>
          </w:tcPr>
          <w:p w14:paraId="3515622B" w14:textId="77777777" w:rsidR="00FA48C7" w:rsidRPr="00FA48C7" w:rsidRDefault="00FA48C7" w:rsidP="00FA48C7">
            <w:pPr>
              <w:spacing w:after="0" w:line="240" w:lineRule="auto"/>
              <w:jc w:val="right"/>
              <w:rPr>
                <w:rFonts w:ascii="Calibri" w:eastAsia="Times New Roman" w:hAnsi="Calibri" w:cs="Arial"/>
                <w:lang w:eastAsia="cs-CZ"/>
              </w:rPr>
            </w:pPr>
            <w:r w:rsidRPr="00FA48C7">
              <w:rPr>
                <w:rFonts w:ascii="Calibri" w:eastAsia="Times New Roman" w:hAnsi="Calibri" w:cs="Arial"/>
                <w:lang w:eastAsia="cs-CZ"/>
              </w:rPr>
              <w:t>0,00</w:t>
            </w:r>
          </w:p>
        </w:tc>
        <w:tc>
          <w:tcPr>
            <w:tcW w:w="1789" w:type="dxa"/>
            <w:tcBorders>
              <w:top w:val="nil"/>
              <w:left w:val="nil"/>
              <w:bottom w:val="single" w:sz="4" w:space="0" w:color="auto"/>
              <w:right w:val="nil"/>
            </w:tcBorders>
            <w:shd w:val="clear" w:color="auto" w:fill="auto"/>
            <w:noWrap/>
            <w:vAlign w:val="center"/>
            <w:hideMark/>
          </w:tcPr>
          <w:p w14:paraId="1063D79A" w14:textId="77777777" w:rsidR="00FA48C7" w:rsidRPr="00FA48C7" w:rsidRDefault="00FA48C7" w:rsidP="00FA48C7">
            <w:pPr>
              <w:spacing w:after="0" w:line="240" w:lineRule="auto"/>
              <w:jc w:val="right"/>
              <w:rPr>
                <w:rFonts w:ascii="Calibri" w:eastAsia="Times New Roman" w:hAnsi="Calibri" w:cs="Arial"/>
                <w:lang w:eastAsia="cs-CZ"/>
              </w:rPr>
            </w:pPr>
            <w:r w:rsidRPr="00FA48C7">
              <w:rPr>
                <w:rFonts w:ascii="Calibri" w:eastAsia="Times New Roman" w:hAnsi="Calibri" w:cs="Arial"/>
                <w:lang w:eastAsia="cs-CZ"/>
              </w:rPr>
              <w:t>0,00</w:t>
            </w:r>
          </w:p>
        </w:tc>
        <w:tc>
          <w:tcPr>
            <w:tcW w:w="762" w:type="dxa"/>
            <w:tcBorders>
              <w:top w:val="nil"/>
              <w:left w:val="single" w:sz="4" w:space="0" w:color="auto"/>
              <w:bottom w:val="single" w:sz="4" w:space="0" w:color="auto"/>
              <w:right w:val="single" w:sz="8" w:space="0" w:color="auto"/>
            </w:tcBorders>
            <w:shd w:val="clear" w:color="auto" w:fill="auto"/>
            <w:noWrap/>
            <w:vAlign w:val="center"/>
            <w:hideMark/>
          </w:tcPr>
          <w:p w14:paraId="6152E976" w14:textId="77777777" w:rsidR="00FA48C7" w:rsidRPr="00FA48C7" w:rsidRDefault="00FA48C7" w:rsidP="00FA48C7">
            <w:pPr>
              <w:spacing w:after="0" w:line="240" w:lineRule="auto"/>
              <w:jc w:val="right"/>
              <w:rPr>
                <w:rFonts w:ascii="Calibri" w:eastAsia="Times New Roman" w:hAnsi="Calibri" w:cs="Arial"/>
                <w:sz w:val="20"/>
                <w:szCs w:val="20"/>
                <w:lang w:eastAsia="cs-CZ"/>
              </w:rPr>
            </w:pPr>
            <w:r w:rsidRPr="00FA48C7">
              <w:rPr>
                <w:rFonts w:ascii="Calibri" w:eastAsia="Times New Roman" w:hAnsi="Calibri" w:cs="Arial"/>
                <w:sz w:val="20"/>
                <w:szCs w:val="20"/>
                <w:lang w:eastAsia="cs-CZ"/>
              </w:rPr>
              <w:t>-</w:t>
            </w:r>
          </w:p>
        </w:tc>
      </w:tr>
      <w:tr w:rsidR="00FA48C7" w:rsidRPr="00FA48C7" w14:paraId="6C4EE20B" w14:textId="77777777" w:rsidTr="00E07FEA">
        <w:trPr>
          <w:trHeight w:val="300"/>
        </w:trPr>
        <w:tc>
          <w:tcPr>
            <w:tcW w:w="4536" w:type="dxa"/>
            <w:tcBorders>
              <w:top w:val="nil"/>
              <w:left w:val="single" w:sz="8" w:space="0" w:color="auto"/>
              <w:bottom w:val="nil"/>
              <w:right w:val="nil"/>
            </w:tcBorders>
            <w:shd w:val="clear" w:color="auto" w:fill="auto"/>
            <w:noWrap/>
            <w:vAlign w:val="center"/>
            <w:hideMark/>
          </w:tcPr>
          <w:p w14:paraId="7980F164" w14:textId="77777777" w:rsidR="00FA48C7" w:rsidRPr="00FA48C7" w:rsidRDefault="00FA48C7" w:rsidP="00FA48C7">
            <w:pPr>
              <w:spacing w:after="0" w:line="240" w:lineRule="auto"/>
              <w:rPr>
                <w:rFonts w:ascii="Calibri" w:eastAsia="Times New Roman" w:hAnsi="Calibri" w:cs="Arial"/>
                <w:lang w:eastAsia="cs-CZ"/>
              </w:rPr>
            </w:pPr>
            <w:r w:rsidRPr="00FA48C7">
              <w:rPr>
                <w:rFonts w:ascii="Calibri" w:eastAsia="Times New Roman" w:hAnsi="Calibri" w:cs="Arial"/>
                <w:lang w:eastAsia="cs-CZ"/>
              </w:rPr>
              <w:t xml:space="preserve">Splátky úroků z přijatého úvěru kraje </w:t>
            </w:r>
          </w:p>
        </w:tc>
        <w:tc>
          <w:tcPr>
            <w:tcW w:w="1560" w:type="dxa"/>
            <w:vMerge/>
            <w:tcBorders>
              <w:top w:val="nil"/>
              <w:left w:val="single" w:sz="8" w:space="0" w:color="auto"/>
              <w:bottom w:val="single" w:sz="8" w:space="0" w:color="000000"/>
              <w:right w:val="single" w:sz="8" w:space="0" w:color="auto"/>
            </w:tcBorders>
            <w:vAlign w:val="center"/>
            <w:hideMark/>
          </w:tcPr>
          <w:p w14:paraId="62B97AC5" w14:textId="77777777" w:rsidR="00FA48C7" w:rsidRPr="00FA48C7" w:rsidRDefault="00FA48C7" w:rsidP="00FA48C7">
            <w:pPr>
              <w:spacing w:after="0" w:line="240" w:lineRule="auto"/>
              <w:rPr>
                <w:rFonts w:ascii="Calibri" w:eastAsia="Times New Roman" w:hAnsi="Calibri" w:cs="Arial"/>
                <w:b/>
                <w:bCs/>
                <w:lang w:eastAsia="cs-CZ"/>
              </w:rPr>
            </w:pPr>
          </w:p>
        </w:tc>
        <w:tc>
          <w:tcPr>
            <w:tcW w:w="1150" w:type="dxa"/>
            <w:vMerge/>
            <w:tcBorders>
              <w:top w:val="nil"/>
              <w:left w:val="single" w:sz="8" w:space="0" w:color="auto"/>
              <w:bottom w:val="single" w:sz="8" w:space="0" w:color="000000"/>
              <w:right w:val="single" w:sz="8" w:space="0" w:color="auto"/>
            </w:tcBorders>
            <w:vAlign w:val="center"/>
            <w:hideMark/>
          </w:tcPr>
          <w:p w14:paraId="00A7B1B6" w14:textId="77777777" w:rsidR="00FA48C7" w:rsidRPr="00FA48C7" w:rsidRDefault="00FA48C7" w:rsidP="00FA48C7">
            <w:pPr>
              <w:spacing w:after="0" w:line="240" w:lineRule="auto"/>
              <w:rPr>
                <w:rFonts w:ascii="Calibri" w:eastAsia="Times New Roman" w:hAnsi="Calibri" w:cs="Arial"/>
                <w:b/>
                <w:bCs/>
                <w:lang w:eastAsia="cs-CZ"/>
              </w:rPr>
            </w:pPr>
          </w:p>
        </w:tc>
        <w:tc>
          <w:tcPr>
            <w:tcW w:w="1860" w:type="dxa"/>
            <w:vMerge/>
            <w:tcBorders>
              <w:top w:val="nil"/>
              <w:left w:val="single" w:sz="8" w:space="0" w:color="auto"/>
              <w:bottom w:val="single" w:sz="8" w:space="0" w:color="000000"/>
              <w:right w:val="single" w:sz="8" w:space="0" w:color="auto"/>
            </w:tcBorders>
            <w:vAlign w:val="center"/>
            <w:hideMark/>
          </w:tcPr>
          <w:p w14:paraId="3C5933F0" w14:textId="77777777" w:rsidR="00FA48C7" w:rsidRPr="00FA48C7" w:rsidRDefault="00FA48C7" w:rsidP="00FA48C7">
            <w:pPr>
              <w:spacing w:after="0" w:line="240" w:lineRule="auto"/>
              <w:rPr>
                <w:rFonts w:ascii="Calibri" w:eastAsia="Times New Roman" w:hAnsi="Calibri" w:cs="Arial"/>
                <w:b/>
                <w:bCs/>
                <w:lang w:eastAsia="cs-CZ"/>
              </w:rPr>
            </w:pPr>
          </w:p>
        </w:tc>
        <w:tc>
          <w:tcPr>
            <w:tcW w:w="1828" w:type="dxa"/>
            <w:tcBorders>
              <w:top w:val="nil"/>
              <w:left w:val="nil"/>
              <w:bottom w:val="single" w:sz="8" w:space="0" w:color="auto"/>
              <w:right w:val="single" w:sz="4" w:space="0" w:color="auto"/>
            </w:tcBorders>
            <w:shd w:val="clear" w:color="auto" w:fill="auto"/>
            <w:noWrap/>
            <w:vAlign w:val="center"/>
            <w:hideMark/>
          </w:tcPr>
          <w:p w14:paraId="452A4718" w14:textId="77777777" w:rsidR="00FA48C7" w:rsidRPr="00FA48C7" w:rsidRDefault="00FA48C7" w:rsidP="00FA48C7">
            <w:pPr>
              <w:spacing w:after="0" w:line="240" w:lineRule="auto"/>
              <w:jc w:val="right"/>
              <w:rPr>
                <w:rFonts w:ascii="Calibri" w:eastAsia="Times New Roman" w:hAnsi="Calibri" w:cs="Arial"/>
                <w:lang w:eastAsia="cs-CZ"/>
              </w:rPr>
            </w:pPr>
            <w:r w:rsidRPr="00FA48C7">
              <w:rPr>
                <w:rFonts w:ascii="Calibri" w:eastAsia="Times New Roman" w:hAnsi="Calibri" w:cs="Arial"/>
                <w:lang w:eastAsia="cs-CZ"/>
              </w:rPr>
              <w:t>16 831 000</w:t>
            </w:r>
          </w:p>
        </w:tc>
        <w:tc>
          <w:tcPr>
            <w:tcW w:w="1701" w:type="dxa"/>
            <w:tcBorders>
              <w:top w:val="nil"/>
              <w:left w:val="nil"/>
              <w:bottom w:val="single" w:sz="8" w:space="0" w:color="auto"/>
              <w:right w:val="single" w:sz="4" w:space="0" w:color="auto"/>
            </w:tcBorders>
            <w:shd w:val="clear" w:color="auto" w:fill="auto"/>
            <w:noWrap/>
            <w:vAlign w:val="center"/>
            <w:hideMark/>
          </w:tcPr>
          <w:p w14:paraId="01F63EE9" w14:textId="77777777" w:rsidR="00FA48C7" w:rsidRPr="00FA48C7" w:rsidRDefault="00FA48C7" w:rsidP="00FA48C7">
            <w:pPr>
              <w:spacing w:after="0" w:line="240" w:lineRule="auto"/>
              <w:jc w:val="right"/>
              <w:rPr>
                <w:rFonts w:ascii="Calibri" w:eastAsia="Times New Roman" w:hAnsi="Calibri" w:cs="Arial"/>
                <w:lang w:eastAsia="cs-CZ"/>
              </w:rPr>
            </w:pPr>
            <w:r w:rsidRPr="00FA48C7">
              <w:rPr>
                <w:rFonts w:ascii="Calibri" w:eastAsia="Times New Roman" w:hAnsi="Calibri" w:cs="Arial"/>
                <w:lang w:eastAsia="cs-CZ"/>
              </w:rPr>
              <w:t>27 943 138,62</w:t>
            </w:r>
          </w:p>
        </w:tc>
        <w:tc>
          <w:tcPr>
            <w:tcW w:w="1789" w:type="dxa"/>
            <w:tcBorders>
              <w:top w:val="nil"/>
              <w:left w:val="nil"/>
              <w:bottom w:val="single" w:sz="8" w:space="0" w:color="auto"/>
              <w:right w:val="single" w:sz="4" w:space="0" w:color="auto"/>
            </w:tcBorders>
            <w:shd w:val="clear" w:color="auto" w:fill="auto"/>
            <w:noWrap/>
            <w:vAlign w:val="center"/>
            <w:hideMark/>
          </w:tcPr>
          <w:p w14:paraId="5ED8264B" w14:textId="77777777" w:rsidR="00FA48C7" w:rsidRPr="00FA48C7" w:rsidRDefault="00FA48C7" w:rsidP="00FA48C7">
            <w:pPr>
              <w:spacing w:after="0" w:line="240" w:lineRule="auto"/>
              <w:jc w:val="right"/>
              <w:rPr>
                <w:rFonts w:ascii="Calibri" w:eastAsia="Times New Roman" w:hAnsi="Calibri" w:cs="Arial"/>
                <w:lang w:eastAsia="cs-CZ"/>
              </w:rPr>
            </w:pPr>
            <w:r w:rsidRPr="00FA48C7">
              <w:rPr>
                <w:rFonts w:ascii="Calibri" w:eastAsia="Times New Roman" w:hAnsi="Calibri" w:cs="Arial"/>
                <w:lang w:eastAsia="cs-CZ"/>
              </w:rPr>
              <w:t>13 533 117,42</w:t>
            </w:r>
          </w:p>
        </w:tc>
        <w:tc>
          <w:tcPr>
            <w:tcW w:w="762" w:type="dxa"/>
            <w:tcBorders>
              <w:top w:val="nil"/>
              <w:left w:val="nil"/>
              <w:bottom w:val="single" w:sz="8" w:space="0" w:color="auto"/>
              <w:right w:val="single" w:sz="8" w:space="0" w:color="auto"/>
            </w:tcBorders>
            <w:shd w:val="clear" w:color="auto" w:fill="auto"/>
            <w:noWrap/>
            <w:vAlign w:val="center"/>
            <w:hideMark/>
          </w:tcPr>
          <w:p w14:paraId="2541E730" w14:textId="77777777" w:rsidR="00FA48C7" w:rsidRPr="00FA48C7" w:rsidRDefault="00FA48C7" w:rsidP="00FA48C7">
            <w:pPr>
              <w:spacing w:after="0" w:line="240" w:lineRule="auto"/>
              <w:jc w:val="right"/>
              <w:rPr>
                <w:rFonts w:ascii="Calibri" w:eastAsia="Times New Roman" w:hAnsi="Calibri" w:cs="Arial"/>
                <w:sz w:val="20"/>
                <w:szCs w:val="20"/>
                <w:lang w:eastAsia="cs-CZ"/>
              </w:rPr>
            </w:pPr>
            <w:r w:rsidRPr="00FA48C7">
              <w:rPr>
                <w:rFonts w:ascii="Calibri" w:eastAsia="Times New Roman" w:hAnsi="Calibri" w:cs="Arial"/>
                <w:sz w:val="20"/>
                <w:szCs w:val="20"/>
                <w:lang w:eastAsia="cs-CZ"/>
              </w:rPr>
              <w:t>48,4</w:t>
            </w:r>
          </w:p>
        </w:tc>
      </w:tr>
      <w:tr w:rsidR="00FA48C7" w:rsidRPr="00FA48C7" w14:paraId="51D25209" w14:textId="77777777" w:rsidTr="00E07FEA">
        <w:trPr>
          <w:trHeight w:val="885"/>
        </w:trPr>
        <w:tc>
          <w:tcPr>
            <w:tcW w:w="4536" w:type="dxa"/>
            <w:tcBorders>
              <w:top w:val="single" w:sz="8" w:space="0" w:color="auto"/>
              <w:left w:val="single" w:sz="8" w:space="0" w:color="auto"/>
              <w:bottom w:val="single" w:sz="4" w:space="0" w:color="auto"/>
              <w:right w:val="nil"/>
            </w:tcBorders>
            <w:shd w:val="clear" w:color="auto" w:fill="auto"/>
            <w:vAlign w:val="center"/>
            <w:hideMark/>
          </w:tcPr>
          <w:p w14:paraId="2942B662" w14:textId="79997137" w:rsidR="00FA48C7" w:rsidRPr="00FA48C7" w:rsidRDefault="00FA48C7" w:rsidP="00FA48C7">
            <w:pPr>
              <w:spacing w:after="0" w:line="240" w:lineRule="auto"/>
              <w:rPr>
                <w:rFonts w:ascii="Calibri" w:eastAsia="Times New Roman" w:hAnsi="Calibri" w:cs="Arial"/>
                <w:b/>
                <w:bCs/>
                <w:lang w:eastAsia="cs-CZ"/>
              </w:rPr>
            </w:pPr>
            <w:r w:rsidRPr="00FA48C7">
              <w:rPr>
                <w:rFonts w:ascii="Calibri" w:eastAsia="Times New Roman" w:hAnsi="Calibri" w:cs="Arial"/>
                <w:b/>
                <w:bCs/>
                <w:lang w:eastAsia="cs-CZ"/>
              </w:rPr>
              <w:t>Smlouva o úvěru uzavřená s Komerční bankou, a.s</w:t>
            </w:r>
            <w:r w:rsidR="00637ED1">
              <w:rPr>
                <w:rFonts w:ascii="Calibri" w:eastAsia="Times New Roman" w:hAnsi="Calibri" w:cs="Arial"/>
                <w:b/>
                <w:bCs/>
                <w:lang w:eastAsia="cs-CZ"/>
              </w:rPr>
              <w:t>.</w:t>
            </w:r>
            <w:r w:rsidRPr="00FA48C7">
              <w:rPr>
                <w:rFonts w:ascii="Calibri" w:eastAsia="Times New Roman" w:hAnsi="Calibri" w:cs="Arial"/>
                <w:b/>
                <w:bCs/>
                <w:lang w:eastAsia="cs-CZ"/>
              </w:rPr>
              <w:t xml:space="preserve"> dne 25. 6. 2020 </w:t>
            </w:r>
            <w:r w:rsidRPr="00FA48C7">
              <w:rPr>
                <w:rFonts w:ascii="Calibri" w:eastAsia="Times New Roman" w:hAnsi="Calibri" w:cs="Arial"/>
                <w:lang w:eastAsia="cs-CZ"/>
              </w:rPr>
              <w:t>(poskytnutí návratných finančních výpomocí OSVČ ze Středočeského kraje, kteří byly nepříznivě ekonomicky zasažení epidemií COVID-19)</w:t>
            </w:r>
          </w:p>
        </w:tc>
        <w:tc>
          <w:tcPr>
            <w:tcW w:w="15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F5BA723" w14:textId="77777777" w:rsidR="00FA48C7" w:rsidRPr="00FA48C7" w:rsidRDefault="00FA48C7" w:rsidP="00FA48C7">
            <w:pPr>
              <w:spacing w:after="0" w:line="240" w:lineRule="auto"/>
              <w:jc w:val="right"/>
              <w:rPr>
                <w:rFonts w:ascii="Calibri" w:eastAsia="Times New Roman" w:hAnsi="Calibri" w:cs="Arial"/>
                <w:b/>
                <w:bCs/>
                <w:lang w:eastAsia="cs-CZ"/>
              </w:rPr>
            </w:pPr>
            <w:r w:rsidRPr="00FA48C7">
              <w:rPr>
                <w:rFonts w:ascii="Calibri" w:eastAsia="Times New Roman" w:hAnsi="Calibri" w:cs="Arial"/>
                <w:b/>
                <w:bCs/>
                <w:lang w:eastAsia="cs-CZ"/>
              </w:rPr>
              <w:t>234 420 000</w:t>
            </w:r>
          </w:p>
        </w:tc>
        <w:tc>
          <w:tcPr>
            <w:tcW w:w="115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A27EC3D" w14:textId="77777777" w:rsidR="00FA48C7" w:rsidRPr="00FA48C7" w:rsidRDefault="00FA48C7" w:rsidP="00FA48C7">
            <w:pPr>
              <w:spacing w:after="0" w:line="240" w:lineRule="auto"/>
              <w:jc w:val="center"/>
              <w:rPr>
                <w:rFonts w:ascii="Calibri" w:eastAsia="Times New Roman" w:hAnsi="Calibri" w:cs="Arial"/>
                <w:b/>
                <w:bCs/>
                <w:lang w:eastAsia="cs-CZ"/>
              </w:rPr>
            </w:pPr>
            <w:r w:rsidRPr="00FA48C7">
              <w:rPr>
                <w:rFonts w:ascii="Calibri" w:eastAsia="Times New Roman" w:hAnsi="Calibri" w:cs="Arial"/>
                <w:b/>
                <w:bCs/>
                <w:lang w:eastAsia="cs-CZ"/>
              </w:rPr>
              <w:t>30.6.2024</w:t>
            </w:r>
          </w:p>
        </w:tc>
        <w:tc>
          <w:tcPr>
            <w:tcW w:w="18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89ECA2E" w14:textId="77777777" w:rsidR="00FA48C7" w:rsidRPr="00FA48C7" w:rsidRDefault="00FA48C7" w:rsidP="00FA48C7">
            <w:pPr>
              <w:spacing w:after="0" w:line="240" w:lineRule="auto"/>
              <w:jc w:val="right"/>
              <w:rPr>
                <w:rFonts w:ascii="Calibri" w:eastAsia="Times New Roman" w:hAnsi="Calibri" w:cs="Arial"/>
                <w:b/>
                <w:bCs/>
                <w:lang w:eastAsia="cs-CZ"/>
              </w:rPr>
            </w:pPr>
            <w:r w:rsidRPr="00FA48C7">
              <w:rPr>
                <w:rFonts w:ascii="Calibri" w:eastAsia="Times New Roman" w:hAnsi="Calibri" w:cs="Arial"/>
                <w:b/>
                <w:bCs/>
                <w:lang w:eastAsia="cs-CZ"/>
              </w:rPr>
              <w:t>195 350 000,00</w:t>
            </w:r>
          </w:p>
        </w:tc>
        <w:tc>
          <w:tcPr>
            <w:tcW w:w="1828" w:type="dxa"/>
            <w:tcBorders>
              <w:top w:val="nil"/>
              <w:left w:val="nil"/>
              <w:bottom w:val="single" w:sz="4" w:space="0" w:color="auto"/>
              <w:right w:val="single" w:sz="4" w:space="0" w:color="auto"/>
            </w:tcBorders>
            <w:shd w:val="clear" w:color="auto" w:fill="auto"/>
            <w:noWrap/>
            <w:vAlign w:val="center"/>
            <w:hideMark/>
          </w:tcPr>
          <w:p w14:paraId="2EBF47D0" w14:textId="77777777" w:rsidR="00FA48C7" w:rsidRPr="00FA48C7" w:rsidRDefault="00FA48C7" w:rsidP="00FA48C7">
            <w:pPr>
              <w:spacing w:after="0" w:line="240" w:lineRule="auto"/>
              <w:jc w:val="right"/>
              <w:rPr>
                <w:rFonts w:ascii="Calibri" w:eastAsia="Times New Roman" w:hAnsi="Calibri" w:cs="Arial"/>
                <w:b/>
                <w:bCs/>
                <w:lang w:eastAsia="cs-CZ"/>
              </w:rPr>
            </w:pPr>
            <w:r w:rsidRPr="00FA48C7">
              <w:rPr>
                <w:rFonts w:ascii="Calibri" w:eastAsia="Times New Roman" w:hAnsi="Calibri" w:cs="Arial"/>
                <w:b/>
                <w:bCs/>
                <w:lang w:eastAsia="cs-CZ"/>
              </w:rPr>
              <w:t>41 930 000</w:t>
            </w:r>
          </w:p>
        </w:tc>
        <w:tc>
          <w:tcPr>
            <w:tcW w:w="1701" w:type="dxa"/>
            <w:tcBorders>
              <w:top w:val="nil"/>
              <w:left w:val="nil"/>
              <w:bottom w:val="single" w:sz="4" w:space="0" w:color="auto"/>
              <w:right w:val="single" w:sz="4" w:space="0" w:color="auto"/>
            </w:tcBorders>
            <w:shd w:val="clear" w:color="auto" w:fill="auto"/>
            <w:noWrap/>
            <w:vAlign w:val="center"/>
            <w:hideMark/>
          </w:tcPr>
          <w:p w14:paraId="7B32CF20" w14:textId="77777777" w:rsidR="00FA48C7" w:rsidRPr="00FA48C7" w:rsidRDefault="00FA48C7" w:rsidP="00FA48C7">
            <w:pPr>
              <w:spacing w:after="0" w:line="240" w:lineRule="auto"/>
              <w:jc w:val="right"/>
              <w:rPr>
                <w:rFonts w:ascii="Calibri" w:eastAsia="Times New Roman" w:hAnsi="Calibri" w:cs="Arial"/>
                <w:b/>
                <w:bCs/>
                <w:lang w:eastAsia="cs-CZ"/>
              </w:rPr>
            </w:pPr>
            <w:r w:rsidRPr="00FA48C7">
              <w:rPr>
                <w:rFonts w:ascii="Calibri" w:eastAsia="Times New Roman" w:hAnsi="Calibri" w:cs="Arial"/>
                <w:b/>
                <w:bCs/>
                <w:lang w:eastAsia="cs-CZ"/>
              </w:rPr>
              <w:t>42 271 438,51</w:t>
            </w:r>
          </w:p>
        </w:tc>
        <w:tc>
          <w:tcPr>
            <w:tcW w:w="1789" w:type="dxa"/>
            <w:tcBorders>
              <w:top w:val="nil"/>
              <w:left w:val="nil"/>
              <w:bottom w:val="single" w:sz="4" w:space="0" w:color="auto"/>
              <w:right w:val="nil"/>
            </w:tcBorders>
            <w:shd w:val="clear" w:color="auto" w:fill="auto"/>
            <w:noWrap/>
            <w:vAlign w:val="center"/>
            <w:hideMark/>
          </w:tcPr>
          <w:p w14:paraId="6740F349" w14:textId="77777777" w:rsidR="00FA48C7" w:rsidRPr="00FA48C7" w:rsidRDefault="00FA48C7" w:rsidP="00FA48C7">
            <w:pPr>
              <w:spacing w:after="0" w:line="240" w:lineRule="auto"/>
              <w:jc w:val="right"/>
              <w:rPr>
                <w:rFonts w:ascii="Calibri" w:eastAsia="Times New Roman" w:hAnsi="Calibri" w:cs="Arial"/>
                <w:b/>
                <w:bCs/>
                <w:lang w:eastAsia="cs-CZ"/>
              </w:rPr>
            </w:pPr>
            <w:r w:rsidRPr="00FA48C7">
              <w:rPr>
                <w:rFonts w:ascii="Calibri" w:eastAsia="Times New Roman" w:hAnsi="Calibri" w:cs="Arial"/>
                <w:b/>
                <w:bCs/>
                <w:lang w:eastAsia="cs-CZ"/>
              </w:rPr>
              <w:t>40 700 846,92</w:t>
            </w:r>
          </w:p>
        </w:tc>
        <w:tc>
          <w:tcPr>
            <w:tcW w:w="762" w:type="dxa"/>
            <w:tcBorders>
              <w:top w:val="nil"/>
              <w:left w:val="single" w:sz="4" w:space="0" w:color="auto"/>
              <w:bottom w:val="single" w:sz="4" w:space="0" w:color="auto"/>
              <w:right w:val="single" w:sz="8" w:space="0" w:color="auto"/>
            </w:tcBorders>
            <w:shd w:val="clear" w:color="auto" w:fill="auto"/>
            <w:noWrap/>
            <w:vAlign w:val="center"/>
            <w:hideMark/>
          </w:tcPr>
          <w:p w14:paraId="41C230AE" w14:textId="77777777" w:rsidR="00FA48C7" w:rsidRPr="00FA48C7" w:rsidRDefault="00FA48C7" w:rsidP="00FA48C7">
            <w:pPr>
              <w:spacing w:after="0" w:line="240" w:lineRule="auto"/>
              <w:jc w:val="right"/>
              <w:rPr>
                <w:rFonts w:ascii="Calibri" w:eastAsia="Times New Roman" w:hAnsi="Calibri" w:cs="Arial"/>
                <w:b/>
                <w:bCs/>
                <w:sz w:val="20"/>
                <w:szCs w:val="20"/>
                <w:lang w:eastAsia="cs-CZ"/>
              </w:rPr>
            </w:pPr>
            <w:r w:rsidRPr="00FA48C7">
              <w:rPr>
                <w:rFonts w:ascii="Calibri" w:eastAsia="Times New Roman" w:hAnsi="Calibri" w:cs="Arial"/>
                <w:b/>
                <w:bCs/>
                <w:sz w:val="20"/>
                <w:szCs w:val="20"/>
                <w:lang w:eastAsia="cs-CZ"/>
              </w:rPr>
              <w:t>96,3</w:t>
            </w:r>
          </w:p>
        </w:tc>
      </w:tr>
      <w:tr w:rsidR="00FA48C7" w:rsidRPr="00FA48C7" w14:paraId="202E1224" w14:textId="77777777" w:rsidTr="00E07FEA">
        <w:trPr>
          <w:trHeight w:val="300"/>
        </w:trPr>
        <w:tc>
          <w:tcPr>
            <w:tcW w:w="4536" w:type="dxa"/>
            <w:tcBorders>
              <w:top w:val="nil"/>
              <w:left w:val="single" w:sz="8" w:space="0" w:color="auto"/>
              <w:bottom w:val="single" w:sz="4" w:space="0" w:color="auto"/>
              <w:right w:val="nil"/>
            </w:tcBorders>
            <w:shd w:val="clear" w:color="auto" w:fill="auto"/>
            <w:noWrap/>
            <w:vAlign w:val="center"/>
            <w:hideMark/>
          </w:tcPr>
          <w:p w14:paraId="0CA20069" w14:textId="77777777" w:rsidR="00FA48C7" w:rsidRPr="00FA48C7" w:rsidRDefault="00FA48C7" w:rsidP="00FA48C7">
            <w:pPr>
              <w:spacing w:after="0" w:line="240" w:lineRule="auto"/>
              <w:rPr>
                <w:rFonts w:ascii="Calibri" w:eastAsia="Times New Roman" w:hAnsi="Calibri" w:cs="Arial"/>
                <w:lang w:eastAsia="cs-CZ"/>
              </w:rPr>
            </w:pPr>
            <w:r w:rsidRPr="00FA48C7">
              <w:rPr>
                <w:rFonts w:ascii="Calibri" w:eastAsia="Times New Roman" w:hAnsi="Calibri" w:cs="Arial"/>
                <w:lang w:eastAsia="cs-CZ"/>
              </w:rPr>
              <w:t>Splátky přijatého úvěru kraje (jistina)</w:t>
            </w:r>
          </w:p>
        </w:tc>
        <w:tc>
          <w:tcPr>
            <w:tcW w:w="1560" w:type="dxa"/>
            <w:vMerge/>
            <w:tcBorders>
              <w:top w:val="nil"/>
              <w:left w:val="single" w:sz="8" w:space="0" w:color="auto"/>
              <w:bottom w:val="single" w:sz="8" w:space="0" w:color="000000"/>
              <w:right w:val="single" w:sz="8" w:space="0" w:color="auto"/>
            </w:tcBorders>
            <w:vAlign w:val="center"/>
            <w:hideMark/>
          </w:tcPr>
          <w:p w14:paraId="3DF66727" w14:textId="77777777" w:rsidR="00FA48C7" w:rsidRPr="00FA48C7" w:rsidRDefault="00FA48C7" w:rsidP="00FA48C7">
            <w:pPr>
              <w:spacing w:after="0" w:line="240" w:lineRule="auto"/>
              <w:rPr>
                <w:rFonts w:ascii="Calibri" w:eastAsia="Times New Roman" w:hAnsi="Calibri" w:cs="Arial"/>
                <w:b/>
                <w:bCs/>
                <w:lang w:eastAsia="cs-CZ"/>
              </w:rPr>
            </w:pPr>
          </w:p>
        </w:tc>
        <w:tc>
          <w:tcPr>
            <w:tcW w:w="1150" w:type="dxa"/>
            <w:vMerge/>
            <w:tcBorders>
              <w:top w:val="nil"/>
              <w:left w:val="single" w:sz="8" w:space="0" w:color="auto"/>
              <w:bottom w:val="single" w:sz="8" w:space="0" w:color="000000"/>
              <w:right w:val="single" w:sz="8" w:space="0" w:color="auto"/>
            </w:tcBorders>
            <w:vAlign w:val="center"/>
            <w:hideMark/>
          </w:tcPr>
          <w:p w14:paraId="30E0270C" w14:textId="77777777" w:rsidR="00FA48C7" w:rsidRPr="00FA48C7" w:rsidRDefault="00FA48C7" w:rsidP="00FA48C7">
            <w:pPr>
              <w:spacing w:after="0" w:line="240" w:lineRule="auto"/>
              <w:rPr>
                <w:rFonts w:ascii="Calibri" w:eastAsia="Times New Roman" w:hAnsi="Calibri" w:cs="Arial"/>
                <w:b/>
                <w:bCs/>
                <w:lang w:eastAsia="cs-CZ"/>
              </w:rPr>
            </w:pPr>
          </w:p>
        </w:tc>
        <w:tc>
          <w:tcPr>
            <w:tcW w:w="1860" w:type="dxa"/>
            <w:vMerge/>
            <w:tcBorders>
              <w:top w:val="nil"/>
              <w:left w:val="single" w:sz="8" w:space="0" w:color="auto"/>
              <w:bottom w:val="single" w:sz="8" w:space="0" w:color="000000"/>
              <w:right w:val="single" w:sz="8" w:space="0" w:color="auto"/>
            </w:tcBorders>
            <w:vAlign w:val="center"/>
            <w:hideMark/>
          </w:tcPr>
          <w:p w14:paraId="2246D612" w14:textId="77777777" w:rsidR="00FA48C7" w:rsidRPr="00FA48C7" w:rsidRDefault="00FA48C7" w:rsidP="00FA48C7">
            <w:pPr>
              <w:spacing w:after="0" w:line="240" w:lineRule="auto"/>
              <w:rPr>
                <w:rFonts w:ascii="Calibri" w:eastAsia="Times New Roman" w:hAnsi="Calibri" w:cs="Arial"/>
                <w:b/>
                <w:bCs/>
                <w:lang w:eastAsia="cs-CZ"/>
              </w:rPr>
            </w:pPr>
          </w:p>
        </w:tc>
        <w:tc>
          <w:tcPr>
            <w:tcW w:w="1828" w:type="dxa"/>
            <w:tcBorders>
              <w:top w:val="nil"/>
              <w:left w:val="nil"/>
              <w:bottom w:val="single" w:sz="4" w:space="0" w:color="auto"/>
              <w:right w:val="single" w:sz="4" w:space="0" w:color="auto"/>
            </w:tcBorders>
            <w:shd w:val="clear" w:color="auto" w:fill="auto"/>
            <w:noWrap/>
            <w:vAlign w:val="center"/>
            <w:hideMark/>
          </w:tcPr>
          <w:p w14:paraId="128F3ACC" w14:textId="77777777" w:rsidR="00FA48C7" w:rsidRPr="00FA48C7" w:rsidRDefault="00FA48C7" w:rsidP="00FA48C7">
            <w:pPr>
              <w:spacing w:after="0" w:line="240" w:lineRule="auto"/>
              <w:jc w:val="right"/>
              <w:rPr>
                <w:rFonts w:ascii="Calibri" w:eastAsia="Times New Roman" w:hAnsi="Calibri" w:cs="Arial"/>
                <w:lang w:eastAsia="cs-CZ"/>
              </w:rPr>
            </w:pPr>
            <w:r w:rsidRPr="00FA48C7">
              <w:rPr>
                <w:rFonts w:ascii="Calibri" w:eastAsia="Times New Roman" w:hAnsi="Calibri" w:cs="Arial"/>
                <w:lang w:eastAsia="cs-CZ"/>
              </w:rPr>
              <w:t>40 000 000</w:t>
            </w:r>
          </w:p>
        </w:tc>
        <w:tc>
          <w:tcPr>
            <w:tcW w:w="1701" w:type="dxa"/>
            <w:tcBorders>
              <w:top w:val="nil"/>
              <w:left w:val="nil"/>
              <w:bottom w:val="single" w:sz="4" w:space="0" w:color="auto"/>
              <w:right w:val="single" w:sz="4" w:space="0" w:color="auto"/>
            </w:tcBorders>
            <w:shd w:val="clear" w:color="auto" w:fill="auto"/>
            <w:noWrap/>
            <w:vAlign w:val="center"/>
            <w:hideMark/>
          </w:tcPr>
          <w:p w14:paraId="1BCF57D0" w14:textId="77777777" w:rsidR="00FA48C7" w:rsidRPr="00FA48C7" w:rsidRDefault="00FA48C7" w:rsidP="00FA48C7">
            <w:pPr>
              <w:spacing w:after="0" w:line="240" w:lineRule="auto"/>
              <w:jc w:val="right"/>
              <w:rPr>
                <w:rFonts w:ascii="Calibri" w:eastAsia="Times New Roman" w:hAnsi="Calibri" w:cs="Arial"/>
                <w:lang w:eastAsia="cs-CZ"/>
              </w:rPr>
            </w:pPr>
            <w:r w:rsidRPr="00FA48C7">
              <w:rPr>
                <w:rFonts w:ascii="Calibri" w:eastAsia="Times New Roman" w:hAnsi="Calibri" w:cs="Arial"/>
                <w:lang w:eastAsia="cs-CZ"/>
              </w:rPr>
              <w:t>40 318 073,00</w:t>
            </w:r>
          </w:p>
        </w:tc>
        <w:tc>
          <w:tcPr>
            <w:tcW w:w="1789" w:type="dxa"/>
            <w:tcBorders>
              <w:top w:val="nil"/>
              <w:left w:val="nil"/>
              <w:bottom w:val="single" w:sz="4" w:space="0" w:color="auto"/>
              <w:right w:val="nil"/>
            </w:tcBorders>
            <w:shd w:val="clear" w:color="auto" w:fill="auto"/>
            <w:noWrap/>
            <w:vAlign w:val="center"/>
            <w:hideMark/>
          </w:tcPr>
          <w:p w14:paraId="7C6886C6" w14:textId="77777777" w:rsidR="00FA48C7" w:rsidRPr="00FA48C7" w:rsidRDefault="00FA48C7" w:rsidP="00FA48C7">
            <w:pPr>
              <w:spacing w:after="0" w:line="240" w:lineRule="auto"/>
              <w:jc w:val="right"/>
              <w:rPr>
                <w:rFonts w:ascii="Calibri" w:eastAsia="Times New Roman" w:hAnsi="Calibri" w:cs="Arial"/>
                <w:lang w:eastAsia="cs-CZ"/>
              </w:rPr>
            </w:pPr>
            <w:r w:rsidRPr="00FA48C7">
              <w:rPr>
                <w:rFonts w:ascii="Calibri" w:eastAsia="Times New Roman" w:hAnsi="Calibri" w:cs="Arial"/>
                <w:lang w:eastAsia="cs-CZ"/>
              </w:rPr>
              <w:t>39 070 000,00</w:t>
            </w:r>
          </w:p>
        </w:tc>
        <w:tc>
          <w:tcPr>
            <w:tcW w:w="762" w:type="dxa"/>
            <w:tcBorders>
              <w:top w:val="nil"/>
              <w:left w:val="single" w:sz="4" w:space="0" w:color="auto"/>
              <w:bottom w:val="single" w:sz="4" w:space="0" w:color="auto"/>
              <w:right w:val="single" w:sz="8" w:space="0" w:color="auto"/>
            </w:tcBorders>
            <w:shd w:val="clear" w:color="auto" w:fill="auto"/>
            <w:noWrap/>
            <w:vAlign w:val="center"/>
            <w:hideMark/>
          </w:tcPr>
          <w:p w14:paraId="51074D52" w14:textId="77777777" w:rsidR="00FA48C7" w:rsidRPr="00FA48C7" w:rsidRDefault="00FA48C7" w:rsidP="00FA48C7">
            <w:pPr>
              <w:spacing w:after="0" w:line="240" w:lineRule="auto"/>
              <w:jc w:val="right"/>
              <w:rPr>
                <w:rFonts w:ascii="Calibri" w:eastAsia="Times New Roman" w:hAnsi="Calibri" w:cs="Arial"/>
                <w:sz w:val="20"/>
                <w:szCs w:val="20"/>
                <w:lang w:eastAsia="cs-CZ"/>
              </w:rPr>
            </w:pPr>
            <w:r w:rsidRPr="00FA48C7">
              <w:rPr>
                <w:rFonts w:ascii="Calibri" w:eastAsia="Times New Roman" w:hAnsi="Calibri" w:cs="Arial"/>
                <w:sz w:val="20"/>
                <w:szCs w:val="20"/>
                <w:lang w:eastAsia="cs-CZ"/>
              </w:rPr>
              <w:t>96,9</w:t>
            </w:r>
          </w:p>
        </w:tc>
      </w:tr>
      <w:tr w:rsidR="00FA48C7" w:rsidRPr="00FA48C7" w14:paraId="361914BC" w14:textId="77777777" w:rsidTr="00E07FEA">
        <w:trPr>
          <w:trHeight w:val="300"/>
        </w:trPr>
        <w:tc>
          <w:tcPr>
            <w:tcW w:w="4536" w:type="dxa"/>
            <w:tcBorders>
              <w:top w:val="nil"/>
              <w:left w:val="single" w:sz="8" w:space="0" w:color="auto"/>
              <w:bottom w:val="nil"/>
              <w:right w:val="nil"/>
            </w:tcBorders>
            <w:shd w:val="clear" w:color="auto" w:fill="auto"/>
            <w:noWrap/>
            <w:vAlign w:val="center"/>
            <w:hideMark/>
          </w:tcPr>
          <w:p w14:paraId="227AB045" w14:textId="77777777" w:rsidR="00FA48C7" w:rsidRPr="00FA48C7" w:rsidRDefault="00FA48C7" w:rsidP="00FA48C7">
            <w:pPr>
              <w:spacing w:after="0" w:line="240" w:lineRule="auto"/>
              <w:rPr>
                <w:rFonts w:ascii="Calibri" w:eastAsia="Times New Roman" w:hAnsi="Calibri" w:cs="Arial"/>
                <w:lang w:eastAsia="cs-CZ"/>
              </w:rPr>
            </w:pPr>
            <w:r w:rsidRPr="00FA48C7">
              <w:rPr>
                <w:rFonts w:ascii="Calibri" w:eastAsia="Times New Roman" w:hAnsi="Calibri" w:cs="Arial"/>
                <w:lang w:eastAsia="cs-CZ"/>
              </w:rPr>
              <w:t xml:space="preserve">Splátky úroků z přijatého úvěru kraje </w:t>
            </w:r>
          </w:p>
        </w:tc>
        <w:tc>
          <w:tcPr>
            <w:tcW w:w="1560" w:type="dxa"/>
            <w:vMerge/>
            <w:tcBorders>
              <w:top w:val="nil"/>
              <w:left w:val="single" w:sz="8" w:space="0" w:color="auto"/>
              <w:bottom w:val="single" w:sz="8" w:space="0" w:color="000000"/>
              <w:right w:val="single" w:sz="8" w:space="0" w:color="auto"/>
            </w:tcBorders>
            <w:vAlign w:val="center"/>
            <w:hideMark/>
          </w:tcPr>
          <w:p w14:paraId="57C8FB97" w14:textId="77777777" w:rsidR="00FA48C7" w:rsidRPr="00FA48C7" w:rsidRDefault="00FA48C7" w:rsidP="00FA48C7">
            <w:pPr>
              <w:spacing w:after="0" w:line="240" w:lineRule="auto"/>
              <w:rPr>
                <w:rFonts w:ascii="Calibri" w:eastAsia="Times New Roman" w:hAnsi="Calibri" w:cs="Arial"/>
                <w:b/>
                <w:bCs/>
                <w:lang w:eastAsia="cs-CZ"/>
              </w:rPr>
            </w:pPr>
          </w:p>
        </w:tc>
        <w:tc>
          <w:tcPr>
            <w:tcW w:w="1150" w:type="dxa"/>
            <w:vMerge/>
            <w:tcBorders>
              <w:top w:val="nil"/>
              <w:left w:val="single" w:sz="8" w:space="0" w:color="auto"/>
              <w:bottom w:val="single" w:sz="8" w:space="0" w:color="000000"/>
              <w:right w:val="single" w:sz="8" w:space="0" w:color="auto"/>
            </w:tcBorders>
            <w:vAlign w:val="center"/>
            <w:hideMark/>
          </w:tcPr>
          <w:p w14:paraId="5468B65B" w14:textId="77777777" w:rsidR="00FA48C7" w:rsidRPr="00FA48C7" w:rsidRDefault="00FA48C7" w:rsidP="00FA48C7">
            <w:pPr>
              <w:spacing w:after="0" w:line="240" w:lineRule="auto"/>
              <w:rPr>
                <w:rFonts w:ascii="Calibri" w:eastAsia="Times New Roman" w:hAnsi="Calibri" w:cs="Arial"/>
                <w:b/>
                <w:bCs/>
                <w:lang w:eastAsia="cs-CZ"/>
              </w:rPr>
            </w:pPr>
          </w:p>
        </w:tc>
        <w:tc>
          <w:tcPr>
            <w:tcW w:w="1860" w:type="dxa"/>
            <w:vMerge/>
            <w:tcBorders>
              <w:top w:val="nil"/>
              <w:left w:val="single" w:sz="8" w:space="0" w:color="auto"/>
              <w:bottom w:val="single" w:sz="8" w:space="0" w:color="000000"/>
              <w:right w:val="single" w:sz="8" w:space="0" w:color="auto"/>
            </w:tcBorders>
            <w:vAlign w:val="center"/>
            <w:hideMark/>
          </w:tcPr>
          <w:p w14:paraId="5028AD7B" w14:textId="77777777" w:rsidR="00FA48C7" w:rsidRPr="00FA48C7" w:rsidRDefault="00FA48C7" w:rsidP="00FA48C7">
            <w:pPr>
              <w:spacing w:after="0" w:line="240" w:lineRule="auto"/>
              <w:rPr>
                <w:rFonts w:ascii="Calibri" w:eastAsia="Times New Roman" w:hAnsi="Calibri" w:cs="Arial"/>
                <w:b/>
                <w:bCs/>
                <w:lang w:eastAsia="cs-CZ"/>
              </w:rPr>
            </w:pPr>
          </w:p>
        </w:tc>
        <w:tc>
          <w:tcPr>
            <w:tcW w:w="1828" w:type="dxa"/>
            <w:tcBorders>
              <w:top w:val="nil"/>
              <w:left w:val="nil"/>
              <w:bottom w:val="single" w:sz="8" w:space="0" w:color="auto"/>
              <w:right w:val="single" w:sz="4" w:space="0" w:color="auto"/>
            </w:tcBorders>
            <w:shd w:val="clear" w:color="auto" w:fill="auto"/>
            <w:noWrap/>
            <w:vAlign w:val="center"/>
            <w:hideMark/>
          </w:tcPr>
          <w:p w14:paraId="43941B27" w14:textId="77777777" w:rsidR="00FA48C7" w:rsidRPr="00FA48C7" w:rsidRDefault="00FA48C7" w:rsidP="00FA48C7">
            <w:pPr>
              <w:spacing w:after="0" w:line="240" w:lineRule="auto"/>
              <w:jc w:val="right"/>
              <w:rPr>
                <w:rFonts w:ascii="Calibri" w:eastAsia="Times New Roman" w:hAnsi="Calibri" w:cs="Arial"/>
                <w:lang w:eastAsia="cs-CZ"/>
              </w:rPr>
            </w:pPr>
            <w:r w:rsidRPr="00FA48C7">
              <w:rPr>
                <w:rFonts w:ascii="Calibri" w:eastAsia="Times New Roman" w:hAnsi="Calibri" w:cs="Arial"/>
                <w:lang w:eastAsia="cs-CZ"/>
              </w:rPr>
              <w:t>1 930 000</w:t>
            </w:r>
          </w:p>
        </w:tc>
        <w:tc>
          <w:tcPr>
            <w:tcW w:w="1701" w:type="dxa"/>
            <w:tcBorders>
              <w:top w:val="nil"/>
              <w:left w:val="nil"/>
              <w:bottom w:val="single" w:sz="8" w:space="0" w:color="auto"/>
              <w:right w:val="single" w:sz="4" w:space="0" w:color="auto"/>
            </w:tcBorders>
            <w:shd w:val="clear" w:color="auto" w:fill="auto"/>
            <w:noWrap/>
            <w:vAlign w:val="center"/>
            <w:hideMark/>
          </w:tcPr>
          <w:p w14:paraId="23E28E59" w14:textId="77777777" w:rsidR="00FA48C7" w:rsidRPr="00FA48C7" w:rsidRDefault="00FA48C7" w:rsidP="00FA48C7">
            <w:pPr>
              <w:spacing w:after="0" w:line="240" w:lineRule="auto"/>
              <w:jc w:val="right"/>
              <w:rPr>
                <w:rFonts w:ascii="Calibri" w:eastAsia="Times New Roman" w:hAnsi="Calibri" w:cs="Arial"/>
                <w:lang w:eastAsia="cs-CZ"/>
              </w:rPr>
            </w:pPr>
            <w:r w:rsidRPr="00FA48C7">
              <w:rPr>
                <w:rFonts w:ascii="Calibri" w:eastAsia="Times New Roman" w:hAnsi="Calibri" w:cs="Arial"/>
                <w:lang w:eastAsia="cs-CZ"/>
              </w:rPr>
              <w:t>1 953 365,51</w:t>
            </w:r>
          </w:p>
        </w:tc>
        <w:tc>
          <w:tcPr>
            <w:tcW w:w="1789" w:type="dxa"/>
            <w:tcBorders>
              <w:top w:val="nil"/>
              <w:left w:val="nil"/>
              <w:bottom w:val="single" w:sz="8" w:space="0" w:color="auto"/>
              <w:right w:val="single" w:sz="4" w:space="0" w:color="auto"/>
            </w:tcBorders>
            <w:shd w:val="clear" w:color="auto" w:fill="auto"/>
            <w:noWrap/>
            <w:vAlign w:val="center"/>
            <w:hideMark/>
          </w:tcPr>
          <w:p w14:paraId="457BA461" w14:textId="77777777" w:rsidR="00FA48C7" w:rsidRPr="00FA48C7" w:rsidRDefault="00FA48C7" w:rsidP="00FA48C7">
            <w:pPr>
              <w:spacing w:after="0" w:line="240" w:lineRule="auto"/>
              <w:jc w:val="right"/>
              <w:rPr>
                <w:rFonts w:ascii="Calibri" w:eastAsia="Times New Roman" w:hAnsi="Calibri" w:cs="Arial"/>
                <w:lang w:eastAsia="cs-CZ"/>
              </w:rPr>
            </w:pPr>
            <w:r w:rsidRPr="00FA48C7">
              <w:rPr>
                <w:rFonts w:ascii="Calibri" w:eastAsia="Times New Roman" w:hAnsi="Calibri" w:cs="Arial"/>
                <w:lang w:eastAsia="cs-CZ"/>
              </w:rPr>
              <w:t>1 630 846,92</w:t>
            </w:r>
          </w:p>
        </w:tc>
        <w:tc>
          <w:tcPr>
            <w:tcW w:w="762" w:type="dxa"/>
            <w:tcBorders>
              <w:top w:val="nil"/>
              <w:left w:val="nil"/>
              <w:bottom w:val="single" w:sz="8" w:space="0" w:color="auto"/>
              <w:right w:val="single" w:sz="8" w:space="0" w:color="auto"/>
            </w:tcBorders>
            <w:shd w:val="clear" w:color="auto" w:fill="auto"/>
            <w:noWrap/>
            <w:vAlign w:val="center"/>
            <w:hideMark/>
          </w:tcPr>
          <w:p w14:paraId="335DF1FC" w14:textId="77777777" w:rsidR="00FA48C7" w:rsidRPr="00FA48C7" w:rsidRDefault="00FA48C7" w:rsidP="00FA48C7">
            <w:pPr>
              <w:spacing w:after="0" w:line="240" w:lineRule="auto"/>
              <w:jc w:val="right"/>
              <w:rPr>
                <w:rFonts w:ascii="Calibri" w:eastAsia="Times New Roman" w:hAnsi="Calibri" w:cs="Arial"/>
                <w:sz w:val="20"/>
                <w:szCs w:val="20"/>
                <w:lang w:eastAsia="cs-CZ"/>
              </w:rPr>
            </w:pPr>
            <w:r w:rsidRPr="00FA48C7">
              <w:rPr>
                <w:rFonts w:ascii="Calibri" w:eastAsia="Times New Roman" w:hAnsi="Calibri" w:cs="Arial"/>
                <w:sz w:val="20"/>
                <w:szCs w:val="20"/>
                <w:lang w:eastAsia="cs-CZ"/>
              </w:rPr>
              <w:t>83,5</w:t>
            </w:r>
          </w:p>
        </w:tc>
      </w:tr>
      <w:tr w:rsidR="00FA48C7" w:rsidRPr="00FA48C7" w14:paraId="7E583C86" w14:textId="77777777" w:rsidTr="00E07FEA">
        <w:trPr>
          <w:trHeight w:val="885"/>
        </w:trPr>
        <w:tc>
          <w:tcPr>
            <w:tcW w:w="4536" w:type="dxa"/>
            <w:tcBorders>
              <w:top w:val="single" w:sz="8" w:space="0" w:color="auto"/>
              <w:left w:val="single" w:sz="8" w:space="0" w:color="auto"/>
              <w:bottom w:val="single" w:sz="4" w:space="0" w:color="auto"/>
              <w:right w:val="nil"/>
            </w:tcBorders>
            <w:shd w:val="clear" w:color="auto" w:fill="auto"/>
            <w:vAlign w:val="center"/>
            <w:hideMark/>
          </w:tcPr>
          <w:p w14:paraId="7B3D2F02" w14:textId="77777777" w:rsidR="00FA48C7" w:rsidRPr="00FA48C7" w:rsidRDefault="00FA48C7" w:rsidP="00FA48C7">
            <w:pPr>
              <w:spacing w:after="0" w:line="240" w:lineRule="auto"/>
              <w:rPr>
                <w:rFonts w:ascii="Calibri" w:eastAsia="Times New Roman" w:hAnsi="Calibri" w:cs="Arial"/>
                <w:b/>
                <w:bCs/>
                <w:lang w:eastAsia="cs-CZ"/>
              </w:rPr>
            </w:pPr>
            <w:r w:rsidRPr="00FA48C7">
              <w:rPr>
                <w:rFonts w:ascii="Calibri" w:eastAsia="Times New Roman" w:hAnsi="Calibri" w:cs="Arial"/>
                <w:b/>
                <w:bCs/>
                <w:lang w:eastAsia="cs-CZ"/>
              </w:rPr>
              <w:t xml:space="preserve">Smlouvy o financování uzavřená s Evropskou investiční bankou v roce 2020 a 2021 </w:t>
            </w:r>
            <w:r w:rsidRPr="00FA48C7">
              <w:rPr>
                <w:rFonts w:ascii="Calibri" w:eastAsia="Times New Roman" w:hAnsi="Calibri" w:cs="Arial"/>
                <w:lang w:eastAsia="cs-CZ"/>
              </w:rPr>
              <w:t>(financování projektů v oblasti zdravotnictví, sociální péče, silniční dopravy, školství a v oblasti energetických úspor)</w:t>
            </w:r>
          </w:p>
        </w:tc>
        <w:tc>
          <w:tcPr>
            <w:tcW w:w="15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5416133" w14:textId="77777777" w:rsidR="00FA48C7" w:rsidRPr="00FA48C7" w:rsidRDefault="00FA48C7" w:rsidP="00FA48C7">
            <w:pPr>
              <w:spacing w:after="0" w:line="240" w:lineRule="auto"/>
              <w:jc w:val="right"/>
              <w:rPr>
                <w:rFonts w:ascii="Calibri" w:eastAsia="Times New Roman" w:hAnsi="Calibri" w:cs="Arial"/>
                <w:b/>
                <w:bCs/>
                <w:lang w:eastAsia="cs-CZ"/>
              </w:rPr>
            </w:pPr>
            <w:r w:rsidRPr="00FA48C7">
              <w:rPr>
                <w:rFonts w:ascii="Calibri" w:eastAsia="Times New Roman" w:hAnsi="Calibri" w:cs="Arial"/>
                <w:b/>
                <w:bCs/>
                <w:lang w:eastAsia="cs-CZ"/>
              </w:rPr>
              <w:t>3 050 000 000</w:t>
            </w:r>
          </w:p>
        </w:tc>
        <w:tc>
          <w:tcPr>
            <w:tcW w:w="115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83ADCEF" w14:textId="77777777" w:rsidR="00FA48C7" w:rsidRPr="00FA48C7" w:rsidRDefault="00FA48C7" w:rsidP="00FA48C7">
            <w:pPr>
              <w:spacing w:after="0" w:line="240" w:lineRule="auto"/>
              <w:jc w:val="center"/>
              <w:rPr>
                <w:rFonts w:ascii="Calibri" w:eastAsia="Times New Roman" w:hAnsi="Calibri" w:cs="Arial"/>
                <w:b/>
                <w:bCs/>
                <w:lang w:eastAsia="cs-CZ"/>
              </w:rPr>
            </w:pPr>
            <w:r w:rsidRPr="00FA48C7">
              <w:rPr>
                <w:rFonts w:ascii="Calibri" w:eastAsia="Times New Roman" w:hAnsi="Calibri" w:cs="Arial"/>
                <w:b/>
                <w:bCs/>
                <w:lang w:eastAsia="cs-CZ"/>
              </w:rPr>
              <w:t>21.7.2048</w:t>
            </w:r>
          </w:p>
        </w:tc>
        <w:tc>
          <w:tcPr>
            <w:tcW w:w="18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53A9CF5" w14:textId="77777777" w:rsidR="00FA48C7" w:rsidRPr="00FA48C7" w:rsidRDefault="00FA48C7" w:rsidP="00FA48C7">
            <w:pPr>
              <w:spacing w:after="0" w:line="240" w:lineRule="auto"/>
              <w:jc w:val="right"/>
              <w:rPr>
                <w:rFonts w:ascii="Calibri" w:eastAsia="Times New Roman" w:hAnsi="Calibri" w:cs="Arial"/>
                <w:b/>
                <w:bCs/>
                <w:lang w:eastAsia="cs-CZ"/>
              </w:rPr>
            </w:pPr>
            <w:r w:rsidRPr="00FA48C7">
              <w:rPr>
                <w:rFonts w:ascii="Calibri" w:eastAsia="Times New Roman" w:hAnsi="Calibri" w:cs="Arial"/>
                <w:b/>
                <w:bCs/>
                <w:lang w:eastAsia="cs-CZ"/>
              </w:rPr>
              <w:t>515 000 000,00</w:t>
            </w:r>
          </w:p>
        </w:tc>
        <w:tc>
          <w:tcPr>
            <w:tcW w:w="1828" w:type="dxa"/>
            <w:tcBorders>
              <w:top w:val="nil"/>
              <w:left w:val="nil"/>
              <w:bottom w:val="single" w:sz="4" w:space="0" w:color="auto"/>
              <w:right w:val="single" w:sz="4" w:space="0" w:color="auto"/>
            </w:tcBorders>
            <w:shd w:val="clear" w:color="auto" w:fill="auto"/>
            <w:noWrap/>
            <w:vAlign w:val="center"/>
            <w:hideMark/>
          </w:tcPr>
          <w:p w14:paraId="24A43E91" w14:textId="77777777" w:rsidR="00FA48C7" w:rsidRPr="00FA48C7" w:rsidRDefault="00FA48C7" w:rsidP="00FA48C7">
            <w:pPr>
              <w:spacing w:after="0" w:line="240" w:lineRule="auto"/>
              <w:jc w:val="right"/>
              <w:rPr>
                <w:rFonts w:ascii="Calibri" w:eastAsia="Times New Roman" w:hAnsi="Calibri" w:cs="Arial"/>
                <w:b/>
                <w:bCs/>
                <w:lang w:eastAsia="cs-CZ"/>
              </w:rPr>
            </w:pPr>
            <w:r w:rsidRPr="00FA48C7">
              <w:rPr>
                <w:rFonts w:ascii="Calibri" w:eastAsia="Times New Roman" w:hAnsi="Calibri" w:cs="Arial"/>
                <w:b/>
                <w:bCs/>
                <w:lang w:eastAsia="cs-CZ"/>
              </w:rPr>
              <w:t>8 050 000</w:t>
            </w:r>
          </w:p>
        </w:tc>
        <w:tc>
          <w:tcPr>
            <w:tcW w:w="1701" w:type="dxa"/>
            <w:tcBorders>
              <w:top w:val="nil"/>
              <w:left w:val="nil"/>
              <w:bottom w:val="single" w:sz="4" w:space="0" w:color="auto"/>
              <w:right w:val="single" w:sz="4" w:space="0" w:color="auto"/>
            </w:tcBorders>
            <w:shd w:val="clear" w:color="auto" w:fill="auto"/>
            <w:noWrap/>
            <w:vAlign w:val="center"/>
            <w:hideMark/>
          </w:tcPr>
          <w:p w14:paraId="4C01192A" w14:textId="77777777" w:rsidR="00FA48C7" w:rsidRPr="00FA48C7" w:rsidRDefault="00FA48C7" w:rsidP="00FA48C7">
            <w:pPr>
              <w:spacing w:after="0" w:line="240" w:lineRule="auto"/>
              <w:jc w:val="right"/>
              <w:rPr>
                <w:rFonts w:ascii="Calibri" w:eastAsia="Times New Roman" w:hAnsi="Calibri" w:cs="Arial"/>
                <w:b/>
                <w:bCs/>
                <w:lang w:eastAsia="cs-CZ"/>
              </w:rPr>
            </w:pPr>
            <w:r w:rsidRPr="00FA48C7">
              <w:rPr>
                <w:rFonts w:ascii="Calibri" w:eastAsia="Times New Roman" w:hAnsi="Calibri" w:cs="Arial"/>
                <w:b/>
                <w:bCs/>
                <w:lang w:eastAsia="cs-CZ"/>
              </w:rPr>
              <w:t>8 050 000,00</w:t>
            </w:r>
          </w:p>
        </w:tc>
        <w:tc>
          <w:tcPr>
            <w:tcW w:w="1789" w:type="dxa"/>
            <w:tcBorders>
              <w:top w:val="nil"/>
              <w:left w:val="nil"/>
              <w:bottom w:val="single" w:sz="4" w:space="0" w:color="auto"/>
              <w:right w:val="nil"/>
            </w:tcBorders>
            <w:shd w:val="clear" w:color="auto" w:fill="auto"/>
            <w:noWrap/>
            <w:vAlign w:val="center"/>
            <w:hideMark/>
          </w:tcPr>
          <w:p w14:paraId="612F4DF3" w14:textId="77777777" w:rsidR="00FA48C7" w:rsidRPr="00FA48C7" w:rsidRDefault="00FA48C7" w:rsidP="00FA48C7">
            <w:pPr>
              <w:spacing w:after="0" w:line="240" w:lineRule="auto"/>
              <w:jc w:val="right"/>
              <w:rPr>
                <w:rFonts w:ascii="Calibri" w:eastAsia="Times New Roman" w:hAnsi="Calibri" w:cs="Arial"/>
                <w:b/>
                <w:bCs/>
                <w:lang w:eastAsia="cs-CZ"/>
              </w:rPr>
            </w:pPr>
            <w:r w:rsidRPr="00FA48C7">
              <w:rPr>
                <w:rFonts w:ascii="Calibri" w:eastAsia="Times New Roman" w:hAnsi="Calibri" w:cs="Arial"/>
                <w:b/>
                <w:bCs/>
                <w:lang w:eastAsia="cs-CZ"/>
              </w:rPr>
              <w:t>2 353 158,32</w:t>
            </w:r>
          </w:p>
        </w:tc>
        <w:tc>
          <w:tcPr>
            <w:tcW w:w="762" w:type="dxa"/>
            <w:tcBorders>
              <w:top w:val="nil"/>
              <w:left w:val="single" w:sz="4" w:space="0" w:color="auto"/>
              <w:bottom w:val="single" w:sz="4" w:space="0" w:color="auto"/>
              <w:right w:val="single" w:sz="8" w:space="0" w:color="auto"/>
            </w:tcBorders>
            <w:shd w:val="clear" w:color="auto" w:fill="auto"/>
            <w:noWrap/>
            <w:vAlign w:val="center"/>
            <w:hideMark/>
          </w:tcPr>
          <w:p w14:paraId="6ECE607B" w14:textId="77777777" w:rsidR="00FA48C7" w:rsidRPr="00FA48C7" w:rsidRDefault="00FA48C7" w:rsidP="00FA48C7">
            <w:pPr>
              <w:spacing w:after="0" w:line="240" w:lineRule="auto"/>
              <w:jc w:val="right"/>
              <w:rPr>
                <w:rFonts w:ascii="Calibri" w:eastAsia="Times New Roman" w:hAnsi="Calibri" w:cs="Arial"/>
                <w:b/>
                <w:bCs/>
                <w:sz w:val="20"/>
                <w:szCs w:val="20"/>
                <w:lang w:eastAsia="cs-CZ"/>
              </w:rPr>
            </w:pPr>
            <w:r w:rsidRPr="00FA48C7">
              <w:rPr>
                <w:rFonts w:ascii="Calibri" w:eastAsia="Times New Roman" w:hAnsi="Calibri" w:cs="Arial"/>
                <w:b/>
                <w:bCs/>
                <w:sz w:val="20"/>
                <w:szCs w:val="20"/>
                <w:lang w:eastAsia="cs-CZ"/>
              </w:rPr>
              <w:t>29,2</w:t>
            </w:r>
          </w:p>
        </w:tc>
      </w:tr>
      <w:tr w:rsidR="00FA48C7" w:rsidRPr="00FA48C7" w14:paraId="0A6538A6" w14:textId="77777777" w:rsidTr="00E07FEA">
        <w:trPr>
          <w:trHeight w:val="300"/>
        </w:trPr>
        <w:tc>
          <w:tcPr>
            <w:tcW w:w="4536" w:type="dxa"/>
            <w:tcBorders>
              <w:top w:val="nil"/>
              <w:left w:val="single" w:sz="8" w:space="0" w:color="auto"/>
              <w:bottom w:val="single" w:sz="4" w:space="0" w:color="auto"/>
              <w:right w:val="nil"/>
            </w:tcBorders>
            <w:shd w:val="clear" w:color="auto" w:fill="auto"/>
            <w:noWrap/>
            <w:vAlign w:val="center"/>
            <w:hideMark/>
          </w:tcPr>
          <w:p w14:paraId="1A16EBF9" w14:textId="77777777" w:rsidR="00FA48C7" w:rsidRPr="00FA48C7" w:rsidRDefault="00FA48C7" w:rsidP="00FA48C7">
            <w:pPr>
              <w:spacing w:after="0" w:line="240" w:lineRule="auto"/>
              <w:rPr>
                <w:rFonts w:ascii="Calibri" w:eastAsia="Times New Roman" w:hAnsi="Calibri" w:cs="Arial"/>
                <w:lang w:eastAsia="cs-CZ"/>
              </w:rPr>
            </w:pPr>
            <w:r w:rsidRPr="00FA48C7">
              <w:rPr>
                <w:rFonts w:ascii="Calibri" w:eastAsia="Times New Roman" w:hAnsi="Calibri" w:cs="Arial"/>
                <w:lang w:eastAsia="cs-CZ"/>
              </w:rPr>
              <w:lastRenderedPageBreak/>
              <w:t>Splátky přijatého úvěru kraje (jistina)</w:t>
            </w:r>
          </w:p>
        </w:tc>
        <w:tc>
          <w:tcPr>
            <w:tcW w:w="1560" w:type="dxa"/>
            <w:vMerge/>
            <w:tcBorders>
              <w:top w:val="nil"/>
              <w:left w:val="single" w:sz="8" w:space="0" w:color="auto"/>
              <w:bottom w:val="single" w:sz="8" w:space="0" w:color="000000"/>
              <w:right w:val="single" w:sz="8" w:space="0" w:color="auto"/>
            </w:tcBorders>
            <w:vAlign w:val="center"/>
            <w:hideMark/>
          </w:tcPr>
          <w:p w14:paraId="7C677CB4" w14:textId="77777777" w:rsidR="00FA48C7" w:rsidRPr="00FA48C7" w:rsidRDefault="00FA48C7" w:rsidP="00FA48C7">
            <w:pPr>
              <w:spacing w:after="0" w:line="240" w:lineRule="auto"/>
              <w:rPr>
                <w:rFonts w:ascii="Calibri" w:eastAsia="Times New Roman" w:hAnsi="Calibri" w:cs="Arial"/>
                <w:b/>
                <w:bCs/>
                <w:lang w:eastAsia="cs-CZ"/>
              </w:rPr>
            </w:pPr>
          </w:p>
        </w:tc>
        <w:tc>
          <w:tcPr>
            <w:tcW w:w="1150" w:type="dxa"/>
            <w:vMerge/>
            <w:tcBorders>
              <w:top w:val="nil"/>
              <w:left w:val="single" w:sz="8" w:space="0" w:color="auto"/>
              <w:bottom w:val="single" w:sz="8" w:space="0" w:color="000000"/>
              <w:right w:val="single" w:sz="8" w:space="0" w:color="auto"/>
            </w:tcBorders>
            <w:vAlign w:val="center"/>
            <w:hideMark/>
          </w:tcPr>
          <w:p w14:paraId="29281002" w14:textId="77777777" w:rsidR="00FA48C7" w:rsidRPr="00FA48C7" w:rsidRDefault="00FA48C7" w:rsidP="00FA48C7">
            <w:pPr>
              <w:spacing w:after="0" w:line="240" w:lineRule="auto"/>
              <w:rPr>
                <w:rFonts w:ascii="Calibri" w:eastAsia="Times New Roman" w:hAnsi="Calibri" w:cs="Arial"/>
                <w:b/>
                <w:bCs/>
                <w:lang w:eastAsia="cs-CZ"/>
              </w:rPr>
            </w:pPr>
          </w:p>
        </w:tc>
        <w:tc>
          <w:tcPr>
            <w:tcW w:w="1860" w:type="dxa"/>
            <w:vMerge/>
            <w:tcBorders>
              <w:top w:val="nil"/>
              <w:left w:val="single" w:sz="8" w:space="0" w:color="auto"/>
              <w:bottom w:val="single" w:sz="8" w:space="0" w:color="000000"/>
              <w:right w:val="single" w:sz="8" w:space="0" w:color="auto"/>
            </w:tcBorders>
            <w:vAlign w:val="center"/>
            <w:hideMark/>
          </w:tcPr>
          <w:p w14:paraId="00FAF811" w14:textId="77777777" w:rsidR="00FA48C7" w:rsidRPr="00FA48C7" w:rsidRDefault="00FA48C7" w:rsidP="00FA48C7">
            <w:pPr>
              <w:spacing w:after="0" w:line="240" w:lineRule="auto"/>
              <w:rPr>
                <w:rFonts w:ascii="Calibri" w:eastAsia="Times New Roman" w:hAnsi="Calibri" w:cs="Arial"/>
                <w:b/>
                <w:bCs/>
                <w:lang w:eastAsia="cs-CZ"/>
              </w:rPr>
            </w:pPr>
          </w:p>
        </w:tc>
        <w:tc>
          <w:tcPr>
            <w:tcW w:w="1828" w:type="dxa"/>
            <w:tcBorders>
              <w:top w:val="nil"/>
              <w:left w:val="nil"/>
              <w:bottom w:val="single" w:sz="4" w:space="0" w:color="auto"/>
              <w:right w:val="single" w:sz="4" w:space="0" w:color="auto"/>
            </w:tcBorders>
            <w:shd w:val="clear" w:color="auto" w:fill="auto"/>
            <w:noWrap/>
            <w:vAlign w:val="center"/>
            <w:hideMark/>
          </w:tcPr>
          <w:p w14:paraId="370B67C3" w14:textId="77777777" w:rsidR="00FA48C7" w:rsidRPr="00FA48C7" w:rsidRDefault="00FA48C7" w:rsidP="00FA48C7">
            <w:pPr>
              <w:spacing w:after="0" w:line="240" w:lineRule="auto"/>
              <w:jc w:val="right"/>
              <w:rPr>
                <w:rFonts w:ascii="Calibri" w:eastAsia="Times New Roman" w:hAnsi="Calibri" w:cs="Arial"/>
                <w:lang w:eastAsia="cs-CZ"/>
              </w:rPr>
            </w:pPr>
            <w:r w:rsidRPr="00FA48C7">
              <w:rPr>
                <w:rFonts w:ascii="Calibri" w:eastAsia="Times New Roman" w:hAnsi="Calibri" w:cs="Arial"/>
                <w:lang w:eastAsia="cs-CZ"/>
              </w:rPr>
              <w:t>0</w:t>
            </w:r>
          </w:p>
        </w:tc>
        <w:tc>
          <w:tcPr>
            <w:tcW w:w="1701" w:type="dxa"/>
            <w:tcBorders>
              <w:top w:val="nil"/>
              <w:left w:val="nil"/>
              <w:bottom w:val="single" w:sz="4" w:space="0" w:color="auto"/>
              <w:right w:val="single" w:sz="4" w:space="0" w:color="auto"/>
            </w:tcBorders>
            <w:shd w:val="clear" w:color="auto" w:fill="auto"/>
            <w:noWrap/>
            <w:vAlign w:val="center"/>
            <w:hideMark/>
          </w:tcPr>
          <w:p w14:paraId="4B987789" w14:textId="77777777" w:rsidR="00FA48C7" w:rsidRPr="00FA48C7" w:rsidRDefault="00FA48C7" w:rsidP="00FA48C7">
            <w:pPr>
              <w:spacing w:after="0" w:line="240" w:lineRule="auto"/>
              <w:jc w:val="right"/>
              <w:rPr>
                <w:rFonts w:ascii="Calibri" w:eastAsia="Times New Roman" w:hAnsi="Calibri" w:cs="Arial"/>
                <w:lang w:eastAsia="cs-CZ"/>
              </w:rPr>
            </w:pPr>
            <w:r w:rsidRPr="00FA48C7">
              <w:rPr>
                <w:rFonts w:ascii="Calibri" w:eastAsia="Times New Roman" w:hAnsi="Calibri" w:cs="Arial"/>
                <w:lang w:eastAsia="cs-CZ"/>
              </w:rPr>
              <w:t>0,00</w:t>
            </w:r>
          </w:p>
        </w:tc>
        <w:tc>
          <w:tcPr>
            <w:tcW w:w="1789" w:type="dxa"/>
            <w:tcBorders>
              <w:top w:val="nil"/>
              <w:left w:val="nil"/>
              <w:bottom w:val="single" w:sz="4" w:space="0" w:color="auto"/>
              <w:right w:val="nil"/>
            </w:tcBorders>
            <w:shd w:val="clear" w:color="auto" w:fill="auto"/>
            <w:noWrap/>
            <w:vAlign w:val="center"/>
            <w:hideMark/>
          </w:tcPr>
          <w:p w14:paraId="332EA3F4" w14:textId="77777777" w:rsidR="00FA48C7" w:rsidRPr="00FA48C7" w:rsidRDefault="00FA48C7" w:rsidP="00FA48C7">
            <w:pPr>
              <w:spacing w:after="0" w:line="240" w:lineRule="auto"/>
              <w:jc w:val="right"/>
              <w:rPr>
                <w:rFonts w:ascii="Calibri" w:eastAsia="Times New Roman" w:hAnsi="Calibri" w:cs="Arial"/>
                <w:lang w:eastAsia="cs-CZ"/>
              </w:rPr>
            </w:pPr>
            <w:r w:rsidRPr="00FA48C7">
              <w:rPr>
                <w:rFonts w:ascii="Calibri" w:eastAsia="Times New Roman" w:hAnsi="Calibri" w:cs="Arial"/>
                <w:lang w:eastAsia="cs-CZ"/>
              </w:rPr>
              <w:t>0,00</w:t>
            </w:r>
          </w:p>
        </w:tc>
        <w:tc>
          <w:tcPr>
            <w:tcW w:w="762" w:type="dxa"/>
            <w:tcBorders>
              <w:top w:val="nil"/>
              <w:left w:val="single" w:sz="4" w:space="0" w:color="auto"/>
              <w:bottom w:val="single" w:sz="4" w:space="0" w:color="auto"/>
              <w:right w:val="single" w:sz="8" w:space="0" w:color="auto"/>
            </w:tcBorders>
            <w:shd w:val="clear" w:color="auto" w:fill="auto"/>
            <w:noWrap/>
            <w:vAlign w:val="center"/>
            <w:hideMark/>
          </w:tcPr>
          <w:p w14:paraId="1F5491AC" w14:textId="77777777" w:rsidR="00FA48C7" w:rsidRPr="00FA48C7" w:rsidRDefault="00FA48C7" w:rsidP="00FA48C7">
            <w:pPr>
              <w:spacing w:after="0" w:line="240" w:lineRule="auto"/>
              <w:jc w:val="right"/>
              <w:rPr>
                <w:rFonts w:ascii="Calibri" w:eastAsia="Times New Roman" w:hAnsi="Calibri" w:cs="Arial"/>
                <w:sz w:val="20"/>
                <w:szCs w:val="20"/>
                <w:lang w:eastAsia="cs-CZ"/>
              </w:rPr>
            </w:pPr>
            <w:r w:rsidRPr="00FA48C7">
              <w:rPr>
                <w:rFonts w:ascii="Calibri" w:eastAsia="Times New Roman" w:hAnsi="Calibri" w:cs="Arial"/>
                <w:sz w:val="20"/>
                <w:szCs w:val="20"/>
                <w:lang w:eastAsia="cs-CZ"/>
              </w:rPr>
              <w:t>-</w:t>
            </w:r>
          </w:p>
        </w:tc>
      </w:tr>
      <w:tr w:rsidR="00FA48C7" w:rsidRPr="00FA48C7" w14:paraId="789D54E1" w14:textId="77777777" w:rsidTr="00E07FEA">
        <w:trPr>
          <w:trHeight w:val="300"/>
        </w:trPr>
        <w:tc>
          <w:tcPr>
            <w:tcW w:w="4536" w:type="dxa"/>
            <w:tcBorders>
              <w:top w:val="nil"/>
              <w:left w:val="single" w:sz="8" w:space="0" w:color="auto"/>
              <w:bottom w:val="nil"/>
              <w:right w:val="nil"/>
            </w:tcBorders>
            <w:shd w:val="clear" w:color="auto" w:fill="auto"/>
            <w:noWrap/>
            <w:vAlign w:val="center"/>
            <w:hideMark/>
          </w:tcPr>
          <w:p w14:paraId="683ADE84" w14:textId="77777777" w:rsidR="00FA48C7" w:rsidRPr="00FA48C7" w:rsidRDefault="00FA48C7" w:rsidP="00FA48C7">
            <w:pPr>
              <w:spacing w:after="0" w:line="240" w:lineRule="auto"/>
              <w:rPr>
                <w:rFonts w:ascii="Calibri" w:eastAsia="Times New Roman" w:hAnsi="Calibri" w:cs="Arial"/>
                <w:lang w:eastAsia="cs-CZ"/>
              </w:rPr>
            </w:pPr>
            <w:r w:rsidRPr="00FA48C7">
              <w:rPr>
                <w:rFonts w:ascii="Calibri" w:eastAsia="Times New Roman" w:hAnsi="Calibri" w:cs="Arial"/>
                <w:lang w:eastAsia="cs-CZ"/>
              </w:rPr>
              <w:t xml:space="preserve">Splátky úroků z přijatého úvěru kraje </w:t>
            </w:r>
          </w:p>
        </w:tc>
        <w:tc>
          <w:tcPr>
            <w:tcW w:w="1560" w:type="dxa"/>
            <w:vMerge/>
            <w:tcBorders>
              <w:top w:val="nil"/>
              <w:left w:val="single" w:sz="8" w:space="0" w:color="auto"/>
              <w:bottom w:val="single" w:sz="8" w:space="0" w:color="000000"/>
              <w:right w:val="single" w:sz="8" w:space="0" w:color="auto"/>
            </w:tcBorders>
            <w:vAlign w:val="center"/>
            <w:hideMark/>
          </w:tcPr>
          <w:p w14:paraId="35776038" w14:textId="77777777" w:rsidR="00FA48C7" w:rsidRPr="00FA48C7" w:rsidRDefault="00FA48C7" w:rsidP="00FA48C7">
            <w:pPr>
              <w:spacing w:after="0" w:line="240" w:lineRule="auto"/>
              <w:rPr>
                <w:rFonts w:ascii="Calibri" w:eastAsia="Times New Roman" w:hAnsi="Calibri" w:cs="Arial"/>
                <w:b/>
                <w:bCs/>
                <w:lang w:eastAsia="cs-CZ"/>
              </w:rPr>
            </w:pPr>
          </w:p>
        </w:tc>
        <w:tc>
          <w:tcPr>
            <w:tcW w:w="1150" w:type="dxa"/>
            <w:vMerge/>
            <w:tcBorders>
              <w:top w:val="nil"/>
              <w:left w:val="single" w:sz="8" w:space="0" w:color="auto"/>
              <w:bottom w:val="single" w:sz="8" w:space="0" w:color="000000"/>
              <w:right w:val="single" w:sz="8" w:space="0" w:color="auto"/>
            </w:tcBorders>
            <w:vAlign w:val="center"/>
            <w:hideMark/>
          </w:tcPr>
          <w:p w14:paraId="3FB31E42" w14:textId="77777777" w:rsidR="00FA48C7" w:rsidRPr="00FA48C7" w:rsidRDefault="00FA48C7" w:rsidP="00FA48C7">
            <w:pPr>
              <w:spacing w:after="0" w:line="240" w:lineRule="auto"/>
              <w:rPr>
                <w:rFonts w:ascii="Calibri" w:eastAsia="Times New Roman" w:hAnsi="Calibri" w:cs="Arial"/>
                <w:b/>
                <w:bCs/>
                <w:lang w:eastAsia="cs-CZ"/>
              </w:rPr>
            </w:pPr>
          </w:p>
        </w:tc>
        <w:tc>
          <w:tcPr>
            <w:tcW w:w="1860" w:type="dxa"/>
            <w:vMerge/>
            <w:tcBorders>
              <w:top w:val="nil"/>
              <w:left w:val="single" w:sz="8" w:space="0" w:color="auto"/>
              <w:bottom w:val="single" w:sz="8" w:space="0" w:color="000000"/>
              <w:right w:val="single" w:sz="8" w:space="0" w:color="auto"/>
            </w:tcBorders>
            <w:vAlign w:val="center"/>
            <w:hideMark/>
          </w:tcPr>
          <w:p w14:paraId="559CA29E" w14:textId="77777777" w:rsidR="00FA48C7" w:rsidRPr="00FA48C7" w:rsidRDefault="00FA48C7" w:rsidP="00FA48C7">
            <w:pPr>
              <w:spacing w:after="0" w:line="240" w:lineRule="auto"/>
              <w:rPr>
                <w:rFonts w:ascii="Calibri" w:eastAsia="Times New Roman" w:hAnsi="Calibri" w:cs="Arial"/>
                <w:b/>
                <w:bCs/>
                <w:lang w:eastAsia="cs-CZ"/>
              </w:rPr>
            </w:pPr>
          </w:p>
        </w:tc>
        <w:tc>
          <w:tcPr>
            <w:tcW w:w="1828" w:type="dxa"/>
            <w:tcBorders>
              <w:top w:val="nil"/>
              <w:left w:val="nil"/>
              <w:bottom w:val="single" w:sz="8" w:space="0" w:color="auto"/>
              <w:right w:val="single" w:sz="4" w:space="0" w:color="auto"/>
            </w:tcBorders>
            <w:shd w:val="clear" w:color="auto" w:fill="auto"/>
            <w:noWrap/>
            <w:vAlign w:val="center"/>
            <w:hideMark/>
          </w:tcPr>
          <w:p w14:paraId="75175CAA" w14:textId="77777777" w:rsidR="00FA48C7" w:rsidRPr="00FA48C7" w:rsidRDefault="00FA48C7" w:rsidP="00FA48C7">
            <w:pPr>
              <w:spacing w:after="0" w:line="240" w:lineRule="auto"/>
              <w:jc w:val="right"/>
              <w:rPr>
                <w:rFonts w:ascii="Calibri" w:eastAsia="Times New Roman" w:hAnsi="Calibri" w:cs="Arial"/>
                <w:lang w:eastAsia="cs-CZ"/>
              </w:rPr>
            </w:pPr>
            <w:r w:rsidRPr="00FA48C7">
              <w:rPr>
                <w:rFonts w:ascii="Calibri" w:eastAsia="Times New Roman" w:hAnsi="Calibri" w:cs="Arial"/>
                <w:lang w:eastAsia="cs-CZ"/>
              </w:rPr>
              <w:t>8 050 000</w:t>
            </w:r>
          </w:p>
        </w:tc>
        <w:tc>
          <w:tcPr>
            <w:tcW w:w="1701" w:type="dxa"/>
            <w:tcBorders>
              <w:top w:val="nil"/>
              <w:left w:val="nil"/>
              <w:bottom w:val="single" w:sz="8" w:space="0" w:color="auto"/>
              <w:right w:val="single" w:sz="4" w:space="0" w:color="auto"/>
            </w:tcBorders>
            <w:shd w:val="clear" w:color="auto" w:fill="auto"/>
            <w:noWrap/>
            <w:vAlign w:val="center"/>
            <w:hideMark/>
          </w:tcPr>
          <w:p w14:paraId="1C4ADAB9" w14:textId="77777777" w:rsidR="00FA48C7" w:rsidRPr="00FA48C7" w:rsidRDefault="00FA48C7" w:rsidP="00FA48C7">
            <w:pPr>
              <w:spacing w:after="0" w:line="240" w:lineRule="auto"/>
              <w:jc w:val="right"/>
              <w:rPr>
                <w:rFonts w:ascii="Calibri" w:eastAsia="Times New Roman" w:hAnsi="Calibri" w:cs="Arial"/>
                <w:lang w:eastAsia="cs-CZ"/>
              </w:rPr>
            </w:pPr>
            <w:r w:rsidRPr="00FA48C7">
              <w:rPr>
                <w:rFonts w:ascii="Calibri" w:eastAsia="Times New Roman" w:hAnsi="Calibri" w:cs="Arial"/>
                <w:lang w:eastAsia="cs-CZ"/>
              </w:rPr>
              <w:t>8 050 000,00</w:t>
            </w:r>
          </w:p>
        </w:tc>
        <w:tc>
          <w:tcPr>
            <w:tcW w:w="1789" w:type="dxa"/>
            <w:tcBorders>
              <w:top w:val="nil"/>
              <w:left w:val="nil"/>
              <w:bottom w:val="single" w:sz="8" w:space="0" w:color="auto"/>
              <w:right w:val="single" w:sz="4" w:space="0" w:color="auto"/>
            </w:tcBorders>
            <w:shd w:val="clear" w:color="auto" w:fill="auto"/>
            <w:noWrap/>
            <w:vAlign w:val="center"/>
            <w:hideMark/>
          </w:tcPr>
          <w:p w14:paraId="7EB5B382" w14:textId="77777777" w:rsidR="00FA48C7" w:rsidRPr="00FA48C7" w:rsidRDefault="00FA48C7" w:rsidP="00FA48C7">
            <w:pPr>
              <w:spacing w:after="0" w:line="240" w:lineRule="auto"/>
              <w:jc w:val="right"/>
              <w:rPr>
                <w:rFonts w:ascii="Calibri" w:eastAsia="Times New Roman" w:hAnsi="Calibri" w:cs="Arial"/>
                <w:lang w:eastAsia="cs-CZ"/>
              </w:rPr>
            </w:pPr>
            <w:r w:rsidRPr="00FA48C7">
              <w:rPr>
                <w:rFonts w:ascii="Calibri" w:eastAsia="Times New Roman" w:hAnsi="Calibri" w:cs="Arial"/>
                <w:lang w:eastAsia="cs-CZ"/>
              </w:rPr>
              <w:t>2 353 158,32</w:t>
            </w:r>
          </w:p>
        </w:tc>
        <w:tc>
          <w:tcPr>
            <w:tcW w:w="762" w:type="dxa"/>
            <w:tcBorders>
              <w:top w:val="nil"/>
              <w:left w:val="nil"/>
              <w:bottom w:val="single" w:sz="8" w:space="0" w:color="auto"/>
              <w:right w:val="single" w:sz="8" w:space="0" w:color="auto"/>
            </w:tcBorders>
            <w:shd w:val="clear" w:color="auto" w:fill="auto"/>
            <w:noWrap/>
            <w:vAlign w:val="center"/>
            <w:hideMark/>
          </w:tcPr>
          <w:p w14:paraId="1BB48D4C" w14:textId="77777777" w:rsidR="00FA48C7" w:rsidRPr="00FA48C7" w:rsidRDefault="00FA48C7" w:rsidP="00FA48C7">
            <w:pPr>
              <w:spacing w:after="0" w:line="240" w:lineRule="auto"/>
              <w:jc w:val="right"/>
              <w:rPr>
                <w:rFonts w:ascii="Calibri" w:eastAsia="Times New Roman" w:hAnsi="Calibri" w:cs="Arial"/>
                <w:sz w:val="20"/>
                <w:szCs w:val="20"/>
                <w:lang w:eastAsia="cs-CZ"/>
              </w:rPr>
            </w:pPr>
            <w:r w:rsidRPr="00FA48C7">
              <w:rPr>
                <w:rFonts w:ascii="Calibri" w:eastAsia="Times New Roman" w:hAnsi="Calibri" w:cs="Arial"/>
                <w:sz w:val="20"/>
                <w:szCs w:val="20"/>
                <w:lang w:eastAsia="cs-CZ"/>
              </w:rPr>
              <w:t>29,2</w:t>
            </w:r>
          </w:p>
        </w:tc>
      </w:tr>
      <w:tr w:rsidR="00FA48C7" w:rsidRPr="00FA48C7" w14:paraId="066D54E0" w14:textId="77777777" w:rsidTr="00E07FEA">
        <w:trPr>
          <w:trHeight w:val="525"/>
        </w:trPr>
        <w:tc>
          <w:tcPr>
            <w:tcW w:w="4536" w:type="dxa"/>
            <w:tcBorders>
              <w:top w:val="single" w:sz="8" w:space="0" w:color="auto"/>
              <w:left w:val="single" w:sz="8" w:space="0" w:color="auto"/>
              <w:bottom w:val="single" w:sz="8" w:space="0" w:color="auto"/>
              <w:right w:val="nil"/>
            </w:tcBorders>
            <w:shd w:val="clear" w:color="auto" w:fill="auto"/>
            <w:noWrap/>
            <w:vAlign w:val="bottom"/>
            <w:hideMark/>
          </w:tcPr>
          <w:p w14:paraId="46CE2563" w14:textId="77777777" w:rsidR="00FA48C7" w:rsidRPr="00FA48C7" w:rsidRDefault="00FA48C7" w:rsidP="00FA48C7">
            <w:pPr>
              <w:spacing w:after="0" w:line="240" w:lineRule="auto"/>
              <w:rPr>
                <w:rFonts w:ascii="Calibri" w:eastAsia="Times New Roman" w:hAnsi="Calibri" w:cs="Arial"/>
                <w:b/>
                <w:bCs/>
                <w:sz w:val="24"/>
                <w:szCs w:val="24"/>
                <w:lang w:eastAsia="cs-CZ"/>
              </w:rPr>
            </w:pPr>
            <w:r w:rsidRPr="00FA48C7">
              <w:rPr>
                <w:rFonts w:ascii="Calibri" w:eastAsia="Times New Roman" w:hAnsi="Calibri" w:cs="Arial"/>
                <w:b/>
                <w:bCs/>
                <w:sz w:val="24"/>
                <w:szCs w:val="24"/>
                <w:lang w:eastAsia="cs-CZ"/>
              </w:rPr>
              <w:t>Dluhová služba za úvěry kraje celkem</w:t>
            </w:r>
          </w:p>
        </w:tc>
        <w:tc>
          <w:tcPr>
            <w:tcW w:w="1560" w:type="dxa"/>
            <w:tcBorders>
              <w:top w:val="nil"/>
              <w:left w:val="single" w:sz="8" w:space="0" w:color="auto"/>
              <w:bottom w:val="single" w:sz="8" w:space="0" w:color="auto"/>
              <w:right w:val="nil"/>
            </w:tcBorders>
            <w:shd w:val="clear" w:color="auto" w:fill="auto"/>
            <w:noWrap/>
            <w:vAlign w:val="bottom"/>
            <w:hideMark/>
          </w:tcPr>
          <w:p w14:paraId="6D7D254C" w14:textId="77777777" w:rsidR="00FA48C7" w:rsidRPr="00FA48C7" w:rsidRDefault="00FA48C7" w:rsidP="00FA48C7">
            <w:pPr>
              <w:spacing w:after="0" w:line="240" w:lineRule="auto"/>
              <w:jc w:val="right"/>
              <w:rPr>
                <w:rFonts w:ascii="Calibri" w:eastAsia="Times New Roman" w:hAnsi="Calibri" w:cs="Arial"/>
                <w:b/>
                <w:bCs/>
                <w:sz w:val="24"/>
                <w:szCs w:val="24"/>
                <w:lang w:eastAsia="cs-CZ"/>
              </w:rPr>
            </w:pPr>
            <w:r w:rsidRPr="00FA48C7">
              <w:rPr>
                <w:rFonts w:ascii="Calibri" w:eastAsia="Times New Roman" w:hAnsi="Calibri" w:cs="Arial"/>
                <w:b/>
                <w:bCs/>
                <w:sz w:val="24"/>
                <w:szCs w:val="24"/>
                <w:lang w:eastAsia="cs-CZ"/>
              </w:rPr>
              <w:t>9 284 420 000</w:t>
            </w:r>
          </w:p>
        </w:tc>
        <w:tc>
          <w:tcPr>
            <w:tcW w:w="1150" w:type="dxa"/>
            <w:tcBorders>
              <w:top w:val="nil"/>
              <w:left w:val="single" w:sz="8" w:space="0" w:color="auto"/>
              <w:bottom w:val="single" w:sz="8" w:space="0" w:color="auto"/>
              <w:right w:val="nil"/>
            </w:tcBorders>
            <w:shd w:val="clear" w:color="auto" w:fill="auto"/>
            <w:noWrap/>
            <w:vAlign w:val="bottom"/>
            <w:hideMark/>
          </w:tcPr>
          <w:p w14:paraId="750CC8BF" w14:textId="77777777" w:rsidR="00FA48C7" w:rsidRPr="00FA48C7" w:rsidRDefault="00FA48C7" w:rsidP="00FA48C7">
            <w:pPr>
              <w:spacing w:after="0" w:line="240" w:lineRule="auto"/>
              <w:rPr>
                <w:rFonts w:ascii="Calibri" w:eastAsia="Times New Roman" w:hAnsi="Calibri" w:cs="Arial"/>
                <w:b/>
                <w:bCs/>
                <w:sz w:val="24"/>
                <w:szCs w:val="24"/>
                <w:lang w:eastAsia="cs-CZ"/>
              </w:rPr>
            </w:pPr>
            <w:r w:rsidRPr="00FA48C7">
              <w:rPr>
                <w:rFonts w:ascii="Calibri" w:eastAsia="Times New Roman" w:hAnsi="Calibri" w:cs="Arial"/>
                <w:b/>
                <w:bCs/>
                <w:sz w:val="24"/>
                <w:szCs w:val="24"/>
                <w:lang w:eastAsia="cs-CZ"/>
              </w:rPr>
              <w:t> </w:t>
            </w:r>
          </w:p>
        </w:tc>
        <w:tc>
          <w:tcPr>
            <w:tcW w:w="1860" w:type="dxa"/>
            <w:tcBorders>
              <w:top w:val="nil"/>
              <w:left w:val="single" w:sz="8" w:space="0" w:color="auto"/>
              <w:bottom w:val="single" w:sz="8" w:space="0" w:color="auto"/>
              <w:right w:val="single" w:sz="8" w:space="0" w:color="auto"/>
            </w:tcBorders>
            <w:shd w:val="clear" w:color="auto" w:fill="auto"/>
            <w:noWrap/>
            <w:vAlign w:val="bottom"/>
            <w:hideMark/>
          </w:tcPr>
          <w:p w14:paraId="067E3636" w14:textId="77777777" w:rsidR="00FA48C7" w:rsidRPr="00FA48C7" w:rsidRDefault="00FA48C7" w:rsidP="00FA48C7">
            <w:pPr>
              <w:spacing w:after="0" w:line="240" w:lineRule="auto"/>
              <w:jc w:val="right"/>
              <w:rPr>
                <w:rFonts w:ascii="Calibri" w:eastAsia="Times New Roman" w:hAnsi="Calibri" w:cs="Arial"/>
                <w:b/>
                <w:bCs/>
                <w:sz w:val="24"/>
                <w:szCs w:val="24"/>
                <w:lang w:eastAsia="cs-CZ"/>
              </w:rPr>
            </w:pPr>
            <w:r w:rsidRPr="00FA48C7">
              <w:rPr>
                <w:rFonts w:ascii="Calibri" w:eastAsia="Times New Roman" w:hAnsi="Calibri" w:cs="Arial"/>
                <w:b/>
                <w:bCs/>
                <w:sz w:val="24"/>
                <w:szCs w:val="24"/>
                <w:lang w:eastAsia="cs-CZ"/>
              </w:rPr>
              <w:t>4 087 399 168,00</w:t>
            </w:r>
          </w:p>
        </w:tc>
        <w:tc>
          <w:tcPr>
            <w:tcW w:w="1828" w:type="dxa"/>
            <w:tcBorders>
              <w:top w:val="nil"/>
              <w:left w:val="nil"/>
              <w:bottom w:val="single" w:sz="8" w:space="0" w:color="auto"/>
              <w:right w:val="single" w:sz="4" w:space="0" w:color="auto"/>
            </w:tcBorders>
            <w:shd w:val="clear" w:color="auto" w:fill="auto"/>
            <w:noWrap/>
            <w:vAlign w:val="bottom"/>
            <w:hideMark/>
          </w:tcPr>
          <w:p w14:paraId="32F25B9B" w14:textId="77777777" w:rsidR="00FA48C7" w:rsidRPr="00FA48C7" w:rsidRDefault="00FA48C7" w:rsidP="00FA48C7">
            <w:pPr>
              <w:spacing w:after="0" w:line="240" w:lineRule="auto"/>
              <w:jc w:val="right"/>
              <w:rPr>
                <w:rFonts w:ascii="Calibri" w:eastAsia="Times New Roman" w:hAnsi="Calibri" w:cs="Arial"/>
                <w:b/>
                <w:bCs/>
                <w:sz w:val="24"/>
                <w:szCs w:val="24"/>
                <w:lang w:eastAsia="cs-CZ"/>
              </w:rPr>
            </w:pPr>
            <w:r w:rsidRPr="00FA48C7">
              <w:rPr>
                <w:rFonts w:ascii="Calibri" w:eastAsia="Times New Roman" w:hAnsi="Calibri" w:cs="Arial"/>
                <w:b/>
                <w:bCs/>
                <w:sz w:val="24"/>
                <w:szCs w:val="24"/>
                <w:lang w:eastAsia="cs-CZ"/>
              </w:rPr>
              <w:t>317 908 000</w:t>
            </w:r>
          </w:p>
        </w:tc>
        <w:tc>
          <w:tcPr>
            <w:tcW w:w="1701" w:type="dxa"/>
            <w:tcBorders>
              <w:top w:val="nil"/>
              <w:left w:val="nil"/>
              <w:bottom w:val="single" w:sz="8" w:space="0" w:color="auto"/>
              <w:right w:val="single" w:sz="4" w:space="0" w:color="auto"/>
            </w:tcBorders>
            <w:shd w:val="clear" w:color="auto" w:fill="auto"/>
            <w:noWrap/>
            <w:vAlign w:val="bottom"/>
            <w:hideMark/>
          </w:tcPr>
          <w:p w14:paraId="16B126AC" w14:textId="77777777" w:rsidR="00FA48C7" w:rsidRPr="00FA48C7" w:rsidRDefault="00FA48C7" w:rsidP="00FA48C7">
            <w:pPr>
              <w:spacing w:after="0" w:line="240" w:lineRule="auto"/>
              <w:jc w:val="right"/>
              <w:rPr>
                <w:rFonts w:ascii="Calibri" w:eastAsia="Times New Roman" w:hAnsi="Calibri" w:cs="Arial"/>
                <w:b/>
                <w:bCs/>
                <w:sz w:val="24"/>
                <w:szCs w:val="24"/>
                <w:lang w:eastAsia="cs-CZ"/>
              </w:rPr>
            </w:pPr>
            <w:r w:rsidRPr="00FA48C7">
              <w:rPr>
                <w:rFonts w:ascii="Calibri" w:eastAsia="Times New Roman" w:hAnsi="Calibri" w:cs="Arial"/>
                <w:b/>
                <w:bCs/>
                <w:sz w:val="24"/>
                <w:szCs w:val="24"/>
                <w:lang w:eastAsia="cs-CZ"/>
              </w:rPr>
              <w:t>337 839 365,32</w:t>
            </w:r>
          </w:p>
        </w:tc>
        <w:tc>
          <w:tcPr>
            <w:tcW w:w="1789" w:type="dxa"/>
            <w:tcBorders>
              <w:top w:val="nil"/>
              <w:left w:val="nil"/>
              <w:bottom w:val="single" w:sz="8" w:space="0" w:color="auto"/>
              <w:right w:val="single" w:sz="4" w:space="0" w:color="auto"/>
            </w:tcBorders>
            <w:shd w:val="clear" w:color="auto" w:fill="auto"/>
            <w:noWrap/>
            <w:vAlign w:val="bottom"/>
            <w:hideMark/>
          </w:tcPr>
          <w:p w14:paraId="25255466" w14:textId="77777777" w:rsidR="00FA48C7" w:rsidRPr="00FA48C7" w:rsidRDefault="00FA48C7" w:rsidP="00FA48C7">
            <w:pPr>
              <w:spacing w:after="0" w:line="240" w:lineRule="auto"/>
              <w:jc w:val="right"/>
              <w:rPr>
                <w:rFonts w:ascii="Calibri" w:eastAsia="Times New Roman" w:hAnsi="Calibri" w:cs="Arial"/>
                <w:b/>
                <w:bCs/>
                <w:sz w:val="24"/>
                <w:szCs w:val="24"/>
                <w:lang w:eastAsia="cs-CZ"/>
              </w:rPr>
            </w:pPr>
            <w:r w:rsidRPr="00FA48C7">
              <w:rPr>
                <w:rFonts w:ascii="Calibri" w:eastAsia="Times New Roman" w:hAnsi="Calibri" w:cs="Arial"/>
                <w:b/>
                <w:bCs/>
                <w:sz w:val="24"/>
                <w:szCs w:val="24"/>
                <w:lang w:eastAsia="cs-CZ"/>
              </w:rPr>
              <w:t>304 522 534,47</w:t>
            </w:r>
          </w:p>
        </w:tc>
        <w:tc>
          <w:tcPr>
            <w:tcW w:w="762" w:type="dxa"/>
            <w:tcBorders>
              <w:top w:val="nil"/>
              <w:left w:val="nil"/>
              <w:bottom w:val="single" w:sz="8" w:space="0" w:color="auto"/>
              <w:right w:val="single" w:sz="8" w:space="0" w:color="auto"/>
            </w:tcBorders>
            <w:shd w:val="clear" w:color="auto" w:fill="auto"/>
            <w:noWrap/>
            <w:vAlign w:val="bottom"/>
            <w:hideMark/>
          </w:tcPr>
          <w:p w14:paraId="2423A493" w14:textId="77777777" w:rsidR="00FA48C7" w:rsidRPr="00FA48C7" w:rsidRDefault="00FA48C7" w:rsidP="00FA48C7">
            <w:pPr>
              <w:spacing w:after="0" w:line="240" w:lineRule="auto"/>
              <w:jc w:val="right"/>
              <w:rPr>
                <w:rFonts w:ascii="Calibri" w:eastAsia="Times New Roman" w:hAnsi="Calibri" w:cs="Arial"/>
                <w:b/>
                <w:bCs/>
                <w:sz w:val="24"/>
                <w:szCs w:val="24"/>
                <w:lang w:eastAsia="cs-CZ"/>
              </w:rPr>
            </w:pPr>
            <w:r w:rsidRPr="00FA48C7">
              <w:rPr>
                <w:rFonts w:ascii="Calibri" w:eastAsia="Times New Roman" w:hAnsi="Calibri" w:cs="Arial"/>
                <w:b/>
                <w:bCs/>
                <w:sz w:val="24"/>
                <w:szCs w:val="24"/>
                <w:lang w:eastAsia="cs-CZ"/>
              </w:rPr>
              <w:t>90,1</w:t>
            </w:r>
          </w:p>
        </w:tc>
      </w:tr>
      <w:tr w:rsidR="00FA48C7" w:rsidRPr="00FA48C7" w14:paraId="759C01DF" w14:textId="77777777" w:rsidTr="00E07FEA">
        <w:trPr>
          <w:trHeight w:val="300"/>
        </w:trPr>
        <w:tc>
          <w:tcPr>
            <w:tcW w:w="4536" w:type="dxa"/>
            <w:tcBorders>
              <w:top w:val="nil"/>
              <w:left w:val="nil"/>
              <w:bottom w:val="nil"/>
              <w:right w:val="nil"/>
            </w:tcBorders>
            <w:shd w:val="clear" w:color="auto" w:fill="auto"/>
            <w:noWrap/>
            <w:vAlign w:val="bottom"/>
            <w:hideMark/>
          </w:tcPr>
          <w:p w14:paraId="2B5DD511" w14:textId="77777777" w:rsidR="00FA48C7" w:rsidRPr="00FA48C7" w:rsidRDefault="00FA48C7" w:rsidP="00FA48C7">
            <w:pPr>
              <w:spacing w:after="0" w:line="240" w:lineRule="auto"/>
              <w:jc w:val="right"/>
              <w:rPr>
                <w:rFonts w:ascii="Calibri" w:eastAsia="Times New Roman" w:hAnsi="Calibri" w:cs="Arial"/>
                <w:b/>
                <w:bCs/>
                <w:sz w:val="24"/>
                <w:szCs w:val="24"/>
                <w:lang w:eastAsia="cs-CZ"/>
              </w:rPr>
            </w:pPr>
          </w:p>
        </w:tc>
        <w:tc>
          <w:tcPr>
            <w:tcW w:w="1560" w:type="dxa"/>
            <w:tcBorders>
              <w:top w:val="nil"/>
              <w:left w:val="nil"/>
              <w:bottom w:val="nil"/>
              <w:right w:val="nil"/>
            </w:tcBorders>
            <w:shd w:val="clear" w:color="auto" w:fill="auto"/>
            <w:noWrap/>
            <w:vAlign w:val="bottom"/>
            <w:hideMark/>
          </w:tcPr>
          <w:p w14:paraId="49C3AFC9" w14:textId="77777777" w:rsidR="00FA48C7" w:rsidRPr="00FA48C7" w:rsidRDefault="00FA48C7" w:rsidP="00FA48C7">
            <w:pPr>
              <w:spacing w:after="0" w:line="240" w:lineRule="auto"/>
              <w:rPr>
                <w:rFonts w:ascii="Times New Roman" w:eastAsia="Times New Roman" w:hAnsi="Times New Roman" w:cs="Times New Roman"/>
                <w:sz w:val="20"/>
                <w:szCs w:val="20"/>
                <w:lang w:eastAsia="cs-CZ"/>
              </w:rPr>
            </w:pPr>
          </w:p>
        </w:tc>
        <w:tc>
          <w:tcPr>
            <w:tcW w:w="1150" w:type="dxa"/>
            <w:tcBorders>
              <w:top w:val="nil"/>
              <w:left w:val="nil"/>
              <w:bottom w:val="nil"/>
              <w:right w:val="nil"/>
            </w:tcBorders>
            <w:shd w:val="clear" w:color="auto" w:fill="auto"/>
            <w:noWrap/>
            <w:vAlign w:val="bottom"/>
            <w:hideMark/>
          </w:tcPr>
          <w:p w14:paraId="733B9E37" w14:textId="77777777" w:rsidR="00FA48C7" w:rsidRPr="00FA48C7" w:rsidRDefault="00FA48C7" w:rsidP="00FA48C7">
            <w:pPr>
              <w:spacing w:after="0" w:line="240" w:lineRule="auto"/>
              <w:rPr>
                <w:rFonts w:ascii="Times New Roman" w:eastAsia="Times New Roman" w:hAnsi="Times New Roman" w:cs="Times New Roman"/>
                <w:sz w:val="20"/>
                <w:szCs w:val="20"/>
                <w:lang w:eastAsia="cs-CZ"/>
              </w:rPr>
            </w:pPr>
          </w:p>
        </w:tc>
        <w:tc>
          <w:tcPr>
            <w:tcW w:w="1860" w:type="dxa"/>
            <w:tcBorders>
              <w:top w:val="nil"/>
              <w:left w:val="nil"/>
              <w:bottom w:val="nil"/>
              <w:right w:val="nil"/>
            </w:tcBorders>
            <w:shd w:val="clear" w:color="auto" w:fill="auto"/>
            <w:noWrap/>
            <w:vAlign w:val="bottom"/>
            <w:hideMark/>
          </w:tcPr>
          <w:p w14:paraId="513188E8" w14:textId="77777777" w:rsidR="00FA48C7" w:rsidRPr="00FA48C7" w:rsidRDefault="00FA48C7" w:rsidP="00FA48C7">
            <w:pPr>
              <w:spacing w:after="0" w:line="240" w:lineRule="auto"/>
              <w:rPr>
                <w:rFonts w:ascii="Times New Roman" w:eastAsia="Times New Roman" w:hAnsi="Times New Roman" w:cs="Times New Roman"/>
                <w:sz w:val="20"/>
                <w:szCs w:val="20"/>
                <w:lang w:eastAsia="cs-CZ"/>
              </w:rPr>
            </w:pPr>
          </w:p>
        </w:tc>
        <w:tc>
          <w:tcPr>
            <w:tcW w:w="1828" w:type="dxa"/>
            <w:tcBorders>
              <w:top w:val="nil"/>
              <w:left w:val="nil"/>
              <w:bottom w:val="nil"/>
              <w:right w:val="nil"/>
            </w:tcBorders>
            <w:shd w:val="clear" w:color="auto" w:fill="auto"/>
            <w:noWrap/>
            <w:vAlign w:val="bottom"/>
            <w:hideMark/>
          </w:tcPr>
          <w:p w14:paraId="745E1FE5" w14:textId="77777777" w:rsidR="00FA48C7" w:rsidRPr="00FA48C7" w:rsidRDefault="00FA48C7" w:rsidP="00FA48C7">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59FA7872" w14:textId="77777777" w:rsidR="00FA48C7" w:rsidRPr="00FA48C7" w:rsidRDefault="00FA48C7" w:rsidP="00FA48C7">
            <w:pPr>
              <w:spacing w:after="0" w:line="240" w:lineRule="auto"/>
              <w:jc w:val="right"/>
              <w:rPr>
                <w:rFonts w:ascii="Times New Roman" w:eastAsia="Times New Roman" w:hAnsi="Times New Roman" w:cs="Times New Roman"/>
                <w:sz w:val="20"/>
                <w:szCs w:val="20"/>
                <w:lang w:eastAsia="cs-CZ"/>
              </w:rPr>
            </w:pPr>
          </w:p>
        </w:tc>
        <w:tc>
          <w:tcPr>
            <w:tcW w:w="1789" w:type="dxa"/>
            <w:tcBorders>
              <w:top w:val="nil"/>
              <w:left w:val="nil"/>
              <w:bottom w:val="nil"/>
              <w:right w:val="nil"/>
            </w:tcBorders>
            <w:shd w:val="clear" w:color="auto" w:fill="auto"/>
            <w:noWrap/>
            <w:vAlign w:val="bottom"/>
            <w:hideMark/>
          </w:tcPr>
          <w:p w14:paraId="78EB88C0" w14:textId="77777777" w:rsidR="00FA48C7" w:rsidRPr="00FA48C7" w:rsidRDefault="00FA48C7" w:rsidP="00FA48C7">
            <w:pPr>
              <w:spacing w:after="0" w:line="240" w:lineRule="auto"/>
              <w:jc w:val="right"/>
              <w:rPr>
                <w:rFonts w:ascii="Times New Roman" w:eastAsia="Times New Roman" w:hAnsi="Times New Roman" w:cs="Times New Roman"/>
                <w:sz w:val="20"/>
                <w:szCs w:val="20"/>
                <w:lang w:eastAsia="cs-CZ"/>
              </w:rPr>
            </w:pPr>
          </w:p>
        </w:tc>
        <w:tc>
          <w:tcPr>
            <w:tcW w:w="762" w:type="dxa"/>
            <w:tcBorders>
              <w:top w:val="nil"/>
              <w:left w:val="nil"/>
              <w:bottom w:val="nil"/>
              <w:right w:val="nil"/>
            </w:tcBorders>
            <w:shd w:val="clear" w:color="auto" w:fill="auto"/>
            <w:noWrap/>
            <w:vAlign w:val="bottom"/>
            <w:hideMark/>
          </w:tcPr>
          <w:p w14:paraId="7EEA17B2" w14:textId="77777777" w:rsidR="00FA48C7" w:rsidRPr="00FA48C7" w:rsidRDefault="00FA48C7" w:rsidP="00FA48C7">
            <w:pPr>
              <w:spacing w:after="0" w:line="240" w:lineRule="auto"/>
              <w:jc w:val="right"/>
              <w:rPr>
                <w:rFonts w:ascii="Times New Roman" w:eastAsia="Times New Roman" w:hAnsi="Times New Roman" w:cs="Times New Roman"/>
                <w:sz w:val="20"/>
                <w:szCs w:val="20"/>
                <w:lang w:eastAsia="cs-CZ"/>
              </w:rPr>
            </w:pPr>
          </w:p>
        </w:tc>
      </w:tr>
      <w:tr w:rsidR="00FA48C7" w:rsidRPr="00FA48C7" w14:paraId="14D56912" w14:textId="77777777" w:rsidTr="00E07FEA">
        <w:trPr>
          <w:trHeight w:val="120"/>
        </w:trPr>
        <w:tc>
          <w:tcPr>
            <w:tcW w:w="4536" w:type="dxa"/>
            <w:tcBorders>
              <w:top w:val="nil"/>
              <w:left w:val="nil"/>
              <w:bottom w:val="nil"/>
              <w:right w:val="nil"/>
            </w:tcBorders>
            <w:shd w:val="clear" w:color="auto" w:fill="auto"/>
            <w:noWrap/>
            <w:vAlign w:val="bottom"/>
            <w:hideMark/>
          </w:tcPr>
          <w:p w14:paraId="7D00ABBD" w14:textId="77777777" w:rsidR="00FA48C7" w:rsidRPr="00FA48C7" w:rsidRDefault="00FA48C7" w:rsidP="00FA48C7">
            <w:pPr>
              <w:spacing w:after="0" w:line="240" w:lineRule="auto"/>
              <w:rPr>
                <w:rFonts w:ascii="Times New Roman" w:eastAsia="Times New Roman" w:hAnsi="Times New Roman" w:cs="Times New Roman"/>
                <w:sz w:val="20"/>
                <w:szCs w:val="20"/>
                <w:lang w:eastAsia="cs-CZ"/>
              </w:rPr>
            </w:pPr>
          </w:p>
        </w:tc>
        <w:tc>
          <w:tcPr>
            <w:tcW w:w="1560" w:type="dxa"/>
            <w:tcBorders>
              <w:top w:val="nil"/>
              <w:left w:val="nil"/>
              <w:bottom w:val="nil"/>
              <w:right w:val="nil"/>
            </w:tcBorders>
            <w:shd w:val="clear" w:color="auto" w:fill="auto"/>
            <w:noWrap/>
            <w:vAlign w:val="bottom"/>
            <w:hideMark/>
          </w:tcPr>
          <w:p w14:paraId="1DC968E0" w14:textId="77777777" w:rsidR="00FA48C7" w:rsidRPr="00FA48C7" w:rsidRDefault="00FA48C7" w:rsidP="00FA48C7">
            <w:pPr>
              <w:spacing w:after="0" w:line="240" w:lineRule="auto"/>
              <w:rPr>
                <w:rFonts w:ascii="Times New Roman" w:eastAsia="Times New Roman" w:hAnsi="Times New Roman" w:cs="Times New Roman"/>
                <w:sz w:val="20"/>
                <w:szCs w:val="20"/>
                <w:lang w:eastAsia="cs-CZ"/>
              </w:rPr>
            </w:pPr>
          </w:p>
        </w:tc>
        <w:tc>
          <w:tcPr>
            <w:tcW w:w="1150" w:type="dxa"/>
            <w:tcBorders>
              <w:top w:val="nil"/>
              <w:left w:val="nil"/>
              <w:bottom w:val="nil"/>
              <w:right w:val="nil"/>
            </w:tcBorders>
            <w:shd w:val="clear" w:color="auto" w:fill="auto"/>
            <w:noWrap/>
            <w:vAlign w:val="bottom"/>
            <w:hideMark/>
          </w:tcPr>
          <w:p w14:paraId="52C90C8D" w14:textId="77777777" w:rsidR="00FA48C7" w:rsidRPr="00FA48C7" w:rsidRDefault="00FA48C7" w:rsidP="00FA48C7">
            <w:pPr>
              <w:spacing w:after="0" w:line="240" w:lineRule="auto"/>
              <w:rPr>
                <w:rFonts w:ascii="Times New Roman" w:eastAsia="Times New Roman" w:hAnsi="Times New Roman" w:cs="Times New Roman"/>
                <w:sz w:val="20"/>
                <w:szCs w:val="20"/>
                <w:lang w:eastAsia="cs-CZ"/>
              </w:rPr>
            </w:pPr>
          </w:p>
        </w:tc>
        <w:tc>
          <w:tcPr>
            <w:tcW w:w="1860" w:type="dxa"/>
            <w:tcBorders>
              <w:top w:val="nil"/>
              <w:left w:val="nil"/>
              <w:bottom w:val="nil"/>
              <w:right w:val="nil"/>
            </w:tcBorders>
            <w:shd w:val="clear" w:color="auto" w:fill="auto"/>
            <w:noWrap/>
            <w:vAlign w:val="bottom"/>
            <w:hideMark/>
          </w:tcPr>
          <w:p w14:paraId="05F35963" w14:textId="77777777" w:rsidR="00FA48C7" w:rsidRPr="00FA48C7" w:rsidRDefault="00FA48C7" w:rsidP="00FA48C7">
            <w:pPr>
              <w:spacing w:after="0" w:line="240" w:lineRule="auto"/>
              <w:rPr>
                <w:rFonts w:ascii="Times New Roman" w:eastAsia="Times New Roman" w:hAnsi="Times New Roman" w:cs="Times New Roman"/>
                <w:sz w:val="20"/>
                <w:szCs w:val="20"/>
                <w:lang w:eastAsia="cs-CZ"/>
              </w:rPr>
            </w:pPr>
          </w:p>
        </w:tc>
        <w:tc>
          <w:tcPr>
            <w:tcW w:w="1828" w:type="dxa"/>
            <w:tcBorders>
              <w:top w:val="nil"/>
              <w:left w:val="nil"/>
              <w:bottom w:val="nil"/>
              <w:right w:val="nil"/>
            </w:tcBorders>
            <w:shd w:val="clear" w:color="auto" w:fill="auto"/>
            <w:noWrap/>
            <w:vAlign w:val="bottom"/>
            <w:hideMark/>
          </w:tcPr>
          <w:p w14:paraId="63B8EE79" w14:textId="77777777" w:rsidR="00FA48C7" w:rsidRPr="00FA48C7" w:rsidRDefault="00FA48C7" w:rsidP="00FA48C7">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48A18B0C" w14:textId="77777777" w:rsidR="00FA48C7" w:rsidRPr="00FA48C7" w:rsidRDefault="00FA48C7" w:rsidP="00FA48C7">
            <w:pPr>
              <w:spacing w:after="0" w:line="240" w:lineRule="auto"/>
              <w:jc w:val="right"/>
              <w:rPr>
                <w:rFonts w:ascii="Times New Roman" w:eastAsia="Times New Roman" w:hAnsi="Times New Roman" w:cs="Times New Roman"/>
                <w:sz w:val="20"/>
                <w:szCs w:val="20"/>
                <w:lang w:eastAsia="cs-CZ"/>
              </w:rPr>
            </w:pPr>
          </w:p>
        </w:tc>
        <w:tc>
          <w:tcPr>
            <w:tcW w:w="1789" w:type="dxa"/>
            <w:tcBorders>
              <w:top w:val="nil"/>
              <w:left w:val="nil"/>
              <w:bottom w:val="nil"/>
              <w:right w:val="nil"/>
            </w:tcBorders>
            <w:shd w:val="clear" w:color="auto" w:fill="auto"/>
            <w:noWrap/>
            <w:vAlign w:val="bottom"/>
            <w:hideMark/>
          </w:tcPr>
          <w:p w14:paraId="78602532" w14:textId="77777777" w:rsidR="00FA48C7" w:rsidRPr="00FA48C7" w:rsidRDefault="00FA48C7" w:rsidP="00FA48C7">
            <w:pPr>
              <w:spacing w:after="0" w:line="240" w:lineRule="auto"/>
              <w:jc w:val="right"/>
              <w:rPr>
                <w:rFonts w:ascii="Times New Roman" w:eastAsia="Times New Roman" w:hAnsi="Times New Roman" w:cs="Times New Roman"/>
                <w:sz w:val="20"/>
                <w:szCs w:val="20"/>
                <w:lang w:eastAsia="cs-CZ"/>
              </w:rPr>
            </w:pPr>
          </w:p>
        </w:tc>
        <w:tc>
          <w:tcPr>
            <w:tcW w:w="762" w:type="dxa"/>
            <w:tcBorders>
              <w:top w:val="nil"/>
              <w:left w:val="nil"/>
              <w:bottom w:val="nil"/>
              <w:right w:val="nil"/>
            </w:tcBorders>
            <w:shd w:val="clear" w:color="auto" w:fill="auto"/>
            <w:noWrap/>
            <w:vAlign w:val="bottom"/>
            <w:hideMark/>
          </w:tcPr>
          <w:p w14:paraId="1B7FE734" w14:textId="77777777" w:rsidR="00FA48C7" w:rsidRPr="00FA48C7" w:rsidRDefault="00FA48C7" w:rsidP="00FA48C7">
            <w:pPr>
              <w:spacing w:after="0" w:line="240" w:lineRule="auto"/>
              <w:jc w:val="right"/>
              <w:rPr>
                <w:rFonts w:ascii="Times New Roman" w:eastAsia="Times New Roman" w:hAnsi="Times New Roman" w:cs="Times New Roman"/>
                <w:sz w:val="20"/>
                <w:szCs w:val="20"/>
                <w:lang w:eastAsia="cs-CZ"/>
              </w:rPr>
            </w:pPr>
          </w:p>
        </w:tc>
      </w:tr>
      <w:tr w:rsidR="00FA48C7" w:rsidRPr="00FA48C7" w14:paraId="7BB7206C" w14:textId="77777777" w:rsidTr="00E07FEA">
        <w:trPr>
          <w:trHeight w:val="403"/>
        </w:trPr>
        <w:tc>
          <w:tcPr>
            <w:tcW w:w="7246" w:type="dxa"/>
            <w:gridSpan w:val="3"/>
            <w:tcBorders>
              <w:top w:val="nil"/>
              <w:left w:val="nil"/>
              <w:bottom w:val="nil"/>
              <w:right w:val="nil"/>
            </w:tcBorders>
            <w:shd w:val="clear" w:color="auto" w:fill="auto"/>
            <w:noWrap/>
            <w:vAlign w:val="bottom"/>
            <w:hideMark/>
          </w:tcPr>
          <w:p w14:paraId="5A2C8D56" w14:textId="77777777" w:rsidR="00FA48C7" w:rsidRPr="00FA48C7" w:rsidRDefault="00FA48C7" w:rsidP="00FA48C7">
            <w:pPr>
              <w:spacing w:after="0" w:line="240" w:lineRule="auto"/>
              <w:rPr>
                <w:rFonts w:ascii="Calibri" w:eastAsia="Times New Roman" w:hAnsi="Calibri" w:cs="Arial"/>
                <w:b/>
                <w:bCs/>
                <w:sz w:val="28"/>
                <w:szCs w:val="28"/>
                <w:lang w:eastAsia="cs-CZ"/>
              </w:rPr>
            </w:pPr>
            <w:r w:rsidRPr="00FA48C7">
              <w:rPr>
                <w:rFonts w:ascii="Calibri" w:eastAsia="Times New Roman" w:hAnsi="Calibri" w:cs="Arial"/>
                <w:b/>
                <w:bCs/>
                <w:sz w:val="28"/>
                <w:szCs w:val="28"/>
                <w:lang w:eastAsia="cs-CZ"/>
              </w:rPr>
              <w:t>Dluhová služba za úvěry oblastních nemocnic z roku 2008</w:t>
            </w:r>
          </w:p>
        </w:tc>
        <w:tc>
          <w:tcPr>
            <w:tcW w:w="1860" w:type="dxa"/>
            <w:tcBorders>
              <w:top w:val="nil"/>
              <w:left w:val="nil"/>
              <w:bottom w:val="nil"/>
              <w:right w:val="nil"/>
            </w:tcBorders>
            <w:shd w:val="clear" w:color="auto" w:fill="auto"/>
            <w:noWrap/>
            <w:vAlign w:val="bottom"/>
            <w:hideMark/>
          </w:tcPr>
          <w:p w14:paraId="7A37061D" w14:textId="77777777" w:rsidR="00FA48C7" w:rsidRPr="00FA48C7" w:rsidRDefault="00FA48C7" w:rsidP="00FA48C7">
            <w:pPr>
              <w:spacing w:after="0" w:line="240" w:lineRule="auto"/>
              <w:rPr>
                <w:rFonts w:ascii="Calibri" w:eastAsia="Times New Roman" w:hAnsi="Calibri" w:cs="Arial"/>
                <w:b/>
                <w:bCs/>
                <w:sz w:val="28"/>
                <w:szCs w:val="28"/>
                <w:lang w:eastAsia="cs-CZ"/>
              </w:rPr>
            </w:pPr>
          </w:p>
        </w:tc>
        <w:tc>
          <w:tcPr>
            <w:tcW w:w="1828" w:type="dxa"/>
            <w:tcBorders>
              <w:top w:val="nil"/>
              <w:left w:val="nil"/>
              <w:bottom w:val="nil"/>
              <w:right w:val="nil"/>
            </w:tcBorders>
            <w:shd w:val="clear" w:color="auto" w:fill="auto"/>
            <w:noWrap/>
            <w:vAlign w:val="bottom"/>
            <w:hideMark/>
          </w:tcPr>
          <w:p w14:paraId="2BF279A0" w14:textId="77777777" w:rsidR="00FA48C7" w:rsidRPr="00FA48C7" w:rsidRDefault="00FA48C7" w:rsidP="00FA48C7">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1030C8F8" w14:textId="77777777" w:rsidR="00FA48C7" w:rsidRPr="00FA48C7" w:rsidRDefault="00FA48C7" w:rsidP="00FA48C7">
            <w:pPr>
              <w:spacing w:after="0" w:line="240" w:lineRule="auto"/>
              <w:rPr>
                <w:rFonts w:ascii="Times New Roman" w:eastAsia="Times New Roman" w:hAnsi="Times New Roman" w:cs="Times New Roman"/>
                <w:sz w:val="20"/>
                <w:szCs w:val="20"/>
                <w:lang w:eastAsia="cs-CZ"/>
              </w:rPr>
            </w:pPr>
          </w:p>
        </w:tc>
        <w:tc>
          <w:tcPr>
            <w:tcW w:w="1789" w:type="dxa"/>
            <w:tcBorders>
              <w:top w:val="nil"/>
              <w:left w:val="nil"/>
              <w:bottom w:val="nil"/>
              <w:right w:val="nil"/>
            </w:tcBorders>
            <w:shd w:val="clear" w:color="auto" w:fill="auto"/>
            <w:noWrap/>
            <w:vAlign w:val="bottom"/>
            <w:hideMark/>
          </w:tcPr>
          <w:p w14:paraId="3A9A7D67" w14:textId="77777777" w:rsidR="00FA48C7" w:rsidRPr="00FA48C7" w:rsidRDefault="00FA48C7" w:rsidP="00FA48C7">
            <w:pPr>
              <w:spacing w:after="0" w:line="240" w:lineRule="auto"/>
              <w:rPr>
                <w:rFonts w:ascii="Times New Roman" w:eastAsia="Times New Roman" w:hAnsi="Times New Roman" w:cs="Times New Roman"/>
                <w:sz w:val="20"/>
                <w:szCs w:val="20"/>
                <w:lang w:eastAsia="cs-CZ"/>
              </w:rPr>
            </w:pPr>
          </w:p>
        </w:tc>
        <w:tc>
          <w:tcPr>
            <w:tcW w:w="762" w:type="dxa"/>
            <w:tcBorders>
              <w:top w:val="nil"/>
              <w:left w:val="nil"/>
              <w:bottom w:val="nil"/>
              <w:right w:val="nil"/>
            </w:tcBorders>
            <w:shd w:val="clear" w:color="auto" w:fill="auto"/>
            <w:noWrap/>
            <w:vAlign w:val="bottom"/>
            <w:hideMark/>
          </w:tcPr>
          <w:p w14:paraId="53C9B1CE" w14:textId="77777777" w:rsidR="00FA48C7" w:rsidRPr="00FA48C7" w:rsidRDefault="00FA48C7" w:rsidP="00FA48C7">
            <w:pPr>
              <w:spacing w:after="0" w:line="240" w:lineRule="auto"/>
              <w:rPr>
                <w:rFonts w:ascii="Times New Roman" w:eastAsia="Times New Roman" w:hAnsi="Times New Roman" w:cs="Times New Roman"/>
                <w:sz w:val="20"/>
                <w:szCs w:val="20"/>
                <w:lang w:eastAsia="cs-CZ"/>
              </w:rPr>
            </w:pPr>
          </w:p>
        </w:tc>
      </w:tr>
      <w:tr w:rsidR="00FA48C7" w:rsidRPr="00FA48C7" w14:paraId="246A2A9C" w14:textId="77777777" w:rsidTr="00E07FEA">
        <w:trPr>
          <w:trHeight w:val="160"/>
        </w:trPr>
        <w:tc>
          <w:tcPr>
            <w:tcW w:w="4536" w:type="dxa"/>
            <w:tcBorders>
              <w:top w:val="nil"/>
              <w:left w:val="nil"/>
              <w:bottom w:val="nil"/>
              <w:right w:val="nil"/>
            </w:tcBorders>
            <w:shd w:val="clear" w:color="auto" w:fill="auto"/>
            <w:noWrap/>
            <w:vAlign w:val="bottom"/>
            <w:hideMark/>
          </w:tcPr>
          <w:p w14:paraId="3B63C15A" w14:textId="77777777" w:rsidR="00FA48C7" w:rsidRPr="00FA48C7" w:rsidRDefault="00FA48C7" w:rsidP="00FA48C7">
            <w:pPr>
              <w:spacing w:after="0" w:line="240" w:lineRule="auto"/>
              <w:rPr>
                <w:rFonts w:ascii="Times New Roman" w:eastAsia="Times New Roman" w:hAnsi="Times New Roman" w:cs="Times New Roman"/>
                <w:sz w:val="20"/>
                <w:szCs w:val="20"/>
                <w:lang w:eastAsia="cs-CZ"/>
              </w:rPr>
            </w:pPr>
          </w:p>
        </w:tc>
        <w:tc>
          <w:tcPr>
            <w:tcW w:w="1560" w:type="dxa"/>
            <w:tcBorders>
              <w:top w:val="nil"/>
              <w:left w:val="nil"/>
              <w:bottom w:val="nil"/>
              <w:right w:val="nil"/>
            </w:tcBorders>
            <w:shd w:val="clear" w:color="auto" w:fill="auto"/>
            <w:noWrap/>
            <w:vAlign w:val="bottom"/>
            <w:hideMark/>
          </w:tcPr>
          <w:p w14:paraId="7CFD65BE" w14:textId="77777777" w:rsidR="00FA48C7" w:rsidRPr="00FA48C7" w:rsidRDefault="00FA48C7" w:rsidP="00FA48C7">
            <w:pPr>
              <w:spacing w:after="0" w:line="240" w:lineRule="auto"/>
              <w:rPr>
                <w:rFonts w:ascii="Times New Roman" w:eastAsia="Times New Roman" w:hAnsi="Times New Roman" w:cs="Times New Roman"/>
                <w:sz w:val="20"/>
                <w:szCs w:val="20"/>
                <w:lang w:eastAsia="cs-CZ"/>
              </w:rPr>
            </w:pPr>
          </w:p>
        </w:tc>
        <w:tc>
          <w:tcPr>
            <w:tcW w:w="1150" w:type="dxa"/>
            <w:tcBorders>
              <w:top w:val="nil"/>
              <w:left w:val="nil"/>
              <w:bottom w:val="nil"/>
              <w:right w:val="nil"/>
            </w:tcBorders>
            <w:shd w:val="clear" w:color="auto" w:fill="auto"/>
            <w:noWrap/>
            <w:vAlign w:val="bottom"/>
            <w:hideMark/>
          </w:tcPr>
          <w:p w14:paraId="2035383D" w14:textId="77777777" w:rsidR="00FA48C7" w:rsidRPr="00FA48C7" w:rsidRDefault="00FA48C7" w:rsidP="00FA48C7">
            <w:pPr>
              <w:spacing w:after="0" w:line="240" w:lineRule="auto"/>
              <w:rPr>
                <w:rFonts w:ascii="Times New Roman" w:eastAsia="Times New Roman" w:hAnsi="Times New Roman" w:cs="Times New Roman"/>
                <w:sz w:val="20"/>
                <w:szCs w:val="20"/>
                <w:lang w:eastAsia="cs-CZ"/>
              </w:rPr>
            </w:pPr>
          </w:p>
        </w:tc>
        <w:tc>
          <w:tcPr>
            <w:tcW w:w="1860" w:type="dxa"/>
            <w:tcBorders>
              <w:top w:val="nil"/>
              <w:left w:val="nil"/>
              <w:bottom w:val="nil"/>
              <w:right w:val="nil"/>
            </w:tcBorders>
            <w:shd w:val="clear" w:color="auto" w:fill="auto"/>
            <w:noWrap/>
            <w:vAlign w:val="bottom"/>
            <w:hideMark/>
          </w:tcPr>
          <w:p w14:paraId="34BB4CB6" w14:textId="77777777" w:rsidR="00FA48C7" w:rsidRPr="00FA48C7" w:rsidRDefault="00FA48C7" w:rsidP="00FA48C7">
            <w:pPr>
              <w:spacing w:after="0" w:line="240" w:lineRule="auto"/>
              <w:rPr>
                <w:rFonts w:ascii="Times New Roman" w:eastAsia="Times New Roman" w:hAnsi="Times New Roman" w:cs="Times New Roman"/>
                <w:sz w:val="20"/>
                <w:szCs w:val="20"/>
                <w:lang w:eastAsia="cs-CZ"/>
              </w:rPr>
            </w:pPr>
          </w:p>
        </w:tc>
        <w:tc>
          <w:tcPr>
            <w:tcW w:w="1828" w:type="dxa"/>
            <w:tcBorders>
              <w:top w:val="nil"/>
              <w:left w:val="nil"/>
              <w:bottom w:val="nil"/>
              <w:right w:val="nil"/>
            </w:tcBorders>
            <w:shd w:val="clear" w:color="auto" w:fill="auto"/>
            <w:noWrap/>
            <w:vAlign w:val="bottom"/>
            <w:hideMark/>
          </w:tcPr>
          <w:p w14:paraId="107A9FB6" w14:textId="77777777" w:rsidR="00FA48C7" w:rsidRPr="00FA48C7" w:rsidRDefault="00FA48C7" w:rsidP="00FA48C7">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4B4DC86E" w14:textId="77777777" w:rsidR="00FA48C7" w:rsidRPr="00FA48C7" w:rsidRDefault="00FA48C7" w:rsidP="00FA48C7">
            <w:pPr>
              <w:spacing w:after="0" w:line="240" w:lineRule="auto"/>
              <w:jc w:val="right"/>
              <w:rPr>
                <w:rFonts w:ascii="Times New Roman" w:eastAsia="Times New Roman" w:hAnsi="Times New Roman" w:cs="Times New Roman"/>
                <w:sz w:val="20"/>
                <w:szCs w:val="20"/>
                <w:lang w:eastAsia="cs-CZ"/>
              </w:rPr>
            </w:pPr>
          </w:p>
        </w:tc>
        <w:tc>
          <w:tcPr>
            <w:tcW w:w="1789" w:type="dxa"/>
            <w:tcBorders>
              <w:top w:val="nil"/>
              <w:left w:val="nil"/>
              <w:bottom w:val="nil"/>
              <w:right w:val="nil"/>
            </w:tcBorders>
            <w:shd w:val="clear" w:color="auto" w:fill="auto"/>
            <w:noWrap/>
            <w:vAlign w:val="bottom"/>
            <w:hideMark/>
          </w:tcPr>
          <w:p w14:paraId="020F1076" w14:textId="77777777" w:rsidR="00FA48C7" w:rsidRPr="00FA48C7" w:rsidRDefault="00FA48C7" w:rsidP="00FA48C7">
            <w:pPr>
              <w:spacing w:after="0" w:line="240" w:lineRule="auto"/>
              <w:jc w:val="right"/>
              <w:rPr>
                <w:rFonts w:ascii="Times New Roman" w:eastAsia="Times New Roman" w:hAnsi="Times New Roman" w:cs="Times New Roman"/>
                <w:sz w:val="20"/>
                <w:szCs w:val="20"/>
                <w:lang w:eastAsia="cs-CZ"/>
              </w:rPr>
            </w:pPr>
          </w:p>
        </w:tc>
        <w:tc>
          <w:tcPr>
            <w:tcW w:w="762" w:type="dxa"/>
            <w:tcBorders>
              <w:top w:val="nil"/>
              <w:left w:val="nil"/>
              <w:bottom w:val="nil"/>
              <w:right w:val="nil"/>
            </w:tcBorders>
            <w:shd w:val="clear" w:color="auto" w:fill="auto"/>
            <w:noWrap/>
            <w:vAlign w:val="bottom"/>
            <w:hideMark/>
          </w:tcPr>
          <w:p w14:paraId="16F732F2" w14:textId="77777777" w:rsidR="00FA48C7" w:rsidRPr="00FA48C7" w:rsidRDefault="00FA48C7" w:rsidP="00FA48C7">
            <w:pPr>
              <w:spacing w:after="0" w:line="240" w:lineRule="auto"/>
              <w:jc w:val="right"/>
              <w:rPr>
                <w:rFonts w:ascii="Calibri" w:eastAsia="Times New Roman" w:hAnsi="Calibri" w:cs="Arial"/>
                <w:lang w:eastAsia="cs-CZ"/>
              </w:rPr>
            </w:pPr>
            <w:r w:rsidRPr="00FA48C7">
              <w:rPr>
                <w:rFonts w:ascii="Calibri" w:eastAsia="Times New Roman" w:hAnsi="Calibri" w:cs="Arial"/>
                <w:lang w:eastAsia="cs-CZ"/>
              </w:rPr>
              <w:t>v Kč</w:t>
            </w:r>
          </w:p>
        </w:tc>
      </w:tr>
      <w:tr w:rsidR="00FA48C7" w:rsidRPr="00FA48C7" w14:paraId="33FFFC7C" w14:textId="77777777" w:rsidTr="00E07FEA">
        <w:trPr>
          <w:trHeight w:val="590"/>
        </w:trPr>
        <w:tc>
          <w:tcPr>
            <w:tcW w:w="4536" w:type="dxa"/>
            <w:tcBorders>
              <w:top w:val="single" w:sz="8" w:space="0" w:color="auto"/>
              <w:left w:val="single" w:sz="8" w:space="0" w:color="auto"/>
              <w:bottom w:val="single" w:sz="8" w:space="0" w:color="auto"/>
              <w:right w:val="single" w:sz="8" w:space="0" w:color="auto"/>
            </w:tcBorders>
            <w:shd w:val="clear" w:color="000000" w:fill="CCFFFF"/>
            <w:noWrap/>
            <w:vAlign w:val="center"/>
            <w:hideMark/>
          </w:tcPr>
          <w:p w14:paraId="17F17219" w14:textId="77777777" w:rsidR="00FA48C7" w:rsidRPr="00FA48C7" w:rsidRDefault="00FA48C7" w:rsidP="00FA48C7">
            <w:pPr>
              <w:spacing w:after="0" w:line="240" w:lineRule="auto"/>
              <w:jc w:val="center"/>
              <w:rPr>
                <w:rFonts w:ascii="Calibri" w:eastAsia="Times New Roman" w:hAnsi="Calibri" w:cs="Arial"/>
                <w:b/>
                <w:bCs/>
                <w:sz w:val="24"/>
                <w:szCs w:val="24"/>
                <w:lang w:eastAsia="cs-CZ"/>
              </w:rPr>
            </w:pPr>
            <w:r w:rsidRPr="00FA48C7">
              <w:rPr>
                <w:rFonts w:ascii="Calibri" w:eastAsia="Times New Roman" w:hAnsi="Calibri" w:cs="Arial"/>
                <w:b/>
                <w:bCs/>
                <w:sz w:val="24"/>
                <w:szCs w:val="24"/>
                <w:lang w:eastAsia="cs-CZ"/>
              </w:rPr>
              <w:t>Ukazatel</w:t>
            </w:r>
          </w:p>
        </w:tc>
        <w:tc>
          <w:tcPr>
            <w:tcW w:w="1560" w:type="dxa"/>
            <w:tcBorders>
              <w:top w:val="single" w:sz="8" w:space="0" w:color="auto"/>
              <w:left w:val="nil"/>
              <w:bottom w:val="single" w:sz="8" w:space="0" w:color="auto"/>
              <w:right w:val="nil"/>
            </w:tcBorders>
            <w:shd w:val="clear" w:color="000000" w:fill="CCFFFF"/>
            <w:vAlign w:val="center"/>
            <w:hideMark/>
          </w:tcPr>
          <w:p w14:paraId="24B2F13D" w14:textId="77777777" w:rsidR="00FA48C7" w:rsidRPr="00FA48C7" w:rsidRDefault="00FA48C7" w:rsidP="00FA48C7">
            <w:pPr>
              <w:spacing w:after="0" w:line="240" w:lineRule="auto"/>
              <w:jc w:val="center"/>
              <w:rPr>
                <w:rFonts w:ascii="Calibri" w:eastAsia="Times New Roman" w:hAnsi="Calibri" w:cs="Arial"/>
                <w:b/>
                <w:bCs/>
                <w:lang w:eastAsia="cs-CZ"/>
              </w:rPr>
            </w:pPr>
            <w:r w:rsidRPr="00FA48C7">
              <w:rPr>
                <w:rFonts w:ascii="Calibri" w:eastAsia="Times New Roman" w:hAnsi="Calibri" w:cs="Arial"/>
                <w:b/>
                <w:bCs/>
                <w:lang w:eastAsia="cs-CZ"/>
              </w:rPr>
              <w:t>Limit úvěru</w:t>
            </w:r>
          </w:p>
        </w:tc>
        <w:tc>
          <w:tcPr>
            <w:tcW w:w="1150" w:type="dxa"/>
            <w:tcBorders>
              <w:top w:val="single" w:sz="8" w:space="0" w:color="auto"/>
              <w:left w:val="single" w:sz="8" w:space="0" w:color="auto"/>
              <w:bottom w:val="single" w:sz="8" w:space="0" w:color="auto"/>
              <w:right w:val="nil"/>
            </w:tcBorders>
            <w:shd w:val="clear" w:color="000000" w:fill="CCFFFF"/>
            <w:vAlign w:val="center"/>
            <w:hideMark/>
          </w:tcPr>
          <w:p w14:paraId="7FDD87EC" w14:textId="77777777" w:rsidR="00FA48C7" w:rsidRPr="00FA48C7" w:rsidRDefault="00FA48C7" w:rsidP="00FA48C7">
            <w:pPr>
              <w:spacing w:after="0" w:line="240" w:lineRule="auto"/>
              <w:jc w:val="center"/>
              <w:rPr>
                <w:rFonts w:ascii="Calibri" w:eastAsia="Times New Roman" w:hAnsi="Calibri" w:cs="Arial"/>
                <w:b/>
                <w:bCs/>
                <w:lang w:eastAsia="cs-CZ"/>
              </w:rPr>
            </w:pPr>
            <w:r w:rsidRPr="00FA48C7">
              <w:rPr>
                <w:rFonts w:ascii="Calibri" w:eastAsia="Times New Roman" w:hAnsi="Calibri" w:cs="Arial"/>
                <w:b/>
                <w:bCs/>
                <w:lang w:eastAsia="cs-CZ"/>
              </w:rPr>
              <w:t>Konečná splatnost</w:t>
            </w:r>
          </w:p>
        </w:tc>
        <w:tc>
          <w:tcPr>
            <w:tcW w:w="1860" w:type="dxa"/>
            <w:tcBorders>
              <w:top w:val="single" w:sz="8" w:space="0" w:color="auto"/>
              <w:left w:val="single" w:sz="8" w:space="0" w:color="auto"/>
              <w:bottom w:val="single" w:sz="8" w:space="0" w:color="auto"/>
              <w:right w:val="nil"/>
            </w:tcBorders>
            <w:shd w:val="clear" w:color="000000" w:fill="CCFFFF"/>
            <w:vAlign w:val="center"/>
            <w:hideMark/>
          </w:tcPr>
          <w:p w14:paraId="70B475F9" w14:textId="77777777" w:rsidR="00FA48C7" w:rsidRPr="00FA48C7" w:rsidRDefault="00FA48C7" w:rsidP="00FA48C7">
            <w:pPr>
              <w:spacing w:after="0" w:line="240" w:lineRule="auto"/>
              <w:jc w:val="center"/>
              <w:rPr>
                <w:rFonts w:ascii="Calibri" w:eastAsia="Times New Roman" w:hAnsi="Calibri" w:cs="Arial"/>
                <w:b/>
                <w:bCs/>
                <w:lang w:eastAsia="cs-CZ"/>
              </w:rPr>
            </w:pPr>
            <w:r w:rsidRPr="00FA48C7">
              <w:rPr>
                <w:rFonts w:ascii="Calibri" w:eastAsia="Times New Roman" w:hAnsi="Calibri" w:cs="Arial"/>
                <w:b/>
                <w:bCs/>
                <w:lang w:eastAsia="cs-CZ"/>
              </w:rPr>
              <w:t>Zbývá uhradit</w:t>
            </w:r>
          </w:p>
        </w:tc>
        <w:tc>
          <w:tcPr>
            <w:tcW w:w="1828" w:type="dxa"/>
            <w:tcBorders>
              <w:top w:val="single" w:sz="8" w:space="0" w:color="auto"/>
              <w:left w:val="single" w:sz="8" w:space="0" w:color="auto"/>
              <w:bottom w:val="single" w:sz="8" w:space="0" w:color="auto"/>
              <w:right w:val="single" w:sz="4" w:space="0" w:color="auto"/>
            </w:tcBorders>
            <w:shd w:val="clear" w:color="000000" w:fill="CCFFFF"/>
            <w:vAlign w:val="center"/>
            <w:hideMark/>
          </w:tcPr>
          <w:p w14:paraId="561EBA6E" w14:textId="77777777" w:rsidR="00FA48C7" w:rsidRPr="00FA48C7" w:rsidRDefault="00FA48C7" w:rsidP="00FA48C7">
            <w:pPr>
              <w:spacing w:after="0" w:line="240" w:lineRule="auto"/>
              <w:jc w:val="center"/>
              <w:rPr>
                <w:rFonts w:ascii="Calibri" w:eastAsia="Times New Roman" w:hAnsi="Calibri" w:cs="Arial"/>
                <w:b/>
                <w:bCs/>
                <w:lang w:eastAsia="cs-CZ"/>
              </w:rPr>
            </w:pPr>
            <w:r w:rsidRPr="00FA48C7">
              <w:rPr>
                <w:rFonts w:ascii="Calibri" w:eastAsia="Times New Roman" w:hAnsi="Calibri" w:cs="Arial"/>
                <w:b/>
                <w:bCs/>
                <w:lang w:eastAsia="cs-CZ"/>
              </w:rPr>
              <w:t xml:space="preserve">Schválený rozpočet </w:t>
            </w:r>
          </w:p>
        </w:tc>
        <w:tc>
          <w:tcPr>
            <w:tcW w:w="1701" w:type="dxa"/>
            <w:tcBorders>
              <w:top w:val="single" w:sz="8" w:space="0" w:color="auto"/>
              <w:left w:val="nil"/>
              <w:bottom w:val="single" w:sz="8" w:space="0" w:color="auto"/>
              <w:right w:val="single" w:sz="4" w:space="0" w:color="auto"/>
            </w:tcBorders>
            <w:shd w:val="clear" w:color="000000" w:fill="CCFFFF"/>
            <w:vAlign w:val="center"/>
            <w:hideMark/>
          </w:tcPr>
          <w:p w14:paraId="73E2FA3B" w14:textId="77777777" w:rsidR="00FA48C7" w:rsidRPr="00FA48C7" w:rsidRDefault="00FA48C7" w:rsidP="00FA48C7">
            <w:pPr>
              <w:spacing w:after="0" w:line="240" w:lineRule="auto"/>
              <w:jc w:val="center"/>
              <w:rPr>
                <w:rFonts w:ascii="Calibri" w:eastAsia="Times New Roman" w:hAnsi="Calibri" w:cs="Arial"/>
                <w:b/>
                <w:bCs/>
                <w:lang w:eastAsia="cs-CZ"/>
              </w:rPr>
            </w:pPr>
            <w:r w:rsidRPr="00FA48C7">
              <w:rPr>
                <w:rFonts w:ascii="Calibri" w:eastAsia="Times New Roman" w:hAnsi="Calibri" w:cs="Arial"/>
                <w:b/>
                <w:bCs/>
                <w:lang w:eastAsia="cs-CZ"/>
              </w:rPr>
              <w:t xml:space="preserve">Upravený rozpočet </w:t>
            </w:r>
          </w:p>
        </w:tc>
        <w:tc>
          <w:tcPr>
            <w:tcW w:w="1789" w:type="dxa"/>
            <w:tcBorders>
              <w:top w:val="single" w:sz="8" w:space="0" w:color="auto"/>
              <w:left w:val="nil"/>
              <w:bottom w:val="single" w:sz="8" w:space="0" w:color="auto"/>
              <w:right w:val="nil"/>
            </w:tcBorders>
            <w:shd w:val="clear" w:color="000000" w:fill="CCFFFF"/>
            <w:vAlign w:val="center"/>
            <w:hideMark/>
          </w:tcPr>
          <w:p w14:paraId="65A69554" w14:textId="77777777" w:rsidR="00FA48C7" w:rsidRPr="00FA48C7" w:rsidRDefault="00FA48C7" w:rsidP="00FA48C7">
            <w:pPr>
              <w:spacing w:after="0" w:line="240" w:lineRule="auto"/>
              <w:jc w:val="center"/>
              <w:rPr>
                <w:rFonts w:ascii="Calibri" w:eastAsia="Times New Roman" w:hAnsi="Calibri" w:cs="Arial"/>
                <w:b/>
                <w:bCs/>
                <w:lang w:eastAsia="cs-CZ"/>
              </w:rPr>
            </w:pPr>
            <w:r w:rsidRPr="00FA48C7">
              <w:rPr>
                <w:rFonts w:ascii="Calibri" w:eastAsia="Times New Roman" w:hAnsi="Calibri" w:cs="Arial"/>
                <w:b/>
                <w:bCs/>
                <w:lang w:eastAsia="cs-CZ"/>
              </w:rPr>
              <w:t>Skutečnost</w:t>
            </w:r>
          </w:p>
        </w:tc>
        <w:tc>
          <w:tcPr>
            <w:tcW w:w="762" w:type="dxa"/>
            <w:tcBorders>
              <w:top w:val="single" w:sz="8" w:space="0" w:color="auto"/>
              <w:left w:val="single" w:sz="4" w:space="0" w:color="auto"/>
              <w:bottom w:val="single" w:sz="8" w:space="0" w:color="auto"/>
              <w:right w:val="single" w:sz="8" w:space="0" w:color="auto"/>
            </w:tcBorders>
            <w:shd w:val="clear" w:color="000000" w:fill="CCFFFF"/>
            <w:vAlign w:val="center"/>
            <w:hideMark/>
          </w:tcPr>
          <w:p w14:paraId="42BBA6EF" w14:textId="77777777" w:rsidR="00FA48C7" w:rsidRPr="00FA48C7" w:rsidRDefault="00FA48C7" w:rsidP="00FA48C7">
            <w:pPr>
              <w:spacing w:after="0" w:line="240" w:lineRule="auto"/>
              <w:jc w:val="center"/>
              <w:rPr>
                <w:rFonts w:ascii="Calibri" w:eastAsia="Times New Roman" w:hAnsi="Calibri" w:cs="Arial"/>
                <w:b/>
                <w:bCs/>
                <w:sz w:val="24"/>
                <w:szCs w:val="24"/>
                <w:lang w:eastAsia="cs-CZ"/>
              </w:rPr>
            </w:pPr>
            <w:r w:rsidRPr="00FA48C7">
              <w:rPr>
                <w:rFonts w:ascii="Calibri" w:eastAsia="Times New Roman" w:hAnsi="Calibri" w:cs="Arial"/>
                <w:b/>
                <w:bCs/>
                <w:sz w:val="24"/>
                <w:szCs w:val="24"/>
                <w:lang w:eastAsia="cs-CZ"/>
              </w:rPr>
              <w:t>% plnění</w:t>
            </w:r>
          </w:p>
        </w:tc>
      </w:tr>
      <w:tr w:rsidR="00FA48C7" w:rsidRPr="00FA48C7" w14:paraId="03BDAED7" w14:textId="77777777" w:rsidTr="00E07FEA">
        <w:trPr>
          <w:trHeight w:val="1485"/>
        </w:trPr>
        <w:tc>
          <w:tcPr>
            <w:tcW w:w="4536" w:type="dxa"/>
            <w:tcBorders>
              <w:top w:val="nil"/>
              <w:left w:val="single" w:sz="8" w:space="0" w:color="auto"/>
              <w:bottom w:val="single" w:sz="4" w:space="0" w:color="auto"/>
              <w:right w:val="nil"/>
            </w:tcBorders>
            <w:shd w:val="clear" w:color="auto" w:fill="auto"/>
            <w:vAlign w:val="center"/>
            <w:hideMark/>
          </w:tcPr>
          <w:p w14:paraId="7E85FCD5" w14:textId="77777777" w:rsidR="00FA48C7" w:rsidRPr="00FA48C7" w:rsidRDefault="00FA48C7" w:rsidP="00FA48C7">
            <w:pPr>
              <w:spacing w:after="0" w:line="240" w:lineRule="auto"/>
              <w:rPr>
                <w:rFonts w:ascii="Calibri" w:eastAsia="Times New Roman" w:hAnsi="Calibri" w:cs="Arial"/>
                <w:lang w:eastAsia="cs-CZ"/>
              </w:rPr>
            </w:pPr>
            <w:r w:rsidRPr="00FA48C7">
              <w:rPr>
                <w:rFonts w:ascii="Calibri" w:eastAsia="Times New Roman" w:hAnsi="Calibri" w:cs="Arial"/>
                <w:b/>
                <w:bCs/>
                <w:lang w:eastAsia="cs-CZ"/>
              </w:rPr>
              <w:t xml:space="preserve">Oblastní nemocnice Příbram, a.s. </w:t>
            </w:r>
            <w:r w:rsidRPr="00FA48C7">
              <w:rPr>
                <w:rFonts w:ascii="Calibri" w:eastAsia="Times New Roman" w:hAnsi="Calibri" w:cs="Arial"/>
                <w:lang w:eastAsia="cs-CZ"/>
              </w:rPr>
              <w:t>(výstavba dvou nových budov - objektů C s příjmovým oddělením, oddělením akutní medicíny, oddělením sterilizace a operačním traktem a F s ústavní lékárnou, transfúzní stanicí a onkologickým stacionářem a jejich vybavení nemocničním zařízením v prostorách nemocnice)</w:t>
            </w:r>
          </w:p>
        </w:tc>
        <w:tc>
          <w:tcPr>
            <w:tcW w:w="1560" w:type="dxa"/>
            <w:tcBorders>
              <w:top w:val="nil"/>
              <w:left w:val="single" w:sz="8" w:space="0" w:color="auto"/>
              <w:bottom w:val="single" w:sz="4" w:space="0" w:color="auto"/>
              <w:right w:val="nil"/>
            </w:tcBorders>
            <w:shd w:val="clear" w:color="auto" w:fill="auto"/>
            <w:noWrap/>
            <w:vAlign w:val="center"/>
            <w:hideMark/>
          </w:tcPr>
          <w:p w14:paraId="754164C5" w14:textId="77777777" w:rsidR="00FA48C7" w:rsidRPr="00FA48C7" w:rsidRDefault="00FA48C7" w:rsidP="00FA48C7">
            <w:pPr>
              <w:spacing w:after="0" w:line="240" w:lineRule="auto"/>
              <w:jc w:val="right"/>
              <w:rPr>
                <w:rFonts w:ascii="Calibri" w:eastAsia="Times New Roman" w:hAnsi="Calibri" w:cs="Arial"/>
                <w:lang w:eastAsia="cs-CZ"/>
              </w:rPr>
            </w:pPr>
            <w:r w:rsidRPr="00FA48C7">
              <w:rPr>
                <w:rFonts w:ascii="Calibri" w:eastAsia="Times New Roman" w:hAnsi="Calibri" w:cs="Arial"/>
                <w:lang w:eastAsia="cs-CZ"/>
              </w:rPr>
              <w:t>685 000 000</w:t>
            </w:r>
          </w:p>
        </w:tc>
        <w:tc>
          <w:tcPr>
            <w:tcW w:w="1150" w:type="dxa"/>
            <w:tcBorders>
              <w:top w:val="nil"/>
              <w:left w:val="single" w:sz="8" w:space="0" w:color="auto"/>
              <w:bottom w:val="single" w:sz="4" w:space="0" w:color="auto"/>
              <w:right w:val="nil"/>
            </w:tcBorders>
            <w:shd w:val="clear" w:color="auto" w:fill="auto"/>
            <w:noWrap/>
            <w:vAlign w:val="center"/>
            <w:hideMark/>
          </w:tcPr>
          <w:p w14:paraId="68C3E142" w14:textId="77777777" w:rsidR="00FA48C7" w:rsidRPr="00FA48C7" w:rsidRDefault="00FA48C7" w:rsidP="00FA48C7">
            <w:pPr>
              <w:spacing w:after="0" w:line="240" w:lineRule="auto"/>
              <w:jc w:val="right"/>
              <w:rPr>
                <w:rFonts w:ascii="Calibri" w:eastAsia="Times New Roman" w:hAnsi="Calibri" w:cs="Arial"/>
                <w:lang w:eastAsia="cs-CZ"/>
              </w:rPr>
            </w:pPr>
            <w:r w:rsidRPr="00FA48C7">
              <w:rPr>
                <w:rFonts w:ascii="Calibri" w:eastAsia="Times New Roman" w:hAnsi="Calibri" w:cs="Arial"/>
                <w:lang w:eastAsia="cs-CZ"/>
              </w:rPr>
              <w:t>15.6.2025</w:t>
            </w:r>
          </w:p>
        </w:tc>
        <w:tc>
          <w:tcPr>
            <w:tcW w:w="1860" w:type="dxa"/>
            <w:tcBorders>
              <w:top w:val="nil"/>
              <w:left w:val="single" w:sz="8" w:space="0" w:color="auto"/>
              <w:bottom w:val="single" w:sz="4" w:space="0" w:color="auto"/>
              <w:right w:val="single" w:sz="8" w:space="0" w:color="auto"/>
            </w:tcBorders>
            <w:shd w:val="clear" w:color="auto" w:fill="auto"/>
            <w:noWrap/>
            <w:vAlign w:val="center"/>
            <w:hideMark/>
          </w:tcPr>
          <w:p w14:paraId="3DA59F62" w14:textId="77777777" w:rsidR="00FA48C7" w:rsidRPr="00FA48C7" w:rsidRDefault="00FA48C7" w:rsidP="00FA48C7">
            <w:pPr>
              <w:spacing w:after="0" w:line="240" w:lineRule="auto"/>
              <w:jc w:val="right"/>
              <w:rPr>
                <w:rFonts w:ascii="Calibri" w:eastAsia="Times New Roman" w:hAnsi="Calibri" w:cs="Arial"/>
                <w:lang w:eastAsia="cs-CZ"/>
              </w:rPr>
            </w:pPr>
            <w:r w:rsidRPr="00FA48C7">
              <w:rPr>
                <w:rFonts w:ascii="Calibri" w:eastAsia="Times New Roman" w:hAnsi="Calibri" w:cs="Arial"/>
                <w:lang w:eastAsia="cs-CZ"/>
              </w:rPr>
              <w:t>222 383 121,13</w:t>
            </w:r>
          </w:p>
        </w:tc>
        <w:tc>
          <w:tcPr>
            <w:tcW w:w="1828" w:type="dxa"/>
            <w:tcBorders>
              <w:top w:val="nil"/>
              <w:left w:val="nil"/>
              <w:bottom w:val="single" w:sz="4" w:space="0" w:color="auto"/>
              <w:right w:val="single" w:sz="4" w:space="0" w:color="auto"/>
            </w:tcBorders>
            <w:shd w:val="clear" w:color="auto" w:fill="auto"/>
            <w:noWrap/>
            <w:vAlign w:val="center"/>
            <w:hideMark/>
          </w:tcPr>
          <w:p w14:paraId="15E0367D" w14:textId="77777777" w:rsidR="00FA48C7" w:rsidRPr="00FA48C7" w:rsidRDefault="00FA48C7" w:rsidP="00FA48C7">
            <w:pPr>
              <w:spacing w:after="0" w:line="240" w:lineRule="auto"/>
              <w:jc w:val="right"/>
              <w:rPr>
                <w:rFonts w:ascii="Calibri" w:eastAsia="Times New Roman" w:hAnsi="Calibri" w:cs="Arial"/>
                <w:lang w:eastAsia="cs-CZ"/>
              </w:rPr>
            </w:pPr>
            <w:r w:rsidRPr="00FA48C7">
              <w:rPr>
                <w:rFonts w:ascii="Calibri" w:eastAsia="Times New Roman" w:hAnsi="Calibri" w:cs="Arial"/>
                <w:lang w:eastAsia="cs-CZ"/>
              </w:rPr>
              <w:t>72 370 000</w:t>
            </w:r>
          </w:p>
        </w:tc>
        <w:tc>
          <w:tcPr>
            <w:tcW w:w="1701" w:type="dxa"/>
            <w:tcBorders>
              <w:top w:val="nil"/>
              <w:left w:val="nil"/>
              <w:bottom w:val="single" w:sz="4" w:space="0" w:color="auto"/>
              <w:right w:val="single" w:sz="4" w:space="0" w:color="auto"/>
            </w:tcBorders>
            <w:shd w:val="clear" w:color="000000" w:fill="FFFFFF"/>
            <w:noWrap/>
            <w:vAlign w:val="center"/>
            <w:hideMark/>
          </w:tcPr>
          <w:p w14:paraId="5597229D" w14:textId="77777777" w:rsidR="00FA48C7" w:rsidRPr="00FA48C7" w:rsidRDefault="00FA48C7" w:rsidP="00FA48C7">
            <w:pPr>
              <w:spacing w:after="0" w:line="240" w:lineRule="auto"/>
              <w:jc w:val="right"/>
              <w:rPr>
                <w:rFonts w:ascii="Calibri" w:eastAsia="Times New Roman" w:hAnsi="Calibri" w:cs="Arial"/>
                <w:lang w:eastAsia="cs-CZ"/>
              </w:rPr>
            </w:pPr>
            <w:r w:rsidRPr="00FA48C7">
              <w:rPr>
                <w:rFonts w:ascii="Calibri" w:eastAsia="Times New Roman" w:hAnsi="Calibri" w:cs="Arial"/>
                <w:lang w:eastAsia="cs-CZ"/>
              </w:rPr>
              <w:t>72 370 000,00</w:t>
            </w:r>
          </w:p>
        </w:tc>
        <w:tc>
          <w:tcPr>
            <w:tcW w:w="1789" w:type="dxa"/>
            <w:tcBorders>
              <w:top w:val="nil"/>
              <w:left w:val="nil"/>
              <w:bottom w:val="single" w:sz="4" w:space="0" w:color="auto"/>
              <w:right w:val="nil"/>
            </w:tcBorders>
            <w:shd w:val="clear" w:color="000000" w:fill="FFFFFF"/>
            <w:noWrap/>
            <w:vAlign w:val="center"/>
            <w:hideMark/>
          </w:tcPr>
          <w:p w14:paraId="2217CCA2" w14:textId="77777777" w:rsidR="00FA48C7" w:rsidRPr="00FA48C7" w:rsidRDefault="00FA48C7" w:rsidP="00FA48C7">
            <w:pPr>
              <w:spacing w:after="0" w:line="240" w:lineRule="auto"/>
              <w:jc w:val="right"/>
              <w:rPr>
                <w:rFonts w:ascii="Calibri" w:eastAsia="Times New Roman" w:hAnsi="Calibri" w:cs="Arial"/>
                <w:lang w:eastAsia="cs-CZ"/>
              </w:rPr>
            </w:pPr>
            <w:r w:rsidRPr="00FA48C7">
              <w:rPr>
                <w:rFonts w:ascii="Calibri" w:eastAsia="Times New Roman" w:hAnsi="Calibri" w:cs="Arial"/>
                <w:lang w:eastAsia="cs-CZ"/>
              </w:rPr>
              <w:t>70 262 745,83</w:t>
            </w:r>
          </w:p>
        </w:tc>
        <w:tc>
          <w:tcPr>
            <w:tcW w:w="762" w:type="dxa"/>
            <w:tcBorders>
              <w:top w:val="nil"/>
              <w:left w:val="single" w:sz="4" w:space="0" w:color="auto"/>
              <w:bottom w:val="single" w:sz="4" w:space="0" w:color="auto"/>
              <w:right w:val="single" w:sz="8" w:space="0" w:color="auto"/>
            </w:tcBorders>
            <w:shd w:val="clear" w:color="auto" w:fill="auto"/>
            <w:noWrap/>
            <w:vAlign w:val="center"/>
            <w:hideMark/>
          </w:tcPr>
          <w:p w14:paraId="06123667" w14:textId="77777777" w:rsidR="00FA48C7" w:rsidRPr="00FA48C7" w:rsidRDefault="00FA48C7" w:rsidP="00FA48C7">
            <w:pPr>
              <w:spacing w:after="0" w:line="240" w:lineRule="auto"/>
              <w:jc w:val="right"/>
              <w:rPr>
                <w:rFonts w:ascii="Calibri" w:eastAsia="Times New Roman" w:hAnsi="Calibri" w:cs="Arial"/>
                <w:sz w:val="20"/>
                <w:szCs w:val="20"/>
                <w:lang w:eastAsia="cs-CZ"/>
              </w:rPr>
            </w:pPr>
            <w:r w:rsidRPr="00FA48C7">
              <w:rPr>
                <w:rFonts w:ascii="Calibri" w:eastAsia="Times New Roman" w:hAnsi="Calibri" w:cs="Arial"/>
                <w:sz w:val="20"/>
                <w:szCs w:val="20"/>
                <w:lang w:eastAsia="cs-CZ"/>
              </w:rPr>
              <w:t>97,1</w:t>
            </w:r>
          </w:p>
        </w:tc>
      </w:tr>
      <w:tr w:rsidR="00FA48C7" w:rsidRPr="00FA48C7" w14:paraId="255F40D4" w14:textId="77777777" w:rsidTr="00E07FEA">
        <w:trPr>
          <w:trHeight w:val="1275"/>
        </w:trPr>
        <w:tc>
          <w:tcPr>
            <w:tcW w:w="4536" w:type="dxa"/>
            <w:tcBorders>
              <w:top w:val="nil"/>
              <w:left w:val="single" w:sz="8" w:space="0" w:color="auto"/>
              <w:bottom w:val="single" w:sz="4" w:space="0" w:color="auto"/>
              <w:right w:val="nil"/>
            </w:tcBorders>
            <w:shd w:val="clear" w:color="auto" w:fill="auto"/>
            <w:vAlign w:val="center"/>
            <w:hideMark/>
          </w:tcPr>
          <w:p w14:paraId="1EE92208" w14:textId="77777777" w:rsidR="00FA48C7" w:rsidRPr="00FA48C7" w:rsidRDefault="00FA48C7" w:rsidP="00FA48C7">
            <w:pPr>
              <w:spacing w:after="0" w:line="240" w:lineRule="auto"/>
              <w:rPr>
                <w:rFonts w:ascii="Calibri" w:eastAsia="Times New Roman" w:hAnsi="Calibri" w:cs="Arial"/>
                <w:lang w:eastAsia="cs-CZ"/>
              </w:rPr>
            </w:pPr>
            <w:r w:rsidRPr="00FA48C7">
              <w:rPr>
                <w:rFonts w:ascii="Calibri" w:eastAsia="Times New Roman" w:hAnsi="Calibri" w:cs="Arial"/>
                <w:b/>
                <w:bCs/>
                <w:lang w:eastAsia="cs-CZ"/>
              </w:rPr>
              <w:t xml:space="preserve">Oblastní nemocnice Kolín, a.s., nemocnice Středočeského kraje </w:t>
            </w:r>
            <w:r w:rsidRPr="00FA48C7">
              <w:rPr>
                <w:rFonts w:ascii="Calibri" w:eastAsia="Times New Roman" w:hAnsi="Calibri" w:cs="Arial"/>
                <w:lang w:eastAsia="cs-CZ"/>
              </w:rPr>
              <w:t>(výstavba nové budovy - objektu F se 4 lůžkovými stanicemi po 25 lůžkách s ambulantním traktem a vybavením novými zdravotnickými technologiemi v prostorách nemocnice)</w:t>
            </w:r>
          </w:p>
        </w:tc>
        <w:tc>
          <w:tcPr>
            <w:tcW w:w="1560" w:type="dxa"/>
            <w:tcBorders>
              <w:top w:val="nil"/>
              <w:left w:val="single" w:sz="8" w:space="0" w:color="auto"/>
              <w:bottom w:val="single" w:sz="4" w:space="0" w:color="auto"/>
              <w:right w:val="nil"/>
            </w:tcBorders>
            <w:shd w:val="clear" w:color="auto" w:fill="auto"/>
            <w:noWrap/>
            <w:vAlign w:val="center"/>
            <w:hideMark/>
          </w:tcPr>
          <w:p w14:paraId="70CB6206" w14:textId="77777777" w:rsidR="00FA48C7" w:rsidRPr="00FA48C7" w:rsidRDefault="00FA48C7" w:rsidP="00FA48C7">
            <w:pPr>
              <w:spacing w:after="0" w:line="240" w:lineRule="auto"/>
              <w:jc w:val="right"/>
              <w:rPr>
                <w:rFonts w:ascii="Calibri" w:eastAsia="Times New Roman" w:hAnsi="Calibri" w:cs="Arial"/>
                <w:lang w:eastAsia="cs-CZ"/>
              </w:rPr>
            </w:pPr>
            <w:r w:rsidRPr="00FA48C7">
              <w:rPr>
                <w:rFonts w:ascii="Calibri" w:eastAsia="Times New Roman" w:hAnsi="Calibri" w:cs="Arial"/>
                <w:lang w:eastAsia="cs-CZ"/>
              </w:rPr>
              <w:t>173 000 000</w:t>
            </w:r>
          </w:p>
        </w:tc>
        <w:tc>
          <w:tcPr>
            <w:tcW w:w="1150" w:type="dxa"/>
            <w:tcBorders>
              <w:top w:val="nil"/>
              <w:left w:val="single" w:sz="8" w:space="0" w:color="auto"/>
              <w:bottom w:val="single" w:sz="4" w:space="0" w:color="auto"/>
              <w:right w:val="nil"/>
            </w:tcBorders>
            <w:shd w:val="clear" w:color="auto" w:fill="auto"/>
            <w:noWrap/>
            <w:vAlign w:val="center"/>
            <w:hideMark/>
          </w:tcPr>
          <w:p w14:paraId="457C6735" w14:textId="77777777" w:rsidR="00FA48C7" w:rsidRPr="00FA48C7" w:rsidRDefault="00FA48C7" w:rsidP="00FA48C7">
            <w:pPr>
              <w:spacing w:after="0" w:line="240" w:lineRule="auto"/>
              <w:jc w:val="right"/>
              <w:rPr>
                <w:rFonts w:ascii="Calibri" w:eastAsia="Times New Roman" w:hAnsi="Calibri" w:cs="Arial"/>
                <w:lang w:eastAsia="cs-CZ"/>
              </w:rPr>
            </w:pPr>
            <w:r w:rsidRPr="00FA48C7">
              <w:rPr>
                <w:rFonts w:ascii="Calibri" w:eastAsia="Times New Roman" w:hAnsi="Calibri" w:cs="Arial"/>
                <w:lang w:eastAsia="cs-CZ"/>
              </w:rPr>
              <w:t>15.6.2025</w:t>
            </w:r>
          </w:p>
        </w:tc>
        <w:tc>
          <w:tcPr>
            <w:tcW w:w="1860" w:type="dxa"/>
            <w:tcBorders>
              <w:top w:val="nil"/>
              <w:left w:val="single" w:sz="8" w:space="0" w:color="auto"/>
              <w:bottom w:val="single" w:sz="4" w:space="0" w:color="auto"/>
              <w:right w:val="single" w:sz="8" w:space="0" w:color="auto"/>
            </w:tcBorders>
            <w:shd w:val="clear" w:color="auto" w:fill="auto"/>
            <w:noWrap/>
            <w:vAlign w:val="center"/>
            <w:hideMark/>
          </w:tcPr>
          <w:p w14:paraId="50902CCD" w14:textId="77777777" w:rsidR="00FA48C7" w:rsidRPr="00FA48C7" w:rsidRDefault="00FA48C7" w:rsidP="00FA48C7">
            <w:pPr>
              <w:spacing w:after="0" w:line="240" w:lineRule="auto"/>
              <w:jc w:val="right"/>
              <w:rPr>
                <w:rFonts w:ascii="Calibri" w:eastAsia="Times New Roman" w:hAnsi="Calibri" w:cs="Arial"/>
                <w:lang w:eastAsia="cs-CZ"/>
              </w:rPr>
            </w:pPr>
            <w:r w:rsidRPr="00FA48C7">
              <w:rPr>
                <w:rFonts w:ascii="Calibri" w:eastAsia="Times New Roman" w:hAnsi="Calibri" w:cs="Arial"/>
                <w:lang w:eastAsia="cs-CZ"/>
              </w:rPr>
              <w:t>54 477 705,96</w:t>
            </w:r>
          </w:p>
        </w:tc>
        <w:tc>
          <w:tcPr>
            <w:tcW w:w="1828" w:type="dxa"/>
            <w:tcBorders>
              <w:top w:val="nil"/>
              <w:left w:val="nil"/>
              <w:bottom w:val="single" w:sz="4" w:space="0" w:color="auto"/>
              <w:right w:val="single" w:sz="4" w:space="0" w:color="auto"/>
            </w:tcBorders>
            <w:shd w:val="clear" w:color="auto" w:fill="auto"/>
            <w:noWrap/>
            <w:vAlign w:val="center"/>
            <w:hideMark/>
          </w:tcPr>
          <w:p w14:paraId="4613986D" w14:textId="77777777" w:rsidR="00FA48C7" w:rsidRPr="00FA48C7" w:rsidRDefault="00FA48C7" w:rsidP="00FA48C7">
            <w:pPr>
              <w:spacing w:after="0" w:line="240" w:lineRule="auto"/>
              <w:jc w:val="right"/>
              <w:rPr>
                <w:rFonts w:ascii="Calibri" w:eastAsia="Times New Roman" w:hAnsi="Calibri" w:cs="Arial"/>
                <w:lang w:eastAsia="cs-CZ"/>
              </w:rPr>
            </w:pPr>
            <w:r w:rsidRPr="00FA48C7">
              <w:rPr>
                <w:rFonts w:ascii="Calibri" w:eastAsia="Times New Roman" w:hAnsi="Calibri" w:cs="Arial"/>
                <w:lang w:eastAsia="cs-CZ"/>
              </w:rPr>
              <w:t>17 314 000</w:t>
            </w:r>
          </w:p>
        </w:tc>
        <w:tc>
          <w:tcPr>
            <w:tcW w:w="1701" w:type="dxa"/>
            <w:tcBorders>
              <w:top w:val="nil"/>
              <w:left w:val="nil"/>
              <w:bottom w:val="single" w:sz="4" w:space="0" w:color="auto"/>
              <w:right w:val="single" w:sz="4" w:space="0" w:color="auto"/>
            </w:tcBorders>
            <w:shd w:val="clear" w:color="000000" w:fill="FFFFFF"/>
            <w:noWrap/>
            <w:vAlign w:val="center"/>
            <w:hideMark/>
          </w:tcPr>
          <w:p w14:paraId="78CB7346" w14:textId="77777777" w:rsidR="00FA48C7" w:rsidRPr="00FA48C7" w:rsidRDefault="00FA48C7" w:rsidP="00FA48C7">
            <w:pPr>
              <w:spacing w:after="0" w:line="240" w:lineRule="auto"/>
              <w:jc w:val="right"/>
              <w:rPr>
                <w:rFonts w:ascii="Calibri" w:eastAsia="Times New Roman" w:hAnsi="Calibri" w:cs="Arial"/>
                <w:lang w:eastAsia="cs-CZ"/>
              </w:rPr>
            </w:pPr>
            <w:r w:rsidRPr="00FA48C7">
              <w:rPr>
                <w:rFonts w:ascii="Calibri" w:eastAsia="Times New Roman" w:hAnsi="Calibri" w:cs="Arial"/>
                <w:lang w:eastAsia="cs-CZ"/>
              </w:rPr>
              <w:t>17 314 000,00</w:t>
            </w:r>
          </w:p>
        </w:tc>
        <w:tc>
          <w:tcPr>
            <w:tcW w:w="1789" w:type="dxa"/>
            <w:tcBorders>
              <w:top w:val="nil"/>
              <w:left w:val="nil"/>
              <w:bottom w:val="single" w:sz="4" w:space="0" w:color="auto"/>
              <w:right w:val="nil"/>
            </w:tcBorders>
            <w:shd w:val="clear" w:color="000000" w:fill="FFFFFF"/>
            <w:noWrap/>
            <w:vAlign w:val="center"/>
            <w:hideMark/>
          </w:tcPr>
          <w:p w14:paraId="301230ED" w14:textId="77777777" w:rsidR="00FA48C7" w:rsidRPr="00FA48C7" w:rsidRDefault="00FA48C7" w:rsidP="00FA48C7">
            <w:pPr>
              <w:spacing w:after="0" w:line="240" w:lineRule="auto"/>
              <w:jc w:val="right"/>
              <w:rPr>
                <w:rFonts w:ascii="Calibri" w:eastAsia="Times New Roman" w:hAnsi="Calibri" w:cs="Arial"/>
                <w:lang w:eastAsia="cs-CZ"/>
              </w:rPr>
            </w:pPr>
            <w:r w:rsidRPr="00FA48C7">
              <w:rPr>
                <w:rFonts w:ascii="Calibri" w:eastAsia="Times New Roman" w:hAnsi="Calibri" w:cs="Arial"/>
                <w:lang w:eastAsia="cs-CZ"/>
              </w:rPr>
              <w:t>17 108 099,30</w:t>
            </w:r>
          </w:p>
        </w:tc>
        <w:tc>
          <w:tcPr>
            <w:tcW w:w="762" w:type="dxa"/>
            <w:tcBorders>
              <w:top w:val="nil"/>
              <w:left w:val="single" w:sz="4" w:space="0" w:color="auto"/>
              <w:bottom w:val="single" w:sz="4" w:space="0" w:color="auto"/>
              <w:right w:val="single" w:sz="8" w:space="0" w:color="auto"/>
            </w:tcBorders>
            <w:shd w:val="clear" w:color="auto" w:fill="auto"/>
            <w:noWrap/>
            <w:vAlign w:val="center"/>
            <w:hideMark/>
          </w:tcPr>
          <w:p w14:paraId="44EBCE89" w14:textId="77777777" w:rsidR="00FA48C7" w:rsidRPr="00FA48C7" w:rsidRDefault="00FA48C7" w:rsidP="00FA48C7">
            <w:pPr>
              <w:spacing w:after="0" w:line="240" w:lineRule="auto"/>
              <w:jc w:val="right"/>
              <w:rPr>
                <w:rFonts w:ascii="Calibri" w:eastAsia="Times New Roman" w:hAnsi="Calibri" w:cs="Arial"/>
                <w:sz w:val="20"/>
                <w:szCs w:val="20"/>
                <w:lang w:eastAsia="cs-CZ"/>
              </w:rPr>
            </w:pPr>
            <w:r w:rsidRPr="00FA48C7">
              <w:rPr>
                <w:rFonts w:ascii="Calibri" w:eastAsia="Times New Roman" w:hAnsi="Calibri" w:cs="Arial"/>
                <w:sz w:val="20"/>
                <w:szCs w:val="20"/>
                <w:lang w:eastAsia="cs-CZ"/>
              </w:rPr>
              <w:t>98,8</w:t>
            </w:r>
          </w:p>
        </w:tc>
      </w:tr>
      <w:tr w:rsidR="00FA48C7" w:rsidRPr="00FA48C7" w14:paraId="0CCA798A" w14:textId="77777777" w:rsidTr="00E07FEA">
        <w:trPr>
          <w:trHeight w:val="945"/>
        </w:trPr>
        <w:tc>
          <w:tcPr>
            <w:tcW w:w="4536" w:type="dxa"/>
            <w:tcBorders>
              <w:top w:val="nil"/>
              <w:left w:val="single" w:sz="8" w:space="0" w:color="auto"/>
              <w:bottom w:val="nil"/>
              <w:right w:val="nil"/>
            </w:tcBorders>
            <w:shd w:val="clear" w:color="auto" w:fill="auto"/>
            <w:vAlign w:val="center"/>
            <w:hideMark/>
          </w:tcPr>
          <w:p w14:paraId="5246BD70" w14:textId="77777777" w:rsidR="00FA48C7" w:rsidRPr="00FA48C7" w:rsidRDefault="00FA48C7" w:rsidP="00FA48C7">
            <w:pPr>
              <w:spacing w:after="0" w:line="240" w:lineRule="auto"/>
              <w:rPr>
                <w:rFonts w:ascii="Calibri" w:eastAsia="Times New Roman" w:hAnsi="Calibri" w:cs="Arial"/>
                <w:lang w:eastAsia="cs-CZ"/>
              </w:rPr>
            </w:pPr>
            <w:r w:rsidRPr="00FA48C7">
              <w:rPr>
                <w:rFonts w:ascii="Calibri" w:eastAsia="Times New Roman" w:hAnsi="Calibri" w:cs="Arial"/>
                <w:b/>
                <w:bCs/>
                <w:lang w:eastAsia="cs-CZ"/>
              </w:rPr>
              <w:t>Oblastní nemocnice Kladno, a.s. nemocnice Středočeského kraje</w:t>
            </w:r>
            <w:r w:rsidRPr="00FA48C7">
              <w:rPr>
                <w:rFonts w:ascii="Calibri" w:eastAsia="Times New Roman" w:hAnsi="Calibri" w:cs="Arial"/>
                <w:lang w:eastAsia="cs-CZ"/>
              </w:rPr>
              <w:t xml:space="preserve"> (výstavba dvou nových budov - pavilonu akutní medicíny a transfúzní stanice a jejich vybavení nemocničním zařízením v prostorách nemocnice)</w:t>
            </w:r>
          </w:p>
        </w:tc>
        <w:tc>
          <w:tcPr>
            <w:tcW w:w="1560" w:type="dxa"/>
            <w:tcBorders>
              <w:top w:val="nil"/>
              <w:left w:val="single" w:sz="8" w:space="0" w:color="auto"/>
              <w:bottom w:val="nil"/>
              <w:right w:val="nil"/>
            </w:tcBorders>
            <w:shd w:val="clear" w:color="auto" w:fill="auto"/>
            <w:noWrap/>
            <w:vAlign w:val="center"/>
            <w:hideMark/>
          </w:tcPr>
          <w:p w14:paraId="7EDE42E8" w14:textId="77777777" w:rsidR="00FA48C7" w:rsidRPr="00FA48C7" w:rsidRDefault="00FA48C7" w:rsidP="00FA48C7">
            <w:pPr>
              <w:spacing w:after="0" w:line="240" w:lineRule="auto"/>
              <w:jc w:val="right"/>
              <w:rPr>
                <w:rFonts w:ascii="Calibri" w:eastAsia="Times New Roman" w:hAnsi="Calibri" w:cs="Arial"/>
                <w:lang w:eastAsia="cs-CZ"/>
              </w:rPr>
            </w:pPr>
            <w:r w:rsidRPr="00FA48C7">
              <w:rPr>
                <w:rFonts w:ascii="Calibri" w:eastAsia="Times New Roman" w:hAnsi="Calibri" w:cs="Arial"/>
                <w:lang w:eastAsia="cs-CZ"/>
              </w:rPr>
              <w:t>985 000 000</w:t>
            </w:r>
          </w:p>
        </w:tc>
        <w:tc>
          <w:tcPr>
            <w:tcW w:w="1150" w:type="dxa"/>
            <w:tcBorders>
              <w:top w:val="nil"/>
              <w:left w:val="single" w:sz="8" w:space="0" w:color="auto"/>
              <w:bottom w:val="nil"/>
              <w:right w:val="nil"/>
            </w:tcBorders>
            <w:shd w:val="clear" w:color="auto" w:fill="auto"/>
            <w:noWrap/>
            <w:vAlign w:val="center"/>
            <w:hideMark/>
          </w:tcPr>
          <w:p w14:paraId="2FB9BA97" w14:textId="77777777" w:rsidR="00FA48C7" w:rsidRPr="00FA48C7" w:rsidRDefault="00FA48C7" w:rsidP="00FA48C7">
            <w:pPr>
              <w:spacing w:after="0" w:line="240" w:lineRule="auto"/>
              <w:jc w:val="right"/>
              <w:rPr>
                <w:rFonts w:ascii="Calibri" w:eastAsia="Times New Roman" w:hAnsi="Calibri" w:cs="Arial"/>
                <w:lang w:eastAsia="cs-CZ"/>
              </w:rPr>
            </w:pPr>
            <w:r w:rsidRPr="00FA48C7">
              <w:rPr>
                <w:rFonts w:ascii="Calibri" w:eastAsia="Times New Roman" w:hAnsi="Calibri" w:cs="Arial"/>
                <w:lang w:eastAsia="cs-CZ"/>
              </w:rPr>
              <w:t>15.9.2025</w:t>
            </w:r>
          </w:p>
        </w:tc>
        <w:tc>
          <w:tcPr>
            <w:tcW w:w="1860" w:type="dxa"/>
            <w:tcBorders>
              <w:top w:val="nil"/>
              <w:left w:val="single" w:sz="8" w:space="0" w:color="auto"/>
              <w:bottom w:val="nil"/>
              <w:right w:val="single" w:sz="8" w:space="0" w:color="auto"/>
            </w:tcBorders>
            <w:shd w:val="clear" w:color="auto" w:fill="auto"/>
            <w:noWrap/>
            <w:vAlign w:val="center"/>
            <w:hideMark/>
          </w:tcPr>
          <w:p w14:paraId="0337F386" w14:textId="77777777" w:rsidR="00FA48C7" w:rsidRPr="00FA48C7" w:rsidRDefault="00FA48C7" w:rsidP="00FA48C7">
            <w:pPr>
              <w:spacing w:after="0" w:line="240" w:lineRule="auto"/>
              <w:jc w:val="right"/>
              <w:rPr>
                <w:rFonts w:ascii="Calibri" w:eastAsia="Times New Roman" w:hAnsi="Calibri" w:cs="Arial"/>
                <w:lang w:eastAsia="cs-CZ"/>
              </w:rPr>
            </w:pPr>
            <w:r w:rsidRPr="00FA48C7">
              <w:rPr>
                <w:rFonts w:ascii="Calibri" w:eastAsia="Times New Roman" w:hAnsi="Calibri" w:cs="Arial"/>
                <w:lang w:eastAsia="cs-CZ"/>
              </w:rPr>
              <w:t>331 047 427,98</w:t>
            </w:r>
          </w:p>
        </w:tc>
        <w:tc>
          <w:tcPr>
            <w:tcW w:w="1828" w:type="dxa"/>
            <w:tcBorders>
              <w:top w:val="nil"/>
              <w:left w:val="nil"/>
              <w:bottom w:val="nil"/>
              <w:right w:val="single" w:sz="4" w:space="0" w:color="auto"/>
            </w:tcBorders>
            <w:shd w:val="clear" w:color="auto" w:fill="auto"/>
            <w:noWrap/>
            <w:vAlign w:val="center"/>
            <w:hideMark/>
          </w:tcPr>
          <w:p w14:paraId="148605CB" w14:textId="77777777" w:rsidR="00FA48C7" w:rsidRPr="00FA48C7" w:rsidRDefault="00FA48C7" w:rsidP="00FA48C7">
            <w:pPr>
              <w:spacing w:after="0" w:line="240" w:lineRule="auto"/>
              <w:jc w:val="right"/>
              <w:rPr>
                <w:rFonts w:ascii="Calibri" w:eastAsia="Times New Roman" w:hAnsi="Calibri" w:cs="Arial"/>
                <w:lang w:eastAsia="cs-CZ"/>
              </w:rPr>
            </w:pPr>
            <w:r w:rsidRPr="00FA48C7">
              <w:rPr>
                <w:rFonts w:ascii="Calibri" w:eastAsia="Times New Roman" w:hAnsi="Calibri" w:cs="Arial"/>
                <w:lang w:eastAsia="cs-CZ"/>
              </w:rPr>
              <w:t>101 803 000</w:t>
            </w:r>
          </w:p>
        </w:tc>
        <w:tc>
          <w:tcPr>
            <w:tcW w:w="1701" w:type="dxa"/>
            <w:tcBorders>
              <w:top w:val="nil"/>
              <w:left w:val="nil"/>
              <w:bottom w:val="nil"/>
              <w:right w:val="single" w:sz="4" w:space="0" w:color="auto"/>
            </w:tcBorders>
            <w:shd w:val="clear" w:color="000000" w:fill="FFFFFF"/>
            <w:noWrap/>
            <w:vAlign w:val="center"/>
            <w:hideMark/>
          </w:tcPr>
          <w:p w14:paraId="7498F35E" w14:textId="77777777" w:rsidR="00FA48C7" w:rsidRPr="00FA48C7" w:rsidRDefault="00FA48C7" w:rsidP="00FA48C7">
            <w:pPr>
              <w:spacing w:after="0" w:line="240" w:lineRule="auto"/>
              <w:jc w:val="right"/>
              <w:rPr>
                <w:rFonts w:ascii="Calibri" w:eastAsia="Times New Roman" w:hAnsi="Calibri" w:cs="Arial"/>
                <w:lang w:eastAsia="cs-CZ"/>
              </w:rPr>
            </w:pPr>
            <w:r w:rsidRPr="00FA48C7">
              <w:rPr>
                <w:rFonts w:ascii="Calibri" w:eastAsia="Times New Roman" w:hAnsi="Calibri" w:cs="Arial"/>
                <w:lang w:eastAsia="cs-CZ"/>
              </w:rPr>
              <w:t>101 803 000,00</w:t>
            </w:r>
          </w:p>
        </w:tc>
        <w:tc>
          <w:tcPr>
            <w:tcW w:w="1789" w:type="dxa"/>
            <w:tcBorders>
              <w:top w:val="nil"/>
              <w:left w:val="nil"/>
              <w:bottom w:val="nil"/>
              <w:right w:val="nil"/>
            </w:tcBorders>
            <w:shd w:val="clear" w:color="000000" w:fill="FFFFFF"/>
            <w:noWrap/>
            <w:vAlign w:val="center"/>
            <w:hideMark/>
          </w:tcPr>
          <w:p w14:paraId="2ABD5DF4" w14:textId="77777777" w:rsidR="00FA48C7" w:rsidRPr="00FA48C7" w:rsidRDefault="00FA48C7" w:rsidP="00FA48C7">
            <w:pPr>
              <w:spacing w:after="0" w:line="240" w:lineRule="auto"/>
              <w:jc w:val="right"/>
              <w:rPr>
                <w:rFonts w:ascii="Calibri" w:eastAsia="Times New Roman" w:hAnsi="Calibri" w:cs="Arial"/>
                <w:lang w:eastAsia="cs-CZ"/>
              </w:rPr>
            </w:pPr>
            <w:r w:rsidRPr="00FA48C7">
              <w:rPr>
                <w:rFonts w:ascii="Calibri" w:eastAsia="Times New Roman" w:hAnsi="Calibri" w:cs="Arial"/>
                <w:lang w:eastAsia="cs-CZ"/>
              </w:rPr>
              <w:t>97 991 963,45</w:t>
            </w:r>
          </w:p>
        </w:tc>
        <w:tc>
          <w:tcPr>
            <w:tcW w:w="762" w:type="dxa"/>
            <w:tcBorders>
              <w:top w:val="nil"/>
              <w:left w:val="single" w:sz="4" w:space="0" w:color="auto"/>
              <w:bottom w:val="nil"/>
              <w:right w:val="single" w:sz="8" w:space="0" w:color="auto"/>
            </w:tcBorders>
            <w:shd w:val="clear" w:color="auto" w:fill="auto"/>
            <w:noWrap/>
            <w:vAlign w:val="center"/>
            <w:hideMark/>
          </w:tcPr>
          <w:p w14:paraId="3DCA1668" w14:textId="77777777" w:rsidR="00FA48C7" w:rsidRPr="00FA48C7" w:rsidRDefault="00FA48C7" w:rsidP="00FA48C7">
            <w:pPr>
              <w:spacing w:after="0" w:line="240" w:lineRule="auto"/>
              <w:jc w:val="right"/>
              <w:rPr>
                <w:rFonts w:ascii="Calibri" w:eastAsia="Times New Roman" w:hAnsi="Calibri" w:cs="Arial"/>
                <w:sz w:val="20"/>
                <w:szCs w:val="20"/>
                <w:lang w:eastAsia="cs-CZ"/>
              </w:rPr>
            </w:pPr>
            <w:r w:rsidRPr="00FA48C7">
              <w:rPr>
                <w:rFonts w:ascii="Calibri" w:eastAsia="Times New Roman" w:hAnsi="Calibri" w:cs="Arial"/>
                <w:sz w:val="20"/>
                <w:szCs w:val="20"/>
                <w:lang w:eastAsia="cs-CZ"/>
              </w:rPr>
              <w:t>96,3</w:t>
            </w:r>
          </w:p>
        </w:tc>
      </w:tr>
      <w:tr w:rsidR="00FA48C7" w:rsidRPr="00FA48C7" w14:paraId="37A822C6" w14:textId="77777777" w:rsidTr="00E07FEA">
        <w:trPr>
          <w:trHeight w:val="450"/>
        </w:trPr>
        <w:tc>
          <w:tcPr>
            <w:tcW w:w="4536" w:type="dxa"/>
            <w:tcBorders>
              <w:top w:val="single" w:sz="8" w:space="0" w:color="auto"/>
              <w:left w:val="single" w:sz="8" w:space="0" w:color="auto"/>
              <w:bottom w:val="single" w:sz="8" w:space="0" w:color="auto"/>
              <w:right w:val="nil"/>
            </w:tcBorders>
            <w:shd w:val="clear" w:color="auto" w:fill="auto"/>
            <w:vAlign w:val="bottom"/>
            <w:hideMark/>
          </w:tcPr>
          <w:p w14:paraId="4EA549DF" w14:textId="77777777" w:rsidR="00FA48C7" w:rsidRPr="00FA48C7" w:rsidRDefault="00FA48C7" w:rsidP="00FA48C7">
            <w:pPr>
              <w:spacing w:after="0" w:line="240" w:lineRule="auto"/>
              <w:rPr>
                <w:rFonts w:ascii="Calibri" w:eastAsia="Times New Roman" w:hAnsi="Calibri" w:cs="Arial"/>
                <w:b/>
                <w:bCs/>
                <w:sz w:val="24"/>
                <w:szCs w:val="24"/>
                <w:lang w:eastAsia="cs-CZ"/>
              </w:rPr>
            </w:pPr>
            <w:r w:rsidRPr="00FA48C7">
              <w:rPr>
                <w:rFonts w:ascii="Calibri" w:eastAsia="Times New Roman" w:hAnsi="Calibri" w:cs="Arial"/>
                <w:b/>
                <w:bCs/>
                <w:sz w:val="24"/>
                <w:szCs w:val="24"/>
                <w:lang w:eastAsia="cs-CZ"/>
              </w:rPr>
              <w:t xml:space="preserve">Dluhová služba za úvěry oblastních nemocnic celkem </w:t>
            </w:r>
          </w:p>
        </w:tc>
        <w:tc>
          <w:tcPr>
            <w:tcW w:w="156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360FC654" w14:textId="77777777" w:rsidR="00FA48C7" w:rsidRPr="00FA48C7" w:rsidRDefault="00FA48C7" w:rsidP="00FA48C7">
            <w:pPr>
              <w:spacing w:after="0" w:line="240" w:lineRule="auto"/>
              <w:jc w:val="right"/>
              <w:rPr>
                <w:rFonts w:ascii="Calibri" w:eastAsia="Times New Roman" w:hAnsi="Calibri" w:cs="Arial"/>
                <w:b/>
                <w:bCs/>
                <w:sz w:val="24"/>
                <w:szCs w:val="24"/>
                <w:lang w:eastAsia="cs-CZ"/>
              </w:rPr>
            </w:pPr>
            <w:r w:rsidRPr="00FA48C7">
              <w:rPr>
                <w:rFonts w:ascii="Calibri" w:eastAsia="Times New Roman" w:hAnsi="Calibri" w:cs="Arial"/>
                <w:b/>
                <w:bCs/>
                <w:sz w:val="24"/>
                <w:szCs w:val="24"/>
                <w:lang w:eastAsia="cs-CZ"/>
              </w:rPr>
              <w:t>1 843 000 000</w:t>
            </w:r>
          </w:p>
        </w:tc>
        <w:tc>
          <w:tcPr>
            <w:tcW w:w="1150" w:type="dxa"/>
            <w:tcBorders>
              <w:top w:val="single" w:sz="8" w:space="0" w:color="auto"/>
              <w:left w:val="single" w:sz="8" w:space="0" w:color="auto"/>
              <w:bottom w:val="single" w:sz="8" w:space="0" w:color="auto"/>
              <w:right w:val="nil"/>
            </w:tcBorders>
            <w:shd w:val="clear" w:color="auto" w:fill="auto"/>
            <w:vAlign w:val="bottom"/>
            <w:hideMark/>
          </w:tcPr>
          <w:p w14:paraId="163867F3" w14:textId="77777777" w:rsidR="00FA48C7" w:rsidRPr="00FA48C7" w:rsidRDefault="00FA48C7" w:rsidP="00FA48C7">
            <w:pPr>
              <w:spacing w:after="0" w:line="240" w:lineRule="auto"/>
              <w:rPr>
                <w:rFonts w:ascii="Calibri" w:eastAsia="Times New Roman" w:hAnsi="Calibri" w:cs="Arial"/>
                <w:b/>
                <w:bCs/>
                <w:sz w:val="24"/>
                <w:szCs w:val="24"/>
                <w:lang w:eastAsia="cs-CZ"/>
              </w:rPr>
            </w:pPr>
            <w:r w:rsidRPr="00FA48C7">
              <w:rPr>
                <w:rFonts w:ascii="Calibri" w:eastAsia="Times New Roman" w:hAnsi="Calibri" w:cs="Arial"/>
                <w:b/>
                <w:bCs/>
                <w:sz w:val="24"/>
                <w:szCs w:val="24"/>
                <w:lang w:eastAsia="cs-CZ"/>
              </w:rPr>
              <w:t> </w:t>
            </w:r>
          </w:p>
        </w:tc>
        <w:tc>
          <w:tcPr>
            <w:tcW w:w="18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CF88A2E" w14:textId="77777777" w:rsidR="00FA48C7" w:rsidRPr="00FA48C7" w:rsidRDefault="00FA48C7" w:rsidP="00FA48C7">
            <w:pPr>
              <w:spacing w:after="0" w:line="240" w:lineRule="auto"/>
              <w:jc w:val="right"/>
              <w:rPr>
                <w:rFonts w:ascii="Calibri" w:eastAsia="Times New Roman" w:hAnsi="Calibri" w:cs="Arial"/>
                <w:b/>
                <w:bCs/>
                <w:sz w:val="24"/>
                <w:szCs w:val="24"/>
                <w:lang w:eastAsia="cs-CZ"/>
              </w:rPr>
            </w:pPr>
            <w:r w:rsidRPr="00FA48C7">
              <w:rPr>
                <w:rFonts w:ascii="Calibri" w:eastAsia="Times New Roman" w:hAnsi="Calibri" w:cs="Arial"/>
                <w:b/>
                <w:bCs/>
                <w:sz w:val="24"/>
                <w:szCs w:val="24"/>
                <w:lang w:eastAsia="cs-CZ"/>
              </w:rPr>
              <w:t>607 908 255,07</w:t>
            </w:r>
          </w:p>
        </w:tc>
        <w:tc>
          <w:tcPr>
            <w:tcW w:w="1828" w:type="dxa"/>
            <w:tcBorders>
              <w:top w:val="single" w:sz="8" w:space="0" w:color="auto"/>
              <w:left w:val="nil"/>
              <w:bottom w:val="single" w:sz="8" w:space="0" w:color="auto"/>
              <w:right w:val="single" w:sz="4" w:space="0" w:color="auto"/>
            </w:tcBorders>
            <w:shd w:val="clear" w:color="auto" w:fill="auto"/>
            <w:noWrap/>
            <w:vAlign w:val="bottom"/>
            <w:hideMark/>
          </w:tcPr>
          <w:p w14:paraId="35D9C354" w14:textId="77777777" w:rsidR="00FA48C7" w:rsidRPr="00FA48C7" w:rsidRDefault="00FA48C7" w:rsidP="00FA48C7">
            <w:pPr>
              <w:spacing w:after="0" w:line="240" w:lineRule="auto"/>
              <w:jc w:val="right"/>
              <w:rPr>
                <w:rFonts w:ascii="Calibri" w:eastAsia="Times New Roman" w:hAnsi="Calibri" w:cs="Arial"/>
                <w:b/>
                <w:bCs/>
                <w:sz w:val="24"/>
                <w:szCs w:val="24"/>
                <w:lang w:eastAsia="cs-CZ"/>
              </w:rPr>
            </w:pPr>
            <w:r w:rsidRPr="00FA48C7">
              <w:rPr>
                <w:rFonts w:ascii="Calibri" w:eastAsia="Times New Roman" w:hAnsi="Calibri" w:cs="Arial"/>
                <w:b/>
                <w:bCs/>
                <w:sz w:val="24"/>
                <w:szCs w:val="24"/>
                <w:lang w:eastAsia="cs-CZ"/>
              </w:rPr>
              <w:t>191 487 000</w:t>
            </w:r>
          </w:p>
        </w:tc>
        <w:tc>
          <w:tcPr>
            <w:tcW w:w="1701" w:type="dxa"/>
            <w:tcBorders>
              <w:top w:val="single" w:sz="8" w:space="0" w:color="auto"/>
              <w:left w:val="nil"/>
              <w:bottom w:val="single" w:sz="8" w:space="0" w:color="auto"/>
              <w:right w:val="single" w:sz="4" w:space="0" w:color="auto"/>
            </w:tcBorders>
            <w:shd w:val="clear" w:color="auto" w:fill="auto"/>
            <w:noWrap/>
            <w:vAlign w:val="bottom"/>
            <w:hideMark/>
          </w:tcPr>
          <w:p w14:paraId="7E274554" w14:textId="77777777" w:rsidR="00FA48C7" w:rsidRPr="00FA48C7" w:rsidRDefault="00FA48C7" w:rsidP="00FA48C7">
            <w:pPr>
              <w:spacing w:after="0" w:line="240" w:lineRule="auto"/>
              <w:jc w:val="right"/>
              <w:rPr>
                <w:rFonts w:ascii="Calibri" w:eastAsia="Times New Roman" w:hAnsi="Calibri" w:cs="Arial"/>
                <w:b/>
                <w:bCs/>
                <w:sz w:val="24"/>
                <w:szCs w:val="24"/>
                <w:lang w:eastAsia="cs-CZ"/>
              </w:rPr>
            </w:pPr>
            <w:r w:rsidRPr="00FA48C7">
              <w:rPr>
                <w:rFonts w:ascii="Calibri" w:eastAsia="Times New Roman" w:hAnsi="Calibri" w:cs="Arial"/>
                <w:b/>
                <w:bCs/>
                <w:sz w:val="24"/>
                <w:szCs w:val="24"/>
                <w:lang w:eastAsia="cs-CZ"/>
              </w:rPr>
              <w:t>191 487 000,00</w:t>
            </w:r>
          </w:p>
        </w:tc>
        <w:tc>
          <w:tcPr>
            <w:tcW w:w="1789" w:type="dxa"/>
            <w:tcBorders>
              <w:top w:val="single" w:sz="8" w:space="0" w:color="auto"/>
              <w:left w:val="nil"/>
              <w:bottom w:val="single" w:sz="8" w:space="0" w:color="auto"/>
              <w:right w:val="nil"/>
            </w:tcBorders>
            <w:shd w:val="clear" w:color="auto" w:fill="auto"/>
            <w:noWrap/>
            <w:vAlign w:val="bottom"/>
            <w:hideMark/>
          </w:tcPr>
          <w:p w14:paraId="439BA339" w14:textId="77777777" w:rsidR="00FA48C7" w:rsidRPr="00FA48C7" w:rsidRDefault="00FA48C7" w:rsidP="00FA48C7">
            <w:pPr>
              <w:spacing w:after="0" w:line="240" w:lineRule="auto"/>
              <w:jc w:val="right"/>
              <w:rPr>
                <w:rFonts w:ascii="Calibri" w:eastAsia="Times New Roman" w:hAnsi="Calibri" w:cs="Arial"/>
                <w:b/>
                <w:bCs/>
                <w:sz w:val="24"/>
                <w:szCs w:val="24"/>
                <w:lang w:eastAsia="cs-CZ"/>
              </w:rPr>
            </w:pPr>
            <w:r w:rsidRPr="00FA48C7">
              <w:rPr>
                <w:rFonts w:ascii="Calibri" w:eastAsia="Times New Roman" w:hAnsi="Calibri" w:cs="Arial"/>
                <w:b/>
                <w:bCs/>
                <w:sz w:val="24"/>
                <w:szCs w:val="24"/>
                <w:lang w:eastAsia="cs-CZ"/>
              </w:rPr>
              <w:t>185 362 808,58</w:t>
            </w:r>
          </w:p>
        </w:tc>
        <w:tc>
          <w:tcPr>
            <w:tcW w:w="762"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14:paraId="44D1975A" w14:textId="77777777" w:rsidR="00FA48C7" w:rsidRPr="00FA48C7" w:rsidRDefault="00FA48C7" w:rsidP="00FA48C7">
            <w:pPr>
              <w:spacing w:after="0" w:line="240" w:lineRule="auto"/>
              <w:jc w:val="right"/>
              <w:rPr>
                <w:rFonts w:ascii="Calibri" w:eastAsia="Times New Roman" w:hAnsi="Calibri" w:cs="Arial"/>
                <w:b/>
                <w:bCs/>
                <w:sz w:val="24"/>
                <w:szCs w:val="24"/>
                <w:lang w:eastAsia="cs-CZ"/>
              </w:rPr>
            </w:pPr>
            <w:r w:rsidRPr="00FA48C7">
              <w:rPr>
                <w:rFonts w:ascii="Calibri" w:eastAsia="Times New Roman" w:hAnsi="Calibri" w:cs="Arial"/>
                <w:b/>
                <w:bCs/>
                <w:sz w:val="24"/>
                <w:szCs w:val="24"/>
                <w:lang w:eastAsia="cs-CZ"/>
              </w:rPr>
              <w:t>96,8</w:t>
            </w:r>
          </w:p>
        </w:tc>
      </w:tr>
    </w:tbl>
    <w:p w14:paraId="521BBB73" w14:textId="578321B8" w:rsidR="008652FB" w:rsidRDefault="008652FB"/>
    <w:p w14:paraId="39578D87" w14:textId="24970EB3" w:rsidR="00DE02EE" w:rsidRDefault="00DE02EE"/>
    <w:p w14:paraId="539393F5" w14:textId="77777777" w:rsidR="00DE02EE" w:rsidRDefault="00DE02EE"/>
    <w:p w14:paraId="1E0AA36F" w14:textId="77777777" w:rsidR="00FA48C7" w:rsidRDefault="00FA48C7">
      <w:pPr>
        <w:sectPr w:rsidR="00FA48C7" w:rsidSect="00E13FFB">
          <w:pgSz w:w="16838" w:h="11906" w:orient="landscape"/>
          <w:pgMar w:top="851" w:right="1134" w:bottom="567" w:left="1134" w:header="709" w:footer="709" w:gutter="0"/>
          <w:cols w:space="708"/>
          <w:docGrid w:linePitch="360"/>
        </w:sectPr>
      </w:pPr>
    </w:p>
    <w:p w14:paraId="0C33C19F" w14:textId="38979541" w:rsidR="00A275CF" w:rsidRDefault="00A275CF"/>
    <w:tbl>
      <w:tblPr>
        <w:tblW w:w="10632" w:type="dxa"/>
        <w:tblCellMar>
          <w:left w:w="70" w:type="dxa"/>
          <w:right w:w="70" w:type="dxa"/>
        </w:tblCellMar>
        <w:tblLook w:val="04A0" w:firstRow="1" w:lastRow="0" w:firstColumn="1" w:lastColumn="0" w:noHBand="0" w:noVBand="1"/>
      </w:tblPr>
      <w:tblGrid>
        <w:gridCol w:w="968"/>
        <w:gridCol w:w="4479"/>
        <w:gridCol w:w="1143"/>
        <w:gridCol w:w="1590"/>
        <w:gridCol w:w="1550"/>
        <w:gridCol w:w="906"/>
      </w:tblGrid>
      <w:tr w:rsidR="008B459E" w:rsidRPr="008B459E" w14:paraId="04B16735" w14:textId="77777777" w:rsidTr="008B459E">
        <w:trPr>
          <w:trHeight w:val="440"/>
        </w:trPr>
        <w:tc>
          <w:tcPr>
            <w:tcW w:w="9726" w:type="dxa"/>
            <w:gridSpan w:val="5"/>
            <w:tcBorders>
              <w:top w:val="nil"/>
              <w:left w:val="nil"/>
              <w:bottom w:val="nil"/>
              <w:right w:val="nil"/>
            </w:tcBorders>
            <w:shd w:val="clear" w:color="auto" w:fill="auto"/>
            <w:noWrap/>
            <w:vAlign w:val="bottom"/>
            <w:hideMark/>
          </w:tcPr>
          <w:p w14:paraId="7C78889B" w14:textId="77777777" w:rsidR="008B459E" w:rsidRPr="008B459E" w:rsidRDefault="008B459E" w:rsidP="008B459E">
            <w:pPr>
              <w:spacing w:after="0" w:line="240" w:lineRule="auto"/>
              <w:rPr>
                <w:rFonts w:ascii="Calibri" w:eastAsia="Times New Roman" w:hAnsi="Calibri" w:cs="Arial"/>
                <w:b/>
                <w:bCs/>
                <w:sz w:val="36"/>
                <w:szCs w:val="36"/>
                <w:lang w:eastAsia="cs-CZ"/>
              </w:rPr>
            </w:pPr>
            <w:r w:rsidRPr="008B459E">
              <w:rPr>
                <w:rFonts w:ascii="Calibri" w:eastAsia="Times New Roman" w:hAnsi="Calibri" w:cs="Arial"/>
                <w:b/>
                <w:bCs/>
                <w:sz w:val="36"/>
                <w:szCs w:val="36"/>
                <w:lang w:eastAsia="cs-CZ"/>
              </w:rPr>
              <w:t xml:space="preserve">Čerpání rozpočtu Středočeského kraje </w:t>
            </w:r>
          </w:p>
        </w:tc>
        <w:tc>
          <w:tcPr>
            <w:tcW w:w="906" w:type="dxa"/>
            <w:tcBorders>
              <w:top w:val="nil"/>
              <w:left w:val="nil"/>
              <w:bottom w:val="nil"/>
              <w:right w:val="nil"/>
            </w:tcBorders>
            <w:shd w:val="clear" w:color="auto" w:fill="auto"/>
            <w:noWrap/>
            <w:vAlign w:val="bottom"/>
            <w:hideMark/>
          </w:tcPr>
          <w:p w14:paraId="371D9387" w14:textId="77777777" w:rsidR="008B459E" w:rsidRPr="008B459E" w:rsidRDefault="008B459E" w:rsidP="008B459E">
            <w:pPr>
              <w:spacing w:after="0" w:line="240" w:lineRule="auto"/>
              <w:rPr>
                <w:rFonts w:ascii="Calibri" w:eastAsia="Times New Roman" w:hAnsi="Calibri" w:cs="Arial"/>
                <w:b/>
                <w:bCs/>
                <w:sz w:val="36"/>
                <w:szCs w:val="36"/>
                <w:lang w:eastAsia="cs-CZ"/>
              </w:rPr>
            </w:pPr>
          </w:p>
        </w:tc>
      </w:tr>
      <w:tr w:rsidR="008B459E" w:rsidRPr="008B459E" w14:paraId="199262E7" w14:textId="77777777" w:rsidTr="008B459E">
        <w:trPr>
          <w:trHeight w:val="360"/>
        </w:trPr>
        <w:tc>
          <w:tcPr>
            <w:tcW w:w="5443" w:type="dxa"/>
            <w:gridSpan w:val="2"/>
            <w:tcBorders>
              <w:top w:val="nil"/>
              <w:left w:val="nil"/>
              <w:bottom w:val="nil"/>
              <w:right w:val="nil"/>
            </w:tcBorders>
            <w:shd w:val="clear" w:color="auto" w:fill="auto"/>
            <w:noWrap/>
            <w:vAlign w:val="bottom"/>
            <w:hideMark/>
          </w:tcPr>
          <w:p w14:paraId="24D10278" w14:textId="77777777" w:rsidR="008B459E" w:rsidRPr="008B459E" w:rsidRDefault="008B459E" w:rsidP="008B459E">
            <w:pPr>
              <w:spacing w:after="0" w:line="240" w:lineRule="auto"/>
              <w:rPr>
                <w:rFonts w:ascii="Calibri" w:eastAsia="Times New Roman" w:hAnsi="Calibri" w:cs="Arial"/>
                <w:b/>
                <w:bCs/>
                <w:sz w:val="28"/>
                <w:szCs w:val="28"/>
                <w:lang w:eastAsia="cs-CZ"/>
              </w:rPr>
            </w:pPr>
            <w:r w:rsidRPr="008B459E">
              <w:rPr>
                <w:rFonts w:ascii="Calibri" w:eastAsia="Times New Roman" w:hAnsi="Calibri" w:cs="Arial"/>
                <w:b/>
                <w:bCs/>
                <w:sz w:val="28"/>
                <w:szCs w:val="28"/>
                <w:lang w:eastAsia="cs-CZ"/>
              </w:rPr>
              <w:t>Období: 1. - 12. 2021</w:t>
            </w:r>
          </w:p>
        </w:tc>
        <w:tc>
          <w:tcPr>
            <w:tcW w:w="1143" w:type="dxa"/>
            <w:tcBorders>
              <w:top w:val="nil"/>
              <w:left w:val="nil"/>
              <w:bottom w:val="nil"/>
              <w:right w:val="nil"/>
            </w:tcBorders>
            <w:shd w:val="clear" w:color="auto" w:fill="auto"/>
            <w:noWrap/>
            <w:vAlign w:val="bottom"/>
            <w:hideMark/>
          </w:tcPr>
          <w:p w14:paraId="01588180" w14:textId="77777777" w:rsidR="008B459E" w:rsidRPr="008B459E" w:rsidRDefault="008B459E" w:rsidP="008B459E">
            <w:pPr>
              <w:spacing w:after="0" w:line="240" w:lineRule="auto"/>
              <w:rPr>
                <w:rFonts w:ascii="Calibri" w:eastAsia="Times New Roman" w:hAnsi="Calibri" w:cs="Arial"/>
                <w:b/>
                <w:bCs/>
                <w:sz w:val="28"/>
                <w:szCs w:val="28"/>
                <w:lang w:eastAsia="cs-CZ"/>
              </w:rPr>
            </w:pPr>
          </w:p>
        </w:tc>
        <w:tc>
          <w:tcPr>
            <w:tcW w:w="1590" w:type="dxa"/>
            <w:tcBorders>
              <w:top w:val="nil"/>
              <w:left w:val="nil"/>
              <w:bottom w:val="nil"/>
              <w:right w:val="nil"/>
            </w:tcBorders>
            <w:shd w:val="clear" w:color="auto" w:fill="auto"/>
            <w:noWrap/>
            <w:vAlign w:val="bottom"/>
            <w:hideMark/>
          </w:tcPr>
          <w:p w14:paraId="3B6CBF0D" w14:textId="77777777" w:rsidR="008B459E" w:rsidRPr="008B459E" w:rsidRDefault="008B459E" w:rsidP="008B459E">
            <w:pPr>
              <w:spacing w:after="0" w:line="240" w:lineRule="auto"/>
              <w:rPr>
                <w:rFonts w:ascii="Times New Roman" w:eastAsia="Times New Roman" w:hAnsi="Times New Roman" w:cs="Times New Roman"/>
                <w:sz w:val="20"/>
                <w:szCs w:val="20"/>
                <w:lang w:eastAsia="cs-CZ"/>
              </w:rPr>
            </w:pPr>
          </w:p>
        </w:tc>
        <w:tc>
          <w:tcPr>
            <w:tcW w:w="1550" w:type="dxa"/>
            <w:tcBorders>
              <w:top w:val="nil"/>
              <w:left w:val="nil"/>
              <w:bottom w:val="nil"/>
              <w:right w:val="nil"/>
            </w:tcBorders>
            <w:shd w:val="clear" w:color="auto" w:fill="auto"/>
            <w:noWrap/>
            <w:vAlign w:val="bottom"/>
            <w:hideMark/>
          </w:tcPr>
          <w:p w14:paraId="55EA2E5D" w14:textId="77777777" w:rsidR="008B459E" w:rsidRPr="008B459E" w:rsidRDefault="008B459E" w:rsidP="008B459E">
            <w:pPr>
              <w:spacing w:after="0" w:line="240" w:lineRule="auto"/>
              <w:rPr>
                <w:rFonts w:ascii="Times New Roman" w:eastAsia="Times New Roman" w:hAnsi="Times New Roman" w:cs="Times New Roman"/>
                <w:sz w:val="20"/>
                <w:szCs w:val="20"/>
                <w:lang w:eastAsia="cs-CZ"/>
              </w:rPr>
            </w:pPr>
          </w:p>
        </w:tc>
        <w:tc>
          <w:tcPr>
            <w:tcW w:w="906" w:type="dxa"/>
            <w:tcBorders>
              <w:top w:val="nil"/>
              <w:left w:val="nil"/>
              <w:bottom w:val="nil"/>
              <w:right w:val="nil"/>
            </w:tcBorders>
            <w:shd w:val="clear" w:color="auto" w:fill="auto"/>
            <w:noWrap/>
            <w:vAlign w:val="bottom"/>
            <w:hideMark/>
          </w:tcPr>
          <w:p w14:paraId="14018685" w14:textId="77777777" w:rsidR="008B459E" w:rsidRPr="008B459E" w:rsidRDefault="008B459E" w:rsidP="008B459E">
            <w:pPr>
              <w:spacing w:after="0" w:line="240" w:lineRule="auto"/>
              <w:rPr>
                <w:rFonts w:ascii="Times New Roman" w:eastAsia="Times New Roman" w:hAnsi="Times New Roman" w:cs="Times New Roman"/>
                <w:sz w:val="20"/>
                <w:szCs w:val="20"/>
                <w:lang w:eastAsia="cs-CZ"/>
              </w:rPr>
            </w:pPr>
          </w:p>
        </w:tc>
      </w:tr>
      <w:tr w:rsidR="008B459E" w:rsidRPr="008B459E" w14:paraId="46AD9D73" w14:textId="77777777" w:rsidTr="008B459E">
        <w:trPr>
          <w:trHeight w:val="360"/>
        </w:trPr>
        <w:tc>
          <w:tcPr>
            <w:tcW w:w="964" w:type="dxa"/>
            <w:tcBorders>
              <w:top w:val="nil"/>
              <w:left w:val="nil"/>
              <w:bottom w:val="nil"/>
              <w:right w:val="nil"/>
            </w:tcBorders>
            <w:shd w:val="clear" w:color="auto" w:fill="auto"/>
            <w:noWrap/>
            <w:vAlign w:val="bottom"/>
            <w:hideMark/>
          </w:tcPr>
          <w:p w14:paraId="1FE8EF71" w14:textId="77777777" w:rsidR="008B459E" w:rsidRPr="008B459E" w:rsidRDefault="008B459E" w:rsidP="008B459E">
            <w:pPr>
              <w:spacing w:after="0" w:line="240" w:lineRule="auto"/>
              <w:rPr>
                <w:rFonts w:ascii="Times New Roman" w:eastAsia="Times New Roman" w:hAnsi="Times New Roman" w:cs="Times New Roman"/>
                <w:sz w:val="20"/>
                <w:szCs w:val="20"/>
                <w:lang w:eastAsia="cs-CZ"/>
              </w:rPr>
            </w:pPr>
          </w:p>
        </w:tc>
        <w:tc>
          <w:tcPr>
            <w:tcW w:w="4479" w:type="dxa"/>
            <w:tcBorders>
              <w:top w:val="nil"/>
              <w:left w:val="nil"/>
              <w:bottom w:val="nil"/>
              <w:right w:val="nil"/>
            </w:tcBorders>
            <w:shd w:val="clear" w:color="auto" w:fill="auto"/>
            <w:noWrap/>
            <w:vAlign w:val="bottom"/>
            <w:hideMark/>
          </w:tcPr>
          <w:p w14:paraId="46368C61" w14:textId="77777777" w:rsidR="008B459E" w:rsidRPr="008B459E" w:rsidRDefault="008B459E" w:rsidP="008B459E">
            <w:pPr>
              <w:spacing w:after="0" w:line="240" w:lineRule="auto"/>
              <w:jc w:val="center"/>
              <w:rPr>
                <w:rFonts w:ascii="Times New Roman" w:eastAsia="Times New Roman" w:hAnsi="Times New Roman" w:cs="Times New Roman"/>
                <w:sz w:val="20"/>
                <w:szCs w:val="20"/>
                <w:lang w:eastAsia="cs-CZ"/>
              </w:rPr>
            </w:pPr>
          </w:p>
        </w:tc>
        <w:tc>
          <w:tcPr>
            <w:tcW w:w="1143" w:type="dxa"/>
            <w:tcBorders>
              <w:top w:val="nil"/>
              <w:left w:val="nil"/>
              <w:bottom w:val="nil"/>
              <w:right w:val="nil"/>
            </w:tcBorders>
            <w:shd w:val="clear" w:color="auto" w:fill="auto"/>
            <w:noWrap/>
            <w:vAlign w:val="bottom"/>
            <w:hideMark/>
          </w:tcPr>
          <w:p w14:paraId="35B44645" w14:textId="77777777" w:rsidR="008B459E" w:rsidRPr="008B459E" w:rsidRDefault="008B459E" w:rsidP="008B459E">
            <w:pPr>
              <w:spacing w:after="0" w:line="240" w:lineRule="auto"/>
              <w:rPr>
                <w:rFonts w:ascii="Times New Roman" w:eastAsia="Times New Roman" w:hAnsi="Times New Roman" w:cs="Times New Roman"/>
                <w:sz w:val="20"/>
                <w:szCs w:val="20"/>
                <w:lang w:eastAsia="cs-CZ"/>
              </w:rPr>
            </w:pPr>
          </w:p>
        </w:tc>
        <w:tc>
          <w:tcPr>
            <w:tcW w:w="1590" w:type="dxa"/>
            <w:tcBorders>
              <w:top w:val="nil"/>
              <w:left w:val="nil"/>
              <w:bottom w:val="nil"/>
              <w:right w:val="nil"/>
            </w:tcBorders>
            <w:shd w:val="clear" w:color="auto" w:fill="auto"/>
            <w:noWrap/>
            <w:vAlign w:val="bottom"/>
            <w:hideMark/>
          </w:tcPr>
          <w:p w14:paraId="5FF8A785" w14:textId="77777777" w:rsidR="008B459E" w:rsidRPr="008B459E" w:rsidRDefault="008B459E" w:rsidP="008B459E">
            <w:pPr>
              <w:spacing w:after="0" w:line="240" w:lineRule="auto"/>
              <w:rPr>
                <w:rFonts w:ascii="Times New Roman" w:eastAsia="Times New Roman" w:hAnsi="Times New Roman" w:cs="Times New Roman"/>
                <w:sz w:val="20"/>
                <w:szCs w:val="20"/>
                <w:lang w:eastAsia="cs-CZ"/>
              </w:rPr>
            </w:pPr>
          </w:p>
        </w:tc>
        <w:tc>
          <w:tcPr>
            <w:tcW w:w="1550" w:type="dxa"/>
            <w:tcBorders>
              <w:top w:val="nil"/>
              <w:left w:val="nil"/>
              <w:bottom w:val="nil"/>
              <w:right w:val="nil"/>
            </w:tcBorders>
            <w:shd w:val="clear" w:color="auto" w:fill="auto"/>
            <w:noWrap/>
            <w:vAlign w:val="bottom"/>
            <w:hideMark/>
          </w:tcPr>
          <w:p w14:paraId="613F8D14" w14:textId="77777777" w:rsidR="008B459E" w:rsidRPr="008B459E" w:rsidRDefault="008B459E" w:rsidP="008B459E">
            <w:pPr>
              <w:spacing w:after="0" w:line="240" w:lineRule="auto"/>
              <w:rPr>
                <w:rFonts w:ascii="Times New Roman" w:eastAsia="Times New Roman" w:hAnsi="Times New Roman" w:cs="Times New Roman"/>
                <w:sz w:val="20"/>
                <w:szCs w:val="20"/>
                <w:lang w:eastAsia="cs-CZ"/>
              </w:rPr>
            </w:pPr>
          </w:p>
        </w:tc>
        <w:tc>
          <w:tcPr>
            <w:tcW w:w="906" w:type="dxa"/>
            <w:tcBorders>
              <w:top w:val="nil"/>
              <w:left w:val="nil"/>
              <w:bottom w:val="nil"/>
              <w:right w:val="nil"/>
            </w:tcBorders>
            <w:shd w:val="clear" w:color="auto" w:fill="auto"/>
            <w:noWrap/>
            <w:vAlign w:val="bottom"/>
            <w:hideMark/>
          </w:tcPr>
          <w:p w14:paraId="5E142A74" w14:textId="77777777" w:rsidR="008B459E" w:rsidRPr="008B459E" w:rsidRDefault="008B459E" w:rsidP="008B459E">
            <w:pPr>
              <w:spacing w:after="0" w:line="240" w:lineRule="auto"/>
              <w:rPr>
                <w:rFonts w:ascii="Times New Roman" w:eastAsia="Times New Roman" w:hAnsi="Times New Roman" w:cs="Times New Roman"/>
                <w:sz w:val="20"/>
                <w:szCs w:val="20"/>
                <w:lang w:eastAsia="cs-CZ"/>
              </w:rPr>
            </w:pPr>
          </w:p>
        </w:tc>
      </w:tr>
      <w:tr w:rsidR="008B459E" w:rsidRPr="008B459E" w14:paraId="6E9286A0" w14:textId="77777777" w:rsidTr="008B459E">
        <w:trPr>
          <w:trHeight w:val="360"/>
        </w:trPr>
        <w:tc>
          <w:tcPr>
            <w:tcW w:w="5443" w:type="dxa"/>
            <w:gridSpan w:val="2"/>
            <w:tcBorders>
              <w:top w:val="nil"/>
              <w:left w:val="nil"/>
              <w:bottom w:val="nil"/>
              <w:right w:val="nil"/>
            </w:tcBorders>
            <w:shd w:val="clear" w:color="auto" w:fill="auto"/>
            <w:noWrap/>
            <w:vAlign w:val="bottom"/>
            <w:hideMark/>
          </w:tcPr>
          <w:p w14:paraId="0D7E218B" w14:textId="77777777" w:rsidR="008B459E" w:rsidRPr="008B459E" w:rsidRDefault="008B459E" w:rsidP="008B459E">
            <w:pPr>
              <w:spacing w:after="0" w:line="240" w:lineRule="auto"/>
              <w:rPr>
                <w:rFonts w:ascii="Calibri" w:eastAsia="Times New Roman" w:hAnsi="Calibri" w:cs="Arial"/>
                <w:b/>
                <w:bCs/>
                <w:sz w:val="28"/>
                <w:szCs w:val="28"/>
                <w:lang w:eastAsia="cs-CZ"/>
              </w:rPr>
            </w:pPr>
            <w:r w:rsidRPr="008B459E">
              <w:rPr>
                <w:rFonts w:ascii="Calibri" w:eastAsia="Times New Roman" w:hAnsi="Calibri" w:cs="Arial"/>
                <w:b/>
                <w:bCs/>
                <w:sz w:val="28"/>
                <w:szCs w:val="28"/>
                <w:lang w:eastAsia="cs-CZ"/>
              </w:rPr>
              <w:t>Sumář Fondů v rámci jednotlivých kapitol</w:t>
            </w:r>
          </w:p>
        </w:tc>
        <w:tc>
          <w:tcPr>
            <w:tcW w:w="1143" w:type="dxa"/>
            <w:tcBorders>
              <w:top w:val="nil"/>
              <w:left w:val="nil"/>
              <w:bottom w:val="nil"/>
              <w:right w:val="nil"/>
            </w:tcBorders>
            <w:shd w:val="clear" w:color="auto" w:fill="auto"/>
            <w:noWrap/>
            <w:vAlign w:val="bottom"/>
            <w:hideMark/>
          </w:tcPr>
          <w:p w14:paraId="3AD98007" w14:textId="77777777" w:rsidR="008B459E" w:rsidRPr="008B459E" w:rsidRDefault="008B459E" w:rsidP="008B459E">
            <w:pPr>
              <w:spacing w:after="0" w:line="240" w:lineRule="auto"/>
              <w:rPr>
                <w:rFonts w:ascii="Calibri" w:eastAsia="Times New Roman" w:hAnsi="Calibri" w:cs="Arial"/>
                <w:b/>
                <w:bCs/>
                <w:sz w:val="28"/>
                <w:szCs w:val="28"/>
                <w:lang w:eastAsia="cs-CZ"/>
              </w:rPr>
            </w:pPr>
          </w:p>
        </w:tc>
        <w:tc>
          <w:tcPr>
            <w:tcW w:w="1590" w:type="dxa"/>
            <w:tcBorders>
              <w:top w:val="nil"/>
              <w:left w:val="nil"/>
              <w:bottom w:val="nil"/>
              <w:right w:val="nil"/>
            </w:tcBorders>
            <w:shd w:val="clear" w:color="auto" w:fill="auto"/>
            <w:noWrap/>
            <w:vAlign w:val="bottom"/>
            <w:hideMark/>
          </w:tcPr>
          <w:p w14:paraId="45115EAA" w14:textId="77777777" w:rsidR="008B459E" w:rsidRPr="008B459E" w:rsidRDefault="008B459E" w:rsidP="008B459E">
            <w:pPr>
              <w:spacing w:after="0" w:line="240" w:lineRule="auto"/>
              <w:rPr>
                <w:rFonts w:ascii="Times New Roman" w:eastAsia="Times New Roman" w:hAnsi="Times New Roman" w:cs="Times New Roman"/>
                <w:sz w:val="20"/>
                <w:szCs w:val="20"/>
                <w:lang w:eastAsia="cs-CZ"/>
              </w:rPr>
            </w:pPr>
          </w:p>
        </w:tc>
        <w:tc>
          <w:tcPr>
            <w:tcW w:w="1550" w:type="dxa"/>
            <w:tcBorders>
              <w:top w:val="nil"/>
              <w:left w:val="nil"/>
              <w:bottom w:val="nil"/>
              <w:right w:val="nil"/>
            </w:tcBorders>
            <w:shd w:val="clear" w:color="auto" w:fill="auto"/>
            <w:noWrap/>
            <w:vAlign w:val="bottom"/>
            <w:hideMark/>
          </w:tcPr>
          <w:p w14:paraId="46697C98" w14:textId="77777777" w:rsidR="008B459E" w:rsidRPr="008B459E" w:rsidRDefault="008B459E" w:rsidP="008B459E">
            <w:pPr>
              <w:spacing w:after="0" w:line="240" w:lineRule="auto"/>
              <w:rPr>
                <w:rFonts w:ascii="Times New Roman" w:eastAsia="Times New Roman" w:hAnsi="Times New Roman" w:cs="Times New Roman"/>
                <w:sz w:val="20"/>
                <w:szCs w:val="20"/>
                <w:lang w:eastAsia="cs-CZ"/>
              </w:rPr>
            </w:pPr>
          </w:p>
        </w:tc>
        <w:tc>
          <w:tcPr>
            <w:tcW w:w="906" w:type="dxa"/>
            <w:tcBorders>
              <w:top w:val="nil"/>
              <w:left w:val="nil"/>
              <w:bottom w:val="nil"/>
              <w:right w:val="nil"/>
            </w:tcBorders>
            <w:shd w:val="clear" w:color="auto" w:fill="auto"/>
            <w:noWrap/>
            <w:vAlign w:val="bottom"/>
            <w:hideMark/>
          </w:tcPr>
          <w:p w14:paraId="57DDAF14" w14:textId="77777777" w:rsidR="008B459E" w:rsidRPr="008B459E" w:rsidRDefault="008B459E" w:rsidP="008B459E">
            <w:pPr>
              <w:spacing w:after="0" w:line="240" w:lineRule="auto"/>
              <w:rPr>
                <w:rFonts w:ascii="Times New Roman" w:eastAsia="Times New Roman" w:hAnsi="Times New Roman" w:cs="Times New Roman"/>
                <w:sz w:val="20"/>
                <w:szCs w:val="20"/>
                <w:lang w:eastAsia="cs-CZ"/>
              </w:rPr>
            </w:pPr>
          </w:p>
        </w:tc>
      </w:tr>
      <w:tr w:rsidR="008B459E" w:rsidRPr="008B459E" w14:paraId="4E151FCE" w14:textId="77777777" w:rsidTr="008B459E">
        <w:trPr>
          <w:trHeight w:val="360"/>
        </w:trPr>
        <w:tc>
          <w:tcPr>
            <w:tcW w:w="964" w:type="dxa"/>
            <w:tcBorders>
              <w:top w:val="nil"/>
              <w:left w:val="nil"/>
              <w:bottom w:val="nil"/>
              <w:right w:val="nil"/>
            </w:tcBorders>
            <w:shd w:val="clear" w:color="auto" w:fill="auto"/>
            <w:noWrap/>
            <w:vAlign w:val="bottom"/>
            <w:hideMark/>
          </w:tcPr>
          <w:p w14:paraId="0643ABB4" w14:textId="77777777" w:rsidR="008B459E" w:rsidRPr="008B459E" w:rsidRDefault="008B459E" w:rsidP="008B459E">
            <w:pPr>
              <w:spacing w:after="0" w:line="240" w:lineRule="auto"/>
              <w:rPr>
                <w:rFonts w:ascii="Times New Roman" w:eastAsia="Times New Roman" w:hAnsi="Times New Roman" w:cs="Times New Roman"/>
                <w:sz w:val="20"/>
                <w:szCs w:val="20"/>
                <w:lang w:eastAsia="cs-CZ"/>
              </w:rPr>
            </w:pPr>
          </w:p>
        </w:tc>
        <w:tc>
          <w:tcPr>
            <w:tcW w:w="4479" w:type="dxa"/>
            <w:tcBorders>
              <w:top w:val="nil"/>
              <w:left w:val="nil"/>
              <w:bottom w:val="nil"/>
              <w:right w:val="nil"/>
            </w:tcBorders>
            <w:shd w:val="clear" w:color="auto" w:fill="auto"/>
            <w:noWrap/>
            <w:vAlign w:val="bottom"/>
            <w:hideMark/>
          </w:tcPr>
          <w:p w14:paraId="6D1ECA5E" w14:textId="77777777" w:rsidR="008B459E" w:rsidRPr="008B459E" w:rsidRDefault="008B459E" w:rsidP="008B459E">
            <w:pPr>
              <w:spacing w:after="0" w:line="240" w:lineRule="auto"/>
              <w:rPr>
                <w:rFonts w:ascii="Times New Roman" w:eastAsia="Times New Roman" w:hAnsi="Times New Roman" w:cs="Times New Roman"/>
                <w:sz w:val="20"/>
                <w:szCs w:val="20"/>
                <w:lang w:eastAsia="cs-CZ"/>
              </w:rPr>
            </w:pPr>
          </w:p>
        </w:tc>
        <w:tc>
          <w:tcPr>
            <w:tcW w:w="1143" w:type="dxa"/>
            <w:tcBorders>
              <w:top w:val="nil"/>
              <w:left w:val="nil"/>
              <w:bottom w:val="nil"/>
              <w:right w:val="nil"/>
            </w:tcBorders>
            <w:shd w:val="clear" w:color="auto" w:fill="auto"/>
            <w:noWrap/>
            <w:vAlign w:val="bottom"/>
            <w:hideMark/>
          </w:tcPr>
          <w:p w14:paraId="514657E8" w14:textId="77777777" w:rsidR="008B459E" w:rsidRPr="008B459E" w:rsidRDefault="008B459E" w:rsidP="008B459E">
            <w:pPr>
              <w:spacing w:after="0" w:line="240" w:lineRule="auto"/>
              <w:rPr>
                <w:rFonts w:ascii="Times New Roman" w:eastAsia="Times New Roman" w:hAnsi="Times New Roman" w:cs="Times New Roman"/>
                <w:sz w:val="20"/>
                <w:szCs w:val="20"/>
                <w:lang w:eastAsia="cs-CZ"/>
              </w:rPr>
            </w:pPr>
          </w:p>
        </w:tc>
        <w:tc>
          <w:tcPr>
            <w:tcW w:w="1590" w:type="dxa"/>
            <w:tcBorders>
              <w:top w:val="nil"/>
              <w:left w:val="nil"/>
              <w:bottom w:val="nil"/>
              <w:right w:val="nil"/>
            </w:tcBorders>
            <w:shd w:val="clear" w:color="auto" w:fill="auto"/>
            <w:noWrap/>
            <w:vAlign w:val="bottom"/>
            <w:hideMark/>
          </w:tcPr>
          <w:p w14:paraId="12A73E85" w14:textId="77777777" w:rsidR="008B459E" w:rsidRPr="008B459E" w:rsidRDefault="008B459E" w:rsidP="008B459E">
            <w:pPr>
              <w:spacing w:after="0" w:line="240" w:lineRule="auto"/>
              <w:rPr>
                <w:rFonts w:ascii="Times New Roman" w:eastAsia="Times New Roman" w:hAnsi="Times New Roman" w:cs="Times New Roman"/>
                <w:sz w:val="20"/>
                <w:szCs w:val="20"/>
                <w:lang w:eastAsia="cs-CZ"/>
              </w:rPr>
            </w:pPr>
          </w:p>
        </w:tc>
        <w:tc>
          <w:tcPr>
            <w:tcW w:w="1550" w:type="dxa"/>
            <w:tcBorders>
              <w:top w:val="nil"/>
              <w:left w:val="nil"/>
              <w:bottom w:val="nil"/>
              <w:right w:val="nil"/>
            </w:tcBorders>
            <w:shd w:val="clear" w:color="auto" w:fill="auto"/>
            <w:noWrap/>
            <w:vAlign w:val="bottom"/>
            <w:hideMark/>
          </w:tcPr>
          <w:p w14:paraId="351622A0" w14:textId="77777777" w:rsidR="008B459E" w:rsidRPr="008B459E" w:rsidRDefault="008B459E" w:rsidP="008B459E">
            <w:pPr>
              <w:spacing w:after="0" w:line="240" w:lineRule="auto"/>
              <w:rPr>
                <w:rFonts w:ascii="Times New Roman" w:eastAsia="Times New Roman" w:hAnsi="Times New Roman" w:cs="Times New Roman"/>
                <w:sz w:val="20"/>
                <w:szCs w:val="20"/>
                <w:lang w:eastAsia="cs-CZ"/>
              </w:rPr>
            </w:pPr>
          </w:p>
        </w:tc>
        <w:tc>
          <w:tcPr>
            <w:tcW w:w="906" w:type="dxa"/>
            <w:tcBorders>
              <w:top w:val="nil"/>
              <w:left w:val="nil"/>
              <w:bottom w:val="nil"/>
              <w:right w:val="nil"/>
            </w:tcBorders>
            <w:shd w:val="clear" w:color="auto" w:fill="auto"/>
            <w:noWrap/>
            <w:vAlign w:val="bottom"/>
            <w:hideMark/>
          </w:tcPr>
          <w:p w14:paraId="2D3B1158" w14:textId="77777777" w:rsidR="008B459E" w:rsidRPr="008B459E" w:rsidRDefault="008B459E" w:rsidP="008B459E">
            <w:pPr>
              <w:spacing w:after="0" w:line="240" w:lineRule="auto"/>
              <w:rPr>
                <w:rFonts w:ascii="Times New Roman" w:eastAsia="Times New Roman" w:hAnsi="Times New Roman" w:cs="Times New Roman"/>
                <w:sz w:val="20"/>
                <w:szCs w:val="20"/>
                <w:lang w:eastAsia="cs-CZ"/>
              </w:rPr>
            </w:pPr>
          </w:p>
        </w:tc>
      </w:tr>
      <w:tr w:rsidR="008B459E" w:rsidRPr="008B459E" w14:paraId="5B977E32" w14:textId="77777777" w:rsidTr="008B459E">
        <w:trPr>
          <w:trHeight w:val="360"/>
        </w:trPr>
        <w:tc>
          <w:tcPr>
            <w:tcW w:w="964" w:type="dxa"/>
            <w:tcBorders>
              <w:top w:val="nil"/>
              <w:left w:val="nil"/>
              <w:bottom w:val="nil"/>
              <w:right w:val="nil"/>
            </w:tcBorders>
            <w:shd w:val="clear" w:color="auto" w:fill="auto"/>
            <w:noWrap/>
            <w:vAlign w:val="bottom"/>
            <w:hideMark/>
          </w:tcPr>
          <w:p w14:paraId="1B71FC94" w14:textId="77777777" w:rsidR="008B459E" w:rsidRPr="008B459E" w:rsidRDefault="008B459E" w:rsidP="008B459E">
            <w:pPr>
              <w:spacing w:after="0" w:line="240" w:lineRule="auto"/>
              <w:rPr>
                <w:rFonts w:ascii="Times New Roman" w:eastAsia="Times New Roman" w:hAnsi="Times New Roman" w:cs="Times New Roman"/>
                <w:sz w:val="20"/>
                <w:szCs w:val="20"/>
                <w:lang w:eastAsia="cs-CZ"/>
              </w:rPr>
            </w:pPr>
          </w:p>
        </w:tc>
        <w:tc>
          <w:tcPr>
            <w:tcW w:w="4479" w:type="dxa"/>
            <w:tcBorders>
              <w:top w:val="nil"/>
              <w:left w:val="nil"/>
              <w:bottom w:val="nil"/>
              <w:right w:val="nil"/>
            </w:tcBorders>
            <w:shd w:val="clear" w:color="auto" w:fill="auto"/>
            <w:noWrap/>
            <w:vAlign w:val="bottom"/>
            <w:hideMark/>
          </w:tcPr>
          <w:p w14:paraId="7EF36BF7" w14:textId="77777777" w:rsidR="008B459E" w:rsidRPr="008B459E" w:rsidRDefault="008B459E" w:rsidP="008B459E">
            <w:pPr>
              <w:spacing w:after="0" w:line="240" w:lineRule="auto"/>
              <w:rPr>
                <w:rFonts w:ascii="Times New Roman" w:eastAsia="Times New Roman" w:hAnsi="Times New Roman" w:cs="Times New Roman"/>
                <w:sz w:val="20"/>
                <w:szCs w:val="20"/>
                <w:lang w:eastAsia="cs-CZ"/>
              </w:rPr>
            </w:pPr>
          </w:p>
        </w:tc>
        <w:tc>
          <w:tcPr>
            <w:tcW w:w="1143" w:type="dxa"/>
            <w:tcBorders>
              <w:top w:val="nil"/>
              <w:left w:val="nil"/>
              <w:bottom w:val="nil"/>
              <w:right w:val="nil"/>
            </w:tcBorders>
            <w:shd w:val="clear" w:color="auto" w:fill="auto"/>
            <w:noWrap/>
            <w:vAlign w:val="bottom"/>
            <w:hideMark/>
          </w:tcPr>
          <w:p w14:paraId="5B81D764" w14:textId="77777777" w:rsidR="008B459E" w:rsidRPr="008B459E" w:rsidRDefault="008B459E" w:rsidP="008B459E">
            <w:pPr>
              <w:spacing w:after="0" w:line="240" w:lineRule="auto"/>
              <w:rPr>
                <w:rFonts w:ascii="Times New Roman" w:eastAsia="Times New Roman" w:hAnsi="Times New Roman" w:cs="Times New Roman"/>
                <w:sz w:val="20"/>
                <w:szCs w:val="20"/>
                <w:lang w:eastAsia="cs-CZ"/>
              </w:rPr>
            </w:pPr>
          </w:p>
        </w:tc>
        <w:tc>
          <w:tcPr>
            <w:tcW w:w="1590" w:type="dxa"/>
            <w:tcBorders>
              <w:top w:val="nil"/>
              <w:left w:val="nil"/>
              <w:bottom w:val="nil"/>
              <w:right w:val="nil"/>
            </w:tcBorders>
            <w:shd w:val="clear" w:color="auto" w:fill="auto"/>
            <w:noWrap/>
            <w:vAlign w:val="bottom"/>
            <w:hideMark/>
          </w:tcPr>
          <w:p w14:paraId="1F31107D" w14:textId="77777777" w:rsidR="008B459E" w:rsidRPr="008B459E" w:rsidRDefault="008B459E" w:rsidP="008B459E">
            <w:pPr>
              <w:spacing w:after="0" w:line="240" w:lineRule="auto"/>
              <w:rPr>
                <w:rFonts w:ascii="Times New Roman" w:eastAsia="Times New Roman" w:hAnsi="Times New Roman" w:cs="Times New Roman"/>
                <w:sz w:val="20"/>
                <w:szCs w:val="20"/>
                <w:lang w:eastAsia="cs-CZ"/>
              </w:rPr>
            </w:pPr>
          </w:p>
        </w:tc>
        <w:tc>
          <w:tcPr>
            <w:tcW w:w="1550" w:type="dxa"/>
            <w:tcBorders>
              <w:top w:val="nil"/>
              <w:left w:val="nil"/>
              <w:bottom w:val="nil"/>
              <w:right w:val="nil"/>
            </w:tcBorders>
            <w:shd w:val="clear" w:color="auto" w:fill="auto"/>
            <w:noWrap/>
            <w:vAlign w:val="bottom"/>
            <w:hideMark/>
          </w:tcPr>
          <w:p w14:paraId="38525A3C" w14:textId="77777777" w:rsidR="008B459E" w:rsidRPr="008B459E" w:rsidRDefault="008B459E" w:rsidP="008B459E">
            <w:pPr>
              <w:spacing w:after="0" w:line="240" w:lineRule="auto"/>
              <w:rPr>
                <w:rFonts w:ascii="Times New Roman" w:eastAsia="Times New Roman" w:hAnsi="Times New Roman" w:cs="Times New Roman"/>
                <w:sz w:val="20"/>
                <w:szCs w:val="20"/>
                <w:lang w:eastAsia="cs-CZ"/>
              </w:rPr>
            </w:pPr>
          </w:p>
        </w:tc>
        <w:tc>
          <w:tcPr>
            <w:tcW w:w="906" w:type="dxa"/>
            <w:tcBorders>
              <w:top w:val="nil"/>
              <w:left w:val="nil"/>
              <w:bottom w:val="nil"/>
              <w:right w:val="nil"/>
            </w:tcBorders>
            <w:shd w:val="clear" w:color="auto" w:fill="auto"/>
            <w:noWrap/>
            <w:vAlign w:val="bottom"/>
            <w:hideMark/>
          </w:tcPr>
          <w:p w14:paraId="4A5C8CEF" w14:textId="77777777" w:rsidR="008B459E" w:rsidRPr="008B459E" w:rsidRDefault="008B459E" w:rsidP="008B459E">
            <w:pPr>
              <w:spacing w:after="0" w:line="240" w:lineRule="auto"/>
              <w:jc w:val="right"/>
              <w:rPr>
                <w:rFonts w:ascii="Calibri" w:eastAsia="Times New Roman" w:hAnsi="Calibri" w:cs="Arial"/>
                <w:lang w:eastAsia="cs-CZ"/>
              </w:rPr>
            </w:pPr>
            <w:r w:rsidRPr="008B459E">
              <w:rPr>
                <w:rFonts w:ascii="Calibri" w:eastAsia="Times New Roman" w:hAnsi="Calibri" w:cs="Arial"/>
                <w:lang w:eastAsia="cs-CZ"/>
              </w:rPr>
              <w:t>v Kč</w:t>
            </w:r>
          </w:p>
        </w:tc>
      </w:tr>
      <w:tr w:rsidR="008B459E" w:rsidRPr="008B459E" w14:paraId="1073775E" w14:textId="77777777" w:rsidTr="008B459E">
        <w:trPr>
          <w:trHeight w:val="915"/>
        </w:trPr>
        <w:tc>
          <w:tcPr>
            <w:tcW w:w="964" w:type="dxa"/>
            <w:tcBorders>
              <w:top w:val="single" w:sz="8" w:space="0" w:color="auto"/>
              <w:left w:val="single" w:sz="8" w:space="0" w:color="auto"/>
              <w:bottom w:val="single" w:sz="8" w:space="0" w:color="auto"/>
              <w:right w:val="single" w:sz="4" w:space="0" w:color="auto"/>
            </w:tcBorders>
            <w:shd w:val="clear" w:color="000000" w:fill="CCFFFF"/>
            <w:vAlign w:val="center"/>
            <w:hideMark/>
          </w:tcPr>
          <w:p w14:paraId="5DD1280B" w14:textId="77777777" w:rsidR="008B459E" w:rsidRPr="008B459E" w:rsidRDefault="008B459E" w:rsidP="008B459E">
            <w:pPr>
              <w:spacing w:after="0" w:line="240" w:lineRule="auto"/>
              <w:jc w:val="center"/>
              <w:rPr>
                <w:rFonts w:ascii="Calibri" w:eastAsia="Times New Roman" w:hAnsi="Calibri" w:cs="Arial"/>
                <w:b/>
                <w:bCs/>
                <w:sz w:val="24"/>
                <w:szCs w:val="24"/>
                <w:lang w:eastAsia="cs-CZ"/>
              </w:rPr>
            </w:pPr>
            <w:r w:rsidRPr="008B459E">
              <w:rPr>
                <w:rFonts w:ascii="Calibri" w:eastAsia="Times New Roman" w:hAnsi="Calibri" w:cs="Arial"/>
                <w:b/>
                <w:bCs/>
                <w:sz w:val="24"/>
                <w:szCs w:val="24"/>
                <w:lang w:eastAsia="cs-CZ"/>
              </w:rPr>
              <w:t>Kapitola</w:t>
            </w:r>
          </w:p>
        </w:tc>
        <w:tc>
          <w:tcPr>
            <w:tcW w:w="4479" w:type="dxa"/>
            <w:tcBorders>
              <w:top w:val="single" w:sz="8" w:space="0" w:color="auto"/>
              <w:left w:val="nil"/>
              <w:bottom w:val="single" w:sz="8" w:space="0" w:color="auto"/>
              <w:right w:val="single" w:sz="4" w:space="0" w:color="auto"/>
            </w:tcBorders>
            <w:shd w:val="clear" w:color="000000" w:fill="CCFFFF"/>
            <w:noWrap/>
            <w:vAlign w:val="center"/>
            <w:hideMark/>
          </w:tcPr>
          <w:p w14:paraId="3BFA0CB5" w14:textId="77777777" w:rsidR="008B459E" w:rsidRPr="008B459E" w:rsidRDefault="008B459E" w:rsidP="008B459E">
            <w:pPr>
              <w:spacing w:after="0" w:line="240" w:lineRule="auto"/>
              <w:jc w:val="center"/>
              <w:rPr>
                <w:rFonts w:ascii="Calibri" w:eastAsia="Times New Roman" w:hAnsi="Calibri" w:cs="Arial"/>
                <w:b/>
                <w:bCs/>
                <w:sz w:val="24"/>
                <w:szCs w:val="24"/>
                <w:lang w:eastAsia="cs-CZ"/>
              </w:rPr>
            </w:pPr>
            <w:r w:rsidRPr="008B459E">
              <w:rPr>
                <w:rFonts w:ascii="Calibri" w:eastAsia="Times New Roman" w:hAnsi="Calibri" w:cs="Arial"/>
                <w:b/>
                <w:bCs/>
                <w:sz w:val="24"/>
                <w:szCs w:val="24"/>
                <w:lang w:eastAsia="cs-CZ"/>
              </w:rPr>
              <w:t>Název fondu</w:t>
            </w:r>
          </w:p>
        </w:tc>
        <w:tc>
          <w:tcPr>
            <w:tcW w:w="1143" w:type="dxa"/>
            <w:tcBorders>
              <w:top w:val="single" w:sz="8" w:space="0" w:color="auto"/>
              <w:left w:val="nil"/>
              <w:bottom w:val="single" w:sz="8" w:space="0" w:color="auto"/>
              <w:right w:val="single" w:sz="4" w:space="0" w:color="auto"/>
            </w:tcBorders>
            <w:shd w:val="clear" w:color="000000" w:fill="CCFFFF"/>
            <w:vAlign w:val="center"/>
            <w:hideMark/>
          </w:tcPr>
          <w:p w14:paraId="02C64603" w14:textId="77777777" w:rsidR="008B459E" w:rsidRPr="008B459E" w:rsidRDefault="008B459E" w:rsidP="008B459E">
            <w:pPr>
              <w:spacing w:after="0" w:line="240" w:lineRule="auto"/>
              <w:jc w:val="center"/>
              <w:rPr>
                <w:rFonts w:ascii="Calibri" w:eastAsia="Times New Roman" w:hAnsi="Calibri" w:cs="Arial"/>
                <w:b/>
                <w:bCs/>
                <w:sz w:val="24"/>
                <w:szCs w:val="24"/>
                <w:lang w:eastAsia="cs-CZ"/>
              </w:rPr>
            </w:pPr>
            <w:r w:rsidRPr="008B459E">
              <w:rPr>
                <w:rFonts w:ascii="Calibri" w:eastAsia="Times New Roman" w:hAnsi="Calibri" w:cs="Arial"/>
                <w:b/>
                <w:bCs/>
                <w:sz w:val="24"/>
                <w:szCs w:val="24"/>
                <w:lang w:eastAsia="cs-CZ"/>
              </w:rPr>
              <w:t>Rozpočet 2021</w:t>
            </w:r>
          </w:p>
        </w:tc>
        <w:tc>
          <w:tcPr>
            <w:tcW w:w="1590" w:type="dxa"/>
            <w:tcBorders>
              <w:top w:val="single" w:sz="8" w:space="0" w:color="auto"/>
              <w:left w:val="nil"/>
              <w:bottom w:val="single" w:sz="8" w:space="0" w:color="auto"/>
              <w:right w:val="single" w:sz="4" w:space="0" w:color="auto"/>
            </w:tcBorders>
            <w:shd w:val="clear" w:color="000000" w:fill="CCFFFF"/>
            <w:vAlign w:val="center"/>
            <w:hideMark/>
          </w:tcPr>
          <w:p w14:paraId="0B7894CB" w14:textId="77777777" w:rsidR="008B459E" w:rsidRPr="008B459E" w:rsidRDefault="008B459E" w:rsidP="008B459E">
            <w:pPr>
              <w:spacing w:after="0" w:line="240" w:lineRule="auto"/>
              <w:jc w:val="center"/>
              <w:rPr>
                <w:rFonts w:ascii="Calibri" w:eastAsia="Times New Roman" w:hAnsi="Calibri" w:cs="Arial"/>
                <w:b/>
                <w:bCs/>
                <w:sz w:val="24"/>
                <w:szCs w:val="24"/>
                <w:lang w:eastAsia="cs-CZ"/>
              </w:rPr>
            </w:pPr>
            <w:r w:rsidRPr="008B459E">
              <w:rPr>
                <w:rFonts w:ascii="Calibri" w:eastAsia="Times New Roman" w:hAnsi="Calibri" w:cs="Arial"/>
                <w:b/>
                <w:bCs/>
                <w:sz w:val="24"/>
                <w:szCs w:val="24"/>
                <w:lang w:eastAsia="cs-CZ"/>
              </w:rPr>
              <w:t>Rozpočet po úpravě</w:t>
            </w:r>
          </w:p>
        </w:tc>
        <w:tc>
          <w:tcPr>
            <w:tcW w:w="1550" w:type="dxa"/>
            <w:tcBorders>
              <w:top w:val="single" w:sz="8" w:space="0" w:color="auto"/>
              <w:left w:val="nil"/>
              <w:bottom w:val="single" w:sz="8" w:space="0" w:color="auto"/>
              <w:right w:val="single" w:sz="4" w:space="0" w:color="auto"/>
            </w:tcBorders>
            <w:shd w:val="clear" w:color="000000" w:fill="CCFFFF"/>
            <w:vAlign w:val="center"/>
            <w:hideMark/>
          </w:tcPr>
          <w:p w14:paraId="2BF0EFF7" w14:textId="77777777" w:rsidR="008B459E" w:rsidRPr="008B459E" w:rsidRDefault="008B459E" w:rsidP="008B459E">
            <w:pPr>
              <w:spacing w:after="0" w:line="240" w:lineRule="auto"/>
              <w:jc w:val="center"/>
              <w:rPr>
                <w:rFonts w:ascii="Calibri" w:eastAsia="Times New Roman" w:hAnsi="Calibri" w:cs="Arial"/>
                <w:b/>
                <w:bCs/>
                <w:sz w:val="24"/>
                <w:szCs w:val="24"/>
                <w:lang w:eastAsia="cs-CZ"/>
              </w:rPr>
            </w:pPr>
            <w:r w:rsidRPr="008B459E">
              <w:rPr>
                <w:rFonts w:ascii="Calibri" w:eastAsia="Times New Roman" w:hAnsi="Calibri" w:cs="Arial"/>
                <w:b/>
                <w:bCs/>
                <w:sz w:val="24"/>
                <w:szCs w:val="24"/>
                <w:lang w:eastAsia="cs-CZ"/>
              </w:rPr>
              <w:t>Skutečnost</w:t>
            </w:r>
          </w:p>
        </w:tc>
        <w:tc>
          <w:tcPr>
            <w:tcW w:w="906" w:type="dxa"/>
            <w:tcBorders>
              <w:top w:val="single" w:sz="8" w:space="0" w:color="auto"/>
              <w:left w:val="nil"/>
              <w:bottom w:val="single" w:sz="8" w:space="0" w:color="auto"/>
              <w:right w:val="single" w:sz="8" w:space="0" w:color="auto"/>
            </w:tcBorders>
            <w:shd w:val="clear" w:color="000000" w:fill="CCFFFF"/>
            <w:vAlign w:val="center"/>
            <w:hideMark/>
          </w:tcPr>
          <w:p w14:paraId="55329463" w14:textId="77777777" w:rsidR="008B459E" w:rsidRPr="008B459E" w:rsidRDefault="008B459E" w:rsidP="008B459E">
            <w:pPr>
              <w:spacing w:after="0" w:line="240" w:lineRule="auto"/>
              <w:jc w:val="center"/>
              <w:rPr>
                <w:rFonts w:ascii="Calibri" w:eastAsia="Times New Roman" w:hAnsi="Calibri" w:cs="Arial"/>
                <w:b/>
                <w:bCs/>
                <w:sz w:val="24"/>
                <w:szCs w:val="24"/>
                <w:lang w:eastAsia="cs-CZ"/>
              </w:rPr>
            </w:pPr>
            <w:r w:rsidRPr="008B459E">
              <w:rPr>
                <w:rFonts w:ascii="Calibri" w:eastAsia="Times New Roman" w:hAnsi="Calibri" w:cs="Arial"/>
                <w:b/>
                <w:bCs/>
                <w:sz w:val="24"/>
                <w:szCs w:val="24"/>
                <w:lang w:eastAsia="cs-CZ"/>
              </w:rPr>
              <w:t>% plnění</w:t>
            </w:r>
          </w:p>
        </w:tc>
      </w:tr>
      <w:tr w:rsidR="008B459E" w:rsidRPr="008B459E" w14:paraId="2418353B" w14:textId="77777777" w:rsidTr="008B459E">
        <w:trPr>
          <w:trHeight w:val="403"/>
        </w:trPr>
        <w:tc>
          <w:tcPr>
            <w:tcW w:w="964" w:type="dxa"/>
            <w:tcBorders>
              <w:top w:val="nil"/>
              <w:left w:val="single" w:sz="8" w:space="0" w:color="auto"/>
              <w:bottom w:val="single" w:sz="4" w:space="0" w:color="auto"/>
              <w:right w:val="single" w:sz="4" w:space="0" w:color="auto"/>
            </w:tcBorders>
            <w:shd w:val="clear" w:color="auto" w:fill="auto"/>
            <w:noWrap/>
            <w:vAlign w:val="bottom"/>
            <w:hideMark/>
          </w:tcPr>
          <w:p w14:paraId="38B70167" w14:textId="77777777" w:rsidR="008B459E" w:rsidRPr="008B459E" w:rsidRDefault="008B459E" w:rsidP="008B459E">
            <w:pPr>
              <w:spacing w:after="0" w:line="240" w:lineRule="auto"/>
              <w:jc w:val="center"/>
              <w:rPr>
                <w:rFonts w:ascii="Calibri" w:eastAsia="Times New Roman" w:hAnsi="Calibri" w:cs="Arial"/>
                <w:sz w:val="20"/>
                <w:szCs w:val="20"/>
                <w:lang w:eastAsia="cs-CZ"/>
              </w:rPr>
            </w:pPr>
            <w:r w:rsidRPr="008B459E">
              <w:rPr>
                <w:rFonts w:ascii="Calibri" w:eastAsia="Times New Roman" w:hAnsi="Calibri" w:cs="Arial"/>
                <w:sz w:val="20"/>
                <w:szCs w:val="20"/>
                <w:lang w:eastAsia="cs-CZ"/>
              </w:rPr>
              <w:t>01</w:t>
            </w:r>
          </w:p>
        </w:tc>
        <w:tc>
          <w:tcPr>
            <w:tcW w:w="4479" w:type="dxa"/>
            <w:tcBorders>
              <w:top w:val="nil"/>
              <w:left w:val="nil"/>
              <w:bottom w:val="single" w:sz="4" w:space="0" w:color="auto"/>
              <w:right w:val="nil"/>
            </w:tcBorders>
            <w:shd w:val="clear" w:color="auto" w:fill="auto"/>
            <w:vAlign w:val="bottom"/>
            <w:hideMark/>
          </w:tcPr>
          <w:p w14:paraId="5FBDA55B" w14:textId="77777777" w:rsidR="008B459E" w:rsidRPr="008B459E" w:rsidRDefault="008B459E" w:rsidP="008B459E">
            <w:pPr>
              <w:spacing w:after="0" w:line="240" w:lineRule="auto"/>
              <w:rPr>
                <w:rFonts w:ascii="Calibri" w:eastAsia="Times New Roman" w:hAnsi="Calibri" w:cs="Arial"/>
                <w:sz w:val="20"/>
                <w:szCs w:val="20"/>
                <w:lang w:eastAsia="cs-CZ"/>
              </w:rPr>
            </w:pPr>
            <w:r w:rsidRPr="008B459E">
              <w:rPr>
                <w:rFonts w:ascii="Calibri" w:eastAsia="Times New Roman" w:hAnsi="Calibri" w:cs="Arial"/>
                <w:sz w:val="20"/>
                <w:szCs w:val="20"/>
                <w:lang w:eastAsia="cs-CZ"/>
              </w:rPr>
              <w:t>Středočeský Fond podpory dobrovolných hasičů a složek IZS</w:t>
            </w:r>
          </w:p>
        </w:tc>
        <w:tc>
          <w:tcPr>
            <w:tcW w:w="1143" w:type="dxa"/>
            <w:tcBorders>
              <w:top w:val="nil"/>
              <w:left w:val="single" w:sz="4" w:space="0" w:color="auto"/>
              <w:bottom w:val="single" w:sz="4" w:space="0" w:color="auto"/>
              <w:right w:val="single" w:sz="4" w:space="0" w:color="auto"/>
            </w:tcBorders>
            <w:shd w:val="clear" w:color="auto" w:fill="auto"/>
            <w:noWrap/>
            <w:vAlign w:val="bottom"/>
            <w:hideMark/>
          </w:tcPr>
          <w:p w14:paraId="097D8534"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0</w:t>
            </w:r>
          </w:p>
        </w:tc>
        <w:tc>
          <w:tcPr>
            <w:tcW w:w="1590" w:type="dxa"/>
            <w:tcBorders>
              <w:top w:val="nil"/>
              <w:left w:val="nil"/>
              <w:bottom w:val="single" w:sz="4" w:space="0" w:color="auto"/>
              <w:right w:val="single" w:sz="4" w:space="0" w:color="auto"/>
            </w:tcBorders>
            <w:shd w:val="clear" w:color="auto" w:fill="auto"/>
            <w:noWrap/>
            <w:vAlign w:val="bottom"/>
            <w:hideMark/>
          </w:tcPr>
          <w:p w14:paraId="2F6BDA02"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1 500 000,00</w:t>
            </w:r>
          </w:p>
        </w:tc>
        <w:tc>
          <w:tcPr>
            <w:tcW w:w="1550" w:type="dxa"/>
            <w:tcBorders>
              <w:top w:val="nil"/>
              <w:left w:val="nil"/>
              <w:bottom w:val="single" w:sz="4" w:space="0" w:color="auto"/>
              <w:right w:val="single" w:sz="4" w:space="0" w:color="auto"/>
            </w:tcBorders>
            <w:shd w:val="clear" w:color="auto" w:fill="auto"/>
            <w:noWrap/>
            <w:vAlign w:val="bottom"/>
            <w:hideMark/>
          </w:tcPr>
          <w:p w14:paraId="57974874"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1 500 000,00</w:t>
            </w:r>
          </w:p>
        </w:tc>
        <w:tc>
          <w:tcPr>
            <w:tcW w:w="906" w:type="dxa"/>
            <w:tcBorders>
              <w:top w:val="nil"/>
              <w:left w:val="nil"/>
              <w:bottom w:val="single" w:sz="4" w:space="0" w:color="auto"/>
              <w:right w:val="single" w:sz="8" w:space="0" w:color="auto"/>
            </w:tcBorders>
            <w:shd w:val="clear" w:color="auto" w:fill="auto"/>
            <w:noWrap/>
            <w:vAlign w:val="bottom"/>
            <w:hideMark/>
          </w:tcPr>
          <w:p w14:paraId="61C38027"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100,0</w:t>
            </w:r>
          </w:p>
        </w:tc>
      </w:tr>
      <w:tr w:rsidR="008B459E" w:rsidRPr="008B459E" w14:paraId="35FCF144" w14:textId="77777777" w:rsidTr="00DE02EE">
        <w:trPr>
          <w:trHeight w:val="281"/>
        </w:trPr>
        <w:tc>
          <w:tcPr>
            <w:tcW w:w="964" w:type="dxa"/>
            <w:tcBorders>
              <w:top w:val="nil"/>
              <w:left w:val="single" w:sz="8" w:space="0" w:color="auto"/>
              <w:bottom w:val="single" w:sz="4" w:space="0" w:color="auto"/>
              <w:right w:val="single" w:sz="4" w:space="0" w:color="auto"/>
            </w:tcBorders>
            <w:shd w:val="clear" w:color="auto" w:fill="auto"/>
            <w:noWrap/>
            <w:vAlign w:val="bottom"/>
            <w:hideMark/>
          </w:tcPr>
          <w:p w14:paraId="4FBEE2D6" w14:textId="77777777" w:rsidR="008B459E" w:rsidRPr="008B459E" w:rsidRDefault="008B459E" w:rsidP="008B459E">
            <w:pPr>
              <w:spacing w:after="0" w:line="240" w:lineRule="auto"/>
              <w:jc w:val="center"/>
              <w:rPr>
                <w:rFonts w:ascii="Calibri" w:eastAsia="Times New Roman" w:hAnsi="Calibri" w:cs="Arial"/>
                <w:sz w:val="20"/>
                <w:szCs w:val="20"/>
                <w:lang w:eastAsia="cs-CZ"/>
              </w:rPr>
            </w:pPr>
            <w:r w:rsidRPr="008B459E">
              <w:rPr>
                <w:rFonts w:ascii="Calibri" w:eastAsia="Times New Roman" w:hAnsi="Calibri" w:cs="Arial"/>
                <w:sz w:val="20"/>
                <w:szCs w:val="20"/>
                <w:lang w:eastAsia="cs-CZ"/>
              </w:rPr>
              <w:t>01</w:t>
            </w:r>
          </w:p>
        </w:tc>
        <w:tc>
          <w:tcPr>
            <w:tcW w:w="4479" w:type="dxa"/>
            <w:tcBorders>
              <w:top w:val="nil"/>
              <w:left w:val="nil"/>
              <w:bottom w:val="nil"/>
              <w:right w:val="nil"/>
            </w:tcBorders>
            <w:shd w:val="clear" w:color="auto" w:fill="auto"/>
            <w:vAlign w:val="bottom"/>
            <w:hideMark/>
          </w:tcPr>
          <w:p w14:paraId="691113BE" w14:textId="77777777" w:rsidR="008B459E" w:rsidRPr="008B459E" w:rsidRDefault="008B459E" w:rsidP="008B459E">
            <w:pPr>
              <w:spacing w:after="0" w:line="240" w:lineRule="auto"/>
              <w:rPr>
                <w:rFonts w:ascii="Calibri" w:eastAsia="Times New Roman" w:hAnsi="Calibri" w:cs="Arial"/>
                <w:sz w:val="20"/>
                <w:szCs w:val="20"/>
                <w:lang w:eastAsia="cs-CZ"/>
              </w:rPr>
            </w:pPr>
            <w:r w:rsidRPr="008B459E">
              <w:rPr>
                <w:rFonts w:ascii="Calibri" w:eastAsia="Times New Roman" w:hAnsi="Calibri" w:cs="Arial"/>
                <w:sz w:val="20"/>
                <w:szCs w:val="20"/>
                <w:lang w:eastAsia="cs-CZ"/>
              </w:rPr>
              <w:t>Středočeský Fond hejtmanky</w:t>
            </w:r>
          </w:p>
        </w:tc>
        <w:tc>
          <w:tcPr>
            <w:tcW w:w="1143" w:type="dxa"/>
            <w:tcBorders>
              <w:top w:val="nil"/>
              <w:left w:val="single" w:sz="4" w:space="0" w:color="auto"/>
              <w:bottom w:val="single" w:sz="4" w:space="0" w:color="auto"/>
              <w:right w:val="single" w:sz="4" w:space="0" w:color="auto"/>
            </w:tcBorders>
            <w:shd w:val="clear" w:color="auto" w:fill="auto"/>
            <w:noWrap/>
            <w:vAlign w:val="bottom"/>
            <w:hideMark/>
          </w:tcPr>
          <w:p w14:paraId="4F2F3E5C"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0</w:t>
            </w:r>
          </w:p>
        </w:tc>
        <w:tc>
          <w:tcPr>
            <w:tcW w:w="1590" w:type="dxa"/>
            <w:tcBorders>
              <w:top w:val="nil"/>
              <w:left w:val="nil"/>
              <w:bottom w:val="single" w:sz="4" w:space="0" w:color="auto"/>
              <w:right w:val="single" w:sz="4" w:space="0" w:color="auto"/>
            </w:tcBorders>
            <w:shd w:val="clear" w:color="auto" w:fill="auto"/>
            <w:noWrap/>
            <w:vAlign w:val="bottom"/>
            <w:hideMark/>
          </w:tcPr>
          <w:p w14:paraId="62781D32"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12 195 000,00</w:t>
            </w:r>
          </w:p>
        </w:tc>
        <w:tc>
          <w:tcPr>
            <w:tcW w:w="1550" w:type="dxa"/>
            <w:tcBorders>
              <w:top w:val="nil"/>
              <w:left w:val="nil"/>
              <w:bottom w:val="single" w:sz="4" w:space="0" w:color="auto"/>
              <w:right w:val="single" w:sz="4" w:space="0" w:color="auto"/>
            </w:tcBorders>
            <w:shd w:val="clear" w:color="auto" w:fill="auto"/>
            <w:noWrap/>
            <w:vAlign w:val="bottom"/>
            <w:hideMark/>
          </w:tcPr>
          <w:p w14:paraId="3504F5D6"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9 208 749,63</w:t>
            </w:r>
          </w:p>
        </w:tc>
        <w:tc>
          <w:tcPr>
            <w:tcW w:w="906" w:type="dxa"/>
            <w:tcBorders>
              <w:top w:val="nil"/>
              <w:left w:val="nil"/>
              <w:bottom w:val="single" w:sz="4" w:space="0" w:color="auto"/>
              <w:right w:val="single" w:sz="8" w:space="0" w:color="auto"/>
            </w:tcBorders>
            <w:shd w:val="clear" w:color="auto" w:fill="auto"/>
            <w:noWrap/>
            <w:vAlign w:val="bottom"/>
            <w:hideMark/>
          </w:tcPr>
          <w:p w14:paraId="1A57D116"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75,5</w:t>
            </w:r>
          </w:p>
        </w:tc>
      </w:tr>
      <w:tr w:rsidR="008B459E" w:rsidRPr="008B459E" w14:paraId="0C93D655" w14:textId="77777777" w:rsidTr="008B459E">
        <w:trPr>
          <w:trHeight w:val="403"/>
        </w:trPr>
        <w:tc>
          <w:tcPr>
            <w:tcW w:w="964" w:type="dxa"/>
            <w:tcBorders>
              <w:top w:val="nil"/>
              <w:left w:val="single" w:sz="8" w:space="0" w:color="auto"/>
              <w:bottom w:val="single" w:sz="4" w:space="0" w:color="auto"/>
              <w:right w:val="single" w:sz="4" w:space="0" w:color="auto"/>
            </w:tcBorders>
            <w:shd w:val="clear" w:color="auto" w:fill="auto"/>
            <w:noWrap/>
            <w:vAlign w:val="bottom"/>
            <w:hideMark/>
          </w:tcPr>
          <w:p w14:paraId="43C080FD" w14:textId="77777777" w:rsidR="008B459E" w:rsidRPr="008B459E" w:rsidRDefault="008B459E" w:rsidP="008B459E">
            <w:pPr>
              <w:spacing w:after="0" w:line="240" w:lineRule="auto"/>
              <w:jc w:val="center"/>
              <w:rPr>
                <w:rFonts w:ascii="Calibri" w:eastAsia="Times New Roman" w:hAnsi="Calibri" w:cs="Arial"/>
                <w:sz w:val="20"/>
                <w:szCs w:val="20"/>
                <w:lang w:eastAsia="cs-CZ"/>
              </w:rPr>
            </w:pPr>
            <w:r w:rsidRPr="008B459E">
              <w:rPr>
                <w:rFonts w:ascii="Calibri" w:eastAsia="Times New Roman" w:hAnsi="Calibri" w:cs="Arial"/>
                <w:sz w:val="20"/>
                <w:szCs w:val="20"/>
                <w:lang w:eastAsia="cs-CZ"/>
              </w:rPr>
              <w:t>04</w:t>
            </w:r>
          </w:p>
        </w:tc>
        <w:tc>
          <w:tcPr>
            <w:tcW w:w="4479" w:type="dxa"/>
            <w:tcBorders>
              <w:top w:val="single" w:sz="4" w:space="0" w:color="auto"/>
              <w:left w:val="nil"/>
              <w:bottom w:val="single" w:sz="4" w:space="0" w:color="auto"/>
              <w:right w:val="single" w:sz="4" w:space="0" w:color="auto"/>
            </w:tcBorders>
            <w:shd w:val="clear" w:color="auto" w:fill="auto"/>
            <w:vAlign w:val="bottom"/>
            <w:hideMark/>
          </w:tcPr>
          <w:p w14:paraId="4B214818" w14:textId="77777777" w:rsidR="008B459E" w:rsidRPr="008B459E" w:rsidRDefault="008B459E" w:rsidP="008B459E">
            <w:pPr>
              <w:spacing w:after="0" w:line="240" w:lineRule="auto"/>
              <w:rPr>
                <w:rFonts w:ascii="Calibri" w:eastAsia="Times New Roman" w:hAnsi="Calibri" w:cs="Arial"/>
                <w:sz w:val="20"/>
                <w:szCs w:val="20"/>
                <w:lang w:eastAsia="cs-CZ"/>
              </w:rPr>
            </w:pPr>
            <w:r w:rsidRPr="008B459E">
              <w:rPr>
                <w:rFonts w:ascii="Calibri" w:eastAsia="Times New Roman" w:hAnsi="Calibri" w:cs="Arial"/>
                <w:sz w:val="20"/>
                <w:szCs w:val="20"/>
                <w:lang w:eastAsia="cs-CZ"/>
              </w:rPr>
              <w:t>Středočeský Fond homogenizace krajské dopravní infrastruktury</w:t>
            </w:r>
          </w:p>
        </w:tc>
        <w:tc>
          <w:tcPr>
            <w:tcW w:w="1143" w:type="dxa"/>
            <w:tcBorders>
              <w:top w:val="nil"/>
              <w:left w:val="nil"/>
              <w:bottom w:val="single" w:sz="4" w:space="0" w:color="auto"/>
              <w:right w:val="single" w:sz="4" w:space="0" w:color="auto"/>
            </w:tcBorders>
            <w:shd w:val="clear" w:color="auto" w:fill="auto"/>
            <w:noWrap/>
            <w:vAlign w:val="bottom"/>
            <w:hideMark/>
          </w:tcPr>
          <w:p w14:paraId="56D7A6EB"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0</w:t>
            </w:r>
          </w:p>
        </w:tc>
        <w:tc>
          <w:tcPr>
            <w:tcW w:w="1590" w:type="dxa"/>
            <w:tcBorders>
              <w:top w:val="nil"/>
              <w:left w:val="nil"/>
              <w:bottom w:val="single" w:sz="4" w:space="0" w:color="auto"/>
              <w:right w:val="single" w:sz="4" w:space="0" w:color="auto"/>
            </w:tcBorders>
            <w:shd w:val="clear" w:color="auto" w:fill="auto"/>
            <w:noWrap/>
            <w:vAlign w:val="bottom"/>
            <w:hideMark/>
          </w:tcPr>
          <w:p w14:paraId="2A2B7C49"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40 503 647,00</w:t>
            </w:r>
          </w:p>
        </w:tc>
        <w:tc>
          <w:tcPr>
            <w:tcW w:w="1550" w:type="dxa"/>
            <w:tcBorders>
              <w:top w:val="nil"/>
              <w:left w:val="nil"/>
              <w:bottom w:val="single" w:sz="4" w:space="0" w:color="auto"/>
              <w:right w:val="single" w:sz="4" w:space="0" w:color="auto"/>
            </w:tcBorders>
            <w:shd w:val="clear" w:color="auto" w:fill="auto"/>
            <w:noWrap/>
            <w:vAlign w:val="bottom"/>
            <w:hideMark/>
          </w:tcPr>
          <w:p w14:paraId="614BBA1C"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20 251 823,50</w:t>
            </w:r>
          </w:p>
        </w:tc>
        <w:tc>
          <w:tcPr>
            <w:tcW w:w="906" w:type="dxa"/>
            <w:tcBorders>
              <w:top w:val="nil"/>
              <w:left w:val="nil"/>
              <w:bottom w:val="single" w:sz="4" w:space="0" w:color="auto"/>
              <w:right w:val="single" w:sz="8" w:space="0" w:color="auto"/>
            </w:tcBorders>
            <w:shd w:val="clear" w:color="auto" w:fill="auto"/>
            <w:noWrap/>
            <w:vAlign w:val="bottom"/>
            <w:hideMark/>
          </w:tcPr>
          <w:p w14:paraId="312FA9DA"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50,0</w:t>
            </w:r>
          </w:p>
        </w:tc>
      </w:tr>
      <w:tr w:rsidR="008B459E" w:rsidRPr="008B459E" w14:paraId="5FB0805E" w14:textId="77777777" w:rsidTr="00DE02EE">
        <w:trPr>
          <w:trHeight w:val="207"/>
        </w:trPr>
        <w:tc>
          <w:tcPr>
            <w:tcW w:w="964" w:type="dxa"/>
            <w:tcBorders>
              <w:top w:val="nil"/>
              <w:left w:val="single" w:sz="8" w:space="0" w:color="auto"/>
              <w:bottom w:val="single" w:sz="4" w:space="0" w:color="auto"/>
              <w:right w:val="single" w:sz="4" w:space="0" w:color="auto"/>
            </w:tcBorders>
            <w:shd w:val="clear" w:color="auto" w:fill="auto"/>
            <w:noWrap/>
            <w:vAlign w:val="bottom"/>
            <w:hideMark/>
          </w:tcPr>
          <w:p w14:paraId="1E922EF5" w14:textId="77777777" w:rsidR="008B459E" w:rsidRPr="008B459E" w:rsidRDefault="008B459E" w:rsidP="008B459E">
            <w:pPr>
              <w:spacing w:after="0" w:line="240" w:lineRule="auto"/>
              <w:jc w:val="center"/>
              <w:rPr>
                <w:rFonts w:ascii="Calibri" w:eastAsia="Times New Roman" w:hAnsi="Calibri" w:cs="Arial"/>
                <w:sz w:val="20"/>
                <w:szCs w:val="20"/>
                <w:lang w:eastAsia="cs-CZ"/>
              </w:rPr>
            </w:pPr>
            <w:r w:rsidRPr="008B459E">
              <w:rPr>
                <w:rFonts w:ascii="Calibri" w:eastAsia="Times New Roman" w:hAnsi="Calibri" w:cs="Arial"/>
                <w:sz w:val="20"/>
                <w:szCs w:val="20"/>
                <w:lang w:eastAsia="cs-CZ"/>
              </w:rPr>
              <w:t>05</w:t>
            </w:r>
          </w:p>
        </w:tc>
        <w:tc>
          <w:tcPr>
            <w:tcW w:w="4479" w:type="dxa"/>
            <w:tcBorders>
              <w:top w:val="nil"/>
              <w:left w:val="nil"/>
              <w:bottom w:val="single" w:sz="4" w:space="0" w:color="auto"/>
              <w:right w:val="nil"/>
            </w:tcBorders>
            <w:shd w:val="clear" w:color="auto" w:fill="auto"/>
            <w:vAlign w:val="bottom"/>
            <w:hideMark/>
          </w:tcPr>
          <w:p w14:paraId="692029B2" w14:textId="77777777" w:rsidR="008B459E" w:rsidRPr="008B459E" w:rsidRDefault="008B459E" w:rsidP="008B459E">
            <w:pPr>
              <w:spacing w:after="0" w:line="240" w:lineRule="auto"/>
              <w:rPr>
                <w:rFonts w:ascii="Calibri" w:eastAsia="Times New Roman" w:hAnsi="Calibri" w:cs="Arial"/>
                <w:sz w:val="20"/>
                <w:szCs w:val="20"/>
                <w:lang w:eastAsia="cs-CZ"/>
              </w:rPr>
            </w:pPr>
            <w:r w:rsidRPr="008B459E">
              <w:rPr>
                <w:rFonts w:ascii="Calibri" w:eastAsia="Times New Roman" w:hAnsi="Calibri" w:cs="Arial"/>
                <w:sz w:val="20"/>
                <w:szCs w:val="20"/>
                <w:lang w:eastAsia="cs-CZ"/>
              </w:rPr>
              <w:t>Středočeský Fond sportu a volného času</w:t>
            </w:r>
          </w:p>
        </w:tc>
        <w:tc>
          <w:tcPr>
            <w:tcW w:w="1143" w:type="dxa"/>
            <w:tcBorders>
              <w:top w:val="nil"/>
              <w:left w:val="single" w:sz="4" w:space="0" w:color="auto"/>
              <w:bottom w:val="single" w:sz="4" w:space="0" w:color="auto"/>
              <w:right w:val="single" w:sz="4" w:space="0" w:color="auto"/>
            </w:tcBorders>
            <w:shd w:val="clear" w:color="auto" w:fill="auto"/>
            <w:noWrap/>
            <w:vAlign w:val="bottom"/>
            <w:hideMark/>
          </w:tcPr>
          <w:p w14:paraId="11EC7074"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0</w:t>
            </w:r>
          </w:p>
        </w:tc>
        <w:tc>
          <w:tcPr>
            <w:tcW w:w="1590" w:type="dxa"/>
            <w:tcBorders>
              <w:top w:val="nil"/>
              <w:left w:val="nil"/>
              <w:bottom w:val="single" w:sz="4" w:space="0" w:color="auto"/>
              <w:right w:val="single" w:sz="4" w:space="0" w:color="auto"/>
            </w:tcBorders>
            <w:shd w:val="clear" w:color="auto" w:fill="auto"/>
            <w:noWrap/>
            <w:vAlign w:val="bottom"/>
            <w:hideMark/>
          </w:tcPr>
          <w:p w14:paraId="36A2BD00"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25 000 000,00</w:t>
            </w:r>
          </w:p>
        </w:tc>
        <w:tc>
          <w:tcPr>
            <w:tcW w:w="1550" w:type="dxa"/>
            <w:tcBorders>
              <w:top w:val="nil"/>
              <w:left w:val="nil"/>
              <w:bottom w:val="single" w:sz="4" w:space="0" w:color="auto"/>
              <w:right w:val="single" w:sz="4" w:space="0" w:color="auto"/>
            </w:tcBorders>
            <w:shd w:val="clear" w:color="auto" w:fill="auto"/>
            <w:noWrap/>
            <w:vAlign w:val="bottom"/>
            <w:hideMark/>
          </w:tcPr>
          <w:p w14:paraId="1C397EF2"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24 825 349,46</w:t>
            </w:r>
          </w:p>
        </w:tc>
        <w:tc>
          <w:tcPr>
            <w:tcW w:w="906" w:type="dxa"/>
            <w:tcBorders>
              <w:top w:val="nil"/>
              <w:left w:val="nil"/>
              <w:bottom w:val="single" w:sz="4" w:space="0" w:color="auto"/>
              <w:right w:val="single" w:sz="8" w:space="0" w:color="auto"/>
            </w:tcBorders>
            <w:shd w:val="clear" w:color="auto" w:fill="auto"/>
            <w:noWrap/>
            <w:vAlign w:val="bottom"/>
            <w:hideMark/>
          </w:tcPr>
          <w:p w14:paraId="64C7CA80"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99,3</w:t>
            </w:r>
          </w:p>
        </w:tc>
      </w:tr>
      <w:tr w:rsidR="008B459E" w:rsidRPr="008B459E" w14:paraId="72BA56EF" w14:textId="77777777" w:rsidTr="00DE02EE">
        <w:trPr>
          <w:trHeight w:val="226"/>
        </w:trPr>
        <w:tc>
          <w:tcPr>
            <w:tcW w:w="964" w:type="dxa"/>
            <w:tcBorders>
              <w:top w:val="nil"/>
              <w:left w:val="single" w:sz="8" w:space="0" w:color="auto"/>
              <w:bottom w:val="single" w:sz="4" w:space="0" w:color="auto"/>
              <w:right w:val="single" w:sz="4" w:space="0" w:color="auto"/>
            </w:tcBorders>
            <w:shd w:val="clear" w:color="auto" w:fill="auto"/>
            <w:noWrap/>
            <w:vAlign w:val="bottom"/>
            <w:hideMark/>
          </w:tcPr>
          <w:p w14:paraId="11397742" w14:textId="77777777" w:rsidR="008B459E" w:rsidRPr="008B459E" w:rsidRDefault="008B459E" w:rsidP="008B459E">
            <w:pPr>
              <w:spacing w:after="0" w:line="240" w:lineRule="auto"/>
              <w:jc w:val="center"/>
              <w:rPr>
                <w:rFonts w:ascii="Calibri" w:eastAsia="Times New Roman" w:hAnsi="Calibri" w:cs="Arial"/>
                <w:sz w:val="20"/>
                <w:szCs w:val="20"/>
                <w:lang w:eastAsia="cs-CZ"/>
              </w:rPr>
            </w:pPr>
            <w:r w:rsidRPr="008B459E">
              <w:rPr>
                <w:rFonts w:ascii="Calibri" w:eastAsia="Times New Roman" w:hAnsi="Calibri" w:cs="Arial"/>
                <w:sz w:val="20"/>
                <w:szCs w:val="20"/>
                <w:lang w:eastAsia="cs-CZ"/>
              </w:rPr>
              <w:t>06</w:t>
            </w:r>
          </w:p>
        </w:tc>
        <w:tc>
          <w:tcPr>
            <w:tcW w:w="4479" w:type="dxa"/>
            <w:tcBorders>
              <w:top w:val="nil"/>
              <w:left w:val="nil"/>
              <w:bottom w:val="single" w:sz="4" w:space="0" w:color="auto"/>
              <w:right w:val="nil"/>
            </w:tcBorders>
            <w:shd w:val="clear" w:color="auto" w:fill="auto"/>
            <w:vAlign w:val="bottom"/>
            <w:hideMark/>
          </w:tcPr>
          <w:p w14:paraId="64A0E209" w14:textId="77777777" w:rsidR="008B459E" w:rsidRPr="008B459E" w:rsidRDefault="008B459E" w:rsidP="008B459E">
            <w:pPr>
              <w:spacing w:after="0" w:line="240" w:lineRule="auto"/>
              <w:rPr>
                <w:rFonts w:ascii="Calibri" w:eastAsia="Times New Roman" w:hAnsi="Calibri" w:cs="Arial"/>
                <w:sz w:val="20"/>
                <w:szCs w:val="20"/>
                <w:lang w:eastAsia="cs-CZ"/>
              </w:rPr>
            </w:pPr>
            <w:r w:rsidRPr="008B459E">
              <w:rPr>
                <w:rFonts w:ascii="Calibri" w:eastAsia="Times New Roman" w:hAnsi="Calibri" w:cs="Arial"/>
                <w:sz w:val="20"/>
                <w:szCs w:val="20"/>
                <w:lang w:eastAsia="cs-CZ"/>
              </w:rPr>
              <w:t xml:space="preserve">Středočeský Fond kultury a obnovy památek </w:t>
            </w:r>
          </w:p>
        </w:tc>
        <w:tc>
          <w:tcPr>
            <w:tcW w:w="1143" w:type="dxa"/>
            <w:tcBorders>
              <w:top w:val="nil"/>
              <w:left w:val="single" w:sz="4" w:space="0" w:color="auto"/>
              <w:bottom w:val="single" w:sz="4" w:space="0" w:color="auto"/>
              <w:right w:val="single" w:sz="4" w:space="0" w:color="auto"/>
            </w:tcBorders>
            <w:shd w:val="clear" w:color="auto" w:fill="auto"/>
            <w:noWrap/>
            <w:vAlign w:val="bottom"/>
            <w:hideMark/>
          </w:tcPr>
          <w:p w14:paraId="0B0C62EB"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0</w:t>
            </w:r>
          </w:p>
        </w:tc>
        <w:tc>
          <w:tcPr>
            <w:tcW w:w="1590" w:type="dxa"/>
            <w:tcBorders>
              <w:top w:val="nil"/>
              <w:left w:val="nil"/>
              <w:bottom w:val="single" w:sz="4" w:space="0" w:color="auto"/>
              <w:right w:val="single" w:sz="4" w:space="0" w:color="auto"/>
            </w:tcBorders>
            <w:shd w:val="clear" w:color="auto" w:fill="auto"/>
            <w:noWrap/>
            <w:vAlign w:val="bottom"/>
            <w:hideMark/>
          </w:tcPr>
          <w:p w14:paraId="753B7735"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47 600 000,00</w:t>
            </w:r>
          </w:p>
        </w:tc>
        <w:tc>
          <w:tcPr>
            <w:tcW w:w="1550" w:type="dxa"/>
            <w:tcBorders>
              <w:top w:val="nil"/>
              <w:left w:val="nil"/>
              <w:bottom w:val="single" w:sz="4" w:space="0" w:color="auto"/>
              <w:right w:val="single" w:sz="4" w:space="0" w:color="auto"/>
            </w:tcBorders>
            <w:shd w:val="clear" w:color="auto" w:fill="auto"/>
            <w:noWrap/>
            <w:vAlign w:val="bottom"/>
            <w:hideMark/>
          </w:tcPr>
          <w:p w14:paraId="0559220C"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25 952 240,51</w:t>
            </w:r>
          </w:p>
        </w:tc>
        <w:tc>
          <w:tcPr>
            <w:tcW w:w="906" w:type="dxa"/>
            <w:tcBorders>
              <w:top w:val="nil"/>
              <w:left w:val="nil"/>
              <w:bottom w:val="single" w:sz="4" w:space="0" w:color="auto"/>
              <w:right w:val="single" w:sz="8" w:space="0" w:color="auto"/>
            </w:tcBorders>
            <w:shd w:val="clear" w:color="auto" w:fill="auto"/>
            <w:noWrap/>
            <w:vAlign w:val="bottom"/>
            <w:hideMark/>
          </w:tcPr>
          <w:p w14:paraId="477BC827"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54,5</w:t>
            </w:r>
          </w:p>
        </w:tc>
      </w:tr>
      <w:tr w:rsidR="008B459E" w:rsidRPr="008B459E" w14:paraId="61849625" w14:textId="77777777" w:rsidTr="00DE02EE">
        <w:trPr>
          <w:trHeight w:val="257"/>
        </w:trPr>
        <w:tc>
          <w:tcPr>
            <w:tcW w:w="964" w:type="dxa"/>
            <w:tcBorders>
              <w:top w:val="nil"/>
              <w:left w:val="single" w:sz="8" w:space="0" w:color="auto"/>
              <w:bottom w:val="single" w:sz="4" w:space="0" w:color="auto"/>
              <w:right w:val="single" w:sz="4" w:space="0" w:color="auto"/>
            </w:tcBorders>
            <w:shd w:val="clear" w:color="auto" w:fill="auto"/>
            <w:noWrap/>
            <w:vAlign w:val="bottom"/>
            <w:hideMark/>
          </w:tcPr>
          <w:p w14:paraId="71A5F5B3" w14:textId="77777777" w:rsidR="008B459E" w:rsidRPr="008B459E" w:rsidRDefault="008B459E" w:rsidP="008B459E">
            <w:pPr>
              <w:spacing w:after="0" w:line="240" w:lineRule="auto"/>
              <w:jc w:val="center"/>
              <w:rPr>
                <w:rFonts w:ascii="Calibri" w:eastAsia="Times New Roman" w:hAnsi="Calibri" w:cs="Arial"/>
                <w:sz w:val="20"/>
                <w:szCs w:val="20"/>
                <w:lang w:eastAsia="cs-CZ"/>
              </w:rPr>
            </w:pPr>
            <w:r w:rsidRPr="008B459E">
              <w:rPr>
                <w:rFonts w:ascii="Calibri" w:eastAsia="Times New Roman" w:hAnsi="Calibri" w:cs="Arial"/>
                <w:sz w:val="20"/>
                <w:szCs w:val="20"/>
                <w:lang w:eastAsia="cs-CZ"/>
              </w:rPr>
              <w:t>06</w:t>
            </w:r>
          </w:p>
        </w:tc>
        <w:tc>
          <w:tcPr>
            <w:tcW w:w="4479" w:type="dxa"/>
            <w:tcBorders>
              <w:top w:val="nil"/>
              <w:left w:val="nil"/>
              <w:bottom w:val="single" w:sz="4" w:space="0" w:color="auto"/>
              <w:right w:val="nil"/>
            </w:tcBorders>
            <w:shd w:val="clear" w:color="auto" w:fill="auto"/>
            <w:vAlign w:val="bottom"/>
            <w:hideMark/>
          </w:tcPr>
          <w:p w14:paraId="06CFBD01" w14:textId="77777777" w:rsidR="008B459E" w:rsidRPr="008B459E" w:rsidRDefault="008B459E" w:rsidP="008B459E">
            <w:pPr>
              <w:spacing w:after="0" w:line="240" w:lineRule="auto"/>
              <w:rPr>
                <w:rFonts w:ascii="Calibri" w:eastAsia="Times New Roman" w:hAnsi="Calibri" w:cs="Arial"/>
                <w:sz w:val="20"/>
                <w:szCs w:val="20"/>
                <w:lang w:eastAsia="cs-CZ"/>
              </w:rPr>
            </w:pPr>
            <w:r w:rsidRPr="008B459E">
              <w:rPr>
                <w:rFonts w:ascii="Calibri" w:eastAsia="Times New Roman" w:hAnsi="Calibri" w:cs="Arial"/>
                <w:sz w:val="20"/>
                <w:szCs w:val="20"/>
                <w:lang w:eastAsia="cs-CZ"/>
              </w:rPr>
              <w:t>Středočeský Fond rozvoje doprovodné infrastruktury</w:t>
            </w:r>
          </w:p>
        </w:tc>
        <w:tc>
          <w:tcPr>
            <w:tcW w:w="1143" w:type="dxa"/>
            <w:tcBorders>
              <w:top w:val="nil"/>
              <w:left w:val="single" w:sz="4" w:space="0" w:color="auto"/>
              <w:bottom w:val="single" w:sz="4" w:space="0" w:color="auto"/>
              <w:right w:val="single" w:sz="4" w:space="0" w:color="auto"/>
            </w:tcBorders>
            <w:shd w:val="clear" w:color="auto" w:fill="auto"/>
            <w:noWrap/>
            <w:vAlign w:val="bottom"/>
            <w:hideMark/>
          </w:tcPr>
          <w:p w14:paraId="6A929545"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0</w:t>
            </w:r>
          </w:p>
        </w:tc>
        <w:tc>
          <w:tcPr>
            <w:tcW w:w="1590" w:type="dxa"/>
            <w:tcBorders>
              <w:top w:val="nil"/>
              <w:left w:val="nil"/>
              <w:bottom w:val="single" w:sz="4" w:space="0" w:color="auto"/>
              <w:right w:val="single" w:sz="4" w:space="0" w:color="auto"/>
            </w:tcBorders>
            <w:shd w:val="clear" w:color="auto" w:fill="auto"/>
            <w:noWrap/>
            <w:vAlign w:val="bottom"/>
            <w:hideMark/>
          </w:tcPr>
          <w:p w14:paraId="147563F7"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16 205 194,00</w:t>
            </w:r>
          </w:p>
        </w:tc>
        <w:tc>
          <w:tcPr>
            <w:tcW w:w="1550" w:type="dxa"/>
            <w:tcBorders>
              <w:top w:val="nil"/>
              <w:left w:val="nil"/>
              <w:bottom w:val="single" w:sz="4" w:space="0" w:color="auto"/>
              <w:right w:val="single" w:sz="4" w:space="0" w:color="auto"/>
            </w:tcBorders>
            <w:shd w:val="clear" w:color="auto" w:fill="auto"/>
            <w:noWrap/>
            <w:vAlign w:val="bottom"/>
            <w:hideMark/>
          </w:tcPr>
          <w:p w14:paraId="7688C3C8"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15 337 638,00</w:t>
            </w:r>
          </w:p>
        </w:tc>
        <w:tc>
          <w:tcPr>
            <w:tcW w:w="906" w:type="dxa"/>
            <w:tcBorders>
              <w:top w:val="nil"/>
              <w:left w:val="nil"/>
              <w:bottom w:val="single" w:sz="4" w:space="0" w:color="auto"/>
              <w:right w:val="single" w:sz="8" w:space="0" w:color="auto"/>
            </w:tcBorders>
            <w:shd w:val="clear" w:color="auto" w:fill="auto"/>
            <w:noWrap/>
            <w:vAlign w:val="bottom"/>
            <w:hideMark/>
          </w:tcPr>
          <w:p w14:paraId="77CBD3AD"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94,6</w:t>
            </w:r>
          </w:p>
        </w:tc>
      </w:tr>
      <w:tr w:rsidR="008B459E" w:rsidRPr="008B459E" w14:paraId="0FCBFF7A" w14:textId="77777777" w:rsidTr="008B459E">
        <w:trPr>
          <w:trHeight w:val="403"/>
        </w:trPr>
        <w:tc>
          <w:tcPr>
            <w:tcW w:w="964" w:type="dxa"/>
            <w:tcBorders>
              <w:top w:val="nil"/>
              <w:left w:val="single" w:sz="8" w:space="0" w:color="auto"/>
              <w:bottom w:val="single" w:sz="4" w:space="0" w:color="auto"/>
              <w:right w:val="single" w:sz="4" w:space="0" w:color="auto"/>
            </w:tcBorders>
            <w:shd w:val="clear" w:color="auto" w:fill="auto"/>
            <w:noWrap/>
            <w:vAlign w:val="bottom"/>
            <w:hideMark/>
          </w:tcPr>
          <w:p w14:paraId="368104D9" w14:textId="77777777" w:rsidR="008B459E" w:rsidRPr="008B459E" w:rsidRDefault="008B459E" w:rsidP="008B459E">
            <w:pPr>
              <w:spacing w:after="0" w:line="240" w:lineRule="auto"/>
              <w:jc w:val="center"/>
              <w:rPr>
                <w:rFonts w:ascii="Calibri" w:eastAsia="Times New Roman" w:hAnsi="Calibri" w:cs="Arial"/>
                <w:sz w:val="20"/>
                <w:szCs w:val="20"/>
                <w:lang w:eastAsia="cs-CZ"/>
              </w:rPr>
            </w:pPr>
            <w:r w:rsidRPr="008B459E">
              <w:rPr>
                <w:rFonts w:ascii="Calibri" w:eastAsia="Times New Roman" w:hAnsi="Calibri" w:cs="Arial"/>
                <w:sz w:val="20"/>
                <w:szCs w:val="20"/>
                <w:lang w:eastAsia="cs-CZ"/>
              </w:rPr>
              <w:t>07</w:t>
            </w:r>
          </w:p>
        </w:tc>
        <w:tc>
          <w:tcPr>
            <w:tcW w:w="4479" w:type="dxa"/>
            <w:tcBorders>
              <w:top w:val="nil"/>
              <w:left w:val="nil"/>
              <w:bottom w:val="single" w:sz="4" w:space="0" w:color="auto"/>
              <w:right w:val="nil"/>
            </w:tcBorders>
            <w:shd w:val="clear" w:color="auto" w:fill="auto"/>
            <w:vAlign w:val="bottom"/>
            <w:hideMark/>
          </w:tcPr>
          <w:p w14:paraId="0EA3D8E5" w14:textId="77777777" w:rsidR="008B459E" w:rsidRPr="008B459E" w:rsidRDefault="008B459E" w:rsidP="008B459E">
            <w:pPr>
              <w:spacing w:after="0" w:line="240" w:lineRule="auto"/>
              <w:rPr>
                <w:rFonts w:ascii="Calibri" w:eastAsia="Times New Roman" w:hAnsi="Calibri" w:cs="Arial"/>
                <w:sz w:val="20"/>
                <w:szCs w:val="20"/>
                <w:lang w:eastAsia="cs-CZ"/>
              </w:rPr>
            </w:pPr>
            <w:r w:rsidRPr="008B459E">
              <w:rPr>
                <w:rFonts w:ascii="Calibri" w:eastAsia="Times New Roman" w:hAnsi="Calibri" w:cs="Arial"/>
                <w:sz w:val="20"/>
                <w:szCs w:val="20"/>
                <w:lang w:eastAsia="cs-CZ"/>
              </w:rPr>
              <w:t>Středočeský humanitární fond - oblast zdravotnická</w:t>
            </w:r>
          </w:p>
        </w:tc>
        <w:tc>
          <w:tcPr>
            <w:tcW w:w="1143" w:type="dxa"/>
            <w:tcBorders>
              <w:top w:val="nil"/>
              <w:left w:val="single" w:sz="4" w:space="0" w:color="auto"/>
              <w:bottom w:val="single" w:sz="4" w:space="0" w:color="auto"/>
              <w:right w:val="single" w:sz="4" w:space="0" w:color="auto"/>
            </w:tcBorders>
            <w:shd w:val="clear" w:color="auto" w:fill="auto"/>
            <w:noWrap/>
            <w:vAlign w:val="bottom"/>
            <w:hideMark/>
          </w:tcPr>
          <w:p w14:paraId="3EC4776C"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0</w:t>
            </w:r>
          </w:p>
        </w:tc>
        <w:tc>
          <w:tcPr>
            <w:tcW w:w="1590" w:type="dxa"/>
            <w:tcBorders>
              <w:top w:val="nil"/>
              <w:left w:val="nil"/>
              <w:bottom w:val="single" w:sz="4" w:space="0" w:color="auto"/>
              <w:right w:val="single" w:sz="4" w:space="0" w:color="auto"/>
            </w:tcBorders>
            <w:shd w:val="clear" w:color="auto" w:fill="auto"/>
            <w:noWrap/>
            <w:vAlign w:val="bottom"/>
            <w:hideMark/>
          </w:tcPr>
          <w:p w14:paraId="122646D9"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3 000 000,00</w:t>
            </w:r>
          </w:p>
        </w:tc>
        <w:tc>
          <w:tcPr>
            <w:tcW w:w="1550" w:type="dxa"/>
            <w:tcBorders>
              <w:top w:val="nil"/>
              <w:left w:val="nil"/>
              <w:bottom w:val="single" w:sz="4" w:space="0" w:color="auto"/>
              <w:right w:val="single" w:sz="4" w:space="0" w:color="auto"/>
            </w:tcBorders>
            <w:shd w:val="clear" w:color="auto" w:fill="auto"/>
            <w:noWrap/>
            <w:vAlign w:val="bottom"/>
            <w:hideMark/>
          </w:tcPr>
          <w:p w14:paraId="6178B9CA"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2 606 358,00</w:t>
            </w:r>
          </w:p>
        </w:tc>
        <w:tc>
          <w:tcPr>
            <w:tcW w:w="906" w:type="dxa"/>
            <w:tcBorders>
              <w:top w:val="nil"/>
              <w:left w:val="nil"/>
              <w:bottom w:val="single" w:sz="4" w:space="0" w:color="auto"/>
              <w:right w:val="single" w:sz="8" w:space="0" w:color="auto"/>
            </w:tcBorders>
            <w:shd w:val="clear" w:color="auto" w:fill="auto"/>
            <w:noWrap/>
            <w:vAlign w:val="bottom"/>
            <w:hideMark/>
          </w:tcPr>
          <w:p w14:paraId="6F7C54BE"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86,9</w:t>
            </w:r>
          </w:p>
        </w:tc>
      </w:tr>
      <w:tr w:rsidR="008B459E" w:rsidRPr="008B459E" w14:paraId="46BBDD03" w14:textId="77777777" w:rsidTr="008B459E">
        <w:trPr>
          <w:trHeight w:val="520"/>
        </w:trPr>
        <w:tc>
          <w:tcPr>
            <w:tcW w:w="964" w:type="dxa"/>
            <w:tcBorders>
              <w:top w:val="nil"/>
              <w:left w:val="single" w:sz="8" w:space="0" w:color="auto"/>
              <w:bottom w:val="single" w:sz="4" w:space="0" w:color="auto"/>
              <w:right w:val="single" w:sz="4" w:space="0" w:color="auto"/>
            </w:tcBorders>
            <w:shd w:val="clear" w:color="auto" w:fill="auto"/>
            <w:noWrap/>
            <w:vAlign w:val="bottom"/>
            <w:hideMark/>
          </w:tcPr>
          <w:p w14:paraId="2014A7F1" w14:textId="77777777" w:rsidR="008B459E" w:rsidRPr="008B459E" w:rsidRDefault="008B459E" w:rsidP="008B459E">
            <w:pPr>
              <w:spacing w:after="0" w:line="240" w:lineRule="auto"/>
              <w:jc w:val="center"/>
              <w:rPr>
                <w:rFonts w:ascii="Calibri" w:eastAsia="Times New Roman" w:hAnsi="Calibri" w:cs="Arial"/>
                <w:sz w:val="20"/>
                <w:szCs w:val="20"/>
                <w:lang w:eastAsia="cs-CZ"/>
              </w:rPr>
            </w:pPr>
            <w:r w:rsidRPr="008B459E">
              <w:rPr>
                <w:rFonts w:ascii="Calibri" w:eastAsia="Times New Roman" w:hAnsi="Calibri" w:cs="Arial"/>
                <w:sz w:val="20"/>
                <w:szCs w:val="20"/>
                <w:lang w:eastAsia="cs-CZ"/>
              </w:rPr>
              <w:t>09</w:t>
            </w:r>
          </w:p>
        </w:tc>
        <w:tc>
          <w:tcPr>
            <w:tcW w:w="4479" w:type="dxa"/>
            <w:tcBorders>
              <w:top w:val="nil"/>
              <w:left w:val="nil"/>
              <w:bottom w:val="single" w:sz="4" w:space="0" w:color="auto"/>
              <w:right w:val="nil"/>
            </w:tcBorders>
            <w:shd w:val="clear" w:color="auto" w:fill="auto"/>
            <w:vAlign w:val="center"/>
            <w:hideMark/>
          </w:tcPr>
          <w:p w14:paraId="537B7A01" w14:textId="77777777" w:rsidR="008B459E" w:rsidRPr="008B459E" w:rsidRDefault="008B459E" w:rsidP="008B459E">
            <w:pPr>
              <w:spacing w:after="0" w:line="240" w:lineRule="auto"/>
              <w:rPr>
                <w:rFonts w:ascii="Calibri" w:eastAsia="Times New Roman" w:hAnsi="Calibri" w:cs="Arial"/>
                <w:sz w:val="20"/>
                <w:szCs w:val="20"/>
                <w:lang w:eastAsia="cs-CZ"/>
              </w:rPr>
            </w:pPr>
            <w:r w:rsidRPr="008B459E">
              <w:rPr>
                <w:rFonts w:ascii="Calibri" w:eastAsia="Times New Roman" w:hAnsi="Calibri" w:cs="Arial"/>
                <w:sz w:val="20"/>
                <w:szCs w:val="20"/>
                <w:lang w:eastAsia="cs-CZ"/>
              </w:rPr>
              <w:t>Středočeský Infrastrukturní fond: Tematické zadání Podpora rozvoje a obnovy základních a mateřských škol</w:t>
            </w:r>
          </w:p>
        </w:tc>
        <w:tc>
          <w:tcPr>
            <w:tcW w:w="1143" w:type="dxa"/>
            <w:tcBorders>
              <w:top w:val="nil"/>
              <w:left w:val="single" w:sz="4" w:space="0" w:color="auto"/>
              <w:bottom w:val="single" w:sz="4" w:space="0" w:color="auto"/>
              <w:right w:val="single" w:sz="4" w:space="0" w:color="auto"/>
            </w:tcBorders>
            <w:shd w:val="clear" w:color="auto" w:fill="auto"/>
            <w:noWrap/>
            <w:vAlign w:val="bottom"/>
            <w:hideMark/>
          </w:tcPr>
          <w:p w14:paraId="43044DB5"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0</w:t>
            </w:r>
          </w:p>
        </w:tc>
        <w:tc>
          <w:tcPr>
            <w:tcW w:w="1590" w:type="dxa"/>
            <w:tcBorders>
              <w:top w:val="nil"/>
              <w:left w:val="nil"/>
              <w:bottom w:val="single" w:sz="4" w:space="0" w:color="auto"/>
              <w:right w:val="single" w:sz="4" w:space="0" w:color="auto"/>
            </w:tcBorders>
            <w:shd w:val="clear" w:color="auto" w:fill="auto"/>
            <w:noWrap/>
            <w:vAlign w:val="bottom"/>
            <w:hideMark/>
          </w:tcPr>
          <w:p w14:paraId="1725EE53"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124 913 607,61</w:t>
            </w:r>
          </w:p>
        </w:tc>
        <w:tc>
          <w:tcPr>
            <w:tcW w:w="1550" w:type="dxa"/>
            <w:tcBorders>
              <w:top w:val="nil"/>
              <w:left w:val="nil"/>
              <w:bottom w:val="single" w:sz="4" w:space="0" w:color="auto"/>
              <w:right w:val="single" w:sz="4" w:space="0" w:color="auto"/>
            </w:tcBorders>
            <w:shd w:val="clear" w:color="auto" w:fill="auto"/>
            <w:noWrap/>
            <w:vAlign w:val="bottom"/>
            <w:hideMark/>
          </w:tcPr>
          <w:p w14:paraId="2534AA44"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75 776 455,55</w:t>
            </w:r>
          </w:p>
        </w:tc>
        <w:tc>
          <w:tcPr>
            <w:tcW w:w="906" w:type="dxa"/>
            <w:tcBorders>
              <w:top w:val="nil"/>
              <w:left w:val="nil"/>
              <w:bottom w:val="single" w:sz="4" w:space="0" w:color="auto"/>
              <w:right w:val="single" w:sz="8" w:space="0" w:color="auto"/>
            </w:tcBorders>
            <w:shd w:val="clear" w:color="auto" w:fill="auto"/>
            <w:noWrap/>
            <w:vAlign w:val="bottom"/>
            <w:hideMark/>
          </w:tcPr>
          <w:p w14:paraId="7074AA72"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60,7</w:t>
            </w:r>
          </w:p>
        </w:tc>
      </w:tr>
      <w:tr w:rsidR="008B459E" w:rsidRPr="008B459E" w14:paraId="536001FC" w14:textId="77777777" w:rsidTr="00DE02EE">
        <w:trPr>
          <w:trHeight w:val="250"/>
        </w:trPr>
        <w:tc>
          <w:tcPr>
            <w:tcW w:w="964" w:type="dxa"/>
            <w:tcBorders>
              <w:top w:val="nil"/>
              <w:left w:val="single" w:sz="8" w:space="0" w:color="auto"/>
              <w:bottom w:val="single" w:sz="4" w:space="0" w:color="auto"/>
              <w:right w:val="single" w:sz="4" w:space="0" w:color="auto"/>
            </w:tcBorders>
            <w:shd w:val="clear" w:color="auto" w:fill="auto"/>
            <w:noWrap/>
            <w:vAlign w:val="bottom"/>
            <w:hideMark/>
          </w:tcPr>
          <w:p w14:paraId="301A90D6" w14:textId="77777777" w:rsidR="008B459E" w:rsidRPr="008B459E" w:rsidRDefault="008B459E" w:rsidP="008B459E">
            <w:pPr>
              <w:spacing w:after="0" w:line="240" w:lineRule="auto"/>
              <w:jc w:val="center"/>
              <w:rPr>
                <w:rFonts w:ascii="Calibri" w:eastAsia="Times New Roman" w:hAnsi="Calibri" w:cs="Arial"/>
                <w:sz w:val="20"/>
                <w:szCs w:val="20"/>
                <w:lang w:eastAsia="cs-CZ"/>
              </w:rPr>
            </w:pPr>
            <w:r w:rsidRPr="008B459E">
              <w:rPr>
                <w:rFonts w:ascii="Calibri" w:eastAsia="Times New Roman" w:hAnsi="Calibri" w:cs="Arial"/>
                <w:sz w:val="20"/>
                <w:szCs w:val="20"/>
                <w:lang w:eastAsia="cs-CZ"/>
              </w:rPr>
              <w:t>09</w:t>
            </w:r>
          </w:p>
        </w:tc>
        <w:tc>
          <w:tcPr>
            <w:tcW w:w="4479" w:type="dxa"/>
            <w:tcBorders>
              <w:top w:val="nil"/>
              <w:left w:val="nil"/>
              <w:bottom w:val="single" w:sz="4" w:space="0" w:color="auto"/>
              <w:right w:val="nil"/>
            </w:tcBorders>
            <w:shd w:val="clear" w:color="auto" w:fill="auto"/>
            <w:vAlign w:val="bottom"/>
            <w:hideMark/>
          </w:tcPr>
          <w:p w14:paraId="063325EE" w14:textId="77777777" w:rsidR="008B459E" w:rsidRPr="008B459E" w:rsidRDefault="008B459E" w:rsidP="008B459E">
            <w:pPr>
              <w:spacing w:after="0" w:line="240" w:lineRule="auto"/>
              <w:rPr>
                <w:rFonts w:ascii="Calibri" w:eastAsia="Times New Roman" w:hAnsi="Calibri" w:cs="Arial"/>
                <w:sz w:val="20"/>
                <w:szCs w:val="20"/>
                <w:lang w:eastAsia="cs-CZ"/>
              </w:rPr>
            </w:pPr>
            <w:r w:rsidRPr="008B459E">
              <w:rPr>
                <w:rFonts w:ascii="Calibri" w:eastAsia="Times New Roman" w:hAnsi="Calibri" w:cs="Arial"/>
                <w:sz w:val="20"/>
                <w:szCs w:val="20"/>
                <w:lang w:eastAsia="cs-CZ"/>
              </w:rPr>
              <w:t>Středočeský Fond obnovy venkova</w:t>
            </w:r>
          </w:p>
        </w:tc>
        <w:tc>
          <w:tcPr>
            <w:tcW w:w="1143" w:type="dxa"/>
            <w:tcBorders>
              <w:top w:val="nil"/>
              <w:left w:val="single" w:sz="4" w:space="0" w:color="auto"/>
              <w:bottom w:val="single" w:sz="4" w:space="0" w:color="auto"/>
              <w:right w:val="single" w:sz="4" w:space="0" w:color="auto"/>
            </w:tcBorders>
            <w:shd w:val="clear" w:color="auto" w:fill="auto"/>
            <w:noWrap/>
            <w:vAlign w:val="bottom"/>
            <w:hideMark/>
          </w:tcPr>
          <w:p w14:paraId="7342DA2C"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20 000 000</w:t>
            </w:r>
          </w:p>
        </w:tc>
        <w:tc>
          <w:tcPr>
            <w:tcW w:w="1590" w:type="dxa"/>
            <w:tcBorders>
              <w:top w:val="nil"/>
              <w:left w:val="nil"/>
              <w:bottom w:val="single" w:sz="4" w:space="0" w:color="auto"/>
              <w:right w:val="single" w:sz="4" w:space="0" w:color="auto"/>
            </w:tcBorders>
            <w:shd w:val="clear" w:color="auto" w:fill="auto"/>
            <w:noWrap/>
            <w:vAlign w:val="bottom"/>
            <w:hideMark/>
          </w:tcPr>
          <w:p w14:paraId="66B8CB75"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201 737 783,00</w:t>
            </w:r>
          </w:p>
        </w:tc>
        <w:tc>
          <w:tcPr>
            <w:tcW w:w="1550" w:type="dxa"/>
            <w:tcBorders>
              <w:top w:val="nil"/>
              <w:left w:val="nil"/>
              <w:bottom w:val="single" w:sz="4" w:space="0" w:color="auto"/>
              <w:right w:val="single" w:sz="4" w:space="0" w:color="auto"/>
            </w:tcBorders>
            <w:shd w:val="clear" w:color="auto" w:fill="auto"/>
            <w:noWrap/>
            <w:vAlign w:val="bottom"/>
            <w:hideMark/>
          </w:tcPr>
          <w:p w14:paraId="5A6242E9"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181 339 593,00</w:t>
            </w:r>
          </w:p>
        </w:tc>
        <w:tc>
          <w:tcPr>
            <w:tcW w:w="906" w:type="dxa"/>
            <w:tcBorders>
              <w:top w:val="nil"/>
              <w:left w:val="nil"/>
              <w:bottom w:val="single" w:sz="4" w:space="0" w:color="auto"/>
              <w:right w:val="single" w:sz="8" w:space="0" w:color="auto"/>
            </w:tcBorders>
            <w:shd w:val="clear" w:color="auto" w:fill="auto"/>
            <w:noWrap/>
            <w:vAlign w:val="bottom"/>
            <w:hideMark/>
          </w:tcPr>
          <w:p w14:paraId="06ADC4B5"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89,9</w:t>
            </w:r>
          </w:p>
        </w:tc>
      </w:tr>
      <w:tr w:rsidR="008B459E" w:rsidRPr="008B459E" w14:paraId="5D42B1A1" w14:textId="77777777" w:rsidTr="008B459E">
        <w:trPr>
          <w:trHeight w:val="403"/>
        </w:trPr>
        <w:tc>
          <w:tcPr>
            <w:tcW w:w="964" w:type="dxa"/>
            <w:tcBorders>
              <w:top w:val="nil"/>
              <w:left w:val="single" w:sz="8" w:space="0" w:color="auto"/>
              <w:bottom w:val="single" w:sz="4" w:space="0" w:color="auto"/>
              <w:right w:val="single" w:sz="4" w:space="0" w:color="auto"/>
            </w:tcBorders>
            <w:shd w:val="clear" w:color="auto" w:fill="auto"/>
            <w:noWrap/>
            <w:vAlign w:val="bottom"/>
            <w:hideMark/>
          </w:tcPr>
          <w:p w14:paraId="2538FD29" w14:textId="77777777" w:rsidR="008B459E" w:rsidRPr="008B459E" w:rsidRDefault="008B459E" w:rsidP="008B459E">
            <w:pPr>
              <w:spacing w:after="0" w:line="240" w:lineRule="auto"/>
              <w:jc w:val="center"/>
              <w:rPr>
                <w:rFonts w:ascii="Calibri" w:eastAsia="Times New Roman" w:hAnsi="Calibri" w:cs="Arial"/>
                <w:sz w:val="20"/>
                <w:szCs w:val="20"/>
                <w:lang w:eastAsia="cs-CZ"/>
              </w:rPr>
            </w:pPr>
            <w:r w:rsidRPr="008B459E">
              <w:rPr>
                <w:rFonts w:ascii="Calibri" w:eastAsia="Times New Roman" w:hAnsi="Calibri" w:cs="Arial"/>
                <w:sz w:val="20"/>
                <w:szCs w:val="20"/>
                <w:lang w:eastAsia="cs-CZ"/>
              </w:rPr>
              <w:t>09</w:t>
            </w:r>
          </w:p>
        </w:tc>
        <w:tc>
          <w:tcPr>
            <w:tcW w:w="4479" w:type="dxa"/>
            <w:tcBorders>
              <w:top w:val="nil"/>
              <w:left w:val="nil"/>
              <w:bottom w:val="single" w:sz="4" w:space="0" w:color="auto"/>
              <w:right w:val="nil"/>
            </w:tcBorders>
            <w:shd w:val="clear" w:color="auto" w:fill="auto"/>
            <w:noWrap/>
            <w:vAlign w:val="bottom"/>
            <w:hideMark/>
          </w:tcPr>
          <w:p w14:paraId="1654D4DB" w14:textId="77777777" w:rsidR="008B459E" w:rsidRPr="008B459E" w:rsidRDefault="008B459E" w:rsidP="008B459E">
            <w:pPr>
              <w:spacing w:after="0" w:line="240" w:lineRule="auto"/>
              <w:rPr>
                <w:rFonts w:ascii="Calibri" w:eastAsia="Times New Roman" w:hAnsi="Calibri" w:cs="Arial"/>
                <w:sz w:val="20"/>
                <w:szCs w:val="20"/>
                <w:lang w:eastAsia="cs-CZ"/>
              </w:rPr>
            </w:pPr>
            <w:r w:rsidRPr="008B459E">
              <w:rPr>
                <w:rFonts w:ascii="Calibri" w:eastAsia="Times New Roman" w:hAnsi="Calibri" w:cs="Arial"/>
                <w:sz w:val="20"/>
                <w:szCs w:val="20"/>
                <w:lang w:eastAsia="cs-CZ"/>
              </w:rPr>
              <w:t>Středočeský Fond podpory včasné přípravy projektů EU 2021+ a NIP</w:t>
            </w:r>
          </w:p>
        </w:tc>
        <w:tc>
          <w:tcPr>
            <w:tcW w:w="1143" w:type="dxa"/>
            <w:tcBorders>
              <w:top w:val="nil"/>
              <w:left w:val="single" w:sz="4" w:space="0" w:color="auto"/>
              <w:bottom w:val="single" w:sz="4" w:space="0" w:color="auto"/>
              <w:right w:val="single" w:sz="4" w:space="0" w:color="auto"/>
            </w:tcBorders>
            <w:shd w:val="clear" w:color="auto" w:fill="auto"/>
            <w:noWrap/>
            <w:vAlign w:val="bottom"/>
            <w:hideMark/>
          </w:tcPr>
          <w:p w14:paraId="4F76898F"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0</w:t>
            </w:r>
          </w:p>
        </w:tc>
        <w:tc>
          <w:tcPr>
            <w:tcW w:w="1590" w:type="dxa"/>
            <w:tcBorders>
              <w:top w:val="nil"/>
              <w:left w:val="nil"/>
              <w:bottom w:val="single" w:sz="4" w:space="0" w:color="auto"/>
              <w:right w:val="single" w:sz="4" w:space="0" w:color="auto"/>
            </w:tcBorders>
            <w:shd w:val="clear" w:color="auto" w:fill="auto"/>
            <w:noWrap/>
            <w:vAlign w:val="bottom"/>
            <w:hideMark/>
          </w:tcPr>
          <w:p w14:paraId="11880F0A"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60 609 601,99</w:t>
            </w:r>
          </w:p>
        </w:tc>
        <w:tc>
          <w:tcPr>
            <w:tcW w:w="1550" w:type="dxa"/>
            <w:tcBorders>
              <w:top w:val="nil"/>
              <w:left w:val="nil"/>
              <w:bottom w:val="single" w:sz="4" w:space="0" w:color="auto"/>
              <w:right w:val="single" w:sz="4" w:space="0" w:color="auto"/>
            </w:tcBorders>
            <w:shd w:val="clear" w:color="auto" w:fill="auto"/>
            <w:noWrap/>
            <w:vAlign w:val="bottom"/>
            <w:hideMark/>
          </w:tcPr>
          <w:p w14:paraId="2BB5AF2D"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17 158 013,00</w:t>
            </w:r>
          </w:p>
        </w:tc>
        <w:tc>
          <w:tcPr>
            <w:tcW w:w="906" w:type="dxa"/>
            <w:tcBorders>
              <w:top w:val="nil"/>
              <w:left w:val="nil"/>
              <w:bottom w:val="single" w:sz="4" w:space="0" w:color="auto"/>
              <w:right w:val="single" w:sz="8" w:space="0" w:color="auto"/>
            </w:tcBorders>
            <w:shd w:val="clear" w:color="auto" w:fill="auto"/>
            <w:noWrap/>
            <w:vAlign w:val="bottom"/>
            <w:hideMark/>
          </w:tcPr>
          <w:p w14:paraId="740E2231"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28,3</w:t>
            </w:r>
          </w:p>
        </w:tc>
      </w:tr>
      <w:tr w:rsidR="008B459E" w:rsidRPr="008B459E" w14:paraId="40FE8662" w14:textId="77777777" w:rsidTr="00DE02EE">
        <w:trPr>
          <w:trHeight w:val="345"/>
        </w:trPr>
        <w:tc>
          <w:tcPr>
            <w:tcW w:w="964" w:type="dxa"/>
            <w:tcBorders>
              <w:top w:val="nil"/>
              <w:left w:val="single" w:sz="8" w:space="0" w:color="auto"/>
              <w:bottom w:val="single" w:sz="4" w:space="0" w:color="auto"/>
              <w:right w:val="single" w:sz="4" w:space="0" w:color="auto"/>
            </w:tcBorders>
            <w:shd w:val="clear" w:color="auto" w:fill="auto"/>
            <w:noWrap/>
            <w:vAlign w:val="bottom"/>
            <w:hideMark/>
          </w:tcPr>
          <w:p w14:paraId="62A542D4" w14:textId="77777777" w:rsidR="008B459E" w:rsidRPr="008B459E" w:rsidRDefault="008B459E" w:rsidP="008B459E">
            <w:pPr>
              <w:spacing w:after="0" w:line="240" w:lineRule="auto"/>
              <w:jc w:val="center"/>
              <w:rPr>
                <w:rFonts w:ascii="Calibri" w:eastAsia="Times New Roman" w:hAnsi="Calibri" w:cs="Arial"/>
                <w:sz w:val="20"/>
                <w:szCs w:val="20"/>
                <w:lang w:eastAsia="cs-CZ"/>
              </w:rPr>
            </w:pPr>
            <w:r w:rsidRPr="008B459E">
              <w:rPr>
                <w:rFonts w:ascii="Calibri" w:eastAsia="Times New Roman" w:hAnsi="Calibri" w:cs="Arial"/>
                <w:sz w:val="20"/>
                <w:szCs w:val="20"/>
                <w:lang w:eastAsia="cs-CZ"/>
              </w:rPr>
              <w:t>09</w:t>
            </w:r>
          </w:p>
        </w:tc>
        <w:tc>
          <w:tcPr>
            <w:tcW w:w="4479" w:type="dxa"/>
            <w:tcBorders>
              <w:top w:val="nil"/>
              <w:left w:val="nil"/>
              <w:bottom w:val="nil"/>
              <w:right w:val="nil"/>
            </w:tcBorders>
            <w:shd w:val="clear" w:color="auto" w:fill="auto"/>
            <w:noWrap/>
            <w:vAlign w:val="bottom"/>
            <w:hideMark/>
          </w:tcPr>
          <w:p w14:paraId="7901BAF2" w14:textId="77777777" w:rsidR="008B459E" w:rsidRPr="008B459E" w:rsidRDefault="008B459E" w:rsidP="008B459E">
            <w:pPr>
              <w:spacing w:after="0" w:line="240" w:lineRule="auto"/>
              <w:rPr>
                <w:rFonts w:ascii="Calibri" w:eastAsia="Times New Roman" w:hAnsi="Calibri" w:cs="Arial"/>
                <w:sz w:val="20"/>
                <w:szCs w:val="20"/>
                <w:lang w:eastAsia="cs-CZ"/>
              </w:rPr>
            </w:pPr>
            <w:r w:rsidRPr="008B459E">
              <w:rPr>
                <w:rFonts w:ascii="Calibri" w:eastAsia="Times New Roman" w:hAnsi="Calibri" w:cs="Arial"/>
                <w:sz w:val="20"/>
                <w:szCs w:val="20"/>
                <w:lang w:eastAsia="cs-CZ"/>
              </w:rPr>
              <w:t>Středočeský Fond návratných finančních zdrojů</w:t>
            </w:r>
          </w:p>
        </w:tc>
        <w:tc>
          <w:tcPr>
            <w:tcW w:w="1143" w:type="dxa"/>
            <w:tcBorders>
              <w:top w:val="nil"/>
              <w:left w:val="single" w:sz="4" w:space="0" w:color="auto"/>
              <w:bottom w:val="single" w:sz="4" w:space="0" w:color="auto"/>
              <w:right w:val="single" w:sz="4" w:space="0" w:color="auto"/>
            </w:tcBorders>
            <w:shd w:val="clear" w:color="auto" w:fill="auto"/>
            <w:noWrap/>
            <w:vAlign w:val="bottom"/>
            <w:hideMark/>
          </w:tcPr>
          <w:p w14:paraId="526DC063"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0</w:t>
            </w:r>
          </w:p>
        </w:tc>
        <w:tc>
          <w:tcPr>
            <w:tcW w:w="1590" w:type="dxa"/>
            <w:tcBorders>
              <w:top w:val="nil"/>
              <w:left w:val="nil"/>
              <w:bottom w:val="single" w:sz="4" w:space="0" w:color="auto"/>
              <w:right w:val="single" w:sz="4" w:space="0" w:color="auto"/>
            </w:tcBorders>
            <w:shd w:val="clear" w:color="auto" w:fill="auto"/>
            <w:noWrap/>
            <w:vAlign w:val="bottom"/>
            <w:hideMark/>
          </w:tcPr>
          <w:p w14:paraId="577A7426"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20 000 000,00</w:t>
            </w:r>
          </w:p>
        </w:tc>
        <w:tc>
          <w:tcPr>
            <w:tcW w:w="1550" w:type="dxa"/>
            <w:tcBorders>
              <w:top w:val="nil"/>
              <w:left w:val="nil"/>
              <w:bottom w:val="single" w:sz="4" w:space="0" w:color="auto"/>
              <w:right w:val="single" w:sz="4" w:space="0" w:color="auto"/>
            </w:tcBorders>
            <w:shd w:val="clear" w:color="auto" w:fill="auto"/>
            <w:noWrap/>
            <w:vAlign w:val="bottom"/>
            <w:hideMark/>
          </w:tcPr>
          <w:p w14:paraId="0FC6BC03"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0,00</w:t>
            </w:r>
          </w:p>
        </w:tc>
        <w:tc>
          <w:tcPr>
            <w:tcW w:w="906" w:type="dxa"/>
            <w:tcBorders>
              <w:top w:val="nil"/>
              <w:left w:val="nil"/>
              <w:bottom w:val="single" w:sz="4" w:space="0" w:color="auto"/>
              <w:right w:val="single" w:sz="8" w:space="0" w:color="auto"/>
            </w:tcBorders>
            <w:shd w:val="clear" w:color="auto" w:fill="auto"/>
            <w:noWrap/>
            <w:vAlign w:val="bottom"/>
            <w:hideMark/>
          </w:tcPr>
          <w:p w14:paraId="56276946"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0,0</w:t>
            </w:r>
          </w:p>
        </w:tc>
      </w:tr>
      <w:tr w:rsidR="008B459E" w:rsidRPr="008B459E" w14:paraId="7F3A2AE2" w14:textId="77777777" w:rsidTr="00DE02EE">
        <w:trPr>
          <w:trHeight w:val="266"/>
        </w:trPr>
        <w:tc>
          <w:tcPr>
            <w:tcW w:w="964" w:type="dxa"/>
            <w:tcBorders>
              <w:top w:val="nil"/>
              <w:left w:val="single" w:sz="8" w:space="0" w:color="auto"/>
              <w:bottom w:val="single" w:sz="4" w:space="0" w:color="auto"/>
              <w:right w:val="single" w:sz="4" w:space="0" w:color="auto"/>
            </w:tcBorders>
            <w:shd w:val="clear" w:color="auto" w:fill="auto"/>
            <w:noWrap/>
            <w:vAlign w:val="bottom"/>
            <w:hideMark/>
          </w:tcPr>
          <w:p w14:paraId="7F764347" w14:textId="77777777" w:rsidR="008B459E" w:rsidRPr="008B459E" w:rsidRDefault="008B459E" w:rsidP="008B459E">
            <w:pPr>
              <w:spacing w:after="0" w:line="240" w:lineRule="auto"/>
              <w:jc w:val="center"/>
              <w:rPr>
                <w:rFonts w:ascii="Calibri" w:eastAsia="Times New Roman" w:hAnsi="Calibri" w:cs="Arial"/>
                <w:sz w:val="20"/>
                <w:szCs w:val="20"/>
                <w:lang w:eastAsia="cs-CZ"/>
              </w:rPr>
            </w:pPr>
            <w:r w:rsidRPr="008B459E">
              <w:rPr>
                <w:rFonts w:ascii="Calibri" w:eastAsia="Times New Roman" w:hAnsi="Calibri" w:cs="Arial"/>
                <w:sz w:val="20"/>
                <w:szCs w:val="20"/>
                <w:lang w:eastAsia="cs-CZ"/>
              </w:rPr>
              <w:t>09</w:t>
            </w:r>
          </w:p>
        </w:tc>
        <w:tc>
          <w:tcPr>
            <w:tcW w:w="4479" w:type="dxa"/>
            <w:tcBorders>
              <w:top w:val="single" w:sz="4" w:space="0" w:color="auto"/>
              <w:left w:val="nil"/>
              <w:bottom w:val="single" w:sz="4" w:space="0" w:color="auto"/>
              <w:right w:val="single" w:sz="4" w:space="0" w:color="auto"/>
            </w:tcBorders>
            <w:shd w:val="clear" w:color="auto" w:fill="auto"/>
            <w:vAlign w:val="bottom"/>
            <w:hideMark/>
          </w:tcPr>
          <w:p w14:paraId="76FFE749" w14:textId="77777777" w:rsidR="008B459E" w:rsidRPr="008B459E" w:rsidRDefault="008B459E" w:rsidP="008B459E">
            <w:pPr>
              <w:spacing w:after="0" w:line="240" w:lineRule="auto"/>
              <w:rPr>
                <w:rFonts w:ascii="Calibri" w:eastAsia="Times New Roman" w:hAnsi="Calibri" w:cs="Arial"/>
                <w:sz w:val="20"/>
                <w:szCs w:val="20"/>
                <w:lang w:eastAsia="cs-CZ"/>
              </w:rPr>
            </w:pPr>
            <w:r w:rsidRPr="008B459E">
              <w:rPr>
                <w:rFonts w:ascii="Calibri" w:eastAsia="Times New Roman" w:hAnsi="Calibri" w:cs="Arial"/>
                <w:sz w:val="20"/>
                <w:szCs w:val="20"/>
                <w:lang w:eastAsia="cs-CZ"/>
              </w:rPr>
              <w:t>Středočeský Fond na podporu výsadby stromů</w:t>
            </w:r>
          </w:p>
        </w:tc>
        <w:tc>
          <w:tcPr>
            <w:tcW w:w="1143" w:type="dxa"/>
            <w:tcBorders>
              <w:top w:val="nil"/>
              <w:left w:val="nil"/>
              <w:bottom w:val="single" w:sz="4" w:space="0" w:color="auto"/>
              <w:right w:val="single" w:sz="4" w:space="0" w:color="auto"/>
            </w:tcBorders>
            <w:shd w:val="clear" w:color="auto" w:fill="auto"/>
            <w:noWrap/>
            <w:vAlign w:val="bottom"/>
            <w:hideMark/>
          </w:tcPr>
          <w:p w14:paraId="5258DC52"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0</w:t>
            </w:r>
          </w:p>
        </w:tc>
        <w:tc>
          <w:tcPr>
            <w:tcW w:w="1590" w:type="dxa"/>
            <w:tcBorders>
              <w:top w:val="nil"/>
              <w:left w:val="nil"/>
              <w:bottom w:val="single" w:sz="4" w:space="0" w:color="auto"/>
              <w:right w:val="single" w:sz="4" w:space="0" w:color="auto"/>
            </w:tcBorders>
            <w:shd w:val="clear" w:color="auto" w:fill="auto"/>
            <w:noWrap/>
            <w:vAlign w:val="bottom"/>
            <w:hideMark/>
          </w:tcPr>
          <w:p w14:paraId="360918EC"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2 292 000,00</w:t>
            </w:r>
          </w:p>
        </w:tc>
        <w:tc>
          <w:tcPr>
            <w:tcW w:w="1550" w:type="dxa"/>
            <w:tcBorders>
              <w:top w:val="nil"/>
              <w:left w:val="nil"/>
              <w:bottom w:val="single" w:sz="4" w:space="0" w:color="auto"/>
              <w:right w:val="single" w:sz="4" w:space="0" w:color="auto"/>
            </w:tcBorders>
            <w:shd w:val="clear" w:color="auto" w:fill="auto"/>
            <w:noWrap/>
            <w:vAlign w:val="bottom"/>
            <w:hideMark/>
          </w:tcPr>
          <w:p w14:paraId="160DD520"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2 292 000,00</w:t>
            </w:r>
          </w:p>
        </w:tc>
        <w:tc>
          <w:tcPr>
            <w:tcW w:w="906" w:type="dxa"/>
            <w:tcBorders>
              <w:top w:val="nil"/>
              <w:left w:val="nil"/>
              <w:bottom w:val="single" w:sz="4" w:space="0" w:color="auto"/>
              <w:right w:val="single" w:sz="8" w:space="0" w:color="auto"/>
            </w:tcBorders>
            <w:shd w:val="clear" w:color="auto" w:fill="auto"/>
            <w:noWrap/>
            <w:vAlign w:val="bottom"/>
            <w:hideMark/>
          </w:tcPr>
          <w:p w14:paraId="2BB5F9BA"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100,0</w:t>
            </w:r>
          </w:p>
        </w:tc>
      </w:tr>
      <w:tr w:rsidR="008B459E" w:rsidRPr="008B459E" w14:paraId="4AB19DC7" w14:textId="77777777" w:rsidTr="00DE02EE">
        <w:trPr>
          <w:trHeight w:val="283"/>
        </w:trPr>
        <w:tc>
          <w:tcPr>
            <w:tcW w:w="964" w:type="dxa"/>
            <w:tcBorders>
              <w:top w:val="nil"/>
              <w:left w:val="single" w:sz="8" w:space="0" w:color="auto"/>
              <w:bottom w:val="single" w:sz="4" w:space="0" w:color="auto"/>
              <w:right w:val="single" w:sz="4" w:space="0" w:color="auto"/>
            </w:tcBorders>
            <w:shd w:val="clear" w:color="auto" w:fill="auto"/>
            <w:noWrap/>
            <w:vAlign w:val="bottom"/>
            <w:hideMark/>
          </w:tcPr>
          <w:p w14:paraId="758C29E4" w14:textId="77777777" w:rsidR="008B459E" w:rsidRPr="008B459E" w:rsidRDefault="008B459E" w:rsidP="008B459E">
            <w:pPr>
              <w:spacing w:after="0" w:line="240" w:lineRule="auto"/>
              <w:jc w:val="center"/>
              <w:rPr>
                <w:rFonts w:ascii="Calibri" w:eastAsia="Times New Roman" w:hAnsi="Calibri" w:cs="Arial"/>
                <w:sz w:val="20"/>
                <w:szCs w:val="20"/>
                <w:lang w:eastAsia="cs-CZ"/>
              </w:rPr>
            </w:pPr>
            <w:r w:rsidRPr="008B459E">
              <w:rPr>
                <w:rFonts w:ascii="Calibri" w:eastAsia="Times New Roman" w:hAnsi="Calibri" w:cs="Arial"/>
                <w:sz w:val="20"/>
                <w:szCs w:val="20"/>
                <w:lang w:eastAsia="cs-CZ"/>
              </w:rPr>
              <w:t>09</w:t>
            </w:r>
          </w:p>
        </w:tc>
        <w:tc>
          <w:tcPr>
            <w:tcW w:w="4479" w:type="dxa"/>
            <w:tcBorders>
              <w:top w:val="nil"/>
              <w:left w:val="nil"/>
              <w:bottom w:val="single" w:sz="4" w:space="0" w:color="auto"/>
              <w:right w:val="nil"/>
            </w:tcBorders>
            <w:shd w:val="clear" w:color="auto" w:fill="auto"/>
            <w:vAlign w:val="bottom"/>
            <w:hideMark/>
          </w:tcPr>
          <w:p w14:paraId="1D301188" w14:textId="77777777" w:rsidR="008B459E" w:rsidRPr="008B459E" w:rsidRDefault="008B459E" w:rsidP="008B459E">
            <w:pPr>
              <w:spacing w:after="0" w:line="240" w:lineRule="auto"/>
              <w:rPr>
                <w:rFonts w:ascii="Calibri" w:eastAsia="Times New Roman" w:hAnsi="Calibri" w:cs="Arial"/>
                <w:sz w:val="20"/>
                <w:szCs w:val="20"/>
                <w:lang w:eastAsia="cs-CZ"/>
              </w:rPr>
            </w:pPr>
            <w:r w:rsidRPr="008B459E">
              <w:rPr>
                <w:rFonts w:ascii="Calibri" w:eastAsia="Times New Roman" w:hAnsi="Calibri" w:cs="Arial"/>
                <w:sz w:val="20"/>
                <w:szCs w:val="20"/>
                <w:lang w:eastAsia="cs-CZ"/>
              </w:rPr>
              <w:t>Středočeský Fond na podporu obecního bydlení</w:t>
            </w:r>
          </w:p>
        </w:tc>
        <w:tc>
          <w:tcPr>
            <w:tcW w:w="1143" w:type="dxa"/>
            <w:tcBorders>
              <w:top w:val="nil"/>
              <w:left w:val="single" w:sz="4" w:space="0" w:color="auto"/>
              <w:bottom w:val="single" w:sz="4" w:space="0" w:color="auto"/>
              <w:right w:val="single" w:sz="4" w:space="0" w:color="auto"/>
            </w:tcBorders>
            <w:shd w:val="clear" w:color="auto" w:fill="auto"/>
            <w:noWrap/>
            <w:vAlign w:val="bottom"/>
            <w:hideMark/>
          </w:tcPr>
          <w:p w14:paraId="581D5211"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0</w:t>
            </w:r>
          </w:p>
        </w:tc>
        <w:tc>
          <w:tcPr>
            <w:tcW w:w="1590" w:type="dxa"/>
            <w:tcBorders>
              <w:top w:val="nil"/>
              <w:left w:val="nil"/>
              <w:bottom w:val="single" w:sz="4" w:space="0" w:color="auto"/>
              <w:right w:val="single" w:sz="4" w:space="0" w:color="auto"/>
            </w:tcBorders>
            <w:shd w:val="clear" w:color="auto" w:fill="auto"/>
            <w:noWrap/>
            <w:vAlign w:val="bottom"/>
            <w:hideMark/>
          </w:tcPr>
          <w:p w14:paraId="77E230D6"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6 446 251,00</w:t>
            </w:r>
          </w:p>
        </w:tc>
        <w:tc>
          <w:tcPr>
            <w:tcW w:w="1550" w:type="dxa"/>
            <w:tcBorders>
              <w:top w:val="nil"/>
              <w:left w:val="nil"/>
              <w:bottom w:val="single" w:sz="4" w:space="0" w:color="auto"/>
              <w:right w:val="single" w:sz="4" w:space="0" w:color="auto"/>
            </w:tcBorders>
            <w:shd w:val="clear" w:color="auto" w:fill="auto"/>
            <w:noWrap/>
            <w:vAlign w:val="bottom"/>
            <w:hideMark/>
          </w:tcPr>
          <w:p w14:paraId="3B7879B4"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0,00</w:t>
            </w:r>
          </w:p>
        </w:tc>
        <w:tc>
          <w:tcPr>
            <w:tcW w:w="906" w:type="dxa"/>
            <w:tcBorders>
              <w:top w:val="nil"/>
              <w:left w:val="nil"/>
              <w:bottom w:val="single" w:sz="4" w:space="0" w:color="auto"/>
              <w:right w:val="single" w:sz="8" w:space="0" w:color="auto"/>
            </w:tcBorders>
            <w:shd w:val="clear" w:color="auto" w:fill="auto"/>
            <w:noWrap/>
            <w:vAlign w:val="bottom"/>
            <w:hideMark/>
          </w:tcPr>
          <w:p w14:paraId="17E1C0E4"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0,0</w:t>
            </w:r>
          </w:p>
        </w:tc>
      </w:tr>
      <w:tr w:rsidR="008B459E" w:rsidRPr="008B459E" w14:paraId="61EE8157" w14:textId="77777777" w:rsidTr="008B459E">
        <w:trPr>
          <w:trHeight w:val="403"/>
        </w:trPr>
        <w:tc>
          <w:tcPr>
            <w:tcW w:w="964" w:type="dxa"/>
            <w:tcBorders>
              <w:top w:val="nil"/>
              <w:left w:val="single" w:sz="8" w:space="0" w:color="auto"/>
              <w:bottom w:val="single" w:sz="4" w:space="0" w:color="auto"/>
              <w:right w:val="single" w:sz="4" w:space="0" w:color="auto"/>
            </w:tcBorders>
            <w:shd w:val="clear" w:color="auto" w:fill="auto"/>
            <w:noWrap/>
            <w:vAlign w:val="bottom"/>
            <w:hideMark/>
          </w:tcPr>
          <w:p w14:paraId="1AFEC8EA" w14:textId="77777777" w:rsidR="008B459E" w:rsidRPr="008B459E" w:rsidRDefault="008B459E" w:rsidP="008B459E">
            <w:pPr>
              <w:spacing w:after="0" w:line="240" w:lineRule="auto"/>
              <w:jc w:val="center"/>
              <w:rPr>
                <w:rFonts w:ascii="Calibri" w:eastAsia="Times New Roman" w:hAnsi="Calibri" w:cs="Arial"/>
                <w:sz w:val="20"/>
                <w:szCs w:val="20"/>
                <w:lang w:eastAsia="cs-CZ"/>
              </w:rPr>
            </w:pPr>
            <w:r w:rsidRPr="008B459E">
              <w:rPr>
                <w:rFonts w:ascii="Calibri" w:eastAsia="Times New Roman" w:hAnsi="Calibri" w:cs="Arial"/>
                <w:sz w:val="20"/>
                <w:szCs w:val="20"/>
                <w:lang w:eastAsia="cs-CZ"/>
              </w:rPr>
              <w:t>09</w:t>
            </w:r>
          </w:p>
        </w:tc>
        <w:tc>
          <w:tcPr>
            <w:tcW w:w="4479" w:type="dxa"/>
            <w:tcBorders>
              <w:top w:val="nil"/>
              <w:left w:val="nil"/>
              <w:bottom w:val="single" w:sz="4" w:space="0" w:color="auto"/>
              <w:right w:val="single" w:sz="4" w:space="0" w:color="auto"/>
            </w:tcBorders>
            <w:shd w:val="clear" w:color="auto" w:fill="auto"/>
            <w:vAlign w:val="bottom"/>
            <w:hideMark/>
          </w:tcPr>
          <w:p w14:paraId="3B6E88E2" w14:textId="77777777" w:rsidR="008B459E" w:rsidRPr="008B459E" w:rsidRDefault="008B459E" w:rsidP="008B459E">
            <w:pPr>
              <w:spacing w:after="0" w:line="240" w:lineRule="auto"/>
              <w:rPr>
                <w:rFonts w:ascii="Calibri" w:eastAsia="Times New Roman" w:hAnsi="Calibri" w:cs="Arial"/>
                <w:sz w:val="20"/>
                <w:szCs w:val="20"/>
                <w:lang w:eastAsia="cs-CZ"/>
              </w:rPr>
            </w:pPr>
            <w:r w:rsidRPr="008B459E">
              <w:rPr>
                <w:rFonts w:ascii="Calibri" w:eastAsia="Times New Roman" w:hAnsi="Calibri" w:cs="Arial"/>
                <w:sz w:val="20"/>
                <w:szCs w:val="20"/>
                <w:lang w:eastAsia="cs-CZ"/>
              </w:rPr>
              <w:t>Středočeský Fond na podporu participativních rozpočtu obcí a měst</w:t>
            </w:r>
          </w:p>
        </w:tc>
        <w:tc>
          <w:tcPr>
            <w:tcW w:w="1143" w:type="dxa"/>
            <w:tcBorders>
              <w:top w:val="nil"/>
              <w:left w:val="nil"/>
              <w:bottom w:val="single" w:sz="4" w:space="0" w:color="auto"/>
              <w:right w:val="single" w:sz="4" w:space="0" w:color="auto"/>
            </w:tcBorders>
            <w:shd w:val="clear" w:color="auto" w:fill="auto"/>
            <w:noWrap/>
            <w:vAlign w:val="bottom"/>
            <w:hideMark/>
          </w:tcPr>
          <w:p w14:paraId="1A8611B5"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0</w:t>
            </w:r>
          </w:p>
        </w:tc>
        <w:tc>
          <w:tcPr>
            <w:tcW w:w="1590" w:type="dxa"/>
            <w:tcBorders>
              <w:top w:val="nil"/>
              <w:left w:val="nil"/>
              <w:bottom w:val="single" w:sz="4" w:space="0" w:color="auto"/>
              <w:right w:val="single" w:sz="4" w:space="0" w:color="auto"/>
            </w:tcBorders>
            <w:shd w:val="clear" w:color="auto" w:fill="auto"/>
            <w:noWrap/>
            <w:vAlign w:val="bottom"/>
            <w:hideMark/>
          </w:tcPr>
          <w:p w14:paraId="24620ACC"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200 000,00</w:t>
            </w:r>
          </w:p>
        </w:tc>
        <w:tc>
          <w:tcPr>
            <w:tcW w:w="1550" w:type="dxa"/>
            <w:tcBorders>
              <w:top w:val="nil"/>
              <w:left w:val="nil"/>
              <w:bottom w:val="single" w:sz="4" w:space="0" w:color="auto"/>
              <w:right w:val="single" w:sz="4" w:space="0" w:color="auto"/>
            </w:tcBorders>
            <w:shd w:val="clear" w:color="auto" w:fill="auto"/>
            <w:noWrap/>
            <w:vAlign w:val="bottom"/>
            <w:hideMark/>
          </w:tcPr>
          <w:p w14:paraId="6044F6DE"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200 000,00</w:t>
            </w:r>
          </w:p>
        </w:tc>
        <w:tc>
          <w:tcPr>
            <w:tcW w:w="906" w:type="dxa"/>
            <w:tcBorders>
              <w:top w:val="nil"/>
              <w:left w:val="nil"/>
              <w:bottom w:val="single" w:sz="4" w:space="0" w:color="auto"/>
              <w:right w:val="single" w:sz="8" w:space="0" w:color="auto"/>
            </w:tcBorders>
            <w:shd w:val="clear" w:color="auto" w:fill="auto"/>
            <w:noWrap/>
            <w:vAlign w:val="bottom"/>
            <w:hideMark/>
          </w:tcPr>
          <w:p w14:paraId="50BF9CC8"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100,0</w:t>
            </w:r>
          </w:p>
        </w:tc>
      </w:tr>
      <w:tr w:rsidR="008B459E" w:rsidRPr="008B459E" w14:paraId="365D69E7" w14:textId="77777777" w:rsidTr="008B459E">
        <w:trPr>
          <w:trHeight w:val="403"/>
        </w:trPr>
        <w:tc>
          <w:tcPr>
            <w:tcW w:w="964" w:type="dxa"/>
            <w:tcBorders>
              <w:top w:val="nil"/>
              <w:left w:val="single" w:sz="8" w:space="0" w:color="auto"/>
              <w:bottom w:val="single" w:sz="4" w:space="0" w:color="auto"/>
              <w:right w:val="single" w:sz="4" w:space="0" w:color="auto"/>
            </w:tcBorders>
            <w:shd w:val="clear" w:color="auto" w:fill="auto"/>
            <w:noWrap/>
            <w:vAlign w:val="bottom"/>
            <w:hideMark/>
          </w:tcPr>
          <w:p w14:paraId="15E4DAE6" w14:textId="77777777" w:rsidR="008B459E" w:rsidRPr="008B459E" w:rsidRDefault="008B459E" w:rsidP="008B459E">
            <w:pPr>
              <w:spacing w:after="0" w:line="240" w:lineRule="auto"/>
              <w:jc w:val="center"/>
              <w:rPr>
                <w:rFonts w:ascii="Calibri" w:eastAsia="Times New Roman" w:hAnsi="Calibri" w:cs="Arial"/>
                <w:sz w:val="20"/>
                <w:szCs w:val="20"/>
                <w:lang w:eastAsia="cs-CZ"/>
              </w:rPr>
            </w:pPr>
            <w:r w:rsidRPr="008B459E">
              <w:rPr>
                <w:rFonts w:ascii="Calibri" w:eastAsia="Times New Roman" w:hAnsi="Calibri" w:cs="Arial"/>
                <w:sz w:val="20"/>
                <w:szCs w:val="20"/>
                <w:lang w:eastAsia="cs-CZ"/>
              </w:rPr>
              <w:t>10</w:t>
            </w:r>
          </w:p>
        </w:tc>
        <w:tc>
          <w:tcPr>
            <w:tcW w:w="4479" w:type="dxa"/>
            <w:tcBorders>
              <w:top w:val="nil"/>
              <w:left w:val="nil"/>
              <w:bottom w:val="single" w:sz="4" w:space="0" w:color="auto"/>
              <w:right w:val="nil"/>
            </w:tcBorders>
            <w:shd w:val="clear" w:color="auto" w:fill="auto"/>
            <w:vAlign w:val="bottom"/>
            <w:hideMark/>
          </w:tcPr>
          <w:p w14:paraId="07AE5970" w14:textId="77777777" w:rsidR="008B459E" w:rsidRPr="008B459E" w:rsidRDefault="008B459E" w:rsidP="008B459E">
            <w:pPr>
              <w:spacing w:after="0" w:line="240" w:lineRule="auto"/>
              <w:rPr>
                <w:rFonts w:ascii="Calibri" w:eastAsia="Times New Roman" w:hAnsi="Calibri" w:cs="Arial"/>
                <w:sz w:val="20"/>
                <w:szCs w:val="20"/>
                <w:lang w:eastAsia="cs-CZ"/>
              </w:rPr>
            </w:pPr>
            <w:r w:rsidRPr="008B459E">
              <w:rPr>
                <w:rFonts w:ascii="Calibri" w:eastAsia="Times New Roman" w:hAnsi="Calibri" w:cs="Arial"/>
                <w:sz w:val="20"/>
                <w:szCs w:val="20"/>
                <w:lang w:eastAsia="cs-CZ"/>
              </w:rPr>
              <w:t xml:space="preserve">Středočeský Fond životního prostředí a zemědělství </w:t>
            </w:r>
          </w:p>
        </w:tc>
        <w:tc>
          <w:tcPr>
            <w:tcW w:w="1143" w:type="dxa"/>
            <w:tcBorders>
              <w:top w:val="nil"/>
              <w:left w:val="single" w:sz="4" w:space="0" w:color="auto"/>
              <w:bottom w:val="single" w:sz="4" w:space="0" w:color="auto"/>
              <w:right w:val="single" w:sz="4" w:space="0" w:color="auto"/>
            </w:tcBorders>
            <w:shd w:val="clear" w:color="auto" w:fill="auto"/>
            <w:noWrap/>
            <w:vAlign w:val="bottom"/>
            <w:hideMark/>
          </w:tcPr>
          <w:p w14:paraId="46A9D3C9"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0</w:t>
            </w:r>
          </w:p>
        </w:tc>
        <w:tc>
          <w:tcPr>
            <w:tcW w:w="1590" w:type="dxa"/>
            <w:tcBorders>
              <w:top w:val="nil"/>
              <w:left w:val="nil"/>
              <w:bottom w:val="single" w:sz="4" w:space="0" w:color="auto"/>
              <w:right w:val="single" w:sz="4" w:space="0" w:color="auto"/>
            </w:tcBorders>
            <w:shd w:val="clear" w:color="auto" w:fill="auto"/>
            <w:noWrap/>
            <w:vAlign w:val="bottom"/>
            <w:hideMark/>
          </w:tcPr>
          <w:p w14:paraId="7C2EA566"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45 652 915,20</w:t>
            </w:r>
          </w:p>
        </w:tc>
        <w:tc>
          <w:tcPr>
            <w:tcW w:w="1550" w:type="dxa"/>
            <w:tcBorders>
              <w:top w:val="nil"/>
              <w:left w:val="nil"/>
              <w:bottom w:val="single" w:sz="4" w:space="0" w:color="auto"/>
              <w:right w:val="single" w:sz="4" w:space="0" w:color="auto"/>
            </w:tcBorders>
            <w:shd w:val="clear" w:color="auto" w:fill="auto"/>
            <w:noWrap/>
            <w:vAlign w:val="bottom"/>
            <w:hideMark/>
          </w:tcPr>
          <w:p w14:paraId="248C4307"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29 520 579,00</w:t>
            </w:r>
          </w:p>
        </w:tc>
        <w:tc>
          <w:tcPr>
            <w:tcW w:w="906" w:type="dxa"/>
            <w:tcBorders>
              <w:top w:val="nil"/>
              <w:left w:val="nil"/>
              <w:bottom w:val="single" w:sz="4" w:space="0" w:color="auto"/>
              <w:right w:val="single" w:sz="8" w:space="0" w:color="auto"/>
            </w:tcBorders>
            <w:shd w:val="clear" w:color="auto" w:fill="auto"/>
            <w:noWrap/>
            <w:vAlign w:val="bottom"/>
            <w:hideMark/>
          </w:tcPr>
          <w:p w14:paraId="33F41885"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64,7</w:t>
            </w:r>
          </w:p>
        </w:tc>
      </w:tr>
      <w:tr w:rsidR="008B459E" w:rsidRPr="008B459E" w14:paraId="4F6966F5" w14:textId="77777777" w:rsidTr="008B459E">
        <w:trPr>
          <w:trHeight w:val="403"/>
        </w:trPr>
        <w:tc>
          <w:tcPr>
            <w:tcW w:w="964" w:type="dxa"/>
            <w:tcBorders>
              <w:top w:val="nil"/>
              <w:left w:val="single" w:sz="8" w:space="0" w:color="auto"/>
              <w:bottom w:val="single" w:sz="4" w:space="0" w:color="auto"/>
              <w:right w:val="single" w:sz="4" w:space="0" w:color="auto"/>
            </w:tcBorders>
            <w:shd w:val="clear" w:color="auto" w:fill="auto"/>
            <w:noWrap/>
            <w:vAlign w:val="bottom"/>
            <w:hideMark/>
          </w:tcPr>
          <w:p w14:paraId="38B4969D" w14:textId="77777777" w:rsidR="008B459E" w:rsidRPr="008B459E" w:rsidRDefault="008B459E" w:rsidP="008B459E">
            <w:pPr>
              <w:spacing w:after="0" w:line="240" w:lineRule="auto"/>
              <w:jc w:val="center"/>
              <w:rPr>
                <w:rFonts w:ascii="Calibri" w:eastAsia="Times New Roman" w:hAnsi="Calibri" w:cs="Arial"/>
                <w:sz w:val="20"/>
                <w:szCs w:val="20"/>
                <w:lang w:eastAsia="cs-CZ"/>
              </w:rPr>
            </w:pPr>
            <w:r w:rsidRPr="008B459E">
              <w:rPr>
                <w:rFonts w:ascii="Calibri" w:eastAsia="Times New Roman" w:hAnsi="Calibri" w:cs="Arial"/>
                <w:sz w:val="20"/>
                <w:szCs w:val="20"/>
                <w:lang w:eastAsia="cs-CZ"/>
              </w:rPr>
              <w:t>10</w:t>
            </w:r>
          </w:p>
        </w:tc>
        <w:tc>
          <w:tcPr>
            <w:tcW w:w="4479" w:type="dxa"/>
            <w:tcBorders>
              <w:top w:val="nil"/>
              <w:left w:val="nil"/>
              <w:bottom w:val="single" w:sz="4" w:space="0" w:color="auto"/>
              <w:right w:val="nil"/>
            </w:tcBorders>
            <w:shd w:val="clear" w:color="auto" w:fill="auto"/>
            <w:vAlign w:val="bottom"/>
            <w:hideMark/>
          </w:tcPr>
          <w:p w14:paraId="0302DAC2" w14:textId="77777777" w:rsidR="008B459E" w:rsidRPr="008B459E" w:rsidRDefault="008B459E" w:rsidP="008B459E">
            <w:pPr>
              <w:spacing w:after="0" w:line="240" w:lineRule="auto"/>
              <w:rPr>
                <w:rFonts w:ascii="Calibri" w:eastAsia="Times New Roman" w:hAnsi="Calibri" w:cs="Arial"/>
                <w:sz w:val="20"/>
                <w:szCs w:val="20"/>
                <w:lang w:eastAsia="cs-CZ"/>
              </w:rPr>
            </w:pPr>
            <w:r w:rsidRPr="008B459E">
              <w:rPr>
                <w:rFonts w:ascii="Calibri" w:eastAsia="Times New Roman" w:hAnsi="Calibri" w:cs="Arial"/>
                <w:sz w:val="20"/>
                <w:szCs w:val="20"/>
                <w:lang w:eastAsia="cs-CZ"/>
              </w:rPr>
              <w:t>Středočeský Infrastrukturní fond: Tematické zadání Životní prostředí</w:t>
            </w:r>
          </w:p>
        </w:tc>
        <w:tc>
          <w:tcPr>
            <w:tcW w:w="1143" w:type="dxa"/>
            <w:tcBorders>
              <w:top w:val="nil"/>
              <w:left w:val="single" w:sz="4" w:space="0" w:color="auto"/>
              <w:bottom w:val="single" w:sz="4" w:space="0" w:color="auto"/>
              <w:right w:val="single" w:sz="4" w:space="0" w:color="auto"/>
            </w:tcBorders>
            <w:shd w:val="clear" w:color="auto" w:fill="auto"/>
            <w:noWrap/>
            <w:vAlign w:val="bottom"/>
            <w:hideMark/>
          </w:tcPr>
          <w:p w14:paraId="1F8EF029"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50 000 000</w:t>
            </w:r>
          </w:p>
        </w:tc>
        <w:tc>
          <w:tcPr>
            <w:tcW w:w="1590" w:type="dxa"/>
            <w:tcBorders>
              <w:top w:val="nil"/>
              <w:left w:val="nil"/>
              <w:bottom w:val="single" w:sz="4" w:space="0" w:color="auto"/>
              <w:right w:val="single" w:sz="4" w:space="0" w:color="auto"/>
            </w:tcBorders>
            <w:shd w:val="clear" w:color="auto" w:fill="auto"/>
            <w:noWrap/>
            <w:vAlign w:val="bottom"/>
            <w:hideMark/>
          </w:tcPr>
          <w:p w14:paraId="49A02AC4"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164 415 975,50</w:t>
            </w:r>
          </w:p>
        </w:tc>
        <w:tc>
          <w:tcPr>
            <w:tcW w:w="1550" w:type="dxa"/>
            <w:tcBorders>
              <w:top w:val="nil"/>
              <w:left w:val="nil"/>
              <w:bottom w:val="single" w:sz="4" w:space="0" w:color="auto"/>
              <w:right w:val="single" w:sz="4" w:space="0" w:color="auto"/>
            </w:tcBorders>
            <w:shd w:val="clear" w:color="auto" w:fill="auto"/>
            <w:noWrap/>
            <w:vAlign w:val="bottom"/>
            <w:hideMark/>
          </w:tcPr>
          <w:p w14:paraId="209571D4"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69 488 777,25</w:t>
            </w:r>
          </w:p>
        </w:tc>
        <w:tc>
          <w:tcPr>
            <w:tcW w:w="906" w:type="dxa"/>
            <w:tcBorders>
              <w:top w:val="nil"/>
              <w:left w:val="nil"/>
              <w:bottom w:val="single" w:sz="4" w:space="0" w:color="auto"/>
              <w:right w:val="single" w:sz="8" w:space="0" w:color="auto"/>
            </w:tcBorders>
            <w:shd w:val="clear" w:color="auto" w:fill="auto"/>
            <w:noWrap/>
            <w:vAlign w:val="bottom"/>
            <w:hideMark/>
          </w:tcPr>
          <w:p w14:paraId="203C9694"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42,3</w:t>
            </w:r>
          </w:p>
        </w:tc>
      </w:tr>
      <w:tr w:rsidR="008B459E" w:rsidRPr="008B459E" w14:paraId="7ED48659" w14:textId="77777777" w:rsidTr="008B459E">
        <w:trPr>
          <w:trHeight w:val="403"/>
        </w:trPr>
        <w:tc>
          <w:tcPr>
            <w:tcW w:w="964" w:type="dxa"/>
            <w:tcBorders>
              <w:top w:val="nil"/>
              <w:left w:val="single" w:sz="8" w:space="0" w:color="auto"/>
              <w:bottom w:val="single" w:sz="4" w:space="0" w:color="auto"/>
              <w:right w:val="single" w:sz="4" w:space="0" w:color="auto"/>
            </w:tcBorders>
            <w:shd w:val="clear" w:color="auto" w:fill="auto"/>
            <w:noWrap/>
            <w:vAlign w:val="bottom"/>
            <w:hideMark/>
          </w:tcPr>
          <w:p w14:paraId="199FB1E1" w14:textId="77777777" w:rsidR="008B459E" w:rsidRPr="008B459E" w:rsidRDefault="008B459E" w:rsidP="008B459E">
            <w:pPr>
              <w:spacing w:after="0" w:line="240" w:lineRule="auto"/>
              <w:jc w:val="center"/>
              <w:rPr>
                <w:rFonts w:ascii="Calibri" w:eastAsia="Times New Roman" w:hAnsi="Calibri" w:cs="Arial"/>
                <w:sz w:val="20"/>
                <w:szCs w:val="20"/>
                <w:lang w:eastAsia="cs-CZ"/>
              </w:rPr>
            </w:pPr>
            <w:r w:rsidRPr="008B459E">
              <w:rPr>
                <w:rFonts w:ascii="Calibri" w:eastAsia="Times New Roman" w:hAnsi="Calibri" w:cs="Arial"/>
                <w:sz w:val="20"/>
                <w:szCs w:val="20"/>
                <w:lang w:eastAsia="cs-CZ"/>
              </w:rPr>
              <w:t>17</w:t>
            </w:r>
          </w:p>
        </w:tc>
        <w:tc>
          <w:tcPr>
            <w:tcW w:w="4479" w:type="dxa"/>
            <w:tcBorders>
              <w:top w:val="nil"/>
              <w:left w:val="nil"/>
              <w:bottom w:val="single" w:sz="4" w:space="0" w:color="auto"/>
              <w:right w:val="nil"/>
            </w:tcBorders>
            <w:shd w:val="clear" w:color="auto" w:fill="auto"/>
            <w:vAlign w:val="bottom"/>
            <w:hideMark/>
          </w:tcPr>
          <w:p w14:paraId="1E77B54B" w14:textId="77777777" w:rsidR="008B459E" w:rsidRPr="008B459E" w:rsidRDefault="008B459E" w:rsidP="008B459E">
            <w:pPr>
              <w:spacing w:after="0" w:line="240" w:lineRule="auto"/>
              <w:rPr>
                <w:rFonts w:ascii="Calibri" w:eastAsia="Times New Roman" w:hAnsi="Calibri" w:cs="Arial"/>
                <w:sz w:val="20"/>
                <w:szCs w:val="20"/>
                <w:lang w:eastAsia="cs-CZ"/>
              </w:rPr>
            </w:pPr>
            <w:r w:rsidRPr="008B459E">
              <w:rPr>
                <w:rFonts w:ascii="Calibri" w:eastAsia="Times New Roman" w:hAnsi="Calibri" w:cs="Arial"/>
                <w:sz w:val="20"/>
                <w:szCs w:val="20"/>
                <w:lang w:eastAsia="cs-CZ"/>
              </w:rPr>
              <w:t>Středočeský humanitární fond - oblast sociální</w:t>
            </w:r>
          </w:p>
        </w:tc>
        <w:tc>
          <w:tcPr>
            <w:tcW w:w="1143" w:type="dxa"/>
            <w:tcBorders>
              <w:top w:val="nil"/>
              <w:left w:val="single" w:sz="4" w:space="0" w:color="auto"/>
              <w:bottom w:val="single" w:sz="4" w:space="0" w:color="auto"/>
              <w:right w:val="single" w:sz="4" w:space="0" w:color="auto"/>
            </w:tcBorders>
            <w:shd w:val="clear" w:color="auto" w:fill="auto"/>
            <w:noWrap/>
            <w:vAlign w:val="bottom"/>
            <w:hideMark/>
          </w:tcPr>
          <w:p w14:paraId="7172CCB1"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0</w:t>
            </w:r>
          </w:p>
        </w:tc>
        <w:tc>
          <w:tcPr>
            <w:tcW w:w="1590" w:type="dxa"/>
            <w:tcBorders>
              <w:top w:val="nil"/>
              <w:left w:val="nil"/>
              <w:bottom w:val="nil"/>
              <w:right w:val="single" w:sz="4" w:space="0" w:color="auto"/>
            </w:tcBorders>
            <w:shd w:val="clear" w:color="auto" w:fill="auto"/>
            <w:noWrap/>
            <w:vAlign w:val="bottom"/>
            <w:hideMark/>
          </w:tcPr>
          <w:p w14:paraId="5C23A952"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35 000 000,00</w:t>
            </w:r>
          </w:p>
        </w:tc>
        <w:tc>
          <w:tcPr>
            <w:tcW w:w="1550" w:type="dxa"/>
            <w:tcBorders>
              <w:top w:val="nil"/>
              <w:left w:val="nil"/>
              <w:bottom w:val="nil"/>
              <w:right w:val="single" w:sz="4" w:space="0" w:color="auto"/>
            </w:tcBorders>
            <w:shd w:val="clear" w:color="auto" w:fill="auto"/>
            <w:noWrap/>
            <w:vAlign w:val="bottom"/>
            <w:hideMark/>
          </w:tcPr>
          <w:p w14:paraId="5F2394EA"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34 969 910,00</w:t>
            </w:r>
          </w:p>
        </w:tc>
        <w:tc>
          <w:tcPr>
            <w:tcW w:w="906" w:type="dxa"/>
            <w:tcBorders>
              <w:top w:val="nil"/>
              <w:left w:val="nil"/>
              <w:bottom w:val="nil"/>
              <w:right w:val="single" w:sz="8" w:space="0" w:color="auto"/>
            </w:tcBorders>
            <w:shd w:val="clear" w:color="auto" w:fill="auto"/>
            <w:noWrap/>
            <w:vAlign w:val="bottom"/>
            <w:hideMark/>
          </w:tcPr>
          <w:p w14:paraId="7314C4F3"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99,9</w:t>
            </w:r>
          </w:p>
        </w:tc>
      </w:tr>
      <w:tr w:rsidR="008B459E" w:rsidRPr="008B459E" w14:paraId="288CA452" w14:textId="77777777" w:rsidTr="00DE02EE">
        <w:trPr>
          <w:trHeight w:val="356"/>
        </w:trPr>
        <w:tc>
          <w:tcPr>
            <w:tcW w:w="964" w:type="dxa"/>
            <w:tcBorders>
              <w:top w:val="nil"/>
              <w:left w:val="single" w:sz="8" w:space="0" w:color="auto"/>
              <w:bottom w:val="nil"/>
              <w:right w:val="single" w:sz="4" w:space="0" w:color="auto"/>
            </w:tcBorders>
            <w:shd w:val="clear" w:color="auto" w:fill="auto"/>
            <w:noWrap/>
            <w:vAlign w:val="bottom"/>
            <w:hideMark/>
          </w:tcPr>
          <w:p w14:paraId="3A331013" w14:textId="77777777" w:rsidR="008B459E" w:rsidRPr="008B459E" w:rsidRDefault="008B459E" w:rsidP="008B459E">
            <w:pPr>
              <w:spacing w:after="0" w:line="240" w:lineRule="auto"/>
              <w:jc w:val="center"/>
              <w:rPr>
                <w:rFonts w:ascii="Calibri" w:eastAsia="Times New Roman" w:hAnsi="Calibri" w:cs="Arial"/>
                <w:sz w:val="20"/>
                <w:szCs w:val="20"/>
                <w:lang w:eastAsia="cs-CZ"/>
              </w:rPr>
            </w:pPr>
            <w:r w:rsidRPr="008B459E">
              <w:rPr>
                <w:rFonts w:ascii="Calibri" w:eastAsia="Times New Roman" w:hAnsi="Calibri" w:cs="Arial"/>
                <w:sz w:val="20"/>
                <w:szCs w:val="20"/>
                <w:lang w:eastAsia="cs-CZ"/>
              </w:rPr>
              <w:t>25</w:t>
            </w:r>
          </w:p>
        </w:tc>
        <w:tc>
          <w:tcPr>
            <w:tcW w:w="4479" w:type="dxa"/>
            <w:tcBorders>
              <w:top w:val="nil"/>
              <w:left w:val="nil"/>
              <w:bottom w:val="nil"/>
              <w:right w:val="nil"/>
            </w:tcBorders>
            <w:shd w:val="clear" w:color="auto" w:fill="auto"/>
            <w:vAlign w:val="bottom"/>
            <w:hideMark/>
          </w:tcPr>
          <w:p w14:paraId="53FC7999" w14:textId="77777777" w:rsidR="008B459E" w:rsidRPr="008B459E" w:rsidRDefault="008B459E" w:rsidP="008B459E">
            <w:pPr>
              <w:spacing w:after="0" w:line="240" w:lineRule="auto"/>
              <w:rPr>
                <w:rFonts w:ascii="Calibri" w:eastAsia="Times New Roman" w:hAnsi="Calibri" w:cs="Arial"/>
                <w:sz w:val="20"/>
                <w:szCs w:val="20"/>
                <w:lang w:eastAsia="cs-CZ"/>
              </w:rPr>
            </w:pPr>
            <w:r w:rsidRPr="008B459E">
              <w:rPr>
                <w:rFonts w:ascii="Calibri" w:eastAsia="Times New Roman" w:hAnsi="Calibri" w:cs="Arial"/>
                <w:sz w:val="20"/>
                <w:szCs w:val="20"/>
                <w:lang w:eastAsia="cs-CZ"/>
              </w:rPr>
              <w:t>Středočeský Fond prevence</w:t>
            </w:r>
          </w:p>
        </w:tc>
        <w:tc>
          <w:tcPr>
            <w:tcW w:w="1143" w:type="dxa"/>
            <w:tcBorders>
              <w:top w:val="nil"/>
              <w:left w:val="single" w:sz="4" w:space="0" w:color="auto"/>
              <w:bottom w:val="nil"/>
              <w:right w:val="single" w:sz="4" w:space="0" w:color="auto"/>
            </w:tcBorders>
            <w:shd w:val="clear" w:color="auto" w:fill="auto"/>
            <w:noWrap/>
            <w:vAlign w:val="bottom"/>
            <w:hideMark/>
          </w:tcPr>
          <w:p w14:paraId="17D1D47A"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0</w:t>
            </w:r>
          </w:p>
        </w:tc>
        <w:tc>
          <w:tcPr>
            <w:tcW w:w="1590" w:type="dxa"/>
            <w:tcBorders>
              <w:top w:val="single" w:sz="4" w:space="0" w:color="auto"/>
              <w:left w:val="nil"/>
              <w:bottom w:val="nil"/>
              <w:right w:val="single" w:sz="4" w:space="0" w:color="auto"/>
            </w:tcBorders>
            <w:shd w:val="clear" w:color="auto" w:fill="auto"/>
            <w:noWrap/>
            <w:vAlign w:val="bottom"/>
            <w:hideMark/>
          </w:tcPr>
          <w:p w14:paraId="67D10364"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6 500 000,00</w:t>
            </w:r>
          </w:p>
        </w:tc>
        <w:tc>
          <w:tcPr>
            <w:tcW w:w="1550" w:type="dxa"/>
            <w:tcBorders>
              <w:top w:val="single" w:sz="4" w:space="0" w:color="auto"/>
              <w:left w:val="nil"/>
              <w:bottom w:val="nil"/>
              <w:right w:val="single" w:sz="4" w:space="0" w:color="auto"/>
            </w:tcBorders>
            <w:shd w:val="clear" w:color="auto" w:fill="auto"/>
            <w:noWrap/>
            <w:vAlign w:val="bottom"/>
            <w:hideMark/>
          </w:tcPr>
          <w:p w14:paraId="587C0093"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6 476 584,00</w:t>
            </w:r>
          </w:p>
        </w:tc>
        <w:tc>
          <w:tcPr>
            <w:tcW w:w="906" w:type="dxa"/>
            <w:tcBorders>
              <w:top w:val="single" w:sz="4" w:space="0" w:color="auto"/>
              <w:left w:val="nil"/>
              <w:bottom w:val="nil"/>
              <w:right w:val="single" w:sz="8" w:space="0" w:color="auto"/>
            </w:tcBorders>
            <w:shd w:val="clear" w:color="auto" w:fill="auto"/>
            <w:noWrap/>
            <w:vAlign w:val="bottom"/>
            <w:hideMark/>
          </w:tcPr>
          <w:p w14:paraId="282EDACD"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99,6</w:t>
            </w:r>
          </w:p>
        </w:tc>
      </w:tr>
      <w:tr w:rsidR="008B459E" w:rsidRPr="008B459E" w14:paraId="62EBA0CE" w14:textId="77777777" w:rsidTr="008B459E">
        <w:trPr>
          <w:trHeight w:val="403"/>
        </w:trPr>
        <w:tc>
          <w:tcPr>
            <w:tcW w:w="964"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368899F5" w14:textId="77777777" w:rsidR="008B459E" w:rsidRPr="008B459E" w:rsidRDefault="008B459E" w:rsidP="008B459E">
            <w:pPr>
              <w:spacing w:after="0" w:line="240" w:lineRule="auto"/>
              <w:jc w:val="center"/>
              <w:rPr>
                <w:rFonts w:ascii="Calibri" w:eastAsia="Times New Roman" w:hAnsi="Calibri" w:cs="Arial"/>
                <w:sz w:val="20"/>
                <w:szCs w:val="20"/>
                <w:lang w:eastAsia="cs-CZ"/>
              </w:rPr>
            </w:pPr>
            <w:r w:rsidRPr="008B459E">
              <w:rPr>
                <w:rFonts w:ascii="Calibri" w:eastAsia="Times New Roman" w:hAnsi="Calibri" w:cs="Arial"/>
                <w:sz w:val="20"/>
                <w:szCs w:val="20"/>
                <w:lang w:eastAsia="cs-CZ"/>
              </w:rPr>
              <w:t>25</w:t>
            </w:r>
          </w:p>
        </w:tc>
        <w:tc>
          <w:tcPr>
            <w:tcW w:w="4479" w:type="dxa"/>
            <w:tcBorders>
              <w:top w:val="single" w:sz="4" w:space="0" w:color="auto"/>
              <w:left w:val="nil"/>
              <w:bottom w:val="single" w:sz="4" w:space="0" w:color="auto"/>
              <w:right w:val="nil"/>
            </w:tcBorders>
            <w:shd w:val="clear" w:color="auto" w:fill="auto"/>
            <w:vAlign w:val="bottom"/>
            <w:hideMark/>
          </w:tcPr>
          <w:p w14:paraId="31872060" w14:textId="77777777" w:rsidR="008B459E" w:rsidRPr="008B459E" w:rsidRDefault="008B459E" w:rsidP="008B459E">
            <w:pPr>
              <w:spacing w:after="0" w:line="240" w:lineRule="auto"/>
              <w:rPr>
                <w:rFonts w:ascii="Calibri" w:eastAsia="Times New Roman" w:hAnsi="Calibri" w:cs="Arial"/>
                <w:sz w:val="20"/>
                <w:szCs w:val="20"/>
                <w:lang w:eastAsia="cs-CZ"/>
              </w:rPr>
            </w:pPr>
            <w:r w:rsidRPr="008B459E">
              <w:rPr>
                <w:rFonts w:ascii="Calibri" w:eastAsia="Times New Roman" w:hAnsi="Calibri" w:cs="Arial"/>
                <w:sz w:val="20"/>
                <w:szCs w:val="20"/>
                <w:lang w:eastAsia="cs-CZ"/>
              </w:rPr>
              <w:t>Středočeský Fond podpory dobrovolných hasičů a složek IZS</w:t>
            </w:r>
          </w:p>
        </w:tc>
        <w:tc>
          <w:tcPr>
            <w:tcW w:w="11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F1CA95"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0</w:t>
            </w:r>
          </w:p>
        </w:tc>
        <w:tc>
          <w:tcPr>
            <w:tcW w:w="1590" w:type="dxa"/>
            <w:tcBorders>
              <w:top w:val="single" w:sz="4" w:space="0" w:color="auto"/>
              <w:left w:val="nil"/>
              <w:bottom w:val="single" w:sz="4" w:space="0" w:color="auto"/>
              <w:right w:val="single" w:sz="4" w:space="0" w:color="auto"/>
            </w:tcBorders>
            <w:shd w:val="clear" w:color="auto" w:fill="auto"/>
            <w:noWrap/>
            <w:vAlign w:val="bottom"/>
            <w:hideMark/>
          </w:tcPr>
          <w:p w14:paraId="01F58974"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49 932 946,20</w:t>
            </w:r>
          </w:p>
        </w:tc>
        <w:tc>
          <w:tcPr>
            <w:tcW w:w="1550" w:type="dxa"/>
            <w:tcBorders>
              <w:top w:val="single" w:sz="4" w:space="0" w:color="auto"/>
              <w:left w:val="nil"/>
              <w:bottom w:val="single" w:sz="4" w:space="0" w:color="auto"/>
              <w:right w:val="single" w:sz="4" w:space="0" w:color="auto"/>
            </w:tcBorders>
            <w:shd w:val="clear" w:color="auto" w:fill="auto"/>
            <w:noWrap/>
            <w:vAlign w:val="bottom"/>
            <w:hideMark/>
          </w:tcPr>
          <w:p w14:paraId="43A6DA04"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38 431 281,00</w:t>
            </w:r>
          </w:p>
        </w:tc>
        <w:tc>
          <w:tcPr>
            <w:tcW w:w="906" w:type="dxa"/>
            <w:tcBorders>
              <w:top w:val="single" w:sz="4" w:space="0" w:color="auto"/>
              <w:left w:val="nil"/>
              <w:bottom w:val="single" w:sz="4" w:space="0" w:color="auto"/>
              <w:right w:val="single" w:sz="8" w:space="0" w:color="auto"/>
            </w:tcBorders>
            <w:shd w:val="clear" w:color="auto" w:fill="auto"/>
            <w:noWrap/>
            <w:vAlign w:val="bottom"/>
            <w:hideMark/>
          </w:tcPr>
          <w:p w14:paraId="7306B21B"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77,0</w:t>
            </w:r>
          </w:p>
        </w:tc>
      </w:tr>
      <w:tr w:rsidR="008B459E" w:rsidRPr="008B459E" w14:paraId="28327974" w14:textId="77777777" w:rsidTr="008B459E">
        <w:trPr>
          <w:trHeight w:val="403"/>
        </w:trPr>
        <w:tc>
          <w:tcPr>
            <w:tcW w:w="964" w:type="dxa"/>
            <w:tcBorders>
              <w:top w:val="nil"/>
              <w:left w:val="single" w:sz="8" w:space="0" w:color="auto"/>
              <w:bottom w:val="single" w:sz="4" w:space="0" w:color="auto"/>
              <w:right w:val="single" w:sz="4" w:space="0" w:color="auto"/>
            </w:tcBorders>
            <w:shd w:val="clear" w:color="auto" w:fill="auto"/>
            <w:noWrap/>
            <w:vAlign w:val="bottom"/>
            <w:hideMark/>
          </w:tcPr>
          <w:p w14:paraId="0484E75D" w14:textId="77777777" w:rsidR="008B459E" w:rsidRPr="008B459E" w:rsidRDefault="008B459E" w:rsidP="008B459E">
            <w:pPr>
              <w:spacing w:after="0" w:line="240" w:lineRule="auto"/>
              <w:jc w:val="center"/>
              <w:rPr>
                <w:rFonts w:ascii="Calibri" w:eastAsia="Times New Roman" w:hAnsi="Calibri" w:cs="Arial"/>
                <w:sz w:val="20"/>
                <w:szCs w:val="20"/>
                <w:lang w:eastAsia="cs-CZ"/>
              </w:rPr>
            </w:pPr>
            <w:r w:rsidRPr="008B459E">
              <w:rPr>
                <w:rFonts w:ascii="Calibri" w:eastAsia="Times New Roman" w:hAnsi="Calibri" w:cs="Arial"/>
                <w:sz w:val="20"/>
                <w:szCs w:val="20"/>
                <w:lang w:eastAsia="cs-CZ"/>
              </w:rPr>
              <w:t>26</w:t>
            </w:r>
          </w:p>
        </w:tc>
        <w:tc>
          <w:tcPr>
            <w:tcW w:w="4479" w:type="dxa"/>
            <w:tcBorders>
              <w:top w:val="nil"/>
              <w:left w:val="nil"/>
              <w:bottom w:val="single" w:sz="4" w:space="0" w:color="auto"/>
              <w:right w:val="nil"/>
            </w:tcBorders>
            <w:shd w:val="clear" w:color="auto" w:fill="auto"/>
            <w:vAlign w:val="bottom"/>
            <w:hideMark/>
          </w:tcPr>
          <w:p w14:paraId="79AC9D2B" w14:textId="77777777" w:rsidR="008B459E" w:rsidRPr="008B459E" w:rsidRDefault="008B459E" w:rsidP="008B459E">
            <w:pPr>
              <w:spacing w:after="0" w:line="240" w:lineRule="auto"/>
              <w:rPr>
                <w:rFonts w:ascii="Calibri" w:eastAsia="Times New Roman" w:hAnsi="Calibri" w:cs="Arial"/>
                <w:sz w:val="20"/>
                <w:szCs w:val="20"/>
                <w:lang w:eastAsia="cs-CZ"/>
              </w:rPr>
            </w:pPr>
            <w:r w:rsidRPr="008B459E">
              <w:rPr>
                <w:rFonts w:ascii="Calibri" w:eastAsia="Times New Roman" w:hAnsi="Calibri" w:cs="Arial"/>
                <w:sz w:val="20"/>
                <w:szCs w:val="20"/>
                <w:lang w:eastAsia="cs-CZ"/>
              </w:rPr>
              <w:t>Středočeský Fond cyklistické infrastruktury</w:t>
            </w:r>
          </w:p>
        </w:tc>
        <w:tc>
          <w:tcPr>
            <w:tcW w:w="1143" w:type="dxa"/>
            <w:tcBorders>
              <w:top w:val="nil"/>
              <w:left w:val="single" w:sz="4" w:space="0" w:color="auto"/>
              <w:bottom w:val="single" w:sz="8" w:space="0" w:color="auto"/>
              <w:right w:val="single" w:sz="4" w:space="0" w:color="auto"/>
            </w:tcBorders>
            <w:shd w:val="clear" w:color="auto" w:fill="auto"/>
            <w:noWrap/>
            <w:vAlign w:val="bottom"/>
            <w:hideMark/>
          </w:tcPr>
          <w:p w14:paraId="6E167846"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0</w:t>
            </w:r>
          </w:p>
        </w:tc>
        <w:tc>
          <w:tcPr>
            <w:tcW w:w="1590" w:type="dxa"/>
            <w:tcBorders>
              <w:top w:val="nil"/>
              <w:left w:val="nil"/>
              <w:bottom w:val="single" w:sz="8" w:space="0" w:color="auto"/>
              <w:right w:val="single" w:sz="4" w:space="0" w:color="auto"/>
            </w:tcBorders>
            <w:shd w:val="clear" w:color="auto" w:fill="auto"/>
            <w:noWrap/>
            <w:vAlign w:val="bottom"/>
            <w:hideMark/>
          </w:tcPr>
          <w:p w14:paraId="6F1106CB"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7 500 000,00</w:t>
            </w:r>
          </w:p>
        </w:tc>
        <w:tc>
          <w:tcPr>
            <w:tcW w:w="1550" w:type="dxa"/>
            <w:tcBorders>
              <w:top w:val="nil"/>
              <w:left w:val="nil"/>
              <w:bottom w:val="single" w:sz="8" w:space="0" w:color="auto"/>
              <w:right w:val="single" w:sz="4" w:space="0" w:color="auto"/>
            </w:tcBorders>
            <w:shd w:val="clear" w:color="auto" w:fill="auto"/>
            <w:noWrap/>
            <w:vAlign w:val="bottom"/>
            <w:hideMark/>
          </w:tcPr>
          <w:p w14:paraId="7B3E9334"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4 132 624,00</w:t>
            </w:r>
          </w:p>
        </w:tc>
        <w:tc>
          <w:tcPr>
            <w:tcW w:w="906" w:type="dxa"/>
            <w:tcBorders>
              <w:top w:val="nil"/>
              <w:left w:val="nil"/>
              <w:bottom w:val="single" w:sz="8" w:space="0" w:color="auto"/>
              <w:right w:val="single" w:sz="8" w:space="0" w:color="auto"/>
            </w:tcBorders>
            <w:shd w:val="clear" w:color="auto" w:fill="auto"/>
            <w:noWrap/>
            <w:vAlign w:val="bottom"/>
            <w:hideMark/>
          </w:tcPr>
          <w:p w14:paraId="2AA21CAA"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55,1</w:t>
            </w:r>
          </w:p>
        </w:tc>
      </w:tr>
      <w:tr w:rsidR="008B459E" w:rsidRPr="008B459E" w14:paraId="6A454185" w14:textId="77777777" w:rsidTr="008B459E">
        <w:trPr>
          <w:trHeight w:val="600"/>
        </w:trPr>
        <w:tc>
          <w:tcPr>
            <w:tcW w:w="5443" w:type="dxa"/>
            <w:gridSpan w:val="2"/>
            <w:tcBorders>
              <w:top w:val="single" w:sz="8" w:space="0" w:color="auto"/>
              <w:left w:val="single" w:sz="8" w:space="0" w:color="auto"/>
              <w:bottom w:val="single" w:sz="8" w:space="0" w:color="auto"/>
              <w:right w:val="single" w:sz="4" w:space="0" w:color="000000"/>
            </w:tcBorders>
            <w:shd w:val="clear" w:color="auto" w:fill="auto"/>
            <w:noWrap/>
            <w:vAlign w:val="bottom"/>
            <w:hideMark/>
          </w:tcPr>
          <w:p w14:paraId="336A2CDC" w14:textId="77777777" w:rsidR="008B459E" w:rsidRPr="008B459E" w:rsidRDefault="008B459E" w:rsidP="008B459E">
            <w:pPr>
              <w:spacing w:after="0" w:line="240" w:lineRule="auto"/>
              <w:rPr>
                <w:rFonts w:ascii="Calibri" w:eastAsia="Times New Roman" w:hAnsi="Calibri" w:cs="Arial"/>
                <w:b/>
                <w:bCs/>
                <w:sz w:val="24"/>
                <w:szCs w:val="24"/>
                <w:lang w:eastAsia="cs-CZ"/>
              </w:rPr>
            </w:pPr>
            <w:r w:rsidRPr="008B459E">
              <w:rPr>
                <w:rFonts w:ascii="Calibri" w:eastAsia="Times New Roman" w:hAnsi="Calibri" w:cs="Arial"/>
                <w:b/>
                <w:bCs/>
                <w:sz w:val="24"/>
                <w:szCs w:val="24"/>
                <w:lang w:eastAsia="cs-CZ"/>
              </w:rPr>
              <w:t>Středočeské Fondy celkem</w:t>
            </w:r>
          </w:p>
        </w:tc>
        <w:tc>
          <w:tcPr>
            <w:tcW w:w="1143" w:type="dxa"/>
            <w:tcBorders>
              <w:top w:val="nil"/>
              <w:left w:val="nil"/>
              <w:bottom w:val="single" w:sz="8" w:space="0" w:color="auto"/>
              <w:right w:val="single" w:sz="4" w:space="0" w:color="auto"/>
            </w:tcBorders>
            <w:shd w:val="clear" w:color="auto" w:fill="auto"/>
            <w:noWrap/>
            <w:vAlign w:val="bottom"/>
            <w:hideMark/>
          </w:tcPr>
          <w:p w14:paraId="0B47C5F9" w14:textId="77777777" w:rsidR="008B459E" w:rsidRPr="008B459E" w:rsidRDefault="008B459E" w:rsidP="008B459E">
            <w:pPr>
              <w:spacing w:after="0" w:line="240" w:lineRule="auto"/>
              <w:jc w:val="right"/>
              <w:rPr>
                <w:rFonts w:ascii="Calibri" w:eastAsia="Times New Roman" w:hAnsi="Calibri" w:cs="Arial"/>
                <w:b/>
                <w:bCs/>
                <w:lang w:eastAsia="cs-CZ"/>
              </w:rPr>
            </w:pPr>
            <w:r w:rsidRPr="008B459E">
              <w:rPr>
                <w:rFonts w:ascii="Calibri" w:eastAsia="Times New Roman" w:hAnsi="Calibri" w:cs="Arial"/>
                <w:b/>
                <w:bCs/>
                <w:lang w:eastAsia="cs-CZ"/>
              </w:rPr>
              <w:t>70 000 000</w:t>
            </w:r>
          </w:p>
        </w:tc>
        <w:tc>
          <w:tcPr>
            <w:tcW w:w="1590" w:type="dxa"/>
            <w:tcBorders>
              <w:top w:val="nil"/>
              <w:left w:val="nil"/>
              <w:bottom w:val="single" w:sz="8" w:space="0" w:color="auto"/>
              <w:right w:val="single" w:sz="4" w:space="0" w:color="auto"/>
            </w:tcBorders>
            <w:shd w:val="clear" w:color="auto" w:fill="auto"/>
            <w:noWrap/>
            <w:vAlign w:val="bottom"/>
            <w:hideMark/>
          </w:tcPr>
          <w:p w14:paraId="5B8290F6" w14:textId="77777777" w:rsidR="008B459E" w:rsidRPr="008B459E" w:rsidRDefault="008B459E" w:rsidP="008B459E">
            <w:pPr>
              <w:spacing w:after="0" w:line="240" w:lineRule="auto"/>
              <w:jc w:val="right"/>
              <w:rPr>
                <w:rFonts w:ascii="Calibri" w:eastAsia="Times New Roman" w:hAnsi="Calibri" w:cs="Arial"/>
                <w:b/>
                <w:bCs/>
                <w:lang w:eastAsia="cs-CZ"/>
              </w:rPr>
            </w:pPr>
            <w:r w:rsidRPr="008B459E">
              <w:rPr>
                <w:rFonts w:ascii="Calibri" w:eastAsia="Times New Roman" w:hAnsi="Calibri" w:cs="Arial"/>
                <w:b/>
                <w:bCs/>
                <w:lang w:eastAsia="cs-CZ"/>
              </w:rPr>
              <w:t>871 204 921,50</w:t>
            </w:r>
          </w:p>
        </w:tc>
        <w:tc>
          <w:tcPr>
            <w:tcW w:w="1550" w:type="dxa"/>
            <w:tcBorders>
              <w:top w:val="nil"/>
              <w:left w:val="nil"/>
              <w:bottom w:val="single" w:sz="8" w:space="0" w:color="auto"/>
              <w:right w:val="single" w:sz="4" w:space="0" w:color="auto"/>
            </w:tcBorders>
            <w:shd w:val="clear" w:color="auto" w:fill="auto"/>
            <w:noWrap/>
            <w:vAlign w:val="bottom"/>
            <w:hideMark/>
          </w:tcPr>
          <w:p w14:paraId="3B000D5A" w14:textId="77777777" w:rsidR="008B459E" w:rsidRPr="008B459E" w:rsidRDefault="008B459E" w:rsidP="008B459E">
            <w:pPr>
              <w:spacing w:after="0" w:line="240" w:lineRule="auto"/>
              <w:jc w:val="right"/>
              <w:rPr>
                <w:rFonts w:ascii="Calibri" w:eastAsia="Times New Roman" w:hAnsi="Calibri" w:cs="Arial"/>
                <w:b/>
                <w:bCs/>
                <w:lang w:eastAsia="cs-CZ"/>
              </w:rPr>
            </w:pPr>
            <w:r w:rsidRPr="008B459E">
              <w:rPr>
                <w:rFonts w:ascii="Calibri" w:eastAsia="Times New Roman" w:hAnsi="Calibri" w:cs="Arial"/>
                <w:b/>
                <w:bCs/>
                <w:lang w:eastAsia="cs-CZ"/>
              </w:rPr>
              <w:t>559 467 975,90</w:t>
            </w:r>
          </w:p>
        </w:tc>
        <w:tc>
          <w:tcPr>
            <w:tcW w:w="906" w:type="dxa"/>
            <w:tcBorders>
              <w:top w:val="nil"/>
              <w:left w:val="nil"/>
              <w:bottom w:val="single" w:sz="8" w:space="0" w:color="auto"/>
              <w:right w:val="single" w:sz="8" w:space="0" w:color="auto"/>
            </w:tcBorders>
            <w:shd w:val="clear" w:color="auto" w:fill="auto"/>
            <w:noWrap/>
            <w:vAlign w:val="bottom"/>
            <w:hideMark/>
          </w:tcPr>
          <w:p w14:paraId="0C0D0353" w14:textId="77777777" w:rsidR="008B459E" w:rsidRPr="008B459E" w:rsidRDefault="008B459E" w:rsidP="008B459E">
            <w:pPr>
              <w:spacing w:after="0" w:line="240" w:lineRule="auto"/>
              <w:jc w:val="right"/>
              <w:rPr>
                <w:rFonts w:ascii="Calibri" w:eastAsia="Times New Roman" w:hAnsi="Calibri" w:cs="Arial"/>
                <w:b/>
                <w:bCs/>
                <w:lang w:eastAsia="cs-CZ"/>
              </w:rPr>
            </w:pPr>
            <w:r w:rsidRPr="008B459E">
              <w:rPr>
                <w:rFonts w:ascii="Calibri" w:eastAsia="Times New Roman" w:hAnsi="Calibri" w:cs="Arial"/>
                <w:b/>
                <w:bCs/>
                <w:lang w:eastAsia="cs-CZ"/>
              </w:rPr>
              <w:t>64,2</w:t>
            </w:r>
          </w:p>
        </w:tc>
      </w:tr>
      <w:tr w:rsidR="008B459E" w:rsidRPr="008B459E" w14:paraId="0878A7E9" w14:textId="77777777" w:rsidTr="008B459E">
        <w:trPr>
          <w:trHeight w:val="260"/>
        </w:trPr>
        <w:tc>
          <w:tcPr>
            <w:tcW w:w="964" w:type="dxa"/>
            <w:tcBorders>
              <w:top w:val="nil"/>
              <w:left w:val="nil"/>
              <w:bottom w:val="nil"/>
              <w:right w:val="nil"/>
            </w:tcBorders>
            <w:shd w:val="clear" w:color="auto" w:fill="auto"/>
            <w:noWrap/>
            <w:vAlign w:val="bottom"/>
            <w:hideMark/>
          </w:tcPr>
          <w:p w14:paraId="7DEF7842" w14:textId="77777777" w:rsidR="008B459E" w:rsidRPr="008B459E" w:rsidRDefault="008B459E" w:rsidP="008B459E">
            <w:pPr>
              <w:spacing w:after="0" w:line="240" w:lineRule="auto"/>
              <w:jc w:val="right"/>
              <w:rPr>
                <w:rFonts w:ascii="Calibri" w:eastAsia="Times New Roman" w:hAnsi="Calibri" w:cs="Arial"/>
                <w:b/>
                <w:bCs/>
                <w:lang w:eastAsia="cs-CZ"/>
              </w:rPr>
            </w:pPr>
          </w:p>
        </w:tc>
        <w:tc>
          <w:tcPr>
            <w:tcW w:w="4479" w:type="dxa"/>
            <w:tcBorders>
              <w:top w:val="nil"/>
              <w:left w:val="nil"/>
              <w:bottom w:val="nil"/>
              <w:right w:val="nil"/>
            </w:tcBorders>
            <w:shd w:val="clear" w:color="auto" w:fill="auto"/>
            <w:noWrap/>
            <w:vAlign w:val="bottom"/>
            <w:hideMark/>
          </w:tcPr>
          <w:p w14:paraId="66E58039" w14:textId="77777777" w:rsidR="008B459E" w:rsidRPr="008B459E" w:rsidRDefault="008B459E" w:rsidP="008B459E">
            <w:pPr>
              <w:spacing w:after="0" w:line="240" w:lineRule="auto"/>
              <w:rPr>
                <w:rFonts w:ascii="Times New Roman" w:eastAsia="Times New Roman" w:hAnsi="Times New Roman" w:cs="Times New Roman"/>
                <w:sz w:val="20"/>
                <w:szCs w:val="20"/>
                <w:lang w:eastAsia="cs-CZ"/>
              </w:rPr>
            </w:pPr>
          </w:p>
        </w:tc>
        <w:tc>
          <w:tcPr>
            <w:tcW w:w="1143" w:type="dxa"/>
            <w:tcBorders>
              <w:top w:val="nil"/>
              <w:left w:val="nil"/>
              <w:bottom w:val="nil"/>
              <w:right w:val="nil"/>
            </w:tcBorders>
            <w:shd w:val="clear" w:color="auto" w:fill="auto"/>
            <w:noWrap/>
            <w:vAlign w:val="bottom"/>
            <w:hideMark/>
          </w:tcPr>
          <w:p w14:paraId="0D74FB7A" w14:textId="77777777" w:rsidR="008B459E" w:rsidRPr="008B459E" w:rsidRDefault="008B459E" w:rsidP="008B459E">
            <w:pPr>
              <w:spacing w:after="0" w:line="240" w:lineRule="auto"/>
              <w:rPr>
                <w:rFonts w:ascii="Times New Roman" w:eastAsia="Times New Roman" w:hAnsi="Times New Roman" w:cs="Times New Roman"/>
                <w:sz w:val="20"/>
                <w:szCs w:val="20"/>
                <w:lang w:eastAsia="cs-CZ"/>
              </w:rPr>
            </w:pPr>
          </w:p>
        </w:tc>
        <w:tc>
          <w:tcPr>
            <w:tcW w:w="1590" w:type="dxa"/>
            <w:tcBorders>
              <w:top w:val="nil"/>
              <w:left w:val="nil"/>
              <w:bottom w:val="nil"/>
              <w:right w:val="nil"/>
            </w:tcBorders>
            <w:shd w:val="clear" w:color="auto" w:fill="auto"/>
            <w:noWrap/>
            <w:vAlign w:val="bottom"/>
            <w:hideMark/>
          </w:tcPr>
          <w:p w14:paraId="5BE038F5" w14:textId="77777777" w:rsidR="008B459E" w:rsidRPr="008B459E" w:rsidRDefault="008B459E" w:rsidP="008B459E">
            <w:pPr>
              <w:spacing w:after="0" w:line="240" w:lineRule="auto"/>
              <w:rPr>
                <w:rFonts w:ascii="Times New Roman" w:eastAsia="Times New Roman" w:hAnsi="Times New Roman" w:cs="Times New Roman"/>
                <w:sz w:val="20"/>
                <w:szCs w:val="20"/>
                <w:lang w:eastAsia="cs-CZ"/>
              </w:rPr>
            </w:pPr>
          </w:p>
        </w:tc>
        <w:tc>
          <w:tcPr>
            <w:tcW w:w="1550" w:type="dxa"/>
            <w:tcBorders>
              <w:top w:val="nil"/>
              <w:left w:val="nil"/>
              <w:bottom w:val="nil"/>
              <w:right w:val="nil"/>
            </w:tcBorders>
            <w:shd w:val="clear" w:color="auto" w:fill="auto"/>
            <w:noWrap/>
            <w:vAlign w:val="bottom"/>
            <w:hideMark/>
          </w:tcPr>
          <w:p w14:paraId="43F5ED57" w14:textId="77777777" w:rsidR="008B459E" w:rsidRPr="008B459E" w:rsidRDefault="008B459E" w:rsidP="008B459E">
            <w:pPr>
              <w:spacing w:after="0" w:line="240" w:lineRule="auto"/>
              <w:rPr>
                <w:rFonts w:ascii="Times New Roman" w:eastAsia="Times New Roman" w:hAnsi="Times New Roman" w:cs="Times New Roman"/>
                <w:sz w:val="20"/>
                <w:szCs w:val="20"/>
                <w:lang w:eastAsia="cs-CZ"/>
              </w:rPr>
            </w:pPr>
          </w:p>
        </w:tc>
        <w:tc>
          <w:tcPr>
            <w:tcW w:w="906" w:type="dxa"/>
            <w:tcBorders>
              <w:top w:val="nil"/>
              <w:left w:val="nil"/>
              <w:bottom w:val="nil"/>
              <w:right w:val="nil"/>
            </w:tcBorders>
            <w:shd w:val="clear" w:color="auto" w:fill="auto"/>
            <w:noWrap/>
            <w:vAlign w:val="bottom"/>
            <w:hideMark/>
          </w:tcPr>
          <w:p w14:paraId="4C9EF061" w14:textId="77777777" w:rsidR="008B459E" w:rsidRPr="008B459E" w:rsidRDefault="008B459E" w:rsidP="008B459E">
            <w:pPr>
              <w:spacing w:after="0" w:line="240" w:lineRule="auto"/>
              <w:rPr>
                <w:rFonts w:ascii="Times New Roman" w:eastAsia="Times New Roman" w:hAnsi="Times New Roman" w:cs="Times New Roman"/>
                <w:sz w:val="20"/>
                <w:szCs w:val="20"/>
                <w:lang w:eastAsia="cs-CZ"/>
              </w:rPr>
            </w:pPr>
          </w:p>
        </w:tc>
      </w:tr>
      <w:tr w:rsidR="008B459E" w:rsidRPr="008B459E" w14:paraId="70839C8F" w14:textId="77777777" w:rsidTr="008B459E">
        <w:trPr>
          <w:trHeight w:val="270"/>
        </w:trPr>
        <w:tc>
          <w:tcPr>
            <w:tcW w:w="964" w:type="dxa"/>
            <w:tcBorders>
              <w:top w:val="nil"/>
              <w:left w:val="nil"/>
              <w:bottom w:val="nil"/>
              <w:right w:val="nil"/>
            </w:tcBorders>
            <w:shd w:val="clear" w:color="auto" w:fill="auto"/>
            <w:noWrap/>
            <w:vAlign w:val="bottom"/>
            <w:hideMark/>
          </w:tcPr>
          <w:p w14:paraId="17CE53FD" w14:textId="77777777" w:rsidR="008B459E" w:rsidRPr="008B459E" w:rsidRDefault="008B459E" w:rsidP="008B459E">
            <w:pPr>
              <w:spacing w:after="0" w:line="240" w:lineRule="auto"/>
              <w:rPr>
                <w:rFonts w:ascii="Times New Roman" w:eastAsia="Times New Roman" w:hAnsi="Times New Roman" w:cs="Times New Roman"/>
                <w:sz w:val="20"/>
                <w:szCs w:val="20"/>
                <w:lang w:eastAsia="cs-CZ"/>
              </w:rPr>
            </w:pPr>
          </w:p>
        </w:tc>
        <w:tc>
          <w:tcPr>
            <w:tcW w:w="4479" w:type="dxa"/>
            <w:tcBorders>
              <w:top w:val="nil"/>
              <w:left w:val="nil"/>
              <w:bottom w:val="nil"/>
              <w:right w:val="nil"/>
            </w:tcBorders>
            <w:shd w:val="clear" w:color="auto" w:fill="auto"/>
            <w:noWrap/>
            <w:vAlign w:val="bottom"/>
            <w:hideMark/>
          </w:tcPr>
          <w:p w14:paraId="6178C92E" w14:textId="77777777" w:rsidR="008B459E" w:rsidRPr="008B459E" w:rsidRDefault="008B459E" w:rsidP="008B459E">
            <w:pPr>
              <w:spacing w:after="0" w:line="240" w:lineRule="auto"/>
              <w:rPr>
                <w:rFonts w:ascii="Times New Roman" w:eastAsia="Times New Roman" w:hAnsi="Times New Roman" w:cs="Times New Roman"/>
                <w:sz w:val="20"/>
                <w:szCs w:val="20"/>
                <w:lang w:eastAsia="cs-CZ"/>
              </w:rPr>
            </w:pPr>
          </w:p>
        </w:tc>
        <w:tc>
          <w:tcPr>
            <w:tcW w:w="1143" w:type="dxa"/>
            <w:tcBorders>
              <w:top w:val="nil"/>
              <w:left w:val="nil"/>
              <w:bottom w:val="nil"/>
              <w:right w:val="nil"/>
            </w:tcBorders>
            <w:shd w:val="clear" w:color="auto" w:fill="auto"/>
            <w:noWrap/>
            <w:vAlign w:val="bottom"/>
            <w:hideMark/>
          </w:tcPr>
          <w:p w14:paraId="71CAD35B" w14:textId="77777777" w:rsidR="008B459E" w:rsidRPr="008B459E" w:rsidRDefault="008B459E" w:rsidP="008B459E">
            <w:pPr>
              <w:spacing w:after="0" w:line="240" w:lineRule="auto"/>
              <w:rPr>
                <w:rFonts w:ascii="Times New Roman" w:eastAsia="Times New Roman" w:hAnsi="Times New Roman" w:cs="Times New Roman"/>
                <w:sz w:val="20"/>
                <w:szCs w:val="20"/>
                <w:lang w:eastAsia="cs-CZ"/>
              </w:rPr>
            </w:pPr>
          </w:p>
        </w:tc>
        <w:tc>
          <w:tcPr>
            <w:tcW w:w="1590" w:type="dxa"/>
            <w:tcBorders>
              <w:top w:val="nil"/>
              <w:left w:val="nil"/>
              <w:bottom w:val="nil"/>
              <w:right w:val="nil"/>
            </w:tcBorders>
            <w:shd w:val="clear" w:color="auto" w:fill="auto"/>
            <w:noWrap/>
            <w:vAlign w:val="bottom"/>
            <w:hideMark/>
          </w:tcPr>
          <w:p w14:paraId="0D1B4E9C" w14:textId="77777777" w:rsidR="008B459E" w:rsidRPr="008B459E" w:rsidRDefault="008B459E" w:rsidP="008B459E">
            <w:pPr>
              <w:spacing w:after="0" w:line="240" w:lineRule="auto"/>
              <w:rPr>
                <w:rFonts w:ascii="Times New Roman" w:eastAsia="Times New Roman" w:hAnsi="Times New Roman" w:cs="Times New Roman"/>
                <w:sz w:val="20"/>
                <w:szCs w:val="20"/>
                <w:lang w:eastAsia="cs-CZ"/>
              </w:rPr>
            </w:pPr>
          </w:p>
        </w:tc>
        <w:tc>
          <w:tcPr>
            <w:tcW w:w="1550" w:type="dxa"/>
            <w:tcBorders>
              <w:top w:val="nil"/>
              <w:left w:val="nil"/>
              <w:bottom w:val="nil"/>
              <w:right w:val="nil"/>
            </w:tcBorders>
            <w:shd w:val="clear" w:color="auto" w:fill="auto"/>
            <w:noWrap/>
            <w:vAlign w:val="bottom"/>
            <w:hideMark/>
          </w:tcPr>
          <w:p w14:paraId="6BA37695" w14:textId="77777777" w:rsidR="008B459E" w:rsidRPr="008B459E" w:rsidRDefault="008B459E" w:rsidP="008B459E">
            <w:pPr>
              <w:spacing w:after="0" w:line="240" w:lineRule="auto"/>
              <w:rPr>
                <w:rFonts w:ascii="Times New Roman" w:eastAsia="Times New Roman" w:hAnsi="Times New Roman" w:cs="Times New Roman"/>
                <w:sz w:val="20"/>
                <w:szCs w:val="20"/>
                <w:lang w:eastAsia="cs-CZ"/>
              </w:rPr>
            </w:pPr>
          </w:p>
        </w:tc>
        <w:tc>
          <w:tcPr>
            <w:tcW w:w="906" w:type="dxa"/>
            <w:tcBorders>
              <w:top w:val="nil"/>
              <w:left w:val="nil"/>
              <w:bottom w:val="nil"/>
              <w:right w:val="nil"/>
            </w:tcBorders>
            <w:shd w:val="clear" w:color="auto" w:fill="auto"/>
            <w:noWrap/>
            <w:vAlign w:val="bottom"/>
            <w:hideMark/>
          </w:tcPr>
          <w:p w14:paraId="79093001" w14:textId="77777777" w:rsidR="008B459E" w:rsidRPr="008B459E" w:rsidRDefault="008B459E" w:rsidP="008B459E">
            <w:pPr>
              <w:spacing w:after="0" w:line="240" w:lineRule="auto"/>
              <w:rPr>
                <w:rFonts w:ascii="Times New Roman" w:eastAsia="Times New Roman" w:hAnsi="Times New Roman" w:cs="Times New Roman"/>
                <w:sz w:val="20"/>
                <w:szCs w:val="20"/>
                <w:lang w:eastAsia="cs-CZ"/>
              </w:rPr>
            </w:pPr>
          </w:p>
        </w:tc>
      </w:tr>
      <w:tr w:rsidR="008B459E" w:rsidRPr="008B459E" w14:paraId="70ABF3B0" w14:textId="77777777" w:rsidTr="008B459E">
        <w:trPr>
          <w:trHeight w:val="790"/>
        </w:trPr>
        <w:tc>
          <w:tcPr>
            <w:tcW w:w="964"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041A0015" w14:textId="77777777" w:rsidR="008B459E" w:rsidRPr="008B459E" w:rsidRDefault="008B459E" w:rsidP="008B459E">
            <w:pPr>
              <w:spacing w:after="0" w:line="240" w:lineRule="auto"/>
              <w:jc w:val="center"/>
              <w:rPr>
                <w:rFonts w:ascii="Calibri" w:eastAsia="Times New Roman" w:hAnsi="Calibri" w:cs="Arial"/>
                <w:sz w:val="20"/>
                <w:szCs w:val="20"/>
                <w:lang w:eastAsia="cs-CZ"/>
              </w:rPr>
            </w:pPr>
            <w:r w:rsidRPr="008B459E">
              <w:rPr>
                <w:rFonts w:ascii="Calibri" w:eastAsia="Times New Roman" w:hAnsi="Calibri" w:cs="Arial"/>
                <w:sz w:val="20"/>
                <w:szCs w:val="20"/>
                <w:lang w:eastAsia="cs-CZ"/>
              </w:rPr>
              <w:t>10</w:t>
            </w:r>
          </w:p>
        </w:tc>
        <w:tc>
          <w:tcPr>
            <w:tcW w:w="4479" w:type="dxa"/>
            <w:tcBorders>
              <w:top w:val="single" w:sz="8" w:space="0" w:color="auto"/>
              <w:left w:val="nil"/>
              <w:bottom w:val="single" w:sz="8" w:space="0" w:color="auto"/>
              <w:right w:val="single" w:sz="4" w:space="0" w:color="auto"/>
            </w:tcBorders>
            <w:shd w:val="clear" w:color="auto" w:fill="auto"/>
            <w:vAlign w:val="bottom"/>
            <w:hideMark/>
          </w:tcPr>
          <w:p w14:paraId="7481C8EB" w14:textId="77777777" w:rsidR="008B459E" w:rsidRPr="008B459E" w:rsidRDefault="008B459E" w:rsidP="008B459E">
            <w:pPr>
              <w:spacing w:after="0" w:line="240" w:lineRule="auto"/>
              <w:rPr>
                <w:rFonts w:ascii="Calibri" w:eastAsia="Times New Roman" w:hAnsi="Calibri" w:cs="Arial"/>
                <w:sz w:val="20"/>
                <w:szCs w:val="20"/>
                <w:lang w:eastAsia="cs-CZ"/>
              </w:rPr>
            </w:pPr>
            <w:r w:rsidRPr="008B459E">
              <w:rPr>
                <w:rFonts w:ascii="Calibri" w:eastAsia="Times New Roman" w:hAnsi="Calibri" w:cs="Arial"/>
                <w:sz w:val="20"/>
                <w:szCs w:val="20"/>
                <w:lang w:eastAsia="cs-CZ"/>
              </w:rPr>
              <w:t>Zesmluvněné dotace na vodohospodářskou infrastrukturu vyplácené prostřednictvím Středočeského Fondu životního prostředí a zemědělství - financované z vybraných poplatků za odebrané množství podzemní vody</w:t>
            </w:r>
          </w:p>
        </w:tc>
        <w:tc>
          <w:tcPr>
            <w:tcW w:w="1143" w:type="dxa"/>
            <w:tcBorders>
              <w:top w:val="single" w:sz="8" w:space="0" w:color="auto"/>
              <w:left w:val="nil"/>
              <w:bottom w:val="single" w:sz="8" w:space="0" w:color="auto"/>
              <w:right w:val="single" w:sz="4" w:space="0" w:color="auto"/>
            </w:tcBorders>
            <w:shd w:val="clear" w:color="auto" w:fill="auto"/>
            <w:noWrap/>
            <w:vAlign w:val="bottom"/>
            <w:hideMark/>
          </w:tcPr>
          <w:p w14:paraId="3205CE6A"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0</w:t>
            </w:r>
          </w:p>
        </w:tc>
        <w:tc>
          <w:tcPr>
            <w:tcW w:w="1590" w:type="dxa"/>
            <w:tcBorders>
              <w:top w:val="single" w:sz="8" w:space="0" w:color="auto"/>
              <w:left w:val="nil"/>
              <w:bottom w:val="single" w:sz="8" w:space="0" w:color="auto"/>
              <w:right w:val="single" w:sz="4" w:space="0" w:color="auto"/>
            </w:tcBorders>
            <w:shd w:val="clear" w:color="auto" w:fill="auto"/>
            <w:noWrap/>
            <w:vAlign w:val="bottom"/>
            <w:hideMark/>
          </w:tcPr>
          <w:p w14:paraId="23CC99D7"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7 897 500,00</w:t>
            </w:r>
          </w:p>
        </w:tc>
        <w:tc>
          <w:tcPr>
            <w:tcW w:w="1550" w:type="dxa"/>
            <w:tcBorders>
              <w:top w:val="single" w:sz="8" w:space="0" w:color="auto"/>
              <w:left w:val="nil"/>
              <w:bottom w:val="single" w:sz="8" w:space="0" w:color="auto"/>
              <w:right w:val="single" w:sz="4" w:space="0" w:color="auto"/>
            </w:tcBorders>
            <w:shd w:val="clear" w:color="auto" w:fill="auto"/>
            <w:noWrap/>
            <w:vAlign w:val="bottom"/>
            <w:hideMark/>
          </w:tcPr>
          <w:p w14:paraId="7B36A511"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6 458 134,00</w:t>
            </w:r>
          </w:p>
        </w:tc>
        <w:tc>
          <w:tcPr>
            <w:tcW w:w="906" w:type="dxa"/>
            <w:tcBorders>
              <w:top w:val="single" w:sz="8" w:space="0" w:color="auto"/>
              <w:left w:val="nil"/>
              <w:bottom w:val="single" w:sz="8" w:space="0" w:color="auto"/>
              <w:right w:val="single" w:sz="8" w:space="0" w:color="auto"/>
            </w:tcBorders>
            <w:shd w:val="clear" w:color="auto" w:fill="auto"/>
            <w:noWrap/>
            <w:vAlign w:val="bottom"/>
            <w:hideMark/>
          </w:tcPr>
          <w:p w14:paraId="7A6786D1" w14:textId="77777777" w:rsidR="008B459E" w:rsidRPr="008B459E" w:rsidRDefault="008B459E" w:rsidP="008B459E">
            <w:pPr>
              <w:spacing w:after="0" w:line="240" w:lineRule="auto"/>
              <w:jc w:val="right"/>
              <w:rPr>
                <w:rFonts w:ascii="Calibri" w:eastAsia="Times New Roman" w:hAnsi="Calibri" w:cs="Arial"/>
                <w:sz w:val="20"/>
                <w:szCs w:val="20"/>
                <w:lang w:eastAsia="cs-CZ"/>
              </w:rPr>
            </w:pPr>
            <w:r w:rsidRPr="008B459E">
              <w:rPr>
                <w:rFonts w:ascii="Calibri" w:eastAsia="Times New Roman" w:hAnsi="Calibri" w:cs="Arial"/>
                <w:sz w:val="20"/>
                <w:szCs w:val="20"/>
                <w:lang w:eastAsia="cs-CZ"/>
              </w:rPr>
              <w:t>81,8</w:t>
            </w:r>
          </w:p>
        </w:tc>
      </w:tr>
    </w:tbl>
    <w:p w14:paraId="551CD815" w14:textId="4E9A72E6" w:rsidR="00B2095D" w:rsidRDefault="00B2095D"/>
    <w:tbl>
      <w:tblPr>
        <w:tblW w:w="10488" w:type="dxa"/>
        <w:tblLayout w:type="fixed"/>
        <w:tblCellMar>
          <w:left w:w="70" w:type="dxa"/>
          <w:right w:w="70" w:type="dxa"/>
        </w:tblCellMar>
        <w:tblLook w:val="04A0" w:firstRow="1" w:lastRow="0" w:firstColumn="1" w:lastColumn="0" w:noHBand="0" w:noVBand="1"/>
      </w:tblPr>
      <w:tblGrid>
        <w:gridCol w:w="709"/>
        <w:gridCol w:w="3538"/>
        <w:gridCol w:w="1558"/>
        <w:gridCol w:w="1850"/>
        <w:gridCol w:w="1843"/>
        <w:gridCol w:w="830"/>
        <w:gridCol w:w="160"/>
      </w:tblGrid>
      <w:tr w:rsidR="00B2095D" w:rsidRPr="00B2095D" w14:paraId="7DD16403" w14:textId="77777777" w:rsidTr="00C44E9D">
        <w:trPr>
          <w:gridAfter w:val="1"/>
          <w:wAfter w:w="160" w:type="dxa"/>
          <w:trHeight w:val="440"/>
        </w:trPr>
        <w:tc>
          <w:tcPr>
            <w:tcW w:w="5805" w:type="dxa"/>
            <w:gridSpan w:val="3"/>
            <w:tcBorders>
              <w:top w:val="nil"/>
              <w:left w:val="nil"/>
              <w:bottom w:val="nil"/>
              <w:right w:val="nil"/>
            </w:tcBorders>
            <w:shd w:val="clear" w:color="auto" w:fill="auto"/>
            <w:noWrap/>
            <w:vAlign w:val="bottom"/>
            <w:hideMark/>
          </w:tcPr>
          <w:p w14:paraId="51774A7C" w14:textId="77777777" w:rsidR="00B2095D" w:rsidRPr="00B2095D" w:rsidRDefault="00B2095D" w:rsidP="00B2095D">
            <w:pPr>
              <w:spacing w:after="0" w:line="240" w:lineRule="auto"/>
              <w:rPr>
                <w:rFonts w:ascii="Calibri" w:eastAsia="Times New Roman" w:hAnsi="Calibri" w:cs="Arial"/>
                <w:b/>
                <w:bCs/>
                <w:sz w:val="36"/>
                <w:szCs w:val="36"/>
                <w:lang w:eastAsia="cs-CZ"/>
              </w:rPr>
            </w:pPr>
            <w:r w:rsidRPr="00B2095D">
              <w:rPr>
                <w:rFonts w:ascii="Calibri" w:eastAsia="Times New Roman" w:hAnsi="Calibri" w:cs="Arial"/>
                <w:b/>
                <w:bCs/>
                <w:sz w:val="36"/>
                <w:szCs w:val="36"/>
                <w:lang w:eastAsia="cs-CZ"/>
              </w:rPr>
              <w:lastRenderedPageBreak/>
              <w:t xml:space="preserve">Čerpání rozpočtu Středočeského kraje </w:t>
            </w:r>
          </w:p>
        </w:tc>
        <w:tc>
          <w:tcPr>
            <w:tcW w:w="1850" w:type="dxa"/>
            <w:tcBorders>
              <w:top w:val="nil"/>
              <w:left w:val="nil"/>
              <w:bottom w:val="nil"/>
              <w:right w:val="nil"/>
            </w:tcBorders>
            <w:shd w:val="clear" w:color="auto" w:fill="auto"/>
            <w:noWrap/>
            <w:vAlign w:val="bottom"/>
            <w:hideMark/>
          </w:tcPr>
          <w:p w14:paraId="68715B39" w14:textId="77777777" w:rsidR="00B2095D" w:rsidRPr="00B2095D" w:rsidRDefault="00B2095D" w:rsidP="00B2095D">
            <w:pPr>
              <w:spacing w:after="0" w:line="240" w:lineRule="auto"/>
              <w:rPr>
                <w:rFonts w:ascii="Calibri" w:eastAsia="Times New Roman" w:hAnsi="Calibri" w:cs="Arial"/>
                <w:b/>
                <w:bCs/>
                <w:sz w:val="36"/>
                <w:szCs w:val="36"/>
                <w:lang w:eastAsia="cs-CZ"/>
              </w:rPr>
            </w:pPr>
          </w:p>
        </w:tc>
        <w:tc>
          <w:tcPr>
            <w:tcW w:w="1843" w:type="dxa"/>
            <w:tcBorders>
              <w:top w:val="nil"/>
              <w:left w:val="nil"/>
              <w:bottom w:val="nil"/>
              <w:right w:val="nil"/>
            </w:tcBorders>
            <w:shd w:val="clear" w:color="auto" w:fill="auto"/>
            <w:noWrap/>
            <w:vAlign w:val="bottom"/>
            <w:hideMark/>
          </w:tcPr>
          <w:p w14:paraId="5FC5944A" w14:textId="77777777" w:rsidR="00B2095D" w:rsidRPr="00B2095D" w:rsidRDefault="00B2095D" w:rsidP="00B2095D">
            <w:pPr>
              <w:spacing w:after="0" w:line="240" w:lineRule="auto"/>
              <w:rPr>
                <w:rFonts w:ascii="Times New Roman" w:eastAsia="Times New Roman" w:hAnsi="Times New Roman" w:cs="Times New Roman"/>
                <w:sz w:val="20"/>
                <w:szCs w:val="20"/>
                <w:lang w:eastAsia="cs-CZ"/>
              </w:rPr>
            </w:pPr>
          </w:p>
        </w:tc>
        <w:tc>
          <w:tcPr>
            <w:tcW w:w="830" w:type="dxa"/>
            <w:tcBorders>
              <w:top w:val="nil"/>
              <w:left w:val="nil"/>
              <w:bottom w:val="nil"/>
              <w:right w:val="nil"/>
            </w:tcBorders>
            <w:shd w:val="clear" w:color="auto" w:fill="auto"/>
            <w:noWrap/>
            <w:vAlign w:val="bottom"/>
            <w:hideMark/>
          </w:tcPr>
          <w:p w14:paraId="39D6BB04" w14:textId="77777777" w:rsidR="00B2095D" w:rsidRPr="00B2095D" w:rsidRDefault="00B2095D" w:rsidP="00B2095D">
            <w:pPr>
              <w:spacing w:after="0" w:line="240" w:lineRule="auto"/>
              <w:rPr>
                <w:rFonts w:ascii="Times New Roman" w:eastAsia="Times New Roman" w:hAnsi="Times New Roman" w:cs="Times New Roman"/>
                <w:sz w:val="20"/>
                <w:szCs w:val="20"/>
                <w:lang w:eastAsia="cs-CZ"/>
              </w:rPr>
            </w:pPr>
          </w:p>
        </w:tc>
      </w:tr>
      <w:tr w:rsidR="00B2095D" w:rsidRPr="00B2095D" w14:paraId="7F97AC7D" w14:textId="77777777" w:rsidTr="00C44E9D">
        <w:trPr>
          <w:gridAfter w:val="1"/>
          <w:wAfter w:w="160" w:type="dxa"/>
          <w:trHeight w:val="360"/>
        </w:trPr>
        <w:tc>
          <w:tcPr>
            <w:tcW w:w="4247" w:type="dxa"/>
            <w:gridSpan w:val="2"/>
            <w:tcBorders>
              <w:top w:val="nil"/>
              <w:left w:val="nil"/>
              <w:bottom w:val="nil"/>
              <w:right w:val="nil"/>
            </w:tcBorders>
            <w:shd w:val="clear" w:color="auto" w:fill="auto"/>
            <w:noWrap/>
            <w:vAlign w:val="bottom"/>
            <w:hideMark/>
          </w:tcPr>
          <w:p w14:paraId="64F6C5F1" w14:textId="77777777" w:rsidR="00B2095D" w:rsidRPr="00B2095D" w:rsidRDefault="00B2095D" w:rsidP="00B2095D">
            <w:pPr>
              <w:spacing w:after="0" w:line="240" w:lineRule="auto"/>
              <w:rPr>
                <w:rFonts w:ascii="Calibri" w:eastAsia="Times New Roman" w:hAnsi="Calibri" w:cs="Arial"/>
                <w:b/>
                <w:bCs/>
                <w:sz w:val="28"/>
                <w:szCs w:val="28"/>
                <w:lang w:eastAsia="cs-CZ"/>
              </w:rPr>
            </w:pPr>
            <w:r w:rsidRPr="00B2095D">
              <w:rPr>
                <w:rFonts w:ascii="Calibri" w:eastAsia="Times New Roman" w:hAnsi="Calibri" w:cs="Arial"/>
                <w:b/>
                <w:bCs/>
                <w:sz w:val="28"/>
                <w:szCs w:val="28"/>
                <w:lang w:eastAsia="cs-CZ"/>
              </w:rPr>
              <w:t>Období: 1. - 12. 2021</w:t>
            </w:r>
          </w:p>
        </w:tc>
        <w:tc>
          <w:tcPr>
            <w:tcW w:w="1558" w:type="dxa"/>
            <w:tcBorders>
              <w:top w:val="nil"/>
              <w:left w:val="nil"/>
              <w:bottom w:val="nil"/>
              <w:right w:val="nil"/>
            </w:tcBorders>
            <w:shd w:val="clear" w:color="auto" w:fill="auto"/>
            <w:noWrap/>
            <w:vAlign w:val="bottom"/>
            <w:hideMark/>
          </w:tcPr>
          <w:p w14:paraId="6A149C52" w14:textId="77777777" w:rsidR="00B2095D" w:rsidRPr="00B2095D" w:rsidRDefault="00B2095D" w:rsidP="00B2095D">
            <w:pPr>
              <w:spacing w:after="0" w:line="240" w:lineRule="auto"/>
              <w:rPr>
                <w:rFonts w:ascii="Calibri" w:eastAsia="Times New Roman" w:hAnsi="Calibri" w:cs="Arial"/>
                <w:b/>
                <w:bCs/>
                <w:sz w:val="28"/>
                <w:szCs w:val="28"/>
                <w:lang w:eastAsia="cs-CZ"/>
              </w:rPr>
            </w:pPr>
          </w:p>
        </w:tc>
        <w:tc>
          <w:tcPr>
            <w:tcW w:w="1850" w:type="dxa"/>
            <w:tcBorders>
              <w:top w:val="nil"/>
              <w:left w:val="nil"/>
              <w:bottom w:val="nil"/>
              <w:right w:val="nil"/>
            </w:tcBorders>
            <w:shd w:val="clear" w:color="auto" w:fill="auto"/>
            <w:noWrap/>
            <w:vAlign w:val="bottom"/>
            <w:hideMark/>
          </w:tcPr>
          <w:p w14:paraId="33BDD39A" w14:textId="77777777" w:rsidR="00B2095D" w:rsidRPr="00B2095D" w:rsidRDefault="00B2095D" w:rsidP="00B2095D">
            <w:pPr>
              <w:spacing w:after="0" w:line="240" w:lineRule="auto"/>
              <w:rPr>
                <w:rFonts w:ascii="Times New Roman" w:eastAsia="Times New Roman" w:hAnsi="Times New Roman" w:cs="Times New Roman"/>
                <w:sz w:val="20"/>
                <w:szCs w:val="20"/>
                <w:lang w:eastAsia="cs-CZ"/>
              </w:rPr>
            </w:pPr>
          </w:p>
        </w:tc>
        <w:tc>
          <w:tcPr>
            <w:tcW w:w="1843" w:type="dxa"/>
            <w:tcBorders>
              <w:top w:val="nil"/>
              <w:left w:val="nil"/>
              <w:bottom w:val="nil"/>
              <w:right w:val="nil"/>
            </w:tcBorders>
            <w:shd w:val="clear" w:color="auto" w:fill="auto"/>
            <w:noWrap/>
            <w:vAlign w:val="bottom"/>
            <w:hideMark/>
          </w:tcPr>
          <w:p w14:paraId="146B7E4F" w14:textId="77777777" w:rsidR="00B2095D" w:rsidRPr="00B2095D" w:rsidRDefault="00B2095D" w:rsidP="00B2095D">
            <w:pPr>
              <w:spacing w:after="0" w:line="240" w:lineRule="auto"/>
              <w:rPr>
                <w:rFonts w:ascii="Times New Roman" w:eastAsia="Times New Roman" w:hAnsi="Times New Roman" w:cs="Times New Roman"/>
                <w:sz w:val="20"/>
                <w:szCs w:val="20"/>
                <w:lang w:eastAsia="cs-CZ"/>
              </w:rPr>
            </w:pPr>
          </w:p>
        </w:tc>
        <w:tc>
          <w:tcPr>
            <w:tcW w:w="830" w:type="dxa"/>
            <w:tcBorders>
              <w:top w:val="nil"/>
              <w:left w:val="nil"/>
              <w:bottom w:val="nil"/>
              <w:right w:val="nil"/>
            </w:tcBorders>
            <w:shd w:val="clear" w:color="auto" w:fill="auto"/>
            <w:noWrap/>
            <w:vAlign w:val="bottom"/>
            <w:hideMark/>
          </w:tcPr>
          <w:p w14:paraId="7AD95B7C" w14:textId="77777777" w:rsidR="00B2095D" w:rsidRPr="00B2095D" w:rsidRDefault="00B2095D" w:rsidP="00B2095D">
            <w:pPr>
              <w:spacing w:after="0" w:line="240" w:lineRule="auto"/>
              <w:rPr>
                <w:rFonts w:ascii="Times New Roman" w:eastAsia="Times New Roman" w:hAnsi="Times New Roman" w:cs="Times New Roman"/>
                <w:sz w:val="20"/>
                <w:szCs w:val="20"/>
                <w:lang w:eastAsia="cs-CZ"/>
              </w:rPr>
            </w:pPr>
          </w:p>
        </w:tc>
      </w:tr>
      <w:tr w:rsidR="00B2095D" w:rsidRPr="00B2095D" w14:paraId="07E88EA1" w14:textId="77777777" w:rsidTr="00C44E9D">
        <w:trPr>
          <w:gridAfter w:val="1"/>
          <w:wAfter w:w="160" w:type="dxa"/>
          <w:trHeight w:val="360"/>
        </w:trPr>
        <w:tc>
          <w:tcPr>
            <w:tcW w:w="709" w:type="dxa"/>
            <w:tcBorders>
              <w:top w:val="nil"/>
              <w:left w:val="nil"/>
              <w:bottom w:val="nil"/>
              <w:right w:val="nil"/>
            </w:tcBorders>
            <w:shd w:val="clear" w:color="auto" w:fill="auto"/>
            <w:noWrap/>
            <w:vAlign w:val="bottom"/>
            <w:hideMark/>
          </w:tcPr>
          <w:p w14:paraId="78C12EC5" w14:textId="77777777" w:rsidR="00B2095D" w:rsidRPr="00B2095D" w:rsidRDefault="00B2095D" w:rsidP="00B2095D">
            <w:pPr>
              <w:spacing w:after="0" w:line="240" w:lineRule="auto"/>
              <w:rPr>
                <w:rFonts w:ascii="Times New Roman" w:eastAsia="Times New Roman" w:hAnsi="Times New Roman" w:cs="Times New Roman"/>
                <w:sz w:val="20"/>
                <w:szCs w:val="20"/>
                <w:lang w:eastAsia="cs-CZ"/>
              </w:rPr>
            </w:pPr>
          </w:p>
        </w:tc>
        <w:tc>
          <w:tcPr>
            <w:tcW w:w="3538" w:type="dxa"/>
            <w:tcBorders>
              <w:top w:val="nil"/>
              <w:left w:val="nil"/>
              <w:bottom w:val="nil"/>
              <w:right w:val="nil"/>
            </w:tcBorders>
            <w:shd w:val="clear" w:color="auto" w:fill="auto"/>
            <w:noWrap/>
            <w:vAlign w:val="bottom"/>
            <w:hideMark/>
          </w:tcPr>
          <w:p w14:paraId="262C230B" w14:textId="77777777" w:rsidR="00B2095D" w:rsidRPr="00B2095D" w:rsidRDefault="00B2095D" w:rsidP="00B2095D">
            <w:pPr>
              <w:spacing w:after="0" w:line="240" w:lineRule="auto"/>
              <w:rPr>
                <w:rFonts w:ascii="Times New Roman" w:eastAsia="Times New Roman" w:hAnsi="Times New Roman" w:cs="Times New Roman"/>
                <w:sz w:val="20"/>
                <w:szCs w:val="20"/>
                <w:lang w:eastAsia="cs-CZ"/>
              </w:rPr>
            </w:pPr>
          </w:p>
        </w:tc>
        <w:tc>
          <w:tcPr>
            <w:tcW w:w="1558" w:type="dxa"/>
            <w:tcBorders>
              <w:top w:val="nil"/>
              <w:left w:val="nil"/>
              <w:bottom w:val="nil"/>
              <w:right w:val="nil"/>
            </w:tcBorders>
            <w:shd w:val="clear" w:color="auto" w:fill="auto"/>
            <w:noWrap/>
            <w:vAlign w:val="bottom"/>
            <w:hideMark/>
          </w:tcPr>
          <w:p w14:paraId="064930FF" w14:textId="77777777" w:rsidR="00B2095D" w:rsidRPr="00B2095D" w:rsidRDefault="00B2095D" w:rsidP="00B2095D">
            <w:pPr>
              <w:spacing w:after="0" w:line="240" w:lineRule="auto"/>
              <w:rPr>
                <w:rFonts w:ascii="Times New Roman" w:eastAsia="Times New Roman" w:hAnsi="Times New Roman" w:cs="Times New Roman"/>
                <w:sz w:val="20"/>
                <w:szCs w:val="20"/>
                <w:lang w:eastAsia="cs-CZ"/>
              </w:rPr>
            </w:pPr>
          </w:p>
        </w:tc>
        <w:tc>
          <w:tcPr>
            <w:tcW w:w="1850" w:type="dxa"/>
            <w:tcBorders>
              <w:top w:val="nil"/>
              <w:left w:val="nil"/>
              <w:bottom w:val="nil"/>
              <w:right w:val="nil"/>
            </w:tcBorders>
            <w:shd w:val="clear" w:color="auto" w:fill="auto"/>
            <w:noWrap/>
            <w:vAlign w:val="bottom"/>
            <w:hideMark/>
          </w:tcPr>
          <w:p w14:paraId="40E94B80" w14:textId="77777777" w:rsidR="00B2095D" w:rsidRPr="00B2095D" w:rsidRDefault="00B2095D" w:rsidP="00B2095D">
            <w:pPr>
              <w:spacing w:after="0" w:line="240" w:lineRule="auto"/>
              <w:rPr>
                <w:rFonts w:ascii="Times New Roman" w:eastAsia="Times New Roman" w:hAnsi="Times New Roman" w:cs="Times New Roman"/>
                <w:sz w:val="20"/>
                <w:szCs w:val="20"/>
                <w:lang w:eastAsia="cs-CZ"/>
              </w:rPr>
            </w:pPr>
          </w:p>
        </w:tc>
        <w:tc>
          <w:tcPr>
            <w:tcW w:w="1843" w:type="dxa"/>
            <w:tcBorders>
              <w:top w:val="nil"/>
              <w:left w:val="nil"/>
              <w:bottom w:val="nil"/>
              <w:right w:val="nil"/>
            </w:tcBorders>
            <w:shd w:val="clear" w:color="auto" w:fill="auto"/>
            <w:noWrap/>
            <w:vAlign w:val="bottom"/>
            <w:hideMark/>
          </w:tcPr>
          <w:p w14:paraId="5102556D" w14:textId="77777777" w:rsidR="00B2095D" w:rsidRPr="00B2095D" w:rsidRDefault="00B2095D" w:rsidP="00B2095D">
            <w:pPr>
              <w:spacing w:after="0" w:line="240" w:lineRule="auto"/>
              <w:rPr>
                <w:rFonts w:ascii="Times New Roman" w:eastAsia="Times New Roman" w:hAnsi="Times New Roman" w:cs="Times New Roman"/>
                <w:sz w:val="20"/>
                <w:szCs w:val="20"/>
                <w:lang w:eastAsia="cs-CZ"/>
              </w:rPr>
            </w:pPr>
          </w:p>
        </w:tc>
        <w:tc>
          <w:tcPr>
            <w:tcW w:w="830" w:type="dxa"/>
            <w:tcBorders>
              <w:top w:val="nil"/>
              <w:left w:val="nil"/>
              <w:bottom w:val="nil"/>
              <w:right w:val="nil"/>
            </w:tcBorders>
            <w:shd w:val="clear" w:color="auto" w:fill="auto"/>
            <w:noWrap/>
            <w:vAlign w:val="bottom"/>
            <w:hideMark/>
          </w:tcPr>
          <w:p w14:paraId="61940DF6" w14:textId="77777777" w:rsidR="00B2095D" w:rsidRPr="00B2095D" w:rsidRDefault="00B2095D" w:rsidP="00B2095D">
            <w:pPr>
              <w:spacing w:after="0" w:line="240" w:lineRule="auto"/>
              <w:rPr>
                <w:rFonts w:ascii="Times New Roman" w:eastAsia="Times New Roman" w:hAnsi="Times New Roman" w:cs="Times New Roman"/>
                <w:sz w:val="20"/>
                <w:szCs w:val="20"/>
                <w:lang w:eastAsia="cs-CZ"/>
              </w:rPr>
            </w:pPr>
          </w:p>
        </w:tc>
      </w:tr>
      <w:tr w:rsidR="00B2095D" w:rsidRPr="00B2095D" w14:paraId="0A6F1C56" w14:textId="77777777" w:rsidTr="00C44E9D">
        <w:trPr>
          <w:gridAfter w:val="1"/>
          <w:wAfter w:w="160" w:type="dxa"/>
          <w:trHeight w:val="360"/>
        </w:trPr>
        <w:tc>
          <w:tcPr>
            <w:tcW w:w="4247" w:type="dxa"/>
            <w:gridSpan w:val="2"/>
            <w:tcBorders>
              <w:top w:val="nil"/>
              <w:left w:val="nil"/>
              <w:bottom w:val="nil"/>
              <w:right w:val="nil"/>
            </w:tcBorders>
            <w:shd w:val="clear" w:color="auto" w:fill="auto"/>
            <w:noWrap/>
            <w:vAlign w:val="bottom"/>
            <w:hideMark/>
          </w:tcPr>
          <w:p w14:paraId="7FB47E6A" w14:textId="77777777" w:rsidR="00B2095D" w:rsidRPr="00B2095D" w:rsidRDefault="00B2095D" w:rsidP="00B2095D">
            <w:pPr>
              <w:spacing w:after="0" w:line="240" w:lineRule="auto"/>
              <w:rPr>
                <w:rFonts w:ascii="Calibri" w:eastAsia="Times New Roman" w:hAnsi="Calibri" w:cs="Arial"/>
                <w:b/>
                <w:bCs/>
                <w:sz w:val="28"/>
                <w:szCs w:val="28"/>
                <w:lang w:eastAsia="cs-CZ"/>
              </w:rPr>
            </w:pPr>
            <w:r w:rsidRPr="00B2095D">
              <w:rPr>
                <w:rFonts w:ascii="Calibri" w:eastAsia="Times New Roman" w:hAnsi="Calibri" w:cs="Arial"/>
                <w:b/>
                <w:bCs/>
                <w:sz w:val="28"/>
                <w:szCs w:val="28"/>
                <w:lang w:eastAsia="cs-CZ"/>
              </w:rPr>
              <w:t>Sumář kapitálových výdajů celkem</w:t>
            </w:r>
          </w:p>
        </w:tc>
        <w:tc>
          <w:tcPr>
            <w:tcW w:w="1558" w:type="dxa"/>
            <w:tcBorders>
              <w:top w:val="nil"/>
              <w:left w:val="nil"/>
              <w:bottom w:val="nil"/>
              <w:right w:val="nil"/>
            </w:tcBorders>
            <w:shd w:val="clear" w:color="auto" w:fill="auto"/>
            <w:noWrap/>
            <w:vAlign w:val="bottom"/>
            <w:hideMark/>
          </w:tcPr>
          <w:p w14:paraId="4A62B719" w14:textId="77777777" w:rsidR="00B2095D" w:rsidRPr="00B2095D" w:rsidRDefault="00B2095D" w:rsidP="00B2095D">
            <w:pPr>
              <w:spacing w:after="0" w:line="240" w:lineRule="auto"/>
              <w:rPr>
                <w:rFonts w:ascii="Calibri" w:eastAsia="Times New Roman" w:hAnsi="Calibri" w:cs="Arial"/>
                <w:b/>
                <w:bCs/>
                <w:sz w:val="28"/>
                <w:szCs w:val="28"/>
                <w:lang w:eastAsia="cs-CZ"/>
              </w:rPr>
            </w:pPr>
          </w:p>
        </w:tc>
        <w:tc>
          <w:tcPr>
            <w:tcW w:w="1850" w:type="dxa"/>
            <w:tcBorders>
              <w:top w:val="nil"/>
              <w:left w:val="nil"/>
              <w:bottom w:val="nil"/>
              <w:right w:val="nil"/>
            </w:tcBorders>
            <w:shd w:val="clear" w:color="auto" w:fill="auto"/>
            <w:noWrap/>
            <w:vAlign w:val="bottom"/>
            <w:hideMark/>
          </w:tcPr>
          <w:p w14:paraId="48170709" w14:textId="77777777" w:rsidR="00B2095D" w:rsidRPr="00B2095D" w:rsidRDefault="00B2095D" w:rsidP="00B2095D">
            <w:pPr>
              <w:spacing w:after="0" w:line="240" w:lineRule="auto"/>
              <w:rPr>
                <w:rFonts w:ascii="Times New Roman" w:eastAsia="Times New Roman" w:hAnsi="Times New Roman" w:cs="Times New Roman"/>
                <w:sz w:val="20"/>
                <w:szCs w:val="20"/>
                <w:lang w:eastAsia="cs-CZ"/>
              </w:rPr>
            </w:pPr>
          </w:p>
        </w:tc>
        <w:tc>
          <w:tcPr>
            <w:tcW w:w="1843" w:type="dxa"/>
            <w:tcBorders>
              <w:top w:val="nil"/>
              <w:left w:val="nil"/>
              <w:bottom w:val="nil"/>
              <w:right w:val="nil"/>
            </w:tcBorders>
            <w:shd w:val="clear" w:color="auto" w:fill="auto"/>
            <w:noWrap/>
            <w:vAlign w:val="bottom"/>
            <w:hideMark/>
          </w:tcPr>
          <w:p w14:paraId="3675ACA7" w14:textId="77777777" w:rsidR="00B2095D" w:rsidRPr="00B2095D" w:rsidRDefault="00B2095D" w:rsidP="00B2095D">
            <w:pPr>
              <w:spacing w:after="0" w:line="240" w:lineRule="auto"/>
              <w:rPr>
                <w:rFonts w:ascii="Times New Roman" w:eastAsia="Times New Roman" w:hAnsi="Times New Roman" w:cs="Times New Roman"/>
                <w:sz w:val="20"/>
                <w:szCs w:val="20"/>
                <w:lang w:eastAsia="cs-CZ"/>
              </w:rPr>
            </w:pPr>
          </w:p>
        </w:tc>
        <w:tc>
          <w:tcPr>
            <w:tcW w:w="830" w:type="dxa"/>
            <w:tcBorders>
              <w:top w:val="nil"/>
              <w:left w:val="nil"/>
              <w:bottom w:val="nil"/>
              <w:right w:val="nil"/>
            </w:tcBorders>
            <w:shd w:val="clear" w:color="auto" w:fill="auto"/>
            <w:noWrap/>
            <w:vAlign w:val="bottom"/>
            <w:hideMark/>
          </w:tcPr>
          <w:p w14:paraId="5B6D47FA" w14:textId="77777777" w:rsidR="00B2095D" w:rsidRPr="00B2095D" w:rsidRDefault="00B2095D" w:rsidP="00B2095D">
            <w:pPr>
              <w:spacing w:after="0" w:line="240" w:lineRule="auto"/>
              <w:rPr>
                <w:rFonts w:ascii="Times New Roman" w:eastAsia="Times New Roman" w:hAnsi="Times New Roman" w:cs="Times New Roman"/>
                <w:sz w:val="20"/>
                <w:szCs w:val="20"/>
                <w:lang w:eastAsia="cs-CZ"/>
              </w:rPr>
            </w:pPr>
          </w:p>
        </w:tc>
      </w:tr>
      <w:tr w:rsidR="00B2095D" w:rsidRPr="00B2095D" w14:paraId="07A3AD95" w14:textId="77777777" w:rsidTr="00C44E9D">
        <w:trPr>
          <w:gridAfter w:val="1"/>
          <w:wAfter w:w="160" w:type="dxa"/>
          <w:trHeight w:val="360"/>
        </w:trPr>
        <w:tc>
          <w:tcPr>
            <w:tcW w:w="709" w:type="dxa"/>
            <w:tcBorders>
              <w:top w:val="nil"/>
              <w:left w:val="nil"/>
              <w:bottom w:val="nil"/>
              <w:right w:val="nil"/>
            </w:tcBorders>
            <w:shd w:val="clear" w:color="auto" w:fill="auto"/>
            <w:noWrap/>
            <w:vAlign w:val="bottom"/>
            <w:hideMark/>
          </w:tcPr>
          <w:p w14:paraId="639ED2E7" w14:textId="77777777" w:rsidR="00B2095D" w:rsidRPr="00B2095D" w:rsidRDefault="00B2095D" w:rsidP="00B2095D">
            <w:pPr>
              <w:spacing w:after="0" w:line="240" w:lineRule="auto"/>
              <w:rPr>
                <w:rFonts w:ascii="Times New Roman" w:eastAsia="Times New Roman" w:hAnsi="Times New Roman" w:cs="Times New Roman"/>
                <w:sz w:val="20"/>
                <w:szCs w:val="20"/>
                <w:lang w:eastAsia="cs-CZ"/>
              </w:rPr>
            </w:pPr>
          </w:p>
        </w:tc>
        <w:tc>
          <w:tcPr>
            <w:tcW w:w="3538" w:type="dxa"/>
            <w:tcBorders>
              <w:top w:val="nil"/>
              <w:left w:val="nil"/>
              <w:bottom w:val="nil"/>
              <w:right w:val="nil"/>
            </w:tcBorders>
            <w:shd w:val="clear" w:color="auto" w:fill="auto"/>
            <w:noWrap/>
            <w:vAlign w:val="bottom"/>
            <w:hideMark/>
          </w:tcPr>
          <w:p w14:paraId="5F0DC294" w14:textId="77777777" w:rsidR="00B2095D" w:rsidRPr="00B2095D" w:rsidRDefault="00B2095D" w:rsidP="00B2095D">
            <w:pPr>
              <w:spacing w:after="0" w:line="240" w:lineRule="auto"/>
              <w:rPr>
                <w:rFonts w:ascii="Times New Roman" w:eastAsia="Times New Roman" w:hAnsi="Times New Roman" w:cs="Times New Roman"/>
                <w:sz w:val="20"/>
                <w:szCs w:val="20"/>
                <w:lang w:eastAsia="cs-CZ"/>
              </w:rPr>
            </w:pPr>
          </w:p>
        </w:tc>
        <w:tc>
          <w:tcPr>
            <w:tcW w:w="1558" w:type="dxa"/>
            <w:tcBorders>
              <w:top w:val="nil"/>
              <w:left w:val="nil"/>
              <w:bottom w:val="nil"/>
              <w:right w:val="nil"/>
            </w:tcBorders>
            <w:shd w:val="clear" w:color="auto" w:fill="auto"/>
            <w:noWrap/>
            <w:vAlign w:val="bottom"/>
            <w:hideMark/>
          </w:tcPr>
          <w:p w14:paraId="2DEE9FBA" w14:textId="77777777" w:rsidR="00B2095D" w:rsidRPr="00B2095D" w:rsidRDefault="00B2095D" w:rsidP="00B2095D">
            <w:pPr>
              <w:spacing w:after="0" w:line="240" w:lineRule="auto"/>
              <w:rPr>
                <w:rFonts w:ascii="Times New Roman" w:eastAsia="Times New Roman" w:hAnsi="Times New Roman" w:cs="Times New Roman"/>
                <w:sz w:val="20"/>
                <w:szCs w:val="20"/>
                <w:lang w:eastAsia="cs-CZ"/>
              </w:rPr>
            </w:pPr>
          </w:p>
        </w:tc>
        <w:tc>
          <w:tcPr>
            <w:tcW w:w="1850" w:type="dxa"/>
            <w:tcBorders>
              <w:top w:val="nil"/>
              <w:left w:val="nil"/>
              <w:bottom w:val="nil"/>
              <w:right w:val="nil"/>
            </w:tcBorders>
            <w:shd w:val="clear" w:color="auto" w:fill="auto"/>
            <w:noWrap/>
            <w:vAlign w:val="bottom"/>
            <w:hideMark/>
          </w:tcPr>
          <w:p w14:paraId="367274FE" w14:textId="77777777" w:rsidR="00B2095D" w:rsidRPr="00B2095D" w:rsidRDefault="00B2095D" w:rsidP="00B2095D">
            <w:pPr>
              <w:spacing w:after="0" w:line="240" w:lineRule="auto"/>
              <w:rPr>
                <w:rFonts w:ascii="Times New Roman" w:eastAsia="Times New Roman" w:hAnsi="Times New Roman" w:cs="Times New Roman"/>
                <w:sz w:val="20"/>
                <w:szCs w:val="20"/>
                <w:lang w:eastAsia="cs-CZ"/>
              </w:rPr>
            </w:pPr>
          </w:p>
        </w:tc>
        <w:tc>
          <w:tcPr>
            <w:tcW w:w="1843" w:type="dxa"/>
            <w:tcBorders>
              <w:top w:val="nil"/>
              <w:left w:val="nil"/>
              <w:bottom w:val="nil"/>
              <w:right w:val="nil"/>
            </w:tcBorders>
            <w:shd w:val="clear" w:color="auto" w:fill="auto"/>
            <w:noWrap/>
            <w:vAlign w:val="bottom"/>
            <w:hideMark/>
          </w:tcPr>
          <w:p w14:paraId="5FFF069E" w14:textId="77777777" w:rsidR="00B2095D" w:rsidRPr="00B2095D" w:rsidRDefault="00B2095D" w:rsidP="00B2095D">
            <w:pPr>
              <w:spacing w:after="0" w:line="240" w:lineRule="auto"/>
              <w:rPr>
                <w:rFonts w:ascii="Times New Roman" w:eastAsia="Times New Roman" w:hAnsi="Times New Roman" w:cs="Times New Roman"/>
                <w:sz w:val="20"/>
                <w:szCs w:val="20"/>
                <w:lang w:eastAsia="cs-CZ"/>
              </w:rPr>
            </w:pPr>
          </w:p>
        </w:tc>
        <w:tc>
          <w:tcPr>
            <w:tcW w:w="830" w:type="dxa"/>
            <w:tcBorders>
              <w:top w:val="nil"/>
              <w:left w:val="nil"/>
              <w:bottom w:val="nil"/>
              <w:right w:val="nil"/>
            </w:tcBorders>
            <w:shd w:val="clear" w:color="auto" w:fill="auto"/>
            <w:noWrap/>
            <w:vAlign w:val="bottom"/>
            <w:hideMark/>
          </w:tcPr>
          <w:p w14:paraId="55ADCD23" w14:textId="77777777" w:rsidR="00B2095D" w:rsidRPr="00B2095D" w:rsidRDefault="00B2095D" w:rsidP="00B2095D">
            <w:pPr>
              <w:spacing w:after="0" w:line="240" w:lineRule="auto"/>
              <w:jc w:val="right"/>
              <w:rPr>
                <w:rFonts w:ascii="Times New Roman" w:eastAsia="Times New Roman" w:hAnsi="Times New Roman" w:cs="Times New Roman"/>
                <w:sz w:val="20"/>
                <w:szCs w:val="20"/>
                <w:lang w:eastAsia="cs-CZ"/>
              </w:rPr>
            </w:pPr>
          </w:p>
        </w:tc>
      </w:tr>
      <w:tr w:rsidR="00B2095D" w:rsidRPr="00B2095D" w14:paraId="222C914C" w14:textId="77777777" w:rsidTr="00C44E9D">
        <w:trPr>
          <w:gridAfter w:val="1"/>
          <w:wAfter w:w="160" w:type="dxa"/>
          <w:trHeight w:val="360"/>
        </w:trPr>
        <w:tc>
          <w:tcPr>
            <w:tcW w:w="709" w:type="dxa"/>
            <w:tcBorders>
              <w:top w:val="nil"/>
              <w:left w:val="nil"/>
              <w:bottom w:val="nil"/>
              <w:right w:val="nil"/>
            </w:tcBorders>
            <w:shd w:val="clear" w:color="auto" w:fill="auto"/>
            <w:noWrap/>
            <w:vAlign w:val="bottom"/>
            <w:hideMark/>
          </w:tcPr>
          <w:p w14:paraId="2D46D5E4" w14:textId="77777777" w:rsidR="00B2095D" w:rsidRPr="00B2095D" w:rsidRDefault="00B2095D" w:rsidP="00B2095D">
            <w:pPr>
              <w:spacing w:after="0" w:line="240" w:lineRule="auto"/>
              <w:rPr>
                <w:rFonts w:ascii="Times New Roman" w:eastAsia="Times New Roman" w:hAnsi="Times New Roman" w:cs="Times New Roman"/>
                <w:sz w:val="20"/>
                <w:szCs w:val="20"/>
                <w:lang w:eastAsia="cs-CZ"/>
              </w:rPr>
            </w:pPr>
          </w:p>
        </w:tc>
        <w:tc>
          <w:tcPr>
            <w:tcW w:w="3538" w:type="dxa"/>
            <w:tcBorders>
              <w:top w:val="nil"/>
              <w:left w:val="nil"/>
              <w:bottom w:val="nil"/>
              <w:right w:val="nil"/>
            </w:tcBorders>
            <w:shd w:val="clear" w:color="auto" w:fill="auto"/>
            <w:noWrap/>
            <w:vAlign w:val="bottom"/>
            <w:hideMark/>
          </w:tcPr>
          <w:p w14:paraId="11885E7A" w14:textId="77777777" w:rsidR="00B2095D" w:rsidRPr="00B2095D" w:rsidRDefault="00B2095D" w:rsidP="00B2095D">
            <w:pPr>
              <w:spacing w:after="0" w:line="240" w:lineRule="auto"/>
              <w:rPr>
                <w:rFonts w:ascii="Times New Roman" w:eastAsia="Times New Roman" w:hAnsi="Times New Roman" w:cs="Times New Roman"/>
                <w:sz w:val="20"/>
                <w:szCs w:val="20"/>
                <w:lang w:eastAsia="cs-CZ"/>
              </w:rPr>
            </w:pPr>
          </w:p>
        </w:tc>
        <w:tc>
          <w:tcPr>
            <w:tcW w:w="1558" w:type="dxa"/>
            <w:tcBorders>
              <w:top w:val="nil"/>
              <w:left w:val="nil"/>
              <w:bottom w:val="nil"/>
              <w:right w:val="nil"/>
            </w:tcBorders>
            <w:shd w:val="clear" w:color="auto" w:fill="auto"/>
            <w:noWrap/>
            <w:vAlign w:val="bottom"/>
            <w:hideMark/>
          </w:tcPr>
          <w:p w14:paraId="379D2F36" w14:textId="77777777" w:rsidR="00B2095D" w:rsidRPr="00B2095D" w:rsidRDefault="00B2095D" w:rsidP="00B2095D">
            <w:pPr>
              <w:spacing w:after="0" w:line="240" w:lineRule="auto"/>
              <w:rPr>
                <w:rFonts w:ascii="Times New Roman" w:eastAsia="Times New Roman" w:hAnsi="Times New Roman" w:cs="Times New Roman"/>
                <w:sz w:val="20"/>
                <w:szCs w:val="20"/>
                <w:lang w:eastAsia="cs-CZ"/>
              </w:rPr>
            </w:pPr>
          </w:p>
        </w:tc>
        <w:tc>
          <w:tcPr>
            <w:tcW w:w="1850" w:type="dxa"/>
            <w:tcBorders>
              <w:top w:val="nil"/>
              <w:left w:val="nil"/>
              <w:bottom w:val="nil"/>
              <w:right w:val="nil"/>
            </w:tcBorders>
            <w:shd w:val="clear" w:color="auto" w:fill="auto"/>
            <w:noWrap/>
            <w:vAlign w:val="bottom"/>
            <w:hideMark/>
          </w:tcPr>
          <w:p w14:paraId="2428E9A2" w14:textId="77777777" w:rsidR="00B2095D" w:rsidRPr="00B2095D" w:rsidRDefault="00B2095D" w:rsidP="00B2095D">
            <w:pPr>
              <w:spacing w:after="0" w:line="240" w:lineRule="auto"/>
              <w:rPr>
                <w:rFonts w:ascii="Times New Roman" w:eastAsia="Times New Roman" w:hAnsi="Times New Roman" w:cs="Times New Roman"/>
                <w:sz w:val="20"/>
                <w:szCs w:val="20"/>
                <w:lang w:eastAsia="cs-CZ"/>
              </w:rPr>
            </w:pPr>
          </w:p>
        </w:tc>
        <w:tc>
          <w:tcPr>
            <w:tcW w:w="1843" w:type="dxa"/>
            <w:tcBorders>
              <w:top w:val="nil"/>
              <w:left w:val="nil"/>
              <w:bottom w:val="nil"/>
              <w:right w:val="nil"/>
            </w:tcBorders>
            <w:shd w:val="clear" w:color="auto" w:fill="auto"/>
            <w:noWrap/>
            <w:vAlign w:val="bottom"/>
            <w:hideMark/>
          </w:tcPr>
          <w:p w14:paraId="5097BC79" w14:textId="77777777" w:rsidR="00B2095D" w:rsidRPr="00B2095D" w:rsidRDefault="00B2095D" w:rsidP="00B2095D">
            <w:pPr>
              <w:spacing w:after="0" w:line="240" w:lineRule="auto"/>
              <w:rPr>
                <w:rFonts w:ascii="Times New Roman" w:eastAsia="Times New Roman" w:hAnsi="Times New Roman" w:cs="Times New Roman"/>
                <w:sz w:val="20"/>
                <w:szCs w:val="20"/>
                <w:lang w:eastAsia="cs-CZ"/>
              </w:rPr>
            </w:pPr>
          </w:p>
        </w:tc>
        <w:tc>
          <w:tcPr>
            <w:tcW w:w="830" w:type="dxa"/>
            <w:tcBorders>
              <w:top w:val="nil"/>
              <w:left w:val="nil"/>
              <w:bottom w:val="nil"/>
              <w:right w:val="nil"/>
            </w:tcBorders>
            <w:shd w:val="clear" w:color="auto" w:fill="auto"/>
            <w:noWrap/>
            <w:vAlign w:val="bottom"/>
            <w:hideMark/>
          </w:tcPr>
          <w:p w14:paraId="682658E1" w14:textId="77777777" w:rsidR="00B2095D" w:rsidRPr="00B2095D" w:rsidRDefault="00B2095D" w:rsidP="00B2095D">
            <w:pPr>
              <w:spacing w:after="0" w:line="240" w:lineRule="auto"/>
              <w:jc w:val="right"/>
              <w:rPr>
                <w:rFonts w:ascii="Calibri" w:eastAsia="Times New Roman" w:hAnsi="Calibri" w:cs="Arial"/>
                <w:lang w:eastAsia="cs-CZ"/>
              </w:rPr>
            </w:pPr>
            <w:r w:rsidRPr="00B2095D">
              <w:rPr>
                <w:rFonts w:ascii="Calibri" w:eastAsia="Times New Roman" w:hAnsi="Calibri" w:cs="Arial"/>
                <w:lang w:eastAsia="cs-CZ"/>
              </w:rPr>
              <w:t>v Kč</w:t>
            </w:r>
          </w:p>
        </w:tc>
      </w:tr>
      <w:tr w:rsidR="00B2095D" w:rsidRPr="00B2095D" w14:paraId="0F7B5173" w14:textId="77777777" w:rsidTr="00C44E9D">
        <w:trPr>
          <w:gridAfter w:val="1"/>
          <w:wAfter w:w="160" w:type="dxa"/>
          <w:trHeight w:val="450"/>
        </w:trPr>
        <w:tc>
          <w:tcPr>
            <w:tcW w:w="4247" w:type="dxa"/>
            <w:gridSpan w:val="2"/>
            <w:vMerge w:val="restart"/>
            <w:tcBorders>
              <w:top w:val="single" w:sz="8" w:space="0" w:color="auto"/>
              <w:left w:val="single" w:sz="8" w:space="0" w:color="auto"/>
              <w:bottom w:val="single" w:sz="8" w:space="0" w:color="000000"/>
              <w:right w:val="nil"/>
            </w:tcBorders>
            <w:shd w:val="clear" w:color="000000" w:fill="CCFFFF"/>
            <w:noWrap/>
            <w:vAlign w:val="center"/>
            <w:hideMark/>
          </w:tcPr>
          <w:p w14:paraId="22CED71E" w14:textId="77777777" w:rsidR="00B2095D" w:rsidRPr="00B2095D" w:rsidRDefault="00B2095D" w:rsidP="00B2095D">
            <w:pPr>
              <w:spacing w:after="0" w:line="240" w:lineRule="auto"/>
              <w:jc w:val="center"/>
              <w:rPr>
                <w:rFonts w:ascii="Calibri" w:eastAsia="Times New Roman" w:hAnsi="Calibri" w:cs="Arial"/>
                <w:b/>
                <w:bCs/>
                <w:sz w:val="24"/>
                <w:szCs w:val="24"/>
                <w:lang w:eastAsia="cs-CZ"/>
              </w:rPr>
            </w:pPr>
            <w:r w:rsidRPr="00B2095D">
              <w:rPr>
                <w:rFonts w:ascii="Calibri" w:eastAsia="Times New Roman" w:hAnsi="Calibri" w:cs="Arial"/>
                <w:b/>
                <w:bCs/>
                <w:sz w:val="24"/>
                <w:szCs w:val="24"/>
                <w:lang w:eastAsia="cs-CZ"/>
              </w:rPr>
              <w:t>Ukazatel</w:t>
            </w:r>
          </w:p>
        </w:tc>
        <w:tc>
          <w:tcPr>
            <w:tcW w:w="1558" w:type="dxa"/>
            <w:vMerge w:val="restart"/>
            <w:tcBorders>
              <w:top w:val="single" w:sz="8" w:space="0" w:color="auto"/>
              <w:left w:val="single" w:sz="8" w:space="0" w:color="auto"/>
              <w:bottom w:val="single" w:sz="8" w:space="0" w:color="000000"/>
              <w:right w:val="single" w:sz="4" w:space="0" w:color="auto"/>
            </w:tcBorders>
            <w:shd w:val="clear" w:color="000000" w:fill="CCFFFF"/>
            <w:vAlign w:val="center"/>
            <w:hideMark/>
          </w:tcPr>
          <w:p w14:paraId="741F70D0" w14:textId="77777777" w:rsidR="00B2095D" w:rsidRPr="00B2095D" w:rsidRDefault="00B2095D" w:rsidP="00B2095D">
            <w:pPr>
              <w:spacing w:after="0" w:line="240" w:lineRule="auto"/>
              <w:jc w:val="center"/>
              <w:rPr>
                <w:rFonts w:ascii="Calibri" w:eastAsia="Times New Roman" w:hAnsi="Calibri" w:cs="Arial"/>
                <w:b/>
                <w:bCs/>
                <w:sz w:val="24"/>
                <w:szCs w:val="24"/>
                <w:lang w:eastAsia="cs-CZ"/>
              </w:rPr>
            </w:pPr>
            <w:r w:rsidRPr="00B2095D">
              <w:rPr>
                <w:rFonts w:ascii="Calibri" w:eastAsia="Times New Roman" w:hAnsi="Calibri" w:cs="Arial"/>
                <w:b/>
                <w:bCs/>
                <w:sz w:val="24"/>
                <w:szCs w:val="24"/>
                <w:lang w:eastAsia="cs-CZ"/>
              </w:rPr>
              <w:t>Rozpočet 2021</w:t>
            </w:r>
          </w:p>
        </w:tc>
        <w:tc>
          <w:tcPr>
            <w:tcW w:w="1850" w:type="dxa"/>
            <w:vMerge w:val="restart"/>
            <w:tcBorders>
              <w:top w:val="single" w:sz="8" w:space="0" w:color="auto"/>
              <w:left w:val="single" w:sz="4" w:space="0" w:color="auto"/>
              <w:bottom w:val="single" w:sz="8" w:space="0" w:color="000000"/>
              <w:right w:val="single" w:sz="4" w:space="0" w:color="auto"/>
            </w:tcBorders>
            <w:shd w:val="clear" w:color="000000" w:fill="CCFFFF"/>
            <w:vAlign w:val="center"/>
            <w:hideMark/>
          </w:tcPr>
          <w:p w14:paraId="7537D05F" w14:textId="77777777" w:rsidR="00B2095D" w:rsidRPr="00B2095D" w:rsidRDefault="00B2095D" w:rsidP="00B2095D">
            <w:pPr>
              <w:spacing w:after="0" w:line="240" w:lineRule="auto"/>
              <w:jc w:val="center"/>
              <w:rPr>
                <w:rFonts w:ascii="Calibri" w:eastAsia="Times New Roman" w:hAnsi="Calibri" w:cs="Arial"/>
                <w:b/>
                <w:bCs/>
                <w:sz w:val="24"/>
                <w:szCs w:val="24"/>
                <w:lang w:eastAsia="cs-CZ"/>
              </w:rPr>
            </w:pPr>
            <w:r w:rsidRPr="00B2095D">
              <w:rPr>
                <w:rFonts w:ascii="Calibri" w:eastAsia="Times New Roman" w:hAnsi="Calibri" w:cs="Arial"/>
                <w:b/>
                <w:bCs/>
                <w:sz w:val="24"/>
                <w:szCs w:val="24"/>
                <w:lang w:eastAsia="cs-CZ"/>
              </w:rPr>
              <w:t>Rozpočet                         po úpravě</w:t>
            </w:r>
          </w:p>
        </w:tc>
        <w:tc>
          <w:tcPr>
            <w:tcW w:w="1843" w:type="dxa"/>
            <w:vMerge w:val="restart"/>
            <w:tcBorders>
              <w:top w:val="single" w:sz="8" w:space="0" w:color="auto"/>
              <w:left w:val="single" w:sz="4" w:space="0" w:color="auto"/>
              <w:bottom w:val="single" w:sz="8" w:space="0" w:color="000000"/>
              <w:right w:val="single" w:sz="4" w:space="0" w:color="auto"/>
            </w:tcBorders>
            <w:shd w:val="clear" w:color="000000" w:fill="CCFFFF"/>
            <w:vAlign w:val="center"/>
            <w:hideMark/>
          </w:tcPr>
          <w:p w14:paraId="7941D39B" w14:textId="77777777" w:rsidR="00B2095D" w:rsidRPr="00B2095D" w:rsidRDefault="00B2095D" w:rsidP="00B2095D">
            <w:pPr>
              <w:spacing w:after="0" w:line="240" w:lineRule="auto"/>
              <w:jc w:val="center"/>
              <w:rPr>
                <w:rFonts w:ascii="Calibri" w:eastAsia="Times New Roman" w:hAnsi="Calibri" w:cs="Arial"/>
                <w:b/>
                <w:bCs/>
                <w:sz w:val="24"/>
                <w:szCs w:val="24"/>
                <w:lang w:eastAsia="cs-CZ"/>
              </w:rPr>
            </w:pPr>
            <w:r w:rsidRPr="00B2095D">
              <w:rPr>
                <w:rFonts w:ascii="Calibri" w:eastAsia="Times New Roman" w:hAnsi="Calibri" w:cs="Arial"/>
                <w:b/>
                <w:bCs/>
                <w:sz w:val="24"/>
                <w:szCs w:val="24"/>
                <w:lang w:eastAsia="cs-CZ"/>
              </w:rPr>
              <w:t>Skutečnost</w:t>
            </w:r>
          </w:p>
        </w:tc>
        <w:tc>
          <w:tcPr>
            <w:tcW w:w="830" w:type="dxa"/>
            <w:vMerge w:val="restart"/>
            <w:tcBorders>
              <w:top w:val="single" w:sz="8" w:space="0" w:color="auto"/>
              <w:left w:val="single" w:sz="4" w:space="0" w:color="auto"/>
              <w:bottom w:val="single" w:sz="8" w:space="0" w:color="000000"/>
              <w:right w:val="single" w:sz="8" w:space="0" w:color="auto"/>
            </w:tcBorders>
            <w:shd w:val="clear" w:color="000000" w:fill="CCFFFF"/>
            <w:vAlign w:val="center"/>
            <w:hideMark/>
          </w:tcPr>
          <w:p w14:paraId="6D5FCE54" w14:textId="77777777" w:rsidR="00B2095D" w:rsidRPr="00B2095D" w:rsidRDefault="00B2095D" w:rsidP="00B2095D">
            <w:pPr>
              <w:spacing w:after="0" w:line="240" w:lineRule="auto"/>
              <w:jc w:val="center"/>
              <w:rPr>
                <w:rFonts w:ascii="Calibri" w:eastAsia="Times New Roman" w:hAnsi="Calibri" w:cs="Arial"/>
                <w:b/>
                <w:bCs/>
                <w:sz w:val="24"/>
                <w:szCs w:val="24"/>
                <w:lang w:eastAsia="cs-CZ"/>
              </w:rPr>
            </w:pPr>
            <w:r w:rsidRPr="00B2095D">
              <w:rPr>
                <w:rFonts w:ascii="Calibri" w:eastAsia="Times New Roman" w:hAnsi="Calibri" w:cs="Arial"/>
                <w:b/>
                <w:bCs/>
                <w:sz w:val="24"/>
                <w:szCs w:val="24"/>
                <w:lang w:eastAsia="cs-CZ"/>
              </w:rPr>
              <w:t>% plnění</w:t>
            </w:r>
          </w:p>
        </w:tc>
      </w:tr>
      <w:tr w:rsidR="00B2095D" w:rsidRPr="00B2095D" w14:paraId="4A67C0A5" w14:textId="77777777" w:rsidTr="00C44E9D">
        <w:trPr>
          <w:trHeight w:val="540"/>
        </w:trPr>
        <w:tc>
          <w:tcPr>
            <w:tcW w:w="4247" w:type="dxa"/>
            <w:gridSpan w:val="2"/>
            <w:vMerge/>
            <w:tcBorders>
              <w:top w:val="single" w:sz="8" w:space="0" w:color="auto"/>
              <w:left w:val="single" w:sz="8" w:space="0" w:color="auto"/>
              <w:bottom w:val="single" w:sz="8" w:space="0" w:color="000000"/>
              <w:right w:val="nil"/>
            </w:tcBorders>
            <w:vAlign w:val="center"/>
            <w:hideMark/>
          </w:tcPr>
          <w:p w14:paraId="08F04FAB" w14:textId="77777777" w:rsidR="00B2095D" w:rsidRPr="00B2095D" w:rsidRDefault="00B2095D" w:rsidP="00B2095D">
            <w:pPr>
              <w:spacing w:after="0" w:line="240" w:lineRule="auto"/>
              <w:rPr>
                <w:rFonts w:ascii="Calibri" w:eastAsia="Times New Roman" w:hAnsi="Calibri" w:cs="Arial"/>
                <w:b/>
                <w:bCs/>
                <w:sz w:val="24"/>
                <w:szCs w:val="24"/>
                <w:lang w:eastAsia="cs-CZ"/>
              </w:rPr>
            </w:pPr>
          </w:p>
        </w:tc>
        <w:tc>
          <w:tcPr>
            <w:tcW w:w="1558" w:type="dxa"/>
            <w:vMerge/>
            <w:tcBorders>
              <w:top w:val="single" w:sz="8" w:space="0" w:color="auto"/>
              <w:left w:val="single" w:sz="8" w:space="0" w:color="auto"/>
              <w:bottom w:val="single" w:sz="8" w:space="0" w:color="000000"/>
              <w:right w:val="single" w:sz="4" w:space="0" w:color="auto"/>
            </w:tcBorders>
            <w:vAlign w:val="center"/>
            <w:hideMark/>
          </w:tcPr>
          <w:p w14:paraId="062D1104" w14:textId="77777777" w:rsidR="00B2095D" w:rsidRPr="00B2095D" w:rsidRDefault="00B2095D" w:rsidP="00B2095D">
            <w:pPr>
              <w:spacing w:after="0" w:line="240" w:lineRule="auto"/>
              <w:rPr>
                <w:rFonts w:ascii="Calibri" w:eastAsia="Times New Roman" w:hAnsi="Calibri" w:cs="Arial"/>
                <w:b/>
                <w:bCs/>
                <w:sz w:val="24"/>
                <w:szCs w:val="24"/>
                <w:lang w:eastAsia="cs-CZ"/>
              </w:rPr>
            </w:pPr>
          </w:p>
        </w:tc>
        <w:tc>
          <w:tcPr>
            <w:tcW w:w="1850" w:type="dxa"/>
            <w:vMerge/>
            <w:tcBorders>
              <w:top w:val="single" w:sz="8" w:space="0" w:color="auto"/>
              <w:left w:val="single" w:sz="4" w:space="0" w:color="auto"/>
              <w:bottom w:val="single" w:sz="8" w:space="0" w:color="000000"/>
              <w:right w:val="single" w:sz="4" w:space="0" w:color="auto"/>
            </w:tcBorders>
            <w:vAlign w:val="center"/>
            <w:hideMark/>
          </w:tcPr>
          <w:p w14:paraId="09F27B48" w14:textId="77777777" w:rsidR="00B2095D" w:rsidRPr="00B2095D" w:rsidRDefault="00B2095D" w:rsidP="00B2095D">
            <w:pPr>
              <w:spacing w:after="0" w:line="240" w:lineRule="auto"/>
              <w:rPr>
                <w:rFonts w:ascii="Calibri" w:eastAsia="Times New Roman" w:hAnsi="Calibri" w:cs="Arial"/>
                <w:b/>
                <w:bCs/>
                <w:sz w:val="24"/>
                <w:szCs w:val="24"/>
                <w:lang w:eastAsia="cs-CZ"/>
              </w:rPr>
            </w:pPr>
          </w:p>
        </w:tc>
        <w:tc>
          <w:tcPr>
            <w:tcW w:w="1843" w:type="dxa"/>
            <w:vMerge/>
            <w:tcBorders>
              <w:top w:val="single" w:sz="8" w:space="0" w:color="auto"/>
              <w:left w:val="single" w:sz="4" w:space="0" w:color="auto"/>
              <w:bottom w:val="single" w:sz="8" w:space="0" w:color="000000"/>
              <w:right w:val="single" w:sz="4" w:space="0" w:color="auto"/>
            </w:tcBorders>
            <w:vAlign w:val="center"/>
            <w:hideMark/>
          </w:tcPr>
          <w:p w14:paraId="36702ECE" w14:textId="77777777" w:rsidR="00B2095D" w:rsidRPr="00B2095D" w:rsidRDefault="00B2095D" w:rsidP="00B2095D">
            <w:pPr>
              <w:spacing w:after="0" w:line="240" w:lineRule="auto"/>
              <w:rPr>
                <w:rFonts w:ascii="Calibri" w:eastAsia="Times New Roman" w:hAnsi="Calibri" w:cs="Arial"/>
                <w:b/>
                <w:bCs/>
                <w:sz w:val="24"/>
                <w:szCs w:val="24"/>
                <w:lang w:eastAsia="cs-CZ"/>
              </w:rPr>
            </w:pPr>
          </w:p>
        </w:tc>
        <w:tc>
          <w:tcPr>
            <w:tcW w:w="830" w:type="dxa"/>
            <w:vMerge/>
            <w:tcBorders>
              <w:top w:val="single" w:sz="8" w:space="0" w:color="auto"/>
              <w:left w:val="single" w:sz="4" w:space="0" w:color="auto"/>
              <w:bottom w:val="single" w:sz="8" w:space="0" w:color="000000"/>
              <w:right w:val="single" w:sz="8" w:space="0" w:color="auto"/>
            </w:tcBorders>
            <w:vAlign w:val="center"/>
            <w:hideMark/>
          </w:tcPr>
          <w:p w14:paraId="08C070C7" w14:textId="77777777" w:rsidR="00B2095D" w:rsidRPr="00B2095D" w:rsidRDefault="00B2095D" w:rsidP="00B2095D">
            <w:pPr>
              <w:spacing w:after="0" w:line="240" w:lineRule="auto"/>
              <w:rPr>
                <w:rFonts w:ascii="Calibri" w:eastAsia="Times New Roman" w:hAnsi="Calibri" w:cs="Arial"/>
                <w:b/>
                <w:bCs/>
                <w:sz w:val="24"/>
                <w:szCs w:val="24"/>
                <w:lang w:eastAsia="cs-CZ"/>
              </w:rPr>
            </w:pPr>
          </w:p>
        </w:tc>
        <w:tc>
          <w:tcPr>
            <w:tcW w:w="160" w:type="dxa"/>
            <w:tcBorders>
              <w:top w:val="nil"/>
              <w:left w:val="nil"/>
              <w:bottom w:val="nil"/>
              <w:right w:val="nil"/>
            </w:tcBorders>
            <w:shd w:val="clear" w:color="auto" w:fill="auto"/>
            <w:noWrap/>
            <w:vAlign w:val="bottom"/>
            <w:hideMark/>
          </w:tcPr>
          <w:p w14:paraId="59B330E6" w14:textId="77777777" w:rsidR="00B2095D" w:rsidRPr="00B2095D" w:rsidRDefault="00B2095D" w:rsidP="00B2095D">
            <w:pPr>
              <w:spacing w:after="0" w:line="240" w:lineRule="auto"/>
              <w:jc w:val="center"/>
              <w:rPr>
                <w:rFonts w:ascii="Calibri" w:eastAsia="Times New Roman" w:hAnsi="Calibri" w:cs="Arial"/>
                <w:b/>
                <w:bCs/>
                <w:sz w:val="24"/>
                <w:szCs w:val="24"/>
                <w:lang w:eastAsia="cs-CZ"/>
              </w:rPr>
            </w:pPr>
          </w:p>
        </w:tc>
      </w:tr>
      <w:tr w:rsidR="00B2095D" w:rsidRPr="00B2095D" w14:paraId="6A047475" w14:textId="77777777" w:rsidTr="00C44E9D">
        <w:trPr>
          <w:trHeight w:val="403"/>
        </w:trPr>
        <w:tc>
          <w:tcPr>
            <w:tcW w:w="4247" w:type="dxa"/>
            <w:gridSpan w:val="2"/>
            <w:tcBorders>
              <w:top w:val="single" w:sz="8" w:space="0" w:color="auto"/>
              <w:left w:val="single" w:sz="8" w:space="0" w:color="auto"/>
              <w:bottom w:val="single" w:sz="4" w:space="0" w:color="auto"/>
              <w:right w:val="nil"/>
            </w:tcBorders>
            <w:shd w:val="clear" w:color="auto" w:fill="auto"/>
            <w:noWrap/>
            <w:vAlign w:val="bottom"/>
            <w:hideMark/>
          </w:tcPr>
          <w:p w14:paraId="095652A9" w14:textId="77777777" w:rsidR="00B2095D" w:rsidRPr="00B2095D" w:rsidRDefault="00B2095D" w:rsidP="00B2095D">
            <w:pPr>
              <w:spacing w:after="0" w:line="240" w:lineRule="auto"/>
              <w:rPr>
                <w:rFonts w:ascii="Calibri" w:eastAsia="Times New Roman" w:hAnsi="Calibri" w:cs="Arial"/>
                <w:sz w:val="20"/>
                <w:szCs w:val="20"/>
                <w:lang w:eastAsia="cs-CZ"/>
              </w:rPr>
            </w:pPr>
            <w:r w:rsidRPr="00B2095D">
              <w:rPr>
                <w:rFonts w:ascii="Calibri" w:eastAsia="Times New Roman" w:hAnsi="Calibri" w:cs="Arial"/>
                <w:sz w:val="20"/>
                <w:szCs w:val="20"/>
                <w:lang w:eastAsia="cs-CZ"/>
              </w:rPr>
              <w:t>Středočeské Fondy - grantové a dotační výdaje kapitol</w:t>
            </w:r>
          </w:p>
        </w:tc>
        <w:tc>
          <w:tcPr>
            <w:tcW w:w="1558" w:type="dxa"/>
            <w:tcBorders>
              <w:top w:val="nil"/>
              <w:left w:val="single" w:sz="8" w:space="0" w:color="auto"/>
              <w:bottom w:val="single" w:sz="4" w:space="0" w:color="auto"/>
              <w:right w:val="single" w:sz="4" w:space="0" w:color="auto"/>
            </w:tcBorders>
            <w:shd w:val="clear" w:color="auto" w:fill="auto"/>
            <w:noWrap/>
            <w:vAlign w:val="bottom"/>
            <w:hideMark/>
          </w:tcPr>
          <w:p w14:paraId="4FADD344" w14:textId="77777777" w:rsidR="00B2095D" w:rsidRPr="00B2095D" w:rsidRDefault="00B2095D" w:rsidP="00B2095D">
            <w:pPr>
              <w:spacing w:after="0" w:line="240" w:lineRule="auto"/>
              <w:jc w:val="right"/>
              <w:rPr>
                <w:rFonts w:ascii="Calibri" w:eastAsia="Times New Roman" w:hAnsi="Calibri" w:cs="Arial"/>
                <w:sz w:val="20"/>
                <w:szCs w:val="20"/>
                <w:lang w:eastAsia="cs-CZ"/>
              </w:rPr>
            </w:pPr>
            <w:r w:rsidRPr="00B2095D">
              <w:rPr>
                <w:rFonts w:ascii="Calibri" w:eastAsia="Times New Roman" w:hAnsi="Calibri" w:cs="Arial"/>
                <w:sz w:val="20"/>
                <w:szCs w:val="20"/>
                <w:lang w:eastAsia="cs-CZ"/>
              </w:rPr>
              <w:t>70 000 000</w:t>
            </w:r>
          </w:p>
        </w:tc>
        <w:tc>
          <w:tcPr>
            <w:tcW w:w="1850" w:type="dxa"/>
            <w:tcBorders>
              <w:top w:val="nil"/>
              <w:left w:val="nil"/>
              <w:bottom w:val="single" w:sz="4" w:space="0" w:color="auto"/>
              <w:right w:val="single" w:sz="4" w:space="0" w:color="auto"/>
            </w:tcBorders>
            <w:shd w:val="clear" w:color="auto" w:fill="auto"/>
            <w:noWrap/>
            <w:vAlign w:val="bottom"/>
            <w:hideMark/>
          </w:tcPr>
          <w:p w14:paraId="5A8EC88B" w14:textId="77777777" w:rsidR="00B2095D" w:rsidRPr="00B2095D" w:rsidRDefault="00B2095D" w:rsidP="00B2095D">
            <w:pPr>
              <w:spacing w:after="0" w:line="240" w:lineRule="auto"/>
              <w:jc w:val="right"/>
              <w:rPr>
                <w:rFonts w:ascii="Calibri" w:eastAsia="Times New Roman" w:hAnsi="Calibri" w:cs="Arial"/>
                <w:sz w:val="20"/>
                <w:szCs w:val="20"/>
                <w:lang w:eastAsia="cs-CZ"/>
              </w:rPr>
            </w:pPr>
            <w:r w:rsidRPr="00B2095D">
              <w:rPr>
                <w:rFonts w:ascii="Calibri" w:eastAsia="Times New Roman" w:hAnsi="Calibri" w:cs="Arial"/>
                <w:sz w:val="20"/>
                <w:szCs w:val="20"/>
                <w:lang w:eastAsia="cs-CZ"/>
              </w:rPr>
              <w:t>664 455 308,31</w:t>
            </w:r>
          </w:p>
        </w:tc>
        <w:tc>
          <w:tcPr>
            <w:tcW w:w="1843" w:type="dxa"/>
            <w:tcBorders>
              <w:top w:val="nil"/>
              <w:left w:val="nil"/>
              <w:bottom w:val="single" w:sz="4" w:space="0" w:color="auto"/>
              <w:right w:val="single" w:sz="4" w:space="0" w:color="auto"/>
            </w:tcBorders>
            <w:shd w:val="clear" w:color="auto" w:fill="auto"/>
            <w:noWrap/>
            <w:vAlign w:val="bottom"/>
            <w:hideMark/>
          </w:tcPr>
          <w:p w14:paraId="32B06B77" w14:textId="77777777" w:rsidR="00B2095D" w:rsidRPr="00B2095D" w:rsidRDefault="00B2095D" w:rsidP="00B2095D">
            <w:pPr>
              <w:spacing w:after="0" w:line="240" w:lineRule="auto"/>
              <w:jc w:val="right"/>
              <w:rPr>
                <w:rFonts w:ascii="Calibri" w:eastAsia="Times New Roman" w:hAnsi="Calibri" w:cs="Arial"/>
                <w:sz w:val="20"/>
                <w:szCs w:val="20"/>
                <w:lang w:eastAsia="cs-CZ"/>
              </w:rPr>
            </w:pPr>
            <w:r w:rsidRPr="00B2095D">
              <w:rPr>
                <w:rFonts w:ascii="Calibri" w:eastAsia="Times New Roman" w:hAnsi="Calibri" w:cs="Arial"/>
                <w:sz w:val="20"/>
                <w:szCs w:val="20"/>
                <w:lang w:eastAsia="cs-CZ"/>
              </w:rPr>
              <w:t>414 651 749,41</w:t>
            </w:r>
          </w:p>
        </w:tc>
        <w:tc>
          <w:tcPr>
            <w:tcW w:w="830" w:type="dxa"/>
            <w:tcBorders>
              <w:top w:val="nil"/>
              <w:left w:val="nil"/>
              <w:bottom w:val="single" w:sz="4" w:space="0" w:color="auto"/>
              <w:right w:val="single" w:sz="8" w:space="0" w:color="auto"/>
            </w:tcBorders>
            <w:shd w:val="clear" w:color="auto" w:fill="auto"/>
            <w:noWrap/>
            <w:vAlign w:val="bottom"/>
            <w:hideMark/>
          </w:tcPr>
          <w:p w14:paraId="35178E72" w14:textId="77777777" w:rsidR="00B2095D" w:rsidRPr="00B2095D" w:rsidRDefault="00B2095D" w:rsidP="00B2095D">
            <w:pPr>
              <w:spacing w:after="0" w:line="240" w:lineRule="auto"/>
              <w:jc w:val="right"/>
              <w:rPr>
                <w:rFonts w:ascii="Calibri" w:eastAsia="Times New Roman" w:hAnsi="Calibri" w:cs="Arial"/>
                <w:sz w:val="20"/>
                <w:szCs w:val="20"/>
                <w:lang w:eastAsia="cs-CZ"/>
              </w:rPr>
            </w:pPr>
            <w:r w:rsidRPr="00B2095D">
              <w:rPr>
                <w:rFonts w:ascii="Calibri" w:eastAsia="Times New Roman" w:hAnsi="Calibri" w:cs="Arial"/>
                <w:sz w:val="20"/>
                <w:szCs w:val="20"/>
                <w:lang w:eastAsia="cs-CZ"/>
              </w:rPr>
              <w:t>62,4</w:t>
            </w:r>
          </w:p>
        </w:tc>
        <w:tc>
          <w:tcPr>
            <w:tcW w:w="160" w:type="dxa"/>
            <w:vAlign w:val="center"/>
            <w:hideMark/>
          </w:tcPr>
          <w:p w14:paraId="63C07990" w14:textId="77777777" w:rsidR="00B2095D" w:rsidRPr="00B2095D" w:rsidRDefault="00B2095D" w:rsidP="00B2095D">
            <w:pPr>
              <w:spacing w:after="0" w:line="240" w:lineRule="auto"/>
              <w:rPr>
                <w:rFonts w:ascii="Times New Roman" w:eastAsia="Times New Roman" w:hAnsi="Times New Roman" w:cs="Times New Roman"/>
                <w:sz w:val="20"/>
                <w:szCs w:val="20"/>
                <w:lang w:eastAsia="cs-CZ"/>
              </w:rPr>
            </w:pPr>
          </w:p>
        </w:tc>
      </w:tr>
      <w:tr w:rsidR="00B2095D" w:rsidRPr="00B2095D" w14:paraId="7BD8633F" w14:textId="77777777" w:rsidTr="00C44E9D">
        <w:trPr>
          <w:trHeight w:val="300"/>
        </w:trPr>
        <w:tc>
          <w:tcPr>
            <w:tcW w:w="709" w:type="dxa"/>
            <w:vMerge w:val="restart"/>
            <w:tcBorders>
              <w:top w:val="nil"/>
              <w:left w:val="single" w:sz="8" w:space="0" w:color="auto"/>
              <w:bottom w:val="single" w:sz="4" w:space="0" w:color="000000"/>
              <w:right w:val="single" w:sz="4" w:space="0" w:color="auto"/>
            </w:tcBorders>
            <w:shd w:val="clear" w:color="auto" w:fill="auto"/>
            <w:noWrap/>
            <w:hideMark/>
          </w:tcPr>
          <w:p w14:paraId="47F4A2F7" w14:textId="77777777" w:rsidR="00B2095D" w:rsidRPr="00B2095D" w:rsidRDefault="00B2095D" w:rsidP="00B2095D">
            <w:pPr>
              <w:spacing w:after="0" w:line="240" w:lineRule="auto"/>
              <w:jc w:val="center"/>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z toho:</w:t>
            </w:r>
          </w:p>
        </w:tc>
        <w:tc>
          <w:tcPr>
            <w:tcW w:w="3538" w:type="dxa"/>
            <w:tcBorders>
              <w:top w:val="nil"/>
              <w:left w:val="nil"/>
              <w:bottom w:val="single" w:sz="4" w:space="0" w:color="auto"/>
              <w:right w:val="nil"/>
            </w:tcBorders>
            <w:shd w:val="clear" w:color="auto" w:fill="auto"/>
            <w:vAlign w:val="center"/>
            <w:hideMark/>
          </w:tcPr>
          <w:p w14:paraId="0F1CBE3E" w14:textId="77777777" w:rsidR="00B2095D" w:rsidRPr="00B2095D" w:rsidRDefault="00B2095D" w:rsidP="00B2095D">
            <w:pPr>
              <w:spacing w:after="0" w:line="240" w:lineRule="auto"/>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Středočeský Fond podpory dobrovolných hasičů a složek IZS</w:t>
            </w:r>
          </w:p>
        </w:tc>
        <w:tc>
          <w:tcPr>
            <w:tcW w:w="1558" w:type="dxa"/>
            <w:tcBorders>
              <w:top w:val="nil"/>
              <w:left w:val="single" w:sz="8" w:space="0" w:color="auto"/>
              <w:bottom w:val="single" w:sz="4" w:space="0" w:color="auto"/>
              <w:right w:val="single" w:sz="4" w:space="0" w:color="auto"/>
            </w:tcBorders>
            <w:shd w:val="clear" w:color="auto" w:fill="auto"/>
            <w:noWrap/>
            <w:vAlign w:val="bottom"/>
            <w:hideMark/>
          </w:tcPr>
          <w:p w14:paraId="5CBB0233"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0</w:t>
            </w:r>
          </w:p>
        </w:tc>
        <w:tc>
          <w:tcPr>
            <w:tcW w:w="1850" w:type="dxa"/>
            <w:tcBorders>
              <w:top w:val="nil"/>
              <w:left w:val="nil"/>
              <w:bottom w:val="single" w:sz="4" w:space="0" w:color="auto"/>
              <w:right w:val="single" w:sz="4" w:space="0" w:color="auto"/>
            </w:tcBorders>
            <w:shd w:val="clear" w:color="auto" w:fill="auto"/>
            <w:noWrap/>
            <w:vAlign w:val="bottom"/>
            <w:hideMark/>
          </w:tcPr>
          <w:p w14:paraId="0D5048C7"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47 650 090,20</w:t>
            </w:r>
          </w:p>
        </w:tc>
        <w:tc>
          <w:tcPr>
            <w:tcW w:w="1843" w:type="dxa"/>
            <w:tcBorders>
              <w:top w:val="nil"/>
              <w:left w:val="nil"/>
              <w:bottom w:val="single" w:sz="4" w:space="0" w:color="auto"/>
              <w:right w:val="single" w:sz="4" w:space="0" w:color="auto"/>
            </w:tcBorders>
            <w:shd w:val="clear" w:color="auto" w:fill="auto"/>
            <w:noWrap/>
            <w:vAlign w:val="bottom"/>
            <w:hideMark/>
          </w:tcPr>
          <w:p w14:paraId="5C04C37F"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36 148 425,00</w:t>
            </w:r>
          </w:p>
        </w:tc>
        <w:tc>
          <w:tcPr>
            <w:tcW w:w="830" w:type="dxa"/>
            <w:tcBorders>
              <w:top w:val="nil"/>
              <w:left w:val="nil"/>
              <w:bottom w:val="single" w:sz="4" w:space="0" w:color="auto"/>
              <w:right w:val="single" w:sz="8" w:space="0" w:color="auto"/>
            </w:tcBorders>
            <w:shd w:val="clear" w:color="auto" w:fill="auto"/>
            <w:noWrap/>
            <w:vAlign w:val="bottom"/>
            <w:hideMark/>
          </w:tcPr>
          <w:p w14:paraId="3DCCCABC"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75,9</w:t>
            </w:r>
          </w:p>
        </w:tc>
        <w:tc>
          <w:tcPr>
            <w:tcW w:w="160" w:type="dxa"/>
            <w:vAlign w:val="center"/>
            <w:hideMark/>
          </w:tcPr>
          <w:p w14:paraId="748A61D7" w14:textId="77777777" w:rsidR="00B2095D" w:rsidRPr="00B2095D" w:rsidRDefault="00B2095D" w:rsidP="00B2095D">
            <w:pPr>
              <w:spacing w:after="0" w:line="240" w:lineRule="auto"/>
              <w:rPr>
                <w:rFonts w:ascii="Times New Roman" w:eastAsia="Times New Roman" w:hAnsi="Times New Roman" w:cs="Times New Roman"/>
                <w:sz w:val="20"/>
                <w:szCs w:val="20"/>
                <w:lang w:eastAsia="cs-CZ"/>
              </w:rPr>
            </w:pPr>
          </w:p>
        </w:tc>
      </w:tr>
      <w:tr w:rsidR="00B2095D" w:rsidRPr="00B2095D" w14:paraId="2DCEF444" w14:textId="77777777" w:rsidTr="00C44E9D">
        <w:trPr>
          <w:trHeight w:val="300"/>
        </w:trPr>
        <w:tc>
          <w:tcPr>
            <w:tcW w:w="709" w:type="dxa"/>
            <w:vMerge/>
            <w:tcBorders>
              <w:top w:val="nil"/>
              <w:left w:val="single" w:sz="8" w:space="0" w:color="auto"/>
              <w:bottom w:val="single" w:sz="4" w:space="0" w:color="000000"/>
              <w:right w:val="single" w:sz="4" w:space="0" w:color="auto"/>
            </w:tcBorders>
            <w:vAlign w:val="center"/>
            <w:hideMark/>
          </w:tcPr>
          <w:p w14:paraId="376468B0" w14:textId="77777777" w:rsidR="00B2095D" w:rsidRPr="00B2095D" w:rsidRDefault="00B2095D" w:rsidP="00B2095D">
            <w:pPr>
              <w:spacing w:after="0" w:line="240" w:lineRule="auto"/>
              <w:rPr>
                <w:rFonts w:ascii="Calibri" w:eastAsia="Times New Roman" w:hAnsi="Calibri" w:cs="Arial"/>
                <w:i/>
                <w:iCs/>
                <w:sz w:val="20"/>
                <w:szCs w:val="20"/>
                <w:lang w:eastAsia="cs-CZ"/>
              </w:rPr>
            </w:pPr>
          </w:p>
        </w:tc>
        <w:tc>
          <w:tcPr>
            <w:tcW w:w="3538" w:type="dxa"/>
            <w:tcBorders>
              <w:top w:val="nil"/>
              <w:left w:val="nil"/>
              <w:bottom w:val="nil"/>
              <w:right w:val="nil"/>
            </w:tcBorders>
            <w:shd w:val="clear" w:color="auto" w:fill="auto"/>
            <w:vAlign w:val="center"/>
            <w:hideMark/>
          </w:tcPr>
          <w:p w14:paraId="22110B12" w14:textId="77777777" w:rsidR="00B2095D" w:rsidRPr="00B2095D" w:rsidRDefault="00B2095D" w:rsidP="00B2095D">
            <w:pPr>
              <w:spacing w:after="0" w:line="240" w:lineRule="auto"/>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Středočeský Fond hejtmanky</w:t>
            </w:r>
          </w:p>
        </w:tc>
        <w:tc>
          <w:tcPr>
            <w:tcW w:w="1558" w:type="dxa"/>
            <w:tcBorders>
              <w:top w:val="nil"/>
              <w:left w:val="single" w:sz="8" w:space="0" w:color="auto"/>
              <w:bottom w:val="single" w:sz="4" w:space="0" w:color="auto"/>
              <w:right w:val="single" w:sz="4" w:space="0" w:color="auto"/>
            </w:tcBorders>
            <w:shd w:val="clear" w:color="auto" w:fill="auto"/>
            <w:noWrap/>
            <w:vAlign w:val="bottom"/>
            <w:hideMark/>
          </w:tcPr>
          <w:p w14:paraId="02E270EF"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0</w:t>
            </w:r>
          </w:p>
        </w:tc>
        <w:tc>
          <w:tcPr>
            <w:tcW w:w="1850" w:type="dxa"/>
            <w:tcBorders>
              <w:top w:val="nil"/>
              <w:left w:val="nil"/>
              <w:bottom w:val="single" w:sz="4" w:space="0" w:color="auto"/>
              <w:right w:val="single" w:sz="4" w:space="0" w:color="auto"/>
            </w:tcBorders>
            <w:shd w:val="clear" w:color="auto" w:fill="auto"/>
            <w:noWrap/>
            <w:vAlign w:val="bottom"/>
            <w:hideMark/>
          </w:tcPr>
          <w:p w14:paraId="44132790"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150 000,00</w:t>
            </w:r>
          </w:p>
        </w:tc>
        <w:tc>
          <w:tcPr>
            <w:tcW w:w="1843" w:type="dxa"/>
            <w:tcBorders>
              <w:top w:val="nil"/>
              <w:left w:val="nil"/>
              <w:bottom w:val="single" w:sz="4" w:space="0" w:color="auto"/>
              <w:right w:val="single" w:sz="4" w:space="0" w:color="auto"/>
            </w:tcBorders>
            <w:shd w:val="clear" w:color="auto" w:fill="auto"/>
            <w:noWrap/>
            <w:vAlign w:val="bottom"/>
            <w:hideMark/>
          </w:tcPr>
          <w:p w14:paraId="2DE195A2"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150 000,00</w:t>
            </w:r>
          </w:p>
        </w:tc>
        <w:tc>
          <w:tcPr>
            <w:tcW w:w="830" w:type="dxa"/>
            <w:tcBorders>
              <w:top w:val="nil"/>
              <w:left w:val="nil"/>
              <w:bottom w:val="single" w:sz="4" w:space="0" w:color="auto"/>
              <w:right w:val="single" w:sz="8" w:space="0" w:color="auto"/>
            </w:tcBorders>
            <w:shd w:val="clear" w:color="auto" w:fill="auto"/>
            <w:noWrap/>
            <w:vAlign w:val="bottom"/>
            <w:hideMark/>
          </w:tcPr>
          <w:p w14:paraId="42363BEC"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100,0</w:t>
            </w:r>
          </w:p>
        </w:tc>
        <w:tc>
          <w:tcPr>
            <w:tcW w:w="160" w:type="dxa"/>
            <w:vAlign w:val="center"/>
            <w:hideMark/>
          </w:tcPr>
          <w:p w14:paraId="35A59EEF" w14:textId="77777777" w:rsidR="00B2095D" w:rsidRPr="00B2095D" w:rsidRDefault="00B2095D" w:rsidP="00B2095D">
            <w:pPr>
              <w:spacing w:after="0" w:line="240" w:lineRule="auto"/>
              <w:rPr>
                <w:rFonts w:ascii="Times New Roman" w:eastAsia="Times New Roman" w:hAnsi="Times New Roman" w:cs="Times New Roman"/>
                <w:sz w:val="20"/>
                <w:szCs w:val="20"/>
                <w:lang w:eastAsia="cs-CZ"/>
              </w:rPr>
            </w:pPr>
          </w:p>
        </w:tc>
      </w:tr>
      <w:tr w:rsidR="00B2095D" w:rsidRPr="00B2095D" w14:paraId="53B20B3D" w14:textId="77777777" w:rsidTr="00C44E9D">
        <w:trPr>
          <w:trHeight w:val="300"/>
        </w:trPr>
        <w:tc>
          <w:tcPr>
            <w:tcW w:w="709" w:type="dxa"/>
            <w:vMerge/>
            <w:tcBorders>
              <w:top w:val="nil"/>
              <w:left w:val="single" w:sz="8" w:space="0" w:color="auto"/>
              <w:bottom w:val="single" w:sz="4" w:space="0" w:color="000000"/>
              <w:right w:val="single" w:sz="4" w:space="0" w:color="auto"/>
            </w:tcBorders>
            <w:vAlign w:val="center"/>
            <w:hideMark/>
          </w:tcPr>
          <w:p w14:paraId="777DAC71" w14:textId="77777777" w:rsidR="00B2095D" w:rsidRPr="00B2095D" w:rsidRDefault="00B2095D" w:rsidP="00B2095D">
            <w:pPr>
              <w:spacing w:after="0" w:line="240" w:lineRule="auto"/>
              <w:rPr>
                <w:rFonts w:ascii="Calibri" w:eastAsia="Times New Roman" w:hAnsi="Calibri" w:cs="Arial"/>
                <w:i/>
                <w:iCs/>
                <w:sz w:val="20"/>
                <w:szCs w:val="20"/>
                <w:lang w:eastAsia="cs-CZ"/>
              </w:rPr>
            </w:pPr>
          </w:p>
        </w:tc>
        <w:tc>
          <w:tcPr>
            <w:tcW w:w="3538" w:type="dxa"/>
            <w:tcBorders>
              <w:top w:val="single" w:sz="4" w:space="0" w:color="auto"/>
              <w:left w:val="nil"/>
              <w:bottom w:val="single" w:sz="4" w:space="0" w:color="auto"/>
              <w:right w:val="single" w:sz="8" w:space="0" w:color="auto"/>
            </w:tcBorders>
            <w:shd w:val="clear" w:color="auto" w:fill="auto"/>
            <w:vAlign w:val="center"/>
            <w:hideMark/>
          </w:tcPr>
          <w:p w14:paraId="2B4D5FCA" w14:textId="77777777" w:rsidR="00B2095D" w:rsidRPr="00B2095D" w:rsidRDefault="00B2095D" w:rsidP="00B2095D">
            <w:pPr>
              <w:spacing w:after="0" w:line="240" w:lineRule="auto"/>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Středočeský Fond homogenizace krajské dopravní infrastruktury</w:t>
            </w:r>
          </w:p>
        </w:tc>
        <w:tc>
          <w:tcPr>
            <w:tcW w:w="1558" w:type="dxa"/>
            <w:tcBorders>
              <w:top w:val="nil"/>
              <w:left w:val="nil"/>
              <w:bottom w:val="single" w:sz="4" w:space="0" w:color="auto"/>
              <w:right w:val="single" w:sz="4" w:space="0" w:color="auto"/>
            </w:tcBorders>
            <w:shd w:val="clear" w:color="auto" w:fill="auto"/>
            <w:noWrap/>
            <w:vAlign w:val="bottom"/>
            <w:hideMark/>
          </w:tcPr>
          <w:p w14:paraId="5260A239"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0</w:t>
            </w:r>
          </w:p>
        </w:tc>
        <w:tc>
          <w:tcPr>
            <w:tcW w:w="1850" w:type="dxa"/>
            <w:tcBorders>
              <w:top w:val="nil"/>
              <w:left w:val="nil"/>
              <w:bottom w:val="single" w:sz="4" w:space="0" w:color="auto"/>
              <w:right w:val="single" w:sz="4" w:space="0" w:color="auto"/>
            </w:tcBorders>
            <w:shd w:val="clear" w:color="auto" w:fill="auto"/>
            <w:noWrap/>
            <w:vAlign w:val="bottom"/>
            <w:hideMark/>
          </w:tcPr>
          <w:p w14:paraId="603C3661"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31 796 224,00</w:t>
            </w:r>
          </w:p>
        </w:tc>
        <w:tc>
          <w:tcPr>
            <w:tcW w:w="1843" w:type="dxa"/>
            <w:tcBorders>
              <w:top w:val="nil"/>
              <w:left w:val="nil"/>
              <w:bottom w:val="single" w:sz="4" w:space="0" w:color="auto"/>
              <w:right w:val="single" w:sz="4" w:space="0" w:color="auto"/>
            </w:tcBorders>
            <w:shd w:val="clear" w:color="auto" w:fill="auto"/>
            <w:noWrap/>
            <w:vAlign w:val="bottom"/>
            <w:hideMark/>
          </w:tcPr>
          <w:p w14:paraId="00FF00A2"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15 898 112,00</w:t>
            </w:r>
          </w:p>
        </w:tc>
        <w:tc>
          <w:tcPr>
            <w:tcW w:w="830" w:type="dxa"/>
            <w:tcBorders>
              <w:top w:val="nil"/>
              <w:left w:val="nil"/>
              <w:bottom w:val="single" w:sz="4" w:space="0" w:color="auto"/>
              <w:right w:val="single" w:sz="8" w:space="0" w:color="auto"/>
            </w:tcBorders>
            <w:shd w:val="clear" w:color="auto" w:fill="auto"/>
            <w:noWrap/>
            <w:vAlign w:val="bottom"/>
            <w:hideMark/>
          </w:tcPr>
          <w:p w14:paraId="51C7EEB6"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50,0</w:t>
            </w:r>
          </w:p>
        </w:tc>
        <w:tc>
          <w:tcPr>
            <w:tcW w:w="160" w:type="dxa"/>
            <w:vAlign w:val="center"/>
            <w:hideMark/>
          </w:tcPr>
          <w:p w14:paraId="7E1DAE3B" w14:textId="77777777" w:rsidR="00B2095D" w:rsidRPr="00B2095D" w:rsidRDefault="00B2095D" w:rsidP="00B2095D">
            <w:pPr>
              <w:spacing w:after="0" w:line="240" w:lineRule="auto"/>
              <w:rPr>
                <w:rFonts w:ascii="Times New Roman" w:eastAsia="Times New Roman" w:hAnsi="Times New Roman" w:cs="Times New Roman"/>
                <w:sz w:val="20"/>
                <w:szCs w:val="20"/>
                <w:lang w:eastAsia="cs-CZ"/>
              </w:rPr>
            </w:pPr>
          </w:p>
        </w:tc>
      </w:tr>
      <w:tr w:rsidR="00B2095D" w:rsidRPr="00B2095D" w14:paraId="1E09F98D" w14:textId="77777777" w:rsidTr="00C44E9D">
        <w:trPr>
          <w:trHeight w:val="300"/>
        </w:trPr>
        <w:tc>
          <w:tcPr>
            <w:tcW w:w="709" w:type="dxa"/>
            <w:vMerge/>
            <w:tcBorders>
              <w:top w:val="nil"/>
              <w:left w:val="single" w:sz="8" w:space="0" w:color="auto"/>
              <w:bottom w:val="single" w:sz="4" w:space="0" w:color="000000"/>
              <w:right w:val="single" w:sz="4" w:space="0" w:color="auto"/>
            </w:tcBorders>
            <w:vAlign w:val="center"/>
            <w:hideMark/>
          </w:tcPr>
          <w:p w14:paraId="7065FC19" w14:textId="77777777" w:rsidR="00B2095D" w:rsidRPr="00B2095D" w:rsidRDefault="00B2095D" w:rsidP="00B2095D">
            <w:pPr>
              <w:spacing w:after="0" w:line="240" w:lineRule="auto"/>
              <w:rPr>
                <w:rFonts w:ascii="Calibri" w:eastAsia="Times New Roman" w:hAnsi="Calibri" w:cs="Arial"/>
                <w:i/>
                <w:iCs/>
                <w:sz w:val="20"/>
                <w:szCs w:val="20"/>
                <w:lang w:eastAsia="cs-CZ"/>
              </w:rPr>
            </w:pPr>
          </w:p>
        </w:tc>
        <w:tc>
          <w:tcPr>
            <w:tcW w:w="3538" w:type="dxa"/>
            <w:tcBorders>
              <w:top w:val="nil"/>
              <w:left w:val="nil"/>
              <w:bottom w:val="single" w:sz="4" w:space="0" w:color="auto"/>
              <w:right w:val="nil"/>
            </w:tcBorders>
            <w:shd w:val="clear" w:color="auto" w:fill="auto"/>
            <w:vAlign w:val="center"/>
            <w:hideMark/>
          </w:tcPr>
          <w:p w14:paraId="13853C3A" w14:textId="77777777" w:rsidR="00B2095D" w:rsidRPr="00B2095D" w:rsidRDefault="00B2095D" w:rsidP="00B2095D">
            <w:pPr>
              <w:spacing w:after="0" w:line="240" w:lineRule="auto"/>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 xml:space="preserve">Středočeský Fond sportu a volného času </w:t>
            </w:r>
          </w:p>
        </w:tc>
        <w:tc>
          <w:tcPr>
            <w:tcW w:w="1558" w:type="dxa"/>
            <w:tcBorders>
              <w:top w:val="nil"/>
              <w:left w:val="single" w:sz="8" w:space="0" w:color="auto"/>
              <w:bottom w:val="single" w:sz="4" w:space="0" w:color="auto"/>
              <w:right w:val="single" w:sz="4" w:space="0" w:color="auto"/>
            </w:tcBorders>
            <w:shd w:val="clear" w:color="auto" w:fill="auto"/>
            <w:noWrap/>
            <w:vAlign w:val="bottom"/>
            <w:hideMark/>
          </w:tcPr>
          <w:p w14:paraId="79643B55"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0</w:t>
            </w:r>
          </w:p>
        </w:tc>
        <w:tc>
          <w:tcPr>
            <w:tcW w:w="1850" w:type="dxa"/>
            <w:tcBorders>
              <w:top w:val="nil"/>
              <w:left w:val="nil"/>
              <w:bottom w:val="single" w:sz="4" w:space="0" w:color="auto"/>
              <w:right w:val="single" w:sz="4" w:space="0" w:color="auto"/>
            </w:tcBorders>
            <w:shd w:val="clear" w:color="auto" w:fill="auto"/>
            <w:noWrap/>
            <w:vAlign w:val="bottom"/>
            <w:hideMark/>
          </w:tcPr>
          <w:p w14:paraId="154529E9"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6 500 000,00</w:t>
            </w:r>
          </w:p>
        </w:tc>
        <w:tc>
          <w:tcPr>
            <w:tcW w:w="1843" w:type="dxa"/>
            <w:tcBorders>
              <w:top w:val="nil"/>
              <w:left w:val="nil"/>
              <w:bottom w:val="single" w:sz="4" w:space="0" w:color="auto"/>
              <w:right w:val="single" w:sz="4" w:space="0" w:color="auto"/>
            </w:tcBorders>
            <w:shd w:val="clear" w:color="auto" w:fill="auto"/>
            <w:noWrap/>
            <w:vAlign w:val="bottom"/>
            <w:hideMark/>
          </w:tcPr>
          <w:p w14:paraId="19659734"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6 494 983,86</w:t>
            </w:r>
          </w:p>
        </w:tc>
        <w:tc>
          <w:tcPr>
            <w:tcW w:w="830" w:type="dxa"/>
            <w:tcBorders>
              <w:top w:val="nil"/>
              <w:left w:val="nil"/>
              <w:bottom w:val="single" w:sz="4" w:space="0" w:color="auto"/>
              <w:right w:val="single" w:sz="8" w:space="0" w:color="auto"/>
            </w:tcBorders>
            <w:shd w:val="clear" w:color="auto" w:fill="auto"/>
            <w:noWrap/>
            <w:vAlign w:val="bottom"/>
            <w:hideMark/>
          </w:tcPr>
          <w:p w14:paraId="69666B46"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99,9</w:t>
            </w:r>
          </w:p>
        </w:tc>
        <w:tc>
          <w:tcPr>
            <w:tcW w:w="160" w:type="dxa"/>
            <w:vAlign w:val="center"/>
            <w:hideMark/>
          </w:tcPr>
          <w:p w14:paraId="192E3DEA" w14:textId="77777777" w:rsidR="00B2095D" w:rsidRPr="00B2095D" w:rsidRDefault="00B2095D" w:rsidP="00B2095D">
            <w:pPr>
              <w:spacing w:after="0" w:line="240" w:lineRule="auto"/>
              <w:rPr>
                <w:rFonts w:ascii="Times New Roman" w:eastAsia="Times New Roman" w:hAnsi="Times New Roman" w:cs="Times New Roman"/>
                <w:sz w:val="20"/>
                <w:szCs w:val="20"/>
                <w:lang w:eastAsia="cs-CZ"/>
              </w:rPr>
            </w:pPr>
          </w:p>
        </w:tc>
      </w:tr>
      <w:tr w:rsidR="00B2095D" w:rsidRPr="00B2095D" w14:paraId="29FECAAC" w14:textId="77777777" w:rsidTr="00C44E9D">
        <w:trPr>
          <w:trHeight w:val="300"/>
        </w:trPr>
        <w:tc>
          <w:tcPr>
            <w:tcW w:w="709" w:type="dxa"/>
            <w:vMerge/>
            <w:tcBorders>
              <w:top w:val="nil"/>
              <w:left w:val="single" w:sz="8" w:space="0" w:color="auto"/>
              <w:bottom w:val="single" w:sz="4" w:space="0" w:color="000000"/>
              <w:right w:val="single" w:sz="4" w:space="0" w:color="auto"/>
            </w:tcBorders>
            <w:vAlign w:val="center"/>
            <w:hideMark/>
          </w:tcPr>
          <w:p w14:paraId="7FB74AE5" w14:textId="77777777" w:rsidR="00B2095D" w:rsidRPr="00B2095D" w:rsidRDefault="00B2095D" w:rsidP="00B2095D">
            <w:pPr>
              <w:spacing w:after="0" w:line="240" w:lineRule="auto"/>
              <w:rPr>
                <w:rFonts w:ascii="Calibri" w:eastAsia="Times New Roman" w:hAnsi="Calibri" w:cs="Arial"/>
                <w:i/>
                <w:iCs/>
                <w:sz w:val="20"/>
                <w:szCs w:val="20"/>
                <w:lang w:eastAsia="cs-CZ"/>
              </w:rPr>
            </w:pPr>
          </w:p>
        </w:tc>
        <w:tc>
          <w:tcPr>
            <w:tcW w:w="3538" w:type="dxa"/>
            <w:tcBorders>
              <w:top w:val="nil"/>
              <w:left w:val="nil"/>
              <w:bottom w:val="single" w:sz="4" w:space="0" w:color="auto"/>
              <w:right w:val="nil"/>
            </w:tcBorders>
            <w:shd w:val="clear" w:color="auto" w:fill="auto"/>
            <w:vAlign w:val="center"/>
            <w:hideMark/>
          </w:tcPr>
          <w:p w14:paraId="35C127A2" w14:textId="77777777" w:rsidR="00B2095D" w:rsidRPr="00B2095D" w:rsidRDefault="00B2095D" w:rsidP="00B2095D">
            <w:pPr>
              <w:spacing w:after="0" w:line="240" w:lineRule="auto"/>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Středočeský Fond kultury a obnovy památek</w:t>
            </w:r>
          </w:p>
        </w:tc>
        <w:tc>
          <w:tcPr>
            <w:tcW w:w="1558" w:type="dxa"/>
            <w:tcBorders>
              <w:top w:val="nil"/>
              <w:left w:val="single" w:sz="8" w:space="0" w:color="auto"/>
              <w:bottom w:val="single" w:sz="4" w:space="0" w:color="auto"/>
              <w:right w:val="single" w:sz="4" w:space="0" w:color="auto"/>
            </w:tcBorders>
            <w:shd w:val="clear" w:color="auto" w:fill="auto"/>
            <w:noWrap/>
            <w:vAlign w:val="bottom"/>
            <w:hideMark/>
          </w:tcPr>
          <w:p w14:paraId="4E1A2FD1"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0</w:t>
            </w:r>
          </w:p>
        </w:tc>
        <w:tc>
          <w:tcPr>
            <w:tcW w:w="1850" w:type="dxa"/>
            <w:tcBorders>
              <w:top w:val="nil"/>
              <w:left w:val="nil"/>
              <w:bottom w:val="single" w:sz="4" w:space="0" w:color="auto"/>
              <w:right w:val="single" w:sz="4" w:space="0" w:color="auto"/>
            </w:tcBorders>
            <w:shd w:val="clear" w:color="auto" w:fill="auto"/>
            <w:noWrap/>
            <w:vAlign w:val="bottom"/>
            <w:hideMark/>
          </w:tcPr>
          <w:p w14:paraId="5DA94715"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4 747 801,00</w:t>
            </w:r>
          </w:p>
        </w:tc>
        <w:tc>
          <w:tcPr>
            <w:tcW w:w="1843" w:type="dxa"/>
            <w:tcBorders>
              <w:top w:val="nil"/>
              <w:left w:val="nil"/>
              <w:bottom w:val="single" w:sz="4" w:space="0" w:color="auto"/>
              <w:right w:val="single" w:sz="4" w:space="0" w:color="auto"/>
            </w:tcBorders>
            <w:shd w:val="clear" w:color="auto" w:fill="auto"/>
            <w:noWrap/>
            <w:vAlign w:val="bottom"/>
            <w:hideMark/>
          </w:tcPr>
          <w:p w14:paraId="4218C885"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1 306 680,75</w:t>
            </w:r>
          </w:p>
        </w:tc>
        <w:tc>
          <w:tcPr>
            <w:tcW w:w="830" w:type="dxa"/>
            <w:tcBorders>
              <w:top w:val="nil"/>
              <w:left w:val="nil"/>
              <w:bottom w:val="single" w:sz="4" w:space="0" w:color="auto"/>
              <w:right w:val="single" w:sz="8" w:space="0" w:color="auto"/>
            </w:tcBorders>
            <w:shd w:val="clear" w:color="auto" w:fill="auto"/>
            <w:noWrap/>
            <w:vAlign w:val="bottom"/>
            <w:hideMark/>
          </w:tcPr>
          <w:p w14:paraId="4BD172A1"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27,5</w:t>
            </w:r>
          </w:p>
        </w:tc>
        <w:tc>
          <w:tcPr>
            <w:tcW w:w="160" w:type="dxa"/>
            <w:vAlign w:val="center"/>
            <w:hideMark/>
          </w:tcPr>
          <w:p w14:paraId="3D275BF0" w14:textId="77777777" w:rsidR="00B2095D" w:rsidRPr="00B2095D" w:rsidRDefault="00B2095D" w:rsidP="00B2095D">
            <w:pPr>
              <w:spacing w:after="0" w:line="240" w:lineRule="auto"/>
              <w:rPr>
                <w:rFonts w:ascii="Times New Roman" w:eastAsia="Times New Roman" w:hAnsi="Times New Roman" w:cs="Times New Roman"/>
                <w:sz w:val="20"/>
                <w:szCs w:val="20"/>
                <w:lang w:eastAsia="cs-CZ"/>
              </w:rPr>
            </w:pPr>
          </w:p>
        </w:tc>
      </w:tr>
      <w:tr w:rsidR="00B2095D" w:rsidRPr="00B2095D" w14:paraId="06FF93D1" w14:textId="77777777" w:rsidTr="00C44E9D">
        <w:trPr>
          <w:trHeight w:val="300"/>
        </w:trPr>
        <w:tc>
          <w:tcPr>
            <w:tcW w:w="709" w:type="dxa"/>
            <w:vMerge/>
            <w:tcBorders>
              <w:top w:val="nil"/>
              <w:left w:val="single" w:sz="8" w:space="0" w:color="auto"/>
              <w:bottom w:val="single" w:sz="4" w:space="0" w:color="000000"/>
              <w:right w:val="single" w:sz="4" w:space="0" w:color="auto"/>
            </w:tcBorders>
            <w:vAlign w:val="center"/>
            <w:hideMark/>
          </w:tcPr>
          <w:p w14:paraId="2EB20313" w14:textId="77777777" w:rsidR="00B2095D" w:rsidRPr="00B2095D" w:rsidRDefault="00B2095D" w:rsidP="00B2095D">
            <w:pPr>
              <w:spacing w:after="0" w:line="240" w:lineRule="auto"/>
              <w:rPr>
                <w:rFonts w:ascii="Calibri" w:eastAsia="Times New Roman" w:hAnsi="Calibri" w:cs="Arial"/>
                <w:i/>
                <w:iCs/>
                <w:sz w:val="20"/>
                <w:szCs w:val="20"/>
                <w:lang w:eastAsia="cs-CZ"/>
              </w:rPr>
            </w:pPr>
          </w:p>
        </w:tc>
        <w:tc>
          <w:tcPr>
            <w:tcW w:w="3538" w:type="dxa"/>
            <w:tcBorders>
              <w:top w:val="nil"/>
              <w:left w:val="nil"/>
              <w:bottom w:val="single" w:sz="4" w:space="0" w:color="auto"/>
              <w:right w:val="nil"/>
            </w:tcBorders>
            <w:shd w:val="clear" w:color="auto" w:fill="auto"/>
            <w:vAlign w:val="center"/>
            <w:hideMark/>
          </w:tcPr>
          <w:p w14:paraId="7E2CBA87" w14:textId="77777777" w:rsidR="00B2095D" w:rsidRPr="00B2095D" w:rsidRDefault="00B2095D" w:rsidP="00B2095D">
            <w:pPr>
              <w:spacing w:after="0" w:line="240" w:lineRule="auto"/>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Středočeský Fond rozvoje doprovodné infrastruktury</w:t>
            </w:r>
          </w:p>
        </w:tc>
        <w:tc>
          <w:tcPr>
            <w:tcW w:w="1558" w:type="dxa"/>
            <w:tcBorders>
              <w:top w:val="nil"/>
              <w:left w:val="single" w:sz="8" w:space="0" w:color="auto"/>
              <w:bottom w:val="single" w:sz="4" w:space="0" w:color="auto"/>
              <w:right w:val="single" w:sz="4" w:space="0" w:color="auto"/>
            </w:tcBorders>
            <w:shd w:val="clear" w:color="auto" w:fill="auto"/>
            <w:noWrap/>
            <w:vAlign w:val="bottom"/>
            <w:hideMark/>
          </w:tcPr>
          <w:p w14:paraId="14FCC9F4"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0</w:t>
            </w:r>
          </w:p>
        </w:tc>
        <w:tc>
          <w:tcPr>
            <w:tcW w:w="1850" w:type="dxa"/>
            <w:tcBorders>
              <w:top w:val="nil"/>
              <w:left w:val="nil"/>
              <w:bottom w:val="single" w:sz="4" w:space="0" w:color="auto"/>
              <w:right w:val="single" w:sz="4" w:space="0" w:color="auto"/>
            </w:tcBorders>
            <w:shd w:val="clear" w:color="auto" w:fill="auto"/>
            <w:noWrap/>
            <w:vAlign w:val="bottom"/>
            <w:hideMark/>
          </w:tcPr>
          <w:p w14:paraId="40DC4153"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13 795 046,00</w:t>
            </w:r>
          </w:p>
        </w:tc>
        <w:tc>
          <w:tcPr>
            <w:tcW w:w="1843" w:type="dxa"/>
            <w:tcBorders>
              <w:top w:val="nil"/>
              <w:left w:val="nil"/>
              <w:bottom w:val="single" w:sz="4" w:space="0" w:color="auto"/>
              <w:right w:val="single" w:sz="4" w:space="0" w:color="auto"/>
            </w:tcBorders>
            <w:shd w:val="clear" w:color="auto" w:fill="auto"/>
            <w:noWrap/>
            <w:vAlign w:val="bottom"/>
            <w:hideMark/>
          </w:tcPr>
          <w:p w14:paraId="5CC2E305"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12 927 490,00</w:t>
            </w:r>
          </w:p>
        </w:tc>
        <w:tc>
          <w:tcPr>
            <w:tcW w:w="830" w:type="dxa"/>
            <w:tcBorders>
              <w:top w:val="nil"/>
              <w:left w:val="nil"/>
              <w:bottom w:val="single" w:sz="4" w:space="0" w:color="auto"/>
              <w:right w:val="single" w:sz="8" w:space="0" w:color="auto"/>
            </w:tcBorders>
            <w:shd w:val="clear" w:color="auto" w:fill="auto"/>
            <w:noWrap/>
            <w:vAlign w:val="bottom"/>
            <w:hideMark/>
          </w:tcPr>
          <w:p w14:paraId="3B8C16CD"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93,7</w:t>
            </w:r>
          </w:p>
        </w:tc>
        <w:tc>
          <w:tcPr>
            <w:tcW w:w="160" w:type="dxa"/>
            <w:vAlign w:val="center"/>
            <w:hideMark/>
          </w:tcPr>
          <w:p w14:paraId="0853841A" w14:textId="77777777" w:rsidR="00B2095D" w:rsidRPr="00B2095D" w:rsidRDefault="00B2095D" w:rsidP="00B2095D">
            <w:pPr>
              <w:spacing w:after="0" w:line="240" w:lineRule="auto"/>
              <w:rPr>
                <w:rFonts w:ascii="Times New Roman" w:eastAsia="Times New Roman" w:hAnsi="Times New Roman" w:cs="Times New Roman"/>
                <w:sz w:val="20"/>
                <w:szCs w:val="20"/>
                <w:lang w:eastAsia="cs-CZ"/>
              </w:rPr>
            </w:pPr>
          </w:p>
        </w:tc>
      </w:tr>
      <w:tr w:rsidR="00B2095D" w:rsidRPr="00B2095D" w14:paraId="47181A3F" w14:textId="77777777" w:rsidTr="00C44E9D">
        <w:trPr>
          <w:trHeight w:val="300"/>
        </w:trPr>
        <w:tc>
          <w:tcPr>
            <w:tcW w:w="709" w:type="dxa"/>
            <w:vMerge/>
            <w:tcBorders>
              <w:top w:val="nil"/>
              <w:left w:val="single" w:sz="8" w:space="0" w:color="auto"/>
              <w:bottom w:val="single" w:sz="4" w:space="0" w:color="000000"/>
              <w:right w:val="single" w:sz="4" w:space="0" w:color="auto"/>
            </w:tcBorders>
            <w:vAlign w:val="center"/>
            <w:hideMark/>
          </w:tcPr>
          <w:p w14:paraId="15D67F83" w14:textId="77777777" w:rsidR="00B2095D" w:rsidRPr="00B2095D" w:rsidRDefault="00B2095D" w:rsidP="00B2095D">
            <w:pPr>
              <w:spacing w:after="0" w:line="240" w:lineRule="auto"/>
              <w:rPr>
                <w:rFonts w:ascii="Calibri" w:eastAsia="Times New Roman" w:hAnsi="Calibri" w:cs="Arial"/>
                <w:i/>
                <w:iCs/>
                <w:sz w:val="20"/>
                <w:szCs w:val="20"/>
                <w:lang w:eastAsia="cs-CZ"/>
              </w:rPr>
            </w:pPr>
          </w:p>
        </w:tc>
        <w:tc>
          <w:tcPr>
            <w:tcW w:w="3538" w:type="dxa"/>
            <w:tcBorders>
              <w:top w:val="nil"/>
              <w:left w:val="nil"/>
              <w:bottom w:val="single" w:sz="4" w:space="0" w:color="auto"/>
              <w:right w:val="nil"/>
            </w:tcBorders>
            <w:shd w:val="clear" w:color="auto" w:fill="auto"/>
            <w:vAlign w:val="center"/>
            <w:hideMark/>
          </w:tcPr>
          <w:p w14:paraId="60E67C1C" w14:textId="77777777" w:rsidR="00B2095D" w:rsidRPr="00B2095D" w:rsidRDefault="00B2095D" w:rsidP="00B2095D">
            <w:pPr>
              <w:spacing w:after="0" w:line="240" w:lineRule="auto"/>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Středočeský Humanitární fond</w:t>
            </w:r>
          </w:p>
        </w:tc>
        <w:tc>
          <w:tcPr>
            <w:tcW w:w="1558" w:type="dxa"/>
            <w:tcBorders>
              <w:top w:val="nil"/>
              <w:left w:val="single" w:sz="8" w:space="0" w:color="auto"/>
              <w:bottom w:val="single" w:sz="4" w:space="0" w:color="auto"/>
              <w:right w:val="single" w:sz="4" w:space="0" w:color="auto"/>
            </w:tcBorders>
            <w:shd w:val="clear" w:color="auto" w:fill="auto"/>
            <w:noWrap/>
            <w:vAlign w:val="bottom"/>
            <w:hideMark/>
          </w:tcPr>
          <w:p w14:paraId="05342EDE"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0</w:t>
            </w:r>
          </w:p>
        </w:tc>
        <w:tc>
          <w:tcPr>
            <w:tcW w:w="1850" w:type="dxa"/>
            <w:tcBorders>
              <w:top w:val="nil"/>
              <w:left w:val="nil"/>
              <w:bottom w:val="single" w:sz="4" w:space="0" w:color="auto"/>
              <w:right w:val="single" w:sz="4" w:space="0" w:color="auto"/>
            </w:tcBorders>
            <w:shd w:val="clear" w:color="auto" w:fill="auto"/>
            <w:noWrap/>
            <w:vAlign w:val="bottom"/>
            <w:hideMark/>
          </w:tcPr>
          <w:p w14:paraId="3DF6B551"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6 996 029,00</w:t>
            </w:r>
          </w:p>
        </w:tc>
        <w:tc>
          <w:tcPr>
            <w:tcW w:w="1843" w:type="dxa"/>
            <w:tcBorders>
              <w:top w:val="nil"/>
              <w:left w:val="nil"/>
              <w:bottom w:val="single" w:sz="4" w:space="0" w:color="auto"/>
              <w:right w:val="single" w:sz="4" w:space="0" w:color="auto"/>
            </w:tcBorders>
            <w:shd w:val="clear" w:color="auto" w:fill="auto"/>
            <w:noWrap/>
            <w:vAlign w:val="bottom"/>
            <w:hideMark/>
          </w:tcPr>
          <w:p w14:paraId="3C96C6E2"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6 820 160,00</w:t>
            </w:r>
          </w:p>
        </w:tc>
        <w:tc>
          <w:tcPr>
            <w:tcW w:w="830" w:type="dxa"/>
            <w:tcBorders>
              <w:top w:val="nil"/>
              <w:left w:val="nil"/>
              <w:bottom w:val="single" w:sz="4" w:space="0" w:color="auto"/>
              <w:right w:val="single" w:sz="8" w:space="0" w:color="auto"/>
            </w:tcBorders>
            <w:shd w:val="clear" w:color="auto" w:fill="auto"/>
            <w:noWrap/>
            <w:vAlign w:val="bottom"/>
            <w:hideMark/>
          </w:tcPr>
          <w:p w14:paraId="7F589980"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97,5</w:t>
            </w:r>
          </w:p>
        </w:tc>
        <w:tc>
          <w:tcPr>
            <w:tcW w:w="160" w:type="dxa"/>
            <w:vAlign w:val="center"/>
            <w:hideMark/>
          </w:tcPr>
          <w:p w14:paraId="0505B5B2" w14:textId="77777777" w:rsidR="00B2095D" w:rsidRPr="00B2095D" w:rsidRDefault="00B2095D" w:rsidP="00B2095D">
            <w:pPr>
              <w:spacing w:after="0" w:line="240" w:lineRule="auto"/>
              <w:rPr>
                <w:rFonts w:ascii="Times New Roman" w:eastAsia="Times New Roman" w:hAnsi="Times New Roman" w:cs="Times New Roman"/>
                <w:sz w:val="20"/>
                <w:szCs w:val="20"/>
                <w:lang w:eastAsia="cs-CZ"/>
              </w:rPr>
            </w:pPr>
          </w:p>
        </w:tc>
      </w:tr>
      <w:tr w:rsidR="00B2095D" w:rsidRPr="00B2095D" w14:paraId="1331ACF3" w14:textId="77777777" w:rsidTr="00C44E9D">
        <w:trPr>
          <w:trHeight w:val="525"/>
        </w:trPr>
        <w:tc>
          <w:tcPr>
            <w:tcW w:w="709" w:type="dxa"/>
            <w:vMerge/>
            <w:tcBorders>
              <w:top w:val="nil"/>
              <w:left w:val="single" w:sz="8" w:space="0" w:color="auto"/>
              <w:bottom w:val="single" w:sz="4" w:space="0" w:color="000000"/>
              <w:right w:val="single" w:sz="4" w:space="0" w:color="auto"/>
            </w:tcBorders>
            <w:vAlign w:val="center"/>
            <w:hideMark/>
          </w:tcPr>
          <w:p w14:paraId="02B3BFA7" w14:textId="77777777" w:rsidR="00B2095D" w:rsidRPr="00B2095D" w:rsidRDefault="00B2095D" w:rsidP="00B2095D">
            <w:pPr>
              <w:spacing w:after="0" w:line="240" w:lineRule="auto"/>
              <w:rPr>
                <w:rFonts w:ascii="Calibri" w:eastAsia="Times New Roman" w:hAnsi="Calibri" w:cs="Arial"/>
                <w:i/>
                <w:iCs/>
                <w:sz w:val="20"/>
                <w:szCs w:val="20"/>
                <w:lang w:eastAsia="cs-CZ"/>
              </w:rPr>
            </w:pPr>
          </w:p>
        </w:tc>
        <w:tc>
          <w:tcPr>
            <w:tcW w:w="3538" w:type="dxa"/>
            <w:tcBorders>
              <w:top w:val="nil"/>
              <w:left w:val="nil"/>
              <w:bottom w:val="single" w:sz="4" w:space="0" w:color="auto"/>
              <w:right w:val="nil"/>
            </w:tcBorders>
            <w:shd w:val="clear" w:color="auto" w:fill="auto"/>
            <w:vAlign w:val="center"/>
            <w:hideMark/>
          </w:tcPr>
          <w:p w14:paraId="44CC1833" w14:textId="77777777" w:rsidR="00B2095D" w:rsidRPr="00B2095D" w:rsidRDefault="00B2095D" w:rsidP="00B2095D">
            <w:pPr>
              <w:spacing w:after="0" w:line="240" w:lineRule="auto"/>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Středočeský Infrastrukturní fond: Tematické zadání Podpora rozvoje a obnovy základních a mateřských škol</w:t>
            </w:r>
          </w:p>
        </w:tc>
        <w:tc>
          <w:tcPr>
            <w:tcW w:w="1558" w:type="dxa"/>
            <w:tcBorders>
              <w:top w:val="nil"/>
              <w:left w:val="single" w:sz="8" w:space="0" w:color="auto"/>
              <w:bottom w:val="single" w:sz="4" w:space="0" w:color="auto"/>
              <w:right w:val="single" w:sz="4" w:space="0" w:color="auto"/>
            </w:tcBorders>
            <w:shd w:val="clear" w:color="auto" w:fill="auto"/>
            <w:noWrap/>
            <w:vAlign w:val="bottom"/>
            <w:hideMark/>
          </w:tcPr>
          <w:p w14:paraId="64C92EA6"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0</w:t>
            </w:r>
          </w:p>
        </w:tc>
        <w:tc>
          <w:tcPr>
            <w:tcW w:w="1850" w:type="dxa"/>
            <w:tcBorders>
              <w:top w:val="nil"/>
              <w:left w:val="nil"/>
              <w:bottom w:val="single" w:sz="4" w:space="0" w:color="auto"/>
              <w:right w:val="single" w:sz="4" w:space="0" w:color="auto"/>
            </w:tcBorders>
            <w:shd w:val="clear" w:color="auto" w:fill="auto"/>
            <w:noWrap/>
            <w:vAlign w:val="bottom"/>
            <w:hideMark/>
          </w:tcPr>
          <w:p w14:paraId="150F8A26"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124 913 607,61</w:t>
            </w:r>
          </w:p>
        </w:tc>
        <w:tc>
          <w:tcPr>
            <w:tcW w:w="1843" w:type="dxa"/>
            <w:tcBorders>
              <w:top w:val="nil"/>
              <w:left w:val="nil"/>
              <w:bottom w:val="single" w:sz="4" w:space="0" w:color="auto"/>
              <w:right w:val="single" w:sz="4" w:space="0" w:color="auto"/>
            </w:tcBorders>
            <w:shd w:val="clear" w:color="auto" w:fill="auto"/>
            <w:noWrap/>
            <w:vAlign w:val="bottom"/>
            <w:hideMark/>
          </w:tcPr>
          <w:p w14:paraId="1033803E"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75 776 455,55</w:t>
            </w:r>
          </w:p>
        </w:tc>
        <w:tc>
          <w:tcPr>
            <w:tcW w:w="830" w:type="dxa"/>
            <w:tcBorders>
              <w:top w:val="nil"/>
              <w:left w:val="nil"/>
              <w:bottom w:val="single" w:sz="4" w:space="0" w:color="auto"/>
              <w:right w:val="single" w:sz="8" w:space="0" w:color="auto"/>
            </w:tcBorders>
            <w:shd w:val="clear" w:color="auto" w:fill="auto"/>
            <w:noWrap/>
            <w:vAlign w:val="bottom"/>
            <w:hideMark/>
          </w:tcPr>
          <w:p w14:paraId="22CB72FD"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60,7</w:t>
            </w:r>
          </w:p>
        </w:tc>
        <w:tc>
          <w:tcPr>
            <w:tcW w:w="160" w:type="dxa"/>
            <w:vAlign w:val="center"/>
            <w:hideMark/>
          </w:tcPr>
          <w:p w14:paraId="72070AAE" w14:textId="77777777" w:rsidR="00B2095D" w:rsidRPr="00B2095D" w:rsidRDefault="00B2095D" w:rsidP="00B2095D">
            <w:pPr>
              <w:spacing w:after="0" w:line="240" w:lineRule="auto"/>
              <w:rPr>
                <w:rFonts w:ascii="Times New Roman" w:eastAsia="Times New Roman" w:hAnsi="Times New Roman" w:cs="Times New Roman"/>
                <w:sz w:val="20"/>
                <w:szCs w:val="20"/>
                <w:lang w:eastAsia="cs-CZ"/>
              </w:rPr>
            </w:pPr>
          </w:p>
        </w:tc>
      </w:tr>
      <w:tr w:rsidR="00B2095D" w:rsidRPr="00B2095D" w14:paraId="45BC5D00" w14:textId="77777777" w:rsidTr="00C44E9D">
        <w:trPr>
          <w:trHeight w:val="300"/>
        </w:trPr>
        <w:tc>
          <w:tcPr>
            <w:tcW w:w="709" w:type="dxa"/>
            <w:vMerge/>
            <w:tcBorders>
              <w:top w:val="nil"/>
              <w:left w:val="single" w:sz="8" w:space="0" w:color="auto"/>
              <w:bottom w:val="single" w:sz="4" w:space="0" w:color="000000"/>
              <w:right w:val="single" w:sz="4" w:space="0" w:color="auto"/>
            </w:tcBorders>
            <w:vAlign w:val="center"/>
            <w:hideMark/>
          </w:tcPr>
          <w:p w14:paraId="73C4A3F1" w14:textId="77777777" w:rsidR="00B2095D" w:rsidRPr="00B2095D" w:rsidRDefault="00B2095D" w:rsidP="00B2095D">
            <w:pPr>
              <w:spacing w:after="0" w:line="240" w:lineRule="auto"/>
              <w:rPr>
                <w:rFonts w:ascii="Calibri" w:eastAsia="Times New Roman" w:hAnsi="Calibri" w:cs="Arial"/>
                <w:i/>
                <w:iCs/>
                <w:sz w:val="20"/>
                <w:szCs w:val="20"/>
                <w:lang w:eastAsia="cs-CZ"/>
              </w:rPr>
            </w:pPr>
          </w:p>
        </w:tc>
        <w:tc>
          <w:tcPr>
            <w:tcW w:w="3538" w:type="dxa"/>
            <w:tcBorders>
              <w:top w:val="nil"/>
              <w:left w:val="nil"/>
              <w:bottom w:val="single" w:sz="4" w:space="0" w:color="auto"/>
              <w:right w:val="nil"/>
            </w:tcBorders>
            <w:shd w:val="clear" w:color="auto" w:fill="auto"/>
            <w:vAlign w:val="center"/>
            <w:hideMark/>
          </w:tcPr>
          <w:p w14:paraId="59D24132" w14:textId="77777777" w:rsidR="00B2095D" w:rsidRPr="00B2095D" w:rsidRDefault="00B2095D" w:rsidP="00B2095D">
            <w:pPr>
              <w:spacing w:after="0" w:line="240" w:lineRule="auto"/>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Středočeský Fond obnovy venkova</w:t>
            </w:r>
          </w:p>
        </w:tc>
        <w:tc>
          <w:tcPr>
            <w:tcW w:w="1558" w:type="dxa"/>
            <w:tcBorders>
              <w:top w:val="nil"/>
              <w:left w:val="single" w:sz="8" w:space="0" w:color="auto"/>
              <w:bottom w:val="single" w:sz="4" w:space="0" w:color="auto"/>
              <w:right w:val="single" w:sz="4" w:space="0" w:color="auto"/>
            </w:tcBorders>
            <w:shd w:val="clear" w:color="auto" w:fill="auto"/>
            <w:noWrap/>
            <w:vAlign w:val="bottom"/>
            <w:hideMark/>
          </w:tcPr>
          <w:p w14:paraId="721C03B0"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20 000 000</w:t>
            </w:r>
          </w:p>
        </w:tc>
        <w:tc>
          <w:tcPr>
            <w:tcW w:w="1850" w:type="dxa"/>
            <w:tcBorders>
              <w:top w:val="nil"/>
              <w:left w:val="nil"/>
              <w:bottom w:val="single" w:sz="4" w:space="0" w:color="auto"/>
              <w:right w:val="single" w:sz="4" w:space="0" w:color="auto"/>
            </w:tcBorders>
            <w:shd w:val="clear" w:color="auto" w:fill="auto"/>
            <w:noWrap/>
            <w:vAlign w:val="bottom"/>
            <w:hideMark/>
          </w:tcPr>
          <w:p w14:paraId="37C65FB0"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172 935 218,00</w:t>
            </w:r>
          </w:p>
        </w:tc>
        <w:tc>
          <w:tcPr>
            <w:tcW w:w="1843" w:type="dxa"/>
            <w:tcBorders>
              <w:top w:val="nil"/>
              <w:left w:val="nil"/>
              <w:bottom w:val="single" w:sz="4" w:space="0" w:color="auto"/>
              <w:right w:val="single" w:sz="4" w:space="0" w:color="auto"/>
            </w:tcBorders>
            <w:shd w:val="clear" w:color="auto" w:fill="auto"/>
            <w:noWrap/>
            <w:vAlign w:val="bottom"/>
            <w:hideMark/>
          </w:tcPr>
          <w:p w14:paraId="5051BA61"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153 273 526,00</w:t>
            </w:r>
          </w:p>
        </w:tc>
        <w:tc>
          <w:tcPr>
            <w:tcW w:w="830" w:type="dxa"/>
            <w:tcBorders>
              <w:top w:val="nil"/>
              <w:left w:val="nil"/>
              <w:bottom w:val="single" w:sz="4" w:space="0" w:color="auto"/>
              <w:right w:val="single" w:sz="8" w:space="0" w:color="auto"/>
            </w:tcBorders>
            <w:shd w:val="clear" w:color="auto" w:fill="auto"/>
            <w:noWrap/>
            <w:vAlign w:val="bottom"/>
            <w:hideMark/>
          </w:tcPr>
          <w:p w14:paraId="6A67F41A"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88,6</w:t>
            </w:r>
          </w:p>
        </w:tc>
        <w:tc>
          <w:tcPr>
            <w:tcW w:w="160" w:type="dxa"/>
            <w:vAlign w:val="center"/>
            <w:hideMark/>
          </w:tcPr>
          <w:p w14:paraId="310C739F" w14:textId="77777777" w:rsidR="00B2095D" w:rsidRPr="00B2095D" w:rsidRDefault="00B2095D" w:rsidP="00B2095D">
            <w:pPr>
              <w:spacing w:after="0" w:line="240" w:lineRule="auto"/>
              <w:rPr>
                <w:rFonts w:ascii="Times New Roman" w:eastAsia="Times New Roman" w:hAnsi="Times New Roman" w:cs="Times New Roman"/>
                <w:sz w:val="20"/>
                <w:szCs w:val="20"/>
                <w:lang w:eastAsia="cs-CZ"/>
              </w:rPr>
            </w:pPr>
          </w:p>
        </w:tc>
      </w:tr>
      <w:tr w:rsidR="00B2095D" w:rsidRPr="00B2095D" w14:paraId="012D470A" w14:textId="77777777" w:rsidTr="00C44E9D">
        <w:trPr>
          <w:trHeight w:val="300"/>
        </w:trPr>
        <w:tc>
          <w:tcPr>
            <w:tcW w:w="709" w:type="dxa"/>
            <w:vMerge/>
            <w:tcBorders>
              <w:top w:val="nil"/>
              <w:left w:val="single" w:sz="8" w:space="0" w:color="auto"/>
              <w:bottom w:val="single" w:sz="4" w:space="0" w:color="000000"/>
              <w:right w:val="single" w:sz="4" w:space="0" w:color="auto"/>
            </w:tcBorders>
            <w:vAlign w:val="center"/>
            <w:hideMark/>
          </w:tcPr>
          <w:p w14:paraId="6648925A" w14:textId="77777777" w:rsidR="00B2095D" w:rsidRPr="00B2095D" w:rsidRDefault="00B2095D" w:rsidP="00B2095D">
            <w:pPr>
              <w:spacing w:after="0" w:line="240" w:lineRule="auto"/>
              <w:rPr>
                <w:rFonts w:ascii="Calibri" w:eastAsia="Times New Roman" w:hAnsi="Calibri" w:cs="Arial"/>
                <w:i/>
                <w:iCs/>
                <w:sz w:val="20"/>
                <w:szCs w:val="20"/>
                <w:lang w:eastAsia="cs-CZ"/>
              </w:rPr>
            </w:pPr>
          </w:p>
        </w:tc>
        <w:tc>
          <w:tcPr>
            <w:tcW w:w="3538" w:type="dxa"/>
            <w:tcBorders>
              <w:top w:val="nil"/>
              <w:left w:val="nil"/>
              <w:bottom w:val="single" w:sz="4" w:space="0" w:color="auto"/>
              <w:right w:val="nil"/>
            </w:tcBorders>
            <w:shd w:val="clear" w:color="auto" w:fill="auto"/>
            <w:vAlign w:val="center"/>
            <w:hideMark/>
          </w:tcPr>
          <w:p w14:paraId="0923803C" w14:textId="77777777" w:rsidR="00B2095D" w:rsidRPr="00B2095D" w:rsidRDefault="00B2095D" w:rsidP="00B2095D">
            <w:pPr>
              <w:spacing w:after="0" w:line="240" w:lineRule="auto"/>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Středočeský Fond podpory včasné přípravy projektů  EU 2021+ a NIP</w:t>
            </w:r>
          </w:p>
        </w:tc>
        <w:tc>
          <w:tcPr>
            <w:tcW w:w="1558" w:type="dxa"/>
            <w:tcBorders>
              <w:top w:val="nil"/>
              <w:left w:val="single" w:sz="8" w:space="0" w:color="auto"/>
              <w:bottom w:val="single" w:sz="4" w:space="0" w:color="auto"/>
              <w:right w:val="single" w:sz="4" w:space="0" w:color="auto"/>
            </w:tcBorders>
            <w:shd w:val="clear" w:color="auto" w:fill="auto"/>
            <w:noWrap/>
            <w:vAlign w:val="bottom"/>
            <w:hideMark/>
          </w:tcPr>
          <w:p w14:paraId="31FB22BD"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0</w:t>
            </w:r>
          </w:p>
        </w:tc>
        <w:tc>
          <w:tcPr>
            <w:tcW w:w="1850" w:type="dxa"/>
            <w:tcBorders>
              <w:top w:val="nil"/>
              <w:left w:val="nil"/>
              <w:bottom w:val="single" w:sz="4" w:space="0" w:color="auto"/>
              <w:right w:val="single" w:sz="4" w:space="0" w:color="auto"/>
            </w:tcBorders>
            <w:shd w:val="clear" w:color="auto" w:fill="auto"/>
            <w:noWrap/>
            <w:vAlign w:val="bottom"/>
            <w:hideMark/>
          </w:tcPr>
          <w:p w14:paraId="0A707532"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31 997 240,00</w:t>
            </w:r>
          </w:p>
        </w:tc>
        <w:tc>
          <w:tcPr>
            <w:tcW w:w="1843" w:type="dxa"/>
            <w:tcBorders>
              <w:top w:val="nil"/>
              <w:left w:val="nil"/>
              <w:bottom w:val="single" w:sz="4" w:space="0" w:color="auto"/>
              <w:right w:val="single" w:sz="4" w:space="0" w:color="auto"/>
            </w:tcBorders>
            <w:shd w:val="clear" w:color="auto" w:fill="auto"/>
            <w:noWrap/>
            <w:vAlign w:val="bottom"/>
            <w:hideMark/>
          </w:tcPr>
          <w:p w14:paraId="174CAC0D"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14 056 100,00</w:t>
            </w:r>
          </w:p>
        </w:tc>
        <w:tc>
          <w:tcPr>
            <w:tcW w:w="830" w:type="dxa"/>
            <w:tcBorders>
              <w:top w:val="nil"/>
              <w:left w:val="nil"/>
              <w:bottom w:val="single" w:sz="4" w:space="0" w:color="auto"/>
              <w:right w:val="single" w:sz="8" w:space="0" w:color="auto"/>
            </w:tcBorders>
            <w:shd w:val="clear" w:color="auto" w:fill="auto"/>
            <w:noWrap/>
            <w:vAlign w:val="bottom"/>
            <w:hideMark/>
          </w:tcPr>
          <w:p w14:paraId="73711AA1"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43,9</w:t>
            </w:r>
          </w:p>
        </w:tc>
        <w:tc>
          <w:tcPr>
            <w:tcW w:w="160" w:type="dxa"/>
            <w:vAlign w:val="center"/>
            <w:hideMark/>
          </w:tcPr>
          <w:p w14:paraId="55177D43" w14:textId="77777777" w:rsidR="00B2095D" w:rsidRPr="00B2095D" w:rsidRDefault="00B2095D" w:rsidP="00B2095D">
            <w:pPr>
              <w:spacing w:after="0" w:line="240" w:lineRule="auto"/>
              <w:rPr>
                <w:rFonts w:ascii="Times New Roman" w:eastAsia="Times New Roman" w:hAnsi="Times New Roman" w:cs="Times New Roman"/>
                <w:sz w:val="20"/>
                <w:szCs w:val="20"/>
                <w:lang w:eastAsia="cs-CZ"/>
              </w:rPr>
            </w:pPr>
          </w:p>
        </w:tc>
      </w:tr>
      <w:tr w:rsidR="00B2095D" w:rsidRPr="00B2095D" w14:paraId="499A2006" w14:textId="77777777" w:rsidTr="00C44E9D">
        <w:trPr>
          <w:trHeight w:val="300"/>
        </w:trPr>
        <w:tc>
          <w:tcPr>
            <w:tcW w:w="709" w:type="dxa"/>
            <w:vMerge/>
            <w:tcBorders>
              <w:top w:val="nil"/>
              <w:left w:val="single" w:sz="8" w:space="0" w:color="auto"/>
              <w:bottom w:val="single" w:sz="4" w:space="0" w:color="000000"/>
              <w:right w:val="single" w:sz="4" w:space="0" w:color="auto"/>
            </w:tcBorders>
            <w:vAlign w:val="center"/>
            <w:hideMark/>
          </w:tcPr>
          <w:p w14:paraId="410AF9FD" w14:textId="77777777" w:rsidR="00B2095D" w:rsidRPr="00B2095D" w:rsidRDefault="00B2095D" w:rsidP="00B2095D">
            <w:pPr>
              <w:spacing w:after="0" w:line="240" w:lineRule="auto"/>
              <w:rPr>
                <w:rFonts w:ascii="Calibri" w:eastAsia="Times New Roman" w:hAnsi="Calibri" w:cs="Arial"/>
                <w:i/>
                <w:iCs/>
                <w:sz w:val="20"/>
                <w:szCs w:val="20"/>
                <w:lang w:eastAsia="cs-CZ"/>
              </w:rPr>
            </w:pPr>
          </w:p>
        </w:tc>
        <w:tc>
          <w:tcPr>
            <w:tcW w:w="3538" w:type="dxa"/>
            <w:tcBorders>
              <w:top w:val="nil"/>
              <w:left w:val="nil"/>
              <w:bottom w:val="single" w:sz="4" w:space="0" w:color="auto"/>
              <w:right w:val="nil"/>
            </w:tcBorders>
            <w:shd w:val="clear" w:color="auto" w:fill="auto"/>
            <w:vAlign w:val="center"/>
            <w:hideMark/>
          </w:tcPr>
          <w:p w14:paraId="5D2530F5" w14:textId="77777777" w:rsidR="00B2095D" w:rsidRPr="00B2095D" w:rsidRDefault="00B2095D" w:rsidP="00B2095D">
            <w:pPr>
              <w:spacing w:after="0" w:line="240" w:lineRule="auto"/>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Středočeský Fond návratných finančních zdrojů</w:t>
            </w:r>
          </w:p>
        </w:tc>
        <w:tc>
          <w:tcPr>
            <w:tcW w:w="1558" w:type="dxa"/>
            <w:tcBorders>
              <w:top w:val="nil"/>
              <w:left w:val="single" w:sz="8" w:space="0" w:color="auto"/>
              <w:bottom w:val="single" w:sz="4" w:space="0" w:color="auto"/>
              <w:right w:val="single" w:sz="4" w:space="0" w:color="auto"/>
            </w:tcBorders>
            <w:shd w:val="clear" w:color="auto" w:fill="auto"/>
            <w:noWrap/>
            <w:vAlign w:val="bottom"/>
            <w:hideMark/>
          </w:tcPr>
          <w:p w14:paraId="76D40855"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0</w:t>
            </w:r>
          </w:p>
        </w:tc>
        <w:tc>
          <w:tcPr>
            <w:tcW w:w="1850" w:type="dxa"/>
            <w:tcBorders>
              <w:top w:val="nil"/>
              <w:left w:val="nil"/>
              <w:bottom w:val="single" w:sz="4" w:space="0" w:color="auto"/>
              <w:right w:val="single" w:sz="4" w:space="0" w:color="auto"/>
            </w:tcBorders>
            <w:shd w:val="clear" w:color="auto" w:fill="auto"/>
            <w:noWrap/>
            <w:vAlign w:val="bottom"/>
            <w:hideMark/>
          </w:tcPr>
          <w:p w14:paraId="3F50A335"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20 000 000,00</w:t>
            </w:r>
          </w:p>
        </w:tc>
        <w:tc>
          <w:tcPr>
            <w:tcW w:w="1843" w:type="dxa"/>
            <w:tcBorders>
              <w:top w:val="nil"/>
              <w:left w:val="nil"/>
              <w:bottom w:val="single" w:sz="4" w:space="0" w:color="auto"/>
              <w:right w:val="single" w:sz="4" w:space="0" w:color="auto"/>
            </w:tcBorders>
            <w:shd w:val="clear" w:color="auto" w:fill="auto"/>
            <w:noWrap/>
            <w:vAlign w:val="bottom"/>
            <w:hideMark/>
          </w:tcPr>
          <w:p w14:paraId="13920BB0"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0,00</w:t>
            </w:r>
          </w:p>
        </w:tc>
        <w:tc>
          <w:tcPr>
            <w:tcW w:w="830" w:type="dxa"/>
            <w:tcBorders>
              <w:top w:val="nil"/>
              <w:left w:val="nil"/>
              <w:bottom w:val="single" w:sz="4" w:space="0" w:color="auto"/>
              <w:right w:val="single" w:sz="8" w:space="0" w:color="auto"/>
            </w:tcBorders>
            <w:shd w:val="clear" w:color="auto" w:fill="auto"/>
            <w:noWrap/>
            <w:vAlign w:val="bottom"/>
            <w:hideMark/>
          </w:tcPr>
          <w:p w14:paraId="64D713D6"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0,0</w:t>
            </w:r>
          </w:p>
        </w:tc>
        <w:tc>
          <w:tcPr>
            <w:tcW w:w="160" w:type="dxa"/>
            <w:vAlign w:val="center"/>
            <w:hideMark/>
          </w:tcPr>
          <w:p w14:paraId="2A20DBB9" w14:textId="77777777" w:rsidR="00B2095D" w:rsidRPr="00B2095D" w:rsidRDefault="00B2095D" w:rsidP="00B2095D">
            <w:pPr>
              <w:spacing w:after="0" w:line="240" w:lineRule="auto"/>
              <w:rPr>
                <w:rFonts w:ascii="Times New Roman" w:eastAsia="Times New Roman" w:hAnsi="Times New Roman" w:cs="Times New Roman"/>
                <w:sz w:val="20"/>
                <w:szCs w:val="20"/>
                <w:lang w:eastAsia="cs-CZ"/>
              </w:rPr>
            </w:pPr>
          </w:p>
        </w:tc>
      </w:tr>
      <w:tr w:rsidR="00B2095D" w:rsidRPr="00B2095D" w14:paraId="7547A2E4" w14:textId="77777777" w:rsidTr="00C44E9D">
        <w:trPr>
          <w:trHeight w:val="300"/>
        </w:trPr>
        <w:tc>
          <w:tcPr>
            <w:tcW w:w="709" w:type="dxa"/>
            <w:vMerge/>
            <w:tcBorders>
              <w:top w:val="nil"/>
              <w:left w:val="single" w:sz="8" w:space="0" w:color="auto"/>
              <w:bottom w:val="single" w:sz="4" w:space="0" w:color="000000"/>
              <w:right w:val="single" w:sz="4" w:space="0" w:color="auto"/>
            </w:tcBorders>
            <w:vAlign w:val="center"/>
            <w:hideMark/>
          </w:tcPr>
          <w:p w14:paraId="38CB5B86" w14:textId="77777777" w:rsidR="00B2095D" w:rsidRPr="00B2095D" w:rsidRDefault="00B2095D" w:rsidP="00B2095D">
            <w:pPr>
              <w:spacing w:after="0" w:line="240" w:lineRule="auto"/>
              <w:rPr>
                <w:rFonts w:ascii="Calibri" w:eastAsia="Times New Roman" w:hAnsi="Calibri" w:cs="Arial"/>
                <w:i/>
                <w:iCs/>
                <w:sz w:val="20"/>
                <w:szCs w:val="20"/>
                <w:lang w:eastAsia="cs-CZ"/>
              </w:rPr>
            </w:pPr>
          </w:p>
        </w:tc>
        <w:tc>
          <w:tcPr>
            <w:tcW w:w="3538" w:type="dxa"/>
            <w:tcBorders>
              <w:top w:val="nil"/>
              <w:left w:val="nil"/>
              <w:bottom w:val="single" w:sz="4" w:space="0" w:color="auto"/>
              <w:right w:val="nil"/>
            </w:tcBorders>
            <w:shd w:val="clear" w:color="auto" w:fill="auto"/>
            <w:vAlign w:val="center"/>
            <w:hideMark/>
          </w:tcPr>
          <w:p w14:paraId="6C82F93F" w14:textId="77777777" w:rsidR="00B2095D" w:rsidRPr="00B2095D" w:rsidRDefault="00B2095D" w:rsidP="00B2095D">
            <w:pPr>
              <w:spacing w:after="0" w:line="240" w:lineRule="auto"/>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Středočeský Fond na podporu obecního bydlení</w:t>
            </w:r>
          </w:p>
        </w:tc>
        <w:tc>
          <w:tcPr>
            <w:tcW w:w="1558" w:type="dxa"/>
            <w:tcBorders>
              <w:top w:val="nil"/>
              <w:left w:val="single" w:sz="8" w:space="0" w:color="auto"/>
              <w:bottom w:val="single" w:sz="4" w:space="0" w:color="auto"/>
              <w:right w:val="single" w:sz="4" w:space="0" w:color="auto"/>
            </w:tcBorders>
            <w:shd w:val="clear" w:color="auto" w:fill="auto"/>
            <w:noWrap/>
            <w:vAlign w:val="bottom"/>
            <w:hideMark/>
          </w:tcPr>
          <w:p w14:paraId="77A0D05B"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0</w:t>
            </w:r>
          </w:p>
        </w:tc>
        <w:tc>
          <w:tcPr>
            <w:tcW w:w="1850" w:type="dxa"/>
            <w:tcBorders>
              <w:top w:val="nil"/>
              <w:left w:val="nil"/>
              <w:bottom w:val="single" w:sz="4" w:space="0" w:color="auto"/>
              <w:right w:val="single" w:sz="4" w:space="0" w:color="auto"/>
            </w:tcBorders>
            <w:shd w:val="clear" w:color="auto" w:fill="auto"/>
            <w:noWrap/>
            <w:vAlign w:val="bottom"/>
            <w:hideMark/>
          </w:tcPr>
          <w:p w14:paraId="6F66379B"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6 446 251,00</w:t>
            </w:r>
          </w:p>
        </w:tc>
        <w:tc>
          <w:tcPr>
            <w:tcW w:w="1843" w:type="dxa"/>
            <w:tcBorders>
              <w:top w:val="nil"/>
              <w:left w:val="nil"/>
              <w:bottom w:val="single" w:sz="4" w:space="0" w:color="auto"/>
              <w:right w:val="single" w:sz="4" w:space="0" w:color="auto"/>
            </w:tcBorders>
            <w:shd w:val="clear" w:color="auto" w:fill="auto"/>
            <w:noWrap/>
            <w:vAlign w:val="bottom"/>
            <w:hideMark/>
          </w:tcPr>
          <w:p w14:paraId="3F701B96"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0,00</w:t>
            </w:r>
          </w:p>
        </w:tc>
        <w:tc>
          <w:tcPr>
            <w:tcW w:w="830" w:type="dxa"/>
            <w:tcBorders>
              <w:top w:val="nil"/>
              <w:left w:val="nil"/>
              <w:bottom w:val="single" w:sz="4" w:space="0" w:color="auto"/>
              <w:right w:val="single" w:sz="8" w:space="0" w:color="auto"/>
            </w:tcBorders>
            <w:shd w:val="clear" w:color="auto" w:fill="auto"/>
            <w:noWrap/>
            <w:vAlign w:val="bottom"/>
            <w:hideMark/>
          </w:tcPr>
          <w:p w14:paraId="4ADF2115"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0,0</w:t>
            </w:r>
          </w:p>
        </w:tc>
        <w:tc>
          <w:tcPr>
            <w:tcW w:w="160" w:type="dxa"/>
            <w:vAlign w:val="center"/>
            <w:hideMark/>
          </w:tcPr>
          <w:p w14:paraId="6D05096E" w14:textId="77777777" w:rsidR="00B2095D" w:rsidRPr="00B2095D" w:rsidRDefault="00B2095D" w:rsidP="00B2095D">
            <w:pPr>
              <w:spacing w:after="0" w:line="240" w:lineRule="auto"/>
              <w:rPr>
                <w:rFonts w:ascii="Times New Roman" w:eastAsia="Times New Roman" w:hAnsi="Times New Roman" w:cs="Times New Roman"/>
                <w:sz w:val="20"/>
                <w:szCs w:val="20"/>
                <w:lang w:eastAsia="cs-CZ"/>
              </w:rPr>
            </w:pPr>
          </w:p>
        </w:tc>
      </w:tr>
      <w:tr w:rsidR="00B2095D" w:rsidRPr="00B2095D" w14:paraId="4C4A7698" w14:textId="77777777" w:rsidTr="00C44E9D">
        <w:trPr>
          <w:trHeight w:val="300"/>
        </w:trPr>
        <w:tc>
          <w:tcPr>
            <w:tcW w:w="709" w:type="dxa"/>
            <w:vMerge/>
            <w:tcBorders>
              <w:top w:val="nil"/>
              <w:left w:val="single" w:sz="8" w:space="0" w:color="auto"/>
              <w:bottom w:val="single" w:sz="4" w:space="0" w:color="000000"/>
              <w:right w:val="single" w:sz="4" w:space="0" w:color="auto"/>
            </w:tcBorders>
            <w:vAlign w:val="center"/>
            <w:hideMark/>
          </w:tcPr>
          <w:p w14:paraId="5840EE40" w14:textId="77777777" w:rsidR="00B2095D" w:rsidRPr="00B2095D" w:rsidRDefault="00B2095D" w:rsidP="00B2095D">
            <w:pPr>
              <w:spacing w:after="0" w:line="240" w:lineRule="auto"/>
              <w:rPr>
                <w:rFonts w:ascii="Calibri" w:eastAsia="Times New Roman" w:hAnsi="Calibri" w:cs="Arial"/>
                <w:i/>
                <w:iCs/>
                <w:sz w:val="20"/>
                <w:szCs w:val="20"/>
                <w:lang w:eastAsia="cs-CZ"/>
              </w:rPr>
            </w:pPr>
          </w:p>
        </w:tc>
        <w:tc>
          <w:tcPr>
            <w:tcW w:w="3538" w:type="dxa"/>
            <w:tcBorders>
              <w:top w:val="nil"/>
              <w:left w:val="nil"/>
              <w:bottom w:val="single" w:sz="4" w:space="0" w:color="auto"/>
              <w:right w:val="nil"/>
            </w:tcBorders>
            <w:shd w:val="clear" w:color="auto" w:fill="auto"/>
            <w:vAlign w:val="center"/>
            <w:hideMark/>
          </w:tcPr>
          <w:p w14:paraId="4E00FCF8" w14:textId="77777777" w:rsidR="00B2095D" w:rsidRPr="00B2095D" w:rsidRDefault="00B2095D" w:rsidP="00B2095D">
            <w:pPr>
              <w:spacing w:after="0" w:line="240" w:lineRule="auto"/>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Středočeský Fond životního prostředí a zemědělství</w:t>
            </w:r>
          </w:p>
        </w:tc>
        <w:tc>
          <w:tcPr>
            <w:tcW w:w="1558" w:type="dxa"/>
            <w:tcBorders>
              <w:top w:val="nil"/>
              <w:left w:val="single" w:sz="8" w:space="0" w:color="auto"/>
              <w:bottom w:val="single" w:sz="4" w:space="0" w:color="auto"/>
              <w:right w:val="single" w:sz="4" w:space="0" w:color="auto"/>
            </w:tcBorders>
            <w:shd w:val="clear" w:color="auto" w:fill="auto"/>
            <w:noWrap/>
            <w:vAlign w:val="bottom"/>
            <w:hideMark/>
          </w:tcPr>
          <w:p w14:paraId="16F58944"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0</w:t>
            </w:r>
          </w:p>
        </w:tc>
        <w:tc>
          <w:tcPr>
            <w:tcW w:w="1850" w:type="dxa"/>
            <w:tcBorders>
              <w:top w:val="nil"/>
              <w:left w:val="nil"/>
              <w:bottom w:val="single" w:sz="4" w:space="0" w:color="auto"/>
              <w:right w:val="single" w:sz="4" w:space="0" w:color="auto"/>
            </w:tcBorders>
            <w:shd w:val="clear" w:color="auto" w:fill="auto"/>
            <w:noWrap/>
            <w:vAlign w:val="bottom"/>
            <w:hideMark/>
          </w:tcPr>
          <w:p w14:paraId="649FC101"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24 186 215,00</w:t>
            </w:r>
          </w:p>
        </w:tc>
        <w:tc>
          <w:tcPr>
            <w:tcW w:w="1843" w:type="dxa"/>
            <w:tcBorders>
              <w:top w:val="nil"/>
              <w:left w:val="nil"/>
              <w:bottom w:val="single" w:sz="4" w:space="0" w:color="auto"/>
              <w:right w:val="single" w:sz="4" w:space="0" w:color="auto"/>
            </w:tcBorders>
            <w:shd w:val="clear" w:color="auto" w:fill="auto"/>
            <w:noWrap/>
            <w:vAlign w:val="bottom"/>
            <w:hideMark/>
          </w:tcPr>
          <w:p w14:paraId="5FBC3241"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17 752 804,00</w:t>
            </w:r>
          </w:p>
        </w:tc>
        <w:tc>
          <w:tcPr>
            <w:tcW w:w="830" w:type="dxa"/>
            <w:tcBorders>
              <w:top w:val="nil"/>
              <w:left w:val="nil"/>
              <w:bottom w:val="single" w:sz="4" w:space="0" w:color="auto"/>
              <w:right w:val="single" w:sz="8" w:space="0" w:color="auto"/>
            </w:tcBorders>
            <w:shd w:val="clear" w:color="auto" w:fill="auto"/>
            <w:noWrap/>
            <w:vAlign w:val="bottom"/>
            <w:hideMark/>
          </w:tcPr>
          <w:p w14:paraId="51E0E139"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73,4</w:t>
            </w:r>
          </w:p>
        </w:tc>
        <w:tc>
          <w:tcPr>
            <w:tcW w:w="160" w:type="dxa"/>
            <w:vAlign w:val="center"/>
            <w:hideMark/>
          </w:tcPr>
          <w:p w14:paraId="3B2D19FB" w14:textId="77777777" w:rsidR="00B2095D" w:rsidRPr="00B2095D" w:rsidRDefault="00B2095D" w:rsidP="00B2095D">
            <w:pPr>
              <w:spacing w:after="0" w:line="240" w:lineRule="auto"/>
              <w:rPr>
                <w:rFonts w:ascii="Times New Roman" w:eastAsia="Times New Roman" w:hAnsi="Times New Roman" w:cs="Times New Roman"/>
                <w:sz w:val="20"/>
                <w:szCs w:val="20"/>
                <w:lang w:eastAsia="cs-CZ"/>
              </w:rPr>
            </w:pPr>
          </w:p>
        </w:tc>
      </w:tr>
      <w:tr w:rsidR="00B2095D" w:rsidRPr="00B2095D" w14:paraId="7F5F2A04" w14:textId="77777777" w:rsidTr="00C44E9D">
        <w:trPr>
          <w:trHeight w:val="300"/>
        </w:trPr>
        <w:tc>
          <w:tcPr>
            <w:tcW w:w="709" w:type="dxa"/>
            <w:vMerge/>
            <w:tcBorders>
              <w:top w:val="nil"/>
              <w:left w:val="single" w:sz="8" w:space="0" w:color="auto"/>
              <w:bottom w:val="single" w:sz="4" w:space="0" w:color="000000"/>
              <w:right w:val="single" w:sz="4" w:space="0" w:color="auto"/>
            </w:tcBorders>
            <w:vAlign w:val="center"/>
            <w:hideMark/>
          </w:tcPr>
          <w:p w14:paraId="5FB478D6" w14:textId="77777777" w:rsidR="00B2095D" w:rsidRPr="00B2095D" w:rsidRDefault="00B2095D" w:rsidP="00B2095D">
            <w:pPr>
              <w:spacing w:after="0" w:line="240" w:lineRule="auto"/>
              <w:rPr>
                <w:rFonts w:ascii="Calibri" w:eastAsia="Times New Roman" w:hAnsi="Calibri" w:cs="Arial"/>
                <w:i/>
                <w:iCs/>
                <w:sz w:val="20"/>
                <w:szCs w:val="20"/>
                <w:lang w:eastAsia="cs-CZ"/>
              </w:rPr>
            </w:pPr>
          </w:p>
        </w:tc>
        <w:tc>
          <w:tcPr>
            <w:tcW w:w="3538" w:type="dxa"/>
            <w:tcBorders>
              <w:top w:val="nil"/>
              <w:left w:val="nil"/>
              <w:bottom w:val="single" w:sz="4" w:space="0" w:color="auto"/>
              <w:right w:val="nil"/>
            </w:tcBorders>
            <w:shd w:val="clear" w:color="auto" w:fill="auto"/>
            <w:vAlign w:val="center"/>
            <w:hideMark/>
          </w:tcPr>
          <w:p w14:paraId="298C9EDB" w14:textId="77777777" w:rsidR="00B2095D" w:rsidRPr="00B2095D" w:rsidRDefault="00B2095D" w:rsidP="00B2095D">
            <w:pPr>
              <w:spacing w:after="0" w:line="240" w:lineRule="auto"/>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Středočeský Infrastrukturní fond: Tematické zadání Životní prostředí</w:t>
            </w:r>
          </w:p>
        </w:tc>
        <w:tc>
          <w:tcPr>
            <w:tcW w:w="1558" w:type="dxa"/>
            <w:tcBorders>
              <w:top w:val="nil"/>
              <w:left w:val="single" w:sz="8" w:space="0" w:color="auto"/>
              <w:bottom w:val="single" w:sz="4" w:space="0" w:color="auto"/>
              <w:right w:val="single" w:sz="4" w:space="0" w:color="auto"/>
            </w:tcBorders>
            <w:shd w:val="clear" w:color="auto" w:fill="auto"/>
            <w:noWrap/>
            <w:vAlign w:val="bottom"/>
            <w:hideMark/>
          </w:tcPr>
          <w:p w14:paraId="12B70DBB"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50 000 000</w:t>
            </w:r>
          </w:p>
        </w:tc>
        <w:tc>
          <w:tcPr>
            <w:tcW w:w="1850" w:type="dxa"/>
            <w:tcBorders>
              <w:top w:val="nil"/>
              <w:left w:val="nil"/>
              <w:bottom w:val="single" w:sz="4" w:space="0" w:color="auto"/>
              <w:right w:val="single" w:sz="4" w:space="0" w:color="auto"/>
            </w:tcBorders>
            <w:shd w:val="clear" w:color="auto" w:fill="auto"/>
            <w:noWrap/>
            <w:vAlign w:val="bottom"/>
            <w:hideMark/>
          </w:tcPr>
          <w:p w14:paraId="13966E11"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164 415 975,50</w:t>
            </w:r>
          </w:p>
        </w:tc>
        <w:tc>
          <w:tcPr>
            <w:tcW w:w="1843" w:type="dxa"/>
            <w:tcBorders>
              <w:top w:val="nil"/>
              <w:left w:val="nil"/>
              <w:bottom w:val="single" w:sz="4" w:space="0" w:color="auto"/>
              <w:right w:val="single" w:sz="4" w:space="0" w:color="auto"/>
            </w:tcBorders>
            <w:shd w:val="clear" w:color="auto" w:fill="auto"/>
            <w:noWrap/>
            <w:vAlign w:val="bottom"/>
            <w:hideMark/>
          </w:tcPr>
          <w:p w14:paraId="0D093F52"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69 488 777,25</w:t>
            </w:r>
          </w:p>
        </w:tc>
        <w:tc>
          <w:tcPr>
            <w:tcW w:w="830" w:type="dxa"/>
            <w:tcBorders>
              <w:top w:val="nil"/>
              <w:left w:val="nil"/>
              <w:bottom w:val="single" w:sz="4" w:space="0" w:color="auto"/>
              <w:right w:val="single" w:sz="8" w:space="0" w:color="auto"/>
            </w:tcBorders>
            <w:shd w:val="clear" w:color="auto" w:fill="auto"/>
            <w:noWrap/>
            <w:vAlign w:val="bottom"/>
            <w:hideMark/>
          </w:tcPr>
          <w:p w14:paraId="36CEE8A8"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42,3</w:t>
            </w:r>
          </w:p>
        </w:tc>
        <w:tc>
          <w:tcPr>
            <w:tcW w:w="160" w:type="dxa"/>
            <w:vAlign w:val="center"/>
            <w:hideMark/>
          </w:tcPr>
          <w:p w14:paraId="3AC053E4" w14:textId="77777777" w:rsidR="00B2095D" w:rsidRPr="00B2095D" w:rsidRDefault="00B2095D" w:rsidP="00B2095D">
            <w:pPr>
              <w:spacing w:after="0" w:line="240" w:lineRule="auto"/>
              <w:rPr>
                <w:rFonts w:ascii="Times New Roman" w:eastAsia="Times New Roman" w:hAnsi="Times New Roman" w:cs="Times New Roman"/>
                <w:sz w:val="20"/>
                <w:szCs w:val="20"/>
                <w:lang w:eastAsia="cs-CZ"/>
              </w:rPr>
            </w:pPr>
          </w:p>
        </w:tc>
      </w:tr>
      <w:tr w:rsidR="00B2095D" w:rsidRPr="00B2095D" w14:paraId="5C4C0ECE" w14:textId="77777777" w:rsidTr="00C44E9D">
        <w:trPr>
          <w:trHeight w:val="260"/>
        </w:trPr>
        <w:tc>
          <w:tcPr>
            <w:tcW w:w="709" w:type="dxa"/>
            <w:vMerge/>
            <w:tcBorders>
              <w:top w:val="nil"/>
              <w:left w:val="single" w:sz="8" w:space="0" w:color="auto"/>
              <w:bottom w:val="single" w:sz="4" w:space="0" w:color="000000"/>
              <w:right w:val="single" w:sz="4" w:space="0" w:color="auto"/>
            </w:tcBorders>
            <w:vAlign w:val="center"/>
            <w:hideMark/>
          </w:tcPr>
          <w:p w14:paraId="00DBD3A4" w14:textId="77777777" w:rsidR="00B2095D" w:rsidRPr="00B2095D" w:rsidRDefault="00B2095D" w:rsidP="00B2095D">
            <w:pPr>
              <w:spacing w:after="0" w:line="240" w:lineRule="auto"/>
              <w:rPr>
                <w:rFonts w:ascii="Calibri" w:eastAsia="Times New Roman" w:hAnsi="Calibri" w:cs="Arial"/>
                <w:i/>
                <w:iCs/>
                <w:sz w:val="20"/>
                <w:szCs w:val="20"/>
                <w:lang w:eastAsia="cs-CZ"/>
              </w:rPr>
            </w:pPr>
          </w:p>
        </w:tc>
        <w:tc>
          <w:tcPr>
            <w:tcW w:w="3538" w:type="dxa"/>
            <w:tcBorders>
              <w:top w:val="nil"/>
              <w:left w:val="nil"/>
              <w:bottom w:val="single" w:sz="4" w:space="0" w:color="auto"/>
              <w:right w:val="nil"/>
            </w:tcBorders>
            <w:shd w:val="clear" w:color="auto" w:fill="auto"/>
            <w:vAlign w:val="center"/>
            <w:hideMark/>
          </w:tcPr>
          <w:p w14:paraId="0C52FB8B" w14:textId="77777777" w:rsidR="00B2095D" w:rsidRPr="00B2095D" w:rsidRDefault="00B2095D" w:rsidP="00B2095D">
            <w:pPr>
              <w:spacing w:after="0" w:line="240" w:lineRule="auto"/>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Středočeský Fond prevence</w:t>
            </w:r>
          </w:p>
        </w:tc>
        <w:tc>
          <w:tcPr>
            <w:tcW w:w="1558" w:type="dxa"/>
            <w:tcBorders>
              <w:top w:val="nil"/>
              <w:left w:val="single" w:sz="8" w:space="0" w:color="auto"/>
              <w:bottom w:val="single" w:sz="4" w:space="0" w:color="auto"/>
              <w:right w:val="single" w:sz="4" w:space="0" w:color="auto"/>
            </w:tcBorders>
            <w:shd w:val="clear" w:color="auto" w:fill="auto"/>
            <w:noWrap/>
            <w:vAlign w:val="bottom"/>
            <w:hideMark/>
          </w:tcPr>
          <w:p w14:paraId="6688C97A"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0</w:t>
            </w:r>
          </w:p>
        </w:tc>
        <w:tc>
          <w:tcPr>
            <w:tcW w:w="1850" w:type="dxa"/>
            <w:tcBorders>
              <w:top w:val="nil"/>
              <w:left w:val="nil"/>
              <w:bottom w:val="single" w:sz="4" w:space="0" w:color="auto"/>
              <w:right w:val="single" w:sz="4" w:space="0" w:color="auto"/>
            </w:tcBorders>
            <w:shd w:val="clear" w:color="auto" w:fill="auto"/>
            <w:noWrap/>
            <w:vAlign w:val="bottom"/>
            <w:hideMark/>
          </w:tcPr>
          <w:p w14:paraId="28A64BB0"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425 611,00</w:t>
            </w:r>
          </w:p>
        </w:tc>
        <w:tc>
          <w:tcPr>
            <w:tcW w:w="1843" w:type="dxa"/>
            <w:tcBorders>
              <w:top w:val="nil"/>
              <w:left w:val="nil"/>
              <w:bottom w:val="single" w:sz="4" w:space="0" w:color="auto"/>
              <w:right w:val="single" w:sz="4" w:space="0" w:color="auto"/>
            </w:tcBorders>
            <w:shd w:val="clear" w:color="auto" w:fill="auto"/>
            <w:noWrap/>
            <w:vAlign w:val="bottom"/>
            <w:hideMark/>
          </w:tcPr>
          <w:p w14:paraId="0EB27290"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425 611,00</w:t>
            </w:r>
          </w:p>
        </w:tc>
        <w:tc>
          <w:tcPr>
            <w:tcW w:w="830" w:type="dxa"/>
            <w:tcBorders>
              <w:top w:val="nil"/>
              <w:left w:val="nil"/>
              <w:bottom w:val="single" w:sz="4" w:space="0" w:color="auto"/>
              <w:right w:val="single" w:sz="8" w:space="0" w:color="auto"/>
            </w:tcBorders>
            <w:shd w:val="clear" w:color="auto" w:fill="auto"/>
            <w:noWrap/>
            <w:vAlign w:val="bottom"/>
            <w:hideMark/>
          </w:tcPr>
          <w:p w14:paraId="6EE1A6B2"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100,0</w:t>
            </w:r>
          </w:p>
        </w:tc>
        <w:tc>
          <w:tcPr>
            <w:tcW w:w="160" w:type="dxa"/>
            <w:vAlign w:val="center"/>
            <w:hideMark/>
          </w:tcPr>
          <w:p w14:paraId="61C4F731" w14:textId="77777777" w:rsidR="00B2095D" w:rsidRPr="00B2095D" w:rsidRDefault="00B2095D" w:rsidP="00B2095D">
            <w:pPr>
              <w:spacing w:after="0" w:line="240" w:lineRule="auto"/>
              <w:rPr>
                <w:rFonts w:ascii="Times New Roman" w:eastAsia="Times New Roman" w:hAnsi="Times New Roman" w:cs="Times New Roman"/>
                <w:sz w:val="20"/>
                <w:szCs w:val="20"/>
                <w:lang w:eastAsia="cs-CZ"/>
              </w:rPr>
            </w:pPr>
          </w:p>
        </w:tc>
      </w:tr>
      <w:tr w:rsidR="00B2095D" w:rsidRPr="00B2095D" w14:paraId="585E4E05" w14:textId="77777777" w:rsidTr="00C44E9D">
        <w:trPr>
          <w:trHeight w:val="300"/>
        </w:trPr>
        <w:tc>
          <w:tcPr>
            <w:tcW w:w="709" w:type="dxa"/>
            <w:vMerge/>
            <w:tcBorders>
              <w:top w:val="nil"/>
              <w:left w:val="single" w:sz="8" w:space="0" w:color="auto"/>
              <w:bottom w:val="single" w:sz="4" w:space="0" w:color="auto"/>
              <w:right w:val="single" w:sz="4" w:space="0" w:color="auto"/>
            </w:tcBorders>
            <w:vAlign w:val="center"/>
            <w:hideMark/>
          </w:tcPr>
          <w:p w14:paraId="6CE0E646" w14:textId="77777777" w:rsidR="00B2095D" w:rsidRPr="00B2095D" w:rsidRDefault="00B2095D" w:rsidP="00B2095D">
            <w:pPr>
              <w:spacing w:after="0" w:line="240" w:lineRule="auto"/>
              <w:rPr>
                <w:rFonts w:ascii="Calibri" w:eastAsia="Times New Roman" w:hAnsi="Calibri" w:cs="Arial"/>
                <w:i/>
                <w:iCs/>
                <w:sz w:val="20"/>
                <w:szCs w:val="20"/>
                <w:lang w:eastAsia="cs-CZ"/>
              </w:rPr>
            </w:pPr>
          </w:p>
        </w:tc>
        <w:tc>
          <w:tcPr>
            <w:tcW w:w="3538" w:type="dxa"/>
            <w:tcBorders>
              <w:top w:val="nil"/>
              <w:left w:val="nil"/>
              <w:bottom w:val="single" w:sz="4" w:space="0" w:color="auto"/>
              <w:right w:val="nil"/>
            </w:tcBorders>
            <w:shd w:val="clear" w:color="auto" w:fill="auto"/>
            <w:vAlign w:val="center"/>
            <w:hideMark/>
          </w:tcPr>
          <w:p w14:paraId="0AEF0BC9" w14:textId="77777777" w:rsidR="00B2095D" w:rsidRPr="00B2095D" w:rsidRDefault="00B2095D" w:rsidP="00B2095D">
            <w:pPr>
              <w:spacing w:after="0" w:line="240" w:lineRule="auto"/>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 xml:space="preserve">Středočeský Fond cyklistické infrastruktury </w:t>
            </w:r>
          </w:p>
        </w:tc>
        <w:tc>
          <w:tcPr>
            <w:tcW w:w="1558" w:type="dxa"/>
            <w:tcBorders>
              <w:top w:val="nil"/>
              <w:left w:val="single" w:sz="8" w:space="0" w:color="auto"/>
              <w:bottom w:val="single" w:sz="4" w:space="0" w:color="auto"/>
              <w:right w:val="single" w:sz="4" w:space="0" w:color="auto"/>
            </w:tcBorders>
            <w:shd w:val="clear" w:color="auto" w:fill="auto"/>
            <w:noWrap/>
            <w:vAlign w:val="bottom"/>
            <w:hideMark/>
          </w:tcPr>
          <w:p w14:paraId="0FA3D758"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0</w:t>
            </w:r>
          </w:p>
        </w:tc>
        <w:tc>
          <w:tcPr>
            <w:tcW w:w="1850" w:type="dxa"/>
            <w:tcBorders>
              <w:top w:val="nil"/>
              <w:left w:val="nil"/>
              <w:bottom w:val="single" w:sz="4" w:space="0" w:color="auto"/>
              <w:right w:val="single" w:sz="4" w:space="0" w:color="auto"/>
            </w:tcBorders>
            <w:shd w:val="clear" w:color="auto" w:fill="auto"/>
            <w:noWrap/>
            <w:vAlign w:val="bottom"/>
            <w:hideMark/>
          </w:tcPr>
          <w:p w14:paraId="1B88FCB9"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7 500 000,00</w:t>
            </w:r>
          </w:p>
        </w:tc>
        <w:tc>
          <w:tcPr>
            <w:tcW w:w="1843" w:type="dxa"/>
            <w:tcBorders>
              <w:top w:val="nil"/>
              <w:left w:val="nil"/>
              <w:bottom w:val="single" w:sz="4" w:space="0" w:color="auto"/>
              <w:right w:val="single" w:sz="4" w:space="0" w:color="auto"/>
            </w:tcBorders>
            <w:shd w:val="clear" w:color="auto" w:fill="auto"/>
            <w:noWrap/>
            <w:vAlign w:val="bottom"/>
            <w:hideMark/>
          </w:tcPr>
          <w:p w14:paraId="7154100F"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4 132 624,00</w:t>
            </w:r>
          </w:p>
        </w:tc>
        <w:tc>
          <w:tcPr>
            <w:tcW w:w="830" w:type="dxa"/>
            <w:tcBorders>
              <w:top w:val="nil"/>
              <w:left w:val="nil"/>
              <w:bottom w:val="single" w:sz="4" w:space="0" w:color="auto"/>
              <w:right w:val="single" w:sz="8" w:space="0" w:color="auto"/>
            </w:tcBorders>
            <w:shd w:val="clear" w:color="auto" w:fill="auto"/>
            <w:noWrap/>
            <w:vAlign w:val="bottom"/>
            <w:hideMark/>
          </w:tcPr>
          <w:p w14:paraId="40F8FAE6" w14:textId="77777777" w:rsidR="00B2095D" w:rsidRPr="00B2095D" w:rsidRDefault="00B2095D" w:rsidP="00B2095D">
            <w:pPr>
              <w:spacing w:after="0" w:line="240" w:lineRule="auto"/>
              <w:jc w:val="right"/>
              <w:rPr>
                <w:rFonts w:ascii="Calibri" w:eastAsia="Times New Roman" w:hAnsi="Calibri" w:cs="Arial"/>
                <w:i/>
                <w:iCs/>
                <w:sz w:val="20"/>
                <w:szCs w:val="20"/>
                <w:lang w:eastAsia="cs-CZ"/>
              </w:rPr>
            </w:pPr>
            <w:r w:rsidRPr="00B2095D">
              <w:rPr>
                <w:rFonts w:ascii="Calibri" w:eastAsia="Times New Roman" w:hAnsi="Calibri" w:cs="Arial"/>
                <w:i/>
                <w:iCs/>
                <w:sz w:val="20"/>
                <w:szCs w:val="20"/>
                <w:lang w:eastAsia="cs-CZ"/>
              </w:rPr>
              <w:t>55,1</w:t>
            </w:r>
          </w:p>
        </w:tc>
        <w:tc>
          <w:tcPr>
            <w:tcW w:w="160" w:type="dxa"/>
            <w:vAlign w:val="center"/>
            <w:hideMark/>
          </w:tcPr>
          <w:p w14:paraId="2ABE0F51" w14:textId="77777777" w:rsidR="00B2095D" w:rsidRPr="00B2095D" w:rsidRDefault="00B2095D" w:rsidP="00B2095D">
            <w:pPr>
              <w:spacing w:after="0" w:line="240" w:lineRule="auto"/>
              <w:rPr>
                <w:rFonts w:ascii="Times New Roman" w:eastAsia="Times New Roman" w:hAnsi="Times New Roman" w:cs="Times New Roman"/>
                <w:sz w:val="20"/>
                <w:szCs w:val="20"/>
                <w:lang w:eastAsia="cs-CZ"/>
              </w:rPr>
            </w:pPr>
          </w:p>
        </w:tc>
      </w:tr>
      <w:tr w:rsidR="00B2095D" w:rsidRPr="00B2095D" w14:paraId="455B8CFF" w14:textId="77777777" w:rsidTr="00C44E9D">
        <w:trPr>
          <w:trHeight w:val="480"/>
        </w:trPr>
        <w:tc>
          <w:tcPr>
            <w:tcW w:w="4247" w:type="dxa"/>
            <w:gridSpan w:val="2"/>
            <w:tcBorders>
              <w:top w:val="single" w:sz="4" w:space="0" w:color="auto"/>
              <w:left w:val="single" w:sz="8" w:space="0" w:color="auto"/>
              <w:bottom w:val="single" w:sz="4" w:space="0" w:color="auto"/>
              <w:right w:val="single" w:sz="8" w:space="0" w:color="000000"/>
            </w:tcBorders>
            <w:shd w:val="clear" w:color="auto" w:fill="auto"/>
            <w:vAlign w:val="center"/>
            <w:hideMark/>
          </w:tcPr>
          <w:p w14:paraId="34E40D7A" w14:textId="77777777" w:rsidR="00B2095D" w:rsidRPr="00B2095D" w:rsidRDefault="00B2095D" w:rsidP="00B2095D">
            <w:pPr>
              <w:spacing w:after="0" w:line="240" w:lineRule="auto"/>
              <w:rPr>
                <w:rFonts w:ascii="Calibri" w:eastAsia="Times New Roman" w:hAnsi="Calibri" w:cs="Arial"/>
                <w:sz w:val="20"/>
                <w:szCs w:val="20"/>
                <w:lang w:eastAsia="cs-CZ"/>
              </w:rPr>
            </w:pPr>
            <w:r w:rsidRPr="00B2095D">
              <w:rPr>
                <w:rFonts w:ascii="Calibri" w:eastAsia="Times New Roman" w:hAnsi="Calibri" w:cs="Arial"/>
                <w:sz w:val="20"/>
                <w:szCs w:val="20"/>
                <w:lang w:eastAsia="cs-CZ"/>
              </w:rPr>
              <w:t>Zesmluvněné dotace na vodohospodářskou infrastrukturu vyplácené prostřednictvím Středočeského Fondu životního prostředí a zemědělství - financované z vybraných poplatků za odebrané množství podzemní vody</w:t>
            </w:r>
          </w:p>
        </w:tc>
        <w:tc>
          <w:tcPr>
            <w:tcW w:w="1558" w:type="dxa"/>
            <w:tcBorders>
              <w:top w:val="nil"/>
              <w:left w:val="nil"/>
              <w:bottom w:val="single" w:sz="4" w:space="0" w:color="auto"/>
              <w:right w:val="single" w:sz="4" w:space="0" w:color="auto"/>
            </w:tcBorders>
            <w:shd w:val="clear" w:color="auto" w:fill="auto"/>
            <w:noWrap/>
            <w:vAlign w:val="bottom"/>
            <w:hideMark/>
          </w:tcPr>
          <w:p w14:paraId="2BE5DE3C" w14:textId="77777777" w:rsidR="00B2095D" w:rsidRPr="00B2095D" w:rsidRDefault="00B2095D" w:rsidP="00B2095D">
            <w:pPr>
              <w:spacing w:after="0" w:line="240" w:lineRule="auto"/>
              <w:jc w:val="right"/>
              <w:rPr>
                <w:rFonts w:ascii="Calibri" w:eastAsia="Times New Roman" w:hAnsi="Calibri" w:cs="Arial"/>
                <w:sz w:val="20"/>
                <w:szCs w:val="20"/>
                <w:lang w:eastAsia="cs-CZ"/>
              </w:rPr>
            </w:pPr>
            <w:r w:rsidRPr="00B2095D">
              <w:rPr>
                <w:rFonts w:ascii="Calibri" w:eastAsia="Times New Roman" w:hAnsi="Calibri" w:cs="Arial"/>
                <w:sz w:val="20"/>
                <w:szCs w:val="20"/>
                <w:lang w:eastAsia="cs-CZ"/>
              </w:rPr>
              <w:t>0</w:t>
            </w:r>
          </w:p>
        </w:tc>
        <w:tc>
          <w:tcPr>
            <w:tcW w:w="1850" w:type="dxa"/>
            <w:tcBorders>
              <w:top w:val="nil"/>
              <w:left w:val="nil"/>
              <w:bottom w:val="single" w:sz="4" w:space="0" w:color="auto"/>
              <w:right w:val="single" w:sz="4" w:space="0" w:color="auto"/>
            </w:tcBorders>
            <w:shd w:val="clear" w:color="auto" w:fill="auto"/>
            <w:noWrap/>
            <w:vAlign w:val="bottom"/>
            <w:hideMark/>
          </w:tcPr>
          <w:p w14:paraId="2C8B6044" w14:textId="77777777" w:rsidR="00B2095D" w:rsidRPr="00B2095D" w:rsidRDefault="00B2095D" w:rsidP="00B2095D">
            <w:pPr>
              <w:spacing w:after="0" w:line="240" w:lineRule="auto"/>
              <w:jc w:val="right"/>
              <w:rPr>
                <w:rFonts w:ascii="Calibri" w:eastAsia="Times New Roman" w:hAnsi="Calibri" w:cs="Arial"/>
                <w:sz w:val="20"/>
                <w:szCs w:val="20"/>
                <w:lang w:eastAsia="cs-CZ"/>
              </w:rPr>
            </w:pPr>
            <w:r w:rsidRPr="00B2095D">
              <w:rPr>
                <w:rFonts w:ascii="Calibri" w:eastAsia="Times New Roman" w:hAnsi="Calibri" w:cs="Arial"/>
                <w:sz w:val="20"/>
                <w:szCs w:val="20"/>
                <w:lang w:eastAsia="cs-CZ"/>
              </w:rPr>
              <w:t>7 897 500,00</w:t>
            </w:r>
          </w:p>
        </w:tc>
        <w:tc>
          <w:tcPr>
            <w:tcW w:w="1843" w:type="dxa"/>
            <w:tcBorders>
              <w:top w:val="nil"/>
              <w:left w:val="nil"/>
              <w:bottom w:val="single" w:sz="4" w:space="0" w:color="auto"/>
              <w:right w:val="single" w:sz="4" w:space="0" w:color="auto"/>
            </w:tcBorders>
            <w:shd w:val="clear" w:color="auto" w:fill="auto"/>
            <w:noWrap/>
            <w:vAlign w:val="bottom"/>
            <w:hideMark/>
          </w:tcPr>
          <w:p w14:paraId="79F8DA94" w14:textId="77777777" w:rsidR="00B2095D" w:rsidRPr="00B2095D" w:rsidRDefault="00B2095D" w:rsidP="00B2095D">
            <w:pPr>
              <w:spacing w:after="0" w:line="240" w:lineRule="auto"/>
              <w:jc w:val="right"/>
              <w:rPr>
                <w:rFonts w:ascii="Calibri" w:eastAsia="Times New Roman" w:hAnsi="Calibri" w:cs="Arial"/>
                <w:sz w:val="20"/>
                <w:szCs w:val="20"/>
                <w:lang w:eastAsia="cs-CZ"/>
              </w:rPr>
            </w:pPr>
            <w:r w:rsidRPr="00B2095D">
              <w:rPr>
                <w:rFonts w:ascii="Calibri" w:eastAsia="Times New Roman" w:hAnsi="Calibri" w:cs="Arial"/>
                <w:sz w:val="20"/>
                <w:szCs w:val="20"/>
                <w:lang w:eastAsia="cs-CZ"/>
              </w:rPr>
              <w:t>6 458 134,00</w:t>
            </w:r>
          </w:p>
        </w:tc>
        <w:tc>
          <w:tcPr>
            <w:tcW w:w="830" w:type="dxa"/>
            <w:tcBorders>
              <w:top w:val="nil"/>
              <w:left w:val="nil"/>
              <w:bottom w:val="single" w:sz="4" w:space="0" w:color="auto"/>
              <w:right w:val="single" w:sz="8" w:space="0" w:color="auto"/>
            </w:tcBorders>
            <w:shd w:val="clear" w:color="auto" w:fill="auto"/>
            <w:noWrap/>
            <w:vAlign w:val="bottom"/>
            <w:hideMark/>
          </w:tcPr>
          <w:p w14:paraId="5AE663B7" w14:textId="77777777" w:rsidR="00B2095D" w:rsidRPr="00B2095D" w:rsidRDefault="00B2095D" w:rsidP="00B2095D">
            <w:pPr>
              <w:spacing w:after="0" w:line="240" w:lineRule="auto"/>
              <w:jc w:val="right"/>
              <w:rPr>
                <w:rFonts w:ascii="Calibri" w:eastAsia="Times New Roman" w:hAnsi="Calibri" w:cs="Arial"/>
                <w:sz w:val="20"/>
                <w:szCs w:val="20"/>
                <w:lang w:eastAsia="cs-CZ"/>
              </w:rPr>
            </w:pPr>
            <w:r w:rsidRPr="00B2095D">
              <w:rPr>
                <w:rFonts w:ascii="Calibri" w:eastAsia="Times New Roman" w:hAnsi="Calibri" w:cs="Arial"/>
                <w:sz w:val="20"/>
                <w:szCs w:val="20"/>
                <w:lang w:eastAsia="cs-CZ"/>
              </w:rPr>
              <w:t>81,8</w:t>
            </w:r>
          </w:p>
        </w:tc>
        <w:tc>
          <w:tcPr>
            <w:tcW w:w="160" w:type="dxa"/>
            <w:vAlign w:val="center"/>
            <w:hideMark/>
          </w:tcPr>
          <w:p w14:paraId="538C3860" w14:textId="77777777" w:rsidR="00B2095D" w:rsidRPr="00B2095D" w:rsidRDefault="00B2095D" w:rsidP="00B2095D">
            <w:pPr>
              <w:spacing w:after="0" w:line="240" w:lineRule="auto"/>
              <w:rPr>
                <w:rFonts w:ascii="Times New Roman" w:eastAsia="Times New Roman" w:hAnsi="Times New Roman" w:cs="Times New Roman"/>
                <w:sz w:val="20"/>
                <w:szCs w:val="20"/>
                <w:lang w:eastAsia="cs-CZ"/>
              </w:rPr>
            </w:pPr>
          </w:p>
        </w:tc>
      </w:tr>
      <w:tr w:rsidR="00B2095D" w:rsidRPr="00B2095D" w14:paraId="44894657" w14:textId="77777777" w:rsidTr="00C44E9D">
        <w:trPr>
          <w:trHeight w:val="403"/>
        </w:trPr>
        <w:tc>
          <w:tcPr>
            <w:tcW w:w="4247" w:type="dxa"/>
            <w:gridSpan w:val="2"/>
            <w:tcBorders>
              <w:top w:val="nil"/>
              <w:left w:val="single" w:sz="8" w:space="0" w:color="auto"/>
              <w:bottom w:val="single" w:sz="4" w:space="0" w:color="auto"/>
              <w:right w:val="nil"/>
            </w:tcBorders>
            <w:shd w:val="clear" w:color="auto" w:fill="auto"/>
            <w:noWrap/>
            <w:vAlign w:val="bottom"/>
            <w:hideMark/>
          </w:tcPr>
          <w:p w14:paraId="643CEF79" w14:textId="77777777" w:rsidR="00B2095D" w:rsidRPr="00B2095D" w:rsidRDefault="00B2095D" w:rsidP="00B2095D">
            <w:pPr>
              <w:spacing w:after="0" w:line="240" w:lineRule="auto"/>
              <w:rPr>
                <w:rFonts w:ascii="Calibri" w:eastAsia="Times New Roman" w:hAnsi="Calibri" w:cs="Arial"/>
                <w:sz w:val="20"/>
                <w:szCs w:val="20"/>
                <w:lang w:eastAsia="cs-CZ"/>
              </w:rPr>
            </w:pPr>
            <w:r w:rsidRPr="00B2095D">
              <w:rPr>
                <w:rFonts w:ascii="Calibri" w:eastAsia="Times New Roman" w:hAnsi="Calibri" w:cs="Arial"/>
                <w:sz w:val="20"/>
                <w:szCs w:val="20"/>
                <w:lang w:eastAsia="cs-CZ"/>
              </w:rPr>
              <w:t>Výdaje na havárie</w:t>
            </w:r>
          </w:p>
        </w:tc>
        <w:tc>
          <w:tcPr>
            <w:tcW w:w="1558" w:type="dxa"/>
            <w:tcBorders>
              <w:top w:val="nil"/>
              <w:left w:val="single" w:sz="8" w:space="0" w:color="auto"/>
              <w:bottom w:val="single" w:sz="4" w:space="0" w:color="auto"/>
              <w:right w:val="single" w:sz="4" w:space="0" w:color="auto"/>
            </w:tcBorders>
            <w:shd w:val="clear" w:color="auto" w:fill="auto"/>
            <w:noWrap/>
            <w:vAlign w:val="bottom"/>
            <w:hideMark/>
          </w:tcPr>
          <w:p w14:paraId="10BBD0D3" w14:textId="77777777" w:rsidR="00B2095D" w:rsidRPr="00B2095D" w:rsidRDefault="00B2095D" w:rsidP="00B2095D">
            <w:pPr>
              <w:spacing w:after="0" w:line="240" w:lineRule="auto"/>
              <w:jc w:val="right"/>
              <w:rPr>
                <w:rFonts w:ascii="Calibri" w:eastAsia="Times New Roman" w:hAnsi="Calibri" w:cs="Arial"/>
                <w:sz w:val="20"/>
                <w:szCs w:val="20"/>
                <w:lang w:eastAsia="cs-CZ"/>
              </w:rPr>
            </w:pPr>
            <w:r w:rsidRPr="00B2095D">
              <w:rPr>
                <w:rFonts w:ascii="Calibri" w:eastAsia="Times New Roman" w:hAnsi="Calibri" w:cs="Arial"/>
                <w:sz w:val="20"/>
                <w:szCs w:val="20"/>
                <w:lang w:eastAsia="cs-CZ"/>
              </w:rPr>
              <w:t>0</w:t>
            </w:r>
          </w:p>
        </w:tc>
        <w:tc>
          <w:tcPr>
            <w:tcW w:w="1850" w:type="dxa"/>
            <w:tcBorders>
              <w:top w:val="nil"/>
              <w:left w:val="nil"/>
              <w:bottom w:val="single" w:sz="4" w:space="0" w:color="auto"/>
              <w:right w:val="single" w:sz="4" w:space="0" w:color="auto"/>
            </w:tcBorders>
            <w:shd w:val="clear" w:color="auto" w:fill="auto"/>
            <w:noWrap/>
            <w:vAlign w:val="bottom"/>
            <w:hideMark/>
          </w:tcPr>
          <w:p w14:paraId="1046D64B" w14:textId="77777777" w:rsidR="00B2095D" w:rsidRPr="00B2095D" w:rsidRDefault="00B2095D" w:rsidP="00B2095D">
            <w:pPr>
              <w:spacing w:after="0" w:line="240" w:lineRule="auto"/>
              <w:jc w:val="right"/>
              <w:rPr>
                <w:rFonts w:ascii="Calibri" w:eastAsia="Times New Roman" w:hAnsi="Calibri" w:cs="Arial"/>
                <w:sz w:val="20"/>
                <w:szCs w:val="20"/>
                <w:lang w:eastAsia="cs-CZ"/>
              </w:rPr>
            </w:pPr>
            <w:r w:rsidRPr="00B2095D">
              <w:rPr>
                <w:rFonts w:ascii="Calibri" w:eastAsia="Times New Roman" w:hAnsi="Calibri" w:cs="Arial"/>
                <w:sz w:val="20"/>
                <w:szCs w:val="20"/>
                <w:lang w:eastAsia="cs-CZ"/>
              </w:rPr>
              <w:t>7 108 738,45</w:t>
            </w:r>
          </w:p>
        </w:tc>
        <w:tc>
          <w:tcPr>
            <w:tcW w:w="1843" w:type="dxa"/>
            <w:tcBorders>
              <w:top w:val="nil"/>
              <w:left w:val="nil"/>
              <w:bottom w:val="single" w:sz="4" w:space="0" w:color="auto"/>
              <w:right w:val="single" w:sz="4" w:space="0" w:color="auto"/>
            </w:tcBorders>
            <w:shd w:val="clear" w:color="auto" w:fill="auto"/>
            <w:noWrap/>
            <w:vAlign w:val="bottom"/>
            <w:hideMark/>
          </w:tcPr>
          <w:p w14:paraId="0897B219" w14:textId="77777777" w:rsidR="00B2095D" w:rsidRPr="00B2095D" w:rsidRDefault="00B2095D" w:rsidP="00B2095D">
            <w:pPr>
              <w:spacing w:after="0" w:line="240" w:lineRule="auto"/>
              <w:jc w:val="right"/>
              <w:rPr>
                <w:rFonts w:ascii="Calibri" w:eastAsia="Times New Roman" w:hAnsi="Calibri" w:cs="Arial"/>
                <w:sz w:val="20"/>
                <w:szCs w:val="20"/>
                <w:lang w:eastAsia="cs-CZ"/>
              </w:rPr>
            </w:pPr>
            <w:r w:rsidRPr="00B2095D">
              <w:rPr>
                <w:rFonts w:ascii="Calibri" w:eastAsia="Times New Roman" w:hAnsi="Calibri" w:cs="Arial"/>
                <w:sz w:val="20"/>
                <w:szCs w:val="20"/>
                <w:lang w:eastAsia="cs-CZ"/>
              </w:rPr>
              <w:t>98 010,00</w:t>
            </w:r>
          </w:p>
        </w:tc>
        <w:tc>
          <w:tcPr>
            <w:tcW w:w="830" w:type="dxa"/>
            <w:tcBorders>
              <w:top w:val="nil"/>
              <w:left w:val="nil"/>
              <w:bottom w:val="single" w:sz="4" w:space="0" w:color="auto"/>
              <w:right w:val="single" w:sz="8" w:space="0" w:color="auto"/>
            </w:tcBorders>
            <w:shd w:val="clear" w:color="auto" w:fill="auto"/>
            <w:noWrap/>
            <w:vAlign w:val="bottom"/>
            <w:hideMark/>
          </w:tcPr>
          <w:p w14:paraId="3E981B0F" w14:textId="77777777" w:rsidR="00B2095D" w:rsidRPr="00B2095D" w:rsidRDefault="00B2095D" w:rsidP="00B2095D">
            <w:pPr>
              <w:spacing w:after="0" w:line="240" w:lineRule="auto"/>
              <w:jc w:val="right"/>
              <w:rPr>
                <w:rFonts w:ascii="Calibri" w:eastAsia="Times New Roman" w:hAnsi="Calibri" w:cs="Arial"/>
                <w:sz w:val="20"/>
                <w:szCs w:val="20"/>
                <w:lang w:eastAsia="cs-CZ"/>
              </w:rPr>
            </w:pPr>
            <w:r w:rsidRPr="00B2095D">
              <w:rPr>
                <w:rFonts w:ascii="Calibri" w:eastAsia="Times New Roman" w:hAnsi="Calibri" w:cs="Arial"/>
                <w:sz w:val="20"/>
                <w:szCs w:val="20"/>
                <w:lang w:eastAsia="cs-CZ"/>
              </w:rPr>
              <w:t>1,4</w:t>
            </w:r>
          </w:p>
        </w:tc>
        <w:tc>
          <w:tcPr>
            <w:tcW w:w="160" w:type="dxa"/>
            <w:vAlign w:val="center"/>
            <w:hideMark/>
          </w:tcPr>
          <w:p w14:paraId="6C52EE35" w14:textId="77777777" w:rsidR="00B2095D" w:rsidRPr="00B2095D" w:rsidRDefault="00B2095D" w:rsidP="00B2095D">
            <w:pPr>
              <w:spacing w:after="0" w:line="240" w:lineRule="auto"/>
              <w:rPr>
                <w:rFonts w:ascii="Times New Roman" w:eastAsia="Times New Roman" w:hAnsi="Times New Roman" w:cs="Times New Roman"/>
                <w:sz w:val="20"/>
                <w:szCs w:val="20"/>
                <w:lang w:eastAsia="cs-CZ"/>
              </w:rPr>
            </w:pPr>
          </w:p>
        </w:tc>
      </w:tr>
      <w:tr w:rsidR="00B2095D" w:rsidRPr="00B2095D" w14:paraId="39A6F526" w14:textId="77777777" w:rsidTr="00C44E9D">
        <w:trPr>
          <w:trHeight w:val="615"/>
        </w:trPr>
        <w:tc>
          <w:tcPr>
            <w:tcW w:w="4247" w:type="dxa"/>
            <w:gridSpan w:val="2"/>
            <w:tcBorders>
              <w:top w:val="single" w:sz="4" w:space="0" w:color="auto"/>
              <w:left w:val="single" w:sz="8" w:space="0" w:color="auto"/>
              <w:bottom w:val="single" w:sz="4" w:space="0" w:color="auto"/>
              <w:right w:val="nil"/>
            </w:tcBorders>
            <w:shd w:val="clear" w:color="auto" w:fill="auto"/>
            <w:vAlign w:val="bottom"/>
            <w:hideMark/>
          </w:tcPr>
          <w:p w14:paraId="615C3E69" w14:textId="77777777" w:rsidR="00B2095D" w:rsidRPr="00B2095D" w:rsidRDefault="00B2095D" w:rsidP="00B2095D">
            <w:pPr>
              <w:spacing w:after="0" w:line="240" w:lineRule="auto"/>
              <w:rPr>
                <w:rFonts w:ascii="Calibri" w:eastAsia="Times New Roman" w:hAnsi="Calibri" w:cs="Arial"/>
                <w:sz w:val="20"/>
                <w:szCs w:val="20"/>
                <w:lang w:eastAsia="cs-CZ"/>
              </w:rPr>
            </w:pPr>
            <w:r w:rsidRPr="00B2095D">
              <w:rPr>
                <w:rFonts w:ascii="Calibri" w:eastAsia="Times New Roman" w:hAnsi="Calibri" w:cs="Arial"/>
                <w:sz w:val="20"/>
                <w:szCs w:val="20"/>
                <w:lang w:eastAsia="cs-CZ"/>
              </w:rPr>
              <w:t>Výdaje na reprodukci majetku příspěvkových organizací (financované z vybraných příjmů z pronájmu)</w:t>
            </w:r>
          </w:p>
        </w:tc>
        <w:tc>
          <w:tcPr>
            <w:tcW w:w="1558" w:type="dxa"/>
            <w:tcBorders>
              <w:top w:val="nil"/>
              <w:left w:val="single" w:sz="8" w:space="0" w:color="auto"/>
              <w:bottom w:val="single" w:sz="4" w:space="0" w:color="auto"/>
              <w:right w:val="single" w:sz="4" w:space="0" w:color="auto"/>
            </w:tcBorders>
            <w:shd w:val="clear" w:color="auto" w:fill="auto"/>
            <w:noWrap/>
            <w:vAlign w:val="bottom"/>
            <w:hideMark/>
          </w:tcPr>
          <w:p w14:paraId="2AD334F0" w14:textId="77777777" w:rsidR="00B2095D" w:rsidRPr="00B2095D" w:rsidRDefault="00B2095D" w:rsidP="00B2095D">
            <w:pPr>
              <w:spacing w:after="0" w:line="240" w:lineRule="auto"/>
              <w:jc w:val="right"/>
              <w:rPr>
                <w:rFonts w:ascii="Calibri" w:eastAsia="Times New Roman" w:hAnsi="Calibri" w:cs="Arial"/>
                <w:sz w:val="20"/>
                <w:szCs w:val="20"/>
                <w:lang w:eastAsia="cs-CZ"/>
              </w:rPr>
            </w:pPr>
            <w:r w:rsidRPr="00B2095D">
              <w:rPr>
                <w:rFonts w:ascii="Calibri" w:eastAsia="Times New Roman" w:hAnsi="Calibri" w:cs="Arial"/>
                <w:sz w:val="20"/>
                <w:szCs w:val="20"/>
                <w:lang w:eastAsia="cs-CZ"/>
              </w:rPr>
              <w:t>0</w:t>
            </w:r>
          </w:p>
        </w:tc>
        <w:tc>
          <w:tcPr>
            <w:tcW w:w="1850" w:type="dxa"/>
            <w:tcBorders>
              <w:top w:val="nil"/>
              <w:left w:val="nil"/>
              <w:bottom w:val="single" w:sz="4" w:space="0" w:color="auto"/>
              <w:right w:val="single" w:sz="4" w:space="0" w:color="auto"/>
            </w:tcBorders>
            <w:shd w:val="clear" w:color="auto" w:fill="auto"/>
            <w:noWrap/>
            <w:vAlign w:val="bottom"/>
            <w:hideMark/>
          </w:tcPr>
          <w:p w14:paraId="03A29928" w14:textId="77777777" w:rsidR="00B2095D" w:rsidRPr="00B2095D" w:rsidRDefault="00B2095D" w:rsidP="00B2095D">
            <w:pPr>
              <w:spacing w:after="0" w:line="240" w:lineRule="auto"/>
              <w:jc w:val="right"/>
              <w:rPr>
                <w:rFonts w:ascii="Calibri" w:eastAsia="Times New Roman" w:hAnsi="Calibri" w:cs="Arial"/>
                <w:sz w:val="20"/>
                <w:szCs w:val="20"/>
                <w:lang w:eastAsia="cs-CZ"/>
              </w:rPr>
            </w:pPr>
            <w:r w:rsidRPr="00B2095D">
              <w:rPr>
                <w:rFonts w:ascii="Calibri" w:eastAsia="Times New Roman" w:hAnsi="Calibri" w:cs="Arial"/>
                <w:sz w:val="20"/>
                <w:szCs w:val="20"/>
                <w:lang w:eastAsia="cs-CZ"/>
              </w:rPr>
              <w:t>5 391 487,00</w:t>
            </w:r>
          </w:p>
        </w:tc>
        <w:tc>
          <w:tcPr>
            <w:tcW w:w="1843" w:type="dxa"/>
            <w:tcBorders>
              <w:top w:val="nil"/>
              <w:left w:val="nil"/>
              <w:bottom w:val="single" w:sz="4" w:space="0" w:color="auto"/>
              <w:right w:val="single" w:sz="4" w:space="0" w:color="auto"/>
            </w:tcBorders>
            <w:shd w:val="clear" w:color="auto" w:fill="auto"/>
            <w:noWrap/>
            <w:vAlign w:val="bottom"/>
            <w:hideMark/>
          </w:tcPr>
          <w:p w14:paraId="0FDA4F54" w14:textId="77777777" w:rsidR="00B2095D" w:rsidRPr="00B2095D" w:rsidRDefault="00B2095D" w:rsidP="00B2095D">
            <w:pPr>
              <w:spacing w:after="0" w:line="240" w:lineRule="auto"/>
              <w:jc w:val="right"/>
              <w:rPr>
                <w:rFonts w:ascii="Calibri" w:eastAsia="Times New Roman" w:hAnsi="Calibri" w:cs="Arial"/>
                <w:sz w:val="20"/>
                <w:szCs w:val="20"/>
                <w:lang w:eastAsia="cs-CZ"/>
              </w:rPr>
            </w:pPr>
            <w:r w:rsidRPr="00B2095D">
              <w:rPr>
                <w:rFonts w:ascii="Calibri" w:eastAsia="Times New Roman" w:hAnsi="Calibri" w:cs="Arial"/>
                <w:sz w:val="20"/>
                <w:szCs w:val="20"/>
                <w:lang w:eastAsia="cs-CZ"/>
              </w:rPr>
              <w:t>5 331 411,90</w:t>
            </w:r>
          </w:p>
        </w:tc>
        <w:tc>
          <w:tcPr>
            <w:tcW w:w="830" w:type="dxa"/>
            <w:tcBorders>
              <w:top w:val="nil"/>
              <w:left w:val="nil"/>
              <w:bottom w:val="single" w:sz="4" w:space="0" w:color="auto"/>
              <w:right w:val="single" w:sz="8" w:space="0" w:color="auto"/>
            </w:tcBorders>
            <w:shd w:val="clear" w:color="auto" w:fill="auto"/>
            <w:noWrap/>
            <w:vAlign w:val="bottom"/>
            <w:hideMark/>
          </w:tcPr>
          <w:p w14:paraId="4521FB0B" w14:textId="77777777" w:rsidR="00B2095D" w:rsidRPr="00B2095D" w:rsidRDefault="00B2095D" w:rsidP="00B2095D">
            <w:pPr>
              <w:spacing w:after="0" w:line="240" w:lineRule="auto"/>
              <w:jc w:val="right"/>
              <w:rPr>
                <w:rFonts w:ascii="Calibri" w:eastAsia="Times New Roman" w:hAnsi="Calibri" w:cs="Arial"/>
                <w:sz w:val="20"/>
                <w:szCs w:val="20"/>
                <w:lang w:eastAsia="cs-CZ"/>
              </w:rPr>
            </w:pPr>
            <w:r w:rsidRPr="00B2095D">
              <w:rPr>
                <w:rFonts w:ascii="Calibri" w:eastAsia="Times New Roman" w:hAnsi="Calibri" w:cs="Arial"/>
                <w:sz w:val="20"/>
                <w:szCs w:val="20"/>
                <w:lang w:eastAsia="cs-CZ"/>
              </w:rPr>
              <w:t>98,9</w:t>
            </w:r>
          </w:p>
        </w:tc>
        <w:tc>
          <w:tcPr>
            <w:tcW w:w="160" w:type="dxa"/>
            <w:vAlign w:val="center"/>
            <w:hideMark/>
          </w:tcPr>
          <w:p w14:paraId="43A8B14F" w14:textId="77777777" w:rsidR="00B2095D" w:rsidRPr="00B2095D" w:rsidRDefault="00B2095D" w:rsidP="00B2095D">
            <w:pPr>
              <w:spacing w:after="0" w:line="240" w:lineRule="auto"/>
              <w:rPr>
                <w:rFonts w:ascii="Times New Roman" w:eastAsia="Times New Roman" w:hAnsi="Times New Roman" w:cs="Times New Roman"/>
                <w:sz w:val="20"/>
                <w:szCs w:val="20"/>
                <w:lang w:eastAsia="cs-CZ"/>
              </w:rPr>
            </w:pPr>
          </w:p>
        </w:tc>
      </w:tr>
      <w:tr w:rsidR="00B2095D" w:rsidRPr="00B2095D" w14:paraId="481ABD3D" w14:textId="77777777" w:rsidTr="00C44E9D">
        <w:trPr>
          <w:trHeight w:val="403"/>
        </w:trPr>
        <w:tc>
          <w:tcPr>
            <w:tcW w:w="4247" w:type="dxa"/>
            <w:gridSpan w:val="2"/>
            <w:tcBorders>
              <w:top w:val="single" w:sz="4" w:space="0" w:color="auto"/>
              <w:left w:val="single" w:sz="8" w:space="0" w:color="auto"/>
              <w:bottom w:val="single" w:sz="4" w:space="0" w:color="auto"/>
              <w:right w:val="single" w:sz="8" w:space="0" w:color="000000"/>
            </w:tcBorders>
            <w:shd w:val="clear" w:color="auto" w:fill="auto"/>
            <w:vAlign w:val="bottom"/>
            <w:hideMark/>
          </w:tcPr>
          <w:p w14:paraId="5517774A" w14:textId="77777777" w:rsidR="00B2095D" w:rsidRPr="00B2095D" w:rsidRDefault="00B2095D" w:rsidP="00B2095D">
            <w:pPr>
              <w:spacing w:after="0" w:line="240" w:lineRule="auto"/>
              <w:rPr>
                <w:rFonts w:ascii="Calibri" w:eastAsia="Times New Roman" w:hAnsi="Calibri" w:cs="Arial"/>
                <w:sz w:val="20"/>
                <w:szCs w:val="20"/>
                <w:lang w:eastAsia="cs-CZ"/>
              </w:rPr>
            </w:pPr>
            <w:r w:rsidRPr="00B2095D">
              <w:rPr>
                <w:rFonts w:ascii="Calibri" w:eastAsia="Times New Roman" w:hAnsi="Calibri" w:cs="Arial"/>
                <w:sz w:val="20"/>
                <w:szCs w:val="20"/>
                <w:lang w:eastAsia="cs-CZ"/>
              </w:rPr>
              <w:t>Kapitálové (investiční) výdaje - jednotlivé kapitoly (bez prostředků na krytí Zásobníku investic)</w:t>
            </w:r>
          </w:p>
        </w:tc>
        <w:tc>
          <w:tcPr>
            <w:tcW w:w="1558" w:type="dxa"/>
            <w:tcBorders>
              <w:top w:val="nil"/>
              <w:left w:val="nil"/>
              <w:bottom w:val="single" w:sz="4" w:space="0" w:color="auto"/>
              <w:right w:val="single" w:sz="4" w:space="0" w:color="auto"/>
            </w:tcBorders>
            <w:shd w:val="clear" w:color="auto" w:fill="auto"/>
            <w:noWrap/>
            <w:vAlign w:val="bottom"/>
            <w:hideMark/>
          </w:tcPr>
          <w:p w14:paraId="00482C7A" w14:textId="77777777" w:rsidR="00B2095D" w:rsidRPr="00B2095D" w:rsidRDefault="00B2095D" w:rsidP="00B2095D">
            <w:pPr>
              <w:spacing w:after="0" w:line="240" w:lineRule="auto"/>
              <w:jc w:val="right"/>
              <w:rPr>
                <w:rFonts w:ascii="Calibri" w:eastAsia="Times New Roman" w:hAnsi="Calibri" w:cs="Arial"/>
                <w:sz w:val="20"/>
                <w:szCs w:val="20"/>
                <w:lang w:eastAsia="cs-CZ"/>
              </w:rPr>
            </w:pPr>
            <w:r w:rsidRPr="00B2095D">
              <w:rPr>
                <w:rFonts w:ascii="Calibri" w:eastAsia="Times New Roman" w:hAnsi="Calibri" w:cs="Arial"/>
                <w:sz w:val="20"/>
                <w:szCs w:val="20"/>
                <w:lang w:eastAsia="cs-CZ"/>
              </w:rPr>
              <w:t>0</w:t>
            </w:r>
          </w:p>
        </w:tc>
        <w:tc>
          <w:tcPr>
            <w:tcW w:w="1850" w:type="dxa"/>
            <w:tcBorders>
              <w:top w:val="nil"/>
              <w:left w:val="nil"/>
              <w:bottom w:val="single" w:sz="4" w:space="0" w:color="auto"/>
              <w:right w:val="single" w:sz="4" w:space="0" w:color="auto"/>
            </w:tcBorders>
            <w:shd w:val="clear" w:color="auto" w:fill="auto"/>
            <w:noWrap/>
            <w:vAlign w:val="bottom"/>
            <w:hideMark/>
          </w:tcPr>
          <w:p w14:paraId="6BDEE895" w14:textId="77777777" w:rsidR="00B2095D" w:rsidRPr="00B2095D" w:rsidRDefault="00B2095D" w:rsidP="00B2095D">
            <w:pPr>
              <w:spacing w:after="0" w:line="240" w:lineRule="auto"/>
              <w:jc w:val="right"/>
              <w:rPr>
                <w:rFonts w:ascii="Calibri" w:eastAsia="Times New Roman" w:hAnsi="Calibri" w:cs="Arial"/>
                <w:sz w:val="20"/>
                <w:szCs w:val="20"/>
                <w:lang w:eastAsia="cs-CZ"/>
              </w:rPr>
            </w:pPr>
            <w:r w:rsidRPr="00B2095D">
              <w:rPr>
                <w:rFonts w:ascii="Calibri" w:eastAsia="Times New Roman" w:hAnsi="Calibri" w:cs="Arial"/>
                <w:sz w:val="20"/>
                <w:szCs w:val="20"/>
                <w:lang w:eastAsia="cs-CZ"/>
              </w:rPr>
              <w:t>182 082 393,43</w:t>
            </w:r>
          </w:p>
        </w:tc>
        <w:tc>
          <w:tcPr>
            <w:tcW w:w="1843" w:type="dxa"/>
            <w:tcBorders>
              <w:top w:val="nil"/>
              <w:left w:val="nil"/>
              <w:bottom w:val="single" w:sz="4" w:space="0" w:color="auto"/>
              <w:right w:val="single" w:sz="4" w:space="0" w:color="auto"/>
            </w:tcBorders>
            <w:shd w:val="clear" w:color="auto" w:fill="auto"/>
            <w:noWrap/>
            <w:vAlign w:val="bottom"/>
            <w:hideMark/>
          </w:tcPr>
          <w:p w14:paraId="618D9909" w14:textId="77777777" w:rsidR="00B2095D" w:rsidRPr="00B2095D" w:rsidRDefault="00B2095D" w:rsidP="00B2095D">
            <w:pPr>
              <w:spacing w:after="0" w:line="240" w:lineRule="auto"/>
              <w:jc w:val="right"/>
              <w:rPr>
                <w:rFonts w:ascii="Calibri" w:eastAsia="Times New Roman" w:hAnsi="Calibri" w:cs="Arial"/>
                <w:sz w:val="20"/>
                <w:szCs w:val="20"/>
                <w:lang w:eastAsia="cs-CZ"/>
              </w:rPr>
            </w:pPr>
            <w:r w:rsidRPr="00B2095D">
              <w:rPr>
                <w:rFonts w:ascii="Calibri" w:eastAsia="Times New Roman" w:hAnsi="Calibri" w:cs="Arial"/>
                <w:sz w:val="20"/>
                <w:szCs w:val="20"/>
                <w:lang w:eastAsia="cs-CZ"/>
              </w:rPr>
              <w:t>160 137 896,19</w:t>
            </w:r>
          </w:p>
        </w:tc>
        <w:tc>
          <w:tcPr>
            <w:tcW w:w="830" w:type="dxa"/>
            <w:tcBorders>
              <w:top w:val="nil"/>
              <w:left w:val="nil"/>
              <w:bottom w:val="single" w:sz="4" w:space="0" w:color="auto"/>
              <w:right w:val="single" w:sz="8" w:space="0" w:color="auto"/>
            </w:tcBorders>
            <w:shd w:val="clear" w:color="auto" w:fill="auto"/>
            <w:noWrap/>
            <w:vAlign w:val="bottom"/>
            <w:hideMark/>
          </w:tcPr>
          <w:p w14:paraId="1034CEB5" w14:textId="77777777" w:rsidR="00B2095D" w:rsidRPr="00B2095D" w:rsidRDefault="00B2095D" w:rsidP="00B2095D">
            <w:pPr>
              <w:spacing w:after="0" w:line="240" w:lineRule="auto"/>
              <w:jc w:val="right"/>
              <w:rPr>
                <w:rFonts w:ascii="Calibri" w:eastAsia="Times New Roman" w:hAnsi="Calibri" w:cs="Arial"/>
                <w:sz w:val="20"/>
                <w:szCs w:val="20"/>
                <w:lang w:eastAsia="cs-CZ"/>
              </w:rPr>
            </w:pPr>
            <w:r w:rsidRPr="00B2095D">
              <w:rPr>
                <w:rFonts w:ascii="Calibri" w:eastAsia="Times New Roman" w:hAnsi="Calibri" w:cs="Arial"/>
                <w:sz w:val="20"/>
                <w:szCs w:val="20"/>
                <w:lang w:eastAsia="cs-CZ"/>
              </w:rPr>
              <w:t>87,9</w:t>
            </w:r>
          </w:p>
        </w:tc>
        <w:tc>
          <w:tcPr>
            <w:tcW w:w="160" w:type="dxa"/>
            <w:vAlign w:val="center"/>
            <w:hideMark/>
          </w:tcPr>
          <w:p w14:paraId="54EAA076" w14:textId="77777777" w:rsidR="00B2095D" w:rsidRPr="00B2095D" w:rsidRDefault="00B2095D" w:rsidP="00B2095D">
            <w:pPr>
              <w:spacing w:after="0" w:line="240" w:lineRule="auto"/>
              <w:rPr>
                <w:rFonts w:ascii="Times New Roman" w:eastAsia="Times New Roman" w:hAnsi="Times New Roman" w:cs="Times New Roman"/>
                <w:sz w:val="20"/>
                <w:szCs w:val="20"/>
                <w:lang w:eastAsia="cs-CZ"/>
              </w:rPr>
            </w:pPr>
          </w:p>
        </w:tc>
      </w:tr>
      <w:tr w:rsidR="00B2095D" w:rsidRPr="00B2095D" w14:paraId="2C76F42F" w14:textId="77777777" w:rsidTr="00C44E9D">
        <w:trPr>
          <w:trHeight w:val="403"/>
        </w:trPr>
        <w:tc>
          <w:tcPr>
            <w:tcW w:w="4247" w:type="dxa"/>
            <w:gridSpan w:val="2"/>
            <w:tcBorders>
              <w:top w:val="single" w:sz="4" w:space="0" w:color="auto"/>
              <w:left w:val="single" w:sz="8" w:space="0" w:color="auto"/>
              <w:bottom w:val="single" w:sz="4" w:space="0" w:color="auto"/>
              <w:right w:val="single" w:sz="8" w:space="0" w:color="000000"/>
            </w:tcBorders>
            <w:shd w:val="clear" w:color="auto" w:fill="auto"/>
            <w:vAlign w:val="bottom"/>
            <w:hideMark/>
          </w:tcPr>
          <w:p w14:paraId="44DA95FE" w14:textId="77777777" w:rsidR="00B2095D" w:rsidRPr="00B2095D" w:rsidRDefault="00B2095D" w:rsidP="00B2095D">
            <w:pPr>
              <w:spacing w:after="0" w:line="240" w:lineRule="auto"/>
              <w:rPr>
                <w:rFonts w:ascii="Calibri" w:eastAsia="Times New Roman" w:hAnsi="Calibri" w:cs="Arial"/>
                <w:sz w:val="20"/>
                <w:szCs w:val="20"/>
                <w:lang w:eastAsia="cs-CZ"/>
              </w:rPr>
            </w:pPr>
            <w:r w:rsidRPr="00B2095D">
              <w:rPr>
                <w:rFonts w:ascii="Calibri" w:eastAsia="Times New Roman" w:hAnsi="Calibri" w:cs="Arial"/>
                <w:sz w:val="20"/>
                <w:szCs w:val="20"/>
                <w:lang w:eastAsia="cs-CZ"/>
              </w:rPr>
              <w:lastRenderedPageBreak/>
              <w:t>Kapitálové (investiční) výdaje na kapitole 23 - Ostatní (prostředky na krytí Zásobníku investic)</w:t>
            </w:r>
          </w:p>
        </w:tc>
        <w:tc>
          <w:tcPr>
            <w:tcW w:w="1558" w:type="dxa"/>
            <w:tcBorders>
              <w:top w:val="nil"/>
              <w:left w:val="nil"/>
              <w:bottom w:val="single" w:sz="4" w:space="0" w:color="auto"/>
              <w:right w:val="single" w:sz="4" w:space="0" w:color="auto"/>
            </w:tcBorders>
            <w:shd w:val="clear" w:color="auto" w:fill="auto"/>
            <w:noWrap/>
            <w:vAlign w:val="bottom"/>
            <w:hideMark/>
          </w:tcPr>
          <w:p w14:paraId="10B8FA08" w14:textId="77777777" w:rsidR="00B2095D" w:rsidRPr="00B2095D" w:rsidRDefault="00B2095D" w:rsidP="00B2095D">
            <w:pPr>
              <w:spacing w:after="0" w:line="240" w:lineRule="auto"/>
              <w:jc w:val="right"/>
              <w:rPr>
                <w:rFonts w:ascii="Calibri" w:eastAsia="Times New Roman" w:hAnsi="Calibri" w:cs="Arial"/>
                <w:sz w:val="20"/>
                <w:szCs w:val="20"/>
                <w:lang w:eastAsia="cs-CZ"/>
              </w:rPr>
            </w:pPr>
            <w:r w:rsidRPr="00B2095D">
              <w:rPr>
                <w:rFonts w:ascii="Calibri" w:eastAsia="Times New Roman" w:hAnsi="Calibri" w:cs="Arial"/>
                <w:sz w:val="20"/>
                <w:szCs w:val="20"/>
                <w:lang w:eastAsia="cs-CZ"/>
              </w:rPr>
              <w:t>0</w:t>
            </w:r>
          </w:p>
        </w:tc>
        <w:tc>
          <w:tcPr>
            <w:tcW w:w="1850" w:type="dxa"/>
            <w:tcBorders>
              <w:top w:val="nil"/>
              <w:left w:val="nil"/>
              <w:bottom w:val="single" w:sz="4" w:space="0" w:color="auto"/>
              <w:right w:val="single" w:sz="4" w:space="0" w:color="auto"/>
            </w:tcBorders>
            <w:shd w:val="clear" w:color="auto" w:fill="auto"/>
            <w:noWrap/>
            <w:vAlign w:val="bottom"/>
            <w:hideMark/>
          </w:tcPr>
          <w:p w14:paraId="235CC6B2" w14:textId="77777777" w:rsidR="00B2095D" w:rsidRPr="00B2095D" w:rsidRDefault="00B2095D" w:rsidP="00B2095D">
            <w:pPr>
              <w:spacing w:after="0" w:line="240" w:lineRule="auto"/>
              <w:jc w:val="right"/>
              <w:rPr>
                <w:rFonts w:ascii="Calibri" w:eastAsia="Times New Roman" w:hAnsi="Calibri" w:cs="Arial"/>
                <w:sz w:val="20"/>
                <w:szCs w:val="20"/>
                <w:lang w:eastAsia="cs-CZ"/>
              </w:rPr>
            </w:pPr>
            <w:r w:rsidRPr="00B2095D">
              <w:rPr>
                <w:rFonts w:ascii="Calibri" w:eastAsia="Times New Roman" w:hAnsi="Calibri" w:cs="Arial"/>
                <w:sz w:val="20"/>
                <w:szCs w:val="20"/>
                <w:lang w:eastAsia="cs-CZ"/>
              </w:rPr>
              <w:t>0,00</w:t>
            </w:r>
          </w:p>
        </w:tc>
        <w:tc>
          <w:tcPr>
            <w:tcW w:w="1843" w:type="dxa"/>
            <w:tcBorders>
              <w:top w:val="nil"/>
              <w:left w:val="nil"/>
              <w:bottom w:val="single" w:sz="4" w:space="0" w:color="auto"/>
              <w:right w:val="single" w:sz="4" w:space="0" w:color="auto"/>
            </w:tcBorders>
            <w:shd w:val="clear" w:color="auto" w:fill="auto"/>
            <w:noWrap/>
            <w:vAlign w:val="bottom"/>
            <w:hideMark/>
          </w:tcPr>
          <w:p w14:paraId="393F6093" w14:textId="77777777" w:rsidR="00B2095D" w:rsidRPr="00B2095D" w:rsidRDefault="00B2095D" w:rsidP="00B2095D">
            <w:pPr>
              <w:spacing w:after="0" w:line="240" w:lineRule="auto"/>
              <w:jc w:val="right"/>
              <w:rPr>
                <w:rFonts w:ascii="Calibri" w:eastAsia="Times New Roman" w:hAnsi="Calibri" w:cs="Arial"/>
                <w:sz w:val="20"/>
                <w:szCs w:val="20"/>
                <w:lang w:eastAsia="cs-CZ"/>
              </w:rPr>
            </w:pPr>
            <w:r w:rsidRPr="00B2095D">
              <w:rPr>
                <w:rFonts w:ascii="Calibri" w:eastAsia="Times New Roman" w:hAnsi="Calibri" w:cs="Arial"/>
                <w:sz w:val="20"/>
                <w:szCs w:val="20"/>
                <w:lang w:eastAsia="cs-CZ"/>
              </w:rPr>
              <w:t>0,00</w:t>
            </w:r>
          </w:p>
        </w:tc>
        <w:tc>
          <w:tcPr>
            <w:tcW w:w="830" w:type="dxa"/>
            <w:tcBorders>
              <w:top w:val="nil"/>
              <w:left w:val="nil"/>
              <w:bottom w:val="single" w:sz="4" w:space="0" w:color="auto"/>
              <w:right w:val="single" w:sz="8" w:space="0" w:color="auto"/>
            </w:tcBorders>
            <w:shd w:val="clear" w:color="auto" w:fill="auto"/>
            <w:noWrap/>
            <w:vAlign w:val="center"/>
            <w:hideMark/>
          </w:tcPr>
          <w:p w14:paraId="4F68ACEF" w14:textId="77777777" w:rsidR="00B2095D" w:rsidRPr="00B2095D" w:rsidRDefault="00B2095D" w:rsidP="00B2095D">
            <w:pPr>
              <w:spacing w:after="0" w:line="240" w:lineRule="auto"/>
              <w:jc w:val="right"/>
              <w:rPr>
                <w:rFonts w:ascii="Calibri" w:eastAsia="Times New Roman" w:hAnsi="Calibri" w:cs="Arial"/>
                <w:sz w:val="20"/>
                <w:szCs w:val="20"/>
                <w:lang w:eastAsia="cs-CZ"/>
              </w:rPr>
            </w:pPr>
            <w:r w:rsidRPr="00B2095D">
              <w:rPr>
                <w:rFonts w:ascii="Calibri" w:eastAsia="Times New Roman" w:hAnsi="Calibri" w:cs="Arial"/>
                <w:sz w:val="20"/>
                <w:szCs w:val="20"/>
                <w:lang w:eastAsia="cs-CZ"/>
              </w:rPr>
              <w:t>-</w:t>
            </w:r>
          </w:p>
        </w:tc>
        <w:tc>
          <w:tcPr>
            <w:tcW w:w="160" w:type="dxa"/>
            <w:vAlign w:val="center"/>
            <w:hideMark/>
          </w:tcPr>
          <w:p w14:paraId="7DBF3C3D" w14:textId="77777777" w:rsidR="00B2095D" w:rsidRPr="00B2095D" w:rsidRDefault="00B2095D" w:rsidP="00B2095D">
            <w:pPr>
              <w:spacing w:after="0" w:line="240" w:lineRule="auto"/>
              <w:rPr>
                <w:rFonts w:ascii="Times New Roman" w:eastAsia="Times New Roman" w:hAnsi="Times New Roman" w:cs="Times New Roman"/>
                <w:sz w:val="20"/>
                <w:szCs w:val="20"/>
                <w:lang w:eastAsia="cs-CZ"/>
              </w:rPr>
            </w:pPr>
          </w:p>
        </w:tc>
      </w:tr>
      <w:tr w:rsidR="00B2095D" w:rsidRPr="00B2095D" w14:paraId="31A78B6C" w14:textId="77777777" w:rsidTr="00C44E9D">
        <w:trPr>
          <w:trHeight w:val="615"/>
        </w:trPr>
        <w:tc>
          <w:tcPr>
            <w:tcW w:w="4247" w:type="dxa"/>
            <w:gridSpan w:val="2"/>
            <w:tcBorders>
              <w:top w:val="single" w:sz="4" w:space="0" w:color="auto"/>
              <w:left w:val="single" w:sz="8" w:space="0" w:color="auto"/>
              <w:bottom w:val="single" w:sz="4" w:space="0" w:color="auto"/>
              <w:right w:val="single" w:sz="8" w:space="0" w:color="000000"/>
            </w:tcBorders>
            <w:shd w:val="clear" w:color="auto" w:fill="auto"/>
            <w:vAlign w:val="bottom"/>
            <w:hideMark/>
          </w:tcPr>
          <w:p w14:paraId="6A828B02" w14:textId="77777777" w:rsidR="00B2095D" w:rsidRPr="00B2095D" w:rsidRDefault="00B2095D" w:rsidP="00B2095D">
            <w:pPr>
              <w:spacing w:after="0" w:line="240" w:lineRule="auto"/>
              <w:rPr>
                <w:rFonts w:ascii="Calibri" w:eastAsia="Times New Roman" w:hAnsi="Calibri" w:cs="Arial"/>
                <w:color w:val="000000"/>
                <w:sz w:val="20"/>
                <w:szCs w:val="20"/>
                <w:lang w:eastAsia="cs-CZ"/>
              </w:rPr>
            </w:pPr>
            <w:r w:rsidRPr="00B2095D">
              <w:rPr>
                <w:rFonts w:ascii="Calibri" w:eastAsia="Times New Roman" w:hAnsi="Calibri" w:cs="Arial"/>
                <w:color w:val="000000"/>
                <w:sz w:val="20"/>
                <w:szCs w:val="20"/>
                <w:lang w:eastAsia="cs-CZ"/>
              </w:rPr>
              <w:t>Kapitálové (investiční) výdaje zařazené v Zásobníku investic hrazené z vlastních zdrojů kraje (kapitola 12 - Investiční výdaje)</w:t>
            </w:r>
          </w:p>
        </w:tc>
        <w:tc>
          <w:tcPr>
            <w:tcW w:w="1558" w:type="dxa"/>
            <w:tcBorders>
              <w:top w:val="nil"/>
              <w:left w:val="nil"/>
              <w:bottom w:val="single" w:sz="4" w:space="0" w:color="auto"/>
              <w:right w:val="single" w:sz="4" w:space="0" w:color="auto"/>
            </w:tcBorders>
            <w:shd w:val="clear" w:color="auto" w:fill="auto"/>
            <w:noWrap/>
            <w:vAlign w:val="bottom"/>
            <w:hideMark/>
          </w:tcPr>
          <w:p w14:paraId="2D1BC70F" w14:textId="77777777" w:rsidR="00B2095D" w:rsidRPr="00B2095D" w:rsidRDefault="00B2095D" w:rsidP="00B2095D">
            <w:pPr>
              <w:spacing w:after="0" w:line="240" w:lineRule="auto"/>
              <w:jc w:val="right"/>
              <w:rPr>
                <w:rFonts w:ascii="Calibri" w:eastAsia="Times New Roman" w:hAnsi="Calibri" w:cs="Arial"/>
                <w:sz w:val="20"/>
                <w:szCs w:val="20"/>
                <w:lang w:eastAsia="cs-CZ"/>
              </w:rPr>
            </w:pPr>
            <w:r w:rsidRPr="00B2095D">
              <w:rPr>
                <w:rFonts w:ascii="Calibri" w:eastAsia="Times New Roman" w:hAnsi="Calibri" w:cs="Arial"/>
                <w:sz w:val="20"/>
                <w:szCs w:val="20"/>
                <w:lang w:eastAsia="cs-CZ"/>
              </w:rPr>
              <w:t>209 500 000</w:t>
            </w:r>
          </w:p>
        </w:tc>
        <w:tc>
          <w:tcPr>
            <w:tcW w:w="1850" w:type="dxa"/>
            <w:tcBorders>
              <w:top w:val="nil"/>
              <w:left w:val="nil"/>
              <w:bottom w:val="single" w:sz="4" w:space="0" w:color="auto"/>
              <w:right w:val="single" w:sz="4" w:space="0" w:color="auto"/>
            </w:tcBorders>
            <w:shd w:val="clear" w:color="auto" w:fill="auto"/>
            <w:noWrap/>
            <w:vAlign w:val="bottom"/>
            <w:hideMark/>
          </w:tcPr>
          <w:p w14:paraId="1DB0638B" w14:textId="77777777" w:rsidR="00B2095D" w:rsidRPr="00B2095D" w:rsidRDefault="00B2095D" w:rsidP="00B2095D">
            <w:pPr>
              <w:spacing w:after="0" w:line="240" w:lineRule="auto"/>
              <w:jc w:val="right"/>
              <w:rPr>
                <w:rFonts w:ascii="Calibri" w:eastAsia="Times New Roman" w:hAnsi="Calibri" w:cs="Arial"/>
                <w:sz w:val="20"/>
                <w:szCs w:val="20"/>
                <w:lang w:eastAsia="cs-CZ"/>
              </w:rPr>
            </w:pPr>
            <w:r w:rsidRPr="00B2095D">
              <w:rPr>
                <w:rFonts w:ascii="Calibri" w:eastAsia="Times New Roman" w:hAnsi="Calibri" w:cs="Arial"/>
                <w:sz w:val="20"/>
                <w:szCs w:val="20"/>
                <w:lang w:eastAsia="cs-CZ"/>
              </w:rPr>
              <w:t>550 731 897,49</w:t>
            </w:r>
          </w:p>
        </w:tc>
        <w:tc>
          <w:tcPr>
            <w:tcW w:w="1843" w:type="dxa"/>
            <w:tcBorders>
              <w:top w:val="nil"/>
              <w:left w:val="nil"/>
              <w:bottom w:val="single" w:sz="4" w:space="0" w:color="auto"/>
              <w:right w:val="single" w:sz="4" w:space="0" w:color="auto"/>
            </w:tcBorders>
            <w:shd w:val="clear" w:color="auto" w:fill="auto"/>
            <w:noWrap/>
            <w:vAlign w:val="bottom"/>
            <w:hideMark/>
          </w:tcPr>
          <w:p w14:paraId="12E77DDA" w14:textId="77777777" w:rsidR="00B2095D" w:rsidRPr="00B2095D" w:rsidRDefault="00B2095D" w:rsidP="00B2095D">
            <w:pPr>
              <w:spacing w:after="0" w:line="240" w:lineRule="auto"/>
              <w:jc w:val="right"/>
              <w:rPr>
                <w:rFonts w:ascii="Calibri" w:eastAsia="Times New Roman" w:hAnsi="Calibri" w:cs="Arial"/>
                <w:sz w:val="20"/>
                <w:szCs w:val="20"/>
                <w:lang w:eastAsia="cs-CZ"/>
              </w:rPr>
            </w:pPr>
            <w:r w:rsidRPr="00B2095D">
              <w:rPr>
                <w:rFonts w:ascii="Calibri" w:eastAsia="Times New Roman" w:hAnsi="Calibri" w:cs="Arial"/>
                <w:sz w:val="20"/>
                <w:szCs w:val="20"/>
                <w:lang w:eastAsia="cs-CZ"/>
              </w:rPr>
              <w:t>400 988 888,29</w:t>
            </w:r>
          </w:p>
        </w:tc>
        <w:tc>
          <w:tcPr>
            <w:tcW w:w="830" w:type="dxa"/>
            <w:tcBorders>
              <w:top w:val="nil"/>
              <w:left w:val="nil"/>
              <w:bottom w:val="single" w:sz="4" w:space="0" w:color="auto"/>
              <w:right w:val="single" w:sz="8" w:space="0" w:color="auto"/>
            </w:tcBorders>
            <w:shd w:val="clear" w:color="auto" w:fill="auto"/>
            <w:noWrap/>
            <w:vAlign w:val="bottom"/>
            <w:hideMark/>
          </w:tcPr>
          <w:p w14:paraId="55D3CA11" w14:textId="77777777" w:rsidR="00B2095D" w:rsidRPr="00B2095D" w:rsidRDefault="00B2095D" w:rsidP="00B2095D">
            <w:pPr>
              <w:spacing w:after="0" w:line="240" w:lineRule="auto"/>
              <w:jc w:val="right"/>
              <w:rPr>
                <w:rFonts w:ascii="Calibri" w:eastAsia="Times New Roman" w:hAnsi="Calibri" w:cs="Arial"/>
                <w:sz w:val="20"/>
                <w:szCs w:val="20"/>
                <w:lang w:eastAsia="cs-CZ"/>
              </w:rPr>
            </w:pPr>
            <w:r w:rsidRPr="00B2095D">
              <w:rPr>
                <w:rFonts w:ascii="Calibri" w:eastAsia="Times New Roman" w:hAnsi="Calibri" w:cs="Arial"/>
                <w:sz w:val="20"/>
                <w:szCs w:val="20"/>
                <w:lang w:eastAsia="cs-CZ"/>
              </w:rPr>
              <w:t>72,8</w:t>
            </w:r>
          </w:p>
        </w:tc>
        <w:tc>
          <w:tcPr>
            <w:tcW w:w="160" w:type="dxa"/>
            <w:vAlign w:val="center"/>
            <w:hideMark/>
          </w:tcPr>
          <w:p w14:paraId="38FBDF05" w14:textId="77777777" w:rsidR="00B2095D" w:rsidRPr="00B2095D" w:rsidRDefault="00B2095D" w:rsidP="00B2095D">
            <w:pPr>
              <w:spacing w:after="0" w:line="240" w:lineRule="auto"/>
              <w:rPr>
                <w:rFonts w:ascii="Times New Roman" w:eastAsia="Times New Roman" w:hAnsi="Times New Roman" w:cs="Times New Roman"/>
                <w:sz w:val="20"/>
                <w:szCs w:val="20"/>
                <w:lang w:eastAsia="cs-CZ"/>
              </w:rPr>
            </w:pPr>
          </w:p>
        </w:tc>
      </w:tr>
      <w:tr w:rsidR="00B2095D" w:rsidRPr="00B2095D" w14:paraId="71F282DF" w14:textId="77777777" w:rsidTr="00C44E9D">
        <w:trPr>
          <w:trHeight w:val="615"/>
        </w:trPr>
        <w:tc>
          <w:tcPr>
            <w:tcW w:w="4247" w:type="dxa"/>
            <w:gridSpan w:val="2"/>
            <w:tcBorders>
              <w:top w:val="single" w:sz="4" w:space="0" w:color="auto"/>
              <w:left w:val="single" w:sz="8" w:space="0" w:color="auto"/>
              <w:bottom w:val="single" w:sz="4" w:space="0" w:color="auto"/>
              <w:right w:val="single" w:sz="8" w:space="0" w:color="000000"/>
            </w:tcBorders>
            <w:shd w:val="clear" w:color="000000" w:fill="FFFFFF"/>
            <w:vAlign w:val="bottom"/>
            <w:hideMark/>
          </w:tcPr>
          <w:p w14:paraId="039C8874" w14:textId="77777777" w:rsidR="00B2095D" w:rsidRPr="00B2095D" w:rsidRDefault="00B2095D" w:rsidP="00B2095D">
            <w:pPr>
              <w:spacing w:after="0" w:line="240" w:lineRule="auto"/>
              <w:rPr>
                <w:rFonts w:ascii="Calibri" w:eastAsia="Times New Roman" w:hAnsi="Calibri" w:cs="Arial"/>
                <w:sz w:val="20"/>
                <w:szCs w:val="20"/>
                <w:lang w:eastAsia="cs-CZ"/>
              </w:rPr>
            </w:pPr>
            <w:r w:rsidRPr="00B2095D">
              <w:rPr>
                <w:rFonts w:ascii="Calibri" w:eastAsia="Times New Roman" w:hAnsi="Calibri" w:cs="Arial"/>
                <w:sz w:val="20"/>
                <w:szCs w:val="20"/>
                <w:lang w:eastAsia="cs-CZ"/>
              </w:rPr>
              <w:t>Kapitálové (investiční) výdaje zařazené v Zásobníku investic hrazené z úvěru přijatého od EIB (kapitola 12 - Investiční výdaje)</w:t>
            </w:r>
          </w:p>
        </w:tc>
        <w:tc>
          <w:tcPr>
            <w:tcW w:w="1558" w:type="dxa"/>
            <w:tcBorders>
              <w:top w:val="nil"/>
              <w:left w:val="nil"/>
              <w:bottom w:val="single" w:sz="4" w:space="0" w:color="auto"/>
              <w:right w:val="single" w:sz="4" w:space="0" w:color="auto"/>
            </w:tcBorders>
            <w:shd w:val="clear" w:color="000000" w:fill="FFFFFF"/>
            <w:noWrap/>
            <w:vAlign w:val="bottom"/>
            <w:hideMark/>
          </w:tcPr>
          <w:p w14:paraId="272B71EE" w14:textId="77777777" w:rsidR="00B2095D" w:rsidRPr="00B2095D" w:rsidRDefault="00B2095D" w:rsidP="00B2095D">
            <w:pPr>
              <w:spacing w:after="0" w:line="240" w:lineRule="auto"/>
              <w:jc w:val="right"/>
              <w:rPr>
                <w:rFonts w:ascii="Calibri" w:eastAsia="Times New Roman" w:hAnsi="Calibri" w:cs="Arial"/>
                <w:sz w:val="20"/>
                <w:szCs w:val="20"/>
                <w:lang w:eastAsia="cs-CZ"/>
              </w:rPr>
            </w:pPr>
            <w:r w:rsidRPr="00B2095D">
              <w:rPr>
                <w:rFonts w:ascii="Calibri" w:eastAsia="Times New Roman" w:hAnsi="Calibri" w:cs="Arial"/>
                <w:sz w:val="20"/>
                <w:szCs w:val="20"/>
                <w:lang w:eastAsia="cs-CZ"/>
              </w:rPr>
              <w:t>300 000 000</w:t>
            </w:r>
          </w:p>
        </w:tc>
        <w:tc>
          <w:tcPr>
            <w:tcW w:w="1850" w:type="dxa"/>
            <w:tcBorders>
              <w:top w:val="nil"/>
              <w:left w:val="nil"/>
              <w:bottom w:val="single" w:sz="4" w:space="0" w:color="auto"/>
              <w:right w:val="single" w:sz="4" w:space="0" w:color="auto"/>
            </w:tcBorders>
            <w:shd w:val="clear" w:color="000000" w:fill="FFFFFF"/>
            <w:noWrap/>
            <w:vAlign w:val="bottom"/>
            <w:hideMark/>
          </w:tcPr>
          <w:p w14:paraId="48BE7C3F" w14:textId="77777777" w:rsidR="00B2095D" w:rsidRPr="00B2095D" w:rsidRDefault="00B2095D" w:rsidP="00B2095D">
            <w:pPr>
              <w:spacing w:after="0" w:line="240" w:lineRule="auto"/>
              <w:jc w:val="right"/>
              <w:rPr>
                <w:rFonts w:ascii="Calibri" w:eastAsia="Times New Roman" w:hAnsi="Calibri" w:cs="Arial"/>
                <w:sz w:val="20"/>
                <w:szCs w:val="20"/>
                <w:lang w:eastAsia="cs-CZ"/>
              </w:rPr>
            </w:pPr>
            <w:r w:rsidRPr="00B2095D">
              <w:rPr>
                <w:rFonts w:ascii="Calibri" w:eastAsia="Times New Roman" w:hAnsi="Calibri" w:cs="Arial"/>
                <w:sz w:val="20"/>
                <w:szCs w:val="20"/>
                <w:lang w:eastAsia="cs-CZ"/>
              </w:rPr>
              <w:t>500 000 000,00</w:t>
            </w:r>
          </w:p>
        </w:tc>
        <w:tc>
          <w:tcPr>
            <w:tcW w:w="1843" w:type="dxa"/>
            <w:tcBorders>
              <w:top w:val="nil"/>
              <w:left w:val="nil"/>
              <w:bottom w:val="single" w:sz="4" w:space="0" w:color="auto"/>
              <w:right w:val="single" w:sz="4" w:space="0" w:color="auto"/>
            </w:tcBorders>
            <w:shd w:val="clear" w:color="000000" w:fill="FFFFFF"/>
            <w:noWrap/>
            <w:vAlign w:val="bottom"/>
            <w:hideMark/>
          </w:tcPr>
          <w:p w14:paraId="4EB14CFC" w14:textId="77777777" w:rsidR="00B2095D" w:rsidRPr="00B2095D" w:rsidRDefault="00B2095D" w:rsidP="00B2095D">
            <w:pPr>
              <w:spacing w:after="0" w:line="240" w:lineRule="auto"/>
              <w:jc w:val="right"/>
              <w:rPr>
                <w:rFonts w:ascii="Calibri" w:eastAsia="Times New Roman" w:hAnsi="Calibri" w:cs="Arial"/>
                <w:sz w:val="20"/>
                <w:szCs w:val="20"/>
                <w:lang w:eastAsia="cs-CZ"/>
              </w:rPr>
            </w:pPr>
            <w:r w:rsidRPr="00B2095D">
              <w:rPr>
                <w:rFonts w:ascii="Calibri" w:eastAsia="Times New Roman" w:hAnsi="Calibri" w:cs="Arial"/>
                <w:sz w:val="20"/>
                <w:szCs w:val="20"/>
                <w:lang w:eastAsia="cs-CZ"/>
              </w:rPr>
              <w:t>317 040 177,62</w:t>
            </w:r>
          </w:p>
        </w:tc>
        <w:tc>
          <w:tcPr>
            <w:tcW w:w="830" w:type="dxa"/>
            <w:tcBorders>
              <w:top w:val="nil"/>
              <w:left w:val="nil"/>
              <w:bottom w:val="single" w:sz="4" w:space="0" w:color="auto"/>
              <w:right w:val="single" w:sz="8" w:space="0" w:color="auto"/>
            </w:tcBorders>
            <w:shd w:val="clear" w:color="auto" w:fill="auto"/>
            <w:noWrap/>
            <w:vAlign w:val="bottom"/>
            <w:hideMark/>
          </w:tcPr>
          <w:p w14:paraId="02E3400F" w14:textId="77777777" w:rsidR="00B2095D" w:rsidRPr="00B2095D" w:rsidRDefault="00B2095D" w:rsidP="00B2095D">
            <w:pPr>
              <w:spacing w:after="0" w:line="240" w:lineRule="auto"/>
              <w:jc w:val="right"/>
              <w:rPr>
                <w:rFonts w:ascii="Calibri" w:eastAsia="Times New Roman" w:hAnsi="Calibri" w:cs="Arial"/>
                <w:sz w:val="20"/>
                <w:szCs w:val="20"/>
                <w:lang w:eastAsia="cs-CZ"/>
              </w:rPr>
            </w:pPr>
            <w:r w:rsidRPr="00B2095D">
              <w:rPr>
                <w:rFonts w:ascii="Calibri" w:eastAsia="Times New Roman" w:hAnsi="Calibri" w:cs="Arial"/>
                <w:sz w:val="20"/>
                <w:szCs w:val="20"/>
                <w:lang w:eastAsia="cs-CZ"/>
              </w:rPr>
              <w:t>63,4</w:t>
            </w:r>
          </w:p>
        </w:tc>
        <w:tc>
          <w:tcPr>
            <w:tcW w:w="160" w:type="dxa"/>
            <w:vAlign w:val="center"/>
            <w:hideMark/>
          </w:tcPr>
          <w:p w14:paraId="631D3120" w14:textId="77777777" w:rsidR="00B2095D" w:rsidRPr="00B2095D" w:rsidRDefault="00B2095D" w:rsidP="00B2095D">
            <w:pPr>
              <w:spacing w:after="0" w:line="240" w:lineRule="auto"/>
              <w:rPr>
                <w:rFonts w:ascii="Times New Roman" w:eastAsia="Times New Roman" w:hAnsi="Times New Roman" w:cs="Times New Roman"/>
                <w:sz w:val="20"/>
                <w:szCs w:val="20"/>
                <w:lang w:eastAsia="cs-CZ"/>
              </w:rPr>
            </w:pPr>
          </w:p>
        </w:tc>
      </w:tr>
      <w:tr w:rsidR="00B2095D" w:rsidRPr="00B2095D" w14:paraId="021F52E6" w14:textId="77777777" w:rsidTr="00C44E9D">
        <w:trPr>
          <w:trHeight w:val="615"/>
        </w:trPr>
        <w:tc>
          <w:tcPr>
            <w:tcW w:w="4247" w:type="dxa"/>
            <w:gridSpan w:val="2"/>
            <w:tcBorders>
              <w:top w:val="single" w:sz="4" w:space="0" w:color="auto"/>
              <w:left w:val="single" w:sz="8" w:space="0" w:color="auto"/>
              <w:bottom w:val="single" w:sz="4" w:space="0" w:color="auto"/>
              <w:right w:val="single" w:sz="8" w:space="0" w:color="000000"/>
            </w:tcBorders>
            <w:shd w:val="clear" w:color="000000" w:fill="FFFFFF"/>
            <w:vAlign w:val="bottom"/>
            <w:hideMark/>
          </w:tcPr>
          <w:p w14:paraId="7F93AB94" w14:textId="77777777" w:rsidR="00B2095D" w:rsidRPr="00B2095D" w:rsidRDefault="00B2095D" w:rsidP="00B2095D">
            <w:pPr>
              <w:spacing w:after="0" w:line="240" w:lineRule="auto"/>
              <w:rPr>
                <w:rFonts w:ascii="Calibri" w:eastAsia="Times New Roman" w:hAnsi="Calibri" w:cs="Arial"/>
                <w:sz w:val="20"/>
                <w:szCs w:val="20"/>
                <w:lang w:eastAsia="cs-CZ"/>
              </w:rPr>
            </w:pPr>
            <w:r w:rsidRPr="00B2095D">
              <w:rPr>
                <w:rFonts w:ascii="Calibri" w:eastAsia="Times New Roman" w:hAnsi="Calibri" w:cs="Arial"/>
                <w:sz w:val="20"/>
                <w:szCs w:val="20"/>
                <w:lang w:eastAsia="cs-CZ"/>
              </w:rPr>
              <w:t>Kapitálové (investiční) výdaje nezařazené v Zásobníku investic hrazené z úvěru přijatého od EIB (kapitola 12 - Investiční výdaje)</w:t>
            </w:r>
          </w:p>
        </w:tc>
        <w:tc>
          <w:tcPr>
            <w:tcW w:w="1558" w:type="dxa"/>
            <w:tcBorders>
              <w:top w:val="nil"/>
              <w:left w:val="nil"/>
              <w:bottom w:val="single" w:sz="4" w:space="0" w:color="auto"/>
              <w:right w:val="single" w:sz="4" w:space="0" w:color="auto"/>
            </w:tcBorders>
            <w:shd w:val="clear" w:color="000000" w:fill="FFFFFF"/>
            <w:noWrap/>
            <w:vAlign w:val="bottom"/>
            <w:hideMark/>
          </w:tcPr>
          <w:p w14:paraId="5F2A55A8" w14:textId="77777777" w:rsidR="00B2095D" w:rsidRPr="00B2095D" w:rsidRDefault="00B2095D" w:rsidP="00B2095D">
            <w:pPr>
              <w:spacing w:after="0" w:line="240" w:lineRule="auto"/>
              <w:jc w:val="right"/>
              <w:rPr>
                <w:rFonts w:ascii="Calibri" w:eastAsia="Times New Roman" w:hAnsi="Calibri" w:cs="Arial"/>
                <w:sz w:val="20"/>
                <w:szCs w:val="20"/>
                <w:lang w:eastAsia="cs-CZ"/>
              </w:rPr>
            </w:pPr>
            <w:r w:rsidRPr="00B2095D">
              <w:rPr>
                <w:rFonts w:ascii="Calibri" w:eastAsia="Times New Roman" w:hAnsi="Calibri" w:cs="Arial"/>
                <w:sz w:val="20"/>
                <w:szCs w:val="20"/>
                <w:lang w:eastAsia="cs-CZ"/>
              </w:rPr>
              <w:t>200 000 000</w:t>
            </w:r>
          </w:p>
        </w:tc>
        <w:tc>
          <w:tcPr>
            <w:tcW w:w="1850" w:type="dxa"/>
            <w:tcBorders>
              <w:top w:val="nil"/>
              <w:left w:val="nil"/>
              <w:bottom w:val="single" w:sz="4" w:space="0" w:color="auto"/>
              <w:right w:val="single" w:sz="4" w:space="0" w:color="auto"/>
            </w:tcBorders>
            <w:shd w:val="clear" w:color="000000" w:fill="FFFFFF"/>
            <w:noWrap/>
            <w:vAlign w:val="bottom"/>
            <w:hideMark/>
          </w:tcPr>
          <w:p w14:paraId="762508D6" w14:textId="77777777" w:rsidR="00B2095D" w:rsidRPr="00B2095D" w:rsidRDefault="00B2095D" w:rsidP="00B2095D">
            <w:pPr>
              <w:spacing w:after="0" w:line="240" w:lineRule="auto"/>
              <w:jc w:val="right"/>
              <w:rPr>
                <w:rFonts w:ascii="Calibri" w:eastAsia="Times New Roman" w:hAnsi="Calibri" w:cs="Arial"/>
                <w:sz w:val="20"/>
                <w:szCs w:val="20"/>
                <w:lang w:eastAsia="cs-CZ"/>
              </w:rPr>
            </w:pPr>
            <w:r w:rsidRPr="00B2095D">
              <w:rPr>
                <w:rFonts w:ascii="Calibri" w:eastAsia="Times New Roman" w:hAnsi="Calibri" w:cs="Arial"/>
                <w:sz w:val="20"/>
                <w:szCs w:val="20"/>
                <w:lang w:eastAsia="cs-CZ"/>
              </w:rPr>
              <w:t>0,00</w:t>
            </w:r>
          </w:p>
        </w:tc>
        <w:tc>
          <w:tcPr>
            <w:tcW w:w="1843" w:type="dxa"/>
            <w:tcBorders>
              <w:top w:val="nil"/>
              <w:left w:val="nil"/>
              <w:bottom w:val="single" w:sz="4" w:space="0" w:color="auto"/>
              <w:right w:val="single" w:sz="4" w:space="0" w:color="auto"/>
            </w:tcBorders>
            <w:shd w:val="clear" w:color="000000" w:fill="FFFFFF"/>
            <w:noWrap/>
            <w:vAlign w:val="bottom"/>
            <w:hideMark/>
          </w:tcPr>
          <w:p w14:paraId="05D0EEC9" w14:textId="77777777" w:rsidR="00B2095D" w:rsidRPr="00B2095D" w:rsidRDefault="00B2095D" w:rsidP="00B2095D">
            <w:pPr>
              <w:spacing w:after="0" w:line="240" w:lineRule="auto"/>
              <w:jc w:val="right"/>
              <w:rPr>
                <w:rFonts w:ascii="Calibri" w:eastAsia="Times New Roman" w:hAnsi="Calibri" w:cs="Arial"/>
                <w:sz w:val="20"/>
                <w:szCs w:val="20"/>
                <w:lang w:eastAsia="cs-CZ"/>
              </w:rPr>
            </w:pPr>
            <w:r w:rsidRPr="00B2095D">
              <w:rPr>
                <w:rFonts w:ascii="Calibri" w:eastAsia="Times New Roman" w:hAnsi="Calibri" w:cs="Arial"/>
                <w:sz w:val="20"/>
                <w:szCs w:val="20"/>
                <w:lang w:eastAsia="cs-CZ"/>
              </w:rPr>
              <w:t>0,00</w:t>
            </w:r>
          </w:p>
        </w:tc>
        <w:tc>
          <w:tcPr>
            <w:tcW w:w="830" w:type="dxa"/>
            <w:tcBorders>
              <w:top w:val="nil"/>
              <w:left w:val="nil"/>
              <w:bottom w:val="single" w:sz="4" w:space="0" w:color="auto"/>
              <w:right w:val="single" w:sz="8" w:space="0" w:color="auto"/>
            </w:tcBorders>
            <w:shd w:val="clear" w:color="auto" w:fill="auto"/>
            <w:noWrap/>
            <w:vAlign w:val="bottom"/>
            <w:hideMark/>
          </w:tcPr>
          <w:p w14:paraId="3B653E02" w14:textId="77777777" w:rsidR="00B2095D" w:rsidRPr="00B2095D" w:rsidRDefault="00B2095D" w:rsidP="00B2095D">
            <w:pPr>
              <w:spacing w:after="0" w:line="240" w:lineRule="auto"/>
              <w:jc w:val="right"/>
              <w:rPr>
                <w:rFonts w:ascii="Calibri" w:eastAsia="Times New Roman" w:hAnsi="Calibri" w:cs="Arial"/>
                <w:sz w:val="20"/>
                <w:szCs w:val="20"/>
                <w:lang w:eastAsia="cs-CZ"/>
              </w:rPr>
            </w:pPr>
            <w:r w:rsidRPr="00B2095D">
              <w:rPr>
                <w:rFonts w:ascii="Calibri" w:eastAsia="Times New Roman" w:hAnsi="Calibri" w:cs="Arial"/>
                <w:sz w:val="20"/>
                <w:szCs w:val="20"/>
                <w:lang w:eastAsia="cs-CZ"/>
              </w:rPr>
              <w:t>-</w:t>
            </w:r>
          </w:p>
        </w:tc>
        <w:tc>
          <w:tcPr>
            <w:tcW w:w="160" w:type="dxa"/>
            <w:vAlign w:val="center"/>
            <w:hideMark/>
          </w:tcPr>
          <w:p w14:paraId="360893EA" w14:textId="77777777" w:rsidR="00B2095D" w:rsidRPr="00B2095D" w:rsidRDefault="00B2095D" w:rsidP="00B2095D">
            <w:pPr>
              <w:spacing w:after="0" w:line="240" w:lineRule="auto"/>
              <w:rPr>
                <w:rFonts w:ascii="Times New Roman" w:eastAsia="Times New Roman" w:hAnsi="Times New Roman" w:cs="Times New Roman"/>
                <w:sz w:val="20"/>
                <w:szCs w:val="20"/>
                <w:lang w:eastAsia="cs-CZ"/>
              </w:rPr>
            </w:pPr>
          </w:p>
        </w:tc>
      </w:tr>
      <w:tr w:rsidR="00B2095D" w:rsidRPr="00B2095D" w14:paraId="1D3D2D9F" w14:textId="77777777" w:rsidTr="00C44E9D">
        <w:trPr>
          <w:trHeight w:val="403"/>
        </w:trPr>
        <w:tc>
          <w:tcPr>
            <w:tcW w:w="4247" w:type="dxa"/>
            <w:gridSpan w:val="2"/>
            <w:tcBorders>
              <w:top w:val="single" w:sz="4" w:space="0" w:color="auto"/>
              <w:left w:val="single" w:sz="8" w:space="0" w:color="auto"/>
              <w:bottom w:val="single" w:sz="4" w:space="0" w:color="auto"/>
              <w:right w:val="single" w:sz="8" w:space="0" w:color="000000"/>
            </w:tcBorders>
            <w:shd w:val="clear" w:color="000000" w:fill="FFFFFF"/>
            <w:vAlign w:val="bottom"/>
            <w:hideMark/>
          </w:tcPr>
          <w:p w14:paraId="06BC01B2" w14:textId="77777777" w:rsidR="00B2095D" w:rsidRPr="00B2095D" w:rsidRDefault="00B2095D" w:rsidP="00B2095D">
            <w:pPr>
              <w:spacing w:after="0" w:line="240" w:lineRule="auto"/>
              <w:rPr>
                <w:rFonts w:ascii="Calibri" w:eastAsia="Times New Roman" w:hAnsi="Calibri" w:cs="Arial"/>
                <w:sz w:val="20"/>
                <w:szCs w:val="20"/>
                <w:lang w:eastAsia="cs-CZ"/>
              </w:rPr>
            </w:pPr>
            <w:r w:rsidRPr="00B2095D">
              <w:rPr>
                <w:rFonts w:ascii="Calibri" w:eastAsia="Times New Roman" w:hAnsi="Calibri" w:cs="Arial"/>
                <w:sz w:val="20"/>
                <w:szCs w:val="20"/>
                <w:lang w:eastAsia="cs-CZ"/>
              </w:rPr>
              <w:t>Předfinancování a kofinancování projektů EU a ostatní související výdaje s projekty EU</w:t>
            </w:r>
          </w:p>
        </w:tc>
        <w:tc>
          <w:tcPr>
            <w:tcW w:w="1558" w:type="dxa"/>
            <w:tcBorders>
              <w:top w:val="nil"/>
              <w:left w:val="nil"/>
              <w:bottom w:val="single" w:sz="4" w:space="0" w:color="auto"/>
              <w:right w:val="single" w:sz="4" w:space="0" w:color="auto"/>
            </w:tcBorders>
            <w:shd w:val="clear" w:color="000000" w:fill="FFFFFF"/>
            <w:noWrap/>
            <w:vAlign w:val="bottom"/>
            <w:hideMark/>
          </w:tcPr>
          <w:p w14:paraId="7599CFB9" w14:textId="77777777" w:rsidR="00B2095D" w:rsidRPr="00B2095D" w:rsidRDefault="00B2095D" w:rsidP="00B2095D">
            <w:pPr>
              <w:spacing w:after="0" w:line="240" w:lineRule="auto"/>
              <w:jc w:val="right"/>
              <w:rPr>
                <w:rFonts w:ascii="Calibri" w:eastAsia="Times New Roman" w:hAnsi="Calibri" w:cs="Arial"/>
                <w:sz w:val="20"/>
                <w:szCs w:val="20"/>
                <w:lang w:eastAsia="cs-CZ"/>
              </w:rPr>
            </w:pPr>
            <w:r w:rsidRPr="00B2095D">
              <w:rPr>
                <w:rFonts w:ascii="Calibri" w:eastAsia="Times New Roman" w:hAnsi="Calibri" w:cs="Arial"/>
                <w:sz w:val="20"/>
                <w:szCs w:val="20"/>
                <w:lang w:eastAsia="cs-CZ"/>
              </w:rPr>
              <w:t>2 300 000 000</w:t>
            </w:r>
          </w:p>
        </w:tc>
        <w:tc>
          <w:tcPr>
            <w:tcW w:w="1850" w:type="dxa"/>
            <w:tcBorders>
              <w:top w:val="nil"/>
              <w:left w:val="nil"/>
              <w:bottom w:val="single" w:sz="4" w:space="0" w:color="auto"/>
              <w:right w:val="single" w:sz="4" w:space="0" w:color="auto"/>
            </w:tcBorders>
            <w:shd w:val="clear" w:color="000000" w:fill="FFFFFF"/>
            <w:noWrap/>
            <w:vAlign w:val="bottom"/>
            <w:hideMark/>
          </w:tcPr>
          <w:p w14:paraId="28C2D6AC" w14:textId="77777777" w:rsidR="00B2095D" w:rsidRPr="00B2095D" w:rsidRDefault="00B2095D" w:rsidP="00B2095D">
            <w:pPr>
              <w:spacing w:after="0" w:line="240" w:lineRule="auto"/>
              <w:jc w:val="right"/>
              <w:rPr>
                <w:rFonts w:ascii="Calibri" w:eastAsia="Times New Roman" w:hAnsi="Calibri" w:cs="Arial"/>
                <w:sz w:val="20"/>
                <w:szCs w:val="20"/>
                <w:lang w:eastAsia="cs-CZ"/>
              </w:rPr>
            </w:pPr>
            <w:r w:rsidRPr="00B2095D">
              <w:rPr>
                <w:rFonts w:ascii="Calibri" w:eastAsia="Times New Roman" w:hAnsi="Calibri" w:cs="Arial"/>
                <w:sz w:val="20"/>
                <w:szCs w:val="20"/>
                <w:lang w:eastAsia="cs-CZ"/>
              </w:rPr>
              <w:t>2 774 282 031,25</w:t>
            </w:r>
          </w:p>
        </w:tc>
        <w:tc>
          <w:tcPr>
            <w:tcW w:w="1843" w:type="dxa"/>
            <w:tcBorders>
              <w:top w:val="nil"/>
              <w:left w:val="nil"/>
              <w:bottom w:val="single" w:sz="4" w:space="0" w:color="auto"/>
              <w:right w:val="single" w:sz="4" w:space="0" w:color="auto"/>
            </w:tcBorders>
            <w:shd w:val="clear" w:color="000000" w:fill="FFFFFF"/>
            <w:noWrap/>
            <w:vAlign w:val="bottom"/>
            <w:hideMark/>
          </w:tcPr>
          <w:p w14:paraId="55B25362" w14:textId="77777777" w:rsidR="00B2095D" w:rsidRPr="00B2095D" w:rsidRDefault="00B2095D" w:rsidP="00B2095D">
            <w:pPr>
              <w:spacing w:after="0" w:line="240" w:lineRule="auto"/>
              <w:jc w:val="right"/>
              <w:rPr>
                <w:rFonts w:ascii="Calibri" w:eastAsia="Times New Roman" w:hAnsi="Calibri" w:cs="Arial"/>
                <w:sz w:val="20"/>
                <w:szCs w:val="20"/>
                <w:lang w:eastAsia="cs-CZ"/>
              </w:rPr>
            </w:pPr>
            <w:r w:rsidRPr="00B2095D">
              <w:rPr>
                <w:rFonts w:ascii="Calibri" w:eastAsia="Times New Roman" w:hAnsi="Calibri" w:cs="Arial"/>
                <w:sz w:val="20"/>
                <w:szCs w:val="20"/>
                <w:lang w:eastAsia="cs-CZ"/>
              </w:rPr>
              <w:t>1 665 317 050,39</w:t>
            </w:r>
          </w:p>
        </w:tc>
        <w:tc>
          <w:tcPr>
            <w:tcW w:w="830" w:type="dxa"/>
            <w:tcBorders>
              <w:top w:val="nil"/>
              <w:left w:val="nil"/>
              <w:bottom w:val="single" w:sz="4" w:space="0" w:color="auto"/>
              <w:right w:val="single" w:sz="8" w:space="0" w:color="auto"/>
            </w:tcBorders>
            <w:shd w:val="clear" w:color="auto" w:fill="auto"/>
            <w:noWrap/>
            <w:vAlign w:val="bottom"/>
            <w:hideMark/>
          </w:tcPr>
          <w:p w14:paraId="3535BAB5" w14:textId="77777777" w:rsidR="00B2095D" w:rsidRPr="00B2095D" w:rsidRDefault="00B2095D" w:rsidP="00B2095D">
            <w:pPr>
              <w:spacing w:after="0" w:line="240" w:lineRule="auto"/>
              <w:jc w:val="right"/>
              <w:rPr>
                <w:rFonts w:ascii="Calibri" w:eastAsia="Times New Roman" w:hAnsi="Calibri" w:cs="Arial"/>
                <w:sz w:val="20"/>
                <w:szCs w:val="20"/>
                <w:lang w:eastAsia="cs-CZ"/>
              </w:rPr>
            </w:pPr>
            <w:r w:rsidRPr="00B2095D">
              <w:rPr>
                <w:rFonts w:ascii="Calibri" w:eastAsia="Times New Roman" w:hAnsi="Calibri" w:cs="Arial"/>
                <w:sz w:val="20"/>
                <w:szCs w:val="20"/>
                <w:lang w:eastAsia="cs-CZ"/>
              </w:rPr>
              <w:t>60,0</w:t>
            </w:r>
          </w:p>
        </w:tc>
        <w:tc>
          <w:tcPr>
            <w:tcW w:w="160" w:type="dxa"/>
            <w:vAlign w:val="center"/>
            <w:hideMark/>
          </w:tcPr>
          <w:p w14:paraId="69487F01" w14:textId="77777777" w:rsidR="00B2095D" w:rsidRPr="00B2095D" w:rsidRDefault="00B2095D" w:rsidP="00B2095D">
            <w:pPr>
              <w:spacing w:after="0" w:line="240" w:lineRule="auto"/>
              <w:rPr>
                <w:rFonts w:ascii="Times New Roman" w:eastAsia="Times New Roman" w:hAnsi="Times New Roman" w:cs="Times New Roman"/>
                <w:sz w:val="20"/>
                <w:szCs w:val="20"/>
                <w:lang w:eastAsia="cs-CZ"/>
              </w:rPr>
            </w:pPr>
          </w:p>
        </w:tc>
      </w:tr>
      <w:tr w:rsidR="00B2095D" w:rsidRPr="00B2095D" w14:paraId="4D5400FB" w14:textId="77777777" w:rsidTr="00C44E9D">
        <w:trPr>
          <w:trHeight w:val="390"/>
        </w:trPr>
        <w:tc>
          <w:tcPr>
            <w:tcW w:w="4247" w:type="dxa"/>
            <w:gridSpan w:val="2"/>
            <w:tcBorders>
              <w:top w:val="single" w:sz="4" w:space="0" w:color="auto"/>
              <w:left w:val="single" w:sz="8" w:space="0" w:color="auto"/>
              <w:bottom w:val="single" w:sz="4" w:space="0" w:color="auto"/>
              <w:right w:val="single" w:sz="8" w:space="0" w:color="000000"/>
            </w:tcBorders>
            <w:shd w:val="clear" w:color="000000" w:fill="FFFFFF"/>
            <w:vAlign w:val="bottom"/>
            <w:hideMark/>
          </w:tcPr>
          <w:p w14:paraId="4F0BE196" w14:textId="77777777" w:rsidR="00B2095D" w:rsidRPr="00B2095D" w:rsidRDefault="00B2095D" w:rsidP="00B2095D">
            <w:pPr>
              <w:spacing w:after="0" w:line="240" w:lineRule="auto"/>
              <w:rPr>
                <w:rFonts w:ascii="Calibri" w:eastAsia="Times New Roman" w:hAnsi="Calibri" w:cs="Arial"/>
                <w:sz w:val="20"/>
                <w:szCs w:val="20"/>
                <w:lang w:eastAsia="cs-CZ"/>
              </w:rPr>
            </w:pPr>
            <w:r w:rsidRPr="00B2095D">
              <w:rPr>
                <w:rFonts w:ascii="Calibri" w:eastAsia="Times New Roman" w:hAnsi="Calibri" w:cs="Arial"/>
                <w:sz w:val="20"/>
                <w:szCs w:val="20"/>
                <w:lang w:eastAsia="cs-CZ"/>
              </w:rPr>
              <w:t>Kofinancování projektů EU a ostatní související výdaje s projekty EU - hrazené z EIB</w:t>
            </w:r>
          </w:p>
        </w:tc>
        <w:tc>
          <w:tcPr>
            <w:tcW w:w="1558" w:type="dxa"/>
            <w:tcBorders>
              <w:top w:val="nil"/>
              <w:left w:val="nil"/>
              <w:bottom w:val="single" w:sz="4" w:space="0" w:color="auto"/>
              <w:right w:val="single" w:sz="4" w:space="0" w:color="auto"/>
            </w:tcBorders>
            <w:shd w:val="clear" w:color="000000" w:fill="FFFFFF"/>
            <w:noWrap/>
            <w:vAlign w:val="bottom"/>
            <w:hideMark/>
          </w:tcPr>
          <w:p w14:paraId="15DA1382" w14:textId="77777777" w:rsidR="00B2095D" w:rsidRPr="00B2095D" w:rsidRDefault="00B2095D" w:rsidP="00B2095D">
            <w:pPr>
              <w:spacing w:after="0" w:line="240" w:lineRule="auto"/>
              <w:jc w:val="right"/>
              <w:rPr>
                <w:rFonts w:ascii="Calibri" w:eastAsia="Times New Roman" w:hAnsi="Calibri" w:cs="Arial"/>
                <w:sz w:val="20"/>
                <w:szCs w:val="20"/>
                <w:lang w:eastAsia="cs-CZ"/>
              </w:rPr>
            </w:pPr>
            <w:r w:rsidRPr="00B2095D">
              <w:rPr>
                <w:rFonts w:ascii="Calibri" w:eastAsia="Times New Roman" w:hAnsi="Calibri" w:cs="Arial"/>
                <w:sz w:val="20"/>
                <w:szCs w:val="20"/>
                <w:lang w:eastAsia="cs-CZ"/>
              </w:rPr>
              <w:t>300 000 000</w:t>
            </w:r>
          </w:p>
        </w:tc>
        <w:tc>
          <w:tcPr>
            <w:tcW w:w="1850" w:type="dxa"/>
            <w:tcBorders>
              <w:top w:val="nil"/>
              <w:left w:val="nil"/>
              <w:bottom w:val="single" w:sz="4" w:space="0" w:color="auto"/>
              <w:right w:val="single" w:sz="4" w:space="0" w:color="auto"/>
            </w:tcBorders>
            <w:shd w:val="clear" w:color="000000" w:fill="FFFFFF"/>
            <w:noWrap/>
            <w:vAlign w:val="bottom"/>
            <w:hideMark/>
          </w:tcPr>
          <w:p w14:paraId="6A2B17CC" w14:textId="77777777" w:rsidR="00B2095D" w:rsidRPr="00B2095D" w:rsidRDefault="00B2095D" w:rsidP="00B2095D">
            <w:pPr>
              <w:spacing w:after="0" w:line="240" w:lineRule="auto"/>
              <w:jc w:val="right"/>
              <w:rPr>
                <w:rFonts w:ascii="Calibri" w:eastAsia="Times New Roman" w:hAnsi="Calibri" w:cs="Arial"/>
                <w:sz w:val="20"/>
                <w:szCs w:val="20"/>
                <w:lang w:eastAsia="cs-CZ"/>
              </w:rPr>
            </w:pPr>
            <w:r w:rsidRPr="00B2095D">
              <w:rPr>
                <w:rFonts w:ascii="Calibri" w:eastAsia="Times New Roman" w:hAnsi="Calibri" w:cs="Arial"/>
                <w:sz w:val="20"/>
                <w:szCs w:val="20"/>
                <w:lang w:eastAsia="cs-CZ"/>
              </w:rPr>
              <w:t>300 000 000,00</w:t>
            </w:r>
          </w:p>
        </w:tc>
        <w:tc>
          <w:tcPr>
            <w:tcW w:w="1843" w:type="dxa"/>
            <w:tcBorders>
              <w:top w:val="nil"/>
              <w:left w:val="nil"/>
              <w:bottom w:val="single" w:sz="4" w:space="0" w:color="auto"/>
              <w:right w:val="single" w:sz="4" w:space="0" w:color="auto"/>
            </w:tcBorders>
            <w:shd w:val="clear" w:color="000000" w:fill="FFFFFF"/>
            <w:noWrap/>
            <w:vAlign w:val="bottom"/>
            <w:hideMark/>
          </w:tcPr>
          <w:p w14:paraId="123CE872" w14:textId="77777777" w:rsidR="00B2095D" w:rsidRPr="00B2095D" w:rsidRDefault="00B2095D" w:rsidP="00B2095D">
            <w:pPr>
              <w:spacing w:after="0" w:line="240" w:lineRule="auto"/>
              <w:jc w:val="right"/>
              <w:rPr>
                <w:rFonts w:ascii="Calibri" w:eastAsia="Times New Roman" w:hAnsi="Calibri" w:cs="Arial"/>
                <w:sz w:val="20"/>
                <w:szCs w:val="20"/>
                <w:lang w:eastAsia="cs-CZ"/>
              </w:rPr>
            </w:pPr>
            <w:r w:rsidRPr="00B2095D">
              <w:rPr>
                <w:rFonts w:ascii="Calibri" w:eastAsia="Times New Roman" w:hAnsi="Calibri" w:cs="Arial"/>
                <w:sz w:val="20"/>
                <w:szCs w:val="20"/>
                <w:lang w:eastAsia="cs-CZ"/>
              </w:rPr>
              <w:t>92 425 106,09</w:t>
            </w:r>
          </w:p>
        </w:tc>
        <w:tc>
          <w:tcPr>
            <w:tcW w:w="830" w:type="dxa"/>
            <w:tcBorders>
              <w:top w:val="nil"/>
              <w:left w:val="nil"/>
              <w:bottom w:val="single" w:sz="4" w:space="0" w:color="auto"/>
              <w:right w:val="single" w:sz="8" w:space="0" w:color="auto"/>
            </w:tcBorders>
            <w:shd w:val="clear" w:color="auto" w:fill="auto"/>
            <w:noWrap/>
            <w:vAlign w:val="bottom"/>
            <w:hideMark/>
          </w:tcPr>
          <w:p w14:paraId="45AE1024" w14:textId="77777777" w:rsidR="00B2095D" w:rsidRPr="00B2095D" w:rsidRDefault="00B2095D" w:rsidP="00B2095D">
            <w:pPr>
              <w:spacing w:after="0" w:line="240" w:lineRule="auto"/>
              <w:jc w:val="right"/>
              <w:rPr>
                <w:rFonts w:ascii="Calibri" w:eastAsia="Times New Roman" w:hAnsi="Calibri" w:cs="Arial"/>
                <w:sz w:val="20"/>
                <w:szCs w:val="20"/>
                <w:lang w:eastAsia="cs-CZ"/>
              </w:rPr>
            </w:pPr>
            <w:r w:rsidRPr="00B2095D">
              <w:rPr>
                <w:rFonts w:ascii="Calibri" w:eastAsia="Times New Roman" w:hAnsi="Calibri" w:cs="Arial"/>
                <w:sz w:val="20"/>
                <w:szCs w:val="20"/>
                <w:lang w:eastAsia="cs-CZ"/>
              </w:rPr>
              <w:t>30,8</w:t>
            </w:r>
          </w:p>
        </w:tc>
        <w:tc>
          <w:tcPr>
            <w:tcW w:w="160" w:type="dxa"/>
            <w:vAlign w:val="center"/>
            <w:hideMark/>
          </w:tcPr>
          <w:p w14:paraId="41AE0DCB" w14:textId="77777777" w:rsidR="00B2095D" w:rsidRPr="00B2095D" w:rsidRDefault="00B2095D" w:rsidP="00B2095D">
            <w:pPr>
              <w:spacing w:after="0" w:line="240" w:lineRule="auto"/>
              <w:rPr>
                <w:rFonts w:ascii="Times New Roman" w:eastAsia="Times New Roman" w:hAnsi="Times New Roman" w:cs="Times New Roman"/>
                <w:sz w:val="20"/>
                <w:szCs w:val="20"/>
                <w:lang w:eastAsia="cs-CZ"/>
              </w:rPr>
            </w:pPr>
          </w:p>
        </w:tc>
      </w:tr>
      <w:tr w:rsidR="00B2095D" w:rsidRPr="00B2095D" w14:paraId="5059F740" w14:textId="77777777" w:rsidTr="00C44E9D">
        <w:trPr>
          <w:trHeight w:val="615"/>
        </w:trPr>
        <w:tc>
          <w:tcPr>
            <w:tcW w:w="4247" w:type="dxa"/>
            <w:gridSpan w:val="2"/>
            <w:tcBorders>
              <w:top w:val="single" w:sz="4" w:space="0" w:color="auto"/>
              <w:left w:val="single" w:sz="8" w:space="0" w:color="auto"/>
              <w:bottom w:val="single" w:sz="4" w:space="0" w:color="auto"/>
              <w:right w:val="single" w:sz="8" w:space="0" w:color="000000"/>
            </w:tcBorders>
            <w:shd w:val="clear" w:color="auto" w:fill="auto"/>
            <w:vAlign w:val="bottom"/>
            <w:hideMark/>
          </w:tcPr>
          <w:p w14:paraId="2AB68E07" w14:textId="77777777" w:rsidR="00B2095D" w:rsidRPr="00B2095D" w:rsidRDefault="00B2095D" w:rsidP="00B2095D">
            <w:pPr>
              <w:spacing w:after="0" w:line="240" w:lineRule="auto"/>
              <w:rPr>
                <w:rFonts w:ascii="Calibri" w:eastAsia="Times New Roman" w:hAnsi="Calibri" w:cs="Arial"/>
                <w:sz w:val="20"/>
                <w:szCs w:val="20"/>
                <w:lang w:eastAsia="cs-CZ"/>
              </w:rPr>
            </w:pPr>
            <w:r w:rsidRPr="00B2095D">
              <w:rPr>
                <w:rFonts w:ascii="Calibri" w:eastAsia="Times New Roman" w:hAnsi="Calibri" w:cs="Arial"/>
                <w:sz w:val="20"/>
                <w:szCs w:val="20"/>
                <w:lang w:eastAsia="cs-CZ"/>
              </w:rPr>
              <w:t>Předfinancování a kofinancování projektů spolufinancovaných z národních zdrojů a ostatní související výdaje s projekty z národních zdrojů</w:t>
            </w:r>
          </w:p>
        </w:tc>
        <w:tc>
          <w:tcPr>
            <w:tcW w:w="1558" w:type="dxa"/>
            <w:tcBorders>
              <w:top w:val="nil"/>
              <w:left w:val="nil"/>
              <w:bottom w:val="single" w:sz="4" w:space="0" w:color="auto"/>
              <w:right w:val="single" w:sz="4" w:space="0" w:color="auto"/>
            </w:tcBorders>
            <w:shd w:val="clear" w:color="auto" w:fill="auto"/>
            <w:noWrap/>
            <w:vAlign w:val="bottom"/>
            <w:hideMark/>
          </w:tcPr>
          <w:p w14:paraId="38736B26" w14:textId="77777777" w:rsidR="00B2095D" w:rsidRPr="00B2095D" w:rsidRDefault="00B2095D" w:rsidP="00B2095D">
            <w:pPr>
              <w:spacing w:after="0" w:line="240" w:lineRule="auto"/>
              <w:jc w:val="right"/>
              <w:rPr>
                <w:rFonts w:ascii="Calibri" w:eastAsia="Times New Roman" w:hAnsi="Calibri" w:cs="Arial"/>
                <w:sz w:val="20"/>
                <w:szCs w:val="20"/>
                <w:lang w:eastAsia="cs-CZ"/>
              </w:rPr>
            </w:pPr>
            <w:r w:rsidRPr="00B2095D">
              <w:rPr>
                <w:rFonts w:ascii="Calibri" w:eastAsia="Times New Roman" w:hAnsi="Calibri" w:cs="Arial"/>
                <w:sz w:val="20"/>
                <w:szCs w:val="20"/>
                <w:lang w:eastAsia="cs-CZ"/>
              </w:rPr>
              <w:t>60 000 000</w:t>
            </w:r>
          </w:p>
        </w:tc>
        <w:tc>
          <w:tcPr>
            <w:tcW w:w="1850" w:type="dxa"/>
            <w:tcBorders>
              <w:top w:val="nil"/>
              <w:left w:val="nil"/>
              <w:bottom w:val="single" w:sz="4" w:space="0" w:color="auto"/>
              <w:right w:val="single" w:sz="4" w:space="0" w:color="auto"/>
            </w:tcBorders>
            <w:shd w:val="clear" w:color="auto" w:fill="auto"/>
            <w:noWrap/>
            <w:vAlign w:val="bottom"/>
            <w:hideMark/>
          </w:tcPr>
          <w:p w14:paraId="3EE26B05" w14:textId="77777777" w:rsidR="00B2095D" w:rsidRPr="00B2095D" w:rsidRDefault="00B2095D" w:rsidP="00B2095D">
            <w:pPr>
              <w:spacing w:after="0" w:line="240" w:lineRule="auto"/>
              <w:jc w:val="right"/>
              <w:rPr>
                <w:rFonts w:ascii="Calibri" w:eastAsia="Times New Roman" w:hAnsi="Calibri" w:cs="Arial"/>
                <w:sz w:val="20"/>
                <w:szCs w:val="20"/>
                <w:lang w:eastAsia="cs-CZ"/>
              </w:rPr>
            </w:pPr>
            <w:r w:rsidRPr="00B2095D">
              <w:rPr>
                <w:rFonts w:ascii="Calibri" w:eastAsia="Times New Roman" w:hAnsi="Calibri" w:cs="Arial"/>
                <w:sz w:val="20"/>
                <w:szCs w:val="20"/>
                <w:lang w:eastAsia="cs-CZ"/>
              </w:rPr>
              <w:t>84 783 301,78</w:t>
            </w:r>
          </w:p>
        </w:tc>
        <w:tc>
          <w:tcPr>
            <w:tcW w:w="1843" w:type="dxa"/>
            <w:tcBorders>
              <w:top w:val="nil"/>
              <w:left w:val="nil"/>
              <w:bottom w:val="single" w:sz="4" w:space="0" w:color="auto"/>
              <w:right w:val="single" w:sz="4" w:space="0" w:color="auto"/>
            </w:tcBorders>
            <w:shd w:val="clear" w:color="auto" w:fill="auto"/>
            <w:noWrap/>
            <w:vAlign w:val="bottom"/>
            <w:hideMark/>
          </w:tcPr>
          <w:p w14:paraId="0F306CF8" w14:textId="77777777" w:rsidR="00B2095D" w:rsidRPr="00B2095D" w:rsidRDefault="00B2095D" w:rsidP="00B2095D">
            <w:pPr>
              <w:spacing w:after="0" w:line="240" w:lineRule="auto"/>
              <w:jc w:val="right"/>
              <w:rPr>
                <w:rFonts w:ascii="Calibri" w:eastAsia="Times New Roman" w:hAnsi="Calibri" w:cs="Arial"/>
                <w:sz w:val="20"/>
                <w:szCs w:val="20"/>
                <w:lang w:eastAsia="cs-CZ"/>
              </w:rPr>
            </w:pPr>
            <w:r w:rsidRPr="00B2095D">
              <w:rPr>
                <w:rFonts w:ascii="Calibri" w:eastAsia="Times New Roman" w:hAnsi="Calibri" w:cs="Arial"/>
                <w:sz w:val="20"/>
                <w:szCs w:val="20"/>
                <w:lang w:eastAsia="cs-CZ"/>
              </w:rPr>
              <w:t>11 773 302,40</w:t>
            </w:r>
          </w:p>
        </w:tc>
        <w:tc>
          <w:tcPr>
            <w:tcW w:w="830" w:type="dxa"/>
            <w:tcBorders>
              <w:top w:val="nil"/>
              <w:left w:val="nil"/>
              <w:bottom w:val="single" w:sz="4" w:space="0" w:color="auto"/>
              <w:right w:val="single" w:sz="8" w:space="0" w:color="auto"/>
            </w:tcBorders>
            <w:shd w:val="clear" w:color="auto" w:fill="auto"/>
            <w:noWrap/>
            <w:vAlign w:val="bottom"/>
            <w:hideMark/>
          </w:tcPr>
          <w:p w14:paraId="4FD12AE1" w14:textId="77777777" w:rsidR="00B2095D" w:rsidRPr="00B2095D" w:rsidRDefault="00B2095D" w:rsidP="00B2095D">
            <w:pPr>
              <w:spacing w:after="0" w:line="240" w:lineRule="auto"/>
              <w:jc w:val="right"/>
              <w:rPr>
                <w:rFonts w:ascii="Calibri" w:eastAsia="Times New Roman" w:hAnsi="Calibri" w:cs="Arial"/>
                <w:sz w:val="20"/>
                <w:szCs w:val="20"/>
                <w:lang w:eastAsia="cs-CZ"/>
              </w:rPr>
            </w:pPr>
            <w:r w:rsidRPr="00B2095D">
              <w:rPr>
                <w:rFonts w:ascii="Calibri" w:eastAsia="Times New Roman" w:hAnsi="Calibri" w:cs="Arial"/>
                <w:sz w:val="20"/>
                <w:szCs w:val="20"/>
                <w:lang w:eastAsia="cs-CZ"/>
              </w:rPr>
              <w:t>13,9</w:t>
            </w:r>
          </w:p>
        </w:tc>
        <w:tc>
          <w:tcPr>
            <w:tcW w:w="160" w:type="dxa"/>
            <w:vAlign w:val="center"/>
            <w:hideMark/>
          </w:tcPr>
          <w:p w14:paraId="2666C9D7" w14:textId="77777777" w:rsidR="00B2095D" w:rsidRPr="00B2095D" w:rsidRDefault="00B2095D" w:rsidP="00B2095D">
            <w:pPr>
              <w:spacing w:after="0" w:line="240" w:lineRule="auto"/>
              <w:rPr>
                <w:rFonts w:ascii="Times New Roman" w:eastAsia="Times New Roman" w:hAnsi="Times New Roman" w:cs="Times New Roman"/>
                <w:sz w:val="20"/>
                <w:szCs w:val="20"/>
                <w:lang w:eastAsia="cs-CZ"/>
              </w:rPr>
            </w:pPr>
          </w:p>
        </w:tc>
      </w:tr>
      <w:tr w:rsidR="00B2095D" w:rsidRPr="00B2095D" w14:paraId="728202C8" w14:textId="77777777" w:rsidTr="00C44E9D">
        <w:trPr>
          <w:trHeight w:val="403"/>
        </w:trPr>
        <w:tc>
          <w:tcPr>
            <w:tcW w:w="4247" w:type="dxa"/>
            <w:gridSpan w:val="2"/>
            <w:tcBorders>
              <w:top w:val="single" w:sz="4" w:space="0" w:color="auto"/>
              <w:left w:val="single" w:sz="8" w:space="0" w:color="auto"/>
              <w:bottom w:val="single" w:sz="4" w:space="0" w:color="auto"/>
              <w:right w:val="nil"/>
            </w:tcBorders>
            <w:shd w:val="clear" w:color="auto" w:fill="auto"/>
            <w:vAlign w:val="bottom"/>
            <w:hideMark/>
          </w:tcPr>
          <w:p w14:paraId="266F2A4B" w14:textId="77777777" w:rsidR="00B2095D" w:rsidRPr="00B2095D" w:rsidRDefault="00B2095D" w:rsidP="00B2095D">
            <w:pPr>
              <w:spacing w:after="0" w:line="240" w:lineRule="auto"/>
              <w:rPr>
                <w:rFonts w:ascii="Calibri" w:eastAsia="Times New Roman" w:hAnsi="Calibri" w:cs="Arial"/>
                <w:sz w:val="20"/>
                <w:szCs w:val="20"/>
                <w:lang w:eastAsia="cs-CZ"/>
              </w:rPr>
            </w:pPr>
            <w:r w:rsidRPr="00B2095D">
              <w:rPr>
                <w:rFonts w:ascii="Calibri" w:eastAsia="Times New Roman" w:hAnsi="Calibri" w:cs="Arial"/>
                <w:sz w:val="20"/>
                <w:szCs w:val="20"/>
                <w:lang w:eastAsia="cs-CZ"/>
              </w:rPr>
              <w:t xml:space="preserve">Rezerva na krytí propadu daňových příjmů </w:t>
            </w:r>
          </w:p>
        </w:tc>
        <w:tc>
          <w:tcPr>
            <w:tcW w:w="1558" w:type="dxa"/>
            <w:tcBorders>
              <w:top w:val="nil"/>
              <w:left w:val="single" w:sz="8" w:space="0" w:color="auto"/>
              <w:bottom w:val="single" w:sz="4" w:space="0" w:color="auto"/>
              <w:right w:val="single" w:sz="4" w:space="0" w:color="auto"/>
            </w:tcBorders>
            <w:shd w:val="clear" w:color="auto" w:fill="auto"/>
            <w:noWrap/>
            <w:vAlign w:val="bottom"/>
            <w:hideMark/>
          </w:tcPr>
          <w:p w14:paraId="11B64322" w14:textId="77777777" w:rsidR="00B2095D" w:rsidRPr="00B2095D" w:rsidRDefault="00B2095D" w:rsidP="00B2095D">
            <w:pPr>
              <w:spacing w:after="0" w:line="240" w:lineRule="auto"/>
              <w:jc w:val="right"/>
              <w:rPr>
                <w:rFonts w:ascii="Calibri" w:eastAsia="Times New Roman" w:hAnsi="Calibri" w:cs="Arial"/>
                <w:sz w:val="20"/>
                <w:szCs w:val="20"/>
                <w:lang w:eastAsia="cs-CZ"/>
              </w:rPr>
            </w:pPr>
            <w:r w:rsidRPr="00B2095D">
              <w:rPr>
                <w:rFonts w:ascii="Calibri" w:eastAsia="Times New Roman" w:hAnsi="Calibri" w:cs="Arial"/>
                <w:sz w:val="20"/>
                <w:szCs w:val="20"/>
                <w:lang w:eastAsia="cs-CZ"/>
              </w:rPr>
              <w:t>0</w:t>
            </w:r>
          </w:p>
        </w:tc>
        <w:tc>
          <w:tcPr>
            <w:tcW w:w="1850" w:type="dxa"/>
            <w:tcBorders>
              <w:top w:val="nil"/>
              <w:left w:val="nil"/>
              <w:bottom w:val="single" w:sz="4" w:space="0" w:color="auto"/>
              <w:right w:val="single" w:sz="4" w:space="0" w:color="auto"/>
            </w:tcBorders>
            <w:shd w:val="clear" w:color="auto" w:fill="auto"/>
            <w:noWrap/>
            <w:vAlign w:val="bottom"/>
            <w:hideMark/>
          </w:tcPr>
          <w:p w14:paraId="183A388F" w14:textId="77777777" w:rsidR="00B2095D" w:rsidRPr="00B2095D" w:rsidRDefault="00B2095D" w:rsidP="00B2095D">
            <w:pPr>
              <w:spacing w:after="0" w:line="240" w:lineRule="auto"/>
              <w:jc w:val="right"/>
              <w:rPr>
                <w:rFonts w:ascii="Calibri" w:eastAsia="Times New Roman" w:hAnsi="Calibri" w:cs="Arial"/>
                <w:sz w:val="20"/>
                <w:szCs w:val="20"/>
                <w:lang w:eastAsia="cs-CZ"/>
              </w:rPr>
            </w:pPr>
            <w:r w:rsidRPr="00B2095D">
              <w:rPr>
                <w:rFonts w:ascii="Calibri" w:eastAsia="Times New Roman" w:hAnsi="Calibri" w:cs="Arial"/>
                <w:sz w:val="20"/>
                <w:szCs w:val="20"/>
                <w:lang w:eastAsia="cs-CZ"/>
              </w:rPr>
              <w:t>0,00</w:t>
            </w:r>
          </w:p>
        </w:tc>
        <w:tc>
          <w:tcPr>
            <w:tcW w:w="1843" w:type="dxa"/>
            <w:tcBorders>
              <w:top w:val="nil"/>
              <w:left w:val="nil"/>
              <w:bottom w:val="single" w:sz="4" w:space="0" w:color="auto"/>
              <w:right w:val="single" w:sz="4" w:space="0" w:color="auto"/>
            </w:tcBorders>
            <w:shd w:val="clear" w:color="auto" w:fill="auto"/>
            <w:noWrap/>
            <w:vAlign w:val="bottom"/>
            <w:hideMark/>
          </w:tcPr>
          <w:p w14:paraId="0C988B30" w14:textId="77777777" w:rsidR="00B2095D" w:rsidRPr="00B2095D" w:rsidRDefault="00B2095D" w:rsidP="00B2095D">
            <w:pPr>
              <w:spacing w:after="0" w:line="240" w:lineRule="auto"/>
              <w:jc w:val="right"/>
              <w:rPr>
                <w:rFonts w:ascii="Calibri" w:eastAsia="Times New Roman" w:hAnsi="Calibri" w:cs="Arial"/>
                <w:sz w:val="20"/>
                <w:szCs w:val="20"/>
                <w:lang w:eastAsia="cs-CZ"/>
              </w:rPr>
            </w:pPr>
            <w:r w:rsidRPr="00B2095D">
              <w:rPr>
                <w:rFonts w:ascii="Calibri" w:eastAsia="Times New Roman" w:hAnsi="Calibri" w:cs="Arial"/>
                <w:sz w:val="20"/>
                <w:szCs w:val="20"/>
                <w:lang w:eastAsia="cs-CZ"/>
              </w:rPr>
              <w:t>0,00</w:t>
            </w:r>
          </w:p>
        </w:tc>
        <w:tc>
          <w:tcPr>
            <w:tcW w:w="830" w:type="dxa"/>
            <w:tcBorders>
              <w:top w:val="nil"/>
              <w:left w:val="nil"/>
              <w:bottom w:val="single" w:sz="4" w:space="0" w:color="auto"/>
              <w:right w:val="single" w:sz="8" w:space="0" w:color="auto"/>
            </w:tcBorders>
            <w:shd w:val="clear" w:color="auto" w:fill="auto"/>
            <w:noWrap/>
            <w:vAlign w:val="bottom"/>
            <w:hideMark/>
          </w:tcPr>
          <w:p w14:paraId="53205D9E" w14:textId="77777777" w:rsidR="00B2095D" w:rsidRPr="00B2095D" w:rsidRDefault="00B2095D" w:rsidP="00B2095D">
            <w:pPr>
              <w:spacing w:after="0" w:line="240" w:lineRule="auto"/>
              <w:jc w:val="right"/>
              <w:rPr>
                <w:rFonts w:ascii="Calibri" w:eastAsia="Times New Roman" w:hAnsi="Calibri" w:cs="Arial"/>
                <w:sz w:val="20"/>
                <w:szCs w:val="20"/>
                <w:lang w:eastAsia="cs-CZ"/>
              </w:rPr>
            </w:pPr>
            <w:r w:rsidRPr="00B2095D">
              <w:rPr>
                <w:rFonts w:ascii="Calibri" w:eastAsia="Times New Roman" w:hAnsi="Calibri" w:cs="Arial"/>
                <w:sz w:val="20"/>
                <w:szCs w:val="20"/>
                <w:lang w:eastAsia="cs-CZ"/>
              </w:rPr>
              <w:t>-</w:t>
            </w:r>
          </w:p>
        </w:tc>
        <w:tc>
          <w:tcPr>
            <w:tcW w:w="160" w:type="dxa"/>
            <w:vAlign w:val="center"/>
            <w:hideMark/>
          </w:tcPr>
          <w:p w14:paraId="1BB4648C" w14:textId="77777777" w:rsidR="00B2095D" w:rsidRPr="00B2095D" w:rsidRDefault="00B2095D" w:rsidP="00B2095D">
            <w:pPr>
              <w:spacing w:after="0" w:line="240" w:lineRule="auto"/>
              <w:rPr>
                <w:rFonts w:ascii="Times New Roman" w:eastAsia="Times New Roman" w:hAnsi="Times New Roman" w:cs="Times New Roman"/>
                <w:sz w:val="20"/>
                <w:szCs w:val="20"/>
                <w:lang w:eastAsia="cs-CZ"/>
              </w:rPr>
            </w:pPr>
          </w:p>
        </w:tc>
      </w:tr>
      <w:tr w:rsidR="00B2095D" w:rsidRPr="00B2095D" w14:paraId="094CE507" w14:textId="77777777" w:rsidTr="00C44E9D">
        <w:trPr>
          <w:trHeight w:val="403"/>
        </w:trPr>
        <w:tc>
          <w:tcPr>
            <w:tcW w:w="4247" w:type="dxa"/>
            <w:gridSpan w:val="2"/>
            <w:tcBorders>
              <w:top w:val="single" w:sz="4" w:space="0" w:color="auto"/>
              <w:left w:val="single" w:sz="8" w:space="0" w:color="auto"/>
              <w:bottom w:val="single" w:sz="4" w:space="0" w:color="auto"/>
              <w:right w:val="nil"/>
            </w:tcBorders>
            <w:shd w:val="clear" w:color="auto" w:fill="auto"/>
            <w:vAlign w:val="bottom"/>
            <w:hideMark/>
          </w:tcPr>
          <w:p w14:paraId="00B1AE24" w14:textId="77777777" w:rsidR="00B2095D" w:rsidRPr="00B2095D" w:rsidRDefault="00B2095D" w:rsidP="00B2095D">
            <w:pPr>
              <w:spacing w:after="0" w:line="240" w:lineRule="auto"/>
              <w:rPr>
                <w:rFonts w:ascii="Calibri" w:eastAsia="Times New Roman" w:hAnsi="Calibri" w:cs="Arial"/>
                <w:sz w:val="20"/>
                <w:szCs w:val="20"/>
                <w:lang w:eastAsia="cs-CZ"/>
              </w:rPr>
            </w:pPr>
            <w:r w:rsidRPr="00B2095D">
              <w:rPr>
                <w:rFonts w:ascii="Calibri" w:eastAsia="Times New Roman" w:hAnsi="Calibri" w:cs="Arial"/>
                <w:sz w:val="20"/>
                <w:szCs w:val="20"/>
                <w:lang w:eastAsia="cs-CZ"/>
              </w:rPr>
              <w:t>Dluhová služba za úvěr nemocnic</w:t>
            </w:r>
          </w:p>
        </w:tc>
        <w:tc>
          <w:tcPr>
            <w:tcW w:w="1558" w:type="dxa"/>
            <w:tcBorders>
              <w:top w:val="nil"/>
              <w:left w:val="single" w:sz="8" w:space="0" w:color="auto"/>
              <w:bottom w:val="single" w:sz="4" w:space="0" w:color="auto"/>
              <w:right w:val="single" w:sz="4" w:space="0" w:color="auto"/>
            </w:tcBorders>
            <w:shd w:val="clear" w:color="auto" w:fill="auto"/>
            <w:noWrap/>
            <w:vAlign w:val="bottom"/>
            <w:hideMark/>
          </w:tcPr>
          <w:p w14:paraId="3B725BBE" w14:textId="77777777" w:rsidR="00B2095D" w:rsidRPr="00B2095D" w:rsidRDefault="00B2095D" w:rsidP="00B2095D">
            <w:pPr>
              <w:spacing w:after="0" w:line="240" w:lineRule="auto"/>
              <w:jc w:val="right"/>
              <w:rPr>
                <w:rFonts w:ascii="Calibri" w:eastAsia="Times New Roman" w:hAnsi="Calibri" w:cs="Arial"/>
                <w:sz w:val="20"/>
                <w:szCs w:val="20"/>
                <w:lang w:eastAsia="cs-CZ"/>
              </w:rPr>
            </w:pPr>
            <w:r w:rsidRPr="00B2095D">
              <w:rPr>
                <w:rFonts w:ascii="Calibri" w:eastAsia="Times New Roman" w:hAnsi="Calibri" w:cs="Arial"/>
                <w:sz w:val="20"/>
                <w:szCs w:val="20"/>
                <w:lang w:eastAsia="cs-CZ"/>
              </w:rPr>
              <w:t>191 487 000</w:t>
            </w:r>
          </w:p>
        </w:tc>
        <w:tc>
          <w:tcPr>
            <w:tcW w:w="1850" w:type="dxa"/>
            <w:tcBorders>
              <w:top w:val="nil"/>
              <w:left w:val="nil"/>
              <w:bottom w:val="single" w:sz="4" w:space="0" w:color="auto"/>
              <w:right w:val="single" w:sz="4" w:space="0" w:color="auto"/>
            </w:tcBorders>
            <w:shd w:val="clear" w:color="auto" w:fill="auto"/>
            <w:noWrap/>
            <w:vAlign w:val="bottom"/>
            <w:hideMark/>
          </w:tcPr>
          <w:p w14:paraId="2D365880" w14:textId="77777777" w:rsidR="00B2095D" w:rsidRPr="00B2095D" w:rsidRDefault="00B2095D" w:rsidP="00B2095D">
            <w:pPr>
              <w:spacing w:after="0" w:line="240" w:lineRule="auto"/>
              <w:jc w:val="right"/>
              <w:rPr>
                <w:rFonts w:ascii="Calibri" w:eastAsia="Times New Roman" w:hAnsi="Calibri" w:cs="Arial"/>
                <w:sz w:val="20"/>
                <w:szCs w:val="20"/>
                <w:lang w:eastAsia="cs-CZ"/>
              </w:rPr>
            </w:pPr>
            <w:r w:rsidRPr="00B2095D">
              <w:rPr>
                <w:rFonts w:ascii="Calibri" w:eastAsia="Times New Roman" w:hAnsi="Calibri" w:cs="Arial"/>
                <w:sz w:val="20"/>
                <w:szCs w:val="20"/>
                <w:lang w:eastAsia="cs-CZ"/>
              </w:rPr>
              <w:t>191 487 000,00</w:t>
            </w:r>
          </w:p>
        </w:tc>
        <w:tc>
          <w:tcPr>
            <w:tcW w:w="1843" w:type="dxa"/>
            <w:tcBorders>
              <w:top w:val="nil"/>
              <w:left w:val="nil"/>
              <w:bottom w:val="single" w:sz="4" w:space="0" w:color="auto"/>
              <w:right w:val="single" w:sz="4" w:space="0" w:color="auto"/>
            </w:tcBorders>
            <w:shd w:val="clear" w:color="auto" w:fill="auto"/>
            <w:noWrap/>
            <w:vAlign w:val="bottom"/>
            <w:hideMark/>
          </w:tcPr>
          <w:p w14:paraId="18EDE897" w14:textId="77777777" w:rsidR="00B2095D" w:rsidRPr="00B2095D" w:rsidRDefault="00B2095D" w:rsidP="00B2095D">
            <w:pPr>
              <w:spacing w:after="0" w:line="240" w:lineRule="auto"/>
              <w:jc w:val="right"/>
              <w:rPr>
                <w:rFonts w:ascii="Calibri" w:eastAsia="Times New Roman" w:hAnsi="Calibri" w:cs="Arial"/>
                <w:sz w:val="20"/>
                <w:szCs w:val="20"/>
                <w:lang w:eastAsia="cs-CZ"/>
              </w:rPr>
            </w:pPr>
            <w:r w:rsidRPr="00B2095D">
              <w:rPr>
                <w:rFonts w:ascii="Calibri" w:eastAsia="Times New Roman" w:hAnsi="Calibri" w:cs="Arial"/>
                <w:sz w:val="20"/>
                <w:szCs w:val="20"/>
                <w:lang w:eastAsia="cs-CZ"/>
              </w:rPr>
              <w:t>185 362 808,58</w:t>
            </w:r>
          </w:p>
        </w:tc>
        <w:tc>
          <w:tcPr>
            <w:tcW w:w="830" w:type="dxa"/>
            <w:tcBorders>
              <w:top w:val="nil"/>
              <w:left w:val="nil"/>
              <w:bottom w:val="single" w:sz="4" w:space="0" w:color="auto"/>
              <w:right w:val="single" w:sz="8" w:space="0" w:color="auto"/>
            </w:tcBorders>
            <w:shd w:val="clear" w:color="auto" w:fill="auto"/>
            <w:noWrap/>
            <w:vAlign w:val="bottom"/>
            <w:hideMark/>
          </w:tcPr>
          <w:p w14:paraId="7A00A445" w14:textId="77777777" w:rsidR="00B2095D" w:rsidRPr="00B2095D" w:rsidRDefault="00B2095D" w:rsidP="00B2095D">
            <w:pPr>
              <w:spacing w:after="0" w:line="240" w:lineRule="auto"/>
              <w:jc w:val="right"/>
              <w:rPr>
                <w:rFonts w:ascii="Calibri" w:eastAsia="Times New Roman" w:hAnsi="Calibri" w:cs="Arial"/>
                <w:sz w:val="20"/>
                <w:szCs w:val="20"/>
                <w:lang w:eastAsia="cs-CZ"/>
              </w:rPr>
            </w:pPr>
            <w:r w:rsidRPr="00B2095D">
              <w:rPr>
                <w:rFonts w:ascii="Calibri" w:eastAsia="Times New Roman" w:hAnsi="Calibri" w:cs="Arial"/>
                <w:sz w:val="20"/>
                <w:szCs w:val="20"/>
                <w:lang w:eastAsia="cs-CZ"/>
              </w:rPr>
              <w:t>96,8</w:t>
            </w:r>
          </w:p>
        </w:tc>
        <w:tc>
          <w:tcPr>
            <w:tcW w:w="160" w:type="dxa"/>
            <w:vAlign w:val="center"/>
            <w:hideMark/>
          </w:tcPr>
          <w:p w14:paraId="05AAECD9" w14:textId="77777777" w:rsidR="00B2095D" w:rsidRPr="00B2095D" w:rsidRDefault="00B2095D" w:rsidP="00B2095D">
            <w:pPr>
              <w:spacing w:after="0" w:line="240" w:lineRule="auto"/>
              <w:rPr>
                <w:rFonts w:ascii="Times New Roman" w:eastAsia="Times New Roman" w:hAnsi="Times New Roman" w:cs="Times New Roman"/>
                <w:sz w:val="20"/>
                <w:szCs w:val="20"/>
                <w:lang w:eastAsia="cs-CZ"/>
              </w:rPr>
            </w:pPr>
          </w:p>
        </w:tc>
      </w:tr>
      <w:tr w:rsidR="00B2095D" w:rsidRPr="00B2095D" w14:paraId="5AAC8C50" w14:textId="77777777" w:rsidTr="00C44E9D">
        <w:trPr>
          <w:trHeight w:val="403"/>
        </w:trPr>
        <w:tc>
          <w:tcPr>
            <w:tcW w:w="4247" w:type="dxa"/>
            <w:gridSpan w:val="2"/>
            <w:tcBorders>
              <w:top w:val="single" w:sz="4" w:space="0" w:color="auto"/>
              <w:left w:val="single" w:sz="8" w:space="0" w:color="auto"/>
              <w:bottom w:val="single" w:sz="4" w:space="0" w:color="auto"/>
              <w:right w:val="nil"/>
            </w:tcBorders>
            <w:shd w:val="clear" w:color="auto" w:fill="auto"/>
            <w:vAlign w:val="bottom"/>
            <w:hideMark/>
          </w:tcPr>
          <w:p w14:paraId="65FAE6C0" w14:textId="77777777" w:rsidR="00B2095D" w:rsidRPr="00B2095D" w:rsidRDefault="00B2095D" w:rsidP="00B2095D">
            <w:pPr>
              <w:spacing w:after="0" w:line="240" w:lineRule="auto"/>
              <w:rPr>
                <w:rFonts w:ascii="Calibri" w:eastAsia="Times New Roman" w:hAnsi="Calibri" w:cs="Arial"/>
                <w:sz w:val="20"/>
                <w:szCs w:val="20"/>
                <w:lang w:eastAsia="cs-CZ"/>
              </w:rPr>
            </w:pPr>
            <w:r w:rsidRPr="00B2095D">
              <w:rPr>
                <w:rFonts w:ascii="Calibri" w:eastAsia="Times New Roman" w:hAnsi="Calibri" w:cs="Arial"/>
                <w:sz w:val="20"/>
                <w:szCs w:val="20"/>
                <w:lang w:eastAsia="cs-CZ"/>
              </w:rPr>
              <w:t>Dotace ze státního rozpočtu a ostatních veřejných rozpočtů</w:t>
            </w:r>
          </w:p>
        </w:tc>
        <w:tc>
          <w:tcPr>
            <w:tcW w:w="1558" w:type="dxa"/>
            <w:tcBorders>
              <w:top w:val="nil"/>
              <w:left w:val="single" w:sz="8" w:space="0" w:color="auto"/>
              <w:bottom w:val="nil"/>
              <w:right w:val="single" w:sz="4" w:space="0" w:color="auto"/>
            </w:tcBorders>
            <w:shd w:val="clear" w:color="auto" w:fill="auto"/>
            <w:noWrap/>
            <w:vAlign w:val="bottom"/>
            <w:hideMark/>
          </w:tcPr>
          <w:p w14:paraId="65735034" w14:textId="77777777" w:rsidR="00B2095D" w:rsidRPr="00B2095D" w:rsidRDefault="00B2095D" w:rsidP="00B2095D">
            <w:pPr>
              <w:spacing w:after="0" w:line="240" w:lineRule="auto"/>
              <w:jc w:val="right"/>
              <w:rPr>
                <w:rFonts w:ascii="Calibri" w:eastAsia="Times New Roman" w:hAnsi="Calibri" w:cs="Arial"/>
                <w:sz w:val="20"/>
                <w:szCs w:val="20"/>
                <w:lang w:eastAsia="cs-CZ"/>
              </w:rPr>
            </w:pPr>
            <w:r w:rsidRPr="00B2095D">
              <w:rPr>
                <w:rFonts w:ascii="Calibri" w:eastAsia="Times New Roman" w:hAnsi="Calibri" w:cs="Arial"/>
                <w:sz w:val="20"/>
                <w:szCs w:val="20"/>
                <w:lang w:eastAsia="cs-CZ"/>
              </w:rPr>
              <w:t>0</w:t>
            </w:r>
          </w:p>
        </w:tc>
        <w:tc>
          <w:tcPr>
            <w:tcW w:w="1850" w:type="dxa"/>
            <w:tcBorders>
              <w:top w:val="nil"/>
              <w:left w:val="nil"/>
              <w:bottom w:val="nil"/>
              <w:right w:val="single" w:sz="4" w:space="0" w:color="auto"/>
            </w:tcBorders>
            <w:shd w:val="clear" w:color="auto" w:fill="auto"/>
            <w:noWrap/>
            <w:vAlign w:val="bottom"/>
            <w:hideMark/>
          </w:tcPr>
          <w:p w14:paraId="13D8CFC8" w14:textId="77777777" w:rsidR="00B2095D" w:rsidRPr="00B2095D" w:rsidRDefault="00B2095D" w:rsidP="00B2095D">
            <w:pPr>
              <w:spacing w:after="0" w:line="240" w:lineRule="auto"/>
              <w:jc w:val="right"/>
              <w:rPr>
                <w:rFonts w:ascii="Calibri" w:eastAsia="Times New Roman" w:hAnsi="Calibri" w:cs="Arial"/>
                <w:sz w:val="20"/>
                <w:szCs w:val="20"/>
                <w:lang w:eastAsia="cs-CZ"/>
              </w:rPr>
            </w:pPr>
            <w:r w:rsidRPr="00B2095D">
              <w:rPr>
                <w:rFonts w:ascii="Calibri" w:eastAsia="Times New Roman" w:hAnsi="Calibri" w:cs="Arial"/>
                <w:sz w:val="20"/>
                <w:szCs w:val="20"/>
                <w:lang w:eastAsia="cs-CZ"/>
              </w:rPr>
              <w:t>3 795 757 872,75</w:t>
            </w:r>
          </w:p>
        </w:tc>
        <w:tc>
          <w:tcPr>
            <w:tcW w:w="1843" w:type="dxa"/>
            <w:tcBorders>
              <w:top w:val="nil"/>
              <w:left w:val="nil"/>
              <w:bottom w:val="nil"/>
              <w:right w:val="single" w:sz="4" w:space="0" w:color="auto"/>
            </w:tcBorders>
            <w:shd w:val="clear" w:color="auto" w:fill="auto"/>
            <w:noWrap/>
            <w:vAlign w:val="bottom"/>
            <w:hideMark/>
          </w:tcPr>
          <w:p w14:paraId="7FA7ECEA" w14:textId="77777777" w:rsidR="00B2095D" w:rsidRPr="00B2095D" w:rsidRDefault="00B2095D" w:rsidP="00B2095D">
            <w:pPr>
              <w:spacing w:after="0" w:line="240" w:lineRule="auto"/>
              <w:jc w:val="right"/>
              <w:rPr>
                <w:rFonts w:ascii="Calibri" w:eastAsia="Times New Roman" w:hAnsi="Calibri" w:cs="Arial"/>
                <w:sz w:val="20"/>
                <w:szCs w:val="20"/>
                <w:lang w:eastAsia="cs-CZ"/>
              </w:rPr>
            </w:pPr>
            <w:r w:rsidRPr="00B2095D">
              <w:rPr>
                <w:rFonts w:ascii="Calibri" w:eastAsia="Times New Roman" w:hAnsi="Calibri" w:cs="Arial"/>
                <w:sz w:val="20"/>
                <w:szCs w:val="20"/>
                <w:lang w:eastAsia="cs-CZ"/>
              </w:rPr>
              <w:t>2 263 215 965,38</w:t>
            </w:r>
          </w:p>
        </w:tc>
        <w:tc>
          <w:tcPr>
            <w:tcW w:w="830" w:type="dxa"/>
            <w:tcBorders>
              <w:top w:val="nil"/>
              <w:left w:val="nil"/>
              <w:bottom w:val="nil"/>
              <w:right w:val="single" w:sz="8" w:space="0" w:color="auto"/>
            </w:tcBorders>
            <w:shd w:val="clear" w:color="auto" w:fill="auto"/>
            <w:noWrap/>
            <w:vAlign w:val="bottom"/>
            <w:hideMark/>
          </w:tcPr>
          <w:p w14:paraId="6838D53A" w14:textId="77777777" w:rsidR="00B2095D" w:rsidRPr="00B2095D" w:rsidRDefault="00B2095D" w:rsidP="00B2095D">
            <w:pPr>
              <w:spacing w:after="0" w:line="240" w:lineRule="auto"/>
              <w:jc w:val="right"/>
              <w:rPr>
                <w:rFonts w:ascii="Calibri" w:eastAsia="Times New Roman" w:hAnsi="Calibri" w:cs="Arial"/>
                <w:sz w:val="20"/>
                <w:szCs w:val="20"/>
                <w:lang w:eastAsia="cs-CZ"/>
              </w:rPr>
            </w:pPr>
            <w:r w:rsidRPr="00B2095D">
              <w:rPr>
                <w:rFonts w:ascii="Calibri" w:eastAsia="Times New Roman" w:hAnsi="Calibri" w:cs="Arial"/>
                <w:sz w:val="20"/>
                <w:szCs w:val="20"/>
                <w:lang w:eastAsia="cs-CZ"/>
              </w:rPr>
              <w:t>59,6</w:t>
            </w:r>
          </w:p>
        </w:tc>
        <w:tc>
          <w:tcPr>
            <w:tcW w:w="160" w:type="dxa"/>
            <w:vAlign w:val="center"/>
            <w:hideMark/>
          </w:tcPr>
          <w:p w14:paraId="6758F499" w14:textId="77777777" w:rsidR="00B2095D" w:rsidRPr="00B2095D" w:rsidRDefault="00B2095D" w:rsidP="00B2095D">
            <w:pPr>
              <w:spacing w:after="0" w:line="240" w:lineRule="auto"/>
              <w:rPr>
                <w:rFonts w:ascii="Times New Roman" w:eastAsia="Times New Roman" w:hAnsi="Times New Roman" w:cs="Times New Roman"/>
                <w:sz w:val="20"/>
                <w:szCs w:val="20"/>
                <w:lang w:eastAsia="cs-CZ"/>
              </w:rPr>
            </w:pPr>
          </w:p>
        </w:tc>
      </w:tr>
      <w:tr w:rsidR="00B2095D" w:rsidRPr="00B2095D" w14:paraId="22F78498" w14:textId="77777777" w:rsidTr="00C44E9D">
        <w:trPr>
          <w:trHeight w:val="600"/>
        </w:trPr>
        <w:tc>
          <w:tcPr>
            <w:tcW w:w="4247" w:type="dxa"/>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A6E66D6" w14:textId="77777777" w:rsidR="00B2095D" w:rsidRPr="00B2095D" w:rsidRDefault="00B2095D" w:rsidP="00B2095D">
            <w:pPr>
              <w:spacing w:after="0" w:line="240" w:lineRule="auto"/>
              <w:rPr>
                <w:rFonts w:ascii="Calibri" w:eastAsia="Times New Roman" w:hAnsi="Calibri" w:cs="Arial"/>
                <w:b/>
                <w:bCs/>
                <w:sz w:val="24"/>
                <w:szCs w:val="24"/>
                <w:lang w:eastAsia="cs-CZ"/>
              </w:rPr>
            </w:pPr>
            <w:r w:rsidRPr="00B2095D">
              <w:rPr>
                <w:rFonts w:ascii="Calibri" w:eastAsia="Times New Roman" w:hAnsi="Calibri" w:cs="Arial"/>
                <w:b/>
                <w:bCs/>
                <w:sz w:val="24"/>
                <w:szCs w:val="24"/>
                <w:lang w:eastAsia="cs-CZ"/>
              </w:rPr>
              <w:t>Kapitálové výdaje celkem</w:t>
            </w:r>
          </w:p>
          <w:p w14:paraId="2ED736AC" w14:textId="6FF8E4CC" w:rsidR="00B2095D" w:rsidRPr="00B2095D" w:rsidRDefault="00B2095D" w:rsidP="00B2095D">
            <w:pPr>
              <w:spacing w:after="0" w:line="240" w:lineRule="auto"/>
              <w:rPr>
                <w:rFonts w:ascii="Calibri" w:eastAsia="Times New Roman" w:hAnsi="Calibri" w:cs="Arial"/>
                <w:b/>
                <w:bCs/>
                <w:sz w:val="24"/>
                <w:szCs w:val="24"/>
                <w:lang w:eastAsia="cs-CZ"/>
              </w:rPr>
            </w:pPr>
            <w:r w:rsidRPr="00B2095D">
              <w:rPr>
                <w:rFonts w:ascii="Calibri" w:eastAsia="Times New Roman" w:hAnsi="Calibri" w:cs="Arial"/>
                <w:b/>
                <w:bCs/>
                <w:sz w:val="24"/>
                <w:szCs w:val="24"/>
                <w:lang w:eastAsia="cs-CZ"/>
              </w:rPr>
              <w:t> </w:t>
            </w:r>
          </w:p>
        </w:tc>
        <w:tc>
          <w:tcPr>
            <w:tcW w:w="1558"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11593DBA" w14:textId="77777777" w:rsidR="00B2095D" w:rsidRPr="00B2095D" w:rsidRDefault="00B2095D" w:rsidP="00B2095D">
            <w:pPr>
              <w:spacing w:after="0" w:line="240" w:lineRule="auto"/>
              <w:jc w:val="right"/>
              <w:rPr>
                <w:rFonts w:ascii="Calibri" w:eastAsia="Times New Roman" w:hAnsi="Calibri" w:cs="Arial"/>
                <w:b/>
                <w:bCs/>
                <w:sz w:val="24"/>
                <w:szCs w:val="24"/>
                <w:lang w:eastAsia="cs-CZ"/>
              </w:rPr>
            </w:pPr>
            <w:r w:rsidRPr="00B2095D">
              <w:rPr>
                <w:rFonts w:ascii="Calibri" w:eastAsia="Times New Roman" w:hAnsi="Calibri" w:cs="Arial"/>
                <w:b/>
                <w:bCs/>
                <w:sz w:val="24"/>
                <w:szCs w:val="24"/>
                <w:lang w:eastAsia="cs-CZ"/>
              </w:rPr>
              <w:t>3 630 987 000</w:t>
            </w:r>
          </w:p>
        </w:tc>
        <w:tc>
          <w:tcPr>
            <w:tcW w:w="1850" w:type="dxa"/>
            <w:tcBorders>
              <w:top w:val="single" w:sz="8" w:space="0" w:color="auto"/>
              <w:left w:val="nil"/>
              <w:bottom w:val="single" w:sz="8" w:space="0" w:color="auto"/>
              <w:right w:val="single" w:sz="4" w:space="0" w:color="auto"/>
            </w:tcBorders>
            <w:shd w:val="clear" w:color="auto" w:fill="auto"/>
            <w:noWrap/>
            <w:vAlign w:val="bottom"/>
            <w:hideMark/>
          </w:tcPr>
          <w:p w14:paraId="27A1C8DC" w14:textId="77777777" w:rsidR="00B2095D" w:rsidRPr="00B2095D" w:rsidRDefault="00B2095D" w:rsidP="00B2095D">
            <w:pPr>
              <w:spacing w:after="0" w:line="240" w:lineRule="auto"/>
              <w:jc w:val="right"/>
              <w:rPr>
                <w:rFonts w:ascii="Calibri" w:eastAsia="Times New Roman" w:hAnsi="Calibri" w:cs="Arial"/>
                <w:b/>
                <w:bCs/>
                <w:sz w:val="24"/>
                <w:szCs w:val="24"/>
                <w:lang w:eastAsia="cs-CZ"/>
              </w:rPr>
            </w:pPr>
            <w:r w:rsidRPr="00B2095D">
              <w:rPr>
                <w:rFonts w:ascii="Calibri" w:eastAsia="Times New Roman" w:hAnsi="Calibri" w:cs="Arial"/>
                <w:b/>
                <w:bCs/>
                <w:sz w:val="24"/>
                <w:szCs w:val="24"/>
                <w:lang w:eastAsia="cs-CZ"/>
              </w:rPr>
              <w:t>9 063 977 530,46</w:t>
            </w:r>
          </w:p>
        </w:tc>
        <w:tc>
          <w:tcPr>
            <w:tcW w:w="1843" w:type="dxa"/>
            <w:tcBorders>
              <w:top w:val="single" w:sz="8" w:space="0" w:color="auto"/>
              <w:left w:val="nil"/>
              <w:bottom w:val="single" w:sz="8" w:space="0" w:color="auto"/>
              <w:right w:val="single" w:sz="4" w:space="0" w:color="auto"/>
            </w:tcBorders>
            <w:shd w:val="clear" w:color="auto" w:fill="auto"/>
            <w:noWrap/>
            <w:vAlign w:val="bottom"/>
            <w:hideMark/>
          </w:tcPr>
          <w:p w14:paraId="04A373EC" w14:textId="77777777" w:rsidR="00B2095D" w:rsidRPr="00B2095D" w:rsidRDefault="00B2095D" w:rsidP="00B2095D">
            <w:pPr>
              <w:spacing w:after="0" w:line="240" w:lineRule="auto"/>
              <w:jc w:val="right"/>
              <w:rPr>
                <w:rFonts w:ascii="Calibri" w:eastAsia="Times New Roman" w:hAnsi="Calibri" w:cs="Arial"/>
                <w:b/>
                <w:bCs/>
                <w:sz w:val="24"/>
                <w:szCs w:val="24"/>
                <w:lang w:eastAsia="cs-CZ"/>
              </w:rPr>
            </w:pPr>
            <w:r w:rsidRPr="00B2095D">
              <w:rPr>
                <w:rFonts w:ascii="Calibri" w:eastAsia="Times New Roman" w:hAnsi="Calibri" w:cs="Arial"/>
                <w:b/>
                <w:bCs/>
                <w:sz w:val="24"/>
                <w:szCs w:val="24"/>
                <w:lang w:eastAsia="cs-CZ"/>
              </w:rPr>
              <w:t>5 522 800 500,25</w:t>
            </w:r>
          </w:p>
        </w:tc>
        <w:tc>
          <w:tcPr>
            <w:tcW w:w="830" w:type="dxa"/>
            <w:tcBorders>
              <w:top w:val="single" w:sz="8" w:space="0" w:color="auto"/>
              <w:left w:val="nil"/>
              <w:bottom w:val="single" w:sz="8" w:space="0" w:color="auto"/>
              <w:right w:val="single" w:sz="8" w:space="0" w:color="auto"/>
            </w:tcBorders>
            <w:shd w:val="clear" w:color="auto" w:fill="auto"/>
            <w:noWrap/>
            <w:vAlign w:val="bottom"/>
            <w:hideMark/>
          </w:tcPr>
          <w:p w14:paraId="0DA2C99A" w14:textId="77777777" w:rsidR="00B2095D" w:rsidRPr="00B2095D" w:rsidRDefault="00B2095D" w:rsidP="00B2095D">
            <w:pPr>
              <w:spacing w:after="0" w:line="240" w:lineRule="auto"/>
              <w:jc w:val="right"/>
              <w:rPr>
                <w:rFonts w:ascii="Calibri" w:eastAsia="Times New Roman" w:hAnsi="Calibri" w:cs="Arial"/>
                <w:b/>
                <w:bCs/>
                <w:sz w:val="24"/>
                <w:szCs w:val="24"/>
                <w:lang w:eastAsia="cs-CZ"/>
              </w:rPr>
            </w:pPr>
            <w:r w:rsidRPr="00B2095D">
              <w:rPr>
                <w:rFonts w:ascii="Calibri" w:eastAsia="Times New Roman" w:hAnsi="Calibri" w:cs="Arial"/>
                <w:b/>
                <w:bCs/>
                <w:sz w:val="24"/>
                <w:szCs w:val="24"/>
                <w:lang w:eastAsia="cs-CZ"/>
              </w:rPr>
              <w:t>60,9</w:t>
            </w:r>
          </w:p>
        </w:tc>
        <w:tc>
          <w:tcPr>
            <w:tcW w:w="160" w:type="dxa"/>
            <w:vAlign w:val="center"/>
            <w:hideMark/>
          </w:tcPr>
          <w:p w14:paraId="391CDA82" w14:textId="77777777" w:rsidR="00B2095D" w:rsidRPr="00B2095D" w:rsidRDefault="00B2095D" w:rsidP="00B2095D">
            <w:pPr>
              <w:spacing w:after="0" w:line="240" w:lineRule="auto"/>
              <w:rPr>
                <w:rFonts w:ascii="Times New Roman" w:eastAsia="Times New Roman" w:hAnsi="Times New Roman" w:cs="Times New Roman"/>
                <w:sz w:val="20"/>
                <w:szCs w:val="20"/>
                <w:lang w:eastAsia="cs-CZ"/>
              </w:rPr>
            </w:pPr>
          </w:p>
        </w:tc>
      </w:tr>
    </w:tbl>
    <w:p w14:paraId="1636B028" w14:textId="77777777" w:rsidR="00B2095D" w:rsidRDefault="00B2095D"/>
    <w:p w14:paraId="6D7B3BD0" w14:textId="2BB27BAC" w:rsidR="00A275CF" w:rsidRDefault="00A275CF"/>
    <w:p w14:paraId="793F388B" w14:textId="09691C25" w:rsidR="00A275CF" w:rsidRDefault="00A275CF"/>
    <w:p w14:paraId="20695D6F" w14:textId="05322253" w:rsidR="00A275CF" w:rsidRDefault="00A275CF"/>
    <w:p w14:paraId="6F5B8A10" w14:textId="25CC85B2" w:rsidR="00A275CF" w:rsidRDefault="00A275CF"/>
    <w:p w14:paraId="3231B723" w14:textId="384B7968" w:rsidR="00A275CF" w:rsidRDefault="00A275CF"/>
    <w:p w14:paraId="427D4D65" w14:textId="731D8E6E" w:rsidR="00A275CF" w:rsidRDefault="00A275CF"/>
    <w:p w14:paraId="4FEDF76A" w14:textId="7739753F" w:rsidR="00C36D8D" w:rsidRDefault="00C36D8D"/>
    <w:p w14:paraId="7253E69F" w14:textId="17C361F8" w:rsidR="00C36D8D" w:rsidRDefault="00C36D8D"/>
    <w:p w14:paraId="3D92127A" w14:textId="27DBB2AE" w:rsidR="00C36D8D" w:rsidRDefault="00C36D8D"/>
    <w:p w14:paraId="32628751" w14:textId="192C9ABD" w:rsidR="00C36D8D" w:rsidRDefault="00C36D8D"/>
    <w:p w14:paraId="5F390E17" w14:textId="2ADE627F" w:rsidR="00FA48C7" w:rsidRDefault="00FA48C7"/>
    <w:p w14:paraId="30756952" w14:textId="625DE9DC" w:rsidR="00FA48C7" w:rsidRDefault="00FA48C7"/>
    <w:p w14:paraId="47E194E2" w14:textId="34197486" w:rsidR="00C44E9D" w:rsidRDefault="00C44E9D"/>
    <w:p w14:paraId="4F980B06" w14:textId="16EBD6EC" w:rsidR="00C44E9D" w:rsidRDefault="00C44E9D"/>
    <w:p w14:paraId="70A0EB3B" w14:textId="77777777" w:rsidR="00C44E9D" w:rsidRDefault="00C44E9D"/>
    <w:p w14:paraId="2CB1E20B" w14:textId="77777777" w:rsidR="00C36D8D" w:rsidRDefault="00C36D8D"/>
    <w:tbl>
      <w:tblPr>
        <w:tblW w:w="9923" w:type="dxa"/>
        <w:tblCellMar>
          <w:left w:w="70" w:type="dxa"/>
          <w:right w:w="70" w:type="dxa"/>
        </w:tblCellMar>
        <w:tblLook w:val="04A0" w:firstRow="1" w:lastRow="0" w:firstColumn="1" w:lastColumn="0" w:noHBand="0" w:noVBand="1"/>
      </w:tblPr>
      <w:tblGrid>
        <w:gridCol w:w="3828"/>
        <w:gridCol w:w="1417"/>
        <w:gridCol w:w="1701"/>
        <w:gridCol w:w="1701"/>
        <w:gridCol w:w="1276"/>
      </w:tblGrid>
      <w:tr w:rsidR="00C65364" w:rsidRPr="00C65364" w14:paraId="19608F97" w14:textId="77777777" w:rsidTr="00C65364">
        <w:trPr>
          <w:trHeight w:val="440"/>
        </w:trPr>
        <w:tc>
          <w:tcPr>
            <w:tcW w:w="6946" w:type="dxa"/>
            <w:gridSpan w:val="3"/>
            <w:tcBorders>
              <w:top w:val="nil"/>
              <w:left w:val="nil"/>
              <w:bottom w:val="nil"/>
              <w:right w:val="nil"/>
            </w:tcBorders>
            <w:shd w:val="clear" w:color="auto" w:fill="auto"/>
            <w:noWrap/>
            <w:vAlign w:val="bottom"/>
            <w:hideMark/>
          </w:tcPr>
          <w:p w14:paraId="5B50EC6D" w14:textId="77777777" w:rsidR="00C65364" w:rsidRPr="00C65364" w:rsidRDefault="00C65364" w:rsidP="00C65364">
            <w:pPr>
              <w:spacing w:after="0" w:line="240" w:lineRule="auto"/>
              <w:rPr>
                <w:rFonts w:ascii="Calibri" w:eastAsia="Times New Roman" w:hAnsi="Calibri" w:cs="Arial"/>
                <w:b/>
                <w:bCs/>
                <w:sz w:val="36"/>
                <w:szCs w:val="36"/>
                <w:lang w:eastAsia="cs-CZ"/>
              </w:rPr>
            </w:pPr>
            <w:r w:rsidRPr="00C65364">
              <w:rPr>
                <w:rFonts w:ascii="Calibri" w:eastAsia="Times New Roman" w:hAnsi="Calibri" w:cs="Arial"/>
                <w:b/>
                <w:bCs/>
                <w:sz w:val="36"/>
                <w:szCs w:val="36"/>
                <w:lang w:eastAsia="cs-CZ"/>
              </w:rPr>
              <w:lastRenderedPageBreak/>
              <w:t xml:space="preserve">Čerpání rozpočtu Středočeského kraje </w:t>
            </w:r>
          </w:p>
        </w:tc>
        <w:tc>
          <w:tcPr>
            <w:tcW w:w="1701" w:type="dxa"/>
            <w:tcBorders>
              <w:top w:val="nil"/>
              <w:left w:val="nil"/>
              <w:bottom w:val="nil"/>
              <w:right w:val="nil"/>
            </w:tcBorders>
            <w:shd w:val="clear" w:color="auto" w:fill="auto"/>
            <w:noWrap/>
            <w:vAlign w:val="bottom"/>
            <w:hideMark/>
          </w:tcPr>
          <w:p w14:paraId="4A8B02E4" w14:textId="77777777" w:rsidR="00C65364" w:rsidRPr="00C65364" w:rsidRDefault="00C65364" w:rsidP="00C65364">
            <w:pPr>
              <w:spacing w:after="0" w:line="240" w:lineRule="auto"/>
              <w:rPr>
                <w:rFonts w:ascii="Calibri" w:eastAsia="Times New Roman" w:hAnsi="Calibri" w:cs="Arial"/>
                <w:b/>
                <w:bCs/>
                <w:sz w:val="36"/>
                <w:szCs w:val="36"/>
                <w:lang w:eastAsia="cs-CZ"/>
              </w:rPr>
            </w:pPr>
          </w:p>
        </w:tc>
        <w:tc>
          <w:tcPr>
            <w:tcW w:w="1276" w:type="dxa"/>
            <w:tcBorders>
              <w:top w:val="nil"/>
              <w:left w:val="nil"/>
              <w:bottom w:val="nil"/>
              <w:right w:val="nil"/>
            </w:tcBorders>
            <w:shd w:val="clear" w:color="auto" w:fill="auto"/>
            <w:noWrap/>
            <w:vAlign w:val="bottom"/>
            <w:hideMark/>
          </w:tcPr>
          <w:p w14:paraId="51FAB0E1" w14:textId="77777777" w:rsidR="00C65364" w:rsidRPr="00C65364" w:rsidRDefault="00C65364" w:rsidP="00C65364">
            <w:pPr>
              <w:spacing w:after="0" w:line="240" w:lineRule="auto"/>
              <w:rPr>
                <w:rFonts w:ascii="Times New Roman" w:eastAsia="Times New Roman" w:hAnsi="Times New Roman" w:cs="Times New Roman"/>
                <w:sz w:val="20"/>
                <w:szCs w:val="20"/>
                <w:lang w:eastAsia="cs-CZ"/>
              </w:rPr>
            </w:pPr>
          </w:p>
        </w:tc>
      </w:tr>
      <w:tr w:rsidR="00C65364" w:rsidRPr="00C65364" w14:paraId="39944C95" w14:textId="77777777" w:rsidTr="00C65364">
        <w:trPr>
          <w:trHeight w:val="360"/>
        </w:trPr>
        <w:tc>
          <w:tcPr>
            <w:tcW w:w="3828" w:type="dxa"/>
            <w:tcBorders>
              <w:top w:val="nil"/>
              <w:left w:val="nil"/>
              <w:bottom w:val="nil"/>
              <w:right w:val="nil"/>
            </w:tcBorders>
            <w:shd w:val="clear" w:color="auto" w:fill="auto"/>
            <w:noWrap/>
            <w:vAlign w:val="bottom"/>
            <w:hideMark/>
          </w:tcPr>
          <w:p w14:paraId="28716441" w14:textId="77777777" w:rsidR="00C65364" w:rsidRPr="00C65364" w:rsidRDefault="00C65364" w:rsidP="00C65364">
            <w:pPr>
              <w:spacing w:after="0" w:line="240" w:lineRule="auto"/>
              <w:rPr>
                <w:rFonts w:ascii="Calibri" w:eastAsia="Times New Roman" w:hAnsi="Calibri" w:cs="Arial"/>
                <w:b/>
                <w:bCs/>
                <w:sz w:val="28"/>
                <w:szCs w:val="28"/>
                <w:lang w:eastAsia="cs-CZ"/>
              </w:rPr>
            </w:pPr>
            <w:r w:rsidRPr="00C65364">
              <w:rPr>
                <w:rFonts w:ascii="Calibri" w:eastAsia="Times New Roman" w:hAnsi="Calibri" w:cs="Arial"/>
                <w:b/>
                <w:bCs/>
                <w:sz w:val="28"/>
                <w:szCs w:val="28"/>
                <w:lang w:eastAsia="cs-CZ"/>
              </w:rPr>
              <w:t>Období: 1. - 12. 2021</w:t>
            </w:r>
          </w:p>
        </w:tc>
        <w:tc>
          <w:tcPr>
            <w:tcW w:w="1417" w:type="dxa"/>
            <w:tcBorders>
              <w:top w:val="nil"/>
              <w:left w:val="nil"/>
              <w:bottom w:val="nil"/>
              <w:right w:val="nil"/>
            </w:tcBorders>
            <w:shd w:val="clear" w:color="auto" w:fill="auto"/>
            <w:noWrap/>
            <w:vAlign w:val="bottom"/>
            <w:hideMark/>
          </w:tcPr>
          <w:p w14:paraId="211FE7A2" w14:textId="77777777" w:rsidR="00C65364" w:rsidRPr="00C65364" w:rsidRDefault="00C65364" w:rsidP="00C65364">
            <w:pPr>
              <w:spacing w:after="0" w:line="240" w:lineRule="auto"/>
              <w:rPr>
                <w:rFonts w:ascii="Calibri" w:eastAsia="Times New Roman" w:hAnsi="Calibri" w:cs="Arial"/>
                <w:b/>
                <w:bCs/>
                <w:sz w:val="28"/>
                <w:szCs w:val="28"/>
                <w:lang w:eastAsia="cs-CZ"/>
              </w:rPr>
            </w:pPr>
          </w:p>
        </w:tc>
        <w:tc>
          <w:tcPr>
            <w:tcW w:w="1701" w:type="dxa"/>
            <w:tcBorders>
              <w:top w:val="nil"/>
              <w:left w:val="nil"/>
              <w:bottom w:val="nil"/>
              <w:right w:val="nil"/>
            </w:tcBorders>
            <w:shd w:val="clear" w:color="auto" w:fill="auto"/>
            <w:noWrap/>
            <w:vAlign w:val="bottom"/>
            <w:hideMark/>
          </w:tcPr>
          <w:p w14:paraId="6005F968" w14:textId="77777777" w:rsidR="00C65364" w:rsidRPr="00C65364" w:rsidRDefault="00C65364" w:rsidP="00C65364">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603DF687" w14:textId="77777777" w:rsidR="00C65364" w:rsidRPr="00C65364" w:rsidRDefault="00C65364" w:rsidP="00C65364">
            <w:pPr>
              <w:spacing w:after="0" w:line="240" w:lineRule="auto"/>
              <w:rPr>
                <w:rFonts w:ascii="Times New Roman" w:eastAsia="Times New Roman" w:hAnsi="Times New Roman" w:cs="Times New Roman"/>
                <w:sz w:val="20"/>
                <w:szCs w:val="20"/>
                <w:lang w:eastAsia="cs-CZ"/>
              </w:rPr>
            </w:pPr>
          </w:p>
        </w:tc>
        <w:tc>
          <w:tcPr>
            <w:tcW w:w="1276" w:type="dxa"/>
            <w:tcBorders>
              <w:top w:val="nil"/>
              <w:left w:val="nil"/>
              <w:bottom w:val="nil"/>
              <w:right w:val="nil"/>
            </w:tcBorders>
            <w:shd w:val="clear" w:color="auto" w:fill="auto"/>
            <w:noWrap/>
            <w:vAlign w:val="bottom"/>
            <w:hideMark/>
          </w:tcPr>
          <w:p w14:paraId="44277A86" w14:textId="77777777" w:rsidR="00C65364" w:rsidRPr="00C65364" w:rsidRDefault="00C65364" w:rsidP="00C65364">
            <w:pPr>
              <w:spacing w:after="0" w:line="240" w:lineRule="auto"/>
              <w:rPr>
                <w:rFonts w:ascii="Times New Roman" w:eastAsia="Times New Roman" w:hAnsi="Times New Roman" w:cs="Times New Roman"/>
                <w:sz w:val="20"/>
                <w:szCs w:val="20"/>
                <w:lang w:eastAsia="cs-CZ"/>
              </w:rPr>
            </w:pPr>
          </w:p>
        </w:tc>
      </w:tr>
      <w:tr w:rsidR="00C65364" w:rsidRPr="00C65364" w14:paraId="28DF3E1A" w14:textId="77777777" w:rsidTr="00C65364">
        <w:trPr>
          <w:trHeight w:val="360"/>
        </w:trPr>
        <w:tc>
          <w:tcPr>
            <w:tcW w:w="3828" w:type="dxa"/>
            <w:tcBorders>
              <w:top w:val="nil"/>
              <w:left w:val="nil"/>
              <w:bottom w:val="nil"/>
              <w:right w:val="nil"/>
            </w:tcBorders>
            <w:shd w:val="clear" w:color="auto" w:fill="auto"/>
            <w:noWrap/>
            <w:vAlign w:val="bottom"/>
            <w:hideMark/>
          </w:tcPr>
          <w:p w14:paraId="094ACB2C" w14:textId="77777777" w:rsidR="00C65364" w:rsidRPr="00C65364" w:rsidRDefault="00C65364" w:rsidP="00C65364">
            <w:pPr>
              <w:spacing w:after="0" w:line="240" w:lineRule="auto"/>
              <w:rPr>
                <w:rFonts w:ascii="Times New Roman" w:eastAsia="Times New Roman" w:hAnsi="Times New Roman" w:cs="Times New Roman"/>
                <w:sz w:val="20"/>
                <w:szCs w:val="20"/>
                <w:lang w:eastAsia="cs-CZ"/>
              </w:rPr>
            </w:pPr>
          </w:p>
        </w:tc>
        <w:tc>
          <w:tcPr>
            <w:tcW w:w="1417" w:type="dxa"/>
            <w:tcBorders>
              <w:top w:val="nil"/>
              <w:left w:val="nil"/>
              <w:bottom w:val="nil"/>
              <w:right w:val="nil"/>
            </w:tcBorders>
            <w:shd w:val="clear" w:color="auto" w:fill="auto"/>
            <w:noWrap/>
            <w:vAlign w:val="bottom"/>
            <w:hideMark/>
          </w:tcPr>
          <w:p w14:paraId="1560FEB3" w14:textId="77777777" w:rsidR="00C65364" w:rsidRPr="00C65364" w:rsidRDefault="00C65364" w:rsidP="00C65364">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4517D6D8" w14:textId="77777777" w:rsidR="00C65364" w:rsidRPr="00C65364" w:rsidRDefault="00C65364" w:rsidP="00C65364">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3E99F0B0" w14:textId="77777777" w:rsidR="00C65364" w:rsidRPr="00C65364" w:rsidRDefault="00C65364" w:rsidP="00C65364">
            <w:pPr>
              <w:spacing w:after="0" w:line="240" w:lineRule="auto"/>
              <w:rPr>
                <w:rFonts w:ascii="Times New Roman" w:eastAsia="Times New Roman" w:hAnsi="Times New Roman" w:cs="Times New Roman"/>
                <w:sz w:val="20"/>
                <w:szCs w:val="20"/>
                <w:lang w:eastAsia="cs-CZ"/>
              </w:rPr>
            </w:pPr>
          </w:p>
        </w:tc>
        <w:tc>
          <w:tcPr>
            <w:tcW w:w="1276" w:type="dxa"/>
            <w:tcBorders>
              <w:top w:val="nil"/>
              <w:left w:val="nil"/>
              <w:bottom w:val="nil"/>
              <w:right w:val="nil"/>
            </w:tcBorders>
            <w:shd w:val="clear" w:color="auto" w:fill="auto"/>
            <w:noWrap/>
            <w:vAlign w:val="bottom"/>
            <w:hideMark/>
          </w:tcPr>
          <w:p w14:paraId="32B37012" w14:textId="77777777" w:rsidR="00C65364" w:rsidRPr="00C65364" w:rsidRDefault="00C65364" w:rsidP="00C65364">
            <w:pPr>
              <w:spacing w:after="0" w:line="240" w:lineRule="auto"/>
              <w:rPr>
                <w:rFonts w:ascii="Times New Roman" w:eastAsia="Times New Roman" w:hAnsi="Times New Roman" w:cs="Times New Roman"/>
                <w:sz w:val="20"/>
                <w:szCs w:val="20"/>
                <w:lang w:eastAsia="cs-CZ"/>
              </w:rPr>
            </w:pPr>
          </w:p>
        </w:tc>
      </w:tr>
      <w:tr w:rsidR="00C65364" w:rsidRPr="00C65364" w14:paraId="507C19A7" w14:textId="77777777" w:rsidTr="00C65364">
        <w:trPr>
          <w:trHeight w:val="360"/>
        </w:trPr>
        <w:tc>
          <w:tcPr>
            <w:tcW w:w="5245" w:type="dxa"/>
            <w:gridSpan w:val="2"/>
            <w:tcBorders>
              <w:top w:val="nil"/>
              <w:left w:val="nil"/>
              <w:bottom w:val="nil"/>
              <w:right w:val="nil"/>
            </w:tcBorders>
            <w:shd w:val="clear" w:color="auto" w:fill="auto"/>
            <w:noWrap/>
            <w:vAlign w:val="bottom"/>
            <w:hideMark/>
          </w:tcPr>
          <w:p w14:paraId="175E43F0" w14:textId="77777777" w:rsidR="00C65364" w:rsidRPr="00C65364" w:rsidRDefault="00C65364" w:rsidP="00C65364">
            <w:pPr>
              <w:spacing w:after="0" w:line="240" w:lineRule="auto"/>
              <w:rPr>
                <w:rFonts w:ascii="Calibri" w:eastAsia="Times New Roman" w:hAnsi="Calibri" w:cs="Arial"/>
                <w:b/>
                <w:bCs/>
                <w:sz w:val="28"/>
                <w:szCs w:val="28"/>
                <w:lang w:eastAsia="cs-CZ"/>
              </w:rPr>
            </w:pPr>
            <w:r w:rsidRPr="00C65364">
              <w:rPr>
                <w:rFonts w:ascii="Calibri" w:eastAsia="Times New Roman" w:hAnsi="Calibri" w:cs="Arial"/>
                <w:b/>
                <w:bCs/>
                <w:sz w:val="28"/>
                <w:szCs w:val="28"/>
                <w:lang w:eastAsia="cs-CZ"/>
              </w:rPr>
              <w:t xml:space="preserve">Sumář běžných výdajů kapitol </w:t>
            </w:r>
          </w:p>
        </w:tc>
        <w:tc>
          <w:tcPr>
            <w:tcW w:w="1701" w:type="dxa"/>
            <w:tcBorders>
              <w:top w:val="nil"/>
              <w:left w:val="nil"/>
              <w:bottom w:val="nil"/>
              <w:right w:val="nil"/>
            </w:tcBorders>
            <w:shd w:val="clear" w:color="auto" w:fill="auto"/>
            <w:noWrap/>
            <w:vAlign w:val="bottom"/>
            <w:hideMark/>
          </w:tcPr>
          <w:p w14:paraId="16611586" w14:textId="77777777" w:rsidR="00C65364" w:rsidRPr="00C65364" w:rsidRDefault="00C65364" w:rsidP="00C65364">
            <w:pPr>
              <w:spacing w:after="0" w:line="240" w:lineRule="auto"/>
              <w:rPr>
                <w:rFonts w:ascii="Calibri" w:eastAsia="Times New Roman" w:hAnsi="Calibri" w:cs="Arial"/>
                <w:b/>
                <w:bCs/>
                <w:sz w:val="28"/>
                <w:szCs w:val="28"/>
                <w:lang w:eastAsia="cs-CZ"/>
              </w:rPr>
            </w:pPr>
          </w:p>
        </w:tc>
        <w:tc>
          <w:tcPr>
            <w:tcW w:w="1701" w:type="dxa"/>
            <w:tcBorders>
              <w:top w:val="nil"/>
              <w:left w:val="nil"/>
              <w:bottom w:val="nil"/>
              <w:right w:val="nil"/>
            </w:tcBorders>
            <w:shd w:val="clear" w:color="auto" w:fill="auto"/>
            <w:noWrap/>
            <w:vAlign w:val="bottom"/>
            <w:hideMark/>
          </w:tcPr>
          <w:p w14:paraId="25836629" w14:textId="77777777" w:rsidR="00C65364" w:rsidRPr="00C65364" w:rsidRDefault="00C65364" w:rsidP="00C65364">
            <w:pPr>
              <w:spacing w:after="0" w:line="240" w:lineRule="auto"/>
              <w:rPr>
                <w:rFonts w:ascii="Times New Roman" w:eastAsia="Times New Roman" w:hAnsi="Times New Roman" w:cs="Times New Roman"/>
                <w:sz w:val="20"/>
                <w:szCs w:val="20"/>
                <w:lang w:eastAsia="cs-CZ"/>
              </w:rPr>
            </w:pPr>
          </w:p>
        </w:tc>
        <w:tc>
          <w:tcPr>
            <w:tcW w:w="1276" w:type="dxa"/>
            <w:tcBorders>
              <w:top w:val="nil"/>
              <w:left w:val="nil"/>
              <w:bottom w:val="nil"/>
              <w:right w:val="nil"/>
            </w:tcBorders>
            <w:shd w:val="clear" w:color="auto" w:fill="auto"/>
            <w:noWrap/>
            <w:vAlign w:val="bottom"/>
            <w:hideMark/>
          </w:tcPr>
          <w:p w14:paraId="3CF2FA60" w14:textId="77777777" w:rsidR="00C65364" w:rsidRPr="00C65364" w:rsidRDefault="00C65364" w:rsidP="00C65364">
            <w:pPr>
              <w:spacing w:after="0" w:line="240" w:lineRule="auto"/>
              <w:rPr>
                <w:rFonts w:ascii="Times New Roman" w:eastAsia="Times New Roman" w:hAnsi="Times New Roman" w:cs="Times New Roman"/>
                <w:sz w:val="20"/>
                <w:szCs w:val="20"/>
                <w:lang w:eastAsia="cs-CZ"/>
              </w:rPr>
            </w:pPr>
          </w:p>
        </w:tc>
      </w:tr>
      <w:tr w:rsidR="00C65364" w:rsidRPr="00C65364" w14:paraId="7ECDBEAA" w14:textId="77777777" w:rsidTr="00C65364">
        <w:trPr>
          <w:trHeight w:val="360"/>
        </w:trPr>
        <w:tc>
          <w:tcPr>
            <w:tcW w:w="3828" w:type="dxa"/>
            <w:tcBorders>
              <w:top w:val="nil"/>
              <w:left w:val="nil"/>
              <w:bottom w:val="nil"/>
              <w:right w:val="nil"/>
            </w:tcBorders>
            <w:shd w:val="clear" w:color="auto" w:fill="auto"/>
            <w:noWrap/>
            <w:vAlign w:val="bottom"/>
            <w:hideMark/>
          </w:tcPr>
          <w:p w14:paraId="43F10145" w14:textId="77777777" w:rsidR="00C65364" w:rsidRPr="00C65364" w:rsidRDefault="00C65364" w:rsidP="00C65364">
            <w:pPr>
              <w:spacing w:after="0" w:line="240" w:lineRule="auto"/>
              <w:rPr>
                <w:rFonts w:ascii="Times New Roman" w:eastAsia="Times New Roman" w:hAnsi="Times New Roman" w:cs="Times New Roman"/>
                <w:sz w:val="20"/>
                <w:szCs w:val="20"/>
                <w:lang w:eastAsia="cs-CZ"/>
              </w:rPr>
            </w:pPr>
          </w:p>
        </w:tc>
        <w:tc>
          <w:tcPr>
            <w:tcW w:w="1417" w:type="dxa"/>
            <w:tcBorders>
              <w:top w:val="nil"/>
              <w:left w:val="nil"/>
              <w:bottom w:val="nil"/>
              <w:right w:val="nil"/>
            </w:tcBorders>
            <w:shd w:val="clear" w:color="auto" w:fill="auto"/>
            <w:noWrap/>
            <w:vAlign w:val="bottom"/>
            <w:hideMark/>
          </w:tcPr>
          <w:p w14:paraId="0FCA9999" w14:textId="77777777" w:rsidR="00C65364" w:rsidRPr="00C65364" w:rsidRDefault="00C65364" w:rsidP="00C65364">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6A733AC7" w14:textId="77777777" w:rsidR="00C65364" w:rsidRPr="00C65364" w:rsidRDefault="00C65364" w:rsidP="00C65364">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61A2C6F9" w14:textId="77777777" w:rsidR="00C65364" w:rsidRPr="00C65364" w:rsidRDefault="00C65364" w:rsidP="00C65364">
            <w:pPr>
              <w:spacing w:after="0" w:line="240" w:lineRule="auto"/>
              <w:rPr>
                <w:rFonts w:ascii="Times New Roman" w:eastAsia="Times New Roman" w:hAnsi="Times New Roman" w:cs="Times New Roman"/>
                <w:sz w:val="20"/>
                <w:szCs w:val="20"/>
                <w:lang w:eastAsia="cs-CZ"/>
              </w:rPr>
            </w:pPr>
          </w:p>
        </w:tc>
        <w:tc>
          <w:tcPr>
            <w:tcW w:w="1276" w:type="dxa"/>
            <w:tcBorders>
              <w:top w:val="nil"/>
              <w:left w:val="nil"/>
              <w:bottom w:val="nil"/>
              <w:right w:val="nil"/>
            </w:tcBorders>
            <w:shd w:val="clear" w:color="auto" w:fill="auto"/>
            <w:noWrap/>
            <w:vAlign w:val="bottom"/>
            <w:hideMark/>
          </w:tcPr>
          <w:p w14:paraId="3CB820C3" w14:textId="77777777" w:rsidR="00C65364" w:rsidRPr="00C65364" w:rsidRDefault="00C65364" w:rsidP="00C65364">
            <w:pPr>
              <w:spacing w:after="0" w:line="240" w:lineRule="auto"/>
              <w:rPr>
                <w:rFonts w:ascii="Times New Roman" w:eastAsia="Times New Roman" w:hAnsi="Times New Roman" w:cs="Times New Roman"/>
                <w:sz w:val="20"/>
                <w:szCs w:val="20"/>
                <w:lang w:eastAsia="cs-CZ"/>
              </w:rPr>
            </w:pPr>
          </w:p>
        </w:tc>
      </w:tr>
      <w:tr w:rsidR="00C65364" w:rsidRPr="00C65364" w14:paraId="25B6AE28" w14:textId="77777777" w:rsidTr="00C65364">
        <w:trPr>
          <w:trHeight w:val="360"/>
        </w:trPr>
        <w:tc>
          <w:tcPr>
            <w:tcW w:w="3828" w:type="dxa"/>
            <w:tcBorders>
              <w:top w:val="nil"/>
              <w:left w:val="nil"/>
              <w:bottom w:val="nil"/>
              <w:right w:val="nil"/>
            </w:tcBorders>
            <w:shd w:val="clear" w:color="auto" w:fill="auto"/>
            <w:noWrap/>
            <w:vAlign w:val="bottom"/>
            <w:hideMark/>
          </w:tcPr>
          <w:p w14:paraId="36187A31" w14:textId="77777777" w:rsidR="00C65364" w:rsidRPr="00C65364" w:rsidRDefault="00C65364" w:rsidP="00C65364">
            <w:pPr>
              <w:spacing w:after="0" w:line="240" w:lineRule="auto"/>
              <w:rPr>
                <w:rFonts w:ascii="Times New Roman" w:eastAsia="Times New Roman" w:hAnsi="Times New Roman" w:cs="Times New Roman"/>
                <w:sz w:val="20"/>
                <w:szCs w:val="20"/>
                <w:lang w:eastAsia="cs-CZ"/>
              </w:rPr>
            </w:pPr>
          </w:p>
        </w:tc>
        <w:tc>
          <w:tcPr>
            <w:tcW w:w="1417" w:type="dxa"/>
            <w:tcBorders>
              <w:top w:val="nil"/>
              <w:left w:val="nil"/>
              <w:bottom w:val="nil"/>
              <w:right w:val="nil"/>
            </w:tcBorders>
            <w:shd w:val="clear" w:color="auto" w:fill="auto"/>
            <w:noWrap/>
            <w:vAlign w:val="bottom"/>
            <w:hideMark/>
          </w:tcPr>
          <w:p w14:paraId="64147C25" w14:textId="77777777" w:rsidR="00C65364" w:rsidRPr="00C65364" w:rsidRDefault="00C65364" w:rsidP="00C65364">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00EB8930" w14:textId="77777777" w:rsidR="00C65364" w:rsidRPr="00C65364" w:rsidRDefault="00C65364" w:rsidP="00C65364">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66FA9F92" w14:textId="77777777" w:rsidR="00C65364" w:rsidRPr="00C65364" w:rsidRDefault="00C65364" w:rsidP="00C65364">
            <w:pPr>
              <w:spacing w:after="0" w:line="240" w:lineRule="auto"/>
              <w:rPr>
                <w:rFonts w:ascii="Times New Roman" w:eastAsia="Times New Roman" w:hAnsi="Times New Roman" w:cs="Times New Roman"/>
                <w:sz w:val="20"/>
                <w:szCs w:val="20"/>
                <w:lang w:eastAsia="cs-CZ"/>
              </w:rPr>
            </w:pPr>
          </w:p>
        </w:tc>
        <w:tc>
          <w:tcPr>
            <w:tcW w:w="1276" w:type="dxa"/>
            <w:tcBorders>
              <w:top w:val="nil"/>
              <w:left w:val="nil"/>
              <w:bottom w:val="nil"/>
              <w:right w:val="nil"/>
            </w:tcBorders>
            <w:shd w:val="clear" w:color="auto" w:fill="auto"/>
            <w:noWrap/>
            <w:vAlign w:val="bottom"/>
            <w:hideMark/>
          </w:tcPr>
          <w:p w14:paraId="37C89987" w14:textId="77777777" w:rsidR="00C65364" w:rsidRPr="00C65364" w:rsidRDefault="00C65364" w:rsidP="00C65364">
            <w:pPr>
              <w:spacing w:after="0" w:line="240" w:lineRule="auto"/>
              <w:jc w:val="right"/>
              <w:rPr>
                <w:rFonts w:ascii="Calibri" w:eastAsia="Times New Roman" w:hAnsi="Calibri" w:cs="Arial"/>
                <w:lang w:eastAsia="cs-CZ"/>
              </w:rPr>
            </w:pPr>
            <w:r w:rsidRPr="00C65364">
              <w:rPr>
                <w:rFonts w:ascii="Calibri" w:eastAsia="Times New Roman" w:hAnsi="Calibri" w:cs="Arial"/>
                <w:lang w:eastAsia="cs-CZ"/>
              </w:rPr>
              <w:t>v Kč</w:t>
            </w:r>
          </w:p>
        </w:tc>
      </w:tr>
      <w:tr w:rsidR="00C65364" w:rsidRPr="00C65364" w14:paraId="0D52A887" w14:textId="77777777" w:rsidTr="00C65364">
        <w:trPr>
          <w:trHeight w:val="1110"/>
        </w:trPr>
        <w:tc>
          <w:tcPr>
            <w:tcW w:w="3828" w:type="dxa"/>
            <w:tcBorders>
              <w:top w:val="single" w:sz="8" w:space="0" w:color="auto"/>
              <w:left w:val="single" w:sz="8" w:space="0" w:color="auto"/>
              <w:bottom w:val="single" w:sz="8" w:space="0" w:color="auto"/>
              <w:right w:val="single" w:sz="4" w:space="0" w:color="auto"/>
            </w:tcBorders>
            <w:shd w:val="clear" w:color="000000" w:fill="CCFFFF"/>
            <w:noWrap/>
            <w:vAlign w:val="center"/>
            <w:hideMark/>
          </w:tcPr>
          <w:p w14:paraId="6C43ED66" w14:textId="77777777" w:rsidR="00C65364" w:rsidRPr="00C65364" w:rsidRDefault="00C65364" w:rsidP="00C65364">
            <w:pPr>
              <w:spacing w:after="0" w:line="240" w:lineRule="auto"/>
              <w:jc w:val="center"/>
              <w:rPr>
                <w:rFonts w:ascii="Calibri" w:eastAsia="Times New Roman" w:hAnsi="Calibri" w:cs="Arial"/>
                <w:b/>
                <w:bCs/>
                <w:sz w:val="24"/>
                <w:szCs w:val="24"/>
                <w:lang w:eastAsia="cs-CZ"/>
              </w:rPr>
            </w:pPr>
            <w:r w:rsidRPr="00C65364">
              <w:rPr>
                <w:rFonts w:ascii="Calibri" w:eastAsia="Times New Roman" w:hAnsi="Calibri" w:cs="Arial"/>
                <w:b/>
                <w:bCs/>
                <w:sz w:val="24"/>
                <w:szCs w:val="24"/>
                <w:lang w:eastAsia="cs-CZ"/>
              </w:rPr>
              <w:t>Kapitola</w:t>
            </w:r>
          </w:p>
        </w:tc>
        <w:tc>
          <w:tcPr>
            <w:tcW w:w="1417" w:type="dxa"/>
            <w:tcBorders>
              <w:top w:val="single" w:sz="8" w:space="0" w:color="auto"/>
              <w:left w:val="nil"/>
              <w:bottom w:val="single" w:sz="8" w:space="0" w:color="auto"/>
              <w:right w:val="single" w:sz="4" w:space="0" w:color="auto"/>
            </w:tcBorders>
            <w:shd w:val="clear" w:color="000000" w:fill="CCFFFF"/>
            <w:vAlign w:val="center"/>
            <w:hideMark/>
          </w:tcPr>
          <w:p w14:paraId="04F75D17" w14:textId="77777777" w:rsidR="00C65364" w:rsidRPr="00C65364" w:rsidRDefault="00C65364" w:rsidP="00C65364">
            <w:pPr>
              <w:spacing w:after="0" w:line="240" w:lineRule="auto"/>
              <w:jc w:val="center"/>
              <w:rPr>
                <w:rFonts w:ascii="Calibri" w:eastAsia="Times New Roman" w:hAnsi="Calibri" w:cs="Arial"/>
                <w:b/>
                <w:bCs/>
                <w:sz w:val="24"/>
                <w:szCs w:val="24"/>
                <w:lang w:eastAsia="cs-CZ"/>
              </w:rPr>
            </w:pPr>
            <w:r w:rsidRPr="00C65364">
              <w:rPr>
                <w:rFonts w:ascii="Calibri" w:eastAsia="Times New Roman" w:hAnsi="Calibri" w:cs="Arial"/>
                <w:b/>
                <w:bCs/>
                <w:sz w:val="24"/>
                <w:szCs w:val="24"/>
                <w:lang w:eastAsia="cs-CZ"/>
              </w:rPr>
              <w:t>Rozpočet 2021</w:t>
            </w:r>
          </w:p>
        </w:tc>
        <w:tc>
          <w:tcPr>
            <w:tcW w:w="1701" w:type="dxa"/>
            <w:tcBorders>
              <w:top w:val="single" w:sz="8" w:space="0" w:color="auto"/>
              <w:left w:val="nil"/>
              <w:bottom w:val="single" w:sz="8" w:space="0" w:color="auto"/>
              <w:right w:val="single" w:sz="4" w:space="0" w:color="auto"/>
            </w:tcBorders>
            <w:shd w:val="clear" w:color="000000" w:fill="CCFFFF"/>
            <w:vAlign w:val="center"/>
            <w:hideMark/>
          </w:tcPr>
          <w:p w14:paraId="20BAF8B9" w14:textId="77777777" w:rsidR="00C65364" w:rsidRPr="00C65364" w:rsidRDefault="00C65364" w:rsidP="00C65364">
            <w:pPr>
              <w:spacing w:after="0" w:line="240" w:lineRule="auto"/>
              <w:jc w:val="center"/>
              <w:rPr>
                <w:rFonts w:ascii="Calibri" w:eastAsia="Times New Roman" w:hAnsi="Calibri" w:cs="Arial"/>
                <w:b/>
                <w:bCs/>
                <w:sz w:val="24"/>
                <w:szCs w:val="24"/>
                <w:lang w:eastAsia="cs-CZ"/>
              </w:rPr>
            </w:pPr>
            <w:r w:rsidRPr="00C65364">
              <w:rPr>
                <w:rFonts w:ascii="Calibri" w:eastAsia="Times New Roman" w:hAnsi="Calibri" w:cs="Arial"/>
                <w:b/>
                <w:bCs/>
                <w:sz w:val="24"/>
                <w:szCs w:val="24"/>
                <w:lang w:eastAsia="cs-CZ"/>
              </w:rPr>
              <w:t>Rozpočet po úpravě</w:t>
            </w:r>
          </w:p>
        </w:tc>
        <w:tc>
          <w:tcPr>
            <w:tcW w:w="1701" w:type="dxa"/>
            <w:tcBorders>
              <w:top w:val="single" w:sz="8" w:space="0" w:color="auto"/>
              <w:left w:val="nil"/>
              <w:bottom w:val="single" w:sz="8" w:space="0" w:color="auto"/>
              <w:right w:val="single" w:sz="4" w:space="0" w:color="auto"/>
            </w:tcBorders>
            <w:shd w:val="clear" w:color="000000" w:fill="CCFFFF"/>
            <w:vAlign w:val="center"/>
            <w:hideMark/>
          </w:tcPr>
          <w:p w14:paraId="3FE4A1FB" w14:textId="77777777" w:rsidR="00C65364" w:rsidRPr="00C65364" w:rsidRDefault="00C65364" w:rsidP="00C65364">
            <w:pPr>
              <w:spacing w:after="0" w:line="240" w:lineRule="auto"/>
              <w:jc w:val="center"/>
              <w:rPr>
                <w:rFonts w:ascii="Calibri" w:eastAsia="Times New Roman" w:hAnsi="Calibri" w:cs="Arial"/>
                <w:b/>
                <w:bCs/>
                <w:sz w:val="24"/>
                <w:szCs w:val="24"/>
                <w:lang w:eastAsia="cs-CZ"/>
              </w:rPr>
            </w:pPr>
            <w:r w:rsidRPr="00C65364">
              <w:rPr>
                <w:rFonts w:ascii="Calibri" w:eastAsia="Times New Roman" w:hAnsi="Calibri" w:cs="Arial"/>
                <w:b/>
                <w:bCs/>
                <w:sz w:val="24"/>
                <w:szCs w:val="24"/>
                <w:lang w:eastAsia="cs-CZ"/>
              </w:rPr>
              <w:t>Skutečnost</w:t>
            </w:r>
          </w:p>
        </w:tc>
        <w:tc>
          <w:tcPr>
            <w:tcW w:w="1276" w:type="dxa"/>
            <w:tcBorders>
              <w:top w:val="single" w:sz="8" w:space="0" w:color="auto"/>
              <w:left w:val="nil"/>
              <w:bottom w:val="single" w:sz="8" w:space="0" w:color="auto"/>
              <w:right w:val="single" w:sz="8" w:space="0" w:color="auto"/>
            </w:tcBorders>
            <w:shd w:val="clear" w:color="000000" w:fill="CCFFFF"/>
            <w:vAlign w:val="center"/>
            <w:hideMark/>
          </w:tcPr>
          <w:p w14:paraId="4126ECAE" w14:textId="77777777" w:rsidR="00C65364" w:rsidRPr="00C65364" w:rsidRDefault="00C65364" w:rsidP="00C65364">
            <w:pPr>
              <w:spacing w:after="0" w:line="240" w:lineRule="auto"/>
              <w:jc w:val="center"/>
              <w:rPr>
                <w:rFonts w:ascii="Calibri" w:eastAsia="Times New Roman" w:hAnsi="Calibri" w:cs="Arial"/>
                <w:b/>
                <w:bCs/>
                <w:sz w:val="24"/>
                <w:szCs w:val="24"/>
                <w:lang w:eastAsia="cs-CZ"/>
              </w:rPr>
            </w:pPr>
            <w:r w:rsidRPr="00C65364">
              <w:rPr>
                <w:rFonts w:ascii="Calibri" w:eastAsia="Times New Roman" w:hAnsi="Calibri" w:cs="Arial"/>
                <w:b/>
                <w:bCs/>
                <w:sz w:val="24"/>
                <w:szCs w:val="24"/>
                <w:lang w:eastAsia="cs-CZ"/>
              </w:rPr>
              <w:t>% plnění</w:t>
            </w:r>
          </w:p>
        </w:tc>
      </w:tr>
      <w:tr w:rsidR="00C65364" w:rsidRPr="00C65364" w14:paraId="746FD982" w14:textId="77777777" w:rsidTr="00C65364">
        <w:trPr>
          <w:trHeight w:val="405"/>
        </w:trPr>
        <w:tc>
          <w:tcPr>
            <w:tcW w:w="3828" w:type="dxa"/>
            <w:tcBorders>
              <w:top w:val="nil"/>
              <w:left w:val="single" w:sz="8" w:space="0" w:color="auto"/>
              <w:bottom w:val="single" w:sz="4" w:space="0" w:color="auto"/>
              <w:right w:val="nil"/>
            </w:tcBorders>
            <w:shd w:val="clear" w:color="auto" w:fill="auto"/>
            <w:vAlign w:val="bottom"/>
            <w:hideMark/>
          </w:tcPr>
          <w:p w14:paraId="37180A4D" w14:textId="77777777" w:rsidR="00C65364" w:rsidRPr="00C65364" w:rsidRDefault="00C65364" w:rsidP="00C65364">
            <w:pPr>
              <w:spacing w:after="0" w:line="240" w:lineRule="auto"/>
              <w:rPr>
                <w:rFonts w:ascii="Calibri" w:eastAsia="Times New Roman" w:hAnsi="Calibri" w:cs="Arial"/>
                <w:sz w:val="20"/>
                <w:szCs w:val="20"/>
                <w:lang w:eastAsia="cs-CZ"/>
              </w:rPr>
            </w:pPr>
            <w:r w:rsidRPr="00C65364">
              <w:rPr>
                <w:rFonts w:ascii="Calibri" w:eastAsia="Times New Roman" w:hAnsi="Calibri" w:cs="Arial"/>
                <w:sz w:val="20"/>
                <w:szCs w:val="20"/>
                <w:lang w:eastAsia="cs-CZ"/>
              </w:rPr>
              <w:t xml:space="preserve">01 - Činnost Zastupitelstva </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304FFBD9"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111 807 000</w:t>
            </w:r>
          </w:p>
        </w:tc>
        <w:tc>
          <w:tcPr>
            <w:tcW w:w="1701" w:type="dxa"/>
            <w:tcBorders>
              <w:top w:val="nil"/>
              <w:left w:val="nil"/>
              <w:bottom w:val="single" w:sz="4" w:space="0" w:color="auto"/>
              <w:right w:val="single" w:sz="4" w:space="0" w:color="auto"/>
            </w:tcBorders>
            <w:shd w:val="clear" w:color="auto" w:fill="auto"/>
            <w:noWrap/>
            <w:vAlign w:val="bottom"/>
            <w:hideMark/>
          </w:tcPr>
          <w:p w14:paraId="077D7F70"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113 941 524,16</w:t>
            </w:r>
          </w:p>
        </w:tc>
        <w:tc>
          <w:tcPr>
            <w:tcW w:w="1701" w:type="dxa"/>
            <w:tcBorders>
              <w:top w:val="nil"/>
              <w:left w:val="nil"/>
              <w:bottom w:val="single" w:sz="4" w:space="0" w:color="auto"/>
              <w:right w:val="single" w:sz="4" w:space="0" w:color="auto"/>
            </w:tcBorders>
            <w:shd w:val="clear" w:color="auto" w:fill="auto"/>
            <w:noWrap/>
            <w:vAlign w:val="bottom"/>
            <w:hideMark/>
          </w:tcPr>
          <w:p w14:paraId="748EA9BA"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58 975 413,03</w:t>
            </w:r>
          </w:p>
        </w:tc>
        <w:tc>
          <w:tcPr>
            <w:tcW w:w="1276" w:type="dxa"/>
            <w:tcBorders>
              <w:top w:val="nil"/>
              <w:left w:val="nil"/>
              <w:bottom w:val="nil"/>
              <w:right w:val="single" w:sz="8" w:space="0" w:color="auto"/>
            </w:tcBorders>
            <w:shd w:val="clear" w:color="auto" w:fill="auto"/>
            <w:noWrap/>
            <w:vAlign w:val="bottom"/>
            <w:hideMark/>
          </w:tcPr>
          <w:p w14:paraId="20122DB2"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51,8</w:t>
            </w:r>
          </w:p>
        </w:tc>
      </w:tr>
      <w:tr w:rsidR="00C65364" w:rsidRPr="00C65364" w14:paraId="2F944AA9" w14:textId="77777777" w:rsidTr="00C65364">
        <w:trPr>
          <w:trHeight w:val="405"/>
        </w:trPr>
        <w:tc>
          <w:tcPr>
            <w:tcW w:w="3828" w:type="dxa"/>
            <w:tcBorders>
              <w:top w:val="nil"/>
              <w:left w:val="single" w:sz="8" w:space="0" w:color="auto"/>
              <w:bottom w:val="single" w:sz="4" w:space="0" w:color="auto"/>
              <w:right w:val="nil"/>
            </w:tcBorders>
            <w:shd w:val="clear" w:color="auto" w:fill="auto"/>
            <w:vAlign w:val="bottom"/>
            <w:hideMark/>
          </w:tcPr>
          <w:p w14:paraId="01F833E3" w14:textId="77777777" w:rsidR="00C65364" w:rsidRPr="00C65364" w:rsidRDefault="00C65364" w:rsidP="00C65364">
            <w:pPr>
              <w:spacing w:after="0" w:line="240" w:lineRule="auto"/>
              <w:rPr>
                <w:rFonts w:ascii="Calibri" w:eastAsia="Times New Roman" w:hAnsi="Calibri" w:cs="Arial"/>
                <w:sz w:val="20"/>
                <w:szCs w:val="20"/>
                <w:lang w:eastAsia="cs-CZ"/>
              </w:rPr>
            </w:pPr>
            <w:r w:rsidRPr="00C65364">
              <w:rPr>
                <w:rFonts w:ascii="Calibri" w:eastAsia="Times New Roman" w:hAnsi="Calibri" w:cs="Arial"/>
                <w:sz w:val="20"/>
                <w:szCs w:val="20"/>
                <w:lang w:eastAsia="cs-CZ"/>
              </w:rPr>
              <w:t>02 - Činnost Krajského úřadu</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29EB2F0F"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55 318 000</w:t>
            </w:r>
          </w:p>
        </w:tc>
        <w:tc>
          <w:tcPr>
            <w:tcW w:w="1701" w:type="dxa"/>
            <w:tcBorders>
              <w:top w:val="nil"/>
              <w:left w:val="nil"/>
              <w:bottom w:val="single" w:sz="4" w:space="0" w:color="auto"/>
              <w:right w:val="single" w:sz="4" w:space="0" w:color="auto"/>
            </w:tcBorders>
            <w:shd w:val="clear" w:color="auto" w:fill="auto"/>
            <w:noWrap/>
            <w:vAlign w:val="bottom"/>
            <w:hideMark/>
          </w:tcPr>
          <w:p w14:paraId="3E7910A4"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57 885 848,00</w:t>
            </w:r>
          </w:p>
        </w:tc>
        <w:tc>
          <w:tcPr>
            <w:tcW w:w="1701" w:type="dxa"/>
            <w:tcBorders>
              <w:top w:val="nil"/>
              <w:left w:val="nil"/>
              <w:bottom w:val="single" w:sz="4" w:space="0" w:color="auto"/>
              <w:right w:val="single" w:sz="4" w:space="0" w:color="auto"/>
            </w:tcBorders>
            <w:shd w:val="clear" w:color="auto" w:fill="auto"/>
            <w:noWrap/>
            <w:vAlign w:val="bottom"/>
            <w:hideMark/>
          </w:tcPr>
          <w:p w14:paraId="45804B47"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47 932 492,46</w:t>
            </w:r>
          </w:p>
        </w:tc>
        <w:tc>
          <w:tcPr>
            <w:tcW w:w="1276" w:type="dxa"/>
            <w:tcBorders>
              <w:top w:val="single" w:sz="4" w:space="0" w:color="auto"/>
              <w:left w:val="nil"/>
              <w:bottom w:val="single" w:sz="4" w:space="0" w:color="auto"/>
              <w:right w:val="single" w:sz="8" w:space="0" w:color="auto"/>
            </w:tcBorders>
            <w:shd w:val="clear" w:color="auto" w:fill="auto"/>
            <w:noWrap/>
            <w:vAlign w:val="bottom"/>
            <w:hideMark/>
          </w:tcPr>
          <w:p w14:paraId="65D4CB9E"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82,8</w:t>
            </w:r>
          </w:p>
        </w:tc>
      </w:tr>
      <w:tr w:rsidR="00C65364" w:rsidRPr="00C65364" w14:paraId="41D8BD51" w14:textId="77777777" w:rsidTr="00C65364">
        <w:trPr>
          <w:trHeight w:val="405"/>
        </w:trPr>
        <w:tc>
          <w:tcPr>
            <w:tcW w:w="3828" w:type="dxa"/>
            <w:tcBorders>
              <w:top w:val="nil"/>
              <w:left w:val="single" w:sz="8" w:space="0" w:color="auto"/>
              <w:bottom w:val="single" w:sz="4" w:space="0" w:color="auto"/>
              <w:right w:val="nil"/>
            </w:tcBorders>
            <w:shd w:val="clear" w:color="auto" w:fill="auto"/>
            <w:vAlign w:val="bottom"/>
            <w:hideMark/>
          </w:tcPr>
          <w:p w14:paraId="6700FC33" w14:textId="77777777" w:rsidR="00C65364" w:rsidRPr="00C65364" w:rsidRDefault="00C65364" w:rsidP="00C65364">
            <w:pPr>
              <w:spacing w:after="0" w:line="240" w:lineRule="auto"/>
              <w:rPr>
                <w:rFonts w:ascii="Calibri" w:eastAsia="Times New Roman" w:hAnsi="Calibri" w:cs="Arial"/>
                <w:sz w:val="20"/>
                <w:szCs w:val="20"/>
                <w:lang w:eastAsia="cs-CZ"/>
              </w:rPr>
            </w:pPr>
            <w:r w:rsidRPr="00C65364">
              <w:rPr>
                <w:rFonts w:ascii="Calibri" w:eastAsia="Times New Roman" w:hAnsi="Calibri" w:cs="Arial"/>
                <w:sz w:val="20"/>
                <w:szCs w:val="20"/>
                <w:lang w:eastAsia="cs-CZ"/>
              </w:rPr>
              <w:t>03 - Informatika</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2BD82352"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54 671 000</w:t>
            </w:r>
          </w:p>
        </w:tc>
        <w:tc>
          <w:tcPr>
            <w:tcW w:w="1701" w:type="dxa"/>
            <w:tcBorders>
              <w:top w:val="nil"/>
              <w:left w:val="nil"/>
              <w:bottom w:val="single" w:sz="4" w:space="0" w:color="auto"/>
              <w:right w:val="single" w:sz="4" w:space="0" w:color="auto"/>
            </w:tcBorders>
            <w:shd w:val="clear" w:color="auto" w:fill="auto"/>
            <w:noWrap/>
            <w:vAlign w:val="bottom"/>
            <w:hideMark/>
          </w:tcPr>
          <w:p w14:paraId="1DCFBEC2"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60 448 052,36</w:t>
            </w:r>
          </w:p>
        </w:tc>
        <w:tc>
          <w:tcPr>
            <w:tcW w:w="1701" w:type="dxa"/>
            <w:tcBorders>
              <w:top w:val="nil"/>
              <w:left w:val="nil"/>
              <w:bottom w:val="single" w:sz="4" w:space="0" w:color="auto"/>
              <w:right w:val="single" w:sz="4" w:space="0" w:color="auto"/>
            </w:tcBorders>
            <w:shd w:val="clear" w:color="auto" w:fill="auto"/>
            <w:noWrap/>
            <w:vAlign w:val="bottom"/>
            <w:hideMark/>
          </w:tcPr>
          <w:p w14:paraId="45D5D445"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51 298 412,55</w:t>
            </w:r>
          </w:p>
        </w:tc>
        <w:tc>
          <w:tcPr>
            <w:tcW w:w="1276" w:type="dxa"/>
            <w:tcBorders>
              <w:top w:val="nil"/>
              <w:left w:val="nil"/>
              <w:bottom w:val="single" w:sz="4" w:space="0" w:color="auto"/>
              <w:right w:val="single" w:sz="8" w:space="0" w:color="auto"/>
            </w:tcBorders>
            <w:shd w:val="clear" w:color="auto" w:fill="auto"/>
            <w:noWrap/>
            <w:vAlign w:val="bottom"/>
            <w:hideMark/>
          </w:tcPr>
          <w:p w14:paraId="373D32F5"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84,9</w:t>
            </w:r>
          </w:p>
        </w:tc>
      </w:tr>
      <w:tr w:rsidR="00C65364" w:rsidRPr="00C65364" w14:paraId="41B18C83" w14:textId="77777777" w:rsidTr="00C65364">
        <w:trPr>
          <w:trHeight w:val="405"/>
        </w:trPr>
        <w:tc>
          <w:tcPr>
            <w:tcW w:w="3828" w:type="dxa"/>
            <w:tcBorders>
              <w:top w:val="nil"/>
              <w:left w:val="single" w:sz="8" w:space="0" w:color="auto"/>
              <w:bottom w:val="single" w:sz="4" w:space="0" w:color="auto"/>
              <w:right w:val="nil"/>
            </w:tcBorders>
            <w:shd w:val="clear" w:color="auto" w:fill="auto"/>
            <w:vAlign w:val="bottom"/>
            <w:hideMark/>
          </w:tcPr>
          <w:p w14:paraId="32E39DE0" w14:textId="77777777" w:rsidR="00C65364" w:rsidRPr="00C65364" w:rsidRDefault="00C65364" w:rsidP="00C65364">
            <w:pPr>
              <w:spacing w:after="0" w:line="240" w:lineRule="auto"/>
              <w:rPr>
                <w:rFonts w:ascii="Calibri" w:eastAsia="Times New Roman" w:hAnsi="Calibri" w:cs="Arial"/>
                <w:sz w:val="20"/>
                <w:szCs w:val="20"/>
                <w:lang w:eastAsia="cs-CZ"/>
              </w:rPr>
            </w:pPr>
            <w:r w:rsidRPr="00C65364">
              <w:rPr>
                <w:rFonts w:ascii="Calibri" w:eastAsia="Times New Roman" w:hAnsi="Calibri" w:cs="Arial"/>
                <w:sz w:val="20"/>
                <w:szCs w:val="20"/>
                <w:lang w:eastAsia="cs-CZ"/>
              </w:rPr>
              <w:t>04 - Doprava</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612C5EDC"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4 894 421 000</w:t>
            </w:r>
          </w:p>
        </w:tc>
        <w:tc>
          <w:tcPr>
            <w:tcW w:w="1701" w:type="dxa"/>
            <w:tcBorders>
              <w:top w:val="nil"/>
              <w:left w:val="nil"/>
              <w:bottom w:val="single" w:sz="4" w:space="0" w:color="auto"/>
              <w:right w:val="single" w:sz="4" w:space="0" w:color="auto"/>
            </w:tcBorders>
            <w:shd w:val="clear" w:color="auto" w:fill="auto"/>
            <w:noWrap/>
            <w:vAlign w:val="bottom"/>
            <w:hideMark/>
          </w:tcPr>
          <w:p w14:paraId="7E3FF882"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2 928 936 362,93</w:t>
            </w:r>
          </w:p>
        </w:tc>
        <w:tc>
          <w:tcPr>
            <w:tcW w:w="1701" w:type="dxa"/>
            <w:tcBorders>
              <w:top w:val="nil"/>
              <w:left w:val="nil"/>
              <w:bottom w:val="single" w:sz="4" w:space="0" w:color="auto"/>
              <w:right w:val="single" w:sz="4" w:space="0" w:color="auto"/>
            </w:tcBorders>
            <w:shd w:val="clear" w:color="auto" w:fill="auto"/>
            <w:noWrap/>
            <w:vAlign w:val="bottom"/>
            <w:hideMark/>
          </w:tcPr>
          <w:p w14:paraId="772D8437"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2 918 759 301,05</w:t>
            </w:r>
          </w:p>
        </w:tc>
        <w:tc>
          <w:tcPr>
            <w:tcW w:w="1276" w:type="dxa"/>
            <w:tcBorders>
              <w:top w:val="nil"/>
              <w:left w:val="nil"/>
              <w:bottom w:val="single" w:sz="4" w:space="0" w:color="auto"/>
              <w:right w:val="single" w:sz="8" w:space="0" w:color="auto"/>
            </w:tcBorders>
            <w:shd w:val="clear" w:color="auto" w:fill="auto"/>
            <w:noWrap/>
            <w:vAlign w:val="bottom"/>
            <w:hideMark/>
          </w:tcPr>
          <w:p w14:paraId="28362EE3"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99,7</w:t>
            </w:r>
          </w:p>
        </w:tc>
      </w:tr>
      <w:tr w:rsidR="00C65364" w:rsidRPr="00C65364" w14:paraId="12C1D3CD" w14:textId="77777777" w:rsidTr="00C65364">
        <w:trPr>
          <w:trHeight w:val="405"/>
        </w:trPr>
        <w:tc>
          <w:tcPr>
            <w:tcW w:w="3828" w:type="dxa"/>
            <w:tcBorders>
              <w:top w:val="nil"/>
              <w:left w:val="single" w:sz="8" w:space="0" w:color="auto"/>
              <w:bottom w:val="single" w:sz="4" w:space="0" w:color="auto"/>
              <w:right w:val="nil"/>
            </w:tcBorders>
            <w:shd w:val="clear" w:color="auto" w:fill="auto"/>
            <w:vAlign w:val="bottom"/>
            <w:hideMark/>
          </w:tcPr>
          <w:p w14:paraId="53685375" w14:textId="77777777" w:rsidR="00C65364" w:rsidRPr="00C65364" w:rsidRDefault="00C65364" w:rsidP="00C65364">
            <w:pPr>
              <w:spacing w:after="0" w:line="240" w:lineRule="auto"/>
              <w:rPr>
                <w:rFonts w:ascii="Calibri" w:eastAsia="Times New Roman" w:hAnsi="Calibri" w:cs="Arial"/>
                <w:sz w:val="20"/>
                <w:szCs w:val="20"/>
                <w:lang w:eastAsia="cs-CZ"/>
              </w:rPr>
            </w:pPr>
            <w:r w:rsidRPr="00C65364">
              <w:rPr>
                <w:rFonts w:ascii="Calibri" w:eastAsia="Times New Roman" w:hAnsi="Calibri" w:cs="Arial"/>
                <w:sz w:val="20"/>
                <w:szCs w:val="20"/>
                <w:lang w:eastAsia="cs-CZ"/>
              </w:rPr>
              <w:t>05 - Školství</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64568F7C"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592 720 000</w:t>
            </w:r>
          </w:p>
        </w:tc>
        <w:tc>
          <w:tcPr>
            <w:tcW w:w="1701" w:type="dxa"/>
            <w:tcBorders>
              <w:top w:val="nil"/>
              <w:left w:val="nil"/>
              <w:bottom w:val="single" w:sz="4" w:space="0" w:color="auto"/>
              <w:right w:val="single" w:sz="4" w:space="0" w:color="auto"/>
            </w:tcBorders>
            <w:shd w:val="clear" w:color="auto" w:fill="auto"/>
            <w:noWrap/>
            <w:vAlign w:val="bottom"/>
            <w:hideMark/>
          </w:tcPr>
          <w:p w14:paraId="67CB7C09"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743 548 775,62</w:t>
            </w:r>
          </w:p>
        </w:tc>
        <w:tc>
          <w:tcPr>
            <w:tcW w:w="1701" w:type="dxa"/>
            <w:tcBorders>
              <w:top w:val="nil"/>
              <w:left w:val="nil"/>
              <w:bottom w:val="single" w:sz="4" w:space="0" w:color="auto"/>
              <w:right w:val="single" w:sz="4" w:space="0" w:color="auto"/>
            </w:tcBorders>
            <w:shd w:val="clear" w:color="auto" w:fill="auto"/>
            <w:noWrap/>
            <w:vAlign w:val="bottom"/>
            <w:hideMark/>
          </w:tcPr>
          <w:p w14:paraId="04624602"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702 843 085,57</w:t>
            </w:r>
          </w:p>
        </w:tc>
        <w:tc>
          <w:tcPr>
            <w:tcW w:w="1276" w:type="dxa"/>
            <w:tcBorders>
              <w:top w:val="nil"/>
              <w:left w:val="nil"/>
              <w:bottom w:val="single" w:sz="4" w:space="0" w:color="auto"/>
              <w:right w:val="single" w:sz="8" w:space="0" w:color="auto"/>
            </w:tcBorders>
            <w:shd w:val="clear" w:color="auto" w:fill="auto"/>
            <w:noWrap/>
            <w:vAlign w:val="bottom"/>
            <w:hideMark/>
          </w:tcPr>
          <w:p w14:paraId="49245AF2"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94,5</w:t>
            </w:r>
          </w:p>
        </w:tc>
      </w:tr>
      <w:tr w:rsidR="00C65364" w:rsidRPr="00C65364" w14:paraId="2B32AA6F" w14:textId="77777777" w:rsidTr="00C65364">
        <w:trPr>
          <w:trHeight w:val="405"/>
        </w:trPr>
        <w:tc>
          <w:tcPr>
            <w:tcW w:w="3828" w:type="dxa"/>
            <w:tcBorders>
              <w:top w:val="nil"/>
              <w:left w:val="single" w:sz="8" w:space="0" w:color="auto"/>
              <w:bottom w:val="single" w:sz="4" w:space="0" w:color="auto"/>
              <w:right w:val="nil"/>
            </w:tcBorders>
            <w:shd w:val="clear" w:color="auto" w:fill="auto"/>
            <w:vAlign w:val="bottom"/>
            <w:hideMark/>
          </w:tcPr>
          <w:p w14:paraId="30E729CE" w14:textId="77777777" w:rsidR="00C65364" w:rsidRPr="00C65364" w:rsidRDefault="00C65364" w:rsidP="00C65364">
            <w:pPr>
              <w:spacing w:after="0" w:line="240" w:lineRule="auto"/>
              <w:rPr>
                <w:rFonts w:ascii="Calibri" w:eastAsia="Times New Roman" w:hAnsi="Calibri" w:cs="Arial"/>
                <w:sz w:val="20"/>
                <w:szCs w:val="20"/>
                <w:lang w:eastAsia="cs-CZ"/>
              </w:rPr>
            </w:pPr>
            <w:r w:rsidRPr="00C65364">
              <w:rPr>
                <w:rFonts w:ascii="Calibri" w:eastAsia="Times New Roman" w:hAnsi="Calibri" w:cs="Arial"/>
                <w:sz w:val="20"/>
                <w:szCs w:val="20"/>
                <w:lang w:eastAsia="cs-CZ"/>
              </w:rPr>
              <w:t>06 - Kultura a památková péče</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2F3B7E82"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368 341 000</w:t>
            </w:r>
          </w:p>
        </w:tc>
        <w:tc>
          <w:tcPr>
            <w:tcW w:w="1701" w:type="dxa"/>
            <w:tcBorders>
              <w:top w:val="nil"/>
              <w:left w:val="nil"/>
              <w:bottom w:val="single" w:sz="4" w:space="0" w:color="auto"/>
              <w:right w:val="single" w:sz="4" w:space="0" w:color="auto"/>
            </w:tcBorders>
            <w:shd w:val="clear" w:color="000000" w:fill="FFFFFF"/>
            <w:noWrap/>
            <w:vAlign w:val="bottom"/>
            <w:hideMark/>
          </w:tcPr>
          <w:p w14:paraId="1870FD52"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476 758 291,87</w:t>
            </w:r>
          </w:p>
        </w:tc>
        <w:tc>
          <w:tcPr>
            <w:tcW w:w="1701" w:type="dxa"/>
            <w:tcBorders>
              <w:top w:val="nil"/>
              <w:left w:val="nil"/>
              <w:bottom w:val="single" w:sz="4" w:space="0" w:color="auto"/>
              <w:right w:val="single" w:sz="4" w:space="0" w:color="auto"/>
            </w:tcBorders>
            <w:shd w:val="clear" w:color="000000" w:fill="FFFFFF"/>
            <w:noWrap/>
            <w:vAlign w:val="bottom"/>
            <w:hideMark/>
          </w:tcPr>
          <w:p w14:paraId="41B30031"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470 493 686,53</w:t>
            </w:r>
          </w:p>
        </w:tc>
        <w:tc>
          <w:tcPr>
            <w:tcW w:w="1276" w:type="dxa"/>
            <w:tcBorders>
              <w:top w:val="nil"/>
              <w:left w:val="nil"/>
              <w:bottom w:val="single" w:sz="4" w:space="0" w:color="auto"/>
              <w:right w:val="single" w:sz="8" w:space="0" w:color="auto"/>
            </w:tcBorders>
            <w:shd w:val="clear" w:color="auto" w:fill="auto"/>
            <w:noWrap/>
            <w:vAlign w:val="bottom"/>
            <w:hideMark/>
          </w:tcPr>
          <w:p w14:paraId="0B1B23A2"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98,7</w:t>
            </w:r>
          </w:p>
        </w:tc>
      </w:tr>
      <w:tr w:rsidR="00C65364" w:rsidRPr="00C65364" w14:paraId="69098B3D" w14:textId="77777777" w:rsidTr="00C65364">
        <w:trPr>
          <w:trHeight w:val="405"/>
        </w:trPr>
        <w:tc>
          <w:tcPr>
            <w:tcW w:w="3828" w:type="dxa"/>
            <w:tcBorders>
              <w:top w:val="nil"/>
              <w:left w:val="single" w:sz="8" w:space="0" w:color="auto"/>
              <w:bottom w:val="single" w:sz="4" w:space="0" w:color="auto"/>
              <w:right w:val="nil"/>
            </w:tcBorders>
            <w:shd w:val="clear" w:color="auto" w:fill="auto"/>
            <w:vAlign w:val="bottom"/>
            <w:hideMark/>
          </w:tcPr>
          <w:p w14:paraId="51C14116" w14:textId="77777777" w:rsidR="00C65364" w:rsidRPr="00C65364" w:rsidRDefault="00C65364" w:rsidP="00C65364">
            <w:pPr>
              <w:spacing w:after="0" w:line="240" w:lineRule="auto"/>
              <w:rPr>
                <w:rFonts w:ascii="Calibri" w:eastAsia="Times New Roman" w:hAnsi="Calibri" w:cs="Arial"/>
                <w:sz w:val="20"/>
                <w:szCs w:val="20"/>
                <w:lang w:eastAsia="cs-CZ"/>
              </w:rPr>
            </w:pPr>
            <w:r w:rsidRPr="00C65364">
              <w:rPr>
                <w:rFonts w:ascii="Calibri" w:eastAsia="Times New Roman" w:hAnsi="Calibri" w:cs="Arial"/>
                <w:sz w:val="20"/>
                <w:szCs w:val="20"/>
                <w:lang w:eastAsia="cs-CZ"/>
              </w:rPr>
              <w:t>07 - Zdravotnictví</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7DEABDE2"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693 394 000</w:t>
            </w:r>
          </w:p>
        </w:tc>
        <w:tc>
          <w:tcPr>
            <w:tcW w:w="1701" w:type="dxa"/>
            <w:tcBorders>
              <w:top w:val="nil"/>
              <w:left w:val="nil"/>
              <w:bottom w:val="single" w:sz="4" w:space="0" w:color="auto"/>
              <w:right w:val="single" w:sz="4" w:space="0" w:color="auto"/>
            </w:tcBorders>
            <w:shd w:val="clear" w:color="auto" w:fill="auto"/>
            <w:noWrap/>
            <w:vAlign w:val="bottom"/>
            <w:hideMark/>
          </w:tcPr>
          <w:p w14:paraId="31837F96"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878 695 550,05</w:t>
            </w:r>
          </w:p>
        </w:tc>
        <w:tc>
          <w:tcPr>
            <w:tcW w:w="1701" w:type="dxa"/>
            <w:tcBorders>
              <w:top w:val="nil"/>
              <w:left w:val="nil"/>
              <w:bottom w:val="single" w:sz="4" w:space="0" w:color="auto"/>
              <w:right w:val="single" w:sz="4" w:space="0" w:color="auto"/>
            </w:tcBorders>
            <w:shd w:val="clear" w:color="auto" w:fill="auto"/>
            <w:noWrap/>
            <w:vAlign w:val="bottom"/>
            <w:hideMark/>
          </w:tcPr>
          <w:p w14:paraId="1CC27A55"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875 221 936,03</w:t>
            </w:r>
          </w:p>
        </w:tc>
        <w:tc>
          <w:tcPr>
            <w:tcW w:w="1276" w:type="dxa"/>
            <w:tcBorders>
              <w:top w:val="nil"/>
              <w:left w:val="nil"/>
              <w:bottom w:val="single" w:sz="4" w:space="0" w:color="auto"/>
              <w:right w:val="single" w:sz="8" w:space="0" w:color="auto"/>
            </w:tcBorders>
            <w:shd w:val="clear" w:color="auto" w:fill="auto"/>
            <w:noWrap/>
            <w:vAlign w:val="bottom"/>
            <w:hideMark/>
          </w:tcPr>
          <w:p w14:paraId="6BDBC460"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99,6</w:t>
            </w:r>
          </w:p>
        </w:tc>
      </w:tr>
      <w:tr w:rsidR="00C65364" w:rsidRPr="00C65364" w14:paraId="65C51DBD" w14:textId="77777777" w:rsidTr="00C65364">
        <w:trPr>
          <w:trHeight w:val="390"/>
        </w:trPr>
        <w:tc>
          <w:tcPr>
            <w:tcW w:w="3828" w:type="dxa"/>
            <w:tcBorders>
              <w:top w:val="nil"/>
              <w:left w:val="single" w:sz="8" w:space="0" w:color="auto"/>
              <w:bottom w:val="single" w:sz="4" w:space="0" w:color="auto"/>
              <w:right w:val="nil"/>
            </w:tcBorders>
            <w:shd w:val="clear" w:color="auto" w:fill="auto"/>
            <w:vAlign w:val="bottom"/>
            <w:hideMark/>
          </w:tcPr>
          <w:p w14:paraId="2E2F8073" w14:textId="77777777" w:rsidR="00C65364" w:rsidRPr="00C65364" w:rsidRDefault="00C65364" w:rsidP="00C65364">
            <w:pPr>
              <w:spacing w:after="0" w:line="240" w:lineRule="auto"/>
              <w:rPr>
                <w:rFonts w:ascii="Calibri" w:eastAsia="Times New Roman" w:hAnsi="Calibri" w:cs="Arial"/>
                <w:sz w:val="20"/>
                <w:szCs w:val="20"/>
                <w:lang w:eastAsia="cs-CZ"/>
              </w:rPr>
            </w:pPr>
            <w:r w:rsidRPr="00C65364">
              <w:rPr>
                <w:rFonts w:ascii="Calibri" w:eastAsia="Times New Roman" w:hAnsi="Calibri" w:cs="Arial"/>
                <w:sz w:val="20"/>
                <w:szCs w:val="20"/>
                <w:lang w:eastAsia="cs-CZ"/>
              </w:rPr>
              <w:t>08 - Regionální rozvoj</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6F5F74B8"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131 373 000</w:t>
            </w:r>
          </w:p>
        </w:tc>
        <w:tc>
          <w:tcPr>
            <w:tcW w:w="1701" w:type="dxa"/>
            <w:tcBorders>
              <w:top w:val="nil"/>
              <w:left w:val="nil"/>
              <w:bottom w:val="single" w:sz="4" w:space="0" w:color="auto"/>
              <w:right w:val="single" w:sz="4" w:space="0" w:color="auto"/>
            </w:tcBorders>
            <w:shd w:val="clear" w:color="auto" w:fill="auto"/>
            <w:noWrap/>
            <w:vAlign w:val="bottom"/>
            <w:hideMark/>
          </w:tcPr>
          <w:p w14:paraId="3C0DB8D8"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83 506 067,45</w:t>
            </w:r>
          </w:p>
        </w:tc>
        <w:tc>
          <w:tcPr>
            <w:tcW w:w="1701" w:type="dxa"/>
            <w:tcBorders>
              <w:top w:val="nil"/>
              <w:left w:val="nil"/>
              <w:bottom w:val="single" w:sz="4" w:space="0" w:color="auto"/>
              <w:right w:val="single" w:sz="4" w:space="0" w:color="auto"/>
            </w:tcBorders>
            <w:shd w:val="clear" w:color="auto" w:fill="auto"/>
            <w:noWrap/>
            <w:vAlign w:val="bottom"/>
            <w:hideMark/>
          </w:tcPr>
          <w:p w14:paraId="75791600"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75 485 987,25</w:t>
            </w:r>
          </w:p>
        </w:tc>
        <w:tc>
          <w:tcPr>
            <w:tcW w:w="1276" w:type="dxa"/>
            <w:tcBorders>
              <w:top w:val="nil"/>
              <w:left w:val="nil"/>
              <w:bottom w:val="single" w:sz="4" w:space="0" w:color="auto"/>
              <w:right w:val="single" w:sz="8" w:space="0" w:color="auto"/>
            </w:tcBorders>
            <w:shd w:val="clear" w:color="auto" w:fill="auto"/>
            <w:noWrap/>
            <w:vAlign w:val="bottom"/>
            <w:hideMark/>
          </w:tcPr>
          <w:p w14:paraId="414DEE8B"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90,4</w:t>
            </w:r>
          </w:p>
        </w:tc>
      </w:tr>
      <w:tr w:rsidR="00C65364" w:rsidRPr="00C65364" w14:paraId="6325670D" w14:textId="77777777" w:rsidTr="00C65364">
        <w:trPr>
          <w:trHeight w:val="405"/>
        </w:trPr>
        <w:tc>
          <w:tcPr>
            <w:tcW w:w="3828" w:type="dxa"/>
            <w:tcBorders>
              <w:top w:val="nil"/>
              <w:left w:val="single" w:sz="8" w:space="0" w:color="auto"/>
              <w:bottom w:val="single" w:sz="4" w:space="0" w:color="auto"/>
              <w:right w:val="nil"/>
            </w:tcBorders>
            <w:shd w:val="clear" w:color="auto" w:fill="auto"/>
            <w:vAlign w:val="bottom"/>
            <w:hideMark/>
          </w:tcPr>
          <w:p w14:paraId="5612D44B" w14:textId="77777777" w:rsidR="00C65364" w:rsidRPr="00C65364" w:rsidRDefault="00C65364" w:rsidP="00C65364">
            <w:pPr>
              <w:spacing w:after="0" w:line="240" w:lineRule="auto"/>
              <w:rPr>
                <w:rFonts w:ascii="Calibri" w:eastAsia="Times New Roman" w:hAnsi="Calibri" w:cs="Arial"/>
                <w:sz w:val="20"/>
                <w:szCs w:val="20"/>
                <w:lang w:eastAsia="cs-CZ"/>
              </w:rPr>
            </w:pPr>
            <w:r w:rsidRPr="00C65364">
              <w:rPr>
                <w:rFonts w:ascii="Calibri" w:eastAsia="Times New Roman" w:hAnsi="Calibri" w:cs="Arial"/>
                <w:sz w:val="20"/>
                <w:szCs w:val="20"/>
                <w:lang w:eastAsia="cs-CZ"/>
              </w:rPr>
              <w:t>09 - Evropská integrace</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2B672C05"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22 780 000</w:t>
            </w:r>
          </w:p>
        </w:tc>
        <w:tc>
          <w:tcPr>
            <w:tcW w:w="1701" w:type="dxa"/>
            <w:tcBorders>
              <w:top w:val="nil"/>
              <w:left w:val="nil"/>
              <w:bottom w:val="single" w:sz="4" w:space="0" w:color="auto"/>
              <w:right w:val="single" w:sz="4" w:space="0" w:color="auto"/>
            </w:tcBorders>
            <w:shd w:val="clear" w:color="auto" w:fill="auto"/>
            <w:noWrap/>
            <w:vAlign w:val="bottom"/>
            <w:hideMark/>
          </w:tcPr>
          <w:p w14:paraId="30108F70"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44 485 130,34</w:t>
            </w:r>
          </w:p>
        </w:tc>
        <w:tc>
          <w:tcPr>
            <w:tcW w:w="1701" w:type="dxa"/>
            <w:tcBorders>
              <w:top w:val="nil"/>
              <w:left w:val="nil"/>
              <w:bottom w:val="single" w:sz="4" w:space="0" w:color="auto"/>
              <w:right w:val="single" w:sz="4" w:space="0" w:color="auto"/>
            </w:tcBorders>
            <w:shd w:val="clear" w:color="auto" w:fill="auto"/>
            <w:noWrap/>
            <w:vAlign w:val="bottom"/>
            <w:hideMark/>
          </w:tcPr>
          <w:p w14:paraId="065B8A71"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38 426 206,58</w:t>
            </w:r>
          </w:p>
        </w:tc>
        <w:tc>
          <w:tcPr>
            <w:tcW w:w="1276" w:type="dxa"/>
            <w:tcBorders>
              <w:top w:val="nil"/>
              <w:left w:val="nil"/>
              <w:bottom w:val="single" w:sz="4" w:space="0" w:color="auto"/>
              <w:right w:val="single" w:sz="8" w:space="0" w:color="auto"/>
            </w:tcBorders>
            <w:shd w:val="clear" w:color="auto" w:fill="auto"/>
            <w:noWrap/>
            <w:vAlign w:val="bottom"/>
            <w:hideMark/>
          </w:tcPr>
          <w:p w14:paraId="00DAC0DC"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86,4</w:t>
            </w:r>
          </w:p>
        </w:tc>
      </w:tr>
      <w:tr w:rsidR="00C65364" w:rsidRPr="00C65364" w14:paraId="576EFD98" w14:textId="77777777" w:rsidTr="00C65364">
        <w:trPr>
          <w:trHeight w:val="405"/>
        </w:trPr>
        <w:tc>
          <w:tcPr>
            <w:tcW w:w="3828" w:type="dxa"/>
            <w:tcBorders>
              <w:top w:val="nil"/>
              <w:left w:val="single" w:sz="8" w:space="0" w:color="auto"/>
              <w:bottom w:val="single" w:sz="4" w:space="0" w:color="auto"/>
              <w:right w:val="nil"/>
            </w:tcBorders>
            <w:shd w:val="clear" w:color="auto" w:fill="auto"/>
            <w:vAlign w:val="bottom"/>
            <w:hideMark/>
          </w:tcPr>
          <w:p w14:paraId="2CEF413B" w14:textId="77777777" w:rsidR="00C65364" w:rsidRPr="00C65364" w:rsidRDefault="00C65364" w:rsidP="00C65364">
            <w:pPr>
              <w:spacing w:after="0" w:line="240" w:lineRule="auto"/>
              <w:rPr>
                <w:rFonts w:ascii="Calibri" w:eastAsia="Times New Roman" w:hAnsi="Calibri" w:cs="Arial"/>
                <w:sz w:val="20"/>
                <w:szCs w:val="20"/>
                <w:lang w:eastAsia="cs-CZ"/>
              </w:rPr>
            </w:pPr>
            <w:r w:rsidRPr="00C65364">
              <w:rPr>
                <w:rFonts w:ascii="Calibri" w:eastAsia="Times New Roman" w:hAnsi="Calibri" w:cs="Arial"/>
                <w:sz w:val="20"/>
                <w:szCs w:val="20"/>
                <w:lang w:eastAsia="cs-CZ"/>
              </w:rPr>
              <w:t>10 - Životní prostředí a zemědělství</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71A63BC3"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42 575 000</w:t>
            </w:r>
          </w:p>
        </w:tc>
        <w:tc>
          <w:tcPr>
            <w:tcW w:w="1701" w:type="dxa"/>
            <w:tcBorders>
              <w:top w:val="nil"/>
              <w:left w:val="nil"/>
              <w:bottom w:val="single" w:sz="4" w:space="0" w:color="auto"/>
              <w:right w:val="single" w:sz="4" w:space="0" w:color="auto"/>
            </w:tcBorders>
            <w:shd w:val="clear" w:color="auto" w:fill="auto"/>
            <w:noWrap/>
            <w:vAlign w:val="bottom"/>
            <w:hideMark/>
          </w:tcPr>
          <w:p w14:paraId="114FA50C"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61 647 738,00</w:t>
            </w:r>
          </w:p>
        </w:tc>
        <w:tc>
          <w:tcPr>
            <w:tcW w:w="1701" w:type="dxa"/>
            <w:tcBorders>
              <w:top w:val="nil"/>
              <w:left w:val="nil"/>
              <w:bottom w:val="single" w:sz="4" w:space="0" w:color="auto"/>
              <w:right w:val="single" w:sz="4" w:space="0" w:color="auto"/>
            </w:tcBorders>
            <w:shd w:val="clear" w:color="auto" w:fill="auto"/>
            <w:noWrap/>
            <w:vAlign w:val="bottom"/>
            <w:hideMark/>
          </w:tcPr>
          <w:p w14:paraId="377B84EB"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48 342 727,84</w:t>
            </w:r>
          </w:p>
        </w:tc>
        <w:tc>
          <w:tcPr>
            <w:tcW w:w="1276" w:type="dxa"/>
            <w:tcBorders>
              <w:top w:val="nil"/>
              <w:left w:val="nil"/>
              <w:bottom w:val="single" w:sz="4" w:space="0" w:color="auto"/>
              <w:right w:val="single" w:sz="8" w:space="0" w:color="auto"/>
            </w:tcBorders>
            <w:shd w:val="clear" w:color="auto" w:fill="auto"/>
            <w:noWrap/>
            <w:vAlign w:val="bottom"/>
            <w:hideMark/>
          </w:tcPr>
          <w:p w14:paraId="18A6F0C2"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78,4</w:t>
            </w:r>
          </w:p>
        </w:tc>
      </w:tr>
      <w:tr w:rsidR="00C65364" w:rsidRPr="00C65364" w14:paraId="1F87DCD5" w14:textId="77777777" w:rsidTr="00C65364">
        <w:trPr>
          <w:trHeight w:val="405"/>
        </w:trPr>
        <w:tc>
          <w:tcPr>
            <w:tcW w:w="3828" w:type="dxa"/>
            <w:tcBorders>
              <w:top w:val="nil"/>
              <w:left w:val="single" w:sz="8" w:space="0" w:color="auto"/>
              <w:bottom w:val="single" w:sz="4" w:space="0" w:color="auto"/>
              <w:right w:val="nil"/>
            </w:tcBorders>
            <w:shd w:val="clear" w:color="auto" w:fill="auto"/>
            <w:vAlign w:val="bottom"/>
            <w:hideMark/>
          </w:tcPr>
          <w:p w14:paraId="5803961F" w14:textId="77777777" w:rsidR="00C65364" w:rsidRPr="00C65364" w:rsidRDefault="00C65364" w:rsidP="00C65364">
            <w:pPr>
              <w:spacing w:after="0" w:line="240" w:lineRule="auto"/>
              <w:rPr>
                <w:rFonts w:ascii="Calibri" w:eastAsia="Times New Roman" w:hAnsi="Calibri" w:cs="Arial"/>
                <w:sz w:val="20"/>
                <w:szCs w:val="20"/>
                <w:lang w:eastAsia="cs-CZ"/>
              </w:rPr>
            </w:pPr>
            <w:r w:rsidRPr="00C65364">
              <w:rPr>
                <w:rFonts w:ascii="Calibri" w:eastAsia="Times New Roman" w:hAnsi="Calibri" w:cs="Arial"/>
                <w:sz w:val="20"/>
                <w:szCs w:val="20"/>
                <w:lang w:eastAsia="cs-CZ"/>
              </w:rPr>
              <w:t>11 - Správa majetku</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1CA2FE4D"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12 607 000</w:t>
            </w:r>
          </w:p>
        </w:tc>
        <w:tc>
          <w:tcPr>
            <w:tcW w:w="1701" w:type="dxa"/>
            <w:tcBorders>
              <w:top w:val="nil"/>
              <w:left w:val="nil"/>
              <w:bottom w:val="single" w:sz="4" w:space="0" w:color="auto"/>
              <w:right w:val="single" w:sz="4" w:space="0" w:color="auto"/>
            </w:tcBorders>
            <w:shd w:val="clear" w:color="FFFFCC" w:fill="FFFFFF"/>
            <w:noWrap/>
            <w:vAlign w:val="bottom"/>
            <w:hideMark/>
          </w:tcPr>
          <w:p w14:paraId="34029E0D" w14:textId="77777777" w:rsidR="00C65364" w:rsidRPr="00C65364" w:rsidRDefault="00C65364" w:rsidP="00C65364">
            <w:pPr>
              <w:spacing w:after="0" w:line="240" w:lineRule="auto"/>
              <w:jc w:val="right"/>
              <w:rPr>
                <w:rFonts w:ascii="Calibri" w:eastAsia="Times New Roman" w:hAnsi="Calibri" w:cs="Arial"/>
                <w:color w:val="000000"/>
                <w:sz w:val="20"/>
                <w:szCs w:val="20"/>
                <w:lang w:eastAsia="cs-CZ"/>
              </w:rPr>
            </w:pPr>
            <w:r w:rsidRPr="00C65364">
              <w:rPr>
                <w:rFonts w:ascii="Calibri" w:eastAsia="Times New Roman" w:hAnsi="Calibri" w:cs="Arial"/>
                <w:color w:val="000000"/>
                <w:sz w:val="20"/>
                <w:szCs w:val="20"/>
                <w:lang w:eastAsia="cs-CZ"/>
              </w:rPr>
              <w:t>143 910 319,48</w:t>
            </w:r>
          </w:p>
        </w:tc>
        <w:tc>
          <w:tcPr>
            <w:tcW w:w="1701" w:type="dxa"/>
            <w:tcBorders>
              <w:top w:val="nil"/>
              <w:left w:val="nil"/>
              <w:bottom w:val="single" w:sz="4" w:space="0" w:color="auto"/>
              <w:right w:val="single" w:sz="4" w:space="0" w:color="auto"/>
            </w:tcBorders>
            <w:shd w:val="clear" w:color="auto" w:fill="auto"/>
            <w:noWrap/>
            <w:vAlign w:val="bottom"/>
            <w:hideMark/>
          </w:tcPr>
          <w:p w14:paraId="63761689"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111 030 263,27</w:t>
            </w:r>
          </w:p>
        </w:tc>
        <w:tc>
          <w:tcPr>
            <w:tcW w:w="1276" w:type="dxa"/>
            <w:tcBorders>
              <w:top w:val="nil"/>
              <w:left w:val="nil"/>
              <w:bottom w:val="single" w:sz="4" w:space="0" w:color="auto"/>
              <w:right w:val="single" w:sz="8" w:space="0" w:color="auto"/>
            </w:tcBorders>
            <w:shd w:val="clear" w:color="auto" w:fill="auto"/>
            <w:noWrap/>
            <w:vAlign w:val="bottom"/>
            <w:hideMark/>
          </w:tcPr>
          <w:p w14:paraId="444B805A"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77,2</w:t>
            </w:r>
          </w:p>
        </w:tc>
      </w:tr>
      <w:tr w:rsidR="00C65364" w:rsidRPr="00C65364" w14:paraId="2262589A" w14:textId="77777777" w:rsidTr="00C65364">
        <w:trPr>
          <w:trHeight w:val="405"/>
        </w:trPr>
        <w:tc>
          <w:tcPr>
            <w:tcW w:w="3828" w:type="dxa"/>
            <w:tcBorders>
              <w:top w:val="nil"/>
              <w:left w:val="single" w:sz="8" w:space="0" w:color="auto"/>
              <w:bottom w:val="single" w:sz="4" w:space="0" w:color="auto"/>
              <w:right w:val="nil"/>
            </w:tcBorders>
            <w:shd w:val="clear" w:color="auto" w:fill="auto"/>
            <w:vAlign w:val="bottom"/>
            <w:hideMark/>
          </w:tcPr>
          <w:p w14:paraId="3A2F8C94" w14:textId="77777777" w:rsidR="00C65364" w:rsidRPr="00C65364" w:rsidRDefault="00C65364" w:rsidP="00C65364">
            <w:pPr>
              <w:spacing w:after="0" w:line="240" w:lineRule="auto"/>
              <w:rPr>
                <w:rFonts w:ascii="Calibri" w:eastAsia="Times New Roman" w:hAnsi="Calibri" w:cs="Arial"/>
                <w:sz w:val="20"/>
                <w:szCs w:val="20"/>
                <w:lang w:eastAsia="cs-CZ"/>
              </w:rPr>
            </w:pPr>
            <w:r w:rsidRPr="00C65364">
              <w:rPr>
                <w:rFonts w:ascii="Calibri" w:eastAsia="Times New Roman" w:hAnsi="Calibri" w:cs="Arial"/>
                <w:sz w:val="20"/>
                <w:szCs w:val="20"/>
                <w:lang w:eastAsia="cs-CZ"/>
              </w:rPr>
              <w:t>13 - Krajský investor</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4D30E241"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4 880 000</w:t>
            </w:r>
          </w:p>
        </w:tc>
        <w:tc>
          <w:tcPr>
            <w:tcW w:w="1701" w:type="dxa"/>
            <w:tcBorders>
              <w:top w:val="nil"/>
              <w:left w:val="nil"/>
              <w:bottom w:val="single" w:sz="4" w:space="0" w:color="auto"/>
              <w:right w:val="single" w:sz="4" w:space="0" w:color="auto"/>
            </w:tcBorders>
            <w:shd w:val="clear" w:color="auto" w:fill="auto"/>
            <w:noWrap/>
            <w:vAlign w:val="bottom"/>
            <w:hideMark/>
          </w:tcPr>
          <w:p w14:paraId="6764C54E"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4 718 617,38</w:t>
            </w:r>
          </w:p>
        </w:tc>
        <w:tc>
          <w:tcPr>
            <w:tcW w:w="1701" w:type="dxa"/>
            <w:tcBorders>
              <w:top w:val="nil"/>
              <w:left w:val="nil"/>
              <w:bottom w:val="single" w:sz="4" w:space="0" w:color="auto"/>
              <w:right w:val="single" w:sz="4" w:space="0" w:color="auto"/>
            </w:tcBorders>
            <w:shd w:val="clear" w:color="auto" w:fill="auto"/>
            <w:noWrap/>
            <w:vAlign w:val="bottom"/>
            <w:hideMark/>
          </w:tcPr>
          <w:p w14:paraId="1FF23E8B"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2 044 632,77</w:t>
            </w:r>
          </w:p>
        </w:tc>
        <w:tc>
          <w:tcPr>
            <w:tcW w:w="1276" w:type="dxa"/>
            <w:tcBorders>
              <w:top w:val="nil"/>
              <w:left w:val="nil"/>
              <w:bottom w:val="single" w:sz="4" w:space="0" w:color="auto"/>
              <w:right w:val="single" w:sz="8" w:space="0" w:color="auto"/>
            </w:tcBorders>
            <w:shd w:val="clear" w:color="auto" w:fill="auto"/>
            <w:noWrap/>
            <w:vAlign w:val="bottom"/>
            <w:hideMark/>
          </w:tcPr>
          <w:p w14:paraId="2B5621FB"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43,3</w:t>
            </w:r>
          </w:p>
        </w:tc>
      </w:tr>
      <w:tr w:rsidR="00C65364" w:rsidRPr="00C65364" w14:paraId="1D28844D" w14:textId="77777777" w:rsidTr="00C65364">
        <w:trPr>
          <w:trHeight w:val="405"/>
        </w:trPr>
        <w:tc>
          <w:tcPr>
            <w:tcW w:w="3828" w:type="dxa"/>
            <w:tcBorders>
              <w:top w:val="nil"/>
              <w:left w:val="single" w:sz="8" w:space="0" w:color="auto"/>
              <w:bottom w:val="single" w:sz="4" w:space="0" w:color="auto"/>
              <w:right w:val="nil"/>
            </w:tcBorders>
            <w:shd w:val="clear" w:color="auto" w:fill="auto"/>
            <w:vAlign w:val="bottom"/>
            <w:hideMark/>
          </w:tcPr>
          <w:p w14:paraId="31EDCB30" w14:textId="77777777" w:rsidR="00C65364" w:rsidRPr="00C65364" w:rsidRDefault="00C65364" w:rsidP="00C65364">
            <w:pPr>
              <w:spacing w:after="0" w:line="240" w:lineRule="auto"/>
              <w:rPr>
                <w:rFonts w:ascii="Calibri" w:eastAsia="Times New Roman" w:hAnsi="Calibri" w:cs="Arial"/>
                <w:sz w:val="20"/>
                <w:szCs w:val="20"/>
                <w:lang w:eastAsia="cs-CZ"/>
              </w:rPr>
            </w:pPr>
            <w:r w:rsidRPr="00C65364">
              <w:rPr>
                <w:rFonts w:ascii="Calibri" w:eastAsia="Times New Roman" w:hAnsi="Calibri" w:cs="Arial"/>
                <w:sz w:val="20"/>
                <w:szCs w:val="20"/>
                <w:lang w:eastAsia="cs-CZ"/>
              </w:rPr>
              <w:t>14 - Řízení lidských zdrojů</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0A98AF9B"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550 086 000</w:t>
            </w:r>
          </w:p>
        </w:tc>
        <w:tc>
          <w:tcPr>
            <w:tcW w:w="1701" w:type="dxa"/>
            <w:tcBorders>
              <w:top w:val="nil"/>
              <w:left w:val="nil"/>
              <w:bottom w:val="single" w:sz="4" w:space="0" w:color="auto"/>
              <w:right w:val="single" w:sz="4" w:space="0" w:color="auto"/>
            </w:tcBorders>
            <w:shd w:val="clear" w:color="auto" w:fill="auto"/>
            <w:noWrap/>
            <w:vAlign w:val="bottom"/>
            <w:hideMark/>
          </w:tcPr>
          <w:p w14:paraId="1E958582"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560 566 000,00</w:t>
            </w:r>
          </w:p>
        </w:tc>
        <w:tc>
          <w:tcPr>
            <w:tcW w:w="1701" w:type="dxa"/>
            <w:tcBorders>
              <w:top w:val="nil"/>
              <w:left w:val="nil"/>
              <w:bottom w:val="single" w:sz="4" w:space="0" w:color="auto"/>
              <w:right w:val="single" w:sz="4" w:space="0" w:color="auto"/>
            </w:tcBorders>
            <w:shd w:val="clear" w:color="auto" w:fill="auto"/>
            <w:noWrap/>
            <w:vAlign w:val="bottom"/>
            <w:hideMark/>
          </w:tcPr>
          <w:p w14:paraId="692F888B"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542 312 609,24</w:t>
            </w:r>
          </w:p>
        </w:tc>
        <w:tc>
          <w:tcPr>
            <w:tcW w:w="1276" w:type="dxa"/>
            <w:tcBorders>
              <w:top w:val="nil"/>
              <w:left w:val="nil"/>
              <w:bottom w:val="single" w:sz="4" w:space="0" w:color="auto"/>
              <w:right w:val="single" w:sz="8" w:space="0" w:color="auto"/>
            </w:tcBorders>
            <w:shd w:val="clear" w:color="auto" w:fill="auto"/>
            <w:noWrap/>
            <w:vAlign w:val="bottom"/>
            <w:hideMark/>
          </w:tcPr>
          <w:p w14:paraId="5F961ECD"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96,7</w:t>
            </w:r>
          </w:p>
        </w:tc>
      </w:tr>
      <w:tr w:rsidR="00C65364" w:rsidRPr="00C65364" w14:paraId="1512C0A5" w14:textId="77777777" w:rsidTr="00C65364">
        <w:trPr>
          <w:trHeight w:val="405"/>
        </w:trPr>
        <w:tc>
          <w:tcPr>
            <w:tcW w:w="3828" w:type="dxa"/>
            <w:tcBorders>
              <w:top w:val="nil"/>
              <w:left w:val="single" w:sz="8" w:space="0" w:color="auto"/>
              <w:bottom w:val="single" w:sz="4" w:space="0" w:color="auto"/>
              <w:right w:val="nil"/>
            </w:tcBorders>
            <w:shd w:val="clear" w:color="auto" w:fill="auto"/>
            <w:noWrap/>
            <w:vAlign w:val="bottom"/>
            <w:hideMark/>
          </w:tcPr>
          <w:p w14:paraId="3668520B" w14:textId="77777777" w:rsidR="00C65364" w:rsidRPr="00C65364" w:rsidRDefault="00C65364" w:rsidP="00C65364">
            <w:pPr>
              <w:spacing w:after="0" w:line="240" w:lineRule="auto"/>
              <w:rPr>
                <w:rFonts w:ascii="Calibri" w:eastAsia="Times New Roman" w:hAnsi="Calibri" w:cs="Arial"/>
                <w:sz w:val="20"/>
                <w:szCs w:val="20"/>
                <w:lang w:eastAsia="cs-CZ"/>
              </w:rPr>
            </w:pPr>
            <w:r w:rsidRPr="00C65364">
              <w:rPr>
                <w:rFonts w:ascii="Calibri" w:eastAsia="Times New Roman" w:hAnsi="Calibri" w:cs="Arial"/>
                <w:sz w:val="20"/>
                <w:szCs w:val="20"/>
                <w:lang w:eastAsia="cs-CZ"/>
              </w:rPr>
              <w:t>15 - Územní a stavební řízení</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5B204231"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2 000 000</w:t>
            </w:r>
          </w:p>
        </w:tc>
        <w:tc>
          <w:tcPr>
            <w:tcW w:w="1701" w:type="dxa"/>
            <w:tcBorders>
              <w:top w:val="nil"/>
              <w:left w:val="nil"/>
              <w:bottom w:val="single" w:sz="4" w:space="0" w:color="auto"/>
              <w:right w:val="single" w:sz="4" w:space="0" w:color="auto"/>
            </w:tcBorders>
            <w:shd w:val="clear" w:color="auto" w:fill="auto"/>
            <w:noWrap/>
            <w:vAlign w:val="bottom"/>
            <w:hideMark/>
          </w:tcPr>
          <w:p w14:paraId="7F98359A"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8 924 738,04</w:t>
            </w:r>
          </w:p>
        </w:tc>
        <w:tc>
          <w:tcPr>
            <w:tcW w:w="1701" w:type="dxa"/>
            <w:tcBorders>
              <w:top w:val="nil"/>
              <w:left w:val="nil"/>
              <w:bottom w:val="single" w:sz="4" w:space="0" w:color="auto"/>
              <w:right w:val="single" w:sz="4" w:space="0" w:color="auto"/>
            </w:tcBorders>
            <w:shd w:val="clear" w:color="auto" w:fill="auto"/>
            <w:noWrap/>
            <w:vAlign w:val="bottom"/>
            <w:hideMark/>
          </w:tcPr>
          <w:p w14:paraId="0D4D530E"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3 042 350,80</w:t>
            </w:r>
          </w:p>
        </w:tc>
        <w:tc>
          <w:tcPr>
            <w:tcW w:w="1276" w:type="dxa"/>
            <w:tcBorders>
              <w:top w:val="nil"/>
              <w:left w:val="nil"/>
              <w:bottom w:val="single" w:sz="4" w:space="0" w:color="auto"/>
              <w:right w:val="single" w:sz="8" w:space="0" w:color="auto"/>
            </w:tcBorders>
            <w:shd w:val="clear" w:color="auto" w:fill="auto"/>
            <w:noWrap/>
            <w:vAlign w:val="bottom"/>
            <w:hideMark/>
          </w:tcPr>
          <w:p w14:paraId="6A77E82C"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34,1</w:t>
            </w:r>
          </w:p>
        </w:tc>
      </w:tr>
      <w:tr w:rsidR="00C65364" w:rsidRPr="00C65364" w14:paraId="60A1EBE8" w14:textId="77777777" w:rsidTr="00C65364">
        <w:trPr>
          <w:trHeight w:val="405"/>
        </w:trPr>
        <w:tc>
          <w:tcPr>
            <w:tcW w:w="3828" w:type="dxa"/>
            <w:tcBorders>
              <w:top w:val="nil"/>
              <w:left w:val="single" w:sz="8" w:space="0" w:color="auto"/>
              <w:bottom w:val="single" w:sz="4" w:space="0" w:color="auto"/>
              <w:right w:val="nil"/>
            </w:tcBorders>
            <w:shd w:val="clear" w:color="auto" w:fill="auto"/>
            <w:noWrap/>
            <w:vAlign w:val="bottom"/>
            <w:hideMark/>
          </w:tcPr>
          <w:p w14:paraId="0B75398F" w14:textId="77777777" w:rsidR="00C65364" w:rsidRPr="00C65364" w:rsidRDefault="00C65364" w:rsidP="00C65364">
            <w:pPr>
              <w:spacing w:after="0" w:line="240" w:lineRule="auto"/>
              <w:rPr>
                <w:rFonts w:ascii="Calibri" w:eastAsia="Times New Roman" w:hAnsi="Calibri" w:cs="Arial"/>
                <w:sz w:val="20"/>
                <w:szCs w:val="20"/>
                <w:lang w:eastAsia="cs-CZ"/>
              </w:rPr>
            </w:pPr>
            <w:r w:rsidRPr="00C65364">
              <w:rPr>
                <w:rFonts w:ascii="Calibri" w:eastAsia="Times New Roman" w:hAnsi="Calibri" w:cs="Arial"/>
                <w:sz w:val="20"/>
                <w:szCs w:val="20"/>
                <w:lang w:eastAsia="cs-CZ"/>
              </w:rPr>
              <w:t>16 - Správní agendy</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2B2DDE98"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19C1372D"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46 517,15</w:t>
            </w:r>
          </w:p>
        </w:tc>
        <w:tc>
          <w:tcPr>
            <w:tcW w:w="1701" w:type="dxa"/>
            <w:tcBorders>
              <w:top w:val="nil"/>
              <w:left w:val="nil"/>
              <w:bottom w:val="single" w:sz="4" w:space="0" w:color="auto"/>
              <w:right w:val="single" w:sz="4" w:space="0" w:color="auto"/>
            </w:tcBorders>
            <w:shd w:val="clear" w:color="auto" w:fill="auto"/>
            <w:noWrap/>
            <w:vAlign w:val="bottom"/>
            <w:hideMark/>
          </w:tcPr>
          <w:p w14:paraId="246E778A"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4 517,15</w:t>
            </w:r>
          </w:p>
        </w:tc>
        <w:tc>
          <w:tcPr>
            <w:tcW w:w="1276" w:type="dxa"/>
            <w:tcBorders>
              <w:top w:val="nil"/>
              <w:left w:val="nil"/>
              <w:bottom w:val="single" w:sz="4" w:space="0" w:color="auto"/>
              <w:right w:val="single" w:sz="8" w:space="0" w:color="auto"/>
            </w:tcBorders>
            <w:shd w:val="clear" w:color="auto" w:fill="auto"/>
            <w:noWrap/>
            <w:vAlign w:val="bottom"/>
            <w:hideMark/>
          </w:tcPr>
          <w:p w14:paraId="3CECB9D5"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9,7</w:t>
            </w:r>
          </w:p>
        </w:tc>
      </w:tr>
      <w:tr w:rsidR="00C65364" w:rsidRPr="00C65364" w14:paraId="018E9A38" w14:textId="77777777" w:rsidTr="00C65364">
        <w:trPr>
          <w:trHeight w:val="405"/>
        </w:trPr>
        <w:tc>
          <w:tcPr>
            <w:tcW w:w="3828" w:type="dxa"/>
            <w:tcBorders>
              <w:top w:val="nil"/>
              <w:left w:val="single" w:sz="8" w:space="0" w:color="auto"/>
              <w:bottom w:val="single" w:sz="4" w:space="0" w:color="auto"/>
              <w:right w:val="nil"/>
            </w:tcBorders>
            <w:shd w:val="clear" w:color="auto" w:fill="auto"/>
            <w:vAlign w:val="bottom"/>
            <w:hideMark/>
          </w:tcPr>
          <w:p w14:paraId="3EE400B8" w14:textId="77777777" w:rsidR="00C65364" w:rsidRPr="00C65364" w:rsidRDefault="00C65364" w:rsidP="00C65364">
            <w:pPr>
              <w:spacing w:after="0" w:line="240" w:lineRule="auto"/>
              <w:rPr>
                <w:rFonts w:ascii="Calibri" w:eastAsia="Times New Roman" w:hAnsi="Calibri" w:cs="Arial"/>
                <w:sz w:val="20"/>
                <w:szCs w:val="20"/>
                <w:lang w:eastAsia="cs-CZ"/>
              </w:rPr>
            </w:pPr>
            <w:r w:rsidRPr="00C65364">
              <w:rPr>
                <w:rFonts w:ascii="Calibri" w:eastAsia="Times New Roman" w:hAnsi="Calibri" w:cs="Arial"/>
                <w:sz w:val="20"/>
                <w:szCs w:val="20"/>
                <w:lang w:eastAsia="cs-CZ"/>
              </w:rPr>
              <w:t>17 - Sociální věci</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4BFC59BA"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285 458 000</w:t>
            </w:r>
          </w:p>
        </w:tc>
        <w:tc>
          <w:tcPr>
            <w:tcW w:w="1701" w:type="dxa"/>
            <w:tcBorders>
              <w:top w:val="nil"/>
              <w:left w:val="nil"/>
              <w:bottom w:val="single" w:sz="4" w:space="0" w:color="auto"/>
              <w:right w:val="single" w:sz="4" w:space="0" w:color="auto"/>
            </w:tcBorders>
            <w:shd w:val="clear" w:color="auto" w:fill="auto"/>
            <w:noWrap/>
            <w:vAlign w:val="bottom"/>
            <w:hideMark/>
          </w:tcPr>
          <w:p w14:paraId="2B0B07F8"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391 113 311,07</w:t>
            </w:r>
          </w:p>
        </w:tc>
        <w:tc>
          <w:tcPr>
            <w:tcW w:w="1701" w:type="dxa"/>
            <w:tcBorders>
              <w:top w:val="nil"/>
              <w:left w:val="nil"/>
              <w:bottom w:val="single" w:sz="4" w:space="0" w:color="auto"/>
              <w:right w:val="single" w:sz="4" w:space="0" w:color="auto"/>
            </w:tcBorders>
            <w:shd w:val="clear" w:color="auto" w:fill="auto"/>
            <w:noWrap/>
            <w:vAlign w:val="bottom"/>
            <w:hideMark/>
          </w:tcPr>
          <w:p w14:paraId="613D6EF0"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351 364 764,41</w:t>
            </w:r>
          </w:p>
        </w:tc>
        <w:tc>
          <w:tcPr>
            <w:tcW w:w="1276" w:type="dxa"/>
            <w:tcBorders>
              <w:top w:val="nil"/>
              <w:left w:val="nil"/>
              <w:bottom w:val="single" w:sz="4" w:space="0" w:color="auto"/>
              <w:right w:val="single" w:sz="8" w:space="0" w:color="auto"/>
            </w:tcBorders>
            <w:shd w:val="clear" w:color="auto" w:fill="auto"/>
            <w:noWrap/>
            <w:vAlign w:val="bottom"/>
            <w:hideMark/>
          </w:tcPr>
          <w:p w14:paraId="0CD5CFB9"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89,8</w:t>
            </w:r>
          </w:p>
        </w:tc>
      </w:tr>
      <w:tr w:rsidR="00C65364" w:rsidRPr="00C65364" w14:paraId="7E1AF414" w14:textId="77777777" w:rsidTr="00C65364">
        <w:trPr>
          <w:trHeight w:val="405"/>
        </w:trPr>
        <w:tc>
          <w:tcPr>
            <w:tcW w:w="3828" w:type="dxa"/>
            <w:tcBorders>
              <w:top w:val="nil"/>
              <w:left w:val="single" w:sz="8" w:space="0" w:color="auto"/>
              <w:bottom w:val="single" w:sz="4" w:space="0" w:color="auto"/>
              <w:right w:val="nil"/>
            </w:tcBorders>
            <w:shd w:val="clear" w:color="auto" w:fill="auto"/>
            <w:noWrap/>
            <w:vAlign w:val="bottom"/>
            <w:hideMark/>
          </w:tcPr>
          <w:p w14:paraId="56BEF7B0" w14:textId="77777777" w:rsidR="00C65364" w:rsidRPr="00C65364" w:rsidRDefault="00C65364" w:rsidP="00C65364">
            <w:pPr>
              <w:spacing w:after="0" w:line="240" w:lineRule="auto"/>
              <w:rPr>
                <w:rFonts w:ascii="Calibri" w:eastAsia="Times New Roman" w:hAnsi="Calibri" w:cs="Arial"/>
                <w:sz w:val="20"/>
                <w:szCs w:val="20"/>
                <w:lang w:eastAsia="cs-CZ"/>
              </w:rPr>
            </w:pPr>
            <w:r w:rsidRPr="00C65364">
              <w:rPr>
                <w:rFonts w:ascii="Calibri" w:eastAsia="Times New Roman" w:hAnsi="Calibri" w:cs="Arial"/>
                <w:sz w:val="20"/>
                <w:szCs w:val="20"/>
                <w:lang w:eastAsia="cs-CZ"/>
              </w:rPr>
              <w:t>18 - Legislativně právní</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7730EE42"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3 650 000</w:t>
            </w:r>
          </w:p>
        </w:tc>
        <w:tc>
          <w:tcPr>
            <w:tcW w:w="1701" w:type="dxa"/>
            <w:tcBorders>
              <w:top w:val="nil"/>
              <w:left w:val="nil"/>
              <w:bottom w:val="single" w:sz="4" w:space="0" w:color="auto"/>
              <w:right w:val="single" w:sz="4" w:space="0" w:color="auto"/>
            </w:tcBorders>
            <w:shd w:val="clear" w:color="auto" w:fill="auto"/>
            <w:noWrap/>
            <w:vAlign w:val="bottom"/>
            <w:hideMark/>
          </w:tcPr>
          <w:p w14:paraId="2B313EAF"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6 146 776,04</w:t>
            </w:r>
          </w:p>
        </w:tc>
        <w:tc>
          <w:tcPr>
            <w:tcW w:w="1701" w:type="dxa"/>
            <w:tcBorders>
              <w:top w:val="nil"/>
              <w:left w:val="nil"/>
              <w:bottom w:val="single" w:sz="4" w:space="0" w:color="auto"/>
              <w:right w:val="single" w:sz="4" w:space="0" w:color="auto"/>
            </w:tcBorders>
            <w:shd w:val="clear" w:color="auto" w:fill="auto"/>
            <w:noWrap/>
            <w:vAlign w:val="bottom"/>
            <w:hideMark/>
          </w:tcPr>
          <w:p w14:paraId="1B3E77D9"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3 892 779,61</w:t>
            </w:r>
          </w:p>
        </w:tc>
        <w:tc>
          <w:tcPr>
            <w:tcW w:w="1276" w:type="dxa"/>
            <w:tcBorders>
              <w:top w:val="nil"/>
              <w:left w:val="nil"/>
              <w:bottom w:val="single" w:sz="4" w:space="0" w:color="auto"/>
              <w:right w:val="single" w:sz="8" w:space="0" w:color="auto"/>
            </w:tcBorders>
            <w:shd w:val="clear" w:color="auto" w:fill="auto"/>
            <w:noWrap/>
            <w:vAlign w:val="bottom"/>
            <w:hideMark/>
          </w:tcPr>
          <w:p w14:paraId="4688831E"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63,3</w:t>
            </w:r>
          </w:p>
        </w:tc>
      </w:tr>
      <w:tr w:rsidR="00C65364" w:rsidRPr="00C65364" w14:paraId="6E6EDAF0" w14:textId="77777777" w:rsidTr="00C65364">
        <w:trPr>
          <w:trHeight w:val="405"/>
        </w:trPr>
        <w:tc>
          <w:tcPr>
            <w:tcW w:w="3828" w:type="dxa"/>
            <w:tcBorders>
              <w:top w:val="nil"/>
              <w:left w:val="single" w:sz="8" w:space="0" w:color="auto"/>
              <w:bottom w:val="single" w:sz="4" w:space="0" w:color="auto"/>
              <w:right w:val="nil"/>
            </w:tcBorders>
            <w:shd w:val="clear" w:color="auto" w:fill="auto"/>
            <w:vAlign w:val="bottom"/>
            <w:hideMark/>
          </w:tcPr>
          <w:p w14:paraId="6B12AFD4" w14:textId="77777777" w:rsidR="00C65364" w:rsidRPr="00C65364" w:rsidRDefault="00C65364" w:rsidP="00C65364">
            <w:pPr>
              <w:spacing w:after="0" w:line="240" w:lineRule="auto"/>
              <w:rPr>
                <w:rFonts w:ascii="Calibri" w:eastAsia="Times New Roman" w:hAnsi="Calibri" w:cs="Arial"/>
                <w:sz w:val="20"/>
                <w:szCs w:val="20"/>
                <w:lang w:eastAsia="cs-CZ"/>
              </w:rPr>
            </w:pPr>
            <w:r w:rsidRPr="00C65364">
              <w:rPr>
                <w:rFonts w:ascii="Calibri" w:eastAsia="Times New Roman" w:hAnsi="Calibri" w:cs="Arial"/>
                <w:sz w:val="20"/>
                <w:szCs w:val="20"/>
                <w:lang w:eastAsia="cs-CZ"/>
              </w:rPr>
              <w:t>20 - Sociální fond</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46F04EED"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0C10BE21"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19 885 928,56</w:t>
            </w:r>
          </w:p>
        </w:tc>
        <w:tc>
          <w:tcPr>
            <w:tcW w:w="1701" w:type="dxa"/>
            <w:tcBorders>
              <w:top w:val="nil"/>
              <w:left w:val="nil"/>
              <w:bottom w:val="single" w:sz="4" w:space="0" w:color="auto"/>
              <w:right w:val="single" w:sz="4" w:space="0" w:color="auto"/>
            </w:tcBorders>
            <w:shd w:val="clear" w:color="auto" w:fill="auto"/>
            <w:noWrap/>
            <w:vAlign w:val="bottom"/>
            <w:hideMark/>
          </w:tcPr>
          <w:p w14:paraId="795ABE45"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15 481 485,59</w:t>
            </w:r>
          </w:p>
        </w:tc>
        <w:tc>
          <w:tcPr>
            <w:tcW w:w="1276" w:type="dxa"/>
            <w:tcBorders>
              <w:top w:val="nil"/>
              <w:left w:val="nil"/>
              <w:bottom w:val="single" w:sz="4" w:space="0" w:color="auto"/>
              <w:right w:val="single" w:sz="8" w:space="0" w:color="auto"/>
            </w:tcBorders>
            <w:shd w:val="clear" w:color="auto" w:fill="auto"/>
            <w:noWrap/>
            <w:vAlign w:val="bottom"/>
            <w:hideMark/>
          </w:tcPr>
          <w:p w14:paraId="29424571"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77,9</w:t>
            </w:r>
          </w:p>
        </w:tc>
      </w:tr>
      <w:tr w:rsidR="00C65364" w:rsidRPr="00C65364" w14:paraId="00D2E576" w14:textId="77777777" w:rsidTr="00C65364">
        <w:trPr>
          <w:trHeight w:val="405"/>
        </w:trPr>
        <w:tc>
          <w:tcPr>
            <w:tcW w:w="3828" w:type="dxa"/>
            <w:tcBorders>
              <w:top w:val="nil"/>
              <w:left w:val="single" w:sz="8" w:space="0" w:color="auto"/>
              <w:bottom w:val="single" w:sz="4" w:space="0" w:color="auto"/>
              <w:right w:val="nil"/>
            </w:tcBorders>
            <w:shd w:val="clear" w:color="auto" w:fill="auto"/>
            <w:vAlign w:val="bottom"/>
            <w:hideMark/>
          </w:tcPr>
          <w:p w14:paraId="2DD20FB1" w14:textId="77777777" w:rsidR="00C65364" w:rsidRPr="00C65364" w:rsidRDefault="00C65364" w:rsidP="00C65364">
            <w:pPr>
              <w:spacing w:after="0" w:line="240" w:lineRule="auto"/>
              <w:rPr>
                <w:rFonts w:ascii="Calibri" w:eastAsia="Times New Roman" w:hAnsi="Calibri" w:cs="Arial"/>
                <w:sz w:val="20"/>
                <w:szCs w:val="20"/>
                <w:lang w:eastAsia="cs-CZ"/>
              </w:rPr>
            </w:pPr>
            <w:r w:rsidRPr="00C65364">
              <w:rPr>
                <w:rFonts w:ascii="Calibri" w:eastAsia="Times New Roman" w:hAnsi="Calibri" w:cs="Arial"/>
                <w:sz w:val="20"/>
                <w:szCs w:val="20"/>
                <w:lang w:eastAsia="cs-CZ"/>
              </w:rPr>
              <w:t>23 - Ostatní</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6EB0BF5B"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12 400 000</w:t>
            </w:r>
          </w:p>
        </w:tc>
        <w:tc>
          <w:tcPr>
            <w:tcW w:w="1701" w:type="dxa"/>
            <w:tcBorders>
              <w:top w:val="nil"/>
              <w:left w:val="nil"/>
              <w:bottom w:val="single" w:sz="4" w:space="0" w:color="auto"/>
              <w:right w:val="single" w:sz="4" w:space="0" w:color="auto"/>
            </w:tcBorders>
            <w:shd w:val="clear" w:color="auto" w:fill="auto"/>
            <w:noWrap/>
            <w:vAlign w:val="bottom"/>
            <w:hideMark/>
          </w:tcPr>
          <w:p w14:paraId="0DA9FFE5"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27 825 470,00</w:t>
            </w:r>
          </w:p>
        </w:tc>
        <w:tc>
          <w:tcPr>
            <w:tcW w:w="1701" w:type="dxa"/>
            <w:tcBorders>
              <w:top w:val="nil"/>
              <w:left w:val="nil"/>
              <w:bottom w:val="single" w:sz="4" w:space="0" w:color="auto"/>
              <w:right w:val="single" w:sz="4" w:space="0" w:color="auto"/>
            </w:tcBorders>
            <w:shd w:val="clear" w:color="auto" w:fill="auto"/>
            <w:noWrap/>
            <w:vAlign w:val="bottom"/>
            <w:hideMark/>
          </w:tcPr>
          <w:p w14:paraId="4DCAB527"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22 521 178,18</w:t>
            </w:r>
          </w:p>
        </w:tc>
        <w:tc>
          <w:tcPr>
            <w:tcW w:w="1276" w:type="dxa"/>
            <w:tcBorders>
              <w:top w:val="nil"/>
              <w:left w:val="nil"/>
              <w:bottom w:val="single" w:sz="4" w:space="0" w:color="auto"/>
              <w:right w:val="single" w:sz="8" w:space="0" w:color="auto"/>
            </w:tcBorders>
            <w:shd w:val="clear" w:color="auto" w:fill="auto"/>
            <w:noWrap/>
            <w:vAlign w:val="bottom"/>
            <w:hideMark/>
          </w:tcPr>
          <w:p w14:paraId="74948583"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80,9</w:t>
            </w:r>
          </w:p>
        </w:tc>
      </w:tr>
      <w:tr w:rsidR="00C65364" w:rsidRPr="00C65364" w14:paraId="39C02461" w14:textId="77777777" w:rsidTr="00C65364">
        <w:trPr>
          <w:trHeight w:val="405"/>
        </w:trPr>
        <w:tc>
          <w:tcPr>
            <w:tcW w:w="3828" w:type="dxa"/>
            <w:tcBorders>
              <w:top w:val="nil"/>
              <w:left w:val="single" w:sz="8" w:space="0" w:color="auto"/>
              <w:bottom w:val="nil"/>
              <w:right w:val="nil"/>
            </w:tcBorders>
            <w:shd w:val="clear" w:color="auto" w:fill="auto"/>
            <w:vAlign w:val="bottom"/>
            <w:hideMark/>
          </w:tcPr>
          <w:p w14:paraId="35B97E84" w14:textId="77777777" w:rsidR="00C65364" w:rsidRPr="00C65364" w:rsidRDefault="00C65364" w:rsidP="00C65364">
            <w:pPr>
              <w:spacing w:after="0" w:line="240" w:lineRule="auto"/>
              <w:rPr>
                <w:rFonts w:ascii="Calibri" w:eastAsia="Times New Roman" w:hAnsi="Calibri" w:cs="Arial"/>
                <w:sz w:val="20"/>
                <w:szCs w:val="20"/>
                <w:lang w:eastAsia="cs-CZ"/>
              </w:rPr>
            </w:pPr>
            <w:r w:rsidRPr="00C65364">
              <w:rPr>
                <w:rFonts w:ascii="Calibri" w:eastAsia="Times New Roman" w:hAnsi="Calibri" w:cs="Arial"/>
                <w:sz w:val="20"/>
                <w:szCs w:val="20"/>
                <w:lang w:eastAsia="cs-CZ"/>
              </w:rPr>
              <w:t>24 - Podpora příspěvkových organizací</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28374C99"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500 000</w:t>
            </w:r>
          </w:p>
        </w:tc>
        <w:tc>
          <w:tcPr>
            <w:tcW w:w="1701" w:type="dxa"/>
            <w:tcBorders>
              <w:top w:val="nil"/>
              <w:left w:val="nil"/>
              <w:bottom w:val="nil"/>
              <w:right w:val="single" w:sz="4" w:space="0" w:color="auto"/>
            </w:tcBorders>
            <w:shd w:val="clear" w:color="auto" w:fill="auto"/>
            <w:noWrap/>
            <w:vAlign w:val="bottom"/>
            <w:hideMark/>
          </w:tcPr>
          <w:p w14:paraId="6C8242D3"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3 298 997,45</w:t>
            </w:r>
          </w:p>
        </w:tc>
        <w:tc>
          <w:tcPr>
            <w:tcW w:w="1701" w:type="dxa"/>
            <w:tcBorders>
              <w:top w:val="nil"/>
              <w:left w:val="nil"/>
              <w:bottom w:val="nil"/>
              <w:right w:val="single" w:sz="4" w:space="0" w:color="auto"/>
            </w:tcBorders>
            <w:shd w:val="clear" w:color="auto" w:fill="auto"/>
            <w:noWrap/>
            <w:vAlign w:val="bottom"/>
            <w:hideMark/>
          </w:tcPr>
          <w:p w14:paraId="5C4A9029"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134 709,30</w:t>
            </w:r>
          </w:p>
        </w:tc>
        <w:tc>
          <w:tcPr>
            <w:tcW w:w="1276" w:type="dxa"/>
            <w:tcBorders>
              <w:top w:val="nil"/>
              <w:left w:val="nil"/>
              <w:bottom w:val="nil"/>
              <w:right w:val="single" w:sz="8" w:space="0" w:color="auto"/>
            </w:tcBorders>
            <w:shd w:val="clear" w:color="auto" w:fill="auto"/>
            <w:noWrap/>
            <w:vAlign w:val="bottom"/>
            <w:hideMark/>
          </w:tcPr>
          <w:p w14:paraId="33896A4F"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4,1</w:t>
            </w:r>
          </w:p>
        </w:tc>
      </w:tr>
      <w:tr w:rsidR="00C65364" w:rsidRPr="00C65364" w14:paraId="54083A87" w14:textId="77777777" w:rsidTr="00C65364">
        <w:trPr>
          <w:trHeight w:val="405"/>
        </w:trPr>
        <w:tc>
          <w:tcPr>
            <w:tcW w:w="3828" w:type="dxa"/>
            <w:tcBorders>
              <w:top w:val="single" w:sz="4" w:space="0" w:color="auto"/>
              <w:left w:val="single" w:sz="8" w:space="0" w:color="auto"/>
              <w:bottom w:val="nil"/>
              <w:right w:val="nil"/>
            </w:tcBorders>
            <w:shd w:val="clear" w:color="auto" w:fill="auto"/>
            <w:noWrap/>
            <w:vAlign w:val="bottom"/>
            <w:hideMark/>
          </w:tcPr>
          <w:p w14:paraId="1B406240" w14:textId="77777777" w:rsidR="00C65364" w:rsidRPr="00C65364" w:rsidRDefault="00C65364" w:rsidP="00C65364">
            <w:pPr>
              <w:spacing w:after="0" w:line="240" w:lineRule="auto"/>
              <w:rPr>
                <w:rFonts w:ascii="Calibri" w:eastAsia="Times New Roman" w:hAnsi="Calibri" w:cs="Arial"/>
                <w:sz w:val="20"/>
                <w:szCs w:val="20"/>
                <w:lang w:eastAsia="cs-CZ"/>
              </w:rPr>
            </w:pPr>
            <w:r w:rsidRPr="00C65364">
              <w:rPr>
                <w:rFonts w:ascii="Calibri" w:eastAsia="Times New Roman" w:hAnsi="Calibri" w:cs="Arial"/>
                <w:sz w:val="20"/>
                <w:szCs w:val="20"/>
                <w:lang w:eastAsia="cs-CZ"/>
              </w:rPr>
              <w:t>25 - Bezpečnost a prevence</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1005EFE5"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10 541 000</w:t>
            </w:r>
          </w:p>
        </w:tc>
        <w:tc>
          <w:tcPr>
            <w:tcW w:w="1701" w:type="dxa"/>
            <w:tcBorders>
              <w:top w:val="single" w:sz="4" w:space="0" w:color="auto"/>
              <w:left w:val="nil"/>
              <w:bottom w:val="nil"/>
              <w:right w:val="single" w:sz="4" w:space="0" w:color="auto"/>
            </w:tcBorders>
            <w:shd w:val="clear" w:color="auto" w:fill="auto"/>
            <w:noWrap/>
            <w:vAlign w:val="bottom"/>
            <w:hideMark/>
          </w:tcPr>
          <w:p w14:paraId="4ED0D1F9"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24 846 851,83</w:t>
            </w:r>
          </w:p>
        </w:tc>
        <w:tc>
          <w:tcPr>
            <w:tcW w:w="1701" w:type="dxa"/>
            <w:tcBorders>
              <w:top w:val="single" w:sz="4" w:space="0" w:color="auto"/>
              <w:left w:val="nil"/>
              <w:bottom w:val="nil"/>
              <w:right w:val="single" w:sz="4" w:space="0" w:color="auto"/>
            </w:tcBorders>
            <w:shd w:val="clear" w:color="auto" w:fill="auto"/>
            <w:noWrap/>
            <w:vAlign w:val="bottom"/>
            <w:hideMark/>
          </w:tcPr>
          <w:p w14:paraId="3C14169F"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9 933 163,82</w:t>
            </w:r>
          </w:p>
        </w:tc>
        <w:tc>
          <w:tcPr>
            <w:tcW w:w="1276" w:type="dxa"/>
            <w:tcBorders>
              <w:top w:val="single" w:sz="4" w:space="0" w:color="auto"/>
              <w:left w:val="nil"/>
              <w:bottom w:val="nil"/>
              <w:right w:val="single" w:sz="8" w:space="0" w:color="auto"/>
            </w:tcBorders>
            <w:shd w:val="clear" w:color="auto" w:fill="auto"/>
            <w:noWrap/>
            <w:vAlign w:val="bottom"/>
            <w:hideMark/>
          </w:tcPr>
          <w:p w14:paraId="69B4B171"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40,0</w:t>
            </w:r>
          </w:p>
        </w:tc>
      </w:tr>
      <w:tr w:rsidR="00C65364" w:rsidRPr="00C65364" w14:paraId="1C7D770B" w14:textId="77777777" w:rsidTr="00C65364">
        <w:trPr>
          <w:trHeight w:val="405"/>
        </w:trPr>
        <w:tc>
          <w:tcPr>
            <w:tcW w:w="3828" w:type="dxa"/>
            <w:tcBorders>
              <w:top w:val="single" w:sz="4" w:space="0" w:color="auto"/>
              <w:left w:val="single" w:sz="8" w:space="0" w:color="auto"/>
              <w:bottom w:val="nil"/>
              <w:right w:val="nil"/>
            </w:tcBorders>
            <w:shd w:val="clear" w:color="auto" w:fill="auto"/>
            <w:noWrap/>
            <w:vAlign w:val="bottom"/>
            <w:hideMark/>
          </w:tcPr>
          <w:p w14:paraId="5ABA3E42" w14:textId="77777777" w:rsidR="00C65364" w:rsidRPr="00C65364" w:rsidRDefault="00C65364" w:rsidP="00C65364">
            <w:pPr>
              <w:spacing w:after="0" w:line="240" w:lineRule="auto"/>
              <w:rPr>
                <w:rFonts w:ascii="Calibri" w:eastAsia="Times New Roman" w:hAnsi="Calibri" w:cs="Arial"/>
                <w:sz w:val="20"/>
                <w:szCs w:val="20"/>
                <w:lang w:eastAsia="cs-CZ"/>
              </w:rPr>
            </w:pPr>
            <w:r w:rsidRPr="00C65364">
              <w:rPr>
                <w:rFonts w:ascii="Calibri" w:eastAsia="Times New Roman" w:hAnsi="Calibri" w:cs="Arial"/>
                <w:sz w:val="20"/>
                <w:szCs w:val="20"/>
                <w:lang w:eastAsia="cs-CZ"/>
              </w:rPr>
              <w:t>26 - Veřejná mobilita</w:t>
            </w:r>
          </w:p>
        </w:tc>
        <w:tc>
          <w:tcPr>
            <w:tcW w:w="1417" w:type="dxa"/>
            <w:tcBorders>
              <w:top w:val="nil"/>
              <w:left w:val="single" w:sz="4" w:space="0" w:color="auto"/>
              <w:bottom w:val="single" w:sz="8" w:space="0" w:color="auto"/>
              <w:right w:val="single" w:sz="4" w:space="0" w:color="auto"/>
            </w:tcBorders>
            <w:shd w:val="clear" w:color="auto" w:fill="auto"/>
            <w:noWrap/>
            <w:vAlign w:val="bottom"/>
            <w:hideMark/>
          </w:tcPr>
          <w:p w14:paraId="35F3556D"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0</w:t>
            </w:r>
          </w:p>
        </w:tc>
        <w:tc>
          <w:tcPr>
            <w:tcW w:w="1701" w:type="dxa"/>
            <w:tcBorders>
              <w:top w:val="single" w:sz="4" w:space="0" w:color="auto"/>
              <w:left w:val="nil"/>
              <w:bottom w:val="nil"/>
              <w:right w:val="single" w:sz="4" w:space="0" w:color="auto"/>
            </w:tcBorders>
            <w:shd w:val="clear" w:color="auto" w:fill="auto"/>
            <w:noWrap/>
            <w:vAlign w:val="bottom"/>
            <w:hideMark/>
          </w:tcPr>
          <w:p w14:paraId="5320FC35"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2 765 069 972,42</w:t>
            </w:r>
          </w:p>
        </w:tc>
        <w:tc>
          <w:tcPr>
            <w:tcW w:w="1701" w:type="dxa"/>
            <w:tcBorders>
              <w:top w:val="single" w:sz="4" w:space="0" w:color="auto"/>
              <w:left w:val="nil"/>
              <w:bottom w:val="nil"/>
              <w:right w:val="single" w:sz="4" w:space="0" w:color="auto"/>
            </w:tcBorders>
            <w:shd w:val="clear" w:color="auto" w:fill="auto"/>
            <w:noWrap/>
            <w:vAlign w:val="bottom"/>
            <w:hideMark/>
          </w:tcPr>
          <w:p w14:paraId="33784D47"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2 735 705 021,31</w:t>
            </w:r>
          </w:p>
        </w:tc>
        <w:tc>
          <w:tcPr>
            <w:tcW w:w="1276" w:type="dxa"/>
            <w:tcBorders>
              <w:top w:val="single" w:sz="4" w:space="0" w:color="auto"/>
              <w:left w:val="nil"/>
              <w:bottom w:val="single" w:sz="8" w:space="0" w:color="auto"/>
              <w:right w:val="single" w:sz="8" w:space="0" w:color="auto"/>
            </w:tcBorders>
            <w:shd w:val="clear" w:color="auto" w:fill="auto"/>
            <w:noWrap/>
            <w:vAlign w:val="bottom"/>
            <w:hideMark/>
          </w:tcPr>
          <w:p w14:paraId="29397656"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98,9</w:t>
            </w:r>
          </w:p>
        </w:tc>
      </w:tr>
      <w:tr w:rsidR="00C65364" w:rsidRPr="00C65364" w14:paraId="0E043301" w14:textId="77777777" w:rsidTr="00C65364">
        <w:trPr>
          <w:trHeight w:val="615"/>
        </w:trPr>
        <w:tc>
          <w:tcPr>
            <w:tcW w:w="3828" w:type="dxa"/>
            <w:tcBorders>
              <w:top w:val="single" w:sz="8" w:space="0" w:color="auto"/>
              <w:left w:val="single" w:sz="8" w:space="0" w:color="auto"/>
              <w:bottom w:val="single" w:sz="8" w:space="0" w:color="auto"/>
              <w:right w:val="single" w:sz="4" w:space="0" w:color="auto"/>
            </w:tcBorders>
            <w:shd w:val="clear" w:color="auto" w:fill="auto"/>
            <w:vAlign w:val="bottom"/>
            <w:hideMark/>
          </w:tcPr>
          <w:p w14:paraId="144CA482" w14:textId="77777777" w:rsidR="00C65364" w:rsidRPr="00C65364" w:rsidRDefault="00C65364" w:rsidP="00C65364">
            <w:pPr>
              <w:spacing w:after="0" w:line="240" w:lineRule="auto"/>
              <w:rPr>
                <w:rFonts w:ascii="Calibri" w:eastAsia="Times New Roman" w:hAnsi="Calibri" w:cs="Arial"/>
                <w:b/>
                <w:bCs/>
                <w:sz w:val="24"/>
                <w:szCs w:val="24"/>
                <w:lang w:eastAsia="cs-CZ"/>
              </w:rPr>
            </w:pPr>
            <w:r w:rsidRPr="00C65364">
              <w:rPr>
                <w:rFonts w:ascii="Calibri" w:eastAsia="Times New Roman" w:hAnsi="Calibri" w:cs="Arial"/>
                <w:b/>
                <w:bCs/>
                <w:sz w:val="24"/>
                <w:szCs w:val="24"/>
                <w:lang w:eastAsia="cs-CZ"/>
              </w:rPr>
              <w:t>Běžné výdaje kapitol celkem</w:t>
            </w:r>
          </w:p>
        </w:tc>
        <w:tc>
          <w:tcPr>
            <w:tcW w:w="1417" w:type="dxa"/>
            <w:tcBorders>
              <w:top w:val="nil"/>
              <w:left w:val="nil"/>
              <w:bottom w:val="single" w:sz="8" w:space="0" w:color="auto"/>
              <w:right w:val="single" w:sz="4" w:space="0" w:color="auto"/>
            </w:tcBorders>
            <w:shd w:val="clear" w:color="auto" w:fill="auto"/>
            <w:noWrap/>
            <w:vAlign w:val="bottom"/>
            <w:hideMark/>
          </w:tcPr>
          <w:p w14:paraId="5B4FDBF4" w14:textId="77777777" w:rsidR="00C65364" w:rsidRPr="00C65364" w:rsidRDefault="00C65364" w:rsidP="00C65364">
            <w:pPr>
              <w:spacing w:after="0" w:line="240" w:lineRule="auto"/>
              <w:jc w:val="right"/>
              <w:rPr>
                <w:rFonts w:ascii="Calibri" w:eastAsia="Times New Roman" w:hAnsi="Calibri" w:cs="Arial"/>
                <w:b/>
                <w:bCs/>
                <w:lang w:eastAsia="cs-CZ"/>
              </w:rPr>
            </w:pPr>
            <w:r w:rsidRPr="00C65364">
              <w:rPr>
                <w:rFonts w:ascii="Calibri" w:eastAsia="Times New Roman" w:hAnsi="Calibri" w:cs="Arial"/>
                <w:b/>
                <w:bCs/>
                <w:lang w:eastAsia="cs-CZ"/>
              </w:rPr>
              <w:t>7 849 522 000</w:t>
            </w:r>
          </w:p>
        </w:tc>
        <w:tc>
          <w:tcPr>
            <w:tcW w:w="1701" w:type="dxa"/>
            <w:tcBorders>
              <w:top w:val="single" w:sz="8" w:space="0" w:color="auto"/>
              <w:left w:val="nil"/>
              <w:bottom w:val="single" w:sz="8" w:space="0" w:color="auto"/>
              <w:right w:val="single" w:sz="4" w:space="0" w:color="auto"/>
            </w:tcBorders>
            <w:shd w:val="clear" w:color="000000" w:fill="FFFFFF"/>
            <w:noWrap/>
            <w:vAlign w:val="bottom"/>
            <w:hideMark/>
          </w:tcPr>
          <w:p w14:paraId="21B5F97B" w14:textId="77777777" w:rsidR="00C65364" w:rsidRPr="00C65364" w:rsidRDefault="00C65364" w:rsidP="00C65364">
            <w:pPr>
              <w:spacing w:after="0" w:line="240" w:lineRule="auto"/>
              <w:jc w:val="right"/>
              <w:rPr>
                <w:rFonts w:ascii="Calibri" w:eastAsia="Times New Roman" w:hAnsi="Calibri" w:cs="Arial"/>
                <w:b/>
                <w:bCs/>
                <w:lang w:eastAsia="cs-CZ"/>
              </w:rPr>
            </w:pPr>
            <w:r w:rsidRPr="00C65364">
              <w:rPr>
                <w:rFonts w:ascii="Calibri" w:eastAsia="Times New Roman" w:hAnsi="Calibri" w:cs="Arial"/>
                <w:b/>
                <w:bCs/>
                <w:lang w:eastAsia="cs-CZ"/>
              </w:rPr>
              <w:t>9 406 206 840,20</w:t>
            </w:r>
          </w:p>
        </w:tc>
        <w:tc>
          <w:tcPr>
            <w:tcW w:w="1701" w:type="dxa"/>
            <w:tcBorders>
              <w:top w:val="single" w:sz="8" w:space="0" w:color="auto"/>
              <w:left w:val="nil"/>
              <w:bottom w:val="single" w:sz="8" w:space="0" w:color="auto"/>
              <w:right w:val="single" w:sz="4" w:space="0" w:color="auto"/>
            </w:tcBorders>
            <w:shd w:val="clear" w:color="auto" w:fill="auto"/>
            <w:noWrap/>
            <w:vAlign w:val="bottom"/>
            <w:hideMark/>
          </w:tcPr>
          <w:p w14:paraId="5D30B55B" w14:textId="77777777" w:rsidR="00C65364" w:rsidRPr="00C65364" w:rsidRDefault="00C65364" w:rsidP="00C65364">
            <w:pPr>
              <w:spacing w:after="0" w:line="240" w:lineRule="auto"/>
              <w:jc w:val="right"/>
              <w:rPr>
                <w:rFonts w:ascii="Calibri" w:eastAsia="Times New Roman" w:hAnsi="Calibri" w:cs="Arial"/>
                <w:b/>
                <w:bCs/>
                <w:lang w:eastAsia="cs-CZ"/>
              </w:rPr>
            </w:pPr>
            <w:r w:rsidRPr="00C65364">
              <w:rPr>
                <w:rFonts w:ascii="Calibri" w:eastAsia="Times New Roman" w:hAnsi="Calibri" w:cs="Arial"/>
                <w:b/>
                <w:bCs/>
                <w:lang w:eastAsia="cs-CZ"/>
              </w:rPr>
              <w:t>9 085 246 724,34</w:t>
            </w:r>
          </w:p>
        </w:tc>
        <w:tc>
          <w:tcPr>
            <w:tcW w:w="1276" w:type="dxa"/>
            <w:tcBorders>
              <w:top w:val="single" w:sz="4" w:space="0" w:color="auto"/>
              <w:left w:val="nil"/>
              <w:bottom w:val="single" w:sz="8" w:space="0" w:color="auto"/>
              <w:right w:val="single" w:sz="8" w:space="0" w:color="auto"/>
            </w:tcBorders>
            <w:shd w:val="clear" w:color="auto" w:fill="auto"/>
            <w:noWrap/>
            <w:vAlign w:val="bottom"/>
            <w:hideMark/>
          </w:tcPr>
          <w:p w14:paraId="30AA3D73" w14:textId="77777777" w:rsidR="00C65364" w:rsidRPr="00C65364" w:rsidRDefault="00C65364" w:rsidP="00C65364">
            <w:pPr>
              <w:spacing w:after="0" w:line="240" w:lineRule="auto"/>
              <w:jc w:val="right"/>
              <w:rPr>
                <w:rFonts w:ascii="Calibri" w:eastAsia="Times New Roman" w:hAnsi="Calibri" w:cs="Arial"/>
                <w:b/>
                <w:bCs/>
                <w:lang w:eastAsia="cs-CZ"/>
              </w:rPr>
            </w:pPr>
            <w:r w:rsidRPr="00C65364">
              <w:rPr>
                <w:rFonts w:ascii="Calibri" w:eastAsia="Times New Roman" w:hAnsi="Calibri" w:cs="Arial"/>
                <w:b/>
                <w:bCs/>
                <w:lang w:eastAsia="cs-CZ"/>
              </w:rPr>
              <w:t>96,6</w:t>
            </w:r>
          </w:p>
        </w:tc>
      </w:tr>
      <w:tr w:rsidR="00C65364" w:rsidRPr="00C65364" w14:paraId="6B1885E6" w14:textId="77777777" w:rsidTr="00C65364">
        <w:trPr>
          <w:trHeight w:val="270"/>
        </w:trPr>
        <w:tc>
          <w:tcPr>
            <w:tcW w:w="3828" w:type="dxa"/>
            <w:tcBorders>
              <w:top w:val="nil"/>
              <w:left w:val="nil"/>
              <w:bottom w:val="single" w:sz="8" w:space="0" w:color="auto"/>
              <w:right w:val="single" w:sz="4" w:space="0" w:color="auto"/>
            </w:tcBorders>
            <w:shd w:val="clear" w:color="auto" w:fill="auto"/>
            <w:noWrap/>
            <w:vAlign w:val="bottom"/>
            <w:hideMark/>
          </w:tcPr>
          <w:p w14:paraId="5225791D" w14:textId="77777777" w:rsidR="00C65364" w:rsidRPr="00C65364" w:rsidRDefault="00C65364" w:rsidP="00C65364">
            <w:pPr>
              <w:spacing w:after="0" w:line="240" w:lineRule="auto"/>
              <w:rPr>
                <w:rFonts w:ascii="Calibri" w:eastAsia="Times New Roman" w:hAnsi="Calibri" w:cs="Arial"/>
                <w:sz w:val="20"/>
                <w:szCs w:val="20"/>
                <w:lang w:eastAsia="cs-CZ"/>
              </w:rPr>
            </w:pPr>
            <w:r w:rsidRPr="00C65364">
              <w:rPr>
                <w:rFonts w:ascii="Calibri" w:eastAsia="Times New Roman" w:hAnsi="Calibri" w:cs="Arial"/>
                <w:sz w:val="20"/>
                <w:szCs w:val="20"/>
                <w:lang w:eastAsia="cs-CZ"/>
              </w:rPr>
              <w:t> </w:t>
            </w:r>
          </w:p>
        </w:tc>
        <w:tc>
          <w:tcPr>
            <w:tcW w:w="1417" w:type="dxa"/>
            <w:tcBorders>
              <w:top w:val="nil"/>
              <w:left w:val="nil"/>
              <w:bottom w:val="single" w:sz="8" w:space="0" w:color="auto"/>
              <w:right w:val="single" w:sz="4" w:space="0" w:color="auto"/>
            </w:tcBorders>
            <w:shd w:val="clear" w:color="auto" w:fill="auto"/>
            <w:noWrap/>
            <w:vAlign w:val="bottom"/>
            <w:hideMark/>
          </w:tcPr>
          <w:p w14:paraId="02A43FE1" w14:textId="77777777" w:rsidR="00C65364" w:rsidRPr="00C65364" w:rsidRDefault="00C65364" w:rsidP="00C65364">
            <w:pPr>
              <w:spacing w:after="0" w:line="240" w:lineRule="auto"/>
              <w:rPr>
                <w:rFonts w:ascii="Calibri" w:eastAsia="Times New Roman" w:hAnsi="Calibri" w:cs="Arial"/>
                <w:b/>
                <w:bCs/>
                <w:sz w:val="20"/>
                <w:szCs w:val="20"/>
                <w:lang w:eastAsia="cs-CZ"/>
              </w:rPr>
            </w:pPr>
            <w:r w:rsidRPr="00C65364">
              <w:rPr>
                <w:rFonts w:ascii="Calibri" w:eastAsia="Times New Roman" w:hAnsi="Calibri" w:cs="Arial"/>
                <w:b/>
                <w:bCs/>
                <w:sz w:val="20"/>
                <w:szCs w:val="20"/>
                <w:lang w:eastAsia="cs-CZ"/>
              </w:rPr>
              <w:t> </w:t>
            </w:r>
          </w:p>
        </w:tc>
        <w:tc>
          <w:tcPr>
            <w:tcW w:w="1701" w:type="dxa"/>
            <w:tcBorders>
              <w:top w:val="nil"/>
              <w:left w:val="nil"/>
              <w:bottom w:val="single" w:sz="8" w:space="0" w:color="auto"/>
              <w:right w:val="single" w:sz="4" w:space="0" w:color="auto"/>
            </w:tcBorders>
            <w:shd w:val="clear" w:color="auto" w:fill="auto"/>
            <w:noWrap/>
            <w:vAlign w:val="bottom"/>
            <w:hideMark/>
          </w:tcPr>
          <w:p w14:paraId="72335541" w14:textId="77777777" w:rsidR="00C65364" w:rsidRPr="00C65364" w:rsidRDefault="00C65364" w:rsidP="00C65364">
            <w:pPr>
              <w:spacing w:after="0" w:line="240" w:lineRule="auto"/>
              <w:rPr>
                <w:rFonts w:ascii="Calibri" w:eastAsia="Times New Roman" w:hAnsi="Calibri" w:cs="Arial"/>
                <w:b/>
                <w:bCs/>
                <w:sz w:val="20"/>
                <w:szCs w:val="20"/>
                <w:lang w:eastAsia="cs-CZ"/>
              </w:rPr>
            </w:pPr>
            <w:r w:rsidRPr="00C65364">
              <w:rPr>
                <w:rFonts w:ascii="Calibri" w:eastAsia="Times New Roman" w:hAnsi="Calibri" w:cs="Arial"/>
                <w:b/>
                <w:bCs/>
                <w:sz w:val="20"/>
                <w:szCs w:val="20"/>
                <w:lang w:eastAsia="cs-CZ"/>
              </w:rPr>
              <w:t> </w:t>
            </w:r>
          </w:p>
        </w:tc>
        <w:tc>
          <w:tcPr>
            <w:tcW w:w="1701" w:type="dxa"/>
            <w:tcBorders>
              <w:top w:val="nil"/>
              <w:left w:val="nil"/>
              <w:bottom w:val="single" w:sz="8" w:space="0" w:color="auto"/>
              <w:right w:val="single" w:sz="4" w:space="0" w:color="auto"/>
            </w:tcBorders>
            <w:shd w:val="clear" w:color="auto" w:fill="auto"/>
            <w:noWrap/>
            <w:vAlign w:val="bottom"/>
            <w:hideMark/>
          </w:tcPr>
          <w:p w14:paraId="365A9980" w14:textId="77777777" w:rsidR="00C65364" w:rsidRPr="00C65364" w:rsidRDefault="00C65364" w:rsidP="00C65364">
            <w:pPr>
              <w:spacing w:after="0" w:line="240" w:lineRule="auto"/>
              <w:rPr>
                <w:rFonts w:ascii="Calibri" w:eastAsia="Times New Roman" w:hAnsi="Calibri" w:cs="Arial"/>
                <w:b/>
                <w:bCs/>
                <w:sz w:val="20"/>
                <w:szCs w:val="20"/>
                <w:lang w:eastAsia="cs-CZ"/>
              </w:rPr>
            </w:pPr>
            <w:r w:rsidRPr="00C65364">
              <w:rPr>
                <w:rFonts w:ascii="Calibri" w:eastAsia="Times New Roman" w:hAnsi="Calibri" w:cs="Arial"/>
                <w:b/>
                <w:bCs/>
                <w:sz w:val="20"/>
                <w:szCs w:val="20"/>
                <w:lang w:eastAsia="cs-CZ"/>
              </w:rPr>
              <w:t> </w:t>
            </w:r>
          </w:p>
        </w:tc>
        <w:tc>
          <w:tcPr>
            <w:tcW w:w="1276" w:type="dxa"/>
            <w:tcBorders>
              <w:top w:val="nil"/>
              <w:left w:val="nil"/>
              <w:bottom w:val="single" w:sz="8" w:space="0" w:color="auto"/>
              <w:right w:val="nil"/>
            </w:tcBorders>
            <w:shd w:val="clear" w:color="auto" w:fill="auto"/>
            <w:noWrap/>
            <w:vAlign w:val="bottom"/>
            <w:hideMark/>
          </w:tcPr>
          <w:p w14:paraId="4CBF89DB" w14:textId="77777777" w:rsidR="00C65364" w:rsidRPr="00C65364" w:rsidRDefault="00C65364" w:rsidP="00C65364">
            <w:pPr>
              <w:spacing w:after="0" w:line="240" w:lineRule="auto"/>
              <w:rPr>
                <w:rFonts w:ascii="Calibri" w:eastAsia="Times New Roman" w:hAnsi="Calibri" w:cs="Arial"/>
                <w:b/>
                <w:bCs/>
                <w:sz w:val="20"/>
                <w:szCs w:val="20"/>
                <w:lang w:eastAsia="cs-CZ"/>
              </w:rPr>
            </w:pPr>
            <w:r w:rsidRPr="00C65364">
              <w:rPr>
                <w:rFonts w:ascii="Calibri" w:eastAsia="Times New Roman" w:hAnsi="Calibri" w:cs="Arial"/>
                <w:b/>
                <w:bCs/>
                <w:sz w:val="20"/>
                <w:szCs w:val="20"/>
                <w:lang w:eastAsia="cs-CZ"/>
              </w:rPr>
              <w:t> </w:t>
            </w:r>
          </w:p>
        </w:tc>
      </w:tr>
      <w:tr w:rsidR="00C65364" w:rsidRPr="00C65364" w14:paraId="2C6B25E8" w14:textId="77777777" w:rsidTr="00C65364">
        <w:trPr>
          <w:trHeight w:val="705"/>
        </w:trPr>
        <w:tc>
          <w:tcPr>
            <w:tcW w:w="3828" w:type="dxa"/>
            <w:tcBorders>
              <w:top w:val="single" w:sz="8" w:space="0" w:color="auto"/>
              <w:left w:val="single" w:sz="8" w:space="0" w:color="auto"/>
              <w:bottom w:val="single" w:sz="8" w:space="0" w:color="auto"/>
              <w:right w:val="single" w:sz="4" w:space="0" w:color="auto"/>
            </w:tcBorders>
            <w:shd w:val="clear" w:color="auto" w:fill="auto"/>
            <w:vAlign w:val="bottom"/>
            <w:hideMark/>
          </w:tcPr>
          <w:p w14:paraId="26D5C59D" w14:textId="77777777" w:rsidR="00C65364" w:rsidRPr="00C65364" w:rsidRDefault="00C65364" w:rsidP="00C65364">
            <w:pPr>
              <w:spacing w:after="0" w:line="240" w:lineRule="auto"/>
              <w:rPr>
                <w:rFonts w:ascii="Calibri" w:eastAsia="Times New Roman" w:hAnsi="Calibri" w:cs="Arial"/>
                <w:sz w:val="20"/>
                <w:szCs w:val="20"/>
                <w:lang w:eastAsia="cs-CZ"/>
              </w:rPr>
            </w:pPr>
            <w:r w:rsidRPr="00C65364">
              <w:rPr>
                <w:rFonts w:ascii="Calibri" w:eastAsia="Times New Roman" w:hAnsi="Calibri" w:cs="Arial"/>
                <w:sz w:val="20"/>
                <w:szCs w:val="20"/>
                <w:lang w:eastAsia="cs-CZ"/>
              </w:rPr>
              <w:t>Konsolidace Sociálního fondu ( = převody z kapitoly 01 a 14)</w:t>
            </w:r>
          </w:p>
        </w:tc>
        <w:tc>
          <w:tcPr>
            <w:tcW w:w="1417" w:type="dxa"/>
            <w:tcBorders>
              <w:top w:val="single" w:sz="8" w:space="0" w:color="auto"/>
              <w:left w:val="nil"/>
              <w:bottom w:val="single" w:sz="8" w:space="0" w:color="auto"/>
              <w:right w:val="single" w:sz="4" w:space="0" w:color="auto"/>
            </w:tcBorders>
            <w:shd w:val="clear" w:color="auto" w:fill="auto"/>
            <w:noWrap/>
            <w:vAlign w:val="bottom"/>
            <w:hideMark/>
          </w:tcPr>
          <w:p w14:paraId="720AD1A7"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0</w:t>
            </w:r>
          </w:p>
        </w:tc>
        <w:tc>
          <w:tcPr>
            <w:tcW w:w="1701" w:type="dxa"/>
            <w:tcBorders>
              <w:top w:val="single" w:sz="8" w:space="0" w:color="auto"/>
              <w:left w:val="nil"/>
              <w:bottom w:val="single" w:sz="8" w:space="0" w:color="auto"/>
              <w:right w:val="single" w:sz="4" w:space="0" w:color="auto"/>
            </w:tcBorders>
            <w:shd w:val="clear" w:color="auto" w:fill="auto"/>
            <w:noWrap/>
            <w:vAlign w:val="bottom"/>
            <w:hideMark/>
          </w:tcPr>
          <w:p w14:paraId="2419E7A9"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-16 411 000,00</w:t>
            </w:r>
          </w:p>
        </w:tc>
        <w:tc>
          <w:tcPr>
            <w:tcW w:w="1701" w:type="dxa"/>
            <w:tcBorders>
              <w:top w:val="single" w:sz="8" w:space="0" w:color="auto"/>
              <w:left w:val="nil"/>
              <w:bottom w:val="single" w:sz="8" w:space="0" w:color="auto"/>
              <w:right w:val="single" w:sz="4" w:space="0" w:color="auto"/>
            </w:tcBorders>
            <w:shd w:val="clear" w:color="auto" w:fill="auto"/>
            <w:noWrap/>
            <w:vAlign w:val="bottom"/>
            <w:hideMark/>
          </w:tcPr>
          <w:p w14:paraId="10D8F8C4"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-16 411 000,00</w:t>
            </w:r>
          </w:p>
        </w:tc>
        <w:tc>
          <w:tcPr>
            <w:tcW w:w="1276" w:type="dxa"/>
            <w:tcBorders>
              <w:top w:val="single" w:sz="8" w:space="0" w:color="auto"/>
              <w:left w:val="nil"/>
              <w:bottom w:val="single" w:sz="8" w:space="0" w:color="auto"/>
              <w:right w:val="single" w:sz="8" w:space="0" w:color="auto"/>
            </w:tcBorders>
            <w:shd w:val="clear" w:color="auto" w:fill="auto"/>
            <w:noWrap/>
            <w:vAlign w:val="bottom"/>
            <w:hideMark/>
          </w:tcPr>
          <w:p w14:paraId="6ECC3DC8" w14:textId="77777777" w:rsidR="00C65364" w:rsidRPr="00C65364" w:rsidRDefault="00C65364" w:rsidP="00C65364">
            <w:pPr>
              <w:spacing w:after="0" w:line="240" w:lineRule="auto"/>
              <w:jc w:val="right"/>
              <w:rPr>
                <w:rFonts w:ascii="Calibri" w:eastAsia="Times New Roman" w:hAnsi="Calibri" w:cs="Arial"/>
                <w:sz w:val="20"/>
                <w:szCs w:val="20"/>
                <w:lang w:eastAsia="cs-CZ"/>
              </w:rPr>
            </w:pPr>
            <w:r w:rsidRPr="00C65364">
              <w:rPr>
                <w:rFonts w:ascii="Calibri" w:eastAsia="Times New Roman" w:hAnsi="Calibri" w:cs="Arial"/>
                <w:sz w:val="20"/>
                <w:szCs w:val="20"/>
                <w:lang w:eastAsia="cs-CZ"/>
              </w:rPr>
              <w:t>100,0</w:t>
            </w:r>
          </w:p>
        </w:tc>
      </w:tr>
      <w:tr w:rsidR="00C65364" w:rsidRPr="00C65364" w14:paraId="33DEE1FA" w14:textId="77777777" w:rsidTr="00C65364">
        <w:trPr>
          <w:trHeight w:val="660"/>
        </w:trPr>
        <w:tc>
          <w:tcPr>
            <w:tcW w:w="3828" w:type="dxa"/>
            <w:tcBorders>
              <w:top w:val="single" w:sz="8" w:space="0" w:color="auto"/>
              <w:left w:val="single" w:sz="8" w:space="0" w:color="auto"/>
              <w:bottom w:val="single" w:sz="8" w:space="0" w:color="auto"/>
              <w:right w:val="single" w:sz="4" w:space="0" w:color="auto"/>
            </w:tcBorders>
            <w:shd w:val="clear" w:color="auto" w:fill="auto"/>
            <w:vAlign w:val="bottom"/>
            <w:hideMark/>
          </w:tcPr>
          <w:p w14:paraId="2599FFB0" w14:textId="77777777" w:rsidR="00C65364" w:rsidRPr="00C65364" w:rsidRDefault="00C65364" w:rsidP="00C65364">
            <w:pPr>
              <w:spacing w:after="0" w:line="240" w:lineRule="auto"/>
              <w:rPr>
                <w:rFonts w:ascii="Calibri" w:eastAsia="Times New Roman" w:hAnsi="Calibri" w:cs="Arial"/>
                <w:b/>
                <w:bCs/>
                <w:sz w:val="24"/>
                <w:szCs w:val="24"/>
                <w:lang w:eastAsia="cs-CZ"/>
              </w:rPr>
            </w:pPr>
            <w:r w:rsidRPr="00C65364">
              <w:rPr>
                <w:rFonts w:ascii="Calibri" w:eastAsia="Times New Roman" w:hAnsi="Calibri" w:cs="Arial"/>
                <w:b/>
                <w:bCs/>
                <w:sz w:val="24"/>
                <w:szCs w:val="24"/>
                <w:lang w:eastAsia="cs-CZ"/>
              </w:rPr>
              <w:lastRenderedPageBreak/>
              <w:t>Celkem běžné výdaje kapitol                                            po konsolidaci</w:t>
            </w:r>
          </w:p>
        </w:tc>
        <w:tc>
          <w:tcPr>
            <w:tcW w:w="1417" w:type="dxa"/>
            <w:tcBorders>
              <w:top w:val="single" w:sz="8" w:space="0" w:color="auto"/>
              <w:left w:val="nil"/>
              <w:bottom w:val="single" w:sz="8" w:space="0" w:color="auto"/>
              <w:right w:val="single" w:sz="4" w:space="0" w:color="auto"/>
            </w:tcBorders>
            <w:shd w:val="clear" w:color="auto" w:fill="auto"/>
            <w:noWrap/>
            <w:vAlign w:val="bottom"/>
            <w:hideMark/>
          </w:tcPr>
          <w:p w14:paraId="1FF2C494" w14:textId="77777777" w:rsidR="00C65364" w:rsidRPr="00C65364" w:rsidRDefault="00C65364" w:rsidP="00C65364">
            <w:pPr>
              <w:spacing w:after="0" w:line="240" w:lineRule="auto"/>
              <w:jc w:val="right"/>
              <w:rPr>
                <w:rFonts w:ascii="Calibri" w:eastAsia="Times New Roman" w:hAnsi="Calibri" w:cs="Arial"/>
                <w:b/>
                <w:bCs/>
                <w:lang w:eastAsia="cs-CZ"/>
              </w:rPr>
            </w:pPr>
            <w:r w:rsidRPr="00C65364">
              <w:rPr>
                <w:rFonts w:ascii="Calibri" w:eastAsia="Times New Roman" w:hAnsi="Calibri" w:cs="Arial"/>
                <w:b/>
                <w:bCs/>
                <w:lang w:eastAsia="cs-CZ"/>
              </w:rPr>
              <w:t>7 849 522 000</w:t>
            </w:r>
          </w:p>
        </w:tc>
        <w:tc>
          <w:tcPr>
            <w:tcW w:w="1701" w:type="dxa"/>
            <w:tcBorders>
              <w:top w:val="single" w:sz="8" w:space="0" w:color="auto"/>
              <w:left w:val="nil"/>
              <w:bottom w:val="single" w:sz="8" w:space="0" w:color="auto"/>
              <w:right w:val="single" w:sz="4" w:space="0" w:color="auto"/>
            </w:tcBorders>
            <w:shd w:val="clear" w:color="auto" w:fill="auto"/>
            <w:noWrap/>
            <w:vAlign w:val="bottom"/>
            <w:hideMark/>
          </w:tcPr>
          <w:p w14:paraId="3F6C19BD" w14:textId="77777777" w:rsidR="00C65364" w:rsidRPr="00C65364" w:rsidRDefault="00C65364" w:rsidP="00C65364">
            <w:pPr>
              <w:spacing w:after="0" w:line="240" w:lineRule="auto"/>
              <w:jc w:val="right"/>
              <w:rPr>
                <w:rFonts w:ascii="Calibri" w:eastAsia="Times New Roman" w:hAnsi="Calibri" w:cs="Arial"/>
                <w:b/>
                <w:bCs/>
                <w:lang w:eastAsia="cs-CZ"/>
              </w:rPr>
            </w:pPr>
            <w:r w:rsidRPr="00C65364">
              <w:rPr>
                <w:rFonts w:ascii="Calibri" w:eastAsia="Times New Roman" w:hAnsi="Calibri" w:cs="Arial"/>
                <w:b/>
                <w:bCs/>
                <w:lang w:eastAsia="cs-CZ"/>
              </w:rPr>
              <w:t>9 389 795 840,20</w:t>
            </w:r>
          </w:p>
        </w:tc>
        <w:tc>
          <w:tcPr>
            <w:tcW w:w="1701" w:type="dxa"/>
            <w:tcBorders>
              <w:top w:val="single" w:sz="8" w:space="0" w:color="auto"/>
              <w:left w:val="nil"/>
              <w:bottom w:val="single" w:sz="8" w:space="0" w:color="auto"/>
              <w:right w:val="single" w:sz="4" w:space="0" w:color="auto"/>
            </w:tcBorders>
            <w:shd w:val="clear" w:color="auto" w:fill="auto"/>
            <w:noWrap/>
            <w:vAlign w:val="bottom"/>
            <w:hideMark/>
          </w:tcPr>
          <w:p w14:paraId="31243570" w14:textId="77777777" w:rsidR="00C65364" w:rsidRPr="00C65364" w:rsidRDefault="00C65364" w:rsidP="00C65364">
            <w:pPr>
              <w:spacing w:after="0" w:line="240" w:lineRule="auto"/>
              <w:jc w:val="right"/>
              <w:rPr>
                <w:rFonts w:ascii="Calibri" w:eastAsia="Times New Roman" w:hAnsi="Calibri" w:cs="Arial"/>
                <w:b/>
                <w:bCs/>
                <w:lang w:eastAsia="cs-CZ"/>
              </w:rPr>
            </w:pPr>
            <w:r w:rsidRPr="00C65364">
              <w:rPr>
                <w:rFonts w:ascii="Calibri" w:eastAsia="Times New Roman" w:hAnsi="Calibri" w:cs="Arial"/>
                <w:b/>
                <w:bCs/>
                <w:lang w:eastAsia="cs-CZ"/>
              </w:rPr>
              <w:t>9 068 835 724,34</w:t>
            </w:r>
          </w:p>
        </w:tc>
        <w:tc>
          <w:tcPr>
            <w:tcW w:w="1276" w:type="dxa"/>
            <w:tcBorders>
              <w:top w:val="single" w:sz="8" w:space="0" w:color="auto"/>
              <w:left w:val="nil"/>
              <w:bottom w:val="single" w:sz="8" w:space="0" w:color="auto"/>
              <w:right w:val="single" w:sz="8" w:space="0" w:color="auto"/>
            </w:tcBorders>
            <w:shd w:val="clear" w:color="auto" w:fill="auto"/>
            <w:noWrap/>
            <w:vAlign w:val="bottom"/>
            <w:hideMark/>
          </w:tcPr>
          <w:p w14:paraId="5522D1FE" w14:textId="77777777" w:rsidR="00C65364" w:rsidRPr="00C65364" w:rsidRDefault="00C65364" w:rsidP="00C65364">
            <w:pPr>
              <w:spacing w:after="0" w:line="240" w:lineRule="auto"/>
              <w:jc w:val="right"/>
              <w:rPr>
                <w:rFonts w:ascii="Calibri" w:eastAsia="Times New Roman" w:hAnsi="Calibri" w:cs="Arial"/>
                <w:b/>
                <w:bCs/>
                <w:lang w:eastAsia="cs-CZ"/>
              </w:rPr>
            </w:pPr>
            <w:r w:rsidRPr="00C65364">
              <w:rPr>
                <w:rFonts w:ascii="Calibri" w:eastAsia="Times New Roman" w:hAnsi="Calibri" w:cs="Arial"/>
                <w:b/>
                <w:bCs/>
                <w:lang w:eastAsia="cs-CZ"/>
              </w:rPr>
              <w:t>96,6</w:t>
            </w:r>
          </w:p>
        </w:tc>
      </w:tr>
    </w:tbl>
    <w:p w14:paraId="41EEB69C" w14:textId="7DE04BD8" w:rsidR="00A275CF" w:rsidRDefault="00A275CF"/>
    <w:p w14:paraId="20CAA11F" w14:textId="1893DB49" w:rsidR="00A275CF" w:rsidRDefault="00A275CF"/>
    <w:p w14:paraId="7B503BC2" w14:textId="5011832D" w:rsidR="00A275CF" w:rsidRDefault="00A275CF"/>
    <w:p w14:paraId="4AE23F5F" w14:textId="64A5FA2C" w:rsidR="00A275CF" w:rsidRDefault="00A275CF"/>
    <w:p w14:paraId="4E7B61F2" w14:textId="6E695355" w:rsidR="00A275CF" w:rsidRDefault="00A275CF"/>
    <w:p w14:paraId="59AEDC96" w14:textId="2451584F" w:rsidR="00A275CF" w:rsidRDefault="00A275CF"/>
    <w:p w14:paraId="5FB5A52A" w14:textId="568E2DA0" w:rsidR="00A275CF" w:rsidRDefault="00A275CF"/>
    <w:p w14:paraId="27792626" w14:textId="6DB93D2B" w:rsidR="00A275CF" w:rsidRDefault="00A275CF"/>
    <w:p w14:paraId="766C91C1" w14:textId="3E20921F" w:rsidR="00A275CF" w:rsidRDefault="00A275CF"/>
    <w:p w14:paraId="02929698" w14:textId="4CA7E4D7" w:rsidR="00A275CF" w:rsidRDefault="00A275CF"/>
    <w:p w14:paraId="6002D89C" w14:textId="683CB49B" w:rsidR="00A275CF" w:rsidRDefault="00A275CF"/>
    <w:p w14:paraId="7BE999A3" w14:textId="4BB801AB" w:rsidR="00A275CF" w:rsidRDefault="00A275CF"/>
    <w:p w14:paraId="6D24D5E9" w14:textId="392F2EDA" w:rsidR="00A275CF" w:rsidRDefault="00A275CF"/>
    <w:p w14:paraId="6225278D" w14:textId="466B3B91" w:rsidR="00A275CF" w:rsidRDefault="00A275CF"/>
    <w:p w14:paraId="1AD9005F" w14:textId="11EFF60F" w:rsidR="00A275CF" w:rsidRDefault="00A275CF"/>
    <w:p w14:paraId="3DBF641B" w14:textId="727044A9" w:rsidR="00A275CF" w:rsidRDefault="00A275CF"/>
    <w:p w14:paraId="5806F3F7" w14:textId="1DCA2C37" w:rsidR="00A275CF" w:rsidRDefault="00A275CF"/>
    <w:p w14:paraId="700EF984" w14:textId="09873E5C" w:rsidR="00A275CF" w:rsidRDefault="00A275CF"/>
    <w:p w14:paraId="246FF736" w14:textId="766B9766" w:rsidR="00A275CF" w:rsidRDefault="00A275CF"/>
    <w:p w14:paraId="189C1A85" w14:textId="37B21A89" w:rsidR="00A275CF" w:rsidRDefault="00A275CF"/>
    <w:p w14:paraId="46B0D8C7" w14:textId="0979306D" w:rsidR="00A275CF" w:rsidRDefault="00A275CF"/>
    <w:p w14:paraId="094368D1" w14:textId="7A18DBA2" w:rsidR="00A275CF" w:rsidRDefault="00A275CF"/>
    <w:p w14:paraId="26AEE185" w14:textId="1E0E74F9" w:rsidR="00A275CF" w:rsidRDefault="00A275CF"/>
    <w:p w14:paraId="2BAA3D24" w14:textId="3CF848E6" w:rsidR="00A275CF" w:rsidRDefault="00A275CF"/>
    <w:p w14:paraId="1C116996" w14:textId="630C64A6" w:rsidR="00A275CF" w:rsidRDefault="00A275CF"/>
    <w:p w14:paraId="6D7E273E" w14:textId="1BB467CB" w:rsidR="00A275CF" w:rsidRDefault="00A275CF"/>
    <w:p w14:paraId="72FE8A5E" w14:textId="2A0F3E1F" w:rsidR="00A275CF" w:rsidRDefault="00A275CF"/>
    <w:p w14:paraId="25CEFC69" w14:textId="2C04CCD1" w:rsidR="00A275CF" w:rsidRDefault="00A275CF"/>
    <w:p w14:paraId="4F323076" w14:textId="77777777" w:rsidR="00C65364" w:rsidRDefault="00C65364"/>
    <w:p w14:paraId="34A1C4F9" w14:textId="3D0E4D96" w:rsidR="00A275CF" w:rsidRDefault="00A275CF"/>
    <w:tbl>
      <w:tblPr>
        <w:tblW w:w="9260" w:type="dxa"/>
        <w:tblCellMar>
          <w:left w:w="70" w:type="dxa"/>
          <w:right w:w="70" w:type="dxa"/>
        </w:tblCellMar>
        <w:tblLook w:val="04A0" w:firstRow="1" w:lastRow="0" w:firstColumn="1" w:lastColumn="0" w:noHBand="0" w:noVBand="1"/>
      </w:tblPr>
      <w:tblGrid>
        <w:gridCol w:w="853"/>
        <w:gridCol w:w="2945"/>
        <w:gridCol w:w="1403"/>
        <w:gridCol w:w="1760"/>
        <w:gridCol w:w="1610"/>
        <w:gridCol w:w="689"/>
      </w:tblGrid>
      <w:tr w:rsidR="009D2A3C" w:rsidRPr="009D2A3C" w14:paraId="0405EB0F" w14:textId="77777777" w:rsidTr="009D2A3C">
        <w:trPr>
          <w:trHeight w:val="360"/>
        </w:trPr>
        <w:tc>
          <w:tcPr>
            <w:tcW w:w="9260" w:type="dxa"/>
            <w:gridSpan w:val="6"/>
            <w:tcBorders>
              <w:top w:val="nil"/>
              <w:left w:val="nil"/>
              <w:bottom w:val="nil"/>
              <w:right w:val="nil"/>
            </w:tcBorders>
            <w:shd w:val="clear" w:color="auto" w:fill="auto"/>
            <w:noWrap/>
            <w:vAlign w:val="center"/>
            <w:hideMark/>
          </w:tcPr>
          <w:p w14:paraId="0D229DA1" w14:textId="77777777" w:rsidR="009D2A3C" w:rsidRPr="009D2A3C" w:rsidRDefault="009D2A3C" w:rsidP="009D2A3C">
            <w:pPr>
              <w:spacing w:after="0" w:line="240" w:lineRule="auto"/>
              <w:jc w:val="center"/>
              <w:rPr>
                <w:rFonts w:ascii="Calibri" w:eastAsia="Times New Roman" w:hAnsi="Calibri" w:cs="Arial"/>
                <w:b/>
                <w:bCs/>
                <w:color w:val="000000"/>
                <w:sz w:val="28"/>
                <w:szCs w:val="28"/>
                <w:lang w:eastAsia="cs-CZ"/>
              </w:rPr>
            </w:pPr>
            <w:r w:rsidRPr="009D2A3C">
              <w:rPr>
                <w:rFonts w:ascii="Calibri" w:eastAsia="Times New Roman" w:hAnsi="Calibri" w:cs="Arial"/>
                <w:b/>
                <w:bCs/>
                <w:color w:val="000000"/>
                <w:sz w:val="28"/>
                <w:szCs w:val="28"/>
                <w:lang w:eastAsia="cs-CZ"/>
              </w:rPr>
              <w:lastRenderedPageBreak/>
              <w:t>Čerpání rozpočtu kapitoly 01 - Činnost Zastupitelstva - období:  1. - 12. 2021</w:t>
            </w:r>
          </w:p>
        </w:tc>
      </w:tr>
      <w:tr w:rsidR="009D2A3C" w:rsidRPr="009D2A3C" w14:paraId="41A8972C" w14:textId="77777777" w:rsidTr="009D2A3C">
        <w:trPr>
          <w:trHeight w:val="360"/>
        </w:trPr>
        <w:tc>
          <w:tcPr>
            <w:tcW w:w="853" w:type="dxa"/>
            <w:tcBorders>
              <w:top w:val="nil"/>
              <w:left w:val="nil"/>
              <w:bottom w:val="nil"/>
              <w:right w:val="nil"/>
            </w:tcBorders>
            <w:shd w:val="clear" w:color="auto" w:fill="auto"/>
            <w:noWrap/>
            <w:vAlign w:val="bottom"/>
            <w:hideMark/>
          </w:tcPr>
          <w:p w14:paraId="72174014" w14:textId="77777777" w:rsidR="009D2A3C" w:rsidRPr="009D2A3C" w:rsidRDefault="009D2A3C" w:rsidP="009D2A3C">
            <w:pPr>
              <w:spacing w:after="0" w:line="240" w:lineRule="auto"/>
              <w:jc w:val="center"/>
              <w:rPr>
                <w:rFonts w:ascii="Calibri" w:eastAsia="Times New Roman" w:hAnsi="Calibri" w:cs="Arial"/>
                <w:b/>
                <w:bCs/>
                <w:color w:val="000000"/>
                <w:sz w:val="28"/>
                <w:szCs w:val="28"/>
                <w:lang w:eastAsia="cs-CZ"/>
              </w:rPr>
            </w:pPr>
          </w:p>
        </w:tc>
        <w:tc>
          <w:tcPr>
            <w:tcW w:w="2945" w:type="dxa"/>
            <w:tcBorders>
              <w:top w:val="nil"/>
              <w:left w:val="nil"/>
              <w:bottom w:val="nil"/>
              <w:right w:val="nil"/>
            </w:tcBorders>
            <w:shd w:val="clear" w:color="auto" w:fill="auto"/>
            <w:noWrap/>
            <w:vAlign w:val="bottom"/>
            <w:hideMark/>
          </w:tcPr>
          <w:p w14:paraId="01024592" w14:textId="77777777" w:rsidR="009D2A3C" w:rsidRPr="009D2A3C" w:rsidRDefault="009D2A3C" w:rsidP="009D2A3C">
            <w:pPr>
              <w:spacing w:after="0" w:line="240" w:lineRule="auto"/>
              <w:rPr>
                <w:rFonts w:ascii="Times New Roman" w:eastAsia="Times New Roman" w:hAnsi="Times New Roman" w:cs="Times New Roman"/>
                <w:sz w:val="20"/>
                <w:szCs w:val="20"/>
                <w:lang w:eastAsia="cs-CZ"/>
              </w:rPr>
            </w:pPr>
          </w:p>
        </w:tc>
        <w:tc>
          <w:tcPr>
            <w:tcW w:w="1403" w:type="dxa"/>
            <w:tcBorders>
              <w:top w:val="nil"/>
              <w:left w:val="nil"/>
              <w:bottom w:val="nil"/>
              <w:right w:val="nil"/>
            </w:tcBorders>
            <w:shd w:val="clear" w:color="auto" w:fill="auto"/>
            <w:noWrap/>
            <w:vAlign w:val="bottom"/>
            <w:hideMark/>
          </w:tcPr>
          <w:p w14:paraId="4F3399D3" w14:textId="77777777" w:rsidR="009D2A3C" w:rsidRPr="009D2A3C" w:rsidRDefault="009D2A3C" w:rsidP="009D2A3C">
            <w:pPr>
              <w:spacing w:after="0" w:line="240" w:lineRule="auto"/>
              <w:rPr>
                <w:rFonts w:ascii="Times New Roman" w:eastAsia="Times New Roman" w:hAnsi="Times New Roman" w:cs="Times New Roman"/>
                <w:sz w:val="20"/>
                <w:szCs w:val="20"/>
                <w:lang w:eastAsia="cs-CZ"/>
              </w:rPr>
            </w:pPr>
          </w:p>
        </w:tc>
        <w:tc>
          <w:tcPr>
            <w:tcW w:w="1760" w:type="dxa"/>
            <w:tcBorders>
              <w:top w:val="nil"/>
              <w:left w:val="nil"/>
              <w:bottom w:val="nil"/>
              <w:right w:val="nil"/>
            </w:tcBorders>
            <w:shd w:val="clear" w:color="auto" w:fill="auto"/>
            <w:noWrap/>
            <w:vAlign w:val="bottom"/>
            <w:hideMark/>
          </w:tcPr>
          <w:p w14:paraId="09A11ECE" w14:textId="77777777" w:rsidR="009D2A3C" w:rsidRPr="009D2A3C" w:rsidRDefault="009D2A3C" w:rsidP="009D2A3C">
            <w:pPr>
              <w:spacing w:after="0" w:line="240" w:lineRule="auto"/>
              <w:rPr>
                <w:rFonts w:ascii="Times New Roman" w:eastAsia="Times New Roman" w:hAnsi="Times New Roman" w:cs="Times New Roman"/>
                <w:sz w:val="20"/>
                <w:szCs w:val="20"/>
                <w:lang w:eastAsia="cs-CZ"/>
              </w:rPr>
            </w:pPr>
          </w:p>
        </w:tc>
        <w:tc>
          <w:tcPr>
            <w:tcW w:w="1610" w:type="dxa"/>
            <w:tcBorders>
              <w:top w:val="nil"/>
              <w:left w:val="nil"/>
              <w:bottom w:val="nil"/>
              <w:right w:val="nil"/>
            </w:tcBorders>
            <w:shd w:val="clear" w:color="auto" w:fill="auto"/>
            <w:noWrap/>
            <w:vAlign w:val="bottom"/>
            <w:hideMark/>
          </w:tcPr>
          <w:p w14:paraId="05277A0A" w14:textId="77777777" w:rsidR="009D2A3C" w:rsidRPr="009D2A3C" w:rsidRDefault="009D2A3C" w:rsidP="009D2A3C">
            <w:pPr>
              <w:spacing w:after="0" w:line="240" w:lineRule="auto"/>
              <w:rPr>
                <w:rFonts w:ascii="Times New Roman" w:eastAsia="Times New Roman" w:hAnsi="Times New Roman" w:cs="Times New Roman"/>
                <w:sz w:val="20"/>
                <w:szCs w:val="20"/>
                <w:lang w:eastAsia="cs-CZ"/>
              </w:rPr>
            </w:pPr>
          </w:p>
        </w:tc>
        <w:tc>
          <w:tcPr>
            <w:tcW w:w="689" w:type="dxa"/>
            <w:tcBorders>
              <w:top w:val="nil"/>
              <w:left w:val="nil"/>
              <w:bottom w:val="nil"/>
              <w:right w:val="nil"/>
            </w:tcBorders>
            <w:shd w:val="clear" w:color="auto" w:fill="auto"/>
            <w:noWrap/>
            <w:vAlign w:val="bottom"/>
            <w:hideMark/>
          </w:tcPr>
          <w:p w14:paraId="568183C2" w14:textId="77777777" w:rsidR="009D2A3C" w:rsidRPr="009D2A3C" w:rsidRDefault="009D2A3C" w:rsidP="009D2A3C">
            <w:pPr>
              <w:spacing w:after="0" w:line="240" w:lineRule="auto"/>
              <w:jc w:val="right"/>
              <w:rPr>
                <w:rFonts w:ascii="Calibri" w:eastAsia="Times New Roman" w:hAnsi="Calibri" w:cs="Arial"/>
                <w:color w:val="000000"/>
                <w:lang w:eastAsia="cs-CZ"/>
              </w:rPr>
            </w:pPr>
            <w:r w:rsidRPr="009D2A3C">
              <w:rPr>
                <w:rFonts w:ascii="Calibri" w:eastAsia="Times New Roman" w:hAnsi="Calibri" w:cs="Arial"/>
                <w:color w:val="000000"/>
                <w:lang w:eastAsia="cs-CZ"/>
              </w:rPr>
              <w:t>v Kč</w:t>
            </w:r>
          </w:p>
        </w:tc>
      </w:tr>
      <w:tr w:rsidR="009D2A3C" w:rsidRPr="009D2A3C" w14:paraId="0759EAB0" w14:textId="77777777" w:rsidTr="009D2A3C">
        <w:trPr>
          <w:trHeight w:val="705"/>
        </w:trPr>
        <w:tc>
          <w:tcPr>
            <w:tcW w:w="853" w:type="dxa"/>
            <w:tcBorders>
              <w:top w:val="single" w:sz="8" w:space="0" w:color="auto"/>
              <w:left w:val="single" w:sz="8" w:space="0" w:color="auto"/>
              <w:bottom w:val="single" w:sz="8" w:space="0" w:color="auto"/>
              <w:right w:val="single" w:sz="8" w:space="0" w:color="auto"/>
            </w:tcBorders>
            <w:shd w:val="clear" w:color="000000" w:fill="CCFFCC"/>
            <w:noWrap/>
            <w:vAlign w:val="center"/>
            <w:hideMark/>
          </w:tcPr>
          <w:p w14:paraId="7BBC49D3" w14:textId="77777777" w:rsidR="009D2A3C" w:rsidRPr="009D2A3C" w:rsidRDefault="009D2A3C" w:rsidP="009D2A3C">
            <w:pPr>
              <w:spacing w:after="0" w:line="240" w:lineRule="auto"/>
              <w:jc w:val="center"/>
              <w:rPr>
                <w:rFonts w:ascii="Calibri" w:eastAsia="Times New Roman" w:hAnsi="Calibri" w:cs="Arial"/>
                <w:color w:val="000000"/>
                <w:sz w:val="20"/>
                <w:szCs w:val="20"/>
                <w:lang w:eastAsia="cs-CZ"/>
              </w:rPr>
            </w:pPr>
            <w:r w:rsidRPr="009D2A3C">
              <w:rPr>
                <w:rFonts w:ascii="Calibri" w:eastAsia="Times New Roman" w:hAnsi="Calibri" w:cs="Arial"/>
                <w:color w:val="000000"/>
                <w:sz w:val="20"/>
                <w:szCs w:val="20"/>
                <w:lang w:eastAsia="cs-CZ"/>
              </w:rPr>
              <w:t>Paragraf</w:t>
            </w:r>
          </w:p>
        </w:tc>
        <w:tc>
          <w:tcPr>
            <w:tcW w:w="2945" w:type="dxa"/>
            <w:tcBorders>
              <w:top w:val="single" w:sz="8" w:space="0" w:color="auto"/>
              <w:left w:val="nil"/>
              <w:bottom w:val="single" w:sz="8" w:space="0" w:color="auto"/>
              <w:right w:val="single" w:sz="8" w:space="0" w:color="auto"/>
            </w:tcBorders>
            <w:shd w:val="clear" w:color="000000" w:fill="CCFFCC"/>
            <w:noWrap/>
            <w:vAlign w:val="center"/>
            <w:hideMark/>
          </w:tcPr>
          <w:p w14:paraId="01691180" w14:textId="77777777" w:rsidR="009D2A3C" w:rsidRPr="009D2A3C" w:rsidRDefault="009D2A3C" w:rsidP="009D2A3C">
            <w:pPr>
              <w:spacing w:after="0" w:line="240" w:lineRule="auto"/>
              <w:jc w:val="center"/>
              <w:rPr>
                <w:rFonts w:ascii="Calibri" w:eastAsia="Times New Roman" w:hAnsi="Calibri" w:cs="Arial"/>
                <w:color w:val="000000"/>
                <w:sz w:val="20"/>
                <w:szCs w:val="20"/>
                <w:lang w:eastAsia="cs-CZ"/>
              </w:rPr>
            </w:pPr>
            <w:r w:rsidRPr="009D2A3C">
              <w:rPr>
                <w:rFonts w:ascii="Calibri" w:eastAsia="Times New Roman" w:hAnsi="Calibri" w:cs="Arial"/>
                <w:color w:val="000000"/>
                <w:sz w:val="20"/>
                <w:szCs w:val="20"/>
                <w:lang w:eastAsia="cs-CZ"/>
              </w:rPr>
              <w:t>Oblast rozpočtu</w:t>
            </w:r>
          </w:p>
        </w:tc>
        <w:tc>
          <w:tcPr>
            <w:tcW w:w="1403" w:type="dxa"/>
            <w:tcBorders>
              <w:top w:val="single" w:sz="8" w:space="0" w:color="auto"/>
              <w:left w:val="nil"/>
              <w:bottom w:val="single" w:sz="8" w:space="0" w:color="auto"/>
              <w:right w:val="single" w:sz="8" w:space="0" w:color="auto"/>
            </w:tcBorders>
            <w:shd w:val="clear" w:color="000000" w:fill="CCFFCC"/>
            <w:vAlign w:val="center"/>
            <w:hideMark/>
          </w:tcPr>
          <w:p w14:paraId="36D11A11" w14:textId="77777777" w:rsidR="009D2A3C" w:rsidRPr="009D2A3C" w:rsidRDefault="009D2A3C" w:rsidP="009D2A3C">
            <w:pPr>
              <w:spacing w:after="0" w:line="240" w:lineRule="auto"/>
              <w:jc w:val="center"/>
              <w:rPr>
                <w:rFonts w:ascii="Calibri" w:eastAsia="Times New Roman" w:hAnsi="Calibri" w:cs="Arial"/>
                <w:color w:val="000000"/>
                <w:sz w:val="20"/>
                <w:szCs w:val="20"/>
                <w:lang w:eastAsia="cs-CZ"/>
              </w:rPr>
            </w:pPr>
            <w:r w:rsidRPr="009D2A3C">
              <w:rPr>
                <w:rFonts w:ascii="Calibri" w:eastAsia="Times New Roman" w:hAnsi="Calibri" w:cs="Arial"/>
                <w:color w:val="000000"/>
                <w:sz w:val="20"/>
                <w:szCs w:val="20"/>
                <w:lang w:eastAsia="cs-CZ"/>
              </w:rPr>
              <w:t>Schválený rozpočet</w:t>
            </w:r>
          </w:p>
        </w:tc>
        <w:tc>
          <w:tcPr>
            <w:tcW w:w="1760" w:type="dxa"/>
            <w:tcBorders>
              <w:top w:val="single" w:sz="8" w:space="0" w:color="auto"/>
              <w:left w:val="nil"/>
              <w:bottom w:val="single" w:sz="8" w:space="0" w:color="auto"/>
              <w:right w:val="single" w:sz="8" w:space="0" w:color="auto"/>
            </w:tcBorders>
            <w:shd w:val="clear" w:color="000000" w:fill="CCFFCC"/>
            <w:vAlign w:val="center"/>
            <w:hideMark/>
          </w:tcPr>
          <w:p w14:paraId="0EE1CB5B" w14:textId="77777777" w:rsidR="009D2A3C" w:rsidRPr="009D2A3C" w:rsidRDefault="009D2A3C" w:rsidP="009D2A3C">
            <w:pPr>
              <w:spacing w:after="0" w:line="240" w:lineRule="auto"/>
              <w:jc w:val="center"/>
              <w:rPr>
                <w:rFonts w:ascii="Calibri" w:eastAsia="Times New Roman" w:hAnsi="Calibri" w:cs="Arial"/>
                <w:color w:val="000000"/>
                <w:sz w:val="20"/>
                <w:szCs w:val="20"/>
                <w:lang w:eastAsia="cs-CZ"/>
              </w:rPr>
            </w:pPr>
            <w:r w:rsidRPr="009D2A3C">
              <w:rPr>
                <w:rFonts w:ascii="Calibri" w:eastAsia="Times New Roman" w:hAnsi="Calibri" w:cs="Arial"/>
                <w:color w:val="000000"/>
                <w:sz w:val="20"/>
                <w:szCs w:val="20"/>
                <w:lang w:eastAsia="cs-CZ"/>
              </w:rPr>
              <w:t>Rozpočet po úpravě</w:t>
            </w:r>
          </w:p>
        </w:tc>
        <w:tc>
          <w:tcPr>
            <w:tcW w:w="1610" w:type="dxa"/>
            <w:tcBorders>
              <w:top w:val="single" w:sz="8" w:space="0" w:color="auto"/>
              <w:left w:val="nil"/>
              <w:bottom w:val="single" w:sz="8" w:space="0" w:color="auto"/>
              <w:right w:val="single" w:sz="8" w:space="0" w:color="auto"/>
            </w:tcBorders>
            <w:shd w:val="clear" w:color="000000" w:fill="CCFFCC"/>
            <w:vAlign w:val="center"/>
            <w:hideMark/>
          </w:tcPr>
          <w:p w14:paraId="07432473" w14:textId="77777777" w:rsidR="009D2A3C" w:rsidRPr="009D2A3C" w:rsidRDefault="009D2A3C" w:rsidP="009D2A3C">
            <w:pPr>
              <w:spacing w:after="0" w:line="240" w:lineRule="auto"/>
              <w:jc w:val="center"/>
              <w:rPr>
                <w:rFonts w:ascii="Calibri" w:eastAsia="Times New Roman" w:hAnsi="Calibri" w:cs="Arial"/>
                <w:color w:val="000000"/>
                <w:sz w:val="20"/>
                <w:szCs w:val="20"/>
                <w:lang w:eastAsia="cs-CZ"/>
              </w:rPr>
            </w:pPr>
            <w:r w:rsidRPr="009D2A3C">
              <w:rPr>
                <w:rFonts w:ascii="Calibri" w:eastAsia="Times New Roman" w:hAnsi="Calibri" w:cs="Arial"/>
                <w:color w:val="000000"/>
                <w:sz w:val="20"/>
                <w:szCs w:val="20"/>
                <w:lang w:eastAsia="cs-CZ"/>
              </w:rPr>
              <w:t xml:space="preserve">Skutečnost </w:t>
            </w:r>
          </w:p>
        </w:tc>
        <w:tc>
          <w:tcPr>
            <w:tcW w:w="689" w:type="dxa"/>
            <w:tcBorders>
              <w:top w:val="single" w:sz="8" w:space="0" w:color="auto"/>
              <w:left w:val="nil"/>
              <w:bottom w:val="single" w:sz="8" w:space="0" w:color="auto"/>
              <w:right w:val="single" w:sz="8" w:space="0" w:color="auto"/>
            </w:tcBorders>
            <w:shd w:val="clear" w:color="000000" w:fill="CCFFCC"/>
            <w:vAlign w:val="center"/>
            <w:hideMark/>
          </w:tcPr>
          <w:p w14:paraId="35DA00B5" w14:textId="77777777" w:rsidR="009D2A3C" w:rsidRPr="009D2A3C" w:rsidRDefault="009D2A3C" w:rsidP="009D2A3C">
            <w:pPr>
              <w:spacing w:after="0" w:line="240" w:lineRule="auto"/>
              <w:jc w:val="center"/>
              <w:rPr>
                <w:rFonts w:ascii="Calibri" w:eastAsia="Times New Roman" w:hAnsi="Calibri" w:cs="Arial"/>
                <w:color w:val="000000"/>
                <w:sz w:val="20"/>
                <w:szCs w:val="20"/>
                <w:lang w:eastAsia="cs-CZ"/>
              </w:rPr>
            </w:pPr>
            <w:r w:rsidRPr="009D2A3C">
              <w:rPr>
                <w:rFonts w:ascii="Calibri" w:eastAsia="Times New Roman" w:hAnsi="Calibri" w:cs="Arial"/>
                <w:color w:val="000000"/>
                <w:sz w:val="20"/>
                <w:szCs w:val="20"/>
                <w:lang w:eastAsia="cs-CZ"/>
              </w:rPr>
              <w:t>% plnění</w:t>
            </w:r>
          </w:p>
        </w:tc>
      </w:tr>
      <w:tr w:rsidR="009D2A3C" w:rsidRPr="009D2A3C" w14:paraId="2264F134" w14:textId="77777777" w:rsidTr="009D2A3C">
        <w:trPr>
          <w:trHeight w:val="360"/>
        </w:trPr>
        <w:tc>
          <w:tcPr>
            <w:tcW w:w="853" w:type="dxa"/>
            <w:tcBorders>
              <w:top w:val="nil"/>
              <w:left w:val="nil"/>
              <w:bottom w:val="nil"/>
              <w:right w:val="nil"/>
            </w:tcBorders>
            <w:shd w:val="clear" w:color="auto" w:fill="auto"/>
            <w:noWrap/>
            <w:vAlign w:val="bottom"/>
            <w:hideMark/>
          </w:tcPr>
          <w:p w14:paraId="1F8D07A1" w14:textId="77777777" w:rsidR="009D2A3C" w:rsidRPr="009D2A3C" w:rsidRDefault="009D2A3C" w:rsidP="009D2A3C">
            <w:pPr>
              <w:spacing w:after="0" w:line="240" w:lineRule="auto"/>
              <w:jc w:val="center"/>
              <w:rPr>
                <w:rFonts w:ascii="Calibri" w:eastAsia="Times New Roman" w:hAnsi="Calibri" w:cs="Arial"/>
                <w:color w:val="000000"/>
                <w:sz w:val="20"/>
                <w:szCs w:val="20"/>
                <w:lang w:eastAsia="cs-CZ"/>
              </w:rPr>
            </w:pPr>
          </w:p>
        </w:tc>
        <w:tc>
          <w:tcPr>
            <w:tcW w:w="2945" w:type="dxa"/>
            <w:tcBorders>
              <w:top w:val="nil"/>
              <w:left w:val="nil"/>
              <w:bottom w:val="nil"/>
              <w:right w:val="nil"/>
            </w:tcBorders>
            <w:shd w:val="clear" w:color="auto" w:fill="auto"/>
            <w:noWrap/>
            <w:vAlign w:val="bottom"/>
            <w:hideMark/>
          </w:tcPr>
          <w:p w14:paraId="006A6CFB" w14:textId="77777777" w:rsidR="009D2A3C" w:rsidRPr="009D2A3C" w:rsidRDefault="009D2A3C" w:rsidP="009D2A3C">
            <w:pPr>
              <w:spacing w:after="0" w:line="240" w:lineRule="auto"/>
              <w:rPr>
                <w:rFonts w:ascii="Calibri" w:eastAsia="Times New Roman" w:hAnsi="Calibri" w:cs="Arial"/>
                <w:b/>
                <w:bCs/>
                <w:color w:val="000000"/>
                <w:lang w:eastAsia="cs-CZ"/>
              </w:rPr>
            </w:pPr>
            <w:r w:rsidRPr="009D2A3C">
              <w:rPr>
                <w:rFonts w:ascii="Calibri" w:eastAsia="Times New Roman" w:hAnsi="Calibri" w:cs="Arial"/>
                <w:b/>
                <w:bCs/>
                <w:color w:val="000000"/>
                <w:lang w:eastAsia="cs-CZ"/>
              </w:rPr>
              <w:t xml:space="preserve">Běžné výdaje </w:t>
            </w:r>
          </w:p>
        </w:tc>
        <w:tc>
          <w:tcPr>
            <w:tcW w:w="1403" w:type="dxa"/>
            <w:tcBorders>
              <w:top w:val="nil"/>
              <w:left w:val="nil"/>
              <w:bottom w:val="nil"/>
              <w:right w:val="nil"/>
            </w:tcBorders>
            <w:shd w:val="clear" w:color="auto" w:fill="auto"/>
            <w:noWrap/>
            <w:vAlign w:val="bottom"/>
            <w:hideMark/>
          </w:tcPr>
          <w:p w14:paraId="0DE38339" w14:textId="77777777" w:rsidR="009D2A3C" w:rsidRPr="009D2A3C" w:rsidRDefault="009D2A3C" w:rsidP="009D2A3C">
            <w:pPr>
              <w:spacing w:after="0" w:line="240" w:lineRule="auto"/>
              <w:rPr>
                <w:rFonts w:ascii="Calibri" w:eastAsia="Times New Roman" w:hAnsi="Calibri" w:cs="Arial"/>
                <w:b/>
                <w:bCs/>
                <w:color w:val="000000"/>
                <w:lang w:eastAsia="cs-CZ"/>
              </w:rPr>
            </w:pPr>
          </w:p>
        </w:tc>
        <w:tc>
          <w:tcPr>
            <w:tcW w:w="1760" w:type="dxa"/>
            <w:tcBorders>
              <w:top w:val="nil"/>
              <w:left w:val="nil"/>
              <w:bottom w:val="nil"/>
              <w:right w:val="nil"/>
            </w:tcBorders>
            <w:shd w:val="clear" w:color="auto" w:fill="auto"/>
            <w:noWrap/>
            <w:vAlign w:val="bottom"/>
            <w:hideMark/>
          </w:tcPr>
          <w:p w14:paraId="6C2DD15C" w14:textId="77777777" w:rsidR="009D2A3C" w:rsidRPr="009D2A3C" w:rsidRDefault="009D2A3C" w:rsidP="009D2A3C">
            <w:pPr>
              <w:spacing w:after="0" w:line="240" w:lineRule="auto"/>
              <w:rPr>
                <w:rFonts w:ascii="Times New Roman" w:eastAsia="Times New Roman" w:hAnsi="Times New Roman" w:cs="Times New Roman"/>
                <w:sz w:val="20"/>
                <w:szCs w:val="20"/>
                <w:lang w:eastAsia="cs-CZ"/>
              </w:rPr>
            </w:pPr>
          </w:p>
        </w:tc>
        <w:tc>
          <w:tcPr>
            <w:tcW w:w="1610" w:type="dxa"/>
            <w:tcBorders>
              <w:top w:val="nil"/>
              <w:left w:val="nil"/>
              <w:bottom w:val="nil"/>
              <w:right w:val="nil"/>
            </w:tcBorders>
            <w:shd w:val="clear" w:color="auto" w:fill="auto"/>
            <w:noWrap/>
            <w:vAlign w:val="bottom"/>
            <w:hideMark/>
          </w:tcPr>
          <w:p w14:paraId="34C5AFD8" w14:textId="77777777" w:rsidR="009D2A3C" w:rsidRPr="009D2A3C" w:rsidRDefault="009D2A3C" w:rsidP="009D2A3C">
            <w:pPr>
              <w:spacing w:after="0" w:line="240" w:lineRule="auto"/>
              <w:rPr>
                <w:rFonts w:ascii="Times New Roman" w:eastAsia="Times New Roman" w:hAnsi="Times New Roman" w:cs="Times New Roman"/>
                <w:sz w:val="20"/>
                <w:szCs w:val="20"/>
                <w:lang w:eastAsia="cs-CZ"/>
              </w:rPr>
            </w:pPr>
          </w:p>
        </w:tc>
        <w:tc>
          <w:tcPr>
            <w:tcW w:w="689" w:type="dxa"/>
            <w:tcBorders>
              <w:top w:val="nil"/>
              <w:left w:val="nil"/>
              <w:bottom w:val="nil"/>
              <w:right w:val="nil"/>
            </w:tcBorders>
            <w:shd w:val="clear" w:color="auto" w:fill="auto"/>
            <w:noWrap/>
            <w:vAlign w:val="bottom"/>
            <w:hideMark/>
          </w:tcPr>
          <w:p w14:paraId="1EF7C59E" w14:textId="77777777" w:rsidR="009D2A3C" w:rsidRPr="009D2A3C" w:rsidRDefault="009D2A3C" w:rsidP="009D2A3C">
            <w:pPr>
              <w:spacing w:after="0" w:line="240" w:lineRule="auto"/>
              <w:rPr>
                <w:rFonts w:ascii="Times New Roman" w:eastAsia="Times New Roman" w:hAnsi="Times New Roman" w:cs="Times New Roman"/>
                <w:sz w:val="20"/>
                <w:szCs w:val="20"/>
                <w:lang w:eastAsia="cs-CZ"/>
              </w:rPr>
            </w:pPr>
          </w:p>
        </w:tc>
      </w:tr>
      <w:tr w:rsidR="009D2A3C" w:rsidRPr="009D2A3C" w14:paraId="7F4F1078" w14:textId="77777777" w:rsidTr="009D2A3C">
        <w:trPr>
          <w:trHeight w:val="300"/>
        </w:trPr>
        <w:tc>
          <w:tcPr>
            <w:tcW w:w="853"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15861137" w14:textId="77777777" w:rsidR="009D2A3C" w:rsidRPr="009D2A3C" w:rsidRDefault="009D2A3C" w:rsidP="009D2A3C">
            <w:pPr>
              <w:spacing w:after="0" w:line="240" w:lineRule="auto"/>
              <w:jc w:val="center"/>
              <w:rPr>
                <w:rFonts w:ascii="Calibri" w:eastAsia="Times New Roman" w:hAnsi="Calibri" w:cs="Arial"/>
                <w:sz w:val="20"/>
                <w:szCs w:val="20"/>
                <w:lang w:eastAsia="cs-CZ"/>
              </w:rPr>
            </w:pPr>
            <w:r w:rsidRPr="009D2A3C">
              <w:rPr>
                <w:rFonts w:ascii="Calibri" w:eastAsia="Times New Roman" w:hAnsi="Calibri" w:cs="Arial"/>
                <w:sz w:val="20"/>
                <w:szCs w:val="20"/>
                <w:lang w:eastAsia="cs-CZ"/>
              </w:rPr>
              <w:t>3133</w:t>
            </w:r>
          </w:p>
        </w:tc>
        <w:tc>
          <w:tcPr>
            <w:tcW w:w="2945" w:type="dxa"/>
            <w:tcBorders>
              <w:top w:val="single" w:sz="8" w:space="0" w:color="auto"/>
              <w:left w:val="nil"/>
              <w:bottom w:val="single" w:sz="4" w:space="0" w:color="auto"/>
              <w:right w:val="single" w:sz="4" w:space="0" w:color="auto"/>
            </w:tcBorders>
            <w:shd w:val="clear" w:color="auto" w:fill="auto"/>
            <w:vAlign w:val="bottom"/>
            <w:hideMark/>
          </w:tcPr>
          <w:p w14:paraId="534F1CBB" w14:textId="77777777" w:rsidR="009D2A3C" w:rsidRPr="009D2A3C" w:rsidRDefault="009D2A3C" w:rsidP="009D2A3C">
            <w:pPr>
              <w:spacing w:after="0" w:line="240" w:lineRule="auto"/>
              <w:rPr>
                <w:rFonts w:ascii="Calibri" w:eastAsia="Times New Roman" w:hAnsi="Calibri" w:cs="Arial"/>
                <w:sz w:val="20"/>
                <w:szCs w:val="20"/>
                <w:lang w:eastAsia="cs-CZ"/>
              </w:rPr>
            </w:pPr>
            <w:r w:rsidRPr="009D2A3C">
              <w:rPr>
                <w:rFonts w:ascii="Calibri" w:eastAsia="Times New Roman" w:hAnsi="Calibri" w:cs="Arial"/>
                <w:sz w:val="20"/>
                <w:szCs w:val="20"/>
                <w:lang w:eastAsia="cs-CZ"/>
              </w:rPr>
              <w:t>Dětské domovy</w:t>
            </w:r>
          </w:p>
        </w:tc>
        <w:tc>
          <w:tcPr>
            <w:tcW w:w="1403" w:type="dxa"/>
            <w:tcBorders>
              <w:top w:val="single" w:sz="8" w:space="0" w:color="auto"/>
              <w:left w:val="nil"/>
              <w:bottom w:val="single" w:sz="4" w:space="0" w:color="auto"/>
              <w:right w:val="single" w:sz="4" w:space="0" w:color="auto"/>
            </w:tcBorders>
            <w:shd w:val="clear" w:color="auto" w:fill="auto"/>
            <w:noWrap/>
            <w:vAlign w:val="bottom"/>
            <w:hideMark/>
          </w:tcPr>
          <w:p w14:paraId="1D0E2327"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0</w:t>
            </w:r>
          </w:p>
        </w:tc>
        <w:tc>
          <w:tcPr>
            <w:tcW w:w="1760" w:type="dxa"/>
            <w:tcBorders>
              <w:top w:val="single" w:sz="8" w:space="0" w:color="auto"/>
              <w:left w:val="nil"/>
              <w:bottom w:val="single" w:sz="4" w:space="0" w:color="auto"/>
              <w:right w:val="single" w:sz="4" w:space="0" w:color="auto"/>
            </w:tcBorders>
            <w:shd w:val="clear" w:color="auto" w:fill="auto"/>
            <w:noWrap/>
            <w:vAlign w:val="bottom"/>
            <w:hideMark/>
          </w:tcPr>
          <w:p w14:paraId="42675441"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305 100,00</w:t>
            </w:r>
          </w:p>
        </w:tc>
        <w:tc>
          <w:tcPr>
            <w:tcW w:w="1610" w:type="dxa"/>
            <w:tcBorders>
              <w:top w:val="single" w:sz="8" w:space="0" w:color="auto"/>
              <w:left w:val="nil"/>
              <w:bottom w:val="single" w:sz="4" w:space="0" w:color="auto"/>
              <w:right w:val="single" w:sz="4" w:space="0" w:color="auto"/>
            </w:tcBorders>
            <w:shd w:val="clear" w:color="auto" w:fill="auto"/>
            <w:noWrap/>
            <w:vAlign w:val="bottom"/>
            <w:hideMark/>
          </w:tcPr>
          <w:p w14:paraId="1118073A"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176 919,68</w:t>
            </w:r>
          </w:p>
        </w:tc>
        <w:tc>
          <w:tcPr>
            <w:tcW w:w="689" w:type="dxa"/>
            <w:tcBorders>
              <w:top w:val="single" w:sz="8" w:space="0" w:color="auto"/>
              <w:left w:val="nil"/>
              <w:bottom w:val="single" w:sz="4" w:space="0" w:color="auto"/>
              <w:right w:val="single" w:sz="8" w:space="0" w:color="auto"/>
            </w:tcBorders>
            <w:shd w:val="clear" w:color="auto" w:fill="auto"/>
            <w:noWrap/>
            <w:vAlign w:val="bottom"/>
            <w:hideMark/>
          </w:tcPr>
          <w:p w14:paraId="61D9E5BB"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58,0</w:t>
            </w:r>
          </w:p>
        </w:tc>
      </w:tr>
      <w:tr w:rsidR="009D2A3C" w:rsidRPr="009D2A3C" w14:paraId="2F2779C5" w14:textId="77777777" w:rsidTr="009D2A3C">
        <w:trPr>
          <w:trHeight w:val="260"/>
        </w:trPr>
        <w:tc>
          <w:tcPr>
            <w:tcW w:w="853" w:type="dxa"/>
            <w:tcBorders>
              <w:top w:val="nil"/>
              <w:left w:val="single" w:sz="8" w:space="0" w:color="auto"/>
              <w:bottom w:val="single" w:sz="4" w:space="0" w:color="auto"/>
              <w:right w:val="single" w:sz="4" w:space="0" w:color="auto"/>
            </w:tcBorders>
            <w:shd w:val="clear" w:color="auto" w:fill="auto"/>
            <w:noWrap/>
            <w:vAlign w:val="bottom"/>
            <w:hideMark/>
          </w:tcPr>
          <w:p w14:paraId="1737CE1F" w14:textId="77777777" w:rsidR="009D2A3C" w:rsidRPr="009D2A3C" w:rsidRDefault="009D2A3C" w:rsidP="009D2A3C">
            <w:pPr>
              <w:spacing w:after="0" w:line="240" w:lineRule="auto"/>
              <w:jc w:val="center"/>
              <w:rPr>
                <w:rFonts w:ascii="Calibri" w:eastAsia="Times New Roman" w:hAnsi="Calibri" w:cs="Arial"/>
                <w:sz w:val="20"/>
                <w:szCs w:val="20"/>
                <w:lang w:eastAsia="cs-CZ"/>
              </w:rPr>
            </w:pPr>
            <w:r w:rsidRPr="009D2A3C">
              <w:rPr>
                <w:rFonts w:ascii="Calibri" w:eastAsia="Times New Roman" w:hAnsi="Calibri" w:cs="Arial"/>
                <w:sz w:val="20"/>
                <w:szCs w:val="20"/>
                <w:lang w:eastAsia="cs-CZ"/>
              </w:rPr>
              <w:t>3900</w:t>
            </w:r>
          </w:p>
        </w:tc>
        <w:tc>
          <w:tcPr>
            <w:tcW w:w="2945" w:type="dxa"/>
            <w:tcBorders>
              <w:top w:val="nil"/>
              <w:left w:val="nil"/>
              <w:bottom w:val="single" w:sz="4" w:space="0" w:color="auto"/>
              <w:right w:val="single" w:sz="4" w:space="0" w:color="auto"/>
            </w:tcBorders>
            <w:shd w:val="clear" w:color="auto" w:fill="auto"/>
            <w:vAlign w:val="bottom"/>
            <w:hideMark/>
          </w:tcPr>
          <w:p w14:paraId="52EB3EEC" w14:textId="77777777" w:rsidR="009D2A3C" w:rsidRPr="009D2A3C" w:rsidRDefault="009D2A3C" w:rsidP="009D2A3C">
            <w:pPr>
              <w:spacing w:after="0" w:line="240" w:lineRule="auto"/>
              <w:rPr>
                <w:rFonts w:ascii="Calibri" w:eastAsia="Times New Roman" w:hAnsi="Calibri" w:cs="Arial"/>
                <w:sz w:val="20"/>
                <w:szCs w:val="20"/>
                <w:lang w:eastAsia="cs-CZ"/>
              </w:rPr>
            </w:pPr>
            <w:r w:rsidRPr="009D2A3C">
              <w:rPr>
                <w:rFonts w:ascii="Calibri" w:eastAsia="Times New Roman" w:hAnsi="Calibri" w:cs="Arial"/>
                <w:sz w:val="20"/>
                <w:szCs w:val="20"/>
                <w:lang w:eastAsia="cs-CZ"/>
              </w:rPr>
              <w:t>Ostatní činnosti související se službami pro obyvatelstvo</w:t>
            </w:r>
          </w:p>
        </w:tc>
        <w:tc>
          <w:tcPr>
            <w:tcW w:w="1403" w:type="dxa"/>
            <w:tcBorders>
              <w:top w:val="nil"/>
              <w:left w:val="nil"/>
              <w:bottom w:val="single" w:sz="4" w:space="0" w:color="auto"/>
              <w:right w:val="single" w:sz="4" w:space="0" w:color="auto"/>
            </w:tcBorders>
            <w:shd w:val="clear" w:color="auto" w:fill="auto"/>
            <w:noWrap/>
            <w:vAlign w:val="bottom"/>
            <w:hideMark/>
          </w:tcPr>
          <w:p w14:paraId="25D9BE66"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1 200 000</w:t>
            </w:r>
          </w:p>
        </w:tc>
        <w:tc>
          <w:tcPr>
            <w:tcW w:w="1760" w:type="dxa"/>
            <w:tcBorders>
              <w:top w:val="nil"/>
              <w:left w:val="nil"/>
              <w:bottom w:val="single" w:sz="4" w:space="0" w:color="auto"/>
              <w:right w:val="single" w:sz="4" w:space="0" w:color="auto"/>
            </w:tcBorders>
            <w:shd w:val="clear" w:color="auto" w:fill="auto"/>
            <w:noWrap/>
            <w:vAlign w:val="bottom"/>
            <w:hideMark/>
          </w:tcPr>
          <w:p w14:paraId="2D6A20A7"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1 296 000,00</w:t>
            </w:r>
          </w:p>
        </w:tc>
        <w:tc>
          <w:tcPr>
            <w:tcW w:w="1610" w:type="dxa"/>
            <w:tcBorders>
              <w:top w:val="nil"/>
              <w:left w:val="nil"/>
              <w:bottom w:val="single" w:sz="4" w:space="0" w:color="auto"/>
              <w:right w:val="single" w:sz="4" w:space="0" w:color="auto"/>
            </w:tcBorders>
            <w:shd w:val="clear" w:color="auto" w:fill="auto"/>
            <w:noWrap/>
            <w:vAlign w:val="bottom"/>
            <w:hideMark/>
          </w:tcPr>
          <w:p w14:paraId="5B737916"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1 240 000,00</w:t>
            </w:r>
          </w:p>
        </w:tc>
        <w:tc>
          <w:tcPr>
            <w:tcW w:w="689" w:type="dxa"/>
            <w:tcBorders>
              <w:top w:val="nil"/>
              <w:left w:val="nil"/>
              <w:bottom w:val="single" w:sz="4" w:space="0" w:color="auto"/>
              <w:right w:val="single" w:sz="8" w:space="0" w:color="auto"/>
            </w:tcBorders>
            <w:shd w:val="clear" w:color="auto" w:fill="auto"/>
            <w:noWrap/>
            <w:vAlign w:val="bottom"/>
            <w:hideMark/>
          </w:tcPr>
          <w:p w14:paraId="77F939B3"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95,7</w:t>
            </w:r>
          </w:p>
        </w:tc>
      </w:tr>
      <w:tr w:rsidR="009D2A3C" w:rsidRPr="009D2A3C" w14:paraId="5B10B165" w14:textId="77777777" w:rsidTr="009D2A3C">
        <w:trPr>
          <w:trHeight w:val="520"/>
        </w:trPr>
        <w:tc>
          <w:tcPr>
            <w:tcW w:w="853" w:type="dxa"/>
            <w:tcBorders>
              <w:top w:val="nil"/>
              <w:left w:val="single" w:sz="8" w:space="0" w:color="auto"/>
              <w:bottom w:val="single" w:sz="4" w:space="0" w:color="auto"/>
              <w:right w:val="single" w:sz="4" w:space="0" w:color="auto"/>
            </w:tcBorders>
            <w:shd w:val="clear" w:color="auto" w:fill="auto"/>
            <w:noWrap/>
            <w:vAlign w:val="bottom"/>
            <w:hideMark/>
          </w:tcPr>
          <w:p w14:paraId="18774A38" w14:textId="77777777" w:rsidR="009D2A3C" w:rsidRPr="009D2A3C" w:rsidRDefault="009D2A3C" w:rsidP="009D2A3C">
            <w:pPr>
              <w:spacing w:after="0" w:line="240" w:lineRule="auto"/>
              <w:jc w:val="center"/>
              <w:rPr>
                <w:rFonts w:ascii="Calibri" w:eastAsia="Times New Roman" w:hAnsi="Calibri" w:cs="Arial"/>
                <w:sz w:val="20"/>
                <w:szCs w:val="20"/>
                <w:lang w:eastAsia="cs-CZ"/>
              </w:rPr>
            </w:pPr>
            <w:r w:rsidRPr="009D2A3C">
              <w:rPr>
                <w:rFonts w:ascii="Calibri" w:eastAsia="Times New Roman" w:hAnsi="Calibri" w:cs="Arial"/>
                <w:sz w:val="20"/>
                <w:szCs w:val="20"/>
                <w:lang w:eastAsia="cs-CZ"/>
              </w:rPr>
              <w:t>4349</w:t>
            </w:r>
          </w:p>
        </w:tc>
        <w:tc>
          <w:tcPr>
            <w:tcW w:w="2945" w:type="dxa"/>
            <w:tcBorders>
              <w:top w:val="nil"/>
              <w:left w:val="nil"/>
              <w:bottom w:val="single" w:sz="4" w:space="0" w:color="auto"/>
              <w:right w:val="single" w:sz="4" w:space="0" w:color="auto"/>
            </w:tcBorders>
            <w:shd w:val="clear" w:color="auto" w:fill="auto"/>
            <w:vAlign w:val="bottom"/>
            <w:hideMark/>
          </w:tcPr>
          <w:p w14:paraId="3366FD0B" w14:textId="77777777" w:rsidR="009D2A3C" w:rsidRPr="009D2A3C" w:rsidRDefault="009D2A3C" w:rsidP="009D2A3C">
            <w:pPr>
              <w:spacing w:after="0" w:line="240" w:lineRule="auto"/>
              <w:rPr>
                <w:rFonts w:ascii="Calibri" w:eastAsia="Times New Roman" w:hAnsi="Calibri" w:cs="Arial"/>
                <w:sz w:val="20"/>
                <w:szCs w:val="20"/>
                <w:lang w:eastAsia="cs-CZ"/>
              </w:rPr>
            </w:pPr>
            <w:r w:rsidRPr="009D2A3C">
              <w:rPr>
                <w:rFonts w:ascii="Calibri" w:eastAsia="Times New Roman" w:hAnsi="Calibri" w:cs="Arial"/>
                <w:sz w:val="20"/>
                <w:szCs w:val="20"/>
                <w:lang w:eastAsia="cs-CZ"/>
              </w:rPr>
              <w:t>Ostatní sociální péče a pomoc ostatním skupinám obyvatelstva</w:t>
            </w:r>
          </w:p>
        </w:tc>
        <w:tc>
          <w:tcPr>
            <w:tcW w:w="1403" w:type="dxa"/>
            <w:tcBorders>
              <w:top w:val="nil"/>
              <w:left w:val="nil"/>
              <w:bottom w:val="single" w:sz="4" w:space="0" w:color="auto"/>
              <w:right w:val="single" w:sz="4" w:space="0" w:color="auto"/>
            </w:tcBorders>
            <w:shd w:val="clear" w:color="auto" w:fill="auto"/>
            <w:noWrap/>
            <w:vAlign w:val="bottom"/>
            <w:hideMark/>
          </w:tcPr>
          <w:p w14:paraId="11065967"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0</w:t>
            </w:r>
          </w:p>
        </w:tc>
        <w:tc>
          <w:tcPr>
            <w:tcW w:w="1760" w:type="dxa"/>
            <w:tcBorders>
              <w:top w:val="nil"/>
              <w:left w:val="nil"/>
              <w:bottom w:val="single" w:sz="4" w:space="0" w:color="auto"/>
              <w:right w:val="single" w:sz="4" w:space="0" w:color="auto"/>
            </w:tcBorders>
            <w:shd w:val="clear" w:color="auto" w:fill="auto"/>
            <w:noWrap/>
            <w:vAlign w:val="bottom"/>
            <w:hideMark/>
          </w:tcPr>
          <w:p w14:paraId="3BA0860E"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50 000,00</w:t>
            </w:r>
          </w:p>
        </w:tc>
        <w:tc>
          <w:tcPr>
            <w:tcW w:w="1610" w:type="dxa"/>
            <w:tcBorders>
              <w:top w:val="nil"/>
              <w:left w:val="nil"/>
              <w:bottom w:val="single" w:sz="4" w:space="0" w:color="auto"/>
              <w:right w:val="single" w:sz="4" w:space="0" w:color="auto"/>
            </w:tcBorders>
            <w:shd w:val="clear" w:color="auto" w:fill="auto"/>
            <w:noWrap/>
            <w:vAlign w:val="bottom"/>
            <w:hideMark/>
          </w:tcPr>
          <w:p w14:paraId="1843A56C"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50 000,00</w:t>
            </w:r>
          </w:p>
        </w:tc>
        <w:tc>
          <w:tcPr>
            <w:tcW w:w="689" w:type="dxa"/>
            <w:tcBorders>
              <w:top w:val="nil"/>
              <w:left w:val="nil"/>
              <w:bottom w:val="single" w:sz="4" w:space="0" w:color="auto"/>
              <w:right w:val="single" w:sz="8" w:space="0" w:color="auto"/>
            </w:tcBorders>
            <w:shd w:val="clear" w:color="auto" w:fill="auto"/>
            <w:noWrap/>
            <w:vAlign w:val="bottom"/>
            <w:hideMark/>
          </w:tcPr>
          <w:p w14:paraId="762DEE02"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100,0</w:t>
            </w:r>
          </w:p>
        </w:tc>
      </w:tr>
      <w:tr w:rsidR="009D2A3C" w:rsidRPr="009D2A3C" w14:paraId="63CB072B" w14:textId="77777777" w:rsidTr="009D2A3C">
        <w:trPr>
          <w:trHeight w:val="300"/>
        </w:trPr>
        <w:tc>
          <w:tcPr>
            <w:tcW w:w="853" w:type="dxa"/>
            <w:tcBorders>
              <w:top w:val="nil"/>
              <w:left w:val="single" w:sz="8" w:space="0" w:color="auto"/>
              <w:bottom w:val="single" w:sz="4" w:space="0" w:color="auto"/>
              <w:right w:val="single" w:sz="4" w:space="0" w:color="auto"/>
            </w:tcBorders>
            <w:shd w:val="clear" w:color="auto" w:fill="auto"/>
            <w:noWrap/>
            <w:vAlign w:val="bottom"/>
            <w:hideMark/>
          </w:tcPr>
          <w:p w14:paraId="2A725479" w14:textId="77777777" w:rsidR="009D2A3C" w:rsidRPr="009D2A3C" w:rsidRDefault="009D2A3C" w:rsidP="009D2A3C">
            <w:pPr>
              <w:spacing w:after="0" w:line="240" w:lineRule="auto"/>
              <w:jc w:val="center"/>
              <w:rPr>
                <w:rFonts w:ascii="Calibri" w:eastAsia="Times New Roman" w:hAnsi="Calibri" w:cs="Arial"/>
                <w:sz w:val="20"/>
                <w:szCs w:val="20"/>
                <w:lang w:eastAsia="cs-CZ"/>
              </w:rPr>
            </w:pPr>
            <w:r w:rsidRPr="009D2A3C">
              <w:rPr>
                <w:rFonts w:ascii="Calibri" w:eastAsia="Times New Roman" w:hAnsi="Calibri" w:cs="Arial"/>
                <w:sz w:val="20"/>
                <w:szCs w:val="20"/>
                <w:lang w:eastAsia="cs-CZ"/>
              </w:rPr>
              <w:t>5212</w:t>
            </w:r>
          </w:p>
        </w:tc>
        <w:tc>
          <w:tcPr>
            <w:tcW w:w="2945" w:type="dxa"/>
            <w:tcBorders>
              <w:top w:val="nil"/>
              <w:left w:val="nil"/>
              <w:bottom w:val="single" w:sz="4" w:space="0" w:color="auto"/>
              <w:right w:val="single" w:sz="4" w:space="0" w:color="auto"/>
            </w:tcBorders>
            <w:shd w:val="clear" w:color="auto" w:fill="auto"/>
            <w:vAlign w:val="bottom"/>
            <w:hideMark/>
          </w:tcPr>
          <w:p w14:paraId="7F1F6531" w14:textId="77777777" w:rsidR="009D2A3C" w:rsidRPr="009D2A3C" w:rsidRDefault="009D2A3C" w:rsidP="009D2A3C">
            <w:pPr>
              <w:spacing w:after="0" w:line="240" w:lineRule="auto"/>
              <w:rPr>
                <w:rFonts w:ascii="Calibri" w:eastAsia="Times New Roman" w:hAnsi="Calibri" w:cs="Arial"/>
                <w:sz w:val="20"/>
                <w:szCs w:val="20"/>
                <w:lang w:eastAsia="cs-CZ"/>
              </w:rPr>
            </w:pPr>
            <w:r w:rsidRPr="009D2A3C">
              <w:rPr>
                <w:rFonts w:ascii="Calibri" w:eastAsia="Times New Roman" w:hAnsi="Calibri" w:cs="Arial"/>
                <w:sz w:val="20"/>
                <w:szCs w:val="20"/>
                <w:lang w:eastAsia="cs-CZ"/>
              </w:rPr>
              <w:t>Ochrana obyvatelstva</w:t>
            </w:r>
          </w:p>
        </w:tc>
        <w:tc>
          <w:tcPr>
            <w:tcW w:w="1403" w:type="dxa"/>
            <w:tcBorders>
              <w:top w:val="nil"/>
              <w:left w:val="nil"/>
              <w:bottom w:val="single" w:sz="4" w:space="0" w:color="auto"/>
              <w:right w:val="single" w:sz="4" w:space="0" w:color="auto"/>
            </w:tcBorders>
            <w:shd w:val="clear" w:color="auto" w:fill="auto"/>
            <w:noWrap/>
            <w:vAlign w:val="bottom"/>
            <w:hideMark/>
          </w:tcPr>
          <w:p w14:paraId="727A14B0"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1 000 000</w:t>
            </w:r>
          </w:p>
        </w:tc>
        <w:tc>
          <w:tcPr>
            <w:tcW w:w="1760" w:type="dxa"/>
            <w:tcBorders>
              <w:top w:val="nil"/>
              <w:left w:val="nil"/>
              <w:bottom w:val="single" w:sz="4" w:space="0" w:color="auto"/>
              <w:right w:val="single" w:sz="4" w:space="0" w:color="auto"/>
            </w:tcBorders>
            <w:shd w:val="clear" w:color="auto" w:fill="auto"/>
            <w:noWrap/>
            <w:vAlign w:val="bottom"/>
            <w:hideMark/>
          </w:tcPr>
          <w:p w14:paraId="5078A8EF"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0,00</w:t>
            </w:r>
          </w:p>
        </w:tc>
        <w:tc>
          <w:tcPr>
            <w:tcW w:w="1610" w:type="dxa"/>
            <w:tcBorders>
              <w:top w:val="nil"/>
              <w:left w:val="nil"/>
              <w:bottom w:val="single" w:sz="4" w:space="0" w:color="auto"/>
              <w:right w:val="single" w:sz="4" w:space="0" w:color="auto"/>
            </w:tcBorders>
            <w:shd w:val="clear" w:color="auto" w:fill="auto"/>
            <w:noWrap/>
            <w:vAlign w:val="bottom"/>
            <w:hideMark/>
          </w:tcPr>
          <w:p w14:paraId="3FF5C28C"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0,00</w:t>
            </w:r>
          </w:p>
        </w:tc>
        <w:tc>
          <w:tcPr>
            <w:tcW w:w="689" w:type="dxa"/>
            <w:tcBorders>
              <w:top w:val="nil"/>
              <w:left w:val="nil"/>
              <w:bottom w:val="single" w:sz="4" w:space="0" w:color="auto"/>
              <w:right w:val="single" w:sz="8" w:space="0" w:color="auto"/>
            </w:tcBorders>
            <w:shd w:val="clear" w:color="auto" w:fill="auto"/>
            <w:noWrap/>
            <w:vAlign w:val="bottom"/>
            <w:hideMark/>
          </w:tcPr>
          <w:p w14:paraId="52355A03"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w:t>
            </w:r>
          </w:p>
        </w:tc>
      </w:tr>
      <w:tr w:rsidR="009D2A3C" w:rsidRPr="009D2A3C" w14:paraId="0A9FADD8" w14:textId="77777777" w:rsidTr="009D2A3C">
        <w:trPr>
          <w:trHeight w:val="300"/>
        </w:trPr>
        <w:tc>
          <w:tcPr>
            <w:tcW w:w="853" w:type="dxa"/>
            <w:tcBorders>
              <w:top w:val="nil"/>
              <w:left w:val="single" w:sz="8" w:space="0" w:color="auto"/>
              <w:bottom w:val="single" w:sz="4" w:space="0" w:color="auto"/>
              <w:right w:val="single" w:sz="4" w:space="0" w:color="auto"/>
            </w:tcBorders>
            <w:shd w:val="clear" w:color="auto" w:fill="auto"/>
            <w:noWrap/>
            <w:vAlign w:val="bottom"/>
            <w:hideMark/>
          </w:tcPr>
          <w:p w14:paraId="7EDEF3E7" w14:textId="77777777" w:rsidR="009D2A3C" w:rsidRPr="009D2A3C" w:rsidRDefault="009D2A3C" w:rsidP="009D2A3C">
            <w:pPr>
              <w:spacing w:after="0" w:line="240" w:lineRule="auto"/>
              <w:jc w:val="center"/>
              <w:rPr>
                <w:rFonts w:ascii="Calibri" w:eastAsia="Times New Roman" w:hAnsi="Calibri" w:cs="Arial"/>
                <w:sz w:val="20"/>
                <w:szCs w:val="20"/>
                <w:lang w:eastAsia="cs-CZ"/>
              </w:rPr>
            </w:pPr>
            <w:r w:rsidRPr="009D2A3C">
              <w:rPr>
                <w:rFonts w:ascii="Calibri" w:eastAsia="Times New Roman" w:hAnsi="Calibri" w:cs="Arial"/>
                <w:sz w:val="20"/>
                <w:szCs w:val="20"/>
                <w:lang w:eastAsia="cs-CZ"/>
              </w:rPr>
              <w:t>5213</w:t>
            </w:r>
          </w:p>
        </w:tc>
        <w:tc>
          <w:tcPr>
            <w:tcW w:w="2945" w:type="dxa"/>
            <w:tcBorders>
              <w:top w:val="nil"/>
              <w:left w:val="nil"/>
              <w:bottom w:val="single" w:sz="4" w:space="0" w:color="auto"/>
              <w:right w:val="single" w:sz="4" w:space="0" w:color="auto"/>
            </w:tcBorders>
            <w:shd w:val="clear" w:color="auto" w:fill="auto"/>
            <w:vAlign w:val="bottom"/>
            <w:hideMark/>
          </w:tcPr>
          <w:p w14:paraId="4A3FEBB7" w14:textId="77777777" w:rsidR="009D2A3C" w:rsidRPr="009D2A3C" w:rsidRDefault="009D2A3C" w:rsidP="009D2A3C">
            <w:pPr>
              <w:spacing w:after="0" w:line="240" w:lineRule="auto"/>
              <w:rPr>
                <w:rFonts w:ascii="Calibri" w:eastAsia="Times New Roman" w:hAnsi="Calibri" w:cs="Arial"/>
                <w:sz w:val="20"/>
                <w:szCs w:val="20"/>
                <w:lang w:eastAsia="cs-CZ"/>
              </w:rPr>
            </w:pPr>
            <w:r w:rsidRPr="009D2A3C">
              <w:rPr>
                <w:rFonts w:ascii="Calibri" w:eastAsia="Times New Roman" w:hAnsi="Calibri" w:cs="Arial"/>
                <w:sz w:val="20"/>
                <w:szCs w:val="20"/>
                <w:lang w:eastAsia="cs-CZ"/>
              </w:rPr>
              <w:t>Krizová opatření</w:t>
            </w:r>
          </w:p>
        </w:tc>
        <w:tc>
          <w:tcPr>
            <w:tcW w:w="1403" w:type="dxa"/>
            <w:tcBorders>
              <w:top w:val="nil"/>
              <w:left w:val="nil"/>
              <w:bottom w:val="single" w:sz="4" w:space="0" w:color="auto"/>
              <w:right w:val="single" w:sz="4" w:space="0" w:color="auto"/>
            </w:tcBorders>
            <w:shd w:val="clear" w:color="auto" w:fill="auto"/>
            <w:noWrap/>
            <w:vAlign w:val="bottom"/>
            <w:hideMark/>
          </w:tcPr>
          <w:p w14:paraId="11429CA2"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500 000</w:t>
            </w:r>
          </w:p>
        </w:tc>
        <w:tc>
          <w:tcPr>
            <w:tcW w:w="1760" w:type="dxa"/>
            <w:tcBorders>
              <w:top w:val="nil"/>
              <w:left w:val="nil"/>
              <w:bottom w:val="single" w:sz="4" w:space="0" w:color="auto"/>
              <w:right w:val="single" w:sz="4" w:space="0" w:color="auto"/>
            </w:tcBorders>
            <w:shd w:val="clear" w:color="auto" w:fill="auto"/>
            <w:noWrap/>
            <w:vAlign w:val="bottom"/>
            <w:hideMark/>
          </w:tcPr>
          <w:p w14:paraId="437F9B76"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2 053 578,80</w:t>
            </w:r>
          </w:p>
        </w:tc>
        <w:tc>
          <w:tcPr>
            <w:tcW w:w="1610" w:type="dxa"/>
            <w:tcBorders>
              <w:top w:val="nil"/>
              <w:left w:val="nil"/>
              <w:bottom w:val="single" w:sz="4" w:space="0" w:color="auto"/>
              <w:right w:val="single" w:sz="4" w:space="0" w:color="auto"/>
            </w:tcBorders>
            <w:shd w:val="clear" w:color="auto" w:fill="auto"/>
            <w:noWrap/>
            <w:vAlign w:val="bottom"/>
            <w:hideMark/>
          </w:tcPr>
          <w:p w14:paraId="117BE8F1"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2 053 578,80</w:t>
            </w:r>
          </w:p>
        </w:tc>
        <w:tc>
          <w:tcPr>
            <w:tcW w:w="689" w:type="dxa"/>
            <w:tcBorders>
              <w:top w:val="nil"/>
              <w:left w:val="nil"/>
              <w:bottom w:val="single" w:sz="4" w:space="0" w:color="auto"/>
              <w:right w:val="single" w:sz="8" w:space="0" w:color="auto"/>
            </w:tcBorders>
            <w:shd w:val="clear" w:color="auto" w:fill="auto"/>
            <w:noWrap/>
            <w:vAlign w:val="bottom"/>
            <w:hideMark/>
          </w:tcPr>
          <w:p w14:paraId="59A42EAE"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100,0</w:t>
            </w:r>
          </w:p>
        </w:tc>
      </w:tr>
      <w:tr w:rsidR="009D2A3C" w:rsidRPr="009D2A3C" w14:paraId="50AAD566" w14:textId="77777777" w:rsidTr="009D2A3C">
        <w:trPr>
          <w:trHeight w:val="300"/>
        </w:trPr>
        <w:tc>
          <w:tcPr>
            <w:tcW w:w="853" w:type="dxa"/>
            <w:tcBorders>
              <w:top w:val="nil"/>
              <w:left w:val="single" w:sz="8" w:space="0" w:color="auto"/>
              <w:bottom w:val="single" w:sz="4" w:space="0" w:color="auto"/>
              <w:right w:val="single" w:sz="4" w:space="0" w:color="auto"/>
            </w:tcBorders>
            <w:shd w:val="clear" w:color="auto" w:fill="auto"/>
            <w:noWrap/>
            <w:vAlign w:val="bottom"/>
            <w:hideMark/>
          </w:tcPr>
          <w:p w14:paraId="2ADCE8C6" w14:textId="77777777" w:rsidR="009D2A3C" w:rsidRPr="009D2A3C" w:rsidRDefault="009D2A3C" w:rsidP="009D2A3C">
            <w:pPr>
              <w:spacing w:after="0" w:line="240" w:lineRule="auto"/>
              <w:jc w:val="center"/>
              <w:rPr>
                <w:rFonts w:ascii="Calibri" w:eastAsia="Times New Roman" w:hAnsi="Calibri" w:cs="Arial"/>
                <w:sz w:val="20"/>
                <w:szCs w:val="20"/>
                <w:lang w:eastAsia="cs-CZ"/>
              </w:rPr>
            </w:pPr>
            <w:r w:rsidRPr="009D2A3C">
              <w:rPr>
                <w:rFonts w:ascii="Calibri" w:eastAsia="Times New Roman" w:hAnsi="Calibri" w:cs="Arial"/>
                <w:sz w:val="20"/>
                <w:szCs w:val="20"/>
                <w:lang w:eastAsia="cs-CZ"/>
              </w:rPr>
              <w:t>5273</w:t>
            </w:r>
          </w:p>
        </w:tc>
        <w:tc>
          <w:tcPr>
            <w:tcW w:w="2945" w:type="dxa"/>
            <w:tcBorders>
              <w:top w:val="nil"/>
              <w:left w:val="nil"/>
              <w:bottom w:val="single" w:sz="4" w:space="0" w:color="auto"/>
              <w:right w:val="single" w:sz="4" w:space="0" w:color="auto"/>
            </w:tcBorders>
            <w:shd w:val="clear" w:color="auto" w:fill="auto"/>
            <w:vAlign w:val="bottom"/>
            <w:hideMark/>
          </w:tcPr>
          <w:p w14:paraId="77DABB55" w14:textId="77777777" w:rsidR="009D2A3C" w:rsidRPr="009D2A3C" w:rsidRDefault="009D2A3C" w:rsidP="009D2A3C">
            <w:pPr>
              <w:spacing w:after="0" w:line="240" w:lineRule="auto"/>
              <w:rPr>
                <w:rFonts w:ascii="Calibri" w:eastAsia="Times New Roman" w:hAnsi="Calibri" w:cs="Arial"/>
                <w:sz w:val="20"/>
                <w:szCs w:val="20"/>
                <w:lang w:eastAsia="cs-CZ"/>
              </w:rPr>
            </w:pPr>
            <w:r w:rsidRPr="009D2A3C">
              <w:rPr>
                <w:rFonts w:ascii="Calibri" w:eastAsia="Times New Roman" w:hAnsi="Calibri" w:cs="Arial"/>
                <w:sz w:val="20"/>
                <w:szCs w:val="20"/>
                <w:lang w:eastAsia="cs-CZ"/>
              </w:rPr>
              <w:t>Ostatní správa v oblasti krizového řízení</w:t>
            </w:r>
          </w:p>
        </w:tc>
        <w:tc>
          <w:tcPr>
            <w:tcW w:w="1403" w:type="dxa"/>
            <w:tcBorders>
              <w:top w:val="nil"/>
              <w:left w:val="nil"/>
              <w:bottom w:val="single" w:sz="4" w:space="0" w:color="auto"/>
              <w:right w:val="single" w:sz="4" w:space="0" w:color="auto"/>
            </w:tcBorders>
            <w:shd w:val="clear" w:color="auto" w:fill="auto"/>
            <w:noWrap/>
            <w:vAlign w:val="bottom"/>
            <w:hideMark/>
          </w:tcPr>
          <w:p w14:paraId="1D51B00E"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1 500 000</w:t>
            </w:r>
          </w:p>
        </w:tc>
        <w:tc>
          <w:tcPr>
            <w:tcW w:w="1760" w:type="dxa"/>
            <w:tcBorders>
              <w:top w:val="nil"/>
              <w:left w:val="nil"/>
              <w:bottom w:val="single" w:sz="4" w:space="0" w:color="auto"/>
              <w:right w:val="single" w:sz="4" w:space="0" w:color="auto"/>
            </w:tcBorders>
            <w:shd w:val="clear" w:color="auto" w:fill="auto"/>
            <w:noWrap/>
            <w:vAlign w:val="bottom"/>
            <w:hideMark/>
          </w:tcPr>
          <w:p w14:paraId="61DBCC72"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82 460,26</w:t>
            </w:r>
          </w:p>
        </w:tc>
        <w:tc>
          <w:tcPr>
            <w:tcW w:w="1610" w:type="dxa"/>
            <w:tcBorders>
              <w:top w:val="nil"/>
              <w:left w:val="nil"/>
              <w:bottom w:val="single" w:sz="4" w:space="0" w:color="auto"/>
              <w:right w:val="single" w:sz="4" w:space="0" w:color="auto"/>
            </w:tcBorders>
            <w:shd w:val="clear" w:color="auto" w:fill="auto"/>
            <w:noWrap/>
            <w:vAlign w:val="bottom"/>
            <w:hideMark/>
          </w:tcPr>
          <w:p w14:paraId="483F1691"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82 460,26</w:t>
            </w:r>
          </w:p>
        </w:tc>
        <w:tc>
          <w:tcPr>
            <w:tcW w:w="689" w:type="dxa"/>
            <w:tcBorders>
              <w:top w:val="nil"/>
              <w:left w:val="nil"/>
              <w:bottom w:val="single" w:sz="4" w:space="0" w:color="auto"/>
              <w:right w:val="single" w:sz="8" w:space="0" w:color="auto"/>
            </w:tcBorders>
            <w:shd w:val="clear" w:color="auto" w:fill="auto"/>
            <w:noWrap/>
            <w:vAlign w:val="bottom"/>
            <w:hideMark/>
          </w:tcPr>
          <w:p w14:paraId="37519AC2"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100,0</w:t>
            </w:r>
          </w:p>
        </w:tc>
      </w:tr>
      <w:tr w:rsidR="009D2A3C" w:rsidRPr="009D2A3C" w14:paraId="2E3703A3" w14:textId="77777777" w:rsidTr="009D2A3C">
        <w:trPr>
          <w:trHeight w:val="300"/>
        </w:trPr>
        <w:tc>
          <w:tcPr>
            <w:tcW w:w="853" w:type="dxa"/>
            <w:tcBorders>
              <w:top w:val="nil"/>
              <w:left w:val="single" w:sz="8" w:space="0" w:color="auto"/>
              <w:bottom w:val="single" w:sz="4" w:space="0" w:color="auto"/>
              <w:right w:val="single" w:sz="4" w:space="0" w:color="auto"/>
            </w:tcBorders>
            <w:shd w:val="clear" w:color="auto" w:fill="auto"/>
            <w:noWrap/>
            <w:vAlign w:val="bottom"/>
            <w:hideMark/>
          </w:tcPr>
          <w:p w14:paraId="44C98A7D" w14:textId="77777777" w:rsidR="009D2A3C" w:rsidRPr="009D2A3C" w:rsidRDefault="009D2A3C" w:rsidP="009D2A3C">
            <w:pPr>
              <w:spacing w:after="0" w:line="240" w:lineRule="auto"/>
              <w:jc w:val="center"/>
              <w:rPr>
                <w:rFonts w:ascii="Calibri" w:eastAsia="Times New Roman" w:hAnsi="Calibri" w:cs="Arial"/>
                <w:sz w:val="20"/>
                <w:szCs w:val="20"/>
                <w:lang w:eastAsia="cs-CZ"/>
              </w:rPr>
            </w:pPr>
            <w:r w:rsidRPr="009D2A3C">
              <w:rPr>
                <w:rFonts w:ascii="Calibri" w:eastAsia="Times New Roman" w:hAnsi="Calibri" w:cs="Arial"/>
                <w:sz w:val="20"/>
                <w:szCs w:val="20"/>
                <w:lang w:eastAsia="cs-CZ"/>
              </w:rPr>
              <w:t>5279</w:t>
            </w:r>
          </w:p>
        </w:tc>
        <w:tc>
          <w:tcPr>
            <w:tcW w:w="2945" w:type="dxa"/>
            <w:tcBorders>
              <w:top w:val="nil"/>
              <w:left w:val="nil"/>
              <w:bottom w:val="single" w:sz="4" w:space="0" w:color="auto"/>
              <w:right w:val="single" w:sz="4" w:space="0" w:color="auto"/>
            </w:tcBorders>
            <w:shd w:val="clear" w:color="auto" w:fill="auto"/>
            <w:vAlign w:val="bottom"/>
            <w:hideMark/>
          </w:tcPr>
          <w:p w14:paraId="02D2AE7D" w14:textId="77777777" w:rsidR="009D2A3C" w:rsidRPr="009D2A3C" w:rsidRDefault="009D2A3C" w:rsidP="009D2A3C">
            <w:pPr>
              <w:spacing w:after="0" w:line="240" w:lineRule="auto"/>
              <w:rPr>
                <w:rFonts w:ascii="Calibri" w:eastAsia="Times New Roman" w:hAnsi="Calibri" w:cs="Arial"/>
                <w:sz w:val="20"/>
                <w:szCs w:val="20"/>
                <w:lang w:eastAsia="cs-CZ"/>
              </w:rPr>
            </w:pPr>
            <w:r w:rsidRPr="009D2A3C">
              <w:rPr>
                <w:rFonts w:ascii="Calibri" w:eastAsia="Times New Roman" w:hAnsi="Calibri" w:cs="Arial"/>
                <w:sz w:val="20"/>
                <w:szCs w:val="20"/>
                <w:lang w:eastAsia="cs-CZ"/>
              </w:rPr>
              <w:t>Záležitosti krizového řízení jinde nezařazené</w:t>
            </w:r>
          </w:p>
        </w:tc>
        <w:tc>
          <w:tcPr>
            <w:tcW w:w="1403" w:type="dxa"/>
            <w:tcBorders>
              <w:top w:val="nil"/>
              <w:left w:val="nil"/>
              <w:bottom w:val="single" w:sz="4" w:space="0" w:color="auto"/>
              <w:right w:val="single" w:sz="4" w:space="0" w:color="auto"/>
            </w:tcBorders>
            <w:shd w:val="clear" w:color="auto" w:fill="auto"/>
            <w:noWrap/>
            <w:vAlign w:val="bottom"/>
            <w:hideMark/>
          </w:tcPr>
          <w:p w14:paraId="677C930D"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1 000 000</w:t>
            </w:r>
          </w:p>
        </w:tc>
        <w:tc>
          <w:tcPr>
            <w:tcW w:w="1760" w:type="dxa"/>
            <w:tcBorders>
              <w:top w:val="nil"/>
              <w:left w:val="nil"/>
              <w:bottom w:val="single" w:sz="4" w:space="0" w:color="auto"/>
              <w:right w:val="single" w:sz="4" w:space="0" w:color="auto"/>
            </w:tcBorders>
            <w:shd w:val="clear" w:color="auto" w:fill="auto"/>
            <w:noWrap/>
            <w:vAlign w:val="bottom"/>
            <w:hideMark/>
          </w:tcPr>
          <w:p w14:paraId="312248EB"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256 702,39</w:t>
            </w:r>
          </w:p>
        </w:tc>
        <w:tc>
          <w:tcPr>
            <w:tcW w:w="1610" w:type="dxa"/>
            <w:tcBorders>
              <w:top w:val="nil"/>
              <w:left w:val="nil"/>
              <w:bottom w:val="single" w:sz="4" w:space="0" w:color="auto"/>
              <w:right w:val="single" w:sz="4" w:space="0" w:color="auto"/>
            </w:tcBorders>
            <w:shd w:val="clear" w:color="auto" w:fill="auto"/>
            <w:noWrap/>
            <w:vAlign w:val="bottom"/>
            <w:hideMark/>
          </w:tcPr>
          <w:p w14:paraId="0B543F22"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256 701,87</w:t>
            </w:r>
          </w:p>
        </w:tc>
        <w:tc>
          <w:tcPr>
            <w:tcW w:w="689" w:type="dxa"/>
            <w:tcBorders>
              <w:top w:val="nil"/>
              <w:left w:val="nil"/>
              <w:bottom w:val="single" w:sz="4" w:space="0" w:color="auto"/>
              <w:right w:val="single" w:sz="8" w:space="0" w:color="auto"/>
            </w:tcBorders>
            <w:shd w:val="clear" w:color="auto" w:fill="auto"/>
            <w:noWrap/>
            <w:vAlign w:val="bottom"/>
            <w:hideMark/>
          </w:tcPr>
          <w:p w14:paraId="3A06B413"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100,0</w:t>
            </w:r>
          </w:p>
        </w:tc>
      </w:tr>
      <w:tr w:rsidR="009D2A3C" w:rsidRPr="009D2A3C" w14:paraId="2CDF4D79" w14:textId="77777777" w:rsidTr="009D2A3C">
        <w:trPr>
          <w:trHeight w:val="300"/>
        </w:trPr>
        <w:tc>
          <w:tcPr>
            <w:tcW w:w="853" w:type="dxa"/>
            <w:tcBorders>
              <w:top w:val="nil"/>
              <w:left w:val="single" w:sz="8" w:space="0" w:color="auto"/>
              <w:bottom w:val="single" w:sz="4" w:space="0" w:color="auto"/>
              <w:right w:val="single" w:sz="4" w:space="0" w:color="auto"/>
            </w:tcBorders>
            <w:shd w:val="clear" w:color="auto" w:fill="auto"/>
            <w:noWrap/>
            <w:vAlign w:val="bottom"/>
            <w:hideMark/>
          </w:tcPr>
          <w:p w14:paraId="0F9349AD" w14:textId="77777777" w:rsidR="009D2A3C" w:rsidRPr="009D2A3C" w:rsidRDefault="009D2A3C" w:rsidP="009D2A3C">
            <w:pPr>
              <w:spacing w:after="0" w:line="240" w:lineRule="auto"/>
              <w:jc w:val="center"/>
              <w:rPr>
                <w:rFonts w:ascii="Calibri" w:eastAsia="Times New Roman" w:hAnsi="Calibri" w:cs="Arial"/>
                <w:sz w:val="20"/>
                <w:szCs w:val="20"/>
                <w:lang w:eastAsia="cs-CZ"/>
              </w:rPr>
            </w:pPr>
            <w:r w:rsidRPr="009D2A3C">
              <w:rPr>
                <w:rFonts w:ascii="Calibri" w:eastAsia="Times New Roman" w:hAnsi="Calibri" w:cs="Arial"/>
                <w:sz w:val="20"/>
                <w:szCs w:val="20"/>
                <w:lang w:eastAsia="cs-CZ"/>
              </w:rPr>
              <w:t>5299</w:t>
            </w:r>
          </w:p>
        </w:tc>
        <w:tc>
          <w:tcPr>
            <w:tcW w:w="2945" w:type="dxa"/>
            <w:tcBorders>
              <w:top w:val="nil"/>
              <w:left w:val="nil"/>
              <w:bottom w:val="single" w:sz="4" w:space="0" w:color="auto"/>
              <w:right w:val="single" w:sz="4" w:space="0" w:color="auto"/>
            </w:tcBorders>
            <w:shd w:val="clear" w:color="auto" w:fill="auto"/>
            <w:vAlign w:val="bottom"/>
            <w:hideMark/>
          </w:tcPr>
          <w:p w14:paraId="207E33F0" w14:textId="77777777" w:rsidR="009D2A3C" w:rsidRPr="009D2A3C" w:rsidRDefault="009D2A3C" w:rsidP="009D2A3C">
            <w:pPr>
              <w:spacing w:after="0" w:line="240" w:lineRule="auto"/>
              <w:rPr>
                <w:rFonts w:ascii="Calibri" w:eastAsia="Times New Roman" w:hAnsi="Calibri" w:cs="Arial"/>
                <w:sz w:val="20"/>
                <w:szCs w:val="20"/>
                <w:lang w:eastAsia="cs-CZ"/>
              </w:rPr>
            </w:pPr>
            <w:r w:rsidRPr="009D2A3C">
              <w:rPr>
                <w:rFonts w:ascii="Calibri" w:eastAsia="Times New Roman" w:hAnsi="Calibri" w:cs="Arial"/>
                <w:sz w:val="20"/>
                <w:szCs w:val="20"/>
                <w:lang w:eastAsia="cs-CZ"/>
              </w:rPr>
              <w:t>Ostatní záležitosti civilní připravenosti na krizové stavy</w:t>
            </w:r>
          </w:p>
        </w:tc>
        <w:tc>
          <w:tcPr>
            <w:tcW w:w="1403" w:type="dxa"/>
            <w:tcBorders>
              <w:top w:val="nil"/>
              <w:left w:val="nil"/>
              <w:bottom w:val="single" w:sz="4" w:space="0" w:color="auto"/>
              <w:right w:val="single" w:sz="4" w:space="0" w:color="auto"/>
            </w:tcBorders>
            <w:shd w:val="clear" w:color="auto" w:fill="auto"/>
            <w:noWrap/>
            <w:vAlign w:val="bottom"/>
            <w:hideMark/>
          </w:tcPr>
          <w:p w14:paraId="249B399C"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0</w:t>
            </w:r>
          </w:p>
        </w:tc>
        <w:tc>
          <w:tcPr>
            <w:tcW w:w="1760" w:type="dxa"/>
            <w:tcBorders>
              <w:top w:val="nil"/>
              <w:left w:val="nil"/>
              <w:bottom w:val="single" w:sz="4" w:space="0" w:color="auto"/>
              <w:right w:val="single" w:sz="4" w:space="0" w:color="auto"/>
            </w:tcBorders>
            <w:shd w:val="clear" w:color="auto" w:fill="auto"/>
            <w:noWrap/>
            <w:vAlign w:val="bottom"/>
            <w:hideMark/>
          </w:tcPr>
          <w:p w14:paraId="71FDCAB8"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1 000 000,00</w:t>
            </w:r>
          </w:p>
        </w:tc>
        <w:tc>
          <w:tcPr>
            <w:tcW w:w="1610" w:type="dxa"/>
            <w:tcBorders>
              <w:top w:val="nil"/>
              <w:left w:val="nil"/>
              <w:bottom w:val="single" w:sz="4" w:space="0" w:color="auto"/>
              <w:right w:val="single" w:sz="4" w:space="0" w:color="auto"/>
            </w:tcBorders>
            <w:shd w:val="clear" w:color="auto" w:fill="auto"/>
            <w:noWrap/>
            <w:vAlign w:val="bottom"/>
            <w:hideMark/>
          </w:tcPr>
          <w:p w14:paraId="3056E5C3"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1 000 000,00</w:t>
            </w:r>
          </w:p>
        </w:tc>
        <w:tc>
          <w:tcPr>
            <w:tcW w:w="689" w:type="dxa"/>
            <w:tcBorders>
              <w:top w:val="nil"/>
              <w:left w:val="nil"/>
              <w:bottom w:val="single" w:sz="4" w:space="0" w:color="auto"/>
              <w:right w:val="single" w:sz="8" w:space="0" w:color="auto"/>
            </w:tcBorders>
            <w:shd w:val="clear" w:color="auto" w:fill="auto"/>
            <w:noWrap/>
            <w:vAlign w:val="bottom"/>
            <w:hideMark/>
          </w:tcPr>
          <w:p w14:paraId="10B9397E"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100,0</w:t>
            </w:r>
          </w:p>
        </w:tc>
      </w:tr>
      <w:tr w:rsidR="009D2A3C" w:rsidRPr="009D2A3C" w14:paraId="6BCD1059" w14:textId="77777777" w:rsidTr="009D2A3C">
        <w:trPr>
          <w:trHeight w:val="300"/>
        </w:trPr>
        <w:tc>
          <w:tcPr>
            <w:tcW w:w="853" w:type="dxa"/>
            <w:tcBorders>
              <w:top w:val="nil"/>
              <w:left w:val="single" w:sz="8" w:space="0" w:color="auto"/>
              <w:bottom w:val="single" w:sz="4" w:space="0" w:color="auto"/>
              <w:right w:val="single" w:sz="4" w:space="0" w:color="auto"/>
            </w:tcBorders>
            <w:shd w:val="clear" w:color="auto" w:fill="auto"/>
            <w:noWrap/>
            <w:vAlign w:val="bottom"/>
            <w:hideMark/>
          </w:tcPr>
          <w:p w14:paraId="0DABE55D" w14:textId="77777777" w:rsidR="009D2A3C" w:rsidRPr="009D2A3C" w:rsidRDefault="009D2A3C" w:rsidP="009D2A3C">
            <w:pPr>
              <w:spacing w:after="0" w:line="240" w:lineRule="auto"/>
              <w:jc w:val="center"/>
              <w:rPr>
                <w:rFonts w:ascii="Calibri" w:eastAsia="Times New Roman" w:hAnsi="Calibri" w:cs="Arial"/>
                <w:sz w:val="20"/>
                <w:szCs w:val="20"/>
                <w:lang w:eastAsia="cs-CZ"/>
              </w:rPr>
            </w:pPr>
            <w:r w:rsidRPr="009D2A3C">
              <w:rPr>
                <w:rFonts w:ascii="Calibri" w:eastAsia="Times New Roman" w:hAnsi="Calibri" w:cs="Arial"/>
                <w:sz w:val="20"/>
                <w:szCs w:val="20"/>
                <w:lang w:eastAsia="cs-CZ"/>
              </w:rPr>
              <w:t>5512</w:t>
            </w:r>
          </w:p>
        </w:tc>
        <w:tc>
          <w:tcPr>
            <w:tcW w:w="2945" w:type="dxa"/>
            <w:tcBorders>
              <w:top w:val="nil"/>
              <w:left w:val="nil"/>
              <w:bottom w:val="single" w:sz="4" w:space="0" w:color="auto"/>
              <w:right w:val="single" w:sz="4" w:space="0" w:color="auto"/>
            </w:tcBorders>
            <w:shd w:val="clear" w:color="auto" w:fill="auto"/>
            <w:vAlign w:val="bottom"/>
            <w:hideMark/>
          </w:tcPr>
          <w:p w14:paraId="168AE26D" w14:textId="77777777" w:rsidR="009D2A3C" w:rsidRPr="009D2A3C" w:rsidRDefault="009D2A3C" w:rsidP="009D2A3C">
            <w:pPr>
              <w:spacing w:after="0" w:line="240" w:lineRule="auto"/>
              <w:rPr>
                <w:rFonts w:ascii="Calibri" w:eastAsia="Times New Roman" w:hAnsi="Calibri" w:cs="Arial"/>
                <w:sz w:val="20"/>
                <w:szCs w:val="20"/>
                <w:lang w:eastAsia="cs-CZ"/>
              </w:rPr>
            </w:pPr>
            <w:r w:rsidRPr="009D2A3C">
              <w:rPr>
                <w:rFonts w:ascii="Calibri" w:eastAsia="Times New Roman" w:hAnsi="Calibri" w:cs="Arial"/>
                <w:sz w:val="20"/>
                <w:szCs w:val="20"/>
                <w:lang w:eastAsia="cs-CZ"/>
              </w:rPr>
              <w:t>Požární ochrana - dobrovolná část</w:t>
            </w:r>
          </w:p>
        </w:tc>
        <w:tc>
          <w:tcPr>
            <w:tcW w:w="1403" w:type="dxa"/>
            <w:tcBorders>
              <w:top w:val="nil"/>
              <w:left w:val="nil"/>
              <w:bottom w:val="single" w:sz="4" w:space="0" w:color="auto"/>
              <w:right w:val="single" w:sz="4" w:space="0" w:color="auto"/>
            </w:tcBorders>
            <w:shd w:val="clear" w:color="auto" w:fill="auto"/>
            <w:noWrap/>
            <w:vAlign w:val="bottom"/>
            <w:hideMark/>
          </w:tcPr>
          <w:p w14:paraId="691D2791"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500 000</w:t>
            </w:r>
          </w:p>
        </w:tc>
        <w:tc>
          <w:tcPr>
            <w:tcW w:w="1760" w:type="dxa"/>
            <w:tcBorders>
              <w:top w:val="nil"/>
              <w:left w:val="nil"/>
              <w:bottom w:val="single" w:sz="4" w:space="0" w:color="auto"/>
              <w:right w:val="single" w:sz="4" w:space="0" w:color="auto"/>
            </w:tcBorders>
            <w:shd w:val="clear" w:color="auto" w:fill="auto"/>
            <w:noWrap/>
            <w:vAlign w:val="bottom"/>
            <w:hideMark/>
          </w:tcPr>
          <w:p w14:paraId="1E83D9D1"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0,00</w:t>
            </w:r>
          </w:p>
        </w:tc>
        <w:tc>
          <w:tcPr>
            <w:tcW w:w="1610" w:type="dxa"/>
            <w:tcBorders>
              <w:top w:val="nil"/>
              <w:left w:val="nil"/>
              <w:bottom w:val="single" w:sz="4" w:space="0" w:color="auto"/>
              <w:right w:val="single" w:sz="4" w:space="0" w:color="auto"/>
            </w:tcBorders>
            <w:shd w:val="clear" w:color="auto" w:fill="auto"/>
            <w:noWrap/>
            <w:vAlign w:val="bottom"/>
            <w:hideMark/>
          </w:tcPr>
          <w:p w14:paraId="4347EF3B"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0,00</w:t>
            </w:r>
          </w:p>
        </w:tc>
        <w:tc>
          <w:tcPr>
            <w:tcW w:w="689" w:type="dxa"/>
            <w:tcBorders>
              <w:top w:val="nil"/>
              <w:left w:val="nil"/>
              <w:bottom w:val="single" w:sz="4" w:space="0" w:color="auto"/>
              <w:right w:val="single" w:sz="8" w:space="0" w:color="auto"/>
            </w:tcBorders>
            <w:shd w:val="clear" w:color="auto" w:fill="auto"/>
            <w:noWrap/>
            <w:vAlign w:val="bottom"/>
            <w:hideMark/>
          </w:tcPr>
          <w:p w14:paraId="39B18F23"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w:t>
            </w:r>
          </w:p>
        </w:tc>
      </w:tr>
      <w:tr w:rsidR="009D2A3C" w:rsidRPr="009D2A3C" w14:paraId="520AB2F2" w14:textId="77777777" w:rsidTr="009D2A3C">
        <w:trPr>
          <w:trHeight w:val="300"/>
        </w:trPr>
        <w:tc>
          <w:tcPr>
            <w:tcW w:w="853" w:type="dxa"/>
            <w:tcBorders>
              <w:top w:val="nil"/>
              <w:left w:val="single" w:sz="8" w:space="0" w:color="auto"/>
              <w:bottom w:val="single" w:sz="4" w:space="0" w:color="auto"/>
              <w:right w:val="single" w:sz="4" w:space="0" w:color="auto"/>
            </w:tcBorders>
            <w:shd w:val="clear" w:color="auto" w:fill="auto"/>
            <w:noWrap/>
            <w:vAlign w:val="bottom"/>
            <w:hideMark/>
          </w:tcPr>
          <w:p w14:paraId="34F90FFB" w14:textId="77777777" w:rsidR="009D2A3C" w:rsidRPr="009D2A3C" w:rsidRDefault="009D2A3C" w:rsidP="009D2A3C">
            <w:pPr>
              <w:spacing w:after="0" w:line="240" w:lineRule="auto"/>
              <w:jc w:val="center"/>
              <w:rPr>
                <w:rFonts w:ascii="Calibri" w:eastAsia="Times New Roman" w:hAnsi="Calibri" w:cs="Arial"/>
                <w:sz w:val="20"/>
                <w:szCs w:val="20"/>
                <w:lang w:eastAsia="cs-CZ"/>
              </w:rPr>
            </w:pPr>
            <w:r w:rsidRPr="009D2A3C">
              <w:rPr>
                <w:rFonts w:ascii="Calibri" w:eastAsia="Times New Roman" w:hAnsi="Calibri" w:cs="Arial"/>
                <w:sz w:val="20"/>
                <w:szCs w:val="20"/>
                <w:lang w:eastAsia="cs-CZ"/>
              </w:rPr>
              <w:t>6113</w:t>
            </w:r>
          </w:p>
        </w:tc>
        <w:tc>
          <w:tcPr>
            <w:tcW w:w="2945" w:type="dxa"/>
            <w:tcBorders>
              <w:top w:val="nil"/>
              <w:left w:val="nil"/>
              <w:bottom w:val="single" w:sz="4" w:space="0" w:color="auto"/>
              <w:right w:val="single" w:sz="4" w:space="0" w:color="auto"/>
            </w:tcBorders>
            <w:shd w:val="clear" w:color="auto" w:fill="auto"/>
            <w:vAlign w:val="bottom"/>
            <w:hideMark/>
          </w:tcPr>
          <w:p w14:paraId="51E6EE84" w14:textId="77777777" w:rsidR="009D2A3C" w:rsidRPr="009D2A3C" w:rsidRDefault="009D2A3C" w:rsidP="009D2A3C">
            <w:pPr>
              <w:spacing w:after="0" w:line="240" w:lineRule="auto"/>
              <w:rPr>
                <w:rFonts w:ascii="Calibri" w:eastAsia="Times New Roman" w:hAnsi="Calibri" w:cs="Arial"/>
                <w:sz w:val="20"/>
                <w:szCs w:val="20"/>
                <w:lang w:eastAsia="cs-CZ"/>
              </w:rPr>
            </w:pPr>
            <w:r w:rsidRPr="009D2A3C">
              <w:rPr>
                <w:rFonts w:ascii="Calibri" w:eastAsia="Times New Roman" w:hAnsi="Calibri" w:cs="Arial"/>
                <w:sz w:val="20"/>
                <w:szCs w:val="20"/>
                <w:lang w:eastAsia="cs-CZ"/>
              </w:rPr>
              <w:t>Zastupitelstva krajů</w:t>
            </w:r>
          </w:p>
        </w:tc>
        <w:tc>
          <w:tcPr>
            <w:tcW w:w="1403" w:type="dxa"/>
            <w:tcBorders>
              <w:top w:val="nil"/>
              <w:left w:val="nil"/>
              <w:bottom w:val="single" w:sz="4" w:space="0" w:color="auto"/>
              <w:right w:val="single" w:sz="4" w:space="0" w:color="auto"/>
            </w:tcBorders>
            <w:shd w:val="clear" w:color="auto" w:fill="auto"/>
            <w:noWrap/>
            <w:vAlign w:val="bottom"/>
            <w:hideMark/>
          </w:tcPr>
          <w:p w14:paraId="23593218"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57 200 000</w:t>
            </w:r>
          </w:p>
        </w:tc>
        <w:tc>
          <w:tcPr>
            <w:tcW w:w="1760" w:type="dxa"/>
            <w:tcBorders>
              <w:top w:val="nil"/>
              <w:left w:val="nil"/>
              <w:bottom w:val="single" w:sz="4" w:space="0" w:color="auto"/>
              <w:right w:val="single" w:sz="4" w:space="0" w:color="auto"/>
            </w:tcBorders>
            <w:shd w:val="clear" w:color="auto" w:fill="auto"/>
            <w:noWrap/>
            <w:vAlign w:val="bottom"/>
            <w:hideMark/>
          </w:tcPr>
          <w:p w14:paraId="2FE38B07"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59 553 937,65</w:t>
            </w:r>
          </w:p>
        </w:tc>
        <w:tc>
          <w:tcPr>
            <w:tcW w:w="1610" w:type="dxa"/>
            <w:tcBorders>
              <w:top w:val="nil"/>
              <w:left w:val="nil"/>
              <w:bottom w:val="single" w:sz="4" w:space="0" w:color="auto"/>
              <w:right w:val="single" w:sz="4" w:space="0" w:color="auto"/>
            </w:tcBorders>
            <w:shd w:val="clear" w:color="auto" w:fill="auto"/>
            <w:noWrap/>
            <w:vAlign w:val="bottom"/>
            <w:hideMark/>
          </w:tcPr>
          <w:p w14:paraId="475949E2"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43 698 256,34</w:t>
            </w:r>
          </w:p>
        </w:tc>
        <w:tc>
          <w:tcPr>
            <w:tcW w:w="689" w:type="dxa"/>
            <w:tcBorders>
              <w:top w:val="nil"/>
              <w:left w:val="nil"/>
              <w:bottom w:val="single" w:sz="4" w:space="0" w:color="auto"/>
              <w:right w:val="single" w:sz="8" w:space="0" w:color="auto"/>
            </w:tcBorders>
            <w:shd w:val="clear" w:color="auto" w:fill="auto"/>
            <w:noWrap/>
            <w:vAlign w:val="bottom"/>
            <w:hideMark/>
          </w:tcPr>
          <w:p w14:paraId="477441BC"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73,4</w:t>
            </w:r>
          </w:p>
        </w:tc>
      </w:tr>
      <w:tr w:rsidR="009D2A3C" w:rsidRPr="009D2A3C" w14:paraId="1194DE12" w14:textId="77777777" w:rsidTr="009D2A3C">
        <w:trPr>
          <w:trHeight w:val="300"/>
        </w:trPr>
        <w:tc>
          <w:tcPr>
            <w:tcW w:w="853" w:type="dxa"/>
            <w:tcBorders>
              <w:top w:val="nil"/>
              <w:left w:val="single" w:sz="8" w:space="0" w:color="auto"/>
              <w:bottom w:val="single" w:sz="4" w:space="0" w:color="auto"/>
              <w:right w:val="single" w:sz="4" w:space="0" w:color="auto"/>
            </w:tcBorders>
            <w:shd w:val="clear" w:color="auto" w:fill="auto"/>
            <w:noWrap/>
            <w:vAlign w:val="bottom"/>
            <w:hideMark/>
          </w:tcPr>
          <w:p w14:paraId="7F7FCC18" w14:textId="77777777" w:rsidR="009D2A3C" w:rsidRPr="009D2A3C" w:rsidRDefault="009D2A3C" w:rsidP="009D2A3C">
            <w:pPr>
              <w:spacing w:after="0" w:line="240" w:lineRule="auto"/>
              <w:jc w:val="center"/>
              <w:rPr>
                <w:rFonts w:ascii="Calibri" w:eastAsia="Times New Roman" w:hAnsi="Calibri" w:cs="Arial"/>
                <w:i/>
                <w:iCs/>
                <w:sz w:val="20"/>
                <w:szCs w:val="20"/>
                <w:lang w:eastAsia="cs-CZ"/>
              </w:rPr>
            </w:pPr>
            <w:r w:rsidRPr="009D2A3C">
              <w:rPr>
                <w:rFonts w:ascii="Calibri" w:eastAsia="Times New Roman" w:hAnsi="Calibri" w:cs="Arial"/>
                <w:i/>
                <w:iCs/>
                <w:sz w:val="20"/>
                <w:szCs w:val="20"/>
                <w:lang w:eastAsia="cs-CZ"/>
              </w:rPr>
              <w:t> </w:t>
            </w:r>
          </w:p>
        </w:tc>
        <w:tc>
          <w:tcPr>
            <w:tcW w:w="8407" w:type="dxa"/>
            <w:gridSpan w:val="5"/>
            <w:tcBorders>
              <w:top w:val="single" w:sz="4" w:space="0" w:color="auto"/>
              <w:left w:val="nil"/>
              <w:bottom w:val="single" w:sz="4" w:space="0" w:color="auto"/>
              <w:right w:val="single" w:sz="8" w:space="0" w:color="000000"/>
            </w:tcBorders>
            <w:shd w:val="clear" w:color="auto" w:fill="auto"/>
            <w:vAlign w:val="bottom"/>
            <w:hideMark/>
          </w:tcPr>
          <w:p w14:paraId="64C5C148" w14:textId="77777777" w:rsidR="009D2A3C" w:rsidRPr="009D2A3C" w:rsidRDefault="009D2A3C" w:rsidP="009D2A3C">
            <w:pPr>
              <w:spacing w:after="0" w:line="240" w:lineRule="auto"/>
              <w:rPr>
                <w:rFonts w:ascii="Calibri" w:eastAsia="Times New Roman" w:hAnsi="Calibri" w:cs="Arial"/>
                <w:sz w:val="20"/>
                <w:szCs w:val="20"/>
                <w:lang w:eastAsia="cs-CZ"/>
              </w:rPr>
            </w:pPr>
            <w:r w:rsidRPr="009D2A3C">
              <w:rPr>
                <w:rFonts w:ascii="Calibri" w:eastAsia="Times New Roman" w:hAnsi="Calibri" w:cs="Arial"/>
                <w:sz w:val="20"/>
                <w:szCs w:val="20"/>
                <w:lang w:eastAsia="cs-CZ"/>
              </w:rPr>
              <w:t>z toho:</w:t>
            </w:r>
          </w:p>
        </w:tc>
      </w:tr>
      <w:tr w:rsidR="009D2A3C" w:rsidRPr="009D2A3C" w14:paraId="4CF4C97D" w14:textId="77777777" w:rsidTr="009D2A3C">
        <w:trPr>
          <w:trHeight w:val="300"/>
        </w:trPr>
        <w:tc>
          <w:tcPr>
            <w:tcW w:w="853" w:type="dxa"/>
            <w:tcBorders>
              <w:top w:val="nil"/>
              <w:left w:val="single" w:sz="8" w:space="0" w:color="auto"/>
              <w:bottom w:val="single" w:sz="4" w:space="0" w:color="auto"/>
              <w:right w:val="single" w:sz="4" w:space="0" w:color="auto"/>
            </w:tcBorders>
            <w:shd w:val="clear" w:color="auto" w:fill="auto"/>
            <w:noWrap/>
            <w:vAlign w:val="bottom"/>
            <w:hideMark/>
          </w:tcPr>
          <w:p w14:paraId="17181622" w14:textId="77777777" w:rsidR="009D2A3C" w:rsidRPr="009D2A3C" w:rsidRDefault="009D2A3C" w:rsidP="009D2A3C">
            <w:pPr>
              <w:spacing w:after="0" w:line="240" w:lineRule="auto"/>
              <w:jc w:val="center"/>
              <w:rPr>
                <w:rFonts w:ascii="Calibri" w:eastAsia="Times New Roman" w:hAnsi="Calibri" w:cs="Arial"/>
                <w:i/>
                <w:iCs/>
                <w:sz w:val="20"/>
                <w:szCs w:val="20"/>
                <w:lang w:eastAsia="cs-CZ"/>
              </w:rPr>
            </w:pPr>
            <w:r w:rsidRPr="009D2A3C">
              <w:rPr>
                <w:rFonts w:ascii="Calibri" w:eastAsia="Times New Roman" w:hAnsi="Calibri" w:cs="Arial"/>
                <w:i/>
                <w:iCs/>
                <w:sz w:val="20"/>
                <w:szCs w:val="20"/>
                <w:lang w:eastAsia="cs-CZ"/>
              </w:rPr>
              <w:t> </w:t>
            </w:r>
          </w:p>
        </w:tc>
        <w:tc>
          <w:tcPr>
            <w:tcW w:w="2945" w:type="dxa"/>
            <w:tcBorders>
              <w:top w:val="nil"/>
              <w:left w:val="nil"/>
              <w:bottom w:val="single" w:sz="4" w:space="0" w:color="auto"/>
              <w:right w:val="single" w:sz="4" w:space="0" w:color="auto"/>
            </w:tcBorders>
            <w:shd w:val="clear" w:color="auto" w:fill="auto"/>
            <w:vAlign w:val="bottom"/>
            <w:hideMark/>
          </w:tcPr>
          <w:p w14:paraId="1215D5AB" w14:textId="77777777" w:rsidR="009D2A3C" w:rsidRPr="009D2A3C" w:rsidRDefault="009D2A3C" w:rsidP="009D2A3C">
            <w:pPr>
              <w:spacing w:after="0" w:line="240" w:lineRule="auto"/>
              <w:rPr>
                <w:rFonts w:ascii="Calibri" w:eastAsia="Times New Roman" w:hAnsi="Calibri" w:cs="Arial"/>
                <w:i/>
                <w:iCs/>
                <w:sz w:val="20"/>
                <w:szCs w:val="20"/>
                <w:lang w:eastAsia="cs-CZ"/>
              </w:rPr>
            </w:pPr>
            <w:r w:rsidRPr="009D2A3C">
              <w:rPr>
                <w:rFonts w:ascii="Calibri" w:eastAsia="Times New Roman" w:hAnsi="Calibri" w:cs="Arial"/>
                <w:i/>
                <w:iCs/>
                <w:sz w:val="20"/>
                <w:szCs w:val="20"/>
                <w:lang w:eastAsia="cs-CZ"/>
              </w:rPr>
              <w:t>mzdové výdaje</w:t>
            </w:r>
          </w:p>
        </w:tc>
        <w:tc>
          <w:tcPr>
            <w:tcW w:w="1403" w:type="dxa"/>
            <w:tcBorders>
              <w:top w:val="nil"/>
              <w:left w:val="nil"/>
              <w:bottom w:val="single" w:sz="4" w:space="0" w:color="auto"/>
              <w:right w:val="single" w:sz="4" w:space="0" w:color="auto"/>
            </w:tcBorders>
            <w:shd w:val="clear" w:color="auto" w:fill="auto"/>
            <w:noWrap/>
            <w:vAlign w:val="bottom"/>
            <w:hideMark/>
          </w:tcPr>
          <w:p w14:paraId="6AB2C740" w14:textId="77777777" w:rsidR="009D2A3C" w:rsidRPr="009D2A3C" w:rsidRDefault="009D2A3C" w:rsidP="009D2A3C">
            <w:pPr>
              <w:spacing w:after="0" w:line="240" w:lineRule="auto"/>
              <w:jc w:val="right"/>
              <w:rPr>
                <w:rFonts w:ascii="Calibri" w:eastAsia="Times New Roman" w:hAnsi="Calibri" w:cs="Arial"/>
                <w:i/>
                <w:iCs/>
                <w:sz w:val="20"/>
                <w:szCs w:val="20"/>
                <w:lang w:eastAsia="cs-CZ"/>
              </w:rPr>
            </w:pPr>
            <w:r w:rsidRPr="009D2A3C">
              <w:rPr>
                <w:rFonts w:ascii="Calibri" w:eastAsia="Times New Roman" w:hAnsi="Calibri" w:cs="Arial"/>
                <w:i/>
                <w:iCs/>
                <w:sz w:val="20"/>
                <w:szCs w:val="20"/>
                <w:lang w:eastAsia="cs-CZ"/>
              </w:rPr>
              <w:t>35 742 000</w:t>
            </w:r>
          </w:p>
        </w:tc>
        <w:tc>
          <w:tcPr>
            <w:tcW w:w="1760" w:type="dxa"/>
            <w:tcBorders>
              <w:top w:val="nil"/>
              <w:left w:val="nil"/>
              <w:bottom w:val="single" w:sz="4" w:space="0" w:color="auto"/>
              <w:right w:val="single" w:sz="4" w:space="0" w:color="auto"/>
            </w:tcBorders>
            <w:shd w:val="clear" w:color="auto" w:fill="auto"/>
            <w:noWrap/>
            <w:vAlign w:val="bottom"/>
            <w:hideMark/>
          </w:tcPr>
          <w:p w14:paraId="6792E30D" w14:textId="77777777" w:rsidR="009D2A3C" w:rsidRPr="009D2A3C" w:rsidRDefault="009D2A3C" w:rsidP="009D2A3C">
            <w:pPr>
              <w:spacing w:after="0" w:line="240" w:lineRule="auto"/>
              <w:jc w:val="right"/>
              <w:rPr>
                <w:rFonts w:ascii="Calibri" w:eastAsia="Times New Roman" w:hAnsi="Calibri" w:cs="Arial"/>
                <w:i/>
                <w:iCs/>
                <w:sz w:val="20"/>
                <w:szCs w:val="20"/>
                <w:lang w:eastAsia="cs-CZ"/>
              </w:rPr>
            </w:pPr>
            <w:r w:rsidRPr="009D2A3C">
              <w:rPr>
                <w:rFonts w:ascii="Calibri" w:eastAsia="Times New Roman" w:hAnsi="Calibri" w:cs="Arial"/>
                <w:i/>
                <w:iCs/>
                <w:sz w:val="20"/>
                <w:szCs w:val="20"/>
                <w:lang w:eastAsia="cs-CZ"/>
              </w:rPr>
              <w:t>39 341 398,00</w:t>
            </w:r>
          </w:p>
        </w:tc>
        <w:tc>
          <w:tcPr>
            <w:tcW w:w="1610" w:type="dxa"/>
            <w:tcBorders>
              <w:top w:val="nil"/>
              <w:left w:val="nil"/>
              <w:bottom w:val="single" w:sz="4" w:space="0" w:color="auto"/>
              <w:right w:val="single" w:sz="4" w:space="0" w:color="auto"/>
            </w:tcBorders>
            <w:shd w:val="clear" w:color="auto" w:fill="auto"/>
            <w:noWrap/>
            <w:vAlign w:val="bottom"/>
            <w:hideMark/>
          </w:tcPr>
          <w:p w14:paraId="091D4CC8" w14:textId="77777777" w:rsidR="009D2A3C" w:rsidRPr="009D2A3C" w:rsidRDefault="009D2A3C" w:rsidP="009D2A3C">
            <w:pPr>
              <w:spacing w:after="0" w:line="240" w:lineRule="auto"/>
              <w:jc w:val="right"/>
              <w:rPr>
                <w:rFonts w:ascii="Calibri" w:eastAsia="Times New Roman" w:hAnsi="Calibri" w:cs="Arial"/>
                <w:i/>
                <w:iCs/>
                <w:sz w:val="20"/>
                <w:szCs w:val="20"/>
                <w:lang w:eastAsia="cs-CZ"/>
              </w:rPr>
            </w:pPr>
            <w:r w:rsidRPr="009D2A3C">
              <w:rPr>
                <w:rFonts w:ascii="Calibri" w:eastAsia="Times New Roman" w:hAnsi="Calibri" w:cs="Arial"/>
                <w:i/>
                <w:iCs/>
                <w:sz w:val="20"/>
                <w:szCs w:val="20"/>
                <w:lang w:eastAsia="cs-CZ"/>
              </w:rPr>
              <w:t>37 622 108,19</w:t>
            </w:r>
          </w:p>
        </w:tc>
        <w:tc>
          <w:tcPr>
            <w:tcW w:w="689" w:type="dxa"/>
            <w:tcBorders>
              <w:top w:val="nil"/>
              <w:left w:val="nil"/>
              <w:bottom w:val="single" w:sz="4" w:space="0" w:color="auto"/>
              <w:right w:val="single" w:sz="8" w:space="0" w:color="auto"/>
            </w:tcBorders>
            <w:shd w:val="clear" w:color="auto" w:fill="auto"/>
            <w:noWrap/>
            <w:vAlign w:val="bottom"/>
            <w:hideMark/>
          </w:tcPr>
          <w:p w14:paraId="44174D14" w14:textId="77777777" w:rsidR="009D2A3C" w:rsidRPr="009D2A3C" w:rsidRDefault="009D2A3C" w:rsidP="009D2A3C">
            <w:pPr>
              <w:spacing w:after="0" w:line="240" w:lineRule="auto"/>
              <w:jc w:val="right"/>
              <w:rPr>
                <w:rFonts w:ascii="Calibri" w:eastAsia="Times New Roman" w:hAnsi="Calibri" w:cs="Arial"/>
                <w:i/>
                <w:iCs/>
                <w:sz w:val="20"/>
                <w:szCs w:val="20"/>
                <w:lang w:eastAsia="cs-CZ"/>
              </w:rPr>
            </w:pPr>
            <w:r w:rsidRPr="009D2A3C">
              <w:rPr>
                <w:rFonts w:ascii="Calibri" w:eastAsia="Times New Roman" w:hAnsi="Calibri" w:cs="Arial"/>
                <w:i/>
                <w:iCs/>
                <w:sz w:val="20"/>
                <w:szCs w:val="20"/>
                <w:lang w:eastAsia="cs-CZ"/>
              </w:rPr>
              <w:t>95,6</w:t>
            </w:r>
          </w:p>
        </w:tc>
      </w:tr>
      <w:tr w:rsidR="009D2A3C" w:rsidRPr="009D2A3C" w14:paraId="5F511076" w14:textId="77777777" w:rsidTr="009D2A3C">
        <w:trPr>
          <w:trHeight w:val="300"/>
        </w:trPr>
        <w:tc>
          <w:tcPr>
            <w:tcW w:w="853" w:type="dxa"/>
            <w:tcBorders>
              <w:top w:val="nil"/>
              <w:left w:val="single" w:sz="8" w:space="0" w:color="auto"/>
              <w:bottom w:val="single" w:sz="4" w:space="0" w:color="auto"/>
              <w:right w:val="single" w:sz="4" w:space="0" w:color="auto"/>
            </w:tcBorders>
            <w:shd w:val="clear" w:color="auto" w:fill="auto"/>
            <w:noWrap/>
            <w:vAlign w:val="bottom"/>
            <w:hideMark/>
          </w:tcPr>
          <w:p w14:paraId="65E2965A" w14:textId="77777777" w:rsidR="009D2A3C" w:rsidRPr="009D2A3C" w:rsidRDefault="009D2A3C" w:rsidP="009D2A3C">
            <w:pPr>
              <w:spacing w:after="0" w:line="240" w:lineRule="auto"/>
              <w:jc w:val="center"/>
              <w:rPr>
                <w:rFonts w:ascii="Calibri" w:eastAsia="Times New Roman" w:hAnsi="Calibri" w:cs="Arial"/>
                <w:i/>
                <w:iCs/>
                <w:sz w:val="20"/>
                <w:szCs w:val="20"/>
                <w:lang w:eastAsia="cs-CZ"/>
              </w:rPr>
            </w:pPr>
            <w:r w:rsidRPr="009D2A3C">
              <w:rPr>
                <w:rFonts w:ascii="Calibri" w:eastAsia="Times New Roman" w:hAnsi="Calibri" w:cs="Arial"/>
                <w:i/>
                <w:iCs/>
                <w:sz w:val="20"/>
                <w:szCs w:val="20"/>
                <w:lang w:eastAsia="cs-CZ"/>
              </w:rPr>
              <w:t> </w:t>
            </w:r>
          </w:p>
        </w:tc>
        <w:tc>
          <w:tcPr>
            <w:tcW w:w="2945" w:type="dxa"/>
            <w:tcBorders>
              <w:top w:val="nil"/>
              <w:left w:val="nil"/>
              <w:bottom w:val="single" w:sz="4" w:space="0" w:color="auto"/>
              <w:right w:val="single" w:sz="4" w:space="0" w:color="auto"/>
            </w:tcBorders>
            <w:shd w:val="clear" w:color="auto" w:fill="auto"/>
            <w:vAlign w:val="bottom"/>
            <w:hideMark/>
          </w:tcPr>
          <w:p w14:paraId="40AEE1A6" w14:textId="77777777" w:rsidR="009D2A3C" w:rsidRPr="009D2A3C" w:rsidRDefault="009D2A3C" w:rsidP="009D2A3C">
            <w:pPr>
              <w:spacing w:after="0" w:line="240" w:lineRule="auto"/>
              <w:rPr>
                <w:rFonts w:ascii="Calibri" w:eastAsia="Times New Roman" w:hAnsi="Calibri" w:cs="Arial"/>
                <w:i/>
                <w:iCs/>
                <w:sz w:val="20"/>
                <w:szCs w:val="20"/>
                <w:lang w:eastAsia="cs-CZ"/>
              </w:rPr>
            </w:pPr>
            <w:r w:rsidRPr="009D2A3C">
              <w:rPr>
                <w:rFonts w:ascii="Calibri" w:eastAsia="Times New Roman" w:hAnsi="Calibri" w:cs="Arial"/>
                <w:i/>
                <w:iCs/>
                <w:sz w:val="20"/>
                <w:szCs w:val="20"/>
                <w:lang w:eastAsia="cs-CZ"/>
              </w:rPr>
              <w:t>výdaje na opravy a údržbu majetku</w:t>
            </w:r>
          </w:p>
        </w:tc>
        <w:tc>
          <w:tcPr>
            <w:tcW w:w="1403" w:type="dxa"/>
            <w:tcBorders>
              <w:top w:val="nil"/>
              <w:left w:val="nil"/>
              <w:bottom w:val="single" w:sz="4" w:space="0" w:color="auto"/>
              <w:right w:val="single" w:sz="4" w:space="0" w:color="auto"/>
            </w:tcBorders>
            <w:shd w:val="clear" w:color="auto" w:fill="auto"/>
            <w:noWrap/>
            <w:vAlign w:val="bottom"/>
            <w:hideMark/>
          </w:tcPr>
          <w:p w14:paraId="101366D0" w14:textId="77777777" w:rsidR="009D2A3C" w:rsidRPr="009D2A3C" w:rsidRDefault="009D2A3C" w:rsidP="009D2A3C">
            <w:pPr>
              <w:spacing w:after="0" w:line="240" w:lineRule="auto"/>
              <w:jc w:val="right"/>
              <w:rPr>
                <w:rFonts w:ascii="Calibri" w:eastAsia="Times New Roman" w:hAnsi="Calibri" w:cs="Arial"/>
                <w:i/>
                <w:iCs/>
                <w:sz w:val="20"/>
                <w:szCs w:val="20"/>
                <w:lang w:eastAsia="cs-CZ"/>
              </w:rPr>
            </w:pPr>
            <w:r w:rsidRPr="009D2A3C">
              <w:rPr>
                <w:rFonts w:ascii="Calibri" w:eastAsia="Times New Roman" w:hAnsi="Calibri" w:cs="Arial"/>
                <w:i/>
                <w:iCs/>
                <w:sz w:val="20"/>
                <w:szCs w:val="20"/>
                <w:lang w:eastAsia="cs-CZ"/>
              </w:rPr>
              <w:t>500 000</w:t>
            </w:r>
          </w:p>
        </w:tc>
        <w:tc>
          <w:tcPr>
            <w:tcW w:w="1760" w:type="dxa"/>
            <w:tcBorders>
              <w:top w:val="nil"/>
              <w:left w:val="nil"/>
              <w:bottom w:val="single" w:sz="4" w:space="0" w:color="auto"/>
              <w:right w:val="single" w:sz="4" w:space="0" w:color="auto"/>
            </w:tcBorders>
            <w:shd w:val="clear" w:color="auto" w:fill="auto"/>
            <w:noWrap/>
            <w:vAlign w:val="bottom"/>
            <w:hideMark/>
          </w:tcPr>
          <w:p w14:paraId="535BF44E" w14:textId="77777777" w:rsidR="009D2A3C" w:rsidRPr="009D2A3C" w:rsidRDefault="009D2A3C" w:rsidP="009D2A3C">
            <w:pPr>
              <w:spacing w:after="0" w:line="240" w:lineRule="auto"/>
              <w:jc w:val="right"/>
              <w:rPr>
                <w:rFonts w:ascii="Calibri" w:eastAsia="Times New Roman" w:hAnsi="Calibri" w:cs="Arial"/>
                <w:i/>
                <w:iCs/>
                <w:sz w:val="20"/>
                <w:szCs w:val="20"/>
                <w:lang w:eastAsia="cs-CZ"/>
              </w:rPr>
            </w:pPr>
            <w:r w:rsidRPr="009D2A3C">
              <w:rPr>
                <w:rFonts w:ascii="Calibri" w:eastAsia="Times New Roman" w:hAnsi="Calibri" w:cs="Arial"/>
                <w:i/>
                <w:iCs/>
                <w:sz w:val="20"/>
                <w:szCs w:val="20"/>
                <w:lang w:eastAsia="cs-CZ"/>
              </w:rPr>
              <w:t>378 000,00</w:t>
            </w:r>
          </w:p>
        </w:tc>
        <w:tc>
          <w:tcPr>
            <w:tcW w:w="1610" w:type="dxa"/>
            <w:tcBorders>
              <w:top w:val="nil"/>
              <w:left w:val="nil"/>
              <w:bottom w:val="single" w:sz="4" w:space="0" w:color="auto"/>
              <w:right w:val="single" w:sz="4" w:space="0" w:color="auto"/>
            </w:tcBorders>
            <w:shd w:val="clear" w:color="auto" w:fill="auto"/>
            <w:noWrap/>
            <w:vAlign w:val="bottom"/>
            <w:hideMark/>
          </w:tcPr>
          <w:p w14:paraId="09B83DC4" w14:textId="77777777" w:rsidR="009D2A3C" w:rsidRPr="009D2A3C" w:rsidRDefault="009D2A3C" w:rsidP="009D2A3C">
            <w:pPr>
              <w:spacing w:after="0" w:line="240" w:lineRule="auto"/>
              <w:jc w:val="right"/>
              <w:rPr>
                <w:rFonts w:ascii="Calibri" w:eastAsia="Times New Roman" w:hAnsi="Calibri" w:cs="Arial"/>
                <w:i/>
                <w:iCs/>
                <w:sz w:val="20"/>
                <w:szCs w:val="20"/>
                <w:lang w:eastAsia="cs-CZ"/>
              </w:rPr>
            </w:pPr>
            <w:r w:rsidRPr="009D2A3C">
              <w:rPr>
                <w:rFonts w:ascii="Calibri" w:eastAsia="Times New Roman" w:hAnsi="Calibri" w:cs="Arial"/>
                <w:i/>
                <w:iCs/>
                <w:sz w:val="20"/>
                <w:szCs w:val="20"/>
                <w:lang w:eastAsia="cs-CZ"/>
              </w:rPr>
              <w:t>147 987,11</w:t>
            </w:r>
          </w:p>
        </w:tc>
        <w:tc>
          <w:tcPr>
            <w:tcW w:w="689" w:type="dxa"/>
            <w:tcBorders>
              <w:top w:val="nil"/>
              <w:left w:val="nil"/>
              <w:bottom w:val="single" w:sz="4" w:space="0" w:color="auto"/>
              <w:right w:val="single" w:sz="8" w:space="0" w:color="auto"/>
            </w:tcBorders>
            <w:shd w:val="clear" w:color="auto" w:fill="auto"/>
            <w:noWrap/>
            <w:vAlign w:val="bottom"/>
            <w:hideMark/>
          </w:tcPr>
          <w:p w14:paraId="7C262B1E" w14:textId="77777777" w:rsidR="009D2A3C" w:rsidRPr="009D2A3C" w:rsidRDefault="009D2A3C" w:rsidP="009D2A3C">
            <w:pPr>
              <w:spacing w:after="0" w:line="240" w:lineRule="auto"/>
              <w:jc w:val="right"/>
              <w:rPr>
                <w:rFonts w:ascii="Calibri" w:eastAsia="Times New Roman" w:hAnsi="Calibri" w:cs="Arial"/>
                <w:i/>
                <w:iCs/>
                <w:sz w:val="20"/>
                <w:szCs w:val="20"/>
                <w:lang w:eastAsia="cs-CZ"/>
              </w:rPr>
            </w:pPr>
            <w:r w:rsidRPr="009D2A3C">
              <w:rPr>
                <w:rFonts w:ascii="Calibri" w:eastAsia="Times New Roman" w:hAnsi="Calibri" w:cs="Arial"/>
                <w:i/>
                <w:iCs/>
                <w:sz w:val="20"/>
                <w:szCs w:val="20"/>
                <w:lang w:eastAsia="cs-CZ"/>
              </w:rPr>
              <w:t>39,2</w:t>
            </w:r>
          </w:p>
        </w:tc>
      </w:tr>
      <w:tr w:rsidR="009D2A3C" w:rsidRPr="009D2A3C" w14:paraId="08D17BB1" w14:textId="77777777" w:rsidTr="009D2A3C">
        <w:trPr>
          <w:trHeight w:val="300"/>
        </w:trPr>
        <w:tc>
          <w:tcPr>
            <w:tcW w:w="853" w:type="dxa"/>
            <w:tcBorders>
              <w:top w:val="nil"/>
              <w:left w:val="single" w:sz="8" w:space="0" w:color="auto"/>
              <w:bottom w:val="single" w:sz="4" w:space="0" w:color="auto"/>
              <w:right w:val="single" w:sz="4" w:space="0" w:color="auto"/>
            </w:tcBorders>
            <w:shd w:val="clear" w:color="auto" w:fill="auto"/>
            <w:noWrap/>
            <w:vAlign w:val="bottom"/>
            <w:hideMark/>
          </w:tcPr>
          <w:p w14:paraId="43F174BB" w14:textId="77777777" w:rsidR="009D2A3C" w:rsidRPr="009D2A3C" w:rsidRDefault="009D2A3C" w:rsidP="009D2A3C">
            <w:pPr>
              <w:spacing w:after="0" w:line="240" w:lineRule="auto"/>
              <w:jc w:val="center"/>
              <w:rPr>
                <w:rFonts w:ascii="Calibri" w:eastAsia="Times New Roman" w:hAnsi="Calibri" w:cs="Arial"/>
                <w:sz w:val="20"/>
                <w:szCs w:val="20"/>
                <w:lang w:eastAsia="cs-CZ"/>
              </w:rPr>
            </w:pPr>
            <w:r w:rsidRPr="009D2A3C">
              <w:rPr>
                <w:rFonts w:ascii="Calibri" w:eastAsia="Times New Roman" w:hAnsi="Calibri" w:cs="Arial"/>
                <w:sz w:val="20"/>
                <w:szCs w:val="20"/>
                <w:lang w:eastAsia="cs-CZ"/>
              </w:rPr>
              <w:t>6172</w:t>
            </w:r>
          </w:p>
        </w:tc>
        <w:tc>
          <w:tcPr>
            <w:tcW w:w="2945" w:type="dxa"/>
            <w:tcBorders>
              <w:top w:val="nil"/>
              <w:left w:val="nil"/>
              <w:bottom w:val="single" w:sz="4" w:space="0" w:color="auto"/>
              <w:right w:val="single" w:sz="4" w:space="0" w:color="auto"/>
            </w:tcBorders>
            <w:shd w:val="clear" w:color="auto" w:fill="auto"/>
            <w:vAlign w:val="bottom"/>
            <w:hideMark/>
          </w:tcPr>
          <w:p w14:paraId="2117F90F" w14:textId="77777777" w:rsidR="009D2A3C" w:rsidRPr="009D2A3C" w:rsidRDefault="009D2A3C" w:rsidP="009D2A3C">
            <w:pPr>
              <w:spacing w:after="0" w:line="240" w:lineRule="auto"/>
              <w:rPr>
                <w:rFonts w:ascii="Calibri" w:eastAsia="Times New Roman" w:hAnsi="Calibri" w:cs="Arial"/>
                <w:sz w:val="20"/>
                <w:szCs w:val="20"/>
                <w:lang w:eastAsia="cs-CZ"/>
              </w:rPr>
            </w:pPr>
            <w:r w:rsidRPr="009D2A3C">
              <w:rPr>
                <w:rFonts w:ascii="Calibri" w:eastAsia="Times New Roman" w:hAnsi="Calibri" w:cs="Arial"/>
                <w:sz w:val="20"/>
                <w:szCs w:val="20"/>
                <w:lang w:eastAsia="cs-CZ"/>
              </w:rPr>
              <w:t>Činnost regionální správy</w:t>
            </w:r>
          </w:p>
        </w:tc>
        <w:tc>
          <w:tcPr>
            <w:tcW w:w="1403" w:type="dxa"/>
            <w:tcBorders>
              <w:top w:val="nil"/>
              <w:left w:val="nil"/>
              <w:bottom w:val="single" w:sz="4" w:space="0" w:color="auto"/>
              <w:right w:val="single" w:sz="4" w:space="0" w:color="auto"/>
            </w:tcBorders>
            <w:shd w:val="clear" w:color="auto" w:fill="auto"/>
            <w:noWrap/>
            <w:vAlign w:val="bottom"/>
            <w:hideMark/>
          </w:tcPr>
          <w:p w14:paraId="2FBA8719"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41 872 000</w:t>
            </w:r>
          </w:p>
        </w:tc>
        <w:tc>
          <w:tcPr>
            <w:tcW w:w="1760" w:type="dxa"/>
            <w:tcBorders>
              <w:top w:val="nil"/>
              <w:left w:val="nil"/>
              <w:bottom w:val="single" w:sz="4" w:space="0" w:color="auto"/>
              <w:right w:val="single" w:sz="4" w:space="0" w:color="auto"/>
            </w:tcBorders>
            <w:shd w:val="clear" w:color="auto" w:fill="auto"/>
            <w:noWrap/>
            <w:vAlign w:val="bottom"/>
            <w:hideMark/>
          </w:tcPr>
          <w:p w14:paraId="21DD8AF9"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42 194 463,06</w:t>
            </w:r>
          </w:p>
        </w:tc>
        <w:tc>
          <w:tcPr>
            <w:tcW w:w="1610" w:type="dxa"/>
            <w:tcBorders>
              <w:top w:val="nil"/>
              <w:left w:val="nil"/>
              <w:bottom w:val="single" w:sz="4" w:space="0" w:color="auto"/>
              <w:right w:val="single" w:sz="4" w:space="0" w:color="auto"/>
            </w:tcBorders>
            <w:shd w:val="clear" w:color="auto" w:fill="auto"/>
            <w:noWrap/>
            <w:vAlign w:val="bottom"/>
            <w:hideMark/>
          </w:tcPr>
          <w:p w14:paraId="4B293179"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9 086 337,55</w:t>
            </w:r>
          </w:p>
        </w:tc>
        <w:tc>
          <w:tcPr>
            <w:tcW w:w="689" w:type="dxa"/>
            <w:tcBorders>
              <w:top w:val="nil"/>
              <w:left w:val="nil"/>
              <w:bottom w:val="single" w:sz="4" w:space="0" w:color="auto"/>
              <w:right w:val="single" w:sz="8" w:space="0" w:color="auto"/>
            </w:tcBorders>
            <w:shd w:val="clear" w:color="auto" w:fill="auto"/>
            <w:noWrap/>
            <w:vAlign w:val="bottom"/>
            <w:hideMark/>
          </w:tcPr>
          <w:p w14:paraId="065BBF95"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21,5</w:t>
            </w:r>
          </w:p>
        </w:tc>
      </w:tr>
      <w:tr w:rsidR="009D2A3C" w:rsidRPr="009D2A3C" w14:paraId="2F45D6DC" w14:textId="77777777" w:rsidTr="009D2A3C">
        <w:trPr>
          <w:trHeight w:val="300"/>
        </w:trPr>
        <w:tc>
          <w:tcPr>
            <w:tcW w:w="853" w:type="dxa"/>
            <w:tcBorders>
              <w:top w:val="nil"/>
              <w:left w:val="single" w:sz="8" w:space="0" w:color="auto"/>
              <w:bottom w:val="single" w:sz="4" w:space="0" w:color="auto"/>
              <w:right w:val="single" w:sz="4" w:space="0" w:color="auto"/>
            </w:tcBorders>
            <w:shd w:val="clear" w:color="auto" w:fill="auto"/>
            <w:noWrap/>
            <w:vAlign w:val="bottom"/>
            <w:hideMark/>
          </w:tcPr>
          <w:p w14:paraId="6782F07E" w14:textId="77777777" w:rsidR="009D2A3C" w:rsidRPr="009D2A3C" w:rsidRDefault="009D2A3C" w:rsidP="009D2A3C">
            <w:pPr>
              <w:spacing w:after="0" w:line="240" w:lineRule="auto"/>
              <w:jc w:val="center"/>
              <w:rPr>
                <w:rFonts w:ascii="Calibri" w:eastAsia="Times New Roman" w:hAnsi="Calibri" w:cs="Arial"/>
                <w:i/>
                <w:iCs/>
                <w:sz w:val="20"/>
                <w:szCs w:val="20"/>
                <w:lang w:eastAsia="cs-CZ"/>
              </w:rPr>
            </w:pPr>
            <w:r w:rsidRPr="009D2A3C">
              <w:rPr>
                <w:rFonts w:ascii="Calibri" w:eastAsia="Times New Roman" w:hAnsi="Calibri" w:cs="Arial"/>
                <w:i/>
                <w:iCs/>
                <w:sz w:val="20"/>
                <w:szCs w:val="20"/>
                <w:lang w:eastAsia="cs-CZ"/>
              </w:rPr>
              <w:t> </w:t>
            </w:r>
          </w:p>
        </w:tc>
        <w:tc>
          <w:tcPr>
            <w:tcW w:w="8407" w:type="dxa"/>
            <w:gridSpan w:val="5"/>
            <w:tcBorders>
              <w:top w:val="single" w:sz="4" w:space="0" w:color="auto"/>
              <w:left w:val="nil"/>
              <w:bottom w:val="single" w:sz="4" w:space="0" w:color="auto"/>
              <w:right w:val="single" w:sz="8" w:space="0" w:color="000000"/>
            </w:tcBorders>
            <w:shd w:val="clear" w:color="auto" w:fill="auto"/>
            <w:vAlign w:val="bottom"/>
            <w:hideMark/>
          </w:tcPr>
          <w:p w14:paraId="2550FEA5" w14:textId="77777777" w:rsidR="009D2A3C" w:rsidRPr="009D2A3C" w:rsidRDefault="009D2A3C" w:rsidP="009D2A3C">
            <w:pPr>
              <w:spacing w:after="0" w:line="240" w:lineRule="auto"/>
              <w:rPr>
                <w:rFonts w:ascii="Calibri" w:eastAsia="Times New Roman" w:hAnsi="Calibri" w:cs="Arial"/>
                <w:sz w:val="20"/>
                <w:szCs w:val="20"/>
                <w:lang w:eastAsia="cs-CZ"/>
              </w:rPr>
            </w:pPr>
            <w:r w:rsidRPr="009D2A3C">
              <w:rPr>
                <w:rFonts w:ascii="Calibri" w:eastAsia="Times New Roman" w:hAnsi="Calibri" w:cs="Arial"/>
                <w:sz w:val="20"/>
                <w:szCs w:val="20"/>
                <w:lang w:eastAsia="cs-CZ"/>
              </w:rPr>
              <w:t>z toho:</w:t>
            </w:r>
          </w:p>
        </w:tc>
      </w:tr>
      <w:tr w:rsidR="009D2A3C" w:rsidRPr="009D2A3C" w14:paraId="457C6AD0" w14:textId="77777777" w:rsidTr="009D2A3C">
        <w:trPr>
          <w:trHeight w:val="300"/>
        </w:trPr>
        <w:tc>
          <w:tcPr>
            <w:tcW w:w="853" w:type="dxa"/>
            <w:tcBorders>
              <w:top w:val="nil"/>
              <w:left w:val="single" w:sz="8" w:space="0" w:color="auto"/>
              <w:bottom w:val="single" w:sz="4" w:space="0" w:color="auto"/>
              <w:right w:val="single" w:sz="4" w:space="0" w:color="auto"/>
            </w:tcBorders>
            <w:shd w:val="clear" w:color="auto" w:fill="auto"/>
            <w:noWrap/>
            <w:vAlign w:val="bottom"/>
            <w:hideMark/>
          </w:tcPr>
          <w:p w14:paraId="25508460" w14:textId="77777777" w:rsidR="009D2A3C" w:rsidRPr="009D2A3C" w:rsidRDefault="009D2A3C" w:rsidP="009D2A3C">
            <w:pPr>
              <w:spacing w:after="0" w:line="240" w:lineRule="auto"/>
              <w:jc w:val="center"/>
              <w:rPr>
                <w:rFonts w:ascii="Calibri" w:eastAsia="Times New Roman" w:hAnsi="Calibri" w:cs="Arial"/>
                <w:i/>
                <w:iCs/>
                <w:sz w:val="20"/>
                <w:szCs w:val="20"/>
                <w:lang w:eastAsia="cs-CZ"/>
              </w:rPr>
            </w:pPr>
            <w:r w:rsidRPr="009D2A3C">
              <w:rPr>
                <w:rFonts w:ascii="Calibri" w:eastAsia="Times New Roman" w:hAnsi="Calibri" w:cs="Arial"/>
                <w:i/>
                <w:iCs/>
                <w:sz w:val="20"/>
                <w:szCs w:val="20"/>
                <w:lang w:eastAsia="cs-CZ"/>
              </w:rPr>
              <w:t> </w:t>
            </w:r>
          </w:p>
        </w:tc>
        <w:tc>
          <w:tcPr>
            <w:tcW w:w="2945" w:type="dxa"/>
            <w:tcBorders>
              <w:top w:val="nil"/>
              <w:left w:val="nil"/>
              <w:bottom w:val="single" w:sz="4" w:space="0" w:color="auto"/>
              <w:right w:val="single" w:sz="4" w:space="0" w:color="auto"/>
            </w:tcBorders>
            <w:shd w:val="clear" w:color="auto" w:fill="auto"/>
            <w:vAlign w:val="bottom"/>
            <w:hideMark/>
          </w:tcPr>
          <w:p w14:paraId="1CF3112C" w14:textId="77777777" w:rsidR="009D2A3C" w:rsidRPr="009D2A3C" w:rsidRDefault="009D2A3C" w:rsidP="009D2A3C">
            <w:pPr>
              <w:spacing w:after="0" w:line="240" w:lineRule="auto"/>
              <w:rPr>
                <w:rFonts w:ascii="Calibri" w:eastAsia="Times New Roman" w:hAnsi="Calibri" w:cs="Arial"/>
                <w:i/>
                <w:iCs/>
                <w:sz w:val="20"/>
                <w:szCs w:val="20"/>
                <w:lang w:eastAsia="cs-CZ"/>
              </w:rPr>
            </w:pPr>
            <w:r w:rsidRPr="009D2A3C">
              <w:rPr>
                <w:rFonts w:ascii="Calibri" w:eastAsia="Times New Roman" w:hAnsi="Calibri" w:cs="Arial"/>
                <w:i/>
                <w:iCs/>
                <w:sz w:val="20"/>
                <w:szCs w:val="20"/>
                <w:lang w:eastAsia="cs-CZ"/>
              </w:rPr>
              <w:t>mzdové výdaje</w:t>
            </w:r>
          </w:p>
        </w:tc>
        <w:tc>
          <w:tcPr>
            <w:tcW w:w="1403" w:type="dxa"/>
            <w:tcBorders>
              <w:top w:val="nil"/>
              <w:left w:val="nil"/>
              <w:bottom w:val="single" w:sz="4" w:space="0" w:color="auto"/>
              <w:right w:val="single" w:sz="4" w:space="0" w:color="auto"/>
            </w:tcBorders>
            <w:shd w:val="clear" w:color="auto" w:fill="auto"/>
            <w:noWrap/>
            <w:vAlign w:val="bottom"/>
            <w:hideMark/>
          </w:tcPr>
          <w:p w14:paraId="33E68499" w14:textId="77777777" w:rsidR="009D2A3C" w:rsidRPr="009D2A3C" w:rsidRDefault="009D2A3C" w:rsidP="009D2A3C">
            <w:pPr>
              <w:spacing w:after="0" w:line="240" w:lineRule="auto"/>
              <w:jc w:val="right"/>
              <w:rPr>
                <w:rFonts w:ascii="Calibri" w:eastAsia="Times New Roman" w:hAnsi="Calibri" w:cs="Arial"/>
                <w:i/>
                <w:iCs/>
                <w:sz w:val="20"/>
                <w:szCs w:val="20"/>
                <w:lang w:eastAsia="cs-CZ"/>
              </w:rPr>
            </w:pPr>
            <w:r w:rsidRPr="009D2A3C">
              <w:rPr>
                <w:rFonts w:ascii="Calibri" w:eastAsia="Times New Roman" w:hAnsi="Calibri" w:cs="Arial"/>
                <w:i/>
                <w:iCs/>
                <w:sz w:val="20"/>
                <w:szCs w:val="20"/>
                <w:lang w:eastAsia="cs-CZ"/>
              </w:rPr>
              <w:t>482 000</w:t>
            </w:r>
          </w:p>
        </w:tc>
        <w:tc>
          <w:tcPr>
            <w:tcW w:w="1760" w:type="dxa"/>
            <w:tcBorders>
              <w:top w:val="nil"/>
              <w:left w:val="nil"/>
              <w:bottom w:val="single" w:sz="4" w:space="0" w:color="auto"/>
              <w:right w:val="single" w:sz="4" w:space="0" w:color="auto"/>
            </w:tcBorders>
            <w:shd w:val="clear" w:color="auto" w:fill="auto"/>
            <w:noWrap/>
            <w:vAlign w:val="bottom"/>
            <w:hideMark/>
          </w:tcPr>
          <w:p w14:paraId="2D79C397" w14:textId="77777777" w:rsidR="009D2A3C" w:rsidRPr="009D2A3C" w:rsidRDefault="009D2A3C" w:rsidP="009D2A3C">
            <w:pPr>
              <w:spacing w:after="0" w:line="240" w:lineRule="auto"/>
              <w:jc w:val="right"/>
              <w:rPr>
                <w:rFonts w:ascii="Calibri" w:eastAsia="Times New Roman" w:hAnsi="Calibri" w:cs="Arial"/>
                <w:i/>
                <w:iCs/>
                <w:sz w:val="20"/>
                <w:szCs w:val="20"/>
                <w:lang w:eastAsia="cs-CZ"/>
              </w:rPr>
            </w:pPr>
            <w:r w:rsidRPr="009D2A3C">
              <w:rPr>
                <w:rFonts w:ascii="Calibri" w:eastAsia="Times New Roman" w:hAnsi="Calibri" w:cs="Arial"/>
                <w:i/>
                <w:iCs/>
                <w:sz w:val="20"/>
                <w:szCs w:val="20"/>
                <w:lang w:eastAsia="cs-CZ"/>
              </w:rPr>
              <w:t>482 000,00</w:t>
            </w:r>
          </w:p>
        </w:tc>
        <w:tc>
          <w:tcPr>
            <w:tcW w:w="1610" w:type="dxa"/>
            <w:tcBorders>
              <w:top w:val="nil"/>
              <w:left w:val="nil"/>
              <w:bottom w:val="single" w:sz="4" w:space="0" w:color="auto"/>
              <w:right w:val="single" w:sz="4" w:space="0" w:color="auto"/>
            </w:tcBorders>
            <w:shd w:val="clear" w:color="auto" w:fill="auto"/>
            <w:noWrap/>
            <w:vAlign w:val="bottom"/>
            <w:hideMark/>
          </w:tcPr>
          <w:p w14:paraId="335141D0" w14:textId="77777777" w:rsidR="009D2A3C" w:rsidRPr="009D2A3C" w:rsidRDefault="009D2A3C" w:rsidP="009D2A3C">
            <w:pPr>
              <w:spacing w:after="0" w:line="240" w:lineRule="auto"/>
              <w:jc w:val="right"/>
              <w:rPr>
                <w:rFonts w:ascii="Calibri" w:eastAsia="Times New Roman" w:hAnsi="Calibri" w:cs="Arial"/>
                <w:i/>
                <w:iCs/>
                <w:sz w:val="20"/>
                <w:szCs w:val="20"/>
                <w:lang w:eastAsia="cs-CZ"/>
              </w:rPr>
            </w:pPr>
            <w:r w:rsidRPr="009D2A3C">
              <w:rPr>
                <w:rFonts w:ascii="Calibri" w:eastAsia="Times New Roman" w:hAnsi="Calibri" w:cs="Arial"/>
                <w:i/>
                <w:iCs/>
                <w:sz w:val="20"/>
                <w:szCs w:val="20"/>
                <w:lang w:eastAsia="cs-CZ"/>
              </w:rPr>
              <w:t>0,00</w:t>
            </w:r>
          </w:p>
        </w:tc>
        <w:tc>
          <w:tcPr>
            <w:tcW w:w="689" w:type="dxa"/>
            <w:tcBorders>
              <w:top w:val="nil"/>
              <w:left w:val="nil"/>
              <w:bottom w:val="single" w:sz="4" w:space="0" w:color="auto"/>
              <w:right w:val="single" w:sz="8" w:space="0" w:color="auto"/>
            </w:tcBorders>
            <w:shd w:val="clear" w:color="auto" w:fill="auto"/>
            <w:noWrap/>
            <w:vAlign w:val="bottom"/>
            <w:hideMark/>
          </w:tcPr>
          <w:p w14:paraId="4F5686C1" w14:textId="77777777" w:rsidR="009D2A3C" w:rsidRPr="009D2A3C" w:rsidRDefault="009D2A3C" w:rsidP="009D2A3C">
            <w:pPr>
              <w:spacing w:after="0" w:line="240" w:lineRule="auto"/>
              <w:jc w:val="right"/>
              <w:rPr>
                <w:rFonts w:ascii="Calibri" w:eastAsia="Times New Roman" w:hAnsi="Calibri" w:cs="Arial"/>
                <w:i/>
                <w:iCs/>
                <w:sz w:val="20"/>
                <w:szCs w:val="20"/>
                <w:lang w:eastAsia="cs-CZ"/>
              </w:rPr>
            </w:pPr>
            <w:r w:rsidRPr="009D2A3C">
              <w:rPr>
                <w:rFonts w:ascii="Calibri" w:eastAsia="Times New Roman" w:hAnsi="Calibri" w:cs="Arial"/>
                <w:i/>
                <w:iCs/>
                <w:sz w:val="20"/>
                <w:szCs w:val="20"/>
                <w:lang w:eastAsia="cs-CZ"/>
              </w:rPr>
              <w:t>0,0</w:t>
            </w:r>
          </w:p>
        </w:tc>
      </w:tr>
      <w:tr w:rsidR="009D2A3C" w:rsidRPr="009D2A3C" w14:paraId="440E3435" w14:textId="77777777" w:rsidTr="009D2A3C">
        <w:trPr>
          <w:trHeight w:val="300"/>
        </w:trPr>
        <w:tc>
          <w:tcPr>
            <w:tcW w:w="853" w:type="dxa"/>
            <w:tcBorders>
              <w:top w:val="nil"/>
              <w:left w:val="single" w:sz="8" w:space="0" w:color="auto"/>
              <w:bottom w:val="single" w:sz="4" w:space="0" w:color="auto"/>
              <w:right w:val="single" w:sz="4" w:space="0" w:color="auto"/>
            </w:tcBorders>
            <w:shd w:val="clear" w:color="auto" w:fill="auto"/>
            <w:noWrap/>
            <w:vAlign w:val="bottom"/>
            <w:hideMark/>
          </w:tcPr>
          <w:p w14:paraId="511A7917" w14:textId="77777777" w:rsidR="009D2A3C" w:rsidRPr="009D2A3C" w:rsidRDefault="009D2A3C" w:rsidP="009D2A3C">
            <w:pPr>
              <w:spacing w:after="0" w:line="240" w:lineRule="auto"/>
              <w:jc w:val="center"/>
              <w:rPr>
                <w:rFonts w:ascii="Calibri" w:eastAsia="Times New Roman" w:hAnsi="Calibri" w:cs="Arial"/>
                <w:sz w:val="20"/>
                <w:szCs w:val="20"/>
                <w:lang w:eastAsia="cs-CZ"/>
              </w:rPr>
            </w:pPr>
            <w:r w:rsidRPr="009D2A3C">
              <w:rPr>
                <w:rFonts w:ascii="Calibri" w:eastAsia="Times New Roman" w:hAnsi="Calibri" w:cs="Arial"/>
                <w:sz w:val="20"/>
                <w:szCs w:val="20"/>
                <w:lang w:eastAsia="cs-CZ"/>
              </w:rPr>
              <w:t>6223</w:t>
            </w:r>
          </w:p>
        </w:tc>
        <w:tc>
          <w:tcPr>
            <w:tcW w:w="2945" w:type="dxa"/>
            <w:tcBorders>
              <w:top w:val="nil"/>
              <w:left w:val="nil"/>
              <w:bottom w:val="single" w:sz="4" w:space="0" w:color="auto"/>
              <w:right w:val="single" w:sz="4" w:space="0" w:color="auto"/>
            </w:tcBorders>
            <w:shd w:val="clear" w:color="auto" w:fill="auto"/>
            <w:vAlign w:val="bottom"/>
            <w:hideMark/>
          </w:tcPr>
          <w:p w14:paraId="7FA444CA" w14:textId="77777777" w:rsidR="009D2A3C" w:rsidRPr="009D2A3C" w:rsidRDefault="009D2A3C" w:rsidP="009D2A3C">
            <w:pPr>
              <w:spacing w:after="0" w:line="240" w:lineRule="auto"/>
              <w:rPr>
                <w:rFonts w:ascii="Calibri" w:eastAsia="Times New Roman" w:hAnsi="Calibri" w:cs="Arial"/>
                <w:sz w:val="20"/>
                <w:szCs w:val="20"/>
                <w:lang w:eastAsia="cs-CZ"/>
              </w:rPr>
            </w:pPr>
            <w:r w:rsidRPr="009D2A3C">
              <w:rPr>
                <w:rFonts w:ascii="Calibri" w:eastAsia="Times New Roman" w:hAnsi="Calibri" w:cs="Arial"/>
                <w:sz w:val="20"/>
                <w:szCs w:val="20"/>
                <w:lang w:eastAsia="cs-CZ"/>
              </w:rPr>
              <w:t>Mezinárodní spolupráce (jinde nezařazená)</w:t>
            </w:r>
          </w:p>
        </w:tc>
        <w:tc>
          <w:tcPr>
            <w:tcW w:w="1403" w:type="dxa"/>
            <w:tcBorders>
              <w:top w:val="nil"/>
              <w:left w:val="nil"/>
              <w:bottom w:val="single" w:sz="4" w:space="0" w:color="auto"/>
              <w:right w:val="single" w:sz="4" w:space="0" w:color="auto"/>
            </w:tcBorders>
            <w:shd w:val="clear" w:color="auto" w:fill="auto"/>
            <w:noWrap/>
            <w:vAlign w:val="bottom"/>
            <w:hideMark/>
          </w:tcPr>
          <w:p w14:paraId="5BEFE6A0"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6 200 000</w:t>
            </w:r>
          </w:p>
        </w:tc>
        <w:tc>
          <w:tcPr>
            <w:tcW w:w="1760" w:type="dxa"/>
            <w:tcBorders>
              <w:top w:val="nil"/>
              <w:left w:val="nil"/>
              <w:bottom w:val="single" w:sz="4" w:space="0" w:color="auto"/>
              <w:right w:val="single" w:sz="4" w:space="0" w:color="auto"/>
            </w:tcBorders>
            <w:shd w:val="clear" w:color="auto" w:fill="auto"/>
            <w:noWrap/>
            <w:vAlign w:val="bottom"/>
            <w:hideMark/>
          </w:tcPr>
          <w:p w14:paraId="1D6F8209"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6 314 282,00</w:t>
            </w:r>
          </w:p>
        </w:tc>
        <w:tc>
          <w:tcPr>
            <w:tcW w:w="1610" w:type="dxa"/>
            <w:tcBorders>
              <w:top w:val="nil"/>
              <w:left w:val="nil"/>
              <w:bottom w:val="single" w:sz="4" w:space="0" w:color="auto"/>
              <w:right w:val="single" w:sz="4" w:space="0" w:color="auto"/>
            </w:tcBorders>
            <w:shd w:val="clear" w:color="auto" w:fill="auto"/>
            <w:noWrap/>
            <w:vAlign w:val="bottom"/>
            <w:hideMark/>
          </w:tcPr>
          <w:p w14:paraId="59DC5B0D"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496 158,53</w:t>
            </w:r>
          </w:p>
        </w:tc>
        <w:tc>
          <w:tcPr>
            <w:tcW w:w="689" w:type="dxa"/>
            <w:tcBorders>
              <w:top w:val="nil"/>
              <w:left w:val="nil"/>
              <w:bottom w:val="single" w:sz="4" w:space="0" w:color="auto"/>
              <w:right w:val="single" w:sz="8" w:space="0" w:color="auto"/>
            </w:tcBorders>
            <w:shd w:val="clear" w:color="auto" w:fill="auto"/>
            <w:noWrap/>
            <w:vAlign w:val="bottom"/>
            <w:hideMark/>
          </w:tcPr>
          <w:p w14:paraId="759DDC02"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7,9</w:t>
            </w:r>
          </w:p>
        </w:tc>
      </w:tr>
      <w:tr w:rsidR="009D2A3C" w:rsidRPr="009D2A3C" w14:paraId="7C126B82" w14:textId="77777777" w:rsidTr="009D2A3C">
        <w:trPr>
          <w:trHeight w:val="300"/>
        </w:trPr>
        <w:tc>
          <w:tcPr>
            <w:tcW w:w="853" w:type="dxa"/>
            <w:tcBorders>
              <w:top w:val="nil"/>
              <w:left w:val="single" w:sz="8" w:space="0" w:color="auto"/>
              <w:bottom w:val="single" w:sz="4" w:space="0" w:color="auto"/>
              <w:right w:val="single" w:sz="4" w:space="0" w:color="auto"/>
            </w:tcBorders>
            <w:shd w:val="clear" w:color="auto" w:fill="auto"/>
            <w:noWrap/>
            <w:vAlign w:val="bottom"/>
            <w:hideMark/>
          </w:tcPr>
          <w:p w14:paraId="6FF5BC47" w14:textId="77777777" w:rsidR="009D2A3C" w:rsidRPr="009D2A3C" w:rsidRDefault="009D2A3C" w:rsidP="009D2A3C">
            <w:pPr>
              <w:spacing w:after="0" w:line="240" w:lineRule="auto"/>
              <w:jc w:val="center"/>
              <w:rPr>
                <w:rFonts w:ascii="Calibri" w:eastAsia="Times New Roman" w:hAnsi="Calibri" w:cs="Arial"/>
                <w:sz w:val="20"/>
                <w:szCs w:val="20"/>
                <w:lang w:eastAsia="cs-CZ"/>
              </w:rPr>
            </w:pPr>
            <w:r w:rsidRPr="009D2A3C">
              <w:rPr>
                <w:rFonts w:ascii="Calibri" w:eastAsia="Times New Roman" w:hAnsi="Calibri" w:cs="Arial"/>
                <w:sz w:val="20"/>
                <w:szCs w:val="20"/>
                <w:lang w:eastAsia="cs-CZ"/>
              </w:rPr>
              <w:t>6330</w:t>
            </w:r>
          </w:p>
        </w:tc>
        <w:tc>
          <w:tcPr>
            <w:tcW w:w="2945" w:type="dxa"/>
            <w:tcBorders>
              <w:top w:val="nil"/>
              <w:left w:val="nil"/>
              <w:bottom w:val="single" w:sz="4" w:space="0" w:color="auto"/>
              <w:right w:val="single" w:sz="4" w:space="0" w:color="auto"/>
            </w:tcBorders>
            <w:shd w:val="clear" w:color="auto" w:fill="auto"/>
            <w:vAlign w:val="bottom"/>
            <w:hideMark/>
          </w:tcPr>
          <w:p w14:paraId="4144E6A1" w14:textId="77777777" w:rsidR="009D2A3C" w:rsidRPr="009D2A3C" w:rsidRDefault="009D2A3C" w:rsidP="009D2A3C">
            <w:pPr>
              <w:spacing w:after="0" w:line="240" w:lineRule="auto"/>
              <w:rPr>
                <w:rFonts w:ascii="Calibri" w:eastAsia="Times New Roman" w:hAnsi="Calibri" w:cs="Arial"/>
                <w:sz w:val="20"/>
                <w:szCs w:val="20"/>
                <w:lang w:eastAsia="cs-CZ"/>
              </w:rPr>
            </w:pPr>
            <w:r w:rsidRPr="009D2A3C">
              <w:rPr>
                <w:rFonts w:ascii="Calibri" w:eastAsia="Times New Roman" w:hAnsi="Calibri" w:cs="Arial"/>
                <w:sz w:val="20"/>
                <w:szCs w:val="20"/>
                <w:lang w:eastAsia="cs-CZ"/>
              </w:rPr>
              <w:t>Převody vlastním fondům v rozpočtech územní úrovně</w:t>
            </w:r>
          </w:p>
        </w:tc>
        <w:tc>
          <w:tcPr>
            <w:tcW w:w="1403" w:type="dxa"/>
            <w:tcBorders>
              <w:top w:val="nil"/>
              <w:left w:val="nil"/>
              <w:bottom w:val="single" w:sz="4" w:space="0" w:color="auto"/>
              <w:right w:val="single" w:sz="4" w:space="0" w:color="auto"/>
            </w:tcBorders>
            <w:shd w:val="clear" w:color="auto" w:fill="auto"/>
            <w:noWrap/>
            <w:vAlign w:val="bottom"/>
            <w:hideMark/>
          </w:tcPr>
          <w:p w14:paraId="0B508BA1"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0</w:t>
            </w:r>
          </w:p>
        </w:tc>
        <w:tc>
          <w:tcPr>
            <w:tcW w:w="1760" w:type="dxa"/>
            <w:tcBorders>
              <w:top w:val="nil"/>
              <w:left w:val="nil"/>
              <w:bottom w:val="single" w:sz="4" w:space="0" w:color="auto"/>
              <w:right w:val="single" w:sz="4" w:space="0" w:color="auto"/>
            </w:tcBorders>
            <w:shd w:val="clear" w:color="auto" w:fill="auto"/>
            <w:noWrap/>
            <w:vAlign w:val="bottom"/>
            <w:hideMark/>
          </w:tcPr>
          <w:p w14:paraId="2C094A80"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835 000,00</w:t>
            </w:r>
          </w:p>
        </w:tc>
        <w:tc>
          <w:tcPr>
            <w:tcW w:w="1610" w:type="dxa"/>
            <w:tcBorders>
              <w:top w:val="nil"/>
              <w:left w:val="nil"/>
              <w:bottom w:val="single" w:sz="4" w:space="0" w:color="auto"/>
              <w:right w:val="single" w:sz="4" w:space="0" w:color="auto"/>
            </w:tcBorders>
            <w:shd w:val="clear" w:color="auto" w:fill="auto"/>
            <w:noWrap/>
            <w:vAlign w:val="bottom"/>
            <w:hideMark/>
          </w:tcPr>
          <w:p w14:paraId="7B7BCE03"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835 000,00</w:t>
            </w:r>
          </w:p>
        </w:tc>
        <w:tc>
          <w:tcPr>
            <w:tcW w:w="689" w:type="dxa"/>
            <w:tcBorders>
              <w:top w:val="nil"/>
              <w:left w:val="nil"/>
              <w:bottom w:val="single" w:sz="4" w:space="0" w:color="auto"/>
              <w:right w:val="single" w:sz="8" w:space="0" w:color="auto"/>
            </w:tcBorders>
            <w:shd w:val="clear" w:color="auto" w:fill="auto"/>
            <w:noWrap/>
            <w:vAlign w:val="bottom"/>
            <w:hideMark/>
          </w:tcPr>
          <w:p w14:paraId="579B4E29"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100,0</w:t>
            </w:r>
          </w:p>
        </w:tc>
      </w:tr>
      <w:tr w:rsidR="009D2A3C" w:rsidRPr="009D2A3C" w14:paraId="5D010343" w14:textId="77777777" w:rsidTr="009D2A3C">
        <w:trPr>
          <w:trHeight w:val="300"/>
        </w:trPr>
        <w:tc>
          <w:tcPr>
            <w:tcW w:w="853" w:type="dxa"/>
            <w:tcBorders>
              <w:top w:val="nil"/>
              <w:left w:val="single" w:sz="8" w:space="0" w:color="auto"/>
              <w:bottom w:val="nil"/>
              <w:right w:val="single" w:sz="4" w:space="0" w:color="auto"/>
            </w:tcBorders>
            <w:shd w:val="clear" w:color="auto" w:fill="auto"/>
            <w:noWrap/>
            <w:vAlign w:val="bottom"/>
            <w:hideMark/>
          </w:tcPr>
          <w:p w14:paraId="69B35AA7" w14:textId="77777777" w:rsidR="009D2A3C" w:rsidRPr="009D2A3C" w:rsidRDefault="009D2A3C" w:rsidP="009D2A3C">
            <w:pPr>
              <w:spacing w:after="0" w:line="240" w:lineRule="auto"/>
              <w:jc w:val="center"/>
              <w:rPr>
                <w:rFonts w:ascii="Calibri" w:eastAsia="Times New Roman" w:hAnsi="Calibri" w:cs="Arial"/>
                <w:sz w:val="20"/>
                <w:szCs w:val="20"/>
                <w:lang w:eastAsia="cs-CZ"/>
              </w:rPr>
            </w:pPr>
            <w:r w:rsidRPr="009D2A3C">
              <w:rPr>
                <w:rFonts w:ascii="Calibri" w:eastAsia="Times New Roman" w:hAnsi="Calibri" w:cs="Arial"/>
                <w:sz w:val="20"/>
                <w:szCs w:val="20"/>
                <w:lang w:eastAsia="cs-CZ"/>
              </w:rPr>
              <w:t>6409</w:t>
            </w:r>
          </w:p>
        </w:tc>
        <w:tc>
          <w:tcPr>
            <w:tcW w:w="2945" w:type="dxa"/>
            <w:tcBorders>
              <w:top w:val="nil"/>
              <w:left w:val="nil"/>
              <w:bottom w:val="nil"/>
              <w:right w:val="single" w:sz="4" w:space="0" w:color="auto"/>
            </w:tcBorders>
            <w:shd w:val="clear" w:color="auto" w:fill="auto"/>
            <w:vAlign w:val="bottom"/>
            <w:hideMark/>
          </w:tcPr>
          <w:p w14:paraId="20A99F66" w14:textId="77777777" w:rsidR="009D2A3C" w:rsidRPr="009D2A3C" w:rsidRDefault="009D2A3C" w:rsidP="009D2A3C">
            <w:pPr>
              <w:spacing w:after="0" w:line="240" w:lineRule="auto"/>
              <w:rPr>
                <w:rFonts w:ascii="Calibri" w:eastAsia="Times New Roman" w:hAnsi="Calibri" w:cs="Arial"/>
                <w:sz w:val="20"/>
                <w:szCs w:val="20"/>
                <w:lang w:eastAsia="cs-CZ"/>
              </w:rPr>
            </w:pPr>
            <w:r w:rsidRPr="009D2A3C">
              <w:rPr>
                <w:rFonts w:ascii="Calibri" w:eastAsia="Times New Roman" w:hAnsi="Calibri" w:cs="Arial"/>
                <w:sz w:val="20"/>
                <w:szCs w:val="20"/>
                <w:lang w:eastAsia="cs-CZ"/>
              </w:rPr>
              <w:t>Ostatní činnosti jinde nezařazené - Sociální fond</w:t>
            </w:r>
          </w:p>
        </w:tc>
        <w:tc>
          <w:tcPr>
            <w:tcW w:w="1403" w:type="dxa"/>
            <w:tcBorders>
              <w:top w:val="nil"/>
              <w:left w:val="nil"/>
              <w:bottom w:val="nil"/>
              <w:right w:val="single" w:sz="4" w:space="0" w:color="auto"/>
            </w:tcBorders>
            <w:shd w:val="clear" w:color="auto" w:fill="auto"/>
            <w:noWrap/>
            <w:vAlign w:val="bottom"/>
            <w:hideMark/>
          </w:tcPr>
          <w:p w14:paraId="2654C0A8"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835 000</w:t>
            </w:r>
          </w:p>
        </w:tc>
        <w:tc>
          <w:tcPr>
            <w:tcW w:w="1760" w:type="dxa"/>
            <w:tcBorders>
              <w:top w:val="nil"/>
              <w:left w:val="nil"/>
              <w:bottom w:val="nil"/>
              <w:right w:val="single" w:sz="4" w:space="0" w:color="auto"/>
            </w:tcBorders>
            <w:shd w:val="clear" w:color="auto" w:fill="auto"/>
            <w:noWrap/>
            <w:vAlign w:val="bottom"/>
            <w:hideMark/>
          </w:tcPr>
          <w:p w14:paraId="1C6FB424"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0,00</w:t>
            </w:r>
          </w:p>
        </w:tc>
        <w:tc>
          <w:tcPr>
            <w:tcW w:w="1610" w:type="dxa"/>
            <w:tcBorders>
              <w:top w:val="nil"/>
              <w:left w:val="nil"/>
              <w:bottom w:val="nil"/>
              <w:right w:val="single" w:sz="4" w:space="0" w:color="auto"/>
            </w:tcBorders>
            <w:shd w:val="clear" w:color="auto" w:fill="auto"/>
            <w:noWrap/>
            <w:vAlign w:val="bottom"/>
            <w:hideMark/>
          </w:tcPr>
          <w:p w14:paraId="045E8B05"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0,00</w:t>
            </w:r>
          </w:p>
        </w:tc>
        <w:tc>
          <w:tcPr>
            <w:tcW w:w="689" w:type="dxa"/>
            <w:tcBorders>
              <w:top w:val="nil"/>
              <w:left w:val="nil"/>
              <w:bottom w:val="nil"/>
              <w:right w:val="single" w:sz="8" w:space="0" w:color="auto"/>
            </w:tcBorders>
            <w:shd w:val="clear" w:color="auto" w:fill="auto"/>
            <w:noWrap/>
            <w:vAlign w:val="bottom"/>
            <w:hideMark/>
          </w:tcPr>
          <w:p w14:paraId="3A07EC4C"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w:t>
            </w:r>
          </w:p>
        </w:tc>
      </w:tr>
      <w:tr w:rsidR="009D2A3C" w:rsidRPr="009D2A3C" w14:paraId="55849DC4" w14:textId="77777777" w:rsidTr="009D2A3C">
        <w:trPr>
          <w:trHeight w:val="320"/>
        </w:trPr>
        <w:tc>
          <w:tcPr>
            <w:tcW w:w="85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AE71183" w14:textId="77777777" w:rsidR="009D2A3C" w:rsidRPr="009D2A3C" w:rsidRDefault="009D2A3C" w:rsidP="009D2A3C">
            <w:pPr>
              <w:spacing w:after="0" w:line="240" w:lineRule="auto"/>
              <w:rPr>
                <w:rFonts w:ascii="Calibri" w:eastAsia="Times New Roman" w:hAnsi="Calibri" w:cs="Arial"/>
                <w:b/>
                <w:bCs/>
                <w:sz w:val="24"/>
                <w:szCs w:val="24"/>
                <w:lang w:eastAsia="cs-CZ"/>
              </w:rPr>
            </w:pPr>
            <w:r w:rsidRPr="009D2A3C">
              <w:rPr>
                <w:rFonts w:ascii="Calibri" w:eastAsia="Times New Roman" w:hAnsi="Calibri" w:cs="Arial"/>
                <w:b/>
                <w:bCs/>
                <w:sz w:val="24"/>
                <w:szCs w:val="24"/>
                <w:lang w:eastAsia="cs-CZ"/>
              </w:rPr>
              <w:t> </w:t>
            </w:r>
          </w:p>
        </w:tc>
        <w:tc>
          <w:tcPr>
            <w:tcW w:w="2945" w:type="dxa"/>
            <w:tcBorders>
              <w:top w:val="single" w:sz="8" w:space="0" w:color="auto"/>
              <w:left w:val="nil"/>
              <w:bottom w:val="single" w:sz="8" w:space="0" w:color="auto"/>
              <w:right w:val="single" w:sz="4" w:space="0" w:color="auto"/>
            </w:tcBorders>
            <w:shd w:val="clear" w:color="auto" w:fill="auto"/>
            <w:noWrap/>
            <w:vAlign w:val="center"/>
            <w:hideMark/>
          </w:tcPr>
          <w:p w14:paraId="5D977ED8" w14:textId="77777777" w:rsidR="009D2A3C" w:rsidRPr="009D2A3C" w:rsidRDefault="009D2A3C" w:rsidP="009D2A3C">
            <w:pPr>
              <w:spacing w:after="0" w:line="240" w:lineRule="auto"/>
              <w:rPr>
                <w:rFonts w:ascii="Calibri" w:eastAsia="Times New Roman" w:hAnsi="Calibri" w:cs="Arial"/>
                <w:b/>
                <w:bCs/>
                <w:lang w:eastAsia="cs-CZ"/>
              </w:rPr>
            </w:pPr>
            <w:r w:rsidRPr="009D2A3C">
              <w:rPr>
                <w:rFonts w:ascii="Calibri" w:eastAsia="Times New Roman" w:hAnsi="Calibri" w:cs="Arial"/>
                <w:b/>
                <w:bCs/>
                <w:lang w:eastAsia="cs-CZ"/>
              </w:rPr>
              <w:t>Celkem</w:t>
            </w:r>
          </w:p>
        </w:tc>
        <w:tc>
          <w:tcPr>
            <w:tcW w:w="1403" w:type="dxa"/>
            <w:tcBorders>
              <w:top w:val="single" w:sz="8" w:space="0" w:color="auto"/>
              <w:left w:val="nil"/>
              <w:bottom w:val="single" w:sz="8" w:space="0" w:color="auto"/>
              <w:right w:val="single" w:sz="4" w:space="0" w:color="auto"/>
            </w:tcBorders>
            <w:shd w:val="clear" w:color="auto" w:fill="auto"/>
            <w:noWrap/>
            <w:vAlign w:val="center"/>
            <w:hideMark/>
          </w:tcPr>
          <w:p w14:paraId="17E9FD69" w14:textId="77777777" w:rsidR="009D2A3C" w:rsidRPr="009D2A3C" w:rsidRDefault="009D2A3C" w:rsidP="009D2A3C">
            <w:pPr>
              <w:spacing w:after="0" w:line="240" w:lineRule="auto"/>
              <w:jc w:val="right"/>
              <w:rPr>
                <w:rFonts w:ascii="Calibri" w:eastAsia="Times New Roman" w:hAnsi="Calibri" w:cs="Arial"/>
                <w:b/>
                <w:bCs/>
                <w:lang w:eastAsia="cs-CZ"/>
              </w:rPr>
            </w:pPr>
            <w:r w:rsidRPr="009D2A3C">
              <w:rPr>
                <w:rFonts w:ascii="Calibri" w:eastAsia="Times New Roman" w:hAnsi="Calibri" w:cs="Arial"/>
                <w:b/>
                <w:bCs/>
                <w:lang w:eastAsia="cs-CZ"/>
              </w:rPr>
              <w:t>111 807 000</w:t>
            </w:r>
          </w:p>
        </w:tc>
        <w:tc>
          <w:tcPr>
            <w:tcW w:w="1760" w:type="dxa"/>
            <w:tcBorders>
              <w:top w:val="single" w:sz="8" w:space="0" w:color="auto"/>
              <w:left w:val="nil"/>
              <w:bottom w:val="single" w:sz="8" w:space="0" w:color="auto"/>
              <w:right w:val="single" w:sz="4" w:space="0" w:color="auto"/>
            </w:tcBorders>
            <w:shd w:val="clear" w:color="auto" w:fill="auto"/>
            <w:noWrap/>
            <w:vAlign w:val="center"/>
            <w:hideMark/>
          </w:tcPr>
          <w:p w14:paraId="06AB6FED" w14:textId="77777777" w:rsidR="009D2A3C" w:rsidRPr="009D2A3C" w:rsidRDefault="009D2A3C" w:rsidP="009D2A3C">
            <w:pPr>
              <w:spacing w:after="0" w:line="240" w:lineRule="auto"/>
              <w:jc w:val="right"/>
              <w:rPr>
                <w:rFonts w:ascii="Calibri" w:eastAsia="Times New Roman" w:hAnsi="Calibri" w:cs="Arial"/>
                <w:b/>
                <w:bCs/>
                <w:lang w:eastAsia="cs-CZ"/>
              </w:rPr>
            </w:pPr>
            <w:r w:rsidRPr="009D2A3C">
              <w:rPr>
                <w:rFonts w:ascii="Calibri" w:eastAsia="Times New Roman" w:hAnsi="Calibri" w:cs="Arial"/>
                <w:b/>
                <w:bCs/>
                <w:lang w:eastAsia="cs-CZ"/>
              </w:rPr>
              <w:t>113 941 524,16</w:t>
            </w:r>
          </w:p>
        </w:tc>
        <w:tc>
          <w:tcPr>
            <w:tcW w:w="1610" w:type="dxa"/>
            <w:tcBorders>
              <w:top w:val="single" w:sz="8" w:space="0" w:color="auto"/>
              <w:left w:val="nil"/>
              <w:bottom w:val="single" w:sz="8" w:space="0" w:color="auto"/>
              <w:right w:val="single" w:sz="4" w:space="0" w:color="auto"/>
            </w:tcBorders>
            <w:shd w:val="clear" w:color="auto" w:fill="auto"/>
            <w:noWrap/>
            <w:vAlign w:val="center"/>
            <w:hideMark/>
          </w:tcPr>
          <w:p w14:paraId="79F19536" w14:textId="77777777" w:rsidR="009D2A3C" w:rsidRPr="009D2A3C" w:rsidRDefault="009D2A3C" w:rsidP="009D2A3C">
            <w:pPr>
              <w:spacing w:after="0" w:line="240" w:lineRule="auto"/>
              <w:jc w:val="right"/>
              <w:rPr>
                <w:rFonts w:ascii="Calibri" w:eastAsia="Times New Roman" w:hAnsi="Calibri" w:cs="Arial"/>
                <w:b/>
                <w:bCs/>
                <w:lang w:eastAsia="cs-CZ"/>
              </w:rPr>
            </w:pPr>
            <w:r w:rsidRPr="009D2A3C">
              <w:rPr>
                <w:rFonts w:ascii="Calibri" w:eastAsia="Times New Roman" w:hAnsi="Calibri" w:cs="Arial"/>
                <w:b/>
                <w:bCs/>
                <w:lang w:eastAsia="cs-CZ"/>
              </w:rPr>
              <w:t>58 975 413,03</w:t>
            </w:r>
          </w:p>
        </w:tc>
        <w:tc>
          <w:tcPr>
            <w:tcW w:w="689" w:type="dxa"/>
            <w:tcBorders>
              <w:top w:val="single" w:sz="8" w:space="0" w:color="auto"/>
              <w:left w:val="nil"/>
              <w:bottom w:val="single" w:sz="8" w:space="0" w:color="auto"/>
              <w:right w:val="single" w:sz="8" w:space="0" w:color="auto"/>
            </w:tcBorders>
            <w:shd w:val="clear" w:color="auto" w:fill="auto"/>
            <w:noWrap/>
            <w:vAlign w:val="center"/>
            <w:hideMark/>
          </w:tcPr>
          <w:p w14:paraId="43F628B6" w14:textId="77777777" w:rsidR="009D2A3C" w:rsidRPr="009D2A3C" w:rsidRDefault="009D2A3C" w:rsidP="009D2A3C">
            <w:pPr>
              <w:spacing w:after="0" w:line="240" w:lineRule="auto"/>
              <w:jc w:val="right"/>
              <w:rPr>
                <w:rFonts w:ascii="Calibri" w:eastAsia="Times New Roman" w:hAnsi="Calibri" w:cs="Arial"/>
                <w:b/>
                <w:bCs/>
                <w:lang w:eastAsia="cs-CZ"/>
              </w:rPr>
            </w:pPr>
            <w:r w:rsidRPr="009D2A3C">
              <w:rPr>
                <w:rFonts w:ascii="Calibri" w:eastAsia="Times New Roman" w:hAnsi="Calibri" w:cs="Arial"/>
                <w:b/>
                <w:bCs/>
                <w:lang w:eastAsia="cs-CZ"/>
              </w:rPr>
              <w:t>51,8</w:t>
            </w:r>
          </w:p>
        </w:tc>
      </w:tr>
      <w:tr w:rsidR="009D2A3C" w:rsidRPr="009D2A3C" w14:paraId="24D2B1F7" w14:textId="77777777" w:rsidTr="009D2A3C">
        <w:trPr>
          <w:trHeight w:val="300"/>
        </w:trPr>
        <w:tc>
          <w:tcPr>
            <w:tcW w:w="853" w:type="dxa"/>
            <w:tcBorders>
              <w:top w:val="nil"/>
              <w:left w:val="nil"/>
              <w:bottom w:val="nil"/>
              <w:right w:val="nil"/>
            </w:tcBorders>
            <w:shd w:val="clear" w:color="auto" w:fill="auto"/>
            <w:noWrap/>
            <w:vAlign w:val="bottom"/>
            <w:hideMark/>
          </w:tcPr>
          <w:p w14:paraId="5BA54543" w14:textId="77777777" w:rsidR="009D2A3C" w:rsidRPr="009D2A3C" w:rsidRDefault="009D2A3C" w:rsidP="009D2A3C">
            <w:pPr>
              <w:spacing w:after="0" w:line="240" w:lineRule="auto"/>
              <w:jc w:val="right"/>
              <w:rPr>
                <w:rFonts w:ascii="Calibri" w:eastAsia="Times New Roman" w:hAnsi="Calibri" w:cs="Arial"/>
                <w:b/>
                <w:bCs/>
                <w:lang w:eastAsia="cs-CZ"/>
              </w:rPr>
            </w:pPr>
          </w:p>
        </w:tc>
        <w:tc>
          <w:tcPr>
            <w:tcW w:w="2945" w:type="dxa"/>
            <w:tcBorders>
              <w:top w:val="nil"/>
              <w:left w:val="nil"/>
              <w:bottom w:val="nil"/>
              <w:right w:val="nil"/>
            </w:tcBorders>
            <w:shd w:val="clear" w:color="auto" w:fill="auto"/>
            <w:noWrap/>
            <w:vAlign w:val="bottom"/>
            <w:hideMark/>
          </w:tcPr>
          <w:p w14:paraId="6E5F0C1B" w14:textId="77777777" w:rsidR="009D2A3C" w:rsidRPr="009D2A3C" w:rsidRDefault="009D2A3C" w:rsidP="009D2A3C">
            <w:pPr>
              <w:spacing w:after="0" w:line="240" w:lineRule="auto"/>
              <w:rPr>
                <w:rFonts w:ascii="Times New Roman" w:eastAsia="Times New Roman" w:hAnsi="Times New Roman" w:cs="Times New Roman"/>
                <w:sz w:val="20"/>
                <w:szCs w:val="20"/>
                <w:lang w:eastAsia="cs-CZ"/>
              </w:rPr>
            </w:pPr>
          </w:p>
        </w:tc>
        <w:tc>
          <w:tcPr>
            <w:tcW w:w="1403" w:type="dxa"/>
            <w:tcBorders>
              <w:top w:val="nil"/>
              <w:left w:val="nil"/>
              <w:bottom w:val="nil"/>
              <w:right w:val="nil"/>
            </w:tcBorders>
            <w:shd w:val="clear" w:color="auto" w:fill="auto"/>
            <w:noWrap/>
            <w:vAlign w:val="bottom"/>
            <w:hideMark/>
          </w:tcPr>
          <w:p w14:paraId="4F604FCF" w14:textId="77777777" w:rsidR="009D2A3C" w:rsidRPr="009D2A3C" w:rsidRDefault="009D2A3C" w:rsidP="009D2A3C">
            <w:pPr>
              <w:spacing w:after="0" w:line="240" w:lineRule="auto"/>
              <w:rPr>
                <w:rFonts w:ascii="Times New Roman" w:eastAsia="Times New Roman" w:hAnsi="Times New Roman" w:cs="Times New Roman"/>
                <w:sz w:val="20"/>
                <w:szCs w:val="20"/>
                <w:lang w:eastAsia="cs-CZ"/>
              </w:rPr>
            </w:pPr>
          </w:p>
        </w:tc>
        <w:tc>
          <w:tcPr>
            <w:tcW w:w="1760" w:type="dxa"/>
            <w:tcBorders>
              <w:top w:val="nil"/>
              <w:left w:val="nil"/>
              <w:bottom w:val="nil"/>
              <w:right w:val="nil"/>
            </w:tcBorders>
            <w:shd w:val="clear" w:color="auto" w:fill="auto"/>
            <w:noWrap/>
            <w:vAlign w:val="bottom"/>
            <w:hideMark/>
          </w:tcPr>
          <w:p w14:paraId="3CE29689" w14:textId="77777777" w:rsidR="009D2A3C" w:rsidRPr="009D2A3C" w:rsidRDefault="009D2A3C" w:rsidP="009D2A3C">
            <w:pPr>
              <w:spacing w:after="0" w:line="240" w:lineRule="auto"/>
              <w:rPr>
                <w:rFonts w:ascii="Times New Roman" w:eastAsia="Times New Roman" w:hAnsi="Times New Roman" w:cs="Times New Roman"/>
                <w:sz w:val="20"/>
                <w:szCs w:val="20"/>
                <w:lang w:eastAsia="cs-CZ"/>
              </w:rPr>
            </w:pPr>
          </w:p>
        </w:tc>
        <w:tc>
          <w:tcPr>
            <w:tcW w:w="1610" w:type="dxa"/>
            <w:tcBorders>
              <w:top w:val="nil"/>
              <w:left w:val="nil"/>
              <w:bottom w:val="nil"/>
              <w:right w:val="nil"/>
            </w:tcBorders>
            <w:shd w:val="clear" w:color="auto" w:fill="auto"/>
            <w:noWrap/>
            <w:vAlign w:val="bottom"/>
            <w:hideMark/>
          </w:tcPr>
          <w:p w14:paraId="5BB5D38B" w14:textId="77777777" w:rsidR="009D2A3C" w:rsidRPr="009D2A3C" w:rsidRDefault="009D2A3C" w:rsidP="009D2A3C">
            <w:pPr>
              <w:spacing w:after="0" w:line="240" w:lineRule="auto"/>
              <w:rPr>
                <w:rFonts w:ascii="Times New Roman" w:eastAsia="Times New Roman" w:hAnsi="Times New Roman" w:cs="Times New Roman"/>
                <w:sz w:val="20"/>
                <w:szCs w:val="20"/>
                <w:lang w:eastAsia="cs-CZ"/>
              </w:rPr>
            </w:pPr>
          </w:p>
        </w:tc>
        <w:tc>
          <w:tcPr>
            <w:tcW w:w="689" w:type="dxa"/>
            <w:tcBorders>
              <w:top w:val="nil"/>
              <w:left w:val="nil"/>
              <w:bottom w:val="nil"/>
              <w:right w:val="nil"/>
            </w:tcBorders>
            <w:shd w:val="clear" w:color="auto" w:fill="auto"/>
            <w:noWrap/>
            <w:vAlign w:val="bottom"/>
            <w:hideMark/>
          </w:tcPr>
          <w:p w14:paraId="69816A2A" w14:textId="77777777" w:rsidR="009D2A3C" w:rsidRPr="009D2A3C" w:rsidRDefault="009D2A3C" w:rsidP="009D2A3C">
            <w:pPr>
              <w:spacing w:after="0" w:line="240" w:lineRule="auto"/>
              <w:rPr>
                <w:rFonts w:ascii="Times New Roman" w:eastAsia="Times New Roman" w:hAnsi="Times New Roman" w:cs="Times New Roman"/>
                <w:sz w:val="20"/>
                <w:szCs w:val="20"/>
                <w:lang w:eastAsia="cs-CZ"/>
              </w:rPr>
            </w:pPr>
          </w:p>
        </w:tc>
      </w:tr>
      <w:tr w:rsidR="009D2A3C" w:rsidRPr="009D2A3C" w14:paraId="722C6B2D" w14:textId="77777777" w:rsidTr="009D2A3C">
        <w:trPr>
          <w:trHeight w:val="360"/>
        </w:trPr>
        <w:tc>
          <w:tcPr>
            <w:tcW w:w="853" w:type="dxa"/>
            <w:tcBorders>
              <w:top w:val="nil"/>
              <w:left w:val="nil"/>
              <w:bottom w:val="nil"/>
              <w:right w:val="nil"/>
            </w:tcBorders>
            <w:shd w:val="clear" w:color="auto" w:fill="auto"/>
            <w:noWrap/>
            <w:vAlign w:val="bottom"/>
            <w:hideMark/>
          </w:tcPr>
          <w:p w14:paraId="42020900" w14:textId="77777777" w:rsidR="009D2A3C" w:rsidRPr="009D2A3C" w:rsidRDefault="009D2A3C" w:rsidP="009D2A3C">
            <w:pPr>
              <w:spacing w:after="0" w:line="240" w:lineRule="auto"/>
              <w:jc w:val="right"/>
              <w:rPr>
                <w:rFonts w:ascii="Times New Roman" w:eastAsia="Times New Roman" w:hAnsi="Times New Roman" w:cs="Times New Roman"/>
                <w:sz w:val="20"/>
                <w:szCs w:val="20"/>
                <w:lang w:eastAsia="cs-CZ"/>
              </w:rPr>
            </w:pPr>
          </w:p>
        </w:tc>
        <w:tc>
          <w:tcPr>
            <w:tcW w:w="2945" w:type="dxa"/>
            <w:tcBorders>
              <w:top w:val="nil"/>
              <w:left w:val="nil"/>
              <w:bottom w:val="nil"/>
              <w:right w:val="nil"/>
            </w:tcBorders>
            <w:shd w:val="clear" w:color="auto" w:fill="auto"/>
            <w:noWrap/>
            <w:vAlign w:val="bottom"/>
            <w:hideMark/>
          </w:tcPr>
          <w:p w14:paraId="63202EA6" w14:textId="77777777" w:rsidR="009D2A3C" w:rsidRPr="009D2A3C" w:rsidRDefault="009D2A3C" w:rsidP="009D2A3C">
            <w:pPr>
              <w:spacing w:after="0" w:line="240" w:lineRule="auto"/>
              <w:rPr>
                <w:rFonts w:ascii="Calibri" w:eastAsia="Times New Roman" w:hAnsi="Calibri" w:cs="Arial"/>
                <w:b/>
                <w:bCs/>
                <w:lang w:eastAsia="cs-CZ"/>
              </w:rPr>
            </w:pPr>
            <w:r w:rsidRPr="009D2A3C">
              <w:rPr>
                <w:rFonts w:ascii="Calibri" w:eastAsia="Times New Roman" w:hAnsi="Calibri" w:cs="Arial"/>
                <w:b/>
                <w:bCs/>
                <w:lang w:eastAsia="cs-CZ"/>
              </w:rPr>
              <w:t>Fondy</w:t>
            </w:r>
          </w:p>
        </w:tc>
        <w:tc>
          <w:tcPr>
            <w:tcW w:w="1403" w:type="dxa"/>
            <w:tcBorders>
              <w:top w:val="nil"/>
              <w:left w:val="nil"/>
              <w:bottom w:val="nil"/>
              <w:right w:val="nil"/>
            </w:tcBorders>
            <w:shd w:val="clear" w:color="auto" w:fill="auto"/>
            <w:noWrap/>
            <w:vAlign w:val="bottom"/>
            <w:hideMark/>
          </w:tcPr>
          <w:p w14:paraId="64AA747D" w14:textId="77777777" w:rsidR="009D2A3C" w:rsidRPr="009D2A3C" w:rsidRDefault="009D2A3C" w:rsidP="009D2A3C">
            <w:pPr>
              <w:spacing w:after="0" w:line="240" w:lineRule="auto"/>
              <w:rPr>
                <w:rFonts w:ascii="Calibri" w:eastAsia="Times New Roman" w:hAnsi="Calibri" w:cs="Arial"/>
                <w:b/>
                <w:bCs/>
                <w:lang w:eastAsia="cs-CZ"/>
              </w:rPr>
            </w:pPr>
          </w:p>
        </w:tc>
        <w:tc>
          <w:tcPr>
            <w:tcW w:w="1760" w:type="dxa"/>
            <w:tcBorders>
              <w:top w:val="nil"/>
              <w:left w:val="nil"/>
              <w:bottom w:val="nil"/>
              <w:right w:val="nil"/>
            </w:tcBorders>
            <w:shd w:val="clear" w:color="auto" w:fill="auto"/>
            <w:noWrap/>
            <w:vAlign w:val="bottom"/>
            <w:hideMark/>
          </w:tcPr>
          <w:p w14:paraId="7A43C59C" w14:textId="77777777" w:rsidR="009D2A3C" w:rsidRPr="009D2A3C" w:rsidRDefault="009D2A3C" w:rsidP="009D2A3C">
            <w:pPr>
              <w:spacing w:after="0" w:line="240" w:lineRule="auto"/>
              <w:jc w:val="right"/>
              <w:rPr>
                <w:rFonts w:ascii="Times New Roman" w:eastAsia="Times New Roman" w:hAnsi="Times New Roman" w:cs="Times New Roman"/>
                <w:sz w:val="20"/>
                <w:szCs w:val="20"/>
                <w:lang w:eastAsia="cs-CZ"/>
              </w:rPr>
            </w:pPr>
          </w:p>
        </w:tc>
        <w:tc>
          <w:tcPr>
            <w:tcW w:w="1610" w:type="dxa"/>
            <w:tcBorders>
              <w:top w:val="nil"/>
              <w:left w:val="nil"/>
              <w:bottom w:val="nil"/>
              <w:right w:val="nil"/>
            </w:tcBorders>
            <w:shd w:val="clear" w:color="auto" w:fill="auto"/>
            <w:noWrap/>
            <w:vAlign w:val="bottom"/>
            <w:hideMark/>
          </w:tcPr>
          <w:p w14:paraId="1500E896" w14:textId="77777777" w:rsidR="009D2A3C" w:rsidRPr="009D2A3C" w:rsidRDefault="009D2A3C" w:rsidP="009D2A3C">
            <w:pPr>
              <w:spacing w:after="0" w:line="240" w:lineRule="auto"/>
              <w:jc w:val="right"/>
              <w:rPr>
                <w:rFonts w:ascii="Times New Roman" w:eastAsia="Times New Roman" w:hAnsi="Times New Roman" w:cs="Times New Roman"/>
                <w:sz w:val="20"/>
                <w:szCs w:val="20"/>
                <w:lang w:eastAsia="cs-CZ"/>
              </w:rPr>
            </w:pPr>
          </w:p>
        </w:tc>
        <w:tc>
          <w:tcPr>
            <w:tcW w:w="689" w:type="dxa"/>
            <w:tcBorders>
              <w:top w:val="nil"/>
              <w:left w:val="nil"/>
              <w:bottom w:val="nil"/>
              <w:right w:val="nil"/>
            </w:tcBorders>
            <w:shd w:val="clear" w:color="auto" w:fill="auto"/>
            <w:noWrap/>
            <w:vAlign w:val="bottom"/>
            <w:hideMark/>
          </w:tcPr>
          <w:p w14:paraId="5EE78028" w14:textId="77777777" w:rsidR="009D2A3C" w:rsidRPr="009D2A3C" w:rsidRDefault="009D2A3C" w:rsidP="009D2A3C">
            <w:pPr>
              <w:spacing w:after="0" w:line="240" w:lineRule="auto"/>
              <w:jc w:val="right"/>
              <w:rPr>
                <w:rFonts w:ascii="Times New Roman" w:eastAsia="Times New Roman" w:hAnsi="Times New Roman" w:cs="Times New Roman"/>
                <w:sz w:val="20"/>
                <w:szCs w:val="20"/>
                <w:lang w:eastAsia="cs-CZ"/>
              </w:rPr>
            </w:pPr>
          </w:p>
        </w:tc>
      </w:tr>
      <w:tr w:rsidR="009D2A3C" w:rsidRPr="009D2A3C" w14:paraId="2E1D8CCE" w14:textId="77777777" w:rsidTr="009D2A3C">
        <w:trPr>
          <w:trHeight w:val="520"/>
        </w:trPr>
        <w:tc>
          <w:tcPr>
            <w:tcW w:w="853" w:type="dxa"/>
            <w:tcBorders>
              <w:top w:val="single" w:sz="8" w:space="0" w:color="auto"/>
              <w:left w:val="single" w:sz="8" w:space="0" w:color="auto"/>
              <w:bottom w:val="nil"/>
              <w:right w:val="single" w:sz="4" w:space="0" w:color="auto"/>
            </w:tcBorders>
            <w:shd w:val="clear" w:color="auto" w:fill="auto"/>
            <w:noWrap/>
            <w:vAlign w:val="center"/>
            <w:hideMark/>
          </w:tcPr>
          <w:p w14:paraId="2D1885B9" w14:textId="77777777" w:rsidR="009D2A3C" w:rsidRPr="009D2A3C" w:rsidRDefault="009D2A3C" w:rsidP="009D2A3C">
            <w:pPr>
              <w:spacing w:after="0" w:line="240" w:lineRule="auto"/>
              <w:jc w:val="center"/>
              <w:rPr>
                <w:rFonts w:ascii="Calibri" w:eastAsia="Times New Roman" w:hAnsi="Calibri" w:cs="Arial"/>
                <w:sz w:val="20"/>
                <w:szCs w:val="20"/>
                <w:lang w:eastAsia="cs-CZ"/>
              </w:rPr>
            </w:pPr>
            <w:r w:rsidRPr="009D2A3C">
              <w:rPr>
                <w:rFonts w:ascii="Calibri" w:eastAsia="Times New Roman" w:hAnsi="Calibri" w:cs="Arial"/>
                <w:sz w:val="20"/>
                <w:szCs w:val="20"/>
                <w:lang w:eastAsia="cs-CZ"/>
              </w:rPr>
              <w:t> </w:t>
            </w:r>
          </w:p>
        </w:tc>
        <w:tc>
          <w:tcPr>
            <w:tcW w:w="2945" w:type="dxa"/>
            <w:tcBorders>
              <w:top w:val="single" w:sz="8" w:space="0" w:color="auto"/>
              <w:left w:val="nil"/>
              <w:bottom w:val="nil"/>
              <w:right w:val="single" w:sz="4" w:space="0" w:color="auto"/>
            </w:tcBorders>
            <w:shd w:val="clear" w:color="auto" w:fill="auto"/>
            <w:vAlign w:val="center"/>
            <w:hideMark/>
          </w:tcPr>
          <w:p w14:paraId="20CEE519" w14:textId="77777777" w:rsidR="009D2A3C" w:rsidRPr="009D2A3C" w:rsidRDefault="009D2A3C" w:rsidP="009D2A3C">
            <w:pPr>
              <w:spacing w:after="0" w:line="240" w:lineRule="auto"/>
              <w:rPr>
                <w:rFonts w:ascii="Calibri" w:eastAsia="Times New Roman" w:hAnsi="Calibri" w:cs="Arial"/>
                <w:sz w:val="20"/>
                <w:szCs w:val="20"/>
                <w:lang w:eastAsia="cs-CZ"/>
              </w:rPr>
            </w:pPr>
            <w:r w:rsidRPr="009D2A3C">
              <w:rPr>
                <w:rFonts w:ascii="Calibri" w:eastAsia="Times New Roman" w:hAnsi="Calibri" w:cs="Arial"/>
                <w:sz w:val="20"/>
                <w:szCs w:val="20"/>
                <w:lang w:eastAsia="cs-CZ"/>
              </w:rPr>
              <w:t>Středočeský Fond podpory dobrovolných hasičů a složek IZS</w:t>
            </w:r>
          </w:p>
        </w:tc>
        <w:tc>
          <w:tcPr>
            <w:tcW w:w="1403" w:type="dxa"/>
            <w:tcBorders>
              <w:top w:val="single" w:sz="8" w:space="0" w:color="auto"/>
              <w:left w:val="nil"/>
              <w:bottom w:val="nil"/>
              <w:right w:val="single" w:sz="4" w:space="0" w:color="auto"/>
            </w:tcBorders>
            <w:shd w:val="clear" w:color="auto" w:fill="auto"/>
            <w:noWrap/>
            <w:vAlign w:val="bottom"/>
            <w:hideMark/>
          </w:tcPr>
          <w:p w14:paraId="3C37B039"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0</w:t>
            </w:r>
          </w:p>
        </w:tc>
        <w:tc>
          <w:tcPr>
            <w:tcW w:w="1760" w:type="dxa"/>
            <w:tcBorders>
              <w:top w:val="single" w:sz="8" w:space="0" w:color="auto"/>
              <w:left w:val="nil"/>
              <w:bottom w:val="nil"/>
              <w:right w:val="single" w:sz="4" w:space="0" w:color="auto"/>
            </w:tcBorders>
            <w:shd w:val="clear" w:color="auto" w:fill="auto"/>
            <w:noWrap/>
            <w:vAlign w:val="bottom"/>
            <w:hideMark/>
          </w:tcPr>
          <w:p w14:paraId="3F7040C4"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1 500 000,00</w:t>
            </w:r>
          </w:p>
        </w:tc>
        <w:tc>
          <w:tcPr>
            <w:tcW w:w="1610" w:type="dxa"/>
            <w:tcBorders>
              <w:top w:val="single" w:sz="8" w:space="0" w:color="auto"/>
              <w:left w:val="nil"/>
              <w:bottom w:val="nil"/>
              <w:right w:val="single" w:sz="4" w:space="0" w:color="auto"/>
            </w:tcBorders>
            <w:shd w:val="clear" w:color="auto" w:fill="auto"/>
            <w:noWrap/>
            <w:vAlign w:val="bottom"/>
            <w:hideMark/>
          </w:tcPr>
          <w:p w14:paraId="507172AC"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1 500 000,00</w:t>
            </w:r>
          </w:p>
        </w:tc>
        <w:tc>
          <w:tcPr>
            <w:tcW w:w="689" w:type="dxa"/>
            <w:tcBorders>
              <w:top w:val="single" w:sz="8" w:space="0" w:color="auto"/>
              <w:left w:val="nil"/>
              <w:bottom w:val="single" w:sz="4" w:space="0" w:color="auto"/>
              <w:right w:val="single" w:sz="8" w:space="0" w:color="auto"/>
            </w:tcBorders>
            <w:shd w:val="clear" w:color="auto" w:fill="auto"/>
            <w:noWrap/>
            <w:vAlign w:val="bottom"/>
            <w:hideMark/>
          </w:tcPr>
          <w:p w14:paraId="2B4917AA"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100,0</w:t>
            </w:r>
          </w:p>
        </w:tc>
      </w:tr>
      <w:tr w:rsidR="009D2A3C" w:rsidRPr="009D2A3C" w14:paraId="5F6F79D7" w14:textId="77777777" w:rsidTr="009D2A3C">
        <w:trPr>
          <w:trHeight w:val="300"/>
        </w:trPr>
        <w:tc>
          <w:tcPr>
            <w:tcW w:w="853"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3EAF8F95" w14:textId="77777777" w:rsidR="009D2A3C" w:rsidRPr="009D2A3C" w:rsidRDefault="009D2A3C" w:rsidP="009D2A3C">
            <w:pPr>
              <w:spacing w:after="0" w:line="240" w:lineRule="auto"/>
              <w:jc w:val="center"/>
              <w:rPr>
                <w:rFonts w:ascii="Calibri" w:eastAsia="Times New Roman" w:hAnsi="Calibri" w:cs="Arial"/>
                <w:sz w:val="20"/>
                <w:szCs w:val="20"/>
                <w:lang w:eastAsia="cs-CZ"/>
              </w:rPr>
            </w:pPr>
            <w:r w:rsidRPr="009D2A3C">
              <w:rPr>
                <w:rFonts w:ascii="Calibri" w:eastAsia="Times New Roman" w:hAnsi="Calibri" w:cs="Arial"/>
                <w:sz w:val="20"/>
                <w:szCs w:val="20"/>
                <w:lang w:eastAsia="cs-CZ"/>
              </w:rPr>
              <w:t> </w:t>
            </w:r>
          </w:p>
        </w:tc>
        <w:tc>
          <w:tcPr>
            <w:tcW w:w="2945" w:type="dxa"/>
            <w:tcBorders>
              <w:top w:val="single" w:sz="4" w:space="0" w:color="auto"/>
              <w:left w:val="nil"/>
              <w:bottom w:val="single" w:sz="8" w:space="0" w:color="auto"/>
              <w:right w:val="single" w:sz="4" w:space="0" w:color="auto"/>
            </w:tcBorders>
            <w:shd w:val="clear" w:color="auto" w:fill="auto"/>
            <w:vAlign w:val="center"/>
            <w:hideMark/>
          </w:tcPr>
          <w:p w14:paraId="70240B50" w14:textId="77777777" w:rsidR="009D2A3C" w:rsidRPr="009D2A3C" w:rsidRDefault="009D2A3C" w:rsidP="009D2A3C">
            <w:pPr>
              <w:spacing w:after="0" w:line="240" w:lineRule="auto"/>
              <w:rPr>
                <w:rFonts w:ascii="Calibri" w:eastAsia="Times New Roman" w:hAnsi="Calibri" w:cs="Arial"/>
                <w:sz w:val="20"/>
                <w:szCs w:val="20"/>
                <w:lang w:eastAsia="cs-CZ"/>
              </w:rPr>
            </w:pPr>
            <w:r w:rsidRPr="009D2A3C">
              <w:rPr>
                <w:rFonts w:ascii="Calibri" w:eastAsia="Times New Roman" w:hAnsi="Calibri" w:cs="Arial"/>
                <w:sz w:val="20"/>
                <w:szCs w:val="20"/>
                <w:lang w:eastAsia="cs-CZ"/>
              </w:rPr>
              <w:t>Středočeský Fond hejtmanky</w:t>
            </w:r>
          </w:p>
        </w:tc>
        <w:tc>
          <w:tcPr>
            <w:tcW w:w="1403" w:type="dxa"/>
            <w:tcBorders>
              <w:top w:val="single" w:sz="4" w:space="0" w:color="auto"/>
              <w:left w:val="nil"/>
              <w:bottom w:val="single" w:sz="8" w:space="0" w:color="auto"/>
              <w:right w:val="single" w:sz="4" w:space="0" w:color="auto"/>
            </w:tcBorders>
            <w:shd w:val="clear" w:color="auto" w:fill="auto"/>
            <w:noWrap/>
            <w:vAlign w:val="bottom"/>
            <w:hideMark/>
          </w:tcPr>
          <w:p w14:paraId="31D2E124"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0</w:t>
            </w:r>
          </w:p>
        </w:tc>
        <w:tc>
          <w:tcPr>
            <w:tcW w:w="1760" w:type="dxa"/>
            <w:tcBorders>
              <w:top w:val="single" w:sz="4" w:space="0" w:color="auto"/>
              <w:left w:val="nil"/>
              <w:bottom w:val="single" w:sz="8" w:space="0" w:color="auto"/>
              <w:right w:val="single" w:sz="4" w:space="0" w:color="auto"/>
            </w:tcBorders>
            <w:shd w:val="clear" w:color="auto" w:fill="auto"/>
            <w:noWrap/>
            <w:vAlign w:val="bottom"/>
            <w:hideMark/>
          </w:tcPr>
          <w:p w14:paraId="0213FD45"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12 195 000,00</w:t>
            </w:r>
          </w:p>
        </w:tc>
        <w:tc>
          <w:tcPr>
            <w:tcW w:w="1610" w:type="dxa"/>
            <w:tcBorders>
              <w:top w:val="single" w:sz="4" w:space="0" w:color="auto"/>
              <w:left w:val="nil"/>
              <w:bottom w:val="single" w:sz="8" w:space="0" w:color="auto"/>
              <w:right w:val="single" w:sz="4" w:space="0" w:color="auto"/>
            </w:tcBorders>
            <w:shd w:val="clear" w:color="auto" w:fill="auto"/>
            <w:noWrap/>
            <w:vAlign w:val="bottom"/>
            <w:hideMark/>
          </w:tcPr>
          <w:p w14:paraId="53E7F5B7"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9 208 749,63</w:t>
            </w:r>
          </w:p>
        </w:tc>
        <w:tc>
          <w:tcPr>
            <w:tcW w:w="689" w:type="dxa"/>
            <w:tcBorders>
              <w:top w:val="nil"/>
              <w:left w:val="nil"/>
              <w:bottom w:val="nil"/>
              <w:right w:val="single" w:sz="8" w:space="0" w:color="auto"/>
            </w:tcBorders>
            <w:shd w:val="clear" w:color="auto" w:fill="auto"/>
            <w:noWrap/>
            <w:vAlign w:val="bottom"/>
            <w:hideMark/>
          </w:tcPr>
          <w:p w14:paraId="04CA496C" w14:textId="77777777" w:rsidR="009D2A3C" w:rsidRPr="009D2A3C" w:rsidRDefault="009D2A3C" w:rsidP="009D2A3C">
            <w:pPr>
              <w:spacing w:after="0" w:line="240" w:lineRule="auto"/>
              <w:jc w:val="right"/>
              <w:rPr>
                <w:rFonts w:ascii="Calibri" w:eastAsia="Times New Roman" w:hAnsi="Calibri" w:cs="Arial"/>
                <w:sz w:val="20"/>
                <w:szCs w:val="20"/>
                <w:lang w:eastAsia="cs-CZ"/>
              </w:rPr>
            </w:pPr>
            <w:r w:rsidRPr="009D2A3C">
              <w:rPr>
                <w:rFonts w:ascii="Calibri" w:eastAsia="Times New Roman" w:hAnsi="Calibri" w:cs="Arial"/>
                <w:sz w:val="20"/>
                <w:szCs w:val="20"/>
                <w:lang w:eastAsia="cs-CZ"/>
              </w:rPr>
              <w:t>75,5</w:t>
            </w:r>
          </w:p>
        </w:tc>
      </w:tr>
      <w:tr w:rsidR="009D2A3C" w:rsidRPr="009D2A3C" w14:paraId="04E667BC" w14:textId="77777777" w:rsidTr="009D2A3C">
        <w:trPr>
          <w:trHeight w:val="320"/>
        </w:trPr>
        <w:tc>
          <w:tcPr>
            <w:tcW w:w="853" w:type="dxa"/>
            <w:tcBorders>
              <w:top w:val="nil"/>
              <w:left w:val="single" w:sz="8" w:space="0" w:color="auto"/>
              <w:bottom w:val="single" w:sz="8" w:space="0" w:color="auto"/>
              <w:right w:val="single" w:sz="4" w:space="0" w:color="auto"/>
            </w:tcBorders>
            <w:shd w:val="clear" w:color="auto" w:fill="auto"/>
            <w:noWrap/>
            <w:vAlign w:val="center"/>
            <w:hideMark/>
          </w:tcPr>
          <w:p w14:paraId="52A2237E" w14:textId="77777777" w:rsidR="009D2A3C" w:rsidRPr="009D2A3C" w:rsidRDefault="009D2A3C" w:rsidP="009D2A3C">
            <w:pPr>
              <w:spacing w:after="0" w:line="240" w:lineRule="auto"/>
              <w:rPr>
                <w:rFonts w:ascii="Calibri" w:eastAsia="Times New Roman" w:hAnsi="Calibri" w:cs="Arial"/>
                <w:lang w:eastAsia="cs-CZ"/>
              </w:rPr>
            </w:pPr>
            <w:r w:rsidRPr="009D2A3C">
              <w:rPr>
                <w:rFonts w:ascii="Calibri" w:eastAsia="Times New Roman" w:hAnsi="Calibri" w:cs="Arial"/>
                <w:lang w:eastAsia="cs-CZ"/>
              </w:rPr>
              <w:t> </w:t>
            </w:r>
          </w:p>
        </w:tc>
        <w:tc>
          <w:tcPr>
            <w:tcW w:w="2945" w:type="dxa"/>
            <w:tcBorders>
              <w:top w:val="nil"/>
              <w:left w:val="nil"/>
              <w:bottom w:val="single" w:sz="8" w:space="0" w:color="auto"/>
              <w:right w:val="single" w:sz="4" w:space="0" w:color="auto"/>
            </w:tcBorders>
            <w:shd w:val="clear" w:color="auto" w:fill="auto"/>
            <w:noWrap/>
            <w:vAlign w:val="center"/>
            <w:hideMark/>
          </w:tcPr>
          <w:p w14:paraId="31387250" w14:textId="77777777" w:rsidR="009D2A3C" w:rsidRPr="009D2A3C" w:rsidRDefault="009D2A3C" w:rsidP="009D2A3C">
            <w:pPr>
              <w:spacing w:after="0" w:line="240" w:lineRule="auto"/>
              <w:rPr>
                <w:rFonts w:ascii="Calibri" w:eastAsia="Times New Roman" w:hAnsi="Calibri" w:cs="Arial"/>
                <w:b/>
                <w:bCs/>
                <w:lang w:eastAsia="cs-CZ"/>
              </w:rPr>
            </w:pPr>
            <w:r w:rsidRPr="009D2A3C">
              <w:rPr>
                <w:rFonts w:ascii="Calibri" w:eastAsia="Times New Roman" w:hAnsi="Calibri" w:cs="Arial"/>
                <w:b/>
                <w:bCs/>
                <w:lang w:eastAsia="cs-CZ"/>
              </w:rPr>
              <w:t xml:space="preserve">Celkem </w:t>
            </w:r>
          </w:p>
        </w:tc>
        <w:tc>
          <w:tcPr>
            <w:tcW w:w="1403" w:type="dxa"/>
            <w:tcBorders>
              <w:top w:val="nil"/>
              <w:left w:val="nil"/>
              <w:bottom w:val="single" w:sz="8" w:space="0" w:color="auto"/>
              <w:right w:val="single" w:sz="4" w:space="0" w:color="auto"/>
            </w:tcBorders>
            <w:shd w:val="clear" w:color="auto" w:fill="auto"/>
            <w:noWrap/>
            <w:vAlign w:val="center"/>
            <w:hideMark/>
          </w:tcPr>
          <w:p w14:paraId="5D864339" w14:textId="77777777" w:rsidR="009D2A3C" w:rsidRPr="009D2A3C" w:rsidRDefault="009D2A3C" w:rsidP="009D2A3C">
            <w:pPr>
              <w:spacing w:after="0" w:line="240" w:lineRule="auto"/>
              <w:jc w:val="right"/>
              <w:rPr>
                <w:rFonts w:ascii="Calibri" w:eastAsia="Times New Roman" w:hAnsi="Calibri" w:cs="Arial"/>
                <w:b/>
                <w:bCs/>
                <w:lang w:eastAsia="cs-CZ"/>
              </w:rPr>
            </w:pPr>
            <w:r w:rsidRPr="009D2A3C">
              <w:rPr>
                <w:rFonts w:ascii="Calibri" w:eastAsia="Times New Roman" w:hAnsi="Calibri" w:cs="Arial"/>
                <w:b/>
                <w:bCs/>
                <w:lang w:eastAsia="cs-CZ"/>
              </w:rPr>
              <w:t>0</w:t>
            </w:r>
          </w:p>
        </w:tc>
        <w:tc>
          <w:tcPr>
            <w:tcW w:w="1760" w:type="dxa"/>
            <w:tcBorders>
              <w:top w:val="nil"/>
              <w:left w:val="nil"/>
              <w:bottom w:val="single" w:sz="8" w:space="0" w:color="auto"/>
              <w:right w:val="single" w:sz="4" w:space="0" w:color="auto"/>
            </w:tcBorders>
            <w:shd w:val="clear" w:color="auto" w:fill="auto"/>
            <w:noWrap/>
            <w:vAlign w:val="center"/>
            <w:hideMark/>
          </w:tcPr>
          <w:p w14:paraId="02CDCB96" w14:textId="77777777" w:rsidR="009D2A3C" w:rsidRPr="009D2A3C" w:rsidRDefault="009D2A3C" w:rsidP="009D2A3C">
            <w:pPr>
              <w:spacing w:after="0" w:line="240" w:lineRule="auto"/>
              <w:jc w:val="right"/>
              <w:rPr>
                <w:rFonts w:ascii="Calibri" w:eastAsia="Times New Roman" w:hAnsi="Calibri" w:cs="Arial"/>
                <w:b/>
                <w:bCs/>
                <w:lang w:eastAsia="cs-CZ"/>
              </w:rPr>
            </w:pPr>
            <w:r w:rsidRPr="009D2A3C">
              <w:rPr>
                <w:rFonts w:ascii="Calibri" w:eastAsia="Times New Roman" w:hAnsi="Calibri" w:cs="Arial"/>
                <w:b/>
                <w:bCs/>
                <w:lang w:eastAsia="cs-CZ"/>
              </w:rPr>
              <w:t>13 695 000,00</w:t>
            </w:r>
          </w:p>
        </w:tc>
        <w:tc>
          <w:tcPr>
            <w:tcW w:w="1610" w:type="dxa"/>
            <w:tcBorders>
              <w:top w:val="nil"/>
              <w:left w:val="nil"/>
              <w:bottom w:val="single" w:sz="8" w:space="0" w:color="auto"/>
              <w:right w:val="single" w:sz="4" w:space="0" w:color="auto"/>
            </w:tcBorders>
            <w:shd w:val="clear" w:color="auto" w:fill="auto"/>
            <w:noWrap/>
            <w:vAlign w:val="center"/>
            <w:hideMark/>
          </w:tcPr>
          <w:p w14:paraId="2C07DFDB" w14:textId="77777777" w:rsidR="009D2A3C" w:rsidRPr="009D2A3C" w:rsidRDefault="009D2A3C" w:rsidP="009D2A3C">
            <w:pPr>
              <w:spacing w:after="0" w:line="240" w:lineRule="auto"/>
              <w:jc w:val="right"/>
              <w:rPr>
                <w:rFonts w:ascii="Calibri" w:eastAsia="Times New Roman" w:hAnsi="Calibri" w:cs="Arial"/>
                <w:b/>
                <w:bCs/>
                <w:lang w:eastAsia="cs-CZ"/>
              </w:rPr>
            </w:pPr>
            <w:r w:rsidRPr="009D2A3C">
              <w:rPr>
                <w:rFonts w:ascii="Calibri" w:eastAsia="Times New Roman" w:hAnsi="Calibri" w:cs="Arial"/>
                <w:b/>
                <w:bCs/>
                <w:lang w:eastAsia="cs-CZ"/>
              </w:rPr>
              <w:t>10 708 749,63</w:t>
            </w:r>
          </w:p>
        </w:tc>
        <w:tc>
          <w:tcPr>
            <w:tcW w:w="689" w:type="dxa"/>
            <w:tcBorders>
              <w:top w:val="single" w:sz="8" w:space="0" w:color="auto"/>
              <w:left w:val="nil"/>
              <w:bottom w:val="single" w:sz="8" w:space="0" w:color="auto"/>
              <w:right w:val="single" w:sz="8" w:space="0" w:color="auto"/>
            </w:tcBorders>
            <w:shd w:val="clear" w:color="auto" w:fill="auto"/>
            <w:noWrap/>
            <w:vAlign w:val="center"/>
            <w:hideMark/>
          </w:tcPr>
          <w:p w14:paraId="4523AE66" w14:textId="77777777" w:rsidR="009D2A3C" w:rsidRPr="009D2A3C" w:rsidRDefault="009D2A3C" w:rsidP="009D2A3C">
            <w:pPr>
              <w:spacing w:after="0" w:line="240" w:lineRule="auto"/>
              <w:jc w:val="right"/>
              <w:rPr>
                <w:rFonts w:ascii="Calibri" w:eastAsia="Times New Roman" w:hAnsi="Calibri" w:cs="Arial"/>
                <w:b/>
                <w:bCs/>
                <w:lang w:eastAsia="cs-CZ"/>
              </w:rPr>
            </w:pPr>
            <w:r w:rsidRPr="009D2A3C">
              <w:rPr>
                <w:rFonts w:ascii="Calibri" w:eastAsia="Times New Roman" w:hAnsi="Calibri" w:cs="Arial"/>
                <w:b/>
                <w:bCs/>
                <w:lang w:eastAsia="cs-CZ"/>
              </w:rPr>
              <w:t>78,2</w:t>
            </w:r>
          </w:p>
        </w:tc>
      </w:tr>
      <w:tr w:rsidR="009D2A3C" w:rsidRPr="009D2A3C" w14:paraId="722D2BB9" w14:textId="77777777" w:rsidTr="009D2A3C">
        <w:trPr>
          <w:trHeight w:val="300"/>
        </w:trPr>
        <w:tc>
          <w:tcPr>
            <w:tcW w:w="853" w:type="dxa"/>
            <w:tcBorders>
              <w:top w:val="nil"/>
              <w:left w:val="nil"/>
              <w:bottom w:val="nil"/>
              <w:right w:val="nil"/>
            </w:tcBorders>
            <w:shd w:val="clear" w:color="auto" w:fill="auto"/>
            <w:noWrap/>
            <w:vAlign w:val="center"/>
            <w:hideMark/>
          </w:tcPr>
          <w:p w14:paraId="16264142" w14:textId="77777777" w:rsidR="009D2A3C" w:rsidRPr="009D2A3C" w:rsidRDefault="009D2A3C" w:rsidP="009D2A3C">
            <w:pPr>
              <w:spacing w:after="0" w:line="240" w:lineRule="auto"/>
              <w:jc w:val="right"/>
              <w:rPr>
                <w:rFonts w:ascii="Calibri" w:eastAsia="Times New Roman" w:hAnsi="Calibri" w:cs="Arial"/>
                <w:b/>
                <w:bCs/>
                <w:lang w:eastAsia="cs-CZ"/>
              </w:rPr>
            </w:pPr>
          </w:p>
        </w:tc>
        <w:tc>
          <w:tcPr>
            <w:tcW w:w="2945" w:type="dxa"/>
            <w:tcBorders>
              <w:top w:val="nil"/>
              <w:left w:val="nil"/>
              <w:bottom w:val="nil"/>
              <w:right w:val="nil"/>
            </w:tcBorders>
            <w:shd w:val="clear" w:color="auto" w:fill="auto"/>
            <w:noWrap/>
            <w:vAlign w:val="center"/>
            <w:hideMark/>
          </w:tcPr>
          <w:p w14:paraId="54A25006" w14:textId="77777777" w:rsidR="009D2A3C" w:rsidRPr="009D2A3C" w:rsidRDefault="009D2A3C" w:rsidP="009D2A3C">
            <w:pPr>
              <w:spacing w:after="0" w:line="240" w:lineRule="auto"/>
              <w:rPr>
                <w:rFonts w:ascii="Times New Roman" w:eastAsia="Times New Roman" w:hAnsi="Times New Roman" w:cs="Times New Roman"/>
                <w:sz w:val="20"/>
                <w:szCs w:val="20"/>
                <w:lang w:eastAsia="cs-CZ"/>
              </w:rPr>
            </w:pPr>
          </w:p>
        </w:tc>
        <w:tc>
          <w:tcPr>
            <w:tcW w:w="1403" w:type="dxa"/>
            <w:tcBorders>
              <w:top w:val="nil"/>
              <w:left w:val="nil"/>
              <w:bottom w:val="nil"/>
              <w:right w:val="nil"/>
            </w:tcBorders>
            <w:shd w:val="clear" w:color="auto" w:fill="auto"/>
            <w:noWrap/>
            <w:vAlign w:val="center"/>
            <w:hideMark/>
          </w:tcPr>
          <w:p w14:paraId="71E4E838" w14:textId="77777777" w:rsidR="009D2A3C" w:rsidRPr="009D2A3C" w:rsidRDefault="009D2A3C" w:rsidP="009D2A3C">
            <w:pPr>
              <w:spacing w:after="0" w:line="240" w:lineRule="auto"/>
              <w:rPr>
                <w:rFonts w:ascii="Times New Roman" w:eastAsia="Times New Roman" w:hAnsi="Times New Roman" w:cs="Times New Roman"/>
                <w:sz w:val="20"/>
                <w:szCs w:val="20"/>
                <w:lang w:eastAsia="cs-CZ"/>
              </w:rPr>
            </w:pPr>
          </w:p>
        </w:tc>
        <w:tc>
          <w:tcPr>
            <w:tcW w:w="1760" w:type="dxa"/>
            <w:tcBorders>
              <w:top w:val="nil"/>
              <w:left w:val="nil"/>
              <w:bottom w:val="nil"/>
              <w:right w:val="nil"/>
            </w:tcBorders>
            <w:shd w:val="clear" w:color="auto" w:fill="auto"/>
            <w:noWrap/>
            <w:vAlign w:val="center"/>
            <w:hideMark/>
          </w:tcPr>
          <w:p w14:paraId="75AD97B7" w14:textId="77777777" w:rsidR="009D2A3C" w:rsidRPr="009D2A3C" w:rsidRDefault="009D2A3C" w:rsidP="009D2A3C">
            <w:pPr>
              <w:spacing w:after="0" w:line="240" w:lineRule="auto"/>
              <w:jc w:val="right"/>
              <w:rPr>
                <w:rFonts w:ascii="Times New Roman" w:eastAsia="Times New Roman" w:hAnsi="Times New Roman" w:cs="Times New Roman"/>
                <w:sz w:val="20"/>
                <w:szCs w:val="20"/>
                <w:lang w:eastAsia="cs-CZ"/>
              </w:rPr>
            </w:pPr>
          </w:p>
        </w:tc>
        <w:tc>
          <w:tcPr>
            <w:tcW w:w="1610" w:type="dxa"/>
            <w:tcBorders>
              <w:top w:val="nil"/>
              <w:left w:val="nil"/>
              <w:bottom w:val="nil"/>
              <w:right w:val="nil"/>
            </w:tcBorders>
            <w:shd w:val="clear" w:color="auto" w:fill="auto"/>
            <w:noWrap/>
            <w:vAlign w:val="center"/>
            <w:hideMark/>
          </w:tcPr>
          <w:p w14:paraId="1FA22C90" w14:textId="77777777" w:rsidR="009D2A3C" w:rsidRPr="009D2A3C" w:rsidRDefault="009D2A3C" w:rsidP="009D2A3C">
            <w:pPr>
              <w:spacing w:after="0" w:line="240" w:lineRule="auto"/>
              <w:jc w:val="right"/>
              <w:rPr>
                <w:rFonts w:ascii="Times New Roman" w:eastAsia="Times New Roman" w:hAnsi="Times New Roman" w:cs="Times New Roman"/>
                <w:sz w:val="20"/>
                <w:szCs w:val="20"/>
                <w:lang w:eastAsia="cs-CZ"/>
              </w:rPr>
            </w:pPr>
          </w:p>
        </w:tc>
        <w:tc>
          <w:tcPr>
            <w:tcW w:w="689" w:type="dxa"/>
            <w:tcBorders>
              <w:top w:val="nil"/>
              <w:left w:val="nil"/>
              <w:bottom w:val="nil"/>
              <w:right w:val="nil"/>
            </w:tcBorders>
            <w:shd w:val="clear" w:color="auto" w:fill="auto"/>
            <w:noWrap/>
            <w:vAlign w:val="center"/>
            <w:hideMark/>
          </w:tcPr>
          <w:p w14:paraId="2B944523" w14:textId="77777777" w:rsidR="009D2A3C" w:rsidRPr="009D2A3C" w:rsidRDefault="009D2A3C" w:rsidP="009D2A3C">
            <w:pPr>
              <w:spacing w:after="0" w:line="240" w:lineRule="auto"/>
              <w:jc w:val="right"/>
              <w:rPr>
                <w:rFonts w:ascii="Times New Roman" w:eastAsia="Times New Roman" w:hAnsi="Times New Roman" w:cs="Times New Roman"/>
                <w:sz w:val="20"/>
                <w:szCs w:val="20"/>
                <w:lang w:eastAsia="cs-CZ"/>
              </w:rPr>
            </w:pPr>
          </w:p>
        </w:tc>
      </w:tr>
      <w:tr w:rsidR="009D2A3C" w:rsidRPr="009D2A3C" w14:paraId="3AC012F6" w14:textId="77777777" w:rsidTr="009D2A3C">
        <w:trPr>
          <w:trHeight w:val="360"/>
        </w:trPr>
        <w:tc>
          <w:tcPr>
            <w:tcW w:w="3798"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49F35A82" w14:textId="77777777" w:rsidR="009D2A3C" w:rsidRPr="009D2A3C" w:rsidRDefault="009D2A3C" w:rsidP="009D2A3C">
            <w:pPr>
              <w:spacing w:after="0" w:line="240" w:lineRule="auto"/>
              <w:rPr>
                <w:rFonts w:ascii="Calibri" w:eastAsia="Times New Roman" w:hAnsi="Calibri" w:cs="Arial"/>
                <w:b/>
                <w:bCs/>
                <w:sz w:val="24"/>
                <w:szCs w:val="24"/>
                <w:lang w:eastAsia="cs-CZ"/>
              </w:rPr>
            </w:pPr>
            <w:r w:rsidRPr="009D2A3C">
              <w:rPr>
                <w:rFonts w:ascii="Calibri" w:eastAsia="Times New Roman" w:hAnsi="Calibri" w:cs="Arial"/>
                <w:b/>
                <w:bCs/>
                <w:sz w:val="24"/>
                <w:szCs w:val="24"/>
                <w:lang w:eastAsia="cs-CZ"/>
              </w:rPr>
              <w:t xml:space="preserve">Celkem výdaje   </w:t>
            </w:r>
          </w:p>
        </w:tc>
        <w:tc>
          <w:tcPr>
            <w:tcW w:w="1403" w:type="dxa"/>
            <w:tcBorders>
              <w:top w:val="single" w:sz="8" w:space="0" w:color="auto"/>
              <w:left w:val="nil"/>
              <w:bottom w:val="single" w:sz="8" w:space="0" w:color="auto"/>
              <w:right w:val="single" w:sz="8" w:space="0" w:color="auto"/>
            </w:tcBorders>
            <w:shd w:val="clear" w:color="auto" w:fill="auto"/>
            <w:noWrap/>
            <w:vAlign w:val="bottom"/>
            <w:hideMark/>
          </w:tcPr>
          <w:p w14:paraId="17E40246" w14:textId="77777777" w:rsidR="009D2A3C" w:rsidRPr="009D2A3C" w:rsidRDefault="009D2A3C" w:rsidP="009D2A3C">
            <w:pPr>
              <w:spacing w:after="0" w:line="240" w:lineRule="auto"/>
              <w:jc w:val="right"/>
              <w:rPr>
                <w:rFonts w:ascii="Calibri" w:eastAsia="Times New Roman" w:hAnsi="Calibri" w:cs="Arial"/>
                <w:b/>
                <w:bCs/>
                <w:lang w:eastAsia="cs-CZ"/>
              </w:rPr>
            </w:pPr>
            <w:r w:rsidRPr="009D2A3C">
              <w:rPr>
                <w:rFonts w:ascii="Calibri" w:eastAsia="Times New Roman" w:hAnsi="Calibri" w:cs="Arial"/>
                <w:b/>
                <w:bCs/>
                <w:lang w:eastAsia="cs-CZ"/>
              </w:rPr>
              <w:t>111 807 000</w:t>
            </w:r>
          </w:p>
        </w:tc>
        <w:tc>
          <w:tcPr>
            <w:tcW w:w="1760" w:type="dxa"/>
            <w:tcBorders>
              <w:top w:val="single" w:sz="8" w:space="0" w:color="auto"/>
              <w:left w:val="nil"/>
              <w:bottom w:val="single" w:sz="8" w:space="0" w:color="auto"/>
              <w:right w:val="single" w:sz="8" w:space="0" w:color="auto"/>
            </w:tcBorders>
            <w:shd w:val="clear" w:color="auto" w:fill="auto"/>
            <w:noWrap/>
            <w:vAlign w:val="bottom"/>
            <w:hideMark/>
          </w:tcPr>
          <w:p w14:paraId="2137F120" w14:textId="77777777" w:rsidR="009D2A3C" w:rsidRPr="009D2A3C" w:rsidRDefault="009D2A3C" w:rsidP="009D2A3C">
            <w:pPr>
              <w:spacing w:after="0" w:line="240" w:lineRule="auto"/>
              <w:jc w:val="right"/>
              <w:rPr>
                <w:rFonts w:ascii="Calibri" w:eastAsia="Times New Roman" w:hAnsi="Calibri" w:cs="Arial"/>
                <w:b/>
                <w:bCs/>
                <w:lang w:eastAsia="cs-CZ"/>
              </w:rPr>
            </w:pPr>
            <w:r w:rsidRPr="009D2A3C">
              <w:rPr>
                <w:rFonts w:ascii="Calibri" w:eastAsia="Times New Roman" w:hAnsi="Calibri" w:cs="Arial"/>
                <w:b/>
                <w:bCs/>
                <w:lang w:eastAsia="cs-CZ"/>
              </w:rPr>
              <w:t>127 636 524,16</w:t>
            </w:r>
          </w:p>
        </w:tc>
        <w:tc>
          <w:tcPr>
            <w:tcW w:w="1610" w:type="dxa"/>
            <w:tcBorders>
              <w:top w:val="single" w:sz="8" w:space="0" w:color="auto"/>
              <w:left w:val="nil"/>
              <w:bottom w:val="single" w:sz="8" w:space="0" w:color="auto"/>
              <w:right w:val="single" w:sz="8" w:space="0" w:color="auto"/>
            </w:tcBorders>
            <w:shd w:val="clear" w:color="auto" w:fill="auto"/>
            <w:noWrap/>
            <w:vAlign w:val="bottom"/>
            <w:hideMark/>
          </w:tcPr>
          <w:p w14:paraId="7A2A2D37" w14:textId="77777777" w:rsidR="009D2A3C" w:rsidRPr="009D2A3C" w:rsidRDefault="009D2A3C" w:rsidP="009D2A3C">
            <w:pPr>
              <w:spacing w:after="0" w:line="240" w:lineRule="auto"/>
              <w:jc w:val="right"/>
              <w:rPr>
                <w:rFonts w:ascii="Calibri" w:eastAsia="Times New Roman" w:hAnsi="Calibri" w:cs="Arial"/>
                <w:b/>
                <w:bCs/>
                <w:lang w:eastAsia="cs-CZ"/>
              </w:rPr>
            </w:pPr>
            <w:r w:rsidRPr="009D2A3C">
              <w:rPr>
                <w:rFonts w:ascii="Calibri" w:eastAsia="Times New Roman" w:hAnsi="Calibri" w:cs="Arial"/>
                <w:b/>
                <w:bCs/>
                <w:lang w:eastAsia="cs-CZ"/>
              </w:rPr>
              <w:t>69 684 162,66</w:t>
            </w:r>
          </w:p>
        </w:tc>
        <w:tc>
          <w:tcPr>
            <w:tcW w:w="689"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14:paraId="3F1599F5" w14:textId="77777777" w:rsidR="009D2A3C" w:rsidRPr="009D2A3C" w:rsidRDefault="009D2A3C" w:rsidP="009D2A3C">
            <w:pPr>
              <w:spacing w:after="0" w:line="240" w:lineRule="auto"/>
              <w:jc w:val="right"/>
              <w:rPr>
                <w:rFonts w:ascii="Calibri" w:eastAsia="Times New Roman" w:hAnsi="Calibri" w:cs="Arial"/>
                <w:b/>
                <w:bCs/>
                <w:lang w:eastAsia="cs-CZ"/>
              </w:rPr>
            </w:pPr>
            <w:r w:rsidRPr="009D2A3C">
              <w:rPr>
                <w:rFonts w:ascii="Calibri" w:eastAsia="Times New Roman" w:hAnsi="Calibri" w:cs="Arial"/>
                <w:b/>
                <w:bCs/>
                <w:lang w:eastAsia="cs-CZ"/>
              </w:rPr>
              <w:t>54,6</w:t>
            </w:r>
          </w:p>
        </w:tc>
      </w:tr>
    </w:tbl>
    <w:p w14:paraId="28E17C21" w14:textId="509EF2E6" w:rsidR="004E3C69" w:rsidRDefault="004E3C69"/>
    <w:p w14:paraId="7CD94774" w14:textId="36972E8B" w:rsidR="00850519" w:rsidRDefault="00850519"/>
    <w:p w14:paraId="60E158A5" w14:textId="08B7DEC7" w:rsidR="00850519" w:rsidRDefault="00850519"/>
    <w:p w14:paraId="10EA3DFB" w14:textId="77777777" w:rsidR="00850519" w:rsidRDefault="00850519"/>
    <w:p w14:paraId="25214B75" w14:textId="095881A7" w:rsidR="00850519" w:rsidRDefault="00850519"/>
    <w:p w14:paraId="5FE56323" w14:textId="77777777" w:rsidR="00850519" w:rsidRPr="00C579A4" w:rsidRDefault="00850519" w:rsidP="00850519">
      <w:pPr>
        <w:spacing w:after="0" w:line="240" w:lineRule="auto"/>
        <w:jc w:val="both"/>
        <w:rPr>
          <w:rFonts w:cs="Calibri"/>
          <w:sz w:val="28"/>
          <w:szCs w:val="28"/>
        </w:rPr>
      </w:pPr>
      <w:r w:rsidRPr="00C579A4">
        <w:rPr>
          <w:rFonts w:cs="Calibri"/>
          <w:b/>
          <w:sz w:val="28"/>
          <w:szCs w:val="28"/>
          <w:u w:val="single"/>
        </w:rPr>
        <w:lastRenderedPageBreak/>
        <w:t xml:space="preserve">Kapitola 01 – Činnost Zastupitelstva </w:t>
      </w:r>
    </w:p>
    <w:p w14:paraId="7E190E34" w14:textId="77777777" w:rsidR="00850519" w:rsidRPr="00C579A4" w:rsidRDefault="00850519" w:rsidP="00850519">
      <w:pPr>
        <w:spacing w:after="0" w:line="240" w:lineRule="auto"/>
        <w:jc w:val="both"/>
        <w:rPr>
          <w:rFonts w:cs="Calibri"/>
        </w:rPr>
      </w:pPr>
    </w:p>
    <w:p w14:paraId="2242CE96" w14:textId="77777777" w:rsidR="00850519" w:rsidRPr="00416DF1" w:rsidRDefault="00850519" w:rsidP="00850519">
      <w:pPr>
        <w:spacing w:after="0" w:line="240" w:lineRule="auto"/>
        <w:jc w:val="both"/>
        <w:rPr>
          <w:rFonts w:cs="Calibri"/>
          <w:b/>
          <w:sz w:val="24"/>
          <w:szCs w:val="24"/>
          <w:u w:val="single"/>
        </w:rPr>
      </w:pPr>
      <w:r w:rsidRPr="00416DF1">
        <w:rPr>
          <w:rFonts w:cs="Calibri"/>
          <w:b/>
          <w:sz w:val="24"/>
          <w:szCs w:val="24"/>
          <w:u w:val="single"/>
        </w:rPr>
        <w:t>Běžné výdaje</w:t>
      </w:r>
    </w:p>
    <w:p w14:paraId="77FC2755" w14:textId="77777777" w:rsidR="00850519" w:rsidRPr="00C579A4" w:rsidRDefault="00850519" w:rsidP="00850519">
      <w:pPr>
        <w:spacing w:after="0" w:line="240" w:lineRule="auto"/>
        <w:jc w:val="both"/>
        <w:rPr>
          <w:rFonts w:cs="Calibri"/>
          <w:b/>
          <w:u w:val="single"/>
        </w:rPr>
      </w:pPr>
    </w:p>
    <w:p w14:paraId="1F7DD5BA" w14:textId="77777777" w:rsidR="00850519" w:rsidRPr="00C579A4" w:rsidRDefault="00850519" w:rsidP="00850519">
      <w:pPr>
        <w:spacing w:after="0" w:line="240" w:lineRule="auto"/>
        <w:jc w:val="both"/>
        <w:rPr>
          <w:rFonts w:cs="Calibri"/>
          <w:b/>
        </w:rPr>
      </w:pPr>
      <w:r w:rsidRPr="00C579A4">
        <w:rPr>
          <w:rFonts w:cs="Calibri"/>
          <w:b/>
        </w:rPr>
        <w:t>§ 3133 – Dětské domovy</w:t>
      </w:r>
    </w:p>
    <w:p w14:paraId="2F1227E0" w14:textId="77777777" w:rsidR="00E144A7" w:rsidRDefault="00E144A7" w:rsidP="00E144A7">
      <w:pPr>
        <w:jc w:val="both"/>
      </w:pPr>
      <w:r w:rsidRPr="00E144A7">
        <w:t>Finanční prostředky ve výši 305 100,00 Kč byly usnesením č. 006-25/2021/RK ze dne 10. 6. 2021 převedeny v rámci kapitoly z § 6172 za účelem pořádání Dětského dne v HistoryParku Ledčice dne 19. 6. 2021. Z důvodu nepříznivého počasí se akce zúčastnilo méně dětí, než bylo předpokládáno, finanční prostředky byly tedy čerpány jen ve výši 132 673,00 Kč. Finanční prostředky ve výši 44 246,68 Kč byly dále čerpány na nákup mikulášských pochutin, pohoštění a zabezpečení akce Mikulášská v Příbrami pro děti z dětských domovů.</w:t>
      </w:r>
      <w:r>
        <w:t xml:space="preserve"> </w:t>
      </w:r>
    </w:p>
    <w:p w14:paraId="4AC63E1D" w14:textId="77777777" w:rsidR="00850519" w:rsidRPr="00C579A4" w:rsidRDefault="00850519" w:rsidP="00850519">
      <w:pPr>
        <w:spacing w:after="0" w:line="240" w:lineRule="auto"/>
        <w:jc w:val="both"/>
        <w:rPr>
          <w:rFonts w:cs="Calibri"/>
          <w:b/>
        </w:rPr>
      </w:pPr>
      <w:r w:rsidRPr="00C579A4">
        <w:rPr>
          <w:rFonts w:cs="Calibri"/>
          <w:b/>
        </w:rPr>
        <w:t>§ 3900 – Ostatní činnosti související se službami pro obyvatelstvo</w:t>
      </w:r>
    </w:p>
    <w:p w14:paraId="3249BDD8" w14:textId="77777777" w:rsidR="00850519" w:rsidRPr="00C579A4" w:rsidRDefault="00850519" w:rsidP="00850519">
      <w:pPr>
        <w:spacing w:after="0" w:line="240" w:lineRule="auto"/>
        <w:jc w:val="both"/>
        <w:rPr>
          <w:rFonts w:cs="Calibri"/>
        </w:rPr>
      </w:pPr>
      <w:r w:rsidRPr="00C579A4">
        <w:rPr>
          <w:rFonts w:cs="Calibri"/>
        </w:rPr>
        <w:t xml:space="preserve">Usnesením č. 039-44/2021/RK ze dne 25. 11. 2021 byl rozpočet navýšen převodem finančních prostředků ve výši 96 000,00 Kč v rámci kapitoly, z § 6172. </w:t>
      </w:r>
    </w:p>
    <w:p w14:paraId="5204E31B" w14:textId="77777777" w:rsidR="00850519" w:rsidRPr="00C579A4" w:rsidRDefault="00850519" w:rsidP="00850519">
      <w:pPr>
        <w:spacing w:after="0" w:line="240" w:lineRule="auto"/>
        <w:jc w:val="both"/>
        <w:rPr>
          <w:rFonts w:cs="Calibri"/>
        </w:rPr>
      </w:pPr>
      <w:r w:rsidRPr="00C579A4">
        <w:rPr>
          <w:rFonts w:cs="Calibri"/>
        </w:rPr>
        <w:t xml:space="preserve">V I. pololetí roku 2021 byla poskytnuta neinvestiční účelová dotace Potravinové bance Praha a Středočeský kraj ve výši 1 000 000,00 Kč (usnesení č. 023-04/2021/ZK ze dne 22. 2. 2021). </w:t>
      </w:r>
    </w:p>
    <w:p w14:paraId="20896245" w14:textId="77777777" w:rsidR="00850519" w:rsidRPr="00C579A4" w:rsidRDefault="00850519" w:rsidP="00850519">
      <w:pPr>
        <w:spacing w:after="0" w:line="240" w:lineRule="auto"/>
        <w:jc w:val="both"/>
        <w:rPr>
          <w:rFonts w:cs="Calibri"/>
        </w:rPr>
      </w:pPr>
      <w:r w:rsidRPr="00C579A4">
        <w:rPr>
          <w:rFonts w:cs="Calibri"/>
        </w:rPr>
        <w:t>Na základě usnesení 039-44/2021/RK ze dne 25. 11. 2021 poskytl v II. pololetí roku 2021 Středočeský kraj darovací smlouvou č. S-7658/KHT/2021 finanční dar ve výši 96 000,00 Kč Československé obci legionářské, z. s., darovací smlouvou č. S-7657/KHT/2021 finanční dar ve výši 40 000,00 Spolku pro zachování odkazu českého odboje Kč a individuálními smlouvami finanční dary v jednotlivé výši 8 000,00 Kč vybraným členům Českého svazu bojovníků za svobodu. Celkem bylo čerpáno 1 240 000,00 Kč. Nevyplacené finanční dary členům Českého svazu bojovníků za svobodu budou vyplaceny v roce 2022.</w:t>
      </w:r>
    </w:p>
    <w:p w14:paraId="518BB447" w14:textId="77777777" w:rsidR="00850519" w:rsidRPr="00C579A4" w:rsidRDefault="00850519" w:rsidP="00850519">
      <w:pPr>
        <w:spacing w:after="0" w:line="240" w:lineRule="auto"/>
        <w:jc w:val="both"/>
        <w:rPr>
          <w:rFonts w:cs="Calibri"/>
        </w:rPr>
      </w:pPr>
    </w:p>
    <w:p w14:paraId="778FDF02" w14:textId="77777777" w:rsidR="00850519" w:rsidRPr="00C579A4" w:rsidRDefault="00850519" w:rsidP="00850519">
      <w:pPr>
        <w:spacing w:after="0" w:line="240" w:lineRule="auto"/>
        <w:jc w:val="both"/>
        <w:rPr>
          <w:rFonts w:cs="Calibri"/>
          <w:b/>
        </w:rPr>
      </w:pPr>
      <w:r w:rsidRPr="00C579A4">
        <w:rPr>
          <w:rFonts w:cs="Calibri"/>
          <w:b/>
        </w:rPr>
        <w:t>§ 4349 – Ostatní sociální péče a pomoc ostatním skupinám obyvatelstva</w:t>
      </w:r>
    </w:p>
    <w:p w14:paraId="656B3A0C" w14:textId="77777777" w:rsidR="00850519" w:rsidRPr="00C579A4" w:rsidRDefault="00850519" w:rsidP="00850519">
      <w:pPr>
        <w:spacing w:after="0" w:line="240" w:lineRule="auto"/>
        <w:jc w:val="both"/>
        <w:rPr>
          <w:rFonts w:cs="Calibri"/>
        </w:rPr>
      </w:pPr>
      <w:r w:rsidRPr="00C579A4">
        <w:rPr>
          <w:rFonts w:cs="Calibri"/>
        </w:rPr>
        <w:t>Usnesením č. 005-01/2021/RK ze dne 7. 1. 2021 byl schválen převod finančních prostředků v rámci kapitoly z § 6113 na poskytnutí daru v celkové výši 50 000,00 Kč pro pozůstalé po panu Miroslavu Fenikovi. Finanční prostředky byly zaslány na číslo účtu veřejné sbírky obce Ohrazenice.</w:t>
      </w:r>
    </w:p>
    <w:p w14:paraId="5D9ED4F8" w14:textId="77777777" w:rsidR="00850519" w:rsidRPr="00C579A4" w:rsidRDefault="00850519" w:rsidP="00850519">
      <w:pPr>
        <w:spacing w:after="0" w:line="240" w:lineRule="auto"/>
        <w:jc w:val="both"/>
        <w:rPr>
          <w:rFonts w:cs="Calibri"/>
        </w:rPr>
      </w:pPr>
    </w:p>
    <w:p w14:paraId="315D1C8A" w14:textId="77777777" w:rsidR="00850519" w:rsidRPr="00C579A4" w:rsidRDefault="00850519" w:rsidP="00850519">
      <w:pPr>
        <w:spacing w:after="0" w:line="240" w:lineRule="auto"/>
        <w:jc w:val="both"/>
        <w:rPr>
          <w:rFonts w:cs="Calibri"/>
          <w:b/>
        </w:rPr>
      </w:pPr>
      <w:r w:rsidRPr="00C579A4">
        <w:rPr>
          <w:rFonts w:cs="Calibri"/>
          <w:b/>
        </w:rPr>
        <w:t xml:space="preserve">§ 5212 – Ochrana obyvatelstva  </w:t>
      </w:r>
    </w:p>
    <w:p w14:paraId="5C1CA9EE" w14:textId="77777777" w:rsidR="00850519" w:rsidRPr="00C579A4" w:rsidRDefault="00850519" w:rsidP="00850519">
      <w:pPr>
        <w:widowControl w:val="0"/>
        <w:spacing w:after="0" w:line="240" w:lineRule="auto"/>
        <w:jc w:val="both"/>
        <w:rPr>
          <w:rFonts w:cs="Calibri"/>
        </w:rPr>
      </w:pPr>
      <w:r w:rsidRPr="00C579A4">
        <w:rPr>
          <w:rFonts w:cs="Calibri"/>
        </w:rPr>
        <w:t xml:space="preserve">Schválený rozpočet ve výši 1 000 000,00 Kč byl navýšen usnesením č. 007-06/2021/ZK ze dne 26. 4. 2021 (rozdělení zůstatku hospodaření Středočeského kraje z roku 2020) o částku 1 808 169,78 Kč. </w:t>
      </w:r>
    </w:p>
    <w:p w14:paraId="52AFFA75" w14:textId="77777777" w:rsidR="00850519" w:rsidRPr="00C579A4" w:rsidRDefault="00850519" w:rsidP="00850519">
      <w:pPr>
        <w:widowControl w:val="0"/>
        <w:spacing w:after="0" w:line="240" w:lineRule="auto"/>
        <w:jc w:val="both"/>
        <w:rPr>
          <w:rFonts w:cs="Calibri"/>
        </w:rPr>
      </w:pPr>
      <w:r w:rsidRPr="00C579A4">
        <w:t>Usnesením č. 008-28/2021/RK ze dne 1. 7. 2021 byl rozpočet ve výši 2 808 169,78 Kč převeden do kapitoly 25 – Bezpečnost a prevence.</w:t>
      </w:r>
      <w:r w:rsidRPr="00C579A4">
        <w:rPr>
          <w:rFonts w:cs="Calibri"/>
        </w:rPr>
        <w:t xml:space="preserve"> </w:t>
      </w:r>
    </w:p>
    <w:p w14:paraId="44284307" w14:textId="77777777" w:rsidR="00850519" w:rsidRPr="00C579A4" w:rsidRDefault="00850519" w:rsidP="00850519">
      <w:pPr>
        <w:widowControl w:val="0"/>
        <w:spacing w:after="0" w:line="240" w:lineRule="auto"/>
        <w:jc w:val="both"/>
        <w:rPr>
          <w:rFonts w:cs="Calibri"/>
        </w:rPr>
      </w:pPr>
    </w:p>
    <w:p w14:paraId="57A04C4B" w14:textId="77777777" w:rsidR="00850519" w:rsidRPr="00C579A4" w:rsidRDefault="00850519" w:rsidP="00850519">
      <w:pPr>
        <w:widowControl w:val="0"/>
        <w:spacing w:after="0" w:line="240" w:lineRule="auto"/>
        <w:jc w:val="both"/>
        <w:rPr>
          <w:rFonts w:cs="Calibri"/>
          <w:b/>
        </w:rPr>
      </w:pPr>
      <w:r w:rsidRPr="00C579A4">
        <w:rPr>
          <w:rFonts w:cs="Calibri"/>
          <w:b/>
        </w:rPr>
        <w:t xml:space="preserve">§ 5213 – Krizová opatření  </w:t>
      </w:r>
    </w:p>
    <w:p w14:paraId="3B9BB08A" w14:textId="37B72EE7" w:rsidR="00850519" w:rsidRPr="00C579A4" w:rsidRDefault="00594FB0" w:rsidP="00850519">
      <w:pPr>
        <w:widowControl w:val="0"/>
        <w:spacing w:after="0" w:line="240" w:lineRule="auto"/>
        <w:jc w:val="both"/>
        <w:rPr>
          <w:rFonts w:cs="Calibri"/>
        </w:rPr>
      </w:pPr>
      <w:r>
        <w:rPr>
          <w:rFonts w:cs="Calibri"/>
        </w:rPr>
        <w:t>Schválený rozpočet ve výši 500 000,00 Kč byl navýšen f</w:t>
      </w:r>
      <w:r w:rsidR="00850519" w:rsidRPr="00C579A4">
        <w:rPr>
          <w:rFonts w:cs="Calibri"/>
        </w:rPr>
        <w:t>inanční</w:t>
      </w:r>
      <w:r>
        <w:rPr>
          <w:rFonts w:cs="Calibri"/>
        </w:rPr>
        <w:t>mi</w:t>
      </w:r>
      <w:r w:rsidR="00850519" w:rsidRPr="00C579A4">
        <w:rPr>
          <w:rFonts w:cs="Calibri"/>
        </w:rPr>
        <w:t xml:space="preserve"> prostředky ve výši 500 000,00 Kč</w:t>
      </w:r>
      <w:r>
        <w:rPr>
          <w:rFonts w:cs="Calibri"/>
        </w:rPr>
        <w:t>, které byly</w:t>
      </w:r>
      <w:r w:rsidR="00850519" w:rsidRPr="00C579A4">
        <w:rPr>
          <w:rFonts w:cs="Calibri"/>
        </w:rPr>
        <w:t xml:space="preserve"> usnesením č. 013-05/2021/RK ze dne 4. 2. 2021 převedeny z kapitoly 23 – Ostatní, Rezerva Středočeského kraje, na financování vybudování vzorového očkovacího centra. Dále byly usnesením č. 042-08/2021/RK ze dne 18. 2. 2021 a č. 009-20/2021/RK ze dne 6. 5. 2021 převedeny z kapitoly 23 – Ostatní, Rezerva Středočeského kraje, finanční prostředky ve výši 2 000 000,00 Kč na poskytnutí návratné finanční výpomoci v rámci přípravy a provozu velkokapacitních očkovacích míst. Rozpočet byl dále navýšen usnesením č. 007-06/2021/ZK ze dne 26. 4. 2021 (rozdělení zůstatku hospodaření Středočeského kraje z roku 2020) o částku 2 500 000,00 Kč. </w:t>
      </w:r>
      <w:r w:rsidR="00850519" w:rsidRPr="00C579A4">
        <w:t>Usnesením č. 008-28/2021/RK ze dne 1. 7. 2021 byl rozpočet ve výši 3 446 421,20 Kč převeden do kapitoly 25 – Bezpečnost a prevence.</w:t>
      </w:r>
      <w:r w:rsidR="00850519" w:rsidRPr="00C579A4">
        <w:rPr>
          <w:rFonts w:cs="Calibri"/>
        </w:rPr>
        <w:t xml:space="preserve"> </w:t>
      </w:r>
    </w:p>
    <w:p w14:paraId="5ED0690F" w14:textId="77777777" w:rsidR="00850519" w:rsidRPr="00C579A4" w:rsidRDefault="00850519" w:rsidP="00850519">
      <w:pPr>
        <w:widowControl w:val="0"/>
        <w:spacing w:after="0" w:line="240" w:lineRule="auto"/>
        <w:jc w:val="both"/>
        <w:rPr>
          <w:rFonts w:cs="Calibri"/>
        </w:rPr>
      </w:pPr>
      <w:r w:rsidRPr="00C579A4">
        <w:rPr>
          <w:rFonts w:cs="Calibri"/>
        </w:rPr>
        <w:t xml:space="preserve">Návratná finanční výpomoc ve výši 2 000 000,00 Kč byla poskytnuta v rámci přípravy a provozu velkokapacitních očkovacích míst Nemocnici Nymburk, s.r.o., PP Hospitals, s.r.o., Nemocnici Rudolfa a Stefanie Benešov, a.s. a Očkovacímu centru Dobřichovice, Rusnák dental care, s.r.o. (poskytnutí dotací schváleno usnesením č. 022-04/2021/ZK ze dne 22. 2. 2021 a č. 067-07/2021/ZK ze dne 31. 5. 2021). </w:t>
      </w:r>
    </w:p>
    <w:p w14:paraId="7C5B56DD" w14:textId="77777777" w:rsidR="00850519" w:rsidRPr="00C579A4" w:rsidRDefault="00850519" w:rsidP="00850519">
      <w:pPr>
        <w:widowControl w:val="0"/>
        <w:spacing w:after="0" w:line="240" w:lineRule="auto"/>
        <w:jc w:val="both"/>
        <w:rPr>
          <w:rFonts w:cs="Calibri"/>
        </w:rPr>
      </w:pPr>
      <w:r w:rsidRPr="00C579A4">
        <w:rPr>
          <w:rFonts w:cs="Calibri"/>
        </w:rPr>
        <w:t xml:space="preserve">V souvislosti s pandemií viru SARS-CoV-2, který způsobuje onemocnění COVID-19, byly finanční prostředky ve výši 53 578,80 Kč použity na dezinfekci prostor poskytovatelů sociálních služeb, kteří jsou zřízeni Středočeským krajem. </w:t>
      </w:r>
    </w:p>
    <w:p w14:paraId="57204422" w14:textId="77777777" w:rsidR="00850519" w:rsidRPr="00C579A4" w:rsidRDefault="00850519" w:rsidP="00850519">
      <w:pPr>
        <w:widowControl w:val="0"/>
        <w:spacing w:after="0" w:line="240" w:lineRule="auto"/>
        <w:jc w:val="both"/>
        <w:rPr>
          <w:rFonts w:cs="Calibri"/>
        </w:rPr>
      </w:pPr>
    </w:p>
    <w:p w14:paraId="0BE2C344" w14:textId="77777777" w:rsidR="00850519" w:rsidRPr="00C579A4" w:rsidRDefault="00850519" w:rsidP="00850519">
      <w:pPr>
        <w:widowControl w:val="0"/>
        <w:spacing w:after="0" w:line="240" w:lineRule="auto"/>
        <w:jc w:val="both"/>
        <w:rPr>
          <w:rFonts w:cs="Calibri"/>
          <w:b/>
        </w:rPr>
      </w:pPr>
      <w:r w:rsidRPr="00C579A4">
        <w:rPr>
          <w:rFonts w:cs="Calibri"/>
          <w:b/>
        </w:rPr>
        <w:t xml:space="preserve">§ 5273 – Ostatní správa v oblasti krizového řízení </w:t>
      </w:r>
    </w:p>
    <w:p w14:paraId="1569C54C" w14:textId="77777777" w:rsidR="00850519" w:rsidRPr="00C579A4" w:rsidRDefault="00850519" w:rsidP="00850519">
      <w:pPr>
        <w:widowControl w:val="0"/>
        <w:spacing w:after="0" w:line="240" w:lineRule="auto"/>
        <w:jc w:val="both"/>
        <w:rPr>
          <w:rFonts w:cs="Calibri"/>
        </w:rPr>
      </w:pPr>
      <w:r w:rsidRPr="00C579A4">
        <w:rPr>
          <w:rFonts w:cs="Calibri"/>
        </w:rPr>
        <w:t xml:space="preserve">Schválený rozpočet ve výši 1 500 000,00 Kč byl navýšen usnesením č. 007-06/2021/ZK ze dne 26. 4. 2021 (rozdělení zůstatku hospodaření Středočeského kraje z roku 2020) o částku 1 684 685,50 Kč. </w:t>
      </w:r>
      <w:r w:rsidRPr="00C579A4">
        <w:t xml:space="preserve">Usnesením č. 008-28/2021/RK ze </w:t>
      </w:r>
      <w:r w:rsidRPr="00C579A4">
        <w:lastRenderedPageBreak/>
        <w:t>dne 1. 7. 2021 byl rozpočet ve výši 3 102 225,24 převeden do kapitoly 25 – Bezpečnost a prevence</w:t>
      </w:r>
      <w:r w:rsidRPr="00C579A4">
        <w:rPr>
          <w:rFonts w:cs="Calibri"/>
        </w:rPr>
        <w:t xml:space="preserve"> </w:t>
      </w:r>
    </w:p>
    <w:p w14:paraId="15C2B3ED" w14:textId="77777777" w:rsidR="00850519" w:rsidRPr="00C579A4" w:rsidRDefault="00850519" w:rsidP="00850519">
      <w:pPr>
        <w:widowControl w:val="0"/>
        <w:spacing w:after="0" w:line="240" w:lineRule="auto"/>
        <w:jc w:val="both"/>
        <w:rPr>
          <w:rFonts w:cs="Calibri"/>
        </w:rPr>
      </w:pPr>
      <w:r w:rsidRPr="00C579A4">
        <w:rPr>
          <w:rFonts w:cs="Calibri"/>
        </w:rPr>
        <w:t>Finanční prostředky ve výši 76 230,00 Kč byly čerpány v souladu s ustanovením § 26 zákona č. 240/2000 Sb., o krizovém řízení, který stanovuje zabezpečení informačních systémů krizového řízení, na zajištění servisní a technické podpory provozovaných informačních systémů krizového řízení, Portál krizového řízení. Finanční prostředky ve výši 6 230,26 Kč byly čerpány na zajištění pohoštění na pracovním jednání se Státní správou hmotných rezerv.</w:t>
      </w:r>
    </w:p>
    <w:p w14:paraId="697D513A" w14:textId="77777777" w:rsidR="00850519" w:rsidRPr="00C579A4" w:rsidRDefault="00850519" w:rsidP="00850519">
      <w:pPr>
        <w:widowControl w:val="0"/>
        <w:spacing w:after="0" w:line="240" w:lineRule="auto"/>
        <w:jc w:val="both"/>
        <w:rPr>
          <w:rFonts w:cs="Calibri"/>
        </w:rPr>
      </w:pPr>
    </w:p>
    <w:p w14:paraId="07A21EE0" w14:textId="77777777" w:rsidR="00850519" w:rsidRPr="00C579A4" w:rsidRDefault="00850519" w:rsidP="00850519">
      <w:pPr>
        <w:widowControl w:val="0"/>
        <w:spacing w:after="0" w:line="240" w:lineRule="auto"/>
        <w:jc w:val="both"/>
        <w:rPr>
          <w:rFonts w:cs="Calibri"/>
          <w:b/>
        </w:rPr>
      </w:pPr>
      <w:r w:rsidRPr="00C579A4">
        <w:rPr>
          <w:rFonts w:cs="Calibri"/>
          <w:b/>
        </w:rPr>
        <w:t>§ 5279 – Záležitosti krizového řízení jinde nezařazené</w:t>
      </w:r>
    </w:p>
    <w:p w14:paraId="71873410" w14:textId="77777777" w:rsidR="00850519" w:rsidRPr="00C579A4" w:rsidRDefault="00850519" w:rsidP="00850519">
      <w:pPr>
        <w:widowControl w:val="0"/>
        <w:spacing w:after="0" w:line="240" w:lineRule="auto"/>
        <w:jc w:val="both"/>
        <w:rPr>
          <w:rFonts w:cs="Calibri"/>
        </w:rPr>
      </w:pPr>
      <w:r w:rsidRPr="00C579A4">
        <w:rPr>
          <w:rFonts w:cs="Calibri"/>
        </w:rPr>
        <w:t xml:space="preserve">Finanční prostředky ve výši 1 000 000,00 Kč slouží jako rezerva na přípravu zabezpečení krizových opatření podle § 25 zákona č. 240/2000 Sb., o krizovém řízení a o změně některých zákonů. Rozpočet byl navýšen usnesením č. 007-06/2021/ZK ze dne 26. 4. 2021 (rozdělení zůstatku hospodaření Středočeského kraje z roku 2020) o částku 1 192 812,00 Kč. Finanční prostředky ve výši 198 254,87 Kč byly poskytnuty Hasičskému záchrannému sboru Středočeského kraje jako neinvestiční dotace, která je využita pro opravu a zateplení střechy skladu v areálu hasičské stanice Benešov (usnesení č. 006-24/2021/RK ze dne 3. 6. 2021). Tento sklad byl v r. 2021 Středočeským krajem využíván v rámci distribuce osobních ochranných pracovních pomůcek a testů. Finanční prostředky ve výši 36 440,00 Kč byly vynaloženy na výrobu navigačních prvků pro velkokapacitní očkovací centra v Benešově, Brandýse nad Labem, Čáslavi, Kladně, Kutné Hoře, Mělníku, Rakovníku, Sedlčanech a Slaném. Finanční prostředky ve výši 22 007,00 Kč byly využity na zakoupení respirátorů s potiskem loga Středočeského kraje. </w:t>
      </w:r>
    </w:p>
    <w:p w14:paraId="6AE54EF5" w14:textId="5CD4A4A6" w:rsidR="00850519" w:rsidRPr="00C579A4" w:rsidRDefault="00850519" w:rsidP="00850519">
      <w:pPr>
        <w:widowControl w:val="0"/>
        <w:spacing w:after="0" w:line="240" w:lineRule="auto"/>
        <w:jc w:val="both"/>
        <w:rPr>
          <w:rFonts w:cs="Calibri"/>
        </w:rPr>
      </w:pPr>
      <w:r w:rsidRPr="00C579A4">
        <w:t>Usnesením č. 008-28/2021/RK ze dne 1. 7. 2021 byl rozpočet ve výši 1 936 109,61 Kč převeden do kapitoly 25 – Bezpečnost a prevence.</w:t>
      </w:r>
      <w:r w:rsidRPr="00C579A4">
        <w:rPr>
          <w:rFonts w:cs="Calibri"/>
        </w:rPr>
        <w:t xml:space="preserve"> </w:t>
      </w:r>
    </w:p>
    <w:p w14:paraId="7A1304A9" w14:textId="77777777" w:rsidR="00850519" w:rsidRPr="00C579A4" w:rsidRDefault="00850519" w:rsidP="00850519">
      <w:pPr>
        <w:widowControl w:val="0"/>
        <w:spacing w:after="0" w:line="240" w:lineRule="auto"/>
        <w:jc w:val="both"/>
        <w:rPr>
          <w:rFonts w:cs="Calibri"/>
        </w:rPr>
      </w:pPr>
    </w:p>
    <w:p w14:paraId="46A6CABE" w14:textId="77777777" w:rsidR="00850519" w:rsidRPr="00C579A4" w:rsidRDefault="00850519" w:rsidP="00850519">
      <w:pPr>
        <w:widowControl w:val="0"/>
        <w:spacing w:after="0" w:line="240" w:lineRule="auto"/>
        <w:jc w:val="both"/>
        <w:rPr>
          <w:rFonts w:cs="Calibri"/>
          <w:b/>
        </w:rPr>
      </w:pPr>
      <w:r w:rsidRPr="00C579A4">
        <w:rPr>
          <w:rFonts w:cs="Calibri"/>
          <w:b/>
        </w:rPr>
        <w:t>§ 5299 – Ostatní záležitosti civilní připravenosti na krizové stavy</w:t>
      </w:r>
    </w:p>
    <w:p w14:paraId="07BCC4E7" w14:textId="1AE2FBEC" w:rsidR="00850519" w:rsidRPr="00C579A4" w:rsidRDefault="00850519" w:rsidP="00850519">
      <w:pPr>
        <w:pStyle w:val="Default"/>
        <w:jc w:val="both"/>
        <w:rPr>
          <w:rFonts w:asciiTheme="minorHAnsi" w:hAnsiTheme="minorHAnsi"/>
          <w:sz w:val="22"/>
          <w:szCs w:val="22"/>
        </w:rPr>
      </w:pPr>
      <w:r w:rsidRPr="00C579A4">
        <w:rPr>
          <w:rFonts w:asciiTheme="minorHAnsi" w:hAnsiTheme="minorHAnsi" w:cs="Calibri"/>
          <w:sz w:val="22"/>
          <w:szCs w:val="22"/>
        </w:rPr>
        <w:t>Finanční prostředky ve výši 1 000 000,00 Kč byly usnesením č. 090-08/2021/ZK ze dne 28. 6. 2021 převedeny z kapitoly 23 – Ostatní, Rezerva Středočeského kraje, za účelem poskytnutí humanitární pomoci Jihomoravskému kraji na zmírnění následků živelní katastrofy</w:t>
      </w:r>
      <w:r w:rsidR="00457EDF" w:rsidRPr="00457EDF">
        <w:rPr>
          <w:rFonts w:asciiTheme="minorHAnsi" w:hAnsiTheme="minorHAnsi" w:cs="Calibri"/>
          <w:sz w:val="22"/>
          <w:szCs w:val="22"/>
        </w:rPr>
        <w:t>,</w:t>
      </w:r>
      <w:r w:rsidR="00457EDF" w:rsidRPr="00457EDF">
        <w:t xml:space="preserve"> </w:t>
      </w:r>
      <w:r w:rsidR="00457EDF" w:rsidRPr="00457EDF">
        <w:rPr>
          <w:rFonts w:ascii="Calibri" w:hAnsi="Calibri"/>
          <w:sz w:val="22"/>
          <w:szCs w:val="22"/>
        </w:rPr>
        <w:t>k zajištění základních životních potřeb obyvatelstva a k obnově území, které bylo zasaženo ve dnech 24.</w:t>
      </w:r>
      <w:r w:rsidR="00457EDF">
        <w:rPr>
          <w:rFonts w:ascii="Calibri" w:hAnsi="Calibri"/>
          <w:sz w:val="22"/>
          <w:szCs w:val="22"/>
        </w:rPr>
        <w:t xml:space="preserve"> </w:t>
      </w:r>
      <w:r w:rsidR="00457EDF" w:rsidRPr="00457EDF">
        <w:rPr>
          <w:rFonts w:ascii="Calibri" w:hAnsi="Calibri"/>
          <w:sz w:val="22"/>
          <w:szCs w:val="22"/>
        </w:rPr>
        <w:t>-</w:t>
      </w:r>
      <w:r w:rsidR="00457EDF">
        <w:rPr>
          <w:rFonts w:ascii="Calibri" w:hAnsi="Calibri"/>
          <w:sz w:val="22"/>
          <w:szCs w:val="22"/>
        </w:rPr>
        <w:t xml:space="preserve"> </w:t>
      </w:r>
      <w:r w:rsidR="00457EDF" w:rsidRPr="00457EDF">
        <w:rPr>
          <w:rFonts w:ascii="Calibri" w:hAnsi="Calibri"/>
          <w:sz w:val="22"/>
          <w:szCs w:val="22"/>
        </w:rPr>
        <w:t>25. 6. 2021 tornádem.</w:t>
      </w:r>
      <w:r w:rsidR="00457EDF">
        <w:t xml:space="preserve"> </w:t>
      </w:r>
      <w:r w:rsidRPr="00C579A4">
        <w:rPr>
          <w:rFonts w:asciiTheme="minorHAnsi" w:hAnsiTheme="minorHAnsi" w:cs="Calibri"/>
          <w:sz w:val="22"/>
          <w:szCs w:val="22"/>
        </w:rPr>
        <w:t xml:space="preserve">Finanční prostředky byly čerpány ve II. pololetí roku 2021, zaslány Jihomoravskému kraji na základě darovací smlouvy č. </w:t>
      </w:r>
      <w:r w:rsidRPr="00C579A4">
        <w:rPr>
          <w:rFonts w:asciiTheme="minorHAnsi" w:hAnsiTheme="minorHAnsi"/>
          <w:sz w:val="22"/>
          <w:szCs w:val="22"/>
        </w:rPr>
        <w:t>S-3721/KHT/2021.</w:t>
      </w:r>
    </w:p>
    <w:p w14:paraId="6FDA7847" w14:textId="77777777" w:rsidR="00850519" w:rsidRPr="00C579A4" w:rsidRDefault="00850519" w:rsidP="00850519">
      <w:pPr>
        <w:widowControl w:val="0"/>
        <w:spacing w:after="0" w:line="240" w:lineRule="auto"/>
        <w:jc w:val="both"/>
        <w:rPr>
          <w:rFonts w:cs="Calibri"/>
        </w:rPr>
      </w:pPr>
    </w:p>
    <w:p w14:paraId="2B453BFF" w14:textId="77777777" w:rsidR="00850519" w:rsidRPr="00C579A4" w:rsidRDefault="00850519" w:rsidP="00850519">
      <w:pPr>
        <w:widowControl w:val="0"/>
        <w:spacing w:after="0" w:line="240" w:lineRule="auto"/>
        <w:jc w:val="both"/>
        <w:rPr>
          <w:rFonts w:cs="Calibri"/>
          <w:b/>
        </w:rPr>
      </w:pPr>
      <w:r w:rsidRPr="00C579A4">
        <w:rPr>
          <w:rFonts w:cs="Calibri"/>
          <w:b/>
        </w:rPr>
        <w:t>§ 5512 – Požární ochrana – dobrovolná část</w:t>
      </w:r>
    </w:p>
    <w:p w14:paraId="1A1B7763" w14:textId="77777777" w:rsidR="00850519" w:rsidRPr="00C579A4" w:rsidRDefault="00850519" w:rsidP="00850519">
      <w:pPr>
        <w:widowControl w:val="0"/>
        <w:spacing w:after="0" w:line="240" w:lineRule="auto"/>
        <w:jc w:val="both"/>
        <w:rPr>
          <w:rFonts w:cs="Calibri"/>
        </w:rPr>
      </w:pPr>
      <w:r w:rsidRPr="00C579A4">
        <w:rPr>
          <w:rFonts w:cs="Calibri"/>
          <w:bCs/>
          <w:noProof/>
        </w:rPr>
        <w:t>Vyčleněné finanční prostředky ve výši 500 000,00 Kč jsou určeny k zajištění ustanovení zákona</w:t>
      </w:r>
      <w:r w:rsidRPr="00C579A4">
        <w:rPr>
          <w:rFonts w:cs="Calibri"/>
          <w:noProof/>
        </w:rPr>
        <w:t xml:space="preserve"> </w:t>
      </w:r>
      <w:r w:rsidRPr="00C579A4">
        <w:rPr>
          <w:rFonts w:cs="Calibri"/>
        </w:rPr>
        <w:t>č. 133/1985 Sb., o požární ochraně, ve znění pozdějších předpisů, k zajištění ustanovení § 74, který stanoví orgánům samosprávy spolupracovat s občanskými sdruženími a veřejně prospěšnými organizacemi a jinými orgány a organizacemi působícími na úseku požární ochrany a prevence pro občany. Vyčleněné finanční prostředky nebyly doposud využity.</w:t>
      </w:r>
    </w:p>
    <w:p w14:paraId="2ABFCAF6" w14:textId="77777777" w:rsidR="00850519" w:rsidRPr="00C579A4" w:rsidRDefault="00850519" w:rsidP="00850519">
      <w:pPr>
        <w:widowControl w:val="0"/>
        <w:spacing w:after="0" w:line="240" w:lineRule="auto"/>
        <w:jc w:val="both"/>
        <w:rPr>
          <w:rFonts w:cs="Calibri"/>
        </w:rPr>
      </w:pPr>
      <w:r w:rsidRPr="00C579A4">
        <w:t>Usnesením č. 008-28/2021/RK ze dne 1. 7. 2021 byl rozpočet ve výši 500 000,00 Kč převeden do kapitoly 25 – Bezpečnost a prevence</w:t>
      </w:r>
      <w:r w:rsidRPr="00C579A4">
        <w:rPr>
          <w:rFonts w:cs="Calibri"/>
        </w:rPr>
        <w:t xml:space="preserve"> </w:t>
      </w:r>
    </w:p>
    <w:p w14:paraId="1ADA0979" w14:textId="77777777" w:rsidR="00850519" w:rsidRPr="00C579A4" w:rsidRDefault="00850519" w:rsidP="00850519">
      <w:pPr>
        <w:widowControl w:val="0"/>
        <w:spacing w:after="0" w:line="240" w:lineRule="auto"/>
        <w:jc w:val="both"/>
        <w:rPr>
          <w:rFonts w:cs="Calibri"/>
        </w:rPr>
      </w:pPr>
    </w:p>
    <w:p w14:paraId="39AA3316" w14:textId="77777777" w:rsidR="00850519" w:rsidRPr="00C579A4" w:rsidRDefault="00850519" w:rsidP="00850519">
      <w:pPr>
        <w:widowControl w:val="0"/>
        <w:spacing w:after="0" w:line="240" w:lineRule="auto"/>
        <w:jc w:val="both"/>
        <w:rPr>
          <w:rFonts w:cs="Calibri"/>
          <w:b/>
        </w:rPr>
      </w:pPr>
      <w:r w:rsidRPr="00C579A4">
        <w:rPr>
          <w:rFonts w:cs="Calibri"/>
          <w:b/>
        </w:rPr>
        <w:t>§ 6113 – Zastupitelstva krajů</w:t>
      </w:r>
    </w:p>
    <w:p w14:paraId="51769B72" w14:textId="77777777" w:rsidR="00850519" w:rsidRPr="00C579A4" w:rsidRDefault="00850519" w:rsidP="00850519">
      <w:pPr>
        <w:widowControl w:val="0"/>
        <w:spacing w:after="0" w:line="240" w:lineRule="auto"/>
        <w:jc w:val="both"/>
        <w:rPr>
          <w:rFonts w:cs="Calibri"/>
        </w:rPr>
      </w:pPr>
      <w:r w:rsidRPr="00C579A4">
        <w:rPr>
          <w:rFonts w:cs="Calibri"/>
        </w:rPr>
        <w:t>Rozpočet byl navýšen usnesením č. 007-06/2021/ZK ze dne 26. 4. 2021 (rozdělení zůstatku hospodaření Středočeského kraje z roku 2020) o částku 4 018 633,65 Kč. Finanční prostředky ve výši 50 000,00 Kč byly převedeny v rámci kapitoly na § 4349 za účelem poskytnutí daru pro pozůstalé po panu Miroslavu Fenikovi (usnesení č. 005-01/2021/RK ze dne 7. 1. 2021).</w:t>
      </w:r>
      <w:r w:rsidRPr="00C579A4">
        <w:t xml:space="preserve"> Usnesením č. 008-28/2021/RK ze dne 1. 7. 2021 byl rozpočet ve výši 1 614 696,00 Kč převeden do kapitoly 02 – Činnost Krajského úřadu </w:t>
      </w:r>
      <w:r w:rsidRPr="00C579A4">
        <w:rPr>
          <w:rFonts w:cs="Calibri"/>
        </w:rPr>
        <w:t>na úhradu výdajů spojených s agendou vozového parku a telekomunikačních služeb.</w:t>
      </w:r>
    </w:p>
    <w:p w14:paraId="4E36570E" w14:textId="77777777" w:rsidR="00850519" w:rsidRPr="00C579A4" w:rsidRDefault="00850519" w:rsidP="00850519">
      <w:pPr>
        <w:spacing w:after="0" w:line="240" w:lineRule="auto"/>
        <w:jc w:val="both"/>
        <w:rPr>
          <w:rFonts w:cs="Calibri"/>
        </w:rPr>
      </w:pPr>
      <w:r w:rsidRPr="00C579A4">
        <w:rPr>
          <w:rFonts w:cs="Calibri"/>
        </w:rPr>
        <w:t xml:space="preserve">Finanční prostředky jsou určeny na výdaje spojené s činností zastupitelů, především výdaje dle nařízení vlády č. 338/2019 Sb. ze dne 9. 12. 2019, kterým se mění nařízení vlády č. 318/2017 Sb., o výši odměn členů zastupitelstev územních samosprávných celků, ve znění nařízení vlády č. 202/2018 Sb., s účinností od 1. 1. 2020, odměny uvolněným i neuvolněným zastupitelům, dále se jedná o odvody povinného pojistného na sociální zabezpečení, zdravotního pojištění, pojistného na úrazové pojištění a ostatního povinného pojištění placeného zaměstnavatelem, s tím dále souvisejí i odvody do Sociálního Fondu Středočeského kraje. Výdaje dále zahrnují provozní běžné výdaje, výdaje na opravu a údržbu majetku, operativní leasing, výdaje na cestovné při výjezdních jednáních, pohoštění při pracovních jednáních, nákup materiálu a další neinvestiční nákupy dle plánu k zajištění činnosti Zastupitelstva Středočeského kraje v daném roce, ale i peněžité dary pro obyvatelstvo, jako je narození 1. dítěte v daném roce nebo mimořádné události. </w:t>
      </w:r>
    </w:p>
    <w:p w14:paraId="15B68A7B" w14:textId="77777777" w:rsidR="00850519" w:rsidRPr="00C579A4" w:rsidRDefault="00850519" w:rsidP="00850519">
      <w:pPr>
        <w:spacing w:after="0" w:line="240" w:lineRule="auto"/>
        <w:jc w:val="both"/>
        <w:rPr>
          <w:rFonts w:cs="Calibri"/>
        </w:rPr>
      </w:pPr>
      <w:r w:rsidRPr="00C579A4">
        <w:rPr>
          <w:rFonts w:cs="Calibri"/>
        </w:rPr>
        <w:t xml:space="preserve">Z prostředků § 6113 jsou dále kryty výdaje na provoz klubů zastupitelů dle pravidel klubů zastupitelů na daný rok, úhrada nedočerpané dovolené zastupitelů z let 2016–2020, úhrada členského příspěvku </w:t>
      </w:r>
      <w:r w:rsidRPr="00C579A4">
        <w:rPr>
          <w:rFonts w:cs="Calibri"/>
          <w:bCs/>
        </w:rPr>
        <w:t xml:space="preserve">Asociaci krajů České republiky </w:t>
      </w:r>
      <w:r w:rsidRPr="00C579A4">
        <w:rPr>
          <w:rFonts w:cs="Calibri"/>
          <w:bCs/>
        </w:rPr>
        <w:lastRenderedPageBreak/>
        <w:t xml:space="preserve">pro rok 2021 z rozpočtu Středočeského kraje </w:t>
      </w:r>
      <w:r w:rsidRPr="00C579A4">
        <w:rPr>
          <w:rFonts w:cs="Calibri"/>
        </w:rPr>
        <w:t xml:space="preserve">ve výši 900 000,00 Kč nebo </w:t>
      </w:r>
      <w:r w:rsidRPr="00C579A4">
        <w:rPr>
          <w:rFonts w:cstheme="minorHAnsi"/>
        </w:rPr>
        <w:t>výdaje na konání Setkání vedení Středočeského kraje se starosty obcí a měst</w:t>
      </w:r>
      <w:r w:rsidRPr="00C579A4">
        <w:rPr>
          <w:rFonts w:cs="Calibri"/>
        </w:rPr>
        <w:t>.</w:t>
      </w:r>
    </w:p>
    <w:p w14:paraId="16EB54B9" w14:textId="5185838F" w:rsidR="00850519" w:rsidRPr="00C579A4" w:rsidRDefault="00850519" w:rsidP="00850519">
      <w:pPr>
        <w:widowControl w:val="0"/>
        <w:spacing w:after="0" w:line="240" w:lineRule="auto"/>
        <w:jc w:val="both"/>
        <w:rPr>
          <w:rFonts w:cs="Calibri"/>
        </w:rPr>
      </w:pPr>
      <w:r w:rsidRPr="00C579A4">
        <w:rPr>
          <w:rFonts w:cs="Calibri"/>
        </w:rPr>
        <w:t xml:space="preserve">Položka věcné dary byla pro rok 2021 stanovena ve výši </w:t>
      </w:r>
      <w:r w:rsidR="00594FB0">
        <w:rPr>
          <w:rFonts w:cs="Calibri"/>
        </w:rPr>
        <w:t>4</w:t>
      </w:r>
      <w:r w:rsidRPr="00C579A4">
        <w:rPr>
          <w:rFonts w:cs="Calibri"/>
        </w:rPr>
        <w:t>00 000,00 Kč. Čerpání položky bylo podmíněno schválením orgánů kraje podle zákona č. 129/2000 Sb., o krajích, ve znění pozdějších předpisů nebo bylo v souladu se Směrnicí č. 159 – Pravidla k poskytování plnění ze společenské úsluhy financovaného z kap. 01 – Činnost Zastupitelstva.</w:t>
      </w:r>
    </w:p>
    <w:p w14:paraId="5D1DEDFC" w14:textId="77777777" w:rsidR="00850519" w:rsidRPr="00C579A4" w:rsidRDefault="00850519" w:rsidP="00850519">
      <w:pPr>
        <w:widowControl w:val="0"/>
        <w:spacing w:after="0" w:line="240" w:lineRule="auto"/>
        <w:jc w:val="both"/>
        <w:rPr>
          <w:rFonts w:cs="Calibri"/>
        </w:rPr>
      </w:pPr>
      <w:r w:rsidRPr="00C579A4">
        <w:rPr>
          <w:rFonts w:cs="Calibri"/>
        </w:rPr>
        <w:t>Mzdy zastupitelů byly vyplaceny v předpokládané výši 37 622 108,19 Kč.</w:t>
      </w:r>
    </w:p>
    <w:p w14:paraId="603FBFE6" w14:textId="77777777" w:rsidR="00850519" w:rsidRPr="00C579A4" w:rsidRDefault="00850519" w:rsidP="00850519">
      <w:pPr>
        <w:spacing w:after="0" w:line="240" w:lineRule="auto"/>
        <w:jc w:val="both"/>
        <w:rPr>
          <w:rFonts w:cs="Calibri"/>
        </w:rPr>
      </w:pPr>
    </w:p>
    <w:p w14:paraId="08B1D537" w14:textId="77777777" w:rsidR="00850519" w:rsidRPr="00C579A4" w:rsidRDefault="00850519" w:rsidP="00850519">
      <w:pPr>
        <w:spacing w:after="0" w:line="240" w:lineRule="auto"/>
        <w:jc w:val="both"/>
        <w:rPr>
          <w:rFonts w:cs="Calibri"/>
          <w:b/>
        </w:rPr>
      </w:pPr>
      <w:r w:rsidRPr="00C579A4">
        <w:rPr>
          <w:rFonts w:cs="Calibri"/>
          <w:b/>
        </w:rPr>
        <w:t>§ 6172 – Činnost regionální správy</w:t>
      </w:r>
    </w:p>
    <w:p w14:paraId="294D5FB8" w14:textId="77777777" w:rsidR="00850519" w:rsidRPr="00C579A4" w:rsidRDefault="00850519" w:rsidP="00850519">
      <w:pPr>
        <w:spacing w:after="0" w:line="240" w:lineRule="auto"/>
        <w:jc w:val="both"/>
        <w:rPr>
          <w:rFonts w:cs="Calibri"/>
        </w:rPr>
      </w:pPr>
      <w:r w:rsidRPr="00C579A4">
        <w:rPr>
          <w:rFonts w:cs="Calibri"/>
        </w:rPr>
        <w:t>Usnesením č. 007-06/2021/ZK ze dne 26. 4. 2021 (rozdělení zůstatku hospodaření Středočeského kraje z roku 2020) byl rozpočet navýšen o finanční prostředky ve výši 723 563,06 Kč. Finanční prostředky ve výši 305 100,00 Kč byly převedeny v rámci kapitoly na § 3133 za účelem pořádání Dětského dne v HistoryParku Ledčice (usnesení č. 006-25/2021/RK ze dne 10. 6. 2021).</w:t>
      </w:r>
    </w:p>
    <w:p w14:paraId="185DED4A" w14:textId="77777777" w:rsidR="00850519" w:rsidRPr="00C579A4" w:rsidRDefault="00850519" w:rsidP="00850519">
      <w:pPr>
        <w:spacing w:after="0" w:line="240" w:lineRule="auto"/>
        <w:jc w:val="both"/>
        <w:rPr>
          <w:rFonts w:cs="Calibri"/>
        </w:rPr>
      </w:pPr>
      <w:r w:rsidRPr="00C579A4">
        <w:rPr>
          <w:rFonts w:cs="Calibri"/>
        </w:rPr>
        <w:t xml:space="preserve">Usnesením č. 039-44/2021/RK ze dne 25. 11. 2021 byl rozpočet snížen převodem finančních prostředků ve výši 96 000,00 Kč v rámci kapitoly na § 3900 za účelem vyplacení finančních darů členům Českého svazu bojovníků za svobodu. </w:t>
      </w:r>
    </w:p>
    <w:p w14:paraId="474DB3C6" w14:textId="39EA0F32" w:rsidR="00850519" w:rsidRDefault="00850519" w:rsidP="00457EDF">
      <w:pPr>
        <w:spacing w:after="0" w:line="240" w:lineRule="auto"/>
        <w:jc w:val="both"/>
      </w:pPr>
      <w:r w:rsidRPr="00C579A4">
        <w:rPr>
          <w:rFonts w:cs="Calibri"/>
        </w:rPr>
        <w:t xml:space="preserve">Ve výdajích na činnost regionální správy se promítají náklady vynaložené převážně na činnost oddělení tiskového a PR a také oddělení zahraniční spolupráce a protokolu. Tyto výdaje mají přípravný charakter pro činnost Zastupitelstva Středočeského kraje nebo přímo souvisí s činností Krajského úřadu Středočeského kraje. Z těchto prostředků je realizována veškerá publikační, produkční, reklamní, inzertní a prezentační činnost Odboru Kancelář hejtmanky v ČR i v zahraničí, projekty v rámci spolupráce s partnerskými regiony, konzultační a poradenské služby, nákup prezentačních materiálů, cestovní pojištění účastníků tuzemských i zahraničních cest, cestovné zaměstnanců, výdaje k přijetí návštěv Středočeského kraje a další nutné výdaje na PR a prezentaci kraje jako jsou vysílání a pořady v regionálních rádiích, PR prezentace v magazínech a tištěných médiích. Ve výdajích na činnost regionální správy se promítlo i vydávání informačního magazínu Středočeského kraje, vysílání reportáží TV Praha, vysílání reportáží v regionálních rádiích, informační Zpravodaj i akce, se kterými souvisejí grafické práce, příprava tiskových dat, fotografické služby, prezentace Středočeského kraje. </w:t>
      </w:r>
      <w:r w:rsidR="00457EDF" w:rsidRPr="00457EDF">
        <w:t>Z důvodu platnosti mimořádných opatření k zamezení šíření pandemie viru SARS-CoV-2, který způsobuje onemocnění COVID-19, byly akce realizovány v menším rozsahu, než je obvyklé, došlo také k výraznému omezení inzerce, a proto byly finanční prostředky čerpány jen ve výši 9 086 337,55 Kč.</w:t>
      </w:r>
    </w:p>
    <w:p w14:paraId="6355B892" w14:textId="77777777" w:rsidR="00457EDF" w:rsidRPr="00457EDF" w:rsidRDefault="00457EDF" w:rsidP="00457EDF">
      <w:pPr>
        <w:spacing w:after="0" w:line="240" w:lineRule="auto"/>
        <w:jc w:val="both"/>
      </w:pPr>
    </w:p>
    <w:p w14:paraId="0AF69B88" w14:textId="77777777" w:rsidR="00850519" w:rsidRPr="00C579A4" w:rsidRDefault="00850519" w:rsidP="00850519">
      <w:pPr>
        <w:spacing w:after="0" w:line="240" w:lineRule="auto"/>
        <w:jc w:val="both"/>
        <w:rPr>
          <w:rFonts w:cs="Calibri"/>
          <w:b/>
        </w:rPr>
      </w:pPr>
      <w:r w:rsidRPr="00C579A4">
        <w:rPr>
          <w:rFonts w:cs="Calibri"/>
          <w:b/>
        </w:rPr>
        <w:t>§ 6223 – Mezinárodní spolupráce (jinde nezařazená)</w:t>
      </w:r>
    </w:p>
    <w:p w14:paraId="31B979C3" w14:textId="77777777" w:rsidR="00850519" w:rsidRPr="00C579A4" w:rsidRDefault="00850519" w:rsidP="00850519">
      <w:pPr>
        <w:pStyle w:val="Prosttext"/>
        <w:jc w:val="both"/>
        <w:rPr>
          <w:rFonts w:asciiTheme="minorHAnsi" w:hAnsiTheme="minorHAnsi" w:cs="Calibri"/>
          <w:szCs w:val="22"/>
        </w:rPr>
      </w:pPr>
      <w:r w:rsidRPr="00C579A4">
        <w:rPr>
          <w:rFonts w:asciiTheme="minorHAnsi" w:hAnsiTheme="minorHAnsi" w:cs="Calibri"/>
          <w:szCs w:val="22"/>
        </w:rPr>
        <w:t>Výdaje na mezinárodní spolupráci Středočeského kraje byly usnesením č. 007-06/2021/ZK ze dne 26. 4. 2021 navýšeny o 114 282,00 Kč (rozdělení zůstatku hospodaření Středočeského kraje z roku 2020), v I. pololetí roku 2021 byly výdaje vynaloženy pouze ve výši 141 441,42 Kč. Důvodem byla pandemie viru SARS-CoV-2, který způsobuje onemocnění COVID-19. Veškeré kontakty a spolupráce byly zajišťovány on-line. Na další pololetí byla plánována spolupráce s partnerskými regiony, v rámci pracovních zahraničních cest zastupitelů a zaměstnanců Středočeského kraje, což zahrnuje výdaje na pohoštění, služby (zajištění letenek, ubytování, tlumočení atd.), dary a podobné výdaje, které se týkají zahraniční spolupráce, a také výdaje na přijetí zahraničních delegací ve Středočeském kraji (ubytování ve Středočeském kraji, tlumočení, doprava atd.). Dále byla financována podpora výherců Eurokvízu a jejich stáže v Bruselu v září 2021. Výdaje na mezinárodní spolupráci byly v roce 2021 celkem 496 158,53 Kč.</w:t>
      </w:r>
    </w:p>
    <w:p w14:paraId="33810103" w14:textId="77777777" w:rsidR="00850519" w:rsidRPr="00C579A4" w:rsidRDefault="00850519" w:rsidP="00850519">
      <w:pPr>
        <w:spacing w:after="0" w:line="240" w:lineRule="auto"/>
        <w:jc w:val="both"/>
        <w:rPr>
          <w:rFonts w:cs="Calibri"/>
        </w:rPr>
      </w:pPr>
      <w:r w:rsidRPr="00C579A4">
        <w:rPr>
          <w:rFonts w:cs="Calibri"/>
        </w:rPr>
        <w:t xml:space="preserve"> </w:t>
      </w:r>
    </w:p>
    <w:p w14:paraId="77109B64" w14:textId="77777777" w:rsidR="00850519" w:rsidRPr="00C579A4" w:rsidRDefault="00850519" w:rsidP="00850519">
      <w:pPr>
        <w:spacing w:after="0" w:line="240" w:lineRule="auto"/>
        <w:jc w:val="both"/>
        <w:rPr>
          <w:rFonts w:cs="Calibri"/>
          <w:b/>
        </w:rPr>
      </w:pPr>
      <w:r w:rsidRPr="00C579A4">
        <w:rPr>
          <w:rFonts w:cs="Calibri"/>
          <w:b/>
        </w:rPr>
        <w:t>§ 6330 – Převody vlastním fondům v rozpočtech územní úrovně</w:t>
      </w:r>
    </w:p>
    <w:p w14:paraId="53263A39" w14:textId="522E87BE" w:rsidR="00850519" w:rsidRPr="00C579A4" w:rsidRDefault="00850519" w:rsidP="00850519">
      <w:pPr>
        <w:spacing w:after="0" w:line="240" w:lineRule="auto"/>
        <w:jc w:val="both"/>
        <w:rPr>
          <w:rFonts w:cs="Calibri"/>
        </w:rPr>
      </w:pPr>
      <w:r w:rsidRPr="00C579A4">
        <w:rPr>
          <w:rFonts w:cs="Calibri"/>
        </w:rPr>
        <w:t>Rozpočet je tvořen rozpočtovanou výší mzdových prostředků dle schválených Pravidel tvorby Sociálního fondu, tj. stanoveným procentem přídělů z hrubých mezd členů Zastupitelstva Středočeského kraje. Usnesením č. 059-05/2021/RK ze dne 4. 2. 2021 byly schváleny převody Sociálnímu fondu v celkové výši 835</w:t>
      </w:r>
      <w:r w:rsidR="001F6D11">
        <w:rPr>
          <w:rFonts w:cs="Calibri"/>
        </w:rPr>
        <w:t> </w:t>
      </w:r>
      <w:r w:rsidRPr="00C579A4">
        <w:rPr>
          <w:rFonts w:cs="Calibri"/>
        </w:rPr>
        <w:t xml:space="preserve">000,00 Kč. </w:t>
      </w:r>
    </w:p>
    <w:p w14:paraId="7C946FF3" w14:textId="77777777" w:rsidR="00850519" w:rsidRPr="00C579A4" w:rsidRDefault="00850519" w:rsidP="00850519">
      <w:pPr>
        <w:spacing w:after="0" w:line="240" w:lineRule="auto"/>
        <w:jc w:val="both"/>
        <w:rPr>
          <w:rFonts w:cs="Calibri"/>
        </w:rPr>
      </w:pPr>
    </w:p>
    <w:p w14:paraId="6597B5E9" w14:textId="77777777" w:rsidR="00850519" w:rsidRPr="00C579A4" w:rsidRDefault="00850519" w:rsidP="00850519">
      <w:pPr>
        <w:widowControl w:val="0"/>
        <w:spacing w:after="0" w:line="240" w:lineRule="auto"/>
        <w:jc w:val="both"/>
        <w:rPr>
          <w:rFonts w:cs="Calibri"/>
          <w:b/>
        </w:rPr>
      </w:pPr>
      <w:r w:rsidRPr="00C579A4">
        <w:rPr>
          <w:rFonts w:cs="Calibri"/>
          <w:b/>
        </w:rPr>
        <w:t>§ 6409 – Ostatní činnosti jinde nezařazené – Sociální fond</w:t>
      </w:r>
    </w:p>
    <w:p w14:paraId="082A9692" w14:textId="77777777" w:rsidR="00850519" w:rsidRPr="00C579A4" w:rsidRDefault="00850519" w:rsidP="00850519">
      <w:pPr>
        <w:widowControl w:val="0"/>
        <w:spacing w:after="0" w:line="240" w:lineRule="auto"/>
        <w:jc w:val="both"/>
        <w:rPr>
          <w:rFonts w:cs="Calibri"/>
        </w:rPr>
      </w:pPr>
      <w:r w:rsidRPr="00C579A4">
        <w:rPr>
          <w:rFonts w:cs="Calibri"/>
        </w:rPr>
        <w:t>Finanční prostředky do Sociálního fondu se na počátku rozpočtového roku převádí z tohoto paragrafu na paragraf 6330 (usnesení č. 059-05/2021/RK ze dne 4. 2. 2021), ze kterého se provádí čtvrtletní odvody do Sociálního fondu Středočeského kraje.</w:t>
      </w:r>
    </w:p>
    <w:p w14:paraId="64DF1A3B" w14:textId="77777777" w:rsidR="00850519" w:rsidRPr="00C579A4" w:rsidRDefault="00850519" w:rsidP="00850519">
      <w:pPr>
        <w:widowControl w:val="0"/>
        <w:spacing w:after="0" w:line="240" w:lineRule="auto"/>
        <w:jc w:val="both"/>
        <w:rPr>
          <w:rFonts w:cs="Calibri"/>
          <w:b/>
          <w:u w:val="single"/>
        </w:rPr>
      </w:pPr>
    </w:p>
    <w:p w14:paraId="5DFE364E" w14:textId="77777777" w:rsidR="00850519" w:rsidRPr="00C579A4" w:rsidRDefault="00850519" w:rsidP="00850519">
      <w:pPr>
        <w:spacing w:after="0" w:line="240" w:lineRule="auto"/>
        <w:jc w:val="both"/>
        <w:rPr>
          <w:rFonts w:cs="Calibri"/>
          <w:b/>
          <w:sz w:val="24"/>
          <w:szCs w:val="24"/>
          <w:u w:val="single"/>
        </w:rPr>
      </w:pPr>
      <w:r w:rsidRPr="00C579A4">
        <w:rPr>
          <w:rFonts w:cs="Calibri"/>
          <w:b/>
          <w:sz w:val="24"/>
          <w:szCs w:val="24"/>
          <w:u w:val="single"/>
        </w:rPr>
        <w:t>Fondy</w:t>
      </w:r>
    </w:p>
    <w:p w14:paraId="7C762540" w14:textId="77777777" w:rsidR="00850519" w:rsidRPr="00C579A4" w:rsidRDefault="00850519" w:rsidP="00850519">
      <w:pPr>
        <w:spacing w:after="0" w:line="240" w:lineRule="auto"/>
        <w:jc w:val="both"/>
        <w:rPr>
          <w:rFonts w:cs="Calibri"/>
        </w:rPr>
      </w:pPr>
    </w:p>
    <w:p w14:paraId="5B7FFD10" w14:textId="77777777" w:rsidR="00850519" w:rsidRPr="00C579A4" w:rsidRDefault="00850519" w:rsidP="00850519">
      <w:pPr>
        <w:widowControl w:val="0"/>
        <w:spacing w:after="0" w:line="240" w:lineRule="auto"/>
        <w:jc w:val="both"/>
        <w:rPr>
          <w:rFonts w:cs="Calibri"/>
          <w:b/>
        </w:rPr>
      </w:pPr>
      <w:r w:rsidRPr="00C579A4">
        <w:rPr>
          <w:rFonts w:cs="Calibri"/>
          <w:b/>
        </w:rPr>
        <w:t>Středočeský Fond podpory dobrovolných hasičů a složek IZS</w:t>
      </w:r>
    </w:p>
    <w:p w14:paraId="581C2F8B" w14:textId="5E1A66C7" w:rsidR="00850519" w:rsidRPr="00C579A4" w:rsidRDefault="00850519" w:rsidP="00850519">
      <w:pPr>
        <w:widowControl w:val="0"/>
        <w:spacing w:after="0" w:line="240" w:lineRule="auto"/>
        <w:jc w:val="both"/>
        <w:rPr>
          <w:rFonts w:cs="Calibri"/>
        </w:rPr>
      </w:pPr>
      <w:r w:rsidRPr="00C579A4">
        <w:rPr>
          <w:rFonts w:cs="Calibri"/>
        </w:rPr>
        <w:lastRenderedPageBreak/>
        <w:t>Usnesením č. 007-04/2021/ZK ze dne 22. 2. 2021 bylo schváleno navýšení rozpočtu Středočeského kraje o prostředky ze sdílených daní a nevyčerpané prostředky z roku 2020 a do Středočeského Fondu podpory dobrovolných hasičů a složek IZS byla alokována částka 42 000 000,00 Kč. Rozpočet fondu byl navýšen usnesením č. 007-06/2021/ZK ze dne 26. 4. 2021 (rozdělení zůstatku hospodaření Středočeského kraje z roku 2020) o částku 7 432 946,20 Kč. Usnesením č. 085-08/2021/ZK ze dne 28. 6. 2021 byl rozpočet fondu navýšen o 2 000 000,00 Kč převodem z kapitoly 23 – Ostatní, výdaje dle programů.</w:t>
      </w:r>
      <w:r w:rsidRPr="00C579A4">
        <w:t xml:space="preserve"> Usnesením č. 008-28/2021/RK ze dne 1. 7. 2021 byl rozpočet Fondu ve výši 49 932 946,20 Kč převeden do kapitoly 25 – Bezpečnost a prevence.</w:t>
      </w:r>
    </w:p>
    <w:p w14:paraId="4C58D471" w14:textId="77777777" w:rsidR="00850519" w:rsidRPr="00C579A4" w:rsidRDefault="00850519" w:rsidP="00850519">
      <w:pPr>
        <w:widowControl w:val="0"/>
        <w:spacing w:after="0" w:line="240" w:lineRule="auto"/>
        <w:jc w:val="both"/>
        <w:rPr>
          <w:rFonts w:cs="Calibri"/>
        </w:rPr>
      </w:pPr>
      <w:r w:rsidRPr="00C579A4">
        <w:rPr>
          <w:rFonts w:cs="Calibri"/>
        </w:rPr>
        <w:t>Finanční prostředky v celkové výši 1 500 000,00 Kč byly čerpány v souladu s usnesením č. 009-23/2020/ZK ze dne 20. 4. 2020. Dotace ze Středočeského Fondu podpory dobrovolných hasičů a složek IZS se poskytují na základě uzavřených smluv.</w:t>
      </w:r>
    </w:p>
    <w:p w14:paraId="06DAD0F1" w14:textId="77777777" w:rsidR="00850519" w:rsidRPr="00C579A4" w:rsidRDefault="00850519" w:rsidP="00850519">
      <w:pPr>
        <w:widowControl w:val="0"/>
        <w:spacing w:after="0" w:line="240" w:lineRule="auto"/>
        <w:jc w:val="both"/>
        <w:rPr>
          <w:rFonts w:cs="Calibri"/>
        </w:rPr>
      </w:pPr>
    </w:p>
    <w:p w14:paraId="138E5185" w14:textId="77777777" w:rsidR="00850519" w:rsidRPr="00C579A4" w:rsidRDefault="00850519" w:rsidP="00850519">
      <w:pPr>
        <w:spacing w:after="0" w:line="240" w:lineRule="auto"/>
        <w:jc w:val="both"/>
        <w:rPr>
          <w:rFonts w:cs="Calibri"/>
          <w:b/>
        </w:rPr>
      </w:pPr>
      <w:r w:rsidRPr="00C579A4">
        <w:rPr>
          <w:rFonts w:cs="Calibri"/>
          <w:b/>
        </w:rPr>
        <w:t xml:space="preserve">Středočeský Fond hejtmanky </w:t>
      </w:r>
    </w:p>
    <w:p w14:paraId="55DA15FC" w14:textId="77777777" w:rsidR="00850519" w:rsidRPr="00C579A4" w:rsidRDefault="00850519" w:rsidP="00850519">
      <w:pPr>
        <w:spacing w:after="0" w:line="240" w:lineRule="auto"/>
        <w:jc w:val="both"/>
        <w:rPr>
          <w:rFonts w:cs="Calibri"/>
        </w:rPr>
      </w:pPr>
      <w:r w:rsidRPr="00C579A4">
        <w:rPr>
          <w:rFonts w:cs="Calibri"/>
        </w:rPr>
        <w:t>Usnesením č. 007-06/2021/ZK ze dne 26. 4. 2021 (rozdělení zůstatku hospodaření Středočeského kraje z roku 2020) byl schválen rozpočet fondu ve výši 12 195 000,00 Kč.</w:t>
      </w:r>
    </w:p>
    <w:p w14:paraId="2A8A4701" w14:textId="64DB24CE" w:rsidR="00850519" w:rsidRPr="007412EA" w:rsidRDefault="00850519" w:rsidP="00850519">
      <w:pPr>
        <w:spacing w:after="0" w:line="240" w:lineRule="auto"/>
        <w:jc w:val="both"/>
        <w:rPr>
          <w:rFonts w:cs="Calibri"/>
        </w:rPr>
      </w:pPr>
      <w:r w:rsidRPr="00C579A4">
        <w:rPr>
          <w:rFonts w:cs="Calibri"/>
        </w:rPr>
        <w:t xml:space="preserve">Usneseními </w:t>
      </w:r>
      <w:r w:rsidRPr="00C579A4">
        <w:rPr>
          <w:rFonts w:cs="Calibri"/>
          <w:bCs/>
        </w:rPr>
        <w:t>č. 005-19/2021/RK zde dne 29. 4. 2021, č. 004-22/2021/RK ze dne 20. 5. 2021, č. 007-07/2021/ZK ze dne 31. 5. 2021, č. 074-25/2021/RK ze dne 10. 6. 2021, č. 065-27/2021/RK ze dne 24. 6. 2021, č. 007-08/2021/ZK ze dne 28. 6. 2021, č. 004-29/2021/RK ze dne 15. 7. 2021, č. 100-30/2021/RK ze dne 29. 7. 2021, č. 004-32/2021/RK ze dne 26. 8. 2021, č. 007-09/2021/ZK ze dne 13. 9. 2021, č. 028-35/2021/RK ze dne 16. 9. 2021, č. 039-36/2021/RK ze dne 23. 9. 2021, č. 041-38/21/RK ze dne 7. 10. 2021, č. 047-39/2021/RK ze dne 14. 10. 2021, č. 005-40/2021/RK ze dne 21. 10. 2021, č. 007-10/2021/ZK ze dne 25. 10. 2021, č. 068-41/2021/RK ze dne 04. 11. 2021, č. 011-11/2021/ZK ze dne 29. 11. 2021, č. 078-46/2021/RK ze dne 9. 12. 2021, č. 121-47/2021/RK ze dne 16. 12. 2021</w:t>
      </w:r>
      <w:r w:rsidRPr="00C579A4">
        <w:rPr>
          <w:rFonts w:cs="Calibri"/>
        </w:rPr>
        <w:t xml:space="preserve"> byly schváleny výdaje na podporu žadatelů; v</w:t>
      </w:r>
      <w:r w:rsidR="001F6D11">
        <w:rPr>
          <w:rFonts w:cs="Calibri"/>
        </w:rPr>
        <w:t> roce 2021</w:t>
      </w:r>
      <w:r w:rsidRPr="00C579A4">
        <w:rPr>
          <w:rFonts w:cs="Calibri"/>
        </w:rPr>
        <w:t xml:space="preserve"> byly schváleny a vyplaceny výdaje v celkové výši 9 208 749,63 Kč.</w:t>
      </w:r>
    </w:p>
    <w:p w14:paraId="15D2BEC4" w14:textId="055876D1" w:rsidR="00850519" w:rsidRDefault="00850519" w:rsidP="00850519">
      <w:pPr>
        <w:spacing w:after="0" w:line="240" w:lineRule="auto"/>
        <w:jc w:val="both"/>
        <w:rPr>
          <w:rFonts w:cs="Calibri"/>
        </w:rPr>
      </w:pPr>
    </w:p>
    <w:p w14:paraId="2DD2DEFB" w14:textId="0DC11FB9" w:rsidR="00850519" w:rsidRDefault="00850519" w:rsidP="00850519">
      <w:pPr>
        <w:spacing w:after="0" w:line="240" w:lineRule="auto"/>
        <w:jc w:val="both"/>
        <w:rPr>
          <w:rFonts w:cs="Calibri"/>
        </w:rPr>
      </w:pPr>
    </w:p>
    <w:p w14:paraId="44EABC32" w14:textId="7C42A8A5" w:rsidR="00850519" w:rsidRDefault="00850519" w:rsidP="00850519">
      <w:pPr>
        <w:spacing w:after="0" w:line="240" w:lineRule="auto"/>
        <w:jc w:val="both"/>
        <w:rPr>
          <w:rFonts w:cs="Calibri"/>
        </w:rPr>
      </w:pPr>
    </w:p>
    <w:p w14:paraId="244CC405" w14:textId="3008B3E2" w:rsidR="00850519" w:rsidRDefault="00850519" w:rsidP="00850519">
      <w:pPr>
        <w:spacing w:after="0" w:line="240" w:lineRule="auto"/>
        <w:jc w:val="both"/>
        <w:rPr>
          <w:rFonts w:cs="Calibri"/>
        </w:rPr>
      </w:pPr>
    </w:p>
    <w:p w14:paraId="58E9A431" w14:textId="164CC365" w:rsidR="00850519" w:rsidRDefault="00850519" w:rsidP="00850519">
      <w:pPr>
        <w:spacing w:after="0" w:line="240" w:lineRule="auto"/>
        <w:jc w:val="both"/>
        <w:rPr>
          <w:rFonts w:cs="Calibri"/>
        </w:rPr>
      </w:pPr>
    </w:p>
    <w:p w14:paraId="19F0BA22" w14:textId="432165EB" w:rsidR="00850519" w:rsidRDefault="00850519" w:rsidP="00850519">
      <w:pPr>
        <w:spacing w:after="0" w:line="240" w:lineRule="auto"/>
        <w:jc w:val="both"/>
        <w:rPr>
          <w:rFonts w:cs="Calibri"/>
        </w:rPr>
      </w:pPr>
    </w:p>
    <w:p w14:paraId="734FD1B8" w14:textId="582D6884" w:rsidR="00850519" w:rsidRDefault="00850519" w:rsidP="00850519">
      <w:pPr>
        <w:spacing w:after="0" w:line="240" w:lineRule="auto"/>
        <w:jc w:val="both"/>
        <w:rPr>
          <w:rFonts w:cs="Calibri"/>
        </w:rPr>
      </w:pPr>
    </w:p>
    <w:p w14:paraId="610F86B6" w14:textId="2BAFF080" w:rsidR="00850519" w:rsidRDefault="00850519" w:rsidP="00850519">
      <w:pPr>
        <w:spacing w:after="0" w:line="240" w:lineRule="auto"/>
        <w:jc w:val="both"/>
        <w:rPr>
          <w:rFonts w:cs="Calibri"/>
        </w:rPr>
      </w:pPr>
    </w:p>
    <w:p w14:paraId="17AA260F" w14:textId="7582D2D4" w:rsidR="00850519" w:rsidRDefault="00850519" w:rsidP="00850519">
      <w:pPr>
        <w:spacing w:after="0" w:line="240" w:lineRule="auto"/>
        <w:jc w:val="both"/>
        <w:rPr>
          <w:rFonts w:cs="Calibri"/>
        </w:rPr>
      </w:pPr>
    </w:p>
    <w:p w14:paraId="36DF16DD" w14:textId="277CDBE7" w:rsidR="00850519" w:rsidRDefault="00850519" w:rsidP="00850519">
      <w:pPr>
        <w:spacing w:after="0" w:line="240" w:lineRule="auto"/>
        <w:jc w:val="both"/>
        <w:rPr>
          <w:rFonts w:cs="Calibri"/>
        </w:rPr>
      </w:pPr>
    </w:p>
    <w:p w14:paraId="7C0CE88F" w14:textId="1642A645" w:rsidR="00850519" w:rsidRDefault="00850519" w:rsidP="00850519">
      <w:pPr>
        <w:spacing w:after="0" w:line="240" w:lineRule="auto"/>
        <w:jc w:val="both"/>
        <w:rPr>
          <w:rFonts w:cs="Calibri"/>
        </w:rPr>
      </w:pPr>
    </w:p>
    <w:p w14:paraId="15F16356" w14:textId="687C8B8B" w:rsidR="00850519" w:rsidRDefault="00850519" w:rsidP="00850519">
      <w:pPr>
        <w:spacing w:after="0" w:line="240" w:lineRule="auto"/>
        <w:jc w:val="both"/>
        <w:rPr>
          <w:rFonts w:cs="Calibri"/>
        </w:rPr>
      </w:pPr>
    </w:p>
    <w:p w14:paraId="0D024145" w14:textId="2A8EAB84" w:rsidR="00850519" w:rsidRDefault="00850519" w:rsidP="00850519">
      <w:pPr>
        <w:spacing w:after="0" w:line="240" w:lineRule="auto"/>
        <w:jc w:val="both"/>
        <w:rPr>
          <w:rFonts w:cs="Calibri"/>
        </w:rPr>
      </w:pPr>
    </w:p>
    <w:p w14:paraId="3E56AA50" w14:textId="1DD0A438" w:rsidR="00850519" w:rsidRDefault="00850519" w:rsidP="00850519">
      <w:pPr>
        <w:spacing w:after="0" w:line="240" w:lineRule="auto"/>
        <w:jc w:val="both"/>
        <w:rPr>
          <w:rFonts w:cs="Calibri"/>
        </w:rPr>
      </w:pPr>
    </w:p>
    <w:p w14:paraId="6838B40F" w14:textId="62609ABC" w:rsidR="00850519" w:rsidRDefault="00850519" w:rsidP="00850519">
      <w:pPr>
        <w:spacing w:after="0" w:line="240" w:lineRule="auto"/>
        <w:jc w:val="both"/>
        <w:rPr>
          <w:rFonts w:cs="Calibri"/>
        </w:rPr>
      </w:pPr>
    </w:p>
    <w:p w14:paraId="2F1CFEBB" w14:textId="06651D03" w:rsidR="00850519" w:rsidRDefault="00850519" w:rsidP="00850519">
      <w:pPr>
        <w:spacing w:after="0" w:line="240" w:lineRule="auto"/>
        <w:jc w:val="both"/>
        <w:rPr>
          <w:rFonts w:cs="Calibri"/>
        </w:rPr>
      </w:pPr>
    </w:p>
    <w:p w14:paraId="70169DBB" w14:textId="2EADFE21" w:rsidR="00850519" w:rsidRDefault="00850519" w:rsidP="00850519">
      <w:pPr>
        <w:spacing w:after="0" w:line="240" w:lineRule="auto"/>
        <w:jc w:val="both"/>
        <w:rPr>
          <w:rFonts w:cs="Calibri"/>
        </w:rPr>
      </w:pPr>
    </w:p>
    <w:p w14:paraId="63FB00BE" w14:textId="2F58612D" w:rsidR="00850519" w:rsidRDefault="00850519" w:rsidP="00850519">
      <w:pPr>
        <w:spacing w:after="0" w:line="240" w:lineRule="auto"/>
        <w:jc w:val="both"/>
        <w:rPr>
          <w:rFonts w:cs="Calibri"/>
        </w:rPr>
      </w:pPr>
    </w:p>
    <w:p w14:paraId="6C94C141" w14:textId="4327F4FF" w:rsidR="00850519" w:rsidRDefault="00850519" w:rsidP="00850519">
      <w:pPr>
        <w:spacing w:after="0" w:line="240" w:lineRule="auto"/>
        <w:jc w:val="both"/>
        <w:rPr>
          <w:rFonts w:cs="Calibri"/>
        </w:rPr>
      </w:pPr>
    </w:p>
    <w:p w14:paraId="6EEEA0EB" w14:textId="53A03FBF" w:rsidR="00FA48C7" w:rsidRDefault="00FA48C7" w:rsidP="00850519">
      <w:pPr>
        <w:spacing w:after="0" w:line="240" w:lineRule="auto"/>
        <w:jc w:val="both"/>
        <w:rPr>
          <w:rFonts w:cs="Calibri"/>
        </w:rPr>
      </w:pPr>
    </w:p>
    <w:p w14:paraId="45BA5D46" w14:textId="19992CEF" w:rsidR="00FA48C7" w:rsidRDefault="00FA48C7" w:rsidP="00850519">
      <w:pPr>
        <w:spacing w:after="0" w:line="240" w:lineRule="auto"/>
        <w:jc w:val="both"/>
        <w:rPr>
          <w:rFonts w:cs="Calibri"/>
        </w:rPr>
      </w:pPr>
    </w:p>
    <w:p w14:paraId="245D92E2" w14:textId="34D8BB93" w:rsidR="00FA48C7" w:rsidRDefault="00FA48C7" w:rsidP="00850519">
      <w:pPr>
        <w:spacing w:after="0" w:line="240" w:lineRule="auto"/>
        <w:jc w:val="both"/>
        <w:rPr>
          <w:rFonts w:cs="Calibri"/>
        </w:rPr>
      </w:pPr>
    </w:p>
    <w:p w14:paraId="79A0B736" w14:textId="25A19764" w:rsidR="00FA48C7" w:rsidRDefault="00FA48C7" w:rsidP="00850519">
      <w:pPr>
        <w:spacing w:after="0" w:line="240" w:lineRule="auto"/>
        <w:jc w:val="both"/>
        <w:rPr>
          <w:rFonts w:cs="Calibri"/>
        </w:rPr>
      </w:pPr>
    </w:p>
    <w:p w14:paraId="4339AC12" w14:textId="168B1917" w:rsidR="00FA48C7" w:rsidRDefault="00FA48C7" w:rsidP="00850519">
      <w:pPr>
        <w:spacing w:after="0" w:line="240" w:lineRule="auto"/>
        <w:jc w:val="both"/>
        <w:rPr>
          <w:rFonts w:cs="Calibri"/>
        </w:rPr>
      </w:pPr>
    </w:p>
    <w:p w14:paraId="714E4611" w14:textId="62E2FBA6" w:rsidR="00FA48C7" w:rsidRDefault="00FA48C7" w:rsidP="00850519">
      <w:pPr>
        <w:spacing w:after="0" w:line="240" w:lineRule="auto"/>
        <w:jc w:val="both"/>
        <w:rPr>
          <w:rFonts w:cs="Calibri"/>
        </w:rPr>
      </w:pPr>
    </w:p>
    <w:p w14:paraId="38DD0AB6" w14:textId="12F0C82E" w:rsidR="00FA48C7" w:rsidRDefault="00FA48C7" w:rsidP="00850519">
      <w:pPr>
        <w:spacing w:after="0" w:line="240" w:lineRule="auto"/>
        <w:jc w:val="both"/>
        <w:rPr>
          <w:rFonts w:cs="Calibri"/>
        </w:rPr>
      </w:pPr>
    </w:p>
    <w:p w14:paraId="3A3C3AF1" w14:textId="33AE0C2A" w:rsidR="00FA48C7" w:rsidRDefault="00FA48C7" w:rsidP="00850519">
      <w:pPr>
        <w:spacing w:after="0" w:line="240" w:lineRule="auto"/>
        <w:jc w:val="both"/>
        <w:rPr>
          <w:rFonts w:cs="Calibri"/>
        </w:rPr>
      </w:pPr>
    </w:p>
    <w:p w14:paraId="37156E37" w14:textId="4C320E58" w:rsidR="00FA48C7" w:rsidRDefault="00FA48C7" w:rsidP="00850519">
      <w:pPr>
        <w:spacing w:after="0" w:line="240" w:lineRule="auto"/>
        <w:jc w:val="both"/>
        <w:rPr>
          <w:rFonts w:cs="Calibri"/>
        </w:rPr>
      </w:pPr>
    </w:p>
    <w:p w14:paraId="375D220E" w14:textId="0AF055FF" w:rsidR="00FA48C7" w:rsidRDefault="00FA48C7" w:rsidP="00850519">
      <w:pPr>
        <w:spacing w:after="0" w:line="240" w:lineRule="auto"/>
        <w:jc w:val="both"/>
        <w:rPr>
          <w:rFonts w:cs="Calibri"/>
        </w:rPr>
      </w:pPr>
    </w:p>
    <w:p w14:paraId="411FC21F" w14:textId="7A66F8B9" w:rsidR="00FA48C7" w:rsidRDefault="00FA48C7" w:rsidP="00850519">
      <w:pPr>
        <w:spacing w:after="0" w:line="240" w:lineRule="auto"/>
        <w:jc w:val="both"/>
        <w:rPr>
          <w:rFonts w:cs="Calibri"/>
        </w:rPr>
      </w:pPr>
    </w:p>
    <w:p w14:paraId="47ED9E9E" w14:textId="01EB01C6" w:rsidR="00850519" w:rsidRDefault="00850519" w:rsidP="00850519">
      <w:pPr>
        <w:spacing w:after="0" w:line="240" w:lineRule="auto"/>
        <w:jc w:val="both"/>
        <w:rPr>
          <w:rFonts w:cs="Calibri"/>
        </w:rPr>
      </w:pPr>
    </w:p>
    <w:tbl>
      <w:tblPr>
        <w:tblW w:w="10490" w:type="dxa"/>
        <w:tblInd w:w="-142" w:type="dxa"/>
        <w:tblCellMar>
          <w:left w:w="70" w:type="dxa"/>
          <w:right w:w="70" w:type="dxa"/>
        </w:tblCellMar>
        <w:tblLook w:val="04A0" w:firstRow="1" w:lastRow="0" w:firstColumn="1" w:lastColumn="0" w:noHBand="0" w:noVBand="1"/>
      </w:tblPr>
      <w:tblGrid>
        <w:gridCol w:w="851"/>
        <w:gridCol w:w="4678"/>
        <w:gridCol w:w="1276"/>
        <w:gridCol w:w="1559"/>
        <w:gridCol w:w="1417"/>
        <w:gridCol w:w="709"/>
      </w:tblGrid>
      <w:tr w:rsidR="00AA3433" w:rsidRPr="00AA3433" w14:paraId="2F7E086C" w14:textId="77777777" w:rsidTr="001F6D11">
        <w:trPr>
          <w:trHeight w:val="370"/>
        </w:trPr>
        <w:tc>
          <w:tcPr>
            <w:tcW w:w="10490" w:type="dxa"/>
            <w:gridSpan w:val="6"/>
            <w:tcBorders>
              <w:top w:val="nil"/>
              <w:left w:val="nil"/>
              <w:bottom w:val="nil"/>
              <w:right w:val="nil"/>
            </w:tcBorders>
            <w:shd w:val="clear" w:color="auto" w:fill="auto"/>
            <w:noWrap/>
            <w:vAlign w:val="center"/>
            <w:hideMark/>
          </w:tcPr>
          <w:p w14:paraId="7AA538B9" w14:textId="77777777" w:rsidR="00AA3433" w:rsidRPr="00AA3433" w:rsidRDefault="00AA3433" w:rsidP="00AA3433">
            <w:pPr>
              <w:spacing w:after="0" w:line="240" w:lineRule="auto"/>
              <w:jc w:val="center"/>
              <w:rPr>
                <w:rFonts w:ascii="Calibri" w:eastAsia="Times New Roman" w:hAnsi="Calibri" w:cs="Arial"/>
                <w:b/>
                <w:bCs/>
                <w:sz w:val="28"/>
                <w:szCs w:val="28"/>
                <w:lang w:eastAsia="cs-CZ"/>
              </w:rPr>
            </w:pPr>
            <w:r w:rsidRPr="00AA3433">
              <w:rPr>
                <w:rFonts w:ascii="Calibri" w:eastAsia="Times New Roman" w:hAnsi="Calibri" w:cs="Arial"/>
                <w:b/>
                <w:bCs/>
                <w:sz w:val="28"/>
                <w:szCs w:val="28"/>
                <w:lang w:eastAsia="cs-CZ"/>
              </w:rPr>
              <w:lastRenderedPageBreak/>
              <w:t>Čerpání rozpočtu kapitoly 02 - Činnost Krajského úřadu:  1. - 12. 2021</w:t>
            </w:r>
          </w:p>
        </w:tc>
      </w:tr>
      <w:tr w:rsidR="00AA3433" w:rsidRPr="00AA3433" w14:paraId="16B062AB" w14:textId="77777777" w:rsidTr="001F6D11">
        <w:trPr>
          <w:trHeight w:val="380"/>
        </w:trPr>
        <w:tc>
          <w:tcPr>
            <w:tcW w:w="851" w:type="dxa"/>
            <w:tcBorders>
              <w:top w:val="nil"/>
              <w:left w:val="nil"/>
              <w:bottom w:val="nil"/>
              <w:right w:val="nil"/>
            </w:tcBorders>
            <w:shd w:val="clear" w:color="auto" w:fill="auto"/>
            <w:noWrap/>
            <w:vAlign w:val="bottom"/>
            <w:hideMark/>
          </w:tcPr>
          <w:p w14:paraId="1115E157" w14:textId="77777777" w:rsidR="00AA3433" w:rsidRPr="00AA3433" w:rsidRDefault="00AA3433" w:rsidP="00AA3433">
            <w:pPr>
              <w:spacing w:after="0" w:line="240" w:lineRule="auto"/>
              <w:jc w:val="center"/>
              <w:rPr>
                <w:rFonts w:ascii="Calibri" w:eastAsia="Times New Roman" w:hAnsi="Calibri" w:cs="Arial"/>
                <w:b/>
                <w:bCs/>
                <w:sz w:val="28"/>
                <w:szCs w:val="28"/>
                <w:lang w:eastAsia="cs-CZ"/>
              </w:rPr>
            </w:pPr>
          </w:p>
        </w:tc>
        <w:tc>
          <w:tcPr>
            <w:tcW w:w="4678" w:type="dxa"/>
            <w:tcBorders>
              <w:top w:val="nil"/>
              <w:left w:val="nil"/>
              <w:bottom w:val="nil"/>
              <w:right w:val="nil"/>
            </w:tcBorders>
            <w:shd w:val="clear" w:color="auto" w:fill="auto"/>
            <w:noWrap/>
            <w:vAlign w:val="bottom"/>
            <w:hideMark/>
          </w:tcPr>
          <w:p w14:paraId="0F7292BC" w14:textId="77777777" w:rsidR="00AA3433" w:rsidRPr="00AA3433" w:rsidRDefault="00AA3433" w:rsidP="00AA3433">
            <w:pPr>
              <w:spacing w:after="0" w:line="240" w:lineRule="auto"/>
              <w:rPr>
                <w:rFonts w:ascii="Times New Roman" w:eastAsia="Times New Roman" w:hAnsi="Times New Roman" w:cs="Times New Roman"/>
                <w:sz w:val="20"/>
                <w:szCs w:val="20"/>
                <w:lang w:eastAsia="cs-CZ"/>
              </w:rPr>
            </w:pPr>
          </w:p>
        </w:tc>
        <w:tc>
          <w:tcPr>
            <w:tcW w:w="1276" w:type="dxa"/>
            <w:tcBorders>
              <w:top w:val="nil"/>
              <w:left w:val="nil"/>
              <w:bottom w:val="nil"/>
              <w:right w:val="nil"/>
            </w:tcBorders>
            <w:shd w:val="clear" w:color="auto" w:fill="auto"/>
            <w:noWrap/>
            <w:vAlign w:val="bottom"/>
            <w:hideMark/>
          </w:tcPr>
          <w:p w14:paraId="3973FEC1" w14:textId="77777777" w:rsidR="00AA3433" w:rsidRPr="00AA3433" w:rsidRDefault="00AA3433" w:rsidP="00AA3433">
            <w:pPr>
              <w:spacing w:after="0" w:line="240" w:lineRule="auto"/>
              <w:rPr>
                <w:rFonts w:ascii="Times New Roman" w:eastAsia="Times New Roman" w:hAnsi="Times New Roman" w:cs="Times New Roman"/>
                <w:sz w:val="20"/>
                <w:szCs w:val="20"/>
                <w:lang w:eastAsia="cs-CZ"/>
              </w:rPr>
            </w:pPr>
          </w:p>
        </w:tc>
        <w:tc>
          <w:tcPr>
            <w:tcW w:w="1559" w:type="dxa"/>
            <w:tcBorders>
              <w:top w:val="nil"/>
              <w:left w:val="nil"/>
              <w:bottom w:val="nil"/>
              <w:right w:val="nil"/>
            </w:tcBorders>
            <w:shd w:val="clear" w:color="auto" w:fill="auto"/>
            <w:noWrap/>
            <w:vAlign w:val="bottom"/>
            <w:hideMark/>
          </w:tcPr>
          <w:p w14:paraId="3200FE64" w14:textId="77777777" w:rsidR="00AA3433" w:rsidRPr="00AA3433" w:rsidRDefault="00AA3433" w:rsidP="00AA3433">
            <w:pPr>
              <w:spacing w:after="0" w:line="240" w:lineRule="auto"/>
              <w:rPr>
                <w:rFonts w:ascii="Times New Roman" w:eastAsia="Times New Roman" w:hAnsi="Times New Roman" w:cs="Times New Roman"/>
                <w:sz w:val="20"/>
                <w:szCs w:val="20"/>
                <w:lang w:eastAsia="cs-CZ"/>
              </w:rPr>
            </w:pPr>
          </w:p>
        </w:tc>
        <w:tc>
          <w:tcPr>
            <w:tcW w:w="1417" w:type="dxa"/>
            <w:tcBorders>
              <w:top w:val="nil"/>
              <w:left w:val="nil"/>
              <w:bottom w:val="nil"/>
              <w:right w:val="nil"/>
            </w:tcBorders>
            <w:shd w:val="clear" w:color="auto" w:fill="auto"/>
            <w:noWrap/>
            <w:vAlign w:val="bottom"/>
            <w:hideMark/>
          </w:tcPr>
          <w:p w14:paraId="6B2C18B8" w14:textId="77777777" w:rsidR="00AA3433" w:rsidRPr="00AA3433" w:rsidRDefault="00AA3433" w:rsidP="00AA3433">
            <w:pPr>
              <w:spacing w:after="0" w:line="240" w:lineRule="auto"/>
              <w:rPr>
                <w:rFonts w:ascii="Times New Roman" w:eastAsia="Times New Roman" w:hAnsi="Times New Roman" w:cs="Times New Roman"/>
                <w:sz w:val="20"/>
                <w:szCs w:val="20"/>
                <w:lang w:eastAsia="cs-CZ"/>
              </w:rPr>
            </w:pPr>
          </w:p>
        </w:tc>
        <w:tc>
          <w:tcPr>
            <w:tcW w:w="709" w:type="dxa"/>
            <w:tcBorders>
              <w:top w:val="nil"/>
              <w:left w:val="nil"/>
              <w:bottom w:val="nil"/>
              <w:right w:val="nil"/>
            </w:tcBorders>
            <w:shd w:val="clear" w:color="auto" w:fill="auto"/>
            <w:noWrap/>
            <w:vAlign w:val="bottom"/>
            <w:hideMark/>
          </w:tcPr>
          <w:p w14:paraId="15BD353F" w14:textId="77777777" w:rsidR="00AA3433" w:rsidRPr="00AA3433" w:rsidRDefault="00AA3433" w:rsidP="00AA3433">
            <w:pPr>
              <w:spacing w:after="0" w:line="240" w:lineRule="auto"/>
              <w:jc w:val="right"/>
              <w:rPr>
                <w:rFonts w:ascii="Calibri" w:eastAsia="Times New Roman" w:hAnsi="Calibri" w:cs="Arial"/>
                <w:lang w:eastAsia="cs-CZ"/>
              </w:rPr>
            </w:pPr>
            <w:r w:rsidRPr="00AA3433">
              <w:rPr>
                <w:rFonts w:ascii="Calibri" w:eastAsia="Times New Roman" w:hAnsi="Calibri" w:cs="Arial"/>
                <w:lang w:eastAsia="cs-CZ"/>
              </w:rPr>
              <w:t xml:space="preserve"> v Kč</w:t>
            </w:r>
          </w:p>
        </w:tc>
      </w:tr>
      <w:tr w:rsidR="00AA3433" w:rsidRPr="00AA3433" w14:paraId="2AFBDFCE" w14:textId="77777777" w:rsidTr="001F6D11">
        <w:trPr>
          <w:trHeight w:val="570"/>
        </w:trPr>
        <w:tc>
          <w:tcPr>
            <w:tcW w:w="851" w:type="dxa"/>
            <w:tcBorders>
              <w:top w:val="single" w:sz="8" w:space="0" w:color="auto"/>
              <w:left w:val="single" w:sz="8" w:space="0" w:color="auto"/>
              <w:bottom w:val="single" w:sz="8" w:space="0" w:color="auto"/>
              <w:right w:val="single" w:sz="8" w:space="0" w:color="auto"/>
            </w:tcBorders>
            <w:shd w:val="clear" w:color="CCFFFF" w:fill="CCFFCC"/>
            <w:noWrap/>
            <w:vAlign w:val="center"/>
            <w:hideMark/>
          </w:tcPr>
          <w:p w14:paraId="07C5F71E" w14:textId="77777777" w:rsidR="00AA3433" w:rsidRPr="00AA3433" w:rsidRDefault="00AA3433" w:rsidP="00AA3433">
            <w:pPr>
              <w:spacing w:after="0" w:line="240" w:lineRule="auto"/>
              <w:jc w:val="center"/>
              <w:rPr>
                <w:rFonts w:ascii="Calibri" w:eastAsia="Times New Roman" w:hAnsi="Calibri" w:cs="Arial"/>
                <w:sz w:val="20"/>
                <w:szCs w:val="20"/>
                <w:lang w:eastAsia="cs-CZ"/>
              </w:rPr>
            </w:pPr>
            <w:r w:rsidRPr="00AA3433">
              <w:rPr>
                <w:rFonts w:ascii="Calibri" w:eastAsia="Times New Roman" w:hAnsi="Calibri" w:cs="Arial"/>
                <w:sz w:val="20"/>
                <w:szCs w:val="20"/>
                <w:lang w:eastAsia="cs-CZ"/>
              </w:rPr>
              <w:t>Paragraf</w:t>
            </w:r>
          </w:p>
        </w:tc>
        <w:tc>
          <w:tcPr>
            <w:tcW w:w="4678" w:type="dxa"/>
            <w:tcBorders>
              <w:top w:val="single" w:sz="8" w:space="0" w:color="auto"/>
              <w:left w:val="nil"/>
              <w:bottom w:val="single" w:sz="8" w:space="0" w:color="auto"/>
              <w:right w:val="single" w:sz="8" w:space="0" w:color="auto"/>
            </w:tcBorders>
            <w:shd w:val="clear" w:color="CCFFFF" w:fill="CCFFCC"/>
            <w:noWrap/>
            <w:vAlign w:val="center"/>
            <w:hideMark/>
          </w:tcPr>
          <w:p w14:paraId="50A5E7D4" w14:textId="77777777" w:rsidR="00AA3433" w:rsidRPr="00AA3433" w:rsidRDefault="00AA3433" w:rsidP="00AA3433">
            <w:pPr>
              <w:spacing w:after="0" w:line="240" w:lineRule="auto"/>
              <w:jc w:val="center"/>
              <w:rPr>
                <w:rFonts w:ascii="Calibri" w:eastAsia="Times New Roman" w:hAnsi="Calibri" w:cs="Arial"/>
                <w:sz w:val="20"/>
                <w:szCs w:val="20"/>
                <w:lang w:eastAsia="cs-CZ"/>
              </w:rPr>
            </w:pPr>
            <w:r w:rsidRPr="00AA3433">
              <w:rPr>
                <w:rFonts w:ascii="Calibri" w:eastAsia="Times New Roman" w:hAnsi="Calibri" w:cs="Arial"/>
                <w:sz w:val="20"/>
                <w:szCs w:val="20"/>
                <w:lang w:eastAsia="cs-CZ"/>
              </w:rPr>
              <w:t>Oblast rozpočtu</w:t>
            </w:r>
          </w:p>
        </w:tc>
        <w:tc>
          <w:tcPr>
            <w:tcW w:w="1276" w:type="dxa"/>
            <w:tcBorders>
              <w:top w:val="single" w:sz="8" w:space="0" w:color="auto"/>
              <w:left w:val="nil"/>
              <w:bottom w:val="single" w:sz="8" w:space="0" w:color="auto"/>
              <w:right w:val="single" w:sz="8" w:space="0" w:color="auto"/>
            </w:tcBorders>
            <w:shd w:val="clear" w:color="CCFFFF" w:fill="CCFFCC"/>
            <w:vAlign w:val="center"/>
            <w:hideMark/>
          </w:tcPr>
          <w:p w14:paraId="07BB971F" w14:textId="77777777" w:rsidR="00AA3433" w:rsidRPr="00AA3433" w:rsidRDefault="00AA3433" w:rsidP="00AA3433">
            <w:pPr>
              <w:spacing w:after="0" w:line="240" w:lineRule="auto"/>
              <w:jc w:val="center"/>
              <w:rPr>
                <w:rFonts w:ascii="Calibri" w:eastAsia="Times New Roman" w:hAnsi="Calibri" w:cs="Arial"/>
                <w:sz w:val="20"/>
                <w:szCs w:val="20"/>
                <w:lang w:eastAsia="cs-CZ"/>
              </w:rPr>
            </w:pPr>
            <w:r w:rsidRPr="00AA3433">
              <w:rPr>
                <w:rFonts w:ascii="Calibri" w:eastAsia="Times New Roman" w:hAnsi="Calibri" w:cs="Arial"/>
                <w:sz w:val="20"/>
                <w:szCs w:val="20"/>
                <w:lang w:eastAsia="cs-CZ"/>
              </w:rPr>
              <w:t>Schválený rozpočet</w:t>
            </w:r>
          </w:p>
        </w:tc>
        <w:tc>
          <w:tcPr>
            <w:tcW w:w="1559" w:type="dxa"/>
            <w:tcBorders>
              <w:top w:val="single" w:sz="8" w:space="0" w:color="auto"/>
              <w:left w:val="nil"/>
              <w:bottom w:val="single" w:sz="8" w:space="0" w:color="auto"/>
              <w:right w:val="single" w:sz="8" w:space="0" w:color="auto"/>
            </w:tcBorders>
            <w:shd w:val="clear" w:color="CCFFFF" w:fill="CCFFCC"/>
            <w:vAlign w:val="center"/>
            <w:hideMark/>
          </w:tcPr>
          <w:p w14:paraId="42A13157" w14:textId="77777777" w:rsidR="00AA3433" w:rsidRPr="00AA3433" w:rsidRDefault="00AA3433" w:rsidP="00AA3433">
            <w:pPr>
              <w:spacing w:after="0" w:line="240" w:lineRule="auto"/>
              <w:jc w:val="center"/>
              <w:rPr>
                <w:rFonts w:ascii="Calibri" w:eastAsia="Times New Roman" w:hAnsi="Calibri" w:cs="Arial"/>
                <w:sz w:val="20"/>
                <w:szCs w:val="20"/>
                <w:lang w:eastAsia="cs-CZ"/>
              </w:rPr>
            </w:pPr>
            <w:r w:rsidRPr="00AA3433">
              <w:rPr>
                <w:rFonts w:ascii="Calibri" w:eastAsia="Times New Roman" w:hAnsi="Calibri" w:cs="Arial"/>
                <w:sz w:val="20"/>
                <w:szCs w:val="20"/>
                <w:lang w:eastAsia="cs-CZ"/>
              </w:rPr>
              <w:t>Rozpočet po úpravě</w:t>
            </w:r>
          </w:p>
        </w:tc>
        <w:tc>
          <w:tcPr>
            <w:tcW w:w="1417" w:type="dxa"/>
            <w:tcBorders>
              <w:top w:val="single" w:sz="8" w:space="0" w:color="auto"/>
              <w:left w:val="nil"/>
              <w:bottom w:val="single" w:sz="8" w:space="0" w:color="auto"/>
              <w:right w:val="single" w:sz="8" w:space="0" w:color="auto"/>
            </w:tcBorders>
            <w:shd w:val="clear" w:color="CCFFFF" w:fill="CCFFCC"/>
            <w:vAlign w:val="center"/>
            <w:hideMark/>
          </w:tcPr>
          <w:p w14:paraId="3CEEAF79" w14:textId="77777777" w:rsidR="00AA3433" w:rsidRPr="00AA3433" w:rsidRDefault="00AA3433" w:rsidP="00AA3433">
            <w:pPr>
              <w:spacing w:after="0" w:line="240" w:lineRule="auto"/>
              <w:jc w:val="center"/>
              <w:rPr>
                <w:rFonts w:ascii="Calibri" w:eastAsia="Times New Roman" w:hAnsi="Calibri" w:cs="Arial"/>
                <w:sz w:val="20"/>
                <w:szCs w:val="20"/>
                <w:lang w:eastAsia="cs-CZ"/>
              </w:rPr>
            </w:pPr>
            <w:r w:rsidRPr="00AA3433">
              <w:rPr>
                <w:rFonts w:ascii="Calibri" w:eastAsia="Times New Roman" w:hAnsi="Calibri" w:cs="Arial"/>
                <w:sz w:val="20"/>
                <w:szCs w:val="20"/>
                <w:lang w:eastAsia="cs-CZ"/>
              </w:rPr>
              <w:t xml:space="preserve">Skutečnost </w:t>
            </w:r>
          </w:p>
        </w:tc>
        <w:tc>
          <w:tcPr>
            <w:tcW w:w="709" w:type="dxa"/>
            <w:tcBorders>
              <w:top w:val="single" w:sz="8" w:space="0" w:color="auto"/>
              <w:left w:val="nil"/>
              <w:bottom w:val="single" w:sz="8" w:space="0" w:color="auto"/>
              <w:right w:val="single" w:sz="8" w:space="0" w:color="auto"/>
            </w:tcBorders>
            <w:shd w:val="clear" w:color="CCFFFF" w:fill="CCFFCC"/>
            <w:vAlign w:val="center"/>
            <w:hideMark/>
          </w:tcPr>
          <w:p w14:paraId="2BCE78C5" w14:textId="77777777" w:rsidR="00AA3433" w:rsidRPr="00AA3433" w:rsidRDefault="00AA3433" w:rsidP="00AA3433">
            <w:pPr>
              <w:spacing w:after="0" w:line="240" w:lineRule="auto"/>
              <w:jc w:val="center"/>
              <w:rPr>
                <w:rFonts w:ascii="Calibri" w:eastAsia="Times New Roman" w:hAnsi="Calibri" w:cs="Arial"/>
                <w:sz w:val="20"/>
                <w:szCs w:val="20"/>
                <w:lang w:eastAsia="cs-CZ"/>
              </w:rPr>
            </w:pPr>
            <w:r w:rsidRPr="00AA3433">
              <w:rPr>
                <w:rFonts w:ascii="Calibri" w:eastAsia="Times New Roman" w:hAnsi="Calibri" w:cs="Arial"/>
                <w:sz w:val="20"/>
                <w:szCs w:val="20"/>
                <w:lang w:eastAsia="cs-CZ"/>
              </w:rPr>
              <w:t>% plnění</w:t>
            </w:r>
          </w:p>
        </w:tc>
      </w:tr>
      <w:tr w:rsidR="00AA3433" w:rsidRPr="00AA3433" w14:paraId="21AACA29" w14:textId="77777777" w:rsidTr="001F6D11">
        <w:trPr>
          <w:trHeight w:val="320"/>
        </w:trPr>
        <w:tc>
          <w:tcPr>
            <w:tcW w:w="851" w:type="dxa"/>
            <w:tcBorders>
              <w:top w:val="nil"/>
              <w:left w:val="nil"/>
              <w:bottom w:val="nil"/>
              <w:right w:val="nil"/>
            </w:tcBorders>
            <w:shd w:val="clear" w:color="auto" w:fill="auto"/>
            <w:noWrap/>
            <w:vAlign w:val="bottom"/>
            <w:hideMark/>
          </w:tcPr>
          <w:p w14:paraId="1BC5AB31" w14:textId="77777777" w:rsidR="00AA3433" w:rsidRPr="00AA3433" w:rsidRDefault="00AA3433" w:rsidP="00AA3433">
            <w:pPr>
              <w:spacing w:after="0" w:line="240" w:lineRule="auto"/>
              <w:jc w:val="center"/>
              <w:rPr>
                <w:rFonts w:ascii="Calibri" w:eastAsia="Times New Roman" w:hAnsi="Calibri" w:cs="Arial"/>
                <w:sz w:val="20"/>
                <w:szCs w:val="20"/>
                <w:lang w:eastAsia="cs-CZ"/>
              </w:rPr>
            </w:pPr>
          </w:p>
        </w:tc>
        <w:tc>
          <w:tcPr>
            <w:tcW w:w="4678" w:type="dxa"/>
            <w:tcBorders>
              <w:top w:val="nil"/>
              <w:left w:val="nil"/>
              <w:bottom w:val="nil"/>
              <w:right w:val="nil"/>
            </w:tcBorders>
            <w:shd w:val="clear" w:color="auto" w:fill="auto"/>
            <w:noWrap/>
            <w:vAlign w:val="bottom"/>
            <w:hideMark/>
          </w:tcPr>
          <w:p w14:paraId="094549FA" w14:textId="77777777" w:rsidR="00AA3433" w:rsidRPr="00AA3433" w:rsidRDefault="00AA3433" w:rsidP="00AA3433">
            <w:pPr>
              <w:spacing w:after="0" w:line="240" w:lineRule="auto"/>
              <w:rPr>
                <w:rFonts w:ascii="Calibri" w:eastAsia="Times New Roman" w:hAnsi="Calibri" w:cs="Arial"/>
                <w:b/>
                <w:bCs/>
                <w:lang w:eastAsia="cs-CZ"/>
              </w:rPr>
            </w:pPr>
            <w:r w:rsidRPr="00AA3433">
              <w:rPr>
                <w:rFonts w:ascii="Calibri" w:eastAsia="Times New Roman" w:hAnsi="Calibri" w:cs="Arial"/>
                <w:b/>
                <w:bCs/>
                <w:lang w:eastAsia="cs-CZ"/>
              </w:rPr>
              <w:t xml:space="preserve">Běžné výdaje </w:t>
            </w:r>
          </w:p>
        </w:tc>
        <w:tc>
          <w:tcPr>
            <w:tcW w:w="1276" w:type="dxa"/>
            <w:tcBorders>
              <w:top w:val="nil"/>
              <w:left w:val="nil"/>
              <w:bottom w:val="nil"/>
              <w:right w:val="nil"/>
            </w:tcBorders>
            <w:shd w:val="clear" w:color="auto" w:fill="auto"/>
            <w:noWrap/>
            <w:vAlign w:val="bottom"/>
            <w:hideMark/>
          </w:tcPr>
          <w:p w14:paraId="4233A0C3" w14:textId="77777777" w:rsidR="00AA3433" w:rsidRPr="00AA3433" w:rsidRDefault="00AA3433" w:rsidP="00AA3433">
            <w:pPr>
              <w:spacing w:after="0" w:line="240" w:lineRule="auto"/>
              <w:rPr>
                <w:rFonts w:ascii="Calibri" w:eastAsia="Times New Roman" w:hAnsi="Calibri" w:cs="Arial"/>
                <w:b/>
                <w:bCs/>
                <w:lang w:eastAsia="cs-CZ"/>
              </w:rPr>
            </w:pPr>
          </w:p>
        </w:tc>
        <w:tc>
          <w:tcPr>
            <w:tcW w:w="1559" w:type="dxa"/>
            <w:tcBorders>
              <w:top w:val="nil"/>
              <w:left w:val="nil"/>
              <w:bottom w:val="nil"/>
              <w:right w:val="nil"/>
            </w:tcBorders>
            <w:shd w:val="clear" w:color="auto" w:fill="auto"/>
            <w:noWrap/>
            <w:vAlign w:val="bottom"/>
            <w:hideMark/>
          </w:tcPr>
          <w:p w14:paraId="51AB215F" w14:textId="77777777" w:rsidR="00AA3433" w:rsidRPr="00AA3433" w:rsidRDefault="00AA3433" w:rsidP="00AA3433">
            <w:pPr>
              <w:spacing w:after="0" w:line="240" w:lineRule="auto"/>
              <w:rPr>
                <w:rFonts w:ascii="Times New Roman" w:eastAsia="Times New Roman" w:hAnsi="Times New Roman" w:cs="Times New Roman"/>
                <w:sz w:val="20"/>
                <w:szCs w:val="20"/>
                <w:lang w:eastAsia="cs-CZ"/>
              </w:rPr>
            </w:pPr>
          </w:p>
        </w:tc>
        <w:tc>
          <w:tcPr>
            <w:tcW w:w="1417" w:type="dxa"/>
            <w:tcBorders>
              <w:top w:val="nil"/>
              <w:left w:val="nil"/>
              <w:bottom w:val="nil"/>
              <w:right w:val="nil"/>
            </w:tcBorders>
            <w:shd w:val="clear" w:color="auto" w:fill="auto"/>
            <w:noWrap/>
            <w:vAlign w:val="bottom"/>
            <w:hideMark/>
          </w:tcPr>
          <w:p w14:paraId="2D2C0CC2" w14:textId="77777777" w:rsidR="00AA3433" w:rsidRPr="00AA3433" w:rsidRDefault="00AA3433" w:rsidP="00AA3433">
            <w:pPr>
              <w:spacing w:after="0" w:line="240" w:lineRule="auto"/>
              <w:rPr>
                <w:rFonts w:ascii="Times New Roman" w:eastAsia="Times New Roman" w:hAnsi="Times New Roman" w:cs="Times New Roman"/>
                <w:sz w:val="20"/>
                <w:szCs w:val="20"/>
                <w:lang w:eastAsia="cs-CZ"/>
              </w:rPr>
            </w:pPr>
          </w:p>
        </w:tc>
        <w:tc>
          <w:tcPr>
            <w:tcW w:w="709" w:type="dxa"/>
            <w:tcBorders>
              <w:top w:val="nil"/>
              <w:left w:val="nil"/>
              <w:bottom w:val="nil"/>
              <w:right w:val="nil"/>
            </w:tcBorders>
            <w:shd w:val="clear" w:color="auto" w:fill="auto"/>
            <w:noWrap/>
            <w:vAlign w:val="bottom"/>
            <w:hideMark/>
          </w:tcPr>
          <w:p w14:paraId="0DF240C0" w14:textId="77777777" w:rsidR="00AA3433" w:rsidRPr="00AA3433" w:rsidRDefault="00AA3433" w:rsidP="00AA3433">
            <w:pPr>
              <w:spacing w:after="0" w:line="240" w:lineRule="auto"/>
              <w:rPr>
                <w:rFonts w:ascii="Times New Roman" w:eastAsia="Times New Roman" w:hAnsi="Times New Roman" w:cs="Times New Roman"/>
                <w:sz w:val="20"/>
                <w:szCs w:val="20"/>
                <w:lang w:eastAsia="cs-CZ"/>
              </w:rPr>
            </w:pPr>
          </w:p>
        </w:tc>
      </w:tr>
      <w:tr w:rsidR="00AA3433" w:rsidRPr="00AA3433" w14:paraId="7D898E43" w14:textId="77777777" w:rsidTr="001F6D11">
        <w:trPr>
          <w:trHeight w:val="260"/>
        </w:trPr>
        <w:tc>
          <w:tcPr>
            <w:tcW w:w="851" w:type="dxa"/>
            <w:tcBorders>
              <w:top w:val="single" w:sz="8" w:space="0" w:color="auto"/>
              <w:left w:val="single" w:sz="8" w:space="0" w:color="auto"/>
              <w:bottom w:val="nil"/>
              <w:right w:val="single" w:sz="4" w:space="0" w:color="auto"/>
            </w:tcBorders>
            <w:shd w:val="clear" w:color="auto" w:fill="auto"/>
            <w:noWrap/>
            <w:vAlign w:val="bottom"/>
            <w:hideMark/>
          </w:tcPr>
          <w:p w14:paraId="301A5A84" w14:textId="77777777" w:rsidR="00AA3433" w:rsidRPr="00AA3433" w:rsidRDefault="00AA3433" w:rsidP="00AA3433">
            <w:pPr>
              <w:spacing w:after="0" w:line="240" w:lineRule="auto"/>
              <w:jc w:val="center"/>
              <w:rPr>
                <w:rFonts w:ascii="Calibri" w:eastAsia="Times New Roman" w:hAnsi="Calibri" w:cs="Arial"/>
                <w:sz w:val="20"/>
                <w:szCs w:val="20"/>
                <w:lang w:eastAsia="cs-CZ"/>
              </w:rPr>
            </w:pPr>
            <w:r w:rsidRPr="00AA3433">
              <w:rPr>
                <w:rFonts w:ascii="Calibri" w:eastAsia="Times New Roman" w:hAnsi="Calibri" w:cs="Arial"/>
                <w:sz w:val="20"/>
                <w:szCs w:val="20"/>
                <w:lang w:eastAsia="cs-CZ"/>
              </w:rPr>
              <w:t>6172</w:t>
            </w:r>
          </w:p>
        </w:tc>
        <w:tc>
          <w:tcPr>
            <w:tcW w:w="4678" w:type="dxa"/>
            <w:tcBorders>
              <w:top w:val="single" w:sz="8" w:space="0" w:color="auto"/>
              <w:left w:val="nil"/>
              <w:bottom w:val="nil"/>
              <w:right w:val="single" w:sz="4" w:space="0" w:color="auto"/>
            </w:tcBorders>
            <w:shd w:val="clear" w:color="auto" w:fill="auto"/>
            <w:vAlign w:val="bottom"/>
            <w:hideMark/>
          </w:tcPr>
          <w:p w14:paraId="7E0F48B3" w14:textId="77777777" w:rsidR="00AA3433" w:rsidRPr="00AA3433" w:rsidRDefault="00AA3433" w:rsidP="00AA3433">
            <w:pPr>
              <w:spacing w:after="0" w:line="240" w:lineRule="auto"/>
              <w:rPr>
                <w:rFonts w:ascii="Calibri" w:eastAsia="Times New Roman" w:hAnsi="Calibri" w:cs="Arial"/>
                <w:sz w:val="20"/>
                <w:szCs w:val="20"/>
                <w:lang w:eastAsia="cs-CZ"/>
              </w:rPr>
            </w:pPr>
            <w:r w:rsidRPr="00AA3433">
              <w:rPr>
                <w:rFonts w:ascii="Calibri" w:eastAsia="Times New Roman" w:hAnsi="Calibri" w:cs="Arial"/>
                <w:sz w:val="20"/>
                <w:szCs w:val="20"/>
                <w:lang w:eastAsia="cs-CZ"/>
              </w:rPr>
              <w:t>Činnost regionální správy</w:t>
            </w:r>
          </w:p>
        </w:tc>
        <w:tc>
          <w:tcPr>
            <w:tcW w:w="1276" w:type="dxa"/>
            <w:tcBorders>
              <w:top w:val="single" w:sz="8" w:space="0" w:color="auto"/>
              <w:left w:val="nil"/>
              <w:bottom w:val="nil"/>
              <w:right w:val="single" w:sz="4" w:space="0" w:color="auto"/>
            </w:tcBorders>
            <w:shd w:val="clear" w:color="auto" w:fill="auto"/>
            <w:noWrap/>
            <w:vAlign w:val="bottom"/>
            <w:hideMark/>
          </w:tcPr>
          <w:p w14:paraId="2B64F78F" w14:textId="77777777" w:rsidR="00AA3433" w:rsidRPr="00AA3433" w:rsidRDefault="00AA3433" w:rsidP="00AA3433">
            <w:pPr>
              <w:spacing w:after="0" w:line="240" w:lineRule="auto"/>
              <w:jc w:val="right"/>
              <w:rPr>
                <w:rFonts w:ascii="Calibri" w:eastAsia="Times New Roman" w:hAnsi="Calibri" w:cs="Arial"/>
                <w:sz w:val="20"/>
                <w:szCs w:val="20"/>
                <w:lang w:eastAsia="cs-CZ"/>
              </w:rPr>
            </w:pPr>
            <w:r w:rsidRPr="00AA3433">
              <w:rPr>
                <w:rFonts w:ascii="Calibri" w:eastAsia="Times New Roman" w:hAnsi="Calibri" w:cs="Arial"/>
                <w:sz w:val="20"/>
                <w:szCs w:val="20"/>
                <w:lang w:eastAsia="cs-CZ"/>
              </w:rPr>
              <w:t>54 528 000</w:t>
            </w:r>
          </w:p>
        </w:tc>
        <w:tc>
          <w:tcPr>
            <w:tcW w:w="1559" w:type="dxa"/>
            <w:tcBorders>
              <w:top w:val="single" w:sz="8" w:space="0" w:color="auto"/>
              <w:left w:val="nil"/>
              <w:bottom w:val="nil"/>
              <w:right w:val="single" w:sz="4" w:space="0" w:color="auto"/>
            </w:tcBorders>
            <w:shd w:val="clear" w:color="auto" w:fill="auto"/>
            <w:noWrap/>
            <w:vAlign w:val="bottom"/>
            <w:hideMark/>
          </w:tcPr>
          <w:p w14:paraId="5B79FE97" w14:textId="77777777" w:rsidR="00AA3433" w:rsidRPr="00AA3433" w:rsidRDefault="00AA3433" w:rsidP="00AA3433">
            <w:pPr>
              <w:spacing w:after="0" w:line="240" w:lineRule="auto"/>
              <w:jc w:val="right"/>
              <w:rPr>
                <w:rFonts w:ascii="Calibri" w:eastAsia="Times New Roman" w:hAnsi="Calibri" w:cs="Arial"/>
                <w:sz w:val="20"/>
                <w:szCs w:val="20"/>
                <w:lang w:eastAsia="cs-CZ"/>
              </w:rPr>
            </w:pPr>
            <w:r w:rsidRPr="00AA3433">
              <w:rPr>
                <w:rFonts w:ascii="Calibri" w:eastAsia="Times New Roman" w:hAnsi="Calibri" w:cs="Arial"/>
                <w:sz w:val="20"/>
                <w:szCs w:val="20"/>
                <w:lang w:eastAsia="cs-CZ"/>
              </w:rPr>
              <w:t>57 095 848,00</w:t>
            </w:r>
          </w:p>
        </w:tc>
        <w:tc>
          <w:tcPr>
            <w:tcW w:w="1417" w:type="dxa"/>
            <w:tcBorders>
              <w:top w:val="single" w:sz="8" w:space="0" w:color="auto"/>
              <w:left w:val="nil"/>
              <w:bottom w:val="nil"/>
              <w:right w:val="single" w:sz="4" w:space="0" w:color="auto"/>
            </w:tcBorders>
            <w:shd w:val="clear" w:color="auto" w:fill="auto"/>
            <w:noWrap/>
            <w:vAlign w:val="bottom"/>
            <w:hideMark/>
          </w:tcPr>
          <w:p w14:paraId="7228D84B" w14:textId="77777777" w:rsidR="00AA3433" w:rsidRPr="00AA3433" w:rsidRDefault="00AA3433" w:rsidP="00AA3433">
            <w:pPr>
              <w:spacing w:after="0" w:line="240" w:lineRule="auto"/>
              <w:jc w:val="right"/>
              <w:rPr>
                <w:rFonts w:ascii="Calibri" w:eastAsia="Times New Roman" w:hAnsi="Calibri" w:cs="Arial"/>
                <w:sz w:val="20"/>
                <w:szCs w:val="20"/>
                <w:lang w:eastAsia="cs-CZ"/>
              </w:rPr>
            </w:pPr>
            <w:r w:rsidRPr="00AA3433">
              <w:rPr>
                <w:rFonts w:ascii="Calibri" w:eastAsia="Times New Roman" w:hAnsi="Calibri" w:cs="Arial"/>
                <w:sz w:val="20"/>
                <w:szCs w:val="20"/>
                <w:lang w:eastAsia="cs-CZ"/>
              </w:rPr>
              <w:t>47 824 322,14</w:t>
            </w:r>
          </w:p>
        </w:tc>
        <w:tc>
          <w:tcPr>
            <w:tcW w:w="709" w:type="dxa"/>
            <w:tcBorders>
              <w:top w:val="single" w:sz="8" w:space="0" w:color="auto"/>
              <w:left w:val="nil"/>
              <w:bottom w:val="single" w:sz="4" w:space="0" w:color="auto"/>
              <w:right w:val="single" w:sz="8" w:space="0" w:color="auto"/>
            </w:tcBorders>
            <w:shd w:val="clear" w:color="auto" w:fill="auto"/>
            <w:noWrap/>
            <w:vAlign w:val="bottom"/>
            <w:hideMark/>
          </w:tcPr>
          <w:p w14:paraId="23FEB59A" w14:textId="77777777" w:rsidR="00AA3433" w:rsidRPr="00AA3433" w:rsidRDefault="00AA3433" w:rsidP="00AA3433">
            <w:pPr>
              <w:spacing w:after="0" w:line="240" w:lineRule="auto"/>
              <w:jc w:val="right"/>
              <w:rPr>
                <w:rFonts w:ascii="Calibri" w:eastAsia="Times New Roman" w:hAnsi="Calibri" w:cs="Arial"/>
                <w:sz w:val="20"/>
                <w:szCs w:val="20"/>
                <w:lang w:eastAsia="cs-CZ"/>
              </w:rPr>
            </w:pPr>
            <w:r w:rsidRPr="00AA3433">
              <w:rPr>
                <w:rFonts w:ascii="Calibri" w:eastAsia="Times New Roman" w:hAnsi="Calibri" w:cs="Arial"/>
                <w:sz w:val="20"/>
                <w:szCs w:val="20"/>
                <w:lang w:eastAsia="cs-CZ"/>
              </w:rPr>
              <w:t>83,8</w:t>
            </w:r>
          </w:p>
        </w:tc>
      </w:tr>
      <w:tr w:rsidR="00AA3433" w:rsidRPr="00AA3433" w14:paraId="3EB5B587" w14:textId="77777777" w:rsidTr="001F6D11">
        <w:trPr>
          <w:trHeight w:val="260"/>
        </w:trPr>
        <w:tc>
          <w:tcPr>
            <w:tcW w:w="851" w:type="dxa"/>
            <w:tcBorders>
              <w:top w:val="single" w:sz="4" w:space="0" w:color="auto"/>
              <w:left w:val="single" w:sz="8" w:space="0" w:color="auto"/>
              <w:bottom w:val="nil"/>
              <w:right w:val="single" w:sz="4" w:space="0" w:color="auto"/>
            </w:tcBorders>
            <w:shd w:val="clear" w:color="auto" w:fill="auto"/>
            <w:noWrap/>
            <w:vAlign w:val="bottom"/>
            <w:hideMark/>
          </w:tcPr>
          <w:p w14:paraId="21239ED2" w14:textId="77777777" w:rsidR="00AA3433" w:rsidRPr="00AA3433" w:rsidRDefault="00AA3433" w:rsidP="00AA3433">
            <w:pPr>
              <w:spacing w:after="0" w:line="240" w:lineRule="auto"/>
              <w:jc w:val="center"/>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 </w:t>
            </w:r>
          </w:p>
        </w:tc>
        <w:tc>
          <w:tcPr>
            <w:tcW w:w="9639" w:type="dxa"/>
            <w:gridSpan w:val="5"/>
            <w:tcBorders>
              <w:top w:val="single" w:sz="4" w:space="0" w:color="auto"/>
              <w:left w:val="nil"/>
              <w:bottom w:val="single" w:sz="4" w:space="0" w:color="auto"/>
              <w:right w:val="single" w:sz="8" w:space="0" w:color="auto"/>
            </w:tcBorders>
            <w:shd w:val="clear" w:color="auto" w:fill="auto"/>
            <w:vAlign w:val="bottom"/>
            <w:hideMark/>
          </w:tcPr>
          <w:p w14:paraId="6E90A924" w14:textId="77777777" w:rsidR="00AA3433" w:rsidRPr="00AA3433" w:rsidRDefault="00AA3433" w:rsidP="00AA3433">
            <w:pPr>
              <w:spacing w:after="0" w:line="240" w:lineRule="auto"/>
              <w:rPr>
                <w:rFonts w:ascii="Calibri" w:eastAsia="Times New Roman" w:hAnsi="Calibri" w:cs="Arial"/>
                <w:sz w:val="20"/>
                <w:szCs w:val="20"/>
                <w:lang w:eastAsia="cs-CZ"/>
              </w:rPr>
            </w:pPr>
            <w:r w:rsidRPr="00AA3433">
              <w:rPr>
                <w:rFonts w:ascii="Calibri" w:eastAsia="Times New Roman" w:hAnsi="Calibri" w:cs="Arial"/>
                <w:sz w:val="20"/>
                <w:szCs w:val="20"/>
                <w:lang w:eastAsia="cs-CZ"/>
              </w:rPr>
              <w:t>z toho:</w:t>
            </w:r>
          </w:p>
        </w:tc>
      </w:tr>
      <w:tr w:rsidR="00AA3433" w:rsidRPr="00AA3433" w14:paraId="027C41CC" w14:textId="77777777" w:rsidTr="001F6D11">
        <w:trPr>
          <w:trHeight w:val="260"/>
        </w:trPr>
        <w:tc>
          <w:tcPr>
            <w:tcW w:w="851" w:type="dxa"/>
            <w:tcBorders>
              <w:top w:val="single" w:sz="4" w:space="0" w:color="auto"/>
              <w:left w:val="single" w:sz="8" w:space="0" w:color="auto"/>
              <w:bottom w:val="nil"/>
              <w:right w:val="single" w:sz="4" w:space="0" w:color="auto"/>
            </w:tcBorders>
            <w:shd w:val="clear" w:color="auto" w:fill="auto"/>
            <w:noWrap/>
            <w:vAlign w:val="bottom"/>
            <w:hideMark/>
          </w:tcPr>
          <w:p w14:paraId="5C01C1CD" w14:textId="77777777" w:rsidR="00AA3433" w:rsidRPr="00AA3433" w:rsidRDefault="00AA3433" w:rsidP="00AA3433">
            <w:pPr>
              <w:spacing w:after="0" w:line="240" w:lineRule="auto"/>
              <w:jc w:val="center"/>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 </w:t>
            </w:r>
          </w:p>
        </w:tc>
        <w:tc>
          <w:tcPr>
            <w:tcW w:w="4678" w:type="dxa"/>
            <w:tcBorders>
              <w:top w:val="nil"/>
              <w:left w:val="nil"/>
              <w:bottom w:val="single" w:sz="4" w:space="0" w:color="auto"/>
              <w:right w:val="single" w:sz="4" w:space="0" w:color="auto"/>
            </w:tcBorders>
            <w:shd w:val="clear" w:color="auto" w:fill="auto"/>
            <w:noWrap/>
            <w:vAlign w:val="bottom"/>
            <w:hideMark/>
          </w:tcPr>
          <w:p w14:paraId="4A74B36F" w14:textId="77777777" w:rsidR="00AA3433" w:rsidRPr="00AA3433" w:rsidRDefault="00AA3433" w:rsidP="00AA3433">
            <w:pPr>
              <w:spacing w:after="0" w:line="240" w:lineRule="auto"/>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5041 odměny za užití duševního vlastnictví</w:t>
            </w:r>
          </w:p>
        </w:tc>
        <w:tc>
          <w:tcPr>
            <w:tcW w:w="1276" w:type="dxa"/>
            <w:tcBorders>
              <w:top w:val="nil"/>
              <w:left w:val="nil"/>
              <w:bottom w:val="single" w:sz="4" w:space="0" w:color="auto"/>
              <w:right w:val="single" w:sz="4" w:space="0" w:color="auto"/>
            </w:tcBorders>
            <w:shd w:val="clear" w:color="auto" w:fill="auto"/>
            <w:noWrap/>
            <w:vAlign w:val="bottom"/>
            <w:hideMark/>
          </w:tcPr>
          <w:p w14:paraId="7A147A9E"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43 000</w:t>
            </w:r>
          </w:p>
        </w:tc>
        <w:tc>
          <w:tcPr>
            <w:tcW w:w="1559" w:type="dxa"/>
            <w:tcBorders>
              <w:top w:val="nil"/>
              <w:left w:val="nil"/>
              <w:bottom w:val="single" w:sz="4" w:space="0" w:color="auto"/>
              <w:right w:val="single" w:sz="4" w:space="0" w:color="auto"/>
            </w:tcBorders>
            <w:shd w:val="clear" w:color="auto" w:fill="auto"/>
            <w:noWrap/>
            <w:vAlign w:val="bottom"/>
            <w:hideMark/>
          </w:tcPr>
          <w:p w14:paraId="7EB102AB"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43 000,00</w:t>
            </w:r>
          </w:p>
        </w:tc>
        <w:tc>
          <w:tcPr>
            <w:tcW w:w="1417" w:type="dxa"/>
            <w:tcBorders>
              <w:top w:val="nil"/>
              <w:left w:val="nil"/>
              <w:bottom w:val="single" w:sz="4" w:space="0" w:color="auto"/>
              <w:right w:val="single" w:sz="4" w:space="0" w:color="auto"/>
            </w:tcBorders>
            <w:shd w:val="clear" w:color="auto" w:fill="auto"/>
            <w:noWrap/>
            <w:vAlign w:val="bottom"/>
            <w:hideMark/>
          </w:tcPr>
          <w:p w14:paraId="67C06350"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33 831,00</w:t>
            </w:r>
          </w:p>
        </w:tc>
        <w:tc>
          <w:tcPr>
            <w:tcW w:w="709" w:type="dxa"/>
            <w:tcBorders>
              <w:top w:val="nil"/>
              <w:left w:val="nil"/>
              <w:bottom w:val="single" w:sz="4" w:space="0" w:color="auto"/>
              <w:right w:val="single" w:sz="8" w:space="0" w:color="auto"/>
            </w:tcBorders>
            <w:shd w:val="clear" w:color="auto" w:fill="auto"/>
            <w:noWrap/>
            <w:vAlign w:val="bottom"/>
            <w:hideMark/>
          </w:tcPr>
          <w:p w14:paraId="5AAEE461"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78,7</w:t>
            </w:r>
          </w:p>
        </w:tc>
      </w:tr>
      <w:tr w:rsidR="00AA3433" w:rsidRPr="00AA3433" w14:paraId="086493B4" w14:textId="77777777" w:rsidTr="001F6D11">
        <w:trPr>
          <w:trHeight w:val="260"/>
        </w:trPr>
        <w:tc>
          <w:tcPr>
            <w:tcW w:w="851" w:type="dxa"/>
            <w:tcBorders>
              <w:top w:val="single" w:sz="4" w:space="0" w:color="auto"/>
              <w:left w:val="single" w:sz="8" w:space="0" w:color="auto"/>
              <w:bottom w:val="nil"/>
              <w:right w:val="single" w:sz="4" w:space="0" w:color="auto"/>
            </w:tcBorders>
            <w:shd w:val="clear" w:color="auto" w:fill="auto"/>
            <w:noWrap/>
            <w:vAlign w:val="bottom"/>
            <w:hideMark/>
          </w:tcPr>
          <w:p w14:paraId="73F4D971" w14:textId="77777777" w:rsidR="00AA3433" w:rsidRPr="00AA3433" w:rsidRDefault="00AA3433" w:rsidP="00AA3433">
            <w:pPr>
              <w:spacing w:after="0" w:line="240" w:lineRule="auto"/>
              <w:jc w:val="center"/>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 </w:t>
            </w:r>
          </w:p>
        </w:tc>
        <w:tc>
          <w:tcPr>
            <w:tcW w:w="4678" w:type="dxa"/>
            <w:tcBorders>
              <w:top w:val="nil"/>
              <w:left w:val="nil"/>
              <w:bottom w:val="single" w:sz="4" w:space="0" w:color="auto"/>
              <w:right w:val="single" w:sz="4" w:space="0" w:color="auto"/>
            </w:tcBorders>
            <w:shd w:val="clear" w:color="auto" w:fill="auto"/>
            <w:noWrap/>
            <w:vAlign w:val="bottom"/>
            <w:hideMark/>
          </w:tcPr>
          <w:p w14:paraId="1346B5F2" w14:textId="77777777" w:rsidR="00AA3433" w:rsidRPr="00AA3433" w:rsidRDefault="00AA3433" w:rsidP="00AA3433">
            <w:pPr>
              <w:spacing w:after="0" w:line="240" w:lineRule="auto"/>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5132 ochranné pomůcky</w:t>
            </w:r>
          </w:p>
        </w:tc>
        <w:tc>
          <w:tcPr>
            <w:tcW w:w="1276" w:type="dxa"/>
            <w:tcBorders>
              <w:top w:val="nil"/>
              <w:left w:val="nil"/>
              <w:bottom w:val="single" w:sz="4" w:space="0" w:color="auto"/>
              <w:right w:val="single" w:sz="4" w:space="0" w:color="auto"/>
            </w:tcBorders>
            <w:shd w:val="clear" w:color="auto" w:fill="auto"/>
            <w:noWrap/>
            <w:vAlign w:val="bottom"/>
            <w:hideMark/>
          </w:tcPr>
          <w:p w14:paraId="1ABED311"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170 000</w:t>
            </w:r>
          </w:p>
        </w:tc>
        <w:tc>
          <w:tcPr>
            <w:tcW w:w="1559" w:type="dxa"/>
            <w:tcBorders>
              <w:top w:val="nil"/>
              <w:left w:val="nil"/>
              <w:bottom w:val="single" w:sz="4" w:space="0" w:color="auto"/>
              <w:right w:val="single" w:sz="4" w:space="0" w:color="auto"/>
            </w:tcBorders>
            <w:shd w:val="clear" w:color="auto" w:fill="auto"/>
            <w:noWrap/>
            <w:vAlign w:val="bottom"/>
            <w:hideMark/>
          </w:tcPr>
          <w:p w14:paraId="25B3F7F6"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170 000,00</w:t>
            </w:r>
          </w:p>
        </w:tc>
        <w:tc>
          <w:tcPr>
            <w:tcW w:w="1417" w:type="dxa"/>
            <w:tcBorders>
              <w:top w:val="nil"/>
              <w:left w:val="nil"/>
              <w:bottom w:val="single" w:sz="4" w:space="0" w:color="auto"/>
              <w:right w:val="single" w:sz="4" w:space="0" w:color="auto"/>
            </w:tcBorders>
            <w:shd w:val="clear" w:color="auto" w:fill="auto"/>
            <w:noWrap/>
            <w:vAlign w:val="bottom"/>
            <w:hideMark/>
          </w:tcPr>
          <w:p w14:paraId="043C6878"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63 686,01</w:t>
            </w:r>
          </w:p>
        </w:tc>
        <w:tc>
          <w:tcPr>
            <w:tcW w:w="709" w:type="dxa"/>
            <w:tcBorders>
              <w:top w:val="nil"/>
              <w:left w:val="nil"/>
              <w:bottom w:val="single" w:sz="4" w:space="0" w:color="auto"/>
              <w:right w:val="single" w:sz="8" w:space="0" w:color="auto"/>
            </w:tcBorders>
            <w:shd w:val="clear" w:color="auto" w:fill="auto"/>
            <w:noWrap/>
            <w:vAlign w:val="bottom"/>
            <w:hideMark/>
          </w:tcPr>
          <w:p w14:paraId="1C807DBE"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37,5</w:t>
            </w:r>
          </w:p>
        </w:tc>
      </w:tr>
      <w:tr w:rsidR="00AA3433" w:rsidRPr="00AA3433" w14:paraId="392124A5" w14:textId="77777777" w:rsidTr="001F6D11">
        <w:trPr>
          <w:trHeight w:val="260"/>
        </w:trPr>
        <w:tc>
          <w:tcPr>
            <w:tcW w:w="851" w:type="dxa"/>
            <w:tcBorders>
              <w:top w:val="single" w:sz="4" w:space="0" w:color="auto"/>
              <w:left w:val="single" w:sz="8" w:space="0" w:color="auto"/>
              <w:bottom w:val="nil"/>
              <w:right w:val="single" w:sz="4" w:space="0" w:color="auto"/>
            </w:tcBorders>
            <w:shd w:val="clear" w:color="auto" w:fill="auto"/>
            <w:noWrap/>
            <w:vAlign w:val="bottom"/>
            <w:hideMark/>
          </w:tcPr>
          <w:p w14:paraId="15832447" w14:textId="77777777" w:rsidR="00AA3433" w:rsidRPr="00AA3433" w:rsidRDefault="00AA3433" w:rsidP="00AA3433">
            <w:pPr>
              <w:spacing w:after="0" w:line="240" w:lineRule="auto"/>
              <w:jc w:val="center"/>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 </w:t>
            </w:r>
          </w:p>
        </w:tc>
        <w:tc>
          <w:tcPr>
            <w:tcW w:w="4678" w:type="dxa"/>
            <w:tcBorders>
              <w:top w:val="nil"/>
              <w:left w:val="nil"/>
              <w:bottom w:val="single" w:sz="4" w:space="0" w:color="auto"/>
              <w:right w:val="single" w:sz="4" w:space="0" w:color="auto"/>
            </w:tcBorders>
            <w:shd w:val="clear" w:color="auto" w:fill="auto"/>
            <w:noWrap/>
            <w:vAlign w:val="bottom"/>
            <w:hideMark/>
          </w:tcPr>
          <w:p w14:paraId="631380FF" w14:textId="77777777" w:rsidR="00AA3433" w:rsidRPr="00AA3433" w:rsidRDefault="00AA3433" w:rsidP="00AA3433">
            <w:pPr>
              <w:spacing w:after="0" w:line="240" w:lineRule="auto"/>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5133 léky a zdravotnický materiál</w:t>
            </w:r>
          </w:p>
        </w:tc>
        <w:tc>
          <w:tcPr>
            <w:tcW w:w="1276" w:type="dxa"/>
            <w:tcBorders>
              <w:top w:val="nil"/>
              <w:left w:val="nil"/>
              <w:bottom w:val="single" w:sz="4" w:space="0" w:color="auto"/>
              <w:right w:val="single" w:sz="4" w:space="0" w:color="auto"/>
            </w:tcBorders>
            <w:shd w:val="clear" w:color="auto" w:fill="auto"/>
            <w:noWrap/>
            <w:vAlign w:val="bottom"/>
            <w:hideMark/>
          </w:tcPr>
          <w:p w14:paraId="7E48A23B"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15 000</w:t>
            </w:r>
          </w:p>
        </w:tc>
        <w:tc>
          <w:tcPr>
            <w:tcW w:w="1559" w:type="dxa"/>
            <w:tcBorders>
              <w:top w:val="nil"/>
              <w:left w:val="nil"/>
              <w:bottom w:val="single" w:sz="4" w:space="0" w:color="auto"/>
              <w:right w:val="single" w:sz="4" w:space="0" w:color="auto"/>
            </w:tcBorders>
            <w:shd w:val="clear" w:color="auto" w:fill="auto"/>
            <w:noWrap/>
            <w:vAlign w:val="bottom"/>
            <w:hideMark/>
          </w:tcPr>
          <w:p w14:paraId="4384AB58"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1 181 250,64</w:t>
            </w:r>
          </w:p>
        </w:tc>
        <w:tc>
          <w:tcPr>
            <w:tcW w:w="1417" w:type="dxa"/>
            <w:tcBorders>
              <w:top w:val="nil"/>
              <w:left w:val="nil"/>
              <w:bottom w:val="single" w:sz="4" w:space="0" w:color="auto"/>
              <w:right w:val="single" w:sz="4" w:space="0" w:color="auto"/>
            </w:tcBorders>
            <w:shd w:val="clear" w:color="auto" w:fill="auto"/>
            <w:noWrap/>
            <w:vAlign w:val="bottom"/>
            <w:hideMark/>
          </w:tcPr>
          <w:p w14:paraId="53AE16D3"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1 153 686,12</w:t>
            </w:r>
          </w:p>
        </w:tc>
        <w:tc>
          <w:tcPr>
            <w:tcW w:w="709" w:type="dxa"/>
            <w:tcBorders>
              <w:top w:val="nil"/>
              <w:left w:val="nil"/>
              <w:bottom w:val="single" w:sz="4" w:space="0" w:color="auto"/>
              <w:right w:val="single" w:sz="8" w:space="0" w:color="auto"/>
            </w:tcBorders>
            <w:shd w:val="clear" w:color="auto" w:fill="auto"/>
            <w:noWrap/>
            <w:vAlign w:val="bottom"/>
            <w:hideMark/>
          </w:tcPr>
          <w:p w14:paraId="58AE7DE8"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97,7</w:t>
            </w:r>
          </w:p>
        </w:tc>
      </w:tr>
      <w:tr w:rsidR="00AA3433" w:rsidRPr="00AA3433" w14:paraId="477877A7" w14:textId="77777777" w:rsidTr="001F6D11">
        <w:trPr>
          <w:trHeight w:val="260"/>
        </w:trPr>
        <w:tc>
          <w:tcPr>
            <w:tcW w:w="851" w:type="dxa"/>
            <w:tcBorders>
              <w:top w:val="single" w:sz="4" w:space="0" w:color="auto"/>
              <w:left w:val="single" w:sz="8" w:space="0" w:color="auto"/>
              <w:bottom w:val="nil"/>
              <w:right w:val="single" w:sz="4" w:space="0" w:color="auto"/>
            </w:tcBorders>
            <w:shd w:val="clear" w:color="auto" w:fill="auto"/>
            <w:noWrap/>
            <w:vAlign w:val="bottom"/>
            <w:hideMark/>
          </w:tcPr>
          <w:p w14:paraId="47878EFB" w14:textId="77777777" w:rsidR="00AA3433" w:rsidRPr="00AA3433" w:rsidRDefault="00AA3433" w:rsidP="00AA3433">
            <w:pPr>
              <w:spacing w:after="0" w:line="240" w:lineRule="auto"/>
              <w:jc w:val="center"/>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 </w:t>
            </w:r>
          </w:p>
        </w:tc>
        <w:tc>
          <w:tcPr>
            <w:tcW w:w="4678" w:type="dxa"/>
            <w:tcBorders>
              <w:top w:val="nil"/>
              <w:left w:val="nil"/>
              <w:bottom w:val="single" w:sz="4" w:space="0" w:color="auto"/>
              <w:right w:val="single" w:sz="4" w:space="0" w:color="auto"/>
            </w:tcBorders>
            <w:shd w:val="clear" w:color="auto" w:fill="auto"/>
            <w:noWrap/>
            <w:vAlign w:val="bottom"/>
            <w:hideMark/>
          </w:tcPr>
          <w:p w14:paraId="36850023" w14:textId="77777777" w:rsidR="00AA3433" w:rsidRPr="00AA3433" w:rsidRDefault="00AA3433" w:rsidP="00AA3433">
            <w:pPr>
              <w:spacing w:after="0" w:line="240" w:lineRule="auto"/>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5134 prádlo, oděv a obuv</w:t>
            </w:r>
          </w:p>
        </w:tc>
        <w:tc>
          <w:tcPr>
            <w:tcW w:w="1276" w:type="dxa"/>
            <w:tcBorders>
              <w:top w:val="nil"/>
              <w:left w:val="nil"/>
              <w:bottom w:val="single" w:sz="4" w:space="0" w:color="auto"/>
              <w:right w:val="single" w:sz="4" w:space="0" w:color="auto"/>
            </w:tcBorders>
            <w:shd w:val="clear" w:color="auto" w:fill="auto"/>
            <w:noWrap/>
            <w:vAlign w:val="bottom"/>
            <w:hideMark/>
          </w:tcPr>
          <w:p w14:paraId="27630719"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110 000</w:t>
            </w:r>
          </w:p>
        </w:tc>
        <w:tc>
          <w:tcPr>
            <w:tcW w:w="1559" w:type="dxa"/>
            <w:tcBorders>
              <w:top w:val="nil"/>
              <w:left w:val="nil"/>
              <w:bottom w:val="single" w:sz="4" w:space="0" w:color="auto"/>
              <w:right w:val="single" w:sz="4" w:space="0" w:color="auto"/>
            </w:tcBorders>
            <w:shd w:val="clear" w:color="auto" w:fill="auto"/>
            <w:noWrap/>
            <w:vAlign w:val="bottom"/>
            <w:hideMark/>
          </w:tcPr>
          <w:p w14:paraId="1D140F65"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110 000,00</w:t>
            </w:r>
          </w:p>
        </w:tc>
        <w:tc>
          <w:tcPr>
            <w:tcW w:w="1417" w:type="dxa"/>
            <w:tcBorders>
              <w:top w:val="nil"/>
              <w:left w:val="nil"/>
              <w:bottom w:val="single" w:sz="4" w:space="0" w:color="auto"/>
              <w:right w:val="single" w:sz="4" w:space="0" w:color="auto"/>
            </w:tcBorders>
            <w:shd w:val="clear" w:color="auto" w:fill="auto"/>
            <w:noWrap/>
            <w:vAlign w:val="bottom"/>
            <w:hideMark/>
          </w:tcPr>
          <w:p w14:paraId="259F49D8"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99 242,00</w:t>
            </w:r>
          </w:p>
        </w:tc>
        <w:tc>
          <w:tcPr>
            <w:tcW w:w="709" w:type="dxa"/>
            <w:tcBorders>
              <w:top w:val="nil"/>
              <w:left w:val="nil"/>
              <w:bottom w:val="single" w:sz="4" w:space="0" w:color="auto"/>
              <w:right w:val="single" w:sz="8" w:space="0" w:color="auto"/>
            </w:tcBorders>
            <w:shd w:val="clear" w:color="auto" w:fill="auto"/>
            <w:noWrap/>
            <w:vAlign w:val="bottom"/>
            <w:hideMark/>
          </w:tcPr>
          <w:p w14:paraId="6AE0A720"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90,2</w:t>
            </w:r>
          </w:p>
        </w:tc>
      </w:tr>
      <w:tr w:rsidR="00AA3433" w:rsidRPr="00AA3433" w14:paraId="01E14634" w14:textId="77777777" w:rsidTr="001F6D11">
        <w:trPr>
          <w:trHeight w:val="260"/>
        </w:trPr>
        <w:tc>
          <w:tcPr>
            <w:tcW w:w="851" w:type="dxa"/>
            <w:tcBorders>
              <w:top w:val="single" w:sz="4" w:space="0" w:color="auto"/>
              <w:left w:val="single" w:sz="8" w:space="0" w:color="auto"/>
              <w:bottom w:val="nil"/>
              <w:right w:val="single" w:sz="4" w:space="0" w:color="auto"/>
            </w:tcBorders>
            <w:shd w:val="clear" w:color="auto" w:fill="auto"/>
            <w:noWrap/>
            <w:vAlign w:val="bottom"/>
            <w:hideMark/>
          </w:tcPr>
          <w:p w14:paraId="73931369" w14:textId="77777777" w:rsidR="00AA3433" w:rsidRPr="00AA3433" w:rsidRDefault="00AA3433" w:rsidP="00AA3433">
            <w:pPr>
              <w:spacing w:after="0" w:line="240" w:lineRule="auto"/>
              <w:jc w:val="center"/>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 </w:t>
            </w:r>
          </w:p>
        </w:tc>
        <w:tc>
          <w:tcPr>
            <w:tcW w:w="4678" w:type="dxa"/>
            <w:tcBorders>
              <w:top w:val="nil"/>
              <w:left w:val="nil"/>
              <w:bottom w:val="single" w:sz="4" w:space="0" w:color="auto"/>
              <w:right w:val="single" w:sz="4" w:space="0" w:color="auto"/>
            </w:tcBorders>
            <w:shd w:val="clear" w:color="auto" w:fill="auto"/>
            <w:noWrap/>
            <w:vAlign w:val="bottom"/>
            <w:hideMark/>
          </w:tcPr>
          <w:p w14:paraId="6C5CA9DD" w14:textId="77777777" w:rsidR="00AA3433" w:rsidRPr="00AA3433" w:rsidRDefault="00AA3433" w:rsidP="00AA3433">
            <w:pPr>
              <w:spacing w:after="0" w:line="240" w:lineRule="auto"/>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5136 knihy, učební pomůcky a tisk</w:t>
            </w:r>
          </w:p>
        </w:tc>
        <w:tc>
          <w:tcPr>
            <w:tcW w:w="1276" w:type="dxa"/>
            <w:tcBorders>
              <w:top w:val="nil"/>
              <w:left w:val="nil"/>
              <w:bottom w:val="single" w:sz="4" w:space="0" w:color="auto"/>
              <w:right w:val="single" w:sz="4" w:space="0" w:color="auto"/>
            </w:tcBorders>
            <w:shd w:val="clear" w:color="auto" w:fill="auto"/>
            <w:noWrap/>
            <w:vAlign w:val="bottom"/>
            <w:hideMark/>
          </w:tcPr>
          <w:p w14:paraId="39ED73E7"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145 000</w:t>
            </w:r>
          </w:p>
        </w:tc>
        <w:tc>
          <w:tcPr>
            <w:tcW w:w="1559" w:type="dxa"/>
            <w:tcBorders>
              <w:top w:val="nil"/>
              <w:left w:val="nil"/>
              <w:bottom w:val="single" w:sz="4" w:space="0" w:color="auto"/>
              <w:right w:val="single" w:sz="4" w:space="0" w:color="auto"/>
            </w:tcBorders>
            <w:shd w:val="clear" w:color="auto" w:fill="auto"/>
            <w:noWrap/>
            <w:vAlign w:val="bottom"/>
            <w:hideMark/>
          </w:tcPr>
          <w:p w14:paraId="65843F0E"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145 000,00</w:t>
            </w:r>
          </w:p>
        </w:tc>
        <w:tc>
          <w:tcPr>
            <w:tcW w:w="1417" w:type="dxa"/>
            <w:tcBorders>
              <w:top w:val="nil"/>
              <w:left w:val="nil"/>
              <w:bottom w:val="single" w:sz="4" w:space="0" w:color="auto"/>
              <w:right w:val="single" w:sz="4" w:space="0" w:color="auto"/>
            </w:tcBorders>
            <w:shd w:val="clear" w:color="auto" w:fill="auto"/>
            <w:noWrap/>
            <w:vAlign w:val="bottom"/>
            <w:hideMark/>
          </w:tcPr>
          <w:p w14:paraId="1D73E9A2"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122 457,86</w:t>
            </w:r>
          </w:p>
        </w:tc>
        <w:tc>
          <w:tcPr>
            <w:tcW w:w="709" w:type="dxa"/>
            <w:tcBorders>
              <w:top w:val="nil"/>
              <w:left w:val="nil"/>
              <w:bottom w:val="single" w:sz="4" w:space="0" w:color="auto"/>
              <w:right w:val="single" w:sz="8" w:space="0" w:color="auto"/>
            </w:tcBorders>
            <w:shd w:val="clear" w:color="auto" w:fill="auto"/>
            <w:noWrap/>
            <w:vAlign w:val="bottom"/>
            <w:hideMark/>
          </w:tcPr>
          <w:p w14:paraId="02D6B4C3"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84,5</w:t>
            </w:r>
          </w:p>
        </w:tc>
      </w:tr>
      <w:tr w:rsidR="00AA3433" w:rsidRPr="00AA3433" w14:paraId="40BF3E94" w14:textId="77777777" w:rsidTr="001F6D11">
        <w:trPr>
          <w:trHeight w:val="260"/>
        </w:trPr>
        <w:tc>
          <w:tcPr>
            <w:tcW w:w="851"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3A4EF68F" w14:textId="77777777" w:rsidR="00AA3433" w:rsidRPr="00AA3433" w:rsidRDefault="00AA3433" w:rsidP="00AA3433">
            <w:pPr>
              <w:spacing w:after="0" w:line="240" w:lineRule="auto"/>
              <w:jc w:val="center"/>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 </w:t>
            </w:r>
          </w:p>
        </w:tc>
        <w:tc>
          <w:tcPr>
            <w:tcW w:w="4678" w:type="dxa"/>
            <w:tcBorders>
              <w:top w:val="nil"/>
              <w:left w:val="nil"/>
              <w:bottom w:val="single" w:sz="4" w:space="0" w:color="auto"/>
              <w:right w:val="single" w:sz="4" w:space="0" w:color="auto"/>
            </w:tcBorders>
            <w:shd w:val="clear" w:color="auto" w:fill="auto"/>
            <w:noWrap/>
            <w:vAlign w:val="bottom"/>
            <w:hideMark/>
          </w:tcPr>
          <w:p w14:paraId="0255A93C" w14:textId="77777777" w:rsidR="00AA3433" w:rsidRPr="00AA3433" w:rsidRDefault="00AA3433" w:rsidP="00AA3433">
            <w:pPr>
              <w:spacing w:after="0" w:line="240" w:lineRule="auto"/>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5137 drobný dlouhodobý hmotný majetek</w:t>
            </w:r>
          </w:p>
        </w:tc>
        <w:tc>
          <w:tcPr>
            <w:tcW w:w="1276" w:type="dxa"/>
            <w:tcBorders>
              <w:top w:val="nil"/>
              <w:left w:val="nil"/>
              <w:bottom w:val="single" w:sz="4" w:space="0" w:color="auto"/>
              <w:right w:val="single" w:sz="4" w:space="0" w:color="auto"/>
            </w:tcBorders>
            <w:shd w:val="clear" w:color="auto" w:fill="auto"/>
            <w:noWrap/>
            <w:vAlign w:val="bottom"/>
            <w:hideMark/>
          </w:tcPr>
          <w:p w14:paraId="2B4A141A"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2 300 000</w:t>
            </w:r>
          </w:p>
        </w:tc>
        <w:tc>
          <w:tcPr>
            <w:tcW w:w="1559" w:type="dxa"/>
            <w:tcBorders>
              <w:top w:val="nil"/>
              <w:left w:val="nil"/>
              <w:bottom w:val="single" w:sz="4" w:space="0" w:color="auto"/>
              <w:right w:val="single" w:sz="4" w:space="0" w:color="auto"/>
            </w:tcBorders>
            <w:shd w:val="clear" w:color="auto" w:fill="auto"/>
            <w:noWrap/>
            <w:vAlign w:val="bottom"/>
            <w:hideMark/>
          </w:tcPr>
          <w:p w14:paraId="53F1F0DA"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3 113 749,36</w:t>
            </w:r>
          </w:p>
        </w:tc>
        <w:tc>
          <w:tcPr>
            <w:tcW w:w="1417" w:type="dxa"/>
            <w:tcBorders>
              <w:top w:val="nil"/>
              <w:left w:val="nil"/>
              <w:bottom w:val="single" w:sz="4" w:space="0" w:color="auto"/>
              <w:right w:val="single" w:sz="4" w:space="0" w:color="auto"/>
            </w:tcBorders>
            <w:shd w:val="clear" w:color="auto" w:fill="auto"/>
            <w:noWrap/>
            <w:vAlign w:val="bottom"/>
            <w:hideMark/>
          </w:tcPr>
          <w:p w14:paraId="03B1D003"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2 046 963,79</w:t>
            </w:r>
          </w:p>
        </w:tc>
        <w:tc>
          <w:tcPr>
            <w:tcW w:w="709" w:type="dxa"/>
            <w:tcBorders>
              <w:top w:val="nil"/>
              <w:left w:val="nil"/>
              <w:bottom w:val="single" w:sz="4" w:space="0" w:color="auto"/>
              <w:right w:val="single" w:sz="8" w:space="0" w:color="auto"/>
            </w:tcBorders>
            <w:shd w:val="clear" w:color="auto" w:fill="auto"/>
            <w:noWrap/>
            <w:vAlign w:val="bottom"/>
            <w:hideMark/>
          </w:tcPr>
          <w:p w14:paraId="5785BD62"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65,7</w:t>
            </w:r>
          </w:p>
        </w:tc>
      </w:tr>
      <w:tr w:rsidR="00AA3433" w:rsidRPr="00AA3433" w14:paraId="707AA784" w14:textId="77777777" w:rsidTr="001F6D11">
        <w:trPr>
          <w:trHeight w:val="260"/>
        </w:trPr>
        <w:tc>
          <w:tcPr>
            <w:tcW w:w="851" w:type="dxa"/>
            <w:tcBorders>
              <w:top w:val="nil"/>
              <w:left w:val="single" w:sz="8" w:space="0" w:color="auto"/>
              <w:bottom w:val="nil"/>
              <w:right w:val="single" w:sz="4" w:space="0" w:color="auto"/>
            </w:tcBorders>
            <w:shd w:val="clear" w:color="auto" w:fill="auto"/>
            <w:noWrap/>
            <w:vAlign w:val="bottom"/>
            <w:hideMark/>
          </w:tcPr>
          <w:p w14:paraId="03D095C7" w14:textId="77777777" w:rsidR="00AA3433" w:rsidRPr="00AA3433" w:rsidRDefault="00AA3433" w:rsidP="00AA3433">
            <w:pPr>
              <w:spacing w:after="0" w:line="240" w:lineRule="auto"/>
              <w:jc w:val="center"/>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 </w:t>
            </w:r>
          </w:p>
        </w:tc>
        <w:tc>
          <w:tcPr>
            <w:tcW w:w="4678" w:type="dxa"/>
            <w:tcBorders>
              <w:top w:val="nil"/>
              <w:left w:val="nil"/>
              <w:bottom w:val="single" w:sz="4" w:space="0" w:color="auto"/>
              <w:right w:val="single" w:sz="4" w:space="0" w:color="auto"/>
            </w:tcBorders>
            <w:shd w:val="clear" w:color="auto" w:fill="auto"/>
            <w:noWrap/>
            <w:vAlign w:val="bottom"/>
            <w:hideMark/>
          </w:tcPr>
          <w:p w14:paraId="740E96E2" w14:textId="77777777" w:rsidR="00AA3433" w:rsidRPr="00AA3433" w:rsidRDefault="00AA3433" w:rsidP="00AA3433">
            <w:pPr>
              <w:spacing w:after="0" w:line="240" w:lineRule="auto"/>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5139 nákup materiálu j. n.</w:t>
            </w:r>
          </w:p>
        </w:tc>
        <w:tc>
          <w:tcPr>
            <w:tcW w:w="1276" w:type="dxa"/>
            <w:tcBorders>
              <w:top w:val="nil"/>
              <w:left w:val="nil"/>
              <w:bottom w:val="single" w:sz="4" w:space="0" w:color="auto"/>
              <w:right w:val="single" w:sz="4" w:space="0" w:color="auto"/>
            </w:tcBorders>
            <w:shd w:val="clear" w:color="auto" w:fill="auto"/>
            <w:noWrap/>
            <w:vAlign w:val="bottom"/>
            <w:hideMark/>
          </w:tcPr>
          <w:p w14:paraId="6EBF40A7"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5 500 000</w:t>
            </w:r>
          </w:p>
        </w:tc>
        <w:tc>
          <w:tcPr>
            <w:tcW w:w="1559" w:type="dxa"/>
            <w:tcBorders>
              <w:top w:val="nil"/>
              <w:left w:val="nil"/>
              <w:bottom w:val="single" w:sz="4" w:space="0" w:color="auto"/>
              <w:right w:val="single" w:sz="4" w:space="0" w:color="auto"/>
            </w:tcBorders>
            <w:shd w:val="clear" w:color="auto" w:fill="auto"/>
            <w:noWrap/>
            <w:vAlign w:val="bottom"/>
            <w:hideMark/>
          </w:tcPr>
          <w:p w14:paraId="3A203DE1"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5 700 650,00</w:t>
            </w:r>
          </w:p>
        </w:tc>
        <w:tc>
          <w:tcPr>
            <w:tcW w:w="1417" w:type="dxa"/>
            <w:tcBorders>
              <w:top w:val="nil"/>
              <w:left w:val="nil"/>
              <w:bottom w:val="single" w:sz="4" w:space="0" w:color="auto"/>
              <w:right w:val="single" w:sz="4" w:space="0" w:color="auto"/>
            </w:tcBorders>
            <w:shd w:val="clear" w:color="auto" w:fill="auto"/>
            <w:noWrap/>
            <w:vAlign w:val="bottom"/>
            <w:hideMark/>
          </w:tcPr>
          <w:p w14:paraId="01F2BA48"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5 389 355,06</w:t>
            </w:r>
          </w:p>
        </w:tc>
        <w:tc>
          <w:tcPr>
            <w:tcW w:w="709" w:type="dxa"/>
            <w:tcBorders>
              <w:top w:val="nil"/>
              <w:left w:val="nil"/>
              <w:bottom w:val="single" w:sz="4" w:space="0" w:color="auto"/>
              <w:right w:val="single" w:sz="8" w:space="0" w:color="auto"/>
            </w:tcBorders>
            <w:shd w:val="clear" w:color="auto" w:fill="auto"/>
            <w:noWrap/>
            <w:vAlign w:val="bottom"/>
            <w:hideMark/>
          </w:tcPr>
          <w:p w14:paraId="57E111F4"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94,5</w:t>
            </w:r>
          </w:p>
        </w:tc>
      </w:tr>
      <w:tr w:rsidR="00AA3433" w:rsidRPr="00AA3433" w14:paraId="68E73941" w14:textId="77777777" w:rsidTr="001F6D11">
        <w:trPr>
          <w:trHeight w:val="260"/>
        </w:trPr>
        <w:tc>
          <w:tcPr>
            <w:tcW w:w="851" w:type="dxa"/>
            <w:tcBorders>
              <w:top w:val="single" w:sz="4" w:space="0" w:color="auto"/>
              <w:left w:val="single" w:sz="8" w:space="0" w:color="auto"/>
              <w:bottom w:val="nil"/>
              <w:right w:val="single" w:sz="4" w:space="0" w:color="auto"/>
            </w:tcBorders>
            <w:shd w:val="clear" w:color="auto" w:fill="auto"/>
            <w:noWrap/>
            <w:vAlign w:val="bottom"/>
            <w:hideMark/>
          </w:tcPr>
          <w:p w14:paraId="2C7956AF" w14:textId="77777777" w:rsidR="00AA3433" w:rsidRPr="00AA3433" w:rsidRDefault="00AA3433" w:rsidP="00AA3433">
            <w:pPr>
              <w:spacing w:after="0" w:line="240" w:lineRule="auto"/>
              <w:jc w:val="center"/>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 </w:t>
            </w:r>
          </w:p>
        </w:tc>
        <w:tc>
          <w:tcPr>
            <w:tcW w:w="4678" w:type="dxa"/>
            <w:tcBorders>
              <w:top w:val="nil"/>
              <w:left w:val="nil"/>
              <w:bottom w:val="single" w:sz="4" w:space="0" w:color="auto"/>
              <w:right w:val="single" w:sz="4" w:space="0" w:color="auto"/>
            </w:tcBorders>
            <w:shd w:val="clear" w:color="auto" w:fill="auto"/>
            <w:noWrap/>
            <w:vAlign w:val="bottom"/>
            <w:hideMark/>
          </w:tcPr>
          <w:p w14:paraId="45FF486C" w14:textId="77777777" w:rsidR="00AA3433" w:rsidRPr="00AA3433" w:rsidRDefault="00AA3433" w:rsidP="00AA3433">
            <w:pPr>
              <w:spacing w:after="0" w:line="240" w:lineRule="auto"/>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5142 kurzové rozdíly ve výdajích</w:t>
            </w:r>
          </w:p>
        </w:tc>
        <w:tc>
          <w:tcPr>
            <w:tcW w:w="1276" w:type="dxa"/>
            <w:tcBorders>
              <w:top w:val="nil"/>
              <w:left w:val="nil"/>
              <w:bottom w:val="single" w:sz="4" w:space="0" w:color="auto"/>
              <w:right w:val="single" w:sz="4" w:space="0" w:color="auto"/>
            </w:tcBorders>
            <w:shd w:val="clear" w:color="auto" w:fill="auto"/>
            <w:noWrap/>
            <w:vAlign w:val="bottom"/>
            <w:hideMark/>
          </w:tcPr>
          <w:p w14:paraId="6D8A30B2"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35 000</w:t>
            </w:r>
          </w:p>
        </w:tc>
        <w:tc>
          <w:tcPr>
            <w:tcW w:w="1559" w:type="dxa"/>
            <w:tcBorders>
              <w:top w:val="nil"/>
              <w:left w:val="nil"/>
              <w:bottom w:val="single" w:sz="4" w:space="0" w:color="auto"/>
              <w:right w:val="single" w:sz="4" w:space="0" w:color="auto"/>
            </w:tcBorders>
            <w:shd w:val="clear" w:color="auto" w:fill="auto"/>
            <w:noWrap/>
            <w:vAlign w:val="bottom"/>
            <w:hideMark/>
          </w:tcPr>
          <w:p w14:paraId="697B1838"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35 000,00</w:t>
            </w:r>
          </w:p>
        </w:tc>
        <w:tc>
          <w:tcPr>
            <w:tcW w:w="1417" w:type="dxa"/>
            <w:tcBorders>
              <w:top w:val="nil"/>
              <w:left w:val="nil"/>
              <w:bottom w:val="single" w:sz="4" w:space="0" w:color="auto"/>
              <w:right w:val="single" w:sz="4" w:space="0" w:color="auto"/>
            </w:tcBorders>
            <w:shd w:val="clear" w:color="auto" w:fill="auto"/>
            <w:noWrap/>
            <w:vAlign w:val="bottom"/>
            <w:hideMark/>
          </w:tcPr>
          <w:p w14:paraId="325D0A6A"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4 594,73</w:t>
            </w:r>
          </w:p>
        </w:tc>
        <w:tc>
          <w:tcPr>
            <w:tcW w:w="709" w:type="dxa"/>
            <w:tcBorders>
              <w:top w:val="nil"/>
              <w:left w:val="nil"/>
              <w:bottom w:val="single" w:sz="4" w:space="0" w:color="auto"/>
              <w:right w:val="single" w:sz="8" w:space="0" w:color="auto"/>
            </w:tcBorders>
            <w:shd w:val="clear" w:color="auto" w:fill="auto"/>
            <w:noWrap/>
            <w:vAlign w:val="bottom"/>
            <w:hideMark/>
          </w:tcPr>
          <w:p w14:paraId="366557D4"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13,1</w:t>
            </w:r>
          </w:p>
        </w:tc>
      </w:tr>
      <w:tr w:rsidR="00AA3433" w:rsidRPr="00AA3433" w14:paraId="77C51A0F" w14:textId="77777777" w:rsidTr="001F6D11">
        <w:trPr>
          <w:trHeight w:val="260"/>
        </w:trPr>
        <w:tc>
          <w:tcPr>
            <w:tcW w:w="851" w:type="dxa"/>
            <w:tcBorders>
              <w:top w:val="single" w:sz="4" w:space="0" w:color="auto"/>
              <w:left w:val="single" w:sz="8" w:space="0" w:color="auto"/>
              <w:bottom w:val="nil"/>
              <w:right w:val="single" w:sz="4" w:space="0" w:color="auto"/>
            </w:tcBorders>
            <w:shd w:val="clear" w:color="auto" w:fill="auto"/>
            <w:noWrap/>
            <w:vAlign w:val="bottom"/>
            <w:hideMark/>
          </w:tcPr>
          <w:p w14:paraId="098C5945" w14:textId="77777777" w:rsidR="00AA3433" w:rsidRPr="00AA3433" w:rsidRDefault="00AA3433" w:rsidP="00AA3433">
            <w:pPr>
              <w:spacing w:after="0" w:line="240" w:lineRule="auto"/>
              <w:jc w:val="center"/>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 </w:t>
            </w:r>
          </w:p>
        </w:tc>
        <w:tc>
          <w:tcPr>
            <w:tcW w:w="4678" w:type="dxa"/>
            <w:tcBorders>
              <w:top w:val="nil"/>
              <w:left w:val="nil"/>
              <w:bottom w:val="single" w:sz="4" w:space="0" w:color="auto"/>
              <w:right w:val="single" w:sz="4" w:space="0" w:color="auto"/>
            </w:tcBorders>
            <w:shd w:val="clear" w:color="auto" w:fill="auto"/>
            <w:noWrap/>
            <w:vAlign w:val="bottom"/>
            <w:hideMark/>
          </w:tcPr>
          <w:p w14:paraId="684959B2" w14:textId="77777777" w:rsidR="00AA3433" w:rsidRPr="00AA3433" w:rsidRDefault="00AA3433" w:rsidP="00AA3433">
            <w:pPr>
              <w:spacing w:after="0" w:line="240" w:lineRule="auto"/>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5151 studená voda</w:t>
            </w:r>
          </w:p>
        </w:tc>
        <w:tc>
          <w:tcPr>
            <w:tcW w:w="1276" w:type="dxa"/>
            <w:tcBorders>
              <w:top w:val="nil"/>
              <w:left w:val="nil"/>
              <w:bottom w:val="single" w:sz="4" w:space="0" w:color="auto"/>
              <w:right w:val="single" w:sz="4" w:space="0" w:color="auto"/>
            </w:tcBorders>
            <w:shd w:val="clear" w:color="auto" w:fill="auto"/>
            <w:noWrap/>
            <w:vAlign w:val="bottom"/>
            <w:hideMark/>
          </w:tcPr>
          <w:p w14:paraId="6102F341"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800 000</w:t>
            </w:r>
          </w:p>
        </w:tc>
        <w:tc>
          <w:tcPr>
            <w:tcW w:w="1559" w:type="dxa"/>
            <w:tcBorders>
              <w:top w:val="nil"/>
              <w:left w:val="nil"/>
              <w:bottom w:val="single" w:sz="4" w:space="0" w:color="auto"/>
              <w:right w:val="single" w:sz="4" w:space="0" w:color="auto"/>
            </w:tcBorders>
            <w:shd w:val="clear" w:color="auto" w:fill="auto"/>
            <w:noWrap/>
            <w:vAlign w:val="bottom"/>
            <w:hideMark/>
          </w:tcPr>
          <w:p w14:paraId="493AEC8A"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835 000,00</w:t>
            </w:r>
          </w:p>
        </w:tc>
        <w:tc>
          <w:tcPr>
            <w:tcW w:w="1417" w:type="dxa"/>
            <w:tcBorders>
              <w:top w:val="nil"/>
              <w:left w:val="nil"/>
              <w:bottom w:val="single" w:sz="4" w:space="0" w:color="auto"/>
              <w:right w:val="single" w:sz="4" w:space="0" w:color="auto"/>
            </w:tcBorders>
            <w:shd w:val="clear" w:color="auto" w:fill="auto"/>
            <w:noWrap/>
            <w:vAlign w:val="bottom"/>
            <w:hideMark/>
          </w:tcPr>
          <w:p w14:paraId="7491417F"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767 158,10</w:t>
            </w:r>
          </w:p>
        </w:tc>
        <w:tc>
          <w:tcPr>
            <w:tcW w:w="709" w:type="dxa"/>
            <w:tcBorders>
              <w:top w:val="nil"/>
              <w:left w:val="nil"/>
              <w:bottom w:val="single" w:sz="4" w:space="0" w:color="auto"/>
              <w:right w:val="single" w:sz="8" w:space="0" w:color="auto"/>
            </w:tcBorders>
            <w:shd w:val="clear" w:color="auto" w:fill="auto"/>
            <w:noWrap/>
            <w:vAlign w:val="bottom"/>
            <w:hideMark/>
          </w:tcPr>
          <w:p w14:paraId="038A9D67"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91,9</w:t>
            </w:r>
          </w:p>
        </w:tc>
      </w:tr>
      <w:tr w:rsidR="00AA3433" w:rsidRPr="00AA3433" w14:paraId="5C95AE7E" w14:textId="77777777" w:rsidTr="001F6D11">
        <w:trPr>
          <w:trHeight w:val="260"/>
        </w:trPr>
        <w:tc>
          <w:tcPr>
            <w:tcW w:w="851" w:type="dxa"/>
            <w:tcBorders>
              <w:top w:val="single" w:sz="4" w:space="0" w:color="auto"/>
              <w:left w:val="single" w:sz="8" w:space="0" w:color="auto"/>
              <w:bottom w:val="nil"/>
              <w:right w:val="single" w:sz="4" w:space="0" w:color="auto"/>
            </w:tcBorders>
            <w:shd w:val="clear" w:color="auto" w:fill="auto"/>
            <w:noWrap/>
            <w:vAlign w:val="bottom"/>
            <w:hideMark/>
          </w:tcPr>
          <w:p w14:paraId="5F85A0A4" w14:textId="77777777" w:rsidR="00AA3433" w:rsidRPr="00AA3433" w:rsidRDefault="00AA3433" w:rsidP="00AA3433">
            <w:pPr>
              <w:spacing w:after="0" w:line="240" w:lineRule="auto"/>
              <w:jc w:val="center"/>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 </w:t>
            </w:r>
          </w:p>
        </w:tc>
        <w:tc>
          <w:tcPr>
            <w:tcW w:w="4678" w:type="dxa"/>
            <w:tcBorders>
              <w:top w:val="nil"/>
              <w:left w:val="nil"/>
              <w:bottom w:val="single" w:sz="4" w:space="0" w:color="auto"/>
              <w:right w:val="single" w:sz="4" w:space="0" w:color="auto"/>
            </w:tcBorders>
            <w:shd w:val="clear" w:color="auto" w:fill="auto"/>
            <w:noWrap/>
            <w:vAlign w:val="bottom"/>
            <w:hideMark/>
          </w:tcPr>
          <w:p w14:paraId="2470A2B3" w14:textId="77777777" w:rsidR="00AA3433" w:rsidRPr="00AA3433" w:rsidRDefault="00AA3433" w:rsidP="00AA3433">
            <w:pPr>
              <w:spacing w:after="0" w:line="240" w:lineRule="auto"/>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5153 plyn</w:t>
            </w:r>
          </w:p>
        </w:tc>
        <w:tc>
          <w:tcPr>
            <w:tcW w:w="1276" w:type="dxa"/>
            <w:tcBorders>
              <w:top w:val="nil"/>
              <w:left w:val="nil"/>
              <w:bottom w:val="single" w:sz="4" w:space="0" w:color="auto"/>
              <w:right w:val="single" w:sz="4" w:space="0" w:color="auto"/>
            </w:tcBorders>
            <w:shd w:val="clear" w:color="auto" w:fill="auto"/>
            <w:noWrap/>
            <w:vAlign w:val="bottom"/>
            <w:hideMark/>
          </w:tcPr>
          <w:p w14:paraId="101E6ED1"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3 700 000</w:t>
            </w:r>
          </w:p>
        </w:tc>
        <w:tc>
          <w:tcPr>
            <w:tcW w:w="1559" w:type="dxa"/>
            <w:tcBorders>
              <w:top w:val="nil"/>
              <w:left w:val="nil"/>
              <w:bottom w:val="single" w:sz="4" w:space="0" w:color="auto"/>
              <w:right w:val="single" w:sz="4" w:space="0" w:color="auto"/>
            </w:tcBorders>
            <w:shd w:val="clear" w:color="auto" w:fill="auto"/>
            <w:noWrap/>
            <w:vAlign w:val="bottom"/>
            <w:hideMark/>
          </w:tcPr>
          <w:p w14:paraId="7A8E0DD5"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2 725 000,00</w:t>
            </w:r>
          </w:p>
        </w:tc>
        <w:tc>
          <w:tcPr>
            <w:tcW w:w="1417" w:type="dxa"/>
            <w:tcBorders>
              <w:top w:val="nil"/>
              <w:left w:val="nil"/>
              <w:bottom w:val="single" w:sz="4" w:space="0" w:color="auto"/>
              <w:right w:val="single" w:sz="4" w:space="0" w:color="auto"/>
            </w:tcBorders>
            <w:shd w:val="clear" w:color="auto" w:fill="auto"/>
            <w:noWrap/>
            <w:vAlign w:val="bottom"/>
            <w:hideMark/>
          </w:tcPr>
          <w:p w14:paraId="36B59047"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2 352 603,48</w:t>
            </w:r>
          </w:p>
        </w:tc>
        <w:tc>
          <w:tcPr>
            <w:tcW w:w="709" w:type="dxa"/>
            <w:tcBorders>
              <w:top w:val="nil"/>
              <w:left w:val="nil"/>
              <w:bottom w:val="single" w:sz="4" w:space="0" w:color="auto"/>
              <w:right w:val="single" w:sz="8" w:space="0" w:color="auto"/>
            </w:tcBorders>
            <w:shd w:val="clear" w:color="auto" w:fill="auto"/>
            <w:noWrap/>
            <w:vAlign w:val="bottom"/>
            <w:hideMark/>
          </w:tcPr>
          <w:p w14:paraId="6E6CBCD8"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86,3</w:t>
            </w:r>
          </w:p>
        </w:tc>
      </w:tr>
      <w:tr w:rsidR="00AA3433" w:rsidRPr="00AA3433" w14:paraId="7B6CE3A3" w14:textId="77777777" w:rsidTr="001F6D11">
        <w:trPr>
          <w:trHeight w:val="260"/>
        </w:trPr>
        <w:tc>
          <w:tcPr>
            <w:tcW w:w="851" w:type="dxa"/>
            <w:tcBorders>
              <w:top w:val="single" w:sz="4" w:space="0" w:color="auto"/>
              <w:left w:val="single" w:sz="8" w:space="0" w:color="auto"/>
              <w:bottom w:val="nil"/>
              <w:right w:val="single" w:sz="4" w:space="0" w:color="auto"/>
            </w:tcBorders>
            <w:shd w:val="clear" w:color="auto" w:fill="auto"/>
            <w:noWrap/>
            <w:vAlign w:val="bottom"/>
            <w:hideMark/>
          </w:tcPr>
          <w:p w14:paraId="7553F3B5" w14:textId="77777777" w:rsidR="00AA3433" w:rsidRPr="00AA3433" w:rsidRDefault="00AA3433" w:rsidP="00AA3433">
            <w:pPr>
              <w:spacing w:after="0" w:line="240" w:lineRule="auto"/>
              <w:jc w:val="center"/>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 </w:t>
            </w:r>
          </w:p>
        </w:tc>
        <w:tc>
          <w:tcPr>
            <w:tcW w:w="4678" w:type="dxa"/>
            <w:tcBorders>
              <w:top w:val="nil"/>
              <w:left w:val="nil"/>
              <w:bottom w:val="single" w:sz="4" w:space="0" w:color="auto"/>
              <w:right w:val="single" w:sz="4" w:space="0" w:color="auto"/>
            </w:tcBorders>
            <w:shd w:val="clear" w:color="auto" w:fill="auto"/>
            <w:noWrap/>
            <w:vAlign w:val="bottom"/>
            <w:hideMark/>
          </w:tcPr>
          <w:p w14:paraId="30B96216" w14:textId="77777777" w:rsidR="00AA3433" w:rsidRPr="00AA3433" w:rsidRDefault="00AA3433" w:rsidP="00AA3433">
            <w:pPr>
              <w:spacing w:after="0" w:line="240" w:lineRule="auto"/>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5154 elektrická energie</w:t>
            </w:r>
          </w:p>
        </w:tc>
        <w:tc>
          <w:tcPr>
            <w:tcW w:w="1276" w:type="dxa"/>
            <w:tcBorders>
              <w:top w:val="nil"/>
              <w:left w:val="nil"/>
              <w:bottom w:val="single" w:sz="4" w:space="0" w:color="auto"/>
              <w:right w:val="single" w:sz="4" w:space="0" w:color="auto"/>
            </w:tcBorders>
            <w:shd w:val="clear" w:color="auto" w:fill="auto"/>
            <w:noWrap/>
            <w:vAlign w:val="bottom"/>
            <w:hideMark/>
          </w:tcPr>
          <w:p w14:paraId="52F4BF3B"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4 800 000</w:t>
            </w:r>
          </w:p>
        </w:tc>
        <w:tc>
          <w:tcPr>
            <w:tcW w:w="1559" w:type="dxa"/>
            <w:tcBorders>
              <w:top w:val="nil"/>
              <w:left w:val="nil"/>
              <w:bottom w:val="single" w:sz="4" w:space="0" w:color="auto"/>
              <w:right w:val="single" w:sz="4" w:space="0" w:color="auto"/>
            </w:tcBorders>
            <w:shd w:val="clear" w:color="auto" w:fill="auto"/>
            <w:noWrap/>
            <w:vAlign w:val="bottom"/>
            <w:hideMark/>
          </w:tcPr>
          <w:p w14:paraId="12592117"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3 825 000,00</w:t>
            </w:r>
          </w:p>
        </w:tc>
        <w:tc>
          <w:tcPr>
            <w:tcW w:w="1417" w:type="dxa"/>
            <w:tcBorders>
              <w:top w:val="nil"/>
              <w:left w:val="nil"/>
              <w:bottom w:val="single" w:sz="4" w:space="0" w:color="auto"/>
              <w:right w:val="single" w:sz="4" w:space="0" w:color="auto"/>
            </w:tcBorders>
            <w:shd w:val="clear" w:color="auto" w:fill="auto"/>
            <w:noWrap/>
            <w:vAlign w:val="bottom"/>
            <w:hideMark/>
          </w:tcPr>
          <w:p w14:paraId="00571CFE"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3 434 002,75</w:t>
            </w:r>
          </w:p>
        </w:tc>
        <w:tc>
          <w:tcPr>
            <w:tcW w:w="709" w:type="dxa"/>
            <w:tcBorders>
              <w:top w:val="nil"/>
              <w:left w:val="nil"/>
              <w:bottom w:val="single" w:sz="4" w:space="0" w:color="auto"/>
              <w:right w:val="single" w:sz="8" w:space="0" w:color="auto"/>
            </w:tcBorders>
            <w:shd w:val="clear" w:color="auto" w:fill="auto"/>
            <w:noWrap/>
            <w:vAlign w:val="bottom"/>
            <w:hideMark/>
          </w:tcPr>
          <w:p w14:paraId="28FFE124"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89,8</w:t>
            </w:r>
          </w:p>
        </w:tc>
      </w:tr>
      <w:tr w:rsidR="00AA3433" w:rsidRPr="00AA3433" w14:paraId="14A42525" w14:textId="77777777" w:rsidTr="001F6D11">
        <w:trPr>
          <w:trHeight w:val="260"/>
        </w:trPr>
        <w:tc>
          <w:tcPr>
            <w:tcW w:w="851" w:type="dxa"/>
            <w:tcBorders>
              <w:top w:val="single" w:sz="4" w:space="0" w:color="auto"/>
              <w:left w:val="single" w:sz="8" w:space="0" w:color="auto"/>
              <w:bottom w:val="nil"/>
              <w:right w:val="single" w:sz="4" w:space="0" w:color="auto"/>
            </w:tcBorders>
            <w:shd w:val="clear" w:color="auto" w:fill="auto"/>
            <w:noWrap/>
            <w:vAlign w:val="bottom"/>
            <w:hideMark/>
          </w:tcPr>
          <w:p w14:paraId="1B65F055" w14:textId="77777777" w:rsidR="00AA3433" w:rsidRPr="00AA3433" w:rsidRDefault="00AA3433" w:rsidP="00AA3433">
            <w:pPr>
              <w:spacing w:after="0" w:line="240" w:lineRule="auto"/>
              <w:jc w:val="center"/>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 </w:t>
            </w:r>
          </w:p>
        </w:tc>
        <w:tc>
          <w:tcPr>
            <w:tcW w:w="4678" w:type="dxa"/>
            <w:tcBorders>
              <w:top w:val="nil"/>
              <w:left w:val="nil"/>
              <w:bottom w:val="single" w:sz="4" w:space="0" w:color="auto"/>
              <w:right w:val="single" w:sz="4" w:space="0" w:color="auto"/>
            </w:tcBorders>
            <w:shd w:val="clear" w:color="auto" w:fill="auto"/>
            <w:noWrap/>
            <w:vAlign w:val="bottom"/>
            <w:hideMark/>
          </w:tcPr>
          <w:p w14:paraId="30C1BA22" w14:textId="77777777" w:rsidR="00AA3433" w:rsidRPr="00AA3433" w:rsidRDefault="00AA3433" w:rsidP="00AA3433">
            <w:pPr>
              <w:spacing w:after="0" w:line="240" w:lineRule="auto"/>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5156 pohonné hmoty a maziva</w:t>
            </w:r>
          </w:p>
        </w:tc>
        <w:tc>
          <w:tcPr>
            <w:tcW w:w="1276" w:type="dxa"/>
            <w:tcBorders>
              <w:top w:val="nil"/>
              <w:left w:val="nil"/>
              <w:bottom w:val="single" w:sz="4" w:space="0" w:color="auto"/>
              <w:right w:val="single" w:sz="4" w:space="0" w:color="auto"/>
            </w:tcBorders>
            <w:shd w:val="clear" w:color="auto" w:fill="auto"/>
            <w:noWrap/>
            <w:vAlign w:val="bottom"/>
            <w:hideMark/>
          </w:tcPr>
          <w:p w14:paraId="130E683F"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2 400 000</w:t>
            </w:r>
          </w:p>
        </w:tc>
        <w:tc>
          <w:tcPr>
            <w:tcW w:w="1559" w:type="dxa"/>
            <w:tcBorders>
              <w:top w:val="nil"/>
              <w:left w:val="nil"/>
              <w:bottom w:val="single" w:sz="4" w:space="0" w:color="auto"/>
              <w:right w:val="single" w:sz="4" w:space="0" w:color="auto"/>
            </w:tcBorders>
            <w:shd w:val="clear" w:color="auto" w:fill="auto"/>
            <w:noWrap/>
            <w:vAlign w:val="bottom"/>
            <w:hideMark/>
          </w:tcPr>
          <w:p w14:paraId="2AC1EDB6"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2 423 050,00</w:t>
            </w:r>
          </w:p>
        </w:tc>
        <w:tc>
          <w:tcPr>
            <w:tcW w:w="1417" w:type="dxa"/>
            <w:tcBorders>
              <w:top w:val="nil"/>
              <w:left w:val="nil"/>
              <w:bottom w:val="single" w:sz="4" w:space="0" w:color="auto"/>
              <w:right w:val="single" w:sz="4" w:space="0" w:color="auto"/>
            </w:tcBorders>
            <w:shd w:val="clear" w:color="auto" w:fill="auto"/>
            <w:noWrap/>
            <w:vAlign w:val="bottom"/>
            <w:hideMark/>
          </w:tcPr>
          <w:p w14:paraId="6CC93B20"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2 013 027,09</w:t>
            </w:r>
          </w:p>
        </w:tc>
        <w:tc>
          <w:tcPr>
            <w:tcW w:w="709" w:type="dxa"/>
            <w:tcBorders>
              <w:top w:val="nil"/>
              <w:left w:val="nil"/>
              <w:bottom w:val="single" w:sz="4" w:space="0" w:color="auto"/>
              <w:right w:val="single" w:sz="8" w:space="0" w:color="auto"/>
            </w:tcBorders>
            <w:shd w:val="clear" w:color="auto" w:fill="auto"/>
            <w:noWrap/>
            <w:vAlign w:val="bottom"/>
            <w:hideMark/>
          </w:tcPr>
          <w:p w14:paraId="7EEE3CEC"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83,1</w:t>
            </w:r>
          </w:p>
        </w:tc>
      </w:tr>
      <w:tr w:rsidR="00AA3433" w:rsidRPr="00AA3433" w14:paraId="60C3E1E8" w14:textId="77777777" w:rsidTr="001F6D11">
        <w:trPr>
          <w:trHeight w:val="260"/>
        </w:trPr>
        <w:tc>
          <w:tcPr>
            <w:tcW w:w="851" w:type="dxa"/>
            <w:tcBorders>
              <w:top w:val="single" w:sz="4" w:space="0" w:color="auto"/>
              <w:left w:val="single" w:sz="8" w:space="0" w:color="auto"/>
              <w:bottom w:val="nil"/>
              <w:right w:val="single" w:sz="4" w:space="0" w:color="auto"/>
            </w:tcBorders>
            <w:shd w:val="clear" w:color="auto" w:fill="auto"/>
            <w:noWrap/>
            <w:vAlign w:val="bottom"/>
            <w:hideMark/>
          </w:tcPr>
          <w:p w14:paraId="7831B635" w14:textId="77777777" w:rsidR="00AA3433" w:rsidRPr="00AA3433" w:rsidRDefault="00AA3433" w:rsidP="00AA3433">
            <w:pPr>
              <w:spacing w:after="0" w:line="240" w:lineRule="auto"/>
              <w:jc w:val="center"/>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 </w:t>
            </w:r>
          </w:p>
        </w:tc>
        <w:tc>
          <w:tcPr>
            <w:tcW w:w="4678" w:type="dxa"/>
            <w:tcBorders>
              <w:top w:val="nil"/>
              <w:left w:val="nil"/>
              <w:bottom w:val="single" w:sz="4" w:space="0" w:color="auto"/>
              <w:right w:val="single" w:sz="4" w:space="0" w:color="auto"/>
            </w:tcBorders>
            <w:shd w:val="clear" w:color="auto" w:fill="auto"/>
            <w:noWrap/>
            <w:vAlign w:val="bottom"/>
            <w:hideMark/>
          </w:tcPr>
          <w:p w14:paraId="2628112E" w14:textId="77777777" w:rsidR="00AA3433" w:rsidRPr="00AA3433" w:rsidRDefault="00AA3433" w:rsidP="00AA3433">
            <w:pPr>
              <w:spacing w:after="0" w:line="240" w:lineRule="auto"/>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5159 nákup ostatních paliv a energie</w:t>
            </w:r>
          </w:p>
        </w:tc>
        <w:tc>
          <w:tcPr>
            <w:tcW w:w="1276" w:type="dxa"/>
            <w:tcBorders>
              <w:top w:val="nil"/>
              <w:left w:val="nil"/>
              <w:bottom w:val="single" w:sz="4" w:space="0" w:color="auto"/>
              <w:right w:val="single" w:sz="4" w:space="0" w:color="auto"/>
            </w:tcBorders>
            <w:shd w:val="clear" w:color="auto" w:fill="auto"/>
            <w:noWrap/>
            <w:vAlign w:val="bottom"/>
            <w:hideMark/>
          </w:tcPr>
          <w:p w14:paraId="6A27EA59"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10 000</w:t>
            </w:r>
          </w:p>
        </w:tc>
        <w:tc>
          <w:tcPr>
            <w:tcW w:w="1559" w:type="dxa"/>
            <w:tcBorders>
              <w:top w:val="nil"/>
              <w:left w:val="nil"/>
              <w:bottom w:val="single" w:sz="4" w:space="0" w:color="auto"/>
              <w:right w:val="single" w:sz="4" w:space="0" w:color="auto"/>
            </w:tcBorders>
            <w:shd w:val="clear" w:color="auto" w:fill="auto"/>
            <w:noWrap/>
            <w:vAlign w:val="bottom"/>
            <w:hideMark/>
          </w:tcPr>
          <w:p w14:paraId="185653F7"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10 000,00</w:t>
            </w:r>
          </w:p>
        </w:tc>
        <w:tc>
          <w:tcPr>
            <w:tcW w:w="1417" w:type="dxa"/>
            <w:tcBorders>
              <w:top w:val="nil"/>
              <w:left w:val="nil"/>
              <w:bottom w:val="single" w:sz="4" w:space="0" w:color="auto"/>
              <w:right w:val="single" w:sz="4" w:space="0" w:color="auto"/>
            </w:tcBorders>
            <w:shd w:val="clear" w:color="auto" w:fill="auto"/>
            <w:noWrap/>
            <w:vAlign w:val="bottom"/>
            <w:hideMark/>
          </w:tcPr>
          <w:p w14:paraId="42DFF955"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0,00</w:t>
            </w:r>
          </w:p>
        </w:tc>
        <w:tc>
          <w:tcPr>
            <w:tcW w:w="709" w:type="dxa"/>
            <w:tcBorders>
              <w:top w:val="nil"/>
              <w:left w:val="nil"/>
              <w:bottom w:val="single" w:sz="4" w:space="0" w:color="auto"/>
              <w:right w:val="single" w:sz="8" w:space="0" w:color="auto"/>
            </w:tcBorders>
            <w:shd w:val="clear" w:color="auto" w:fill="auto"/>
            <w:noWrap/>
            <w:vAlign w:val="bottom"/>
            <w:hideMark/>
          </w:tcPr>
          <w:p w14:paraId="256CFA1D"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0,0</w:t>
            </w:r>
          </w:p>
        </w:tc>
      </w:tr>
      <w:tr w:rsidR="00AA3433" w:rsidRPr="00AA3433" w14:paraId="773370A6" w14:textId="77777777" w:rsidTr="001F6D11">
        <w:trPr>
          <w:trHeight w:val="260"/>
        </w:trPr>
        <w:tc>
          <w:tcPr>
            <w:tcW w:w="851" w:type="dxa"/>
            <w:tcBorders>
              <w:top w:val="single" w:sz="4" w:space="0" w:color="auto"/>
              <w:left w:val="single" w:sz="8" w:space="0" w:color="auto"/>
              <w:bottom w:val="nil"/>
              <w:right w:val="single" w:sz="4" w:space="0" w:color="auto"/>
            </w:tcBorders>
            <w:shd w:val="clear" w:color="auto" w:fill="auto"/>
            <w:noWrap/>
            <w:vAlign w:val="bottom"/>
            <w:hideMark/>
          </w:tcPr>
          <w:p w14:paraId="55BE6409" w14:textId="77777777" w:rsidR="00AA3433" w:rsidRPr="00AA3433" w:rsidRDefault="00AA3433" w:rsidP="00AA3433">
            <w:pPr>
              <w:spacing w:after="0" w:line="240" w:lineRule="auto"/>
              <w:jc w:val="center"/>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 </w:t>
            </w:r>
          </w:p>
        </w:tc>
        <w:tc>
          <w:tcPr>
            <w:tcW w:w="4678" w:type="dxa"/>
            <w:tcBorders>
              <w:top w:val="nil"/>
              <w:left w:val="nil"/>
              <w:bottom w:val="single" w:sz="4" w:space="0" w:color="auto"/>
              <w:right w:val="single" w:sz="4" w:space="0" w:color="auto"/>
            </w:tcBorders>
            <w:shd w:val="clear" w:color="auto" w:fill="auto"/>
            <w:noWrap/>
            <w:vAlign w:val="bottom"/>
            <w:hideMark/>
          </w:tcPr>
          <w:p w14:paraId="0410968C" w14:textId="77777777" w:rsidR="00AA3433" w:rsidRPr="00AA3433" w:rsidRDefault="00AA3433" w:rsidP="00AA3433">
            <w:pPr>
              <w:spacing w:after="0" w:line="240" w:lineRule="auto"/>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5161 poštovní služby</w:t>
            </w:r>
          </w:p>
        </w:tc>
        <w:tc>
          <w:tcPr>
            <w:tcW w:w="1276" w:type="dxa"/>
            <w:tcBorders>
              <w:top w:val="nil"/>
              <w:left w:val="nil"/>
              <w:bottom w:val="single" w:sz="4" w:space="0" w:color="auto"/>
              <w:right w:val="single" w:sz="4" w:space="0" w:color="auto"/>
            </w:tcBorders>
            <w:shd w:val="clear" w:color="auto" w:fill="auto"/>
            <w:noWrap/>
            <w:vAlign w:val="bottom"/>
            <w:hideMark/>
          </w:tcPr>
          <w:p w14:paraId="0B6C3435"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2 800 000</w:t>
            </w:r>
          </w:p>
        </w:tc>
        <w:tc>
          <w:tcPr>
            <w:tcW w:w="1559" w:type="dxa"/>
            <w:tcBorders>
              <w:top w:val="nil"/>
              <w:left w:val="nil"/>
              <w:bottom w:val="single" w:sz="4" w:space="0" w:color="auto"/>
              <w:right w:val="single" w:sz="4" w:space="0" w:color="auto"/>
            </w:tcBorders>
            <w:shd w:val="clear" w:color="auto" w:fill="auto"/>
            <w:noWrap/>
            <w:vAlign w:val="bottom"/>
            <w:hideMark/>
          </w:tcPr>
          <w:p w14:paraId="511B8356"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2 765 000,00</w:t>
            </w:r>
          </w:p>
        </w:tc>
        <w:tc>
          <w:tcPr>
            <w:tcW w:w="1417" w:type="dxa"/>
            <w:tcBorders>
              <w:top w:val="nil"/>
              <w:left w:val="nil"/>
              <w:bottom w:val="single" w:sz="4" w:space="0" w:color="auto"/>
              <w:right w:val="single" w:sz="4" w:space="0" w:color="auto"/>
            </w:tcBorders>
            <w:shd w:val="clear" w:color="auto" w:fill="auto"/>
            <w:noWrap/>
            <w:vAlign w:val="bottom"/>
            <w:hideMark/>
          </w:tcPr>
          <w:p w14:paraId="278A48EB"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2 499 939,00</w:t>
            </w:r>
          </w:p>
        </w:tc>
        <w:tc>
          <w:tcPr>
            <w:tcW w:w="709" w:type="dxa"/>
            <w:tcBorders>
              <w:top w:val="nil"/>
              <w:left w:val="nil"/>
              <w:bottom w:val="single" w:sz="4" w:space="0" w:color="auto"/>
              <w:right w:val="single" w:sz="8" w:space="0" w:color="auto"/>
            </w:tcBorders>
            <w:shd w:val="clear" w:color="auto" w:fill="auto"/>
            <w:noWrap/>
            <w:vAlign w:val="bottom"/>
            <w:hideMark/>
          </w:tcPr>
          <w:p w14:paraId="7F1C2E91"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90,4</w:t>
            </w:r>
          </w:p>
        </w:tc>
      </w:tr>
      <w:tr w:rsidR="00AA3433" w:rsidRPr="00AA3433" w14:paraId="61B51B00" w14:textId="77777777" w:rsidTr="001F6D11">
        <w:trPr>
          <w:trHeight w:val="260"/>
        </w:trPr>
        <w:tc>
          <w:tcPr>
            <w:tcW w:w="851" w:type="dxa"/>
            <w:tcBorders>
              <w:top w:val="single" w:sz="4" w:space="0" w:color="auto"/>
              <w:left w:val="single" w:sz="8" w:space="0" w:color="auto"/>
              <w:bottom w:val="nil"/>
              <w:right w:val="single" w:sz="4" w:space="0" w:color="auto"/>
            </w:tcBorders>
            <w:shd w:val="clear" w:color="auto" w:fill="auto"/>
            <w:noWrap/>
            <w:vAlign w:val="bottom"/>
            <w:hideMark/>
          </w:tcPr>
          <w:p w14:paraId="0B7599CD" w14:textId="77777777" w:rsidR="00AA3433" w:rsidRPr="00AA3433" w:rsidRDefault="00AA3433" w:rsidP="00AA3433">
            <w:pPr>
              <w:spacing w:after="0" w:line="240" w:lineRule="auto"/>
              <w:jc w:val="center"/>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 </w:t>
            </w:r>
          </w:p>
        </w:tc>
        <w:tc>
          <w:tcPr>
            <w:tcW w:w="4678" w:type="dxa"/>
            <w:tcBorders>
              <w:top w:val="nil"/>
              <w:left w:val="nil"/>
              <w:bottom w:val="single" w:sz="4" w:space="0" w:color="auto"/>
              <w:right w:val="single" w:sz="4" w:space="0" w:color="auto"/>
            </w:tcBorders>
            <w:shd w:val="clear" w:color="auto" w:fill="auto"/>
            <w:noWrap/>
            <w:vAlign w:val="bottom"/>
            <w:hideMark/>
          </w:tcPr>
          <w:p w14:paraId="399A0CF0" w14:textId="77777777" w:rsidR="00AA3433" w:rsidRPr="00AA3433" w:rsidRDefault="00AA3433" w:rsidP="00AA3433">
            <w:pPr>
              <w:spacing w:after="0" w:line="240" w:lineRule="auto"/>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5162 služby telekomunikací a radiokomunikací</w:t>
            </w:r>
          </w:p>
        </w:tc>
        <w:tc>
          <w:tcPr>
            <w:tcW w:w="1276" w:type="dxa"/>
            <w:tcBorders>
              <w:top w:val="nil"/>
              <w:left w:val="nil"/>
              <w:bottom w:val="single" w:sz="4" w:space="0" w:color="auto"/>
              <w:right w:val="single" w:sz="4" w:space="0" w:color="auto"/>
            </w:tcBorders>
            <w:shd w:val="clear" w:color="auto" w:fill="auto"/>
            <w:noWrap/>
            <w:vAlign w:val="bottom"/>
            <w:hideMark/>
          </w:tcPr>
          <w:p w14:paraId="65EF2741"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2 100 000</w:t>
            </w:r>
          </w:p>
        </w:tc>
        <w:tc>
          <w:tcPr>
            <w:tcW w:w="1559" w:type="dxa"/>
            <w:tcBorders>
              <w:top w:val="nil"/>
              <w:left w:val="nil"/>
              <w:bottom w:val="single" w:sz="4" w:space="0" w:color="auto"/>
              <w:right w:val="single" w:sz="4" w:space="0" w:color="auto"/>
            </w:tcBorders>
            <w:shd w:val="clear" w:color="auto" w:fill="auto"/>
            <w:noWrap/>
            <w:vAlign w:val="bottom"/>
            <w:hideMark/>
          </w:tcPr>
          <w:p w14:paraId="22C1E12D"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2 125 000,00</w:t>
            </w:r>
          </w:p>
        </w:tc>
        <w:tc>
          <w:tcPr>
            <w:tcW w:w="1417" w:type="dxa"/>
            <w:tcBorders>
              <w:top w:val="nil"/>
              <w:left w:val="nil"/>
              <w:bottom w:val="single" w:sz="4" w:space="0" w:color="auto"/>
              <w:right w:val="single" w:sz="4" w:space="0" w:color="auto"/>
            </w:tcBorders>
            <w:shd w:val="clear" w:color="auto" w:fill="auto"/>
            <w:noWrap/>
            <w:vAlign w:val="bottom"/>
            <w:hideMark/>
          </w:tcPr>
          <w:p w14:paraId="02E838CB"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1 842 540,23</w:t>
            </w:r>
          </w:p>
        </w:tc>
        <w:tc>
          <w:tcPr>
            <w:tcW w:w="709" w:type="dxa"/>
            <w:tcBorders>
              <w:top w:val="nil"/>
              <w:left w:val="nil"/>
              <w:bottom w:val="single" w:sz="4" w:space="0" w:color="auto"/>
              <w:right w:val="single" w:sz="8" w:space="0" w:color="auto"/>
            </w:tcBorders>
            <w:shd w:val="clear" w:color="auto" w:fill="auto"/>
            <w:noWrap/>
            <w:vAlign w:val="bottom"/>
            <w:hideMark/>
          </w:tcPr>
          <w:p w14:paraId="21D77520"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86,7</w:t>
            </w:r>
          </w:p>
        </w:tc>
      </w:tr>
      <w:tr w:rsidR="00AA3433" w:rsidRPr="00AA3433" w14:paraId="56A20BAA" w14:textId="77777777" w:rsidTr="001F6D11">
        <w:trPr>
          <w:trHeight w:val="260"/>
        </w:trPr>
        <w:tc>
          <w:tcPr>
            <w:tcW w:w="851" w:type="dxa"/>
            <w:tcBorders>
              <w:top w:val="single" w:sz="4" w:space="0" w:color="auto"/>
              <w:left w:val="single" w:sz="8" w:space="0" w:color="auto"/>
              <w:bottom w:val="nil"/>
              <w:right w:val="single" w:sz="4" w:space="0" w:color="auto"/>
            </w:tcBorders>
            <w:shd w:val="clear" w:color="auto" w:fill="auto"/>
            <w:noWrap/>
            <w:vAlign w:val="bottom"/>
            <w:hideMark/>
          </w:tcPr>
          <w:p w14:paraId="7BD9BFB0" w14:textId="77777777" w:rsidR="00AA3433" w:rsidRPr="00AA3433" w:rsidRDefault="00AA3433" w:rsidP="00AA3433">
            <w:pPr>
              <w:spacing w:after="0" w:line="240" w:lineRule="auto"/>
              <w:jc w:val="center"/>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 </w:t>
            </w:r>
          </w:p>
        </w:tc>
        <w:tc>
          <w:tcPr>
            <w:tcW w:w="4678" w:type="dxa"/>
            <w:tcBorders>
              <w:top w:val="nil"/>
              <w:left w:val="nil"/>
              <w:bottom w:val="single" w:sz="4" w:space="0" w:color="auto"/>
              <w:right w:val="single" w:sz="4" w:space="0" w:color="auto"/>
            </w:tcBorders>
            <w:shd w:val="clear" w:color="auto" w:fill="auto"/>
            <w:noWrap/>
            <w:vAlign w:val="bottom"/>
            <w:hideMark/>
          </w:tcPr>
          <w:p w14:paraId="6B9BCA55" w14:textId="77777777" w:rsidR="00AA3433" w:rsidRPr="00AA3433" w:rsidRDefault="00AA3433" w:rsidP="00AA3433">
            <w:pPr>
              <w:spacing w:after="0" w:line="240" w:lineRule="auto"/>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5163 služby peněžních ústavů</w:t>
            </w:r>
          </w:p>
        </w:tc>
        <w:tc>
          <w:tcPr>
            <w:tcW w:w="1276" w:type="dxa"/>
            <w:tcBorders>
              <w:top w:val="nil"/>
              <w:left w:val="nil"/>
              <w:bottom w:val="single" w:sz="4" w:space="0" w:color="auto"/>
              <w:right w:val="single" w:sz="4" w:space="0" w:color="auto"/>
            </w:tcBorders>
            <w:shd w:val="clear" w:color="auto" w:fill="auto"/>
            <w:noWrap/>
            <w:vAlign w:val="bottom"/>
            <w:hideMark/>
          </w:tcPr>
          <w:p w14:paraId="52AE0169"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1 100 000</w:t>
            </w:r>
          </w:p>
        </w:tc>
        <w:tc>
          <w:tcPr>
            <w:tcW w:w="1559" w:type="dxa"/>
            <w:tcBorders>
              <w:top w:val="nil"/>
              <w:left w:val="nil"/>
              <w:bottom w:val="single" w:sz="4" w:space="0" w:color="auto"/>
              <w:right w:val="single" w:sz="4" w:space="0" w:color="auto"/>
            </w:tcBorders>
            <w:shd w:val="clear" w:color="auto" w:fill="auto"/>
            <w:noWrap/>
            <w:vAlign w:val="bottom"/>
            <w:hideMark/>
          </w:tcPr>
          <w:p w14:paraId="7878ED96"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1 450 000,00</w:t>
            </w:r>
          </w:p>
        </w:tc>
        <w:tc>
          <w:tcPr>
            <w:tcW w:w="1417" w:type="dxa"/>
            <w:tcBorders>
              <w:top w:val="nil"/>
              <w:left w:val="nil"/>
              <w:bottom w:val="single" w:sz="4" w:space="0" w:color="auto"/>
              <w:right w:val="single" w:sz="4" w:space="0" w:color="auto"/>
            </w:tcBorders>
            <w:shd w:val="clear" w:color="auto" w:fill="auto"/>
            <w:noWrap/>
            <w:vAlign w:val="bottom"/>
            <w:hideMark/>
          </w:tcPr>
          <w:p w14:paraId="523F8888"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1 441 799,00</w:t>
            </w:r>
          </w:p>
        </w:tc>
        <w:tc>
          <w:tcPr>
            <w:tcW w:w="709" w:type="dxa"/>
            <w:tcBorders>
              <w:top w:val="nil"/>
              <w:left w:val="nil"/>
              <w:bottom w:val="single" w:sz="4" w:space="0" w:color="auto"/>
              <w:right w:val="single" w:sz="8" w:space="0" w:color="auto"/>
            </w:tcBorders>
            <w:shd w:val="clear" w:color="auto" w:fill="auto"/>
            <w:noWrap/>
            <w:vAlign w:val="bottom"/>
            <w:hideMark/>
          </w:tcPr>
          <w:p w14:paraId="6A6598C1"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99,4</w:t>
            </w:r>
          </w:p>
        </w:tc>
      </w:tr>
      <w:tr w:rsidR="00AA3433" w:rsidRPr="00AA3433" w14:paraId="28CCEB5A" w14:textId="77777777" w:rsidTr="001F6D11">
        <w:trPr>
          <w:trHeight w:val="260"/>
        </w:trPr>
        <w:tc>
          <w:tcPr>
            <w:tcW w:w="851" w:type="dxa"/>
            <w:tcBorders>
              <w:top w:val="single" w:sz="4" w:space="0" w:color="auto"/>
              <w:left w:val="single" w:sz="8" w:space="0" w:color="auto"/>
              <w:bottom w:val="nil"/>
              <w:right w:val="single" w:sz="4" w:space="0" w:color="auto"/>
            </w:tcBorders>
            <w:shd w:val="clear" w:color="auto" w:fill="auto"/>
            <w:noWrap/>
            <w:vAlign w:val="bottom"/>
            <w:hideMark/>
          </w:tcPr>
          <w:p w14:paraId="21A653A6" w14:textId="77777777" w:rsidR="00AA3433" w:rsidRPr="00AA3433" w:rsidRDefault="00AA3433" w:rsidP="00AA3433">
            <w:pPr>
              <w:spacing w:after="0" w:line="240" w:lineRule="auto"/>
              <w:jc w:val="center"/>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 </w:t>
            </w:r>
          </w:p>
        </w:tc>
        <w:tc>
          <w:tcPr>
            <w:tcW w:w="4678" w:type="dxa"/>
            <w:tcBorders>
              <w:top w:val="nil"/>
              <w:left w:val="nil"/>
              <w:bottom w:val="single" w:sz="4" w:space="0" w:color="auto"/>
              <w:right w:val="single" w:sz="4" w:space="0" w:color="auto"/>
            </w:tcBorders>
            <w:shd w:val="clear" w:color="auto" w:fill="auto"/>
            <w:noWrap/>
            <w:vAlign w:val="bottom"/>
            <w:hideMark/>
          </w:tcPr>
          <w:p w14:paraId="04E3C772" w14:textId="77777777" w:rsidR="00AA3433" w:rsidRPr="00AA3433" w:rsidRDefault="00AA3433" w:rsidP="00AA3433">
            <w:pPr>
              <w:spacing w:after="0" w:line="240" w:lineRule="auto"/>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5164 nájemné</w:t>
            </w:r>
          </w:p>
        </w:tc>
        <w:tc>
          <w:tcPr>
            <w:tcW w:w="1276" w:type="dxa"/>
            <w:tcBorders>
              <w:top w:val="nil"/>
              <w:left w:val="nil"/>
              <w:bottom w:val="single" w:sz="4" w:space="0" w:color="auto"/>
              <w:right w:val="single" w:sz="4" w:space="0" w:color="auto"/>
            </w:tcBorders>
            <w:shd w:val="clear" w:color="auto" w:fill="auto"/>
            <w:noWrap/>
            <w:vAlign w:val="bottom"/>
            <w:hideMark/>
          </w:tcPr>
          <w:p w14:paraId="31672679"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3 700 000</w:t>
            </w:r>
          </w:p>
        </w:tc>
        <w:tc>
          <w:tcPr>
            <w:tcW w:w="1559" w:type="dxa"/>
            <w:tcBorders>
              <w:top w:val="nil"/>
              <w:left w:val="nil"/>
              <w:bottom w:val="single" w:sz="4" w:space="0" w:color="auto"/>
              <w:right w:val="single" w:sz="4" w:space="0" w:color="auto"/>
            </w:tcBorders>
            <w:shd w:val="clear" w:color="auto" w:fill="auto"/>
            <w:noWrap/>
            <w:vAlign w:val="bottom"/>
            <w:hideMark/>
          </w:tcPr>
          <w:p w14:paraId="5D3BC36D"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3 884 196,00</w:t>
            </w:r>
          </w:p>
        </w:tc>
        <w:tc>
          <w:tcPr>
            <w:tcW w:w="1417" w:type="dxa"/>
            <w:tcBorders>
              <w:top w:val="nil"/>
              <w:left w:val="nil"/>
              <w:bottom w:val="single" w:sz="4" w:space="0" w:color="auto"/>
              <w:right w:val="single" w:sz="4" w:space="0" w:color="auto"/>
            </w:tcBorders>
            <w:shd w:val="clear" w:color="auto" w:fill="auto"/>
            <w:noWrap/>
            <w:vAlign w:val="bottom"/>
            <w:hideMark/>
          </w:tcPr>
          <w:p w14:paraId="58C513C6"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3 277 245,04</w:t>
            </w:r>
          </w:p>
        </w:tc>
        <w:tc>
          <w:tcPr>
            <w:tcW w:w="709" w:type="dxa"/>
            <w:tcBorders>
              <w:top w:val="nil"/>
              <w:left w:val="nil"/>
              <w:bottom w:val="single" w:sz="4" w:space="0" w:color="auto"/>
              <w:right w:val="single" w:sz="8" w:space="0" w:color="auto"/>
            </w:tcBorders>
            <w:shd w:val="clear" w:color="auto" w:fill="auto"/>
            <w:noWrap/>
            <w:vAlign w:val="bottom"/>
            <w:hideMark/>
          </w:tcPr>
          <w:p w14:paraId="1B947158"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84,4</w:t>
            </w:r>
          </w:p>
        </w:tc>
      </w:tr>
      <w:tr w:rsidR="00AA3433" w:rsidRPr="00AA3433" w14:paraId="63DE6F42" w14:textId="77777777" w:rsidTr="001F6D11">
        <w:trPr>
          <w:trHeight w:val="260"/>
        </w:trPr>
        <w:tc>
          <w:tcPr>
            <w:tcW w:w="851" w:type="dxa"/>
            <w:tcBorders>
              <w:top w:val="single" w:sz="4" w:space="0" w:color="auto"/>
              <w:left w:val="single" w:sz="8" w:space="0" w:color="auto"/>
              <w:bottom w:val="nil"/>
              <w:right w:val="single" w:sz="4" w:space="0" w:color="auto"/>
            </w:tcBorders>
            <w:shd w:val="clear" w:color="auto" w:fill="auto"/>
            <w:noWrap/>
            <w:vAlign w:val="bottom"/>
            <w:hideMark/>
          </w:tcPr>
          <w:p w14:paraId="586D9FE1" w14:textId="77777777" w:rsidR="00AA3433" w:rsidRPr="00AA3433" w:rsidRDefault="00AA3433" w:rsidP="00AA3433">
            <w:pPr>
              <w:spacing w:after="0" w:line="240" w:lineRule="auto"/>
              <w:jc w:val="center"/>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 </w:t>
            </w:r>
          </w:p>
        </w:tc>
        <w:tc>
          <w:tcPr>
            <w:tcW w:w="4678" w:type="dxa"/>
            <w:tcBorders>
              <w:top w:val="nil"/>
              <w:left w:val="nil"/>
              <w:bottom w:val="single" w:sz="4" w:space="0" w:color="auto"/>
              <w:right w:val="single" w:sz="4" w:space="0" w:color="auto"/>
            </w:tcBorders>
            <w:shd w:val="clear" w:color="auto" w:fill="auto"/>
            <w:noWrap/>
            <w:vAlign w:val="bottom"/>
            <w:hideMark/>
          </w:tcPr>
          <w:p w14:paraId="009B5FD2" w14:textId="77777777" w:rsidR="00AA3433" w:rsidRPr="00AA3433" w:rsidRDefault="00AA3433" w:rsidP="00AA3433">
            <w:pPr>
              <w:spacing w:after="0" w:line="240" w:lineRule="auto"/>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5166 konzultační, poradenské a právní služby</w:t>
            </w:r>
          </w:p>
        </w:tc>
        <w:tc>
          <w:tcPr>
            <w:tcW w:w="1276" w:type="dxa"/>
            <w:tcBorders>
              <w:top w:val="nil"/>
              <w:left w:val="nil"/>
              <w:bottom w:val="single" w:sz="4" w:space="0" w:color="auto"/>
              <w:right w:val="single" w:sz="4" w:space="0" w:color="auto"/>
            </w:tcBorders>
            <w:shd w:val="clear" w:color="auto" w:fill="auto"/>
            <w:noWrap/>
            <w:vAlign w:val="bottom"/>
            <w:hideMark/>
          </w:tcPr>
          <w:p w14:paraId="63B7B009"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150 000</w:t>
            </w:r>
          </w:p>
        </w:tc>
        <w:tc>
          <w:tcPr>
            <w:tcW w:w="1559" w:type="dxa"/>
            <w:tcBorders>
              <w:top w:val="nil"/>
              <w:left w:val="nil"/>
              <w:bottom w:val="single" w:sz="4" w:space="0" w:color="auto"/>
              <w:right w:val="single" w:sz="4" w:space="0" w:color="auto"/>
            </w:tcBorders>
            <w:shd w:val="clear" w:color="auto" w:fill="auto"/>
            <w:noWrap/>
            <w:vAlign w:val="bottom"/>
            <w:hideMark/>
          </w:tcPr>
          <w:p w14:paraId="18E944AE"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150 000,00</w:t>
            </w:r>
          </w:p>
        </w:tc>
        <w:tc>
          <w:tcPr>
            <w:tcW w:w="1417" w:type="dxa"/>
            <w:tcBorders>
              <w:top w:val="nil"/>
              <w:left w:val="nil"/>
              <w:bottom w:val="single" w:sz="4" w:space="0" w:color="auto"/>
              <w:right w:val="single" w:sz="4" w:space="0" w:color="auto"/>
            </w:tcBorders>
            <w:shd w:val="clear" w:color="auto" w:fill="auto"/>
            <w:noWrap/>
            <w:vAlign w:val="bottom"/>
            <w:hideMark/>
          </w:tcPr>
          <w:p w14:paraId="47FC8C5F"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71 238,75</w:t>
            </w:r>
          </w:p>
        </w:tc>
        <w:tc>
          <w:tcPr>
            <w:tcW w:w="709" w:type="dxa"/>
            <w:tcBorders>
              <w:top w:val="nil"/>
              <w:left w:val="nil"/>
              <w:bottom w:val="single" w:sz="4" w:space="0" w:color="auto"/>
              <w:right w:val="single" w:sz="8" w:space="0" w:color="auto"/>
            </w:tcBorders>
            <w:shd w:val="clear" w:color="auto" w:fill="auto"/>
            <w:noWrap/>
            <w:vAlign w:val="bottom"/>
            <w:hideMark/>
          </w:tcPr>
          <w:p w14:paraId="3EA1E517"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47,5</w:t>
            </w:r>
          </w:p>
        </w:tc>
      </w:tr>
      <w:tr w:rsidR="00AA3433" w:rsidRPr="00AA3433" w14:paraId="456F3CCF" w14:textId="77777777" w:rsidTr="001F6D11">
        <w:trPr>
          <w:trHeight w:val="260"/>
        </w:trPr>
        <w:tc>
          <w:tcPr>
            <w:tcW w:w="851" w:type="dxa"/>
            <w:tcBorders>
              <w:top w:val="single" w:sz="4" w:space="0" w:color="auto"/>
              <w:left w:val="single" w:sz="8" w:space="0" w:color="auto"/>
              <w:bottom w:val="nil"/>
              <w:right w:val="single" w:sz="4" w:space="0" w:color="auto"/>
            </w:tcBorders>
            <w:shd w:val="clear" w:color="auto" w:fill="auto"/>
            <w:noWrap/>
            <w:vAlign w:val="bottom"/>
            <w:hideMark/>
          </w:tcPr>
          <w:p w14:paraId="675F10E3" w14:textId="77777777" w:rsidR="00AA3433" w:rsidRPr="00AA3433" w:rsidRDefault="00AA3433" w:rsidP="00AA3433">
            <w:pPr>
              <w:spacing w:after="0" w:line="240" w:lineRule="auto"/>
              <w:jc w:val="center"/>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 </w:t>
            </w:r>
          </w:p>
        </w:tc>
        <w:tc>
          <w:tcPr>
            <w:tcW w:w="4678" w:type="dxa"/>
            <w:tcBorders>
              <w:top w:val="nil"/>
              <w:left w:val="nil"/>
              <w:bottom w:val="single" w:sz="4" w:space="0" w:color="auto"/>
              <w:right w:val="single" w:sz="4" w:space="0" w:color="auto"/>
            </w:tcBorders>
            <w:shd w:val="clear" w:color="auto" w:fill="auto"/>
            <w:noWrap/>
            <w:vAlign w:val="bottom"/>
            <w:hideMark/>
          </w:tcPr>
          <w:p w14:paraId="4517D378" w14:textId="77777777" w:rsidR="00AA3433" w:rsidRPr="00AA3433" w:rsidRDefault="00AA3433" w:rsidP="00AA3433">
            <w:pPr>
              <w:spacing w:after="0" w:line="240" w:lineRule="auto"/>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5167 služby školení a vzdělávání</w:t>
            </w:r>
          </w:p>
        </w:tc>
        <w:tc>
          <w:tcPr>
            <w:tcW w:w="1276" w:type="dxa"/>
            <w:tcBorders>
              <w:top w:val="nil"/>
              <w:left w:val="nil"/>
              <w:bottom w:val="single" w:sz="4" w:space="0" w:color="auto"/>
              <w:right w:val="single" w:sz="4" w:space="0" w:color="auto"/>
            </w:tcBorders>
            <w:shd w:val="clear" w:color="auto" w:fill="auto"/>
            <w:noWrap/>
            <w:vAlign w:val="bottom"/>
            <w:hideMark/>
          </w:tcPr>
          <w:p w14:paraId="3E1877DD"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20 000</w:t>
            </w:r>
          </w:p>
        </w:tc>
        <w:tc>
          <w:tcPr>
            <w:tcW w:w="1559" w:type="dxa"/>
            <w:tcBorders>
              <w:top w:val="nil"/>
              <w:left w:val="nil"/>
              <w:bottom w:val="single" w:sz="4" w:space="0" w:color="auto"/>
              <w:right w:val="single" w:sz="4" w:space="0" w:color="auto"/>
            </w:tcBorders>
            <w:shd w:val="clear" w:color="auto" w:fill="auto"/>
            <w:noWrap/>
            <w:vAlign w:val="bottom"/>
            <w:hideMark/>
          </w:tcPr>
          <w:p w14:paraId="4BBB27E2"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50 000,00</w:t>
            </w:r>
          </w:p>
        </w:tc>
        <w:tc>
          <w:tcPr>
            <w:tcW w:w="1417" w:type="dxa"/>
            <w:tcBorders>
              <w:top w:val="nil"/>
              <w:left w:val="nil"/>
              <w:bottom w:val="single" w:sz="4" w:space="0" w:color="auto"/>
              <w:right w:val="single" w:sz="4" w:space="0" w:color="auto"/>
            </w:tcBorders>
            <w:shd w:val="clear" w:color="auto" w:fill="auto"/>
            <w:noWrap/>
            <w:vAlign w:val="bottom"/>
            <w:hideMark/>
          </w:tcPr>
          <w:p w14:paraId="65F5F7B2"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34 025,20</w:t>
            </w:r>
          </w:p>
        </w:tc>
        <w:tc>
          <w:tcPr>
            <w:tcW w:w="709" w:type="dxa"/>
            <w:tcBorders>
              <w:top w:val="nil"/>
              <w:left w:val="nil"/>
              <w:bottom w:val="single" w:sz="4" w:space="0" w:color="auto"/>
              <w:right w:val="single" w:sz="8" w:space="0" w:color="auto"/>
            </w:tcBorders>
            <w:shd w:val="clear" w:color="auto" w:fill="auto"/>
            <w:noWrap/>
            <w:vAlign w:val="bottom"/>
            <w:hideMark/>
          </w:tcPr>
          <w:p w14:paraId="282C4567"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68,1</w:t>
            </w:r>
          </w:p>
        </w:tc>
      </w:tr>
      <w:tr w:rsidR="00AA3433" w:rsidRPr="00AA3433" w14:paraId="60DC7C0A" w14:textId="77777777" w:rsidTr="001F6D11">
        <w:trPr>
          <w:trHeight w:val="520"/>
        </w:trPr>
        <w:tc>
          <w:tcPr>
            <w:tcW w:w="851" w:type="dxa"/>
            <w:tcBorders>
              <w:top w:val="single" w:sz="4" w:space="0" w:color="auto"/>
              <w:left w:val="single" w:sz="8" w:space="0" w:color="auto"/>
              <w:bottom w:val="nil"/>
              <w:right w:val="single" w:sz="4" w:space="0" w:color="auto"/>
            </w:tcBorders>
            <w:shd w:val="clear" w:color="auto" w:fill="auto"/>
            <w:noWrap/>
            <w:vAlign w:val="bottom"/>
            <w:hideMark/>
          </w:tcPr>
          <w:p w14:paraId="577CBA79" w14:textId="77777777" w:rsidR="00AA3433" w:rsidRPr="00AA3433" w:rsidRDefault="00AA3433" w:rsidP="00AA3433">
            <w:pPr>
              <w:spacing w:after="0" w:line="240" w:lineRule="auto"/>
              <w:jc w:val="center"/>
              <w:rPr>
                <w:rFonts w:ascii="Arial" w:eastAsia="Times New Roman" w:hAnsi="Arial" w:cs="Arial"/>
                <w:i/>
                <w:iCs/>
                <w:sz w:val="20"/>
                <w:szCs w:val="20"/>
                <w:lang w:eastAsia="cs-CZ"/>
              </w:rPr>
            </w:pPr>
            <w:r w:rsidRPr="00AA3433">
              <w:rPr>
                <w:rFonts w:ascii="Arial" w:eastAsia="Times New Roman" w:hAnsi="Arial" w:cs="Arial"/>
                <w:i/>
                <w:iCs/>
                <w:sz w:val="20"/>
                <w:szCs w:val="20"/>
                <w:lang w:eastAsia="cs-CZ"/>
              </w:rPr>
              <w:t> </w:t>
            </w:r>
          </w:p>
        </w:tc>
        <w:tc>
          <w:tcPr>
            <w:tcW w:w="4678" w:type="dxa"/>
            <w:tcBorders>
              <w:top w:val="nil"/>
              <w:left w:val="nil"/>
              <w:bottom w:val="single" w:sz="4" w:space="0" w:color="auto"/>
              <w:right w:val="single" w:sz="4" w:space="0" w:color="auto"/>
            </w:tcBorders>
            <w:shd w:val="clear" w:color="auto" w:fill="auto"/>
            <w:vAlign w:val="bottom"/>
            <w:hideMark/>
          </w:tcPr>
          <w:p w14:paraId="670A95A9" w14:textId="77777777" w:rsidR="00AA3433" w:rsidRPr="00AA3433" w:rsidRDefault="00AA3433" w:rsidP="00AA3433">
            <w:pPr>
              <w:spacing w:after="0" w:line="240" w:lineRule="auto"/>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5168 zpracování dat a služby související s informačními a komunikačními technologiemi</w:t>
            </w:r>
          </w:p>
        </w:tc>
        <w:tc>
          <w:tcPr>
            <w:tcW w:w="1276" w:type="dxa"/>
            <w:tcBorders>
              <w:top w:val="nil"/>
              <w:left w:val="nil"/>
              <w:bottom w:val="single" w:sz="4" w:space="0" w:color="auto"/>
              <w:right w:val="single" w:sz="4" w:space="0" w:color="auto"/>
            </w:tcBorders>
            <w:shd w:val="clear" w:color="auto" w:fill="auto"/>
            <w:noWrap/>
            <w:vAlign w:val="bottom"/>
            <w:hideMark/>
          </w:tcPr>
          <w:p w14:paraId="1C1C6F34"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1 750 000</w:t>
            </w:r>
          </w:p>
        </w:tc>
        <w:tc>
          <w:tcPr>
            <w:tcW w:w="1559" w:type="dxa"/>
            <w:tcBorders>
              <w:top w:val="nil"/>
              <w:left w:val="nil"/>
              <w:bottom w:val="single" w:sz="4" w:space="0" w:color="auto"/>
              <w:right w:val="single" w:sz="4" w:space="0" w:color="auto"/>
            </w:tcBorders>
            <w:shd w:val="clear" w:color="auto" w:fill="auto"/>
            <w:noWrap/>
            <w:vAlign w:val="bottom"/>
            <w:hideMark/>
          </w:tcPr>
          <w:p w14:paraId="09E2EC92"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1 750 000,00</w:t>
            </w:r>
          </w:p>
        </w:tc>
        <w:tc>
          <w:tcPr>
            <w:tcW w:w="1417" w:type="dxa"/>
            <w:tcBorders>
              <w:top w:val="nil"/>
              <w:left w:val="nil"/>
              <w:bottom w:val="single" w:sz="4" w:space="0" w:color="auto"/>
              <w:right w:val="single" w:sz="4" w:space="0" w:color="auto"/>
            </w:tcBorders>
            <w:shd w:val="clear" w:color="auto" w:fill="auto"/>
            <w:noWrap/>
            <w:vAlign w:val="bottom"/>
            <w:hideMark/>
          </w:tcPr>
          <w:p w14:paraId="619A45E0"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1 691 660,00</w:t>
            </w:r>
          </w:p>
        </w:tc>
        <w:tc>
          <w:tcPr>
            <w:tcW w:w="709" w:type="dxa"/>
            <w:tcBorders>
              <w:top w:val="nil"/>
              <w:left w:val="nil"/>
              <w:bottom w:val="single" w:sz="4" w:space="0" w:color="auto"/>
              <w:right w:val="single" w:sz="8" w:space="0" w:color="auto"/>
            </w:tcBorders>
            <w:shd w:val="clear" w:color="auto" w:fill="auto"/>
            <w:noWrap/>
            <w:vAlign w:val="bottom"/>
            <w:hideMark/>
          </w:tcPr>
          <w:p w14:paraId="76777BFC"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96,7</w:t>
            </w:r>
          </w:p>
        </w:tc>
      </w:tr>
      <w:tr w:rsidR="00AA3433" w:rsidRPr="00AA3433" w14:paraId="4D67A9FA" w14:textId="77777777" w:rsidTr="001F6D11">
        <w:trPr>
          <w:trHeight w:val="260"/>
        </w:trPr>
        <w:tc>
          <w:tcPr>
            <w:tcW w:w="851" w:type="dxa"/>
            <w:tcBorders>
              <w:top w:val="single" w:sz="4" w:space="0" w:color="auto"/>
              <w:left w:val="single" w:sz="8" w:space="0" w:color="auto"/>
              <w:bottom w:val="nil"/>
              <w:right w:val="single" w:sz="4" w:space="0" w:color="auto"/>
            </w:tcBorders>
            <w:shd w:val="clear" w:color="auto" w:fill="auto"/>
            <w:noWrap/>
            <w:vAlign w:val="bottom"/>
            <w:hideMark/>
          </w:tcPr>
          <w:p w14:paraId="058F7177" w14:textId="77777777" w:rsidR="00AA3433" w:rsidRPr="00AA3433" w:rsidRDefault="00AA3433" w:rsidP="00AA3433">
            <w:pPr>
              <w:spacing w:after="0" w:line="240" w:lineRule="auto"/>
              <w:jc w:val="center"/>
              <w:rPr>
                <w:rFonts w:ascii="Arial" w:eastAsia="Times New Roman" w:hAnsi="Arial" w:cs="Arial"/>
                <w:i/>
                <w:iCs/>
                <w:sz w:val="20"/>
                <w:szCs w:val="20"/>
                <w:lang w:eastAsia="cs-CZ"/>
              </w:rPr>
            </w:pPr>
            <w:r w:rsidRPr="00AA3433">
              <w:rPr>
                <w:rFonts w:ascii="Arial" w:eastAsia="Times New Roman" w:hAnsi="Arial" w:cs="Arial"/>
                <w:i/>
                <w:iCs/>
                <w:sz w:val="20"/>
                <w:szCs w:val="20"/>
                <w:lang w:eastAsia="cs-CZ"/>
              </w:rPr>
              <w:t> </w:t>
            </w:r>
          </w:p>
        </w:tc>
        <w:tc>
          <w:tcPr>
            <w:tcW w:w="4678" w:type="dxa"/>
            <w:tcBorders>
              <w:top w:val="nil"/>
              <w:left w:val="nil"/>
              <w:bottom w:val="single" w:sz="4" w:space="0" w:color="auto"/>
              <w:right w:val="single" w:sz="4" w:space="0" w:color="auto"/>
            </w:tcBorders>
            <w:shd w:val="clear" w:color="auto" w:fill="auto"/>
            <w:noWrap/>
            <w:vAlign w:val="bottom"/>
            <w:hideMark/>
          </w:tcPr>
          <w:p w14:paraId="6B008FEF" w14:textId="77777777" w:rsidR="00AA3433" w:rsidRPr="00AA3433" w:rsidRDefault="00AA3433" w:rsidP="00AA3433">
            <w:pPr>
              <w:spacing w:after="0" w:line="240" w:lineRule="auto"/>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5169 nákup ostatních služeb</w:t>
            </w:r>
          </w:p>
        </w:tc>
        <w:tc>
          <w:tcPr>
            <w:tcW w:w="1276" w:type="dxa"/>
            <w:tcBorders>
              <w:top w:val="nil"/>
              <w:left w:val="nil"/>
              <w:bottom w:val="single" w:sz="4" w:space="0" w:color="auto"/>
              <w:right w:val="single" w:sz="4" w:space="0" w:color="auto"/>
            </w:tcBorders>
            <w:shd w:val="clear" w:color="auto" w:fill="auto"/>
            <w:noWrap/>
            <w:vAlign w:val="bottom"/>
            <w:hideMark/>
          </w:tcPr>
          <w:p w14:paraId="0F9EBC63"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13 938 000</w:t>
            </w:r>
          </w:p>
        </w:tc>
        <w:tc>
          <w:tcPr>
            <w:tcW w:w="1559" w:type="dxa"/>
            <w:tcBorders>
              <w:top w:val="nil"/>
              <w:left w:val="nil"/>
              <w:bottom w:val="single" w:sz="4" w:space="0" w:color="auto"/>
              <w:right w:val="single" w:sz="4" w:space="0" w:color="auto"/>
            </w:tcBorders>
            <w:shd w:val="clear" w:color="auto" w:fill="auto"/>
            <w:noWrap/>
            <w:vAlign w:val="bottom"/>
            <w:hideMark/>
          </w:tcPr>
          <w:p w14:paraId="57ADDF7B"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14 234 732,00</w:t>
            </w:r>
          </w:p>
        </w:tc>
        <w:tc>
          <w:tcPr>
            <w:tcW w:w="1417" w:type="dxa"/>
            <w:tcBorders>
              <w:top w:val="nil"/>
              <w:left w:val="nil"/>
              <w:bottom w:val="single" w:sz="4" w:space="0" w:color="auto"/>
              <w:right w:val="single" w:sz="4" w:space="0" w:color="auto"/>
            </w:tcBorders>
            <w:shd w:val="clear" w:color="auto" w:fill="auto"/>
            <w:noWrap/>
            <w:vAlign w:val="bottom"/>
            <w:hideMark/>
          </w:tcPr>
          <w:p w14:paraId="44635065"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11 975 572,11</w:t>
            </w:r>
          </w:p>
        </w:tc>
        <w:tc>
          <w:tcPr>
            <w:tcW w:w="709" w:type="dxa"/>
            <w:tcBorders>
              <w:top w:val="nil"/>
              <w:left w:val="nil"/>
              <w:bottom w:val="single" w:sz="4" w:space="0" w:color="auto"/>
              <w:right w:val="single" w:sz="8" w:space="0" w:color="auto"/>
            </w:tcBorders>
            <w:shd w:val="clear" w:color="auto" w:fill="auto"/>
            <w:noWrap/>
            <w:vAlign w:val="bottom"/>
            <w:hideMark/>
          </w:tcPr>
          <w:p w14:paraId="310FFCF2"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84,1</w:t>
            </w:r>
          </w:p>
        </w:tc>
      </w:tr>
      <w:tr w:rsidR="00AA3433" w:rsidRPr="00AA3433" w14:paraId="5B82B001" w14:textId="77777777" w:rsidTr="001F6D11">
        <w:trPr>
          <w:trHeight w:val="260"/>
        </w:trPr>
        <w:tc>
          <w:tcPr>
            <w:tcW w:w="851" w:type="dxa"/>
            <w:tcBorders>
              <w:top w:val="single" w:sz="4" w:space="0" w:color="auto"/>
              <w:left w:val="single" w:sz="8" w:space="0" w:color="auto"/>
              <w:bottom w:val="nil"/>
              <w:right w:val="single" w:sz="4" w:space="0" w:color="auto"/>
            </w:tcBorders>
            <w:shd w:val="clear" w:color="auto" w:fill="auto"/>
            <w:noWrap/>
            <w:vAlign w:val="bottom"/>
            <w:hideMark/>
          </w:tcPr>
          <w:p w14:paraId="1CF0C266" w14:textId="77777777" w:rsidR="00AA3433" w:rsidRPr="00AA3433" w:rsidRDefault="00AA3433" w:rsidP="00AA3433">
            <w:pPr>
              <w:spacing w:after="0" w:line="240" w:lineRule="auto"/>
              <w:jc w:val="center"/>
              <w:rPr>
                <w:rFonts w:ascii="Arial" w:eastAsia="Times New Roman" w:hAnsi="Arial" w:cs="Arial"/>
                <w:i/>
                <w:iCs/>
                <w:sz w:val="20"/>
                <w:szCs w:val="20"/>
                <w:lang w:eastAsia="cs-CZ"/>
              </w:rPr>
            </w:pPr>
            <w:r w:rsidRPr="00AA3433">
              <w:rPr>
                <w:rFonts w:ascii="Arial" w:eastAsia="Times New Roman" w:hAnsi="Arial" w:cs="Arial"/>
                <w:i/>
                <w:iCs/>
                <w:sz w:val="20"/>
                <w:szCs w:val="20"/>
                <w:lang w:eastAsia="cs-CZ"/>
              </w:rPr>
              <w:t> </w:t>
            </w:r>
          </w:p>
        </w:tc>
        <w:tc>
          <w:tcPr>
            <w:tcW w:w="4678" w:type="dxa"/>
            <w:tcBorders>
              <w:top w:val="nil"/>
              <w:left w:val="nil"/>
              <w:bottom w:val="single" w:sz="4" w:space="0" w:color="auto"/>
              <w:right w:val="single" w:sz="4" w:space="0" w:color="auto"/>
            </w:tcBorders>
            <w:shd w:val="clear" w:color="auto" w:fill="auto"/>
            <w:vAlign w:val="bottom"/>
            <w:hideMark/>
          </w:tcPr>
          <w:p w14:paraId="5B5E9014" w14:textId="77777777" w:rsidR="00AA3433" w:rsidRPr="00AA3433" w:rsidRDefault="00AA3433" w:rsidP="00AA3433">
            <w:pPr>
              <w:spacing w:after="0" w:line="240" w:lineRule="auto"/>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5171 opravy a udržování</w:t>
            </w:r>
          </w:p>
        </w:tc>
        <w:tc>
          <w:tcPr>
            <w:tcW w:w="1276" w:type="dxa"/>
            <w:tcBorders>
              <w:top w:val="nil"/>
              <w:left w:val="nil"/>
              <w:bottom w:val="nil"/>
              <w:right w:val="single" w:sz="4" w:space="0" w:color="auto"/>
            </w:tcBorders>
            <w:shd w:val="clear" w:color="auto" w:fill="auto"/>
            <w:noWrap/>
            <w:vAlign w:val="bottom"/>
            <w:hideMark/>
          </w:tcPr>
          <w:p w14:paraId="55CA44FA"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5 800 000</w:t>
            </w:r>
          </w:p>
        </w:tc>
        <w:tc>
          <w:tcPr>
            <w:tcW w:w="1559" w:type="dxa"/>
            <w:tcBorders>
              <w:top w:val="nil"/>
              <w:left w:val="nil"/>
              <w:bottom w:val="nil"/>
              <w:right w:val="single" w:sz="4" w:space="0" w:color="auto"/>
            </w:tcBorders>
            <w:shd w:val="clear" w:color="auto" w:fill="auto"/>
            <w:noWrap/>
            <w:vAlign w:val="bottom"/>
            <w:hideMark/>
          </w:tcPr>
          <w:p w14:paraId="4BC5125F"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6 522 000,00</w:t>
            </w:r>
          </w:p>
        </w:tc>
        <w:tc>
          <w:tcPr>
            <w:tcW w:w="1417" w:type="dxa"/>
            <w:tcBorders>
              <w:top w:val="nil"/>
              <w:left w:val="nil"/>
              <w:bottom w:val="nil"/>
              <w:right w:val="single" w:sz="4" w:space="0" w:color="auto"/>
            </w:tcBorders>
            <w:shd w:val="clear" w:color="auto" w:fill="auto"/>
            <w:noWrap/>
            <w:vAlign w:val="bottom"/>
            <w:hideMark/>
          </w:tcPr>
          <w:p w14:paraId="625EA166"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4 540 843,83</w:t>
            </w:r>
          </w:p>
        </w:tc>
        <w:tc>
          <w:tcPr>
            <w:tcW w:w="709" w:type="dxa"/>
            <w:tcBorders>
              <w:top w:val="nil"/>
              <w:left w:val="nil"/>
              <w:bottom w:val="single" w:sz="4" w:space="0" w:color="auto"/>
              <w:right w:val="single" w:sz="8" w:space="0" w:color="auto"/>
            </w:tcBorders>
            <w:shd w:val="clear" w:color="auto" w:fill="auto"/>
            <w:noWrap/>
            <w:vAlign w:val="bottom"/>
            <w:hideMark/>
          </w:tcPr>
          <w:p w14:paraId="6362AC8E"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69,6</w:t>
            </w:r>
          </w:p>
        </w:tc>
      </w:tr>
      <w:tr w:rsidR="00AA3433" w:rsidRPr="00AA3433" w14:paraId="0CF0FF06" w14:textId="77777777" w:rsidTr="001F6D11">
        <w:trPr>
          <w:trHeight w:val="260"/>
        </w:trPr>
        <w:tc>
          <w:tcPr>
            <w:tcW w:w="851" w:type="dxa"/>
            <w:tcBorders>
              <w:top w:val="single" w:sz="4" w:space="0" w:color="auto"/>
              <w:left w:val="single" w:sz="8" w:space="0" w:color="auto"/>
              <w:bottom w:val="nil"/>
              <w:right w:val="single" w:sz="4" w:space="0" w:color="auto"/>
            </w:tcBorders>
            <w:shd w:val="clear" w:color="auto" w:fill="auto"/>
            <w:noWrap/>
            <w:vAlign w:val="bottom"/>
            <w:hideMark/>
          </w:tcPr>
          <w:p w14:paraId="3FA71032" w14:textId="77777777" w:rsidR="00AA3433" w:rsidRPr="00AA3433" w:rsidRDefault="00AA3433" w:rsidP="00AA3433">
            <w:pPr>
              <w:spacing w:after="0" w:line="240" w:lineRule="auto"/>
              <w:jc w:val="center"/>
              <w:rPr>
                <w:rFonts w:ascii="Arial" w:eastAsia="Times New Roman" w:hAnsi="Arial" w:cs="Arial"/>
                <w:i/>
                <w:iCs/>
                <w:sz w:val="20"/>
                <w:szCs w:val="20"/>
                <w:lang w:eastAsia="cs-CZ"/>
              </w:rPr>
            </w:pPr>
            <w:r w:rsidRPr="00AA3433">
              <w:rPr>
                <w:rFonts w:ascii="Arial" w:eastAsia="Times New Roman" w:hAnsi="Arial" w:cs="Arial"/>
                <w:i/>
                <w:iCs/>
                <w:sz w:val="20"/>
                <w:szCs w:val="20"/>
                <w:lang w:eastAsia="cs-CZ"/>
              </w:rPr>
              <w:t> </w:t>
            </w:r>
          </w:p>
        </w:tc>
        <w:tc>
          <w:tcPr>
            <w:tcW w:w="4678" w:type="dxa"/>
            <w:tcBorders>
              <w:top w:val="nil"/>
              <w:left w:val="nil"/>
              <w:bottom w:val="single" w:sz="4" w:space="0" w:color="auto"/>
              <w:right w:val="single" w:sz="4" w:space="0" w:color="auto"/>
            </w:tcBorders>
            <w:shd w:val="clear" w:color="auto" w:fill="auto"/>
            <w:noWrap/>
            <w:vAlign w:val="bottom"/>
            <w:hideMark/>
          </w:tcPr>
          <w:p w14:paraId="07253558" w14:textId="77777777" w:rsidR="00AA3433" w:rsidRPr="00AA3433" w:rsidRDefault="00AA3433" w:rsidP="00AA3433">
            <w:pPr>
              <w:spacing w:after="0" w:line="240" w:lineRule="auto"/>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 xml:space="preserve">5173 cestovné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397C2904"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1 300 000</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6B3E5332"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1 489 361,70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510A8FB6"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1 352 868,00</w:t>
            </w:r>
          </w:p>
        </w:tc>
        <w:tc>
          <w:tcPr>
            <w:tcW w:w="709" w:type="dxa"/>
            <w:tcBorders>
              <w:top w:val="nil"/>
              <w:left w:val="nil"/>
              <w:bottom w:val="single" w:sz="4" w:space="0" w:color="auto"/>
              <w:right w:val="single" w:sz="8" w:space="0" w:color="auto"/>
            </w:tcBorders>
            <w:shd w:val="clear" w:color="auto" w:fill="auto"/>
            <w:noWrap/>
            <w:vAlign w:val="bottom"/>
            <w:hideMark/>
          </w:tcPr>
          <w:p w14:paraId="1D381E59"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90,8</w:t>
            </w:r>
          </w:p>
        </w:tc>
      </w:tr>
      <w:tr w:rsidR="00AA3433" w:rsidRPr="00AA3433" w14:paraId="57A2D9C6" w14:textId="77777777" w:rsidTr="001F6D11">
        <w:trPr>
          <w:trHeight w:val="260"/>
        </w:trPr>
        <w:tc>
          <w:tcPr>
            <w:tcW w:w="851"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14742F9F" w14:textId="77777777" w:rsidR="00AA3433" w:rsidRPr="00AA3433" w:rsidRDefault="00AA3433" w:rsidP="00AA3433">
            <w:pPr>
              <w:spacing w:after="0" w:line="240" w:lineRule="auto"/>
              <w:jc w:val="center"/>
              <w:rPr>
                <w:rFonts w:ascii="Arial" w:eastAsia="Times New Roman" w:hAnsi="Arial" w:cs="Arial"/>
                <w:i/>
                <w:iCs/>
                <w:sz w:val="20"/>
                <w:szCs w:val="20"/>
                <w:lang w:eastAsia="cs-CZ"/>
              </w:rPr>
            </w:pPr>
            <w:r w:rsidRPr="00AA3433">
              <w:rPr>
                <w:rFonts w:ascii="Arial" w:eastAsia="Times New Roman" w:hAnsi="Arial" w:cs="Arial"/>
                <w:i/>
                <w:iCs/>
                <w:sz w:val="20"/>
                <w:szCs w:val="20"/>
                <w:lang w:eastAsia="cs-CZ"/>
              </w:rPr>
              <w:t> </w:t>
            </w:r>
          </w:p>
        </w:tc>
        <w:tc>
          <w:tcPr>
            <w:tcW w:w="4678" w:type="dxa"/>
            <w:tcBorders>
              <w:top w:val="nil"/>
              <w:left w:val="nil"/>
              <w:bottom w:val="single" w:sz="4" w:space="0" w:color="auto"/>
              <w:right w:val="single" w:sz="4" w:space="0" w:color="auto"/>
            </w:tcBorders>
            <w:shd w:val="clear" w:color="auto" w:fill="auto"/>
            <w:noWrap/>
            <w:vAlign w:val="bottom"/>
            <w:hideMark/>
          </w:tcPr>
          <w:p w14:paraId="4853A135" w14:textId="77777777" w:rsidR="00AA3433" w:rsidRPr="00AA3433" w:rsidRDefault="00AA3433" w:rsidP="00AA3433">
            <w:pPr>
              <w:spacing w:after="0" w:line="240" w:lineRule="auto"/>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5175 pohoštění</w:t>
            </w:r>
          </w:p>
        </w:tc>
        <w:tc>
          <w:tcPr>
            <w:tcW w:w="1276" w:type="dxa"/>
            <w:tcBorders>
              <w:top w:val="nil"/>
              <w:left w:val="nil"/>
              <w:bottom w:val="single" w:sz="4" w:space="0" w:color="auto"/>
              <w:right w:val="single" w:sz="4" w:space="0" w:color="auto"/>
            </w:tcBorders>
            <w:shd w:val="clear" w:color="auto" w:fill="auto"/>
            <w:noWrap/>
            <w:vAlign w:val="bottom"/>
            <w:hideMark/>
          </w:tcPr>
          <w:p w14:paraId="4B5C3BCE"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710 000</w:t>
            </w:r>
          </w:p>
        </w:tc>
        <w:tc>
          <w:tcPr>
            <w:tcW w:w="1559" w:type="dxa"/>
            <w:tcBorders>
              <w:top w:val="nil"/>
              <w:left w:val="nil"/>
              <w:bottom w:val="single" w:sz="4" w:space="0" w:color="auto"/>
              <w:right w:val="single" w:sz="4" w:space="0" w:color="auto"/>
            </w:tcBorders>
            <w:shd w:val="clear" w:color="auto" w:fill="auto"/>
            <w:noWrap/>
            <w:vAlign w:val="bottom"/>
            <w:hideMark/>
          </w:tcPr>
          <w:p w14:paraId="2C6F279A"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710 000,00</w:t>
            </w:r>
          </w:p>
        </w:tc>
        <w:tc>
          <w:tcPr>
            <w:tcW w:w="1417" w:type="dxa"/>
            <w:tcBorders>
              <w:top w:val="nil"/>
              <w:left w:val="nil"/>
              <w:bottom w:val="single" w:sz="4" w:space="0" w:color="auto"/>
              <w:right w:val="single" w:sz="4" w:space="0" w:color="auto"/>
            </w:tcBorders>
            <w:shd w:val="clear" w:color="auto" w:fill="auto"/>
            <w:noWrap/>
            <w:vAlign w:val="bottom"/>
            <w:hideMark/>
          </w:tcPr>
          <w:p w14:paraId="3F4F09A6"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433 682,99</w:t>
            </w:r>
          </w:p>
        </w:tc>
        <w:tc>
          <w:tcPr>
            <w:tcW w:w="709" w:type="dxa"/>
            <w:tcBorders>
              <w:top w:val="nil"/>
              <w:left w:val="nil"/>
              <w:bottom w:val="single" w:sz="4" w:space="0" w:color="auto"/>
              <w:right w:val="single" w:sz="8" w:space="0" w:color="auto"/>
            </w:tcBorders>
            <w:shd w:val="clear" w:color="auto" w:fill="auto"/>
            <w:noWrap/>
            <w:vAlign w:val="bottom"/>
            <w:hideMark/>
          </w:tcPr>
          <w:p w14:paraId="563202D0"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61,1</w:t>
            </w:r>
          </w:p>
        </w:tc>
      </w:tr>
      <w:tr w:rsidR="00AA3433" w:rsidRPr="00AA3433" w14:paraId="2B686ECA" w14:textId="77777777" w:rsidTr="001F6D11">
        <w:trPr>
          <w:trHeight w:val="260"/>
        </w:trPr>
        <w:tc>
          <w:tcPr>
            <w:tcW w:w="851" w:type="dxa"/>
            <w:tcBorders>
              <w:top w:val="nil"/>
              <w:left w:val="single" w:sz="8" w:space="0" w:color="auto"/>
              <w:bottom w:val="single" w:sz="4" w:space="0" w:color="auto"/>
              <w:right w:val="single" w:sz="4" w:space="0" w:color="auto"/>
            </w:tcBorders>
            <w:shd w:val="clear" w:color="auto" w:fill="auto"/>
            <w:noWrap/>
            <w:vAlign w:val="bottom"/>
            <w:hideMark/>
          </w:tcPr>
          <w:p w14:paraId="1D897692" w14:textId="77777777" w:rsidR="00AA3433" w:rsidRPr="00AA3433" w:rsidRDefault="00AA3433" w:rsidP="00AA3433">
            <w:pPr>
              <w:spacing w:after="0" w:line="240" w:lineRule="auto"/>
              <w:jc w:val="center"/>
              <w:rPr>
                <w:rFonts w:ascii="Arial" w:eastAsia="Times New Roman" w:hAnsi="Arial" w:cs="Arial"/>
                <w:i/>
                <w:iCs/>
                <w:sz w:val="20"/>
                <w:szCs w:val="20"/>
                <w:lang w:eastAsia="cs-CZ"/>
              </w:rPr>
            </w:pPr>
            <w:r w:rsidRPr="00AA3433">
              <w:rPr>
                <w:rFonts w:ascii="Arial" w:eastAsia="Times New Roman" w:hAnsi="Arial" w:cs="Arial"/>
                <w:i/>
                <w:iCs/>
                <w:sz w:val="20"/>
                <w:szCs w:val="20"/>
                <w:lang w:eastAsia="cs-CZ"/>
              </w:rPr>
              <w:t> </w:t>
            </w:r>
          </w:p>
        </w:tc>
        <w:tc>
          <w:tcPr>
            <w:tcW w:w="4678" w:type="dxa"/>
            <w:tcBorders>
              <w:top w:val="nil"/>
              <w:left w:val="nil"/>
              <w:bottom w:val="single" w:sz="4" w:space="0" w:color="auto"/>
              <w:right w:val="single" w:sz="4" w:space="0" w:color="auto"/>
            </w:tcBorders>
            <w:shd w:val="clear" w:color="auto" w:fill="auto"/>
            <w:noWrap/>
            <w:vAlign w:val="bottom"/>
            <w:hideMark/>
          </w:tcPr>
          <w:p w14:paraId="3D967942" w14:textId="77777777" w:rsidR="00AA3433" w:rsidRPr="00AA3433" w:rsidRDefault="00AA3433" w:rsidP="00AA3433">
            <w:pPr>
              <w:spacing w:after="0" w:line="240" w:lineRule="auto"/>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5176 účastnické poplatky a konference</w:t>
            </w:r>
          </w:p>
        </w:tc>
        <w:tc>
          <w:tcPr>
            <w:tcW w:w="1276" w:type="dxa"/>
            <w:tcBorders>
              <w:top w:val="nil"/>
              <w:left w:val="nil"/>
              <w:bottom w:val="single" w:sz="4" w:space="0" w:color="auto"/>
              <w:right w:val="single" w:sz="4" w:space="0" w:color="auto"/>
            </w:tcBorders>
            <w:shd w:val="clear" w:color="auto" w:fill="auto"/>
            <w:noWrap/>
            <w:vAlign w:val="bottom"/>
            <w:hideMark/>
          </w:tcPr>
          <w:p w14:paraId="50B6B7FC"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10 000</w:t>
            </w:r>
          </w:p>
        </w:tc>
        <w:tc>
          <w:tcPr>
            <w:tcW w:w="1559" w:type="dxa"/>
            <w:tcBorders>
              <w:top w:val="nil"/>
              <w:left w:val="nil"/>
              <w:bottom w:val="single" w:sz="4" w:space="0" w:color="auto"/>
              <w:right w:val="single" w:sz="4" w:space="0" w:color="auto"/>
            </w:tcBorders>
            <w:shd w:val="clear" w:color="auto" w:fill="auto"/>
            <w:noWrap/>
            <w:vAlign w:val="bottom"/>
            <w:hideMark/>
          </w:tcPr>
          <w:p w14:paraId="0CBD24AD"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10 000,00</w:t>
            </w:r>
          </w:p>
        </w:tc>
        <w:tc>
          <w:tcPr>
            <w:tcW w:w="1417" w:type="dxa"/>
            <w:tcBorders>
              <w:top w:val="nil"/>
              <w:left w:val="nil"/>
              <w:bottom w:val="single" w:sz="4" w:space="0" w:color="auto"/>
              <w:right w:val="single" w:sz="4" w:space="0" w:color="auto"/>
            </w:tcBorders>
            <w:shd w:val="clear" w:color="auto" w:fill="auto"/>
            <w:noWrap/>
            <w:vAlign w:val="bottom"/>
            <w:hideMark/>
          </w:tcPr>
          <w:p w14:paraId="4F34CA6D"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0,00</w:t>
            </w:r>
          </w:p>
        </w:tc>
        <w:tc>
          <w:tcPr>
            <w:tcW w:w="709" w:type="dxa"/>
            <w:tcBorders>
              <w:top w:val="nil"/>
              <w:left w:val="nil"/>
              <w:bottom w:val="single" w:sz="4" w:space="0" w:color="auto"/>
              <w:right w:val="single" w:sz="8" w:space="0" w:color="auto"/>
            </w:tcBorders>
            <w:shd w:val="clear" w:color="auto" w:fill="auto"/>
            <w:noWrap/>
            <w:vAlign w:val="bottom"/>
            <w:hideMark/>
          </w:tcPr>
          <w:p w14:paraId="37469FAD"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0,0</w:t>
            </w:r>
          </w:p>
        </w:tc>
      </w:tr>
      <w:tr w:rsidR="00AA3433" w:rsidRPr="00AA3433" w14:paraId="71054972" w14:textId="77777777" w:rsidTr="001F6D11">
        <w:trPr>
          <w:trHeight w:val="260"/>
        </w:trPr>
        <w:tc>
          <w:tcPr>
            <w:tcW w:w="851" w:type="dxa"/>
            <w:tcBorders>
              <w:top w:val="nil"/>
              <w:left w:val="single" w:sz="8" w:space="0" w:color="auto"/>
              <w:bottom w:val="single" w:sz="4" w:space="0" w:color="auto"/>
              <w:right w:val="single" w:sz="4" w:space="0" w:color="auto"/>
            </w:tcBorders>
            <w:shd w:val="clear" w:color="auto" w:fill="auto"/>
            <w:noWrap/>
            <w:vAlign w:val="bottom"/>
            <w:hideMark/>
          </w:tcPr>
          <w:p w14:paraId="606F0509" w14:textId="77777777" w:rsidR="00AA3433" w:rsidRPr="00AA3433" w:rsidRDefault="00AA3433" w:rsidP="00AA3433">
            <w:pPr>
              <w:spacing w:after="0" w:line="240" w:lineRule="auto"/>
              <w:jc w:val="center"/>
              <w:rPr>
                <w:rFonts w:ascii="Arial" w:eastAsia="Times New Roman" w:hAnsi="Arial" w:cs="Arial"/>
                <w:i/>
                <w:iCs/>
                <w:sz w:val="20"/>
                <w:szCs w:val="20"/>
                <w:lang w:eastAsia="cs-CZ"/>
              </w:rPr>
            </w:pPr>
            <w:r w:rsidRPr="00AA3433">
              <w:rPr>
                <w:rFonts w:ascii="Arial" w:eastAsia="Times New Roman" w:hAnsi="Arial" w:cs="Arial"/>
                <w:i/>
                <w:iCs/>
                <w:sz w:val="20"/>
                <w:szCs w:val="20"/>
                <w:lang w:eastAsia="cs-CZ"/>
              </w:rPr>
              <w:t> </w:t>
            </w:r>
          </w:p>
        </w:tc>
        <w:tc>
          <w:tcPr>
            <w:tcW w:w="4678" w:type="dxa"/>
            <w:tcBorders>
              <w:top w:val="nil"/>
              <w:left w:val="nil"/>
              <w:bottom w:val="single" w:sz="4" w:space="0" w:color="auto"/>
              <w:right w:val="single" w:sz="4" w:space="0" w:color="auto"/>
            </w:tcBorders>
            <w:shd w:val="clear" w:color="auto" w:fill="auto"/>
            <w:noWrap/>
            <w:vAlign w:val="bottom"/>
            <w:hideMark/>
          </w:tcPr>
          <w:p w14:paraId="1E211951" w14:textId="77777777" w:rsidR="00AA3433" w:rsidRPr="00AA3433" w:rsidRDefault="00AA3433" w:rsidP="00AA3433">
            <w:pPr>
              <w:spacing w:after="0" w:line="240" w:lineRule="auto"/>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5179 ostatní nákupy jinde nezařazené</w:t>
            </w:r>
          </w:p>
        </w:tc>
        <w:tc>
          <w:tcPr>
            <w:tcW w:w="1276" w:type="dxa"/>
            <w:tcBorders>
              <w:top w:val="nil"/>
              <w:left w:val="nil"/>
              <w:bottom w:val="single" w:sz="4" w:space="0" w:color="auto"/>
              <w:right w:val="single" w:sz="4" w:space="0" w:color="auto"/>
            </w:tcBorders>
            <w:shd w:val="clear" w:color="auto" w:fill="auto"/>
            <w:noWrap/>
            <w:vAlign w:val="bottom"/>
            <w:hideMark/>
          </w:tcPr>
          <w:p w14:paraId="76D4F33E"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27 000</w:t>
            </w:r>
          </w:p>
        </w:tc>
        <w:tc>
          <w:tcPr>
            <w:tcW w:w="1559" w:type="dxa"/>
            <w:tcBorders>
              <w:top w:val="nil"/>
              <w:left w:val="nil"/>
              <w:bottom w:val="single" w:sz="4" w:space="0" w:color="auto"/>
              <w:right w:val="single" w:sz="4" w:space="0" w:color="auto"/>
            </w:tcBorders>
            <w:shd w:val="clear" w:color="auto" w:fill="auto"/>
            <w:noWrap/>
            <w:vAlign w:val="bottom"/>
            <w:hideMark/>
          </w:tcPr>
          <w:p w14:paraId="628481EA"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27 000,00</w:t>
            </w:r>
          </w:p>
        </w:tc>
        <w:tc>
          <w:tcPr>
            <w:tcW w:w="1417" w:type="dxa"/>
            <w:tcBorders>
              <w:top w:val="nil"/>
              <w:left w:val="nil"/>
              <w:bottom w:val="single" w:sz="4" w:space="0" w:color="auto"/>
              <w:right w:val="single" w:sz="4" w:space="0" w:color="auto"/>
            </w:tcBorders>
            <w:shd w:val="clear" w:color="auto" w:fill="auto"/>
            <w:noWrap/>
            <w:vAlign w:val="bottom"/>
            <w:hideMark/>
          </w:tcPr>
          <w:p w14:paraId="1078D988"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12 420,00</w:t>
            </w:r>
          </w:p>
        </w:tc>
        <w:tc>
          <w:tcPr>
            <w:tcW w:w="709" w:type="dxa"/>
            <w:tcBorders>
              <w:top w:val="nil"/>
              <w:left w:val="nil"/>
              <w:bottom w:val="single" w:sz="4" w:space="0" w:color="auto"/>
              <w:right w:val="single" w:sz="8" w:space="0" w:color="auto"/>
            </w:tcBorders>
            <w:shd w:val="clear" w:color="auto" w:fill="auto"/>
            <w:noWrap/>
            <w:vAlign w:val="bottom"/>
            <w:hideMark/>
          </w:tcPr>
          <w:p w14:paraId="073E02FD"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46,0</w:t>
            </w:r>
          </w:p>
        </w:tc>
      </w:tr>
      <w:tr w:rsidR="00AA3433" w:rsidRPr="00AA3433" w14:paraId="2BA1ECFB" w14:textId="77777777" w:rsidTr="001F6D11">
        <w:trPr>
          <w:trHeight w:val="260"/>
        </w:trPr>
        <w:tc>
          <w:tcPr>
            <w:tcW w:w="851" w:type="dxa"/>
            <w:tcBorders>
              <w:top w:val="nil"/>
              <w:left w:val="single" w:sz="8" w:space="0" w:color="auto"/>
              <w:bottom w:val="single" w:sz="4" w:space="0" w:color="auto"/>
              <w:right w:val="single" w:sz="4" w:space="0" w:color="auto"/>
            </w:tcBorders>
            <w:shd w:val="clear" w:color="auto" w:fill="auto"/>
            <w:noWrap/>
            <w:vAlign w:val="bottom"/>
            <w:hideMark/>
          </w:tcPr>
          <w:p w14:paraId="72DF9AB0" w14:textId="77777777" w:rsidR="00AA3433" w:rsidRPr="00AA3433" w:rsidRDefault="00AA3433" w:rsidP="00AA3433">
            <w:pPr>
              <w:spacing w:after="0" w:line="240" w:lineRule="auto"/>
              <w:jc w:val="center"/>
              <w:rPr>
                <w:rFonts w:ascii="Arial" w:eastAsia="Times New Roman" w:hAnsi="Arial" w:cs="Arial"/>
                <w:i/>
                <w:iCs/>
                <w:sz w:val="20"/>
                <w:szCs w:val="20"/>
                <w:lang w:eastAsia="cs-CZ"/>
              </w:rPr>
            </w:pPr>
            <w:r w:rsidRPr="00AA3433">
              <w:rPr>
                <w:rFonts w:ascii="Arial" w:eastAsia="Times New Roman" w:hAnsi="Arial" w:cs="Arial"/>
                <w:i/>
                <w:iCs/>
                <w:sz w:val="20"/>
                <w:szCs w:val="20"/>
                <w:lang w:eastAsia="cs-CZ"/>
              </w:rPr>
              <w:t> </w:t>
            </w:r>
          </w:p>
        </w:tc>
        <w:tc>
          <w:tcPr>
            <w:tcW w:w="4678" w:type="dxa"/>
            <w:tcBorders>
              <w:top w:val="nil"/>
              <w:left w:val="nil"/>
              <w:bottom w:val="single" w:sz="4" w:space="0" w:color="auto"/>
              <w:right w:val="single" w:sz="4" w:space="0" w:color="auto"/>
            </w:tcBorders>
            <w:shd w:val="clear" w:color="auto" w:fill="auto"/>
            <w:noWrap/>
            <w:vAlign w:val="bottom"/>
            <w:hideMark/>
          </w:tcPr>
          <w:p w14:paraId="073E50F2" w14:textId="77777777" w:rsidR="00AA3433" w:rsidRPr="00AA3433" w:rsidRDefault="00AA3433" w:rsidP="00AA3433">
            <w:pPr>
              <w:spacing w:after="0" w:line="240" w:lineRule="auto"/>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5191 zaplacené sankce</w:t>
            </w:r>
          </w:p>
        </w:tc>
        <w:tc>
          <w:tcPr>
            <w:tcW w:w="1276" w:type="dxa"/>
            <w:tcBorders>
              <w:top w:val="nil"/>
              <w:left w:val="nil"/>
              <w:bottom w:val="single" w:sz="4" w:space="0" w:color="auto"/>
              <w:right w:val="single" w:sz="4" w:space="0" w:color="auto"/>
            </w:tcBorders>
            <w:shd w:val="clear" w:color="auto" w:fill="auto"/>
            <w:noWrap/>
            <w:vAlign w:val="bottom"/>
            <w:hideMark/>
          </w:tcPr>
          <w:p w14:paraId="7CB402E4"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10 000</w:t>
            </w:r>
          </w:p>
        </w:tc>
        <w:tc>
          <w:tcPr>
            <w:tcW w:w="1559" w:type="dxa"/>
            <w:tcBorders>
              <w:top w:val="nil"/>
              <w:left w:val="nil"/>
              <w:bottom w:val="single" w:sz="4" w:space="0" w:color="auto"/>
              <w:right w:val="single" w:sz="4" w:space="0" w:color="auto"/>
            </w:tcBorders>
            <w:shd w:val="clear" w:color="auto" w:fill="auto"/>
            <w:noWrap/>
            <w:vAlign w:val="bottom"/>
            <w:hideMark/>
          </w:tcPr>
          <w:p w14:paraId="20DFE0C3"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10 000,00</w:t>
            </w:r>
          </w:p>
        </w:tc>
        <w:tc>
          <w:tcPr>
            <w:tcW w:w="1417" w:type="dxa"/>
            <w:tcBorders>
              <w:top w:val="nil"/>
              <w:left w:val="nil"/>
              <w:bottom w:val="single" w:sz="4" w:space="0" w:color="auto"/>
              <w:right w:val="single" w:sz="4" w:space="0" w:color="auto"/>
            </w:tcBorders>
            <w:shd w:val="clear" w:color="auto" w:fill="auto"/>
            <w:noWrap/>
            <w:vAlign w:val="bottom"/>
            <w:hideMark/>
          </w:tcPr>
          <w:p w14:paraId="47BE5D19"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0,00</w:t>
            </w:r>
          </w:p>
        </w:tc>
        <w:tc>
          <w:tcPr>
            <w:tcW w:w="709" w:type="dxa"/>
            <w:tcBorders>
              <w:top w:val="nil"/>
              <w:left w:val="nil"/>
              <w:bottom w:val="single" w:sz="4" w:space="0" w:color="auto"/>
              <w:right w:val="single" w:sz="8" w:space="0" w:color="auto"/>
            </w:tcBorders>
            <w:shd w:val="clear" w:color="auto" w:fill="auto"/>
            <w:noWrap/>
            <w:vAlign w:val="bottom"/>
            <w:hideMark/>
          </w:tcPr>
          <w:p w14:paraId="6D067420"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0,0</w:t>
            </w:r>
          </w:p>
        </w:tc>
      </w:tr>
      <w:tr w:rsidR="00AA3433" w:rsidRPr="00AA3433" w14:paraId="1BFC5AE0" w14:textId="77777777" w:rsidTr="001F6D11">
        <w:trPr>
          <w:trHeight w:val="260"/>
        </w:trPr>
        <w:tc>
          <w:tcPr>
            <w:tcW w:w="851" w:type="dxa"/>
            <w:tcBorders>
              <w:top w:val="nil"/>
              <w:left w:val="single" w:sz="8" w:space="0" w:color="auto"/>
              <w:bottom w:val="single" w:sz="4" w:space="0" w:color="auto"/>
              <w:right w:val="single" w:sz="4" w:space="0" w:color="auto"/>
            </w:tcBorders>
            <w:shd w:val="clear" w:color="auto" w:fill="auto"/>
            <w:noWrap/>
            <w:vAlign w:val="bottom"/>
            <w:hideMark/>
          </w:tcPr>
          <w:p w14:paraId="7E0D2EAC" w14:textId="77777777" w:rsidR="00AA3433" w:rsidRPr="00AA3433" w:rsidRDefault="00AA3433" w:rsidP="00AA3433">
            <w:pPr>
              <w:spacing w:after="0" w:line="240" w:lineRule="auto"/>
              <w:jc w:val="center"/>
              <w:rPr>
                <w:rFonts w:ascii="Arial" w:eastAsia="Times New Roman" w:hAnsi="Arial" w:cs="Arial"/>
                <w:i/>
                <w:iCs/>
                <w:sz w:val="20"/>
                <w:szCs w:val="20"/>
                <w:lang w:eastAsia="cs-CZ"/>
              </w:rPr>
            </w:pPr>
            <w:r w:rsidRPr="00AA3433">
              <w:rPr>
                <w:rFonts w:ascii="Arial" w:eastAsia="Times New Roman" w:hAnsi="Arial" w:cs="Arial"/>
                <w:i/>
                <w:iCs/>
                <w:sz w:val="20"/>
                <w:szCs w:val="20"/>
                <w:lang w:eastAsia="cs-CZ"/>
              </w:rPr>
              <w:t> </w:t>
            </w:r>
          </w:p>
        </w:tc>
        <w:tc>
          <w:tcPr>
            <w:tcW w:w="4678" w:type="dxa"/>
            <w:tcBorders>
              <w:top w:val="nil"/>
              <w:left w:val="nil"/>
              <w:bottom w:val="single" w:sz="4" w:space="0" w:color="auto"/>
              <w:right w:val="single" w:sz="4" w:space="0" w:color="auto"/>
            </w:tcBorders>
            <w:shd w:val="clear" w:color="auto" w:fill="auto"/>
            <w:noWrap/>
            <w:vAlign w:val="bottom"/>
            <w:hideMark/>
          </w:tcPr>
          <w:p w14:paraId="5AC4865A" w14:textId="77777777" w:rsidR="00AA3433" w:rsidRPr="00AA3433" w:rsidRDefault="00AA3433" w:rsidP="00AA3433">
            <w:pPr>
              <w:spacing w:after="0" w:line="240" w:lineRule="auto"/>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5194 věcné dary</w:t>
            </w:r>
          </w:p>
        </w:tc>
        <w:tc>
          <w:tcPr>
            <w:tcW w:w="1276" w:type="dxa"/>
            <w:tcBorders>
              <w:top w:val="nil"/>
              <w:left w:val="nil"/>
              <w:bottom w:val="single" w:sz="4" w:space="0" w:color="auto"/>
              <w:right w:val="single" w:sz="4" w:space="0" w:color="auto"/>
            </w:tcBorders>
            <w:shd w:val="clear" w:color="auto" w:fill="auto"/>
            <w:noWrap/>
            <w:vAlign w:val="bottom"/>
            <w:hideMark/>
          </w:tcPr>
          <w:p w14:paraId="40630CED"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200 000</w:t>
            </w:r>
          </w:p>
        </w:tc>
        <w:tc>
          <w:tcPr>
            <w:tcW w:w="1559" w:type="dxa"/>
            <w:tcBorders>
              <w:top w:val="nil"/>
              <w:left w:val="nil"/>
              <w:bottom w:val="single" w:sz="4" w:space="0" w:color="auto"/>
              <w:right w:val="single" w:sz="4" w:space="0" w:color="auto"/>
            </w:tcBorders>
            <w:shd w:val="clear" w:color="auto" w:fill="auto"/>
            <w:noWrap/>
            <w:vAlign w:val="bottom"/>
            <w:hideMark/>
          </w:tcPr>
          <w:p w14:paraId="32F3BEF5"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100 000,00</w:t>
            </w:r>
          </w:p>
        </w:tc>
        <w:tc>
          <w:tcPr>
            <w:tcW w:w="1417" w:type="dxa"/>
            <w:tcBorders>
              <w:top w:val="nil"/>
              <w:left w:val="nil"/>
              <w:bottom w:val="single" w:sz="4" w:space="0" w:color="auto"/>
              <w:right w:val="single" w:sz="4" w:space="0" w:color="auto"/>
            </w:tcBorders>
            <w:shd w:val="clear" w:color="auto" w:fill="auto"/>
            <w:noWrap/>
            <w:vAlign w:val="bottom"/>
            <w:hideMark/>
          </w:tcPr>
          <w:p w14:paraId="4BF19532"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0,00</w:t>
            </w:r>
          </w:p>
        </w:tc>
        <w:tc>
          <w:tcPr>
            <w:tcW w:w="709" w:type="dxa"/>
            <w:tcBorders>
              <w:top w:val="nil"/>
              <w:left w:val="nil"/>
              <w:bottom w:val="single" w:sz="4" w:space="0" w:color="auto"/>
              <w:right w:val="single" w:sz="8" w:space="0" w:color="auto"/>
            </w:tcBorders>
            <w:shd w:val="clear" w:color="auto" w:fill="auto"/>
            <w:noWrap/>
            <w:vAlign w:val="bottom"/>
            <w:hideMark/>
          </w:tcPr>
          <w:p w14:paraId="0DF570FD"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0,0</w:t>
            </w:r>
          </w:p>
        </w:tc>
      </w:tr>
      <w:tr w:rsidR="00AA3433" w:rsidRPr="00AA3433" w14:paraId="5509A9AF" w14:textId="77777777" w:rsidTr="001F6D11">
        <w:trPr>
          <w:trHeight w:val="520"/>
        </w:trPr>
        <w:tc>
          <w:tcPr>
            <w:tcW w:w="851" w:type="dxa"/>
            <w:tcBorders>
              <w:top w:val="nil"/>
              <w:left w:val="single" w:sz="8" w:space="0" w:color="auto"/>
              <w:bottom w:val="single" w:sz="4" w:space="0" w:color="auto"/>
              <w:right w:val="single" w:sz="4" w:space="0" w:color="auto"/>
            </w:tcBorders>
            <w:shd w:val="clear" w:color="auto" w:fill="auto"/>
            <w:noWrap/>
            <w:vAlign w:val="bottom"/>
            <w:hideMark/>
          </w:tcPr>
          <w:p w14:paraId="3B37095C" w14:textId="77777777" w:rsidR="00AA3433" w:rsidRPr="00AA3433" w:rsidRDefault="00AA3433" w:rsidP="00AA3433">
            <w:pPr>
              <w:spacing w:after="0" w:line="240" w:lineRule="auto"/>
              <w:jc w:val="center"/>
              <w:rPr>
                <w:rFonts w:ascii="Arial" w:eastAsia="Times New Roman" w:hAnsi="Arial" w:cs="Arial"/>
                <w:i/>
                <w:iCs/>
                <w:sz w:val="20"/>
                <w:szCs w:val="20"/>
                <w:lang w:eastAsia="cs-CZ"/>
              </w:rPr>
            </w:pPr>
            <w:r w:rsidRPr="00AA3433">
              <w:rPr>
                <w:rFonts w:ascii="Arial" w:eastAsia="Times New Roman" w:hAnsi="Arial" w:cs="Arial"/>
                <w:i/>
                <w:iCs/>
                <w:sz w:val="20"/>
                <w:szCs w:val="20"/>
                <w:lang w:eastAsia="cs-CZ"/>
              </w:rPr>
              <w:t> </w:t>
            </w:r>
          </w:p>
        </w:tc>
        <w:tc>
          <w:tcPr>
            <w:tcW w:w="4678" w:type="dxa"/>
            <w:tcBorders>
              <w:top w:val="nil"/>
              <w:left w:val="nil"/>
              <w:bottom w:val="single" w:sz="4" w:space="0" w:color="auto"/>
              <w:right w:val="single" w:sz="4" w:space="0" w:color="auto"/>
            </w:tcBorders>
            <w:shd w:val="clear" w:color="auto" w:fill="auto"/>
            <w:vAlign w:val="bottom"/>
            <w:hideMark/>
          </w:tcPr>
          <w:p w14:paraId="496EDAEC" w14:textId="77777777" w:rsidR="00AA3433" w:rsidRPr="00AA3433" w:rsidRDefault="00AA3433" w:rsidP="00AA3433">
            <w:pPr>
              <w:spacing w:after="0" w:line="240" w:lineRule="auto"/>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5195 odvody za neplnění povinnosti zaměstnávat zdravotně postižené</w:t>
            </w:r>
          </w:p>
        </w:tc>
        <w:tc>
          <w:tcPr>
            <w:tcW w:w="1276" w:type="dxa"/>
            <w:tcBorders>
              <w:top w:val="nil"/>
              <w:left w:val="nil"/>
              <w:bottom w:val="single" w:sz="4" w:space="0" w:color="auto"/>
              <w:right w:val="single" w:sz="4" w:space="0" w:color="auto"/>
            </w:tcBorders>
            <w:shd w:val="clear" w:color="auto" w:fill="auto"/>
            <w:noWrap/>
            <w:vAlign w:val="bottom"/>
            <w:hideMark/>
          </w:tcPr>
          <w:p w14:paraId="3CD17B08"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0</w:t>
            </w:r>
          </w:p>
        </w:tc>
        <w:tc>
          <w:tcPr>
            <w:tcW w:w="1559" w:type="dxa"/>
            <w:tcBorders>
              <w:top w:val="nil"/>
              <w:left w:val="nil"/>
              <w:bottom w:val="single" w:sz="4" w:space="0" w:color="auto"/>
              <w:right w:val="single" w:sz="4" w:space="0" w:color="auto"/>
            </w:tcBorders>
            <w:shd w:val="clear" w:color="auto" w:fill="auto"/>
            <w:noWrap/>
            <w:vAlign w:val="bottom"/>
            <w:hideMark/>
          </w:tcPr>
          <w:p w14:paraId="4B69BFF1"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547 720,00</w:t>
            </w:r>
          </w:p>
        </w:tc>
        <w:tc>
          <w:tcPr>
            <w:tcW w:w="1417" w:type="dxa"/>
            <w:tcBorders>
              <w:top w:val="nil"/>
              <w:left w:val="nil"/>
              <w:bottom w:val="single" w:sz="4" w:space="0" w:color="auto"/>
              <w:right w:val="single" w:sz="4" w:space="0" w:color="auto"/>
            </w:tcBorders>
            <w:shd w:val="clear" w:color="auto" w:fill="auto"/>
            <w:noWrap/>
            <w:vAlign w:val="bottom"/>
            <w:hideMark/>
          </w:tcPr>
          <w:p w14:paraId="32F558D1"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547 720,00</w:t>
            </w:r>
          </w:p>
        </w:tc>
        <w:tc>
          <w:tcPr>
            <w:tcW w:w="709" w:type="dxa"/>
            <w:tcBorders>
              <w:top w:val="nil"/>
              <w:left w:val="nil"/>
              <w:bottom w:val="single" w:sz="4" w:space="0" w:color="auto"/>
              <w:right w:val="single" w:sz="8" w:space="0" w:color="auto"/>
            </w:tcBorders>
            <w:shd w:val="clear" w:color="auto" w:fill="auto"/>
            <w:noWrap/>
            <w:vAlign w:val="bottom"/>
            <w:hideMark/>
          </w:tcPr>
          <w:p w14:paraId="095D22B8"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100,0</w:t>
            </w:r>
          </w:p>
        </w:tc>
      </w:tr>
      <w:tr w:rsidR="00AA3433" w:rsidRPr="00AA3433" w14:paraId="4B1CC042" w14:textId="77777777" w:rsidTr="001F6D11">
        <w:trPr>
          <w:trHeight w:val="260"/>
        </w:trPr>
        <w:tc>
          <w:tcPr>
            <w:tcW w:w="851" w:type="dxa"/>
            <w:tcBorders>
              <w:top w:val="nil"/>
              <w:left w:val="single" w:sz="8" w:space="0" w:color="auto"/>
              <w:bottom w:val="single" w:sz="4" w:space="0" w:color="auto"/>
              <w:right w:val="single" w:sz="4" w:space="0" w:color="auto"/>
            </w:tcBorders>
            <w:shd w:val="clear" w:color="auto" w:fill="auto"/>
            <w:noWrap/>
            <w:vAlign w:val="bottom"/>
            <w:hideMark/>
          </w:tcPr>
          <w:p w14:paraId="6EBF8B4B" w14:textId="77777777" w:rsidR="00AA3433" w:rsidRPr="00AA3433" w:rsidRDefault="00AA3433" w:rsidP="00AA3433">
            <w:pPr>
              <w:spacing w:after="0" w:line="240" w:lineRule="auto"/>
              <w:jc w:val="center"/>
              <w:rPr>
                <w:rFonts w:ascii="Arial" w:eastAsia="Times New Roman" w:hAnsi="Arial" w:cs="Arial"/>
                <w:i/>
                <w:iCs/>
                <w:sz w:val="20"/>
                <w:szCs w:val="20"/>
                <w:lang w:eastAsia="cs-CZ"/>
              </w:rPr>
            </w:pPr>
            <w:r w:rsidRPr="00AA3433">
              <w:rPr>
                <w:rFonts w:ascii="Arial" w:eastAsia="Times New Roman" w:hAnsi="Arial" w:cs="Arial"/>
                <w:i/>
                <w:iCs/>
                <w:sz w:val="20"/>
                <w:szCs w:val="20"/>
                <w:lang w:eastAsia="cs-CZ"/>
              </w:rPr>
              <w:t> </w:t>
            </w:r>
          </w:p>
        </w:tc>
        <w:tc>
          <w:tcPr>
            <w:tcW w:w="4678" w:type="dxa"/>
            <w:tcBorders>
              <w:top w:val="nil"/>
              <w:left w:val="nil"/>
              <w:bottom w:val="single" w:sz="4" w:space="0" w:color="auto"/>
              <w:right w:val="single" w:sz="4" w:space="0" w:color="auto"/>
            </w:tcBorders>
            <w:shd w:val="clear" w:color="auto" w:fill="auto"/>
            <w:noWrap/>
            <w:vAlign w:val="bottom"/>
            <w:hideMark/>
          </w:tcPr>
          <w:p w14:paraId="454FAB97" w14:textId="77777777" w:rsidR="00AA3433" w:rsidRPr="00AA3433" w:rsidRDefault="00AA3433" w:rsidP="00AA3433">
            <w:pPr>
              <w:spacing w:after="0" w:line="240" w:lineRule="auto"/>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5361 nákup kolků</w:t>
            </w:r>
          </w:p>
        </w:tc>
        <w:tc>
          <w:tcPr>
            <w:tcW w:w="1276" w:type="dxa"/>
            <w:tcBorders>
              <w:top w:val="nil"/>
              <w:left w:val="nil"/>
              <w:bottom w:val="single" w:sz="4" w:space="0" w:color="auto"/>
              <w:right w:val="single" w:sz="4" w:space="0" w:color="auto"/>
            </w:tcBorders>
            <w:shd w:val="clear" w:color="auto" w:fill="auto"/>
            <w:noWrap/>
            <w:vAlign w:val="bottom"/>
            <w:hideMark/>
          </w:tcPr>
          <w:p w14:paraId="1C7696B3"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350 000</w:t>
            </w:r>
          </w:p>
        </w:tc>
        <w:tc>
          <w:tcPr>
            <w:tcW w:w="1559" w:type="dxa"/>
            <w:tcBorders>
              <w:top w:val="nil"/>
              <w:left w:val="nil"/>
              <w:bottom w:val="single" w:sz="4" w:space="0" w:color="auto"/>
              <w:right w:val="single" w:sz="4" w:space="0" w:color="auto"/>
            </w:tcBorders>
            <w:shd w:val="clear" w:color="auto" w:fill="auto"/>
            <w:noWrap/>
            <w:vAlign w:val="bottom"/>
            <w:hideMark/>
          </w:tcPr>
          <w:p w14:paraId="0C801883"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350 000,00</w:t>
            </w:r>
          </w:p>
        </w:tc>
        <w:tc>
          <w:tcPr>
            <w:tcW w:w="1417" w:type="dxa"/>
            <w:tcBorders>
              <w:top w:val="nil"/>
              <w:left w:val="nil"/>
              <w:bottom w:val="single" w:sz="4" w:space="0" w:color="auto"/>
              <w:right w:val="single" w:sz="4" w:space="0" w:color="auto"/>
            </w:tcBorders>
            <w:shd w:val="clear" w:color="auto" w:fill="auto"/>
            <w:noWrap/>
            <w:vAlign w:val="bottom"/>
            <w:hideMark/>
          </w:tcPr>
          <w:p w14:paraId="29391802"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200 000,00</w:t>
            </w:r>
          </w:p>
        </w:tc>
        <w:tc>
          <w:tcPr>
            <w:tcW w:w="709" w:type="dxa"/>
            <w:tcBorders>
              <w:top w:val="nil"/>
              <w:left w:val="nil"/>
              <w:bottom w:val="single" w:sz="4" w:space="0" w:color="auto"/>
              <w:right w:val="single" w:sz="8" w:space="0" w:color="auto"/>
            </w:tcBorders>
            <w:shd w:val="clear" w:color="auto" w:fill="auto"/>
            <w:noWrap/>
            <w:vAlign w:val="bottom"/>
            <w:hideMark/>
          </w:tcPr>
          <w:p w14:paraId="0E5AC3F8"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57,1</w:t>
            </w:r>
          </w:p>
        </w:tc>
      </w:tr>
      <w:tr w:rsidR="00AA3433" w:rsidRPr="00AA3433" w14:paraId="47916B63" w14:textId="77777777" w:rsidTr="001F6D11">
        <w:trPr>
          <w:trHeight w:val="260"/>
        </w:trPr>
        <w:tc>
          <w:tcPr>
            <w:tcW w:w="851" w:type="dxa"/>
            <w:tcBorders>
              <w:top w:val="nil"/>
              <w:left w:val="single" w:sz="8" w:space="0" w:color="auto"/>
              <w:bottom w:val="single" w:sz="4" w:space="0" w:color="auto"/>
              <w:right w:val="single" w:sz="4" w:space="0" w:color="auto"/>
            </w:tcBorders>
            <w:shd w:val="clear" w:color="auto" w:fill="auto"/>
            <w:noWrap/>
            <w:vAlign w:val="bottom"/>
            <w:hideMark/>
          </w:tcPr>
          <w:p w14:paraId="2908828A" w14:textId="77777777" w:rsidR="00AA3433" w:rsidRPr="00AA3433" w:rsidRDefault="00AA3433" w:rsidP="00AA3433">
            <w:pPr>
              <w:spacing w:after="0" w:line="240" w:lineRule="auto"/>
              <w:jc w:val="center"/>
              <w:rPr>
                <w:rFonts w:ascii="Arial" w:eastAsia="Times New Roman" w:hAnsi="Arial" w:cs="Arial"/>
                <w:i/>
                <w:iCs/>
                <w:sz w:val="20"/>
                <w:szCs w:val="20"/>
                <w:lang w:eastAsia="cs-CZ"/>
              </w:rPr>
            </w:pPr>
            <w:r w:rsidRPr="00AA3433">
              <w:rPr>
                <w:rFonts w:ascii="Arial" w:eastAsia="Times New Roman" w:hAnsi="Arial" w:cs="Arial"/>
                <w:i/>
                <w:iCs/>
                <w:sz w:val="20"/>
                <w:szCs w:val="20"/>
                <w:lang w:eastAsia="cs-CZ"/>
              </w:rPr>
              <w:t> </w:t>
            </w:r>
          </w:p>
        </w:tc>
        <w:tc>
          <w:tcPr>
            <w:tcW w:w="4678" w:type="dxa"/>
            <w:tcBorders>
              <w:top w:val="nil"/>
              <w:left w:val="nil"/>
              <w:bottom w:val="single" w:sz="4" w:space="0" w:color="auto"/>
              <w:right w:val="single" w:sz="4" w:space="0" w:color="auto"/>
            </w:tcBorders>
            <w:shd w:val="clear" w:color="auto" w:fill="auto"/>
            <w:noWrap/>
            <w:vAlign w:val="bottom"/>
            <w:hideMark/>
          </w:tcPr>
          <w:p w14:paraId="4684A473" w14:textId="77777777" w:rsidR="00AA3433" w:rsidRPr="00AA3433" w:rsidRDefault="00AA3433" w:rsidP="00AA3433">
            <w:pPr>
              <w:spacing w:after="0" w:line="240" w:lineRule="auto"/>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5362 platby daní a poplatků státnímu rozpočtu</w:t>
            </w:r>
          </w:p>
        </w:tc>
        <w:tc>
          <w:tcPr>
            <w:tcW w:w="1276" w:type="dxa"/>
            <w:tcBorders>
              <w:top w:val="nil"/>
              <w:left w:val="nil"/>
              <w:bottom w:val="single" w:sz="4" w:space="0" w:color="auto"/>
              <w:right w:val="single" w:sz="4" w:space="0" w:color="auto"/>
            </w:tcBorders>
            <w:shd w:val="clear" w:color="auto" w:fill="auto"/>
            <w:noWrap/>
            <w:vAlign w:val="bottom"/>
            <w:hideMark/>
          </w:tcPr>
          <w:p w14:paraId="69A5B215"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100 000</w:t>
            </w:r>
          </w:p>
        </w:tc>
        <w:tc>
          <w:tcPr>
            <w:tcW w:w="1559" w:type="dxa"/>
            <w:tcBorders>
              <w:top w:val="nil"/>
              <w:left w:val="nil"/>
              <w:bottom w:val="single" w:sz="4" w:space="0" w:color="auto"/>
              <w:right w:val="single" w:sz="4" w:space="0" w:color="auto"/>
            </w:tcBorders>
            <w:shd w:val="clear" w:color="auto" w:fill="auto"/>
            <w:noWrap/>
            <w:vAlign w:val="bottom"/>
            <w:hideMark/>
          </w:tcPr>
          <w:p w14:paraId="14ADB576"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128 500,00</w:t>
            </w:r>
          </w:p>
        </w:tc>
        <w:tc>
          <w:tcPr>
            <w:tcW w:w="1417" w:type="dxa"/>
            <w:tcBorders>
              <w:top w:val="nil"/>
              <w:left w:val="nil"/>
              <w:bottom w:val="single" w:sz="4" w:space="0" w:color="auto"/>
              <w:right w:val="single" w:sz="4" w:space="0" w:color="auto"/>
            </w:tcBorders>
            <w:shd w:val="clear" w:color="auto" w:fill="auto"/>
            <w:noWrap/>
            <w:vAlign w:val="bottom"/>
            <w:hideMark/>
          </w:tcPr>
          <w:p w14:paraId="67171D92"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60 000,00</w:t>
            </w:r>
          </w:p>
        </w:tc>
        <w:tc>
          <w:tcPr>
            <w:tcW w:w="709" w:type="dxa"/>
            <w:tcBorders>
              <w:top w:val="nil"/>
              <w:left w:val="nil"/>
              <w:bottom w:val="single" w:sz="4" w:space="0" w:color="auto"/>
              <w:right w:val="single" w:sz="8" w:space="0" w:color="auto"/>
            </w:tcBorders>
            <w:shd w:val="clear" w:color="auto" w:fill="auto"/>
            <w:noWrap/>
            <w:vAlign w:val="bottom"/>
            <w:hideMark/>
          </w:tcPr>
          <w:p w14:paraId="7CD66298"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46,7</w:t>
            </w:r>
          </w:p>
        </w:tc>
      </w:tr>
      <w:tr w:rsidR="00AA3433" w:rsidRPr="00AA3433" w14:paraId="1A5EB1BF" w14:textId="77777777" w:rsidTr="001F6D11">
        <w:trPr>
          <w:trHeight w:val="260"/>
        </w:trPr>
        <w:tc>
          <w:tcPr>
            <w:tcW w:w="851" w:type="dxa"/>
            <w:tcBorders>
              <w:top w:val="nil"/>
              <w:left w:val="single" w:sz="8" w:space="0" w:color="auto"/>
              <w:bottom w:val="single" w:sz="4" w:space="0" w:color="auto"/>
              <w:right w:val="single" w:sz="4" w:space="0" w:color="auto"/>
            </w:tcBorders>
            <w:shd w:val="clear" w:color="auto" w:fill="auto"/>
            <w:noWrap/>
            <w:vAlign w:val="bottom"/>
            <w:hideMark/>
          </w:tcPr>
          <w:p w14:paraId="30D18CB5" w14:textId="77777777" w:rsidR="00AA3433" w:rsidRPr="00AA3433" w:rsidRDefault="00AA3433" w:rsidP="00AA3433">
            <w:pPr>
              <w:spacing w:after="0" w:line="240" w:lineRule="auto"/>
              <w:jc w:val="center"/>
              <w:rPr>
                <w:rFonts w:ascii="Arial" w:eastAsia="Times New Roman" w:hAnsi="Arial" w:cs="Arial"/>
                <w:i/>
                <w:iCs/>
                <w:sz w:val="20"/>
                <w:szCs w:val="20"/>
                <w:lang w:eastAsia="cs-CZ"/>
              </w:rPr>
            </w:pPr>
            <w:r w:rsidRPr="00AA3433">
              <w:rPr>
                <w:rFonts w:ascii="Arial" w:eastAsia="Times New Roman" w:hAnsi="Arial" w:cs="Arial"/>
                <w:i/>
                <w:iCs/>
                <w:sz w:val="20"/>
                <w:szCs w:val="20"/>
                <w:lang w:eastAsia="cs-CZ"/>
              </w:rPr>
              <w:t> </w:t>
            </w:r>
          </w:p>
        </w:tc>
        <w:tc>
          <w:tcPr>
            <w:tcW w:w="4678" w:type="dxa"/>
            <w:tcBorders>
              <w:top w:val="nil"/>
              <w:left w:val="nil"/>
              <w:bottom w:val="single" w:sz="4" w:space="0" w:color="auto"/>
              <w:right w:val="single" w:sz="4" w:space="0" w:color="auto"/>
            </w:tcBorders>
            <w:shd w:val="clear" w:color="auto" w:fill="auto"/>
            <w:noWrap/>
            <w:vAlign w:val="bottom"/>
            <w:hideMark/>
          </w:tcPr>
          <w:p w14:paraId="720FCA20" w14:textId="77777777" w:rsidR="00AA3433" w:rsidRPr="00AA3433" w:rsidRDefault="00AA3433" w:rsidP="00AA3433">
            <w:pPr>
              <w:spacing w:after="0" w:line="240" w:lineRule="auto"/>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5363 úhrady sankcí jiným rozpočtům</w:t>
            </w:r>
          </w:p>
        </w:tc>
        <w:tc>
          <w:tcPr>
            <w:tcW w:w="1276" w:type="dxa"/>
            <w:tcBorders>
              <w:top w:val="nil"/>
              <w:left w:val="nil"/>
              <w:bottom w:val="single" w:sz="4" w:space="0" w:color="auto"/>
              <w:right w:val="single" w:sz="4" w:space="0" w:color="auto"/>
            </w:tcBorders>
            <w:shd w:val="clear" w:color="auto" w:fill="auto"/>
            <w:noWrap/>
            <w:vAlign w:val="bottom"/>
            <w:hideMark/>
          </w:tcPr>
          <w:p w14:paraId="62CA2DAD"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5 000</w:t>
            </w:r>
          </w:p>
        </w:tc>
        <w:tc>
          <w:tcPr>
            <w:tcW w:w="1559" w:type="dxa"/>
            <w:tcBorders>
              <w:top w:val="nil"/>
              <w:left w:val="nil"/>
              <w:bottom w:val="single" w:sz="4" w:space="0" w:color="auto"/>
              <w:right w:val="single" w:sz="4" w:space="0" w:color="auto"/>
            </w:tcBorders>
            <w:shd w:val="clear" w:color="auto" w:fill="auto"/>
            <w:noWrap/>
            <w:vAlign w:val="bottom"/>
            <w:hideMark/>
          </w:tcPr>
          <w:p w14:paraId="01473006"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5 000,00</w:t>
            </w:r>
          </w:p>
        </w:tc>
        <w:tc>
          <w:tcPr>
            <w:tcW w:w="1417" w:type="dxa"/>
            <w:tcBorders>
              <w:top w:val="nil"/>
              <w:left w:val="nil"/>
              <w:bottom w:val="single" w:sz="4" w:space="0" w:color="auto"/>
              <w:right w:val="single" w:sz="4" w:space="0" w:color="auto"/>
            </w:tcBorders>
            <w:shd w:val="clear" w:color="auto" w:fill="auto"/>
            <w:noWrap/>
            <w:vAlign w:val="bottom"/>
            <w:hideMark/>
          </w:tcPr>
          <w:p w14:paraId="230A186B"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0,00</w:t>
            </w:r>
          </w:p>
        </w:tc>
        <w:tc>
          <w:tcPr>
            <w:tcW w:w="709" w:type="dxa"/>
            <w:tcBorders>
              <w:top w:val="nil"/>
              <w:left w:val="nil"/>
              <w:bottom w:val="single" w:sz="4" w:space="0" w:color="auto"/>
              <w:right w:val="single" w:sz="8" w:space="0" w:color="auto"/>
            </w:tcBorders>
            <w:shd w:val="clear" w:color="auto" w:fill="auto"/>
            <w:noWrap/>
            <w:vAlign w:val="bottom"/>
            <w:hideMark/>
          </w:tcPr>
          <w:p w14:paraId="55578A3A"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0,0</w:t>
            </w:r>
          </w:p>
        </w:tc>
      </w:tr>
      <w:tr w:rsidR="00AA3433" w:rsidRPr="00AA3433" w14:paraId="6C78F4FB" w14:textId="77777777" w:rsidTr="001F6D11">
        <w:trPr>
          <w:trHeight w:val="260"/>
        </w:trPr>
        <w:tc>
          <w:tcPr>
            <w:tcW w:w="851" w:type="dxa"/>
            <w:tcBorders>
              <w:top w:val="nil"/>
              <w:left w:val="single" w:sz="8" w:space="0" w:color="auto"/>
              <w:bottom w:val="single" w:sz="4" w:space="0" w:color="auto"/>
              <w:right w:val="single" w:sz="4" w:space="0" w:color="auto"/>
            </w:tcBorders>
            <w:shd w:val="clear" w:color="auto" w:fill="auto"/>
            <w:noWrap/>
            <w:vAlign w:val="bottom"/>
            <w:hideMark/>
          </w:tcPr>
          <w:p w14:paraId="3DD59FF0" w14:textId="77777777" w:rsidR="00AA3433" w:rsidRPr="00AA3433" w:rsidRDefault="00AA3433" w:rsidP="00AA3433">
            <w:pPr>
              <w:spacing w:after="0" w:line="240" w:lineRule="auto"/>
              <w:jc w:val="center"/>
              <w:rPr>
                <w:rFonts w:ascii="Arial" w:eastAsia="Times New Roman" w:hAnsi="Arial" w:cs="Arial"/>
                <w:i/>
                <w:iCs/>
                <w:sz w:val="20"/>
                <w:szCs w:val="20"/>
                <w:lang w:eastAsia="cs-CZ"/>
              </w:rPr>
            </w:pPr>
            <w:r w:rsidRPr="00AA3433">
              <w:rPr>
                <w:rFonts w:ascii="Arial" w:eastAsia="Times New Roman" w:hAnsi="Arial" w:cs="Arial"/>
                <w:i/>
                <w:iCs/>
                <w:sz w:val="20"/>
                <w:szCs w:val="20"/>
                <w:lang w:eastAsia="cs-CZ"/>
              </w:rPr>
              <w:t> </w:t>
            </w:r>
          </w:p>
        </w:tc>
        <w:tc>
          <w:tcPr>
            <w:tcW w:w="4678" w:type="dxa"/>
            <w:tcBorders>
              <w:top w:val="nil"/>
              <w:left w:val="nil"/>
              <w:bottom w:val="single" w:sz="4" w:space="0" w:color="auto"/>
              <w:right w:val="single" w:sz="4" w:space="0" w:color="auto"/>
            </w:tcBorders>
            <w:shd w:val="clear" w:color="auto" w:fill="auto"/>
            <w:noWrap/>
            <w:vAlign w:val="bottom"/>
            <w:hideMark/>
          </w:tcPr>
          <w:p w14:paraId="476592D4" w14:textId="77777777" w:rsidR="00AA3433" w:rsidRPr="00AA3433" w:rsidRDefault="00AA3433" w:rsidP="00AA3433">
            <w:pPr>
              <w:spacing w:after="0" w:line="240" w:lineRule="auto"/>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5365 platby daní a poplatků krajům, obcím a státním fondům</w:t>
            </w:r>
          </w:p>
        </w:tc>
        <w:tc>
          <w:tcPr>
            <w:tcW w:w="1276" w:type="dxa"/>
            <w:tcBorders>
              <w:top w:val="nil"/>
              <w:left w:val="nil"/>
              <w:bottom w:val="single" w:sz="4" w:space="0" w:color="auto"/>
              <w:right w:val="single" w:sz="4" w:space="0" w:color="auto"/>
            </w:tcBorders>
            <w:shd w:val="clear" w:color="auto" w:fill="auto"/>
            <w:noWrap/>
            <w:vAlign w:val="bottom"/>
            <w:hideMark/>
          </w:tcPr>
          <w:p w14:paraId="1EBEA449"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430 000</w:t>
            </w:r>
          </w:p>
        </w:tc>
        <w:tc>
          <w:tcPr>
            <w:tcW w:w="1559" w:type="dxa"/>
            <w:tcBorders>
              <w:top w:val="nil"/>
              <w:left w:val="nil"/>
              <w:bottom w:val="single" w:sz="4" w:space="0" w:color="auto"/>
              <w:right w:val="single" w:sz="4" w:space="0" w:color="auto"/>
            </w:tcBorders>
            <w:shd w:val="clear" w:color="auto" w:fill="auto"/>
            <w:noWrap/>
            <w:vAlign w:val="bottom"/>
            <w:hideMark/>
          </w:tcPr>
          <w:p w14:paraId="12B1531F"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430 000,00</w:t>
            </w:r>
          </w:p>
        </w:tc>
        <w:tc>
          <w:tcPr>
            <w:tcW w:w="1417" w:type="dxa"/>
            <w:tcBorders>
              <w:top w:val="nil"/>
              <w:left w:val="nil"/>
              <w:bottom w:val="single" w:sz="4" w:space="0" w:color="auto"/>
              <w:right w:val="single" w:sz="4" w:space="0" w:color="auto"/>
            </w:tcBorders>
            <w:shd w:val="clear" w:color="auto" w:fill="auto"/>
            <w:noWrap/>
            <w:vAlign w:val="bottom"/>
            <w:hideMark/>
          </w:tcPr>
          <w:p w14:paraId="37CE947E"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362 160,00</w:t>
            </w:r>
          </w:p>
        </w:tc>
        <w:tc>
          <w:tcPr>
            <w:tcW w:w="709" w:type="dxa"/>
            <w:tcBorders>
              <w:top w:val="nil"/>
              <w:left w:val="nil"/>
              <w:bottom w:val="single" w:sz="4" w:space="0" w:color="auto"/>
              <w:right w:val="single" w:sz="8" w:space="0" w:color="auto"/>
            </w:tcBorders>
            <w:shd w:val="clear" w:color="auto" w:fill="auto"/>
            <w:noWrap/>
            <w:vAlign w:val="bottom"/>
            <w:hideMark/>
          </w:tcPr>
          <w:p w14:paraId="0B238383"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84,2</w:t>
            </w:r>
          </w:p>
        </w:tc>
      </w:tr>
      <w:tr w:rsidR="00AA3433" w:rsidRPr="00AA3433" w14:paraId="08D19635" w14:textId="77777777" w:rsidTr="001F6D11">
        <w:trPr>
          <w:trHeight w:val="260"/>
        </w:trPr>
        <w:tc>
          <w:tcPr>
            <w:tcW w:w="851" w:type="dxa"/>
            <w:tcBorders>
              <w:top w:val="nil"/>
              <w:left w:val="single" w:sz="8" w:space="0" w:color="auto"/>
              <w:bottom w:val="single" w:sz="4" w:space="0" w:color="auto"/>
              <w:right w:val="single" w:sz="4" w:space="0" w:color="auto"/>
            </w:tcBorders>
            <w:shd w:val="clear" w:color="auto" w:fill="auto"/>
            <w:noWrap/>
            <w:vAlign w:val="bottom"/>
            <w:hideMark/>
          </w:tcPr>
          <w:p w14:paraId="775B2A74" w14:textId="77777777" w:rsidR="00AA3433" w:rsidRPr="00AA3433" w:rsidRDefault="00AA3433" w:rsidP="00AA3433">
            <w:pPr>
              <w:spacing w:after="0" w:line="240" w:lineRule="auto"/>
              <w:jc w:val="center"/>
              <w:rPr>
                <w:rFonts w:ascii="Arial" w:eastAsia="Times New Roman" w:hAnsi="Arial" w:cs="Arial"/>
                <w:i/>
                <w:iCs/>
                <w:sz w:val="20"/>
                <w:szCs w:val="20"/>
                <w:lang w:eastAsia="cs-CZ"/>
              </w:rPr>
            </w:pPr>
            <w:r w:rsidRPr="00AA3433">
              <w:rPr>
                <w:rFonts w:ascii="Arial" w:eastAsia="Times New Roman" w:hAnsi="Arial" w:cs="Arial"/>
                <w:i/>
                <w:iCs/>
                <w:sz w:val="20"/>
                <w:szCs w:val="20"/>
                <w:lang w:eastAsia="cs-CZ"/>
              </w:rPr>
              <w:t> </w:t>
            </w:r>
          </w:p>
        </w:tc>
        <w:tc>
          <w:tcPr>
            <w:tcW w:w="4678" w:type="dxa"/>
            <w:tcBorders>
              <w:top w:val="nil"/>
              <w:left w:val="nil"/>
              <w:bottom w:val="single" w:sz="4" w:space="0" w:color="auto"/>
              <w:right w:val="single" w:sz="4" w:space="0" w:color="auto"/>
            </w:tcBorders>
            <w:shd w:val="clear" w:color="auto" w:fill="auto"/>
            <w:noWrap/>
            <w:vAlign w:val="bottom"/>
            <w:hideMark/>
          </w:tcPr>
          <w:p w14:paraId="7F78AC48" w14:textId="77777777" w:rsidR="00AA3433" w:rsidRPr="00AA3433" w:rsidRDefault="00AA3433" w:rsidP="00AA3433">
            <w:pPr>
              <w:spacing w:after="0" w:line="240" w:lineRule="auto"/>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5909 ostatní neinvestiční výdaje j. n.</w:t>
            </w:r>
          </w:p>
        </w:tc>
        <w:tc>
          <w:tcPr>
            <w:tcW w:w="1276" w:type="dxa"/>
            <w:tcBorders>
              <w:top w:val="nil"/>
              <w:left w:val="nil"/>
              <w:bottom w:val="single" w:sz="4" w:space="0" w:color="auto"/>
              <w:right w:val="single" w:sz="4" w:space="0" w:color="auto"/>
            </w:tcBorders>
            <w:shd w:val="clear" w:color="auto" w:fill="auto"/>
            <w:noWrap/>
            <w:vAlign w:val="bottom"/>
            <w:hideMark/>
          </w:tcPr>
          <w:p w14:paraId="53764802"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0</w:t>
            </w:r>
          </w:p>
        </w:tc>
        <w:tc>
          <w:tcPr>
            <w:tcW w:w="1559" w:type="dxa"/>
            <w:tcBorders>
              <w:top w:val="nil"/>
              <w:left w:val="nil"/>
              <w:bottom w:val="single" w:sz="4" w:space="0" w:color="auto"/>
              <w:right w:val="single" w:sz="4" w:space="0" w:color="auto"/>
            </w:tcBorders>
            <w:shd w:val="clear" w:color="auto" w:fill="auto"/>
            <w:noWrap/>
            <w:vAlign w:val="bottom"/>
            <w:hideMark/>
          </w:tcPr>
          <w:p w14:paraId="7BB54652"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40 638,30</w:t>
            </w:r>
          </w:p>
        </w:tc>
        <w:tc>
          <w:tcPr>
            <w:tcW w:w="1417" w:type="dxa"/>
            <w:tcBorders>
              <w:top w:val="nil"/>
              <w:left w:val="nil"/>
              <w:bottom w:val="single" w:sz="4" w:space="0" w:color="auto"/>
              <w:right w:val="single" w:sz="4" w:space="0" w:color="auto"/>
            </w:tcBorders>
            <w:shd w:val="clear" w:color="auto" w:fill="auto"/>
            <w:noWrap/>
            <w:vAlign w:val="bottom"/>
            <w:hideMark/>
          </w:tcPr>
          <w:p w14:paraId="7457B092"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0,00</w:t>
            </w:r>
          </w:p>
        </w:tc>
        <w:tc>
          <w:tcPr>
            <w:tcW w:w="709" w:type="dxa"/>
            <w:tcBorders>
              <w:top w:val="nil"/>
              <w:left w:val="nil"/>
              <w:bottom w:val="single" w:sz="4" w:space="0" w:color="auto"/>
              <w:right w:val="single" w:sz="8" w:space="0" w:color="auto"/>
            </w:tcBorders>
            <w:shd w:val="clear" w:color="auto" w:fill="auto"/>
            <w:noWrap/>
            <w:vAlign w:val="bottom"/>
            <w:hideMark/>
          </w:tcPr>
          <w:p w14:paraId="631DC9BF"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0,0</w:t>
            </w:r>
          </w:p>
        </w:tc>
      </w:tr>
      <w:tr w:rsidR="00AA3433" w:rsidRPr="00AA3433" w14:paraId="7A4C6CEC" w14:textId="77777777" w:rsidTr="001F6D11">
        <w:trPr>
          <w:trHeight w:val="260"/>
        </w:trPr>
        <w:tc>
          <w:tcPr>
            <w:tcW w:w="851" w:type="dxa"/>
            <w:tcBorders>
              <w:top w:val="nil"/>
              <w:left w:val="single" w:sz="8" w:space="0" w:color="auto"/>
              <w:bottom w:val="single" w:sz="4" w:space="0" w:color="auto"/>
              <w:right w:val="single" w:sz="4" w:space="0" w:color="auto"/>
            </w:tcBorders>
            <w:shd w:val="clear" w:color="auto" w:fill="auto"/>
            <w:noWrap/>
            <w:vAlign w:val="bottom"/>
            <w:hideMark/>
          </w:tcPr>
          <w:p w14:paraId="6B7C1F5B" w14:textId="77777777" w:rsidR="00AA3433" w:rsidRPr="00AA3433" w:rsidRDefault="00AA3433" w:rsidP="00AA3433">
            <w:pPr>
              <w:spacing w:after="0" w:line="240" w:lineRule="auto"/>
              <w:jc w:val="center"/>
              <w:rPr>
                <w:rFonts w:ascii="Calibri" w:eastAsia="Times New Roman" w:hAnsi="Calibri" w:cs="Arial"/>
                <w:sz w:val="20"/>
                <w:szCs w:val="20"/>
                <w:lang w:eastAsia="cs-CZ"/>
              </w:rPr>
            </w:pPr>
            <w:r w:rsidRPr="00AA3433">
              <w:rPr>
                <w:rFonts w:ascii="Calibri" w:eastAsia="Times New Roman" w:hAnsi="Calibri" w:cs="Arial"/>
                <w:sz w:val="20"/>
                <w:szCs w:val="20"/>
                <w:lang w:eastAsia="cs-CZ"/>
              </w:rPr>
              <w:t>6223</w:t>
            </w:r>
          </w:p>
        </w:tc>
        <w:tc>
          <w:tcPr>
            <w:tcW w:w="4678" w:type="dxa"/>
            <w:tcBorders>
              <w:top w:val="nil"/>
              <w:left w:val="nil"/>
              <w:bottom w:val="single" w:sz="4" w:space="0" w:color="auto"/>
              <w:right w:val="single" w:sz="4" w:space="0" w:color="auto"/>
            </w:tcBorders>
            <w:shd w:val="clear" w:color="auto" w:fill="auto"/>
            <w:noWrap/>
            <w:vAlign w:val="bottom"/>
            <w:hideMark/>
          </w:tcPr>
          <w:p w14:paraId="13CBD76E" w14:textId="77777777" w:rsidR="00AA3433" w:rsidRPr="00AA3433" w:rsidRDefault="00AA3433" w:rsidP="00AA3433">
            <w:pPr>
              <w:spacing w:after="0" w:line="240" w:lineRule="auto"/>
              <w:rPr>
                <w:rFonts w:ascii="Calibri" w:eastAsia="Times New Roman" w:hAnsi="Calibri" w:cs="Arial"/>
                <w:sz w:val="20"/>
                <w:szCs w:val="20"/>
                <w:lang w:eastAsia="cs-CZ"/>
              </w:rPr>
            </w:pPr>
            <w:r w:rsidRPr="00AA3433">
              <w:rPr>
                <w:rFonts w:ascii="Calibri" w:eastAsia="Times New Roman" w:hAnsi="Calibri" w:cs="Arial"/>
                <w:sz w:val="20"/>
                <w:szCs w:val="20"/>
                <w:lang w:eastAsia="cs-CZ"/>
              </w:rPr>
              <w:t xml:space="preserve"> Mezinárodní spolupráce (jinde nezařazená)</w:t>
            </w:r>
          </w:p>
        </w:tc>
        <w:tc>
          <w:tcPr>
            <w:tcW w:w="1276" w:type="dxa"/>
            <w:tcBorders>
              <w:top w:val="nil"/>
              <w:left w:val="nil"/>
              <w:bottom w:val="single" w:sz="4" w:space="0" w:color="auto"/>
              <w:right w:val="single" w:sz="4" w:space="0" w:color="auto"/>
            </w:tcBorders>
            <w:shd w:val="clear" w:color="auto" w:fill="auto"/>
            <w:noWrap/>
            <w:vAlign w:val="bottom"/>
            <w:hideMark/>
          </w:tcPr>
          <w:p w14:paraId="0E1443B2" w14:textId="77777777" w:rsidR="00AA3433" w:rsidRPr="00AA3433" w:rsidRDefault="00AA3433" w:rsidP="00AA3433">
            <w:pPr>
              <w:spacing w:after="0" w:line="240" w:lineRule="auto"/>
              <w:jc w:val="right"/>
              <w:rPr>
                <w:rFonts w:ascii="Calibri" w:eastAsia="Times New Roman" w:hAnsi="Calibri" w:cs="Arial"/>
                <w:sz w:val="20"/>
                <w:szCs w:val="20"/>
                <w:lang w:eastAsia="cs-CZ"/>
              </w:rPr>
            </w:pPr>
            <w:r w:rsidRPr="00AA3433">
              <w:rPr>
                <w:rFonts w:ascii="Calibri" w:eastAsia="Times New Roman" w:hAnsi="Calibri" w:cs="Arial"/>
                <w:sz w:val="20"/>
                <w:szCs w:val="20"/>
                <w:lang w:eastAsia="cs-CZ"/>
              </w:rPr>
              <w:t>790 000</w:t>
            </w:r>
          </w:p>
        </w:tc>
        <w:tc>
          <w:tcPr>
            <w:tcW w:w="1559" w:type="dxa"/>
            <w:tcBorders>
              <w:top w:val="nil"/>
              <w:left w:val="nil"/>
              <w:bottom w:val="single" w:sz="4" w:space="0" w:color="auto"/>
              <w:right w:val="single" w:sz="4" w:space="0" w:color="auto"/>
            </w:tcBorders>
            <w:shd w:val="clear" w:color="auto" w:fill="auto"/>
            <w:noWrap/>
            <w:vAlign w:val="bottom"/>
            <w:hideMark/>
          </w:tcPr>
          <w:p w14:paraId="3A75C800" w14:textId="77777777" w:rsidR="00AA3433" w:rsidRPr="00AA3433" w:rsidRDefault="00AA3433" w:rsidP="00AA3433">
            <w:pPr>
              <w:spacing w:after="0" w:line="240" w:lineRule="auto"/>
              <w:jc w:val="right"/>
              <w:rPr>
                <w:rFonts w:ascii="Calibri" w:eastAsia="Times New Roman" w:hAnsi="Calibri" w:cs="Arial"/>
                <w:sz w:val="20"/>
                <w:szCs w:val="20"/>
                <w:lang w:eastAsia="cs-CZ"/>
              </w:rPr>
            </w:pPr>
            <w:r w:rsidRPr="00AA3433">
              <w:rPr>
                <w:rFonts w:ascii="Calibri" w:eastAsia="Times New Roman" w:hAnsi="Calibri" w:cs="Arial"/>
                <w:sz w:val="20"/>
                <w:szCs w:val="20"/>
                <w:lang w:eastAsia="cs-CZ"/>
              </w:rPr>
              <w:t>790 000,00</w:t>
            </w:r>
          </w:p>
        </w:tc>
        <w:tc>
          <w:tcPr>
            <w:tcW w:w="1417" w:type="dxa"/>
            <w:tcBorders>
              <w:top w:val="nil"/>
              <w:left w:val="nil"/>
              <w:bottom w:val="single" w:sz="4" w:space="0" w:color="auto"/>
              <w:right w:val="single" w:sz="4" w:space="0" w:color="auto"/>
            </w:tcBorders>
            <w:shd w:val="clear" w:color="auto" w:fill="auto"/>
            <w:noWrap/>
            <w:vAlign w:val="bottom"/>
            <w:hideMark/>
          </w:tcPr>
          <w:p w14:paraId="538674A7" w14:textId="77777777" w:rsidR="00AA3433" w:rsidRPr="00AA3433" w:rsidRDefault="00AA3433" w:rsidP="00AA3433">
            <w:pPr>
              <w:spacing w:after="0" w:line="240" w:lineRule="auto"/>
              <w:jc w:val="right"/>
              <w:rPr>
                <w:rFonts w:ascii="Calibri" w:eastAsia="Times New Roman" w:hAnsi="Calibri" w:cs="Arial"/>
                <w:sz w:val="20"/>
                <w:szCs w:val="20"/>
                <w:lang w:eastAsia="cs-CZ"/>
              </w:rPr>
            </w:pPr>
            <w:r w:rsidRPr="00AA3433">
              <w:rPr>
                <w:rFonts w:ascii="Calibri" w:eastAsia="Times New Roman" w:hAnsi="Calibri" w:cs="Arial"/>
                <w:sz w:val="20"/>
                <w:szCs w:val="20"/>
                <w:lang w:eastAsia="cs-CZ"/>
              </w:rPr>
              <w:t>108 170,32</w:t>
            </w:r>
          </w:p>
        </w:tc>
        <w:tc>
          <w:tcPr>
            <w:tcW w:w="709" w:type="dxa"/>
            <w:tcBorders>
              <w:top w:val="nil"/>
              <w:left w:val="nil"/>
              <w:bottom w:val="single" w:sz="4" w:space="0" w:color="auto"/>
              <w:right w:val="single" w:sz="8" w:space="0" w:color="auto"/>
            </w:tcBorders>
            <w:shd w:val="clear" w:color="auto" w:fill="auto"/>
            <w:noWrap/>
            <w:vAlign w:val="bottom"/>
            <w:hideMark/>
          </w:tcPr>
          <w:p w14:paraId="6835FD89" w14:textId="77777777" w:rsidR="00AA3433" w:rsidRPr="00AA3433" w:rsidRDefault="00AA3433" w:rsidP="00AA3433">
            <w:pPr>
              <w:spacing w:after="0" w:line="240" w:lineRule="auto"/>
              <w:jc w:val="right"/>
              <w:rPr>
                <w:rFonts w:ascii="Calibri" w:eastAsia="Times New Roman" w:hAnsi="Calibri" w:cs="Arial"/>
                <w:sz w:val="20"/>
                <w:szCs w:val="20"/>
                <w:lang w:eastAsia="cs-CZ"/>
              </w:rPr>
            </w:pPr>
            <w:r w:rsidRPr="00AA3433">
              <w:rPr>
                <w:rFonts w:ascii="Calibri" w:eastAsia="Times New Roman" w:hAnsi="Calibri" w:cs="Arial"/>
                <w:sz w:val="20"/>
                <w:szCs w:val="20"/>
                <w:lang w:eastAsia="cs-CZ"/>
              </w:rPr>
              <w:t>13,7</w:t>
            </w:r>
          </w:p>
        </w:tc>
      </w:tr>
      <w:tr w:rsidR="00AA3433" w:rsidRPr="00AA3433" w14:paraId="0143CF10" w14:textId="77777777" w:rsidTr="001F6D11">
        <w:trPr>
          <w:trHeight w:val="260"/>
        </w:trPr>
        <w:tc>
          <w:tcPr>
            <w:tcW w:w="851" w:type="dxa"/>
            <w:tcBorders>
              <w:top w:val="nil"/>
              <w:left w:val="single" w:sz="8" w:space="0" w:color="auto"/>
              <w:bottom w:val="single" w:sz="4" w:space="0" w:color="auto"/>
              <w:right w:val="single" w:sz="4" w:space="0" w:color="auto"/>
            </w:tcBorders>
            <w:shd w:val="clear" w:color="auto" w:fill="auto"/>
            <w:noWrap/>
            <w:vAlign w:val="bottom"/>
            <w:hideMark/>
          </w:tcPr>
          <w:p w14:paraId="60FB991C" w14:textId="77777777" w:rsidR="00AA3433" w:rsidRPr="00AA3433" w:rsidRDefault="00AA3433" w:rsidP="00AA3433">
            <w:pPr>
              <w:spacing w:after="0" w:line="240" w:lineRule="auto"/>
              <w:jc w:val="center"/>
              <w:rPr>
                <w:rFonts w:ascii="Calibri" w:eastAsia="Times New Roman" w:hAnsi="Calibri" w:cs="Arial"/>
                <w:sz w:val="20"/>
                <w:szCs w:val="20"/>
                <w:lang w:eastAsia="cs-CZ"/>
              </w:rPr>
            </w:pPr>
            <w:r w:rsidRPr="00AA3433">
              <w:rPr>
                <w:rFonts w:ascii="Calibri" w:eastAsia="Times New Roman" w:hAnsi="Calibri" w:cs="Arial"/>
                <w:sz w:val="20"/>
                <w:szCs w:val="20"/>
                <w:lang w:eastAsia="cs-CZ"/>
              </w:rPr>
              <w:t> </w:t>
            </w:r>
          </w:p>
        </w:tc>
        <w:tc>
          <w:tcPr>
            <w:tcW w:w="4678" w:type="dxa"/>
            <w:tcBorders>
              <w:top w:val="nil"/>
              <w:left w:val="nil"/>
              <w:bottom w:val="single" w:sz="4" w:space="0" w:color="auto"/>
              <w:right w:val="single" w:sz="4" w:space="0" w:color="auto"/>
            </w:tcBorders>
            <w:shd w:val="clear" w:color="auto" w:fill="auto"/>
            <w:noWrap/>
            <w:vAlign w:val="bottom"/>
            <w:hideMark/>
          </w:tcPr>
          <w:p w14:paraId="2F2DBF49" w14:textId="77777777" w:rsidR="00AA3433" w:rsidRPr="00AA3433" w:rsidRDefault="00AA3433" w:rsidP="00AA3433">
            <w:pPr>
              <w:spacing w:after="0" w:line="240" w:lineRule="auto"/>
              <w:rPr>
                <w:rFonts w:ascii="Calibri" w:eastAsia="Times New Roman" w:hAnsi="Calibri" w:cs="Arial"/>
                <w:sz w:val="20"/>
                <w:szCs w:val="20"/>
                <w:lang w:eastAsia="cs-CZ"/>
              </w:rPr>
            </w:pPr>
            <w:r w:rsidRPr="00AA3433">
              <w:rPr>
                <w:rFonts w:ascii="Calibri" w:eastAsia="Times New Roman" w:hAnsi="Calibri" w:cs="Arial"/>
                <w:sz w:val="20"/>
                <w:szCs w:val="20"/>
                <w:lang w:eastAsia="cs-CZ"/>
              </w:rPr>
              <w:t>z toho:</w:t>
            </w:r>
          </w:p>
        </w:tc>
        <w:tc>
          <w:tcPr>
            <w:tcW w:w="1276" w:type="dxa"/>
            <w:tcBorders>
              <w:top w:val="nil"/>
              <w:left w:val="nil"/>
              <w:bottom w:val="single" w:sz="4" w:space="0" w:color="auto"/>
              <w:right w:val="single" w:sz="4" w:space="0" w:color="auto"/>
            </w:tcBorders>
            <w:shd w:val="clear" w:color="auto" w:fill="auto"/>
            <w:noWrap/>
            <w:vAlign w:val="bottom"/>
            <w:hideMark/>
          </w:tcPr>
          <w:p w14:paraId="09100D85" w14:textId="77777777" w:rsidR="00AA3433" w:rsidRPr="00AA3433" w:rsidRDefault="00AA3433" w:rsidP="00AA3433">
            <w:pPr>
              <w:spacing w:after="0" w:line="240" w:lineRule="auto"/>
              <w:jc w:val="right"/>
              <w:rPr>
                <w:rFonts w:ascii="Calibri" w:eastAsia="Times New Roman" w:hAnsi="Calibri" w:cs="Arial"/>
                <w:sz w:val="20"/>
                <w:szCs w:val="20"/>
                <w:lang w:eastAsia="cs-CZ"/>
              </w:rPr>
            </w:pPr>
            <w:r w:rsidRPr="00AA3433">
              <w:rPr>
                <w:rFonts w:ascii="Calibri" w:eastAsia="Times New Roman" w:hAnsi="Calibri" w:cs="Arial"/>
                <w:sz w:val="20"/>
                <w:szCs w:val="20"/>
                <w:lang w:eastAsia="cs-CZ"/>
              </w:rPr>
              <w:t> </w:t>
            </w:r>
          </w:p>
        </w:tc>
        <w:tc>
          <w:tcPr>
            <w:tcW w:w="1559" w:type="dxa"/>
            <w:tcBorders>
              <w:top w:val="nil"/>
              <w:left w:val="nil"/>
              <w:bottom w:val="single" w:sz="4" w:space="0" w:color="auto"/>
              <w:right w:val="single" w:sz="4" w:space="0" w:color="auto"/>
            </w:tcBorders>
            <w:shd w:val="clear" w:color="auto" w:fill="auto"/>
            <w:noWrap/>
            <w:vAlign w:val="bottom"/>
            <w:hideMark/>
          </w:tcPr>
          <w:p w14:paraId="47E34B0F" w14:textId="77777777" w:rsidR="00AA3433" w:rsidRPr="00AA3433" w:rsidRDefault="00AA3433" w:rsidP="00AA3433">
            <w:pPr>
              <w:spacing w:after="0" w:line="240" w:lineRule="auto"/>
              <w:jc w:val="right"/>
              <w:rPr>
                <w:rFonts w:ascii="Calibri" w:eastAsia="Times New Roman" w:hAnsi="Calibri" w:cs="Arial"/>
                <w:sz w:val="20"/>
                <w:szCs w:val="20"/>
                <w:lang w:eastAsia="cs-CZ"/>
              </w:rPr>
            </w:pPr>
            <w:r w:rsidRPr="00AA3433">
              <w:rPr>
                <w:rFonts w:ascii="Calibri" w:eastAsia="Times New Roman" w:hAnsi="Calibri" w:cs="Arial"/>
                <w:sz w:val="20"/>
                <w:szCs w:val="20"/>
                <w:lang w:eastAsia="cs-CZ"/>
              </w:rPr>
              <w:t> </w:t>
            </w:r>
          </w:p>
        </w:tc>
        <w:tc>
          <w:tcPr>
            <w:tcW w:w="1417" w:type="dxa"/>
            <w:tcBorders>
              <w:top w:val="nil"/>
              <w:left w:val="nil"/>
              <w:bottom w:val="single" w:sz="4" w:space="0" w:color="auto"/>
              <w:right w:val="single" w:sz="4" w:space="0" w:color="auto"/>
            </w:tcBorders>
            <w:shd w:val="clear" w:color="auto" w:fill="auto"/>
            <w:noWrap/>
            <w:vAlign w:val="bottom"/>
            <w:hideMark/>
          </w:tcPr>
          <w:p w14:paraId="75C34A93" w14:textId="77777777" w:rsidR="00AA3433" w:rsidRPr="00AA3433" w:rsidRDefault="00AA3433" w:rsidP="00AA3433">
            <w:pPr>
              <w:spacing w:after="0" w:line="240" w:lineRule="auto"/>
              <w:jc w:val="right"/>
              <w:rPr>
                <w:rFonts w:ascii="Calibri" w:eastAsia="Times New Roman" w:hAnsi="Calibri" w:cs="Arial"/>
                <w:sz w:val="20"/>
                <w:szCs w:val="20"/>
                <w:lang w:eastAsia="cs-CZ"/>
              </w:rPr>
            </w:pPr>
            <w:r w:rsidRPr="00AA3433">
              <w:rPr>
                <w:rFonts w:ascii="Calibri" w:eastAsia="Times New Roman" w:hAnsi="Calibri" w:cs="Arial"/>
                <w:sz w:val="20"/>
                <w:szCs w:val="20"/>
                <w:lang w:eastAsia="cs-CZ"/>
              </w:rPr>
              <w:t> </w:t>
            </w:r>
          </w:p>
        </w:tc>
        <w:tc>
          <w:tcPr>
            <w:tcW w:w="709" w:type="dxa"/>
            <w:tcBorders>
              <w:top w:val="nil"/>
              <w:left w:val="nil"/>
              <w:bottom w:val="single" w:sz="4" w:space="0" w:color="auto"/>
              <w:right w:val="single" w:sz="8" w:space="0" w:color="auto"/>
            </w:tcBorders>
            <w:shd w:val="clear" w:color="auto" w:fill="auto"/>
            <w:noWrap/>
            <w:vAlign w:val="bottom"/>
            <w:hideMark/>
          </w:tcPr>
          <w:p w14:paraId="6010D838" w14:textId="77777777" w:rsidR="00AA3433" w:rsidRPr="00AA3433" w:rsidRDefault="00AA3433" w:rsidP="00AA3433">
            <w:pPr>
              <w:spacing w:after="0" w:line="240" w:lineRule="auto"/>
              <w:jc w:val="right"/>
              <w:rPr>
                <w:rFonts w:ascii="Calibri" w:eastAsia="Times New Roman" w:hAnsi="Calibri" w:cs="Arial"/>
                <w:sz w:val="20"/>
                <w:szCs w:val="20"/>
                <w:lang w:eastAsia="cs-CZ"/>
              </w:rPr>
            </w:pPr>
            <w:r w:rsidRPr="00AA3433">
              <w:rPr>
                <w:rFonts w:ascii="Calibri" w:eastAsia="Times New Roman" w:hAnsi="Calibri" w:cs="Arial"/>
                <w:sz w:val="20"/>
                <w:szCs w:val="20"/>
                <w:lang w:eastAsia="cs-CZ"/>
              </w:rPr>
              <w:t> </w:t>
            </w:r>
          </w:p>
        </w:tc>
      </w:tr>
      <w:tr w:rsidR="00AA3433" w:rsidRPr="00AA3433" w14:paraId="011F3AD2" w14:textId="77777777" w:rsidTr="001F6D11">
        <w:trPr>
          <w:trHeight w:val="260"/>
        </w:trPr>
        <w:tc>
          <w:tcPr>
            <w:tcW w:w="851" w:type="dxa"/>
            <w:tcBorders>
              <w:top w:val="nil"/>
              <w:left w:val="single" w:sz="8" w:space="0" w:color="auto"/>
              <w:bottom w:val="single" w:sz="4" w:space="0" w:color="auto"/>
              <w:right w:val="single" w:sz="4" w:space="0" w:color="auto"/>
            </w:tcBorders>
            <w:shd w:val="clear" w:color="auto" w:fill="auto"/>
            <w:noWrap/>
            <w:vAlign w:val="bottom"/>
            <w:hideMark/>
          </w:tcPr>
          <w:p w14:paraId="216B4FD0" w14:textId="77777777" w:rsidR="00AA3433" w:rsidRPr="00AA3433" w:rsidRDefault="00AA3433" w:rsidP="00AA3433">
            <w:pPr>
              <w:spacing w:after="0" w:line="240" w:lineRule="auto"/>
              <w:jc w:val="center"/>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 </w:t>
            </w:r>
          </w:p>
        </w:tc>
        <w:tc>
          <w:tcPr>
            <w:tcW w:w="4678" w:type="dxa"/>
            <w:tcBorders>
              <w:top w:val="nil"/>
              <w:left w:val="nil"/>
              <w:bottom w:val="single" w:sz="4" w:space="0" w:color="auto"/>
              <w:right w:val="single" w:sz="4" w:space="0" w:color="auto"/>
            </w:tcBorders>
            <w:shd w:val="clear" w:color="auto" w:fill="auto"/>
            <w:noWrap/>
            <w:vAlign w:val="bottom"/>
            <w:hideMark/>
          </w:tcPr>
          <w:p w14:paraId="2CE19E7B" w14:textId="77777777" w:rsidR="00AA3433" w:rsidRPr="00AA3433" w:rsidRDefault="00AA3433" w:rsidP="00AA3433">
            <w:pPr>
              <w:spacing w:after="0" w:line="240" w:lineRule="auto"/>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5169 nákup ostatních služeb</w:t>
            </w:r>
          </w:p>
        </w:tc>
        <w:tc>
          <w:tcPr>
            <w:tcW w:w="1276" w:type="dxa"/>
            <w:tcBorders>
              <w:top w:val="nil"/>
              <w:left w:val="nil"/>
              <w:bottom w:val="single" w:sz="4" w:space="0" w:color="auto"/>
              <w:right w:val="single" w:sz="4" w:space="0" w:color="auto"/>
            </w:tcBorders>
            <w:shd w:val="clear" w:color="auto" w:fill="auto"/>
            <w:noWrap/>
            <w:vAlign w:val="bottom"/>
            <w:hideMark/>
          </w:tcPr>
          <w:p w14:paraId="66899156"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10 000</w:t>
            </w:r>
          </w:p>
        </w:tc>
        <w:tc>
          <w:tcPr>
            <w:tcW w:w="1559" w:type="dxa"/>
            <w:tcBorders>
              <w:top w:val="nil"/>
              <w:left w:val="nil"/>
              <w:bottom w:val="single" w:sz="4" w:space="0" w:color="auto"/>
              <w:right w:val="single" w:sz="4" w:space="0" w:color="auto"/>
            </w:tcBorders>
            <w:shd w:val="clear" w:color="auto" w:fill="auto"/>
            <w:noWrap/>
            <w:vAlign w:val="bottom"/>
            <w:hideMark/>
          </w:tcPr>
          <w:p w14:paraId="46997EB9"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10 000,00</w:t>
            </w:r>
          </w:p>
        </w:tc>
        <w:tc>
          <w:tcPr>
            <w:tcW w:w="1417" w:type="dxa"/>
            <w:tcBorders>
              <w:top w:val="nil"/>
              <w:left w:val="nil"/>
              <w:bottom w:val="single" w:sz="4" w:space="0" w:color="auto"/>
              <w:right w:val="single" w:sz="4" w:space="0" w:color="auto"/>
            </w:tcBorders>
            <w:shd w:val="clear" w:color="auto" w:fill="auto"/>
            <w:noWrap/>
            <w:vAlign w:val="bottom"/>
            <w:hideMark/>
          </w:tcPr>
          <w:p w14:paraId="099F65B6"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6 666,23</w:t>
            </w:r>
          </w:p>
        </w:tc>
        <w:tc>
          <w:tcPr>
            <w:tcW w:w="709" w:type="dxa"/>
            <w:tcBorders>
              <w:top w:val="nil"/>
              <w:left w:val="nil"/>
              <w:bottom w:val="single" w:sz="4" w:space="0" w:color="auto"/>
              <w:right w:val="single" w:sz="8" w:space="0" w:color="auto"/>
            </w:tcBorders>
            <w:shd w:val="clear" w:color="auto" w:fill="auto"/>
            <w:noWrap/>
            <w:vAlign w:val="bottom"/>
            <w:hideMark/>
          </w:tcPr>
          <w:p w14:paraId="430DBD2D"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66,7</w:t>
            </w:r>
          </w:p>
        </w:tc>
      </w:tr>
      <w:tr w:rsidR="00AA3433" w:rsidRPr="00AA3433" w14:paraId="2D813720" w14:textId="77777777" w:rsidTr="001F6D11">
        <w:trPr>
          <w:trHeight w:val="260"/>
        </w:trPr>
        <w:tc>
          <w:tcPr>
            <w:tcW w:w="851" w:type="dxa"/>
            <w:tcBorders>
              <w:top w:val="nil"/>
              <w:left w:val="single" w:sz="8" w:space="0" w:color="auto"/>
              <w:bottom w:val="single" w:sz="4" w:space="0" w:color="auto"/>
              <w:right w:val="single" w:sz="4" w:space="0" w:color="auto"/>
            </w:tcBorders>
            <w:shd w:val="clear" w:color="auto" w:fill="auto"/>
            <w:noWrap/>
            <w:vAlign w:val="bottom"/>
            <w:hideMark/>
          </w:tcPr>
          <w:p w14:paraId="26204B1B" w14:textId="77777777" w:rsidR="00AA3433" w:rsidRPr="00AA3433" w:rsidRDefault="00AA3433" w:rsidP="00AA3433">
            <w:pPr>
              <w:spacing w:after="0" w:line="240" w:lineRule="auto"/>
              <w:jc w:val="center"/>
              <w:rPr>
                <w:rFonts w:ascii="Calibri" w:eastAsia="Times New Roman" w:hAnsi="Calibri" w:cs="Arial"/>
                <w:sz w:val="20"/>
                <w:szCs w:val="20"/>
                <w:lang w:eastAsia="cs-CZ"/>
              </w:rPr>
            </w:pPr>
            <w:r w:rsidRPr="00AA3433">
              <w:rPr>
                <w:rFonts w:ascii="Calibri" w:eastAsia="Times New Roman" w:hAnsi="Calibri" w:cs="Arial"/>
                <w:sz w:val="20"/>
                <w:szCs w:val="20"/>
                <w:lang w:eastAsia="cs-CZ"/>
              </w:rPr>
              <w:t> </w:t>
            </w:r>
          </w:p>
        </w:tc>
        <w:tc>
          <w:tcPr>
            <w:tcW w:w="4678" w:type="dxa"/>
            <w:tcBorders>
              <w:top w:val="nil"/>
              <w:left w:val="nil"/>
              <w:bottom w:val="single" w:sz="4" w:space="0" w:color="auto"/>
              <w:right w:val="single" w:sz="4" w:space="0" w:color="auto"/>
            </w:tcBorders>
            <w:shd w:val="clear" w:color="auto" w:fill="auto"/>
            <w:noWrap/>
            <w:vAlign w:val="bottom"/>
            <w:hideMark/>
          </w:tcPr>
          <w:p w14:paraId="3FEE02DB" w14:textId="77777777" w:rsidR="00AA3433" w:rsidRPr="00AA3433" w:rsidRDefault="00AA3433" w:rsidP="00AA3433">
            <w:pPr>
              <w:spacing w:after="0" w:line="240" w:lineRule="auto"/>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 xml:space="preserve">5173 cestovné </w:t>
            </w:r>
          </w:p>
        </w:tc>
        <w:tc>
          <w:tcPr>
            <w:tcW w:w="1276" w:type="dxa"/>
            <w:tcBorders>
              <w:top w:val="nil"/>
              <w:left w:val="nil"/>
              <w:bottom w:val="single" w:sz="4" w:space="0" w:color="auto"/>
              <w:right w:val="single" w:sz="4" w:space="0" w:color="auto"/>
            </w:tcBorders>
            <w:shd w:val="clear" w:color="auto" w:fill="auto"/>
            <w:noWrap/>
            <w:vAlign w:val="bottom"/>
            <w:hideMark/>
          </w:tcPr>
          <w:p w14:paraId="28F06BCE"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740 000</w:t>
            </w:r>
          </w:p>
        </w:tc>
        <w:tc>
          <w:tcPr>
            <w:tcW w:w="1559" w:type="dxa"/>
            <w:tcBorders>
              <w:top w:val="nil"/>
              <w:left w:val="nil"/>
              <w:bottom w:val="single" w:sz="4" w:space="0" w:color="auto"/>
              <w:right w:val="single" w:sz="4" w:space="0" w:color="auto"/>
            </w:tcBorders>
            <w:shd w:val="clear" w:color="auto" w:fill="auto"/>
            <w:noWrap/>
            <w:vAlign w:val="bottom"/>
            <w:hideMark/>
          </w:tcPr>
          <w:p w14:paraId="2A6490B5"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706 000,00</w:t>
            </w:r>
          </w:p>
        </w:tc>
        <w:tc>
          <w:tcPr>
            <w:tcW w:w="1417" w:type="dxa"/>
            <w:tcBorders>
              <w:top w:val="nil"/>
              <w:left w:val="nil"/>
              <w:bottom w:val="single" w:sz="4" w:space="0" w:color="auto"/>
              <w:right w:val="single" w:sz="4" w:space="0" w:color="auto"/>
            </w:tcBorders>
            <w:shd w:val="clear" w:color="auto" w:fill="auto"/>
            <w:noWrap/>
            <w:vAlign w:val="bottom"/>
            <w:hideMark/>
          </w:tcPr>
          <w:p w14:paraId="6F10458B"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49 867,57</w:t>
            </w:r>
          </w:p>
        </w:tc>
        <w:tc>
          <w:tcPr>
            <w:tcW w:w="709" w:type="dxa"/>
            <w:tcBorders>
              <w:top w:val="nil"/>
              <w:left w:val="nil"/>
              <w:bottom w:val="single" w:sz="4" w:space="0" w:color="auto"/>
              <w:right w:val="single" w:sz="8" w:space="0" w:color="auto"/>
            </w:tcBorders>
            <w:shd w:val="clear" w:color="auto" w:fill="auto"/>
            <w:noWrap/>
            <w:vAlign w:val="bottom"/>
            <w:hideMark/>
          </w:tcPr>
          <w:p w14:paraId="5E48E4DF"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7,1</w:t>
            </w:r>
          </w:p>
        </w:tc>
      </w:tr>
      <w:tr w:rsidR="00AA3433" w:rsidRPr="00AA3433" w14:paraId="2635CC1D" w14:textId="77777777" w:rsidTr="001F6D11">
        <w:trPr>
          <w:trHeight w:val="260"/>
        </w:trPr>
        <w:tc>
          <w:tcPr>
            <w:tcW w:w="851" w:type="dxa"/>
            <w:tcBorders>
              <w:top w:val="nil"/>
              <w:left w:val="single" w:sz="8" w:space="0" w:color="auto"/>
              <w:bottom w:val="single" w:sz="4" w:space="0" w:color="auto"/>
              <w:right w:val="single" w:sz="4" w:space="0" w:color="auto"/>
            </w:tcBorders>
            <w:shd w:val="clear" w:color="auto" w:fill="auto"/>
            <w:noWrap/>
            <w:vAlign w:val="bottom"/>
            <w:hideMark/>
          </w:tcPr>
          <w:p w14:paraId="512C809E" w14:textId="77777777" w:rsidR="00AA3433" w:rsidRPr="00AA3433" w:rsidRDefault="00AA3433" w:rsidP="00AA3433">
            <w:pPr>
              <w:spacing w:after="0" w:line="240" w:lineRule="auto"/>
              <w:jc w:val="center"/>
              <w:rPr>
                <w:rFonts w:ascii="Calibri" w:eastAsia="Times New Roman" w:hAnsi="Calibri" w:cs="Arial"/>
                <w:sz w:val="20"/>
                <w:szCs w:val="20"/>
                <w:lang w:eastAsia="cs-CZ"/>
              </w:rPr>
            </w:pPr>
            <w:r w:rsidRPr="00AA3433">
              <w:rPr>
                <w:rFonts w:ascii="Calibri" w:eastAsia="Times New Roman" w:hAnsi="Calibri" w:cs="Arial"/>
                <w:sz w:val="20"/>
                <w:szCs w:val="20"/>
                <w:lang w:eastAsia="cs-CZ"/>
              </w:rPr>
              <w:t> </w:t>
            </w:r>
          </w:p>
        </w:tc>
        <w:tc>
          <w:tcPr>
            <w:tcW w:w="4678" w:type="dxa"/>
            <w:tcBorders>
              <w:top w:val="nil"/>
              <w:left w:val="nil"/>
              <w:bottom w:val="single" w:sz="4" w:space="0" w:color="auto"/>
              <w:right w:val="single" w:sz="4" w:space="0" w:color="auto"/>
            </w:tcBorders>
            <w:shd w:val="clear" w:color="auto" w:fill="auto"/>
            <w:noWrap/>
            <w:vAlign w:val="bottom"/>
            <w:hideMark/>
          </w:tcPr>
          <w:p w14:paraId="334F1DDE" w14:textId="77777777" w:rsidR="00AA3433" w:rsidRPr="00AA3433" w:rsidRDefault="00AA3433" w:rsidP="00AA3433">
            <w:pPr>
              <w:spacing w:after="0" w:line="240" w:lineRule="auto"/>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5175 pohoštění</w:t>
            </w:r>
          </w:p>
        </w:tc>
        <w:tc>
          <w:tcPr>
            <w:tcW w:w="1276" w:type="dxa"/>
            <w:tcBorders>
              <w:top w:val="nil"/>
              <w:left w:val="nil"/>
              <w:bottom w:val="single" w:sz="4" w:space="0" w:color="auto"/>
              <w:right w:val="single" w:sz="4" w:space="0" w:color="auto"/>
            </w:tcBorders>
            <w:shd w:val="clear" w:color="auto" w:fill="auto"/>
            <w:noWrap/>
            <w:vAlign w:val="bottom"/>
            <w:hideMark/>
          </w:tcPr>
          <w:p w14:paraId="7D3999C6"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10 000</w:t>
            </w:r>
          </w:p>
        </w:tc>
        <w:tc>
          <w:tcPr>
            <w:tcW w:w="1559" w:type="dxa"/>
            <w:tcBorders>
              <w:top w:val="nil"/>
              <w:left w:val="nil"/>
              <w:bottom w:val="single" w:sz="4" w:space="0" w:color="auto"/>
              <w:right w:val="single" w:sz="4" w:space="0" w:color="auto"/>
            </w:tcBorders>
            <w:shd w:val="clear" w:color="auto" w:fill="auto"/>
            <w:noWrap/>
            <w:vAlign w:val="bottom"/>
            <w:hideMark/>
          </w:tcPr>
          <w:p w14:paraId="25CD2FC0"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44 000,00</w:t>
            </w:r>
          </w:p>
        </w:tc>
        <w:tc>
          <w:tcPr>
            <w:tcW w:w="1417" w:type="dxa"/>
            <w:tcBorders>
              <w:top w:val="nil"/>
              <w:left w:val="nil"/>
              <w:bottom w:val="single" w:sz="4" w:space="0" w:color="auto"/>
              <w:right w:val="single" w:sz="4" w:space="0" w:color="auto"/>
            </w:tcBorders>
            <w:shd w:val="clear" w:color="auto" w:fill="auto"/>
            <w:noWrap/>
            <w:vAlign w:val="bottom"/>
            <w:hideMark/>
          </w:tcPr>
          <w:p w14:paraId="4BADA51A"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43 549,12</w:t>
            </w:r>
          </w:p>
        </w:tc>
        <w:tc>
          <w:tcPr>
            <w:tcW w:w="709" w:type="dxa"/>
            <w:tcBorders>
              <w:top w:val="nil"/>
              <w:left w:val="nil"/>
              <w:bottom w:val="single" w:sz="4" w:space="0" w:color="auto"/>
              <w:right w:val="single" w:sz="8" w:space="0" w:color="auto"/>
            </w:tcBorders>
            <w:shd w:val="clear" w:color="auto" w:fill="auto"/>
            <w:noWrap/>
            <w:vAlign w:val="bottom"/>
            <w:hideMark/>
          </w:tcPr>
          <w:p w14:paraId="5FA3B3CE"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99,0</w:t>
            </w:r>
          </w:p>
        </w:tc>
      </w:tr>
      <w:tr w:rsidR="00AA3433" w:rsidRPr="00AA3433" w14:paraId="50CA4233" w14:textId="77777777" w:rsidTr="001F6D11">
        <w:trPr>
          <w:trHeight w:val="260"/>
        </w:trPr>
        <w:tc>
          <w:tcPr>
            <w:tcW w:w="851" w:type="dxa"/>
            <w:tcBorders>
              <w:top w:val="nil"/>
              <w:left w:val="single" w:sz="8" w:space="0" w:color="auto"/>
              <w:bottom w:val="single" w:sz="4" w:space="0" w:color="auto"/>
              <w:right w:val="single" w:sz="4" w:space="0" w:color="auto"/>
            </w:tcBorders>
            <w:shd w:val="clear" w:color="auto" w:fill="auto"/>
            <w:noWrap/>
            <w:vAlign w:val="bottom"/>
            <w:hideMark/>
          </w:tcPr>
          <w:p w14:paraId="78E44C0C" w14:textId="77777777" w:rsidR="00AA3433" w:rsidRPr="00AA3433" w:rsidRDefault="00AA3433" w:rsidP="00AA3433">
            <w:pPr>
              <w:spacing w:after="0" w:line="240" w:lineRule="auto"/>
              <w:jc w:val="center"/>
              <w:rPr>
                <w:rFonts w:ascii="Calibri" w:eastAsia="Times New Roman" w:hAnsi="Calibri" w:cs="Arial"/>
                <w:sz w:val="20"/>
                <w:szCs w:val="20"/>
                <w:lang w:eastAsia="cs-CZ"/>
              </w:rPr>
            </w:pPr>
            <w:r w:rsidRPr="00AA3433">
              <w:rPr>
                <w:rFonts w:ascii="Calibri" w:eastAsia="Times New Roman" w:hAnsi="Calibri" w:cs="Arial"/>
                <w:sz w:val="20"/>
                <w:szCs w:val="20"/>
                <w:lang w:eastAsia="cs-CZ"/>
              </w:rPr>
              <w:t> </w:t>
            </w:r>
          </w:p>
        </w:tc>
        <w:tc>
          <w:tcPr>
            <w:tcW w:w="4678" w:type="dxa"/>
            <w:tcBorders>
              <w:top w:val="nil"/>
              <w:left w:val="nil"/>
              <w:bottom w:val="single" w:sz="4" w:space="0" w:color="auto"/>
              <w:right w:val="single" w:sz="4" w:space="0" w:color="auto"/>
            </w:tcBorders>
            <w:shd w:val="clear" w:color="auto" w:fill="auto"/>
            <w:noWrap/>
            <w:vAlign w:val="bottom"/>
            <w:hideMark/>
          </w:tcPr>
          <w:p w14:paraId="69466E8E" w14:textId="77777777" w:rsidR="00AA3433" w:rsidRPr="00AA3433" w:rsidRDefault="00AA3433" w:rsidP="00AA3433">
            <w:pPr>
              <w:spacing w:after="0" w:line="240" w:lineRule="auto"/>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5176 účastnické poplatky na konference</w:t>
            </w:r>
          </w:p>
        </w:tc>
        <w:tc>
          <w:tcPr>
            <w:tcW w:w="1276" w:type="dxa"/>
            <w:tcBorders>
              <w:top w:val="nil"/>
              <w:left w:val="nil"/>
              <w:bottom w:val="single" w:sz="4" w:space="0" w:color="auto"/>
              <w:right w:val="single" w:sz="4" w:space="0" w:color="auto"/>
            </w:tcBorders>
            <w:shd w:val="clear" w:color="auto" w:fill="auto"/>
            <w:noWrap/>
            <w:vAlign w:val="bottom"/>
            <w:hideMark/>
          </w:tcPr>
          <w:p w14:paraId="4E0C23B6"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10 000</w:t>
            </w:r>
          </w:p>
        </w:tc>
        <w:tc>
          <w:tcPr>
            <w:tcW w:w="1559" w:type="dxa"/>
            <w:tcBorders>
              <w:top w:val="nil"/>
              <w:left w:val="nil"/>
              <w:bottom w:val="single" w:sz="4" w:space="0" w:color="auto"/>
              <w:right w:val="single" w:sz="4" w:space="0" w:color="auto"/>
            </w:tcBorders>
            <w:shd w:val="clear" w:color="auto" w:fill="auto"/>
            <w:noWrap/>
            <w:vAlign w:val="bottom"/>
            <w:hideMark/>
          </w:tcPr>
          <w:p w14:paraId="42C2ED0F"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10 000,00</w:t>
            </w:r>
          </w:p>
        </w:tc>
        <w:tc>
          <w:tcPr>
            <w:tcW w:w="1417" w:type="dxa"/>
            <w:tcBorders>
              <w:top w:val="nil"/>
              <w:left w:val="nil"/>
              <w:bottom w:val="single" w:sz="4" w:space="0" w:color="auto"/>
              <w:right w:val="single" w:sz="4" w:space="0" w:color="auto"/>
            </w:tcBorders>
            <w:shd w:val="clear" w:color="auto" w:fill="auto"/>
            <w:noWrap/>
            <w:vAlign w:val="bottom"/>
            <w:hideMark/>
          </w:tcPr>
          <w:p w14:paraId="4B0D4086"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0,00</w:t>
            </w:r>
          </w:p>
        </w:tc>
        <w:tc>
          <w:tcPr>
            <w:tcW w:w="709" w:type="dxa"/>
            <w:tcBorders>
              <w:top w:val="nil"/>
              <w:left w:val="nil"/>
              <w:bottom w:val="single" w:sz="4" w:space="0" w:color="auto"/>
              <w:right w:val="single" w:sz="8" w:space="0" w:color="auto"/>
            </w:tcBorders>
            <w:shd w:val="clear" w:color="auto" w:fill="auto"/>
            <w:noWrap/>
            <w:vAlign w:val="bottom"/>
            <w:hideMark/>
          </w:tcPr>
          <w:p w14:paraId="567139FB"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0,0</w:t>
            </w:r>
          </w:p>
        </w:tc>
      </w:tr>
      <w:tr w:rsidR="00AA3433" w:rsidRPr="00AA3433" w14:paraId="2B28BCB6" w14:textId="77777777" w:rsidTr="001F6D11">
        <w:trPr>
          <w:trHeight w:val="260"/>
        </w:trPr>
        <w:tc>
          <w:tcPr>
            <w:tcW w:w="851" w:type="dxa"/>
            <w:tcBorders>
              <w:top w:val="nil"/>
              <w:left w:val="single" w:sz="8" w:space="0" w:color="auto"/>
              <w:bottom w:val="single" w:sz="4" w:space="0" w:color="auto"/>
              <w:right w:val="single" w:sz="4" w:space="0" w:color="auto"/>
            </w:tcBorders>
            <w:shd w:val="clear" w:color="auto" w:fill="auto"/>
            <w:noWrap/>
            <w:vAlign w:val="bottom"/>
            <w:hideMark/>
          </w:tcPr>
          <w:p w14:paraId="7A5A8D91" w14:textId="77777777" w:rsidR="00AA3433" w:rsidRPr="00AA3433" w:rsidRDefault="00AA3433" w:rsidP="00AA3433">
            <w:pPr>
              <w:spacing w:after="0" w:line="240" w:lineRule="auto"/>
              <w:jc w:val="center"/>
              <w:rPr>
                <w:rFonts w:ascii="Calibri" w:eastAsia="Times New Roman" w:hAnsi="Calibri" w:cs="Arial"/>
                <w:sz w:val="20"/>
                <w:szCs w:val="20"/>
                <w:lang w:eastAsia="cs-CZ"/>
              </w:rPr>
            </w:pPr>
            <w:r w:rsidRPr="00AA3433">
              <w:rPr>
                <w:rFonts w:ascii="Calibri" w:eastAsia="Times New Roman" w:hAnsi="Calibri" w:cs="Arial"/>
                <w:sz w:val="20"/>
                <w:szCs w:val="20"/>
                <w:lang w:eastAsia="cs-CZ"/>
              </w:rPr>
              <w:t> </w:t>
            </w:r>
          </w:p>
        </w:tc>
        <w:tc>
          <w:tcPr>
            <w:tcW w:w="4678" w:type="dxa"/>
            <w:tcBorders>
              <w:top w:val="nil"/>
              <w:left w:val="nil"/>
              <w:bottom w:val="single" w:sz="4" w:space="0" w:color="auto"/>
              <w:right w:val="single" w:sz="4" w:space="0" w:color="auto"/>
            </w:tcBorders>
            <w:shd w:val="clear" w:color="auto" w:fill="auto"/>
            <w:noWrap/>
            <w:vAlign w:val="bottom"/>
            <w:hideMark/>
          </w:tcPr>
          <w:p w14:paraId="7EF5FB38" w14:textId="77777777" w:rsidR="00AA3433" w:rsidRPr="00AA3433" w:rsidRDefault="00AA3433" w:rsidP="00AA3433">
            <w:pPr>
              <w:spacing w:after="0" w:line="240" w:lineRule="auto"/>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5179 ostatní nákupy j. n.</w:t>
            </w:r>
          </w:p>
        </w:tc>
        <w:tc>
          <w:tcPr>
            <w:tcW w:w="1276" w:type="dxa"/>
            <w:tcBorders>
              <w:top w:val="nil"/>
              <w:left w:val="nil"/>
              <w:bottom w:val="single" w:sz="4" w:space="0" w:color="auto"/>
              <w:right w:val="single" w:sz="4" w:space="0" w:color="auto"/>
            </w:tcBorders>
            <w:shd w:val="clear" w:color="auto" w:fill="auto"/>
            <w:noWrap/>
            <w:vAlign w:val="bottom"/>
            <w:hideMark/>
          </w:tcPr>
          <w:p w14:paraId="3DB383D0"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10 000</w:t>
            </w:r>
          </w:p>
        </w:tc>
        <w:tc>
          <w:tcPr>
            <w:tcW w:w="1559" w:type="dxa"/>
            <w:tcBorders>
              <w:top w:val="nil"/>
              <w:left w:val="nil"/>
              <w:bottom w:val="single" w:sz="4" w:space="0" w:color="auto"/>
              <w:right w:val="single" w:sz="4" w:space="0" w:color="auto"/>
            </w:tcBorders>
            <w:shd w:val="clear" w:color="auto" w:fill="auto"/>
            <w:noWrap/>
            <w:vAlign w:val="bottom"/>
            <w:hideMark/>
          </w:tcPr>
          <w:p w14:paraId="2AD48EC4"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10 000,00</w:t>
            </w:r>
          </w:p>
        </w:tc>
        <w:tc>
          <w:tcPr>
            <w:tcW w:w="1417" w:type="dxa"/>
            <w:tcBorders>
              <w:top w:val="nil"/>
              <w:left w:val="nil"/>
              <w:bottom w:val="single" w:sz="4" w:space="0" w:color="auto"/>
              <w:right w:val="single" w:sz="4" w:space="0" w:color="auto"/>
            </w:tcBorders>
            <w:shd w:val="clear" w:color="auto" w:fill="auto"/>
            <w:noWrap/>
            <w:vAlign w:val="bottom"/>
            <w:hideMark/>
          </w:tcPr>
          <w:p w14:paraId="3775C4A1"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1 270,26</w:t>
            </w:r>
          </w:p>
        </w:tc>
        <w:tc>
          <w:tcPr>
            <w:tcW w:w="709" w:type="dxa"/>
            <w:tcBorders>
              <w:top w:val="nil"/>
              <w:left w:val="nil"/>
              <w:bottom w:val="single" w:sz="4" w:space="0" w:color="auto"/>
              <w:right w:val="single" w:sz="8" w:space="0" w:color="auto"/>
            </w:tcBorders>
            <w:shd w:val="clear" w:color="auto" w:fill="auto"/>
            <w:noWrap/>
            <w:vAlign w:val="bottom"/>
            <w:hideMark/>
          </w:tcPr>
          <w:p w14:paraId="3C051CA5"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12,7</w:t>
            </w:r>
          </w:p>
        </w:tc>
      </w:tr>
      <w:tr w:rsidR="00AA3433" w:rsidRPr="00AA3433" w14:paraId="3A80C2BF" w14:textId="77777777" w:rsidTr="001F6D11">
        <w:trPr>
          <w:trHeight w:val="270"/>
        </w:trPr>
        <w:tc>
          <w:tcPr>
            <w:tcW w:w="851" w:type="dxa"/>
            <w:tcBorders>
              <w:top w:val="nil"/>
              <w:left w:val="single" w:sz="8" w:space="0" w:color="auto"/>
              <w:bottom w:val="single" w:sz="4" w:space="0" w:color="auto"/>
              <w:right w:val="single" w:sz="4" w:space="0" w:color="auto"/>
            </w:tcBorders>
            <w:shd w:val="clear" w:color="auto" w:fill="auto"/>
            <w:noWrap/>
            <w:vAlign w:val="bottom"/>
            <w:hideMark/>
          </w:tcPr>
          <w:p w14:paraId="54DC52A1" w14:textId="77777777" w:rsidR="00AA3433" w:rsidRPr="00AA3433" w:rsidRDefault="00AA3433" w:rsidP="00AA3433">
            <w:pPr>
              <w:spacing w:after="0" w:line="240" w:lineRule="auto"/>
              <w:jc w:val="center"/>
              <w:rPr>
                <w:rFonts w:ascii="Calibri" w:eastAsia="Times New Roman" w:hAnsi="Calibri" w:cs="Arial"/>
                <w:sz w:val="20"/>
                <w:szCs w:val="20"/>
                <w:lang w:eastAsia="cs-CZ"/>
              </w:rPr>
            </w:pPr>
            <w:r w:rsidRPr="00AA3433">
              <w:rPr>
                <w:rFonts w:ascii="Calibri" w:eastAsia="Times New Roman" w:hAnsi="Calibri" w:cs="Arial"/>
                <w:sz w:val="20"/>
                <w:szCs w:val="20"/>
                <w:lang w:eastAsia="cs-CZ"/>
              </w:rPr>
              <w:t> </w:t>
            </w:r>
          </w:p>
        </w:tc>
        <w:tc>
          <w:tcPr>
            <w:tcW w:w="4678" w:type="dxa"/>
            <w:tcBorders>
              <w:top w:val="nil"/>
              <w:left w:val="nil"/>
              <w:bottom w:val="single" w:sz="4" w:space="0" w:color="auto"/>
              <w:right w:val="single" w:sz="4" w:space="0" w:color="auto"/>
            </w:tcBorders>
            <w:shd w:val="clear" w:color="auto" w:fill="auto"/>
            <w:noWrap/>
            <w:vAlign w:val="bottom"/>
            <w:hideMark/>
          </w:tcPr>
          <w:p w14:paraId="235AD364" w14:textId="77777777" w:rsidR="00AA3433" w:rsidRPr="00AA3433" w:rsidRDefault="00AA3433" w:rsidP="00AA3433">
            <w:pPr>
              <w:spacing w:after="0" w:line="240" w:lineRule="auto"/>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5194 věcné dary</w:t>
            </w:r>
          </w:p>
        </w:tc>
        <w:tc>
          <w:tcPr>
            <w:tcW w:w="1276" w:type="dxa"/>
            <w:tcBorders>
              <w:top w:val="nil"/>
              <w:left w:val="nil"/>
              <w:bottom w:val="single" w:sz="4" w:space="0" w:color="auto"/>
              <w:right w:val="single" w:sz="4" w:space="0" w:color="auto"/>
            </w:tcBorders>
            <w:shd w:val="clear" w:color="auto" w:fill="auto"/>
            <w:noWrap/>
            <w:vAlign w:val="bottom"/>
            <w:hideMark/>
          </w:tcPr>
          <w:p w14:paraId="6E6C6231"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10 000</w:t>
            </w:r>
          </w:p>
        </w:tc>
        <w:tc>
          <w:tcPr>
            <w:tcW w:w="1559" w:type="dxa"/>
            <w:tcBorders>
              <w:top w:val="nil"/>
              <w:left w:val="nil"/>
              <w:bottom w:val="single" w:sz="4" w:space="0" w:color="auto"/>
              <w:right w:val="single" w:sz="4" w:space="0" w:color="auto"/>
            </w:tcBorders>
            <w:shd w:val="clear" w:color="auto" w:fill="auto"/>
            <w:noWrap/>
            <w:vAlign w:val="bottom"/>
            <w:hideMark/>
          </w:tcPr>
          <w:p w14:paraId="4EFFDADA"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10 000,00</w:t>
            </w:r>
          </w:p>
        </w:tc>
        <w:tc>
          <w:tcPr>
            <w:tcW w:w="1417" w:type="dxa"/>
            <w:tcBorders>
              <w:top w:val="nil"/>
              <w:left w:val="nil"/>
              <w:bottom w:val="single" w:sz="4" w:space="0" w:color="auto"/>
              <w:right w:val="single" w:sz="4" w:space="0" w:color="auto"/>
            </w:tcBorders>
            <w:shd w:val="clear" w:color="auto" w:fill="auto"/>
            <w:noWrap/>
            <w:vAlign w:val="bottom"/>
            <w:hideMark/>
          </w:tcPr>
          <w:p w14:paraId="487BAA25"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6 817,14</w:t>
            </w:r>
          </w:p>
        </w:tc>
        <w:tc>
          <w:tcPr>
            <w:tcW w:w="709" w:type="dxa"/>
            <w:tcBorders>
              <w:top w:val="nil"/>
              <w:left w:val="nil"/>
              <w:bottom w:val="single" w:sz="4" w:space="0" w:color="auto"/>
              <w:right w:val="single" w:sz="8" w:space="0" w:color="auto"/>
            </w:tcBorders>
            <w:shd w:val="clear" w:color="auto" w:fill="auto"/>
            <w:noWrap/>
            <w:vAlign w:val="bottom"/>
            <w:hideMark/>
          </w:tcPr>
          <w:p w14:paraId="4B3B3C2F" w14:textId="77777777" w:rsidR="00AA3433" w:rsidRPr="00AA3433" w:rsidRDefault="00AA3433" w:rsidP="00AA3433">
            <w:pPr>
              <w:spacing w:after="0" w:line="240" w:lineRule="auto"/>
              <w:jc w:val="right"/>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68,2</w:t>
            </w:r>
          </w:p>
        </w:tc>
      </w:tr>
      <w:tr w:rsidR="00AA3433" w:rsidRPr="00AA3433" w14:paraId="1B4A81AC" w14:textId="77777777" w:rsidTr="001F6D11">
        <w:trPr>
          <w:trHeight w:val="300"/>
        </w:trPr>
        <w:tc>
          <w:tcPr>
            <w:tcW w:w="851"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78BBF3E6" w14:textId="77777777" w:rsidR="00AA3433" w:rsidRPr="00AA3433" w:rsidRDefault="00AA3433" w:rsidP="00AA3433">
            <w:pPr>
              <w:spacing w:after="0" w:line="240" w:lineRule="auto"/>
              <w:jc w:val="center"/>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lastRenderedPageBreak/>
              <w:t> </w:t>
            </w:r>
          </w:p>
        </w:tc>
        <w:tc>
          <w:tcPr>
            <w:tcW w:w="4678" w:type="dxa"/>
            <w:tcBorders>
              <w:top w:val="single" w:sz="8" w:space="0" w:color="auto"/>
              <w:left w:val="nil"/>
              <w:bottom w:val="single" w:sz="8" w:space="0" w:color="auto"/>
              <w:right w:val="single" w:sz="4" w:space="0" w:color="auto"/>
            </w:tcBorders>
            <w:shd w:val="clear" w:color="auto" w:fill="auto"/>
            <w:vAlign w:val="center"/>
            <w:hideMark/>
          </w:tcPr>
          <w:p w14:paraId="5D88A894" w14:textId="77777777" w:rsidR="00AA3433" w:rsidRPr="00AA3433" w:rsidRDefault="00AA3433" w:rsidP="00AA3433">
            <w:pPr>
              <w:spacing w:after="0" w:line="240" w:lineRule="auto"/>
              <w:rPr>
                <w:rFonts w:ascii="Calibri" w:eastAsia="Times New Roman" w:hAnsi="Calibri" w:cs="Arial"/>
                <w:b/>
                <w:bCs/>
                <w:lang w:eastAsia="cs-CZ"/>
              </w:rPr>
            </w:pPr>
            <w:r w:rsidRPr="00AA3433">
              <w:rPr>
                <w:rFonts w:ascii="Calibri" w:eastAsia="Times New Roman" w:hAnsi="Calibri" w:cs="Arial"/>
                <w:b/>
                <w:bCs/>
                <w:lang w:eastAsia="cs-CZ"/>
              </w:rPr>
              <w:t>Celkem</w:t>
            </w:r>
          </w:p>
        </w:tc>
        <w:tc>
          <w:tcPr>
            <w:tcW w:w="1276" w:type="dxa"/>
            <w:tcBorders>
              <w:top w:val="single" w:sz="8" w:space="0" w:color="auto"/>
              <w:left w:val="nil"/>
              <w:bottom w:val="single" w:sz="8" w:space="0" w:color="auto"/>
              <w:right w:val="single" w:sz="4" w:space="0" w:color="auto"/>
            </w:tcBorders>
            <w:shd w:val="clear" w:color="auto" w:fill="auto"/>
            <w:noWrap/>
            <w:vAlign w:val="center"/>
            <w:hideMark/>
          </w:tcPr>
          <w:p w14:paraId="5EB81081" w14:textId="77777777" w:rsidR="00AA3433" w:rsidRPr="00AA3433" w:rsidRDefault="00AA3433" w:rsidP="00AA3433">
            <w:pPr>
              <w:spacing w:after="0" w:line="240" w:lineRule="auto"/>
              <w:jc w:val="right"/>
              <w:rPr>
                <w:rFonts w:ascii="Calibri" w:eastAsia="Times New Roman" w:hAnsi="Calibri" w:cs="Arial"/>
                <w:b/>
                <w:bCs/>
                <w:lang w:eastAsia="cs-CZ"/>
              </w:rPr>
            </w:pPr>
            <w:r w:rsidRPr="00AA3433">
              <w:rPr>
                <w:rFonts w:ascii="Calibri" w:eastAsia="Times New Roman" w:hAnsi="Calibri" w:cs="Arial"/>
                <w:b/>
                <w:bCs/>
                <w:lang w:eastAsia="cs-CZ"/>
              </w:rPr>
              <w:t>55 318 000</w:t>
            </w:r>
          </w:p>
        </w:tc>
        <w:tc>
          <w:tcPr>
            <w:tcW w:w="1559" w:type="dxa"/>
            <w:tcBorders>
              <w:top w:val="single" w:sz="8" w:space="0" w:color="auto"/>
              <w:left w:val="nil"/>
              <w:bottom w:val="single" w:sz="8" w:space="0" w:color="auto"/>
              <w:right w:val="single" w:sz="4" w:space="0" w:color="auto"/>
            </w:tcBorders>
            <w:shd w:val="clear" w:color="auto" w:fill="auto"/>
            <w:noWrap/>
            <w:vAlign w:val="center"/>
            <w:hideMark/>
          </w:tcPr>
          <w:p w14:paraId="565DFD6D" w14:textId="77777777" w:rsidR="00AA3433" w:rsidRPr="00AA3433" w:rsidRDefault="00AA3433" w:rsidP="00AA3433">
            <w:pPr>
              <w:spacing w:after="0" w:line="240" w:lineRule="auto"/>
              <w:jc w:val="right"/>
              <w:rPr>
                <w:rFonts w:ascii="Calibri" w:eastAsia="Times New Roman" w:hAnsi="Calibri" w:cs="Arial"/>
                <w:b/>
                <w:bCs/>
                <w:lang w:eastAsia="cs-CZ"/>
              </w:rPr>
            </w:pPr>
            <w:r w:rsidRPr="00AA3433">
              <w:rPr>
                <w:rFonts w:ascii="Calibri" w:eastAsia="Times New Roman" w:hAnsi="Calibri" w:cs="Arial"/>
                <w:b/>
                <w:bCs/>
                <w:lang w:eastAsia="cs-CZ"/>
              </w:rPr>
              <w:t>57 885 848,00</w:t>
            </w:r>
          </w:p>
        </w:tc>
        <w:tc>
          <w:tcPr>
            <w:tcW w:w="1417" w:type="dxa"/>
            <w:tcBorders>
              <w:top w:val="single" w:sz="8" w:space="0" w:color="auto"/>
              <w:left w:val="nil"/>
              <w:bottom w:val="single" w:sz="8" w:space="0" w:color="auto"/>
              <w:right w:val="single" w:sz="4" w:space="0" w:color="auto"/>
            </w:tcBorders>
            <w:shd w:val="clear" w:color="auto" w:fill="auto"/>
            <w:noWrap/>
            <w:vAlign w:val="center"/>
            <w:hideMark/>
          </w:tcPr>
          <w:p w14:paraId="6ED03342" w14:textId="77777777" w:rsidR="00AA3433" w:rsidRPr="00AA3433" w:rsidRDefault="00AA3433" w:rsidP="00AA3433">
            <w:pPr>
              <w:spacing w:after="0" w:line="240" w:lineRule="auto"/>
              <w:jc w:val="right"/>
              <w:rPr>
                <w:rFonts w:ascii="Calibri" w:eastAsia="Times New Roman" w:hAnsi="Calibri" w:cs="Arial"/>
                <w:b/>
                <w:bCs/>
                <w:lang w:eastAsia="cs-CZ"/>
              </w:rPr>
            </w:pPr>
            <w:r w:rsidRPr="00AA3433">
              <w:rPr>
                <w:rFonts w:ascii="Calibri" w:eastAsia="Times New Roman" w:hAnsi="Calibri" w:cs="Arial"/>
                <w:b/>
                <w:bCs/>
                <w:lang w:eastAsia="cs-CZ"/>
              </w:rPr>
              <w:t>47 932 492,46</w:t>
            </w:r>
          </w:p>
        </w:tc>
        <w:tc>
          <w:tcPr>
            <w:tcW w:w="709" w:type="dxa"/>
            <w:tcBorders>
              <w:top w:val="single" w:sz="8" w:space="0" w:color="auto"/>
              <w:left w:val="nil"/>
              <w:bottom w:val="single" w:sz="8" w:space="0" w:color="auto"/>
              <w:right w:val="single" w:sz="8" w:space="0" w:color="auto"/>
            </w:tcBorders>
            <w:shd w:val="clear" w:color="auto" w:fill="auto"/>
            <w:noWrap/>
            <w:vAlign w:val="center"/>
            <w:hideMark/>
          </w:tcPr>
          <w:p w14:paraId="444B6410" w14:textId="77777777" w:rsidR="00AA3433" w:rsidRPr="00AA3433" w:rsidRDefault="00AA3433" w:rsidP="00AA3433">
            <w:pPr>
              <w:spacing w:after="0" w:line="240" w:lineRule="auto"/>
              <w:jc w:val="right"/>
              <w:rPr>
                <w:rFonts w:ascii="Calibri" w:eastAsia="Times New Roman" w:hAnsi="Calibri" w:cs="Arial"/>
                <w:b/>
                <w:bCs/>
                <w:lang w:eastAsia="cs-CZ"/>
              </w:rPr>
            </w:pPr>
            <w:r w:rsidRPr="00AA3433">
              <w:rPr>
                <w:rFonts w:ascii="Calibri" w:eastAsia="Times New Roman" w:hAnsi="Calibri" w:cs="Arial"/>
                <w:b/>
                <w:bCs/>
                <w:lang w:eastAsia="cs-CZ"/>
              </w:rPr>
              <w:t>82,8</w:t>
            </w:r>
          </w:p>
        </w:tc>
      </w:tr>
      <w:tr w:rsidR="00AA3433" w:rsidRPr="00AA3433" w14:paraId="4E6CB58F" w14:textId="77777777" w:rsidTr="001F6D11">
        <w:trPr>
          <w:trHeight w:val="290"/>
        </w:trPr>
        <w:tc>
          <w:tcPr>
            <w:tcW w:w="851" w:type="dxa"/>
            <w:tcBorders>
              <w:top w:val="nil"/>
              <w:left w:val="nil"/>
              <w:bottom w:val="nil"/>
              <w:right w:val="nil"/>
            </w:tcBorders>
            <w:shd w:val="clear" w:color="auto" w:fill="auto"/>
            <w:noWrap/>
            <w:vAlign w:val="bottom"/>
            <w:hideMark/>
          </w:tcPr>
          <w:p w14:paraId="145D5E62" w14:textId="77777777" w:rsidR="00AA3433" w:rsidRPr="00AA3433" w:rsidRDefault="00AA3433" w:rsidP="00AA3433">
            <w:pPr>
              <w:spacing w:after="0" w:line="240" w:lineRule="auto"/>
              <w:jc w:val="center"/>
              <w:rPr>
                <w:rFonts w:ascii="Calibri" w:eastAsia="Times New Roman" w:hAnsi="Calibri" w:cs="Arial"/>
                <w:i/>
                <w:iCs/>
                <w:sz w:val="20"/>
                <w:szCs w:val="20"/>
                <w:lang w:eastAsia="cs-CZ"/>
              </w:rPr>
            </w:pPr>
            <w:r w:rsidRPr="00AA3433">
              <w:rPr>
                <w:rFonts w:ascii="Calibri" w:eastAsia="Times New Roman" w:hAnsi="Calibri" w:cs="Arial"/>
                <w:i/>
                <w:iCs/>
                <w:sz w:val="20"/>
                <w:szCs w:val="20"/>
                <w:lang w:eastAsia="cs-CZ"/>
              </w:rPr>
              <w:t> </w:t>
            </w:r>
          </w:p>
        </w:tc>
        <w:tc>
          <w:tcPr>
            <w:tcW w:w="4678" w:type="dxa"/>
            <w:tcBorders>
              <w:top w:val="nil"/>
              <w:left w:val="nil"/>
              <w:bottom w:val="nil"/>
              <w:right w:val="nil"/>
            </w:tcBorders>
            <w:shd w:val="clear" w:color="auto" w:fill="auto"/>
            <w:vAlign w:val="center"/>
            <w:hideMark/>
          </w:tcPr>
          <w:p w14:paraId="5CFA803C" w14:textId="77777777" w:rsidR="00AA3433" w:rsidRPr="00AA3433" w:rsidRDefault="00AA3433" w:rsidP="00AA3433">
            <w:pPr>
              <w:spacing w:after="0" w:line="240" w:lineRule="auto"/>
              <w:rPr>
                <w:rFonts w:ascii="Calibri" w:eastAsia="Times New Roman" w:hAnsi="Calibri" w:cs="Arial"/>
                <w:b/>
                <w:bCs/>
                <w:lang w:eastAsia="cs-CZ"/>
              </w:rPr>
            </w:pPr>
            <w:r w:rsidRPr="00AA3433">
              <w:rPr>
                <w:rFonts w:ascii="Calibri" w:eastAsia="Times New Roman" w:hAnsi="Calibri" w:cs="Arial"/>
                <w:b/>
                <w:bCs/>
                <w:lang w:eastAsia="cs-CZ"/>
              </w:rPr>
              <w:t> </w:t>
            </w:r>
          </w:p>
        </w:tc>
        <w:tc>
          <w:tcPr>
            <w:tcW w:w="1276" w:type="dxa"/>
            <w:tcBorders>
              <w:top w:val="nil"/>
              <w:left w:val="nil"/>
              <w:bottom w:val="nil"/>
              <w:right w:val="nil"/>
            </w:tcBorders>
            <w:shd w:val="clear" w:color="auto" w:fill="auto"/>
            <w:noWrap/>
            <w:vAlign w:val="center"/>
            <w:hideMark/>
          </w:tcPr>
          <w:p w14:paraId="11166533" w14:textId="77777777" w:rsidR="00AA3433" w:rsidRPr="00AA3433" w:rsidRDefault="00AA3433" w:rsidP="00AA3433">
            <w:pPr>
              <w:spacing w:after="0" w:line="240" w:lineRule="auto"/>
              <w:jc w:val="right"/>
              <w:rPr>
                <w:rFonts w:ascii="Calibri" w:eastAsia="Times New Roman" w:hAnsi="Calibri" w:cs="Arial"/>
                <w:b/>
                <w:bCs/>
                <w:lang w:eastAsia="cs-CZ"/>
              </w:rPr>
            </w:pPr>
            <w:r w:rsidRPr="00AA3433">
              <w:rPr>
                <w:rFonts w:ascii="Calibri" w:eastAsia="Times New Roman" w:hAnsi="Calibri" w:cs="Arial"/>
                <w:b/>
                <w:bCs/>
                <w:lang w:eastAsia="cs-CZ"/>
              </w:rPr>
              <w:t> </w:t>
            </w:r>
          </w:p>
        </w:tc>
        <w:tc>
          <w:tcPr>
            <w:tcW w:w="1559" w:type="dxa"/>
            <w:tcBorders>
              <w:top w:val="nil"/>
              <w:left w:val="nil"/>
              <w:bottom w:val="nil"/>
              <w:right w:val="nil"/>
            </w:tcBorders>
            <w:shd w:val="clear" w:color="auto" w:fill="auto"/>
            <w:noWrap/>
            <w:vAlign w:val="center"/>
            <w:hideMark/>
          </w:tcPr>
          <w:p w14:paraId="2335227B" w14:textId="77777777" w:rsidR="00AA3433" w:rsidRPr="00AA3433" w:rsidRDefault="00AA3433" w:rsidP="00AA3433">
            <w:pPr>
              <w:spacing w:after="0" w:line="240" w:lineRule="auto"/>
              <w:jc w:val="right"/>
              <w:rPr>
                <w:rFonts w:ascii="Calibri" w:eastAsia="Times New Roman" w:hAnsi="Calibri" w:cs="Arial"/>
                <w:b/>
                <w:bCs/>
                <w:lang w:eastAsia="cs-CZ"/>
              </w:rPr>
            </w:pPr>
            <w:r w:rsidRPr="00AA3433">
              <w:rPr>
                <w:rFonts w:ascii="Calibri" w:eastAsia="Times New Roman" w:hAnsi="Calibri" w:cs="Arial"/>
                <w:b/>
                <w:bCs/>
                <w:lang w:eastAsia="cs-CZ"/>
              </w:rPr>
              <w:t> </w:t>
            </w:r>
          </w:p>
        </w:tc>
        <w:tc>
          <w:tcPr>
            <w:tcW w:w="1417" w:type="dxa"/>
            <w:tcBorders>
              <w:top w:val="nil"/>
              <w:left w:val="nil"/>
              <w:bottom w:val="nil"/>
              <w:right w:val="nil"/>
            </w:tcBorders>
            <w:shd w:val="clear" w:color="auto" w:fill="auto"/>
            <w:noWrap/>
            <w:vAlign w:val="center"/>
            <w:hideMark/>
          </w:tcPr>
          <w:p w14:paraId="48789110" w14:textId="77777777" w:rsidR="00AA3433" w:rsidRPr="00AA3433" w:rsidRDefault="00AA3433" w:rsidP="00AA3433">
            <w:pPr>
              <w:spacing w:after="0" w:line="240" w:lineRule="auto"/>
              <w:jc w:val="right"/>
              <w:rPr>
                <w:rFonts w:ascii="Calibri" w:eastAsia="Times New Roman" w:hAnsi="Calibri" w:cs="Arial"/>
                <w:b/>
                <w:bCs/>
                <w:lang w:eastAsia="cs-CZ"/>
              </w:rPr>
            </w:pPr>
            <w:r w:rsidRPr="00AA3433">
              <w:rPr>
                <w:rFonts w:ascii="Calibri" w:eastAsia="Times New Roman" w:hAnsi="Calibri" w:cs="Arial"/>
                <w:b/>
                <w:bCs/>
                <w:lang w:eastAsia="cs-CZ"/>
              </w:rPr>
              <w:t> </w:t>
            </w:r>
          </w:p>
        </w:tc>
        <w:tc>
          <w:tcPr>
            <w:tcW w:w="709" w:type="dxa"/>
            <w:tcBorders>
              <w:top w:val="nil"/>
              <w:left w:val="nil"/>
              <w:bottom w:val="nil"/>
              <w:right w:val="nil"/>
            </w:tcBorders>
            <w:shd w:val="clear" w:color="auto" w:fill="auto"/>
            <w:noWrap/>
            <w:vAlign w:val="center"/>
            <w:hideMark/>
          </w:tcPr>
          <w:p w14:paraId="5461FE7C" w14:textId="77777777" w:rsidR="00AA3433" w:rsidRPr="00AA3433" w:rsidRDefault="00AA3433" w:rsidP="00AA3433">
            <w:pPr>
              <w:spacing w:after="0" w:line="240" w:lineRule="auto"/>
              <w:jc w:val="right"/>
              <w:rPr>
                <w:rFonts w:ascii="Calibri" w:eastAsia="Times New Roman" w:hAnsi="Calibri" w:cs="Arial"/>
                <w:b/>
                <w:bCs/>
                <w:lang w:eastAsia="cs-CZ"/>
              </w:rPr>
            </w:pPr>
            <w:r w:rsidRPr="00AA3433">
              <w:rPr>
                <w:rFonts w:ascii="Calibri" w:eastAsia="Times New Roman" w:hAnsi="Calibri" w:cs="Arial"/>
                <w:b/>
                <w:bCs/>
                <w:lang w:eastAsia="cs-CZ"/>
              </w:rPr>
              <w:t> </w:t>
            </w:r>
          </w:p>
        </w:tc>
      </w:tr>
      <w:tr w:rsidR="00AA3433" w:rsidRPr="00AA3433" w14:paraId="6DBB592F" w14:textId="77777777" w:rsidTr="001F6D11">
        <w:trPr>
          <w:trHeight w:val="300"/>
        </w:trPr>
        <w:tc>
          <w:tcPr>
            <w:tcW w:w="851" w:type="dxa"/>
            <w:tcBorders>
              <w:top w:val="nil"/>
              <w:left w:val="nil"/>
              <w:bottom w:val="nil"/>
              <w:right w:val="nil"/>
            </w:tcBorders>
            <w:shd w:val="clear" w:color="auto" w:fill="auto"/>
            <w:noWrap/>
            <w:vAlign w:val="center"/>
            <w:hideMark/>
          </w:tcPr>
          <w:p w14:paraId="3B7E18F9" w14:textId="77777777" w:rsidR="00AA3433" w:rsidRPr="00AA3433" w:rsidRDefault="00AA3433" w:rsidP="00AA3433">
            <w:pPr>
              <w:spacing w:after="0" w:line="240" w:lineRule="auto"/>
              <w:jc w:val="right"/>
              <w:rPr>
                <w:rFonts w:ascii="Calibri" w:eastAsia="Times New Roman" w:hAnsi="Calibri" w:cs="Arial"/>
                <w:b/>
                <w:bCs/>
                <w:lang w:eastAsia="cs-CZ"/>
              </w:rPr>
            </w:pPr>
          </w:p>
        </w:tc>
        <w:tc>
          <w:tcPr>
            <w:tcW w:w="7513" w:type="dxa"/>
            <w:gridSpan w:val="3"/>
            <w:tcBorders>
              <w:top w:val="nil"/>
              <w:left w:val="nil"/>
              <w:bottom w:val="nil"/>
              <w:right w:val="nil"/>
            </w:tcBorders>
            <w:shd w:val="clear" w:color="000000" w:fill="FFFFFF"/>
            <w:noWrap/>
            <w:vAlign w:val="bottom"/>
            <w:hideMark/>
          </w:tcPr>
          <w:p w14:paraId="6F90E31E" w14:textId="77777777" w:rsidR="00AA3433" w:rsidRPr="00AA3433" w:rsidRDefault="00AA3433" w:rsidP="00AA3433">
            <w:pPr>
              <w:spacing w:after="0" w:line="240" w:lineRule="auto"/>
              <w:rPr>
                <w:rFonts w:ascii="Calibri" w:eastAsia="Times New Roman" w:hAnsi="Calibri" w:cs="Arial"/>
                <w:b/>
                <w:bCs/>
                <w:lang w:eastAsia="cs-CZ"/>
              </w:rPr>
            </w:pPr>
            <w:r w:rsidRPr="00AA3433">
              <w:rPr>
                <w:rFonts w:ascii="Calibri" w:eastAsia="Times New Roman" w:hAnsi="Calibri" w:cs="Arial"/>
                <w:b/>
                <w:bCs/>
                <w:lang w:eastAsia="cs-CZ"/>
              </w:rPr>
              <w:t>Dotace ze státního rozpočtu  a ostatních veřejných rozpočtů</w:t>
            </w:r>
          </w:p>
        </w:tc>
        <w:tc>
          <w:tcPr>
            <w:tcW w:w="1417" w:type="dxa"/>
            <w:tcBorders>
              <w:top w:val="nil"/>
              <w:left w:val="nil"/>
              <w:bottom w:val="nil"/>
              <w:right w:val="nil"/>
            </w:tcBorders>
            <w:shd w:val="clear" w:color="000000" w:fill="FFFFFF"/>
            <w:noWrap/>
            <w:vAlign w:val="center"/>
            <w:hideMark/>
          </w:tcPr>
          <w:p w14:paraId="2465EDDC" w14:textId="77777777" w:rsidR="00AA3433" w:rsidRPr="00AA3433" w:rsidRDefault="00AA3433" w:rsidP="00AA3433">
            <w:pPr>
              <w:spacing w:after="0" w:line="240" w:lineRule="auto"/>
              <w:jc w:val="right"/>
              <w:rPr>
                <w:rFonts w:ascii="Calibri" w:eastAsia="Times New Roman" w:hAnsi="Calibri" w:cs="Arial"/>
                <w:sz w:val="20"/>
                <w:szCs w:val="20"/>
                <w:lang w:eastAsia="cs-CZ"/>
              </w:rPr>
            </w:pPr>
            <w:r w:rsidRPr="00AA3433">
              <w:rPr>
                <w:rFonts w:ascii="Calibri" w:eastAsia="Times New Roman" w:hAnsi="Calibri" w:cs="Arial"/>
                <w:sz w:val="20"/>
                <w:szCs w:val="20"/>
                <w:lang w:eastAsia="cs-CZ"/>
              </w:rPr>
              <w:t> </w:t>
            </w:r>
          </w:p>
        </w:tc>
        <w:tc>
          <w:tcPr>
            <w:tcW w:w="709" w:type="dxa"/>
            <w:tcBorders>
              <w:top w:val="nil"/>
              <w:left w:val="nil"/>
              <w:bottom w:val="nil"/>
              <w:right w:val="nil"/>
            </w:tcBorders>
            <w:shd w:val="clear" w:color="000000" w:fill="FFFFFF"/>
            <w:noWrap/>
            <w:vAlign w:val="center"/>
            <w:hideMark/>
          </w:tcPr>
          <w:p w14:paraId="7562E36A" w14:textId="77777777" w:rsidR="00AA3433" w:rsidRPr="00AA3433" w:rsidRDefault="00AA3433" w:rsidP="00AA3433">
            <w:pPr>
              <w:spacing w:after="0" w:line="240" w:lineRule="auto"/>
              <w:jc w:val="right"/>
              <w:rPr>
                <w:rFonts w:ascii="Calibri" w:eastAsia="Times New Roman" w:hAnsi="Calibri" w:cs="Arial"/>
                <w:sz w:val="20"/>
                <w:szCs w:val="20"/>
                <w:lang w:eastAsia="cs-CZ"/>
              </w:rPr>
            </w:pPr>
            <w:r w:rsidRPr="00AA3433">
              <w:rPr>
                <w:rFonts w:ascii="Calibri" w:eastAsia="Times New Roman" w:hAnsi="Calibri" w:cs="Arial"/>
                <w:sz w:val="20"/>
                <w:szCs w:val="20"/>
                <w:lang w:eastAsia="cs-CZ"/>
              </w:rPr>
              <w:t> </w:t>
            </w:r>
          </w:p>
        </w:tc>
      </w:tr>
      <w:tr w:rsidR="00AA3433" w:rsidRPr="00AA3433" w14:paraId="66F63BC7" w14:textId="77777777" w:rsidTr="001F6D11">
        <w:trPr>
          <w:trHeight w:val="530"/>
        </w:trPr>
        <w:tc>
          <w:tcPr>
            <w:tcW w:w="851"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47594DB2" w14:textId="77777777" w:rsidR="00AA3433" w:rsidRPr="00AA3433" w:rsidRDefault="00AA3433" w:rsidP="00AA3433">
            <w:pPr>
              <w:spacing w:after="0" w:line="240" w:lineRule="auto"/>
              <w:jc w:val="center"/>
              <w:rPr>
                <w:rFonts w:ascii="Calibri" w:eastAsia="Times New Roman" w:hAnsi="Calibri" w:cs="Arial"/>
                <w:sz w:val="20"/>
                <w:szCs w:val="20"/>
                <w:lang w:eastAsia="cs-CZ"/>
              </w:rPr>
            </w:pPr>
            <w:r w:rsidRPr="00AA3433">
              <w:rPr>
                <w:rFonts w:ascii="Calibri" w:eastAsia="Times New Roman" w:hAnsi="Calibri" w:cs="Arial"/>
                <w:sz w:val="20"/>
                <w:szCs w:val="20"/>
                <w:lang w:eastAsia="cs-CZ"/>
              </w:rPr>
              <w:t>5213</w:t>
            </w:r>
          </w:p>
        </w:tc>
        <w:tc>
          <w:tcPr>
            <w:tcW w:w="4678" w:type="dxa"/>
            <w:tcBorders>
              <w:top w:val="single" w:sz="8" w:space="0" w:color="auto"/>
              <w:left w:val="nil"/>
              <w:bottom w:val="single" w:sz="4" w:space="0" w:color="auto"/>
              <w:right w:val="single" w:sz="4" w:space="0" w:color="auto"/>
            </w:tcBorders>
            <w:shd w:val="clear" w:color="000000" w:fill="FFFFFF"/>
            <w:vAlign w:val="center"/>
            <w:hideMark/>
          </w:tcPr>
          <w:p w14:paraId="4806759D" w14:textId="77777777" w:rsidR="00AA3433" w:rsidRPr="00AA3433" w:rsidRDefault="00AA3433" w:rsidP="00AA3433">
            <w:pPr>
              <w:spacing w:after="0" w:line="240" w:lineRule="auto"/>
              <w:rPr>
                <w:rFonts w:ascii="Calibri" w:eastAsia="Times New Roman" w:hAnsi="Calibri" w:cs="Arial"/>
                <w:sz w:val="20"/>
                <w:szCs w:val="20"/>
                <w:lang w:eastAsia="cs-CZ"/>
              </w:rPr>
            </w:pPr>
            <w:r w:rsidRPr="00AA3433">
              <w:rPr>
                <w:rFonts w:ascii="Calibri" w:eastAsia="Times New Roman" w:hAnsi="Calibri" w:cs="Arial"/>
                <w:sz w:val="20"/>
                <w:szCs w:val="20"/>
                <w:lang w:eastAsia="cs-CZ"/>
              </w:rPr>
              <w:t>Krizové situace v roce 2021 (mimo povodní) ÚZ 98032</w:t>
            </w:r>
          </w:p>
        </w:tc>
        <w:tc>
          <w:tcPr>
            <w:tcW w:w="1276" w:type="dxa"/>
            <w:tcBorders>
              <w:top w:val="single" w:sz="8" w:space="0" w:color="auto"/>
              <w:left w:val="nil"/>
              <w:bottom w:val="single" w:sz="4" w:space="0" w:color="auto"/>
              <w:right w:val="single" w:sz="4" w:space="0" w:color="auto"/>
            </w:tcBorders>
            <w:shd w:val="clear" w:color="000000" w:fill="FFFFFF"/>
            <w:noWrap/>
            <w:vAlign w:val="bottom"/>
            <w:hideMark/>
          </w:tcPr>
          <w:p w14:paraId="3ADADA9B" w14:textId="77777777" w:rsidR="00AA3433" w:rsidRPr="00AA3433" w:rsidRDefault="00AA3433" w:rsidP="00AA3433">
            <w:pPr>
              <w:spacing w:after="0" w:line="240" w:lineRule="auto"/>
              <w:jc w:val="right"/>
              <w:rPr>
                <w:rFonts w:ascii="Calibri" w:eastAsia="Times New Roman" w:hAnsi="Calibri" w:cs="Arial"/>
                <w:sz w:val="20"/>
                <w:szCs w:val="20"/>
                <w:lang w:eastAsia="cs-CZ"/>
              </w:rPr>
            </w:pPr>
            <w:r w:rsidRPr="00AA3433">
              <w:rPr>
                <w:rFonts w:ascii="Calibri" w:eastAsia="Times New Roman" w:hAnsi="Calibri" w:cs="Arial"/>
                <w:sz w:val="20"/>
                <w:szCs w:val="20"/>
                <w:lang w:eastAsia="cs-CZ"/>
              </w:rPr>
              <w:t>0</w:t>
            </w:r>
          </w:p>
        </w:tc>
        <w:tc>
          <w:tcPr>
            <w:tcW w:w="1559" w:type="dxa"/>
            <w:tcBorders>
              <w:top w:val="single" w:sz="8" w:space="0" w:color="auto"/>
              <w:left w:val="nil"/>
              <w:bottom w:val="single" w:sz="4" w:space="0" w:color="auto"/>
              <w:right w:val="single" w:sz="4" w:space="0" w:color="auto"/>
            </w:tcBorders>
            <w:shd w:val="clear" w:color="000000" w:fill="FFFFFF"/>
            <w:noWrap/>
            <w:vAlign w:val="bottom"/>
            <w:hideMark/>
          </w:tcPr>
          <w:p w14:paraId="79014C97" w14:textId="77777777" w:rsidR="00AA3433" w:rsidRPr="00AA3433" w:rsidRDefault="00AA3433" w:rsidP="00AA3433">
            <w:pPr>
              <w:spacing w:after="0" w:line="240" w:lineRule="auto"/>
              <w:jc w:val="right"/>
              <w:rPr>
                <w:rFonts w:ascii="Calibri" w:eastAsia="Times New Roman" w:hAnsi="Calibri" w:cs="Arial"/>
                <w:sz w:val="20"/>
                <w:szCs w:val="20"/>
                <w:lang w:eastAsia="cs-CZ"/>
              </w:rPr>
            </w:pPr>
            <w:r w:rsidRPr="00AA3433">
              <w:rPr>
                <w:rFonts w:ascii="Calibri" w:eastAsia="Times New Roman" w:hAnsi="Calibri" w:cs="Arial"/>
                <w:sz w:val="20"/>
                <w:szCs w:val="20"/>
                <w:lang w:eastAsia="cs-CZ"/>
              </w:rPr>
              <w:t>48 351,60</w:t>
            </w:r>
          </w:p>
        </w:tc>
        <w:tc>
          <w:tcPr>
            <w:tcW w:w="1417" w:type="dxa"/>
            <w:tcBorders>
              <w:top w:val="single" w:sz="8" w:space="0" w:color="auto"/>
              <w:left w:val="nil"/>
              <w:bottom w:val="single" w:sz="4" w:space="0" w:color="auto"/>
              <w:right w:val="nil"/>
            </w:tcBorders>
            <w:shd w:val="clear" w:color="000000" w:fill="FFFFFF"/>
            <w:noWrap/>
            <w:vAlign w:val="bottom"/>
            <w:hideMark/>
          </w:tcPr>
          <w:p w14:paraId="41E4265B" w14:textId="77777777" w:rsidR="00AA3433" w:rsidRPr="00AA3433" w:rsidRDefault="00AA3433" w:rsidP="00AA3433">
            <w:pPr>
              <w:spacing w:after="0" w:line="240" w:lineRule="auto"/>
              <w:jc w:val="right"/>
              <w:rPr>
                <w:rFonts w:ascii="Calibri" w:eastAsia="Times New Roman" w:hAnsi="Calibri" w:cs="Arial"/>
                <w:sz w:val="20"/>
                <w:szCs w:val="20"/>
                <w:lang w:eastAsia="cs-CZ"/>
              </w:rPr>
            </w:pPr>
            <w:r w:rsidRPr="00AA3433">
              <w:rPr>
                <w:rFonts w:ascii="Calibri" w:eastAsia="Times New Roman" w:hAnsi="Calibri" w:cs="Arial"/>
                <w:sz w:val="20"/>
                <w:szCs w:val="20"/>
                <w:lang w:eastAsia="cs-CZ"/>
              </w:rPr>
              <w:t>48 351,60</w:t>
            </w:r>
          </w:p>
        </w:tc>
        <w:tc>
          <w:tcPr>
            <w:tcW w:w="709" w:type="dxa"/>
            <w:tcBorders>
              <w:top w:val="single" w:sz="8" w:space="0" w:color="auto"/>
              <w:left w:val="single" w:sz="4" w:space="0" w:color="auto"/>
              <w:bottom w:val="single" w:sz="8" w:space="0" w:color="auto"/>
              <w:right w:val="single" w:sz="8" w:space="0" w:color="auto"/>
            </w:tcBorders>
            <w:shd w:val="clear" w:color="000000" w:fill="FFFFFF"/>
            <w:noWrap/>
            <w:vAlign w:val="bottom"/>
            <w:hideMark/>
          </w:tcPr>
          <w:p w14:paraId="68A0414E" w14:textId="77777777" w:rsidR="00AA3433" w:rsidRPr="00AA3433" w:rsidRDefault="00AA3433" w:rsidP="00AA3433">
            <w:pPr>
              <w:spacing w:after="0" w:line="240" w:lineRule="auto"/>
              <w:jc w:val="right"/>
              <w:rPr>
                <w:rFonts w:ascii="Calibri" w:eastAsia="Times New Roman" w:hAnsi="Calibri" w:cs="Arial"/>
                <w:sz w:val="20"/>
                <w:szCs w:val="20"/>
                <w:lang w:eastAsia="cs-CZ"/>
              </w:rPr>
            </w:pPr>
            <w:r w:rsidRPr="00AA3433">
              <w:rPr>
                <w:rFonts w:ascii="Calibri" w:eastAsia="Times New Roman" w:hAnsi="Calibri" w:cs="Arial"/>
                <w:sz w:val="20"/>
                <w:szCs w:val="20"/>
                <w:lang w:eastAsia="cs-CZ"/>
              </w:rPr>
              <w:t>100,0</w:t>
            </w:r>
          </w:p>
        </w:tc>
      </w:tr>
      <w:tr w:rsidR="00AA3433" w:rsidRPr="00AA3433" w14:paraId="32DB5928" w14:textId="77777777" w:rsidTr="001F6D11">
        <w:trPr>
          <w:trHeight w:val="300"/>
        </w:trPr>
        <w:tc>
          <w:tcPr>
            <w:tcW w:w="851" w:type="dxa"/>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0F603775" w14:textId="77777777" w:rsidR="00AA3433" w:rsidRPr="00AA3433" w:rsidRDefault="00AA3433" w:rsidP="00AA3433">
            <w:pPr>
              <w:spacing w:after="0" w:line="240" w:lineRule="auto"/>
              <w:jc w:val="center"/>
              <w:rPr>
                <w:rFonts w:ascii="Calibri" w:eastAsia="Times New Roman" w:hAnsi="Calibri" w:cs="Arial"/>
                <w:lang w:eastAsia="cs-CZ"/>
              </w:rPr>
            </w:pPr>
            <w:r w:rsidRPr="00AA3433">
              <w:rPr>
                <w:rFonts w:ascii="Calibri" w:eastAsia="Times New Roman" w:hAnsi="Calibri" w:cs="Arial"/>
                <w:lang w:eastAsia="cs-CZ"/>
              </w:rPr>
              <w:t> </w:t>
            </w:r>
          </w:p>
        </w:tc>
        <w:tc>
          <w:tcPr>
            <w:tcW w:w="4678" w:type="dxa"/>
            <w:tcBorders>
              <w:top w:val="single" w:sz="8" w:space="0" w:color="auto"/>
              <w:left w:val="nil"/>
              <w:bottom w:val="single" w:sz="8" w:space="0" w:color="auto"/>
              <w:right w:val="single" w:sz="4" w:space="0" w:color="auto"/>
            </w:tcBorders>
            <w:shd w:val="clear" w:color="000000" w:fill="FFFFFF"/>
            <w:noWrap/>
            <w:vAlign w:val="bottom"/>
            <w:hideMark/>
          </w:tcPr>
          <w:p w14:paraId="793C4823" w14:textId="77777777" w:rsidR="00AA3433" w:rsidRPr="00AA3433" w:rsidRDefault="00AA3433" w:rsidP="00AA3433">
            <w:pPr>
              <w:spacing w:after="0" w:line="240" w:lineRule="auto"/>
              <w:rPr>
                <w:rFonts w:ascii="Calibri" w:eastAsia="Times New Roman" w:hAnsi="Calibri" w:cs="Arial"/>
                <w:b/>
                <w:bCs/>
                <w:lang w:eastAsia="cs-CZ"/>
              </w:rPr>
            </w:pPr>
            <w:r w:rsidRPr="00AA3433">
              <w:rPr>
                <w:rFonts w:ascii="Calibri" w:eastAsia="Times New Roman" w:hAnsi="Calibri" w:cs="Arial"/>
                <w:b/>
                <w:bCs/>
                <w:lang w:eastAsia="cs-CZ"/>
              </w:rPr>
              <w:t>Celkem</w:t>
            </w:r>
          </w:p>
        </w:tc>
        <w:tc>
          <w:tcPr>
            <w:tcW w:w="1276" w:type="dxa"/>
            <w:tcBorders>
              <w:top w:val="single" w:sz="8" w:space="0" w:color="auto"/>
              <w:left w:val="nil"/>
              <w:bottom w:val="single" w:sz="8" w:space="0" w:color="auto"/>
              <w:right w:val="single" w:sz="4" w:space="0" w:color="auto"/>
            </w:tcBorders>
            <w:shd w:val="clear" w:color="000000" w:fill="FFFFFF"/>
            <w:noWrap/>
            <w:vAlign w:val="bottom"/>
            <w:hideMark/>
          </w:tcPr>
          <w:p w14:paraId="18A84F3E" w14:textId="77777777" w:rsidR="00AA3433" w:rsidRPr="00AA3433" w:rsidRDefault="00AA3433" w:rsidP="00AA3433">
            <w:pPr>
              <w:spacing w:after="0" w:line="240" w:lineRule="auto"/>
              <w:jc w:val="right"/>
              <w:rPr>
                <w:rFonts w:ascii="Calibri" w:eastAsia="Times New Roman" w:hAnsi="Calibri" w:cs="Arial"/>
                <w:b/>
                <w:bCs/>
                <w:lang w:eastAsia="cs-CZ"/>
              </w:rPr>
            </w:pPr>
            <w:r w:rsidRPr="00AA3433">
              <w:rPr>
                <w:rFonts w:ascii="Calibri" w:eastAsia="Times New Roman" w:hAnsi="Calibri" w:cs="Arial"/>
                <w:b/>
                <w:bCs/>
                <w:lang w:eastAsia="cs-CZ"/>
              </w:rPr>
              <w:t>0</w:t>
            </w:r>
          </w:p>
        </w:tc>
        <w:tc>
          <w:tcPr>
            <w:tcW w:w="1559" w:type="dxa"/>
            <w:tcBorders>
              <w:top w:val="single" w:sz="8" w:space="0" w:color="auto"/>
              <w:left w:val="nil"/>
              <w:bottom w:val="single" w:sz="8" w:space="0" w:color="auto"/>
              <w:right w:val="single" w:sz="4" w:space="0" w:color="auto"/>
            </w:tcBorders>
            <w:shd w:val="clear" w:color="000000" w:fill="FFFFFF"/>
            <w:noWrap/>
            <w:vAlign w:val="bottom"/>
            <w:hideMark/>
          </w:tcPr>
          <w:p w14:paraId="0BF4BFFD" w14:textId="77777777" w:rsidR="00AA3433" w:rsidRPr="00AA3433" w:rsidRDefault="00AA3433" w:rsidP="00AA3433">
            <w:pPr>
              <w:spacing w:after="0" w:line="240" w:lineRule="auto"/>
              <w:jc w:val="right"/>
              <w:rPr>
                <w:rFonts w:ascii="Calibri" w:eastAsia="Times New Roman" w:hAnsi="Calibri" w:cs="Arial"/>
                <w:b/>
                <w:bCs/>
                <w:lang w:eastAsia="cs-CZ"/>
              </w:rPr>
            </w:pPr>
            <w:r w:rsidRPr="00AA3433">
              <w:rPr>
                <w:rFonts w:ascii="Calibri" w:eastAsia="Times New Roman" w:hAnsi="Calibri" w:cs="Arial"/>
                <w:b/>
                <w:bCs/>
                <w:lang w:eastAsia="cs-CZ"/>
              </w:rPr>
              <w:t>48 351,60</w:t>
            </w:r>
          </w:p>
        </w:tc>
        <w:tc>
          <w:tcPr>
            <w:tcW w:w="1417" w:type="dxa"/>
            <w:tcBorders>
              <w:top w:val="single" w:sz="8" w:space="0" w:color="auto"/>
              <w:left w:val="nil"/>
              <w:bottom w:val="single" w:sz="8" w:space="0" w:color="auto"/>
              <w:right w:val="single" w:sz="4" w:space="0" w:color="auto"/>
            </w:tcBorders>
            <w:shd w:val="clear" w:color="000000" w:fill="FFFFFF"/>
            <w:noWrap/>
            <w:vAlign w:val="bottom"/>
            <w:hideMark/>
          </w:tcPr>
          <w:p w14:paraId="477604CE" w14:textId="77777777" w:rsidR="00AA3433" w:rsidRPr="00AA3433" w:rsidRDefault="00AA3433" w:rsidP="00AA3433">
            <w:pPr>
              <w:spacing w:after="0" w:line="240" w:lineRule="auto"/>
              <w:jc w:val="right"/>
              <w:rPr>
                <w:rFonts w:ascii="Calibri" w:eastAsia="Times New Roman" w:hAnsi="Calibri" w:cs="Arial"/>
                <w:b/>
                <w:bCs/>
                <w:lang w:eastAsia="cs-CZ"/>
              </w:rPr>
            </w:pPr>
            <w:r w:rsidRPr="00AA3433">
              <w:rPr>
                <w:rFonts w:ascii="Calibri" w:eastAsia="Times New Roman" w:hAnsi="Calibri" w:cs="Arial"/>
                <w:b/>
                <w:bCs/>
                <w:lang w:eastAsia="cs-CZ"/>
              </w:rPr>
              <w:t>48 351,60</w:t>
            </w:r>
          </w:p>
        </w:tc>
        <w:tc>
          <w:tcPr>
            <w:tcW w:w="709" w:type="dxa"/>
            <w:tcBorders>
              <w:top w:val="single" w:sz="8" w:space="0" w:color="auto"/>
              <w:left w:val="nil"/>
              <w:bottom w:val="single" w:sz="8" w:space="0" w:color="auto"/>
              <w:right w:val="single" w:sz="8" w:space="0" w:color="auto"/>
            </w:tcBorders>
            <w:shd w:val="clear" w:color="000000" w:fill="FFFFFF"/>
            <w:noWrap/>
            <w:vAlign w:val="bottom"/>
            <w:hideMark/>
          </w:tcPr>
          <w:p w14:paraId="15A34002" w14:textId="77777777" w:rsidR="00AA3433" w:rsidRPr="00594FB0" w:rsidRDefault="00AA3433" w:rsidP="00AA3433">
            <w:pPr>
              <w:spacing w:after="0" w:line="240" w:lineRule="auto"/>
              <w:jc w:val="right"/>
              <w:rPr>
                <w:rFonts w:ascii="Calibri" w:eastAsia="Times New Roman" w:hAnsi="Calibri" w:cs="Arial"/>
                <w:b/>
                <w:bCs/>
                <w:sz w:val="20"/>
                <w:szCs w:val="20"/>
                <w:lang w:eastAsia="cs-CZ"/>
              </w:rPr>
            </w:pPr>
            <w:r w:rsidRPr="00594FB0">
              <w:rPr>
                <w:rFonts w:ascii="Calibri" w:eastAsia="Times New Roman" w:hAnsi="Calibri" w:cs="Arial"/>
                <w:b/>
                <w:bCs/>
                <w:sz w:val="20"/>
                <w:szCs w:val="20"/>
                <w:lang w:eastAsia="cs-CZ"/>
              </w:rPr>
              <w:t>100,0</w:t>
            </w:r>
          </w:p>
        </w:tc>
      </w:tr>
      <w:tr w:rsidR="00AA3433" w:rsidRPr="00AA3433" w14:paraId="436CBD58" w14:textId="77777777" w:rsidTr="001F6D11">
        <w:trPr>
          <w:trHeight w:val="290"/>
        </w:trPr>
        <w:tc>
          <w:tcPr>
            <w:tcW w:w="851" w:type="dxa"/>
            <w:tcBorders>
              <w:top w:val="nil"/>
              <w:left w:val="nil"/>
              <w:bottom w:val="single" w:sz="8" w:space="0" w:color="auto"/>
              <w:right w:val="nil"/>
            </w:tcBorders>
            <w:shd w:val="clear" w:color="auto" w:fill="auto"/>
            <w:noWrap/>
            <w:vAlign w:val="bottom"/>
            <w:hideMark/>
          </w:tcPr>
          <w:p w14:paraId="23F81180" w14:textId="77777777" w:rsidR="00AA3433" w:rsidRPr="00AA3433" w:rsidRDefault="00AA3433" w:rsidP="00AA3433">
            <w:pPr>
              <w:spacing w:after="0" w:line="240" w:lineRule="auto"/>
              <w:jc w:val="right"/>
              <w:rPr>
                <w:rFonts w:ascii="Calibri" w:eastAsia="Times New Roman" w:hAnsi="Calibri" w:cs="Arial"/>
                <w:sz w:val="20"/>
                <w:szCs w:val="20"/>
                <w:lang w:eastAsia="cs-CZ"/>
              </w:rPr>
            </w:pPr>
          </w:p>
        </w:tc>
        <w:tc>
          <w:tcPr>
            <w:tcW w:w="4678" w:type="dxa"/>
            <w:tcBorders>
              <w:top w:val="nil"/>
              <w:left w:val="nil"/>
              <w:bottom w:val="single" w:sz="8" w:space="0" w:color="auto"/>
              <w:right w:val="nil"/>
            </w:tcBorders>
            <w:shd w:val="clear" w:color="auto" w:fill="auto"/>
            <w:vAlign w:val="center"/>
            <w:hideMark/>
          </w:tcPr>
          <w:p w14:paraId="7EC4174A" w14:textId="77777777" w:rsidR="00AA3433" w:rsidRPr="00AA3433" w:rsidRDefault="00AA3433" w:rsidP="00AA3433">
            <w:pPr>
              <w:spacing w:after="0" w:line="240" w:lineRule="auto"/>
              <w:jc w:val="center"/>
              <w:rPr>
                <w:rFonts w:ascii="Times New Roman" w:eastAsia="Times New Roman" w:hAnsi="Times New Roman" w:cs="Times New Roman"/>
                <w:sz w:val="20"/>
                <w:szCs w:val="20"/>
                <w:lang w:eastAsia="cs-CZ"/>
              </w:rPr>
            </w:pPr>
          </w:p>
        </w:tc>
        <w:tc>
          <w:tcPr>
            <w:tcW w:w="1276" w:type="dxa"/>
            <w:tcBorders>
              <w:top w:val="nil"/>
              <w:left w:val="nil"/>
              <w:bottom w:val="single" w:sz="8" w:space="0" w:color="auto"/>
              <w:right w:val="nil"/>
            </w:tcBorders>
            <w:shd w:val="clear" w:color="auto" w:fill="auto"/>
            <w:noWrap/>
            <w:vAlign w:val="center"/>
            <w:hideMark/>
          </w:tcPr>
          <w:p w14:paraId="43BE7023" w14:textId="77777777" w:rsidR="00AA3433" w:rsidRPr="00AA3433" w:rsidRDefault="00AA3433" w:rsidP="00AA3433">
            <w:pPr>
              <w:spacing w:after="0" w:line="240" w:lineRule="auto"/>
              <w:rPr>
                <w:rFonts w:ascii="Times New Roman" w:eastAsia="Times New Roman" w:hAnsi="Times New Roman" w:cs="Times New Roman"/>
                <w:sz w:val="20"/>
                <w:szCs w:val="20"/>
                <w:lang w:eastAsia="cs-CZ"/>
              </w:rPr>
            </w:pPr>
          </w:p>
        </w:tc>
        <w:tc>
          <w:tcPr>
            <w:tcW w:w="1559" w:type="dxa"/>
            <w:tcBorders>
              <w:top w:val="nil"/>
              <w:left w:val="nil"/>
              <w:bottom w:val="single" w:sz="8" w:space="0" w:color="auto"/>
              <w:right w:val="nil"/>
            </w:tcBorders>
            <w:shd w:val="clear" w:color="auto" w:fill="auto"/>
            <w:noWrap/>
            <w:vAlign w:val="center"/>
            <w:hideMark/>
          </w:tcPr>
          <w:p w14:paraId="7BE0CB19" w14:textId="77777777" w:rsidR="00AA3433" w:rsidRPr="00AA3433" w:rsidRDefault="00AA3433" w:rsidP="00AA3433">
            <w:pPr>
              <w:spacing w:after="0" w:line="240" w:lineRule="auto"/>
              <w:jc w:val="right"/>
              <w:rPr>
                <w:rFonts w:ascii="Times New Roman" w:eastAsia="Times New Roman" w:hAnsi="Times New Roman" w:cs="Times New Roman"/>
                <w:sz w:val="20"/>
                <w:szCs w:val="20"/>
                <w:lang w:eastAsia="cs-CZ"/>
              </w:rPr>
            </w:pPr>
          </w:p>
        </w:tc>
        <w:tc>
          <w:tcPr>
            <w:tcW w:w="1417" w:type="dxa"/>
            <w:tcBorders>
              <w:top w:val="nil"/>
              <w:left w:val="nil"/>
              <w:bottom w:val="single" w:sz="8" w:space="0" w:color="auto"/>
              <w:right w:val="nil"/>
            </w:tcBorders>
            <w:shd w:val="clear" w:color="auto" w:fill="auto"/>
            <w:noWrap/>
            <w:vAlign w:val="center"/>
            <w:hideMark/>
          </w:tcPr>
          <w:p w14:paraId="79DC7CDC" w14:textId="77777777" w:rsidR="00AA3433" w:rsidRPr="00AA3433" w:rsidRDefault="00AA3433" w:rsidP="00AA3433">
            <w:pPr>
              <w:spacing w:after="0" w:line="240" w:lineRule="auto"/>
              <w:jc w:val="right"/>
              <w:rPr>
                <w:rFonts w:ascii="Times New Roman" w:eastAsia="Times New Roman" w:hAnsi="Times New Roman" w:cs="Times New Roman"/>
                <w:sz w:val="20"/>
                <w:szCs w:val="20"/>
                <w:lang w:eastAsia="cs-CZ"/>
              </w:rPr>
            </w:pPr>
          </w:p>
        </w:tc>
        <w:tc>
          <w:tcPr>
            <w:tcW w:w="709" w:type="dxa"/>
            <w:tcBorders>
              <w:top w:val="nil"/>
              <w:left w:val="nil"/>
              <w:bottom w:val="single" w:sz="8" w:space="0" w:color="auto"/>
              <w:right w:val="nil"/>
            </w:tcBorders>
            <w:shd w:val="clear" w:color="auto" w:fill="auto"/>
            <w:noWrap/>
            <w:vAlign w:val="center"/>
            <w:hideMark/>
          </w:tcPr>
          <w:p w14:paraId="1AAEEAA7" w14:textId="77777777" w:rsidR="00AA3433" w:rsidRPr="00AA3433" w:rsidRDefault="00AA3433" w:rsidP="00AA3433">
            <w:pPr>
              <w:spacing w:after="0" w:line="240" w:lineRule="auto"/>
              <w:jc w:val="right"/>
              <w:rPr>
                <w:rFonts w:ascii="Times New Roman" w:eastAsia="Times New Roman" w:hAnsi="Times New Roman" w:cs="Times New Roman"/>
                <w:sz w:val="20"/>
                <w:szCs w:val="20"/>
                <w:lang w:eastAsia="cs-CZ"/>
              </w:rPr>
            </w:pPr>
          </w:p>
        </w:tc>
      </w:tr>
      <w:tr w:rsidR="00AA3433" w:rsidRPr="00AA3433" w14:paraId="2EADB8C9" w14:textId="77777777" w:rsidTr="001F6D11">
        <w:trPr>
          <w:trHeight w:val="268"/>
        </w:trPr>
        <w:tc>
          <w:tcPr>
            <w:tcW w:w="5529"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44465C3D" w14:textId="3CAF7185" w:rsidR="00AA3433" w:rsidRPr="00AA3433" w:rsidRDefault="00AA3433" w:rsidP="00AA3433">
            <w:pPr>
              <w:spacing w:after="0" w:line="240" w:lineRule="auto"/>
              <w:rPr>
                <w:rFonts w:ascii="Calibri" w:eastAsia="Times New Roman" w:hAnsi="Calibri" w:cs="Arial"/>
                <w:b/>
                <w:bCs/>
                <w:sz w:val="24"/>
                <w:szCs w:val="24"/>
                <w:lang w:eastAsia="cs-CZ"/>
              </w:rPr>
            </w:pPr>
            <w:r w:rsidRPr="00AA3433">
              <w:rPr>
                <w:rFonts w:ascii="Calibri" w:eastAsia="Times New Roman" w:hAnsi="Calibri" w:cs="Arial"/>
                <w:b/>
                <w:bCs/>
                <w:sz w:val="24"/>
                <w:szCs w:val="24"/>
                <w:lang w:eastAsia="cs-CZ"/>
              </w:rPr>
              <w:t xml:space="preserve">Celkem výdaje </w:t>
            </w:r>
          </w:p>
        </w:tc>
        <w:tc>
          <w:tcPr>
            <w:tcW w:w="1276" w:type="dxa"/>
            <w:tcBorders>
              <w:top w:val="single" w:sz="8" w:space="0" w:color="auto"/>
              <w:left w:val="nil"/>
              <w:bottom w:val="single" w:sz="8" w:space="0" w:color="auto"/>
              <w:right w:val="single" w:sz="4" w:space="0" w:color="auto"/>
            </w:tcBorders>
            <w:shd w:val="clear" w:color="auto" w:fill="auto"/>
            <w:noWrap/>
            <w:vAlign w:val="bottom"/>
            <w:hideMark/>
          </w:tcPr>
          <w:p w14:paraId="5A4D7563" w14:textId="77777777" w:rsidR="00AA3433" w:rsidRPr="00AA3433" w:rsidRDefault="00AA3433" w:rsidP="00AA3433">
            <w:pPr>
              <w:spacing w:after="0" w:line="240" w:lineRule="auto"/>
              <w:rPr>
                <w:rFonts w:ascii="Calibri" w:eastAsia="Times New Roman" w:hAnsi="Calibri" w:cs="Arial"/>
                <w:b/>
                <w:bCs/>
                <w:lang w:eastAsia="cs-CZ"/>
              </w:rPr>
            </w:pPr>
            <w:r w:rsidRPr="00AA3433">
              <w:rPr>
                <w:rFonts w:ascii="Calibri" w:eastAsia="Times New Roman" w:hAnsi="Calibri" w:cs="Arial"/>
                <w:b/>
                <w:bCs/>
                <w:lang w:eastAsia="cs-CZ"/>
              </w:rPr>
              <w:t>55 318 000</w:t>
            </w:r>
          </w:p>
        </w:tc>
        <w:tc>
          <w:tcPr>
            <w:tcW w:w="1559" w:type="dxa"/>
            <w:tcBorders>
              <w:top w:val="single" w:sz="8" w:space="0" w:color="auto"/>
              <w:left w:val="nil"/>
              <w:bottom w:val="single" w:sz="8" w:space="0" w:color="auto"/>
              <w:right w:val="single" w:sz="4" w:space="0" w:color="auto"/>
            </w:tcBorders>
            <w:shd w:val="clear" w:color="auto" w:fill="auto"/>
            <w:noWrap/>
            <w:vAlign w:val="bottom"/>
            <w:hideMark/>
          </w:tcPr>
          <w:p w14:paraId="689D4003" w14:textId="77777777" w:rsidR="00AA3433" w:rsidRPr="00AA3433" w:rsidRDefault="00AA3433" w:rsidP="00AA3433">
            <w:pPr>
              <w:spacing w:after="0" w:line="240" w:lineRule="auto"/>
              <w:jc w:val="right"/>
              <w:rPr>
                <w:rFonts w:ascii="Calibri" w:eastAsia="Times New Roman" w:hAnsi="Calibri" w:cs="Arial"/>
                <w:b/>
                <w:bCs/>
                <w:lang w:eastAsia="cs-CZ"/>
              </w:rPr>
            </w:pPr>
            <w:r w:rsidRPr="00AA3433">
              <w:rPr>
                <w:rFonts w:ascii="Calibri" w:eastAsia="Times New Roman" w:hAnsi="Calibri" w:cs="Arial"/>
                <w:b/>
                <w:bCs/>
                <w:lang w:eastAsia="cs-CZ"/>
              </w:rPr>
              <w:t>57 934 199,60</w:t>
            </w:r>
          </w:p>
        </w:tc>
        <w:tc>
          <w:tcPr>
            <w:tcW w:w="1417" w:type="dxa"/>
            <w:tcBorders>
              <w:top w:val="single" w:sz="8" w:space="0" w:color="auto"/>
              <w:left w:val="nil"/>
              <w:bottom w:val="single" w:sz="8" w:space="0" w:color="auto"/>
              <w:right w:val="single" w:sz="4" w:space="0" w:color="auto"/>
            </w:tcBorders>
            <w:shd w:val="clear" w:color="auto" w:fill="auto"/>
            <w:noWrap/>
            <w:vAlign w:val="bottom"/>
            <w:hideMark/>
          </w:tcPr>
          <w:p w14:paraId="73ADA640" w14:textId="77777777" w:rsidR="00AA3433" w:rsidRPr="00AA3433" w:rsidRDefault="00AA3433" w:rsidP="00AA3433">
            <w:pPr>
              <w:spacing w:after="0" w:line="240" w:lineRule="auto"/>
              <w:jc w:val="right"/>
              <w:rPr>
                <w:rFonts w:ascii="Calibri" w:eastAsia="Times New Roman" w:hAnsi="Calibri" w:cs="Arial"/>
                <w:b/>
                <w:bCs/>
                <w:lang w:eastAsia="cs-CZ"/>
              </w:rPr>
            </w:pPr>
            <w:r w:rsidRPr="00AA3433">
              <w:rPr>
                <w:rFonts w:ascii="Calibri" w:eastAsia="Times New Roman" w:hAnsi="Calibri" w:cs="Arial"/>
                <w:b/>
                <w:bCs/>
                <w:lang w:eastAsia="cs-CZ"/>
              </w:rPr>
              <w:t>47 980 844,06</w:t>
            </w:r>
          </w:p>
        </w:tc>
        <w:tc>
          <w:tcPr>
            <w:tcW w:w="709" w:type="dxa"/>
            <w:tcBorders>
              <w:top w:val="single" w:sz="8" w:space="0" w:color="auto"/>
              <w:left w:val="nil"/>
              <w:bottom w:val="single" w:sz="8" w:space="0" w:color="auto"/>
              <w:right w:val="single" w:sz="8" w:space="0" w:color="auto"/>
            </w:tcBorders>
            <w:shd w:val="clear" w:color="auto" w:fill="auto"/>
            <w:noWrap/>
            <w:vAlign w:val="bottom"/>
            <w:hideMark/>
          </w:tcPr>
          <w:p w14:paraId="67CFEC6B" w14:textId="77777777" w:rsidR="00AA3433" w:rsidRPr="00AA3433" w:rsidRDefault="00AA3433" w:rsidP="00AA3433">
            <w:pPr>
              <w:spacing w:after="0" w:line="240" w:lineRule="auto"/>
              <w:jc w:val="right"/>
              <w:rPr>
                <w:rFonts w:ascii="Calibri" w:eastAsia="Times New Roman" w:hAnsi="Calibri" w:cs="Arial"/>
                <w:b/>
                <w:bCs/>
                <w:lang w:eastAsia="cs-CZ"/>
              </w:rPr>
            </w:pPr>
            <w:r w:rsidRPr="00AA3433">
              <w:rPr>
                <w:rFonts w:ascii="Calibri" w:eastAsia="Times New Roman" w:hAnsi="Calibri" w:cs="Arial"/>
                <w:b/>
                <w:bCs/>
                <w:lang w:eastAsia="cs-CZ"/>
              </w:rPr>
              <w:t>82,8</w:t>
            </w:r>
          </w:p>
        </w:tc>
      </w:tr>
    </w:tbl>
    <w:p w14:paraId="2FAFAB66" w14:textId="18573559" w:rsidR="00850519" w:rsidRDefault="00850519" w:rsidP="00850519">
      <w:pPr>
        <w:spacing w:after="0" w:line="240" w:lineRule="auto"/>
        <w:jc w:val="both"/>
        <w:rPr>
          <w:rFonts w:cs="Calibri"/>
        </w:rPr>
      </w:pPr>
    </w:p>
    <w:p w14:paraId="64A66944" w14:textId="5F21344C" w:rsidR="00AA3433" w:rsidRDefault="00AA3433" w:rsidP="00850519">
      <w:pPr>
        <w:spacing w:after="0" w:line="240" w:lineRule="auto"/>
        <w:jc w:val="both"/>
        <w:rPr>
          <w:rFonts w:cs="Calibri"/>
        </w:rPr>
      </w:pPr>
    </w:p>
    <w:p w14:paraId="17E040FF" w14:textId="112A3402" w:rsidR="00AA3433" w:rsidRDefault="00AA3433" w:rsidP="00850519">
      <w:pPr>
        <w:spacing w:after="0" w:line="240" w:lineRule="auto"/>
        <w:jc w:val="both"/>
        <w:rPr>
          <w:rFonts w:cs="Calibri"/>
        </w:rPr>
      </w:pPr>
    </w:p>
    <w:p w14:paraId="1B19DB23" w14:textId="49F8A036" w:rsidR="00AA3433" w:rsidRDefault="00AA3433" w:rsidP="00850519">
      <w:pPr>
        <w:spacing w:after="0" w:line="240" w:lineRule="auto"/>
        <w:jc w:val="both"/>
        <w:rPr>
          <w:rFonts w:cs="Calibri"/>
        </w:rPr>
      </w:pPr>
    </w:p>
    <w:p w14:paraId="622710EE" w14:textId="0FC16816" w:rsidR="00AA3433" w:rsidRDefault="00AA3433" w:rsidP="00850519">
      <w:pPr>
        <w:spacing w:after="0" w:line="240" w:lineRule="auto"/>
        <w:jc w:val="both"/>
        <w:rPr>
          <w:rFonts w:cs="Calibri"/>
        </w:rPr>
      </w:pPr>
    </w:p>
    <w:p w14:paraId="09C2BD82" w14:textId="0EECC978" w:rsidR="00AA3433" w:rsidRDefault="00AA3433" w:rsidP="00850519">
      <w:pPr>
        <w:spacing w:after="0" w:line="240" w:lineRule="auto"/>
        <w:jc w:val="both"/>
        <w:rPr>
          <w:rFonts w:cs="Calibri"/>
        </w:rPr>
      </w:pPr>
    </w:p>
    <w:p w14:paraId="2CF9BEA3" w14:textId="041335FB" w:rsidR="00AA3433" w:rsidRDefault="00AA3433" w:rsidP="00850519">
      <w:pPr>
        <w:spacing w:after="0" w:line="240" w:lineRule="auto"/>
        <w:jc w:val="both"/>
        <w:rPr>
          <w:rFonts w:cs="Calibri"/>
        </w:rPr>
      </w:pPr>
    </w:p>
    <w:p w14:paraId="700A8B96" w14:textId="5F99FC8A" w:rsidR="00AA3433" w:rsidRDefault="00AA3433" w:rsidP="00850519">
      <w:pPr>
        <w:spacing w:after="0" w:line="240" w:lineRule="auto"/>
        <w:jc w:val="both"/>
        <w:rPr>
          <w:rFonts w:cs="Calibri"/>
        </w:rPr>
      </w:pPr>
    </w:p>
    <w:p w14:paraId="317A2E7F" w14:textId="37569B59" w:rsidR="00AA3433" w:rsidRDefault="00AA3433" w:rsidP="00850519">
      <w:pPr>
        <w:spacing w:after="0" w:line="240" w:lineRule="auto"/>
        <w:jc w:val="both"/>
        <w:rPr>
          <w:rFonts w:cs="Calibri"/>
        </w:rPr>
      </w:pPr>
    </w:p>
    <w:p w14:paraId="10927DAD" w14:textId="5EEC0F3E" w:rsidR="00AA3433" w:rsidRDefault="00AA3433" w:rsidP="00850519">
      <w:pPr>
        <w:spacing w:after="0" w:line="240" w:lineRule="auto"/>
        <w:jc w:val="both"/>
        <w:rPr>
          <w:rFonts w:cs="Calibri"/>
        </w:rPr>
      </w:pPr>
    </w:p>
    <w:p w14:paraId="21119C9C" w14:textId="3BB1D368" w:rsidR="00AA3433" w:rsidRDefault="00AA3433" w:rsidP="00850519">
      <w:pPr>
        <w:spacing w:after="0" w:line="240" w:lineRule="auto"/>
        <w:jc w:val="both"/>
        <w:rPr>
          <w:rFonts w:cs="Calibri"/>
        </w:rPr>
      </w:pPr>
    </w:p>
    <w:p w14:paraId="3008023E" w14:textId="3E4AC69C" w:rsidR="00AA3433" w:rsidRDefault="00AA3433" w:rsidP="00850519">
      <w:pPr>
        <w:spacing w:after="0" w:line="240" w:lineRule="auto"/>
        <w:jc w:val="both"/>
        <w:rPr>
          <w:rFonts w:cs="Calibri"/>
        </w:rPr>
      </w:pPr>
    </w:p>
    <w:p w14:paraId="55B23074" w14:textId="2FF9AD8E" w:rsidR="00AA3433" w:rsidRDefault="00AA3433" w:rsidP="00850519">
      <w:pPr>
        <w:spacing w:after="0" w:line="240" w:lineRule="auto"/>
        <w:jc w:val="both"/>
        <w:rPr>
          <w:rFonts w:cs="Calibri"/>
        </w:rPr>
      </w:pPr>
    </w:p>
    <w:p w14:paraId="1883EB24" w14:textId="17E093A8" w:rsidR="00AA3433" w:rsidRDefault="00AA3433" w:rsidP="00850519">
      <w:pPr>
        <w:spacing w:after="0" w:line="240" w:lineRule="auto"/>
        <w:jc w:val="both"/>
        <w:rPr>
          <w:rFonts w:cs="Calibri"/>
        </w:rPr>
      </w:pPr>
    </w:p>
    <w:p w14:paraId="1D8D43C3" w14:textId="4F6D5E5D" w:rsidR="00AA3433" w:rsidRDefault="00AA3433" w:rsidP="00850519">
      <w:pPr>
        <w:spacing w:after="0" w:line="240" w:lineRule="auto"/>
        <w:jc w:val="both"/>
        <w:rPr>
          <w:rFonts w:cs="Calibri"/>
        </w:rPr>
      </w:pPr>
    </w:p>
    <w:p w14:paraId="31C9FD6A" w14:textId="2D0B8701" w:rsidR="00AA3433" w:rsidRDefault="00AA3433" w:rsidP="00850519">
      <w:pPr>
        <w:spacing w:after="0" w:line="240" w:lineRule="auto"/>
        <w:jc w:val="both"/>
        <w:rPr>
          <w:rFonts w:cs="Calibri"/>
        </w:rPr>
      </w:pPr>
    </w:p>
    <w:p w14:paraId="2E46ED62" w14:textId="720D8F08" w:rsidR="00AA3433" w:rsidRDefault="00AA3433" w:rsidP="00850519">
      <w:pPr>
        <w:spacing w:after="0" w:line="240" w:lineRule="auto"/>
        <w:jc w:val="both"/>
        <w:rPr>
          <w:rFonts w:cs="Calibri"/>
        </w:rPr>
      </w:pPr>
    </w:p>
    <w:p w14:paraId="0D351C39" w14:textId="498862FD" w:rsidR="00AA3433" w:rsidRDefault="00AA3433" w:rsidP="00850519">
      <w:pPr>
        <w:spacing w:after="0" w:line="240" w:lineRule="auto"/>
        <w:jc w:val="both"/>
        <w:rPr>
          <w:rFonts w:cs="Calibri"/>
        </w:rPr>
      </w:pPr>
    </w:p>
    <w:p w14:paraId="104A6B2A" w14:textId="11FDE947" w:rsidR="00AA3433" w:rsidRDefault="00AA3433" w:rsidP="00850519">
      <w:pPr>
        <w:spacing w:after="0" w:line="240" w:lineRule="auto"/>
        <w:jc w:val="both"/>
        <w:rPr>
          <w:rFonts w:cs="Calibri"/>
        </w:rPr>
      </w:pPr>
    </w:p>
    <w:p w14:paraId="54EAF30D" w14:textId="547B24A5" w:rsidR="00AA3433" w:rsidRDefault="00AA3433" w:rsidP="00850519">
      <w:pPr>
        <w:spacing w:after="0" w:line="240" w:lineRule="auto"/>
        <w:jc w:val="both"/>
        <w:rPr>
          <w:rFonts w:cs="Calibri"/>
        </w:rPr>
      </w:pPr>
    </w:p>
    <w:p w14:paraId="1339AF80" w14:textId="270E8802" w:rsidR="00AA3433" w:rsidRDefault="00AA3433" w:rsidP="00850519">
      <w:pPr>
        <w:spacing w:after="0" w:line="240" w:lineRule="auto"/>
        <w:jc w:val="both"/>
        <w:rPr>
          <w:rFonts w:cs="Calibri"/>
        </w:rPr>
      </w:pPr>
    </w:p>
    <w:p w14:paraId="73848BA4" w14:textId="3EEE0764" w:rsidR="00AA3433" w:rsidRDefault="00AA3433" w:rsidP="00850519">
      <w:pPr>
        <w:spacing w:after="0" w:line="240" w:lineRule="auto"/>
        <w:jc w:val="both"/>
        <w:rPr>
          <w:rFonts w:cs="Calibri"/>
        </w:rPr>
      </w:pPr>
    </w:p>
    <w:p w14:paraId="4C9E680F" w14:textId="740AF464" w:rsidR="00AA3433" w:rsidRDefault="00AA3433" w:rsidP="00850519">
      <w:pPr>
        <w:spacing w:after="0" w:line="240" w:lineRule="auto"/>
        <w:jc w:val="both"/>
        <w:rPr>
          <w:rFonts w:cs="Calibri"/>
        </w:rPr>
      </w:pPr>
    </w:p>
    <w:p w14:paraId="634EA493" w14:textId="5B0C8C2B" w:rsidR="00AA3433" w:rsidRDefault="00AA3433" w:rsidP="00850519">
      <w:pPr>
        <w:spacing w:after="0" w:line="240" w:lineRule="auto"/>
        <w:jc w:val="both"/>
        <w:rPr>
          <w:rFonts w:cs="Calibri"/>
        </w:rPr>
      </w:pPr>
    </w:p>
    <w:p w14:paraId="0B6A35A0" w14:textId="0497F31A" w:rsidR="00AA3433" w:rsidRDefault="00AA3433" w:rsidP="00850519">
      <w:pPr>
        <w:spacing w:after="0" w:line="240" w:lineRule="auto"/>
        <w:jc w:val="both"/>
        <w:rPr>
          <w:rFonts w:cs="Calibri"/>
        </w:rPr>
      </w:pPr>
    </w:p>
    <w:p w14:paraId="5455D3DB" w14:textId="7BAD6739" w:rsidR="00AA3433" w:rsidRDefault="00AA3433" w:rsidP="00850519">
      <w:pPr>
        <w:spacing w:after="0" w:line="240" w:lineRule="auto"/>
        <w:jc w:val="both"/>
        <w:rPr>
          <w:rFonts w:cs="Calibri"/>
        </w:rPr>
      </w:pPr>
    </w:p>
    <w:p w14:paraId="465E00C6" w14:textId="1F508A91" w:rsidR="00AA3433" w:rsidRDefault="00AA3433" w:rsidP="00850519">
      <w:pPr>
        <w:spacing w:after="0" w:line="240" w:lineRule="auto"/>
        <w:jc w:val="both"/>
        <w:rPr>
          <w:rFonts w:cs="Calibri"/>
        </w:rPr>
      </w:pPr>
    </w:p>
    <w:p w14:paraId="6FE09FF5" w14:textId="17657E8E" w:rsidR="00AA3433" w:rsidRDefault="00AA3433" w:rsidP="00850519">
      <w:pPr>
        <w:spacing w:after="0" w:line="240" w:lineRule="auto"/>
        <w:jc w:val="both"/>
        <w:rPr>
          <w:rFonts w:cs="Calibri"/>
        </w:rPr>
      </w:pPr>
    </w:p>
    <w:p w14:paraId="2BB4CD80" w14:textId="523C7F04" w:rsidR="00AA3433" w:rsidRDefault="00AA3433" w:rsidP="00850519">
      <w:pPr>
        <w:spacing w:after="0" w:line="240" w:lineRule="auto"/>
        <w:jc w:val="both"/>
        <w:rPr>
          <w:rFonts w:cs="Calibri"/>
        </w:rPr>
      </w:pPr>
    </w:p>
    <w:p w14:paraId="75E19C49" w14:textId="6B358292" w:rsidR="00AA3433" w:rsidRDefault="00AA3433" w:rsidP="00850519">
      <w:pPr>
        <w:spacing w:after="0" w:line="240" w:lineRule="auto"/>
        <w:jc w:val="both"/>
        <w:rPr>
          <w:rFonts w:cs="Calibri"/>
        </w:rPr>
      </w:pPr>
    </w:p>
    <w:p w14:paraId="7EDF0429" w14:textId="4CAF931A" w:rsidR="00AA3433" w:rsidRDefault="00AA3433" w:rsidP="00850519">
      <w:pPr>
        <w:spacing w:after="0" w:line="240" w:lineRule="auto"/>
        <w:jc w:val="both"/>
        <w:rPr>
          <w:rFonts w:cs="Calibri"/>
        </w:rPr>
      </w:pPr>
    </w:p>
    <w:p w14:paraId="06AB302E" w14:textId="7063FF1E" w:rsidR="00AA3433" w:rsidRDefault="00AA3433" w:rsidP="00850519">
      <w:pPr>
        <w:spacing w:after="0" w:line="240" w:lineRule="auto"/>
        <w:jc w:val="both"/>
        <w:rPr>
          <w:rFonts w:cs="Calibri"/>
        </w:rPr>
      </w:pPr>
    </w:p>
    <w:p w14:paraId="473F1AC2" w14:textId="5AF25DDD" w:rsidR="00AA3433" w:rsidRDefault="00AA3433" w:rsidP="00850519">
      <w:pPr>
        <w:spacing w:after="0" w:line="240" w:lineRule="auto"/>
        <w:jc w:val="both"/>
        <w:rPr>
          <w:rFonts w:cs="Calibri"/>
        </w:rPr>
      </w:pPr>
    </w:p>
    <w:p w14:paraId="1F07DBE0" w14:textId="0B8AEC22" w:rsidR="00AA3433" w:rsidRDefault="00AA3433" w:rsidP="00850519">
      <w:pPr>
        <w:spacing w:after="0" w:line="240" w:lineRule="auto"/>
        <w:jc w:val="both"/>
        <w:rPr>
          <w:rFonts w:cs="Calibri"/>
        </w:rPr>
      </w:pPr>
    </w:p>
    <w:p w14:paraId="6B9179F7" w14:textId="4700D99D" w:rsidR="00AA3433" w:rsidRDefault="00AA3433" w:rsidP="00850519">
      <w:pPr>
        <w:spacing w:after="0" w:line="240" w:lineRule="auto"/>
        <w:jc w:val="both"/>
        <w:rPr>
          <w:rFonts w:cs="Calibri"/>
        </w:rPr>
      </w:pPr>
    </w:p>
    <w:p w14:paraId="06A930A2" w14:textId="23BB6D1A" w:rsidR="00AA3433" w:rsidRDefault="00AA3433" w:rsidP="00850519">
      <w:pPr>
        <w:spacing w:after="0" w:line="240" w:lineRule="auto"/>
        <w:jc w:val="both"/>
        <w:rPr>
          <w:rFonts w:cs="Calibri"/>
        </w:rPr>
      </w:pPr>
    </w:p>
    <w:p w14:paraId="68554566" w14:textId="2A545AC8" w:rsidR="00AA3433" w:rsidRDefault="00AA3433" w:rsidP="00850519">
      <w:pPr>
        <w:spacing w:after="0" w:line="240" w:lineRule="auto"/>
        <w:jc w:val="both"/>
        <w:rPr>
          <w:rFonts w:cs="Calibri"/>
        </w:rPr>
      </w:pPr>
    </w:p>
    <w:p w14:paraId="012B86BF" w14:textId="7DDD09ED" w:rsidR="00AA3433" w:rsidRDefault="00AA3433" w:rsidP="00850519">
      <w:pPr>
        <w:spacing w:after="0" w:line="240" w:lineRule="auto"/>
        <w:jc w:val="both"/>
        <w:rPr>
          <w:rFonts w:cs="Calibri"/>
        </w:rPr>
      </w:pPr>
    </w:p>
    <w:p w14:paraId="23D2C050" w14:textId="67287BC7" w:rsidR="00AA3433" w:rsidRDefault="00AA3433" w:rsidP="00850519">
      <w:pPr>
        <w:spacing w:after="0" w:line="240" w:lineRule="auto"/>
        <w:jc w:val="both"/>
        <w:rPr>
          <w:rFonts w:cs="Calibri"/>
        </w:rPr>
      </w:pPr>
    </w:p>
    <w:p w14:paraId="17215C69" w14:textId="75E2D6D2" w:rsidR="00AA3433" w:rsidRDefault="00AA3433" w:rsidP="00850519">
      <w:pPr>
        <w:spacing w:after="0" w:line="240" w:lineRule="auto"/>
        <w:jc w:val="both"/>
        <w:rPr>
          <w:rFonts w:cs="Calibri"/>
        </w:rPr>
      </w:pPr>
    </w:p>
    <w:p w14:paraId="1A583CB7" w14:textId="461DE6DC" w:rsidR="00AA3433" w:rsidRDefault="00AA3433" w:rsidP="00850519">
      <w:pPr>
        <w:spacing w:after="0" w:line="240" w:lineRule="auto"/>
        <w:jc w:val="both"/>
        <w:rPr>
          <w:rFonts w:cs="Calibri"/>
        </w:rPr>
      </w:pPr>
    </w:p>
    <w:p w14:paraId="042E7079" w14:textId="049D90AD" w:rsidR="00AA3433" w:rsidRDefault="00AA3433" w:rsidP="00850519">
      <w:pPr>
        <w:spacing w:after="0" w:line="240" w:lineRule="auto"/>
        <w:jc w:val="both"/>
        <w:rPr>
          <w:rFonts w:cs="Calibri"/>
        </w:rPr>
      </w:pPr>
    </w:p>
    <w:p w14:paraId="2BC3F199" w14:textId="17184FA1" w:rsidR="00AA3433" w:rsidRDefault="00AA3433" w:rsidP="00850519">
      <w:pPr>
        <w:spacing w:after="0" w:line="240" w:lineRule="auto"/>
        <w:jc w:val="both"/>
        <w:rPr>
          <w:rFonts w:cs="Calibri"/>
        </w:rPr>
      </w:pPr>
    </w:p>
    <w:p w14:paraId="51DCCA82" w14:textId="77777777" w:rsidR="00E44FE1" w:rsidRPr="00143FB0" w:rsidRDefault="00E44FE1" w:rsidP="00416DF1">
      <w:pPr>
        <w:rPr>
          <w:rFonts w:ascii="Calibri" w:hAnsi="Calibri" w:cs="Calibri"/>
          <w:b/>
          <w:sz w:val="32"/>
          <w:szCs w:val="32"/>
          <w:u w:val="single"/>
        </w:rPr>
      </w:pPr>
    </w:p>
    <w:p w14:paraId="1E51B1A3" w14:textId="37DA6DDF" w:rsidR="00E44FE1" w:rsidRDefault="00E44FE1" w:rsidP="00E44FE1">
      <w:pPr>
        <w:jc w:val="both"/>
        <w:rPr>
          <w:rFonts w:ascii="Calibri" w:hAnsi="Calibri" w:cs="Calibri"/>
          <w:b/>
          <w:sz w:val="28"/>
          <w:szCs w:val="28"/>
          <w:u w:val="single"/>
        </w:rPr>
      </w:pPr>
      <w:r w:rsidRPr="00143FB0">
        <w:rPr>
          <w:rFonts w:ascii="Calibri" w:hAnsi="Calibri" w:cs="Calibri"/>
          <w:b/>
          <w:sz w:val="28"/>
          <w:szCs w:val="28"/>
          <w:u w:val="single"/>
        </w:rPr>
        <w:lastRenderedPageBreak/>
        <w:t xml:space="preserve">Kapitola 02 – Činnost Krajského úřadu </w:t>
      </w:r>
    </w:p>
    <w:p w14:paraId="27E44916" w14:textId="40B9ED89" w:rsidR="00E44FE1" w:rsidRPr="00416DF1" w:rsidRDefault="00E44FE1" w:rsidP="00E44FE1">
      <w:pPr>
        <w:jc w:val="both"/>
        <w:rPr>
          <w:rFonts w:ascii="Calibri" w:hAnsi="Calibri" w:cs="Calibri"/>
          <w:sz w:val="24"/>
          <w:szCs w:val="24"/>
        </w:rPr>
      </w:pPr>
      <w:r w:rsidRPr="00416DF1">
        <w:rPr>
          <w:rFonts w:ascii="Calibri" w:hAnsi="Calibri" w:cs="Calibri"/>
          <w:b/>
          <w:sz w:val="24"/>
          <w:szCs w:val="24"/>
          <w:u w:val="single"/>
        </w:rPr>
        <w:t>Běžné výdaje</w:t>
      </w:r>
    </w:p>
    <w:p w14:paraId="7BD4952C" w14:textId="77777777" w:rsidR="00E44FE1" w:rsidRPr="00143FB0" w:rsidRDefault="00E44FE1" w:rsidP="00416DF1">
      <w:pPr>
        <w:tabs>
          <w:tab w:val="num" w:pos="0"/>
        </w:tabs>
        <w:spacing w:after="0"/>
        <w:jc w:val="both"/>
        <w:rPr>
          <w:rFonts w:ascii="Calibri" w:hAnsi="Calibri" w:cs="Calibri"/>
        </w:rPr>
      </w:pPr>
      <w:r w:rsidRPr="00143FB0">
        <w:rPr>
          <w:rFonts w:ascii="Calibri" w:hAnsi="Calibri" w:cs="Calibri"/>
        </w:rPr>
        <w:t xml:space="preserve">Rozpočtované výdaje kapitoly 02 - Činnost Krajského úřadu zahrnují výdaje na materiální zajištění a služby pro chod krajského úřadu (sídla krajského úřadu), na technickou správu budovy sídla kraje (úklid, dodávka paliv, vody a energií, služby telekomunikací, opravy a údržbu spravované budovy včetně venkovních ploch, na stanovení a komplexní zajištění systému požární ochrany a požární dokumentace ve spravovaných budovách, spotřební materiál, drobný hmotný dlouhodobý majetek, apod.), výdaje na obměnu služebních vozidel vozového parku kraje. </w:t>
      </w:r>
    </w:p>
    <w:p w14:paraId="256BC46E" w14:textId="77777777" w:rsidR="00E44FE1" w:rsidRPr="00143FB0" w:rsidRDefault="00E44FE1" w:rsidP="00416DF1">
      <w:pPr>
        <w:tabs>
          <w:tab w:val="num" w:pos="0"/>
        </w:tabs>
        <w:spacing w:after="0"/>
        <w:jc w:val="both"/>
        <w:rPr>
          <w:rFonts w:ascii="Calibri" w:hAnsi="Calibri" w:cs="Calibri"/>
        </w:rPr>
      </w:pPr>
      <w:r w:rsidRPr="00143FB0">
        <w:rPr>
          <w:rFonts w:ascii="Calibri" w:hAnsi="Calibri" w:cs="Calibri"/>
        </w:rPr>
        <w:t>Investiční akce jsou financovány z kapitálových prostředků v rámci rozpočtu kapitoly 12 – Investiční výdaje v souladu se schváleným Zásobníkem investic.</w:t>
      </w:r>
    </w:p>
    <w:p w14:paraId="325B64C9" w14:textId="77777777" w:rsidR="00E44FE1" w:rsidRPr="00143FB0" w:rsidRDefault="00E44FE1" w:rsidP="00416DF1">
      <w:pPr>
        <w:spacing w:after="0"/>
        <w:jc w:val="both"/>
        <w:rPr>
          <w:rFonts w:ascii="Calibri" w:hAnsi="Calibri" w:cs="Calibri"/>
          <w:b/>
        </w:rPr>
      </w:pPr>
    </w:p>
    <w:p w14:paraId="77364F07" w14:textId="77777777" w:rsidR="00E44FE1" w:rsidRPr="00143FB0" w:rsidRDefault="00E44FE1" w:rsidP="00416DF1">
      <w:pPr>
        <w:spacing w:after="0"/>
        <w:jc w:val="both"/>
        <w:rPr>
          <w:rFonts w:ascii="Calibri" w:hAnsi="Calibri" w:cs="Calibri"/>
          <w:b/>
        </w:rPr>
      </w:pPr>
      <w:r w:rsidRPr="00143FB0">
        <w:rPr>
          <w:rFonts w:ascii="Calibri" w:hAnsi="Calibri" w:cs="Calibri"/>
          <w:b/>
        </w:rPr>
        <w:t xml:space="preserve">§ 6172 – Činnost regionální správy </w:t>
      </w:r>
    </w:p>
    <w:p w14:paraId="7982C1D7" w14:textId="77777777" w:rsidR="00E44FE1" w:rsidRPr="00143FB0" w:rsidRDefault="00E44FE1" w:rsidP="00416DF1">
      <w:pPr>
        <w:spacing w:after="0"/>
        <w:jc w:val="both"/>
        <w:rPr>
          <w:rFonts w:ascii="Calibri" w:hAnsi="Calibri" w:cs="Calibri"/>
          <w:bCs/>
        </w:rPr>
      </w:pPr>
    </w:p>
    <w:p w14:paraId="28535084" w14:textId="77777777" w:rsidR="00E44FE1" w:rsidRPr="00143FB0" w:rsidRDefault="00E44FE1" w:rsidP="00416DF1">
      <w:pPr>
        <w:spacing w:after="0"/>
        <w:jc w:val="both"/>
        <w:rPr>
          <w:rFonts w:ascii="Calibri" w:hAnsi="Calibri" w:cs="Calibri"/>
          <w:b/>
          <w:bCs/>
        </w:rPr>
      </w:pPr>
      <w:r w:rsidRPr="00143FB0">
        <w:rPr>
          <w:rFonts w:ascii="Calibri" w:hAnsi="Calibri" w:cs="Calibri"/>
          <w:b/>
          <w:bCs/>
        </w:rPr>
        <w:t>5041 – odměny za užití duševního vlastnictví</w:t>
      </w:r>
    </w:p>
    <w:p w14:paraId="1F4491BA" w14:textId="77777777" w:rsidR="00E44FE1" w:rsidRPr="00143FB0" w:rsidRDefault="00E44FE1" w:rsidP="00416DF1">
      <w:pPr>
        <w:spacing w:after="0"/>
        <w:jc w:val="both"/>
        <w:rPr>
          <w:rFonts w:ascii="Calibri" w:hAnsi="Calibri" w:cs="Calibri"/>
        </w:rPr>
      </w:pPr>
      <w:r w:rsidRPr="00143FB0">
        <w:rPr>
          <w:rFonts w:ascii="Calibri" w:hAnsi="Calibri" w:cs="Calibri"/>
        </w:rPr>
        <w:t>Rozpočet ve výši 43 000,00 Kč zahrnuje poplatky Ochrannému svazu autorskému pro práva k dílům hudebním (OSA) na základě licenční smlouvy o veřejném provozování. Byl čerpán ve výši 33 831,00 Kč, tj. 78,7 %.</w:t>
      </w:r>
    </w:p>
    <w:p w14:paraId="249741C5" w14:textId="77777777" w:rsidR="00E44FE1" w:rsidRPr="00143FB0" w:rsidRDefault="00E44FE1" w:rsidP="00416DF1">
      <w:pPr>
        <w:spacing w:after="0"/>
        <w:jc w:val="both"/>
        <w:rPr>
          <w:rFonts w:ascii="Calibri" w:hAnsi="Calibri" w:cs="Calibri"/>
          <w:highlight w:val="yellow"/>
        </w:rPr>
      </w:pPr>
    </w:p>
    <w:p w14:paraId="59C2FB0E" w14:textId="77777777" w:rsidR="00E44FE1" w:rsidRPr="00143FB0" w:rsidRDefault="00E44FE1" w:rsidP="00416DF1">
      <w:pPr>
        <w:spacing w:after="0"/>
        <w:jc w:val="both"/>
        <w:rPr>
          <w:rFonts w:ascii="Calibri" w:hAnsi="Calibri" w:cs="Calibri"/>
          <w:b/>
          <w:bCs/>
        </w:rPr>
      </w:pPr>
      <w:bookmarkStart w:id="0" w:name="_Hlk78521210"/>
      <w:r w:rsidRPr="00143FB0">
        <w:rPr>
          <w:rFonts w:ascii="Calibri" w:hAnsi="Calibri" w:cs="Calibri"/>
          <w:b/>
          <w:bCs/>
        </w:rPr>
        <w:t>5132 – ochranné pomůcky</w:t>
      </w:r>
    </w:p>
    <w:p w14:paraId="282635C8" w14:textId="00222517" w:rsidR="00E44FE1" w:rsidRPr="00143FB0" w:rsidRDefault="00E44FE1" w:rsidP="00416DF1">
      <w:pPr>
        <w:spacing w:after="0"/>
        <w:jc w:val="both"/>
        <w:rPr>
          <w:rFonts w:ascii="Calibri" w:hAnsi="Calibri" w:cs="Calibri"/>
        </w:rPr>
      </w:pPr>
      <w:r w:rsidRPr="00143FB0">
        <w:rPr>
          <w:rFonts w:ascii="Calibri" w:hAnsi="Calibri" w:cs="Calibri"/>
        </w:rPr>
        <w:t>Rozpočet ve výši 170 000,00 Kč byl čerpán na ochranné pomůcky podle pracovněprávních předpisů a v souladu s interní směrnicí (např. údržbáři, řidiči, pracovníci OŽP, DOP, MJT a KUL) – např. pracovní rukavice, gumové boty, pracovní oděv, oděv proti chladu a ochranné brýle, ve výši 63 686,01 Kč, tj. 37,5 %.</w:t>
      </w:r>
    </w:p>
    <w:bookmarkEnd w:id="0"/>
    <w:p w14:paraId="5CEA107F" w14:textId="77777777" w:rsidR="00E44FE1" w:rsidRPr="00143FB0" w:rsidRDefault="00E44FE1" w:rsidP="00416DF1">
      <w:pPr>
        <w:spacing w:after="0"/>
        <w:jc w:val="both"/>
        <w:rPr>
          <w:rFonts w:ascii="Calibri" w:hAnsi="Calibri" w:cs="Calibri"/>
          <w:highlight w:val="yellow"/>
        </w:rPr>
      </w:pPr>
    </w:p>
    <w:p w14:paraId="1A87C5FC" w14:textId="77777777" w:rsidR="00E44FE1" w:rsidRPr="00143FB0" w:rsidRDefault="00E44FE1" w:rsidP="00416DF1">
      <w:pPr>
        <w:spacing w:after="0"/>
        <w:jc w:val="both"/>
        <w:rPr>
          <w:rFonts w:ascii="Calibri" w:hAnsi="Calibri" w:cs="Calibri"/>
          <w:b/>
          <w:bCs/>
        </w:rPr>
      </w:pPr>
      <w:r w:rsidRPr="00143FB0">
        <w:rPr>
          <w:rFonts w:ascii="Calibri" w:hAnsi="Calibri" w:cs="Calibri"/>
          <w:b/>
          <w:bCs/>
        </w:rPr>
        <w:t>5133 – léky a zdravotnický materiál</w:t>
      </w:r>
    </w:p>
    <w:p w14:paraId="65C312F6" w14:textId="426C60CE" w:rsidR="00E44FE1" w:rsidRPr="00143FB0" w:rsidRDefault="00E44FE1" w:rsidP="00416DF1">
      <w:pPr>
        <w:spacing w:after="0"/>
        <w:jc w:val="both"/>
        <w:rPr>
          <w:rFonts w:ascii="Calibri" w:hAnsi="Calibri" w:cs="Calibri"/>
          <w:bCs/>
        </w:rPr>
      </w:pPr>
      <w:r w:rsidRPr="00143FB0">
        <w:rPr>
          <w:rFonts w:ascii="Calibri" w:hAnsi="Calibri" w:cs="Calibri"/>
          <w:bCs/>
        </w:rPr>
        <w:t>Schválený rozpočet byl navýšen na základě jednotlivých rozpočtových úprav v rámci běžných výdajů kapitoly projednaných s ředitelem KÚSK v celkové výši 1</w:t>
      </w:r>
      <w:r w:rsidR="00514A08">
        <w:rPr>
          <w:rFonts w:ascii="Calibri" w:hAnsi="Calibri" w:cs="Calibri"/>
          <w:bCs/>
        </w:rPr>
        <w:t> </w:t>
      </w:r>
      <w:r w:rsidRPr="00143FB0">
        <w:rPr>
          <w:rFonts w:ascii="Calibri" w:hAnsi="Calibri" w:cs="Calibri"/>
          <w:bCs/>
        </w:rPr>
        <w:t>166</w:t>
      </w:r>
      <w:r w:rsidR="00514A08">
        <w:rPr>
          <w:rFonts w:ascii="Calibri" w:hAnsi="Calibri" w:cs="Calibri"/>
          <w:bCs/>
        </w:rPr>
        <w:t xml:space="preserve"> </w:t>
      </w:r>
      <w:r w:rsidRPr="00143FB0">
        <w:rPr>
          <w:rFonts w:ascii="Calibri" w:hAnsi="Calibri" w:cs="Calibri"/>
          <w:bCs/>
        </w:rPr>
        <w:t xml:space="preserve">250,64 Kč. Z této položky byly hrazeny dezinfekční prostředky, respirátory a antigenní testy pro zaměstnance KÚSK. Tyto výdaje jsou spojené s nákazou koronavirem COVID-19. Dále tato položka zahrnuje výdaje na nákup příručních lékárniček a jejich vybavení. Finanční prostředky </w:t>
      </w:r>
      <w:r w:rsidRPr="00143FB0">
        <w:rPr>
          <w:rFonts w:ascii="Calibri" w:hAnsi="Calibri" w:cs="Calibri"/>
        </w:rPr>
        <w:t>byly č</w:t>
      </w:r>
      <w:r w:rsidRPr="00143FB0">
        <w:rPr>
          <w:rFonts w:ascii="Calibri" w:hAnsi="Calibri" w:cs="Calibri"/>
          <w:bCs/>
        </w:rPr>
        <w:t>erpány ve výši 1 153 686,12 Kč, tj. 97,7 %.</w:t>
      </w:r>
    </w:p>
    <w:p w14:paraId="07BB4CF9" w14:textId="77777777" w:rsidR="00E44FE1" w:rsidRPr="00143FB0" w:rsidRDefault="00E44FE1" w:rsidP="00416DF1">
      <w:pPr>
        <w:spacing w:after="0"/>
        <w:jc w:val="both"/>
        <w:rPr>
          <w:rFonts w:ascii="Calibri" w:hAnsi="Calibri" w:cs="Calibri"/>
          <w:bCs/>
        </w:rPr>
      </w:pPr>
    </w:p>
    <w:p w14:paraId="3784AB9F" w14:textId="77777777" w:rsidR="00E44FE1" w:rsidRPr="00143FB0" w:rsidRDefault="00E44FE1" w:rsidP="00416DF1">
      <w:pPr>
        <w:spacing w:after="0"/>
        <w:jc w:val="both"/>
        <w:rPr>
          <w:rFonts w:ascii="Calibri" w:hAnsi="Calibri" w:cs="Calibri"/>
          <w:b/>
          <w:bCs/>
        </w:rPr>
      </w:pPr>
      <w:r w:rsidRPr="00143FB0">
        <w:rPr>
          <w:rFonts w:ascii="Calibri" w:hAnsi="Calibri" w:cs="Calibri"/>
          <w:b/>
          <w:bCs/>
        </w:rPr>
        <w:t>5134 – prádlo, oděv a obuv</w:t>
      </w:r>
    </w:p>
    <w:p w14:paraId="77B8D151" w14:textId="77777777" w:rsidR="00E44FE1" w:rsidRPr="00143FB0" w:rsidRDefault="00E44FE1" w:rsidP="00416DF1">
      <w:pPr>
        <w:spacing w:after="0"/>
        <w:jc w:val="both"/>
        <w:rPr>
          <w:rFonts w:ascii="Calibri" w:hAnsi="Calibri" w:cs="Calibri"/>
        </w:rPr>
      </w:pPr>
      <w:r w:rsidRPr="00143FB0">
        <w:rPr>
          <w:rFonts w:ascii="Calibri" w:hAnsi="Calibri" w:cs="Calibri"/>
        </w:rPr>
        <w:t xml:space="preserve">Rozpočet ve výši 110 000,00 Kč zahrnuje převážně výdaje na nárokové stejnokroje pro OŽP (oddělení zemědělství a lesnictví), vesty DOP, stejnokroje informátorek atd., byl čerpán ve výši 99 242,00 Kč, tj. 90,2 %. </w:t>
      </w:r>
    </w:p>
    <w:p w14:paraId="08431979" w14:textId="77777777" w:rsidR="00E44FE1" w:rsidRPr="00143FB0" w:rsidRDefault="00E44FE1" w:rsidP="00416DF1">
      <w:pPr>
        <w:spacing w:after="0"/>
        <w:jc w:val="both"/>
        <w:rPr>
          <w:rFonts w:ascii="Calibri" w:hAnsi="Calibri" w:cs="Calibri"/>
          <w:highlight w:val="yellow"/>
        </w:rPr>
      </w:pPr>
    </w:p>
    <w:p w14:paraId="1134F2FA" w14:textId="77777777" w:rsidR="00E44FE1" w:rsidRPr="00143FB0" w:rsidRDefault="00E44FE1" w:rsidP="00416DF1">
      <w:pPr>
        <w:spacing w:after="0"/>
        <w:jc w:val="both"/>
        <w:rPr>
          <w:rFonts w:ascii="Calibri" w:hAnsi="Calibri" w:cs="Calibri"/>
          <w:b/>
          <w:bCs/>
        </w:rPr>
      </w:pPr>
      <w:r w:rsidRPr="00143FB0">
        <w:rPr>
          <w:rFonts w:ascii="Calibri" w:hAnsi="Calibri" w:cs="Calibri"/>
          <w:b/>
          <w:bCs/>
        </w:rPr>
        <w:t>5136 – knihy, učební pomůcky a tisk</w:t>
      </w:r>
    </w:p>
    <w:p w14:paraId="375A2741" w14:textId="77777777" w:rsidR="00E44FE1" w:rsidRPr="00143FB0" w:rsidRDefault="00E44FE1" w:rsidP="00416DF1">
      <w:pPr>
        <w:spacing w:after="0"/>
        <w:jc w:val="both"/>
        <w:rPr>
          <w:rFonts w:ascii="Calibri" w:hAnsi="Calibri" w:cs="Calibri"/>
        </w:rPr>
      </w:pPr>
      <w:r w:rsidRPr="00143FB0">
        <w:rPr>
          <w:rFonts w:ascii="Calibri" w:hAnsi="Calibri" w:cs="Calibri"/>
        </w:rPr>
        <w:t xml:space="preserve">Rozpočet ve výši 145 000,00 Kč zahrnuje výdaje na pořízení tisku pro Krajský úřad. Finanční prostředky byly čerpány ve výši 122 457,86, tj. 84,5 %. </w:t>
      </w:r>
    </w:p>
    <w:p w14:paraId="68D53EE2" w14:textId="77777777" w:rsidR="00E44FE1" w:rsidRPr="00143FB0" w:rsidRDefault="00E44FE1" w:rsidP="00416DF1">
      <w:pPr>
        <w:spacing w:after="0"/>
        <w:jc w:val="both"/>
        <w:rPr>
          <w:rFonts w:ascii="Calibri" w:hAnsi="Calibri" w:cs="Calibri"/>
        </w:rPr>
      </w:pPr>
    </w:p>
    <w:p w14:paraId="57DA4462" w14:textId="77777777" w:rsidR="00E44FE1" w:rsidRPr="00143FB0" w:rsidRDefault="00E44FE1" w:rsidP="00416DF1">
      <w:pPr>
        <w:spacing w:after="0"/>
        <w:jc w:val="both"/>
        <w:rPr>
          <w:rFonts w:ascii="Calibri" w:hAnsi="Calibri" w:cs="Calibri"/>
          <w:b/>
          <w:bCs/>
        </w:rPr>
      </w:pPr>
      <w:r w:rsidRPr="00143FB0">
        <w:rPr>
          <w:rFonts w:ascii="Calibri" w:hAnsi="Calibri" w:cs="Calibri"/>
          <w:b/>
          <w:bCs/>
        </w:rPr>
        <w:t>5137 – drobný dlouhodobý hmotný majetek</w:t>
      </w:r>
    </w:p>
    <w:p w14:paraId="6B7E4D19" w14:textId="77777777" w:rsidR="00E44FE1" w:rsidRPr="00143FB0" w:rsidRDefault="00E44FE1" w:rsidP="00416DF1">
      <w:pPr>
        <w:spacing w:after="0"/>
        <w:jc w:val="both"/>
        <w:rPr>
          <w:rFonts w:ascii="Calibri" w:hAnsi="Calibri" w:cs="Calibri"/>
        </w:rPr>
      </w:pPr>
      <w:r w:rsidRPr="00143FB0">
        <w:rPr>
          <w:rFonts w:ascii="Calibri" w:hAnsi="Calibri" w:cs="Calibri"/>
        </w:rPr>
        <w:t>Schválený rozpočet ve výši 2 300 000,00 Kč byl navýšen na základě jednotlivých rozpočtových úprav v rámci běžných výdajů kapitoly projednaných s ředitelem KÚSK v celkové výši 813 749,36 Kč. Finanční prostředky byly čerpány především na pořízení telekomunikační a elektronické techniky, nákup kancelářského nábytku, bílé techniky, kopírovacích strojů, drobný dlouhodobý hmotný majetek k zabezpečení provozu budovy KÚSK. Upravený rozpočet ve výši 3 113 749,36 Kč byl čerpán ve výši 2 046 963,79 Kč, tj. 65,7 %.</w:t>
      </w:r>
    </w:p>
    <w:p w14:paraId="6760AEB1" w14:textId="77777777" w:rsidR="00E44FE1" w:rsidRPr="00143FB0" w:rsidRDefault="00E44FE1" w:rsidP="00416DF1">
      <w:pPr>
        <w:spacing w:after="0"/>
        <w:jc w:val="both"/>
        <w:rPr>
          <w:rFonts w:ascii="Calibri" w:hAnsi="Calibri" w:cs="Calibri"/>
        </w:rPr>
      </w:pPr>
    </w:p>
    <w:p w14:paraId="031AAAD3" w14:textId="77777777" w:rsidR="00E44FE1" w:rsidRPr="00143FB0" w:rsidRDefault="00E44FE1" w:rsidP="00416DF1">
      <w:pPr>
        <w:spacing w:after="0"/>
        <w:jc w:val="both"/>
        <w:rPr>
          <w:rFonts w:ascii="Calibri" w:hAnsi="Calibri" w:cs="Calibri"/>
        </w:rPr>
      </w:pPr>
      <w:r w:rsidRPr="00143FB0">
        <w:rPr>
          <w:rFonts w:ascii="Calibri" w:hAnsi="Calibri" w:cs="Calibri"/>
          <w:b/>
          <w:bCs/>
        </w:rPr>
        <w:t>5139 – nákup materiálu j. n.</w:t>
      </w:r>
    </w:p>
    <w:p w14:paraId="3118110F" w14:textId="5D15A42B" w:rsidR="00E44FE1" w:rsidRPr="00143FB0" w:rsidRDefault="00E44FE1" w:rsidP="00416DF1">
      <w:pPr>
        <w:spacing w:after="0"/>
        <w:jc w:val="both"/>
        <w:rPr>
          <w:rFonts w:ascii="Calibri" w:hAnsi="Calibri" w:cs="Calibri"/>
          <w:bCs/>
        </w:rPr>
      </w:pPr>
      <w:r w:rsidRPr="00143FB0">
        <w:rPr>
          <w:rFonts w:ascii="Calibri" w:hAnsi="Calibri" w:cs="Calibri"/>
          <w:bCs/>
        </w:rPr>
        <w:t xml:space="preserve">Schválený rozpočet byl </w:t>
      </w:r>
      <w:r w:rsidRPr="00143FB0">
        <w:rPr>
          <w:rFonts w:ascii="Calibri" w:hAnsi="Calibri" w:cs="Calibri"/>
        </w:rPr>
        <w:t xml:space="preserve">navýšen o 200 650,00 Kč na základě jednotlivých rozpočtových úprav v rámci kapitoly  projednaných s ředitelem KÚSK. </w:t>
      </w:r>
      <w:r w:rsidRPr="00143FB0">
        <w:rPr>
          <w:rFonts w:ascii="Calibri" w:hAnsi="Calibri" w:cs="Calibri"/>
          <w:bCs/>
        </w:rPr>
        <w:t xml:space="preserve">Tato položka zahrnuje především výdaje na spotřební materiál – např. kancelářské potřeby včetně tonerů a cartridge, pamětní desky, hygienické a úklidové prostředky, vizitky, razítka, elektromateriál, </w:t>
      </w:r>
      <w:r w:rsidRPr="00143FB0">
        <w:rPr>
          <w:rFonts w:ascii="Calibri" w:hAnsi="Calibri" w:cs="Calibri"/>
          <w:bCs/>
        </w:rPr>
        <w:lastRenderedPageBreak/>
        <w:t xml:space="preserve">osvětlení, zámky, pneumatiky, spotřební materiál do služebních vozidel (provozní náplně) a drobný materiál na opravy a údržbu. </w:t>
      </w:r>
      <w:r w:rsidRPr="00143FB0">
        <w:rPr>
          <w:rFonts w:ascii="Calibri" w:hAnsi="Calibri" w:cs="Calibri"/>
        </w:rPr>
        <w:t>Upravený rozpočet ve výši 5 700 650,00 Kč byl če</w:t>
      </w:r>
      <w:r w:rsidRPr="00143FB0">
        <w:rPr>
          <w:rFonts w:ascii="Calibri" w:hAnsi="Calibri" w:cs="Calibri"/>
          <w:bCs/>
        </w:rPr>
        <w:t>rpán ve výši 5 389 355,06 Kč, tj. 94,5 %.</w:t>
      </w:r>
    </w:p>
    <w:p w14:paraId="03532CF8" w14:textId="77777777" w:rsidR="00E44FE1" w:rsidRPr="00143FB0" w:rsidRDefault="00E44FE1" w:rsidP="00416DF1">
      <w:pPr>
        <w:spacing w:after="0"/>
        <w:jc w:val="both"/>
        <w:rPr>
          <w:rFonts w:ascii="Calibri" w:hAnsi="Calibri" w:cs="Calibri"/>
          <w:b/>
          <w:bCs/>
        </w:rPr>
      </w:pPr>
    </w:p>
    <w:p w14:paraId="28F0D946" w14:textId="77777777" w:rsidR="00E44FE1" w:rsidRPr="00143FB0" w:rsidRDefault="00E44FE1" w:rsidP="00416DF1">
      <w:pPr>
        <w:spacing w:after="0"/>
        <w:jc w:val="both"/>
        <w:rPr>
          <w:rFonts w:ascii="Calibri" w:hAnsi="Calibri" w:cs="Calibri"/>
          <w:b/>
          <w:bCs/>
        </w:rPr>
      </w:pPr>
      <w:r w:rsidRPr="00143FB0">
        <w:rPr>
          <w:rFonts w:ascii="Calibri" w:hAnsi="Calibri" w:cs="Calibri"/>
          <w:b/>
          <w:bCs/>
        </w:rPr>
        <w:t>5142 – kurzové rozdíly ve výdajích</w:t>
      </w:r>
    </w:p>
    <w:p w14:paraId="3ACC083B" w14:textId="77777777" w:rsidR="00E44FE1" w:rsidRPr="00143FB0" w:rsidRDefault="00E44FE1" w:rsidP="00416DF1">
      <w:pPr>
        <w:spacing w:after="0"/>
        <w:jc w:val="both"/>
        <w:rPr>
          <w:rFonts w:ascii="Calibri" w:hAnsi="Calibri" w:cs="Calibri"/>
        </w:rPr>
      </w:pPr>
      <w:r w:rsidRPr="00143FB0">
        <w:rPr>
          <w:rFonts w:ascii="Calibri" w:hAnsi="Calibri" w:cs="Calibri"/>
        </w:rPr>
        <w:t xml:space="preserve">Rozpočet ve výši 35 000,00 Kč byl čerpán ve výši 4 594,73 Kč, tj. 13,1 %. </w:t>
      </w:r>
    </w:p>
    <w:p w14:paraId="406499F3" w14:textId="77777777" w:rsidR="00E44FE1" w:rsidRPr="00143FB0" w:rsidRDefault="00E44FE1" w:rsidP="00416DF1">
      <w:pPr>
        <w:spacing w:after="0"/>
        <w:jc w:val="both"/>
        <w:rPr>
          <w:rFonts w:ascii="Calibri" w:hAnsi="Calibri" w:cs="Calibri"/>
        </w:rPr>
      </w:pPr>
    </w:p>
    <w:p w14:paraId="6E72C2EF" w14:textId="77777777" w:rsidR="00E44FE1" w:rsidRPr="00143FB0" w:rsidRDefault="00E44FE1" w:rsidP="00416DF1">
      <w:pPr>
        <w:spacing w:after="0"/>
        <w:jc w:val="both"/>
        <w:rPr>
          <w:rFonts w:ascii="Calibri" w:hAnsi="Calibri" w:cs="Calibri"/>
          <w:b/>
          <w:bCs/>
        </w:rPr>
      </w:pPr>
      <w:r w:rsidRPr="00143FB0">
        <w:rPr>
          <w:rFonts w:ascii="Calibri" w:hAnsi="Calibri" w:cs="Calibri"/>
          <w:b/>
          <w:bCs/>
        </w:rPr>
        <w:t>5151 – studená voda</w:t>
      </w:r>
    </w:p>
    <w:p w14:paraId="43AD4BDA" w14:textId="77777777" w:rsidR="00E44FE1" w:rsidRPr="00143FB0" w:rsidRDefault="00E44FE1" w:rsidP="00416DF1">
      <w:pPr>
        <w:spacing w:after="0"/>
        <w:jc w:val="both"/>
        <w:rPr>
          <w:rFonts w:ascii="Calibri" w:hAnsi="Calibri" w:cs="Calibri"/>
        </w:rPr>
      </w:pPr>
      <w:r w:rsidRPr="00143FB0">
        <w:rPr>
          <w:rFonts w:ascii="Calibri" w:hAnsi="Calibri" w:cs="Calibri"/>
          <w:bCs/>
        </w:rPr>
        <w:t xml:space="preserve">Schválený rozpočet ve výši 800 000,00 Kč </w:t>
      </w:r>
      <w:r w:rsidRPr="00143FB0">
        <w:rPr>
          <w:rFonts w:ascii="Calibri" w:hAnsi="Calibri" w:cs="Calibri"/>
        </w:rPr>
        <w:t>zahrnuje výdaje na vodné a stočné včetně stočného za srážkovou vodu. Rozpočtovou úpravou v rámci běžných výdajů kapitoly projednanou s ředitelem KÚSK došlo k navýšení o 35 000,00 Kč. Čerpáno ve výši 767 158,10 Kč, tj. 91,9 %.</w:t>
      </w:r>
    </w:p>
    <w:p w14:paraId="6A43BBF1" w14:textId="77777777" w:rsidR="00E44FE1" w:rsidRPr="00143FB0" w:rsidRDefault="00E44FE1" w:rsidP="00416DF1">
      <w:pPr>
        <w:spacing w:after="0"/>
        <w:jc w:val="both"/>
        <w:rPr>
          <w:rFonts w:ascii="Calibri" w:hAnsi="Calibri" w:cs="Calibri"/>
        </w:rPr>
      </w:pPr>
    </w:p>
    <w:p w14:paraId="438DECE9" w14:textId="77777777" w:rsidR="00E44FE1" w:rsidRPr="00143FB0" w:rsidRDefault="00E44FE1" w:rsidP="00416DF1">
      <w:pPr>
        <w:spacing w:after="0"/>
        <w:jc w:val="both"/>
        <w:rPr>
          <w:rFonts w:ascii="Calibri" w:hAnsi="Calibri" w:cs="Calibri"/>
          <w:b/>
          <w:bCs/>
        </w:rPr>
      </w:pPr>
      <w:r w:rsidRPr="00143FB0">
        <w:rPr>
          <w:rFonts w:ascii="Calibri" w:hAnsi="Calibri" w:cs="Calibri"/>
          <w:b/>
          <w:bCs/>
        </w:rPr>
        <w:t>5153 – plyn</w:t>
      </w:r>
    </w:p>
    <w:p w14:paraId="36C670C0" w14:textId="77777777" w:rsidR="00E44FE1" w:rsidRPr="00143FB0" w:rsidRDefault="00E44FE1" w:rsidP="00416DF1">
      <w:pPr>
        <w:spacing w:after="0"/>
        <w:jc w:val="both"/>
        <w:rPr>
          <w:rFonts w:ascii="Calibri" w:hAnsi="Calibri" w:cs="Calibri"/>
        </w:rPr>
      </w:pPr>
      <w:r w:rsidRPr="00143FB0">
        <w:rPr>
          <w:rFonts w:ascii="Calibri" w:hAnsi="Calibri" w:cs="Calibri"/>
        </w:rPr>
        <w:t>Schválený rozpočet byl snížen o 975 000,00 Kč rozpočtovou úpravou v rámci běžných výdajů kapitoly projednanou s ředitelem KÚSK. Výše čerpání v průběhu roku je ovlivněna zálohovými platbami. Roční objem čerpání je ovlivněn změnami cen a délkou topného období. Upravený rozpočet ve výši 2 725 000,00 Kč byl čerpán ve výši 2 352 603,48 Kč, tj. 86,3 %.</w:t>
      </w:r>
    </w:p>
    <w:p w14:paraId="75E041E0" w14:textId="77777777" w:rsidR="00E44FE1" w:rsidRPr="00143FB0" w:rsidRDefault="00E44FE1" w:rsidP="00416DF1">
      <w:pPr>
        <w:spacing w:after="0"/>
        <w:jc w:val="both"/>
        <w:rPr>
          <w:rFonts w:ascii="Calibri" w:hAnsi="Calibri" w:cs="Calibri"/>
        </w:rPr>
      </w:pPr>
    </w:p>
    <w:p w14:paraId="374C1D32" w14:textId="77777777" w:rsidR="00E44FE1" w:rsidRPr="00143FB0" w:rsidRDefault="00E44FE1" w:rsidP="00416DF1">
      <w:pPr>
        <w:spacing w:after="0"/>
        <w:jc w:val="both"/>
        <w:rPr>
          <w:rFonts w:ascii="Calibri" w:hAnsi="Calibri" w:cs="Calibri"/>
          <w:b/>
          <w:bCs/>
        </w:rPr>
      </w:pPr>
      <w:r w:rsidRPr="00143FB0">
        <w:rPr>
          <w:rFonts w:ascii="Calibri" w:hAnsi="Calibri" w:cs="Calibri"/>
          <w:b/>
          <w:bCs/>
        </w:rPr>
        <w:t>5154 – elektrická energie</w:t>
      </w:r>
    </w:p>
    <w:p w14:paraId="7E08D383" w14:textId="77777777" w:rsidR="00E44FE1" w:rsidRPr="00143FB0" w:rsidRDefault="00E44FE1" w:rsidP="00416DF1">
      <w:pPr>
        <w:spacing w:after="0"/>
        <w:jc w:val="both"/>
        <w:rPr>
          <w:rFonts w:ascii="Calibri" w:hAnsi="Calibri" w:cs="Calibri"/>
        </w:rPr>
      </w:pPr>
      <w:r w:rsidRPr="00143FB0">
        <w:rPr>
          <w:rFonts w:ascii="Calibri" w:hAnsi="Calibri" w:cs="Calibri"/>
        </w:rPr>
        <w:t>Schválený rozpočet byl snížen o 975 000,00 Kč rozpočtovou úpravou v rámci běžných výdajů kapitoly projednanou s ředitelem KÚSK. Výše čerpání v průběhu roku je ovlivněna zálohovými platbami. Upravený rozpočet ve výši 3 825 000,00 čerpán ve výši 3 434 002,75 Kč, tj.  89,8 %.</w:t>
      </w:r>
    </w:p>
    <w:p w14:paraId="33A74C51" w14:textId="77777777" w:rsidR="00E44FE1" w:rsidRPr="00143FB0" w:rsidRDefault="00E44FE1" w:rsidP="00416DF1">
      <w:pPr>
        <w:spacing w:after="0"/>
        <w:jc w:val="both"/>
        <w:rPr>
          <w:rFonts w:ascii="Calibri" w:hAnsi="Calibri" w:cs="Calibri"/>
          <w:b/>
          <w:bCs/>
        </w:rPr>
      </w:pPr>
    </w:p>
    <w:p w14:paraId="34277F7E" w14:textId="77777777" w:rsidR="00E44FE1" w:rsidRPr="00143FB0" w:rsidRDefault="00E44FE1" w:rsidP="00416DF1">
      <w:pPr>
        <w:spacing w:after="0"/>
        <w:jc w:val="both"/>
        <w:rPr>
          <w:rFonts w:ascii="Calibri" w:hAnsi="Calibri" w:cs="Calibri"/>
          <w:b/>
          <w:bCs/>
        </w:rPr>
      </w:pPr>
      <w:r w:rsidRPr="00143FB0">
        <w:rPr>
          <w:rFonts w:ascii="Calibri" w:hAnsi="Calibri" w:cs="Calibri"/>
          <w:b/>
          <w:bCs/>
        </w:rPr>
        <w:t>5156 – pohonné hmoty a maziva</w:t>
      </w:r>
    </w:p>
    <w:p w14:paraId="6A52C3DC" w14:textId="5797991F" w:rsidR="00E44FE1" w:rsidRDefault="00E44FE1" w:rsidP="00416DF1">
      <w:pPr>
        <w:spacing w:after="0"/>
        <w:jc w:val="both"/>
        <w:rPr>
          <w:rFonts w:ascii="Calibri" w:hAnsi="Calibri" w:cs="Calibri"/>
        </w:rPr>
      </w:pPr>
      <w:r w:rsidRPr="00143FB0">
        <w:rPr>
          <w:rFonts w:ascii="Calibri" w:hAnsi="Calibri" w:cs="Calibri"/>
        </w:rPr>
        <w:t>Schválený rozpočet byl navýšen na základě usnesení 008-28/2021/RK ze dne 1. 7.2021 (převod finančních prostředků z kapitoly 01 – Činnost Zastupitelstva do kapitoly 25 – Bezpečnost a prevence a kapitoly 02 - Činnost krajského úřadu) o 355 000,00 Kč z důvodu přesunu agendy motorových vozidel z kapitoly 01 – Činnost Zastupitelstva do kapitoly 02 – Činnost Krajského úřadu. Dále došlo k úpravám rozpočtu na základě jednotlivých rozpočtových úprav v rámci kapitoly projednaných s ředitelem KÚSK. Upravený rozpočet ve výši 2 423 050,00 Kč byl čerpán ve výši 2 013 027,09 Kč, tj. 83,1 %.</w:t>
      </w:r>
    </w:p>
    <w:p w14:paraId="6DDA21CF" w14:textId="77777777" w:rsidR="00514A08" w:rsidRPr="00143FB0" w:rsidRDefault="00514A08" w:rsidP="00416DF1">
      <w:pPr>
        <w:spacing w:after="0"/>
        <w:jc w:val="both"/>
        <w:rPr>
          <w:rFonts w:ascii="Calibri" w:hAnsi="Calibri" w:cs="Calibri"/>
        </w:rPr>
      </w:pPr>
    </w:p>
    <w:p w14:paraId="0430CCE1" w14:textId="77777777" w:rsidR="00E44FE1" w:rsidRPr="00143FB0" w:rsidRDefault="00E44FE1" w:rsidP="00416DF1">
      <w:pPr>
        <w:spacing w:after="0"/>
        <w:jc w:val="both"/>
        <w:rPr>
          <w:rFonts w:ascii="Calibri" w:hAnsi="Calibri" w:cs="Calibri"/>
          <w:b/>
          <w:bCs/>
        </w:rPr>
      </w:pPr>
      <w:r w:rsidRPr="00143FB0">
        <w:rPr>
          <w:rFonts w:ascii="Calibri" w:hAnsi="Calibri" w:cs="Calibri"/>
          <w:b/>
          <w:bCs/>
        </w:rPr>
        <w:t>5159 – nákup ostatních paliv a energie</w:t>
      </w:r>
    </w:p>
    <w:p w14:paraId="5F30942D" w14:textId="77777777" w:rsidR="00E44FE1" w:rsidRPr="00143FB0" w:rsidRDefault="00E44FE1" w:rsidP="00416DF1">
      <w:pPr>
        <w:spacing w:after="0"/>
        <w:jc w:val="both"/>
        <w:rPr>
          <w:rFonts w:ascii="Calibri" w:hAnsi="Calibri" w:cs="Calibri"/>
        </w:rPr>
      </w:pPr>
      <w:r w:rsidRPr="00143FB0">
        <w:rPr>
          <w:rFonts w:ascii="Calibri" w:hAnsi="Calibri" w:cs="Calibri"/>
        </w:rPr>
        <w:t xml:space="preserve">Rozpočet ve výši 10 000,00 Kč zahrnuje pohonné hmoty pro diesel-agregát (náhradní zdroj el. energie). Rozpočet nebyl čerpán. </w:t>
      </w:r>
    </w:p>
    <w:p w14:paraId="65B16447" w14:textId="77777777" w:rsidR="00E44FE1" w:rsidRPr="00143FB0" w:rsidRDefault="00E44FE1" w:rsidP="00416DF1">
      <w:pPr>
        <w:spacing w:after="0"/>
        <w:jc w:val="both"/>
        <w:rPr>
          <w:rFonts w:ascii="Calibri" w:hAnsi="Calibri" w:cs="Calibri"/>
        </w:rPr>
      </w:pPr>
    </w:p>
    <w:p w14:paraId="6160E124" w14:textId="77777777" w:rsidR="00E44FE1" w:rsidRPr="00143FB0" w:rsidRDefault="00E44FE1" w:rsidP="00416DF1">
      <w:pPr>
        <w:spacing w:after="0"/>
        <w:jc w:val="both"/>
        <w:rPr>
          <w:rFonts w:ascii="Calibri" w:hAnsi="Calibri" w:cs="Calibri"/>
          <w:b/>
          <w:bCs/>
        </w:rPr>
      </w:pPr>
      <w:r w:rsidRPr="00143FB0">
        <w:rPr>
          <w:rFonts w:ascii="Calibri" w:hAnsi="Calibri" w:cs="Calibri"/>
          <w:b/>
          <w:bCs/>
        </w:rPr>
        <w:t>5161 – poštovní služby</w:t>
      </w:r>
    </w:p>
    <w:p w14:paraId="5CAA0AC0" w14:textId="77777777" w:rsidR="00E44FE1" w:rsidRPr="00143FB0" w:rsidRDefault="00E44FE1" w:rsidP="00416DF1">
      <w:pPr>
        <w:spacing w:after="0"/>
        <w:jc w:val="both"/>
        <w:rPr>
          <w:rFonts w:ascii="Calibri" w:hAnsi="Calibri" w:cs="Calibri"/>
        </w:rPr>
      </w:pPr>
      <w:r w:rsidRPr="00143FB0">
        <w:rPr>
          <w:rFonts w:ascii="Calibri" w:hAnsi="Calibri" w:cs="Calibri"/>
        </w:rPr>
        <w:t xml:space="preserve">Schválený rozpočet ve výši 2 800 000,00 Kč byl na základě jednotlivých rozpočtových úprav v rámci běžných výdajů kapitoly projednaných s ředitelem KÚSK snížen o 35 000,00 Kč. Jedná se o platby na základě Dohody o používání výplatního stroje. Finanční prostředky byly čerpány ve výši 2 499 939,00 Kč, tj. 90,4 %. </w:t>
      </w:r>
    </w:p>
    <w:p w14:paraId="026B5E71" w14:textId="77777777" w:rsidR="00E44FE1" w:rsidRPr="00143FB0" w:rsidRDefault="00E44FE1" w:rsidP="00416DF1">
      <w:pPr>
        <w:spacing w:after="0"/>
        <w:jc w:val="both"/>
        <w:rPr>
          <w:rFonts w:ascii="Calibri" w:hAnsi="Calibri" w:cs="Calibri"/>
        </w:rPr>
      </w:pPr>
    </w:p>
    <w:p w14:paraId="6C12BDBC" w14:textId="77777777" w:rsidR="00E44FE1" w:rsidRPr="00143FB0" w:rsidRDefault="00E44FE1" w:rsidP="00416DF1">
      <w:pPr>
        <w:spacing w:after="0"/>
        <w:jc w:val="both"/>
        <w:rPr>
          <w:rFonts w:ascii="Calibri" w:hAnsi="Calibri" w:cs="Calibri"/>
          <w:b/>
          <w:bCs/>
        </w:rPr>
      </w:pPr>
      <w:r w:rsidRPr="00143FB0">
        <w:rPr>
          <w:rFonts w:ascii="Calibri" w:hAnsi="Calibri" w:cs="Calibri"/>
          <w:b/>
          <w:bCs/>
        </w:rPr>
        <w:t>5162 – služby telekomunikací a radiokomunikací</w:t>
      </w:r>
    </w:p>
    <w:p w14:paraId="2605C758" w14:textId="77777777" w:rsidR="00E44FE1" w:rsidRPr="00143FB0" w:rsidRDefault="00E44FE1" w:rsidP="00416DF1">
      <w:pPr>
        <w:spacing w:after="0"/>
        <w:jc w:val="both"/>
        <w:rPr>
          <w:rFonts w:ascii="Calibri" w:hAnsi="Calibri" w:cs="Calibri"/>
        </w:rPr>
      </w:pPr>
      <w:r w:rsidRPr="00143FB0">
        <w:rPr>
          <w:rFonts w:ascii="Calibri" w:hAnsi="Calibri" w:cs="Calibri"/>
        </w:rPr>
        <w:t>Schválený rozpočet ve výši 2 100 000,00 Kč zahrnuje především výdaje na mobilní a pevné linky včetně internetu. Rozpočet byl navýšen na základě usnesení 008-28/2021/RK ze dne 1. 7.2021 (převod finančních prostředků z kapitoly 01 – Činnost Zastupitelstva do kapitoly 25 – Bezpečnost a prevence a kapitoly 02 - Činnost krajského úřadu) o 25 000,00 Kč z důvodu přesunu telekomunikační agendy z kapitoly 01 – Činnost Zastupitelstva do kapitoly 02 – Činnost Krajského úřadu. Čerpáno ve výši 1 842 540,23, tj. 86,7 %.</w:t>
      </w:r>
    </w:p>
    <w:p w14:paraId="46BD30B1" w14:textId="77777777" w:rsidR="00E44FE1" w:rsidRPr="00143FB0" w:rsidRDefault="00E44FE1" w:rsidP="00416DF1">
      <w:pPr>
        <w:spacing w:after="0"/>
        <w:jc w:val="both"/>
        <w:rPr>
          <w:rFonts w:ascii="Calibri" w:hAnsi="Calibri" w:cs="Calibri"/>
        </w:rPr>
      </w:pPr>
    </w:p>
    <w:p w14:paraId="6301D934" w14:textId="77777777" w:rsidR="00E44FE1" w:rsidRPr="00143FB0" w:rsidRDefault="00E44FE1" w:rsidP="00416DF1">
      <w:pPr>
        <w:spacing w:after="0"/>
        <w:jc w:val="both"/>
        <w:rPr>
          <w:rFonts w:ascii="Calibri" w:hAnsi="Calibri" w:cs="Calibri"/>
          <w:b/>
          <w:bCs/>
        </w:rPr>
      </w:pPr>
      <w:r w:rsidRPr="00143FB0">
        <w:rPr>
          <w:rFonts w:ascii="Calibri" w:hAnsi="Calibri" w:cs="Calibri"/>
          <w:b/>
          <w:bCs/>
        </w:rPr>
        <w:t>5163 – služby peněžních ústavů</w:t>
      </w:r>
    </w:p>
    <w:p w14:paraId="58F6971A" w14:textId="77777777" w:rsidR="00E44FE1" w:rsidRPr="00143FB0" w:rsidRDefault="00E44FE1" w:rsidP="00416DF1">
      <w:pPr>
        <w:spacing w:after="0"/>
        <w:jc w:val="both"/>
        <w:rPr>
          <w:rFonts w:ascii="Calibri" w:hAnsi="Calibri" w:cs="Calibri"/>
        </w:rPr>
      </w:pPr>
      <w:r w:rsidRPr="00143FB0">
        <w:rPr>
          <w:rFonts w:ascii="Calibri" w:hAnsi="Calibri" w:cs="Calibri"/>
        </w:rPr>
        <w:lastRenderedPageBreak/>
        <w:t>Schválený rozpočet ve výši 1 100 000,00 Kč zahrnuje výdaje na komerční pojištění (vozidla, movitý a nemovitý majetek za kapitolu 02 – Činnost Krajského úřadu). Na základě jednotlivých rozpočtových úprav v rámci běžných výdajů kapitoly projednaných s ředitelem KÚSK došlo k navýšení o 350 000,00 Kč. Čerpáno ve výši 1 441 799,00 Kč, tj. 99,4 %.</w:t>
      </w:r>
    </w:p>
    <w:p w14:paraId="070F99EA" w14:textId="77777777" w:rsidR="00E44FE1" w:rsidRPr="00143FB0" w:rsidRDefault="00E44FE1" w:rsidP="00416DF1">
      <w:pPr>
        <w:spacing w:after="0"/>
        <w:jc w:val="both"/>
        <w:rPr>
          <w:rFonts w:ascii="Calibri" w:hAnsi="Calibri" w:cs="Calibri"/>
        </w:rPr>
      </w:pPr>
    </w:p>
    <w:p w14:paraId="7C9054D6" w14:textId="77777777" w:rsidR="00E44FE1" w:rsidRPr="00143FB0" w:rsidRDefault="00E44FE1" w:rsidP="00416DF1">
      <w:pPr>
        <w:spacing w:after="0"/>
        <w:jc w:val="both"/>
        <w:rPr>
          <w:rFonts w:ascii="Calibri" w:hAnsi="Calibri" w:cs="Calibri"/>
          <w:b/>
          <w:bCs/>
        </w:rPr>
      </w:pPr>
      <w:bookmarkStart w:id="1" w:name="_Hlk97636759"/>
      <w:r w:rsidRPr="00143FB0">
        <w:rPr>
          <w:rFonts w:ascii="Calibri" w:hAnsi="Calibri" w:cs="Calibri"/>
          <w:b/>
          <w:bCs/>
        </w:rPr>
        <w:t>5164 – nájemné</w:t>
      </w:r>
    </w:p>
    <w:p w14:paraId="481383BD" w14:textId="124AF3D8" w:rsidR="00E44FE1" w:rsidRPr="00143FB0" w:rsidRDefault="00E44FE1" w:rsidP="00416DF1">
      <w:pPr>
        <w:spacing w:after="0"/>
        <w:jc w:val="both"/>
        <w:rPr>
          <w:rFonts w:ascii="Calibri" w:hAnsi="Calibri" w:cs="Calibri"/>
        </w:rPr>
      </w:pPr>
      <w:r w:rsidRPr="00143FB0">
        <w:rPr>
          <w:rFonts w:ascii="Calibri" w:hAnsi="Calibri" w:cs="Calibri"/>
        </w:rPr>
        <w:t xml:space="preserve">Schválený rozpočet ve výši 3 700 000,00 Kč byl navýšen na základě usnesení č. 008-28/2021 (převod finančních prostředků z kapitoly 01 – Činnost Zastupitelstva do kapitoly 25 – Bezpečnost a prevence a kapitoly 02 - Činnost krajského úřadu) o </w:t>
      </w:r>
      <w:r w:rsidRPr="000D7BC2">
        <w:rPr>
          <w:rFonts w:ascii="Calibri" w:hAnsi="Calibri" w:cs="Calibri"/>
        </w:rPr>
        <w:t>1</w:t>
      </w:r>
      <w:r w:rsidR="00263A39" w:rsidRPr="000D7BC2">
        <w:rPr>
          <w:rFonts w:ascii="Calibri" w:hAnsi="Calibri" w:cs="Calibri"/>
        </w:rPr>
        <w:t xml:space="preserve"> 0</w:t>
      </w:r>
      <w:r w:rsidRPr="000D7BC2">
        <w:rPr>
          <w:rFonts w:ascii="Calibri" w:hAnsi="Calibri" w:cs="Calibri"/>
        </w:rPr>
        <w:t xml:space="preserve">84 196,00 Kč z důvodu přesunu agendy motorových vozidel z kapitoly 01 – Činnost Zastupitelstva do kapitoly 02 – Činnost Krajského úřadu. </w:t>
      </w:r>
      <w:r w:rsidR="000D7BC2" w:rsidRPr="000D7BC2">
        <w:t xml:space="preserve">Dále došlo ke snížení rozpočtu na základě rozpočtové úpravy v rámci kapitoly projednané s ředitelem KÚSK v celkové výši 900 000,00 Kč. </w:t>
      </w:r>
      <w:r w:rsidRPr="000D7BC2">
        <w:rPr>
          <w:rFonts w:ascii="Calibri" w:hAnsi="Calibri" w:cs="Calibri"/>
        </w:rPr>
        <w:t>Finanční</w:t>
      </w:r>
      <w:r w:rsidRPr="00143FB0">
        <w:rPr>
          <w:rFonts w:ascii="Calibri" w:hAnsi="Calibri" w:cs="Calibri"/>
        </w:rPr>
        <w:t xml:space="preserve"> prostředky zahrnují výdaje na nájemné za pronájem motorových vozidel (operativní leasing), </w:t>
      </w:r>
      <w:r>
        <w:rPr>
          <w:rFonts w:ascii="Calibri" w:hAnsi="Calibri" w:cs="Calibri"/>
        </w:rPr>
        <w:t xml:space="preserve">pronájem </w:t>
      </w:r>
      <w:r w:rsidRPr="00143FB0">
        <w:rPr>
          <w:rFonts w:ascii="Calibri" w:hAnsi="Calibri" w:cs="Calibri"/>
        </w:rPr>
        <w:t xml:space="preserve">parkovacích stání, </w:t>
      </w:r>
      <w:r>
        <w:rPr>
          <w:rFonts w:ascii="Calibri" w:hAnsi="Calibri" w:cs="Calibri"/>
        </w:rPr>
        <w:t>pronájem komunikace za účelem parkování,</w:t>
      </w:r>
      <w:r w:rsidRPr="00143FB0">
        <w:rPr>
          <w:rFonts w:ascii="Calibri" w:hAnsi="Calibri" w:cs="Calibri"/>
        </w:rPr>
        <w:t xml:space="preserve"> přednáškových sálů, jednacích místností, přednáškových sálů atd. Čerpáno ve výši 3 277 245,04 Kč, tj. 84,4 %.</w:t>
      </w:r>
      <w:r w:rsidR="00263A39">
        <w:rPr>
          <w:rFonts w:ascii="Calibri" w:hAnsi="Calibri" w:cs="Calibri"/>
        </w:rPr>
        <w:t xml:space="preserve">  </w:t>
      </w:r>
    </w:p>
    <w:bookmarkEnd w:id="1"/>
    <w:p w14:paraId="2FB1B603" w14:textId="77777777" w:rsidR="00E44FE1" w:rsidRPr="00143FB0" w:rsidRDefault="00E44FE1" w:rsidP="00416DF1">
      <w:pPr>
        <w:spacing w:after="0"/>
        <w:jc w:val="both"/>
        <w:rPr>
          <w:rFonts w:ascii="Calibri" w:hAnsi="Calibri" w:cs="Calibri"/>
        </w:rPr>
      </w:pPr>
    </w:p>
    <w:p w14:paraId="4FA06E73" w14:textId="77777777" w:rsidR="00E44FE1" w:rsidRPr="00143FB0" w:rsidRDefault="00E44FE1" w:rsidP="00416DF1">
      <w:pPr>
        <w:spacing w:after="0"/>
        <w:jc w:val="both"/>
        <w:rPr>
          <w:rFonts w:ascii="Calibri" w:hAnsi="Calibri" w:cs="Calibri"/>
          <w:b/>
          <w:bCs/>
        </w:rPr>
      </w:pPr>
      <w:r w:rsidRPr="00143FB0">
        <w:rPr>
          <w:rFonts w:ascii="Calibri" w:hAnsi="Calibri" w:cs="Calibri"/>
          <w:b/>
          <w:bCs/>
        </w:rPr>
        <w:t>5166 – konzultační, poradenské a právní služby</w:t>
      </w:r>
    </w:p>
    <w:p w14:paraId="58BA180E" w14:textId="77777777" w:rsidR="00E44FE1" w:rsidRPr="00143FB0" w:rsidRDefault="00E44FE1" w:rsidP="00416DF1">
      <w:pPr>
        <w:spacing w:after="0"/>
        <w:jc w:val="both"/>
        <w:rPr>
          <w:rFonts w:ascii="Calibri" w:hAnsi="Calibri" w:cs="Calibri"/>
        </w:rPr>
      </w:pPr>
      <w:r w:rsidRPr="00143FB0">
        <w:rPr>
          <w:rFonts w:ascii="Calibri" w:hAnsi="Calibri" w:cs="Calibri"/>
        </w:rPr>
        <w:t>Rozpočet ve výši 150 000,00 Kč zahrnuje výdaje na služby daňového poradenství. Čerpáno ve výši 71 238,75 Kč, tj. 47,5 %.</w:t>
      </w:r>
    </w:p>
    <w:p w14:paraId="7639A899" w14:textId="77777777" w:rsidR="00E44FE1" w:rsidRPr="00143FB0" w:rsidRDefault="00E44FE1" w:rsidP="00416DF1">
      <w:pPr>
        <w:spacing w:after="0"/>
        <w:jc w:val="both"/>
        <w:rPr>
          <w:rFonts w:ascii="Calibri" w:hAnsi="Calibri" w:cs="Calibri"/>
        </w:rPr>
      </w:pPr>
    </w:p>
    <w:p w14:paraId="1D05FBC8" w14:textId="77777777" w:rsidR="00E44FE1" w:rsidRPr="00143FB0" w:rsidRDefault="00E44FE1" w:rsidP="00416DF1">
      <w:pPr>
        <w:spacing w:after="0"/>
        <w:jc w:val="both"/>
        <w:rPr>
          <w:rFonts w:ascii="Calibri" w:hAnsi="Calibri" w:cs="Calibri"/>
          <w:b/>
          <w:bCs/>
        </w:rPr>
      </w:pPr>
      <w:r w:rsidRPr="00143FB0">
        <w:rPr>
          <w:rFonts w:ascii="Calibri" w:hAnsi="Calibri" w:cs="Calibri"/>
          <w:b/>
          <w:bCs/>
        </w:rPr>
        <w:t>5167 – služby školení a vzdělávání</w:t>
      </w:r>
    </w:p>
    <w:p w14:paraId="0998E76D" w14:textId="77777777" w:rsidR="00E44FE1" w:rsidRPr="00143FB0" w:rsidRDefault="00E44FE1" w:rsidP="00416DF1">
      <w:pPr>
        <w:spacing w:after="0"/>
        <w:jc w:val="both"/>
        <w:rPr>
          <w:rFonts w:ascii="Calibri" w:hAnsi="Calibri" w:cs="Calibri"/>
          <w:b/>
          <w:bCs/>
        </w:rPr>
      </w:pPr>
      <w:r w:rsidRPr="00143FB0">
        <w:rPr>
          <w:rFonts w:ascii="Calibri" w:hAnsi="Calibri" w:cs="Calibri"/>
        </w:rPr>
        <w:t>Schválený rozpočet byl navýšen rozpočtovou úpravou v rámci běžných výdajů kapitoly projednanou s ředitelem KÚSK ve výši 30 000,00 Kč. Tato položka zabezpečuje vstupní a periodické vzdělávání zaměstnanců a poskytování služeb v oblasti BOZP a PO. Čerpáno ve výši 34 025,20 Kč, tj. na 68,1 %.</w:t>
      </w:r>
    </w:p>
    <w:p w14:paraId="49F2E3D0" w14:textId="77777777" w:rsidR="00E44FE1" w:rsidRPr="00143FB0" w:rsidRDefault="00E44FE1" w:rsidP="00416DF1">
      <w:pPr>
        <w:spacing w:after="0"/>
        <w:jc w:val="both"/>
        <w:rPr>
          <w:rFonts w:ascii="Calibri" w:hAnsi="Calibri" w:cs="Calibri"/>
        </w:rPr>
      </w:pPr>
    </w:p>
    <w:p w14:paraId="061A8AA4" w14:textId="77777777" w:rsidR="00E44FE1" w:rsidRPr="00143FB0" w:rsidRDefault="00E44FE1" w:rsidP="00416DF1">
      <w:pPr>
        <w:spacing w:after="0"/>
        <w:jc w:val="both"/>
        <w:rPr>
          <w:rFonts w:ascii="Calibri" w:hAnsi="Calibri" w:cs="Calibri"/>
          <w:b/>
          <w:bCs/>
        </w:rPr>
      </w:pPr>
      <w:r w:rsidRPr="00143FB0">
        <w:rPr>
          <w:rFonts w:ascii="Calibri" w:hAnsi="Calibri" w:cs="Calibri"/>
          <w:b/>
          <w:bCs/>
        </w:rPr>
        <w:t>5168 – zpracování dat a služby související s informačními a komunikačními technologiemi</w:t>
      </w:r>
    </w:p>
    <w:p w14:paraId="43457485" w14:textId="77777777" w:rsidR="00E44FE1" w:rsidRPr="00143FB0" w:rsidRDefault="00E44FE1" w:rsidP="00416DF1">
      <w:pPr>
        <w:spacing w:after="0"/>
        <w:jc w:val="both"/>
        <w:rPr>
          <w:rFonts w:ascii="Calibri" w:hAnsi="Calibri" w:cs="Calibri"/>
        </w:rPr>
      </w:pPr>
      <w:r w:rsidRPr="00143FB0">
        <w:rPr>
          <w:rFonts w:ascii="Calibri" w:hAnsi="Calibri" w:cs="Calibri"/>
        </w:rPr>
        <w:t>Položka je určena k úhradě služeb za zpracování účetních závěrek školství. Rozpočtovaná částka vychází z uzavřené smlouvy. Dále se z této položky hradí smlouva o poskytování kvalifikovaných časových razítek. Schválený rozpočet ve výši 1 750 000,00 byl čerpán ve výši 1 691 660,00 Kč, tj.  96,7 %.</w:t>
      </w:r>
    </w:p>
    <w:p w14:paraId="5A93DBF8" w14:textId="77777777" w:rsidR="00E44FE1" w:rsidRPr="00143FB0" w:rsidRDefault="00E44FE1" w:rsidP="00416DF1">
      <w:pPr>
        <w:spacing w:after="0"/>
        <w:jc w:val="both"/>
        <w:rPr>
          <w:rFonts w:ascii="Calibri" w:hAnsi="Calibri" w:cs="Calibri"/>
        </w:rPr>
      </w:pPr>
    </w:p>
    <w:p w14:paraId="756AA822" w14:textId="77777777" w:rsidR="00E44FE1" w:rsidRPr="00143FB0" w:rsidRDefault="00E44FE1" w:rsidP="00416DF1">
      <w:pPr>
        <w:spacing w:after="0"/>
        <w:jc w:val="both"/>
        <w:rPr>
          <w:rFonts w:ascii="Calibri" w:hAnsi="Calibri" w:cs="Calibri"/>
          <w:b/>
          <w:bCs/>
        </w:rPr>
      </w:pPr>
      <w:r w:rsidRPr="00143FB0">
        <w:rPr>
          <w:rFonts w:ascii="Calibri" w:hAnsi="Calibri" w:cs="Calibri"/>
          <w:b/>
          <w:bCs/>
        </w:rPr>
        <w:t>5169 – nákup ostatních služeb</w:t>
      </w:r>
    </w:p>
    <w:p w14:paraId="17C127E6" w14:textId="77777777" w:rsidR="00E44FE1" w:rsidRPr="00143FB0" w:rsidRDefault="00E44FE1" w:rsidP="00416DF1">
      <w:pPr>
        <w:spacing w:after="0"/>
        <w:jc w:val="both"/>
        <w:rPr>
          <w:rFonts w:ascii="Calibri" w:hAnsi="Calibri" w:cs="Calibri"/>
          <w:bCs/>
        </w:rPr>
      </w:pPr>
      <w:r w:rsidRPr="00143FB0">
        <w:rPr>
          <w:rFonts w:ascii="Calibri" w:hAnsi="Calibri" w:cs="Calibri"/>
          <w:bCs/>
        </w:rPr>
        <w:t>Schválený rozpočet byl rozpočtovou úpravou č. 316/02/2021 v rámci kapitoly 02 – Činnost Krajského úřadu projednanou s ředitelem KÚSK navýšen o částku 296 732,00 Kč. Z této položky jsou hrazeny např. úklidové služby, likvidace odpadu, revize, rozhlas a TV poplatky, stravenky, obsluha docházkového systému, stěhování a vyklízení atd. Dále bylo z této položky hrazeno zajištění provedení odběru a vyhodnocení antigenních testů na COVID-19 pro zaměstnance KÚSK. Čerpáno ve výši 11 975 572,11 Kč, tj. 84,1 %.</w:t>
      </w:r>
    </w:p>
    <w:p w14:paraId="68246CA8" w14:textId="77777777" w:rsidR="00E44FE1" w:rsidRPr="00143FB0" w:rsidRDefault="00E44FE1" w:rsidP="00416DF1">
      <w:pPr>
        <w:spacing w:after="0"/>
        <w:jc w:val="both"/>
        <w:rPr>
          <w:rFonts w:ascii="Calibri" w:hAnsi="Calibri" w:cs="Calibri"/>
          <w:b/>
          <w:bCs/>
        </w:rPr>
      </w:pPr>
    </w:p>
    <w:p w14:paraId="58695B85" w14:textId="77777777" w:rsidR="00E44FE1" w:rsidRPr="00143FB0" w:rsidRDefault="00E44FE1" w:rsidP="00416DF1">
      <w:pPr>
        <w:spacing w:after="0"/>
        <w:jc w:val="both"/>
        <w:rPr>
          <w:rFonts w:ascii="Calibri" w:hAnsi="Calibri" w:cs="Calibri"/>
          <w:b/>
          <w:bCs/>
        </w:rPr>
      </w:pPr>
      <w:r w:rsidRPr="00143FB0">
        <w:rPr>
          <w:rFonts w:ascii="Calibri" w:hAnsi="Calibri" w:cs="Calibri"/>
          <w:b/>
          <w:bCs/>
        </w:rPr>
        <w:t>5171 – opravy a udržování</w:t>
      </w:r>
    </w:p>
    <w:p w14:paraId="5CE8EC22" w14:textId="77777777" w:rsidR="00E44FE1" w:rsidRPr="00143FB0" w:rsidRDefault="00E44FE1" w:rsidP="00416DF1">
      <w:pPr>
        <w:spacing w:after="0"/>
        <w:jc w:val="both"/>
        <w:rPr>
          <w:rFonts w:ascii="Calibri" w:hAnsi="Calibri" w:cs="Calibri"/>
          <w:bCs/>
        </w:rPr>
      </w:pPr>
      <w:r w:rsidRPr="00143FB0">
        <w:rPr>
          <w:rFonts w:ascii="Calibri" w:hAnsi="Calibri" w:cs="Calibri"/>
          <w:bCs/>
        </w:rPr>
        <w:t>Schválený rozpočet byl navýše</w:t>
      </w:r>
      <w:r w:rsidRPr="00143FB0">
        <w:rPr>
          <w:rFonts w:ascii="Calibri" w:hAnsi="Calibri" w:cs="Calibri"/>
        </w:rPr>
        <w:t>n na základě usnesení č. 008-28/2021 (převod finančních prostředků z kapitoly 01 – Činnost Zastupitelstva do kapitoly 25 – Bezpečnost a prevence a kapitoly 02 - Činnost krajského úřadu) o 122 000,00 Kč z důvodu přesunu agendy vozového parku z kapitoly 01 – Činnost Zastupitelstva do kapitoly 02 – Činnost Krajského úřadu. Dále d</w:t>
      </w:r>
      <w:r w:rsidRPr="00143FB0">
        <w:rPr>
          <w:rFonts w:ascii="Calibri" w:hAnsi="Calibri" w:cs="Calibri"/>
          <w:bCs/>
        </w:rPr>
        <w:t xml:space="preserve">ošlo </w:t>
      </w:r>
      <w:r w:rsidRPr="00143FB0">
        <w:rPr>
          <w:rFonts w:ascii="Calibri" w:hAnsi="Calibri" w:cs="Calibri"/>
        </w:rPr>
        <w:t xml:space="preserve">k navýšení v celkové výši 600 000,00 Kč na základě jednotlivých rozpočtových úprav v rámci kapitoly projednaných s ředitelem KÚSK. </w:t>
      </w:r>
      <w:r w:rsidRPr="00143FB0">
        <w:rPr>
          <w:rFonts w:ascii="Calibri" w:hAnsi="Calibri" w:cs="Calibri"/>
          <w:bCs/>
        </w:rPr>
        <w:t>Z této položky jsou dodavatelským způsobem zajišťovány opravy a údržba budovy, vozového parku, kopírovacích strojů, servis otopného systému, malířské práce, výměny podlahových krytin atd. Výdaje na opravy a údržbu majetku byly čerpány ve výši 4 540 843,83 Kč, tj. 69,6 %.</w:t>
      </w:r>
    </w:p>
    <w:p w14:paraId="6EB7C6FD" w14:textId="77777777" w:rsidR="00E44FE1" w:rsidRPr="00143FB0" w:rsidRDefault="00E44FE1" w:rsidP="00416DF1">
      <w:pPr>
        <w:spacing w:after="0"/>
        <w:jc w:val="both"/>
        <w:rPr>
          <w:rFonts w:ascii="Calibri" w:hAnsi="Calibri" w:cs="Calibri"/>
          <w:b/>
          <w:bCs/>
        </w:rPr>
      </w:pPr>
    </w:p>
    <w:p w14:paraId="1B59D4AB" w14:textId="77777777" w:rsidR="00E44FE1" w:rsidRPr="00143FB0" w:rsidRDefault="00E44FE1" w:rsidP="00416DF1">
      <w:pPr>
        <w:spacing w:after="0"/>
        <w:jc w:val="both"/>
        <w:rPr>
          <w:rFonts w:ascii="Calibri" w:hAnsi="Calibri" w:cs="Calibri"/>
          <w:b/>
          <w:bCs/>
        </w:rPr>
      </w:pPr>
      <w:r w:rsidRPr="00143FB0">
        <w:rPr>
          <w:rFonts w:ascii="Calibri" w:hAnsi="Calibri" w:cs="Calibri"/>
          <w:b/>
          <w:bCs/>
        </w:rPr>
        <w:t>5173 – cestovné</w:t>
      </w:r>
    </w:p>
    <w:p w14:paraId="6040683B" w14:textId="77777777" w:rsidR="00E44FE1" w:rsidRPr="00143FB0" w:rsidRDefault="00E44FE1" w:rsidP="00416DF1">
      <w:pPr>
        <w:spacing w:after="0"/>
        <w:jc w:val="both"/>
        <w:rPr>
          <w:rFonts w:ascii="Calibri" w:hAnsi="Calibri" w:cs="Calibri"/>
          <w:bCs/>
        </w:rPr>
      </w:pPr>
      <w:r w:rsidRPr="00143FB0">
        <w:rPr>
          <w:rFonts w:ascii="Calibri" w:hAnsi="Calibri" w:cs="Calibri"/>
          <w:bCs/>
        </w:rPr>
        <w:t>Schválený rozpočet byl navýšen o 189 361,70 na základě jednotlivých rozpočtových úprav v rámci běžných výdajů kapitoly projednaných v ředitelem KÚSK. Položka zahrnuje náklady tuzemských služebních cest v rozsahu celého KÚSK. Čerpáno ve výši 1 352 868,00 Kč, tj. 90,8 %.</w:t>
      </w:r>
    </w:p>
    <w:p w14:paraId="21EB7D8C" w14:textId="77777777" w:rsidR="00E44FE1" w:rsidRPr="00143FB0" w:rsidRDefault="00E44FE1" w:rsidP="00416DF1">
      <w:pPr>
        <w:spacing w:after="0"/>
        <w:jc w:val="both"/>
        <w:rPr>
          <w:rFonts w:ascii="Calibri" w:hAnsi="Calibri" w:cs="Calibri"/>
          <w:b/>
          <w:bCs/>
        </w:rPr>
      </w:pPr>
    </w:p>
    <w:p w14:paraId="623C1CBA" w14:textId="77777777" w:rsidR="00E44FE1" w:rsidRPr="00143FB0" w:rsidRDefault="00E44FE1" w:rsidP="00416DF1">
      <w:pPr>
        <w:spacing w:after="0"/>
        <w:jc w:val="both"/>
        <w:rPr>
          <w:rFonts w:ascii="Calibri" w:hAnsi="Calibri" w:cs="Calibri"/>
          <w:b/>
          <w:bCs/>
        </w:rPr>
      </w:pPr>
      <w:r w:rsidRPr="00143FB0">
        <w:rPr>
          <w:rFonts w:ascii="Calibri" w:hAnsi="Calibri" w:cs="Calibri"/>
          <w:b/>
          <w:bCs/>
        </w:rPr>
        <w:lastRenderedPageBreak/>
        <w:t>5175 – pohoštění</w:t>
      </w:r>
    </w:p>
    <w:p w14:paraId="3727069A" w14:textId="77777777" w:rsidR="00E44FE1" w:rsidRPr="00143FB0" w:rsidRDefault="00E44FE1" w:rsidP="00416DF1">
      <w:pPr>
        <w:spacing w:after="0"/>
        <w:jc w:val="both"/>
        <w:rPr>
          <w:rFonts w:ascii="Calibri" w:hAnsi="Calibri" w:cs="Calibri"/>
        </w:rPr>
      </w:pPr>
      <w:r w:rsidRPr="00143FB0">
        <w:rPr>
          <w:rFonts w:ascii="Calibri" w:hAnsi="Calibri" w:cs="Calibri"/>
        </w:rPr>
        <w:t>Rozpočet ve výši 710 000,00 Kč zahrnuje prostředky na činnost sekretariátu ředitele a pohoštění formou limitů jednotlivým odborům. Čerpáno ve výši 433 682,99, tj. 61,1 %.</w:t>
      </w:r>
    </w:p>
    <w:p w14:paraId="6F352586" w14:textId="77777777" w:rsidR="00E44FE1" w:rsidRPr="00143FB0" w:rsidRDefault="00E44FE1" w:rsidP="00416DF1">
      <w:pPr>
        <w:spacing w:after="0"/>
        <w:jc w:val="both"/>
        <w:rPr>
          <w:rFonts w:ascii="Calibri" w:hAnsi="Calibri" w:cs="Calibri"/>
        </w:rPr>
      </w:pPr>
    </w:p>
    <w:p w14:paraId="64ED6EE1" w14:textId="77777777" w:rsidR="00E44FE1" w:rsidRPr="00143FB0" w:rsidRDefault="00E44FE1" w:rsidP="00416DF1">
      <w:pPr>
        <w:spacing w:after="0"/>
        <w:jc w:val="both"/>
        <w:rPr>
          <w:rFonts w:ascii="Calibri" w:hAnsi="Calibri" w:cs="Calibri"/>
          <w:b/>
          <w:bCs/>
        </w:rPr>
      </w:pPr>
      <w:r w:rsidRPr="00143FB0">
        <w:rPr>
          <w:rFonts w:ascii="Calibri" w:hAnsi="Calibri" w:cs="Calibri"/>
          <w:b/>
          <w:bCs/>
        </w:rPr>
        <w:t>5176 – účastnické poplatky a konference</w:t>
      </w:r>
    </w:p>
    <w:p w14:paraId="03C3887B" w14:textId="77777777" w:rsidR="00E44FE1" w:rsidRPr="00143FB0" w:rsidRDefault="00E44FE1" w:rsidP="00416DF1">
      <w:pPr>
        <w:spacing w:after="0"/>
        <w:jc w:val="both"/>
        <w:rPr>
          <w:rFonts w:ascii="Calibri" w:hAnsi="Calibri" w:cs="Calibri"/>
        </w:rPr>
      </w:pPr>
      <w:r w:rsidRPr="00143FB0">
        <w:rPr>
          <w:rFonts w:ascii="Calibri" w:hAnsi="Calibri" w:cs="Calibri"/>
        </w:rPr>
        <w:t>Rozpočet ve výši 10 000,00 Kč nebyl v roce 2021 čerpán.</w:t>
      </w:r>
    </w:p>
    <w:p w14:paraId="7F5788E2" w14:textId="77777777" w:rsidR="00E44FE1" w:rsidRPr="00143FB0" w:rsidRDefault="00E44FE1" w:rsidP="00416DF1">
      <w:pPr>
        <w:spacing w:after="0"/>
        <w:jc w:val="both"/>
        <w:rPr>
          <w:rFonts w:ascii="Calibri" w:hAnsi="Calibri" w:cs="Calibri"/>
        </w:rPr>
      </w:pPr>
    </w:p>
    <w:p w14:paraId="5C2B3AC3" w14:textId="77777777" w:rsidR="00E44FE1" w:rsidRPr="00143FB0" w:rsidRDefault="00E44FE1" w:rsidP="00416DF1">
      <w:pPr>
        <w:spacing w:after="0"/>
        <w:jc w:val="both"/>
        <w:rPr>
          <w:rFonts w:ascii="Calibri" w:hAnsi="Calibri" w:cs="Calibri"/>
          <w:b/>
          <w:bCs/>
        </w:rPr>
      </w:pPr>
      <w:r w:rsidRPr="00143FB0">
        <w:rPr>
          <w:rFonts w:ascii="Calibri" w:hAnsi="Calibri" w:cs="Calibri"/>
          <w:b/>
          <w:bCs/>
        </w:rPr>
        <w:t>5179 – ostatní nákupy jinde nezařazené</w:t>
      </w:r>
    </w:p>
    <w:p w14:paraId="017A4401" w14:textId="77777777" w:rsidR="00E44FE1" w:rsidRPr="00143FB0" w:rsidRDefault="00E44FE1" w:rsidP="00416DF1">
      <w:pPr>
        <w:spacing w:after="0"/>
        <w:jc w:val="both"/>
        <w:rPr>
          <w:rFonts w:ascii="Calibri" w:hAnsi="Calibri" w:cs="Calibri"/>
        </w:rPr>
      </w:pPr>
      <w:r w:rsidRPr="00143FB0">
        <w:rPr>
          <w:rFonts w:ascii="Calibri" w:hAnsi="Calibri" w:cs="Calibri"/>
        </w:rPr>
        <w:t>Z této položky jsou hrazeny členské příspěvky v Českém institutu interních auditorů a jsou zajišťovány zahraniční dálniční známky a zahraniční víza. Finanční prostředky byly čerpány ve výši 12 420,00 Kč, tj. 46,0 %.</w:t>
      </w:r>
    </w:p>
    <w:p w14:paraId="4A8F82D3" w14:textId="77777777" w:rsidR="00E44FE1" w:rsidRPr="00143FB0" w:rsidRDefault="00E44FE1" w:rsidP="00416DF1">
      <w:pPr>
        <w:spacing w:after="0"/>
        <w:jc w:val="both"/>
        <w:rPr>
          <w:rFonts w:ascii="Calibri" w:hAnsi="Calibri" w:cs="Calibri"/>
        </w:rPr>
      </w:pPr>
    </w:p>
    <w:p w14:paraId="7E9AB5C9" w14:textId="77777777" w:rsidR="00E44FE1" w:rsidRPr="00143FB0" w:rsidRDefault="00E44FE1" w:rsidP="00416DF1">
      <w:pPr>
        <w:spacing w:after="0"/>
        <w:jc w:val="both"/>
        <w:rPr>
          <w:rFonts w:ascii="Calibri" w:hAnsi="Calibri" w:cs="Calibri"/>
          <w:b/>
          <w:bCs/>
        </w:rPr>
      </w:pPr>
      <w:r w:rsidRPr="00143FB0">
        <w:rPr>
          <w:rFonts w:ascii="Calibri" w:hAnsi="Calibri" w:cs="Calibri"/>
          <w:b/>
          <w:bCs/>
        </w:rPr>
        <w:t>5191 – zaplacené sankce</w:t>
      </w:r>
    </w:p>
    <w:p w14:paraId="103CE339" w14:textId="77777777" w:rsidR="00E44FE1" w:rsidRPr="00143FB0" w:rsidRDefault="00E44FE1" w:rsidP="00416DF1">
      <w:pPr>
        <w:spacing w:after="0"/>
        <w:jc w:val="both"/>
        <w:rPr>
          <w:rFonts w:ascii="Calibri" w:hAnsi="Calibri" w:cs="Calibri"/>
        </w:rPr>
      </w:pPr>
      <w:r w:rsidRPr="00143FB0">
        <w:rPr>
          <w:rFonts w:ascii="Calibri" w:hAnsi="Calibri" w:cs="Calibri"/>
        </w:rPr>
        <w:t>Rozpočet ve výši 10 000,00 Kč nebyl v roce 2021 čerpán.</w:t>
      </w:r>
    </w:p>
    <w:p w14:paraId="0AE5B749" w14:textId="77777777" w:rsidR="00E44FE1" w:rsidRPr="00143FB0" w:rsidRDefault="00E44FE1" w:rsidP="00416DF1">
      <w:pPr>
        <w:spacing w:after="0"/>
        <w:jc w:val="both"/>
        <w:rPr>
          <w:rFonts w:ascii="Calibri" w:hAnsi="Calibri" w:cs="Calibri"/>
        </w:rPr>
      </w:pPr>
    </w:p>
    <w:p w14:paraId="29B51A20" w14:textId="77777777" w:rsidR="00E44FE1" w:rsidRPr="00143FB0" w:rsidRDefault="00E44FE1" w:rsidP="00416DF1">
      <w:pPr>
        <w:spacing w:after="0"/>
        <w:jc w:val="both"/>
        <w:rPr>
          <w:rFonts w:ascii="Calibri" w:hAnsi="Calibri" w:cs="Calibri"/>
          <w:b/>
          <w:bCs/>
        </w:rPr>
      </w:pPr>
      <w:r w:rsidRPr="00143FB0">
        <w:rPr>
          <w:rFonts w:ascii="Calibri" w:hAnsi="Calibri" w:cs="Calibri"/>
          <w:b/>
          <w:bCs/>
        </w:rPr>
        <w:t>5194 – věcné dary</w:t>
      </w:r>
    </w:p>
    <w:p w14:paraId="23B816B7" w14:textId="2247DB7E" w:rsidR="00E44FE1" w:rsidRPr="00143FB0" w:rsidRDefault="00E44FE1" w:rsidP="00416DF1">
      <w:pPr>
        <w:spacing w:after="0"/>
        <w:jc w:val="both"/>
        <w:rPr>
          <w:rFonts w:ascii="Calibri" w:hAnsi="Calibri" w:cs="Calibri"/>
        </w:rPr>
      </w:pPr>
      <w:r w:rsidRPr="00143FB0">
        <w:rPr>
          <w:rFonts w:ascii="Calibri" w:hAnsi="Calibri" w:cs="Calibri"/>
          <w:bCs/>
        </w:rPr>
        <w:t>Schválený rozpočet byl snížen o 100 000,00 Kč na základě jednotlivých rozpočtových úprav v rámci běžných výdajů kapitoly projednaných v ředitelem KÚSK. Upravený r</w:t>
      </w:r>
      <w:r w:rsidRPr="00143FB0">
        <w:rPr>
          <w:rFonts w:ascii="Calibri" w:hAnsi="Calibri" w:cs="Calibri"/>
        </w:rPr>
        <w:t>ozpočet ve výši 100 000,00 Kč nebyl v roce 2021 čerpán. Čerpání položky je podmíněno schválením orgánů kraje podle zákona č.</w:t>
      </w:r>
      <w:r w:rsidR="00594FB0">
        <w:rPr>
          <w:rFonts w:ascii="Calibri" w:hAnsi="Calibri" w:cs="Calibri"/>
        </w:rPr>
        <w:t xml:space="preserve"> </w:t>
      </w:r>
      <w:r w:rsidRPr="00143FB0">
        <w:rPr>
          <w:rFonts w:ascii="Calibri" w:hAnsi="Calibri" w:cs="Calibri"/>
        </w:rPr>
        <w:t>129/2000 Sb., o krajích, ve znění pozdějších předpisů.</w:t>
      </w:r>
    </w:p>
    <w:p w14:paraId="684C4332" w14:textId="77777777" w:rsidR="00E44FE1" w:rsidRPr="00143FB0" w:rsidRDefault="00E44FE1" w:rsidP="00416DF1">
      <w:pPr>
        <w:spacing w:after="0"/>
        <w:jc w:val="both"/>
        <w:rPr>
          <w:rFonts w:ascii="Calibri" w:hAnsi="Calibri" w:cs="Calibri"/>
        </w:rPr>
      </w:pPr>
    </w:p>
    <w:p w14:paraId="50BAB166" w14:textId="77777777" w:rsidR="00E44FE1" w:rsidRPr="00143FB0" w:rsidRDefault="00E44FE1" w:rsidP="00416DF1">
      <w:pPr>
        <w:spacing w:after="0"/>
        <w:jc w:val="both"/>
        <w:rPr>
          <w:rFonts w:ascii="Calibri" w:hAnsi="Calibri" w:cs="Calibri"/>
          <w:b/>
          <w:bCs/>
        </w:rPr>
      </w:pPr>
      <w:r w:rsidRPr="00143FB0">
        <w:rPr>
          <w:rFonts w:ascii="Calibri" w:hAnsi="Calibri" w:cs="Calibri"/>
          <w:b/>
          <w:bCs/>
        </w:rPr>
        <w:t>5195 – odvody za neplnění povinnosti zaměstnávat zdravotně postižené</w:t>
      </w:r>
    </w:p>
    <w:p w14:paraId="253486E6" w14:textId="61D799E1" w:rsidR="00E44FE1" w:rsidRPr="00E01F47" w:rsidRDefault="00E44FE1" w:rsidP="00E01F47">
      <w:pPr>
        <w:spacing w:after="0" w:line="240" w:lineRule="auto"/>
        <w:jc w:val="both"/>
        <w:rPr>
          <w:rFonts w:ascii="Calibri" w:eastAsia="Times New Roman" w:hAnsi="Calibri" w:cs="Times New Roman"/>
          <w:sz w:val="20"/>
          <w:szCs w:val="20"/>
          <w:lang w:eastAsia="cs-CZ"/>
        </w:rPr>
      </w:pPr>
      <w:r w:rsidRPr="00E01F47">
        <w:rPr>
          <w:rFonts w:ascii="Calibri" w:hAnsi="Calibri" w:cs="Calibri"/>
        </w:rPr>
        <w:t>Upravený rozpočet ve výši 547 720,00 Kč byl vytvořen rozpočtovou úpravou č. 042/02/2021 projednanou s ředitelem KÚSK</w:t>
      </w:r>
      <w:r w:rsidR="009D625C" w:rsidRPr="00E01F47">
        <w:rPr>
          <w:rFonts w:ascii="Calibri" w:hAnsi="Calibri" w:cs="Calibri"/>
        </w:rPr>
        <w:t xml:space="preserve"> a náměstkem hejtmanky pro financ</w:t>
      </w:r>
      <w:r w:rsidR="00E01F47" w:rsidRPr="00E01F47">
        <w:rPr>
          <w:rFonts w:ascii="Calibri" w:hAnsi="Calibri" w:cs="Calibri"/>
        </w:rPr>
        <w:t>í, dotací a inovací.</w:t>
      </w:r>
      <w:r w:rsidR="00E01F47">
        <w:rPr>
          <w:rFonts w:ascii="Calibri" w:eastAsia="Times New Roman" w:hAnsi="Calibri" w:cs="Times New Roman"/>
          <w:sz w:val="20"/>
          <w:szCs w:val="20"/>
          <w:lang w:eastAsia="cs-CZ"/>
        </w:rPr>
        <w:t xml:space="preserve"> </w:t>
      </w:r>
      <w:r w:rsidRPr="00E01F47">
        <w:rPr>
          <w:rFonts w:ascii="Calibri" w:hAnsi="Calibri" w:cs="Calibri"/>
        </w:rPr>
        <w:t>Jedná se o částku odeslanou na Úřad práce ČR z důvodu neplnění povinného podílu osob se zdravotním postižením na celkovém počtu zaměstnanců zaměstnavatelem podle §83 zákona č. 435/2004 Sb., o zaměstnanosti. Čerpáno ve výši 547 720,00 Kč, tj. 100,0 %.</w:t>
      </w:r>
      <w:r w:rsidRPr="00143FB0">
        <w:rPr>
          <w:rFonts w:ascii="Calibri" w:hAnsi="Calibri" w:cs="Calibri"/>
        </w:rPr>
        <w:t xml:space="preserve"> </w:t>
      </w:r>
    </w:p>
    <w:p w14:paraId="6B27EE28" w14:textId="77777777" w:rsidR="00E44FE1" w:rsidRPr="00143FB0" w:rsidRDefault="00E44FE1" w:rsidP="00E01F47">
      <w:pPr>
        <w:spacing w:after="0" w:line="240" w:lineRule="auto"/>
        <w:jc w:val="both"/>
        <w:rPr>
          <w:rFonts w:ascii="Calibri" w:hAnsi="Calibri" w:cs="Calibri"/>
        </w:rPr>
      </w:pPr>
    </w:p>
    <w:p w14:paraId="75E8751B" w14:textId="77777777" w:rsidR="00E44FE1" w:rsidRPr="00143FB0" w:rsidRDefault="00E44FE1" w:rsidP="00416DF1">
      <w:pPr>
        <w:spacing w:after="0"/>
        <w:jc w:val="both"/>
        <w:rPr>
          <w:rFonts w:ascii="Calibri" w:hAnsi="Calibri" w:cs="Calibri"/>
          <w:b/>
          <w:bCs/>
        </w:rPr>
      </w:pPr>
      <w:r w:rsidRPr="00143FB0">
        <w:rPr>
          <w:rFonts w:ascii="Calibri" w:hAnsi="Calibri" w:cs="Calibri"/>
          <w:b/>
          <w:bCs/>
        </w:rPr>
        <w:t>5361 – nákup kolků</w:t>
      </w:r>
    </w:p>
    <w:p w14:paraId="71E18152" w14:textId="77777777" w:rsidR="00E44FE1" w:rsidRPr="00143FB0" w:rsidRDefault="00E44FE1" w:rsidP="00416DF1">
      <w:pPr>
        <w:spacing w:after="0"/>
        <w:jc w:val="both"/>
        <w:rPr>
          <w:rFonts w:ascii="Calibri" w:hAnsi="Calibri" w:cs="Calibri"/>
        </w:rPr>
      </w:pPr>
      <w:r w:rsidRPr="00143FB0">
        <w:rPr>
          <w:rFonts w:ascii="Calibri" w:hAnsi="Calibri" w:cs="Calibri"/>
        </w:rPr>
        <w:t>Čerpáno na základě potřeb pokladny a jednotlivých odborů KÚSK, schválený rozpočet 350 000,00 Kč byl čerpán ve výši 200 000,00 Kč, tj. 57,1 %.</w:t>
      </w:r>
    </w:p>
    <w:p w14:paraId="732B1202" w14:textId="77777777" w:rsidR="00E44FE1" w:rsidRPr="00143FB0" w:rsidRDefault="00E44FE1" w:rsidP="00416DF1">
      <w:pPr>
        <w:spacing w:after="0"/>
        <w:jc w:val="both"/>
        <w:rPr>
          <w:rFonts w:ascii="Calibri" w:hAnsi="Calibri" w:cs="Calibri"/>
        </w:rPr>
      </w:pPr>
    </w:p>
    <w:p w14:paraId="565ED43B" w14:textId="77777777" w:rsidR="00E44FE1" w:rsidRPr="00143FB0" w:rsidRDefault="00E44FE1" w:rsidP="00416DF1">
      <w:pPr>
        <w:spacing w:after="0"/>
        <w:jc w:val="both"/>
        <w:rPr>
          <w:rFonts w:ascii="Calibri" w:hAnsi="Calibri" w:cs="Calibri"/>
        </w:rPr>
      </w:pPr>
      <w:r w:rsidRPr="00143FB0">
        <w:rPr>
          <w:rFonts w:ascii="Calibri" w:hAnsi="Calibri" w:cs="Calibri"/>
          <w:b/>
          <w:bCs/>
        </w:rPr>
        <w:t>5362 – platby daní a poplatků státnímu rozpočtu</w:t>
      </w:r>
    </w:p>
    <w:p w14:paraId="0F00BEDE" w14:textId="77777777" w:rsidR="00E44FE1" w:rsidRPr="00143FB0" w:rsidRDefault="00E44FE1" w:rsidP="00416DF1">
      <w:pPr>
        <w:spacing w:after="0"/>
        <w:jc w:val="both"/>
        <w:rPr>
          <w:rFonts w:ascii="Calibri" w:hAnsi="Calibri" w:cs="Calibri"/>
        </w:rPr>
      </w:pPr>
      <w:r w:rsidRPr="00143FB0">
        <w:rPr>
          <w:rFonts w:ascii="Calibri" w:hAnsi="Calibri" w:cs="Calibri"/>
          <w:bCs/>
        </w:rPr>
        <w:t>Schválený rozpočet byl navýšen na základě usnesení 008-28/2021/RK</w:t>
      </w:r>
      <w:r w:rsidRPr="00143FB0">
        <w:rPr>
          <w:rFonts w:ascii="Calibri" w:hAnsi="Calibri" w:cs="Calibri"/>
        </w:rPr>
        <w:t xml:space="preserve"> (převod finančních prostředků z kapitoly 01 – Činnost Zastupitelstva do kapitoly 25 – Bezpečnost a prevence a kapitoly 02 - Činnost krajského úřadu)</w:t>
      </w:r>
      <w:r w:rsidRPr="00143FB0">
        <w:rPr>
          <w:rFonts w:ascii="Calibri" w:hAnsi="Calibri" w:cs="Calibri"/>
          <w:bCs/>
        </w:rPr>
        <w:t xml:space="preserve"> o 28 500,00 Kč z důvodu přesunu agendy z kapitoly 01 – Činnost zastupitelstva do kapitoly 02 – Činnost Krajského úřadu. Rozpočet 128 500 Kč č</w:t>
      </w:r>
      <w:r w:rsidRPr="00143FB0">
        <w:rPr>
          <w:rFonts w:ascii="Calibri" w:hAnsi="Calibri" w:cs="Calibri"/>
        </w:rPr>
        <w:t>erpán na nákup dálničních známek a na správní poplatky ve výši 60 000,00 Kč, tj. 46,7 %.</w:t>
      </w:r>
    </w:p>
    <w:p w14:paraId="2AA6FF8D" w14:textId="77777777" w:rsidR="00E44FE1" w:rsidRPr="00143FB0" w:rsidRDefault="00E44FE1" w:rsidP="00416DF1">
      <w:pPr>
        <w:spacing w:after="0"/>
        <w:jc w:val="both"/>
        <w:rPr>
          <w:rFonts w:ascii="Calibri" w:hAnsi="Calibri" w:cs="Calibri"/>
          <w:b/>
          <w:bCs/>
        </w:rPr>
      </w:pPr>
    </w:p>
    <w:p w14:paraId="63A680D6" w14:textId="77777777" w:rsidR="00E44FE1" w:rsidRPr="00143FB0" w:rsidRDefault="00E44FE1" w:rsidP="00416DF1">
      <w:pPr>
        <w:spacing w:after="0"/>
        <w:jc w:val="both"/>
        <w:rPr>
          <w:rFonts w:ascii="Calibri" w:hAnsi="Calibri" w:cs="Calibri"/>
        </w:rPr>
      </w:pPr>
      <w:r w:rsidRPr="00143FB0">
        <w:rPr>
          <w:rFonts w:ascii="Calibri" w:hAnsi="Calibri" w:cs="Calibri"/>
          <w:b/>
          <w:bCs/>
        </w:rPr>
        <w:t>5363 – úhrady sankcí jiným rozpočtům</w:t>
      </w:r>
    </w:p>
    <w:p w14:paraId="05A98FED" w14:textId="77777777" w:rsidR="00E44FE1" w:rsidRPr="00143FB0" w:rsidRDefault="00E44FE1" w:rsidP="00416DF1">
      <w:pPr>
        <w:spacing w:after="0"/>
        <w:jc w:val="both"/>
        <w:rPr>
          <w:rFonts w:ascii="Calibri" w:hAnsi="Calibri" w:cs="Calibri"/>
        </w:rPr>
      </w:pPr>
      <w:r w:rsidRPr="00143FB0">
        <w:rPr>
          <w:rFonts w:ascii="Calibri" w:hAnsi="Calibri" w:cs="Calibri"/>
        </w:rPr>
        <w:t xml:space="preserve">Rozpočet ve výši 5 000,00 Kč nebyl v roce 2021 čerpán.  </w:t>
      </w:r>
    </w:p>
    <w:p w14:paraId="55032614" w14:textId="77777777" w:rsidR="00E44FE1" w:rsidRPr="00143FB0" w:rsidRDefault="00E44FE1" w:rsidP="00416DF1">
      <w:pPr>
        <w:spacing w:after="0"/>
        <w:jc w:val="both"/>
        <w:rPr>
          <w:rFonts w:ascii="Calibri" w:hAnsi="Calibri" w:cs="Calibri"/>
          <w:highlight w:val="yellow"/>
        </w:rPr>
      </w:pPr>
    </w:p>
    <w:p w14:paraId="74D8A2D5" w14:textId="77777777" w:rsidR="00E44FE1" w:rsidRPr="00143FB0" w:rsidRDefault="00E44FE1" w:rsidP="00416DF1">
      <w:pPr>
        <w:spacing w:after="0"/>
        <w:jc w:val="both"/>
        <w:rPr>
          <w:rFonts w:ascii="Calibri" w:hAnsi="Calibri" w:cs="Calibri"/>
          <w:b/>
          <w:bCs/>
        </w:rPr>
      </w:pPr>
      <w:r w:rsidRPr="00143FB0">
        <w:rPr>
          <w:rFonts w:ascii="Calibri" w:hAnsi="Calibri" w:cs="Calibri"/>
          <w:b/>
          <w:bCs/>
        </w:rPr>
        <w:t>5365 – platby daní a poplatků krajům, obcím a státním fondům</w:t>
      </w:r>
    </w:p>
    <w:p w14:paraId="35EBAFDA" w14:textId="77777777" w:rsidR="00E44FE1" w:rsidRPr="00143FB0" w:rsidRDefault="00E44FE1" w:rsidP="00416DF1">
      <w:pPr>
        <w:spacing w:after="0"/>
        <w:jc w:val="both"/>
        <w:rPr>
          <w:rFonts w:ascii="Calibri" w:hAnsi="Calibri" w:cs="Calibri"/>
        </w:rPr>
      </w:pPr>
      <w:r w:rsidRPr="00143FB0">
        <w:rPr>
          <w:rFonts w:ascii="Calibri" w:hAnsi="Calibri" w:cs="Calibri"/>
        </w:rPr>
        <w:t>Schválený rozpočet ve výši 430 000,00 Kč zahrnuje výdaje na místní poplatky za užívání veřejného prostranství – parkoviště. Čerpáno ve výši 362 1600,00 Kč, tj. 84,2 %.</w:t>
      </w:r>
    </w:p>
    <w:p w14:paraId="2DC61C62" w14:textId="77777777" w:rsidR="00E44FE1" w:rsidRPr="00143FB0" w:rsidRDefault="00E44FE1" w:rsidP="00416DF1">
      <w:pPr>
        <w:spacing w:after="0"/>
        <w:jc w:val="both"/>
        <w:rPr>
          <w:rFonts w:ascii="Calibri" w:hAnsi="Calibri" w:cs="Calibri"/>
        </w:rPr>
      </w:pPr>
    </w:p>
    <w:p w14:paraId="243B9B71" w14:textId="77777777" w:rsidR="00E44FE1" w:rsidRPr="00143FB0" w:rsidRDefault="00E44FE1" w:rsidP="00416DF1">
      <w:pPr>
        <w:spacing w:after="0"/>
        <w:jc w:val="both"/>
        <w:rPr>
          <w:rFonts w:ascii="Calibri" w:hAnsi="Calibri" w:cs="Calibri"/>
          <w:b/>
          <w:bCs/>
        </w:rPr>
      </w:pPr>
      <w:bookmarkStart w:id="2" w:name="_Hlk96329798"/>
      <w:r w:rsidRPr="00143FB0">
        <w:rPr>
          <w:rFonts w:ascii="Calibri" w:hAnsi="Calibri" w:cs="Calibri"/>
          <w:b/>
          <w:bCs/>
        </w:rPr>
        <w:t>5909 – ostatní neinvestiční výdaje j. n.</w:t>
      </w:r>
    </w:p>
    <w:p w14:paraId="1DC70E9A" w14:textId="1AFF1D28" w:rsidR="00E44FE1" w:rsidRPr="00143FB0" w:rsidRDefault="00E44FE1" w:rsidP="00416DF1">
      <w:pPr>
        <w:spacing w:after="0"/>
        <w:jc w:val="both"/>
        <w:rPr>
          <w:rFonts w:ascii="Calibri" w:hAnsi="Calibri" w:cs="Calibri"/>
        </w:rPr>
      </w:pPr>
      <w:r w:rsidRPr="00143FB0">
        <w:rPr>
          <w:rFonts w:ascii="Calibri" w:hAnsi="Calibri" w:cs="Calibri"/>
        </w:rPr>
        <w:t xml:space="preserve">Upravený rozpočet byl pořízen rozpočtovou úpravou č. 051/02/2021 projednanou s ředitelem KÚSK. Jedná se o prostředky k zajištění vratek přeplatků záloh přijatých v minulém roce. </w:t>
      </w:r>
      <w:r w:rsidR="009D625C">
        <w:rPr>
          <w:rFonts w:ascii="Calibri" w:hAnsi="Calibri" w:cs="Calibri"/>
        </w:rPr>
        <w:t>Rozpočet nebyl čerpán.</w:t>
      </w:r>
    </w:p>
    <w:bookmarkEnd w:id="2"/>
    <w:p w14:paraId="10CA5873" w14:textId="64500373" w:rsidR="00E44FE1" w:rsidRDefault="00E44FE1" w:rsidP="00416DF1">
      <w:pPr>
        <w:spacing w:after="0"/>
        <w:jc w:val="both"/>
        <w:rPr>
          <w:rFonts w:ascii="Calibri" w:hAnsi="Calibri" w:cs="Calibri"/>
        </w:rPr>
      </w:pPr>
    </w:p>
    <w:p w14:paraId="6CA1395A" w14:textId="77777777" w:rsidR="00514A08" w:rsidRPr="00143FB0" w:rsidRDefault="00514A08" w:rsidP="00416DF1">
      <w:pPr>
        <w:spacing w:after="0"/>
        <w:jc w:val="both"/>
        <w:rPr>
          <w:rFonts w:ascii="Calibri" w:hAnsi="Calibri" w:cs="Calibri"/>
        </w:rPr>
      </w:pPr>
    </w:p>
    <w:p w14:paraId="3DAFF9FC" w14:textId="77777777" w:rsidR="00E44FE1" w:rsidRPr="00143FB0" w:rsidRDefault="00E44FE1" w:rsidP="00416DF1">
      <w:pPr>
        <w:spacing w:after="0"/>
        <w:jc w:val="both"/>
        <w:rPr>
          <w:rFonts w:ascii="Calibri" w:hAnsi="Calibri" w:cs="Calibri"/>
          <w:b/>
        </w:rPr>
      </w:pPr>
      <w:r w:rsidRPr="00143FB0">
        <w:rPr>
          <w:rFonts w:ascii="Calibri" w:hAnsi="Calibri" w:cs="Calibri"/>
          <w:b/>
        </w:rPr>
        <w:t>§ 6223 – Mezinárodní spolupráce (jinde nezařazená)</w:t>
      </w:r>
    </w:p>
    <w:p w14:paraId="231619F5" w14:textId="77777777" w:rsidR="00E44FE1" w:rsidRPr="00143FB0" w:rsidRDefault="00E44FE1" w:rsidP="00416DF1">
      <w:pPr>
        <w:spacing w:after="0"/>
        <w:jc w:val="both"/>
        <w:rPr>
          <w:rFonts w:ascii="Calibri" w:hAnsi="Calibri" w:cs="Calibri"/>
        </w:rPr>
      </w:pPr>
    </w:p>
    <w:p w14:paraId="21EE8494" w14:textId="77777777" w:rsidR="00E44FE1" w:rsidRPr="00143FB0" w:rsidRDefault="00E44FE1" w:rsidP="00416DF1">
      <w:pPr>
        <w:spacing w:after="0"/>
        <w:jc w:val="both"/>
        <w:rPr>
          <w:rFonts w:ascii="Calibri" w:hAnsi="Calibri" w:cs="Calibri"/>
          <w:b/>
          <w:bCs/>
        </w:rPr>
      </w:pPr>
      <w:r w:rsidRPr="00143FB0">
        <w:rPr>
          <w:rFonts w:ascii="Calibri" w:hAnsi="Calibri" w:cs="Calibri"/>
          <w:b/>
          <w:bCs/>
        </w:rPr>
        <w:t>5169 – nákup ostatních služeb</w:t>
      </w:r>
    </w:p>
    <w:p w14:paraId="5660DA8F" w14:textId="77777777" w:rsidR="00E44FE1" w:rsidRPr="00143FB0" w:rsidRDefault="00E44FE1" w:rsidP="00416DF1">
      <w:pPr>
        <w:spacing w:after="0"/>
        <w:jc w:val="both"/>
        <w:rPr>
          <w:rFonts w:ascii="Calibri" w:hAnsi="Calibri" w:cs="Calibri"/>
        </w:rPr>
      </w:pPr>
      <w:r w:rsidRPr="00143FB0">
        <w:rPr>
          <w:rFonts w:ascii="Calibri" w:hAnsi="Calibri" w:cs="Calibri"/>
        </w:rPr>
        <w:lastRenderedPageBreak/>
        <w:t>Z této položky jsou hrazeny např. vstupenky, jízdenky při cestách se zahraničními hosty k návštěvě pamětihodností, kulturních představení a sportovních akcí. Rozpočet ve výši 10 000,00 Kč byl čerpán ve výši 6 666,23 Kč, tj. 66,7 %.</w:t>
      </w:r>
    </w:p>
    <w:p w14:paraId="5CAD9403" w14:textId="77777777" w:rsidR="00E44FE1" w:rsidRPr="00143FB0" w:rsidRDefault="00E44FE1" w:rsidP="00416DF1">
      <w:pPr>
        <w:spacing w:after="0"/>
        <w:jc w:val="both"/>
        <w:rPr>
          <w:rFonts w:ascii="Calibri" w:hAnsi="Calibri" w:cs="Calibri"/>
        </w:rPr>
      </w:pPr>
    </w:p>
    <w:p w14:paraId="0A141ECB" w14:textId="77777777" w:rsidR="00E44FE1" w:rsidRPr="00143FB0" w:rsidRDefault="00E44FE1" w:rsidP="00416DF1">
      <w:pPr>
        <w:spacing w:after="0"/>
        <w:jc w:val="both"/>
        <w:rPr>
          <w:rFonts w:ascii="Calibri" w:hAnsi="Calibri" w:cs="Calibri"/>
          <w:b/>
          <w:bCs/>
        </w:rPr>
      </w:pPr>
      <w:r w:rsidRPr="00143FB0">
        <w:rPr>
          <w:rFonts w:ascii="Calibri" w:hAnsi="Calibri" w:cs="Calibri"/>
          <w:b/>
          <w:bCs/>
        </w:rPr>
        <w:t>5173 – cestovné</w:t>
      </w:r>
    </w:p>
    <w:p w14:paraId="40EE1435" w14:textId="77777777" w:rsidR="00E44FE1" w:rsidRPr="00143FB0" w:rsidRDefault="00E44FE1" w:rsidP="00416DF1">
      <w:pPr>
        <w:spacing w:after="0"/>
        <w:jc w:val="both"/>
        <w:rPr>
          <w:rFonts w:ascii="Calibri" w:hAnsi="Calibri" w:cs="Calibri"/>
        </w:rPr>
      </w:pPr>
      <w:r w:rsidRPr="00143FB0">
        <w:rPr>
          <w:rFonts w:ascii="Calibri" w:hAnsi="Calibri" w:cs="Calibri"/>
        </w:rPr>
        <w:t xml:space="preserve">Schválený rozpočet byl snížen o 34 000,00 Kč rozpočtovými úpravami v rámci běžných výdajů kapitoly projednanými s ředitelem KÚSK. Prostředky jsou určeny na krytí výdajů zahraničních služebních cest v rozsahu celého KÚSK. Čerpání bylo ovlivněno epidemiologickou situací. </w:t>
      </w:r>
      <w:r w:rsidRPr="00143FB0">
        <w:rPr>
          <w:rFonts w:ascii="Calibri" w:hAnsi="Calibri" w:cs="Calibri"/>
          <w:bCs/>
        </w:rPr>
        <w:t>Upravený r</w:t>
      </w:r>
      <w:r w:rsidRPr="00143FB0">
        <w:rPr>
          <w:rFonts w:ascii="Calibri" w:hAnsi="Calibri" w:cs="Calibri"/>
        </w:rPr>
        <w:t>ozpočet ve výši 706 000,00 Kč byl čerpán ve výši 49 867,57 Kč, tj. 7,1 %.</w:t>
      </w:r>
    </w:p>
    <w:p w14:paraId="088A1384" w14:textId="77777777" w:rsidR="00E44FE1" w:rsidRPr="00143FB0" w:rsidRDefault="00E44FE1" w:rsidP="00416DF1">
      <w:pPr>
        <w:spacing w:after="0"/>
        <w:jc w:val="both"/>
        <w:rPr>
          <w:rFonts w:ascii="Calibri" w:hAnsi="Calibri" w:cs="Calibri"/>
        </w:rPr>
      </w:pPr>
    </w:p>
    <w:p w14:paraId="341B75C3" w14:textId="77777777" w:rsidR="00E44FE1" w:rsidRPr="00143FB0" w:rsidRDefault="00E44FE1" w:rsidP="00416DF1">
      <w:pPr>
        <w:spacing w:after="0"/>
        <w:jc w:val="both"/>
        <w:rPr>
          <w:rFonts w:ascii="Calibri" w:hAnsi="Calibri" w:cs="Calibri"/>
          <w:b/>
          <w:bCs/>
        </w:rPr>
      </w:pPr>
      <w:r w:rsidRPr="00143FB0">
        <w:rPr>
          <w:rFonts w:ascii="Calibri" w:hAnsi="Calibri" w:cs="Calibri"/>
          <w:b/>
          <w:bCs/>
        </w:rPr>
        <w:t>5175 – pohoštění</w:t>
      </w:r>
    </w:p>
    <w:p w14:paraId="1C818645" w14:textId="68E5C043" w:rsidR="00E44FE1" w:rsidRPr="00143FB0" w:rsidRDefault="00E44FE1" w:rsidP="00416DF1">
      <w:pPr>
        <w:spacing w:after="0"/>
        <w:jc w:val="both"/>
        <w:rPr>
          <w:rFonts w:ascii="Calibri" w:hAnsi="Calibri" w:cs="Calibri"/>
        </w:rPr>
      </w:pPr>
      <w:r w:rsidRPr="00143FB0">
        <w:rPr>
          <w:rFonts w:ascii="Calibri" w:hAnsi="Calibri" w:cs="Calibri"/>
        </w:rPr>
        <w:t>Schválený rozpočet byl navýšen o 34 000,00 Kč rozpočtovými úpravami v rámci běžných výdajů kapitoly projednanými s ředitelem KÚSK. Z této položky je hrazeno pohoštění související se spoluprací na mezinárodní úrovni. Finanční prostředky byly čerpány ve výši 43 549,12 Kč, tj. 99</w:t>
      </w:r>
      <w:r w:rsidR="009D625C">
        <w:rPr>
          <w:rFonts w:ascii="Calibri" w:hAnsi="Calibri" w:cs="Calibri"/>
        </w:rPr>
        <w:t>,0</w:t>
      </w:r>
      <w:r w:rsidRPr="00143FB0">
        <w:rPr>
          <w:rFonts w:ascii="Calibri" w:hAnsi="Calibri" w:cs="Calibri"/>
        </w:rPr>
        <w:t xml:space="preserve"> %.</w:t>
      </w:r>
    </w:p>
    <w:p w14:paraId="3008C309" w14:textId="77777777" w:rsidR="00E44FE1" w:rsidRPr="00143FB0" w:rsidRDefault="00E44FE1" w:rsidP="00416DF1">
      <w:pPr>
        <w:spacing w:after="0"/>
        <w:jc w:val="both"/>
        <w:rPr>
          <w:rFonts w:ascii="Calibri" w:hAnsi="Calibri" w:cs="Calibri"/>
        </w:rPr>
      </w:pPr>
    </w:p>
    <w:p w14:paraId="5B2EEC10" w14:textId="77777777" w:rsidR="00E44FE1" w:rsidRPr="00143FB0" w:rsidRDefault="00E44FE1" w:rsidP="00416DF1">
      <w:pPr>
        <w:spacing w:after="0"/>
        <w:jc w:val="both"/>
        <w:rPr>
          <w:rFonts w:ascii="Calibri" w:hAnsi="Calibri" w:cs="Calibri"/>
          <w:b/>
          <w:bCs/>
        </w:rPr>
      </w:pPr>
      <w:r w:rsidRPr="00143FB0">
        <w:rPr>
          <w:rFonts w:ascii="Calibri" w:hAnsi="Calibri" w:cs="Calibri"/>
          <w:b/>
          <w:bCs/>
        </w:rPr>
        <w:t>5176 – účastnické poplatky na konference</w:t>
      </w:r>
    </w:p>
    <w:p w14:paraId="3222F9B4" w14:textId="77777777" w:rsidR="00E44FE1" w:rsidRPr="00143FB0" w:rsidRDefault="00E44FE1" w:rsidP="00416DF1">
      <w:pPr>
        <w:spacing w:after="0"/>
        <w:jc w:val="both"/>
        <w:rPr>
          <w:rFonts w:ascii="Calibri" w:hAnsi="Calibri" w:cs="Calibri"/>
        </w:rPr>
      </w:pPr>
      <w:r w:rsidRPr="00143FB0">
        <w:rPr>
          <w:rFonts w:ascii="Calibri" w:hAnsi="Calibri" w:cs="Calibri"/>
        </w:rPr>
        <w:t>Z této položky jsou hrazeny výdaje související s mezinárodními konferencemi. Rozpočet ve výši 10 000,00 Kč nebyl v roce 2021 čerpán.</w:t>
      </w:r>
    </w:p>
    <w:p w14:paraId="02D24AB5" w14:textId="77777777" w:rsidR="00E44FE1" w:rsidRPr="00143FB0" w:rsidRDefault="00E44FE1" w:rsidP="00416DF1">
      <w:pPr>
        <w:spacing w:after="0"/>
        <w:jc w:val="both"/>
        <w:rPr>
          <w:rFonts w:ascii="Calibri" w:hAnsi="Calibri" w:cs="Calibri"/>
        </w:rPr>
      </w:pPr>
    </w:p>
    <w:p w14:paraId="5888ACD6" w14:textId="77777777" w:rsidR="00E44FE1" w:rsidRPr="00143FB0" w:rsidRDefault="00E44FE1" w:rsidP="00416DF1">
      <w:pPr>
        <w:spacing w:after="0"/>
        <w:jc w:val="both"/>
        <w:rPr>
          <w:rFonts w:ascii="Calibri" w:hAnsi="Calibri" w:cs="Calibri"/>
          <w:b/>
          <w:bCs/>
        </w:rPr>
      </w:pPr>
      <w:r w:rsidRPr="00143FB0">
        <w:rPr>
          <w:rFonts w:ascii="Calibri" w:hAnsi="Calibri" w:cs="Calibri"/>
          <w:b/>
          <w:bCs/>
        </w:rPr>
        <w:t>5179 – ostatní nákupy j. n.</w:t>
      </w:r>
    </w:p>
    <w:p w14:paraId="0E5B7898" w14:textId="77777777" w:rsidR="00E44FE1" w:rsidRPr="00143FB0" w:rsidRDefault="00E44FE1" w:rsidP="00416DF1">
      <w:pPr>
        <w:spacing w:after="0"/>
        <w:jc w:val="both"/>
        <w:rPr>
          <w:rFonts w:ascii="Calibri" w:hAnsi="Calibri" w:cs="Calibri"/>
        </w:rPr>
      </w:pPr>
      <w:r w:rsidRPr="00143FB0">
        <w:rPr>
          <w:rFonts w:ascii="Calibri" w:hAnsi="Calibri" w:cs="Calibri"/>
        </w:rPr>
        <w:t>Z této položky jsou hrazeny dálniční známky, vstupní víza, mýtné a jiné poplatky spojené s mezinárodními cestami. Rozpočet ve výši 10 000,00 Kč byl čerpán ve výši 1 270,26 Kč, tj. 12,7 %.</w:t>
      </w:r>
    </w:p>
    <w:p w14:paraId="662E2A72" w14:textId="77777777" w:rsidR="00E44FE1" w:rsidRPr="00143FB0" w:rsidRDefault="00E44FE1" w:rsidP="00416DF1">
      <w:pPr>
        <w:spacing w:after="0"/>
        <w:jc w:val="both"/>
        <w:rPr>
          <w:rFonts w:ascii="Calibri" w:hAnsi="Calibri" w:cs="Calibri"/>
        </w:rPr>
      </w:pPr>
    </w:p>
    <w:p w14:paraId="141F3F58" w14:textId="77777777" w:rsidR="00E44FE1" w:rsidRPr="00143FB0" w:rsidRDefault="00E44FE1" w:rsidP="00416DF1">
      <w:pPr>
        <w:spacing w:after="0"/>
        <w:jc w:val="both"/>
        <w:rPr>
          <w:rFonts w:ascii="Calibri" w:hAnsi="Calibri" w:cs="Calibri"/>
          <w:b/>
          <w:bCs/>
        </w:rPr>
      </w:pPr>
      <w:r w:rsidRPr="00143FB0">
        <w:rPr>
          <w:rFonts w:ascii="Calibri" w:hAnsi="Calibri" w:cs="Calibri"/>
          <w:b/>
          <w:bCs/>
        </w:rPr>
        <w:t>5194 – věcné dary</w:t>
      </w:r>
    </w:p>
    <w:p w14:paraId="0DCDC3FA" w14:textId="32FF9E9D" w:rsidR="00E44FE1" w:rsidRPr="00143FB0" w:rsidRDefault="00E44FE1" w:rsidP="00416DF1">
      <w:pPr>
        <w:spacing w:after="0"/>
        <w:jc w:val="both"/>
        <w:rPr>
          <w:rFonts w:ascii="Calibri" w:hAnsi="Calibri" w:cs="Calibri"/>
        </w:rPr>
      </w:pPr>
      <w:r w:rsidRPr="00143FB0">
        <w:rPr>
          <w:rFonts w:ascii="Calibri" w:hAnsi="Calibri" w:cs="Calibri"/>
        </w:rPr>
        <w:t>Z této položky jsou hrazeny dary ve formě např. vstupenek do pamětihodných objektů, na kulturní představení a na sportovní akce. Rozpočet ve výši 10 000,00 Kč byl čerpán ve výši 6 817,14 Kč, tj. 68,</w:t>
      </w:r>
      <w:r w:rsidR="00352B92">
        <w:rPr>
          <w:rFonts w:ascii="Calibri" w:hAnsi="Calibri" w:cs="Calibri"/>
        </w:rPr>
        <w:t>2</w:t>
      </w:r>
      <w:r w:rsidRPr="00143FB0">
        <w:rPr>
          <w:rFonts w:ascii="Calibri" w:hAnsi="Calibri" w:cs="Calibri"/>
        </w:rPr>
        <w:t> %.</w:t>
      </w:r>
    </w:p>
    <w:p w14:paraId="29E3F95B" w14:textId="77777777" w:rsidR="00E44FE1" w:rsidRPr="00143FB0" w:rsidRDefault="00E44FE1" w:rsidP="00416DF1">
      <w:pPr>
        <w:spacing w:after="0"/>
        <w:jc w:val="both"/>
        <w:rPr>
          <w:rFonts w:ascii="Calibri" w:hAnsi="Calibri" w:cs="Calibri"/>
        </w:rPr>
      </w:pPr>
    </w:p>
    <w:p w14:paraId="29E1DFFE" w14:textId="77777777" w:rsidR="00E44FE1" w:rsidRPr="00143FB0" w:rsidRDefault="00E44FE1" w:rsidP="00416DF1">
      <w:pPr>
        <w:spacing w:after="0"/>
        <w:jc w:val="both"/>
        <w:rPr>
          <w:rFonts w:ascii="Calibri" w:hAnsi="Calibri" w:cs="Calibri"/>
        </w:rPr>
      </w:pPr>
    </w:p>
    <w:p w14:paraId="595AD522" w14:textId="77777777" w:rsidR="00E44FE1" w:rsidRPr="00514A08" w:rsidRDefault="00E44FE1" w:rsidP="00416DF1">
      <w:pPr>
        <w:spacing w:after="0"/>
        <w:jc w:val="both"/>
        <w:rPr>
          <w:rFonts w:ascii="Calibri" w:hAnsi="Calibri" w:cs="Calibri"/>
          <w:b/>
          <w:sz w:val="24"/>
          <w:szCs w:val="24"/>
        </w:rPr>
      </w:pPr>
      <w:r w:rsidRPr="00514A08">
        <w:rPr>
          <w:rFonts w:ascii="Calibri" w:hAnsi="Calibri" w:cs="Calibri"/>
          <w:b/>
          <w:sz w:val="24"/>
          <w:szCs w:val="24"/>
          <w:u w:val="single"/>
        </w:rPr>
        <w:t>Dotace ze státního rozpočtu a ostatních veřejných rozpočtů</w:t>
      </w:r>
    </w:p>
    <w:p w14:paraId="0CAF6C98" w14:textId="77777777" w:rsidR="00E44FE1" w:rsidRPr="00143FB0" w:rsidRDefault="00E44FE1" w:rsidP="00416DF1">
      <w:pPr>
        <w:spacing w:after="0"/>
        <w:jc w:val="both"/>
        <w:rPr>
          <w:rFonts w:ascii="Calibri" w:hAnsi="Calibri" w:cs="Calibri"/>
          <w:b/>
        </w:rPr>
      </w:pPr>
    </w:p>
    <w:p w14:paraId="40E5C4A2" w14:textId="77777777" w:rsidR="00E44FE1" w:rsidRPr="00143FB0" w:rsidRDefault="00E44FE1" w:rsidP="00416DF1">
      <w:pPr>
        <w:spacing w:after="0"/>
        <w:jc w:val="both"/>
        <w:rPr>
          <w:rFonts w:ascii="Calibri" w:hAnsi="Calibri" w:cs="Calibri"/>
          <w:b/>
        </w:rPr>
      </w:pPr>
      <w:r w:rsidRPr="00143FB0">
        <w:rPr>
          <w:rFonts w:ascii="Calibri" w:hAnsi="Calibri" w:cs="Calibri"/>
          <w:b/>
        </w:rPr>
        <w:t>§ 5213 - Krizové situace v roce 2021 (mimo povodní) ÚZ 98032</w:t>
      </w:r>
    </w:p>
    <w:p w14:paraId="49B54448" w14:textId="163D4968" w:rsidR="00E44FE1" w:rsidRPr="00143FB0" w:rsidRDefault="00E44FE1" w:rsidP="00416DF1">
      <w:pPr>
        <w:spacing w:after="0"/>
        <w:jc w:val="both"/>
        <w:rPr>
          <w:rFonts w:ascii="Calibri" w:hAnsi="Calibri" w:cs="Calibri"/>
          <w:bCs/>
        </w:rPr>
      </w:pPr>
      <w:r w:rsidRPr="00143FB0">
        <w:rPr>
          <w:rFonts w:ascii="Calibri" w:hAnsi="Calibri" w:cs="Calibri"/>
          <w:bCs/>
        </w:rPr>
        <w:t>Upravený rozpočet byl vytvořen na základě usnesení č. 004-36/2021/RK ze dne 23.09.2021 (převod finančních prostředků v roce 2021 z kapitoly 25 – Bezpečnost a prevence do kapitoly 02 – Činnost Krajského úřadu, kapitoly 05 – Školství na úhradu výdajů v rámci řešení krizové situace v souvislosti s pandemií onemocnění COVID-19 způsobeného koronavirem SARS-CoV-2). Neinvestiční účelová dotace byla poskytnuta Ministerstvem financí ČR Středočeskému kraji v lednu 2021 a byla použita na úhradu dávkovačů dezinfekce. Finanční prostředky byly čerpány ve výši Kč 48 351,60, tj. 100</w:t>
      </w:r>
      <w:r w:rsidR="009D625C">
        <w:rPr>
          <w:rFonts w:ascii="Calibri" w:hAnsi="Calibri" w:cs="Calibri"/>
          <w:bCs/>
        </w:rPr>
        <w:t>,0</w:t>
      </w:r>
      <w:r w:rsidRPr="00143FB0">
        <w:rPr>
          <w:rFonts w:ascii="Calibri" w:hAnsi="Calibri" w:cs="Calibri"/>
          <w:bCs/>
        </w:rPr>
        <w:t xml:space="preserve"> %.</w:t>
      </w:r>
    </w:p>
    <w:p w14:paraId="4A09584B" w14:textId="77777777" w:rsidR="00E44FE1" w:rsidRPr="00143FB0" w:rsidRDefault="00E44FE1" w:rsidP="00416DF1">
      <w:pPr>
        <w:spacing w:after="0"/>
        <w:jc w:val="both"/>
        <w:rPr>
          <w:rFonts w:ascii="Calibri" w:hAnsi="Calibri" w:cs="Calibri"/>
          <w:b/>
          <w:u w:val="single"/>
        </w:rPr>
      </w:pPr>
    </w:p>
    <w:p w14:paraId="638D22CA" w14:textId="77777777" w:rsidR="00E44FE1" w:rsidRPr="00143FB0" w:rsidRDefault="00E44FE1" w:rsidP="00416DF1">
      <w:pPr>
        <w:spacing w:after="0"/>
        <w:jc w:val="both"/>
        <w:rPr>
          <w:rFonts w:ascii="Calibri" w:hAnsi="Calibri" w:cs="Calibri"/>
          <w:b/>
          <w:u w:val="single"/>
        </w:rPr>
      </w:pPr>
    </w:p>
    <w:p w14:paraId="387C8EA7" w14:textId="77777777" w:rsidR="00E44FE1" w:rsidRPr="00143FB0" w:rsidRDefault="00E44FE1" w:rsidP="00416DF1">
      <w:pPr>
        <w:spacing w:after="0"/>
        <w:jc w:val="both"/>
        <w:rPr>
          <w:rFonts w:ascii="Calibri" w:hAnsi="Calibri" w:cs="Calibri"/>
          <w:b/>
          <w:u w:val="single"/>
        </w:rPr>
      </w:pPr>
    </w:p>
    <w:p w14:paraId="1D796C65" w14:textId="77777777" w:rsidR="00E44FE1" w:rsidRPr="00143FB0" w:rsidRDefault="00E44FE1" w:rsidP="00416DF1">
      <w:pPr>
        <w:spacing w:after="0"/>
        <w:jc w:val="both"/>
        <w:rPr>
          <w:rFonts w:ascii="Calibri" w:hAnsi="Calibri" w:cs="Calibri"/>
          <w:b/>
          <w:u w:val="single"/>
        </w:rPr>
      </w:pPr>
    </w:p>
    <w:p w14:paraId="0350FD98" w14:textId="6A0157F8" w:rsidR="00E44FE1" w:rsidRDefault="00E44FE1" w:rsidP="00E44FE1">
      <w:pPr>
        <w:jc w:val="both"/>
        <w:rPr>
          <w:rFonts w:ascii="Calibri" w:hAnsi="Calibri" w:cs="Calibri"/>
          <w:b/>
          <w:u w:val="single"/>
        </w:rPr>
      </w:pPr>
    </w:p>
    <w:p w14:paraId="5098ABBF" w14:textId="0C019263" w:rsidR="00FA48C7" w:rsidRDefault="00FA48C7" w:rsidP="00E44FE1">
      <w:pPr>
        <w:jc w:val="both"/>
        <w:rPr>
          <w:rFonts w:ascii="Calibri" w:hAnsi="Calibri" w:cs="Calibri"/>
          <w:b/>
          <w:u w:val="single"/>
        </w:rPr>
      </w:pPr>
    </w:p>
    <w:p w14:paraId="335984D5" w14:textId="453523F9" w:rsidR="00FA48C7" w:rsidRDefault="00FA48C7" w:rsidP="00E44FE1">
      <w:pPr>
        <w:jc w:val="both"/>
        <w:rPr>
          <w:rFonts w:ascii="Calibri" w:hAnsi="Calibri" w:cs="Calibri"/>
          <w:b/>
          <w:u w:val="single"/>
        </w:rPr>
      </w:pPr>
    </w:p>
    <w:p w14:paraId="22B1E9EA" w14:textId="1E678369" w:rsidR="000265D7" w:rsidRDefault="000265D7" w:rsidP="00E44FE1">
      <w:pPr>
        <w:jc w:val="both"/>
        <w:rPr>
          <w:rFonts w:ascii="Calibri" w:hAnsi="Calibri" w:cs="Calibri"/>
          <w:b/>
          <w:u w:val="single"/>
        </w:rPr>
      </w:pPr>
    </w:p>
    <w:p w14:paraId="04291EFA" w14:textId="38960967" w:rsidR="000265D7" w:rsidRDefault="000265D7" w:rsidP="00E44FE1">
      <w:pPr>
        <w:jc w:val="both"/>
        <w:rPr>
          <w:rFonts w:ascii="Calibri" w:hAnsi="Calibri" w:cs="Calibri"/>
          <w:b/>
          <w:u w:val="single"/>
        </w:rPr>
      </w:pPr>
    </w:p>
    <w:p w14:paraId="6EF3912D" w14:textId="77777777" w:rsidR="000265D7" w:rsidRDefault="000265D7" w:rsidP="00E44FE1">
      <w:pPr>
        <w:jc w:val="both"/>
        <w:rPr>
          <w:rFonts w:ascii="Calibri" w:hAnsi="Calibri" w:cs="Calibri"/>
          <w:b/>
          <w:u w:val="single"/>
        </w:rPr>
      </w:pPr>
    </w:p>
    <w:tbl>
      <w:tblPr>
        <w:tblW w:w="9294" w:type="dxa"/>
        <w:tblCellMar>
          <w:left w:w="70" w:type="dxa"/>
          <w:right w:w="70" w:type="dxa"/>
        </w:tblCellMar>
        <w:tblLook w:val="04A0" w:firstRow="1" w:lastRow="0" w:firstColumn="1" w:lastColumn="0" w:noHBand="0" w:noVBand="1"/>
      </w:tblPr>
      <w:tblGrid>
        <w:gridCol w:w="826"/>
        <w:gridCol w:w="3714"/>
        <w:gridCol w:w="1272"/>
        <w:gridCol w:w="1418"/>
        <w:gridCol w:w="1417"/>
        <w:gridCol w:w="647"/>
      </w:tblGrid>
      <w:tr w:rsidR="00E44FE1" w:rsidRPr="00E44FE1" w14:paraId="00C9E519" w14:textId="77777777" w:rsidTr="00514A08">
        <w:trPr>
          <w:trHeight w:val="403"/>
        </w:trPr>
        <w:tc>
          <w:tcPr>
            <w:tcW w:w="9294" w:type="dxa"/>
            <w:gridSpan w:val="6"/>
            <w:tcBorders>
              <w:top w:val="nil"/>
              <w:left w:val="nil"/>
              <w:bottom w:val="nil"/>
              <w:right w:val="nil"/>
            </w:tcBorders>
            <w:shd w:val="clear" w:color="auto" w:fill="auto"/>
            <w:noWrap/>
            <w:vAlign w:val="bottom"/>
            <w:hideMark/>
          </w:tcPr>
          <w:p w14:paraId="73C8FE1F" w14:textId="77777777" w:rsidR="00E44FE1" w:rsidRPr="00E44FE1" w:rsidRDefault="00E44FE1" w:rsidP="00E44FE1">
            <w:pPr>
              <w:spacing w:after="0" w:line="240" w:lineRule="auto"/>
              <w:jc w:val="center"/>
              <w:rPr>
                <w:rFonts w:ascii="Calibri" w:eastAsia="Times New Roman" w:hAnsi="Calibri" w:cs="Arial"/>
                <w:b/>
                <w:bCs/>
                <w:sz w:val="28"/>
                <w:szCs w:val="28"/>
                <w:lang w:eastAsia="cs-CZ"/>
              </w:rPr>
            </w:pPr>
            <w:r w:rsidRPr="00E44FE1">
              <w:rPr>
                <w:rFonts w:ascii="Calibri" w:eastAsia="Times New Roman" w:hAnsi="Calibri" w:cs="Arial"/>
                <w:b/>
                <w:bCs/>
                <w:sz w:val="28"/>
                <w:szCs w:val="28"/>
                <w:lang w:eastAsia="cs-CZ"/>
              </w:rPr>
              <w:lastRenderedPageBreak/>
              <w:t>Čerpání rozpočtu kapitoly 03 - Informatika - období:  1. - 12. 2021</w:t>
            </w:r>
          </w:p>
        </w:tc>
      </w:tr>
      <w:tr w:rsidR="00E44FE1" w:rsidRPr="00E44FE1" w14:paraId="04C00479" w14:textId="77777777" w:rsidTr="00514A08">
        <w:trPr>
          <w:trHeight w:val="360"/>
        </w:trPr>
        <w:tc>
          <w:tcPr>
            <w:tcW w:w="826" w:type="dxa"/>
            <w:tcBorders>
              <w:top w:val="nil"/>
              <w:left w:val="nil"/>
              <w:bottom w:val="nil"/>
              <w:right w:val="nil"/>
            </w:tcBorders>
            <w:shd w:val="clear" w:color="auto" w:fill="auto"/>
            <w:noWrap/>
            <w:vAlign w:val="bottom"/>
            <w:hideMark/>
          </w:tcPr>
          <w:p w14:paraId="5C66B10B" w14:textId="77777777" w:rsidR="00E44FE1" w:rsidRPr="00E44FE1" w:rsidRDefault="00E44FE1" w:rsidP="00E44FE1">
            <w:pPr>
              <w:spacing w:after="0" w:line="240" w:lineRule="auto"/>
              <w:jc w:val="center"/>
              <w:rPr>
                <w:rFonts w:ascii="Calibri" w:eastAsia="Times New Roman" w:hAnsi="Calibri" w:cs="Arial"/>
                <w:b/>
                <w:bCs/>
                <w:sz w:val="28"/>
                <w:szCs w:val="28"/>
                <w:lang w:eastAsia="cs-CZ"/>
              </w:rPr>
            </w:pPr>
          </w:p>
        </w:tc>
        <w:tc>
          <w:tcPr>
            <w:tcW w:w="3714" w:type="dxa"/>
            <w:tcBorders>
              <w:top w:val="nil"/>
              <w:left w:val="nil"/>
              <w:bottom w:val="nil"/>
              <w:right w:val="nil"/>
            </w:tcBorders>
            <w:shd w:val="clear" w:color="auto" w:fill="auto"/>
            <w:noWrap/>
            <w:vAlign w:val="bottom"/>
            <w:hideMark/>
          </w:tcPr>
          <w:p w14:paraId="6AA2DF57" w14:textId="77777777" w:rsidR="00E44FE1" w:rsidRPr="00E44FE1" w:rsidRDefault="00E44FE1" w:rsidP="00E44FE1">
            <w:pPr>
              <w:spacing w:after="0" w:line="240" w:lineRule="auto"/>
              <w:rPr>
                <w:rFonts w:ascii="Times New Roman" w:eastAsia="Times New Roman" w:hAnsi="Times New Roman" w:cs="Times New Roman"/>
                <w:sz w:val="20"/>
                <w:szCs w:val="20"/>
                <w:lang w:eastAsia="cs-CZ"/>
              </w:rPr>
            </w:pPr>
          </w:p>
        </w:tc>
        <w:tc>
          <w:tcPr>
            <w:tcW w:w="1272" w:type="dxa"/>
            <w:tcBorders>
              <w:top w:val="nil"/>
              <w:left w:val="nil"/>
              <w:bottom w:val="nil"/>
              <w:right w:val="nil"/>
            </w:tcBorders>
            <w:shd w:val="clear" w:color="auto" w:fill="auto"/>
            <w:noWrap/>
            <w:vAlign w:val="bottom"/>
            <w:hideMark/>
          </w:tcPr>
          <w:p w14:paraId="055F0AF0" w14:textId="77777777" w:rsidR="00E44FE1" w:rsidRPr="00E44FE1" w:rsidRDefault="00E44FE1" w:rsidP="00E44FE1">
            <w:pPr>
              <w:spacing w:after="0" w:line="240" w:lineRule="auto"/>
              <w:rPr>
                <w:rFonts w:ascii="Times New Roman" w:eastAsia="Times New Roman" w:hAnsi="Times New Roman" w:cs="Times New Roman"/>
                <w:sz w:val="20"/>
                <w:szCs w:val="20"/>
                <w:lang w:eastAsia="cs-CZ"/>
              </w:rPr>
            </w:pPr>
          </w:p>
        </w:tc>
        <w:tc>
          <w:tcPr>
            <w:tcW w:w="1418" w:type="dxa"/>
            <w:tcBorders>
              <w:top w:val="nil"/>
              <w:left w:val="nil"/>
              <w:bottom w:val="nil"/>
              <w:right w:val="nil"/>
            </w:tcBorders>
            <w:shd w:val="clear" w:color="auto" w:fill="auto"/>
            <w:noWrap/>
            <w:vAlign w:val="bottom"/>
            <w:hideMark/>
          </w:tcPr>
          <w:p w14:paraId="2A33561B" w14:textId="77777777" w:rsidR="00E44FE1" w:rsidRPr="00E44FE1" w:rsidRDefault="00E44FE1" w:rsidP="00E44FE1">
            <w:pPr>
              <w:spacing w:after="0" w:line="240" w:lineRule="auto"/>
              <w:rPr>
                <w:rFonts w:ascii="Times New Roman" w:eastAsia="Times New Roman" w:hAnsi="Times New Roman" w:cs="Times New Roman"/>
                <w:sz w:val="20"/>
                <w:szCs w:val="20"/>
                <w:lang w:eastAsia="cs-CZ"/>
              </w:rPr>
            </w:pPr>
          </w:p>
        </w:tc>
        <w:tc>
          <w:tcPr>
            <w:tcW w:w="1417" w:type="dxa"/>
            <w:tcBorders>
              <w:top w:val="nil"/>
              <w:left w:val="nil"/>
              <w:bottom w:val="nil"/>
              <w:right w:val="nil"/>
            </w:tcBorders>
            <w:shd w:val="clear" w:color="auto" w:fill="auto"/>
            <w:noWrap/>
            <w:vAlign w:val="bottom"/>
            <w:hideMark/>
          </w:tcPr>
          <w:p w14:paraId="0E7B1723" w14:textId="77777777" w:rsidR="00E44FE1" w:rsidRPr="00E44FE1" w:rsidRDefault="00E44FE1" w:rsidP="00E44FE1">
            <w:pPr>
              <w:spacing w:after="0" w:line="240" w:lineRule="auto"/>
              <w:rPr>
                <w:rFonts w:ascii="Times New Roman" w:eastAsia="Times New Roman" w:hAnsi="Times New Roman" w:cs="Times New Roman"/>
                <w:sz w:val="20"/>
                <w:szCs w:val="20"/>
                <w:lang w:eastAsia="cs-CZ"/>
              </w:rPr>
            </w:pPr>
          </w:p>
        </w:tc>
        <w:tc>
          <w:tcPr>
            <w:tcW w:w="647" w:type="dxa"/>
            <w:tcBorders>
              <w:top w:val="nil"/>
              <w:left w:val="nil"/>
              <w:bottom w:val="nil"/>
              <w:right w:val="nil"/>
            </w:tcBorders>
            <w:shd w:val="clear" w:color="auto" w:fill="auto"/>
            <w:noWrap/>
            <w:vAlign w:val="bottom"/>
            <w:hideMark/>
          </w:tcPr>
          <w:p w14:paraId="23335E93" w14:textId="77777777" w:rsidR="00E44FE1" w:rsidRPr="00E44FE1" w:rsidRDefault="00E44FE1" w:rsidP="00E44FE1">
            <w:pPr>
              <w:spacing w:after="0" w:line="240" w:lineRule="auto"/>
              <w:jc w:val="right"/>
              <w:rPr>
                <w:rFonts w:ascii="Calibri" w:eastAsia="Times New Roman" w:hAnsi="Calibri" w:cs="Arial"/>
                <w:lang w:eastAsia="cs-CZ"/>
              </w:rPr>
            </w:pPr>
            <w:r w:rsidRPr="00E44FE1">
              <w:rPr>
                <w:rFonts w:ascii="Calibri" w:eastAsia="Times New Roman" w:hAnsi="Calibri" w:cs="Arial"/>
                <w:lang w:eastAsia="cs-CZ"/>
              </w:rPr>
              <w:t>v Kč</w:t>
            </w:r>
          </w:p>
        </w:tc>
      </w:tr>
      <w:tr w:rsidR="00E44FE1" w:rsidRPr="00E44FE1" w14:paraId="7219E5D8" w14:textId="77777777" w:rsidTr="00514A08">
        <w:trPr>
          <w:trHeight w:val="705"/>
        </w:trPr>
        <w:tc>
          <w:tcPr>
            <w:tcW w:w="826" w:type="dxa"/>
            <w:tcBorders>
              <w:top w:val="single" w:sz="8" w:space="0" w:color="auto"/>
              <w:left w:val="single" w:sz="8" w:space="0" w:color="auto"/>
              <w:bottom w:val="single" w:sz="8" w:space="0" w:color="auto"/>
              <w:right w:val="single" w:sz="8" w:space="0" w:color="auto"/>
            </w:tcBorders>
            <w:shd w:val="clear" w:color="CCFFFF" w:fill="CCFFCC"/>
            <w:noWrap/>
            <w:vAlign w:val="center"/>
            <w:hideMark/>
          </w:tcPr>
          <w:p w14:paraId="55784BFB" w14:textId="77777777" w:rsidR="00E44FE1" w:rsidRPr="00E44FE1" w:rsidRDefault="00E44FE1" w:rsidP="00E44FE1">
            <w:pPr>
              <w:spacing w:after="0" w:line="240" w:lineRule="auto"/>
              <w:jc w:val="center"/>
              <w:rPr>
                <w:rFonts w:ascii="Calibri" w:eastAsia="Times New Roman" w:hAnsi="Calibri" w:cs="Arial"/>
                <w:sz w:val="20"/>
                <w:szCs w:val="20"/>
                <w:lang w:eastAsia="cs-CZ"/>
              </w:rPr>
            </w:pPr>
            <w:r w:rsidRPr="00E44FE1">
              <w:rPr>
                <w:rFonts w:ascii="Calibri" w:eastAsia="Times New Roman" w:hAnsi="Calibri" w:cs="Arial"/>
                <w:sz w:val="20"/>
                <w:szCs w:val="20"/>
                <w:lang w:eastAsia="cs-CZ"/>
              </w:rPr>
              <w:t>Paragraf</w:t>
            </w:r>
          </w:p>
        </w:tc>
        <w:tc>
          <w:tcPr>
            <w:tcW w:w="3714" w:type="dxa"/>
            <w:tcBorders>
              <w:top w:val="single" w:sz="8" w:space="0" w:color="auto"/>
              <w:left w:val="nil"/>
              <w:bottom w:val="single" w:sz="8" w:space="0" w:color="auto"/>
              <w:right w:val="single" w:sz="8" w:space="0" w:color="auto"/>
            </w:tcBorders>
            <w:shd w:val="clear" w:color="CCFFFF" w:fill="CCFFCC"/>
            <w:noWrap/>
            <w:vAlign w:val="center"/>
            <w:hideMark/>
          </w:tcPr>
          <w:p w14:paraId="0307B49A" w14:textId="77777777" w:rsidR="00E44FE1" w:rsidRPr="00E44FE1" w:rsidRDefault="00E44FE1" w:rsidP="00E44FE1">
            <w:pPr>
              <w:spacing w:after="0" w:line="240" w:lineRule="auto"/>
              <w:jc w:val="center"/>
              <w:rPr>
                <w:rFonts w:ascii="Calibri" w:eastAsia="Times New Roman" w:hAnsi="Calibri" w:cs="Arial"/>
                <w:sz w:val="20"/>
                <w:szCs w:val="20"/>
                <w:lang w:eastAsia="cs-CZ"/>
              </w:rPr>
            </w:pPr>
            <w:r w:rsidRPr="00E44FE1">
              <w:rPr>
                <w:rFonts w:ascii="Calibri" w:eastAsia="Times New Roman" w:hAnsi="Calibri" w:cs="Arial"/>
                <w:sz w:val="20"/>
                <w:szCs w:val="20"/>
                <w:lang w:eastAsia="cs-CZ"/>
              </w:rPr>
              <w:t>Oblast rozpočtu</w:t>
            </w:r>
          </w:p>
        </w:tc>
        <w:tc>
          <w:tcPr>
            <w:tcW w:w="1272" w:type="dxa"/>
            <w:tcBorders>
              <w:top w:val="single" w:sz="8" w:space="0" w:color="auto"/>
              <w:left w:val="nil"/>
              <w:bottom w:val="single" w:sz="8" w:space="0" w:color="auto"/>
              <w:right w:val="single" w:sz="8" w:space="0" w:color="auto"/>
            </w:tcBorders>
            <w:shd w:val="clear" w:color="CCFFFF" w:fill="CCFFCC"/>
            <w:vAlign w:val="center"/>
            <w:hideMark/>
          </w:tcPr>
          <w:p w14:paraId="59A8384F" w14:textId="77777777" w:rsidR="00E44FE1" w:rsidRPr="00E44FE1" w:rsidRDefault="00E44FE1" w:rsidP="00E44FE1">
            <w:pPr>
              <w:spacing w:after="0" w:line="240" w:lineRule="auto"/>
              <w:jc w:val="center"/>
              <w:rPr>
                <w:rFonts w:ascii="Calibri" w:eastAsia="Times New Roman" w:hAnsi="Calibri" w:cs="Arial"/>
                <w:sz w:val="20"/>
                <w:szCs w:val="20"/>
                <w:lang w:eastAsia="cs-CZ"/>
              </w:rPr>
            </w:pPr>
            <w:r w:rsidRPr="00E44FE1">
              <w:rPr>
                <w:rFonts w:ascii="Calibri" w:eastAsia="Times New Roman" w:hAnsi="Calibri" w:cs="Arial"/>
                <w:sz w:val="20"/>
                <w:szCs w:val="20"/>
                <w:lang w:eastAsia="cs-CZ"/>
              </w:rPr>
              <w:t>Schválený rozpočet</w:t>
            </w:r>
          </w:p>
        </w:tc>
        <w:tc>
          <w:tcPr>
            <w:tcW w:w="1418" w:type="dxa"/>
            <w:tcBorders>
              <w:top w:val="single" w:sz="8" w:space="0" w:color="auto"/>
              <w:left w:val="nil"/>
              <w:bottom w:val="single" w:sz="8" w:space="0" w:color="auto"/>
              <w:right w:val="single" w:sz="8" w:space="0" w:color="auto"/>
            </w:tcBorders>
            <w:shd w:val="clear" w:color="CCFFFF" w:fill="CCFFCC"/>
            <w:vAlign w:val="center"/>
            <w:hideMark/>
          </w:tcPr>
          <w:p w14:paraId="258509AB" w14:textId="77777777" w:rsidR="00E44FE1" w:rsidRPr="00E44FE1" w:rsidRDefault="00E44FE1" w:rsidP="00E44FE1">
            <w:pPr>
              <w:spacing w:after="0" w:line="240" w:lineRule="auto"/>
              <w:jc w:val="center"/>
              <w:rPr>
                <w:rFonts w:ascii="Calibri" w:eastAsia="Times New Roman" w:hAnsi="Calibri" w:cs="Arial"/>
                <w:sz w:val="20"/>
                <w:szCs w:val="20"/>
                <w:lang w:eastAsia="cs-CZ"/>
              </w:rPr>
            </w:pPr>
            <w:r w:rsidRPr="00E44FE1">
              <w:rPr>
                <w:rFonts w:ascii="Calibri" w:eastAsia="Times New Roman" w:hAnsi="Calibri" w:cs="Arial"/>
                <w:sz w:val="20"/>
                <w:szCs w:val="20"/>
                <w:lang w:eastAsia="cs-CZ"/>
              </w:rPr>
              <w:t>Rozpočet po úpravě</w:t>
            </w:r>
          </w:p>
        </w:tc>
        <w:tc>
          <w:tcPr>
            <w:tcW w:w="1417" w:type="dxa"/>
            <w:tcBorders>
              <w:top w:val="single" w:sz="8" w:space="0" w:color="auto"/>
              <w:left w:val="nil"/>
              <w:bottom w:val="single" w:sz="8" w:space="0" w:color="auto"/>
              <w:right w:val="single" w:sz="8" w:space="0" w:color="auto"/>
            </w:tcBorders>
            <w:shd w:val="clear" w:color="CCFFFF" w:fill="CCFFCC"/>
            <w:noWrap/>
            <w:vAlign w:val="center"/>
            <w:hideMark/>
          </w:tcPr>
          <w:p w14:paraId="7BD09CDD" w14:textId="77777777" w:rsidR="00E44FE1" w:rsidRPr="00E44FE1" w:rsidRDefault="00E44FE1" w:rsidP="00E44FE1">
            <w:pPr>
              <w:spacing w:after="0" w:line="240" w:lineRule="auto"/>
              <w:jc w:val="center"/>
              <w:rPr>
                <w:rFonts w:ascii="Calibri" w:eastAsia="Times New Roman" w:hAnsi="Calibri" w:cs="Arial"/>
                <w:sz w:val="20"/>
                <w:szCs w:val="20"/>
                <w:lang w:eastAsia="cs-CZ"/>
              </w:rPr>
            </w:pPr>
            <w:r w:rsidRPr="00E44FE1">
              <w:rPr>
                <w:rFonts w:ascii="Calibri" w:eastAsia="Times New Roman" w:hAnsi="Calibri" w:cs="Arial"/>
                <w:sz w:val="20"/>
                <w:szCs w:val="20"/>
                <w:lang w:eastAsia="cs-CZ"/>
              </w:rPr>
              <w:t>Skutečnost</w:t>
            </w:r>
          </w:p>
        </w:tc>
        <w:tc>
          <w:tcPr>
            <w:tcW w:w="647" w:type="dxa"/>
            <w:tcBorders>
              <w:top w:val="single" w:sz="8" w:space="0" w:color="auto"/>
              <w:left w:val="nil"/>
              <w:bottom w:val="single" w:sz="8" w:space="0" w:color="auto"/>
              <w:right w:val="single" w:sz="8" w:space="0" w:color="auto"/>
            </w:tcBorders>
            <w:shd w:val="clear" w:color="CCFFFF" w:fill="CCFFCC"/>
            <w:vAlign w:val="center"/>
            <w:hideMark/>
          </w:tcPr>
          <w:p w14:paraId="0D1ECFE3" w14:textId="77777777" w:rsidR="00E44FE1" w:rsidRPr="00E44FE1" w:rsidRDefault="00E44FE1" w:rsidP="00E44FE1">
            <w:pPr>
              <w:spacing w:after="0" w:line="240" w:lineRule="auto"/>
              <w:jc w:val="center"/>
              <w:rPr>
                <w:rFonts w:ascii="Calibri" w:eastAsia="Times New Roman" w:hAnsi="Calibri" w:cs="Arial"/>
                <w:sz w:val="20"/>
                <w:szCs w:val="20"/>
                <w:lang w:eastAsia="cs-CZ"/>
              </w:rPr>
            </w:pPr>
            <w:r w:rsidRPr="00E44FE1">
              <w:rPr>
                <w:rFonts w:ascii="Calibri" w:eastAsia="Times New Roman" w:hAnsi="Calibri" w:cs="Arial"/>
                <w:sz w:val="20"/>
                <w:szCs w:val="20"/>
                <w:lang w:eastAsia="cs-CZ"/>
              </w:rPr>
              <w:t>% plnění</w:t>
            </w:r>
          </w:p>
        </w:tc>
      </w:tr>
      <w:tr w:rsidR="00E44FE1" w:rsidRPr="00E44FE1" w14:paraId="67B36937" w14:textId="77777777" w:rsidTr="00514A08">
        <w:trPr>
          <w:trHeight w:val="360"/>
        </w:trPr>
        <w:tc>
          <w:tcPr>
            <w:tcW w:w="826" w:type="dxa"/>
            <w:tcBorders>
              <w:top w:val="nil"/>
              <w:left w:val="nil"/>
              <w:bottom w:val="nil"/>
              <w:right w:val="nil"/>
            </w:tcBorders>
            <w:shd w:val="clear" w:color="auto" w:fill="auto"/>
            <w:noWrap/>
            <w:vAlign w:val="bottom"/>
            <w:hideMark/>
          </w:tcPr>
          <w:p w14:paraId="66937A04" w14:textId="77777777" w:rsidR="00E44FE1" w:rsidRPr="00E44FE1" w:rsidRDefault="00E44FE1" w:rsidP="00E44FE1">
            <w:pPr>
              <w:spacing w:after="0" w:line="240" w:lineRule="auto"/>
              <w:rPr>
                <w:rFonts w:ascii="Calibri" w:eastAsia="Times New Roman" w:hAnsi="Calibri" w:cs="Arial"/>
                <w:sz w:val="20"/>
                <w:szCs w:val="20"/>
                <w:lang w:eastAsia="cs-CZ"/>
              </w:rPr>
            </w:pPr>
            <w:r w:rsidRPr="00E44FE1">
              <w:rPr>
                <w:rFonts w:ascii="Calibri" w:eastAsia="Times New Roman" w:hAnsi="Calibri" w:cs="Arial"/>
                <w:sz w:val="20"/>
                <w:szCs w:val="20"/>
                <w:lang w:eastAsia="cs-CZ"/>
              </w:rPr>
              <w:t> </w:t>
            </w:r>
          </w:p>
        </w:tc>
        <w:tc>
          <w:tcPr>
            <w:tcW w:w="3714" w:type="dxa"/>
            <w:tcBorders>
              <w:top w:val="nil"/>
              <w:left w:val="nil"/>
              <w:bottom w:val="nil"/>
              <w:right w:val="nil"/>
            </w:tcBorders>
            <w:shd w:val="clear" w:color="auto" w:fill="auto"/>
            <w:noWrap/>
            <w:vAlign w:val="bottom"/>
            <w:hideMark/>
          </w:tcPr>
          <w:p w14:paraId="42BCD0AE" w14:textId="77777777" w:rsidR="00E44FE1" w:rsidRPr="00E44FE1" w:rsidRDefault="00E44FE1" w:rsidP="00E44FE1">
            <w:pPr>
              <w:spacing w:after="0" w:line="240" w:lineRule="auto"/>
              <w:rPr>
                <w:rFonts w:ascii="Calibri" w:eastAsia="Times New Roman" w:hAnsi="Calibri" w:cs="Arial"/>
                <w:b/>
                <w:bCs/>
                <w:lang w:eastAsia="cs-CZ"/>
              </w:rPr>
            </w:pPr>
            <w:r w:rsidRPr="00E44FE1">
              <w:rPr>
                <w:rFonts w:ascii="Calibri" w:eastAsia="Times New Roman" w:hAnsi="Calibri" w:cs="Arial"/>
                <w:b/>
                <w:bCs/>
                <w:lang w:eastAsia="cs-CZ"/>
              </w:rPr>
              <w:t>Běžné výdaje</w:t>
            </w:r>
          </w:p>
        </w:tc>
        <w:tc>
          <w:tcPr>
            <w:tcW w:w="1272" w:type="dxa"/>
            <w:tcBorders>
              <w:top w:val="nil"/>
              <w:left w:val="nil"/>
              <w:bottom w:val="nil"/>
              <w:right w:val="nil"/>
            </w:tcBorders>
            <w:shd w:val="clear" w:color="auto" w:fill="auto"/>
            <w:noWrap/>
            <w:vAlign w:val="bottom"/>
            <w:hideMark/>
          </w:tcPr>
          <w:p w14:paraId="609E8C42" w14:textId="77777777" w:rsidR="00E44FE1" w:rsidRPr="00E44FE1" w:rsidRDefault="00E44FE1" w:rsidP="00E44FE1">
            <w:pPr>
              <w:spacing w:after="0" w:line="240" w:lineRule="auto"/>
              <w:rPr>
                <w:rFonts w:ascii="Calibri" w:eastAsia="Times New Roman" w:hAnsi="Calibri" w:cs="Arial"/>
                <w:sz w:val="20"/>
                <w:szCs w:val="20"/>
                <w:lang w:eastAsia="cs-CZ"/>
              </w:rPr>
            </w:pPr>
            <w:r w:rsidRPr="00E44FE1">
              <w:rPr>
                <w:rFonts w:ascii="Calibri" w:eastAsia="Times New Roman" w:hAnsi="Calibri" w:cs="Arial"/>
                <w:sz w:val="20"/>
                <w:szCs w:val="20"/>
                <w:lang w:eastAsia="cs-CZ"/>
              </w:rPr>
              <w:t> </w:t>
            </w:r>
          </w:p>
        </w:tc>
        <w:tc>
          <w:tcPr>
            <w:tcW w:w="1418" w:type="dxa"/>
            <w:tcBorders>
              <w:top w:val="nil"/>
              <w:left w:val="nil"/>
              <w:bottom w:val="nil"/>
              <w:right w:val="nil"/>
            </w:tcBorders>
            <w:shd w:val="clear" w:color="auto" w:fill="auto"/>
            <w:noWrap/>
            <w:vAlign w:val="bottom"/>
            <w:hideMark/>
          </w:tcPr>
          <w:p w14:paraId="3D77B324" w14:textId="77777777" w:rsidR="00E44FE1" w:rsidRPr="00E44FE1" w:rsidRDefault="00E44FE1" w:rsidP="00E44FE1">
            <w:pPr>
              <w:spacing w:after="0" w:line="240" w:lineRule="auto"/>
              <w:rPr>
                <w:rFonts w:ascii="Calibri" w:eastAsia="Times New Roman" w:hAnsi="Calibri" w:cs="Arial"/>
                <w:sz w:val="20"/>
                <w:szCs w:val="20"/>
                <w:lang w:eastAsia="cs-CZ"/>
              </w:rPr>
            </w:pPr>
            <w:r w:rsidRPr="00E44FE1">
              <w:rPr>
                <w:rFonts w:ascii="Calibri" w:eastAsia="Times New Roman" w:hAnsi="Calibri" w:cs="Arial"/>
                <w:sz w:val="20"/>
                <w:szCs w:val="20"/>
                <w:lang w:eastAsia="cs-CZ"/>
              </w:rPr>
              <w:t> </w:t>
            </w:r>
          </w:p>
        </w:tc>
        <w:tc>
          <w:tcPr>
            <w:tcW w:w="1417" w:type="dxa"/>
            <w:tcBorders>
              <w:top w:val="nil"/>
              <w:left w:val="nil"/>
              <w:bottom w:val="nil"/>
              <w:right w:val="nil"/>
            </w:tcBorders>
            <w:shd w:val="clear" w:color="auto" w:fill="auto"/>
            <w:noWrap/>
            <w:vAlign w:val="bottom"/>
            <w:hideMark/>
          </w:tcPr>
          <w:p w14:paraId="34204CE3" w14:textId="77777777" w:rsidR="00E44FE1" w:rsidRPr="00E44FE1" w:rsidRDefault="00E44FE1" w:rsidP="00E44FE1">
            <w:pPr>
              <w:spacing w:after="0" w:line="240" w:lineRule="auto"/>
              <w:rPr>
                <w:rFonts w:ascii="Calibri" w:eastAsia="Times New Roman" w:hAnsi="Calibri" w:cs="Arial"/>
                <w:sz w:val="20"/>
                <w:szCs w:val="20"/>
                <w:lang w:eastAsia="cs-CZ"/>
              </w:rPr>
            </w:pPr>
            <w:r w:rsidRPr="00E44FE1">
              <w:rPr>
                <w:rFonts w:ascii="Calibri" w:eastAsia="Times New Roman" w:hAnsi="Calibri" w:cs="Arial"/>
                <w:sz w:val="20"/>
                <w:szCs w:val="20"/>
                <w:lang w:eastAsia="cs-CZ"/>
              </w:rPr>
              <w:t> </w:t>
            </w:r>
          </w:p>
        </w:tc>
        <w:tc>
          <w:tcPr>
            <w:tcW w:w="647" w:type="dxa"/>
            <w:tcBorders>
              <w:top w:val="nil"/>
              <w:left w:val="nil"/>
              <w:bottom w:val="nil"/>
              <w:right w:val="nil"/>
            </w:tcBorders>
            <w:shd w:val="clear" w:color="auto" w:fill="auto"/>
            <w:noWrap/>
            <w:vAlign w:val="bottom"/>
            <w:hideMark/>
          </w:tcPr>
          <w:p w14:paraId="56326E04" w14:textId="77777777" w:rsidR="00E44FE1" w:rsidRPr="00E44FE1" w:rsidRDefault="00E44FE1" w:rsidP="00E44FE1">
            <w:pPr>
              <w:spacing w:after="0" w:line="240" w:lineRule="auto"/>
              <w:rPr>
                <w:rFonts w:ascii="Calibri" w:eastAsia="Times New Roman" w:hAnsi="Calibri" w:cs="Arial"/>
                <w:sz w:val="20"/>
                <w:szCs w:val="20"/>
                <w:lang w:eastAsia="cs-CZ"/>
              </w:rPr>
            </w:pPr>
            <w:r w:rsidRPr="00E44FE1">
              <w:rPr>
                <w:rFonts w:ascii="Calibri" w:eastAsia="Times New Roman" w:hAnsi="Calibri" w:cs="Arial"/>
                <w:sz w:val="20"/>
                <w:szCs w:val="20"/>
                <w:lang w:eastAsia="cs-CZ"/>
              </w:rPr>
              <w:t> </w:t>
            </w:r>
          </w:p>
        </w:tc>
      </w:tr>
      <w:tr w:rsidR="00E44FE1" w:rsidRPr="00E44FE1" w14:paraId="169648A3" w14:textId="77777777" w:rsidTr="00514A08">
        <w:trPr>
          <w:trHeight w:val="260"/>
        </w:trPr>
        <w:tc>
          <w:tcPr>
            <w:tcW w:w="826"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68D8540C" w14:textId="77777777" w:rsidR="00E44FE1" w:rsidRPr="00E44FE1" w:rsidRDefault="00E44FE1" w:rsidP="00E44FE1">
            <w:pPr>
              <w:spacing w:after="0" w:line="240" w:lineRule="auto"/>
              <w:jc w:val="center"/>
              <w:rPr>
                <w:rFonts w:ascii="Calibri" w:eastAsia="Times New Roman" w:hAnsi="Calibri" w:cs="Arial"/>
                <w:sz w:val="20"/>
                <w:szCs w:val="20"/>
                <w:lang w:eastAsia="cs-CZ"/>
              </w:rPr>
            </w:pPr>
            <w:r w:rsidRPr="00E44FE1">
              <w:rPr>
                <w:rFonts w:ascii="Calibri" w:eastAsia="Times New Roman" w:hAnsi="Calibri" w:cs="Arial"/>
                <w:sz w:val="20"/>
                <w:szCs w:val="20"/>
                <w:lang w:eastAsia="cs-CZ"/>
              </w:rPr>
              <w:t>6113</w:t>
            </w:r>
          </w:p>
        </w:tc>
        <w:tc>
          <w:tcPr>
            <w:tcW w:w="3714" w:type="dxa"/>
            <w:tcBorders>
              <w:top w:val="single" w:sz="8" w:space="0" w:color="auto"/>
              <w:left w:val="nil"/>
              <w:bottom w:val="single" w:sz="4" w:space="0" w:color="auto"/>
              <w:right w:val="single" w:sz="4" w:space="0" w:color="auto"/>
            </w:tcBorders>
            <w:shd w:val="clear" w:color="auto" w:fill="auto"/>
            <w:noWrap/>
            <w:vAlign w:val="bottom"/>
            <w:hideMark/>
          </w:tcPr>
          <w:p w14:paraId="4E1D2DDF" w14:textId="77777777" w:rsidR="00E44FE1" w:rsidRPr="00E44FE1" w:rsidRDefault="00E44FE1" w:rsidP="00E44FE1">
            <w:pPr>
              <w:spacing w:after="0" w:line="240" w:lineRule="auto"/>
              <w:rPr>
                <w:rFonts w:ascii="Calibri" w:eastAsia="Times New Roman" w:hAnsi="Calibri" w:cs="Arial"/>
                <w:sz w:val="20"/>
                <w:szCs w:val="20"/>
                <w:lang w:eastAsia="cs-CZ"/>
              </w:rPr>
            </w:pPr>
            <w:r w:rsidRPr="00E44FE1">
              <w:rPr>
                <w:rFonts w:ascii="Calibri" w:eastAsia="Times New Roman" w:hAnsi="Calibri" w:cs="Arial"/>
                <w:sz w:val="20"/>
                <w:szCs w:val="20"/>
                <w:lang w:eastAsia="cs-CZ"/>
              </w:rPr>
              <w:t>Zastupitelstva krajů</w:t>
            </w:r>
          </w:p>
        </w:tc>
        <w:tc>
          <w:tcPr>
            <w:tcW w:w="1272" w:type="dxa"/>
            <w:tcBorders>
              <w:top w:val="single" w:sz="8" w:space="0" w:color="auto"/>
              <w:left w:val="nil"/>
              <w:bottom w:val="single" w:sz="4" w:space="0" w:color="auto"/>
              <w:right w:val="single" w:sz="4" w:space="0" w:color="auto"/>
            </w:tcBorders>
            <w:shd w:val="clear" w:color="auto" w:fill="auto"/>
            <w:noWrap/>
            <w:vAlign w:val="bottom"/>
            <w:hideMark/>
          </w:tcPr>
          <w:p w14:paraId="507591DD" w14:textId="77777777" w:rsidR="00E44FE1" w:rsidRPr="00E44FE1" w:rsidRDefault="00E44FE1" w:rsidP="00E44FE1">
            <w:pPr>
              <w:spacing w:after="0" w:line="240" w:lineRule="auto"/>
              <w:jc w:val="right"/>
              <w:rPr>
                <w:rFonts w:ascii="Calibri" w:eastAsia="Times New Roman" w:hAnsi="Calibri" w:cs="Arial"/>
                <w:sz w:val="20"/>
                <w:szCs w:val="20"/>
                <w:lang w:eastAsia="cs-CZ"/>
              </w:rPr>
            </w:pPr>
            <w:r w:rsidRPr="00E44FE1">
              <w:rPr>
                <w:rFonts w:ascii="Calibri" w:eastAsia="Times New Roman" w:hAnsi="Calibri" w:cs="Arial"/>
                <w:sz w:val="20"/>
                <w:szCs w:val="20"/>
                <w:lang w:eastAsia="cs-CZ"/>
              </w:rPr>
              <w:t>2 200 000</w:t>
            </w:r>
          </w:p>
        </w:tc>
        <w:tc>
          <w:tcPr>
            <w:tcW w:w="1418" w:type="dxa"/>
            <w:tcBorders>
              <w:top w:val="single" w:sz="8" w:space="0" w:color="auto"/>
              <w:left w:val="nil"/>
              <w:bottom w:val="single" w:sz="4" w:space="0" w:color="auto"/>
              <w:right w:val="single" w:sz="4" w:space="0" w:color="auto"/>
            </w:tcBorders>
            <w:shd w:val="clear" w:color="auto" w:fill="auto"/>
            <w:noWrap/>
            <w:vAlign w:val="bottom"/>
            <w:hideMark/>
          </w:tcPr>
          <w:p w14:paraId="49699A8F" w14:textId="77777777" w:rsidR="00E44FE1" w:rsidRPr="00E44FE1" w:rsidRDefault="00E44FE1" w:rsidP="00E44FE1">
            <w:pPr>
              <w:spacing w:after="0" w:line="240" w:lineRule="auto"/>
              <w:jc w:val="right"/>
              <w:rPr>
                <w:rFonts w:ascii="Calibri" w:eastAsia="Times New Roman" w:hAnsi="Calibri" w:cs="Arial"/>
                <w:sz w:val="20"/>
                <w:szCs w:val="20"/>
                <w:lang w:eastAsia="cs-CZ"/>
              </w:rPr>
            </w:pPr>
            <w:r w:rsidRPr="00E44FE1">
              <w:rPr>
                <w:rFonts w:ascii="Calibri" w:eastAsia="Times New Roman" w:hAnsi="Calibri" w:cs="Arial"/>
                <w:sz w:val="20"/>
                <w:szCs w:val="20"/>
                <w:lang w:eastAsia="cs-CZ"/>
              </w:rPr>
              <w:t>400 000,00</w:t>
            </w:r>
          </w:p>
        </w:tc>
        <w:tc>
          <w:tcPr>
            <w:tcW w:w="1417" w:type="dxa"/>
            <w:tcBorders>
              <w:top w:val="single" w:sz="8" w:space="0" w:color="auto"/>
              <w:left w:val="nil"/>
              <w:bottom w:val="single" w:sz="4" w:space="0" w:color="auto"/>
              <w:right w:val="single" w:sz="4" w:space="0" w:color="auto"/>
            </w:tcBorders>
            <w:shd w:val="clear" w:color="auto" w:fill="auto"/>
            <w:noWrap/>
            <w:vAlign w:val="bottom"/>
            <w:hideMark/>
          </w:tcPr>
          <w:p w14:paraId="735B4087" w14:textId="77777777" w:rsidR="00E44FE1" w:rsidRPr="00E44FE1" w:rsidRDefault="00E44FE1" w:rsidP="00E44FE1">
            <w:pPr>
              <w:spacing w:after="0" w:line="240" w:lineRule="auto"/>
              <w:jc w:val="right"/>
              <w:rPr>
                <w:rFonts w:ascii="Calibri" w:eastAsia="Times New Roman" w:hAnsi="Calibri" w:cs="Arial"/>
                <w:sz w:val="20"/>
                <w:szCs w:val="20"/>
                <w:lang w:eastAsia="cs-CZ"/>
              </w:rPr>
            </w:pPr>
            <w:r w:rsidRPr="00E44FE1">
              <w:rPr>
                <w:rFonts w:ascii="Calibri" w:eastAsia="Times New Roman" w:hAnsi="Calibri" w:cs="Arial"/>
                <w:sz w:val="20"/>
                <w:szCs w:val="20"/>
                <w:lang w:eastAsia="cs-CZ"/>
              </w:rPr>
              <w:t>384 808,99</w:t>
            </w:r>
          </w:p>
        </w:tc>
        <w:tc>
          <w:tcPr>
            <w:tcW w:w="647" w:type="dxa"/>
            <w:tcBorders>
              <w:top w:val="single" w:sz="8" w:space="0" w:color="auto"/>
              <w:left w:val="nil"/>
              <w:bottom w:val="single" w:sz="4" w:space="0" w:color="auto"/>
              <w:right w:val="single" w:sz="8" w:space="0" w:color="auto"/>
            </w:tcBorders>
            <w:shd w:val="clear" w:color="auto" w:fill="auto"/>
            <w:noWrap/>
            <w:vAlign w:val="bottom"/>
            <w:hideMark/>
          </w:tcPr>
          <w:p w14:paraId="0EC7806B" w14:textId="77777777" w:rsidR="00E44FE1" w:rsidRPr="00E44FE1" w:rsidRDefault="00E44FE1" w:rsidP="00E44FE1">
            <w:pPr>
              <w:spacing w:after="0" w:line="240" w:lineRule="auto"/>
              <w:jc w:val="right"/>
              <w:rPr>
                <w:rFonts w:ascii="Calibri" w:eastAsia="Times New Roman" w:hAnsi="Calibri" w:cs="Arial"/>
                <w:sz w:val="20"/>
                <w:szCs w:val="20"/>
                <w:lang w:eastAsia="cs-CZ"/>
              </w:rPr>
            </w:pPr>
            <w:r w:rsidRPr="00E44FE1">
              <w:rPr>
                <w:rFonts w:ascii="Calibri" w:eastAsia="Times New Roman" w:hAnsi="Calibri" w:cs="Arial"/>
                <w:sz w:val="20"/>
                <w:szCs w:val="20"/>
                <w:lang w:eastAsia="cs-CZ"/>
              </w:rPr>
              <w:t>96,2</w:t>
            </w:r>
          </w:p>
        </w:tc>
      </w:tr>
      <w:tr w:rsidR="00E44FE1" w:rsidRPr="00E44FE1" w14:paraId="2C805298" w14:textId="77777777" w:rsidTr="00514A08">
        <w:trPr>
          <w:trHeight w:val="26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1E6D5ECC" w14:textId="77777777" w:rsidR="00E44FE1" w:rsidRPr="00E44FE1" w:rsidRDefault="00E44FE1" w:rsidP="00E44FE1">
            <w:pPr>
              <w:spacing w:after="0" w:line="240" w:lineRule="auto"/>
              <w:jc w:val="center"/>
              <w:rPr>
                <w:rFonts w:ascii="Calibri" w:eastAsia="Times New Roman" w:hAnsi="Calibri" w:cs="Arial"/>
                <w:sz w:val="20"/>
                <w:szCs w:val="20"/>
                <w:lang w:eastAsia="cs-CZ"/>
              </w:rPr>
            </w:pPr>
            <w:r w:rsidRPr="00E44FE1">
              <w:rPr>
                <w:rFonts w:ascii="Calibri" w:eastAsia="Times New Roman" w:hAnsi="Calibri" w:cs="Arial"/>
                <w:sz w:val="20"/>
                <w:szCs w:val="20"/>
                <w:lang w:eastAsia="cs-CZ"/>
              </w:rPr>
              <w:t> </w:t>
            </w:r>
          </w:p>
        </w:tc>
        <w:tc>
          <w:tcPr>
            <w:tcW w:w="8468" w:type="dxa"/>
            <w:gridSpan w:val="5"/>
            <w:tcBorders>
              <w:top w:val="single" w:sz="4" w:space="0" w:color="auto"/>
              <w:left w:val="nil"/>
              <w:bottom w:val="single" w:sz="4" w:space="0" w:color="auto"/>
              <w:right w:val="single" w:sz="8" w:space="0" w:color="auto"/>
            </w:tcBorders>
            <w:shd w:val="clear" w:color="auto" w:fill="auto"/>
            <w:vAlign w:val="bottom"/>
            <w:hideMark/>
          </w:tcPr>
          <w:p w14:paraId="64DA79D2" w14:textId="77777777" w:rsidR="00E44FE1" w:rsidRPr="009D625C" w:rsidRDefault="00E44FE1" w:rsidP="00E44FE1">
            <w:pPr>
              <w:spacing w:after="0" w:line="240" w:lineRule="auto"/>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z toho:</w:t>
            </w:r>
          </w:p>
        </w:tc>
      </w:tr>
      <w:tr w:rsidR="00E44FE1" w:rsidRPr="00E44FE1" w14:paraId="4C478B59" w14:textId="77777777" w:rsidTr="00514A08">
        <w:trPr>
          <w:trHeight w:val="26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51ED5ADF" w14:textId="77777777" w:rsidR="00E44FE1" w:rsidRPr="00E44FE1" w:rsidRDefault="00E44FE1" w:rsidP="00E44FE1">
            <w:pPr>
              <w:spacing w:after="0" w:line="240" w:lineRule="auto"/>
              <w:jc w:val="center"/>
              <w:rPr>
                <w:rFonts w:ascii="Calibri" w:eastAsia="Times New Roman" w:hAnsi="Calibri" w:cs="Arial"/>
                <w:sz w:val="20"/>
                <w:szCs w:val="20"/>
                <w:lang w:eastAsia="cs-CZ"/>
              </w:rPr>
            </w:pPr>
            <w:bookmarkStart w:id="3" w:name="_Hlk97637379"/>
            <w:r w:rsidRPr="00E44FE1">
              <w:rPr>
                <w:rFonts w:ascii="Calibri" w:eastAsia="Times New Roman" w:hAnsi="Calibri" w:cs="Arial"/>
                <w:sz w:val="20"/>
                <w:szCs w:val="20"/>
                <w:lang w:eastAsia="cs-CZ"/>
              </w:rPr>
              <w:t> </w:t>
            </w:r>
          </w:p>
        </w:tc>
        <w:tc>
          <w:tcPr>
            <w:tcW w:w="3714" w:type="dxa"/>
            <w:tcBorders>
              <w:top w:val="nil"/>
              <w:left w:val="nil"/>
              <w:bottom w:val="single" w:sz="4" w:space="0" w:color="auto"/>
              <w:right w:val="nil"/>
            </w:tcBorders>
            <w:shd w:val="clear" w:color="auto" w:fill="auto"/>
            <w:vAlign w:val="bottom"/>
            <w:hideMark/>
          </w:tcPr>
          <w:p w14:paraId="19C40C0F" w14:textId="77777777" w:rsidR="00E44FE1" w:rsidRPr="009D625C" w:rsidRDefault="00E44FE1" w:rsidP="00E44FE1">
            <w:pPr>
              <w:spacing w:after="0" w:line="240" w:lineRule="auto"/>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5137 drobný dlouhodobý hmotný majetek</w:t>
            </w:r>
          </w:p>
        </w:tc>
        <w:tc>
          <w:tcPr>
            <w:tcW w:w="1272" w:type="dxa"/>
            <w:tcBorders>
              <w:top w:val="nil"/>
              <w:left w:val="single" w:sz="4" w:space="0" w:color="auto"/>
              <w:bottom w:val="single" w:sz="4" w:space="0" w:color="auto"/>
              <w:right w:val="nil"/>
            </w:tcBorders>
            <w:shd w:val="clear" w:color="auto" w:fill="auto"/>
            <w:vAlign w:val="bottom"/>
            <w:hideMark/>
          </w:tcPr>
          <w:p w14:paraId="110F5645" w14:textId="77777777" w:rsidR="00E44FE1" w:rsidRPr="009D625C" w:rsidRDefault="00E44FE1" w:rsidP="00E44FE1">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1 800 000</w:t>
            </w:r>
          </w:p>
        </w:tc>
        <w:tc>
          <w:tcPr>
            <w:tcW w:w="1418" w:type="dxa"/>
            <w:tcBorders>
              <w:top w:val="nil"/>
              <w:left w:val="single" w:sz="4" w:space="0" w:color="auto"/>
              <w:bottom w:val="single" w:sz="4" w:space="0" w:color="auto"/>
              <w:right w:val="nil"/>
            </w:tcBorders>
            <w:shd w:val="clear" w:color="auto" w:fill="auto"/>
            <w:vAlign w:val="bottom"/>
            <w:hideMark/>
          </w:tcPr>
          <w:p w14:paraId="146D5F19" w14:textId="77777777" w:rsidR="00E44FE1" w:rsidRPr="009D625C" w:rsidRDefault="00E44FE1" w:rsidP="00E44FE1">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0,00</w:t>
            </w:r>
          </w:p>
        </w:tc>
        <w:tc>
          <w:tcPr>
            <w:tcW w:w="1417" w:type="dxa"/>
            <w:tcBorders>
              <w:top w:val="nil"/>
              <w:left w:val="single" w:sz="4" w:space="0" w:color="auto"/>
              <w:bottom w:val="single" w:sz="4" w:space="0" w:color="auto"/>
              <w:right w:val="nil"/>
            </w:tcBorders>
            <w:shd w:val="clear" w:color="auto" w:fill="auto"/>
            <w:vAlign w:val="bottom"/>
            <w:hideMark/>
          </w:tcPr>
          <w:p w14:paraId="42E6073E" w14:textId="77777777" w:rsidR="00E44FE1" w:rsidRPr="009D625C" w:rsidRDefault="00E44FE1" w:rsidP="00E44FE1">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0,00</w:t>
            </w:r>
          </w:p>
        </w:tc>
        <w:tc>
          <w:tcPr>
            <w:tcW w:w="647" w:type="dxa"/>
            <w:tcBorders>
              <w:top w:val="nil"/>
              <w:left w:val="single" w:sz="4" w:space="0" w:color="auto"/>
              <w:bottom w:val="single" w:sz="4" w:space="0" w:color="auto"/>
              <w:right w:val="single" w:sz="8" w:space="0" w:color="auto"/>
            </w:tcBorders>
            <w:shd w:val="clear" w:color="auto" w:fill="auto"/>
            <w:noWrap/>
            <w:vAlign w:val="bottom"/>
            <w:hideMark/>
          </w:tcPr>
          <w:p w14:paraId="0DB0A21B" w14:textId="77777777" w:rsidR="00E44FE1" w:rsidRPr="009D625C" w:rsidRDefault="00E44FE1" w:rsidP="00E44FE1">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w:t>
            </w:r>
          </w:p>
        </w:tc>
      </w:tr>
      <w:bookmarkEnd w:id="3"/>
      <w:tr w:rsidR="00E44FE1" w:rsidRPr="00E44FE1" w14:paraId="06DA7B12" w14:textId="77777777" w:rsidTr="00514A08">
        <w:trPr>
          <w:trHeight w:val="52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6FB9AF3E" w14:textId="77777777" w:rsidR="00E44FE1" w:rsidRPr="00E44FE1" w:rsidRDefault="00E44FE1" w:rsidP="00E44FE1">
            <w:pPr>
              <w:spacing w:after="0" w:line="240" w:lineRule="auto"/>
              <w:jc w:val="center"/>
              <w:rPr>
                <w:rFonts w:ascii="Calibri" w:eastAsia="Times New Roman" w:hAnsi="Calibri" w:cs="Arial"/>
                <w:sz w:val="20"/>
                <w:szCs w:val="20"/>
                <w:lang w:eastAsia="cs-CZ"/>
              </w:rPr>
            </w:pPr>
            <w:r w:rsidRPr="00E44FE1">
              <w:rPr>
                <w:rFonts w:ascii="Calibri" w:eastAsia="Times New Roman" w:hAnsi="Calibri" w:cs="Arial"/>
                <w:sz w:val="20"/>
                <w:szCs w:val="20"/>
                <w:lang w:eastAsia="cs-CZ"/>
              </w:rPr>
              <w:t> </w:t>
            </w:r>
          </w:p>
        </w:tc>
        <w:tc>
          <w:tcPr>
            <w:tcW w:w="3714" w:type="dxa"/>
            <w:tcBorders>
              <w:top w:val="nil"/>
              <w:left w:val="nil"/>
              <w:bottom w:val="single" w:sz="4" w:space="0" w:color="auto"/>
              <w:right w:val="nil"/>
            </w:tcBorders>
            <w:shd w:val="clear" w:color="auto" w:fill="auto"/>
            <w:vAlign w:val="bottom"/>
            <w:hideMark/>
          </w:tcPr>
          <w:p w14:paraId="4184DC87" w14:textId="77777777" w:rsidR="00E44FE1" w:rsidRPr="009D625C" w:rsidRDefault="00E44FE1" w:rsidP="00E44FE1">
            <w:pPr>
              <w:spacing w:after="0" w:line="240" w:lineRule="auto"/>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5168 zpracování dat a služby související s informačními a komunikačními technologiemi</w:t>
            </w:r>
          </w:p>
        </w:tc>
        <w:tc>
          <w:tcPr>
            <w:tcW w:w="1272" w:type="dxa"/>
            <w:tcBorders>
              <w:top w:val="nil"/>
              <w:left w:val="single" w:sz="4" w:space="0" w:color="auto"/>
              <w:bottom w:val="single" w:sz="4" w:space="0" w:color="auto"/>
              <w:right w:val="nil"/>
            </w:tcBorders>
            <w:shd w:val="clear" w:color="auto" w:fill="auto"/>
            <w:vAlign w:val="bottom"/>
            <w:hideMark/>
          </w:tcPr>
          <w:p w14:paraId="210CFC63" w14:textId="77777777" w:rsidR="00E44FE1" w:rsidRPr="009D625C" w:rsidRDefault="00E44FE1" w:rsidP="00E44FE1">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100 000</w:t>
            </w:r>
          </w:p>
        </w:tc>
        <w:tc>
          <w:tcPr>
            <w:tcW w:w="1418" w:type="dxa"/>
            <w:tcBorders>
              <w:top w:val="nil"/>
              <w:left w:val="single" w:sz="4" w:space="0" w:color="auto"/>
              <w:bottom w:val="single" w:sz="4" w:space="0" w:color="auto"/>
              <w:right w:val="nil"/>
            </w:tcBorders>
            <w:shd w:val="clear" w:color="auto" w:fill="auto"/>
            <w:vAlign w:val="bottom"/>
            <w:hideMark/>
          </w:tcPr>
          <w:p w14:paraId="0A3B3789" w14:textId="77777777" w:rsidR="00E44FE1" w:rsidRPr="009D625C" w:rsidRDefault="00E44FE1" w:rsidP="00E44FE1">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54 450,00</w:t>
            </w:r>
          </w:p>
        </w:tc>
        <w:tc>
          <w:tcPr>
            <w:tcW w:w="1417" w:type="dxa"/>
            <w:tcBorders>
              <w:top w:val="nil"/>
              <w:left w:val="single" w:sz="4" w:space="0" w:color="auto"/>
              <w:bottom w:val="single" w:sz="4" w:space="0" w:color="auto"/>
              <w:right w:val="nil"/>
            </w:tcBorders>
            <w:shd w:val="clear" w:color="auto" w:fill="auto"/>
            <w:vAlign w:val="bottom"/>
            <w:hideMark/>
          </w:tcPr>
          <w:p w14:paraId="1CCE46E2" w14:textId="77777777" w:rsidR="00E44FE1" w:rsidRPr="009D625C" w:rsidRDefault="00E44FE1" w:rsidP="00E44FE1">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54 450,00</w:t>
            </w:r>
          </w:p>
        </w:tc>
        <w:tc>
          <w:tcPr>
            <w:tcW w:w="647" w:type="dxa"/>
            <w:tcBorders>
              <w:top w:val="nil"/>
              <w:left w:val="single" w:sz="4" w:space="0" w:color="auto"/>
              <w:bottom w:val="single" w:sz="4" w:space="0" w:color="auto"/>
              <w:right w:val="single" w:sz="8" w:space="0" w:color="auto"/>
            </w:tcBorders>
            <w:shd w:val="clear" w:color="auto" w:fill="auto"/>
            <w:noWrap/>
            <w:vAlign w:val="bottom"/>
            <w:hideMark/>
          </w:tcPr>
          <w:p w14:paraId="308203D9" w14:textId="77777777" w:rsidR="00E44FE1" w:rsidRPr="009D625C" w:rsidRDefault="00E44FE1" w:rsidP="00E44FE1">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100,0</w:t>
            </w:r>
          </w:p>
        </w:tc>
      </w:tr>
      <w:tr w:rsidR="00E44FE1" w:rsidRPr="00E44FE1" w14:paraId="52948AFA" w14:textId="77777777" w:rsidTr="00514A08">
        <w:trPr>
          <w:trHeight w:val="51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06B00FD9" w14:textId="77777777" w:rsidR="00E44FE1" w:rsidRPr="00E44FE1" w:rsidRDefault="00E44FE1" w:rsidP="00E44FE1">
            <w:pPr>
              <w:spacing w:after="0" w:line="240" w:lineRule="auto"/>
              <w:jc w:val="center"/>
              <w:rPr>
                <w:rFonts w:ascii="Calibri" w:eastAsia="Times New Roman" w:hAnsi="Calibri" w:cs="Arial"/>
                <w:sz w:val="20"/>
                <w:szCs w:val="20"/>
                <w:lang w:eastAsia="cs-CZ"/>
              </w:rPr>
            </w:pPr>
            <w:r w:rsidRPr="00E44FE1">
              <w:rPr>
                <w:rFonts w:ascii="Calibri" w:eastAsia="Times New Roman" w:hAnsi="Calibri" w:cs="Arial"/>
                <w:sz w:val="20"/>
                <w:szCs w:val="20"/>
                <w:lang w:eastAsia="cs-CZ"/>
              </w:rPr>
              <w:t> </w:t>
            </w:r>
          </w:p>
        </w:tc>
        <w:tc>
          <w:tcPr>
            <w:tcW w:w="3714" w:type="dxa"/>
            <w:tcBorders>
              <w:top w:val="nil"/>
              <w:left w:val="nil"/>
              <w:bottom w:val="single" w:sz="4" w:space="0" w:color="auto"/>
              <w:right w:val="single" w:sz="4" w:space="0" w:color="auto"/>
            </w:tcBorders>
            <w:shd w:val="clear" w:color="auto" w:fill="auto"/>
            <w:noWrap/>
            <w:vAlign w:val="bottom"/>
            <w:hideMark/>
          </w:tcPr>
          <w:p w14:paraId="2B5CB50D" w14:textId="77777777" w:rsidR="00E44FE1" w:rsidRPr="009D625C" w:rsidRDefault="00E44FE1" w:rsidP="00E44FE1">
            <w:pPr>
              <w:spacing w:after="0" w:line="240" w:lineRule="auto"/>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5169 nákup ostatních služeb</w:t>
            </w:r>
          </w:p>
        </w:tc>
        <w:tc>
          <w:tcPr>
            <w:tcW w:w="1272" w:type="dxa"/>
            <w:tcBorders>
              <w:top w:val="nil"/>
              <w:left w:val="nil"/>
              <w:bottom w:val="single" w:sz="4" w:space="0" w:color="auto"/>
              <w:right w:val="single" w:sz="4" w:space="0" w:color="auto"/>
            </w:tcBorders>
            <w:shd w:val="clear" w:color="auto" w:fill="auto"/>
            <w:noWrap/>
            <w:vAlign w:val="bottom"/>
            <w:hideMark/>
          </w:tcPr>
          <w:p w14:paraId="1E9A7690" w14:textId="77777777" w:rsidR="00E44FE1" w:rsidRPr="009D625C" w:rsidRDefault="00E44FE1" w:rsidP="00E44FE1">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300 000</w:t>
            </w:r>
          </w:p>
        </w:tc>
        <w:tc>
          <w:tcPr>
            <w:tcW w:w="1418" w:type="dxa"/>
            <w:tcBorders>
              <w:top w:val="nil"/>
              <w:left w:val="nil"/>
              <w:bottom w:val="single" w:sz="4" w:space="0" w:color="auto"/>
              <w:right w:val="single" w:sz="4" w:space="0" w:color="auto"/>
            </w:tcBorders>
            <w:shd w:val="clear" w:color="auto" w:fill="auto"/>
            <w:noWrap/>
            <w:vAlign w:val="bottom"/>
            <w:hideMark/>
          </w:tcPr>
          <w:p w14:paraId="26C326B0" w14:textId="77777777" w:rsidR="00E44FE1" w:rsidRPr="009D625C" w:rsidRDefault="00E44FE1" w:rsidP="00E44FE1">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345 550,00</w:t>
            </w:r>
          </w:p>
        </w:tc>
        <w:tc>
          <w:tcPr>
            <w:tcW w:w="1417" w:type="dxa"/>
            <w:tcBorders>
              <w:top w:val="nil"/>
              <w:left w:val="nil"/>
              <w:bottom w:val="single" w:sz="4" w:space="0" w:color="auto"/>
              <w:right w:val="single" w:sz="4" w:space="0" w:color="auto"/>
            </w:tcBorders>
            <w:shd w:val="clear" w:color="auto" w:fill="auto"/>
            <w:noWrap/>
            <w:vAlign w:val="bottom"/>
            <w:hideMark/>
          </w:tcPr>
          <w:p w14:paraId="27B00681" w14:textId="77777777" w:rsidR="00E44FE1" w:rsidRPr="009D625C" w:rsidRDefault="00E44FE1" w:rsidP="00E44FE1">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330 358,99</w:t>
            </w:r>
          </w:p>
        </w:tc>
        <w:tc>
          <w:tcPr>
            <w:tcW w:w="647" w:type="dxa"/>
            <w:tcBorders>
              <w:top w:val="nil"/>
              <w:left w:val="nil"/>
              <w:bottom w:val="single" w:sz="4" w:space="0" w:color="auto"/>
              <w:right w:val="single" w:sz="8" w:space="0" w:color="auto"/>
            </w:tcBorders>
            <w:shd w:val="clear" w:color="auto" w:fill="auto"/>
            <w:noWrap/>
            <w:vAlign w:val="bottom"/>
            <w:hideMark/>
          </w:tcPr>
          <w:p w14:paraId="26F6512A" w14:textId="77777777" w:rsidR="00E44FE1" w:rsidRPr="009D625C" w:rsidRDefault="00E44FE1" w:rsidP="00E44FE1">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95,6</w:t>
            </w:r>
          </w:p>
        </w:tc>
      </w:tr>
      <w:tr w:rsidR="00E44FE1" w:rsidRPr="00E44FE1" w14:paraId="2F3104F7" w14:textId="77777777" w:rsidTr="00514A08">
        <w:trPr>
          <w:trHeight w:val="26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27A4870B" w14:textId="77777777" w:rsidR="00E44FE1" w:rsidRPr="00E44FE1" w:rsidRDefault="00E44FE1" w:rsidP="00E44FE1">
            <w:pPr>
              <w:spacing w:after="0" w:line="240" w:lineRule="auto"/>
              <w:jc w:val="center"/>
              <w:rPr>
                <w:rFonts w:ascii="Calibri" w:eastAsia="Times New Roman" w:hAnsi="Calibri" w:cs="Arial"/>
                <w:sz w:val="20"/>
                <w:szCs w:val="20"/>
                <w:lang w:eastAsia="cs-CZ"/>
              </w:rPr>
            </w:pPr>
            <w:r w:rsidRPr="00E44FE1">
              <w:rPr>
                <w:rFonts w:ascii="Calibri" w:eastAsia="Times New Roman" w:hAnsi="Calibri" w:cs="Arial"/>
                <w:sz w:val="20"/>
                <w:szCs w:val="20"/>
                <w:lang w:eastAsia="cs-CZ"/>
              </w:rPr>
              <w:t>6172</w:t>
            </w:r>
          </w:p>
        </w:tc>
        <w:tc>
          <w:tcPr>
            <w:tcW w:w="3714" w:type="dxa"/>
            <w:tcBorders>
              <w:top w:val="nil"/>
              <w:left w:val="nil"/>
              <w:bottom w:val="single" w:sz="4" w:space="0" w:color="auto"/>
              <w:right w:val="single" w:sz="4" w:space="0" w:color="auto"/>
            </w:tcBorders>
            <w:shd w:val="clear" w:color="auto" w:fill="auto"/>
            <w:vAlign w:val="bottom"/>
            <w:hideMark/>
          </w:tcPr>
          <w:p w14:paraId="6DDD6BE3" w14:textId="77777777" w:rsidR="00E44FE1" w:rsidRPr="00E44FE1" w:rsidRDefault="00E44FE1" w:rsidP="00E44FE1">
            <w:pPr>
              <w:spacing w:after="0" w:line="240" w:lineRule="auto"/>
              <w:rPr>
                <w:rFonts w:ascii="Calibri" w:eastAsia="Times New Roman" w:hAnsi="Calibri" w:cs="Arial"/>
                <w:sz w:val="20"/>
                <w:szCs w:val="20"/>
                <w:lang w:eastAsia="cs-CZ"/>
              </w:rPr>
            </w:pPr>
            <w:r w:rsidRPr="00E44FE1">
              <w:rPr>
                <w:rFonts w:ascii="Calibri" w:eastAsia="Times New Roman" w:hAnsi="Calibri" w:cs="Arial"/>
                <w:sz w:val="20"/>
                <w:szCs w:val="20"/>
                <w:lang w:eastAsia="cs-CZ"/>
              </w:rPr>
              <w:t>Činnost regionální správy</w:t>
            </w:r>
          </w:p>
        </w:tc>
        <w:tc>
          <w:tcPr>
            <w:tcW w:w="1272" w:type="dxa"/>
            <w:tcBorders>
              <w:top w:val="nil"/>
              <w:left w:val="nil"/>
              <w:bottom w:val="single" w:sz="4" w:space="0" w:color="auto"/>
              <w:right w:val="single" w:sz="4" w:space="0" w:color="auto"/>
            </w:tcBorders>
            <w:shd w:val="clear" w:color="auto" w:fill="auto"/>
            <w:noWrap/>
            <w:vAlign w:val="bottom"/>
            <w:hideMark/>
          </w:tcPr>
          <w:p w14:paraId="6280DAD3" w14:textId="77777777" w:rsidR="00E44FE1" w:rsidRPr="00E44FE1" w:rsidRDefault="00E44FE1" w:rsidP="00E44FE1">
            <w:pPr>
              <w:spacing w:after="0" w:line="240" w:lineRule="auto"/>
              <w:jc w:val="right"/>
              <w:rPr>
                <w:rFonts w:ascii="Calibri" w:eastAsia="Times New Roman" w:hAnsi="Calibri" w:cs="Arial"/>
                <w:sz w:val="20"/>
                <w:szCs w:val="20"/>
                <w:lang w:eastAsia="cs-CZ"/>
              </w:rPr>
            </w:pPr>
            <w:r w:rsidRPr="00E44FE1">
              <w:rPr>
                <w:rFonts w:ascii="Calibri" w:eastAsia="Times New Roman" w:hAnsi="Calibri" w:cs="Arial"/>
                <w:sz w:val="20"/>
                <w:szCs w:val="20"/>
                <w:lang w:eastAsia="cs-CZ"/>
              </w:rPr>
              <w:t>51 896 000</w:t>
            </w:r>
          </w:p>
        </w:tc>
        <w:tc>
          <w:tcPr>
            <w:tcW w:w="1418" w:type="dxa"/>
            <w:tcBorders>
              <w:top w:val="nil"/>
              <w:left w:val="nil"/>
              <w:bottom w:val="single" w:sz="4" w:space="0" w:color="auto"/>
              <w:right w:val="single" w:sz="4" w:space="0" w:color="auto"/>
            </w:tcBorders>
            <w:shd w:val="clear" w:color="auto" w:fill="auto"/>
            <w:noWrap/>
            <w:vAlign w:val="bottom"/>
            <w:hideMark/>
          </w:tcPr>
          <w:p w14:paraId="0457B822" w14:textId="77777777" w:rsidR="00E44FE1" w:rsidRPr="00E44FE1" w:rsidRDefault="00E44FE1" w:rsidP="00E44FE1">
            <w:pPr>
              <w:spacing w:after="0" w:line="240" w:lineRule="auto"/>
              <w:jc w:val="right"/>
              <w:rPr>
                <w:rFonts w:ascii="Calibri" w:eastAsia="Times New Roman" w:hAnsi="Calibri" w:cs="Arial"/>
                <w:sz w:val="20"/>
                <w:szCs w:val="20"/>
                <w:lang w:eastAsia="cs-CZ"/>
              </w:rPr>
            </w:pPr>
            <w:r w:rsidRPr="00E44FE1">
              <w:rPr>
                <w:rFonts w:ascii="Calibri" w:eastAsia="Times New Roman" w:hAnsi="Calibri" w:cs="Arial"/>
                <w:sz w:val="20"/>
                <w:szCs w:val="20"/>
                <w:lang w:eastAsia="cs-CZ"/>
              </w:rPr>
              <w:t>59 894 052,36</w:t>
            </w:r>
          </w:p>
        </w:tc>
        <w:tc>
          <w:tcPr>
            <w:tcW w:w="1417" w:type="dxa"/>
            <w:tcBorders>
              <w:top w:val="nil"/>
              <w:left w:val="nil"/>
              <w:bottom w:val="single" w:sz="4" w:space="0" w:color="auto"/>
              <w:right w:val="single" w:sz="4" w:space="0" w:color="auto"/>
            </w:tcBorders>
            <w:shd w:val="clear" w:color="auto" w:fill="auto"/>
            <w:noWrap/>
            <w:vAlign w:val="bottom"/>
            <w:hideMark/>
          </w:tcPr>
          <w:p w14:paraId="343F9DE9" w14:textId="77777777" w:rsidR="00E44FE1" w:rsidRPr="00E44FE1" w:rsidRDefault="00E44FE1" w:rsidP="00E44FE1">
            <w:pPr>
              <w:spacing w:after="0" w:line="240" w:lineRule="auto"/>
              <w:jc w:val="right"/>
              <w:rPr>
                <w:rFonts w:ascii="Calibri" w:eastAsia="Times New Roman" w:hAnsi="Calibri" w:cs="Arial"/>
                <w:sz w:val="20"/>
                <w:szCs w:val="20"/>
                <w:lang w:eastAsia="cs-CZ"/>
              </w:rPr>
            </w:pPr>
            <w:r w:rsidRPr="00E44FE1">
              <w:rPr>
                <w:rFonts w:ascii="Calibri" w:eastAsia="Times New Roman" w:hAnsi="Calibri" w:cs="Arial"/>
                <w:sz w:val="20"/>
                <w:szCs w:val="20"/>
                <w:lang w:eastAsia="cs-CZ"/>
              </w:rPr>
              <w:t>50 760 223,96</w:t>
            </w:r>
          </w:p>
        </w:tc>
        <w:tc>
          <w:tcPr>
            <w:tcW w:w="647" w:type="dxa"/>
            <w:tcBorders>
              <w:top w:val="nil"/>
              <w:left w:val="nil"/>
              <w:bottom w:val="single" w:sz="4" w:space="0" w:color="auto"/>
              <w:right w:val="single" w:sz="8" w:space="0" w:color="auto"/>
            </w:tcBorders>
            <w:shd w:val="clear" w:color="auto" w:fill="auto"/>
            <w:noWrap/>
            <w:vAlign w:val="bottom"/>
            <w:hideMark/>
          </w:tcPr>
          <w:p w14:paraId="0799B7E8" w14:textId="77777777" w:rsidR="00E44FE1" w:rsidRPr="00E44FE1" w:rsidRDefault="00E44FE1" w:rsidP="00E44FE1">
            <w:pPr>
              <w:spacing w:after="0" w:line="240" w:lineRule="auto"/>
              <w:jc w:val="right"/>
              <w:rPr>
                <w:rFonts w:ascii="Calibri" w:eastAsia="Times New Roman" w:hAnsi="Calibri" w:cs="Arial"/>
                <w:sz w:val="20"/>
                <w:szCs w:val="20"/>
                <w:lang w:eastAsia="cs-CZ"/>
              </w:rPr>
            </w:pPr>
            <w:r w:rsidRPr="00E44FE1">
              <w:rPr>
                <w:rFonts w:ascii="Calibri" w:eastAsia="Times New Roman" w:hAnsi="Calibri" w:cs="Arial"/>
                <w:sz w:val="20"/>
                <w:szCs w:val="20"/>
                <w:lang w:eastAsia="cs-CZ"/>
              </w:rPr>
              <w:t>84,8</w:t>
            </w:r>
          </w:p>
        </w:tc>
      </w:tr>
      <w:tr w:rsidR="00E44FE1" w:rsidRPr="00E44FE1" w14:paraId="4F1FAAA9" w14:textId="77777777" w:rsidTr="00514A08">
        <w:trPr>
          <w:trHeight w:val="26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06984EBA" w14:textId="77777777" w:rsidR="00E44FE1" w:rsidRPr="00E44FE1" w:rsidRDefault="00E44FE1" w:rsidP="00E44FE1">
            <w:pPr>
              <w:spacing w:after="0" w:line="240" w:lineRule="auto"/>
              <w:jc w:val="center"/>
              <w:rPr>
                <w:rFonts w:ascii="Calibri" w:eastAsia="Times New Roman" w:hAnsi="Calibri" w:cs="Arial"/>
                <w:sz w:val="20"/>
                <w:szCs w:val="20"/>
                <w:lang w:eastAsia="cs-CZ"/>
              </w:rPr>
            </w:pPr>
            <w:r w:rsidRPr="00E44FE1">
              <w:rPr>
                <w:rFonts w:ascii="Calibri" w:eastAsia="Times New Roman" w:hAnsi="Calibri" w:cs="Arial"/>
                <w:sz w:val="20"/>
                <w:szCs w:val="20"/>
                <w:lang w:eastAsia="cs-CZ"/>
              </w:rPr>
              <w:t> </w:t>
            </w:r>
          </w:p>
        </w:tc>
        <w:tc>
          <w:tcPr>
            <w:tcW w:w="8468" w:type="dxa"/>
            <w:gridSpan w:val="5"/>
            <w:tcBorders>
              <w:top w:val="single" w:sz="4" w:space="0" w:color="auto"/>
              <w:left w:val="nil"/>
              <w:bottom w:val="single" w:sz="4" w:space="0" w:color="auto"/>
              <w:right w:val="single" w:sz="8" w:space="0" w:color="auto"/>
            </w:tcBorders>
            <w:shd w:val="clear" w:color="auto" w:fill="auto"/>
            <w:vAlign w:val="bottom"/>
            <w:hideMark/>
          </w:tcPr>
          <w:p w14:paraId="1C10E4A1" w14:textId="77777777" w:rsidR="00E44FE1" w:rsidRPr="009D625C" w:rsidRDefault="00E44FE1" w:rsidP="00E44FE1">
            <w:pPr>
              <w:spacing w:after="0" w:line="240" w:lineRule="auto"/>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z toho:</w:t>
            </w:r>
          </w:p>
        </w:tc>
      </w:tr>
      <w:tr w:rsidR="00E44FE1" w:rsidRPr="00E44FE1" w14:paraId="35127EFA" w14:textId="77777777" w:rsidTr="00514A08">
        <w:trPr>
          <w:trHeight w:val="26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0CE2FBC0" w14:textId="77777777" w:rsidR="00E44FE1" w:rsidRPr="00E44FE1" w:rsidRDefault="00E44FE1" w:rsidP="00E44FE1">
            <w:pPr>
              <w:spacing w:after="0" w:line="240" w:lineRule="auto"/>
              <w:jc w:val="center"/>
              <w:rPr>
                <w:rFonts w:ascii="Calibri" w:eastAsia="Times New Roman" w:hAnsi="Calibri" w:cs="Arial"/>
                <w:sz w:val="20"/>
                <w:szCs w:val="20"/>
                <w:lang w:eastAsia="cs-CZ"/>
              </w:rPr>
            </w:pPr>
            <w:r w:rsidRPr="00E44FE1">
              <w:rPr>
                <w:rFonts w:ascii="Calibri" w:eastAsia="Times New Roman" w:hAnsi="Calibri" w:cs="Arial"/>
                <w:sz w:val="20"/>
                <w:szCs w:val="20"/>
                <w:lang w:eastAsia="cs-CZ"/>
              </w:rPr>
              <w:t> </w:t>
            </w:r>
          </w:p>
        </w:tc>
        <w:tc>
          <w:tcPr>
            <w:tcW w:w="3714" w:type="dxa"/>
            <w:tcBorders>
              <w:top w:val="nil"/>
              <w:left w:val="nil"/>
              <w:bottom w:val="single" w:sz="4" w:space="0" w:color="auto"/>
              <w:right w:val="single" w:sz="4" w:space="0" w:color="auto"/>
            </w:tcBorders>
            <w:shd w:val="clear" w:color="auto" w:fill="auto"/>
            <w:noWrap/>
            <w:vAlign w:val="bottom"/>
            <w:hideMark/>
          </w:tcPr>
          <w:p w14:paraId="7AE0ACDE" w14:textId="77777777" w:rsidR="00E44FE1" w:rsidRPr="009D625C" w:rsidRDefault="00E44FE1" w:rsidP="00E44FE1">
            <w:pPr>
              <w:spacing w:after="0" w:line="240" w:lineRule="auto"/>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5042 odměny za užití počítačových programů</w:t>
            </w:r>
          </w:p>
        </w:tc>
        <w:tc>
          <w:tcPr>
            <w:tcW w:w="1272" w:type="dxa"/>
            <w:tcBorders>
              <w:top w:val="nil"/>
              <w:left w:val="nil"/>
              <w:bottom w:val="single" w:sz="4" w:space="0" w:color="auto"/>
              <w:right w:val="single" w:sz="4" w:space="0" w:color="auto"/>
            </w:tcBorders>
            <w:shd w:val="clear" w:color="auto" w:fill="auto"/>
            <w:noWrap/>
            <w:vAlign w:val="bottom"/>
            <w:hideMark/>
          </w:tcPr>
          <w:p w14:paraId="1854C2BA" w14:textId="77777777" w:rsidR="00E44FE1" w:rsidRPr="009D625C" w:rsidRDefault="00E44FE1" w:rsidP="00E44FE1">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7 701 000</w:t>
            </w:r>
          </w:p>
        </w:tc>
        <w:tc>
          <w:tcPr>
            <w:tcW w:w="1418" w:type="dxa"/>
            <w:tcBorders>
              <w:top w:val="nil"/>
              <w:left w:val="nil"/>
              <w:bottom w:val="single" w:sz="4" w:space="0" w:color="auto"/>
              <w:right w:val="single" w:sz="4" w:space="0" w:color="auto"/>
            </w:tcBorders>
            <w:shd w:val="clear" w:color="auto" w:fill="auto"/>
            <w:noWrap/>
            <w:vAlign w:val="bottom"/>
            <w:hideMark/>
          </w:tcPr>
          <w:p w14:paraId="06BF19A3" w14:textId="77777777" w:rsidR="00E44FE1" w:rsidRPr="009D625C" w:rsidRDefault="00E44FE1" w:rsidP="00E44FE1">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7 856 000,00</w:t>
            </w:r>
          </w:p>
        </w:tc>
        <w:tc>
          <w:tcPr>
            <w:tcW w:w="1417" w:type="dxa"/>
            <w:tcBorders>
              <w:top w:val="nil"/>
              <w:left w:val="nil"/>
              <w:bottom w:val="single" w:sz="4" w:space="0" w:color="auto"/>
              <w:right w:val="single" w:sz="4" w:space="0" w:color="auto"/>
            </w:tcBorders>
            <w:shd w:val="clear" w:color="auto" w:fill="auto"/>
            <w:noWrap/>
            <w:vAlign w:val="bottom"/>
            <w:hideMark/>
          </w:tcPr>
          <w:p w14:paraId="6C47414D" w14:textId="77777777" w:rsidR="00E44FE1" w:rsidRPr="009D625C" w:rsidRDefault="00E44FE1" w:rsidP="00E44FE1">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6 474 781,25</w:t>
            </w:r>
          </w:p>
        </w:tc>
        <w:tc>
          <w:tcPr>
            <w:tcW w:w="647" w:type="dxa"/>
            <w:tcBorders>
              <w:top w:val="nil"/>
              <w:left w:val="nil"/>
              <w:bottom w:val="single" w:sz="4" w:space="0" w:color="auto"/>
              <w:right w:val="single" w:sz="8" w:space="0" w:color="auto"/>
            </w:tcBorders>
            <w:shd w:val="clear" w:color="auto" w:fill="auto"/>
            <w:noWrap/>
            <w:vAlign w:val="bottom"/>
            <w:hideMark/>
          </w:tcPr>
          <w:p w14:paraId="04A124EE" w14:textId="77777777" w:rsidR="00E44FE1" w:rsidRPr="009D625C" w:rsidRDefault="00E44FE1" w:rsidP="00E44FE1">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82,4</w:t>
            </w:r>
          </w:p>
        </w:tc>
      </w:tr>
      <w:tr w:rsidR="00E44FE1" w:rsidRPr="00E44FE1" w14:paraId="52441EB6" w14:textId="77777777" w:rsidTr="00514A08">
        <w:trPr>
          <w:trHeight w:val="26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219DFF5C" w14:textId="77777777" w:rsidR="00E44FE1" w:rsidRPr="00E44FE1" w:rsidRDefault="00E44FE1" w:rsidP="00E44FE1">
            <w:pPr>
              <w:spacing w:after="0" w:line="240" w:lineRule="auto"/>
              <w:jc w:val="center"/>
              <w:rPr>
                <w:rFonts w:ascii="Calibri" w:eastAsia="Times New Roman" w:hAnsi="Calibri" w:cs="Arial"/>
                <w:sz w:val="20"/>
                <w:szCs w:val="20"/>
                <w:lang w:eastAsia="cs-CZ"/>
              </w:rPr>
            </w:pPr>
            <w:r w:rsidRPr="00E44FE1">
              <w:rPr>
                <w:rFonts w:ascii="Calibri" w:eastAsia="Times New Roman" w:hAnsi="Calibri" w:cs="Arial"/>
                <w:sz w:val="20"/>
                <w:szCs w:val="20"/>
                <w:lang w:eastAsia="cs-CZ"/>
              </w:rPr>
              <w:t> </w:t>
            </w:r>
          </w:p>
        </w:tc>
        <w:tc>
          <w:tcPr>
            <w:tcW w:w="3714" w:type="dxa"/>
            <w:tcBorders>
              <w:top w:val="nil"/>
              <w:left w:val="nil"/>
              <w:bottom w:val="single" w:sz="4" w:space="0" w:color="auto"/>
              <w:right w:val="single" w:sz="4" w:space="0" w:color="auto"/>
            </w:tcBorders>
            <w:shd w:val="clear" w:color="auto" w:fill="auto"/>
            <w:noWrap/>
            <w:vAlign w:val="bottom"/>
            <w:hideMark/>
          </w:tcPr>
          <w:p w14:paraId="455A2B49" w14:textId="77777777" w:rsidR="00E44FE1" w:rsidRPr="009D625C" w:rsidRDefault="00E44FE1" w:rsidP="00E44FE1">
            <w:pPr>
              <w:spacing w:after="0" w:line="240" w:lineRule="auto"/>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5123 podlimitní technické zhodnocení</w:t>
            </w:r>
          </w:p>
        </w:tc>
        <w:tc>
          <w:tcPr>
            <w:tcW w:w="1272" w:type="dxa"/>
            <w:tcBorders>
              <w:top w:val="nil"/>
              <w:left w:val="nil"/>
              <w:bottom w:val="single" w:sz="4" w:space="0" w:color="auto"/>
              <w:right w:val="single" w:sz="4" w:space="0" w:color="auto"/>
            </w:tcBorders>
            <w:shd w:val="clear" w:color="auto" w:fill="auto"/>
            <w:noWrap/>
            <w:vAlign w:val="bottom"/>
            <w:hideMark/>
          </w:tcPr>
          <w:p w14:paraId="2F3B7892" w14:textId="77777777" w:rsidR="00E44FE1" w:rsidRPr="009D625C" w:rsidRDefault="00E44FE1" w:rsidP="00E44FE1">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15 000</w:t>
            </w:r>
          </w:p>
        </w:tc>
        <w:tc>
          <w:tcPr>
            <w:tcW w:w="1418" w:type="dxa"/>
            <w:tcBorders>
              <w:top w:val="nil"/>
              <w:left w:val="nil"/>
              <w:bottom w:val="single" w:sz="4" w:space="0" w:color="auto"/>
              <w:right w:val="single" w:sz="4" w:space="0" w:color="auto"/>
            </w:tcBorders>
            <w:shd w:val="clear" w:color="auto" w:fill="auto"/>
            <w:noWrap/>
            <w:vAlign w:val="bottom"/>
            <w:hideMark/>
          </w:tcPr>
          <w:p w14:paraId="178D45D8" w14:textId="77777777" w:rsidR="00E44FE1" w:rsidRPr="009D625C" w:rsidRDefault="00E44FE1" w:rsidP="00E44FE1">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15 000,00</w:t>
            </w:r>
          </w:p>
        </w:tc>
        <w:tc>
          <w:tcPr>
            <w:tcW w:w="1417" w:type="dxa"/>
            <w:tcBorders>
              <w:top w:val="nil"/>
              <w:left w:val="nil"/>
              <w:bottom w:val="single" w:sz="4" w:space="0" w:color="auto"/>
              <w:right w:val="single" w:sz="4" w:space="0" w:color="auto"/>
            </w:tcBorders>
            <w:shd w:val="clear" w:color="auto" w:fill="auto"/>
            <w:noWrap/>
            <w:vAlign w:val="bottom"/>
            <w:hideMark/>
          </w:tcPr>
          <w:p w14:paraId="21BD29EA" w14:textId="77777777" w:rsidR="00E44FE1" w:rsidRPr="009D625C" w:rsidRDefault="00E44FE1" w:rsidP="00E44FE1">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0,00</w:t>
            </w:r>
          </w:p>
        </w:tc>
        <w:tc>
          <w:tcPr>
            <w:tcW w:w="647" w:type="dxa"/>
            <w:tcBorders>
              <w:top w:val="nil"/>
              <w:left w:val="nil"/>
              <w:bottom w:val="single" w:sz="4" w:space="0" w:color="auto"/>
              <w:right w:val="single" w:sz="8" w:space="0" w:color="auto"/>
            </w:tcBorders>
            <w:shd w:val="clear" w:color="auto" w:fill="auto"/>
            <w:noWrap/>
            <w:vAlign w:val="bottom"/>
            <w:hideMark/>
          </w:tcPr>
          <w:p w14:paraId="70FDC38E" w14:textId="77777777" w:rsidR="00E44FE1" w:rsidRPr="009D625C" w:rsidRDefault="00E44FE1" w:rsidP="00E44FE1">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0,0</w:t>
            </w:r>
          </w:p>
        </w:tc>
      </w:tr>
      <w:tr w:rsidR="00E44FE1" w:rsidRPr="00E44FE1" w14:paraId="0920DD5E" w14:textId="77777777" w:rsidTr="00514A08">
        <w:trPr>
          <w:trHeight w:val="26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1A5B1D56" w14:textId="77777777" w:rsidR="00E44FE1" w:rsidRPr="00E44FE1" w:rsidRDefault="00E44FE1" w:rsidP="00E44FE1">
            <w:pPr>
              <w:spacing w:after="0" w:line="240" w:lineRule="auto"/>
              <w:jc w:val="center"/>
              <w:rPr>
                <w:rFonts w:ascii="Calibri" w:eastAsia="Times New Roman" w:hAnsi="Calibri" w:cs="Arial"/>
                <w:sz w:val="20"/>
                <w:szCs w:val="20"/>
                <w:lang w:eastAsia="cs-CZ"/>
              </w:rPr>
            </w:pPr>
            <w:r w:rsidRPr="00E44FE1">
              <w:rPr>
                <w:rFonts w:ascii="Calibri" w:eastAsia="Times New Roman" w:hAnsi="Calibri" w:cs="Arial"/>
                <w:sz w:val="20"/>
                <w:szCs w:val="20"/>
                <w:lang w:eastAsia="cs-CZ"/>
              </w:rPr>
              <w:t> </w:t>
            </w:r>
          </w:p>
        </w:tc>
        <w:tc>
          <w:tcPr>
            <w:tcW w:w="3714" w:type="dxa"/>
            <w:tcBorders>
              <w:top w:val="nil"/>
              <w:left w:val="nil"/>
              <w:bottom w:val="single" w:sz="4" w:space="0" w:color="auto"/>
              <w:right w:val="single" w:sz="4" w:space="0" w:color="auto"/>
            </w:tcBorders>
            <w:shd w:val="clear" w:color="auto" w:fill="auto"/>
            <w:noWrap/>
            <w:vAlign w:val="bottom"/>
            <w:hideMark/>
          </w:tcPr>
          <w:p w14:paraId="34813154" w14:textId="77777777" w:rsidR="00E44FE1" w:rsidRPr="009D625C" w:rsidRDefault="00E44FE1" w:rsidP="00E44FE1">
            <w:pPr>
              <w:spacing w:after="0" w:line="240" w:lineRule="auto"/>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5137 drobný dlouhodobý hmotný majetek</w:t>
            </w:r>
          </w:p>
        </w:tc>
        <w:tc>
          <w:tcPr>
            <w:tcW w:w="1272" w:type="dxa"/>
            <w:tcBorders>
              <w:top w:val="nil"/>
              <w:left w:val="nil"/>
              <w:bottom w:val="single" w:sz="4" w:space="0" w:color="auto"/>
              <w:right w:val="single" w:sz="4" w:space="0" w:color="auto"/>
            </w:tcBorders>
            <w:shd w:val="clear" w:color="auto" w:fill="auto"/>
            <w:noWrap/>
            <w:vAlign w:val="bottom"/>
            <w:hideMark/>
          </w:tcPr>
          <w:p w14:paraId="5B4E291F" w14:textId="77777777" w:rsidR="00E44FE1" w:rsidRPr="009D625C" w:rsidRDefault="00E44FE1" w:rsidP="00E44FE1">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2 074 000</w:t>
            </w:r>
          </w:p>
        </w:tc>
        <w:tc>
          <w:tcPr>
            <w:tcW w:w="1418" w:type="dxa"/>
            <w:tcBorders>
              <w:top w:val="nil"/>
              <w:left w:val="nil"/>
              <w:bottom w:val="single" w:sz="4" w:space="0" w:color="auto"/>
              <w:right w:val="single" w:sz="4" w:space="0" w:color="auto"/>
            </w:tcBorders>
            <w:shd w:val="clear" w:color="000000" w:fill="FFFFFF"/>
            <w:noWrap/>
            <w:vAlign w:val="bottom"/>
            <w:hideMark/>
          </w:tcPr>
          <w:p w14:paraId="608C80A6" w14:textId="77777777" w:rsidR="00E44FE1" w:rsidRPr="009D625C" w:rsidRDefault="00E44FE1" w:rsidP="00E44FE1">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5 874 000,00</w:t>
            </w:r>
          </w:p>
        </w:tc>
        <w:tc>
          <w:tcPr>
            <w:tcW w:w="1417" w:type="dxa"/>
            <w:tcBorders>
              <w:top w:val="nil"/>
              <w:left w:val="nil"/>
              <w:bottom w:val="single" w:sz="4" w:space="0" w:color="auto"/>
              <w:right w:val="single" w:sz="4" w:space="0" w:color="auto"/>
            </w:tcBorders>
            <w:shd w:val="clear" w:color="auto" w:fill="auto"/>
            <w:noWrap/>
            <w:vAlign w:val="bottom"/>
            <w:hideMark/>
          </w:tcPr>
          <w:p w14:paraId="093039D9" w14:textId="77777777" w:rsidR="00E44FE1" w:rsidRPr="009D625C" w:rsidRDefault="00E44FE1" w:rsidP="00E44FE1">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5 151 980,33</w:t>
            </w:r>
          </w:p>
        </w:tc>
        <w:tc>
          <w:tcPr>
            <w:tcW w:w="647" w:type="dxa"/>
            <w:tcBorders>
              <w:top w:val="nil"/>
              <w:left w:val="nil"/>
              <w:bottom w:val="single" w:sz="4" w:space="0" w:color="auto"/>
              <w:right w:val="single" w:sz="8" w:space="0" w:color="auto"/>
            </w:tcBorders>
            <w:shd w:val="clear" w:color="auto" w:fill="auto"/>
            <w:noWrap/>
            <w:vAlign w:val="bottom"/>
            <w:hideMark/>
          </w:tcPr>
          <w:p w14:paraId="1A27EFA2" w14:textId="77777777" w:rsidR="00E44FE1" w:rsidRPr="009D625C" w:rsidRDefault="00E44FE1" w:rsidP="00E44FE1">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87,7</w:t>
            </w:r>
          </w:p>
        </w:tc>
      </w:tr>
      <w:tr w:rsidR="00E44FE1" w:rsidRPr="00E44FE1" w14:paraId="16187ED8" w14:textId="77777777" w:rsidTr="00514A08">
        <w:trPr>
          <w:trHeight w:val="26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4CD90583" w14:textId="77777777" w:rsidR="00E44FE1" w:rsidRPr="00E44FE1" w:rsidRDefault="00E44FE1" w:rsidP="00E44FE1">
            <w:pPr>
              <w:spacing w:after="0" w:line="240" w:lineRule="auto"/>
              <w:jc w:val="center"/>
              <w:rPr>
                <w:rFonts w:ascii="Calibri" w:eastAsia="Times New Roman" w:hAnsi="Calibri" w:cs="Arial"/>
                <w:sz w:val="20"/>
                <w:szCs w:val="20"/>
                <w:lang w:eastAsia="cs-CZ"/>
              </w:rPr>
            </w:pPr>
            <w:r w:rsidRPr="00E44FE1">
              <w:rPr>
                <w:rFonts w:ascii="Calibri" w:eastAsia="Times New Roman" w:hAnsi="Calibri" w:cs="Arial"/>
                <w:sz w:val="20"/>
                <w:szCs w:val="20"/>
                <w:lang w:eastAsia="cs-CZ"/>
              </w:rPr>
              <w:t> </w:t>
            </w:r>
          </w:p>
        </w:tc>
        <w:tc>
          <w:tcPr>
            <w:tcW w:w="3714" w:type="dxa"/>
            <w:tcBorders>
              <w:top w:val="nil"/>
              <w:left w:val="nil"/>
              <w:bottom w:val="single" w:sz="4" w:space="0" w:color="auto"/>
              <w:right w:val="single" w:sz="4" w:space="0" w:color="auto"/>
            </w:tcBorders>
            <w:shd w:val="clear" w:color="auto" w:fill="auto"/>
            <w:noWrap/>
            <w:vAlign w:val="bottom"/>
            <w:hideMark/>
          </w:tcPr>
          <w:p w14:paraId="3CB54C6E" w14:textId="77777777" w:rsidR="00E44FE1" w:rsidRPr="009D625C" w:rsidRDefault="00E44FE1" w:rsidP="00E44FE1">
            <w:pPr>
              <w:spacing w:after="0" w:line="240" w:lineRule="auto"/>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 xml:space="preserve">5139 nákup materiálu </w:t>
            </w:r>
          </w:p>
        </w:tc>
        <w:tc>
          <w:tcPr>
            <w:tcW w:w="1272" w:type="dxa"/>
            <w:tcBorders>
              <w:top w:val="nil"/>
              <w:left w:val="nil"/>
              <w:bottom w:val="single" w:sz="4" w:space="0" w:color="auto"/>
              <w:right w:val="single" w:sz="4" w:space="0" w:color="auto"/>
            </w:tcBorders>
            <w:shd w:val="clear" w:color="auto" w:fill="auto"/>
            <w:noWrap/>
            <w:vAlign w:val="bottom"/>
            <w:hideMark/>
          </w:tcPr>
          <w:p w14:paraId="1241E9A3" w14:textId="77777777" w:rsidR="00E44FE1" w:rsidRPr="009D625C" w:rsidRDefault="00E44FE1" w:rsidP="00E44FE1">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1 074 000</w:t>
            </w:r>
          </w:p>
        </w:tc>
        <w:tc>
          <w:tcPr>
            <w:tcW w:w="1418" w:type="dxa"/>
            <w:tcBorders>
              <w:top w:val="nil"/>
              <w:left w:val="nil"/>
              <w:bottom w:val="single" w:sz="4" w:space="0" w:color="auto"/>
              <w:right w:val="single" w:sz="4" w:space="0" w:color="auto"/>
            </w:tcBorders>
            <w:shd w:val="clear" w:color="auto" w:fill="auto"/>
            <w:noWrap/>
            <w:vAlign w:val="bottom"/>
            <w:hideMark/>
          </w:tcPr>
          <w:p w14:paraId="05ACC53F" w14:textId="77777777" w:rsidR="00E44FE1" w:rsidRPr="009D625C" w:rsidRDefault="00E44FE1" w:rsidP="00E44FE1">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1 074 000,00</w:t>
            </w:r>
          </w:p>
        </w:tc>
        <w:tc>
          <w:tcPr>
            <w:tcW w:w="1417" w:type="dxa"/>
            <w:tcBorders>
              <w:top w:val="nil"/>
              <w:left w:val="nil"/>
              <w:bottom w:val="single" w:sz="4" w:space="0" w:color="auto"/>
              <w:right w:val="single" w:sz="4" w:space="0" w:color="auto"/>
            </w:tcBorders>
            <w:shd w:val="clear" w:color="auto" w:fill="auto"/>
            <w:noWrap/>
            <w:vAlign w:val="bottom"/>
            <w:hideMark/>
          </w:tcPr>
          <w:p w14:paraId="5017A9BF" w14:textId="77777777" w:rsidR="00E44FE1" w:rsidRPr="009D625C" w:rsidRDefault="00E44FE1" w:rsidP="00E44FE1">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350 739,68</w:t>
            </w:r>
          </w:p>
        </w:tc>
        <w:tc>
          <w:tcPr>
            <w:tcW w:w="647" w:type="dxa"/>
            <w:tcBorders>
              <w:top w:val="nil"/>
              <w:left w:val="nil"/>
              <w:bottom w:val="single" w:sz="4" w:space="0" w:color="auto"/>
              <w:right w:val="single" w:sz="8" w:space="0" w:color="auto"/>
            </w:tcBorders>
            <w:shd w:val="clear" w:color="auto" w:fill="auto"/>
            <w:noWrap/>
            <w:vAlign w:val="bottom"/>
            <w:hideMark/>
          </w:tcPr>
          <w:p w14:paraId="36D7F681" w14:textId="77777777" w:rsidR="00E44FE1" w:rsidRPr="009D625C" w:rsidRDefault="00E44FE1" w:rsidP="00E44FE1">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32,7</w:t>
            </w:r>
          </w:p>
        </w:tc>
      </w:tr>
      <w:tr w:rsidR="000D6CEE" w:rsidRPr="00E44FE1" w14:paraId="0998212F" w14:textId="77777777" w:rsidTr="00514A08">
        <w:trPr>
          <w:trHeight w:val="26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44C6DEFD" w14:textId="77777777" w:rsidR="000D6CEE" w:rsidRPr="00E44FE1" w:rsidRDefault="000D6CEE" w:rsidP="000D6CEE">
            <w:pPr>
              <w:spacing w:after="0" w:line="240" w:lineRule="auto"/>
              <w:jc w:val="center"/>
              <w:rPr>
                <w:rFonts w:ascii="Calibri" w:eastAsia="Times New Roman" w:hAnsi="Calibri" w:cs="Arial"/>
                <w:sz w:val="20"/>
                <w:szCs w:val="20"/>
                <w:lang w:eastAsia="cs-CZ"/>
              </w:rPr>
            </w:pPr>
            <w:r w:rsidRPr="00E44FE1">
              <w:rPr>
                <w:rFonts w:ascii="Calibri" w:eastAsia="Times New Roman" w:hAnsi="Calibri" w:cs="Arial"/>
                <w:sz w:val="20"/>
                <w:szCs w:val="20"/>
                <w:lang w:eastAsia="cs-CZ"/>
              </w:rPr>
              <w:t> </w:t>
            </w:r>
          </w:p>
        </w:tc>
        <w:tc>
          <w:tcPr>
            <w:tcW w:w="3714" w:type="dxa"/>
            <w:tcBorders>
              <w:top w:val="nil"/>
              <w:left w:val="nil"/>
              <w:bottom w:val="single" w:sz="4" w:space="0" w:color="auto"/>
              <w:right w:val="single" w:sz="4" w:space="0" w:color="auto"/>
            </w:tcBorders>
            <w:shd w:val="clear" w:color="auto" w:fill="auto"/>
            <w:noWrap/>
            <w:vAlign w:val="bottom"/>
            <w:hideMark/>
          </w:tcPr>
          <w:p w14:paraId="1C65646F" w14:textId="77777777" w:rsidR="000D6CEE" w:rsidRPr="009D625C" w:rsidRDefault="000D6CEE" w:rsidP="000D6CEE">
            <w:pPr>
              <w:spacing w:after="0" w:line="240" w:lineRule="auto"/>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5142 Kurzové rozdíly ve výdajích</w:t>
            </w:r>
          </w:p>
        </w:tc>
        <w:tc>
          <w:tcPr>
            <w:tcW w:w="1272" w:type="dxa"/>
            <w:tcBorders>
              <w:top w:val="nil"/>
              <w:left w:val="nil"/>
              <w:bottom w:val="single" w:sz="4" w:space="0" w:color="auto"/>
              <w:right w:val="single" w:sz="4" w:space="0" w:color="auto"/>
            </w:tcBorders>
            <w:shd w:val="clear" w:color="auto" w:fill="auto"/>
            <w:noWrap/>
            <w:vAlign w:val="bottom"/>
            <w:hideMark/>
          </w:tcPr>
          <w:p w14:paraId="78CAA59A" w14:textId="77777777" w:rsidR="000D6CEE" w:rsidRPr="009D625C" w:rsidRDefault="000D6CEE" w:rsidP="000D6CEE">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0</w:t>
            </w:r>
          </w:p>
        </w:tc>
        <w:tc>
          <w:tcPr>
            <w:tcW w:w="1418" w:type="dxa"/>
            <w:tcBorders>
              <w:top w:val="nil"/>
              <w:left w:val="nil"/>
              <w:bottom w:val="single" w:sz="4" w:space="0" w:color="auto"/>
              <w:right w:val="single" w:sz="4" w:space="0" w:color="auto"/>
            </w:tcBorders>
            <w:shd w:val="clear" w:color="auto" w:fill="auto"/>
            <w:noWrap/>
            <w:vAlign w:val="bottom"/>
            <w:hideMark/>
          </w:tcPr>
          <w:p w14:paraId="113FF664" w14:textId="77777777" w:rsidR="000D6CEE" w:rsidRPr="009D625C" w:rsidRDefault="000D6CEE" w:rsidP="000D6CEE">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5 000,00</w:t>
            </w:r>
          </w:p>
        </w:tc>
        <w:tc>
          <w:tcPr>
            <w:tcW w:w="1417" w:type="dxa"/>
            <w:tcBorders>
              <w:top w:val="nil"/>
              <w:left w:val="nil"/>
              <w:bottom w:val="single" w:sz="4" w:space="0" w:color="auto"/>
              <w:right w:val="single" w:sz="4" w:space="0" w:color="auto"/>
            </w:tcBorders>
            <w:shd w:val="clear" w:color="auto" w:fill="auto"/>
            <w:noWrap/>
            <w:vAlign w:val="bottom"/>
            <w:hideMark/>
          </w:tcPr>
          <w:p w14:paraId="5DDC0E1A" w14:textId="77777777" w:rsidR="000D6CEE" w:rsidRPr="009D625C" w:rsidRDefault="000D6CEE" w:rsidP="000D6CEE">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-33,88</w:t>
            </w:r>
          </w:p>
        </w:tc>
        <w:tc>
          <w:tcPr>
            <w:tcW w:w="647" w:type="dxa"/>
            <w:tcBorders>
              <w:top w:val="nil"/>
              <w:left w:val="nil"/>
              <w:bottom w:val="single" w:sz="4" w:space="0" w:color="auto"/>
              <w:right w:val="single" w:sz="8" w:space="0" w:color="auto"/>
            </w:tcBorders>
            <w:shd w:val="clear" w:color="auto" w:fill="auto"/>
            <w:noWrap/>
            <w:vAlign w:val="bottom"/>
            <w:hideMark/>
          </w:tcPr>
          <w:p w14:paraId="5E15E8FD" w14:textId="1FF807F1" w:rsidR="000D6CEE" w:rsidRPr="009D625C" w:rsidRDefault="000D6CEE" w:rsidP="000D6CEE">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w:t>
            </w:r>
          </w:p>
        </w:tc>
      </w:tr>
      <w:tr w:rsidR="000D6CEE" w:rsidRPr="00E44FE1" w14:paraId="0A8C942B" w14:textId="77777777" w:rsidTr="00514A08">
        <w:trPr>
          <w:trHeight w:val="26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2C3DB170" w14:textId="77777777" w:rsidR="000D6CEE" w:rsidRPr="00E44FE1" w:rsidRDefault="000D6CEE" w:rsidP="000D6CEE">
            <w:pPr>
              <w:spacing w:after="0" w:line="240" w:lineRule="auto"/>
              <w:jc w:val="center"/>
              <w:rPr>
                <w:rFonts w:ascii="Calibri" w:eastAsia="Times New Roman" w:hAnsi="Calibri" w:cs="Arial"/>
                <w:sz w:val="20"/>
                <w:szCs w:val="20"/>
                <w:lang w:eastAsia="cs-CZ"/>
              </w:rPr>
            </w:pPr>
            <w:r w:rsidRPr="00E44FE1">
              <w:rPr>
                <w:rFonts w:ascii="Calibri" w:eastAsia="Times New Roman" w:hAnsi="Calibri" w:cs="Arial"/>
                <w:sz w:val="20"/>
                <w:szCs w:val="20"/>
                <w:lang w:eastAsia="cs-CZ"/>
              </w:rPr>
              <w:t> </w:t>
            </w:r>
          </w:p>
        </w:tc>
        <w:tc>
          <w:tcPr>
            <w:tcW w:w="3714" w:type="dxa"/>
            <w:tcBorders>
              <w:top w:val="nil"/>
              <w:left w:val="nil"/>
              <w:bottom w:val="single" w:sz="4" w:space="0" w:color="auto"/>
              <w:right w:val="single" w:sz="4" w:space="0" w:color="auto"/>
            </w:tcBorders>
            <w:shd w:val="clear" w:color="auto" w:fill="auto"/>
            <w:noWrap/>
            <w:vAlign w:val="bottom"/>
            <w:hideMark/>
          </w:tcPr>
          <w:p w14:paraId="55CCD35A" w14:textId="77777777" w:rsidR="000D6CEE" w:rsidRPr="009D625C" w:rsidRDefault="000D6CEE" w:rsidP="000D6CEE">
            <w:pPr>
              <w:spacing w:after="0" w:line="240" w:lineRule="auto"/>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5162 služby elektronických komunikací</w:t>
            </w:r>
          </w:p>
        </w:tc>
        <w:tc>
          <w:tcPr>
            <w:tcW w:w="1272" w:type="dxa"/>
            <w:tcBorders>
              <w:top w:val="nil"/>
              <w:left w:val="nil"/>
              <w:bottom w:val="single" w:sz="4" w:space="0" w:color="auto"/>
              <w:right w:val="single" w:sz="4" w:space="0" w:color="auto"/>
            </w:tcBorders>
            <w:shd w:val="clear" w:color="auto" w:fill="auto"/>
            <w:noWrap/>
            <w:vAlign w:val="bottom"/>
            <w:hideMark/>
          </w:tcPr>
          <w:p w14:paraId="2DD51058" w14:textId="77777777" w:rsidR="000D6CEE" w:rsidRPr="009D625C" w:rsidRDefault="000D6CEE" w:rsidP="000D6CEE">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565 000</w:t>
            </w:r>
          </w:p>
        </w:tc>
        <w:tc>
          <w:tcPr>
            <w:tcW w:w="1418" w:type="dxa"/>
            <w:tcBorders>
              <w:top w:val="nil"/>
              <w:left w:val="nil"/>
              <w:bottom w:val="single" w:sz="4" w:space="0" w:color="auto"/>
              <w:right w:val="single" w:sz="4" w:space="0" w:color="auto"/>
            </w:tcBorders>
            <w:shd w:val="clear" w:color="auto" w:fill="auto"/>
            <w:noWrap/>
            <w:vAlign w:val="bottom"/>
            <w:hideMark/>
          </w:tcPr>
          <w:p w14:paraId="61E0C1FB" w14:textId="77777777" w:rsidR="000D6CEE" w:rsidRPr="009D625C" w:rsidRDefault="000D6CEE" w:rsidP="000D6CEE">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565 000,00</w:t>
            </w:r>
          </w:p>
        </w:tc>
        <w:tc>
          <w:tcPr>
            <w:tcW w:w="1417" w:type="dxa"/>
            <w:tcBorders>
              <w:top w:val="nil"/>
              <w:left w:val="nil"/>
              <w:bottom w:val="single" w:sz="4" w:space="0" w:color="auto"/>
              <w:right w:val="single" w:sz="4" w:space="0" w:color="auto"/>
            </w:tcBorders>
            <w:shd w:val="clear" w:color="auto" w:fill="auto"/>
            <w:noWrap/>
            <w:vAlign w:val="bottom"/>
            <w:hideMark/>
          </w:tcPr>
          <w:p w14:paraId="067E9500" w14:textId="77777777" w:rsidR="000D6CEE" w:rsidRPr="009D625C" w:rsidRDefault="000D6CEE" w:rsidP="000D6CEE">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563 535,72</w:t>
            </w:r>
          </w:p>
        </w:tc>
        <w:tc>
          <w:tcPr>
            <w:tcW w:w="647" w:type="dxa"/>
            <w:tcBorders>
              <w:top w:val="nil"/>
              <w:left w:val="nil"/>
              <w:bottom w:val="single" w:sz="4" w:space="0" w:color="auto"/>
              <w:right w:val="single" w:sz="8" w:space="0" w:color="auto"/>
            </w:tcBorders>
            <w:shd w:val="clear" w:color="auto" w:fill="auto"/>
            <w:noWrap/>
            <w:vAlign w:val="bottom"/>
            <w:hideMark/>
          </w:tcPr>
          <w:p w14:paraId="4126DA2C" w14:textId="77777777" w:rsidR="000D6CEE" w:rsidRPr="009D625C" w:rsidRDefault="000D6CEE" w:rsidP="000D6CEE">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99,7</w:t>
            </w:r>
          </w:p>
        </w:tc>
      </w:tr>
      <w:tr w:rsidR="000D6CEE" w:rsidRPr="00E44FE1" w14:paraId="0ABB8DCA" w14:textId="77777777" w:rsidTr="00514A08">
        <w:trPr>
          <w:trHeight w:val="26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4E1CE25A" w14:textId="77777777" w:rsidR="000D6CEE" w:rsidRPr="00E44FE1" w:rsidRDefault="000D6CEE" w:rsidP="000D6CEE">
            <w:pPr>
              <w:spacing w:after="0" w:line="240" w:lineRule="auto"/>
              <w:jc w:val="center"/>
              <w:rPr>
                <w:rFonts w:ascii="Calibri" w:eastAsia="Times New Roman" w:hAnsi="Calibri" w:cs="Arial"/>
                <w:sz w:val="20"/>
                <w:szCs w:val="20"/>
                <w:lang w:eastAsia="cs-CZ"/>
              </w:rPr>
            </w:pPr>
            <w:r w:rsidRPr="00E44FE1">
              <w:rPr>
                <w:rFonts w:ascii="Calibri" w:eastAsia="Times New Roman" w:hAnsi="Calibri" w:cs="Arial"/>
                <w:sz w:val="20"/>
                <w:szCs w:val="20"/>
                <w:lang w:eastAsia="cs-CZ"/>
              </w:rPr>
              <w:t> </w:t>
            </w:r>
          </w:p>
        </w:tc>
        <w:tc>
          <w:tcPr>
            <w:tcW w:w="3714" w:type="dxa"/>
            <w:tcBorders>
              <w:top w:val="nil"/>
              <w:left w:val="nil"/>
              <w:bottom w:val="single" w:sz="4" w:space="0" w:color="auto"/>
              <w:right w:val="single" w:sz="4" w:space="0" w:color="auto"/>
            </w:tcBorders>
            <w:shd w:val="clear" w:color="auto" w:fill="auto"/>
            <w:noWrap/>
            <w:vAlign w:val="bottom"/>
            <w:hideMark/>
          </w:tcPr>
          <w:p w14:paraId="45248165" w14:textId="77777777" w:rsidR="000D6CEE" w:rsidRPr="009D625C" w:rsidRDefault="000D6CEE" w:rsidP="000D6CEE">
            <w:pPr>
              <w:spacing w:after="0" w:line="240" w:lineRule="auto"/>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5164 Nájemné</w:t>
            </w:r>
          </w:p>
        </w:tc>
        <w:tc>
          <w:tcPr>
            <w:tcW w:w="1272" w:type="dxa"/>
            <w:tcBorders>
              <w:top w:val="nil"/>
              <w:left w:val="nil"/>
              <w:bottom w:val="single" w:sz="4" w:space="0" w:color="auto"/>
              <w:right w:val="single" w:sz="4" w:space="0" w:color="auto"/>
            </w:tcBorders>
            <w:shd w:val="clear" w:color="auto" w:fill="auto"/>
            <w:noWrap/>
            <w:vAlign w:val="bottom"/>
            <w:hideMark/>
          </w:tcPr>
          <w:p w14:paraId="2484CC58" w14:textId="77777777" w:rsidR="000D6CEE" w:rsidRPr="009D625C" w:rsidRDefault="000D6CEE" w:rsidP="000D6CEE">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0</w:t>
            </w:r>
          </w:p>
        </w:tc>
        <w:tc>
          <w:tcPr>
            <w:tcW w:w="1418" w:type="dxa"/>
            <w:tcBorders>
              <w:top w:val="nil"/>
              <w:left w:val="nil"/>
              <w:bottom w:val="single" w:sz="4" w:space="0" w:color="auto"/>
              <w:right w:val="single" w:sz="4" w:space="0" w:color="auto"/>
            </w:tcBorders>
            <w:shd w:val="clear" w:color="auto" w:fill="auto"/>
            <w:noWrap/>
            <w:vAlign w:val="bottom"/>
            <w:hideMark/>
          </w:tcPr>
          <w:p w14:paraId="15A01ED8" w14:textId="77777777" w:rsidR="000D6CEE" w:rsidRPr="009D625C" w:rsidRDefault="000D6CEE" w:rsidP="000D6CEE">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40 000,00</w:t>
            </w:r>
          </w:p>
        </w:tc>
        <w:tc>
          <w:tcPr>
            <w:tcW w:w="1417" w:type="dxa"/>
            <w:tcBorders>
              <w:top w:val="nil"/>
              <w:left w:val="nil"/>
              <w:bottom w:val="single" w:sz="4" w:space="0" w:color="auto"/>
              <w:right w:val="single" w:sz="4" w:space="0" w:color="auto"/>
            </w:tcBorders>
            <w:shd w:val="clear" w:color="auto" w:fill="auto"/>
            <w:noWrap/>
            <w:vAlign w:val="bottom"/>
            <w:hideMark/>
          </w:tcPr>
          <w:p w14:paraId="3ACBF3E6" w14:textId="77777777" w:rsidR="000D6CEE" w:rsidRPr="009D625C" w:rsidRDefault="000D6CEE" w:rsidP="000D6CEE">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0,00</w:t>
            </w:r>
          </w:p>
        </w:tc>
        <w:tc>
          <w:tcPr>
            <w:tcW w:w="647" w:type="dxa"/>
            <w:tcBorders>
              <w:top w:val="nil"/>
              <w:left w:val="nil"/>
              <w:bottom w:val="single" w:sz="4" w:space="0" w:color="auto"/>
              <w:right w:val="single" w:sz="8" w:space="0" w:color="auto"/>
            </w:tcBorders>
            <w:shd w:val="clear" w:color="auto" w:fill="auto"/>
            <w:noWrap/>
            <w:vAlign w:val="bottom"/>
            <w:hideMark/>
          </w:tcPr>
          <w:p w14:paraId="3D589792" w14:textId="77777777" w:rsidR="000D6CEE" w:rsidRPr="009D625C" w:rsidRDefault="000D6CEE" w:rsidP="000D6CEE">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0,0</w:t>
            </w:r>
          </w:p>
        </w:tc>
      </w:tr>
      <w:tr w:rsidR="000D6CEE" w:rsidRPr="00E44FE1" w14:paraId="6D76F42A" w14:textId="77777777" w:rsidTr="00514A08">
        <w:trPr>
          <w:trHeight w:val="26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583B3860" w14:textId="77777777" w:rsidR="000D6CEE" w:rsidRPr="00E44FE1" w:rsidRDefault="000D6CEE" w:rsidP="000D6CEE">
            <w:pPr>
              <w:spacing w:after="0" w:line="240" w:lineRule="auto"/>
              <w:jc w:val="center"/>
              <w:rPr>
                <w:rFonts w:ascii="Calibri" w:eastAsia="Times New Roman" w:hAnsi="Calibri" w:cs="Arial"/>
                <w:sz w:val="20"/>
                <w:szCs w:val="20"/>
                <w:lang w:eastAsia="cs-CZ"/>
              </w:rPr>
            </w:pPr>
            <w:r w:rsidRPr="00E44FE1">
              <w:rPr>
                <w:rFonts w:ascii="Calibri" w:eastAsia="Times New Roman" w:hAnsi="Calibri" w:cs="Arial"/>
                <w:sz w:val="20"/>
                <w:szCs w:val="20"/>
                <w:lang w:eastAsia="cs-CZ"/>
              </w:rPr>
              <w:t> </w:t>
            </w:r>
          </w:p>
        </w:tc>
        <w:tc>
          <w:tcPr>
            <w:tcW w:w="3714" w:type="dxa"/>
            <w:tcBorders>
              <w:top w:val="nil"/>
              <w:left w:val="nil"/>
              <w:bottom w:val="single" w:sz="4" w:space="0" w:color="auto"/>
              <w:right w:val="single" w:sz="4" w:space="0" w:color="auto"/>
            </w:tcBorders>
            <w:shd w:val="clear" w:color="auto" w:fill="auto"/>
            <w:noWrap/>
            <w:vAlign w:val="bottom"/>
            <w:hideMark/>
          </w:tcPr>
          <w:p w14:paraId="72EEAB57" w14:textId="77777777" w:rsidR="000D6CEE" w:rsidRPr="009D625C" w:rsidRDefault="000D6CEE" w:rsidP="000D6CEE">
            <w:pPr>
              <w:spacing w:after="0" w:line="240" w:lineRule="auto"/>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5166 konzultační, poradenské a právní služby</w:t>
            </w:r>
          </w:p>
        </w:tc>
        <w:tc>
          <w:tcPr>
            <w:tcW w:w="1272" w:type="dxa"/>
            <w:tcBorders>
              <w:top w:val="nil"/>
              <w:left w:val="nil"/>
              <w:bottom w:val="single" w:sz="4" w:space="0" w:color="auto"/>
              <w:right w:val="single" w:sz="4" w:space="0" w:color="auto"/>
            </w:tcBorders>
            <w:shd w:val="clear" w:color="auto" w:fill="auto"/>
            <w:noWrap/>
            <w:vAlign w:val="bottom"/>
            <w:hideMark/>
          </w:tcPr>
          <w:p w14:paraId="49301B18" w14:textId="77777777" w:rsidR="000D6CEE" w:rsidRPr="009D625C" w:rsidRDefault="000D6CEE" w:rsidP="000D6CEE">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150 000</w:t>
            </w:r>
          </w:p>
        </w:tc>
        <w:tc>
          <w:tcPr>
            <w:tcW w:w="1418" w:type="dxa"/>
            <w:tcBorders>
              <w:top w:val="nil"/>
              <w:left w:val="nil"/>
              <w:bottom w:val="single" w:sz="4" w:space="0" w:color="auto"/>
              <w:right w:val="single" w:sz="4" w:space="0" w:color="auto"/>
            </w:tcBorders>
            <w:shd w:val="clear" w:color="auto" w:fill="auto"/>
            <w:noWrap/>
            <w:vAlign w:val="bottom"/>
            <w:hideMark/>
          </w:tcPr>
          <w:p w14:paraId="558C5689" w14:textId="77777777" w:rsidR="000D6CEE" w:rsidRPr="009D625C" w:rsidRDefault="000D6CEE" w:rsidP="000D6CEE">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150 000,00</w:t>
            </w:r>
          </w:p>
        </w:tc>
        <w:tc>
          <w:tcPr>
            <w:tcW w:w="1417" w:type="dxa"/>
            <w:tcBorders>
              <w:top w:val="nil"/>
              <w:left w:val="nil"/>
              <w:bottom w:val="single" w:sz="4" w:space="0" w:color="auto"/>
              <w:right w:val="single" w:sz="4" w:space="0" w:color="auto"/>
            </w:tcBorders>
            <w:shd w:val="clear" w:color="auto" w:fill="auto"/>
            <w:noWrap/>
            <w:vAlign w:val="bottom"/>
            <w:hideMark/>
          </w:tcPr>
          <w:p w14:paraId="03E0B86A" w14:textId="77777777" w:rsidR="000D6CEE" w:rsidRPr="009D625C" w:rsidRDefault="000D6CEE" w:rsidP="000D6CEE">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0,00</w:t>
            </w:r>
          </w:p>
        </w:tc>
        <w:tc>
          <w:tcPr>
            <w:tcW w:w="647" w:type="dxa"/>
            <w:tcBorders>
              <w:top w:val="nil"/>
              <w:left w:val="nil"/>
              <w:bottom w:val="single" w:sz="4" w:space="0" w:color="auto"/>
              <w:right w:val="single" w:sz="8" w:space="0" w:color="auto"/>
            </w:tcBorders>
            <w:shd w:val="clear" w:color="auto" w:fill="auto"/>
            <w:noWrap/>
            <w:vAlign w:val="bottom"/>
            <w:hideMark/>
          </w:tcPr>
          <w:p w14:paraId="5F0F6A89" w14:textId="77777777" w:rsidR="000D6CEE" w:rsidRPr="009D625C" w:rsidRDefault="000D6CEE" w:rsidP="000D6CEE">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0,0</w:t>
            </w:r>
          </w:p>
        </w:tc>
      </w:tr>
      <w:tr w:rsidR="000D6CEE" w:rsidRPr="00E44FE1" w14:paraId="63DC881D" w14:textId="77777777" w:rsidTr="00514A08">
        <w:trPr>
          <w:trHeight w:val="52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0781ECC4" w14:textId="77777777" w:rsidR="000D6CEE" w:rsidRPr="00E44FE1" w:rsidRDefault="000D6CEE" w:rsidP="000D6CEE">
            <w:pPr>
              <w:spacing w:after="0" w:line="240" w:lineRule="auto"/>
              <w:jc w:val="center"/>
              <w:rPr>
                <w:rFonts w:ascii="Calibri" w:eastAsia="Times New Roman" w:hAnsi="Calibri" w:cs="Arial"/>
                <w:sz w:val="20"/>
                <w:szCs w:val="20"/>
                <w:lang w:eastAsia="cs-CZ"/>
              </w:rPr>
            </w:pPr>
            <w:r w:rsidRPr="00E44FE1">
              <w:rPr>
                <w:rFonts w:ascii="Calibri" w:eastAsia="Times New Roman" w:hAnsi="Calibri" w:cs="Arial"/>
                <w:sz w:val="20"/>
                <w:szCs w:val="20"/>
                <w:lang w:eastAsia="cs-CZ"/>
              </w:rPr>
              <w:t> </w:t>
            </w:r>
          </w:p>
        </w:tc>
        <w:tc>
          <w:tcPr>
            <w:tcW w:w="3714" w:type="dxa"/>
            <w:tcBorders>
              <w:top w:val="nil"/>
              <w:left w:val="nil"/>
              <w:bottom w:val="single" w:sz="4" w:space="0" w:color="auto"/>
              <w:right w:val="single" w:sz="4" w:space="0" w:color="auto"/>
            </w:tcBorders>
            <w:shd w:val="clear" w:color="auto" w:fill="auto"/>
            <w:vAlign w:val="bottom"/>
            <w:hideMark/>
          </w:tcPr>
          <w:p w14:paraId="1E64D846" w14:textId="77777777" w:rsidR="000D6CEE" w:rsidRPr="009D625C" w:rsidRDefault="000D6CEE" w:rsidP="000D6CEE">
            <w:pPr>
              <w:spacing w:after="0" w:line="240" w:lineRule="auto"/>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5168 zpracování dat a služby související s informačními a komunikačními technologiemi</w:t>
            </w:r>
          </w:p>
        </w:tc>
        <w:tc>
          <w:tcPr>
            <w:tcW w:w="1272" w:type="dxa"/>
            <w:tcBorders>
              <w:top w:val="nil"/>
              <w:left w:val="nil"/>
              <w:bottom w:val="single" w:sz="4" w:space="0" w:color="auto"/>
              <w:right w:val="single" w:sz="4" w:space="0" w:color="auto"/>
            </w:tcBorders>
            <w:shd w:val="clear" w:color="auto" w:fill="auto"/>
            <w:noWrap/>
            <w:vAlign w:val="bottom"/>
            <w:hideMark/>
          </w:tcPr>
          <w:p w14:paraId="1DC9AA55" w14:textId="77777777" w:rsidR="000D6CEE" w:rsidRPr="009D625C" w:rsidRDefault="000D6CEE" w:rsidP="000D6CEE">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39 717 000</w:t>
            </w:r>
          </w:p>
        </w:tc>
        <w:tc>
          <w:tcPr>
            <w:tcW w:w="1418" w:type="dxa"/>
            <w:tcBorders>
              <w:top w:val="nil"/>
              <w:left w:val="nil"/>
              <w:bottom w:val="single" w:sz="4" w:space="0" w:color="auto"/>
              <w:right w:val="single" w:sz="4" w:space="0" w:color="auto"/>
            </w:tcBorders>
            <w:shd w:val="clear" w:color="000000" w:fill="FFFFFF"/>
            <w:noWrap/>
            <w:vAlign w:val="bottom"/>
            <w:hideMark/>
          </w:tcPr>
          <w:p w14:paraId="5C983B7F" w14:textId="77777777" w:rsidR="000D6CEE" w:rsidRPr="009D625C" w:rsidRDefault="000D6CEE" w:rsidP="000D6CEE">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43 294 052,36</w:t>
            </w:r>
          </w:p>
        </w:tc>
        <w:tc>
          <w:tcPr>
            <w:tcW w:w="1417" w:type="dxa"/>
            <w:tcBorders>
              <w:top w:val="nil"/>
              <w:left w:val="nil"/>
              <w:bottom w:val="single" w:sz="4" w:space="0" w:color="auto"/>
              <w:right w:val="single" w:sz="4" w:space="0" w:color="auto"/>
            </w:tcBorders>
            <w:shd w:val="clear" w:color="auto" w:fill="auto"/>
            <w:noWrap/>
            <w:vAlign w:val="bottom"/>
            <w:hideMark/>
          </w:tcPr>
          <w:p w14:paraId="572F4EF4" w14:textId="77777777" w:rsidR="000D6CEE" w:rsidRPr="009D625C" w:rsidRDefault="000D6CEE" w:rsidP="000D6CEE">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37 659 229,70</w:t>
            </w:r>
          </w:p>
        </w:tc>
        <w:tc>
          <w:tcPr>
            <w:tcW w:w="647" w:type="dxa"/>
            <w:tcBorders>
              <w:top w:val="nil"/>
              <w:left w:val="nil"/>
              <w:bottom w:val="single" w:sz="4" w:space="0" w:color="auto"/>
              <w:right w:val="single" w:sz="8" w:space="0" w:color="auto"/>
            </w:tcBorders>
            <w:shd w:val="clear" w:color="auto" w:fill="auto"/>
            <w:noWrap/>
            <w:vAlign w:val="bottom"/>
            <w:hideMark/>
          </w:tcPr>
          <w:p w14:paraId="4CF4BBFC" w14:textId="77777777" w:rsidR="000D6CEE" w:rsidRPr="009D625C" w:rsidRDefault="000D6CEE" w:rsidP="000D6CEE">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87,0</w:t>
            </w:r>
          </w:p>
        </w:tc>
      </w:tr>
      <w:tr w:rsidR="000D6CEE" w:rsidRPr="00E44FE1" w14:paraId="705F9DC7" w14:textId="77777777" w:rsidTr="00514A08">
        <w:trPr>
          <w:trHeight w:val="26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1E5EAB03" w14:textId="77777777" w:rsidR="000D6CEE" w:rsidRPr="00E44FE1" w:rsidRDefault="000D6CEE" w:rsidP="000D6CEE">
            <w:pPr>
              <w:spacing w:after="0" w:line="240" w:lineRule="auto"/>
              <w:jc w:val="center"/>
              <w:rPr>
                <w:rFonts w:ascii="Calibri" w:eastAsia="Times New Roman" w:hAnsi="Calibri" w:cs="Arial"/>
                <w:sz w:val="20"/>
                <w:szCs w:val="20"/>
                <w:lang w:eastAsia="cs-CZ"/>
              </w:rPr>
            </w:pPr>
            <w:r w:rsidRPr="00E44FE1">
              <w:rPr>
                <w:rFonts w:ascii="Calibri" w:eastAsia="Times New Roman" w:hAnsi="Calibri" w:cs="Arial"/>
                <w:sz w:val="20"/>
                <w:szCs w:val="20"/>
                <w:lang w:eastAsia="cs-CZ"/>
              </w:rPr>
              <w:t> </w:t>
            </w:r>
          </w:p>
        </w:tc>
        <w:tc>
          <w:tcPr>
            <w:tcW w:w="3714" w:type="dxa"/>
            <w:tcBorders>
              <w:top w:val="nil"/>
              <w:left w:val="nil"/>
              <w:bottom w:val="single" w:sz="4" w:space="0" w:color="auto"/>
              <w:right w:val="single" w:sz="4" w:space="0" w:color="auto"/>
            </w:tcBorders>
            <w:shd w:val="clear" w:color="auto" w:fill="auto"/>
            <w:noWrap/>
            <w:vAlign w:val="bottom"/>
            <w:hideMark/>
          </w:tcPr>
          <w:p w14:paraId="30D349D6" w14:textId="77777777" w:rsidR="000D6CEE" w:rsidRPr="009D625C" w:rsidRDefault="000D6CEE" w:rsidP="000D6CEE">
            <w:pPr>
              <w:spacing w:after="0" w:line="240" w:lineRule="auto"/>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5169 nákup ostatních služeb</w:t>
            </w:r>
          </w:p>
        </w:tc>
        <w:tc>
          <w:tcPr>
            <w:tcW w:w="1272" w:type="dxa"/>
            <w:tcBorders>
              <w:top w:val="nil"/>
              <w:left w:val="nil"/>
              <w:bottom w:val="single" w:sz="4" w:space="0" w:color="auto"/>
              <w:right w:val="single" w:sz="4" w:space="0" w:color="auto"/>
            </w:tcBorders>
            <w:shd w:val="clear" w:color="auto" w:fill="auto"/>
            <w:noWrap/>
            <w:vAlign w:val="bottom"/>
            <w:hideMark/>
          </w:tcPr>
          <w:p w14:paraId="34C475FA" w14:textId="77777777" w:rsidR="000D6CEE" w:rsidRPr="009D625C" w:rsidRDefault="000D6CEE" w:rsidP="000D6CEE">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150 000</w:t>
            </w:r>
          </w:p>
        </w:tc>
        <w:tc>
          <w:tcPr>
            <w:tcW w:w="1418" w:type="dxa"/>
            <w:tcBorders>
              <w:top w:val="nil"/>
              <w:left w:val="nil"/>
              <w:bottom w:val="single" w:sz="4" w:space="0" w:color="auto"/>
              <w:right w:val="single" w:sz="4" w:space="0" w:color="auto"/>
            </w:tcBorders>
            <w:shd w:val="clear" w:color="auto" w:fill="auto"/>
            <w:noWrap/>
            <w:vAlign w:val="bottom"/>
            <w:hideMark/>
          </w:tcPr>
          <w:p w14:paraId="6FEECC7D" w14:textId="77777777" w:rsidR="000D6CEE" w:rsidRPr="009D625C" w:rsidRDefault="000D6CEE" w:rsidP="000D6CEE">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150 000,00</w:t>
            </w:r>
          </w:p>
        </w:tc>
        <w:tc>
          <w:tcPr>
            <w:tcW w:w="1417" w:type="dxa"/>
            <w:tcBorders>
              <w:top w:val="nil"/>
              <w:left w:val="nil"/>
              <w:bottom w:val="single" w:sz="4" w:space="0" w:color="auto"/>
              <w:right w:val="single" w:sz="4" w:space="0" w:color="auto"/>
            </w:tcBorders>
            <w:shd w:val="clear" w:color="auto" w:fill="auto"/>
            <w:noWrap/>
            <w:vAlign w:val="bottom"/>
            <w:hideMark/>
          </w:tcPr>
          <w:p w14:paraId="3727BAFE" w14:textId="77777777" w:rsidR="000D6CEE" w:rsidRPr="009D625C" w:rsidRDefault="000D6CEE" w:rsidP="000D6CEE">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48 911,83</w:t>
            </w:r>
          </w:p>
        </w:tc>
        <w:tc>
          <w:tcPr>
            <w:tcW w:w="647" w:type="dxa"/>
            <w:tcBorders>
              <w:top w:val="nil"/>
              <w:left w:val="nil"/>
              <w:bottom w:val="single" w:sz="4" w:space="0" w:color="auto"/>
              <w:right w:val="single" w:sz="8" w:space="0" w:color="auto"/>
            </w:tcBorders>
            <w:shd w:val="clear" w:color="auto" w:fill="auto"/>
            <w:noWrap/>
            <w:vAlign w:val="bottom"/>
            <w:hideMark/>
          </w:tcPr>
          <w:p w14:paraId="0A3D6530" w14:textId="77777777" w:rsidR="000D6CEE" w:rsidRPr="009D625C" w:rsidRDefault="000D6CEE" w:rsidP="000D6CEE">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32,6</w:t>
            </w:r>
          </w:p>
        </w:tc>
      </w:tr>
      <w:tr w:rsidR="000D6CEE" w:rsidRPr="00E44FE1" w14:paraId="11DEDF70" w14:textId="77777777" w:rsidTr="00514A08">
        <w:trPr>
          <w:trHeight w:val="26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1F34D61A" w14:textId="77777777" w:rsidR="000D6CEE" w:rsidRPr="00E44FE1" w:rsidRDefault="000D6CEE" w:rsidP="000D6CEE">
            <w:pPr>
              <w:spacing w:after="0" w:line="240" w:lineRule="auto"/>
              <w:jc w:val="center"/>
              <w:rPr>
                <w:rFonts w:ascii="Calibri" w:eastAsia="Times New Roman" w:hAnsi="Calibri" w:cs="Arial"/>
                <w:sz w:val="20"/>
                <w:szCs w:val="20"/>
                <w:lang w:eastAsia="cs-CZ"/>
              </w:rPr>
            </w:pPr>
            <w:r w:rsidRPr="00E44FE1">
              <w:rPr>
                <w:rFonts w:ascii="Calibri" w:eastAsia="Times New Roman" w:hAnsi="Calibri" w:cs="Arial"/>
                <w:sz w:val="20"/>
                <w:szCs w:val="20"/>
                <w:lang w:eastAsia="cs-CZ"/>
              </w:rPr>
              <w:t> </w:t>
            </w:r>
          </w:p>
        </w:tc>
        <w:tc>
          <w:tcPr>
            <w:tcW w:w="3714" w:type="dxa"/>
            <w:tcBorders>
              <w:top w:val="nil"/>
              <w:left w:val="nil"/>
              <w:bottom w:val="single" w:sz="4" w:space="0" w:color="auto"/>
              <w:right w:val="single" w:sz="4" w:space="0" w:color="auto"/>
            </w:tcBorders>
            <w:shd w:val="clear" w:color="auto" w:fill="auto"/>
            <w:noWrap/>
            <w:vAlign w:val="bottom"/>
            <w:hideMark/>
          </w:tcPr>
          <w:p w14:paraId="49067232" w14:textId="77777777" w:rsidR="000D6CEE" w:rsidRPr="009D625C" w:rsidRDefault="000D6CEE" w:rsidP="000D6CEE">
            <w:pPr>
              <w:spacing w:after="0" w:line="240" w:lineRule="auto"/>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 xml:space="preserve">5171 opravy a udržování </w:t>
            </w:r>
          </w:p>
        </w:tc>
        <w:tc>
          <w:tcPr>
            <w:tcW w:w="1272" w:type="dxa"/>
            <w:tcBorders>
              <w:top w:val="nil"/>
              <w:left w:val="nil"/>
              <w:bottom w:val="single" w:sz="4" w:space="0" w:color="auto"/>
              <w:right w:val="single" w:sz="4" w:space="0" w:color="auto"/>
            </w:tcBorders>
            <w:shd w:val="clear" w:color="auto" w:fill="auto"/>
            <w:noWrap/>
            <w:vAlign w:val="bottom"/>
            <w:hideMark/>
          </w:tcPr>
          <w:p w14:paraId="1757BE56" w14:textId="77777777" w:rsidR="000D6CEE" w:rsidRPr="009D625C" w:rsidRDefault="000D6CEE" w:rsidP="000D6CEE">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250 000</w:t>
            </w:r>
          </w:p>
        </w:tc>
        <w:tc>
          <w:tcPr>
            <w:tcW w:w="1418" w:type="dxa"/>
            <w:tcBorders>
              <w:top w:val="nil"/>
              <w:left w:val="nil"/>
              <w:bottom w:val="single" w:sz="4" w:space="0" w:color="auto"/>
              <w:right w:val="single" w:sz="4" w:space="0" w:color="auto"/>
            </w:tcBorders>
            <w:shd w:val="clear" w:color="auto" w:fill="auto"/>
            <w:noWrap/>
            <w:vAlign w:val="bottom"/>
            <w:hideMark/>
          </w:tcPr>
          <w:p w14:paraId="1C2D9860" w14:textId="77777777" w:rsidR="000D6CEE" w:rsidRPr="009D625C" w:rsidRDefault="000D6CEE" w:rsidP="000D6CEE">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250 000,00</w:t>
            </w:r>
          </w:p>
        </w:tc>
        <w:tc>
          <w:tcPr>
            <w:tcW w:w="1417" w:type="dxa"/>
            <w:tcBorders>
              <w:top w:val="nil"/>
              <w:left w:val="nil"/>
              <w:bottom w:val="single" w:sz="4" w:space="0" w:color="auto"/>
              <w:right w:val="single" w:sz="4" w:space="0" w:color="auto"/>
            </w:tcBorders>
            <w:shd w:val="clear" w:color="auto" w:fill="auto"/>
            <w:noWrap/>
            <w:vAlign w:val="bottom"/>
            <w:hideMark/>
          </w:tcPr>
          <w:p w14:paraId="1C3B5805" w14:textId="77777777" w:rsidR="000D6CEE" w:rsidRPr="009D625C" w:rsidRDefault="000D6CEE" w:rsidP="000D6CEE">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46 573,02</w:t>
            </w:r>
          </w:p>
        </w:tc>
        <w:tc>
          <w:tcPr>
            <w:tcW w:w="647" w:type="dxa"/>
            <w:tcBorders>
              <w:top w:val="nil"/>
              <w:left w:val="nil"/>
              <w:bottom w:val="single" w:sz="4" w:space="0" w:color="auto"/>
              <w:right w:val="single" w:sz="8" w:space="0" w:color="auto"/>
            </w:tcBorders>
            <w:shd w:val="clear" w:color="auto" w:fill="auto"/>
            <w:noWrap/>
            <w:vAlign w:val="bottom"/>
            <w:hideMark/>
          </w:tcPr>
          <w:p w14:paraId="2BAC73B0" w14:textId="77777777" w:rsidR="000D6CEE" w:rsidRPr="009D625C" w:rsidRDefault="000D6CEE" w:rsidP="000D6CEE">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18,6</w:t>
            </w:r>
          </w:p>
        </w:tc>
      </w:tr>
      <w:tr w:rsidR="000D6CEE" w:rsidRPr="00E44FE1" w14:paraId="6AB90FF2" w14:textId="77777777" w:rsidTr="00514A08">
        <w:trPr>
          <w:trHeight w:val="26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2E2E7D84" w14:textId="77777777" w:rsidR="000D6CEE" w:rsidRPr="00E44FE1" w:rsidRDefault="000D6CEE" w:rsidP="000D6CEE">
            <w:pPr>
              <w:spacing w:after="0" w:line="240" w:lineRule="auto"/>
              <w:jc w:val="center"/>
              <w:rPr>
                <w:rFonts w:ascii="Calibri" w:eastAsia="Times New Roman" w:hAnsi="Calibri" w:cs="Arial"/>
                <w:sz w:val="20"/>
                <w:szCs w:val="20"/>
                <w:lang w:eastAsia="cs-CZ"/>
              </w:rPr>
            </w:pPr>
            <w:r w:rsidRPr="00E44FE1">
              <w:rPr>
                <w:rFonts w:ascii="Calibri" w:eastAsia="Times New Roman" w:hAnsi="Calibri" w:cs="Arial"/>
                <w:sz w:val="20"/>
                <w:szCs w:val="20"/>
                <w:lang w:eastAsia="cs-CZ"/>
              </w:rPr>
              <w:t> </w:t>
            </w:r>
          </w:p>
        </w:tc>
        <w:tc>
          <w:tcPr>
            <w:tcW w:w="3714" w:type="dxa"/>
            <w:tcBorders>
              <w:top w:val="nil"/>
              <w:left w:val="nil"/>
              <w:bottom w:val="single" w:sz="4" w:space="0" w:color="auto"/>
              <w:right w:val="single" w:sz="4" w:space="0" w:color="auto"/>
            </w:tcBorders>
            <w:shd w:val="clear" w:color="auto" w:fill="auto"/>
            <w:noWrap/>
            <w:vAlign w:val="bottom"/>
            <w:hideMark/>
          </w:tcPr>
          <w:p w14:paraId="489202C6" w14:textId="77777777" w:rsidR="000D6CEE" w:rsidRPr="009D625C" w:rsidRDefault="000D6CEE" w:rsidP="000D6CEE">
            <w:pPr>
              <w:spacing w:after="0" w:line="240" w:lineRule="auto"/>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5172 programové vybavení</w:t>
            </w:r>
          </w:p>
        </w:tc>
        <w:tc>
          <w:tcPr>
            <w:tcW w:w="1272" w:type="dxa"/>
            <w:tcBorders>
              <w:top w:val="nil"/>
              <w:left w:val="nil"/>
              <w:bottom w:val="single" w:sz="4" w:space="0" w:color="auto"/>
              <w:right w:val="single" w:sz="4" w:space="0" w:color="auto"/>
            </w:tcBorders>
            <w:shd w:val="clear" w:color="auto" w:fill="auto"/>
            <w:noWrap/>
            <w:vAlign w:val="bottom"/>
            <w:hideMark/>
          </w:tcPr>
          <w:p w14:paraId="24814D42" w14:textId="77777777" w:rsidR="000D6CEE" w:rsidRPr="009D625C" w:rsidRDefault="000D6CEE" w:rsidP="000D6CEE">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200 000</w:t>
            </w:r>
          </w:p>
        </w:tc>
        <w:tc>
          <w:tcPr>
            <w:tcW w:w="1418" w:type="dxa"/>
            <w:tcBorders>
              <w:top w:val="nil"/>
              <w:left w:val="nil"/>
              <w:bottom w:val="single" w:sz="4" w:space="0" w:color="auto"/>
              <w:right w:val="single" w:sz="4" w:space="0" w:color="auto"/>
            </w:tcBorders>
            <w:shd w:val="clear" w:color="auto" w:fill="auto"/>
            <w:noWrap/>
            <w:vAlign w:val="bottom"/>
            <w:hideMark/>
          </w:tcPr>
          <w:p w14:paraId="0F7DA2F6" w14:textId="77777777" w:rsidR="000D6CEE" w:rsidRPr="009D625C" w:rsidRDefault="000D6CEE" w:rsidP="000D6CEE">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607 000,00</w:t>
            </w:r>
          </w:p>
        </w:tc>
        <w:tc>
          <w:tcPr>
            <w:tcW w:w="1417" w:type="dxa"/>
            <w:tcBorders>
              <w:top w:val="nil"/>
              <w:left w:val="nil"/>
              <w:bottom w:val="single" w:sz="4" w:space="0" w:color="auto"/>
              <w:right w:val="single" w:sz="4" w:space="0" w:color="auto"/>
            </w:tcBorders>
            <w:shd w:val="clear" w:color="auto" w:fill="auto"/>
            <w:noWrap/>
            <w:vAlign w:val="bottom"/>
            <w:hideMark/>
          </w:tcPr>
          <w:p w14:paraId="61E183DE" w14:textId="77777777" w:rsidR="000D6CEE" w:rsidRPr="009D625C" w:rsidRDefault="000D6CEE" w:rsidP="000D6CEE">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458 568,31</w:t>
            </w:r>
          </w:p>
        </w:tc>
        <w:tc>
          <w:tcPr>
            <w:tcW w:w="647" w:type="dxa"/>
            <w:tcBorders>
              <w:top w:val="nil"/>
              <w:left w:val="nil"/>
              <w:bottom w:val="single" w:sz="4" w:space="0" w:color="auto"/>
              <w:right w:val="single" w:sz="8" w:space="0" w:color="auto"/>
            </w:tcBorders>
            <w:shd w:val="clear" w:color="auto" w:fill="auto"/>
            <w:noWrap/>
            <w:vAlign w:val="bottom"/>
            <w:hideMark/>
          </w:tcPr>
          <w:p w14:paraId="238CC6F3" w14:textId="77777777" w:rsidR="000D6CEE" w:rsidRPr="009D625C" w:rsidRDefault="000D6CEE" w:rsidP="000D6CEE">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75,5</w:t>
            </w:r>
          </w:p>
        </w:tc>
      </w:tr>
      <w:tr w:rsidR="000D6CEE" w:rsidRPr="00E44FE1" w14:paraId="58F2F0D2" w14:textId="77777777" w:rsidTr="00514A08">
        <w:trPr>
          <w:trHeight w:val="255"/>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58A5B58B" w14:textId="77777777" w:rsidR="000D6CEE" w:rsidRPr="00E44FE1" w:rsidRDefault="000D6CEE" w:rsidP="000D6CEE">
            <w:pPr>
              <w:spacing w:after="0" w:line="240" w:lineRule="auto"/>
              <w:jc w:val="center"/>
              <w:rPr>
                <w:rFonts w:ascii="Calibri" w:eastAsia="Times New Roman" w:hAnsi="Calibri" w:cs="Arial"/>
                <w:sz w:val="20"/>
                <w:szCs w:val="20"/>
                <w:lang w:eastAsia="cs-CZ"/>
              </w:rPr>
            </w:pPr>
            <w:r w:rsidRPr="00E44FE1">
              <w:rPr>
                <w:rFonts w:ascii="Calibri" w:eastAsia="Times New Roman" w:hAnsi="Calibri" w:cs="Arial"/>
                <w:sz w:val="20"/>
                <w:szCs w:val="20"/>
                <w:lang w:eastAsia="cs-CZ"/>
              </w:rPr>
              <w:t> </w:t>
            </w:r>
          </w:p>
        </w:tc>
        <w:tc>
          <w:tcPr>
            <w:tcW w:w="3714" w:type="dxa"/>
            <w:tcBorders>
              <w:top w:val="nil"/>
              <w:left w:val="nil"/>
              <w:bottom w:val="single" w:sz="4" w:space="0" w:color="auto"/>
              <w:right w:val="single" w:sz="4" w:space="0" w:color="auto"/>
            </w:tcBorders>
            <w:shd w:val="clear" w:color="auto" w:fill="auto"/>
            <w:noWrap/>
            <w:vAlign w:val="bottom"/>
            <w:hideMark/>
          </w:tcPr>
          <w:p w14:paraId="68326E49" w14:textId="77777777" w:rsidR="000D6CEE" w:rsidRPr="009D625C" w:rsidRDefault="000D6CEE" w:rsidP="000D6CEE">
            <w:pPr>
              <w:spacing w:after="0" w:line="240" w:lineRule="auto"/>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 xml:space="preserve">5173 cestovné </w:t>
            </w:r>
          </w:p>
        </w:tc>
        <w:tc>
          <w:tcPr>
            <w:tcW w:w="1272" w:type="dxa"/>
            <w:tcBorders>
              <w:top w:val="nil"/>
              <w:left w:val="nil"/>
              <w:bottom w:val="single" w:sz="4" w:space="0" w:color="auto"/>
              <w:right w:val="single" w:sz="4" w:space="0" w:color="auto"/>
            </w:tcBorders>
            <w:shd w:val="clear" w:color="auto" w:fill="auto"/>
            <w:noWrap/>
            <w:vAlign w:val="bottom"/>
            <w:hideMark/>
          </w:tcPr>
          <w:p w14:paraId="71BDC9B9" w14:textId="77777777" w:rsidR="000D6CEE" w:rsidRPr="009D625C" w:rsidRDefault="000D6CEE" w:rsidP="000D6CEE">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0</w:t>
            </w:r>
          </w:p>
        </w:tc>
        <w:tc>
          <w:tcPr>
            <w:tcW w:w="1418" w:type="dxa"/>
            <w:tcBorders>
              <w:top w:val="nil"/>
              <w:left w:val="nil"/>
              <w:bottom w:val="single" w:sz="4" w:space="0" w:color="auto"/>
              <w:right w:val="single" w:sz="4" w:space="0" w:color="auto"/>
            </w:tcBorders>
            <w:shd w:val="clear" w:color="auto" w:fill="auto"/>
            <w:noWrap/>
            <w:vAlign w:val="bottom"/>
            <w:hideMark/>
          </w:tcPr>
          <w:p w14:paraId="18F0AAEE" w14:textId="77777777" w:rsidR="000D6CEE" w:rsidRPr="009D625C" w:rsidRDefault="000D6CEE" w:rsidP="000D6CEE">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9 000,00</w:t>
            </w:r>
          </w:p>
        </w:tc>
        <w:tc>
          <w:tcPr>
            <w:tcW w:w="1417" w:type="dxa"/>
            <w:tcBorders>
              <w:top w:val="nil"/>
              <w:left w:val="nil"/>
              <w:bottom w:val="single" w:sz="4" w:space="0" w:color="auto"/>
              <w:right w:val="single" w:sz="4" w:space="0" w:color="auto"/>
            </w:tcBorders>
            <w:shd w:val="clear" w:color="auto" w:fill="auto"/>
            <w:noWrap/>
            <w:vAlign w:val="bottom"/>
            <w:hideMark/>
          </w:tcPr>
          <w:p w14:paraId="63DA3584" w14:textId="77777777" w:rsidR="000D6CEE" w:rsidRPr="009D625C" w:rsidRDefault="000D6CEE" w:rsidP="000D6CEE">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5 938,00</w:t>
            </w:r>
          </w:p>
        </w:tc>
        <w:tc>
          <w:tcPr>
            <w:tcW w:w="647" w:type="dxa"/>
            <w:tcBorders>
              <w:top w:val="nil"/>
              <w:left w:val="nil"/>
              <w:bottom w:val="single" w:sz="4" w:space="0" w:color="auto"/>
              <w:right w:val="single" w:sz="8" w:space="0" w:color="auto"/>
            </w:tcBorders>
            <w:shd w:val="clear" w:color="auto" w:fill="auto"/>
            <w:noWrap/>
            <w:vAlign w:val="bottom"/>
            <w:hideMark/>
          </w:tcPr>
          <w:p w14:paraId="4543E69D" w14:textId="77777777" w:rsidR="000D6CEE" w:rsidRPr="009D625C" w:rsidRDefault="000D6CEE" w:rsidP="000D6CEE">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66,0</w:t>
            </w:r>
          </w:p>
        </w:tc>
      </w:tr>
      <w:tr w:rsidR="000D6CEE" w:rsidRPr="00E44FE1" w14:paraId="13D02D06" w14:textId="77777777" w:rsidTr="00514A08">
        <w:trPr>
          <w:trHeight w:val="255"/>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7B0D95AE" w14:textId="77777777" w:rsidR="000D6CEE" w:rsidRPr="00E44FE1" w:rsidRDefault="000D6CEE" w:rsidP="000D6CEE">
            <w:pPr>
              <w:spacing w:after="0" w:line="240" w:lineRule="auto"/>
              <w:jc w:val="center"/>
              <w:rPr>
                <w:rFonts w:ascii="Calibri" w:eastAsia="Times New Roman" w:hAnsi="Calibri" w:cs="Arial"/>
                <w:sz w:val="20"/>
                <w:szCs w:val="20"/>
                <w:lang w:eastAsia="cs-CZ"/>
              </w:rPr>
            </w:pPr>
            <w:r w:rsidRPr="00E44FE1">
              <w:rPr>
                <w:rFonts w:ascii="Calibri" w:eastAsia="Times New Roman" w:hAnsi="Calibri" w:cs="Arial"/>
                <w:sz w:val="20"/>
                <w:szCs w:val="20"/>
                <w:lang w:eastAsia="cs-CZ"/>
              </w:rPr>
              <w:t> </w:t>
            </w:r>
          </w:p>
        </w:tc>
        <w:tc>
          <w:tcPr>
            <w:tcW w:w="3714" w:type="dxa"/>
            <w:tcBorders>
              <w:top w:val="nil"/>
              <w:left w:val="nil"/>
              <w:bottom w:val="single" w:sz="4" w:space="0" w:color="auto"/>
              <w:right w:val="single" w:sz="4" w:space="0" w:color="auto"/>
            </w:tcBorders>
            <w:shd w:val="clear" w:color="auto" w:fill="auto"/>
            <w:noWrap/>
            <w:vAlign w:val="bottom"/>
            <w:hideMark/>
          </w:tcPr>
          <w:p w14:paraId="53343BE8" w14:textId="77777777" w:rsidR="000D6CEE" w:rsidRPr="009D625C" w:rsidRDefault="000D6CEE" w:rsidP="000D6CEE">
            <w:pPr>
              <w:spacing w:after="0" w:line="240" w:lineRule="auto"/>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5175 pohoštění</w:t>
            </w:r>
          </w:p>
        </w:tc>
        <w:tc>
          <w:tcPr>
            <w:tcW w:w="1272" w:type="dxa"/>
            <w:tcBorders>
              <w:top w:val="nil"/>
              <w:left w:val="nil"/>
              <w:bottom w:val="single" w:sz="4" w:space="0" w:color="auto"/>
              <w:right w:val="single" w:sz="4" w:space="0" w:color="auto"/>
            </w:tcBorders>
            <w:shd w:val="clear" w:color="auto" w:fill="auto"/>
            <w:noWrap/>
            <w:vAlign w:val="bottom"/>
            <w:hideMark/>
          </w:tcPr>
          <w:p w14:paraId="15EB0B53" w14:textId="77777777" w:rsidR="000D6CEE" w:rsidRPr="009D625C" w:rsidRDefault="000D6CEE" w:rsidP="000D6CEE">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0</w:t>
            </w:r>
          </w:p>
        </w:tc>
        <w:tc>
          <w:tcPr>
            <w:tcW w:w="1418" w:type="dxa"/>
            <w:tcBorders>
              <w:top w:val="nil"/>
              <w:left w:val="nil"/>
              <w:bottom w:val="single" w:sz="4" w:space="0" w:color="auto"/>
              <w:right w:val="single" w:sz="4" w:space="0" w:color="auto"/>
            </w:tcBorders>
            <w:shd w:val="clear" w:color="auto" w:fill="auto"/>
            <w:noWrap/>
            <w:vAlign w:val="bottom"/>
            <w:hideMark/>
          </w:tcPr>
          <w:p w14:paraId="751E3309" w14:textId="77777777" w:rsidR="000D6CEE" w:rsidRPr="009D625C" w:rsidRDefault="000D6CEE" w:rsidP="000D6CEE">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5 000,00</w:t>
            </w:r>
          </w:p>
        </w:tc>
        <w:tc>
          <w:tcPr>
            <w:tcW w:w="1417" w:type="dxa"/>
            <w:tcBorders>
              <w:top w:val="nil"/>
              <w:left w:val="nil"/>
              <w:bottom w:val="single" w:sz="4" w:space="0" w:color="auto"/>
              <w:right w:val="single" w:sz="4" w:space="0" w:color="auto"/>
            </w:tcBorders>
            <w:shd w:val="clear" w:color="auto" w:fill="auto"/>
            <w:noWrap/>
            <w:vAlign w:val="bottom"/>
            <w:hideMark/>
          </w:tcPr>
          <w:p w14:paraId="2298CFD7" w14:textId="77777777" w:rsidR="000D6CEE" w:rsidRPr="009D625C" w:rsidRDefault="000D6CEE" w:rsidP="000D6CEE">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0,00</w:t>
            </w:r>
          </w:p>
        </w:tc>
        <w:tc>
          <w:tcPr>
            <w:tcW w:w="647" w:type="dxa"/>
            <w:tcBorders>
              <w:top w:val="nil"/>
              <w:left w:val="nil"/>
              <w:bottom w:val="single" w:sz="4" w:space="0" w:color="auto"/>
              <w:right w:val="single" w:sz="8" w:space="0" w:color="auto"/>
            </w:tcBorders>
            <w:shd w:val="clear" w:color="auto" w:fill="auto"/>
            <w:noWrap/>
            <w:vAlign w:val="bottom"/>
            <w:hideMark/>
          </w:tcPr>
          <w:p w14:paraId="5B6A306A" w14:textId="77777777" w:rsidR="000D6CEE" w:rsidRPr="009D625C" w:rsidRDefault="000D6CEE" w:rsidP="000D6CEE">
            <w:pPr>
              <w:spacing w:after="0" w:line="240" w:lineRule="auto"/>
              <w:jc w:val="right"/>
              <w:rPr>
                <w:rFonts w:ascii="Calibri" w:eastAsia="Times New Roman" w:hAnsi="Calibri" w:cs="Arial"/>
                <w:i/>
                <w:iCs/>
                <w:sz w:val="20"/>
                <w:szCs w:val="20"/>
                <w:lang w:eastAsia="cs-CZ"/>
              </w:rPr>
            </w:pPr>
            <w:r w:rsidRPr="009D625C">
              <w:rPr>
                <w:rFonts w:ascii="Calibri" w:eastAsia="Times New Roman" w:hAnsi="Calibri" w:cs="Arial"/>
                <w:i/>
                <w:iCs/>
                <w:sz w:val="20"/>
                <w:szCs w:val="20"/>
                <w:lang w:eastAsia="cs-CZ"/>
              </w:rPr>
              <w:t>0,0</w:t>
            </w:r>
          </w:p>
        </w:tc>
      </w:tr>
      <w:tr w:rsidR="000D6CEE" w:rsidRPr="00E44FE1" w14:paraId="48C05C04" w14:textId="77777777" w:rsidTr="00514A08">
        <w:trPr>
          <w:trHeight w:val="52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345C02D7" w14:textId="77777777" w:rsidR="000D6CEE" w:rsidRPr="00E44FE1" w:rsidRDefault="000D6CEE" w:rsidP="000D6CEE">
            <w:pPr>
              <w:spacing w:after="0" w:line="240" w:lineRule="auto"/>
              <w:jc w:val="center"/>
              <w:rPr>
                <w:rFonts w:ascii="Calibri" w:eastAsia="Times New Roman" w:hAnsi="Calibri" w:cs="Arial"/>
                <w:sz w:val="20"/>
                <w:szCs w:val="20"/>
                <w:lang w:eastAsia="cs-CZ"/>
              </w:rPr>
            </w:pPr>
            <w:r w:rsidRPr="00E44FE1">
              <w:rPr>
                <w:rFonts w:ascii="Calibri" w:eastAsia="Times New Roman" w:hAnsi="Calibri" w:cs="Arial"/>
                <w:sz w:val="20"/>
                <w:szCs w:val="20"/>
                <w:lang w:eastAsia="cs-CZ"/>
              </w:rPr>
              <w:t>6172</w:t>
            </w:r>
          </w:p>
        </w:tc>
        <w:tc>
          <w:tcPr>
            <w:tcW w:w="3714" w:type="dxa"/>
            <w:tcBorders>
              <w:top w:val="nil"/>
              <w:left w:val="nil"/>
              <w:bottom w:val="single" w:sz="4" w:space="0" w:color="auto"/>
              <w:right w:val="single" w:sz="4" w:space="0" w:color="auto"/>
            </w:tcBorders>
            <w:shd w:val="clear" w:color="auto" w:fill="auto"/>
            <w:vAlign w:val="center"/>
            <w:hideMark/>
          </w:tcPr>
          <w:p w14:paraId="48E5CCC5" w14:textId="77777777" w:rsidR="000D6CEE" w:rsidRPr="00E44FE1" w:rsidRDefault="000D6CEE" w:rsidP="000D6CEE">
            <w:pPr>
              <w:spacing w:after="0" w:line="240" w:lineRule="auto"/>
              <w:rPr>
                <w:rFonts w:ascii="Calibri" w:eastAsia="Times New Roman" w:hAnsi="Calibri" w:cs="Arial"/>
                <w:sz w:val="20"/>
                <w:szCs w:val="20"/>
                <w:lang w:eastAsia="cs-CZ"/>
              </w:rPr>
            </w:pPr>
            <w:r w:rsidRPr="00E44FE1">
              <w:rPr>
                <w:rFonts w:ascii="Calibri" w:eastAsia="Times New Roman" w:hAnsi="Calibri" w:cs="Arial"/>
                <w:sz w:val="20"/>
                <w:szCs w:val="20"/>
                <w:lang w:eastAsia="cs-CZ"/>
              </w:rPr>
              <w:t>Činnost regionální správy - provozní náklady projektu Rozvoj eGovernmentu</w:t>
            </w:r>
          </w:p>
        </w:tc>
        <w:tc>
          <w:tcPr>
            <w:tcW w:w="1272" w:type="dxa"/>
            <w:tcBorders>
              <w:top w:val="nil"/>
              <w:left w:val="nil"/>
              <w:bottom w:val="single" w:sz="4" w:space="0" w:color="auto"/>
              <w:right w:val="single" w:sz="4" w:space="0" w:color="auto"/>
            </w:tcBorders>
            <w:shd w:val="clear" w:color="auto" w:fill="auto"/>
            <w:noWrap/>
            <w:vAlign w:val="bottom"/>
            <w:hideMark/>
          </w:tcPr>
          <w:p w14:paraId="32ED732A" w14:textId="77777777" w:rsidR="000D6CEE" w:rsidRPr="00E44FE1" w:rsidRDefault="000D6CEE" w:rsidP="000D6CEE">
            <w:pPr>
              <w:spacing w:after="0" w:line="240" w:lineRule="auto"/>
              <w:jc w:val="right"/>
              <w:rPr>
                <w:rFonts w:ascii="Calibri" w:eastAsia="Times New Roman" w:hAnsi="Calibri" w:cs="Arial"/>
                <w:sz w:val="20"/>
                <w:szCs w:val="20"/>
                <w:lang w:eastAsia="cs-CZ"/>
              </w:rPr>
            </w:pPr>
            <w:r w:rsidRPr="00E44FE1">
              <w:rPr>
                <w:rFonts w:ascii="Calibri" w:eastAsia="Times New Roman" w:hAnsi="Calibri" w:cs="Arial"/>
                <w:sz w:val="20"/>
                <w:szCs w:val="20"/>
                <w:lang w:eastAsia="cs-CZ"/>
              </w:rPr>
              <w:t>154 000</w:t>
            </w:r>
          </w:p>
        </w:tc>
        <w:tc>
          <w:tcPr>
            <w:tcW w:w="1418" w:type="dxa"/>
            <w:tcBorders>
              <w:top w:val="nil"/>
              <w:left w:val="nil"/>
              <w:bottom w:val="single" w:sz="4" w:space="0" w:color="auto"/>
              <w:right w:val="single" w:sz="4" w:space="0" w:color="auto"/>
            </w:tcBorders>
            <w:shd w:val="clear" w:color="auto" w:fill="auto"/>
            <w:noWrap/>
            <w:vAlign w:val="bottom"/>
            <w:hideMark/>
          </w:tcPr>
          <w:p w14:paraId="5A67E4AD" w14:textId="77777777" w:rsidR="000D6CEE" w:rsidRPr="00E44FE1" w:rsidRDefault="000D6CEE" w:rsidP="000D6CEE">
            <w:pPr>
              <w:spacing w:after="0" w:line="240" w:lineRule="auto"/>
              <w:jc w:val="right"/>
              <w:rPr>
                <w:rFonts w:ascii="Calibri" w:eastAsia="Times New Roman" w:hAnsi="Calibri" w:cs="Arial"/>
                <w:sz w:val="20"/>
                <w:szCs w:val="20"/>
                <w:lang w:eastAsia="cs-CZ"/>
              </w:rPr>
            </w:pPr>
            <w:r w:rsidRPr="00E44FE1">
              <w:rPr>
                <w:rFonts w:ascii="Calibri" w:eastAsia="Times New Roman" w:hAnsi="Calibri" w:cs="Arial"/>
                <w:sz w:val="20"/>
                <w:szCs w:val="20"/>
                <w:lang w:eastAsia="cs-CZ"/>
              </w:rPr>
              <w:t>154 000,00</w:t>
            </w:r>
          </w:p>
        </w:tc>
        <w:tc>
          <w:tcPr>
            <w:tcW w:w="1417" w:type="dxa"/>
            <w:tcBorders>
              <w:top w:val="nil"/>
              <w:left w:val="nil"/>
              <w:bottom w:val="single" w:sz="4" w:space="0" w:color="auto"/>
              <w:right w:val="single" w:sz="4" w:space="0" w:color="auto"/>
            </w:tcBorders>
            <w:shd w:val="clear" w:color="auto" w:fill="auto"/>
            <w:noWrap/>
            <w:vAlign w:val="bottom"/>
            <w:hideMark/>
          </w:tcPr>
          <w:p w14:paraId="5EBCB98E" w14:textId="77777777" w:rsidR="000D6CEE" w:rsidRPr="00E44FE1" w:rsidRDefault="000D6CEE" w:rsidP="000D6CEE">
            <w:pPr>
              <w:spacing w:after="0" w:line="240" w:lineRule="auto"/>
              <w:jc w:val="right"/>
              <w:rPr>
                <w:rFonts w:ascii="Calibri" w:eastAsia="Times New Roman" w:hAnsi="Calibri" w:cs="Arial"/>
                <w:sz w:val="20"/>
                <w:szCs w:val="20"/>
                <w:lang w:eastAsia="cs-CZ"/>
              </w:rPr>
            </w:pPr>
            <w:r w:rsidRPr="00E44FE1">
              <w:rPr>
                <w:rFonts w:ascii="Calibri" w:eastAsia="Times New Roman" w:hAnsi="Calibri" w:cs="Arial"/>
                <w:sz w:val="20"/>
                <w:szCs w:val="20"/>
                <w:lang w:eastAsia="cs-CZ"/>
              </w:rPr>
              <w:t>153 379,60</w:t>
            </w:r>
          </w:p>
        </w:tc>
        <w:tc>
          <w:tcPr>
            <w:tcW w:w="647" w:type="dxa"/>
            <w:tcBorders>
              <w:top w:val="nil"/>
              <w:left w:val="nil"/>
              <w:bottom w:val="single" w:sz="4" w:space="0" w:color="auto"/>
              <w:right w:val="single" w:sz="8" w:space="0" w:color="auto"/>
            </w:tcBorders>
            <w:shd w:val="clear" w:color="auto" w:fill="auto"/>
            <w:noWrap/>
            <w:vAlign w:val="bottom"/>
            <w:hideMark/>
          </w:tcPr>
          <w:p w14:paraId="09276E55" w14:textId="77777777" w:rsidR="000D6CEE" w:rsidRPr="00E44FE1" w:rsidRDefault="000D6CEE" w:rsidP="000D6CEE">
            <w:pPr>
              <w:spacing w:after="0" w:line="240" w:lineRule="auto"/>
              <w:jc w:val="right"/>
              <w:rPr>
                <w:rFonts w:ascii="Calibri" w:eastAsia="Times New Roman" w:hAnsi="Calibri" w:cs="Arial"/>
                <w:sz w:val="20"/>
                <w:szCs w:val="20"/>
                <w:lang w:eastAsia="cs-CZ"/>
              </w:rPr>
            </w:pPr>
            <w:r w:rsidRPr="00E44FE1">
              <w:rPr>
                <w:rFonts w:ascii="Calibri" w:eastAsia="Times New Roman" w:hAnsi="Calibri" w:cs="Arial"/>
                <w:sz w:val="20"/>
                <w:szCs w:val="20"/>
                <w:lang w:eastAsia="cs-CZ"/>
              </w:rPr>
              <w:t>99,6</w:t>
            </w:r>
          </w:p>
        </w:tc>
      </w:tr>
      <w:tr w:rsidR="000D6CEE" w:rsidRPr="00E44FE1" w14:paraId="69A1DA5F" w14:textId="77777777" w:rsidTr="00514A08">
        <w:trPr>
          <w:trHeight w:val="790"/>
        </w:trPr>
        <w:tc>
          <w:tcPr>
            <w:tcW w:w="826" w:type="dxa"/>
            <w:tcBorders>
              <w:top w:val="nil"/>
              <w:left w:val="single" w:sz="8" w:space="0" w:color="auto"/>
              <w:bottom w:val="single" w:sz="8" w:space="0" w:color="auto"/>
              <w:right w:val="single" w:sz="4" w:space="0" w:color="auto"/>
            </w:tcBorders>
            <w:shd w:val="clear" w:color="auto" w:fill="auto"/>
            <w:noWrap/>
            <w:vAlign w:val="bottom"/>
            <w:hideMark/>
          </w:tcPr>
          <w:p w14:paraId="1696D495" w14:textId="77777777" w:rsidR="000D6CEE" w:rsidRPr="00E44FE1" w:rsidRDefault="000D6CEE" w:rsidP="000D6CEE">
            <w:pPr>
              <w:spacing w:after="0" w:line="240" w:lineRule="auto"/>
              <w:jc w:val="center"/>
              <w:rPr>
                <w:rFonts w:ascii="Calibri" w:eastAsia="Times New Roman" w:hAnsi="Calibri" w:cs="Arial"/>
                <w:sz w:val="20"/>
                <w:szCs w:val="20"/>
                <w:lang w:eastAsia="cs-CZ"/>
              </w:rPr>
            </w:pPr>
            <w:r w:rsidRPr="00E44FE1">
              <w:rPr>
                <w:rFonts w:ascii="Calibri" w:eastAsia="Times New Roman" w:hAnsi="Calibri" w:cs="Arial"/>
                <w:sz w:val="20"/>
                <w:szCs w:val="20"/>
                <w:lang w:eastAsia="cs-CZ"/>
              </w:rPr>
              <w:t>6172</w:t>
            </w:r>
          </w:p>
        </w:tc>
        <w:tc>
          <w:tcPr>
            <w:tcW w:w="3714" w:type="dxa"/>
            <w:tcBorders>
              <w:top w:val="nil"/>
              <w:left w:val="nil"/>
              <w:bottom w:val="single" w:sz="8" w:space="0" w:color="auto"/>
              <w:right w:val="single" w:sz="4" w:space="0" w:color="auto"/>
            </w:tcBorders>
            <w:shd w:val="clear" w:color="auto" w:fill="auto"/>
            <w:vAlign w:val="center"/>
            <w:hideMark/>
          </w:tcPr>
          <w:p w14:paraId="3366046A" w14:textId="77777777" w:rsidR="000D6CEE" w:rsidRPr="00E44FE1" w:rsidRDefault="000D6CEE" w:rsidP="000D6CEE">
            <w:pPr>
              <w:spacing w:after="0" w:line="240" w:lineRule="auto"/>
              <w:rPr>
                <w:rFonts w:ascii="Calibri" w:eastAsia="Times New Roman" w:hAnsi="Calibri" w:cs="Arial"/>
                <w:sz w:val="20"/>
                <w:szCs w:val="20"/>
                <w:lang w:eastAsia="cs-CZ"/>
              </w:rPr>
            </w:pPr>
            <w:r w:rsidRPr="00E44FE1">
              <w:rPr>
                <w:rFonts w:ascii="Calibri" w:eastAsia="Times New Roman" w:hAnsi="Calibri" w:cs="Arial"/>
                <w:sz w:val="20"/>
                <w:szCs w:val="20"/>
                <w:lang w:eastAsia="cs-CZ"/>
              </w:rPr>
              <w:t>Činnost regionální správy - provozní náklady na projekt v rámci Výzvy č. 19 IOP</w:t>
            </w:r>
          </w:p>
        </w:tc>
        <w:tc>
          <w:tcPr>
            <w:tcW w:w="1272" w:type="dxa"/>
            <w:tcBorders>
              <w:top w:val="nil"/>
              <w:left w:val="nil"/>
              <w:bottom w:val="single" w:sz="8" w:space="0" w:color="auto"/>
              <w:right w:val="single" w:sz="4" w:space="0" w:color="auto"/>
            </w:tcBorders>
            <w:shd w:val="clear" w:color="auto" w:fill="auto"/>
            <w:noWrap/>
            <w:vAlign w:val="bottom"/>
            <w:hideMark/>
          </w:tcPr>
          <w:p w14:paraId="6BC41765" w14:textId="77777777" w:rsidR="000D6CEE" w:rsidRPr="00E44FE1" w:rsidRDefault="000D6CEE" w:rsidP="000D6CEE">
            <w:pPr>
              <w:spacing w:after="0" w:line="240" w:lineRule="auto"/>
              <w:jc w:val="right"/>
              <w:rPr>
                <w:rFonts w:ascii="Calibri" w:eastAsia="Times New Roman" w:hAnsi="Calibri" w:cs="Arial"/>
                <w:sz w:val="20"/>
                <w:szCs w:val="20"/>
                <w:lang w:eastAsia="cs-CZ"/>
              </w:rPr>
            </w:pPr>
            <w:r w:rsidRPr="00E44FE1">
              <w:rPr>
                <w:rFonts w:ascii="Calibri" w:eastAsia="Times New Roman" w:hAnsi="Calibri" w:cs="Arial"/>
                <w:sz w:val="20"/>
                <w:szCs w:val="20"/>
                <w:lang w:eastAsia="cs-CZ"/>
              </w:rPr>
              <w:t>421 000</w:t>
            </w:r>
          </w:p>
        </w:tc>
        <w:tc>
          <w:tcPr>
            <w:tcW w:w="1418" w:type="dxa"/>
            <w:tcBorders>
              <w:top w:val="nil"/>
              <w:left w:val="nil"/>
              <w:bottom w:val="single" w:sz="8" w:space="0" w:color="auto"/>
              <w:right w:val="single" w:sz="4" w:space="0" w:color="auto"/>
            </w:tcBorders>
            <w:shd w:val="clear" w:color="auto" w:fill="auto"/>
            <w:noWrap/>
            <w:vAlign w:val="bottom"/>
            <w:hideMark/>
          </w:tcPr>
          <w:p w14:paraId="5CC26311" w14:textId="77777777" w:rsidR="000D6CEE" w:rsidRPr="00E44FE1" w:rsidRDefault="000D6CEE" w:rsidP="000D6CEE">
            <w:pPr>
              <w:spacing w:after="0" w:line="240" w:lineRule="auto"/>
              <w:jc w:val="right"/>
              <w:rPr>
                <w:rFonts w:ascii="Calibri" w:eastAsia="Times New Roman" w:hAnsi="Calibri" w:cs="Arial"/>
                <w:sz w:val="20"/>
                <w:szCs w:val="20"/>
                <w:lang w:eastAsia="cs-CZ"/>
              </w:rPr>
            </w:pPr>
            <w:r w:rsidRPr="00E44FE1">
              <w:rPr>
                <w:rFonts w:ascii="Calibri" w:eastAsia="Times New Roman" w:hAnsi="Calibri" w:cs="Arial"/>
                <w:sz w:val="20"/>
                <w:szCs w:val="20"/>
                <w:lang w:eastAsia="cs-CZ"/>
              </w:rPr>
              <w:t>0,00</w:t>
            </w:r>
          </w:p>
        </w:tc>
        <w:tc>
          <w:tcPr>
            <w:tcW w:w="1417" w:type="dxa"/>
            <w:tcBorders>
              <w:top w:val="nil"/>
              <w:left w:val="nil"/>
              <w:bottom w:val="single" w:sz="8" w:space="0" w:color="auto"/>
              <w:right w:val="single" w:sz="4" w:space="0" w:color="auto"/>
            </w:tcBorders>
            <w:shd w:val="clear" w:color="auto" w:fill="auto"/>
            <w:noWrap/>
            <w:vAlign w:val="bottom"/>
            <w:hideMark/>
          </w:tcPr>
          <w:p w14:paraId="285F7A3D" w14:textId="77777777" w:rsidR="000D6CEE" w:rsidRPr="00E44FE1" w:rsidRDefault="000D6CEE" w:rsidP="000D6CEE">
            <w:pPr>
              <w:spacing w:after="0" w:line="240" w:lineRule="auto"/>
              <w:jc w:val="right"/>
              <w:rPr>
                <w:rFonts w:ascii="Calibri" w:eastAsia="Times New Roman" w:hAnsi="Calibri" w:cs="Arial"/>
                <w:sz w:val="20"/>
                <w:szCs w:val="20"/>
                <w:lang w:eastAsia="cs-CZ"/>
              </w:rPr>
            </w:pPr>
            <w:r w:rsidRPr="00E44FE1">
              <w:rPr>
                <w:rFonts w:ascii="Calibri" w:eastAsia="Times New Roman" w:hAnsi="Calibri" w:cs="Arial"/>
                <w:sz w:val="20"/>
                <w:szCs w:val="20"/>
                <w:lang w:eastAsia="cs-CZ"/>
              </w:rPr>
              <w:t>0,00</w:t>
            </w:r>
          </w:p>
        </w:tc>
        <w:tc>
          <w:tcPr>
            <w:tcW w:w="647" w:type="dxa"/>
            <w:tcBorders>
              <w:top w:val="nil"/>
              <w:left w:val="nil"/>
              <w:bottom w:val="single" w:sz="8" w:space="0" w:color="auto"/>
              <w:right w:val="single" w:sz="8" w:space="0" w:color="auto"/>
            </w:tcBorders>
            <w:shd w:val="clear" w:color="auto" w:fill="auto"/>
            <w:noWrap/>
            <w:vAlign w:val="bottom"/>
            <w:hideMark/>
          </w:tcPr>
          <w:p w14:paraId="71E141AF" w14:textId="77777777" w:rsidR="000D6CEE" w:rsidRPr="00E44FE1" w:rsidRDefault="000D6CEE" w:rsidP="000D6CEE">
            <w:pPr>
              <w:spacing w:after="0" w:line="240" w:lineRule="auto"/>
              <w:jc w:val="right"/>
              <w:rPr>
                <w:rFonts w:ascii="Calibri" w:eastAsia="Times New Roman" w:hAnsi="Calibri" w:cs="Arial"/>
                <w:sz w:val="20"/>
                <w:szCs w:val="20"/>
                <w:lang w:eastAsia="cs-CZ"/>
              </w:rPr>
            </w:pPr>
            <w:r w:rsidRPr="00E44FE1">
              <w:rPr>
                <w:rFonts w:ascii="Calibri" w:eastAsia="Times New Roman" w:hAnsi="Calibri" w:cs="Arial"/>
                <w:sz w:val="20"/>
                <w:szCs w:val="20"/>
                <w:lang w:eastAsia="cs-CZ"/>
              </w:rPr>
              <w:t>-</w:t>
            </w:r>
          </w:p>
        </w:tc>
      </w:tr>
      <w:tr w:rsidR="000D6CEE" w:rsidRPr="00E44FE1" w14:paraId="4922435F" w14:textId="77777777" w:rsidTr="00514A08">
        <w:trPr>
          <w:trHeight w:val="300"/>
        </w:trPr>
        <w:tc>
          <w:tcPr>
            <w:tcW w:w="826" w:type="dxa"/>
            <w:tcBorders>
              <w:top w:val="nil"/>
              <w:left w:val="single" w:sz="8" w:space="0" w:color="auto"/>
              <w:bottom w:val="single" w:sz="8" w:space="0" w:color="auto"/>
              <w:right w:val="single" w:sz="4" w:space="0" w:color="auto"/>
            </w:tcBorders>
            <w:shd w:val="clear" w:color="auto" w:fill="auto"/>
            <w:noWrap/>
            <w:vAlign w:val="bottom"/>
            <w:hideMark/>
          </w:tcPr>
          <w:p w14:paraId="01435BD6" w14:textId="77777777" w:rsidR="000D6CEE" w:rsidRPr="00E44FE1" w:rsidRDefault="000D6CEE" w:rsidP="000D6CEE">
            <w:pPr>
              <w:spacing w:after="0" w:line="240" w:lineRule="auto"/>
              <w:rPr>
                <w:rFonts w:ascii="Calibri" w:eastAsia="Times New Roman" w:hAnsi="Calibri" w:cs="Arial"/>
                <w:b/>
                <w:bCs/>
                <w:lang w:eastAsia="cs-CZ"/>
              </w:rPr>
            </w:pPr>
            <w:r w:rsidRPr="00E44FE1">
              <w:rPr>
                <w:rFonts w:ascii="Calibri" w:eastAsia="Times New Roman" w:hAnsi="Calibri" w:cs="Arial"/>
                <w:b/>
                <w:bCs/>
                <w:lang w:eastAsia="cs-CZ"/>
              </w:rPr>
              <w:t> </w:t>
            </w:r>
          </w:p>
        </w:tc>
        <w:tc>
          <w:tcPr>
            <w:tcW w:w="3714" w:type="dxa"/>
            <w:tcBorders>
              <w:top w:val="nil"/>
              <w:left w:val="nil"/>
              <w:bottom w:val="single" w:sz="8" w:space="0" w:color="auto"/>
              <w:right w:val="single" w:sz="4" w:space="0" w:color="auto"/>
            </w:tcBorders>
            <w:shd w:val="clear" w:color="auto" w:fill="auto"/>
            <w:noWrap/>
            <w:vAlign w:val="bottom"/>
            <w:hideMark/>
          </w:tcPr>
          <w:p w14:paraId="1026D4BF" w14:textId="77777777" w:rsidR="000D6CEE" w:rsidRPr="00E44FE1" w:rsidRDefault="000D6CEE" w:rsidP="000D6CEE">
            <w:pPr>
              <w:spacing w:after="0" w:line="240" w:lineRule="auto"/>
              <w:rPr>
                <w:rFonts w:ascii="Calibri" w:eastAsia="Times New Roman" w:hAnsi="Calibri" w:cs="Arial"/>
                <w:b/>
                <w:bCs/>
                <w:lang w:eastAsia="cs-CZ"/>
              </w:rPr>
            </w:pPr>
            <w:r w:rsidRPr="00E44FE1">
              <w:rPr>
                <w:rFonts w:ascii="Calibri" w:eastAsia="Times New Roman" w:hAnsi="Calibri" w:cs="Arial"/>
                <w:b/>
                <w:bCs/>
                <w:lang w:eastAsia="cs-CZ"/>
              </w:rPr>
              <w:t>Celkem</w:t>
            </w:r>
          </w:p>
        </w:tc>
        <w:tc>
          <w:tcPr>
            <w:tcW w:w="1272" w:type="dxa"/>
            <w:tcBorders>
              <w:top w:val="nil"/>
              <w:left w:val="nil"/>
              <w:bottom w:val="single" w:sz="8" w:space="0" w:color="auto"/>
              <w:right w:val="single" w:sz="4" w:space="0" w:color="auto"/>
            </w:tcBorders>
            <w:shd w:val="clear" w:color="auto" w:fill="auto"/>
            <w:noWrap/>
            <w:vAlign w:val="bottom"/>
            <w:hideMark/>
          </w:tcPr>
          <w:p w14:paraId="3CBC591D" w14:textId="77777777" w:rsidR="000D6CEE" w:rsidRPr="00E44FE1" w:rsidRDefault="000D6CEE" w:rsidP="000D6CEE">
            <w:pPr>
              <w:spacing w:after="0" w:line="240" w:lineRule="auto"/>
              <w:jc w:val="right"/>
              <w:rPr>
                <w:rFonts w:ascii="Calibri" w:eastAsia="Times New Roman" w:hAnsi="Calibri" w:cs="Arial"/>
                <w:b/>
                <w:bCs/>
                <w:lang w:eastAsia="cs-CZ"/>
              </w:rPr>
            </w:pPr>
            <w:r w:rsidRPr="00E44FE1">
              <w:rPr>
                <w:rFonts w:ascii="Calibri" w:eastAsia="Times New Roman" w:hAnsi="Calibri" w:cs="Arial"/>
                <w:b/>
                <w:bCs/>
                <w:lang w:eastAsia="cs-CZ"/>
              </w:rPr>
              <w:t>54 671 000</w:t>
            </w:r>
          </w:p>
        </w:tc>
        <w:tc>
          <w:tcPr>
            <w:tcW w:w="1418" w:type="dxa"/>
            <w:tcBorders>
              <w:top w:val="nil"/>
              <w:left w:val="nil"/>
              <w:bottom w:val="single" w:sz="8" w:space="0" w:color="auto"/>
              <w:right w:val="single" w:sz="4" w:space="0" w:color="auto"/>
            </w:tcBorders>
            <w:shd w:val="clear" w:color="auto" w:fill="auto"/>
            <w:noWrap/>
            <w:vAlign w:val="bottom"/>
            <w:hideMark/>
          </w:tcPr>
          <w:p w14:paraId="20B37595" w14:textId="77777777" w:rsidR="000D6CEE" w:rsidRPr="00E44FE1" w:rsidRDefault="000D6CEE" w:rsidP="000D6CEE">
            <w:pPr>
              <w:spacing w:after="0" w:line="240" w:lineRule="auto"/>
              <w:jc w:val="right"/>
              <w:rPr>
                <w:rFonts w:ascii="Calibri" w:eastAsia="Times New Roman" w:hAnsi="Calibri" w:cs="Arial"/>
                <w:b/>
                <w:bCs/>
                <w:lang w:eastAsia="cs-CZ"/>
              </w:rPr>
            </w:pPr>
            <w:r w:rsidRPr="00E44FE1">
              <w:rPr>
                <w:rFonts w:ascii="Calibri" w:eastAsia="Times New Roman" w:hAnsi="Calibri" w:cs="Arial"/>
                <w:b/>
                <w:bCs/>
                <w:lang w:eastAsia="cs-CZ"/>
              </w:rPr>
              <w:t>60 448 052,36</w:t>
            </w:r>
          </w:p>
        </w:tc>
        <w:tc>
          <w:tcPr>
            <w:tcW w:w="1417" w:type="dxa"/>
            <w:tcBorders>
              <w:top w:val="nil"/>
              <w:left w:val="nil"/>
              <w:bottom w:val="single" w:sz="8" w:space="0" w:color="auto"/>
              <w:right w:val="single" w:sz="4" w:space="0" w:color="auto"/>
            </w:tcBorders>
            <w:shd w:val="clear" w:color="auto" w:fill="auto"/>
            <w:noWrap/>
            <w:vAlign w:val="bottom"/>
            <w:hideMark/>
          </w:tcPr>
          <w:p w14:paraId="1FB28E3A" w14:textId="77777777" w:rsidR="000D6CEE" w:rsidRPr="00E44FE1" w:rsidRDefault="000D6CEE" w:rsidP="000D6CEE">
            <w:pPr>
              <w:spacing w:after="0" w:line="240" w:lineRule="auto"/>
              <w:jc w:val="right"/>
              <w:rPr>
                <w:rFonts w:ascii="Calibri" w:eastAsia="Times New Roman" w:hAnsi="Calibri" w:cs="Arial"/>
                <w:b/>
                <w:bCs/>
                <w:lang w:eastAsia="cs-CZ"/>
              </w:rPr>
            </w:pPr>
            <w:r w:rsidRPr="00E44FE1">
              <w:rPr>
                <w:rFonts w:ascii="Calibri" w:eastAsia="Times New Roman" w:hAnsi="Calibri" w:cs="Arial"/>
                <w:b/>
                <w:bCs/>
                <w:lang w:eastAsia="cs-CZ"/>
              </w:rPr>
              <w:t>51 298 412,55</w:t>
            </w:r>
          </w:p>
        </w:tc>
        <w:tc>
          <w:tcPr>
            <w:tcW w:w="647" w:type="dxa"/>
            <w:tcBorders>
              <w:top w:val="nil"/>
              <w:left w:val="nil"/>
              <w:bottom w:val="single" w:sz="8" w:space="0" w:color="auto"/>
              <w:right w:val="single" w:sz="8" w:space="0" w:color="auto"/>
            </w:tcBorders>
            <w:shd w:val="clear" w:color="auto" w:fill="auto"/>
            <w:noWrap/>
            <w:vAlign w:val="bottom"/>
            <w:hideMark/>
          </w:tcPr>
          <w:p w14:paraId="20070A49" w14:textId="77777777" w:rsidR="000D6CEE" w:rsidRPr="00E44FE1" w:rsidRDefault="000D6CEE" w:rsidP="000D6CEE">
            <w:pPr>
              <w:spacing w:after="0" w:line="240" w:lineRule="auto"/>
              <w:jc w:val="right"/>
              <w:rPr>
                <w:rFonts w:ascii="Calibri" w:eastAsia="Times New Roman" w:hAnsi="Calibri" w:cs="Arial"/>
                <w:b/>
                <w:bCs/>
                <w:lang w:eastAsia="cs-CZ"/>
              </w:rPr>
            </w:pPr>
            <w:r w:rsidRPr="00E44FE1">
              <w:rPr>
                <w:rFonts w:ascii="Calibri" w:eastAsia="Times New Roman" w:hAnsi="Calibri" w:cs="Arial"/>
                <w:b/>
                <w:bCs/>
                <w:lang w:eastAsia="cs-CZ"/>
              </w:rPr>
              <w:t>84,9</w:t>
            </w:r>
          </w:p>
        </w:tc>
      </w:tr>
      <w:tr w:rsidR="000D6CEE" w:rsidRPr="00E44FE1" w14:paraId="00B4F805" w14:textId="77777777" w:rsidTr="00514A08">
        <w:trPr>
          <w:trHeight w:val="300"/>
        </w:trPr>
        <w:tc>
          <w:tcPr>
            <w:tcW w:w="826" w:type="dxa"/>
            <w:tcBorders>
              <w:top w:val="nil"/>
              <w:left w:val="nil"/>
              <w:bottom w:val="nil"/>
              <w:right w:val="nil"/>
            </w:tcBorders>
            <w:shd w:val="clear" w:color="auto" w:fill="auto"/>
            <w:noWrap/>
            <w:vAlign w:val="bottom"/>
            <w:hideMark/>
          </w:tcPr>
          <w:p w14:paraId="427F7DD6" w14:textId="77777777" w:rsidR="000D6CEE" w:rsidRPr="00E44FE1" w:rsidRDefault="000D6CEE" w:rsidP="000D6CEE">
            <w:pPr>
              <w:spacing w:after="0" w:line="240" w:lineRule="auto"/>
              <w:jc w:val="right"/>
              <w:rPr>
                <w:rFonts w:ascii="Calibri" w:eastAsia="Times New Roman" w:hAnsi="Calibri" w:cs="Arial"/>
                <w:b/>
                <w:bCs/>
                <w:lang w:eastAsia="cs-CZ"/>
              </w:rPr>
            </w:pPr>
          </w:p>
        </w:tc>
        <w:tc>
          <w:tcPr>
            <w:tcW w:w="3714" w:type="dxa"/>
            <w:tcBorders>
              <w:top w:val="nil"/>
              <w:left w:val="nil"/>
              <w:bottom w:val="nil"/>
              <w:right w:val="nil"/>
            </w:tcBorders>
            <w:shd w:val="clear" w:color="auto" w:fill="auto"/>
            <w:noWrap/>
            <w:vAlign w:val="bottom"/>
            <w:hideMark/>
          </w:tcPr>
          <w:p w14:paraId="300B4AEB" w14:textId="77777777" w:rsidR="000D6CEE" w:rsidRPr="00E44FE1" w:rsidRDefault="000D6CEE" w:rsidP="000D6CEE">
            <w:pPr>
              <w:spacing w:after="0" w:line="240" w:lineRule="auto"/>
              <w:rPr>
                <w:rFonts w:ascii="Times New Roman" w:eastAsia="Times New Roman" w:hAnsi="Times New Roman" w:cs="Times New Roman"/>
                <w:sz w:val="20"/>
                <w:szCs w:val="20"/>
                <w:lang w:eastAsia="cs-CZ"/>
              </w:rPr>
            </w:pPr>
          </w:p>
        </w:tc>
        <w:tc>
          <w:tcPr>
            <w:tcW w:w="1272" w:type="dxa"/>
            <w:tcBorders>
              <w:top w:val="nil"/>
              <w:left w:val="nil"/>
              <w:bottom w:val="nil"/>
              <w:right w:val="nil"/>
            </w:tcBorders>
            <w:shd w:val="clear" w:color="auto" w:fill="auto"/>
            <w:noWrap/>
            <w:vAlign w:val="bottom"/>
            <w:hideMark/>
          </w:tcPr>
          <w:p w14:paraId="3C45DA7C" w14:textId="77777777" w:rsidR="000D6CEE" w:rsidRPr="00E44FE1" w:rsidRDefault="000D6CEE" w:rsidP="000D6CEE">
            <w:pPr>
              <w:spacing w:after="0" w:line="240" w:lineRule="auto"/>
              <w:rPr>
                <w:rFonts w:ascii="Times New Roman" w:eastAsia="Times New Roman" w:hAnsi="Times New Roman" w:cs="Times New Roman"/>
                <w:sz w:val="20"/>
                <w:szCs w:val="20"/>
                <w:lang w:eastAsia="cs-CZ"/>
              </w:rPr>
            </w:pPr>
          </w:p>
        </w:tc>
        <w:tc>
          <w:tcPr>
            <w:tcW w:w="1418" w:type="dxa"/>
            <w:tcBorders>
              <w:top w:val="nil"/>
              <w:left w:val="nil"/>
              <w:bottom w:val="nil"/>
              <w:right w:val="nil"/>
            </w:tcBorders>
            <w:shd w:val="clear" w:color="auto" w:fill="auto"/>
            <w:noWrap/>
            <w:vAlign w:val="bottom"/>
            <w:hideMark/>
          </w:tcPr>
          <w:p w14:paraId="5EDB9AF7" w14:textId="77777777" w:rsidR="000D6CEE" w:rsidRPr="00E44FE1" w:rsidRDefault="000D6CEE" w:rsidP="000D6CEE">
            <w:pPr>
              <w:spacing w:after="0" w:line="240" w:lineRule="auto"/>
              <w:jc w:val="right"/>
              <w:rPr>
                <w:rFonts w:ascii="Times New Roman" w:eastAsia="Times New Roman" w:hAnsi="Times New Roman" w:cs="Times New Roman"/>
                <w:sz w:val="20"/>
                <w:szCs w:val="20"/>
                <w:lang w:eastAsia="cs-CZ"/>
              </w:rPr>
            </w:pPr>
          </w:p>
        </w:tc>
        <w:tc>
          <w:tcPr>
            <w:tcW w:w="1417" w:type="dxa"/>
            <w:tcBorders>
              <w:top w:val="nil"/>
              <w:left w:val="nil"/>
              <w:bottom w:val="nil"/>
              <w:right w:val="nil"/>
            </w:tcBorders>
            <w:shd w:val="clear" w:color="auto" w:fill="auto"/>
            <w:noWrap/>
            <w:vAlign w:val="bottom"/>
            <w:hideMark/>
          </w:tcPr>
          <w:p w14:paraId="29D4E05B" w14:textId="77777777" w:rsidR="000D6CEE" w:rsidRPr="00E44FE1" w:rsidRDefault="000D6CEE" w:rsidP="000D6CEE">
            <w:pPr>
              <w:spacing w:after="0" w:line="240" w:lineRule="auto"/>
              <w:jc w:val="right"/>
              <w:rPr>
                <w:rFonts w:ascii="Times New Roman" w:eastAsia="Times New Roman" w:hAnsi="Times New Roman" w:cs="Times New Roman"/>
                <w:sz w:val="20"/>
                <w:szCs w:val="20"/>
                <w:lang w:eastAsia="cs-CZ"/>
              </w:rPr>
            </w:pPr>
          </w:p>
        </w:tc>
        <w:tc>
          <w:tcPr>
            <w:tcW w:w="647" w:type="dxa"/>
            <w:tcBorders>
              <w:top w:val="nil"/>
              <w:left w:val="nil"/>
              <w:bottom w:val="nil"/>
              <w:right w:val="nil"/>
            </w:tcBorders>
            <w:shd w:val="clear" w:color="auto" w:fill="auto"/>
            <w:noWrap/>
            <w:vAlign w:val="bottom"/>
            <w:hideMark/>
          </w:tcPr>
          <w:p w14:paraId="66AFC8BD" w14:textId="77777777" w:rsidR="000D6CEE" w:rsidRPr="00E44FE1" w:rsidRDefault="000D6CEE" w:rsidP="000D6CEE">
            <w:pPr>
              <w:spacing w:after="0" w:line="240" w:lineRule="auto"/>
              <w:jc w:val="right"/>
              <w:rPr>
                <w:rFonts w:ascii="Times New Roman" w:eastAsia="Times New Roman" w:hAnsi="Times New Roman" w:cs="Times New Roman"/>
                <w:sz w:val="20"/>
                <w:szCs w:val="20"/>
                <w:lang w:eastAsia="cs-CZ"/>
              </w:rPr>
            </w:pPr>
          </w:p>
        </w:tc>
      </w:tr>
      <w:tr w:rsidR="000D6CEE" w:rsidRPr="00E44FE1" w14:paraId="6DAB80FB" w14:textId="77777777" w:rsidTr="00514A08">
        <w:trPr>
          <w:trHeight w:val="320"/>
        </w:trPr>
        <w:tc>
          <w:tcPr>
            <w:tcW w:w="4540" w:type="dxa"/>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99B86DF" w14:textId="77777777" w:rsidR="000D6CEE" w:rsidRPr="00E44FE1" w:rsidRDefault="000D6CEE" w:rsidP="000D6CEE">
            <w:pPr>
              <w:spacing w:after="0" w:line="240" w:lineRule="auto"/>
              <w:rPr>
                <w:rFonts w:ascii="Calibri" w:eastAsia="Times New Roman" w:hAnsi="Calibri" w:cs="Arial"/>
                <w:b/>
                <w:bCs/>
                <w:sz w:val="24"/>
                <w:szCs w:val="24"/>
                <w:lang w:eastAsia="cs-CZ"/>
              </w:rPr>
            </w:pPr>
            <w:r w:rsidRPr="00E44FE1">
              <w:rPr>
                <w:rFonts w:ascii="Calibri" w:eastAsia="Times New Roman" w:hAnsi="Calibri" w:cs="Arial"/>
                <w:b/>
                <w:bCs/>
                <w:sz w:val="24"/>
                <w:szCs w:val="24"/>
                <w:lang w:eastAsia="cs-CZ"/>
              </w:rPr>
              <w:t>Celkem výdaje</w:t>
            </w:r>
          </w:p>
        </w:tc>
        <w:tc>
          <w:tcPr>
            <w:tcW w:w="1272" w:type="dxa"/>
            <w:tcBorders>
              <w:top w:val="single" w:sz="8" w:space="0" w:color="auto"/>
              <w:left w:val="nil"/>
              <w:bottom w:val="single" w:sz="8" w:space="0" w:color="auto"/>
              <w:right w:val="single" w:sz="8" w:space="0" w:color="auto"/>
            </w:tcBorders>
            <w:shd w:val="clear" w:color="auto" w:fill="auto"/>
            <w:noWrap/>
            <w:vAlign w:val="bottom"/>
            <w:hideMark/>
          </w:tcPr>
          <w:p w14:paraId="1E91F58D" w14:textId="77777777" w:rsidR="000D6CEE" w:rsidRPr="00E44FE1" w:rsidRDefault="000D6CEE" w:rsidP="000D6CEE">
            <w:pPr>
              <w:spacing w:after="0" w:line="240" w:lineRule="auto"/>
              <w:jc w:val="right"/>
              <w:rPr>
                <w:rFonts w:ascii="Calibri" w:eastAsia="Times New Roman" w:hAnsi="Calibri" w:cs="Arial"/>
                <w:b/>
                <w:bCs/>
                <w:lang w:eastAsia="cs-CZ"/>
              </w:rPr>
            </w:pPr>
            <w:r w:rsidRPr="00E44FE1">
              <w:rPr>
                <w:rFonts w:ascii="Calibri" w:eastAsia="Times New Roman" w:hAnsi="Calibri" w:cs="Arial"/>
                <w:b/>
                <w:bCs/>
                <w:lang w:eastAsia="cs-CZ"/>
              </w:rPr>
              <w:t>54 671 000</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14:paraId="6085EDAC" w14:textId="77777777" w:rsidR="000D6CEE" w:rsidRPr="00E44FE1" w:rsidRDefault="000D6CEE" w:rsidP="000D6CEE">
            <w:pPr>
              <w:spacing w:after="0" w:line="240" w:lineRule="auto"/>
              <w:jc w:val="right"/>
              <w:rPr>
                <w:rFonts w:ascii="Calibri" w:eastAsia="Times New Roman" w:hAnsi="Calibri" w:cs="Arial"/>
                <w:b/>
                <w:bCs/>
                <w:lang w:eastAsia="cs-CZ"/>
              </w:rPr>
            </w:pPr>
            <w:r w:rsidRPr="00E44FE1">
              <w:rPr>
                <w:rFonts w:ascii="Calibri" w:eastAsia="Times New Roman" w:hAnsi="Calibri" w:cs="Arial"/>
                <w:b/>
                <w:bCs/>
                <w:lang w:eastAsia="cs-CZ"/>
              </w:rPr>
              <w:t>60 448 052,36</w:t>
            </w:r>
          </w:p>
        </w:tc>
        <w:tc>
          <w:tcPr>
            <w:tcW w:w="1417" w:type="dxa"/>
            <w:tcBorders>
              <w:top w:val="single" w:sz="8" w:space="0" w:color="auto"/>
              <w:left w:val="nil"/>
              <w:bottom w:val="single" w:sz="8" w:space="0" w:color="auto"/>
              <w:right w:val="single" w:sz="8" w:space="0" w:color="auto"/>
            </w:tcBorders>
            <w:shd w:val="clear" w:color="auto" w:fill="auto"/>
            <w:noWrap/>
            <w:vAlign w:val="bottom"/>
            <w:hideMark/>
          </w:tcPr>
          <w:p w14:paraId="0CFBDC51" w14:textId="77777777" w:rsidR="000D6CEE" w:rsidRPr="00E44FE1" w:rsidRDefault="000D6CEE" w:rsidP="000D6CEE">
            <w:pPr>
              <w:spacing w:after="0" w:line="240" w:lineRule="auto"/>
              <w:jc w:val="right"/>
              <w:rPr>
                <w:rFonts w:ascii="Calibri" w:eastAsia="Times New Roman" w:hAnsi="Calibri" w:cs="Arial"/>
                <w:b/>
                <w:bCs/>
                <w:lang w:eastAsia="cs-CZ"/>
              </w:rPr>
            </w:pPr>
            <w:r w:rsidRPr="00E44FE1">
              <w:rPr>
                <w:rFonts w:ascii="Calibri" w:eastAsia="Times New Roman" w:hAnsi="Calibri" w:cs="Arial"/>
                <w:b/>
                <w:bCs/>
                <w:lang w:eastAsia="cs-CZ"/>
              </w:rPr>
              <w:t>51 298 412,55</w:t>
            </w:r>
          </w:p>
        </w:tc>
        <w:tc>
          <w:tcPr>
            <w:tcW w:w="647"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14:paraId="353FDA6E" w14:textId="77777777" w:rsidR="000D6CEE" w:rsidRPr="00E44FE1" w:rsidRDefault="000D6CEE" w:rsidP="000D6CEE">
            <w:pPr>
              <w:spacing w:after="0" w:line="240" w:lineRule="auto"/>
              <w:jc w:val="right"/>
              <w:rPr>
                <w:rFonts w:ascii="Calibri" w:eastAsia="Times New Roman" w:hAnsi="Calibri" w:cs="Arial"/>
                <w:b/>
                <w:bCs/>
                <w:lang w:eastAsia="cs-CZ"/>
              </w:rPr>
            </w:pPr>
            <w:r w:rsidRPr="00E44FE1">
              <w:rPr>
                <w:rFonts w:ascii="Calibri" w:eastAsia="Times New Roman" w:hAnsi="Calibri" w:cs="Arial"/>
                <w:b/>
                <w:bCs/>
                <w:lang w:eastAsia="cs-CZ"/>
              </w:rPr>
              <w:t>84,9</w:t>
            </w:r>
          </w:p>
        </w:tc>
      </w:tr>
    </w:tbl>
    <w:p w14:paraId="50B8B2FA" w14:textId="58B6FCE8" w:rsidR="00AA3433" w:rsidRDefault="00AA3433" w:rsidP="00850519">
      <w:pPr>
        <w:spacing w:after="0" w:line="240" w:lineRule="auto"/>
        <w:jc w:val="both"/>
        <w:rPr>
          <w:rFonts w:cs="Calibri"/>
        </w:rPr>
      </w:pPr>
    </w:p>
    <w:p w14:paraId="7F113EA6" w14:textId="717C59BB" w:rsidR="00AA3433" w:rsidRDefault="00AA3433" w:rsidP="00850519">
      <w:pPr>
        <w:spacing w:after="0" w:line="240" w:lineRule="auto"/>
        <w:jc w:val="both"/>
        <w:rPr>
          <w:rFonts w:cs="Calibri"/>
        </w:rPr>
      </w:pPr>
    </w:p>
    <w:p w14:paraId="4A8B4A0D" w14:textId="5CA4BCF2" w:rsidR="00FA48C7" w:rsidRDefault="00FA48C7" w:rsidP="00850519">
      <w:pPr>
        <w:spacing w:after="0" w:line="240" w:lineRule="auto"/>
        <w:jc w:val="both"/>
        <w:rPr>
          <w:rFonts w:cs="Calibri"/>
        </w:rPr>
      </w:pPr>
    </w:p>
    <w:p w14:paraId="36F18328" w14:textId="6A4156F1" w:rsidR="00FA48C7" w:rsidRDefault="00FA48C7" w:rsidP="00850519">
      <w:pPr>
        <w:spacing w:after="0" w:line="240" w:lineRule="auto"/>
        <w:jc w:val="both"/>
        <w:rPr>
          <w:rFonts w:cs="Calibri"/>
        </w:rPr>
      </w:pPr>
    </w:p>
    <w:p w14:paraId="67B14B57" w14:textId="17A4491C" w:rsidR="00FA48C7" w:rsidRDefault="00FA48C7" w:rsidP="00850519">
      <w:pPr>
        <w:spacing w:after="0" w:line="240" w:lineRule="auto"/>
        <w:jc w:val="both"/>
        <w:rPr>
          <w:rFonts w:cs="Calibri"/>
        </w:rPr>
      </w:pPr>
    </w:p>
    <w:p w14:paraId="14957E5B" w14:textId="461D31F7" w:rsidR="00FA48C7" w:rsidRDefault="00FA48C7" w:rsidP="00850519">
      <w:pPr>
        <w:spacing w:after="0" w:line="240" w:lineRule="auto"/>
        <w:jc w:val="both"/>
        <w:rPr>
          <w:rFonts w:cs="Calibri"/>
        </w:rPr>
      </w:pPr>
    </w:p>
    <w:p w14:paraId="6912A074" w14:textId="080323E6" w:rsidR="00FA48C7" w:rsidRDefault="00FA48C7" w:rsidP="00850519">
      <w:pPr>
        <w:spacing w:after="0" w:line="240" w:lineRule="auto"/>
        <w:jc w:val="both"/>
        <w:rPr>
          <w:rFonts w:cs="Calibri"/>
        </w:rPr>
      </w:pPr>
    </w:p>
    <w:p w14:paraId="7B84E46D" w14:textId="343C1A71" w:rsidR="00D82B5A" w:rsidRDefault="00D82B5A" w:rsidP="00850519">
      <w:pPr>
        <w:spacing w:after="0" w:line="240" w:lineRule="auto"/>
        <w:jc w:val="both"/>
        <w:rPr>
          <w:rFonts w:cs="Calibri"/>
        </w:rPr>
      </w:pPr>
    </w:p>
    <w:p w14:paraId="00CF29CF" w14:textId="2683ABFD" w:rsidR="00D82B5A" w:rsidRDefault="00D82B5A" w:rsidP="00850519">
      <w:pPr>
        <w:spacing w:after="0" w:line="240" w:lineRule="auto"/>
        <w:jc w:val="both"/>
        <w:rPr>
          <w:rFonts w:cs="Calibri"/>
        </w:rPr>
      </w:pPr>
    </w:p>
    <w:p w14:paraId="55E5D841" w14:textId="619B5AD7" w:rsidR="00AA3433" w:rsidRDefault="00AA3433" w:rsidP="00850519">
      <w:pPr>
        <w:spacing w:after="0" w:line="240" w:lineRule="auto"/>
        <w:jc w:val="both"/>
        <w:rPr>
          <w:rFonts w:cs="Calibri"/>
        </w:rPr>
      </w:pPr>
    </w:p>
    <w:p w14:paraId="4731E85B" w14:textId="77777777" w:rsidR="004E6F95" w:rsidRPr="00BE10E2" w:rsidRDefault="004E6F95" w:rsidP="004E6F95">
      <w:pPr>
        <w:jc w:val="both"/>
        <w:rPr>
          <w:rFonts w:ascii="Calibri" w:hAnsi="Calibri" w:cs="Calibri"/>
          <w:sz w:val="28"/>
          <w:szCs w:val="28"/>
        </w:rPr>
      </w:pPr>
      <w:r w:rsidRPr="00BE10E2">
        <w:rPr>
          <w:rFonts w:ascii="Calibri" w:hAnsi="Calibri" w:cs="Calibri"/>
          <w:b/>
          <w:sz w:val="28"/>
          <w:szCs w:val="28"/>
          <w:u w:val="single"/>
        </w:rPr>
        <w:lastRenderedPageBreak/>
        <w:t xml:space="preserve">Kapitola </w:t>
      </w:r>
      <w:r>
        <w:rPr>
          <w:rFonts w:ascii="Calibri" w:hAnsi="Calibri" w:cs="Calibri"/>
          <w:b/>
          <w:sz w:val="28"/>
          <w:szCs w:val="28"/>
          <w:u w:val="single"/>
        </w:rPr>
        <w:t>03</w:t>
      </w:r>
      <w:r w:rsidRPr="00BE10E2">
        <w:rPr>
          <w:rFonts w:ascii="Calibri" w:hAnsi="Calibri" w:cs="Calibri"/>
          <w:b/>
          <w:sz w:val="28"/>
          <w:szCs w:val="28"/>
          <w:u w:val="single"/>
        </w:rPr>
        <w:t xml:space="preserve"> – </w:t>
      </w:r>
      <w:r>
        <w:rPr>
          <w:rFonts w:ascii="Calibri" w:hAnsi="Calibri" w:cs="Calibri"/>
          <w:b/>
          <w:sz w:val="28"/>
          <w:szCs w:val="28"/>
          <w:u w:val="single"/>
        </w:rPr>
        <w:t>Informatika</w:t>
      </w:r>
    </w:p>
    <w:p w14:paraId="60ABBCE1" w14:textId="77777777" w:rsidR="004E6F95" w:rsidRDefault="004E6F95" w:rsidP="004E6F95">
      <w:pPr>
        <w:jc w:val="both"/>
        <w:rPr>
          <w:rFonts w:ascii="Calibri" w:hAnsi="Calibri" w:cs="Calibri"/>
        </w:rPr>
      </w:pPr>
    </w:p>
    <w:p w14:paraId="3779EB11" w14:textId="77777777" w:rsidR="004E6F95" w:rsidRPr="00D43D83" w:rsidRDefault="004E6F95" w:rsidP="004E6F95">
      <w:pPr>
        <w:jc w:val="both"/>
        <w:rPr>
          <w:rFonts w:ascii="Calibri" w:hAnsi="Calibri" w:cs="Calibri"/>
        </w:rPr>
      </w:pPr>
      <w:r w:rsidRPr="00D43D83">
        <w:rPr>
          <w:rFonts w:ascii="Calibri" w:hAnsi="Calibri" w:cs="Calibri"/>
        </w:rPr>
        <w:t xml:space="preserve">Finanční prostředky na kapitole 03 – Informatika zahrnují z velké části plnění smluv o poskytování služeb (servisní, technická, uživatelská podpora, maintenance, úpravy používaného programového vybavení). Prostředky na ně jsou v rozpočtu kapitoly vázané a jsou čerpány postupně dle nastaveného období pro fakturaci (měsíčně, čtvrtletně, pololetně či jednou ročně). Další velkou položkou jsou nákupy hardwarového a softwarového vybavení. Od roku 2020 se významnou položkou </w:t>
      </w:r>
      <w:r>
        <w:rPr>
          <w:rFonts w:ascii="Calibri" w:hAnsi="Calibri" w:cs="Calibri"/>
        </w:rPr>
        <w:t>stal</w:t>
      </w:r>
      <w:r w:rsidRPr="00D43D83">
        <w:rPr>
          <w:rFonts w:ascii="Calibri" w:hAnsi="Calibri" w:cs="Calibri"/>
        </w:rPr>
        <w:t xml:space="preserve"> přechod na licence Microsoft 365, první platba proběhla v lednu 2021.</w:t>
      </w:r>
    </w:p>
    <w:p w14:paraId="5B3BB128" w14:textId="61A0703E" w:rsidR="004E6F95" w:rsidRDefault="004E6F95" w:rsidP="004E6F95">
      <w:pPr>
        <w:jc w:val="both"/>
        <w:rPr>
          <w:rFonts w:ascii="Calibri" w:hAnsi="Calibri" w:cs="Calibri"/>
        </w:rPr>
      </w:pPr>
      <w:r w:rsidRPr="00AE2DED">
        <w:rPr>
          <w:rFonts w:ascii="Calibri" w:hAnsi="Calibri" w:cs="Calibri"/>
        </w:rPr>
        <w:t xml:space="preserve">Rozpočet kapitoly 03 – Informatika byl schválen ve výši 54 671 000 Kč, během roku byl pak navýšen převodem ze zůstatku hospodaření a dále převodem prostředků z jiných kapitol až na částku 60 448 052,36 Kč. </w:t>
      </w:r>
      <w:r w:rsidR="000D6CEE" w:rsidRPr="000D6CEE">
        <w:rPr>
          <w:rFonts w:cstheme="minorHAnsi"/>
        </w:rPr>
        <w:t>Na základě usnesení č. 007-06/2021/ZK ze dne 26. 4. 2021 (rozdělení zůstatku hospodaření SK z roku 2020) byl schválený rozpočet navýšen o částku 1 051 751,36 Kč. Rozpočet byl následně navýšen převodem finančních prostředků z kapitoly 17 – Sociální věci (usnesení č. 036-22/2021/RK ze dne  20. 5. 2021) a z kapitoly 25 – Bezpečnost a prevence (usnesení č. 005-25/2021/RK ze dne  10. 6. 2021)</w:t>
      </w:r>
      <w:r w:rsidR="003277D6" w:rsidRPr="003277D6">
        <w:t xml:space="preserve"> </w:t>
      </w:r>
      <w:r w:rsidR="003277D6">
        <w:t>za účelem kompenzace plnění Rámcové dohody ohledně poradenských služeb k výběrovému řízení na služby specialisty kybernetické bezpečnosti</w:t>
      </w:r>
      <w:r w:rsidR="000D6CEE" w:rsidRPr="000D6CEE">
        <w:rPr>
          <w:rFonts w:cstheme="minorHAnsi"/>
        </w:rPr>
        <w:t xml:space="preserve">, </w:t>
      </w:r>
      <w:r w:rsidRPr="000D6CEE">
        <w:rPr>
          <w:rFonts w:ascii="Calibri" w:hAnsi="Calibri" w:cs="Calibri"/>
        </w:rPr>
        <w:t xml:space="preserve">z kapitoly 23 – Ostatní </w:t>
      </w:r>
      <w:r w:rsidR="000D6CEE" w:rsidRPr="000D6CEE">
        <w:rPr>
          <w:rFonts w:ascii="Calibri" w:hAnsi="Calibri" w:cs="Calibri"/>
        </w:rPr>
        <w:t>usnesením</w:t>
      </w:r>
      <w:r w:rsidRPr="000D6CEE">
        <w:rPr>
          <w:rFonts w:ascii="Calibri" w:hAnsi="Calibri" w:cs="Calibri"/>
        </w:rPr>
        <w:t xml:space="preserve"> č. 004-31/2021/RK ze dne 12. 8. 2021 z kapitoly 02 – Činnost krajského úřadu </w:t>
      </w:r>
      <w:r w:rsidR="000D6CEE" w:rsidRPr="000D6CEE">
        <w:rPr>
          <w:rFonts w:ascii="Calibri" w:hAnsi="Calibri" w:cs="Calibri"/>
        </w:rPr>
        <w:t>usnesením</w:t>
      </w:r>
      <w:r w:rsidRPr="000D6CEE">
        <w:rPr>
          <w:rFonts w:ascii="Calibri" w:hAnsi="Calibri" w:cs="Calibri"/>
        </w:rPr>
        <w:t xml:space="preserve"> č. 027-35/2021/RK ze dne 16.</w:t>
      </w:r>
      <w:r w:rsidR="000D6CEE" w:rsidRPr="000D6CEE">
        <w:rPr>
          <w:rFonts w:ascii="Calibri" w:hAnsi="Calibri" w:cs="Calibri"/>
        </w:rPr>
        <w:t xml:space="preserve"> </w:t>
      </w:r>
      <w:r w:rsidRPr="000D6CEE">
        <w:rPr>
          <w:rFonts w:ascii="Calibri" w:hAnsi="Calibri" w:cs="Calibri"/>
        </w:rPr>
        <w:t>9.</w:t>
      </w:r>
      <w:r w:rsidR="000D6CEE" w:rsidRPr="000D6CEE">
        <w:rPr>
          <w:rFonts w:ascii="Calibri" w:hAnsi="Calibri" w:cs="Calibri"/>
        </w:rPr>
        <w:t xml:space="preserve"> </w:t>
      </w:r>
      <w:r w:rsidRPr="000D6CEE">
        <w:rPr>
          <w:rFonts w:ascii="Calibri" w:hAnsi="Calibri" w:cs="Calibri"/>
        </w:rPr>
        <w:t xml:space="preserve">2021 a z kapitoly 26 – Veřejná mobilita </w:t>
      </w:r>
      <w:r w:rsidR="000D6CEE" w:rsidRPr="000D6CEE">
        <w:rPr>
          <w:rFonts w:ascii="Calibri" w:hAnsi="Calibri" w:cs="Calibri"/>
        </w:rPr>
        <w:t>usnesením</w:t>
      </w:r>
      <w:r w:rsidRPr="000D6CEE">
        <w:rPr>
          <w:rFonts w:ascii="Calibri" w:hAnsi="Calibri" w:cs="Calibri"/>
        </w:rPr>
        <w:t xml:space="preserve"> č. 004-42/2021/RK ze dne 11. 11. 2021</w:t>
      </w:r>
      <w:r w:rsidR="005E25CF" w:rsidRPr="005E25CF">
        <w:rPr>
          <w:rFonts w:cstheme="minorHAnsi"/>
        </w:rPr>
        <w:t xml:space="preserve"> </w:t>
      </w:r>
      <w:r w:rsidR="005E25CF" w:rsidRPr="00765639">
        <w:rPr>
          <w:rFonts w:cstheme="minorHAnsi"/>
        </w:rPr>
        <w:t>z důvodu realizace Ekonomického informačního systému GINIS  v</w:t>
      </w:r>
      <w:r w:rsidR="005E25CF">
        <w:rPr>
          <w:rFonts w:cstheme="minorHAnsi"/>
        </w:rPr>
        <w:t xml:space="preserve"> příspěvkové organizaci </w:t>
      </w:r>
      <w:r w:rsidR="005E25CF" w:rsidRPr="00765639">
        <w:rPr>
          <w:rFonts w:cstheme="minorHAnsi"/>
        </w:rPr>
        <w:t>IDSK</w:t>
      </w:r>
      <w:r w:rsidRPr="000D6CEE">
        <w:rPr>
          <w:rFonts w:ascii="Calibri" w:hAnsi="Calibri" w:cs="Calibri"/>
        </w:rPr>
        <w:t>.</w:t>
      </w:r>
    </w:p>
    <w:p w14:paraId="1C083E66" w14:textId="77777777" w:rsidR="004E6F95" w:rsidRPr="00D43D83" w:rsidRDefault="004E6F95" w:rsidP="004E6F95">
      <w:pPr>
        <w:jc w:val="both"/>
        <w:rPr>
          <w:rFonts w:ascii="Calibri" w:hAnsi="Calibri" w:cs="Calibri"/>
        </w:rPr>
      </w:pPr>
      <w:r w:rsidRPr="00D43D83">
        <w:rPr>
          <w:rFonts w:ascii="Calibri" w:hAnsi="Calibri" w:cs="Calibri"/>
        </w:rPr>
        <w:t>Financování některých zamýšlených nákupů a akcí se ovšem následně přesunulo do roku 2022.</w:t>
      </w:r>
    </w:p>
    <w:p w14:paraId="034E93FE" w14:textId="77777777" w:rsidR="004E6F95" w:rsidRPr="00484A1C" w:rsidRDefault="004E6F95" w:rsidP="004E6F95">
      <w:pPr>
        <w:jc w:val="both"/>
        <w:rPr>
          <w:rFonts w:ascii="Calibri" w:hAnsi="Calibri" w:cs="Calibri"/>
        </w:rPr>
      </w:pPr>
      <w:r w:rsidRPr="00D43D83">
        <w:rPr>
          <w:rFonts w:ascii="Calibri" w:hAnsi="Calibri" w:cs="Calibri"/>
        </w:rPr>
        <w:t>Rozpočet kapitoly byl tak v roce 2021 čerpán ve výši 51 298 412,55, tj. 84,9 % upraveného rozpočtu.</w:t>
      </w:r>
    </w:p>
    <w:p w14:paraId="78902EF1" w14:textId="77777777" w:rsidR="004E6F95" w:rsidRPr="00BE10E2" w:rsidRDefault="004E6F95" w:rsidP="004E6F95">
      <w:pPr>
        <w:jc w:val="both"/>
        <w:rPr>
          <w:rFonts w:ascii="Calibri" w:hAnsi="Calibri" w:cs="Calibri"/>
        </w:rPr>
      </w:pPr>
    </w:p>
    <w:p w14:paraId="333D1E94" w14:textId="1A062971" w:rsidR="004E6F95" w:rsidRDefault="004E6F95" w:rsidP="004E6F95">
      <w:pPr>
        <w:jc w:val="both"/>
        <w:rPr>
          <w:rFonts w:ascii="Calibri" w:hAnsi="Calibri" w:cs="Calibri"/>
          <w:b/>
          <w:u w:val="single"/>
        </w:rPr>
      </w:pPr>
      <w:r w:rsidRPr="00BE10E2">
        <w:rPr>
          <w:rFonts w:ascii="Calibri" w:hAnsi="Calibri" w:cs="Calibri"/>
          <w:b/>
          <w:u w:val="single"/>
        </w:rPr>
        <w:t>Běžné výdaje</w:t>
      </w:r>
    </w:p>
    <w:p w14:paraId="79709250" w14:textId="77777777" w:rsidR="002178E3" w:rsidRPr="00BE10E2" w:rsidRDefault="002178E3" w:rsidP="004E6F95">
      <w:pPr>
        <w:jc w:val="both"/>
        <w:rPr>
          <w:rFonts w:ascii="Calibri" w:hAnsi="Calibri" w:cs="Calibri"/>
          <w:b/>
          <w:u w:val="single"/>
        </w:rPr>
      </w:pPr>
    </w:p>
    <w:p w14:paraId="4ACAF4DF" w14:textId="77777777" w:rsidR="004E6F95" w:rsidRPr="005224E3" w:rsidRDefault="004E6F95" w:rsidP="004E6F95">
      <w:pPr>
        <w:jc w:val="both"/>
        <w:rPr>
          <w:rFonts w:ascii="Calibri" w:hAnsi="Calibri" w:cs="Calibri"/>
          <w:b/>
        </w:rPr>
      </w:pPr>
      <w:r w:rsidRPr="005224E3">
        <w:rPr>
          <w:rFonts w:ascii="Calibri" w:hAnsi="Calibri" w:cs="Calibri"/>
          <w:b/>
        </w:rPr>
        <w:t xml:space="preserve">§ 6113 – Zastupitelstva krajů </w:t>
      </w:r>
    </w:p>
    <w:p w14:paraId="6720F86F" w14:textId="77777777" w:rsidR="004E6F95" w:rsidRPr="005224E3" w:rsidRDefault="004E6F95" w:rsidP="00EB39A2">
      <w:pPr>
        <w:spacing w:after="0"/>
        <w:jc w:val="both"/>
        <w:rPr>
          <w:rFonts w:ascii="Calibri" w:hAnsi="Calibri" w:cs="Calibri"/>
          <w:b/>
        </w:rPr>
      </w:pPr>
      <w:r w:rsidRPr="005224E3">
        <w:rPr>
          <w:rFonts w:ascii="Calibri" w:hAnsi="Calibri" w:cs="Calibri"/>
          <w:b/>
        </w:rPr>
        <w:t>5137 – drobný dlouhodobý hmotný majetek</w:t>
      </w:r>
    </w:p>
    <w:p w14:paraId="76E7A9F7" w14:textId="0594698B" w:rsidR="004E6F95" w:rsidRPr="005224E3" w:rsidRDefault="004E6F95" w:rsidP="00EB39A2">
      <w:pPr>
        <w:spacing w:after="0"/>
        <w:jc w:val="both"/>
        <w:rPr>
          <w:rFonts w:ascii="Calibri" w:hAnsi="Calibri" w:cs="Calibri"/>
        </w:rPr>
      </w:pPr>
      <w:r w:rsidRPr="00F7500B">
        <w:rPr>
          <w:rFonts w:ascii="Calibri" w:hAnsi="Calibri" w:cs="Calibri"/>
        </w:rPr>
        <w:t xml:space="preserve">Při sestavování rozpočtu byl na této položce zamýšlen nákup notebooků pro nové zastupitele </w:t>
      </w:r>
      <w:r>
        <w:rPr>
          <w:rFonts w:ascii="Calibri" w:hAnsi="Calibri" w:cs="Calibri"/>
        </w:rPr>
        <w:t xml:space="preserve">ve výši </w:t>
      </w:r>
      <w:r w:rsidRPr="00F7500B">
        <w:rPr>
          <w:rFonts w:ascii="Calibri" w:hAnsi="Calibri" w:cs="Calibri"/>
        </w:rPr>
        <w:t xml:space="preserve">1 800 000 Kč. Vybavení se ale podařilo zajistit ještě v roce 2020 z rámcové dohody na dodávku notebooků. Finanční prostředky proto byly </w:t>
      </w:r>
      <w:r w:rsidR="000D6CEE">
        <w:rPr>
          <w:rFonts w:ascii="Calibri" w:hAnsi="Calibri" w:cs="Calibri"/>
        </w:rPr>
        <w:t>usnesení</w:t>
      </w:r>
      <w:r w:rsidR="004725D1">
        <w:rPr>
          <w:rFonts w:ascii="Calibri" w:hAnsi="Calibri" w:cs="Calibri"/>
        </w:rPr>
        <w:t>m</w:t>
      </w:r>
      <w:r w:rsidRPr="00F7500B">
        <w:rPr>
          <w:rFonts w:ascii="Calibri" w:hAnsi="Calibri" w:cs="Calibri"/>
        </w:rPr>
        <w:t xml:space="preserve"> č. 004-04/2021/RK ze dne 28.01.2021 převedeny v rámci kapitoly 03 </w:t>
      </w:r>
      <w:r w:rsidR="004725D1">
        <w:rPr>
          <w:rFonts w:ascii="Calibri" w:hAnsi="Calibri" w:cs="Calibri"/>
        </w:rPr>
        <w:t>– Informatika na</w:t>
      </w:r>
      <w:r w:rsidRPr="00F7500B">
        <w:rPr>
          <w:rFonts w:ascii="Calibri" w:hAnsi="Calibri" w:cs="Calibri"/>
        </w:rPr>
        <w:t xml:space="preserve"> paragraf 6172. Finance </w:t>
      </w:r>
      <w:r>
        <w:rPr>
          <w:rFonts w:ascii="Calibri" w:hAnsi="Calibri" w:cs="Calibri"/>
        </w:rPr>
        <w:t>byly</w:t>
      </w:r>
      <w:r w:rsidRPr="00F7500B">
        <w:rPr>
          <w:rFonts w:ascii="Calibri" w:hAnsi="Calibri" w:cs="Calibri"/>
        </w:rPr>
        <w:t xml:space="preserve"> </w:t>
      </w:r>
      <w:r>
        <w:rPr>
          <w:rFonts w:ascii="Calibri" w:hAnsi="Calibri" w:cs="Calibri"/>
        </w:rPr>
        <w:t xml:space="preserve">využity </w:t>
      </w:r>
      <w:r w:rsidRPr="00F7500B">
        <w:rPr>
          <w:rFonts w:ascii="Calibri" w:hAnsi="Calibri" w:cs="Calibri"/>
        </w:rPr>
        <w:t xml:space="preserve">pro nákup notebooků pro zaměstnance krajského úřadu. </w:t>
      </w:r>
    </w:p>
    <w:p w14:paraId="30705B4C" w14:textId="77777777" w:rsidR="004E6F95" w:rsidRPr="00E06168" w:rsidRDefault="004E6F95" w:rsidP="00EB39A2">
      <w:pPr>
        <w:pStyle w:val="Default"/>
        <w:rPr>
          <w:b/>
          <w:bCs/>
          <w:sz w:val="22"/>
          <w:szCs w:val="22"/>
        </w:rPr>
      </w:pPr>
    </w:p>
    <w:p w14:paraId="616B421B" w14:textId="77777777" w:rsidR="004E6F95" w:rsidRPr="00C7642E" w:rsidRDefault="004E6F95" w:rsidP="00EB39A2">
      <w:pPr>
        <w:spacing w:after="0"/>
        <w:jc w:val="both"/>
        <w:rPr>
          <w:rFonts w:ascii="Calibri" w:hAnsi="Calibri" w:cs="Calibri"/>
          <w:b/>
        </w:rPr>
      </w:pPr>
      <w:r w:rsidRPr="00C7642E">
        <w:rPr>
          <w:rFonts w:ascii="Calibri" w:hAnsi="Calibri" w:cs="Calibri"/>
          <w:b/>
        </w:rPr>
        <w:t>5168 – zpracování dat a služby související s informačními a komunikačními technologiemi</w:t>
      </w:r>
    </w:p>
    <w:p w14:paraId="6AD3FB4B" w14:textId="324ED1E5" w:rsidR="004E6F95" w:rsidRPr="00C7642E" w:rsidRDefault="004E6F95" w:rsidP="00EB39A2">
      <w:pPr>
        <w:spacing w:after="0"/>
        <w:jc w:val="both"/>
        <w:rPr>
          <w:rFonts w:ascii="Calibri" w:hAnsi="Calibri" w:cs="Calibri"/>
        </w:rPr>
      </w:pPr>
      <w:r w:rsidRPr="00C7642E">
        <w:rPr>
          <w:rFonts w:ascii="Calibri" w:hAnsi="Calibri" w:cs="Calibri"/>
        </w:rPr>
        <w:t xml:space="preserve">Položka reaguje na nově vzniklou potřebu titulkování záznamu ze zasedání zastupitelstva. </w:t>
      </w:r>
      <w:r w:rsidR="004725D1">
        <w:rPr>
          <w:rFonts w:cstheme="minorHAnsi"/>
        </w:rPr>
        <w:t>KÚSK</w:t>
      </w:r>
      <w:r w:rsidR="004725D1" w:rsidRPr="00F54C34">
        <w:rPr>
          <w:rFonts w:cstheme="minorHAnsi"/>
        </w:rPr>
        <w:t xml:space="preserve"> nedisponuje potřebnou technikou ani personálem, </w:t>
      </w:r>
      <w:r w:rsidR="004725D1">
        <w:rPr>
          <w:rFonts w:cstheme="minorHAnsi"/>
        </w:rPr>
        <w:t xml:space="preserve">proto </w:t>
      </w:r>
      <w:r w:rsidR="004725D1" w:rsidRPr="00F54C34">
        <w:rPr>
          <w:rFonts w:cstheme="minorHAnsi"/>
        </w:rPr>
        <w:t xml:space="preserve">je </w:t>
      </w:r>
      <w:r w:rsidR="004725D1">
        <w:rPr>
          <w:rFonts w:cstheme="minorHAnsi"/>
        </w:rPr>
        <w:t xml:space="preserve">to </w:t>
      </w:r>
      <w:r w:rsidR="004725D1" w:rsidRPr="00F54C34">
        <w:rPr>
          <w:rFonts w:cstheme="minorHAnsi"/>
        </w:rPr>
        <w:t>ře</w:t>
      </w:r>
      <w:r w:rsidR="004725D1">
        <w:rPr>
          <w:rFonts w:cstheme="minorHAnsi"/>
        </w:rPr>
        <w:t xml:space="preserve">šeno dodavatelsky. </w:t>
      </w:r>
    </w:p>
    <w:p w14:paraId="615C6541" w14:textId="709D3C38" w:rsidR="004E6F95" w:rsidRPr="00C7642E" w:rsidRDefault="004E6F95" w:rsidP="00EB39A2">
      <w:pPr>
        <w:spacing w:after="0"/>
        <w:jc w:val="both"/>
        <w:rPr>
          <w:rFonts w:ascii="Calibri" w:hAnsi="Calibri" w:cs="Calibri"/>
        </w:rPr>
      </w:pPr>
      <w:r w:rsidRPr="00C7642E">
        <w:rPr>
          <w:rFonts w:ascii="Calibri" w:hAnsi="Calibri" w:cs="Calibri"/>
        </w:rPr>
        <w:t>Položka byla rozpočtovou úpravou č. 550/03/2021 ponížena o 45 550 Kč, které byly využity k</w:t>
      </w:r>
      <w:r>
        <w:rPr>
          <w:rFonts w:ascii="Calibri" w:hAnsi="Calibri" w:cs="Calibri"/>
        </w:rPr>
        <w:t> </w:t>
      </w:r>
      <w:r w:rsidRPr="00C7642E">
        <w:rPr>
          <w:rFonts w:ascii="Calibri" w:hAnsi="Calibri" w:cs="Calibri"/>
        </w:rPr>
        <w:t xml:space="preserve">navýšení položky </w:t>
      </w:r>
      <w:r w:rsidR="004725D1">
        <w:rPr>
          <w:rFonts w:ascii="Calibri" w:hAnsi="Calibri" w:cs="Calibri"/>
        </w:rPr>
        <w:t xml:space="preserve">5169 </w:t>
      </w:r>
      <w:r w:rsidRPr="00C7642E">
        <w:rPr>
          <w:rFonts w:ascii="Calibri" w:hAnsi="Calibri" w:cs="Calibri"/>
        </w:rPr>
        <w:t>na zajištění podpory zasedání krajského zastupitelstva. Při upraveném rozpočtu 54 450,00 Kč byla položka  čerpána v plné výši.</w:t>
      </w:r>
    </w:p>
    <w:p w14:paraId="30A555F1" w14:textId="77777777" w:rsidR="004E6F95" w:rsidRPr="00C7642E" w:rsidRDefault="004E6F95" w:rsidP="00EB39A2">
      <w:pPr>
        <w:pStyle w:val="Default"/>
        <w:rPr>
          <w:b/>
          <w:bCs/>
          <w:sz w:val="22"/>
          <w:szCs w:val="22"/>
        </w:rPr>
      </w:pPr>
    </w:p>
    <w:p w14:paraId="51DEC488" w14:textId="3677519D" w:rsidR="004E6F95" w:rsidRPr="00C7642E" w:rsidRDefault="004725D1" w:rsidP="00EB39A2">
      <w:pPr>
        <w:spacing w:after="0"/>
        <w:jc w:val="both"/>
        <w:rPr>
          <w:rFonts w:ascii="Calibri" w:hAnsi="Calibri" w:cs="Calibri"/>
          <w:b/>
        </w:rPr>
      </w:pPr>
      <w:r>
        <w:rPr>
          <w:rFonts w:ascii="Calibri" w:hAnsi="Calibri" w:cs="Calibri"/>
          <w:b/>
        </w:rPr>
        <w:t>5</w:t>
      </w:r>
      <w:r w:rsidR="004E6F95" w:rsidRPr="00C7642E">
        <w:rPr>
          <w:rFonts w:ascii="Calibri" w:hAnsi="Calibri" w:cs="Calibri"/>
          <w:b/>
        </w:rPr>
        <w:t xml:space="preserve">169 – nákup ostatních služeb </w:t>
      </w:r>
    </w:p>
    <w:p w14:paraId="6A268845" w14:textId="63DBD028" w:rsidR="004E6F95" w:rsidRPr="005224E3" w:rsidRDefault="004E6F95" w:rsidP="00EB39A2">
      <w:pPr>
        <w:spacing w:after="0"/>
        <w:jc w:val="both"/>
        <w:rPr>
          <w:rFonts w:ascii="Calibri" w:hAnsi="Calibri" w:cs="Calibri"/>
        </w:rPr>
      </w:pPr>
      <w:r w:rsidRPr="00C7642E">
        <w:rPr>
          <w:rFonts w:ascii="Calibri" w:hAnsi="Calibri" w:cs="Calibri"/>
        </w:rPr>
        <w:t>Od roku 2019 hradí kapitola technické zabezpečení podpory zasedání zastupitelstva. Čerpání je závislé na počtu a rozsahu zasedání. Položka byla rozpočtovou úpravou č. 550/03/2021 navýšena o 45 550 Kč. Při upraveném rozpočtu 345 </w:t>
      </w:r>
      <w:r>
        <w:rPr>
          <w:rFonts w:ascii="Calibri" w:hAnsi="Calibri" w:cs="Calibri"/>
        </w:rPr>
        <w:t>550</w:t>
      </w:r>
      <w:r w:rsidRPr="00C7642E">
        <w:rPr>
          <w:rFonts w:ascii="Calibri" w:hAnsi="Calibri" w:cs="Calibri"/>
        </w:rPr>
        <w:t>,00 Kč byla  čerpána ve výši 330 358,99 Kč, tj. 95,6 %.</w:t>
      </w:r>
    </w:p>
    <w:p w14:paraId="6346AA5D" w14:textId="77777777" w:rsidR="004E6F95" w:rsidRPr="005224E3" w:rsidRDefault="004E6F95" w:rsidP="00EB39A2">
      <w:pPr>
        <w:spacing w:after="0"/>
        <w:jc w:val="both"/>
        <w:rPr>
          <w:rFonts w:ascii="Calibri" w:hAnsi="Calibri" w:cs="Calibri"/>
        </w:rPr>
      </w:pPr>
    </w:p>
    <w:p w14:paraId="29028FD2" w14:textId="391ED820" w:rsidR="004E6F95" w:rsidRDefault="004E6F95" w:rsidP="00EB39A2">
      <w:pPr>
        <w:spacing w:after="0"/>
        <w:jc w:val="both"/>
        <w:rPr>
          <w:rFonts w:ascii="Calibri" w:hAnsi="Calibri" w:cs="Calibri"/>
          <w:b/>
        </w:rPr>
      </w:pPr>
      <w:r w:rsidRPr="00BE10E2">
        <w:rPr>
          <w:rFonts w:ascii="Calibri" w:hAnsi="Calibri" w:cs="Calibri"/>
          <w:b/>
        </w:rPr>
        <w:t xml:space="preserve">§ 6172 – Činnost regionální správy </w:t>
      </w:r>
    </w:p>
    <w:p w14:paraId="6F561691" w14:textId="77777777" w:rsidR="007B4EAE" w:rsidRPr="00BE10E2" w:rsidRDefault="007B4EAE" w:rsidP="00EB39A2">
      <w:pPr>
        <w:spacing w:after="0"/>
        <w:jc w:val="both"/>
        <w:rPr>
          <w:rFonts w:ascii="Calibri" w:hAnsi="Calibri" w:cs="Calibri"/>
          <w:b/>
        </w:rPr>
      </w:pPr>
    </w:p>
    <w:p w14:paraId="6254438E" w14:textId="77777777" w:rsidR="004E6F95" w:rsidRPr="005224E3" w:rsidRDefault="004E6F95" w:rsidP="00EB39A2">
      <w:pPr>
        <w:spacing w:after="0"/>
        <w:jc w:val="both"/>
        <w:rPr>
          <w:rFonts w:ascii="Calibri" w:hAnsi="Calibri" w:cs="Calibri"/>
          <w:b/>
        </w:rPr>
      </w:pPr>
      <w:r w:rsidRPr="005224E3">
        <w:rPr>
          <w:rFonts w:ascii="Calibri" w:hAnsi="Calibri" w:cs="Calibri"/>
          <w:b/>
        </w:rPr>
        <w:t xml:space="preserve">5042 – odměny za užití počítačových programů </w:t>
      </w:r>
    </w:p>
    <w:p w14:paraId="55B07760" w14:textId="77777777" w:rsidR="004E6F95" w:rsidRPr="00E81810" w:rsidRDefault="004E6F95" w:rsidP="00EB39A2">
      <w:pPr>
        <w:spacing w:after="0"/>
        <w:jc w:val="both"/>
        <w:rPr>
          <w:rFonts w:ascii="Calibri" w:hAnsi="Calibri" w:cs="Calibri"/>
        </w:rPr>
      </w:pPr>
      <w:r w:rsidRPr="00E81810">
        <w:rPr>
          <w:rFonts w:ascii="Calibri" w:hAnsi="Calibri" w:cs="Calibri"/>
        </w:rPr>
        <w:lastRenderedPageBreak/>
        <w:t>Položka zahrnuje výdaje k užití počítačových programů jakožto děl podle autorského zákona, která nemají povahu vlastnického práva. Používá se na plnění některých licenčních smluv. V</w:t>
      </w:r>
      <w:r>
        <w:rPr>
          <w:rFonts w:ascii="Calibri" w:hAnsi="Calibri" w:cs="Calibri"/>
        </w:rPr>
        <w:t> </w:t>
      </w:r>
      <w:r w:rsidRPr="00E81810">
        <w:rPr>
          <w:rFonts w:ascii="Calibri" w:hAnsi="Calibri" w:cs="Calibri"/>
        </w:rPr>
        <w:t>rámci této položky bylo financováno pořízení licencí v rámci přechodu krajského úřadu na Microsoft 365 (M 365</w:t>
      </w:r>
      <w:r>
        <w:rPr>
          <w:rFonts w:ascii="Calibri" w:hAnsi="Calibri" w:cs="Calibri"/>
        </w:rPr>
        <w:t xml:space="preserve"> E3 a ATP Defender</w:t>
      </w:r>
      <w:r w:rsidRPr="00E81810">
        <w:rPr>
          <w:rFonts w:ascii="Calibri" w:hAnsi="Calibri" w:cs="Calibri"/>
        </w:rPr>
        <w:t>) - usnesení č. 050-44/2020/RK ze dne 22. 6. 2020. Nákup probíhal s</w:t>
      </w:r>
      <w:r>
        <w:rPr>
          <w:rFonts w:ascii="Calibri" w:hAnsi="Calibri" w:cs="Calibri"/>
        </w:rPr>
        <w:t> </w:t>
      </w:r>
      <w:r w:rsidRPr="00E81810">
        <w:rPr>
          <w:rFonts w:ascii="Calibri" w:hAnsi="Calibri" w:cs="Calibri"/>
        </w:rPr>
        <w:t>využitím smlouvy o centralizovaném zadávání, kterou má Středočeský kraj uzavřenou s</w:t>
      </w:r>
      <w:r>
        <w:rPr>
          <w:rFonts w:ascii="Calibri" w:hAnsi="Calibri" w:cs="Calibri"/>
        </w:rPr>
        <w:t> </w:t>
      </w:r>
      <w:r w:rsidRPr="00E81810">
        <w:rPr>
          <w:rFonts w:ascii="Calibri" w:hAnsi="Calibri" w:cs="Calibri"/>
        </w:rPr>
        <w:t>Ministerstvem vnitra ČR a která zaručuje výhodnější finanční podmínky i rychlý proces nákupu. Dodavatele vysoutěží MV ČR v rámci minitendru na základě žádosti.</w:t>
      </w:r>
    </w:p>
    <w:p w14:paraId="6DE08114" w14:textId="77777777" w:rsidR="004E6F95" w:rsidRPr="00E81810" w:rsidRDefault="004E6F95" w:rsidP="00EB39A2">
      <w:pPr>
        <w:spacing w:after="0"/>
        <w:jc w:val="both"/>
        <w:rPr>
          <w:rFonts w:ascii="Calibri" w:hAnsi="Calibri" w:cs="Calibri"/>
        </w:rPr>
      </w:pPr>
      <w:r w:rsidRPr="00E81810">
        <w:rPr>
          <w:rFonts w:ascii="Calibri" w:hAnsi="Calibri" w:cs="Calibri"/>
        </w:rPr>
        <w:t>Položka 5042 byla upravena několika rozpočtovými úpravami: rozpočtovou úpravou č.</w:t>
      </w:r>
      <w:r>
        <w:rPr>
          <w:rFonts w:ascii="Calibri" w:hAnsi="Calibri" w:cs="Calibri"/>
        </w:rPr>
        <w:t> </w:t>
      </w:r>
      <w:r w:rsidRPr="00E81810">
        <w:rPr>
          <w:rFonts w:ascii="Calibri" w:hAnsi="Calibri" w:cs="Calibri"/>
        </w:rPr>
        <w:t>011/03/2021 byla navýšena o 200 000 Kč, rozpočtovou úpravou č. 401/03/2021 ponížena o 5 000 Kč a rozpočtovou úpravou č. 512/03/2021 ponížena o 40 000 Kč.</w:t>
      </w:r>
    </w:p>
    <w:p w14:paraId="58C4C8FC" w14:textId="3DA9EB31" w:rsidR="004E6F95" w:rsidRPr="00E81810" w:rsidRDefault="004E6F95" w:rsidP="00EB39A2">
      <w:pPr>
        <w:spacing w:after="0"/>
        <w:jc w:val="both"/>
        <w:rPr>
          <w:rFonts w:ascii="Calibri" w:hAnsi="Calibri" w:cs="Calibri"/>
        </w:rPr>
      </w:pPr>
      <w:r w:rsidRPr="00E81810">
        <w:rPr>
          <w:rFonts w:ascii="Calibri" w:hAnsi="Calibri" w:cs="Calibri"/>
        </w:rPr>
        <w:t>Při upraveném rozpočtu 7 856 000,00 Kč byla čerpána ve výši 6 474 781,25 Kč, tj. 82,4 %.</w:t>
      </w:r>
    </w:p>
    <w:p w14:paraId="105F5AF8" w14:textId="77777777" w:rsidR="004E6F95" w:rsidRPr="005224E3" w:rsidRDefault="004E6F95" w:rsidP="00EB39A2">
      <w:pPr>
        <w:spacing w:after="0"/>
        <w:jc w:val="both"/>
        <w:rPr>
          <w:rFonts w:ascii="Calibri" w:hAnsi="Calibri" w:cs="Calibri"/>
          <w:highlight w:val="yellow"/>
        </w:rPr>
      </w:pPr>
    </w:p>
    <w:p w14:paraId="35319364" w14:textId="77777777" w:rsidR="004E6F95" w:rsidRPr="005101B3" w:rsidRDefault="004E6F95" w:rsidP="00EB39A2">
      <w:pPr>
        <w:spacing w:after="0"/>
        <w:jc w:val="both"/>
        <w:rPr>
          <w:rFonts w:ascii="Calibri" w:hAnsi="Calibri" w:cs="Calibri"/>
          <w:b/>
        </w:rPr>
      </w:pPr>
      <w:r w:rsidRPr="005101B3">
        <w:rPr>
          <w:rFonts w:ascii="Calibri" w:hAnsi="Calibri" w:cs="Calibri"/>
          <w:b/>
        </w:rPr>
        <w:t>5123 – podlimitní technické zhodnocení</w:t>
      </w:r>
    </w:p>
    <w:p w14:paraId="49F03F1D" w14:textId="2C4E2C77" w:rsidR="004E6F95" w:rsidRPr="005101B3" w:rsidRDefault="004E6F95" w:rsidP="00EB39A2">
      <w:pPr>
        <w:spacing w:after="0"/>
        <w:jc w:val="both"/>
        <w:rPr>
          <w:rFonts w:ascii="Calibri" w:hAnsi="Calibri" w:cs="Calibri"/>
        </w:rPr>
      </w:pPr>
      <w:r w:rsidRPr="005101B3">
        <w:rPr>
          <w:rFonts w:ascii="Calibri" w:hAnsi="Calibri" w:cs="Calibri"/>
        </w:rPr>
        <w:t>Položka je využívána na zhodnocení dříve zakoupeného drobného dlouhodobého majetku (např. paměti do počítačů). Patří k položkám, které jsou čerpány operativně dle aktuálních potřeb krajského úřadu. Při schváleném rozpočtu 15 000,00 Kč nebyla položka čerpána.</w:t>
      </w:r>
    </w:p>
    <w:p w14:paraId="20B228EF" w14:textId="77777777" w:rsidR="004E6F95" w:rsidRPr="005224E3" w:rsidRDefault="004E6F95" w:rsidP="00EB39A2">
      <w:pPr>
        <w:spacing w:after="0"/>
        <w:jc w:val="both"/>
        <w:rPr>
          <w:rFonts w:ascii="Calibri" w:hAnsi="Calibri" w:cs="Calibri"/>
          <w:highlight w:val="yellow"/>
        </w:rPr>
      </w:pPr>
    </w:p>
    <w:p w14:paraId="6DD913CA" w14:textId="77777777" w:rsidR="004E6F95" w:rsidRPr="005224E3" w:rsidRDefault="004E6F95" w:rsidP="00EB39A2">
      <w:pPr>
        <w:spacing w:after="0"/>
        <w:jc w:val="both"/>
        <w:rPr>
          <w:rFonts w:ascii="Calibri" w:hAnsi="Calibri" w:cs="Calibri"/>
          <w:b/>
        </w:rPr>
      </w:pPr>
      <w:r w:rsidRPr="005224E3">
        <w:rPr>
          <w:rFonts w:ascii="Calibri" w:hAnsi="Calibri" w:cs="Calibri"/>
          <w:b/>
        </w:rPr>
        <w:t xml:space="preserve">5137 – drobný dlouhodobý hmotný majetek </w:t>
      </w:r>
      <w:r>
        <w:rPr>
          <w:rFonts w:ascii="Calibri" w:hAnsi="Calibri" w:cs="Calibri"/>
          <w:b/>
        </w:rPr>
        <w:t>(DDHM)</w:t>
      </w:r>
    </w:p>
    <w:p w14:paraId="3BD92AB6" w14:textId="77777777" w:rsidR="004E6F95" w:rsidRPr="00F63216" w:rsidRDefault="004E6F95" w:rsidP="00EB39A2">
      <w:pPr>
        <w:spacing w:after="0"/>
        <w:jc w:val="both"/>
        <w:rPr>
          <w:rFonts w:ascii="Calibri" w:hAnsi="Calibri" w:cs="Calibri"/>
        </w:rPr>
      </w:pPr>
      <w:r w:rsidRPr="00F63216">
        <w:rPr>
          <w:rFonts w:ascii="Calibri" w:hAnsi="Calibri" w:cs="Calibri"/>
        </w:rPr>
        <w:t xml:space="preserve">DDHM zahrnuje zejména nákupy výpočetní techniky a jejího příslušenství pro potřeby krajského úřadu (PC, notebooky, monitory, externí disky, tablety, tiskárny, skenery a další periferní zařízení). Aktuálně se nejvíce nakupují notebooky pro zaměstnance z důvodu vyššího využívání home office a práce </w:t>
      </w:r>
      <w:r>
        <w:rPr>
          <w:rFonts w:ascii="Calibri" w:hAnsi="Calibri" w:cs="Calibri"/>
        </w:rPr>
        <w:t>přes</w:t>
      </w:r>
      <w:r w:rsidRPr="00F63216">
        <w:rPr>
          <w:rFonts w:ascii="Calibri" w:hAnsi="Calibri" w:cs="Calibri"/>
        </w:rPr>
        <w:t xml:space="preserve"> vzdálený přístup.</w:t>
      </w:r>
    </w:p>
    <w:p w14:paraId="15486B8D" w14:textId="77777777" w:rsidR="004E6F95" w:rsidRPr="00F63216" w:rsidRDefault="004E6F95" w:rsidP="00EB39A2">
      <w:pPr>
        <w:spacing w:after="0"/>
        <w:jc w:val="both"/>
        <w:rPr>
          <w:rFonts w:ascii="Calibri" w:hAnsi="Calibri" w:cs="Calibri"/>
        </w:rPr>
      </w:pPr>
      <w:r w:rsidRPr="00F63216">
        <w:rPr>
          <w:rFonts w:ascii="Calibri" w:hAnsi="Calibri" w:cs="Calibri"/>
        </w:rPr>
        <w:t>Položka byla rozpočtovou úpravou č. 022/03/2021 navýšena o 1 800 000 Kč (viz výše u § 6113) a rozpočtovou úpravou č. 404/03/2021 o 2 000 000 Kč.</w:t>
      </w:r>
    </w:p>
    <w:p w14:paraId="1652B520" w14:textId="77777777" w:rsidR="004E6F95" w:rsidRPr="00F63216" w:rsidRDefault="004E6F95" w:rsidP="00EB39A2">
      <w:pPr>
        <w:spacing w:after="0"/>
        <w:jc w:val="both"/>
        <w:rPr>
          <w:rFonts w:ascii="Calibri" w:hAnsi="Calibri" w:cs="Calibri"/>
        </w:rPr>
      </w:pPr>
      <w:r w:rsidRPr="00F63216">
        <w:rPr>
          <w:rFonts w:ascii="Calibri" w:hAnsi="Calibri" w:cs="Calibri"/>
        </w:rPr>
        <w:t>Při upraveném rozpočtu 5 874 000,00 Kč byla položka čerpána ve výši 5 151 980,33 Kč, tj. 87,7 %.</w:t>
      </w:r>
    </w:p>
    <w:p w14:paraId="7DFB493D" w14:textId="77777777" w:rsidR="004E6F95" w:rsidRPr="005224E3" w:rsidRDefault="004E6F95" w:rsidP="00EB39A2">
      <w:pPr>
        <w:spacing w:after="0"/>
        <w:jc w:val="both"/>
        <w:rPr>
          <w:rFonts w:ascii="Calibri" w:hAnsi="Calibri" w:cs="Calibri"/>
          <w:highlight w:val="yellow"/>
        </w:rPr>
      </w:pPr>
    </w:p>
    <w:p w14:paraId="2C35A757" w14:textId="77777777" w:rsidR="004E6F95" w:rsidRPr="005224E3" w:rsidRDefault="004E6F95" w:rsidP="00EB39A2">
      <w:pPr>
        <w:spacing w:after="0"/>
        <w:jc w:val="both"/>
        <w:rPr>
          <w:rFonts w:ascii="Calibri" w:hAnsi="Calibri" w:cs="Calibri"/>
          <w:b/>
        </w:rPr>
      </w:pPr>
      <w:r w:rsidRPr="005224E3">
        <w:rPr>
          <w:rFonts w:ascii="Calibri" w:hAnsi="Calibri" w:cs="Calibri"/>
          <w:b/>
        </w:rPr>
        <w:t xml:space="preserve">5139 – nákup materiálu </w:t>
      </w:r>
    </w:p>
    <w:p w14:paraId="216189F3" w14:textId="77777777" w:rsidR="004E6F95" w:rsidRPr="0047054C" w:rsidRDefault="004E6F95" w:rsidP="00EB39A2">
      <w:pPr>
        <w:spacing w:after="0"/>
        <w:jc w:val="both"/>
        <w:rPr>
          <w:rFonts w:ascii="Calibri" w:hAnsi="Calibri" w:cs="Calibri"/>
        </w:rPr>
      </w:pPr>
      <w:r w:rsidRPr="0047054C">
        <w:rPr>
          <w:rFonts w:ascii="Calibri" w:hAnsi="Calibri" w:cs="Calibri"/>
        </w:rPr>
        <w:t>Na položce jsou alokovány finanční prostředky na nákup náhradních dílů, spotřebního materiálu a dalšího zboží z oblasti informačních technologií nemajícího charakter DDHM. Vzhledem k situaci na trhu, kdy některé produkty byly nedostupné nebo měly delší dodací lhůtu, se některé nákupy přesunuly finančně do roku 2022, čerpání položky bylo tedy v roce 2021 nižší než plán.</w:t>
      </w:r>
    </w:p>
    <w:p w14:paraId="35F604D9" w14:textId="4F34AC0A" w:rsidR="004E6F95" w:rsidRDefault="004E6F95" w:rsidP="00EB39A2">
      <w:pPr>
        <w:spacing w:after="0"/>
        <w:jc w:val="both"/>
        <w:rPr>
          <w:rFonts w:ascii="Calibri" w:hAnsi="Calibri" w:cs="Calibri"/>
        </w:rPr>
      </w:pPr>
      <w:r w:rsidRPr="0047054C">
        <w:rPr>
          <w:rFonts w:ascii="Calibri" w:hAnsi="Calibri" w:cs="Calibri"/>
        </w:rPr>
        <w:t>Při schváleném rozpočtu 1 074 000,00 Kč byla položka čerpána ve výši 350 739,68 Kč, tj. 32,7 %.</w:t>
      </w:r>
    </w:p>
    <w:p w14:paraId="32B8D28D" w14:textId="77777777" w:rsidR="00882FDC" w:rsidRPr="0047054C" w:rsidRDefault="00882FDC" w:rsidP="00EB39A2">
      <w:pPr>
        <w:spacing w:after="0"/>
        <w:jc w:val="both"/>
        <w:rPr>
          <w:rFonts w:ascii="Calibri" w:hAnsi="Calibri" w:cs="Calibri"/>
        </w:rPr>
      </w:pPr>
    </w:p>
    <w:p w14:paraId="2E7147AA" w14:textId="77777777" w:rsidR="004E6F95" w:rsidRPr="005224E3" w:rsidRDefault="004E6F95" w:rsidP="00EB39A2">
      <w:pPr>
        <w:spacing w:after="0"/>
        <w:jc w:val="both"/>
        <w:rPr>
          <w:rFonts w:ascii="Calibri" w:hAnsi="Calibri" w:cs="Calibri"/>
          <w:b/>
        </w:rPr>
      </w:pPr>
      <w:r>
        <w:rPr>
          <w:rFonts w:ascii="Calibri" w:hAnsi="Calibri" w:cs="Calibri"/>
          <w:b/>
        </w:rPr>
        <w:t>5142</w:t>
      </w:r>
      <w:r w:rsidRPr="005224E3">
        <w:rPr>
          <w:rFonts w:ascii="Calibri" w:hAnsi="Calibri" w:cs="Calibri"/>
          <w:b/>
        </w:rPr>
        <w:t xml:space="preserve"> – </w:t>
      </w:r>
      <w:r>
        <w:rPr>
          <w:rFonts w:ascii="Calibri" w:hAnsi="Calibri" w:cs="Calibri"/>
          <w:b/>
        </w:rPr>
        <w:t>kurzové rozdíly</w:t>
      </w:r>
    </w:p>
    <w:p w14:paraId="4AD6FDA1" w14:textId="4BD0968F" w:rsidR="004E6F95" w:rsidRDefault="004E6F95" w:rsidP="00EB39A2">
      <w:pPr>
        <w:spacing w:after="0"/>
        <w:jc w:val="both"/>
        <w:rPr>
          <w:rFonts w:ascii="Calibri" w:hAnsi="Calibri" w:cs="Calibri"/>
        </w:rPr>
      </w:pPr>
      <w:r>
        <w:rPr>
          <w:rFonts w:ascii="Calibri" w:hAnsi="Calibri" w:cs="Calibri"/>
        </w:rPr>
        <w:t>Položka byla vytvořena vnitřní rozpočtovou úpravou kapitoly 03</w:t>
      </w:r>
      <w:r w:rsidR="00882FDC">
        <w:rPr>
          <w:rFonts w:ascii="Calibri" w:hAnsi="Calibri" w:cs="Calibri"/>
        </w:rPr>
        <w:t xml:space="preserve"> - Informatika</w:t>
      </w:r>
      <w:r>
        <w:rPr>
          <w:rFonts w:ascii="Calibri" w:hAnsi="Calibri" w:cs="Calibri"/>
        </w:rPr>
        <w:t xml:space="preserve"> č. 401/03/2021 kvůli</w:t>
      </w:r>
      <w:r w:rsidRPr="003822C7">
        <w:rPr>
          <w:rFonts w:ascii="Calibri" w:hAnsi="Calibri" w:cs="Calibri"/>
        </w:rPr>
        <w:t xml:space="preserve"> platbám v EUR za používání grafického software Odborem </w:t>
      </w:r>
      <w:r w:rsidR="007B4EAE">
        <w:rPr>
          <w:rFonts w:ascii="Calibri" w:hAnsi="Calibri" w:cs="Calibri"/>
        </w:rPr>
        <w:t>Kancelář hejtmanky</w:t>
      </w:r>
      <w:r w:rsidRPr="003822C7">
        <w:rPr>
          <w:rFonts w:ascii="Calibri" w:hAnsi="Calibri" w:cs="Calibri"/>
        </w:rPr>
        <w:t xml:space="preserve">. </w:t>
      </w:r>
      <w:r>
        <w:rPr>
          <w:rFonts w:ascii="Calibri" w:hAnsi="Calibri" w:cs="Calibri"/>
        </w:rPr>
        <w:t>Vzhledem k příznivému vývoji kurzu české koruny vůči EUR skončilo čerpání položky při upraveném rozpočtu 5 000 Kč v plusu 33,88 Kč.</w:t>
      </w:r>
    </w:p>
    <w:p w14:paraId="34CCDE29" w14:textId="77777777" w:rsidR="004E6F95" w:rsidRDefault="004E6F95" w:rsidP="00EB39A2">
      <w:pPr>
        <w:spacing w:after="0"/>
        <w:jc w:val="both"/>
        <w:rPr>
          <w:rFonts w:ascii="Calibri" w:hAnsi="Calibri" w:cs="Calibri"/>
        </w:rPr>
      </w:pPr>
    </w:p>
    <w:p w14:paraId="3273881D" w14:textId="77777777" w:rsidR="004E6F95" w:rsidRPr="005224E3" w:rsidRDefault="004E6F95" w:rsidP="00EB39A2">
      <w:pPr>
        <w:spacing w:after="0"/>
        <w:jc w:val="both"/>
        <w:rPr>
          <w:rFonts w:ascii="Calibri" w:hAnsi="Calibri" w:cs="Calibri"/>
          <w:b/>
        </w:rPr>
      </w:pPr>
      <w:r w:rsidRPr="005224E3">
        <w:rPr>
          <w:rFonts w:ascii="Calibri" w:hAnsi="Calibri" w:cs="Calibri"/>
          <w:b/>
        </w:rPr>
        <w:t xml:space="preserve">5162 – služby elektronických komunikací </w:t>
      </w:r>
    </w:p>
    <w:p w14:paraId="15398360" w14:textId="008D08CF" w:rsidR="004E6F95" w:rsidRPr="00666825" w:rsidRDefault="004E6F95" w:rsidP="00EB39A2">
      <w:pPr>
        <w:spacing w:after="0"/>
        <w:jc w:val="both"/>
        <w:rPr>
          <w:rFonts w:ascii="Calibri" w:hAnsi="Calibri" w:cs="Calibri"/>
        </w:rPr>
      </w:pPr>
      <w:r w:rsidRPr="00666825">
        <w:rPr>
          <w:rFonts w:ascii="Calibri" w:hAnsi="Calibri" w:cs="Calibri"/>
        </w:rPr>
        <w:t>Položka zahrnuje zejména platbu za internetové připojení krajského úřadu a záložního technologického centra. Dodavatel fakturuje dle smluv pravidelně v měsíčních intervalech. Při schváleném rozpočtu 565 000,00 Kč byla položka čerpána ve výši 563 535,72</w:t>
      </w:r>
      <w:r>
        <w:rPr>
          <w:rFonts w:ascii="Calibri" w:hAnsi="Calibri" w:cs="Calibri"/>
        </w:rPr>
        <w:t> </w:t>
      </w:r>
      <w:r w:rsidRPr="00666825">
        <w:rPr>
          <w:rFonts w:ascii="Calibri" w:hAnsi="Calibri" w:cs="Calibri"/>
        </w:rPr>
        <w:t>Kč, tj. 99,7 %.</w:t>
      </w:r>
    </w:p>
    <w:p w14:paraId="5A71AE40" w14:textId="77777777" w:rsidR="004E6F95" w:rsidRDefault="004E6F95" w:rsidP="00EB39A2">
      <w:pPr>
        <w:spacing w:after="0"/>
        <w:jc w:val="both"/>
        <w:rPr>
          <w:rFonts w:ascii="Calibri" w:hAnsi="Calibri" w:cs="Calibri"/>
        </w:rPr>
      </w:pPr>
    </w:p>
    <w:p w14:paraId="5636A5D0" w14:textId="77777777" w:rsidR="004E6F95" w:rsidRPr="005224E3" w:rsidRDefault="004E6F95" w:rsidP="00EB39A2">
      <w:pPr>
        <w:spacing w:after="0"/>
        <w:jc w:val="both"/>
        <w:rPr>
          <w:rFonts w:ascii="Calibri" w:hAnsi="Calibri" w:cs="Calibri"/>
          <w:b/>
        </w:rPr>
      </w:pPr>
      <w:r>
        <w:rPr>
          <w:rFonts w:ascii="Calibri" w:hAnsi="Calibri" w:cs="Calibri"/>
          <w:b/>
        </w:rPr>
        <w:t>5164</w:t>
      </w:r>
      <w:r w:rsidRPr="005224E3">
        <w:rPr>
          <w:rFonts w:ascii="Calibri" w:hAnsi="Calibri" w:cs="Calibri"/>
          <w:b/>
        </w:rPr>
        <w:t xml:space="preserve"> – </w:t>
      </w:r>
      <w:r>
        <w:rPr>
          <w:rFonts w:ascii="Calibri" w:hAnsi="Calibri" w:cs="Calibri"/>
          <w:b/>
        </w:rPr>
        <w:t>nájemné</w:t>
      </w:r>
    </w:p>
    <w:p w14:paraId="0984113B" w14:textId="5FA8D77E" w:rsidR="004E6F95" w:rsidRDefault="004E6F95" w:rsidP="00EB39A2">
      <w:pPr>
        <w:spacing w:after="0"/>
        <w:jc w:val="both"/>
        <w:rPr>
          <w:rFonts w:ascii="Calibri" w:hAnsi="Calibri" w:cs="Calibri"/>
        </w:rPr>
      </w:pPr>
      <w:r>
        <w:rPr>
          <w:rFonts w:ascii="Calibri" w:hAnsi="Calibri" w:cs="Calibri"/>
        </w:rPr>
        <w:t xml:space="preserve">Položka byla vytvořena vnitřní rozpočtovou úpravou kapitoly 03 </w:t>
      </w:r>
      <w:r w:rsidR="00882FDC">
        <w:rPr>
          <w:rFonts w:ascii="Calibri" w:hAnsi="Calibri" w:cs="Calibri"/>
        </w:rPr>
        <w:t xml:space="preserve">– Informatika </w:t>
      </w:r>
      <w:r>
        <w:rPr>
          <w:rFonts w:ascii="Calibri" w:hAnsi="Calibri" w:cs="Calibri"/>
        </w:rPr>
        <w:t xml:space="preserve">č. 512/03/2021 v upraveném rozpočtu 40 000 Kč </w:t>
      </w:r>
      <w:r w:rsidRPr="00666825">
        <w:rPr>
          <w:rFonts w:ascii="Calibri" w:hAnsi="Calibri" w:cs="Calibri"/>
        </w:rPr>
        <w:t xml:space="preserve">za účelem organizačně technického zabezpečení tzv. zvláštních způsobů pro hlasování při volbách do Poslanecké sněmovny Parlamentu ČR, které spadá do působnosti krajského úřadu. </w:t>
      </w:r>
      <w:r>
        <w:rPr>
          <w:rFonts w:ascii="Calibri" w:hAnsi="Calibri" w:cs="Calibri"/>
        </w:rPr>
        <w:t>Vzhledem k trvajícímu</w:t>
      </w:r>
      <w:r w:rsidRPr="00666825">
        <w:rPr>
          <w:rFonts w:ascii="Calibri" w:hAnsi="Calibri" w:cs="Calibri"/>
        </w:rPr>
        <w:t xml:space="preserve"> stav</w:t>
      </w:r>
      <w:r>
        <w:rPr>
          <w:rFonts w:ascii="Calibri" w:hAnsi="Calibri" w:cs="Calibri"/>
        </w:rPr>
        <w:t xml:space="preserve">u </w:t>
      </w:r>
      <w:r w:rsidRPr="00666825">
        <w:rPr>
          <w:rFonts w:ascii="Calibri" w:hAnsi="Calibri" w:cs="Calibri"/>
        </w:rPr>
        <w:t xml:space="preserve">pandemické pohotovosti </w:t>
      </w:r>
      <w:r>
        <w:rPr>
          <w:rFonts w:ascii="Calibri" w:hAnsi="Calibri" w:cs="Calibri"/>
        </w:rPr>
        <w:t xml:space="preserve">byl na žádost </w:t>
      </w:r>
      <w:r w:rsidRPr="00666825">
        <w:rPr>
          <w:rFonts w:ascii="Calibri" w:hAnsi="Calibri" w:cs="Calibri"/>
        </w:rPr>
        <w:t>Odbor</w:t>
      </w:r>
      <w:r>
        <w:rPr>
          <w:rFonts w:ascii="Calibri" w:hAnsi="Calibri" w:cs="Calibri"/>
        </w:rPr>
        <w:t>u</w:t>
      </w:r>
      <w:r w:rsidRPr="00666825">
        <w:rPr>
          <w:rFonts w:ascii="Calibri" w:hAnsi="Calibri" w:cs="Calibri"/>
        </w:rPr>
        <w:t xml:space="preserve"> legislativně právní</w:t>
      </w:r>
      <w:r>
        <w:rPr>
          <w:rFonts w:ascii="Calibri" w:hAnsi="Calibri" w:cs="Calibri"/>
        </w:rPr>
        <w:t>ho</w:t>
      </w:r>
      <w:r w:rsidRPr="00666825">
        <w:rPr>
          <w:rFonts w:ascii="Calibri" w:hAnsi="Calibri" w:cs="Calibri"/>
        </w:rPr>
        <w:t xml:space="preserve"> zajištěn</w:t>
      </w:r>
      <w:r>
        <w:rPr>
          <w:rFonts w:ascii="Calibri" w:hAnsi="Calibri" w:cs="Calibri"/>
        </w:rPr>
        <w:t xml:space="preserve"> pronájem </w:t>
      </w:r>
      <w:r w:rsidRPr="00666825">
        <w:rPr>
          <w:rFonts w:ascii="Calibri" w:hAnsi="Calibri" w:cs="Calibri"/>
        </w:rPr>
        <w:t>15 notebooků</w:t>
      </w:r>
      <w:r>
        <w:rPr>
          <w:rFonts w:ascii="Calibri" w:hAnsi="Calibri" w:cs="Calibri"/>
        </w:rPr>
        <w:t xml:space="preserve"> (</w:t>
      </w:r>
      <w:r w:rsidRPr="00666825">
        <w:rPr>
          <w:rFonts w:ascii="Calibri" w:hAnsi="Calibri" w:cs="Calibri"/>
        </w:rPr>
        <w:t>Odbor informatiky nem</w:t>
      </w:r>
      <w:r>
        <w:rPr>
          <w:rFonts w:ascii="Calibri" w:hAnsi="Calibri" w:cs="Calibri"/>
        </w:rPr>
        <w:t xml:space="preserve">ěl v té době </w:t>
      </w:r>
      <w:r w:rsidRPr="00666825">
        <w:rPr>
          <w:rFonts w:ascii="Calibri" w:hAnsi="Calibri" w:cs="Calibri"/>
        </w:rPr>
        <w:t>k dispozici potřebný počet notebooků</w:t>
      </w:r>
      <w:r>
        <w:rPr>
          <w:rFonts w:ascii="Calibri" w:hAnsi="Calibri" w:cs="Calibri"/>
        </w:rPr>
        <w:t>, protože r</w:t>
      </w:r>
      <w:r w:rsidRPr="00666825">
        <w:rPr>
          <w:rFonts w:ascii="Calibri" w:hAnsi="Calibri" w:cs="Calibri"/>
        </w:rPr>
        <w:t xml:space="preserve">ámcová dohoda na nákup notebooků </w:t>
      </w:r>
      <w:r>
        <w:rPr>
          <w:rFonts w:ascii="Calibri" w:hAnsi="Calibri" w:cs="Calibri"/>
        </w:rPr>
        <w:t>byla před podpisem)</w:t>
      </w:r>
      <w:r w:rsidRPr="00666825">
        <w:rPr>
          <w:rFonts w:ascii="Calibri" w:hAnsi="Calibri" w:cs="Calibri"/>
        </w:rPr>
        <w:t>.</w:t>
      </w:r>
      <w:r>
        <w:rPr>
          <w:rFonts w:ascii="Calibri" w:hAnsi="Calibri" w:cs="Calibri"/>
        </w:rPr>
        <w:t xml:space="preserve"> </w:t>
      </w:r>
      <w:r w:rsidRPr="00666825">
        <w:rPr>
          <w:rFonts w:ascii="Calibri" w:hAnsi="Calibri" w:cs="Calibri"/>
        </w:rPr>
        <w:t xml:space="preserve">Zajištění podmínek činnosti komisí pro hlasování a pro sčítání hlasů </w:t>
      </w:r>
      <w:r>
        <w:rPr>
          <w:rFonts w:ascii="Calibri" w:hAnsi="Calibri" w:cs="Calibri"/>
        </w:rPr>
        <w:t>bylo ze zákona</w:t>
      </w:r>
      <w:r w:rsidRPr="00666825">
        <w:rPr>
          <w:rFonts w:ascii="Calibri" w:hAnsi="Calibri" w:cs="Calibri"/>
        </w:rPr>
        <w:t xml:space="preserve"> hrazeno z finančních prostředků poskytovaných ze státního rozpočtu na činnost volebních orgánů</w:t>
      </w:r>
      <w:r>
        <w:rPr>
          <w:rFonts w:ascii="Calibri" w:hAnsi="Calibri" w:cs="Calibri"/>
        </w:rPr>
        <w:t xml:space="preserve"> a p</w:t>
      </w:r>
      <w:r w:rsidRPr="00666825">
        <w:rPr>
          <w:rFonts w:ascii="Calibri" w:hAnsi="Calibri" w:cs="Calibri"/>
        </w:rPr>
        <w:t xml:space="preserve">o obdržení dotace z </w:t>
      </w:r>
      <w:r w:rsidRPr="00666825">
        <w:rPr>
          <w:rFonts w:ascii="Calibri" w:hAnsi="Calibri" w:cs="Calibri"/>
        </w:rPr>
        <w:lastRenderedPageBreak/>
        <w:t xml:space="preserve">Ministerstva vnitra </w:t>
      </w:r>
      <w:r>
        <w:rPr>
          <w:rFonts w:ascii="Calibri" w:hAnsi="Calibri" w:cs="Calibri"/>
        </w:rPr>
        <w:t xml:space="preserve">byly </w:t>
      </w:r>
      <w:r w:rsidRPr="00666825">
        <w:rPr>
          <w:rFonts w:ascii="Calibri" w:hAnsi="Calibri" w:cs="Calibri"/>
        </w:rPr>
        <w:t xml:space="preserve">náklady na </w:t>
      </w:r>
      <w:r>
        <w:rPr>
          <w:rFonts w:ascii="Calibri" w:hAnsi="Calibri" w:cs="Calibri"/>
        </w:rPr>
        <w:t>za</w:t>
      </w:r>
      <w:r w:rsidRPr="00666825">
        <w:rPr>
          <w:rFonts w:ascii="Calibri" w:hAnsi="Calibri" w:cs="Calibri"/>
        </w:rPr>
        <w:t xml:space="preserve">půjčení notebooků pro sčítací komisi dodatečně </w:t>
      </w:r>
      <w:r>
        <w:rPr>
          <w:rFonts w:ascii="Calibri" w:hAnsi="Calibri" w:cs="Calibri"/>
        </w:rPr>
        <w:t>přeúčtovány</w:t>
      </w:r>
      <w:r w:rsidRPr="00666825">
        <w:rPr>
          <w:rFonts w:ascii="Calibri" w:hAnsi="Calibri" w:cs="Calibri"/>
        </w:rPr>
        <w:t xml:space="preserve"> </w:t>
      </w:r>
      <w:r>
        <w:rPr>
          <w:rFonts w:ascii="Calibri" w:hAnsi="Calibri" w:cs="Calibri"/>
        </w:rPr>
        <w:t>do příslušné rozpočtové kapitoly, takže v kapitole 03</w:t>
      </w:r>
      <w:r w:rsidR="00FC5683">
        <w:rPr>
          <w:rFonts w:ascii="Calibri" w:hAnsi="Calibri" w:cs="Calibri"/>
        </w:rPr>
        <w:t xml:space="preserve"> - Informatika</w:t>
      </w:r>
      <w:r>
        <w:rPr>
          <w:rFonts w:ascii="Calibri" w:hAnsi="Calibri" w:cs="Calibri"/>
        </w:rPr>
        <w:t xml:space="preserve"> zůstaly tyto prostředky volné.</w:t>
      </w:r>
    </w:p>
    <w:p w14:paraId="2A95B0CB" w14:textId="77777777" w:rsidR="004E6F95" w:rsidRPr="004E5FBB" w:rsidRDefault="004E6F95" w:rsidP="00EB39A2">
      <w:pPr>
        <w:spacing w:after="0"/>
        <w:jc w:val="both"/>
        <w:rPr>
          <w:rFonts w:ascii="Calibri" w:hAnsi="Calibri" w:cs="Calibri"/>
        </w:rPr>
      </w:pPr>
    </w:p>
    <w:p w14:paraId="4BAC239A" w14:textId="77777777" w:rsidR="004E6F95" w:rsidRPr="004E5FBB" w:rsidRDefault="004E6F95" w:rsidP="00EB39A2">
      <w:pPr>
        <w:spacing w:after="0"/>
        <w:jc w:val="both"/>
        <w:rPr>
          <w:rFonts w:ascii="Calibri" w:hAnsi="Calibri" w:cs="Calibri"/>
          <w:b/>
        </w:rPr>
      </w:pPr>
      <w:r w:rsidRPr="004E5FBB">
        <w:rPr>
          <w:rFonts w:ascii="Calibri" w:hAnsi="Calibri" w:cs="Calibri"/>
          <w:b/>
        </w:rPr>
        <w:t xml:space="preserve">5166 – konzultační, poradenské a právní služby </w:t>
      </w:r>
    </w:p>
    <w:p w14:paraId="25DEAC34" w14:textId="191FC6BA" w:rsidR="004E6F95" w:rsidRPr="004E5FBB" w:rsidRDefault="004E6F95" w:rsidP="00EB39A2">
      <w:pPr>
        <w:spacing w:after="0"/>
        <w:jc w:val="both"/>
        <w:rPr>
          <w:rFonts w:ascii="Calibri" w:hAnsi="Calibri" w:cs="Calibri"/>
        </w:rPr>
      </w:pPr>
      <w:r w:rsidRPr="004E5FBB">
        <w:rPr>
          <w:rFonts w:ascii="Calibri" w:hAnsi="Calibri" w:cs="Calibri"/>
        </w:rPr>
        <w:t>Položka zahrnuje především konzultační a poradenské služby vztahující se k projektům a náklady na posudky. Při schváleném rozpočtu 150 000,00 Kč nebyla položka čerpána.</w:t>
      </w:r>
    </w:p>
    <w:p w14:paraId="6A8117E3" w14:textId="77777777" w:rsidR="004E6F95" w:rsidRPr="004E5FBB" w:rsidRDefault="004E6F95" w:rsidP="00EB39A2">
      <w:pPr>
        <w:spacing w:after="0"/>
        <w:jc w:val="both"/>
        <w:rPr>
          <w:rFonts w:ascii="Calibri" w:hAnsi="Calibri" w:cs="Calibri"/>
        </w:rPr>
      </w:pPr>
    </w:p>
    <w:p w14:paraId="757E46DD" w14:textId="77777777" w:rsidR="004E6F95" w:rsidRPr="005224E3" w:rsidRDefault="004E6F95" w:rsidP="00EB39A2">
      <w:pPr>
        <w:spacing w:after="0"/>
        <w:jc w:val="both"/>
        <w:rPr>
          <w:rFonts w:ascii="Calibri" w:hAnsi="Calibri" w:cs="Calibri"/>
          <w:b/>
        </w:rPr>
      </w:pPr>
      <w:r w:rsidRPr="005224E3">
        <w:rPr>
          <w:rFonts w:ascii="Calibri" w:hAnsi="Calibri" w:cs="Calibri"/>
          <w:b/>
        </w:rPr>
        <w:t xml:space="preserve">5168 – zpracování dat a služby související s informačními a komunikačními technologiemi </w:t>
      </w:r>
    </w:p>
    <w:p w14:paraId="08717F9B" w14:textId="729D441F" w:rsidR="004E6F95" w:rsidRPr="00933BFE" w:rsidRDefault="004E6F95" w:rsidP="00EB39A2">
      <w:pPr>
        <w:spacing w:after="0"/>
        <w:jc w:val="both"/>
        <w:rPr>
          <w:rFonts w:ascii="Calibri" w:hAnsi="Calibri" w:cs="Calibri"/>
        </w:rPr>
      </w:pPr>
      <w:r w:rsidRPr="00304D1E">
        <w:rPr>
          <w:rFonts w:ascii="Calibri" w:hAnsi="Calibri" w:cs="Calibri"/>
        </w:rPr>
        <w:t>Položka 5168 tvoří největší objem z finančních prostředků rozpočtovaných na kapitole 03</w:t>
      </w:r>
      <w:r w:rsidR="00FC5683">
        <w:rPr>
          <w:rFonts w:ascii="Calibri" w:hAnsi="Calibri" w:cs="Calibri"/>
        </w:rPr>
        <w:t xml:space="preserve"> - Informatika</w:t>
      </w:r>
      <w:r w:rsidRPr="00304D1E">
        <w:rPr>
          <w:rFonts w:ascii="Calibri" w:hAnsi="Calibri" w:cs="Calibri"/>
        </w:rPr>
        <w:t xml:space="preserve"> a většinou kryje výdaje z uzavřených smluvních vztahů. Zahrnuje platby za služby v oblasti IT, které jsou většinou smluvně vázané (technická a uživatelská podpora, maintenance a podobné služby k informačním systémům a aplikacím Odboru informatiky, ale i pro jiné odbory krajského úřadu). Dále jsou na této položce vedeny náklady na školení uživatelů a zaškolení obsluhy v případě pořízení dlouhodobého majetku (lze-li je samostatně vyčíslit), náklady na certifikáty k informačním systémům, elektronickým podpisům </w:t>
      </w:r>
      <w:r w:rsidRPr="00933BFE">
        <w:rPr>
          <w:rFonts w:ascii="Calibri" w:hAnsi="Calibri" w:cs="Calibri"/>
        </w:rPr>
        <w:t>apod. Největší část nákladů připadá na podporu GINIS (</w:t>
      </w:r>
      <w:r>
        <w:rPr>
          <w:rFonts w:ascii="Calibri" w:hAnsi="Calibri" w:cs="Calibri"/>
        </w:rPr>
        <w:t>v roce</w:t>
      </w:r>
      <w:r w:rsidRPr="00933BFE">
        <w:rPr>
          <w:rFonts w:ascii="Calibri" w:hAnsi="Calibri" w:cs="Calibri"/>
        </w:rPr>
        <w:t xml:space="preserve"> celkem 20 270 682,32 Kč).</w:t>
      </w:r>
    </w:p>
    <w:p w14:paraId="0538FF68" w14:textId="77777777" w:rsidR="004E6F95" w:rsidRPr="00FB57DE" w:rsidRDefault="004E6F95" w:rsidP="00EB39A2">
      <w:pPr>
        <w:spacing w:after="0"/>
        <w:jc w:val="both"/>
        <w:rPr>
          <w:rFonts w:ascii="Calibri" w:hAnsi="Calibri" w:cs="Calibri"/>
        </w:rPr>
      </w:pPr>
    </w:p>
    <w:p w14:paraId="7734AC26" w14:textId="4FBB8A69" w:rsidR="00882FDC" w:rsidRPr="00CF193F" w:rsidRDefault="00882FDC" w:rsidP="00882FDC">
      <w:pPr>
        <w:pStyle w:val="Default"/>
        <w:jc w:val="both"/>
        <w:rPr>
          <w:rFonts w:asciiTheme="minorHAnsi" w:hAnsiTheme="minorHAnsi" w:cstheme="minorHAnsi"/>
          <w:sz w:val="22"/>
          <w:szCs w:val="22"/>
        </w:rPr>
      </w:pPr>
      <w:r w:rsidRPr="00CF193F">
        <w:rPr>
          <w:rFonts w:asciiTheme="minorHAnsi" w:hAnsiTheme="minorHAnsi" w:cstheme="minorHAnsi"/>
          <w:color w:val="auto"/>
          <w:sz w:val="22"/>
          <w:szCs w:val="22"/>
        </w:rPr>
        <w:t>Schválený rozpočet byl navýšen rozpočtovou úpravou č. 246/03/2021 v rámci kapitoly o 174</w:t>
      </w:r>
      <w:r w:rsidR="005E25CF">
        <w:rPr>
          <w:rFonts w:asciiTheme="minorHAnsi" w:hAnsiTheme="minorHAnsi" w:cstheme="minorHAnsi"/>
          <w:color w:val="auto"/>
          <w:sz w:val="22"/>
          <w:szCs w:val="22"/>
        </w:rPr>
        <w:t> </w:t>
      </w:r>
      <w:r w:rsidRPr="00CF193F">
        <w:rPr>
          <w:rFonts w:asciiTheme="minorHAnsi" w:hAnsiTheme="minorHAnsi" w:cstheme="minorHAnsi"/>
          <w:color w:val="auto"/>
          <w:sz w:val="22"/>
          <w:szCs w:val="22"/>
        </w:rPr>
        <w:t>845</w:t>
      </w:r>
      <w:r w:rsidR="005E25CF">
        <w:rPr>
          <w:rFonts w:asciiTheme="minorHAnsi" w:hAnsiTheme="minorHAnsi" w:cstheme="minorHAnsi"/>
          <w:color w:val="auto"/>
          <w:sz w:val="22"/>
          <w:szCs w:val="22"/>
        </w:rPr>
        <w:t>,00</w:t>
      </w:r>
      <w:r w:rsidRPr="00CF193F">
        <w:rPr>
          <w:rFonts w:asciiTheme="minorHAnsi" w:hAnsiTheme="minorHAnsi" w:cstheme="minorHAnsi"/>
          <w:color w:val="auto"/>
          <w:sz w:val="22"/>
          <w:szCs w:val="22"/>
        </w:rPr>
        <w:t xml:space="preserve"> Kč a rozpočtovou úpravou č. 279/03/2021 v rámci kapitoly o 155</w:t>
      </w:r>
      <w:r w:rsidR="005E25CF">
        <w:rPr>
          <w:rFonts w:asciiTheme="minorHAnsi" w:hAnsiTheme="minorHAnsi" w:cstheme="minorHAnsi"/>
          <w:color w:val="auto"/>
          <w:sz w:val="22"/>
          <w:szCs w:val="22"/>
        </w:rPr>
        <w:t> </w:t>
      </w:r>
      <w:r w:rsidRPr="00CF193F">
        <w:rPr>
          <w:rFonts w:asciiTheme="minorHAnsi" w:hAnsiTheme="minorHAnsi" w:cstheme="minorHAnsi"/>
          <w:color w:val="auto"/>
          <w:sz w:val="22"/>
          <w:szCs w:val="22"/>
        </w:rPr>
        <w:t>848</w:t>
      </w:r>
      <w:r w:rsidR="005E25CF">
        <w:rPr>
          <w:rFonts w:asciiTheme="minorHAnsi" w:hAnsiTheme="minorHAnsi" w:cstheme="minorHAnsi"/>
          <w:color w:val="auto"/>
          <w:sz w:val="22"/>
          <w:szCs w:val="22"/>
        </w:rPr>
        <w:t xml:space="preserve">,00 </w:t>
      </w:r>
      <w:r w:rsidRPr="00CF193F">
        <w:rPr>
          <w:rFonts w:asciiTheme="minorHAnsi" w:hAnsiTheme="minorHAnsi" w:cstheme="minorHAnsi"/>
          <w:color w:val="auto"/>
          <w:sz w:val="22"/>
          <w:szCs w:val="22"/>
        </w:rPr>
        <w:t>Kč. Dále na základě usnesení č. 007-06/2021/ZK ze dne 26. 4. 2021 (rozdělení zůstatku hospodaření SK z roku 2020) byl rozpočet navýšen o 1 051 751,36 Kč. Rozpočtovou úpravou č. 329/03/2021 v rámci kapitoly byla položka ponížena o 200 000 Kč.</w:t>
      </w:r>
      <w:r w:rsidR="00CF193F" w:rsidRPr="00CF193F">
        <w:rPr>
          <w:rFonts w:ascii="Segoe UI" w:hAnsi="Segoe UI" w:cs="Segoe UI"/>
          <w:sz w:val="22"/>
          <w:szCs w:val="22"/>
          <w:lang w:val="en-US"/>
        </w:rPr>
        <w:t xml:space="preserve"> </w:t>
      </w:r>
      <w:r w:rsidR="00CF193F" w:rsidRPr="00CF193F">
        <w:rPr>
          <w:rFonts w:asciiTheme="minorHAnsi" w:hAnsiTheme="minorHAnsi" w:cstheme="minorHAnsi"/>
          <w:sz w:val="22"/>
          <w:szCs w:val="22"/>
          <w:lang w:val="en-US"/>
        </w:rPr>
        <w:t xml:space="preserve">Rozpočet byl na základě usnesení č. 004-31/2021/RK ze dne 12. 8. 2021 </w:t>
      </w:r>
      <w:r w:rsidR="005E201B">
        <w:rPr>
          <w:rFonts w:asciiTheme="minorHAnsi" w:hAnsiTheme="minorHAnsi" w:cstheme="minorHAnsi"/>
          <w:sz w:val="22"/>
          <w:szCs w:val="22"/>
          <w:lang w:val="en-US"/>
        </w:rPr>
        <w:t xml:space="preserve">navýšen </w:t>
      </w:r>
      <w:r w:rsidR="00CF193F" w:rsidRPr="00CF193F">
        <w:rPr>
          <w:rFonts w:asciiTheme="minorHAnsi" w:hAnsiTheme="minorHAnsi" w:cstheme="minorHAnsi"/>
          <w:sz w:val="22"/>
          <w:szCs w:val="22"/>
          <w:lang w:val="en-US"/>
        </w:rPr>
        <w:t>o fi</w:t>
      </w:r>
      <w:r w:rsidR="005E201B">
        <w:rPr>
          <w:rFonts w:asciiTheme="minorHAnsi" w:hAnsiTheme="minorHAnsi" w:cstheme="minorHAnsi"/>
          <w:sz w:val="22"/>
          <w:szCs w:val="22"/>
          <w:lang w:val="en-US"/>
        </w:rPr>
        <w:t>n</w:t>
      </w:r>
      <w:r w:rsidR="00CF193F" w:rsidRPr="00CF193F">
        <w:rPr>
          <w:rFonts w:asciiTheme="minorHAnsi" w:hAnsiTheme="minorHAnsi" w:cstheme="minorHAnsi"/>
          <w:sz w:val="22"/>
          <w:szCs w:val="22"/>
          <w:lang w:val="en-US"/>
        </w:rPr>
        <w:t xml:space="preserve">anční prostředky ve výši </w:t>
      </w:r>
      <w:r w:rsidR="00CF193F" w:rsidRPr="00CF193F">
        <w:rPr>
          <w:rFonts w:asciiTheme="minorHAnsi" w:hAnsiTheme="minorHAnsi" w:cstheme="minorHAnsi"/>
          <w:sz w:val="22"/>
          <w:szCs w:val="22"/>
        </w:rPr>
        <w:t>700 000 Kč</w:t>
      </w:r>
      <w:r w:rsidR="00CF193F" w:rsidRPr="00CF193F">
        <w:rPr>
          <w:rFonts w:asciiTheme="minorHAnsi" w:hAnsiTheme="minorHAnsi" w:cstheme="minorHAnsi"/>
          <w:sz w:val="22"/>
          <w:szCs w:val="22"/>
          <w:lang w:val="en-US"/>
        </w:rPr>
        <w:t xml:space="preserve"> (převod z kapitoly 23 - Ostatní z Rezervy Středočeského kraje). </w:t>
      </w:r>
      <w:r w:rsidR="00CF193F" w:rsidRPr="00CF193F">
        <w:rPr>
          <w:rFonts w:asciiTheme="minorHAnsi" w:hAnsiTheme="minorHAnsi" w:cstheme="minorHAnsi"/>
          <w:sz w:val="22"/>
          <w:szCs w:val="22"/>
        </w:rPr>
        <w:t>Usnesením. č. 027-35/2021/RK ze dne 16. 9. 2021 byl rozpočet kapitoly 03 – Informatika navýšen o 194 568,00 Kč (převod finančn</w:t>
      </w:r>
      <w:r w:rsidR="00CF193F" w:rsidRPr="00CF193F">
        <w:rPr>
          <w:rFonts w:asciiTheme="minorHAnsi" w:hAnsiTheme="minorHAnsi" w:cstheme="minorHAnsi"/>
          <w:sz w:val="22"/>
          <w:szCs w:val="22"/>
          <w:lang w:val="en-US"/>
        </w:rPr>
        <w:t xml:space="preserve">ích prostředků z kapitoly 02 - Činnost krajského úřadu). Dále byl rozpočet navýšen </w:t>
      </w:r>
      <w:r w:rsidR="00CF193F" w:rsidRPr="00CF193F">
        <w:rPr>
          <w:rFonts w:asciiTheme="minorHAnsi" w:hAnsiTheme="minorHAnsi" w:cstheme="minorHAnsi"/>
          <w:sz w:val="22"/>
          <w:szCs w:val="22"/>
        </w:rPr>
        <w:t xml:space="preserve">o 1 500 040,00 Kč </w:t>
      </w:r>
      <w:r w:rsidR="00CF193F" w:rsidRPr="00CF193F">
        <w:rPr>
          <w:rFonts w:asciiTheme="minorHAnsi" w:hAnsiTheme="minorHAnsi" w:cstheme="minorHAnsi"/>
          <w:sz w:val="22"/>
          <w:szCs w:val="22"/>
          <w:lang w:val="en-US"/>
        </w:rPr>
        <w:t xml:space="preserve">usnesením č. </w:t>
      </w:r>
      <w:r w:rsidR="00CF193F" w:rsidRPr="00CF193F">
        <w:rPr>
          <w:rFonts w:asciiTheme="minorHAnsi" w:hAnsiTheme="minorHAnsi" w:cstheme="minorHAnsi"/>
          <w:sz w:val="22"/>
          <w:szCs w:val="22"/>
        </w:rPr>
        <w:t>004-42/2021/RK ze dne 11. 11. 2021 (převod z</w:t>
      </w:r>
      <w:r w:rsidR="00CF193F" w:rsidRPr="00CF193F">
        <w:rPr>
          <w:rFonts w:asciiTheme="minorHAnsi" w:hAnsiTheme="minorHAnsi" w:cstheme="minorHAnsi"/>
          <w:sz w:val="22"/>
          <w:szCs w:val="22"/>
          <w:lang w:val="en-US"/>
        </w:rPr>
        <w:t xml:space="preserve"> kapitoly 26 - Veřejná mobilita). </w:t>
      </w:r>
    </w:p>
    <w:p w14:paraId="142E290F" w14:textId="77777777" w:rsidR="004E6F95" w:rsidRPr="00CF193F" w:rsidRDefault="004E6F95" w:rsidP="00EB39A2">
      <w:pPr>
        <w:spacing w:after="0"/>
        <w:jc w:val="both"/>
        <w:rPr>
          <w:rFonts w:ascii="Calibri" w:hAnsi="Calibri" w:cs="Calibri"/>
        </w:rPr>
      </w:pPr>
      <w:r w:rsidRPr="00CF193F">
        <w:rPr>
          <w:rFonts w:ascii="Calibri" w:hAnsi="Calibri" w:cs="Calibri"/>
        </w:rPr>
        <w:t>Při upraveném rozpočtu 43 294 052,36 Kč byla položka v roce 2021 čerpána ve výši 37 659 229,70 Kč, tj. 87,0 %.</w:t>
      </w:r>
    </w:p>
    <w:p w14:paraId="49E9E88F" w14:textId="77777777" w:rsidR="004E6F95" w:rsidRPr="005224E3" w:rsidRDefault="004E6F95" w:rsidP="00EB39A2">
      <w:pPr>
        <w:spacing w:after="0"/>
        <w:jc w:val="both"/>
        <w:rPr>
          <w:rFonts w:ascii="Calibri" w:hAnsi="Calibri" w:cs="Calibri"/>
          <w:highlight w:val="yellow"/>
        </w:rPr>
      </w:pPr>
    </w:p>
    <w:p w14:paraId="2D8B9410" w14:textId="77777777" w:rsidR="004E6F95" w:rsidRPr="005224E3" w:rsidRDefault="004E6F95" w:rsidP="00EB39A2">
      <w:pPr>
        <w:spacing w:after="0"/>
        <w:jc w:val="both"/>
        <w:rPr>
          <w:rFonts w:ascii="Calibri" w:hAnsi="Calibri" w:cs="Calibri"/>
          <w:b/>
        </w:rPr>
      </w:pPr>
      <w:r w:rsidRPr="005224E3">
        <w:rPr>
          <w:rFonts w:ascii="Calibri" w:hAnsi="Calibri" w:cs="Calibri"/>
          <w:b/>
        </w:rPr>
        <w:t xml:space="preserve">5169 – nákup ostatních služeb </w:t>
      </w:r>
    </w:p>
    <w:p w14:paraId="5EBBE2AE" w14:textId="77777777" w:rsidR="004E6F95" w:rsidRPr="0049503C" w:rsidRDefault="004E6F95" w:rsidP="00EB39A2">
      <w:pPr>
        <w:spacing w:after="0"/>
        <w:jc w:val="both"/>
        <w:rPr>
          <w:rFonts w:ascii="Calibri" w:hAnsi="Calibri" w:cs="Calibri"/>
        </w:rPr>
      </w:pPr>
      <w:r w:rsidRPr="0049503C">
        <w:rPr>
          <w:rFonts w:ascii="Calibri" w:hAnsi="Calibri" w:cs="Calibri"/>
        </w:rPr>
        <w:t>Položka zahrnuje služby vztahující se k zařízením, které nejsou výpočetní technikou a programovým vybavením, i když jsou pro jejich provoz nezbytné (např. revize zhášecího systému nebo servis klimatizací a UPS v technologickém centru). Při schváleném rozpočtu 150 000,00 Kč byla položka v roce 2021 čerpána ve výši 48 911,83 Kč, tj. 32,6 %.</w:t>
      </w:r>
    </w:p>
    <w:p w14:paraId="68F4283E" w14:textId="77777777" w:rsidR="004E6F95" w:rsidRPr="004666BA" w:rsidRDefault="004E6F95" w:rsidP="00EB39A2">
      <w:pPr>
        <w:pStyle w:val="Default"/>
        <w:rPr>
          <w:b/>
          <w:bCs/>
          <w:color w:val="auto"/>
          <w:sz w:val="22"/>
          <w:szCs w:val="22"/>
        </w:rPr>
      </w:pPr>
    </w:p>
    <w:p w14:paraId="79B8B61A" w14:textId="77777777" w:rsidR="004E6F95" w:rsidRPr="0049503C" w:rsidRDefault="004E6F95" w:rsidP="00EB39A2">
      <w:pPr>
        <w:spacing w:after="0"/>
        <w:jc w:val="both"/>
        <w:rPr>
          <w:rFonts w:ascii="Calibri" w:hAnsi="Calibri" w:cs="Calibri"/>
          <w:b/>
        </w:rPr>
      </w:pPr>
      <w:r w:rsidRPr="0049503C">
        <w:rPr>
          <w:rFonts w:ascii="Calibri" w:hAnsi="Calibri" w:cs="Calibri"/>
          <w:b/>
        </w:rPr>
        <w:t xml:space="preserve">5171 – opravy a udržování </w:t>
      </w:r>
    </w:p>
    <w:p w14:paraId="3E2EECA5" w14:textId="77777777" w:rsidR="004E6F95" w:rsidRPr="0049503C" w:rsidRDefault="004E6F95" w:rsidP="00EB39A2">
      <w:pPr>
        <w:spacing w:after="0"/>
        <w:jc w:val="both"/>
        <w:rPr>
          <w:rFonts w:ascii="Calibri" w:hAnsi="Calibri" w:cs="Calibri"/>
        </w:rPr>
      </w:pPr>
      <w:r w:rsidRPr="0049503C">
        <w:rPr>
          <w:rFonts w:ascii="Calibri" w:hAnsi="Calibri" w:cs="Calibri"/>
        </w:rPr>
        <w:t xml:space="preserve">Zahrnuje výdaje spojené s opravami a údržbou (nejen) výpočetní techniky. Položka je čerpána průběžně dle potřeb krajského úřadu. Při schválením rozpočtu 250 000,00 Kč byla v roce 2021 položka čerpána ve výši 46 573,02 Kč, tj. 18,6 %. </w:t>
      </w:r>
    </w:p>
    <w:p w14:paraId="293950AE" w14:textId="77777777" w:rsidR="004E6F95" w:rsidRPr="004666BA" w:rsidRDefault="004E6F95" w:rsidP="00EB39A2">
      <w:pPr>
        <w:pStyle w:val="Default"/>
        <w:rPr>
          <w:b/>
          <w:bCs/>
          <w:color w:val="auto"/>
          <w:sz w:val="22"/>
          <w:szCs w:val="22"/>
        </w:rPr>
      </w:pPr>
    </w:p>
    <w:p w14:paraId="16D8FBC7" w14:textId="77777777" w:rsidR="004E6F95" w:rsidRPr="00484CB2" w:rsidRDefault="004E6F95" w:rsidP="00EB39A2">
      <w:pPr>
        <w:spacing w:after="0"/>
        <w:jc w:val="both"/>
        <w:rPr>
          <w:rFonts w:ascii="Calibri" w:hAnsi="Calibri" w:cs="Calibri"/>
          <w:b/>
        </w:rPr>
      </w:pPr>
      <w:r w:rsidRPr="00484CB2">
        <w:rPr>
          <w:rFonts w:ascii="Calibri" w:hAnsi="Calibri" w:cs="Calibri"/>
          <w:b/>
        </w:rPr>
        <w:t xml:space="preserve">5172 – programové vybavení </w:t>
      </w:r>
    </w:p>
    <w:p w14:paraId="1D3FCF98" w14:textId="77777777" w:rsidR="004E6F95" w:rsidRPr="00484CB2" w:rsidRDefault="004E6F95" w:rsidP="00EB39A2">
      <w:pPr>
        <w:spacing w:after="0"/>
        <w:jc w:val="both"/>
        <w:rPr>
          <w:rFonts w:ascii="Calibri" w:hAnsi="Calibri" w:cs="Calibri"/>
        </w:rPr>
      </w:pPr>
      <w:r w:rsidRPr="00484CB2">
        <w:rPr>
          <w:rFonts w:ascii="Calibri" w:hAnsi="Calibri" w:cs="Calibri"/>
        </w:rPr>
        <w:t xml:space="preserve">Položka zahrnuje zejména nákup licencí a nákup počítačových programů neinvestičního charakteru pro potřeby krajského úřadu. Položka byla navýšena rozpočtovou úpravou č. 329/03/2021 kvůli potřebě nákupu většího počtu licencí k zabezpečení vzdáleného přístupu. Při upraveném rozpočtu 607 000,00 Kč byla </w:t>
      </w:r>
      <w:r>
        <w:rPr>
          <w:rFonts w:ascii="Calibri" w:hAnsi="Calibri" w:cs="Calibri"/>
        </w:rPr>
        <w:t xml:space="preserve">v roce 2021 </w:t>
      </w:r>
      <w:r w:rsidRPr="00484CB2">
        <w:rPr>
          <w:rFonts w:ascii="Calibri" w:hAnsi="Calibri" w:cs="Calibri"/>
        </w:rPr>
        <w:t>čerpána ve výši 458 568,31 Kč, tj. 75,5 %.</w:t>
      </w:r>
    </w:p>
    <w:p w14:paraId="340BCCF1" w14:textId="77777777" w:rsidR="004E6F95" w:rsidRPr="00427151" w:rsidRDefault="004E6F95" w:rsidP="00EB39A2">
      <w:pPr>
        <w:pStyle w:val="Default"/>
        <w:rPr>
          <w:b/>
          <w:bCs/>
          <w:color w:val="auto"/>
          <w:sz w:val="22"/>
          <w:szCs w:val="22"/>
        </w:rPr>
      </w:pPr>
    </w:p>
    <w:p w14:paraId="43C20168" w14:textId="77777777" w:rsidR="004E6F95" w:rsidRPr="00977481" w:rsidRDefault="004E6F95" w:rsidP="00EB39A2">
      <w:pPr>
        <w:spacing w:after="0"/>
        <w:jc w:val="both"/>
        <w:rPr>
          <w:rFonts w:ascii="Calibri" w:hAnsi="Calibri" w:cs="Calibri"/>
          <w:b/>
        </w:rPr>
      </w:pPr>
      <w:r w:rsidRPr="00977481">
        <w:rPr>
          <w:rFonts w:ascii="Calibri" w:hAnsi="Calibri" w:cs="Calibri"/>
          <w:b/>
        </w:rPr>
        <w:t xml:space="preserve">5173 – cestovné </w:t>
      </w:r>
    </w:p>
    <w:p w14:paraId="04BCD40B" w14:textId="76B2F53E" w:rsidR="004E6F95" w:rsidRPr="00977481" w:rsidRDefault="004E6F95" w:rsidP="00EB39A2">
      <w:pPr>
        <w:spacing w:after="0"/>
        <w:jc w:val="both"/>
        <w:rPr>
          <w:rFonts w:ascii="Calibri" w:hAnsi="Calibri" w:cs="Calibri"/>
        </w:rPr>
      </w:pPr>
      <w:r w:rsidRPr="00977481">
        <w:rPr>
          <w:rFonts w:ascii="Calibri" w:hAnsi="Calibri" w:cs="Calibri"/>
        </w:rPr>
        <w:t xml:space="preserve">Položka byla do rozpočtu kapitoly zařazena na úhradu ubytování při služebních cestách na základě rozpočtové úpravy v rámci kapitoly projednané s příslušným </w:t>
      </w:r>
      <w:r w:rsidR="00FC5683">
        <w:rPr>
          <w:rFonts w:ascii="Calibri" w:hAnsi="Calibri" w:cs="Calibri"/>
        </w:rPr>
        <w:t>členem rady</w:t>
      </w:r>
      <w:r w:rsidRPr="00977481">
        <w:rPr>
          <w:rFonts w:ascii="Calibri" w:hAnsi="Calibri" w:cs="Calibri"/>
        </w:rPr>
        <w:t>. Při upraveném rozpočtu 9 000,00 Kč byla v roce 2021 čerpána ve výši 5 938,00 Kč, tj. 66,0 %.</w:t>
      </w:r>
    </w:p>
    <w:p w14:paraId="5B1F54A1" w14:textId="77777777" w:rsidR="004E6F95" w:rsidRPr="00977481" w:rsidRDefault="004E6F95" w:rsidP="00EB39A2">
      <w:pPr>
        <w:spacing w:after="0"/>
        <w:jc w:val="both"/>
        <w:rPr>
          <w:rFonts w:ascii="Calibri" w:hAnsi="Calibri" w:cs="Calibri"/>
        </w:rPr>
      </w:pPr>
    </w:p>
    <w:p w14:paraId="5BFE8BE3" w14:textId="77777777" w:rsidR="004E6F95" w:rsidRPr="005224E3" w:rsidRDefault="004E6F95" w:rsidP="00EB39A2">
      <w:pPr>
        <w:spacing w:after="0"/>
        <w:jc w:val="both"/>
        <w:rPr>
          <w:rFonts w:ascii="Calibri" w:hAnsi="Calibri" w:cs="Calibri"/>
          <w:b/>
        </w:rPr>
      </w:pPr>
      <w:r w:rsidRPr="005224E3">
        <w:rPr>
          <w:rFonts w:ascii="Calibri" w:hAnsi="Calibri" w:cs="Calibri"/>
          <w:b/>
        </w:rPr>
        <w:t xml:space="preserve">5175 – pohoštění </w:t>
      </w:r>
    </w:p>
    <w:p w14:paraId="4F4976C7" w14:textId="7F0FDE97" w:rsidR="004E6F95" w:rsidRPr="00977481" w:rsidRDefault="004E6F95" w:rsidP="00EB39A2">
      <w:pPr>
        <w:spacing w:after="0"/>
        <w:jc w:val="both"/>
        <w:rPr>
          <w:rFonts w:ascii="Calibri" w:hAnsi="Calibri" w:cs="Calibri"/>
        </w:rPr>
      </w:pPr>
      <w:r w:rsidRPr="00977481">
        <w:rPr>
          <w:rFonts w:ascii="Calibri" w:hAnsi="Calibri" w:cs="Calibri"/>
        </w:rPr>
        <w:lastRenderedPageBreak/>
        <w:t xml:space="preserve">Položka byla do rozpočtu kapitoly zařazena k pohoštění účastníků akcí, nad nimiž převzal Odbor informatiky záštitu, na základě rozpočtové úpravy v rámci kapitoly projednané s příslušným </w:t>
      </w:r>
      <w:r w:rsidR="00BE209D">
        <w:rPr>
          <w:rFonts w:ascii="Calibri" w:hAnsi="Calibri" w:cs="Calibri"/>
        </w:rPr>
        <w:t>členem rady</w:t>
      </w:r>
      <w:r w:rsidRPr="00977481">
        <w:rPr>
          <w:rFonts w:ascii="Calibri" w:hAnsi="Calibri" w:cs="Calibri"/>
        </w:rPr>
        <w:t xml:space="preserve">. Z důvodu epidemiologické situace nebyla položka při upraveném rozpočtu 5 000,00 Kč </w:t>
      </w:r>
      <w:r>
        <w:rPr>
          <w:rFonts w:ascii="Calibri" w:hAnsi="Calibri" w:cs="Calibri"/>
        </w:rPr>
        <w:t xml:space="preserve">v roce 2021 </w:t>
      </w:r>
      <w:r w:rsidRPr="00977481">
        <w:rPr>
          <w:rFonts w:ascii="Calibri" w:hAnsi="Calibri" w:cs="Calibri"/>
        </w:rPr>
        <w:t>čerpána.</w:t>
      </w:r>
    </w:p>
    <w:p w14:paraId="505E9F09" w14:textId="77777777" w:rsidR="004E6F95" w:rsidRPr="005224E3" w:rsidRDefault="004E6F95" w:rsidP="00EB39A2">
      <w:pPr>
        <w:spacing w:after="0"/>
        <w:jc w:val="both"/>
        <w:rPr>
          <w:rFonts w:ascii="Calibri" w:hAnsi="Calibri" w:cs="Calibri"/>
          <w:highlight w:val="yellow"/>
        </w:rPr>
      </w:pPr>
    </w:p>
    <w:p w14:paraId="590807F1" w14:textId="77777777" w:rsidR="004E6F95" w:rsidRPr="005224E3" w:rsidRDefault="004E6F95" w:rsidP="00EB39A2">
      <w:pPr>
        <w:spacing w:after="0"/>
        <w:jc w:val="both"/>
        <w:rPr>
          <w:rFonts w:ascii="Calibri" w:hAnsi="Calibri" w:cs="Calibri"/>
          <w:b/>
        </w:rPr>
      </w:pPr>
      <w:r w:rsidRPr="005224E3">
        <w:rPr>
          <w:rFonts w:ascii="Calibri" w:hAnsi="Calibri" w:cs="Calibri"/>
          <w:b/>
        </w:rPr>
        <w:t xml:space="preserve">§ 6172 – Činnost regionální správy – provozní náklady projektu Rozvoj eGovernmentu </w:t>
      </w:r>
    </w:p>
    <w:p w14:paraId="24258311" w14:textId="77777777" w:rsidR="004E6F95" w:rsidRPr="00977481" w:rsidRDefault="004E6F95" w:rsidP="00EB39A2">
      <w:pPr>
        <w:spacing w:after="0"/>
        <w:jc w:val="both"/>
        <w:rPr>
          <w:rFonts w:ascii="Calibri" w:hAnsi="Calibri" w:cs="Calibri"/>
        </w:rPr>
      </w:pPr>
      <w:r w:rsidRPr="00977481">
        <w:rPr>
          <w:rFonts w:ascii="Calibri" w:hAnsi="Calibri" w:cs="Calibri"/>
        </w:rPr>
        <w:t xml:space="preserve">Na této položce byla rozpočtována poslední platba dle smluvního vztahu zabezpečujícího udržitelnost projektu realizovaného z Výzvy č. 08 Integrovaného operačního programu. Položka byla </w:t>
      </w:r>
      <w:r>
        <w:rPr>
          <w:rFonts w:ascii="Calibri" w:hAnsi="Calibri" w:cs="Calibri"/>
        </w:rPr>
        <w:t xml:space="preserve">v roce 2021 </w:t>
      </w:r>
      <w:r w:rsidRPr="00977481">
        <w:rPr>
          <w:rFonts w:ascii="Calibri" w:hAnsi="Calibri" w:cs="Calibri"/>
        </w:rPr>
        <w:t>při upraveném rozpočtu 154 000,00 Kč čerpána ve výši 153 379,60 Kč (99,6 %).</w:t>
      </w:r>
    </w:p>
    <w:p w14:paraId="4E21E6D6" w14:textId="77777777" w:rsidR="004E6F95" w:rsidRPr="005224E3" w:rsidRDefault="004E6F95" w:rsidP="00EB39A2">
      <w:pPr>
        <w:spacing w:after="0"/>
        <w:jc w:val="both"/>
        <w:rPr>
          <w:rFonts w:ascii="Calibri" w:hAnsi="Calibri" w:cs="Calibri"/>
          <w:b/>
        </w:rPr>
      </w:pPr>
    </w:p>
    <w:p w14:paraId="05A17A69" w14:textId="77777777" w:rsidR="004E6F95" w:rsidRPr="005224E3" w:rsidRDefault="004E6F95" w:rsidP="00EB39A2">
      <w:pPr>
        <w:spacing w:after="0"/>
        <w:jc w:val="both"/>
        <w:rPr>
          <w:rFonts w:ascii="Calibri" w:hAnsi="Calibri" w:cs="Calibri"/>
          <w:b/>
        </w:rPr>
      </w:pPr>
      <w:r w:rsidRPr="005224E3">
        <w:rPr>
          <w:rFonts w:ascii="Calibri" w:hAnsi="Calibri" w:cs="Calibri"/>
          <w:b/>
        </w:rPr>
        <w:t xml:space="preserve">§ 6172 – Činnost regionální správy – provozní náklady na projekt v rámci Výzvy č. 19 IOP </w:t>
      </w:r>
    </w:p>
    <w:p w14:paraId="1EE1B961" w14:textId="2A5DD790" w:rsidR="004E6F95" w:rsidRPr="00977481" w:rsidRDefault="004E6F95" w:rsidP="00EB39A2">
      <w:pPr>
        <w:spacing w:after="0"/>
        <w:jc w:val="both"/>
        <w:rPr>
          <w:rFonts w:ascii="Calibri" w:hAnsi="Calibri" w:cs="Calibri"/>
        </w:rPr>
      </w:pPr>
      <w:r w:rsidRPr="00977481">
        <w:rPr>
          <w:rFonts w:ascii="Calibri" w:hAnsi="Calibri" w:cs="Calibri"/>
        </w:rPr>
        <w:t>Rovněž na této položce byly rozpočtovány prostředky na poslední platby ze smluvních vztahů k zajištění udržitelnosti projektu spolufinancovaného z EU (projekt Krajské služby eGovernmentu Středočeského kraje, Výzva č. 19 Integrovaného operačního programu). Faktury se však podařilo uhradit předčasně ještě v prosinci roku 2020, proto byly prostředky převedeny rozpočtovou úpravou č. 011/03/2021 na jiné položky rozpočtované na kapitole.</w:t>
      </w:r>
    </w:p>
    <w:p w14:paraId="549190A9" w14:textId="77777777" w:rsidR="004E6F95" w:rsidRPr="00BE10E2" w:rsidRDefault="004E6F95" w:rsidP="00EB39A2">
      <w:pPr>
        <w:spacing w:after="0"/>
        <w:jc w:val="both"/>
        <w:rPr>
          <w:rFonts w:ascii="Calibri" w:hAnsi="Calibri" w:cs="Calibri"/>
          <w:b/>
          <w:u w:val="single"/>
        </w:rPr>
      </w:pPr>
    </w:p>
    <w:p w14:paraId="3DCDD011" w14:textId="34689AE2" w:rsidR="004E6F95" w:rsidRDefault="004E6F95" w:rsidP="004E6F95">
      <w:pPr>
        <w:jc w:val="both"/>
        <w:rPr>
          <w:rFonts w:ascii="Calibri" w:hAnsi="Calibri" w:cs="Calibri"/>
        </w:rPr>
      </w:pPr>
    </w:p>
    <w:p w14:paraId="2C0AAF56" w14:textId="30F54AEA" w:rsidR="00A94C91" w:rsidRDefault="00A94C91" w:rsidP="004E6F95">
      <w:pPr>
        <w:jc w:val="both"/>
        <w:rPr>
          <w:rFonts w:ascii="Calibri" w:hAnsi="Calibri" w:cs="Calibri"/>
        </w:rPr>
      </w:pPr>
    </w:p>
    <w:p w14:paraId="4D47B039" w14:textId="524063E8" w:rsidR="00A94C91" w:rsidRDefault="00A94C91" w:rsidP="004E6F95">
      <w:pPr>
        <w:jc w:val="both"/>
        <w:rPr>
          <w:rFonts w:ascii="Calibri" w:hAnsi="Calibri" w:cs="Calibri"/>
        </w:rPr>
      </w:pPr>
    </w:p>
    <w:p w14:paraId="0B459606" w14:textId="07991663" w:rsidR="00A94C91" w:rsidRDefault="00A94C91" w:rsidP="004E6F95">
      <w:pPr>
        <w:jc w:val="both"/>
        <w:rPr>
          <w:rFonts w:ascii="Calibri" w:hAnsi="Calibri" w:cs="Calibri"/>
        </w:rPr>
      </w:pPr>
    </w:p>
    <w:p w14:paraId="16FC7BE8" w14:textId="6F2A1FA3" w:rsidR="00A94C91" w:rsidRDefault="00A94C91" w:rsidP="004E6F95">
      <w:pPr>
        <w:jc w:val="both"/>
        <w:rPr>
          <w:rFonts w:ascii="Calibri" w:hAnsi="Calibri" w:cs="Calibri"/>
        </w:rPr>
      </w:pPr>
    </w:p>
    <w:p w14:paraId="3E0C9E6F" w14:textId="0526E9A9" w:rsidR="00A94C91" w:rsidRDefault="00A94C91" w:rsidP="004E6F95">
      <w:pPr>
        <w:jc w:val="both"/>
        <w:rPr>
          <w:rFonts w:ascii="Calibri" w:hAnsi="Calibri" w:cs="Calibri"/>
        </w:rPr>
      </w:pPr>
    </w:p>
    <w:p w14:paraId="40DEA9FF" w14:textId="392C7EEB" w:rsidR="00A94C91" w:rsidRDefault="00A94C91" w:rsidP="004E6F95">
      <w:pPr>
        <w:jc w:val="both"/>
        <w:rPr>
          <w:rFonts w:ascii="Calibri" w:hAnsi="Calibri" w:cs="Calibri"/>
        </w:rPr>
      </w:pPr>
    </w:p>
    <w:p w14:paraId="7B0DCAB2" w14:textId="5B25F9E3" w:rsidR="00A94C91" w:rsidRDefault="00A94C91" w:rsidP="004E6F95">
      <w:pPr>
        <w:jc w:val="both"/>
        <w:rPr>
          <w:rFonts w:ascii="Calibri" w:hAnsi="Calibri" w:cs="Calibri"/>
        </w:rPr>
      </w:pPr>
    </w:p>
    <w:p w14:paraId="5AF0509B" w14:textId="50512DAA" w:rsidR="00A94C91" w:rsidRDefault="00A94C91" w:rsidP="004E6F95">
      <w:pPr>
        <w:jc w:val="both"/>
        <w:rPr>
          <w:rFonts w:ascii="Calibri" w:hAnsi="Calibri" w:cs="Calibri"/>
        </w:rPr>
      </w:pPr>
    </w:p>
    <w:p w14:paraId="5551A70D" w14:textId="7B5E85A4" w:rsidR="00A94C91" w:rsidRDefault="00A94C91" w:rsidP="004E6F95">
      <w:pPr>
        <w:jc w:val="both"/>
        <w:rPr>
          <w:rFonts w:ascii="Calibri" w:hAnsi="Calibri" w:cs="Calibri"/>
        </w:rPr>
      </w:pPr>
    </w:p>
    <w:p w14:paraId="7439E71A" w14:textId="6C63BA77" w:rsidR="00B83477" w:rsidRDefault="00B83477" w:rsidP="004E6F95">
      <w:pPr>
        <w:jc w:val="both"/>
        <w:rPr>
          <w:rFonts w:ascii="Calibri" w:hAnsi="Calibri" w:cs="Calibri"/>
        </w:rPr>
      </w:pPr>
    </w:p>
    <w:p w14:paraId="48F56855" w14:textId="09B05D86" w:rsidR="00B83477" w:rsidRDefault="00B83477" w:rsidP="004E6F95">
      <w:pPr>
        <w:jc w:val="both"/>
        <w:rPr>
          <w:rFonts w:ascii="Calibri" w:hAnsi="Calibri" w:cs="Calibri"/>
        </w:rPr>
      </w:pPr>
    </w:p>
    <w:p w14:paraId="4E008C96" w14:textId="061E2519" w:rsidR="00B83477" w:rsidRDefault="00B83477" w:rsidP="004E6F95">
      <w:pPr>
        <w:jc w:val="both"/>
        <w:rPr>
          <w:rFonts w:ascii="Calibri" w:hAnsi="Calibri" w:cs="Calibri"/>
        </w:rPr>
      </w:pPr>
    </w:p>
    <w:p w14:paraId="4D81D1F3" w14:textId="08603504" w:rsidR="00B83477" w:rsidRDefault="00B83477" w:rsidP="004E6F95">
      <w:pPr>
        <w:jc w:val="both"/>
        <w:rPr>
          <w:rFonts w:ascii="Calibri" w:hAnsi="Calibri" w:cs="Calibri"/>
        </w:rPr>
      </w:pPr>
    </w:p>
    <w:p w14:paraId="6DDE96D8" w14:textId="0F4DC5BF" w:rsidR="00B83477" w:rsidRDefault="00B83477" w:rsidP="004E6F95">
      <w:pPr>
        <w:jc w:val="both"/>
        <w:rPr>
          <w:rFonts w:ascii="Calibri" w:hAnsi="Calibri" w:cs="Calibri"/>
        </w:rPr>
      </w:pPr>
    </w:p>
    <w:p w14:paraId="35A7EBCE" w14:textId="060E1941" w:rsidR="00B83477" w:rsidRDefault="00B83477" w:rsidP="004E6F95">
      <w:pPr>
        <w:jc w:val="both"/>
        <w:rPr>
          <w:rFonts w:ascii="Calibri" w:hAnsi="Calibri" w:cs="Calibri"/>
        </w:rPr>
      </w:pPr>
    </w:p>
    <w:p w14:paraId="65EB76CD" w14:textId="32990D8E" w:rsidR="00B83477" w:rsidRDefault="00B83477" w:rsidP="004E6F95">
      <w:pPr>
        <w:jc w:val="both"/>
        <w:rPr>
          <w:rFonts w:ascii="Calibri" w:hAnsi="Calibri" w:cs="Calibri"/>
        </w:rPr>
      </w:pPr>
    </w:p>
    <w:p w14:paraId="34A9DA5A" w14:textId="732A7965" w:rsidR="000F305A" w:rsidRDefault="000F305A" w:rsidP="004E6F95">
      <w:pPr>
        <w:jc w:val="both"/>
        <w:rPr>
          <w:rFonts w:ascii="Calibri" w:hAnsi="Calibri" w:cs="Calibri"/>
        </w:rPr>
      </w:pPr>
    </w:p>
    <w:p w14:paraId="3F801B91" w14:textId="30AE5787" w:rsidR="000F305A" w:rsidRDefault="000F305A" w:rsidP="004E6F95">
      <w:pPr>
        <w:jc w:val="both"/>
        <w:rPr>
          <w:rFonts w:ascii="Calibri" w:hAnsi="Calibri" w:cs="Calibri"/>
        </w:rPr>
      </w:pPr>
    </w:p>
    <w:p w14:paraId="2B60A552" w14:textId="77777777" w:rsidR="000F305A" w:rsidRDefault="000F305A" w:rsidP="004E6F95">
      <w:pPr>
        <w:jc w:val="both"/>
        <w:rPr>
          <w:rFonts w:ascii="Calibri" w:hAnsi="Calibri" w:cs="Calibri"/>
        </w:rPr>
      </w:pPr>
    </w:p>
    <w:p w14:paraId="5BCC6E3C" w14:textId="4CADE8AF" w:rsidR="00B83477" w:rsidRDefault="00B83477" w:rsidP="004E6F95">
      <w:pPr>
        <w:jc w:val="both"/>
        <w:rPr>
          <w:rFonts w:ascii="Calibri" w:hAnsi="Calibri" w:cs="Calibri"/>
        </w:rPr>
      </w:pPr>
    </w:p>
    <w:p w14:paraId="46C46933" w14:textId="7804AB61" w:rsidR="00B83477" w:rsidRDefault="00B83477" w:rsidP="004E6F95">
      <w:pPr>
        <w:jc w:val="both"/>
        <w:rPr>
          <w:rFonts w:ascii="Calibri" w:hAnsi="Calibri" w:cs="Calibri"/>
        </w:rPr>
      </w:pPr>
    </w:p>
    <w:tbl>
      <w:tblPr>
        <w:tblW w:w="10890" w:type="dxa"/>
        <w:tblCellMar>
          <w:left w:w="70" w:type="dxa"/>
          <w:right w:w="70" w:type="dxa"/>
        </w:tblCellMar>
        <w:tblLook w:val="04A0" w:firstRow="1" w:lastRow="0" w:firstColumn="1" w:lastColumn="0" w:noHBand="0" w:noVBand="1"/>
      </w:tblPr>
      <w:tblGrid>
        <w:gridCol w:w="826"/>
        <w:gridCol w:w="4253"/>
        <w:gridCol w:w="1559"/>
        <w:gridCol w:w="1701"/>
        <w:gridCol w:w="1701"/>
        <w:gridCol w:w="850"/>
      </w:tblGrid>
      <w:tr w:rsidR="00033E98" w:rsidRPr="00033E98" w14:paraId="46B2D86C" w14:textId="77777777" w:rsidTr="00D82B5A">
        <w:trPr>
          <w:trHeight w:val="370"/>
        </w:trPr>
        <w:tc>
          <w:tcPr>
            <w:tcW w:w="10890" w:type="dxa"/>
            <w:gridSpan w:val="6"/>
            <w:tcBorders>
              <w:top w:val="nil"/>
              <w:left w:val="nil"/>
              <w:bottom w:val="nil"/>
              <w:right w:val="nil"/>
            </w:tcBorders>
            <w:shd w:val="clear" w:color="auto" w:fill="auto"/>
            <w:noWrap/>
            <w:vAlign w:val="center"/>
            <w:hideMark/>
          </w:tcPr>
          <w:p w14:paraId="7878A084" w14:textId="77777777" w:rsidR="00033E98" w:rsidRPr="00033E98" w:rsidRDefault="00033E98" w:rsidP="00033E98">
            <w:pPr>
              <w:spacing w:after="0" w:line="240" w:lineRule="auto"/>
              <w:jc w:val="center"/>
              <w:rPr>
                <w:rFonts w:ascii="Calibri" w:eastAsia="Times New Roman" w:hAnsi="Calibri" w:cs="Arial"/>
                <w:b/>
                <w:bCs/>
                <w:sz w:val="28"/>
                <w:szCs w:val="28"/>
                <w:lang w:eastAsia="cs-CZ"/>
              </w:rPr>
            </w:pPr>
            <w:r w:rsidRPr="00033E98">
              <w:rPr>
                <w:rFonts w:ascii="Calibri" w:eastAsia="Times New Roman" w:hAnsi="Calibri" w:cs="Arial"/>
                <w:b/>
                <w:bCs/>
                <w:sz w:val="28"/>
                <w:szCs w:val="28"/>
                <w:lang w:eastAsia="cs-CZ"/>
              </w:rPr>
              <w:lastRenderedPageBreak/>
              <w:t>Čerpání rozpočtu kapitoly 04 - Doprava - období: 1. - 12. 2021</w:t>
            </w:r>
          </w:p>
        </w:tc>
      </w:tr>
      <w:tr w:rsidR="00033E98" w:rsidRPr="00033E98" w14:paraId="320D3116" w14:textId="77777777" w:rsidTr="00D82B5A">
        <w:trPr>
          <w:trHeight w:val="380"/>
        </w:trPr>
        <w:tc>
          <w:tcPr>
            <w:tcW w:w="826" w:type="dxa"/>
            <w:tcBorders>
              <w:top w:val="nil"/>
              <w:left w:val="nil"/>
              <w:bottom w:val="nil"/>
              <w:right w:val="nil"/>
            </w:tcBorders>
            <w:shd w:val="clear" w:color="auto" w:fill="auto"/>
            <w:noWrap/>
            <w:vAlign w:val="bottom"/>
            <w:hideMark/>
          </w:tcPr>
          <w:p w14:paraId="5625736F" w14:textId="77777777" w:rsidR="00033E98" w:rsidRPr="00033E98" w:rsidRDefault="00033E98" w:rsidP="00033E98">
            <w:pPr>
              <w:spacing w:after="0" w:line="240" w:lineRule="auto"/>
              <w:jc w:val="center"/>
              <w:rPr>
                <w:rFonts w:ascii="Calibri" w:eastAsia="Times New Roman" w:hAnsi="Calibri" w:cs="Arial"/>
                <w:b/>
                <w:bCs/>
                <w:sz w:val="28"/>
                <w:szCs w:val="28"/>
                <w:lang w:eastAsia="cs-CZ"/>
              </w:rPr>
            </w:pPr>
          </w:p>
        </w:tc>
        <w:tc>
          <w:tcPr>
            <w:tcW w:w="4253" w:type="dxa"/>
            <w:tcBorders>
              <w:top w:val="nil"/>
              <w:left w:val="nil"/>
              <w:bottom w:val="nil"/>
              <w:right w:val="nil"/>
            </w:tcBorders>
            <w:shd w:val="clear" w:color="auto" w:fill="auto"/>
            <w:noWrap/>
            <w:vAlign w:val="bottom"/>
            <w:hideMark/>
          </w:tcPr>
          <w:p w14:paraId="75CA5F1C" w14:textId="77777777" w:rsidR="00033E98" w:rsidRPr="00033E98" w:rsidRDefault="00033E98" w:rsidP="00033E98">
            <w:pPr>
              <w:spacing w:after="0" w:line="240" w:lineRule="auto"/>
              <w:rPr>
                <w:rFonts w:ascii="Times New Roman" w:eastAsia="Times New Roman" w:hAnsi="Times New Roman" w:cs="Times New Roman"/>
                <w:sz w:val="20"/>
                <w:szCs w:val="20"/>
                <w:lang w:eastAsia="cs-CZ"/>
              </w:rPr>
            </w:pPr>
          </w:p>
        </w:tc>
        <w:tc>
          <w:tcPr>
            <w:tcW w:w="1559" w:type="dxa"/>
            <w:tcBorders>
              <w:top w:val="nil"/>
              <w:left w:val="nil"/>
              <w:bottom w:val="nil"/>
              <w:right w:val="nil"/>
            </w:tcBorders>
            <w:shd w:val="clear" w:color="auto" w:fill="auto"/>
            <w:noWrap/>
            <w:vAlign w:val="bottom"/>
            <w:hideMark/>
          </w:tcPr>
          <w:p w14:paraId="6FAFA3B0" w14:textId="77777777" w:rsidR="00033E98" w:rsidRPr="00033E98" w:rsidRDefault="00033E98" w:rsidP="00033E98">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40279425" w14:textId="77777777" w:rsidR="00033E98" w:rsidRPr="00033E98" w:rsidRDefault="00033E98" w:rsidP="00033E98">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496B16FF" w14:textId="77777777" w:rsidR="00033E98" w:rsidRPr="00033E98" w:rsidRDefault="00033E98" w:rsidP="00033E98">
            <w:pPr>
              <w:spacing w:after="0" w:line="240" w:lineRule="auto"/>
              <w:rPr>
                <w:rFonts w:ascii="Times New Roman" w:eastAsia="Times New Roman" w:hAnsi="Times New Roman" w:cs="Times New Roman"/>
                <w:sz w:val="20"/>
                <w:szCs w:val="20"/>
                <w:lang w:eastAsia="cs-CZ"/>
              </w:rPr>
            </w:pPr>
          </w:p>
        </w:tc>
        <w:tc>
          <w:tcPr>
            <w:tcW w:w="850" w:type="dxa"/>
            <w:tcBorders>
              <w:top w:val="nil"/>
              <w:left w:val="nil"/>
              <w:bottom w:val="nil"/>
              <w:right w:val="nil"/>
            </w:tcBorders>
            <w:shd w:val="clear" w:color="auto" w:fill="auto"/>
            <w:noWrap/>
            <w:vAlign w:val="bottom"/>
            <w:hideMark/>
          </w:tcPr>
          <w:p w14:paraId="2C5E2063" w14:textId="77777777" w:rsidR="00033E98" w:rsidRPr="00033E98" w:rsidRDefault="00033E98" w:rsidP="00033E98">
            <w:pPr>
              <w:spacing w:after="0" w:line="240" w:lineRule="auto"/>
              <w:jc w:val="right"/>
              <w:rPr>
                <w:rFonts w:ascii="Calibri" w:eastAsia="Times New Roman" w:hAnsi="Calibri" w:cs="Arial"/>
                <w:lang w:eastAsia="cs-CZ"/>
              </w:rPr>
            </w:pPr>
            <w:r w:rsidRPr="00033E98">
              <w:rPr>
                <w:rFonts w:ascii="Calibri" w:eastAsia="Times New Roman" w:hAnsi="Calibri" w:cs="Arial"/>
                <w:lang w:eastAsia="cs-CZ"/>
              </w:rPr>
              <w:t>v Kč</w:t>
            </w:r>
          </w:p>
        </w:tc>
      </w:tr>
      <w:tr w:rsidR="00033E98" w:rsidRPr="00033E98" w14:paraId="3E8D58D5" w14:textId="77777777" w:rsidTr="00D82B5A">
        <w:trPr>
          <w:trHeight w:val="790"/>
        </w:trPr>
        <w:tc>
          <w:tcPr>
            <w:tcW w:w="826" w:type="dxa"/>
            <w:tcBorders>
              <w:top w:val="single" w:sz="8" w:space="0" w:color="auto"/>
              <w:left w:val="single" w:sz="8" w:space="0" w:color="auto"/>
              <w:bottom w:val="single" w:sz="8" w:space="0" w:color="auto"/>
              <w:right w:val="single" w:sz="8" w:space="0" w:color="auto"/>
            </w:tcBorders>
            <w:shd w:val="clear" w:color="000000" w:fill="CCFFCC"/>
            <w:noWrap/>
            <w:vAlign w:val="center"/>
            <w:hideMark/>
          </w:tcPr>
          <w:p w14:paraId="3F20D888" w14:textId="77777777" w:rsidR="00033E98" w:rsidRPr="00033E98" w:rsidRDefault="00033E98" w:rsidP="00033E98">
            <w:pPr>
              <w:spacing w:after="0" w:line="240" w:lineRule="auto"/>
              <w:jc w:val="center"/>
              <w:rPr>
                <w:rFonts w:ascii="Calibri" w:eastAsia="Times New Roman" w:hAnsi="Calibri" w:cs="Arial"/>
                <w:sz w:val="20"/>
                <w:szCs w:val="20"/>
                <w:lang w:eastAsia="cs-CZ"/>
              </w:rPr>
            </w:pPr>
            <w:r w:rsidRPr="00033E98">
              <w:rPr>
                <w:rFonts w:ascii="Calibri" w:eastAsia="Times New Roman" w:hAnsi="Calibri" w:cs="Arial"/>
                <w:sz w:val="20"/>
                <w:szCs w:val="20"/>
                <w:lang w:eastAsia="cs-CZ"/>
              </w:rPr>
              <w:t>Paragraf</w:t>
            </w:r>
          </w:p>
        </w:tc>
        <w:tc>
          <w:tcPr>
            <w:tcW w:w="4253" w:type="dxa"/>
            <w:tcBorders>
              <w:top w:val="single" w:sz="8" w:space="0" w:color="auto"/>
              <w:left w:val="nil"/>
              <w:bottom w:val="single" w:sz="8" w:space="0" w:color="auto"/>
              <w:right w:val="single" w:sz="8" w:space="0" w:color="auto"/>
            </w:tcBorders>
            <w:shd w:val="clear" w:color="000000" w:fill="CCFFCC"/>
            <w:noWrap/>
            <w:vAlign w:val="center"/>
            <w:hideMark/>
          </w:tcPr>
          <w:p w14:paraId="6A1FB471" w14:textId="77777777" w:rsidR="00033E98" w:rsidRPr="00033E98" w:rsidRDefault="00033E98" w:rsidP="00033E98">
            <w:pPr>
              <w:spacing w:after="0" w:line="240" w:lineRule="auto"/>
              <w:jc w:val="center"/>
              <w:rPr>
                <w:rFonts w:ascii="Calibri" w:eastAsia="Times New Roman" w:hAnsi="Calibri" w:cs="Arial"/>
                <w:sz w:val="20"/>
                <w:szCs w:val="20"/>
                <w:lang w:eastAsia="cs-CZ"/>
              </w:rPr>
            </w:pPr>
            <w:r w:rsidRPr="00033E98">
              <w:rPr>
                <w:rFonts w:ascii="Calibri" w:eastAsia="Times New Roman" w:hAnsi="Calibri" w:cs="Arial"/>
                <w:sz w:val="20"/>
                <w:szCs w:val="20"/>
                <w:lang w:eastAsia="cs-CZ"/>
              </w:rPr>
              <w:t>Oblast rozpočtu</w:t>
            </w:r>
          </w:p>
        </w:tc>
        <w:tc>
          <w:tcPr>
            <w:tcW w:w="1559" w:type="dxa"/>
            <w:tcBorders>
              <w:top w:val="single" w:sz="8" w:space="0" w:color="auto"/>
              <w:left w:val="nil"/>
              <w:bottom w:val="single" w:sz="8" w:space="0" w:color="auto"/>
              <w:right w:val="single" w:sz="8" w:space="0" w:color="auto"/>
            </w:tcBorders>
            <w:shd w:val="clear" w:color="000000" w:fill="CCFFCC"/>
            <w:vAlign w:val="center"/>
            <w:hideMark/>
          </w:tcPr>
          <w:p w14:paraId="5D5A477D" w14:textId="77777777" w:rsidR="00033E98" w:rsidRPr="00033E98" w:rsidRDefault="00033E98" w:rsidP="00033E98">
            <w:pPr>
              <w:spacing w:after="0" w:line="240" w:lineRule="auto"/>
              <w:jc w:val="center"/>
              <w:rPr>
                <w:rFonts w:ascii="Calibri" w:eastAsia="Times New Roman" w:hAnsi="Calibri" w:cs="Arial"/>
                <w:sz w:val="20"/>
                <w:szCs w:val="20"/>
                <w:lang w:eastAsia="cs-CZ"/>
              </w:rPr>
            </w:pPr>
            <w:r w:rsidRPr="00033E98">
              <w:rPr>
                <w:rFonts w:ascii="Calibri" w:eastAsia="Times New Roman" w:hAnsi="Calibri" w:cs="Arial"/>
                <w:sz w:val="20"/>
                <w:szCs w:val="20"/>
                <w:lang w:eastAsia="cs-CZ"/>
              </w:rPr>
              <w:t>Schválený rozpočet</w:t>
            </w:r>
          </w:p>
        </w:tc>
        <w:tc>
          <w:tcPr>
            <w:tcW w:w="1701" w:type="dxa"/>
            <w:tcBorders>
              <w:top w:val="single" w:sz="8" w:space="0" w:color="auto"/>
              <w:left w:val="nil"/>
              <w:bottom w:val="single" w:sz="8" w:space="0" w:color="auto"/>
              <w:right w:val="single" w:sz="8" w:space="0" w:color="auto"/>
            </w:tcBorders>
            <w:shd w:val="clear" w:color="000000" w:fill="CCFFCC"/>
            <w:vAlign w:val="center"/>
            <w:hideMark/>
          </w:tcPr>
          <w:p w14:paraId="6B756A96" w14:textId="77777777" w:rsidR="00033E98" w:rsidRPr="00033E98" w:rsidRDefault="00033E98" w:rsidP="00033E98">
            <w:pPr>
              <w:spacing w:after="0" w:line="240" w:lineRule="auto"/>
              <w:jc w:val="center"/>
              <w:rPr>
                <w:rFonts w:ascii="Calibri" w:eastAsia="Times New Roman" w:hAnsi="Calibri" w:cs="Arial"/>
                <w:sz w:val="20"/>
                <w:szCs w:val="20"/>
                <w:lang w:eastAsia="cs-CZ"/>
              </w:rPr>
            </w:pPr>
            <w:r w:rsidRPr="00033E98">
              <w:rPr>
                <w:rFonts w:ascii="Calibri" w:eastAsia="Times New Roman" w:hAnsi="Calibri" w:cs="Arial"/>
                <w:sz w:val="20"/>
                <w:szCs w:val="20"/>
                <w:lang w:eastAsia="cs-CZ"/>
              </w:rPr>
              <w:t>Rozpočet po úpravě</w:t>
            </w:r>
          </w:p>
        </w:tc>
        <w:tc>
          <w:tcPr>
            <w:tcW w:w="1701" w:type="dxa"/>
            <w:tcBorders>
              <w:top w:val="single" w:sz="8" w:space="0" w:color="auto"/>
              <w:left w:val="nil"/>
              <w:bottom w:val="single" w:sz="8" w:space="0" w:color="auto"/>
              <w:right w:val="single" w:sz="8" w:space="0" w:color="auto"/>
            </w:tcBorders>
            <w:shd w:val="clear" w:color="000000" w:fill="CCFFCC"/>
            <w:vAlign w:val="center"/>
            <w:hideMark/>
          </w:tcPr>
          <w:p w14:paraId="1286F714" w14:textId="77777777" w:rsidR="00033E98" w:rsidRPr="00033E98" w:rsidRDefault="00033E98" w:rsidP="00033E98">
            <w:pPr>
              <w:spacing w:after="0" w:line="240" w:lineRule="auto"/>
              <w:jc w:val="center"/>
              <w:rPr>
                <w:rFonts w:ascii="Calibri" w:eastAsia="Times New Roman" w:hAnsi="Calibri" w:cs="Arial"/>
                <w:sz w:val="20"/>
                <w:szCs w:val="20"/>
                <w:lang w:eastAsia="cs-CZ"/>
              </w:rPr>
            </w:pPr>
            <w:r w:rsidRPr="00033E98">
              <w:rPr>
                <w:rFonts w:ascii="Calibri" w:eastAsia="Times New Roman" w:hAnsi="Calibri" w:cs="Arial"/>
                <w:sz w:val="20"/>
                <w:szCs w:val="20"/>
                <w:lang w:eastAsia="cs-CZ"/>
              </w:rPr>
              <w:t xml:space="preserve">Skutečnost </w:t>
            </w:r>
          </w:p>
        </w:tc>
        <w:tc>
          <w:tcPr>
            <w:tcW w:w="850" w:type="dxa"/>
            <w:tcBorders>
              <w:top w:val="single" w:sz="8" w:space="0" w:color="auto"/>
              <w:left w:val="nil"/>
              <w:bottom w:val="single" w:sz="8" w:space="0" w:color="auto"/>
              <w:right w:val="single" w:sz="8" w:space="0" w:color="auto"/>
            </w:tcBorders>
            <w:shd w:val="clear" w:color="000000" w:fill="CCFFCC"/>
            <w:vAlign w:val="center"/>
            <w:hideMark/>
          </w:tcPr>
          <w:p w14:paraId="5EC17409" w14:textId="77777777" w:rsidR="00033E98" w:rsidRPr="00033E98" w:rsidRDefault="00033E98" w:rsidP="00033E98">
            <w:pPr>
              <w:spacing w:after="0" w:line="240" w:lineRule="auto"/>
              <w:jc w:val="center"/>
              <w:rPr>
                <w:rFonts w:ascii="Calibri" w:eastAsia="Times New Roman" w:hAnsi="Calibri" w:cs="Arial"/>
                <w:sz w:val="20"/>
                <w:szCs w:val="20"/>
                <w:lang w:eastAsia="cs-CZ"/>
              </w:rPr>
            </w:pPr>
            <w:r w:rsidRPr="00033E98">
              <w:rPr>
                <w:rFonts w:ascii="Calibri" w:eastAsia="Times New Roman" w:hAnsi="Calibri" w:cs="Arial"/>
                <w:sz w:val="20"/>
                <w:szCs w:val="20"/>
                <w:lang w:eastAsia="cs-CZ"/>
              </w:rPr>
              <w:t>% plnění</w:t>
            </w:r>
          </w:p>
        </w:tc>
      </w:tr>
      <w:tr w:rsidR="00033E98" w:rsidRPr="00033E98" w14:paraId="61D27FEF" w14:textId="77777777" w:rsidTr="00D82B5A">
        <w:trPr>
          <w:trHeight w:val="360"/>
        </w:trPr>
        <w:tc>
          <w:tcPr>
            <w:tcW w:w="826" w:type="dxa"/>
            <w:tcBorders>
              <w:top w:val="nil"/>
              <w:left w:val="nil"/>
              <w:bottom w:val="nil"/>
              <w:right w:val="nil"/>
            </w:tcBorders>
            <w:shd w:val="clear" w:color="auto" w:fill="auto"/>
            <w:noWrap/>
            <w:vAlign w:val="bottom"/>
            <w:hideMark/>
          </w:tcPr>
          <w:p w14:paraId="4F95BBDE" w14:textId="77777777" w:rsidR="00033E98" w:rsidRPr="00033E98" w:rsidRDefault="00033E98" w:rsidP="00033E98">
            <w:pPr>
              <w:spacing w:after="0" w:line="240" w:lineRule="auto"/>
              <w:jc w:val="center"/>
              <w:rPr>
                <w:rFonts w:ascii="Calibri" w:eastAsia="Times New Roman" w:hAnsi="Calibri" w:cs="Arial"/>
                <w:sz w:val="20"/>
                <w:szCs w:val="20"/>
                <w:lang w:eastAsia="cs-CZ"/>
              </w:rPr>
            </w:pPr>
          </w:p>
        </w:tc>
        <w:tc>
          <w:tcPr>
            <w:tcW w:w="4253" w:type="dxa"/>
            <w:tcBorders>
              <w:top w:val="nil"/>
              <w:left w:val="nil"/>
              <w:bottom w:val="nil"/>
              <w:right w:val="nil"/>
            </w:tcBorders>
            <w:shd w:val="clear" w:color="auto" w:fill="auto"/>
            <w:noWrap/>
            <w:vAlign w:val="bottom"/>
            <w:hideMark/>
          </w:tcPr>
          <w:p w14:paraId="3E552158" w14:textId="77777777" w:rsidR="00033E98" w:rsidRPr="00033E98" w:rsidRDefault="00033E98" w:rsidP="00033E98">
            <w:pPr>
              <w:spacing w:after="0" w:line="240" w:lineRule="auto"/>
              <w:rPr>
                <w:rFonts w:ascii="Calibri" w:eastAsia="Times New Roman" w:hAnsi="Calibri" w:cs="Arial"/>
                <w:b/>
                <w:bCs/>
                <w:lang w:eastAsia="cs-CZ"/>
              </w:rPr>
            </w:pPr>
            <w:r w:rsidRPr="00033E98">
              <w:rPr>
                <w:rFonts w:ascii="Calibri" w:eastAsia="Times New Roman" w:hAnsi="Calibri" w:cs="Arial"/>
                <w:b/>
                <w:bCs/>
                <w:lang w:eastAsia="cs-CZ"/>
              </w:rPr>
              <w:t xml:space="preserve">Běžné výdaje </w:t>
            </w:r>
          </w:p>
        </w:tc>
        <w:tc>
          <w:tcPr>
            <w:tcW w:w="1559" w:type="dxa"/>
            <w:tcBorders>
              <w:top w:val="nil"/>
              <w:left w:val="nil"/>
              <w:bottom w:val="nil"/>
              <w:right w:val="nil"/>
            </w:tcBorders>
            <w:shd w:val="clear" w:color="auto" w:fill="auto"/>
            <w:noWrap/>
            <w:vAlign w:val="bottom"/>
            <w:hideMark/>
          </w:tcPr>
          <w:p w14:paraId="62ED03CF" w14:textId="77777777" w:rsidR="00033E98" w:rsidRPr="00033E98" w:rsidRDefault="00033E98" w:rsidP="00033E98">
            <w:pPr>
              <w:spacing w:after="0" w:line="240" w:lineRule="auto"/>
              <w:rPr>
                <w:rFonts w:ascii="Calibri" w:eastAsia="Times New Roman" w:hAnsi="Calibri" w:cs="Arial"/>
                <w:b/>
                <w:bCs/>
                <w:lang w:eastAsia="cs-CZ"/>
              </w:rPr>
            </w:pPr>
          </w:p>
        </w:tc>
        <w:tc>
          <w:tcPr>
            <w:tcW w:w="1701" w:type="dxa"/>
            <w:tcBorders>
              <w:top w:val="nil"/>
              <w:left w:val="nil"/>
              <w:bottom w:val="nil"/>
              <w:right w:val="nil"/>
            </w:tcBorders>
            <w:shd w:val="clear" w:color="auto" w:fill="auto"/>
            <w:noWrap/>
            <w:vAlign w:val="bottom"/>
            <w:hideMark/>
          </w:tcPr>
          <w:p w14:paraId="39B80A0B" w14:textId="77777777" w:rsidR="00033E98" w:rsidRPr="00033E98" w:rsidRDefault="00033E98" w:rsidP="00033E98">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64662CC6" w14:textId="77777777" w:rsidR="00033E98" w:rsidRPr="00033E98" w:rsidRDefault="00033E98" w:rsidP="00033E98">
            <w:pPr>
              <w:spacing w:after="0" w:line="240" w:lineRule="auto"/>
              <w:rPr>
                <w:rFonts w:ascii="Times New Roman" w:eastAsia="Times New Roman" w:hAnsi="Times New Roman" w:cs="Times New Roman"/>
                <w:sz w:val="20"/>
                <w:szCs w:val="20"/>
                <w:lang w:eastAsia="cs-CZ"/>
              </w:rPr>
            </w:pPr>
          </w:p>
        </w:tc>
        <w:tc>
          <w:tcPr>
            <w:tcW w:w="850" w:type="dxa"/>
            <w:tcBorders>
              <w:top w:val="nil"/>
              <w:left w:val="nil"/>
              <w:bottom w:val="nil"/>
              <w:right w:val="nil"/>
            </w:tcBorders>
            <w:shd w:val="clear" w:color="auto" w:fill="auto"/>
            <w:noWrap/>
            <w:vAlign w:val="bottom"/>
            <w:hideMark/>
          </w:tcPr>
          <w:p w14:paraId="3ED08D88" w14:textId="77777777" w:rsidR="00033E98" w:rsidRPr="00033E98" w:rsidRDefault="00033E98" w:rsidP="00033E98">
            <w:pPr>
              <w:spacing w:after="0" w:line="240" w:lineRule="auto"/>
              <w:rPr>
                <w:rFonts w:ascii="Times New Roman" w:eastAsia="Times New Roman" w:hAnsi="Times New Roman" w:cs="Times New Roman"/>
                <w:sz w:val="20"/>
                <w:szCs w:val="20"/>
                <w:lang w:eastAsia="cs-CZ"/>
              </w:rPr>
            </w:pPr>
          </w:p>
        </w:tc>
      </w:tr>
      <w:tr w:rsidR="00033E98" w:rsidRPr="00033E98" w14:paraId="3466F178" w14:textId="77777777" w:rsidTr="00D82B5A">
        <w:trPr>
          <w:trHeight w:val="300"/>
        </w:trPr>
        <w:tc>
          <w:tcPr>
            <w:tcW w:w="826" w:type="dxa"/>
            <w:tcBorders>
              <w:top w:val="single" w:sz="8" w:space="0" w:color="auto"/>
              <w:left w:val="single" w:sz="8" w:space="0" w:color="auto"/>
              <w:bottom w:val="single" w:sz="4" w:space="0" w:color="auto"/>
              <w:right w:val="single" w:sz="4" w:space="0" w:color="auto"/>
            </w:tcBorders>
            <w:shd w:val="clear" w:color="000000" w:fill="FFFFFF"/>
            <w:noWrap/>
            <w:vAlign w:val="bottom"/>
            <w:hideMark/>
          </w:tcPr>
          <w:p w14:paraId="6382D262" w14:textId="77777777" w:rsidR="00033E98" w:rsidRPr="00033E98" w:rsidRDefault="00033E98" w:rsidP="00033E98">
            <w:pPr>
              <w:spacing w:after="0" w:line="240" w:lineRule="auto"/>
              <w:jc w:val="center"/>
              <w:rPr>
                <w:rFonts w:ascii="Calibri" w:eastAsia="Times New Roman" w:hAnsi="Calibri" w:cs="Arial"/>
                <w:sz w:val="20"/>
                <w:szCs w:val="20"/>
                <w:lang w:eastAsia="cs-CZ"/>
              </w:rPr>
            </w:pPr>
            <w:r w:rsidRPr="00033E98">
              <w:rPr>
                <w:rFonts w:ascii="Calibri" w:eastAsia="Times New Roman" w:hAnsi="Calibri" w:cs="Arial"/>
                <w:sz w:val="20"/>
                <w:szCs w:val="20"/>
                <w:lang w:eastAsia="cs-CZ"/>
              </w:rPr>
              <w:t>2212</w:t>
            </w:r>
          </w:p>
        </w:tc>
        <w:tc>
          <w:tcPr>
            <w:tcW w:w="4253" w:type="dxa"/>
            <w:tcBorders>
              <w:top w:val="single" w:sz="8" w:space="0" w:color="auto"/>
              <w:left w:val="nil"/>
              <w:bottom w:val="single" w:sz="4" w:space="0" w:color="auto"/>
              <w:right w:val="single" w:sz="4" w:space="0" w:color="auto"/>
            </w:tcBorders>
            <w:shd w:val="clear" w:color="auto" w:fill="auto"/>
            <w:vAlign w:val="bottom"/>
            <w:hideMark/>
          </w:tcPr>
          <w:p w14:paraId="2CCDDC49" w14:textId="77777777" w:rsidR="00033E98" w:rsidRPr="00033E98" w:rsidRDefault="00033E98" w:rsidP="00033E98">
            <w:pPr>
              <w:spacing w:after="0" w:line="240" w:lineRule="auto"/>
              <w:rPr>
                <w:rFonts w:ascii="Calibri" w:eastAsia="Times New Roman" w:hAnsi="Calibri" w:cs="Arial"/>
                <w:sz w:val="20"/>
                <w:szCs w:val="20"/>
                <w:lang w:eastAsia="cs-CZ"/>
              </w:rPr>
            </w:pPr>
            <w:r w:rsidRPr="00033E98">
              <w:rPr>
                <w:rFonts w:ascii="Calibri" w:eastAsia="Times New Roman" w:hAnsi="Calibri" w:cs="Arial"/>
                <w:sz w:val="20"/>
                <w:szCs w:val="20"/>
                <w:lang w:eastAsia="cs-CZ"/>
              </w:rPr>
              <w:t>Silnice</w:t>
            </w:r>
          </w:p>
        </w:tc>
        <w:tc>
          <w:tcPr>
            <w:tcW w:w="1559" w:type="dxa"/>
            <w:tcBorders>
              <w:top w:val="single" w:sz="8" w:space="0" w:color="auto"/>
              <w:left w:val="nil"/>
              <w:bottom w:val="single" w:sz="4" w:space="0" w:color="auto"/>
              <w:right w:val="single" w:sz="4" w:space="0" w:color="auto"/>
            </w:tcBorders>
            <w:shd w:val="clear" w:color="auto" w:fill="auto"/>
            <w:noWrap/>
            <w:vAlign w:val="bottom"/>
            <w:hideMark/>
          </w:tcPr>
          <w:p w14:paraId="70889876"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7 050 000</w:t>
            </w:r>
          </w:p>
        </w:tc>
        <w:tc>
          <w:tcPr>
            <w:tcW w:w="1701" w:type="dxa"/>
            <w:tcBorders>
              <w:top w:val="single" w:sz="8" w:space="0" w:color="auto"/>
              <w:left w:val="nil"/>
              <w:bottom w:val="single" w:sz="4" w:space="0" w:color="auto"/>
              <w:right w:val="single" w:sz="4" w:space="0" w:color="auto"/>
            </w:tcBorders>
            <w:shd w:val="clear" w:color="000000" w:fill="FFFFFF"/>
            <w:noWrap/>
            <w:vAlign w:val="bottom"/>
            <w:hideMark/>
          </w:tcPr>
          <w:p w14:paraId="434DCCB2"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7 580 092,56</w:t>
            </w:r>
          </w:p>
        </w:tc>
        <w:tc>
          <w:tcPr>
            <w:tcW w:w="1701" w:type="dxa"/>
            <w:tcBorders>
              <w:top w:val="single" w:sz="8" w:space="0" w:color="auto"/>
              <w:left w:val="nil"/>
              <w:bottom w:val="single" w:sz="4" w:space="0" w:color="auto"/>
              <w:right w:val="single" w:sz="4" w:space="0" w:color="auto"/>
            </w:tcBorders>
            <w:shd w:val="clear" w:color="000000" w:fill="FFFFFF"/>
            <w:noWrap/>
            <w:vAlign w:val="bottom"/>
            <w:hideMark/>
          </w:tcPr>
          <w:p w14:paraId="1AB29CD0"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4 979 428,62</w:t>
            </w:r>
          </w:p>
        </w:tc>
        <w:tc>
          <w:tcPr>
            <w:tcW w:w="850" w:type="dxa"/>
            <w:tcBorders>
              <w:top w:val="single" w:sz="8" w:space="0" w:color="auto"/>
              <w:left w:val="nil"/>
              <w:bottom w:val="single" w:sz="4" w:space="0" w:color="auto"/>
              <w:right w:val="single" w:sz="8" w:space="0" w:color="auto"/>
            </w:tcBorders>
            <w:shd w:val="clear" w:color="auto" w:fill="auto"/>
            <w:noWrap/>
            <w:vAlign w:val="bottom"/>
            <w:hideMark/>
          </w:tcPr>
          <w:p w14:paraId="51368A5D"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65,7</w:t>
            </w:r>
          </w:p>
        </w:tc>
      </w:tr>
      <w:tr w:rsidR="00033E98" w:rsidRPr="00033E98" w14:paraId="301222FF" w14:textId="77777777" w:rsidTr="00D82B5A">
        <w:trPr>
          <w:trHeight w:val="52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6C4A60B5" w14:textId="77777777" w:rsidR="00033E98" w:rsidRPr="00033E98" w:rsidRDefault="00033E98" w:rsidP="00033E98">
            <w:pPr>
              <w:spacing w:after="0" w:line="240" w:lineRule="auto"/>
              <w:jc w:val="center"/>
              <w:rPr>
                <w:rFonts w:ascii="Calibri" w:eastAsia="Times New Roman" w:hAnsi="Calibri" w:cs="Arial"/>
                <w:sz w:val="20"/>
                <w:szCs w:val="20"/>
                <w:lang w:eastAsia="cs-CZ"/>
              </w:rPr>
            </w:pPr>
            <w:r w:rsidRPr="00033E98">
              <w:rPr>
                <w:rFonts w:ascii="Calibri" w:eastAsia="Times New Roman" w:hAnsi="Calibri" w:cs="Arial"/>
                <w:sz w:val="20"/>
                <w:szCs w:val="20"/>
                <w:lang w:eastAsia="cs-CZ"/>
              </w:rPr>
              <w:t>2212</w:t>
            </w:r>
          </w:p>
        </w:tc>
        <w:tc>
          <w:tcPr>
            <w:tcW w:w="4253" w:type="dxa"/>
            <w:tcBorders>
              <w:top w:val="nil"/>
              <w:left w:val="nil"/>
              <w:bottom w:val="single" w:sz="4" w:space="0" w:color="auto"/>
              <w:right w:val="single" w:sz="4" w:space="0" w:color="auto"/>
            </w:tcBorders>
            <w:shd w:val="clear" w:color="auto" w:fill="auto"/>
            <w:vAlign w:val="bottom"/>
            <w:hideMark/>
          </w:tcPr>
          <w:p w14:paraId="7C6CF0F8" w14:textId="77777777" w:rsidR="00033E98" w:rsidRPr="00033E98" w:rsidRDefault="00033E98" w:rsidP="00033E98">
            <w:pPr>
              <w:spacing w:after="0" w:line="240" w:lineRule="auto"/>
              <w:rPr>
                <w:rFonts w:ascii="Calibri" w:eastAsia="Times New Roman" w:hAnsi="Calibri" w:cs="Arial"/>
                <w:sz w:val="20"/>
                <w:szCs w:val="20"/>
                <w:lang w:eastAsia="cs-CZ"/>
              </w:rPr>
            </w:pPr>
            <w:r w:rsidRPr="00033E98">
              <w:rPr>
                <w:rFonts w:ascii="Calibri" w:eastAsia="Times New Roman" w:hAnsi="Calibri" w:cs="Arial"/>
                <w:sz w:val="20"/>
                <w:szCs w:val="20"/>
                <w:lang w:eastAsia="cs-CZ"/>
              </w:rPr>
              <w:t xml:space="preserve">Silnice - příspěvek příspěvkové organizaci Krajská správa a údržba silnic Středočeského kraje </w:t>
            </w:r>
          </w:p>
        </w:tc>
        <w:tc>
          <w:tcPr>
            <w:tcW w:w="1559" w:type="dxa"/>
            <w:tcBorders>
              <w:top w:val="nil"/>
              <w:left w:val="nil"/>
              <w:bottom w:val="single" w:sz="4" w:space="0" w:color="auto"/>
              <w:right w:val="single" w:sz="4" w:space="0" w:color="auto"/>
            </w:tcBorders>
            <w:shd w:val="clear" w:color="auto" w:fill="auto"/>
            <w:noWrap/>
            <w:vAlign w:val="bottom"/>
            <w:hideMark/>
          </w:tcPr>
          <w:p w14:paraId="7A65459D"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1 457 702 000</w:t>
            </w:r>
          </w:p>
        </w:tc>
        <w:tc>
          <w:tcPr>
            <w:tcW w:w="1701" w:type="dxa"/>
            <w:tcBorders>
              <w:top w:val="nil"/>
              <w:left w:val="nil"/>
              <w:bottom w:val="single" w:sz="4" w:space="0" w:color="auto"/>
              <w:right w:val="single" w:sz="4" w:space="0" w:color="auto"/>
            </w:tcBorders>
            <w:shd w:val="clear" w:color="auto" w:fill="auto"/>
            <w:noWrap/>
            <w:vAlign w:val="bottom"/>
            <w:hideMark/>
          </w:tcPr>
          <w:p w14:paraId="1A2C8B0D"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1 874 092 064,40</w:t>
            </w:r>
          </w:p>
        </w:tc>
        <w:tc>
          <w:tcPr>
            <w:tcW w:w="1701" w:type="dxa"/>
            <w:tcBorders>
              <w:top w:val="nil"/>
              <w:left w:val="nil"/>
              <w:bottom w:val="single" w:sz="4" w:space="0" w:color="auto"/>
              <w:right w:val="single" w:sz="4" w:space="0" w:color="auto"/>
            </w:tcBorders>
            <w:shd w:val="clear" w:color="auto" w:fill="auto"/>
            <w:noWrap/>
            <w:vAlign w:val="bottom"/>
            <w:hideMark/>
          </w:tcPr>
          <w:p w14:paraId="39DF44AB"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1 874 092 064,40</w:t>
            </w:r>
          </w:p>
        </w:tc>
        <w:tc>
          <w:tcPr>
            <w:tcW w:w="850" w:type="dxa"/>
            <w:tcBorders>
              <w:top w:val="nil"/>
              <w:left w:val="nil"/>
              <w:bottom w:val="single" w:sz="4" w:space="0" w:color="auto"/>
              <w:right w:val="single" w:sz="8" w:space="0" w:color="auto"/>
            </w:tcBorders>
            <w:shd w:val="clear" w:color="auto" w:fill="auto"/>
            <w:noWrap/>
            <w:vAlign w:val="bottom"/>
            <w:hideMark/>
          </w:tcPr>
          <w:p w14:paraId="455A30E2"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100,0</w:t>
            </w:r>
          </w:p>
        </w:tc>
      </w:tr>
      <w:tr w:rsidR="00033E98" w:rsidRPr="00033E98" w14:paraId="53B29DEC" w14:textId="77777777" w:rsidTr="00D82B5A">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42D562C2" w14:textId="77777777" w:rsidR="00033E98" w:rsidRPr="00033E98" w:rsidRDefault="00033E98" w:rsidP="00033E98">
            <w:pPr>
              <w:spacing w:after="0" w:line="240" w:lineRule="auto"/>
              <w:jc w:val="center"/>
              <w:rPr>
                <w:rFonts w:ascii="Calibri" w:eastAsia="Times New Roman" w:hAnsi="Calibri" w:cs="Arial"/>
                <w:i/>
                <w:iCs/>
                <w:sz w:val="20"/>
                <w:szCs w:val="20"/>
                <w:lang w:eastAsia="cs-CZ"/>
              </w:rPr>
            </w:pPr>
            <w:r w:rsidRPr="00033E98">
              <w:rPr>
                <w:rFonts w:ascii="Calibri" w:eastAsia="Times New Roman" w:hAnsi="Calibri" w:cs="Arial"/>
                <w:i/>
                <w:iCs/>
                <w:sz w:val="20"/>
                <w:szCs w:val="20"/>
                <w:lang w:eastAsia="cs-CZ"/>
              </w:rPr>
              <w:t> </w:t>
            </w:r>
          </w:p>
        </w:tc>
        <w:tc>
          <w:tcPr>
            <w:tcW w:w="10064" w:type="dxa"/>
            <w:gridSpan w:val="5"/>
            <w:tcBorders>
              <w:top w:val="single" w:sz="4" w:space="0" w:color="auto"/>
              <w:left w:val="nil"/>
              <w:bottom w:val="single" w:sz="4" w:space="0" w:color="auto"/>
              <w:right w:val="single" w:sz="8" w:space="0" w:color="000000"/>
            </w:tcBorders>
            <w:shd w:val="clear" w:color="auto" w:fill="auto"/>
            <w:vAlign w:val="bottom"/>
            <w:hideMark/>
          </w:tcPr>
          <w:p w14:paraId="0F3A8951" w14:textId="77777777" w:rsidR="00033E98" w:rsidRPr="00033E98" w:rsidRDefault="00033E98" w:rsidP="00033E98">
            <w:pPr>
              <w:spacing w:after="0" w:line="240" w:lineRule="auto"/>
              <w:rPr>
                <w:rFonts w:ascii="Calibri" w:eastAsia="Times New Roman" w:hAnsi="Calibri" w:cs="Arial"/>
                <w:sz w:val="20"/>
                <w:szCs w:val="20"/>
                <w:lang w:eastAsia="cs-CZ"/>
              </w:rPr>
            </w:pPr>
            <w:r w:rsidRPr="00033E98">
              <w:rPr>
                <w:rFonts w:ascii="Calibri" w:eastAsia="Times New Roman" w:hAnsi="Calibri" w:cs="Arial"/>
                <w:sz w:val="20"/>
                <w:szCs w:val="20"/>
                <w:lang w:eastAsia="cs-CZ"/>
              </w:rPr>
              <w:t>z toho:</w:t>
            </w:r>
          </w:p>
        </w:tc>
      </w:tr>
      <w:tr w:rsidR="00033E98" w:rsidRPr="00033E98" w14:paraId="32DA7D48" w14:textId="77777777" w:rsidTr="00D82B5A">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06615B1A" w14:textId="77777777" w:rsidR="00033E98" w:rsidRPr="00033E98" w:rsidRDefault="00033E98" w:rsidP="00033E98">
            <w:pPr>
              <w:spacing w:after="0" w:line="240" w:lineRule="auto"/>
              <w:jc w:val="center"/>
              <w:rPr>
                <w:rFonts w:ascii="Calibri" w:eastAsia="Times New Roman" w:hAnsi="Calibri" w:cs="Arial"/>
                <w:i/>
                <w:iCs/>
                <w:sz w:val="20"/>
                <w:szCs w:val="20"/>
                <w:lang w:eastAsia="cs-CZ"/>
              </w:rPr>
            </w:pPr>
            <w:r w:rsidRPr="00033E98">
              <w:rPr>
                <w:rFonts w:ascii="Calibri" w:eastAsia="Times New Roman" w:hAnsi="Calibri" w:cs="Arial"/>
                <w:i/>
                <w:iCs/>
                <w:sz w:val="20"/>
                <w:szCs w:val="20"/>
                <w:lang w:eastAsia="cs-CZ"/>
              </w:rPr>
              <w:t> </w:t>
            </w:r>
          </w:p>
        </w:tc>
        <w:tc>
          <w:tcPr>
            <w:tcW w:w="4253" w:type="dxa"/>
            <w:tcBorders>
              <w:top w:val="nil"/>
              <w:left w:val="nil"/>
              <w:bottom w:val="single" w:sz="4" w:space="0" w:color="auto"/>
              <w:right w:val="single" w:sz="4" w:space="0" w:color="auto"/>
            </w:tcBorders>
            <w:shd w:val="clear" w:color="auto" w:fill="auto"/>
            <w:vAlign w:val="bottom"/>
            <w:hideMark/>
          </w:tcPr>
          <w:p w14:paraId="5FF0AB4B" w14:textId="77777777" w:rsidR="00033E98" w:rsidRPr="00033E98" w:rsidRDefault="00033E98" w:rsidP="00033E98">
            <w:pPr>
              <w:spacing w:after="0" w:line="240" w:lineRule="auto"/>
              <w:rPr>
                <w:rFonts w:ascii="Calibri" w:eastAsia="Times New Roman" w:hAnsi="Calibri" w:cs="Arial"/>
                <w:i/>
                <w:iCs/>
                <w:sz w:val="20"/>
                <w:szCs w:val="20"/>
                <w:lang w:eastAsia="cs-CZ"/>
              </w:rPr>
            </w:pPr>
            <w:r w:rsidRPr="00033E98">
              <w:rPr>
                <w:rFonts w:ascii="Calibri" w:eastAsia="Times New Roman" w:hAnsi="Calibri" w:cs="Arial"/>
                <w:i/>
                <w:iCs/>
                <w:sz w:val="20"/>
                <w:szCs w:val="20"/>
                <w:lang w:eastAsia="cs-CZ"/>
              </w:rPr>
              <w:t>příspěvek na provoz</w:t>
            </w:r>
          </w:p>
        </w:tc>
        <w:tc>
          <w:tcPr>
            <w:tcW w:w="1559" w:type="dxa"/>
            <w:tcBorders>
              <w:top w:val="nil"/>
              <w:left w:val="nil"/>
              <w:bottom w:val="single" w:sz="4" w:space="0" w:color="auto"/>
              <w:right w:val="single" w:sz="4" w:space="0" w:color="auto"/>
            </w:tcBorders>
            <w:shd w:val="clear" w:color="auto" w:fill="auto"/>
            <w:noWrap/>
            <w:vAlign w:val="bottom"/>
            <w:hideMark/>
          </w:tcPr>
          <w:p w14:paraId="2EE83497" w14:textId="77777777" w:rsidR="00033E98" w:rsidRPr="00033E98" w:rsidRDefault="00033E98" w:rsidP="00033E98">
            <w:pPr>
              <w:spacing w:after="0" w:line="240" w:lineRule="auto"/>
              <w:jc w:val="right"/>
              <w:rPr>
                <w:rFonts w:ascii="Calibri" w:eastAsia="Times New Roman" w:hAnsi="Calibri" w:cs="Arial"/>
                <w:i/>
                <w:iCs/>
                <w:sz w:val="20"/>
                <w:szCs w:val="20"/>
                <w:lang w:eastAsia="cs-CZ"/>
              </w:rPr>
            </w:pPr>
            <w:r w:rsidRPr="00033E98">
              <w:rPr>
                <w:rFonts w:ascii="Calibri" w:eastAsia="Times New Roman" w:hAnsi="Calibri" w:cs="Arial"/>
                <w:i/>
                <w:iCs/>
                <w:sz w:val="20"/>
                <w:szCs w:val="20"/>
                <w:lang w:eastAsia="cs-CZ"/>
              </w:rPr>
              <w:t>96 132 000</w:t>
            </w:r>
          </w:p>
        </w:tc>
        <w:tc>
          <w:tcPr>
            <w:tcW w:w="1701" w:type="dxa"/>
            <w:tcBorders>
              <w:top w:val="nil"/>
              <w:left w:val="nil"/>
              <w:bottom w:val="single" w:sz="4" w:space="0" w:color="auto"/>
              <w:right w:val="single" w:sz="4" w:space="0" w:color="auto"/>
            </w:tcBorders>
            <w:shd w:val="clear" w:color="auto" w:fill="auto"/>
            <w:noWrap/>
            <w:vAlign w:val="bottom"/>
            <w:hideMark/>
          </w:tcPr>
          <w:p w14:paraId="1D363E41" w14:textId="77777777" w:rsidR="00033E98" w:rsidRPr="00033E98" w:rsidRDefault="00033E98" w:rsidP="00033E98">
            <w:pPr>
              <w:spacing w:after="0" w:line="240" w:lineRule="auto"/>
              <w:jc w:val="right"/>
              <w:rPr>
                <w:rFonts w:ascii="Calibri" w:eastAsia="Times New Roman" w:hAnsi="Calibri" w:cs="Arial"/>
                <w:i/>
                <w:iCs/>
                <w:sz w:val="20"/>
                <w:szCs w:val="20"/>
                <w:lang w:eastAsia="cs-CZ"/>
              </w:rPr>
            </w:pPr>
            <w:r w:rsidRPr="00033E98">
              <w:rPr>
                <w:rFonts w:ascii="Calibri" w:eastAsia="Times New Roman" w:hAnsi="Calibri" w:cs="Arial"/>
                <w:i/>
                <w:iCs/>
                <w:sz w:val="20"/>
                <w:szCs w:val="20"/>
                <w:lang w:eastAsia="cs-CZ"/>
              </w:rPr>
              <w:t>126 930 358,00</w:t>
            </w:r>
          </w:p>
        </w:tc>
        <w:tc>
          <w:tcPr>
            <w:tcW w:w="1701" w:type="dxa"/>
            <w:tcBorders>
              <w:top w:val="nil"/>
              <w:left w:val="nil"/>
              <w:bottom w:val="single" w:sz="4" w:space="0" w:color="auto"/>
              <w:right w:val="single" w:sz="4" w:space="0" w:color="auto"/>
            </w:tcBorders>
            <w:shd w:val="clear" w:color="auto" w:fill="auto"/>
            <w:noWrap/>
            <w:vAlign w:val="bottom"/>
            <w:hideMark/>
          </w:tcPr>
          <w:p w14:paraId="44FEFC56" w14:textId="77777777" w:rsidR="00033E98" w:rsidRPr="00033E98" w:rsidRDefault="00033E98" w:rsidP="00033E98">
            <w:pPr>
              <w:spacing w:after="0" w:line="240" w:lineRule="auto"/>
              <w:jc w:val="right"/>
              <w:rPr>
                <w:rFonts w:ascii="Calibri" w:eastAsia="Times New Roman" w:hAnsi="Calibri" w:cs="Arial"/>
                <w:i/>
                <w:iCs/>
                <w:sz w:val="20"/>
                <w:szCs w:val="20"/>
                <w:lang w:eastAsia="cs-CZ"/>
              </w:rPr>
            </w:pPr>
            <w:r w:rsidRPr="00033E98">
              <w:rPr>
                <w:rFonts w:ascii="Calibri" w:eastAsia="Times New Roman" w:hAnsi="Calibri" w:cs="Arial"/>
                <w:i/>
                <w:iCs/>
                <w:sz w:val="20"/>
                <w:szCs w:val="20"/>
                <w:lang w:eastAsia="cs-CZ"/>
              </w:rPr>
              <w:t>126 930 358,00</w:t>
            </w:r>
          </w:p>
        </w:tc>
        <w:tc>
          <w:tcPr>
            <w:tcW w:w="850" w:type="dxa"/>
            <w:tcBorders>
              <w:top w:val="nil"/>
              <w:left w:val="nil"/>
              <w:bottom w:val="single" w:sz="4" w:space="0" w:color="auto"/>
              <w:right w:val="single" w:sz="8" w:space="0" w:color="auto"/>
            </w:tcBorders>
            <w:shd w:val="clear" w:color="auto" w:fill="auto"/>
            <w:noWrap/>
            <w:vAlign w:val="bottom"/>
            <w:hideMark/>
          </w:tcPr>
          <w:p w14:paraId="052335FA" w14:textId="77777777" w:rsidR="00033E98" w:rsidRPr="00033E98" w:rsidRDefault="00033E98" w:rsidP="00033E98">
            <w:pPr>
              <w:spacing w:after="0" w:line="240" w:lineRule="auto"/>
              <w:jc w:val="right"/>
              <w:rPr>
                <w:rFonts w:ascii="Calibri" w:eastAsia="Times New Roman" w:hAnsi="Calibri" w:cs="Arial"/>
                <w:i/>
                <w:iCs/>
                <w:sz w:val="20"/>
                <w:szCs w:val="20"/>
                <w:lang w:eastAsia="cs-CZ"/>
              </w:rPr>
            </w:pPr>
            <w:r w:rsidRPr="00033E98">
              <w:rPr>
                <w:rFonts w:ascii="Calibri" w:eastAsia="Times New Roman" w:hAnsi="Calibri" w:cs="Arial"/>
                <w:i/>
                <w:iCs/>
                <w:sz w:val="20"/>
                <w:szCs w:val="20"/>
                <w:lang w:eastAsia="cs-CZ"/>
              </w:rPr>
              <w:t>100,0</w:t>
            </w:r>
          </w:p>
        </w:tc>
      </w:tr>
      <w:tr w:rsidR="00033E98" w:rsidRPr="00033E98" w14:paraId="157FCA75" w14:textId="77777777" w:rsidTr="00D82B5A">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0304F53F" w14:textId="77777777" w:rsidR="00033E98" w:rsidRPr="00033E98" w:rsidRDefault="00033E98" w:rsidP="00033E98">
            <w:pPr>
              <w:spacing w:after="0" w:line="240" w:lineRule="auto"/>
              <w:jc w:val="center"/>
              <w:rPr>
                <w:rFonts w:ascii="Calibri" w:eastAsia="Times New Roman" w:hAnsi="Calibri" w:cs="Arial"/>
                <w:i/>
                <w:iCs/>
                <w:sz w:val="20"/>
                <w:szCs w:val="20"/>
                <w:lang w:eastAsia="cs-CZ"/>
              </w:rPr>
            </w:pPr>
            <w:r w:rsidRPr="00033E98">
              <w:rPr>
                <w:rFonts w:ascii="Calibri" w:eastAsia="Times New Roman" w:hAnsi="Calibri" w:cs="Arial"/>
                <w:i/>
                <w:iCs/>
                <w:sz w:val="20"/>
                <w:szCs w:val="20"/>
                <w:lang w:eastAsia="cs-CZ"/>
              </w:rPr>
              <w:t> </w:t>
            </w:r>
          </w:p>
        </w:tc>
        <w:tc>
          <w:tcPr>
            <w:tcW w:w="4253" w:type="dxa"/>
            <w:tcBorders>
              <w:top w:val="nil"/>
              <w:left w:val="nil"/>
              <w:bottom w:val="single" w:sz="4" w:space="0" w:color="auto"/>
              <w:right w:val="single" w:sz="4" w:space="0" w:color="auto"/>
            </w:tcBorders>
            <w:shd w:val="clear" w:color="auto" w:fill="auto"/>
            <w:vAlign w:val="bottom"/>
            <w:hideMark/>
          </w:tcPr>
          <w:p w14:paraId="70412D4D" w14:textId="77777777" w:rsidR="00033E98" w:rsidRPr="00033E98" w:rsidRDefault="00033E98" w:rsidP="00033E98">
            <w:pPr>
              <w:spacing w:after="0" w:line="240" w:lineRule="auto"/>
              <w:rPr>
                <w:rFonts w:ascii="Calibri" w:eastAsia="Times New Roman" w:hAnsi="Calibri" w:cs="Arial"/>
                <w:i/>
                <w:iCs/>
                <w:sz w:val="20"/>
                <w:szCs w:val="20"/>
                <w:lang w:eastAsia="cs-CZ"/>
              </w:rPr>
            </w:pPr>
            <w:r w:rsidRPr="00033E98">
              <w:rPr>
                <w:rFonts w:ascii="Calibri" w:eastAsia="Times New Roman" w:hAnsi="Calibri" w:cs="Arial"/>
                <w:i/>
                <w:iCs/>
                <w:sz w:val="20"/>
                <w:szCs w:val="20"/>
                <w:lang w:eastAsia="cs-CZ"/>
              </w:rPr>
              <w:t>příspěvek na mzdové výdaje</w:t>
            </w:r>
          </w:p>
        </w:tc>
        <w:tc>
          <w:tcPr>
            <w:tcW w:w="1559" w:type="dxa"/>
            <w:tcBorders>
              <w:top w:val="nil"/>
              <w:left w:val="nil"/>
              <w:bottom w:val="single" w:sz="4" w:space="0" w:color="auto"/>
              <w:right w:val="single" w:sz="4" w:space="0" w:color="auto"/>
            </w:tcBorders>
            <w:shd w:val="clear" w:color="auto" w:fill="auto"/>
            <w:noWrap/>
            <w:vAlign w:val="bottom"/>
            <w:hideMark/>
          </w:tcPr>
          <w:p w14:paraId="0F73E4C1" w14:textId="77777777" w:rsidR="00033E98" w:rsidRPr="00033E98" w:rsidRDefault="00033E98" w:rsidP="00033E98">
            <w:pPr>
              <w:spacing w:after="0" w:line="240" w:lineRule="auto"/>
              <w:jc w:val="right"/>
              <w:rPr>
                <w:rFonts w:ascii="Calibri" w:eastAsia="Times New Roman" w:hAnsi="Calibri" w:cs="Arial"/>
                <w:i/>
                <w:iCs/>
                <w:sz w:val="20"/>
                <w:szCs w:val="20"/>
                <w:lang w:eastAsia="cs-CZ"/>
              </w:rPr>
            </w:pPr>
            <w:r w:rsidRPr="00033E98">
              <w:rPr>
                <w:rFonts w:ascii="Calibri" w:eastAsia="Times New Roman" w:hAnsi="Calibri" w:cs="Arial"/>
                <w:i/>
                <w:iCs/>
                <w:sz w:val="20"/>
                <w:szCs w:val="20"/>
                <w:lang w:eastAsia="cs-CZ"/>
              </w:rPr>
              <w:t>123 275 000</w:t>
            </w:r>
          </w:p>
        </w:tc>
        <w:tc>
          <w:tcPr>
            <w:tcW w:w="1701" w:type="dxa"/>
            <w:tcBorders>
              <w:top w:val="nil"/>
              <w:left w:val="nil"/>
              <w:bottom w:val="single" w:sz="4" w:space="0" w:color="auto"/>
              <w:right w:val="single" w:sz="4" w:space="0" w:color="auto"/>
            </w:tcBorders>
            <w:shd w:val="clear" w:color="auto" w:fill="auto"/>
            <w:noWrap/>
            <w:vAlign w:val="bottom"/>
            <w:hideMark/>
          </w:tcPr>
          <w:p w14:paraId="6C1B7B61" w14:textId="77777777" w:rsidR="00033E98" w:rsidRPr="00033E98" w:rsidRDefault="00033E98" w:rsidP="00033E98">
            <w:pPr>
              <w:spacing w:after="0" w:line="240" w:lineRule="auto"/>
              <w:jc w:val="right"/>
              <w:rPr>
                <w:rFonts w:ascii="Calibri" w:eastAsia="Times New Roman" w:hAnsi="Calibri" w:cs="Arial"/>
                <w:i/>
                <w:iCs/>
                <w:sz w:val="20"/>
                <w:szCs w:val="20"/>
                <w:lang w:eastAsia="cs-CZ"/>
              </w:rPr>
            </w:pPr>
            <w:r w:rsidRPr="00033E98">
              <w:rPr>
                <w:rFonts w:ascii="Calibri" w:eastAsia="Times New Roman" w:hAnsi="Calibri" w:cs="Arial"/>
                <w:i/>
                <w:iCs/>
                <w:sz w:val="20"/>
                <w:szCs w:val="20"/>
                <w:lang w:eastAsia="cs-CZ"/>
              </w:rPr>
              <w:t>124 827 080,00</w:t>
            </w:r>
          </w:p>
        </w:tc>
        <w:tc>
          <w:tcPr>
            <w:tcW w:w="1701" w:type="dxa"/>
            <w:tcBorders>
              <w:top w:val="nil"/>
              <w:left w:val="nil"/>
              <w:bottom w:val="single" w:sz="4" w:space="0" w:color="auto"/>
              <w:right w:val="single" w:sz="4" w:space="0" w:color="auto"/>
            </w:tcBorders>
            <w:shd w:val="clear" w:color="auto" w:fill="auto"/>
            <w:noWrap/>
            <w:vAlign w:val="bottom"/>
            <w:hideMark/>
          </w:tcPr>
          <w:p w14:paraId="75592C13" w14:textId="77777777" w:rsidR="00033E98" w:rsidRPr="00033E98" w:rsidRDefault="00033E98" w:rsidP="00033E98">
            <w:pPr>
              <w:spacing w:after="0" w:line="240" w:lineRule="auto"/>
              <w:jc w:val="right"/>
              <w:rPr>
                <w:rFonts w:ascii="Calibri" w:eastAsia="Times New Roman" w:hAnsi="Calibri" w:cs="Arial"/>
                <w:i/>
                <w:iCs/>
                <w:sz w:val="20"/>
                <w:szCs w:val="20"/>
                <w:lang w:eastAsia="cs-CZ"/>
              </w:rPr>
            </w:pPr>
            <w:r w:rsidRPr="00033E98">
              <w:rPr>
                <w:rFonts w:ascii="Calibri" w:eastAsia="Times New Roman" w:hAnsi="Calibri" w:cs="Arial"/>
                <w:i/>
                <w:iCs/>
                <w:sz w:val="20"/>
                <w:szCs w:val="20"/>
                <w:lang w:eastAsia="cs-CZ"/>
              </w:rPr>
              <w:t>124 827 080,00</w:t>
            </w:r>
          </w:p>
        </w:tc>
        <w:tc>
          <w:tcPr>
            <w:tcW w:w="850" w:type="dxa"/>
            <w:tcBorders>
              <w:top w:val="nil"/>
              <w:left w:val="nil"/>
              <w:bottom w:val="single" w:sz="4" w:space="0" w:color="auto"/>
              <w:right w:val="single" w:sz="8" w:space="0" w:color="auto"/>
            </w:tcBorders>
            <w:shd w:val="clear" w:color="auto" w:fill="auto"/>
            <w:noWrap/>
            <w:vAlign w:val="bottom"/>
            <w:hideMark/>
          </w:tcPr>
          <w:p w14:paraId="78FCCE35" w14:textId="77777777" w:rsidR="00033E98" w:rsidRPr="00033E98" w:rsidRDefault="00033E98" w:rsidP="00033E98">
            <w:pPr>
              <w:spacing w:after="0" w:line="240" w:lineRule="auto"/>
              <w:jc w:val="right"/>
              <w:rPr>
                <w:rFonts w:ascii="Calibri" w:eastAsia="Times New Roman" w:hAnsi="Calibri" w:cs="Arial"/>
                <w:i/>
                <w:iCs/>
                <w:sz w:val="20"/>
                <w:szCs w:val="20"/>
                <w:lang w:eastAsia="cs-CZ"/>
              </w:rPr>
            </w:pPr>
            <w:r w:rsidRPr="00033E98">
              <w:rPr>
                <w:rFonts w:ascii="Calibri" w:eastAsia="Times New Roman" w:hAnsi="Calibri" w:cs="Arial"/>
                <w:i/>
                <w:iCs/>
                <w:sz w:val="20"/>
                <w:szCs w:val="20"/>
                <w:lang w:eastAsia="cs-CZ"/>
              </w:rPr>
              <w:t>100,0</w:t>
            </w:r>
          </w:p>
        </w:tc>
      </w:tr>
      <w:tr w:rsidR="00033E98" w:rsidRPr="00033E98" w14:paraId="39006A15" w14:textId="77777777" w:rsidTr="00D82B5A">
        <w:trPr>
          <w:trHeight w:val="300"/>
        </w:trPr>
        <w:tc>
          <w:tcPr>
            <w:tcW w:w="826" w:type="dxa"/>
            <w:tcBorders>
              <w:top w:val="nil"/>
              <w:left w:val="single" w:sz="8" w:space="0" w:color="auto"/>
              <w:bottom w:val="nil"/>
              <w:right w:val="single" w:sz="4" w:space="0" w:color="auto"/>
            </w:tcBorders>
            <w:shd w:val="clear" w:color="000000" w:fill="FFFFFF"/>
            <w:noWrap/>
            <w:vAlign w:val="bottom"/>
            <w:hideMark/>
          </w:tcPr>
          <w:p w14:paraId="6286A013" w14:textId="77777777" w:rsidR="00033E98" w:rsidRPr="00033E98" w:rsidRDefault="00033E98" w:rsidP="00033E98">
            <w:pPr>
              <w:spacing w:after="0" w:line="240" w:lineRule="auto"/>
              <w:jc w:val="center"/>
              <w:rPr>
                <w:rFonts w:ascii="Calibri" w:eastAsia="Times New Roman" w:hAnsi="Calibri" w:cs="Arial"/>
                <w:i/>
                <w:iCs/>
                <w:sz w:val="20"/>
                <w:szCs w:val="20"/>
                <w:lang w:eastAsia="cs-CZ"/>
              </w:rPr>
            </w:pPr>
            <w:r w:rsidRPr="00033E98">
              <w:rPr>
                <w:rFonts w:ascii="Calibri" w:eastAsia="Times New Roman" w:hAnsi="Calibri" w:cs="Arial"/>
                <w:i/>
                <w:iCs/>
                <w:sz w:val="20"/>
                <w:szCs w:val="20"/>
                <w:lang w:eastAsia="cs-CZ"/>
              </w:rPr>
              <w:t> </w:t>
            </w:r>
          </w:p>
        </w:tc>
        <w:tc>
          <w:tcPr>
            <w:tcW w:w="4253" w:type="dxa"/>
            <w:tcBorders>
              <w:top w:val="nil"/>
              <w:left w:val="nil"/>
              <w:bottom w:val="nil"/>
              <w:right w:val="single" w:sz="4" w:space="0" w:color="auto"/>
            </w:tcBorders>
            <w:shd w:val="clear" w:color="auto" w:fill="auto"/>
            <w:vAlign w:val="bottom"/>
            <w:hideMark/>
          </w:tcPr>
          <w:p w14:paraId="61B7F43C" w14:textId="77777777" w:rsidR="00033E98" w:rsidRPr="00033E98" w:rsidRDefault="00033E98" w:rsidP="00033E98">
            <w:pPr>
              <w:spacing w:after="0" w:line="240" w:lineRule="auto"/>
              <w:rPr>
                <w:rFonts w:ascii="Calibri" w:eastAsia="Times New Roman" w:hAnsi="Calibri" w:cs="Arial"/>
                <w:i/>
                <w:iCs/>
                <w:sz w:val="20"/>
                <w:szCs w:val="20"/>
                <w:lang w:eastAsia="cs-CZ"/>
              </w:rPr>
            </w:pPr>
            <w:r w:rsidRPr="00033E98">
              <w:rPr>
                <w:rFonts w:ascii="Calibri" w:eastAsia="Times New Roman" w:hAnsi="Calibri" w:cs="Arial"/>
                <w:i/>
                <w:iCs/>
                <w:sz w:val="20"/>
                <w:szCs w:val="20"/>
                <w:lang w:eastAsia="cs-CZ"/>
              </w:rPr>
              <w:t>příspěvek na běžné opravy a udržování</w:t>
            </w:r>
          </w:p>
        </w:tc>
        <w:tc>
          <w:tcPr>
            <w:tcW w:w="1559" w:type="dxa"/>
            <w:tcBorders>
              <w:top w:val="nil"/>
              <w:left w:val="nil"/>
              <w:bottom w:val="single" w:sz="4" w:space="0" w:color="auto"/>
              <w:right w:val="single" w:sz="4" w:space="0" w:color="auto"/>
            </w:tcBorders>
            <w:shd w:val="clear" w:color="auto" w:fill="auto"/>
            <w:noWrap/>
            <w:vAlign w:val="bottom"/>
            <w:hideMark/>
          </w:tcPr>
          <w:p w14:paraId="69217AE2" w14:textId="77777777" w:rsidR="00033E98" w:rsidRPr="00033E98" w:rsidRDefault="00033E98" w:rsidP="00033E98">
            <w:pPr>
              <w:spacing w:after="0" w:line="240" w:lineRule="auto"/>
              <w:jc w:val="right"/>
              <w:rPr>
                <w:rFonts w:ascii="Calibri" w:eastAsia="Times New Roman" w:hAnsi="Calibri" w:cs="Arial"/>
                <w:i/>
                <w:iCs/>
                <w:sz w:val="20"/>
                <w:szCs w:val="20"/>
                <w:lang w:eastAsia="cs-CZ"/>
              </w:rPr>
            </w:pPr>
            <w:r w:rsidRPr="00033E98">
              <w:rPr>
                <w:rFonts w:ascii="Calibri" w:eastAsia="Times New Roman" w:hAnsi="Calibri" w:cs="Arial"/>
                <w:i/>
                <w:iCs/>
                <w:sz w:val="20"/>
                <w:szCs w:val="20"/>
                <w:lang w:eastAsia="cs-CZ"/>
              </w:rPr>
              <w:t>1 238 295 000</w:t>
            </w:r>
          </w:p>
        </w:tc>
        <w:tc>
          <w:tcPr>
            <w:tcW w:w="1701" w:type="dxa"/>
            <w:tcBorders>
              <w:top w:val="nil"/>
              <w:left w:val="nil"/>
              <w:bottom w:val="single" w:sz="4" w:space="0" w:color="auto"/>
              <w:right w:val="single" w:sz="4" w:space="0" w:color="auto"/>
            </w:tcBorders>
            <w:shd w:val="clear" w:color="auto" w:fill="auto"/>
            <w:noWrap/>
            <w:vAlign w:val="bottom"/>
            <w:hideMark/>
          </w:tcPr>
          <w:p w14:paraId="44742F2E" w14:textId="77777777" w:rsidR="00033E98" w:rsidRPr="00033E98" w:rsidRDefault="00033E98" w:rsidP="00033E98">
            <w:pPr>
              <w:spacing w:after="0" w:line="240" w:lineRule="auto"/>
              <w:jc w:val="right"/>
              <w:rPr>
                <w:rFonts w:ascii="Calibri" w:eastAsia="Times New Roman" w:hAnsi="Calibri" w:cs="Arial"/>
                <w:i/>
                <w:iCs/>
                <w:sz w:val="20"/>
                <w:szCs w:val="20"/>
                <w:lang w:eastAsia="cs-CZ"/>
              </w:rPr>
            </w:pPr>
            <w:r w:rsidRPr="00033E98">
              <w:rPr>
                <w:rFonts w:ascii="Calibri" w:eastAsia="Times New Roman" w:hAnsi="Calibri" w:cs="Arial"/>
                <w:i/>
                <w:iCs/>
                <w:sz w:val="20"/>
                <w:szCs w:val="20"/>
                <w:lang w:eastAsia="cs-CZ"/>
              </w:rPr>
              <w:t>1 622 334 626,40</w:t>
            </w:r>
          </w:p>
        </w:tc>
        <w:tc>
          <w:tcPr>
            <w:tcW w:w="1701" w:type="dxa"/>
            <w:tcBorders>
              <w:top w:val="nil"/>
              <w:left w:val="nil"/>
              <w:bottom w:val="single" w:sz="4" w:space="0" w:color="auto"/>
              <w:right w:val="single" w:sz="4" w:space="0" w:color="auto"/>
            </w:tcBorders>
            <w:shd w:val="clear" w:color="auto" w:fill="auto"/>
            <w:noWrap/>
            <w:vAlign w:val="bottom"/>
            <w:hideMark/>
          </w:tcPr>
          <w:p w14:paraId="3842D3F3" w14:textId="77777777" w:rsidR="00033E98" w:rsidRPr="00033E98" w:rsidRDefault="00033E98" w:rsidP="00033E98">
            <w:pPr>
              <w:spacing w:after="0" w:line="240" w:lineRule="auto"/>
              <w:jc w:val="right"/>
              <w:rPr>
                <w:rFonts w:ascii="Calibri" w:eastAsia="Times New Roman" w:hAnsi="Calibri" w:cs="Arial"/>
                <w:i/>
                <w:iCs/>
                <w:sz w:val="20"/>
                <w:szCs w:val="20"/>
                <w:lang w:eastAsia="cs-CZ"/>
              </w:rPr>
            </w:pPr>
            <w:r w:rsidRPr="00033E98">
              <w:rPr>
                <w:rFonts w:ascii="Calibri" w:eastAsia="Times New Roman" w:hAnsi="Calibri" w:cs="Arial"/>
                <w:i/>
                <w:iCs/>
                <w:sz w:val="20"/>
                <w:szCs w:val="20"/>
                <w:lang w:eastAsia="cs-CZ"/>
              </w:rPr>
              <w:t>1 622 334 626,40</w:t>
            </w:r>
          </w:p>
        </w:tc>
        <w:tc>
          <w:tcPr>
            <w:tcW w:w="850" w:type="dxa"/>
            <w:tcBorders>
              <w:top w:val="nil"/>
              <w:left w:val="nil"/>
              <w:bottom w:val="single" w:sz="4" w:space="0" w:color="auto"/>
              <w:right w:val="single" w:sz="8" w:space="0" w:color="auto"/>
            </w:tcBorders>
            <w:shd w:val="clear" w:color="auto" w:fill="auto"/>
            <w:noWrap/>
            <w:vAlign w:val="bottom"/>
            <w:hideMark/>
          </w:tcPr>
          <w:p w14:paraId="76C9DBC1" w14:textId="77777777" w:rsidR="00033E98" w:rsidRPr="00033E98" w:rsidRDefault="00033E98" w:rsidP="00033E98">
            <w:pPr>
              <w:spacing w:after="0" w:line="240" w:lineRule="auto"/>
              <w:jc w:val="right"/>
              <w:rPr>
                <w:rFonts w:ascii="Calibri" w:eastAsia="Times New Roman" w:hAnsi="Calibri" w:cs="Arial"/>
                <w:i/>
                <w:iCs/>
                <w:sz w:val="20"/>
                <w:szCs w:val="20"/>
                <w:lang w:eastAsia="cs-CZ"/>
              </w:rPr>
            </w:pPr>
            <w:r w:rsidRPr="00033E98">
              <w:rPr>
                <w:rFonts w:ascii="Calibri" w:eastAsia="Times New Roman" w:hAnsi="Calibri" w:cs="Arial"/>
                <w:i/>
                <w:iCs/>
                <w:sz w:val="20"/>
                <w:szCs w:val="20"/>
                <w:lang w:eastAsia="cs-CZ"/>
              </w:rPr>
              <w:t>100,0</w:t>
            </w:r>
          </w:p>
        </w:tc>
      </w:tr>
      <w:tr w:rsidR="00033E98" w:rsidRPr="00033E98" w14:paraId="5CD3FE18" w14:textId="77777777" w:rsidTr="00D82B5A">
        <w:trPr>
          <w:trHeight w:val="300"/>
        </w:trPr>
        <w:tc>
          <w:tcPr>
            <w:tcW w:w="826" w:type="dxa"/>
            <w:tcBorders>
              <w:top w:val="single" w:sz="4" w:space="0" w:color="auto"/>
              <w:left w:val="single" w:sz="8" w:space="0" w:color="auto"/>
              <w:bottom w:val="single" w:sz="4" w:space="0" w:color="auto"/>
              <w:right w:val="single" w:sz="4" w:space="0" w:color="auto"/>
            </w:tcBorders>
            <w:shd w:val="clear" w:color="000000" w:fill="FFFFFF"/>
            <w:noWrap/>
            <w:vAlign w:val="bottom"/>
            <w:hideMark/>
          </w:tcPr>
          <w:p w14:paraId="5FF281EA" w14:textId="77777777" w:rsidR="00033E98" w:rsidRPr="00033E98" w:rsidRDefault="00033E98" w:rsidP="00033E98">
            <w:pPr>
              <w:spacing w:after="0" w:line="240" w:lineRule="auto"/>
              <w:jc w:val="center"/>
              <w:rPr>
                <w:rFonts w:ascii="Calibri" w:eastAsia="Times New Roman" w:hAnsi="Calibri" w:cs="Arial"/>
                <w:sz w:val="20"/>
                <w:szCs w:val="20"/>
                <w:lang w:eastAsia="cs-CZ"/>
              </w:rPr>
            </w:pPr>
            <w:r w:rsidRPr="00033E98">
              <w:rPr>
                <w:rFonts w:ascii="Calibri" w:eastAsia="Times New Roman" w:hAnsi="Calibri" w:cs="Arial"/>
                <w:sz w:val="20"/>
                <w:szCs w:val="20"/>
                <w:lang w:eastAsia="cs-CZ"/>
              </w:rPr>
              <w:t>2219</w:t>
            </w:r>
          </w:p>
        </w:tc>
        <w:tc>
          <w:tcPr>
            <w:tcW w:w="4253" w:type="dxa"/>
            <w:tcBorders>
              <w:top w:val="single" w:sz="4" w:space="0" w:color="auto"/>
              <w:left w:val="nil"/>
              <w:bottom w:val="single" w:sz="4" w:space="0" w:color="auto"/>
              <w:right w:val="single" w:sz="4" w:space="0" w:color="auto"/>
            </w:tcBorders>
            <w:shd w:val="clear" w:color="auto" w:fill="auto"/>
            <w:vAlign w:val="bottom"/>
            <w:hideMark/>
          </w:tcPr>
          <w:p w14:paraId="756EE97D" w14:textId="77777777" w:rsidR="00033E98" w:rsidRPr="00033E98" w:rsidRDefault="00033E98" w:rsidP="00033E98">
            <w:pPr>
              <w:spacing w:after="0" w:line="240" w:lineRule="auto"/>
              <w:rPr>
                <w:rFonts w:ascii="Calibri" w:eastAsia="Times New Roman" w:hAnsi="Calibri" w:cs="Arial"/>
                <w:sz w:val="20"/>
                <w:szCs w:val="20"/>
                <w:lang w:eastAsia="cs-CZ"/>
              </w:rPr>
            </w:pPr>
            <w:r w:rsidRPr="00033E98">
              <w:rPr>
                <w:rFonts w:ascii="Calibri" w:eastAsia="Times New Roman" w:hAnsi="Calibri" w:cs="Arial"/>
                <w:sz w:val="20"/>
                <w:szCs w:val="20"/>
                <w:lang w:eastAsia="cs-CZ"/>
              </w:rPr>
              <w:t>Ostatní záležitosti pozemních komunikací - cyklodoprava</w:t>
            </w:r>
          </w:p>
        </w:tc>
        <w:tc>
          <w:tcPr>
            <w:tcW w:w="1559" w:type="dxa"/>
            <w:tcBorders>
              <w:top w:val="nil"/>
              <w:left w:val="nil"/>
              <w:bottom w:val="single" w:sz="4" w:space="0" w:color="auto"/>
              <w:right w:val="single" w:sz="4" w:space="0" w:color="auto"/>
            </w:tcBorders>
            <w:shd w:val="clear" w:color="auto" w:fill="auto"/>
            <w:noWrap/>
            <w:vAlign w:val="bottom"/>
            <w:hideMark/>
          </w:tcPr>
          <w:p w14:paraId="3B004770"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500 000</w:t>
            </w:r>
          </w:p>
        </w:tc>
        <w:tc>
          <w:tcPr>
            <w:tcW w:w="1701" w:type="dxa"/>
            <w:tcBorders>
              <w:top w:val="nil"/>
              <w:left w:val="nil"/>
              <w:bottom w:val="single" w:sz="4" w:space="0" w:color="auto"/>
              <w:right w:val="single" w:sz="4" w:space="0" w:color="auto"/>
            </w:tcBorders>
            <w:shd w:val="clear" w:color="auto" w:fill="auto"/>
            <w:noWrap/>
            <w:vAlign w:val="bottom"/>
            <w:hideMark/>
          </w:tcPr>
          <w:p w14:paraId="14C1643D"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909,20</w:t>
            </w:r>
          </w:p>
        </w:tc>
        <w:tc>
          <w:tcPr>
            <w:tcW w:w="1701" w:type="dxa"/>
            <w:tcBorders>
              <w:top w:val="nil"/>
              <w:left w:val="nil"/>
              <w:bottom w:val="single" w:sz="4" w:space="0" w:color="auto"/>
              <w:right w:val="single" w:sz="4" w:space="0" w:color="auto"/>
            </w:tcBorders>
            <w:shd w:val="clear" w:color="auto" w:fill="auto"/>
            <w:noWrap/>
            <w:vAlign w:val="bottom"/>
            <w:hideMark/>
          </w:tcPr>
          <w:p w14:paraId="5A2F35C0"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483,17</w:t>
            </w:r>
          </w:p>
        </w:tc>
        <w:tc>
          <w:tcPr>
            <w:tcW w:w="850" w:type="dxa"/>
            <w:tcBorders>
              <w:top w:val="nil"/>
              <w:left w:val="nil"/>
              <w:bottom w:val="single" w:sz="4" w:space="0" w:color="auto"/>
              <w:right w:val="single" w:sz="8" w:space="0" w:color="auto"/>
            </w:tcBorders>
            <w:shd w:val="clear" w:color="auto" w:fill="auto"/>
            <w:noWrap/>
            <w:vAlign w:val="bottom"/>
            <w:hideMark/>
          </w:tcPr>
          <w:p w14:paraId="602DEC6D"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53,1</w:t>
            </w:r>
          </w:p>
        </w:tc>
      </w:tr>
      <w:tr w:rsidR="00033E98" w:rsidRPr="00033E98" w14:paraId="07393F73" w14:textId="77777777" w:rsidTr="00D82B5A">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4BC7B928" w14:textId="77777777" w:rsidR="00033E98" w:rsidRPr="00033E98" w:rsidRDefault="00033E98" w:rsidP="00033E98">
            <w:pPr>
              <w:spacing w:after="0" w:line="240" w:lineRule="auto"/>
              <w:jc w:val="center"/>
              <w:rPr>
                <w:rFonts w:ascii="Calibri" w:eastAsia="Times New Roman" w:hAnsi="Calibri" w:cs="Arial"/>
                <w:sz w:val="20"/>
                <w:szCs w:val="20"/>
                <w:lang w:eastAsia="cs-CZ"/>
              </w:rPr>
            </w:pPr>
            <w:r w:rsidRPr="00033E98">
              <w:rPr>
                <w:rFonts w:ascii="Calibri" w:eastAsia="Times New Roman" w:hAnsi="Calibri" w:cs="Arial"/>
                <w:sz w:val="20"/>
                <w:szCs w:val="20"/>
                <w:lang w:eastAsia="cs-CZ"/>
              </w:rPr>
              <w:t>2222</w:t>
            </w:r>
          </w:p>
        </w:tc>
        <w:tc>
          <w:tcPr>
            <w:tcW w:w="4253" w:type="dxa"/>
            <w:tcBorders>
              <w:top w:val="nil"/>
              <w:left w:val="nil"/>
              <w:bottom w:val="single" w:sz="4" w:space="0" w:color="auto"/>
              <w:right w:val="single" w:sz="4" w:space="0" w:color="auto"/>
            </w:tcBorders>
            <w:shd w:val="clear" w:color="auto" w:fill="auto"/>
            <w:vAlign w:val="bottom"/>
            <w:hideMark/>
          </w:tcPr>
          <w:p w14:paraId="48171696" w14:textId="77777777" w:rsidR="00033E98" w:rsidRPr="00033E98" w:rsidRDefault="00033E98" w:rsidP="00033E98">
            <w:pPr>
              <w:spacing w:after="0" w:line="240" w:lineRule="auto"/>
              <w:rPr>
                <w:rFonts w:ascii="Calibri" w:eastAsia="Times New Roman" w:hAnsi="Calibri" w:cs="Arial"/>
                <w:sz w:val="20"/>
                <w:szCs w:val="20"/>
                <w:lang w:eastAsia="cs-CZ"/>
              </w:rPr>
            </w:pPr>
            <w:r w:rsidRPr="00033E98">
              <w:rPr>
                <w:rFonts w:ascii="Calibri" w:eastAsia="Times New Roman" w:hAnsi="Calibri" w:cs="Arial"/>
                <w:sz w:val="20"/>
                <w:szCs w:val="20"/>
                <w:lang w:eastAsia="cs-CZ"/>
              </w:rPr>
              <w:t>Kontrola technické způsobilosti vozidel</w:t>
            </w:r>
          </w:p>
        </w:tc>
        <w:tc>
          <w:tcPr>
            <w:tcW w:w="1559" w:type="dxa"/>
            <w:tcBorders>
              <w:top w:val="nil"/>
              <w:left w:val="nil"/>
              <w:bottom w:val="single" w:sz="4" w:space="0" w:color="auto"/>
              <w:right w:val="single" w:sz="4" w:space="0" w:color="auto"/>
            </w:tcBorders>
            <w:shd w:val="clear" w:color="auto" w:fill="auto"/>
            <w:noWrap/>
            <w:vAlign w:val="bottom"/>
            <w:hideMark/>
          </w:tcPr>
          <w:p w14:paraId="38CA5747"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45831004"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21 000,00</w:t>
            </w:r>
          </w:p>
        </w:tc>
        <w:tc>
          <w:tcPr>
            <w:tcW w:w="1701" w:type="dxa"/>
            <w:tcBorders>
              <w:top w:val="nil"/>
              <w:left w:val="nil"/>
              <w:bottom w:val="single" w:sz="4" w:space="0" w:color="auto"/>
              <w:right w:val="single" w:sz="4" w:space="0" w:color="auto"/>
            </w:tcBorders>
            <w:shd w:val="clear" w:color="auto" w:fill="auto"/>
            <w:noWrap/>
            <w:vAlign w:val="bottom"/>
            <w:hideMark/>
          </w:tcPr>
          <w:p w14:paraId="500A3F65"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21 000,00</w:t>
            </w:r>
          </w:p>
        </w:tc>
        <w:tc>
          <w:tcPr>
            <w:tcW w:w="850" w:type="dxa"/>
            <w:tcBorders>
              <w:top w:val="nil"/>
              <w:left w:val="nil"/>
              <w:bottom w:val="single" w:sz="4" w:space="0" w:color="auto"/>
              <w:right w:val="single" w:sz="8" w:space="0" w:color="auto"/>
            </w:tcBorders>
            <w:shd w:val="clear" w:color="auto" w:fill="auto"/>
            <w:noWrap/>
            <w:vAlign w:val="bottom"/>
            <w:hideMark/>
          </w:tcPr>
          <w:p w14:paraId="342EECA5"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100,0</w:t>
            </w:r>
          </w:p>
        </w:tc>
      </w:tr>
      <w:tr w:rsidR="00033E98" w:rsidRPr="00033E98" w14:paraId="21E92FA7" w14:textId="77777777" w:rsidTr="00D82B5A">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3A43D986" w14:textId="77777777" w:rsidR="00033E98" w:rsidRPr="00033E98" w:rsidRDefault="00033E98" w:rsidP="00033E98">
            <w:pPr>
              <w:spacing w:after="0" w:line="240" w:lineRule="auto"/>
              <w:jc w:val="center"/>
              <w:rPr>
                <w:rFonts w:ascii="Calibri" w:eastAsia="Times New Roman" w:hAnsi="Calibri" w:cs="Arial"/>
                <w:sz w:val="20"/>
                <w:szCs w:val="20"/>
                <w:lang w:eastAsia="cs-CZ"/>
              </w:rPr>
            </w:pPr>
            <w:r w:rsidRPr="00033E98">
              <w:rPr>
                <w:rFonts w:ascii="Calibri" w:eastAsia="Times New Roman" w:hAnsi="Calibri" w:cs="Arial"/>
                <w:sz w:val="20"/>
                <w:szCs w:val="20"/>
                <w:lang w:eastAsia="cs-CZ"/>
              </w:rPr>
              <w:t>2223</w:t>
            </w:r>
          </w:p>
        </w:tc>
        <w:tc>
          <w:tcPr>
            <w:tcW w:w="4253" w:type="dxa"/>
            <w:tcBorders>
              <w:top w:val="nil"/>
              <w:left w:val="nil"/>
              <w:bottom w:val="single" w:sz="4" w:space="0" w:color="auto"/>
              <w:right w:val="single" w:sz="4" w:space="0" w:color="auto"/>
            </w:tcBorders>
            <w:shd w:val="clear" w:color="auto" w:fill="auto"/>
            <w:vAlign w:val="bottom"/>
            <w:hideMark/>
          </w:tcPr>
          <w:p w14:paraId="57FCACBD" w14:textId="77777777" w:rsidR="00033E98" w:rsidRPr="00033E98" w:rsidRDefault="00033E98" w:rsidP="00033E98">
            <w:pPr>
              <w:spacing w:after="0" w:line="240" w:lineRule="auto"/>
              <w:rPr>
                <w:rFonts w:ascii="Calibri" w:eastAsia="Times New Roman" w:hAnsi="Calibri" w:cs="Arial"/>
                <w:sz w:val="20"/>
                <w:szCs w:val="20"/>
                <w:lang w:eastAsia="cs-CZ"/>
              </w:rPr>
            </w:pPr>
            <w:r w:rsidRPr="00033E98">
              <w:rPr>
                <w:rFonts w:ascii="Calibri" w:eastAsia="Times New Roman" w:hAnsi="Calibri" w:cs="Arial"/>
                <w:sz w:val="20"/>
                <w:szCs w:val="20"/>
                <w:lang w:eastAsia="cs-CZ"/>
              </w:rPr>
              <w:t>Bezpečnost silničního provozu</w:t>
            </w:r>
          </w:p>
        </w:tc>
        <w:tc>
          <w:tcPr>
            <w:tcW w:w="1559" w:type="dxa"/>
            <w:tcBorders>
              <w:top w:val="nil"/>
              <w:left w:val="nil"/>
              <w:bottom w:val="single" w:sz="4" w:space="0" w:color="auto"/>
              <w:right w:val="single" w:sz="4" w:space="0" w:color="auto"/>
            </w:tcBorders>
            <w:shd w:val="clear" w:color="auto" w:fill="auto"/>
            <w:noWrap/>
            <w:vAlign w:val="bottom"/>
            <w:hideMark/>
          </w:tcPr>
          <w:p w14:paraId="137BBE4E"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4 000 000</w:t>
            </w:r>
          </w:p>
        </w:tc>
        <w:tc>
          <w:tcPr>
            <w:tcW w:w="1701" w:type="dxa"/>
            <w:tcBorders>
              <w:top w:val="nil"/>
              <w:left w:val="nil"/>
              <w:bottom w:val="single" w:sz="4" w:space="0" w:color="auto"/>
              <w:right w:val="single" w:sz="4" w:space="0" w:color="auto"/>
            </w:tcBorders>
            <w:shd w:val="clear" w:color="auto" w:fill="auto"/>
            <w:noWrap/>
            <w:vAlign w:val="bottom"/>
            <w:hideMark/>
          </w:tcPr>
          <w:p w14:paraId="0D40828B"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8 582 625,60</w:t>
            </w:r>
          </w:p>
        </w:tc>
        <w:tc>
          <w:tcPr>
            <w:tcW w:w="1701" w:type="dxa"/>
            <w:tcBorders>
              <w:top w:val="nil"/>
              <w:left w:val="nil"/>
              <w:bottom w:val="single" w:sz="4" w:space="0" w:color="auto"/>
              <w:right w:val="single" w:sz="4" w:space="0" w:color="auto"/>
            </w:tcBorders>
            <w:shd w:val="clear" w:color="auto" w:fill="auto"/>
            <w:noWrap/>
            <w:vAlign w:val="bottom"/>
            <w:hideMark/>
          </w:tcPr>
          <w:p w14:paraId="7EDCB78E"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3 214 191,90</w:t>
            </w:r>
          </w:p>
        </w:tc>
        <w:tc>
          <w:tcPr>
            <w:tcW w:w="850" w:type="dxa"/>
            <w:tcBorders>
              <w:top w:val="nil"/>
              <w:left w:val="nil"/>
              <w:bottom w:val="single" w:sz="4" w:space="0" w:color="auto"/>
              <w:right w:val="single" w:sz="8" w:space="0" w:color="auto"/>
            </w:tcBorders>
            <w:shd w:val="clear" w:color="auto" w:fill="auto"/>
            <w:noWrap/>
            <w:vAlign w:val="bottom"/>
            <w:hideMark/>
          </w:tcPr>
          <w:p w14:paraId="747AB11A"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37,4</w:t>
            </w:r>
          </w:p>
        </w:tc>
      </w:tr>
      <w:tr w:rsidR="00033E98" w:rsidRPr="00033E98" w14:paraId="45A09A75" w14:textId="77777777" w:rsidTr="00D82B5A">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09D5E13A" w14:textId="77777777" w:rsidR="00033E98" w:rsidRPr="00033E98" w:rsidRDefault="00033E98" w:rsidP="00033E98">
            <w:pPr>
              <w:spacing w:after="0" w:line="240" w:lineRule="auto"/>
              <w:jc w:val="center"/>
              <w:rPr>
                <w:rFonts w:ascii="Calibri" w:eastAsia="Times New Roman" w:hAnsi="Calibri" w:cs="Arial"/>
                <w:sz w:val="20"/>
                <w:szCs w:val="20"/>
                <w:lang w:eastAsia="cs-CZ"/>
              </w:rPr>
            </w:pPr>
            <w:r w:rsidRPr="00033E98">
              <w:rPr>
                <w:rFonts w:ascii="Calibri" w:eastAsia="Times New Roman" w:hAnsi="Calibri" w:cs="Arial"/>
                <w:sz w:val="20"/>
                <w:szCs w:val="20"/>
                <w:lang w:eastAsia="cs-CZ"/>
              </w:rPr>
              <w:t>2239</w:t>
            </w:r>
          </w:p>
        </w:tc>
        <w:tc>
          <w:tcPr>
            <w:tcW w:w="4253" w:type="dxa"/>
            <w:tcBorders>
              <w:top w:val="nil"/>
              <w:left w:val="nil"/>
              <w:bottom w:val="single" w:sz="4" w:space="0" w:color="auto"/>
              <w:right w:val="single" w:sz="4" w:space="0" w:color="auto"/>
            </w:tcBorders>
            <w:shd w:val="clear" w:color="auto" w:fill="auto"/>
            <w:vAlign w:val="bottom"/>
            <w:hideMark/>
          </w:tcPr>
          <w:p w14:paraId="6D2E3374" w14:textId="77777777" w:rsidR="00033E98" w:rsidRPr="00033E98" w:rsidRDefault="00033E98" w:rsidP="00033E98">
            <w:pPr>
              <w:spacing w:after="0" w:line="240" w:lineRule="auto"/>
              <w:rPr>
                <w:rFonts w:ascii="Calibri" w:eastAsia="Times New Roman" w:hAnsi="Calibri" w:cs="Arial"/>
                <w:sz w:val="20"/>
                <w:szCs w:val="20"/>
                <w:lang w:eastAsia="cs-CZ"/>
              </w:rPr>
            </w:pPr>
            <w:r w:rsidRPr="00033E98">
              <w:rPr>
                <w:rFonts w:ascii="Calibri" w:eastAsia="Times New Roman" w:hAnsi="Calibri" w:cs="Arial"/>
                <w:sz w:val="20"/>
                <w:szCs w:val="20"/>
                <w:lang w:eastAsia="cs-CZ"/>
              </w:rPr>
              <w:t>Ostatní záležitosti vnitrozemské plavby - dotace přívozy</w:t>
            </w:r>
          </w:p>
        </w:tc>
        <w:tc>
          <w:tcPr>
            <w:tcW w:w="1559" w:type="dxa"/>
            <w:tcBorders>
              <w:top w:val="nil"/>
              <w:left w:val="nil"/>
              <w:bottom w:val="single" w:sz="4" w:space="0" w:color="auto"/>
              <w:right w:val="single" w:sz="4" w:space="0" w:color="auto"/>
            </w:tcBorders>
            <w:shd w:val="clear" w:color="auto" w:fill="auto"/>
            <w:noWrap/>
            <w:vAlign w:val="bottom"/>
            <w:hideMark/>
          </w:tcPr>
          <w:p w14:paraId="2078CAA0"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3 570 000</w:t>
            </w:r>
          </w:p>
        </w:tc>
        <w:tc>
          <w:tcPr>
            <w:tcW w:w="1701" w:type="dxa"/>
            <w:tcBorders>
              <w:top w:val="nil"/>
              <w:left w:val="nil"/>
              <w:bottom w:val="single" w:sz="4" w:space="0" w:color="auto"/>
              <w:right w:val="single" w:sz="4" w:space="0" w:color="auto"/>
            </w:tcBorders>
            <w:shd w:val="clear" w:color="auto" w:fill="auto"/>
            <w:noWrap/>
            <w:vAlign w:val="bottom"/>
            <w:hideMark/>
          </w:tcPr>
          <w:p w14:paraId="55021BBD"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0,00</w:t>
            </w:r>
          </w:p>
        </w:tc>
        <w:tc>
          <w:tcPr>
            <w:tcW w:w="1701" w:type="dxa"/>
            <w:tcBorders>
              <w:top w:val="nil"/>
              <w:left w:val="nil"/>
              <w:bottom w:val="single" w:sz="4" w:space="0" w:color="auto"/>
              <w:right w:val="single" w:sz="4" w:space="0" w:color="auto"/>
            </w:tcBorders>
            <w:shd w:val="clear" w:color="auto" w:fill="auto"/>
            <w:noWrap/>
            <w:vAlign w:val="bottom"/>
            <w:hideMark/>
          </w:tcPr>
          <w:p w14:paraId="4CEF03AA"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0,00</w:t>
            </w:r>
          </w:p>
        </w:tc>
        <w:tc>
          <w:tcPr>
            <w:tcW w:w="850" w:type="dxa"/>
            <w:tcBorders>
              <w:top w:val="nil"/>
              <w:left w:val="nil"/>
              <w:bottom w:val="single" w:sz="4" w:space="0" w:color="auto"/>
              <w:right w:val="single" w:sz="8" w:space="0" w:color="auto"/>
            </w:tcBorders>
            <w:shd w:val="clear" w:color="auto" w:fill="auto"/>
            <w:noWrap/>
            <w:vAlign w:val="bottom"/>
            <w:hideMark/>
          </w:tcPr>
          <w:p w14:paraId="086C8114" w14:textId="77777777" w:rsidR="00033E98" w:rsidRPr="00033E98" w:rsidRDefault="00033E98" w:rsidP="00033E98">
            <w:pPr>
              <w:spacing w:after="0" w:line="240" w:lineRule="auto"/>
              <w:jc w:val="right"/>
              <w:rPr>
                <w:rFonts w:ascii="Calibri" w:eastAsia="Times New Roman" w:hAnsi="Calibri" w:cs="Arial"/>
                <w:i/>
                <w:iCs/>
                <w:sz w:val="20"/>
                <w:szCs w:val="20"/>
                <w:lang w:eastAsia="cs-CZ"/>
              </w:rPr>
            </w:pPr>
            <w:r w:rsidRPr="00033E98">
              <w:rPr>
                <w:rFonts w:ascii="Calibri" w:eastAsia="Times New Roman" w:hAnsi="Calibri" w:cs="Arial"/>
                <w:i/>
                <w:iCs/>
                <w:sz w:val="20"/>
                <w:szCs w:val="20"/>
                <w:lang w:eastAsia="cs-CZ"/>
              </w:rPr>
              <w:t>-</w:t>
            </w:r>
          </w:p>
        </w:tc>
      </w:tr>
      <w:tr w:rsidR="00033E98" w:rsidRPr="00033E98" w14:paraId="573C11DD" w14:textId="77777777" w:rsidTr="00D82B5A">
        <w:trPr>
          <w:trHeight w:val="52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3D524B34" w14:textId="77777777" w:rsidR="00033E98" w:rsidRPr="00033E98" w:rsidRDefault="00033E98" w:rsidP="00033E98">
            <w:pPr>
              <w:spacing w:after="0" w:line="240" w:lineRule="auto"/>
              <w:jc w:val="center"/>
              <w:rPr>
                <w:rFonts w:ascii="Calibri" w:eastAsia="Times New Roman" w:hAnsi="Calibri" w:cs="Arial"/>
                <w:sz w:val="20"/>
                <w:szCs w:val="20"/>
                <w:lang w:eastAsia="cs-CZ"/>
              </w:rPr>
            </w:pPr>
            <w:r w:rsidRPr="00033E98">
              <w:rPr>
                <w:rFonts w:ascii="Calibri" w:eastAsia="Times New Roman" w:hAnsi="Calibri" w:cs="Arial"/>
                <w:sz w:val="20"/>
                <w:szCs w:val="20"/>
                <w:lang w:eastAsia="cs-CZ"/>
              </w:rPr>
              <w:t>2292</w:t>
            </w:r>
          </w:p>
        </w:tc>
        <w:tc>
          <w:tcPr>
            <w:tcW w:w="4253" w:type="dxa"/>
            <w:tcBorders>
              <w:top w:val="nil"/>
              <w:left w:val="nil"/>
              <w:bottom w:val="single" w:sz="4" w:space="0" w:color="auto"/>
              <w:right w:val="single" w:sz="4" w:space="0" w:color="auto"/>
            </w:tcBorders>
            <w:shd w:val="clear" w:color="auto" w:fill="auto"/>
            <w:vAlign w:val="bottom"/>
            <w:hideMark/>
          </w:tcPr>
          <w:p w14:paraId="191BD56C" w14:textId="77777777" w:rsidR="00033E98" w:rsidRPr="00033E98" w:rsidRDefault="00033E98" w:rsidP="00033E98">
            <w:pPr>
              <w:spacing w:after="0" w:line="240" w:lineRule="auto"/>
              <w:rPr>
                <w:rFonts w:ascii="Calibri" w:eastAsia="Times New Roman" w:hAnsi="Calibri" w:cs="Arial"/>
                <w:sz w:val="20"/>
                <w:szCs w:val="20"/>
                <w:lang w:eastAsia="cs-CZ"/>
              </w:rPr>
            </w:pPr>
            <w:r w:rsidRPr="00033E98">
              <w:rPr>
                <w:rFonts w:ascii="Calibri" w:eastAsia="Times New Roman" w:hAnsi="Calibri" w:cs="Arial"/>
                <w:sz w:val="20"/>
                <w:szCs w:val="20"/>
                <w:lang w:eastAsia="cs-CZ"/>
              </w:rPr>
              <w:t xml:space="preserve">Dopravní obslužnost - příspěvek příspěvkové organizaci Integrovaná doprava Středočeského kraje </w:t>
            </w:r>
          </w:p>
        </w:tc>
        <w:tc>
          <w:tcPr>
            <w:tcW w:w="1559" w:type="dxa"/>
            <w:tcBorders>
              <w:top w:val="nil"/>
              <w:left w:val="nil"/>
              <w:bottom w:val="single" w:sz="4" w:space="0" w:color="auto"/>
              <w:right w:val="single" w:sz="4" w:space="0" w:color="auto"/>
            </w:tcBorders>
            <w:shd w:val="clear" w:color="auto" w:fill="auto"/>
            <w:noWrap/>
            <w:vAlign w:val="bottom"/>
            <w:hideMark/>
          </w:tcPr>
          <w:p w14:paraId="5BD7474E"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85 159 000</w:t>
            </w:r>
          </w:p>
        </w:tc>
        <w:tc>
          <w:tcPr>
            <w:tcW w:w="1701" w:type="dxa"/>
            <w:tcBorders>
              <w:top w:val="nil"/>
              <w:left w:val="nil"/>
              <w:bottom w:val="single" w:sz="4" w:space="0" w:color="auto"/>
              <w:right w:val="single" w:sz="4" w:space="0" w:color="auto"/>
            </w:tcBorders>
            <w:shd w:val="clear" w:color="auto" w:fill="auto"/>
            <w:noWrap/>
            <w:vAlign w:val="bottom"/>
            <w:hideMark/>
          </w:tcPr>
          <w:p w14:paraId="6CD76894"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23 335 000,00</w:t>
            </w:r>
          </w:p>
        </w:tc>
        <w:tc>
          <w:tcPr>
            <w:tcW w:w="1701" w:type="dxa"/>
            <w:tcBorders>
              <w:top w:val="nil"/>
              <w:left w:val="nil"/>
              <w:bottom w:val="single" w:sz="4" w:space="0" w:color="auto"/>
              <w:right w:val="single" w:sz="4" w:space="0" w:color="auto"/>
            </w:tcBorders>
            <w:shd w:val="clear" w:color="auto" w:fill="auto"/>
            <w:noWrap/>
            <w:vAlign w:val="bottom"/>
            <w:hideMark/>
          </w:tcPr>
          <w:p w14:paraId="1ED3EF87"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23 335 000,00</w:t>
            </w:r>
          </w:p>
        </w:tc>
        <w:tc>
          <w:tcPr>
            <w:tcW w:w="850" w:type="dxa"/>
            <w:tcBorders>
              <w:top w:val="nil"/>
              <w:left w:val="nil"/>
              <w:bottom w:val="single" w:sz="4" w:space="0" w:color="auto"/>
              <w:right w:val="single" w:sz="8" w:space="0" w:color="auto"/>
            </w:tcBorders>
            <w:shd w:val="clear" w:color="auto" w:fill="auto"/>
            <w:noWrap/>
            <w:vAlign w:val="bottom"/>
            <w:hideMark/>
          </w:tcPr>
          <w:p w14:paraId="4398C7F6"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100,0</w:t>
            </w:r>
          </w:p>
        </w:tc>
      </w:tr>
      <w:tr w:rsidR="00033E98" w:rsidRPr="00033E98" w14:paraId="6B0F2903" w14:textId="77777777" w:rsidTr="00D82B5A">
        <w:trPr>
          <w:trHeight w:val="26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368641E6" w14:textId="77777777" w:rsidR="00033E98" w:rsidRPr="00033E98" w:rsidRDefault="00033E98" w:rsidP="00033E98">
            <w:pPr>
              <w:spacing w:after="0" w:line="240" w:lineRule="auto"/>
              <w:jc w:val="center"/>
              <w:rPr>
                <w:rFonts w:ascii="Calibri" w:eastAsia="Times New Roman" w:hAnsi="Calibri" w:cs="Arial"/>
                <w:i/>
                <w:iCs/>
                <w:sz w:val="20"/>
                <w:szCs w:val="20"/>
                <w:lang w:eastAsia="cs-CZ"/>
              </w:rPr>
            </w:pPr>
            <w:r w:rsidRPr="00033E98">
              <w:rPr>
                <w:rFonts w:ascii="Calibri" w:eastAsia="Times New Roman" w:hAnsi="Calibri" w:cs="Arial"/>
                <w:i/>
                <w:iCs/>
                <w:sz w:val="20"/>
                <w:szCs w:val="20"/>
                <w:lang w:eastAsia="cs-CZ"/>
              </w:rPr>
              <w:t> </w:t>
            </w:r>
          </w:p>
        </w:tc>
        <w:tc>
          <w:tcPr>
            <w:tcW w:w="10064" w:type="dxa"/>
            <w:gridSpan w:val="5"/>
            <w:tcBorders>
              <w:top w:val="single" w:sz="4" w:space="0" w:color="auto"/>
              <w:left w:val="nil"/>
              <w:bottom w:val="single" w:sz="4" w:space="0" w:color="auto"/>
              <w:right w:val="single" w:sz="8" w:space="0" w:color="000000"/>
            </w:tcBorders>
            <w:shd w:val="clear" w:color="auto" w:fill="auto"/>
            <w:vAlign w:val="bottom"/>
            <w:hideMark/>
          </w:tcPr>
          <w:p w14:paraId="579ADCA2" w14:textId="77777777" w:rsidR="00033E98" w:rsidRPr="00033E98" w:rsidRDefault="00033E98" w:rsidP="00033E98">
            <w:pPr>
              <w:spacing w:after="0" w:line="240" w:lineRule="auto"/>
              <w:rPr>
                <w:rFonts w:ascii="Calibri" w:eastAsia="Times New Roman" w:hAnsi="Calibri" w:cs="Arial"/>
                <w:sz w:val="20"/>
                <w:szCs w:val="20"/>
                <w:lang w:eastAsia="cs-CZ"/>
              </w:rPr>
            </w:pPr>
            <w:r w:rsidRPr="00033E98">
              <w:rPr>
                <w:rFonts w:ascii="Calibri" w:eastAsia="Times New Roman" w:hAnsi="Calibri" w:cs="Arial"/>
                <w:sz w:val="20"/>
                <w:szCs w:val="20"/>
                <w:lang w:eastAsia="cs-CZ"/>
              </w:rPr>
              <w:t>z toho:</w:t>
            </w:r>
          </w:p>
        </w:tc>
      </w:tr>
      <w:tr w:rsidR="00033E98" w:rsidRPr="00033E98" w14:paraId="4DBC2BEF" w14:textId="77777777" w:rsidTr="00D82B5A">
        <w:trPr>
          <w:trHeight w:val="26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3FA54316" w14:textId="77777777" w:rsidR="00033E98" w:rsidRPr="00033E98" w:rsidRDefault="00033E98" w:rsidP="00033E98">
            <w:pPr>
              <w:spacing w:after="0" w:line="240" w:lineRule="auto"/>
              <w:jc w:val="center"/>
              <w:rPr>
                <w:rFonts w:ascii="Calibri" w:eastAsia="Times New Roman" w:hAnsi="Calibri" w:cs="Arial"/>
                <w:i/>
                <w:iCs/>
                <w:sz w:val="20"/>
                <w:szCs w:val="20"/>
                <w:lang w:eastAsia="cs-CZ"/>
              </w:rPr>
            </w:pPr>
            <w:r w:rsidRPr="00033E98">
              <w:rPr>
                <w:rFonts w:ascii="Calibri" w:eastAsia="Times New Roman" w:hAnsi="Calibri" w:cs="Arial"/>
                <w:i/>
                <w:iCs/>
                <w:sz w:val="20"/>
                <w:szCs w:val="20"/>
                <w:lang w:eastAsia="cs-CZ"/>
              </w:rPr>
              <w:t> </w:t>
            </w:r>
          </w:p>
        </w:tc>
        <w:tc>
          <w:tcPr>
            <w:tcW w:w="4253" w:type="dxa"/>
            <w:tcBorders>
              <w:top w:val="nil"/>
              <w:left w:val="nil"/>
              <w:bottom w:val="single" w:sz="4" w:space="0" w:color="auto"/>
              <w:right w:val="single" w:sz="4" w:space="0" w:color="auto"/>
            </w:tcBorders>
            <w:shd w:val="clear" w:color="auto" w:fill="auto"/>
            <w:vAlign w:val="bottom"/>
            <w:hideMark/>
          </w:tcPr>
          <w:p w14:paraId="420B8B84" w14:textId="77777777" w:rsidR="00033E98" w:rsidRPr="00033E98" w:rsidRDefault="00033E98" w:rsidP="00033E98">
            <w:pPr>
              <w:spacing w:after="0" w:line="240" w:lineRule="auto"/>
              <w:rPr>
                <w:rFonts w:ascii="Calibri" w:eastAsia="Times New Roman" w:hAnsi="Calibri" w:cs="Arial"/>
                <w:i/>
                <w:iCs/>
                <w:sz w:val="20"/>
                <w:szCs w:val="20"/>
                <w:lang w:eastAsia="cs-CZ"/>
              </w:rPr>
            </w:pPr>
            <w:r w:rsidRPr="00033E98">
              <w:rPr>
                <w:rFonts w:ascii="Calibri" w:eastAsia="Times New Roman" w:hAnsi="Calibri" w:cs="Arial"/>
                <w:i/>
                <w:iCs/>
                <w:sz w:val="20"/>
                <w:szCs w:val="20"/>
                <w:lang w:eastAsia="cs-CZ"/>
              </w:rPr>
              <w:t>příspěvek na provoz</w:t>
            </w:r>
          </w:p>
        </w:tc>
        <w:tc>
          <w:tcPr>
            <w:tcW w:w="1559" w:type="dxa"/>
            <w:tcBorders>
              <w:top w:val="nil"/>
              <w:left w:val="nil"/>
              <w:bottom w:val="single" w:sz="4" w:space="0" w:color="auto"/>
              <w:right w:val="single" w:sz="4" w:space="0" w:color="auto"/>
            </w:tcBorders>
            <w:shd w:val="clear" w:color="auto" w:fill="auto"/>
            <w:noWrap/>
            <w:vAlign w:val="bottom"/>
            <w:hideMark/>
          </w:tcPr>
          <w:p w14:paraId="4FF42FB4" w14:textId="77777777" w:rsidR="00033E98" w:rsidRPr="00033E98" w:rsidRDefault="00033E98" w:rsidP="00033E98">
            <w:pPr>
              <w:spacing w:after="0" w:line="240" w:lineRule="auto"/>
              <w:jc w:val="right"/>
              <w:rPr>
                <w:rFonts w:ascii="Calibri" w:eastAsia="Times New Roman" w:hAnsi="Calibri" w:cs="Arial"/>
                <w:i/>
                <w:iCs/>
                <w:sz w:val="20"/>
                <w:szCs w:val="20"/>
                <w:lang w:eastAsia="cs-CZ"/>
              </w:rPr>
            </w:pPr>
            <w:r w:rsidRPr="00033E98">
              <w:rPr>
                <w:rFonts w:ascii="Calibri" w:eastAsia="Times New Roman" w:hAnsi="Calibri" w:cs="Arial"/>
                <w:i/>
                <w:iCs/>
                <w:sz w:val="20"/>
                <w:szCs w:val="20"/>
                <w:lang w:eastAsia="cs-CZ"/>
              </w:rPr>
              <w:t>4 387 000</w:t>
            </w:r>
          </w:p>
        </w:tc>
        <w:tc>
          <w:tcPr>
            <w:tcW w:w="1701" w:type="dxa"/>
            <w:tcBorders>
              <w:top w:val="nil"/>
              <w:left w:val="nil"/>
              <w:bottom w:val="single" w:sz="4" w:space="0" w:color="auto"/>
              <w:right w:val="single" w:sz="4" w:space="0" w:color="auto"/>
            </w:tcBorders>
            <w:shd w:val="clear" w:color="auto" w:fill="auto"/>
            <w:noWrap/>
            <w:vAlign w:val="bottom"/>
            <w:hideMark/>
          </w:tcPr>
          <w:p w14:paraId="65D6E3AE" w14:textId="77777777" w:rsidR="00033E98" w:rsidRPr="00033E98" w:rsidRDefault="00033E98" w:rsidP="00033E98">
            <w:pPr>
              <w:spacing w:after="0" w:line="240" w:lineRule="auto"/>
              <w:jc w:val="right"/>
              <w:rPr>
                <w:rFonts w:ascii="Calibri" w:eastAsia="Times New Roman" w:hAnsi="Calibri" w:cs="Arial"/>
                <w:i/>
                <w:iCs/>
                <w:sz w:val="20"/>
                <w:szCs w:val="20"/>
                <w:lang w:eastAsia="cs-CZ"/>
              </w:rPr>
            </w:pPr>
            <w:r w:rsidRPr="00033E98">
              <w:rPr>
                <w:rFonts w:ascii="Calibri" w:eastAsia="Times New Roman" w:hAnsi="Calibri" w:cs="Arial"/>
                <w:i/>
                <w:iCs/>
                <w:sz w:val="20"/>
                <w:szCs w:val="20"/>
                <w:lang w:eastAsia="cs-CZ"/>
              </w:rPr>
              <w:t>1 196 600,00</w:t>
            </w:r>
          </w:p>
        </w:tc>
        <w:tc>
          <w:tcPr>
            <w:tcW w:w="1701" w:type="dxa"/>
            <w:tcBorders>
              <w:top w:val="nil"/>
              <w:left w:val="nil"/>
              <w:bottom w:val="single" w:sz="4" w:space="0" w:color="auto"/>
              <w:right w:val="single" w:sz="4" w:space="0" w:color="auto"/>
            </w:tcBorders>
            <w:shd w:val="clear" w:color="auto" w:fill="auto"/>
            <w:noWrap/>
            <w:vAlign w:val="bottom"/>
            <w:hideMark/>
          </w:tcPr>
          <w:p w14:paraId="7FE97B80" w14:textId="77777777" w:rsidR="00033E98" w:rsidRPr="00033E98" w:rsidRDefault="00033E98" w:rsidP="00033E98">
            <w:pPr>
              <w:spacing w:after="0" w:line="240" w:lineRule="auto"/>
              <w:jc w:val="right"/>
              <w:rPr>
                <w:rFonts w:ascii="Calibri" w:eastAsia="Times New Roman" w:hAnsi="Calibri" w:cs="Arial"/>
                <w:i/>
                <w:iCs/>
                <w:sz w:val="20"/>
                <w:szCs w:val="20"/>
                <w:lang w:eastAsia="cs-CZ"/>
              </w:rPr>
            </w:pPr>
            <w:r w:rsidRPr="00033E98">
              <w:rPr>
                <w:rFonts w:ascii="Calibri" w:eastAsia="Times New Roman" w:hAnsi="Calibri" w:cs="Arial"/>
                <w:i/>
                <w:iCs/>
                <w:sz w:val="20"/>
                <w:szCs w:val="20"/>
                <w:lang w:eastAsia="cs-CZ"/>
              </w:rPr>
              <w:t>1 196 600,00</w:t>
            </w:r>
          </w:p>
        </w:tc>
        <w:tc>
          <w:tcPr>
            <w:tcW w:w="850" w:type="dxa"/>
            <w:tcBorders>
              <w:top w:val="nil"/>
              <w:left w:val="nil"/>
              <w:bottom w:val="single" w:sz="4" w:space="0" w:color="auto"/>
              <w:right w:val="single" w:sz="8" w:space="0" w:color="auto"/>
            </w:tcBorders>
            <w:shd w:val="clear" w:color="auto" w:fill="auto"/>
            <w:noWrap/>
            <w:vAlign w:val="bottom"/>
            <w:hideMark/>
          </w:tcPr>
          <w:p w14:paraId="3B33CFEB" w14:textId="77777777" w:rsidR="00033E98" w:rsidRPr="00033E98" w:rsidRDefault="00033E98" w:rsidP="00033E98">
            <w:pPr>
              <w:spacing w:after="0" w:line="240" w:lineRule="auto"/>
              <w:jc w:val="right"/>
              <w:rPr>
                <w:rFonts w:ascii="Calibri" w:eastAsia="Times New Roman" w:hAnsi="Calibri" w:cs="Arial"/>
                <w:i/>
                <w:iCs/>
                <w:sz w:val="20"/>
                <w:szCs w:val="20"/>
                <w:lang w:eastAsia="cs-CZ"/>
              </w:rPr>
            </w:pPr>
            <w:r w:rsidRPr="00033E98">
              <w:rPr>
                <w:rFonts w:ascii="Calibri" w:eastAsia="Times New Roman" w:hAnsi="Calibri" w:cs="Arial"/>
                <w:i/>
                <w:iCs/>
                <w:sz w:val="20"/>
                <w:szCs w:val="20"/>
                <w:lang w:eastAsia="cs-CZ"/>
              </w:rPr>
              <w:t>100,0</w:t>
            </w:r>
          </w:p>
        </w:tc>
      </w:tr>
      <w:tr w:rsidR="00033E98" w:rsidRPr="00033E98" w14:paraId="149794C1" w14:textId="77777777" w:rsidTr="00D82B5A">
        <w:trPr>
          <w:trHeight w:val="26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46EE4731" w14:textId="77777777" w:rsidR="00033E98" w:rsidRPr="00033E98" w:rsidRDefault="00033E98" w:rsidP="00033E98">
            <w:pPr>
              <w:spacing w:after="0" w:line="240" w:lineRule="auto"/>
              <w:jc w:val="center"/>
              <w:rPr>
                <w:rFonts w:ascii="Calibri" w:eastAsia="Times New Roman" w:hAnsi="Calibri" w:cs="Arial"/>
                <w:i/>
                <w:iCs/>
                <w:sz w:val="20"/>
                <w:szCs w:val="20"/>
                <w:lang w:eastAsia="cs-CZ"/>
              </w:rPr>
            </w:pPr>
            <w:r w:rsidRPr="00033E98">
              <w:rPr>
                <w:rFonts w:ascii="Calibri" w:eastAsia="Times New Roman" w:hAnsi="Calibri" w:cs="Arial"/>
                <w:i/>
                <w:iCs/>
                <w:sz w:val="20"/>
                <w:szCs w:val="20"/>
                <w:lang w:eastAsia="cs-CZ"/>
              </w:rPr>
              <w:t> </w:t>
            </w:r>
          </w:p>
        </w:tc>
        <w:tc>
          <w:tcPr>
            <w:tcW w:w="4253" w:type="dxa"/>
            <w:tcBorders>
              <w:top w:val="nil"/>
              <w:left w:val="nil"/>
              <w:bottom w:val="single" w:sz="4" w:space="0" w:color="auto"/>
              <w:right w:val="single" w:sz="4" w:space="0" w:color="auto"/>
            </w:tcBorders>
            <w:shd w:val="clear" w:color="auto" w:fill="auto"/>
            <w:vAlign w:val="bottom"/>
            <w:hideMark/>
          </w:tcPr>
          <w:p w14:paraId="3E2DF4B3" w14:textId="77777777" w:rsidR="00033E98" w:rsidRPr="00033E98" w:rsidRDefault="00033E98" w:rsidP="00033E98">
            <w:pPr>
              <w:spacing w:after="0" w:line="240" w:lineRule="auto"/>
              <w:rPr>
                <w:rFonts w:ascii="Calibri" w:eastAsia="Times New Roman" w:hAnsi="Calibri" w:cs="Arial"/>
                <w:i/>
                <w:iCs/>
                <w:sz w:val="20"/>
                <w:szCs w:val="20"/>
                <w:lang w:eastAsia="cs-CZ"/>
              </w:rPr>
            </w:pPr>
            <w:r w:rsidRPr="00033E98">
              <w:rPr>
                <w:rFonts w:ascii="Calibri" w:eastAsia="Times New Roman" w:hAnsi="Calibri" w:cs="Arial"/>
                <w:i/>
                <w:iCs/>
                <w:sz w:val="20"/>
                <w:szCs w:val="20"/>
                <w:lang w:eastAsia="cs-CZ"/>
              </w:rPr>
              <w:t>příspěvek na mzdové výdaje</w:t>
            </w:r>
          </w:p>
        </w:tc>
        <w:tc>
          <w:tcPr>
            <w:tcW w:w="1559" w:type="dxa"/>
            <w:tcBorders>
              <w:top w:val="nil"/>
              <w:left w:val="nil"/>
              <w:bottom w:val="single" w:sz="4" w:space="0" w:color="auto"/>
              <w:right w:val="single" w:sz="4" w:space="0" w:color="auto"/>
            </w:tcBorders>
            <w:shd w:val="clear" w:color="auto" w:fill="auto"/>
            <w:noWrap/>
            <w:vAlign w:val="bottom"/>
            <w:hideMark/>
          </w:tcPr>
          <w:p w14:paraId="04113EF6" w14:textId="77777777" w:rsidR="00033E98" w:rsidRPr="00033E98" w:rsidRDefault="00033E98" w:rsidP="00033E98">
            <w:pPr>
              <w:spacing w:after="0" w:line="240" w:lineRule="auto"/>
              <w:jc w:val="right"/>
              <w:rPr>
                <w:rFonts w:ascii="Calibri" w:eastAsia="Times New Roman" w:hAnsi="Calibri" w:cs="Arial"/>
                <w:i/>
                <w:iCs/>
                <w:sz w:val="20"/>
                <w:szCs w:val="20"/>
                <w:lang w:eastAsia="cs-CZ"/>
              </w:rPr>
            </w:pPr>
            <w:r w:rsidRPr="00033E98">
              <w:rPr>
                <w:rFonts w:ascii="Calibri" w:eastAsia="Times New Roman" w:hAnsi="Calibri" w:cs="Arial"/>
                <w:i/>
                <w:iCs/>
                <w:sz w:val="20"/>
                <w:szCs w:val="20"/>
                <w:lang w:eastAsia="cs-CZ"/>
              </w:rPr>
              <w:t>52 122 000</w:t>
            </w:r>
          </w:p>
        </w:tc>
        <w:tc>
          <w:tcPr>
            <w:tcW w:w="1701" w:type="dxa"/>
            <w:tcBorders>
              <w:top w:val="nil"/>
              <w:left w:val="nil"/>
              <w:bottom w:val="single" w:sz="4" w:space="0" w:color="auto"/>
              <w:right w:val="single" w:sz="4" w:space="0" w:color="auto"/>
            </w:tcBorders>
            <w:shd w:val="clear" w:color="auto" w:fill="auto"/>
            <w:noWrap/>
            <w:vAlign w:val="bottom"/>
            <w:hideMark/>
          </w:tcPr>
          <w:p w14:paraId="24A9253B" w14:textId="77777777" w:rsidR="00033E98" w:rsidRPr="00033E98" w:rsidRDefault="00033E98" w:rsidP="00033E98">
            <w:pPr>
              <w:spacing w:after="0" w:line="240" w:lineRule="auto"/>
              <w:jc w:val="right"/>
              <w:rPr>
                <w:rFonts w:ascii="Calibri" w:eastAsia="Times New Roman" w:hAnsi="Calibri" w:cs="Arial"/>
                <w:i/>
                <w:iCs/>
                <w:sz w:val="20"/>
                <w:szCs w:val="20"/>
                <w:lang w:eastAsia="cs-CZ"/>
              </w:rPr>
            </w:pPr>
            <w:r w:rsidRPr="00033E98">
              <w:rPr>
                <w:rFonts w:ascii="Calibri" w:eastAsia="Times New Roman" w:hAnsi="Calibri" w:cs="Arial"/>
                <w:i/>
                <w:iCs/>
                <w:sz w:val="20"/>
                <w:szCs w:val="20"/>
                <w:lang w:eastAsia="cs-CZ"/>
              </w:rPr>
              <w:t>14 215 600,00</w:t>
            </w:r>
          </w:p>
        </w:tc>
        <w:tc>
          <w:tcPr>
            <w:tcW w:w="1701" w:type="dxa"/>
            <w:tcBorders>
              <w:top w:val="nil"/>
              <w:left w:val="nil"/>
              <w:bottom w:val="single" w:sz="4" w:space="0" w:color="auto"/>
              <w:right w:val="single" w:sz="4" w:space="0" w:color="auto"/>
            </w:tcBorders>
            <w:shd w:val="clear" w:color="auto" w:fill="auto"/>
            <w:noWrap/>
            <w:vAlign w:val="bottom"/>
            <w:hideMark/>
          </w:tcPr>
          <w:p w14:paraId="08061550" w14:textId="77777777" w:rsidR="00033E98" w:rsidRPr="00033E98" w:rsidRDefault="00033E98" w:rsidP="00033E98">
            <w:pPr>
              <w:spacing w:after="0" w:line="240" w:lineRule="auto"/>
              <w:jc w:val="right"/>
              <w:rPr>
                <w:rFonts w:ascii="Calibri" w:eastAsia="Times New Roman" w:hAnsi="Calibri" w:cs="Arial"/>
                <w:i/>
                <w:iCs/>
                <w:sz w:val="20"/>
                <w:szCs w:val="20"/>
                <w:lang w:eastAsia="cs-CZ"/>
              </w:rPr>
            </w:pPr>
            <w:r w:rsidRPr="00033E98">
              <w:rPr>
                <w:rFonts w:ascii="Calibri" w:eastAsia="Times New Roman" w:hAnsi="Calibri" w:cs="Arial"/>
                <w:i/>
                <w:iCs/>
                <w:sz w:val="20"/>
                <w:szCs w:val="20"/>
                <w:lang w:eastAsia="cs-CZ"/>
              </w:rPr>
              <w:t>14 215 600,00</w:t>
            </w:r>
          </w:p>
        </w:tc>
        <w:tc>
          <w:tcPr>
            <w:tcW w:w="850" w:type="dxa"/>
            <w:tcBorders>
              <w:top w:val="nil"/>
              <w:left w:val="nil"/>
              <w:bottom w:val="single" w:sz="4" w:space="0" w:color="auto"/>
              <w:right w:val="single" w:sz="8" w:space="0" w:color="auto"/>
            </w:tcBorders>
            <w:shd w:val="clear" w:color="auto" w:fill="auto"/>
            <w:noWrap/>
            <w:vAlign w:val="bottom"/>
            <w:hideMark/>
          </w:tcPr>
          <w:p w14:paraId="6C6C5F79" w14:textId="77777777" w:rsidR="00033E98" w:rsidRPr="00033E98" w:rsidRDefault="00033E98" w:rsidP="00033E98">
            <w:pPr>
              <w:spacing w:after="0" w:line="240" w:lineRule="auto"/>
              <w:jc w:val="right"/>
              <w:rPr>
                <w:rFonts w:ascii="Calibri" w:eastAsia="Times New Roman" w:hAnsi="Calibri" w:cs="Arial"/>
                <w:i/>
                <w:iCs/>
                <w:sz w:val="20"/>
                <w:szCs w:val="20"/>
                <w:lang w:eastAsia="cs-CZ"/>
              </w:rPr>
            </w:pPr>
            <w:r w:rsidRPr="00033E98">
              <w:rPr>
                <w:rFonts w:ascii="Calibri" w:eastAsia="Times New Roman" w:hAnsi="Calibri" w:cs="Arial"/>
                <w:i/>
                <w:iCs/>
                <w:sz w:val="20"/>
                <w:szCs w:val="20"/>
                <w:lang w:eastAsia="cs-CZ"/>
              </w:rPr>
              <w:t>100,0</w:t>
            </w:r>
          </w:p>
        </w:tc>
      </w:tr>
      <w:tr w:rsidR="00033E98" w:rsidRPr="00033E98" w14:paraId="456F729C" w14:textId="77777777" w:rsidTr="00D82B5A">
        <w:trPr>
          <w:trHeight w:val="26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163263E4" w14:textId="77777777" w:rsidR="00033E98" w:rsidRPr="00033E98" w:rsidRDefault="00033E98" w:rsidP="00033E98">
            <w:pPr>
              <w:spacing w:after="0" w:line="240" w:lineRule="auto"/>
              <w:jc w:val="center"/>
              <w:rPr>
                <w:rFonts w:ascii="Calibri" w:eastAsia="Times New Roman" w:hAnsi="Calibri" w:cs="Arial"/>
                <w:i/>
                <w:iCs/>
                <w:sz w:val="20"/>
                <w:szCs w:val="20"/>
                <w:lang w:eastAsia="cs-CZ"/>
              </w:rPr>
            </w:pPr>
            <w:r w:rsidRPr="00033E98">
              <w:rPr>
                <w:rFonts w:ascii="Calibri" w:eastAsia="Times New Roman" w:hAnsi="Calibri" w:cs="Arial"/>
                <w:i/>
                <w:iCs/>
                <w:sz w:val="20"/>
                <w:szCs w:val="20"/>
                <w:lang w:eastAsia="cs-CZ"/>
              </w:rPr>
              <w:t> </w:t>
            </w:r>
          </w:p>
        </w:tc>
        <w:tc>
          <w:tcPr>
            <w:tcW w:w="4253" w:type="dxa"/>
            <w:tcBorders>
              <w:top w:val="nil"/>
              <w:left w:val="nil"/>
              <w:bottom w:val="single" w:sz="4" w:space="0" w:color="auto"/>
              <w:right w:val="single" w:sz="4" w:space="0" w:color="auto"/>
            </w:tcBorders>
            <w:shd w:val="clear" w:color="auto" w:fill="auto"/>
            <w:vAlign w:val="bottom"/>
            <w:hideMark/>
          </w:tcPr>
          <w:p w14:paraId="262EE903" w14:textId="77777777" w:rsidR="00033E98" w:rsidRPr="00033E98" w:rsidRDefault="00033E98" w:rsidP="00033E98">
            <w:pPr>
              <w:spacing w:after="0" w:line="240" w:lineRule="auto"/>
              <w:rPr>
                <w:rFonts w:ascii="Calibri" w:eastAsia="Times New Roman" w:hAnsi="Calibri" w:cs="Arial"/>
                <w:i/>
                <w:iCs/>
                <w:sz w:val="20"/>
                <w:szCs w:val="20"/>
                <w:lang w:eastAsia="cs-CZ"/>
              </w:rPr>
            </w:pPr>
            <w:r w:rsidRPr="00033E98">
              <w:rPr>
                <w:rFonts w:ascii="Calibri" w:eastAsia="Times New Roman" w:hAnsi="Calibri" w:cs="Arial"/>
                <w:i/>
                <w:iCs/>
                <w:sz w:val="20"/>
                <w:szCs w:val="20"/>
                <w:lang w:eastAsia="cs-CZ"/>
              </w:rPr>
              <w:t>příspěvek na běžné opravy a udržování</w:t>
            </w:r>
          </w:p>
        </w:tc>
        <w:tc>
          <w:tcPr>
            <w:tcW w:w="1559" w:type="dxa"/>
            <w:tcBorders>
              <w:top w:val="nil"/>
              <w:left w:val="nil"/>
              <w:bottom w:val="single" w:sz="4" w:space="0" w:color="auto"/>
              <w:right w:val="single" w:sz="4" w:space="0" w:color="auto"/>
            </w:tcBorders>
            <w:shd w:val="clear" w:color="auto" w:fill="auto"/>
            <w:noWrap/>
            <w:vAlign w:val="bottom"/>
            <w:hideMark/>
          </w:tcPr>
          <w:p w14:paraId="70ADE0FE" w14:textId="77777777" w:rsidR="00033E98" w:rsidRPr="00033E98" w:rsidRDefault="00033E98" w:rsidP="00033E98">
            <w:pPr>
              <w:spacing w:after="0" w:line="240" w:lineRule="auto"/>
              <w:jc w:val="right"/>
              <w:rPr>
                <w:rFonts w:ascii="Calibri" w:eastAsia="Times New Roman" w:hAnsi="Calibri" w:cs="Arial"/>
                <w:i/>
                <w:iCs/>
                <w:sz w:val="20"/>
                <w:szCs w:val="20"/>
                <w:lang w:eastAsia="cs-CZ"/>
              </w:rPr>
            </w:pPr>
            <w:r w:rsidRPr="00033E98">
              <w:rPr>
                <w:rFonts w:ascii="Calibri" w:eastAsia="Times New Roman" w:hAnsi="Calibri" w:cs="Arial"/>
                <w:i/>
                <w:iCs/>
                <w:sz w:val="20"/>
                <w:szCs w:val="20"/>
                <w:lang w:eastAsia="cs-CZ"/>
              </w:rPr>
              <w:t>150 000</w:t>
            </w:r>
          </w:p>
        </w:tc>
        <w:tc>
          <w:tcPr>
            <w:tcW w:w="1701" w:type="dxa"/>
            <w:tcBorders>
              <w:top w:val="nil"/>
              <w:left w:val="nil"/>
              <w:bottom w:val="single" w:sz="4" w:space="0" w:color="auto"/>
              <w:right w:val="single" w:sz="4" w:space="0" w:color="auto"/>
            </w:tcBorders>
            <w:shd w:val="clear" w:color="auto" w:fill="auto"/>
            <w:noWrap/>
            <w:vAlign w:val="bottom"/>
            <w:hideMark/>
          </w:tcPr>
          <w:p w14:paraId="599D665C" w14:textId="77777777" w:rsidR="00033E98" w:rsidRPr="00033E98" w:rsidRDefault="00033E98" w:rsidP="00033E98">
            <w:pPr>
              <w:spacing w:after="0" w:line="240" w:lineRule="auto"/>
              <w:jc w:val="right"/>
              <w:rPr>
                <w:rFonts w:ascii="Calibri" w:eastAsia="Times New Roman" w:hAnsi="Calibri" w:cs="Arial"/>
                <w:i/>
                <w:iCs/>
                <w:sz w:val="20"/>
                <w:szCs w:val="20"/>
                <w:lang w:eastAsia="cs-CZ"/>
              </w:rPr>
            </w:pPr>
            <w:r w:rsidRPr="00033E98">
              <w:rPr>
                <w:rFonts w:ascii="Calibri" w:eastAsia="Times New Roman" w:hAnsi="Calibri" w:cs="Arial"/>
                <w:i/>
                <w:iCs/>
                <w:sz w:val="20"/>
                <w:szCs w:val="20"/>
                <w:lang w:eastAsia="cs-CZ"/>
              </w:rPr>
              <w:t>150 000,00</w:t>
            </w:r>
          </w:p>
        </w:tc>
        <w:tc>
          <w:tcPr>
            <w:tcW w:w="1701" w:type="dxa"/>
            <w:tcBorders>
              <w:top w:val="nil"/>
              <w:left w:val="nil"/>
              <w:bottom w:val="single" w:sz="4" w:space="0" w:color="auto"/>
              <w:right w:val="single" w:sz="4" w:space="0" w:color="auto"/>
            </w:tcBorders>
            <w:shd w:val="clear" w:color="auto" w:fill="auto"/>
            <w:noWrap/>
            <w:vAlign w:val="bottom"/>
            <w:hideMark/>
          </w:tcPr>
          <w:p w14:paraId="066CBB74" w14:textId="77777777" w:rsidR="00033E98" w:rsidRPr="00033E98" w:rsidRDefault="00033E98" w:rsidP="00033E98">
            <w:pPr>
              <w:spacing w:after="0" w:line="240" w:lineRule="auto"/>
              <w:jc w:val="right"/>
              <w:rPr>
                <w:rFonts w:ascii="Calibri" w:eastAsia="Times New Roman" w:hAnsi="Calibri" w:cs="Arial"/>
                <w:i/>
                <w:iCs/>
                <w:sz w:val="20"/>
                <w:szCs w:val="20"/>
                <w:lang w:eastAsia="cs-CZ"/>
              </w:rPr>
            </w:pPr>
            <w:r w:rsidRPr="00033E98">
              <w:rPr>
                <w:rFonts w:ascii="Calibri" w:eastAsia="Times New Roman" w:hAnsi="Calibri" w:cs="Arial"/>
                <w:i/>
                <w:iCs/>
                <w:sz w:val="20"/>
                <w:szCs w:val="20"/>
                <w:lang w:eastAsia="cs-CZ"/>
              </w:rPr>
              <w:t>150 000,00</w:t>
            </w:r>
          </w:p>
        </w:tc>
        <w:tc>
          <w:tcPr>
            <w:tcW w:w="850" w:type="dxa"/>
            <w:tcBorders>
              <w:top w:val="nil"/>
              <w:left w:val="nil"/>
              <w:bottom w:val="single" w:sz="4" w:space="0" w:color="auto"/>
              <w:right w:val="single" w:sz="8" w:space="0" w:color="auto"/>
            </w:tcBorders>
            <w:shd w:val="clear" w:color="auto" w:fill="auto"/>
            <w:noWrap/>
            <w:vAlign w:val="bottom"/>
            <w:hideMark/>
          </w:tcPr>
          <w:p w14:paraId="1460176D" w14:textId="77777777" w:rsidR="00033E98" w:rsidRPr="00033E98" w:rsidRDefault="00033E98" w:rsidP="00033E98">
            <w:pPr>
              <w:spacing w:after="0" w:line="240" w:lineRule="auto"/>
              <w:jc w:val="right"/>
              <w:rPr>
                <w:rFonts w:ascii="Calibri" w:eastAsia="Times New Roman" w:hAnsi="Calibri" w:cs="Arial"/>
                <w:i/>
                <w:iCs/>
                <w:sz w:val="20"/>
                <w:szCs w:val="20"/>
                <w:lang w:eastAsia="cs-CZ"/>
              </w:rPr>
            </w:pPr>
            <w:r w:rsidRPr="00033E98">
              <w:rPr>
                <w:rFonts w:ascii="Calibri" w:eastAsia="Times New Roman" w:hAnsi="Calibri" w:cs="Arial"/>
                <w:i/>
                <w:iCs/>
                <w:sz w:val="20"/>
                <w:szCs w:val="20"/>
                <w:lang w:eastAsia="cs-CZ"/>
              </w:rPr>
              <w:t>100,0</w:t>
            </w:r>
          </w:p>
        </w:tc>
      </w:tr>
      <w:tr w:rsidR="00033E98" w:rsidRPr="00033E98" w14:paraId="62564B0B" w14:textId="77777777" w:rsidTr="00D82B5A">
        <w:trPr>
          <w:trHeight w:val="26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5F8CA57C" w14:textId="77777777" w:rsidR="00033E98" w:rsidRPr="00033E98" w:rsidRDefault="00033E98" w:rsidP="00033E98">
            <w:pPr>
              <w:spacing w:after="0" w:line="240" w:lineRule="auto"/>
              <w:jc w:val="center"/>
              <w:rPr>
                <w:rFonts w:ascii="Calibri" w:eastAsia="Times New Roman" w:hAnsi="Calibri" w:cs="Arial"/>
                <w:i/>
                <w:iCs/>
                <w:sz w:val="20"/>
                <w:szCs w:val="20"/>
                <w:lang w:eastAsia="cs-CZ"/>
              </w:rPr>
            </w:pPr>
            <w:r w:rsidRPr="00033E98">
              <w:rPr>
                <w:rFonts w:ascii="Calibri" w:eastAsia="Times New Roman" w:hAnsi="Calibri" w:cs="Arial"/>
                <w:i/>
                <w:iCs/>
                <w:sz w:val="20"/>
                <w:szCs w:val="20"/>
                <w:lang w:eastAsia="cs-CZ"/>
              </w:rPr>
              <w:t> </w:t>
            </w:r>
          </w:p>
        </w:tc>
        <w:tc>
          <w:tcPr>
            <w:tcW w:w="4253" w:type="dxa"/>
            <w:tcBorders>
              <w:top w:val="nil"/>
              <w:left w:val="nil"/>
              <w:bottom w:val="single" w:sz="4" w:space="0" w:color="auto"/>
              <w:right w:val="single" w:sz="4" w:space="0" w:color="auto"/>
            </w:tcBorders>
            <w:shd w:val="clear" w:color="auto" w:fill="auto"/>
            <w:vAlign w:val="bottom"/>
            <w:hideMark/>
          </w:tcPr>
          <w:p w14:paraId="31B56595" w14:textId="77777777" w:rsidR="00033E98" w:rsidRPr="00033E98" w:rsidRDefault="00033E98" w:rsidP="00033E98">
            <w:pPr>
              <w:spacing w:after="0" w:line="240" w:lineRule="auto"/>
              <w:rPr>
                <w:rFonts w:ascii="Calibri" w:eastAsia="Times New Roman" w:hAnsi="Calibri" w:cs="Arial"/>
                <w:i/>
                <w:iCs/>
                <w:sz w:val="20"/>
                <w:szCs w:val="20"/>
                <w:lang w:eastAsia="cs-CZ"/>
              </w:rPr>
            </w:pPr>
            <w:r w:rsidRPr="00033E98">
              <w:rPr>
                <w:rFonts w:ascii="Calibri" w:eastAsia="Times New Roman" w:hAnsi="Calibri" w:cs="Arial"/>
                <w:i/>
                <w:iCs/>
                <w:sz w:val="20"/>
                <w:szCs w:val="20"/>
                <w:lang w:eastAsia="cs-CZ"/>
              </w:rPr>
              <w:t>příspěvek na provoz (jízdenkové kotouče, MOS)</w:t>
            </w:r>
          </w:p>
        </w:tc>
        <w:tc>
          <w:tcPr>
            <w:tcW w:w="1559" w:type="dxa"/>
            <w:tcBorders>
              <w:top w:val="nil"/>
              <w:left w:val="nil"/>
              <w:bottom w:val="single" w:sz="4" w:space="0" w:color="auto"/>
              <w:right w:val="single" w:sz="4" w:space="0" w:color="auto"/>
            </w:tcBorders>
            <w:shd w:val="clear" w:color="auto" w:fill="auto"/>
            <w:noWrap/>
            <w:vAlign w:val="bottom"/>
            <w:hideMark/>
          </w:tcPr>
          <w:p w14:paraId="1706CF50" w14:textId="77777777" w:rsidR="00033E98" w:rsidRPr="00033E98" w:rsidRDefault="00033E98" w:rsidP="00033E98">
            <w:pPr>
              <w:spacing w:after="0" w:line="240" w:lineRule="auto"/>
              <w:jc w:val="right"/>
              <w:rPr>
                <w:rFonts w:ascii="Calibri" w:eastAsia="Times New Roman" w:hAnsi="Calibri" w:cs="Arial"/>
                <w:i/>
                <w:iCs/>
                <w:sz w:val="20"/>
                <w:szCs w:val="20"/>
                <w:lang w:eastAsia="cs-CZ"/>
              </w:rPr>
            </w:pPr>
            <w:r w:rsidRPr="00033E98">
              <w:rPr>
                <w:rFonts w:ascii="Calibri" w:eastAsia="Times New Roman" w:hAnsi="Calibri" w:cs="Arial"/>
                <w:i/>
                <w:iCs/>
                <w:sz w:val="20"/>
                <w:szCs w:val="20"/>
                <w:lang w:eastAsia="cs-CZ"/>
              </w:rPr>
              <w:t>28 500 000</w:t>
            </w:r>
          </w:p>
        </w:tc>
        <w:tc>
          <w:tcPr>
            <w:tcW w:w="1701" w:type="dxa"/>
            <w:tcBorders>
              <w:top w:val="nil"/>
              <w:left w:val="nil"/>
              <w:bottom w:val="single" w:sz="4" w:space="0" w:color="auto"/>
              <w:right w:val="single" w:sz="4" w:space="0" w:color="auto"/>
            </w:tcBorders>
            <w:shd w:val="clear" w:color="auto" w:fill="auto"/>
            <w:noWrap/>
            <w:vAlign w:val="bottom"/>
            <w:hideMark/>
          </w:tcPr>
          <w:p w14:paraId="7B4BDCCB" w14:textId="77777777" w:rsidR="00033E98" w:rsidRPr="00033E98" w:rsidRDefault="00033E98" w:rsidP="00033E98">
            <w:pPr>
              <w:spacing w:after="0" w:line="240" w:lineRule="auto"/>
              <w:jc w:val="right"/>
              <w:rPr>
                <w:rFonts w:ascii="Calibri" w:eastAsia="Times New Roman" w:hAnsi="Calibri" w:cs="Arial"/>
                <w:i/>
                <w:iCs/>
                <w:sz w:val="20"/>
                <w:szCs w:val="20"/>
                <w:lang w:eastAsia="cs-CZ"/>
              </w:rPr>
            </w:pPr>
            <w:r w:rsidRPr="00033E98">
              <w:rPr>
                <w:rFonts w:ascii="Calibri" w:eastAsia="Times New Roman" w:hAnsi="Calibri" w:cs="Arial"/>
                <w:i/>
                <w:iCs/>
                <w:sz w:val="20"/>
                <w:szCs w:val="20"/>
                <w:lang w:eastAsia="cs-CZ"/>
              </w:rPr>
              <w:t>7 772 800,00</w:t>
            </w:r>
          </w:p>
        </w:tc>
        <w:tc>
          <w:tcPr>
            <w:tcW w:w="1701" w:type="dxa"/>
            <w:tcBorders>
              <w:top w:val="nil"/>
              <w:left w:val="nil"/>
              <w:bottom w:val="single" w:sz="4" w:space="0" w:color="auto"/>
              <w:right w:val="single" w:sz="4" w:space="0" w:color="auto"/>
            </w:tcBorders>
            <w:shd w:val="clear" w:color="auto" w:fill="auto"/>
            <w:noWrap/>
            <w:vAlign w:val="bottom"/>
            <w:hideMark/>
          </w:tcPr>
          <w:p w14:paraId="28624272" w14:textId="77777777" w:rsidR="00033E98" w:rsidRPr="00033E98" w:rsidRDefault="00033E98" w:rsidP="00033E98">
            <w:pPr>
              <w:spacing w:after="0" w:line="240" w:lineRule="auto"/>
              <w:jc w:val="right"/>
              <w:rPr>
                <w:rFonts w:ascii="Calibri" w:eastAsia="Times New Roman" w:hAnsi="Calibri" w:cs="Arial"/>
                <w:i/>
                <w:iCs/>
                <w:sz w:val="20"/>
                <w:szCs w:val="20"/>
                <w:lang w:eastAsia="cs-CZ"/>
              </w:rPr>
            </w:pPr>
            <w:r w:rsidRPr="00033E98">
              <w:rPr>
                <w:rFonts w:ascii="Calibri" w:eastAsia="Times New Roman" w:hAnsi="Calibri" w:cs="Arial"/>
                <w:i/>
                <w:iCs/>
                <w:sz w:val="20"/>
                <w:szCs w:val="20"/>
                <w:lang w:eastAsia="cs-CZ"/>
              </w:rPr>
              <w:t>7 772 800,00</w:t>
            </w:r>
          </w:p>
        </w:tc>
        <w:tc>
          <w:tcPr>
            <w:tcW w:w="850" w:type="dxa"/>
            <w:tcBorders>
              <w:top w:val="nil"/>
              <w:left w:val="nil"/>
              <w:bottom w:val="single" w:sz="4" w:space="0" w:color="auto"/>
              <w:right w:val="single" w:sz="8" w:space="0" w:color="auto"/>
            </w:tcBorders>
            <w:shd w:val="clear" w:color="auto" w:fill="auto"/>
            <w:noWrap/>
            <w:vAlign w:val="bottom"/>
            <w:hideMark/>
          </w:tcPr>
          <w:p w14:paraId="5C9BDC10" w14:textId="77777777" w:rsidR="00033E98" w:rsidRPr="00033E98" w:rsidRDefault="00033E98" w:rsidP="00033E98">
            <w:pPr>
              <w:spacing w:after="0" w:line="240" w:lineRule="auto"/>
              <w:jc w:val="right"/>
              <w:rPr>
                <w:rFonts w:ascii="Calibri" w:eastAsia="Times New Roman" w:hAnsi="Calibri" w:cs="Arial"/>
                <w:i/>
                <w:iCs/>
                <w:sz w:val="20"/>
                <w:szCs w:val="20"/>
                <w:lang w:eastAsia="cs-CZ"/>
              </w:rPr>
            </w:pPr>
            <w:r w:rsidRPr="00033E98">
              <w:rPr>
                <w:rFonts w:ascii="Calibri" w:eastAsia="Times New Roman" w:hAnsi="Calibri" w:cs="Arial"/>
                <w:i/>
                <w:iCs/>
                <w:sz w:val="20"/>
                <w:szCs w:val="20"/>
                <w:lang w:eastAsia="cs-CZ"/>
              </w:rPr>
              <w:t>100,0</w:t>
            </w:r>
          </w:p>
        </w:tc>
      </w:tr>
      <w:tr w:rsidR="00033E98" w:rsidRPr="00033E98" w14:paraId="72EEA216" w14:textId="77777777" w:rsidTr="00D82B5A">
        <w:trPr>
          <w:trHeight w:val="26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2389E128" w14:textId="77777777" w:rsidR="00033E98" w:rsidRPr="00033E98" w:rsidRDefault="00033E98" w:rsidP="00033E98">
            <w:pPr>
              <w:spacing w:after="0" w:line="240" w:lineRule="auto"/>
              <w:jc w:val="center"/>
              <w:rPr>
                <w:rFonts w:ascii="Calibri" w:eastAsia="Times New Roman" w:hAnsi="Calibri" w:cs="Arial"/>
                <w:sz w:val="20"/>
                <w:szCs w:val="20"/>
                <w:lang w:eastAsia="cs-CZ"/>
              </w:rPr>
            </w:pPr>
            <w:r w:rsidRPr="00033E98">
              <w:rPr>
                <w:rFonts w:ascii="Calibri" w:eastAsia="Times New Roman" w:hAnsi="Calibri" w:cs="Arial"/>
                <w:sz w:val="20"/>
                <w:szCs w:val="20"/>
                <w:lang w:eastAsia="cs-CZ"/>
              </w:rPr>
              <w:t>2292</w:t>
            </w:r>
          </w:p>
        </w:tc>
        <w:tc>
          <w:tcPr>
            <w:tcW w:w="4253" w:type="dxa"/>
            <w:tcBorders>
              <w:top w:val="nil"/>
              <w:left w:val="nil"/>
              <w:bottom w:val="single" w:sz="4" w:space="0" w:color="auto"/>
              <w:right w:val="single" w:sz="4" w:space="0" w:color="auto"/>
            </w:tcBorders>
            <w:shd w:val="clear" w:color="auto" w:fill="auto"/>
            <w:vAlign w:val="bottom"/>
            <w:hideMark/>
          </w:tcPr>
          <w:p w14:paraId="7B8F6E2E" w14:textId="77777777" w:rsidR="00033E98" w:rsidRPr="00033E98" w:rsidRDefault="00033E98" w:rsidP="00033E98">
            <w:pPr>
              <w:spacing w:after="0" w:line="240" w:lineRule="auto"/>
              <w:rPr>
                <w:rFonts w:ascii="Calibri" w:eastAsia="Times New Roman" w:hAnsi="Calibri" w:cs="Arial"/>
                <w:sz w:val="20"/>
                <w:szCs w:val="20"/>
                <w:lang w:eastAsia="cs-CZ"/>
              </w:rPr>
            </w:pPr>
            <w:r w:rsidRPr="00033E98">
              <w:rPr>
                <w:rFonts w:ascii="Calibri" w:eastAsia="Times New Roman" w:hAnsi="Calibri" w:cs="Arial"/>
                <w:sz w:val="20"/>
                <w:szCs w:val="20"/>
                <w:lang w:eastAsia="cs-CZ"/>
              </w:rPr>
              <w:t>Dopravní obslužnost veřejnými službami - linková</w:t>
            </w:r>
          </w:p>
        </w:tc>
        <w:tc>
          <w:tcPr>
            <w:tcW w:w="1559" w:type="dxa"/>
            <w:tcBorders>
              <w:top w:val="nil"/>
              <w:left w:val="nil"/>
              <w:bottom w:val="single" w:sz="4" w:space="0" w:color="auto"/>
              <w:right w:val="single" w:sz="4" w:space="0" w:color="auto"/>
            </w:tcBorders>
            <w:shd w:val="clear" w:color="auto" w:fill="auto"/>
            <w:noWrap/>
            <w:vAlign w:val="bottom"/>
            <w:hideMark/>
          </w:tcPr>
          <w:p w14:paraId="4882D2D2" w14:textId="77777777" w:rsidR="00033E98" w:rsidRPr="00033E98" w:rsidRDefault="00033E98" w:rsidP="00033E98">
            <w:pPr>
              <w:spacing w:after="0" w:line="240" w:lineRule="auto"/>
              <w:jc w:val="right"/>
              <w:rPr>
                <w:rFonts w:ascii="Calibri" w:eastAsia="Times New Roman" w:hAnsi="Calibri" w:cs="Arial"/>
                <w:i/>
                <w:iCs/>
                <w:sz w:val="20"/>
                <w:szCs w:val="20"/>
                <w:lang w:eastAsia="cs-CZ"/>
              </w:rPr>
            </w:pPr>
            <w:r w:rsidRPr="00033E98">
              <w:rPr>
                <w:rFonts w:ascii="Calibri" w:eastAsia="Times New Roman" w:hAnsi="Calibri" w:cs="Arial"/>
                <w:i/>
                <w:iCs/>
                <w:sz w:val="20"/>
                <w:szCs w:val="20"/>
                <w:lang w:eastAsia="cs-CZ"/>
              </w:rPr>
              <w:t>1 451 984 000</w:t>
            </w:r>
          </w:p>
        </w:tc>
        <w:tc>
          <w:tcPr>
            <w:tcW w:w="1701" w:type="dxa"/>
            <w:tcBorders>
              <w:top w:val="nil"/>
              <w:left w:val="nil"/>
              <w:bottom w:val="single" w:sz="4" w:space="0" w:color="auto"/>
              <w:right w:val="single" w:sz="4" w:space="0" w:color="auto"/>
            </w:tcBorders>
            <w:shd w:val="clear" w:color="auto" w:fill="auto"/>
            <w:noWrap/>
            <w:vAlign w:val="bottom"/>
            <w:hideMark/>
          </w:tcPr>
          <w:p w14:paraId="5DDEA2B8"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349 425 653,06</w:t>
            </w:r>
          </w:p>
        </w:tc>
        <w:tc>
          <w:tcPr>
            <w:tcW w:w="1701" w:type="dxa"/>
            <w:tcBorders>
              <w:top w:val="nil"/>
              <w:left w:val="nil"/>
              <w:bottom w:val="single" w:sz="4" w:space="0" w:color="auto"/>
              <w:right w:val="single" w:sz="4" w:space="0" w:color="auto"/>
            </w:tcBorders>
            <w:shd w:val="clear" w:color="auto" w:fill="auto"/>
            <w:noWrap/>
            <w:vAlign w:val="bottom"/>
            <w:hideMark/>
          </w:tcPr>
          <w:p w14:paraId="41156448"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349 242 441,46</w:t>
            </w:r>
          </w:p>
        </w:tc>
        <w:tc>
          <w:tcPr>
            <w:tcW w:w="850" w:type="dxa"/>
            <w:tcBorders>
              <w:top w:val="nil"/>
              <w:left w:val="nil"/>
              <w:bottom w:val="single" w:sz="4" w:space="0" w:color="auto"/>
              <w:right w:val="single" w:sz="8" w:space="0" w:color="auto"/>
            </w:tcBorders>
            <w:shd w:val="clear" w:color="auto" w:fill="auto"/>
            <w:noWrap/>
            <w:vAlign w:val="bottom"/>
            <w:hideMark/>
          </w:tcPr>
          <w:p w14:paraId="6CB4E629"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99,9</w:t>
            </w:r>
          </w:p>
        </w:tc>
      </w:tr>
      <w:tr w:rsidR="00033E98" w:rsidRPr="00033E98" w14:paraId="260FECB6" w14:textId="77777777" w:rsidTr="00D82B5A">
        <w:trPr>
          <w:trHeight w:val="26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47CD151C" w14:textId="77777777" w:rsidR="00033E98" w:rsidRPr="00033E98" w:rsidRDefault="00033E98" w:rsidP="00033E98">
            <w:pPr>
              <w:spacing w:after="0" w:line="240" w:lineRule="auto"/>
              <w:jc w:val="center"/>
              <w:rPr>
                <w:rFonts w:ascii="Calibri" w:eastAsia="Times New Roman" w:hAnsi="Calibri" w:cs="Arial"/>
                <w:sz w:val="20"/>
                <w:szCs w:val="20"/>
                <w:lang w:eastAsia="cs-CZ"/>
              </w:rPr>
            </w:pPr>
            <w:r w:rsidRPr="00033E98">
              <w:rPr>
                <w:rFonts w:ascii="Calibri" w:eastAsia="Times New Roman" w:hAnsi="Calibri" w:cs="Arial"/>
                <w:sz w:val="20"/>
                <w:szCs w:val="20"/>
                <w:lang w:eastAsia="cs-CZ"/>
              </w:rPr>
              <w:t>2294</w:t>
            </w:r>
          </w:p>
        </w:tc>
        <w:tc>
          <w:tcPr>
            <w:tcW w:w="4253" w:type="dxa"/>
            <w:tcBorders>
              <w:top w:val="nil"/>
              <w:left w:val="nil"/>
              <w:bottom w:val="single" w:sz="4" w:space="0" w:color="auto"/>
              <w:right w:val="single" w:sz="4" w:space="0" w:color="auto"/>
            </w:tcBorders>
            <w:shd w:val="clear" w:color="auto" w:fill="auto"/>
            <w:vAlign w:val="bottom"/>
            <w:hideMark/>
          </w:tcPr>
          <w:p w14:paraId="21AFBB66" w14:textId="77777777" w:rsidR="00033E98" w:rsidRPr="00033E98" w:rsidRDefault="00033E98" w:rsidP="00033E98">
            <w:pPr>
              <w:spacing w:after="0" w:line="240" w:lineRule="auto"/>
              <w:rPr>
                <w:rFonts w:ascii="Calibri" w:eastAsia="Times New Roman" w:hAnsi="Calibri" w:cs="Arial"/>
                <w:sz w:val="20"/>
                <w:szCs w:val="20"/>
                <w:lang w:eastAsia="cs-CZ"/>
              </w:rPr>
            </w:pPr>
            <w:r w:rsidRPr="00033E98">
              <w:rPr>
                <w:rFonts w:ascii="Calibri" w:eastAsia="Times New Roman" w:hAnsi="Calibri" w:cs="Arial"/>
                <w:sz w:val="20"/>
                <w:szCs w:val="20"/>
                <w:lang w:eastAsia="cs-CZ"/>
              </w:rPr>
              <w:t>Dopravní obslužnost veřejnými službami - drážní doprava</w:t>
            </w:r>
          </w:p>
        </w:tc>
        <w:tc>
          <w:tcPr>
            <w:tcW w:w="1559" w:type="dxa"/>
            <w:tcBorders>
              <w:top w:val="nil"/>
              <w:left w:val="nil"/>
              <w:bottom w:val="single" w:sz="4" w:space="0" w:color="auto"/>
              <w:right w:val="single" w:sz="4" w:space="0" w:color="auto"/>
            </w:tcBorders>
            <w:shd w:val="clear" w:color="auto" w:fill="auto"/>
            <w:noWrap/>
            <w:vAlign w:val="bottom"/>
            <w:hideMark/>
          </w:tcPr>
          <w:p w14:paraId="6DB504EE"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1 880 576 000</w:t>
            </w:r>
          </w:p>
        </w:tc>
        <w:tc>
          <w:tcPr>
            <w:tcW w:w="1701" w:type="dxa"/>
            <w:tcBorders>
              <w:top w:val="nil"/>
              <w:left w:val="nil"/>
              <w:bottom w:val="single" w:sz="4" w:space="0" w:color="auto"/>
              <w:right w:val="single" w:sz="4" w:space="0" w:color="auto"/>
            </w:tcBorders>
            <w:shd w:val="clear" w:color="auto" w:fill="auto"/>
            <w:noWrap/>
            <w:vAlign w:val="bottom"/>
            <w:hideMark/>
          </w:tcPr>
          <w:p w14:paraId="548B063C"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663 680 018,11</w:t>
            </w:r>
          </w:p>
        </w:tc>
        <w:tc>
          <w:tcPr>
            <w:tcW w:w="1701" w:type="dxa"/>
            <w:tcBorders>
              <w:top w:val="nil"/>
              <w:left w:val="nil"/>
              <w:bottom w:val="single" w:sz="4" w:space="0" w:color="auto"/>
              <w:right w:val="single" w:sz="4" w:space="0" w:color="auto"/>
            </w:tcBorders>
            <w:shd w:val="clear" w:color="auto" w:fill="auto"/>
            <w:noWrap/>
            <w:vAlign w:val="bottom"/>
            <w:hideMark/>
          </w:tcPr>
          <w:p w14:paraId="747B1BA9"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663 680 018,11</w:t>
            </w:r>
          </w:p>
        </w:tc>
        <w:tc>
          <w:tcPr>
            <w:tcW w:w="850" w:type="dxa"/>
            <w:tcBorders>
              <w:top w:val="nil"/>
              <w:left w:val="nil"/>
              <w:bottom w:val="single" w:sz="4" w:space="0" w:color="auto"/>
              <w:right w:val="single" w:sz="8" w:space="0" w:color="auto"/>
            </w:tcBorders>
            <w:shd w:val="clear" w:color="auto" w:fill="auto"/>
            <w:noWrap/>
            <w:vAlign w:val="bottom"/>
            <w:hideMark/>
          </w:tcPr>
          <w:p w14:paraId="31E129DE"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100,0</w:t>
            </w:r>
          </w:p>
        </w:tc>
      </w:tr>
      <w:tr w:rsidR="00033E98" w:rsidRPr="00033E98" w14:paraId="0B36B11D" w14:textId="77777777" w:rsidTr="00D82B5A">
        <w:trPr>
          <w:trHeight w:val="26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4BF8CB66" w14:textId="77777777" w:rsidR="00033E98" w:rsidRPr="00033E98" w:rsidRDefault="00033E98" w:rsidP="00033E98">
            <w:pPr>
              <w:spacing w:after="0" w:line="240" w:lineRule="auto"/>
              <w:jc w:val="center"/>
              <w:rPr>
                <w:rFonts w:ascii="Calibri" w:eastAsia="Times New Roman" w:hAnsi="Calibri" w:cs="Arial"/>
                <w:sz w:val="20"/>
                <w:szCs w:val="20"/>
                <w:lang w:eastAsia="cs-CZ"/>
              </w:rPr>
            </w:pPr>
            <w:r w:rsidRPr="00033E98">
              <w:rPr>
                <w:rFonts w:ascii="Calibri" w:eastAsia="Times New Roman" w:hAnsi="Calibri" w:cs="Arial"/>
                <w:sz w:val="20"/>
                <w:szCs w:val="20"/>
                <w:lang w:eastAsia="cs-CZ"/>
              </w:rPr>
              <w:t>2299</w:t>
            </w:r>
          </w:p>
        </w:tc>
        <w:tc>
          <w:tcPr>
            <w:tcW w:w="4253" w:type="dxa"/>
            <w:tcBorders>
              <w:top w:val="nil"/>
              <w:left w:val="nil"/>
              <w:bottom w:val="single" w:sz="4" w:space="0" w:color="auto"/>
              <w:right w:val="single" w:sz="4" w:space="0" w:color="auto"/>
            </w:tcBorders>
            <w:shd w:val="clear" w:color="auto" w:fill="auto"/>
            <w:vAlign w:val="bottom"/>
            <w:hideMark/>
          </w:tcPr>
          <w:p w14:paraId="229FD442" w14:textId="77777777" w:rsidR="00033E98" w:rsidRPr="00033E98" w:rsidRDefault="00033E98" w:rsidP="00033E98">
            <w:pPr>
              <w:spacing w:after="0" w:line="240" w:lineRule="auto"/>
              <w:rPr>
                <w:rFonts w:ascii="Calibri" w:eastAsia="Times New Roman" w:hAnsi="Calibri" w:cs="Arial"/>
                <w:sz w:val="20"/>
                <w:szCs w:val="20"/>
                <w:lang w:eastAsia="cs-CZ"/>
              </w:rPr>
            </w:pPr>
            <w:r w:rsidRPr="00033E98">
              <w:rPr>
                <w:rFonts w:ascii="Calibri" w:eastAsia="Times New Roman" w:hAnsi="Calibri" w:cs="Arial"/>
                <w:sz w:val="20"/>
                <w:szCs w:val="20"/>
                <w:lang w:eastAsia="cs-CZ"/>
              </w:rPr>
              <w:t>Ostatní záležitosti v dopravě</w:t>
            </w:r>
          </w:p>
        </w:tc>
        <w:tc>
          <w:tcPr>
            <w:tcW w:w="1559" w:type="dxa"/>
            <w:tcBorders>
              <w:top w:val="nil"/>
              <w:left w:val="nil"/>
              <w:bottom w:val="single" w:sz="4" w:space="0" w:color="auto"/>
              <w:right w:val="single" w:sz="4" w:space="0" w:color="auto"/>
            </w:tcBorders>
            <w:shd w:val="clear" w:color="auto" w:fill="auto"/>
            <w:noWrap/>
            <w:vAlign w:val="bottom"/>
            <w:hideMark/>
          </w:tcPr>
          <w:p w14:paraId="689EB766"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3 700 000</w:t>
            </w:r>
          </w:p>
        </w:tc>
        <w:tc>
          <w:tcPr>
            <w:tcW w:w="1701" w:type="dxa"/>
            <w:tcBorders>
              <w:top w:val="nil"/>
              <w:left w:val="nil"/>
              <w:bottom w:val="single" w:sz="4" w:space="0" w:color="auto"/>
              <w:right w:val="single" w:sz="4" w:space="0" w:color="auto"/>
            </w:tcBorders>
            <w:shd w:val="clear" w:color="auto" w:fill="auto"/>
            <w:noWrap/>
            <w:vAlign w:val="bottom"/>
            <w:hideMark/>
          </w:tcPr>
          <w:p w14:paraId="2BEEB293"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1 379 000,00</w:t>
            </w:r>
          </w:p>
        </w:tc>
        <w:tc>
          <w:tcPr>
            <w:tcW w:w="1701" w:type="dxa"/>
            <w:tcBorders>
              <w:top w:val="nil"/>
              <w:left w:val="nil"/>
              <w:bottom w:val="single" w:sz="4" w:space="0" w:color="auto"/>
              <w:right w:val="single" w:sz="4" w:space="0" w:color="auto"/>
            </w:tcBorders>
            <w:shd w:val="clear" w:color="auto" w:fill="auto"/>
            <w:noWrap/>
            <w:vAlign w:val="bottom"/>
            <w:hideMark/>
          </w:tcPr>
          <w:p w14:paraId="7F45882A"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338,39</w:t>
            </w:r>
          </w:p>
        </w:tc>
        <w:tc>
          <w:tcPr>
            <w:tcW w:w="850" w:type="dxa"/>
            <w:tcBorders>
              <w:top w:val="nil"/>
              <w:left w:val="nil"/>
              <w:bottom w:val="single" w:sz="4" w:space="0" w:color="auto"/>
              <w:right w:val="single" w:sz="8" w:space="0" w:color="auto"/>
            </w:tcBorders>
            <w:shd w:val="clear" w:color="auto" w:fill="auto"/>
            <w:noWrap/>
            <w:vAlign w:val="bottom"/>
            <w:hideMark/>
          </w:tcPr>
          <w:p w14:paraId="2985C080"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0,0</w:t>
            </w:r>
          </w:p>
        </w:tc>
      </w:tr>
      <w:tr w:rsidR="00033E98" w:rsidRPr="00033E98" w14:paraId="62C60F61" w14:textId="77777777" w:rsidTr="00D82B5A">
        <w:trPr>
          <w:trHeight w:val="270"/>
        </w:trPr>
        <w:tc>
          <w:tcPr>
            <w:tcW w:w="826" w:type="dxa"/>
            <w:tcBorders>
              <w:top w:val="nil"/>
              <w:left w:val="single" w:sz="8" w:space="0" w:color="auto"/>
              <w:bottom w:val="nil"/>
              <w:right w:val="single" w:sz="4" w:space="0" w:color="auto"/>
            </w:tcBorders>
            <w:shd w:val="clear" w:color="auto" w:fill="auto"/>
            <w:noWrap/>
            <w:vAlign w:val="bottom"/>
            <w:hideMark/>
          </w:tcPr>
          <w:p w14:paraId="4C356B5E" w14:textId="77777777" w:rsidR="00033E98" w:rsidRPr="00033E98" w:rsidRDefault="00033E98" w:rsidP="00033E98">
            <w:pPr>
              <w:spacing w:after="0" w:line="240" w:lineRule="auto"/>
              <w:jc w:val="center"/>
              <w:rPr>
                <w:rFonts w:ascii="Calibri" w:eastAsia="Times New Roman" w:hAnsi="Calibri" w:cs="Arial"/>
                <w:sz w:val="20"/>
                <w:szCs w:val="20"/>
                <w:lang w:eastAsia="cs-CZ"/>
              </w:rPr>
            </w:pPr>
            <w:r w:rsidRPr="00033E98">
              <w:rPr>
                <w:rFonts w:ascii="Calibri" w:eastAsia="Times New Roman" w:hAnsi="Calibri" w:cs="Arial"/>
                <w:sz w:val="20"/>
                <w:szCs w:val="20"/>
                <w:lang w:eastAsia="cs-CZ"/>
              </w:rPr>
              <w:t>6172</w:t>
            </w:r>
          </w:p>
        </w:tc>
        <w:tc>
          <w:tcPr>
            <w:tcW w:w="4253" w:type="dxa"/>
            <w:tcBorders>
              <w:top w:val="nil"/>
              <w:left w:val="nil"/>
              <w:bottom w:val="nil"/>
              <w:right w:val="single" w:sz="4" w:space="0" w:color="auto"/>
            </w:tcBorders>
            <w:shd w:val="clear" w:color="auto" w:fill="auto"/>
            <w:vAlign w:val="bottom"/>
            <w:hideMark/>
          </w:tcPr>
          <w:p w14:paraId="3864DA14" w14:textId="77777777" w:rsidR="00033E98" w:rsidRPr="00033E98" w:rsidRDefault="00033E98" w:rsidP="00033E98">
            <w:pPr>
              <w:spacing w:after="0" w:line="240" w:lineRule="auto"/>
              <w:rPr>
                <w:rFonts w:ascii="Calibri" w:eastAsia="Times New Roman" w:hAnsi="Calibri" w:cs="Arial"/>
                <w:sz w:val="20"/>
                <w:szCs w:val="20"/>
                <w:lang w:eastAsia="cs-CZ"/>
              </w:rPr>
            </w:pPr>
            <w:r w:rsidRPr="00033E98">
              <w:rPr>
                <w:rFonts w:ascii="Calibri" w:eastAsia="Times New Roman" w:hAnsi="Calibri" w:cs="Arial"/>
                <w:sz w:val="20"/>
                <w:szCs w:val="20"/>
                <w:lang w:eastAsia="cs-CZ"/>
              </w:rPr>
              <w:t>Činnost regionální správy</w:t>
            </w:r>
          </w:p>
        </w:tc>
        <w:tc>
          <w:tcPr>
            <w:tcW w:w="1559" w:type="dxa"/>
            <w:tcBorders>
              <w:top w:val="nil"/>
              <w:left w:val="nil"/>
              <w:bottom w:val="nil"/>
              <w:right w:val="single" w:sz="4" w:space="0" w:color="auto"/>
            </w:tcBorders>
            <w:shd w:val="clear" w:color="auto" w:fill="auto"/>
            <w:noWrap/>
            <w:vAlign w:val="bottom"/>
            <w:hideMark/>
          </w:tcPr>
          <w:p w14:paraId="100EFE72"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180 000</w:t>
            </w:r>
          </w:p>
        </w:tc>
        <w:tc>
          <w:tcPr>
            <w:tcW w:w="1701" w:type="dxa"/>
            <w:tcBorders>
              <w:top w:val="nil"/>
              <w:left w:val="nil"/>
              <w:bottom w:val="nil"/>
              <w:right w:val="single" w:sz="4" w:space="0" w:color="auto"/>
            </w:tcBorders>
            <w:shd w:val="clear" w:color="auto" w:fill="auto"/>
            <w:noWrap/>
            <w:vAlign w:val="bottom"/>
            <w:hideMark/>
          </w:tcPr>
          <w:p w14:paraId="2A441257"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840 000,00</w:t>
            </w:r>
          </w:p>
        </w:tc>
        <w:tc>
          <w:tcPr>
            <w:tcW w:w="1701" w:type="dxa"/>
            <w:tcBorders>
              <w:top w:val="nil"/>
              <w:left w:val="nil"/>
              <w:bottom w:val="nil"/>
              <w:right w:val="single" w:sz="4" w:space="0" w:color="auto"/>
            </w:tcBorders>
            <w:shd w:val="clear" w:color="auto" w:fill="auto"/>
            <w:noWrap/>
            <w:vAlign w:val="bottom"/>
            <w:hideMark/>
          </w:tcPr>
          <w:p w14:paraId="10804C8E"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194 335,00</w:t>
            </w:r>
          </w:p>
        </w:tc>
        <w:tc>
          <w:tcPr>
            <w:tcW w:w="850" w:type="dxa"/>
            <w:tcBorders>
              <w:top w:val="nil"/>
              <w:left w:val="nil"/>
              <w:bottom w:val="nil"/>
              <w:right w:val="single" w:sz="8" w:space="0" w:color="auto"/>
            </w:tcBorders>
            <w:shd w:val="clear" w:color="auto" w:fill="auto"/>
            <w:noWrap/>
            <w:vAlign w:val="bottom"/>
            <w:hideMark/>
          </w:tcPr>
          <w:p w14:paraId="250598DD"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23,1</w:t>
            </w:r>
          </w:p>
        </w:tc>
      </w:tr>
      <w:tr w:rsidR="00033E98" w:rsidRPr="00033E98" w14:paraId="2E9620D7" w14:textId="77777777" w:rsidTr="00D82B5A">
        <w:trPr>
          <w:trHeight w:val="320"/>
        </w:trPr>
        <w:tc>
          <w:tcPr>
            <w:tcW w:w="826"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348E5CF" w14:textId="77777777" w:rsidR="00033E98" w:rsidRPr="00033E98" w:rsidRDefault="00033E98" w:rsidP="00033E98">
            <w:pPr>
              <w:spacing w:after="0" w:line="240" w:lineRule="auto"/>
              <w:rPr>
                <w:rFonts w:ascii="Calibri" w:eastAsia="Times New Roman" w:hAnsi="Calibri" w:cs="Arial"/>
                <w:b/>
                <w:bCs/>
                <w:lang w:eastAsia="cs-CZ"/>
              </w:rPr>
            </w:pPr>
            <w:r w:rsidRPr="00033E98">
              <w:rPr>
                <w:rFonts w:ascii="Calibri" w:eastAsia="Times New Roman" w:hAnsi="Calibri" w:cs="Arial"/>
                <w:b/>
                <w:bCs/>
                <w:lang w:eastAsia="cs-CZ"/>
              </w:rPr>
              <w:t> </w:t>
            </w:r>
          </w:p>
        </w:tc>
        <w:tc>
          <w:tcPr>
            <w:tcW w:w="4253" w:type="dxa"/>
            <w:tcBorders>
              <w:top w:val="single" w:sz="8" w:space="0" w:color="auto"/>
              <w:left w:val="nil"/>
              <w:bottom w:val="single" w:sz="8" w:space="0" w:color="auto"/>
              <w:right w:val="single" w:sz="4" w:space="0" w:color="auto"/>
            </w:tcBorders>
            <w:shd w:val="clear" w:color="auto" w:fill="auto"/>
            <w:noWrap/>
            <w:vAlign w:val="bottom"/>
            <w:hideMark/>
          </w:tcPr>
          <w:p w14:paraId="7EA533C7" w14:textId="77777777" w:rsidR="00033E98" w:rsidRPr="00033E98" w:rsidRDefault="00033E98" w:rsidP="00033E98">
            <w:pPr>
              <w:spacing w:after="0" w:line="240" w:lineRule="auto"/>
              <w:rPr>
                <w:rFonts w:ascii="Calibri" w:eastAsia="Times New Roman" w:hAnsi="Calibri" w:cs="Arial"/>
                <w:b/>
                <w:bCs/>
                <w:lang w:eastAsia="cs-CZ"/>
              </w:rPr>
            </w:pPr>
            <w:r w:rsidRPr="00033E98">
              <w:rPr>
                <w:rFonts w:ascii="Calibri" w:eastAsia="Times New Roman" w:hAnsi="Calibri" w:cs="Arial"/>
                <w:b/>
                <w:bCs/>
                <w:lang w:eastAsia="cs-CZ"/>
              </w:rPr>
              <w:t>Celkem</w:t>
            </w:r>
          </w:p>
        </w:tc>
        <w:tc>
          <w:tcPr>
            <w:tcW w:w="1559" w:type="dxa"/>
            <w:tcBorders>
              <w:top w:val="single" w:sz="8" w:space="0" w:color="auto"/>
              <w:left w:val="nil"/>
              <w:bottom w:val="single" w:sz="8" w:space="0" w:color="auto"/>
              <w:right w:val="single" w:sz="4" w:space="0" w:color="auto"/>
            </w:tcBorders>
            <w:shd w:val="clear" w:color="auto" w:fill="auto"/>
            <w:noWrap/>
            <w:vAlign w:val="bottom"/>
            <w:hideMark/>
          </w:tcPr>
          <w:p w14:paraId="22C0439E" w14:textId="77777777" w:rsidR="00033E98" w:rsidRPr="00033E98" w:rsidRDefault="00033E98" w:rsidP="00033E98">
            <w:pPr>
              <w:spacing w:after="0" w:line="240" w:lineRule="auto"/>
              <w:jc w:val="right"/>
              <w:rPr>
                <w:rFonts w:ascii="Calibri" w:eastAsia="Times New Roman" w:hAnsi="Calibri" w:cs="Arial"/>
                <w:b/>
                <w:bCs/>
                <w:lang w:eastAsia="cs-CZ"/>
              </w:rPr>
            </w:pPr>
            <w:r w:rsidRPr="00033E98">
              <w:rPr>
                <w:rFonts w:ascii="Calibri" w:eastAsia="Times New Roman" w:hAnsi="Calibri" w:cs="Arial"/>
                <w:b/>
                <w:bCs/>
                <w:lang w:eastAsia="cs-CZ"/>
              </w:rPr>
              <w:t>4 894 421 000</w:t>
            </w:r>
          </w:p>
        </w:tc>
        <w:tc>
          <w:tcPr>
            <w:tcW w:w="1701" w:type="dxa"/>
            <w:tcBorders>
              <w:top w:val="single" w:sz="8" w:space="0" w:color="auto"/>
              <w:left w:val="nil"/>
              <w:bottom w:val="single" w:sz="8" w:space="0" w:color="auto"/>
              <w:right w:val="single" w:sz="4" w:space="0" w:color="auto"/>
            </w:tcBorders>
            <w:shd w:val="clear" w:color="auto" w:fill="auto"/>
            <w:noWrap/>
            <w:vAlign w:val="bottom"/>
            <w:hideMark/>
          </w:tcPr>
          <w:p w14:paraId="44EED4A6" w14:textId="77777777" w:rsidR="00033E98" w:rsidRPr="00033E98" w:rsidRDefault="00033E98" w:rsidP="00033E98">
            <w:pPr>
              <w:spacing w:after="0" w:line="240" w:lineRule="auto"/>
              <w:jc w:val="right"/>
              <w:rPr>
                <w:rFonts w:ascii="Calibri" w:eastAsia="Times New Roman" w:hAnsi="Calibri" w:cs="Arial"/>
                <w:b/>
                <w:bCs/>
                <w:lang w:eastAsia="cs-CZ"/>
              </w:rPr>
            </w:pPr>
            <w:r w:rsidRPr="00033E98">
              <w:rPr>
                <w:rFonts w:ascii="Calibri" w:eastAsia="Times New Roman" w:hAnsi="Calibri" w:cs="Arial"/>
                <w:b/>
                <w:bCs/>
                <w:lang w:eastAsia="cs-CZ"/>
              </w:rPr>
              <w:t>2 928 936 362,93</w:t>
            </w:r>
          </w:p>
        </w:tc>
        <w:tc>
          <w:tcPr>
            <w:tcW w:w="1701" w:type="dxa"/>
            <w:tcBorders>
              <w:top w:val="single" w:sz="8" w:space="0" w:color="auto"/>
              <w:left w:val="nil"/>
              <w:bottom w:val="single" w:sz="8" w:space="0" w:color="auto"/>
              <w:right w:val="single" w:sz="4" w:space="0" w:color="auto"/>
            </w:tcBorders>
            <w:shd w:val="clear" w:color="auto" w:fill="auto"/>
            <w:noWrap/>
            <w:vAlign w:val="bottom"/>
            <w:hideMark/>
          </w:tcPr>
          <w:p w14:paraId="1960AC63" w14:textId="77777777" w:rsidR="00033E98" w:rsidRPr="00033E98" w:rsidRDefault="00033E98" w:rsidP="00033E98">
            <w:pPr>
              <w:spacing w:after="0" w:line="240" w:lineRule="auto"/>
              <w:jc w:val="right"/>
              <w:rPr>
                <w:rFonts w:ascii="Calibri" w:eastAsia="Times New Roman" w:hAnsi="Calibri" w:cs="Arial"/>
                <w:b/>
                <w:bCs/>
                <w:lang w:eastAsia="cs-CZ"/>
              </w:rPr>
            </w:pPr>
            <w:r w:rsidRPr="00033E98">
              <w:rPr>
                <w:rFonts w:ascii="Calibri" w:eastAsia="Times New Roman" w:hAnsi="Calibri" w:cs="Arial"/>
                <w:b/>
                <w:bCs/>
                <w:lang w:eastAsia="cs-CZ"/>
              </w:rPr>
              <w:t>2 918 759 301,05</w:t>
            </w:r>
          </w:p>
        </w:tc>
        <w:tc>
          <w:tcPr>
            <w:tcW w:w="850" w:type="dxa"/>
            <w:tcBorders>
              <w:top w:val="single" w:sz="8" w:space="0" w:color="auto"/>
              <w:left w:val="nil"/>
              <w:bottom w:val="single" w:sz="8" w:space="0" w:color="auto"/>
              <w:right w:val="single" w:sz="8" w:space="0" w:color="auto"/>
            </w:tcBorders>
            <w:shd w:val="clear" w:color="auto" w:fill="auto"/>
            <w:noWrap/>
            <w:vAlign w:val="bottom"/>
            <w:hideMark/>
          </w:tcPr>
          <w:p w14:paraId="2CC221C4" w14:textId="77777777" w:rsidR="00033E98" w:rsidRPr="00033E98" w:rsidRDefault="00033E98" w:rsidP="00033E98">
            <w:pPr>
              <w:spacing w:after="0" w:line="240" w:lineRule="auto"/>
              <w:jc w:val="right"/>
              <w:rPr>
                <w:rFonts w:ascii="Calibri" w:eastAsia="Times New Roman" w:hAnsi="Calibri" w:cs="Arial"/>
                <w:b/>
                <w:bCs/>
                <w:lang w:eastAsia="cs-CZ"/>
              </w:rPr>
            </w:pPr>
            <w:r w:rsidRPr="00033E98">
              <w:rPr>
                <w:rFonts w:ascii="Calibri" w:eastAsia="Times New Roman" w:hAnsi="Calibri" w:cs="Arial"/>
                <w:b/>
                <w:bCs/>
                <w:lang w:eastAsia="cs-CZ"/>
              </w:rPr>
              <w:t>99,7</w:t>
            </w:r>
          </w:p>
        </w:tc>
      </w:tr>
      <w:tr w:rsidR="00033E98" w:rsidRPr="00033E98" w14:paraId="5BDAA091" w14:textId="77777777" w:rsidTr="00D82B5A">
        <w:trPr>
          <w:trHeight w:val="310"/>
        </w:trPr>
        <w:tc>
          <w:tcPr>
            <w:tcW w:w="826" w:type="dxa"/>
            <w:tcBorders>
              <w:top w:val="nil"/>
              <w:left w:val="nil"/>
              <w:bottom w:val="nil"/>
              <w:right w:val="nil"/>
            </w:tcBorders>
            <w:shd w:val="clear" w:color="auto" w:fill="auto"/>
            <w:noWrap/>
            <w:vAlign w:val="bottom"/>
            <w:hideMark/>
          </w:tcPr>
          <w:p w14:paraId="50769A44" w14:textId="77777777" w:rsidR="00033E98" w:rsidRPr="00033E98" w:rsidRDefault="00033E98" w:rsidP="00033E98">
            <w:pPr>
              <w:spacing w:after="0" w:line="240" w:lineRule="auto"/>
              <w:jc w:val="right"/>
              <w:rPr>
                <w:rFonts w:ascii="Calibri" w:eastAsia="Times New Roman" w:hAnsi="Calibri" w:cs="Arial"/>
                <w:b/>
                <w:bCs/>
                <w:lang w:eastAsia="cs-CZ"/>
              </w:rPr>
            </w:pPr>
          </w:p>
        </w:tc>
        <w:tc>
          <w:tcPr>
            <w:tcW w:w="4253" w:type="dxa"/>
            <w:tcBorders>
              <w:top w:val="nil"/>
              <w:left w:val="nil"/>
              <w:bottom w:val="nil"/>
              <w:right w:val="nil"/>
            </w:tcBorders>
            <w:shd w:val="clear" w:color="auto" w:fill="auto"/>
            <w:noWrap/>
            <w:vAlign w:val="bottom"/>
            <w:hideMark/>
          </w:tcPr>
          <w:p w14:paraId="71090B73" w14:textId="77777777" w:rsidR="00033E98" w:rsidRPr="00033E98" w:rsidRDefault="00033E98" w:rsidP="00033E98">
            <w:pPr>
              <w:spacing w:after="0" w:line="240" w:lineRule="auto"/>
              <w:rPr>
                <w:rFonts w:ascii="Times New Roman" w:eastAsia="Times New Roman" w:hAnsi="Times New Roman" w:cs="Times New Roman"/>
                <w:sz w:val="20"/>
                <w:szCs w:val="20"/>
                <w:lang w:eastAsia="cs-CZ"/>
              </w:rPr>
            </w:pPr>
          </w:p>
        </w:tc>
        <w:tc>
          <w:tcPr>
            <w:tcW w:w="1559" w:type="dxa"/>
            <w:tcBorders>
              <w:top w:val="nil"/>
              <w:left w:val="nil"/>
              <w:bottom w:val="nil"/>
              <w:right w:val="nil"/>
            </w:tcBorders>
            <w:shd w:val="clear" w:color="auto" w:fill="auto"/>
            <w:noWrap/>
            <w:vAlign w:val="bottom"/>
            <w:hideMark/>
          </w:tcPr>
          <w:p w14:paraId="03093870" w14:textId="77777777" w:rsidR="00033E98" w:rsidRPr="00033E98" w:rsidRDefault="00033E98" w:rsidP="00033E98">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13C6C555" w14:textId="77777777" w:rsidR="00033E98" w:rsidRPr="00033E98" w:rsidRDefault="00033E98" w:rsidP="00033E98">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4B8CFA8A" w14:textId="77777777" w:rsidR="00033E98" w:rsidRPr="00033E98" w:rsidRDefault="00033E98" w:rsidP="00033E98">
            <w:pPr>
              <w:spacing w:after="0" w:line="240" w:lineRule="auto"/>
              <w:rPr>
                <w:rFonts w:ascii="Times New Roman" w:eastAsia="Times New Roman" w:hAnsi="Times New Roman" w:cs="Times New Roman"/>
                <w:sz w:val="20"/>
                <w:szCs w:val="20"/>
                <w:lang w:eastAsia="cs-CZ"/>
              </w:rPr>
            </w:pPr>
          </w:p>
        </w:tc>
        <w:tc>
          <w:tcPr>
            <w:tcW w:w="850" w:type="dxa"/>
            <w:tcBorders>
              <w:top w:val="nil"/>
              <w:left w:val="nil"/>
              <w:bottom w:val="nil"/>
              <w:right w:val="nil"/>
            </w:tcBorders>
            <w:shd w:val="clear" w:color="auto" w:fill="auto"/>
            <w:noWrap/>
            <w:vAlign w:val="bottom"/>
            <w:hideMark/>
          </w:tcPr>
          <w:p w14:paraId="7A745480" w14:textId="77777777" w:rsidR="00033E98" w:rsidRPr="00033E98" w:rsidRDefault="00033E98" w:rsidP="00033E98">
            <w:pPr>
              <w:spacing w:after="0" w:line="240" w:lineRule="auto"/>
              <w:rPr>
                <w:rFonts w:ascii="Times New Roman" w:eastAsia="Times New Roman" w:hAnsi="Times New Roman" w:cs="Times New Roman"/>
                <w:sz w:val="20"/>
                <w:szCs w:val="20"/>
                <w:lang w:eastAsia="cs-CZ"/>
              </w:rPr>
            </w:pPr>
          </w:p>
        </w:tc>
      </w:tr>
      <w:tr w:rsidR="00033E98" w:rsidRPr="00033E98" w14:paraId="144C8ACF" w14:textId="77777777" w:rsidTr="00D82B5A">
        <w:trPr>
          <w:trHeight w:val="300"/>
        </w:trPr>
        <w:tc>
          <w:tcPr>
            <w:tcW w:w="826" w:type="dxa"/>
            <w:tcBorders>
              <w:top w:val="nil"/>
              <w:left w:val="nil"/>
              <w:bottom w:val="nil"/>
              <w:right w:val="nil"/>
            </w:tcBorders>
            <w:shd w:val="clear" w:color="auto" w:fill="auto"/>
            <w:noWrap/>
            <w:vAlign w:val="bottom"/>
            <w:hideMark/>
          </w:tcPr>
          <w:p w14:paraId="6D4ED46F" w14:textId="77777777" w:rsidR="00033E98" w:rsidRPr="00033E98" w:rsidRDefault="00033E98" w:rsidP="00033E98">
            <w:pPr>
              <w:spacing w:after="0" w:line="240" w:lineRule="auto"/>
              <w:jc w:val="right"/>
              <w:rPr>
                <w:rFonts w:ascii="Times New Roman" w:eastAsia="Times New Roman" w:hAnsi="Times New Roman" w:cs="Times New Roman"/>
                <w:sz w:val="20"/>
                <w:szCs w:val="20"/>
                <w:lang w:eastAsia="cs-CZ"/>
              </w:rPr>
            </w:pPr>
          </w:p>
        </w:tc>
        <w:tc>
          <w:tcPr>
            <w:tcW w:w="4253" w:type="dxa"/>
            <w:tcBorders>
              <w:top w:val="nil"/>
              <w:left w:val="nil"/>
              <w:bottom w:val="nil"/>
              <w:right w:val="nil"/>
            </w:tcBorders>
            <w:shd w:val="clear" w:color="auto" w:fill="auto"/>
            <w:noWrap/>
            <w:vAlign w:val="bottom"/>
            <w:hideMark/>
          </w:tcPr>
          <w:p w14:paraId="04388689" w14:textId="77777777" w:rsidR="00033E98" w:rsidRPr="00033E98" w:rsidRDefault="00033E98" w:rsidP="00033E98">
            <w:pPr>
              <w:spacing w:after="0" w:line="240" w:lineRule="auto"/>
              <w:rPr>
                <w:rFonts w:ascii="Calibri" w:eastAsia="Times New Roman" w:hAnsi="Calibri" w:cs="Arial"/>
                <w:b/>
                <w:bCs/>
                <w:lang w:eastAsia="cs-CZ"/>
              </w:rPr>
            </w:pPr>
            <w:r w:rsidRPr="00033E98">
              <w:rPr>
                <w:rFonts w:ascii="Calibri" w:eastAsia="Times New Roman" w:hAnsi="Calibri" w:cs="Arial"/>
                <w:b/>
                <w:bCs/>
                <w:lang w:eastAsia="cs-CZ"/>
              </w:rPr>
              <w:t>Fondy</w:t>
            </w:r>
          </w:p>
        </w:tc>
        <w:tc>
          <w:tcPr>
            <w:tcW w:w="1559" w:type="dxa"/>
            <w:tcBorders>
              <w:top w:val="nil"/>
              <w:left w:val="nil"/>
              <w:bottom w:val="nil"/>
              <w:right w:val="nil"/>
            </w:tcBorders>
            <w:shd w:val="clear" w:color="auto" w:fill="auto"/>
            <w:noWrap/>
            <w:vAlign w:val="bottom"/>
            <w:hideMark/>
          </w:tcPr>
          <w:p w14:paraId="078DF1F1" w14:textId="77777777" w:rsidR="00033E98" w:rsidRPr="00033E98" w:rsidRDefault="00033E98" w:rsidP="00033E98">
            <w:pPr>
              <w:spacing w:after="0" w:line="240" w:lineRule="auto"/>
              <w:rPr>
                <w:rFonts w:ascii="Calibri" w:eastAsia="Times New Roman" w:hAnsi="Calibri" w:cs="Arial"/>
                <w:b/>
                <w:bCs/>
                <w:lang w:eastAsia="cs-CZ"/>
              </w:rPr>
            </w:pPr>
          </w:p>
        </w:tc>
        <w:tc>
          <w:tcPr>
            <w:tcW w:w="1701" w:type="dxa"/>
            <w:tcBorders>
              <w:top w:val="nil"/>
              <w:left w:val="nil"/>
              <w:bottom w:val="nil"/>
              <w:right w:val="nil"/>
            </w:tcBorders>
            <w:shd w:val="clear" w:color="auto" w:fill="auto"/>
            <w:noWrap/>
            <w:vAlign w:val="bottom"/>
            <w:hideMark/>
          </w:tcPr>
          <w:p w14:paraId="6B87588E" w14:textId="77777777" w:rsidR="00033E98" w:rsidRPr="00033E98" w:rsidRDefault="00033E98" w:rsidP="00033E98">
            <w:pPr>
              <w:spacing w:after="0" w:line="240" w:lineRule="auto"/>
              <w:jc w:val="right"/>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425D2DA8" w14:textId="77777777" w:rsidR="00033E98" w:rsidRPr="00033E98" w:rsidRDefault="00033E98" w:rsidP="00033E98">
            <w:pPr>
              <w:spacing w:after="0" w:line="240" w:lineRule="auto"/>
              <w:jc w:val="right"/>
              <w:rPr>
                <w:rFonts w:ascii="Times New Roman" w:eastAsia="Times New Roman" w:hAnsi="Times New Roman" w:cs="Times New Roman"/>
                <w:sz w:val="20"/>
                <w:szCs w:val="20"/>
                <w:lang w:eastAsia="cs-CZ"/>
              </w:rPr>
            </w:pPr>
          </w:p>
        </w:tc>
        <w:tc>
          <w:tcPr>
            <w:tcW w:w="850" w:type="dxa"/>
            <w:tcBorders>
              <w:top w:val="nil"/>
              <w:left w:val="nil"/>
              <w:bottom w:val="nil"/>
              <w:right w:val="nil"/>
            </w:tcBorders>
            <w:shd w:val="clear" w:color="auto" w:fill="auto"/>
            <w:noWrap/>
            <w:vAlign w:val="bottom"/>
            <w:hideMark/>
          </w:tcPr>
          <w:p w14:paraId="0BAD596E" w14:textId="77777777" w:rsidR="00033E98" w:rsidRPr="00033E98" w:rsidRDefault="00033E98" w:rsidP="00033E98">
            <w:pPr>
              <w:spacing w:after="0" w:line="240" w:lineRule="auto"/>
              <w:jc w:val="right"/>
              <w:rPr>
                <w:rFonts w:ascii="Times New Roman" w:eastAsia="Times New Roman" w:hAnsi="Times New Roman" w:cs="Times New Roman"/>
                <w:sz w:val="20"/>
                <w:szCs w:val="20"/>
                <w:lang w:eastAsia="cs-CZ"/>
              </w:rPr>
            </w:pPr>
          </w:p>
        </w:tc>
      </w:tr>
      <w:tr w:rsidR="00033E98" w:rsidRPr="00033E98" w14:paraId="354CE4EE" w14:textId="77777777" w:rsidTr="00D82B5A">
        <w:trPr>
          <w:trHeight w:val="530"/>
        </w:trPr>
        <w:tc>
          <w:tcPr>
            <w:tcW w:w="826" w:type="dxa"/>
            <w:tcBorders>
              <w:top w:val="single" w:sz="8" w:space="0" w:color="auto"/>
              <w:left w:val="single" w:sz="8" w:space="0" w:color="auto"/>
              <w:bottom w:val="nil"/>
              <w:right w:val="single" w:sz="4" w:space="0" w:color="auto"/>
            </w:tcBorders>
            <w:shd w:val="clear" w:color="auto" w:fill="auto"/>
            <w:noWrap/>
            <w:vAlign w:val="center"/>
            <w:hideMark/>
          </w:tcPr>
          <w:p w14:paraId="5775E35E" w14:textId="77777777" w:rsidR="00033E98" w:rsidRPr="00033E98" w:rsidRDefault="00033E98" w:rsidP="00033E98">
            <w:pPr>
              <w:spacing w:after="0" w:line="240" w:lineRule="auto"/>
              <w:jc w:val="center"/>
              <w:rPr>
                <w:rFonts w:ascii="Calibri" w:eastAsia="Times New Roman" w:hAnsi="Calibri" w:cs="Arial"/>
                <w:sz w:val="20"/>
                <w:szCs w:val="20"/>
                <w:lang w:eastAsia="cs-CZ"/>
              </w:rPr>
            </w:pPr>
            <w:r w:rsidRPr="00033E98">
              <w:rPr>
                <w:rFonts w:ascii="Calibri" w:eastAsia="Times New Roman" w:hAnsi="Calibri" w:cs="Arial"/>
                <w:sz w:val="20"/>
                <w:szCs w:val="20"/>
                <w:lang w:eastAsia="cs-CZ"/>
              </w:rPr>
              <w:t> </w:t>
            </w:r>
          </w:p>
        </w:tc>
        <w:tc>
          <w:tcPr>
            <w:tcW w:w="4253" w:type="dxa"/>
            <w:tcBorders>
              <w:top w:val="single" w:sz="8" w:space="0" w:color="auto"/>
              <w:left w:val="nil"/>
              <w:bottom w:val="nil"/>
              <w:right w:val="single" w:sz="4" w:space="0" w:color="auto"/>
            </w:tcBorders>
            <w:shd w:val="clear" w:color="auto" w:fill="auto"/>
            <w:vAlign w:val="center"/>
            <w:hideMark/>
          </w:tcPr>
          <w:p w14:paraId="60A06184" w14:textId="77777777" w:rsidR="00033E98" w:rsidRPr="00033E98" w:rsidRDefault="00033E98" w:rsidP="00033E98">
            <w:pPr>
              <w:spacing w:after="0" w:line="240" w:lineRule="auto"/>
              <w:rPr>
                <w:rFonts w:ascii="Calibri" w:eastAsia="Times New Roman" w:hAnsi="Calibri" w:cs="Arial"/>
                <w:sz w:val="20"/>
                <w:szCs w:val="20"/>
                <w:lang w:eastAsia="cs-CZ"/>
              </w:rPr>
            </w:pPr>
            <w:r w:rsidRPr="00033E98">
              <w:rPr>
                <w:rFonts w:ascii="Calibri" w:eastAsia="Times New Roman" w:hAnsi="Calibri" w:cs="Arial"/>
                <w:sz w:val="20"/>
                <w:szCs w:val="20"/>
                <w:lang w:eastAsia="cs-CZ"/>
              </w:rPr>
              <w:t>Středočeský Fond homogenizace krajské dopravní infrastruktury</w:t>
            </w:r>
          </w:p>
        </w:tc>
        <w:tc>
          <w:tcPr>
            <w:tcW w:w="1559" w:type="dxa"/>
            <w:tcBorders>
              <w:top w:val="single" w:sz="8" w:space="0" w:color="auto"/>
              <w:left w:val="nil"/>
              <w:bottom w:val="nil"/>
              <w:right w:val="single" w:sz="4" w:space="0" w:color="auto"/>
            </w:tcBorders>
            <w:shd w:val="clear" w:color="auto" w:fill="auto"/>
            <w:noWrap/>
            <w:vAlign w:val="bottom"/>
            <w:hideMark/>
          </w:tcPr>
          <w:p w14:paraId="03C9F307"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0</w:t>
            </w:r>
          </w:p>
        </w:tc>
        <w:tc>
          <w:tcPr>
            <w:tcW w:w="1701" w:type="dxa"/>
            <w:tcBorders>
              <w:top w:val="single" w:sz="8" w:space="0" w:color="auto"/>
              <w:left w:val="nil"/>
              <w:bottom w:val="nil"/>
              <w:right w:val="single" w:sz="4" w:space="0" w:color="auto"/>
            </w:tcBorders>
            <w:shd w:val="clear" w:color="auto" w:fill="auto"/>
            <w:noWrap/>
            <w:vAlign w:val="bottom"/>
            <w:hideMark/>
          </w:tcPr>
          <w:p w14:paraId="757D007F"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40 503 647,00</w:t>
            </w:r>
          </w:p>
        </w:tc>
        <w:tc>
          <w:tcPr>
            <w:tcW w:w="1701" w:type="dxa"/>
            <w:tcBorders>
              <w:top w:val="single" w:sz="8" w:space="0" w:color="auto"/>
              <w:left w:val="nil"/>
              <w:bottom w:val="nil"/>
              <w:right w:val="single" w:sz="4" w:space="0" w:color="auto"/>
            </w:tcBorders>
            <w:shd w:val="clear" w:color="auto" w:fill="auto"/>
            <w:noWrap/>
            <w:vAlign w:val="bottom"/>
            <w:hideMark/>
          </w:tcPr>
          <w:p w14:paraId="578907BD"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20 251 823,50</w:t>
            </w:r>
          </w:p>
        </w:tc>
        <w:tc>
          <w:tcPr>
            <w:tcW w:w="850" w:type="dxa"/>
            <w:tcBorders>
              <w:top w:val="single" w:sz="8" w:space="0" w:color="auto"/>
              <w:left w:val="nil"/>
              <w:bottom w:val="single" w:sz="4" w:space="0" w:color="auto"/>
              <w:right w:val="single" w:sz="8" w:space="0" w:color="auto"/>
            </w:tcBorders>
            <w:shd w:val="clear" w:color="auto" w:fill="auto"/>
            <w:noWrap/>
            <w:vAlign w:val="bottom"/>
            <w:hideMark/>
          </w:tcPr>
          <w:p w14:paraId="3EFAC463"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50,0</w:t>
            </w:r>
          </w:p>
        </w:tc>
      </w:tr>
      <w:tr w:rsidR="00033E98" w:rsidRPr="00033E98" w14:paraId="3E769127" w14:textId="77777777" w:rsidTr="00D82B5A">
        <w:trPr>
          <w:trHeight w:val="300"/>
        </w:trPr>
        <w:tc>
          <w:tcPr>
            <w:tcW w:w="826"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61F74591" w14:textId="77777777" w:rsidR="00033E98" w:rsidRPr="00033E98" w:rsidRDefault="00033E98" w:rsidP="00033E98">
            <w:pPr>
              <w:spacing w:after="0" w:line="240" w:lineRule="auto"/>
              <w:rPr>
                <w:rFonts w:ascii="Calibri" w:eastAsia="Times New Roman" w:hAnsi="Calibri" w:cs="Arial"/>
                <w:lang w:eastAsia="cs-CZ"/>
              </w:rPr>
            </w:pPr>
            <w:r w:rsidRPr="00033E98">
              <w:rPr>
                <w:rFonts w:ascii="Calibri" w:eastAsia="Times New Roman" w:hAnsi="Calibri" w:cs="Arial"/>
                <w:lang w:eastAsia="cs-CZ"/>
              </w:rPr>
              <w:t> </w:t>
            </w:r>
          </w:p>
        </w:tc>
        <w:tc>
          <w:tcPr>
            <w:tcW w:w="4253" w:type="dxa"/>
            <w:tcBorders>
              <w:top w:val="single" w:sz="8" w:space="0" w:color="auto"/>
              <w:left w:val="nil"/>
              <w:bottom w:val="single" w:sz="8" w:space="0" w:color="auto"/>
              <w:right w:val="single" w:sz="4" w:space="0" w:color="auto"/>
            </w:tcBorders>
            <w:shd w:val="clear" w:color="auto" w:fill="auto"/>
            <w:noWrap/>
            <w:vAlign w:val="center"/>
            <w:hideMark/>
          </w:tcPr>
          <w:p w14:paraId="6634B3F9" w14:textId="77777777" w:rsidR="00033E98" w:rsidRPr="00033E98" w:rsidRDefault="00033E98" w:rsidP="00033E98">
            <w:pPr>
              <w:spacing w:after="0" w:line="240" w:lineRule="auto"/>
              <w:rPr>
                <w:rFonts w:ascii="Calibri" w:eastAsia="Times New Roman" w:hAnsi="Calibri" w:cs="Arial"/>
                <w:b/>
                <w:bCs/>
                <w:lang w:eastAsia="cs-CZ"/>
              </w:rPr>
            </w:pPr>
            <w:r w:rsidRPr="00033E98">
              <w:rPr>
                <w:rFonts w:ascii="Calibri" w:eastAsia="Times New Roman" w:hAnsi="Calibri" w:cs="Arial"/>
                <w:b/>
                <w:bCs/>
                <w:lang w:eastAsia="cs-CZ"/>
              </w:rPr>
              <w:t xml:space="preserve">Celkem </w:t>
            </w:r>
          </w:p>
        </w:tc>
        <w:tc>
          <w:tcPr>
            <w:tcW w:w="1559" w:type="dxa"/>
            <w:tcBorders>
              <w:top w:val="single" w:sz="8" w:space="0" w:color="auto"/>
              <w:left w:val="nil"/>
              <w:bottom w:val="single" w:sz="8" w:space="0" w:color="auto"/>
              <w:right w:val="single" w:sz="4" w:space="0" w:color="auto"/>
            </w:tcBorders>
            <w:shd w:val="clear" w:color="auto" w:fill="auto"/>
            <w:noWrap/>
            <w:vAlign w:val="center"/>
            <w:hideMark/>
          </w:tcPr>
          <w:p w14:paraId="0EE951AB" w14:textId="77777777" w:rsidR="00033E98" w:rsidRPr="00033E98" w:rsidRDefault="00033E98" w:rsidP="00033E98">
            <w:pPr>
              <w:spacing w:after="0" w:line="240" w:lineRule="auto"/>
              <w:jc w:val="right"/>
              <w:rPr>
                <w:rFonts w:ascii="Calibri" w:eastAsia="Times New Roman" w:hAnsi="Calibri" w:cs="Arial"/>
                <w:b/>
                <w:bCs/>
                <w:lang w:eastAsia="cs-CZ"/>
              </w:rPr>
            </w:pPr>
            <w:r w:rsidRPr="00033E98">
              <w:rPr>
                <w:rFonts w:ascii="Calibri" w:eastAsia="Times New Roman" w:hAnsi="Calibri" w:cs="Arial"/>
                <w:b/>
                <w:bCs/>
                <w:lang w:eastAsia="cs-CZ"/>
              </w:rPr>
              <w:t>0</w:t>
            </w:r>
          </w:p>
        </w:tc>
        <w:tc>
          <w:tcPr>
            <w:tcW w:w="1701" w:type="dxa"/>
            <w:tcBorders>
              <w:top w:val="single" w:sz="8" w:space="0" w:color="auto"/>
              <w:left w:val="nil"/>
              <w:bottom w:val="single" w:sz="8" w:space="0" w:color="auto"/>
              <w:right w:val="single" w:sz="4" w:space="0" w:color="auto"/>
            </w:tcBorders>
            <w:shd w:val="clear" w:color="auto" w:fill="auto"/>
            <w:noWrap/>
            <w:vAlign w:val="center"/>
            <w:hideMark/>
          </w:tcPr>
          <w:p w14:paraId="27EECA6A" w14:textId="77777777" w:rsidR="00033E98" w:rsidRPr="00033E98" w:rsidRDefault="00033E98" w:rsidP="00033E98">
            <w:pPr>
              <w:spacing w:after="0" w:line="240" w:lineRule="auto"/>
              <w:jc w:val="right"/>
              <w:rPr>
                <w:rFonts w:ascii="Calibri" w:eastAsia="Times New Roman" w:hAnsi="Calibri" w:cs="Arial"/>
                <w:b/>
                <w:bCs/>
                <w:lang w:eastAsia="cs-CZ"/>
              </w:rPr>
            </w:pPr>
            <w:r w:rsidRPr="00033E98">
              <w:rPr>
                <w:rFonts w:ascii="Calibri" w:eastAsia="Times New Roman" w:hAnsi="Calibri" w:cs="Arial"/>
                <w:b/>
                <w:bCs/>
                <w:lang w:eastAsia="cs-CZ"/>
              </w:rPr>
              <w:t>40 503 647,00</w:t>
            </w:r>
          </w:p>
        </w:tc>
        <w:tc>
          <w:tcPr>
            <w:tcW w:w="1701" w:type="dxa"/>
            <w:tcBorders>
              <w:top w:val="single" w:sz="8" w:space="0" w:color="auto"/>
              <w:left w:val="nil"/>
              <w:bottom w:val="single" w:sz="8" w:space="0" w:color="auto"/>
              <w:right w:val="single" w:sz="4" w:space="0" w:color="auto"/>
            </w:tcBorders>
            <w:shd w:val="clear" w:color="auto" w:fill="auto"/>
            <w:noWrap/>
            <w:vAlign w:val="center"/>
            <w:hideMark/>
          </w:tcPr>
          <w:p w14:paraId="0ED80E51" w14:textId="77777777" w:rsidR="00033E98" w:rsidRPr="00033E98" w:rsidRDefault="00033E98" w:rsidP="00033E98">
            <w:pPr>
              <w:spacing w:after="0" w:line="240" w:lineRule="auto"/>
              <w:jc w:val="right"/>
              <w:rPr>
                <w:rFonts w:ascii="Calibri" w:eastAsia="Times New Roman" w:hAnsi="Calibri" w:cs="Arial"/>
                <w:b/>
                <w:bCs/>
                <w:lang w:eastAsia="cs-CZ"/>
              </w:rPr>
            </w:pPr>
            <w:r w:rsidRPr="00033E98">
              <w:rPr>
                <w:rFonts w:ascii="Calibri" w:eastAsia="Times New Roman" w:hAnsi="Calibri" w:cs="Arial"/>
                <w:b/>
                <w:bCs/>
                <w:lang w:eastAsia="cs-CZ"/>
              </w:rPr>
              <w:t>20 251 823,50</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14:paraId="11A9E9AF" w14:textId="77777777" w:rsidR="00033E98" w:rsidRPr="00033E98" w:rsidRDefault="00033E98" w:rsidP="00033E98">
            <w:pPr>
              <w:spacing w:after="0" w:line="240" w:lineRule="auto"/>
              <w:jc w:val="right"/>
              <w:rPr>
                <w:rFonts w:ascii="Calibri" w:eastAsia="Times New Roman" w:hAnsi="Calibri" w:cs="Arial"/>
                <w:b/>
                <w:bCs/>
                <w:lang w:eastAsia="cs-CZ"/>
              </w:rPr>
            </w:pPr>
            <w:r w:rsidRPr="00033E98">
              <w:rPr>
                <w:rFonts w:ascii="Calibri" w:eastAsia="Times New Roman" w:hAnsi="Calibri" w:cs="Arial"/>
                <w:b/>
                <w:bCs/>
                <w:lang w:eastAsia="cs-CZ"/>
              </w:rPr>
              <w:t>50,0</w:t>
            </w:r>
          </w:p>
        </w:tc>
      </w:tr>
      <w:tr w:rsidR="00033E98" w:rsidRPr="00033E98" w14:paraId="27801079" w14:textId="77777777" w:rsidTr="00D82B5A">
        <w:trPr>
          <w:trHeight w:val="310"/>
        </w:trPr>
        <w:tc>
          <w:tcPr>
            <w:tcW w:w="826" w:type="dxa"/>
            <w:tcBorders>
              <w:top w:val="nil"/>
              <w:left w:val="nil"/>
              <w:bottom w:val="nil"/>
              <w:right w:val="nil"/>
            </w:tcBorders>
            <w:shd w:val="clear" w:color="auto" w:fill="auto"/>
            <w:noWrap/>
            <w:vAlign w:val="bottom"/>
            <w:hideMark/>
          </w:tcPr>
          <w:p w14:paraId="65AB4FF2" w14:textId="77777777" w:rsidR="00033E98" w:rsidRPr="00033E98" w:rsidRDefault="00033E98" w:rsidP="00033E98">
            <w:pPr>
              <w:spacing w:after="0" w:line="240" w:lineRule="auto"/>
              <w:jc w:val="right"/>
              <w:rPr>
                <w:rFonts w:ascii="Calibri" w:eastAsia="Times New Roman" w:hAnsi="Calibri" w:cs="Arial"/>
                <w:b/>
                <w:bCs/>
                <w:lang w:eastAsia="cs-CZ"/>
              </w:rPr>
            </w:pPr>
          </w:p>
        </w:tc>
        <w:tc>
          <w:tcPr>
            <w:tcW w:w="4253" w:type="dxa"/>
            <w:tcBorders>
              <w:top w:val="nil"/>
              <w:left w:val="nil"/>
              <w:bottom w:val="nil"/>
              <w:right w:val="nil"/>
            </w:tcBorders>
            <w:shd w:val="clear" w:color="auto" w:fill="auto"/>
            <w:noWrap/>
            <w:vAlign w:val="bottom"/>
            <w:hideMark/>
          </w:tcPr>
          <w:p w14:paraId="7826DB64" w14:textId="77777777" w:rsidR="00033E98" w:rsidRPr="00033E98" w:rsidRDefault="00033E98" w:rsidP="00033E98">
            <w:pPr>
              <w:spacing w:after="0" w:line="240" w:lineRule="auto"/>
              <w:rPr>
                <w:rFonts w:ascii="Times New Roman" w:eastAsia="Times New Roman" w:hAnsi="Times New Roman" w:cs="Times New Roman"/>
                <w:sz w:val="20"/>
                <w:szCs w:val="20"/>
                <w:lang w:eastAsia="cs-CZ"/>
              </w:rPr>
            </w:pPr>
          </w:p>
        </w:tc>
        <w:tc>
          <w:tcPr>
            <w:tcW w:w="1559" w:type="dxa"/>
            <w:tcBorders>
              <w:top w:val="nil"/>
              <w:left w:val="nil"/>
              <w:bottom w:val="nil"/>
              <w:right w:val="nil"/>
            </w:tcBorders>
            <w:shd w:val="clear" w:color="auto" w:fill="auto"/>
            <w:noWrap/>
            <w:vAlign w:val="bottom"/>
            <w:hideMark/>
          </w:tcPr>
          <w:p w14:paraId="05BB7B6D" w14:textId="77777777" w:rsidR="00033E98" w:rsidRPr="00033E98" w:rsidRDefault="00033E98" w:rsidP="00033E98">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047AADE3" w14:textId="77777777" w:rsidR="00033E98" w:rsidRPr="00033E98" w:rsidRDefault="00033E98" w:rsidP="00033E98">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716D9429" w14:textId="77777777" w:rsidR="00033E98" w:rsidRPr="00033E98" w:rsidRDefault="00033E98" w:rsidP="00033E98">
            <w:pPr>
              <w:spacing w:after="0" w:line="240" w:lineRule="auto"/>
              <w:rPr>
                <w:rFonts w:ascii="Times New Roman" w:eastAsia="Times New Roman" w:hAnsi="Times New Roman" w:cs="Times New Roman"/>
                <w:sz w:val="20"/>
                <w:szCs w:val="20"/>
                <w:lang w:eastAsia="cs-CZ"/>
              </w:rPr>
            </w:pPr>
          </w:p>
        </w:tc>
        <w:tc>
          <w:tcPr>
            <w:tcW w:w="850" w:type="dxa"/>
            <w:tcBorders>
              <w:top w:val="nil"/>
              <w:left w:val="nil"/>
              <w:bottom w:val="nil"/>
              <w:right w:val="nil"/>
            </w:tcBorders>
            <w:shd w:val="clear" w:color="auto" w:fill="auto"/>
            <w:noWrap/>
            <w:vAlign w:val="bottom"/>
            <w:hideMark/>
          </w:tcPr>
          <w:p w14:paraId="13D9D9AA" w14:textId="77777777" w:rsidR="00033E98" w:rsidRPr="00033E98" w:rsidRDefault="00033E98" w:rsidP="00033E98">
            <w:pPr>
              <w:spacing w:after="0" w:line="240" w:lineRule="auto"/>
              <w:rPr>
                <w:rFonts w:ascii="Times New Roman" w:eastAsia="Times New Roman" w:hAnsi="Times New Roman" w:cs="Times New Roman"/>
                <w:sz w:val="20"/>
                <w:szCs w:val="20"/>
                <w:lang w:eastAsia="cs-CZ"/>
              </w:rPr>
            </w:pPr>
          </w:p>
        </w:tc>
      </w:tr>
      <w:tr w:rsidR="00033E98" w:rsidRPr="00033E98" w14:paraId="5F02EDA7" w14:textId="77777777" w:rsidTr="00D82B5A">
        <w:trPr>
          <w:trHeight w:val="320"/>
        </w:trPr>
        <w:tc>
          <w:tcPr>
            <w:tcW w:w="826" w:type="dxa"/>
            <w:tcBorders>
              <w:top w:val="nil"/>
              <w:left w:val="nil"/>
              <w:bottom w:val="single" w:sz="8" w:space="0" w:color="auto"/>
              <w:right w:val="nil"/>
            </w:tcBorders>
            <w:shd w:val="clear" w:color="auto" w:fill="auto"/>
            <w:noWrap/>
            <w:vAlign w:val="bottom"/>
            <w:hideMark/>
          </w:tcPr>
          <w:p w14:paraId="7704B0E5" w14:textId="77777777" w:rsidR="00033E98" w:rsidRPr="00033E98" w:rsidRDefault="00033E98" w:rsidP="00033E98">
            <w:pPr>
              <w:spacing w:after="0" w:line="240" w:lineRule="auto"/>
              <w:rPr>
                <w:rFonts w:ascii="Calibri" w:eastAsia="Times New Roman" w:hAnsi="Calibri" w:cs="Arial"/>
                <w:b/>
                <w:bCs/>
                <w:sz w:val="20"/>
                <w:szCs w:val="20"/>
                <w:lang w:eastAsia="cs-CZ"/>
              </w:rPr>
            </w:pPr>
            <w:r w:rsidRPr="00033E98">
              <w:rPr>
                <w:rFonts w:ascii="Calibri" w:eastAsia="Times New Roman" w:hAnsi="Calibri" w:cs="Arial"/>
                <w:b/>
                <w:bCs/>
                <w:sz w:val="20"/>
                <w:szCs w:val="20"/>
                <w:lang w:eastAsia="cs-CZ"/>
              </w:rPr>
              <w:t> </w:t>
            </w:r>
          </w:p>
        </w:tc>
        <w:tc>
          <w:tcPr>
            <w:tcW w:w="5812" w:type="dxa"/>
            <w:gridSpan w:val="2"/>
            <w:tcBorders>
              <w:top w:val="nil"/>
              <w:left w:val="nil"/>
              <w:bottom w:val="nil"/>
              <w:right w:val="nil"/>
            </w:tcBorders>
            <w:shd w:val="clear" w:color="auto" w:fill="auto"/>
            <w:noWrap/>
            <w:vAlign w:val="bottom"/>
            <w:hideMark/>
          </w:tcPr>
          <w:p w14:paraId="0A033136" w14:textId="77777777" w:rsidR="00033E98" w:rsidRPr="00033E98" w:rsidRDefault="00033E98" w:rsidP="00033E98">
            <w:pPr>
              <w:spacing w:after="0" w:line="240" w:lineRule="auto"/>
              <w:rPr>
                <w:rFonts w:ascii="Calibri" w:eastAsia="Times New Roman" w:hAnsi="Calibri" w:cs="Arial"/>
                <w:b/>
                <w:bCs/>
                <w:lang w:eastAsia="cs-CZ"/>
              </w:rPr>
            </w:pPr>
            <w:r w:rsidRPr="00033E98">
              <w:rPr>
                <w:rFonts w:ascii="Calibri" w:eastAsia="Times New Roman" w:hAnsi="Calibri" w:cs="Arial"/>
                <w:b/>
                <w:bCs/>
                <w:lang w:eastAsia="cs-CZ"/>
              </w:rPr>
              <w:t>Výdaje na reprodukci majetku příspěvkových organizací</w:t>
            </w:r>
          </w:p>
        </w:tc>
        <w:tc>
          <w:tcPr>
            <w:tcW w:w="1701" w:type="dxa"/>
            <w:tcBorders>
              <w:top w:val="nil"/>
              <w:left w:val="nil"/>
              <w:bottom w:val="nil"/>
              <w:right w:val="nil"/>
            </w:tcBorders>
            <w:shd w:val="clear" w:color="auto" w:fill="auto"/>
            <w:noWrap/>
            <w:vAlign w:val="bottom"/>
            <w:hideMark/>
          </w:tcPr>
          <w:p w14:paraId="3783AD60" w14:textId="77777777" w:rsidR="00033E98" w:rsidRPr="00033E98" w:rsidRDefault="00033E98" w:rsidP="00033E98">
            <w:pPr>
              <w:spacing w:after="0" w:line="240" w:lineRule="auto"/>
              <w:rPr>
                <w:rFonts w:ascii="Calibri" w:eastAsia="Times New Roman" w:hAnsi="Calibri" w:cs="Arial"/>
                <w:b/>
                <w:bCs/>
                <w:lang w:eastAsia="cs-CZ"/>
              </w:rPr>
            </w:pPr>
          </w:p>
        </w:tc>
        <w:tc>
          <w:tcPr>
            <w:tcW w:w="1701" w:type="dxa"/>
            <w:tcBorders>
              <w:top w:val="nil"/>
              <w:left w:val="nil"/>
              <w:bottom w:val="nil"/>
              <w:right w:val="nil"/>
            </w:tcBorders>
            <w:shd w:val="clear" w:color="auto" w:fill="auto"/>
            <w:noWrap/>
            <w:vAlign w:val="bottom"/>
            <w:hideMark/>
          </w:tcPr>
          <w:p w14:paraId="519EFDA9" w14:textId="77777777" w:rsidR="00033E98" w:rsidRPr="00033E98" w:rsidRDefault="00033E98" w:rsidP="00033E98">
            <w:pPr>
              <w:spacing w:after="0" w:line="240" w:lineRule="auto"/>
              <w:rPr>
                <w:rFonts w:ascii="Times New Roman" w:eastAsia="Times New Roman" w:hAnsi="Times New Roman" w:cs="Times New Roman"/>
                <w:sz w:val="20"/>
                <w:szCs w:val="20"/>
                <w:lang w:eastAsia="cs-CZ"/>
              </w:rPr>
            </w:pPr>
          </w:p>
        </w:tc>
        <w:tc>
          <w:tcPr>
            <w:tcW w:w="850" w:type="dxa"/>
            <w:tcBorders>
              <w:top w:val="nil"/>
              <w:left w:val="nil"/>
              <w:bottom w:val="nil"/>
              <w:right w:val="nil"/>
            </w:tcBorders>
            <w:shd w:val="clear" w:color="auto" w:fill="auto"/>
            <w:noWrap/>
            <w:vAlign w:val="bottom"/>
            <w:hideMark/>
          </w:tcPr>
          <w:p w14:paraId="5B7628AA" w14:textId="77777777" w:rsidR="00033E98" w:rsidRPr="00033E98" w:rsidRDefault="00033E98" w:rsidP="00033E98">
            <w:pPr>
              <w:spacing w:after="0" w:line="240" w:lineRule="auto"/>
              <w:jc w:val="right"/>
              <w:rPr>
                <w:rFonts w:ascii="Times New Roman" w:eastAsia="Times New Roman" w:hAnsi="Times New Roman" w:cs="Times New Roman"/>
                <w:sz w:val="20"/>
                <w:szCs w:val="20"/>
                <w:lang w:eastAsia="cs-CZ"/>
              </w:rPr>
            </w:pPr>
          </w:p>
        </w:tc>
      </w:tr>
      <w:tr w:rsidR="00033E98" w:rsidRPr="00033E98" w14:paraId="7E32326C" w14:textId="77777777" w:rsidTr="00D82B5A">
        <w:trPr>
          <w:trHeight w:val="31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0E640F17" w14:textId="77777777" w:rsidR="00033E98" w:rsidRPr="00033E98" w:rsidRDefault="00033E98" w:rsidP="00033E98">
            <w:pPr>
              <w:spacing w:after="0" w:line="240" w:lineRule="auto"/>
              <w:jc w:val="center"/>
              <w:rPr>
                <w:rFonts w:ascii="Calibri" w:eastAsia="Times New Roman" w:hAnsi="Calibri" w:cs="Arial"/>
                <w:sz w:val="20"/>
                <w:szCs w:val="20"/>
                <w:lang w:eastAsia="cs-CZ"/>
              </w:rPr>
            </w:pPr>
            <w:r w:rsidRPr="00033E98">
              <w:rPr>
                <w:rFonts w:ascii="Calibri" w:eastAsia="Times New Roman" w:hAnsi="Calibri" w:cs="Arial"/>
                <w:sz w:val="20"/>
                <w:szCs w:val="20"/>
                <w:lang w:eastAsia="cs-CZ"/>
              </w:rPr>
              <w:t> </w:t>
            </w:r>
          </w:p>
        </w:tc>
        <w:tc>
          <w:tcPr>
            <w:tcW w:w="4253" w:type="dxa"/>
            <w:tcBorders>
              <w:top w:val="single" w:sz="8" w:space="0" w:color="auto"/>
              <w:left w:val="nil"/>
              <w:bottom w:val="single" w:sz="4" w:space="0" w:color="auto"/>
              <w:right w:val="single" w:sz="4" w:space="0" w:color="auto"/>
            </w:tcBorders>
            <w:shd w:val="clear" w:color="auto" w:fill="auto"/>
            <w:vAlign w:val="bottom"/>
            <w:hideMark/>
          </w:tcPr>
          <w:p w14:paraId="2FA39CA7" w14:textId="27B24986" w:rsidR="00033E98" w:rsidRPr="00033E98" w:rsidRDefault="00033E98" w:rsidP="00033E98">
            <w:pPr>
              <w:spacing w:after="0" w:line="240" w:lineRule="auto"/>
              <w:rPr>
                <w:rFonts w:ascii="Calibri" w:eastAsia="Times New Roman" w:hAnsi="Calibri" w:cs="Arial"/>
                <w:sz w:val="20"/>
                <w:szCs w:val="20"/>
                <w:lang w:eastAsia="cs-CZ"/>
              </w:rPr>
            </w:pPr>
            <w:r w:rsidRPr="00B908E6">
              <w:rPr>
                <w:rFonts w:ascii="Calibri" w:eastAsia="Times New Roman" w:hAnsi="Calibri" w:cs="Arial"/>
                <w:sz w:val="20"/>
                <w:szCs w:val="20"/>
                <w:lang w:eastAsia="cs-CZ"/>
              </w:rPr>
              <w:t>Vrácené příjmy z</w:t>
            </w:r>
            <w:r w:rsidR="00BE209D" w:rsidRPr="00B908E6">
              <w:rPr>
                <w:rFonts w:ascii="Calibri" w:eastAsia="Times New Roman" w:hAnsi="Calibri" w:cs="Arial"/>
                <w:sz w:val="20"/>
                <w:szCs w:val="20"/>
                <w:lang w:eastAsia="cs-CZ"/>
              </w:rPr>
              <w:t> </w:t>
            </w:r>
            <w:r w:rsidRPr="00B908E6">
              <w:rPr>
                <w:rFonts w:ascii="Calibri" w:eastAsia="Times New Roman" w:hAnsi="Calibri" w:cs="Arial"/>
                <w:sz w:val="20"/>
                <w:szCs w:val="20"/>
                <w:lang w:eastAsia="cs-CZ"/>
              </w:rPr>
              <w:t>pronájmu</w:t>
            </w:r>
            <w:r w:rsidR="00BE209D" w:rsidRPr="00B908E6">
              <w:rPr>
                <w:rFonts w:ascii="Calibri" w:eastAsia="Times New Roman" w:hAnsi="Calibri" w:cs="Arial"/>
                <w:sz w:val="20"/>
                <w:szCs w:val="20"/>
                <w:lang w:eastAsia="cs-CZ"/>
              </w:rPr>
              <w:t xml:space="preserve"> </w:t>
            </w:r>
            <w:r w:rsidR="00B908E6" w:rsidRPr="00B908E6">
              <w:rPr>
                <w:rFonts w:ascii="Calibri" w:eastAsia="Times New Roman" w:hAnsi="Calibri" w:cs="Arial"/>
                <w:sz w:val="20"/>
                <w:szCs w:val="20"/>
                <w:lang w:eastAsia="cs-CZ"/>
              </w:rPr>
              <w:t xml:space="preserve">za minulý rok </w:t>
            </w:r>
            <w:r w:rsidRPr="00B908E6">
              <w:rPr>
                <w:rFonts w:ascii="Calibri" w:eastAsia="Times New Roman" w:hAnsi="Calibri" w:cs="Arial"/>
                <w:sz w:val="20"/>
                <w:szCs w:val="20"/>
                <w:lang w:eastAsia="cs-CZ"/>
              </w:rPr>
              <w:t>(UZ 041)</w:t>
            </w:r>
          </w:p>
        </w:tc>
        <w:tc>
          <w:tcPr>
            <w:tcW w:w="1559" w:type="dxa"/>
            <w:tcBorders>
              <w:top w:val="single" w:sz="8" w:space="0" w:color="auto"/>
              <w:left w:val="nil"/>
              <w:bottom w:val="single" w:sz="4" w:space="0" w:color="auto"/>
              <w:right w:val="single" w:sz="4" w:space="0" w:color="auto"/>
            </w:tcBorders>
            <w:shd w:val="clear" w:color="auto" w:fill="auto"/>
            <w:noWrap/>
            <w:vAlign w:val="bottom"/>
            <w:hideMark/>
          </w:tcPr>
          <w:p w14:paraId="32BD8E75"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0</w:t>
            </w:r>
          </w:p>
        </w:tc>
        <w:tc>
          <w:tcPr>
            <w:tcW w:w="1701" w:type="dxa"/>
            <w:tcBorders>
              <w:top w:val="single" w:sz="8" w:space="0" w:color="auto"/>
              <w:left w:val="nil"/>
              <w:bottom w:val="single" w:sz="4" w:space="0" w:color="auto"/>
              <w:right w:val="single" w:sz="4" w:space="0" w:color="auto"/>
            </w:tcBorders>
            <w:shd w:val="clear" w:color="auto" w:fill="auto"/>
            <w:noWrap/>
            <w:vAlign w:val="bottom"/>
            <w:hideMark/>
          </w:tcPr>
          <w:p w14:paraId="2D0EE58A"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18 480 014,38</w:t>
            </w:r>
          </w:p>
        </w:tc>
        <w:tc>
          <w:tcPr>
            <w:tcW w:w="1701" w:type="dxa"/>
            <w:tcBorders>
              <w:top w:val="single" w:sz="8" w:space="0" w:color="auto"/>
              <w:left w:val="nil"/>
              <w:bottom w:val="single" w:sz="4" w:space="0" w:color="auto"/>
              <w:right w:val="single" w:sz="4" w:space="0" w:color="auto"/>
            </w:tcBorders>
            <w:shd w:val="clear" w:color="auto" w:fill="auto"/>
            <w:noWrap/>
            <w:vAlign w:val="bottom"/>
            <w:hideMark/>
          </w:tcPr>
          <w:p w14:paraId="2F889A1A"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18 480 014,38</w:t>
            </w:r>
          </w:p>
        </w:tc>
        <w:tc>
          <w:tcPr>
            <w:tcW w:w="850" w:type="dxa"/>
            <w:tcBorders>
              <w:top w:val="single" w:sz="8" w:space="0" w:color="auto"/>
              <w:left w:val="nil"/>
              <w:bottom w:val="single" w:sz="4" w:space="0" w:color="auto"/>
              <w:right w:val="single" w:sz="8" w:space="0" w:color="auto"/>
            </w:tcBorders>
            <w:shd w:val="clear" w:color="auto" w:fill="auto"/>
            <w:noWrap/>
            <w:vAlign w:val="bottom"/>
            <w:hideMark/>
          </w:tcPr>
          <w:p w14:paraId="268CAF6A"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100,0</w:t>
            </w:r>
          </w:p>
        </w:tc>
      </w:tr>
      <w:tr w:rsidR="00033E98" w:rsidRPr="00033E98" w14:paraId="7A6A6A63" w14:textId="77777777" w:rsidTr="00D82B5A">
        <w:trPr>
          <w:trHeight w:val="320"/>
        </w:trPr>
        <w:tc>
          <w:tcPr>
            <w:tcW w:w="826" w:type="dxa"/>
            <w:tcBorders>
              <w:top w:val="nil"/>
              <w:left w:val="single" w:sz="8" w:space="0" w:color="auto"/>
              <w:bottom w:val="single" w:sz="8" w:space="0" w:color="auto"/>
              <w:right w:val="single" w:sz="4" w:space="0" w:color="auto"/>
            </w:tcBorders>
            <w:shd w:val="clear" w:color="auto" w:fill="auto"/>
            <w:noWrap/>
            <w:vAlign w:val="bottom"/>
            <w:hideMark/>
          </w:tcPr>
          <w:p w14:paraId="66C54CEC" w14:textId="77777777" w:rsidR="00033E98" w:rsidRPr="00033E98" w:rsidRDefault="00033E98" w:rsidP="00033E98">
            <w:pPr>
              <w:spacing w:after="0" w:line="240" w:lineRule="auto"/>
              <w:jc w:val="center"/>
              <w:rPr>
                <w:rFonts w:ascii="Calibri" w:eastAsia="Times New Roman" w:hAnsi="Calibri" w:cs="Arial"/>
                <w:sz w:val="20"/>
                <w:szCs w:val="20"/>
                <w:lang w:eastAsia="cs-CZ"/>
              </w:rPr>
            </w:pPr>
            <w:r w:rsidRPr="00033E98">
              <w:rPr>
                <w:rFonts w:ascii="Calibri" w:eastAsia="Times New Roman" w:hAnsi="Calibri" w:cs="Arial"/>
                <w:sz w:val="20"/>
                <w:szCs w:val="20"/>
                <w:lang w:eastAsia="cs-CZ"/>
              </w:rPr>
              <w:t> </w:t>
            </w:r>
          </w:p>
        </w:tc>
        <w:tc>
          <w:tcPr>
            <w:tcW w:w="4253" w:type="dxa"/>
            <w:tcBorders>
              <w:top w:val="nil"/>
              <w:left w:val="nil"/>
              <w:bottom w:val="single" w:sz="8" w:space="0" w:color="auto"/>
              <w:right w:val="single" w:sz="4" w:space="0" w:color="auto"/>
            </w:tcBorders>
            <w:shd w:val="clear" w:color="auto" w:fill="auto"/>
            <w:vAlign w:val="bottom"/>
            <w:hideMark/>
          </w:tcPr>
          <w:p w14:paraId="3A24E4F5" w14:textId="77777777" w:rsidR="00033E98" w:rsidRPr="00033E98" w:rsidRDefault="00033E98" w:rsidP="00033E98">
            <w:pPr>
              <w:spacing w:after="0" w:line="240" w:lineRule="auto"/>
              <w:rPr>
                <w:rFonts w:ascii="Calibri" w:eastAsia="Times New Roman" w:hAnsi="Calibri" w:cs="Arial"/>
                <w:sz w:val="20"/>
                <w:szCs w:val="20"/>
                <w:lang w:eastAsia="cs-CZ"/>
              </w:rPr>
            </w:pPr>
            <w:r w:rsidRPr="00033E98">
              <w:rPr>
                <w:rFonts w:ascii="Calibri" w:eastAsia="Times New Roman" w:hAnsi="Calibri" w:cs="Arial"/>
                <w:sz w:val="20"/>
                <w:szCs w:val="20"/>
                <w:lang w:eastAsia="cs-CZ"/>
              </w:rPr>
              <w:t>Vrácené příjmy z pronájmu (UZ 040)</w:t>
            </w:r>
          </w:p>
        </w:tc>
        <w:tc>
          <w:tcPr>
            <w:tcW w:w="1559" w:type="dxa"/>
            <w:tcBorders>
              <w:top w:val="nil"/>
              <w:left w:val="nil"/>
              <w:bottom w:val="single" w:sz="8" w:space="0" w:color="auto"/>
              <w:right w:val="single" w:sz="4" w:space="0" w:color="auto"/>
            </w:tcBorders>
            <w:shd w:val="clear" w:color="auto" w:fill="auto"/>
            <w:noWrap/>
            <w:vAlign w:val="bottom"/>
            <w:hideMark/>
          </w:tcPr>
          <w:p w14:paraId="34706212"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0</w:t>
            </w:r>
          </w:p>
        </w:tc>
        <w:tc>
          <w:tcPr>
            <w:tcW w:w="1701" w:type="dxa"/>
            <w:tcBorders>
              <w:top w:val="nil"/>
              <w:left w:val="nil"/>
              <w:bottom w:val="single" w:sz="8" w:space="0" w:color="auto"/>
              <w:right w:val="single" w:sz="4" w:space="0" w:color="auto"/>
            </w:tcBorders>
            <w:shd w:val="clear" w:color="auto" w:fill="auto"/>
            <w:noWrap/>
            <w:vAlign w:val="bottom"/>
            <w:hideMark/>
          </w:tcPr>
          <w:p w14:paraId="566F28ED"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30 700 000,00</w:t>
            </w:r>
          </w:p>
        </w:tc>
        <w:tc>
          <w:tcPr>
            <w:tcW w:w="1701" w:type="dxa"/>
            <w:tcBorders>
              <w:top w:val="nil"/>
              <w:left w:val="nil"/>
              <w:bottom w:val="single" w:sz="8" w:space="0" w:color="auto"/>
              <w:right w:val="single" w:sz="4" w:space="0" w:color="auto"/>
            </w:tcBorders>
            <w:shd w:val="clear" w:color="auto" w:fill="auto"/>
            <w:noWrap/>
            <w:vAlign w:val="bottom"/>
            <w:hideMark/>
          </w:tcPr>
          <w:p w14:paraId="0181E484"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30 700 000,00</w:t>
            </w:r>
          </w:p>
        </w:tc>
        <w:tc>
          <w:tcPr>
            <w:tcW w:w="850" w:type="dxa"/>
            <w:tcBorders>
              <w:top w:val="nil"/>
              <w:left w:val="nil"/>
              <w:bottom w:val="single" w:sz="8" w:space="0" w:color="auto"/>
              <w:right w:val="single" w:sz="8" w:space="0" w:color="auto"/>
            </w:tcBorders>
            <w:shd w:val="clear" w:color="auto" w:fill="auto"/>
            <w:noWrap/>
            <w:vAlign w:val="bottom"/>
            <w:hideMark/>
          </w:tcPr>
          <w:p w14:paraId="6F285C50"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100,0</w:t>
            </w:r>
          </w:p>
        </w:tc>
      </w:tr>
      <w:tr w:rsidR="00033E98" w:rsidRPr="00033E98" w14:paraId="79F3C885" w14:textId="77777777" w:rsidTr="00D82B5A">
        <w:trPr>
          <w:trHeight w:val="320"/>
        </w:trPr>
        <w:tc>
          <w:tcPr>
            <w:tcW w:w="826" w:type="dxa"/>
            <w:tcBorders>
              <w:top w:val="nil"/>
              <w:left w:val="single" w:sz="8" w:space="0" w:color="auto"/>
              <w:bottom w:val="single" w:sz="8" w:space="0" w:color="auto"/>
              <w:right w:val="single" w:sz="4" w:space="0" w:color="auto"/>
            </w:tcBorders>
            <w:shd w:val="clear" w:color="auto" w:fill="auto"/>
            <w:noWrap/>
            <w:vAlign w:val="bottom"/>
            <w:hideMark/>
          </w:tcPr>
          <w:p w14:paraId="5F8050F9" w14:textId="77777777" w:rsidR="00033E98" w:rsidRPr="00033E98" w:rsidRDefault="00033E98" w:rsidP="00033E98">
            <w:pPr>
              <w:spacing w:after="0" w:line="240" w:lineRule="auto"/>
              <w:rPr>
                <w:rFonts w:ascii="Calibri" w:eastAsia="Times New Roman" w:hAnsi="Calibri" w:cs="Arial"/>
                <w:lang w:eastAsia="cs-CZ"/>
              </w:rPr>
            </w:pPr>
            <w:r w:rsidRPr="00033E98">
              <w:rPr>
                <w:rFonts w:ascii="Calibri" w:eastAsia="Times New Roman" w:hAnsi="Calibri" w:cs="Arial"/>
                <w:lang w:eastAsia="cs-CZ"/>
              </w:rPr>
              <w:t> </w:t>
            </w:r>
          </w:p>
        </w:tc>
        <w:tc>
          <w:tcPr>
            <w:tcW w:w="4253" w:type="dxa"/>
            <w:tcBorders>
              <w:top w:val="nil"/>
              <w:left w:val="nil"/>
              <w:bottom w:val="single" w:sz="8" w:space="0" w:color="auto"/>
              <w:right w:val="single" w:sz="4" w:space="0" w:color="auto"/>
            </w:tcBorders>
            <w:shd w:val="clear" w:color="auto" w:fill="auto"/>
            <w:noWrap/>
            <w:vAlign w:val="bottom"/>
            <w:hideMark/>
          </w:tcPr>
          <w:p w14:paraId="58AF47C8" w14:textId="77777777" w:rsidR="00033E98" w:rsidRPr="00033E98" w:rsidRDefault="00033E98" w:rsidP="00033E98">
            <w:pPr>
              <w:spacing w:after="0" w:line="240" w:lineRule="auto"/>
              <w:rPr>
                <w:rFonts w:ascii="Calibri" w:eastAsia="Times New Roman" w:hAnsi="Calibri" w:cs="Arial"/>
                <w:b/>
                <w:bCs/>
                <w:lang w:eastAsia="cs-CZ"/>
              </w:rPr>
            </w:pPr>
            <w:r w:rsidRPr="00033E98">
              <w:rPr>
                <w:rFonts w:ascii="Calibri" w:eastAsia="Times New Roman" w:hAnsi="Calibri" w:cs="Arial"/>
                <w:b/>
                <w:bCs/>
                <w:lang w:eastAsia="cs-CZ"/>
              </w:rPr>
              <w:t>Celkem</w:t>
            </w:r>
          </w:p>
        </w:tc>
        <w:tc>
          <w:tcPr>
            <w:tcW w:w="1559" w:type="dxa"/>
            <w:tcBorders>
              <w:top w:val="nil"/>
              <w:left w:val="nil"/>
              <w:bottom w:val="single" w:sz="8" w:space="0" w:color="auto"/>
              <w:right w:val="single" w:sz="4" w:space="0" w:color="auto"/>
            </w:tcBorders>
            <w:shd w:val="clear" w:color="auto" w:fill="auto"/>
            <w:noWrap/>
            <w:vAlign w:val="bottom"/>
            <w:hideMark/>
          </w:tcPr>
          <w:p w14:paraId="5761B000" w14:textId="77777777" w:rsidR="00033E98" w:rsidRPr="00033E98" w:rsidRDefault="00033E98" w:rsidP="00033E98">
            <w:pPr>
              <w:spacing w:after="0" w:line="240" w:lineRule="auto"/>
              <w:jc w:val="right"/>
              <w:rPr>
                <w:rFonts w:ascii="Calibri" w:eastAsia="Times New Roman" w:hAnsi="Calibri" w:cs="Arial"/>
                <w:b/>
                <w:bCs/>
                <w:lang w:eastAsia="cs-CZ"/>
              </w:rPr>
            </w:pPr>
            <w:r w:rsidRPr="00033E98">
              <w:rPr>
                <w:rFonts w:ascii="Calibri" w:eastAsia="Times New Roman" w:hAnsi="Calibri" w:cs="Arial"/>
                <w:b/>
                <w:bCs/>
                <w:lang w:eastAsia="cs-CZ"/>
              </w:rPr>
              <w:t>0</w:t>
            </w:r>
          </w:p>
        </w:tc>
        <w:tc>
          <w:tcPr>
            <w:tcW w:w="1701" w:type="dxa"/>
            <w:tcBorders>
              <w:top w:val="nil"/>
              <w:left w:val="nil"/>
              <w:bottom w:val="single" w:sz="8" w:space="0" w:color="auto"/>
              <w:right w:val="single" w:sz="4" w:space="0" w:color="auto"/>
            </w:tcBorders>
            <w:shd w:val="clear" w:color="auto" w:fill="auto"/>
            <w:noWrap/>
            <w:vAlign w:val="bottom"/>
            <w:hideMark/>
          </w:tcPr>
          <w:p w14:paraId="59A9E2DD" w14:textId="77777777" w:rsidR="00033E98" w:rsidRPr="00033E98" w:rsidRDefault="00033E98" w:rsidP="00033E98">
            <w:pPr>
              <w:spacing w:after="0" w:line="240" w:lineRule="auto"/>
              <w:jc w:val="right"/>
              <w:rPr>
                <w:rFonts w:ascii="Calibri" w:eastAsia="Times New Roman" w:hAnsi="Calibri" w:cs="Arial"/>
                <w:b/>
                <w:bCs/>
                <w:lang w:eastAsia="cs-CZ"/>
              </w:rPr>
            </w:pPr>
            <w:r w:rsidRPr="00033E98">
              <w:rPr>
                <w:rFonts w:ascii="Calibri" w:eastAsia="Times New Roman" w:hAnsi="Calibri" w:cs="Arial"/>
                <w:b/>
                <w:bCs/>
                <w:lang w:eastAsia="cs-CZ"/>
              </w:rPr>
              <w:t>49 180 014,38</w:t>
            </w:r>
          </w:p>
        </w:tc>
        <w:tc>
          <w:tcPr>
            <w:tcW w:w="1701" w:type="dxa"/>
            <w:tcBorders>
              <w:top w:val="nil"/>
              <w:left w:val="nil"/>
              <w:bottom w:val="single" w:sz="8" w:space="0" w:color="auto"/>
              <w:right w:val="single" w:sz="4" w:space="0" w:color="auto"/>
            </w:tcBorders>
            <w:shd w:val="clear" w:color="auto" w:fill="auto"/>
            <w:noWrap/>
            <w:vAlign w:val="bottom"/>
            <w:hideMark/>
          </w:tcPr>
          <w:p w14:paraId="65712395" w14:textId="77777777" w:rsidR="00033E98" w:rsidRPr="00033E98" w:rsidRDefault="00033E98" w:rsidP="00033E98">
            <w:pPr>
              <w:spacing w:after="0" w:line="240" w:lineRule="auto"/>
              <w:jc w:val="right"/>
              <w:rPr>
                <w:rFonts w:ascii="Calibri" w:eastAsia="Times New Roman" w:hAnsi="Calibri" w:cs="Arial"/>
                <w:b/>
                <w:bCs/>
                <w:lang w:eastAsia="cs-CZ"/>
              </w:rPr>
            </w:pPr>
            <w:r w:rsidRPr="00033E98">
              <w:rPr>
                <w:rFonts w:ascii="Calibri" w:eastAsia="Times New Roman" w:hAnsi="Calibri" w:cs="Arial"/>
                <w:b/>
                <w:bCs/>
                <w:lang w:eastAsia="cs-CZ"/>
              </w:rPr>
              <w:t>49 180 014,38</w:t>
            </w:r>
          </w:p>
        </w:tc>
        <w:tc>
          <w:tcPr>
            <w:tcW w:w="850" w:type="dxa"/>
            <w:tcBorders>
              <w:top w:val="nil"/>
              <w:left w:val="nil"/>
              <w:bottom w:val="single" w:sz="8" w:space="0" w:color="auto"/>
              <w:right w:val="single" w:sz="8" w:space="0" w:color="auto"/>
            </w:tcBorders>
            <w:shd w:val="clear" w:color="auto" w:fill="auto"/>
            <w:noWrap/>
            <w:vAlign w:val="bottom"/>
            <w:hideMark/>
          </w:tcPr>
          <w:p w14:paraId="406EE92A" w14:textId="77777777" w:rsidR="00033E98" w:rsidRPr="00033E98" w:rsidRDefault="00033E98" w:rsidP="00033E98">
            <w:pPr>
              <w:spacing w:after="0" w:line="240" w:lineRule="auto"/>
              <w:jc w:val="right"/>
              <w:rPr>
                <w:rFonts w:ascii="Calibri" w:eastAsia="Times New Roman" w:hAnsi="Calibri" w:cs="Arial"/>
                <w:b/>
                <w:bCs/>
                <w:lang w:eastAsia="cs-CZ"/>
              </w:rPr>
            </w:pPr>
            <w:r w:rsidRPr="00033E98">
              <w:rPr>
                <w:rFonts w:ascii="Calibri" w:eastAsia="Times New Roman" w:hAnsi="Calibri" w:cs="Arial"/>
                <w:b/>
                <w:bCs/>
                <w:lang w:eastAsia="cs-CZ"/>
              </w:rPr>
              <w:t>100,0</w:t>
            </w:r>
          </w:p>
        </w:tc>
      </w:tr>
      <w:tr w:rsidR="00033E98" w:rsidRPr="00033E98" w14:paraId="43EA8BFA" w14:textId="77777777" w:rsidTr="00D82B5A">
        <w:trPr>
          <w:trHeight w:val="310"/>
        </w:trPr>
        <w:tc>
          <w:tcPr>
            <w:tcW w:w="826" w:type="dxa"/>
            <w:tcBorders>
              <w:top w:val="nil"/>
              <w:left w:val="nil"/>
              <w:bottom w:val="nil"/>
              <w:right w:val="nil"/>
            </w:tcBorders>
            <w:shd w:val="clear" w:color="auto" w:fill="auto"/>
            <w:noWrap/>
            <w:vAlign w:val="bottom"/>
            <w:hideMark/>
          </w:tcPr>
          <w:p w14:paraId="18609579" w14:textId="77777777" w:rsidR="00033E98" w:rsidRPr="00033E98" w:rsidRDefault="00033E98" w:rsidP="00033E98">
            <w:pPr>
              <w:spacing w:after="0" w:line="240" w:lineRule="auto"/>
              <w:jc w:val="right"/>
              <w:rPr>
                <w:rFonts w:ascii="Calibri" w:eastAsia="Times New Roman" w:hAnsi="Calibri" w:cs="Arial"/>
                <w:b/>
                <w:bCs/>
                <w:lang w:eastAsia="cs-CZ"/>
              </w:rPr>
            </w:pPr>
          </w:p>
        </w:tc>
        <w:tc>
          <w:tcPr>
            <w:tcW w:w="4253" w:type="dxa"/>
            <w:tcBorders>
              <w:top w:val="nil"/>
              <w:left w:val="nil"/>
              <w:bottom w:val="nil"/>
              <w:right w:val="nil"/>
            </w:tcBorders>
            <w:shd w:val="clear" w:color="auto" w:fill="auto"/>
            <w:noWrap/>
            <w:vAlign w:val="bottom"/>
            <w:hideMark/>
          </w:tcPr>
          <w:p w14:paraId="4C52FFE0" w14:textId="77777777" w:rsidR="00033E98" w:rsidRPr="00033E98" w:rsidRDefault="00033E98" w:rsidP="00033E98">
            <w:pPr>
              <w:spacing w:after="0" w:line="240" w:lineRule="auto"/>
              <w:rPr>
                <w:rFonts w:ascii="Times New Roman" w:eastAsia="Times New Roman" w:hAnsi="Times New Roman" w:cs="Times New Roman"/>
                <w:sz w:val="20"/>
                <w:szCs w:val="20"/>
                <w:lang w:eastAsia="cs-CZ"/>
              </w:rPr>
            </w:pPr>
          </w:p>
        </w:tc>
        <w:tc>
          <w:tcPr>
            <w:tcW w:w="1559" w:type="dxa"/>
            <w:tcBorders>
              <w:top w:val="nil"/>
              <w:left w:val="nil"/>
              <w:bottom w:val="nil"/>
              <w:right w:val="nil"/>
            </w:tcBorders>
            <w:shd w:val="clear" w:color="auto" w:fill="auto"/>
            <w:noWrap/>
            <w:vAlign w:val="bottom"/>
            <w:hideMark/>
          </w:tcPr>
          <w:p w14:paraId="272F01B4" w14:textId="77777777" w:rsidR="00033E98" w:rsidRPr="00033E98" w:rsidRDefault="00033E98" w:rsidP="00033E98">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51611B40" w14:textId="77777777" w:rsidR="00033E98" w:rsidRPr="00033E98" w:rsidRDefault="00033E98" w:rsidP="00033E98">
            <w:pPr>
              <w:spacing w:after="0" w:line="240" w:lineRule="auto"/>
              <w:jc w:val="right"/>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155F3D52" w14:textId="77777777" w:rsidR="00033E98" w:rsidRPr="00033E98" w:rsidRDefault="00033E98" w:rsidP="00033E98">
            <w:pPr>
              <w:spacing w:after="0" w:line="240" w:lineRule="auto"/>
              <w:jc w:val="right"/>
              <w:rPr>
                <w:rFonts w:ascii="Times New Roman" w:eastAsia="Times New Roman" w:hAnsi="Times New Roman" w:cs="Times New Roman"/>
                <w:sz w:val="20"/>
                <w:szCs w:val="20"/>
                <w:lang w:eastAsia="cs-CZ"/>
              </w:rPr>
            </w:pPr>
          </w:p>
        </w:tc>
        <w:tc>
          <w:tcPr>
            <w:tcW w:w="850" w:type="dxa"/>
            <w:tcBorders>
              <w:top w:val="nil"/>
              <w:left w:val="nil"/>
              <w:bottom w:val="nil"/>
              <w:right w:val="nil"/>
            </w:tcBorders>
            <w:shd w:val="clear" w:color="auto" w:fill="auto"/>
            <w:noWrap/>
            <w:vAlign w:val="bottom"/>
            <w:hideMark/>
          </w:tcPr>
          <w:p w14:paraId="01C028D1" w14:textId="77777777" w:rsidR="00033E98" w:rsidRPr="00033E98" w:rsidRDefault="00033E98" w:rsidP="00033E98">
            <w:pPr>
              <w:spacing w:after="0" w:line="240" w:lineRule="auto"/>
              <w:jc w:val="right"/>
              <w:rPr>
                <w:rFonts w:ascii="Times New Roman" w:eastAsia="Times New Roman" w:hAnsi="Times New Roman" w:cs="Times New Roman"/>
                <w:sz w:val="20"/>
                <w:szCs w:val="20"/>
                <w:lang w:eastAsia="cs-CZ"/>
              </w:rPr>
            </w:pPr>
          </w:p>
        </w:tc>
      </w:tr>
      <w:tr w:rsidR="00033E98" w:rsidRPr="00033E98" w14:paraId="0CE7FB0F" w14:textId="77777777" w:rsidTr="00D82B5A">
        <w:trPr>
          <w:trHeight w:val="300"/>
        </w:trPr>
        <w:tc>
          <w:tcPr>
            <w:tcW w:w="826" w:type="dxa"/>
            <w:tcBorders>
              <w:top w:val="nil"/>
              <w:left w:val="nil"/>
              <w:bottom w:val="nil"/>
              <w:right w:val="nil"/>
            </w:tcBorders>
            <w:shd w:val="clear" w:color="auto" w:fill="auto"/>
            <w:noWrap/>
            <w:vAlign w:val="bottom"/>
            <w:hideMark/>
          </w:tcPr>
          <w:p w14:paraId="1808DC8D" w14:textId="77777777" w:rsidR="00033E98" w:rsidRPr="00033E98" w:rsidRDefault="00033E98" w:rsidP="00033E98">
            <w:pPr>
              <w:spacing w:after="0" w:line="240" w:lineRule="auto"/>
              <w:rPr>
                <w:rFonts w:ascii="Times New Roman" w:eastAsia="Times New Roman" w:hAnsi="Times New Roman" w:cs="Times New Roman"/>
                <w:sz w:val="20"/>
                <w:szCs w:val="20"/>
                <w:lang w:eastAsia="cs-CZ"/>
              </w:rPr>
            </w:pPr>
          </w:p>
        </w:tc>
        <w:tc>
          <w:tcPr>
            <w:tcW w:w="10064" w:type="dxa"/>
            <w:gridSpan w:val="5"/>
            <w:tcBorders>
              <w:top w:val="nil"/>
              <w:left w:val="nil"/>
              <w:bottom w:val="nil"/>
              <w:right w:val="nil"/>
            </w:tcBorders>
            <w:shd w:val="clear" w:color="auto" w:fill="auto"/>
            <w:vAlign w:val="bottom"/>
            <w:hideMark/>
          </w:tcPr>
          <w:p w14:paraId="2701D8D4" w14:textId="77777777" w:rsidR="00033E98" w:rsidRPr="00033E98" w:rsidRDefault="00033E98" w:rsidP="00033E98">
            <w:pPr>
              <w:spacing w:after="0" w:line="240" w:lineRule="auto"/>
              <w:rPr>
                <w:rFonts w:ascii="Calibri" w:eastAsia="Times New Roman" w:hAnsi="Calibri" w:cs="Arial"/>
                <w:b/>
                <w:bCs/>
                <w:lang w:eastAsia="cs-CZ"/>
              </w:rPr>
            </w:pPr>
            <w:r w:rsidRPr="00033E98">
              <w:rPr>
                <w:rFonts w:ascii="Calibri" w:eastAsia="Times New Roman" w:hAnsi="Calibri" w:cs="Arial"/>
                <w:b/>
                <w:bCs/>
                <w:lang w:eastAsia="cs-CZ"/>
              </w:rPr>
              <w:t>Předfinancování a kofinancování projektů spolufinancovaných z EU/EHP a ostatní související výdaje s projekty EU/EHP</w:t>
            </w:r>
          </w:p>
        </w:tc>
      </w:tr>
      <w:tr w:rsidR="00033E98" w:rsidRPr="00033E98" w14:paraId="40D0080D" w14:textId="77777777" w:rsidTr="00D82B5A">
        <w:trPr>
          <w:trHeight w:val="260"/>
        </w:trPr>
        <w:tc>
          <w:tcPr>
            <w:tcW w:w="826" w:type="dxa"/>
            <w:tcBorders>
              <w:top w:val="single" w:sz="8" w:space="0" w:color="auto"/>
              <w:left w:val="single" w:sz="8" w:space="0" w:color="auto"/>
              <w:bottom w:val="nil"/>
              <w:right w:val="single" w:sz="4" w:space="0" w:color="auto"/>
            </w:tcBorders>
            <w:shd w:val="clear" w:color="000000" w:fill="FFFFFF"/>
            <w:vAlign w:val="bottom"/>
            <w:hideMark/>
          </w:tcPr>
          <w:p w14:paraId="3A973136" w14:textId="77777777" w:rsidR="00033E98" w:rsidRPr="00033E98" w:rsidRDefault="00033E98" w:rsidP="00033E98">
            <w:pPr>
              <w:spacing w:after="0" w:line="240" w:lineRule="auto"/>
              <w:jc w:val="center"/>
              <w:rPr>
                <w:rFonts w:ascii="Calibri" w:eastAsia="Times New Roman" w:hAnsi="Calibri" w:cs="Arial"/>
                <w:sz w:val="20"/>
                <w:szCs w:val="20"/>
                <w:lang w:eastAsia="cs-CZ"/>
              </w:rPr>
            </w:pPr>
            <w:r w:rsidRPr="00033E98">
              <w:rPr>
                <w:rFonts w:ascii="Calibri" w:eastAsia="Times New Roman" w:hAnsi="Calibri" w:cs="Arial"/>
                <w:sz w:val="20"/>
                <w:szCs w:val="20"/>
                <w:lang w:eastAsia="cs-CZ"/>
              </w:rPr>
              <w:t>2212</w:t>
            </w:r>
          </w:p>
        </w:tc>
        <w:tc>
          <w:tcPr>
            <w:tcW w:w="4253" w:type="dxa"/>
            <w:tcBorders>
              <w:top w:val="single" w:sz="8" w:space="0" w:color="auto"/>
              <w:left w:val="nil"/>
              <w:bottom w:val="nil"/>
              <w:right w:val="single" w:sz="4" w:space="0" w:color="auto"/>
            </w:tcBorders>
            <w:shd w:val="clear" w:color="auto" w:fill="auto"/>
            <w:vAlign w:val="bottom"/>
            <w:hideMark/>
          </w:tcPr>
          <w:p w14:paraId="5547B863" w14:textId="77777777" w:rsidR="00033E98" w:rsidRPr="00033E98" w:rsidRDefault="00033E98" w:rsidP="00033E98">
            <w:pPr>
              <w:spacing w:after="0" w:line="240" w:lineRule="auto"/>
              <w:rPr>
                <w:rFonts w:ascii="Calibri" w:eastAsia="Times New Roman" w:hAnsi="Calibri" w:cs="Arial"/>
                <w:sz w:val="20"/>
                <w:szCs w:val="20"/>
                <w:lang w:eastAsia="cs-CZ"/>
              </w:rPr>
            </w:pPr>
            <w:r w:rsidRPr="00033E98">
              <w:rPr>
                <w:rFonts w:ascii="Calibri" w:eastAsia="Times New Roman" w:hAnsi="Calibri" w:cs="Arial"/>
                <w:sz w:val="20"/>
                <w:szCs w:val="20"/>
                <w:lang w:eastAsia="cs-CZ"/>
              </w:rPr>
              <w:t>Výstavba akcí spolufinancovaných z EU - silnice</w:t>
            </w:r>
          </w:p>
        </w:tc>
        <w:tc>
          <w:tcPr>
            <w:tcW w:w="1559" w:type="dxa"/>
            <w:tcBorders>
              <w:top w:val="single" w:sz="8" w:space="0" w:color="auto"/>
              <w:left w:val="nil"/>
              <w:bottom w:val="nil"/>
              <w:right w:val="single" w:sz="4" w:space="0" w:color="auto"/>
            </w:tcBorders>
            <w:shd w:val="clear" w:color="auto" w:fill="auto"/>
            <w:vAlign w:val="bottom"/>
            <w:hideMark/>
          </w:tcPr>
          <w:p w14:paraId="3B798AA7"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0</w:t>
            </w:r>
          </w:p>
        </w:tc>
        <w:tc>
          <w:tcPr>
            <w:tcW w:w="1701" w:type="dxa"/>
            <w:tcBorders>
              <w:top w:val="single" w:sz="8" w:space="0" w:color="auto"/>
              <w:left w:val="nil"/>
              <w:bottom w:val="nil"/>
              <w:right w:val="single" w:sz="4" w:space="0" w:color="auto"/>
            </w:tcBorders>
            <w:shd w:val="clear" w:color="auto" w:fill="auto"/>
            <w:vAlign w:val="bottom"/>
            <w:hideMark/>
          </w:tcPr>
          <w:p w14:paraId="40C8F698"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 xml:space="preserve"> 1 501 369 517,75    </w:t>
            </w:r>
          </w:p>
        </w:tc>
        <w:tc>
          <w:tcPr>
            <w:tcW w:w="1701" w:type="dxa"/>
            <w:tcBorders>
              <w:top w:val="single" w:sz="8" w:space="0" w:color="auto"/>
              <w:left w:val="nil"/>
              <w:bottom w:val="nil"/>
              <w:right w:val="single" w:sz="4" w:space="0" w:color="auto"/>
            </w:tcBorders>
            <w:shd w:val="clear" w:color="auto" w:fill="auto"/>
            <w:vAlign w:val="bottom"/>
            <w:hideMark/>
          </w:tcPr>
          <w:p w14:paraId="78A8FB75"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1 464 397 928,31</w:t>
            </w:r>
          </w:p>
        </w:tc>
        <w:tc>
          <w:tcPr>
            <w:tcW w:w="850" w:type="dxa"/>
            <w:tcBorders>
              <w:top w:val="single" w:sz="8" w:space="0" w:color="auto"/>
              <w:left w:val="nil"/>
              <w:bottom w:val="nil"/>
              <w:right w:val="single" w:sz="8" w:space="0" w:color="auto"/>
            </w:tcBorders>
            <w:shd w:val="clear" w:color="auto" w:fill="auto"/>
            <w:vAlign w:val="bottom"/>
            <w:hideMark/>
          </w:tcPr>
          <w:p w14:paraId="05C3BA55"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97,5</w:t>
            </w:r>
          </w:p>
        </w:tc>
      </w:tr>
      <w:tr w:rsidR="00033E98" w:rsidRPr="00033E98" w14:paraId="64E1CA06" w14:textId="77777777" w:rsidTr="00D82B5A">
        <w:trPr>
          <w:trHeight w:val="260"/>
        </w:trPr>
        <w:tc>
          <w:tcPr>
            <w:tcW w:w="826" w:type="dxa"/>
            <w:tcBorders>
              <w:top w:val="single" w:sz="4" w:space="0" w:color="auto"/>
              <w:left w:val="single" w:sz="8" w:space="0" w:color="auto"/>
              <w:bottom w:val="nil"/>
              <w:right w:val="single" w:sz="4" w:space="0" w:color="auto"/>
            </w:tcBorders>
            <w:shd w:val="clear" w:color="000000" w:fill="FFFFFF"/>
            <w:noWrap/>
            <w:vAlign w:val="bottom"/>
            <w:hideMark/>
          </w:tcPr>
          <w:p w14:paraId="07D1A4E8" w14:textId="77777777" w:rsidR="00033E98" w:rsidRPr="00033E98" w:rsidRDefault="00033E98" w:rsidP="00033E98">
            <w:pPr>
              <w:spacing w:after="0" w:line="240" w:lineRule="auto"/>
              <w:jc w:val="center"/>
              <w:rPr>
                <w:rFonts w:ascii="Calibri" w:eastAsia="Times New Roman" w:hAnsi="Calibri" w:cs="Arial"/>
                <w:sz w:val="20"/>
                <w:szCs w:val="20"/>
                <w:lang w:eastAsia="cs-CZ"/>
              </w:rPr>
            </w:pPr>
            <w:r w:rsidRPr="00033E98">
              <w:rPr>
                <w:rFonts w:ascii="Calibri" w:eastAsia="Times New Roman" w:hAnsi="Calibri" w:cs="Arial"/>
                <w:sz w:val="20"/>
                <w:szCs w:val="20"/>
                <w:lang w:eastAsia="cs-CZ"/>
              </w:rPr>
              <w:t>2219</w:t>
            </w:r>
          </w:p>
        </w:tc>
        <w:tc>
          <w:tcPr>
            <w:tcW w:w="4253" w:type="dxa"/>
            <w:tcBorders>
              <w:top w:val="single" w:sz="4" w:space="0" w:color="auto"/>
              <w:left w:val="nil"/>
              <w:bottom w:val="nil"/>
              <w:right w:val="single" w:sz="4" w:space="0" w:color="auto"/>
            </w:tcBorders>
            <w:shd w:val="clear" w:color="auto" w:fill="auto"/>
            <w:vAlign w:val="bottom"/>
            <w:hideMark/>
          </w:tcPr>
          <w:p w14:paraId="10B00504" w14:textId="77777777" w:rsidR="00033E98" w:rsidRPr="00033E98" w:rsidRDefault="00033E98" w:rsidP="00033E98">
            <w:pPr>
              <w:spacing w:after="0" w:line="240" w:lineRule="auto"/>
              <w:rPr>
                <w:rFonts w:ascii="Calibri" w:eastAsia="Times New Roman" w:hAnsi="Calibri" w:cs="Arial"/>
                <w:sz w:val="20"/>
                <w:szCs w:val="20"/>
                <w:lang w:eastAsia="cs-CZ"/>
              </w:rPr>
            </w:pPr>
            <w:r w:rsidRPr="00033E98">
              <w:rPr>
                <w:rFonts w:ascii="Calibri" w:eastAsia="Times New Roman" w:hAnsi="Calibri" w:cs="Arial"/>
                <w:sz w:val="20"/>
                <w:szCs w:val="20"/>
                <w:lang w:eastAsia="cs-CZ"/>
              </w:rPr>
              <w:t>Ostatní záležitosti pozemních komunikací - cyklodoprava</w:t>
            </w:r>
          </w:p>
        </w:tc>
        <w:tc>
          <w:tcPr>
            <w:tcW w:w="1559" w:type="dxa"/>
            <w:tcBorders>
              <w:top w:val="single" w:sz="4" w:space="0" w:color="auto"/>
              <w:left w:val="nil"/>
              <w:bottom w:val="nil"/>
              <w:right w:val="single" w:sz="4" w:space="0" w:color="auto"/>
            </w:tcBorders>
            <w:shd w:val="clear" w:color="auto" w:fill="auto"/>
            <w:vAlign w:val="bottom"/>
            <w:hideMark/>
          </w:tcPr>
          <w:p w14:paraId="4BBD2ECA"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0</w:t>
            </w:r>
          </w:p>
        </w:tc>
        <w:tc>
          <w:tcPr>
            <w:tcW w:w="1701" w:type="dxa"/>
            <w:tcBorders>
              <w:top w:val="single" w:sz="4" w:space="0" w:color="auto"/>
              <w:left w:val="nil"/>
              <w:bottom w:val="nil"/>
              <w:right w:val="single" w:sz="4" w:space="0" w:color="auto"/>
            </w:tcBorders>
            <w:shd w:val="clear" w:color="auto" w:fill="auto"/>
            <w:vAlign w:val="bottom"/>
            <w:hideMark/>
          </w:tcPr>
          <w:p w14:paraId="33B8C809"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 xml:space="preserve"> 659 400,00    </w:t>
            </w:r>
          </w:p>
        </w:tc>
        <w:tc>
          <w:tcPr>
            <w:tcW w:w="1701" w:type="dxa"/>
            <w:tcBorders>
              <w:top w:val="single" w:sz="4" w:space="0" w:color="auto"/>
              <w:left w:val="nil"/>
              <w:bottom w:val="nil"/>
              <w:right w:val="single" w:sz="4" w:space="0" w:color="auto"/>
            </w:tcBorders>
            <w:shd w:val="clear" w:color="auto" w:fill="auto"/>
            <w:vAlign w:val="bottom"/>
            <w:hideMark/>
          </w:tcPr>
          <w:p w14:paraId="52DED424"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 xml:space="preserve"> 659 400,00    </w:t>
            </w:r>
          </w:p>
        </w:tc>
        <w:tc>
          <w:tcPr>
            <w:tcW w:w="850" w:type="dxa"/>
            <w:tcBorders>
              <w:top w:val="single" w:sz="4" w:space="0" w:color="auto"/>
              <w:left w:val="nil"/>
              <w:bottom w:val="nil"/>
              <w:right w:val="single" w:sz="8" w:space="0" w:color="auto"/>
            </w:tcBorders>
            <w:shd w:val="clear" w:color="auto" w:fill="auto"/>
            <w:vAlign w:val="bottom"/>
            <w:hideMark/>
          </w:tcPr>
          <w:p w14:paraId="497D3EDF"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100,0</w:t>
            </w:r>
          </w:p>
        </w:tc>
      </w:tr>
      <w:tr w:rsidR="00033E98" w:rsidRPr="00033E98" w14:paraId="6B62A922" w14:textId="77777777" w:rsidTr="00D82B5A">
        <w:trPr>
          <w:trHeight w:val="530"/>
        </w:trPr>
        <w:tc>
          <w:tcPr>
            <w:tcW w:w="826" w:type="dxa"/>
            <w:tcBorders>
              <w:top w:val="single" w:sz="4" w:space="0" w:color="auto"/>
              <w:left w:val="single" w:sz="8" w:space="0" w:color="auto"/>
              <w:bottom w:val="single" w:sz="8" w:space="0" w:color="auto"/>
              <w:right w:val="single" w:sz="4" w:space="0" w:color="auto"/>
            </w:tcBorders>
            <w:shd w:val="clear" w:color="000000" w:fill="FFFFFF"/>
            <w:vAlign w:val="bottom"/>
            <w:hideMark/>
          </w:tcPr>
          <w:p w14:paraId="4510404A" w14:textId="77777777" w:rsidR="00033E98" w:rsidRPr="00033E98" w:rsidRDefault="00033E98" w:rsidP="00033E98">
            <w:pPr>
              <w:spacing w:after="0" w:line="240" w:lineRule="auto"/>
              <w:jc w:val="center"/>
              <w:rPr>
                <w:rFonts w:ascii="Calibri" w:eastAsia="Times New Roman" w:hAnsi="Calibri" w:cs="Arial"/>
                <w:sz w:val="20"/>
                <w:szCs w:val="20"/>
                <w:lang w:eastAsia="cs-CZ"/>
              </w:rPr>
            </w:pPr>
            <w:r w:rsidRPr="00033E98">
              <w:rPr>
                <w:rFonts w:ascii="Calibri" w:eastAsia="Times New Roman" w:hAnsi="Calibri" w:cs="Arial"/>
                <w:sz w:val="20"/>
                <w:szCs w:val="20"/>
                <w:lang w:eastAsia="cs-CZ"/>
              </w:rPr>
              <w:lastRenderedPageBreak/>
              <w:t>2212</w:t>
            </w:r>
          </w:p>
        </w:tc>
        <w:tc>
          <w:tcPr>
            <w:tcW w:w="4253" w:type="dxa"/>
            <w:tcBorders>
              <w:top w:val="single" w:sz="4" w:space="0" w:color="auto"/>
              <w:left w:val="nil"/>
              <w:bottom w:val="single" w:sz="8" w:space="0" w:color="auto"/>
              <w:right w:val="single" w:sz="4" w:space="0" w:color="auto"/>
            </w:tcBorders>
            <w:shd w:val="clear" w:color="auto" w:fill="auto"/>
            <w:vAlign w:val="bottom"/>
            <w:hideMark/>
          </w:tcPr>
          <w:p w14:paraId="1B7F373E" w14:textId="77777777" w:rsidR="00033E98" w:rsidRPr="00033E98" w:rsidRDefault="00033E98" w:rsidP="00033E98">
            <w:pPr>
              <w:spacing w:after="0" w:line="240" w:lineRule="auto"/>
              <w:rPr>
                <w:rFonts w:ascii="Calibri" w:eastAsia="Times New Roman" w:hAnsi="Calibri" w:cs="Arial"/>
                <w:sz w:val="20"/>
                <w:szCs w:val="20"/>
                <w:lang w:eastAsia="cs-CZ"/>
              </w:rPr>
            </w:pPr>
            <w:r w:rsidRPr="00033E98">
              <w:rPr>
                <w:rFonts w:ascii="Calibri" w:eastAsia="Times New Roman" w:hAnsi="Calibri" w:cs="Arial"/>
                <w:sz w:val="20"/>
                <w:szCs w:val="20"/>
                <w:lang w:eastAsia="cs-CZ"/>
              </w:rPr>
              <w:t>Výstavba akcí spolufinancovaných z EU - silnice - hrazené z úvěru přijatého od EIB</w:t>
            </w:r>
          </w:p>
        </w:tc>
        <w:tc>
          <w:tcPr>
            <w:tcW w:w="1559" w:type="dxa"/>
            <w:tcBorders>
              <w:top w:val="single" w:sz="4" w:space="0" w:color="auto"/>
              <w:left w:val="nil"/>
              <w:bottom w:val="nil"/>
              <w:right w:val="single" w:sz="4" w:space="0" w:color="auto"/>
            </w:tcBorders>
            <w:shd w:val="clear" w:color="auto" w:fill="auto"/>
            <w:vAlign w:val="bottom"/>
            <w:hideMark/>
          </w:tcPr>
          <w:p w14:paraId="7A770FA0"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0</w:t>
            </w:r>
          </w:p>
        </w:tc>
        <w:tc>
          <w:tcPr>
            <w:tcW w:w="1701" w:type="dxa"/>
            <w:tcBorders>
              <w:top w:val="single" w:sz="4" w:space="0" w:color="auto"/>
              <w:left w:val="nil"/>
              <w:bottom w:val="single" w:sz="8" w:space="0" w:color="auto"/>
              <w:right w:val="single" w:sz="4" w:space="0" w:color="auto"/>
            </w:tcBorders>
            <w:shd w:val="clear" w:color="auto" w:fill="auto"/>
            <w:vAlign w:val="bottom"/>
            <w:hideMark/>
          </w:tcPr>
          <w:p w14:paraId="449F5F9E"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 xml:space="preserve"> 94 411 332,90    </w:t>
            </w:r>
          </w:p>
        </w:tc>
        <w:tc>
          <w:tcPr>
            <w:tcW w:w="1701" w:type="dxa"/>
            <w:tcBorders>
              <w:top w:val="single" w:sz="4" w:space="0" w:color="auto"/>
              <w:left w:val="nil"/>
              <w:bottom w:val="single" w:sz="8" w:space="0" w:color="auto"/>
              <w:right w:val="single" w:sz="4" w:space="0" w:color="auto"/>
            </w:tcBorders>
            <w:shd w:val="clear" w:color="auto" w:fill="auto"/>
            <w:vAlign w:val="bottom"/>
            <w:hideMark/>
          </w:tcPr>
          <w:p w14:paraId="3123F8DB"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92 425 106,09</w:t>
            </w:r>
          </w:p>
        </w:tc>
        <w:tc>
          <w:tcPr>
            <w:tcW w:w="850" w:type="dxa"/>
            <w:tcBorders>
              <w:top w:val="single" w:sz="4" w:space="0" w:color="auto"/>
              <w:left w:val="nil"/>
              <w:bottom w:val="nil"/>
              <w:right w:val="single" w:sz="8" w:space="0" w:color="auto"/>
            </w:tcBorders>
            <w:shd w:val="clear" w:color="auto" w:fill="auto"/>
            <w:vAlign w:val="bottom"/>
            <w:hideMark/>
          </w:tcPr>
          <w:p w14:paraId="4C0EB5D6"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97,9</w:t>
            </w:r>
          </w:p>
        </w:tc>
      </w:tr>
      <w:tr w:rsidR="00033E98" w:rsidRPr="00033E98" w14:paraId="46F93E2A" w14:textId="77777777" w:rsidTr="00D82B5A">
        <w:trPr>
          <w:trHeight w:val="320"/>
        </w:trPr>
        <w:tc>
          <w:tcPr>
            <w:tcW w:w="826" w:type="dxa"/>
            <w:tcBorders>
              <w:top w:val="nil"/>
              <w:left w:val="single" w:sz="8" w:space="0" w:color="auto"/>
              <w:bottom w:val="single" w:sz="8" w:space="0" w:color="auto"/>
              <w:right w:val="single" w:sz="4" w:space="0" w:color="auto"/>
            </w:tcBorders>
            <w:shd w:val="clear" w:color="000000" w:fill="FFFFFF"/>
            <w:noWrap/>
            <w:vAlign w:val="center"/>
            <w:hideMark/>
          </w:tcPr>
          <w:p w14:paraId="42FF67C0" w14:textId="77777777" w:rsidR="00033E98" w:rsidRPr="00033E98" w:rsidRDefault="00033E98" w:rsidP="00033E98">
            <w:pPr>
              <w:spacing w:after="0" w:line="240" w:lineRule="auto"/>
              <w:jc w:val="center"/>
              <w:rPr>
                <w:rFonts w:ascii="Calibri" w:eastAsia="Times New Roman" w:hAnsi="Calibri" w:cs="Arial"/>
                <w:sz w:val="24"/>
                <w:szCs w:val="24"/>
                <w:lang w:eastAsia="cs-CZ"/>
              </w:rPr>
            </w:pPr>
            <w:r w:rsidRPr="00033E98">
              <w:rPr>
                <w:rFonts w:ascii="Calibri" w:eastAsia="Times New Roman" w:hAnsi="Calibri" w:cs="Arial"/>
                <w:sz w:val="24"/>
                <w:szCs w:val="24"/>
                <w:lang w:eastAsia="cs-CZ"/>
              </w:rPr>
              <w:t> </w:t>
            </w:r>
          </w:p>
        </w:tc>
        <w:tc>
          <w:tcPr>
            <w:tcW w:w="4253" w:type="dxa"/>
            <w:tcBorders>
              <w:top w:val="nil"/>
              <w:left w:val="nil"/>
              <w:bottom w:val="single" w:sz="8" w:space="0" w:color="auto"/>
              <w:right w:val="single" w:sz="4" w:space="0" w:color="auto"/>
            </w:tcBorders>
            <w:shd w:val="clear" w:color="auto" w:fill="auto"/>
            <w:noWrap/>
            <w:vAlign w:val="bottom"/>
            <w:hideMark/>
          </w:tcPr>
          <w:p w14:paraId="5B3C07E4" w14:textId="77777777" w:rsidR="00033E98" w:rsidRPr="00033E98" w:rsidRDefault="00033E98" w:rsidP="00033E98">
            <w:pPr>
              <w:spacing w:after="0" w:line="240" w:lineRule="auto"/>
              <w:rPr>
                <w:rFonts w:ascii="Calibri" w:eastAsia="Times New Roman" w:hAnsi="Calibri" w:cs="Arial"/>
                <w:b/>
                <w:bCs/>
                <w:lang w:eastAsia="cs-CZ"/>
              </w:rPr>
            </w:pPr>
            <w:r w:rsidRPr="00033E98">
              <w:rPr>
                <w:rFonts w:ascii="Calibri" w:eastAsia="Times New Roman" w:hAnsi="Calibri" w:cs="Arial"/>
                <w:b/>
                <w:bCs/>
                <w:lang w:eastAsia="cs-CZ"/>
              </w:rPr>
              <w:t>Celkem</w:t>
            </w:r>
          </w:p>
        </w:tc>
        <w:tc>
          <w:tcPr>
            <w:tcW w:w="1559" w:type="dxa"/>
            <w:tcBorders>
              <w:top w:val="single" w:sz="8" w:space="0" w:color="auto"/>
              <w:left w:val="nil"/>
              <w:bottom w:val="single" w:sz="8" w:space="0" w:color="auto"/>
              <w:right w:val="single" w:sz="4" w:space="0" w:color="auto"/>
            </w:tcBorders>
            <w:shd w:val="clear" w:color="auto" w:fill="auto"/>
            <w:noWrap/>
            <w:vAlign w:val="bottom"/>
            <w:hideMark/>
          </w:tcPr>
          <w:p w14:paraId="2907992F" w14:textId="77777777" w:rsidR="00033E98" w:rsidRPr="00033E98" w:rsidRDefault="00033E98" w:rsidP="00033E98">
            <w:pPr>
              <w:spacing w:after="0" w:line="240" w:lineRule="auto"/>
              <w:jc w:val="right"/>
              <w:rPr>
                <w:rFonts w:ascii="Calibri" w:eastAsia="Times New Roman" w:hAnsi="Calibri" w:cs="Arial"/>
                <w:b/>
                <w:bCs/>
                <w:lang w:eastAsia="cs-CZ"/>
              </w:rPr>
            </w:pPr>
            <w:r w:rsidRPr="00033E98">
              <w:rPr>
                <w:rFonts w:ascii="Calibri" w:eastAsia="Times New Roman" w:hAnsi="Calibri" w:cs="Arial"/>
                <w:b/>
                <w:bCs/>
                <w:lang w:eastAsia="cs-CZ"/>
              </w:rPr>
              <w:t>0</w:t>
            </w:r>
          </w:p>
        </w:tc>
        <w:tc>
          <w:tcPr>
            <w:tcW w:w="1701" w:type="dxa"/>
            <w:tcBorders>
              <w:top w:val="nil"/>
              <w:left w:val="nil"/>
              <w:bottom w:val="single" w:sz="8" w:space="0" w:color="auto"/>
              <w:right w:val="single" w:sz="4" w:space="0" w:color="auto"/>
            </w:tcBorders>
            <w:shd w:val="clear" w:color="auto" w:fill="auto"/>
            <w:noWrap/>
            <w:vAlign w:val="bottom"/>
            <w:hideMark/>
          </w:tcPr>
          <w:p w14:paraId="238C745F" w14:textId="77777777" w:rsidR="00033E98" w:rsidRPr="00033E98" w:rsidRDefault="00033E98" w:rsidP="00033E98">
            <w:pPr>
              <w:spacing w:after="0" w:line="240" w:lineRule="auto"/>
              <w:jc w:val="right"/>
              <w:rPr>
                <w:rFonts w:ascii="Calibri" w:eastAsia="Times New Roman" w:hAnsi="Calibri" w:cs="Arial"/>
                <w:b/>
                <w:bCs/>
                <w:lang w:eastAsia="cs-CZ"/>
              </w:rPr>
            </w:pPr>
            <w:r w:rsidRPr="00033E98">
              <w:rPr>
                <w:rFonts w:ascii="Calibri" w:eastAsia="Times New Roman" w:hAnsi="Calibri" w:cs="Arial"/>
                <w:b/>
                <w:bCs/>
                <w:lang w:eastAsia="cs-CZ"/>
              </w:rPr>
              <w:t>1 596 440 250,65</w:t>
            </w:r>
          </w:p>
        </w:tc>
        <w:tc>
          <w:tcPr>
            <w:tcW w:w="1701" w:type="dxa"/>
            <w:tcBorders>
              <w:top w:val="nil"/>
              <w:left w:val="nil"/>
              <w:bottom w:val="single" w:sz="8" w:space="0" w:color="auto"/>
              <w:right w:val="single" w:sz="4" w:space="0" w:color="auto"/>
            </w:tcBorders>
            <w:shd w:val="clear" w:color="auto" w:fill="auto"/>
            <w:noWrap/>
            <w:vAlign w:val="bottom"/>
            <w:hideMark/>
          </w:tcPr>
          <w:p w14:paraId="5E592140" w14:textId="77777777" w:rsidR="00033E98" w:rsidRPr="00033E98" w:rsidRDefault="00033E98" w:rsidP="00033E98">
            <w:pPr>
              <w:spacing w:after="0" w:line="240" w:lineRule="auto"/>
              <w:jc w:val="right"/>
              <w:rPr>
                <w:rFonts w:ascii="Calibri" w:eastAsia="Times New Roman" w:hAnsi="Calibri" w:cs="Arial"/>
                <w:b/>
                <w:bCs/>
                <w:lang w:eastAsia="cs-CZ"/>
              </w:rPr>
            </w:pPr>
            <w:r w:rsidRPr="00033E98">
              <w:rPr>
                <w:rFonts w:ascii="Calibri" w:eastAsia="Times New Roman" w:hAnsi="Calibri" w:cs="Arial"/>
                <w:b/>
                <w:bCs/>
                <w:lang w:eastAsia="cs-CZ"/>
              </w:rPr>
              <w:t>1 557 482 434,40</w:t>
            </w:r>
          </w:p>
        </w:tc>
        <w:tc>
          <w:tcPr>
            <w:tcW w:w="850" w:type="dxa"/>
            <w:tcBorders>
              <w:top w:val="single" w:sz="8" w:space="0" w:color="auto"/>
              <w:left w:val="nil"/>
              <w:bottom w:val="single" w:sz="8" w:space="0" w:color="auto"/>
              <w:right w:val="single" w:sz="8" w:space="0" w:color="auto"/>
            </w:tcBorders>
            <w:shd w:val="clear" w:color="auto" w:fill="auto"/>
            <w:noWrap/>
            <w:vAlign w:val="bottom"/>
            <w:hideMark/>
          </w:tcPr>
          <w:p w14:paraId="1C5D6BB2" w14:textId="77777777" w:rsidR="00033E98" w:rsidRPr="00033E98" w:rsidRDefault="00033E98" w:rsidP="00033E98">
            <w:pPr>
              <w:spacing w:after="0" w:line="240" w:lineRule="auto"/>
              <w:jc w:val="right"/>
              <w:rPr>
                <w:rFonts w:ascii="Calibri" w:eastAsia="Times New Roman" w:hAnsi="Calibri" w:cs="Arial"/>
                <w:b/>
                <w:bCs/>
                <w:lang w:eastAsia="cs-CZ"/>
              </w:rPr>
            </w:pPr>
            <w:r w:rsidRPr="00033E98">
              <w:rPr>
                <w:rFonts w:ascii="Calibri" w:eastAsia="Times New Roman" w:hAnsi="Calibri" w:cs="Arial"/>
                <w:b/>
                <w:bCs/>
                <w:lang w:eastAsia="cs-CZ"/>
              </w:rPr>
              <w:t>97,6</w:t>
            </w:r>
          </w:p>
        </w:tc>
      </w:tr>
      <w:tr w:rsidR="00033E98" w:rsidRPr="00033E98" w14:paraId="208527BC" w14:textId="77777777" w:rsidTr="00D82B5A">
        <w:trPr>
          <w:trHeight w:val="310"/>
        </w:trPr>
        <w:tc>
          <w:tcPr>
            <w:tcW w:w="826" w:type="dxa"/>
            <w:tcBorders>
              <w:top w:val="nil"/>
              <w:left w:val="nil"/>
              <w:bottom w:val="nil"/>
              <w:right w:val="nil"/>
            </w:tcBorders>
            <w:shd w:val="clear" w:color="auto" w:fill="auto"/>
            <w:noWrap/>
            <w:vAlign w:val="center"/>
            <w:hideMark/>
          </w:tcPr>
          <w:p w14:paraId="62D2BB6E" w14:textId="77777777" w:rsidR="00033E98" w:rsidRPr="00033E98" w:rsidRDefault="00033E98" w:rsidP="00033E98">
            <w:pPr>
              <w:spacing w:after="0" w:line="240" w:lineRule="auto"/>
              <w:jc w:val="right"/>
              <w:rPr>
                <w:rFonts w:ascii="Calibri" w:eastAsia="Times New Roman" w:hAnsi="Calibri" w:cs="Arial"/>
                <w:b/>
                <w:bCs/>
                <w:lang w:eastAsia="cs-CZ"/>
              </w:rPr>
            </w:pPr>
          </w:p>
        </w:tc>
        <w:tc>
          <w:tcPr>
            <w:tcW w:w="4253" w:type="dxa"/>
            <w:tcBorders>
              <w:top w:val="nil"/>
              <w:left w:val="nil"/>
              <w:bottom w:val="nil"/>
              <w:right w:val="nil"/>
            </w:tcBorders>
            <w:shd w:val="clear" w:color="auto" w:fill="auto"/>
            <w:noWrap/>
            <w:vAlign w:val="bottom"/>
            <w:hideMark/>
          </w:tcPr>
          <w:p w14:paraId="496D5390" w14:textId="77777777" w:rsidR="00033E98" w:rsidRPr="00033E98" w:rsidRDefault="00033E98" w:rsidP="00033E98">
            <w:pPr>
              <w:spacing w:after="0" w:line="240" w:lineRule="auto"/>
              <w:jc w:val="center"/>
              <w:rPr>
                <w:rFonts w:ascii="Times New Roman" w:eastAsia="Times New Roman" w:hAnsi="Times New Roman" w:cs="Times New Roman"/>
                <w:sz w:val="20"/>
                <w:szCs w:val="20"/>
                <w:lang w:eastAsia="cs-CZ"/>
              </w:rPr>
            </w:pPr>
          </w:p>
        </w:tc>
        <w:tc>
          <w:tcPr>
            <w:tcW w:w="1559" w:type="dxa"/>
            <w:tcBorders>
              <w:top w:val="nil"/>
              <w:left w:val="nil"/>
              <w:bottom w:val="nil"/>
              <w:right w:val="nil"/>
            </w:tcBorders>
            <w:shd w:val="clear" w:color="auto" w:fill="auto"/>
            <w:noWrap/>
            <w:vAlign w:val="bottom"/>
            <w:hideMark/>
          </w:tcPr>
          <w:p w14:paraId="022B84AC" w14:textId="77777777" w:rsidR="00033E98" w:rsidRPr="00033E98" w:rsidRDefault="00033E98" w:rsidP="00033E98">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5A8D674A" w14:textId="77777777" w:rsidR="00033E98" w:rsidRPr="00033E98" w:rsidRDefault="00033E98" w:rsidP="00033E98">
            <w:pPr>
              <w:spacing w:after="0" w:line="240" w:lineRule="auto"/>
              <w:jc w:val="right"/>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7DC0738C" w14:textId="77777777" w:rsidR="00033E98" w:rsidRPr="00033E98" w:rsidRDefault="00033E98" w:rsidP="00033E98">
            <w:pPr>
              <w:spacing w:after="0" w:line="240" w:lineRule="auto"/>
              <w:jc w:val="right"/>
              <w:rPr>
                <w:rFonts w:ascii="Times New Roman" w:eastAsia="Times New Roman" w:hAnsi="Times New Roman" w:cs="Times New Roman"/>
                <w:sz w:val="20"/>
                <w:szCs w:val="20"/>
                <w:lang w:eastAsia="cs-CZ"/>
              </w:rPr>
            </w:pPr>
          </w:p>
        </w:tc>
        <w:tc>
          <w:tcPr>
            <w:tcW w:w="850" w:type="dxa"/>
            <w:tcBorders>
              <w:top w:val="nil"/>
              <w:left w:val="nil"/>
              <w:bottom w:val="nil"/>
              <w:right w:val="nil"/>
            </w:tcBorders>
            <w:shd w:val="clear" w:color="auto" w:fill="auto"/>
            <w:noWrap/>
            <w:vAlign w:val="bottom"/>
            <w:hideMark/>
          </w:tcPr>
          <w:p w14:paraId="5B1DC7C1" w14:textId="77777777" w:rsidR="00033E98" w:rsidRPr="00033E98" w:rsidRDefault="00033E98" w:rsidP="00033E98">
            <w:pPr>
              <w:spacing w:after="0" w:line="240" w:lineRule="auto"/>
              <w:jc w:val="right"/>
              <w:rPr>
                <w:rFonts w:ascii="Times New Roman" w:eastAsia="Times New Roman" w:hAnsi="Times New Roman" w:cs="Times New Roman"/>
                <w:sz w:val="20"/>
                <w:szCs w:val="20"/>
                <w:lang w:eastAsia="cs-CZ"/>
              </w:rPr>
            </w:pPr>
          </w:p>
        </w:tc>
      </w:tr>
      <w:tr w:rsidR="00033E98" w:rsidRPr="00033E98" w14:paraId="41C06E02" w14:textId="77777777" w:rsidTr="00D82B5A">
        <w:trPr>
          <w:trHeight w:val="583"/>
        </w:trPr>
        <w:tc>
          <w:tcPr>
            <w:tcW w:w="826" w:type="dxa"/>
            <w:tcBorders>
              <w:top w:val="nil"/>
              <w:left w:val="nil"/>
              <w:bottom w:val="nil"/>
              <w:right w:val="nil"/>
            </w:tcBorders>
            <w:shd w:val="clear" w:color="auto" w:fill="auto"/>
            <w:noWrap/>
            <w:vAlign w:val="bottom"/>
            <w:hideMark/>
          </w:tcPr>
          <w:p w14:paraId="2F520B00" w14:textId="77777777" w:rsidR="00033E98" w:rsidRPr="00033E98" w:rsidRDefault="00033E98" w:rsidP="00033E98">
            <w:pPr>
              <w:spacing w:after="0" w:line="240" w:lineRule="auto"/>
              <w:jc w:val="right"/>
              <w:rPr>
                <w:rFonts w:ascii="Times New Roman" w:eastAsia="Times New Roman" w:hAnsi="Times New Roman" w:cs="Times New Roman"/>
                <w:sz w:val="20"/>
                <w:szCs w:val="20"/>
                <w:lang w:eastAsia="cs-CZ"/>
              </w:rPr>
            </w:pPr>
          </w:p>
        </w:tc>
        <w:tc>
          <w:tcPr>
            <w:tcW w:w="10064" w:type="dxa"/>
            <w:gridSpan w:val="5"/>
            <w:tcBorders>
              <w:top w:val="nil"/>
              <w:left w:val="nil"/>
              <w:bottom w:val="nil"/>
              <w:right w:val="nil"/>
            </w:tcBorders>
            <w:shd w:val="clear" w:color="auto" w:fill="auto"/>
            <w:vAlign w:val="center"/>
            <w:hideMark/>
          </w:tcPr>
          <w:p w14:paraId="797CBF36" w14:textId="77777777" w:rsidR="00033E98" w:rsidRPr="00033E98" w:rsidRDefault="00033E98" w:rsidP="00033E98">
            <w:pPr>
              <w:spacing w:after="0" w:line="240" w:lineRule="auto"/>
              <w:rPr>
                <w:rFonts w:ascii="Calibri" w:eastAsia="Times New Roman" w:hAnsi="Calibri" w:cs="Arial"/>
                <w:b/>
                <w:bCs/>
                <w:lang w:eastAsia="cs-CZ"/>
              </w:rPr>
            </w:pPr>
            <w:r w:rsidRPr="00033E98">
              <w:rPr>
                <w:rFonts w:ascii="Calibri" w:eastAsia="Times New Roman" w:hAnsi="Calibri" w:cs="Arial"/>
                <w:b/>
                <w:bCs/>
                <w:lang w:eastAsia="cs-CZ"/>
              </w:rPr>
              <w:t>Předfinancování a kofinancování projektů spolufinancovaných z národních zdrojů a ostatní související výdaje s projekty z národních zdrojů</w:t>
            </w:r>
          </w:p>
        </w:tc>
      </w:tr>
      <w:tr w:rsidR="00033E98" w:rsidRPr="00033E98" w14:paraId="0C288CC9" w14:textId="77777777" w:rsidTr="00D82B5A">
        <w:trPr>
          <w:trHeight w:val="270"/>
        </w:trPr>
        <w:tc>
          <w:tcPr>
            <w:tcW w:w="826" w:type="dxa"/>
            <w:tcBorders>
              <w:top w:val="single" w:sz="8" w:space="0" w:color="auto"/>
              <w:left w:val="single" w:sz="8" w:space="0" w:color="auto"/>
              <w:bottom w:val="nil"/>
              <w:right w:val="single" w:sz="4" w:space="0" w:color="auto"/>
            </w:tcBorders>
            <w:shd w:val="clear" w:color="000000" w:fill="FFFFFF"/>
            <w:vAlign w:val="bottom"/>
            <w:hideMark/>
          </w:tcPr>
          <w:p w14:paraId="0E491214" w14:textId="77777777" w:rsidR="00033E98" w:rsidRPr="00033E98" w:rsidRDefault="00033E98" w:rsidP="00033E98">
            <w:pPr>
              <w:spacing w:after="0" w:line="240" w:lineRule="auto"/>
              <w:jc w:val="center"/>
              <w:rPr>
                <w:rFonts w:ascii="Calibri" w:eastAsia="Times New Roman" w:hAnsi="Calibri" w:cs="Arial"/>
                <w:sz w:val="20"/>
                <w:szCs w:val="20"/>
                <w:lang w:eastAsia="cs-CZ"/>
              </w:rPr>
            </w:pPr>
            <w:r w:rsidRPr="00033E98">
              <w:rPr>
                <w:rFonts w:ascii="Calibri" w:eastAsia="Times New Roman" w:hAnsi="Calibri" w:cs="Arial"/>
                <w:sz w:val="20"/>
                <w:szCs w:val="20"/>
                <w:lang w:eastAsia="cs-CZ"/>
              </w:rPr>
              <w:t>2212</w:t>
            </w:r>
          </w:p>
        </w:tc>
        <w:tc>
          <w:tcPr>
            <w:tcW w:w="4253" w:type="dxa"/>
            <w:tcBorders>
              <w:top w:val="single" w:sz="8" w:space="0" w:color="auto"/>
              <w:left w:val="nil"/>
              <w:bottom w:val="nil"/>
              <w:right w:val="single" w:sz="4" w:space="0" w:color="auto"/>
            </w:tcBorders>
            <w:shd w:val="clear" w:color="auto" w:fill="auto"/>
            <w:vAlign w:val="bottom"/>
            <w:hideMark/>
          </w:tcPr>
          <w:p w14:paraId="24474A75" w14:textId="77777777" w:rsidR="00033E98" w:rsidRPr="00033E98" w:rsidRDefault="00033E98" w:rsidP="00033E98">
            <w:pPr>
              <w:spacing w:after="0" w:line="240" w:lineRule="auto"/>
              <w:rPr>
                <w:rFonts w:ascii="Calibri" w:eastAsia="Times New Roman" w:hAnsi="Calibri" w:cs="Arial"/>
                <w:sz w:val="20"/>
                <w:szCs w:val="20"/>
                <w:lang w:eastAsia="cs-CZ"/>
              </w:rPr>
            </w:pPr>
            <w:r w:rsidRPr="00033E98">
              <w:rPr>
                <w:rFonts w:ascii="Calibri" w:eastAsia="Times New Roman" w:hAnsi="Calibri" w:cs="Arial"/>
                <w:sz w:val="20"/>
                <w:szCs w:val="20"/>
                <w:lang w:eastAsia="cs-CZ"/>
              </w:rPr>
              <w:t>Výstavba akcí spolufinancovaných z národních zdrojů - silnice</w:t>
            </w:r>
          </w:p>
        </w:tc>
        <w:tc>
          <w:tcPr>
            <w:tcW w:w="1559" w:type="dxa"/>
            <w:tcBorders>
              <w:top w:val="single" w:sz="8" w:space="0" w:color="auto"/>
              <w:left w:val="nil"/>
              <w:bottom w:val="nil"/>
              <w:right w:val="single" w:sz="4" w:space="0" w:color="auto"/>
            </w:tcBorders>
            <w:shd w:val="clear" w:color="auto" w:fill="auto"/>
            <w:vAlign w:val="bottom"/>
            <w:hideMark/>
          </w:tcPr>
          <w:p w14:paraId="5E001F07"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0</w:t>
            </w:r>
          </w:p>
        </w:tc>
        <w:tc>
          <w:tcPr>
            <w:tcW w:w="1701" w:type="dxa"/>
            <w:tcBorders>
              <w:top w:val="single" w:sz="8" w:space="0" w:color="auto"/>
              <w:left w:val="nil"/>
              <w:bottom w:val="nil"/>
              <w:right w:val="single" w:sz="4" w:space="0" w:color="auto"/>
            </w:tcBorders>
            <w:shd w:val="clear" w:color="auto" w:fill="auto"/>
            <w:vAlign w:val="bottom"/>
            <w:hideMark/>
          </w:tcPr>
          <w:p w14:paraId="45B3360B"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3 264 999,20</w:t>
            </w:r>
          </w:p>
        </w:tc>
        <w:tc>
          <w:tcPr>
            <w:tcW w:w="1701" w:type="dxa"/>
            <w:tcBorders>
              <w:top w:val="single" w:sz="8" w:space="0" w:color="auto"/>
              <w:left w:val="nil"/>
              <w:bottom w:val="nil"/>
              <w:right w:val="single" w:sz="4" w:space="0" w:color="auto"/>
            </w:tcBorders>
            <w:shd w:val="clear" w:color="auto" w:fill="auto"/>
            <w:vAlign w:val="bottom"/>
            <w:hideMark/>
          </w:tcPr>
          <w:p w14:paraId="072D306C"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2 652 610,40</w:t>
            </w:r>
          </w:p>
        </w:tc>
        <w:tc>
          <w:tcPr>
            <w:tcW w:w="850" w:type="dxa"/>
            <w:tcBorders>
              <w:top w:val="single" w:sz="8" w:space="0" w:color="auto"/>
              <w:left w:val="nil"/>
              <w:bottom w:val="nil"/>
              <w:right w:val="single" w:sz="8" w:space="0" w:color="auto"/>
            </w:tcBorders>
            <w:shd w:val="clear" w:color="auto" w:fill="auto"/>
            <w:vAlign w:val="bottom"/>
            <w:hideMark/>
          </w:tcPr>
          <w:p w14:paraId="6BA74C57"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81,2</w:t>
            </w:r>
          </w:p>
        </w:tc>
      </w:tr>
      <w:tr w:rsidR="00033E98" w:rsidRPr="00033E98" w14:paraId="7F91CC38" w14:textId="77777777" w:rsidTr="00D82B5A">
        <w:trPr>
          <w:trHeight w:val="300"/>
        </w:trPr>
        <w:tc>
          <w:tcPr>
            <w:tcW w:w="826"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AADB325" w14:textId="77777777" w:rsidR="00033E98" w:rsidRPr="00033E98" w:rsidRDefault="00033E98" w:rsidP="00033E98">
            <w:pPr>
              <w:spacing w:after="0" w:line="240" w:lineRule="auto"/>
              <w:jc w:val="center"/>
              <w:rPr>
                <w:rFonts w:ascii="Calibri" w:eastAsia="Times New Roman" w:hAnsi="Calibri" w:cs="Arial"/>
                <w:lang w:eastAsia="cs-CZ"/>
              </w:rPr>
            </w:pPr>
            <w:r w:rsidRPr="00033E98">
              <w:rPr>
                <w:rFonts w:ascii="Calibri" w:eastAsia="Times New Roman" w:hAnsi="Calibri" w:cs="Arial"/>
                <w:lang w:eastAsia="cs-CZ"/>
              </w:rPr>
              <w:t> </w:t>
            </w:r>
          </w:p>
        </w:tc>
        <w:tc>
          <w:tcPr>
            <w:tcW w:w="4253" w:type="dxa"/>
            <w:tcBorders>
              <w:top w:val="single" w:sz="8" w:space="0" w:color="auto"/>
              <w:left w:val="nil"/>
              <w:bottom w:val="single" w:sz="8" w:space="0" w:color="auto"/>
              <w:right w:val="single" w:sz="4" w:space="0" w:color="auto"/>
            </w:tcBorders>
            <w:shd w:val="clear" w:color="auto" w:fill="auto"/>
            <w:noWrap/>
            <w:vAlign w:val="bottom"/>
            <w:hideMark/>
          </w:tcPr>
          <w:p w14:paraId="44BE47CA" w14:textId="77777777" w:rsidR="00033E98" w:rsidRPr="00033E98" w:rsidRDefault="00033E98" w:rsidP="00033E98">
            <w:pPr>
              <w:spacing w:after="0" w:line="240" w:lineRule="auto"/>
              <w:rPr>
                <w:rFonts w:ascii="Calibri" w:eastAsia="Times New Roman" w:hAnsi="Calibri" w:cs="Arial"/>
                <w:b/>
                <w:bCs/>
                <w:lang w:eastAsia="cs-CZ"/>
              </w:rPr>
            </w:pPr>
            <w:r w:rsidRPr="00033E98">
              <w:rPr>
                <w:rFonts w:ascii="Calibri" w:eastAsia="Times New Roman" w:hAnsi="Calibri" w:cs="Arial"/>
                <w:b/>
                <w:bCs/>
                <w:lang w:eastAsia="cs-CZ"/>
              </w:rPr>
              <w:t>Celkem</w:t>
            </w:r>
          </w:p>
        </w:tc>
        <w:tc>
          <w:tcPr>
            <w:tcW w:w="1559" w:type="dxa"/>
            <w:tcBorders>
              <w:top w:val="single" w:sz="8" w:space="0" w:color="auto"/>
              <w:left w:val="nil"/>
              <w:bottom w:val="single" w:sz="8" w:space="0" w:color="auto"/>
              <w:right w:val="single" w:sz="4" w:space="0" w:color="auto"/>
            </w:tcBorders>
            <w:shd w:val="clear" w:color="auto" w:fill="auto"/>
            <w:noWrap/>
            <w:vAlign w:val="bottom"/>
            <w:hideMark/>
          </w:tcPr>
          <w:p w14:paraId="52D4F6CF" w14:textId="77777777" w:rsidR="00033E98" w:rsidRPr="00033E98" w:rsidRDefault="00033E98" w:rsidP="00033E98">
            <w:pPr>
              <w:spacing w:after="0" w:line="240" w:lineRule="auto"/>
              <w:jc w:val="right"/>
              <w:rPr>
                <w:rFonts w:ascii="Calibri" w:eastAsia="Times New Roman" w:hAnsi="Calibri" w:cs="Arial"/>
                <w:b/>
                <w:bCs/>
                <w:lang w:eastAsia="cs-CZ"/>
              </w:rPr>
            </w:pPr>
            <w:r w:rsidRPr="00033E98">
              <w:rPr>
                <w:rFonts w:ascii="Calibri" w:eastAsia="Times New Roman" w:hAnsi="Calibri" w:cs="Arial"/>
                <w:b/>
                <w:bCs/>
                <w:lang w:eastAsia="cs-CZ"/>
              </w:rPr>
              <w:t>0</w:t>
            </w:r>
          </w:p>
        </w:tc>
        <w:tc>
          <w:tcPr>
            <w:tcW w:w="1701" w:type="dxa"/>
            <w:tcBorders>
              <w:top w:val="single" w:sz="8" w:space="0" w:color="auto"/>
              <w:left w:val="nil"/>
              <w:bottom w:val="single" w:sz="8" w:space="0" w:color="auto"/>
              <w:right w:val="single" w:sz="4" w:space="0" w:color="auto"/>
            </w:tcBorders>
            <w:shd w:val="clear" w:color="auto" w:fill="auto"/>
            <w:noWrap/>
            <w:vAlign w:val="bottom"/>
            <w:hideMark/>
          </w:tcPr>
          <w:p w14:paraId="4F0D48A7" w14:textId="77777777" w:rsidR="00033E98" w:rsidRPr="00033E98" w:rsidRDefault="00033E98" w:rsidP="00033E98">
            <w:pPr>
              <w:spacing w:after="0" w:line="240" w:lineRule="auto"/>
              <w:jc w:val="right"/>
              <w:rPr>
                <w:rFonts w:ascii="Calibri" w:eastAsia="Times New Roman" w:hAnsi="Calibri" w:cs="Arial"/>
                <w:b/>
                <w:bCs/>
                <w:lang w:eastAsia="cs-CZ"/>
              </w:rPr>
            </w:pPr>
            <w:r w:rsidRPr="00033E98">
              <w:rPr>
                <w:rFonts w:ascii="Calibri" w:eastAsia="Times New Roman" w:hAnsi="Calibri" w:cs="Arial"/>
                <w:b/>
                <w:bCs/>
                <w:lang w:eastAsia="cs-CZ"/>
              </w:rPr>
              <w:t>3 264 999,20</w:t>
            </w:r>
          </w:p>
        </w:tc>
        <w:tc>
          <w:tcPr>
            <w:tcW w:w="1701" w:type="dxa"/>
            <w:tcBorders>
              <w:top w:val="single" w:sz="8" w:space="0" w:color="auto"/>
              <w:left w:val="nil"/>
              <w:bottom w:val="single" w:sz="8" w:space="0" w:color="auto"/>
              <w:right w:val="single" w:sz="4" w:space="0" w:color="auto"/>
            </w:tcBorders>
            <w:shd w:val="clear" w:color="auto" w:fill="auto"/>
            <w:noWrap/>
            <w:vAlign w:val="bottom"/>
            <w:hideMark/>
          </w:tcPr>
          <w:p w14:paraId="4BA90642" w14:textId="77777777" w:rsidR="00033E98" w:rsidRPr="00033E98" w:rsidRDefault="00033E98" w:rsidP="00033E98">
            <w:pPr>
              <w:spacing w:after="0" w:line="240" w:lineRule="auto"/>
              <w:jc w:val="right"/>
              <w:rPr>
                <w:rFonts w:ascii="Calibri" w:eastAsia="Times New Roman" w:hAnsi="Calibri" w:cs="Arial"/>
                <w:b/>
                <w:bCs/>
                <w:lang w:eastAsia="cs-CZ"/>
              </w:rPr>
            </w:pPr>
            <w:r w:rsidRPr="00033E98">
              <w:rPr>
                <w:rFonts w:ascii="Calibri" w:eastAsia="Times New Roman" w:hAnsi="Calibri" w:cs="Arial"/>
                <w:b/>
                <w:bCs/>
                <w:lang w:eastAsia="cs-CZ"/>
              </w:rPr>
              <w:t>2 652 610,40</w:t>
            </w:r>
          </w:p>
        </w:tc>
        <w:tc>
          <w:tcPr>
            <w:tcW w:w="850" w:type="dxa"/>
            <w:tcBorders>
              <w:top w:val="single" w:sz="8" w:space="0" w:color="auto"/>
              <w:left w:val="nil"/>
              <w:bottom w:val="single" w:sz="8" w:space="0" w:color="auto"/>
              <w:right w:val="single" w:sz="8" w:space="0" w:color="auto"/>
            </w:tcBorders>
            <w:shd w:val="clear" w:color="auto" w:fill="auto"/>
            <w:vAlign w:val="bottom"/>
            <w:hideMark/>
          </w:tcPr>
          <w:p w14:paraId="2E61F8C8" w14:textId="77777777" w:rsidR="00033E98" w:rsidRPr="00033E98" w:rsidRDefault="00033E98" w:rsidP="00033E98">
            <w:pPr>
              <w:spacing w:after="0" w:line="240" w:lineRule="auto"/>
              <w:jc w:val="right"/>
              <w:rPr>
                <w:rFonts w:ascii="Calibri" w:eastAsia="Times New Roman" w:hAnsi="Calibri" w:cs="Arial"/>
                <w:b/>
                <w:bCs/>
                <w:lang w:eastAsia="cs-CZ"/>
              </w:rPr>
            </w:pPr>
            <w:r w:rsidRPr="00033E98">
              <w:rPr>
                <w:rFonts w:ascii="Calibri" w:eastAsia="Times New Roman" w:hAnsi="Calibri" w:cs="Arial"/>
                <w:b/>
                <w:bCs/>
                <w:lang w:eastAsia="cs-CZ"/>
              </w:rPr>
              <w:t>81,2</w:t>
            </w:r>
          </w:p>
        </w:tc>
      </w:tr>
      <w:tr w:rsidR="00033E98" w:rsidRPr="00033E98" w14:paraId="0AD53BB5" w14:textId="77777777" w:rsidTr="00D82B5A">
        <w:trPr>
          <w:trHeight w:val="290"/>
        </w:trPr>
        <w:tc>
          <w:tcPr>
            <w:tcW w:w="826" w:type="dxa"/>
            <w:tcBorders>
              <w:top w:val="nil"/>
              <w:left w:val="nil"/>
              <w:bottom w:val="nil"/>
              <w:right w:val="nil"/>
            </w:tcBorders>
            <w:shd w:val="clear" w:color="auto" w:fill="auto"/>
            <w:noWrap/>
            <w:vAlign w:val="center"/>
            <w:hideMark/>
          </w:tcPr>
          <w:p w14:paraId="1754900F" w14:textId="77777777" w:rsidR="00033E98" w:rsidRPr="00033E98" w:rsidRDefault="00033E98" w:rsidP="00033E98">
            <w:pPr>
              <w:spacing w:after="0" w:line="240" w:lineRule="auto"/>
              <w:jc w:val="right"/>
              <w:rPr>
                <w:rFonts w:ascii="Calibri" w:eastAsia="Times New Roman" w:hAnsi="Calibri" w:cs="Arial"/>
                <w:b/>
                <w:bCs/>
                <w:lang w:eastAsia="cs-CZ"/>
              </w:rPr>
            </w:pPr>
          </w:p>
        </w:tc>
        <w:tc>
          <w:tcPr>
            <w:tcW w:w="4253" w:type="dxa"/>
            <w:tcBorders>
              <w:top w:val="nil"/>
              <w:left w:val="nil"/>
              <w:bottom w:val="nil"/>
              <w:right w:val="nil"/>
            </w:tcBorders>
            <w:shd w:val="clear" w:color="auto" w:fill="auto"/>
            <w:noWrap/>
            <w:vAlign w:val="bottom"/>
            <w:hideMark/>
          </w:tcPr>
          <w:p w14:paraId="222751EA" w14:textId="77777777" w:rsidR="00033E98" w:rsidRPr="00033E98" w:rsidRDefault="00033E98" w:rsidP="00033E98">
            <w:pPr>
              <w:spacing w:after="0" w:line="240" w:lineRule="auto"/>
              <w:jc w:val="center"/>
              <w:rPr>
                <w:rFonts w:ascii="Times New Roman" w:eastAsia="Times New Roman" w:hAnsi="Times New Roman" w:cs="Times New Roman"/>
                <w:sz w:val="20"/>
                <w:szCs w:val="20"/>
                <w:lang w:eastAsia="cs-CZ"/>
              </w:rPr>
            </w:pPr>
          </w:p>
        </w:tc>
        <w:tc>
          <w:tcPr>
            <w:tcW w:w="1559" w:type="dxa"/>
            <w:tcBorders>
              <w:top w:val="nil"/>
              <w:left w:val="nil"/>
              <w:bottom w:val="nil"/>
              <w:right w:val="nil"/>
            </w:tcBorders>
            <w:shd w:val="clear" w:color="auto" w:fill="auto"/>
            <w:noWrap/>
            <w:vAlign w:val="bottom"/>
            <w:hideMark/>
          </w:tcPr>
          <w:p w14:paraId="597E35E7" w14:textId="77777777" w:rsidR="00033E98" w:rsidRPr="00033E98" w:rsidRDefault="00033E98" w:rsidP="00033E98">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59E6CC16" w14:textId="77777777" w:rsidR="00033E98" w:rsidRPr="00033E98" w:rsidRDefault="00033E98" w:rsidP="00033E98">
            <w:pPr>
              <w:spacing w:after="0" w:line="240" w:lineRule="auto"/>
              <w:jc w:val="right"/>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06305AC9" w14:textId="77777777" w:rsidR="00033E98" w:rsidRPr="00033E98" w:rsidRDefault="00033E98" w:rsidP="00033E98">
            <w:pPr>
              <w:spacing w:after="0" w:line="240" w:lineRule="auto"/>
              <w:jc w:val="right"/>
              <w:rPr>
                <w:rFonts w:ascii="Times New Roman" w:eastAsia="Times New Roman" w:hAnsi="Times New Roman" w:cs="Times New Roman"/>
                <w:sz w:val="20"/>
                <w:szCs w:val="20"/>
                <w:lang w:eastAsia="cs-CZ"/>
              </w:rPr>
            </w:pPr>
          </w:p>
        </w:tc>
        <w:tc>
          <w:tcPr>
            <w:tcW w:w="850" w:type="dxa"/>
            <w:tcBorders>
              <w:top w:val="nil"/>
              <w:left w:val="nil"/>
              <w:bottom w:val="nil"/>
              <w:right w:val="nil"/>
            </w:tcBorders>
            <w:shd w:val="clear" w:color="auto" w:fill="auto"/>
            <w:vAlign w:val="bottom"/>
            <w:hideMark/>
          </w:tcPr>
          <w:p w14:paraId="08178EFD" w14:textId="77777777" w:rsidR="00033E98" w:rsidRPr="00033E98" w:rsidRDefault="00033E98" w:rsidP="00033E98">
            <w:pPr>
              <w:spacing w:after="0" w:line="240" w:lineRule="auto"/>
              <w:jc w:val="right"/>
              <w:rPr>
                <w:rFonts w:ascii="Times New Roman" w:eastAsia="Times New Roman" w:hAnsi="Times New Roman" w:cs="Times New Roman"/>
                <w:sz w:val="20"/>
                <w:szCs w:val="20"/>
                <w:lang w:eastAsia="cs-CZ"/>
              </w:rPr>
            </w:pPr>
          </w:p>
        </w:tc>
      </w:tr>
      <w:tr w:rsidR="00033E98" w:rsidRPr="00033E98" w14:paraId="68D3CE0E" w14:textId="77777777" w:rsidTr="00D82B5A">
        <w:trPr>
          <w:trHeight w:val="300"/>
        </w:trPr>
        <w:tc>
          <w:tcPr>
            <w:tcW w:w="826" w:type="dxa"/>
            <w:tcBorders>
              <w:top w:val="nil"/>
              <w:left w:val="nil"/>
              <w:bottom w:val="nil"/>
              <w:right w:val="nil"/>
            </w:tcBorders>
            <w:shd w:val="clear" w:color="auto" w:fill="auto"/>
            <w:noWrap/>
            <w:vAlign w:val="bottom"/>
            <w:hideMark/>
          </w:tcPr>
          <w:p w14:paraId="31604048" w14:textId="77777777" w:rsidR="00033E98" w:rsidRPr="00033E98" w:rsidRDefault="00033E98" w:rsidP="00033E98">
            <w:pPr>
              <w:spacing w:after="0" w:line="240" w:lineRule="auto"/>
              <w:jc w:val="right"/>
              <w:rPr>
                <w:rFonts w:ascii="Times New Roman" w:eastAsia="Times New Roman" w:hAnsi="Times New Roman" w:cs="Times New Roman"/>
                <w:sz w:val="20"/>
                <w:szCs w:val="20"/>
                <w:lang w:eastAsia="cs-CZ"/>
              </w:rPr>
            </w:pPr>
          </w:p>
        </w:tc>
        <w:tc>
          <w:tcPr>
            <w:tcW w:w="5812" w:type="dxa"/>
            <w:gridSpan w:val="2"/>
            <w:tcBorders>
              <w:top w:val="nil"/>
              <w:left w:val="nil"/>
              <w:bottom w:val="nil"/>
              <w:right w:val="nil"/>
            </w:tcBorders>
            <w:shd w:val="clear" w:color="auto" w:fill="auto"/>
            <w:noWrap/>
            <w:vAlign w:val="bottom"/>
            <w:hideMark/>
          </w:tcPr>
          <w:p w14:paraId="548EE678" w14:textId="77777777" w:rsidR="00033E98" w:rsidRPr="00033E98" w:rsidRDefault="00033E98" w:rsidP="00033E98">
            <w:pPr>
              <w:spacing w:after="0" w:line="240" w:lineRule="auto"/>
              <w:rPr>
                <w:rFonts w:ascii="Calibri" w:eastAsia="Times New Roman" w:hAnsi="Calibri" w:cs="Arial"/>
                <w:b/>
                <w:bCs/>
                <w:lang w:eastAsia="cs-CZ"/>
              </w:rPr>
            </w:pPr>
            <w:r w:rsidRPr="00033E98">
              <w:rPr>
                <w:rFonts w:ascii="Calibri" w:eastAsia="Times New Roman" w:hAnsi="Calibri" w:cs="Arial"/>
                <w:b/>
                <w:bCs/>
                <w:lang w:eastAsia="cs-CZ"/>
              </w:rPr>
              <w:t>Dotace ze státního rozpočtu a ostatních veřejných rozpočtů</w:t>
            </w:r>
          </w:p>
        </w:tc>
        <w:tc>
          <w:tcPr>
            <w:tcW w:w="1701" w:type="dxa"/>
            <w:tcBorders>
              <w:top w:val="nil"/>
              <w:left w:val="nil"/>
              <w:bottom w:val="nil"/>
              <w:right w:val="nil"/>
            </w:tcBorders>
            <w:shd w:val="clear" w:color="auto" w:fill="auto"/>
            <w:noWrap/>
            <w:vAlign w:val="bottom"/>
            <w:hideMark/>
          </w:tcPr>
          <w:p w14:paraId="092C5B0B" w14:textId="77777777" w:rsidR="00033E98" w:rsidRPr="00033E98" w:rsidRDefault="00033E98" w:rsidP="00033E98">
            <w:pPr>
              <w:spacing w:after="0" w:line="240" w:lineRule="auto"/>
              <w:rPr>
                <w:rFonts w:ascii="Calibri" w:eastAsia="Times New Roman" w:hAnsi="Calibri" w:cs="Arial"/>
                <w:b/>
                <w:bCs/>
                <w:lang w:eastAsia="cs-CZ"/>
              </w:rPr>
            </w:pPr>
          </w:p>
        </w:tc>
        <w:tc>
          <w:tcPr>
            <w:tcW w:w="1701" w:type="dxa"/>
            <w:tcBorders>
              <w:top w:val="nil"/>
              <w:left w:val="nil"/>
              <w:bottom w:val="nil"/>
              <w:right w:val="nil"/>
            </w:tcBorders>
            <w:shd w:val="clear" w:color="auto" w:fill="auto"/>
            <w:noWrap/>
            <w:vAlign w:val="bottom"/>
            <w:hideMark/>
          </w:tcPr>
          <w:p w14:paraId="05AD797C" w14:textId="77777777" w:rsidR="00033E98" w:rsidRPr="00033E98" w:rsidRDefault="00033E98" w:rsidP="00033E98">
            <w:pPr>
              <w:spacing w:after="0" w:line="240" w:lineRule="auto"/>
              <w:rPr>
                <w:rFonts w:ascii="Times New Roman" w:eastAsia="Times New Roman" w:hAnsi="Times New Roman" w:cs="Times New Roman"/>
                <w:sz w:val="20"/>
                <w:szCs w:val="20"/>
                <w:lang w:eastAsia="cs-CZ"/>
              </w:rPr>
            </w:pPr>
          </w:p>
        </w:tc>
        <w:tc>
          <w:tcPr>
            <w:tcW w:w="850" w:type="dxa"/>
            <w:tcBorders>
              <w:top w:val="nil"/>
              <w:left w:val="nil"/>
              <w:bottom w:val="nil"/>
              <w:right w:val="nil"/>
            </w:tcBorders>
            <w:shd w:val="clear" w:color="auto" w:fill="auto"/>
            <w:noWrap/>
            <w:vAlign w:val="bottom"/>
            <w:hideMark/>
          </w:tcPr>
          <w:p w14:paraId="6B1A3E45" w14:textId="77777777" w:rsidR="00033E98" w:rsidRPr="00033E98" w:rsidRDefault="00033E98" w:rsidP="00033E98">
            <w:pPr>
              <w:spacing w:after="0" w:line="240" w:lineRule="auto"/>
              <w:rPr>
                <w:rFonts w:ascii="Times New Roman" w:eastAsia="Times New Roman" w:hAnsi="Times New Roman" w:cs="Times New Roman"/>
                <w:sz w:val="20"/>
                <w:szCs w:val="20"/>
                <w:lang w:eastAsia="cs-CZ"/>
              </w:rPr>
            </w:pPr>
          </w:p>
        </w:tc>
      </w:tr>
      <w:tr w:rsidR="00033E98" w:rsidRPr="00033E98" w14:paraId="7EAE5F8B" w14:textId="77777777" w:rsidTr="00D82B5A">
        <w:trPr>
          <w:trHeight w:val="260"/>
        </w:trPr>
        <w:tc>
          <w:tcPr>
            <w:tcW w:w="826" w:type="dxa"/>
            <w:tcBorders>
              <w:top w:val="single" w:sz="8" w:space="0" w:color="auto"/>
              <w:left w:val="single" w:sz="8" w:space="0" w:color="auto"/>
              <w:bottom w:val="single" w:sz="4" w:space="0" w:color="auto"/>
              <w:right w:val="single" w:sz="4" w:space="0" w:color="auto"/>
            </w:tcBorders>
            <w:shd w:val="clear" w:color="000000" w:fill="FFFFFF"/>
            <w:noWrap/>
            <w:vAlign w:val="bottom"/>
            <w:hideMark/>
          </w:tcPr>
          <w:p w14:paraId="2094EBFE" w14:textId="77777777" w:rsidR="00033E98" w:rsidRPr="00033E98" w:rsidRDefault="00033E98" w:rsidP="00033E98">
            <w:pPr>
              <w:spacing w:after="0" w:line="240" w:lineRule="auto"/>
              <w:jc w:val="center"/>
              <w:rPr>
                <w:rFonts w:ascii="Calibri" w:eastAsia="Times New Roman" w:hAnsi="Calibri" w:cs="Arial"/>
                <w:sz w:val="20"/>
                <w:szCs w:val="20"/>
                <w:lang w:eastAsia="cs-CZ"/>
              </w:rPr>
            </w:pPr>
            <w:r w:rsidRPr="00033E98">
              <w:rPr>
                <w:rFonts w:ascii="Calibri" w:eastAsia="Times New Roman" w:hAnsi="Calibri" w:cs="Arial"/>
                <w:sz w:val="20"/>
                <w:szCs w:val="20"/>
                <w:lang w:eastAsia="cs-CZ"/>
              </w:rPr>
              <w:t>2212</w:t>
            </w:r>
          </w:p>
        </w:tc>
        <w:tc>
          <w:tcPr>
            <w:tcW w:w="4253" w:type="dxa"/>
            <w:tcBorders>
              <w:top w:val="single" w:sz="8" w:space="0" w:color="auto"/>
              <w:left w:val="nil"/>
              <w:bottom w:val="single" w:sz="4" w:space="0" w:color="auto"/>
              <w:right w:val="single" w:sz="4" w:space="0" w:color="auto"/>
            </w:tcBorders>
            <w:shd w:val="clear" w:color="auto" w:fill="auto"/>
            <w:noWrap/>
            <w:vAlign w:val="bottom"/>
            <w:hideMark/>
          </w:tcPr>
          <w:p w14:paraId="0C2E4140" w14:textId="77777777" w:rsidR="00033E98" w:rsidRPr="00033E98" w:rsidRDefault="00033E98" w:rsidP="00033E98">
            <w:pPr>
              <w:spacing w:after="0" w:line="240" w:lineRule="auto"/>
              <w:rPr>
                <w:rFonts w:ascii="Calibri" w:eastAsia="Times New Roman" w:hAnsi="Calibri" w:cs="Arial"/>
                <w:sz w:val="20"/>
                <w:szCs w:val="20"/>
                <w:lang w:eastAsia="cs-CZ"/>
              </w:rPr>
            </w:pPr>
            <w:r w:rsidRPr="00033E98">
              <w:rPr>
                <w:rFonts w:ascii="Calibri" w:eastAsia="Times New Roman" w:hAnsi="Calibri" w:cs="Arial"/>
                <w:sz w:val="20"/>
                <w:szCs w:val="20"/>
                <w:lang w:eastAsia="cs-CZ"/>
              </w:rPr>
              <w:t>Dotace MMR pro KSÚS SK, p.o. ÚZ 17968, 17969</w:t>
            </w:r>
          </w:p>
        </w:tc>
        <w:tc>
          <w:tcPr>
            <w:tcW w:w="1559" w:type="dxa"/>
            <w:tcBorders>
              <w:top w:val="single" w:sz="8" w:space="0" w:color="auto"/>
              <w:left w:val="nil"/>
              <w:bottom w:val="nil"/>
              <w:right w:val="single" w:sz="4" w:space="0" w:color="auto"/>
            </w:tcBorders>
            <w:shd w:val="clear" w:color="auto" w:fill="auto"/>
            <w:noWrap/>
            <w:vAlign w:val="bottom"/>
            <w:hideMark/>
          </w:tcPr>
          <w:p w14:paraId="6589DCC9"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0</w:t>
            </w:r>
          </w:p>
        </w:tc>
        <w:tc>
          <w:tcPr>
            <w:tcW w:w="1701" w:type="dxa"/>
            <w:tcBorders>
              <w:top w:val="single" w:sz="8" w:space="0" w:color="auto"/>
              <w:left w:val="nil"/>
              <w:bottom w:val="single" w:sz="4" w:space="0" w:color="auto"/>
              <w:right w:val="single" w:sz="4" w:space="0" w:color="auto"/>
            </w:tcBorders>
            <w:shd w:val="clear" w:color="auto" w:fill="auto"/>
            <w:noWrap/>
            <w:vAlign w:val="bottom"/>
            <w:hideMark/>
          </w:tcPr>
          <w:p w14:paraId="74E7EF1F"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599 287 312,23</w:t>
            </w:r>
          </w:p>
        </w:tc>
        <w:tc>
          <w:tcPr>
            <w:tcW w:w="1701" w:type="dxa"/>
            <w:tcBorders>
              <w:top w:val="single" w:sz="8" w:space="0" w:color="auto"/>
              <w:left w:val="nil"/>
              <w:bottom w:val="single" w:sz="4" w:space="0" w:color="auto"/>
              <w:right w:val="single" w:sz="4" w:space="0" w:color="auto"/>
            </w:tcBorders>
            <w:shd w:val="clear" w:color="auto" w:fill="auto"/>
            <w:noWrap/>
            <w:vAlign w:val="bottom"/>
            <w:hideMark/>
          </w:tcPr>
          <w:p w14:paraId="00CD6BE1"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599 287 312,23</w:t>
            </w:r>
          </w:p>
        </w:tc>
        <w:tc>
          <w:tcPr>
            <w:tcW w:w="850" w:type="dxa"/>
            <w:tcBorders>
              <w:top w:val="single" w:sz="8" w:space="0" w:color="auto"/>
              <w:left w:val="nil"/>
              <w:bottom w:val="nil"/>
              <w:right w:val="single" w:sz="8" w:space="0" w:color="auto"/>
            </w:tcBorders>
            <w:shd w:val="clear" w:color="auto" w:fill="auto"/>
            <w:vAlign w:val="bottom"/>
            <w:hideMark/>
          </w:tcPr>
          <w:p w14:paraId="63B054B4"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100,0</w:t>
            </w:r>
          </w:p>
        </w:tc>
      </w:tr>
      <w:tr w:rsidR="00033E98" w:rsidRPr="00033E98" w14:paraId="3C2EF047" w14:textId="77777777" w:rsidTr="00D82B5A">
        <w:trPr>
          <w:trHeight w:val="520"/>
        </w:trPr>
        <w:tc>
          <w:tcPr>
            <w:tcW w:w="826" w:type="dxa"/>
            <w:tcBorders>
              <w:top w:val="nil"/>
              <w:left w:val="single" w:sz="8" w:space="0" w:color="auto"/>
              <w:bottom w:val="nil"/>
              <w:right w:val="single" w:sz="4" w:space="0" w:color="auto"/>
            </w:tcBorders>
            <w:shd w:val="clear" w:color="000000" w:fill="FFFFFF"/>
            <w:noWrap/>
            <w:vAlign w:val="bottom"/>
            <w:hideMark/>
          </w:tcPr>
          <w:p w14:paraId="02946138" w14:textId="77777777" w:rsidR="00033E98" w:rsidRPr="00033E98" w:rsidRDefault="00033E98" w:rsidP="00033E98">
            <w:pPr>
              <w:spacing w:after="0" w:line="240" w:lineRule="auto"/>
              <w:jc w:val="center"/>
              <w:rPr>
                <w:rFonts w:ascii="Calibri" w:eastAsia="Times New Roman" w:hAnsi="Calibri" w:cs="Arial"/>
                <w:sz w:val="20"/>
                <w:szCs w:val="20"/>
                <w:lang w:eastAsia="cs-CZ"/>
              </w:rPr>
            </w:pPr>
            <w:r w:rsidRPr="00033E98">
              <w:rPr>
                <w:rFonts w:ascii="Calibri" w:eastAsia="Times New Roman" w:hAnsi="Calibri" w:cs="Arial"/>
                <w:sz w:val="20"/>
                <w:szCs w:val="20"/>
                <w:lang w:eastAsia="cs-CZ"/>
              </w:rPr>
              <w:t>2212</w:t>
            </w:r>
          </w:p>
        </w:tc>
        <w:tc>
          <w:tcPr>
            <w:tcW w:w="4253" w:type="dxa"/>
            <w:tcBorders>
              <w:top w:val="nil"/>
              <w:left w:val="nil"/>
              <w:bottom w:val="nil"/>
              <w:right w:val="single" w:sz="4" w:space="0" w:color="auto"/>
            </w:tcBorders>
            <w:shd w:val="clear" w:color="auto" w:fill="auto"/>
            <w:vAlign w:val="bottom"/>
            <w:hideMark/>
          </w:tcPr>
          <w:p w14:paraId="11624F6E" w14:textId="77777777" w:rsidR="00033E98" w:rsidRPr="00033E98" w:rsidRDefault="00033E98" w:rsidP="00033E98">
            <w:pPr>
              <w:spacing w:after="0" w:line="240" w:lineRule="auto"/>
              <w:rPr>
                <w:rFonts w:ascii="Calibri" w:eastAsia="Times New Roman" w:hAnsi="Calibri" w:cs="Arial"/>
                <w:sz w:val="20"/>
                <w:szCs w:val="20"/>
                <w:lang w:eastAsia="cs-CZ"/>
              </w:rPr>
            </w:pPr>
            <w:r w:rsidRPr="00033E98">
              <w:rPr>
                <w:rFonts w:ascii="Calibri" w:eastAsia="Times New Roman" w:hAnsi="Calibri" w:cs="Arial"/>
                <w:sz w:val="20"/>
                <w:szCs w:val="20"/>
                <w:lang w:eastAsia="cs-CZ"/>
              </w:rPr>
              <w:t>Financování dopravní infrastruktury - neinvestice (SFDI) ÚZ 91252</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038DD747"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0</w:t>
            </w:r>
          </w:p>
        </w:tc>
        <w:tc>
          <w:tcPr>
            <w:tcW w:w="1701" w:type="dxa"/>
            <w:tcBorders>
              <w:top w:val="nil"/>
              <w:left w:val="nil"/>
              <w:bottom w:val="nil"/>
              <w:right w:val="single" w:sz="4" w:space="0" w:color="auto"/>
            </w:tcBorders>
            <w:shd w:val="clear" w:color="auto" w:fill="auto"/>
            <w:noWrap/>
            <w:vAlign w:val="bottom"/>
            <w:hideMark/>
          </w:tcPr>
          <w:p w14:paraId="73887EA1"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685 218 010,07</w:t>
            </w:r>
          </w:p>
        </w:tc>
        <w:tc>
          <w:tcPr>
            <w:tcW w:w="1701" w:type="dxa"/>
            <w:tcBorders>
              <w:top w:val="nil"/>
              <w:left w:val="nil"/>
              <w:bottom w:val="nil"/>
              <w:right w:val="single" w:sz="4" w:space="0" w:color="auto"/>
            </w:tcBorders>
            <w:shd w:val="clear" w:color="auto" w:fill="auto"/>
            <w:noWrap/>
            <w:vAlign w:val="bottom"/>
            <w:hideMark/>
          </w:tcPr>
          <w:p w14:paraId="566EDD66"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477 899 356,87</w:t>
            </w:r>
          </w:p>
        </w:tc>
        <w:tc>
          <w:tcPr>
            <w:tcW w:w="850" w:type="dxa"/>
            <w:tcBorders>
              <w:top w:val="single" w:sz="4" w:space="0" w:color="auto"/>
              <w:left w:val="nil"/>
              <w:bottom w:val="single" w:sz="4" w:space="0" w:color="auto"/>
              <w:right w:val="single" w:sz="8" w:space="0" w:color="auto"/>
            </w:tcBorders>
            <w:shd w:val="clear" w:color="auto" w:fill="auto"/>
            <w:vAlign w:val="bottom"/>
            <w:hideMark/>
          </w:tcPr>
          <w:p w14:paraId="76307615"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69,7</w:t>
            </w:r>
          </w:p>
        </w:tc>
      </w:tr>
      <w:tr w:rsidR="00033E98" w:rsidRPr="00033E98" w14:paraId="4FEA1AFF" w14:textId="77777777" w:rsidTr="00D82B5A">
        <w:trPr>
          <w:trHeight w:val="530"/>
        </w:trPr>
        <w:tc>
          <w:tcPr>
            <w:tcW w:w="826" w:type="dxa"/>
            <w:tcBorders>
              <w:top w:val="single" w:sz="4" w:space="0" w:color="auto"/>
              <w:left w:val="single" w:sz="8" w:space="0" w:color="auto"/>
              <w:bottom w:val="single" w:sz="8" w:space="0" w:color="auto"/>
              <w:right w:val="single" w:sz="4" w:space="0" w:color="auto"/>
            </w:tcBorders>
            <w:shd w:val="clear" w:color="000000" w:fill="FFFFFF"/>
            <w:noWrap/>
            <w:vAlign w:val="bottom"/>
            <w:hideMark/>
          </w:tcPr>
          <w:p w14:paraId="6FC495F4" w14:textId="77777777" w:rsidR="00033E98" w:rsidRPr="00033E98" w:rsidRDefault="00033E98" w:rsidP="00033E98">
            <w:pPr>
              <w:spacing w:after="0" w:line="240" w:lineRule="auto"/>
              <w:jc w:val="center"/>
              <w:rPr>
                <w:rFonts w:ascii="Calibri" w:eastAsia="Times New Roman" w:hAnsi="Calibri" w:cs="Arial"/>
                <w:sz w:val="20"/>
                <w:szCs w:val="20"/>
                <w:lang w:eastAsia="cs-CZ"/>
              </w:rPr>
            </w:pPr>
            <w:r w:rsidRPr="00033E98">
              <w:rPr>
                <w:rFonts w:ascii="Calibri" w:eastAsia="Times New Roman" w:hAnsi="Calibri" w:cs="Arial"/>
                <w:sz w:val="20"/>
                <w:szCs w:val="20"/>
                <w:lang w:eastAsia="cs-CZ"/>
              </w:rPr>
              <w:t>2212</w:t>
            </w:r>
          </w:p>
        </w:tc>
        <w:tc>
          <w:tcPr>
            <w:tcW w:w="4253" w:type="dxa"/>
            <w:tcBorders>
              <w:top w:val="single" w:sz="4" w:space="0" w:color="auto"/>
              <w:left w:val="nil"/>
              <w:bottom w:val="single" w:sz="8" w:space="0" w:color="auto"/>
              <w:right w:val="single" w:sz="4" w:space="0" w:color="auto"/>
            </w:tcBorders>
            <w:shd w:val="clear" w:color="auto" w:fill="auto"/>
            <w:vAlign w:val="bottom"/>
            <w:hideMark/>
          </w:tcPr>
          <w:p w14:paraId="63B99A63" w14:textId="77777777" w:rsidR="00033E98" w:rsidRPr="00033E98" w:rsidRDefault="00033E98" w:rsidP="00033E98">
            <w:pPr>
              <w:spacing w:after="0" w:line="240" w:lineRule="auto"/>
              <w:rPr>
                <w:rFonts w:ascii="Calibri" w:eastAsia="Times New Roman" w:hAnsi="Calibri" w:cs="Arial"/>
                <w:sz w:val="20"/>
                <w:szCs w:val="20"/>
                <w:lang w:eastAsia="cs-CZ"/>
              </w:rPr>
            </w:pPr>
            <w:r w:rsidRPr="00033E98">
              <w:rPr>
                <w:rFonts w:ascii="Calibri" w:eastAsia="Times New Roman" w:hAnsi="Calibri" w:cs="Arial"/>
                <w:sz w:val="20"/>
                <w:szCs w:val="20"/>
                <w:lang w:eastAsia="cs-CZ"/>
              </w:rPr>
              <w:t>Financování dopravní infrastruktury - investice (SFDI) ÚZ 91628</w:t>
            </w:r>
          </w:p>
        </w:tc>
        <w:tc>
          <w:tcPr>
            <w:tcW w:w="1559" w:type="dxa"/>
            <w:tcBorders>
              <w:top w:val="nil"/>
              <w:left w:val="nil"/>
              <w:bottom w:val="single" w:sz="8" w:space="0" w:color="auto"/>
              <w:right w:val="single" w:sz="4" w:space="0" w:color="auto"/>
            </w:tcBorders>
            <w:shd w:val="clear" w:color="auto" w:fill="auto"/>
            <w:noWrap/>
            <w:vAlign w:val="bottom"/>
            <w:hideMark/>
          </w:tcPr>
          <w:p w14:paraId="6264C5C5"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0</w:t>
            </w:r>
          </w:p>
        </w:tc>
        <w:tc>
          <w:tcPr>
            <w:tcW w:w="1701" w:type="dxa"/>
            <w:tcBorders>
              <w:top w:val="single" w:sz="4" w:space="0" w:color="auto"/>
              <w:left w:val="nil"/>
              <w:bottom w:val="single" w:sz="8" w:space="0" w:color="auto"/>
              <w:right w:val="single" w:sz="4" w:space="0" w:color="auto"/>
            </w:tcBorders>
            <w:shd w:val="clear" w:color="auto" w:fill="auto"/>
            <w:noWrap/>
            <w:vAlign w:val="bottom"/>
            <w:hideMark/>
          </w:tcPr>
          <w:p w14:paraId="4F03EF6E"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2 392 571 682,02</w:t>
            </w:r>
          </w:p>
        </w:tc>
        <w:tc>
          <w:tcPr>
            <w:tcW w:w="1701" w:type="dxa"/>
            <w:tcBorders>
              <w:top w:val="single" w:sz="4" w:space="0" w:color="auto"/>
              <w:left w:val="nil"/>
              <w:bottom w:val="single" w:sz="8" w:space="0" w:color="auto"/>
              <w:right w:val="single" w:sz="4" w:space="0" w:color="auto"/>
            </w:tcBorders>
            <w:shd w:val="clear" w:color="auto" w:fill="auto"/>
            <w:noWrap/>
            <w:vAlign w:val="bottom"/>
            <w:hideMark/>
          </w:tcPr>
          <w:p w14:paraId="65053922"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1 094 327 141,71</w:t>
            </w:r>
          </w:p>
        </w:tc>
        <w:tc>
          <w:tcPr>
            <w:tcW w:w="850" w:type="dxa"/>
            <w:tcBorders>
              <w:top w:val="nil"/>
              <w:left w:val="nil"/>
              <w:bottom w:val="single" w:sz="8" w:space="0" w:color="auto"/>
              <w:right w:val="single" w:sz="8" w:space="0" w:color="auto"/>
            </w:tcBorders>
            <w:shd w:val="clear" w:color="auto" w:fill="auto"/>
            <w:vAlign w:val="bottom"/>
            <w:hideMark/>
          </w:tcPr>
          <w:p w14:paraId="146DB5F4" w14:textId="77777777" w:rsidR="00033E98" w:rsidRPr="00033E98" w:rsidRDefault="00033E98" w:rsidP="00033E98">
            <w:pPr>
              <w:spacing w:after="0" w:line="240" w:lineRule="auto"/>
              <w:jc w:val="right"/>
              <w:rPr>
                <w:rFonts w:ascii="Calibri" w:eastAsia="Times New Roman" w:hAnsi="Calibri" w:cs="Arial"/>
                <w:sz w:val="20"/>
                <w:szCs w:val="20"/>
                <w:lang w:eastAsia="cs-CZ"/>
              </w:rPr>
            </w:pPr>
            <w:r w:rsidRPr="00033E98">
              <w:rPr>
                <w:rFonts w:ascii="Calibri" w:eastAsia="Times New Roman" w:hAnsi="Calibri" w:cs="Arial"/>
                <w:sz w:val="20"/>
                <w:szCs w:val="20"/>
                <w:lang w:eastAsia="cs-CZ"/>
              </w:rPr>
              <w:t>45,7</w:t>
            </w:r>
          </w:p>
        </w:tc>
      </w:tr>
      <w:tr w:rsidR="00033E98" w:rsidRPr="00033E98" w14:paraId="1A98186A" w14:textId="77777777" w:rsidTr="00D82B5A">
        <w:trPr>
          <w:trHeight w:val="300"/>
        </w:trPr>
        <w:tc>
          <w:tcPr>
            <w:tcW w:w="826" w:type="dxa"/>
            <w:tcBorders>
              <w:top w:val="nil"/>
              <w:left w:val="single" w:sz="8" w:space="0" w:color="auto"/>
              <w:bottom w:val="single" w:sz="8" w:space="0" w:color="auto"/>
              <w:right w:val="single" w:sz="4" w:space="0" w:color="auto"/>
            </w:tcBorders>
            <w:shd w:val="clear" w:color="auto" w:fill="auto"/>
            <w:noWrap/>
            <w:vAlign w:val="bottom"/>
            <w:hideMark/>
          </w:tcPr>
          <w:p w14:paraId="631A7BCE" w14:textId="77777777" w:rsidR="00033E98" w:rsidRPr="00033E98" w:rsidRDefault="00033E98" w:rsidP="00033E98">
            <w:pPr>
              <w:spacing w:after="0" w:line="240" w:lineRule="auto"/>
              <w:jc w:val="center"/>
              <w:rPr>
                <w:rFonts w:ascii="Calibri" w:eastAsia="Times New Roman" w:hAnsi="Calibri" w:cs="Arial"/>
                <w:lang w:eastAsia="cs-CZ"/>
              </w:rPr>
            </w:pPr>
            <w:r w:rsidRPr="00033E98">
              <w:rPr>
                <w:rFonts w:ascii="Calibri" w:eastAsia="Times New Roman" w:hAnsi="Calibri" w:cs="Arial"/>
                <w:lang w:eastAsia="cs-CZ"/>
              </w:rPr>
              <w:t> </w:t>
            </w:r>
          </w:p>
        </w:tc>
        <w:tc>
          <w:tcPr>
            <w:tcW w:w="4253" w:type="dxa"/>
            <w:tcBorders>
              <w:top w:val="nil"/>
              <w:left w:val="nil"/>
              <w:bottom w:val="single" w:sz="8" w:space="0" w:color="auto"/>
              <w:right w:val="single" w:sz="4" w:space="0" w:color="auto"/>
            </w:tcBorders>
            <w:shd w:val="clear" w:color="auto" w:fill="auto"/>
            <w:noWrap/>
            <w:vAlign w:val="bottom"/>
            <w:hideMark/>
          </w:tcPr>
          <w:p w14:paraId="0A0C7F81" w14:textId="77777777" w:rsidR="00033E98" w:rsidRPr="00033E98" w:rsidRDefault="00033E98" w:rsidP="00033E98">
            <w:pPr>
              <w:spacing w:after="0" w:line="240" w:lineRule="auto"/>
              <w:rPr>
                <w:rFonts w:ascii="Calibri" w:eastAsia="Times New Roman" w:hAnsi="Calibri" w:cs="Arial"/>
                <w:b/>
                <w:bCs/>
                <w:lang w:eastAsia="cs-CZ"/>
              </w:rPr>
            </w:pPr>
            <w:r w:rsidRPr="00033E98">
              <w:rPr>
                <w:rFonts w:ascii="Calibri" w:eastAsia="Times New Roman" w:hAnsi="Calibri" w:cs="Arial"/>
                <w:b/>
                <w:bCs/>
                <w:lang w:eastAsia="cs-CZ"/>
              </w:rPr>
              <w:t>Celkem</w:t>
            </w:r>
          </w:p>
        </w:tc>
        <w:tc>
          <w:tcPr>
            <w:tcW w:w="1559" w:type="dxa"/>
            <w:tcBorders>
              <w:top w:val="nil"/>
              <w:left w:val="nil"/>
              <w:bottom w:val="single" w:sz="8" w:space="0" w:color="auto"/>
              <w:right w:val="single" w:sz="4" w:space="0" w:color="auto"/>
            </w:tcBorders>
            <w:shd w:val="clear" w:color="auto" w:fill="auto"/>
            <w:noWrap/>
            <w:vAlign w:val="bottom"/>
            <w:hideMark/>
          </w:tcPr>
          <w:p w14:paraId="1C844065" w14:textId="77777777" w:rsidR="00033E98" w:rsidRPr="00033E98" w:rsidRDefault="00033E98" w:rsidP="00033E98">
            <w:pPr>
              <w:spacing w:after="0" w:line="240" w:lineRule="auto"/>
              <w:jc w:val="right"/>
              <w:rPr>
                <w:rFonts w:ascii="Calibri" w:eastAsia="Times New Roman" w:hAnsi="Calibri" w:cs="Arial"/>
                <w:b/>
                <w:bCs/>
                <w:lang w:eastAsia="cs-CZ"/>
              </w:rPr>
            </w:pPr>
            <w:r w:rsidRPr="00033E98">
              <w:rPr>
                <w:rFonts w:ascii="Calibri" w:eastAsia="Times New Roman" w:hAnsi="Calibri" w:cs="Arial"/>
                <w:b/>
                <w:bCs/>
                <w:lang w:eastAsia="cs-CZ"/>
              </w:rPr>
              <w:t>0</w:t>
            </w:r>
          </w:p>
        </w:tc>
        <w:tc>
          <w:tcPr>
            <w:tcW w:w="1701" w:type="dxa"/>
            <w:tcBorders>
              <w:top w:val="nil"/>
              <w:left w:val="nil"/>
              <w:bottom w:val="single" w:sz="8" w:space="0" w:color="auto"/>
              <w:right w:val="single" w:sz="4" w:space="0" w:color="auto"/>
            </w:tcBorders>
            <w:shd w:val="clear" w:color="auto" w:fill="auto"/>
            <w:noWrap/>
            <w:vAlign w:val="bottom"/>
            <w:hideMark/>
          </w:tcPr>
          <w:p w14:paraId="18A735F1" w14:textId="77777777" w:rsidR="00033E98" w:rsidRPr="00033E98" w:rsidRDefault="00033E98" w:rsidP="00033E98">
            <w:pPr>
              <w:spacing w:after="0" w:line="240" w:lineRule="auto"/>
              <w:jc w:val="right"/>
              <w:rPr>
                <w:rFonts w:ascii="Calibri" w:eastAsia="Times New Roman" w:hAnsi="Calibri" w:cs="Arial"/>
                <w:b/>
                <w:bCs/>
                <w:lang w:eastAsia="cs-CZ"/>
              </w:rPr>
            </w:pPr>
            <w:r w:rsidRPr="00033E98">
              <w:rPr>
                <w:rFonts w:ascii="Calibri" w:eastAsia="Times New Roman" w:hAnsi="Calibri" w:cs="Arial"/>
                <w:b/>
                <w:bCs/>
                <w:lang w:eastAsia="cs-CZ"/>
              </w:rPr>
              <w:t>3 677 077 004,32</w:t>
            </w:r>
          </w:p>
        </w:tc>
        <w:tc>
          <w:tcPr>
            <w:tcW w:w="1701" w:type="dxa"/>
            <w:tcBorders>
              <w:top w:val="nil"/>
              <w:left w:val="nil"/>
              <w:bottom w:val="single" w:sz="8" w:space="0" w:color="auto"/>
              <w:right w:val="single" w:sz="4" w:space="0" w:color="auto"/>
            </w:tcBorders>
            <w:shd w:val="clear" w:color="auto" w:fill="auto"/>
            <w:noWrap/>
            <w:vAlign w:val="bottom"/>
            <w:hideMark/>
          </w:tcPr>
          <w:p w14:paraId="61CD0A75" w14:textId="77777777" w:rsidR="00033E98" w:rsidRPr="00033E98" w:rsidRDefault="00033E98" w:rsidP="00033E98">
            <w:pPr>
              <w:spacing w:after="0" w:line="240" w:lineRule="auto"/>
              <w:jc w:val="right"/>
              <w:rPr>
                <w:rFonts w:ascii="Calibri" w:eastAsia="Times New Roman" w:hAnsi="Calibri" w:cs="Arial"/>
                <w:b/>
                <w:bCs/>
                <w:lang w:eastAsia="cs-CZ"/>
              </w:rPr>
            </w:pPr>
            <w:r w:rsidRPr="00033E98">
              <w:rPr>
                <w:rFonts w:ascii="Calibri" w:eastAsia="Times New Roman" w:hAnsi="Calibri" w:cs="Arial"/>
                <w:b/>
                <w:bCs/>
                <w:lang w:eastAsia="cs-CZ"/>
              </w:rPr>
              <w:t>2 171 513 810,81</w:t>
            </w:r>
          </w:p>
        </w:tc>
        <w:tc>
          <w:tcPr>
            <w:tcW w:w="850" w:type="dxa"/>
            <w:tcBorders>
              <w:top w:val="nil"/>
              <w:left w:val="nil"/>
              <w:bottom w:val="single" w:sz="8" w:space="0" w:color="auto"/>
              <w:right w:val="single" w:sz="8" w:space="0" w:color="auto"/>
            </w:tcBorders>
            <w:shd w:val="clear" w:color="auto" w:fill="auto"/>
            <w:noWrap/>
            <w:vAlign w:val="bottom"/>
            <w:hideMark/>
          </w:tcPr>
          <w:p w14:paraId="12171548" w14:textId="77777777" w:rsidR="00033E98" w:rsidRPr="00033E98" w:rsidRDefault="00033E98" w:rsidP="00033E98">
            <w:pPr>
              <w:spacing w:after="0" w:line="240" w:lineRule="auto"/>
              <w:jc w:val="right"/>
              <w:rPr>
                <w:rFonts w:ascii="Calibri" w:eastAsia="Times New Roman" w:hAnsi="Calibri" w:cs="Arial"/>
                <w:b/>
                <w:bCs/>
                <w:lang w:eastAsia="cs-CZ"/>
              </w:rPr>
            </w:pPr>
            <w:r w:rsidRPr="00033E98">
              <w:rPr>
                <w:rFonts w:ascii="Calibri" w:eastAsia="Times New Roman" w:hAnsi="Calibri" w:cs="Arial"/>
                <w:b/>
                <w:bCs/>
                <w:lang w:eastAsia="cs-CZ"/>
              </w:rPr>
              <w:t>59,1</w:t>
            </w:r>
          </w:p>
        </w:tc>
      </w:tr>
      <w:tr w:rsidR="00033E98" w:rsidRPr="00033E98" w14:paraId="66C99E13" w14:textId="77777777" w:rsidTr="00D82B5A">
        <w:trPr>
          <w:trHeight w:val="270"/>
        </w:trPr>
        <w:tc>
          <w:tcPr>
            <w:tcW w:w="826" w:type="dxa"/>
            <w:tcBorders>
              <w:top w:val="nil"/>
              <w:left w:val="nil"/>
              <w:bottom w:val="nil"/>
              <w:right w:val="nil"/>
            </w:tcBorders>
            <w:shd w:val="clear" w:color="auto" w:fill="auto"/>
            <w:noWrap/>
            <w:vAlign w:val="bottom"/>
            <w:hideMark/>
          </w:tcPr>
          <w:p w14:paraId="57ED6942" w14:textId="77777777" w:rsidR="00033E98" w:rsidRPr="00033E98" w:rsidRDefault="00033E98" w:rsidP="00033E98">
            <w:pPr>
              <w:spacing w:after="0" w:line="240" w:lineRule="auto"/>
              <w:jc w:val="right"/>
              <w:rPr>
                <w:rFonts w:ascii="Calibri" w:eastAsia="Times New Roman" w:hAnsi="Calibri" w:cs="Arial"/>
                <w:b/>
                <w:bCs/>
                <w:lang w:eastAsia="cs-CZ"/>
              </w:rPr>
            </w:pPr>
          </w:p>
        </w:tc>
        <w:tc>
          <w:tcPr>
            <w:tcW w:w="4253" w:type="dxa"/>
            <w:tcBorders>
              <w:top w:val="nil"/>
              <w:left w:val="nil"/>
              <w:bottom w:val="nil"/>
              <w:right w:val="nil"/>
            </w:tcBorders>
            <w:shd w:val="clear" w:color="auto" w:fill="auto"/>
            <w:noWrap/>
            <w:vAlign w:val="bottom"/>
            <w:hideMark/>
          </w:tcPr>
          <w:p w14:paraId="49EBDF25" w14:textId="77777777" w:rsidR="00033E98" w:rsidRPr="00033E98" w:rsidRDefault="00033E98" w:rsidP="00033E98">
            <w:pPr>
              <w:spacing w:after="0" w:line="240" w:lineRule="auto"/>
              <w:rPr>
                <w:rFonts w:ascii="Times New Roman" w:eastAsia="Times New Roman" w:hAnsi="Times New Roman" w:cs="Times New Roman"/>
                <w:sz w:val="20"/>
                <w:szCs w:val="20"/>
                <w:lang w:eastAsia="cs-CZ"/>
              </w:rPr>
            </w:pPr>
          </w:p>
        </w:tc>
        <w:tc>
          <w:tcPr>
            <w:tcW w:w="1559" w:type="dxa"/>
            <w:tcBorders>
              <w:top w:val="nil"/>
              <w:left w:val="nil"/>
              <w:bottom w:val="nil"/>
              <w:right w:val="nil"/>
            </w:tcBorders>
            <w:shd w:val="clear" w:color="auto" w:fill="auto"/>
            <w:noWrap/>
            <w:vAlign w:val="bottom"/>
            <w:hideMark/>
          </w:tcPr>
          <w:p w14:paraId="78DC63EE" w14:textId="77777777" w:rsidR="00033E98" w:rsidRPr="00033E98" w:rsidRDefault="00033E98" w:rsidP="00033E98">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39F2AB54" w14:textId="77777777" w:rsidR="00033E98" w:rsidRPr="00033E98" w:rsidRDefault="00033E98" w:rsidP="00033E98">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2DA397C0" w14:textId="77777777" w:rsidR="00033E98" w:rsidRPr="00033E98" w:rsidRDefault="00033E98" w:rsidP="00033E98">
            <w:pPr>
              <w:spacing w:after="0" w:line="240" w:lineRule="auto"/>
              <w:rPr>
                <w:rFonts w:ascii="Times New Roman" w:eastAsia="Times New Roman" w:hAnsi="Times New Roman" w:cs="Times New Roman"/>
                <w:sz w:val="20"/>
                <w:szCs w:val="20"/>
                <w:lang w:eastAsia="cs-CZ"/>
              </w:rPr>
            </w:pPr>
          </w:p>
        </w:tc>
        <w:tc>
          <w:tcPr>
            <w:tcW w:w="850" w:type="dxa"/>
            <w:tcBorders>
              <w:top w:val="nil"/>
              <w:left w:val="nil"/>
              <w:bottom w:val="nil"/>
              <w:right w:val="nil"/>
            </w:tcBorders>
            <w:shd w:val="clear" w:color="auto" w:fill="auto"/>
            <w:noWrap/>
            <w:vAlign w:val="bottom"/>
            <w:hideMark/>
          </w:tcPr>
          <w:p w14:paraId="7801593E" w14:textId="77777777" w:rsidR="00033E98" w:rsidRPr="00033E98" w:rsidRDefault="00033E98" w:rsidP="00033E98">
            <w:pPr>
              <w:spacing w:after="0" w:line="240" w:lineRule="auto"/>
              <w:rPr>
                <w:rFonts w:ascii="Times New Roman" w:eastAsia="Times New Roman" w:hAnsi="Times New Roman" w:cs="Times New Roman"/>
                <w:sz w:val="20"/>
                <w:szCs w:val="20"/>
                <w:lang w:eastAsia="cs-CZ"/>
              </w:rPr>
            </w:pPr>
          </w:p>
        </w:tc>
      </w:tr>
      <w:tr w:rsidR="00033E98" w:rsidRPr="00033E98" w14:paraId="6F8A80EA" w14:textId="77777777" w:rsidTr="00D82B5A">
        <w:trPr>
          <w:trHeight w:val="320"/>
        </w:trPr>
        <w:tc>
          <w:tcPr>
            <w:tcW w:w="5079"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5FC23729" w14:textId="77777777" w:rsidR="00033E98" w:rsidRPr="00033E98" w:rsidRDefault="00033E98" w:rsidP="00033E98">
            <w:pPr>
              <w:spacing w:after="0" w:line="240" w:lineRule="auto"/>
              <w:rPr>
                <w:rFonts w:ascii="Calibri" w:eastAsia="Times New Roman" w:hAnsi="Calibri" w:cs="Arial"/>
                <w:b/>
                <w:bCs/>
                <w:sz w:val="24"/>
                <w:szCs w:val="24"/>
                <w:lang w:eastAsia="cs-CZ"/>
              </w:rPr>
            </w:pPr>
            <w:r w:rsidRPr="00033E98">
              <w:rPr>
                <w:rFonts w:ascii="Calibri" w:eastAsia="Times New Roman" w:hAnsi="Calibri" w:cs="Arial"/>
                <w:b/>
                <w:bCs/>
                <w:sz w:val="24"/>
                <w:szCs w:val="24"/>
                <w:lang w:eastAsia="cs-CZ"/>
              </w:rPr>
              <w:t>Celkem výdaje</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14:paraId="38CB0E31" w14:textId="77777777" w:rsidR="00033E98" w:rsidRPr="00033E98" w:rsidRDefault="00033E98" w:rsidP="00033E98">
            <w:pPr>
              <w:spacing w:after="0" w:line="240" w:lineRule="auto"/>
              <w:jc w:val="right"/>
              <w:rPr>
                <w:rFonts w:ascii="Calibri" w:eastAsia="Times New Roman" w:hAnsi="Calibri" w:cs="Arial"/>
                <w:b/>
                <w:bCs/>
                <w:lang w:eastAsia="cs-CZ"/>
              </w:rPr>
            </w:pPr>
            <w:r w:rsidRPr="00033E98">
              <w:rPr>
                <w:rFonts w:ascii="Calibri" w:eastAsia="Times New Roman" w:hAnsi="Calibri" w:cs="Arial"/>
                <w:b/>
                <w:bCs/>
                <w:lang w:eastAsia="cs-CZ"/>
              </w:rPr>
              <w:t>4 894 421 000</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60EC2FA9" w14:textId="77777777" w:rsidR="00033E98" w:rsidRPr="00033E98" w:rsidRDefault="00033E98" w:rsidP="00033E98">
            <w:pPr>
              <w:spacing w:after="0" w:line="240" w:lineRule="auto"/>
              <w:jc w:val="right"/>
              <w:rPr>
                <w:rFonts w:ascii="Calibri" w:eastAsia="Times New Roman" w:hAnsi="Calibri" w:cs="Arial"/>
                <w:b/>
                <w:bCs/>
                <w:lang w:eastAsia="cs-CZ"/>
              </w:rPr>
            </w:pPr>
            <w:r w:rsidRPr="00033E98">
              <w:rPr>
                <w:rFonts w:ascii="Calibri" w:eastAsia="Times New Roman" w:hAnsi="Calibri" w:cs="Arial"/>
                <w:b/>
                <w:bCs/>
                <w:lang w:eastAsia="cs-CZ"/>
              </w:rPr>
              <w:t>8 295 402 278,48</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5FED59A2" w14:textId="77777777" w:rsidR="00033E98" w:rsidRPr="00033E98" w:rsidRDefault="00033E98" w:rsidP="00033E98">
            <w:pPr>
              <w:spacing w:after="0" w:line="240" w:lineRule="auto"/>
              <w:jc w:val="right"/>
              <w:rPr>
                <w:rFonts w:ascii="Calibri" w:eastAsia="Times New Roman" w:hAnsi="Calibri" w:cs="Arial"/>
                <w:b/>
                <w:bCs/>
                <w:lang w:eastAsia="cs-CZ"/>
              </w:rPr>
            </w:pPr>
            <w:r w:rsidRPr="00033E98">
              <w:rPr>
                <w:rFonts w:ascii="Calibri" w:eastAsia="Times New Roman" w:hAnsi="Calibri" w:cs="Arial"/>
                <w:b/>
                <w:bCs/>
                <w:lang w:eastAsia="cs-CZ"/>
              </w:rPr>
              <w:t>6 719 839 994,54</w:t>
            </w:r>
          </w:p>
        </w:tc>
        <w:tc>
          <w:tcPr>
            <w:tcW w:w="850"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14:paraId="2F9483A1" w14:textId="77777777" w:rsidR="00033E98" w:rsidRPr="00033E98" w:rsidRDefault="00033E98" w:rsidP="00033E98">
            <w:pPr>
              <w:spacing w:after="0" w:line="240" w:lineRule="auto"/>
              <w:jc w:val="right"/>
              <w:rPr>
                <w:rFonts w:ascii="Calibri" w:eastAsia="Times New Roman" w:hAnsi="Calibri" w:cs="Arial"/>
                <w:b/>
                <w:bCs/>
                <w:lang w:eastAsia="cs-CZ"/>
              </w:rPr>
            </w:pPr>
            <w:r w:rsidRPr="00033E98">
              <w:rPr>
                <w:rFonts w:ascii="Calibri" w:eastAsia="Times New Roman" w:hAnsi="Calibri" w:cs="Arial"/>
                <w:b/>
                <w:bCs/>
                <w:lang w:eastAsia="cs-CZ"/>
              </w:rPr>
              <w:t>81,0</w:t>
            </w:r>
          </w:p>
        </w:tc>
      </w:tr>
    </w:tbl>
    <w:p w14:paraId="3018970F" w14:textId="77777777" w:rsidR="004E6F95" w:rsidRPr="005224E3" w:rsidRDefault="004E6F95" w:rsidP="004E6F95">
      <w:pPr>
        <w:jc w:val="both"/>
        <w:rPr>
          <w:rFonts w:ascii="Calibri" w:hAnsi="Calibri" w:cs="Calibri"/>
          <w:bCs/>
        </w:rPr>
      </w:pPr>
    </w:p>
    <w:p w14:paraId="3A67EE5F" w14:textId="77777777" w:rsidR="004E6F95" w:rsidRPr="005224E3" w:rsidRDefault="004E6F95" w:rsidP="004E6F95">
      <w:pPr>
        <w:jc w:val="both"/>
        <w:rPr>
          <w:rFonts w:ascii="Calibri" w:hAnsi="Calibri" w:cs="Calibri"/>
          <w:bCs/>
        </w:rPr>
      </w:pPr>
    </w:p>
    <w:p w14:paraId="1E494F9E" w14:textId="14966DB4" w:rsidR="004E6F95" w:rsidRDefault="004E6F95" w:rsidP="004E6F95">
      <w:pPr>
        <w:jc w:val="both"/>
        <w:rPr>
          <w:rFonts w:ascii="Calibri" w:hAnsi="Calibri" w:cs="Calibri"/>
        </w:rPr>
      </w:pPr>
    </w:p>
    <w:p w14:paraId="5FFB3DE5" w14:textId="4482620B" w:rsidR="00033E98" w:rsidRDefault="00033E98" w:rsidP="004E6F95">
      <w:pPr>
        <w:jc w:val="both"/>
        <w:rPr>
          <w:rFonts w:ascii="Calibri" w:hAnsi="Calibri" w:cs="Calibri"/>
        </w:rPr>
      </w:pPr>
    </w:p>
    <w:p w14:paraId="58F81065" w14:textId="3F99C8B6" w:rsidR="00033E98" w:rsidRDefault="00033E98" w:rsidP="004E6F95">
      <w:pPr>
        <w:jc w:val="both"/>
        <w:rPr>
          <w:rFonts w:ascii="Calibri" w:hAnsi="Calibri" w:cs="Calibri"/>
        </w:rPr>
      </w:pPr>
    </w:p>
    <w:p w14:paraId="09B5B5AD" w14:textId="50D51407" w:rsidR="00033E98" w:rsidRDefault="00033E98" w:rsidP="004E6F95">
      <w:pPr>
        <w:jc w:val="both"/>
        <w:rPr>
          <w:rFonts w:ascii="Calibri" w:hAnsi="Calibri" w:cs="Calibri"/>
        </w:rPr>
      </w:pPr>
    </w:p>
    <w:p w14:paraId="196E3ADE" w14:textId="34D526D3" w:rsidR="00A137F1" w:rsidRDefault="00A137F1" w:rsidP="004E6F95">
      <w:pPr>
        <w:jc w:val="both"/>
        <w:rPr>
          <w:rFonts w:ascii="Calibri" w:hAnsi="Calibri" w:cs="Calibri"/>
        </w:rPr>
      </w:pPr>
    </w:p>
    <w:p w14:paraId="703F2DC3" w14:textId="42CB8C1F" w:rsidR="00A137F1" w:rsidRDefault="00A137F1" w:rsidP="004E6F95">
      <w:pPr>
        <w:jc w:val="both"/>
        <w:rPr>
          <w:rFonts w:ascii="Calibri" w:hAnsi="Calibri" w:cs="Calibri"/>
        </w:rPr>
      </w:pPr>
    </w:p>
    <w:p w14:paraId="15CB6BE3" w14:textId="37F6A926" w:rsidR="00A137F1" w:rsidRDefault="00A137F1" w:rsidP="004E6F95">
      <w:pPr>
        <w:jc w:val="both"/>
        <w:rPr>
          <w:rFonts w:ascii="Calibri" w:hAnsi="Calibri" w:cs="Calibri"/>
        </w:rPr>
      </w:pPr>
    </w:p>
    <w:p w14:paraId="0CC3EDCD" w14:textId="53868087" w:rsidR="00A137F1" w:rsidRDefault="00A137F1" w:rsidP="004E6F95">
      <w:pPr>
        <w:jc w:val="both"/>
        <w:rPr>
          <w:rFonts w:ascii="Calibri" w:hAnsi="Calibri" w:cs="Calibri"/>
        </w:rPr>
      </w:pPr>
    </w:p>
    <w:p w14:paraId="69FD9794" w14:textId="40ACEF1E" w:rsidR="00A137F1" w:rsidRDefault="00A137F1" w:rsidP="004E6F95">
      <w:pPr>
        <w:jc w:val="both"/>
        <w:rPr>
          <w:rFonts w:ascii="Calibri" w:hAnsi="Calibri" w:cs="Calibri"/>
        </w:rPr>
      </w:pPr>
    </w:p>
    <w:p w14:paraId="455E3062" w14:textId="4972FB50" w:rsidR="00A137F1" w:rsidRDefault="00A137F1" w:rsidP="004E6F95">
      <w:pPr>
        <w:jc w:val="both"/>
        <w:rPr>
          <w:rFonts w:ascii="Calibri" w:hAnsi="Calibri" w:cs="Calibri"/>
        </w:rPr>
      </w:pPr>
    </w:p>
    <w:p w14:paraId="5B20127D" w14:textId="78722ADC" w:rsidR="00A137F1" w:rsidRDefault="00A137F1" w:rsidP="004E6F95">
      <w:pPr>
        <w:jc w:val="both"/>
        <w:rPr>
          <w:rFonts w:ascii="Calibri" w:hAnsi="Calibri" w:cs="Calibri"/>
        </w:rPr>
      </w:pPr>
    </w:p>
    <w:p w14:paraId="4EE337E0" w14:textId="7DE37340" w:rsidR="00A137F1" w:rsidRDefault="00A137F1" w:rsidP="004E6F95">
      <w:pPr>
        <w:jc w:val="both"/>
        <w:rPr>
          <w:rFonts w:ascii="Calibri" w:hAnsi="Calibri" w:cs="Calibri"/>
        </w:rPr>
      </w:pPr>
    </w:p>
    <w:p w14:paraId="19C94727" w14:textId="59BB6208" w:rsidR="00A137F1" w:rsidRDefault="00A137F1" w:rsidP="004E6F95">
      <w:pPr>
        <w:jc w:val="both"/>
        <w:rPr>
          <w:rFonts w:ascii="Calibri" w:hAnsi="Calibri" w:cs="Calibri"/>
        </w:rPr>
      </w:pPr>
    </w:p>
    <w:p w14:paraId="04ACB5F6" w14:textId="70CD44CE" w:rsidR="00A137F1" w:rsidRDefault="00A137F1" w:rsidP="004E6F95">
      <w:pPr>
        <w:jc w:val="both"/>
        <w:rPr>
          <w:rFonts w:ascii="Calibri" w:hAnsi="Calibri" w:cs="Calibri"/>
        </w:rPr>
      </w:pPr>
    </w:p>
    <w:p w14:paraId="0DD573A6" w14:textId="77777777" w:rsidR="00A137F1" w:rsidRDefault="00A137F1" w:rsidP="004E6F95">
      <w:pPr>
        <w:jc w:val="both"/>
        <w:rPr>
          <w:rFonts w:ascii="Calibri" w:hAnsi="Calibri" w:cs="Calibri"/>
        </w:rPr>
      </w:pPr>
    </w:p>
    <w:p w14:paraId="07DC7FEB" w14:textId="35B2F502" w:rsidR="00033E98" w:rsidRDefault="00033E98" w:rsidP="004E6F95">
      <w:pPr>
        <w:jc w:val="both"/>
        <w:rPr>
          <w:rFonts w:ascii="Calibri" w:hAnsi="Calibri" w:cs="Calibri"/>
        </w:rPr>
      </w:pPr>
    </w:p>
    <w:p w14:paraId="2D6E2CBD" w14:textId="77777777" w:rsidR="000F305A" w:rsidRDefault="000F305A" w:rsidP="004E6F95">
      <w:pPr>
        <w:jc w:val="both"/>
        <w:rPr>
          <w:rFonts w:ascii="Calibri" w:hAnsi="Calibri" w:cs="Calibri"/>
        </w:rPr>
      </w:pPr>
    </w:p>
    <w:p w14:paraId="5102DAAF" w14:textId="758C39A6" w:rsidR="00033E98" w:rsidRDefault="00033E98" w:rsidP="004E6F95">
      <w:pPr>
        <w:jc w:val="both"/>
        <w:rPr>
          <w:rFonts w:ascii="Calibri" w:hAnsi="Calibri" w:cs="Calibri"/>
        </w:rPr>
      </w:pPr>
    </w:p>
    <w:p w14:paraId="1AC216EE" w14:textId="77777777" w:rsidR="00DA77A7" w:rsidRDefault="00DA77A7" w:rsidP="00DA77A7">
      <w:pPr>
        <w:spacing w:after="0" w:line="240" w:lineRule="auto"/>
        <w:jc w:val="both"/>
        <w:rPr>
          <w:rFonts w:eastAsia="Calibri" w:cstheme="minorHAnsi"/>
          <w:b/>
          <w:sz w:val="28"/>
          <w:szCs w:val="28"/>
          <w:u w:val="single"/>
        </w:rPr>
      </w:pPr>
      <w:r>
        <w:rPr>
          <w:rFonts w:eastAsia="Calibri" w:cstheme="minorHAnsi"/>
          <w:b/>
          <w:sz w:val="28"/>
          <w:szCs w:val="28"/>
          <w:u w:val="single"/>
        </w:rPr>
        <w:lastRenderedPageBreak/>
        <w:t xml:space="preserve">Kapitola 04 – Doprava </w:t>
      </w:r>
    </w:p>
    <w:p w14:paraId="22F67377" w14:textId="77777777" w:rsidR="00DA77A7" w:rsidRDefault="00DA77A7" w:rsidP="00DA77A7">
      <w:pPr>
        <w:spacing w:after="0" w:line="240" w:lineRule="auto"/>
        <w:jc w:val="both"/>
        <w:rPr>
          <w:rFonts w:ascii="Times New Roman" w:eastAsia="Calibri" w:hAnsi="Times New Roman" w:cs="Times New Roman"/>
          <w:sz w:val="24"/>
          <w:szCs w:val="24"/>
          <w:u w:val="single"/>
        </w:rPr>
      </w:pPr>
    </w:p>
    <w:p w14:paraId="63B86F40" w14:textId="77777777" w:rsidR="00DA77A7" w:rsidRDefault="00DA77A7" w:rsidP="00DA77A7">
      <w:pPr>
        <w:spacing w:after="0" w:line="240" w:lineRule="auto"/>
        <w:jc w:val="both"/>
        <w:rPr>
          <w:rFonts w:eastAsia="Calibri" w:cstheme="minorHAnsi"/>
          <w:b/>
          <w:sz w:val="24"/>
          <w:szCs w:val="24"/>
          <w:u w:val="single"/>
        </w:rPr>
      </w:pPr>
      <w:r>
        <w:rPr>
          <w:rFonts w:eastAsia="Calibri" w:cstheme="minorHAnsi"/>
          <w:b/>
          <w:sz w:val="24"/>
          <w:szCs w:val="24"/>
          <w:u w:val="single"/>
        </w:rPr>
        <w:t>Běžné výdaje</w:t>
      </w:r>
    </w:p>
    <w:p w14:paraId="3590CDFB" w14:textId="77777777" w:rsidR="00DA77A7" w:rsidRDefault="00DA77A7" w:rsidP="00DA77A7">
      <w:pPr>
        <w:spacing w:after="0" w:line="240" w:lineRule="auto"/>
        <w:jc w:val="both"/>
        <w:rPr>
          <w:rFonts w:eastAsia="Calibri" w:cstheme="minorHAnsi"/>
          <w:b/>
          <w:sz w:val="24"/>
          <w:szCs w:val="24"/>
          <w:u w:val="single"/>
        </w:rPr>
      </w:pPr>
    </w:p>
    <w:p w14:paraId="0F3AE6F6" w14:textId="77777777" w:rsidR="00DA77A7" w:rsidRDefault="00DA77A7" w:rsidP="00DA77A7">
      <w:pPr>
        <w:spacing w:after="0" w:line="240" w:lineRule="auto"/>
        <w:jc w:val="both"/>
        <w:rPr>
          <w:rFonts w:eastAsia="Calibri" w:cstheme="minorHAnsi"/>
          <w:b/>
          <w:sz w:val="24"/>
          <w:szCs w:val="24"/>
        </w:rPr>
      </w:pPr>
      <w:r>
        <w:rPr>
          <w:rFonts w:eastAsia="Calibri" w:cstheme="minorHAnsi"/>
          <w:b/>
          <w:sz w:val="24"/>
          <w:szCs w:val="24"/>
        </w:rPr>
        <w:t>§ 2212 – Silnice</w:t>
      </w:r>
    </w:p>
    <w:p w14:paraId="61BB1780" w14:textId="77777777" w:rsidR="00DA77A7" w:rsidRDefault="00DA77A7" w:rsidP="00DA77A7">
      <w:pPr>
        <w:spacing w:after="0" w:line="240" w:lineRule="auto"/>
        <w:jc w:val="both"/>
        <w:rPr>
          <w:rFonts w:eastAsia="Times New Roman" w:cstheme="minorHAnsi"/>
          <w:lang w:eastAsia="cs-CZ"/>
        </w:rPr>
      </w:pPr>
      <w:r>
        <w:rPr>
          <w:rFonts w:eastAsia="Times New Roman" w:cstheme="minorHAnsi"/>
          <w:lang w:eastAsia="cs-CZ"/>
        </w:rPr>
        <w:t xml:space="preserve">Finanční prostředky na úhradu nájemného a dočasných záborů za pozemky pod silnicemi a za pozemky dotčené investičními akcemi, právní služby a zpracování odborných posudků a analýz v oblasti dopravy, náhrady škody a sankcí a ostatní náklady např. řešení majetkoprávního vypořádání investičních akcí. </w:t>
      </w:r>
    </w:p>
    <w:p w14:paraId="618162D0" w14:textId="77777777" w:rsidR="00DA77A7" w:rsidRDefault="00DA77A7" w:rsidP="00DA77A7">
      <w:pPr>
        <w:spacing w:after="0" w:line="240" w:lineRule="auto"/>
        <w:jc w:val="both"/>
        <w:rPr>
          <w:rFonts w:eastAsia="Times New Roman" w:cstheme="minorHAnsi"/>
          <w:lang w:eastAsia="cs-CZ"/>
        </w:rPr>
      </w:pPr>
      <w:r>
        <w:rPr>
          <w:rFonts w:eastAsia="Times New Roman" w:cstheme="minorHAnsi"/>
          <w:lang w:eastAsia="cs-CZ"/>
        </w:rPr>
        <w:t>V roce 2021 bylo čerpáno 3 556 507,04 Kč na úhradu nájemného, 162 140,00 Kč na úhradu konzultačních, poradenských a právních služeb, 28 562,50 Kč na úhrady ostatních služeb, dále čerpáno 692 526,52 Kč na poskytnuté náhrady včetně náhrad ve věcech uplatnění nároku za bezdůvodné obohacení z užívání pozemků. Na úhrady sankcí jiným rozpočtům bylo čerpáno 64 814,00 Kč a na poplatcích bylo zaplaceno 6 000,00 Kč. Dále byly vráceny dotace zpět poskytovateli ve výši 468 878,56 Kč.</w:t>
      </w:r>
    </w:p>
    <w:p w14:paraId="3BB8B32F" w14:textId="50C24E7E" w:rsidR="00DA77A7" w:rsidRDefault="00DA77A7" w:rsidP="00DA77A7">
      <w:pPr>
        <w:spacing w:after="0" w:line="240" w:lineRule="auto"/>
        <w:jc w:val="both"/>
        <w:rPr>
          <w:rFonts w:eastAsia="Times New Roman" w:cstheme="minorHAnsi"/>
          <w:lang w:eastAsia="cs-CZ"/>
        </w:rPr>
      </w:pPr>
      <w:r>
        <w:rPr>
          <w:rFonts w:eastAsia="Times New Roman" w:cstheme="minorHAnsi"/>
          <w:lang w:eastAsia="cs-CZ"/>
        </w:rPr>
        <w:t xml:space="preserve">Paragraf byl navýšen převodem z kapitoly 23 – Ostatní, z prostředků na předfinancování a kofinancování projektů EU/EHP a ostatních souvisejících výdajů s projekty EU/EHP, o prostředky určené na úhradu sankcí ve výši 36 047,00 Kč na základě usnesení č. 007-23/2021/RK ze dne 27. 5. 2021 a dále o částku 25 167,00 Kč na základě usnesení č. 010-21/2021/RK ze dne 13. 5. 2021. </w:t>
      </w:r>
    </w:p>
    <w:p w14:paraId="37BEE1F3" w14:textId="77777777" w:rsidR="00DA77A7" w:rsidRDefault="00DA77A7" w:rsidP="00DA77A7">
      <w:pPr>
        <w:spacing w:after="0" w:line="240" w:lineRule="auto"/>
        <w:jc w:val="both"/>
        <w:rPr>
          <w:rFonts w:eastAsia="Times New Roman" w:cstheme="minorHAnsi"/>
          <w:lang w:eastAsia="cs-CZ"/>
        </w:rPr>
      </w:pPr>
      <w:r>
        <w:rPr>
          <w:rFonts w:eastAsia="Times New Roman" w:cstheme="minorHAnsi"/>
          <w:lang w:eastAsia="cs-CZ"/>
        </w:rPr>
        <w:t>Rovněž byl paragraf navýšen o finanční prostředky z kapitoly 23 – Ostatní, z prostředků na předfinancování a kofinancování projektů EU/EHP a ostatních souvisejících výdajů s projekty EU/EHP, za účelem vrácení části dotace na základě výzvy ve výši 413 614,56 Kč usnesení č. 012-47/2021/RK ze dne 16.12.2021 a dále ve výši 55 264,00 Kč usnesení č. 009-47/2021/RK ze dne 16.12.2021.</w:t>
      </w:r>
    </w:p>
    <w:p w14:paraId="30EEF2E2" w14:textId="77777777" w:rsidR="00DA77A7" w:rsidRDefault="00DA77A7" w:rsidP="00DA77A7">
      <w:pPr>
        <w:spacing w:after="0" w:line="240" w:lineRule="auto"/>
        <w:jc w:val="both"/>
        <w:rPr>
          <w:rFonts w:eastAsia="Times New Roman" w:cstheme="minorHAnsi"/>
          <w:lang w:eastAsia="cs-CZ"/>
        </w:rPr>
      </w:pPr>
    </w:p>
    <w:p w14:paraId="59E88624" w14:textId="77777777" w:rsidR="00DA77A7" w:rsidRDefault="00DA77A7" w:rsidP="00DA77A7">
      <w:pPr>
        <w:spacing w:after="0" w:line="240" w:lineRule="auto"/>
        <w:jc w:val="both"/>
        <w:rPr>
          <w:rFonts w:eastAsia="Calibri" w:cstheme="minorHAnsi"/>
          <w:b/>
          <w:sz w:val="24"/>
          <w:szCs w:val="24"/>
        </w:rPr>
      </w:pPr>
      <w:r>
        <w:rPr>
          <w:rFonts w:eastAsia="Calibri" w:cstheme="minorHAnsi"/>
          <w:b/>
          <w:sz w:val="24"/>
          <w:szCs w:val="24"/>
        </w:rPr>
        <w:t>§ 2212 – Silnice – příspěvek příspěvkové organizaci Krajská správa a údržba silnic Středočeského kraje</w:t>
      </w:r>
    </w:p>
    <w:p w14:paraId="486EFC34" w14:textId="77777777" w:rsidR="00DA77A7" w:rsidRDefault="00DA77A7" w:rsidP="00DA77A7">
      <w:pPr>
        <w:spacing w:after="0" w:line="240" w:lineRule="auto"/>
        <w:jc w:val="both"/>
        <w:rPr>
          <w:rFonts w:eastAsia="Times New Roman" w:cstheme="minorHAnsi"/>
          <w:lang w:eastAsia="cs-CZ"/>
        </w:rPr>
      </w:pPr>
      <w:r>
        <w:rPr>
          <w:rFonts w:eastAsia="Times New Roman" w:cstheme="minorHAnsi"/>
          <w:lang w:eastAsia="cs-CZ"/>
        </w:rPr>
        <w:t>Prostředky příspěvkové organizace Krajská správa a údržba silnic Středočeského kraje (KSÚS) na zajištění běžné údržby. Finanční prostředky jsou ve formě měsíčního příspěvku převáděny na účet KSÚS. Čerpání ve výši 1 874 092 064,40 Kč odpovídá rozdělení tranží na jednotlivé měsíce.</w:t>
      </w:r>
    </w:p>
    <w:p w14:paraId="64CE2AA9" w14:textId="63348793" w:rsidR="00DA77A7" w:rsidRDefault="00DA77A7" w:rsidP="00DA77A7">
      <w:pPr>
        <w:spacing w:after="0" w:line="240" w:lineRule="auto"/>
        <w:jc w:val="both"/>
        <w:rPr>
          <w:rFonts w:eastAsia="Times New Roman" w:cstheme="minorHAnsi"/>
          <w:lang w:eastAsia="cs-CZ"/>
        </w:rPr>
      </w:pPr>
      <w:r>
        <w:rPr>
          <w:rFonts w:eastAsia="Times New Roman" w:cstheme="minorHAnsi"/>
          <w:lang w:eastAsia="cs-CZ"/>
        </w:rPr>
        <w:t xml:space="preserve">Příspěvek na provoz PO KSÚS byl navýšen o prostředky ve výši 30 000 000,00 Kč dle usnesení č. 004-09/2021/RK ze dne 25. 2. 2021, jednalo se o převod z kapitoly 23 – Ostatní, specifické rezervy (rezerva na krytí propadu daňových příjmů) ve výši fixace finančních prostředků ve fondech KSÚS z roku 2020. Dále byl příspěvek na provoz navýšen o finanční prostředky určené na úhradu nákladů souvisejících s implementací výkonu řídící kontroly IS CROSEUS CLOUD ve výši 798 358,00 Kč usnesením č. 010-31/2021/RK ze dne 12.8.2021, jednalo se o převod z kapitoly 23 – Ostatní, </w:t>
      </w:r>
      <w:r w:rsidR="00BE209D">
        <w:rPr>
          <w:rFonts w:eastAsia="Times New Roman" w:cstheme="minorHAnsi"/>
          <w:lang w:eastAsia="cs-CZ"/>
        </w:rPr>
        <w:t>R</w:t>
      </w:r>
      <w:r>
        <w:rPr>
          <w:rFonts w:eastAsia="Times New Roman" w:cstheme="minorHAnsi"/>
          <w:lang w:eastAsia="cs-CZ"/>
        </w:rPr>
        <w:t xml:space="preserve">ezerva SK. </w:t>
      </w:r>
    </w:p>
    <w:p w14:paraId="54477214" w14:textId="6A900890" w:rsidR="00DA77A7" w:rsidRDefault="00DA77A7" w:rsidP="00DA77A7">
      <w:pPr>
        <w:spacing w:after="0" w:line="240" w:lineRule="auto"/>
        <w:jc w:val="both"/>
        <w:rPr>
          <w:rFonts w:eastAsia="Times New Roman" w:cstheme="minorHAnsi"/>
          <w:lang w:eastAsia="cs-CZ"/>
        </w:rPr>
      </w:pPr>
      <w:r>
        <w:rPr>
          <w:rFonts w:eastAsia="Times New Roman" w:cstheme="minorHAnsi"/>
          <w:lang w:eastAsia="cs-CZ"/>
        </w:rPr>
        <w:t>Příspěvek na mzdové výdaje byl navýšen o finanční prostředky určené na úhradu odměn členů nově vzniklé dozorčí rady ve výši 931 248,00 Kč na základě usnesení č. 004-09/2021/RK ze dne 25. 2. 2021. Finanční prostředky byly přesunuty do kapitoly 04</w:t>
      </w:r>
      <w:r w:rsidR="00BE209D">
        <w:rPr>
          <w:rFonts w:eastAsia="Times New Roman" w:cstheme="minorHAnsi"/>
          <w:lang w:eastAsia="cs-CZ"/>
        </w:rPr>
        <w:t xml:space="preserve"> - Doprava</w:t>
      </w:r>
      <w:r>
        <w:rPr>
          <w:rFonts w:eastAsia="Times New Roman" w:cstheme="minorHAnsi"/>
          <w:lang w:eastAsia="cs-CZ"/>
        </w:rPr>
        <w:t xml:space="preserve"> z kapitoly 23 – Ostatní, specifické rezervy (rezerva na krytí propadu daňových příjmů) ve výši fixace finančních prostředků ve fondech KSÚS z roku 2020. Dále byl příspěvek na mzdové výdaje navýšen o finanční prostředky určené pro tým pro architektonickou soutěž v souvislosti s plánovanou dostavbou areálu PO KSÚS v ulici Průmyslová v Říčanech u Prahy ve výši 620 832,00 Kč usnesení č. 010-31/2021/RK ze dne 12.8.2021, jednalo se o převod z kapitoly 23 – Ostatní, </w:t>
      </w:r>
      <w:r w:rsidR="00BE209D">
        <w:rPr>
          <w:rFonts w:eastAsia="Times New Roman" w:cstheme="minorHAnsi"/>
          <w:lang w:eastAsia="cs-CZ"/>
        </w:rPr>
        <w:t>R</w:t>
      </w:r>
      <w:r>
        <w:rPr>
          <w:rFonts w:eastAsia="Times New Roman" w:cstheme="minorHAnsi"/>
          <w:lang w:eastAsia="cs-CZ"/>
        </w:rPr>
        <w:t>ezerva SK.</w:t>
      </w:r>
    </w:p>
    <w:p w14:paraId="53F05D8E" w14:textId="77777777" w:rsidR="00DA77A7" w:rsidRDefault="00DA77A7" w:rsidP="00DA77A7">
      <w:pPr>
        <w:pStyle w:val="Default"/>
        <w:jc w:val="both"/>
        <w:rPr>
          <w:rFonts w:asciiTheme="minorHAnsi" w:eastAsia="Times New Roman" w:hAnsiTheme="minorHAnsi" w:cstheme="minorHAnsi"/>
          <w:color w:val="auto"/>
          <w:sz w:val="22"/>
          <w:szCs w:val="22"/>
          <w:lang w:eastAsia="cs-CZ"/>
        </w:rPr>
      </w:pPr>
      <w:r>
        <w:rPr>
          <w:rFonts w:asciiTheme="minorHAnsi" w:hAnsiTheme="minorHAnsi" w:cstheme="minorHAnsi"/>
          <w:color w:val="auto"/>
          <w:sz w:val="22"/>
          <w:szCs w:val="22"/>
        </w:rPr>
        <w:t>Příspěvek na opravy a udržování silnic byl navýšen o částku 101 260 252,00 Kč dle usnesení č. 004-09/2021/RK ze dne 25. 2. 2021, jednalo se o převod z kapitoly 23 – Ostatní, specifické rezervy (rezerva na krytí propadu daňových příjmů) ve výši fixace finančních prostředků ve fondech KSÚS z roku 2020. Dále usnesením č. 008-08/2021/ZK ze dne 28. 6. 2021 (</w:t>
      </w:r>
      <w:r>
        <w:rPr>
          <w:rFonts w:asciiTheme="minorHAnsi" w:hAnsiTheme="minorHAnsi" w:cstheme="minorHAnsi"/>
          <w:sz w:val="22"/>
          <w:szCs w:val="22"/>
        </w:rPr>
        <w:t>navýšení rozpočtu</w:t>
      </w:r>
      <w:r>
        <w:rPr>
          <w:rFonts w:asciiTheme="minorHAnsi" w:hAnsiTheme="minorHAnsi" w:cstheme="minorHAnsi"/>
          <w:sz w:val="22"/>
          <w:szCs w:val="22"/>
          <w:lang w:val="en-US"/>
        </w:rPr>
        <w:t xml:space="preserve"> SK o prostředky ze sdílených daní) </w:t>
      </w:r>
      <w:r>
        <w:rPr>
          <w:rFonts w:asciiTheme="minorHAnsi" w:hAnsiTheme="minorHAnsi" w:cstheme="minorHAnsi"/>
          <w:color w:val="auto"/>
          <w:sz w:val="22"/>
          <w:szCs w:val="22"/>
        </w:rPr>
        <w:t>byl příspěvek na opravy a udržování navýšen o finanční prostředky ve výši 100 000 000,00 Kč určených na likvidaci škod po zimě, usnesením č. 009-09/2021/ZK ze dne 13. 9. 2021 (</w:t>
      </w:r>
      <w:r>
        <w:rPr>
          <w:rFonts w:asciiTheme="minorHAnsi" w:hAnsiTheme="minorHAnsi" w:cstheme="minorHAnsi"/>
          <w:sz w:val="22"/>
          <w:szCs w:val="22"/>
        </w:rPr>
        <w:t>navýšení rozpočtu</w:t>
      </w:r>
      <w:r>
        <w:rPr>
          <w:rFonts w:asciiTheme="minorHAnsi" w:hAnsiTheme="minorHAnsi" w:cstheme="minorHAnsi"/>
          <w:sz w:val="22"/>
          <w:szCs w:val="22"/>
          <w:lang w:val="en-US"/>
        </w:rPr>
        <w:t xml:space="preserve"> SK o prostředky ze sdílených daní) </w:t>
      </w:r>
      <w:r>
        <w:rPr>
          <w:rFonts w:asciiTheme="minorHAnsi" w:hAnsiTheme="minorHAnsi" w:cstheme="minorHAnsi"/>
          <w:color w:val="auto"/>
          <w:sz w:val="22"/>
          <w:szCs w:val="22"/>
        </w:rPr>
        <w:t>byl příspěvek na opravy a udržování navýšen o finanční prostředky ve výši 100 000 000,00 Kč na běžné opravy a udržování - opravy silnic II. a III. tříd po zimě 2020/2021 - II. etapa a usnesením č. 008-40/2021/RK ze dne 21. 10. 2021 byl příspěvek na opravy a udržování navýšen o finanční prostředky ve výši 81 362 000,00 Kč (převod z kapitoly 23 Ostatní, Rezerva SK) na úhradu nákladů souvisejících s odstraňováním škod po zimě a havarijními opravami na silnicích II. a III. tříd v roce 2021.</w:t>
      </w:r>
    </w:p>
    <w:p w14:paraId="4741E6D4" w14:textId="77777777" w:rsidR="00DA77A7" w:rsidRDefault="00DA77A7" w:rsidP="00DA77A7">
      <w:pPr>
        <w:pStyle w:val="Default"/>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Dále byl příspěvek navýšen o finanční prostředky ve výši 1 417 374,40 Kč usnesením č. 008-45/2021/RK ze dne 2.12.2021 (převod v rámci kapitoly 04 – Doprava z </w:t>
      </w:r>
      <w:r w:rsidRPr="00BE209D">
        <w:rPr>
          <w:rFonts w:asciiTheme="minorHAnsi" w:eastAsia="Calibri" w:hAnsiTheme="minorHAnsi" w:cstheme="minorHAnsi"/>
          <w:bCs/>
          <w:sz w:val="22"/>
          <w:szCs w:val="22"/>
        </w:rPr>
        <w:t>§ 2223</w:t>
      </w:r>
      <w:r>
        <w:rPr>
          <w:rFonts w:asciiTheme="minorHAnsi" w:hAnsiTheme="minorHAnsi" w:cstheme="minorHAnsi"/>
          <w:color w:val="auto"/>
          <w:sz w:val="22"/>
          <w:szCs w:val="22"/>
        </w:rPr>
        <w:t>) určené na odstraňování reklamních zařízení.</w:t>
      </w:r>
    </w:p>
    <w:p w14:paraId="46412F7A" w14:textId="77777777" w:rsidR="00DA77A7" w:rsidRDefault="00DA77A7" w:rsidP="00DA77A7">
      <w:pPr>
        <w:pStyle w:val="Default"/>
        <w:jc w:val="both"/>
        <w:rPr>
          <w:rFonts w:cs="Calibri"/>
          <w:color w:val="auto"/>
        </w:rPr>
      </w:pPr>
    </w:p>
    <w:p w14:paraId="4DC73AB4" w14:textId="77777777" w:rsidR="00DA77A7" w:rsidRDefault="00DA77A7" w:rsidP="00DA77A7">
      <w:pPr>
        <w:spacing w:after="0" w:line="240" w:lineRule="auto"/>
        <w:jc w:val="both"/>
        <w:rPr>
          <w:rFonts w:eastAsia="Calibri" w:cstheme="minorHAnsi"/>
          <w:b/>
          <w:sz w:val="24"/>
          <w:szCs w:val="24"/>
        </w:rPr>
      </w:pPr>
      <w:r>
        <w:rPr>
          <w:rFonts w:eastAsia="Calibri" w:cstheme="minorHAnsi"/>
          <w:b/>
          <w:sz w:val="24"/>
          <w:szCs w:val="24"/>
        </w:rPr>
        <w:t>§ 2219 – Ostatní záležitosti pozemních komunikací - cyklodoprava</w:t>
      </w:r>
    </w:p>
    <w:p w14:paraId="6F23EDFE" w14:textId="44C12951" w:rsidR="00DA77A7" w:rsidRDefault="00DA77A7" w:rsidP="00DA77A7">
      <w:pPr>
        <w:autoSpaceDE w:val="0"/>
        <w:autoSpaceDN w:val="0"/>
        <w:adjustRightInd w:val="0"/>
        <w:spacing w:after="0" w:line="240" w:lineRule="auto"/>
        <w:jc w:val="both"/>
        <w:rPr>
          <w:rFonts w:eastAsia="Times New Roman" w:cstheme="minorHAnsi"/>
          <w:lang w:eastAsia="cs-CZ"/>
        </w:rPr>
      </w:pPr>
      <w:r>
        <w:rPr>
          <w:rFonts w:eastAsia="Times New Roman" w:cstheme="minorHAnsi"/>
          <w:lang w:eastAsia="cs-CZ"/>
        </w:rPr>
        <w:lastRenderedPageBreak/>
        <w:t>Finanční prostředky na úhradu nájemného za pozemky u cyklostezek byly čerpány ve výši 483,17 Kč. Usnesením č</w:t>
      </w:r>
      <w:r w:rsidR="00BE209D">
        <w:rPr>
          <w:rFonts w:eastAsia="Times New Roman" w:cstheme="minorHAnsi"/>
          <w:lang w:eastAsia="cs-CZ"/>
        </w:rPr>
        <w:t xml:space="preserve">. </w:t>
      </w:r>
      <w:r>
        <w:rPr>
          <w:rFonts w:eastAsia="Times New Roman" w:cstheme="minorHAnsi"/>
          <w:lang w:eastAsia="cs-CZ"/>
        </w:rPr>
        <w:t>039-15/2021/RK ze dne 1. 4. 2021 byla z kapitoly 04 – Doprava na kapitolu 26 – Veřejná mobilita převedena částka 499 090,80 Kč v souvislosti se zřízením nového Odboru veřejné mobility k 1. 4. 2021.</w:t>
      </w:r>
    </w:p>
    <w:p w14:paraId="506E2AF9" w14:textId="77777777" w:rsidR="00DA77A7" w:rsidRDefault="00DA77A7" w:rsidP="00DA77A7">
      <w:pPr>
        <w:autoSpaceDE w:val="0"/>
        <w:autoSpaceDN w:val="0"/>
        <w:adjustRightInd w:val="0"/>
        <w:spacing w:after="0" w:line="240" w:lineRule="auto"/>
        <w:jc w:val="both"/>
        <w:rPr>
          <w:rFonts w:eastAsia="Times New Roman" w:cstheme="minorHAnsi"/>
          <w:lang w:eastAsia="cs-CZ"/>
        </w:rPr>
      </w:pPr>
    </w:p>
    <w:p w14:paraId="2D737C7B" w14:textId="77777777" w:rsidR="00DA77A7" w:rsidRDefault="00DA77A7" w:rsidP="00DA77A7">
      <w:pPr>
        <w:spacing w:after="0" w:line="240" w:lineRule="auto"/>
        <w:jc w:val="both"/>
        <w:rPr>
          <w:rFonts w:eastAsia="Calibri" w:cstheme="minorHAnsi"/>
          <w:b/>
          <w:sz w:val="24"/>
          <w:szCs w:val="24"/>
        </w:rPr>
      </w:pPr>
      <w:r>
        <w:rPr>
          <w:rFonts w:eastAsia="Calibri" w:cstheme="minorHAnsi"/>
          <w:b/>
          <w:sz w:val="24"/>
          <w:szCs w:val="24"/>
        </w:rPr>
        <w:t>§ 2222 – Kontrola technické způsobilosti vozidel</w:t>
      </w:r>
    </w:p>
    <w:p w14:paraId="427B5559" w14:textId="77777777" w:rsidR="00DA77A7" w:rsidRDefault="00DA77A7" w:rsidP="00DA77A7">
      <w:pPr>
        <w:jc w:val="both"/>
        <w:outlineLvl w:val="0"/>
        <w:rPr>
          <w:rFonts w:eastAsia="Times New Roman" w:cstheme="minorHAnsi"/>
          <w:lang w:eastAsia="cs-CZ"/>
        </w:rPr>
      </w:pPr>
      <w:r>
        <w:rPr>
          <w:rFonts w:eastAsia="Times New Roman" w:cstheme="minorHAnsi"/>
          <w:lang w:eastAsia="cs-CZ"/>
        </w:rPr>
        <w:t>Finanční prostředky byly převedeny z § 2299 dle usnesení č. 014-28/2021/RK ze dne 1.7.2021 ve výši 21 000,00 Kč a následně vráceny zpět dopravci na základě rozhodnutí Nejvyššího správního soudu.</w:t>
      </w:r>
    </w:p>
    <w:p w14:paraId="108608EF" w14:textId="77777777" w:rsidR="00DA77A7" w:rsidRDefault="00DA77A7" w:rsidP="00DA77A7">
      <w:pPr>
        <w:spacing w:after="0" w:line="240" w:lineRule="auto"/>
        <w:jc w:val="both"/>
        <w:rPr>
          <w:rFonts w:eastAsia="Calibri" w:cstheme="minorHAnsi"/>
          <w:b/>
          <w:sz w:val="24"/>
          <w:szCs w:val="24"/>
        </w:rPr>
      </w:pPr>
      <w:r>
        <w:rPr>
          <w:rFonts w:eastAsia="Calibri" w:cstheme="minorHAnsi"/>
          <w:b/>
          <w:sz w:val="24"/>
          <w:szCs w:val="24"/>
        </w:rPr>
        <w:t>§ 2223 – Bezpečnost silničního provozu</w:t>
      </w:r>
    </w:p>
    <w:p w14:paraId="011164E3" w14:textId="77777777" w:rsidR="00DA77A7" w:rsidRDefault="00DA77A7" w:rsidP="00DA77A7">
      <w:pPr>
        <w:spacing w:after="0" w:line="240" w:lineRule="auto"/>
        <w:jc w:val="both"/>
        <w:rPr>
          <w:rFonts w:eastAsia="Times New Roman" w:cstheme="minorHAnsi"/>
          <w:lang w:eastAsia="cs-CZ"/>
        </w:rPr>
      </w:pPr>
      <w:r>
        <w:rPr>
          <w:rFonts w:eastAsia="Times New Roman" w:cstheme="minorHAnsi"/>
          <w:lang w:eastAsia="cs-CZ"/>
        </w:rPr>
        <w:t>Finanční prostředky určené na výchovné programy pro mládež týkající se bezpečnosti silničního provozu, dopravní soutěže, učební pomůcky a preventivní materiály apod. byly čerpány ve výši 887 787,93 Kč. Na projekt Bezpečný Středočeský kraj - provoz datových mobilních služeb - přenos dat na server Středočeského kraj a Policie ČR, bylo čerpáno 211 928,97 Kč. Na projekt Bezpečný Středočeský kraj – pořízení a zprovoznění zařízení ke kontrole a zvýšení bezpečnosti a plynulosti dopravního provozu byly čerpány finanční prostředky ve výši 2 114 475,00 Kč.</w:t>
      </w:r>
    </w:p>
    <w:p w14:paraId="13580473" w14:textId="77777777" w:rsidR="00DA77A7" w:rsidRDefault="00DA77A7" w:rsidP="00DA77A7">
      <w:pPr>
        <w:spacing w:after="0" w:line="240" w:lineRule="auto"/>
        <w:jc w:val="both"/>
        <w:rPr>
          <w:rFonts w:eastAsia="Calibri" w:cstheme="minorHAnsi"/>
          <w:bCs/>
        </w:rPr>
      </w:pPr>
      <w:r>
        <w:rPr>
          <w:rFonts w:eastAsia="Times New Roman" w:cstheme="minorHAnsi"/>
          <w:lang w:eastAsia="cs-CZ"/>
        </w:rPr>
        <w:t xml:space="preserve">Na základě usnesení č. 007-06/2021/ZK ze dne 26. 4. 2021 (rozdělení zůstatku hospodaření SK z roku 2020) byl rozpočet kapitoly 04 – Doprava navýšen o finanční prostředky ve výši 3 000 000,00 Kč určené nákup ostatních služeb (na odstraňování reklamních zařízení), ve výši 2 000 000,00 Kč na digitalizaci přenosu dat vysokorychlostních vah za účelem jejich efektivnějšího využití a dále o finanční prostředky ve výši 1 000 000,00 Kč, určené na výchovné programy pro mládež týkající se bezpečnosti silničního provozu. </w:t>
      </w:r>
      <w:r>
        <w:rPr>
          <w:rFonts w:cstheme="minorHAnsi"/>
        </w:rPr>
        <w:t xml:space="preserve">Finanční prostředky ve výši 1 417 374,40 Kč byly na základě usnesení č. 008-45/2021/RK ze dne 2.12.2021 převedeny na </w:t>
      </w:r>
      <w:r>
        <w:rPr>
          <w:rFonts w:eastAsia="Calibri" w:cstheme="minorHAnsi"/>
          <w:bCs/>
        </w:rPr>
        <w:t>§ 2212 – Silnice na navýšení příspěvku na opravy a udržování  příspěvkové organizaci Krajská správa a údržba silnic Středočeského kraje.</w:t>
      </w:r>
    </w:p>
    <w:p w14:paraId="11148889" w14:textId="77777777" w:rsidR="00DA77A7" w:rsidRDefault="00DA77A7" w:rsidP="00DA77A7">
      <w:pPr>
        <w:spacing w:after="0" w:line="240" w:lineRule="auto"/>
        <w:jc w:val="both"/>
        <w:rPr>
          <w:rFonts w:ascii="Times New Roman" w:eastAsia="Calibri" w:hAnsi="Times New Roman" w:cs="Times New Roman"/>
          <w:sz w:val="24"/>
          <w:szCs w:val="24"/>
        </w:rPr>
      </w:pPr>
    </w:p>
    <w:p w14:paraId="5BC6A72D" w14:textId="77777777" w:rsidR="00DA77A7" w:rsidRDefault="00DA77A7" w:rsidP="00DA77A7">
      <w:pPr>
        <w:spacing w:after="0" w:line="240" w:lineRule="auto"/>
        <w:jc w:val="both"/>
        <w:rPr>
          <w:rFonts w:eastAsia="Calibri" w:cstheme="minorHAnsi"/>
          <w:b/>
          <w:bCs/>
          <w:sz w:val="24"/>
          <w:szCs w:val="24"/>
        </w:rPr>
      </w:pPr>
      <w:r>
        <w:rPr>
          <w:rFonts w:eastAsia="Calibri" w:cstheme="minorHAnsi"/>
          <w:b/>
          <w:bCs/>
          <w:sz w:val="24"/>
          <w:szCs w:val="24"/>
        </w:rPr>
        <w:t>§ 2239 – Ostatní záležitosti vnitrozemské plavby - dotace přívozy</w:t>
      </w:r>
    </w:p>
    <w:p w14:paraId="6F0862C4" w14:textId="77777777" w:rsidR="00DA77A7" w:rsidRDefault="00DA77A7" w:rsidP="00DA77A7">
      <w:pPr>
        <w:autoSpaceDE w:val="0"/>
        <w:autoSpaceDN w:val="0"/>
        <w:adjustRightInd w:val="0"/>
        <w:spacing w:after="0" w:line="240" w:lineRule="auto"/>
        <w:jc w:val="both"/>
        <w:rPr>
          <w:rFonts w:eastAsia="Times New Roman" w:cstheme="minorHAnsi"/>
          <w:lang w:eastAsia="cs-CZ"/>
        </w:rPr>
      </w:pPr>
      <w:r>
        <w:rPr>
          <w:rFonts w:eastAsia="Times New Roman" w:cstheme="minorHAnsi"/>
          <w:lang w:eastAsia="cs-CZ"/>
        </w:rPr>
        <w:t xml:space="preserve">V souvislosti se zřízením nového Odboru veřejné mobility k 1. 4. 2021 byly z kapitoly 04 – Doprava na kapitolu 26 – Veřejná mobilita převedeny finanční prostředky ve výši 3 570 000,00 Kč (usnesení č. 039-15/2021/RK ze dne </w:t>
      </w:r>
      <w:r>
        <w:rPr>
          <w:rFonts w:eastAsia="Times New Roman" w:cstheme="minorHAnsi"/>
          <w:lang w:eastAsia="cs-CZ"/>
        </w:rPr>
        <w:br/>
        <w:t>1. 4. 2021).</w:t>
      </w:r>
    </w:p>
    <w:p w14:paraId="2FC1F3A3" w14:textId="77777777" w:rsidR="00DA77A7" w:rsidRDefault="00DA77A7" w:rsidP="00DA77A7">
      <w:pPr>
        <w:spacing w:after="0" w:line="240" w:lineRule="auto"/>
        <w:jc w:val="both"/>
        <w:rPr>
          <w:rFonts w:eastAsia="Calibri" w:cstheme="minorHAnsi"/>
          <w:b/>
          <w:bCs/>
        </w:rPr>
      </w:pPr>
    </w:p>
    <w:p w14:paraId="3EAC8690" w14:textId="77777777" w:rsidR="00DA77A7" w:rsidRDefault="00DA77A7" w:rsidP="00DA77A7">
      <w:pPr>
        <w:spacing w:after="0" w:line="240" w:lineRule="auto"/>
        <w:jc w:val="both"/>
        <w:rPr>
          <w:rFonts w:eastAsia="Calibri" w:cstheme="minorHAnsi"/>
          <w:b/>
          <w:sz w:val="24"/>
          <w:szCs w:val="24"/>
        </w:rPr>
      </w:pPr>
      <w:r>
        <w:rPr>
          <w:rFonts w:eastAsia="Calibri" w:cstheme="minorHAnsi"/>
          <w:b/>
          <w:bCs/>
          <w:sz w:val="24"/>
          <w:szCs w:val="24"/>
        </w:rPr>
        <w:t xml:space="preserve">§ 2292 </w:t>
      </w:r>
      <w:r>
        <w:rPr>
          <w:rFonts w:eastAsia="Calibri" w:cstheme="minorHAnsi"/>
          <w:b/>
          <w:sz w:val="24"/>
          <w:szCs w:val="24"/>
        </w:rPr>
        <w:t>–</w:t>
      </w:r>
      <w:r>
        <w:rPr>
          <w:rFonts w:eastAsia="Calibri" w:cstheme="minorHAnsi"/>
          <w:b/>
          <w:bCs/>
          <w:sz w:val="24"/>
          <w:szCs w:val="24"/>
        </w:rPr>
        <w:t xml:space="preserve"> Dopravní obslužnost</w:t>
      </w:r>
      <w:r>
        <w:rPr>
          <w:rFonts w:eastAsia="Calibri" w:cstheme="minorHAnsi"/>
          <w:b/>
          <w:sz w:val="24"/>
          <w:szCs w:val="24"/>
        </w:rPr>
        <w:t xml:space="preserve"> – příspěvek příspěvkové organizaci Integrovaná doprava Středočeského kraje</w:t>
      </w:r>
    </w:p>
    <w:p w14:paraId="7BB30DB0" w14:textId="77777777" w:rsidR="00DA77A7" w:rsidRDefault="00DA77A7" w:rsidP="00DA77A7">
      <w:pPr>
        <w:spacing w:after="0" w:line="240" w:lineRule="auto"/>
        <w:jc w:val="both"/>
        <w:rPr>
          <w:rFonts w:eastAsia="Calibri" w:cstheme="minorHAnsi"/>
        </w:rPr>
      </w:pPr>
      <w:r>
        <w:rPr>
          <w:rFonts w:eastAsia="Calibri" w:cstheme="minorHAnsi"/>
        </w:rPr>
        <w:t>Provozní prostředky na zajištění činnosti příspěvkové organizace Integrovaná doprava Středočeského kraje (IDSK), vyplaceno 23 335 000,00 Kč. Ke dni 1. 4. 2021 by zřízen nový Odbor veřejné mobility s příslušnou kapitolou 26 – Veřejná mobilita. Od dubna je příspěvková organizace IDSK v gesci Odboru veřejné mobility a příspěvky jsou příspěvkové organizaci zasílány z kapitoly 26 – Veřejná mobilita.</w:t>
      </w:r>
    </w:p>
    <w:p w14:paraId="1F210ECD" w14:textId="048C1DF7" w:rsidR="00DA77A7" w:rsidRDefault="00DA77A7" w:rsidP="00DA77A7">
      <w:pPr>
        <w:pStyle w:val="Default"/>
        <w:jc w:val="both"/>
        <w:rPr>
          <w:rFonts w:asciiTheme="minorHAnsi" w:eastAsia="Times New Roman" w:hAnsiTheme="minorHAnsi" w:cstheme="minorHAnsi"/>
          <w:sz w:val="22"/>
          <w:szCs w:val="22"/>
        </w:rPr>
      </w:pPr>
      <w:r>
        <w:rPr>
          <w:rFonts w:asciiTheme="minorHAnsi" w:eastAsia="Calibri" w:hAnsiTheme="minorHAnsi" w:cstheme="minorHAnsi"/>
          <w:sz w:val="22"/>
          <w:szCs w:val="22"/>
        </w:rPr>
        <w:t xml:space="preserve">Příspěvek na provoz byl IDSK navýšen o 4 658 500,00 Kč </w:t>
      </w:r>
      <w:r>
        <w:rPr>
          <w:rFonts w:asciiTheme="minorHAnsi" w:hAnsiTheme="minorHAnsi" w:cstheme="minorHAnsi"/>
          <w:sz w:val="22"/>
          <w:szCs w:val="22"/>
        </w:rPr>
        <w:t>dle usnesení č. 004-09/2021/RK ze dne 25. 2. 2021</w:t>
      </w:r>
      <w:r>
        <w:rPr>
          <w:rFonts w:asciiTheme="minorHAnsi" w:hAnsiTheme="minorHAnsi" w:cstheme="minorHAnsi"/>
          <w:color w:val="auto"/>
          <w:sz w:val="22"/>
          <w:szCs w:val="22"/>
        </w:rPr>
        <w:t xml:space="preserve">, jednalo se o převod z kapitoly 23 – Ostatní, specifické rezervy (rezerva na krytí propadu daňových příjmů) </w:t>
      </w:r>
      <w:r>
        <w:rPr>
          <w:rFonts w:asciiTheme="minorHAnsi" w:eastAsia="Calibri" w:hAnsiTheme="minorHAnsi" w:cstheme="minorHAnsi"/>
          <w:color w:val="auto"/>
          <w:sz w:val="22"/>
          <w:szCs w:val="22"/>
        </w:rPr>
        <w:t>ve výši fixace finančních prostředků ve fondech KSÚS z roku 2020</w:t>
      </w:r>
      <w:r>
        <w:rPr>
          <w:rFonts w:asciiTheme="minorHAnsi" w:hAnsiTheme="minorHAnsi" w:cstheme="minorHAnsi"/>
          <w:color w:val="auto"/>
          <w:sz w:val="22"/>
          <w:szCs w:val="22"/>
        </w:rPr>
        <w:t xml:space="preserve">. </w:t>
      </w:r>
      <w:r>
        <w:rPr>
          <w:rFonts w:asciiTheme="minorHAnsi" w:hAnsiTheme="minorHAnsi" w:cstheme="minorHAnsi"/>
          <w:sz w:val="22"/>
          <w:szCs w:val="22"/>
        </w:rPr>
        <w:t>Usnesením číslo 039-15/2021/RK ze dne 1. 4. 2021 byly z kapitoly 04 – Doprava na kapitolu 26 – Veřejná mobilita převedeny finanční prostředky ve výši 66 482</w:t>
      </w:r>
      <w:r w:rsidR="00BE209D">
        <w:rPr>
          <w:rFonts w:asciiTheme="minorHAnsi" w:hAnsiTheme="minorHAnsi" w:cstheme="minorHAnsi"/>
          <w:sz w:val="22"/>
          <w:szCs w:val="22"/>
        </w:rPr>
        <w:t> </w:t>
      </w:r>
      <w:r>
        <w:rPr>
          <w:rFonts w:asciiTheme="minorHAnsi" w:hAnsiTheme="minorHAnsi" w:cstheme="minorHAnsi"/>
          <w:sz w:val="22"/>
          <w:szCs w:val="22"/>
        </w:rPr>
        <w:t>500</w:t>
      </w:r>
      <w:r w:rsidR="00BE209D">
        <w:rPr>
          <w:rFonts w:asciiTheme="minorHAnsi" w:hAnsiTheme="minorHAnsi" w:cstheme="minorHAnsi"/>
          <w:sz w:val="22"/>
          <w:szCs w:val="22"/>
        </w:rPr>
        <w:t>,00</w:t>
      </w:r>
      <w:r>
        <w:rPr>
          <w:rFonts w:asciiTheme="minorHAnsi" w:hAnsiTheme="minorHAnsi" w:cstheme="minorHAnsi"/>
          <w:sz w:val="22"/>
          <w:szCs w:val="22"/>
        </w:rPr>
        <w:t xml:space="preserve"> Kč. </w:t>
      </w:r>
    </w:p>
    <w:p w14:paraId="52419DAC" w14:textId="77777777" w:rsidR="00DA77A7" w:rsidRDefault="00DA77A7" w:rsidP="00DA77A7">
      <w:pPr>
        <w:pStyle w:val="Default"/>
        <w:jc w:val="both"/>
        <w:rPr>
          <w:rFonts w:asciiTheme="minorHAnsi" w:hAnsiTheme="minorHAnsi" w:cstheme="minorHAnsi"/>
          <w:sz w:val="22"/>
          <w:szCs w:val="22"/>
        </w:rPr>
      </w:pPr>
    </w:p>
    <w:p w14:paraId="3A4AA919" w14:textId="77777777" w:rsidR="00DA77A7" w:rsidRDefault="00DA77A7" w:rsidP="00DA77A7">
      <w:pPr>
        <w:spacing w:after="0" w:line="240" w:lineRule="auto"/>
        <w:jc w:val="both"/>
        <w:rPr>
          <w:rFonts w:eastAsia="Calibri" w:cstheme="minorHAnsi"/>
          <w:b/>
          <w:bCs/>
          <w:sz w:val="24"/>
          <w:szCs w:val="24"/>
        </w:rPr>
      </w:pPr>
      <w:r>
        <w:rPr>
          <w:rFonts w:eastAsia="Calibri" w:cstheme="minorHAnsi"/>
          <w:b/>
          <w:bCs/>
          <w:sz w:val="24"/>
          <w:szCs w:val="24"/>
        </w:rPr>
        <w:t xml:space="preserve">§ 2292 </w:t>
      </w:r>
      <w:r>
        <w:rPr>
          <w:rFonts w:eastAsia="Calibri" w:cstheme="minorHAnsi"/>
          <w:b/>
          <w:sz w:val="24"/>
          <w:szCs w:val="24"/>
        </w:rPr>
        <w:t>–</w:t>
      </w:r>
      <w:r>
        <w:rPr>
          <w:rFonts w:eastAsia="Calibri" w:cstheme="minorHAnsi"/>
          <w:b/>
          <w:bCs/>
          <w:sz w:val="24"/>
          <w:szCs w:val="24"/>
        </w:rPr>
        <w:t xml:space="preserve"> Dopravní obslužnost veřejnými službami - linková</w:t>
      </w:r>
    </w:p>
    <w:p w14:paraId="5D460736" w14:textId="77777777" w:rsidR="00DA77A7" w:rsidRDefault="00DA77A7" w:rsidP="00DA77A7">
      <w:pPr>
        <w:spacing w:after="0" w:line="240" w:lineRule="auto"/>
        <w:jc w:val="both"/>
        <w:rPr>
          <w:rFonts w:eastAsia="Calibri" w:cstheme="minorHAnsi"/>
        </w:rPr>
      </w:pPr>
      <w:r>
        <w:rPr>
          <w:rFonts w:eastAsia="Calibri" w:cstheme="minorHAnsi"/>
        </w:rPr>
        <w:t xml:space="preserve">Příspěvek na zajištění dopravní obslužnosti v autobusové dopravě dopravcům dle uzavřených smluv, čerpáno 348 267 679,02 Kč a současně na zajištění objížděk bylo vyplaceno 974 762,44 Kč. </w:t>
      </w:r>
    </w:p>
    <w:p w14:paraId="628F885E" w14:textId="77777777" w:rsidR="00DA77A7" w:rsidRDefault="00DA77A7" w:rsidP="00DA77A7">
      <w:pPr>
        <w:autoSpaceDE w:val="0"/>
        <w:autoSpaceDN w:val="0"/>
        <w:adjustRightInd w:val="0"/>
        <w:spacing w:after="0" w:line="240" w:lineRule="auto"/>
        <w:jc w:val="both"/>
        <w:rPr>
          <w:rFonts w:eastAsia="Times New Roman" w:cstheme="minorHAnsi"/>
          <w:lang w:eastAsia="cs-CZ"/>
        </w:rPr>
      </w:pPr>
      <w:r>
        <w:rPr>
          <w:rFonts w:eastAsia="Calibri" w:cstheme="minorHAnsi"/>
        </w:rPr>
        <w:t xml:space="preserve">Z paragrafu byly převedeny na základě usnesení č. </w:t>
      </w:r>
      <w:r>
        <w:rPr>
          <w:rFonts w:eastAsia="Times New Roman" w:cstheme="minorHAnsi"/>
          <w:lang w:eastAsia="cs-CZ"/>
        </w:rPr>
        <w:t xml:space="preserve">039-15/2021/RK ze dne 1. 4. 2021 z kapitoly 04 – Doprava na kapitolu 26 – Veřejná mobilita finanční prostředky ve výši 1 084 700 000,00 Kč a finanční prostředky ve výši </w:t>
      </w:r>
      <w:r>
        <w:rPr>
          <w:rFonts w:eastAsia="Times New Roman" w:cstheme="minorHAnsi"/>
          <w:lang w:eastAsia="cs-CZ"/>
        </w:rPr>
        <w:br/>
        <w:t>17 025 237,56 Kč na zajištění objížděk (od dubna platby dopravcům zajišťuje kapitola 26 - Veřejná mobilita).</w:t>
      </w:r>
    </w:p>
    <w:p w14:paraId="376F719D" w14:textId="77777777" w:rsidR="00DA77A7" w:rsidRDefault="00DA77A7" w:rsidP="00DA77A7">
      <w:pPr>
        <w:autoSpaceDE w:val="0"/>
        <w:autoSpaceDN w:val="0"/>
        <w:adjustRightInd w:val="0"/>
        <w:spacing w:after="0" w:line="240" w:lineRule="auto"/>
        <w:jc w:val="both"/>
        <w:rPr>
          <w:rFonts w:eastAsia="Times New Roman" w:cstheme="minorHAnsi"/>
          <w:lang w:eastAsia="cs-CZ"/>
        </w:rPr>
      </w:pPr>
      <w:r>
        <w:rPr>
          <w:rFonts w:ascii="Calibri" w:hAnsi="Calibri" w:cs="Calibri"/>
        </w:rPr>
        <w:t xml:space="preserve">Na základě usnesení č. 037-38/2021/RK ze dne 7.10.2021 byly </w:t>
      </w:r>
      <w:r>
        <w:rPr>
          <w:rFonts w:ascii="Calibri" w:hAnsi="Calibri" w:cs="Calibri"/>
          <w:lang w:val="en-US"/>
        </w:rPr>
        <w:t>do rozpočtu kapitoly 26 - Veřejná mobilita převedeny finanční prostředky ve výši 833 109,38 Kč.</w:t>
      </w:r>
    </w:p>
    <w:p w14:paraId="49666A5A" w14:textId="77777777" w:rsidR="00DA77A7" w:rsidRDefault="00DA77A7" w:rsidP="00DA77A7">
      <w:pPr>
        <w:autoSpaceDE w:val="0"/>
        <w:autoSpaceDN w:val="0"/>
        <w:adjustRightInd w:val="0"/>
        <w:spacing w:after="0" w:line="240" w:lineRule="auto"/>
        <w:jc w:val="both"/>
        <w:rPr>
          <w:rFonts w:ascii="Calibri" w:eastAsia="Times New Roman" w:hAnsi="Calibri" w:cs="Calibri"/>
          <w:lang w:eastAsia="cs-CZ"/>
        </w:rPr>
      </w:pPr>
    </w:p>
    <w:p w14:paraId="790AE21F" w14:textId="77777777" w:rsidR="00DA77A7" w:rsidRDefault="00DA77A7" w:rsidP="00DA77A7">
      <w:pPr>
        <w:spacing w:after="0" w:line="240" w:lineRule="auto"/>
        <w:jc w:val="both"/>
        <w:rPr>
          <w:rFonts w:eastAsia="Calibri" w:cstheme="minorHAnsi"/>
          <w:b/>
          <w:bCs/>
          <w:sz w:val="24"/>
          <w:szCs w:val="24"/>
        </w:rPr>
      </w:pPr>
      <w:r>
        <w:rPr>
          <w:rFonts w:eastAsia="Calibri" w:cstheme="minorHAnsi"/>
          <w:b/>
          <w:bCs/>
          <w:sz w:val="24"/>
          <w:szCs w:val="24"/>
        </w:rPr>
        <w:t>§ 2294 – Dopravní obslužnost veřejnými službami – drážní doprava</w:t>
      </w:r>
    </w:p>
    <w:p w14:paraId="3191C0E4" w14:textId="77777777" w:rsidR="00DA77A7" w:rsidRDefault="00DA77A7" w:rsidP="00DA77A7">
      <w:pPr>
        <w:spacing w:after="0" w:line="240" w:lineRule="auto"/>
        <w:jc w:val="both"/>
        <w:rPr>
          <w:rFonts w:eastAsia="Calibri" w:cstheme="minorHAnsi"/>
        </w:rPr>
      </w:pPr>
      <w:r>
        <w:rPr>
          <w:rFonts w:eastAsia="Calibri" w:cstheme="minorHAnsi"/>
        </w:rPr>
        <w:t>Příspěvek na provoz veřejné železniční dopravy dle uzavřených smluv mezi Středočeským krajem a drážními dopravci, vyplaceno 663 680 018,11 Kč.</w:t>
      </w:r>
    </w:p>
    <w:p w14:paraId="3FA1A798" w14:textId="77777777" w:rsidR="00DA77A7" w:rsidRDefault="00DA77A7" w:rsidP="00DA77A7">
      <w:pPr>
        <w:spacing w:after="0" w:line="240" w:lineRule="auto"/>
        <w:jc w:val="both"/>
        <w:rPr>
          <w:rFonts w:eastAsia="Times New Roman" w:cstheme="minorHAnsi"/>
          <w:lang w:eastAsia="cs-CZ"/>
        </w:rPr>
      </w:pPr>
      <w:r>
        <w:rPr>
          <w:rFonts w:eastAsia="Times New Roman" w:cstheme="minorHAnsi"/>
          <w:lang w:eastAsia="cs-CZ"/>
        </w:rPr>
        <w:t>Usnesením číslo 039-15/2021/RK ze dne 1. 4. 2021 byly z kapitoly 04 – Doprava na kapitolu 26 – Veřejná mobilita převedeny finanční prostředky ve výši 1 216 895 981,89 Kč.</w:t>
      </w:r>
    </w:p>
    <w:p w14:paraId="37A757F9" w14:textId="77777777" w:rsidR="00DA77A7" w:rsidRDefault="00DA77A7" w:rsidP="00DA77A7">
      <w:pPr>
        <w:spacing w:after="0" w:line="240" w:lineRule="auto"/>
        <w:jc w:val="both"/>
        <w:rPr>
          <w:rFonts w:eastAsia="Calibri" w:cstheme="minorHAnsi"/>
        </w:rPr>
      </w:pPr>
    </w:p>
    <w:p w14:paraId="29E6B88F" w14:textId="77777777" w:rsidR="00DA77A7" w:rsidRDefault="00DA77A7" w:rsidP="00DA77A7">
      <w:pPr>
        <w:spacing w:after="0" w:line="240" w:lineRule="auto"/>
        <w:jc w:val="both"/>
        <w:rPr>
          <w:rFonts w:eastAsia="Calibri" w:cstheme="minorHAnsi"/>
          <w:b/>
          <w:bCs/>
          <w:sz w:val="24"/>
          <w:szCs w:val="24"/>
        </w:rPr>
      </w:pPr>
      <w:r>
        <w:rPr>
          <w:rFonts w:eastAsia="Calibri" w:cstheme="minorHAnsi"/>
          <w:b/>
          <w:bCs/>
          <w:sz w:val="24"/>
          <w:szCs w:val="24"/>
        </w:rPr>
        <w:lastRenderedPageBreak/>
        <w:t xml:space="preserve">§ 2299 </w:t>
      </w:r>
      <w:r>
        <w:rPr>
          <w:rFonts w:eastAsia="Calibri" w:cstheme="minorHAnsi"/>
          <w:b/>
          <w:sz w:val="24"/>
          <w:szCs w:val="24"/>
        </w:rPr>
        <w:t>–</w:t>
      </w:r>
      <w:r>
        <w:rPr>
          <w:rFonts w:eastAsia="Calibri" w:cstheme="minorHAnsi"/>
          <w:b/>
          <w:bCs/>
          <w:sz w:val="24"/>
          <w:szCs w:val="24"/>
        </w:rPr>
        <w:t xml:space="preserve"> Ostatní záležitosti v dopravě</w:t>
      </w:r>
    </w:p>
    <w:p w14:paraId="13431C45" w14:textId="77777777" w:rsidR="00DA77A7" w:rsidRDefault="00DA77A7" w:rsidP="00DA77A7">
      <w:pPr>
        <w:spacing w:after="0" w:line="240" w:lineRule="auto"/>
        <w:jc w:val="both"/>
        <w:rPr>
          <w:rFonts w:eastAsia="Calibri" w:cstheme="minorHAnsi"/>
        </w:rPr>
      </w:pPr>
      <w:r>
        <w:rPr>
          <w:rFonts w:eastAsia="Calibri" w:cstheme="minorHAnsi"/>
        </w:rPr>
        <w:t xml:space="preserve">Finanční prostředky na odborné posudky a konzultační služby v oblasti dopravy a na ostatní služby nebyly čerpány. Bylo čerpáno 338,39 Kč na kurzové rozdíly. Paragraf byl navýšen o prostředky určené na úhradu konzultačních, poradenských a právních služeb ve výši 500 000,00 Kč na základě rozdělení zůstatku hospodaření SK z roku 2020 (usnesení č. 007-06/2021/ZK ze dne 26. 4. 2021).  </w:t>
      </w:r>
    </w:p>
    <w:p w14:paraId="10A04023" w14:textId="77777777" w:rsidR="00DA77A7" w:rsidRDefault="00DA77A7" w:rsidP="00DA77A7">
      <w:pPr>
        <w:spacing w:after="0" w:line="240" w:lineRule="auto"/>
        <w:jc w:val="both"/>
        <w:rPr>
          <w:rFonts w:eastAsia="Calibri" w:cstheme="minorHAnsi"/>
        </w:rPr>
      </w:pPr>
      <w:r>
        <w:rPr>
          <w:rFonts w:eastAsia="Calibri" w:cstheme="minorHAnsi"/>
        </w:rPr>
        <w:t xml:space="preserve">Usnesením číslo 039-15/2021/RK ze dne 1. 4. 2021 byly z kapitoly 04 – Doprava na kapitolu 26 – Veřejná mobilita převedeny finanční prostředky ve výši 2 800 000,00 Kč. Dle </w:t>
      </w:r>
      <w:r>
        <w:rPr>
          <w:rFonts w:eastAsia="Times New Roman" w:cstheme="minorHAnsi"/>
          <w:lang w:eastAsia="cs-CZ"/>
        </w:rPr>
        <w:t>usnesení č. 014-28/2021/RK ze dne 1.7.2021 byly finanční prostředky ve výši 21 000,00 Kč převedeny na § 2222.</w:t>
      </w:r>
    </w:p>
    <w:p w14:paraId="6EC9339D" w14:textId="77777777" w:rsidR="00DA77A7" w:rsidRDefault="00DA77A7" w:rsidP="00DA77A7">
      <w:pPr>
        <w:spacing w:after="0" w:line="240" w:lineRule="auto"/>
        <w:jc w:val="both"/>
        <w:rPr>
          <w:rFonts w:eastAsia="Calibri" w:cstheme="minorHAnsi"/>
        </w:rPr>
      </w:pPr>
    </w:p>
    <w:p w14:paraId="37CDF104" w14:textId="77777777" w:rsidR="00DA77A7" w:rsidRDefault="00DA77A7" w:rsidP="00DA77A7">
      <w:pPr>
        <w:spacing w:after="0" w:line="240" w:lineRule="auto"/>
        <w:jc w:val="both"/>
        <w:rPr>
          <w:rFonts w:eastAsia="Calibri" w:cstheme="minorHAnsi"/>
          <w:b/>
          <w:bCs/>
          <w:sz w:val="24"/>
          <w:szCs w:val="24"/>
        </w:rPr>
      </w:pPr>
      <w:r>
        <w:rPr>
          <w:rFonts w:eastAsia="Calibri" w:cstheme="minorHAnsi"/>
          <w:b/>
          <w:bCs/>
          <w:sz w:val="24"/>
          <w:szCs w:val="24"/>
        </w:rPr>
        <w:t>§ 6172 – Činnost regionální správy</w:t>
      </w:r>
    </w:p>
    <w:p w14:paraId="72A3FE57" w14:textId="78816F96" w:rsidR="00DA77A7" w:rsidRDefault="00DA77A7" w:rsidP="00DA77A7">
      <w:pPr>
        <w:spacing w:after="0" w:line="240" w:lineRule="auto"/>
        <w:jc w:val="both"/>
        <w:rPr>
          <w:rFonts w:eastAsia="Calibri" w:cstheme="minorHAnsi"/>
        </w:rPr>
      </w:pPr>
      <w:r>
        <w:rPr>
          <w:rFonts w:eastAsia="Calibri" w:cstheme="minorHAnsi"/>
        </w:rPr>
        <w:t>Prostředky určené na konzultační, poradenské a právní služby byly čerpány ve výši 39 446,00 Kč, ve výši 82 599,00 Kč byly čerpány prostředky na vyhotovení znaleckých posudků - na ocenění věcných břemen dle zákona č. 184/2006 Sb.</w:t>
      </w:r>
      <w:r w:rsidR="004D206F">
        <w:rPr>
          <w:rFonts w:eastAsia="Calibri" w:cstheme="minorHAnsi"/>
        </w:rPr>
        <w:t>,</w:t>
      </w:r>
      <w:r>
        <w:rPr>
          <w:rFonts w:eastAsia="Calibri" w:cstheme="minorHAnsi"/>
        </w:rPr>
        <w:t xml:space="preserve"> o vyvlastnění a na dodávku a výsadbu stromů. Finanční prostředky ve výši 72 290,00 Kč byly čerpány za účelem zajištění metodického prohlubování znalostí zaměstnanců v oblasti jednotlivých dopravních projektů včetně projektů spolufinancovaných EU.</w:t>
      </w:r>
    </w:p>
    <w:p w14:paraId="18615248" w14:textId="77777777" w:rsidR="00DA77A7" w:rsidRDefault="00DA77A7" w:rsidP="00DA77A7">
      <w:pPr>
        <w:spacing w:after="0" w:line="240" w:lineRule="auto"/>
        <w:jc w:val="both"/>
        <w:rPr>
          <w:rFonts w:eastAsia="Calibri" w:cstheme="minorHAnsi"/>
        </w:rPr>
      </w:pPr>
      <w:r>
        <w:rPr>
          <w:rFonts w:eastAsia="Calibri" w:cstheme="minorHAnsi"/>
        </w:rPr>
        <w:t>Tento paragraf byl navýšen o prostředky určené na úhradu konzultačních, poradenských a právních služeb ve výši 700 000,00 Kč na základě rozdělení zůstatku hospodaření SK z roku 2020 (usnesení č. 007-06/2021/ZK ze dne 26. 4. 2021).</w:t>
      </w:r>
    </w:p>
    <w:p w14:paraId="689E659A" w14:textId="77777777" w:rsidR="00DA77A7" w:rsidRDefault="00DA77A7" w:rsidP="00DA77A7">
      <w:pPr>
        <w:spacing w:after="0" w:line="240" w:lineRule="auto"/>
        <w:jc w:val="both"/>
        <w:rPr>
          <w:rFonts w:eastAsia="Calibri" w:cstheme="minorHAnsi"/>
        </w:rPr>
      </w:pPr>
      <w:r>
        <w:rPr>
          <w:rFonts w:eastAsia="Calibri" w:cstheme="minorHAnsi"/>
        </w:rPr>
        <w:t>Usnesením č. 039-15/2021/RK ze dne 1. 4. 2021 byly z kapitoly 04 – Doprava na kapitolu 26 – Veřejná mobilita převedeny finanční prostředky ve výši 40 000,00 Kč určené na cestovné.</w:t>
      </w:r>
    </w:p>
    <w:p w14:paraId="1FACAFCC" w14:textId="77777777" w:rsidR="00DA77A7" w:rsidRDefault="00DA77A7" w:rsidP="00DA77A7">
      <w:pPr>
        <w:spacing w:after="0" w:line="240" w:lineRule="auto"/>
        <w:jc w:val="both"/>
        <w:rPr>
          <w:rFonts w:eastAsia="Times New Roman" w:cstheme="minorHAnsi"/>
          <w:sz w:val="24"/>
          <w:szCs w:val="24"/>
          <w:lang w:eastAsia="cs-CZ"/>
        </w:rPr>
      </w:pPr>
    </w:p>
    <w:p w14:paraId="3EE0D956" w14:textId="77777777" w:rsidR="00DA77A7" w:rsidRDefault="00DA77A7" w:rsidP="00DA77A7">
      <w:pPr>
        <w:spacing w:after="0" w:line="240" w:lineRule="auto"/>
        <w:jc w:val="both"/>
        <w:rPr>
          <w:rFonts w:eastAsia="Calibri" w:cstheme="minorHAnsi"/>
          <w:b/>
          <w:bCs/>
          <w:sz w:val="24"/>
          <w:szCs w:val="24"/>
          <w:u w:val="single"/>
        </w:rPr>
      </w:pPr>
      <w:r>
        <w:rPr>
          <w:rFonts w:eastAsia="Calibri" w:cstheme="minorHAnsi"/>
          <w:b/>
          <w:bCs/>
          <w:sz w:val="24"/>
          <w:szCs w:val="24"/>
          <w:u w:val="single"/>
        </w:rPr>
        <w:t>Fondy</w:t>
      </w:r>
    </w:p>
    <w:p w14:paraId="52FE82DF" w14:textId="77777777" w:rsidR="00DA77A7" w:rsidRDefault="00DA77A7" w:rsidP="00DA77A7">
      <w:pPr>
        <w:spacing w:after="0" w:line="240" w:lineRule="auto"/>
        <w:jc w:val="both"/>
        <w:rPr>
          <w:rFonts w:eastAsia="Calibri" w:cstheme="minorHAnsi"/>
          <w:b/>
          <w:bCs/>
          <w:sz w:val="24"/>
          <w:szCs w:val="24"/>
          <w:u w:val="single"/>
        </w:rPr>
      </w:pPr>
    </w:p>
    <w:p w14:paraId="08EF7B8F" w14:textId="77777777" w:rsidR="00DA77A7" w:rsidRDefault="00DA77A7" w:rsidP="00DA77A7">
      <w:pPr>
        <w:spacing w:after="0" w:line="240" w:lineRule="auto"/>
        <w:jc w:val="both"/>
        <w:rPr>
          <w:rFonts w:eastAsia="Calibri" w:cstheme="minorHAnsi"/>
          <w:b/>
          <w:bCs/>
          <w:sz w:val="24"/>
          <w:szCs w:val="24"/>
        </w:rPr>
      </w:pPr>
      <w:r>
        <w:rPr>
          <w:rFonts w:eastAsia="Calibri" w:cstheme="minorHAnsi"/>
          <w:b/>
          <w:bCs/>
          <w:sz w:val="24"/>
          <w:szCs w:val="24"/>
        </w:rPr>
        <w:t>Středočeský Fond homogenizace krajské dopravní infrastruktury</w:t>
      </w:r>
    </w:p>
    <w:p w14:paraId="6663C88E" w14:textId="6803FBD1" w:rsidR="00DA77A7" w:rsidRDefault="00DA77A7" w:rsidP="00DA77A7">
      <w:pPr>
        <w:spacing w:after="0" w:line="240" w:lineRule="auto"/>
        <w:jc w:val="both"/>
        <w:rPr>
          <w:rFonts w:eastAsia="Calibri" w:cstheme="minorHAnsi"/>
        </w:rPr>
      </w:pPr>
      <w:r>
        <w:rPr>
          <w:rFonts w:eastAsia="Calibri" w:cstheme="minorHAnsi"/>
        </w:rPr>
        <w:t>Účelové finanční prostředky ve výši 100 000 000,00 Kč byly převedeny na kap</w:t>
      </w:r>
      <w:r w:rsidR="004D206F">
        <w:rPr>
          <w:rFonts w:eastAsia="Calibri" w:cstheme="minorHAnsi"/>
        </w:rPr>
        <w:t>itolu</w:t>
      </w:r>
      <w:r>
        <w:rPr>
          <w:rFonts w:eastAsia="Calibri" w:cstheme="minorHAnsi"/>
        </w:rPr>
        <w:t xml:space="preserve"> 04 - Doprava usnesením č. 023-30/2021/RK ze dne 29.7.2021. Ve prospěch kapitoly 12 – Investiční výdaje byly převedeny finanční prostředky ve výši 15 000 000,00 Kč v souladu s usnesením č. 063-41/2021/RK ze dne 4. 11. 2021</w:t>
      </w:r>
      <w:r w:rsidR="004D206F">
        <w:rPr>
          <w:rFonts w:eastAsia="Calibri" w:cstheme="minorHAnsi"/>
        </w:rPr>
        <w:t xml:space="preserve"> na krytí investičních akcí Odboru dopravy zařazených ve schváleném Zásobníku investic SK. </w:t>
      </w:r>
      <w:r>
        <w:rPr>
          <w:rFonts w:eastAsia="Calibri" w:cstheme="minorHAnsi"/>
        </w:rPr>
        <w:t xml:space="preserve">Dále byly převedeny volné finanční prostředky ve výši 44 496 353,00 Kč usnesením č. 032-47/2021/RK ze dne 16. 12. 2021 do kapitoly 23 – Ostatní, výdaje dle programů (převod zůstatků Středočeských fondů). </w:t>
      </w:r>
    </w:p>
    <w:p w14:paraId="1D11E4DA" w14:textId="4C45B461" w:rsidR="00DA77A7" w:rsidRDefault="00DA77A7" w:rsidP="00DA77A7">
      <w:pPr>
        <w:spacing w:after="0" w:line="240" w:lineRule="auto"/>
        <w:jc w:val="both"/>
        <w:rPr>
          <w:rFonts w:eastAsia="Calibri" w:cstheme="minorHAnsi"/>
        </w:rPr>
      </w:pPr>
      <w:r w:rsidRPr="00A137F1">
        <w:rPr>
          <w:rFonts w:eastAsia="Calibri" w:cstheme="minorHAnsi"/>
        </w:rPr>
        <w:t>V roce 2021 byly poskytnuty v souladu s usnesením č. 024-09/2021/ZK ze dne 13.</w:t>
      </w:r>
      <w:r w:rsidR="00475092">
        <w:rPr>
          <w:rFonts w:eastAsia="Calibri" w:cstheme="minorHAnsi"/>
        </w:rPr>
        <w:t xml:space="preserve"> </w:t>
      </w:r>
      <w:r w:rsidRPr="00A137F1">
        <w:rPr>
          <w:rFonts w:eastAsia="Calibri" w:cstheme="minorHAnsi"/>
        </w:rPr>
        <w:t xml:space="preserve">9. 2021 a usnesením č. 011-10/2021/ZK ze dne 25. 10. 2021 schválené dotace z Programu 2021 pro poskytování dotací z rozpočtu SK ze Středočeského Fondu homogenizace krajské dopravní infrastruktury ve výši 20 251 823,50 Kč. Zbylé prostředky ve výši 20 251 823,50 Kč budou </w:t>
      </w:r>
      <w:r w:rsidR="00475092">
        <w:rPr>
          <w:rFonts w:eastAsia="Calibri" w:cstheme="minorHAnsi"/>
        </w:rPr>
        <w:t>převedeny</w:t>
      </w:r>
      <w:r w:rsidRPr="00A137F1">
        <w:rPr>
          <w:rFonts w:eastAsia="Calibri" w:cstheme="minorHAnsi"/>
        </w:rPr>
        <w:t xml:space="preserve"> </w:t>
      </w:r>
      <w:r w:rsidR="00475092">
        <w:rPr>
          <w:rFonts w:eastAsia="Calibri" w:cstheme="minorHAnsi"/>
        </w:rPr>
        <w:t>do roku</w:t>
      </w:r>
      <w:r w:rsidRPr="00A137F1">
        <w:rPr>
          <w:rFonts w:eastAsia="Calibri" w:cstheme="minorHAnsi"/>
        </w:rPr>
        <w:t xml:space="preserve"> 2022 </w:t>
      </w:r>
      <w:r w:rsidR="00475092">
        <w:rPr>
          <w:rFonts w:eastAsia="Calibri" w:cstheme="minorHAnsi"/>
        </w:rPr>
        <w:t xml:space="preserve">a vyplaceny </w:t>
      </w:r>
      <w:r w:rsidRPr="00A137F1">
        <w:rPr>
          <w:rFonts w:eastAsia="Calibri" w:cstheme="minorHAnsi"/>
        </w:rPr>
        <w:t>v souladu s předloženým vyúčtováním od příjemců dotací.</w:t>
      </w:r>
      <w:r>
        <w:rPr>
          <w:rFonts w:eastAsia="Calibri" w:cstheme="minorHAnsi"/>
        </w:rPr>
        <w:t xml:space="preserve">  </w:t>
      </w:r>
    </w:p>
    <w:p w14:paraId="52853CEF" w14:textId="77777777" w:rsidR="00DA77A7" w:rsidRDefault="00DA77A7" w:rsidP="00DA77A7">
      <w:pPr>
        <w:spacing w:after="0" w:line="240" w:lineRule="auto"/>
        <w:jc w:val="both"/>
        <w:rPr>
          <w:rFonts w:eastAsia="Calibri" w:cstheme="minorHAnsi"/>
        </w:rPr>
      </w:pPr>
    </w:p>
    <w:p w14:paraId="5C7F9070" w14:textId="77777777" w:rsidR="00DA77A7" w:rsidRDefault="00DA77A7" w:rsidP="00DA77A7">
      <w:pPr>
        <w:spacing w:after="0" w:line="240" w:lineRule="auto"/>
        <w:jc w:val="both"/>
        <w:rPr>
          <w:rFonts w:eastAsia="Calibri" w:cstheme="minorHAnsi"/>
          <w:b/>
          <w:bCs/>
          <w:sz w:val="24"/>
          <w:szCs w:val="24"/>
          <w:u w:val="single"/>
        </w:rPr>
      </w:pPr>
      <w:r>
        <w:rPr>
          <w:rFonts w:eastAsia="Calibri" w:cstheme="minorHAnsi"/>
          <w:b/>
          <w:bCs/>
          <w:sz w:val="24"/>
          <w:szCs w:val="24"/>
          <w:u w:val="single"/>
        </w:rPr>
        <w:t>Výdaje na reprodukci majetku příspěvkových organizací</w:t>
      </w:r>
    </w:p>
    <w:p w14:paraId="24D4FCF2" w14:textId="77777777" w:rsidR="00DA77A7" w:rsidRDefault="00DA77A7" w:rsidP="00DA77A7">
      <w:pPr>
        <w:spacing w:after="0" w:line="240" w:lineRule="auto"/>
        <w:jc w:val="both"/>
        <w:rPr>
          <w:rFonts w:ascii="Times New Roman" w:eastAsia="Calibri" w:hAnsi="Times New Roman" w:cs="Times New Roman"/>
          <w:b/>
          <w:bCs/>
          <w:sz w:val="28"/>
          <w:szCs w:val="28"/>
          <w:u w:val="single"/>
        </w:rPr>
      </w:pPr>
    </w:p>
    <w:p w14:paraId="19F884BE" w14:textId="62FBEE04" w:rsidR="00DA77A7" w:rsidRDefault="00DA77A7" w:rsidP="00DA77A7">
      <w:pPr>
        <w:tabs>
          <w:tab w:val="left" w:pos="3360"/>
        </w:tabs>
        <w:spacing w:after="0" w:line="240" w:lineRule="auto"/>
        <w:jc w:val="both"/>
        <w:rPr>
          <w:rFonts w:eastAsia="Calibri" w:cstheme="minorHAnsi"/>
          <w:b/>
          <w:bCs/>
          <w:sz w:val="24"/>
          <w:szCs w:val="24"/>
        </w:rPr>
      </w:pPr>
      <w:r>
        <w:rPr>
          <w:rFonts w:eastAsia="Calibri" w:cstheme="minorHAnsi"/>
          <w:b/>
          <w:bCs/>
          <w:sz w:val="24"/>
          <w:szCs w:val="24"/>
        </w:rPr>
        <w:t xml:space="preserve">Vrácené příjmy z pronájmu </w:t>
      </w:r>
      <w:r w:rsidR="00475092">
        <w:rPr>
          <w:rFonts w:eastAsia="Calibri" w:cstheme="minorHAnsi"/>
          <w:b/>
          <w:bCs/>
          <w:sz w:val="24"/>
          <w:szCs w:val="24"/>
        </w:rPr>
        <w:t xml:space="preserve">za minulý rok </w:t>
      </w:r>
      <w:r>
        <w:rPr>
          <w:rFonts w:eastAsia="Calibri" w:cstheme="minorHAnsi"/>
          <w:b/>
          <w:bCs/>
          <w:sz w:val="24"/>
          <w:szCs w:val="24"/>
        </w:rPr>
        <w:t>(ÚZ 41)</w:t>
      </w:r>
    </w:p>
    <w:p w14:paraId="6E0922AB" w14:textId="77E6EBE6" w:rsidR="00DA77A7" w:rsidRDefault="00DA77A7" w:rsidP="00DA2E9A">
      <w:pPr>
        <w:pStyle w:val="Default"/>
        <w:jc w:val="both"/>
        <w:rPr>
          <w:rFonts w:asciiTheme="minorHAnsi" w:eastAsia="Calibri" w:hAnsiTheme="minorHAnsi" w:cstheme="minorHAnsi"/>
          <w:sz w:val="22"/>
          <w:szCs w:val="22"/>
        </w:rPr>
      </w:pPr>
      <w:r w:rsidRPr="00DA2E9A">
        <w:rPr>
          <w:rFonts w:asciiTheme="minorHAnsi" w:eastAsia="Calibri" w:hAnsiTheme="minorHAnsi" w:cstheme="minorHAnsi"/>
          <w:bCs/>
          <w:sz w:val="22"/>
          <w:szCs w:val="22"/>
        </w:rPr>
        <w:t xml:space="preserve">Na základě </w:t>
      </w:r>
      <w:r w:rsidRPr="00DA2E9A">
        <w:rPr>
          <w:rFonts w:asciiTheme="minorHAnsi" w:eastAsia="Calibri" w:hAnsiTheme="minorHAnsi" w:cstheme="minorHAnsi"/>
          <w:sz w:val="22"/>
          <w:szCs w:val="22"/>
        </w:rPr>
        <w:t>rozdělení zůstatku hospodaření Středočeského kraje z roku 2020 (</w:t>
      </w:r>
      <w:r w:rsidRPr="00DA2E9A">
        <w:rPr>
          <w:rFonts w:asciiTheme="minorHAnsi" w:eastAsia="Calibri" w:hAnsiTheme="minorHAnsi" w:cstheme="minorHAnsi"/>
          <w:bCs/>
          <w:sz w:val="22"/>
          <w:szCs w:val="22"/>
        </w:rPr>
        <w:t xml:space="preserve">usnesení </w:t>
      </w:r>
      <w:r w:rsidRPr="00DA2E9A">
        <w:rPr>
          <w:rFonts w:asciiTheme="minorHAnsi" w:hAnsiTheme="minorHAnsi" w:cstheme="minorHAnsi"/>
          <w:sz w:val="22"/>
          <w:szCs w:val="22"/>
        </w:rPr>
        <w:t xml:space="preserve">č. </w:t>
      </w:r>
      <w:r w:rsidRPr="00DA2E9A">
        <w:rPr>
          <w:rFonts w:asciiTheme="minorHAnsi" w:eastAsia="Times New Roman" w:hAnsiTheme="minorHAnsi" w:cstheme="minorHAnsi"/>
          <w:sz w:val="22"/>
          <w:szCs w:val="22"/>
          <w:lang w:eastAsia="cs-CZ"/>
        </w:rPr>
        <w:t xml:space="preserve">007-06/2021/ZK ze dne </w:t>
      </w:r>
      <w:r w:rsidRPr="00DA2E9A">
        <w:rPr>
          <w:rFonts w:asciiTheme="minorHAnsi" w:eastAsia="Times New Roman" w:hAnsiTheme="minorHAnsi" w:cstheme="minorHAnsi"/>
          <w:sz w:val="22"/>
          <w:szCs w:val="22"/>
          <w:lang w:eastAsia="cs-CZ"/>
        </w:rPr>
        <w:br/>
        <w:t>26. 4. 2021)</w:t>
      </w:r>
      <w:r w:rsidRPr="00DA2E9A">
        <w:rPr>
          <w:rFonts w:asciiTheme="minorHAnsi" w:eastAsia="Calibri" w:hAnsiTheme="minorHAnsi" w:cstheme="minorHAnsi"/>
          <w:sz w:val="22"/>
          <w:szCs w:val="22"/>
        </w:rPr>
        <w:t xml:space="preserve"> </w:t>
      </w:r>
      <w:r w:rsidRPr="00DA2E9A">
        <w:rPr>
          <w:rFonts w:asciiTheme="minorHAnsi" w:eastAsia="Calibri" w:hAnsiTheme="minorHAnsi" w:cstheme="minorHAnsi"/>
          <w:bCs/>
          <w:sz w:val="22"/>
          <w:szCs w:val="22"/>
        </w:rPr>
        <w:t xml:space="preserve">byl rozpočet kapitoly 04 – Doprava navýšen o </w:t>
      </w:r>
      <w:r w:rsidRPr="00DA2E9A">
        <w:rPr>
          <w:rFonts w:asciiTheme="minorHAnsi" w:eastAsia="Calibri" w:hAnsiTheme="minorHAnsi" w:cstheme="minorHAnsi"/>
          <w:sz w:val="22"/>
          <w:szCs w:val="22"/>
        </w:rPr>
        <w:t>v</w:t>
      </w:r>
      <w:r w:rsidRPr="00DA2E9A">
        <w:rPr>
          <w:rFonts w:asciiTheme="minorHAnsi" w:eastAsia="Calibri" w:hAnsiTheme="minorHAnsi" w:cstheme="minorHAnsi"/>
          <w:bCs/>
          <w:sz w:val="22"/>
          <w:szCs w:val="22"/>
        </w:rPr>
        <w:t xml:space="preserve">rácené příjmy z pronájmu (ÚZ 041) z roku 2020 ve výši </w:t>
      </w:r>
      <w:r w:rsidRPr="00DA2E9A">
        <w:rPr>
          <w:rFonts w:asciiTheme="minorHAnsi" w:eastAsia="Calibri" w:hAnsiTheme="minorHAnsi" w:cstheme="minorHAnsi"/>
          <w:sz w:val="22"/>
          <w:szCs w:val="22"/>
        </w:rPr>
        <w:t>18 480 014,38 Kč</w:t>
      </w:r>
      <w:r w:rsidR="00DA2E9A" w:rsidRPr="00DA2E9A">
        <w:rPr>
          <w:rFonts w:asciiTheme="minorHAnsi" w:eastAsia="Calibri" w:hAnsiTheme="minorHAnsi" w:cstheme="minorHAnsi"/>
          <w:sz w:val="22"/>
          <w:szCs w:val="22"/>
        </w:rPr>
        <w:t>,</w:t>
      </w:r>
      <w:r w:rsidRPr="00DA2E9A">
        <w:rPr>
          <w:rFonts w:asciiTheme="minorHAnsi" w:eastAsia="Calibri" w:hAnsiTheme="minorHAnsi" w:cstheme="minorHAnsi"/>
          <w:sz w:val="22"/>
          <w:szCs w:val="22"/>
        </w:rPr>
        <w:t xml:space="preserve"> </w:t>
      </w:r>
      <w:r w:rsidR="00DA2E9A" w:rsidRPr="00DA2E9A">
        <w:rPr>
          <w:rFonts w:asciiTheme="minorHAnsi" w:eastAsia="Calibri" w:hAnsiTheme="minorHAnsi" w:cstheme="minorHAnsi"/>
          <w:color w:val="auto"/>
          <w:sz w:val="22"/>
          <w:szCs w:val="22"/>
        </w:rPr>
        <w:t>prostředky byly vráceny PO KSÚS a použity v rámci oprav a udržování silnic spočívajících zejména v realizaci nejnutnějších lokálních výsprav po zimním období. Č</w:t>
      </w:r>
      <w:r w:rsidRPr="00DA2E9A">
        <w:rPr>
          <w:rFonts w:asciiTheme="minorHAnsi" w:eastAsia="Calibri" w:hAnsiTheme="minorHAnsi" w:cstheme="minorHAnsi"/>
          <w:sz w:val="22"/>
          <w:szCs w:val="22"/>
        </w:rPr>
        <w:t>erpáno 100</w:t>
      </w:r>
      <w:r w:rsidR="00475092" w:rsidRPr="00DA2E9A">
        <w:rPr>
          <w:rFonts w:asciiTheme="minorHAnsi" w:eastAsia="Calibri" w:hAnsiTheme="minorHAnsi" w:cstheme="minorHAnsi"/>
          <w:sz w:val="22"/>
          <w:szCs w:val="22"/>
        </w:rPr>
        <w:t>,0</w:t>
      </w:r>
      <w:r w:rsidRPr="00DA2E9A">
        <w:rPr>
          <w:rFonts w:asciiTheme="minorHAnsi" w:eastAsia="Calibri" w:hAnsiTheme="minorHAnsi" w:cstheme="minorHAnsi"/>
          <w:sz w:val="22"/>
          <w:szCs w:val="22"/>
        </w:rPr>
        <w:t xml:space="preserve"> %.</w:t>
      </w:r>
      <w:r w:rsidR="00475092" w:rsidRPr="00DA2E9A">
        <w:rPr>
          <w:rFonts w:asciiTheme="minorHAnsi" w:eastAsia="Calibri" w:hAnsiTheme="minorHAnsi" w:cstheme="minorHAnsi"/>
          <w:sz w:val="22"/>
          <w:szCs w:val="22"/>
        </w:rPr>
        <w:t xml:space="preserve"> </w:t>
      </w:r>
    </w:p>
    <w:p w14:paraId="70F4C958" w14:textId="77777777" w:rsidR="00DA2E9A" w:rsidRPr="00DA2E9A" w:rsidRDefault="00DA2E9A" w:rsidP="00DA2E9A">
      <w:pPr>
        <w:pStyle w:val="Default"/>
        <w:jc w:val="both"/>
        <w:rPr>
          <w:rFonts w:asciiTheme="minorHAnsi" w:eastAsia="Calibri" w:hAnsiTheme="minorHAnsi" w:cstheme="minorHAnsi"/>
          <w:color w:val="auto"/>
          <w:sz w:val="22"/>
          <w:szCs w:val="22"/>
        </w:rPr>
      </w:pPr>
    </w:p>
    <w:p w14:paraId="6F83FC6B" w14:textId="77777777" w:rsidR="00DA77A7" w:rsidRDefault="00DA77A7" w:rsidP="00DA77A7">
      <w:pPr>
        <w:tabs>
          <w:tab w:val="left" w:pos="3360"/>
        </w:tabs>
        <w:spacing w:after="0" w:line="240" w:lineRule="auto"/>
        <w:jc w:val="both"/>
        <w:rPr>
          <w:rFonts w:eastAsia="Calibri" w:cstheme="minorHAnsi"/>
          <w:b/>
          <w:bCs/>
          <w:sz w:val="24"/>
          <w:szCs w:val="24"/>
        </w:rPr>
      </w:pPr>
      <w:r>
        <w:rPr>
          <w:rFonts w:eastAsia="Calibri" w:cstheme="minorHAnsi"/>
          <w:b/>
          <w:bCs/>
          <w:sz w:val="24"/>
          <w:szCs w:val="24"/>
        </w:rPr>
        <w:t>Vrácené příjmy z pronájmu (ÚZ 40)</w:t>
      </w:r>
    </w:p>
    <w:p w14:paraId="35779047" w14:textId="655CFE3C" w:rsidR="00DA77A7" w:rsidRDefault="00DA77A7" w:rsidP="00DA77A7">
      <w:pPr>
        <w:spacing w:after="0" w:line="240" w:lineRule="auto"/>
        <w:jc w:val="both"/>
        <w:rPr>
          <w:rFonts w:eastAsia="Calibri" w:cstheme="minorHAnsi"/>
          <w:bCs/>
        </w:rPr>
      </w:pPr>
      <w:r>
        <w:rPr>
          <w:rFonts w:eastAsia="Calibri" w:cstheme="minorHAnsi"/>
          <w:bCs/>
        </w:rPr>
        <w:t>Usnesením č. 005-44/2021/RK ze dne 25.</w:t>
      </w:r>
      <w:r w:rsidR="00475092">
        <w:rPr>
          <w:rFonts w:eastAsia="Calibri" w:cstheme="minorHAnsi"/>
          <w:bCs/>
        </w:rPr>
        <w:t xml:space="preserve"> </w:t>
      </w:r>
      <w:r>
        <w:rPr>
          <w:rFonts w:eastAsia="Calibri" w:cstheme="minorHAnsi"/>
          <w:bCs/>
        </w:rPr>
        <w:t>11.</w:t>
      </w:r>
      <w:r w:rsidR="00475092">
        <w:rPr>
          <w:rFonts w:eastAsia="Calibri" w:cstheme="minorHAnsi"/>
          <w:bCs/>
        </w:rPr>
        <w:t xml:space="preserve"> </w:t>
      </w:r>
      <w:r>
        <w:rPr>
          <w:rFonts w:eastAsia="Calibri" w:cstheme="minorHAnsi"/>
          <w:bCs/>
        </w:rPr>
        <w:t xml:space="preserve">2021 byly vráceny </w:t>
      </w:r>
      <w:r w:rsidR="00475092">
        <w:rPr>
          <w:rFonts w:eastAsia="Calibri" w:cstheme="minorHAnsi"/>
          <w:bCs/>
        </w:rPr>
        <w:t>příspěvkové organizaci Krajská správa a údržba silnic SK</w:t>
      </w:r>
      <w:r>
        <w:rPr>
          <w:rFonts w:eastAsia="Calibri" w:cstheme="minorHAnsi"/>
          <w:bCs/>
        </w:rPr>
        <w:t xml:space="preserve"> příjmy z pronájmu ve výši 30 700 000,00 Kč, které jsou určeny na reprodukci majetku.</w:t>
      </w:r>
    </w:p>
    <w:p w14:paraId="46E6D3ED" w14:textId="77777777" w:rsidR="00DA77A7" w:rsidRDefault="00DA77A7" w:rsidP="00DA77A7">
      <w:pPr>
        <w:spacing w:after="0" w:line="240" w:lineRule="auto"/>
        <w:jc w:val="both"/>
        <w:rPr>
          <w:rFonts w:eastAsia="Calibri" w:cstheme="minorHAnsi"/>
          <w:bCs/>
        </w:rPr>
      </w:pPr>
    </w:p>
    <w:p w14:paraId="205D06AA" w14:textId="77777777" w:rsidR="00DA77A7" w:rsidRDefault="00DA77A7" w:rsidP="00DA77A7">
      <w:pPr>
        <w:spacing w:after="0" w:line="240" w:lineRule="auto"/>
        <w:jc w:val="both"/>
        <w:rPr>
          <w:rFonts w:ascii="Times New Roman" w:eastAsia="Calibri" w:hAnsi="Times New Roman" w:cs="Times New Roman"/>
          <w:bCs/>
          <w:sz w:val="24"/>
          <w:szCs w:val="24"/>
        </w:rPr>
      </w:pPr>
    </w:p>
    <w:p w14:paraId="2BD559E3" w14:textId="77777777" w:rsidR="00DA77A7" w:rsidRDefault="00DA77A7" w:rsidP="00DA77A7">
      <w:pPr>
        <w:spacing w:after="0" w:line="240" w:lineRule="auto"/>
        <w:jc w:val="both"/>
        <w:outlineLvl w:val="0"/>
        <w:rPr>
          <w:rFonts w:eastAsia="Calibri" w:cstheme="minorHAnsi"/>
          <w:b/>
          <w:bCs/>
          <w:sz w:val="24"/>
          <w:szCs w:val="24"/>
          <w:u w:val="single"/>
        </w:rPr>
      </w:pPr>
      <w:r>
        <w:rPr>
          <w:rFonts w:eastAsia="Calibri" w:cstheme="minorHAnsi"/>
          <w:b/>
          <w:bCs/>
          <w:sz w:val="24"/>
          <w:szCs w:val="24"/>
          <w:u w:val="single"/>
        </w:rPr>
        <w:t>Předfinancování a kofinancování projektů spolufinancovaných z EU/EHP a ostatní související výdaje s projekty EU/EHP</w:t>
      </w:r>
    </w:p>
    <w:p w14:paraId="32E620CC" w14:textId="77777777" w:rsidR="00DA77A7" w:rsidRDefault="00DA77A7" w:rsidP="00DA77A7">
      <w:pPr>
        <w:spacing w:after="0" w:line="240" w:lineRule="auto"/>
        <w:jc w:val="both"/>
        <w:rPr>
          <w:rFonts w:eastAsia="Calibri" w:cstheme="minorHAnsi"/>
          <w:b/>
          <w:bCs/>
          <w:u w:val="single"/>
        </w:rPr>
      </w:pPr>
    </w:p>
    <w:p w14:paraId="418508F4" w14:textId="77777777" w:rsidR="00DA77A7" w:rsidRDefault="00DA77A7" w:rsidP="00DA77A7">
      <w:pPr>
        <w:spacing w:after="0" w:line="240" w:lineRule="auto"/>
        <w:jc w:val="both"/>
        <w:rPr>
          <w:rFonts w:eastAsia="Calibri" w:cstheme="minorHAnsi"/>
          <w:b/>
          <w:bCs/>
        </w:rPr>
      </w:pPr>
      <w:r>
        <w:rPr>
          <w:rFonts w:eastAsia="Calibri" w:cstheme="minorHAnsi"/>
          <w:b/>
          <w:bCs/>
        </w:rPr>
        <w:lastRenderedPageBreak/>
        <w:t xml:space="preserve">§ 2212 </w:t>
      </w:r>
      <w:r>
        <w:rPr>
          <w:rFonts w:eastAsia="Calibri" w:cstheme="minorHAnsi"/>
          <w:b/>
        </w:rPr>
        <w:t>–</w:t>
      </w:r>
      <w:r>
        <w:rPr>
          <w:rFonts w:eastAsia="Calibri" w:cstheme="minorHAnsi"/>
          <w:b/>
          <w:bCs/>
        </w:rPr>
        <w:t xml:space="preserve"> Výstavba akcí spolufinancovaných z EU - silnice</w:t>
      </w:r>
    </w:p>
    <w:p w14:paraId="27B54020" w14:textId="77777777" w:rsidR="00DA77A7" w:rsidRDefault="00DA77A7" w:rsidP="00DA77A7">
      <w:pPr>
        <w:spacing w:after="0" w:line="240" w:lineRule="auto"/>
        <w:jc w:val="both"/>
        <w:rPr>
          <w:rFonts w:eastAsia="Calibri" w:cstheme="minorHAnsi"/>
        </w:rPr>
      </w:pPr>
      <w:r>
        <w:rPr>
          <w:rFonts w:eastAsia="Calibri" w:cstheme="minorHAnsi"/>
        </w:rPr>
        <w:t>Podíl Středočeského kraje, předfinancování a úhrada neuznatelných výdajů projektů spolufinancovaných z EU v oblasti dopravy dle schváleného Zásobníku projektů spolufinancovaných z EU/EHP a národních zdrojů. Čerpání probíhá na základě uzavřených smluv a došlých dodavatelských faktur např. u projektů „II/191 Rožmitál pod Třemšínem – hr. kraje“, „II/102 Praha – Štěchovice, I. etapa“, „II/101 Jesenice obchvat, II. etapa“ atd.</w:t>
      </w:r>
    </w:p>
    <w:p w14:paraId="6F69CA0A" w14:textId="77777777" w:rsidR="00DA77A7" w:rsidRDefault="00DA77A7" w:rsidP="00DA77A7">
      <w:pPr>
        <w:spacing w:after="0" w:line="240" w:lineRule="auto"/>
        <w:jc w:val="both"/>
        <w:rPr>
          <w:rFonts w:eastAsia="Calibri" w:cstheme="minorHAnsi"/>
        </w:rPr>
      </w:pPr>
    </w:p>
    <w:p w14:paraId="4878C73C" w14:textId="77777777" w:rsidR="00DA77A7" w:rsidRDefault="00DA77A7" w:rsidP="00DA77A7">
      <w:pPr>
        <w:spacing w:after="0" w:line="240" w:lineRule="auto"/>
        <w:jc w:val="both"/>
        <w:rPr>
          <w:rFonts w:eastAsia="Calibri" w:cstheme="minorHAnsi"/>
          <w:b/>
          <w:bCs/>
        </w:rPr>
      </w:pPr>
      <w:r>
        <w:rPr>
          <w:rFonts w:eastAsia="Calibri" w:cstheme="minorHAnsi"/>
          <w:b/>
          <w:bCs/>
        </w:rPr>
        <w:t>§ 2219 – Ostatní</w:t>
      </w:r>
      <w:r>
        <w:rPr>
          <w:rFonts w:eastAsia="Calibri" w:cstheme="minorHAnsi"/>
        </w:rPr>
        <w:t xml:space="preserve"> </w:t>
      </w:r>
      <w:r>
        <w:rPr>
          <w:rFonts w:eastAsia="Calibri" w:cstheme="minorHAnsi"/>
          <w:b/>
          <w:bCs/>
        </w:rPr>
        <w:t>záležitosti pozemních komunikací - cyklodoprava</w:t>
      </w:r>
    </w:p>
    <w:p w14:paraId="5C802E53" w14:textId="77777777" w:rsidR="00DA77A7" w:rsidRDefault="00DA77A7" w:rsidP="00DA77A7">
      <w:pPr>
        <w:spacing w:after="0" w:line="240" w:lineRule="auto"/>
        <w:jc w:val="both"/>
        <w:rPr>
          <w:rFonts w:eastAsia="Calibri" w:cstheme="minorHAnsi"/>
        </w:rPr>
      </w:pPr>
      <w:r>
        <w:rPr>
          <w:rFonts w:eastAsia="Calibri" w:cstheme="minorHAnsi"/>
        </w:rPr>
        <w:t>Finanční prostředky byly zapojeny na základě usnesení č. 005-09/2021/RK ze dne 25. 2. 2021 ve výši 659 400,00 Kč a jsou určené na financování projektu EU „Cyklospojení Praha – Rudná – Křivoklátsko“.</w:t>
      </w:r>
    </w:p>
    <w:p w14:paraId="3C7E04B6" w14:textId="77777777" w:rsidR="00DA77A7" w:rsidRDefault="00DA77A7" w:rsidP="00DA77A7">
      <w:pPr>
        <w:spacing w:after="0" w:line="240" w:lineRule="auto"/>
        <w:jc w:val="both"/>
        <w:rPr>
          <w:rFonts w:eastAsia="Calibri" w:cstheme="minorHAnsi"/>
        </w:rPr>
      </w:pPr>
    </w:p>
    <w:p w14:paraId="49879CCC" w14:textId="77777777" w:rsidR="00DA77A7" w:rsidRDefault="00DA77A7" w:rsidP="00DA77A7">
      <w:pPr>
        <w:spacing w:after="0" w:line="240" w:lineRule="auto"/>
        <w:jc w:val="both"/>
        <w:rPr>
          <w:rFonts w:eastAsia="Calibri" w:cstheme="minorHAnsi"/>
          <w:b/>
          <w:bCs/>
        </w:rPr>
      </w:pPr>
      <w:r>
        <w:rPr>
          <w:rFonts w:eastAsia="Calibri" w:cstheme="minorHAnsi"/>
          <w:b/>
          <w:bCs/>
        </w:rPr>
        <w:t xml:space="preserve">§ 2212 </w:t>
      </w:r>
      <w:r>
        <w:rPr>
          <w:rFonts w:eastAsia="Calibri" w:cstheme="minorHAnsi"/>
          <w:b/>
        </w:rPr>
        <w:t>–</w:t>
      </w:r>
      <w:r>
        <w:rPr>
          <w:rFonts w:eastAsia="Calibri" w:cstheme="minorHAnsi"/>
          <w:b/>
          <w:bCs/>
        </w:rPr>
        <w:t xml:space="preserve"> Výstavba akcí spolufinancovaných z EU – silnice – hrazené z úvěru přijatého od EIB</w:t>
      </w:r>
    </w:p>
    <w:p w14:paraId="7297206A" w14:textId="5D065B3F" w:rsidR="00DA77A7" w:rsidRDefault="00DA77A7" w:rsidP="00DA77A7">
      <w:pPr>
        <w:spacing w:after="0" w:line="240" w:lineRule="auto"/>
        <w:jc w:val="both"/>
        <w:rPr>
          <w:rFonts w:eastAsia="Calibri" w:cstheme="minorHAnsi"/>
        </w:rPr>
      </w:pPr>
      <w:r>
        <w:rPr>
          <w:rFonts w:eastAsia="Calibri" w:cstheme="minorHAnsi"/>
        </w:rPr>
        <w:t xml:space="preserve">Podíl Středočeského kraje, kofinancování a úhrada neuznatelných výdajů projektů spolufinancovaných z EU </w:t>
      </w:r>
      <w:r w:rsidR="00475092">
        <w:rPr>
          <w:rFonts w:eastAsia="Calibri" w:cstheme="minorHAnsi"/>
        </w:rPr>
        <w:t>financovaných</w:t>
      </w:r>
      <w:r>
        <w:rPr>
          <w:rFonts w:eastAsia="Calibri" w:cstheme="minorHAnsi"/>
        </w:rPr>
        <w:t xml:space="preserve"> z úvěru EIB v oblasti dopravy dle schváleného Zásobníku projektů spolufinancovaných z EU/EHP a národních zdrojů. Čerpání probíhá na základě uzavřených smluv a došlých dodavatelských faktur např. u projektů „II/606 Velká Dobrá – hr. okresu Kladno“, „II/606 Nové Strašecí – hranice okr. Rakovník“, „II/114 Neveklov – I/3“, „II/114, most Živohošť – Neveklov“ atd.</w:t>
      </w:r>
    </w:p>
    <w:p w14:paraId="2AC36856" w14:textId="77777777" w:rsidR="00DA77A7" w:rsidRDefault="00DA77A7" w:rsidP="00DA77A7">
      <w:pPr>
        <w:spacing w:after="0" w:line="240" w:lineRule="auto"/>
        <w:jc w:val="both"/>
        <w:rPr>
          <w:rFonts w:eastAsia="Calibri" w:cstheme="minorHAnsi"/>
          <w:b/>
          <w:bCs/>
        </w:rPr>
      </w:pPr>
    </w:p>
    <w:p w14:paraId="25867F63" w14:textId="77777777" w:rsidR="00DA77A7" w:rsidRDefault="00DA77A7" w:rsidP="00DA77A7">
      <w:pPr>
        <w:spacing w:after="0" w:line="240" w:lineRule="auto"/>
        <w:jc w:val="both"/>
        <w:outlineLvl w:val="0"/>
        <w:rPr>
          <w:rFonts w:eastAsia="Calibri" w:cstheme="minorHAnsi"/>
          <w:b/>
          <w:bCs/>
          <w:sz w:val="24"/>
          <w:szCs w:val="24"/>
          <w:u w:val="single"/>
        </w:rPr>
      </w:pPr>
      <w:r>
        <w:rPr>
          <w:rFonts w:eastAsia="Calibri" w:cstheme="minorHAnsi"/>
          <w:b/>
          <w:bCs/>
          <w:sz w:val="24"/>
          <w:szCs w:val="24"/>
          <w:u w:val="single"/>
        </w:rPr>
        <w:t>Předfinancování a kofinancování projektů spolufinancovaných z národních zdrojů a ostatní související výdaje s projekty z národních zdrojů</w:t>
      </w:r>
    </w:p>
    <w:p w14:paraId="33D1D221" w14:textId="77777777" w:rsidR="00DA77A7" w:rsidRDefault="00DA77A7" w:rsidP="00DA77A7">
      <w:pPr>
        <w:spacing w:after="0" w:line="240" w:lineRule="auto"/>
        <w:jc w:val="both"/>
        <w:rPr>
          <w:rFonts w:eastAsia="Calibri" w:cstheme="minorHAnsi"/>
          <w:b/>
          <w:bCs/>
          <w:u w:val="single"/>
        </w:rPr>
      </w:pPr>
    </w:p>
    <w:p w14:paraId="13771BAD" w14:textId="77777777" w:rsidR="00DA77A7" w:rsidRDefault="00DA77A7" w:rsidP="00DA77A7">
      <w:pPr>
        <w:spacing w:after="0" w:line="240" w:lineRule="auto"/>
        <w:jc w:val="both"/>
        <w:rPr>
          <w:rFonts w:eastAsia="Calibri" w:cstheme="minorHAnsi"/>
          <w:b/>
          <w:bCs/>
        </w:rPr>
      </w:pPr>
      <w:r>
        <w:rPr>
          <w:rFonts w:eastAsia="Calibri" w:cstheme="minorHAnsi"/>
          <w:b/>
          <w:bCs/>
        </w:rPr>
        <w:t xml:space="preserve">§ 2212 </w:t>
      </w:r>
      <w:r>
        <w:rPr>
          <w:rFonts w:eastAsia="Calibri" w:cstheme="minorHAnsi"/>
          <w:b/>
        </w:rPr>
        <w:t>–</w:t>
      </w:r>
      <w:r>
        <w:rPr>
          <w:rFonts w:eastAsia="Calibri" w:cstheme="minorHAnsi"/>
          <w:b/>
          <w:bCs/>
        </w:rPr>
        <w:t xml:space="preserve"> Výstavba akcí spolufinancovaných z národních zdrojů - silnice</w:t>
      </w:r>
    </w:p>
    <w:p w14:paraId="5B6D6D99" w14:textId="77777777" w:rsidR="00DA77A7" w:rsidRDefault="00DA77A7" w:rsidP="00DA77A7">
      <w:pPr>
        <w:spacing w:after="0" w:line="240" w:lineRule="auto"/>
        <w:jc w:val="both"/>
        <w:rPr>
          <w:rFonts w:eastAsia="Calibri" w:cstheme="minorHAnsi"/>
        </w:rPr>
      </w:pPr>
      <w:r>
        <w:rPr>
          <w:rFonts w:eastAsia="Calibri" w:cstheme="minorHAnsi"/>
        </w:rPr>
        <w:t xml:space="preserve">Podíl Středočeského kraje, předfinancování a úhrada neuznatelných výdajů projektů spolufinancovaných z národních zdrojů v oblasti dopravy dle schváleného Zásobníku projektů spolufinancovaných z EU/EHP a z národních zdrojů. Čerpáno na projekt „II/116 Řevnice, sanace záchytného systému“, „III/1096 a III/6031, rekonstrukce silnice“ a „III/11434 Přibyšice – křižovatka s III/10614“. </w:t>
      </w:r>
    </w:p>
    <w:p w14:paraId="101277CD" w14:textId="77777777" w:rsidR="00DA77A7" w:rsidRDefault="00DA77A7" w:rsidP="00DA77A7">
      <w:pPr>
        <w:spacing w:after="0" w:line="240" w:lineRule="auto"/>
        <w:jc w:val="both"/>
        <w:rPr>
          <w:rFonts w:ascii="Times New Roman" w:eastAsia="Calibri" w:hAnsi="Times New Roman" w:cs="Times New Roman"/>
          <w:b/>
          <w:sz w:val="24"/>
          <w:szCs w:val="24"/>
          <w:u w:val="single"/>
        </w:rPr>
      </w:pPr>
    </w:p>
    <w:p w14:paraId="2F8AB88F" w14:textId="77777777" w:rsidR="00DA77A7" w:rsidRDefault="00DA77A7" w:rsidP="00DA77A7">
      <w:pPr>
        <w:spacing w:after="0" w:line="240" w:lineRule="auto"/>
        <w:jc w:val="both"/>
        <w:rPr>
          <w:rFonts w:eastAsia="Calibri" w:cstheme="minorHAnsi"/>
          <w:sz w:val="24"/>
          <w:szCs w:val="24"/>
          <w:u w:val="single"/>
        </w:rPr>
      </w:pPr>
      <w:r>
        <w:rPr>
          <w:rFonts w:eastAsia="Calibri" w:cstheme="minorHAnsi"/>
          <w:b/>
          <w:sz w:val="24"/>
          <w:szCs w:val="24"/>
          <w:u w:val="single"/>
        </w:rPr>
        <w:t>Dotace ze státního rozpočtu a ostatních veřejných rozpočtů</w:t>
      </w:r>
    </w:p>
    <w:p w14:paraId="77D70B8E" w14:textId="77777777" w:rsidR="00DA77A7" w:rsidRDefault="00DA77A7" w:rsidP="00DA77A7">
      <w:pPr>
        <w:spacing w:after="0" w:line="240" w:lineRule="auto"/>
        <w:jc w:val="both"/>
        <w:rPr>
          <w:rFonts w:eastAsia="Calibri" w:cstheme="minorHAnsi"/>
        </w:rPr>
      </w:pPr>
    </w:p>
    <w:p w14:paraId="0FE33CFA" w14:textId="77777777" w:rsidR="00DA77A7" w:rsidRDefault="00DA77A7" w:rsidP="00DA77A7">
      <w:pPr>
        <w:spacing w:after="0" w:line="240" w:lineRule="auto"/>
        <w:jc w:val="both"/>
        <w:rPr>
          <w:rFonts w:eastAsia="Calibri" w:cstheme="minorHAnsi"/>
          <w:b/>
        </w:rPr>
      </w:pPr>
      <w:r>
        <w:rPr>
          <w:rFonts w:eastAsia="Calibri" w:cstheme="minorHAnsi"/>
          <w:b/>
        </w:rPr>
        <w:t>§ 2212 – Dotace MMR pro KSÚS SK, p. o. ÚZ 17968, 17969</w:t>
      </w:r>
    </w:p>
    <w:p w14:paraId="1BA6F600" w14:textId="58995054" w:rsidR="00DA77A7" w:rsidRDefault="00DA77A7" w:rsidP="00DA77A7">
      <w:pPr>
        <w:spacing w:after="0" w:line="240" w:lineRule="auto"/>
        <w:jc w:val="both"/>
        <w:rPr>
          <w:rFonts w:eastAsia="Calibri" w:cstheme="minorHAnsi"/>
        </w:rPr>
      </w:pPr>
      <w:r>
        <w:rPr>
          <w:rFonts w:eastAsia="Calibri" w:cstheme="minorHAnsi"/>
        </w:rPr>
        <w:t>Finanční prostředky poskytnuté z Ministerstva pro místní rozvoj, určené na předfinancování</w:t>
      </w:r>
      <w:r w:rsidR="00AB760C">
        <w:rPr>
          <w:rFonts w:eastAsia="Calibri" w:cstheme="minorHAnsi"/>
        </w:rPr>
        <w:t xml:space="preserve"> </w:t>
      </w:r>
      <w:r>
        <w:rPr>
          <w:rFonts w:eastAsia="Calibri" w:cstheme="minorHAnsi"/>
        </w:rPr>
        <w:t>projektů spolufinancovaných z EU v oblasti dopravy dle schváleného Zásobníku projektů spolufinancovaných z EU/EHP a národních zdrojů. Dotace byly poskytnuty na základě odeslaných žádostí o platbu ze strany Regionální dotační kanceláře, p.o.</w:t>
      </w:r>
    </w:p>
    <w:p w14:paraId="6F3813CC" w14:textId="77777777" w:rsidR="00DA77A7" w:rsidRDefault="00DA77A7" w:rsidP="00DA77A7">
      <w:pPr>
        <w:spacing w:after="0" w:line="240" w:lineRule="auto"/>
        <w:jc w:val="both"/>
        <w:rPr>
          <w:rFonts w:eastAsia="Calibri" w:cstheme="minorHAnsi"/>
        </w:rPr>
      </w:pPr>
    </w:p>
    <w:p w14:paraId="555C62FB" w14:textId="77777777" w:rsidR="00DA77A7" w:rsidRDefault="00DA77A7" w:rsidP="00DA77A7">
      <w:pPr>
        <w:spacing w:after="0" w:line="240" w:lineRule="auto"/>
        <w:jc w:val="both"/>
        <w:rPr>
          <w:rFonts w:eastAsia="Calibri" w:cstheme="minorHAnsi"/>
        </w:rPr>
      </w:pPr>
      <w:r>
        <w:rPr>
          <w:rFonts w:eastAsia="Calibri" w:cstheme="minorHAnsi"/>
          <w:b/>
        </w:rPr>
        <w:t>§ 2212 –</w:t>
      </w:r>
      <w:r>
        <w:rPr>
          <w:rFonts w:eastAsia="Calibri" w:cstheme="minorHAnsi"/>
          <w:b/>
          <w:bCs/>
        </w:rPr>
        <w:t xml:space="preserve"> </w:t>
      </w:r>
      <w:r>
        <w:rPr>
          <w:rFonts w:eastAsia="Calibri" w:cstheme="minorHAnsi"/>
          <w:b/>
        </w:rPr>
        <w:t>Financování dopravní infrastruktury - neinvestice (SFDI) ÚZ 91252</w:t>
      </w:r>
    </w:p>
    <w:p w14:paraId="544E2A59" w14:textId="77777777" w:rsidR="00DA77A7" w:rsidRDefault="00DA77A7" w:rsidP="00DA77A7">
      <w:pPr>
        <w:spacing w:after="0" w:line="240" w:lineRule="auto"/>
        <w:jc w:val="both"/>
        <w:rPr>
          <w:rFonts w:eastAsia="Calibri" w:cstheme="minorHAnsi"/>
        </w:rPr>
      </w:pPr>
      <w:r>
        <w:rPr>
          <w:rFonts w:eastAsia="Calibri" w:cstheme="minorHAnsi"/>
        </w:rPr>
        <w:t>Finanční prostředky poskytnuté ze Státního fondu dopravní infrastruktury jsou určené na financování neinvestiční výstavby a modernizaci silnic II. a III. třídy akcí dle přílohy ke smlouvě č. 15/2021 a č. 15S/2021 včetně dodatků. Příjemcem finančních prostředků je Krajská správa a údržba silnic Středočeského kraje, p.o., která akce realizuje.</w:t>
      </w:r>
    </w:p>
    <w:p w14:paraId="55BB7923" w14:textId="77777777" w:rsidR="00DA77A7" w:rsidRDefault="00DA77A7" w:rsidP="00DA77A7">
      <w:pPr>
        <w:spacing w:after="0" w:line="240" w:lineRule="auto"/>
        <w:jc w:val="both"/>
        <w:rPr>
          <w:rFonts w:eastAsia="Calibri" w:cstheme="minorHAnsi"/>
        </w:rPr>
      </w:pPr>
    </w:p>
    <w:p w14:paraId="142327A2" w14:textId="77777777" w:rsidR="00DA77A7" w:rsidRDefault="00DA77A7" w:rsidP="00DA77A7">
      <w:pPr>
        <w:spacing w:after="0" w:line="240" w:lineRule="auto"/>
        <w:jc w:val="both"/>
        <w:rPr>
          <w:rFonts w:eastAsia="Calibri" w:cstheme="minorHAnsi"/>
          <w:b/>
        </w:rPr>
      </w:pPr>
      <w:r>
        <w:rPr>
          <w:rFonts w:eastAsia="Calibri" w:cstheme="minorHAnsi"/>
          <w:b/>
        </w:rPr>
        <w:t>§ 2212 – Financování dopravní infrastruktury - investice (SFDI) ÚZ 91628</w:t>
      </w:r>
    </w:p>
    <w:p w14:paraId="23B42541" w14:textId="77777777" w:rsidR="00DA77A7" w:rsidRDefault="00DA77A7" w:rsidP="00DA77A7">
      <w:pPr>
        <w:spacing w:after="0" w:line="240" w:lineRule="auto"/>
        <w:jc w:val="both"/>
        <w:rPr>
          <w:rFonts w:eastAsia="Calibri" w:cstheme="minorHAnsi"/>
        </w:rPr>
      </w:pPr>
      <w:r>
        <w:rPr>
          <w:rFonts w:eastAsia="Calibri" w:cstheme="minorHAnsi"/>
        </w:rPr>
        <w:t>Finanční prostředky poskytnuté ze Státního fondu dopravní infrastruktury jsou určené na financování investiční výstavby a modernizaci silnic II. a III. třídy akcí dle příloh ke smlouvám č. 15/2021, č. 15S/2021, 15/B1/2021 a 15/B2/2021. Příjemcem finančních prostředků je Krajská správa a údržba silnic Středočeského kraje, p.o., která akce realizuje.</w:t>
      </w:r>
    </w:p>
    <w:p w14:paraId="5105F951" w14:textId="77777777" w:rsidR="00DA77A7" w:rsidRDefault="00DA77A7" w:rsidP="00DA77A7">
      <w:pPr>
        <w:spacing w:after="0" w:line="240" w:lineRule="auto"/>
        <w:jc w:val="both"/>
        <w:rPr>
          <w:rFonts w:eastAsia="Calibri" w:cstheme="minorHAnsi"/>
        </w:rPr>
      </w:pPr>
    </w:p>
    <w:p w14:paraId="6D3A75EF" w14:textId="77777777" w:rsidR="00DA77A7" w:rsidRDefault="00DA77A7" w:rsidP="00DA77A7">
      <w:pPr>
        <w:spacing w:after="0" w:line="240" w:lineRule="auto"/>
        <w:jc w:val="both"/>
        <w:outlineLvl w:val="0"/>
        <w:rPr>
          <w:rFonts w:eastAsia="Calibri" w:cstheme="minorHAnsi"/>
          <w:b/>
          <w:bCs/>
          <w:sz w:val="24"/>
          <w:szCs w:val="24"/>
          <w:u w:val="single"/>
        </w:rPr>
      </w:pPr>
      <w:r>
        <w:rPr>
          <w:rFonts w:eastAsia="Calibri" w:cstheme="minorHAnsi"/>
          <w:b/>
          <w:bCs/>
          <w:sz w:val="24"/>
          <w:szCs w:val="24"/>
          <w:u w:val="single"/>
        </w:rPr>
        <w:t>Příspěvkové organizace</w:t>
      </w:r>
    </w:p>
    <w:p w14:paraId="76CB4609" w14:textId="77777777" w:rsidR="00DA77A7" w:rsidRDefault="00DA77A7" w:rsidP="00DA77A7">
      <w:pPr>
        <w:spacing w:after="0" w:line="240" w:lineRule="auto"/>
        <w:jc w:val="both"/>
        <w:outlineLvl w:val="0"/>
        <w:rPr>
          <w:rFonts w:ascii="Times New Roman" w:eastAsia="Calibri" w:hAnsi="Times New Roman" w:cs="Times New Roman"/>
          <w:b/>
          <w:bCs/>
          <w:sz w:val="24"/>
          <w:szCs w:val="24"/>
          <w:u w:val="single"/>
        </w:rPr>
      </w:pPr>
    </w:p>
    <w:p w14:paraId="6F4ABCFB" w14:textId="77777777" w:rsidR="00DA77A7" w:rsidRDefault="00DA77A7" w:rsidP="00DA77A7">
      <w:pPr>
        <w:spacing w:after="0" w:line="240" w:lineRule="auto"/>
        <w:jc w:val="both"/>
        <w:rPr>
          <w:rFonts w:eastAsia="Calibri" w:cstheme="minorHAnsi"/>
        </w:rPr>
      </w:pPr>
      <w:r>
        <w:rPr>
          <w:rFonts w:eastAsia="Calibri" w:cstheme="minorHAnsi"/>
        </w:rPr>
        <w:t>Kapitola 04 – Doprava spravovala dvě příspěvkové organizace (Krajskou správu a údržbu silnic Středočeského kraje a Integrovanou dopravu Středočeského kraje) do 31. 3. 2021. Od 1. 4. 2021 Integrovaná doprava Středočeského kraje (IDSK), příspěvková organizace spadá pod kapitolu 26 – Veřejná mobilita.</w:t>
      </w:r>
    </w:p>
    <w:p w14:paraId="2140D0D0" w14:textId="77777777" w:rsidR="00DA77A7" w:rsidRDefault="00DA77A7" w:rsidP="00DA77A7">
      <w:pPr>
        <w:spacing w:after="0" w:line="240" w:lineRule="auto"/>
        <w:jc w:val="both"/>
        <w:rPr>
          <w:rFonts w:eastAsia="Calibri" w:cstheme="minorHAnsi"/>
        </w:rPr>
      </w:pPr>
    </w:p>
    <w:p w14:paraId="4E977721" w14:textId="77777777" w:rsidR="00DA77A7" w:rsidRDefault="00DA77A7" w:rsidP="00DA77A7">
      <w:pPr>
        <w:jc w:val="both"/>
        <w:rPr>
          <w:rFonts w:eastAsia="Calibri" w:cstheme="minorHAnsi"/>
        </w:rPr>
      </w:pPr>
      <w:r>
        <w:rPr>
          <w:rFonts w:eastAsia="Calibri" w:cstheme="minorHAnsi"/>
        </w:rPr>
        <w:t xml:space="preserve">Krajská správa a údržba silnic Středočeského kraje (KSÚS) vznikla sloučením původních čtyř příspěvkových organizací – Správa a údržba silnic Benešov, Správa a údržba silnic Kladno, Správa a údržba silnic Kutná Hora, Správa a údržba silnic </w:t>
      </w:r>
      <w:r>
        <w:rPr>
          <w:rFonts w:eastAsia="Calibri" w:cstheme="minorHAnsi"/>
        </w:rPr>
        <w:lastRenderedPageBreak/>
        <w:t xml:space="preserve">Mnichovo Hradiště. Příspěvkové organizaci byl poskytnut příspěvek na provoz v celkové výši 1 874 092 064,40 Kč. K 31. 12. 2021 vykázala PO KSÚS kladný hospodářský výsledek ve výši 28 049,77 tis. Kč </w:t>
      </w:r>
    </w:p>
    <w:p w14:paraId="23C21657" w14:textId="77777777" w:rsidR="00DA77A7" w:rsidRDefault="00DA77A7" w:rsidP="00DA77A7">
      <w:pPr>
        <w:spacing w:after="0" w:line="240" w:lineRule="auto"/>
        <w:jc w:val="both"/>
        <w:rPr>
          <w:rFonts w:eastAsia="Times New Roman" w:cstheme="minorHAnsi"/>
          <w:lang w:eastAsia="cs-CZ"/>
        </w:rPr>
      </w:pPr>
      <w:r>
        <w:rPr>
          <w:rFonts w:eastAsia="Calibri" w:cstheme="minorHAnsi"/>
          <w:bCs/>
          <w:iCs/>
        </w:rPr>
        <w:t xml:space="preserve">Integrovaná doprava Středočeského kraje (IDSK), příspěvková organizace se zabývá integrací dopravy ve Středočeském kraji, zejména řešením společné integrované dopravy Prahy a Středočeského kraje. </w:t>
      </w:r>
      <w:r>
        <w:rPr>
          <w:rFonts w:eastAsia="Calibri" w:cstheme="minorHAnsi"/>
        </w:rPr>
        <w:t xml:space="preserve">Příspěvkové organizaci byl z kapitoly 04 – Doprava za leden až březen 2021 poskytnut příspěvek na provoz v celkové výši 23 335 000,00 Kč. </w:t>
      </w:r>
    </w:p>
    <w:p w14:paraId="67DFC9EA" w14:textId="77777777" w:rsidR="00DA77A7" w:rsidRDefault="00DA77A7" w:rsidP="00DA77A7">
      <w:pPr>
        <w:spacing w:after="0" w:line="240" w:lineRule="auto"/>
        <w:jc w:val="both"/>
        <w:rPr>
          <w:rFonts w:cstheme="minorHAnsi"/>
        </w:rPr>
      </w:pPr>
    </w:p>
    <w:p w14:paraId="1F8C797C" w14:textId="77777777" w:rsidR="00033E98" w:rsidRPr="005224E3" w:rsidRDefault="00033E98" w:rsidP="004E6F95">
      <w:pPr>
        <w:jc w:val="both"/>
        <w:rPr>
          <w:rFonts w:ascii="Calibri" w:hAnsi="Calibri" w:cs="Calibri"/>
        </w:rPr>
      </w:pPr>
    </w:p>
    <w:p w14:paraId="49DB371B" w14:textId="59BDD7B6" w:rsidR="00E44FE1" w:rsidRDefault="00E44FE1" w:rsidP="00850519">
      <w:pPr>
        <w:spacing w:after="0" w:line="240" w:lineRule="auto"/>
        <w:jc w:val="both"/>
        <w:rPr>
          <w:rFonts w:cs="Calibri"/>
        </w:rPr>
      </w:pPr>
    </w:p>
    <w:p w14:paraId="63095328" w14:textId="77C810E7" w:rsidR="00DA77A7" w:rsidRDefault="00DA77A7" w:rsidP="00850519">
      <w:pPr>
        <w:spacing w:after="0" w:line="240" w:lineRule="auto"/>
        <w:jc w:val="both"/>
        <w:rPr>
          <w:rFonts w:cs="Calibri"/>
        </w:rPr>
      </w:pPr>
    </w:p>
    <w:p w14:paraId="513D52EC" w14:textId="38A2FBE1" w:rsidR="00DA77A7" w:rsidRDefault="00DA77A7" w:rsidP="00850519">
      <w:pPr>
        <w:spacing w:after="0" w:line="240" w:lineRule="auto"/>
        <w:jc w:val="both"/>
        <w:rPr>
          <w:rFonts w:cs="Calibri"/>
        </w:rPr>
      </w:pPr>
    </w:p>
    <w:p w14:paraId="5FA5BFE7" w14:textId="74BFE099" w:rsidR="00DA77A7" w:rsidRDefault="00DA77A7" w:rsidP="00850519">
      <w:pPr>
        <w:spacing w:after="0" w:line="240" w:lineRule="auto"/>
        <w:jc w:val="both"/>
        <w:rPr>
          <w:rFonts w:cs="Calibri"/>
        </w:rPr>
      </w:pPr>
    </w:p>
    <w:p w14:paraId="00184C11" w14:textId="3F2ACCAB" w:rsidR="00DA77A7" w:rsidRDefault="00DA77A7" w:rsidP="00850519">
      <w:pPr>
        <w:spacing w:after="0" w:line="240" w:lineRule="auto"/>
        <w:jc w:val="both"/>
        <w:rPr>
          <w:rFonts w:cs="Calibri"/>
        </w:rPr>
      </w:pPr>
    </w:p>
    <w:p w14:paraId="67FA8134" w14:textId="103BA181" w:rsidR="00DA77A7" w:rsidRDefault="00DA77A7" w:rsidP="00850519">
      <w:pPr>
        <w:spacing w:after="0" w:line="240" w:lineRule="auto"/>
        <w:jc w:val="both"/>
        <w:rPr>
          <w:rFonts w:cs="Calibri"/>
        </w:rPr>
      </w:pPr>
    </w:p>
    <w:p w14:paraId="5AAF7DC5" w14:textId="1978D958" w:rsidR="00DA77A7" w:rsidRDefault="00DA77A7" w:rsidP="00850519">
      <w:pPr>
        <w:spacing w:after="0" w:line="240" w:lineRule="auto"/>
        <w:jc w:val="both"/>
        <w:rPr>
          <w:rFonts w:cs="Calibri"/>
        </w:rPr>
      </w:pPr>
    </w:p>
    <w:p w14:paraId="4C36B23A" w14:textId="696029D1" w:rsidR="00DA77A7" w:rsidRDefault="00DA77A7" w:rsidP="00850519">
      <w:pPr>
        <w:spacing w:after="0" w:line="240" w:lineRule="auto"/>
        <w:jc w:val="both"/>
        <w:rPr>
          <w:rFonts w:cs="Calibri"/>
        </w:rPr>
      </w:pPr>
    </w:p>
    <w:p w14:paraId="29313375" w14:textId="5F8FE4FF" w:rsidR="00DA77A7" w:rsidRDefault="00DA77A7" w:rsidP="00850519">
      <w:pPr>
        <w:spacing w:after="0" w:line="240" w:lineRule="auto"/>
        <w:jc w:val="both"/>
        <w:rPr>
          <w:rFonts w:cs="Calibri"/>
        </w:rPr>
      </w:pPr>
    </w:p>
    <w:p w14:paraId="2E50EE25" w14:textId="71CCBD4E" w:rsidR="00DA77A7" w:rsidRDefault="00DA77A7" w:rsidP="00850519">
      <w:pPr>
        <w:spacing w:after="0" w:line="240" w:lineRule="auto"/>
        <w:jc w:val="both"/>
        <w:rPr>
          <w:rFonts w:cs="Calibri"/>
        </w:rPr>
      </w:pPr>
    </w:p>
    <w:p w14:paraId="56875E8F" w14:textId="22436C4B" w:rsidR="00DA77A7" w:rsidRDefault="00DA77A7" w:rsidP="00850519">
      <w:pPr>
        <w:spacing w:after="0" w:line="240" w:lineRule="auto"/>
        <w:jc w:val="both"/>
        <w:rPr>
          <w:rFonts w:cs="Calibri"/>
        </w:rPr>
      </w:pPr>
    </w:p>
    <w:p w14:paraId="0F9E32A5" w14:textId="43099CAA" w:rsidR="00DA77A7" w:rsidRDefault="00DA77A7" w:rsidP="00850519">
      <w:pPr>
        <w:spacing w:after="0" w:line="240" w:lineRule="auto"/>
        <w:jc w:val="both"/>
        <w:rPr>
          <w:rFonts w:cs="Calibri"/>
        </w:rPr>
      </w:pPr>
    </w:p>
    <w:p w14:paraId="62CBEC7D" w14:textId="443C633B" w:rsidR="00DA77A7" w:rsidRDefault="00DA77A7" w:rsidP="00850519">
      <w:pPr>
        <w:spacing w:after="0" w:line="240" w:lineRule="auto"/>
        <w:jc w:val="both"/>
        <w:rPr>
          <w:rFonts w:cs="Calibri"/>
        </w:rPr>
      </w:pPr>
    </w:p>
    <w:p w14:paraId="5BB7B6E2" w14:textId="31EFDDE2" w:rsidR="00DA77A7" w:rsidRDefault="00DA77A7" w:rsidP="00850519">
      <w:pPr>
        <w:spacing w:after="0" w:line="240" w:lineRule="auto"/>
        <w:jc w:val="both"/>
        <w:rPr>
          <w:rFonts w:cs="Calibri"/>
        </w:rPr>
      </w:pPr>
    </w:p>
    <w:p w14:paraId="5A200283" w14:textId="4EA57A0E" w:rsidR="00DA77A7" w:rsidRDefault="00DA77A7" w:rsidP="00850519">
      <w:pPr>
        <w:spacing w:after="0" w:line="240" w:lineRule="auto"/>
        <w:jc w:val="both"/>
        <w:rPr>
          <w:rFonts w:cs="Calibri"/>
        </w:rPr>
      </w:pPr>
    </w:p>
    <w:p w14:paraId="3D484201" w14:textId="1818EED1" w:rsidR="00B83477" w:rsidRDefault="00B83477" w:rsidP="00850519">
      <w:pPr>
        <w:spacing w:after="0" w:line="240" w:lineRule="auto"/>
        <w:jc w:val="both"/>
        <w:rPr>
          <w:rFonts w:cs="Calibri"/>
        </w:rPr>
      </w:pPr>
    </w:p>
    <w:p w14:paraId="0F8E8239" w14:textId="69268452" w:rsidR="00B83477" w:rsidRDefault="00B83477" w:rsidP="00850519">
      <w:pPr>
        <w:spacing w:after="0" w:line="240" w:lineRule="auto"/>
        <w:jc w:val="both"/>
        <w:rPr>
          <w:rFonts w:cs="Calibri"/>
        </w:rPr>
      </w:pPr>
    </w:p>
    <w:p w14:paraId="05AF1FCD" w14:textId="77777777" w:rsidR="00B83477" w:rsidRDefault="00B83477" w:rsidP="00850519">
      <w:pPr>
        <w:spacing w:after="0" w:line="240" w:lineRule="auto"/>
        <w:jc w:val="both"/>
        <w:rPr>
          <w:rFonts w:cs="Calibri"/>
        </w:rPr>
      </w:pPr>
    </w:p>
    <w:p w14:paraId="2E3CE6CD" w14:textId="716F1C90" w:rsidR="00DA77A7" w:rsidRDefault="00DA77A7" w:rsidP="00850519">
      <w:pPr>
        <w:spacing w:after="0" w:line="240" w:lineRule="auto"/>
        <w:jc w:val="both"/>
        <w:rPr>
          <w:rFonts w:cs="Calibri"/>
        </w:rPr>
      </w:pPr>
    </w:p>
    <w:p w14:paraId="4EA7B533" w14:textId="12DF4D28" w:rsidR="00DA77A7" w:rsidRDefault="00DA77A7" w:rsidP="00850519">
      <w:pPr>
        <w:spacing w:after="0" w:line="240" w:lineRule="auto"/>
        <w:jc w:val="both"/>
        <w:rPr>
          <w:rFonts w:cs="Calibri"/>
        </w:rPr>
      </w:pPr>
    </w:p>
    <w:p w14:paraId="1B9FB307" w14:textId="58A3CF8F" w:rsidR="00DA77A7" w:rsidRDefault="00DA77A7" w:rsidP="00850519">
      <w:pPr>
        <w:spacing w:after="0" w:line="240" w:lineRule="auto"/>
        <w:jc w:val="both"/>
        <w:rPr>
          <w:rFonts w:cs="Calibri"/>
        </w:rPr>
      </w:pPr>
    </w:p>
    <w:p w14:paraId="1F5E8DBF" w14:textId="0970A857" w:rsidR="00DA77A7" w:rsidRDefault="00DA77A7" w:rsidP="00850519">
      <w:pPr>
        <w:spacing w:after="0" w:line="240" w:lineRule="auto"/>
        <w:jc w:val="both"/>
        <w:rPr>
          <w:rFonts w:cs="Calibri"/>
        </w:rPr>
      </w:pPr>
    </w:p>
    <w:p w14:paraId="41F6BDD0" w14:textId="31DCB4D9" w:rsidR="00DA77A7" w:rsidRDefault="00DA77A7" w:rsidP="00850519">
      <w:pPr>
        <w:spacing w:after="0" w:line="240" w:lineRule="auto"/>
        <w:jc w:val="both"/>
        <w:rPr>
          <w:rFonts w:cs="Calibri"/>
        </w:rPr>
      </w:pPr>
    </w:p>
    <w:p w14:paraId="7B12ABF7" w14:textId="165C1958" w:rsidR="00DA77A7" w:rsidRDefault="00DA77A7" w:rsidP="00850519">
      <w:pPr>
        <w:spacing w:after="0" w:line="240" w:lineRule="auto"/>
        <w:jc w:val="both"/>
        <w:rPr>
          <w:rFonts w:cs="Calibri"/>
        </w:rPr>
      </w:pPr>
    </w:p>
    <w:p w14:paraId="66450D1F" w14:textId="02155B65" w:rsidR="00DA77A7" w:rsidRDefault="00DA77A7" w:rsidP="00850519">
      <w:pPr>
        <w:spacing w:after="0" w:line="240" w:lineRule="auto"/>
        <w:jc w:val="both"/>
        <w:rPr>
          <w:rFonts w:cs="Calibri"/>
        </w:rPr>
      </w:pPr>
    </w:p>
    <w:p w14:paraId="085FF235" w14:textId="63DB9DCA" w:rsidR="00DA77A7" w:rsidRDefault="00DA77A7" w:rsidP="00850519">
      <w:pPr>
        <w:spacing w:after="0" w:line="240" w:lineRule="auto"/>
        <w:jc w:val="both"/>
        <w:rPr>
          <w:rFonts w:cs="Calibri"/>
        </w:rPr>
      </w:pPr>
    </w:p>
    <w:p w14:paraId="7B414A9A" w14:textId="12D7ED02" w:rsidR="00DA77A7" w:rsidRDefault="00DA77A7" w:rsidP="00850519">
      <w:pPr>
        <w:spacing w:after="0" w:line="240" w:lineRule="auto"/>
        <w:jc w:val="both"/>
        <w:rPr>
          <w:rFonts w:cs="Calibri"/>
        </w:rPr>
      </w:pPr>
    </w:p>
    <w:p w14:paraId="00AC3155" w14:textId="68ED47EB" w:rsidR="00DA77A7" w:rsidRDefault="00DA77A7" w:rsidP="00850519">
      <w:pPr>
        <w:spacing w:after="0" w:line="240" w:lineRule="auto"/>
        <w:jc w:val="both"/>
        <w:rPr>
          <w:rFonts w:cs="Calibri"/>
        </w:rPr>
      </w:pPr>
    </w:p>
    <w:p w14:paraId="71ECEB7E" w14:textId="2913465F" w:rsidR="00DA77A7" w:rsidRDefault="00DA77A7" w:rsidP="00850519">
      <w:pPr>
        <w:spacing w:after="0" w:line="240" w:lineRule="auto"/>
        <w:jc w:val="both"/>
        <w:rPr>
          <w:rFonts w:cs="Calibri"/>
        </w:rPr>
      </w:pPr>
    </w:p>
    <w:p w14:paraId="637F7F41" w14:textId="2D41CB2A" w:rsidR="00DA77A7" w:rsidRDefault="00DA77A7" w:rsidP="00850519">
      <w:pPr>
        <w:spacing w:after="0" w:line="240" w:lineRule="auto"/>
        <w:jc w:val="both"/>
        <w:rPr>
          <w:rFonts w:cs="Calibri"/>
        </w:rPr>
      </w:pPr>
    </w:p>
    <w:p w14:paraId="501BC8F9" w14:textId="54F9D392" w:rsidR="00DA77A7" w:rsidRDefault="00DA77A7" w:rsidP="00850519">
      <w:pPr>
        <w:spacing w:after="0" w:line="240" w:lineRule="auto"/>
        <w:jc w:val="both"/>
        <w:rPr>
          <w:rFonts w:cs="Calibri"/>
        </w:rPr>
      </w:pPr>
    </w:p>
    <w:p w14:paraId="0F365D16" w14:textId="339DCEB0" w:rsidR="00DA77A7" w:rsidRDefault="00DA77A7" w:rsidP="00850519">
      <w:pPr>
        <w:spacing w:after="0" w:line="240" w:lineRule="auto"/>
        <w:jc w:val="both"/>
        <w:rPr>
          <w:rFonts w:cs="Calibri"/>
        </w:rPr>
      </w:pPr>
    </w:p>
    <w:p w14:paraId="480F0A88" w14:textId="0413E006" w:rsidR="00DA77A7" w:rsidRDefault="00DA77A7" w:rsidP="00850519">
      <w:pPr>
        <w:spacing w:after="0" w:line="240" w:lineRule="auto"/>
        <w:jc w:val="both"/>
        <w:rPr>
          <w:rFonts w:cs="Calibri"/>
        </w:rPr>
      </w:pPr>
    </w:p>
    <w:p w14:paraId="0985E6C7" w14:textId="70F3144A" w:rsidR="00DA77A7" w:rsidRDefault="00DA77A7" w:rsidP="00850519">
      <w:pPr>
        <w:spacing w:after="0" w:line="240" w:lineRule="auto"/>
        <w:jc w:val="both"/>
        <w:rPr>
          <w:rFonts w:cs="Calibri"/>
        </w:rPr>
      </w:pPr>
    </w:p>
    <w:p w14:paraId="385E5D55" w14:textId="172F68DD" w:rsidR="00DA77A7" w:rsidRDefault="00DA77A7" w:rsidP="00850519">
      <w:pPr>
        <w:spacing w:after="0" w:line="240" w:lineRule="auto"/>
        <w:jc w:val="both"/>
        <w:rPr>
          <w:rFonts w:cs="Calibri"/>
        </w:rPr>
      </w:pPr>
    </w:p>
    <w:p w14:paraId="10D697BE" w14:textId="2A639F11" w:rsidR="00DA77A7" w:rsidRDefault="00DA77A7" w:rsidP="00850519">
      <w:pPr>
        <w:spacing w:after="0" w:line="240" w:lineRule="auto"/>
        <w:jc w:val="both"/>
        <w:rPr>
          <w:rFonts w:cs="Calibri"/>
        </w:rPr>
      </w:pPr>
    </w:p>
    <w:p w14:paraId="4ADA0D5E" w14:textId="2A3F9FD9" w:rsidR="00B83477" w:rsidRDefault="00B83477" w:rsidP="00850519">
      <w:pPr>
        <w:spacing w:after="0" w:line="240" w:lineRule="auto"/>
        <w:jc w:val="both"/>
        <w:rPr>
          <w:rFonts w:cs="Calibri"/>
        </w:rPr>
      </w:pPr>
    </w:p>
    <w:p w14:paraId="65E4135C" w14:textId="79C78DDB" w:rsidR="00B83477" w:rsidRDefault="00B83477" w:rsidP="00850519">
      <w:pPr>
        <w:spacing w:after="0" w:line="240" w:lineRule="auto"/>
        <w:jc w:val="both"/>
        <w:rPr>
          <w:rFonts w:cs="Calibri"/>
        </w:rPr>
      </w:pPr>
    </w:p>
    <w:p w14:paraId="7799F7CD" w14:textId="68C46D61" w:rsidR="00B83477" w:rsidRDefault="00B83477" w:rsidP="00850519">
      <w:pPr>
        <w:spacing w:after="0" w:line="240" w:lineRule="auto"/>
        <w:jc w:val="both"/>
        <w:rPr>
          <w:rFonts w:cs="Calibri"/>
        </w:rPr>
      </w:pPr>
    </w:p>
    <w:p w14:paraId="52A51075" w14:textId="217539C3" w:rsidR="00B83477" w:rsidRDefault="00B83477" w:rsidP="00850519">
      <w:pPr>
        <w:spacing w:after="0" w:line="240" w:lineRule="auto"/>
        <w:jc w:val="both"/>
        <w:rPr>
          <w:rFonts w:cs="Calibri"/>
        </w:rPr>
      </w:pPr>
    </w:p>
    <w:p w14:paraId="2935BED7" w14:textId="0DE6FF26" w:rsidR="00B83477" w:rsidRDefault="00B83477" w:rsidP="00850519">
      <w:pPr>
        <w:spacing w:after="0" w:line="240" w:lineRule="auto"/>
        <w:jc w:val="both"/>
        <w:rPr>
          <w:rFonts w:cs="Calibri"/>
        </w:rPr>
      </w:pPr>
    </w:p>
    <w:p w14:paraId="71D6FB64" w14:textId="5F771A12" w:rsidR="00B83477" w:rsidRDefault="00B83477" w:rsidP="00850519">
      <w:pPr>
        <w:spacing w:after="0" w:line="240" w:lineRule="auto"/>
        <w:jc w:val="both"/>
        <w:rPr>
          <w:rFonts w:cs="Calibri"/>
        </w:rPr>
      </w:pPr>
    </w:p>
    <w:p w14:paraId="7730105C" w14:textId="09F081E0" w:rsidR="00B83477" w:rsidRDefault="00B83477" w:rsidP="00850519">
      <w:pPr>
        <w:spacing w:after="0" w:line="240" w:lineRule="auto"/>
        <w:jc w:val="both"/>
        <w:rPr>
          <w:rFonts w:cs="Calibri"/>
        </w:rPr>
      </w:pPr>
    </w:p>
    <w:p w14:paraId="6AB329F1" w14:textId="765CEBE6" w:rsidR="00B83477" w:rsidRDefault="00B83477" w:rsidP="00850519">
      <w:pPr>
        <w:spacing w:after="0" w:line="240" w:lineRule="auto"/>
        <w:jc w:val="both"/>
        <w:rPr>
          <w:rFonts w:cs="Calibri"/>
        </w:rPr>
      </w:pPr>
    </w:p>
    <w:p w14:paraId="196DAB40" w14:textId="1F4F6B27" w:rsidR="00DA77A7" w:rsidRDefault="00DA77A7" w:rsidP="00850519">
      <w:pPr>
        <w:spacing w:after="0" w:line="240" w:lineRule="auto"/>
        <w:jc w:val="both"/>
        <w:rPr>
          <w:rFonts w:cs="Calibri"/>
        </w:rPr>
      </w:pPr>
    </w:p>
    <w:p w14:paraId="44CE73C9" w14:textId="3F3CBDD6" w:rsidR="00DA77A7" w:rsidRDefault="00DA77A7" w:rsidP="00850519">
      <w:pPr>
        <w:spacing w:after="0" w:line="240" w:lineRule="auto"/>
        <w:jc w:val="both"/>
        <w:rPr>
          <w:rFonts w:cs="Calibri"/>
        </w:rPr>
      </w:pPr>
    </w:p>
    <w:tbl>
      <w:tblPr>
        <w:tblW w:w="10641" w:type="dxa"/>
        <w:tblCellMar>
          <w:left w:w="70" w:type="dxa"/>
          <w:right w:w="70" w:type="dxa"/>
        </w:tblCellMar>
        <w:tblLook w:val="04A0" w:firstRow="1" w:lastRow="0" w:firstColumn="1" w:lastColumn="0" w:noHBand="0" w:noVBand="1"/>
      </w:tblPr>
      <w:tblGrid>
        <w:gridCol w:w="1231"/>
        <w:gridCol w:w="4085"/>
        <w:gridCol w:w="1394"/>
        <w:gridCol w:w="1671"/>
        <w:gridCol w:w="1684"/>
        <w:gridCol w:w="647"/>
      </w:tblGrid>
      <w:tr w:rsidR="00DA77A7" w:rsidRPr="00DA77A7" w14:paraId="39C34E15" w14:textId="77777777" w:rsidTr="0042584A">
        <w:trPr>
          <w:trHeight w:val="403"/>
        </w:trPr>
        <w:tc>
          <w:tcPr>
            <w:tcW w:w="10641" w:type="dxa"/>
            <w:gridSpan w:val="6"/>
            <w:tcBorders>
              <w:top w:val="nil"/>
              <w:left w:val="nil"/>
              <w:bottom w:val="nil"/>
              <w:right w:val="nil"/>
            </w:tcBorders>
            <w:shd w:val="clear" w:color="auto" w:fill="auto"/>
            <w:noWrap/>
            <w:vAlign w:val="center"/>
            <w:hideMark/>
          </w:tcPr>
          <w:p w14:paraId="36AA2E69" w14:textId="77777777" w:rsidR="00DA77A7" w:rsidRPr="00DA77A7" w:rsidRDefault="00DA77A7" w:rsidP="00DA77A7">
            <w:pPr>
              <w:spacing w:after="0" w:line="240" w:lineRule="auto"/>
              <w:jc w:val="center"/>
              <w:rPr>
                <w:rFonts w:ascii="Calibri" w:eastAsia="Times New Roman" w:hAnsi="Calibri" w:cs="Arial"/>
                <w:b/>
                <w:bCs/>
                <w:sz w:val="28"/>
                <w:szCs w:val="28"/>
                <w:lang w:eastAsia="cs-CZ"/>
              </w:rPr>
            </w:pPr>
            <w:r w:rsidRPr="00DA77A7">
              <w:rPr>
                <w:rFonts w:ascii="Calibri" w:eastAsia="Times New Roman" w:hAnsi="Calibri" w:cs="Arial"/>
                <w:b/>
                <w:bCs/>
                <w:sz w:val="28"/>
                <w:szCs w:val="28"/>
                <w:lang w:eastAsia="cs-CZ"/>
              </w:rPr>
              <w:t>Čerpání rozpočtu kapitoly 05 - Školství - období: 1. - 12. 2021</w:t>
            </w:r>
          </w:p>
        </w:tc>
      </w:tr>
      <w:tr w:rsidR="00AF5B41" w:rsidRPr="00DA77A7" w14:paraId="6B1F16EC" w14:textId="77777777" w:rsidTr="0042584A">
        <w:trPr>
          <w:trHeight w:val="360"/>
        </w:trPr>
        <w:tc>
          <w:tcPr>
            <w:tcW w:w="1231" w:type="dxa"/>
            <w:tcBorders>
              <w:top w:val="nil"/>
              <w:left w:val="nil"/>
              <w:bottom w:val="nil"/>
              <w:right w:val="nil"/>
            </w:tcBorders>
            <w:shd w:val="clear" w:color="auto" w:fill="auto"/>
            <w:noWrap/>
            <w:vAlign w:val="bottom"/>
            <w:hideMark/>
          </w:tcPr>
          <w:p w14:paraId="1497509A" w14:textId="77777777" w:rsidR="00DA77A7" w:rsidRPr="00DA77A7" w:rsidRDefault="00DA77A7" w:rsidP="00DA77A7">
            <w:pPr>
              <w:spacing w:after="0" w:line="240" w:lineRule="auto"/>
              <w:jc w:val="center"/>
              <w:rPr>
                <w:rFonts w:ascii="Calibri" w:eastAsia="Times New Roman" w:hAnsi="Calibri" w:cs="Arial"/>
                <w:b/>
                <w:bCs/>
                <w:sz w:val="28"/>
                <w:szCs w:val="28"/>
                <w:lang w:eastAsia="cs-CZ"/>
              </w:rPr>
            </w:pPr>
          </w:p>
        </w:tc>
        <w:tc>
          <w:tcPr>
            <w:tcW w:w="4085" w:type="dxa"/>
            <w:tcBorders>
              <w:top w:val="nil"/>
              <w:left w:val="nil"/>
              <w:bottom w:val="nil"/>
              <w:right w:val="nil"/>
            </w:tcBorders>
            <w:shd w:val="clear" w:color="auto" w:fill="auto"/>
            <w:noWrap/>
            <w:vAlign w:val="bottom"/>
            <w:hideMark/>
          </w:tcPr>
          <w:p w14:paraId="0BFBD6AD" w14:textId="77777777" w:rsidR="00DA77A7" w:rsidRPr="00DA77A7" w:rsidRDefault="00DA77A7" w:rsidP="00DA77A7">
            <w:pPr>
              <w:spacing w:after="0" w:line="240" w:lineRule="auto"/>
              <w:rPr>
                <w:rFonts w:ascii="Times New Roman" w:eastAsia="Times New Roman" w:hAnsi="Times New Roman" w:cs="Times New Roman"/>
                <w:sz w:val="20"/>
                <w:szCs w:val="20"/>
                <w:lang w:eastAsia="cs-CZ"/>
              </w:rPr>
            </w:pPr>
          </w:p>
        </w:tc>
        <w:tc>
          <w:tcPr>
            <w:tcW w:w="1394" w:type="dxa"/>
            <w:tcBorders>
              <w:top w:val="nil"/>
              <w:left w:val="nil"/>
              <w:bottom w:val="nil"/>
              <w:right w:val="nil"/>
            </w:tcBorders>
            <w:shd w:val="clear" w:color="auto" w:fill="auto"/>
            <w:noWrap/>
            <w:vAlign w:val="bottom"/>
            <w:hideMark/>
          </w:tcPr>
          <w:p w14:paraId="57675D33" w14:textId="77777777" w:rsidR="00DA77A7" w:rsidRPr="00DA77A7" w:rsidRDefault="00DA77A7" w:rsidP="00DA77A7">
            <w:pPr>
              <w:spacing w:after="0" w:line="240" w:lineRule="auto"/>
              <w:rPr>
                <w:rFonts w:ascii="Times New Roman" w:eastAsia="Times New Roman" w:hAnsi="Times New Roman" w:cs="Times New Roman"/>
                <w:sz w:val="20"/>
                <w:szCs w:val="20"/>
                <w:lang w:eastAsia="cs-CZ"/>
              </w:rPr>
            </w:pPr>
          </w:p>
        </w:tc>
        <w:tc>
          <w:tcPr>
            <w:tcW w:w="1671" w:type="dxa"/>
            <w:tcBorders>
              <w:top w:val="nil"/>
              <w:left w:val="nil"/>
              <w:bottom w:val="nil"/>
              <w:right w:val="nil"/>
            </w:tcBorders>
            <w:shd w:val="clear" w:color="auto" w:fill="auto"/>
            <w:noWrap/>
            <w:vAlign w:val="bottom"/>
            <w:hideMark/>
          </w:tcPr>
          <w:p w14:paraId="336F49C4" w14:textId="77777777" w:rsidR="00DA77A7" w:rsidRPr="00DA77A7" w:rsidRDefault="00DA77A7" w:rsidP="00DA77A7">
            <w:pPr>
              <w:spacing w:after="0" w:line="240" w:lineRule="auto"/>
              <w:rPr>
                <w:rFonts w:ascii="Times New Roman" w:eastAsia="Times New Roman" w:hAnsi="Times New Roman" w:cs="Times New Roman"/>
                <w:sz w:val="20"/>
                <w:szCs w:val="20"/>
                <w:lang w:eastAsia="cs-CZ"/>
              </w:rPr>
            </w:pPr>
          </w:p>
        </w:tc>
        <w:tc>
          <w:tcPr>
            <w:tcW w:w="1684" w:type="dxa"/>
            <w:tcBorders>
              <w:top w:val="nil"/>
              <w:left w:val="nil"/>
              <w:bottom w:val="nil"/>
              <w:right w:val="nil"/>
            </w:tcBorders>
            <w:shd w:val="clear" w:color="auto" w:fill="auto"/>
            <w:noWrap/>
            <w:vAlign w:val="bottom"/>
            <w:hideMark/>
          </w:tcPr>
          <w:p w14:paraId="4F6DAEAE" w14:textId="77777777" w:rsidR="00DA77A7" w:rsidRPr="00DA77A7" w:rsidRDefault="00DA77A7" w:rsidP="00DA77A7">
            <w:pPr>
              <w:spacing w:after="0" w:line="240" w:lineRule="auto"/>
              <w:rPr>
                <w:rFonts w:ascii="Times New Roman" w:eastAsia="Times New Roman" w:hAnsi="Times New Roman" w:cs="Times New Roman"/>
                <w:sz w:val="20"/>
                <w:szCs w:val="20"/>
                <w:lang w:eastAsia="cs-CZ"/>
              </w:rPr>
            </w:pPr>
          </w:p>
        </w:tc>
        <w:tc>
          <w:tcPr>
            <w:tcW w:w="576" w:type="dxa"/>
            <w:tcBorders>
              <w:top w:val="nil"/>
              <w:left w:val="nil"/>
              <w:bottom w:val="nil"/>
              <w:right w:val="nil"/>
            </w:tcBorders>
            <w:shd w:val="clear" w:color="auto" w:fill="auto"/>
            <w:noWrap/>
            <w:vAlign w:val="bottom"/>
            <w:hideMark/>
          </w:tcPr>
          <w:p w14:paraId="3DD3382E" w14:textId="77777777" w:rsidR="00DA77A7" w:rsidRPr="00DA77A7" w:rsidRDefault="00DA77A7" w:rsidP="00DA77A7">
            <w:pPr>
              <w:spacing w:after="0" w:line="240" w:lineRule="auto"/>
              <w:jc w:val="right"/>
              <w:rPr>
                <w:rFonts w:ascii="Calibri" w:eastAsia="Times New Roman" w:hAnsi="Calibri" w:cs="Arial"/>
                <w:lang w:eastAsia="cs-CZ"/>
              </w:rPr>
            </w:pPr>
            <w:r w:rsidRPr="00DA77A7">
              <w:rPr>
                <w:rFonts w:ascii="Calibri" w:eastAsia="Times New Roman" w:hAnsi="Calibri" w:cs="Arial"/>
                <w:lang w:eastAsia="cs-CZ"/>
              </w:rPr>
              <w:t xml:space="preserve"> v Kč</w:t>
            </w:r>
          </w:p>
        </w:tc>
      </w:tr>
      <w:tr w:rsidR="00AF5B41" w:rsidRPr="00DA77A7" w14:paraId="44F07755" w14:textId="77777777" w:rsidTr="0042584A">
        <w:trPr>
          <w:trHeight w:val="705"/>
        </w:trPr>
        <w:tc>
          <w:tcPr>
            <w:tcW w:w="1231" w:type="dxa"/>
            <w:tcBorders>
              <w:top w:val="single" w:sz="8" w:space="0" w:color="auto"/>
              <w:left w:val="single" w:sz="8" w:space="0" w:color="auto"/>
              <w:bottom w:val="single" w:sz="8" w:space="0" w:color="auto"/>
              <w:right w:val="single" w:sz="8" w:space="0" w:color="auto"/>
            </w:tcBorders>
            <w:shd w:val="clear" w:color="000000" w:fill="CCFFCC"/>
            <w:noWrap/>
            <w:vAlign w:val="center"/>
            <w:hideMark/>
          </w:tcPr>
          <w:p w14:paraId="22BF5040" w14:textId="77777777" w:rsidR="00DA77A7" w:rsidRPr="00DA77A7" w:rsidRDefault="00DA77A7" w:rsidP="00DA77A7">
            <w:pPr>
              <w:spacing w:after="0" w:line="240" w:lineRule="auto"/>
              <w:jc w:val="center"/>
              <w:rPr>
                <w:rFonts w:ascii="Calibri" w:eastAsia="Times New Roman" w:hAnsi="Calibri" w:cs="Arial"/>
                <w:sz w:val="20"/>
                <w:szCs w:val="20"/>
                <w:lang w:eastAsia="cs-CZ"/>
              </w:rPr>
            </w:pPr>
            <w:r w:rsidRPr="00DA77A7">
              <w:rPr>
                <w:rFonts w:ascii="Calibri" w:eastAsia="Times New Roman" w:hAnsi="Calibri" w:cs="Arial"/>
                <w:sz w:val="20"/>
                <w:szCs w:val="20"/>
                <w:lang w:eastAsia="cs-CZ"/>
              </w:rPr>
              <w:t>Paragraf</w:t>
            </w:r>
          </w:p>
        </w:tc>
        <w:tc>
          <w:tcPr>
            <w:tcW w:w="4085" w:type="dxa"/>
            <w:tcBorders>
              <w:top w:val="single" w:sz="8" w:space="0" w:color="auto"/>
              <w:left w:val="nil"/>
              <w:bottom w:val="single" w:sz="8" w:space="0" w:color="auto"/>
              <w:right w:val="single" w:sz="8" w:space="0" w:color="auto"/>
            </w:tcBorders>
            <w:shd w:val="clear" w:color="000000" w:fill="CCFFCC"/>
            <w:noWrap/>
            <w:vAlign w:val="center"/>
            <w:hideMark/>
          </w:tcPr>
          <w:p w14:paraId="20766C1D" w14:textId="77777777" w:rsidR="00DA77A7" w:rsidRPr="00DA77A7" w:rsidRDefault="00DA77A7" w:rsidP="00DA77A7">
            <w:pPr>
              <w:spacing w:after="0" w:line="240" w:lineRule="auto"/>
              <w:jc w:val="center"/>
              <w:rPr>
                <w:rFonts w:ascii="Calibri" w:eastAsia="Times New Roman" w:hAnsi="Calibri" w:cs="Arial"/>
                <w:sz w:val="20"/>
                <w:szCs w:val="20"/>
                <w:lang w:eastAsia="cs-CZ"/>
              </w:rPr>
            </w:pPr>
            <w:r w:rsidRPr="00DA77A7">
              <w:rPr>
                <w:rFonts w:ascii="Calibri" w:eastAsia="Times New Roman" w:hAnsi="Calibri" w:cs="Arial"/>
                <w:sz w:val="20"/>
                <w:szCs w:val="20"/>
                <w:lang w:eastAsia="cs-CZ"/>
              </w:rPr>
              <w:t>Oblast rozpočtu</w:t>
            </w:r>
          </w:p>
        </w:tc>
        <w:tc>
          <w:tcPr>
            <w:tcW w:w="1394" w:type="dxa"/>
            <w:tcBorders>
              <w:top w:val="single" w:sz="8" w:space="0" w:color="auto"/>
              <w:left w:val="nil"/>
              <w:bottom w:val="single" w:sz="8" w:space="0" w:color="auto"/>
              <w:right w:val="single" w:sz="8" w:space="0" w:color="auto"/>
            </w:tcBorders>
            <w:shd w:val="clear" w:color="000000" w:fill="CCFFCC"/>
            <w:vAlign w:val="center"/>
            <w:hideMark/>
          </w:tcPr>
          <w:p w14:paraId="7A1E453C" w14:textId="77777777" w:rsidR="00DA77A7" w:rsidRPr="00DA77A7" w:rsidRDefault="00DA77A7" w:rsidP="00DA77A7">
            <w:pPr>
              <w:spacing w:after="0" w:line="240" w:lineRule="auto"/>
              <w:jc w:val="center"/>
              <w:rPr>
                <w:rFonts w:ascii="Calibri" w:eastAsia="Times New Roman" w:hAnsi="Calibri" w:cs="Arial"/>
                <w:sz w:val="20"/>
                <w:szCs w:val="20"/>
                <w:lang w:eastAsia="cs-CZ"/>
              </w:rPr>
            </w:pPr>
            <w:r w:rsidRPr="00DA77A7">
              <w:rPr>
                <w:rFonts w:ascii="Calibri" w:eastAsia="Times New Roman" w:hAnsi="Calibri" w:cs="Arial"/>
                <w:sz w:val="20"/>
                <w:szCs w:val="20"/>
                <w:lang w:eastAsia="cs-CZ"/>
              </w:rPr>
              <w:t>Schválený rozpočet</w:t>
            </w:r>
          </w:p>
        </w:tc>
        <w:tc>
          <w:tcPr>
            <w:tcW w:w="1671" w:type="dxa"/>
            <w:tcBorders>
              <w:top w:val="single" w:sz="8" w:space="0" w:color="auto"/>
              <w:left w:val="nil"/>
              <w:bottom w:val="single" w:sz="8" w:space="0" w:color="auto"/>
              <w:right w:val="single" w:sz="8" w:space="0" w:color="auto"/>
            </w:tcBorders>
            <w:shd w:val="clear" w:color="000000" w:fill="CCFFCC"/>
            <w:vAlign w:val="center"/>
            <w:hideMark/>
          </w:tcPr>
          <w:p w14:paraId="7653118B" w14:textId="77777777" w:rsidR="00DA77A7" w:rsidRPr="00DA77A7" w:rsidRDefault="00DA77A7" w:rsidP="00DA77A7">
            <w:pPr>
              <w:spacing w:after="0" w:line="240" w:lineRule="auto"/>
              <w:jc w:val="center"/>
              <w:rPr>
                <w:rFonts w:ascii="Calibri" w:eastAsia="Times New Roman" w:hAnsi="Calibri" w:cs="Arial"/>
                <w:sz w:val="20"/>
                <w:szCs w:val="20"/>
                <w:lang w:eastAsia="cs-CZ"/>
              </w:rPr>
            </w:pPr>
            <w:r w:rsidRPr="00DA77A7">
              <w:rPr>
                <w:rFonts w:ascii="Calibri" w:eastAsia="Times New Roman" w:hAnsi="Calibri" w:cs="Arial"/>
                <w:sz w:val="20"/>
                <w:szCs w:val="20"/>
                <w:lang w:eastAsia="cs-CZ"/>
              </w:rPr>
              <w:t>Rozpočet po úpravě</w:t>
            </w:r>
          </w:p>
        </w:tc>
        <w:tc>
          <w:tcPr>
            <w:tcW w:w="1684" w:type="dxa"/>
            <w:tcBorders>
              <w:top w:val="single" w:sz="8" w:space="0" w:color="auto"/>
              <w:left w:val="nil"/>
              <w:bottom w:val="single" w:sz="8" w:space="0" w:color="auto"/>
              <w:right w:val="single" w:sz="8" w:space="0" w:color="auto"/>
            </w:tcBorders>
            <w:shd w:val="clear" w:color="000000" w:fill="CCFFCC"/>
            <w:vAlign w:val="center"/>
            <w:hideMark/>
          </w:tcPr>
          <w:p w14:paraId="6BD50059" w14:textId="77777777" w:rsidR="00DA77A7" w:rsidRPr="00DA77A7" w:rsidRDefault="00DA77A7" w:rsidP="00DA77A7">
            <w:pPr>
              <w:spacing w:after="0" w:line="240" w:lineRule="auto"/>
              <w:jc w:val="center"/>
              <w:rPr>
                <w:rFonts w:ascii="Calibri" w:eastAsia="Times New Roman" w:hAnsi="Calibri" w:cs="Arial"/>
                <w:sz w:val="20"/>
                <w:szCs w:val="20"/>
                <w:lang w:eastAsia="cs-CZ"/>
              </w:rPr>
            </w:pPr>
            <w:r w:rsidRPr="00DA77A7">
              <w:rPr>
                <w:rFonts w:ascii="Calibri" w:eastAsia="Times New Roman" w:hAnsi="Calibri" w:cs="Arial"/>
                <w:sz w:val="20"/>
                <w:szCs w:val="20"/>
                <w:lang w:eastAsia="cs-CZ"/>
              </w:rPr>
              <w:t xml:space="preserve">Skutečnost </w:t>
            </w:r>
          </w:p>
        </w:tc>
        <w:tc>
          <w:tcPr>
            <w:tcW w:w="576" w:type="dxa"/>
            <w:tcBorders>
              <w:top w:val="single" w:sz="8" w:space="0" w:color="auto"/>
              <w:left w:val="nil"/>
              <w:bottom w:val="single" w:sz="8" w:space="0" w:color="auto"/>
              <w:right w:val="single" w:sz="8" w:space="0" w:color="auto"/>
            </w:tcBorders>
            <w:shd w:val="clear" w:color="000000" w:fill="CCFFCC"/>
            <w:vAlign w:val="center"/>
            <w:hideMark/>
          </w:tcPr>
          <w:p w14:paraId="657B441A" w14:textId="77777777" w:rsidR="00DA77A7" w:rsidRPr="00DA77A7" w:rsidRDefault="00DA77A7" w:rsidP="00DA77A7">
            <w:pPr>
              <w:spacing w:after="0" w:line="240" w:lineRule="auto"/>
              <w:jc w:val="center"/>
              <w:rPr>
                <w:rFonts w:ascii="Calibri" w:eastAsia="Times New Roman" w:hAnsi="Calibri" w:cs="Arial"/>
                <w:sz w:val="20"/>
                <w:szCs w:val="20"/>
                <w:lang w:eastAsia="cs-CZ"/>
              </w:rPr>
            </w:pPr>
            <w:r w:rsidRPr="00DA77A7">
              <w:rPr>
                <w:rFonts w:ascii="Calibri" w:eastAsia="Times New Roman" w:hAnsi="Calibri" w:cs="Arial"/>
                <w:sz w:val="20"/>
                <w:szCs w:val="20"/>
                <w:lang w:eastAsia="cs-CZ"/>
              </w:rPr>
              <w:t>% plnění</w:t>
            </w:r>
          </w:p>
        </w:tc>
      </w:tr>
      <w:tr w:rsidR="00AF5B41" w:rsidRPr="00DA77A7" w14:paraId="600BA351" w14:textId="77777777" w:rsidTr="0042584A">
        <w:trPr>
          <w:trHeight w:val="360"/>
        </w:trPr>
        <w:tc>
          <w:tcPr>
            <w:tcW w:w="1231" w:type="dxa"/>
            <w:tcBorders>
              <w:top w:val="nil"/>
              <w:left w:val="nil"/>
              <w:bottom w:val="nil"/>
              <w:right w:val="nil"/>
            </w:tcBorders>
            <w:shd w:val="clear" w:color="auto" w:fill="auto"/>
            <w:noWrap/>
            <w:vAlign w:val="bottom"/>
            <w:hideMark/>
          </w:tcPr>
          <w:p w14:paraId="581EC235" w14:textId="77777777" w:rsidR="00DA77A7" w:rsidRPr="00DA77A7" w:rsidRDefault="00DA77A7" w:rsidP="00DA77A7">
            <w:pPr>
              <w:spacing w:after="0" w:line="240" w:lineRule="auto"/>
              <w:jc w:val="center"/>
              <w:rPr>
                <w:rFonts w:ascii="Calibri" w:eastAsia="Times New Roman" w:hAnsi="Calibri" w:cs="Arial"/>
                <w:sz w:val="20"/>
                <w:szCs w:val="20"/>
                <w:lang w:eastAsia="cs-CZ"/>
              </w:rPr>
            </w:pPr>
          </w:p>
        </w:tc>
        <w:tc>
          <w:tcPr>
            <w:tcW w:w="4085" w:type="dxa"/>
            <w:tcBorders>
              <w:top w:val="nil"/>
              <w:left w:val="nil"/>
              <w:bottom w:val="nil"/>
              <w:right w:val="nil"/>
            </w:tcBorders>
            <w:shd w:val="clear" w:color="auto" w:fill="auto"/>
            <w:noWrap/>
            <w:vAlign w:val="bottom"/>
            <w:hideMark/>
          </w:tcPr>
          <w:p w14:paraId="2F0D4C4A" w14:textId="77777777" w:rsidR="00DA77A7" w:rsidRPr="00DA77A7" w:rsidRDefault="00DA77A7" w:rsidP="00DA77A7">
            <w:pPr>
              <w:spacing w:after="0" w:line="240" w:lineRule="auto"/>
              <w:rPr>
                <w:rFonts w:ascii="Calibri" w:eastAsia="Times New Roman" w:hAnsi="Calibri" w:cs="Arial"/>
                <w:b/>
                <w:bCs/>
                <w:lang w:eastAsia="cs-CZ"/>
              </w:rPr>
            </w:pPr>
            <w:r w:rsidRPr="00DA77A7">
              <w:rPr>
                <w:rFonts w:ascii="Calibri" w:eastAsia="Times New Roman" w:hAnsi="Calibri" w:cs="Arial"/>
                <w:b/>
                <w:bCs/>
                <w:lang w:eastAsia="cs-CZ"/>
              </w:rPr>
              <w:t xml:space="preserve">Běžné výdaje </w:t>
            </w:r>
          </w:p>
        </w:tc>
        <w:tc>
          <w:tcPr>
            <w:tcW w:w="1394" w:type="dxa"/>
            <w:tcBorders>
              <w:top w:val="nil"/>
              <w:left w:val="nil"/>
              <w:bottom w:val="nil"/>
              <w:right w:val="nil"/>
            </w:tcBorders>
            <w:shd w:val="clear" w:color="auto" w:fill="auto"/>
            <w:noWrap/>
            <w:vAlign w:val="bottom"/>
            <w:hideMark/>
          </w:tcPr>
          <w:p w14:paraId="2C346EFA" w14:textId="77777777" w:rsidR="00DA77A7" w:rsidRPr="00DA77A7" w:rsidRDefault="00DA77A7" w:rsidP="00DA77A7">
            <w:pPr>
              <w:spacing w:after="0" w:line="240" w:lineRule="auto"/>
              <w:rPr>
                <w:rFonts w:ascii="Calibri" w:eastAsia="Times New Roman" w:hAnsi="Calibri" w:cs="Arial"/>
                <w:b/>
                <w:bCs/>
                <w:lang w:eastAsia="cs-CZ"/>
              </w:rPr>
            </w:pPr>
          </w:p>
        </w:tc>
        <w:tc>
          <w:tcPr>
            <w:tcW w:w="1671" w:type="dxa"/>
            <w:tcBorders>
              <w:top w:val="nil"/>
              <w:left w:val="nil"/>
              <w:bottom w:val="nil"/>
              <w:right w:val="nil"/>
            </w:tcBorders>
            <w:shd w:val="clear" w:color="auto" w:fill="auto"/>
            <w:noWrap/>
            <w:vAlign w:val="bottom"/>
            <w:hideMark/>
          </w:tcPr>
          <w:p w14:paraId="72923A38" w14:textId="77777777" w:rsidR="00DA77A7" w:rsidRPr="00DA77A7" w:rsidRDefault="00DA77A7" w:rsidP="00DA77A7">
            <w:pPr>
              <w:spacing w:after="0" w:line="240" w:lineRule="auto"/>
              <w:rPr>
                <w:rFonts w:ascii="Times New Roman" w:eastAsia="Times New Roman" w:hAnsi="Times New Roman" w:cs="Times New Roman"/>
                <w:sz w:val="20"/>
                <w:szCs w:val="20"/>
                <w:lang w:eastAsia="cs-CZ"/>
              </w:rPr>
            </w:pPr>
          </w:p>
        </w:tc>
        <w:tc>
          <w:tcPr>
            <w:tcW w:w="1684" w:type="dxa"/>
            <w:tcBorders>
              <w:top w:val="nil"/>
              <w:left w:val="nil"/>
              <w:bottom w:val="nil"/>
              <w:right w:val="nil"/>
            </w:tcBorders>
            <w:shd w:val="clear" w:color="auto" w:fill="auto"/>
            <w:noWrap/>
            <w:vAlign w:val="bottom"/>
            <w:hideMark/>
          </w:tcPr>
          <w:p w14:paraId="6ED06888" w14:textId="77777777" w:rsidR="00DA77A7" w:rsidRPr="00DA77A7" w:rsidRDefault="00DA77A7" w:rsidP="00DA77A7">
            <w:pPr>
              <w:spacing w:after="0" w:line="240" w:lineRule="auto"/>
              <w:rPr>
                <w:rFonts w:ascii="Times New Roman" w:eastAsia="Times New Roman" w:hAnsi="Times New Roman" w:cs="Times New Roman"/>
                <w:sz w:val="20"/>
                <w:szCs w:val="20"/>
                <w:lang w:eastAsia="cs-CZ"/>
              </w:rPr>
            </w:pPr>
          </w:p>
        </w:tc>
        <w:tc>
          <w:tcPr>
            <w:tcW w:w="576" w:type="dxa"/>
            <w:tcBorders>
              <w:top w:val="nil"/>
              <w:left w:val="nil"/>
              <w:bottom w:val="nil"/>
              <w:right w:val="nil"/>
            </w:tcBorders>
            <w:shd w:val="clear" w:color="auto" w:fill="auto"/>
            <w:noWrap/>
            <w:vAlign w:val="bottom"/>
            <w:hideMark/>
          </w:tcPr>
          <w:p w14:paraId="4C4722B7" w14:textId="77777777" w:rsidR="00DA77A7" w:rsidRPr="00DA77A7" w:rsidRDefault="00DA77A7" w:rsidP="00DA77A7">
            <w:pPr>
              <w:spacing w:after="0" w:line="240" w:lineRule="auto"/>
              <w:rPr>
                <w:rFonts w:ascii="Times New Roman" w:eastAsia="Times New Roman" w:hAnsi="Times New Roman" w:cs="Times New Roman"/>
                <w:sz w:val="20"/>
                <w:szCs w:val="20"/>
                <w:lang w:eastAsia="cs-CZ"/>
              </w:rPr>
            </w:pPr>
          </w:p>
        </w:tc>
      </w:tr>
      <w:tr w:rsidR="00AF5B41" w:rsidRPr="00DA77A7" w14:paraId="56D0A721" w14:textId="77777777" w:rsidTr="0042584A">
        <w:trPr>
          <w:trHeight w:val="520"/>
        </w:trPr>
        <w:tc>
          <w:tcPr>
            <w:tcW w:w="1231" w:type="dxa"/>
            <w:tcBorders>
              <w:top w:val="single" w:sz="8" w:space="0" w:color="auto"/>
              <w:left w:val="single" w:sz="8" w:space="0" w:color="auto"/>
              <w:bottom w:val="single" w:sz="4" w:space="0" w:color="auto"/>
              <w:right w:val="single" w:sz="4" w:space="0" w:color="auto"/>
            </w:tcBorders>
            <w:shd w:val="clear" w:color="auto" w:fill="auto"/>
            <w:vAlign w:val="bottom"/>
            <w:hideMark/>
          </w:tcPr>
          <w:p w14:paraId="3985364A" w14:textId="77777777" w:rsidR="00DA77A7" w:rsidRPr="00DA77A7" w:rsidRDefault="00DA77A7" w:rsidP="00DA77A7">
            <w:pPr>
              <w:spacing w:after="0" w:line="240" w:lineRule="auto"/>
              <w:jc w:val="center"/>
              <w:rPr>
                <w:rFonts w:ascii="Calibri" w:eastAsia="Times New Roman" w:hAnsi="Calibri" w:cs="Arial"/>
                <w:b/>
                <w:bCs/>
                <w:i/>
                <w:iCs/>
                <w:sz w:val="20"/>
                <w:szCs w:val="20"/>
                <w:lang w:eastAsia="cs-CZ"/>
              </w:rPr>
            </w:pPr>
            <w:r w:rsidRPr="00DA77A7">
              <w:rPr>
                <w:rFonts w:ascii="Calibri" w:eastAsia="Times New Roman" w:hAnsi="Calibri" w:cs="Arial"/>
                <w:b/>
                <w:bCs/>
                <w:i/>
                <w:iCs/>
                <w:sz w:val="20"/>
                <w:szCs w:val="20"/>
                <w:lang w:eastAsia="cs-CZ"/>
              </w:rPr>
              <w:t> </w:t>
            </w:r>
          </w:p>
        </w:tc>
        <w:tc>
          <w:tcPr>
            <w:tcW w:w="4085" w:type="dxa"/>
            <w:tcBorders>
              <w:top w:val="single" w:sz="8" w:space="0" w:color="auto"/>
              <w:left w:val="nil"/>
              <w:bottom w:val="single" w:sz="4" w:space="0" w:color="auto"/>
              <w:right w:val="single" w:sz="4" w:space="0" w:color="auto"/>
            </w:tcBorders>
            <w:shd w:val="clear" w:color="auto" w:fill="auto"/>
            <w:vAlign w:val="bottom"/>
            <w:hideMark/>
          </w:tcPr>
          <w:p w14:paraId="468082E2" w14:textId="77777777" w:rsidR="00DA77A7" w:rsidRPr="00DA77A7" w:rsidRDefault="00DA77A7" w:rsidP="00DA77A7">
            <w:pPr>
              <w:spacing w:after="0" w:line="240" w:lineRule="auto"/>
              <w:rPr>
                <w:rFonts w:ascii="Calibri" w:eastAsia="Times New Roman" w:hAnsi="Calibri" w:cs="Arial"/>
                <w:sz w:val="20"/>
                <w:szCs w:val="20"/>
                <w:lang w:eastAsia="cs-CZ"/>
              </w:rPr>
            </w:pPr>
            <w:r w:rsidRPr="00DA77A7">
              <w:rPr>
                <w:rFonts w:ascii="Calibri" w:eastAsia="Times New Roman" w:hAnsi="Calibri" w:cs="Arial"/>
                <w:sz w:val="20"/>
                <w:szCs w:val="20"/>
                <w:lang w:eastAsia="cs-CZ"/>
              </w:rPr>
              <w:t>Příspěvek příspěvkovým organizacím na provoz škol zřizovaných SK</w:t>
            </w:r>
          </w:p>
        </w:tc>
        <w:tc>
          <w:tcPr>
            <w:tcW w:w="1394" w:type="dxa"/>
            <w:tcBorders>
              <w:top w:val="single" w:sz="8" w:space="0" w:color="auto"/>
              <w:left w:val="nil"/>
              <w:bottom w:val="single" w:sz="4" w:space="0" w:color="auto"/>
              <w:right w:val="single" w:sz="4" w:space="0" w:color="auto"/>
            </w:tcBorders>
            <w:shd w:val="clear" w:color="auto" w:fill="auto"/>
            <w:noWrap/>
            <w:vAlign w:val="bottom"/>
            <w:hideMark/>
          </w:tcPr>
          <w:p w14:paraId="4B29F550"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465 055 000</w:t>
            </w:r>
          </w:p>
        </w:tc>
        <w:tc>
          <w:tcPr>
            <w:tcW w:w="1671" w:type="dxa"/>
            <w:tcBorders>
              <w:top w:val="single" w:sz="8" w:space="0" w:color="auto"/>
              <w:left w:val="nil"/>
              <w:bottom w:val="single" w:sz="4" w:space="0" w:color="auto"/>
              <w:right w:val="single" w:sz="4" w:space="0" w:color="auto"/>
            </w:tcBorders>
            <w:shd w:val="clear" w:color="auto" w:fill="auto"/>
            <w:noWrap/>
            <w:vAlign w:val="bottom"/>
            <w:hideMark/>
          </w:tcPr>
          <w:p w14:paraId="23B4D668"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544 502 074,37</w:t>
            </w:r>
          </w:p>
        </w:tc>
        <w:tc>
          <w:tcPr>
            <w:tcW w:w="1684" w:type="dxa"/>
            <w:tcBorders>
              <w:top w:val="single" w:sz="8" w:space="0" w:color="auto"/>
              <w:left w:val="nil"/>
              <w:bottom w:val="single" w:sz="4" w:space="0" w:color="auto"/>
              <w:right w:val="single" w:sz="4" w:space="0" w:color="auto"/>
            </w:tcBorders>
            <w:shd w:val="clear" w:color="auto" w:fill="auto"/>
            <w:noWrap/>
            <w:vAlign w:val="bottom"/>
            <w:hideMark/>
          </w:tcPr>
          <w:p w14:paraId="6B920D2D"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542 937 604,00</w:t>
            </w:r>
          </w:p>
        </w:tc>
        <w:tc>
          <w:tcPr>
            <w:tcW w:w="576" w:type="dxa"/>
            <w:tcBorders>
              <w:top w:val="single" w:sz="8" w:space="0" w:color="auto"/>
              <w:left w:val="nil"/>
              <w:bottom w:val="single" w:sz="4" w:space="0" w:color="auto"/>
              <w:right w:val="single" w:sz="8" w:space="0" w:color="auto"/>
            </w:tcBorders>
            <w:shd w:val="clear" w:color="auto" w:fill="auto"/>
            <w:noWrap/>
            <w:vAlign w:val="bottom"/>
            <w:hideMark/>
          </w:tcPr>
          <w:p w14:paraId="5D10566E"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99,7</w:t>
            </w:r>
          </w:p>
        </w:tc>
      </w:tr>
      <w:tr w:rsidR="00DA77A7" w:rsidRPr="00DA77A7" w14:paraId="3C981AEB"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1DA88FC8" w14:textId="77777777" w:rsidR="00DA77A7" w:rsidRPr="00DA77A7" w:rsidRDefault="00DA77A7" w:rsidP="00DA77A7">
            <w:pPr>
              <w:spacing w:after="0" w:line="240" w:lineRule="auto"/>
              <w:jc w:val="center"/>
              <w:rPr>
                <w:rFonts w:ascii="Calibri" w:eastAsia="Times New Roman" w:hAnsi="Calibri" w:cs="Arial"/>
                <w:b/>
                <w:bCs/>
                <w:i/>
                <w:iCs/>
                <w:sz w:val="20"/>
                <w:szCs w:val="20"/>
                <w:lang w:eastAsia="cs-CZ"/>
              </w:rPr>
            </w:pPr>
            <w:r w:rsidRPr="00DA77A7">
              <w:rPr>
                <w:rFonts w:ascii="Calibri" w:eastAsia="Times New Roman" w:hAnsi="Calibri" w:cs="Arial"/>
                <w:b/>
                <w:bCs/>
                <w:i/>
                <w:iCs/>
                <w:sz w:val="20"/>
                <w:szCs w:val="20"/>
                <w:lang w:eastAsia="cs-CZ"/>
              </w:rPr>
              <w:t> </w:t>
            </w:r>
          </w:p>
        </w:tc>
        <w:tc>
          <w:tcPr>
            <w:tcW w:w="9410" w:type="dxa"/>
            <w:gridSpan w:val="5"/>
            <w:tcBorders>
              <w:top w:val="single" w:sz="4" w:space="0" w:color="auto"/>
              <w:left w:val="nil"/>
              <w:bottom w:val="single" w:sz="4" w:space="0" w:color="auto"/>
              <w:right w:val="single" w:sz="8" w:space="0" w:color="000000"/>
            </w:tcBorders>
            <w:shd w:val="clear" w:color="auto" w:fill="auto"/>
            <w:vAlign w:val="bottom"/>
            <w:hideMark/>
          </w:tcPr>
          <w:p w14:paraId="66A0A99F" w14:textId="77777777" w:rsidR="00DA77A7" w:rsidRPr="00DA77A7" w:rsidRDefault="00DA77A7" w:rsidP="00DA77A7">
            <w:pPr>
              <w:spacing w:after="0" w:line="240" w:lineRule="auto"/>
              <w:rPr>
                <w:rFonts w:ascii="Calibri" w:eastAsia="Times New Roman" w:hAnsi="Calibri" w:cs="Arial"/>
                <w:sz w:val="20"/>
                <w:szCs w:val="20"/>
                <w:lang w:eastAsia="cs-CZ"/>
              </w:rPr>
            </w:pPr>
            <w:r w:rsidRPr="00DA77A7">
              <w:rPr>
                <w:rFonts w:ascii="Calibri" w:eastAsia="Times New Roman" w:hAnsi="Calibri" w:cs="Arial"/>
                <w:sz w:val="20"/>
                <w:szCs w:val="20"/>
                <w:lang w:eastAsia="cs-CZ"/>
              </w:rPr>
              <w:t>z toho:</w:t>
            </w:r>
          </w:p>
        </w:tc>
      </w:tr>
      <w:tr w:rsidR="00AF5B41" w:rsidRPr="00DA77A7" w14:paraId="42F33481" w14:textId="77777777" w:rsidTr="0042584A">
        <w:trPr>
          <w:trHeight w:val="52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324D8143"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3112</w:t>
            </w:r>
          </w:p>
        </w:tc>
        <w:tc>
          <w:tcPr>
            <w:tcW w:w="4085" w:type="dxa"/>
            <w:tcBorders>
              <w:top w:val="nil"/>
              <w:left w:val="nil"/>
              <w:bottom w:val="single" w:sz="4" w:space="0" w:color="auto"/>
              <w:right w:val="single" w:sz="4" w:space="0" w:color="auto"/>
            </w:tcBorders>
            <w:shd w:val="clear" w:color="auto" w:fill="auto"/>
            <w:vAlign w:val="bottom"/>
            <w:hideMark/>
          </w:tcPr>
          <w:p w14:paraId="6264C3A6"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Mateřské školy pro děti se speciálními vzdělávacími potřebami</w:t>
            </w:r>
          </w:p>
        </w:tc>
        <w:tc>
          <w:tcPr>
            <w:tcW w:w="1394" w:type="dxa"/>
            <w:tcBorders>
              <w:top w:val="nil"/>
              <w:left w:val="nil"/>
              <w:bottom w:val="single" w:sz="4" w:space="0" w:color="auto"/>
              <w:right w:val="single" w:sz="4" w:space="0" w:color="auto"/>
            </w:tcBorders>
            <w:shd w:val="clear" w:color="auto" w:fill="auto"/>
            <w:noWrap/>
            <w:vAlign w:val="bottom"/>
            <w:hideMark/>
          </w:tcPr>
          <w:p w14:paraId="4EB2AF1D"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2 009 000</w:t>
            </w:r>
          </w:p>
        </w:tc>
        <w:tc>
          <w:tcPr>
            <w:tcW w:w="1671" w:type="dxa"/>
            <w:tcBorders>
              <w:top w:val="nil"/>
              <w:left w:val="nil"/>
              <w:bottom w:val="single" w:sz="4" w:space="0" w:color="auto"/>
              <w:right w:val="single" w:sz="4" w:space="0" w:color="auto"/>
            </w:tcBorders>
            <w:shd w:val="clear" w:color="auto" w:fill="auto"/>
            <w:noWrap/>
            <w:vAlign w:val="bottom"/>
            <w:hideMark/>
          </w:tcPr>
          <w:p w14:paraId="37F4D662"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2 556 326,00</w:t>
            </w:r>
          </w:p>
        </w:tc>
        <w:tc>
          <w:tcPr>
            <w:tcW w:w="1684" w:type="dxa"/>
            <w:tcBorders>
              <w:top w:val="nil"/>
              <w:left w:val="nil"/>
              <w:bottom w:val="single" w:sz="4" w:space="0" w:color="auto"/>
              <w:right w:val="single" w:sz="4" w:space="0" w:color="auto"/>
            </w:tcBorders>
            <w:shd w:val="clear" w:color="auto" w:fill="auto"/>
            <w:noWrap/>
            <w:vAlign w:val="bottom"/>
            <w:hideMark/>
          </w:tcPr>
          <w:p w14:paraId="46D14831"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2 556 326,00</w:t>
            </w:r>
          </w:p>
        </w:tc>
        <w:tc>
          <w:tcPr>
            <w:tcW w:w="576" w:type="dxa"/>
            <w:tcBorders>
              <w:top w:val="nil"/>
              <w:left w:val="nil"/>
              <w:bottom w:val="single" w:sz="4" w:space="0" w:color="auto"/>
              <w:right w:val="single" w:sz="8" w:space="0" w:color="auto"/>
            </w:tcBorders>
            <w:shd w:val="clear" w:color="auto" w:fill="auto"/>
            <w:noWrap/>
            <w:vAlign w:val="bottom"/>
            <w:hideMark/>
          </w:tcPr>
          <w:p w14:paraId="65CB4A6D"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100,0</w:t>
            </w:r>
          </w:p>
        </w:tc>
      </w:tr>
      <w:tr w:rsidR="00AF5B41" w:rsidRPr="00DA77A7" w14:paraId="3AEA4BAE" w14:textId="77777777" w:rsidTr="0042584A">
        <w:trPr>
          <w:trHeight w:val="52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07320AD7"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3114</w:t>
            </w:r>
          </w:p>
        </w:tc>
        <w:tc>
          <w:tcPr>
            <w:tcW w:w="4085" w:type="dxa"/>
            <w:tcBorders>
              <w:top w:val="nil"/>
              <w:left w:val="nil"/>
              <w:bottom w:val="single" w:sz="4" w:space="0" w:color="auto"/>
              <w:right w:val="single" w:sz="4" w:space="0" w:color="auto"/>
            </w:tcBorders>
            <w:shd w:val="clear" w:color="auto" w:fill="auto"/>
            <w:vAlign w:val="bottom"/>
            <w:hideMark/>
          </w:tcPr>
          <w:p w14:paraId="25D682A5"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Základní školy pro žáky se speciálními vzdělávacími potřebami</w:t>
            </w:r>
          </w:p>
        </w:tc>
        <w:tc>
          <w:tcPr>
            <w:tcW w:w="1394" w:type="dxa"/>
            <w:tcBorders>
              <w:top w:val="nil"/>
              <w:left w:val="nil"/>
              <w:bottom w:val="single" w:sz="4" w:space="0" w:color="auto"/>
              <w:right w:val="single" w:sz="4" w:space="0" w:color="auto"/>
            </w:tcBorders>
            <w:shd w:val="clear" w:color="auto" w:fill="auto"/>
            <w:noWrap/>
            <w:vAlign w:val="bottom"/>
            <w:hideMark/>
          </w:tcPr>
          <w:p w14:paraId="315EB1AF"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38 153 000</w:t>
            </w:r>
          </w:p>
        </w:tc>
        <w:tc>
          <w:tcPr>
            <w:tcW w:w="1671" w:type="dxa"/>
            <w:tcBorders>
              <w:top w:val="nil"/>
              <w:left w:val="nil"/>
              <w:bottom w:val="single" w:sz="4" w:space="0" w:color="auto"/>
              <w:right w:val="single" w:sz="4" w:space="0" w:color="auto"/>
            </w:tcBorders>
            <w:shd w:val="clear" w:color="auto" w:fill="auto"/>
            <w:noWrap/>
            <w:vAlign w:val="bottom"/>
            <w:hideMark/>
          </w:tcPr>
          <w:p w14:paraId="18D353D4"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47 969 889,00</w:t>
            </w:r>
          </w:p>
        </w:tc>
        <w:tc>
          <w:tcPr>
            <w:tcW w:w="1684" w:type="dxa"/>
            <w:tcBorders>
              <w:top w:val="nil"/>
              <w:left w:val="nil"/>
              <w:bottom w:val="single" w:sz="4" w:space="0" w:color="auto"/>
              <w:right w:val="single" w:sz="4" w:space="0" w:color="auto"/>
            </w:tcBorders>
            <w:shd w:val="clear" w:color="auto" w:fill="auto"/>
            <w:noWrap/>
            <w:vAlign w:val="bottom"/>
            <w:hideMark/>
          </w:tcPr>
          <w:p w14:paraId="7E43A9E7"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47 969 889,00</w:t>
            </w:r>
          </w:p>
        </w:tc>
        <w:tc>
          <w:tcPr>
            <w:tcW w:w="576" w:type="dxa"/>
            <w:tcBorders>
              <w:top w:val="nil"/>
              <w:left w:val="nil"/>
              <w:bottom w:val="single" w:sz="4" w:space="0" w:color="auto"/>
              <w:right w:val="single" w:sz="8" w:space="0" w:color="auto"/>
            </w:tcBorders>
            <w:shd w:val="clear" w:color="auto" w:fill="auto"/>
            <w:noWrap/>
            <w:vAlign w:val="bottom"/>
            <w:hideMark/>
          </w:tcPr>
          <w:p w14:paraId="04DA0479"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100,0</w:t>
            </w:r>
          </w:p>
        </w:tc>
      </w:tr>
      <w:tr w:rsidR="00AF5B41" w:rsidRPr="00DA77A7" w14:paraId="4CC0589C"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4966351E"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3121</w:t>
            </w:r>
          </w:p>
        </w:tc>
        <w:tc>
          <w:tcPr>
            <w:tcW w:w="4085" w:type="dxa"/>
            <w:tcBorders>
              <w:top w:val="nil"/>
              <w:left w:val="nil"/>
              <w:bottom w:val="single" w:sz="4" w:space="0" w:color="auto"/>
              <w:right w:val="single" w:sz="4" w:space="0" w:color="auto"/>
            </w:tcBorders>
            <w:shd w:val="clear" w:color="auto" w:fill="auto"/>
            <w:vAlign w:val="bottom"/>
            <w:hideMark/>
          </w:tcPr>
          <w:p w14:paraId="711090BE"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Gymnázia</w:t>
            </w:r>
          </w:p>
        </w:tc>
        <w:tc>
          <w:tcPr>
            <w:tcW w:w="1394" w:type="dxa"/>
            <w:tcBorders>
              <w:top w:val="nil"/>
              <w:left w:val="nil"/>
              <w:bottom w:val="single" w:sz="4" w:space="0" w:color="auto"/>
              <w:right w:val="single" w:sz="4" w:space="0" w:color="auto"/>
            </w:tcBorders>
            <w:shd w:val="clear" w:color="auto" w:fill="auto"/>
            <w:noWrap/>
            <w:vAlign w:val="bottom"/>
            <w:hideMark/>
          </w:tcPr>
          <w:p w14:paraId="238DC8DA"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68 857 000</w:t>
            </w:r>
          </w:p>
        </w:tc>
        <w:tc>
          <w:tcPr>
            <w:tcW w:w="1671" w:type="dxa"/>
            <w:tcBorders>
              <w:top w:val="nil"/>
              <w:left w:val="nil"/>
              <w:bottom w:val="single" w:sz="4" w:space="0" w:color="auto"/>
              <w:right w:val="single" w:sz="4" w:space="0" w:color="auto"/>
            </w:tcBorders>
            <w:shd w:val="clear" w:color="auto" w:fill="auto"/>
            <w:noWrap/>
            <w:vAlign w:val="bottom"/>
            <w:hideMark/>
          </w:tcPr>
          <w:p w14:paraId="115F288B"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83 453 339,00</w:t>
            </w:r>
          </w:p>
        </w:tc>
        <w:tc>
          <w:tcPr>
            <w:tcW w:w="1684" w:type="dxa"/>
            <w:tcBorders>
              <w:top w:val="nil"/>
              <w:left w:val="nil"/>
              <w:bottom w:val="single" w:sz="4" w:space="0" w:color="auto"/>
              <w:right w:val="single" w:sz="4" w:space="0" w:color="auto"/>
            </w:tcBorders>
            <w:shd w:val="clear" w:color="auto" w:fill="auto"/>
            <w:noWrap/>
            <w:vAlign w:val="bottom"/>
            <w:hideMark/>
          </w:tcPr>
          <w:p w14:paraId="0AA30BB4"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83 453 339,00</w:t>
            </w:r>
          </w:p>
        </w:tc>
        <w:tc>
          <w:tcPr>
            <w:tcW w:w="576" w:type="dxa"/>
            <w:tcBorders>
              <w:top w:val="nil"/>
              <w:left w:val="nil"/>
              <w:bottom w:val="single" w:sz="4" w:space="0" w:color="auto"/>
              <w:right w:val="single" w:sz="8" w:space="0" w:color="auto"/>
            </w:tcBorders>
            <w:shd w:val="clear" w:color="auto" w:fill="auto"/>
            <w:noWrap/>
            <w:vAlign w:val="bottom"/>
            <w:hideMark/>
          </w:tcPr>
          <w:p w14:paraId="2C04BC81"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100,0</w:t>
            </w:r>
          </w:p>
        </w:tc>
      </w:tr>
      <w:tr w:rsidR="00AF5B41" w:rsidRPr="00DA77A7" w14:paraId="50BB7229"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0A1437E9"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3122</w:t>
            </w:r>
          </w:p>
        </w:tc>
        <w:tc>
          <w:tcPr>
            <w:tcW w:w="4085" w:type="dxa"/>
            <w:tcBorders>
              <w:top w:val="nil"/>
              <w:left w:val="nil"/>
              <w:bottom w:val="single" w:sz="4" w:space="0" w:color="auto"/>
              <w:right w:val="single" w:sz="4" w:space="0" w:color="auto"/>
            </w:tcBorders>
            <w:shd w:val="clear" w:color="auto" w:fill="auto"/>
            <w:vAlign w:val="bottom"/>
            <w:hideMark/>
          </w:tcPr>
          <w:p w14:paraId="44B193F3"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Střední odborné školy</w:t>
            </w:r>
          </w:p>
        </w:tc>
        <w:tc>
          <w:tcPr>
            <w:tcW w:w="1394" w:type="dxa"/>
            <w:tcBorders>
              <w:top w:val="nil"/>
              <w:left w:val="nil"/>
              <w:bottom w:val="single" w:sz="4" w:space="0" w:color="auto"/>
              <w:right w:val="single" w:sz="4" w:space="0" w:color="auto"/>
            </w:tcBorders>
            <w:shd w:val="clear" w:color="auto" w:fill="auto"/>
            <w:noWrap/>
            <w:vAlign w:val="bottom"/>
            <w:hideMark/>
          </w:tcPr>
          <w:p w14:paraId="6B85B4DB"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122 787 000</w:t>
            </w:r>
          </w:p>
        </w:tc>
        <w:tc>
          <w:tcPr>
            <w:tcW w:w="1671" w:type="dxa"/>
            <w:tcBorders>
              <w:top w:val="nil"/>
              <w:left w:val="nil"/>
              <w:bottom w:val="single" w:sz="4" w:space="0" w:color="auto"/>
              <w:right w:val="single" w:sz="4" w:space="0" w:color="auto"/>
            </w:tcBorders>
            <w:shd w:val="clear" w:color="auto" w:fill="auto"/>
            <w:noWrap/>
            <w:vAlign w:val="bottom"/>
            <w:hideMark/>
          </w:tcPr>
          <w:p w14:paraId="03781EC3"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151 163 123,00</w:t>
            </w:r>
          </w:p>
        </w:tc>
        <w:tc>
          <w:tcPr>
            <w:tcW w:w="1684" w:type="dxa"/>
            <w:tcBorders>
              <w:top w:val="nil"/>
              <w:left w:val="nil"/>
              <w:bottom w:val="single" w:sz="4" w:space="0" w:color="auto"/>
              <w:right w:val="single" w:sz="4" w:space="0" w:color="auto"/>
            </w:tcBorders>
            <w:shd w:val="clear" w:color="auto" w:fill="auto"/>
            <w:noWrap/>
            <w:vAlign w:val="bottom"/>
            <w:hideMark/>
          </w:tcPr>
          <w:p w14:paraId="3240D337"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151 163 123,00</w:t>
            </w:r>
          </w:p>
        </w:tc>
        <w:tc>
          <w:tcPr>
            <w:tcW w:w="576" w:type="dxa"/>
            <w:tcBorders>
              <w:top w:val="nil"/>
              <w:left w:val="nil"/>
              <w:bottom w:val="single" w:sz="4" w:space="0" w:color="auto"/>
              <w:right w:val="single" w:sz="8" w:space="0" w:color="auto"/>
            </w:tcBorders>
            <w:shd w:val="clear" w:color="auto" w:fill="auto"/>
            <w:noWrap/>
            <w:vAlign w:val="bottom"/>
            <w:hideMark/>
          </w:tcPr>
          <w:p w14:paraId="7BF3BD8B"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100,0</w:t>
            </w:r>
          </w:p>
        </w:tc>
      </w:tr>
      <w:tr w:rsidR="00AF5B41" w:rsidRPr="00DA77A7" w14:paraId="2D427416"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421761B1"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3123</w:t>
            </w:r>
          </w:p>
        </w:tc>
        <w:tc>
          <w:tcPr>
            <w:tcW w:w="4085" w:type="dxa"/>
            <w:tcBorders>
              <w:top w:val="nil"/>
              <w:left w:val="nil"/>
              <w:bottom w:val="single" w:sz="4" w:space="0" w:color="auto"/>
              <w:right w:val="single" w:sz="4" w:space="0" w:color="auto"/>
            </w:tcBorders>
            <w:shd w:val="clear" w:color="auto" w:fill="auto"/>
            <w:vAlign w:val="bottom"/>
            <w:hideMark/>
          </w:tcPr>
          <w:p w14:paraId="160B9221"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Střední školy poskytující střední vzdělání s výučním listem</w:t>
            </w:r>
          </w:p>
        </w:tc>
        <w:tc>
          <w:tcPr>
            <w:tcW w:w="1394" w:type="dxa"/>
            <w:tcBorders>
              <w:top w:val="nil"/>
              <w:left w:val="nil"/>
              <w:bottom w:val="single" w:sz="4" w:space="0" w:color="auto"/>
              <w:right w:val="single" w:sz="4" w:space="0" w:color="auto"/>
            </w:tcBorders>
            <w:shd w:val="clear" w:color="auto" w:fill="auto"/>
            <w:noWrap/>
            <w:vAlign w:val="bottom"/>
            <w:hideMark/>
          </w:tcPr>
          <w:p w14:paraId="54F1B2C3"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151 706 000</w:t>
            </w:r>
          </w:p>
        </w:tc>
        <w:tc>
          <w:tcPr>
            <w:tcW w:w="1671" w:type="dxa"/>
            <w:tcBorders>
              <w:top w:val="nil"/>
              <w:left w:val="nil"/>
              <w:bottom w:val="single" w:sz="4" w:space="0" w:color="auto"/>
              <w:right w:val="single" w:sz="4" w:space="0" w:color="auto"/>
            </w:tcBorders>
            <w:shd w:val="clear" w:color="auto" w:fill="auto"/>
            <w:noWrap/>
            <w:vAlign w:val="bottom"/>
            <w:hideMark/>
          </w:tcPr>
          <w:p w14:paraId="5763B436"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179 432 485,00</w:t>
            </w:r>
          </w:p>
        </w:tc>
        <w:tc>
          <w:tcPr>
            <w:tcW w:w="1684" w:type="dxa"/>
            <w:tcBorders>
              <w:top w:val="nil"/>
              <w:left w:val="nil"/>
              <w:bottom w:val="single" w:sz="4" w:space="0" w:color="auto"/>
              <w:right w:val="single" w:sz="4" w:space="0" w:color="auto"/>
            </w:tcBorders>
            <w:shd w:val="clear" w:color="auto" w:fill="auto"/>
            <w:noWrap/>
            <w:vAlign w:val="bottom"/>
            <w:hideMark/>
          </w:tcPr>
          <w:p w14:paraId="27055F80"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179 432 485,00</w:t>
            </w:r>
          </w:p>
        </w:tc>
        <w:tc>
          <w:tcPr>
            <w:tcW w:w="576" w:type="dxa"/>
            <w:tcBorders>
              <w:top w:val="nil"/>
              <w:left w:val="nil"/>
              <w:bottom w:val="single" w:sz="4" w:space="0" w:color="auto"/>
              <w:right w:val="single" w:sz="8" w:space="0" w:color="auto"/>
            </w:tcBorders>
            <w:shd w:val="clear" w:color="auto" w:fill="auto"/>
            <w:noWrap/>
            <w:vAlign w:val="bottom"/>
            <w:hideMark/>
          </w:tcPr>
          <w:p w14:paraId="142D69D9"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100,0</w:t>
            </w:r>
          </w:p>
        </w:tc>
      </w:tr>
      <w:tr w:rsidR="00AF5B41" w:rsidRPr="00DA77A7" w14:paraId="7C4A8E95"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696C4A0E"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3125</w:t>
            </w:r>
          </w:p>
        </w:tc>
        <w:tc>
          <w:tcPr>
            <w:tcW w:w="4085" w:type="dxa"/>
            <w:tcBorders>
              <w:top w:val="nil"/>
              <w:left w:val="nil"/>
              <w:bottom w:val="single" w:sz="4" w:space="0" w:color="auto"/>
              <w:right w:val="single" w:sz="4" w:space="0" w:color="auto"/>
            </w:tcBorders>
            <w:shd w:val="clear" w:color="auto" w:fill="auto"/>
            <w:vAlign w:val="bottom"/>
            <w:hideMark/>
          </w:tcPr>
          <w:p w14:paraId="7A61E1A9"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Střediska praktického vyučování a školní hospodářství</w:t>
            </w:r>
          </w:p>
        </w:tc>
        <w:tc>
          <w:tcPr>
            <w:tcW w:w="1394" w:type="dxa"/>
            <w:tcBorders>
              <w:top w:val="nil"/>
              <w:left w:val="nil"/>
              <w:bottom w:val="single" w:sz="4" w:space="0" w:color="auto"/>
              <w:right w:val="single" w:sz="4" w:space="0" w:color="auto"/>
            </w:tcBorders>
            <w:shd w:val="clear" w:color="auto" w:fill="auto"/>
            <w:noWrap/>
            <w:vAlign w:val="bottom"/>
            <w:hideMark/>
          </w:tcPr>
          <w:p w14:paraId="181B03C9"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6 463 000</w:t>
            </w:r>
          </w:p>
        </w:tc>
        <w:tc>
          <w:tcPr>
            <w:tcW w:w="1671" w:type="dxa"/>
            <w:tcBorders>
              <w:top w:val="nil"/>
              <w:left w:val="nil"/>
              <w:bottom w:val="single" w:sz="4" w:space="0" w:color="auto"/>
              <w:right w:val="single" w:sz="4" w:space="0" w:color="auto"/>
            </w:tcBorders>
            <w:shd w:val="clear" w:color="auto" w:fill="auto"/>
            <w:noWrap/>
            <w:vAlign w:val="bottom"/>
            <w:hideMark/>
          </w:tcPr>
          <w:p w14:paraId="5F6D055E"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16 612 077,00</w:t>
            </w:r>
          </w:p>
        </w:tc>
        <w:tc>
          <w:tcPr>
            <w:tcW w:w="1684" w:type="dxa"/>
            <w:tcBorders>
              <w:top w:val="nil"/>
              <w:left w:val="nil"/>
              <w:bottom w:val="single" w:sz="4" w:space="0" w:color="auto"/>
              <w:right w:val="single" w:sz="4" w:space="0" w:color="auto"/>
            </w:tcBorders>
            <w:shd w:val="clear" w:color="auto" w:fill="auto"/>
            <w:noWrap/>
            <w:vAlign w:val="bottom"/>
            <w:hideMark/>
          </w:tcPr>
          <w:p w14:paraId="7473CEB2"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16 612 077,00</w:t>
            </w:r>
          </w:p>
        </w:tc>
        <w:tc>
          <w:tcPr>
            <w:tcW w:w="576" w:type="dxa"/>
            <w:tcBorders>
              <w:top w:val="nil"/>
              <w:left w:val="nil"/>
              <w:bottom w:val="single" w:sz="4" w:space="0" w:color="auto"/>
              <w:right w:val="single" w:sz="8" w:space="0" w:color="auto"/>
            </w:tcBorders>
            <w:shd w:val="clear" w:color="auto" w:fill="auto"/>
            <w:noWrap/>
            <w:vAlign w:val="bottom"/>
            <w:hideMark/>
          </w:tcPr>
          <w:p w14:paraId="19CD83EB"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100,0</w:t>
            </w:r>
          </w:p>
        </w:tc>
      </w:tr>
      <w:tr w:rsidR="00AF5B41" w:rsidRPr="00DA77A7" w14:paraId="1007A023"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534CDD85"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3133</w:t>
            </w:r>
          </w:p>
        </w:tc>
        <w:tc>
          <w:tcPr>
            <w:tcW w:w="4085" w:type="dxa"/>
            <w:tcBorders>
              <w:top w:val="nil"/>
              <w:left w:val="nil"/>
              <w:bottom w:val="single" w:sz="4" w:space="0" w:color="auto"/>
              <w:right w:val="single" w:sz="4" w:space="0" w:color="auto"/>
            </w:tcBorders>
            <w:shd w:val="clear" w:color="auto" w:fill="auto"/>
            <w:vAlign w:val="bottom"/>
            <w:hideMark/>
          </w:tcPr>
          <w:p w14:paraId="46DB06AA"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Dětské domovy</w:t>
            </w:r>
          </w:p>
        </w:tc>
        <w:tc>
          <w:tcPr>
            <w:tcW w:w="1394" w:type="dxa"/>
            <w:tcBorders>
              <w:top w:val="nil"/>
              <w:left w:val="nil"/>
              <w:bottom w:val="single" w:sz="4" w:space="0" w:color="auto"/>
              <w:right w:val="single" w:sz="4" w:space="0" w:color="auto"/>
            </w:tcBorders>
            <w:shd w:val="clear" w:color="auto" w:fill="auto"/>
            <w:noWrap/>
            <w:vAlign w:val="bottom"/>
            <w:hideMark/>
          </w:tcPr>
          <w:p w14:paraId="5B9B8F4F"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25 308 000</w:t>
            </w:r>
          </w:p>
        </w:tc>
        <w:tc>
          <w:tcPr>
            <w:tcW w:w="1671" w:type="dxa"/>
            <w:tcBorders>
              <w:top w:val="nil"/>
              <w:left w:val="nil"/>
              <w:bottom w:val="single" w:sz="4" w:space="0" w:color="auto"/>
              <w:right w:val="single" w:sz="4" w:space="0" w:color="auto"/>
            </w:tcBorders>
            <w:shd w:val="clear" w:color="auto" w:fill="auto"/>
            <w:noWrap/>
            <w:vAlign w:val="bottom"/>
            <w:hideMark/>
          </w:tcPr>
          <w:p w14:paraId="79D5A496"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31 627 412,00</w:t>
            </w:r>
          </w:p>
        </w:tc>
        <w:tc>
          <w:tcPr>
            <w:tcW w:w="1684" w:type="dxa"/>
            <w:tcBorders>
              <w:top w:val="nil"/>
              <w:left w:val="nil"/>
              <w:bottom w:val="single" w:sz="4" w:space="0" w:color="auto"/>
              <w:right w:val="single" w:sz="4" w:space="0" w:color="auto"/>
            </w:tcBorders>
            <w:shd w:val="clear" w:color="auto" w:fill="auto"/>
            <w:noWrap/>
            <w:vAlign w:val="bottom"/>
            <w:hideMark/>
          </w:tcPr>
          <w:p w14:paraId="1417F4FF"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31 627 412,00</w:t>
            </w:r>
          </w:p>
        </w:tc>
        <w:tc>
          <w:tcPr>
            <w:tcW w:w="576" w:type="dxa"/>
            <w:tcBorders>
              <w:top w:val="nil"/>
              <w:left w:val="nil"/>
              <w:bottom w:val="single" w:sz="4" w:space="0" w:color="auto"/>
              <w:right w:val="single" w:sz="8" w:space="0" w:color="auto"/>
            </w:tcBorders>
            <w:shd w:val="clear" w:color="auto" w:fill="auto"/>
            <w:noWrap/>
            <w:vAlign w:val="bottom"/>
            <w:hideMark/>
          </w:tcPr>
          <w:p w14:paraId="761EA0B1"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100,0</w:t>
            </w:r>
          </w:p>
        </w:tc>
      </w:tr>
      <w:tr w:rsidR="00AF5B41" w:rsidRPr="00DA77A7" w14:paraId="7A67BAD4"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0F971FAE"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3146</w:t>
            </w:r>
          </w:p>
        </w:tc>
        <w:tc>
          <w:tcPr>
            <w:tcW w:w="4085" w:type="dxa"/>
            <w:tcBorders>
              <w:top w:val="nil"/>
              <w:left w:val="nil"/>
              <w:bottom w:val="single" w:sz="4" w:space="0" w:color="auto"/>
              <w:right w:val="single" w:sz="4" w:space="0" w:color="auto"/>
            </w:tcBorders>
            <w:shd w:val="clear" w:color="auto" w:fill="auto"/>
            <w:vAlign w:val="bottom"/>
            <w:hideMark/>
          </w:tcPr>
          <w:p w14:paraId="33A71C32"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Zařízení výchovného poradenství</w:t>
            </w:r>
          </w:p>
        </w:tc>
        <w:tc>
          <w:tcPr>
            <w:tcW w:w="1394" w:type="dxa"/>
            <w:tcBorders>
              <w:top w:val="nil"/>
              <w:left w:val="nil"/>
              <w:bottom w:val="single" w:sz="4" w:space="0" w:color="auto"/>
              <w:right w:val="single" w:sz="4" w:space="0" w:color="auto"/>
            </w:tcBorders>
            <w:shd w:val="clear" w:color="auto" w:fill="auto"/>
            <w:noWrap/>
            <w:vAlign w:val="bottom"/>
            <w:hideMark/>
          </w:tcPr>
          <w:p w14:paraId="2CF176AB"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4 469 000</w:t>
            </w:r>
          </w:p>
        </w:tc>
        <w:tc>
          <w:tcPr>
            <w:tcW w:w="1671" w:type="dxa"/>
            <w:tcBorders>
              <w:top w:val="nil"/>
              <w:left w:val="nil"/>
              <w:bottom w:val="single" w:sz="4" w:space="0" w:color="auto"/>
              <w:right w:val="single" w:sz="4" w:space="0" w:color="auto"/>
            </w:tcBorders>
            <w:shd w:val="clear" w:color="auto" w:fill="auto"/>
            <w:noWrap/>
            <w:vAlign w:val="bottom"/>
            <w:hideMark/>
          </w:tcPr>
          <w:p w14:paraId="4662430E"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5 974 633,00</w:t>
            </w:r>
          </w:p>
        </w:tc>
        <w:tc>
          <w:tcPr>
            <w:tcW w:w="1684" w:type="dxa"/>
            <w:tcBorders>
              <w:top w:val="nil"/>
              <w:left w:val="nil"/>
              <w:bottom w:val="single" w:sz="4" w:space="0" w:color="auto"/>
              <w:right w:val="single" w:sz="4" w:space="0" w:color="auto"/>
            </w:tcBorders>
            <w:shd w:val="clear" w:color="auto" w:fill="auto"/>
            <w:noWrap/>
            <w:vAlign w:val="bottom"/>
            <w:hideMark/>
          </w:tcPr>
          <w:p w14:paraId="42B34E1F"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5 974 633,00</w:t>
            </w:r>
          </w:p>
        </w:tc>
        <w:tc>
          <w:tcPr>
            <w:tcW w:w="576" w:type="dxa"/>
            <w:tcBorders>
              <w:top w:val="nil"/>
              <w:left w:val="nil"/>
              <w:bottom w:val="single" w:sz="4" w:space="0" w:color="auto"/>
              <w:right w:val="single" w:sz="8" w:space="0" w:color="auto"/>
            </w:tcBorders>
            <w:shd w:val="clear" w:color="auto" w:fill="auto"/>
            <w:noWrap/>
            <w:vAlign w:val="bottom"/>
            <w:hideMark/>
          </w:tcPr>
          <w:p w14:paraId="73C8D386"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100,0</w:t>
            </w:r>
          </w:p>
        </w:tc>
      </w:tr>
      <w:tr w:rsidR="00AF5B41" w:rsidRPr="00DA77A7" w14:paraId="39B09A66"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787760A8"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3231</w:t>
            </w:r>
          </w:p>
        </w:tc>
        <w:tc>
          <w:tcPr>
            <w:tcW w:w="4085" w:type="dxa"/>
            <w:tcBorders>
              <w:top w:val="nil"/>
              <w:left w:val="nil"/>
              <w:bottom w:val="single" w:sz="4" w:space="0" w:color="auto"/>
              <w:right w:val="single" w:sz="4" w:space="0" w:color="auto"/>
            </w:tcBorders>
            <w:shd w:val="clear" w:color="auto" w:fill="auto"/>
            <w:vAlign w:val="bottom"/>
            <w:hideMark/>
          </w:tcPr>
          <w:p w14:paraId="16C400CC"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Základní umělecké školy</w:t>
            </w:r>
          </w:p>
        </w:tc>
        <w:tc>
          <w:tcPr>
            <w:tcW w:w="1394" w:type="dxa"/>
            <w:tcBorders>
              <w:top w:val="nil"/>
              <w:left w:val="nil"/>
              <w:bottom w:val="single" w:sz="4" w:space="0" w:color="auto"/>
              <w:right w:val="single" w:sz="4" w:space="0" w:color="auto"/>
            </w:tcBorders>
            <w:shd w:val="clear" w:color="auto" w:fill="auto"/>
            <w:noWrap/>
            <w:vAlign w:val="bottom"/>
            <w:hideMark/>
          </w:tcPr>
          <w:p w14:paraId="785F5E02"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518 000</w:t>
            </w:r>
          </w:p>
        </w:tc>
        <w:tc>
          <w:tcPr>
            <w:tcW w:w="1671" w:type="dxa"/>
            <w:tcBorders>
              <w:top w:val="nil"/>
              <w:left w:val="nil"/>
              <w:bottom w:val="single" w:sz="4" w:space="0" w:color="auto"/>
              <w:right w:val="single" w:sz="4" w:space="0" w:color="auto"/>
            </w:tcBorders>
            <w:shd w:val="clear" w:color="auto" w:fill="auto"/>
            <w:noWrap/>
            <w:vAlign w:val="bottom"/>
            <w:hideMark/>
          </w:tcPr>
          <w:p w14:paraId="7DA67300"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6 395 979,00</w:t>
            </w:r>
          </w:p>
        </w:tc>
        <w:tc>
          <w:tcPr>
            <w:tcW w:w="1684" w:type="dxa"/>
            <w:tcBorders>
              <w:top w:val="nil"/>
              <w:left w:val="nil"/>
              <w:bottom w:val="single" w:sz="4" w:space="0" w:color="auto"/>
              <w:right w:val="single" w:sz="4" w:space="0" w:color="auto"/>
            </w:tcBorders>
            <w:shd w:val="clear" w:color="auto" w:fill="auto"/>
            <w:noWrap/>
            <w:vAlign w:val="bottom"/>
            <w:hideMark/>
          </w:tcPr>
          <w:p w14:paraId="7596C600"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6 395 979,00</w:t>
            </w:r>
          </w:p>
        </w:tc>
        <w:tc>
          <w:tcPr>
            <w:tcW w:w="576" w:type="dxa"/>
            <w:tcBorders>
              <w:top w:val="nil"/>
              <w:left w:val="nil"/>
              <w:bottom w:val="single" w:sz="4" w:space="0" w:color="auto"/>
              <w:right w:val="single" w:sz="8" w:space="0" w:color="auto"/>
            </w:tcBorders>
            <w:shd w:val="clear" w:color="auto" w:fill="auto"/>
            <w:noWrap/>
            <w:vAlign w:val="bottom"/>
            <w:hideMark/>
          </w:tcPr>
          <w:p w14:paraId="3436E9B5"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100,0</w:t>
            </w:r>
          </w:p>
        </w:tc>
      </w:tr>
      <w:tr w:rsidR="00AF5B41" w:rsidRPr="00DA77A7" w14:paraId="4EF0442E"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47200622"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3269</w:t>
            </w:r>
          </w:p>
        </w:tc>
        <w:tc>
          <w:tcPr>
            <w:tcW w:w="4085" w:type="dxa"/>
            <w:tcBorders>
              <w:top w:val="nil"/>
              <w:left w:val="nil"/>
              <w:bottom w:val="single" w:sz="4" w:space="0" w:color="auto"/>
              <w:right w:val="single" w:sz="4" w:space="0" w:color="auto"/>
            </w:tcBorders>
            <w:shd w:val="clear" w:color="auto" w:fill="auto"/>
            <w:vAlign w:val="bottom"/>
            <w:hideMark/>
          </w:tcPr>
          <w:p w14:paraId="32982057"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Ostatní správa ve vzdělávání jinde nezařazená</w:t>
            </w:r>
          </w:p>
        </w:tc>
        <w:tc>
          <w:tcPr>
            <w:tcW w:w="1394" w:type="dxa"/>
            <w:tcBorders>
              <w:top w:val="nil"/>
              <w:left w:val="nil"/>
              <w:bottom w:val="single" w:sz="4" w:space="0" w:color="auto"/>
              <w:right w:val="single" w:sz="4" w:space="0" w:color="auto"/>
            </w:tcBorders>
            <w:shd w:val="clear" w:color="auto" w:fill="auto"/>
            <w:noWrap/>
            <w:vAlign w:val="bottom"/>
            <w:hideMark/>
          </w:tcPr>
          <w:p w14:paraId="111D8938"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36 065 000</w:t>
            </w:r>
          </w:p>
        </w:tc>
        <w:tc>
          <w:tcPr>
            <w:tcW w:w="1671" w:type="dxa"/>
            <w:tcBorders>
              <w:top w:val="nil"/>
              <w:left w:val="nil"/>
              <w:bottom w:val="single" w:sz="4" w:space="0" w:color="auto"/>
              <w:right w:val="single" w:sz="4" w:space="0" w:color="auto"/>
            </w:tcBorders>
            <w:shd w:val="clear" w:color="auto" w:fill="auto"/>
            <w:noWrap/>
            <w:vAlign w:val="bottom"/>
            <w:hideMark/>
          </w:tcPr>
          <w:p w14:paraId="3525D421"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1 564 470,37</w:t>
            </w:r>
          </w:p>
        </w:tc>
        <w:tc>
          <w:tcPr>
            <w:tcW w:w="1684" w:type="dxa"/>
            <w:tcBorders>
              <w:top w:val="nil"/>
              <w:left w:val="nil"/>
              <w:bottom w:val="single" w:sz="4" w:space="0" w:color="auto"/>
              <w:right w:val="single" w:sz="4" w:space="0" w:color="auto"/>
            </w:tcBorders>
            <w:shd w:val="clear" w:color="auto" w:fill="auto"/>
            <w:noWrap/>
            <w:vAlign w:val="bottom"/>
            <w:hideMark/>
          </w:tcPr>
          <w:p w14:paraId="0747C4F7"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0,00</w:t>
            </w:r>
          </w:p>
        </w:tc>
        <w:tc>
          <w:tcPr>
            <w:tcW w:w="576" w:type="dxa"/>
            <w:tcBorders>
              <w:top w:val="nil"/>
              <w:left w:val="nil"/>
              <w:bottom w:val="single" w:sz="4" w:space="0" w:color="auto"/>
              <w:right w:val="single" w:sz="8" w:space="0" w:color="auto"/>
            </w:tcBorders>
            <w:shd w:val="clear" w:color="auto" w:fill="auto"/>
            <w:noWrap/>
            <w:vAlign w:val="bottom"/>
            <w:hideMark/>
          </w:tcPr>
          <w:p w14:paraId="675BFC70"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0,0</w:t>
            </w:r>
          </w:p>
        </w:tc>
      </w:tr>
      <w:tr w:rsidR="00AF5B41" w:rsidRPr="00DA77A7" w14:paraId="100926F6"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72747D56"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3294</w:t>
            </w:r>
          </w:p>
        </w:tc>
        <w:tc>
          <w:tcPr>
            <w:tcW w:w="4085" w:type="dxa"/>
            <w:tcBorders>
              <w:top w:val="nil"/>
              <w:left w:val="nil"/>
              <w:bottom w:val="single" w:sz="4" w:space="0" w:color="auto"/>
              <w:right w:val="single" w:sz="4" w:space="0" w:color="auto"/>
            </w:tcBorders>
            <w:shd w:val="clear" w:color="auto" w:fill="auto"/>
            <w:vAlign w:val="bottom"/>
            <w:hideMark/>
          </w:tcPr>
          <w:p w14:paraId="79F94A45"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Zařízení pro další vzdělávání pedagogických pracovníků</w:t>
            </w:r>
          </w:p>
        </w:tc>
        <w:tc>
          <w:tcPr>
            <w:tcW w:w="1394" w:type="dxa"/>
            <w:tcBorders>
              <w:top w:val="nil"/>
              <w:left w:val="nil"/>
              <w:bottom w:val="single" w:sz="4" w:space="0" w:color="auto"/>
              <w:right w:val="single" w:sz="4" w:space="0" w:color="auto"/>
            </w:tcBorders>
            <w:shd w:val="clear" w:color="auto" w:fill="auto"/>
            <w:noWrap/>
            <w:vAlign w:val="bottom"/>
            <w:hideMark/>
          </w:tcPr>
          <w:p w14:paraId="6BA326FC"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3 620 000</w:t>
            </w:r>
          </w:p>
        </w:tc>
        <w:tc>
          <w:tcPr>
            <w:tcW w:w="1671" w:type="dxa"/>
            <w:tcBorders>
              <w:top w:val="nil"/>
              <w:left w:val="nil"/>
              <w:bottom w:val="single" w:sz="4" w:space="0" w:color="auto"/>
              <w:right w:val="single" w:sz="4" w:space="0" w:color="auto"/>
            </w:tcBorders>
            <w:shd w:val="clear" w:color="auto" w:fill="auto"/>
            <w:noWrap/>
            <w:vAlign w:val="bottom"/>
            <w:hideMark/>
          </w:tcPr>
          <w:p w14:paraId="6D1B7D5E"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5 311 947,00</w:t>
            </w:r>
          </w:p>
        </w:tc>
        <w:tc>
          <w:tcPr>
            <w:tcW w:w="1684" w:type="dxa"/>
            <w:tcBorders>
              <w:top w:val="nil"/>
              <w:left w:val="nil"/>
              <w:bottom w:val="single" w:sz="4" w:space="0" w:color="auto"/>
              <w:right w:val="single" w:sz="4" w:space="0" w:color="auto"/>
            </w:tcBorders>
            <w:shd w:val="clear" w:color="auto" w:fill="auto"/>
            <w:noWrap/>
            <w:vAlign w:val="bottom"/>
            <w:hideMark/>
          </w:tcPr>
          <w:p w14:paraId="52A567AC"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5 311 947,00</w:t>
            </w:r>
          </w:p>
        </w:tc>
        <w:tc>
          <w:tcPr>
            <w:tcW w:w="576" w:type="dxa"/>
            <w:tcBorders>
              <w:top w:val="nil"/>
              <w:left w:val="nil"/>
              <w:bottom w:val="single" w:sz="4" w:space="0" w:color="auto"/>
              <w:right w:val="single" w:sz="8" w:space="0" w:color="auto"/>
            </w:tcBorders>
            <w:shd w:val="clear" w:color="auto" w:fill="auto"/>
            <w:noWrap/>
            <w:vAlign w:val="bottom"/>
            <w:hideMark/>
          </w:tcPr>
          <w:p w14:paraId="2E871A4F"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100,0</w:t>
            </w:r>
          </w:p>
        </w:tc>
      </w:tr>
      <w:tr w:rsidR="00AF5B41" w:rsidRPr="00DA77A7" w14:paraId="048526D8" w14:textId="77777777" w:rsidTr="0042584A">
        <w:trPr>
          <w:trHeight w:val="300"/>
        </w:trPr>
        <w:tc>
          <w:tcPr>
            <w:tcW w:w="1231" w:type="dxa"/>
            <w:tcBorders>
              <w:top w:val="nil"/>
              <w:left w:val="single" w:sz="8" w:space="0" w:color="auto"/>
              <w:bottom w:val="nil"/>
              <w:right w:val="single" w:sz="4" w:space="0" w:color="auto"/>
            </w:tcBorders>
            <w:shd w:val="clear" w:color="auto" w:fill="auto"/>
            <w:vAlign w:val="bottom"/>
            <w:hideMark/>
          </w:tcPr>
          <w:p w14:paraId="4A28722D"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3421</w:t>
            </w:r>
          </w:p>
        </w:tc>
        <w:tc>
          <w:tcPr>
            <w:tcW w:w="4085" w:type="dxa"/>
            <w:tcBorders>
              <w:top w:val="nil"/>
              <w:left w:val="nil"/>
              <w:bottom w:val="nil"/>
              <w:right w:val="single" w:sz="4" w:space="0" w:color="auto"/>
            </w:tcBorders>
            <w:shd w:val="clear" w:color="auto" w:fill="auto"/>
            <w:vAlign w:val="bottom"/>
            <w:hideMark/>
          </w:tcPr>
          <w:p w14:paraId="0CB0F4C7"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Využití volného času dětí a mládeže</w:t>
            </w:r>
          </w:p>
        </w:tc>
        <w:tc>
          <w:tcPr>
            <w:tcW w:w="1394" w:type="dxa"/>
            <w:tcBorders>
              <w:top w:val="nil"/>
              <w:left w:val="nil"/>
              <w:bottom w:val="single" w:sz="4" w:space="0" w:color="auto"/>
              <w:right w:val="single" w:sz="4" w:space="0" w:color="auto"/>
            </w:tcBorders>
            <w:shd w:val="clear" w:color="auto" w:fill="auto"/>
            <w:noWrap/>
            <w:vAlign w:val="bottom"/>
            <w:hideMark/>
          </w:tcPr>
          <w:p w14:paraId="7BAB3441"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5 100 000</w:t>
            </w:r>
          </w:p>
        </w:tc>
        <w:tc>
          <w:tcPr>
            <w:tcW w:w="1671" w:type="dxa"/>
            <w:tcBorders>
              <w:top w:val="nil"/>
              <w:left w:val="nil"/>
              <w:bottom w:val="single" w:sz="4" w:space="0" w:color="auto"/>
              <w:right w:val="single" w:sz="4" w:space="0" w:color="auto"/>
            </w:tcBorders>
            <w:shd w:val="clear" w:color="auto" w:fill="auto"/>
            <w:noWrap/>
            <w:vAlign w:val="bottom"/>
            <w:hideMark/>
          </w:tcPr>
          <w:p w14:paraId="7200AA21"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12 440 394,00</w:t>
            </w:r>
          </w:p>
        </w:tc>
        <w:tc>
          <w:tcPr>
            <w:tcW w:w="1684" w:type="dxa"/>
            <w:tcBorders>
              <w:top w:val="nil"/>
              <w:left w:val="nil"/>
              <w:bottom w:val="single" w:sz="4" w:space="0" w:color="auto"/>
              <w:right w:val="single" w:sz="4" w:space="0" w:color="auto"/>
            </w:tcBorders>
            <w:shd w:val="clear" w:color="auto" w:fill="auto"/>
            <w:noWrap/>
            <w:vAlign w:val="bottom"/>
            <w:hideMark/>
          </w:tcPr>
          <w:p w14:paraId="1E8BB265"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12 440 394,00</w:t>
            </w:r>
          </w:p>
        </w:tc>
        <w:tc>
          <w:tcPr>
            <w:tcW w:w="576" w:type="dxa"/>
            <w:tcBorders>
              <w:top w:val="nil"/>
              <w:left w:val="nil"/>
              <w:bottom w:val="nil"/>
              <w:right w:val="single" w:sz="8" w:space="0" w:color="auto"/>
            </w:tcBorders>
            <w:shd w:val="clear" w:color="auto" w:fill="auto"/>
            <w:noWrap/>
            <w:vAlign w:val="bottom"/>
            <w:hideMark/>
          </w:tcPr>
          <w:p w14:paraId="704790A6"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100,0</w:t>
            </w:r>
          </w:p>
        </w:tc>
      </w:tr>
      <w:tr w:rsidR="00AF5B41" w:rsidRPr="00DA77A7" w14:paraId="7D9CD19F" w14:textId="77777777" w:rsidTr="0042584A">
        <w:trPr>
          <w:trHeight w:val="300"/>
        </w:trPr>
        <w:tc>
          <w:tcPr>
            <w:tcW w:w="1231" w:type="dxa"/>
            <w:tcBorders>
              <w:top w:val="single" w:sz="8" w:space="0" w:color="auto"/>
              <w:left w:val="single" w:sz="8" w:space="0" w:color="auto"/>
              <w:bottom w:val="single" w:sz="4" w:space="0" w:color="auto"/>
              <w:right w:val="single" w:sz="4" w:space="0" w:color="auto"/>
            </w:tcBorders>
            <w:shd w:val="clear" w:color="auto" w:fill="auto"/>
            <w:vAlign w:val="bottom"/>
            <w:hideMark/>
          </w:tcPr>
          <w:p w14:paraId="032FEDBC" w14:textId="77777777" w:rsidR="00DA77A7" w:rsidRPr="00DA77A7" w:rsidRDefault="00DA77A7" w:rsidP="00DA77A7">
            <w:pPr>
              <w:spacing w:after="0" w:line="240" w:lineRule="auto"/>
              <w:jc w:val="center"/>
              <w:rPr>
                <w:rFonts w:ascii="Calibri" w:eastAsia="Times New Roman" w:hAnsi="Calibri" w:cs="Arial"/>
                <w:sz w:val="20"/>
                <w:szCs w:val="20"/>
                <w:lang w:eastAsia="cs-CZ"/>
              </w:rPr>
            </w:pPr>
            <w:r w:rsidRPr="00DA77A7">
              <w:rPr>
                <w:rFonts w:ascii="Calibri" w:eastAsia="Times New Roman" w:hAnsi="Calibri" w:cs="Arial"/>
                <w:sz w:val="20"/>
                <w:szCs w:val="20"/>
                <w:lang w:eastAsia="cs-CZ"/>
              </w:rPr>
              <w:t> </w:t>
            </w:r>
          </w:p>
        </w:tc>
        <w:tc>
          <w:tcPr>
            <w:tcW w:w="4085" w:type="dxa"/>
            <w:tcBorders>
              <w:top w:val="single" w:sz="8" w:space="0" w:color="auto"/>
              <w:left w:val="nil"/>
              <w:bottom w:val="single" w:sz="4" w:space="0" w:color="auto"/>
              <w:right w:val="single" w:sz="4" w:space="0" w:color="auto"/>
            </w:tcBorders>
            <w:shd w:val="clear" w:color="auto" w:fill="auto"/>
            <w:vAlign w:val="bottom"/>
            <w:hideMark/>
          </w:tcPr>
          <w:p w14:paraId="60C000CA" w14:textId="77777777" w:rsidR="00DA77A7" w:rsidRPr="00DA77A7" w:rsidRDefault="00DA77A7" w:rsidP="00DA77A7">
            <w:pPr>
              <w:spacing w:after="0" w:line="240" w:lineRule="auto"/>
              <w:rPr>
                <w:rFonts w:ascii="Calibri" w:eastAsia="Times New Roman" w:hAnsi="Calibri" w:cs="Arial"/>
                <w:sz w:val="20"/>
                <w:szCs w:val="20"/>
                <w:lang w:eastAsia="cs-CZ"/>
              </w:rPr>
            </w:pPr>
            <w:r w:rsidRPr="00DA77A7">
              <w:rPr>
                <w:rFonts w:ascii="Calibri" w:eastAsia="Times New Roman" w:hAnsi="Calibri" w:cs="Arial"/>
                <w:sz w:val="20"/>
                <w:szCs w:val="20"/>
                <w:lang w:eastAsia="cs-CZ"/>
              </w:rPr>
              <w:t>Provoz škol - nájemné</w:t>
            </w:r>
          </w:p>
        </w:tc>
        <w:tc>
          <w:tcPr>
            <w:tcW w:w="1394" w:type="dxa"/>
            <w:tcBorders>
              <w:top w:val="single" w:sz="8" w:space="0" w:color="auto"/>
              <w:left w:val="nil"/>
              <w:bottom w:val="single" w:sz="4" w:space="0" w:color="auto"/>
              <w:right w:val="single" w:sz="4" w:space="0" w:color="auto"/>
            </w:tcBorders>
            <w:shd w:val="clear" w:color="auto" w:fill="auto"/>
            <w:noWrap/>
            <w:vAlign w:val="bottom"/>
            <w:hideMark/>
          </w:tcPr>
          <w:p w14:paraId="40EB27C4"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39 000 000</w:t>
            </w:r>
          </w:p>
        </w:tc>
        <w:tc>
          <w:tcPr>
            <w:tcW w:w="1671" w:type="dxa"/>
            <w:tcBorders>
              <w:top w:val="single" w:sz="8" w:space="0" w:color="auto"/>
              <w:left w:val="nil"/>
              <w:bottom w:val="single" w:sz="4" w:space="0" w:color="auto"/>
              <w:right w:val="single" w:sz="4" w:space="0" w:color="auto"/>
            </w:tcBorders>
            <w:shd w:val="clear" w:color="auto" w:fill="auto"/>
            <w:noWrap/>
            <w:vAlign w:val="bottom"/>
            <w:hideMark/>
          </w:tcPr>
          <w:p w14:paraId="186167A4"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40 141 706,82</w:t>
            </w:r>
          </w:p>
        </w:tc>
        <w:tc>
          <w:tcPr>
            <w:tcW w:w="1684" w:type="dxa"/>
            <w:tcBorders>
              <w:top w:val="single" w:sz="8" w:space="0" w:color="auto"/>
              <w:left w:val="nil"/>
              <w:bottom w:val="single" w:sz="4" w:space="0" w:color="auto"/>
              <w:right w:val="single" w:sz="4" w:space="0" w:color="auto"/>
            </w:tcBorders>
            <w:shd w:val="clear" w:color="auto" w:fill="auto"/>
            <w:noWrap/>
            <w:vAlign w:val="bottom"/>
            <w:hideMark/>
          </w:tcPr>
          <w:p w14:paraId="6BD1C575"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32 251 515,93</w:t>
            </w:r>
          </w:p>
        </w:tc>
        <w:tc>
          <w:tcPr>
            <w:tcW w:w="576" w:type="dxa"/>
            <w:tcBorders>
              <w:top w:val="single" w:sz="8" w:space="0" w:color="auto"/>
              <w:left w:val="nil"/>
              <w:bottom w:val="single" w:sz="4" w:space="0" w:color="auto"/>
              <w:right w:val="single" w:sz="8" w:space="0" w:color="auto"/>
            </w:tcBorders>
            <w:shd w:val="clear" w:color="auto" w:fill="auto"/>
            <w:noWrap/>
            <w:vAlign w:val="bottom"/>
            <w:hideMark/>
          </w:tcPr>
          <w:p w14:paraId="69911343"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80,3</w:t>
            </w:r>
          </w:p>
        </w:tc>
      </w:tr>
      <w:tr w:rsidR="00DA77A7" w:rsidRPr="00DA77A7" w14:paraId="038614F1"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0422AA44" w14:textId="77777777" w:rsidR="00DA77A7" w:rsidRPr="00DA77A7" w:rsidRDefault="00DA77A7" w:rsidP="00DA77A7">
            <w:pPr>
              <w:spacing w:after="0" w:line="240" w:lineRule="auto"/>
              <w:jc w:val="center"/>
              <w:rPr>
                <w:rFonts w:ascii="Calibri" w:eastAsia="Times New Roman" w:hAnsi="Calibri" w:cs="Arial"/>
                <w:sz w:val="20"/>
                <w:szCs w:val="20"/>
                <w:lang w:eastAsia="cs-CZ"/>
              </w:rPr>
            </w:pPr>
            <w:r w:rsidRPr="00DA77A7">
              <w:rPr>
                <w:rFonts w:ascii="Calibri" w:eastAsia="Times New Roman" w:hAnsi="Calibri" w:cs="Arial"/>
                <w:sz w:val="20"/>
                <w:szCs w:val="20"/>
                <w:lang w:eastAsia="cs-CZ"/>
              </w:rPr>
              <w:t> </w:t>
            </w:r>
          </w:p>
        </w:tc>
        <w:tc>
          <w:tcPr>
            <w:tcW w:w="9410" w:type="dxa"/>
            <w:gridSpan w:val="5"/>
            <w:tcBorders>
              <w:top w:val="single" w:sz="4" w:space="0" w:color="auto"/>
              <w:left w:val="nil"/>
              <w:bottom w:val="single" w:sz="4" w:space="0" w:color="auto"/>
              <w:right w:val="single" w:sz="8" w:space="0" w:color="000000"/>
            </w:tcBorders>
            <w:shd w:val="clear" w:color="auto" w:fill="auto"/>
            <w:vAlign w:val="bottom"/>
            <w:hideMark/>
          </w:tcPr>
          <w:p w14:paraId="40EA9C97" w14:textId="77777777" w:rsidR="00DA77A7" w:rsidRPr="00DA77A7" w:rsidRDefault="00DA77A7" w:rsidP="00DA77A7">
            <w:pPr>
              <w:spacing w:after="0" w:line="240" w:lineRule="auto"/>
              <w:rPr>
                <w:rFonts w:ascii="Calibri" w:eastAsia="Times New Roman" w:hAnsi="Calibri" w:cs="Arial"/>
                <w:sz w:val="20"/>
                <w:szCs w:val="20"/>
                <w:lang w:eastAsia="cs-CZ"/>
              </w:rPr>
            </w:pPr>
            <w:r w:rsidRPr="00DA77A7">
              <w:rPr>
                <w:rFonts w:ascii="Calibri" w:eastAsia="Times New Roman" w:hAnsi="Calibri" w:cs="Arial"/>
                <w:sz w:val="20"/>
                <w:szCs w:val="20"/>
                <w:lang w:eastAsia="cs-CZ"/>
              </w:rPr>
              <w:t>z toho:</w:t>
            </w:r>
          </w:p>
        </w:tc>
      </w:tr>
      <w:tr w:rsidR="00AF5B41" w:rsidRPr="00DA77A7" w14:paraId="675F313B" w14:textId="77777777" w:rsidTr="0042584A">
        <w:trPr>
          <w:trHeight w:val="52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49DE0AFC"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3112</w:t>
            </w:r>
          </w:p>
        </w:tc>
        <w:tc>
          <w:tcPr>
            <w:tcW w:w="4085" w:type="dxa"/>
            <w:tcBorders>
              <w:top w:val="nil"/>
              <w:left w:val="nil"/>
              <w:bottom w:val="single" w:sz="4" w:space="0" w:color="auto"/>
              <w:right w:val="single" w:sz="4" w:space="0" w:color="auto"/>
            </w:tcBorders>
            <w:shd w:val="clear" w:color="auto" w:fill="auto"/>
            <w:vAlign w:val="center"/>
            <w:hideMark/>
          </w:tcPr>
          <w:p w14:paraId="6658508B"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Mateřské školy pro děti se speciálními vzdělávacími potřebami</w:t>
            </w:r>
          </w:p>
        </w:tc>
        <w:tc>
          <w:tcPr>
            <w:tcW w:w="1394" w:type="dxa"/>
            <w:tcBorders>
              <w:top w:val="nil"/>
              <w:left w:val="nil"/>
              <w:bottom w:val="single" w:sz="4" w:space="0" w:color="auto"/>
              <w:right w:val="single" w:sz="4" w:space="0" w:color="auto"/>
            </w:tcBorders>
            <w:shd w:val="clear" w:color="auto" w:fill="auto"/>
            <w:noWrap/>
            <w:vAlign w:val="bottom"/>
            <w:hideMark/>
          </w:tcPr>
          <w:p w14:paraId="6516CD05"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247 000</w:t>
            </w:r>
          </w:p>
        </w:tc>
        <w:tc>
          <w:tcPr>
            <w:tcW w:w="1671" w:type="dxa"/>
            <w:tcBorders>
              <w:top w:val="nil"/>
              <w:left w:val="nil"/>
              <w:bottom w:val="single" w:sz="4" w:space="0" w:color="auto"/>
              <w:right w:val="single" w:sz="4" w:space="0" w:color="auto"/>
            </w:tcBorders>
            <w:shd w:val="clear" w:color="auto" w:fill="auto"/>
            <w:noWrap/>
            <w:vAlign w:val="bottom"/>
            <w:hideMark/>
          </w:tcPr>
          <w:p w14:paraId="36C42191"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241 604,00</w:t>
            </w:r>
          </w:p>
        </w:tc>
        <w:tc>
          <w:tcPr>
            <w:tcW w:w="1684" w:type="dxa"/>
            <w:tcBorders>
              <w:top w:val="nil"/>
              <w:left w:val="nil"/>
              <w:bottom w:val="single" w:sz="4" w:space="0" w:color="auto"/>
              <w:right w:val="single" w:sz="4" w:space="0" w:color="auto"/>
            </w:tcBorders>
            <w:shd w:val="clear" w:color="auto" w:fill="auto"/>
            <w:noWrap/>
            <w:vAlign w:val="bottom"/>
            <w:hideMark/>
          </w:tcPr>
          <w:p w14:paraId="1D488EF8"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241 604,00</w:t>
            </w:r>
          </w:p>
        </w:tc>
        <w:tc>
          <w:tcPr>
            <w:tcW w:w="576" w:type="dxa"/>
            <w:tcBorders>
              <w:top w:val="nil"/>
              <w:left w:val="nil"/>
              <w:bottom w:val="single" w:sz="4" w:space="0" w:color="auto"/>
              <w:right w:val="single" w:sz="8" w:space="0" w:color="auto"/>
            </w:tcBorders>
            <w:shd w:val="clear" w:color="auto" w:fill="auto"/>
            <w:noWrap/>
            <w:vAlign w:val="bottom"/>
            <w:hideMark/>
          </w:tcPr>
          <w:p w14:paraId="03A18B07"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100,0</w:t>
            </w:r>
          </w:p>
        </w:tc>
      </w:tr>
      <w:tr w:rsidR="00AF5B41" w:rsidRPr="00DA77A7" w14:paraId="157459B6" w14:textId="77777777" w:rsidTr="0042584A">
        <w:trPr>
          <w:trHeight w:val="51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49F08C49"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3114</w:t>
            </w:r>
          </w:p>
        </w:tc>
        <w:tc>
          <w:tcPr>
            <w:tcW w:w="4085" w:type="dxa"/>
            <w:tcBorders>
              <w:top w:val="nil"/>
              <w:left w:val="nil"/>
              <w:bottom w:val="single" w:sz="4" w:space="0" w:color="auto"/>
              <w:right w:val="single" w:sz="4" w:space="0" w:color="auto"/>
            </w:tcBorders>
            <w:shd w:val="clear" w:color="auto" w:fill="auto"/>
            <w:vAlign w:val="center"/>
            <w:hideMark/>
          </w:tcPr>
          <w:p w14:paraId="2C429CEB"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Základní školy pro žáky se speciálními vzdělávacími potřebami</w:t>
            </w:r>
          </w:p>
        </w:tc>
        <w:tc>
          <w:tcPr>
            <w:tcW w:w="1394" w:type="dxa"/>
            <w:tcBorders>
              <w:top w:val="nil"/>
              <w:left w:val="nil"/>
              <w:bottom w:val="single" w:sz="4" w:space="0" w:color="auto"/>
              <w:right w:val="single" w:sz="4" w:space="0" w:color="auto"/>
            </w:tcBorders>
            <w:shd w:val="clear" w:color="auto" w:fill="auto"/>
            <w:noWrap/>
            <w:vAlign w:val="bottom"/>
            <w:hideMark/>
          </w:tcPr>
          <w:p w14:paraId="128AB964"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3 900 000</w:t>
            </w:r>
          </w:p>
        </w:tc>
        <w:tc>
          <w:tcPr>
            <w:tcW w:w="1671" w:type="dxa"/>
            <w:tcBorders>
              <w:top w:val="nil"/>
              <w:left w:val="nil"/>
              <w:bottom w:val="single" w:sz="4" w:space="0" w:color="auto"/>
              <w:right w:val="single" w:sz="4" w:space="0" w:color="auto"/>
            </w:tcBorders>
            <w:shd w:val="clear" w:color="auto" w:fill="auto"/>
            <w:noWrap/>
            <w:vAlign w:val="bottom"/>
            <w:hideMark/>
          </w:tcPr>
          <w:p w14:paraId="6EF6F8E2"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3 731 009,00</w:t>
            </w:r>
          </w:p>
        </w:tc>
        <w:tc>
          <w:tcPr>
            <w:tcW w:w="1684" w:type="dxa"/>
            <w:tcBorders>
              <w:top w:val="nil"/>
              <w:left w:val="nil"/>
              <w:bottom w:val="single" w:sz="4" w:space="0" w:color="auto"/>
              <w:right w:val="single" w:sz="4" w:space="0" w:color="auto"/>
            </w:tcBorders>
            <w:shd w:val="clear" w:color="auto" w:fill="auto"/>
            <w:noWrap/>
            <w:vAlign w:val="bottom"/>
            <w:hideMark/>
          </w:tcPr>
          <w:p w14:paraId="13B6E1DA"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3 714 637,93</w:t>
            </w:r>
          </w:p>
        </w:tc>
        <w:tc>
          <w:tcPr>
            <w:tcW w:w="576" w:type="dxa"/>
            <w:tcBorders>
              <w:top w:val="nil"/>
              <w:left w:val="nil"/>
              <w:bottom w:val="single" w:sz="4" w:space="0" w:color="auto"/>
              <w:right w:val="single" w:sz="8" w:space="0" w:color="auto"/>
            </w:tcBorders>
            <w:shd w:val="clear" w:color="auto" w:fill="auto"/>
            <w:noWrap/>
            <w:vAlign w:val="bottom"/>
            <w:hideMark/>
          </w:tcPr>
          <w:p w14:paraId="6A032376"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99,6</w:t>
            </w:r>
          </w:p>
        </w:tc>
      </w:tr>
      <w:tr w:rsidR="00AF5B41" w:rsidRPr="00DA77A7" w14:paraId="11E1A693"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2BA2478D"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3121</w:t>
            </w:r>
          </w:p>
        </w:tc>
        <w:tc>
          <w:tcPr>
            <w:tcW w:w="4085" w:type="dxa"/>
            <w:tcBorders>
              <w:top w:val="nil"/>
              <w:left w:val="nil"/>
              <w:bottom w:val="single" w:sz="4" w:space="0" w:color="auto"/>
              <w:right w:val="single" w:sz="4" w:space="0" w:color="auto"/>
            </w:tcBorders>
            <w:shd w:val="clear" w:color="auto" w:fill="auto"/>
            <w:vAlign w:val="bottom"/>
            <w:hideMark/>
          </w:tcPr>
          <w:p w14:paraId="0B9FBB0D"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Gymnázia</w:t>
            </w:r>
          </w:p>
        </w:tc>
        <w:tc>
          <w:tcPr>
            <w:tcW w:w="1394" w:type="dxa"/>
            <w:tcBorders>
              <w:top w:val="nil"/>
              <w:left w:val="nil"/>
              <w:bottom w:val="single" w:sz="4" w:space="0" w:color="auto"/>
              <w:right w:val="single" w:sz="4" w:space="0" w:color="auto"/>
            </w:tcBorders>
            <w:shd w:val="clear" w:color="auto" w:fill="auto"/>
            <w:noWrap/>
            <w:vAlign w:val="bottom"/>
            <w:hideMark/>
          </w:tcPr>
          <w:p w14:paraId="09D79880"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10 612 000</w:t>
            </w:r>
          </w:p>
        </w:tc>
        <w:tc>
          <w:tcPr>
            <w:tcW w:w="1671" w:type="dxa"/>
            <w:tcBorders>
              <w:top w:val="nil"/>
              <w:left w:val="nil"/>
              <w:bottom w:val="single" w:sz="4" w:space="0" w:color="auto"/>
              <w:right w:val="single" w:sz="4" w:space="0" w:color="auto"/>
            </w:tcBorders>
            <w:shd w:val="clear" w:color="auto" w:fill="auto"/>
            <w:noWrap/>
            <w:vAlign w:val="bottom"/>
            <w:hideMark/>
          </w:tcPr>
          <w:p w14:paraId="2F021183"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8 840 852,00</w:t>
            </w:r>
          </w:p>
        </w:tc>
        <w:tc>
          <w:tcPr>
            <w:tcW w:w="1684" w:type="dxa"/>
            <w:tcBorders>
              <w:top w:val="nil"/>
              <w:left w:val="nil"/>
              <w:bottom w:val="single" w:sz="4" w:space="0" w:color="auto"/>
              <w:right w:val="single" w:sz="4" w:space="0" w:color="auto"/>
            </w:tcBorders>
            <w:shd w:val="clear" w:color="auto" w:fill="auto"/>
            <w:noWrap/>
            <w:vAlign w:val="bottom"/>
            <w:hideMark/>
          </w:tcPr>
          <w:p w14:paraId="7D668C1A"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8 746 383,00</w:t>
            </w:r>
          </w:p>
        </w:tc>
        <w:tc>
          <w:tcPr>
            <w:tcW w:w="576" w:type="dxa"/>
            <w:tcBorders>
              <w:top w:val="nil"/>
              <w:left w:val="nil"/>
              <w:bottom w:val="single" w:sz="4" w:space="0" w:color="auto"/>
              <w:right w:val="single" w:sz="8" w:space="0" w:color="auto"/>
            </w:tcBorders>
            <w:shd w:val="clear" w:color="auto" w:fill="auto"/>
            <w:noWrap/>
            <w:vAlign w:val="bottom"/>
            <w:hideMark/>
          </w:tcPr>
          <w:p w14:paraId="6219C684"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98,9</w:t>
            </w:r>
          </w:p>
        </w:tc>
      </w:tr>
      <w:tr w:rsidR="00AF5B41" w:rsidRPr="00DA77A7" w14:paraId="77EDF6AE"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18C0091B"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3122</w:t>
            </w:r>
          </w:p>
        </w:tc>
        <w:tc>
          <w:tcPr>
            <w:tcW w:w="4085" w:type="dxa"/>
            <w:tcBorders>
              <w:top w:val="nil"/>
              <w:left w:val="nil"/>
              <w:bottom w:val="single" w:sz="4" w:space="0" w:color="auto"/>
              <w:right w:val="single" w:sz="4" w:space="0" w:color="auto"/>
            </w:tcBorders>
            <w:shd w:val="clear" w:color="auto" w:fill="auto"/>
            <w:vAlign w:val="bottom"/>
            <w:hideMark/>
          </w:tcPr>
          <w:p w14:paraId="1A2A1106"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Střední odborné školy</w:t>
            </w:r>
          </w:p>
        </w:tc>
        <w:tc>
          <w:tcPr>
            <w:tcW w:w="1394" w:type="dxa"/>
            <w:tcBorders>
              <w:top w:val="nil"/>
              <w:left w:val="nil"/>
              <w:bottom w:val="single" w:sz="4" w:space="0" w:color="auto"/>
              <w:right w:val="single" w:sz="4" w:space="0" w:color="auto"/>
            </w:tcBorders>
            <w:shd w:val="clear" w:color="auto" w:fill="auto"/>
            <w:noWrap/>
            <w:vAlign w:val="bottom"/>
            <w:hideMark/>
          </w:tcPr>
          <w:p w14:paraId="5ADBE034"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5 519 000</w:t>
            </w:r>
          </w:p>
        </w:tc>
        <w:tc>
          <w:tcPr>
            <w:tcW w:w="1671" w:type="dxa"/>
            <w:tcBorders>
              <w:top w:val="nil"/>
              <w:left w:val="nil"/>
              <w:bottom w:val="single" w:sz="4" w:space="0" w:color="auto"/>
              <w:right w:val="single" w:sz="4" w:space="0" w:color="auto"/>
            </w:tcBorders>
            <w:shd w:val="clear" w:color="auto" w:fill="auto"/>
            <w:noWrap/>
            <w:vAlign w:val="bottom"/>
            <w:hideMark/>
          </w:tcPr>
          <w:p w14:paraId="4035209A"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4 972 467,00</w:t>
            </w:r>
          </w:p>
        </w:tc>
        <w:tc>
          <w:tcPr>
            <w:tcW w:w="1684" w:type="dxa"/>
            <w:tcBorders>
              <w:top w:val="nil"/>
              <w:left w:val="nil"/>
              <w:bottom w:val="single" w:sz="4" w:space="0" w:color="auto"/>
              <w:right w:val="single" w:sz="4" w:space="0" w:color="auto"/>
            </w:tcBorders>
            <w:shd w:val="clear" w:color="auto" w:fill="auto"/>
            <w:noWrap/>
            <w:vAlign w:val="bottom"/>
            <w:hideMark/>
          </w:tcPr>
          <w:p w14:paraId="51309B7F"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4 914 933,00</w:t>
            </w:r>
          </w:p>
        </w:tc>
        <w:tc>
          <w:tcPr>
            <w:tcW w:w="576" w:type="dxa"/>
            <w:tcBorders>
              <w:top w:val="nil"/>
              <w:left w:val="nil"/>
              <w:bottom w:val="single" w:sz="4" w:space="0" w:color="auto"/>
              <w:right w:val="single" w:sz="8" w:space="0" w:color="auto"/>
            </w:tcBorders>
            <w:shd w:val="clear" w:color="auto" w:fill="auto"/>
            <w:noWrap/>
            <w:vAlign w:val="bottom"/>
            <w:hideMark/>
          </w:tcPr>
          <w:p w14:paraId="50CA3206"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98,8</w:t>
            </w:r>
          </w:p>
        </w:tc>
      </w:tr>
      <w:tr w:rsidR="00AF5B41" w:rsidRPr="00DA77A7" w14:paraId="478C2D19"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7F1D5DA1"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3123</w:t>
            </w:r>
          </w:p>
        </w:tc>
        <w:tc>
          <w:tcPr>
            <w:tcW w:w="4085" w:type="dxa"/>
            <w:tcBorders>
              <w:top w:val="nil"/>
              <w:left w:val="nil"/>
              <w:bottom w:val="single" w:sz="4" w:space="0" w:color="auto"/>
              <w:right w:val="single" w:sz="4" w:space="0" w:color="auto"/>
            </w:tcBorders>
            <w:shd w:val="clear" w:color="auto" w:fill="auto"/>
            <w:vAlign w:val="center"/>
            <w:hideMark/>
          </w:tcPr>
          <w:p w14:paraId="249DE366"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Střední školy poskytující střední vzdělání s výučním listem</w:t>
            </w:r>
          </w:p>
        </w:tc>
        <w:tc>
          <w:tcPr>
            <w:tcW w:w="1394" w:type="dxa"/>
            <w:tcBorders>
              <w:top w:val="nil"/>
              <w:left w:val="nil"/>
              <w:bottom w:val="single" w:sz="4" w:space="0" w:color="auto"/>
              <w:right w:val="single" w:sz="4" w:space="0" w:color="auto"/>
            </w:tcBorders>
            <w:shd w:val="clear" w:color="auto" w:fill="auto"/>
            <w:noWrap/>
            <w:vAlign w:val="bottom"/>
            <w:hideMark/>
          </w:tcPr>
          <w:p w14:paraId="582987E9"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9 456 000</w:t>
            </w:r>
          </w:p>
        </w:tc>
        <w:tc>
          <w:tcPr>
            <w:tcW w:w="1671" w:type="dxa"/>
            <w:tcBorders>
              <w:top w:val="nil"/>
              <w:left w:val="nil"/>
              <w:bottom w:val="single" w:sz="4" w:space="0" w:color="auto"/>
              <w:right w:val="single" w:sz="4" w:space="0" w:color="auto"/>
            </w:tcBorders>
            <w:shd w:val="clear" w:color="auto" w:fill="auto"/>
            <w:noWrap/>
            <w:vAlign w:val="bottom"/>
            <w:hideMark/>
          </w:tcPr>
          <w:p w14:paraId="4C4FD6E7"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8 683 792,00</w:t>
            </w:r>
          </w:p>
        </w:tc>
        <w:tc>
          <w:tcPr>
            <w:tcW w:w="1684" w:type="dxa"/>
            <w:tcBorders>
              <w:top w:val="nil"/>
              <w:left w:val="nil"/>
              <w:bottom w:val="single" w:sz="4" w:space="0" w:color="auto"/>
              <w:right w:val="single" w:sz="4" w:space="0" w:color="auto"/>
            </w:tcBorders>
            <w:shd w:val="clear" w:color="auto" w:fill="auto"/>
            <w:noWrap/>
            <w:vAlign w:val="bottom"/>
            <w:hideMark/>
          </w:tcPr>
          <w:p w14:paraId="2DF42CEB"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8 513 647,00</w:t>
            </w:r>
          </w:p>
        </w:tc>
        <w:tc>
          <w:tcPr>
            <w:tcW w:w="576" w:type="dxa"/>
            <w:tcBorders>
              <w:top w:val="nil"/>
              <w:left w:val="nil"/>
              <w:bottom w:val="single" w:sz="4" w:space="0" w:color="auto"/>
              <w:right w:val="single" w:sz="8" w:space="0" w:color="auto"/>
            </w:tcBorders>
            <w:shd w:val="clear" w:color="auto" w:fill="auto"/>
            <w:noWrap/>
            <w:vAlign w:val="bottom"/>
            <w:hideMark/>
          </w:tcPr>
          <w:p w14:paraId="0B6BF46A"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98,0</w:t>
            </w:r>
          </w:p>
        </w:tc>
      </w:tr>
      <w:tr w:rsidR="00AF5B41" w:rsidRPr="00DA77A7" w14:paraId="69CD844D"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67AAE076"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3146</w:t>
            </w:r>
          </w:p>
        </w:tc>
        <w:tc>
          <w:tcPr>
            <w:tcW w:w="4085" w:type="dxa"/>
            <w:tcBorders>
              <w:top w:val="nil"/>
              <w:left w:val="nil"/>
              <w:bottom w:val="single" w:sz="4" w:space="0" w:color="auto"/>
              <w:right w:val="single" w:sz="4" w:space="0" w:color="auto"/>
            </w:tcBorders>
            <w:shd w:val="clear" w:color="auto" w:fill="auto"/>
            <w:vAlign w:val="bottom"/>
            <w:hideMark/>
          </w:tcPr>
          <w:p w14:paraId="2171FA8B"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Zařízení výchovného poradenství</w:t>
            </w:r>
          </w:p>
        </w:tc>
        <w:tc>
          <w:tcPr>
            <w:tcW w:w="1394" w:type="dxa"/>
            <w:tcBorders>
              <w:top w:val="nil"/>
              <w:left w:val="nil"/>
              <w:bottom w:val="single" w:sz="4" w:space="0" w:color="auto"/>
              <w:right w:val="single" w:sz="4" w:space="0" w:color="auto"/>
            </w:tcBorders>
            <w:shd w:val="clear" w:color="auto" w:fill="auto"/>
            <w:noWrap/>
            <w:vAlign w:val="bottom"/>
            <w:hideMark/>
          </w:tcPr>
          <w:p w14:paraId="2CA55AA6"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962 000</w:t>
            </w:r>
          </w:p>
        </w:tc>
        <w:tc>
          <w:tcPr>
            <w:tcW w:w="1671" w:type="dxa"/>
            <w:tcBorders>
              <w:top w:val="nil"/>
              <w:left w:val="nil"/>
              <w:bottom w:val="single" w:sz="4" w:space="0" w:color="auto"/>
              <w:right w:val="single" w:sz="4" w:space="0" w:color="auto"/>
            </w:tcBorders>
            <w:shd w:val="clear" w:color="auto" w:fill="auto"/>
            <w:noWrap/>
            <w:vAlign w:val="bottom"/>
            <w:hideMark/>
          </w:tcPr>
          <w:p w14:paraId="5E9355F7"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1 192 749,00</w:t>
            </w:r>
          </w:p>
        </w:tc>
        <w:tc>
          <w:tcPr>
            <w:tcW w:w="1684" w:type="dxa"/>
            <w:tcBorders>
              <w:top w:val="nil"/>
              <w:left w:val="nil"/>
              <w:bottom w:val="single" w:sz="4" w:space="0" w:color="auto"/>
              <w:right w:val="single" w:sz="4" w:space="0" w:color="auto"/>
            </w:tcBorders>
            <w:shd w:val="clear" w:color="auto" w:fill="auto"/>
            <w:noWrap/>
            <w:vAlign w:val="bottom"/>
            <w:hideMark/>
          </w:tcPr>
          <w:p w14:paraId="5555BF65"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1 192 749,00</w:t>
            </w:r>
          </w:p>
        </w:tc>
        <w:tc>
          <w:tcPr>
            <w:tcW w:w="576" w:type="dxa"/>
            <w:tcBorders>
              <w:top w:val="nil"/>
              <w:left w:val="nil"/>
              <w:bottom w:val="single" w:sz="4" w:space="0" w:color="auto"/>
              <w:right w:val="single" w:sz="8" w:space="0" w:color="auto"/>
            </w:tcBorders>
            <w:shd w:val="clear" w:color="auto" w:fill="auto"/>
            <w:noWrap/>
            <w:vAlign w:val="bottom"/>
            <w:hideMark/>
          </w:tcPr>
          <w:p w14:paraId="559C574A"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100,0</w:t>
            </w:r>
          </w:p>
        </w:tc>
      </w:tr>
      <w:tr w:rsidR="00AF5B41" w:rsidRPr="00DA77A7" w14:paraId="6C5ADB31"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0C5976B0"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3231</w:t>
            </w:r>
          </w:p>
        </w:tc>
        <w:tc>
          <w:tcPr>
            <w:tcW w:w="4085" w:type="dxa"/>
            <w:tcBorders>
              <w:top w:val="nil"/>
              <w:left w:val="nil"/>
              <w:bottom w:val="single" w:sz="4" w:space="0" w:color="auto"/>
              <w:right w:val="single" w:sz="4" w:space="0" w:color="auto"/>
            </w:tcBorders>
            <w:shd w:val="clear" w:color="auto" w:fill="auto"/>
            <w:vAlign w:val="bottom"/>
            <w:hideMark/>
          </w:tcPr>
          <w:p w14:paraId="5F2AE2F3"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Základní umělecké školy</w:t>
            </w:r>
          </w:p>
        </w:tc>
        <w:tc>
          <w:tcPr>
            <w:tcW w:w="1394" w:type="dxa"/>
            <w:tcBorders>
              <w:top w:val="nil"/>
              <w:left w:val="nil"/>
              <w:bottom w:val="single" w:sz="4" w:space="0" w:color="auto"/>
              <w:right w:val="single" w:sz="4" w:space="0" w:color="auto"/>
            </w:tcBorders>
            <w:shd w:val="clear" w:color="auto" w:fill="auto"/>
            <w:noWrap/>
            <w:vAlign w:val="bottom"/>
            <w:hideMark/>
          </w:tcPr>
          <w:p w14:paraId="0B517A25"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6 592 000</w:t>
            </w:r>
          </w:p>
        </w:tc>
        <w:tc>
          <w:tcPr>
            <w:tcW w:w="1671" w:type="dxa"/>
            <w:tcBorders>
              <w:top w:val="nil"/>
              <w:left w:val="nil"/>
              <w:bottom w:val="single" w:sz="4" w:space="0" w:color="auto"/>
              <w:right w:val="single" w:sz="4" w:space="0" w:color="auto"/>
            </w:tcBorders>
            <w:shd w:val="clear" w:color="auto" w:fill="auto"/>
            <w:noWrap/>
            <w:vAlign w:val="bottom"/>
            <w:hideMark/>
          </w:tcPr>
          <w:p w14:paraId="4FC78634"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3 382 567,00</w:t>
            </w:r>
          </w:p>
        </w:tc>
        <w:tc>
          <w:tcPr>
            <w:tcW w:w="1684" w:type="dxa"/>
            <w:tcBorders>
              <w:top w:val="nil"/>
              <w:left w:val="nil"/>
              <w:bottom w:val="single" w:sz="4" w:space="0" w:color="auto"/>
              <w:right w:val="single" w:sz="4" w:space="0" w:color="auto"/>
            </w:tcBorders>
            <w:shd w:val="clear" w:color="auto" w:fill="auto"/>
            <w:noWrap/>
            <w:vAlign w:val="bottom"/>
            <w:hideMark/>
          </w:tcPr>
          <w:p w14:paraId="34744B8A"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3 372 967,00</w:t>
            </w:r>
          </w:p>
        </w:tc>
        <w:tc>
          <w:tcPr>
            <w:tcW w:w="576" w:type="dxa"/>
            <w:tcBorders>
              <w:top w:val="nil"/>
              <w:left w:val="nil"/>
              <w:bottom w:val="single" w:sz="4" w:space="0" w:color="auto"/>
              <w:right w:val="single" w:sz="8" w:space="0" w:color="auto"/>
            </w:tcBorders>
            <w:shd w:val="clear" w:color="auto" w:fill="auto"/>
            <w:noWrap/>
            <w:vAlign w:val="bottom"/>
            <w:hideMark/>
          </w:tcPr>
          <w:p w14:paraId="6C82AE05"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99,7</w:t>
            </w:r>
          </w:p>
        </w:tc>
      </w:tr>
      <w:tr w:rsidR="00AF5B41" w:rsidRPr="00DA77A7" w14:paraId="5917380C"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7497DDDC"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3269</w:t>
            </w:r>
          </w:p>
        </w:tc>
        <w:tc>
          <w:tcPr>
            <w:tcW w:w="4085" w:type="dxa"/>
            <w:tcBorders>
              <w:top w:val="nil"/>
              <w:left w:val="nil"/>
              <w:bottom w:val="single" w:sz="4" w:space="0" w:color="auto"/>
              <w:right w:val="single" w:sz="4" w:space="0" w:color="auto"/>
            </w:tcBorders>
            <w:shd w:val="clear" w:color="auto" w:fill="auto"/>
            <w:vAlign w:val="bottom"/>
            <w:hideMark/>
          </w:tcPr>
          <w:p w14:paraId="012732E4"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Ostatní správa ve vzdělávání jinde nezařazená</w:t>
            </w:r>
          </w:p>
        </w:tc>
        <w:tc>
          <w:tcPr>
            <w:tcW w:w="1394" w:type="dxa"/>
            <w:tcBorders>
              <w:top w:val="nil"/>
              <w:left w:val="nil"/>
              <w:bottom w:val="single" w:sz="4" w:space="0" w:color="auto"/>
              <w:right w:val="single" w:sz="4" w:space="0" w:color="auto"/>
            </w:tcBorders>
            <w:shd w:val="clear" w:color="auto" w:fill="auto"/>
            <w:noWrap/>
            <w:vAlign w:val="bottom"/>
            <w:hideMark/>
          </w:tcPr>
          <w:p w14:paraId="57D812F1"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w:t>
            </w:r>
          </w:p>
        </w:tc>
        <w:tc>
          <w:tcPr>
            <w:tcW w:w="1671" w:type="dxa"/>
            <w:tcBorders>
              <w:top w:val="nil"/>
              <w:left w:val="nil"/>
              <w:bottom w:val="single" w:sz="4" w:space="0" w:color="auto"/>
              <w:right w:val="single" w:sz="4" w:space="0" w:color="auto"/>
            </w:tcBorders>
            <w:shd w:val="clear" w:color="auto" w:fill="auto"/>
            <w:noWrap/>
            <w:vAlign w:val="bottom"/>
            <w:hideMark/>
          </w:tcPr>
          <w:p w14:paraId="175B97A6"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7 456 355,82</w:t>
            </w:r>
          </w:p>
        </w:tc>
        <w:tc>
          <w:tcPr>
            <w:tcW w:w="1684" w:type="dxa"/>
            <w:tcBorders>
              <w:top w:val="nil"/>
              <w:left w:val="nil"/>
              <w:bottom w:val="single" w:sz="4" w:space="0" w:color="auto"/>
              <w:right w:val="single" w:sz="4" w:space="0" w:color="auto"/>
            </w:tcBorders>
            <w:shd w:val="clear" w:color="auto" w:fill="auto"/>
            <w:noWrap/>
            <w:vAlign w:val="bottom"/>
            <w:hideMark/>
          </w:tcPr>
          <w:p w14:paraId="2FD5700E"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0,00</w:t>
            </w:r>
          </w:p>
        </w:tc>
        <w:tc>
          <w:tcPr>
            <w:tcW w:w="576" w:type="dxa"/>
            <w:tcBorders>
              <w:top w:val="nil"/>
              <w:left w:val="nil"/>
              <w:bottom w:val="single" w:sz="4" w:space="0" w:color="auto"/>
              <w:right w:val="single" w:sz="8" w:space="0" w:color="auto"/>
            </w:tcBorders>
            <w:shd w:val="clear" w:color="auto" w:fill="auto"/>
            <w:noWrap/>
            <w:vAlign w:val="bottom"/>
            <w:hideMark/>
          </w:tcPr>
          <w:p w14:paraId="2A389E22"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0,0</w:t>
            </w:r>
          </w:p>
        </w:tc>
      </w:tr>
      <w:tr w:rsidR="00AF5B41" w:rsidRPr="00DA77A7" w14:paraId="0899109F"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6ACDF8F3"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3294</w:t>
            </w:r>
          </w:p>
        </w:tc>
        <w:tc>
          <w:tcPr>
            <w:tcW w:w="4085" w:type="dxa"/>
            <w:tcBorders>
              <w:top w:val="nil"/>
              <w:left w:val="nil"/>
              <w:bottom w:val="single" w:sz="4" w:space="0" w:color="auto"/>
              <w:right w:val="single" w:sz="4" w:space="0" w:color="auto"/>
            </w:tcBorders>
            <w:shd w:val="clear" w:color="auto" w:fill="auto"/>
            <w:vAlign w:val="bottom"/>
            <w:hideMark/>
          </w:tcPr>
          <w:p w14:paraId="7AD48540"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Zařízení pro další vzdělávání pedagogických pracovníků</w:t>
            </w:r>
          </w:p>
        </w:tc>
        <w:tc>
          <w:tcPr>
            <w:tcW w:w="1394" w:type="dxa"/>
            <w:tcBorders>
              <w:top w:val="nil"/>
              <w:left w:val="nil"/>
              <w:bottom w:val="single" w:sz="4" w:space="0" w:color="auto"/>
              <w:right w:val="single" w:sz="4" w:space="0" w:color="auto"/>
            </w:tcBorders>
            <w:shd w:val="clear" w:color="auto" w:fill="auto"/>
            <w:noWrap/>
            <w:vAlign w:val="bottom"/>
            <w:hideMark/>
          </w:tcPr>
          <w:p w14:paraId="4608D592"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692 000</w:t>
            </w:r>
          </w:p>
        </w:tc>
        <w:tc>
          <w:tcPr>
            <w:tcW w:w="1671" w:type="dxa"/>
            <w:tcBorders>
              <w:top w:val="nil"/>
              <w:left w:val="nil"/>
              <w:bottom w:val="single" w:sz="4" w:space="0" w:color="auto"/>
              <w:right w:val="single" w:sz="4" w:space="0" w:color="auto"/>
            </w:tcBorders>
            <w:shd w:val="clear" w:color="auto" w:fill="auto"/>
            <w:noWrap/>
            <w:vAlign w:val="bottom"/>
            <w:hideMark/>
          </w:tcPr>
          <w:p w14:paraId="5BF61C7A"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668 400,00</w:t>
            </w:r>
          </w:p>
        </w:tc>
        <w:tc>
          <w:tcPr>
            <w:tcW w:w="1684" w:type="dxa"/>
            <w:tcBorders>
              <w:top w:val="nil"/>
              <w:left w:val="nil"/>
              <w:bottom w:val="single" w:sz="4" w:space="0" w:color="auto"/>
              <w:right w:val="single" w:sz="4" w:space="0" w:color="auto"/>
            </w:tcBorders>
            <w:shd w:val="clear" w:color="auto" w:fill="auto"/>
            <w:noWrap/>
            <w:vAlign w:val="bottom"/>
            <w:hideMark/>
          </w:tcPr>
          <w:p w14:paraId="0BAF5761"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656 352,00</w:t>
            </w:r>
          </w:p>
        </w:tc>
        <w:tc>
          <w:tcPr>
            <w:tcW w:w="576" w:type="dxa"/>
            <w:tcBorders>
              <w:top w:val="nil"/>
              <w:left w:val="nil"/>
              <w:bottom w:val="single" w:sz="4" w:space="0" w:color="auto"/>
              <w:right w:val="single" w:sz="8" w:space="0" w:color="auto"/>
            </w:tcBorders>
            <w:shd w:val="clear" w:color="auto" w:fill="auto"/>
            <w:noWrap/>
            <w:vAlign w:val="bottom"/>
            <w:hideMark/>
          </w:tcPr>
          <w:p w14:paraId="60B7DCA8"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98,2</w:t>
            </w:r>
          </w:p>
        </w:tc>
      </w:tr>
      <w:tr w:rsidR="00AF5B41" w:rsidRPr="00DA77A7" w14:paraId="5C7FC3E8" w14:textId="77777777" w:rsidTr="0042584A">
        <w:trPr>
          <w:trHeight w:val="300"/>
        </w:trPr>
        <w:tc>
          <w:tcPr>
            <w:tcW w:w="1231" w:type="dxa"/>
            <w:tcBorders>
              <w:top w:val="nil"/>
              <w:left w:val="single" w:sz="8" w:space="0" w:color="auto"/>
              <w:bottom w:val="single" w:sz="8" w:space="0" w:color="auto"/>
              <w:right w:val="single" w:sz="4" w:space="0" w:color="auto"/>
            </w:tcBorders>
            <w:shd w:val="clear" w:color="auto" w:fill="auto"/>
            <w:vAlign w:val="bottom"/>
            <w:hideMark/>
          </w:tcPr>
          <w:p w14:paraId="731F5357"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3421</w:t>
            </w:r>
          </w:p>
        </w:tc>
        <w:tc>
          <w:tcPr>
            <w:tcW w:w="4085" w:type="dxa"/>
            <w:tcBorders>
              <w:top w:val="nil"/>
              <w:left w:val="nil"/>
              <w:bottom w:val="single" w:sz="8" w:space="0" w:color="auto"/>
              <w:right w:val="single" w:sz="4" w:space="0" w:color="auto"/>
            </w:tcBorders>
            <w:shd w:val="clear" w:color="auto" w:fill="auto"/>
            <w:vAlign w:val="bottom"/>
            <w:hideMark/>
          </w:tcPr>
          <w:p w14:paraId="13CD178F"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Využití volného času dětí a mládeže</w:t>
            </w:r>
          </w:p>
        </w:tc>
        <w:tc>
          <w:tcPr>
            <w:tcW w:w="1394" w:type="dxa"/>
            <w:tcBorders>
              <w:top w:val="nil"/>
              <w:left w:val="nil"/>
              <w:bottom w:val="single" w:sz="8" w:space="0" w:color="auto"/>
              <w:right w:val="single" w:sz="4" w:space="0" w:color="auto"/>
            </w:tcBorders>
            <w:shd w:val="clear" w:color="auto" w:fill="auto"/>
            <w:noWrap/>
            <w:vAlign w:val="bottom"/>
            <w:hideMark/>
          </w:tcPr>
          <w:p w14:paraId="3E0D929B"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1 020 000</w:t>
            </w:r>
          </w:p>
        </w:tc>
        <w:tc>
          <w:tcPr>
            <w:tcW w:w="1671" w:type="dxa"/>
            <w:tcBorders>
              <w:top w:val="nil"/>
              <w:left w:val="nil"/>
              <w:bottom w:val="single" w:sz="8" w:space="0" w:color="auto"/>
              <w:right w:val="single" w:sz="4" w:space="0" w:color="auto"/>
            </w:tcBorders>
            <w:shd w:val="clear" w:color="auto" w:fill="auto"/>
            <w:noWrap/>
            <w:vAlign w:val="bottom"/>
            <w:hideMark/>
          </w:tcPr>
          <w:p w14:paraId="29BE0CFE"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971 911,00</w:t>
            </w:r>
          </w:p>
        </w:tc>
        <w:tc>
          <w:tcPr>
            <w:tcW w:w="1684" w:type="dxa"/>
            <w:tcBorders>
              <w:top w:val="nil"/>
              <w:left w:val="nil"/>
              <w:bottom w:val="single" w:sz="8" w:space="0" w:color="auto"/>
              <w:right w:val="single" w:sz="4" w:space="0" w:color="auto"/>
            </w:tcBorders>
            <w:shd w:val="clear" w:color="auto" w:fill="auto"/>
            <w:noWrap/>
            <w:vAlign w:val="bottom"/>
            <w:hideMark/>
          </w:tcPr>
          <w:p w14:paraId="7B052717"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898 243,00</w:t>
            </w:r>
          </w:p>
        </w:tc>
        <w:tc>
          <w:tcPr>
            <w:tcW w:w="576" w:type="dxa"/>
            <w:tcBorders>
              <w:top w:val="nil"/>
              <w:left w:val="nil"/>
              <w:bottom w:val="single" w:sz="8" w:space="0" w:color="auto"/>
              <w:right w:val="single" w:sz="8" w:space="0" w:color="auto"/>
            </w:tcBorders>
            <w:shd w:val="clear" w:color="auto" w:fill="auto"/>
            <w:noWrap/>
            <w:vAlign w:val="bottom"/>
            <w:hideMark/>
          </w:tcPr>
          <w:p w14:paraId="0FB98DC0"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92,4</w:t>
            </w:r>
          </w:p>
        </w:tc>
      </w:tr>
      <w:tr w:rsidR="00AF5B41" w:rsidRPr="00DA77A7" w14:paraId="11170A2C"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2C8B8E39" w14:textId="77777777" w:rsidR="00DA77A7" w:rsidRPr="00DA77A7" w:rsidRDefault="00DA77A7" w:rsidP="00DA77A7">
            <w:pPr>
              <w:spacing w:after="0" w:line="240" w:lineRule="auto"/>
              <w:jc w:val="center"/>
              <w:rPr>
                <w:rFonts w:ascii="Calibri" w:eastAsia="Times New Roman" w:hAnsi="Calibri" w:cs="Arial"/>
                <w:sz w:val="20"/>
                <w:szCs w:val="20"/>
                <w:lang w:eastAsia="cs-CZ"/>
              </w:rPr>
            </w:pPr>
            <w:r w:rsidRPr="00DA77A7">
              <w:rPr>
                <w:rFonts w:ascii="Calibri" w:eastAsia="Times New Roman" w:hAnsi="Calibri" w:cs="Arial"/>
                <w:sz w:val="20"/>
                <w:szCs w:val="20"/>
                <w:lang w:eastAsia="cs-CZ"/>
              </w:rPr>
              <w:t> </w:t>
            </w:r>
          </w:p>
        </w:tc>
        <w:tc>
          <w:tcPr>
            <w:tcW w:w="4085" w:type="dxa"/>
            <w:tcBorders>
              <w:top w:val="nil"/>
              <w:left w:val="nil"/>
              <w:bottom w:val="single" w:sz="4" w:space="0" w:color="auto"/>
              <w:right w:val="single" w:sz="4" w:space="0" w:color="auto"/>
            </w:tcBorders>
            <w:shd w:val="clear" w:color="000000" w:fill="FFFFFF"/>
            <w:vAlign w:val="bottom"/>
            <w:hideMark/>
          </w:tcPr>
          <w:p w14:paraId="00DBEC9D" w14:textId="77777777" w:rsidR="00DA77A7" w:rsidRPr="00DA77A7" w:rsidRDefault="00DA77A7" w:rsidP="00DA77A7">
            <w:pPr>
              <w:spacing w:after="0" w:line="240" w:lineRule="auto"/>
              <w:rPr>
                <w:rFonts w:ascii="Calibri" w:eastAsia="Times New Roman" w:hAnsi="Calibri" w:cs="Arial"/>
                <w:sz w:val="20"/>
                <w:szCs w:val="20"/>
                <w:lang w:eastAsia="cs-CZ"/>
              </w:rPr>
            </w:pPr>
            <w:r w:rsidRPr="00DA77A7">
              <w:rPr>
                <w:rFonts w:ascii="Calibri" w:eastAsia="Times New Roman" w:hAnsi="Calibri" w:cs="Arial"/>
                <w:sz w:val="20"/>
                <w:szCs w:val="20"/>
                <w:lang w:eastAsia="cs-CZ"/>
              </w:rPr>
              <w:t>Velké opravy a havárie</w:t>
            </w:r>
          </w:p>
        </w:tc>
        <w:tc>
          <w:tcPr>
            <w:tcW w:w="1394" w:type="dxa"/>
            <w:tcBorders>
              <w:top w:val="nil"/>
              <w:left w:val="nil"/>
              <w:bottom w:val="single" w:sz="4" w:space="0" w:color="auto"/>
              <w:right w:val="single" w:sz="4" w:space="0" w:color="auto"/>
            </w:tcBorders>
            <w:shd w:val="clear" w:color="000000" w:fill="FFFFFF"/>
            <w:noWrap/>
            <w:vAlign w:val="bottom"/>
            <w:hideMark/>
          </w:tcPr>
          <w:p w14:paraId="1010F697"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45 000 000</w:t>
            </w:r>
          </w:p>
        </w:tc>
        <w:tc>
          <w:tcPr>
            <w:tcW w:w="1671" w:type="dxa"/>
            <w:tcBorders>
              <w:top w:val="nil"/>
              <w:left w:val="nil"/>
              <w:bottom w:val="single" w:sz="4" w:space="0" w:color="auto"/>
              <w:right w:val="single" w:sz="4" w:space="0" w:color="auto"/>
            </w:tcBorders>
            <w:shd w:val="clear" w:color="000000" w:fill="FFFFFF"/>
            <w:noWrap/>
            <w:vAlign w:val="bottom"/>
            <w:hideMark/>
          </w:tcPr>
          <w:p w14:paraId="75D0B121"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42 794 649,77</w:t>
            </w:r>
          </w:p>
        </w:tc>
        <w:tc>
          <w:tcPr>
            <w:tcW w:w="1684" w:type="dxa"/>
            <w:tcBorders>
              <w:top w:val="nil"/>
              <w:left w:val="nil"/>
              <w:bottom w:val="single" w:sz="4" w:space="0" w:color="auto"/>
              <w:right w:val="single" w:sz="4" w:space="0" w:color="auto"/>
            </w:tcBorders>
            <w:shd w:val="clear" w:color="000000" w:fill="FFFFFF"/>
            <w:noWrap/>
            <w:vAlign w:val="bottom"/>
            <w:hideMark/>
          </w:tcPr>
          <w:p w14:paraId="6228461F"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34 984 064,66</w:t>
            </w:r>
          </w:p>
        </w:tc>
        <w:tc>
          <w:tcPr>
            <w:tcW w:w="576" w:type="dxa"/>
            <w:tcBorders>
              <w:top w:val="nil"/>
              <w:left w:val="nil"/>
              <w:bottom w:val="single" w:sz="4" w:space="0" w:color="auto"/>
              <w:right w:val="single" w:sz="8" w:space="0" w:color="auto"/>
            </w:tcBorders>
            <w:shd w:val="clear" w:color="000000" w:fill="FFFFFF"/>
            <w:noWrap/>
            <w:vAlign w:val="bottom"/>
            <w:hideMark/>
          </w:tcPr>
          <w:p w14:paraId="3E16F08C"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81,7</w:t>
            </w:r>
          </w:p>
        </w:tc>
      </w:tr>
      <w:tr w:rsidR="00DA77A7" w:rsidRPr="00DA77A7" w14:paraId="5B9809E6"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3BEDEF42" w14:textId="77777777" w:rsidR="00DA77A7" w:rsidRPr="00DA77A7" w:rsidRDefault="00DA77A7" w:rsidP="00DA77A7">
            <w:pPr>
              <w:spacing w:after="0" w:line="240" w:lineRule="auto"/>
              <w:jc w:val="center"/>
              <w:rPr>
                <w:rFonts w:ascii="Calibri" w:eastAsia="Times New Roman" w:hAnsi="Calibri" w:cs="Arial"/>
                <w:sz w:val="20"/>
                <w:szCs w:val="20"/>
                <w:lang w:eastAsia="cs-CZ"/>
              </w:rPr>
            </w:pPr>
            <w:r w:rsidRPr="00DA77A7">
              <w:rPr>
                <w:rFonts w:ascii="Calibri" w:eastAsia="Times New Roman" w:hAnsi="Calibri" w:cs="Arial"/>
                <w:sz w:val="20"/>
                <w:szCs w:val="20"/>
                <w:lang w:eastAsia="cs-CZ"/>
              </w:rPr>
              <w:t> </w:t>
            </w:r>
          </w:p>
        </w:tc>
        <w:tc>
          <w:tcPr>
            <w:tcW w:w="9410" w:type="dxa"/>
            <w:gridSpan w:val="5"/>
            <w:tcBorders>
              <w:top w:val="single" w:sz="4" w:space="0" w:color="auto"/>
              <w:left w:val="nil"/>
              <w:bottom w:val="single" w:sz="4" w:space="0" w:color="auto"/>
              <w:right w:val="single" w:sz="8" w:space="0" w:color="000000"/>
            </w:tcBorders>
            <w:shd w:val="clear" w:color="000000" w:fill="FFFFFF"/>
            <w:vAlign w:val="bottom"/>
            <w:hideMark/>
          </w:tcPr>
          <w:p w14:paraId="32009670" w14:textId="77777777" w:rsidR="00DA77A7" w:rsidRPr="00DA77A7" w:rsidRDefault="00DA77A7" w:rsidP="00DA77A7">
            <w:pPr>
              <w:spacing w:after="0" w:line="240" w:lineRule="auto"/>
              <w:rPr>
                <w:rFonts w:ascii="Calibri" w:eastAsia="Times New Roman" w:hAnsi="Calibri" w:cs="Arial"/>
                <w:sz w:val="20"/>
                <w:szCs w:val="20"/>
                <w:lang w:eastAsia="cs-CZ"/>
              </w:rPr>
            </w:pPr>
            <w:r w:rsidRPr="00DA77A7">
              <w:rPr>
                <w:rFonts w:ascii="Calibri" w:eastAsia="Times New Roman" w:hAnsi="Calibri" w:cs="Arial"/>
                <w:sz w:val="20"/>
                <w:szCs w:val="20"/>
                <w:lang w:eastAsia="cs-CZ"/>
              </w:rPr>
              <w:t>z toho:</w:t>
            </w:r>
          </w:p>
        </w:tc>
      </w:tr>
      <w:tr w:rsidR="00AF5B41" w:rsidRPr="00DA77A7" w14:paraId="2C175A13" w14:textId="77777777" w:rsidTr="0042584A">
        <w:trPr>
          <w:trHeight w:val="51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72C093C5"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3114</w:t>
            </w:r>
          </w:p>
        </w:tc>
        <w:tc>
          <w:tcPr>
            <w:tcW w:w="4085" w:type="dxa"/>
            <w:tcBorders>
              <w:top w:val="nil"/>
              <w:left w:val="nil"/>
              <w:bottom w:val="single" w:sz="4" w:space="0" w:color="auto"/>
              <w:right w:val="single" w:sz="4" w:space="0" w:color="auto"/>
            </w:tcBorders>
            <w:shd w:val="clear" w:color="auto" w:fill="auto"/>
            <w:vAlign w:val="center"/>
            <w:hideMark/>
          </w:tcPr>
          <w:p w14:paraId="60F1D6E3"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Základní školy pro žáky se speciálními vzdělávacími potřebami</w:t>
            </w:r>
          </w:p>
        </w:tc>
        <w:tc>
          <w:tcPr>
            <w:tcW w:w="1394" w:type="dxa"/>
            <w:tcBorders>
              <w:top w:val="nil"/>
              <w:left w:val="nil"/>
              <w:bottom w:val="single" w:sz="4" w:space="0" w:color="auto"/>
              <w:right w:val="single" w:sz="4" w:space="0" w:color="auto"/>
            </w:tcBorders>
            <w:shd w:val="clear" w:color="auto" w:fill="auto"/>
            <w:noWrap/>
            <w:vAlign w:val="bottom"/>
            <w:hideMark/>
          </w:tcPr>
          <w:p w14:paraId="38CDB914"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w:t>
            </w:r>
          </w:p>
        </w:tc>
        <w:tc>
          <w:tcPr>
            <w:tcW w:w="1671" w:type="dxa"/>
            <w:tcBorders>
              <w:top w:val="nil"/>
              <w:left w:val="nil"/>
              <w:bottom w:val="single" w:sz="4" w:space="0" w:color="auto"/>
              <w:right w:val="single" w:sz="4" w:space="0" w:color="auto"/>
            </w:tcBorders>
            <w:shd w:val="clear" w:color="auto" w:fill="auto"/>
            <w:noWrap/>
            <w:vAlign w:val="bottom"/>
            <w:hideMark/>
          </w:tcPr>
          <w:p w14:paraId="4741FC59"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4 632 967,85</w:t>
            </w:r>
          </w:p>
        </w:tc>
        <w:tc>
          <w:tcPr>
            <w:tcW w:w="1684" w:type="dxa"/>
            <w:tcBorders>
              <w:top w:val="nil"/>
              <w:left w:val="nil"/>
              <w:bottom w:val="single" w:sz="4" w:space="0" w:color="auto"/>
              <w:right w:val="single" w:sz="4" w:space="0" w:color="auto"/>
            </w:tcBorders>
            <w:shd w:val="clear" w:color="auto" w:fill="auto"/>
            <w:noWrap/>
            <w:vAlign w:val="bottom"/>
            <w:hideMark/>
          </w:tcPr>
          <w:p w14:paraId="497AB221"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3 363 136,35</w:t>
            </w:r>
          </w:p>
        </w:tc>
        <w:tc>
          <w:tcPr>
            <w:tcW w:w="576" w:type="dxa"/>
            <w:tcBorders>
              <w:top w:val="nil"/>
              <w:left w:val="nil"/>
              <w:bottom w:val="single" w:sz="4" w:space="0" w:color="auto"/>
              <w:right w:val="single" w:sz="8" w:space="0" w:color="auto"/>
            </w:tcBorders>
            <w:shd w:val="clear" w:color="auto" w:fill="auto"/>
            <w:noWrap/>
            <w:vAlign w:val="bottom"/>
            <w:hideMark/>
          </w:tcPr>
          <w:p w14:paraId="031086FD"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72,6</w:t>
            </w:r>
          </w:p>
        </w:tc>
      </w:tr>
      <w:tr w:rsidR="00AF5B41" w:rsidRPr="00DA77A7" w14:paraId="7F3F8ABB"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16E74D4B"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3121</w:t>
            </w:r>
          </w:p>
        </w:tc>
        <w:tc>
          <w:tcPr>
            <w:tcW w:w="4085" w:type="dxa"/>
            <w:tcBorders>
              <w:top w:val="nil"/>
              <w:left w:val="nil"/>
              <w:bottom w:val="single" w:sz="4" w:space="0" w:color="auto"/>
              <w:right w:val="single" w:sz="4" w:space="0" w:color="auto"/>
            </w:tcBorders>
            <w:shd w:val="clear" w:color="auto" w:fill="auto"/>
            <w:vAlign w:val="bottom"/>
            <w:hideMark/>
          </w:tcPr>
          <w:p w14:paraId="428CFE2D"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Gymnázia</w:t>
            </w:r>
          </w:p>
        </w:tc>
        <w:tc>
          <w:tcPr>
            <w:tcW w:w="1394" w:type="dxa"/>
            <w:tcBorders>
              <w:top w:val="nil"/>
              <w:left w:val="nil"/>
              <w:bottom w:val="single" w:sz="4" w:space="0" w:color="auto"/>
              <w:right w:val="single" w:sz="4" w:space="0" w:color="auto"/>
            </w:tcBorders>
            <w:shd w:val="clear" w:color="auto" w:fill="auto"/>
            <w:noWrap/>
            <w:vAlign w:val="bottom"/>
            <w:hideMark/>
          </w:tcPr>
          <w:p w14:paraId="35FFEC93"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w:t>
            </w:r>
          </w:p>
        </w:tc>
        <w:tc>
          <w:tcPr>
            <w:tcW w:w="1671" w:type="dxa"/>
            <w:tcBorders>
              <w:top w:val="nil"/>
              <w:left w:val="nil"/>
              <w:bottom w:val="single" w:sz="4" w:space="0" w:color="auto"/>
              <w:right w:val="single" w:sz="4" w:space="0" w:color="auto"/>
            </w:tcBorders>
            <w:shd w:val="clear" w:color="auto" w:fill="auto"/>
            <w:noWrap/>
            <w:vAlign w:val="bottom"/>
            <w:hideMark/>
          </w:tcPr>
          <w:p w14:paraId="36239048"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6 287 726,00</w:t>
            </w:r>
          </w:p>
        </w:tc>
        <w:tc>
          <w:tcPr>
            <w:tcW w:w="1684" w:type="dxa"/>
            <w:tcBorders>
              <w:top w:val="nil"/>
              <w:left w:val="nil"/>
              <w:bottom w:val="single" w:sz="4" w:space="0" w:color="auto"/>
              <w:right w:val="single" w:sz="4" w:space="0" w:color="auto"/>
            </w:tcBorders>
            <w:shd w:val="clear" w:color="auto" w:fill="auto"/>
            <w:noWrap/>
            <w:vAlign w:val="bottom"/>
            <w:hideMark/>
          </w:tcPr>
          <w:p w14:paraId="0D62DB92"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4 652 150,63</w:t>
            </w:r>
          </w:p>
        </w:tc>
        <w:tc>
          <w:tcPr>
            <w:tcW w:w="576" w:type="dxa"/>
            <w:tcBorders>
              <w:top w:val="nil"/>
              <w:left w:val="nil"/>
              <w:bottom w:val="single" w:sz="4" w:space="0" w:color="auto"/>
              <w:right w:val="single" w:sz="8" w:space="0" w:color="auto"/>
            </w:tcBorders>
            <w:shd w:val="clear" w:color="auto" w:fill="auto"/>
            <w:noWrap/>
            <w:vAlign w:val="bottom"/>
            <w:hideMark/>
          </w:tcPr>
          <w:p w14:paraId="248E3979"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74,0</w:t>
            </w:r>
          </w:p>
        </w:tc>
      </w:tr>
      <w:tr w:rsidR="00AF5B41" w:rsidRPr="00DA77A7" w14:paraId="216A0305"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43BA157B"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3122</w:t>
            </w:r>
          </w:p>
        </w:tc>
        <w:tc>
          <w:tcPr>
            <w:tcW w:w="4085" w:type="dxa"/>
            <w:tcBorders>
              <w:top w:val="nil"/>
              <w:left w:val="nil"/>
              <w:bottom w:val="single" w:sz="4" w:space="0" w:color="auto"/>
              <w:right w:val="single" w:sz="4" w:space="0" w:color="auto"/>
            </w:tcBorders>
            <w:shd w:val="clear" w:color="auto" w:fill="auto"/>
            <w:vAlign w:val="bottom"/>
            <w:hideMark/>
          </w:tcPr>
          <w:p w14:paraId="54D6D8BD"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Střední odborné školy</w:t>
            </w:r>
          </w:p>
        </w:tc>
        <w:tc>
          <w:tcPr>
            <w:tcW w:w="1394" w:type="dxa"/>
            <w:tcBorders>
              <w:top w:val="nil"/>
              <w:left w:val="nil"/>
              <w:bottom w:val="single" w:sz="4" w:space="0" w:color="auto"/>
              <w:right w:val="single" w:sz="4" w:space="0" w:color="auto"/>
            </w:tcBorders>
            <w:shd w:val="clear" w:color="auto" w:fill="auto"/>
            <w:noWrap/>
            <w:vAlign w:val="bottom"/>
            <w:hideMark/>
          </w:tcPr>
          <w:p w14:paraId="5145A852"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w:t>
            </w:r>
          </w:p>
        </w:tc>
        <w:tc>
          <w:tcPr>
            <w:tcW w:w="1671" w:type="dxa"/>
            <w:tcBorders>
              <w:top w:val="nil"/>
              <w:left w:val="nil"/>
              <w:bottom w:val="single" w:sz="4" w:space="0" w:color="auto"/>
              <w:right w:val="single" w:sz="4" w:space="0" w:color="auto"/>
            </w:tcBorders>
            <w:shd w:val="clear" w:color="auto" w:fill="auto"/>
            <w:noWrap/>
            <w:vAlign w:val="bottom"/>
            <w:hideMark/>
          </w:tcPr>
          <w:p w14:paraId="78572D93"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14 219 475,36</w:t>
            </w:r>
          </w:p>
        </w:tc>
        <w:tc>
          <w:tcPr>
            <w:tcW w:w="1684" w:type="dxa"/>
            <w:tcBorders>
              <w:top w:val="nil"/>
              <w:left w:val="nil"/>
              <w:bottom w:val="single" w:sz="4" w:space="0" w:color="auto"/>
              <w:right w:val="single" w:sz="4" w:space="0" w:color="auto"/>
            </w:tcBorders>
            <w:shd w:val="clear" w:color="auto" w:fill="auto"/>
            <w:noWrap/>
            <w:vAlign w:val="bottom"/>
            <w:hideMark/>
          </w:tcPr>
          <w:p w14:paraId="437C4DCC"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12 705 687,45</w:t>
            </w:r>
          </w:p>
        </w:tc>
        <w:tc>
          <w:tcPr>
            <w:tcW w:w="576" w:type="dxa"/>
            <w:tcBorders>
              <w:top w:val="nil"/>
              <w:left w:val="nil"/>
              <w:bottom w:val="single" w:sz="4" w:space="0" w:color="auto"/>
              <w:right w:val="single" w:sz="8" w:space="0" w:color="auto"/>
            </w:tcBorders>
            <w:shd w:val="clear" w:color="auto" w:fill="auto"/>
            <w:noWrap/>
            <w:vAlign w:val="bottom"/>
            <w:hideMark/>
          </w:tcPr>
          <w:p w14:paraId="12C16C72"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89,4</w:t>
            </w:r>
          </w:p>
        </w:tc>
      </w:tr>
      <w:tr w:rsidR="00AF5B41" w:rsidRPr="00DA77A7" w14:paraId="709D0D07"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7B0293BB"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lastRenderedPageBreak/>
              <w:t>3123</w:t>
            </w:r>
          </w:p>
        </w:tc>
        <w:tc>
          <w:tcPr>
            <w:tcW w:w="4085" w:type="dxa"/>
            <w:tcBorders>
              <w:top w:val="nil"/>
              <w:left w:val="nil"/>
              <w:bottom w:val="single" w:sz="4" w:space="0" w:color="auto"/>
              <w:right w:val="single" w:sz="4" w:space="0" w:color="auto"/>
            </w:tcBorders>
            <w:shd w:val="clear" w:color="auto" w:fill="auto"/>
            <w:vAlign w:val="center"/>
            <w:hideMark/>
          </w:tcPr>
          <w:p w14:paraId="2CEA60A0"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Střední školy poskytující střední vzdělání s výučním listem</w:t>
            </w:r>
          </w:p>
        </w:tc>
        <w:tc>
          <w:tcPr>
            <w:tcW w:w="1394" w:type="dxa"/>
            <w:tcBorders>
              <w:top w:val="nil"/>
              <w:left w:val="nil"/>
              <w:bottom w:val="single" w:sz="4" w:space="0" w:color="auto"/>
              <w:right w:val="single" w:sz="4" w:space="0" w:color="auto"/>
            </w:tcBorders>
            <w:shd w:val="clear" w:color="auto" w:fill="auto"/>
            <w:noWrap/>
            <w:vAlign w:val="bottom"/>
            <w:hideMark/>
          </w:tcPr>
          <w:p w14:paraId="36899EFC"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w:t>
            </w:r>
          </w:p>
        </w:tc>
        <w:tc>
          <w:tcPr>
            <w:tcW w:w="1671" w:type="dxa"/>
            <w:tcBorders>
              <w:top w:val="nil"/>
              <w:left w:val="nil"/>
              <w:bottom w:val="single" w:sz="4" w:space="0" w:color="auto"/>
              <w:right w:val="single" w:sz="4" w:space="0" w:color="auto"/>
            </w:tcBorders>
            <w:shd w:val="clear" w:color="auto" w:fill="auto"/>
            <w:noWrap/>
            <w:vAlign w:val="bottom"/>
            <w:hideMark/>
          </w:tcPr>
          <w:p w14:paraId="58A5009D"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13 136 404,61</w:t>
            </w:r>
          </w:p>
        </w:tc>
        <w:tc>
          <w:tcPr>
            <w:tcW w:w="1684" w:type="dxa"/>
            <w:tcBorders>
              <w:top w:val="nil"/>
              <w:left w:val="nil"/>
              <w:bottom w:val="single" w:sz="4" w:space="0" w:color="auto"/>
              <w:right w:val="single" w:sz="4" w:space="0" w:color="auto"/>
            </w:tcBorders>
            <w:shd w:val="clear" w:color="auto" w:fill="auto"/>
            <w:noWrap/>
            <w:vAlign w:val="bottom"/>
            <w:hideMark/>
          </w:tcPr>
          <w:p w14:paraId="4D15636C"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12 041 416,11</w:t>
            </w:r>
          </w:p>
        </w:tc>
        <w:tc>
          <w:tcPr>
            <w:tcW w:w="576" w:type="dxa"/>
            <w:tcBorders>
              <w:top w:val="nil"/>
              <w:left w:val="nil"/>
              <w:bottom w:val="single" w:sz="4" w:space="0" w:color="auto"/>
              <w:right w:val="single" w:sz="8" w:space="0" w:color="auto"/>
            </w:tcBorders>
            <w:shd w:val="clear" w:color="auto" w:fill="auto"/>
            <w:noWrap/>
            <w:vAlign w:val="bottom"/>
            <w:hideMark/>
          </w:tcPr>
          <w:p w14:paraId="4893FEA6"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91,7</w:t>
            </w:r>
          </w:p>
        </w:tc>
      </w:tr>
      <w:tr w:rsidR="00AF5B41" w:rsidRPr="00DA77A7" w14:paraId="08B15008"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5409C6DE"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3125</w:t>
            </w:r>
          </w:p>
        </w:tc>
        <w:tc>
          <w:tcPr>
            <w:tcW w:w="4085" w:type="dxa"/>
            <w:tcBorders>
              <w:top w:val="nil"/>
              <w:left w:val="nil"/>
              <w:bottom w:val="single" w:sz="4" w:space="0" w:color="auto"/>
              <w:right w:val="single" w:sz="4" w:space="0" w:color="auto"/>
            </w:tcBorders>
            <w:shd w:val="clear" w:color="auto" w:fill="auto"/>
            <w:vAlign w:val="center"/>
            <w:hideMark/>
          </w:tcPr>
          <w:p w14:paraId="161F2045"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Střediska praktického vyučování a školní hospodářství</w:t>
            </w:r>
          </w:p>
        </w:tc>
        <w:tc>
          <w:tcPr>
            <w:tcW w:w="1394" w:type="dxa"/>
            <w:tcBorders>
              <w:top w:val="nil"/>
              <w:left w:val="nil"/>
              <w:bottom w:val="single" w:sz="4" w:space="0" w:color="auto"/>
              <w:right w:val="single" w:sz="4" w:space="0" w:color="auto"/>
            </w:tcBorders>
            <w:shd w:val="clear" w:color="auto" w:fill="auto"/>
            <w:noWrap/>
            <w:vAlign w:val="bottom"/>
            <w:hideMark/>
          </w:tcPr>
          <w:p w14:paraId="4325C6F1"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w:t>
            </w:r>
          </w:p>
        </w:tc>
        <w:tc>
          <w:tcPr>
            <w:tcW w:w="1671" w:type="dxa"/>
            <w:tcBorders>
              <w:top w:val="nil"/>
              <w:left w:val="nil"/>
              <w:bottom w:val="single" w:sz="4" w:space="0" w:color="auto"/>
              <w:right w:val="single" w:sz="4" w:space="0" w:color="auto"/>
            </w:tcBorders>
            <w:shd w:val="clear" w:color="auto" w:fill="auto"/>
            <w:noWrap/>
            <w:vAlign w:val="bottom"/>
            <w:hideMark/>
          </w:tcPr>
          <w:p w14:paraId="1B4DD728"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363 000,00</w:t>
            </w:r>
          </w:p>
        </w:tc>
        <w:tc>
          <w:tcPr>
            <w:tcW w:w="1684" w:type="dxa"/>
            <w:tcBorders>
              <w:top w:val="nil"/>
              <w:left w:val="nil"/>
              <w:bottom w:val="single" w:sz="4" w:space="0" w:color="auto"/>
              <w:right w:val="single" w:sz="4" w:space="0" w:color="auto"/>
            </w:tcBorders>
            <w:shd w:val="clear" w:color="auto" w:fill="auto"/>
            <w:noWrap/>
            <w:vAlign w:val="bottom"/>
            <w:hideMark/>
          </w:tcPr>
          <w:p w14:paraId="1443D793"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0,00</w:t>
            </w:r>
          </w:p>
        </w:tc>
        <w:tc>
          <w:tcPr>
            <w:tcW w:w="576" w:type="dxa"/>
            <w:tcBorders>
              <w:top w:val="nil"/>
              <w:left w:val="nil"/>
              <w:bottom w:val="single" w:sz="4" w:space="0" w:color="auto"/>
              <w:right w:val="single" w:sz="8" w:space="0" w:color="auto"/>
            </w:tcBorders>
            <w:shd w:val="clear" w:color="auto" w:fill="auto"/>
            <w:noWrap/>
            <w:vAlign w:val="bottom"/>
            <w:hideMark/>
          </w:tcPr>
          <w:p w14:paraId="09B1E52B"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0,0</w:t>
            </w:r>
          </w:p>
        </w:tc>
      </w:tr>
      <w:tr w:rsidR="00AF5B41" w:rsidRPr="00DA77A7" w14:paraId="1AE48DE4"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1557F93B"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3133</w:t>
            </w:r>
          </w:p>
        </w:tc>
        <w:tc>
          <w:tcPr>
            <w:tcW w:w="4085" w:type="dxa"/>
            <w:tcBorders>
              <w:top w:val="nil"/>
              <w:left w:val="nil"/>
              <w:bottom w:val="single" w:sz="4" w:space="0" w:color="auto"/>
              <w:right w:val="single" w:sz="4" w:space="0" w:color="auto"/>
            </w:tcBorders>
            <w:shd w:val="clear" w:color="auto" w:fill="auto"/>
            <w:vAlign w:val="bottom"/>
            <w:hideMark/>
          </w:tcPr>
          <w:p w14:paraId="6B011A5B"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Dětské domovy</w:t>
            </w:r>
          </w:p>
        </w:tc>
        <w:tc>
          <w:tcPr>
            <w:tcW w:w="1394" w:type="dxa"/>
            <w:tcBorders>
              <w:top w:val="nil"/>
              <w:left w:val="nil"/>
              <w:bottom w:val="single" w:sz="4" w:space="0" w:color="auto"/>
              <w:right w:val="single" w:sz="4" w:space="0" w:color="auto"/>
            </w:tcBorders>
            <w:shd w:val="clear" w:color="auto" w:fill="auto"/>
            <w:noWrap/>
            <w:vAlign w:val="bottom"/>
            <w:hideMark/>
          </w:tcPr>
          <w:p w14:paraId="245D11AB"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w:t>
            </w:r>
          </w:p>
        </w:tc>
        <w:tc>
          <w:tcPr>
            <w:tcW w:w="1671" w:type="dxa"/>
            <w:tcBorders>
              <w:top w:val="nil"/>
              <w:left w:val="nil"/>
              <w:bottom w:val="single" w:sz="4" w:space="0" w:color="auto"/>
              <w:right w:val="single" w:sz="4" w:space="0" w:color="auto"/>
            </w:tcBorders>
            <w:shd w:val="clear" w:color="auto" w:fill="auto"/>
            <w:noWrap/>
            <w:vAlign w:val="bottom"/>
            <w:hideMark/>
          </w:tcPr>
          <w:p w14:paraId="217B834C"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1 547 000,00</w:t>
            </w:r>
          </w:p>
        </w:tc>
        <w:tc>
          <w:tcPr>
            <w:tcW w:w="1684" w:type="dxa"/>
            <w:tcBorders>
              <w:top w:val="nil"/>
              <w:left w:val="nil"/>
              <w:bottom w:val="single" w:sz="4" w:space="0" w:color="auto"/>
              <w:right w:val="single" w:sz="4" w:space="0" w:color="auto"/>
            </w:tcBorders>
            <w:shd w:val="clear" w:color="auto" w:fill="auto"/>
            <w:noWrap/>
            <w:vAlign w:val="bottom"/>
            <w:hideMark/>
          </w:tcPr>
          <w:p w14:paraId="1A68BA9A"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628 530,00</w:t>
            </w:r>
          </w:p>
        </w:tc>
        <w:tc>
          <w:tcPr>
            <w:tcW w:w="576" w:type="dxa"/>
            <w:tcBorders>
              <w:top w:val="nil"/>
              <w:left w:val="nil"/>
              <w:bottom w:val="single" w:sz="4" w:space="0" w:color="auto"/>
              <w:right w:val="single" w:sz="8" w:space="0" w:color="auto"/>
            </w:tcBorders>
            <w:shd w:val="clear" w:color="auto" w:fill="auto"/>
            <w:noWrap/>
            <w:vAlign w:val="bottom"/>
            <w:hideMark/>
          </w:tcPr>
          <w:p w14:paraId="3ECB5E11"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40,6</w:t>
            </w:r>
          </w:p>
        </w:tc>
      </w:tr>
      <w:tr w:rsidR="00AF5B41" w:rsidRPr="00DA77A7" w14:paraId="13B91904"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4D2423E4"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3231</w:t>
            </w:r>
          </w:p>
        </w:tc>
        <w:tc>
          <w:tcPr>
            <w:tcW w:w="4085" w:type="dxa"/>
            <w:tcBorders>
              <w:top w:val="nil"/>
              <w:left w:val="nil"/>
              <w:bottom w:val="single" w:sz="4" w:space="0" w:color="auto"/>
              <w:right w:val="single" w:sz="4" w:space="0" w:color="auto"/>
            </w:tcBorders>
            <w:shd w:val="clear" w:color="auto" w:fill="auto"/>
            <w:vAlign w:val="bottom"/>
            <w:hideMark/>
          </w:tcPr>
          <w:p w14:paraId="7E81C747"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Základní umělecké školy</w:t>
            </w:r>
          </w:p>
        </w:tc>
        <w:tc>
          <w:tcPr>
            <w:tcW w:w="1394" w:type="dxa"/>
            <w:tcBorders>
              <w:top w:val="nil"/>
              <w:left w:val="nil"/>
              <w:bottom w:val="single" w:sz="4" w:space="0" w:color="auto"/>
              <w:right w:val="single" w:sz="4" w:space="0" w:color="auto"/>
            </w:tcBorders>
            <w:shd w:val="clear" w:color="auto" w:fill="auto"/>
            <w:noWrap/>
            <w:vAlign w:val="bottom"/>
            <w:hideMark/>
          </w:tcPr>
          <w:p w14:paraId="53C6ECBF"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w:t>
            </w:r>
          </w:p>
        </w:tc>
        <w:tc>
          <w:tcPr>
            <w:tcW w:w="1671" w:type="dxa"/>
            <w:tcBorders>
              <w:top w:val="nil"/>
              <w:left w:val="nil"/>
              <w:bottom w:val="single" w:sz="4" w:space="0" w:color="auto"/>
              <w:right w:val="single" w:sz="4" w:space="0" w:color="auto"/>
            </w:tcBorders>
            <w:shd w:val="clear" w:color="auto" w:fill="auto"/>
            <w:noWrap/>
            <w:vAlign w:val="bottom"/>
            <w:hideMark/>
          </w:tcPr>
          <w:p w14:paraId="11754244"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80 000,00</w:t>
            </w:r>
          </w:p>
        </w:tc>
        <w:tc>
          <w:tcPr>
            <w:tcW w:w="1684" w:type="dxa"/>
            <w:tcBorders>
              <w:top w:val="nil"/>
              <w:left w:val="nil"/>
              <w:bottom w:val="single" w:sz="4" w:space="0" w:color="auto"/>
              <w:right w:val="single" w:sz="4" w:space="0" w:color="auto"/>
            </w:tcBorders>
            <w:shd w:val="clear" w:color="auto" w:fill="auto"/>
            <w:noWrap/>
            <w:vAlign w:val="bottom"/>
            <w:hideMark/>
          </w:tcPr>
          <w:p w14:paraId="5A7BED3D"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61 758,40</w:t>
            </w:r>
          </w:p>
        </w:tc>
        <w:tc>
          <w:tcPr>
            <w:tcW w:w="576" w:type="dxa"/>
            <w:tcBorders>
              <w:top w:val="nil"/>
              <w:left w:val="nil"/>
              <w:bottom w:val="single" w:sz="4" w:space="0" w:color="auto"/>
              <w:right w:val="single" w:sz="8" w:space="0" w:color="auto"/>
            </w:tcBorders>
            <w:shd w:val="clear" w:color="auto" w:fill="auto"/>
            <w:noWrap/>
            <w:vAlign w:val="bottom"/>
            <w:hideMark/>
          </w:tcPr>
          <w:p w14:paraId="5F492263"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77,2</w:t>
            </w:r>
          </w:p>
        </w:tc>
      </w:tr>
      <w:tr w:rsidR="00AF5B41" w:rsidRPr="00DA77A7" w14:paraId="7C92ACB1"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3F017B41"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3269</w:t>
            </w:r>
          </w:p>
        </w:tc>
        <w:tc>
          <w:tcPr>
            <w:tcW w:w="4085" w:type="dxa"/>
            <w:tcBorders>
              <w:top w:val="nil"/>
              <w:left w:val="nil"/>
              <w:bottom w:val="single" w:sz="4" w:space="0" w:color="auto"/>
              <w:right w:val="single" w:sz="4" w:space="0" w:color="auto"/>
            </w:tcBorders>
            <w:shd w:val="clear" w:color="auto" w:fill="auto"/>
            <w:vAlign w:val="bottom"/>
            <w:hideMark/>
          </w:tcPr>
          <w:p w14:paraId="36E24D6C"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Ostatní správa ve vzdělávání jinde nezařazená</w:t>
            </w:r>
          </w:p>
        </w:tc>
        <w:tc>
          <w:tcPr>
            <w:tcW w:w="1394" w:type="dxa"/>
            <w:tcBorders>
              <w:top w:val="nil"/>
              <w:left w:val="nil"/>
              <w:bottom w:val="single" w:sz="4" w:space="0" w:color="auto"/>
              <w:right w:val="single" w:sz="4" w:space="0" w:color="auto"/>
            </w:tcBorders>
            <w:shd w:val="clear" w:color="auto" w:fill="auto"/>
            <w:noWrap/>
            <w:vAlign w:val="bottom"/>
            <w:hideMark/>
          </w:tcPr>
          <w:p w14:paraId="22C0F5CA"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45 000 000</w:t>
            </w:r>
          </w:p>
        </w:tc>
        <w:tc>
          <w:tcPr>
            <w:tcW w:w="1671" w:type="dxa"/>
            <w:tcBorders>
              <w:top w:val="nil"/>
              <w:left w:val="nil"/>
              <w:bottom w:val="single" w:sz="4" w:space="0" w:color="auto"/>
              <w:right w:val="single" w:sz="4" w:space="0" w:color="auto"/>
            </w:tcBorders>
            <w:shd w:val="clear" w:color="auto" w:fill="auto"/>
            <w:noWrap/>
            <w:vAlign w:val="bottom"/>
            <w:hideMark/>
          </w:tcPr>
          <w:p w14:paraId="5FA1F9C8"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168 075,95</w:t>
            </w:r>
          </w:p>
        </w:tc>
        <w:tc>
          <w:tcPr>
            <w:tcW w:w="1684" w:type="dxa"/>
            <w:tcBorders>
              <w:top w:val="nil"/>
              <w:left w:val="nil"/>
              <w:bottom w:val="single" w:sz="4" w:space="0" w:color="auto"/>
              <w:right w:val="single" w:sz="4" w:space="0" w:color="auto"/>
            </w:tcBorders>
            <w:shd w:val="clear" w:color="auto" w:fill="auto"/>
            <w:noWrap/>
            <w:vAlign w:val="bottom"/>
            <w:hideMark/>
          </w:tcPr>
          <w:p w14:paraId="63F85EB9"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0,00</w:t>
            </w:r>
          </w:p>
        </w:tc>
        <w:tc>
          <w:tcPr>
            <w:tcW w:w="576" w:type="dxa"/>
            <w:tcBorders>
              <w:top w:val="nil"/>
              <w:left w:val="nil"/>
              <w:bottom w:val="single" w:sz="4" w:space="0" w:color="auto"/>
              <w:right w:val="single" w:sz="8" w:space="0" w:color="auto"/>
            </w:tcBorders>
            <w:shd w:val="clear" w:color="auto" w:fill="auto"/>
            <w:noWrap/>
            <w:vAlign w:val="bottom"/>
            <w:hideMark/>
          </w:tcPr>
          <w:p w14:paraId="4A56BCB8"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0,0</w:t>
            </w:r>
          </w:p>
        </w:tc>
      </w:tr>
      <w:tr w:rsidR="00AF5B41" w:rsidRPr="00DA77A7" w14:paraId="5E77C6E0" w14:textId="77777777" w:rsidTr="0042584A">
        <w:trPr>
          <w:trHeight w:val="300"/>
        </w:trPr>
        <w:tc>
          <w:tcPr>
            <w:tcW w:w="1231" w:type="dxa"/>
            <w:tcBorders>
              <w:top w:val="nil"/>
              <w:left w:val="single" w:sz="8" w:space="0" w:color="auto"/>
              <w:bottom w:val="single" w:sz="8" w:space="0" w:color="auto"/>
              <w:right w:val="single" w:sz="4" w:space="0" w:color="auto"/>
            </w:tcBorders>
            <w:shd w:val="clear" w:color="auto" w:fill="auto"/>
            <w:vAlign w:val="bottom"/>
            <w:hideMark/>
          </w:tcPr>
          <w:p w14:paraId="21F7F7F1"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3421</w:t>
            </w:r>
          </w:p>
        </w:tc>
        <w:tc>
          <w:tcPr>
            <w:tcW w:w="4085" w:type="dxa"/>
            <w:tcBorders>
              <w:top w:val="nil"/>
              <w:left w:val="nil"/>
              <w:bottom w:val="single" w:sz="8" w:space="0" w:color="auto"/>
              <w:right w:val="single" w:sz="4" w:space="0" w:color="auto"/>
            </w:tcBorders>
            <w:shd w:val="clear" w:color="auto" w:fill="auto"/>
            <w:vAlign w:val="bottom"/>
            <w:hideMark/>
          </w:tcPr>
          <w:p w14:paraId="40EF92EC"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Využití volného času dětí a mládeže</w:t>
            </w:r>
          </w:p>
        </w:tc>
        <w:tc>
          <w:tcPr>
            <w:tcW w:w="1394" w:type="dxa"/>
            <w:tcBorders>
              <w:top w:val="nil"/>
              <w:left w:val="nil"/>
              <w:bottom w:val="single" w:sz="8" w:space="0" w:color="auto"/>
              <w:right w:val="single" w:sz="4" w:space="0" w:color="auto"/>
            </w:tcBorders>
            <w:shd w:val="clear" w:color="auto" w:fill="auto"/>
            <w:noWrap/>
            <w:vAlign w:val="bottom"/>
            <w:hideMark/>
          </w:tcPr>
          <w:p w14:paraId="41E42E51"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w:t>
            </w:r>
          </w:p>
        </w:tc>
        <w:tc>
          <w:tcPr>
            <w:tcW w:w="1671" w:type="dxa"/>
            <w:tcBorders>
              <w:top w:val="nil"/>
              <w:left w:val="nil"/>
              <w:bottom w:val="single" w:sz="8" w:space="0" w:color="auto"/>
              <w:right w:val="single" w:sz="4" w:space="0" w:color="auto"/>
            </w:tcBorders>
            <w:shd w:val="clear" w:color="auto" w:fill="auto"/>
            <w:noWrap/>
            <w:vAlign w:val="bottom"/>
            <w:hideMark/>
          </w:tcPr>
          <w:p w14:paraId="69D1B74F"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2 360 000,00</w:t>
            </w:r>
          </w:p>
        </w:tc>
        <w:tc>
          <w:tcPr>
            <w:tcW w:w="1684" w:type="dxa"/>
            <w:tcBorders>
              <w:top w:val="nil"/>
              <w:left w:val="nil"/>
              <w:bottom w:val="single" w:sz="8" w:space="0" w:color="auto"/>
              <w:right w:val="single" w:sz="4" w:space="0" w:color="auto"/>
            </w:tcBorders>
            <w:shd w:val="clear" w:color="auto" w:fill="auto"/>
            <w:noWrap/>
            <w:vAlign w:val="bottom"/>
            <w:hideMark/>
          </w:tcPr>
          <w:p w14:paraId="2D724265"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1 531 385,72</w:t>
            </w:r>
          </w:p>
        </w:tc>
        <w:tc>
          <w:tcPr>
            <w:tcW w:w="576" w:type="dxa"/>
            <w:tcBorders>
              <w:top w:val="nil"/>
              <w:left w:val="nil"/>
              <w:bottom w:val="single" w:sz="8" w:space="0" w:color="auto"/>
              <w:right w:val="single" w:sz="8" w:space="0" w:color="auto"/>
            </w:tcBorders>
            <w:shd w:val="clear" w:color="auto" w:fill="auto"/>
            <w:noWrap/>
            <w:vAlign w:val="bottom"/>
            <w:hideMark/>
          </w:tcPr>
          <w:p w14:paraId="1369D75D"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64,9</w:t>
            </w:r>
          </w:p>
        </w:tc>
      </w:tr>
      <w:tr w:rsidR="00AF5B41" w:rsidRPr="00DA77A7" w14:paraId="22042410"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34157324" w14:textId="77777777" w:rsidR="00DA77A7" w:rsidRPr="00DA77A7" w:rsidRDefault="00DA77A7" w:rsidP="00DA77A7">
            <w:pPr>
              <w:spacing w:after="0" w:line="240" w:lineRule="auto"/>
              <w:jc w:val="center"/>
              <w:rPr>
                <w:rFonts w:ascii="Calibri" w:eastAsia="Times New Roman" w:hAnsi="Calibri" w:cs="Arial"/>
                <w:sz w:val="20"/>
                <w:szCs w:val="20"/>
                <w:lang w:eastAsia="cs-CZ"/>
              </w:rPr>
            </w:pPr>
            <w:r w:rsidRPr="00DA77A7">
              <w:rPr>
                <w:rFonts w:ascii="Calibri" w:eastAsia="Times New Roman" w:hAnsi="Calibri" w:cs="Arial"/>
                <w:sz w:val="20"/>
                <w:szCs w:val="20"/>
                <w:lang w:eastAsia="cs-CZ"/>
              </w:rPr>
              <w:t> </w:t>
            </w:r>
          </w:p>
        </w:tc>
        <w:tc>
          <w:tcPr>
            <w:tcW w:w="4085" w:type="dxa"/>
            <w:tcBorders>
              <w:top w:val="nil"/>
              <w:left w:val="nil"/>
              <w:bottom w:val="single" w:sz="4" w:space="0" w:color="auto"/>
              <w:right w:val="single" w:sz="4" w:space="0" w:color="auto"/>
            </w:tcBorders>
            <w:shd w:val="clear" w:color="auto" w:fill="auto"/>
            <w:noWrap/>
            <w:vAlign w:val="bottom"/>
            <w:hideMark/>
          </w:tcPr>
          <w:p w14:paraId="35EEF7E8" w14:textId="77777777" w:rsidR="00DA77A7" w:rsidRPr="00DA77A7" w:rsidRDefault="00DA77A7" w:rsidP="00DA77A7">
            <w:pPr>
              <w:spacing w:after="0" w:line="240" w:lineRule="auto"/>
              <w:rPr>
                <w:rFonts w:ascii="Calibri" w:eastAsia="Times New Roman" w:hAnsi="Calibri" w:cs="Arial"/>
                <w:sz w:val="20"/>
                <w:szCs w:val="20"/>
                <w:lang w:eastAsia="cs-CZ"/>
              </w:rPr>
            </w:pPr>
            <w:r w:rsidRPr="00DA77A7">
              <w:rPr>
                <w:rFonts w:ascii="Calibri" w:eastAsia="Times New Roman" w:hAnsi="Calibri" w:cs="Arial"/>
                <w:sz w:val="20"/>
                <w:szCs w:val="20"/>
                <w:lang w:eastAsia="cs-CZ"/>
              </w:rPr>
              <w:t>Podpora učňovského školství - stipendia</w:t>
            </w:r>
          </w:p>
        </w:tc>
        <w:tc>
          <w:tcPr>
            <w:tcW w:w="1394" w:type="dxa"/>
            <w:tcBorders>
              <w:top w:val="nil"/>
              <w:left w:val="nil"/>
              <w:bottom w:val="single" w:sz="4" w:space="0" w:color="auto"/>
              <w:right w:val="single" w:sz="4" w:space="0" w:color="auto"/>
            </w:tcBorders>
            <w:shd w:val="clear" w:color="auto" w:fill="auto"/>
            <w:noWrap/>
            <w:vAlign w:val="bottom"/>
            <w:hideMark/>
          </w:tcPr>
          <w:p w14:paraId="2BA9523A"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16 000 000</w:t>
            </w:r>
          </w:p>
        </w:tc>
        <w:tc>
          <w:tcPr>
            <w:tcW w:w="1671" w:type="dxa"/>
            <w:tcBorders>
              <w:top w:val="nil"/>
              <w:left w:val="nil"/>
              <w:bottom w:val="single" w:sz="4" w:space="0" w:color="auto"/>
              <w:right w:val="single" w:sz="4" w:space="0" w:color="auto"/>
            </w:tcBorders>
            <w:shd w:val="clear" w:color="auto" w:fill="auto"/>
            <w:noWrap/>
            <w:vAlign w:val="bottom"/>
            <w:hideMark/>
          </w:tcPr>
          <w:p w14:paraId="19C457D6"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10 502 500,00</w:t>
            </w:r>
          </w:p>
        </w:tc>
        <w:tc>
          <w:tcPr>
            <w:tcW w:w="1684" w:type="dxa"/>
            <w:tcBorders>
              <w:top w:val="nil"/>
              <w:left w:val="nil"/>
              <w:bottom w:val="single" w:sz="4" w:space="0" w:color="auto"/>
              <w:right w:val="single" w:sz="4" w:space="0" w:color="auto"/>
            </w:tcBorders>
            <w:shd w:val="clear" w:color="auto" w:fill="auto"/>
            <w:noWrap/>
            <w:vAlign w:val="bottom"/>
            <w:hideMark/>
          </w:tcPr>
          <w:p w14:paraId="1C6A5B46"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10 429 400,00</w:t>
            </w:r>
          </w:p>
        </w:tc>
        <w:tc>
          <w:tcPr>
            <w:tcW w:w="576" w:type="dxa"/>
            <w:tcBorders>
              <w:top w:val="nil"/>
              <w:left w:val="nil"/>
              <w:bottom w:val="single" w:sz="4" w:space="0" w:color="auto"/>
              <w:right w:val="single" w:sz="8" w:space="0" w:color="auto"/>
            </w:tcBorders>
            <w:shd w:val="clear" w:color="auto" w:fill="auto"/>
            <w:noWrap/>
            <w:vAlign w:val="bottom"/>
            <w:hideMark/>
          </w:tcPr>
          <w:p w14:paraId="373C5E8D"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99,3</w:t>
            </w:r>
          </w:p>
        </w:tc>
      </w:tr>
      <w:tr w:rsidR="00DA77A7" w:rsidRPr="00DA77A7" w14:paraId="3E32E906"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13E82F50" w14:textId="77777777" w:rsidR="00DA77A7" w:rsidRPr="00DA77A7" w:rsidRDefault="00DA77A7" w:rsidP="00DA77A7">
            <w:pPr>
              <w:spacing w:after="0" w:line="240" w:lineRule="auto"/>
              <w:jc w:val="center"/>
              <w:rPr>
                <w:rFonts w:ascii="Calibri" w:eastAsia="Times New Roman" w:hAnsi="Calibri" w:cs="Arial"/>
                <w:sz w:val="20"/>
                <w:szCs w:val="20"/>
                <w:lang w:eastAsia="cs-CZ"/>
              </w:rPr>
            </w:pPr>
            <w:r w:rsidRPr="00DA77A7">
              <w:rPr>
                <w:rFonts w:ascii="Calibri" w:eastAsia="Times New Roman" w:hAnsi="Calibri" w:cs="Arial"/>
                <w:sz w:val="20"/>
                <w:szCs w:val="20"/>
                <w:lang w:eastAsia="cs-CZ"/>
              </w:rPr>
              <w:t> </w:t>
            </w:r>
          </w:p>
        </w:tc>
        <w:tc>
          <w:tcPr>
            <w:tcW w:w="9410" w:type="dxa"/>
            <w:gridSpan w:val="5"/>
            <w:tcBorders>
              <w:top w:val="single" w:sz="4" w:space="0" w:color="auto"/>
              <w:left w:val="nil"/>
              <w:bottom w:val="single" w:sz="4" w:space="0" w:color="auto"/>
              <w:right w:val="single" w:sz="8" w:space="0" w:color="000000"/>
            </w:tcBorders>
            <w:shd w:val="clear" w:color="auto" w:fill="auto"/>
            <w:vAlign w:val="bottom"/>
            <w:hideMark/>
          </w:tcPr>
          <w:p w14:paraId="4D6BDE10" w14:textId="77777777" w:rsidR="00DA77A7" w:rsidRPr="00DA77A7" w:rsidRDefault="00DA77A7" w:rsidP="00DA77A7">
            <w:pPr>
              <w:spacing w:after="0" w:line="240" w:lineRule="auto"/>
              <w:rPr>
                <w:rFonts w:ascii="Calibri" w:eastAsia="Times New Roman" w:hAnsi="Calibri" w:cs="Arial"/>
                <w:sz w:val="20"/>
                <w:szCs w:val="20"/>
                <w:lang w:eastAsia="cs-CZ"/>
              </w:rPr>
            </w:pPr>
            <w:r w:rsidRPr="00DA77A7">
              <w:rPr>
                <w:rFonts w:ascii="Calibri" w:eastAsia="Times New Roman" w:hAnsi="Calibri" w:cs="Arial"/>
                <w:sz w:val="20"/>
                <w:szCs w:val="20"/>
                <w:lang w:eastAsia="cs-CZ"/>
              </w:rPr>
              <w:t>z toho:</w:t>
            </w:r>
          </w:p>
        </w:tc>
      </w:tr>
      <w:tr w:rsidR="00AF5B41" w:rsidRPr="00DA77A7" w14:paraId="6EF4BEDB"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42226385"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3122</w:t>
            </w:r>
          </w:p>
        </w:tc>
        <w:tc>
          <w:tcPr>
            <w:tcW w:w="4085" w:type="dxa"/>
            <w:tcBorders>
              <w:top w:val="nil"/>
              <w:left w:val="nil"/>
              <w:bottom w:val="single" w:sz="4" w:space="0" w:color="auto"/>
              <w:right w:val="single" w:sz="4" w:space="0" w:color="auto"/>
            </w:tcBorders>
            <w:shd w:val="clear" w:color="auto" w:fill="auto"/>
            <w:vAlign w:val="bottom"/>
            <w:hideMark/>
          </w:tcPr>
          <w:p w14:paraId="3C50C513"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Střední odborné školy</w:t>
            </w:r>
          </w:p>
        </w:tc>
        <w:tc>
          <w:tcPr>
            <w:tcW w:w="1394" w:type="dxa"/>
            <w:tcBorders>
              <w:top w:val="nil"/>
              <w:left w:val="nil"/>
              <w:bottom w:val="single" w:sz="4" w:space="0" w:color="auto"/>
              <w:right w:val="single" w:sz="4" w:space="0" w:color="auto"/>
            </w:tcBorders>
            <w:shd w:val="clear" w:color="auto" w:fill="auto"/>
            <w:noWrap/>
            <w:vAlign w:val="bottom"/>
            <w:hideMark/>
          </w:tcPr>
          <w:p w14:paraId="01A548FE"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w:t>
            </w:r>
          </w:p>
        </w:tc>
        <w:tc>
          <w:tcPr>
            <w:tcW w:w="1671" w:type="dxa"/>
            <w:tcBorders>
              <w:top w:val="nil"/>
              <w:left w:val="nil"/>
              <w:bottom w:val="single" w:sz="4" w:space="0" w:color="auto"/>
              <w:right w:val="single" w:sz="4" w:space="0" w:color="auto"/>
            </w:tcBorders>
            <w:shd w:val="clear" w:color="auto" w:fill="auto"/>
            <w:noWrap/>
            <w:vAlign w:val="bottom"/>
            <w:hideMark/>
          </w:tcPr>
          <w:p w14:paraId="3CEDD8A5"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5 006 100,00</w:t>
            </w:r>
          </w:p>
        </w:tc>
        <w:tc>
          <w:tcPr>
            <w:tcW w:w="1684" w:type="dxa"/>
            <w:tcBorders>
              <w:top w:val="nil"/>
              <w:left w:val="nil"/>
              <w:bottom w:val="single" w:sz="4" w:space="0" w:color="auto"/>
              <w:right w:val="single" w:sz="4" w:space="0" w:color="auto"/>
            </w:tcBorders>
            <w:shd w:val="clear" w:color="auto" w:fill="auto"/>
            <w:noWrap/>
            <w:vAlign w:val="bottom"/>
            <w:hideMark/>
          </w:tcPr>
          <w:p w14:paraId="0B9CF768"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5 006 100,00</w:t>
            </w:r>
          </w:p>
        </w:tc>
        <w:tc>
          <w:tcPr>
            <w:tcW w:w="576" w:type="dxa"/>
            <w:tcBorders>
              <w:top w:val="nil"/>
              <w:left w:val="nil"/>
              <w:bottom w:val="single" w:sz="4" w:space="0" w:color="auto"/>
              <w:right w:val="single" w:sz="8" w:space="0" w:color="auto"/>
            </w:tcBorders>
            <w:shd w:val="clear" w:color="auto" w:fill="auto"/>
            <w:noWrap/>
            <w:vAlign w:val="bottom"/>
            <w:hideMark/>
          </w:tcPr>
          <w:p w14:paraId="1FCBF7F9"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100,0</w:t>
            </w:r>
          </w:p>
        </w:tc>
      </w:tr>
      <w:tr w:rsidR="00AF5B41" w:rsidRPr="00DA77A7" w14:paraId="36C62DFF"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3E4AC8A0"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3123</w:t>
            </w:r>
          </w:p>
        </w:tc>
        <w:tc>
          <w:tcPr>
            <w:tcW w:w="4085" w:type="dxa"/>
            <w:tcBorders>
              <w:top w:val="nil"/>
              <w:left w:val="nil"/>
              <w:bottom w:val="single" w:sz="4" w:space="0" w:color="auto"/>
              <w:right w:val="single" w:sz="4" w:space="0" w:color="auto"/>
            </w:tcBorders>
            <w:shd w:val="clear" w:color="auto" w:fill="auto"/>
            <w:vAlign w:val="bottom"/>
            <w:hideMark/>
          </w:tcPr>
          <w:p w14:paraId="55FF7FB6"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Střední školy poskytující střední vzdělání s výučním listem</w:t>
            </w:r>
          </w:p>
        </w:tc>
        <w:tc>
          <w:tcPr>
            <w:tcW w:w="1394" w:type="dxa"/>
            <w:tcBorders>
              <w:top w:val="nil"/>
              <w:left w:val="nil"/>
              <w:bottom w:val="single" w:sz="4" w:space="0" w:color="auto"/>
              <w:right w:val="single" w:sz="4" w:space="0" w:color="auto"/>
            </w:tcBorders>
            <w:shd w:val="clear" w:color="auto" w:fill="auto"/>
            <w:noWrap/>
            <w:vAlign w:val="bottom"/>
            <w:hideMark/>
          </w:tcPr>
          <w:p w14:paraId="45D33DF0"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w:t>
            </w:r>
          </w:p>
        </w:tc>
        <w:tc>
          <w:tcPr>
            <w:tcW w:w="1671" w:type="dxa"/>
            <w:tcBorders>
              <w:top w:val="nil"/>
              <w:left w:val="nil"/>
              <w:bottom w:val="single" w:sz="4" w:space="0" w:color="auto"/>
              <w:right w:val="single" w:sz="4" w:space="0" w:color="auto"/>
            </w:tcBorders>
            <w:shd w:val="clear" w:color="auto" w:fill="auto"/>
            <w:noWrap/>
            <w:vAlign w:val="bottom"/>
            <w:hideMark/>
          </w:tcPr>
          <w:p w14:paraId="53FBEB57"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5 496 400,00</w:t>
            </w:r>
          </w:p>
        </w:tc>
        <w:tc>
          <w:tcPr>
            <w:tcW w:w="1684" w:type="dxa"/>
            <w:tcBorders>
              <w:top w:val="nil"/>
              <w:left w:val="nil"/>
              <w:bottom w:val="single" w:sz="4" w:space="0" w:color="auto"/>
              <w:right w:val="single" w:sz="4" w:space="0" w:color="auto"/>
            </w:tcBorders>
            <w:shd w:val="clear" w:color="auto" w:fill="auto"/>
            <w:noWrap/>
            <w:vAlign w:val="bottom"/>
            <w:hideMark/>
          </w:tcPr>
          <w:p w14:paraId="02804991"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5 423 300,00</w:t>
            </w:r>
          </w:p>
        </w:tc>
        <w:tc>
          <w:tcPr>
            <w:tcW w:w="576" w:type="dxa"/>
            <w:tcBorders>
              <w:top w:val="nil"/>
              <w:left w:val="nil"/>
              <w:bottom w:val="single" w:sz="4" w:space="0" w:color="auto"/>
              <w:right w:val="single" w:sz="8" w:space="0" w:color="auto"/>
            </w:tcBorders>
            <w:shd w:val="clear" w:color="auto" w:fill="auto"/>
            <w:noWrap/>
            <w:vAlign w:val="bottom"/>
            <w:hideMark/>
          </w:tcPr>
          <w:p w14:paraId="0E92F4CE"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98,7</w:t>
            </w:r>
          </w:p>
        </w:tc>
      </w:tr>
      <w:tr w:rsidR="00AF5B41" w:rsidRPr="00DA77A7" w14:paraId="12F8EE7F" w14:textId="77777777" w:rsidTr="0042584A">
        <w:trPr>
          <w:trHeight w:val="300"/>
        </w:trPr>
        <w:tc>
          <w:tcPr>
            <w:tcW w:w="1231" w:type="dxa"/>
            <w:tcBorders>
              <w:top w:val="nil"/>
              <w:left w:val="single" w:sz="8" w:space="0" w:color="auto"/>
              <w:bottom w:val="single" w:sz="8" w:space="0" w:color="auto"/>
              <w:right w:val="single" w:sz="4" w:space="0" w:color="auto"/>
            </w:tcBorders>
            <w:shd w:val="clear" w:color="auto" w:fill="auto"/>
            <w:vAlign w:val="bottom"/>
            <w:hideMark/>
          </w:tcPr>
          <w:p w14:paraId="6BDF7217"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3269</w:t>
            </w:r>
          </w:p>
        </w:tc>
        <w:tc>
          <w:tcPr>
            <w:tcW w:w="4085" w:type="dxa"/>
            <w:tcBorders>
              <w:top w:val="nil"/>
              <w:left w:val="nil"/>
              <w:bottom w:val="single" w:sz="8" w:space="0" w:color="auto"/>
              <w:right w:val="single" w:sz="4" w:space="0" w:color="auto"/>
            </w:tcBorders>
            <w:shd w:val="clear" w:color="auto" w:fill="auto"/>
            <w:vAlign w:val="bottom"/>
            <w:hideMark/>
          </w:tcPr>
          <w:p w14:paraId="7628D01E"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Ostatní správa ve vzdělávání jinde nezařazená</w:t>
            </w:r>
          </w:p>
        </w:tc>
        <w:tc>
          <w:tcPr>
            <w:tcW w:w="1394" w:type="dxa"/>
            <w:tcBorders>
              <w:top w:val="nil"/>
              <w:left w:val="nil"/>
              <w:bottom w:val="single" w:sz="8" w:space="0" w:color="auto"/>
              <w:right w:val="single" w:sz="4" w:space="0" w:color="auto"/>
            </w:tcBorders>
            <w:shd w:val="clear" w:color="auto" w:fill="auto"/>
            <w:noWrap/>
            <w:vAlign w:val="bottom"/>
            <w:hideMark/>
          </w:tcPr>
          <w:p w14:paraId="16C5012B"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16 000 000</w:t>
            </w:r>
          </w:p>
        </w:tc>
        <w:tc>
          <w:tcPr>
            <w:tcW w:w="1671" w:type="dxa"/>
            <w:tcBorders>
              <w:top w:val="nil"/>
              <w:left w:val="nil"/>
              <w:bottom w:val="single" w:sz="8" w:space="0" w:color="auto"/>
              <w:right w:val="single" w:sz="4" w:space="0" w:color="auto"/>
            </w:tcBorders>
            <w:shd w:val="clear" w:color="auto" w:fill="auto"/>
            <w:noWrap/>
            <w:vAlign w:val="bottom"/>
            <w:hideMark/>
          </w:tcPr>
          <w:p w14:paraId="1ECA8240"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0,00</w:t>
            </w:r>
          </w:p>
        </w:tc>
        <w:tc>
          <w:tcPr>
            <w:tcW w:w="1684" w:type="dxa"/>
            <w:tcBorders>
              <w:top w:val="nil"/>
              <w:left w:val="nil"/>
              <w:bottom w:val="single" w:sz="8" w:space="0" w:color="auto"/>
              <w:right w:val="single" w:sz="4" w:space="0" w:color="auto"/>
            </w:tcBorders>
            <w:shd w:val="clear" w:color="auto" w:fill="auto"/>
            <w:noWrap/>
            <w:vAlign w:val="bottom"/>
            <w:hideMark/>
          </w:tcPr>
          <w:p w14:paraId="59F38A7E"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0,00</w:t>
            </w:r>
          </w:p>
        </w:tc>
        <w:tc>
          <w:tcPr>
            <w:tcW w:w="576" w:type="dxa"/>
            <w:tcBorders>
              <w:top w:val="nil"/>
              <w:left w:val="nil"/>
              <w:bottom w:val="single" w:sz="8" w:space="0" w:color="auto"/>
              <w:right w:val="single" w:sz="8" w:space="0" w:color="auto"/>
            </w:tcBorders>
            <w:shd w:val="clear" w:color="auto" w:fill="auto"/>
            <w:noWrap/>
            <w:vAlign w:val="bottom"/>
            <w:hideMark/>
          </w:tcPr>
          <w:p w14:paraId="6F14FB48"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w:t>
            </w:r>
          </w:p>
        </w:tc>
      </w:tr>
      <w:tr w:rsidR="00AF5B41" w:rsidRPr="00DA77A7" w14:paraId="2A26935B" w14:textId="77777777" w:rsidTr="0042584A">
        <w:trPr>
          <w:trHeight w:val="300"/>
        </w:trPr>
        <w:tc>
          <w:tcPr>
            <w:tcW w:w="1231" w:type="dxa"/>
            <w:tcBorders>
              <w:top w:val="nil"/>
              <w:left w:val="single" w:sz="8" w:space="0" w:color="auto"/>
              <w:bottom w:val="nil"/>
              <w:right w:val="single" w:sz="4" w:space="0" w:color="auto"/>
            </w:tcBorders>
            <w:shd w:val="clear" w:color="auto" w:fill="auto"/>
            <w:vAlign w:val="bottom"/>
            <w:hideMark/>
          </w:tcPr>
          <w:p w14:paraId="72E242FE"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 </w:t>
            </w:r>
          </w:p>
        </w:tc>
        <w:tc>
          <w:tcPr>
            <w:tcW w:w="4085" w:type="dxa"/>
            <w:tcBorders>
              <w:top w:val="nil"/>
              <w:left w:val="nil"/>
              <w:bottom w:val="nil"/>
              <w:right w:val="single" w:sz="4" w:space="0" w:color="auto"/>
            </w:tcBorders>
            <w:shd w:val="clear" w:color="auto" w:fill="auto"/>
            <w:vAlign w:val="bottom"/>
            <w:hideMark/>
          </w:tcPr>
          <w:p w14:paraId="6D3107B3" w14:textId="77777777" w:rsidR="00DA77A7" w:rsidRPr="00DA77A7" w:rsidRDefault="00DA77A7" w:rsidP="00DA77A7">
            <w:pPr>
              <w:spacing w:after="0" w:line="240" w:lineRule="auto"/>
              <w:rPr>
                <w:rFonts w:ascii="Calibri" w:eastAsia="Times New Roman" w:hAnsi="Calibri" w:cs="Arial"/>
                <w:sz w:val="20"/>
                <w:szCs w:val="20"/>
                <w:lang w:eastAsia="cs-CZ"/>
              </w:rPr>
            </w:pPr>
            <w:r w:rsidRPr="00DA77A7">
              <w:rPr>
                <w:rFonts w:ascii="Calibri" w:eastAsia="Times New Roman" w:hAnsi="Calibri" w:cs="Arial"/>
                <w:sz w:val="20"/>
                <w:szCs w:val="20"/>
                <w:lang w:eastAsia="cs-CZ"/>
              </w:rPr>
              <w:t>Podpora vybraných oborů SŠ</w:t>
            </w:r>
          </w:p>
        </w:tc>
        <w:tc>
          <w:tcPr>
            <w:tcW w:w="1394" w:type="dxa"/>
            <w:tcBorders>
              <w:top w:val="nil"/>
              <w:left w:val="nil"/>
              <w:bottom w:val="nil"/>
              <w:right w:val="single" w:sz="4" w:space="0" w:color="auto"/>
            </w:tcBorders>
            <w:shd w:val="clear" w:color="auto" w:fill="auto"/>
            <w:noWrap/>
            <w:vAlign w:val="bottom"/>
            <w:hideMark/>
          </w:tcPr>
          <w:p w14:paraId="0D0160EE"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w:t>
            </w:r>
          </w:p>
        </w:tc>
        <w:tc>
          <w:tcPr>
            <w:tcW w:w="1671" w:type="dxa"/>
            <w:tcBorders>
              <w:top w:val="nil"/>
              <w:left w:val="nil"/>
              <w:bottom w:val="nil"/>
              <w:right w:val="single" w:sz="4" w:space="0" w:color="auto"/>
            </w:tcBorders>
            <w:shd w:val="clear" w:color="auto" w:fill="auto"/>
            <w:noWrap/>
            <w:vAlign w:val="bottom"/>
            <w:hideMark/>
          </w:tcPr>
          <w:p w14:paraId="08F04A87"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16 000 000,00</w:t>
            </w:r>
          </w:p>
        </w:tc>
        <w:tc>
          <w:tcPr>
            <w:tcW w:w="1684" w:type="dxa"/>
            <w:tcBorders>
              <w:top w:val="nil"/>
              <w:left w:val="nil"/>
              <w:bottom w:val="nil"/>
              <w:right w:val="single" w:sz="4" w:space="0" w:color="auto"/>
            </w:tcBorders>
            <w:shd w:val="clear" w:color="auto" w:fill="auto"/>
            <w:noWrap/>
            <w:vAlign w:val="bottom"/>
            <w:hideMark/>
          </w:tcPr>
          <w:p w14:paraId="0567DC23"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16 000 000,00</w:t>
            </w:r>
          </w:p>
        </w:tc>
        <w:tc>
          <w:tcPr>
            <w:tcW w:w="576" w:type="dxa"/>
            <w:tcBorders>
              <w:top w:val="single" w:sz="4" w:space="0" w:color="auto"/>
              <w:left w:val="nil"/>
              <w:bottom w:val="single" w:sz="4" w:space="0" w:color="auto"/>
              <w:right w:val="single" w:sz="8" w:space="0" w:color="auto"/>
            </w:tcBorders>
            <w:shd w:val="clear" w:color="auto" w:fill="auto"/>
            <w:noWrap/>
            <w:vAlign w:val="bottom"/>
            <w:hideMark/>
          </w:tcPr>
          <w:p w14:paraId="7C74DBF0"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100,0</w:t>
            </w:r>
          </w:p>
        </w:tc>
      </w:tr>
      <w:tr w:rsidR="00AF5B41" w:rsidRPr="00DA77A7" w14:paraId="2229EB4F" w14:textId="77777777" w:rsidTr="0042584A">
        <w:trPr>
          <w:trHeight w:val="300"/>
        </w:trPr>
        <w:tc>
          <w:tcPr>
            <w:tcW w:w="1231" w:type="dxa"/>
            <w:tcBorders>
              <w:top w:val="single" w:sz="4" w:space="0" w:color="auto"/>
              <w:left w:val="single" w:sz="8" w:space="0" w:color="auto"/>
              <w:bottom w:val="nil"/>
              <w:right w:val="single" w:sz="4" w:space="0" w:color="auto"/>
            </w:tcBorders>
            <w:shd w:val="clear" w:color="auto" w:fill="auto"/>
            <w:vAlign w:val="bottom"/>
            <w:hideMark/>
          </w:tcPr>
          <w:p w14:paraId="24EFC5A1"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 </w:t>
            </w:r>
          </w:p>
        </w:tc>
        <w:tc>
          <w:tcPr>
            <w:tcW w:w="4085" w:type="dxa"/>
            <w:tcBorders>
              <w:top w:val="single" w:sz="4" w:space="0" w:color="auto"/>
              <w:left w:val="nil"/>
              <w:bottom w:val="nil"/>
              <w:right w:val="single" w:sz="4" w:space="0" w:color="auto"/>
            </w:tcBorders>
            <w:shd w:val="clear" w:color="auto" w:fill="auto"/>
            <w:vAlign w:val="bottom"/>
            <w:hideMark/>
          </w:tcPr>
          <w:p w14:paraId="1D7D747A"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z toho:</w:t>
            </w:r>
          </w:p>
        </w:tc>
        <w:tc>
          <w:tcPr>
            <w:tcW w:w="1394" w:type="dxa"/>
            <w:tcBorders>
              <w:top w:val="single" w:sz="4" w:space="0" w:color="auto"/>
              <w:left w:val="nil"/>
              <w:bottom w:val="nil"/>
              <w:right w:val="single" w:sz="4" w:space="0" w:color="auto"/>
            </w:tcBorders>
            <w:shd w:val="clear" w:color="auto" w:fill="auto"/>
            <w:noWrap/>
            <w:vAlign w:val="bottom"/>
            <w:hideMark/>
          </w:tcPr>
          <w:p w14:paraId="70EA2EA1"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 </w:t>
            </w:r>
          </w:p>
        </w:tc>
        <w:tc>
          <w:tcPr>
            <w:tcW w:w="1671" w:type="dxa"/>
            <w:tcBorders>
              <w:top w:val="single" w:sz="4" w:space="0" w:color="auto"/>
              <w:left w:val="nil"/>
              <w:bottom w:val="nil"/>
              <w:right w:val="single" w:sz="4" w:space="0" w:color="auto"/>
            </w:tcBorders>
            <w:shd w:val="clear" w:color="auto" w:fill="auto"/>
            <w:noWrap/>
            <w:vAlign w:val="bottom"/>
            <w:hideMark/>
          </w:tcPr>
          <w:p w14:paraId="630BCD2C"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 </w:t>
            </w:r>
          </w:p>
        </w:tc>
        <w:tc>
          <w:tcPr>
            <w:tcW w:w="1684" w:type="dxa"/>
            <w:tcBorders>
              <w:top w:val="single" w:sz="4" w:space="0" w:color="auto"/>
              <w:left w:val="nil"/>
              <w:bottom w:val="nil"/>
              <w:right w:val="single" w:sz="4" w:space="0" w:color="auto"/>
            </w:tcBorders>
            <w:shd w:val="clear" w:color="auto" w:fill="auto"/>
            <w:noWrap/>
            <w:vAlign w:val="bottom"/>
            <w:hideMark/>
          </w:tcPr>
          <w:p w14:paraId="56CB0665"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 </w:t>
            </w:r>
          </w:p>
        </w:tc>
        <w:tc>
          <w:tcPr>
            <w:tcW w:w="576" w:type="dxa"/>
            <w:tcBorders>
              <w:top w:val="nil"/>
              <w:left w:val="nil"/>
              <w:bottom w:val="single" w:sz="4" w:space="0" w:color="auto"/>
              <w:right w:val="single" w:sz="8" w:space="0" w:color="auto"/>
            </w:tcBorders>
            <w:shd w:val="clear" w:color="auto" w:fill="auto"/>
            <w:noWrap/>
            <w:vAlign w:val="bottom"/>
            <w:hideMark/>
          </w:tcPr>
          <w:p w14:paraId="45C142BB"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 </w:t>
            </w:r>
          </w:p>
        </w:tc>
      </w:tr>
      <w:tr w:rsidR="00AF5B41" w:rsidRPr="00DA77A7" w14:paraId="352D9E8C" w14:textId="77777777" w:rsidTr="0042584A">
        <w:trPr>
          <w:trHeight w:val="300"/>
        </w:trPr>
        <w:tc>
          <w:tcPr>
            <w:tcW w:w="1231" w:type="dxa"/>
            <w:tcBorders>
              <w:top w:val="single" w:sz="4" w:space="0" w:color="auto"/>
              <w:left w:val="single" w:sz="8" w:space="0" w:color="auto"/>
              <w:bottom w:val="single" w:sz="4" w:space="0" w:color="auto"/>
              <w:right w:val="single" w:sz="4" w:space="0" w:color="auto"/>
            </w:tcBorders>
            <w:shd w:val="clear" w:color="auto" w:fill="auto"/>
            <w:vAlign w:val="bottom"/>
            <w:hideMark/>
          </w:tcPr>
          <w:p w14:paraId="3D34F457"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3114</w:t>
            </w:r>
          </w:p>
        </w:tc>
        <w:tc>
          <w:tcPr>
            <w:tcW w:w="4085" w:type="dxa"/>
            <w:tcBorders>
              <w:top w:val="single" w:sz="4" w:space="0" w:color="auto"/>
              <w:left w:val="nil"/>
              <w:bottom w:val="single" w:sz="4" w:space="0" w:color="auto"/>
              <w:right w:val="single" w:sz="4" w:space="0" w:color="auto"/>
            </w:tcBorders>
            <w:shd w:val="clear" w:color="auto" w:fill="auto"/>
            <w:vAlign w:val="bottom"/>
            <w:hideMark/>
          </w:tcPr>
          <w:p w14:paraId="338E81C0" w14:textId="09DA2F46"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ZŠ pro žáky se spec</w:t>
            </w:r>
            <w:r w:rsidR="00165452">
              <w:rPr>
                <w:rFonts w:ascii="Calibri" w:eastAsia="Times New Roman" w:hAnsi="Calibri" w:cs="Arial"/>
                <w:i/>
                <w:iCs/>
                <w:sz w:val="20"/>
                <w:szCs w:val="20"/>
                <w:lang w:eastAsia="cs-CZ"/>
              </w:rPr>
              <w:t xml:space="preserve">iálními </w:t>
            </w:r>
            <w:r w:rsidRPr="00DA77A7">
              <w:rPr>
                <w:rFonts w:ascii="Calibri" w:eastAsia="Times New Roman" w:hAnsi="Calibri" w:cs="Arial"/>
                <w:i/>
                <w:iCs/>
                <w:sz w:val="20"/>
                <w:szCs w:val="20"/>
                <w:lang w:eastAsia="cs-CZ"/>
              </w:rPr>
              <w:t>vzděl</w:t>
            </w:r>
            <w:r w:rsidR="00165452">
              <w:rPr>
                <w:rFonts w:ascii="Calibri" w:eastAsia="Times New Roman" w:hAnsi="Calibri" w:cs="Arial"/>
                <w:i/>
                <w:iCs/>
                <w:sz w:val="20"/>
                <w:szCs w:val="20"/>
                <w:lang w:eastAsia="cs-CZ"/>
              </w:rPr>
              <w:t xml:space="preserve">ávacími </w:t>
            </w:r>
            <w:r w:rsidRPr="00DA77A7">
              <w:rPr>
                <w:rFonts w:ascii="Calibri" w:eastAsia="Times New Roman" w:hAnsi="Calibri" w:cs="Arial"/>
                <w:i/>
                <w:iCs/>
                <w:sz w:val="20"/>
                <w:szCs w:val="20"/>
                <w:lang w:eastAsia="cs-CZ"/>
              </w:rPr>
              <w:t xml:space="preserve"> potřebami</w:t>
            </w:r>
          </w:p>
        </w:tc>
        <w:tc>
          <w:tcPr>
            <w:tcW w:w="1394" w:type="dxa"/>
            <w:tcBorders>
              <w:top w:val="single" w:sz="4" w:space="0" w:color="auto"/>
              <w:left w:val="nil"/>
              <w:bottom w:val="single" w:sz="4" w:space="0" w:color="auto"/>
              <w:right w:val="single" w:sz="4" w:space="0" w:color="auto"/>
            </w:tcBorders>
            <w:shd w:val="clear" w:color="auto" w:fill="auto"/>
            <w:noWrap/>
            <w:vAlign w:val="bottom"/>
            <w:hideMark/>
          </w:tcPr>
          <w:p w14:paraId="7D147BE9"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w:t>
            </w:r>
          </w:p>
        </w:tc>
        <w:tc>
          <w:tcPr>
            <w:tcW w:w="1671" w:type="dxa"/>
            <w:tcBorders>
              <w:top w:val="single" w:sz="4" w:space="0" w:color="auto"/>
              <w:left w:val="nil"/>
              <w:bottom w:val="single" w:sz="4" w:space="0" w:color="auto"/>
              <w:right w:val="single" w:sz="4" w:space="0" w:color="auto"/>
            </w:tcBorders>
            <w:shd w:val="clear" w:color="auto" w:fill="auto"/>
            <w:noWrap/>
            <w:vAlign w:val="bottom"/>
            <w:hideMark/>
          </w:tcPr>
          <w:p w14:paraId="15E29FB2"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167 776,00</w:t>
            </w:r>
          </w:p>
        </w:tc>
        <w:tc>
          <w:tcPr>
            <w:tcW w:w="1684" w:type="dxa"/>
            <w:tcBorders>
              <w:top w:val="single" w:sz="4" w:space="0" w:color="auto"/>
              <w:left w:val="nil"/>
              <w:bottom w:val="single" w:sz="4" w:space="0" w:color="auto"/>
              <w:right w:val="single" w:sz="4" w:space="0" w:color="auto"/>
            </w:tcBorders>
            <w:shd w:val="clear" w:color="auto" w:fill="auto"/>
            <w:noWrap/>
            <w:vAlign w:val="bottom"/>
            <w:hideMark/>
          </w:tcPr>
          <w:p w14:paraId="3215217E"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167 776,00</w:t>
            </w:r>
          </w:p>
        </w:tc>
        <w:tc>
          <w:tcPr>
            <w:tcW w:w="576" w:type="dxa"/>
            <w:tcBorders>
              <w:top w:val="nil"/>
              <w:left w:val="nil"/>
              <w:bottom w:val="single" w:sz="4" w:space="0" w:color="auto"/>
              <w:right w:val="single" w:sz="8" w:space="0" w:color="auto"/>
            </w:tcBorders>
            <w:shd w:val="clear" w:color="auto" w:fill="auto"/>
            <w:noWrap/>
            <w:vAlign w:val="bottom"/>
            <w:hideMark/>
          </w:tcPr>
          <w:p w14:paraId="6FB2B098"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100,0</w:t>
            </w:r>
          </w:p>
        </w:tc>
      </w:tr>
      <w:tr w:rsidR="00AF5B41" w:rsidRPr="00DA77A7" w14:paraId="770B0AF2" w14:textId="77777777" w:rsidTr="0042584A">
        <w:trPr>
          <w:trHeight w:val="300"/>
        </w:trPr>
        <w:tc>
          <w:tcPr>
            <w:tcW w:w="1231" w:type="dxa"/>
            <w:tcBorders>
              <w:top w:val="nil"/>
              <w:left w:val="single" w:sz="4" w:space="0" w:color="auto"/>
              <w:bottom w:val="single" w:sz="4" w:space="0" w:color="auto"/>
              <w:right w:val="single" w:sz="4" w:space="0" w:color="auto"/>
            </w:tcBorders>
            <w:shd w:val="clear" w:color="auto" w:fill="auto"/>
            <w:vAlign w:val="bottom"/>
            <w:hideMark/>
          </w:tcPr>
          <w:p w14:paraId="322826EB"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3122</w:t>
            </w:r>
          </w:p>
        </w:tc>
        <w:tc>
          <w:tcPr>
            <w:tcW w:w="4085" w:type="dxa"/>
            <w:tcBorders>
              <w:top w:val="nil"/>
              <w:left w:val="nil"/>
              <w:bottom w:val="single" w:sz="4" w:space="0" w:color="auto"/>
              <w:right w:val="single" w:sz="4" w:space="0" w:color="auto"/>
            </w:tcBorders>
            <w:shd w:val="clear" w:color="auto" w:fill="auto"/>
            <w:vAlign w:val="bottom"/>
            <w:hideMark/>
          </w:tcPr>
          <w:p w14:paraId="4969D8D7"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Střední odborné školy</w:t>
            </w:r>
          </w:p>
        </w:tc>
        <w:tc>
          <w:tcPr>
            <w:tcW w:w="1394" w:type="dxa"/>
            <w:tcBorders>
              <w:top w:val="nil"/>
              <w:left w:val="nil"/>
              <w:bottom w:val="single" w:sz="4" w:space="0" w:color="auto"/>
              <w:right w:val="single" w:sz="4" w:space="0" w:color="auto"/>
            </w:tcBorders>
            <w:shd w:val="clear" w:color="auto" w:fill="auto"/>
            <w:noWrap/>
            <w:vAlign w:val="bottom"/>
            <w:hideMark/>
          </w:tcPr>
          <w:p w14:paraId="7CB09747"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w:t>
            </w:r>
          </w:p>
        </w:tc>
        <w:tc>
          <w:tcPr>
            <w:tcW w:w="1671" w:type="dxa"/>
            <w:tcBorders>
              <w:top w:val="nil"/>
              <w:left w:val="nil"/>
              <w:bottom w:val="single" w:sz="4" w:space="0" w:color="auto"/>
              <w:right w:val="single" w:sz="4" w:space="0" w:color="auto"/>
            </w:tcBorders>
            <w:shd w:val="clear" w:color="auto" w:fill="auto"/>
            <w:noWrap/>
            <w:vAlign w:val="bottom"/>
            <w:hideMark/>
          </w:tcPr>
          <w:p w14:paraId="1DA88391"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6 585 197,00</w:t>
            </w:r>
          </w:p>
        </w:tc>
        <w:tc>
          <w:tcPr>
            <w:tcW w:w="1684" w:type="dxa"/>
            <w:tcBorders>
              <w:top w:val="nil"/>
              <w:left w:val="nil"/>
              <w:bottom w:val="single" w:sz="4" w:space="0" w:color="auto"/>
              <w:right w:val="single" w:sz="4" w:space="0" w:color="auto"/>
            </w:tcBorders>
            <w:shd w:val="clear" w:color="auto" w:fill="auto"/>
            <w:noWrap/>
            <w:vAlign w:val="bottom"/>
            <w:hideMark/>
          </w:tcPr>
          <w:p w14:paraId="64CC266B"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6 585 197,00</w:t>
            </w:r>
          </w:p>
        </w:tc>
        <w:tc>
          <w:tcPr>
            <w:tcW w:w="576" w:type="dxa"/>
            <w:tcBorders>
              <w:top w:val="nil"/>
              <w:left w:val="nil"/>
              <w:bottom w:val="single" w:sz="4" w:space="0" w:color="auto"/>
              <w:right w:val="single" w:sz="8" w:space="0" w:color="auto"/>
            </w:tcBorders>
            <w:shd w:val="clear" w:color="auto" w:fill="auto"/>
            <w:noWrap/>
            <w:vAlign w:val="bottom"/>
            <w:hideMark/>
          </w:tcPr>
          <w:p w14:paraId="06EAC16C"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100,0</w:t>
            </w:r>
          </w:p>
        </w:tc>
      </w:tr>
      <w:tr w:rsidR="00AF5B41" w:rsidRPr="00DA77A7" w14:paraId="621D5A72" w14:textId="77777777" w:rsidTr="0042584A">
        <w:trPr>
          <w:trHeight w:val="300"/>
        </w:trPr>
        <w:tc>
          <w:tcPr>
            <w:tcW w:w="1231" w:type="dxa"/>
            <w:tcBorders>
              <w:top w:val="nil"/>
              <w:left w:val="single" w:sz="4" w:space="0" w:color="auto"/>
              <w:bottom w:val="single" w:sz="8" w:space="0" w:color="auto"/>
              <w:right w:val="single" w:sz="4" w:space="0" w:color="auto"/>
            </w:tcBorders>
            <w:shd w:val="clear" w:color="auto" w:fill="auto"/>
            <w:vAlign w:val="bottom"/>
            <w:hideMark/>
          </w:tcPr>
          <w:p w14:paraId="7DAFE763"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3123</w:t>
            </w:r>
          </w:p>
        </w:tc>
        <w:tc>
          <w:tcPr>
            <w:tcW w:w="4085" w:type="dxa"/>
            <w:tcBorders>
              <w:top w:val="nil"/>
              <w:left w:val="nil"/>
              <w:bottom w:val="single" w:sz="8" w:space="0" w:color="auto"/>
              <w:right w:val="single" w:sz="4" w:space="0" w:color="auto"/>
            </w:tcBorders>
            <w:shd w:val="clear" w:color="auto" w:fill="auto"/>
            <w:vAlign w:val="bottom"/>
            <w:hideMark/>
          </w:tcPr>
          <w:p w14:paraId="604CBC5F"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Střední školy poskytující střední vzdělání s výučním listem</w:t>
            </w:r>
          </w:p>
        </w:tc>
        <w:tc>
          <w:tcPr>
            <w:tcW w:w="1394" w:type="dxa"/>
            <w:tcBorders>
              <w:top w:val="nil"/>
              <w:left w:val="nil"/>
              <w:bottom w:val="single" w:sz="8" w:space="0" w:color="auto"/>
              <w:right w:val="single" w:sz="4" w:space="0" w:color="auto"/>
            </w:tcBorders>
            <w:shd w:val="clear" w:color="auto" w:fill="auto"/>
            <w:noWrap/>
            <w:vAlign w:val="bottom"/>
            <w:hideMark/>
          </w:tcPr>
          <w:p w14:paraId="7AE368A4"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w:t>
            </w:r>
          </w:p>
        </w:tc>
        <w:tc>
          <w:tcPr>
            <w:tcW w:w="1671" w:type="dxa"/>
            <w:tcBorders>
              <w:top w:val="nil"/>
              <w:left w:val="nil"/>
              <w:bottom w:val="single" w:sz="8" w:space="0" w:color="auto"/>
              <w:right w:val="single" w:sz="4" w:space="0" w:color="auto"/>
            </w:tcBorders>
            <w:shd w:val="clear" w:color="auto" w:fill="auto"/>
            <w:noWrap/>
            <w:vAlign w:val="bottom"/>
            <w:hideMark/>
          </w:tcPr>
          <w:p w14:paraId="01325D82"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9 247 027,00</w:t>
            </w:r>
          </w:p>
        </w:tc>
        <w:tc>
          <w:tcPr>
            <w:tcW w:w="1684" w:type="dxa"/>
            <w:tcBorders>
              <w:top w:val="nil"/>
              <w:left w:val="nil"/>
              <w:bottom w:val="single" w:sz="8" w:space="0" w:color="auto"/>
              <w:right w:val="single" w:sz="4" w:space="0" w:color="auto"/>
            </w:tcBorders>
            <w:shd w:val="clear" w:color="auto" w:fill="auto"/>
            <w:noWrap/>
            <w:vAlign w:val="bottom"/>
            <w:hideMark/>
          </w:tcPr>
          <w:p w14:paraId="0439F682"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9 247 027,00</w:t>
            </w:r>
          </w:p>
        </w:tc>
        <w:tc>
          <w:tcPr>
            <w:tcW w:w="576" w:type="dxa"/>
            <w:tcBorders>
              <w:top w:val="nil"/>
              <w:left w:val="nil"/>
              <w:bottom w:val="single" w:sz="8" w:space="0" w:color="auto"/>
              <w:right w:val="single" w:sz="8" w:space="0" w:color="auto"/>
            </w:tcBorders>
            <w:shd w:val="clear" w:color="auto" w:fill="auto"/>
            <w:noWrap/>
            <w:vAlign w:val="bottom"/>
            <w:hideMark/>
          </w:tcPr>
          <w:p w14:paraId="3EB28822"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100,0</w:t>
            </w:r>
          </w:p>
        </w:tc>
      </w:tr>
      <w:tr w:rsidR="00AF5B41" w:rsidRPr="00DA77A7" w14:paraId="372FD0A4"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1B23BD0E" w14:textId="77777777" w:rsidR="00DA77A7" w:rsidRPr="00DA77A7" w:rsidRDefault="00DA77A7" w:rsidP="00DA77A7">
            <w:pPr>
              <w:spacing w:after="0" w:line="240" w:lineRule="auto"/>
              <w:jc w:val="center"/>
              <w:rPr>
                <w:rFonts w:ascii="Calibri" w:eastAsia="Times New Roman" w:hAnsi="Calibri" w:cs="Arial"/>
                <w:sz w:val="20"/>
                <w:szCs w:val="20"/>
                <w:lang w:eastAsia="cs-CZ"/>
              </w:rPr>
            </w:pPr>
            <w:r w:rsidRPr="00DA77A7">
              <w:rPr>
                <w:rFonts w:ascii="Calibri" w:eastAsia="Times New Roman" w:hAnsi="Calibri" w:cs="Arial"/>
                <w:sz w:val="20"/>
                <w:szCs w:val="20"/>
                <w:lang w:eastAsia="cs-CZ"/>
              </w:rPr>
              <w:t> </w:t>
            </w:r>
          </w:p>
        </w:tc>
        <w:tc>
          <w:tcPr>
            <w:tcW w:w="4085" w:type="dxa"/>
            <w:tcBorders>
              <w:top w:val="nil"/>
              <w:left w:val="nil"/>
              <w:bottom w:val="single" w:sz="4" w:space="0" w:color="auto"/>
              <w:right w:val="single" w:sz="4" w:space="0" w:color="auto"/>
            </w:tcBorders>
            <w:shd w:val="clear" w:color="auto" w:fill="auto"/>
            <w:vAlign w:val="bottom"/>
            <w:hideMark/>
          </w:tcPr>
          <w:p w14:paraId="45187C4E" w14:textId="77777777" w:rsidR="00DA77A7" w:rsidRPr="00DA77A7" w:rsidRDefault="00DA77A7" w:rsidP="00DA77A7">
            <w:pPr>
              <w:spacing w:after="0" w:line="240" w:lineRule="auto"/>
              <w:rPr>
                <w:rFonts w:ascii="Calibri" w:eastAsia="Times New Roman" w:hAnsi="Calibri" w:cs="Arial"/>
                <w:sz w:val="20"/>
                <w:szCs w:val="20"/>
                <w:lang w:eastAsia="cs-CZ"/>
              </w:rPr>
            </w:pPr>
            <w:r w:rsidRPr="00DA77A7">
              <w:rPr>
                <w:rFonts w:ascii="Calibri" w:eastAsia="Times New Roman" w:hAnsi="Calibri" w:cs="Arial"/>
                <w:sz w:val="20"/>
                <w:szCs w:val="20"/>
                <w:lang w:eastAsia="cs-CZ"/>
              </w:rPr>
              <w:t>Podpora zahraničních aktivit škol</w:t>
            </w:r>
          </w:p>
        </w:tc>
        <w:tc>
          <w:tcPr>
            <w:tcW w:w="1394" w:type="dxa"/>
            <w:tcBorders>
              <w:top w:val="nil"/>
              <w:left w:val="nil"/>
              <w:bottom w:val="single" w:sz="4" w:space="0" w:color="auto"/>
              <w:right w:val="single" w:sz="4" w:space="0" w:color="auto"/>
            </w:tcBorders>
            <w:shd w:val="clear" w:color="auto" w:fill="auto"/>
            <w:noWrap/>
            <w:vAlign w:val="bottom"/>
            <w:hideMark/>
          </w:tcPr>
          <w:p w14:paraId="57659B58"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1 000 000</w:t>
            </w:r>
          </w:p>
        </w:tc>
        <w:tc>
          <w:tcPr>
            <w:tcW w:w="1671" w:type="dxa"/>
            <w:tcBorders>
              <w:top w:val="nil"/>
              <w:left w:val="nil"/>
              <w:bottom w:val="single" w:sz="4" w:space="0" w:color="auto"/>
              <w:right w:val="single" w:sz="4" w:space="0" w:color="auto"/>
            </w:tcBorders>
            <w:shd w:val="clear" w:color="auto" w:fill="auto"/>
            <w:noWrap/>
            <w:vAlign w:val="bottom"/>
            <w:hideMark/>
          </w:tcPr>
          <w:p w14:paraId="70056518"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1 194 000,00</w:t>
            </w:r>
          </w:p>
        </w:tc>
        <w:tc>
          <w:tcPr>
            <w:tcW w:w="1684" w:type="dxa"/>
            <w:tcBorders>
              <w:top w:val="nil"/>
              <w:left w:val="nil"/>
              <w:bottom w:val="single" w:sz="4" w:space="0" w:color="auto"/>
              <w:right w:val="single" w:sz="4" w:space="0" w:color="auto"/>
            </w:tcBorders>
            <w:shd w:val="clear" w:color="auto" w:fill="auto"/>
            <w:noWrap/>
            <w:vAlign w:val="bottom"/>
            <w:hideMark/>
          </w:tcPr>
          <w:p w14:paraId="1A0439AA"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42 000,00</w:t>
            </w:r>
          </w:p>
        </w:tc>
        <w:tc>
          <w:tcPr>
            <w:tcW w:w="576" w:type="dxa"/>
            <w:tcBorders>
              <w:top w:val="nil"/>
              <w:left w:val="nil"/>
              <w:bottom w:val="single" w:sz="4" w:space="0" w:color="auto"/>
              <w:right w:val="single" w:sz="8" w:space="0" w:color="auto"/>
            </w:tcBorders>
            <w:shd w:val="clear" w:color="auto" w:fill="auto"/>
            <w:noWrap/>
            <w:vAlign w:val="bottom"/>
            <w:hideMark/>
          </w:tcPr>
          <w:p w14:paraId="2F24F09F"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3,5</w:t>
            </w:r>
          </w:p>
        </w:tc>
      </w:tr>
      <w:tr w:rsidR="00DA77A7" w:rsidRPr="00DA77A7" w14:paraId="7298AC87"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4063E4FE" w14:textId="77777777" w:rsidR="00DA77A7" w:rsidRPr="00DA77A7" w:rsidRDefault="00DA77A7" w:rsidP="00DA77A7">
            <w:pPr>
              <w:spacing w:after="0" w:line="240" w:lineRule="auto"/>
              <w:jc w:val="center"/>
              <w:rPr>
                <w:rFonts w:ascii="Calibri" w:eastAsia="Times New Roman" w:hAnsi="Calibri" w:cs="Arial"/>
                <w:sz w:val="20"/>
                <w:szCs w:val="20"/>
                <w:lang w:eastAsia="cs-CZ"/>
              </w:rPr>
            </w:pPr>
            <w:r w:rsidRPr="00DA77A7">
              <w:rPr>
                <w:rFonts w:ascii="Calibri" w:eastAsia="Times New Roman" w:hAnsi="Calibri" w:cs="Arial"/>
                <w:sz w:val="20"/>
                <w:szCs w:val="20"/>
                <w:lang w:eastAsia="cs-CZ"/>
              </w:rPr>
              <w:t> </w:t>
            </w:r>
          </w:p>
        </w:tc>
        <w:tc>
          <w:tcPr>
            <w:tcW w:w="9410" w:type="dxa"/>
            <w:gridSpan w:val="5"/>
            <w:tcBorders>
              <w:top w:val="single" w:sz="4" w:space="0" w:color="auto"/>
              <w:left w:val="nil"/>
              <w:bottom w:val="single" w:sz="4" w:space="0" w:color="auto"/>
              <w:right w:val="single" w:sz="8" w:space="0" w:color="000000"/>
            </w:tcBorders>
            <w:shd w:val="clear" w:color="auto" w:fill="auto"/>
            <w:vAlign w:val="bottom"/>
            <w:hideMark/>
          </w:tcPr>
          <w:p w14:paraId="5354ADB4" w14:textId="77777777" w:rsidR="00DA77A7" w:rsidRPr="00DA77A7" w:rsidRDefault="00DA77A7" w:rsidP="00DA77A7">
            <w:pPr>
              <w:spacing w:after="0" w:line="240" w:lineRule="auto"/>
              <w:rPr>
                <w:rFonts w:ascii="Calibri" w:eastAsia="Times New Roman" w:hAnsi="Calibri" w:cs="Arial"/>
                <w:sz w:val="20"/>
                <w:szCs w:val="20"/>
                <w:lang w:eastAsia="cs-CZ"/>
              </w:rPr>
            </w:pPr>
            <w:r w:rsidRPr="00DA77A7">
              <w:rPr>
                <w:rFonts w:ascii="Calibri" w:eastAsia="Times New Roman" w:hAnsi="Calibri" w:cs="Arial"/>
                <w:sz w:val="20"/>
                <w:szCs w:val="20"/>
                <w:lang w:eastAsia="cs-CZ"/>
              </w:rPr>
              <w:t>z toho:</w:t>
            </w:r>
          </w:p>
        </w:tc>
      </w:tr>
      <w:tr w:rsidR="00AF5B41" w:rsidRPr="00DA77A7" w14:paraId="2B27BCC1"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661FA496"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3121</w:t>
            </w:r>
          </w:p>
        </w:tc>
        <w:tc>
          <w:tcPr>
            <w:tcW w:w="4085" w:type="dxa"/>
            <w:tcBorders>
              <w:top w:val="nil"/>
              <w:left w:val="nil"/>
              <w:bottom w:val="single" w:sz="4" w:space="0" w:color="auto"/>
              <w:right w:val="single" w:sz="4" w:space="0" w:color="auto"/>
            </w:tcBorders>
            <w:shd w:val="clear" w:color="auto" w:fill="auto"/>
            <w:vAlign w:val="bottom"/>
            <w:hideMark/>
          </w:tcPr>
          <w:p w14:paraId="66F9FDE9"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Gymnázia</w:t>
            </w:r>
          </w:p>
        </w:tc>
        <w:tc>
          <w:tcPr>
            <w:tcW w:w="1394" w:type="dxa"/>
            <w:tcBorders>
              <w:top w:val="nil"/>
              <w:left w:val="nil"/>
              <w:bottom w:val="nil"/>
              <w:right w:val="nil"/>
            </w:tcBorders>
            <w:shd w:val="clear" w:color="auto" w:fill="auto"/>
            <w:vAlign w:val="bottom"/>
            <w:hideMark/>
          </w:tcPr>
          <w:p w14:paraId="1F8EB14F"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0</w:t>
            </w:r>
          </w:p>
        </w:tc>
        <w:tc>
          <w:tcPr>
            <w:tcW w:w="1671" w:type="dxa"/>
            <w:tcBorders>
              <w:top w:val="nil"/>
              <w:left w:val="single" w:sz="4" w:space="0" w:color="auto"/>
              <w:bottom w:val="single" w:sz="4" w:space="0" w:color="auto"/>
              <w:right w:val="single" w:sz="4" w:space="0" w:color="auto"/>
            </w:tcBorders>
            <w:shd w:val="clear" w:color="auto" w:fill="auto"/>
            <w:noWrap/>
            <w:vAlign w:val="bottom"/>
            <w:hideMark/>
          </w:tcPr>
          <w:p w14:paraId="4034D920"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12 000,00</w:t>
            </w:r>
          </w:p>
        </w:tc>
        <w:tc>
          <w:tcPr>
            <w:tcW w:w="1684" w:type="dxa"/>
            <w:tcBorders>
              <w:top w:val="nil"/>
              <w:left w:val="nil"/>
              <w:bottom w:val="single" w:sz="4" w:space="0" w:color="auto"/>
              <w:right w:val="single" w:sz="4" w:space="0" w:color="auto"/>
            </w:tcBorders>
            <w:shd w:val="clear" w:color="auto" w:fill="auto"/>
            <w:noWrap/>
            <w:vAlign w:val="bottom"/>
            <w:hideMark/>
          </w:tcPr>
          <w:p w14:paraId="467A67A8"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0,00</w:t>
            </w:r>
          </w:p>
        </w:tc>
        <w:tc>
          <w:tcPr>
            <w:tcW w:w="576" w:type="dxa"/>
            <w:tcBorders>
              <w:top w:val="nil"/>
              <w:left w:val="nil"/>
              <w:bottom w:val="single" w:sz="4" w:space="0" w:color="auto"/>
              <w:right w:val="single" w:sz="8" w:space="0" w:color="auto"/>
            </w:tcBorders>
            <w:shd w:val="clear" w:color="auto" w:fill="auto"/>
            <w:noWrap/>
            <w:vAlign w:val="bottom"/>
            <w:hideMark/>
          </w:tcPr>
          <w:p w14:paraId="60E7795D"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0,0</w:t>
            </w:r>
          </w:p>
        </w:tc>
      </w:tr>
      <w:tr w:rsidR="00AF5B41" w:rsidRPr="00DA77A7" w14:paraId="437E4D74"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2E80F508"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3122</w:t>
            </w:r>
          </w:p>
        </w:tc>
        <w:tc>
          <w:tcPr>
            <w:tcW w:w="4085" w:type="dxa"/>
            <w:tcBorders>
              <w:top w:val="nil"/>
              <w:left w:val="nil"/>
              <w:bottom w:val="single" w:sz="4" w:space="0" w:color="auto"/>
              <w:right w:val="single" w:sz="4" w:space="0" w:color="auto"/>
            </w:tcBorders>
            <w:shd w:val="clear" w:color="auto" w:fill="auto"/>
            <w:vAlign w:val="bottom"/>
            <w:hideMark/>
          </w:tcPr>
          <w:p w14:paraId="2445013C"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Střední odborné školy</w:t>
            </w:r>
          </w:p>
        </w:tc>
        <w:tc>
          <w:tcPr>
            <w:tcW w:w="1394" w:type="dxa"/>
            <w:tcBorders>
              <w:top w:val="single" w:sz="4" w:space="0" w:color="auto"/>
              <w:left w:val="nil"/>
              <w:bottom w:val="nil"/>
              <w:right w:val="nil"/>
            </w:tcBorders>
            <w:shd w:val="clear" w:color="auto" w:fill="auto"/>
            <w:vAlign w:val="bottom"/>
            <w:hideMark/>
          </w:tcPr>
          <w:p w14:paraId="064D1FA9"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0</w:t>
            </w:r>
          </w:p>
        </w:tc>
        <w:tc>
          <w:tcPr>
            <w:tcW w:w="1671" w:type="dxa"/>
            <w:tcBorders>
              <w:top w:val="nil"/>
              <w:left w:val="single" w:sz="4" w:space="0" w:color="auto"/>
              <w:bottom w:val="single" w:sz="4" w:space="0" w:color="auto"/>
              <w:right w:val="single" w:sz="4" w:space="0" w:color="auto"/>
            </w:tcBorders>
            <w:shd w:val="clear" w:color="auto" w:fill="auto"/>
            <w:noWrap/>
            <w:vAlign w:val="bottom"/>
            <w:hideMark/>
          </w:tcPr>
          <w:p w14:paraId="57C44719"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54 000,00</w:t>
            </w:r>
          </w:p>
        </w:tc>
        <w:tc>
          <w:tcPr>
            <w:tcW w:w="1684" w:type="dxa"/>
            <w:tcBorders>
              <w:top w:val="nil"/>
              <w:left w:val="nil"/>
              <w:bottom w:val="single" w:sz="4" w:space="0" w:color="auto"/>
              <w:right w:val="single" w:sz="4" w:space="0" w:color="auto"/>
            </w:tcBorders>
            <w:shd w:val="clear" w:color="auto" w:fill="auto"/>
            <w:noWrap/>
            <w:vAlign w:val="bottom"/>
            <w:hideMark/>
          </w:tcPr>
          <w:p w14:paraId="1FE86679"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42 000,00</w:t>
            </w:r>
          </w:p>
        </w:tc>
        <w:tc>
          <w:tcPr>
            <w:tcW w:w="576" w:type="dxa"/>
            <w:tcBorders>
              <w:top w:val="nil"/>
              <w:left w:val="nil"/>
              <w:bottom w:val="single" w:sz="4" w:space="0" w:color="auto"/>
              <w:right w:val="single" w:sz="8" w:space="0" w:color="auto"/>
            </w:tcBorders>
            <w:shd w:val="clear" w:color="auto" w:fill="auto"/>
            <w:noWrap/>
            <w:vAlign w:val="bottom"/>
            <w:hideMark/>
          </w:tcPr>
          <w:p w14:paraId="31AFE203"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77,8</w:t>
            </w:r>
          </w:p>
        </w:tc>
      </w:tr>
      <w:tr w:rsidR="00AF5B41" w:rsidRPr="00DA77A7" w14:paraId="494626D1" w14:textId="77777777" w:rsidTr="0042584A">
        <w:trPr>
          <w:trHeight w:val="300"/>
        </w:trPr>
        <w:tc>
          <w:tcPr>
            <w:tcW w:w="1231" w:type="dxa"/>
            <w:tcBorders>
              <w:top w:val="nil"/>
              <w:left w:val="single" w:sz="8" w:space="0" w:color="auto"/>
              <w:bottom w:val="single" w:sz="8" w:space="0" w:color="auto"/>
              <w:right w:val="single" w:sz="4" w:space="0" w:color="auto"/>
            </w:tcBorders>
            <w:shd w:val="clear" w:color="auto" w:fill="auto"/>
            <w:vAlign w:val="bottom"/>
            <w:hideMark/>
          </w:tcPr>
          <w:p w14:paraId="5F6E361A"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3291</w:t>
            </w:r>
          </w:p>
        </w:tc>
        <w:tc>
          <w:tcPr>
            <w:tcW w:w="4085" w:type="dxa"/>
            <w:tcBorders>
              <w:top w:val="nil"/>
              <w:left w:val="nil"/>
              <w:bottom w:val="single" w:sz="8" w:space="0" w:color="auto"/>
              <w:right w:val="single" w:sz="4" w:space="0" w:color="auto"/>
            </w:tcBorders>
            <w:shd w:val="clear" w:color="auto" w:fill="auto"/>
            <w:vAlign w:val="bottom"/>
            <w:hideMark/>
          </w:tcPr>
          <w:p w14:paraId="221E70EB"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Mezinárodní spolupráce ve vzdělávání</w:t>
            </w:r>
          </w:p>
        </w:tc>
        <w:tc>
          <w:tcPr>
            <w:tcW w:w="1394" w:type="dxa"/>
            <w:tcBorders>
              <w:top w:val="single" w:sz="4" w:space="0" w:color="auto"/>
              <w:left w:val="nil"/>
              <w:bottom w:val="single" w:sz="8" w:space="0" w:color="auto"/>
              <w:right w:val="single" w:sz="4" w:space="0" w:color="auto"/>
            </w:tcBorders>
            <w:shd w:val="clear" w:color="auto" w:fill="auto"/>
            <w:noWrap/>
            <w:vAlign w:val="bottom"/>
            <w:hideMark/>
          </w:tcPr>
          <w:p w14:paraId="04DEA950"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1 000 000</w:t>
            </w:r>
          </w:p>
        </w:tc>
        <w:tc>
          <w:tcPr>
            <w:tcW w:w="1671" w:type="dxa"/>
            <w:tcBorders>
              <w:top w:val="nil"/>
              <w:left w:val="nil"/>
              <w:bottom w:val="single" w:sz="8" w:space="0" w:color="auto"/>
              <w:right w:val="single" w:sz="4" w:space="0" w:color="auto"/>
            </w:tcBorders>
            <w:shd w:val="clear" w:color="auto" w:fill="auto"/>
            <w:noWrap/>
            <w:vAlign w:val="bottom"/>
            <w:hideMark/>
          </w:tcPr>
          <w:p w14:paraId="6D120F8B"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1 128 000,00</w:t>
            </w:r>
          </w:p>
        </w:tc>
        <w:tc>
          <w:tcPr>
            <w:tcW w:w="1684" w:type="dxa"/>
            <w:tcBorders>
              <w:top w:val="nil"/>
              <w:left w:val="nil"/>
              <w:bottom w:val="single" w:sz="8" w:space="0" w:color="auto"/>
              <w:right w:val="single" w:sz="4" w:space="0" w:color="auto"/>
            </w:tcBorders>
            <w:shd w:val="clear" w:color="auto" w:fill="auto"/>
            <w:noWrap/>
            <w:vAlign w:val="bottom"/>
            <w:hideMark/>
          </w:tcPr>
          <w:p w14:paraId="68EB2B26"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0,00</w:t>
            </w:r>
          </w:p>
        </w:tc>
        <w:tc>
          <w:tcPr>
            <w:tcW w:w="576" w:type="dxa"/>
            <w:tcBorders>
              <w:top w:val="nil"/>
              <w:left w:val="nil"/>
              <w:bottom w:val="single" w:sz="8" w:space="0" w:color="auto"/>
              <w:right w:val="single" w:sz="8" w:space="0" w:color="auto"/>
            </w:tcBorders>
            <w:shd w:val="clear" w:color="auto" w:fill="auto"/>
            <w:noWrap/>
            <w:vAlign w:val="bottom"/>
            <w:hideMark/>
          </w:tcPr>
          <w:p w14:paraId="20E34120"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0,0</w:t>
            </w:r>
          </w:p>
        </w:tc>
      </w:tr>
      <w:tr w:rsidR="00AF5B41" w:rsidRPr="00DA77A7" w14:paraId="241E198B"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234BF0A0" w14:textId="77777777" w:rsidR="00DA77A7" w:rsidRPr="00DA77A7" w:rsidRDefault="00DA77A7" w:rsidP="00DA77A7">
            <w:pPr>
              <w:spacing w:after="0" w:line="240" w:lineRule="auto"/>
              <w:jc w:val="center"/>
              <w:rPr>
                <w:rFonts w:ascii="Calibri" w:eastAsia="Times New Roman" w:hAnsi="Calibri" w:cs="Arial"/>
                <w:b/>
                <w:bCs/>
                <w:sz w:val="20"/>
                <w:szCs w:val="20"/>
                <w:lang w:eastAsia="cs-CZ"/>
              </w:rPr>
            </w:pPr>
            <w:r w:rsidRPr="00DA77A7">
              <w:rPr>
                <w:rFonts w:ascii="Calibri" w:eastAsia="Times New Roman" w:hAnsi="Calibri" w:cs="Arial"/>
                <w:b/>
                <w:bCs/>
                <w:sz w:val="20"/>
                <w:szCs w:val="20"/>
                <w:lang w:eastAsia="cs-CZ"/>
              </w:rPr>
              <w:t> </w:t>
            </w:r>
          </w:p>
        </w:tc>
        <w:tc>
          <w:tcPr>
            <w:tcW w:w="4085" w:type="dxa"/>
            <w:tcBorders>
              <w:top w:val="nil"/>
              <w:left w:val="nil"/>
              <w:bottom w:val="single" w:sz="4" w:space="0" w:color="auto"/>
              <w:right w:val="single" w:sz="4" w:space="0" w:color="auto"/>
            </w:tcBorders>
            <w:shd w:val="clear" w:color="auto" w:fill="auto"/>
            <w:vAlign w:val="bottom"/>
            <w:hideMark/>
          </w:tcPr>
          <w:p w14:paraId="335AF5A7" w14:textId="77777777" w:rsidR="00DA77A7" w:rsidRPr="00DA77A7" w:rsidRDefault="00DA77A7" w:rsidP="00DA77A7">
            <w:pPr>
              <w:spacing w:after="0" w:line="240" w:lineRule="auto"/>
              <w:rPr>
                <w:rFonts w:ascii="Calibri" w:eastAsia="Times New Roman" w:hAnsi="Calibri" w:cs="Arial"/>
                <w:sz w:val="20"/>
                <w:szCs w:val="20"/>
                <w:lang w:eastAsia="cs-CZ"/>
              </w:rPr>
            </w:pPr>
            <w:r w:rsidRPr="00DA77A7">
              <w:rPr>
                <w:rFonts w:ascii="Calibri" w:eastAsia="Times New Roman" w:hAnsi="Calibri" w:cs="Arial"/>
                <w:sz w:val="20"/>
                <w:szCs w:val="20"/>
                <w:lang w:eastAsia="cs-CZ"/>
              </w:rPr>
              <w:t>Prevence patologických jevů</w:t>
            </w:r>
          </w:p>
        </w:tc>
        <w:tc>
          <w:tcPr>
            <w:tcW w:w="1394" w:type="dxa"/>
            <w:tcBorders>
              <w:top w:val="nil"/>
              <w:left w:val="nil"/>
              <w:bottom w:val="single" w:sz="4" w:space="0" w:color="auto"/>
              <w:right w:val="single" w:sz="4" w:space="0" w:color="auto"/>
            </w:tcBorders>
            <w:shd w:val="clear" w:color="auto" w:fill="auto"/>
            <w:noWrap/>
            <w:vAlign w:val="bottom"/>
            <w:hideMark/>
          </w:tcPr>
          <w:p w14:paraId="438EE51B"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1 300 000</w:t>
            </w:r>
          </w:p>
        </w:tc>
        <w:tc>
          <w:tcPr>
            <w:tcW w:w="1671" w:type="dxa"/>
            <w:tcBorders>
              <w:top w:val="nil"/>
              <w:left w:val="nil"/>
              <w:bottom w:val="single" w:sz="4" w:space="0" w:color="auto"/>
              <w:right w:val="single" w:sz="4" w:space="0" w:color="auto"/>
            </w:tcBorders>
            <w:shd w:val="clear" w:color="auto" w:fill="auto"/>
            <w:noWrap/>
            <w:vAlign w:val="bottom"/>
            <w:hideMark/>
          </w:tcPr>
          <w:p w14:paraId="5BF803B0"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1 634 210,00</w:t>
            </w:r>
          </w:p>
        </w:tc>
        <w:tc>
          <w:tcPr>
            <w:tcW w:w="1684" w:type="dxa"/>
            <w:tcBorders>
              <w:top w:val="nil"/>
              <w:left w:val="nil"/>
              <w:bottom w:val="single" w:sz="4" w:space="0" w:color="auto"/>
              <w:right w:val="single" w:sz="4" w:space="0" w:color="auto"/>
            </w:tcBorders>
            <w:shd w:val="clear" w:color="auto" w:fill="auto"/>
            <w:noWrap/>
            <w:vAlign w:val="bottom"/>
            <w:hideMark/>
          </w:tcPr>
          <w:p w14:paraId="54B270B2"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1 538 647,00</w:t>
            </w:r>
          </w:p>
        </w:tc>
        <w:tc>
          <w:tcPr>
            <w:tcW w:w="576" w:type="dxa"/>
            <w:tcBorders>
              <w:top w:val="nil"/>
              <w:left w:val="nil"/>
              <w:bottom w:val="single" w:sz="4" w:space="0" w:color="auto"/>
              <w:right w:val="single" w:sz="8" w:space="0" w:color="auto"/>
            </w:tcBorders>
            <w:shd w:val="clear" w:color="auto" w:fill="auto"/>
            <w:noWrap/>
            <w:vAlign w:val="bottom"/>
            <w:hideMark/>
          </w:tcPr>
          <w:p w14:paraId="5C9A3CDF"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94,2</w:t>
            </w:r>
          </w:p>
        </w:tc>
      </w:tr>
      <w:tr w:rsidR="00DA77A7" w:rsidRPr="00DA77A7" w14:paraId="22303762"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31C6BDDE" w14:textId="77777777" w:rsidR="00DA77A7" w:rsidRPr="00DA77A7" w:rsidRDefault="00DA77A7" w:rsidP="00DA77A7">
            <w:pPr>
              <w:spacing w:after="0" w:line="240" w:lineRule="auto"/>
              <w:jc w:val="center"/>
              <w:rPr>
                <w:rFonts w:ascii="Calibri" w:eastAsia="Times New Roman" w:hAnsi="Calibri" w:cs="Arial"/>
                <w:b/>
                <w:bCs/>
                <w:sz w:val="20"/>
                <w:szCs w:val="20"/>
                <w:lang w:eastAsia="cs-CZ"/>
              </w:rPr>
            </w:pPr>
            <w:r w:rsidRPr="00DA77A7">
              <w:rPr>
                <w:rFonts w:ascii="Calibri" w:eastAsia="Times New Roman" w:hAnsi="Calibri" w:cs="Arial"/>
                <w:b/>
                <w:bCs/>
                <w:sz w:val="20"/>
                <w:szCs w:val="20"/>
                <w:lang w:eastAsia="cs-CZ"/>
              </w:rPr>
              <w:t> </w:t>
            </w:r>
          </w:p>
        </w:tc>
        <w:tc>
          <w:tcPr>
            <w:tcW w:w="9410" w:type="dxa"/>
            <w:gridSpan w:val="5"/>
            <w:tcBorders>
              <w:top w:val="single" w:sz="4" w:space="0" w:color="auto"/>
              <w:left w:val="nil"/>
              <w:bottom w:val="single" w:sz="4" w:space="0" w:color="auto"/>
              <w:right w:val="single" w:sz="8" w:space="0" w:color="000000"/>
            </w:tcBorders>
            <w:shd w:val="clear" w:color="auto" w:fill="auto"/>
            <w:vAlign w:val="bottom"/>
            <w:hideMark/>
          </w:tcPr>
          <w:p w14:paraId="306EB55B" w14:textId="77777777" w:rsidR="00DA77A7" w:rsidRPr="00DA77A7" w:rsidRDefault="00DA77A7" w:rsidP="00DA77A7">
            <w:pPr>
              <w:spacing w:after="0" w:line="240" w:lineRule="auto"/>
              <w:rPr>
                <w:rFonts w:ascii="Calibri" w:eastAsia="Times New Roman" w:hAnsi="Calibri" w:cs="Arial"/>
                <w:sz w:val="20"/>
                <w:szCs w:val="20"/>
                <w:lang w:eastAsia="cs-CZ"/>
              </w:rPr>
            </w:pPr>
            <w:r w:rsidRPr="00DA77A7">
              <w:rPr>
                <w:rFonts w:ascii="Calibri" w:eastAsia="Times New Roman" w:hAnsi="Calibri" w:cs="Arial"/>
                <w:sz w:val="20"/>
                <w:szCs w:val="20"/>
                <w:lang w:eastAsia="cs-CZ"/>
              </w:rPr>
              <w:t>z toho:</w:t>
            </w:r>
          </w:p>
        </w:tc>
      </w:tr>
      <w:tr w:rsidR="00AF5B41" w:rsidRPr="00DA77A7" w14:paraId="54F7C72A" w14:textId="77777777" w:rsidTr="0042584A">
        <w:trPr>
          <w:trHeight w:val="78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2EC95D7B"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3114</w:t>
            </w:r>
          </w:p>
        </w:tc>
        <w:tc>
          <w:tcPr>
            <w:tcW w:w="4085" w:type="dxa"/>
            <w:tcBorders>
              <w:top w:val="nil"/>
              <w:left w:val="nil"/>
              <w:bottom w:val="single" w:sz="4" w:space="0" w:color="auto"/>
              <w:right w:val="single" w:sz="4" w:space="0" w:color="auto"/>
            </w:tcBorders>
            <w:shd w:val="clear" w:color="auto" w:fill="auto"/>
            <w:vAlign w:val="bottom"/>
            <w:hideMark/>
          </w:tcPr>
          <w:p w14:paraId="7E13F7F8"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Základní školy pro žáky se speciálními vzdělávacími potřebami</w:t>
            </w:r>
          </w:p>
        </w:tc>
        <w:tc>
          <w:tcPr>
            <w:tcW w:w="1394" w:type="dxa"/>
            <w:tcBorders>
              <w:top w:val="nil"/>
              <w:left w:val="nil"/>
              <w:bottom w:val="single" w:sz="4" w:space="0" w:color="auto"/>
              <w:right w:val="single" w:sz="4" w:space="0" w:color="auto"/>
            </w:tcBorders>
            <w:shd w:val="clear" w:color="auto" w:fill="auto"/>
            <w:noWrap/>
            <w:vAlign w:val="bottom"/>
            <w:hideMark/>
          </w:tcPr>
          <w:p w14:paraId="5F1CDF73"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w:t>
            </w:r>
          </w:p>
        </w:tc>
        <w:tc>
          <w:tcPr>
            <w:tcW w:w="1671" w:type="dxa"/>
            <w:tcBorders>
              <w:top w:val="nil"/>
              <w:left w:val="nil"/>
              <w:bottom w:val="single" w:sz="4" w:space="0" w:color="auto"/>
              <w:right w:val="single" w:sz="4" w:space="0" w:color="auto"/>
            </w:tcBorders>
            <w:shd w:val="clear" w:color="auto" w:fill="auto"/>
            <w:noWrap/>
            <w:vAlign w:val="bottom"/>
            <w:hideMark/>
          </w:tcPr>
          <w:p w14:paraId="71B53071"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186 899,00</w:t>
            </w:r>
          </w:p>
        </w:tc>
        <w:tc>
          <w:tcPr>
            <w:tcW w:w="1684" w:type="dxa"/>
            <w:tcBorders>
              <w:top w:val="nil"/>
              <w:left w:val="nil"/>
              <w:bottom w:val="single" w:sz="4" w:space="0" w:color="auto"/>
              <w:right w:val="single" w:sz="4" w:space="0" w:color="auto"/>
            </w:tcBorders>
            <w:shd w:val="clear" w:color="auto" w:fill="auto"/>
            <w:noWrap/>
            <w:vAlign w:val="bottom"/>
            <w:hideMark/>
          </w:tcPr>
          <w:p w14:paraId="4F104DF2"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186 339,00</w:t>
            </w:r>
          </w:p>
        </w:tc>
        <w:tc>
          <w:tcPr>
            <w:tcW w:w="576" w:type="dxa"/>
            <w:tcBorders>
              <w:top w:val="nil"/>
              <w:left w:val="nil"/>
              <w:bottom w:val="single" w:sz="4" w:space="0" w:color="auto"/>
              <w:right w:val="single" w:sz="8" w:space="0" w:color="auto"/>
            </w:tcBorders>
            <w:shd w:val="clear" w:color="auto" w:fill="auto"/>
            <w:noWrap/>
            <w:vAlign w:val="bottom"/>
            <w:hideMark/>
          </w:tcPr>
          <w:p w14:paraId="3F8B1029"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99,7</w:t>
            </w:r>
          </w:p>
        </w:tc>
      </w:tr>
      <w:tr w:rsidR="00AF5B41" w:rsidRPr="00DA77A7" w14:paraId="2A0BB4A3"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40A08108"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3121</w:t>
            </w:r>
          </w:p>
        </w:tc>
        <w:tc>
          <w:tcPr>
            <w:tcW w:w="4085" w:type="dxa"/>
            <w:tcBorders>
              <w:top w:val="nil"/>
              <w:left w:val="nil"/>
              <w:bottom w:val="single" w:sz="4" w:space="0" w:color="auto"/>
              <w:right w:val="single" w:sz="4" w:space="0" w:color="auto"/>
            </w:tcBorders>
            <w:shd w:val="clear" w:color="auto" w:fill="auto"/>
            <w:vAlign w:val="bottom"/>
            <w:hideMark/>
          </w:tcPr>
          <w:p w14:paraId="6882E386"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Gymnázia</w:t>
            </w:r>
          </w:p>
        </w:tc>
        <w:tc>
          <w:tcPr>
            <w:tcW w:w="1394" w:type="dxa"/>
            <w:tcBorders>
              <w:top w:val="nil"/>
              <w:left w:val="nil"/>
              <w:bottom w:val="single" w:sz="4" w:space="0" w:color="auto"/>
              <w:right w:val="single" w:sz="4" w:space="0" w:color="auto"/>
            </w:tcBorders>
            <w:shd w:val="clear" w:color="auto" w:fill="auto"/>
            <w:noWrap/>
            <w:vAlign w:val="bottom"/>
            <w:hideMark/>
          </w:tcPr>
          <w:p w14:paraId="005F80CC"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w:t>
            </w:r>
          </w:p>
        </w:tc>
        <w:tc>
          <w:tcPr>
            <w:tcW w:w="1671" w:type="dxa"/>
            <w:tcBorders>
              <w:top w:val="nil"/>
              <w:left w:val="nil"/>
              <w:bottom w:val="single" w:sz="4" w:space="0" w:color="auto"/>
              <w:right w:val="single" w:sz="4" w:space="0" w:color="auto"/>
            </w:tcBorders>
            <w:shd w:val="clear" w:color="auto" w:fill="auto"/>
            <w:noWrap/>
            <w:vAlign w:val="bottom"/>
            <w:hideMark/>
          </w:tcPr>
          <w:p w14:paraId="6ADCC1E9"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281 028,00</w:t>
            </w:r>
          </w:p>
        </w:tc>
        <w:tc>
          <w:tcPr>
            <w:tcW w:w="1684" w:type="dxa"/>
            <w:tcBorders>
              <w:top w:val="nil"/>
              <w:left w:val="nil"/>
              <w:bottom w:val="single" w:sz="4" w:space="0" w:color="auto"/>
              <w:right w:val="single" w:sz="4" w:space="0" w:color="auto"/>
            </w:tcBorders>
            <w:shd w:val="clear" w:color="auto" w:fill="auto"/>
            <w:noWrap/>
            <w:vAlign w:val="bottom"/>
            <w:hideMark/>
          </w:tcPr>
          <w:p w14:paraId="32080381"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272 828,00</w:t>
            </w:r>
          </w:p>
        </w:tc>
        <w:tc>
          <w:tcPr>
            <w:tcW w:w="576" w:type="dxa"/>
            <w:tcBorders>
              <w:top w:val="nil"/>
              <w:left w:val="nil"/>
              <w:bottom w:val="single" w:sz="4" w:space="0" w:color="auto"/>
              <w:right w:val="single" w:sz="8" w:space="0" w:color="auto"/>
            </w:tcBorders>
            <w:shd w:val="clear" w:color="auto" w:fill="auto"/>
            <w:noWrap/>
            <w:vAlign w:val="bottom"/>
            <w:hideMark/>
          </w:tcPr>
          <w:p w14:paraId="787B3776"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97,1</w:t>
            </w:r>
          </w:p>
        </w:tc>
      </w:tr>
      <w:tr w:rsidR="00AF5B41" w:rsidRPr="00DA77A7" w14:paraId="2C4F3D3F"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1E1D93FA"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3122</w:t>
            </w:r>
          </w:p>
        </w:tc>
        <w:tc>
          <w:tcPr>
            <w:tcW w:w="4085" w:type="dxa"/>
            <w:tcBorders>
              <w:top w:val="nil"/>
              <w:left w:val="nil"/>
              <w:bottom w:val="single" w:sz="4" w:space="0" w:color="auto"/>
              <w:right w:val="single" w:sz="4" w:space="0" w:color="auto"/>
            </w:tcBorders>
            <w:shd w:val="clear" w:color="auto" w:fill="auto"/>
            <w:vAlign w:val="bottom"/>
            <w:hideMark/>
          </w:tcPr>
          <w:p w14:paraId="6FC2B196"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Střední odborné školy</w:t>
            </w:r>
          </w:p>
        </w:tc>
        <w:tc>
          <w:tcPr>
            <w:tcW w:w="1394" w:type="dxa"/>
            <w:tcBorders>
              <w:top w:val="nil"/>
              <w:left w:val="nil"/>
              <w:bottom w:val="single" w:sz="4" w:space="0" w:color="auto"/>
              <w:right w:val="single" w:sz="4" w:space="0" w:color="auto"/>
            </w:tcBorders>
            <w:shd w:val="clear" w:color="auto" w:fill="auto"/>
            <w:noWrap/>
            <w:vAlign w:val="bottom"/>
            <w:hideMark/>
          </w:tcPr>
          <w:p w14:paraId="1B23CA8B"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w:t>
            </w:r>
          </w:p>
        </w:tc>
        <w:tc>
          <w:tcPr>
            <w:tcW w:w="1671" w:type="dxa"/>
            <w:tcBorders>
              <w:top w:val="nil"/>
              <w:left w:val="nil"/>
              <w:bottom w:val="single" w:sz="4" w:space="0" w:color="auto"/>
              <w:right w:val="single" w:sz="4" w:space="0" w:color="auto"/>
            </w:tcBorders>
            <w:shd w:val="clear" w:color="auto" w:fill="auto"/>
            <w:noWrap/>
            <w:vAlign w:val="bottom"/>
            <w:hideMark/>
          </w:tcPr>
          <w:p w14:paraId="471E047F"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347 105,00</w:t>
            </w:r>
          </w:p>
        </w:tc>
        <w:tc>
          <w:tcPr>
            <w:tcW w:w="1684" w:type="dxa"/>
            <w:tcBorders>
              <w:top w:val="nil"/>
              <w:left w:val="nil"/>
              <w:bottom w:val="single" w:sz="4" w:space="0" w:color="auto"/>
              <w:right w:val="single" w:sz="4" w:space="0" w:color="auto"/>
            </w:tcBorders>
            <w:shd w:val="clear" w:color="auto" w:fill="auto"/>
            <w:noWrap/>
            <w:vAlign w:val="bottom"/>
            <w:hideMark/>
          </w:tcPr>
          <w:p w14:paraId="659F5958"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315 995,00</w:t>
            </w:r>
          </w:p>
        </w:tc>
        <w:tc>
          <w:tcPr>
            <w:tcW w:w="576" w:type="dxa"/>
            <w:tcBorders>
              <w:top w:val="nil"/>
              <w:left w:val="nil"/>
              <w:bottom w:val="single" w:sz="4" w:space="0" w:color="auto"/>
              <w:right w:val="single" w:sz="8" w:space="0" w:color="auto"/>
            </w:tcBorders>
            <w:shd w:val="clear" w:color="auto" w:fill="auto"/>
            <w:noWrap/>
            <w:vAlign w:val="bottom"/>
            <w:hideMark/>
          </w:tcPr>
          <w:p w14:paraId="2D3383AD"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91,0</w:t>
            </w:r>
          </w:p>
        </w:tc>
      </w:tr>
      <w:tr w:rsidR="00AF5B41" w:rsidRPr="00DA77A7" w14:paraId="0CD8B125"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76ED529B"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3123</w:t>
            </w:r>
          </w:p>
        </w:tc>
        <w:tc>
          <w:tcPr>
            <w:tcW w:w="4085" w:type="dxa"/>
            <w:tcBorders>
              <w:top w:val="nil"/>
              <w:left w:val="nil"/>
              <w:bottom w:val="single" w:sz="4" w:space="0" w:color="auto"/>
              <w:right w:val="single" w:sz="4" w:space="0" w:color="auto"/>
            </w:tcBorders>
            <w:shd w:val="clear" w:color="auto" w:fill="auto"/>
            <w:vAlign w:val="bottom"/>
            <w:hideMark/>
          </w:tcPr>
          <w:p w14:paraId="0986F168"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Střední školy poskytující střední vzdělání s výučním listem</w:t>
            </w:r>
          </w:p>
        </w:tc>
        <w:tc>
          <w:tcPr>
            <w:tcW w:w="1394" w:type="dxa"/>
            <w:tcBorders>
              <w:top w:val="nil"/>
              <w:left w:val="nil"/>
              <w:bottom w:val="single" w:sz="4" w:space="0" w:color="auto"/>
              <w:right w:val="single" w:sz="4" w:space="0" w:color="auto"/>
            </w:tcBorders>
            <w:shd w:val="clear" w:color="auto" w:fill="auto"/>
            <w:noWrap/>
            <w:vAlign w:val="bottom"/>
            <w:hideMark/>
          </w:tcPr>
          <w:p w14:paraId="18E7E83E"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w:t>
            </w:r>
          </w:p>
        </w:tc>
        <w:tc>
          <w:tcPr>
            <w:tcW w:w="1671" w:type="dxa"/>
            <w:tcBorders>
              <w:top w:val="nil"/>
              <w:left w:val="nil"/>
              <w:bottom w:val="single" w:sz="4" w:space="0" w:color="auto"/>
              <w:right w:val="single" w:sz="4" w:space="0" w:color="auto"/>
            </w:tcBorders>
            <w:shd w:val="clear" w:color="auto" w:fill="auto"/>
            <w:noWrap/>
            <w:vAlign w:val="bottom"/>
            <w:hideMark/>
          </w:tcPr>
          <w:p w14:paraId="13C5549D"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529 460,00</w:t>
            </w:r>
          </w:p>
        </w:tc>
        <w:tc>
          <w:tcPr>
            <w:tcW w:w="1684" w:type="dxa"/>
            <w:tcBorders>
              <w:top w:val="nil"/>
              <w:left w:val="nil"/>
              <w:bottom w:val="single" w:sz="4" w:space="0" w:color="auto"/>
              <w:right w:val="single" w:sz="4" w:space="0" w:color="auto"/>
            </w:tcBorders>
            <w:shd w:val="clear" w:color="auto" w:fill="auto"/>
            <w:noWrap/>
            <w:vAlign w:val="bottom"/>
            <w:hideMark/>
          </w:tcPr>
          <w:p w14:paraId="144BC675"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508 485,00</w:t>
            </w:r>
          </w:p>
        </w:tc>
        <w:tc>
          <w:tcPr>
            <w:tcW w:w="576" w:type="dxa"/>
            <w:tcBorders>
              <w:top w:val="nil"/>
              <w:left w:val="nil"/>
              <w:bottom w:val="single" w:sz="4" w:space="0" w:color="auto"/>
              <w:right w:val="single" w:sz="8" w:space="0" w:color="auto"/>
            </w:tcBorders>
            <w:shd w:val="clear" w:color="auto" w:fill="auto"/>
            <w:noWrap/>
            <w:vAlign w:val="bottom"/>
            <w:hideMark/>
          </w:tcPr>
          <w:p w14:paraId="3A092B8E"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96,0</w:t>
            </w:r>
          </w:p>
        </w:tc>
      </w:tr>
      <w:tr w:rsidR="00AF5B41" w:rsidRPr="00DA77A7" w14:paraId="302EC0BA"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701081A6"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3294</w:t>
            </w:r>
          </w:p>
        </w:tc>
        <w:tc>
          <w:tcPr>
            <w:tcW w:w="4085" w:type="dxa"/>
            <w:tcBorders>
              <w:top w:val="nil"/>
              <w:left w:val="nil"/>
              <w:bottom w:val="single" w:sz="4" w:space="0" w:color="auto"/>
              <w:right w:val="single" w:sz="4" w:space="0" w:color="auto"/>
            </w:tcBorders>
            <w:shd w:val="clear" w:color="auto" w:fill="auto"/>
            <w:vAlign w:val="bottom"/>
            <w:hideMark/>
          </w:tcPr>
          <w:p w14:paraId="444AB9C3"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Zařízení pro další vzdělávání pedagogických pracovníků</w:t>
            </w:r>
          </w:p>
        </w:tc>
        <w:tc>
          <w:tcPr>
            <w:tcW w:w="1394" w:type="dxa"/>
            <w:tcBorders>
              <w:top w:val="nil"/>
              <w:left w:val="nil"/>
              <w:bottom w:val="single" w:sz="4" w:space="0" w:color="auto"/>
              <w:right w:val="single" w:sz="4" w:space="0" w:color="auto"/>
            </w:tcBorders>
            <w:shd w:val="clear" w:color="auto" w:fill="auto"/>
            <w:noWrap/>
            <w:vAlign w:val="bottom"/>
            <w:hideMark/>
          </w:tcPr>
          <w:p w14:paraId="01C53C72"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w:t>
            </w:r>
          </w:p>
        </w:tc>
        <w:tc>
          <w:tcPr>
            <w:tcW w:w="1671" w:type="dxa"/>
            <w:tcBorders>
              <w:top w:val="nil"/>
              <w:left w:val="nil"/>
              <w:bottom w:val="single" w:sz="4" w:space="0" w:color="auto"/>
              <w:right w:val="single" w:sz="4" w:space="0" w:color="auto"/>
            </w:tcBorders>
            <w:shd w:val="clear" w:color="auto" w:fill="auto"/>
            <w:noWrap/>
            <w:vAlign w:val="bottom"/>
            <w:hideMark/>
          </w:tcPr>
          <w:p w14:paraId="06AC8349"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240 000,00</w:t>
            </w:r>
          </w:p>
        </w:tc>
        <w:tc>
          <w:tcPr>
            <w:tcW w:w="1684" w:type="dxa"/>
            <w:tcBorders>
              <w:top w:val="nil"/>
              <w:left w:val="nil"/>
              <w:bottom w:val="single" w:sz="4" w:space="0" w:color="auto"/>
              <w:right w:val="single" w:sz="4" w:space="0" w:color="auto"/>
            </w:tcBorders>
            <w:shd w:val="clear" w:color="auto" w:fill="auto"/>
            <w:noWrap/>
            <w:vAlign w:val="bottom"/>
            <w:hideMark/>
          </w:tcPr>
          <w:p w14:paraId="23353EE5"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219 000,00</w:t>
            </w:r>
          </w:p>
        </w:tc>
        <w:tc>
          <w:tcPr>
            <w:tcW w:w="576" w:type="dxa"/>
            <w:tcBorders>
              <w:top w:val="nil"/>
              <w:left w:val="nil"/>
              <w:bottom w:val="single" w:sz="4" w:space="0" w:color="auto"/>
              <w:right w:val="single" w:sz="8" w:space="0" w:color="auto"/>
            </w:tcBorders>
            <w:shd w:val="clear" w:color="auto" w:fill="auto"/>
            <w:noWrap/>
            <w:vAlign w:val="bottom"/>
            <w:hideMark/>
          </w:tcPr>
          <w:p w14:paraId="4CBAAA94"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91,3</w:t>
            </w:r>
          </w:p>
        </w:tc>
      </w:tr>
      <w:tr w:rsidR="00AF5B41" w:rsidRPr="00DA77A7" w14:paraId="1D4677D1" w14:textId="77777777" w:rsidTr="0042584A">
        <w:trPr>
          <w:trHeight w:val="510"/>
        </w:trPr>
        <w:tc>
          <w:tcPr>
            <w:tcW w:w="1231" w:type="dxa"/>
            <w:tcBorders>
              <w:top w:val="nil"/>
              <w:left w:val="single" w:sz="8" w:space="0" w:color="auto"/>
              <w:bottom w:val="single" w:sz="8" w:space="0" w:color="auto"/>
              <w:right w:val="single" w:sz="4" w:space="0" w:color="auto"/>
            </w:tcBorders>
            <w:shd w:val="clear" w:color="auto" w:fill="auto"/>
            <w:vAlign w:val="bottom"/>
            <w:hideMark/>
          </w:tcPr>
          <w:p w14:paraId="0CA47059"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3541</w:t>
            </w:r>
          </w:p>
        </w:tc>
        <w:tc>
          <w:tcPr>
            <w:tcW w:w="4085" w:type="dxa"/>
            <w:tcBorders>
              <w:top w:val="nil"/>
              <w:left w:val="nil"/>
              <w:bottom w:val="single" w:sz="8" w:space="0" w:color="auto"/>
              <w:right w:val="single" w:sz="4" w:space="0" w:color="auto"/>
            </w:tcBorders>
            <w:shd w:val="clear" w:color="auto" w:fill="auto"/>
            <w:vAlign w:val="bottom"/>
            <w:hideMark/>
          </w:tcPr>
          <w:p w14:paraId="1B76B278"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Prevence před drogami, alkoholem, nikotinem a jinými závislostmi</w:t>
            </w:r>
          </w:p>
        </w:tc>
        <w:tc>
          <w:tcPr>
            <w:tcW w:w="1394" w:type="dxa"/>
            <w:tcBorders>
              <w:top w:val="nil"/>
              <w:left w:val="nil"/>
              <w:bottom w:val="single" w:sz="8" w:space="0" w:color="auto"/>
              <w:right w:val="single" w:sz="4" w:space="0" w:color="auto"/>
            </w:tcBorders>
            <w:shd w:val="clear" w:color="auto" w:fill="auto"/>
            <w:noWrap/>
            <w:vAlign w:val="bottom"/>
            <w:hideMark/>
          </w:tcPr>
          <w:p w14:paraId="33A9588C"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1 300 000</w:t>
            </w:r>
          </w:p>
        </w:tc>
        <w:tc>
          <w:tcPr>
            <w:tcW w:w="1671" w:type="dxa"/>
            <w:tcBorders>
              <w:top w:val="nil"/>
              <w:left w:val="nil"/>
              <w:bottom w:val="single" w:sz="8" w:space="0" w:color="auto"/>
              <w:right w:val="single" w:sz="4" w:space="0" w:color="auto"/>
            </w:tcBorders>
            <w:shd w:val="clear" w:color="auto" w:fill="auto"/>
            <w:noWrap/>
            <w:vAlign w:val="bottom"/>
            <w:hideMark/>
          </w:tcPr>
          <w:p w14:paraId="02B6BA1F"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49 718,00</w:t>
            </w:r>
          </w:p>
        </w:tc>
        <w:tc>
          <w:tcPr>
            <w:tcW w:w="1684" w:type="dxa"/>
            <w:tcBorders>
              <w:top w:val="nil"/>
              <w:left w:val="nil"/>
              <w:bottom w:val="single" w:sz="8" w:space="0" w:color="auto"/>
              <w:right w:val="single" w:sz="4" w:space="0" w:color="auto"/>
            </w:tcBorders>
            <w:shd w:val="clear" w:color="auto" w:fill="auto"/>
            <w:noWrap/>
            <w:vAlign w:val="bottom"/>
            <w:hideMark/>
          </w:tcPr>
          <w:p w14:paraId="370EE0C6"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36 000,00</w:t>
            </w:r>
          </w:p>
        </w:tc>
        <w:tc>
          <w:tcPr>
            <w:tcW w:w="576" w:type="dxa"/>
            <w:tcBorders>
              <w:top w:val="nil"/>
              <w:left w:val="nil"/>
              <w:bottom w:val="single" w:sz="8" w:space="0" w:color="auto"/>
              <w:right w:val="single" w:sz="8" w:space="0" w:color="auto"/>
            </w:tcBorders>
            <w:shd w:val="clear" w:color="auto" w:fill="auto"/>
            <w:noWrap/>
            <w:vAlign w:val="bottom"/>
            <w:hideMark/>
          </w:tcPr>
          <w:p w14:paraId="50D1D789"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72,4</w:t>
            </w:r>
          </w:p>
        </w:tc>
      </w:tr>
      <w:tr w:rsidR="00AF5B41" w:rsidRPr="00DA77A7" w14:paraId="07414F34"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336F469F" w14:textId="77777777" w:rsidR="00DA77A7" w:rsidRPr="00DA77A7" w:rsidRDefault="00DA77A7" w:rsidP="00DA77A7">
            <w:pPr>
              <w:spacing w:after="0" w:line="240" w:lineRule="auto"/>
              <w:jc w:val="center"/>
              <w:rPr>
                <w:rFonts w:ascii="Calibri" w:eastAsia="Times New Roman" w:hAnsi="Calibri" w:cs="Arial"/>
                <w:b/>
                <w:bCs/>
                <w:sz w:val="20"/>
                <w:szCs w:val="20"/>
                <w:lang w:eastAsia="cs-CZ"/>
              </w:rPr>
            </w:pPr>
            <w:r w:rsidRPr="00DA77A7">
              <w:rPr>
                <w:rFonts w:ascii="Calibri" w:eastAsia="Times New Roman" w:hAnsi="Calibri" w:cs="Arial"/>
                <w:b/>
                <w:bCs/>
                <w:sz w:val="20"/>
                <w:szCs w:val="20"/>
                <w:lang w:eastAsia="cs-CZ"/>
              </w:rPr>
              <w:t> </w:t>
            </w:r>
          </w:p>
        </w:tc>
        <w:tc>
          <w:tcPr>
            <w:tcW w:w="4085" w:type="dxa"/>
            <w:tcBorders>
              <w:top w:val="single" w:sz="4" w:space="0" w:color="auto"/>
              <w:left w:val="nil"/>
              <w:bottom w:val="single" w:sz="4" w:space="0" w:color="auto"/>
              <w:right w:val="single" w:sz="4" w:space="0" w:color="auto"/>
            </w:tcBorders>
            <w:shd w:val="clear" w:color="auto" w:fill="auto"/>
            <w:vAlign w:val="bottom"/>
            <w:hideMark/>
          </w:tcPr>
          <w:p w14:paraId="4EF5165B" w14:textId="77777777" w:rsidR="00DA77A7" w:rsidRPr="00DA77A7" w:rsidRDefault="00DA77A7" w:rsidP="00DA77A7">
            <w:pPr>
              <w:spacing w:after="0" w:line="240" w:lineRule="auto"/>
              <w:rPr>
                <w:rFonts w:ascii="Calibri" w:eastAsia="Times New Roman" w:hAnsi="Calibri" w:cs="Arial"/>
                <w:sz w:val="20"/>
                <w:szCs w:val="20"/>
                <w:lang w:eastAsia="cs-CZ"/>
              </w:rPr>
            </w:pPr>
            <w:r w:rsidRPr="00DA77A7">
              <w:rPr>
                <w:rFonts w:ascii="Calibri" w:eastAsia="Times New Roman" w:hAnsi="Calibri" w:cs="Arial"/>
                <w:sz w:val="20"/>
                <w:szCs w:val="20"/>
                <w:lang w:eastAsia="cs-CZ"/>
              </w:rPr>
              <w:t>Sportovní soutěže</w:t>
            </w:r>
          </w:p>
        </w:tc>
        <w:tc>
          <w:tcPr>
            <w:tcW w:w="1394" w:type="dxa"/>
            <w:tcBorders>
              <w:top w:val="single" w:sz="4" w:space="0" w:color="auto"/>
              <w:left w:val="nil"/>
              <w:bottom w:val="single" w:sz="4" w:space="0" w:color="auto"/>
              <w:right w:val="single" w:sz="4" w:space="0" w:color="auto"/>
            </w:tcBorders>
            <w:shd w:val="clear" w:color="auto" w:fill="auto"/>
            <w:noWrap/>
            <w:vAlign w:val="bottom"/>
            <w:hideMark/>
          </w:tcPr>
          <w:p w14:paraId="2B677DAC"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0</w:t>
            </w:r>
          </w:p>
        </w:tc>
        <w:tc>
          <w:tcPr>
            <w:tcW w:w="1671" w:type="dxa"/>
            <w:tcBorders>
              <w:top w:val="single" w:sz="4" w:space="0" w:color="auto"/>
              <w:left w:val="nil"/>
              <w:bottom w:val="single" w:sz="4" w:space="0" w:color="auto"/>
              <w:right w:val="single" w:sz="4" w:space="0" w:color="auto"/>
            </w:tcBorders>
            <w:shd w:val="clear" w:color="auto" w:fill="auto"/>
            <w:noWrap/>
            <w:vAlign w:val="bottom"/>
            <w:hideMark/>
          </w:tcPr>
          <w:p w14:paraId="3C4CF671"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4 600 000,00</w:t>
            </w:r>
          </w:p>
        </w:tc>
        <w:tc>
          <w:tcPr>
            <w:tcW w:w="1684" w:type="dxa"/>
            <w:tcBorders>
              <w:top w:val="single" w:sz="4" w:space="0" w:color="auto"/>
              <w:left w:val="nil"/>
              <w:bottom w:val="single" w:sz="4" w:space="0" w:color="auto"/>
              <w:right w:val="single" w:sz="4" w:space="0" w:color="auto"/>
            </w:tcBorders>
            <w:shd w:val="clear" w:color="auto" w:fill="auto"/>
            <w:noWrap/>
            <w:vAlign w:val="bottom"/>
            <w:hideMark/>
          </w:tcPr>
          <w:p w14:paraId="6F972769"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385 165,95</w:t>
            </w:r>
          </w:p>
        </w:tc>
        <w:tc>
          <w:tcPr>
            <w:tcW w:w="576" w:type="dxa"/>
            <w:tcBorders>
              <w:top w:val="single" w:sz="4" w:space="0" w:color="auto"/>
              <w:left w:val="nil"/>
              <w:bottom w:val="single" w:sz="4" w:space="0" w:color="auto"/>
              <w:right w:val="single" w:sz="8" w:space="0" w:color="auto"/>
            </w:tcBorders>
            <w:shd w:val="clear" w:color="auto" w:fill="auto"/>
            <w:noWrap/>
            <w:vAlign w:val="bottom"/>
            <w:hideMark/>
          </w:tcPr>
          <w:p w14:paraId="14CFE999"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8,4</w:t>
            </w:r>
          </w:p>
        </w:tc>
      </w:tr>
      <w:tr w:rsidR="00DA77A7" w:rsidRPr="00DA77A7" w14:paraId="7DEA8AB4"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6F882F57"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 </w:t>
            </w:r>
          </w:p>
        </w:tc>
        <w:tc>
          <w:tcPr>
            <w:tcW w:w="9410" w:type="dxa"/>
            <w:gridSpan w:val="5"/>
            <w:tcBorders>
              <w:top w:val="single" w:sz="4" w:space="0" w:color="auto"/>
              <w:left w:val="nil"/>
              <w:bottom w:val="single" w:sz="4" w:space="0" w:color="auto"/>
              <w:right w:val="single" w:sz="8" w:space="0" w:color="000000"/>
            </w:tcBorders>
            <w:shd w:val="clear" w:color="auto" w:fill="auto"/>
            <w:vAlign w:val="bottom"/>
            <w:hideMark/>
          </w:tcPr>
          <w:p w14:paraId="568D1850" w14:textId="77777777" w:rsidR="00DA77A7" w:rsidRPr="00DA77A7" w:rsidRDefault="00DA77A7" w:rsidP="00DA77A7">
            <w:pPr>
              <w:spacing w:after="0" w:line="240" w:lineRule="auto"/>
              <w:rPr>
                <w:rFonts w:ascii="Calibri" w:eastAsia="Times New Roman" w:hAnsi="Calibri" w:cs="Arial"/>
                <w:sz w:val="20"/>
                <w:szCs w:val="20"/>
                <w:lang w:eastAsia="cs-CZ"/>
              </w:rPr>
            </w:pPr>
            <w:r w:rsidRPr="00DA77A7">
              <w:rPr>
                <w:rFonts w:ascii="Calibri" w:eastAsia="Times New Roman" w:hAnsi="Calibri" w:cs="Arial"/>
                <w:sz w:val="20"/>
                <w:szCs w:val="20"/>
                <w:lang w:eastAsia="cs-CZ"/>
              </w:rPr>
              <w:t>z toho:</w:t>
            </w:r>
          </w:p>
        </w:tc>
      </w:tr>
      <w:tr w:rsidR="00AF5B41" w:rsidRPr="00DA77A7" w14:paraId="166C4B5E"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29D80CD5"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3113</w:t>
            </w:r>
          </w:p>
        </w:tc>
        <w:tc>
          <w:tcPr>
            <w:tcW w:w="4085" w:type="dxa"/>
            <w:tcBorders>
              <w:top w:val="nil"/>
              <w:left w:val="nil"/>
              <w:bottom w:val="single" w:sz="4" w:space="0" w:color="auto"/>
              <w:right w:val="single" w:sz="4" w:space="0" w:color="auto"/>
            </w:tcBorders>
            <w:shd w:val="clear" w:color="auto" w:fill="auto"/>
            <w:vAlign w:val="bottom"/>
            <w:hideMark/>
          </w:tcPr>
          <w:p w14:paraId="60712184"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Základní školy</w:t>
            </w:r>
          </w:p>
        </w:tc>
        <w:tc>
          <w:tcPr>
            <w:tcW w:w="1394" w:type="dxa"/>
            <w:tcBorders>
              <w:top w:val="nil"/>
              <w:left w:val="nil"/>
              <w:bottom w:val="single" w:sz="4" w:space="0" w:color="auto"/>
              <w:right w:val="single" w:sz="4" w:space="0" w:color="auto"/>
            </w:tcBorders>
            <w:shd w:val="clear" w:color="auto" w:fill="auto"/>
            <w:noWrap/>
            <w:vAlign w:val="bottom"/>
            <w:hideMark/>
          </w:tcPr>
          <w:p w14:paraId="6F1FB27F"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w:t>
            </w:r>
          </w:p>
        </w:tc>
        <w:tc>
          <w:tcPr>
            <w:tcW w:w="1671" w:type="dxa"/>
            <w:tcBorders>
              <w:top w:val="nil"/>
              <w:left w:val="nil"/>
              <w:bottom w:val="single" w:sz="4" w:space="0" w:color="auto"/>
              <w:right w:val="single" w:sz="4" w:space="0" w:color="auto"/>
            </w:tcBorders>
            <w:shd w:val="clear" w:color="auto" w:fill="auto"/>
            <w:noWrap/>
            <w:vAlign w:val="bottom"/>
            <w:hideMark/>
          </w:tcPr>
          <w:p w14:paraId="2E0FA168"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249 954,00</w:t>
            </w:r>
          </w:p>
        </w:tc>
        <w:tc>
          <w:tcPr>
            <w:tcW w:w="1684" w:type="dxa"/>
            <w:tcBorders>
              <w:top w:val="nil"/>
              <w:left w:val="nil"/>
              <w:bottom w:val="single" w:sz="4" w:space="0" w:color="auto"/>
              <w:right w:val="single" w:sz="4" w:space="0" w:color="auto"/>
            </w:tcBorders>
            <w:shd w:val="clear" w:color="auto" w:fill="auto"/>
            <w:noWrap/>
            <w:vAlign w:val="bottom"/>
            <w:hideMark/>
          </w:tcPr>
          <w:p w14:paraId="28AFE295"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143 390,00</w:t>
            </w:r>
          </w:p>
        </w:tc>
        <w:tc>
          <w:tcPr>
            <w:tcW w:w="576" w:type="dxa"/>
            <w:tcBorders>
              <w:top w:val="nil"/>
              <w:left w:val="nil"/>
              <w:bottom w:val="single" w:sz="4" w:space="0" w:color="auto"/>
              <w:right w:val="single" w:sz="8" w:space="0" w:color="auto"/>
            </w:tcBorders>
            <w:shd w:val="clear" w:color="auto" w:fill="auto"/>
            <w:noWrap/>
            <w:vAlign w:val="bottom"/>
            <w:hideMark/>
          </w:tcPr>
          <w:p w14:paraId="7E9432C2"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57,4</w:t>
            </w:r>
          </w:p>
        </w:tc>
      </w:tr>
      <w:tr w:rsidR="00AF5B41" w:rsidRPr="00DA77A7" w14:paraId="3132B8DB"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5394179C"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3121</w:t>
            </w:r>
          </w:p>
        </w:tc>
        <w:tc>
          <w:tcPr>
            <w:tcW w:w="4085" w:type="dxa"/>
            <w:tcBorders>
              <w:top w:val="nil"/>
              <w:left w:val="nil"/>
              <w:bottom w:val="single" w:sz="4" w:space="0" w:color="auto"/>
              <w:right w:val="single" w:sz="4" w:space="0" w:color="auto"/>
            </w:tcBorders>
            <w:shd w:val="clear" w:color="auto" w:fill="auto"/>
            <w:vAlign w:val="bottom"/>
            <w:hideMark/>
          </w:tcPr>
          <w:p w14:paraId="735A99EE"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Gymnázia</w:t>
            </w:r>
          </w:p>
        </w:tc>
        <w:tc>
          <w:tcPr>
            <w:tcW w:w="1394" w:type="dxa"/>
            <w:tcBorders>
              <w:top w:val="nil"/>
              <w:left w:val="nil"/>
              <w:bottom w:val="single" w:sz="4" w:space="0" w:color="auto"/>
              <w:right w:val="single" w:sz="4" w:space="0" w:color="auto"/>
            </w:tcBorders>
            <w:shd w:val="clear" w:color="auto" w:fill="auto"/>
            <w:noWrap/>
            <w:vAlign w:val="bottom"/>
            <w:hideMark/>
          </w:tcPr>
          <w:p w14:paraId="75D02CA1"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w:t>
            </w:r>
          </w:p>
        </w:tc>
        <w:tc>
          <w:tcPr>
            <w:tcW w:w="1671" w:type="dxa"/>
            <w:tcBorders>
              <w:top w:val="nil"/>
              <w:left w:val="nil"/>
              <w:bottom w:val="single" w:sz="4" w:space="0" w:color="auto"/>
              <w:right w:val="single" w:sz="4" w:space="0" w:color="auto"/>
            </w:tcBorders>
            <w:shd w:val="clear" w:color="auto" w:fill="auto"/>
            <w:noWrap/>
            <w:vAlign w:val="bottom"/>
            <w:hideMark/>
          </w:tcPr>
          <w:p w14:paraId="4E4D0F5A"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179 310,00</w:t>
            </w:r>
          </w:p>
        </w:tc>
        <w:tc>
          <w:tcPr>
            <w:tcW w:w="1684" w:type="dxa"/>
            <w:tcBorders>
              <w:top w:val="nil"/>
              <w:left w:val="nil"/>
              <w:bottom w:val="single" w:sz="4" w:space="0" w:color="auto"/>
              <w:right w:val="single" w:sz="4" w:space="0" w:color="auto"/>
            </w:tcBorders>
            <w:shd w:val="clear" w:color="auto" w:fill="auto"/>
            <w:noWrap/>
            <w:vAlign w:val="bottom"/>
            <w:hideMark/>
          </w:tcPr>
          <w:p w14:paraId="7D52DB10"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40 000,00</w:t>
            </w:r>
          </w:p>
        </w:tc>
        <w:tc>
          <w:tcPr>
            <w:tcW w:w="576" w:type="dxa"/>
            <w:tcBorders>
              <w:top w:val="nil"/>
              <w:left w:val="nil"/>
              <w:bottom w:val="single" w:sz="4" w:space="0" w:color="auto"/>
              <w:right w:val="single" w:sz="8" w:space="0" w:color="auto"/>
            </w:tcBorders>
            <w:shd w:val="clear" w:color="auto" w:fill="auto"/>
            <w:noWrap/>
            <w:vAlign w:val="bottom"/>
            <w:hideMark/>
          </w:tcPr>
          <w:p w14:paraId="6EAB002D"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22,3</w:t>
            </w:r>
          </w:p>
        </w:tc>
      </w:tr>
      <w:tr w:rsidR="00AF5B41" w:rsidRPr="00DA77A7" w14:paraId="0E58EA39"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01EA82CD"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3122</w:t>
            </w:r>
          </w:p>
        </w:tc>
        <w:tc>
          <w:tcPr>
            <w:tcW w:w="4085" w:type="dxa"/>
            <w:tcBorders>
              <w:top w:val="nil"/>
              <w:left w:val="nil"/>
              <w:bottom w:val="single" w:sz="4" w:space="0" w:color="auto"/>
              <w:right w:val="single" w:sz="4" w:space="0" w:color="auto"/>
            </w:tcBorders>
            <w:shd w:val="clear" w:color="auto" w:fill="auto"/>
            <w:vAlign w:val="bottom"/>
            <w:hideMark/>
          </w:tcPr>
          <w:p w14:paraId="1CA8B2C3"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Střední odborné školy</w:t>
            </w:r>
          </w:p>
        </w:tc>
        <w:tc>
          <w:tcPr>
            <w:tcW w:w="1394" w:type="dxa"/>
            <w:tcBorders>
              <w:top w:val="nil"/>
              <w:left w:val="nil"/>
              <w:bottom w:val="single" w:sz="4" w:space="0" w:color="auto"/>
              <w:right w:val="single" w:sz="4" w:space="0" w:color="auto"/>
            </w:tcBorders>
            <w:shd w:val="clear" w:color="auto" w:fill="auto"/>
            <w:noWrap/>
            <w:vAlign w:val="bottom"/>
            <w:hideMark/>
          </w:tcPr>
          <w:p w14:paraId="0EDEB6D7"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w:t>
            </w:r>
          </w:p>
        </w:tc>
        <w:tc>
          <w:tcPr>
            <w:tcW w:w="1671" w:type="dxa"/>
            <w:tcBorders>
              <w:top w:val="nil"/>
              <w:left w:val="nil"/>
              <w:bottom w:val="single" w:sz="4" w:space="0" w:color="auto"/>
              <w:right w:val="single" w:sz="4" w:space="0" w:color="auto"/>
            </w:tcBorders>
            <w:shd w:val="clear" w:color="auto" w:fill="auto"/>
            <w:noWrap/>
            <w:vAlign w:val="bottom"/>
            <w:hideMark/>
          </w:tcPr>
          <w:p w14:paraId="111911FA"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20 000,00</w:t>
            </w:r>
          </w:p>
        </w:tc>
        <w:tc>
          <w:tcPr>
            <w:tcW w:w="1684" w:type="dxa"/>
            <w:tcBorders>
              <w:top w:val="nil"/>
              <w:left w:val="nil"/>
              <w:bottom w:val="single" w:sz="4" w:space="0" w:color="auto"/>
              <w:right w:val="single" w:sz="4" w:space="0" w:color="auto"/>
            </w:tcBorders>
            <w:shd w:val="clear" w:color="auto" w:fill="auto"/>
            <w:noWrap/>
            <w:vAlign w:val="bottom"/>
            <w:hideMark/>
          </w:tcPr>
          <w:p w14:paraId="09D35C52"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17 579,00</w:t>
            </w:r>
          </w:p>
        </w:tc>
        <w:tc>
          <w:tcPr>
            <w:tcW w:w="576" w:type="dxa"/>
            <w:tcBorders>
              <w:top w:val="nil"/>
              <w:left w:val="nil"/>
              <w:bottom w:val="single" w:sz="4" w:space="0" w:color="auto"/>
              <w:right w:val="single" w:sz="8" w:space="0" w:color="auto"/>
            </w:tcBorders>
            <w:shd w:val="clear" w:color="auto" w:fill="auto"/>
            <w:noWrap/>
            <w:vAlign w:val="bottom"/>
            <w:hideMark/>
          </w:tcPr>
          <w:p w14:paraId="0C89679F"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87,9</w:t>
            </w:r>
          </w:p>
        </w:tc>
      </w:tr>
      <w:tr w:rsidR="00AF5B41" w:rsidRPr="00DA77A7" w14:paraId="7DF27881"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041E4DAD"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3123</w:t>
            </w:r>
          </w:p>
        </w:tc>
        <w:tc>
          <w:tcPr>
            <w:tcW w:w="4085" w:type="dxa"/>
            <w:tcBorders>
              <w:top w:val="nil"/>
              <w:left w:val="nil"/>
              <w:bottom w:val="single" w:sz="4" w:space="0" w:color="auto"/>
              <w:right w:val="single" w:sz="4" w:space="0" w:color="auto"/>
            </w:tcBorders>
            <w:shd w:val="clear" w:color="auto" w:fill="auto"/>
            <w:vAlign w:val="bottom"/>
            <w:hideMark/>
          </w:tcPr>
          <w:p w14:paraId="19968578"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Střední školy poskytující střední vzdělání s výučním listem</w:t>
            </w:r>
          </w:p>
        </w:tc>
        <w:tc>
          <w:tcPr>
            <w:tcW w:w="1394" w:type="dxa"/>
            <w:tcBorders>
              <w:top w:val="nil"/>
              <w:left w:val="nil"/>
              <w:bottom w:val="single" w:sz="4" w:space="0" w:color="auto"/>
              <w:right w:val="single" w:sz="4" w:space="0" w:color="auto"/>
            </w:tcBorders>
            <w:shd w:val="clear" w:color="auto" w:fill="auto"/>
            <w:noWrap/>
            <w:vAlign w:val="bottom"/>
            <w:hideMark/>
          </w:tcPr>
          <w:p w14:paraId="3E8B1919"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w:t>
            </w:r>
          </w:p>
        </w:tc>
        <w:tc>
          <w:tcPr>
            <w:tcW w:w="1671" w:type="dxa"/>
            <w:tcBorders>
              <w:top w:val="nil"/>
              <w:left w:val="nil"/>
              <w:bottom w:val="single" w:sz="4" w:space="0" w:color="auto"/>
              <w:right w:val="single" w:sz="4" w:space="0" w:color="auto"/>
            </w:tcBorders>
            <w:shd w:val="clear" w:color="auto" w:fill="auto"/>
            <w:noWrap/>
            <w:vAlign w:val="bottom"/>
            <w:hideMark/>
          </w:tcPr>
          <w:p w14:paraId="794E9903"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15 820,00</w:t>
            </w:r>
          </w:p>
        </w:tc>
        <w:tc>
          <w:tcPr>
            <w:tcW w:w="1684" w:type="dxa"/>
            <w:tcBorders>
              <w:top w:val="nil"/>
              <w:left w:val="nil"/>
              <w:bottom w:val="single" w:sz="4" w:space="0" w:color="auto"/>
              <w:right w:val="single" w:sz="4" w:space="0" w:color="auto"/>
            </w:tcBorders>
            <w:shd w:val="clear" w:color="auto" w:fill="auto"/>
            <w:noWrap/>
            <w:vAlign w:val="bottom"/>
            <w:hideMark/>
          </w:tcPr>
          <w:p w14:paraId="57510C7D"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0,00</w:t>
            </w:r>
          </w:p>
        </w:tc>
        <w:tc>
          <w:tcPr>
            <w:tcW w:w="576" w:type="dxa"/>
            <w:tcBorders>
              <w:top w:val="nil"/>
              <w:left w:val="nil"/>
              <w:bottom w:val="single" w:sz="4" w:space="0" w:color="auto"/>
              <w:right w:val="single" w:sz="8" w:space="0" w:color="auto"/>
            </w:tcBorders>
            <w:shd w:val="clear" w:color="auto" w:fill="auto"/>
            <w:noWrap/>
            <w:vAlign w:val="bottom"/>
            <w:hideMark/>
          </w:tcPr>
          <w:p w14:paraId="5B58EFC0"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0,0</w:t>
            </w:r>
          </w:p>
        </w:tc>
      </w:tr>
      <w:tr w:rsidR="00AF5B41" w:rsidRPr="00DA77A7" w14:paraId="6CECCC9F"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5A05F24F"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3239</w:t>
            </w:r>
          </w:p>
        </w:tc>
        <w:tc>
          <w:tcPr>
            <w:tcW w:w="4085" w:type="dxa"/>
            <w:tcBorders>
              <w:top w:val="nil"/>
              <w:left w:val="nil"/>
              <w:bottom w:val="single" w:sz="4" w:space="0" w:color="auto"/>
              <w:right w:val="single" w:sz="4" w:space="0" w:color="auto"/>
            </w:tcBorders>
            <w:shd w:val="clear" w:color="auto" w:fill="auto"/>
            <w:vAlign w:val="bottom"/>
            <w:hideMark/>
          </w:tcPr>
          <w:p w14:paraId="312DADDF"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Záležitosti zájmového vzdělávání jinde nezařazené</w:t>
            </w:r>
          </w:p>
        </w:tc>
        <w:tc>
          <w:tcPr>
            <w:tcW w:w="1394" w:type="dxa"/>
            <w:tcBorders>
              <w:top w:val="nil"/>
              <w:left w:val="nil"/>
              <w:bottom w:val="single" w:sz="4" w:space="0" w:color="auto"/>
              <w:right w:val="single" w:sz="4" w:space="0" w:color="auto"/>
            </w:tcBorders>
            <w:shd w:val="clear" w:color="auto" w:fill="auto"/>
            <w:noWrap/>
            <w:vAlign w:val="bottom"/>
            <w:hideMark/>
          </w:tcPr>
          <w:p w14:paraId="40741070"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w:t>
            </w:r>
          </w:p>
        </w:tc>
        <w:tc>
          <w:tcPr>
            <w:tcW w:w="1671" w:type="dxa"/>
            <w:tcBorders>
              <w:top w:val="nil"/>
              <w:left w:val="nil"/>
              <w:bottom w:val="single" w:sz="4" w:space="0" w:color="auto"/>
              <w:right w:val="single" w:sz="4" w:space="0" w:color="auto"/>
            </w:tcBorders>
            <w:shd w:val="clear" w:color="auto" w:fill="auto"/>
            <w:noWrap/>
            <w:vAlign w:val="bottom"/>
            <w:hideMark/>
          </w:tcPr>
          <w:p w14:paraId="3FA77D04"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4 000,00</w:t>
            </w:r>
          </w:p>
        </w:tc>
        <w:tc>
          <w:tcPr>
            <w:tcW w:w="1684" w:type="dxa"/>
            <w:tcBorders>
              <w:top w:val="nil"/>
              <w:left w:val="nil"/>
              <w:bottom w:val="single" w:sz="4" w:space="0" w:color="auto"/>
              <w:right w:val="single" w:sz="4" w:space="0" w:color="auto"/>
            </w:tcBorders>
            <w:shd w:val="clear" w:color="auto" w:fill="auto"/>
            <w:noWrap/>
            <w:vAlign w:val="bottom"/>
            <w:hideMark/>
          </w:tcPr>
          <w:p w14:paraId="1773E49D"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4 000,00</w:t>
            </w:r>
          </w:p>
        </w:tc>
        <w:tc>
          <w:tcPr>
            <w:tcW w:w="576" w:type="dxa"/>
            <w:tcBorders>
              <w:top w:val="nil"/>
              <w:left w:val="nil"/>
              <w:bottom w:val="single" w:sz="4" w:space="0" w:color="auto"/>
              <w:right w:val="single" w:sz="8" w:space="0" w:color="auto"/>
            </w:tcBorders>
            <w:shd w:val="clear" w:color="auto" w:fill="auto"/>
            <w:noWrap/>
            <w:vAlign w:val="bottom"/>
            <w:hideMark/>
          </w:tcPr>
          <w:p w14:paraId="54160C90"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100,0</w:t>
            </w:r>
          </w:p>
        </w:tc>
      </w:tr>
      <w:tr w:rsidR="00AF5B41" w:rsidRPr="00DA77A7" w14:paraId="2A42F962"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5372E792"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3419</w:t>
            </w:r>
          </w:p>
        </w:tc>
        <w:tc>
          <w:tcPr>
            <w:tcW w:w="4085" w:type="dxa"/>
            <w:tcBorders>
              <w:top w:val="nil"/>
              <w:left w:val="nil"/>
              <w:bottom w:val="single" w:sz="4" w:space="0" w:color="auto"/>
              <w:right w:val="single" w:sz="4" w:space="0" w:color="auto"/>
            </w:tcBorders>
            <w:shd w:val="clear" w:color="auto" w:fill="auto"/>
            <w:vAlign w:val="bottom"/>
            <w:hideMark/>
          </w:tcPr>
          <w:p w14:paraId="7A2AB6F5"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Ostatní sportovní činnost</w:t>
            </w:r>
          </w:p>
        </w:tc>
        <w:tc>
          <w:tcPr>
            <w:tcW w:w="1394" w:type="dxa"/>
            <w:tcBorders>
              <w:top w:val="nil"/>
              <w:left w:val="nil"/>
              <w:bottom w:val="single" w:sz="4" w:space="0" w:color="auto"/>
              <w:right w:val="single" w:sz="4" w:space="0" w:color="auto"/>
            </w:tcBorders>
            <w:shd w:val="clear" w:color="auto" w:fill="auto"/>
            <w:noWrap/>
            <w:vAlign w:val="bottom"/>
            <w:hideMark/>
          </w:tcPr>
          <w:p w14:paraId="53B9DCEC"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w:t>
            </w:r>
          </w:p>
        </w:tc>
        <w:tc>
          <w:tcPr>
            <w:tcW w:w="1671" w:type="dxa"/>
            <w:tcBorders>
              <w:top w:val="nil"/>
              <w:left w:val="nil"/>
              <w:bottom w:val="single" w:sz="4" w:space="0" w:color="auto"/>
              <w:right w:val="single" w:sz="4" w:space="0" w:color="auto"/>
            </w:tcBorders>
            <w:shd w:val="clear" w:color="auto" w:fill="auto"/>
            <w:noWrap/>
            <w:vAlign w:val="bottom"/>
            <w:hideMark/>
          </w:tcPr>
          <w:p w14:paraId="1C5D36C2"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3 434 396,00</w:t>
            </w:r>
          </w:p>
        </w:tc>
        <w:tc>
          <w:tcPr>
            <w:tcW w:w="1684" w:type="dxa"/>
            <w:tcBorders>
              <w:top w:val="nil"/>
              <w:left w:val="nil"/>
              <w:bottom w:val="single" w:sz="4" w:space="0" w:color="auto"/>
              <w:right w:val="single" w:sz="4" w:space="0" w:color="auto"/>
            </w:tcBorders>
            <w:shd w:val="clear" w:color="auto" w:fill="auto"/>
            <w:noWrap/>
            <w:vAlign w:val="bottom"/>
            <w:hideMark/>
          </w:tcPr>
          <w:p w14:paraId="3F0A6EF8"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118 152,95</w:t>
            </w:r>
          </w:p>
        </w:tc>
        <w:tc>
          <w:tcPr>
            <w:tcW w:w="576" w:type="dxa"/>
            <w:tcBorders>
              <w:top w:val="nil"/>
              <w:left w:val="nil"/>
              <w:bottom w:val="single" w:sz="4" w:space="0" w:color="auto"/>
              <w:right w:val="single" w:sz="8" w:space="0" w:color="auto"/>
            </w:tcBorders>
            <w:shd w:val="clear" w:color="auto" w:fill="auto"/>
            <w:noWrap/>
            <w:vAlign w:val="bottom"/>
            <w:hideMark/>
          </w:tcPr>
          <w:p w14:paraId="0E4FE64E"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3,4</w:t>
            </w:r>
          </w:p>
        </w:tc>
      </w:tr>
      <w:tr w:rsidR="00AF5B41" w:rsidRPr="00DA77A7" w14:paraId="5288BCE7" w14:textId="77777777" w:rsidTr="0042584A">
        <w:trPr>
          <w:trHeight w:val="300"/>
        </w:trPr>
        <w:tc>
          <w:tcPr>
            <w:tcW w:w="1231" w:type="dxa"/>
            <w:tcBorders>
              <w:top w:val="nil"/>
              <w:left w:val="single" w:sz="8" w:space="0" w:color="auto"/>
              <w:bottom w:val="single" w:sz="8" w:space="0" w:color="auto"/>
              <w:right w:val="single" w:sz="4" w:space="0" w:color="auto"/>
            </w:tcBorders>
            <w:shd w:val="clear" w:color="auto" w:fill="auto"/>
            <w:vAlign w:val="bottom"/>
            <w:hideMark/>
          </w:tcPr>
          <w:p w14:paraId="6665DD2C"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3421</w:t>
            </w:r>
          </w:p>
        </w:tc>
        <w:tc>
          <w:tcPr>
            <w:tcW w:w="4085" w:type="dxa"/>
            <w:tcBorders>
              <w:top w:val="nil"/>
              <w:left w:val="nil"/>
              <w:bottom w:val="single" w:sz="8" w:space="0" w:color="auto"/>
              <w:right w:val="single" w:sz="4" w:space="0" w:color="auto"/>
            </w:tcBorders>
            <w:shd w:val="clear" w:color="auto" w:fill="auto"/>
            <w:vAlign w:val="bottom"/>
            <w:hideMark/>
          </w:tcPr>
          <w:p w14:paraId="6CE2C024"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Využití volného času dětí a mládeže</w:t>
            </w:r>
          </w:p>
        </w:tc>
        <w:tc>
          <w:tcPr>
            <w:tcW w:w="1394" w:type="dxa"/>
            <w:tcBorders>
              <w:top w:val="nil"/>
              <w:left w:val="nil"/>
              <w:bottom w:val="single" w:sz="8" w:space="0" w:color="auto"/>
              <w:right w:val="single" w:sz="4" w:space="0" w:color="auto"/>
            </w:tcBorders>
            <w:shd w:val="clear" w:color="auto" w:fill="auto"/>
            <w:noWrap/>
            <w:vAlign w:val="bottom"/>
            <w:hideMark/>
          </w:tcPr>
          <w:p w14:paraId="51F21924"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w:t>
            </w:r>
          </w:p>
        </w:tc>
        <w:tc>
          <w:tcPr>
            <w:tcW w:w="1671" w:type="dxa"/>
            <w:tcBorders>
              <w:top w:val="nil"/>
              <w:left w:val="nil"/>
              <w:bottom w:val="single" w:sz="8" w:space="0" w:color="auto"/>
              <w:right w:val="single" w:sz="4" w:space="0" w:color="auto"/>
            </w:tcBorders>
            <w:shd w:val="clear" w:color="auto" w:fill="auto"/>
            <w:noWrap/>
            <w:vAlign w:val="bottom"/>
            <w:hideMark/>
          </w:tcPr>
          <w:p w14:paraId="4FBB61DA"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696 520,00</w:t>
            </w:r>
          </w:p>
        </w:tc>
        <w:tc>
          <w:tcPr>
            <w:tcW w:w="1684" w:type="dxa"/>
            <w:tcBorders>
              <w:top w:val="nil"/>
              <w:left w:val="nil"/>
              <w:bottom w:val="single" w:sz="8" w:space="0" w:color="auto"/>
              <w:right w:val="single" w:sz="4" w:space="0" w:color="auto"/>
            </w:tcBorders>
            <w:shd w:val="clear" w:color="auto" w:fill="auto"/>
            <w:noWrap/>
            <w:vAlign w:val="bottom"/>
            <w:hideMark/>
          </w:tcPr>
          <w:p w14:paraId="62A5D7FD"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62 044,00</w:t>
            </w:r>
          </w:p>
        </w:tc>
        <w:tc>
          <w:tcPr>
            <w:tcW w:w="576" w:type="dxa"/>
            <w:tcBorders>
              <w:top w:val="nil"/>
              <w:left w:val="nil"/>
              <w:bottom w:val="single" w:sz="8" w:space="0" w:color="auto"/>
              <w:right w:val="single" w:sz="8" w:space="0" w:color="auto"/>
            </w:tcBorders>
            <w:shd w:val="clear" w:color="auto" w:fill="auto"/>
            <w:noWrap/>
            <w:vAlign w:val="bottom"/>
            <w:hideMark/>
          </w:tcPr>
          <w:p w14:paraId="0F5BDF0D"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8,9</w:t>
            </w:r>
          </w:p>
        </w:tc>
      </w:tr>
      <w:tr w:rsidR="00AF5B41" w:rsidRPr="00DA77A7" w14:paraId="0984464D"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noWrap/>
            <w:vAlign w:val="bottom"/>
            <w:hideMark/>
          </w:tcPr>
          <w:p w14:paraId="62C3D92F" w14:textId="77777777" w:rsidR="00DA77A7" w:rsidRPr="00165452" w:rsidRDefault="00DA77A7" w:rsidP="00DA77A7">
            <w:pPr>
              <w:spacing w:after="0" w:line="240" w:lineRule="auto"/>
              <w:jc w:val="center"/>
              <w:rPr>
                <w:rFonts w:ascii="Calibri" w:eastAsia="Times New Roman" w:hAnsi="Calibri" w:cs="Arial"/>
                <w:sz w:val="20"/>
                <w:szCs w:val="20"/>
                <w:lang w:eastAsia="cs-CZ"/>
              </w:rPr>
            </w:pPr>
            <w:r w:rsidRPr="00165452">
              <w:rPr>
                <w:rFonts w:ascii="Calibri" w:eastAsia="Times New Roman" w:hAnsi="Calibri" w:cs="Arial"/>
                <w:sz w:val="20"/>
                <w:szCs w:val="20"/>
                <w:lang w:eastAsia="cs-CZ"/>
              </w:rPr>
              <w:lastRenderedPageBreak/>
              <w:t>3419</w:t>
            </w:r>
          </w:p>
        </w:tc>
        <w:tc>
          <w:tcPr>
            <w:tcW w:w="4085" w:type="dxa"/>
            <w:tcBorders>
              <w:top w:val="nil"/>
              <w:left w:val="nil"/>
              <w:bottom w:val="single" w:sz="4" w:space="0" w:color="auto"/>
              <w:right w:val="single" w:sz="4" w:space="0" w:color="auto"/>
            </w:tcBorders>
            <w:shd w:val="clear" w:color="auto" w:fill="auto"/>
            <w:noWrap/>
            <w:vAlign w:val="bottom"/>
            <w:hideMark/>
          </w:tcPr>
          <w:p w14:paraId="0E6FD62A" w14:textId="77777777" w:rsidR="00DA77A7" w:rsidRPr="00165452" w:rsidRDefault="00DA77A7" w:rsidP="00DA77A7">
            <w:pPr>
              <w:spacing w:after="0" w:line="240" w:lineRule="auto"/>
              <w:rPr>
                <w:rFonts w:ascii="Calibri" w:eastAsia="Times New Roman" w:hAnsi="Calibri" w:cs="Arial"/>
                <w:sz w:val="20"/>
                <w:szCs w:val="20"/>
                <w:lang w:eastAsia="cs-CZ"/>
              </w:rPr>
            </w:pPr>
            <w:r w:rsidRPr="00165452">
              <w:rPr>
                <w:rFonts w:ascii="Calibri" w:eastAsia="Times New Roman" w:hAnsi="Calibri" w:cs="Arial"/>
                <w:sz w:val="20"/>
                <w:szCs w:val="20"/>
                <w:lang w:eastAsia="cs-CZ"/>
              </w:rPr>
              <w:t>Sportovní centra mládeže</w:t>
            </w:r>
          </w:p>
        </w:tc>
        <w:tc>
          <w:tcPr>
            <w:tcW w:w="1394" w:type="dxa"/>
            <w:tcBorders>
              <w:top w:val="nil"/>
              <w:left w:val="nil"/>
              <w:bottom w:val="single" w:sz="4" w:space="0" w:color="auto"/>
              <w:right w:val="single" w:sz="4" w:space="0" w:color="auto"/>
            </w:tcBorders>
            <w:shd w:val="clear" w:color="auto" w:fill="auto"/>
            <w:noWrap/>
            <w:vAlign w:val="bottom"/>
            <w:hideMark/>
          </w:tcPr>
          <w:p w14:paraId="7377C6EC" w14:textId="77777777" w:rsidR="00DA77A7" w:rsidRPr="00165452" w:rsidRDefault="00DA77A7" w:rsidP="00DA77A7">
            <w:pPr>
              <w:spacing w:after="0" w:line="240" w:lineRule="auto"/>
              <w:jc w:val="right"/>
              <w:rPr>
                <w:rFonts w:ascii="Calibri" w:eastAsia="Times New Roman" w:hAnsi="Calibri" w:cs="Arial"/>
                <w:sz w:val="20"/>
                <w:szCs w:val="20"/>
                <w:lang w:eastAsia="cs-CZ"/>
              </w:rPr>
            </w:pPr>
            <w:r w:rsidRPr="00165452">
              <w:rPr>
                <w:rFonts w:ascii="Calibri" w:eastAsia="Times New Roman" w:hAnsi="Calibri" w:cs="Arial"/>
                <w:sz w:val="20"/>
                <w:szCs w:val="20"/>
                <w:lang w:eastAsia="cs-CZ"/>
              </w:rPr>
              <w:t>0</w:t>
            </w:r>
          </w:p>
        </w:tc>
        <w:tc>
          <w:tcPr>
            <w:tcW w:w="1671" w:type="dxa"/>
            <w:tcBorders>
              <w:top w:val="nil"/>
              <w:left w:val="nil"/>
              <w:bottom w:val="single" w:sz="4" w:space="0" w:color="auto"/>
              <w:right w:val="single" w:sz="4" w:space="0" w:color="auto"/>
            </w:tcBorders>
            <w:shd w:val="clear" w:color="auto" w:fill="auto"/>
            <w:noWrap/>
            <w:vAlign w:val="bottom"/>
            <w:hideMark/>
          </w:tcPr>
          <w:p w14:paraId="55173861" w14:textId="77777777" w:rsidR="00DA77A7" w:rsidRPr="00165452" w:rsidRDefault="00DA77A7" w:rsidP="00DA77A7">
            <w:pPr>
              <w:spacing w:after="0" w:line="240" w:lineRule="auto"/>
              <w:jc w:val="right"/>
              <w:rPr>
                <w:rFonts w:ascii="Calibri" w:eastAsia="Times New Roman" w:hAnsi="Calibri" w:cs="Arial"/>
                <w:sz w:val="20"/>
                <w:szCs w:val="20"/>
                <w:lang w:eastAsia="cs-CZ"/>
              </w:rPr>
            </w:pPr>
            <w:r w:rsidRPr="00165452">
              <w:rPr>
                <w:rFonts w:ascii="Calibri" w:eastAsia="Times New Roman" w:hAnsi="Calibri" w:cs="Arial"/>
                <w:sz w:val="20"/>
                <w:szCs w:val="20"/>
                <w:lang w:eastAsia="cs-CZ"/>
              </w:rPr>
              <w:t>2 298 250,00</w:t>
            </w:r>
          </w:p>
        </w:tc>
        <w:tc>
          <w:tcPr>
            <w:tcW w:w="1684" w:type="dxa"/>
            <w:tcBorders>
              <w:top w:val="nil"/>
              <w:left w:val="nil"/>
              <w:bottom w:val="single" w:sz="4" w:space="0" w:color="auto"/>
              <w:right w:val="single" w:sz="4" w:space="0" w:color="auto"/>
            </w:tcBorders>
            <w:shd w:val="clear" w:color="auto" w:fill="auto"/>
            <w:noWrap/>
            <w:vAlign w:val="bottom"/>
            <w:hideMark/>
          </w:tcPr>
          <w:p w14:paraId="76DAC9C3" w14:textId="77777777" w:rsidR="00DA77A7" w:rsidRPr="00165452" w:rsidRDefault="00DA77A7" w:rsidP="00DA77A7">
            <w:pPr>
              <w:spacing w:after="0" w:line="240" w:lineRule="auto"/>
              <w:jc w:val="right"/>
              <w:rPr>
                <w:rFonts w:ascii="Calibri" w:eastAsia="Times New Roman" w:hAnsi="Calibri" w:cs="Arial"/>
                <w:sz w:val="20"/>
                <w:szCs w:val="20"/>
                <w:lang w:eastAsia="cs-CZ"/>
              </w:rPr>
            </w:pPr>
            <w:r w:rsidRPr="00165452">
              <w:rPr>
                <w:rFonts w:ascii="Calibri" w:eastAsia="Times New Roman" w:hAnsi="Calibri" w:cs="Arial"/>
                <w:sz w:val="20"/>
                <w:szCs w:val="20"/>
                <w:lang w:eastAsia="cs-CZ"/>
              </w:rPr>
              <w:t>500 000,00</w:t>
            </w:r>
          </w:p>
        </w:tc>
        <w:tc>
          <w:tcPr>
            <w:tcW w:w="576" w:type="dxa"/>
            <w:tcBorders>
              <w:top w:val="nil"/>
              <w:left w:val="nil"/>
              <w:bottom w:val="single" w:sz="4" w:space="0" w:color="auto"/>
              <w:right w:val="single" w:sz="8" w:space="0" w:color="auto"/>
            </w:tcBorders>
            <w:shd w:val="clear" w:color="auto" w:fill="auto"/>
            <w:noWrap/>
            <w:vAlign w:val="bottom"/>
            <w:hideMark/>
          </w:tcPr>
          <w:p w14:paraId="427B2697" w14:textId="77777777" w:rsidR="00DA77A7" w:rsidRPr="00165452" w:rsidRDefault="00DA77A7" w:rsidP="00DA77A7">
            <w:pPr>
              <w:spacing w:after="0" w:line="240" w:lineRule="auto"/>
              <w:jc w:val="right"/>
              <w:rPr>
                <w:rFonts w:ascii="Calibri" w:eastAsia="Times New Roman" w:hAnsi="Calibri" w:cs="Arial"/>
                <w:sz w:val="20"/>
                <w:szCs w:val="20"/>
                <w:lang w:eastAsia="cs-CZ"/>
              </w:rPr>
            </w:pPr>
            <w:r w:rsidRPr="00165452">
              <w:rPr>
                <w:rFonts w:ascii="Calibri" w:eastAsia="Times New Roman" w:hAnsi="Calibri" w:cs="Arial"/>
                <w:sz w:val="20"/>
                <w:szCs w:val="20"/>
                <w:lang w:eastAsia="cs-CZ"/>
              </w:rPr>
              <w:t>21,8</w:t>
            </w:r>
          </w:p>
        </w:tc>
      </w:tr>
      <w:tr w:rsidR="00AF5B41" w:rsidRPr="00DA77A7" w14:paraId="6D437477" w14:textId="77777777" w:rsidTr="0042584A">
        <w:trPr>
          <w:trHeight w:val="300"/>
        </w:trPr>
        <w:tc>
          <w:tcPr>
            <w:tcW w:w="1231" w:type="dxa"/>
            <w:tcBorders>
              <w:top w:val="nil"/>
              <w:left w:val="single" w:sz="8" w:space="0" w:color="auto"/>
              <w:bottom w:val="single" w:sz="8" w:space="0" w:color="auto"/>
              <w:right w:val="single" w:sz="4" w:space="0" w:color="auto"/>
            </w:tcBorders>
            <w:shd w:val="clear" w:color="auto" w:fill="auto"/>
            <w:noWrap/>
            <w:vAlign w:val="bottom"/>
            <w:hideMark/>
          </w:tcPr>
          <w:p w14:paraId="3289AA7A" w14:textId="77777777" w:rsidR="00DA77A7" w:rsidRPr="00165452" w:rsidRDefault="00DA77A7" w:rsidP="00DA77A7">
            <w:pPr>
              <w:spacing w:after="0" w:line="240" w:lineRule="auto"/>
              <w:jc w:val="center"/>
              <w:rPr>
                <w:rFonts w:ascii="Calibri" w:eastAsia="Times New Roman" w:hAnsi="Calibri" w:cs="Arial"/>
                <w:sz w:val="20"/>
                <w:szCs w:val="20"/>
                <w:lang w:eastAsia="cs-CZ"/>
              </w:rPr>
            </w:pPr>
            <w:r w:rsidRPr="00165452">
              <w:rPr>
                <w:rFonts w:ascii="Calibri" w:eastAsia="Times New Roman" w:hAnsi="Calibri" w:cs="Arial"/>
                <w:sz w:val="20"/>
                <w:szCs w:val="20"/>
                <w:lang w:eastAsia="cs-CZ"/>
              </w:rPr>
              <w:t>3419</w:t>
            </w:r>
          </w:p>
        </w:tc>
        <w:tc>
          <w:tcPr>
            <w:tcW w:w="4085" w:type="dxa"/>
            <w:tcBorders>
              <w:top w:val="nil"/>
              <w:left w:val="nil"/>
              <w:bottom w:val="single" w:sz="8" w:space="0" w:color="auto"/>
              <w:right w:val="single" w:sz="4" w:space="0" w:color="auto"/>
            </w:tcBorders>
            <w:shd w:val="clear" w:color="auto" w:fill="auto"/>
            <w:vAlign w:val="bottom"/>
            <w:hideMark/>
          </w:tcPr>
          <w:p w14:paraId="665DCE21" w14:textId="77777777" w:rsidR="00DA77A7" w:rsidRPr="00165452" w:rsidRDefault="00DA77A7" w:rsidP="00DA77A7">
            <w:pPr>
              <w:spacing w:after="0" w:line="240" w:lineRule="auto"/>
              <w:rPr>
                <w:rFonts w:ascii="Calibri" w:eastAsia="Times New Roman" w:hAnsi="Calibri" w:cs="Arial"/>
                <w:sz w:val="20"/>
                <w:szCs w:val="20"/>
                <w:lang w:eastAsia="cs-CZ"/>
              </w:rPr>
            </w:pPr>
            <w:r w:rsidRPr="00165452">
              <w:rPr>
                <w:rFonts w:ascii="Calibri" w:eastAsia="Times New Roman" w:hAnsi="Calibri" w:cs="Arial"/>
                <w:sz w:val="20"/>
                <w:szCs w:val="20"/>
                <w:lang w:eastAsia="cs-CZ"/>
              </w:rPr>
              <w:t xml:space="preserve">Olympiáda dětí a mládeže </w:t>
            </w:r>
          </w:p>
        </w:tc>
        <w:tc>
          <w:tcPr>
            <w:tcW w:w="1394" w:type="dxa"/>
            <w:tcBorders>
              <w:top w:val="nil"/>
              <w:left w:val="nil"/>
              <w:bottom w:val="single" w:sz="8" w:space="0" w:color="auto"/>
              <w:right w:val="single" w:sz="4" w:space="0" w:color="auto"/>
            </w:tcBorders>
            <w:shd w:val="clear" w:color="auto" w:fill="auto"/>
            <w:noWrap/>
            <w:vAlign w:val="bottom"/>
            <w:hideMark/>
          </w:tcPr>
          <w:p w14:paraId="37B9B097" w14:textId="77777777" w:rsidR="00DA77A7" w:rsidRPr="00165452" w:rsidRDefault="00DA77A7" w:rsidP="00DA77A7">
            <w:pPr>
              <w:spacing w:after="0" w:line="240" w:lineRule="auto"/>
              <w:jc w:val="right"/>
              <w:rPr>
                <w:rFonts w:ascii="Calibri" w:eastAsia="Times New Roman" w:hAnsi="Calibri" w:cs="Arial"/>
                <w:sz w:val="20"/>
                <w:szCs w:val="20"/>
                <w:lang w:eastAsia="cs-CZ"/>
              </w:rPr>
            </w:pPr>
            <w:r w:rsidRPr="00165452">
              <w:rPr>
                <w:rFonts w:ascii="Calibri" w:eastAsia="Times New Roman" w:hAnsi="Calibri" w:cs="Arial"/>
                <w:sz w:val="20"/>
                <w:szCs w:val="20"/>
                <w:lang w:eastAsia="cs-CZ"/>
              </w:rPr>
              <w:t>0</w:t>
            </w:r>
          </w:p>
        </w:tc>
        <w:tc>
          <w:tcPr>
            <w:tcW w:w="1671" w:type="dxa"/>
            <w:tcBorders>
              <w:top w:val="nil"/>
              <w:left w:val="nil"/>
              <w:bottom w:val="single" w:sz="8" w:space="0" w:color="auto"/>
              <w:right w:val="single" w:sz="4" w:space="0" w:color="auto"/>
            </w:tcBorders>
            <w:shd w:val="clear" w:color="auto" w:fill="auto"/>
            <w:noWrap/>
            <w:vAlign w:val="bottom"/>
            <w:hideMark/>
          </w:tcPr>
          <w:p w14:paraId="69B85A35"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2 758 400,00</w:t>
            </w:r>
          </w:p>
        </w:tc>
        <w:tc>
          <w:tcPr>
            <w:tcW w:w="1684" w:type="dxa"/>
            <w:tcBorders>
              <w:top w:val="nil"/>
              <w:left w:val="nil"/>
              <w:bottom w:val="single" w:sz="8" w:space="0" w:color="auto"/>
              <w:right w:val="single" w:sz="4" w:space="0" w:color="auto"/>
            </w:tcBorders>
            <w:shd w:val="clear" w:color="auto" w:fill="auto"/>
            <w:noWrap/>
            <w:vAlign w:val="bottom"/>
            <w:hideMark/>
          </w:tcPr>
          <w:p w14:paraId="60699CC9"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758 400,00</w:t>
            </w:r>
          </w:p>
        </w:tc>
        <w:tc>
          <w:tcPr>
            <w:tcW w:w="576" w:type="dxa"/>
            <w:tcBorders>
              <w:top w:val="nil"/>
              <w:left w:val="nil"/>
              <w:bottom w:val="single" w:sz="8" w:space="0" w:color="auto"/>
              <w:right w:val="single" w:sz="8" w:space="0" w:color="auto"/>
            </w:tcBorders>
            <w:shd w:val="clear" w:color="auto" w:fill="auto"/>
            <w:noWrap/>
            <w:vAlign w:val="bottom"/>
            <w:hideMark/>
          </w:tcPr>
          <w:p w14:paraId="4EB0BCAF"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27,5</w:t>
            </w:r>
          </w:p>
        </w:tc>
      </w:tr>
      <w:tr w:rsidR="00AF5B41" w:rsidRPr="00DA77A7" w14:paraId="7683C966"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4FD7F2D7" w14:textId="77777777" w:rsidR="00DA77A7" w:rsidRPr="00DA77A7" w:rsidRDefault="00DA77A7" w:rsidP="00DA77A7">
            <w:pPr>
              <w:spacing w:after="0" w:line="240" w:lineRule="auto"/>
              <w:jc w:val="center"/>
              <w:rPr>
                <w:rFonts w:ascii="Calibri" w:eastAsia="Times New Roman" w:hAnsi="Calibri" w:cs="Arial"/>
                <w:sz w:val="20"/>
                <w:szCs w:val="20"/>
                <w:lang w:eastAsia="cs-CZ"/>
              </w:rPr>
            </w:pPr>
            <w:r w:rsidRPr="00DA77A7">
              <w:rPr>
                <w:rFonts w:ascii="Calibri" w:eastAsia="Times New Roman" w:hAnsi="Calibri" w:cs="Arial"/>
                <w:sz w:val="20"/>
                <w:szCs w:val="20"/>
                <w:lang w:eastAsia="cs-CZ"/>
              </w:rPr>
              <w:t> </w:t>
            </w:r>
          </w:p>
        </w:tc>
        <w:tc>
          <w:tcPr>
            <w:tcW w:w="4085" w:type="dxa"/>
            <w:tcBorders>
              <w:top w:val="nil"/>
              <w:left w:val="nil"/>
              <w:bottom w:val="single" w:sz="4" w:space="0" w:color="auto"/>
              <w:right w:val="single" w:sz="4" w:space="0" w:color="auto"/>
            </w:tcBorders>
            <w:shd w:val="clear" w:color="auto" w:fill="auto"/>
            <w:vAlign w:val="bottom"/>
            <w:hideMark/>
          </w:tcPr>
          <w:p w14:paraId="2A8BF474" w14:textId="77777777" w:rsidR="00DA77A7" w:rsidRPr="00DA77A7" w:rsidRDefault="00DA77A7" w:rsidP="00DA77A7">
            <w:pPr>
              <w:spacing w:after="0" w:line="240" w:lineRule="auto"/>
              <w:rPr>
                <w:rFonts w:ascii="Calibri" w:eastAsia="Times New Roman" w:hAnsi="Calibri" w:cs="Arial"/>
                <w:sz w:val="20"/>
                <w:szCs w:val="20"/>
                <w:lang w:eastAsia="cs-CZ"/>
              </w:rPr>
            </w:pPr>
            <w:r w:rsidRPr="00DA77A7">
              <w:rPr>
                <w:rFonts w:ascii="Calibri" w:eastAsia="Times New Roman" w:hAnsi="Calibri" w:cs="Arial"/>
                <w:sz w:val="20"/>
                <w:szCs w:val="20"/>
                <w:lang w:eastAsia="cs-CZ"/>
              </w:rPr>
              <w:t>Mzdové prostředky hrazené z rozpočtu kraje</w:t>
            </w:r>
          </w:p>
        </w:tc>
        <w:tc>
          <w:tcPr>
            <w:tcW w:w="1394" w:type="dxa"/>
            <w:tcBorders>
              <w:top w:val="nil"/>
              <w:left w:val="nil"/>
              <w:bottom w:val="single" w:sz="4" w:space="0" w:color="auto"/>
              <w:right w:val="single" w:sz="4" w:space="0" w:color="auto"/>
            </w:tcBorders>
            <w:shd w:val="clear" w:color="auto" w:fill="auto"/>
            <w:noWrap/>
            <w:vAlign w:val="bottom"/>
            <w:hideMark/>
          </w:tcPr>
          <w:p w14:paraId="562DD184"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21 865 000</w:t>
            </w:r>
          </w:p>
        </w:tc>
        <w:tc>
          <w:tcPr>
            <w:tcW w:w="1671" w:type="dxa"/>
            <w:tcBorders>
              <w:top w:val="nil"/>
              <w:left w:val="nil"/>
              <w:bottom w:val="single" w:sz="4" w:space="0" w:color="auto"/>
              <w:right w:val="single" w:sz="4" w:space="0" w:color="auto"/>
            </w:tcBorders>
            <w:shd w:val="clear" w:color="auto" w:fill="auto"/>
            <w:noWrap/>
            <w:vAlign w:val="bottom"/>
            <w:hideMark/>
          </w:tcPr>
          <w:p w14:paraId="36CBAAD1"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28 237 490,00</w:t>
            </w:r>
          </w:p>
        </w:tc>
        <w:tc>
          <w:tcPr>
            <w:tcW w:w="1684" w:type="dxa"/>
            <w:tcBorders>
              <w:top w:val="nil"/>
              <w:left w:val="nil"/>
              <w:bottom w:val="single" w:sz="4" w:space="0" w:color="auto"/>
              <w:right w:val="single" w:sz="4" w:space="0" w:color="auto"/>
            </w:tcBorders>
            <w:shd w:val="clear" w:color="auto" w:fill="auto"/>
            <w:noWrap/>
            <w:vAlign w:val="bottom"/>
            <w:hideMark/>
          </w:tcPr>
          <w:p w14:paraId="3E64E30D"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24 232 490,00</w:t>
            </w:r>
          </w:p>
        </w:tc>
        <w:tc>
          <w:tcPr>
            <w:tcW w:w="576" w:type="dxa"/>
            <w:tcBorders>
              <w:top w:val="nil"/>
              <w:left w:val="nil"/>
              <w:bottom w:val="single" w:sz="4" w:space="0" w:color="auto"/>
              <w:right w:val="single" w:sz="8" w:space="0" w:color="auto"/>
            </w:tcBorders>
            <w:shd w:val="clear" w:color="auto" w:fill="auto"/>
            <w:noWrap/>
            <w:vAlign w:val="bottom"/>
            <w:hideMark/>
          </w:tcPr>
          <w:p w14:paraId="3F673C5E"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85,8</w:t>
            </w:r>
          </w:p>
        </w:tc>
      </w:tr>
      <w:tr w:rsidR="00DA77A7" w:rsidRPr="00DA77A7" w14:paraId="2D8383B5" w14:textId="77777777" w:rsidTr="0042584A">
        <w:trPr>
          <w:trHeight w:val="315"/>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38D2336F" w14:textId="77777777" w:rsidR="00DA77A7" w:rsidRPr="00DA77A7" w:rsidRDefault="00DA77A7" w:rsidP="00DA77A7">
            <w:pPr>
              <w:spacing w:after="0" w:line="240" w:lineRule="auto"/>
              <w:jc w:val="center"/>
              <w:rPr>
                <w:rFonts w:ascii="Calibri" w:eastAsia="Times New Roman" w:hAnsi="Calibri" w:cs="Arial"/>
                <w:sz w:val="20"/>
                <w:szCs w:val="20"/>
                <w:lang w:eastAsia="cs-CZ"/>
              </w:rPr>
            </w:pPr>
            <w:r w:rsidRPr="00DA77A7">
              <w:rPr>
                <w:rFonts w:ascii="Calibri" w:eastAsia="Times New Roman" w:hAnsi="Calibri" w:cs="Arial"/>
                <w:sz w:val="20"/>
                <w:szCs w:val="20"/>
                <w:lang w:eastAsia="cs-CZ"/>
              </w:rPr>
              <w:t> </w:t>
            </w:r>
          </w:p>
        </w:tc>
        <w:tc>
          <w:tcPr>
            <w:tcW w:w="9410" w:type="dxa"/>
            <w:gridSpan w:val="5"/>
            <w:tcBorders>
              <w:top w:val="single" w:sz="4" w:space="0" w:color="auto"/>
              <w:left w:val="nil"/>
              <w:bottom w:val="single" w:sz="4" w:space="0" w:color="auto"/>
              <w:right w:val="single" w:sz="8" w:space="0" w:color="000000"/>
            </w:tcBorders>
            <w:shd w:val="clear" w:color="auto" w:fill="auto"/>
            <w:vAlign w:val="bottom"/>
            <w:hideMark/>
          </w:tcPr>
          <w:p w14:paraId="730BFA05" w14:textId="77777777" w:rsidR="00DA77A7" w:rsidRPr="00DA77A7" w:rsidRDefault="00DA77A7" w:rsidP="00DA77A7">
            <w:pPr>
              <w:spacing w:after="0" w:line="240" w:lineRule="auto"/>
              <w:rPr>
                <w:rFonts w:ascii="Calibri" w:eastAsia="Times New Roman" w:hAnsi="Calibri" w:cs="Arial"/>
                <w:sz w:val="20"/>
                <w:szCs w:val="20"/>
                <w:lang w:eastAsia="cs-CZ"/>
              </w:rPr>
            </w:pPr>
            <w:r w:rsidRPr="00DA77A7">
              <w:rPr>
                <w:rFonts w:ascii="Calibri" w:eastAsia="Times New Roman" w:hAnsi="Calibri" w:cs="Arial"/>
                <w:sz w:val="20"/>
                <w:szCs w:val="20"/>
                <w:lang w:eastAsia="cs-CZ"/>
              </w:rPr>
              <w:t>z toho:</w:t>
            </w:r>
          </w:p>
        </w:tc>
      </w:tr>
      <w:tr w:rsidR="00AF5B41" w:rsidRPr="00DA77A7" w14:paraId="01E50A36" w14:textId="77777777" w:rsidTr="0042584A">
        <w:trPr>
          <w:trHeight w:val="315"/>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29609431"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3114</w:t>
            </w:r>
          </w:p>
        </w:tc>
        <w:tc>
          <w:tcPr>
            <w:tcW w:w="4085" w:type="dxa"/>
            <w:tcBorders>
              <w:top w:val="nil"/>
              <w:left w:val="nil"/>
              <w:bottom w:val="single" w:sz="4" w:space="0" w:color="auto"/>
              <w:right w:val="nil"/>
            </w:tcBorders>
            <w:shd w:val="clear" w:color="auto" w:fill="auto"/>
            <w:vAlign w:val="bottom"/>
            <w:hideMark/>
          </w:tcPr>
          <w:p w14:paraId="7921E2AE" w14:textId="3C3AAA44"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ZŠ pro žáky se spec</w:t>
            </w:r>
            <w:r w:rsidR="00165452">
              <w:rPr>
                <w:rFonts w:ascii="Calibri" w:eastAsia="Times New Roman" w:hAnsi="Calibri" w:cs="Arial"/>
                <w:i/>
                <w:iCs/>
                <w:sz w:val="20"/>
                <w:szCs w:val="20"/>
                <w:lang w:eastAsia="cs-CZ"/>
              </w:rPr>
              <w:t xml:space="preserve">iálními </w:t>
            </w:r>
            <w:r w:rsidRPr="00DA77A7">
              <w:rPr>
                <w:rFonts w:ascii="Calibri" w:eastAsia="Times New Roman" w:hAnsi="Calibri" w:cs="Arial"/>
                <w:i/>
                <w:iCs/>
                <w:sz w:val="20"/>
                <w:szCs w:val="20"/>
                <w:lang w:eastAsia="cs-CZ"/>
              </w:rPr>
              <w:t>vzděl</w:t>
            </w:r>
            <w:r w:rsidR="00165452">
              <w:rPr>
                <w:rFonts w:ascii="Calibri" w:eastAsia="Times New Roman" w:hAnsi="Calibri" w:cs="Arial"/>
                <w:i/>
                <w:iCs/>
                <w:sz w:val="20"/>
                <w:szCs w:val="20"/>
                <w:lang w:eastAsia="cs-CZ"/>
              </w:rPr>
              <w:t xml:space="preserve">ávacími </w:t>
            </w:r>
            <w:r w:rsidRPr="00DA77A7">
              <w:rPr>
                <w:rFonts w:ascii="Calibri" w:eastAsia="Times New Roman" w:hAnsi="Calibri" w:cs="Arial"/>
                <w:i/>
                <w:iCs/>
                <w:sz w:val="20"/>
                <w:szCs w:val="20"/>
                <w:lang w:eastAsia="cs-CZ"/>
              </w:rPr>
              <w:t>potřebami</w:t>
            </w:r>
          </w:p>
        </w:tc>
        <w:tc>
          <w:tcPr>
            <w:tcW w:w="1394" w:type="dxa"/>
            <w:tcBorders>
              <w:top w:val="nil"/>
              <w:left w:val="single" w:sz="4" w:space="0" w:color="auto"/>
              <w:bottom w:val="single" w:sz="4" w:space="0" w:color="auto"/>
              <w:right w:val="single" w:sz="4" w:space="0" w:color="auto"/>
            </w:tcBorders>
            <w:shd w:val="clear" w:color="auto" w:fill="auto"/>
            <w:noWrap/>
            <w:vAlign w:val="bottom"/>
            <w:hideMark/>
          </w:tcPr>
          <w:p w14:paraId="240226F9"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w:t>
            </w:r>
          </w:p>
        </w:tc>
        <w:tc>
          <w:tcPr>
            <w:tcW w:w="1671" w:type="dxa"/>
            <w:tcBorders>
              <w:top w:val="nil"/>
              <w:left w:val="nil"/>
              <w:bottom w:val="single" w:sz="4" w:space="0" w:color="auto"/>
              <w:right w:val="single" w:sz="4" w:space="0" w:color="auto"/>
            </w:tcBorders>
            <w:shd w:val="clear" w:color="auto" w:fill="auto"/>
            <w:noWrap/>
            <w:vAlign w:val="bottom"/>
            <w:hideMark/>
          </w:tcPr>
          <w:p w14:paraId="019DD861"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1 273 200,00</w:t>
            </w:r>
          </w:p>
        </w:tc>
        <w:tc>
          <w:tcPr>
            <w:tcW w:w="1684" w:type="dxa"/>
            <w:tcBorders>
              <w:top w:val="nil"/>
              <w:left w:val="nil"/>
              <w:bottom w:val="single" w:sz="4" w:space="0" w:color="auto"/>
              <w:right w:val="single" w:sz="4" w:space="0" w:color="auto"/>
            </w:tcBorders>
            <w:shd w:val="clear" w:color="auto" w:fill="auto"/>
            <w:noWrap/>
            <w:vAlign w:val="bottom"/>
            <w:hideMark/>
          </w:tcPr>
          <w:p w14:paraId="1F82C460"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1 268 200,00</w:t>
            </w:r>
          </w:p>
        </w:tc>
        <w:tc>
          <w:tcPr>
            <w:tcW w:w="576" w:type="dxa"/>
            <w:tcBorders>
              <w:top w:val="nil"/>
              <w:left w:val="nil"/>
              <w:bottom w:val="single" w:sz="4" w:space="0" w:color="auto"/>
              <w:right w:val="single" w:sz="8" w:space="0" w:color="auto"/>
            </w:tcBorders>
            <w:shd w:val="clear" w:color="auto" w:fill="auto"/>
            <w:noWrap/>
            <w:vAlign w:val="bottom"/>
            <w:hideMark/>
          </w:tcPr>
          <w:p w14:paraId="76B4671F"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99,6</w:t>
            </w:r>
          </w:p>
        </w:tc>
      </w:tr>
      <w:tr w:rsidR="00AF5B41" w:rsidRPr="00DA77A7" w14:paraId="711EFF72"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4AC571BD"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3121</w:t>
            </w:r>
          </w:p>
        </w:tc>
        <w:tc>
          <w:tcPr>
            <w:tcW w:w="4085" w:type="dxa"/>
            <w:tcBorders>
              <w:top w:val="nil"/>
              <w:left w:val="nil"/>
              <w:bottom w:val="single" w:sz="4" w:space="0" w:color="auto"/>
              <w:right w:val="single" w:sz="4" w:space="0" w:color="auto"/>
            </w:tcBorders>
            <w:shd w:val="clear" w:color="auto" w:fill="auto"/>
            <w:vAlign w:val="bottom"/>
            <w:hideMark/>
          </w:tcPr>
          <w:p w14:paraId="13A93B61"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Gymnázia</w:t>
            </w:r>
          </w:p>
        </w:tc>
        <w:tc>
          <w:tcPr>
            <w:tcW w:w="1394" w:type="dxa"/>
            <w:tcBorders>
              <w:top w:val="nil"/>
              <w:left w:val="nil"/>
              <w:bottom w:val="single" w:sz="4" w:space="0" w:color="auto"/>
              <w:right w:val="single" w:sz="4" w:space="0" w:color="auto"/>
            </w:tcBorders>
            <w:shd w:val="clear" w:color="auto" w:fill="auto"/>
            <w:noWrap/>
            <w:vAlign w:val="bottom"/>
            <w:hideMark/>
          </w:tcPr>
          <w:p w14:paraId="5E57A8F1"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1 100 000</w:t>
            </w:r>
          </w:p>
        </w:tc>
        <w:tc>
          <w:tcPr>
            <w:tcW w:w="1671" w:type="dxa"/>
            <w:tcBorders>
              <w:top w:val="nil"/>
              <w:left w:val="nil"/>
              <w:bottom w:val="single" w:sz="4" w:space="0" w:color="auto"/>
              <w:right w:val="single" w:sz="4" w:space="0" w:color="auto"/>
            </w:tcBorders>
            <w:shd w:val="clear" w:color="auto" w:fill="auto"/>
            <w:noWrap/>
            <w:vAlign w:val="bottom"/>
            <w:hideMark/>
          </w:tcPr>
          <w:p w14:paraId="63F901EF"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1 496 179,00</w:t>
            </w:r>
          </w:p>
        </w:tc>
        <w:tc>
          <w:tcPr>
            <w:tcW w:w="1684" w:type="dxa"/>
            <w:tcBorders>
              <w:top w:val="nil"/>
              <w:left w:val="nil"/>
              <w:bottom w:val="single" w:sz="4" w:space="0" w:color="auto"/>
              <w:right w:val="single" w:sz="4" w:space="0" w:color="auto"/>
            </w:tcBorders>
            <w:shd w:val="clear" w:color="auto" w:fill="auto"/>
            <w:noWrap/>
            <w:vAlign w:val="bottom"/>
            <w:hideMark/>
          </w:tcPr>
          <w:p w14:paraId="62CC2C9A"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1 496 179,00</w:t>
            </w:r>
          </w:p>
        </w:tc>
        <w:tc>
          <w:tcPr>
            <w:tcW w:w="576" w:type="dxa"/>
            <w:tcBorders>
              <w:top w:val="nil"/>
              <w:left w:val="nil"/>
              <w:bottom w:val="single" w:sz="4" w:space="0" w:color="auto"/>
              <w:right w:val="single" w:sz="8" w:space="0" w:color="auto"/>
            </w:tcBorders>
            <w:shd w:val="clear" w:color="auto" w:fill="auto"/>
            <w:noWrap/>
            <w:vAlign w:val="bottom"/>
            <w:hideMark/>
          </w:tcPr>
          <w:p w14:paraId="4DD7F6AC"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100,0</w:t>
            </w:r>
          </w:p>
        </w:tc>
      </w:tr>
      <w:tr w:rsidR="00AF5B41" w:rsidRPr="00DA77A7" w14:paraId="430E815C"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4D3AA5E2"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3122</w:t>
            </w:r>
          </w:p>
        </w:tc>
        <w:tc>
          <w:tcPr>
            <w:tcW w:w="4085" w:type="dxa"/>
            <w:tcBorders>
              <w:top w:val="nil"/>
              <w:left w:val="nil"/>
              <w:bottom w:val="single" w:sz="4" w:space="0" w:color="auto"/>
              <w:right w:val="single" w:sz="4" w:space="0" w:color="auto"/>
            </w:tcBorders>
            <w:shd w:val="clear" w:color="auto" w:fill="auto"/>
            <w:vAlign w:val="bottom"/>
            <w:hideMark/>
          </w:tcPr>
          <w:p w14:paraId="5DFAB77A"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Střední odborné školy</w:t>
            </w:r>
          </w:p>
        </w:tc>
        <w:tc>
          <w:tcPr>
            <w:tcW w:w="1394" w:type="dxa"/>
            <w:tcBorders>
              <w:top w:val="nil"/>
              <w:left w:val="nil"/>
              <w:bottom w:val="single" w:sz="4" w:space="0" w:color="auto"/>
              <w:right w:val="single" w:sz="4" w:space="0" w:color="auto"/>
            </w:tcBorders>
            <w:shd w:val="clear" w:color="auto" w:fill="auto"/>
            <w:noWrap/>
            <w:vAlign w:val="bottom"/>
            <w:hideMark/>
          </w:tcPr>
          <w:p w14:paraId="765D9E21"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2 200 000</w:t>
            </w:r>
          </w:p>
        </w:tc>
        <w:tc>
          <w:tcPr>
            <w:tcW w:w="1671" w:type="dxa"/>
            <w:tcBorders>
              <w:top w:val="nil"/>
              <w:left w:val="nil"/>
              <w:bottom w:val="single" w:sz="4" w:space="0" w:color="auto"/>
              <w:right w:val="single" w:sz="4" w:space="0" w:color="auto"/>
            </w:tcBorders>
            <w:shd w:val="clear" w:color="auto" w:fill="auto"/>
            <w:noWrap/>
            <w:vAlign w:val="bottom"/>
            <w:hideMark/>
          </w:tcPr>
          <w:p w14:paraId="00885DE4"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587 052,00</w:t>
            </w:r>
          </w:p>
        </w:tc>
        <w:tc>
          <w:tcPr>
            <w:tcW w:w="1684" w:type="dxa"/>
            <w:tcBorders>
              <w:top w:val="nil"/>
              <w:left w:val="nil"/>
              <w:bottom w:val="single" w:sz="4" w:space="0" w:color="auto"/>
              <w:right w:val="single" w:sz="4" w:space="0" w:color="auto"/>
            </w:tcBorders>
            <w:shd w:val="clear" w:color="auto" w:fill="auto"/>
            <w:noWrap/>
            <w:vAlign w:val="bottom"/>
            <w:hideMark/>
          </w:tcPr>
          <w:p w14:paraId="0A8697B9"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587 052,00</w:t>
            </w:r>
          </w:p>
        </w:tc>
        <w:tc>
          <w:tcPr>
            <w:tcW w:w="576" w:type="dxa"/>
            <w:tcBorders>
              <w:top w:val="nil"/>
              <w:left w:val="nil"/>
              <w:bottom w:val="single" w:sz="4" w:space="0" w:color="auto"/>
              <w:right w:val="single" w:sz="8" w:space="0" w:color="auto"/>
            </w:tcBorders>
            <w:shd w:val="clear" w:color="auto" w:fill="auto"/>
            <w:noWrap/>
            <w:vAlign w:val="bottom"/>
            <w:hideMark/>
          </w:tcPr>
          <w:p w14:paraId="687747E8"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100,0</w:t>
            </w:r>
          </w:p>
        </w:tc>
      </w:tr>
      <w:tr w:rsidR="00AF5B41" w:rsidRPr="00DA77A7" w14:paraId="6959BF15"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1E858223"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3123</w:t>
            </w:r>
          </w:p>
        </w:tc>
        <w:tc>
          <w:tcPr>
            <w:tcW w:w="4085" w:type="dxa"/>
            <w:tcBorders>
              <w:top w:val="nil"/>
              <w:left w:val="nil"/>
              <w:bottom w:val="single" w:sz="4" w:space="0" w:color="auto"/>
              <w:right w:val="single" w:sz="4" w:space="0" w:color="auto"/>
            </w:tcBorders>
            <w:shd w:val="clear" w:color="auto" w:fill="auto"/>
            <w:vAlign w:val="bottom"/>
            <w:hideMark/>
          </w:tcPr>
          <w:p w14:paraId="02DE38C8"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Střední školy poskytující střední vzdělání s výučním listem</w:t>
            </w:r>
          </w:p>
        </w:tc>
        <w:tc>
          <w:tcPr>
            <w:tcW w:w="1394" w:type="dxa"/>
            <w:tcBorders>
              <w:top w:val="nil"/>
              <w:left w:val="nil"/>
              <w:bottom w:val="single" w:sz="4" w:space="0" w:color="auto"/>
              <w:right w:val="single" w:sz="4" w:space="0" w:color="auto"/>
            </w:tcBorders>
            <w:shd w:val="clear" w:color="auto" w:fill="auto"/>
            <w:noWrap/>
            <w:vAlign w:val="bottom"/>
            <w:hideMark/>
          </w:tcPr>
          <w:p w14:paraId="22350FBF"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3 300 000</w:t>
            </w:r>
          </w:p>
        </w:tc>
        <w:tc>
          <w:tcPr>
            <w:tcW w:w="1671" w:type="dxa"/>
            <w:tcBorders>
              <w:top w:val="nil"/>
              <w:left w:val="nil"/>
              <w:bottom w:val="single" w:sz="4" w:space="0" w:color="auto"/>
              <w:right w:val="single" w:sz="4" w:space="0" w:color="auto"/>
            </w:tcBorders>
            <w:shd w:val="clear" w:color="auto" w:fill="auto"/>
            <w:noWrap/>
            <w:vAlign w:val="bottom"/>
            <w:hideMark/>
          </w:tcPr>
          <w:p w14:paraId="68A9E9FA"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6 849 959,00</w:t>
            </w:r>
          </w:p>
        </w:tc>
        <w:tc>
          <w:tcPr>
            <w:tcW w:w="1684" w:type="dxa"/>
            <w:tcBorders>
              <w:top w:val="nil"/>
              <w:left w:val="nil"/>
              <w:bottom w:val="single" w:sz="4" w:space="0" w:color="auto"/>
              <w:right w:val="single" w:sz="4" w:space="0" w:color="auto"/>
            </w:tcBorders>
            <w:shd w:val="clear" w:color="auto" w:fill="auto"/>
            <w:noWrap/>
            <w:vAlign w:val="bottom"/>
            <w:hideMark/>
          </w:tcPr>
          <w:p w14:paraId="598219A0"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6 849 959,00</w:t>
            </w:r>
          </w:p>
        </w:tc>
        <w:tc>
          <w:tcPr>
            <w:tcW w:w="576" w:type="dxa"/>
            <w:tcBorders>
              <w:top w:val="nil"/>
              <w:left w:val="nil"/>
              <w:bottom w:val="single" w:sz="4" w:space="0" w:color="auto"/>
              <w:right w:val="single" w:sz="8" w:space="0" w:color="auto"/>
            </w:tcBorders>
            <w:shd w:val="clear" w:color="auto" w:fill="auto"/>
            <w:noWrap/>
            <w:vAlign w:val="bottom"/>
            <w:hideMark/>
          </w:tcPr>
          <w:p w14:paraId="6F1DE7FD"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100,0</w:t>
            </w:r>
          </w:p>
        </w:tc>
      </w:tr>
      <w:tr w:rsidR="00AF5B41" w:rsidRPr="00DA77A7" w14:paraId="31A6C48C"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3304714E"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3269</w:t>
            </w:r>
          </w:p>
        </w:tc>
        <w:tc>
          <w:tcPr>
            <w:tcW w:w="4085" w:type="dxa"/>
            <w:tcBorders>
              <w:top w:val="nil"/>
              <w:left w:val="nil"/>
              <w:bottom w:val="single" w:sz="4" w:space="0" w:color="auto"/>
              <w:right w:val="single" w:sz="4" w:space="0" w:color="auto"/>
            </w:tcBorders>
            <w:shd w:val="clear" w:color="auto" w:fill="auto"/>
            <w:vAlign w:val="bottom"/>
            <w:hideMark/>
          </w:tcPr>
          <w:p w14:paraId="4C7B8DA9"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Ostatní správa ve vzdělávání jinde nezařazená</w:t>
            </w:r>
          </w:p>
        </w:tc>
        <w:tc>
          <w:tcPr>
            <w:tcW w:w="1394" w:type="dxa"/>
            <w:tcBorders>
              <w:top w:val="nil"/>
              <w:left w:val="nil"/>
              <w:bottom w:val="single" w:sz="4" w:space="0" w:color="auto"/>
              <w:right w:val="single" w:sz="4" w:space="0" w:color="auto"/>
            </w:tcBorders>
            <w:shd w:val="clear" w:color="auto" w:fill="auto"/>
            <w:noWrap/>
            <w:vAlign w:val="bottom"/>
            <w:hideMark/>
          </w:tcPr>
          <w:p w14:paraId="3AF65B72"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1 475 000</w:t>
            </w:r>
          </w:p>
        </w:tc>
        <w:tc>
          <w:tcPr>
            <w:tcW w:w="1671" w:type="dxa"/>
            <w:tcBorders>
              <w:top w:val="nil"/>
              <w:left w:val="nil"/>
              <w:bottom w:val="single" w:sz="4" w:space="0" w:color="auto"/>
              <w:right w:val="single" w:sz="4" w:space="0" w:color="auto"/>
            </w:tcBorders>
            <w:shd w:val="clear" w:color="auto" w:fill="auto"/>
            <w:noWrap/>
            <w:vAlign w:val="bottom"/>
            <w:hideMark/>
          </w:tcPr>
          <w:p w14:paraId="181EF018"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0,00</w:t>
            </w:r>
          </w:p>
        </w:tc>
        <w:tc>
          <w:tcPr>
            <w:tcW w:w="1684" w:type="dxa"/>
            <w:tcBorders>
              <w:top w:val="nil"/>
              <w:left w:val="nil"/>
              <w:bottom w:val="single" w:sz="4" w:space="0" w:color="auto"/>
              <w:right w:val="single" w:sz="4" w:space="0" w:color="auto"/>
            </w:tcBorders>
            <w:shd w:val="clear" w:color="auto" w:fill="auto"/>
            <w:noWrap/>
            <w:vAlign w:val="bottom"/>
            <w:hideMark/>
          </w:tcPr>
          <w:p w14:paraId="75ED8DBA"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0,00</w:t>
            </w:r>
          </w:p>
        </w:tc>
        <w:tc>
          <w:tcPr>
            <w:tcW w:w="576" w:type="dxa"/>
            <w:tcBorders>
              <w:top w:val="nil"/>
              <w:left w:val="nil"/>
              <w:bottom w:val="single" w:sz="4" w:space="0" w:color="auto"/>
              <w:right w:val="single" w:sz="8" w:space="0" w:color="auto"/>
            </w:tcBorders>
            <w:shd w:val="clear" w:color="auto" w:fill="auto"/>
            <w:noWrap/>
            <w:vAlign w:val="bottom"/>
            <w:hideMark/>
          </w:tcPr>
          <w:p w14:paraId="3562FD93"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w:t>
            </w:r>
          </w:p>
        </w:tc>
      </w:tr>
      <w:tr w:rsidR="00AF5B41" w:rsidRPr="00DA77A7" w14:paraId="29609056" w14:textId="77777777" w:rsidTr="0042584A">
        <w:trPr>
          <w:trHeight w:val="300"/>
        </w:trPr>
        <w:tc>
          <w:tcPr>
            <w:tcW w:w="1231" w:type="dxa"/>
            <w:tcBorders>
              <w:top w:val="nil"/>
              <w:left w:val="single" w:sz="8" w:space="0" w:color="auto"/>
              <w:bottom w:val="single" w:sz="8" w:space="0" w:color="auto"/>
              <w:right w:val="single" w:sz="4" w:space="0" w:color="auto"/>
            </w:tcBorders>
            <w:shd w:val="clear" w:color="auto" w:fill="auto"/>
            <w:vAlign w:val="bottom"/>
            <w:hideMark/>
          </w:tcPr>
          <w:p w14:paraId="65CF0806"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3294</w:t>
            </w:r>
          </w:p>
        </w:tc>
        <w:tc>
          <w:tcPr>
            <w:tcW w:w="4085" w:type="dxa"/>
            <w:tcBorders>
              <w:top w:val="nil"/>
              <w:left w:val="nil"/>
              <w:bottom w:val="single" w:sz="8" w:space="0" w:color="auto"/>
              <w:right w:val="single" w:sz="4" w:space="0" w:color="auto"/>
            </w:tcBorders>
            <w:shd w:val="clear" w:color="auto" w:fill="auto"/>
            <w:vAlign w:val="bottom"/>
            <w:hideMark/>
          </w:tcPr>
          <w:p w14:paraId="5273ADDD"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Zařízení pro další vzdělávání pedagogických pracovníků</w:t>
            </w:r>
          </w:p>
        </w:tc>
        <w:tc>
          <w:tcPr>
            <w:tcW w:w="1394" w:type="dxa"/>
            <w:tcBorders>
              <w:top w:val="nil"/>
              <w:left w:val="nil"/>
              <w:bottom w:val="single" w:sz="8" w:space="0" w:color="auto"/>
              <w:right w:val="single" w:sz="4" w:space="0" w:color="auto"/>
            </w:tcBorders>
            <w:shd w:val="clear" w:color="auto" w:fill="auto"/>
            <w:noWrap/>
            <w:vAlign w:val="bottom"/>
            <w:hideMark/>
          </w:tcPr>
          <w:p w14:paraId="3AE1CF67"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13 790 000</w:t>
            </w:r>
          </w:p>
        </w:tc>
        <w:tc>
          <w:tcPr>
            <w:tcW w:w="1671" w:type="dxa"/>
            <w:tcBorders>
              <w:top w:val="nil"/>
              <w:left w:val="nil"/>
              <w:bottom w:val="single" w:sz="8" w:space="0" w:color="auto"/>
              <w:right w:val="single" w:sz="4" w:space="0" w:color="auto"/>
            </w:tcBorders>
            <w:shd w:val="clear" w:color="auto" w:fill="auto"/>
            <w:noWrap/>
            <w:vAlign w:val="bottom"/>
            <w:hideMark/>
          </w:tcPr>
          <w:p w14:paraId="03DE6D46"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18 031 100,00</w:t>
            </w:r>
          </w:p>
        </w:tc>
        <w:tc>
          <w:tcPr>
            <w:tcW w:w="1684" w:type="dxa"/>
            <w:tcBorders>
              <w:top w:val="nil"/>
              <w:left w:val="nil"/>
              <w:bottom w:val="single" w:sz="8" w:space="0" w:color="auto"/>
              <w:right w:val="single" w:sz="4" w:space="0" w:color="auto"/>
            </w:tcBorders>
            <w:shd w:val="clear" w:color="auto" w:fill="auto"/>
            <w:noWrap/>
            <w:vAlign w:val="bottom"/>
            <w:hideMark/>
          </w:tcPr>
          <w:p w14:paraId="0712DB84"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14 031 100,00</w:t>
            </w:r>
          </w:p>
        </w:tc>
        <w:tc>
          <w:tcPr>
            <w:tcW w:w="576" w:type="dxa"/>
            <w:tcBorders>
              <w:top w:val="nil"/>
              <w:left w:val="nil"/>
              <w:bottom w:val="single" w:sz="8" w:space="0" w:color="auto"/>
              <w:right w:val="single" w:sz="8" w:space="0" w:color="auto"/>
            </w:tcBorders>
            <w:shd w:val="clear" w:color="auto" w:fill="auto"/>
            <w:noWrap/>
            <w:vAlign w:val="bottom"/>
            <w:hideMark/>
          </w:tcPr>
          <w:p w14:paraId="797C1C8F"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77,8</w:t>
            </w:r>
          </w:p>
        </w:tc>
      </w:tr>
      <w:tr w:rsidR="00AF5B41" w:rsidRPr="00DA77A7" w14:paraId="08775D9F"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788E0CC7" w14:textId="77777777" w:rsidR="00DA77A7" w:rsidRPr="00DA77A7" w:rsidRDefault="00DA77A7" w:rsidP="00DA77A7">
            <w:pPr>
              <w:spacing w:after="0" w:line="240" w:lineRule="auto"/>
              <w:jc w:val="center"/>
              <w:rPr>
                <w:rFonts w:ascii="Calibri" w:eastAsia="Times New Roman" w:hAnsi="Calibri" w:cs="Arial"/>
                <w:sz w:val="20"/>
                <w:szCs w:val="20"/>
                <w:lang w:eastAsia="cs-CZ"/>
              </w:rPr>
            </w:pPr>
            <w:r w:rsidRPr="00DA77A7">
              <w:rPr>
                <w:rFonts w:ascii="Calibri" w:eastAsia="Times New Roman" w:hAnsi="Calibri" w:cs="Arial"/>
                <w:sz w:val="20"/>
                <w:szCs w:val="20"/>
                <w:lang w:eastAsia="cs-CZ"/>
              </w:rPr>
              <w:t> </w:t>
            </w:r>
          </w:p>
        </w:tc>
        <w:tc>
          <w:tcPr>
            <w:tcW w:w="4085" w:type="dxa"/>
            <w:tcBorders>
              <w:top w:val="nil"/>
              <w:left w:val="nil"/>
              <w:bottom w:val="single" w:sz="4" w:space="0" w:color="auto"/>
              <w:right w:val="single" w:sz="4" w:space="0" w:color="auto"/>
            </w:tcBorders>
            <w:shd w:val="clear" w:color="000000" w:fill="FFFFFF"/>
            <w:vAlign w:val="bottom"/>
            <w:hideMark/>
          </w:tcPr>
          <w:p w14:paraId="7C8D30D1" w14:textId="77777777" w:rsidR="00DA77A7" w:rsidRPr="00DA77A7" w:rsidRDefault="00DA77A7" w:rsidP="00DA77A7">
            <w:pPr>
              <w:spacing w:after="0" w:line="240" w:lineRule="auto"/>
              <w:rPr>
                <w:rFonts w:ascii="Calibri" w:eastAsia="Times New Roman" w:hAnsi="Calibri" w:cs="Arial"/>
                <w:sz w:val="20"/>
                <w:szCs w:val="20"/>
                <w:lang w:eastAsia="cs-CZ"/>
              </w:rPr>
            </w:pPr>
            <w:r w:rsidRPr="00DA77A7">
              <w:rPr>
                <w:rFonts w:ascii="Calibri" w:eastAsia="Times New Roman" w:hAnsi="Calibri" w:cs="Arial"/>
                <w:sz w:val="20"/>
                <w:szCs w:val="20"/>
                <w:lang w:eastAsia="cs-CZ"/>
              </w:rPr>
              <w:t>Podpora kvality škol a rozvojové projekty</w:t>
            </w:r>
          </w:p>
        </w:tc>
        <w:tc>
          <w:tcPr>
            <w:tcW w:w="1394" w:type="dxa"/>
            <w:tcBorders>
              <w:top w:val="nil"/>
              <w:left w:val="nil"/>
              <w:bottom w:val="single" w:sz="4" w:space="0" w:color="auto"/>
              <w:right w:val="single" w:sz="4" w:space="0" w:color="auto"/>
            </w:tcBorders>
            <w:shd w:val="clear" w:color="000000" w:fill="FFFFFF"/>
            <w:noWrap/>
            <w:vAlign w:val="bottom"/>
            <w:hideMark/>
          </w:tcPr>
          <w:p w14:paraId="4F96ABF3"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3 500 000</w:t>
            </w:r>
          </w:p>
        </w:tc>
        <w:tc>
          <w:tcPr>
            <w:tcW w:w="1671" w:type="dxa"/>
            <w:tcBorders>
              <w:top w:val="nil"/>
              <w:left w:val="nil"/>
              <w:bottom w:val="single" w:sz="4" w:space="0" w:color="auto"/>
              <w:right w:val="single" w:sz="4" w:space="0" w:color="auto"/>
            </w:tcBorders>
            <w:shd w:val="clear" w:color="000000" w:fill="FFFFFF"/>
            <w:noWrap/>
            <w:vAlign w:val="bottom"/>
            <w:hideMark/>
          </w:tcPr>
          <w:p w14:paraId="624F6404"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43 186 685,63</w:t>
            </w:r>
          </w:p>
        </w:tc>
        <w:tc>
          <w:tcPr>
            <w:tcW w:w="1684" w:type="dxa"/>
            <w:tcBorders>
              <w:top w:val="nil"/>
              <w:left w:val="nil"/>
              <w:bottom w:val="single" w:sz="4" w:space="0" w:color="auto"/>
              <w:right w:val="single" w:sz="4" w:space="0" w:color="auto"/>
            </w:tcBorders>
            <w:shd w:val="clear" w:color="000000" w:fill="FFFFFF"/>
            <w:noWrap/>
            <w:vAlign w:val="bottom"/>
            <w:hideMark/>
          </w:tcPr>
          <w:p w14:paraId="1ABCC605"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37 993 789,00</w:t>
            </w:r>
          </w:p>
        </w:tc>
        <w:tc>
          <w:tcPr>
            <w:tcW w:w="576" w:type="dxa"/>
            <w:tcBorders>
              <w:top w:val="nil"/>
              <w:left w:val="nil"/>
              <w:bottom w:val="single" w:sz="4" w:space="0" w:color="auto"/>
              <w:right w:val="single" w:sz="8" w:space="0" w:color="auto"/>
            </w:tcBorders>
            <w:shd w:val="clear" w:color="000000" w:fill="FFFFFF"/>
            <w:noWrap/>
            <w:vAlign w:val="bottom"/>
            <w:hideMark/>
          </w:tcPr>
          <w:p w14:paraId="57057C1E"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88,0</w:t>
            </w:r>
          </w:p>
        </w:tc>
      </w:tr>
      <w:tr w:rsidR="00DA77A7" w:rsidRPr="00DA77A7" w14:paraId="71AB1807"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664F649E" w14:textId="77777777" w:rsidR="00DA77A7" w:rsidRPr="00DA77A7" w:rsidRDefault="00DA77A7" w:rsidP="00DA77A7">
            <w:pPr>
              <w:spacing w:after="0" w:line="240" w:lineRule="auto"/>
              <w:jc w:val="center"/>
              <w:rPr>
                <w:rFonts w:ascii="Calibri" w:eastAsia="Times New Roman" w:hAnsi="Calibri" w:cs="Arial"/>
                <w:sz w:val="20"/>
                <w:szCs w:val="20"/>
                <w:lang w:eastAsia="cs-CZ"/>
              </w:rPr>
            </w:pPr>
            <w:r w:rsidRPr="00DA77A7">
              <w:rPr>
                <w:rFonts w:ascii="Calibri" w:eastAsia="Times New Roman" w:hAnsi="Calibri" w:cs="Arial"/>
                <w:sz w:val="20"/>
                <w:szCs w:val="20"/>
                <w:lang w:eastAsia="cs-CZ"/>
              </w:rPr>
              <w:t> </w:t>
            </w:r>
          </w:p>
        </w:tc>
        <w:tc>
          <w:tcPr>
            <w:tcW w:w="9410" w:type="dxa"/>
            <w:gridSpan w:val="5"/>
            <w:tcBorders>
              <w:top w:val="single" w:sz="4" w:space="0" w:color="auto"/>
              <w:left w:val="nil"/>
              <w:bottom w:val="single" w:sz="4" w:space="0" w:color="auto"/>
              <w:right w:val="single" w:sz="8" w:space="0" w:color="000000"/>
            </w:tcBorders>
            <w:shd w:val="clear" w:color="000000" w:fill="FFFFFF"/>
            <w:vAlign w:val="bottom"/>
            <w:hideMark/>
          </w:tcPr>
          <w:p w14:paraId="0ED3E2A9" w14:textId="77777777" w:rsidR="00DA77A7" w:rsidRPr="00DA77A7" w:rsidRDefault="00DA77A7" w:rsidP="00DA77A7">
            <w:pPr>
              <w:spacing w:after="0" w:line="240" w:lineRule="auto"/>
              <w:rPr>
                <w:rFonts w:ascii="Calibri" w:eastAsia="Times New Roman" w:hAnsi="Calibri" w:cs="Arial"/>
                <w:sz w:val="20"/>
                <w:szCs w:val="20"/>
                <w:lang w:eastAsia="cs-CZ"/>
              </w:rPr>
            </w:pPr>
            <w:r w:rsidRPr="00DA77A7">
              <w:rPr>
                <w:rFonts w:ascii="Calibri" w:eastAsia="Times New Roman" w:hAnsi="Calibri" w:cs="Arial"/>
                <w:sz w:val="20"/>
                <w:szCs w:val="20"/>
                <w:lang w:eastAsia="cs-CZ"/>
              </w:rPr>
              <w:t>z toho:</w:t>
            </w:r>
          </w:p>
        </w:tc>
      </w:tr>
      <w:tr w:rsidR="00AF5B41" w:rsidRPr="00DA77A7" w14:paraId="0FFD9C2E"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4BC5ABF2"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3114</w:t>
            </w:r>
          </w:p>
        </w:tc>
        <w:tc>
          <w:tcPr>
            <w:tcW w:w="4085" w:type="dxa"/>
            <w:tcBorders>
              <w:top w:val="nil"/>
              <w:left w:val="nil"/>
              <w:bottom w:val="single" w:sz="4" w:space="0" w:color="auto"/>
              <w:right w:val="single" w:sz="4" w:space="0" w:color="auto"/>
            </w:tcBorders>
            <w:shd w:val="clear" w:color="000000" w:fill="FFFFFF"/>
            <w:vAlign w:val="bottom"/>
            <w:hideMark/>
          </w:tcPr>
          <w:p w14:paraId="79622FDD" w14:textId="09B0C13D" w:rsidR="00DA77A7" w:rsidRPr="00DA77A7" w:rsidRDefault="00DA77A7" w:rsidP="00DA77A7">
            <w:pPr>
              <w:spacing w:after="0" w:line="240" w:lineRule="auto"/>
              <w:rPr>
                <w:rFonts w:ascii="Calibri" w:eastAsia="Times New Roman" w:hAnsi="Calibri" w:cs="Arial"/>
                <w:sz w:val="20"/>
                <w:szCs w:val="20"/>
                <w:lang w:eastAsia="cs-CZ"/>
              </w:rPr>
            </w:pPr>
            <w:r w:rsidRPr="00DA77A7">
              <w:rPr>
                <w:rFonts w:ascii="Calibri" w:eastAsia="Times New Roman" w:hAnsi="Calibri" w:cs="Arial"/>
                <w:sz w:val="20"/>
                <w:szCs w:val="20"/>
                <w:lang w:eastAsia="cs-CZ"/>
              </w:rPr>
              <w:t>ZŠ pro žáky se spec</w:t>
            </w:r>
            <w:r w:rsidR="00165452">
              <w:rPr>
                <w:rFonts w:ascii="Calibri" w:eastAsia="Times New Roman" w:hAnsi="Calibri" w:cs="Arial"/>
                <w:sz w:val="20"/>
                <w:szCs w:val="20"/>
                <w:lang w:eastAsia="cs-CZ"/>
              </w:rPr>
              <w:t>iálními</w:t>
            </w:r>
            <w:r w:rsidRPr="00DA77A7">
              <w:rPr>
                <w:rFonts w:ascii="Calibri" w:eastAsia="Times New Roman" w:hAnsi="Calibri" w:cs="Arial"/>
                <w:sz w:val="20"/>
                <w:szCs w:val="20"/>
                <w:lang w:eastAsia="cs-CZ"/>
              </w:rPr>
              <w:t xml:space="preserve"> vzděl</w:t>
            </w:r>
            <w:r w:rsidR="00165452">
              <w:rPr>
                <w:rFonts w:ascii="Calibri" w:eastAsia="Times New Roman" w:hAnsi="Calibri" w:cs="Arial"/>
                <w:sz w:val="20"/>
                <w:szCs w:val="20"/>
                <w:lang w:eastAsia="cs-CZ"/>
              </w:rPr>
              <w:t>ávacími</w:t>
            </w:r>
            <w:r w:rsidRPr="00DA77A7">
              <w:rPr>
                <w:rFonts w:ascii="Calibri" w:eastAsia="Times New Roman" w:hAnsi="Calibri" w:cs="Arial"/>
                <w:sz w:val="20"/>
                <w:szCs w:val="20"/>
                <w:lang w:eastAsia="cs-CZ"/>
              </w:rPr>
              <w:t xml:space="preserve"> potřebami</w:t>
            </w:r>
          </w:p>
        </w:tc>
        <w:tc>
          <w:tcPr>
            <w:tcW w:w="1394" w:type="dxa"/>
            <w:tcBorders>
              <w:top w:val="nil"/>
              <w:left w:val="nil"/>
              <w:bottom w:val="single" w:sz="4" w:space="0" w:color="auto"/>
              <w:right w:val="single" w:sz="4" w:space="0" w:color="auto"/>
            </w:tcBorders>
            <w:shd w:val="clear" w:color="auto" w:fill="auto"/>
            <w:noWrap/>
            <w:vAlign w:val="bottom"/>
            <w:hideMark/>
          </w:tcPr>
          <w:p w14:paraId="46D32007"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w:t>
            </w:r>
          </w:p>
        </w:tc>
        <w:tc>
          <w:tcPr>
            <w:tcW w:w="1671" w:type="dxa"/>
            <w:tcBorders>
              <w:top w:val="nil"/>
              <w:left w:val="nil"/>
              <w:bottom w:val="single" w:sz="4" w:space="0" w:color="auto"/>
              <w:right w:val="single" w:sz="4" w:space="0" w:color="auto"/>
            </w:tcBorders>
            <w:shd w:val="clear" w:color="auto" w:fill="auto"/>
            <w:noWrap/>
            <w:vAlign w:val="bottom"/>
            <w:hideMark/>
          </w:tcPr>
          <w:p w14:paraId="2C80985E"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141 158,00</w:t>
            </w:r>
          </w:p>
        </w:tc>
        <w:tc>
          <w:tcPr>
            <w:tcW w:w="1684" w:type="dxa"/>
            <w:tcBorders>
              <w:top w:val="nil"/>
              <w:left w:val="nil"/>
              <w:bottom w:val="single" w:sz="4" w:space="0" w:color="auto"/>
              <w:right w:val="single" w:sz="4" w:space="0" w:color="auto"/>
            </w:tcBorders>
            <w:shd w:val="clear" w:color="auto" w:fill="auto"/>
            <w:noWrap/>
            <w:vAlign w:val="bottom"/>
            <w:hideMark/>
          </w:tcPr>
          <w:p w14:paraId="5C62103C"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141 158,00</w:t>
            </w:r>
          </w:p>
        </w:tc>
        <w:tc>
          <w:tcPr>
            <w:tcW w:w="576" w:type="dxa"/>
            <w:tcBorders>
              <w:top w:val="nil"/>
              <w:left w:val="nil"/>
              <w:bottom w:val="single" w:sz="4" w:space="0" w:color="auto"/>
              <w:right w:val="single" w:sz="8" w:space="0" w:color="auto"/>
            </w:tcBorders>
            <w:shd w:val="clear" w:color="auto" w:fill="auto"/>
            <w:noWrap/>
            <w:vAlign w:val="bottom"/>
            <w:hideMark/>
          </w:tcPr>
          <w:p w14:paraId="3915AF94"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100,0</w:t>
            </w:r>
          </w:p>
        </w:tc>
      </w:tr>
      <w:tr w:rsidR="00AF5B41" w:rsidRPr="00DA77A7" w14:paraId="353FC061"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noWrap/>
            <w:vAlign w:val="bottom"/>
            <w:hideMark/>
          </w:tcPr>
          <w:p w14:paraId="0F5D5B45"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3121</w:t>
            </w:r>
          </w:p>
        </w:tc>
        <w:tc>
          <w:tcPr>
            <w:tcW w:w="4085" w:type="dxa"/>
            <w:tcBorders>
              <w:top w:val="nil"/>
              <w:left w:val="nil"/>
              <w:bottom w:val="single" w:sz="4" w:space="0" w:color="auto"/>
              <w:right w:val="nil"/>
            </w:tcBorders>
            <w:shd w:val="clear" w:color="auto" w:fill="auto"/>
            <w:vAlign w:val="bottom"/>
            <w:hideMark/>
          </w:tcPr>
          <w:p w14:paraId="0B830F48"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Gymnázia</w:t>
            </w:r>
          </w:p>
        </w:tc>
        <w:tc>
          <w:tcPr>
            <w:tcW w:w="1394" w:type="dxa"/>
            <w:tcBorders>
              <w:top w:val="nil"/>
              <w:left w:val="single" w:sz="4" w:space="0" w:color="auto"/>
              <w:bottom w:val="single" w:sz="4" w:space="0" w:color="auto"/>
              <w:right w:val="single" w:sz="4" w:space="0" w:color="auto"/>
            </w:tcBorders>
            <w:shd w:val="clear" w:color="auto" w:fill="auto"/>
            <w:noWrap/>
            <w:vAlign w:val="bottom"/>
            <w:hideMark/>
          </w:tcPr>
          <w:p w14:paraId="3DEDECE3"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w:t>
            </w:r>
          </w:p>
        </w:tc>
        <w:tc>
          <w:tcPr>
            <w:tcW w:w="1671" w:type="dxa"/>
            <w:tcBorders>
              <w:top w:val="nil"/>
              <w:left w:val="nil"/>
              <w:bottom w:val="single" w:sz="4" w:space="0" w:color="auto"/>
              <w:right w:val="single" w:sz="4" w:space="0" w:color="auto"/>
            </w:tcBorders>
            <w:shd w:val="clear" w:color="auto" w:fill="auto"/>
            <w:noWrap/>
            <w:vAlign w:val="bottom"/>
            <w:hideMark/>
          </w:tcPr>
          <w:p w14:paraId="6BA58EFD"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11 185 707,00</w:t>
            </w:r>
          </w:p>
        </w:tc>
        <w:tc>
          <w:tcPr>
            <w:tcW w:w="1684" w:type="dxa"/>
            <w:tcBorders>
              <w:top w:val="nil"/>
              <w:left w:val="nil"/>
              <w:bottom w:val="single" w:sz="4" w:space="0" w:color="auto"/>
              <w:right w:val="single" w:sz="4" w:space="0" w:color="auto"/>
            </w:tcBorders>
            <w:shd w:val="clear" w:color="auto" w:fill="auto"/>
            <w:noWrap/>
            <w:vAlign w:val="bottom"/>
            <w:hideMark/>
          </w:tcPr>
          <w:p w14:paraId="496B6789"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11 185 707,00</w:t>
            </w:r>
          </w:p>
        </w:tc>
        <w:tc>
          <w:tcPr>
            <w:tcW w:w="576" w:type="dxa"/>
            <w:tcBorders>
              <w:top w:val="nil"/>
              <w:left w:val="nil"/>
              <w:bottom w:val="single" w:sz="4" w:space="0" w:color="auto"/>
              <w:right w:val="single" w:sz="8" w:space="0" w:color="auto"/>
            </w:tcBorders>
            <w:shd w:val="clear" w:color="auto" w:fill="auto"/>
            <w:noWrap/>
            <w:vAlign w:val="bottom"/>
            <w:hideMark/>
          </w:tcPr>
          <w:p w14:paraId="386FD4B4"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100,0</w:t>
            </w:r>
          </w:p>
        </w:tc>
      </w:tr>
      <w:tr w:rsidR="00AF5B41" w:rsidRPr="00DA77A7" w14:paraId="6AFAB859"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noWrap/>
            <w:vAlign w:val="bottom"/>
            <w:hideMark/>
          </w:tcPr>
          <w:p w14:paraId="69C40B8C"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3122</w:t>
            </w:r>
          </w:p>
        </w:tc>
        <w:tc>
          <w:tcPr>
            <w:tcW w:w="4085" w:type="dxa"/>
            <w:tcBorders>
              <w:top w:val="nil"/>
              <w:left w:val="nil"/>
              <w:bottom w:val="single" w:sz="4" w:space="0" w:color="auto"/>
              <w:right w:val="nil"/>
            </w:tcBorders>
            <w:shd w:val="clear" w:color="auto" w:fill="auto"/>
            <w:vAlign w:val="bottom"/>
            <w:hideMark/>
          </w:tcPr>
          <w:p w14:paraId="20FBF08C"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Střední odborné školy</w:t>
            </w:r>
          </w:p>
        </w:tc>
        <w:tc>
          <w:tcPr>
            <w:tcW w:w="1394" w:type="dxa"/>
            <w:tcBorders>
              <w:top w:val="nil"/>
              <w:left w:val="single" w:sz="4" w:space="0" w:color="auto"/>
              <w:bottom w:val="single" w:sz="4" w:space="0" w:color="auto"/>
              <w:right w:val="single" w:sz="4" w:space="0" w:color="auto"/>
            </w:tcBorders>
            <w:shd w:val="clear" w:color="auto" w:fill="auto"/>
            <w:noWrap/>
            <w:vAlign w:val="bottom"/>
            <w:hideMark/>
          </w:tcPr>
          <w:p w14:paraId="7C47F9E8"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w:t>
            </w:r>
          </w:p>
        </w:tc>
        <w:tc>
          <w:tcPr>
            <w:tcW w:w="1671" w:type="dxa"/>
            <w:tcBorders>
              <w:top w:val="nil"/>
              <w:left w:val="nil"/>
              <w:bottom w:val="single" w:sz="4" w:space="0" w:color="auto"/>
              <w:right w:val="single" w:sz="4" w:space="0" w:color="auto"/>
            </w:tcBorders>
            <w:shd w:val="clear" w:color="auto" w:fill="auto"/>
            <w:noWrap/>
            <w:vAlign w:val="bottom"/>
            <w:hideMark/>
          </w:tcPr>
          <w:p w14:paraId="704B2B52"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19 747 734,00</w:t>
            </w:r>
          </w:p>
        </w:tc>
        <w:tc>
          <w:tcPr>
            <w:tcW w:w="1684" w:type="dxa"/>
            <w:tcBorders>
              <w:top w:val="nil"/>
              <w:left w:val="nil"/>
              <w:bottom w:val="single" w:sz="4" w:space="0" w:color="auto"/>
              <w:right w:val="single" w:sz="4" w:space="0" w:color="auto"/>
            </w:tcBorders>
            <w:shd w:val="clear" w:color="auto" w:fill="auto"/>
            <w:noWrap/>
            <w:vAlign w:val="bottom"/>
            <w:hideMark/>
          </w:tcPr>
          <w:p w14:paraId="0EC9D451"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19 747 734,00</w:t>
            </w:r>
          </w:p>
        </w:tc>
        <w:tc>
          <w:tcPr>
            <w:tcW w:w="576" w:type="dxa"/>
            <w:tcBorders>
              <w:top w:val="nil"/>
              <w:left w:val="nil"/>
              <w:bottom w:val="single" w:sz="4" w:space="0" w:color="auto"/>
              <w:right w:val="single" w:sz="8" w:space="0" w:color="auto"/>
            </w:tcBorders>
            <w:shd w:val="clear" w:color="auto" w:fill="auto"/>
            <w:noWrap/>
            <w:vAlign w:val="bottom"/>
            <w:hideMark/>
          </w:tcPr>
          <w:p w14:paraId="6FE2CDB6"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100,0</w:t>
            </w:r>
          </w:p>
        </w:tc>
      </w:tr>
      <w:tr w:rsidR="00AF5B41" w:rsidRPr="00DA77A7" w14:paraId="466A1E80"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noWrap/>
            <w:vAlign w:val="bottom"/>
            <w:hideMark/>
          </w:tcPr>
          <w:p w14:paraId="2F7F2AA4"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3123</w:t>
            </w:r>
          </w:p>
        </w:tc>
        <w:tc>
          <w:tcPr>
            <w:tcW w:w="4085" w:type="dxa"/>
            <w:tcBorders>
              <w:top w:val="nil"/>
              <w:left w:val="nil"/>
              <w:bottom w:val="single" w:sz="4" w:space="0" w:color="auto"/>
              <w:right w:val="nil"/>
            </w:tcBorders>
            <w:shd w:val="clear" w:color="auto" w:fill="auto"/>
            <w:vAlign w:val="bottom"/>
            <w:hideMark/>
          </w:tcPr>
          <w:p w14:paraId="3C93963E"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Střední školy poskytující střední vzdělání s výučním listem</w:t>
            </w:r>
          </w:p>
        </w:tc>
        <w:tc>
          <w:tcPr>
            <w:tcW w:w="1394" w:type="dxa"/>
            <w:tcBorders>
              <w:top w:val="nil"/>
              <w:left w:val="single" w:sz="4" w:space="0" w:color="auto"/>
              <w:bottom w:val="single" w:sz="4" w:space="0" w:color="auto"/>
              <w:right w:val="single" w:sz="4" w:space="0" w:color="auto"/>
            </w:tcBorders>
            <w:shd w:val="clear" w:color="auto" w:fill="auto"/>
            <w:noWrap/>
            <w:vAlign w:val="bottom"/>
            <w:hideMark/>
          </w:tcPr>
          <w:p w14:paraId="04F79900"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w:t>
            </w:r>
          </w:p>
        </w:tc>
        <w:tc>
          <w:tcPr>
            <w:tcW w:w="1671" w:type="dxa"/>
            <w:tcBorders>
              <w:top w:val="nil"/>
              <w:left w:val="nil"/>
              <w:bottom w:val="single" w:sz="4" w:space="0" w:color="auto"/>
              <w:right w:val="single" w:sz="4" w:space="0" w:color="auto"/>
            </w:tcBorders>
            <w:shd w:val="clear" w:color="auto" w:fill="auto"/>
            <w:noWrap/>
            <w:vAlign w:val="bottom"/>
            <w:hideMark/>
          </w:tcPr>
          <w:p w14:paraId="29B54BA0"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6 874 190,00</w:t>
            </w:r>
          </w:p>
        </w:tc>
        <w:tc>
          <w:tcPr>
            <w:tcW w:w="1684" w:type="dxa"/>
            <w:tcBorders>
              <w:top w:val="nil"/>
              <w:left w:val="nil"/>
              <w:bottom w:val="single" w:sz="4" w:space="0" w:color="auto"/>
              <w:right w:val="single" w:sz="4" w:space="0" w:color="auto"/>
            </w:tcBorders>
            <w:shd w:val="clear" w:color="auto" w:fill="auto"/>
            <w:noWrap/>
            <w:vAlign w:val="bottom"/>
            <w:hideMark/>
          </w:tcPr>
          <w:p w14:paraId="2B22FC90"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6 874 190,00</w:t>
            </w:r>
          </w:p>
        </w:tc>
        <w:tc>
          <w:tcPr>
            <w:tcW w:w="576" w:type="dxa"/>
            <w:tcBorders>
              <w:top w:val="nil"/>
              <w:left w:val="nil"/>
              <w:bottom w:val="single" w:sz="4" w:space="0" w:color="auto"/>
              <w:right w:val="single" w:sz="8" w:space="0" w:color="auto"/>
            </w:tcBorders>
            <w:shd w:val="clear" w:color="auto" w:fill="auto"/>
            <w:noWrap/>
            <w:vAlign w:val="bottom"/>
            <w:hideMark/>
          </w:tcPr>
          <w:p w14:paraId="783FE611"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100,0</w:t>
            </w:r>
          </w:p>
        </w:tc>
      </w:tr>
      <w:tr w:rsidR="00AF5B41" w:rsidRPr="00DA77A7" w14:paraId="189E701D" w14:textId="77777777" w:rsidTr="0042584A">
        <w:trPr>
          <w:trHeight w:val="300"/>
        </w:trPr>
        <w:tc>
          <w:tcPr>
            <w:tcW w:w="1231" w:type="dxa"/>
            <w:tcBorders>
              <w:top w:val="nil"/>
              <w:left w:val="single" w:sz="8" w:space="0" w:color="auto"/>
              <w:bottom w:val="nil"/>
              <w:right w:val="single" w:sz="4" w:space="0" w:color="auto"/>
            </w:tcBorders>
            <w:shd w:val="clear" w:color="auto" w:fill="auto"/>
            <w:noWrap/>
            <w:vAlign w:val="bottom"/>
            <w:hideMark/>
          </w:tcPr>
          <w:p w14:paraId="7020E5F2"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3133</w:t>
            </w:r>
          </w:p>
        </w:tc>
        <w:tc>
          <w:tcPr>
            <w:tcW w:w="4085" w:type="dxa"/>
            <w:tcBorders>
              <w:top w:val="nil"/>
              <w:left w:val="nil"/>
              <w:bottom w:val="nil"/>
              <w:right w:val="nil"/>
            </w:tcBorders>
            <w:shd w:val="clear" w:color="auto" w:fill="auto"/>
            <w:vAlign w:val="bottom"/>
            <w:hideMark/>
          </w:tcPr>
          <w:p w14:paraId="39225FC3"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Dětské domovy</w:t>
            </w:r>
          </w:p>
        </w:tc>
        <w:tc>
          <w:tcPr>
            <w:tcW w:w="1394" w:type="dxa"/>
            <w:tcBorders>
              <w:top w:val="nil"/>
              <w:left w:val="single" w:sz="4" w:space="0" w:color="auto"/>
              <w:bottom w:val="nil"/>
              <w:right w:val="single" w:sz="4" w:space="0" w:color="auto"/>
            </w:tcBorders>
            <w:shd w:val="clear" w:color="auto" w:fill="auto"/>
            <w:noWrap/>
            <w:vAlign w:val="bottom"/>
            <w:hideMark/>
          </w:tcPr>
          <w:p w14:paraId="76C09693"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w:t>
            </w:r>
          </w:p>
        </w:tc>
        <w:tc>
          <w:tcPr>
            <w:tcW w:w="1671" w:type="dxa"/>
            <w:tcBorders>
              <w:top w:val="nil"/>
              <w:left w:val="nil"/>
              <w:bottom w:val="nil"/>
              <w:right w:val="single" w:sz="4" w:space="0" w:color="auto"/>
            </w:tcBorders>
            <w:shd w:val="clear" w:color="auto" w:fill="auto"/>
            <w:noWrap/>
            <w:vAlign w:val="bottom"/>
            <w:hideMark/>
          </w:tcPr>
          <w:p w14:paraId="555D8454"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15 000,00</w:t>
            </w:r>
          </w:p>
        </w:tc>
        <w:tc>
          <w:tcPr>
            <w:tcW w:w="1684" w:type="dxa"/>
            <w:tcBorders>
              <w:top w:val="nil"/>
              <w:left w:val="nil"/>
              <w:bottom w:val="single" w:sz="4" w:space="0" w:color="auto"/>
              <w:right w:val="single" w:sz="4" w:space="0" w:color="auto"/>
            </w:tcBorders>
            <w:shd w:val="clear" w:color="auto" w:fill="auto"/>
            <w:noWrap/>
            <w:vAlign w:val="bottom"/>
            <w:hideMark/>
          </w:tcPr>
          <w:p w14:paraId="7FAA7F53"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15 000,00</w:t>
            </w:r>
          </w:p>
        </w:tc>
        <w:tc>
          <w:tcPr>
            <w:tcW w:w="576" w:type="dxa"/>
            <w:tcBorders>
              <w:top w:val="nil"/>
              <w:left w:val="nil"/>
              <w:bottom w:val="nil"/>
              <w:right w:val="single" w:sz="8" w:space="0" w:color="auto"/>
            </w:tcBorders>
            <w:shd w:val="clear" w:color="auto" w:fill="auto"/>
            <w:noWrap/>
            <w:vAlign w:val="bottom"/>
            <w:hideMark/>
          </w:tcPr>
          <w:p w14:paraId="4AE39A2C"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100,0</w:t>
            </w:r>
          </w:p>
        </w:tc>
      </w:tr>
      <w:tr w:rsidR="00AF5B41" w:rsidRPr="00DA77A7" w14:paraId="0A47421B" w14:textId="77777777" w:rsidTr="0042584A">
        <w:trPr>
          <w:trHeight w:val="300"/>
        </w:trPr>
        <w:tc>
          <w:tcPr>
            <w:tcW w:w="1231"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113FD21E"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3269</w:t>
            </w:r>
          </w:p>
        </w:tc>
        <w:tc>
          <w:tcPr>
            <w:tcW w:w="4085" w:type="dxa"/>
            <w:tcBorders>
              <w:top w:val="single" w:sz="4" w:space="0" w:color="auto"/>
              <w:left w:val="nil"/>
              <w:bottom w:val="single" w:sz="4" w:space="0" w:color="auto"/>
              <w:right w:val="nil"/>
            </w:tcBorders>
            <w:shd w:val="clear" w:color="auto" w:fill="auto"/>
            <w:vAlign w:val="bottom"/>
            <w:hideMark/>
          </w:tcPr>
          <w:p w14:paraId="586C8A9C"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Ostatní správa ve vzdělávání jinde nezařazená</w:t>
            </w:r>
          </w:p>
        </w:tc>
        <w:tc>
          <w:tcPr>
            <w:tcW w:w="13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0E67F9"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3 500 000</w:t>
            </w:r>
          </w:p>
        </w:tc>
        <w:tc>
          <w:tcPr>
            <w:tcW w:w="1671" w:type="dxa"/>
            <w:tcBorders>
              <w:top w:val="single" w:sz="4" w:space="0" w:color="auto"/>
              <w:left w:val="nil"/>
              <w:bottom w:val="single" w:sz="4" w:space="0" w:color="auto"/>
              <w:right w:val="single" w:sz="4" w:space="0" w:color="auto"/>
            </w:tcBorders>
            <w:shd w:val="clear" w:color="auto" w:fill="auto"/>
            <w:noWrap/>
            <w:vAlign w:val="bottom"/>
            <w:hideMark/>
          </w:tcPr>
          <w:p w14:paraId="5EB7AB79"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5 192 896,63</w:t>
            </w:r>
          </w:p>
        </w:tc>
        <w:tc>
          <w:tcPr>
            <w:tcW w:w="1684" w:type="dxa"/>
            <w:tcBorders>
              <w:top w:val="nil"/>
              <w:left w:val="nil"/>
              <w:bottom w:val="single" w:sz="4" w:space="0" w:color="auto"/>
              <w:right w:val="single" w:sz="4" w:space="0" w:color="auto"/>
            </w:tcBorders>
            <w:shd w:val="clear" w:color="000000" w:fill="FFFFFF"/>
            <w:noWrap/>
            <w:vAlign w:val="bottom"/>
            <w:hideMark/>
          </w:tcPr>
          <w:p w14:paraId="473A3000"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0,00</w:t>
            </w:r>
          </w:p>
        </w:tc>
        <w:tc>
          <w:tcPr>
            <w:tcW w:w="576" w:type="dxa"/>
            <w:tcBorders>
              <w:top w:val="single" w:sz="4" w:space="0" w:color="auto"/>
              <w:left w:val="nil"/>
              <w:bottom w:val="nil"/>
              <w:right w:val="single" w:sz="8" w:space="0" w:color="auto"/>
            </w:tcBorders>
            <w:shd w:val="clear" w:color="auto" w:fill="auto"/>
            <w:noWrap/>
            <w:vAlign w:val="bottom"/>
            <w:hideMark/>
          </w:tcPr>
          <w:p w14:paraId="1E50512F"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0,0</w:t>
            </w:r>
          </w:p>
        </w:tc>
      </w:tr>
      <w:tr w:rsidR="00AF5B41" w:rsidRPr="00DA77A7" w14:paraId="452594D4" w14:textId="77777777" w:rsidTr="0042584A">
        <w:trPr>
          <w:trHeight w:val="300"/>
        </w:trPr>
        <w:tc>
          <w:tcPr>
            <w:tcW w:w="1231" w:type="dxa"/>
            <w:tcBorders>
              <w:top w:val="nil"/>
              <w:left w:val="single" w:sz="8" w:space="0" w:color="auto"/>
              <w:bottom w:val="single" w:sz="8" w:space="0" w:color="auto"/>
              <w:right w:val="single" w:sz="4" w:space="0" w:color="auto"/>
            </w:tcBorders>
            <w:shd w:val="clear" w:color="auto" w:fill="auto"/>
            <w:noWrap/>
            <w:vAlign w:val="bottom"/>
            <w:hideMark/>
          </w:tcPr>
          <w:p w14:paraId="6ABFCAF7" w14:textId="77777777" w:rsidR="00DA77A7" w:rsidRPr="00165452" w:rsidRDefault="00DA77A7" w:rsidP="00DA77A7">
            <w:pPr>
              <w:spacing w:after="0" w:line="240" w:lineRule="auto"/>
              <w:jc w:val="center"/>
              <w:rPr>
                <w:rFonts w:ascii="Calibri" w:eastAsia="Times New Roman" w:hAnsi="Calibri" w:cs="Arial"/>
                <w:sz w:val="20"/>
                <w:szCs w:val="20"/>
                <w:lang w:eastAsia="cs-CZ"/>
              </w:rPr>
            </w:pPr>
            <w:r w:rsidRPr="00165452">
              <w:rPr>
                <w:rFonts w:ascii="Calibri" w:eastAsia="Times New Roman" w:hAnsi="Calibri" w:cs="Arial"/>
                <w:sz w:val="20"/>
                <w:szCs w:val="20"/>
                <w:lang w:eastAsia="cs-CZ"/>
              </w:rPr>
              <w:t>3421</w:t>
            </w:r>
          </w:p>
        </w:tc>
        <w:tc>
          <w:tcPr>
            <w:tcW w:w="4085" w:type="dxa"/>
            <w:tcBorders>
              <w:top w:val="nil"/>
              <w:left w:val="nil"/>
              <w:bottom w:val="single" w:sz="8" w:space="0" w:color="auto"/>
              <w:right w:val="nil"/>
            </w:tcBorders>
            <w:shd w:val="clear" w:color="auto" w:fill="auto"/>
            <w:vAlign w:val="bottom"/>
            <w:hideMark/>
          </w:tcPr>
          <w:p w14:paraId="5ADA58AB" w14:textId="77777777" w:rsidR="00DA77A7" w:rsidRPr="00165452" w:rsidRDefault="00DA77A7" w:rsidP="00DA77A7">
            <w:pPr>
              <w:spacing w:after="0" w:line="240" w:lineRule="auto"/>
              <w:rPr>
                <w:rFonts w:ascii="Calibri" w:eastAsia="Times New Roman" w:hAnsi="Calibri" w:cs="Arial"/>
                <w:sz w:val="20"/>
                <w:szCs w:val="20"/>
                <w:lang w:eastAsia="cs-CZ"/>
              </w:rPr>
            </w:pPr>
            <w:r w:rsidRPr="00165452">
              <w:rPr>
                <w:rFonts w:ascii="Calibri" w:eastAsia="Times New Roman" w:hAnsi="Calibri" w:cs="Arial"/>
                <w:sz w:val="20"/>
                <w:szCs w:val="20"/>
                <w:lang w:eastAsia="cs-CZ"/>
              </w:rPr>
              <w:t>Využití volného času dětí a mládeže</w:t>
            </w:r>
          </w:p>
        </w:tc>
        <w:tc>
          <w:tcPr>
            <w:tcW w:w="1394" w:type="dxa"/>
            <w:tcBorders>
              <w:top w:val="nil"/>
              <w:left w:val="single" w:sz="4" w:space="0" w:color="auto"/>
              <w:bottom w:val="single" w:sz="8" w:space="0" w:color="auto"/>
              <w:right w:val="single" w:sz="4" w:space="0" w:color="auto"/>
            </w:tcBorders>
            <w:shd w:val="clear" w:color="auto" w:fill="auto"/>
            <w:noWrap/>
            <w:vAlign w:val="bottom"/>
            <w:hideMark/>
          </w:tcPr>
          <w:p w14:paraId="05888A64" w14:textId="77777777" w:rsidR="00DA77A7" w:rsidRPr="00165452" w:rsidRDefault="00DA77A7" w:rsidP="00DA77A7">
            <w:pPr>
              <w:spacing w:after="0" w:line="240" w:lineRule="auto"/>
              <w:jc w:val="right"/>
              <w:rPr>
                <w:rFonts w:ascii="Calibri" w:eastAsia="Times New Roman" w:hAnsi="Calibri" w:cs="Arial"/>
                <w:sz w:val="20"/>
                <w:szCs w:val="20"/>
                <w:lang w:eastAsia="cs-CZ"/>
              </w:rPr>
            </w:pPr>
            <w:r w:rsidRPr="00165452">
              <w:rPr>
                <w:rFonts w:ascii="Calibri" w:eastAsia="Times New Roman" w:hAnsi="Calibri" w:cs="Arial"/>
                <w:sz w:val="20"/>
                <w:szCs w:val="20"/>
                <w:lang w:eastAsia="cs-CZ"/>
              </w:rPr>
              <w:t>0</w:t>
            </w:r>
          </w:p>
        </w:tc>
        <w:tc>
          <w:tcPr>
            <w:tcW w:w="1671" w:type="dxa"/>
            <w:tcBorders>
              <w:top w:val="nil"/>
              <w:left w:val="nil"/>
              <w:bottom w:val="single" w:sz="8" w:space="0" w:color="auto"/>
              <w:right w:val="single" w:sz="4" w:space="0" w:color="auto"/>
            </w:tcBorders>
            <w:shd w:val="clear" w:color="auto" w:fill="auto"/>
            <w:noWrap/>
            <w:vAlign w:val="bottom"/>
            <w:hideMark/>
          </w:tcPr>
          <w:p w14:paraId="6231D1E1" w14:textId="77777777" w:rsidR="00DA77A7" w:rsidRPr="00165452" w:rsidRDefault="00DA77A7" w:rsidP="00DA77A7">
            <w:pPr>
              <w:spacing w:after="0" w:line="240" w:lineRule="auto"/>
              <w:jc w:val="right"/>
              <w:rPr>
                <w:rFonts w:ascii="Calibri" w:eastAsia="Times New Roman" w:hAnsi="Calibri" w:cs="Arial"/>
                <w:sz w:val="20"/>
                <w:szCs w:val="20"/>
                <w:lang w:eastAsia="cs-CZ"/>
              </w:rPr>
            </w:pPr>
            <w:r w:rsidRPr="00165452">
              <w:rPr>
                <w:rFonts w:ascii="Calibri" w:eastAsia="Times New Roman" w:hAnsi="Calibri" w:cs="Arial"/>
                <w:sz w:val="20"/>
                <w:szCs w:val="20"/>
                <w:lang w:eastAsia="cs-CZ"/>
              </w:rPr>
              <w:t>30 000,00</w:t>
            </w:r>
          </w:p>
        </w:tc>
        <w:tc>
          <w:tcPr>
            <w:tcW w:w="1684" w:type="dxa"/>
            <w:tcBorders>
              <w:top w:val="nil"/>
              <w:left w:val="nil"/>
              <w:bottom w:val="single" w:sz="8" w:space="0" w:color="auto"/>
              <w:right w:val="single" w:sz="4" w:space="0" w:color="auto"/>
            </w:tcBorders>
            <w:shd w:val="clear" w:color="auto" w:fill="auto"/>
            <w:noWrap/>
            <w:vAlign w:val="bottom"/>
            <w:hideMark/>
          </w:tcPr>
          <w:p w14:paraId="2C4D7D61" w14:textId="77777777" w:rsidR="00DA77A7" w:rsidRPr="00165452" w:rsidRDefault="00DA77A7" w:rsidP="00DA77A7">
            <w:pPr>
              <w:spacing w:after="0" w:line="240" w:lineRule="auto"/>
              <w:jc w:val="right"/>
              <w:rPr>
                <w:rFonts w:ascii="Calibri" w:eastAsia="Times New Roman" w:hAnsi="Calibri" w:cs="Arial"/>
                <w:sz w:val="20"/>
                <w:szCs w:val="20"/>
                <w:lang w:eastAsia="cs-CZ"/>
              </w:rPr>
            </w:pPr>
            <w:r w:rsidRPr="00165452">
              <w:rPr>
                <w:rFonts w:ascii="Calibri" w:eastAsia="Times New Roman" w:hAnsi="Calibri" w:cs="Arial"/>
                <w:sz w:val="20"/>
                <w:szCs w:val="20"/>
                <w:lang w:eastAsia="cs-CZ"/>
              </w:rPr>
              <w:t>30 000,00</w:t>
            </w:r>
          </w:p>
        </w:tc>
        <w:tc>
          <w:tcPr>
            <w:tcW w:w="576" w:type="dxa"/>
            <w:tcBorders>
              <w:top w:val="single" w:sz="4" w:space="0" w:color="auto"/>
              <w:left w:val="nil"/>
              <w:bottom w:val="single" w:sz="8" w:space="0" w:color="auto"/>
              <w:right w:val="single" w:sz="8" w:space="0" w:color="auto"/>
            </w:tcBorders>
            <w:shd w:val="clear" w:color="auto" w:fill="auto"/>
            <w:noWrap/>
            <w:vAlign w:val="bottom"/>
            <w:hideMark/>
          </w:tcPr>
          <w:p w14:paraId="33CFC782" w14:textId="77777777" w:rsidR="00DA77A7" w:rsidRPr="00165452" w:rsidRDefault="00DA77A7" w:rsidP="00DA77A7">
            <w:pPr>
              <w:spacing w:after="0" w:line="240" w:lineRule="auto"/>
              <w:jc w:val="right"/>
              <w:rPr>
                <w:rFonts w:ascii="Calibri" w:eastAsia="Times New Roman" w:hAnsi="Calibri" w:cs="Arial"/>
                <w:sz w:val="20"/>
                <w:szCs w:val="20"/>
                <w:lang w:eastAsia="cs-CZ"/>
              </w:rPr>
            </w:pPr>
            <w:r w:rsidRPr="00165452">
              <w:rPr>
                <w:rFonts w:ascii="Calibri" w:eastAsia="Times New Roman" w:hAnsi="Calibri" w:cs="Arial"/>
                <w:sz w:val="20"/>
                <w:szCs w:val="20"/>
                <w:lang w:eastAsia="cs-CZ"/>
              </w:rPr>
              <w:t>100,0</w:t>
            </w:r>
          </w:p>
        </w:tc>
      </w:tr>
      <w:tr w:rsidR="00AF5B41" w:rsidRPr="00DA77A7" w14:paraId="68BC3B55"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noWrap/>
            <w:vAlign w:val="bottom"/>
            <w:hideMark/>
          </w:tcPr>
          <w:p w14:paraId="4DCB513F" w14:textId="77777777" w:rsidR="00DA77A7" w:rsidRPr="00165452" w:rsidRDefault="00DA77A7" w:rsidP="00DA77A7">
            <w:pPr>
              <w:spacing w:after="0" w:line="240" w:lineRule="auto"/>
              <w:jc w:val="center"/>
              <w:rPr>
                <w:rFonts w:ascii="Calibri" w:eastAsia="Times New Roman" w:hAnsi="Calibri" w:cs="Arial"/>
                <w:sz w:val="20"/>
                <w:szCs w:val="20"/>
                <w:lang w:eastAsia="cs-CZ"/>
              </w:rPr>
            </w:pPr>
            <w:r w:rsidRPr="00165452">
              <w:rPr>
                <w:rFonts w:ascii="Calibri" w:eastAsia="Times New Roman" w:hAnsi="Calibri" w:cs="Arial"/>
                <w:sz w:val="20"/>
                <w:szCs w:val="20"/>
                <w:lang w:eastAsia="cs-CZ"/>
              </w:rPr>
              <w:t>3117</w:t>
            </w:r>
          </w:p>
        </w:tc>
        <w:tc>
          <w:tcPr>
            <w:tcW w:w="4085" w:type="dxa"/>
            <w:tcBorders>
              <w:top w:val="nil"/>
              <w:left w:val="nil"/>
              <w:bottom w:val="single" w:sz="4" w:space="0" w:color="auto"/>
              <w:right w:val="single" w:sz="4" w:space="0" w:color="auto"/>
            </w:tcBorders>
            <w:shd w:val="clear" w:color="auto" w:fill="auto"/>
            <w:vAlign w:val="bottom"/>
            <w:hideMark/>
          </w:tcPr>
          <w:p w14:paraId="0BF8BBA0" w14:textId="77777777" w:rsidR="00DA77A7" w:rsidRPr="00165452" w:rsidRDefault="00DA77A7" w:rsidP="00DA77A7">
            <w:pPr>
              <w:spacing w:after="0" w:line="240" w:lineRule="auto"/>
              <w:rPr>
                <w:rFonts w:ascii="Calibri" w:eastAsia="Times New Roman" w:hAnsi="Calibri" w:cs="Arial"/>
                <w:sz w:val="20"/>
                <w:szCs w:val="20"/>
                <w:lang w:eastAsia="cs-CZ"/>
              </w:rPr>
            </w:pPr>
            <w:r w:rsidRPr="00165452">
              <w:rPr>
                <w:rFonts w:ascii="Calibri" w:eastAsia="Times New Roman" w:hAnsi="Calibri" w:cs="Arial"/>
                <w:sz w:val="20"/>
                <w:szCs w:val="20"/>
                <w:lang w:eastAsia="cs-CZ"/>
              </w:rPr>
              <w:t>První stupeň základních škol - odvod na MŠMT</w:t>
            </w:r>
          </w:p>
        </w:tc>
        <w:tc>
          <w:tcPr>
            <w:tcW w:w="1394" w:type="dxa"/>
            <w:tcBorders>
              <w:top w:val="nil"/>
              <w:left w:val="nil"/>
              <w:bottom w:val="single" w:sz="4" w:space="0" w:color="auto"/>
              <w:right w:val="single" w:sz="4" w:space="0" w:color="auto"/>
            </w:tcBorders>
            <w:shd w:val="clear" w:color="auto" w:fill="auto"/>
            <w:noWrap/>
            <w:vAlign w:val="bottom"/>
            <w:hideMark/>
          </w:tcPr>
          <w:p w14:paraId="6042A584" w14:textId="77777777" w:rsidR="00DA77A7" w:rsidRPr="00165452" w:rsidRDefault="00DA77A7" w:rsidP="00DA77A7">
            <w:pPr>
              <w:spacing w:after="0" w:line="240" w:lineRule="auto"/>
              <w:jc w:val="right"/>
              <w:rPr>
                <w:rFonts w:ascii="Calibri" w:eastAsia="Times New Roman" w:hAnsi="Calibri" w:cs="Arial"/>
                <w:sz w:val="20"/>
                <w:szCs w:val="20"/>
                <w:lang w:eastAsia="cs-CZ"/>
              </w:rPr>
            </w:pPr>
            <w:r w:rsidRPr="00165452">
              <w:rPr>
                <w:rFonts w:ascii="Calibri" w:eastAsia="Times New Roman" w:hAnsi="Calibri" w:cs="Arial"/>
                <w:sz w:val="20"/>
                <w:szCs w:val="20"/>
                <w:lang w:eastAsia="cs-CZ"/>
              </w:rPr>
              <w:t>0</w:t>
            </w:r>
          </w:p>
        </w:tc>
        <w:tc>
          <w:tcPr>
            <w:tcW w:w="1671" w:type="dxa"/>
            <w:tcBorders>
              <w:top w:val="nil"/>
              <w:left w:val="nil"/>
              <w:bottom w:val="single" w:sz="4" w:space="0" w:color="auto"/>
              <w:right w:val="single" w:sz="4" w:space="0" w:color="auto"/>
            </w:tcBorders>
            <w:shd w:val="clear" w:color="auto" w:fill="auto"/>
            <w:noWrap/>
            <w:vAlign w:val="bottom"/>
            <w:hideMark/>
          </w:tcPr>
          <w:p w14:paraId="77D4A239" w14:textId="77777777" w:rsidR="00DA77A7" w:rsidRPr="00165452" w:rsidRDefault="00DA77A7" w:rsidP="00DA77A7">
            <w:pPr>
              <w:spacing w:after="0" w:line="240" w:lineRule="auto"/>
              <w:jc w:val="right"/>
              <w:rPr>
                <w:rFonts w:ascii="Calibri" w:eastAsia="Times New Roman" w:hAnsi="Calibri" w:cs="Arial"/>
                <w:sz w:val="20"/>
                <w:szCs w:val="20"/>
                <w:lang w:eastAsia="cs-CZ"/>
              </w:rPr>
            </w:pPr>
            <w:r w:rsidRPr="00165452">
              <w:rPr>
                <w:rFonts w:ascii="Calibri" w:eastAsia="Times New Roman" w:hAnsi="Calibri" w:cs="Arial"/>
                <w:sz w:val="20"/>
                <w:szCs w:val="20"/>
                <w:lang w:eastAsia="cs-CZ"/>
              </w:rPr>
              <w:t>466 679,00</w:t>
            </w:r>
          </w:p>
        </w:tc>
        <w:tc>
          <w:tcPr>
            <w:tcW w:w="1684" w:type="dxa"/>
            <w:tcBorders>
              <w:top w:val="nil"/>
              <w:left w:val="nil"/>
              <w:bottom w:val="single" w:sz="4" w:space="0" w:color="auto"/>
              <w:right w:val="single" w:sz="4" w:space="0" w:color="auto"/>
            </w:tcBorders>
            <w:shd w:val="clear" w:color="auto" w:fill="auto"/>
            <w:noWrap/>
            <w:vAlign w:val="bottom"/>
            <w:hideMark/>
          </w:tcPr>
          <w:p w14:paraId="33606CC7" w14:textId="77777777" w:rsidR="00DA77A7" w:rsidRPr="00165452" w:rsidRDefault="00DA77A7" w:rsidP="00DA77A7">
            <w:pPr>
              <w:spacing w:after="0" w:line="240" w:lineRule="auto"/>
              <w:jc w:val="right"/>
              <w:rPr>
                <w:rFonts w:ascii="Calibri" w:eastAsia="Times New Roman" w:hAnsi="Calibri" w:cs="Arial"/>
                <w:sz w:val="20"/>
                <w:szCs w:val="20"/>
                <w:lang w:eastAsia="cs-CZ"/>
              </w:rPr>
            </w:pPr>
            <w:r w:rsidRPr="00165452">
              <w:rPr>
                <w:rFonts w:ascii="Calibri" w:eastAsia="Times New Roman" w:hAnsi="Calibri" w:cs="Arial"/>
                <w:sz w:val="20"/>
                <w:szCs w:val="20"/>
                <w:lang w:eastAsia="cs-CZ"/>
              </w:rPr>
              <w:t>466 679,00</w:t>
            </w:r>
          </w:p>
        </w:tc>
        <w:tc>
          <w:tcPr>
            <w:tcW w:w="576" w:type="dxa"/>
            <w:tcBorders>
              <w:top w:val="nil"/>
              <w:left w:val="nil"/>
              <w:bottom w:val="single" w:sz="4" w:space="0" w:color="auto"/>
              <w:right w:val="single" w:sz="8" w:space="0" w:color="auto"/>
            </w:tcBorders>
            <w:shd w:val="clear" w:color="auto" w:fill="auto"/>
            <w:noWrap/>
            <w:vAlign w:val="bottom"/>
            <w:hideMark/>
          </w:tcPr>
          <w:p w14:paraId="1539E2BD" w14:textId="77777777" w:rsidR="00DA77A7" w:rsidRPr="00165452" w:rsidRDefault="00DA77A7" w:rsidP="00DA77A7">
            <w:pPr>
              <w:spacing w:after="0" w:line="240" w:lineRule="auto"/>
              <w:jc w:val="right"/>
              <w:rPr>
                <w:rFonts w:ascii="Calibri" w:eastAsia="Times New Roman" w:hAnsi="Calibri" w:cs="Arial"/>
                <w:sz w:val="20"/>
                <w:szCs w:val="20"/>
                <w:lang w:eastAsia="cs-CZ"/>
              </w:rPr>
            </w:pPr>
            <w:r w:rsidRPr="00165452">
              <w:rPr>
                <w:rFonts w:ascii="Calibri" w:eastAsia="Times New Roman" w:hAnsi="Calibri" w:cs="Arial"/>
                <w:sz w:val="20"/>
                <w:szCs w:val="20"/>
                <w:lang w:eastAsia="cs-CZ"/>
              </w:rPr>
              <w:t>100,0</w:t>
            </w:r>
          </w:p>
        </w:tc>
      </w:tr>
      <w:tr w:rsidR="00AF5B41" w:rsidRPr="00DA77A7" w14:paraId="1E502092" w14:textId="77777777" w:rsidTr="0042584A">
        <w:trPr>
          <w:trHeight w:val="104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183D2172" w14:textId="77777777" w:rsidR="00DA77A7" w:rsidRPr="00165452" w:rsidRDefault="00DA77A7" w:rsidP="00DA77A7">
            <w:pPr>
              <w:spacing w:after="0" w:line="240" w:lineRule="auto"/>
              <w:jc w:val="center"/>
              <w:rPr>
                <w:rFonts w:ascii="Calibri" w:eastAsia="Times New Roman" w:hAnsi="Calibri" w:cs="Arial"/>
                <w:sz w:val="19"/>
                <w:szCs w:val="19"/>
                <w:lang w:eastAsia="cs-CZ"/>
              </w:rPr>
            </w:pPr>
            <w:r w:rsidRPr="00165452">
              <w:rPr>
                <w:rFonts w:ascii="Calibri" w:eastAsia="Times New Roman" w:hAnsi="Calibri" w:cs="Arial"/>
                <w:sz w:val="19"/>
                <w:szCs w:val="19"/>
                <w:lang w:eastAsia="cs-CZ"/>
              </w:rPr>
              <w:t>3269</w:t>
            </w:r>
          </w:p>
        </w:tc>
        <w:tc>
          <w:tcPr>
            <w:tcW w:w="4085" w:type="dxa"/>
            <w:tcBorders>
              <w:top w:val="nil"/>
              <w:left w:val="nil"/>
              <w:bottom w:val="single" w:sz="4" w:space="0" w:color="auto"/>
              <w:right w:val="single" w:sz="4" w:space="0" w:color="auto"/>
            </w:tcBorders>
            <w:shd w:val="clear" w:color="auto" w:fill="auto"/>
            <w:vAlign w:val="bottom"/>
            <w:hideMark/>
          </w:tcPr>
          <w:p w14:paraId="7C38C5A9" w14:textId="77777777" w:rsidR="00DA77A7" w:rsidRPr="00165452" w:rsidRDefault="00DA77A7" w:rsidP="00DA77A7">
            <w:pPr>
              <w:spacing w:after="0" w:line="240" w:lineRule="auto"/>
              <w:rPr>
                <w:rFonts w:ascii="Calibri" w:eastAsia="Times New Roman" w:hAnsi="Calibri" w:cs="Arial"/>
                <w:sz w:val="20"/>
                <w:szCs w:val="20"/>
                <w:lang w:eastAsia="cs-CZ"/>
              </w:rPr>
            </w:pPr>
            <w:r w:rsidRPr="00165452">
              <w:rPr>
                <w:rFonts w:ascii="Calibri" w:eastAsia="Times New Roman" w:hAnsi="Calibri" w:cs="Arial"/>
                <w:sz w:val="20"/>
                <w:szCs w:val="20"/>
                <w:lang w:eastAsia="cs-CZ"/>
              </w:rPr>
              <w:t>Převody domněle neoprávněně použitých dotací zpět poskytovateli - vratky na základě výzvy</w:t>
            </w:r>
          </w:p>
        </w:tc>
        <w:tc>
          <w:tcPr>
            <w:tcW w:w="1394" w:type="dxa"/>
            <w:tcBorders>
              <w:top w:val="nil"/>
              <w:left w:val="nil"/>
              <w:bottom w:val="single" w:sz="4" w:space="0" w:color="auto"/>
              <w:right w:val="single" w:sz="4" w:space="0" w:color="auto"/>
            </w:tcBorders>
            <w:shd w:val="clear" w:color="auto" w:fill="auto"/>
            <w:noWrap/>
            <w:vAlign w:val="bottom"/>
            <w:hideMark/>
          </w:tcPr>
          <w:p w14:paraId="2903EDE4" w14:textId="77777777" w:rsidR="00DA77A7" w:rsidRPr="00165452" w:rsidRDefault="00DA77A7" w:rsidP="00DA77A7">
            <w:pPr>
              <w:spacing w:after="0" w:line="240" w:lineRule="auto"/>
              <w:jc w:val="right"/>
              <w:rPr>
                <w:rFonts w:ascii="Calibri" w:eastAsia="Times New Roman" w:hAnsi="Calibri" w:cs="Arial"/>
                <w:sz w:val="20"/>
                <w:szCs w:val="20"/>
                <w:lang w:eastAsia="cs-CZ"/>
              </w:rPr>
            </w:pPr>
            <w:r w:rsidRPr="00165452">
              <w:rPr>
                <w:rFonts w:ascii="Calibri" w:eastAsia="Times New Roman" w:hAnsi="Calibri" w:cs="Arial"/>
                <w:sz w:val="20"/>
                <w:szCs w:val="20"/>
                <w:lang w:eastAsia="cs-CZ"/>
              </w:rPr>
              <w:t>0</w:t>
            </w:r>
          </w:p>
        </w:tc>
        <w:tc>
          <w:tcPr>
            <w:tcW w:w="1671" w:type="dxa"/>
            <w:tcBorders>
              <w:top w:val="nil"/>
              <w:left w:val="nil"/>
              <w:bottom w:val="single" w:sz="4" w:space="0" w:color="auto"/>
              <w:right w:val="single" w:sz="4" w:space="0" w:color="auto"/>
            </w:tcBorders>
            <w:shd w:val="clear" w:color="000000" w:fill="FFFFFF"/>
            <w:noWrap/>
            <w:vAlign w:val="bottom"/>
            <w:hideMark/>
          </w:tcPr>
          <w:p w14:paraId="16CA034C" w14:textId="77777777" w:rsidR="00DA77A7" w:rsidRPr="00165452" w:rsidRDefault="00DA77A7" w:rsidP="00DA77A7">
            <w:pPr>
              <w:spacing w:after="0" w:line="240" w:lineRule="auto"/>
              <w:jc w:val="right"/>
              <w:rPr>
                <w:rFonts w:ascii="Calibri" w:eastAsia="Times New Roman" w:hAnsi="Calibri" w:cs="Arial"/>
                <w:sz w:val="20"/>
                <w:szCs w:val="20"/>
                <w:lang w:eastAsia="cs-CZ"/>
              </w:rPr>
            </w:pPr>
            <w:r w:rsidRPr="00165452">
              <w:rPr>
                <w:rFonts w:ascii="Calibri" w:eastAsia="Times New Roman" w:hAnsi="Calibri" w:cs="Arial"/>
                <w:sz w:val="20"/>
                <w:szCs w:val="20"/>
                <w:lang w:eastAsia="cs-CZ"/>
              </w:rPr>
              <w:t>232 130,03</w:t>
            </w:r>
          </w:p>
        </w:tc>
        <w:tc>
          <w:tcPr>
            <w:tcW w:w="1684" w:type="dxa"/>
            <w:tcBorders>
              <w:top w:val="nil"/>
              <w:left w:val="nil"/>
              <w:bottom w:val="single" w:sz="4" w:space="0" w:color="auto"/>
              <w:right w:val="single" w:sz="4" w:space="0" w:color="auto"/>
            </w:tcBorders>
            <w:shd w:val="clear" w:color="000000" w:fill="FFFFFF"/>
            <w:noWrap/>
            <w:vAlign w:val="bottom"/>
            <w:hideMark/>
          </w:tcPr>
          <w:p w14:paraId="5EED2850" w14:textId="77777777" w:rsidR="00DA77A7" w:rsidRPr="00165452" w:rsidRDefault="00DA77A7" w:rsidP="00DA77A7">
            <w:pPr>
              <w:spacing w:after="0" w:line="240" w:lineRule="auto"/>
              <w:jc w:val="right"/>
              <w:rPr>
                <w:rFonts w:ascii="Calibri" w:eastAsia="Times New Roman" w:hAnsi="Calibri" w:cs="Arial"/>
                <w:sz w:val="20"/>
                <w:szCs w:val="20"/>
                <w:lang w:eastAsia="cs-CZ"/>
              </w:rPr>
            </w:pPr>
            <w:r w:rsidRPr="00165452">
              <w:rPr>
                <w:rFonts w:ascii="Calibri" w:eastAsia="Times New Roman" w:hAnsi="Calibri" w:cs="Arial"/>
                <w:sz w:val="20"/>
                <w:szCs w:val="20"/>
                <w:lang w:eastAsia="cs-CZ"/>
              </w:rPr>
              <w:t>232 130,03</w:t>
            </w:r>
          </w:p>
        </w:tc>
        <w:tc>
          <w:tcPr>
            <w:tcW w:w="576" w:type="dxa"/>
            <w:tcBorders>
              <w:top w:val="nil"/>
              <w:left w:val="nil"/>
              <w:bottom w:val="single" w:sz="4" w:space="0" w:color="auto"/>
              <w:right w:val="single" w:sz="8" w:space="0" w:color="auto"/>
            </w:tcBorders>
            <w:shd w:val="clear" w:color="auto" w:fill="auto"/>
            <w:noWrap/>
            <w:vAlign w:val="bottom"/>
            <w:hideMark/>
          </w:tcPr>
          <w:p w14:paraId="4B307D9F" w14:textId="77777777" w:rsidR="00DA77A7" w:rsidRPr="00165452" w:rsidRDefault="00DA77A7" w:rsidP="00DA77A7">
            <w:pPr>
              <w:spacing w:after="0" w:line="240" w:lineRule="auto"/>
              <w:jc w:val="right"/>
              <w:rPr>
                <w:rFonts w:ascii="Calibri" w:eastAsia="Times New Roman" w:hAnsi="Calibri" w:cs="Arial"/>
                <w:sz w:val="20"/>
                <w:szCs w:val="20"/>
                <w:lang w:eastAsia="cs-CZ"/>
              </w:rPr>
            </w:pPr>
            <w:r w:rsidRPr="00165452">
              <w:rPr>
                <w:rFonts w:ascii="Calibri" w:eastAsia="Times New Roman" w:hAnsi="Calibri" w:cs="Arial"/>
                <w:sz w:val="20"/>
                <w:szCs w:val="20"/>
                <w:lang w:eastAsia="cs-CZ"/>
              </w:rPr>
              <w:t>100,0</w:t>
            </w:r>
          </w:p>
        </w:tc>
      </w:tr>
      <w:tr w:rsidR="00AF5B41" w:rsidRPr="00DA77A7" w14:paraId="7824930F" w14:textId="77777777" w:rsidTr="0042584A">
        <w:trPr>
          <w:trHeight w:val="300"/>
        </w:trPr>
        <w:tc>
          <w:tcPr>
            <w:tcW w:w="1231" w:type="dxa"/>
            <w:tcBorders>
              <w:top w:val="nil"/>
              <w:left w:val="single" w:sz="8" w:space="0" w:color="auto"/>
              <w:bottom w:val="single" w:sz="8" w:space="0" w:color="auto"/>
              <w:right w:val="single" w:sz="4" w:space="0" w:color="auto"/>
            </w:tcBorders>
            <w:shd w:val="clear" w:color="auto" w:fill="auto"/>
            <w:vAlign w:val="bottom"/>
            <w:hideMark/>
          </w:tcPr>
          <w:p w14:paraId="02FE326C" w14:textId="77777777" w:rsidR="00DA77A7" w:rsidRPr="00165452" w:rsidRDefault="00DA77A7" w:rsidP="00DA77A7">
            <w:pPr>
              <w:spacing w:after="0" w:line="240" w:lineRule="auto"/>
              <w:jc w:val="center"/>
              <w:rPr>
                <w:rFonts w:ascii="Calibri" w:eastAsia="Times New Roman" w:hAnsi="Calibri" w:cs="Arial"/>
                <w:sz w:val="20"/>
                <w:szCs w:val="20"/>
                <w:lang w:eastAsia="cs-CZ"/>
              </w:rPr>
            </w:pPr>
            <w:r w:rsidRPr="00165452">
              <w:rPr>
                <w:rFonts w:ascii="Calibri" w:eastAsia="Times New Roman" w:hAnsi="Calibri" w:cs="Arial"/>
                <w:sz w:val="20"/>
                <w:szCs w:val="20"/>
                <w:lang w:eastAsia="cs-CZ"/>
              </w:rPr>
              <w:t>5213</w:t>
            </w:r>
          </w:p>
        </w:tc>
        <w:tc>
          <w:tcPr>
            <w:tcW w:w="4085" w:type="dxa"/>
            <w:tcBorders>
              <w:top w:val="nil"/>
              <w:left w:val="nil"/>
              <w:bottom w:val="single" w:sz="8" w:space="0" w:color="auto"/>
              <w:right w:val="single" w:sz="4" w:space="0" w:color="auto"/>
            </w:tcBorders>
            <w:shd w:val="clear" w:color="auto" w:fill="auto"/>
            <w:vAlign w:val="bottom"/>
            <w:hideMark/>
          </w:tcPr>
          <w:p w14:paraId="6CE1013E" w14:textId="77777777" w:rsidR="00DA77A7" w:rsidRPr="00165452" w:rsidRDefault="00DA77A7" w:rsidP="00DA77A7">
            <w:pPr>
              <w:spacing w:after="0" w:line="240" w:lineRule="auto"/>
              <w:rPr>
                <w:rFonts w:ascii="Calibri" w:eastAsia="Times New Roman" w:hAnsi="Calibri" w:cs="Arial"/>
                <w:sz w:val="20"/>
                <w:szCs w:val="20"/>
                <w:lang w:eastAsia="cs-CZ"/>
              </w:rPr>
            </w:pPr>
            <w:r w:rsidRPr="00165452">
              <w:rPr>
                <w:rFonts w:ascii="Calibri" w:eastAsia="Times New Roman" w:hAnsi="Calibri" w:cs="Arial"/>
                <w:sz w:val="20"/>
                <w:szCs w:val="20"/>
                <w:lang w:eastAsia="cs-CZ"/>
              </w:rPr>
              <w:t>Krizová opatření</w:t>
            </w:r>
          </w:p>
        </w:tc>
        <w:tc>
          <w:tcPr>
            <w:tcW w:w="1394" w:type="dxa"/>
            <w:tcBorders>
              <w:top w:val="nil"/>
              <w:left w:val="nil"/>
              <w:bottom w:val="single" w:sz="8" w:space="0" w:color="auto"/>
              <w:right w:val="single" w:sz="4" w:space="0" w:color="auto"/>
            </w:tcBorders>
            <w:shd w:val="clear" w:color="auto" w:fill="auto"/>
            <w:noWrap/>
            <w:vAlign w:val="bottom"/>
            <w:hideMark/>
          </w:tcPr>
          <w:p w14:paraId="0EF9A795" w14:textId="77777777" w:rsidR="00DA77A7" w:rsidRPr="00165452" w:rsidRDefault="00DA77A7" w:rsidP="00DA77A7">
            <w:pPr>
              <w:spacing w:after="0" w:line="240" w:lineRule="auto"/>
              <w:jc w:val="right"/>
              <w:rPr>
                <w:rFonts w:ascii="Calibri" w:eastAsia="Times New Roman" w:hAnsi="Calibri" w:cs="Arial"/>
                <w:sz w:val="20"/>
                <w:szCs w:val="20"/>
                <w:lang w:eastAsia="cs-CZ"/>
              </w:rPr>
            </w:pPr>
            <w:r w:rsidRPr="00165452">
              <w:rPr>
                <w:rFonts w:ascii="Calibri" w:eastAsia="Times New Roman" w:hAnsi="Calibri" w:cs="Arial"/>
                <w:sz w:val="20"/>
                <w:szCs w:val="20"/>
                <w:lang w:eastAsia="cs-CZ"/>
              </w:rPr>
              <w:t>0</w:t>
            </w:r>
          </w:p>
        </w:tc>
        <w:tc>
          <w:tcPr>
            <w:tcW w:w="1671" w:type="dxa"/>
            <w:tcBorders>
              <w:top w:val="nil"/>
              <w:left w:val="nil"/>
              <w:bottom w:val="single" w:sz="8" w:space="0" w:color="auto"/>
              <w:right w:val="single" w:sz="4" w:space="0" w:color="auto"/>
            </w:tcBorders>
            <w:shd w:val="clear" w:color="auto" w:fill="auto"/>
            <w:noWrap/>
            <w:vAlign w:val="bottom"/>
            <w:hideMark/>
          </w:tcPr>
          <w:p w14:paraId="1A9EB382" w14:textId="77777777" w:rsidR="00DA77A7" w:rsidRPr="00165452" w:rsidRDefault="00DA77A7" w:rsidP="00DA77A7">
            <w:pPr>
              <w:spacing w:after="0" w:line="240" w:lineRule="auto"/>
              <w:jc w:val="right"/>
              <w:rPr>
                <w:rFonts w:ascii="Calibri" w:eastAsia="Times New Roman" w:hAnsi="Calibri" w:cs="Arial"/>
                <w:sz w:val="20"/>
                <w:szCs w:val="20"/>
                <w:lang w:eastAsia="cs-CZ"/>
              </w:rPr>
            </w:pPr>
            <w:r w:rsidRPr="00165452">
              <w:rPr>
                <w:rFonts w:ascii="Calibri" w:eastAsia="Times New Roman" w:hAnsi="Calibri" w:cs="Arial"/>
                <w:sz w:val="20"/>
                <w:szCs w:val="20"/>
                <w:lang w:eastAsia="cs-CZ"/>
              </w:rPr>
              <w:t>5 000 000,00</w:t>
            </w:r>
          </w:p>
        </w:tc>
        <w:tc>
          <w:tcPr>
            <w:tcW w:w="1684" w:type="dxa"/>
            <w:tcBorders>
              <w:top w:val="nil"/>
              <w:left w:val="nil"/>
              <w:bottom w:val="single" w:sz="8" w:space="0" w:color="auto"/>
              <w:right w:val="single" w:sz="4" w:space="0" w:color="auto"/>
            </w:tcBorders>
            <w:shd w:val="clear" w:color="auto" w:fill="auto"/>
            <w:noWrap/>
            <w:vAlign w:val="bottom"/>
            <w:hideMark/>
          </w:tcPr>
          <w:p w14:paraId="5559346D" w14:textId="77777777" w:rsidR="00DA77A7" w:rsidRPr="00165452" w:rsidRDefault="00DA77A7" w:rsidP="00DA77A7">
            <w:pPr>
              <w:spacing w:after="0" w:line="240" w:lineRule="auto"/>
              <w:jc w:val="right"/>
              <w:rPr>
                <w:rFonts w:ascii="Calibri" w:eastAsia="Times New Roman" w:hAnsi="Calibri" w:cs="Arial"/>
                <w:sz w:val="20"/>
                <w:szCs w:val="20"/>
                <w:lang w:eastAsia="cs-CZ"/>
              </w:rPr>
            </w:pPr>
            <w:r w:rsidRPr="00165452">
              <w:rPr>
                <w:rFonts w:ascii="Calibri" w:eastAsia="Times New Roman" w:hAnsi="Calibri" w:cs="Arial"/>
                <w:sz w:val="20"/>
                <w:szCs w:val="20"/>
                <w:lang w:eastAsia="cs-CZ"/>
              </w:rPr>
              <w:t>91 200,00</w:t>
            </w:r>
          </w:p>
        </w:tc>
        <w:tc>
          <w:tcPr>
            <w:tcW w:w="576" w:type="dxa"/>
            <w:tcBorders>
              <w:top w:val="nil"/>
              <w:left w:val="nil"/>
              <w:bottom w:val="single" w:sz="8" w:space="0" w:color="auto"/>
              <w:right w:val="single" w:sz="8" w:space="0" w:color="auto"/>
            </w:tcBorders>
            <w:shd w:val="clear" w:color="auto" w:fill="auto"/>
            <w:noWrap/>
            <w:vAlign w:val="bottom"/>
            <w:hideMark/>
          </w:tcPr>
          <w:p w14:paraId="5A3D2E42" w14:textId="77777777" w:rsidR="00DA77A7" w:rsidRPr="00165452" w:rsidRDefault="00DA77A7" w:rsidP="00DA77A7">
            <w:pPr>
              <w:spacing w:after="0" w:line="240" w:lineRule="auto"/>
              <w:jc w:val="right"/>
              <w:rPr>
                <w:rFonts w:ascii="Calibri" w:eastAsia="Times New Roman" w:hAnsi="Calibri" w:cs="Arial"/>
                <w:sz w:val="20"/>
                <w:szCs w:val="20"/>
                <w:lang w:eastAsia="cs-CZ"/>
              </w:rPr>
            </w:pPr>
            <w:r w:rsidRPr="00165452">
              <w:rPr>
                <w:rFonts w:ascii="Calibri" w:eastAsia="Times New Roman" w:hAnsi="Calibri" w:cs="Arial"/>
                <w:sz w:val="20"/>
                <w:szCs w:val="20"/>
                <w:lang w:eastAsia="cs-CZ"/>
              </w:rPr>
              <w:t>1,8</w:t>
            </w:r>
          </w:p>
        </w:tc>
      </w:tr>
      <w:tr w:rsidR="00AF5B41" w:rsidRPr="00DA77A7" w14:paraId="631A1C64" w14:textId="77777777" w:rsidTr="0042584A">
        <w:trPr>
          <w:trHeight w:val="320"/>
        </w:trPr>
        <w:tc>
          <w:tcPr>
            <w:tcW w:w="1231" w:type="dxa"/>
            <w:tcBorders>
              <w:top w:val="nil"/>
              <w:left w:val="single" w:sz="8" w:space="0" w:color="auto"/>
              <w:bottom w:val="single" w:sz="8" w:space="0" w:color="auto"/>
              <w:right w:val="single" w:sz="4" w:space="0" w:color="auto"/>
            </w:tcBorders>
            <w:shd w:val="clear" w:color="auto" w:fill="auto"/>
            <w:noWrap/>
            <w:vAlign w:val="bottom"/>
            <w:hideMark/>
          </w:tcPr>
          <w:p w14:paraId="2E2A94AC" w14:textId="77777777" w:rsidR="00DA77A7" w:rsidRPr="00DA77A7" w:rsidRDefault="00DA77A7" w:rsidP="00DA77A7">
            <w:pPr>
              <w:spacing w:after="0" w:line="240" w:lineRule="auto"/>
              <w:jc w:val="center"/>
              <w:rPr>
                <w:rFonts w:ascii="Calibri" w:eastAsia="Times New Roman" w:hAnsi="Calibri" w:cs="Arial"/>
                <w:b/>
                <w:bCs/>
                <w:sz w:val="24"/>
                <w:szCs w:val="24"/>
                <w:lang w:eastAsia="cs-CZ"/>
              </w:rPr>
            </w:pPr>
            <w:r w:rsidRPr="00DA77A7">
              <w:rPr>
                <w:rFonts w:ascii="Calibri" w:eastAsia="Times New Roman" w:hAnsi="Calibri" w:cs="Arial"/>
                <w:b/>
                <w:bCs/>
                <w:sz w:val="24"/>
                <w:szCs w:val="24"/>
                <w:lang w:eastAsia="cs-CZ"/>
              </w:rPr>
              <w:t> </w:t>
            </w:r>
          </w:p>
        </w:tc>
        <w:tc>
          <w:tcPr>
            <w:tcW w:w="4085" w:type="dxa"/>
            <w:tcBorders>
              <w:top w:val="nil"/>
              <w:left w:val="nil"/>
              <w:bottom w:val="single" w:sz="8" w:space="0" w:color="auto"/>
              <w:right w:val="single" w:sz="4" w:space="0" w:color="auto"/>
            </w:tcBorders>
            <w:shd w:val="clear" w:color="auto" w:fill="auto"/>
            <w:noWrap/>
            <w:vAlign w:val="bottom"/>
            <w:hideMark/>
          </w:tcPr>
          <w:p w14:paraId="32964574" w14:textId="77777777" w:rsidR="00DA77A7" w:rsidRPr="00DA77A7" w:rsidRDefault="00DA77A7" w:rsidP="00DA77A7">
            <w:pPr>
              <w:spacing w:after="0" w:line="240" w:lineRule="auto"/>
              <w:rPr>
                <w:rFonts w:ascii="Calibri" w:eastAsia="Times New Roman" w:hAnsi="Calibri" w:cs="Arial"/>
                <w:b/>
                <w:bCs/>
                <w:lang w:eastAsia="cs-CZ"/>
              </w:rPr>
            </w:pPr>
            <w:r w:rsidRPr="00DA77A7">
              <w:rPr>
                <w:rFonts w:ascii="Calibri" w:eastAsia="Times New Roman" w:hAnsi="Calibri" w:cs="Arial"/>
                <w:b/>
                <w:bCs/>
                <w:lang w:eastAsia="cs-CZ"/>
              </w:rPr>
              <w:t>Celkem</w:t>
            </w:r>
          </w:p>
        </w:tc>
        <w:tc>
          <w:tcPr>
            <w:tcW w:w="1394" w:type="dxa"/>
            <w:tcBorders>
              <w:top w:val="nil"/>
              <w:left w:val="nil"/>
              <w:bottom w:val="single" w:sz="8" w:space="0" w:color="auto"/>
              <w:right w:val="single" w:sz="4" w:space="0" w:color="auto"/>
            </w:tcBorders>
            <w:shd w:val="clear" w:color="auto" w:fill="auto"/>
            <w:noWrap/>
            <w:vAlign w:val="bottom"/>
            <w:hideMark/>
          </w:tcPr>
          <w:p w14:paraId="49F34B1B" w14:textId="77777777" w:rsidR="00DA77A7" w:rsidRPr="00DA77A7" w:rsidRDefault="00DA77A7" w:rsidP="00DA77A7">
            <w:pPr>
              <w:spacing w:after="0" w:line="240" w:lineRule="auto"/>
              <w:jc w:val="right"/>
              <w:rPr>
                <w:rFonts w:ascii="Calibri" w:eastAsia="Times New Roman" w:hAnsi="Calibri" w:cs="Arial"/>
                <w:b/>
                <w:bCs/>
                <w:lang w:eastAsia="cs-CZ"/>
              </w:rPr>
            </w:pPr>
            <w:r w:rsidRPr="00DA77A7">
              <w:rPr>
                <w:rFonts w:ascii="Calibri" w:eastAsia="Times New Roman" w:hAnsi="Calibri" w:cs="Arial"/>
                <w:b/>
                <w:bCs/>
                <w:lang w:eastAsia="cs-CZ"/>
              </w:rPr>
              <w:t>592 720 000</w:t>
            </w:r>
          </w:p>
        </w:tc>
        <w:tc>
          <w:tcPr>
            <w:tcW w:w="1671" w:type="dxa"/>
            <w:tcBorders>
              <w:top w:val="nil"/>
              <w:left w:val="nil"/>
              <w:bottom w:val="single" w:sz="8" w:space="0" w:color="auto"/>
              <w:right w:val="single" w:sz="4" w:space="0" w:color="auto"/>
            </w:tcBorders>
            <w:shd w:val="clear" w:color="auto" w:fill="auto"/>
            <w:noWrap/>
            <w:vAlign w:val="bottom"/>
            <w:hideMark/>
          </w:tcPr>
          <w:p w14:paraId="15952E17" w14:textId="77777777" w:rsidR="00DA77A7" w:rsidRPr="00DA77A7" w:rsidRDefault="00DA77A7" w:rsidP="00DA77A7">
            <w:pPr>
              <w:spacing w:after="0" w:line="240" w:lineRule="auto"/>
              <w:jc w:val="right"/>
              <w:rPr>
                <w:rFonts w:ascii="Calibri" w:eastAsia="Times New Roman" w:hAnsi="Calibri" w:cs="Arial"/>
                <w:b/>
                <w:bCs/>
                <w:lang w:eastAsia="cs-CZ"/>
              </w:rPr>
            </w:pPr>
            <w:r w:rsidRPr="00DA77A7">
              <w:rPr>
                <w:rFonts w:ascii="Calibri" w:eastAsia="Times New Roman" w:hAnsi="Calibri" w:cs="Arial"/>
                <w:b/>
                <w:bCs/>
                <w:lang w:eastAsia="cs-CZ"/>
              </w:rPr>
              <w:t>743 548 775,62</w:t>
            </w:r>
          </w:p>
        </w:tc>
        <w:tc>
          <w:tcPr>
            <w:tcW w:w="1684" w:type="dxa"/>
            <w:tcBorders>
              <w:top w:val="nil"/>
              <w:left w:val="nil"/>
              <w:bottom w:val="single" w:sz="8" w:space="0" w:color="auto"/>
              <w:right w:val="single" w:sz="4" w:space="0" w:color="auto"/>
            </w:tcBorders>
            <w:shd w:val="clear" w:color="auto" w:fill="auto"/>
            <w:noWrap/>
            <w:vAlign w:val="bottom"/>
            <w:hideMark/>
          </w:tcPr>
          <w:p w14:paraId="1715F5AF" w14:textId="77777777" w:rsidR="00DA77A7" w:rsidRPr="00DA77A7" w:rsidRDefault="00DA77A7" w:rsidP="00DA77A7">
            <w:pPr>
              <w:spacing w:after="0" w:line="240" w:lineRule="auto"/>
              <w:jc w:val="right"/>
              <w:rPr>
                <w:rFonts w:ascii="Calibri" w:eastAsia="Times New Roman" w:hAnsi="Calibri" w:cs="Arial"/>
                <w:b/>
                <w:bCs/>
                <w:lang w:eastAsia="cs-CZ"/>
              </w:rPr>
            </w:pPr>
            <w:r w:rsidRPr="00DA77A7">
              <w:rPr>
                <w:rFonts w:ascii="Calibri" w:eastAsia="Times New Roman" w:hAnsi="Calibri" w:cs="Arial"/>
                <w:b/>
                <w:bCs/>
                <w:lang w:eastAsia="cs-CZ"/>
              </w:rPr>
              <w:t>702 843 085,57</w:t>
            </w:r>
          </w:p>
        </w:tc>
        <w:tc>
          <w:tcPr>
            <w:tcW w:w="576" w:type="dxa"/>
            <w:tcBorders>
              <w:top w:val="nil"/>
              <w:left w:val="nil"/>
              <w:bottom w:val="single" w:sz="8" w:space="0" w:color="auto"/>
              <w:right w:val="single" w:sz="8" w:space="0" w:color="auto"/>
            </w:tcBorders>
            <w:shd w:val="clear" w:color="auto" w:fill="auto"/>
            <w:noWrap/>
            <w:vAlign w:val="bottom"/>
            <w:hideMark/>
          </w:tcPr>
          <w:p w14:paraId="407EFF6F" w14:textId="77777777" w:rsidR="00DA77A7" w:rsidRPr="00DA77A7" w:rsidRDefault="00DA77A7" w:rsidP="00DA77A7">
            <w:pPr>
              <w:spacing w:after="0" w:line="240" w:lineRule="auto"/>
              <w:jc w:val="right"/>
              <w:rPr>
                <w:rFonts w:ascii="Calibri" w:eastAsia="Times New Roman" w:hAnsi="Calibri" w:cs="Arial"/>
                <w:b/>
                <w:bCs/>
                <w:lang w:eastAsia="cs-CZ"/>
              </w:rPr>
            </w:pPr>
            <w:r w:rsidRPr="00DA77A7">
              <w:rPr>
                <w:rFonts w:ascii="Calibri" w:eastAsia="Times New Roman" w:hAnsi="Calibri" w:cs="Arial"/>
                <w:b/>
                <w:bCs/>
                <w:lang w:eastAsia="cs-CZ"/>
              </w:rPr>
              <w:t>94,5</w:t>
            </w:r>
          </w:p>
        </w:tc>
      </w:tr>
      <w:tr w:rsidR="00AF5B41" w:rsidRPr="00DA77A7" w14:paraId="006EC216" w14:textId="77777777" w:rsidTr="0042584A">
        <w:trPr>
          <w:trHeight w:val="300"/>
        </w:trPr>
        <w:tc>
          <w:tcPr>
            <w:tcW w:w="1231" w:type="dxa"/>
            <w:tcBorders>
              <w:top w:val="nil"/>
              <w:left w:val="nil"/>
              <w:bottom w:val="nil"/>
              <w:right w:val="nil"/>
            </w:tcBorders>
            <w:shd w:val="clear" w:color="auto" w:fill="auto"/>
            <w:noWrap/>
            <w:vAlign w:val="bottom"/>
            <w:hideMark/>
          </w:tcPr>
          <w:p w14:paraId="7BC004B6" w14:textId="77777777" w:rsidR="00DA77A7" w:rsidRPr="00DA77A7" w:rsidRDefault="00DA77A7" w:rsidP="00DA77A7">
            <w:pPr>
              <w:spacing w:after="0" w:line="240" w:lineRule="auto"/>
              <w:jc w:val="right"/>
              <w:rPr>
                <w:rFonts w:ascii="Calibri" w:eastAsia="Times New Roman" w:hAnsi="Calibri" w:cs="Arial"/>
                <w:b/>
                <w:bCs/>
                <w:lang w:eastAsia="cs-CZ"/>
              </w:rPr>
            </w:pPr>
          </w:p>
        </w:tc>
        <w:tc>
          <w:tcPr>
            <w:tcW w:w="4085" w:type="dxa"/>
            <w:tcBorders>
              <w:top w:val="nil"/>
              <w:left w:val="nil"/>
              <w:bottom w:val="nil"/>
              <w:right w:val="nil"/>
            </w:tcBorders>
            <w:shd w:val="clear" w:color="auto" w:fill="auto"/>
            <w:noWrap/>
            <w:vAlign w:val="bottom"/>
            <w:hideMark/>
          </w:tcPr>
          <w:p w14:paraId="1081B8E6" w14:textId="77777777" w:rsidR="00DA77A7" w:rsidRPr="00DA77A7" w:rsidRDefault="00DA77A7" w:rsidP="00DA77A7">
            <w:pPr>
              <w:spacing w:after="0" w:line="240" w:lineRule="auto"/>
              <w:rPr>
                <w:rFonts w:ascii="Times New Roman" w:eastAsia="Times New Roman" w:hAnsi="Times New Roman" w:cs="Times New Roman"/>
                <w:sz w:val="20"/>
                <w:szCs w:val="20"/>
                <w:lang w:eastAsia="cs-CZ"/>
              </w:rPr>
            </w:pPr>
          </w:p>
        </w:tc>
        <w:tc>
          <w:tcPr>
            <w:tcW w:w="1394" w:type="dxa"/>
            <w:tcBorders>
              <w:top w:val="nil"/>
              <w:left w:val="nil"/>
              <w:bottom w:val="nil"/>
              <w:right w:val="nil"/>
            </w:tcBorders>
            <w:shd w:val="clear" w:color="auto" w:fill="auto"/>
            <w:noWrap/>
            <w:vAlign w:val="bottom"/>
            <w:hideMark/>
          </w:tcPr>
          <w:p w14:paraId="5B9F0FEB" w14:textId="77777777" w:rsidR="00DA77A7" w:rsidRPr="00DA77A7" w:rsidRDefault="00DA77A7" w:rsidP="00DA77A7">
            <w:pPr>
              <w:spacing w:after="0" w:line="240" w:lineRule="auto"/>
              <w:rPr>
                <w:rFonts w:ascii="Times New Roman" w:eastAsia="Times New Roman" w:hAnsi="Times New Roman" w:cs="Times New Roman"/>
                <w:sz w:val="20"/>
                <w:szCs w:val="20"/>
                <w:lang w:eastAsia="cs-CZ"/>
              </w:rPr>
            </w:pPr>
          </w:p>
        </w:tc>
        <w:tc>
          <w:tcPr>
            <w:tcW w:w="1671" w:type="dxa"/>
            <w:tcBorders>
              <w:top w:val="nil"/>
              <w:left w:val="nil"/>
              <w:bottom w:val="nil"/>
              <w:right w:val="nil"/>
            </w:tcBorders>
            <w:shd w:val="clear" w:color="auto" w:fill="auto"/>
            <w:noWrap/>
            <w:vAlign w:val="bottom"/>
            <w:hideMark/>
          </w:tcPr>
          <w:p w14:paraId="00328557" w14:textId="77777777" w:rsidR="00DA77A7" w:rsidRPr="00DA77A7" w:rsidRDefault="00DA77A7" w:rsidP="00DA77A7">
            <w:pPr>
              <w:spacing w:after="0" w:line="240" w:lineRule="auto"/>
              <w:rPr>
                <w:rFonts w:ascii="Times New Roman" w:eastAsia="Times New Roman" w:hAnsi="Times New Roman" w:cs="Times New Roman"/>
                <w:sz w:val="20"/>
                <w:szCs w:val="20"/>
                <w:lang w:eastAsia="cs-CZ"/>
              </w:rPr>
            </w:pPr>
          </w:p>
        </w:tc>
        <w:tc>
          <w:tcPr>
            <w:tcW w:w="1684" w:type="dxa"/>
            <w:tcBorders>
              <w:top w:val="nil"/>
              <w:left w:val="nil"/>
              <w:bottom w:val="nil"/>
              <w:right w:val="nil"/>
            </w:tcBorders>
            <w:shd w:val="clear" w:color="auto" w:fill="auto"/>
            <w:noWrap/>
            <w:vAlign w:val="bottom"/>
            <w:hideMark/>
          </w:tcPr>
          <w:p w14:paraId="2D31FB5A" w14:textId="77777777" w:rsidR="00DA77A7" w:rsidRPr="00DA77A7" w:rsidRDefault="00DA77A7" w:rsidP="00DA77A7">
            <w:pPr>
              <w:spacing w:after="0" w:line="240" w:lineRule="auto"/>
              <w:rPr>
                <w:rFonts w:ascii="Times New Roman" w:eastAsia="Times New Roman" w:hAnsi="Times New Roman" w:cs="Times New Roman"/>
                <w:sz w:val="20"/>
                <w:szCs w:val="20"/>
                <w:lang w:eastAsia="cs-CZ"/>
              </w:rPr>
            </w:pPr>
          </w:p>
        </w:tc>
        <w:tc>
          <w:tcPr>
            <w:tcW w:w="576" w:type="dxa"/>
            <w:tcBorders>
              <w:top w:val="nil"/>
              <w:left w:val="nil"/>
              <w:bottom w:val="nil"/>
              <w:right w:val="nil"/>
            </w:tcBorders>
            <w:shd w:val="clear" w:color="auto" w:fill="auto"/>
            <w:noWrap/>
            <w:vAlign w:val="bottom"/>
            <w:hideMark/>
          </w:tcPr>
          <w:p w14:paraId="71846DA2" w14:textId="77777777" w:rsidR="00DA77A7" w:rsidRPr="00DA77A7" w:rsidRDefault="00DA77A7" w:rsidP="00DA77A7">
            <w:pPr>
              <w:spacing w:after="0" w:line="240" w:lineRule="auto"/>
              <w:rPr>
                <w:rFonts w:ascii="Times New Roman" w:eastAsia="Times New Roman" w:hAnsi="Times New Roman" w:cs="Times New Roman"/>
                <w:sz w:val="20"/>
                <w:szCs w:val="20"/>
                <w:lang w:eastAsia="cs-CZ"/>
              </w:rPr>
            </w:pPr>
          </w:p>
        </w:tc>
      </w:tr>
      <w:tr w:rsidR="00AF5B41" w:rsidRPr="00DA77A7" w14:paraId="0B34929D" w14:textId="77777777" w:rsidTr="0042584A">
        <w:trPr>
          <w:trHeight w:val="360"/>
        </w:trPr>
        <w:tc>
          <w:tcPr>
            <w:tcW w:w="1231" w:type="dxa"/>
            <w:tcBorders>
              <w:top w:val="nil"/>
              <w:left w:val="nil"/>
              <w:bottom w:val="nil"/>
              <w:right w:val="nil"/>
            </w:tcBorders>
            <w:shd w:val="clear" w:color="auto" w:fill="auto"/>
            <w:noWrap/>
            <w:vAlign w:val="bottom"/>
            <w:hideMark/>
          </w:tcPr>
          <w:p w14:paraId="34187E90" w14:textId="77777777" w:rsidR="00DA77A7" w:rsidRPr="00DA77A7" w:rsidRDefault="00DA77A7" w:rsidP="00DA77A7">
            <w:pPr>
              <w:spacing w:after="0" w:line="240" w:lineRule="auto"/>
              <w:jc w:val="right"/>
              <w:rPr>
                <w:rFonts w:ascii="Times New Roman" w:eastAsia="Times New Roman" w:hAnsi="Times New Roman" w:cs="Times New Roman"/>
                <w:sz w:val="20"/>
                <w:szCs w:val="20"/>
                <w:lang w:eastAsia="cs-CZ"/>
              </w:rPr>
            </w:pPr>
          </w:p>
        </w:tc>
        <w:tc>
          <w:tcPr>
            <w:tcW w:w="4085" w:type="dxa"/>
            <w:tcBorders>
              <w:top w:val="nil"/>
              <w:left w:val="nil"/>
              <w:bottom w:val="nil"/>
              <w:right w:val="nil"/>
            </w:tcBorders>
            <w:shd w:val="clear" w:color="auto" w:fill="auto"/>
            <w:noWrap/>
            <w:vAlign w:val="bottom"/>
            <w:hideMark/>
          </w:tcPr>
          <w:p w14:paraId="2ABC3979" w14:textId="77777777" w:rsidR="00DA77A7" w:rsidRPr="00DA77A7" w:rsidRDefault="00DA77A7" w:rsidP="00DA77A7">
            <w:pPr>
              <w:spacing w:after="0" w:line="240" w:lineRule="auto"/>
              <w:rPr>
                <w:rFonts w:ascii="Calibri" w:eastAsia="Times New Roman" w:hAnsi="Calibri" w:cs="Arial"/>
                <w:b/>
                <w:bCs/>
                <w:lang w:eastAsia="cs-CZ"/>
              </w:rPr>
            </w:pPr>
            <w:r w:rsidRPr="00DA77A7">
              <w:rPr>
                <w:rFonts w:ascii="Calibri" w:eastAsia="Times New Roman" w:hAnsi="Calibri" w:cs="Arial"/>
                <w:b/>
                <w:bCs/>
                <w:lang w:eastAsia="cs-CZ"/>
              </w:rPr>
              <w:t>Fondy</w:t>
            </w:r>
          </w:p>
        </w:tc>
        <w:tc>
          <w:tcPr>
            <w:tcW w:w="1394" w:type="dxa"/>
            <w:tcBorders>
              <w:top w:val="nil"/>
              <w:left w:val="nil"/>
              <w:bottom w:val="nil"/>
              <w:right w:val="nil"/>
            </w:tcBorders>
            <w:shd w:val="clear" w:color="auto" w:fill="auto"/>
            <w:noWrap/>
            <w:vAlign w:val="bottom"/>
            <w:hideMark/>
          </w:tcPr>
          <w:p w14:paraId="11F5B02A" w14:textId="77777777" w:rsidR="00DA77A7" w:rsidRPr="00DA77A7" w:rsidRDefault="00DA77A7" w:rsidP="00DA77A7">
            <w:pPr>
              <w:spacing w:after="0" w:line="240" w:lineRule="auto"/>
              <w:rPr>
                <w:rFonts w:ascii="Calibri" w:eastAsia="Times New Roman" w:hAnsi="Calibri" w:cs="Arial"/>
                <w:b/>
                <w:bCs/>
                <w:lang w:eastAsia="cs-CZ"/>
              </w:rPr>
            </w:pPr>
          </w:p>
        </w:tc>
        <w:tc>
          <w:tcPr>
            <w:tcW w:w="1671" w:type="dxa"/>
            <w:tcBorders>
              <w:top w:val="nil"/>
              <w:left w:val="nil"/>
              <w:bottom w:val="nil"/>
              <w:right w:val="nil"/>
            </w:tcBorders>
            <w:shd w:val="clear" w:color="auto" w:fill="auto"/>
            <w:noWrap/>
            <w:vAlign w:val="bottom"/>
            <w:hideMark/>
          </w:tcPr>
          <w:p w14:paraId="1973E4E2" w14:textId="77777777" w:rsidR="00DA77A7" w:rsidRPr="00DA77A7" w:rsidRDefault="00DA77A7" w:rsidP="00DA77A7">
            <w:pPr>
              <w:spacing w:after="0" w:line="240" w:lineRule="auto"/>
              <w:rPr>
                <w:rFonts w:ascii="Times New Roman" w:eastAsia="Times New Roman" w:hAnsi="Times New Roman" w:cs="Times New Roman"/>
                <w:sz w:val="20"/>
                <w:szCs w:val="20"/>
                <w:lang w:eastAsia="cs-CZ"/>
              </w:rPr>
            </w:pPr>
          </w:p>
        </w:tc>
        <w:tc>
          <w:tcPr>
            <w:tcW w:w="1684" w:type="dxa"/>
            <w:tcBorders>
              <w:top w:val="nil"/>
              <w:left w:val="nil"/>
              <w:bottom w:val="nil"/>
              <w:right w:val="nil"/>
            </w:tcBorders>
            <w:shd w:val="clear" w:color="auto" w:fill="auto"/>
            <w:noWrap/>
            <w:vAlign w:val="bottom"/>
            <w:hideMark/>
          </w:tcPr>
          <w:p w14:paraId="0E2074FA" w14:textId="77777777" w:rsidR="00DA77A7" w:rsidRPr="00DA77A7" w:rsidRDefault="00DA77A7" w:rsidP="00DA77A7">
            <w:pPr>
              <w:spacing w:after="0" w:line="240" w:lineRule="auto"/>
              <w:rPr>
                <w:rFonts w:ascii="Times New Roman" w:eastAsia="Times New Roman" w:hAnsi="Times New Roman" w:cs="Times New Roman"/>
                <w:sz w:val="20"/>
                <w:szCs w:val="20"/>
                <w:lang w:eastAsia="cs-CZ"/>
              </w:rPr>
            </w:pPr>
          </w:p>
        </w:tc>
        <w:tc>
          <w:tcPr>
            <w:tcW w:w="576" w:type="dxa"/>
            <w:tcBorders>
              <w:top w:val="nil"/>
              <w:left w:val="nil"/>
              <w:bottom w:val="nil"/>
              <w:right w:val="nil"/>
            </w:tcBorders>
            <w:shd w:val="clear" w:color="auto" w:fill="auto"/>
            <w:noWrap/>
            <w:vAlign w:val="bottom"/>
            <w:hideMark/>
          </w:tcPr>
          <w:p w14:paraId="0E3465DD" w14:textId="77777777" w:rsidR="00DA77A7" w:rsidRPr="00DA77A7" w:rsidRDefault="00DA77A7" w:rsidP="00DA77A7">
            <w:pPr>
              <w:spacing w:after="0" w:line="240" w:lineRule="auto"/>
              <w:rPr>
                <w:rFonts w:ascii="Times New Roman" w:eastAsia="Times New Roman" w:hAnsi="Times New Roman" w:cs="Times New Roman"/>
                <w:sz w:val="20"/>
                <w:szCs w:val="20"/>
                <w:lang w:eastAsia="cs-CZ"/>
              </w:rPr>
            </w:pPr>
          </w:p>
        </w:tc>
      </w:tr>
      <w:tr w:rsidR="00AF5B41" w:rsidRPr="00DA77A7" w14:paraId="400A8879" w14:textId="77777777" w:rsidTr="0042584A">
        <w:trPr>
          <w:trHeight w:val="320"/>
        </w:trPr>
        <w:tc>
          <w:tcPr>
            <w:tcW w:w="1231" w:type="dxa"/>
            <w:tcBorders>
              <w:top w:val="single" w:sz="8" w:space="0" w:color="auto"/>
              <w:left w:val="single" w:sz="8" w:space="0" w:color="auto"/>
              <w:bottom w:val="single" w:sz="4" w:space="0" w:color="auto"/>
              <w:right w:val="single" w:sz="4" w:space="0" w:color="auto"/>
            </w:tcBorders>
            <w:shd w:val="clear" w:color="auto" w:fill="auto"/>
            <w:vAlign w:val="bottom"/>
            <w:hideMark/>
          </w:tcPr>
          <w:p w14:paraId="7AE93928" w14:textId="77777777" w:rsidR="00DA77A7" w:rsidRPr="00DA77A7" w:rsidRDefault="00DA77A7" w:rsidP="00DA77A7">
            <w:pPr>
              <w:spacing w:after="0" w:line="240" w:lineRule="auto"/>
              <w:jc w:val="center"/>
              <w:rPr>
                <w:rFonts w:ascii="Calibri" w:eastAsia="Times New Roman" w:hAnsi="Calibri" w:cs="Arial"/>
                <w:b/>
                <w:bCs/>
                <w:sz w:val="20"/>
                <w:szCs w:val="20"/>
                <w:lang w:eastAsia="cs-CZ"/>
              </w:rPr>
            </w:pPr>
            <w:r w:rsidRPr="00DA77A7">
              <w:rPr>
                <w:rFonts w:ascii="Calibri" w:eastAsia="Times New Roman" w:hAnsi="Calibri" w:cs="Arial"/>
                <w:b/>
                <w:bCs/>
                <w:sz w:val="20"/>
                <w:szCs w:val="20"/>
                <w:lang w:eastAsia="cs-CZ"/>
              </w:rPr>
              <w:t> </w:t>
            </w:r>
          </w:p>
        </w:tc>
        <w:tc>
          <w:tcPr>
            <w:tcW w:w="4085" w:type="dxa"/>
            <w:tcBorders>
              <w:top w:val="single" w:sz="8" w:space="0" w:color="auto"/>
              <w:left w:val="nil"/>
              <w:bottom w:val="single" w:sz="4" w:space="0" w:color="auto"/>
              <w:right w:val="single" w:sz="4" w:space="0" w:color="auto"/>
            </w:tcBorders>
            <w:shd w:val="clear" w:color="auto" w:fill="auto"/>
            <w:vAlign w:val="bottom"/>
            <w:hideMark/>
          </w:tcPr>
          <w:p w14:paraId="6042AADA" w14:textId="77777777" w:rsidR="00DA77A7" w:rsidRPr="00DA77A7" w:rsidRDefault="00DA77A7" w:rsidP="00DA77A7">
            <w:pPr>
              <w:spacing w:after="0" w:line="240" w:lineRule="auto"/>
              <w:rPr>
                <w:rFonts w:ascii="Calibri" w:eastAsia="Times New Roman" w:hAnsi="Calibri" w:cs="Arial"/>
                <w:sz w:val="20"/>
                <w:szCs w:val="20"/>
                <w:lang w:eastAsia="cs-CZ"/>
              </w:rPr>
            </w:pPr>
            <w:r w:rsidRPr="00DA77A7">
              <w:rPr>
                <w:rFonts w:ascii="Calibri" w:eastAsia="Times New Roman" w:hAnsi="Calibri" w:cs="Arial"/>
                <w:sz w:val="20"/>
                <w:szCs w:val="20"/>
                <w:lang w:eastAsia="cs-CZ"/>
              </w:rPr>
              <w:t>Středočeský Fond sportu a volného času</w:t>
            </w:r>
          </w:p>
        </w:tc>
        <w:tc>
          <w:tcPr>
            <w:tcW w:w="1394" w:type="dxa"/>
            <w:tcBorders>
              <w:top w:val="single" w:sz="8" w:space="0" w:color="auto"/>
              <w:left w:val="nil"/>
              <w:bottom w:val="single" w:sz="4" w:space="0" w:color="auto"/>
              <w:right w:val="single" w:sz="4" w:space="0" w:color="auto"/>
            </w:tcBorders>
            <w:shd w:val="clear" w:color="auto" w:fill="auto"/>
            <w:noWrap/>
            <w:vAlign w:val="bottom"/>
            <w:hideMark/>
          </w:tcPr>
          <w:p w14:paraId="78A16467"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0</w:t>
            </w:r>
          </w:p>
        </w:tc>
        <w:tc>
          <w:tcPr>
            <w:tcW w:w="1671" w:type="dxa"/>
            <w:tcBorders>
              <w:top w:val="single" w:sz="8" w:space="0" w:color="auto"/>
              <w:left w:val="nil"/>
              <w:bottom w:val="single" w:sz="4" w:space="0" w:color="auto"/>
              <w:right w:val="single" w:sz="4" w:space="0" w:color="auto"/>
            </w:tcBorders>
            <w:shd w:val="clear" w:color="auto" w:fill="auto"/>
            <w:noWrap/>
            <w:vAlign w:val="bottom"/>
            <w:hideMark/>
          </w:tcPr>
          <w:p w14:paraId="6295C33E"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25 000 000,00</w:t>
            </w:r>
          </w:p>
        </w:tc>
        <w:tc>
          <w:tcPr>
            <w:tcW w:w="1684" w:type="dxa"/>
            <w:tcBorders>
              <w:top w:val="single" w:sz="8" w:space="0" w:color="auto"/>
              <w:left w:val="nil"/>
              <w:bottom w:val="single" w:sz="4" w:space="0" w:color="auto"/>
              <w:right w:val="single" w:sz="4" w:space="0" w:color="auto"/>
            </w:tcBorders>
            <w:shd w:val="clear" w:color="auto" w:fill="auto"/>
            <w:noWrap/>
            <w:vAlign w:val="bottom"/>
            <w:hideMark/>
          </w:tcPr>
          <w:p w14:paraId="26701D3B"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24 825 349,46</w:t>
            </w:r>
          </w:p>
        </w:tc>
        <w:tc>
          <w:tcPr>
            <w:tcW w:w="576" w:type="dxa"/>
            <w:tcBorders>
              <w:top w:val="single" w:sz="8" w:space="0" w:color="auto"/>
              <w:left w:val="nil"/>
              <w:bottom w:val="single" w:sz="4" w:space="0" w:color="auto"/>
              <w:right w:val="single" w:sz="8" w:space="0" w:color="auto"/>
            </w:tcBorders>
            <w:shd w:val="clear" w:color="auto" w:fill="auto"/>
            <w:noWrap/>
            <w:vAlign w:val="bottom"/>
            <w:hideMark/>
          </w:tcPr>
          <w:p w14:paraId="361E3601"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99,3</w:t>
            </w:r>
          </w:p>
        </w:tc>
      </w:tr>
      <w:tr w:rsidR="00AF5B41" w:rsidRPr="00DA77A7" w14:paraId="2B0FDAFE" w14:textId="77777777" w:rsidTr="0042584A">
        <w:trPr>
          <w:trHeight w:val="320"/>
        </w:trPr>
        <w:tc>
          <w:tcPr>
            <w:tcW w:w="1231"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F226810" w14:textId="77777777" w:rsidR="00DA77A7" w:rsidRPr="00DA77A7" w:rsidRDefault="00DA77A7" w:rsidP="00DA77A7">
            <w:pPr>
              <w:spacing w:after="0" w:line="240" w:lineRule="auto"/>
              <w:rPr>
                <w:rFonts w:ascii="Calibri" w:eastAsia="Times New Roman" w:hAnsi="Calibri" w:cs="Arial"/>
                <w:sz w:val="24"/>
                <w:szCs w:val="24"/>
                <w:lang w:eastAsia="cs-CZ"/>
              </w:rPr>
            </w:pPr>
            <w:r w:rsidRPr="00DA77A7">
              <w:rPr>
                <w:rFonts w:ascii="Calibri" w:eastAsia="Times New Roman" w:hAnsi="Calibri" w:cs="Arial"/>
                <w:sz w:val="24"/>
                <w:szCs w:val="24"/>
                <w:lang w:eastAsia="cs-CZ"/>
              </w:rPr>
              <w:t> </w:t>
            </w:r>
          </w:p>
        </w:tc>
        <w:tc>
          <w:tcPr>
            <w:tcW w:w="4085" w:type="dxa"/>
            <w:tcBorders>
              <w:top w:val="single" w:sz="8" w:space="0" w:color="auto"/>
              <w:left w:val="nil"/>
              <w:bottom w:val="single" w:sz="8" w:space="0" w:color="auto"/>
              <w:right w:val="single" w:sz="4" w:space="0" w:color="auto"/>
            </w:tcBorders>
            <w:shd w:val="clear" w:color="auto" w:fill="auto"/>
            <w:noWrap/>
            <w:vAlign w:val="bottom"/>
            <w:hideMark/>
          </w:tcPr>
          <w:p w14:paraId="15FF336A" w14:textId="77777777" w:rsidR="00DA77A7" w:rsidRPr="00DA77A7" w:rsidRDefault="00DA77A7" w:rsidP="00DA77A7">
            <w:pPr>
              <w:spacing w:after="0" w:line="240" w:lineRule="auto"/>
              <w:rPr>
                <w:rFonts w:ascii="Calibri" w:eastAsia="Times New Roman" w:hAnsi="Calibri" w:cs="Arial"/>
                <w:b/>
                <w:bCs/>
                <w:lang w:eastAsia="cs-CZ"/>
              </w:rPr>
            </w:pPr>
            <w:r w:rsidRPr="00DA77A7">
              <w:rPr>
                <w:rFonts w:ascii="Calibri" w:eastAsia="Times New Roman" w:hAnsi="Calibri" w:cs="Arial"/>
                <w:b/>
                <w:bCs/>
                <w:lang w:eastAsia="cs-CZ"/>
              </w:rPr>
              <w:t xml:space="preserve">Celkem </w:t>
            </w:r>
          </w:p>
        </w:tc>
        <w:tc>
          <w:tcPr>
            <w:tcW w:w="1394" w:type="dxa"/>
            <w:tcBorders>
              <w:top w:val="single" w:sz="8" w:space="0" w:color="auto"/>
              <w:left w:val="nil"/>
              <w:bottom w:val="single" w:sz="8" w:space="0" w:color="auto"/>
              <w:right w:val="single" w:sz="4" w:space="0" w:color="auto"/>
            </w:tcBorders>
            <w:shd w:val="clear" w:color="auto" w:fill="auto"/>
            <w:noWrap/>
            <w:vAlign w:val="bottom"/>
            <w:hideMark/>
          </w:tcPr>
          <w:p w14:paraId="7A6417E3" w14:textId="77777777" w:rsidR="00DA77A7" w:rsidRPr="00DA77A7" w:rsidRDefault="00DA77A7" w:rsidP="00DA77A7">
            <w:pPr>
              <w:spacing w:after="0" w:line="240" w:lineRule="auto"/>
              <w:jc w:val="right"/>
              <w:rPr>
                <w:rFonts w:ascii="Calibri" w:eastAsia="Times New Roman" w:hAnsi="Calibri" w:cs="Arial"/>
                <w:b/>
                <w:bCs/>
                <w:lang w:eastAsia="cs-CZ"/>
              </w:rPr>
            </w:pPr>
            <w:r w:rsidRPr="00DA77A7">
              <w:rPr>
                <w:rFonts w:ascii="Calibri" w:eastAsia="Times New Roman" w:hAnsi="Calibri" w:cs="Arial"/>
                <w:b/>
                <w:bCs/>
                <w:lang w:eastAsia="cs-CZ"/>
              </w:rPr>
              <w:t>0</w:t>
            </w:r>
          </w:p>
        </w:tc>
        <w:tc>
          <w:tcPr>
            <w:tcW w:w="1671" w:type="dxa"/>
            <w:tcBorders>
              <w:top w:val="single" w:sz="8" w:space="0" w:color="auto"/>
              <w:left w:val="nil"/>
              <w:bottom w:val="single" w:sz="8" w:space="0" w:color="auto"/>
              <w:right w:val="single" w:sz="4" w:space="0" w:color="auto"/>
            </w:tcBorders>
            <w:shd w:val="clear" w:color="auto" w:fill="auto"/>
            <w:noWrap/>
            <w:vAlign w:val="bottom"/>
            <w:hideMark/>
          </w:tcPr>
          <w:p w14:paraId="6CF54A03" w14:textId="77777777" w:rsidR="00DA77A7" w:rsidRPr="00DA77A7" w:rsidRDefault="00DA77A7" w:rsidP="00DA77A7">
            <w:pPr>
              <w:spacing w:after="0" w:line="240" w:lineRule="auto"/>
              <w:jc w:val="right"/>
              <w:rPr>
                <w:rFonts w:ascii="Calibri" w:eastAsia="Times New Roman" w:hAnsi="Calibri" w:cs="Arial"/>
                <w:b/>
                <w:bCs/>
                <w:lang w:eastAsia="cs-CZ"/>
              </w:rPr>
            </w:pPr>
            <w:r w:rsidRPr="00DA77A7">
              <w:rPr>
                <w:rFonts w:ascii="Calibri" w:eastAsia="Times New Roman" w:hAnsi="Calibri" w:cs="Arial"/>
                <w:b/>
                <w:bCs/>
                <w:lang w:eastAsia="cs-CZ"/>
              </w:rPr>
              <w:t>25 000 000,00</w:t>
            </w:r>
          </w:p>
        </w:tc>
        <w:tc>
          <w:tcPr>
            <w:tcW w:w="1684" w:type="dxa"/>
            <w:tcBorders>
              <w:top w:val="single" w:sz="8" w:space="0" w:color="auto"/>
              <w:left w:val="nil"/>
              <w:bottom w:val="single" w:sz="8" w:space="0" w:color="auto"/>
              <w:right w:val="single" w:sz="4" w:space="0" w:color="auto"/>
            </w:tcBorders>
            <w:shd w:val="clear" w:color="auto" w:fill="auto"/>
            <w:noWrap/>
            <w:vAlign w:val="bottom"/>
            <w:hideMark/>
          </w:tcPr>
          <w:p w14:paraId="19253A52" w14:textId="77777777" w:rsidR="00DA77A7" w:rsidRPr="00DA77A7" w:rsidRDefault="00DA77A7" w:rsidP="00DA77A7">
            <w:pPr>
              <w:spacing w:after="0" w:line="240" w:lineRule="auto"/>
              <w:jc w:val="right"/>
              <w:rPr>
                <w:rFonts w:ascii="Calibri" w:eastAsia="Times New Roman" w:hAnsi="Calibri" w:cs="Arial"/>
                <w:b/>
                <w:bCs/>
                <w:lang w:eastAsia="cs-CZ"/>
              </w:rPr>
            </w:pPr>
            <w:r w:rsidRPr="00DA77A7">
              <w:rPr>
                <w:rFonts w:ascii="Calibri" w:eastAsia="Times New Roman" w:hAnsi="Calibri" w:cs="Arial"/>
                <w:b/>
                <w:bCs/>
                <w:lang w:eastAsia="cs-CZ"/>
              </w:rPr>
              <w:t>24 825 349,46</w:t>
            </w:r>
          </w:p>
        </w:tc>
        <w:tc>
          <w:tcPr>
            <w:tcW w:w="576" w:type="dxa"/>
            <w:tcBorders>
              <w:top w:val="single" w:sz="8" w:space="0" w:color="auto"/>
              <w:left w:val="nil"/>
              <w:bottom w:val="single" w:sz="8" w:space="0" w:color="auto"/>
              <w:right w:val="single" w:sz="8" w:space="0" w:color="auto"/>
            </w:tcBorders>
            <w:shd w:val="clear" w:color="auto" w:fill="auto"/>
            <w:noWrap/>
            <w:vAlign w:val="bottom"/>
            <w:hideMark/>
          </w:tcPr>
          <w:p w14:paraId="443B1E8D" w14:textId="77777777" w:rsidR="00DA77A7" w:rsidRPr="00DA77A7" w:rsidRDefault="00DA77A7" w:rsidP="00DA77A7">
            <w:pPr>
              <w:spacing w:after="0" w:line="240" w:lineRule="auto"/>
              <w:jc w:val="right"/>
              <w:rPr>
                <w:rFonts w:ascii="Calibri" w:eastAsia="Times New Roman" w:hAnsi="Calibri" w:cs="Arial"/>
                <w:b/>
                <w:bCs/>
                <w:lang w:eastAsia="cs-CZ"/>
              </w:rPr>
            </w:pPr>
            <w:r w:rsidRPr="00DA77A7">
              <w:rPr>
                <w:rFonts w:ascii="Calibri" w:eastAsia="Times New Roman" w:hAnsi="Calibri" w:cs="Arial"/>
                <w:b/>
                <w:bCs/>
                <w:lang w:eastAsia="cs-CZ"/>
              </w:rPr>
              <w:t>99,3</w:t>
            </w:r>
          </w:p>
        </w:tc>
      </w:tr>
      <w:tr w:rsidR="00AF5B41" w:rsidRPr="00DA77A7" w14:paraId="20BBDCF3" w14:textId="77777777" w:rsidTr="0042584A">
        <w:trPr>
          <w:trHeight w:val="300"/>
        </w:trPr>
        <w:tc>
          <w:tcPr>
            <w:tcW w:w="1231" w:type="dxa"/>
            <w:tcBorders>
              <w:top w:val="nil"/>
              <w:left w:val="nil"/>
              <w:bottom w:val="nil"/>
              <w:right w:val="nil"/>
            </w:tcBorders>
            <w:shd w:val="clear" w:color="auto" w:fill="auto"/>
            <w:noWrap/>
            <w:vAlign w:val="bottom"/>
            <w:hideMark/>
          </w:tcPr>
          <w:p w14:paraId="1A511EF6" w14:textId="77777777" w:rsidR="00DA77A7" w:rsidRPr="00DA77A7" w:rsidRDefault="00DA77A7" w:rsidP="00DA77A7">
            <w:pPr>
              <w:spacing w:after="0" w:line="240" w:lineRule="auto"/>
              <w:jc w:val="center"/>
              <w:rPr>
                <w:rFonts w:ascii="Calibri" w:eastAsia="Times New Roman" w:hAnsi="Calibri" w:cs="Arial"/>
                <w:b/>
                <w:bCs/>
                <w:sz w:val="24"/>
                <w:szCs w:val="24"/>
                <w:lang w:eastAsia="cs-CZ"/>
              </w:rPr>
            </w:pPr>
            <w:r w:rsidRPr="00DA77A7">
              <w:rPr>
                <w:rFonts w:ascii="Calibri" w:eastAsia="Times New Roman" w:hAnsi="Calibri" w:cs="Arial"/>
                <w:b/>
                <w:bCs/>
                <w:sz w:val="24"/>
                <w:szCs w:val="24"/>
                <w:lang w:eastAsia="cs-CZ"/>
              </w:rPr>
              <w:t> </w:t>
            </w:r>
          </w:p>
        </w:tc>
        <w:tc>
          <w:tcPr>
            <w:tcW w:w="4085" w:type="dxa"/>
            <w:tcBorders>
              <w:top w:val="nil"/>
              <w:left w:val="nil"/>
              <w:bottom w:val="nil"/>
              <w:right w:val="nil"/>
            </w:tcBorders>
            <w:shd w:val="clear" w:color="auto" w:fill="auto"/>
            <w:noWrap/>
            <w:vAlign w:val="bottom"/>
            <w:hideMark/>
          </w:tcPr>
          <w:p w14:paraId="351D914B" w14:textId="77777777" w:rsidR="00DA77A7" w:rsidRPr="00DA77A7" w:rsidRDefault="00DA77A7" w:rsidP="00DA77A7">
            <w:pPr>
              <w:spacing w:after="0" w:line="240" w:lineRule="auto"/>
              <w:rPr>
                <w:rFonts w:ascii="Calibri" w:eastAsia="Times New Roman" w:hAnsi="Calibri" w:cs="Arial"/>
                <w:b/>
                <w:bCs/>
                <w:lang w:eastAsia="cs-CZ"/>
              </w:rPr>
            </w:pPr>
            <w:r w:rsidRPr="00DA77A7">
              <w:rPr>
                <w:rFonts w:ascii="Calibri" w:eastAsia="Times New Roman" w:hAnsi="Calibri" w:cs="Arial"/>
                <w:b/>
                <w:bCs/>
                <w:lang w:eastAsia="cs-CZ"/>
              </w:rPr>
              <w:t> </w:t>
            </w:r>
          </w:p>
        </w:tc>
        <w:tc>
          <w:tcPr>
            <w:tcW w:w="1394" w:type="dxa"/>
            <w:tcBorders>
              <w:top w:val="nil"/>
              <w:left w:val="nil"/>
              <w:bottom w:val="nil"/>
              <w:right w:val="nil"/>
            </w:tcBorders>
            <w:shd w:val="clear" w:color="auto" w:fill="auto"/>
            <w:noWrap/>
            <w:vAlign w:val="bottom"/>
            <w:hideMark/>
          </w:tcPr>
          <w:p w14:paraId="4A5BC07D" w14:textId="77777777" w:rsidR="00DA77A7" w:rsidRPr="00DA77A7" w:rsidRDefault="00DA77A7" w:rsidP="00DA77A7">
            <w:pPr>
              <w:spacing w:after="0" w:line="240" w:lineRule="auto"/>
              <w:rPr>
                <w:rFonts w:ascii="Calibri" w:eastAsia="Times New Roman" w:hAnsi="Calibri" w:cs="Arial"/>
                <w:b/>
                <w:bCs/>
                <w:lang w:eastAsia="cs-CZ"/>
              </w:rPr>
            </w:pPr>
            <w:r w:rsidRPr="00DA77A7">
              <w:rPr>
                <w:rFonts w:ascii="Calibri" w:eastAsia="Times New Roman" w:hAnsi="Calibri" w:cs="Arial"/>
                <w:b/>
                <w:bCs/>
                <w:lang w:eastAsia="cs-CZ"/>
              </w:rPr>
              <w:t> </w:t>
            </w:r>
          </w:p>
        </w:tc>
        <w:tc>
          <w:tcPr>
            <w:tcW w:w="1671" w:type="dxa"/>
            <w:tcBorders>
              <w:top w:val="nil"/>
              <w:left w:val="nil"/>
              <w:bottom w:val="nil"/>
              <w:right w:val="nil"/>
            </w:tcBorders>
            <w:shd w:val="clear" w:color="auto" w:fill="auto"/>
            <w:noWrap/>
            <w:vAlign w:val="bottom"/>
            <w:hideMark/>
          </w:tcPr>
          <w:p w14:paraId="3CF457DF" w14:textId="77777777" w:rsidR="00DA77A7" w:rsidRPr="00DA77A7" w:rsidRDefault="00DA77A7" w:rsidP="00DA77A7">
            <w:pPr>
              <w:spacing w:after="0" w:line="240" w:lineRule="auto"/>
              <w:rPr>
                <w:rFonts w:ascii="Calibri" w:eastAsia="Times New Roman" w:hAnsi="Calibri" w:cs="Arial"/>
                <w:b/>
                <w:bCs/>
                <w:lang w:eastAsia="cs-CZ"/>
              </w:rPr>
            </w:pPr>
            <w:r w:rsidRPr="00DA77A7">
              <w:rPr>
                <w:rFonts w:ascii="Calibri" w:eastAsia="Times New Roman" w:hAnsi="Calibri" w:cs="Arial"/>
                <w:b/>
                <w:bCs/>
                <w:lang w:eastAsia="cs-CZ"/>
              </w:rPr>
              <w:t> </w:t>
            </w:r>
          </w:p>
        </w:tc>
        <w:tc>
          <w:tcPr>
            <w:tcW w:w="1684" w:type="dxa"/>
            <w:tcBorders>
              <w:top w:val="nil"/>
              <w:left w:val="nil"/>
              <w:bottom w:val="nil"/>
              <w:right w:val="nil"/>
            </w:tcBorders>
            <w:shd w:val="clear" w:color="auto" w:fill="auto"/>
            <w:noWrap/>
            <w:vAlign w:val="bottom"/>
            <w:hideMark/>
          </w:tcPr>
          <w:p w14:paraId="04DBE566" w14:textId="77777777" w:rsidR="00DA77A7" w:rsidRPr="00DA77A7" w:rsidRDefault="00DA77A7" w:rsidP="00DA77A7">
            <w:pPr>
              <w:spacing w:after="0" w:line="240" w:lineRule="auto"/>
              <w:rPr>
                <w:rFonts w:ascii="Calibri" w:eastAsia="Times New Roman" w:hAnsi="Calibri" w:cs="Arial"/>
                <w:b/>
                <w:bCs/>
                <w:lang w:eastAsia="cs-CZ"/>
              </w:rPr>
            </w:pPr>
            <w:r w:rsidRPr="00DA77A7">
              <w:rPr>
                <w:rFonts w:ascii="Calibri" w:eastAsia="Times New Roman" w:hAnsi="Calibri" w:cs="Arial"/>
                <w:b/>
                <w:bCs/>
                <w:lang w:eastAsia="cs-CZ"/>
              </w:rPr>
              <w:t> </w:t>
            </w:r>
          </w:p>
        </w:tc>
        <w:tc>
          <w:tcPr>
            <w:tcW w:w="576" w:type="dxa"/>
            <w:tcBorders>
              <w:top w:val="nil"/>
              <w:left w:val="nil"/>
              <w:bottom w:val="nil"/>
              <w:right w:val="nil"/>
            </w:tcBorders>
            <w:shd w:val="clear" w:color="auto" w:fill="auto"/>
            <w:noWrap/>
            <w:vAlign w:val="bottom"/>
            <w:hideMark/>
          </w:tcPr>
          <w:p w14:paraId="02FC364D" w14:textId="77777777" w:rsidR="00DA77A7" w:rsidRPr="00DA77A7" w:rsidRDefault="00DA77A7" w:rsidP="00DA77A7">
            <w:pPr>
              <w:spacing w:after="0" w:line="240" w:lineRule="auto"/>
              <w:jc w:val="right"/>
              <w:rPr>
                <w:rFonts w:ascii="Calibri" w:eastAsia="Times New Roman" w:hAnsi="Calibri" w:cs="Arial"/>
                <w:b/>
                <w:bCs/>
                <w:lang w:eastAsia="cs-CZ"/>
              </w:rPr>
            </w:pPr>
            <w:r w:rsidRPr="00DA77A7">
              <w:rPr>
                <w:rFonts w:ascii="Calibri" w:eastAsia="Times New Roman" w:hAnsi="Calibri" w:cs="Arial"/>
                <w:b/>
                <w:bCs/>
                <w:lang w:eastAsia="cs-CZ"/>
              </w:rPr>
              <w:t> </w:t>
            </w:r>
          </w:p>
        </w:tc>
      </w:tr>
      <w:tr w:rsidR="00AF5B41" w:rsidRPr="00DA77A7" w14:paraId="1819FADA" w14:textId="77777777" w:rsidTr="0042584A">
        <w:trPr>
          <w:trHeight w:val="360"/>
        </w:trPr>
        <w:tc>
          <w:tcPr>
            <w:tcW w:w="1231" w:type="dxa"/>
            <w:tcBorders>
              <w:top w:val="nil"/>
              <w:left w:val="nil"/>
              <w:bottom w:val="nil"/>
              <w:right w:val="nil"/>
            </w:tcBorders>
            <w:shd w:val="clear" w:color="auto" w:fill="auto"/>
            <w:noWrap/>
            <w:vAlign w:val="bottom"/>
            <w:hideMark/>
          </w:tcPr>
          <w:p w14:paraId="621819DD" w14:textId="77777777" w:rsidR="00DA77A7" w:rsidRPr="00DA77A7" w:rsidRDefault="00DA77A7" w:rsidP="00DA77A7">
            <w:pPr>
              <w:spacing w:after="0" w:line="240" w:lineRule="auto"/>
              <w:jc w:val="right"/>
              <w:rPr>
                <w:rFonts w:ascii="Calibri" w:eastAsia="Times New Roman" w:hAnsi="Calibri" w:cs="Arial"/>
                <w:b/>
                <w:bCs/>
                <w:lang w:eastAsia="cs-CZ"/>
              </w:rPr>
            </w:pPr>
          </w:p>
        </w:tc>
        <w:tc>
          <w:tcPr>
            <w:tcW w:w="7150" w:type="dxa"/>
            <w:gridSpan w:val="3"/>
            <w:tcBorders>
              <w:top w:val="nil"/>
              <w:left w:val="nil"/>
              <w:bottom w:val="nil"/>
              <w:right w:val="nil"/>
            </w:tcBorders>
            <w:shd w:val="clear" w:color="auto" w:fill="auto"/>
            <w:noWrap/>
            <w:vAlign w:val="bottom"/>
            <w:hideMark/>
          </w:tcPr>
          <w:p w14:paraId="51A51DFB" w14:textId="77777777" w:rsidR="00DA77A7" w:rsidRPr="00DA77A7" w:rsidRDefault="00DA77A7" w:rsidP="00DA77A7">
            <w:pPr>
              <w:spacing w:after="0" w:line="240" w:lineRule="auto"/>
              <w:rPr>
                <w:rFonts w:ascii="Calibri" w:eastAsia="Times New Roman" w:hAnsi="Calibri" w:cs="Arial"/>
                <w:b/>
                <w:bCs/>
                <w:lang w:eastAsia="cs-CZ"/>
              </w:rPr>
            </w:pPr>
            <w:r w:rsidRPr="00DA77A7">
              <w:rPr>
                <w:rFonts w:ascii="Calibri" w:eastAsia="Times New Roman" w:hAnsi="Calibri" w:cs="Arial"/>
                <w:b/>
                <w:bCs/>
                <w:lang w:eastAsia="cs-CZ"/>
              </w:rPr>
              <w:t>Výdaje na reprodukci majetku příspěvkových organizací</w:t>
            </w:r>
          </w:p>
        </w:tc>
        <w:tc>
          <w:tcPr>
            <w:tcW w:w="1684" w:type="dxa"/>
            <w:tcBorders>
              <w:top w:val="nil"/>
              <w:left w:val="nil"/>
              <w:bottom w:val="nil"/>
              <w:right w:val="nil"/>
            </w:tcBorders>
            <w:shd w:val="clear" w:color="auto" w:fill="auto"/>
            <w:noWrap/>
            <w:vAlign w:val="bottom"/>
            <w:hideMark/>
          </w:tcPr>
          <w:p w14:paraId="467C1933" w14:textId="77777777" w:rsidR="00DA77A7" w:rsidRPr="00DA77A7" w:rsidRDefault="00DA77A7" w:rsidP="00DA77A7">
            <w:pPr>
              <w:spacing w:after="0" w:line="240" w:lineRule="auto"/>
              <w:rPr>
                <w:rFonts w:ascii="Calibri" w:eastAsia="Times New Roman" w:hAnsi="Calibri" w:cs="Arial"/>
                <w:b/>
                <w:bCs/>
                <w:lang w:eastAsia="cs-CZ"/>
              </w:rPr>
            </w:pPr>
          </w:p>
        </w:tc>
        <w:tc>
          <w:tcPr>
            <w:tcW w:w="576" w:type="dxa"/>
            <w:tcBorders>
              <w:top w:val="nil"/>
              <w:left w:val="nil"/>
              <w:bottom w:val="nil"/>
              <w:right w:val="nil"/>
            </w:tcBorders>
            <w:shd w:val="clear" w:color="auto" w:fill="auto"/>
            <w:noWrap/>
            <w:vAlign w:val="bottom"/>
            <w:hideMark/>
          </w:tcPr>
          <w:p w14:paraId="21DF8C66" w14:textId="77777777" w:rsidR="00DA77A7" w:rsidRPr="00DA77A7" w:rsidRDefault="00DA77A7" w:rsidP="00DA77A7">
            <w:pPr>
              <w:spacing w:after="0" w:line="240" w:lineRule="auto"/>
              <w:jc w:val="right"/>
              <w:rPr>
                <w:rFonts w:ascii="Times New Roman" w:eastAsia="Times New Roman" w:hAnsi="Times New Roman" w:cs="Times New Roman"/>
                <w:sz w:val="20"/>
                <w:szCs w:val="20"/>
                <w:lang w:eastAsia="cs-CZ"/>
              </w:rPr>
            </w:pPr>
          </w:p>
        </w:tc>
      </w:tr>
      <w:tr w:rsidR="00AF5B41" w:rsidRPr="00DA77A7" w14:paraId="23EC4758" w14:textId="77777777" w:rsidTr="0042584A">
        <w:trPr>
          <w:trHeight w:val="300"/>
        </w:trPr>
        <w:tc>
          <w:tcPr>
            <w:tcW w:w="1231" w:type="dxa"/>
            <w:tcBorders>
              <w:top w:val="single" w:sz="8" w:space="0" w:color="auto"/>
              <w:left w:val="single" w:sz="8" w:space="0" w:color="auto"/>
              <w:bottom w:val="single" w:sz="4" w:space="0" w:color="auto"/>
              <w:right w:val="single" w:sz="4" w:space="0" w:color="auto"/>
            </w:tcBorders>
            <w:shd w:val="clear" w:color="auto" w:fill="auto"/>
            <w:vAlign w:val="bottom"/>
            <w:hideMark/>
          </w:tcPr>
          <w:p w14:paraId="37B92FD9" w14:textId="77777777" w:rsidR="00DA77A7" w:rsidRPr="00DA77A7" w:rsidRDefault="00DA77A7" w:rsidP="00DA77A7">
            <w:pPr>
              <w:spacing w:after="0" w:line="240" w:lineRule="auto"/>
              <w:jc w:val="center"/>
              <w:rPr>
                <w:rFonts w:ascii="Calibri" w:eastAsia="Times New Roman" w:hAnsi="Calibri" w:cs="Arial"/>
                <w:b/>
                <w:bCs/>
                <w:sz w:val="20"/>
                <w:szCs w:val="20"/>
                <w:lang w:eastAsia="cs-CZ"/>
              </w:rPr>
            </w:pPr>
            <w:r w:rsidRPr="00DA77A7">
              <w:rPr>
                <w:rFonts w:ascii="Calibri" w:eastAsia="Times New Roman" w:hAnsi="Calibri" w:cs="Arial"/>
                <w:b/>
                <w:bCs/>
                <w:sz w:val="20"/>
                <w:szCs w:val="20"/>
                <w:lang w:eastAsia="cs-CZ"/>
              </w:rPr>
              <w:t> </w:t>
            </w:r>
          </w:p>
        </w:tc>
        <w:tc>
          <w:tcPr>
            <w:tcW w:w="4085" w:type="dxa"/>
            <w:tcBorders>
              <w:top w:val="single" w:sz="8" w:space="0" w:color="auto"/>
              <w:left w:val="nil"/>
              <w:bottom w:val="nil"/>
              <w:right w:val="single" w:sz="4" w:space="0" w:color="auto"/>
            </w:tcBorders>
            <w:shd w:val="clear" w:color="auto" w:fill="auto"/>
            <w:noWrap/>
            <w:vAlign w:val="bottom"/>
            <w:hideMark/>
          </w:tcPr>
          <w:p w14:paraId="566D6994" w14:textId="77777777" w:rsidR="00DA77A7" w:rsidRPr="00DA77A7" w:rsidRDefault="00DA77A7" w:rsidP="00DA77A7">
            <w:pPr>
              <w:spacing w:after="0" w:line="240" w:lineRule="auto"/>
              <w:rPr>
                <w:rFonts w:ascii="Calibri" w:eastAsia="Times New Roman" w:hAnsi="Calibri" w:cs="Arial"/>
                <w:sz w:val="20"/>
                <w:szCs w:val="20"/>
                <w:lang w:eastAsia="cs-CZ"/>
              </w:rPr>
            </w:pPr>
            <w:r w:rsidRPr="00DA77A7">
              <w:rPr>
                <w:rFonts w:ascii="Calibri" w:eastAsia="Times New Roman" w:hAnsi="Calibri" w:cs="Arial"/>
                <w:sz w:val="20"/>
                <w:szCs w:val="20"/>
                <w:lang w:eastAsia="cs-CZ"/>
              </w:rPr>
              <w:t>Vrácené příjmy z pronájmu (UZ 040)</w:t>
            </w:r>
          </w:p>
        </w:tc>
        <w:tc>
          <w:tcPr>
            <w:tcW w:w="1394" w:type="dxa"/>
            <w:tcBorders>
              <w:top w:val="single" w:sz="8" w:space="0" w:color="auto"/>
              <w:left w:val="nil"/>
              <w:bottom w:val="nil"/>
              <w:right w:val="single" w:sz="4" w:space="0" w:color="auto"/>
            </w:tcBorders>
            <w:shd w:val="clear" w:color="auto" w:fill="auto"/>
            <w:noWrap/>
            <w:vAlign w:val="bottom"/>
            <w:hideMark/>
          </w:tcPr>
          <w:p w14:paraId="3E783320"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0</w:t>
            </w:r>
          </w:p>
        </w:tc>
        <w:tc>
          <w:tcPr>
            <w:tcW w:w="1671" w:type="dxa"/>
            <w:tcBorders>
              <w:top w:val="single" w:sz="8" w:space="0" w:color="auto"/>
              <w:left w:val="nil"/>
              <w:bottom w:val="nil"/>
              <w:right w:val="single" w:sz="4" w:space="0" w:color="auto"/>
            </w:tcBorders>
            <w:shd w:val="clear" w:color="auto" w:fill="auto"/>
            <w:noWrap/>
            <w:vAlign w:val="bottom"/>
            <w:hideMark/>
          </w:tcPr>
          <w:p w14:paraId="244E1CBB"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8 647 673,04</w:t>
            </w:r>
          </w:p>
        </w:tc>
        <w:tc>
          <w:tcPr>
            <w:tcW w:w="1684" w:type="dxa"/>
            <w:tcBorders>
              <w:top w:val="single" w:sz="8" w:space="0" w:color="auto"/>
              <w:left w:val="nil"/>
              <w:bottom w:val="nil"/>
              <w:right w:val="single" w:sz="4" w:space="0" w:color="auto"/>
            </w:tcBorders>
            <w:shd w:val="clear" w:color="auto" w:fill="auto"/>
            <w:noWrap/>
            <w:vAlign w:val="bottom"/>
            <w:hideMark/>
          </w:tcPr>
          <w:p w14:paraId="63B0FE0F"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8 423 237,14</w:t>
            </w:r>
          </w:p>
        </w:tc>
        <w:tc>
          <w:tcPr>
            <w:tcW w:w="576" w:type="dxa"/>
            <w:tcBorders>
              <w:top w:val="single" w:sz="8" w:space="0" w:color="auto"/>
              <w:left w:val="nil"/>
              <w:bottom w:val="nil"/>
              <w:right w:val="single" w:sz="8" w:space="0" w:color="auto"/>
            </w:tcBorders>
            <w:shd w:val="clear" w:color="auto" w:fill="auto"/>
            <w:noWrap/>
            <w:vAlign w:val="bottom"/>
            <w:hideMark/>
          </w:tcPr>
          <w:p w14:paraId="180F7445"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97,4</w:t>
            </w:r>
          </w:p>
        </w:tc>
      </w:tr>
      <w:tr w:rsidR="00AF5B41" w:rsidRPr="00DA77A7" w14:paraId="47BDC98F" w14:textId="77777777" w:rsidTr="0042584A">
        <w:trPr>
          <w:trHeight w:val="32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3A79D15D" w14:textId="77777777" w:rsidR="00DA77A7" w:rsidRPr="00DA77A7" w:rsidRDefault="00DA77A7" w:rsidP="00DA77A7">
            <w:pPr>
              <w:spacing w:after="0" w:line="240" w:lineRule="auto"/>
              <w:jc w:val="center"/>
              <w:rPr>
                <w:rFonts w:ascii="Calibri" w:eastAsia="Times New Roman" w:hAnsi="Calibri" w:cs="Arial"/>
                <w:b/>
                <w:bCs/>
                <w:sz w:val="20"/>
                <w:szCs w:val="20"/>
                <w:lang w:eastAsia="cs-CZ"/>
              </w:rPr>
            </w:pPr>
            <w:r w:rsidRPr="00DA77A7">
              <w:rPr>
                <w:rFonts w:ascii="Calibri" w:eastAsia="Times New Roman" w:hAnsi="Calibri" w:cs="Arial"/>
                <w:b/>
                <w:bCs/>
                <w:sz w:val="20"/>
                <w:szCs w:val="20"/>
                <w:lang w:eastAsia="cs-CZ"/>
              </w:rPr>
              <w:t> </w:t>
            </w:r>
          </w:p>
        </w:tc>
        <w:tc>
          <w:tcPr>
            <w:tcW w:w="4085" w:type="dxa"/>
            <w:tcBorders>
              <w:top w:val="single" w:sz="4" w:space="0" w:color="auto"/>
              <w:left w:val="nil"/>
              <w:bottom w:val="nil"/>
              <w:right w:val="single" w:sz="4" w:space="0" w:color="auto"/>
            </w:tcBorders>
            <w:shd w:val="clear" w:color="auto" w:fill="auto"/>
            <w:vAlign w:val="bottom"/>
            <w:hideMark/>
          </w:tcPr>
          <w:p w14:paraId="6E61A0D1" w14:textId="77777777" w:rsidR="00DA77A7" w:rsidRPr="00DA77A7" w:rsidRDefault="00DA77A7" w:rsidP="00DA77A7">
            <w:pPr>
              <w:spacing w:after="0" w:line="240" w:lineRule="auto"/>
              <w:rPr>
                <w:rFonts w:ascii="Calibri" w:eastAsia="Times New Roman" w:hAnsi="Calibri" w:cs="Arial"/>
                <w:sz w:val="20"/>
                <w:szCs w:val="20"/>
                <w:lang w:eastAsia="cs-CZ"/>
              </w:rPr>
            </w:pPr>
            <w:r w:rsidRPr="00DA77A7">
              <w:rPr>
                <w:rFonts w:ascii="Calibri" w:eastAsia="Times New Roman" w:hAnsi="Calibri" w:cs="Arial"/>
                <w:sz w:val="20"/>
                <w:szCs w:val="20"/>
                <w:lang w:eastAsia="cs-CZ"/>
              </w:rPr>
              <w:t>Vrácené příjmy z pronájmu z minulých let (UZ 041)</w:t>
            </w:r>
          </w:p>
        </w:tc>
        <w:tc>
          <w:tcPr>
            <w:tcW w:w="1394" w:type="dxa"/>
            <w:tcBorders>
              <w:top w:val="single" w:sz="4" w:space="0" w:color="auto"/>
              <w:left w:val="nil"/>
              <w:bottom w:val="nil"/>
              <w:right w:val="single" w:sz="4" w:space="0" w:color="auto"/>
            </w:tcBorders>
            <w:shd w:val="clear" w:color="auto" w:fill="auto"/>
            <w:noWrap/>
            <w:vAlign w:val="bottom"/>
            <w:hideMark/>
          </w:tcPr>
          <w:p w14:paraId="32636F6F"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0</w:t>
            </w:r>
          </w:p>
        </w:tc>
        <w:tc>
          <w:tcPr>
            <w:tcW w:w="1671" w:type="dxa"/>
            <w:tcBorders>
              <w:top w:val="single" w:sz="4" w:space="0" w:color="auto"/>
              <w:left w:val="nil"/>
              <w:bottom w:val="nil"/>
              <w:right w:val="single" w:sz="4" w:space="0" w:color="auto"/>
            </w:tcBorders>
            <w:shd w:val="clear" w:color="auto" w:fill="auto"/>
            <w:noWrap/>
            <w:vAlign w:val="bottom"/>
            <w:hideMark/>
          </w:tcPr>
          <w:p w14:paraId="2BB6B264"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3 341 348,03</w:t>
            </w:r>
          </w:p>
        </w:tc>
        <w:tc>
          <w:tcPr>
            <w:tcW w:w="1684" w:type="dxa"/>
            <w:tcBorders>
              <w:top w:val="single" w:sz="4" w:space="0" w:color="auto"/>
              <w:left w:val="nil"/>
              <w:bottom w:val="nil"/>
              <w:right w:val="single" w:sz="4" w:space="0" w:color="auto"/>
            </w:tcBorders>
            <w:shd w:val="clear" w:color="auto" w:fill="auto"/>
            <w:noWrap/>
            <w:vAlign w:val="bottom"/>
            <w:hideMark/>
          </w:tcPr>
          <w:p w14:paraId="1AE68198"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3 322 920,32</w:t>
            </w:r>
          </w:p>
        </w:tc>
        <w:tc>
          <w:tcPr>
            <w:tcW w:w="576" w:type="dxa"/>
            <w:tcBorders>
              <w:top w:val="single" w:sz="4" w:space="0" w:color="auto"/>
              <w:left w:val="nil"/>
              <w:bottom w:val="nil"/>
              <w:right w:val="single" w:sz="8" w:space="0" w:color="auto"/>
            </w:tcBorders>
            <w:shd w:val="clear" w:color="auto" w:fill="auto"/>
            <w:noWrap/>
            <w:vAlign w:val="bottom"/>
            <w:hideMark/>
          </w:tcPr>
          <w:p w14:paraId="180660D7"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99,4</w:t>
            </w:r>
          </w:p>
        </w:tc>
      </w:tr>
      <w:tr w:rsidR="00AF5B41" w:rsidRPr="00DA77A7" w14:paraId="7CC058CB" w14:textId="77777777" w:rsidTr="0042584A">
        <w:trPr>
          <w:trHeight w:val="320"/>
        </w:trPr>
        <w:tc>
          <w:tcPr>
            <w:tcW w:w="1231"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56EA484B" w14:textId="77777777" w:rsidR="00DA77A7" w:rsidRPr="00DA77A7" w:rsidRDefault="00DA77A7" w:rsidP="00DA77A7">
            <w:pPr>
              <w:spacing w:after="0" w:line="240" w:lineRule="auto"/>
              <w:jc w:val="center"/>
              <w:rPr>
                <w:rFonts w:ascii="Calibri" w:eastAsia="Times New Roman" w:hAnsi="Calibri" w:cs="Arial"/>
                <w:b/>
                <w:bCs/>
                <w:sz w:val="24"/>
                <w:szCs w:val="24"/>
                <w:lang w:eastAsia="cs-CZ"/>
              </w:rPr>
            </w:pPr>
            <w:r w:rsidRPr="00DA77A7">
              <w:rPr>
                <w:rFonts w:ascii="Calibri" w:eastAsia="Times New Roman" w:hAnsi="Calibri" w:cs="Arial"/>
                <w:b/>
                <w:bCs/>
                <w:sz w:val="24"/>
                <w:szCs w:val="24"/>
                <w:lang w:eastAsia="cs-CZ"/>
              </w:rPr>
              <w:t> </w:t>
            </w:r>
          </w:p>
        </w:tc>
        <w:tc>
          <w:tcPr>
            <w:tcW w:w="4085" w:type="dxa"/>
            <w:tcBorders>
              <w:top w:val="single" w:sz="8" w:space="0" w:color="auto"/>
              <w:left w:val="nil"/>
              <w:bottom w:val="single" w:sz="8" w:space="0" w:color="auto"/>
              <w:right w:val="single" w:sz="4" w:space="0" w:color="auto"/>
            </w:tcBorders>
            <w:shd w:val="clear" w:color="auto" w:fill="auto"/>
            <w:noWrap/>
            <w:vAlign w:val="bottom"/>
            <w:hideMark/>
          </w:tcPr>
          <w:p w14:paraId="74E43AD0" w14:textId="77777777" w:rsidR="00DA77A7" w:rsidRPr="00DA77A7" w:rsidRDefault="00DA77A7" w:rsidP="00DA77A7">
            <w:pPr>
              <w:spacing w:after="0" w:line="240" w:lineRule="auto"/>
              <w:rPr>
                <w:rFonts w:ascii="Calibri" w:eastAsia="Times New Roman" w:hAnsi="Calibri" w:cs="Arial"/>
                <w:b/>
                <w:bCs/>
                <w:lang w:eastAsia="cs-CZ"/>
              </w:rPr>
            </w:pPr>
            <w:r w:rsidRPr="00DA77A7">
              <w:rPr>
                <w:rFonts w:ascii="Calibri" w:eastAsia="Times New Roman" w:hAnsi="Calibri" w:cs="Arial"/>
                <w:b/>
                <w:bCs/>
                <w:lang w:eastAsia="cs-CZ"/>
              </w:rPr>
              <w:t>Celkem</w:t>
            </w:r>
          </w:p>
        </w:tc>
        <w:tc>
          <w:tcPr>
            <w:tcW w:w="1394" w:type="dxa"/>
            <w:tcBorders>
              <w:top w:val="single" w:sz="8" w:space="0" w:color="auto"/>
              <w:left w:val="nil"/>
              <w:bottom w:val="single" w:sz="8" w:space="0" w:color="auto"/>
              <w:right w:val="single" w:sz="4" w:space="0" w:color="auto"/>
            </w:tcBorders>
            <w:shd w:val="clear" w:color="auto" w:fill="auto"/>
            <w:noWrap/>
            <w:vAlign w:val="bottom"/>
            <w:hideMark/>
          </w:tcPr>
          <w:p w14:paraId="72B12808" w14:textId="77777777" w:rsidR="00DA77A7" w:rsidRPr="00DA77A7" w:rsidRDefault="00DA77A7" w:rsidP="00DA77A7">
            <w:pPr>
              <w:spacing w:after="0" w:line="240" w:lineRule="auto"/>
              <w:jc w:val="right"/>
              <w:rPr>
                <w:rFonts w:ascii="Calibri" w:eastAsia="Times New Roman" w:hAnsi="Calibri" w:cs="Arial"/>
                <w:b/>
                <w:bCs/>
                <w:lang w:eastAsia="cs-CZ"/>
              </w:rPr>
            </w:pPr>
            <w:r w:rsidRPr="00DA77A7">
              <w:rPr>
                <w:rFonts w:ascii="Calibri" w:eastAsia="Times New Roman" w:hAnsi="Calibri" w:cs="Arial"/>
                <w:b/>
                <w:bCs/>
                <w:lang w:eastAsia="cs-CZ"/>
              </w:rPr>
              <w:t>0</w:t>
            </w:r>
          </w:p>
        </w:tc>
        <w:tc>
          <w:tcPr>
            <w:tcW w:w="1671" w:type="dxa"/>
            <w:tcBorders>
              <w:top w:val="single" w:sz="8" w:space="0" w:color="auto"/>
              <w:left w:val="nil"/>
              <w:bottom w:val="single" w:sz="8" w:space="0" w:color="auto"/>
              <w:right w:val="single" w:sz="4" w:space="0" w:color="auto"/>
            </w:tcBorders>
            <w:shd w:val="clear" w:color="auto" w:fill="auto"/>
            <w:noWrap/>
            <w:vAlign w:val="bottom"/>
            <w:hideMark/>
          </w:tcPr>
          <w:p w14:paraId="1159BF75" w14:textId="77777777" w:rsidR="00DA77A7" w:rsidRPr="00DA77A7" w:rsidRDefault="00DA77A7" w:rsidP="00DA77A7">
            <w:pPr>
              <w:spacing w:after="0" w:line="240" w:lineRule="auto"/>
              <w:jc w:val="right"/>
              <w:rPr>
                <w:rFonts w:ascii="Calibri" w:eastAsia="Times New Roman" w:hAnsi="Calibri" w:cs="Arial"/>
                <w:b/>
                <w:bCs/>
                <w:lang w:eastAsia="cs-CZ"/>
              </w:rPr>
            </w:pPr>
            <w:r w:rsidRPr="00DA77A7">
              <w:rPr>
                <w:rFonts w:ascii="Calibri" w:eastAsia="Times New Roman" w:hAnsi="Calibri" w:cs="Arial"/>
                <w:b/>
                <w:bCs/>
                <w:lang w:eastAsia="cs-CZ"/>
              </w:rPr>
              <w:t>11 989 021,07</w:t>
            </w:r>
          </w:p>
        </w:tc>
        <w:tc>
          <w:tcPr>
            <w:tcW w:w="1684" w:type="dxa"/>
            <w:tcBorders>
              <w:top w:val="single" w:sz="8" w:space="0" w:color="auto"/>
              <w:left w:val="nil"/>
              <w:bottom w:val="single" w:sz="8" w:space="0" w:color="auto"/>
              <w:right w:val="single" w:sz="4" w:space="0" w:color="auto"/>
            </w:tcBorders>
            <w:shd w:val="clear" w:color="auto" w:fill="auto"/>
            <w:noWrap/>
            <w:vAlign w:val="bottom"/>
            <w:hideMark/>
          </w:tcPr>
          <w:p w14:paraId="3B12AB6B" w14:textId="77777777" w:rsidR="00DA77A7" w:rsidRPr="00DA77A7" w:rsidRDefault="00DA77A7" w:rsidP="00DA77A7">
            <w:pPr>
              <w:spacing w:after="0" w:line="240" w:lineRule="auto"/>
              <w:jc w:val="right"/>
              <w:rPr>
                <w:rFonts w:ascii="Calibri" w:eastAsia="Times New Roman" w:hAnsi="Calibri" w:cs="Arial"/>
                <w:b/>
                <w:bCs/>
                <w:lang w:eastAsia="cs-CZ"/>
              </w:rPr>
            </w:pPr>
            <w:r w:rsidRPr="00DA77A7">
              <w:rPr>
                <w:rFonts w:ascii="Calibri" w:eastAsia="Times New Roman" w:hAnsi="Calibri" w:cs="Arial"/>
                <w:b/>
                <w:bCs/>
                <w:lang w:eastAsia="cs-CZ"/>
              </w:rPr>
              <w:t>11 746 157,46</w:t>
            </w:r>
          </w:p>
        </w:tc>
        <w:tc>
          <w:tcPr>
            <w:tcW w:w="576" w:type="dxa"/>
            <w:tcBorders>
              <w:top w:val="single" w:sz="8" w:space="0" w:color="auto"/>
              <w:left w:val="nil"/>
              <w:bottom w:val="single" w:sz="8" w:space="0" w:color="auto"/>
              <w:right w:val="single" w:sz="8" w:space="0" w:color="auto"/>
            </w:tcBorders>
            <w:shd w:val="clear" w:color="auto" w:fill="auto"/>
            <w:noWrap/>
            <w:vAlign w:val="bottom"/>
            <w:hideMark/>
          </w:tcPr>
          <w:p w14:paraId="5646FF63" w14:textId="77777777" w:rsidR="00DA77A7" w:rsidRPr="00DA77A7" w:rsidRDefault="00DA77A7" w:rsidP="00DA77A7">
            <w:pPr>
              <w:spacing w:after="0" w:line="240" w:lineRule="auto"/>
              <w:jc w:val="right"/>
              <w:rPr>
                <w:rFonts w:ascii="Calibri" w:eastAsia="Times New Roman" w:hAnsi="Calibri" w:cs="Arial"/>
                <w:b/>
                <w:bCs/>
                <w:lang w:eastAsia="cs-CZ"/>
              </w:rPr>
            </w:pPr>
            <w:r w:rsidRPr="00DA77A7">
              <w:rPr>
                <w:rFonts w:ascii="Calibri" w:eastAsia="Times New Roman" w:hAnsi="Calibri" w:cs="Arial"/>
                <w:b/>
                <w:bCs/>
                <w:lang w:eastAsia="cs-CZ"/>
              </w:rPr>
              <w:t>98,0</w:t>
            </w:r>
          </w:p>
        </w:tc>
      </w:tr>
      <w:tr w:rsidR="00AF5B41" w:rsidRPr="00DA77A7" w14:paraId="3D24C51E" w14:textId="77777777" w:rsidTr="0042584A">
        <w:trPr>
          <w:trHeight w:val="300"/>
        </w:trPr>
        <w:tc>
          <w:tcPr>
            <w:tcW w:w="1231" w:type="dxa"/>
            <w:tcBorders>
              <w:top w:val="nil"/>
              <w:left w:val="nil"/>
              <w:bottom w:val="nil"/>
              <w:right w:val="nil"/>
            </w:tcBorders>
            <w:shd w:val="clear" w:color="auto" w:fill="auto"/>
            <w:noWrap/>
            <w:vAlign w:val="bottom"/>
            <w:hideMark/>
          </w:tcPr>
          <w:p w14:paraId="7A1B7029" w14:textId="77777777" w:rsidR="00DA77A7" w:rsidRPr="00DA77A7" w:rsidRDefault="00DA77A7" w:rsidP="00DA77A7">
            <w:pPr>
              <w:spacing w:after="0" w:line="240" w:lineRule="auto"/>
              <w:jc w:val="right"/>
              <w:rPr>
                <w:rFonts w:ascii="Calibri" w:eastAsia="Times New Roman" w:hAnsi="Calibri" w:cs="Arial"/>
                <w:b/>
                <w:bCs/>
                <w:lang w:eastAsia="cs-CZ"/>
              </w:rPr>
            </w:pPr>
          </w:p>
        </w:tc>
        <w:tc>
          <w:tcPr>
            <w:tcW w:w="4085" w:type="dxa"/>
            <w:tcBorders>
              <w:top w:val="nil"/>
              <w:left w:val="nil"/>
              <w:bottom w:val="nil"/>
              <w:right w:val="nil"/>
            </w:tcBorders>
            <w:shd w:val="clear" w:color="auto" w:fill="auto"/>
            <w:noWrap/>
            <w:vAlign w:val="bottom"/>
            <w:hideMark/>
          </w:tcPr>
          <w:p w14:paraId="09AABE06" w14:textId="77777777" w:rsidR="00DA77A7" w:rsidRPr="00DA77A7" w:rsidRDefault="00DA77A7" w:rsidP="00DA77A7">
            <w:pPr>
              <w:spacing w:after="0" w:line="240" w:lineRule="auto"/>
              <w:rPr>
                <w:rFonts w:ascii="Times New Roman" w:eastAsia="Times New Roman" w:hAnsi="Times New Roman" w:cs="Times New Roman"/>
                <w:sz w:val="20"/>
                <w:szCs w:val="20"/>
                <w:lang w:eastAsia="cs-CZ"/>
              </w:rPr>
            </w:pPr>
          </w:p>
        </w:tc>
        <w:tc>
          <w:tcPr>
            <w:tcW w:w="1394" w:type="dxa"/>
            <w:tcBorders>
              <w:top w:val="nil"/>
              <w:left w:val="nil"/>
              <w:bottom w:val="nil"/>
              <w:right w:val="nil"/>
            </w:tcBorders>
            <w:shd w:val="clear" w:color="auto" w:fill="auto"/>
            <w:noWrap/>
            <w:vAlign w:val="bottom"/>
            <w:hideMark/>
          </w:tcPr>
          <w:p w14:paraId="764899A8" w14:textId="77777777" w:rsidR="00DA77A7" w:rsidRPr="00DA77A7" w:rsidRDefault="00DA77A7" w:rsidP="00DA77A7">
            <w:pPr>
              <w:spacing w:after="0" w:line="240" w:lineRule="auto"/>
              <w:rPr>
                <w:rFonts w:ascii="Times New Roman" w:eastAsia="Times New Roman" w:hAnsi="Times New Roman" w:cs="Times New Roman"/>
                <w:sz w:val="20"/>
                <w:szCs w:val="20"/>
                <w:lang w:eastAsia="cs-CZ"/>
              </w:rPr>
            </w:pPr>
          </w:p>
        </w:tc>
        <w:tc>
          <w:tcPr>
            <w:tcW w:w="1671" w:type="dxa"/>
            <w:tcBorders>
              <w:top w:val="nil"/>
              <w:left w:val="nil"/>
              <w:bottom w:val="nil"/>
              <w:right w:val="nil"/>
            </w:tcBorders>
            <w:shd w:val="clear" w:color="auto" w:fill="auto"/>
            <w:noWrap/>
            <w:vAlign w:val="bottom"/>
            <w:hideMark/>
          </w:tcPr>
          <w:p w14:paraId="5A3BCC0C" w14:textId="77777777" w:rsidR="00DA77A7" w:rsidRPr="00DA77A7" w:rsidRDefault="00DA77A7" w:rsidP="00DA77A7">
            <w:pPr>
              <w:spacing w:after="0" w:line="240" w:lineRule="auto"/>
              <w:jc w:val="right"/>
              <w:rPr>
                <w:rFonts w:ascii="Times New Roman" w:eastAsia="Times New Roman" w:hAnsi="Times New Roman" w:cs="Times New Roman"/>
                <w:sz w:val="20"/>
                <w:szCs w:val="20"/>
                <w:lang w:eastAsia="cs-CZ"/>
              </w:rPr>
            </w:pPr>
          </w:p>
        </w:tc>
        <w:tc>
          <w:tcPr>
            <w:tcW w:w="1684" w:type="dxa"/>
            <w:tcBorders>
              <w:top w:val="nil"/>
              <w:left w:val="nil"/>
              <w:bottom w:val="nil"/>
              <w:right w:val="nil"/>
            </w:tcBorders>
            <w:shd w:val="clear" w:color="auto" w:fill="auto"/>
            <w:noWrap/>
            <w:vAlign w:val="bottom"/>
            <w:hideMark/>
          </w:tcPr>
          <w:p w14:paraId="430FD8AD" w14:textId="77777777" w:rsidR="00DA77A7" w:rsidRPr="00DA77A7" w:rsidRDefault="00DA77A7" w:rsidP="00DA77A7">
            <w:pPr>
              <w:spacing w:after="0" w:line="240" w:lineRule="auto"/>
              <w:jc w:val="right"/>
              <w:rPr>
                <w:rFonts w:ascii="Times New Roman" w:eastAsia="Times New Roman" w:hAnsi="Times New Roman" w:cs="Times New Roman"/>
                <w:sz w:val="20"/>
                <w:szCs w:val="20"/>
                <w:lang w:eastAsia="cs-CZ"/>
              </w:rPr>
            </w:pPr>
          </w:p>
        </w:tc>
        <w:tc>
          <w:tcPr>
            <w:tcW w:w="576" w:type="dxa"/>
            <w:tcBorders>
              <w:top w:val="nil"/>
              <w:left w:val="nil"/>
              <w:bottom w:val="nil"/>
              <w:right w:val="nil"/>
            </w:tcBorders>
            <w:shd w:val="clear" w:color="auto" w:fill="auto"/>
            <w:noWrap/>
            <w:vAlign w:val="bottom"/>
            <w:hideMark/>
          </w:tcPr>
          <w:p w14:paraId="51F84967" w14:textId="77777777" w:rsidR="00DA77A7" w:rsidRPr="00DA77A7" w:rsidRDefault="00DA77A7" w:rsidP="00DA77A7">
            <w:pPr>
              <w:spacing w:after="0" w:line="240" w:lineRule="auto"/>
              <w:jc w:val="right"/>
              <w:rPr>
                <w:rFonts w:ascii="Times New Roman" w:eastAsia="Times New Roman" w:hAnsi="Times New Roman" w:cs="Times New Roman"/>
                <w:sz w:val="20"/>
                <w:szCs w:val="20"/>
                <w:lang w:eastAsia="cs-CZ"/>
              </w:rPr>
            </w:pPr>
          </w:p>
        </w:tc>
      </w:tr>
      <w:tr w:rsidR="00AF5B41" w:rsidRPr="00DA77A7" w14:paraId="27230E47" w14:textId="77777777" w:rsidTr="0042584A">
        <w:trPr>
          <w:trHeight w:val="360"/>
        </w:trPr>
        <w:tc>
          <w:tcPr>
            <w:tcW w:w="1231" w:type="dxa"/>
            <w:tcBorders>
              <w:top w:val="nil"/>
              <w:left w:val="nil"/>
              <w:bottom w:val="nil"/>
              <w:right w:val="nil"/>
            </w:tcBorders>
            <w:shd w:val="clear" w:color="auto" w:fill="auto"/>
            <w:noWrap/>
            <w:vAlign w:val="bottom"/>
            <w:hideMark/>
          </w:tcPr>
          <w:p w14:paraId="46AADB6D" w14:textId="77777777" w:rsidR="00DA77A7" w:rsidRPr="00DA77A7" w:rsidRDefault="00DA77A7" w:rsidP="00DA77A7">
            <w:pPr>
              <w:spacing w:after="0" w:line="240" w:lineRule="auto"/>
              <w:rPr>
                <w:rFonts w:ascii="Times New Roman" w:eastAsia="Times New Roman" w:hAnsi="Times New Roman" w:cs="Times New Roman"/>
                <w:sz w:val="20"/>
                <w:szCs w:val="20"/>
                <w:lang w:eastAsia="cs-CZ"/>
              </w:rPr>
            </w:pPr>
          </w:p>
        </w:tc>
        <w:tc>
          <w:tcPr>
            <w:tcW w:w="4085" w:type="dxa"/>
            <w:tcBorders>
              <w:top w:val="nil"/>
              <w:left w:val="nil"/>
              <w:bottom w:val="nil"/>
              <w:right w:val="nil"/>
            </w:tcBorders>
            <w:shd w:val="clear" w:color="000000" w:fill="FFFFFF"/>
            <w:noWrap/>
            <w:vAlign w:val="bottom"/>
            <w:hideMark/>
          </w:tcPr>
          <w:p w14:paraId="23B0C209" w14:textId="77777777" w:rsidR="00DA77A7" w:rsidRPr="00DA77A7" w:rsidRDefault="00DA77A7" w:rsidP="00DA77A7">
            <w:pPr>
              <w:spacing w:after="0" w:line="240" w:lineRule="auto"/>
              <w:rPr>
                <w:rFonts w:ascii="Calibri" w:eastAsia="Times New Roman" w:hAnsi="Calibri" w:cs="Arial"/>
                <w:b/>
                <w:bCs/>
                <w:lang w:eastAsia="cs-CZ"/>
              </w:rPr>
            </w:pPr>
            <w:r w:rsidRPr="00DA77A7">
              <w:rPr>
                <w:rFonts w:ascii="Calibri" w:eastAsia="Times New Roman" w:hAnsi="Calibri" w:cs="Arial"/>
                <w:b/>
                <w:bCs/>
                <w:lang w:eastAsia="cs-CZ"/>
              </w:rPr>
              <w:t>Kapitálové výdaje</w:t>
            </w:r>
          </w:p>
        </w:tc>
        <w:tc>
          <w:tcPr>
            <w:tcW w:w="1394" w:type="dxa"/>
            <w:tcBorders>
              <w:top w:val="nil"/>
              <w:left w:val="nil"/>
              <w:bottom w:val="nil"/>
              <w:right w:val="nil"/>
            </w:tcBorders>
            <w:shd w:val="clear" w:color="auto" w:fill="auto"/>
            <w:noWrap/>
            <w:vAlign w:val="bottom"/>
            <w:hideMark/>
          </w:tcPr>
          <w:p w14:paraId="4F109A27" w14:textId="77777777" w:rsidR="00DA77A7" w:rsidRPr="00DA77A7" w:rsidRDefault="00DA77A7" w:rsidP="00DA77A7">
            <w:pPr>
              <w:spacing w:after="0" w:line="240" w:lineRule="auto"/>
              <w:rPr>
                <w:rFonts w:ascii="Calibri" w:eastAsia="Times New Roman" w:hAnsi="Calibri" w:cs="Arial"/>
                <w:b/>
                <w:bCs/>
                <w:lang w:eastAsia="cs-CZ"/>
              </w:rPr>
            </w:pPr>
          </w:p>
        </w:tc>
        <w:tc>
          <w:tcPr>
            <w:tcW w:w="1671" w:type="dxa"/>
            <w:tcBorders>
              <w:top w:val="nil"/>
              <w:left w:val="nil"/>
              <w:bottom w:val="nil"/>
              <w:right w:val="nil"/>
            </w:tcBorders>
            <w:shd w:val="clear" w:color="auto" w:fill="auto"/>
            <w:noWrap/>
            <w:vAlign w:val="bottom"/>
            <w:hideMark/>
          </w:tcPr>
          <w:p w14:paraId="4AF69D90" w14:textId="77777777" w:rsidR="00DA77A7" w:rsidRPr="00DA77A7" w:rsidRDefault="00DA77A7" w:rsidP="00DA77A7">
            <w:pPr>
              <w:spacing w:after="0" w:line="240" w:lineRule="auto"/>
              <w:rPr>
                <w:rFonts w:ascii="Times New Roman" w:eastAsia="Times New Roman" w:hAnsi="Times New Roman" w:cs="Times New Roman"/>
                <w:sz w:val="20"/>
                <w:szCs w:val="20"/>
                <w:lang w:eastAsia="cs-CZ"/>
              </w:rPr>
            </w:pPr>
          </w:p>
        </w:tc>
        <w:tc>
          <w:tcPr>
            <w:tcW w:w="1684" w:type="dxa"/>
            <w:tcBorders>
              <w:top w:val="nil"/>
              <w:left w:val="nil"/>
              <w:bottom w:val="nil"/>
              <w:right w:val="nil"/>
            </w:tcBorders>
            <w:shd w:val="clear" w:color="auto" w:fill="auto"/>
            <w:noWrap/>
            <w:vAlign w:val="bottom"/>
            <w:hideMark/>
          </w:tcPr>
          <w:p w14:paraId="72077D85" w14:textId="77777777" w:rsidR="00DA77A7" w:rsidRPr="00DA77A7" w:rsidRDefault="00DA77A7" w:rsidP="00DA77A7">
            <w:pPr>
              <w:spacing w:after="0" w:line="240" w:lineRule="auto"/>
              <w:rPr>
                <w:rFonts w:ascii="Times New Roman" w:eastAsia="Times New Roman" w:hAnsi="Times New Roman" w:cs="Times New Roman"/>
                <w:sz w:val="20"/>
                <w:szCs w:val="20"/>
                <w:lang w:eastAsia="cs-CZ"/>
              </w:rPr>
            </w:pPr>
          </w:p>
        </w:tc>
        <w:tc>
          <w:tcPr>
            <w:tcW w:w="576" w:type="dxa"/>
            <w:tcBorders>
              <w:top w:val="nil"/>
              <w:left w:val="nil"/>
              <w:bottom w:val="nil"/>
              <w:right w:val="nil"/>
            </w:tcBorders>
            <w:shd w:val="clear" w:color="auto" w:fill="auto"/>
            <w:noWrap/>
            <w:vAlign w:val="bottom"/>
            <w:hideMark/>
          </w:tcPr>
          <w:p w14:paraId="246739D9" w14:textId="77777777" w:rsidR="00DA77A7" w:rsidRPr="00DA77A7" w:rsidRDefault="00DA77A7" w:rsidP="00DA77A7">
            <w:pPr>
              <w:spacing w:after="0" w:line="240" w:lineRule="auto"/>
              <w:jc w:val="right"/>
              <w:rPr>
                <w:rFonts w:ascii="Times New Roman" w:eastAsia="Times New Roman" w:hAnsi="Times New Roman" w:cs="Times New Roman"/>
                <w:sz w:val="20"/>
                <w:szCs w:val="20"/>
                <w:lang w:eastAsia="cs-CZ"/>
              </w:rPr>
            </w:pPr>
          </w:p>
        </w:tc>
      </w:tr>
      <w:tr w:rsidR="00AF5B41" w:rsidRPr="00DA77A7" w14:paraId="287A3C0E" w14:textId="77777777" w:rsidTr="0042584A">
        <w:trPr>
          <w:trHeight w:val="300"/>
        </w:trPr>
        <w:tc>
          <w:tcPr>
            <w:tcW w:w="1231"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06E78879" w14:textId="77777777" w:rsidR="00DA77A7" w:rsidRPr="00DA77A7" w:rsidRDefault="00DA77A7" w:rsidP="00DA77A7">
            <w:pPr>
              <w:spacing w:after="0" w:line="240" w:lineRule="auto"/>
              <w:jc w:val="center"/>
              <w:rPr>
                <w:rFonts w:ascii="Calibri" w:eastAsia="Times New Roman" w:hAnsi="Calibri" w:cs="Arial"/>
                <w:sz w:val="20"/>
                <w:szCs w:val="20"/>
                <w:lang w:eastAsia="cs-CZ"/>
              </w:rPr>
            </w:pPr>
            <w:r w:rsidRPr="00DA77A7">
              <w:rPr>
                <w:rFonts w:ascii="Calibri" w:eastAsia="Times New Roman" w:hAnsi="Calibri" w:cs="Arial"/>
                <w:sz w:val="20"/>
                <w:szCs w:val="20"/>
                <w:lang w:eastAsia="cs-CZ"/>
              </w:rPr>
              <w:t> </w:t>
            </w:r>
          </w:p>
        </w:tc>
        <w:tc>
          <w:tcPr>
            <w:tcW w:w="4085" w:type="dxa"/>
            <w:tcBorders>
              <w:top w:val="single" w:sz="8" w:space="0" w:color="auto"/>
              <w:left w:val="nil"/>
              <w:bottom w:val="single" w:sz="4" w:space="0" w:color="auto"/>
              <w:right w:val="single" w:sz="4" w:space="0" w:color="auto"/>
            </w:tcBorders>
            <w:shd w:val="clear" w:color="auto" w:fill="auto"/>
            <w:vAlign w:val="bottom"/>
            <w:hideMark/>
          </w:tcPr>
          <w:p w14:paraId="7B6B32CA" w14:textId="7457F9EB" w:rsidR="00DA77A7" w:rsidRPr="00DA77A7" w:rsidRDefault="00DA77A7" w:rsidP="00DA77A7">
            <w:pPr>
              <w:spacing w:after="0" w:line="240" w:lineRule="auto"/>
              <w:rPr>
                <w:rFonts w:ascii="Calibri" w:eastAsia="Times New Roman" w:hAnsi="Calibri" w:cs="Arial"/>
                <w:sz w:val="20"/>
                <w:szCs w:val="20"/>
                <w:lang w:eastAsia="cs-CZ"/>
              </w:rPr>
            </w:pPr>
            <w:r w:rsidRPr="00DA77A7">
              <w:rPr>
                <w:rFonts w:ascii="Calibri" w:eastAsia="Times New Roman" w:hAnsi="Calibri" w:cs="Arial"/>
                <w:sz w:val="20"/>
                <w:szCs w:val="20"/>
                <w:lang w:eastAsia="cs-CZ"/>
              </w:rPr>
              <w:t xml:space="preserve">Investiční příspěvky zřízeným </w:t>
            </w:r>
            <w:r w:rsidR="00165452">
              <w:rPr>
                <w:rFonts w:ascii="Calibri" w:eastAsia="Times New Roman" w:hAnsi="Calibri" w:cs="Arial"/>
                <w:sz w:val="20"/>
                <w:szCs w:val="20"/>
                <w:lang w:eastAsia="cs-CZ"/>
              </w:rPr>
              <w:t>příspěvkovým organizacím</w:t>
            </w:r>
          </w:p>
        </w:tc>
        <w:tc>
          <w:tcPr>
            <w:tcW w:w="1394" w:type="dxa"/>
            <w:tcBorders>
              <w:top w:val="single" w:sz="8" w:space="0" w:color="auto"/>
              <w:left w:val="nil"/>
              <w:bottom w:val="single" w:sz="4" w:space="0" w:color="auto"/>
              <w:right w:val="single" w:sz="4" w:space="0" w:color="auto"/>
            </w:tcBorders>
            <w:shd w:val="clear" w:color="auto" w:fill="auto"/>
            <w:noWrap/>
            <w:vAlign w:val="bottom"/>
            <w:hideMark/>
          </w:tcPr>
          <w:p w14:paraId="5A886F5C"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0</w:t>
            </w:r>
          </w:p>
        </w:tc>
        <w:tc>
          <w:tcPr>
            <w:tcW w:w="1671" w:type="dxa"/>
            <w:tcBorders>
              <w:top w:val="single" w:sz="8" w:space="0" w:color="auto"/>
              <w:left w:val="nil"/>
              <w:bottom w:val="single" w:sz="4" w:space="0" w:color="auto"/>
              <w:right w:val="single" w:sz="4" w:space="0" w:color="auto"/>
            </w:tcBorders>
            <w:shd w:val="clear" w:color="auto" w:fill="auto"/>
            <w:noWrap/>
            <w:vAlign w:val="bottom"/>
            <w:hideMark/>
          </w:tcPr>
          <w:p w14:paraId="3F24FF8D"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4 097 402,91</w:t>
            </w:r>
          </w:p>
        </w:tc>
        <w:tc>
          <w:tcPr>
            <w:tcW w:w="1684" w:type="dxa"/>
            <w:tcBorders>
              <w:top w:val="single" w:sz="8" w:space="0" w:color="auto"/>
              <w:left w:val="nil"/>
              <w:bottom w:val="single" w:sz="4" w:space="0" w:color="auto"/>
              <w:right w:val="single" w:sz="4" w:space="0" w:color="auto"/>
            </w:tcBorders>
            <w:shd w:val="clear" w:color="auto" w:fill="auto"/>
            <w:noWrap/>
            <w:vAlign w:val="bottom"/>
            <w:hideMark/>
          </w:tcPr>
          <w:p w14:paraId="096CA9FB"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2 052 937,62</w:t>
            </w:r>
          </w:p>
        </w:tc>
        <w:tc>
          <w:tcPr>
            <w:tcW w:w="576" w:type="dxa"/>
            <w:tcBorders>
              <w:top w:val="single" w:sz="8" w:space="0" w:color="auto"/>
              <w:left w:val="nil"/>
              <w:bottom w:val="single" w:sz="4" w:space="0" w:color="auto"/>
              <w:right w:val="single" w:sz="8" w:space="0" w:color="auto"/>
            </w:tcBorders>
            <w:shd w:val="clear" w:color="auto" w:fill="auto"/>
            <w:noWrap/>
            <w:vAlign w:val="bottom"/>
            <w:hideMark/>
          </w:tcPr>
          <w:p w14:paraId="28C1A8EC"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50,1</w:t>
            </w:r>
          </w:p>
        </w:tc>
      </w:tr>
      <w:tr w:rsidR="00DA77A7" w:rsidRPr="00DA77A7" w14:paraId="51619817" w14:textId="77777777" w:rsidTr="0042584A">
        <w:trPr>
          <w:trHeight w:val="315"/>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745EA226" w14:textId="77777777" w:rsidR="00DA77A7" w:rsidRPr="00DA77A7" w:rsidRDefault="00DA77A7" w:rsidP="00DA77A7">
            <w:pPr>
              <w:spacing w:after="0" w:line="240" w:lineRule="auto"/>
              <w:jc w:val="center"/>
              <w:rPr>
                <w:rFonts w:ascii="Calibri" w:eastAsia="Times New Roman" w:hAnsi="Calibri" w:cs="Arial"/>
                <w:sz w:val="19"/>
                <w:szCs w:val="19"/>
                <w:lang w:eastAsia="cs-CZ"/>
              </w:rPr>
            </w:pPr>
            <w:r w:rsidRPr="00DA77A7">
              <w:rPr>
                <w:rFonts w:ascii="Calibri" w:eastAsia="Times New Roman" w:hAnsi="Calibri" w:cs="Arial"/>
                <w:sz w:val="19"/>
                <w:szCs w:val="19"/>
                <w:lang w:eastAsia="cs-CZ"/>
              </w:rPr>
              <w:t> </w:t>
            </w:r>
          </w:p>
        </w:tc>
        <w:tc>
          <w:tcPr>
            <w:tcW w:w="9410" w:type="dxa"/>
            <w:gridSpan w:val="5"/>
            <w:tcBorders>
              <w:top w:val="single" w:sz="4" w:space="0" w:color="auto"/>
              <w:left w:val="nil"/>
              <w:bottom w:val="single" w:sz="4" w:space="0" w:color="auto"/>
              <w:right w:val="single" w:sz="8" w:space="0" w:color="000000"/>
            </w:tcBorders>
            <w:shd w:val="clear" w:color="auto" w:fill="auto"/>
            <w:vAlign w:val="bottom"/>
            <w:hideMark/>
          </w:tcPr>
          <w:p w14:paraId="6D7F8D6E" w14:textId="77777777" w:rsidR="00DA77A7" w:rsidRPr="00DA77A7" w:rsidRDefault="00DA77A7" w:rsidP="00DA77A7">
            <w:pPr>
              <w:spacing w:after="0" w:line="240" w:lineRule="auto"/>
              <w:rPr>
                <w:rFonts w:ascii="Calibri" w:eastAsia="Times New Roman" w:hAnsi="Calibri" w:cs="Arial"/>
                <w:sz w:val="20"/>
                <w:szCs w:val="20"/>
                <w:lang w:eastAsia="cs-CZ"/>
              </w:rPr>
            </w:pPr>
            <w:r w:rsidRPr="00DA77A7">
              <w:rPr>
                <w:rFonts w:ascii="Calibri" w:eastAsia="Times New Roman" w:hAnsi="Calibri" w:cs="Arial"/>
                <w:sz w:val="20"/>
                <w:szCs w:val="20"/>
                <w:lang w:eastAsia="cs-CZ"/>
              </w:rPr>
              <w:t>z toho:</w:t>
            </w:r>
          </w:p>
        </w:tc>
      </w:tr>
      <w:tr w:rsidR="00AF5B41" w:rsidRPr="00DA77A7" w14:paraId="342EC0D8"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2814902F"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3121</w:t>
            </w:r>
          </w:p>
        </w:tc>
        <w:tc>
          <w:tcPr>
            <w:tcW w:w="4085" w:type="dxa"/>
            <w:tcBorders>
              <w:top w:val="nil"/>
              <w:left w:val="nil"/>
              <w:bottom w:val="single" w:sz="4" w:space="0" w:color="auto"/>
              <w:right w:val="single" w:sz="4" w:space="0" w:color="auto"/>
            </w:tcBorders>
            <w:shd w:val="clear" w:color="auto" w:fill="auto"/>
            <w:noWrap/>
            <w:vAlign w:val="bottom"/>
            <w:hideMark/>
          </w:tcPr>
          <w:p w14:paraId="37EC2F25"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Gymnázia</w:t>
            </w:r>
          </w:p>
        </w:tc>
        <w:tc>
          <w:tcPr>
            <w:tcW w:w="1394" w:type="dxa"/>
            <w:tcBorders>
              <w:top w:val="nil"/>
              <w:left w:val="nil"/>
              <w:bottom w:val="single" w:sz="4" w:space="0" w:color="auto"/>
              <w:right w:val="single" w:sz="4" w:space="0" w:color="auto"/>
            </w:tcBorders>
            <w:shd w:val="clear" w:color="auto" w:fill="auto"/>
            <w:noWrap/>
            <w:vAlign w:val="bottom"/>
            <w:hideMark/>
          </w:tcPr>
          <w:p w14:paraId="7AD970A2"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w:t>
            </w:r>
          </w:p>
        </w:tc>
        <w:tc>
          <w:tcPr>
            <w:tcW w:w="1671" w:type="dxa"/>
            <w:tcBorders>
              <w:top w:val="nil"/>
              <w:left w:val="nil"/>
              <w:bottom w:val="single" w:sz="4" w:space="0" w:color="auto"/>
              <w:right w:val="single" w:sz="4" w:space="0" w:color="auto"/>
            </w:tcBorders>
            <w:shd w:val="clear" w:color="auto" w:fill="auto"/>
            <w:noWrap/>
            <w:vAlign w:val="bottom"/>
            <w:hideMark/>
          </w:tcPr>
          <w:p w14:paraId="02C30106"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898 283,82</w:t>
            </w:r>
          </w:p>
        </w:tc>
        <w:tc>
          <w:tcPr>
            <w:tcW w:w="1684" w:type="dxa"/>
            <w:tcBorders>
              <w:top w:val="nil"/>
              <w:left w:val="nil"/>
              <w:bottom w:val="single" w:sz="4" w:space="0" w:color="auto"/>
              <w:right w:val="single" w:sz="4" w:space="0" w:color="auto"/>
            </w:tcBorders>
            <w:shd w:val="clear" w:color="auto" w:fill="auto"/>
            <w:noWrap/>
            <w:vAlign w:val="bottom"/>
            <w:hideMark/>
          </w:tcPr>
          <w:p w14:paraId="0E0AF490"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898 283,82</w:t>
            </w:r>
          </w:p>
        </w:tc>
        <w:tc>
          <w:tcPr>
            <w:tcW w:w="576" w:type="dxa"/>
            <w:tcBorders>
              <w:top w:val="nil"/>
              <w:left w:val="nil"/>
              <w:bottom w:val="single" w:sz="4" w:space="0" w:color="auto"/>
              <w:right w:val="single" w:sz="8" w:space="0" w:color="auto"/>
            </w:tcBorders>
            <w:shd w:val="clear" w:color="auto" w:fill="auto"/>
            <w:noWrap/>
            <w:vAlign w:val="bottom"/>
            <w:hideMark/>
          </w:tcPr>
          <w:p w14:paraId="5554E053"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100,0</w:t>
            </w:r>
          </w:p>
        </w:tc>
      </w:tr>
      <w:tr w:rsidR="00AF5B41" w:rsidRPr="00DA77A7" w14:paraId="2220D5F6"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00A8FF81"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3123</w:t>
            </w:r>
          </w:p>
        </w:tc>
        <w:tc>
          <w:tcPr>
            <w:tcW w:w="4085" w:type="dxa"/>
            <w:tcBorders>
              <w:top w:val="nil"/>
              <w:left w:val="nil"/>
              <w:bottom w:val="single" w:sz="4" w:space="0" w:color="auto"/>
              <w:right w:val="single" w:sz="4" w:space="0" w:color="auto"/>
            </w:tcBorders>
            <w:shd w:val="clear" w:color="auto" w:fill="auto"/>
            <w:noWrap/>
            <w:vAlign w:val="bottom"/>
            <w:hideMark/>
          </w:tcPr>
          <w:p w14:paraId="6E5EB3F4"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Střední školy poskytující střední vzdělání s výučním listem</w:t>
            </w:r>
          </w:p>
        </w:tc>
        <w:tc>
          <w:tcPr>
            <w:tcW w:w="1394" w:type="dxa"/>
            <w:tcBorders>
              <w:top w:val="nil"/>
              <w:left w:val="nil"/>
              <w:bottom w:val="single" w:sz="4" w:space="0" w:color="auto"/>
              <w:right w:val="single" w:sz="4" w:space="0" w:color="auto"/>
            </w:tcBorders>
            <w:shd w:val="clear" w:color="auto" w:fill="auto"/>
            <w:noWrap/>
            <w:vAlign w:val="bottom"/>
            <w:hideMark/>
          </w:tcPr>
          <w:p w14:paraId="422A8B68"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w:t>
            </w:r>
          </w:p>
        </w:tc>
        <w:tc>
          <w:tcPr>
            <w:tcW w:w="1671" w:type="dxa"/>
            <w:tcBorders>
              <w:top w:val="nil"/>
              <w:left w:val="nil"/>
              <w:bottom w:val="single" w:sz="4" w:space="0" w:color="auto"/>
              <w:right w:val="single" w:sz="4" w:space="0" w:color="auto"/>
            </w:tcBorders>
            <w:shd w:val="clear" w:color="auto" w:fill="auto"/>
            <w:noWrap/>
            <w:vAlign w:val="bottom"/>
            <w:hideMark/>
          </w:tcPr>
          <w:p w14:paraId="7532EC38"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1 430 198,00</w:t>
            </w:r>
          </w:p>
        </w:tc>
        <w:tc>
          <w:tcPr>
            <w:tcW w:w="1684" w:type="dxa"/>
            <w:tcBorders>
              <w:top w:val="nil"/>
              <w:left w:val="nil"/>
              <w:bottom w:val="single" w:sz="4" w:space="0" w:color="auto"/>
              <w:right w:val="single" w:sz="4" w:space="0" w:color="auto"/>
            </w:tcBorders>
            <w:shd w:val="clear" w:color="auto" w:fill="auto"/>
            <w:noWrap/>
            <w:vAlign w:val="bottom"/>
            <w:hideMark/>
          </w:tcPr>
          <w:p w14:paraId="3D9D1F93"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410 198,00</w:t>
            </w:r>
          </w:p>
        </w:tc>
        <w:tc>
          <w:tcPr>
            <w:tcW w:w="576" w:type="dxa"/>
            <w:tcBorders>
              <w:top w:val="nil"/>
              <w:left w:val="nil"/>
              <w:bottom w:val="single" w:sz="4" w:space="0" w:color="auto"/>
              <w:right w:val="single" w:sz="8" w:space="0" w:color="auto"/>
            </w:tcBorders>
            <w:shd w:val="clear" w:color="auto" w:fill="auto"/>
            <w:noWrap/>
            <w:vAlign w:val="bottom"/>
            <w:hideMark/>
          </w:tcPr>
          <w:p w14:paraId="4FD10E5D"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28,7</w:t>
            </w:r>
          </w:p>
        </w:tc>
      </w:tr>
      <w:tr w:rsidR="00AF5B41" w:rsidRPr="00DA77A7" w14:paraId="68BEC273"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60BCFF7A"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lastRenderedPageBreak/>
              <w:t>3125</w:t>
            </w:r>
          </w:p>
        </w:tc>
        <w:tc>
          <w:tcPr>
            <w:tcW w:w="4085" w:type="dxa"/>
            <w:tcBorders>
              <w:top w:val="nil"/>
              <w:left w:val="nil"/>
              <w:bottom w:val="single" w:sz="4" w:space="0" w:color="auto"/>
              <w:right w:val="single" w:sz="4" w:space="0" w:color="auto"/>
            </w:tcBorders>
            <w:shd w:val="clear" w:color="auto" w:fill="auto"/>
            <w:noWrap/>
            <w:vAlign w:val="bottom"/>
            <w:hideMark/>
          </w:tcPr>
          <w:p w14:paraId="4DA1E59A"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Střediska praktického vyučování a školní hospodářství</w:t>
            </w:r>
          </w:p>
        </w:tc>
        <w:tc>
          <w:tcPr>
            <w:tcW w:w="1394" w:type="dxa"/>
            <w:tcBorders>
              <w:top w:val="nil"/>
              <w:left w:val="nil"/>
              <w:bottom w:val="single" w:sz="4" w:space="0" w:color="auto"/>
              <w:right w:val="single" w:sz="4" w:space="0" w:color="auto"/>
            </w:tcBorders>
            <w:shd w:val="clear" w:color="auto" w:fill="auto"/>
            <w:noWrap/>
            <w:vAlign w:val="bottom"/>
            <w:hideMark/>
          </w:tcPr>
          <w:p w14:paraId="56F22F91"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w:t>
            </w:r>
          </w:p>
        </w:tc>
        <w:tc>
          <w:tcPr>
            <w:tcW w:w="1671" w:type="dxa"/>
            <w:tcBorders>
              <w:top w:val="nil"/>
              <w:left w:val="nil"/>
              <w:bottom w:val="single" w:sz="4" w:space="0" w:color="auto"/>
              <w:right w:val="single" w:sz="4" w:space="0" w:color="auto"/>
            </w:tcBorders>
            <w:shd w:val="clear" w:color="auto" w:fill="auto"/>
            <w:noWrap/>
            <w:vAlign w:val="bottom"/>
            <w:hideMark/>
          </w:tcPr>
          <w:p w14:paraId="2417B9B9"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180 000,00</w:t>
            </w:r>
          </w:p>
        </w:tc>
        <w:tc>
          <w:tcPr>
            <w:tcW w:w="1684" w:type="dxa"/>
            <w:tcBorders>
              <w:top w:val="nil"/>
              <w:left w:val="nil"/>
              <w:bottom w:val="single" w:sz="4" w:space="0" w:color="auto"/>
              <w:right w:val="single" w:sz="4" w:space="0" w:color="auto"/>
            </w:tcBorders>
            <w:shd w:val="clear" w:color="auto" w:fill="auto"/>
            <w:noWrap/>
            <w:vAlign w:val="bottom"/>
            <w:hideMark/>
          </w:tcPr>
          <w:p w14:paraId="3D3CC533"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179 410,00</w:t>
            </w:r>
          </w:p>
        </w:tc>
        <w:tc>
          <w:tcPr>
            <w:tcW w:w="576" w:type="dxa"/>
            <w:tcBorders>
              <w:top w:val="nil"/>
              <w:left w:val="nil"/>
              <w:bottom w:val="single" w:sz="4" w:space="0" w:color="auto"/>
              <w:right w:val="single" w:sz="8" w:space="0" w:color="auto"/>
            </w:tcBorders>
            <w:shd w:val="clear" w:color="auto" w:fill="auto"/>
            <w:noWrap/>
            <w:vAlign w:val="bottom"/>
            <w:hideMark/>
          </w:tcPr>
          <w:p w14:paraId="5F660AF2"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99,7</w:t>
            </w:r>
          </w:p>
        </w:tc>
      </w:tr>
      <w:tr w:rsidR="00AF5B41" w:rsidRPr="00DA77A7" w14:paraId="2D179FD7"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79369C20"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3133</w:t>
            </w:r>
          </w:p>
        </w:tc>
        <w:tc>
          <w:tcPr>
            <w:tcW w:w="4085" w:type="dxa"/>
            <w:tcBorders>
              <w:top w:val="nil"/>
              <w:left w:val="nil"/>
              <w:bottom w:val="single" w:sz="4" w:space="0" w:color="auto"/>
              <w:right w:val="single" w:sz="4" w:space="0" w:color="auto"/>
            </w:tcBorders>
            <w:shd w:val="clear" w:color="auto" w:fill="auto"/>
            <w:noWrap/>
            <w:vAlign w:val="bottom"/>
            <w:hideMark/>
          </w:tcPr>
          <w:p w14:paraId="3F107C79"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Dětské domovy</w:t>
            </w:r>
          </w:p>
        </w:tc>
        <w:tc>
          <w:tcPr>
            <w:tcW w:w="1394" w:type="dxa"/>
            <w:tcBorders>
              <w:top w:val="nil"/>
              <w:left w:val="nil"/>
              <w:bottom w:val="single" w:sz="4" w:space="0" w:color="auto"/>
              <w:right w:val="single" w:sz="4" w:space="0" w:color="auto"/>
            </w:tcBorders>
            <w:shd w:val="clear" w:color="auto" w:fill="auto"/>
            <w:noWrap/>
            <w:vAlign w:val="bottom"/>
            <w:hideMark/>
          </w:tcPr>
          <w:p w14:paraId="768409BE"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w:t>
            </w:r>
          </w:p>
        </w:tc>
        <w:tc>
          <w:tcPr>
            <w:tcW w:w="1671" w:type="dxa"/>
            <w:tcBorders>
              <w:top w:val="nil"/>
              <w:left w:val="nil"/>
              <w:bottom w:val="single" w:sz="4" w:space="0" w:color="auto"/>
              <w:right w:val="single" w:sz="4" w:space="0" w:color="auto"/>
            </w:tcBorders>
            <w:shd w:val="clear" w:color="auto" w:fill="auto"/>
            <w:noWrap/>
            <w:vAlign w:val="bottom"/>
            <w:hideMark/>
          </w:tcPr>
          <w:p w14:paraId="4276AB6B"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1 405 046,00</w:t>
            </w:r>
          </w:p>
        </w:tc>
        <w:tc>
          <w:tcPr>
            <w:tcW w:w="1684" w:type="dxa"/>
            <w:tcBorders>
              <w:top w:val="nil"/>
              <w:left w:val="nil"/>
              <w:bottom w:val="single" w:sz="4" w:space="0" w:color="auto"/>
              <w:right w:val="single" w:sz="4" w:space="0" w:color="auto"/>
            </w:tcBorders>
            <w:shd w:val="clear" w:color="auto" w:fill="auto"/>
            <w:noWrap/>
            <w:vAlign w:val="bottom"/>
            <w:hideMark/>
          </w:tcPr>
          <w:p w14:paraId="5D9B0934"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565 045,80</w:t>
            </w:r>
          </w:p>
        </w:tc>
        <w:tc>
          <w:tcPr>
            <w:tcW w:w="576" w:type="dxa"/>
            <w:tcBorders>
              <w:top w:val="nil"/>
              <w:left w:val="nil"/>
              <w:bottom w:val="single" w:sz="4" w:space="0" w:color="auto"/>
              <w:right w:val="single" w:sz="8" w:space="0" w:color="auto"/>
            </w:tcBorders>
            <w:shd w:val="clear" w:color="auto" w:fill="auto"/>
            <w:noWrap/>
            <w:vAlign w:val="bottom"/>
            <w:hideMark/>
          </w:tcPr>
          <w:p w14:paraId="1FBCE7DC"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40,2</w:t>
            </w:r>
          </w:p>
        </w:tc>
      </w:tr>
      <w:tr w:rsidR="00AF5B41" w:rsidRPr="00DA77A7" w14:paraId="591369C0" w14:textId="77777777" w:rsidTr="0042584A">
        <w:trPr>
          <w:trHeight w:val="300"/>
        </w:trPr>
        <w:tc>
          <w:tcPr>
            <w:tcW w:w="1231" w:type="dxa"/>
            <w:tcBorders>
              <w:top w:val="nil"/>
              <w:left w:val="single" w:sz="8" w:space="0" w:color="auto"/>
              <w:bottom w:val="single" w:sz="8" w:space="0" w:color="auto"/>
              <w:right w:val="single" w:sz="4" w:space="0" w:color="auto"/>
            </w:tcBorders>
            <w:shd w:val="clear" w:color="auto" w:fill="auto"/>
            <w:vAlign w:val="bottom"/>
            <w:hideMark/>
          </w:tcPr>
          <w:p w14:paraId="7E5BC86E"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3269</w:t>
            </w:r>
          </w:p>
        </w:tc>
        <w:tc>
          <w:tcPr>
            <w:tcW w:w="4085" w:type="dxa"/>
            <w:tcBorders>
              <w:top w:val="nil"/>
              <w:left w:val="nil"/>
              <w:bottom w:val="single" w:sz="8" w:space="0" w:color="auto"/>
              <w:right w:val="single" w:sz="4" w:space="0" w:color="auto"/>
            </w:tcBorders>
            <w:shd w:val="clear" w:color="auto" w:fill="auto"/>
            <w:noWrap/>
            <w:vAlign w:val="bottom"/>
            <w:hideMark/>
          </w:tcPr>
          <w:p w14:paraId="22250F2F"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Ostatní správa ve vzdělávání jinde nezařazená</w:t>
            </w:r>
          </w:p>
        </w:tc>
        <w:tc>
          <w:tcPr>
            <w:tcW w:w="1394" w:type="dxa"/>
            <w:tcBorders>
              <w:top w:val="nil"/>
              <w:left w:val="nil"/>
              <w:bottom w:val="single" w:sz="8" w:space="0" w:color="auto"/>
              <w:right w:val="single" w:sz="4" w:space="0" w:color="auto"/>
            </w:tcBorders>
            <w:shd w:val="clear" w:color="auto" w:fill="auto"/>
            <w:noWrap/>
            <w:vAlign w:val="bottom"/>
            <w:hideMark/>
          </w:tcPr>
          <w:p w14:paraId="02C45538"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w:t>
            </w:r>
          </w:p>
        </w:tc>
        <w:tc>
          <w:tcPr>
            <w:tcW w:w="1671" w:type="dxa"/>
            <w:tcBorders>
              <w:top w:val="nil"/>
              <w:left w:val="nil"/>
              <w:bottom w:val="single" w:sz="8" w:space="0" w:color="auto"/>
              <w:right w:val="single" w:sz="4" w:space="0" w:color="auto"/>
            </w:tcBorders>
            <w:shd w:val="clear" w:color="auto" w:fill="auto"/>
            <w:noWrap/>
            <w:vAlign w:val="bottom"/>
            <w:hideMark/>
          </w:tcPr>
          <w:p w14:paraId="41060256"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183 875,09</w:t>
            </w:r>
          </w:p>
        </w:tc>
        <w:tc>
          <w:tcPr>
            <w:tcW w:w="1684" w:type="dxa"/>
            <w:tcBorders>
              <w:top w:val="nil"/>
              <w:left w:val="nil"/>
              <w:bottom w:val="single" w:sz="8" w:space="0" w:color="auto"/>
              <w:right w:val="single" w:sz="4" w:space="0" w:color="auto"/>
            </w:tcBorders>
            <w:shd w:val="clear" w:color="auto" w:fill="auto"/>
            <w:noWrap/>
            <w:vAlign w:val="bottom"/>
            <w:hideMark/>
          </w:tcPr>
          <w:p w14:paraId="1E94718B"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0,00</w:t>
            </w:r>
          </w:p>
        </w:tc>
        <w:tc>
          <w:tcPr>
            <w:tcW w:w="576" w:type="dxa"/>
            <w:tcBorders>
              <w:top w:val="nil"/>
              <w:left w:val="nil"/>
              <w:bottom w:val="single" w:sz="8" w:space="0" w:color="auto"/>
              <w:right w:val="single" w:sz="8" w:space="0" w:color="auto"/>
            </w:tcBorders>
            <w:shd w:val="clear" w:color="auto" w:fill="auto"/>
            <w:noWrap/>
            <w:vAlign w:val="bottom"/>
            <w:hideMark/>
          </w:tcPr>
          <w:p w14:paraId="3FD492E0"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0,0</w:t>
            </w:r>
          </w:p>
        </w:tc>
      </w:tr>
      <w:tr w:rsidR="00AF5B41" w:rsidRPr="00DA77A7" w14:paraId="14633E9E" w14:textId="77777777" w:rsidTr="0042584A">
        <w:trPr>
          <w:trHeight w:val="300"/>
        </w:trPr>
        <w:tc>
          <w:tcPr>
            <w:tcW w:w="1231" w:type="dxa"/>
            <w:tcBorders>
              <w:top w:val="nil"/>
              <w:left w:val="single" w:sz="8" w:space="0" w:color="auto"/>
              <w:bottom w:val="single" w:sz="8" w:space="0" w:color="auto"/>
              <w:right w:val="single" w:sz="4" w:space="0" w:color="auto"/>
            </w:tcBorders>
            <w:shd w:val="clear" w:color="auto" w:fill="auto"/>
            <w:vAlign w:val="bottom"/>
            <w:hideMark/>
          </w:tcPr>
          <w:p w14:paraId="58CCC470" w14:textId="77777777" w:rsidR="00DA77A7" w:rsidRPr="00165452" w:rsidRDefault="00DA77A7" w:rsidP="00DA77A7">
            <w:pPr>
              <w:spacing w:after="0" w:line="240" w:lineRule="auto"/>
              <w:jc w:val="center"/>
              <w:rPr>
                <w:rFonts w:ascii="Calibri" w:eastAsia="Times New Roman" w:hAnsi="Calibri" w:cs="Arial"/>
                <w:sz w:val="20"/>
                <w:szCs w:val="20"/>
                <w:lang w:eastAsia="cs-CZ"/>
              </w:rPr>
            </w:pPr>
            <w:r w:rsidRPr="00165452">
              <w:rPr>
                <w:rFonts w:ascii="Calibri" w:eastAsia="Times New Roman" w:hAnsi="Calibri" w:cs="Arial"/>
                <w:sz w:val="20"/>
                <w:szCs w:val="20"/>
                <w:lang w:eastAsia="cs-CZ"/>
              </w:rPr>
              <w:t>3231</w:t>
            </w:r>
          </w:p>
        </w:tc>
        <w:tc>
          <w:tcPr>
            <w:tcW w:w="4085" w:type="dxa"/>
            <w:tcBorders>
              <w:top w:val="nil"/>
              <w:left w:val="nil"/>
              <w:bottom w:val="single" w:sz="8" w:space="0" w:color="auto"/>
              <w:right w:val="single" w:sz="4" w:space="0" w:color="auto"/>
            </w:tcBorders>
            <w:shd w:val="clear" w:color="auto" w:fill="auto"/>
            <w:noWrap/>
            <w:vAlign w:val="bottom"/>
            <w:hideMark/>
          </w:tcPr>
          <w:p w14:paraId="4298E6C9" w14:textId="77777777" w:rsidR="00DA77A7" w:rsidRPr="00165452" w:rsidRDefault="00DA77A7" w:rsidP="00DA77A7">
            <w:pPr>
              <w:spacing w:after="0" w:line="240" w:lineRule="auto"/>
              <w:rPr>
                <w:rFonts w:ascii="Calibri" w:eastAsia="Times New Roman" w:hAnsi="Calibri" w:cs="Arial"/>
                <w:sz w:val="20"/>
                <w:szCs w:val="20"/>
                <w:lang w:eastAsia="cs-CZ"/>
              </w:rPr>
            </w:pPr>
            <w:r w:rsidRPr="00165452">
              <w:rPr>
                <w:rFonts w:ascii="Calibri" w:eastAsia="Times New Roman" w:hAnsi="Calibri" w:cs="Arial"/>
                <w:sz w:val="20"/>
                <w:szCs w:val="20"/>
                <w:lang w:eastAsia="cs-CZ"/>
              </w:rPr>
              <w:t>Stavební úpravy v podkroví budovy ZUŠ Nymburk</w:t>
            </w:r>
          </w:p>
        </w:tc>
        <w:tc>
          <w:tcPr>
            <w:tcW w:w="1394" w:type="dxa"/>
            <w:tcBorders>
              <w:top w:val="nil"/>
              <w:left w:val="nil"/>
              <w:bottom w:val="single" w:sz="8" w:space="0" w:color="auto"/>
              <w:right w:val="single" w:sz="4" w:space="0" w:color="auto"/>
            </w:tcBorders>
            <w:shd w:val="clear" w:color="auto" w:fill="auto"/>
            <w:noWrap/>
            <w:vAlign w:val="bottom"/>
            <w:hideMark/>
          </w:tcPr>
          <w:p w14:paraId="7EDA8EA6" w14:textId="77777777" w:rsidR="00DA77A7" w:rsidRPr="00165452" w:rsidRDefault="00DA77A7" w:rsidP="00DA77A7">
            <w:pPr>
              <w:spacing w:after="0" w:line="240" w:lineRule="auto"/>
              <w:jc w:val="right"/>
              <w:rPr>
                <w:rFonts w:ascii="Calibri" w:eastAsia="Times New Roman" w:hAnsi="Calibri" w:cs="Arial"/>
                <w:sz w:val="20"/>
                <w:szCs w:val="20"/>
                <w:lang w:eastAsia="cs-CZ"/>
              </w:rPr>
            </w:pPr>
            <w:r w:rsidRPr="00165452">
              <w:rPr>
                <w:rFonts w:ascii="Calibri" w:eastAsia="Times New Roman" w:hAnsi="Calibri" w:cs="Arial"/>
                <w:sz w:val="20"/>
                <w:szCs w:val="20"/>
                <w:lang w:eastAsia="cs-CZ"/>
              </w:rPr>
              <w:t>0</w:t>
            </w:r>
          </w:p>
        </w:tc>
        <w:tc>
          <w:tcPr>
            <w:tcW w:w="1671" w:type="dxa"/>
            <w:tcBorders>
              <w:top w:val="nil"/>
              <w:left w:val="nil"/>
              <w:bottom w:val="single" w:sz="8" w:space="0" w:color="auto"/>
              <w:right w:val="single" w:sz="4" w:space="0" w:color="auto"/>
            </w:tcBorders>
            <w:shd w:val="clear" w:color="auto" w:fill="auto"/>
            <w:noWrap/>
            <w:vAlign w:val="bottom"/>
            <w:hideMark/>
          </w:tcPr>
          <w:p w14:paraId="219F6A25" w14:textId="77777777" w:rsidR="00DA77A7" w:rsidRPr="00165452" w:rsidRDefault="00DA77A7" w:rsidP="00DA77A7">
            <w:pPr>
              <w:spacing w:after="0" w:line="240" w:lineRule="auto"/>
              <w:jc w:val="right"/>
              <w:rPr>
                <w:rFonts w:ascii="Calibri" w:eastAsia="Times New Roman" w:hAnsi="Calibri" w:cs="Arial"/>
                <w:sz w:val="20"/>
                <w:szCs w:val="20"/>
                <w:lang w:eastAsia="cs-CZ"/>
              </w:rPr>
            </w:pPr>
            <w:r w:rsidRPr="00165452">
              <w:rPr>
                <w:rFonts w:ascii="Calibri" w:eastAsia="Times New Roman" w:hAnsi="Calibri" w:cs="Arial"/>
                <w:sz w:val="20"/>
                <w:szCs w:val="20"/>
                <w:lang w:eastAsia="cs-CZ"/>
              </w:rPr>
              <w:t>395 700,00</w:t>
            </w:r>
          </w:p>
        </w:tc>
        <w:tc>
          <w:tcPr>
            <w:tcW w:w="1684" w:type="dxa"/>
            <w:tcBorders>
              <w:top w:val="nil"/>
              <w:left w:val="nil"/>
              <w:bottom w:val="single" w:sz="8" w:space="0" w:color="auto"/>
              <w:right w:val="single" w:sz="4" w:space="0" w:color="auto"/>
            </w:tcBorders>
            <w:shd w:val="clear" w:color="auto" w:fill="auto"/>
            <w:noWrap/>
            <w:vAlign w:val="bottom"/>
            <w:hideMark/>
          </w:tcPr>
          <w:p w14:paraId="7BB7E062" w14:textId="77777777" w:rsidR="00DA77A7" w:rsidRPr="00165452" w:rsidRDefault="00DA77A7" w:rsidP="00DA77A7">
            <w:pPr>
              <w:spacing w:after="0" w:line="240" w:lineRule="auto"/>
              <w:jc w:val="right"/>
              <w:rPr>
                <w:rFonts w:ascii="Calibri" w:eastAsia="Times New Roman" w:hAnsi="Calibri" w:cs="Arial"/>
                <w:sz w:val="20"/>
                <w:szCs w:val="20"/>
                <w:lang w:eastAsia="cs-CZ"/>
              </w:rPr>
            </w:pPr>
            <w:r w:rsidRPr="00165452">
              <w:rPr>
                <w:rFonts w:ascii="Calibri" w:eastAsia="Times New Roman" w:hAnsi="Calibri" w:cs="Arial"/>
                <w:sz w:val="20"/>
                <w:szCs w:val="20"/>
                <w:lang w:eastAsia="cs-CZ"/>
              </w:rPr>
              <w:t>0,00</w:t>
            </w:r>
          </w:p>
        </w:tc>
        <w:tc>
          <w:tcPr>
            <w:tcW w:w="576" w:type="dxa"/>
            <w:tcBorders>
              <w:top w:val="nil"/>
              <w:left w:val="nil"/>
              <w:bottom w:val="single" w:sz="8" w:space="0" w:color="auto"/>
              <w:right w:val="single" w:sz="8" w:space="0" w:color="auto"/>
            </w:tcBorders>
            <w:shd w:val="clear" w:color="auto" w:fill="auto"/>
            <w:noWrap/>
            <w:vAlign w:val="bottom"/>
            <w:hideMark/>
          </w:tcPr>
          <w:p w14:paraId="582812BA" w14:textId="77777777" w:rsidR="00DA77A7" w:rsidRPr="00165452" w:rsidRDefault="00DA77A7" w:rsidP="00DA77A7">
            <w:pPr>
              <w:spacing w:after="0" w:line="240" w:lineRule="auto"/>
              <w:jc w:val="right"/>
              <w:rPr>
                <w:rFonts w:ascii="Calibri" w:eastAsia="Times New Roman" w:hAnsi="Calibri" w:cs="Arial"/>
                <w:sz w:val="20"/>
                <w:szCs w:val="20"/>
                <w:lang w:eastAsia="cs-CZ"/>
              </w:rPr>
            </w:pPr>
            <w:r w:rsidRPr="00165452">
              <w:rPr>
                <w:rFonts w:ascii="Calibri" w:eastAsia="Times New Roman" w:hAnsi="Calibri" w:cs="Arial"/>
                <w:sz w:val="20"/>
                <w:szCs w:val="20"/>
                <w:lang w:eastAsia="cs-CZ"/>
              </w:rPr>
              <w:t>0,0</w:t>
            </w:r>
          </w:p>
        </w:tc>
      </w:tr>
      <w:tr w:rsidR="00AF5B41" w:rsidRPr="00DA77A7" w14:paraId="57BD4AD4"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3E65ED18" w14:textId="77777777" w:rsidR="00DA77A7" w:rsidRPr="00DA77A7" w:rsidRDefault="00DA77A7" w:rsidP="00DA77A7">
            <w:pPr>
              <w:spacing w:after="0" w:line="240" w:lineRule="auto"/>
              <w:jc w:val="center"/>
              <w:rPr>
                <w:rFonts w:ascii="Calibri" w:eastAsia="Times New Roman" w:hAnsi="Calibri" w:cs="Arial"/>
                <w:sz w:val="20"/>
                <w:szCs w:val="20"/>
                <w:lang w:eastAsia="cs-CZ"/>
              </w:rPr>
            </w:pPr>
            <w:r w:rsidRPr="00DA77A7">
              <w:rPr>
                <w:rFonts w:ascii="Calibri" w:eastAsia="Times New Roman" w:hAnsi="Calibri" w:cs="Arial"/>
                <w:sz w:val="20"/>
                <w:szCs w:val="20"/>
                <w:lang w:eastAsia="cs-CZ"/>
              </w:rPr>
              <w:t> </w:t>
            </w:r>
          </w:p>
        </w:tc>
        <w:tc>
          <w:tcPr>
            <w:tcW w:w="4085" w:type="dxa"/>
            <w:tcBorders>
              <w:top w:val="nil"/>
              <w:left w:val="nil"/>
              <w:bottom w:val="single" w:sz="4" w:space="0" w:color="auto"/>
              <w:right w:val="single" w:sz="4" w:space="0" w:color="auto"/>
            </w:tcBorders>
            <w:shd w:val="clear" w:color="auto" w:fill="auto"/>
            <w:noWrap/>
            <w:vAlign w:val="bottom"/>
            <w:hideMark/>
          </w:tcPr>
          <w:p w14:paraId="67458650" w14:textId="77777777" w:rsidR="00DA77A7" w:rsidRPr="00DA77A7" w:rsidRDefault="00DA77A7" w:rsidP="00DA77A7">
            <w:pPr>
              <w:spacing w:after="0" w:line="240" w:lineRule="auto"/>
              <w:rPr>
                <w:rFonts w:ascii="Calibri" w:eastAsia="Times New Roman" w:hAnsi="Calibri" w:cs="Arial"/>
                <w:sz w:val="20"/>
                <w:szCs w:val="20"/>
                <w:lang w:eastAsia="cs-CZ"/>
              </w:rPr>
            </w:pPr>
            <w:r w:rsidRPr="00DA77A7">
              <w:rPr>
                <w:rFonts w:ascii="Calibri" w:eastAsia="Times New Roman" w:hAnsi="Calibri" w:cs="Arial"/>
                <w:sz w:val="20"/>
                <w:szCs w:val="20"/>
                <w:lang w:eastAsia="cs-CZ"/>
              </w:rPr>
              <w:t>Podpora kvality škol a rozvojové projekty</w:t>
            </w:r>
          </w:p>
        </w:tc>
        <w:tc>
          <w:tcPr>
            <w:tcW w:w="1394" w:type="dxa"/>
            <w:tcBorders>
              <w:top w:val="nil"/>
              <w:left w:val="nil"/>
              <w:bottom w:val="single" w:sz="4" w:space="0" w:color="auto"/>
              <w:right w:val="single" w:sz="4" w:space="0" w:color="auto"/>
            </w:tcBorders>
            <w:shd w:val="clear" w:color="auto" w:fill="auto"/>
            <w:noWrap/>
            <w:vAlign w:val="bottom"/>
            <w:hideMark/>
          </w:tcPr>
          <w:p w14:paraId="713E87AC"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0</w:t>
            </w:r>
          </w:p>
        </w:tc>
        <w:tc>
          <w:tcPr>
            <w:tcW w:w="1671" w:type="dxa"/>
            <w:tcBorders>
              <w:top w:val="nil"/>
              <w:left w:val="nil"/>
              <w:bottom w:val="single" w:sz="4" w:space="0" w:color="auto"/>
              <w:right w:val="single" w:sz="4" w:space="0" w:color="auto"/>
            </w:tcBorders>
            <w:shd w:val="clear" w:color="000000" w:fill="FFFFFF"/>
            <w:noWrap/>
            <w:vAlign w:val="bottom"/>
            <w:hideMark/>
          </w:tcPr>
          <w:p w14:paraId="06E7BECF"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42 652 896,00</w:t>
            </w:r>
          </w:p>
        </w:tc>
        <w:tc>
          <w:tcPr>
            <w:tcW w:w="1684" w:type="dxa"/>
            <w:tcBorders>
              <w:top w:val="nil"/>
              <w:left w:val="nil"/>
              <w:bottom w:val="single" w:sz="4" w:space="0" w:color="auto"/>
              <w:right w:val="single" w:sz="4" w:space="0" w:color="auto"/>
            </w:tcBorders>
            <w:shd w:val="clear" w:color="000000" w:fill="FFFFFF"/>
            <w:noWrap/>
            <w:vAlign w:val="bottom"/>
            <w:hideMark/>
          </w:tcPr>
          <w:p w14:paraId="038FBF47"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42 652 896,00</w:t>
            </w:r>
          </w:p>
        </w:tc>
        <w:tc>
          <w:tcPr>
            <w:tcW w:w="576" w:type="dxa"/>
            <w:tcBorders>
              <w:top w:val="nil"/>
              <w:left w:val="nil"/>
              <w:bottom w:val="single" w:sz="4" w:space="0" w:color="auto"/>
              <w:right w:val="single" w:sz="8" w:space="0" w:color="auto"/>
            </w:tcBorders>
            <w:shd w:val="clear" w:color="auto" w:fill="auto"/>
            <w:noWrap/>
            <w:vAlign w:val="bottom"/>
            <w:hideMark/>
          </w:tcPr>
          <w:p w14:paraId="3CA9C37C"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100,0</w:t>
            </w:r>
          </w:p>
        </w:tc>
      </w:tr>
      <w:tr w:rsidR="00DA77A7" w:rsidRPr="00DA77A7" w14:paraId="033E9E6C"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13EC9E9B"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 </w:t>
            </w:r>
          </w:p>
        </w:tc>
        <w:tc>
          <w:tcPr>
            <w:tcW w:w="9410" w:type="dxa"/>
            <w:gridSpan w:val="5"/>
            <w:tcBorders>
              <w:top w:val="single" w:sz="4" w:space="0" w:color="auto"/>
              <w:left w:val="nil"/>
              <w:bottom w:val="single" w:sz="4" w:space="0" w:color="auto"/>
              <w:right w:val="single" w:sz="8" w:space="0" w:color="000000"/>
            </w:tcBorders>
            <w:shd w:val="clear" w:color="auto" w:fill="auto"/>
            <w:noWrap/>
            <w:vAlign w:val="bottom"/>
            <w:hideMark/>
          </w:tcPr>
          <w:p w14:paraId="778D4FE3" w14:textId="77777777" w:rsidR="00DA77A7" w:rsidRPr="00DA77A7" w:rsidRDefault="00DA77A7" w:rsidP="00DA77A7">
            <w:pPr>
              <w:spacing w:after="0" w:line="240" w:lineRule="auto"/>
              <w:rPr>
                <w:rFonts w:ascii="Calibri" w:eastAsia="Times New Roman" w:hAnsi="Calibri" w:cs="Arial"/>
                <w:sz w:val="20"/>
                <w:szCs w:val="20"/>
                <w:lang w:eastAsia="cs-CZ"/>
              </w:rPr>
            </w:pPr>
            <w:r w:rsidRPr="00DA77A7">
              <w:rPr>
                <w:rFonts w:ascii="Calibri" w:eastAsia="Times New Roman" w:hAnsi="Calibri" w:cs="Arial"/>
                <w:sz w:val="20"/>
                <w:szCs w:val="20"/>
                <w:lang w:eastAsia="cs-CZ"/>
              </w:rPr>
              <w:t>z toho:</w:t>
            </w:r>
          </w:p>
        </w:tc>
      </w:tr>
      <w:tr w:rsidR="00AF5B41" w:rsidRPr="00DA77A7" w14:paraId="4AAC26F0"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14503887"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3114</w:t>
            </w:r>
          </w:p>
        </w:tc>
        <w:tc>
          <w:tcPr>
            <w:tcW w:w="4085" w:type="dxa"/>
            <w:tcBorders>
              <w:top w:val="nil"/>
              <w:left w:val="nil"/>
              <w:bottom w:val="single" w:sz="4" w:space="0" w:color="auto"/>
              <w:right w:val="nil"/>
            </w:tcBorders>
            <w:shd w:val="clear" w:color="auto" w:fill="auto"/>
            <w:noWrap/>
            <w:vAlign w:val="bottom"/>
            <w:hideMark/>
          </w:tcPr>
          <w:p w14:paraId="64955BB9" w14:textId="7F91B7B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ZŠ se spec</w:t>
            </w:r>
            <w:r w:rsidR="00165452">
              <w:rPr>
                <w:rFonts w:ascii="Calibri" w:eastAsia="Times New Roman" w:hAnsi="Calibri" w:cs="Arial"/>
                <w:i/>
                <w:iCs/>
                <w:sz w:val="20"/>
                <w:szCs w:val="20"/>
                <w:lang w:eastAsia="cs-CZ"/>
              </w:rPr>
              <w:t xml:space="preserve">iálními </w:t>
            </w:r>
            <w:r w:rsidRPr="00DA77A7">
              <w:rPr>
                <w:rFonts w:ascii="Calibri" w:eastAsia="Times New Roman" w:hAnsi="Calibri" w:cs="Arial"/>
                <w:i/>
                <w:iCs/>
                <w:sz w:val="20"/>
                <w:szCs w:val="20"/>
                <w:lang w:eastAsia="cs-CZ"/>
              </w:rPr>
              <w:t>vzděl</w:t>
            </w:r>
            <w:r w:rsidR="00165452">
              <w:rPr>
                <w:rFonts w:ascii="Calibri" w:eastAsia="Times New Roman" w:hAnsi="Calibri" w:cs="Arial"/>
                <w:i/>
                <w:iCs/>
                <w:sz w:val="20"/>
                <w:szCs w:val="20"/>
                <w:lang w:eastAsia="cs-CZ"/>
              </w:rPr>
              <w:t xml:space="preserve">ávacími </w:t>
            </w:r>
            <w:r w:rsidRPr="00DA77A7">
              <w:rPr>
                <w:rFonts w:ascii="Calibri" w:eastAsia="Times New Roman" w:hAnsi="Calibri" w:cs="Arial"/>
                <w:i/>
                <w:iCs/>
                <w:sz w:val="20"/>
                <w:szCs w:val="20"/>
                <w:lang w:eastAsia="cs-CZ"/>
              </w:rPr>
              <w:t>potřebami</w:t>
            </w:r>
          </w:p>
        </w:tc>
        <w:tc>
          <w:tcPr>
            <w:tcW w:w="1394" w:type="dxa"/>
            <w:tcBorders>
              <w:top w:val="nil"/>
              <w:left w:val="single" w:sz="4" w:space="0" w:color="auto"/>
              <w:bottom w:val="single" w:sz="4" w:space="0" w:color="auto"/>
              <w:right w:val="single" w:sz="4" w:space="0" w:color="auto"/>
            </w:tcBorders>
            <w:shd w:val="clear" w:color="auto" w:fill="auto"/>
            <w:noWrap/>
            <w:vAlign w:val="bottom"/>
            <w:hideMark/>
          </w:tcPr>
          <w:p w14:paraId="50ECC064"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w:t>
            </w:r>
          </w:p>
        </w:tc>
        <w:tc>
          <w:tcPr>
            <w:tcW w:w="1671" w:type="dxa"/>
            <w:tcBorders>
              <w:top w:val="nil"/>
              <w:left w:val="nil"/>
              <w:bottom w:val="single" w:sz="4" w:space="0" w:color="auto"/>
              <w:right w:val="single" w:sz="4" w:space="0" w:color="auto"/>
            </w:tcBorders>
            <w:shd w:val="clear" w:color="000000" w:fill="FFFFFF"/>
            <w:noWrap/>
            <w:vAlign w:val="bottom"/>
            <w:hideMark/>
          </w:tcPr>
          <w:p w14:paraId="259DA3A8"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545 972,00</w:t>
            </w:r>
          </w:p>
        </w:tc>
        <w:tc>
          <w:tcPr>
            <w:tcW w:w="1684" w:type="dxa"/>
            <w:tcBorders>
              <w:top w:val="nil"/>
              <w:left w:val="nil"/>
              <w:bottom w:val="single" w:sz="4" w:space="0" w:color="auto"/>
              <w:right w:val="single" w:sz="4" w:space="0" w:color="auto"/>
            </w:tcBorders>
            <w:shd w:val="clear" w:color="000000" w:fill="FFFFFF"/>
            <w:noWrap/>
            <w:vAlign w:val="bottom"/>
            <w:hideMark/>
          </w:tcPr>
          <w:p w14:paraId="2B9C2A04"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545 972,00</w:t>
            </w:r>
          </w:p>
        </w:tc>
        <w:tc>
          <w:tcPr>
            <w:tcW w:w="576" w:type="dxa"/>
            <w:tcBorders>
              <w:top w:val="nil"/>
              <w:left w:val="nil"/>
              <w:bottom w:val="single" w:sz="4" w:space="0" w:color="auto"/>
              <w:right w:val="single" w:sz="8" w:space="0" w:color="auto"/>
            </w:tcBorders>
            <w:shd w:val="clear" w:color="auto" w:fill="auto"/>
            <w:noWrap/>
            <w:vAlign w:val="bottom"/>
            <w:hideMark/>
          </w:tcPr>
          <w:p w14:paraId="2104A7F5"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100,0</w:t>
            </w:r>
          </w:p>
        </w:tc>
      </w:tr>
      <w:tr w:rsidR="00AF5B41" w:rsidRPr="00DA77A7" w14:paraId="56734894"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495EA339"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3121</w:t>
            </w:r>
          </w:p>
        </w:tc>
        <w:tc>
          <w:tcPr>
            <w:tcW w:w="4085" w:type="dxa"/>
            <w:tcBorders>
              <w:top w:val="nil"/>
              <w:left w:val="nil"/>
              <w:bottom w:val="single" w:sz="4" w:space="0" w:color="auto"/>
              <w:right w:val="single" w:sz="4" w:space="0" w:color="auto"/>
            </w:tcBorders>
            <w:shd w:val="clear" w:color="auto" w:fill="auto"/>
            <w:noWrap/>
            <w:vAlign w:val="bottom"/>
            <w:hideMark/>
          </w:tcPr>
          <w:p w14:paraId="4EA899F9"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Gymnázia</w:t>
            </w:r>
          </w:p>
        </w:tc>
        <w:tc>
          <w:tcPr>
            <w:tcW w:w="1394" w:type="dxa"/>
            <w:tcBorders>
              <w:top w:val="nil"/>
              <w:left w:val="nil"/>
              <w:bottom w:val="single" w:sz="4" w:space="0" w:color="auto"/>
              <w:right w:val="single" w:sz="4" w:space="0" w:color="auto"/>
            </w:tcBorders>
            <w:shd w:val="clear" w:color="auto" w:fill="auto"/>
            <w:noWrap/>
            <w:vAlign w:val="bottom"/>
            <w:hideMark/>
          </w:tcPr>
          <w:p w14:paraId="3527BE3F"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w:t>
            </w:r>
          </w:p>
        </w:tc>
        <w:tc>
          <w:tcPr>
            <w:tcW w:w="1671" w:type="dxa"/>
            <w:tcBorders>
              <w:top w:val="nil"/>
              <w:left w:val="nil"/>
              <w:bottom w:val="single" w:sz="4" w:space="0" w:color="auto"/>
              <w:right w:val="single" w:sz="4" w:space="0" w:color="auto"/>
            </w:tcBorders>
            <w:shd w:val="clear" w:color="000000" w:fill="FFFFFF"/>
            <w:noWrap/>
            <w:vAlign w:val="bottom"/>
            <w:hideMark/>
          </w:tcPr>
          <w:p w14:paraId="50BA5A17"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7 708 820,00</w:t>
            </w:r>
          </w:p>
        </w:tc>
        <w:tc>
          <w:tcPr>
            <w:tcW w:w="1684" w:type="dxa"/>
            <w:tcBorders>
              <w:top w:val="nil"/>
              <w:left w:val="nil"/>
              <w:bottom w:val="single" w:sz="4" w:space="0" w:color="auto"/>
              <w:right w:val="single" w:sz="4" w:space="0" w:color="auto"/>
            </w:tcBorders>
            <w:shd w:val="clear" w:color="000000" w:fill="FFFFFF"/>
            <w:noWrap/>
            <w:vAlign w:val="bottom"/>
            <w:hideMark/>
          </w:tcPr>
          <w:p w14:paraId="181F1114"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7 708 820,00</w:t>
            </w:r>
          </w:p>
        </w:tc>
        <w:tc>
          <w:tcPr>
            <w:tcW w:w="576" w:type="dxa"/>
            <w:tcBorders>
              <w:top w:val="nil"/>
              <w:left w:val="nil"/>
              <w:bottom w:val="single" w:sz="4" w:space="0" w:color="auto"/>
              <w:right w:val="single" w:sz="8" w:space="0" w:color="auto"/>
            </w:tcBorders>
            <w:shd w:val="clear" w:color="auto" w:fill="auto"/>
            <w:noWrap/>
            <w:vAlign w:val="bottom"/>
            <w:hideMark/>
          </w:tcPr>
          <w:p w14:paraId="7ADEF53E"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100,0</w:t>
            </w:r>
          </w:p>
        </w:tc>
      </w:tr>
      <w:tr w:rsidR="00AF5B41" w:rsidRPr="00DA77A7" w14:paraId="57462B0C"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vAlign w:val="bottom"/>
            <w:hideMark/>
          </w:tcPr>
          <w:p w14:paraId="1FB435C0"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3122</w:t>
            </w:r>
          </w:p>
        </w:tc>
        <w:tc>
          <w:tcPr>
            <w:tcW w:w="4085" w:type="dxa"/>
            <w:tcBorders>
              <w:top w:val="nil"/>
              <w:left w:val="nil"/>
              <w:bottom w:val="single" w:sz="4" w:space="0" w:color="auto"/>
              <w:right w:val="single" w:sz="4" w:space="0" w:color="auto"/>
            </w:tcBorders>
            <w:shd w:val="clear" w:color="auto" w:fill="auto"/>
            <w:noWrap/>
            <w:vAlign w:val="bottom"/>
            <w:hideMark/>
          </w:tcPr>
          <w:p w14:paraId="5F7ED460"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Střední odborné školy</w:t>
            </w:r>
          </w:p>
        </w:tc>
        <w:tc>
          <w:tcPr>
            <w:tcW w:w="1394" w:type="dxa"/>
            <w:tcBorders>
              <w:top w:val="nil"/>
              <w:left w:val="nil"/>
              <w:bottom w:val="single" w:sz="4" w:space="0" w:color="auto"/>
              <w:right w:val="single" w:sz="4" w:space="0" w:color="auto"/>
            </w:tcBorders>
            <w:shd w:val="clear" w:color="auto" w:fill="auto"/>
            <w:noWrap/>
            <w:vAlign w:val="bottom"/>
            <w:hideMark/>
          </w:tcPr>
          <w:p w14:paraId="1FA6479C"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w:t>
            </w:r>
          </w:p>
        </w:tc>
        <w:tc>
          <w:tcPr>
            <w:tcW w:w="1671" w:type="dxa"/>
            <w:tcBorders>
              <w:top w:val="nil"/>
              <w:left w:val="nil"/>
              <w:bottom w:val="single" w:sz="4" w:space="0" w:color="auto"/>
              <w:right w:val="single" w:sz="4" w:space="0" w:color="auto"/>
            </w:tcBorders>
            <w:shd w:val="clear" w:color="000000" w:fill="FFFFFF"/>
            <w:noWrap/>
            <w:vAlign w:val="bottom"/>
            <w:hideMark/>
          </w:tcPr>
          <w:p w14:paraId="4915F241"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21 092 263,00</w:t>
            </w:r>
          </w:p>
        </w:tc>
        <w:tc>
          <w:tcPr>
            <w:tcW w:w="1684" w:type="dxa"/>
            <w:tcBorders>
              <w:top w:val="nil"/>
              <w:left w:val="nil"/>
              <w:bottom w:val="single" w:sz="4" w:space="0" w:color="auto"/>
              <w:right w:val="single" w:sz="4" w:space="0" w:color="auto"/>
            </w:tcBorders>
            <w:shd w:val="clear" w:color="000000" w:fill="FFFFFF"/>
            <w:noWrap/>
            <w:vAlign w:val="bottom"/>
            <w:hideMark/>
          </w:tcPr>
          <w:p w14:paraId="69FB857F"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21 092 263,00</w:t>
            </w:r>
          </w:p>
        </w:tc>
        <w:tc>
          <w:tcPr>
            <w:tcW w:w="576" w:type="dxa"/>
            <w:tcBorders>
              <w:top w:val="nil"/>
              <w:left w:val="nil"/>
              <w:bottom w:val="single" w:sz="4" w:space="0" w:color="auto"/>
              <w:right w:val="single" w:sz="8" w:space="0" w:color="auto"/>
            </w:tcBorders>
            <w:shd w:val="clear" w:color="auto" w:fill="auto"/>
            <w:noWrap/>
            <w:vAlign w:val="bottom"/>
            <w:hideMark/>
          </w:tcPr>
          <w:p w14:paraId="713D49D4"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100,0</w:t>
            </w:r>
          </w:p>
        </w:tc>
      </w:tr>
      <w:tr w:rsidR="00AF5B41" w:rsidRPr="00DA77A7" w14:paraId="49374C25" w14:textId="77777777" w:rsidTr="0042584A">
        <w:trPr>
          <w:trHeight w:val="300"/>
        </w:trPr>
        <w:tc>
          <w:tcPr>
            <w:tcW w:w="1231" w:type="dxa"/>
            <w:tcBorders>
              <w:top w:val="nil"/>
              <w:left w:val="single" w:sz="8" w:space="0" w:color="auto"/>
              <w:bottom w:val="nil"/>
              <w:right w:val="single" w:sz="4" w:space="0" w:color="auto"/>
            </w:tcBorders>
            <w:shd w:val="clear" w:color="auto" w:fill="auto"/>
            <w:vAlign w:val="bottom"/>
            <w:hideMark/>
          </w:tcPr>
          <w:p w14:paraId="39EE4DE4" w14:textId="77777777" w:rsidR="00DA77A7" w:rsidRPr="00DA77A7" w:rsidRDefault="00DA77A7" w:rsidP="00DA77A7">
            <w:pPr>
              <w:spacing w:after="0" w:line="240" w:lineRule="auto"/>
              <w:jc w:val="center"/>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3123</w:t>
            </w:r>
          </w:p>
        </w:tc>
        <w:tc>
          <w:tcPr>
            <w:tcW w:w="4085" w:type="dxa"/>
            <w:tcBorders>
              <w:top w:val="nil"/>
              <w:left w:val="nil"/>
              <w:bottom w:val="nil"/>
              <w:right w:val="single" w:sz="4" w:space="0" w:color="auto"/>
            </w:tcBorders>
            <w:shd w:val="clear" w:color="auto" w:fill="auto"/>
            <w:noWrap/>
            <w:vAlign w:val="bottom"/>
            <w:hideMark/>
          </w:tcPr>
          <w:p w14:paraId="062EF834" w14:textId="77777777" w:rsidR="00DA77A7" w:rsidRPr="00DA77A7" w:rsidRDefault="00DA77A7" w:rsidP="00DA77A7">
            <w:pPr>
              <w:spacing w:after="0" w:line="240" w:lineRule="auto"/>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Střední školy poskytující střední vzdělání s výučním listem</w:t>
            </w:r>
          </w:p>
        </w:tc>
        <w:tc>
          <w:tcPr>
            <w:tcW w:w="1394" w:type="dxa"/>
            <w:tcBorders>
              <w:top w:val="nil"/>
              <w:left w:val="nil"/>
              <w:bottom w:val="nil"/>
              <w:right w:val="single" w:sz="4" w:space="0" w:color="auto"/>
            </w:tcBorders>
            <w:shd w:val="clear" w:color="auto" w:fill="auto"/>
            <w:noWrap/>
            <w:vAlign w:val="bottom"/>
            <w:hideMark/>
          </w:tcPr>
          <w:p w14:paraId="52F4843C"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0</w:t>
            </w:r>
          </w:p>
        </w:tc>
        <w:tc>
          <w:tcPr>
            <w:tcW w:w="1671" w:type="dxa"/>
            <w:tcBorders>
              <w:top w:val="nil"/>
              <w:left w:val="nil"/>
              <w:bottom w:val="nil"/>
              <w:right w:val="single" w:sz="4" w:space="0" w:color="auto"/>
            </w:tcBorders>
            <w:shd w:val="clear" w:color="000000" w:fill="FFFFFF"/>
            <w:noWrap/>
            <w:vAlign w:val="bottom"/>
            <w:hideMark/>
          </w:tcPr>
          <w:p w14:paraId="0981C51F"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13 305 841,00</w:t>
            </w:r>
          </w:p>
        </w:tc>
        <w:tc>
          <w:tcPr>
            <w:tcW w:w="1684" w:type="dxa"/>
            <w:tcBorders>
              <w:top w:val="nil"/>
              <w:left w:val="nil"/>
              <w:bottom w:val="nil"/>
              <w:right w:val="single" w:sz="4" w:space="0" w:color="auto"/>
            </w:tcBorders>
            <w:shd w:val="clear" w:color="000000" w:fill="FFFFFF"/>
            <w:noWrap/>
            <w:vAlign w:val="bottom"/>
            <w:hideMark/>
          </w:tcPr>
          <w:p w14:paraId="5273E923"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13 305 841,00</w:t>
            </w:r>
          </w:p>
        </w:tc>
        <w:tc>
          <w:tcPr>
            <w:tcW w:w="576" w:type="dxa"/>
            <w:tcBorders>
              <w:top w:val="nil"/>
              <w:left w:val="nil"/>
              <w:bottom w:val="nil"/>
              <w:right w:val="single" w:sz="8" w:space="0" w:color="auto"/>
            </w:tcBorders>
            <w:shd w:val="clear" w:color="auto" w:fill="auto"/>
            <w:noWrap/>
            <w:vAlign w:val="bottom"/>
            <w:hideMark/>
          </w:tcPr>
          <w:p w14:paraId="43C3CA5E" w14:textId="77777777" w:rsidR="00DA77A7" w:rsidRPr="00DA77A7" w:rsidRDefault="00DA77A7" w:rsidP="00DA77A7">
            <w:pPr>
              <w:spacing w:after="0" w:line="240" w:lineRule="auto"/>
              <w:jc w:val="right"/>
              <w:rPr>
                <w:rFonts w:ascii="Calibri" w:eastAsia="Times New Roman" w:hAnsi="Calibri" w:cs="Arial"/>
                <w:i/>
                <w:iCs/>
                <w:sz w:val="20"/>
                <w:szCs w:val="20"/>
                <w:lang w:eastAsia="cs-CZ"/>
              </w:rPr>
            </w:pPr>
            <w:r w:rsidRPr="00DA77A7">
              <w:rPr>
                <w:rFonts w:ascii="Calibri" w:eastAsia="Times New Roman" w:hAnsi="Calibri" w:cs="Arial"/>
                <w:i/>
                <w:iCs/>
                <w:sz w:val="20"/>
                <w:szCs w:val="20"/>
                <w:lang w:eastAsia="cs-CZ"/>
              </w:rPr>
              <w:t>100,0</w:t>
            </w:r>
          </w:p>
        </w:tc>
      </w:tr>
      <w:tr w:rsidR="00AF5B41" w:rsidRPr="00DA77A7" w14:paraId="12804A29" w14:textId="77777777" w:rsidTr="0042584A">
        <w:trPr>
          <w:trHeight w:val="320"/>
        </w:trPr>
        <w:tc>
          <w:tcPr>
            <w:tcW w:w="1231"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970F2AB" w14:textId="77777777" w:rsidR="00DA77A7" w:rsidRPr="00DA77A7" w:rsidRDefault="00DA77A7" w:rsidP="00DA77A7">
            <w:pPr>
              <w:spacing w:after="0" w:line="240" w:lineRule="auto"/>
              <w:rPr>
                <w:rFonts w:ascii="Calibri" w:eastAsia="Times New Roman" w:hAnsi="Calibri" w:cs="Arial"/>
                <w:lang w:eastAsia="cs-CZ"/>
              </w:rPr>
            </w:pPr>
            <w:r w:rsidRPr="00DA77A7">
              <w:rPr>
                <w:rFonts w:ascii="Calibri" w:eastAsia="Times New Roman" w:hAnsi="Calibri" w:cs="Arial"/>
                <w:lang w:eastAsia="cs-CZ"/>
              </w:rPr>
              <w:t> </w:t>
            </w:r>
          </w:p>
        </w:tc>
        <w:tc>
          <w:tcPr>
            <w:tcW w:w="4085" w:type="dxa"/>
            <w:tcBorders>
              <w:top w:val="single" w:sz="8" w:space="0" w:color="auto"/>
              <w:left w:val="nil"/>
              <w:bottom w:val="single" w:sz="8" w:space="0" w:color="auto"/>
              <w:right w:val="single" w:sz="4" w:space="0" w:color="auto"/>
            </w:tcBorders>
            <w:shd w:val="clear" w:color="auto" w:fill="auto"/>
            <w:noWrap/>
            <w:vAlign w:val="bottom"/>
            <w:hideMark/>
          </w:tcPr>
          <w:p w14:paraId="2D1A720C" w14:textId="77777777" w:rsidR="00DA77A7" w:rsidRPr="00DA77A7" w:rsidRDefault="00DA77A7" w:rsidP="00DA77A7">
            <w:pPr>
              <w:spacing w:after="0" w:line="240" w:lineRule="auto"/>
              <w:rPr>
                <w:rFonts w:ascii="Calibri" w:eastAsia="Times New Roman" w:hAnsi="Calibri" w:cs="Arial"/>
                <w:b/>
                <w:bCs/>
                <w:lang w:eastAsia="cs-CZ"/>
              </w:rPr>
            </w:pPr>
            <w:r w:rsidRPr="00DA77A7">
              <w:rPr>
                <w:rFonts w:ascii="Calibri" w:eastAsia="Times New Roman" w:hAnsi="Calibri" w:cs="Arial"/>
                <w:b/>
                <w:bCs/>
                <w:lang w:eastAsia="cs-CZ"/>
              </w:rPr>
              <w:t>Celkem</w:t>
            </w:r>
          </w:p>
        </w:tc>
        <w:tc>
          <w:tcPr>
            <w:tcW w:w="1394" w:type="dxa"/>
            <w:tcBorders>
              <w:top w:val="single" w:sz="8" w:space="0" w:color="auto"/>
              <w:left w:val="nil"/>
              <w:bottom w:val="single" w:sz="8" w:space="0" w:color="auto"/>
              <w:right w:val="single" w:sz="4" w:space="0" w:color="auto"/>
            </w:tcBorders>
            <w:shd w:val="clear" w:color="auto" w:fill="auto"/>
            <w:noWrap/>
            <w:vAlign w:val="bottom"/>
            <w:hideMark/>
          </w:tcPr>
          <w:p w14:paraId="6A960DB9" w14:textId="77777777" w:rsidR="00DA77A7" w:rsidRPr="00DA77A7" w:rsidRDefault="00DA77A7" w:rsidP="00DA77A7">
            <w:pPr>
              <w:spacing w:after="0" w:line="240" w:lineRule="auto"/>
              <w:jc w:val="right"/>
              <w:rPr>
                <w:rFonts w:ascii="Calibri" w:eastAsia="Times New Roman" w:hAnsi="Calibri" w:cs="Arial"/>
                <w:b/>
                <w:bCs/>
                <w:lang w:eastAsia="cs-CZ"/>
              </w:rPr>
            </w:pPr>
            <w:r w:rsidRPr="00DA77A7">
              <w:rPr>
                <w:rFonts w:ascii="Calibri" w:eastAsia="Times New Roman" w:hAnsi="Calibri" w:cs="Arial"/>
                <w:b/>
                <w:bCs/>
                <w:lang w:eastAsia="cs-CZ"/>
              </w:rPr>
              <w:t>0</w:t>
            </w:r>
          </w:p>
        </w:tc>
        <w:tc>
          <w:tcPr>
            <w:tcW w:w="1671" w:type="dxa"/>
            <w:tcBorders>
              <w:top w:val="single" w:sz="8" w:space="0" w:color="auto"/>
              <w:left w:val="nil"/>
              <w:bottom w:val="single" w:sz="8" w:space="0" w:color="auto"/>
              <w:right w:val="single" w:sz="4" w:space="0" w:color="auto"/>
            </w:tcBorders>
            <w:shd w:val="clear" w:color="auto" w:fill="auto"/>
            <w:noWrap/>
            <w:vAlign w:val="bottom"/>
            <w:hideMark/>
          </w:tcPr>
          <w:p w14:paraId="19996A78" w14:textId="77777777" w:rsidR="00DA77A7" w:rsidRPr="00DA77A7" w:rsidRDefault="00DA77A7" w:rsidP="00DA77A7">
            <w:pPr>
              <w:spacing w:after="0" w:line="240" w:lineRule="auto"/>
              <w:jc w:val="right"/>
              <w:rPr>
                <w:rFonts w:ascii="Calibri" w:eastAsia="Times New Roman" w:hAnsi="Calibri" w:cs="Arial"/>
                <w:b/>
                <w:bCs/>
                <w:lang w:eastAsia="cs-CZ"/>
              </w:rPr>
            </w:pPr>
            <w:r w:rsidRPr="00DA77A7">
              <w:rPr>
                <w:rFonts w:ascii="Calibri" w:eastAsia="Times New Roman" w:hAnsi="Calibri" w:cs="Arial"/>
                <w:b/>
                <w:bCs/>
                <w:lang w:eastAsia="cs-CZ"/>
              </w:rPr>
              <w:t>47 145 998,91</w:t>
            </w:r>
          </w:p>
        </w:tc>
        <w:tc>
          <w:tcPr>
            <w:tcW w:w="1684" w:type="dxa"/>
            <w:tcBorders>
              <w:top w:val="single" w:sz="8" w:space="0" w:color="auto"/>
              <w:left w:val="nil"/>
              <w:bottom w:val="single" w:sz="8" w:space="0" w:color="auto"/>
              <w:right w:val="single" w:sz="4" w:space="0" w:color="auto"/>
            </w:tcBorders>
            <w:shd w:val="clear" w:color="auto" w:fill="auto"/>
            <w:noWrap/>
            <w:vAlign w:val="bottom"/>
            <w:hideMark/>
          </w:tcPr>
          <w:p w14:paraId="2D964587" w14:textId="77777777" w:rsidR="00DA77A7" w:rsidRPr="00DA77A7" w:rsidRDefault="00DA77A7" w:rsidP="00DA77A7">
            <w:pPr>
              <w:spacing w:after="0" w:line="240" w:lineRule="auto"/>
              <w:jc w:val="right"/>
              <w:rPr>
                <w:rFonts w:ascii="Calibri" w:eastAsia="Times New Roman" w:hAnsi="Calibri" w:cs="Arial"/>
                <w:b/>
                <w:bCs/>
                <w:lang w:eastAsia="cs-CZ"/>
              </w:rPr>
            </w:pPr>
            <w:r w:rsidRPr="00DA77A7">
              <w:rPr>
                <w:rFonts w:ascii="Calibri" w:eastAsia="Times New Roman" w:hAnsi="Calibri" w:cs="Arial"/>
                <w:b/>
                <w:bCs/>
                <w:lang w:eastAsia="cs-CZ"/>
              </w:rPr>
              <w:t>44 705 833,62</w:t>
            </w:r>
          </w:p>
        </w:tc>
        <w:tc>
          <w:tcPr>
            <w:tcW w:w="576" w:type="dxa"/>
            <w:tcBorders>
              <w:top w:val="single" w:sz="8" w:space="0" w:color="auto"/>
              <w:left w:val="nil"/>
              <w:bottom w:val="single" w:sz="8" w:space="0" w:color="auto"/>
              <w:right w:val="single" w:sz="8" w:space="0" w:color="auto"/>
            </w:tcBorders>
            <w:shd w:val="clear" w:color="auto" w:fill="auto"/>
            <w:noWrap/>
            <w:vAlign w:val="bottom"/>
            <w:hideMark/>
          </w:tcPr>
          <w:p w14:paraId="78F60DE7" w14:textId="77777777" w:rsidR="00DA77A7" w:rsidRPr="00DA77A7" w:rsidRDefault="00DA77A7" w:rsidP="00DA77A7">
            <w:pPr>
              <w:spacing w:after="0" w:line="240" w:lineRule="auto"/>
              <w:jc w:val="right"/>
              <w:rPr>
                <w:rFonts w:ascii="Calibri" w:eastAsia="Times New Roman" w:hAnsi="Calibri" w:cs="Arial"/>
                <w:b/>
                <w:bCs/>
                <w:lang w:eastAsia="cs-CZ"/>
              </w:rPr>
            </w:pPr>
            <w:r w:rsidRPr="00DA77A7">
              <w:rPr>
                <w:rFonts w:ascii="Calibri" w:eastAsia="Times New Roman" w:hAnsi="Calibri" w:cs="Arial"/>
                <w:b/>
                <w:bCs/>
                <w:lang w:eastAsia="cs-CZ"/>
              </w:rPr>
              <w:t>94,8</w:t>
            </w:r>
          </w:p>
        </w:tc>
      </w:tr>
      <w:tr w:rsidR="00AF5B41" w:rsidRPr="00DA77A7" w14:paraId="3C6B88B6" w14:textId="77777777" w:rsidTr="0042584A">
        <w:trPr>
          <w:trHeight w:val="300"/>
        </w:trPr>
        <w:tc>
          <w:tcPr>
            <w:tcW w:w="1231" w:type="dxa"/>
            <w:tcBorders>
              <w:top w:val="nil"/>
              <w:left w:val="nil"/>
              <w:bottom w:val="nil"/>
              <w:right w:val="nil"/>
            </w:tcBorders>
            <w:shd w:val="clear" w:color="auto" w:fill="auto"/>
            <w:noWrap/>
            <w:vAlign w:val="bottom"/>
            <w:hideMark/>
          </w:tcPr>
          <w:p w14:paraId="5EA9C875" w14:textId="77777777" w:rsidR="00DA77A7" w:rsidRPr="00DA77A7" w:rsidRDefault="00DA77A7" w:rsidP="00DA77A7">
            <w:pPr>
              <w:spacing w:after="0" w:line="240" w:lineRule="auto"/>
              <w:jc w:val="right"/>
              <w:rPr>
                <w:rFonts w:ascii="Calibri" w:eastAsia="Times New Roman" w:hAnsi="Calibri" w:cs="Arial"/>
                <w:b/>
                <w:bCs/>
                <w:lang w:eastAsia="cs-CZ"/>
              </w:rPr>
            </w:pPr>
          </w:p>
        </w:tc>
        <w:tc>
          <w:tcPr>
            <w:tcW w:w="4085" w:type="dxa"/>
            <w:tcBorders>
              <w:top w:val="nil"/>
              <w:left w:val="nil"/>
              <w:bottom w:val="nil"/>
              <w:right w:val="nil"/>
            </w:tcBorders>
            <w:shd w:val="clear" w:color="auto" w:fill="auto"/>
            <w:noWrap/>
            <w:vAlign w:val="bottom"/>
            <w:hideMark/>
          </w:tcPr>
          <w:p w14:paraId="327C07DF" w14:textId="77777777" w:rsidR="00DA77A7" w:rsidRPr="00DA77A7" w:rsidRDefault="00DA77A7" w:rsidP="00DA77A7">
            <w:pPr>
              <w:spacing w:after="0" w:line="240" w:lineRule="auto"/>
              <w:rPr>
                <w:rFonts w:ascii="Times New Roman" w:eastAsia="Times New Roman" w:hAnsi="Times New Roman" w:cs="Times New Roman"/>
                <w:sz w:val="20"/>
                <w:szCs w:val="20"/>
                <w:lang w:eastAsia="cs-CZ"/>
              </w:rPr>
            </w:pPr>
          </w:p>
        </w:tc>
        <w:tc>
          <w:tcPr>
            <w:tcW w:w="1394" w:type="dxa"/>
            <w:tcBorders>
              <w:top w:val="nil"/>
              <w:left w:val="nil"/>
              <w:bottom w:val="nil"/>
              <w:right w:val="nil"/>
            </w:tcBorders>
            <w:shd w:val="clear" w:color="auto" w:fill="auto"/>
            <w:noWrap/>
            <w:vAlign w:val="bottom"/>
            <w:hideMark/>
          </w:tcPr>
          <w:p w14:paraId="5B46C7E8" w14:textId="77777777" w:rsidR="00DA77A7" w:rsidRPr="00DA77A7" w:rsidRDefault="00DA77A7" w:rsidP="00DA77A7">
            <w:pPr>
              <w:spacing w:after="0" w:line="240" w:lineRule="auto"/>
              <w:rPr>
                <w:rFonts w:ascii="Times New Roman" w:eastAsia="Times New Roman" w:hAnsi="Times New Roman" w:cs="Times New Roman"/>
                <w:sz w:val="20"/>
                <w:szCs w:val="20"/>
                <w:lang w:eastAsia="cs-CZ"/>
              </w:rPr>
            </w:pPr>
          </w:p>
        </w:tc>
        <w:tc>
          <w:tcPr>
            <w:tcW w:w="1671" w:type="dxa"/>
            <w:tcBorders>
              <w:top w:val="nil"/>
              <w:left w:val="nil"/>
              <w:bottom w:val="nil"/>
              <w:right w:val="nil"/>
            </w:tcBorders>
            <w:shd w:val="clear" w:color="auto" w:fill="auto"/>
            <w:noWrap/>
            <w:vAlign w:val="bottom"/>
            <w:hideMark/>
          </w:tcPr>
          <w:p w14:paraId="456FFD93" w14:textId="77777777" w:rsidR="00DA77A7" w:rsidRPr="00DA77A7" w:rsidRDefault="00DA77A7" w:rsidP="00DA77A7">
            <w:pPr>
              <w:spacing w:after="0" w:line="240" w:lineRule="auto"/>
              <w:jc w:val="right"/>
              <w:rPr>
                <w:rFonts w:ascii="Times New Roman" w:eastAsia="Times New Roman" w:hAnsi="Times New Roman" w:cs="Times New Roman"/>
                <w:sz w:val="20"/>
                <w:szCs w:val="20"/>
                <w:lang w:eastAsia="cs-CZ"/>
              </w:rPr>
            </w:pPr>
          </w:p>
        </w:tc>
        <w:tc>
          <w:tcPr>
            <w:tcW w:w="1684" w:type="dxa"/>
            <w:tcBorders>
              <w:top w:val="nil"/>
              <w:left w:val="nil"/>
              <w:bottom w:val="nil"/>
              <w:right w:val="nil"/>
            </w:tcBorders>
            <w:shd w:val="clear" w:color="auto" w:fill="auto"/>
            <w:noWrap/>
            <w:vAlign w:val="bottom"/>
            <w:hideMark/>
          </w:tcPr>
          <w:p w14:paraId="745FD8A0" w14:textId="77777777" w:rsidR="00DA77A7" w:rsidRPr="00DA77A7" w:rsidRDefault="00DA77A7" w:rsidP="00DA77A7">
            <w:pPr>
              <w:spacing w:after="0" w:line="240" w:lineRule="auto"/>
              <w:jc w:val="right"/>
              <w:rPr>
                <w:rFonts w:ascii="Times New Roman" w:eastAsia="Times New Roman" w:hAnsi="Times New Roman" w:cs="Times New Roman"/>
                <w:sz w:val="20"/>
                <w:szCs w:val="20"/>
                <w:lang w:eastAsia="cs-CZ"/>
              </w:rPr>
            </w:pPr>
          </w:p>
        </w:tc>
        <w:tc>
          <w:tcPr>
            <w:tcW w:w="576" w:type="dxa"/>
            <w:tcBorders>
              <w:top w:val="nil"/>
              <w:left w:val="nil"/>
              <w:bottom w:val="nil"/>
              <w:right w:val="nil"/>
            </w:tcBorders>
            <w:shd w:val="clear" w:color="auto" w:fill="auto"/>
            <w:noWrap/>
            <w:vAlign w:val="bottom"/>
            <w:hideMark/>
          </w:tcPr>
          <w:p w14:paraId="1C06655E" w14:textId="77777777" w:rsidR="00DA77A7" w:rsidRPr="00DA77A7" w:rsidRDefault="00DA77A7" w:rsidP="00DA77A7">
            <w:pPr>
              <w:spacing w:after="0" w:line="240" w:lineRule="auto"/>
              <w:jc w:val="right"/>
              <w:rPr>
                <w:rFonts w:ascii="Times New Roman" w:eastAsia="Times New Roman" w:hAnsi="Times New Roman" w:cs="Times New Roman"/>
                <w:sz w:val="20"/>
                <w:szCs w:val="20"/>
                <w:lang w:eastAsia="cs-CZ"/>
              </w:rPr>
            </w:pPr>
          </w:p>
        </w:tc>
      </w:tr>
      <w:tr w:rsidR="00DA77A7" w:rsidRPr="00DA77A7" w14:paraId="79FE86D8" w14:textId="77777777" w:rsidTr="0042584A">
        <w:trPr>
          <w:trHeight w:val="360"/>
        </w:trPr>
        <w:tc>
          <w:tcPr>
            <w:tcW w:w="1231" w:type="dxa"/>
            <w:tcBorders>
              <w:top w:val="nil"/>
              <w:left w:val="nil"/>
              <w:bottom w:val="nil"/>
              <w:right w:val="nil"/>
            </w:tcBorders>
            <w:shd w:val="clear" w:color="auto" w:fill="auto"/>
            <w:noWrap/>
            <w:vAlign w:val="bottom"/>
            <w:hideMark/>
          </w:tcPr>
          <w:p w14:paraId="0468857D" w14:textId="77777777" w:rsidR="00DA77A7" w:rsidRPr="00DA77A7" w:rsidRDefault="00DA77A7" w:rsidP="00DA77A7">
            <w:pPr>
              <w:spacing w:after="0" w:line="240" w:lineRule="auto"/>
              <w:rPr>
                <w:rFonts w:ascii="Times New Roman" w:eastAsia="Times New Roman" w:hAnsi="Times New Roman" w:cs="Times New Roman"/>
                <w:sz w:val="20"/>
                <w:szCs w:val="20"/>
                <w:lang w:eastAsia="cs-CZ"/>
              </w:rPr>
            </w:pPr>
          </w:p>
        </w:tc>
        <w:tc>
          <w:tcPr>
            <w:tcW w:w="9410" w:type="dxa"/>
            <w:gridSpan w:val="5"/>
            <w:tcBorders>
              <w:top w:val="nil"/>
              <w:left w:val="nil"/>
              <w:bottom w:val="nil"/>
              <w:right w:val="nil"/>
            </w:tcBorders>
            <w:shd w:val="clear" w:color="auto" w:fill="auto"/>
            <w:noWrap/>
            <w:vAlign w:val="bottom"/>
            <w:hideMark/>
          </w:tcPr>
          <w:p w14:paraId="38D5B7F2" w14:textId="77777777" w:rsidR="00DA77A7" w:rsidRPr="00DA77A7" w:rsidRDefault="00DA77A7" w:rsidP="00DA77A7">
            <w:pPr>
              <w:spacing w:after="0" w:line="240" w:lineRule="auto"/>
              <w:rPr>
                <w:rFonts w:ascii="Calibri" w:eastAsia="Times New Roman" w:hAnsi="Calibri" w:cs="Arial"/>
                <w:b/>
                <w:bCs/>
                <w:lang w:eastAsia="cs-CZ"/>
              </w:rPr>
            </w:pPr>
            <w:r w:rsidRPr="00DA77A7">
              <w:rPr>
                <w:rFonts w:ascii="Calibri" w:eastAsia="Times New Roman" w:hAnsi="Calibri" w:cs="Arial"/>
                <w:b/>
                <w:bCs/>
                <w:lang w:eastAsia="cs-CZ"/>
              </w:rPr>
              <w:t>Předfinancování a kofinancování projektů spolufinancovaných z EU/EHP a ostatní související výdaje s projekty EU/EHP</w:t>
            </w:r>
          </w:p>
        </w:tc>
      </w:tr>
      <w:tr w:rsidR="00AF5B41" w:rsidRPr="00DA77A7" w14:paraId="59836048" w14:textId="77777777" w:rsidTr="0042584A">
        <w:trPr>
          <w:trHeight w:val="780"/>
        </w:trPr>
        <w:tc>
          <w:tcPr>
            <w:tcW w:w="1231"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487F4B2" w14:textId="77777777" w:rsidR="00DA77A7" w:rsidRPr="00DA77A7" w:rsidRDefault="00DA77A7" w:rsidP="00DA77A7">
            <w:pPr>
              <w:spacing w:after="0" w:line="240" w:lineRule="auto"/>
              <w:jc w:val="center"/>
              <w:rPr>
                <w:rFonts w:ascii="Calibri" w:eastAsia="Times New Roman" w:hAnsi="Calibri" w:cs="Arial"/>
                <w:sz w:val="20"/>
                <w:szCs w:val="20"/>
                <w:lang w:eastAsia="cs-CZ"/>
              </w:rPr>
            </w:pPr>
            <w:r w:rsidRPr="00DA77A7">
              <w:rPr>
                <w:rFonts w:ascii="Calibri" w:eastAsia="Times New Roman" w:hAnsi="Calibri" w:cs="Arial"/>
                <w:sz w:val="20"/>
                <w:szCs w:val="20"/>
                <w:lang w:eastAsia="cs-CZ"/>
              </w:rPr>
              <w:t>3114</w:t>
            </w:r>
          </w:p>
        </w:tc>
        <w:tc>
          <w:tcPr>
            <w:tcW w:w="4085" w:type="dxa"/>
            <w:tcBorders>
              <w:top w:val="single" w:sz="8" w:space="0" w:color="auto"/>
              <w:left w:val="nil"/>
              <w:bottom w:val="single" w:sz="4" w:space="0" w:color="auto"/>
              <w:right w:val="single" w:sz="4" w:space="0" w:color="auto"/>
            </w:tcBorders>
            <w:shd w:val="clear" w:color="auto" w:fill="auto"/>
            <w:vAlign w:val="bottom"/>
            <w:hideMark/>
          </w:tcPr>
          <w:p w14:paraId="5EC31D9D" w14:textId="77777777" w:rsidR="00DA77A7" w:rsidRPr="00DA77A7" w:rsidRDefault="00DA77A7" w:rsidP="00DA77A7">
            <w:pPr>
              <w:spacing w:after="0" w:line="240" w:lineRule="auto"/>
              <w:rPr>
                <w:rFonts w:ascii="Calibri" w:eastAsia="Times New Roman" w:hAnsi="Calibri" w:cs="Arial"/>
                <w:sz w:val="20"/>
                <w:szCs w:val="20"/>
                <w:lang w:eastAsia="cs-CZ"/>
              </w:rPr>
            </w:pPr>
            <w:r w:rsidRPr="00DA77A7">
              <w:rPr>
                <w:rFonts w:ascii="Calibri" w:eastAsia="Times New Roman" w:hAnsi="Calibri" w:cs="Arial"/>
                <w:sz w:val="20"/>
                <w:szCs w:val="20"/>
                <w:lang w:eastAsia="cs-CZ"/>
              </w:rPr>
              <w:t>Základní školy pro žáky se speciálními vzdělávacími potřebami</w:t>
            </w:r>
          </w:p>
        </w:tc>
        <w:tc>
          <w:tcPr>
            <w:tcW w:w="1394" w:type="dxa"/>
            <w:tcBorders>
              <w:top w:val="single" w:sz="8" w:space="0" w:color="auto"/>
              <w:left w:val="nil"/>
              <w:bottom w:val="single" w:sz="4" w:space="0" w:color="auto"/>
              <w:right w:val="single" w:sz="4" w:space="0" w:color="auto"/>
            </w:tcBorders>
            <w:shd w:val="clear" w:color="auto" w:fill="auto"/>
            <w:noWrap/>
            <w:vAlign w:val="bottom"/>
            <w:hideMark/>
          </w:tcPr>
          <w:p w14:paraId="7E53FEC7"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0</w:t>
            </w:r>
          </w:p>
        </w:tc>
        <w:tc>
          <w:tcPr>
            <w:tcW w:w="1671" w:type="dxa"/>
            <w:tcBorders>
              <w:top w:val="single" w:sz="8" w:space="0" w:color="auto"/>
              <w:left w:val="nil"/>
              <w:bottom w:val="single" w:sz="4" w:space="0" w:color="auto"/>
              <w:right w:val="single" w:sz="4" w:space="0" w:color="auto"/>
            </w:tcBorders>
            <w:shd w:val="clear" w:color="auto" w:fill="auto"/>
            <w:noWrap/>
            <w:vAlign w:val="bottom"/>
            <w:hideMark/>
          </w:tcPr>
          <w:p w14:paraId="776203F6"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13 261 499,26</w:t>
            </w:r>
          </w:p>
        </w:tc>
        <w:tc>
          <w:tcPr>
            <w:tcW w:w="1684" w:type="dxa"/>
            <w:tcBorders>
              <w:top w:val="single" w:sz="8" w:space="0" w:color="auto"/>
              <w:left w:val="nil"/>
              <w:bottom w:val="single" w:sz="4" w:space="0" w:color="auto"/>
              <w:right w:val="single" w:sz="4" w:space="0" w:color="auto"/>
            </w:tcBorders>
            <w:shd w:val="clear" w:color="auto" w:fill="auto"/>
            <w:noWrap/>
            <w:vAlign w:val="bottom"/>
            <w:hideMark/>
          </w:tcPr>
          <w:p w14:paraId="063EF553"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13 261 499,26</w:t>
            </w:r>
          </w:p>
        </w:tc>
        <w:tc>
          <w:tcPr>
            <w:tcW w:w="576" w:type="dxa"/>
            <w:tcBorders>
              <w:top w:val="single" w:sz="8" w:space="0" w:color="auto"/>
              <w:left w:val="nil"/>
              <w:bottom w:val="single" w:sz="4" w:space="0" w:color="auto"/>
              <w:right w:val="single" w:sz="8" w:space="0" w:color="auto"/>
            </w:tcBorders>
            <w:shd w:val="clear" w:color="auto" w:fill="auto"/>
            <w:noWrap/>
            <w:vAlign w:val="bottom"/>
            <w:hideMark/>
          </w:tcPr>
          <w:p w14:paraId="3856157E"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100,0</w:t>
            </w:r>
          </w:p>
        </w:tc>
      </w:tr>
      <w:tr w:rsidR="00AF5B41" w:rsidRPr="00DA77A7" w14:paraId="0CCE3264"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noWrap/>
            <w:vAlign w:val="bottom"/>
            <w:hideMark/>
          </w:tcPr>
          <w:p w14:paraId="20119E5F" w14:textId="77777777" w:rsidR="00DA77A7" w:rsidRPr="00DA77A7" w:rsidRDefault="00DA77A7" w:rsidP="00DA77A7">
            <w:pPr>
              <w:spacing w:after="0" w:line="240" w:lineRule="auto"/>
              <w:jc w:val="center"/>
              <w:rPr>
                <w:rFonts w:ascii="Calibri" w:eastAsia="Times New Roman" w:hAnsi="Calibri" w:cs="Arial"/>
                <w:sz w:val="20"/>
                <w:szCs w:val="20"/>
                <w:lang w:eastAsia="cs-CZ"/>
              </w:rPr>
            </w:pPr>
            <w:r w:rsidRPr="00DA77A7">
              <w:rPr>
                <w:rFonts w:ascii="Calibri" w:eastAsia="Times New Roman" w:hAnsi="Calibri" w:cs="Arial"/>
                <w:sz w:val="20"/>
                <w:szCs w:val="20"/>
                <w:lang w:eastAsia="cs-CZ"/>
              </w:rPr>
              <w:t>3121</w:t>
            </w:r>
          </w:p>
        </w:tc>
        <w:tc>
          <w:tcPr>
            <w:tcW w:w="4085" w:type="dxa"/>
            <w:tcBorders>
              <w:top w:val="nil"/>
              <w:left w:val="nil"/>
              <w:bottom w:val="single" w:sz="4" w:space="0" w:color="auto"/>
              <w:right w:val="single" w:sz="4" w:space="0" w:color="auto"/>
            </w:tcBorders>
            <w:shd w:val="clear" w:color="auto" w:fill="auto"/>
            <w:vAlign w:val="bottom"/>
            <w:hideMark/>
          </w:tcPr>
          <w:p w14:paraId="5EF571C9" w14:textId="77777777" w:rsidR="00DA77A7" w:rsidRPr="00DA77A7" w:rsidRDefault="00DA77A7" w:rsidP="00DA77A7">
            <w:pPr>
              <w:spacing w:after="0" w:line="240" w:lineRule="auto"/>
              <w:rPr>
                <w:rFonts w:ascii="Calibri" w:eastAsia="Times New Roman" w:hAnsi="Calibri" w:cs="Arial"/>
                <w:sz w:val="20"/>
                <w:szCs w:val="20"/>
                <w:lang w:eastAsia="cs-CZ"/>
              </w:rPr>
            </w:pPr>
            <w:r w:rsidRPr="00DA77A7">
              <w:rPr>
                <w:rFonts w:ascii="Calibri" w:eastAsia="Times New Roman" w:hAnsi="Calibri" w:cs="Arial"/>
                <w:sz w:val="20"/>
                <w:szCs w:val="20"/>
                <w:lang w:eastAsia="cs-CZ"/>
              </w:rPr>
              <w:t>Gymnázia</w:t>
            </w:r>
          </w:p>
        </w:tc>
        <w:tc>
          <w:tcPr>
            <w:tcW w:w="1394" w:type="dxa"/>
            <w:tcBorders>
              <w:top w:val="nil"/>
              <w:left w:val="nil"/>
              <w:bottom w:val="single" w:sz="4" w:space="0" w:color="auto"/>
              <w:right w:val="single" w:sz="4" w:space="0" w:color="auto"/>
            </w:tcBorders>
            <w:shd w:val="clear" w:color="auto" w:fill="auto"/>
            <w:noWrap/>
            <w:vAlign w:val="bottom"/>
            <w:hideMark/>
          </w:tcPr>
          <w:p w14:paraId="091B0C9B"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0</w:t>
            </w:r>
          </w:p>
        </w:tc>
        <w:tc>
          <w:tcPr>
            <w:tcW w:w="1671" w:type="dxa"/>
            <w:tcBorders>
              <w:top w:val="nil"/>
              <w:left w:val="nil"/>
              <w:bottom w:val="single" w:sz="4" w:space="0" w:color="auto"/>
              <w:right w:val="single" w:sz="4" w:space="0" w:color="auto"/>
            </w:tcBorders>
            <w:shd w:val="clear" w:color="auto" w:fill="auto"/>
            <w:noWrap/>
            <w:vAlign w:val="bottom"/>
            <w:hideMark/>
          </w:tcPr>
          <w:p w14:paraId="6DBF4EF4"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16 267 828,65</w:t>
            </w:r>
          </w:p>
        </w:tc>
        <w:tc>
          <w:tcPr>
            <w:tcW w:w="1684" w:type="dxa"/>
            <w:tcBorders>
              <w:top w:val="nil"/>
              <w:left w:val="nil"/>
              <w:bottom w:val="single" w:sz="4" w:space="0" w:color="auto"/>
              <w:right w:val="single" w:sz="4" w:space="0" w:color="auto"/>
            </w:tcBorders>
            <w:shd w:val="clear" w:color="auto" w:fill="auto"/>
            <w:noWrap/>
            <w:vAlign w:val="bottom"/>
            <w:hideMark/>
          </w:tcPr>
          <w:p w14:paraId="5F44CCC4"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16 267 828,64</w:t>
            </w:r>
          </w:p>
        </w:tc>
        <w:tc>
          <w:tcPr>
            <w:tcW w:w="576" w:type="dxa"/>
            <w:tcBorders>
              <w:top w:val="nil"/>
              <w:left w:val="nil"/>
              <w:bottom w:val="single" w:sz="4" w:space="0" w:color="auto"/>
              <w:right w:val="single" w:sz="8" w:space="0" w:color="auto"/>
            </w:tcBorders>
            <w:shd w:val="clear" w:color="auto" w:fill="auto"/>
            <w:noWrap/>
            <w:vAlign w:val="bottom"/>
            <w:hideMark/>
          </w:tcPr>
          <w:p w14:paraId="6D706B38"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100,0</w:t>
            </w:r>
          </w:p>
        </w:tc>
      </w:tr>
      <w:tr w:rsidR="00AF5B41" w:rsidRPr="00DA77A7" w14:paraId="10D7D3E4"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noWrap/>
            <w:vAlign w:val="bottom"/>
            <w:hideMark/>
          </w:tcPr>
          <w:p w14:paraId="5D6FE14C" w14:textId="77777777" w:rsidR="00DA77A7" w:rsidRPr="00DA77A7" w:rsidRDefault="00DA77A7" w:rsidP="00DA77A7">
            <w:pPr>
              <w:spacing w:after="0" w:line="240" w:lineRule="auto"/>
              <w:jc w:val="center"/>
              <w:rPr>
                <w:rFonts w:ascii="Calibri" w:eastAsia="Times New Roman" w:hAnsi="Calibri" w:cs="Arial"/>
                <w:sz w:val="20"/>
                <w:szCs w:val="20"/>
                <w:lang w:eastAsia="cs-CZ"/>
              </w:rPr>
            </w:pPr>
            <w:r w:rsidRPr="00DA77A7">
              <w:rPr>
                <w:rFonts w:ascii="Calibri" w:eastAsia="Times New Roman" w:hAnsi="Calibri" w:cs="Arial"/>
                <w:sz w:val="20"/>
                <w:szCs w:val="20"/>
                <w:lang w:eastAsia="cs-CZ"/>
              </w:rPr>
              <w:t>3122</w:t>
            </w:r>
          </w:p>
        </w:tc>
        <w:tc>
          <w:tcPr>
            <w:tcW w:w="4085" w:type="dxa"/>
            <w:tcBorders>
              <w:top w:val="nil"/>
              <w:left w:val="nil"/>
              <w:bottom w:val="single" w:sz="4" w:space="0" w:color="auto"/>
              <w:right w:val="single" w:sz="4" w:space="0" w:color="auto"/>
            </w:tcBorders>
            <w:shd w:val="clear" w:color="auto" w:fill="auto"/>
            <w:vAlign w:val="bottom"/>
            <w:hideMark/>
          </w:tcPr>
          <w:p w14:paraId="2822F894" w14:textId="77777777" w:rsidR="00DA77A7" w:rsidRPr="00DA77A7" w:rsidRDefault="00DA77A7" w:rsidP="00DA77A7">
            <w:pPr>
              <w:spacing w:after="0" w:line="240" w:lineRule="auto"/>
              <w:rPr>
                <w:rFonts w:ascii="Calibri" w:eastAsia="Times New Roman" w:hAnsi="Calibri" w:cs="Arial"/>
                <w:sz w:val="20"/>
                <w:szCs w:val="20"/>
                <w:lang w:eastAsia="cs-CZ"/>
              </w:rPr>
            </w:pPr>
            <w:r w:rsidRPr="00DA77A7">
              <w:rPr>
                <w:rFonts w:ascii="Calibri" w:eastAsia="Times New Roman" w:hAnsi="Calibri" w:cs="Arial"/>
                <w:sz w:val="20"/>
                <w:szCs w:val="20"/>
                <w:lang w:eastAsia="cs-CZ"/>
              </w:rPr>
              <w:t>Střední odborné školy</w:t>
            </w:r>
          </w:p>
        </w:tc>
        <w:tc>
          <w:tcPr>
            <w:tcW w:w="1394" w:type="dxa"/>
            <w:tcBorders>
              <w:top w:val="nil"/>
              <w:left w:val="nil"/>
              <w:bottom w:val="single" w:sz="4" w:space="0" w:color="auto"/>
              <w:right w:val="single" w:sz="4" w:space="0" w:color="auto"/>
            </w:tcBorders>
            <w:shd w:val="clear" w:color="auto" w:fill="auto"/>
            <w:noWrap/>
            <w:vAlign w:val="bottom"/>
            <w:hideMark/>
          </w:tcPr>
          <w:p w14:paraId="60A702AE"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0</w:t>
            </w:r>
          </w:p>
        </w:tc>
        <w:tc>
          <w:tcPr>
            <w:tcW w:w="1671" w:type="dxa"/>
            <w:tcBorders>
              <w:top w:val="nil"/>
              <w:left w:val="nil"/>
              <w:bottom w:val="single" w:sz="4" w:space="0" w:color="auto"/>
              <w:right w:val="single" w:sz="4" w:space="0" w:color="auto"/>
            </w:tcBorders>
            <w:shd w:val="clear" w:color="auto" w:fill="auto"/>
            <w:noWrap/>
            <w:vAlign w:val="bottom"/>
            <w:hideMark/>
          </w:tcPr>
          <w:p w14:paraId="021EC0E8"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32 515 258,70</w:t>
            </w:r>
          </w:p>
        </w:tc>
        <w:tc>
          <w:tcPr>
            <w:tcW w:w="1684" w:type="dxa"/>
            <w:tcBorders>
              <w:top w:val="nil"/>
              <w:left w:val="nil"/>
              <w:bottom w:val="single" w:sz="4" w:space="0" w:color="auto"/>
              <w:right w:val="single" w:sz="4" w:space="0" w:color="auto"/>
            </w:tcBorders>
            <w:shd w:val="clear" w:color="auto" w:fill="auto"/>
            <w:noWrap/>
            <w:vAlign w:val="bottom"/>
            <w:hideMark/>
          </w:tcPr>
          <w:p w14:paraId="70DB22C6"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32 505 968,11</w:t>
            </w:r>
          </w:p>
        </w:tc>
        <w:tc>
          <w:tcPr>
            <w:tcW w:w="576" w:type="dxa"/>
            <w:tcBorders>
              <w:top w:val="nil"/>
              <w:left w:val="nil"/>
              <w:bottom w:val="single" w:sz="4" w:space="0" w:color="auto"/>
              <w:right w:val="single" w:sz="8" w:space="0" w:color="auto"/>
            </w:tcBorders>
            <w:shd w:val="clear" w:color="auto" w:fill="auto"/>
            <w:noWrap/>
            <w:vAlign w:val="bottom"/>
            <w:hideMark/>
          </w:tcPr>
          <w:p w14:paraId="21D2035D"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100,0</w:t>
            </w:r>
          </w:p>
        </w:tc>
      </w:tr>
      <w:tr w:rsidR="00AF5B41" w:rsidRPr="00DA77A7" w14:paraId="7826C601" w14:textId="77777777" w:rsidTr="0042584A">
        <w:trPr>
          <w:trHeight w:val="780"/>
        </w:trPr>
        <w:tc>
          <w:tcPr>
            <w:tcW w:w="1231" w:type="dxa"/>
            <w:tcBorders>
              <w:top w:val="nil"/>
              <w:left w:val="single" w:sz="8" w:space="0" w:color="auto"/>
              <w:bottom w:val="single" w:sz="4" w:space="0" w:color="auto"/>
              <w:right w:val="single" w:sz="4" w:space="0" w:color="auto"/>
            </w:tcBorders>
            <w:shd w:val="clear" w:color="auto" w:fill="auto"/>
            <w:noWrap/>
            <w:vAlign w:val="bottom"/>
            <w:hideMark/>
          </w:tcPr>
          <w:p w14:paraId="42E881C8" w14:textId="77777777" w:rsidR="00DA77A7" w:rsidRPr="00DA77A7" w:rsidRDefault="00DA77A7" w:rsidP="00DA77A7">
            <w:pPr>
              <w:spacing w:after="0" w:line="240" w:lineRule="auto"/>
              <w:jc w:val="center"/>
              <w:rPr>
                <w:rFonts w:ascii="Calibri" w:eastAsia="Times New Roman" w:hAnsi="Calibri" w:cs="Arial"/>
                <w:sz w:val="20"/>
                <w:szCs w:val="20"/>
                <w:lang w:eastAsia="cs-CZ"/>
              </w:rPr>
            </w:pPr>
            <w:r w:rsidRPr="00DA77A7">
              <w:rPr>
                <w:rFonts w:ascii="Calibri" w:eastAsia="Times New Roman" w:hAnsi="Calibri" w:cs="Arial"/>
                <w:sz w:val="20"/>
                <w:szCs w:val="20"/>
                <w:lang w:eastAsia="cs-CZ"/>
              </w:rPr>
              <w:t>3123</w:t>
            </w:r>
          </w:p>
        </w:tc>
        <w:tc>
          <w:tcPr>
            <w:tcW w:w="4085" w:type="dxa"/>
            <w:tcBorders>
              <w:top w:val="nil"/>
              <w:left w:val="nil"/>
              <w:bottom w:val="single" w:sz="4" w:space="0" w:color="auto"/>
              <w:right w:val="single" w:sz="4" w:space="0" w:color="auto"/>
            </w:tcBorders>
            <w:shd w:val="clear" w:color="auto" w:fill="auto"/>
            <w:vAlign w:val="bottom"/>
            <w:hideMark/>
          </w:tcPr>
          <w:p w14:paraId="6CC7B915" w14:textId="77777777" w:rsidR="00DA77A7" w:rsidRPr="00DA77A7" w:rsidRDefault="00DA77A7" w:rsidP="00DA77A7">
            <w:pPr>
              <w:spacing w:after="0" w:line="240" w:lineRule="auto"/>
              <w:rPr>
                <w:rFonts w:ascii="Calibri" w:eastAsia="Times New Roman" w:hAnsi="Calibri" w:cs="Arial"/>
                <w:sz w:val="20"/>
                <w:szCs w:val="20"/>
                <w:lang w:eastAsia="cs-CZ"/>
              </w:rPr>
            </w:pPr>
            <w:r w:rsidRPr="00DA77A7">
              <w:rPr>
                <w:rFonts w:ascii="Calibri" w:eastAsia="Times New Roman" w:hAnsi="Calibri" w:cs="Arial"/>
                <w:sz w:val="20"/>
                <w:szCs w:val="20"/>
                <w:lang w:eastAsia="cs-CZ"/>
              </w:rPr>
              <w:t>Střední školy poskytující střední vzdělávání s výučním listem</w:t>
            </w:r>
          </w:p>
        </w:tc>
        <w:tc>
          <w:tcPr>
            <w:tcW w:w="1394" w:type="dxa"/>
            <w:tcBorders>
              <w:top w:val="nil"/>
              <w:left w:val="nil"/>
              <w:bottom w:val="single" w:sz="4" w:space="0" w:color="auto"/>
              <w:right w:val="single" w:sz="4" w:space="0" w:color="auto"/>
            </w:tcBorders>
            <w:shd w:val="clear" w:color="auto" w:fill="auto"/>
            <w:noWrap/>
            <w:vAlign w:val="bottom"/>
            <w:hideMark/>
          </w:tcPr>
          <w:p w14:paraId="45145C41"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0</w:t>
            </w:r>
          </w:p>
        </w:tc>
        <w:tc>
          <w:tcPr>
            <w:tcW w:w="1671" w:type="dxa"/>
            <w:tcBorders>
              <w:top w:val="nil"/>
              <w:left w:val="nil"/>
              <w:bottom w:val="single" w:sz="4" w:space="0" w:color="auto"/>
              <w:right w:val="single" w:sz="4" w:space="0" w:color="auto"/>
            </w:tcBorders>
            <w:shd w:val="clear" w:color="auto" w:fill="auto"/>
            <w:noWrap/>
            <w:vAlign w:val="bottom"/>
            <w:hideMark/>
          </w:tcPr>
          <w:p w14:paraId="39240CBF"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75 118 092,16</w:t>
            </w:r>
          </w:p>
        </w:tc>
        <w:tc>
          <w:tcPr>
            <w:tcW w:w="1684" w:type="dxa"/>
            <w:tcBorders>
              <w:top w:val="nil"/>
              <w:left w:val="nil"/>
              <w:bottom w:val="single" w:sz="4" w:space="0" w:color="auto"/>
              <w:right w:val="single" w:sz="4" w:space="0" w:color="auto"/>
            </w:tcBorders>
            <w:shd w:val="clear" w:color="auto" w:fill="auto"/>
            <w:noWrap/>
            <w:vAlign w:val="bottom"/>
            <w:hideMark/>
          </w:tcPr>
          <w:p w14:paraId="3709BAC7"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75 098 610,29</w:t>
            </w:r>
          </w:p>
        </w:tc>
        <w:tc>
          <w:tcPr>
            <w:tcW w:w="576" w:type="dxa"/>
            <w:tcBorders>
              <w:top w:val="nil"/>
              <w:left w:val="nil"/>
              <w:bottom w:val="single" w:sz="4" w:space="0" w:color="auto"/>
              <w:right w:val="single" w:sz="8" w:space="0" w:color="auto"/>
            </w:tcBorders>
            <w:shd w:val="clear" w:color="auto" w:fill="auto"/>
            <w:noWrap/>
            <w:vAlign w:val="bottom"/>
            <w:hideMark/>
          </w:tcPr>
          <w:p w14:paraId="0B4F3166"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100,0</w:t>
            </w:r>
          </w:p>
        </w:tc>
      </w:tr>
      <w:tr w:rsidR="00AF5B41" w:rsidRPr="00DA77A7" w14:paraId="2E595F55"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noWrap/>
            <w:vAlign w:val="bottom"/>
            <w:hideMark/>
          </w:tcPr>
          <w:p w14:paraId="02871E29" w14:textId="77777777" w:rsidR="00DA77A7" w:rsidRPr="00DA77A7" w:rsidRDefault="00DA77A7" w:rsidP="00DA77A7">
            <w:pPr>
              <w:spacing w:after="0" w:line="240" w:lineRule="auto"/>
              <w:jc w:val="center"/>
              <w:rPr>
                <w:rFonts w:ascii="Calibri" w:eastAsia="Times New Roman" w:hAnsi="Calibri" w:cs="Arial"/>
                <w:sz w:val="20"/>
                <w:szCs w:val="20"/>
                <w:lang w:eastAsia="cs-CZ"/>
              </w:rPr>
            </w:pPr>
            <w:r w:rsidRPr="00DA77A7">
              <w:rPr>
                <w:rFonts w:ascii="Calibri" w:eastAsia="Times New Roman" w:hAnsi="Calibri" w:cs="Arial"/>
                <w:sz w:val="20"/>
                <w:szCs w:val="20"/>
                <w:lang w:eastAsia="cs-CZ"/>
              </w:rPr>
              <w:t>3146</w:t>
            </w:r>
          </w:p>
        </w:tc>
        <w:tc>
          <w:tcPr>
            <w:tcW w:w="4085" w:type="dxa"/>
            <w:tcBorders>
              <w:top w:val="nil"/>
              <w:left w:val="nil"/>
              <w:bottom w:val="single" w:sz="4" w:space="0" w:color="auto"/>
              <w:right w:val="single" w:sz="4" w:space="0" w:color="auto"/>
            </w:tcBorders>
            <w:shd w:val="clear" w:color="auto" w:fill="auto"/>
            <w:vAlign w:val="bottom"/>
            <w:hideMark/>
          </w:tcPr>
          <w:p w14:paraId="149CBFDF" w14:textId="77777777" w:rsidR="00DA77A7" w:rsidRPr="00DA77A7" w:rsidRDefault="00DA77A7" w:rsidP="00DA77A7">
            <w:pPr>
              <w:spacing w:after="0" w:line="240" w:lineRule="auto"/>
              <w:rPr>
                <w:rFonts w:ascii="Calibri" w:eastAsia="Times New Roman" w:hAnsi="Calibri" w:cs="Arial"/>
                <w:sz w:val="20"/>
                <w:szCs w:val="20"/>
                <w:lang w:eastAsia="cs-CZ"/>
              </w:rPr>
            </w:pPr>
            <w:r w:rsidRPr="00DA77A7">
              <w:rPr>
                <w:rFonts w:ascii="Calibri" w:eastAsia="Times New Roman" w:hAnsi="Calibri" w:cs="Arial"/>
                <w:sz w:val="20"/>
                <w:szCs w:val="20"/>
                <w:lang w:eastAsia="cs-CZ"/>
              </w:rPr>
              <w:t>Zařízení výchovného poradenství</w:t>
            </w:r>
          </w:p>
        </w:tc>
        <w:tc>
          <w:tcPr>
            <w:tcW w:w="1394" w:type="dxa"/>
            <w:tcBorders>
              <w:top w:val="nil"/>
              <w:left w:val="nil"/>
              <w:bottom w:val="single" w:sz="4" w:space="0" w:color="auto"/>
              <w:right w:val="single" w:sz="4" w:space="0" w:color="auto"/>
            </w:tcBorders>
            <w:shd w:val="clear" w:color="auto" w:fill="auto"/>
            <w:noWrap/>
            <w:vAlign w:val="bottom"/>
            <w:hideMark/>
          </w:tcPr>
          <w:p w14:paraId="5C799199"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0</w:t>
            </w:r>
          </w:p>
        </w:tc>
        <w:tc>
          <w:tcPr>
            <w:tcW w:w="1671" w:type="dxa"/>
            <w:tcBorders>
              <w:top w:val="nil"/>
              <w:left w:val="nil"/>
              <w:bottom w:val="single" w:sz="4" w:space="0" w:color="auto"/>
              <w:right w:val="single" w:sz="4" w:space="0" w:color="auto"/>
            </w:tcBorders>
            <w:shd w:val="clear" w:color="auto" w:fill="auto"/>
            <w:noWrap/>
            <w:vAlign w:val="bottom"/>
            <w:hideMark/>
          </w:tcPr>
          <w:p w14:paraId="3ED38548"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1 547 183,14</w:t>
            </w:r>
          </w:p>
        </w:tc>
        <w:tc>
          <w:tcPr>
            <w:tcW w:w="1684" w:type="dxa"/>
            <w:tcBorders>
              <w:top w:val="nil"/>
              <w:left w:val="nil"/>
              <w:bottom w:val="single" w:sz="4" w:space="0" w:color="auto"/>
              <w:right w:val="single" w:sz="4" w:space="0" w:color="auto"/>
            </w:tcBorders>
            <w:shd w:val="clear" w:color="auto" w:fill="auto"/>
            <w:noWrap/>
            <w:vAlign w:val="bottom"/>
            <w:hideMark/>
          </w:tcPr>
          <w:p w14:paraId="53ACE7CF"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1 547 183,14</w:t>
            </w:r>
          </w:p>
        </w:tc>
        <w:tc>
          <w:tcPr>
            <w:tcW w:w="576" w:type="dxa"/>
            <w:tcBorders>
              <w:top w:val="nil"/>
              <w:left w:val="nil"/>
              <w:bottom w:val="single" w:sz="4" w:space="0" w:color="auto"/>
              <w:right w:val="single" w:sz="8" w:space="0" w:color="auto"/>
            </w:tcBorders>
            <w:shd w:val="clear" w:color="auto" w:fill="auto"/>
            <w:noWrap/>
            <w:vAlign w:val="bottom"/>
            <w:hideMark/>
          </w:tcPr>
          <w:p w14:paraId="2B45C312"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100,0</w:t>
            </w:r>
          </w:p>
        </w:tc>
      </w:tr>
      <w:tr w:rsidR="00AF5B41" w:rsidRPr="00DA77A7" w14:paraId="27BA69EC"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noWrap/>
            <w:vAlign w:val="bottom"/>
            <w:hideMark/>
          </w:tcPr>
          <w:p w14:paraId="35AB18E5" w14:textId="77777777" w:rsidR="00DA77A7" w:rsidRPr="00DA77A7" w:rsidRDefault="00DA77A7" w:rsidP="00DA77A7">
            <w:pPr>
              <w:spacing w:after="0" w:line="240" w:lineRule="auto"/>
              <w:jc w:val="center"/>
              <w:rPr>
                <w:rFonts w:ascii="Calibri" w:eastAsia="Times New Roman" w:hAnsi="Calibri" w:cs="Arial"/>
                <w:sz w:val="20"/>
                <w:szCs w:val="20"/>
                <w:lang w:eastAsia="cs-CZ"/>
              </w:rPr>
            </w:pPr>
            <w:r w:rsidRPr="00DA77A7">
              <w:rPr>
                <w:rFonts w:ascii="Calibri" w:eastAsia="Times New Roman" w:hAnsi="Calibri" w:cs="Arial"/>
                <w:sz w:val="20"/>
                <w:szCs w:val="20"/>
                <w:lang w:eastAsia="cs-CZ"/>
              </w:rPr>
              <w:t>3269</w:t>
            </w:r>
          </w:p>
        </w:tc>
        <w:tc>
          <w:tcPr>
            <w:tcW w:w="4085" w:type="dxa"/>
            <w:tcBorders>
              <w:top w:val="nil"/>
              <w:left w:val="nil"/>
              <w:bottom w:val="single" w:sz="4" w:space="0" w:color="auto"/>
              <w:right w:val="single" w:sz="4" w:space="0" w:color="auto"/>
            </w:tcBorders>
            <w:shd w:val="clear" w:color="auto" w:fill="auto"/>
            <w:vAlign w:val="bottom"/>
            <w:hideMark/>
          </w:tcPr>
          <w:p w14:paraId="7FE6DAEF" w14:textId="77777777" w:rsidR="00DA77A7" w:rsidRPr="00DA77A7" w:rsidRDefault="00DA77A7" w:rsidP="00DA77A7">
            <w:pPr>
              <w:spacing w:after="0" w:line="240" w:lineRule="auto"/>
              <w:rPr>
                <w:rFonts w:ascii="Calibri" w:eastAsia="Times New Roman" w:hAnsi="Calibri" w:cs="Arial"/>
                <w:sz w:val="20"/>
                <w:szCs w:val="20"/>
                <w:lang w:eastAsia="cs-CZ"/>
              </w:rPr>
            </w:pPr>
            <w:r w:rsidRPr="00DA77A7">
              <w:rPr>
                <w:rFonts w:ascii="Calibri" w:eastAsia="Times New Roman" w:hAnsi="Calibri" w:cs="Arial"/>
                <w:sz w:val="20"/>
                <w:szCs w:val="20"/>
                <w:lang w:eastAsia="cs-CZ"/>
              </w:rPr>
              <w:t>Ostatní správa ve vzdělávání jinde nezařazená</w:t>
            </w:r>
          </w:p>
        </w:tc>
        <w:tc>
          <w:tcPr>
            <w:tcW w:w="1394" w:type="dxa"/>
            <w:tcBorders>
              <w:top w:val="nil"/>
              <w:left w:val="nil"/>
              <w:bottom w:val="single" w:sz="4" w:space="0" w:color="auto"/>
              <w:right w:val="single" w:sz="4" w:space="0" w:color="auto"/>
            </w:tcBorders>
            <w:shd w:val="clear" w:color="auto" w:fill="auto"/>
            <w:noWrap/>
            <w:vAlign w:val="bottom"/>
            <w:hideMark/>
          </w:tcPr>
          <w:p w14:paraId="566A098B"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0</w:t>
            </w:r>
          </w:p>
        </w:tc>
        <w:tc>
          <w:tcPr>
            <w:tcW w:w="1671" w:type="dxa"/>
            <w:tcBorders>
              <w:top w:val="nil"/>
              <w:left w:val="nil"/>
              <w:bottom w:val="single" w:sz="4" w:space="0" w:color="auto"/>
              <w:right w:val="single" w:sz="4" w:space="0" w:color="auto"/>
            </w:tcBorders>
            <w:shd w:val="clear" w:color="auto" w:fill="auto"/>
            <w:noWrap/>
            <w:vAlign w:val="bottom"/>
            <w:hideMark/>
          </w:tcPr>
          <w:p w14:paraId="3CFD0A1D"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37 536 896,33</w:t>
            </w:r>
          </w:p>
        </w:tc>
        <w:tc>
          <w:tcPr>
            <w:tcW w:w="1684" w:type="dxa"/>
            <w:tcBorders>
              <w:top w:val="nil"/>
              <w:left w:val="nil"/>
              <w:bottom w:val="single" w:sz="4" w:space="0" w:color="auto"/>
              <w:right w:val="single" w:sz="4" w:space="0" w:color="auto"/>
            </w:tcBorders>
            <w:shd w:val="clear" w:color="auto" w:fill="auto"/>
            <w:noWrap/>
            <w:vAlign w:val="bottom"/>
            <w:hideMark/>
          </w:tcPr>
          <w:p w14:paraId="5279D499"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920 080,23</w:t>
            </w:r>
          </w:p>
        </w:tc>
        <w:tc>
          <w:tcPr>
            <w:tcW w:w="576" w:type="dxa"/>
            <w:tcBorders>
              <w:top w:val="nil"/>
              <w:left w:val="nil"/>
              <w:bottom w:val="single" w:sz="4" w:space="0" w:color="auto"/>
              <w:right w:val="single" w:sz="8" w:space="0" w:color="auto"/>
            </w:tcBorders>
            <w:shd w:val="clear" w:color="auto" w:fill="auto"/>
            <w:noWrap/>
            <w:vAlign w:val="bottom"/>
            <w:hideMark/>
          </w:tcPr>
          <w:p w14:paraId="26DDD829"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2,5</w:t>
            </w:r>
          </w:p>
        </w:tc>
      </w:tr>
      <w:tr w:rsidR="00AF5B41" w:rsidRPr="00DA77A7" w14:paraId="7D6A4CD8" w14:textId="77777777" w:rsidTr="0042584A">
        <w:trPr>
          <w:trHeight w:val="300"/>
        </w:trPr>
        <w:tc>
          <w:tcPr>
            <w:tcW w:w="1231" w:type="dxa"/>
            <w:tcBorders>
              <w:top w:val="nil"/>
              <w:left w:val="single" w:sz="8" w:space="0" w:color="auto"/>
              <w:bottom w:val="nil"/>
              <w:right w:val="single" w:sz="4" w:space="0" w:color="auto"/>
            </w:tcBorders>
            <w:shd w:val="clear" w:color="auto" w:fill="auto"/>
            <w:noWrap/>
            <w:vAlign w:val="bottom"/>
            <w:hideMark/>
          </w:tcPr>
          <w:p w14:paraId="357E5216" w14:textId="77777777" w:rsidR="00DA77A7" w:rsidRPr="00DA77A7" w:rsidRDefault="00DA77A7" w:rsidP="00DA77A7">
            <w:pPr>
              <w:spacing w:after="0" w:line="240" w:lineRule="auto"/>
              <w:jc w:val="center"/>
              <w:rPr>
                <w:rFonts w:ascii="Calibri" w:eastAsia="Times New Roman" w:hAnsi="Calibri" w:cs="Arial"/>
                <w:sz w:val="20"/>
                <w:szCs w:val="20"/>
                <w:lang w:eastAsia="cs-CZ"/>
              </w:rPr>
            </w:pPr>
            <w:r w:rsidRPr="00DA77A7">
              <w:rPr>
                <w:rFonts w:ascii="Calibri" w:eastAsia="Times New Roman" w:hAnsi="Calibri" w:cs="Arial"/>
                <w:sz w:val="20"/>
                <w:szCs w:val="20"/>
                <w:lang w:eastAsia="cs-CZ"/>
              </w:rPr>
              <w:t>3294</w:t>
            </w:r>
          </w:p>
        </w:tc>
        <w:tc>
          <w:tcPr>
            <w:tcW w:w="4085" w:type="dxa"/>
            <w:tcBorders>
              <w:top w:val="nil"/>
              <w:left w:val="nil"/>
              <w:bottom w:val="nil"/>
              <w:right w:val="single" w:sz="4" w:space="0" w:color="auto"/>
            </w:tcBorders>
            <w:shd w:val="clear" w:color="auto" w:fill="auto"/>
            <w:vAlign w:val="bottom"/>
            <w:hideMark/>
          </w:tcPr>
          <w:p w14:paraId="4A1FD72E" w14:textId="77777777" w:rsidR="00DA77A7" w:rsidRPr="00DA77A7" w:rsidRDefault="00DA77A7" w:rsidP="00DA77A7">
            <w:pPr>
              <w:spacing w:after="0" w:line="240" w:lineRule="auto"/>
              <w:rPr>
                <w:rFonts w:ascii="Calibri" w:eastAsia="Times New Roman" w:hAnsi="Calibri" w:cs="Arial"/>
                <w:sz w:val="20"/>
                <w:szCs w:val="20"/>
                <w:lang w:eastAsia="cs-CZ"/>
              </w:rPr>
            </w:pPr>
            <w:r w:rsidRPr="00DA77A7">
              <w:rPr>
                <w:rFonts w:ascii="Calibri" w:eastAsia="Times New Roman" w:hAnsi="Calibri" w:cs="Arial"/>
                <w:sz w:val="20"/>
                <w:szCs w:val="20"/>
                <w:lang w:eastAsia="cs-CZ"/>
              </w:rPr>
              <w:t>Zařízení pro další vzdělávání pedagogických pracovníků</w:t>
            </w:r>
          </w:p>
        </w:tc>
        <w:tc>
          <w:tcPr>
            <w:tcW w:w="1394" w:type="dxa"/>
            <w:tcBorders>
              <w:top w:val="nil"/>
              <w:left w:val="nil"/>
              <w:bottom w:val="nil"/>
              <w:right w:val="single" w:sz="4" w:space="0" w:color="auto"/>
            </w:tcBorders>
            <w:shd w:val="clear" w:color="auto" w:fill="auto"/>
            <w:noWrap/>
            <w:vAlign w:val="bottom"/>
            <w:hideMark/>
          </w:tcPr>
          <w:p w14:paraId="428EDA99"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0</w:t>
            </w:r>
          </w:p>
        </w:tc>
        <w:tc>
          <w:tcPr>
            <w:tcW w:w="1671" w:type="dxa"/>
            <w:tcBorders>
              <w:top w:val="nil"/>
              <w:left w:val="nil"/>
              <w:bottom w:val="nil"/>
              <w:right w:val="single" w:sz="4" w:space="0" w:color="auto"/>
            </w:tcBorders>
            <w:shd w:val="clear" w:color="auto" w:fill="auto"/>
            <w:noWrap/>
            <w:vAlign w:val="bottom"/>
            <w:hideMark/>
          </w:tcPr>
          <w:p w14:paraId="7D650615"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7 101 109,51</w:t>
            </w:r>
          </w:p>
        </w:tc>
        <w:tc>
          <w:tcPr>
            <w:tcW w:w="1684" w:type="dxa"/>
            <w:tcBorders>
              <w:top w:val="nil"/>
              <w:left w:val="nil"/>
              <w:bottom w:val="nil"/>
              <w:right w:val="single" w:sz="4" w:space="0" w:color="auto"/>
            </w:tcBorders>
            <w:shd w:val="clear" w:color="auto" w:fill="auto"/>
            <w:noWrap/>
            <w:vAlign w:val="bottom"/>
            <w:hideMark/>
          </w:tcPr>
          <w:p w14:paraId="27A7400D"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7 101 109,51</w:t>
            </w:r>
          </w:p>
        </w:tc>
        <w:tc>
          <w:tcPr>
            <w:tcW w:w="576" w:type="dxa"/>
            <w:tcBorders>
              <w:top w:val="nil"/>
              <w:left w:val="nil"/>
              <w:bottom w:val="nil"/>
              <w:right w:val="single" w:sz="8" w:space="0" w:color="auto"/>
            </w:tcBorders>
            <w:shd w:val="clear" w:color="auto" w:fill="auto"/>
            <w:noWrap/>
            <w:vAlign w:val="bottom"/>
            <w:hideMark/>
          </w:tcPr>
          <w:p w14:paraId="56510644"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100,0</w:t>
            </w:r>
          </w:p>
        </w:tc>
      </w:tr>
      <w:tr w:rsidR="00AF5B41" w:rsidRPr="00DA77A7" w14:paraId="3838DE3F" w14:textId="77777777" w:rsidTr="0042584A">
        <w:trPr>
          <w:trHeight w:val="320"/>
        </w:trPr>
        <w:tc>
          <w:tcPr>
            <w:tcW w:w="1231"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212FB1E" w14:textId="77777777" w:rsidR="00DA77A7" w:rsidRPr="00DA77A7" w:rsidRDefault="00DA77A7" w:rsidP="00DA77A7">
            <w:pPr>
              <w:spacing w:after="0" w:line="240" w:lineRule="auto"/>
              <w:jc w:val="center"/>
              <w:rPr>
                <w:rFonts w:ascii="Calibri" w:eastAsia="Times New Roman" w:hAnsi="Calibri" w:cs="Arial"/>
                <w:lang w:eastAsia="cs-CZ"/>
              </w:rPr>
            </w:pPr>
            <w:r w:rsidRPr="00DA77A7">
              <w:rPr>
                <w:rFonts w:ascii="Calibri" w:eastAsia="Times New Roman" w:hAnsi="Calibri" w:cs="Arial"/>
                <w:lang w:eastAsia="cs-CZ"/>
              </w:rPr>
              <w:t> </w:t>
            </w:r>
          </w:p>
        </w:tc>
        <w:tc>
          <w:tcPr>
            <w:tcW w:w="4085" w:type="dxa"/>
            <w:tcBorders>
              <w:top w:val="single" w:sz="8" w:space="0" w:color="auto"/>
              <w:left w:val="nil"/>
              <w:bottom w:val="single" w:sz="8" w:space="0" w:color="auto"/>
              <w:right w:val="single" w:sz="4" w:space="0" w:color="auto"/>
            </w:tcBorders>
            <w:shd w:val="clear" w:color="auto" w:fill="auto"/>
            <w:noWrap/>
            <w:vAlign w:val="bottom"/>
            <w:hideMark/>
          </w:tcPr>
          <w:p w14:paraId="5D38A974" w14:textId="77777777" w:rsidR="00DA77A7" w:rsidRPr="00DA77A7" w:rsidRDefault="00DA77A7" w:rsidP="00DA77A7">
            <w:pPr>
              <w:spacing w:after="0" w:line="240" w:lineRule="auto"/>
              <w:rPr>
                <w:rFonts w:ascii="Calibri" w:eastAsia="Times New Roman" w:hAnsi="Calibri" w:cs="Arial"/>
                <w:b/>
                <w:bCs/>
                <w:lang w:eastAsia="cs-CZ"/>
              </w:rPr>
            </w:pPr>
            <w:r w:rsidRPr="00DA77A7">
              <w:rPr>
                <w:rFonts w:ascii="Calibri" w:eastAsia="Times New Roman" w:hAnsi="Calibri" w:cs="Arial"/>
                <w:b/>
                <w:bCs/>
                <w:lang w:eastAsia="cs-CZ"/>
              </w:rPr>
              <w:t>Celkem</w:t>
            </w:r>
          </w:p>
        </w:tc>
        <w:tc>
          <w:tcPr>
            <w:tcW w:w="1394" w:type="dxa"/>
            <w:tcBorders>
              <w:top w:val="single" w:sz="8" w:space="0" w:color="auto"/>
              <w:left w:val="nil"/>
              <w:bottom w:val="single" w:sz="8" w:space="0" w:color="auto"/>
              <w:right w:val="single" w:sz="4" w:space="0" w:color="auto"/>
            </w:tcBorders>
            <w:shd w:val="clear" w:color="auto" w:fill="auto"/>
            <w:noWrap/>
            <w:vAlign w:val="bottom"/>
            <w:hideMark/>
          </w:tcPr>
          <w:p w14:paraId="61C9B535" w14:textId="77777777" w:rsidR="00DA77A7" w:rsidRPr="00DA77A7" w:rsidRDefault="00DA77A7" w:rsidP="00DA77A7">
            <w:pPr>
              <w:spacing w:after="0" w:line="240" w:lineRule="auto"/>
              <w:jc w:val="right"/>
              <w:rPr>
                <w:rFonts w:ascii="Calibri" w:eastAsia="Times New Roman" w:hAnsi="Calibri" w:cs="Arial"/>
                <w:b/>
                <w:bCs/>
                <w:lang w:eastAsia="cs-CZ"/>
              </w:rPr>
            </w:pPr>
            <w:r w:rsidRPr="00DA77A7">
              <w:rPr>
                <w:rFonts w:ascii="Calibri" w:eastAsia="Times New Roman" w:hAnsi="Calibri" w:cs="Arial"/>
                <w:b/>
                <w:bCs/>
                <w:lang w:eastAsia="cs-CZ"/>
              </w:rPr>
              <w:t>0</w:t>
            </w:r>
          </w:p>
        </w:tc>
        <w:tc>
          <w:tcPr>
            <w:tcW w:w="1671" w:type="dxa"/>
            <w:tcBorders>
              <w:top w:val="single" w:sz="8" w:space="0" w:color="auto"/>
              <w:left w:val="nil"/>
              <w:bottom w:val="single" w:sz="8" w:space="0" w:color="auto"/>
              <w:right w:val="single" w:sz="4" w:space="0" w:color="auto"/>
            </w:tcBorders>
            <w:shd w:val="clear" w:color="auto" w:fill="auto"/>
            <w:noWrap/>
            <w:vAlign w:val="bottom"/>
            <w:hideMark/>
          </w:tcPr>
          <w:p w14:paraId="1239ABF1" w14:textId="77777777" w:rsidR="00DA77A7" w:rsidRPr="00DA77A7" w:rsidRDefault="00DA77A7" w:rsidP="00DA77A7">
            <w:pPr>
              <w:spacing w:after="0" w:line="240" w:lineRule="auto"/>
              <w:jc w:val="right"/>
              <w:rPr>
                <w:rFonts w:ascii="Calibri" w:eastAsia="Times New Roman" w:hAnsi="Calibri" w:cs="Arial"/>
                <w:b/>
                <w:bCs/>
                <w:lang w:eastAsia="cs-CZ"/>
              </w:rPr>
            </w:pPr>
            <w:r w:rsidRPr="00DA77A7">
              <w:rPr>
                <w:rFonts w:ascii="Calibri" w:eastAsia="Times New Roman" w:hAnsi="Calibri" w:cs="Arial"/>
                <w:b/>
                <w:bCs/>
                <w:lang w:eastAsia="cs-CZ"/>
              </w:rPr>
              <w:t>183 347 867,75</w:t>
            </w:r>
          </w:p>
        </w:tc>
        <w:tc>
          <w:tcPr>
            <w:tcW w:w="1684" w:type="dxa"/>
            <w:tcBorders>
              <w:top w:val="single" w:sz="8" w:space="0" w:color="auto"/>
              <w:left w:val="nil"/>
              <w:bottom w:val="single" w:sz="8" w:space="0" w:color="auto"/>
              <w:right w:val="single" w:sz="4" w:space="0" w:color="auto"/>
            </w:tcBorders>
            <w:shd w:val="clear" w:color="auto" w:fill="auto"/>
            <w:noWrap/>
            <w:vAlign w:val="bottom"/>
            <w:hideMark/>
          </w:tcPr>
          <w:p w14:paraId="4985EF6D" w14:textId="77777777" w:rsidR="00DA77A7" w:rsidRPr="00DA77A7" w:rsidRDefault="00DA77A7" w:rsidP="00DA77A7">
            <w:pPr>
              <w:spacing w:after="0" w:line="240" w:lineRule="auto"/>
              <w:jc w:val="right"/>
              <w:rPr>
                <w:rFonts w:ascii="Calibri" w:eastAsia="Times New Roman" w:hAnsi="Calibri" w:cs="Arial"/>
                <w:b/>
                <w:bCs/>
                <w:lang w:eastAsia="cs-CZ"/>
              </w:rPr>
            </w:pPr>
            <w:r w:rsidRPr="00DA77A7">
              <w:rPr>
                <w:rFonts w:ascii="Calibri" w:eastAsia="Times New Roman" w:hAnsi="Calibri" w:cs="Arial"/>
                <w:b/>
                <w:bCs/>
                <w:lang w:eastAsia="cs-CZ"/>
              </w:rPr>
              <w:t>146 702 279,18</w:t>
            </w:r>
          </w:p>
        </w:tc>
        <w:tc>
          <w:tcPr>
            <w:tcW w:w="576" w:type="dxa"/>
            <w:tcBorders>
              <w:top w:val="single" w:sz="8" w:space="0" w:color="auto"/>
              <w:left w:val="nil"/>
              <w:bottom w:val="single" w:sz="8" w:space="0" w:color="auto"/>
              <w:right w:val="single" w:sz="8" w:space="0" w:color="auto"/>
            </w:tcBorders>
            <w:shd w:val="clear" w:color="auto" w:fill="auto"/>
            <w:noWrap/>
            <w:vAlign w:val="bottom"/>
            <w:hideMark/>
          </w:tcPr>
          <w:p w14:paraId="323F0F40" w14:textId="77777777" w:rsidR="00DA77A7" w:rsidRPr="00DA77A7" w:rsidRDefault="00DA77A7" w:rsidP="00DA77A7">
            <w:pPr>
              <w:spacing w:after="0" w:line="240" w:lineRule="auto"/>
              <w:jc w:val="right"/>
              <w:rPr>
                <w:rFonts w:ascii="Calibri" w:eastAsia="Times New Roman" w:hAnsi="Calibri" w:cs="Arial"/>
                <w:b/>
                <w:bCs/>
                <w:lang w:eastAsia="cs-CZ"/>
              </w:rPr>
            </w:pPr>
            <w:r w:rsidRPr="00DA77A7">
              <w:rPr>
                <w:rFonts w:ascii="Calibri" w:eastAsia="Times New Roman" w:hAnsi="Calibri" w:cs="Arial"/>
                <w:b/>
                <w:bCs/>
                <w:lang w:eastAsia="cs-CZ"/>
              </w:rPr>
              <w:t>80,0</w:t>
            </w:r>
          </w:p>
        </w:tc>
      </w:tr>
      <w:tr w:rsidR="00AF5B41" w:rsidRPr="00DA77A7" w14:paraId="3DB3D6F9" w14:textId="77777777" w:rsidTr="0042584A">
        <w:trPr>
          <w:trHeight w:val="300"/>
        </w:trPr>
        <w:tc>
          <w:tcPr>
            <w:tcW w:w="1231" w:type="dxa"/>
            <w:tcBorders>
              <w:top w:val="nil"/>
              <w:left w:val="nil"/>
              <w:bottom w:val="nil"/>
              <w:right w:val="nil"/>
            </w:tcBorders>
            <w:shd w:val="clear" w:color="auto" w:fill="auto"/>
            <w:noWrap/>
            <w:vAlign w:val="center"/>
            <w:hideMark/>
          </w:tcPr>
          <w:p w14:paraId="78B2E21D" w14:textId="77777777" w:rsidR="00DA77A7" w:rsidRPr="00DA77A7" w:rsidRDefault="00DA77A7" w:rsidP="00DA77A7">
            <w:pPr>
              <w:spacing w:after="0" w:line="240" w:lineRule="auto"/>
              <w:jc w:val="right"/>
              <w:rPr>
                <w:rFonts w:ascii="Calibri" w:eastAsia="Times New Roman" w:hAnsi="Calibri" w:cs="Arial"/>
                <w:b/>
                <w:bCs/>
                <w:lang w:eastAsia="cs-CZ"/>
              </w:rPr>
            </w:pPr>
          </w:p>
        </w:tc>
        <w:tc>
          <w:tcPr>
            <w:tcW w:w="4085" w:type="dxa"/>
            <w:tcBorders>
              <w:top w:val="nil"/>
              <w:left w:val="nil"/>
              <w:bottom w:val="nil"/>
              <w:right w:val="nil"/>
            </w:tcBorders>
            <w:shd w:val="clear" w:color="auto" w:fill="auto"/>
            <w:noWrap/>
            <w:vAlign w:val="bottom"/>
            <w:hideMark/>
          </w:tcPr>
          <w:p w14:paraId="01995A77" w14:textId="77777777" w:rsidR="00DA77A7" w:rsidRPr="00DA77A7" w:rsidRDefault="00DA77A7" w:rsidP="00DA77A7">
            <w:pPr>
              <w:spacing w:after="0" w:line="240" w:lineRule="auto"/>
              <w:jc w:val="center"/>
              <w:rPr>
                <w:rFonts w:ascii="Times New Roman" w:eastAsia="Times New Roman" w:hAnsi="Times New Roman" w:cs="Times New Roman"/>
                <w:sz w:val="20"/>
                <w:szCs w:val="20"/>
                <w:lang w:eastAsia="cs-CZ"/>
              </w:rPr>
            </w:pPr>
          </w:p>
        </w:tc>
        <w:tc>
          <w:tcPr>
            <w:tcW w:w="1394" w:type="dxa"/>
            <w:tcBorders>
              <w:top w:val="nil"/>
              <w:left w:val="nil"/>
              <w:bottom w:val="nil"/>
              <w:right w:val="nil"/>
            </w:tcBorders>
            <w:shd w:val="clear" w:color="auto" w:fill="auto"/>
            <w:noWrap/>
            <w:vAlign w:val="bottom"/>
            <w:hideMark/>
          </w:tcPr>
          <w:p w14:paraId="7330384E" w14:textId="77777777" w:rsidR="00DA77A7" w:rsidRPr="00DA77A7" w:rsidRDefault="00DA77A7" w:rsidP="00DA77A7">
            <w:pPr>
              <w:spacing w:after="0" w:line="240" w:lineRule="auto"/>
              <w:rPr>
                <w:rFonts w:ascii="Times New Roman" w:eastAsia="Times New Roman" w:hAnsi="Times New Roman" w:cs="Times New Roman"/>
                <w:sz w:val="20"/>
                <w:szCs w:val="20"/>
                <w:lang w:eastAsia="cs-CZ"/>
              </w:rPr>
            </w:pPr>
          </w:p>
        </w:tc>
        <w:tc>
          <w:tcPr>
            <w:tcW w:w="1671" w:type="dxa"/>
            <w:tcBorders>
              <w:top w:val="nil"/>
              <w:left w:val="nil"/>
              <w:bottom w:val="nil"/>
              <w:right w:val="nil"/>
            </w:tcBorders>
            <w:shd w:val="clear" w:color="auto" w:fill="auto"/>
            <w:noWrap/>
            <w:vAlign w:val="bottom"/>
            <w:hideMark/>
          </w:tcPr>
          <w:p w14:paraId="1BED0791" w14:textId="77777777" w:rsidR="00DA77A7" w:rsidRPr="00DA77A7" w:rsidRDefault="00DA77A7" w:rsidP="00DA77A7">
            <w:pPr>
              <w:spacing w:after="0" w:line="240" w:lineRule="auto"/>
              <w:jc w:val="right"/>
              <w:rPr>
                <w:rFonts w:ascii="Times New Roman" w:eastAsia="Times New Roman" w:hAnsi="Times New Roman" w:cs="Times New Roman"/>
                <w:sz w:val="20"/>
                <w:szCs w:val="20"/>
                <w:lang w:eastAsia="cs-CZ"/>
              </w:rPr>
            </w:pPr>
          </w:p>
        </w:tc>
        <w:tc>
          <w:tcPr>
            <w:tcW w:w="1684" w:type="dxa"/>
            <w:tcBorders>
              <w:top w:val="nil"/>
              <w:left w:val="nil"/>
              <w:bottom w:val="nil"/>
              <w:right w:val="nil"/>
            </w:tcBorders>
            <w:shd w:val="clear" w:color="auto" w:fill="auto"/>
            <w:noWrap/>
            <w:vAlign w:val="bottom"/>
            <w:hideMark/>
          </w:tcPr>
          <w:p w14:paraId="6F481506" w14:textId="77777777" w:rsidR="00DA77A7" w:rsidRPr="00DA77A7" w:rsidRDefault="00DA77A7" w:rsidP="00DA77A7">
            <w:pPr>
              <w:spacing w:after="0" w:line="240" w:lineRule="auto"/>
              <w:jc w:val="right"/>
              <w:rPr>
                <w:rFonts w:ascii="Times New Roman" w:eastAsia="Times New Roman" w:hAnsi="Times New Roman" w:cs="Times New Roman"/>
                <w:sz w:val="20"/>
                <w:szCs w:val="20"/>
                <w:lang w:eastAsia="cs-CZ"/>
              </w:rPr>
            </w:pPr>
          </w:p>
        </w:tc>
        <w:tc>
          <w:tcPr>
            <w:tcW w:w="576" w:type="dxa"/>
            <w:tcBorders>
              <w:top w:val="nil"/>
              <w:left w:val="nil"/>
              <w:bottom w:val="nil"/>
              <w:right w:val="nil"/>
            </w:tcBorders>
            <w:shd w:val="clear" w:color="auto" w:fill="auto"/>
            <w:noWrap/>
            <w:vAlign w:val="bottom"/>
            <w:hideMark/>
          </w:tcPr>
          <w:p w14:paraId="3B5B6EBB" w14:textId="77777777" w:rsidR="00DA77A7" w:rsidRPr="00DA77A7" w:rsidRDefault="00DA77A7" w:rsidP="00DA77A7">
            <w:pPr>
              <w:spacing w:after="0" w:line="240" w:lineRule="auto"/>
              <w:jc w:val="right"/>
              <w:rPr>
                <w:rFonts w:ascii="Times New Roman" w:eastAsia="Times New Roman" w:hAnsi="Times New Roman" w:cs="Times New Roman"/>
                <w:sz w:val="20"/>
                <w:szCs w:val="20"/>
                <w:lang w:eastAsia="cs-CZ"/>
              </w:rPr>
            </w:pPr>
          </w:p>
        </w:tc>
      </w:tr>
      <w:tr w:rsidR="00DA77A7" w:rsidRPr="00DA77A7" w14:paraId="38AA1BB6" w14:textId="77777777" w:rsidTr="0042584A">
        <w:trPr>
          <w:trHeight w:val="560"/>
        </w:trPr>
        <w:tc>
          <w:tcPr>
            <w:tcW w:w="1231" w:type="dxa"/>
            <w:tcBorders>
              <w:top w:val="nil"/>
              <w:left w:val="nil"/>
              <w:bottom w:val="nil"/>
              <w:right w:val="nil"/>
            </w:tcBorders>
            <w:shd w:val="clear" w:color="auto" w:fill="auto"/>
            <w:noWrap/>
            <w:vAlign w:val="bottom"/>
            <w:hideMark/>
          </w:tcPr>
          <w:p w14:paraId="374ADC88" w14:textId="77777777" w:rsidR="00DA77A7" w:rsidRPr="00DA77A7" w:rsidRDefault="00DA77A7" w:rsidP="00DA77A7">
            <w:pPr>
              <w:spacing w:after="0" w:line="240" w:lineRule="auto"/>
              <w:jc w:val="right"/>
              <w:rPr>
                <w:rFonts w:ascii="Times New Roman" w:eastAsia="Times New Roman" w:hAnsi="Times New Roman" w:cs="Times New Roman"/>
                <w:sz w:val="20"/>
                <w:szCs w:val="20"/>
                <w:lang w:eastAsia="cs-CZ"/>
              </w:rPr>
            </w:pPr>
          </w:p>
        </w:tc>
        <w:tc>
          <w:tcPr>
            <w:tcW w:w="9410" w:type="dxa"/>
            <w:gridSpan w:val="5"/>
            <w:tcBorders>
              <w:top w:val="nil"/>
              <w:left w:val="nil"/>
              <w:bottom w:val="nil"/>
              <w:right w:val="nil"/>
            </w:tcBorders>
            <w:shd w:val="clear" w:color="auto" w:fill="auto"/>
            <w:vAlign w:val="center"/>
            <w:hideMark/>
          </w:tcPr>
          <w:p w14:paraId="4DFB3196" w14:textId="77777777" w:rsidR="00DA77A7" w:rsidRPr="00DA77A7" w:rsidRDefault="00DA77A7" w:rsidP="00DA77A7">
            <w:pPr>
              <w:spacing w:after="0" w:line="240" w:lineRule="auto"/>
              <w:rPr>
                <w:rFonts w:ascii="Calibri" w:eastAsia="Times New Roman" w:hAnsi="Calibri" w:cs="Arial"/>
                <w:b/>
                <w:bCs/>
                <w:lang w:eastAsia="cs-CZ"/>
              </w:rPr>
            </w:pPr>
            <w:r w:rsidRPr="00DA77A7">
              <w:rPr>
                <w:rFonts w:ascii="Calibri" w:eastAsia="Times New Roman" w:hAnsi="Calibri" w:cs="Arial"/>
                <w:b/>
                <w:bCs/>
                <w:lang w:eastAsia="cs-CZ"/>
              </w:rPr>
              <w:t>Předfinancování a kofinancování projektů spolufinancovaných z národních zdrojů a ostatní související výdaje s projekty z národních zdrojů</w:t>
            </w:r>
          </w:p>
        </w:tc>
      </w:tr>
      <w:tr w:rsidR="00AF5B41" w:rsidRPr="00DA77A7" w14:paraId="575829E2" w14:textId="77777777" w:rsidTr="0042584A">
        <w:trPr>
          <w:trHeight w:val="300"/>
        </w:trPr>
        <w:tc>
          <w:tcPr>
            <w:tcW w:w="1231"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70F5F53F" w14:textId="77777777" w:rsidR="00DA77A7" w:rsidRPr="00DA77A7" w:rsidRDefault="00DA77A7" w:rsidP="00DA77A7">
            <w:pPr>
              <w:spacing w:after="0" w:line="240" w:lineRule="auto"/>
              <w:jc w:val="center"/>
              <w:rPr>
                <w:rFonts w:ascii="Calibri" w:eastAsia="Times New Roman" w:hAnsi="Calibri" w:cs="Arial"/>
                <w:sz w:val="20"/>
                <w:szCs w:val="20"/>
                <w:lang w:eastAsia="cs-CZ"/>
              </w:rPr>
            </w:pPr>
            <w:r w:rsidRPr="00DA77A7">
              <w:rPr>
                <w:rFonts w:ascii="Calibri" w:eastAsia="Times New Roman" w:hAnsi="Calibri" w:cs="Arial"/>
                <w:sz w:val="20"/>
                <w:szCs w:val="20"/>
                <w:lang w:eastAsia="cs-CZ"/>
              </w:rPr>
              <w:t>3122</w:t>
            </w:r>
          </w:p>
        </w:tc>
        <w:tc>
          <w:tcPr>
            <w:tcW w:w="4085" w:type="dxa"/>
            <w:tcBorders>
              <w:top w:val="single" w:sz="8" w:space="0" w:color="auto"/>
              <w:left w:val="nil"/>
              <w:bottom w:val="single" w:sz="4" w:space="0" w:color="auto"/>
              <w:right w:val="single" w:sz="4" w:space="0" w:color="auto"/>
            </w:tcBorders>
            <w:shd w:val="clear" w:color="auto" w:fill="auto"/>
            <w:vAlign w:val="center"/>
            <w:hideMark/>
          </w:tcPr>
          <w:p w14:paraId="26CE73D0" w14:textId="77777777" w:rsidR="00DA77A7" w:rsidRPr="00DA77A7" w:rsidRDefault="00DA77A7" w:rsidP="00DA77A7">
            <w:pPr>
              <w:spacing w:after="0" w:line="240" w:lineRule="auto"/>
              <w:rPr>
                <w:rFonts w:ascii="Calibri" w:eastAsia="Times New Roman" w:hAnsi="Calibri" w:cs="Arial"/>
                <w:sz w:val="20"/>
                <w:szCs w:val="20"/>
                <w:lang w:eastAsia="cs-CZ"/>
              </w:rPr>
            </w:pPr>
            <w:r w:rsidRPr="00DA77A7">
              <w:rPr>
                <w:rFonts w:ascii="Calibri" w:eastAsia="Times New Roman" w:hAnsi="Calibri" w:cs="Arial"/>
                <w:sz w:val="20"/>
                <w:szCs w:val="20"/>
                <w:lang w:eastAsia="cs-CZ"/>
              </w:rPr>
              <w:t>Střední odborné školy</w:t>
            </w:r>
          </w:p>
        </w:tc>
        <w:tc>
          <w:tcPr>
            <w:tcW w:w="1394" w:type="dxa"/>
            <w:tcBorders>
              <w:top w:val="single" w:sz="8" w:space="0" w:color="auto"/>
              <w:left w:val="nil"/>
              <w:bottom w:val="single" w:sz="4" w:space="0" w:color="auto"/>
              <w:right w:val="single" w:sz="4" w:space="0" w:color="auto"/>
            </w:tcBorders>
            <w:shd w:val="clear" w:color="auto" w:fill="auto"/>
            <w:vAlign w:val="bottom"/>
            <w:hideMark/>
          </w:tcPr>
          <w:p w14:paraId="593DCB34"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0</w:t>
            </w:r>
          </w:p>
        </w:tc>
        <w:tc>
          <w:tcPr>
            <w:tcW w:w="1671" w:type="dxa"/>
            <w:tcBorders>
              <w:top w:val="single" w:sz="8" w:space="0" w:color="auto"/>
              <w:left w:val="nil"/>
              <w:bottom w:val="single" w:sz="4" w:space="0" w:color="auto"/>
              <w:right w:val="single" w:sz="4" w:space="0" w:color="auto"/>
            </w:tcBorders>
            <w:shd w:val="clear" w:color="auto" w:fill="auto"/>
            <w:vAlign w:val="bottom"/>
            <w:hideMark/>
          </w:tcPr>
          <w:p w14:paraId="32A95F29"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5 729 601,99</w:t>
            </w:r>
          </w:p>
        </w:tc>
        <w:tc>
          <w:tcPr>
            <w:tcW w:w="1684" w:type="dxa"/>
            <w:tcBorders>
              <w:top w:val="single" w:sz="8" w:space="0" w:color="auto"/>
              <w:left w:val="nil"/>
              <w:bottom w:val="single" w:sz="4" w:space="0" w:color="auto"/>
              <w:right w:val="single" w:sz="4" w:space="0" w:color="auto"/>
            </w:tcBorders>
            <w:shd w:val="clear" w:color="auto" w:fill="auto"/>
            <w:vAlign w:val="bottom"/>
            <w:hideMark/>
          </w:tcPr>
          <w:p w14:paraId="26B4767F"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5 729 601,99</w:t>
            </w:r>
          </w:p>
        </w:tc>
        <w:tc>
          <w:tcPr>
            <w:tcW w:w="576" w:type="dxa"/>
            <w:tcBorders>
              <w:top w:val="single" w:sz="8" w:space="0" w:color="auto"/>
              <w:left w:val="nil"/>
              <w:bottom w:val="single" w:sz="4" w:space="0" w:color="auto"/>
              <w:right w:val="single" w:sz="8" w:space="0" w:color="auto"/>
            </w:tcBorders>
            <w:shd w:val="clear" w:color="auto" w:fill="auto"/>
            <w:noWrap/>
            <w:vAlign w:val="bottom"/>
            <w:hideMark/>
          </w:tcPr>
          <w:p w14:paraId="7432AE5D"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100,0</w:t>
            </w:r>
          </w:p>
        </w:tc>
      </w:tr>
      <w:tr w:rsidR="00AF5B41" w:rsidRPr="00DA77A7" w14:paraId="02E9ED0F" w14:textId="77777777" w:rsidTr="0042584A">
        <w:trPr>
          <w:trHeight w:val="510"/>
        </w:trPr>
        <w:tc>
          <w:tcPr>
            <w:tcW w:w="1231" w:type="dxa"/>
            <w:tcBorders>
              <w:top w:val="nil"/>
              <w:left w:val="single" w:sz="8" w:space="0" w:color="auto"/>
              <w:bottom w:val="single" w:sz="4" w:space="0" w:color="auto"/>
              <w:right w:val="single" w:sz="4" w:space="0" w:color="auto"/>
            </w:tcBorders>
            <w:shd w:val="clear" w:color="auto" w:fill="auto"/>
            <w:noWrap/>
            <w:vAlign w:val="bottom"/>
            <w:hideMark/>
          </w:tcPr>
          <w:p w14:paraId="6C4BA5EE" w14:textId="77777777" w:rsidR="00DA77A7" w:rsidRPr="00DA77A7" w:rsidRDefault="00DA77A7" w:rsidP="00DA77A7">
            <w:pPr>
              <w:spacing w:after="0" w:line="240" w:lineRule="auto"/>
              <w:jc w:val="center"/>
              <w:rPr>
                <w:rFonts w:ascii="Calibri" w:eastAsia="Times New Roman" w:hAnsi="Calibri" w:cs="Arial"/>
                <w:sz w:val="20"/>
                <w:szCs w:val="20"/>
                <w:lang w:eastAsia="cs-CZ"/>
              </w:rPr>
            </w:pPr>
            <w:r w:rsidRPr="00DA77A7">
              <w:rPr>
                <w:rFonts w:ascii="Calibri" w:eastAsia="Times New Roman" w:hAnsi="Calibri" w:cs="Arial"/>
                <w:sz w:val="20"/>
                <w:szCs w:val="20"/>
                <w:lang w:eastAsia="cs-CZ"/>
              </w:rPr>
              <w:t>3123</w:t>
            </w:r>
          </w:p>
        </w:tc>
        <w:tc>
          <w:tcPr>
            <w:tcW w:w="4085" w:type="dxa"/>
            <w:tcBorders>
              <w:top w:val="nil"/>
              <w:left w:val="nil"/>
              <w:bottom w:val="single" w:sz="4" w:space="0" w:color="auto"/>
              <w:right w:val="single" w:sz="4" w:space="0" w:color="auto"/>
            </w:tcBorders>
            <w:shd w:val="clear" w:color="auto" w:fill="auto"/>
            <w:vAlign w:val="bottom"/>
            <w:hideMark/>
          </w:tcPr>
          <w:p w14:paraId="2D298BB4" w14:textId="77777777" w:rsidR="00DA77A7" w:rsidRPr="00DA77A7" w:rsidRDefault="00DA77A7" w:rsidP="00DA77A7">
            <w:pPr>
              <w:spacing w:after="0" w:line="240" w:lineRule="auto"/>
              <w:rPr>
                <w:rFonts w:ascii="Calibri" w:eastAsia="Times New Roman" w:hAnsi="Calibri" w:cs="Arial"/>
                <w:sz w:val="20"/>
                <w:szCs w:val="20"/>
                <w:lang w:eastAsia="cs-CZ"/>
              </w:rPr>
            </w:pPr>
            <w:r w:rsidRPr="00DA77A7">
              <w:rPr>
                <w:rFonts w:ascii="Calibri" w:eastAsia="Times New Roman" w:hAnsi="Calibri" w:cs="Arial"/>
                <w:sz w:val="20"/>
                <w:szCs w:val="20"/>
                <w:lang w:eastAsia="cs-CZ"/>
              </w:rPr>
              <w:t>Střední školy poskytující střední vzdělávání s výučním listem</w:t>
            </w:r>
          </w:p>
        </w:tc>
        <w:tc>
          <w:tcPr>
            <w:tcW w:w="1394" w:type="dxa"/>
            <w:tcBorders>
              <w:top w:val="nil"/>
              <w:left w:val="nil"/>
              <w:bottom w:val="single" w:sz="4" w:space="0" w:color="auto"/>
              <w:right w:val="single" w:sz="4" w:space="0" w:color="auto"/>
            </w:tcBorders>
            <w:shd w:val="clear" w:color="auto" w:fill="auto"/>
            <w:vAlign w:val="bottom"/>
            <w:hideMark/>
          </w:tcPr>
          <w:p w14:paraId="2DE15621"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0</w:t>
            </w:r>
          </w:p>
        </w:tc>
        <w:tc>
          <w:tcPr>
            <w:tcW w:w="1671" w:type="dxa"/>
            <w:tcBorders>
              <w:top w:val="nil"/>
              <w:left w:val="nil"/>
              <w:bottom w:val="single" w:sz="4" w:space="0" w:color="auto"/>
              <w:right w:val="single" w:sz="4" w:space="0" w:color="auto"/>
            </w:tcBorders>
            <w:shd w:val="clear" w:color="auto" w:fill="auto"/>
            <w:vAlign w:val="bottom"/>
            <w:hideMark/>
          </w:tcPr>
          <w:p w14:paraId="38B1EC62"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2 924 737,85</w:t>
            </w:r>
          </w:p>
        </w:tc>
        <w:tc>
          <w:tcPr>
            <w:tcW w:w="1684" w:type="dxa"/>
            <w:tcBorders>
              <w:top w:val="nil"/>
              <w:left w:val="nil"/>
              <w:bottom w:val="single" w:sz="4" w:space="0" w:color="auto"/>
              <w:right w:val="single" w:sz="4" w:space="0" w:color="auto"/>
            </w:tcBorders>
            <w:shd w:val="clear" w:color="auto" w:fill="auto"/>
            <w:vAlign w:val="bottom"/>
            <w:hideMark/>
          </w:tcPr>
          <w:p w14:paraId="1CC62E84"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2 924 737,85</w:t>
            </w:r>
          </w:p>
        </w:tc>
        <w:tc>
          <w:tcPr>
            <w:tcW w:w="576" w:type="dxa"/>
            <w:tcBorders>
              <w:top w:val="nil"/>
              <w:left w:val="nil"/>
              <w:bottom w:val="single" w:sz="4" w:space="0" w:color="auto"/>
              <w:right w:val="single" w:sz="8" w:space="0" w:color="auto"/>
            </w:tcBorders>
            <w:shd w:val="clear" w:color="auto" w:fill="auto"/>
            <w:vAlign w:val="bottom"/>
            <w:hideMark/>
          </w:tcPr>
          <w:p w14:paraId="79F3394B"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100,0</w:t>
            </w:r>
          </w:p>
        </w:tc>
      </w:tr>
      <w:tr w:rsidR="00AF5B41" w:rsidRPr="00DA77A7" w14:paraId="3F00F1D0" w14:textId="77777777" w:rsidTr="0042584A">
        <w:trPr>
          <w:trHeight w:val="320"/>
        </w:trPr>
        <w:tc>
          <w:tcPr>
            <w:tcW w:w="1231"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633800D5" w14:textId="77777777" w:rsidR="00DA77A7" w:rsidRPr="00DA77A7" w:rsidRDefault="00DA77A7" w:rsidP="00DA77A7">
            <w:pPr>
              <w:spacing w:after="0" w:line="240" w:lineRule="auto"/>
              <w:jc w:val="center"/>
              <w:rPr>
                <w:rFonts w:ascii="Calibri" w:eastAsia="Times New Roman" w:hAnsi="Calibri" w:cs="Arial"/>
                <w:lang w:eastAsia="cs-CZ"/>
              </w:rPr>
            </w:pPr>
            <w:r w:rsidRPr="00DA77A7">
              <w:rPr>
                <w:rFonts w:ascii="Calibri" w:eastAsia="Times New Roman" w:hAnsi="Calibri" w:cs="Arial"/>
                <w:lang w:eastAsia="cs-CZ"/>
              </w:rPr>
              <w:t> </w:t>
            </w:r>
          </w:p>
        </w:tc>
        <w:tc>
          <w:tcPr>
            <w:tcW w:w="4085" w:type="dxa"/>
            <w:tcBorders>
              <w:top w:val="single" w:sz="8" w:space="0" w:color="auto"/>
              <w:left w:val="nil"/>
              <w:bottom w:val="single" w:sz="8" w:space="0" w:color="auto"/>
              <w:right w:val="single" w:sz="4" w:space="0" w:color="auto"/>
            </w:tcBorders>
            <w:shd w:val="clear" w:color="auto" w:fill="auto"/>
            <w:noWrap/>
            <w:vAlign w:val="bottom"/>
            <w:hideMark/>
          </w:tcPr>
          <w:p w14:paraId="7684E7E9" w14:textId="77777777" w:rsidR="00DA77A7" w:rsidRPr="00DA77A7" w:rsidRDefault="00DA77A7" w:rsidP="00DA77A7">
            <w:pPr>
              <w:spacing w:after="0" w:line="240" w:lineRule="auto"/>
              <w:rPr>
                <w:rFonts w:ascii="Calibri" w:eastAsia="Times New Roman" w:hAnsi="Calibri" w:cs="Arial"/>
                <w:b/>
                <w:bCs/>
                <w:lang w:eastAsia="cs-CZ"/>
              </w:rPr>
            </w:pPr>
            <w:r w:rsidRPr="00DA77A7">
              <w:rPr>
                <w:rFonts w:ascii="Calibri" w:eastAsia="Times New Roman" w:hAnsi="Calibri" w:cs="Arial"/>
                <w:b/>
                <w:bCs/>
                <w:lang w:eastAsia="cs-CZ"/>
              </w:rPr>
              <w:t>Celkem</w:t>
            </w:r>
          </w:p>
        </w:tc>
        <w:tc>
          <w:tcPr>
            <w:tcW w:w="1394" w:type="dxa"/>
            <w:tcBorders>
              <w:top w:val="single" w:sz="8" w:space="0" w:color="auto"/>
              <w:left w:val="nil"/>
              <w:bottom w:val="single" w:sz="8" w:space="0" w:color="auto"/>
              <w:right w:val="single" w:sz="4" w:space="0" w:color="auto"/>
            </w:tcBorders>
            <w:shd w:val="clear" w:color="auto" w:fill="auto"/>
            <w:noWrap/>
            <w:vAlign w:val="bottom"/>
            <w:hideMark/>
          </w:tcPr>
          <w:p w14:paraId="63C1C224" w14:textId="77777777" w:rsidR="00DA77A7" w:rsidRPr="00DA77A7" w:rsidRDefault="00DA77A7" w:rsidP="00DA77A7">
            <w:pPr>
              <w:spacing w:after="0" w:line="240" w:lineRule="auto"/>
              <w:jc w:val="right"/>
              <w:rPr>
                <w:rFonts w:ascii="Calibri" w:eastAsia="Times New Roman" w:hAnsi="Calibri" w:cs="Arial"/>
                <w:b/>
                <w:bCs/>
                <w:lang w:eastAsia="cs-CZ"/>
              </w:rPr>
            </w:pPr>
            <w:r w:rsidRPr="00DA77A7">
              <w:rPr>
                <w:rFonts w:ascii="Calibri" w:eastAsia="Times New Roman" w:hAnsi="Calibri" w:cs="Arial"/>
                <w:b/>
                <w:bCs/>
                <w:lang w:eastAsia="cs-CZ"/>
              </w:rPr>
              <w:t>0</w:t>
            </w:r>
          </w:p>
        </w:tc>
        <w:tc>
          <w:tcPr>
            <w:tcW w:w="1671" w:type="dxa"/>
            <w:tcBorders>
              <w:top w:val="single" w:sz="8" w:space="0" w:color="auto"/>
              <w:left w:val="nil"/>
              <w:bottom w:val="single" w:sz="8" w:space="0" w:color="auto"/>
              <w:right w:val="single" w:sz="4" w:space="0" w:color="auto"/>
            </w:tcBorders>
            <w:shd w:val="clear" w:color="auto" w:fill="auto"/>
            <w:noWrap/>
            <w:vAlign w:val="bottom"/>
            <w:hideMark/>
          </w:tcPr>
          <w:p w14:paraId="1B41B985" w14:textId="77777777" w:rsidR="00DA77A7" w:rsidRPr="00DA77A7" w:rsidRDefault="00DA77A7" w:rsidP="00DA77A7">
            <w:pPr>
              <w:spacing w:after="0" w:line="240" w:lineRule="auto"/>
              <w:jc w:val="right"/>
              <w:rPr>
                <w:rFonts w:ascii="Calibri" w:eastAsia="Times New Roman" w:hAnsi="Calibri" w:cs="Arial"/>
                <w:b/>
                <w:bCs/>
                <w:lang w:eastAsia="cs-CZ"/>
              </w:rPr>
            </w:pPr>
            <w:r w:rsidRPr="00DA77A7">
              <w:rPr>
                <w:rFonts w:ascii="Calibri" w:eastAsia="Times New Roman" w:hAnsi="Calibri" w:cs="Arial"/>
                <w:b/>
                <w:bCs/>
                <w:lang w:eastAsia="cs-CZ"/>
              </w:rPr>
              <w:t>8 654 339,84</w:t>
            </w:r>
          </w:p>
        </w:tc>
        <w:tc>
          <w:tcPr>
            <w:tcW w:w="1684" w:type="dxa"/>
            <w:tcBorders>
              <w:top w:val="single" w:sz="8" w:space="0" w:color="auto"/>
              <w:left w:val="nil"/>
              <w:bottom w:val="single" w:sz="8" w:space="0" w:color="auto"/>
              <w:right w:val="single" w:sz="4" w:space="0" w:color="auto"/>
            </w:tcBorders>
            <w:shd w:val="clear" w:color="auto" w:fill="auto"/>
            <w:noWrap/>
            <w:vAlign w:val="bottom"/>
            <w:hideMark/>
          </w:tcPr>
          <w:p w14:paraId="4376E002" w14:textId="77777777" w:rsidR="00DA77A7" w:rsidRPr="00DA77A7" w:rsidRDefault="00DA77A7" w:rsidP="00DA77A7">
            <w:pPr>
              <w:spacing w:after="0" w:line="240" w:lineRule="auto"/>
              <w:jc w:val="right"/>
              <w:rPr>
                <w:rFonts w:ascii="Calibri" w:eastAsia="Times New Roman" w:hAnsi="Calibri" w:cs="Arial"/>
                <w:b/>
                <w:bCs/>
                <w:lang w:eastAsia="cs-CZ"/>
              </w:rPr>
            </w:pPr>
            <w:r w:rsidRPr="00DA77A7">
              <w:rPr>
                <w:rFonts w:ascii="Calibri" w:eastAsia="Times New Roman" w:hAnsi="Calibri" w:cs="Arial"/>
                <w:b/>
                <w:bCs/>
                <w:lang w:eastAsia="cs-CZ"/>
              </w:rPr>
              <w:t>8 654 339,84</w:t>
            </w:r>
          </w:p>
        </w:tc>
        <w:tc>
          <w:tcPr>
            <w:tcW w:w="576" w:type="dxa"/>
            <w:tcBorders>
              <w:top w:val="nil"/>
              <w:left w:val="nil"/>
              <w:bottom w:val="single" w:sz="8" w:space="0" w:color="auto"/>
              <w:right w:val="single" w:sz="8" w:space="0" w:color="auto"/>
            </w:tcBorders>
            <w:shd w:val="clear" w:color="auto" w:fill="auto"/>
            <w:vAlign w:val="bottom"/>
            <w:hideMark/>
          </w:tcPr>
          <w:p w14:paraId="427C8B83" w14:textId="77777777" w:rsidR="00DA77A7" w:rsidRPr="00DA77A7" w:rsidRDefault="00DA77A7" w:rsidP="00DA77A7">
            <w:pPr>
              <w:spacing w:after="0" w:line="240" w:lineRule="auto"/>
              <w:jc w:val="right"/>
              <w:rPr>
                <w:rFonts w:ascii="Calibri" w:eastAsia="Times New Roman" w:hAnsi="Calibri" w:cs="Arial"/>
                <w:b/>
                <w:bCs/>
                <w:lang w:eastAsia="cs-CZ"/>
              </w:rPr>
            </w:pPr>
            <w:r w:rsidRPr="00DA77A7">
              <w:rPr>
                <w:rFonts w:ascii="Calibri" w:eastAsia="Times New Roman" w:hAnsi="Calibri" w:cs="Arial"/>
                <w:b/>
                <w:bCs/>
                <w:lang w:eastAsia="cs-CZ"/>
              </w:rPr>
              <w:t>100,0</w:t>
            </w:r>
          </w:p>
        </w:tc>
      </w:tr>
      <w:tr w:rsidR="00AF5B41" w:rsidRPr="00DA77A7" w14:paraId="728E4C79" w14:textId="77777777" w:rsidTr="0042584A">
        <w:trPr>
          <w:trHeight w:val="300"/>
        </w:trPr>
        <w:tc>
          <w:tcPr>
            <w:tcW w:w="1231" w:type="dxa"/>
            <w:tcBorders>
              <w:top w:val="nil"/>
              <w:left w:val="nil"/>
              <w:bottom w:val="nil"/>
              <w:right w:val="nil"/>
            </w:tcBorders>
            <w:shd w:val="clear" w:color="auto" w:fill="auto"/>
            <w:noWrap/>
            <w:vAlign w:val="center"/>
            <w:hideMark/>
          </w:tcPr>
          <w:p w14:paraId="22498E82" w14:textId="77777777" w:rsidR="00DA77A7" w:rsidRPr="00DA77A7" w:rsidRDefault="00DA77A7" w:rsidP="00DA77A7">
            <w:pPr>
              <w:spacing w:after="0" w:line="240" w:lineRule="auto"/>
              <w:jc w:val="right"/>
              <w:rPr>
                <w:rFonts w:ascii="Calibri" w:eastAsia="Times New Roman" w:hAnsi="Calibri" w:cs="Arial"/>
                <w:b/>
                <w:bCs/>
                <w:lang w:eastAsia="cs-CZ"/>
              </w:rPr>
            </w:pPr>
          </w:p>
        </w:tc>
        <w:tc>
          <w:tcPr>
            <w:tcW w:w="4085" w:type="dxa"/>
            <w:tcBorders>
              <w:top w:val="nil"/>
              <w:left w:val="nil"/>
              <w:bottom w:val="nil"/>
              <w:right w:val="nil"/>
            </w:tcBorders>
            <w:shd w:val="clear" w:color="auto" w:fill="auto"/>
            <w:noWrap/>
            <w:vAlign w:val="bottom"/>
            <w:hideMark/>
          </w:tcPr>
          <w:p w14:paraId="7AECD1D0" w14:textId="77777777" w:rsidR="00DA77A7" w:rsidRPr="00DA77A7" w:rsidRDefault="00DA77A7" w:rsidP="00DA77A7">
            <w:pPr>
              <w:spacing w:after="0" w:line="240" w:lineRule="auto"/>
              <w:jc w:val="center"/>
              <w:rPr>
                <w:rFonts w:ascii="Times New Roman" w:eastAsia="Times New Roman" w:hAnsi="Times New Roman" w:cs="Times New Roman"/>
                <w:sz w:val="20"/>
                <w:szCs w:val="20"/>
                <w:lang w:eastAsia="cs-CZ"/>
              </w:rPr>
            </w:pPr>
          </w:p>
        </w:tc>
        <w:tc>
          <w:tcPr>
            <w:tcW w:w="1394" w:type="dxa"/>
            <w:tcBorders>
              <w:top w:val="nil"/>
              <w:left w:val="nil"/>
              <w:bottom w:val="nil"/>
              <w:right w:val="nil"/>
            </w:tcBorders>
            <w:shd w:val="clear" w:color="auto" w:fill="auto"/>
            <w:noWrap/>
            <w:vAlign w:val="bottom"/>
            <w:hideMark/>
          </w:tcPr>
          <w:p w14:paraId="6A3A086E" w14:textId="77777777" w:rsidR="00DA77A7" w:rsidRPr="00DA77A7" w:rsidRDefault="00DA77A7" w:rsidP="00DA77A7">
            <w:pPr>
              <w:spacing w:after="0" w:line="240" w:lineRule="auto"/>
              <w:rPr>
                <w:rFonts w:ascii="Times New Roman" w:eastAsia="Times New Roman" w:hAnsi="Times New Roman" w:cs="Times New Roman"/>
                <w:sz w:val="20"/>
                <w:szCs w:val="20"/>
                <w:lang w:eastAsia="cs-CZ"/>
              </w:rPr>
            </w:pPr>
          </w:p>
        </w:tc>
        <w:tc>
          <w:tcPr>
            <w:tcW w:w="1671" w:type="dxa"/>
            <w:tcBorders>
              <w:top w:val="nil"/>
              <w:left w:val="nil"/>
              <w:bottom w:val="nil"/>
              <w:right w:val="nil"/>
            </w:tcBorders>
            <w:shd w:val="clear" w:color="auto" w:fill="auto"/>
            <w:noWrap/>
            <w:vAlign w:val="bottom"/>
            <w:hideMark/>
          </w:tcPr>
          <w:p w14:paraId="4F624524" w14:textId="77777777" w:rsidR="00DA77A7" w:rsidRPr="00DA77A7" w:rsidRDefault="00DA77A7" w:rsidP="00DA77A7">
            <w:pPr>
              <w:spacing w:after="0" w:line="240" w:lineRule="auto"/>
              <w:jc w:val="right"/>
              <w:rPr>
                <w:rFonts w:ascii="Times New Roman" w:eastAsia="Times New Roman" w:hAnsi="Times New Roman" w:cs="Times New Roman"/>
                <w:sz w:val="20"/>
                <w:szCs w:val="20"/>
                <w:lang w:eastAsia="cs-CZ"/>
              </w:rPr>
            </w:pPr>
          </w:p>
        </w:tc>
        <w:tc>
          <w:tcPr>
            <w:tcW w:w="1684" w:type="dxa"/>
            <w:tcBorders>
              <w:top w:val="nil"/>
              <w:left w:val="nil"/>
              <w:bottom w:val="nil"/>
              <w:right w:val="nil"/>
            </w:tcBorders>
            <w:shd w:val="clear" w:color="auto" w:fill="auto"/>
            <w:noWrap/>
            <w:vAlign w:val="bottom"/>
            <w:hideMark/>
          </w:tcPr>
          <w:p w14:paraId="08036679" w14:textId="77777777" w:rsidR="00DA77A7" w:rsidRPr="00DA77A7" w:rsidRDefault="00DA77A7" w:rsidP="00DA77A7">
            <w:pPr>
              <w:spacing w:after="0" w:line="240" w:lineRule="auto"/>
              <w:jc w:val="right"/>
              <w:rPr>
                <w:rFonts w:ascii="Times New Roman" w:eastAsia="Times New Roman" w:hAnsi="Times New Roman" w:cs="Times New Roman"/>
                <w:sz w:val="20"/>
                <w:szCs w:val="20"/>
                <w:lang w:eastAsia="cs-CZ"/>
              </w:rPr>
            </w:pPr>
          </w:p>
        </w:tc>
        <w:tc>
          <w:tcPr>
            <w:tcW w:w="576" w:type="dxa"/>
            <w:tcBorders>
              <w:top w:val="nil"/>
              <w:left w:val="nil"/>
              <w:bottom w:val="nil"/>
              <w:right w:val="nil"/>
            </w:tcBorders>
            <w:shd w:val="clear" w:color="auto" w:fill="auto"/>
            <w:noWrap/>
            <w:vAlign w:val="bottom"/>
            <w:hideMark/>
          </w:tcPr>
          <w:p w14:paraId="057EF51F" w14:textId="77777777" w:rsidR="00DA77A7" w:rsidRPr="00DA77A7" w:rsidRDefault="00DA77A7" w:rsidP="00DA77A7">
            <w:pPr>
              <w:spacing w:after="0" w:line="240" w:lineRule="auto"/>
              <w:jc w:val="right"/>
              <w:rPr>
                <w:rFonts w:ascii="Times New Roman" w:eastAsia="Times New Roman" w:hAnsi="Times New Roman" w:cs="Times New Roman"/>
                <w:sz w:val="20"/>
                <w:szCs w:val="20"/>
                <w:lang w:eastAsia="cs-CZ"/>
              </w:rPr>
            </w:pPr>
          </w:p>
        </w:tc>
      </w:tr>
      <w:tr w:rsidR="00AF5B41" w:rsidRPr="00DA77A7" w14:paraId="6519E2BD" w14:textId="77777777" w:rsidTr="0042584A">
        <w:trPr>
          <w:trHeight w:val="360"/>
        </w:trPr>
        <w:tc>
          <w:tcPr>
            <w:tcW w:w="1231" w:type="dxa"/>
            <w:tcBorders>
              <w:top w:val="nil"/>
              <w:left w:val="nil"/>
              <w:bottom w:val="nil"/>
              <w:right w:val="nil"/>
            </w:tcBorders>
            <w:shd w:val="clear" w:color="auto" w:fill="auto"/>
            <w:noWrap/>
            <w:vAlign w:val="bottom"/>
            <w:hideMark/>
          </w:tcPr>
          <w:p w14:paraId="5818B039" w14:textId="77777777" w:rsidR="00DA77A7" w:rsidRPr="00DA77A7" w:rsidRDefault="00DA77A7" w:rsidP="00DA77A7">
            <w:pPr>
              <w:spacing w:after="0" w:line="240" w:lineRule="auto"/>
              <w:jc w:val="right"/>
              <w:rPr>
                <w:rFonts w:ascii="Times New Roman" w:eastAsia="Times New Roman" w:hAnsi="Times New Roman" w:cs="Times New Roman"/>
                <w:sz w:val="20"/>
                <w:szCs w:val="20"/>
                <w:lang w:eastAsia="cs-CZ"/>
              </w:rPr>
            </w:pPr>
          </w:p>
        </w:tc>
        <w:tc>
          <w:tcPr>
            <w:tcW w:w="7150" w:type="dxa"/>
            <w:gridSpan w:val="3"/>
            <w:tcBorders>
              <w:top w:val="nil"/>
              <w:left w:val="nil"/>
              <w:bottom w:val="nil"/>
              <w:right w:val="nil"/>
            </w:tcBorders>
            <w:shd w:val="clear" w:color="000000" w:fill="FFFFFF"/>
            <w:noWrap/>
            <w:vAlign w:val="bottom"/>
            <w:hideMark/>
          </w:tcPr>
          <w:p w14:paraId="462D54B2" w14:textId="77777777" w:rsidR="00DA77A7" w:rsidRPr="00DA77A7" w:rsidRDefault="00DA77A7" w:rsidP="00DA77A7">
            <w:pPr>
              <w:spacing w:after="0" w:line="240" w:lineRule="auto"/>
              <w:rPr>
                <w:rFonts w:ascii="Calibri" w:eastAsia="Times New Roman" w:hAnsi="Calibri" w:cs="Arial"/>
                <w:b/>
                <w:bCs/>
                <w:lang w:eastAsia="cs-CZ"/>
              </w:rPr>
            </w:pPr>
            <w:r w:rsidRPr="00DA77A7">
              <w:rPr>
                <w:rFonts w:ascii="Calibri" w:eastAsia="Times New Roman" w:hAnsi="Calibri" w:cs="Arial"/>
                <w:b/>
                <w:bCs/>
                <w:lang w:eastAsia="cs-CZ"/>
              </w:rPr>
              <w:t>Dotace ze státního rozpočtu a ostatních veřejných rozpočtů</w:t>
            </w:r>
          </w:p>
        </w:tc>
        <w:tc>
          <w:tcPr>
            <w:tcW w:w="1684" w:type="dxa"/>
            <w:tcBorders>
              <w:top w:val="nil"/>
              <w:left w:val="nil"/>
              <w:bottom w:val="nil"/>
              <w:right w:val="nil"/>
            </w:tcBorders>
            <w:shd w:val="clear" w:color="auto" w:fill="auto"/>
            <w:noWrap/>
            <w:vAlign w:val="bottom"/>
            <w:hideMark/>
          </w:tcPr>
          <w:p w14:paraId="54171046" w14:textId="77777777" w:rsidR="00DA77A7" w:rsidRPr="00DA77A7" w:rsidRDefault="00DA77A7" w:rsidP="00DA77A7">
            <w:pPr>
              <w:spacing w:after="0" w:line="240" w:lineRule="auto"/>
              <w:rPr>
                <w:rFonts w:ascii="Calibri" w:eastAsia="Times New Roman" w:hAnsi="Calibri" w:cs="Arial"/>
                <w:b/>
                <w:bCs/>
                <w:lang w:eastAsia="cs-CZ"/>
              </w:rPr>
            </w:pPr>
          </w:p>
        </w:tc>
        <w:tc>
          <w:tcPr>
            <w:tcW w:w="576" w:type="dxa"/>
            <w:tcBorders>
              <w:top w:val="nil"/>
              <w:left w:val="nil"/>
              <w:bottom w:val="nil"/>
              <w:right w:val="nil"/>
            </w:tcBorders>
            <w:shd w:val="clear" w:color="auto" w:fill="auto"/>
            <w:noWrap/>
            <w:vAlign w:val="bottom"/>
            <w:hideMark/>
          </w:tcPr>
          <w:p w14:paraId="13D81E94" w14:textId="77777777" w:rsidR="00DA77A7" w:rsidRPr="00DA77A7" w:rsidRDefault="00DA77A7" w:rsidP="00DA77A7">
            <w:pPr>
              <w:spacing w:after="0" w:line="240" w:lineRule="auto"/>
              <w:rPr>
                <w:rFonts w:ascii="Times New Roman" w:eastAsia="Times New Roman" w:hAnsi="Times New Roman" w:cs="Times New Roman"/>
                <w:sz w:val="20"/>
                <w:szCs w:val="20"/>
                <w:lang w:eastAsia="cs-CZ"/>
              </w:rPr>
            </w:pPr>
          </w:p>
        </w:tc>
      </w:tr>
      <w:tr w:rsidR="00AF5B41" w:rsidRPr="00DA77A7" w14:paraId="42028E45" w14:textId="77777777" w:rsidTr="0042584A">
        <w:trPr>
          <w:trHeight w:val="300"/>
        </w:trPr>
        <w:tc>
          <w:tcPr>
            <w:tcW w:w="1231"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2D1C57BC" w14:textId="77777777" w:rsidR="00DA77A7" w:rsidRPr="00DA77A7" w:rsidRDefault="00DA77A7" w:rsidP="00DA77A7">
            <w:pPr>
              <w:spacing w:after="0" w:line="240" w:lineRule="auto"/>
              <w:jc w:val="center"/>
              <w:rPr>
                <w:rFonts w:ascii="Calibri" w:eastAsia="Times New Roman" w:hAnsi="Calibri" w:cs="Arial"/>
                <w:sz w:val="20"/>
                <w:szCs w:val="20"/>
                <w:lang w:eastAsia="cs-CZ"/>
              </w:rPr>
            </w:pPr>
            <w:r w:rsidRPr="00DA77A7">
              <w:rPr>
                <w:rFonts w:ascii="Calibri" w:eastAsia="Times New Roman" w:hAnsi="Calibri" w:cs="Arial"/>
                <w:sz w:val="20"/>
                <w:szCs w:val="20"/>
                <w:lang w:eastAsia="cs-CZ"/>
              </w:rPr>
              <w:t>UZ13013</w:t>
            </w:r>
          </w:p>
        </w:tc>
        <w:tc>
          <w:tcPr>
            <w:tcW w:w="4085" w:type="dxa"/>
            <w:tcBorders>
              <w:top w:val="single" w:sz="8" w:space="0" w:color="auto"/>
              <w:left w:val="nil"/>
              <w:bottom w:val="single" w:sz="4" w:space="0" w:color="auto"/>
              <w:right w:val="single" w:sz="4" w:space="0" w:color="auto"/>
            </w:tcBorders>
            <w:shd w:val="clear" w:color="000000" w:fill="FFFFFF"/>
            <w:vAlign w:val="bottom"/>
            <w:hideMark/>
          </w:tcPr>
          <w:p w14:paraId="335E906E" w14:textId="77777777" w:rsidR="00DA77A7" w:rsidRPr="00DA77A7" w:rsidRDefault="00DA77A7" w:rsidP="00DA77A7">
            <w:pPr>
              <w:spacing w:after="0" w:line="240" w:lineRule="auto"/>
              <w:rPr>
                <w:rFonts w:ascii="Calibri" w:eastAsia="Times New Roman" w:hAnsi="Calibri" w:cs="Arial"/>
                <w:sz w:val="20"/>
                <w:szCs w:val="20"/>
                <w:lang w:eastAsia="cs-CZ"/>
              </w:rPr>
            </w:pPr>
            <w:r w:rsidRPr="00DA77A7">
              <w:rPr>
                <w:rFonts w:ascii="Calibri" w:eastAsia="Times New Roman" w:hAnsi="Calibri" w:cs="Arial"/>
                <w:sz w:val="20"/>
                <w:szCs w:val="20"/>
                <w:lang w:eastAsia="cs-CZ"/>
              </w:rPr>
              <w:t>Operační program zaměstnanost</w:t>
            </w:r>
          </w:p>
        </w:tc>
        <w:tc>
          <w:tcPr>
            <w:tcW w:w="1394" w:type="dxa"/>
            <w:tcBorders>
              <w:top w:val="single" w:sz="8" w:space="0" w:color="auto"/>
              <w:left w:val="nil"/>
              <w:bottom w:val="single" w:sz="4" w:space="0" w:color="auto"/>
              <w:right w:val="single" w:sz="4" w:space="0" w:color="auto"/>
            </w:tcBorders>
            <w:shd w:val="clear" w:color="000000" w:fill="FFFFFF"/>
            <w:noWrap/>
            <w:vAlign w:val="bottom"/>
            <w:hideMark/>
          </w:tcPr>
          <w:p w14:paraId="4DD78A3A"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0</w:t>
            </w:r>
          </w:p>
        </w:tc>
        <w:tc>
          <w:tcPr>
            <w:tcW w:w="1671" w:type="dxa"/>
            <w:tcBorders>
              <w:top w:val="single" w:sz="8" w:space="0" w:color="auto"/>
              <w:left w:val="nil"/>
              <w:bottom w:val="single" w:sz="4" w:space="0" w:color="auto"/>
              <w:right w:val="single" w:sz="4" w:space="0" w:color="auto"/>
            </w:tcBorders>
            <w:shd w:val="clear" w:color="000000" w:fill="FFFFFF"/>
            <w:noWrap/>
            <w:vAlign w:val="bottom"/>
            <w:hideMark/>
          </w:tcPr>
          <w:p w14:paraId="60DEAABC"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493 900,25</w:t>
            </w:r>
          </w:p>
        </w:tc>
        <w:tc>
          <w:tcPr>
            <w:tcW w:w="1684" w:type="dxa"/>
            <w:tcBorders>
              <w:top w:val="single" w:sz="8" w:space="0" w:color="auto"/>
              <w:left w:val="nil"/>
              <w:bottom w:val="single" w:sz="4" w:space="0" w:color="auto"/>
              <w:right w:val="single" w:sz="4" w:space="0" w:color="auto"/>
            </w:tcBorders>
            <w:shd w:val="clear" w:color="auto" w:fill="auto"/>
            <w:noWrap/>
            <w:vAlign w:val="bottom"/>
            <w:hideMark/>
          </w:tcPr>
          <w:p w14:paraId="5948DC11"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493 900,25</w:t>
            </w:r>
          </w:p>
        </w:tc>
        <w:tc>
          <w:tcPr>
            <w:tcW w:w="576" w:type="dxa"/>
            <w:tcBorders>
              <w:top w:val="single" w:sz="8" w:space="0" w:color="auto"/>
              <w:left w:val="nil"/>
              <w:bottom w:val="single" w:sz="4" w:space="0" w:color="auto"/>
              <w:right w:val="single" w:sz="8" w:space="0" w:color="auto"/>
            </w:tcBorders>
            <w:shd w:val="clear" w:color="auto" w:fill="auto"/>
            <w:noWrap/>
            <w:vAlign w:val="bottom"/>
            <w:hideMark/>
          </w:tcPr>
          <w:p w14:paraId="5B2F55FC"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100,0</w:t>
            </w:r>
          </w:p>
        </w:tc>
      </w:tr>
      <w:tr w:rsidR="00AF5B41" w:rsidRPr="00DA77A7" w14:paraId="45412398"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noWrap/>
            <w:vAlign w:val="bottom"/>
            <w:hideMark/>
          </w:tcPr>
          <w:p w14:paraId="7718D237" w14:textId="77777777" w:rsidR="00DA77A7" w:rsidRPr="00DA77A7" w:rsidRDefault="00DA77A7" w:rsidP="00DA77A7">
            <w:pPr>
              <w:spacing w:after="0" w:line="240" w:lineRule="auto"/>
              <w:jc w:val="center"/>
              <w:rPr>
                <w:rFonts w:ascii="Calibri" w:eastAsia="Times New Roman" w:hAnsi="Calibri" w:cs="Arial"/>
                <w:sz w:val="20"/>
                <w:szCs w:val="20"/>
                <w:lang w:eastAsia="cs-CZ"/>
              </w:rPr>
            </w:pPr>
            <w:r w:rsidRPr="00DA77A7">
              <w:rPr>
                <w:rFonts w:ascii="Calibri" w:eastAsia="Times New Roman" w:hAnsi="Calibri" w:cs="Arial"/>
                <w:sz w:val="20"/>
                <w:szCs w:val="20"/>
                <w:lang w:eastAsia="cs-CZ"/>
              </w:rPr>
              <w:t>UZ 17015/17016</w:t>
            </w:r>
          </w:p>
        </w:tc>
        <w:tc>
          <w:tcPr>
            <w:tcW w:w="4085" w:type="dxa"/>
            <w:tcBorders>
              <w:top w:val="nil"/>
              <w:left w:val="nil"/>
              <w:bottom w:val="single" w:sz="4" w:space="0" w:color="auto"/>
              <w:right w:val="single" w:sz="4" w:space="0" w:color="auto"/>
            </w:tcBorders>
            <w:shd w:val="clear" w:color="000000" w:fill="FFFFFF"/>
            <w:vAlign w:val="bottom"/>
            <w:hideMark/>
          </w:tcPr>
          <w:p w14:paraId="0E45906E" w14:textId="77777777" w:rsidR="00DA77A7" w:rsidRPr="00DA77A7" w:rsidRDefault="00DA77A7" w:rsidP="00DA77A7">
            <w:pPr>
              <w:spacing w:after="0" w:line="240" w:lineRule="auto"/>
              <w:rPr>
                <w:rFonts w:ascii="Calibri" w:eastAsia="Times New Roman" w:hAnsi="Calibri" w:cs="Arial"/>
                <w:sz w:val="20"/>
                <w:szCs w:val="20"/>
                <w:lang w:eastAsia="cs-CZ"/>
              </w:rPr>
            </w:pPr>
            <w:r w:rsidRPr="00DA77A7">
              <w:rPr>
                <w:rFonts w:ascii="Calibri" w:eastAsia="Times New Roman" w:hAnsi="Calibri" w:cs="Arial"/>
                <w:sz w:val="20"/>
                <w:szCs w:val="20"/>
                <w:lang w:eastAsia="cs-CZ"/>
              </w:rPr>
              <w:t>IROP - neinvestice</w:t>
            </w:r>
          </w:p>
        </w:tc>
        <w:tc>
          <w:tcPr>
            <w:tcW w:w="1394" w:type="dxa"/>
            <w:tcBorders>
              <w:top w:val="nil"/>
              <w:left w:val="nil"/>
              <w:bottom w:val="single" w:sz="4" w:space="0" w:color="auto"/>
              <w:right w:val="single" w:sz="4" w:space="0" w:color="auto"/>
            </w:tcBorders>
            <w:shd w:val="clear" w:color="000000" w:fill="FFFFFF"/>
            <w:noWrap/>
            <w:vAlign w:val="bottom"/>
            <w:hideMark/>
          </w:tcPr>
          <w:p w14:paraId="1DC27699"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0</w:t>
            </w:r>
          </w:p>
        </w:tc>
        <w:tc>
          <w:tcPr>
            <w:tcW w:w="1671" w:type="dxa"/>
            <w:tcBorders>
              <w:top w:val="nil"/>
              <w:left w:val="nil"/>
              <w:bottom w:val="single" w:sz="4" w:space="0" w:color="auto"/>
              <w:right w:val="single" w:sz="4" w:space="0" w:color="auto"/>
            </w:tcBorders>
            <w:shd w:val="clear" w:color="000000" w:fill="FFFFFF"/>
            <w:noWrap/>
            <w:vAlign w:val="bottom"/>
            <w:hideMark/>
          </w:tcPr>
          <w:p w14:paraId="484C8C9F"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6 717 050,61</w:t>
            </w:r>
          </w:p>
        </w:tc>
        <w:tc>
          <w:tcPr>
            <w:tcW w:w="1684" w:type="dxa"/>
            <w:tcBorders>
              <w:top w:val="nil"/>
              <w:left w:val="nil"/>
              <w:bottom w:val="single" w:sz="4" w:space="0" w:color="auto"/>
              <w:right w:val="single" w:sz="4" w:space="0" w:color="auto"/>
            </w:tcBorders>
            <w:shd w:val="clear" w:color="auto" w:fill="auto"/>
            <w:noWrap/>
            <w:vAlign w:val="bottom"/>
            <w:hideMark/>
          </w:tcPr>
          <w:p w14:paraId="3BBB7CB7"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6 717 050,61</w:t>
            </w:r>
          </w:p>
        </w:tc>
        <w:tc>
          <w:tcPr>
            <w:tcW w:w="576" w:type="dxa"/>
            <w:tcBorders>
              <w:top w:val="nil"/>
              <w:left w:val="nil"/>
              <w:bottom w:val="single" w:sz="4" w:space="0" w:color="auto"/>
              <w:right w:val="single" w:sz="8" w:space="0" w:color="auto"/>
            </w:tcBorders>
            <w:shd w:val="clear" w:color="auto" w:fill="auto"/>
            <w:noWrap/>
            <w:vAlign w:val="bottom"/>
            <w:hideMark/>
          </w:tcPr>
          <w:p w14:paraId="22AC40DD"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100,0</w:t>
            </w:r>
          </w:p>
        </w:tc>
      </w:tr>
      <w:tr w:rsidR="00AF5B41" w:rsidRPr="00DA77A7" w14:paraId="08756A79" w14:textId="77777777" w:rsidTr="0042584A">
        <w:trPr>
          <w:trHeight w:val="510"/>
        </w:trPr>
        <w:tc>
          <w:tcPr>
            <w:tcW w:w="1231" w:type="dxa"/>
            <w:tcBorders>
              <w:top w:val="nil"/>
              <w:left w:val="single" w:sz="8" w:space="0" w:color="auto"/>
              <w:bottom w:val="single" w:sz="4" w:space="0" w:color="auto"/>
              <w:right w:val="single" w:sz="4" w:space="0" w:color="auto"/>
            </w:tcBorders>
            <w:shd w:val="clear" w:color="auto" w:fill="auto"/>
            <w:noWrap/>
            <w:vAlign w:val="bottom"/>
            <w:hideMark/>
          </w:tcPr>
          <w:p w14:paraId="6EFF58BB" w14:textId="77777777" w:rsidR="00DA77A7" w:rsidRPr="00DA77A7" w:rsidRDefault="00DA77A7" w:rsidP="00DA77A7">
            <w:pPr>
              <w:spacing w:after="0" w:line="240" w:lineRule="auto"/>
              <w:jc w:val="center"/>
              <w:rPr>
                <w:rFonts w:ascii="Calibri" w:eastAsia="Times New Roman" w:hAnsi="Calibri" w:cs="Arial"/>
                <w:sz w:val="20"/>
                <w:szCs w:val="20"/>
                <w:lang w:eastAsia="cs-CZ"/>
              </w:rPr>
            </w:pPr>
            <w:r w:rsidRPr="00DA77A7">
              <w:rPr>
                <w:rFonts w:ascii="Calibri" w:eastAsia="Times New Roman" w:hAnsi="Calibri" w:cs="Arial"/>
                <w:sz w:val="20"/>
                <w:szCs w:val="20"/>
                <w:lang w:eastAsia="cs-CZ"/>
              </w:rPr>
              <w:t>UZ 17039</w:t>
            </w:r>
          </w:p>
        </w:tc>
        <w:tc>
          <w:tcPr>
            <w:tcW w:w="4085" w:type="dxa"/>
            <w:tcBorders>
              <w:top w:val="nil"/>
              <w:left w:val="nil"/>
              <w:bottom w:val="single" w:sz="4" w:space="0" w:color="auto"/>
              <w:right w:val="single" w:sz="4" w:space="0" w:color="auto"/>
            </w:tcBorders>
            <w:shd w:val="clear" w:color="000000" w:fill="FFFFFF"/>
            <w:vAlign w:val="bottom"/>
            <w:hideMark/>
          </w:tcPr>
          <w:p w14:paraId="54FBE7F5" w14:textId="77777777" w:rsidR="00DA77A7" w:rsidRPr="00DA77A7" w:rsidRDefault="00DA77A7" w:rsidP="00DA77A7">
            <w:pPr>
              <w:spacing w:after="0" w:line="240" w:lineRule="auto"/>
              <w:rPr>
                <w:rFonts w:ascii="Calibri" w:eastAsia="Times New Roman" w:hAnsi="Calibri" w:cs="Arial"/>
                <w:sz w:val="20"/>
                <w:szCs w:val="20"/>
                <w:lang w:eastAsia="cs-CZ"/>
              </w:rPr>
            </w:pPr>
            <w:r w:rsidRPr="00DA77A7">
              <w:rPr>
                <w:rFonts w:ascii="Calibri" w:eastAsia="Times New Roman" w:hAnsi="Calibri" w:cs="Arial"/>
                <w:sz w:val="20"/>
                <w:szCs w:val="20"/>
                <w:lang w:eastAsia="cs-CZ"/>
              </w:rPr>
              <w:t xml:space="preserve">COVID - Ubytování - obce - Dotační titul 3170000055 - NIV </w:t>
            </w:r>
          </w:p>
        </w:tc>
        <w:tc>
          <w:tcPr>
            <w:tcW w:w="1394" w:type="dxa"/>
            <w:tcBorders>
              <w:top w:val="nil"/>
              <w:left w:val="nil"/>
              <w:bottom w:val="single" w:sz="4" w:space="0" w:color="auto"/>
              <w:right w:val="single" w:sz="4" w:space="0" w:color="auto"/>
            </w:tcBorders>
            <w:shd w:val="clear" w:color="000000" w:fill="FFFFFF"/>
            <w:noWrap/>
            <w:vAlign w:val="bottom"/>
            <w:hideMark/>
          </w:tcPr>
          <w:p w14:paraId="5EFE7CBE"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0</w:t>
            </w:r>
          </w:p>
        </w:tc>
        <w:tc>
          <w:tcPr>
            <w:tcW w:w="1671" w:type="dxa"/>
            <w:tcBorders>
              <w:top w:val="nil"/>
              <w:left w:val="nil"/>
              <w:bottom w:val="single" w:sz="4" w:space="0" w:color="auto"/>
              <w:right w:val="single" w:sz="4" w:space="0" w:color="auto"/>
            </w:tcBorders>
            <w:shd w:val="clear" w:color="000000" w:fill="FFFFFF"/>
            <w:noWrap/>
            <w:vAlign w:val="bottom"/>
            <w:hideMark/>
          </w:tcPr>
          <w:p w14:paraId="64045D96"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1 620 600,00</w:t>
            </w:r>
          </w:p>
        </w:tc>
        <w:tc>
          <w:tcPr>
            <w:tcW w:w="1684" w:type="dxa"/>
            <w:tcBorders>
              <w:top w:val="nil"/>
              <w:left w:val="nil"/>
              <w:bottom w:val="single" w:sz="4" w:space="0" w:color="auto"/>
              <w:right w:val="single" w:sz="4" w:space="0" w:color="auto"/>
            </w:tcBorders>
            <w:shd w:val="clear" w:color="auto" w:fill="auto"/>
            <w:noWrap/>
            <w:vAlign w:val="bottom"/>
            <w:hideMark/>
          </w:tcPr>
          <w:p w14:paraId="16873829"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1 620 600,00</w:t>
            </w:r>
          </w:p>
        </w:tc>
        <w:tc>
          <w:tcPr>
            <w:tcW w:w="576" w:type="dxa"/>
            <w:tcBorders>
              <w:top w:val="nil"/>
              <w:left w:val="nil"/>
              <w:bottom w:val="single" w:sz="4" w:space="0" w:color="auto"/>
              <w:right w:val="single" w:sz="8" w:space="0" w:color="auto"/>
            </w:tcBorders>
            <w:shd w:val="clear" w:color="auto" w:fill="auto"/>
            <w:noWrap/>
            <w:vAlign w:val="bottom"/>
            <w:hideMark/>
          </w:tcPr>
          <w:p w14:paraId="5C822940"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100,0</w:t>
            </w:r>
          </w:p>
        </w:tc>
      </w:tr>
      <w:tr w:rsidR="00AF5B41" w:rsidRPr="00DA77A7" w14:paraId="3C491161"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noWrap/>
            <w:vAlign w:val="bottom"/>
            <w:hideMark/>
          </w:tcPr>
          <w:p w14:paraId="1B825EDA" w14:textId="77777777" w:rsidR="00DA77A7" w:rsidRPr="00DA77A7" w:rsidRDefault="00DA77A7" w:rsidP="00DA77A7">
            <w:pPr>
              <w:spacing w:after="0" w:line="240" w:lineRule="auto"/>
              <w:jc w:val="center"/>
              <w:rPr>
                <w:rFonts w:ascii="Calibri" w:eastAsia="Times New Roman" w:hAnsi="Calibri" w:cs="Arial"/>
                <w:sz w:val="20"/>
                <w:szCs w:val="20"/>
                <w:lang w:eastAsia="cs-CZ"/>
              </w:rPr>
            </w:pPr>
            <w:r w:rsidRPr="00DA77A7">
              <w:rPr>
                <w:rFonts w:ascii="Calibri" w:eastAsia="Times New Roman" w:hAnsi="Calibri" w:cs="Arial"/>
                <w:sz w:val="20"/>
                <w:szCs w:val="20"/>
                <w:lang w:eastAsia="cs-CZ"/>
              </w:rPr>
              <w:t>UZ 17968/17969</w:t>
            </w:r>
          </w:p>
        </w:tc>
        <w:tc>
          <w:tcPr>
            <w:tcW w:w="4085" w:type="dxa"/>
            <w:tcBorders>
              <w:top w:val="nil"/>
              <w:left w:val="nil"/>
              <w:bottom w:val="single" w:sz="4" w:space="0" w:color="auto"/>
              <w:right w:val="single" w:sz="4" w:space="0" w:color="auto"/>
            </w:tcBorders>
            <w:shd w:val="clear" w:color="000000" w:fill="FFFFFF"/>
            <w:vAlign w:val="bottom"/>
            <w:hideMark/>
          </w:tcPr>
          <w:p w14:paraId="737DA231" w14:textId="77777777" w:rsidR="00DA77A7" w:rsidRPr="00DA77A7" w:rsidRDefault="00DA77A7" w:rsidP="00DA77A7">
            <w:pPr>
              <w:spacing w:after="0" w:line="240" w:lineRule="auto"/>
              <w:rPr>
                <w:rFonts w:ascii="Calibri" w:eastAsia="Times New Roman" w:hAnsi="Calibri" w:cs="Arial"/>
                <w:sz w:val="20"/>
                <w:szCs w:val="20"/>
                <w:lang w:eastAsia="cs-CZ"/>
              </w:rPr>
            </w:pPr>
            <w:r w:rsidRPr="00DA77A7">
              <w:rPr>
                <w:rFonts w:ascii="Calibri" w:eastAsia="Times New Roman" w:hAnsi="Calibri" w:cs="Arial"/>
                <w:sz w:val="20"/>
                <w:szCs w:val="20"/>
                <w:lang w:eastAsia="cs-CZ"/>
              </w:rPr>
              <w:t>IROP - investice</w:t>
            </w:r>
          </w:p>
        </w:tc>
        <w:tc>
          <w:tcPr>
            <w:tcW w:w="1394" w:type="dxa"/>
            <w:tcBorders>
              <w:top w:val="nil"/>
              <w:left w:val="nil"/>
              <w:bottom w:val="single" w:sz="4" w:space="0" w:color="auto"/>
              <w:right w:val="single" w:sz="4" w:space="0" w:color="auto"/>
            </w:tcBorders>
            <w:shd w:val="clear" w:color="000000" w:fill="FFFFFF"/>
            <w:noWrap/>
            <w:vAlign w:val="bottom"/>
            <w:hideMark/>
          </w:tcPr>
          <w:p w14:paraId="35C41934"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0</w:t>
            </w:r>
          </w:p>
        </w:tc>
        <w:tc>
          <w:tcPr>
            <w:tcW w:w="1671" w:type="dxa"/>
            <w:tcBorders>
              <w:top w:val="nil"/>
              <w:left w:val="nil"/>
              <w:bottom w:val="single" w:sz="4" w:space="0" w:color="auto"/>
              <w:right w:val="single" w:sz="4" w:space="0" w:color="auto"/>
            </w:tcBorders>
            <w:shd w:val="clear" w:color="000000" w:fill="FFFFFF"/>
            <w:noWrap/>
            <w:vAlign w:val="bottom"/>
            <w:hideMark/>
          </w:tcPr>
          <w:p w14:paraId="3F07ACD8"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88 972 081,84</w:t>
            </w:r>
          </w:p>
        </w:tc>
        <w:tc>
          <w:tcPr>
            <w:tcW w:w="1684" w:type="dxa"/>
            <w:tcBorders>
              <w:top w:val="nil"/>
              <w:left w:val="nil"/>
              <w:bottom w:val="single" w:sz="4" w:space="0" w:color="auto"/>
              <w:right w:val="single" w:sz="4" w:space="0" w:color="auto"/>
            </w:tcBorders>
            <w:shd w:val="clear" w:color="auto" w:fill="auto"/>
            <w:noWrap/>
            <w:vAlign w:val="bottom"/>
            <w:hideMark/>
          </w:tcPr>
          <w:p w14:paraId="247EA2DA"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88 972 081,84</w:t>
            </w:r>
          </w:p>
        </w:tc>
        <w:tc>
          <w:tcPr>
            <w:tcW w:w="576" w:type="dxa"/>
            <w:tcBorders>
              <w:top w:val="nil"/>
              <w:left w:val="nil"/>
              <w:bottom w:val="single" w:sz="4" w:space="0" w:color="auto"/>
              <w:right w:val="single" w:sz="8" w:space="0" w:color="auto"/>
            </w:tcBorders>
            <w:shd w:val="clear" w:color="auto" w:fill="auto"/>
            <w:noWrap/>
            <w:vAlign w:val="bottom"/>
            <w:hideMark/>
          </w:tcPr>
          <w:p w14:paraId="293A4A81"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100,0</w:t>
            </w:r>
          </w:p>
        </w:tc>
      </w:tr>
      <w:tr w:rsidR="00AF5B41" w:rsidRPr="00DA77A7" w14:paraId="2CEF7CC2"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noWrap/>
            <w:vAlign w:val="bottom"/>
            <w:hideMark/>
          </w:tcPr>
          <w:p w14:paraId="5A2C79E6" w14:textId="77777777" w:rsidR="00DA77A7" w:rsidRPr="00DA77A7" w:rsidRDefault="00DA77A7" w:rsidP="00DA77A7">
            <w:pPr>
              <w:spacing w:after="0" w:line="240" w:lineRule="auto"/>
              <w:jc w:val="center"/>
              <w:rPr>
                <w:rFonts w:ascii="Calibri" w:eastAsia="Times New Roman" w:hAnsi="Calibri" w:cs="Arial"/>
                <w:sz w:val="20"/>
                <w:szCs w:val="20"/>
                <w:lang w:eastAsia="cs-CZ"/>
              </w:rPr>
            </w:pPr>
            <w:r w:rsidRPr="00DA77A7">
              <w:rPr>
                <w:rFonts w:ascii="Calibri" w:eastAsia="Times New Roman" w:hAnsi="Calibri" w:cs="Arial"/>
                <w:sz w:val="20"/>
                <w:szCs w:val="20"/>
                <w:lang w:eastAsia="cs-CZ"/>
              </w:rPr>
              <w:t>UZ 29501</w:t>
            </w:r>
          </w:p>
        </w:tc>
        <w:tc>
          <w:tcPr>
            <w:tcW w:w="4085" w:type="dxa"/>
            <w:tcBorders>
              <w:top w:val="nil"/>
              <w:left w:val="nil"/>
              <w:bottom w:val="single" w:sz="4" w:space="0" w:color="auto"/>
              <w:right w:val="single" w:sz="4" w:space="0" w:color="auto"/>
            </w:tcBorders>
            <w:shd w:val="clear" w:color="000000" w:fill="FFFFFF"/>
            <w:vAlign w:val="bottom"/>
            <w:hideMark/>
          </w:tcPr>
          <w:p w14:paraId="774D4737" w14:textId="77777777" w:rsidR="00DA77A7" w:rsidRPr="00DA77A7" w:rsidRDefault="00DA77A7" w:rsidP="00DA77A7">
            <w:pPr>
              <w:spacing w:after="0" w:line="240" w:lineRule="auto"/>
              <w:rPr>
                <w:rFonts w:ascii="Calibri" w:eastAsia="Times New Roman" w:hAnsi="Calibri" w:cs="Arial"/>
                <w:sz w:val="20"/>
                <w:szCs w:val="20"/>
                <w:lang w:eastAsia="cs-CZ"/>
              </w:rPr>
            </w:pPr>
            <w:r w:rsidRPr="00DA77A7">
              <w:rPr>
                <w:rFonts w:ascii="Calibri" w:eastAsia="Times New Roman" w:hAnsi="Calibri" w:cs="Arial"/>
                <w:sz w:val="20"/>
                <w:szCs w:val="20"/>
                <w:lang w:eastAsia="cs-CZ"/>
              </w:rPr>
              <w:t>Centra odborné přípravy -program 129710</w:t>
            </w:r>
          </w:p>
        </w:tc>
        <w:tc>
          <w:tcPr>
            <w:tcW w:w="1394" w:type="dxa"/>
            <w:tcBorders>
              <w:top w:val="nil"/>
              <w:left w:val="nil"/>
              <w:bottom w:val="single" w:sz="4" w:space="0" w:color="auto"/>
              <w:right w:val="single" w:sz="4" w:space="0" w:color="auto"/>
            </w:tcBorders>
            <w:shd w:val="clear" w:color="000000" w:fill="FFFFFF"/>
            <w:noWrap/>
            <w:vAlign w:val="bottom"/>
            <w:hideMark/>
          </w:tcPr>
          <w:p w14:paraId="6AB200F0"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0</w:t>
            </w:r>
          </w:p>
        </w:tc>
        <w:tc>
          <w:tcPr>
            <w:tcW w:w="1671" w:type="dxa"/>
            <w:tcBorders>
              <w:top w:val="nil"/>
              <w:left w:val="nil"/>
              <w:bottom w:val="single" w:sz="4" w:space="0" w:color="auto"/>
              <w:right w:val="single" w:sz="4" w:space="0" w:color="auto"/>
            </w:tcBorders>
            <w:shd w:val="clear" w:color="000000" w:fill="FFFFFF"/>
            <w:noWrap/>
            <w:vAlign w:val="bottom"/>
            <w:hideMark/>
          </w:tcPr>
          <w:p w14:paraId="49DAF00C"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3 097 391,00</w:t>
            </w:r>
          </w:p>
        </w:tc>
        <w:tc>
          <w:tcPr>
            <w:tcW w:w="1684" w:type="dxa"/>
            <w:tcBorders>
              <w:top w:val="nil"/>
              <w:left w:val="nil"/>
              <w:bottom w:val="single" w:sz="4" w:space="0" w:color="auto"/>
              <w:right w:val="single" w:sz="4" w:space="0" w:color="auto"/>
            </w:tcBorders>
            <w:shd w:val="clear" w:color="auto" w:fill="auto"/>
            <w:noWrap/>
            <w:vAlign w:val="bottom"/>
            <w:hideMark/>
          </w:tcPr>
          <w:p w14:paraId="6F37D5AC"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3 097 391,00</w:t>
            </w:r>
          </w:p>
        </w:tc>
        <w:tc>
          <w:tcPr>
            <w:tcW w:w="576" w:type="dxa"/>
            <w:tcBorders>
              <w:top w:val="nil"/>
              <w:left w:val="nil"/>
              <w:bottom w:val="single" w:sz="4" w:space="0" w:color="auto"/>
              <w:right w:val="single" w:sz="8" w:space="0" w:color="auto"/>
            </w:tcBorders>
            <w:shd w:val="clear" w:color="auto" w:fill="auto"/>
            <w:noWrap/>
            <w:vAlign w:val="bottom"/>
            <w:hideMark/>
          </w:tcPr>
          <w:p w14:paraId="4C0D151B"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100,0</w:t>
            </w:r>
          </w:p>
        </w:tc>
      </w:tr>
      <w:tr w:rsidR="00AF5B41" w:rsidRPr="00DA77A7" w14:paraId="2FB2006A"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noWrap/>
            <w:vAlign w:val="bottom"/>
            <w:hideMark/>
          </w:tcPr>
          <w:p w14:paraId="7A91F10B" w14:textId="77777777" w:rsidR="00DA77A7" w:rsidRPr="00DA77A7" w:rsidRDefault="00DA77A7" w:rsidP="00DA77A7">
            <w:pPr>
              <w:spacing w:after="0" w:line="240" w:lineRule="auto"/>
              <w:jc w:val="center"/>
              <w:rPr>
                <w:rFonts w:ascii="Calibri" w:eastAsia="Times New Roman" w:hAnsi="Calibri" w:cs="Arial"/>
                <w:sz w:val="20"/>
                <w:szCs w:val="20"/>
                <w:lang w:eastAsia="cs-CZ"/>
              </w:rPr>
            </w:pPr>
            <w:r w:rsidRPr="00DA77A7">
              <w:rPr>
                <w:rFonts w:ascii="Calibri" w:eastAsia="Times New Roman" w:hAnsi="Calibri" w:cs="Arial"/>
                <w:sz w:val="20"/>
                <w:szCs w:val="20"/>
                <w:lang w:eastAsia="cs-CZ"/>
              </w:rPr>
              <w:t>UZ 33063</w:t>
            </w:r>
          </w:p>
        </w:tc>
        <w:tc>
          <w:tcPr>
            <w:tcW w:w="4085" w:type="dxa"/>
            <w:tcBorders>
              <w:top w:val="nil"/>
              <w:left w:val="nil"/>
              <w:bottom w:val="single" w:sz="4" w:space="0" w:color="auto"/>
              <w:right w:val="single" w:sz="4" w:space="0" w:color="auto"/>
            </w:tcBorders>
            <w:shd w:val="clear" w:color="000000" w:fill="FFFFFF"/>
            <w:vAlign w:val="bottom"/>
            <w:hideMark/>
          </w:tcPr>
          <w:p w14:paraId="4BD939A4" w14:textId="77777777" w:rsidR="00DA77A7" w:rsidRPr="00DA77A7" w:rsidRDefault="00DA77A7" w:rsidP="00DA77A7">
            <w:pPr>
              <w:spacing w:after="0" w:line="240" w:lineRule="auto"/>
              <w:rPr>
                <w:rFonts w:ascii="Calibri" w:eastAsia="Times New Roman" w:hAnsi="Calibri" w:cs="Arial"/>
                <w:sz w:val="20"/>
                <w:szCs w:val="20"/>
                <w:lang w:eastAsia="cs-CZ"/>
              </w:rPr>
            </w:pPr>
            <w:r w:rsidRPr="00DA77A7">
              <w:rPr>
                <w:rFonts w:ascii="Calibri" w:eastAsia="Times New Roman" w:hAnsi="Calibri" w:cs="Arial"/>
                <w:sz w:val="20"/>
                <w:szCs w:val="20"/>
                <w:lang w:eastAsia="cs-CZ"/>
              </w:rPr>
              <w:t>OP VVV - PO3 - neinvestice</w:t>
            </w:r>
          </w:p>
        </w:tc>
        <w:tc>
          <w:tcPr>
            <w:tcW w:w="1394" w:type="dxa"/>
            <w:tcBorders>
              <w:top w:val="nil"/>
              <w:left w:val="nil"/>
              <w:bottom w:val="single" w:sz="4" w:space="0" w:color="auto"/>
              <w:right w:val="single" w:sz="4" w:space="0" w:color="auto"/>
            </w:tcBorders>
            <w:shd w:val="clear" w:color="000000" w:fill="FFFFFF"/>
            <w:noWrap/>
            <w:vAlign w:val="bottom"/>
            <w:hideMark/>
          </w:tcPr>
          <w:p w14:paraId="67853226"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0</w:t>
            </w:r>
          </w:p>
        </w:tc>
        <w:tc>
          <w:tcPr>
            <w:tcW w:w="1671" w:type="dxa"/>
            <w:tcBorders>
              <w:top w:val="nil"/>
              <w:left w:val="nil"/>
              <w:bottom w:val="single" w:sz="4" w:space="0" w:color="auto"/>
              <w:right w:val="single" w:sz="4" w:space="0" w:color="auto"/>
            </w:tcBorders>
            <w:shd w:val="clear" w:color="000000" w:fill="FFFFFF"/>
            <w:noWrap/>
            <w:vAlign w:val="bottom"/>
            <w:hideMark/>
          </w:tcPr>
          <w:p w14:paraId="7BE1D962"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149 052 214,69</w:t>
            </w:r>
          </w:p>
        </w:tc>
        <w:tc>
          <w:tcPr>
            <w:tcW w:w="1684" w:type="dxa"/>
            <w:tcBorders>
              <w:top w:val="nil"/>
              <w:left w:val="nil"/>
              <w:bottom w:val="single" w:sz="4" w:space="0" w:color="auto"/>
              <w:right w:val="single" w:sz="4" w:space="0" w:color="auto"/>
            </w:tcBorders>
            <w:shd w:val="clear" w:color="000000" w:fill="FFFFFF"/>
            <w:noWrap/>
            <w:vAlign w:val="bottom"/>
            <w:hideMark/>
          </w:tcPr>
          <w:p w14:paraId="225D6EED"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97 589 268,60</w:t>
            </w:r>
          </w:p>
        </w:tc>
        <w:tc>
          <w:tcPr>
            <w:tcW w:w="576" w:type="dxa"/>
            <w:tcBorders>
              <w:top w:val="nil"/>
              <w:left w:val="nil"/>
              <w:bottom w:val="single" w:sz="4" w:space="0" w:color="auto"/>
              <w:right w:val="single" w:sz="8" w:space="0" w:color="auto"/>
            </w:tcBorders>
            <w:shd w:val="clear" w:color="auto" w:fill="auto"/>
            <w:noWrap/>
            <w:vAlign w:val="bottom"/>
            <w:hideMark/>
          </w:tcPr>
          <w:p w14:paraId="75754A58"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65,5</w:t>
            </w:r>
          </w:p>
        </w:tc>
      </w:tr>
      <w:tr w:rsidR="00AF5B41" w:rsidRPr="00DA77A7" w14:paraId="51CDA88C"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noWrap/>
            <w:vAlign w:val="bottom"/>
            <w:hideMark/>
          </w:tcPr>
          <w:p w14:paraId="5AC6B274" w14:textId="77777777" w:rsidR="00DA77A7" w:rsidRPr="00DA77A7" w:rsidRDefault="00DA77A7" w:rsidP="00DA77A7">
            <w:pPr>
              <w:spacing w:after="0" w:line="240" w:lineRule="auto"/>
              <w:jc w:val="center"/>
              <w:rPr>
                <w:rFonts w:ascii="Calibri" w:eastAsia="Times New Roman" w:hAnsi="Calibri" w:cs="Arial"/>
                <w:sz w:val="20"/>
                <w:szCs w:val="20"/>
                <w:lang w:eastAsia="cs-CZ"/>
              </w:rPr>
            </w:pPr>
            <w:r w:rsidRPr="00DA77A7">
              <w:rPr>
                <w:rFonts w:ascii="Calibri" w:eastAsia="Times New Roman" w:hAnsi="Calibri" w:cs="Arial"/>
                <w:sz w:val="20"/>
                <w:szCs w:val="20"/>
                <w:lang w:eastAsia="cs-CZ"/>
              </w:rPr>
              <w:t>UZ 33081</w:t>
            </w:r>
          </w:p>
        </w:tc>
        <w:tc>
          <w:tcPr>
            <w:tcW w:w="4085" w:type="dxa"/>
            <w:tcBorders>
              <w:top w:val="nil"/>
              <w:left w:val="nil"/>
              <w:bottom w:val="single" w:sz="4" w:space="0" w:color="auto"/>
              <w:right w:val="single" w:sz="4" w:space="0" w:color="auto"/>
            </w:tcBorders>
            <w:shd w:val="clear" w:color="000000" w:fill="FFFFFF"/>
            <w:vAlign w:val="bottom"/>
            <w:hideMark/>
          </w:tcPr>
          <w:p w14:paraId="13B90514" w14:textId="77777777" w:rsidR="00DA77A7" w:rsidRPr="00DA77A7" w:rsidRDefault="00DA77A7" w:rsidP="00DA77A7">
            <w:pPr>
              <w:spacing w:after="0" w:line="240" w:lineRule="auto"/>
              <w:rPr>
                <w:rFonts w:ascii="Calibri" w:eastAsia="Times New Roman" w:hAnsi="Calibri" w:cs="Arial"/>
                <w:sz w:val="20"/>
                <w:szCs w:val="20"/>
                <w:lang w:eastAsia="cs-CZ"/>
              </w:rPr>
            </w:pPr>
            <w:r w:rsidRPr="00DA77A7">
              <w:rPr>
                <w:rFonts w:ascii="Calibri" w:eastAsia="Times New Roman" w:hAnsi="Calibri" w:cs="Arial"/>
                <w:sz w:val="20"/>
                <w:szCs w:val="20"/>
                <w:lang w:eastAsia="cs-CZ"/>
              </w:rPr>
              <w:t>Letní kempy</w:t>
            </w:r>
          </w:p>
        </w:tc>
        <w:tc>
          <w:tcPr>
            <w:tcW w:w="1394" w:type="dxa"/>
            <w:tcBorders>
              <w:top w:val="nil"/>
              <w:left w:val="nil"/>
              <w:bottom w:val="single" w:sz="4" w:space="0" w:color="auto"/>
              <w:right w:val="single" w:sz="4" w:space="0" w:color="auto"/>
            </w:tcBorders>
            <w:shd w:val="clear" w:color="000000" w:fill="FFFFFF"/>
            <w:noWrap/>
            <w:vAlign w:val="bottom"/>
            <w:hideMark/>
          </w:tcPr>
          <w:p w14:paraId="3C048A30"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0</w:t>
            </w:r>
          </w:p>
        </w:tc>
        <w:tc>
          <w:tcPr>
            <w:tcW w:w="1671" w:type="dxa"/>
            <w:tcBorders>
              <w:top w:val="nil"/>
              <w:left w:val="nil"/>
              <w:bottom w:val="single" w:sz="4" w:space="0" w:color="auto"/>
              <w:right w:val="single" w:sz="4" w:space="0" w:color="auto"/>
            </w:tcBorders>
            <w:shd w:val="clear" w:color="000000" w:fill="FFFFFF"/>
            <w:noWrap/>
            <w:vAlign w:val="bottom"/>
            <w:hideMark/>
          </w:tcPr>
          <w:p w14:paraId="15361694"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60 000,00</w:t>
            </w:r>
          </w:p>
        </w:tc>
        <w:tc>
          <w:tcPr>
            <w:tcW w:w="1684" w:type="dxa"/>
            <w:tcBorders>
              <w:top w:val="nil"/>
              <w:left w:val="nil"/>
              <w:bottom w:val="single" w:sz="4" w:space="0" w:color="auto"/>
              <w:right w:val="single" w:sz="4" w:space="0" w:color="auto"/>
            </w:tcBorders>
            <w:shd w:val="clear" w:color="auto" w:fill="auto"/>
            <w:noWrap/>
            <w:vAlign w:val="bottom"/>
            <w:hideMark/>
          </w:tcPr>
          <w:p w14:paraId="570CD5A6"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60 000,00</w:t>
            </w:r>
          </w:p>
        </w:tc>
        <w:tc>
          <w:tcPr>
            <w:tcW w:w="576" w:type="dxa"/>
            <w:tcBorders>
              <w:top w:val="nil"/>
              <w:left w:val="nil"/>
              <w:bottom w:val="single" w:sz="4" w:space="0" w:color="auto"/>
              <w:right w:val="single" w:sz="8" w:space="0" w:color="auto"/>
            </w:tcBorders>
            <w:shd w:val="clear" w:color="auto" w:fill="auto"/>
            <w:noWrap/>
            <w:vAlign w:val="bottom"/>
            <w:hideMark/>
          </w:tcPr>
          <w:p w14:paraId="226D2FC0"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100,0</w:t>
            </w:r>
          </w:p>
        </w:tc>
      </w:tr>
      <w:tr w:rsidR="00AF5B41" w:rsidRPr="00DA77A7" w14:paraId="3A37E92C"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noWrap/>
            <w:vAlign w:val="bottom"/>
            <w:hideMark/>
          </w:tcPr>
          <w:p w14:paraId="59C7EDDB" w14:textId="77777777" w:rsidR="00DA77A7" w:rsidRPr="00DA77A7" w:rsidRDefault="00DA77A7" w:rsidP="00DA77A7">
            <w:pPr>
              <w:spacing w:after="0" w:line="240" w:lineRule="auto"/>
              <w:jc w:val="center"/>
              <w:rPr>
                <w:rFonts w:ascii="Calibri" w:eastAsia="Times New Roman" w:hAnsi="Calibri" w:cs="Arial"/>
                <w:sz w:val="20"/>
                <w:szCs w:val="20"/>
                <w:lang w:eastAsia="cs-CZ"/>
              </w:rPr>
            </w:pPr>
            <w:r w:rsidRPr="00DA77A7">
              <w:rPr>
                <w:rFonts w:ascii="Calibri" w:eastAsia="Times New Roman" w:hAnsi="Calibri" w:cs="Arial"/>
                <w:sz w:val="20"/>
                <w:szCs w:val="20"/>
                <w:lang w:eastAsia="cs-CZ"/>
              </w:rPr>
              <w:lastRenderedPageBreak/>
              <w:t>UZ 33082</w:t>
            </w:r>
          </w:p>
        </w:tc>
        <w:tc>
          <w:tcPr>
            <w:tcW w:w="4085" w:type="dxa"/>
            <w:tcBorders>
              <w:top w:val="nil"/>
              <w:left w:val="nil"/>
              <w:bottom w:val="single" w:sz="4" w:space="0" w:color="auto"/>
              <w:right w:val="single" w:sz="4" w:space="0" w:color="auto"/>
            </w:tcBorders>
            <w:shd w:val="clear" w:color="000000" w:fill="FFFFFF"/>
            <w:vAlign w:val="bottom"/>
            <w:hideMark/>
          </w:tcPr>
          <w:p w14:paraId="65FCD315" w14:textId="77777777" w:rsidR="00DA77A7" w:rsidRPr="00DA77A7" w:rsidRDefault="00DA77A7" w:rsidP="00DA77A7">
            <w:pPr>
              <w:spacing w:after="0" w:line="240" w:lineRule="auto"/>
              <w:rPr>
                <w:rFonts w:ascii="Calibri" w:eastAsia="Times New Roman" w:hAnsi="Calibri" w:cs="Arial"/>
                <w:sz w:val="20"/>
                <w:szCs w:val="20"/>
                <w:lang w:eastAsia="cs-CZ"/>
              </w:rPr>
            </w:pPr>
            <w:r w:rsidRPr="00DA77A7">
              <w:rPr>
                <w:rFonts w:ascii="Calibri" w:eastAsia="Times New Roman" w:hAnsi="Calibri" w:cs="Arial"/>
                <w:sz w:val="20"/>
                <w:szCs w:val="20"/>
                <w:lang w:eastAsia="cs-CZ"/>
              </w:rPr>
              <w:t>Výzva k podpoře rekreačních pobytů dětí a mládeže DD ČR</w:t>
            </w:r>
          </w:p>
        </w:tc>
        <w:tc>
          <w:tcPr>
            <w:tcW w:w="1394" w:type="dxa"/>
            <w:tcBorders>
              <w:top w:val="nil"/>
              <w:left w:val="nil"/>
              <w:bottom w:val="single" w:sz="4" w:space="0" w:color="auto"/>
              <w:right w:val="single" w:sz="4" w:space="0" w:color="auto"/>
            </w:tcBorders>
            <w:shd w:val="clear" w:color="000000" w:fill="FFFFFF"/>
            <w:noWrap/>
            <w:vAlign w:val="bottom"/>
            <w:hideMark/>
          </w:tcPr>
          <w:p w14:paraId="2F3AB561"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0</w:t>
            </w:r>
          </w:p>
        </w:tc>
        <w:tc>
          <w:tcPr>
            <w:tcW w:w="1671" w:type="dxa"/>
            <w:tcBorders>
              <w:top w:val="nil"/>
              <w:left w:val="nil"/>
              <w:bottom w:val="single" w:sz="4" w:space="0" w:color="auto"/>
              <w:right w:val="single" w:sz="4" w:space="0" w:color="auto"/>
            </w:tcBorders>
            <w:shd w:val="clear" w:color="000000" w:fill="FFFFFF"/>
            <w:noWrap/>
            <w:vAlign w:val="bottom"/>
            <w:hideMark/>
          </w:tcPr>
          <w:p w14:paraId="7A4D2187"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410 400,00</w:t>
            </w:r>
          </w:p>
        </w:tc>
        <w:tc>
          <w:tcPr>
            <w:tcW w:w="1684" w:type="dxa"/>
            <w:tcBorders>
              <w:top w:val="nil"/>
              <w:left w:val="nil"/>
              <w:bottom w:val="single" w:sz="4" w:space="0" w:color="auto"/>
              <w:right w:val="single" w:sz="4" w:space="0" w:color="auto"/>
            </w:tcBorders>
            <w:shd w:val="clear" w:color="auto" w:fill="auto"/>
            <w:noWrap/>
            <w:vAlign w:val="bottom"/>
            <w:hideMark/>
          </w:tcPr>
          <w:p w14:paraId="7C0C2955"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407 700,00</w:t>
            </w:r>
          </w:p>
        </w:tc>
        <w:tc>
          <w:tcPr>
            <w:tcW w:w="576" w:type="dxa"/>
            <w:tcBorders>
              <w:top w:val="nil"/>
              <w:left w:val="nil"/>
              <w:bottom w:val="single" w:sz="4" w:space="0" w:color="auto"/>
              <w:right w:val="single" w:sz="8" w:space="0" w:color="auto"/>
            </w:tcBorders>
            <w:shd w:val="clear" w:color="auto" w:fill="auto"/>
            <w:noWrap/>
            <w:vAlign w:val="bottom"/>
            <w:hideMark/>
          </w:tcPr>
          <w:p w14:paraId="799A944B"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99,3</w:t>
            </w:r>
          </w:p>
        </w:tc>
      </w:tr>
      <w:tr w:rsidR="00AF5B41" w:rsidRPr="00DA77A7" w14:paraId="08B8BC4C"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noWrap/>
            <w:vAlign w:val="bottom"/>
            <w:hideMark/>
          </w:tcPr>
          <w:p w14:paraId="0DF9146E" w14:textId="77777777" w:rsidR="00DA77A7" w:rsidRPr="00DA77A7" w:rsidRDefault="00DA77A7" w:rsidP="00DA77A7">
            <w:pPr>
              <w:spacing w:after="0" w:line="240" w:lineRule="auto"/>
              <w:jc w:val="center"/>
              <w:rPr>
                <w:rFonts w:ascii="Calibri" w:eastAsia="Times New Roman" w:hAnsi="Calibri" w:cs="Arial"/>
                <w:sz w:val="20"/>
                <w:szCs w:val="20"/>
                <w:lang w:eastAsia="cs-CZ"/>
              </w:rPr>
            </w:pPr>
            <w:r w:rsidRPr="00DA77A7">
              <w:rPr>
                <w:rFonts w:ascii="Calibri" w:eastAsia="Times New Roman" w:hAnsi="Calibri" w:cs="Arial"/>
                <w:sz w:val="20"/>
                <w:szCs w:val="20"/>
                <w:lang w:eastAsia="cs-CZ"/>
              </w:rPr>
              <w:t>UZ 33083</w:t>
            </w:r>
          </w:p>
        </w:tc>
        <w:tc>
          <w:tcPr>
            <w:tcW w:w="4085" w:type="dxa"/>
            <w:tcBorders>
              <w:top w:val="nil"/>
              <w:left w:val="nil"/>
              <w:bottom w:val="single" w:sz="4" w:space="0" w:color="auto"/>
              <w:right w:val="single" w:sz="4" w:space="0" w:color="auto"/>
            </w:tcBorders>
            <w:shd w:val="clear" w:color="000000" w:fill="FFFFFF"/>
            <w:vAlign w:val="bottom"/>
            <w:hideMark/>
          </w:tcPr>
          <w:p w14:paraId="27917277" w14:textId="77777777" w:rsidR="00DA77A7" w:rsidRPr="00DA77A7" w:rsidRDefault="00DA77A7" w:rsidP="00DA77A7">
            <w:pPr>
              <w:spacing w:after="0" w:line="240" w:lineRule="auto"/>
              <w:rPr>
                <w:rFonts w:ascii="Calibri" w:eastAsia="Times New Roman" w:hAnsi="Calibri" w:cs="Arial"/>
                <w:sz w:val="20"/>
                <w:szCs w:val="20"/>
                <w:lang w:eastAsia="cs-CZ"/>
              </w:rPr>
            </w:pPr>
            <w:r w:rsidRPr="00DA77A7">
              <w:rPr>
                <w:rFonts w:ascii="Calibri" w:eastAsia="Times New Roman" w:hAnsi="Calibri" w:cs="Arial"/>
                <w:sz w:val="20"/>
                <w:szCs w:val="20"/>
                <w:lang w:eastAsia="cs-CZ"/>
              </w:rPr>
              <w:t>Neinvazivní RT-PCR testování</w:t>
            </w:r>
          </w:p>
        </w:tc>
        <w:tc>
          <w:tcPr>
            <w:tcW w:w="1394" w:type="dxa"/>
            <w:tcBorders>
              <w:top w:val="nil"/>
              <w:left w:val="nil"/>
              <w:bottom w:val="single" w:sz="4" w:space="0" w:color="auto"/>
              <w:right w:val="single" w:sz="4" w:space="0" w:color="auto"/>
            </w:tcBorders>
            <w:shd w:val="clear" w:color="000000" w:fill="FFFFFF"/>
            <w:noWrap/>
            <w:vAlign w:val="bottom"/>
            <w:hideMark/>
          </w:tcPr>
          <w:p w14:paraId="11E1030B"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0</w:t>
            </w:r>
          </w:p>
        </w:tc>
        <w:tc>
          <w:tcPr>
            <w:tcW w:w="1671" w:type="dxa"/>
            <w:tcBorders>
              <w:top w:val="nil"/>
              <w:left w:val="nil"/>
              <w:bottom w:val="single" w:sz="4" w:space="0" w:color="auto"/>
              <w:right w:val="single" w:sz="4" w:space="0" w:color="auto"/>
            </w:tcBorders>
            <w:shd w:val="clear" w:color="000000" w:fill="FFFFFF"/>
            <w:noWrap/>
            <w:vAlign w:val="bottom"/>
            <w:hideMark/>
          </w:tcPr>
          <w:p w14:paraId="003E7F3D"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13 767 125,00</w:t>
            </w:r>
          </w:p>
        </w:tc>
        <w:tc>
          <w:tcPr>
            <w:tcW w:w="1684" w:type="dxa"/>
            <w:tcBorders>
              <w:top w:val="nil"/>
              <w:left w:val="nil"/>
              <w:bottom w:val="single" w:sz="4" w:space="0" w:color="auto"/>
              <w:right w:val="single" w:sz="4" w:space="0" w:color="auto"/>
            </w:tcBorders>
            <w:shd w:val="clear" w:color="auto" w:fill="auto"/>
            <w:noWrap/>
            <w:vAlign w:val="bottom"/>
            <w:hideMark/>
          </w:tcPr>
          <w:p w14:paraId="78A3EA26"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13 718 100,00</w:t>
            </w:r>
          </w:p>
        </w:tc>
        <w:tc>
          <w:tcPr>
            <w:tcW w:w="576" w:type="dxa"/>
            <w:tcBorders>
              <w:top w:val="nil"/>
              <w:left w:val="nil"/>
              <w:bottom w:val="single" w:sz="4" w:space="0" w:color="auto"/>
              <w:right w:val="single" w:sz="8" w:space="0" w:color="auto"/>
            </w:tcBorders>
            <w:shd w:val="clear" w:color="auto" w:fill="auto"/>
            <w:noWrap/>
            <w:vAlign w:val="bottom"/>
            <w:hideMark/>
          </w:tcPr>
          <w:p w14:paraId="435AAD57"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99,6</w:t>
            </w:r>
          </w:p>
        </w:tc>
      </w:tr>
      <w:tr w:rsidR="00AF5B41" w:rsidRPr="00DA77A7" w14:paraId="6668C0AC"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noWrap/>
            <w:vAlign w:val="bottom"/>
            <w:hideMark/>
          </w:tcPr>
          <w:p w14:paraId="321C7359" w14:textId="77777777" w:rsidR="00DA77A7" w:rsidRPr="00DA77A7" w:rsidRDefault="00DA77A7" w:rsidP="00DA77A7">
            <w:pPr>
              <w:spacing w:after="0" w:line="240" w:lineRule="auto"/>
              <w:jc w:val="center"/>
              <w:rPr>
                <w:rFonts w:ascii="Calibri" w:eastAsia="Times New Roman" w:hAnsi="Calibri" w:cs="Arial"/>
                <w:sz w:val="20"/>
                <w:szCs w:val="20"/>
                <w:lang w:eastAsia="cs-CZ"/>
              </w:rPr>
            </w:pPr>
            <w:r w:rsidRPr="00DA77A7">
              <w:rPr>
                <w:rFonts w:ascii="Calibri" w:eastAsia="Times New Roman" w:hAnsi="Calibri" w:cs="Arial"/>
                <w:sz w:val="20"/>
                <w:szCs w:val="20"/>
                <w:lang w:eastAsia="cs-CZ"/>
              </w:rPr>
              <w:t>UZ 33084</w:t>
            </w:r>
          </w:p>
        </w:tc>
        <w:tc>
          <w:tcPr>
            <w:tcW w:w="4085" w:type="dxa"/>
            <w:tcBorders>
              <w:top w:val="nil"/>
              <w:left w:val="nil"/>
              <w:bottom w:val="single" w:sz="4" w:space="0" w:color="auto"/>
              <w:right w:val="single" w:sz="4" w:space="0" w:color="auto"/>
            </w:tcBorders>
            <w:shd w:val="clear" w:color="000000" w:fill="FFFFFF"/>
            <w:vAlign w:val="bottom"/>
            <w:hideMark/>
          </w:tcPr>
          <w:p w14:paraId="0881D89B" w14:textId="77777777" w:rsidR="00DA77A7" w:rsidRPr="00DA77A7" w:rsidRDefault="00DA77A7" w:rsidP="00DA77A7">
            <w:pPr>
              <w:spacing w:after="0" w:line="240" w:lineRule="auto"/>
              <w:rPr>
                <w:rFonts w:ascii="Calibri" w:eastAsia="Times New Roman" w:hAnsi="Calibri" w:cs="Arial"/>
                <w:sz w:val="20"/>
                <w:szCs w:val="20"/>
                <w:lang w:eastAsia="cs-CZ"/>
              </w:rPr>
            </w:pPr>
            <w:r w:rsidRPr="00DA77A7">
              <w:rPr>
                <w:rFonts w:ascii="Calibri" w:eastAsia="Times New Roman" w:hAnsi="Calibri" w:cs="Arial"/>
                <w:sz w:val="20"/>
                <w:szCs w:val="20"/>
                <w:lang w:eastAsia="cs-CZ"/>
              </w:rPr>
              <w:t>Spolu po COVIDu</w:t>
            </w:r>
          </w:p>
        </w:tc>
        <w:tc>
          <w:tcPr>
            <w:tcW w:w="1394" w:type="dxa"/>
            <w:tcBorders>
              <w:top w:val="nil"/>
              <w:left w:val="nil"/>
              <w:bottom w:val="single" w:sz="4" w:space="0" w:color="auto"/>
              <w:right w:val="single" w:sz="4" w:space="0" w:color="auto"/>
            </w:tcBorders>
            <w:shd w:val="clear" w:color="000000" w:fill="FFFFFF"/>
            <w:noWrap/>
            <w:vAlign w:val="bottom"/>
            <w:hideMark/>
          </w:tcPr>
          <w:p w14:paraId="785F596B"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0</w:t>
            </w:r>
          </w:p>
        </w:tc>
        <w:tc>
          <w:tcPr>
            <w:tcW w:w="1671" w:type="dxa"/>
            <w:tcBorders>
              <w:top w:val="nil"/>
              <w:left w:val="nil"/>
              <w:bottom w:val="single" w:sz="4" w:space="0" w:color="auto"/>
              <w:right w:val="single" w:sz="4" w:space="0" w:color="auto"/>
            </w:tcBorders>
            <w:shd w:val="clear" w:color="000000" w:fill="FFFFFF"/>
            <w:noWrap/>
            <w:vAlign w:val="bottom"/>
            <w:hideMark/>
          </w:tcPr>
          <w:p w14:paraId="7CF65707"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1 871 136,14</w:t>
            </w:r>
          </w:p>
        </w:tc>
        <w:tc>
          <w:tcPr>
            <w:tcW w:w="1684" w:type="dxa"/>
            <w:tcBorders>
              <w:top w:val="nil"/>
              <w:left w:val="nil"/>
              <w:bottom w:val="single" w:sz="4" w:space="0" w:color="auto"/>
              <w:right w:val="single" w:sz="4" w:space="0" w:color="auto"/>
            </w:tcBorders>
            <w:shd w:val="clear" w:color="auto" w:fill="auto"/>
            <w:noWrap/>
            <w:vAlign w:val="bottom"/>
            <w:hideMark/>
          </w:tcPr>
          <w:p w14:paraId="11759CCF"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1 782 524,93</w:t>
            </w:r>
          </w:p>
        </w:tc>
        <w:tc>
          <w:tcPr>
            <w:tcW w:w="576" w:type="dxa"/>
            <w:tcBorders>
              <w:top w:val="nil"/>
              <w:left w:val="nil"/>
              <w:bottom w:val="single" w:sz="4" w:space="0" w:color="auto"/>
              <w:right w:val="single" w:sz="8" w:space="0" w:color="auto"/>
            </w:tcBorders>
            <w:shd w:val="clear" w:color="auto" w:fill="auto"/>
            <w:noWrap/>
            <w:vAlign w:val="bottom"/>
            <w:hideMark/>
          </w:tcPr>
          <w:p w14:paraId="680D6F03"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95,3</w:t>
            </w:r>
          </w:p>
        </w:tc>
      </w:tr>
      <w:tr w:rsidR="00AF5B41" w:rsidRPr="00DA77A7" w14:paraId="40A1ED53"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noWrap/>
            <w:vAlign w:val="bottom"/>
            <w:hideMark/>
          </w:tcPr>
          <w:p w14:paraId="5BB4669E" w14:textId="77777777" w:rsidR="00DA77A7" w:rsidRPr="00DA77A7" w:rsidRDefault="00DA77A7" w:rsidP="00DA77A7">
            <w:pPr>
              <w:spacing w:after="0" w:line="240" w:lineRule="auto"/>
              <w:jc w:val="center"/>
              <w:rPr>
                <w:rFonts w:ascii="Calibri" w:eastAsia="Times New Roman" w:hAnsi="Calibri" w:cs="Arial"/>
                <w:sz w:val="20"/>
                <w:szCs w:val="20"/>
                <w:lang w:eastAsia="cs-CZ"/>
              </w:rPr>
            </w:pPr>
            <w:r w:rsidRPr="00DA77A7">
              <w:rPr>
                <w:rFonts w:ascii="Calibri" w:eastAsia="Times New Roman" w:hAnsi="Calibri" w:cs="Arial"/>
                <w:sz w:val="20"/>
                <w:szCs w:val="20"/>
                <w:lang w:eastAsia="cs-CZ"/>
              </w:rPr>
              <w:t>UZ 33085</w:t>
            </w:r>
          </w:p>
        </w:tc>
        <w:tc>
          <w:tcPr>
            <w:tcW w:w="4085" w:type="dxa"/>
            <w:tcBorders>
              <w:top w:val="nil"/>
              <w:left w:val="nil"/>
              <w:bottom w:val="single" w:sz="4" w:space="0" w:color="auto"/>
              <w:right w:val="single" w:sz="4" w:space="0" w:color="auto"/>
            </w:tcBorders>
            <w:shd w:val="clear" w:color="000000" w:fill="FFFFFF"/>
            <w:vAlign w:val="bottom"/>
            <w:hideMark/>
          </w:tcPr>
          <w:p w14:paraId="32D196F6" w14:textId="77777777" w:rsidR="00DA77A7" w:rsidRPr="00DA77A7" w:rsidRDefault="00DA77A7" w:rsidP="00DA77A7">
            <w:pPr>
              <w:spacing w:after="0" w:line="240" w:lineRule="auto"/>
              <w:rPr>
                <w:rFonts w:ascii="Calibri" w:eastAsia="Times New Roman" w:hAnsi="Calibri" w:cs="Arial"/>
                <w:sz w:val="20"/>
                <w:szCs w:val="20"/>
                <w:lang w:eastAsia="cs-CZ"/>
              </w:rPr>
            </w:pPr>
            <w:r w:rsidRPr="00DA77A7">
              <w:rPr>
                <w:rFonts w:ascii="Calibri" w:eastAsia="Times New Roman" w:hAnsi="Calibri" w:cs="Arial"/>
                <w:sz w:val="20"/>
                <w:szCs w:val="20"/>
                <w:lang w:eastAsia="cs-CZ"/>
              </w:rPr>
              <w:t>Fond solidarity EU - RT-PCR testování dětí a žáků</w:t>
            </w:r>
          </w:p>
        </w:tc>
        <w:tc>
          <w:tcPr>
            <w:tcW w:w="1394" w:type="dxa"/>
            <w:tcBorders>
              <w:top w:val="nil"/>
              <w:left w:val="nil"/>
              <w:bottom w:val="single" w:sz="4" w:space="0" w:color="auto"/>
              <w:right w:val="single" w:sz="4" w:space="0" w:color="auto"/>
            </w:tcBorders>
            <w:shd w:val="clear" w:color="000000" w:fill="FFFFFF"/>
            <w:noWrap/>
            <w:vAlign w:val="bottom"/>
            <w:hideMark/>
          </w:tcPr>
          <w:p w14:paraId="2D9933DC"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0</w:t>
            </w:r>
          </w:p>
        </w:tc>
        <w:tc>
          <w:tcPr>
            <w:tcW w:w="1671" w:type="dxa"/>
            <w:tcBorders>
              <w:top w:val="nil"/>
              <w:left w:val="nil"/>
              <w:bottom w:val="single" w:sz="4" w:space="0" w:color="auto"/>
              <w:right w:val="single" w:sz="4" w:space="0" w:color="auto"/>
            </w:tcBorders>
            <w:shd w:val="clear" w:color="000000" w:fill="FFFFFF"/>
            <w:noWrap/>
            <w:vAlign w:val="bottom"/>
            <w:hideMark/>
          </w:tcPr>
          <w:p w14:paraId="69674640"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5 478 550,00</w:t>
            </w:r>
          </w:p>
        </w:tc>
        <w:tc>
          <w:tcPr>
            <w:tcW w:w="1684" w:type="dxa"/>
            <w:tcBorders>
              <w:top w:val="nil"/>
              <w:left w:val="nil"/>
              <w:bottom w:val="single" w:sz="4" w:space="0" w:color="auto"/>
              <w:right w:val="single" w:sz="4" w:space="0" w:color="auto"/>
            </w:tcBorders>
            <w:shd w:val="clear" w:color="auto" w:fill="auto"/>
            <w:noWrap/>
            <w:vAlign w:val="bottom"/>
            <w:hideMark/>
          </w:tcPr>
          <w:p w14:paraId="39FF0275"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5 454 985,00</w:t>
            </w:r>
          </w:p>
        </w:tc>
        <w:tc>
          <w:tcPr>
            <w:tcW w:w="576" w:type="dxa"/>
            <w:tcBorders>
              <w:top w:val="nil"/>
              <w:left w:val="nil"/>
              <w:bottom w:val="single" w:sz="4" w:space="0" w:color="auto"/>
              <w:right w:val="single" w:sz="8" w:space="0" w:color="auto"/>
            </w:tcBorders>
            <w:shd w:val="clear" w:color="auto" w:fill="auto"/>
            <w:noWrap/>
            <w:vAlign w:val="bottom"/>
            <w:hideMark/>
          </w:tcPr>
          <w:p w14:paraId="070E09FD"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99,6</w:t>
            </w:r>
          </w:p>
        </w:tc>
      </w:tr>
      <w:tr w:rsidR="00AF5B41" w:rsidRPr="00DA77A7" w14:paraId="7784EB4C"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noWrap/>
            <w:vAlign w:val="bottom"/>
            <w:hideMark/>
          </w:tcPr>
          <w:p w14:paraId="1F1A6EC2" w14:textId="77777777" w:rsidR="00DA77A7" w:rsidRPr="00DA77A7" w:rsidRDefault="00DA77A7" w:rsidP="00DA77A7">
            <w:pPr>
              <w:spacing w:after="0" w:line="240" w:lineRule="auto"/>
              <w:jc w:val="center"/>
              <w:rPr>
                <w:rFonts w:ascii="Calibri" w:eastAsia="Times New Roman" w:hAnsi="Calibri" w:cs="Arial"/>
                <w:sz w:val="20"/>
                <w:szCs w:val="20"/>
                <w:lang w:eastAsia="cs-CZ"/>
              </w:rPr>
            </w:pPr>
            <w:r w:rsidRPr="00DA77A7">
              <w:rPr>
                <w:rFonts w:ascii="Calibri" w:eastAsia="Times New Roman" w:hAnsi="Calibri" w:cs="Arial"/>
                <w:sz w:val="20"/>
                <w:szCs w:val="20"/>
                <w:lang w:eastAsia="cs-CZ"/>
              </w:rPr>
              <w:t>UZ 33155</w:t>
            </w:r>
          </w:p>
        </w:tc>
        <w:tc>
          <w:tcPr>
            <w:tcW w:w="4085" w:type="dxa"/>
            <w:tcBorders>
              <w:top w:val="nil"/>
              <w:left w:val="nil"/>
              <w:bottom w:val="single" w:sz="4" w:space="0" w:color="auto"/>
              <w:right w:val="single" w:sz="4" w:space="0" w:color="auto"/>
            </w:tcBorders>
            <w:shd w:val="clear" w:color="000000" w:fill="FFFFFF"/>
            <w:vAlign w:val="bottom"/>
            <w:hideMark/>
          </w:tcPr>
          <w:p w14:paraId="5417C7A4" w14:textId="77777777" w:rsidR="00DA77A7" w:rsidRPr="00DA77A7" w:rsidRDefault="00DA77A7" w:rsidP="00DA77A7">
            <w:pPr>
              <w:spacing w:after="0" w:line="240" w:lineRule="auto"/>
              <w:rPr>
                <w:rFonts w:ascii="Calibri" w:eastAsia="Times New Roman" w:hAnsi="Calibri" w:cs="Arial"/>
                <w:sz w:val="20"/>
                <w:szCs w:val="20"/>
                <w:lang w:eastAsia="cs-CZ"/>
              </w:rPr>
            </w:pPr>
            <w:r w:rsidRPr="00DA77A7">
              <w:rPr>
                <w:rFonts w:ascii="Calibri" w:eastAsia="Times New Roman" w:hAnsi="Calibri" w:cs="Arial"/>
                <w:sz w:val="20"/>
                <w:szCs w:val="20"/>
                <w:lang w:eastAsia="cs-CZ"/>
              </w:rPr>
              <w:t>Dotace pro soukromé školy</w:t>
            </w:r>
          </w:p>
        </w:tc>
        <w:tc>
          <w:tcPr>
            <w:tcW w:w="1394" w:type="dxa"/>
            <w:tcBorders>
              <w:top w:val="nil"/>
              <w:left w:val="nil"/>
              <w:bottom w:val="single" w:sz="4" w:space="0" w:color="auto"/>
              <w:right w:val="single" w:sz="4" w:space="0" w:color="auto"/>
            </w:tcBorders>
            <w:shd w:val="clear" w:color="000000" w:fill="FFFFFF"/>
            <w:noWrap/>
            <w:vAlign w:val="bottom"/>
            <w:hideMark/>
          </w:tcPr>
          <w:p w14:paraId="2F52BD24"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950 000 000</w:t>
            </w:r>
          </w:p>
        </w:tc>
        <w:tc>
          <w:tcPr>
            <w:tcW w:w="1671" w:type="dxa"/>
            <w:tcBorders>
              <w:top w:val="nil"/>
              <w:left w:val="nil"/>
              <w:bottom w:val="single" w:sz="4" w:space="0" w:color="auto"/>
              <w:right w:val="single" w:sz="4" w:space="0" w:color="auto"/>
            </w:tcBorders>
            <w:shd w:val="clear" w:color="000000" w:fill="FFFFFF"/>
            <w:noWrap/>
            <w:vAlign w:val="bottom"/>
            <w:hideMark/>
          </w:tcPr>
          <w:p w14:paraId="142ECA66"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1 144 691 679,00</w:t>
            </w:r>
          </w:p>
        </w:tc>
        <w:tc>
          <w:tcPr>
            <w:tcW w:w="1684" w:type="dxa"/>
            <w:tcBorders>
              <w:top w:val="nil"/>
              <w:left w:val="nil"/>
              <w:bottom w:val="single" w:sz="4" w:space="0" w:color="auto"/>
              <w:right w:val="single" w:sz="4" w:space="0" w:color="auto"/>
            </w:tcBorders>
            <w:shd w:val="clear" w:color="auto" w:fill="auto"/>
            <w:noWrap/>
            <w:vAlign w:val="bottom"/>
            <w:hideMark/>
          </w:tcPr>
          <w:p w14:paraId="621766FF"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1 144 671 151,00</w:t>
            </w:r>
          </w:p>
        </w:tc>
        <w:tc>
          <w:tcPr>
            <w:tcW w:w="576" w:type="dxa"/>
            <w:tcBorders>
              <w:top w:val="nil"/>
              <w:left w:val="nil"/>
              <w:bottom w:val="single" w:sz="4" w:space="0" w:color="auto"/>
              <w:right w:val="single" w:sz="8" w:space="0" w:color="auto"/>
            </w:tcBorders>
            <w:shd w:val="clear" w:color="auto" w:fill="auto"/>
            <w:noWrap/>
            <w:vAlign w:val="bottom"/>
            <w:hideMark/>
          </w:tcPr>
          <w:p w14:paraId="36D72A77"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100,0</w:t>
            </w:r>
          </w:p>
        </w:tc>
      </w:tr>
      <w:tr w:rsidR="00AF5B41" w:rsidRPr="00DA77A7" w14:paraId="4DF18173"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noWrap/>
            <w:vAlign w:val="bottom"/>
            <w:hideMark/>
          </w:tcPr>
          <w:p w14:paraId="4143BB2B" w14:textId="77777777" w:rsidR="00DA77A7" w:rsidRPr="00DA77A7" w:rsidRDefault="00DA77A7" w:rsidP="00DA77A7">
            <w:pPr>
              <w:spacing w:after="0" w:line="240" w:lineRule="auto"/>
              <w:jc w:val="center"/>
              <w:rPr>
                <w:rFonts w:ascii="Calibri" w:eastAsia="Times New Roman" w:hAnsi="Calibri" w:cs="Arial"/>
                <w:sz w:val="20"/>
                <w:szCs w:val="20"/>
                <w:lang w:eastAsia="cs-CZ"/>
              </w:rPr>
            </w:pPr>
            <w:r w:rsidRPr="00DA77A7">
              <w:rPr>
                <w:rFonts w:ascii="Calibri" w:eastAsia="Times New Roman" w:hAnsi="Calibri" w:cs="Arial"/>
                <w:sz w:val="20"/>
                <w:szCs w:val="20"/>
                <w:lang w:eastAsia="cs-CZ"/>
              </w:rPr>
              <w:t>UZ 33160</w:t>
            </w:r>
          </w:p>
        </w:tc>
        <w:tc>
          <w:tcPr>
            <w:tcW w:w="4085" w:type="dxa"/>
            <w:tcBorders>
              <w:top w:val="nil"/>
              <w:left w:val="nil"/>
              <w:bottom w:val="single" w:sz="4" w:space="0" w:color="auto"/>
              <w:right w:val="single" w:sz="4" w:space="0" w:color="auto"/>
            </w:tcBorders>
            <w:shd w:val="clear" w:color="000000" w:fill="FFFFFF"/>
            <w:vAlign w:val="bottom"/>
            <w:hideMark/>
          </w:tcPr>
          <w:p w14:paraId="5E704480" w14:textId="77777777" w:rsidR="00DA77A7" w:rsidRPr="00DA77A7" w:rsidRDefault="00DA77A7" w:rsidP="00DA77A7">
            <w:pPr>
              <w:spacing w:after="0" w:line="240" w:lineRule="auto"/>
              <w:rPr>
                <w:rFonts w:ascii="Calibri" w:eastAsia="Times New Roman" w:hAnsi="Calibri" w:cs="Arial"/>
                <w:sz w:val="20"/>
                <w:szCs w:val="20"/>
                <w:lang w:eastAsia="cs-CZ"/>
              </w:rPr>
            </w:pPr>
            <w:r w:rsidRPr="00DA77A7">
              <w:rPr>
                <w:rFonts w:ascii="Calibri" w:eastAsia="Times New Roman" w:hAnsi="Calibri" w:cs="Arial"/>
                <w:sz w:val="20"/>
                <w:szCs w:val="20"/>
                <w:lang w:eastAsia="cs-CZ"/>
              </w:rPr>
              <w:t>Projekty romské komunity</w:t>
            </w:r>
          </w:p>
        </w:tc>
        <w:tc>
          <w:tcPr>
            <w:tcW w:w="1394" w:type="dxa"/>
            <w:tcBorders>
              <w:top w:val="nil"/>
              <w:left w:val="nil"/>
              <w:bottom w:val="single" w:sz="4" w:space="0" w:color="auto"/>
              <w:right w:val="single" w:sz="4" w:space="0" w:color="auto"/>
            </w:tcBorders>
            <w:shd w:val="clear" w:color="000000" w:fill="FFFFFF"/>
            <w:noWrap/>
            <w:vAlign w:val="bottom"/>
            <w:hideMark/>
          </w:tcPr>
          <w:p w14:paraId="1400C136"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0</w:t>
            </w:r>
          </w:p>
        </w:tc>
        <w:tc>
          <w:tcPr>
            <w:tcW w:w="1671" w:type="dxa"/>
            <w:tcBorders>
              <w:top w:val="nil"/>
              <w:left w:val="nil"/>
              <w:bottom w:val="single" w:sz="4" w:space="0" w:color="auto"/>
              <w:right w:val="single" w:sz="4" w:space="0" w:color="auto"/>
            </w:tcBorders>
            <w:shd w:val="clear" w:color="000000" w:fill="FFFFFF"/>
            <w:noWrap/>
            <w:vAlign w:val="bottom"/>
            <w:hideMark/>
          </w:tcPr>
          <w:p w14:paraId="7C00FEDE"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41 635,00</w:t>
            </w:r>
          </w:p>
        </w:tc>
        <w:tc>
          <w:tcPr>
            <w:tcW w:w="1684" w:type="dxa"/>
            <w:tcBorders>
              <w:top w:val="nil"/>
              <w:left w:val="nil"/>
              <w:bottom w:val="single" w:sz="4" w:space="0" w:color="auto"/>
              <w:right w:val="single" w:sz="4" w:space="0" w:color="auto"/>
            </w:tcBorders>
            <w:shd w:val="clear" w:color="auto" w:fill="auto"/>
            <w:noWrap/>
            <w:vAlign w:val="bottom"/>
            <w:hideMark/>
          </w:tcPr>
          <w:p w14:paraId="4D3E8B13"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41 635,00</w:t>
            </w:r>
          </w:p>
        </w:tc>
        <w:tc>
          <w:tcPr>
            <w:tcW w:w="576" w:type="dxa"/>
            <w:tcBorders>
              <w:top w:val="nil"/>
              <w:left w:val="nil"/>
              <w:bottom w:val="single" w:sz="4" w:space="0" w:color="auto"/>
              <w:right w:val="single" w:sz="8" w:space="0" w:color="auto"/>
            </w:tcBorders>
            <w:shd w:val="clear" w:color="auto" w:fill="auto"/>
            <w:noWrap/>
            <w:vAlign w:val="bottom"/>
            <w:hideMark/>
          </w:tcPr>
          <w:p w14:paraId="736A3EA0"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100,0</w:t>
            </w:r>
          </w:p>
        </w:tc>
      </w:tr>
      <w:tr w:rsidR="00AF5B41" w:rsidRPr="00DA77A7" w14:paraId="3F712253"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noWrap/>
            <w:vAlign w:val="bottom"/>
            <w:hideMark/>
          </w:tcPr>
          <w:p w14:paraId="45000666" w14:textId="77777777" w:rsidR="00DA77A7" w:rsidRPr="00DA77A7" w:rsidRDefault="00DA77A7" w:rsidP="00DA77A7">
            <w:pPr>
              <w:spacing w:after="0" w:line="240" w:lineRule="auto"/>
              <w:jc w:val="center"/>
              <w:rPr>
                <w:rFonts w:ascii="Calibri" w:eastAsia="Times New Roman" w:hAnsi="Calibri" w:cs="Arial"/>
                <w:sz w:val="20"/>
                <w:szCs w:val="20"/>
                <w:lang w:eastAsia="cs-CZ"/>
              </w:rPr>
            </w:pPr>
            <w:r w:rsidRPr="00DA77A7">
              <w:rPr>
                <w:rFonts w:ascii="Calibri" w:eastAsia="Times New Roman" w:hAnsi="Calibri" w:cs="Arial"/>
                <w:sz w:val="20"/>
                <w:szCs w:val="20"/>
                <w:lang w:eastAsia="cs-CZ"/>
              </w:rPr>
              <w:t>UZ 33166</w:t>
            </w:r>
          </w:p>
        </w:tc>
        <w:tc>
          <w:tcPr>
            <w:tcW w:w="4085" w:type="dxa"/>
            <w:tcBorders>
              <w:top w:val="nil"/>
              <w:left w:val="nil"/>
              <w:bottom w:val="single" w:sz="4" w:space="0" w:color="auto"/>
              <w:right w:val="single" w:sz="4" w:space="0" w:color="auto"/>
            </w:tcBorders>
            <w:shd w:val="clear" w:color="000000" w:fill="FFFFFF"/>
            <w:vAlign w:val="bottom"/>
            <w:hideMark/>
          </w:tcPr>
          <w:p w14:paraId="2D0246EE" w14:textId="77777777" w:rsidR="00DA77A7" w:rsidRPr="00DA77A7" w:rsidRDefault="00DA77A7" w:rsidP="00DA77A7">
            <w:pPr>
              <w:spacing w:after="0" w:line="240" w:lineRule="auto"/>
              <w:rPr>
                <w:rFonts w:ascii="Calibri" w:eastAsia="Times New Roman" w:hAnsi="Calibri" w:cs="Arial"/>
                <w:sz w:val="20"/>
                <w:szCs w:val="20"/>
                <w:lang w:eastAsia="cs-CZ"/>
              </w:rPr>
            </w:pPr>
            <w:r w:rsidRPr="00DA77A7">
              <w:rPr>
                <w:rFonts w:ascii="Calibri" w:eastAsia="Times New Roman" w:hAnsi="Calibri" w:cs="Arial"/>
                <w:sz w:val="20"/>
                <w:szCs w:val="20"/>
                <w:lang w:eastAsia="cs-CZ"/>
              </w:rPr>
              <w:t>Soutěže</w:t>
            </w:r>
          </w:p>
        </w:tc>
        <w:tc>
          <w:tcPr>
            <w:tcW w:w="1394" w:type="dxa"/>
            <w:tcBorders>
              <w:top w:val="nil"/>
              <w:left w:val="nil"/>
              <w:bottom w:val="single" w:sz="4" w:space="0" w:color="auto"/>
              <w:right w:val="single" w:sz="4" w:space="0" w:color="auto"/>
            </w:tcBorders>
            <w:shd w:val="clear" w:color="000000" w:fill="FFFFFF"/>
            <w:noWrap/>
            <w:vAlign w:val="bottom"/>
            <w:hideMark/>
          </w:tcPr>
          <w:p w14:paraId="4B67E410"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0</w:t>
            </w:r>
          </w:p>
        </w:tc>
        <w:tc>
          <w:tcPr>
            <w:tcW w:w="1671" w:type="dxa"/>
            <w:tcBorders>
              <w:top w:val="nil"/>
              <w:left w:val="nil"/>
              <w:bottom w:val="single" w:sz="4" w:space="0" w:color="auto"/>
              <w:right w:val="single" w:sz="4" w:space="0" w:color="auto"/>
            </w:tcBorders>
            <w:shd w:val="clear" w:color="000000" w:fill="FFFFFF"/>
            <w:noWrap/>
            <w:vAlign w:val="bottom"/>
            <w:hideMark/>
          </w:tcPr>
          <w:p w14:paraId="6BA51E37"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1 884 873,88</w:t>
            </w:r>
          </w:p>
        </w:tc>
        <w:tc>
          <w:tcPr>
            <w:tcW w:w="1684" w:type="dxa"/>
            <w:tcBorders>
              <w:top w:val="nil"/>
              <w:left w:val="nil"/>
              <w:bottom w:val="single" w:sz="4" w:space="0" w:color="auto"/>
              <w:right w:val="single" w:sz="4" w:space="0" w:color="auto"/>
            </w:tcBorders>
            <w:shd w:val="clear" w:color="auto" w:fill="auto"/>
            <w:noWrap/>
            <w:vAlign w:val="bottom"/>
            <w:hideMark/>
          </w:tcPr>
          <w:p w14:paraId="38850D1B"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1 527 883,88</w:t>
            </w:r>
          </w:p>
        </w:tc>
        <w:tc>
          <w:tcPr>
            <w:tcW w:w="576" w:type="dxa"/>
            <w:tcBorders>
              <w:top w:val="nil"/>
              <w:left w:val="nil"/>
              <w:bottom w:val="single" w:sz="4" w:space="0" w:color="auto"/>
              <w:right w:val="single" w:sz="8" w:space="0" w:color="auto"/>
            </w:tcBorders>
            <w:shd w:val="clear" w:color="auto" w:fill="auto"/>
            <w:noWrap/>
            <w:vAlign w:val="bottom"/>
            <w:hideMark/>
          </w:tcPr>
          <w:p w14:paraId="635498A7"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81,1</w:t>
            </w:r>
          </w:p>
        </w:tc>
      </w:tr>
      <w:tr w:rsidR="00AF5B41" w:rsidRPr="00DA77A7" w14:paraId="70CCCAFE"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noWrap/>
            <w:vAlign w:val="bottom"/>
            <w:hideMark/>
          </w:tcPr>
          <w:p w14:paraId="723E93F4" w14:textId="77777777" w:rsidR="00DA77A7" w:rsidRPr="00DA77A7" w:rsidRDefault="00DA77A7" w:rsidP="00DA77A7">
            <w:pPr>
              <w:spacing w:after="0" w:line="240" w:lineRule="auto"/>
              <w:jc w:val="center"/>
              <w:rPr>
                <w:rFonts w:ascii="Calibri" w:eastAsia="Times New Roman" w:hAnsi="Calibri" w:cs="Arial"/>
                <w:sz w:val="20"/>
                <w:szCs w:val="20"/>
                <w:lang w:eastAsia="cs-CZ"/>
              </w:rPr>
            </w:pPr>
            <w:r w:rsidRPr="00DA77A7">
              <w:rPr>
                <w:rFonts w:ascii="Calibri" w:eastAsia="Times New Roman" w:hAnsi="Calibri" w:cs="Arial"/>
                <w:sz w:val="20"/>
                <w:szCs w:val="20"/>
                <w:lang w:eastAsia="cs-CZ"/>
              </w:rPr>
              <w:t>UZ 33353</w:t>
            </w:r>
          </w:p>
        </w:tc>
        <w:tc>
          <w:tcPr>
            <w:tcW w:w="4085" w:type="dxa"/>
            <w:tcBorders>
              <w:top w:val="nil"/>
              <w:left w:val="nil"/>
              <w:bottom w:val="single" w:sz="4" w:space="0" w:color="auto"/>
              <w:right w:val="single" w:sz="4" w:space="0" w:color="auto"/>
            </w:tcBorders>
            <w:shd w:val="clear" w:color="000000" w:fill="FFFFFF"/>
            <w:vAlign w:val="bottom"/>
            <w:hideMark/>
          </w:tcPr>
          <w:p w14:paraId="65BEF49E" w14:textId="77777777" w:rsidR="00DA77A7" w:rsidRPr="00DA77A7" w:rsidRDefault="00DA77A7" w:rsidP="00DA77A7">
            <w:pPr>
              <w:spacing w:after="0" w:line="240" w:lineRule="auto"/>
              <w:rPr>
                <w:rFonts w:ascii="Calibri" w:eastAsia="Times New Roman" w:hAnsi="Calibri" w:cs="Arial"/>
                <w:sz w:val="20"/>
                <w:szCs w:val="20"/>
                <w:lang w:eastAsia="cs-CZ"/>
              </w:rPr>
            </w:pPr>
            <w:r w:rsidRPr="00DA77A7">
              <w:rPr>
                <w:rFonts w:ascii="Calibri" w:eastAsia="Times New Roman" w:hAnsi="Calibri" w:cs="Arial"/>
                <w:sz w:val="20"/>
                <w:szCs w:val="20"/>
                <w:lang w:eastAsia="cs-CZ"/>
              </w:rPr>
              <w:t>Přímé náklady na vzdělávání - krajské a obecní školy</w:t>
            </w:r>
          </w:p>
        </w:tc>
        <w:tc>
          <w:tcPr>
            <w:tcW w:w="1394" w:type="dxa"/>
            <w:tcBorders>
              <w:top w:val="nil"/>
              <w:left w:val="nil"/>
              <w:bottom w:val="single" w:sz="4" w:space="0" w:color="auto"/>
              <w:right w:val="single" w:sz="4" w:space="0" w:color="auto"/>
            </w:tcBorders>
            <w:shd w:val="clear" w:color="000000" w:fill="FFFFFF"/>
            <w:noWrap/>
            <w:vAlign w:val="bottom"/>
            <w:hideMark/>
          </w:tcPr>
          <w:p w14:paraId="69BB50B3"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20 106 000 000</w:t>
            </w:r>
          </w:p>
        </w:tc>
        <w:tc>
          <w:tcPr>
            <w:tcW w:w="1671" w:type="dxa"/>
            <w:tcBorders>
              <w:top w:val="nil"/>
              <w:left w:val="nil"/>
              <w:bottom w:val="single" w:sz="4" w:space="0" w:color="auto"/>
              <w:right w:val="single" w:sz="4" w:space="0" w:color="auto"/>
            </w:tcBorders>
            <w:shd w:val="clear" w:color="000000" w:fill="FFFFFF"/>
            <w:noWrap/>
            <w:vAlign w:val="bottom"/>
            <w:hideMark/>
          </w:tcPr>
          <w:p w14:paraId="5213D42B"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20 994 830 307,72</w:t>
            </w:r>
          </w:p>
        </w:tc>
        <w:tc>
          <w:tcPr>
            <w:tcW w:w="1684" w:type="dxa"/>
            <w:tcBorders>
              <w:top w:val="nil"/>
              <w:left w:val="nil"/>
              <w:bottom w:val="single" w:sz="4" w:space="0" w:color="auto"/>
              <w:right w:val="single" w:sz="4" w:space="0" w:color="auto"/>
            </w:tcBorders>
            <w:shd w:val="clear" w:color="auto" w:fill="auto"/>
            <w:noWrap/>
            <w:vAlign w:val="bottom"/>
            <w:hideMark/>
          </w:tcPr>
          <w:p w14:paraId="5DBF5A19"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20 993 936 814,72</w:t>
            </w:r>
          </w:p>
        </w:tc>
        <w:tc>
          <w:tcPr>
            <w:tcW w:w="576" w:type="dxa"/>
            <w:tcBorders>
              <w:top w:val="nil"/>
              <w:left w:val="nil"/>
              <w:bottom w:val="single" w:sz="4" w:space="0" w:color="auto"/>
              <w:right w:val="single" w:sz="8" w:space="0" w:color="auto"/>
            </w:tcBorders>
            <w:shd w:val="clear" w:color="auto" w:fill="auto"/>
            <w:noWrap/>
            <w:vAlign w:val="bottom"/>
            <w:hideMark/>
          </w:tcPr>
          <w:p w14:paraId="10F0612E"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100,0</w:t>
            </w:r>
          </w:p>
        </w:tc>
      </w:tr>
      <w:tr w:rsidR="00AF5B41" w:rsidRPr="00DA77A7" w14:paraId="4FA0F9FC"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noWrap/>
            <w:vAlign w:val="bottom"/>
            <w:hideMark/>
          </w:tcPr>
          <w:p w14:paraId="7B9475B2" w14:textId="77777777" w:rsidR="00DA77A7" w:rsidRPr="00DA77A7" w:rsidRDefault="00DA77A7" w:rsidP="00DA77A7">
            <w:pPr>
              <w:spacing w:after="0" w:line="240" w:lineRule="auto"/>
              <w:jc w:val="center"/>
              <w:rPr>
                <w:rFonts w:ascii="Calibri" w:eastAsia="Times New Roman" w:hAnsi="Calibri" w:cs="Arial"/>
                <w:sz w:val="20"/>
                <w:szCs w:val="20"/>
                <w:lang w:eastAsia="cs-CZ"/>
              </w:rPr>
            </w:pPr>
            <w:r w:rsidRPr="00DA77A7">
              <w:rPr>
                <w:rFonts w:ascii="Calibri" w:eastAsia="Times New Roman" w:hAnsi="Calibri" w:cs="Arial"/>
                <w:sz w:val="20"/>
                <w:szCs w:val="20"/>
                <w:lang w:eastAsia="cs-CZ"/>
              </w:rPr>
              <w:t>UZ 33354</w:t>
            </w:r>
          </w:p>
        </w:tc>
        <w:tc>
          <w:tcPr>
            <w:tcW w:w="4085" w:type="dxa"/>
            <w:tcBorders>
              <w:top w:val="nil"/>
              <w:left w:val="nil"/>
              <w:bottom w:val="single" w:sz="4" w:space="0" w:color="auto"/>
              <w:right w:val="single" w:sz="4" w:space="0" w:color="auto"/>
            </w:tcBorders>
            <w:shd w:val="clear" w:color="000000" w:fill="FFFFFF"/>
            <w:vAlign w:val="bottom"/>
            <w:hideMark/>
          </w:tcPr>
          <w:p w14:paraId="09741E96" w14:textId="77777777" w:rsidR="00DA77A7" w:rsidRPr="00DA77A7" w:rsidRDefault="00DA77A7" w:rsidP="00DA77A7">
            <w:pPr>
              <w:spacing w:after="0" w:line="240" w:lineRule="auto"/>
              <w:rPr>
                <w:rFonts w:ascii="Calibri" w:eastAsia="Times New Roman" w:hAnsi="Calibri" w:cs="Arial"/>
                <w:sz w:val="20"/>
                <w:szCs w:val="20"/>
                <w:lang w:eastAsia="cs-CZ"/>
              </w:rPr>
            </w:pPr>
            <w:r w:rsidRPr="00DA77A7">
              <w:rPr>
                <w:rFonts w:ascii="Calibri" w:eastAsia="Times New Roman" w:hAnsi="Calibri" w:cs="Arial"/>
                <w:sz w:val="20"/>
                <w:szCs w:val="20"/>
                <w:lang w:eastAsia="cs-CZ"/>
              </w:rPr>
              <w:t>Přímé náklady na vzdělávání - sportovní gymnázia</w:t>
            </w:r>
          </w:p>
        </w:tc>
        <w:tc>
          <w:tcPr>
            <w:tcW w:w="1394" w:type="dxa"/>
            <w:tcBorders>
              <w:top w:val="nil"/>
              <w:left w:val="nil"/>
              <w:bottom w:val="single" w:sz="4" w:space="0" w:color="auto"/>
              <w:right w:val="single" w:sz="4" w:space="0" w:color="auto"/>
            </w:tcBorders>
            <w:shd w:val="clear" w:color="000000" w:fill="FFFFFF"/>
            <w:noWrap/>
            <w:vAlign w:val="bottom"/>
            <w:hideMark/>
          </w:tcPr>
          <w:p w14:paraId="46C609C7"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0</w:t>
            </w:r>
          </w:p>
        </w:tc>
        <w:tc>
          <w:tcPr>
            <w:tcW w:w="1671" w:type="dxa"/>
            <w:tcBorders>
              <w:top w:val="nil"/>
              <w:left w:val="nil"/>
              <w:bottom w:val="single" w:sz="4" w:space="0" w:color="auto"/>
              <w:right w:val="single" w:sz="4" w:space="0" w:color="auto"/>
            </w:tcBorders>
            <w:shd w:val="clear" w:color="000000" w:fill="FFFFFF"/>
            <w:noWrap/>
            <w:vAlign w:val="bottom"/>
            <w:hideMark/>
          </w:tcPr>
          <w:p w14:paraId="3671F45B"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1 152 000,00</w:t>
            </w:r>
          </w:p>
        </w:tc>
        <w:tc>
          <w:tcPr>
            <w:tcW w:w="1684" w:type="dxa"/>
            <w:tcBorders>
              <w:top w:val="nil"/>
              <w:left w:val="nil"/>
              <w:bottom w:val="single" w:sz="4" w:space="0" w:color="auto"/>
              <w:right w:val="single" w:sz="4" w:space="0" w:color="auto"/>
            </w:tcBorders>
            <w:shd w:val="clear" w:color="auto" w:fill="auto"/>
            <w:noWrap/>
            <w:vAlign w:val="bottom"/>
            <w:hideMark/>
          </w:tcPr>
          <w:p w14:paraId="4CB81176"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1 152 000,00</w:t>
            </w:r>
          </w:p>
        </w:tc>
        <w:tc>
          <w:tcPr>
            <w:tcW w:w="576" w:type="dxa"/>
            <w:tcBorders>
              <w:top w:val="nil"/>
              <w:left w:val="nil"/>
              <w:bottom w:val="single" w:sz="4" w:space="0" w:color="auto"/>
              <w:right w:val="single" w:sz="8" w:space="0" w:color="auto"/>
            </w:tcBorders>
            <w:shd w:val="clear" w:color="auto" w:fill="auto"/>
            <w:noWrap/>
            <w:vAlign w:val="bottom"/>
            <w:hideMark/>
          </w:tcPr>
          <w:p w14:paraId="4C82C3DE"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100,0</w:t>
            </w:r>
          </w:p>
        </w:tc>
      </w:tr>
      <w:tr w:rsidR="00AF5B41" w:rsidRPr="00DA77A7" w14:paraId="6FB3426A" w14:textId="77777777" w:rsidTr="0042584A">
        <w:trPr>
          <w:trHeight w:val="300"/>
        </w:trPr>
        <w:tc>
          <w:tcPr>
            <w:tcW w:w="1231" w:type="dxa"/>
            <w:tcBorders>
              <w:top w:val="nil"/>
              <w:left w:val="single" w:sz="8" w:space="0" w:color="auto"/>
              <w:bottom w:val="single" w:sz="4" w:space="0" w:color="auto"/>
              <w:right w:val="single" w:sz="4" w:space="0" w:color="auto"/>
            </w:tcBorders>
            <w:shd w:val="clear" w:color="auto" w:fill="auto"/>
            <w:noWrap/>
            <w:vAlign w:val="bottom"/>
            <w:hideMark/>
          </w:tcPr>
          <w:p w14:paraId="6DA30652" w14:textId="77777777" w:rsidR="00DA77A7" w:rsidRPr="00DA77A7" w:rsidRDefault="00DA77A7" w:rsidP="00DA77A7">
            <w:pPr>
              <w:spacing w:after="0" w:line="240" w:lineRule="auto"/>
              <w:jc w:val="center"/>
              <w:rPr>
                <w:rFonts w:ascii="Calibri" w:eastAsia="Times New Roman" w:hAnsi="Calibri" w:cs="Arial"/>
                <w:sz w:val="20"/>
                <w:szCs w:val="20"/>
                <w:lang w:eastAsia="cs-CZ"/>
              </w:rPr>
            </w:pPr>
            <w:r w:rsidRPr="00DA77A7">
              <w:rPr>
                <w:rFonts w:ascii="Calibri" w:eastAsia="Times New Roman" w:hAnsi="Calibri" w:cs="Arial"/>
                <w:sz w:val="20"/>
                <w:szCs w:val="20"/>
                <w:lang w:eastAsia="cs-CZ"/>
              </w:rPr>
              <w:t>UZ 33982</w:t>
            </w:r>
          </w:p>
        </w:tc>
        <w:tc>
          <w:tcPr>
            <w:tcW w:w="4085" w:type="dxa"/>
            <w:tcBorders>
              <w:top w:val="nil"/>
              <w:left w:val="nil"/>
              <w:bottom w:val="single" w:sz="4" w:space="0" w:color="auto"/>
              <w:right w:val="single" w:sz="4" w:space="0" w:color="auto"/>
            </w:tcBorders>
            <w:shd w:val="clear" w:color="000000" w:fill="FFFFFF"/>
            <w:vAlign w:val="bottom"/>
            <w:hideMark/>
          </w:tcPr>
          <w:p w14:paraId="22366676" w14:textId="77777777" w:rsidR="00DA77A7" w:rsidRPr="00DA77A7" w:rsidRDefault="00DA77A7" w:rsidP="00DA77A7">
            <w:pPr>
              <w:spacing w:after="0" w:line="240" w:lineRule="auto"/>
              <w:rPr>
                <w:rFonts w:ascii="Calibri" w:eastAsia="Times New Roman" w:hAnsi="Calibri" w:cs="Arial"/>
                <w:sz w:val="20"/>
                <w:szCs w:val="20"/>
                <w:lang w:eastAsia="cs-CZ"/>
              </w:rPr>
            </w:pPr>
            <w:r w:rsidRPr="00DA77A7">
              <w:rPr>
                <w:rFonts w:ascii="Calibri" w:eastAsia="Times New Roman" w:hAnsi="Calibri" w:cs="Arial"/>
                <w:sz w:val="20"/>
                <w:szCs w:val="20"/>
                <w:lang w:eastAsia="cs-CZ"/>
              </w:rPr>
              <w:t>OP VVV - PO3 investice</w:t>
            </w:r>
          </w:p>
        </w:tc>
        <w:tc>
          <w:tcPr>
            <w:tcW w:w="1394" w:type="dxa"/>
            <w:tcBorders>
              <w:top w:val="nil"/>
              <w:left w:val="nil"/>
              <w:bottom w:val="single" w:sz="4" w:space="0" w:color="auto"/>
              <w:right w:val="single" w:sz="4" w:space="0" w:color="auto"/>
            </w:tcBorders>
            <w:shd w:val="clear" w:color="000000" w:fill="FFFFFF"/>
            <w:noWrap/>
            <w:vAlign w:val="bottom"/>
            <w:hideMark/>
          </w:tcPr>
          <w:p w14:paraId="1C057B49"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0</w:t>
            </w:r>
          </w:p>
        </w:tc>
        <w:tc>
          <w:tcPr>
            <w:tcW w:w="1671" w:type="dxa"/>
            <w:tcBorders>
              <w:top w:val="nil"/>
              <w:left w:val="nil"/>
              <w:bottom w:val="single" w:sz="4" w:space="0" w:color="auto"/>
              <w:right w:val="single" w:sz="4" w:space="0" w:color="auto"/>
            </w:tcBorders>
            <w:shd w:val="clear" w:color="000000" w:fill="FFFFFF"/>
            <w:noWrap/>
            <w:vAlign w:val="bottom"/>
            <w:hideMark/>
          </w:tcPr>
          <w:p w14:paraId="19575EC3"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38 450 284,21</w:t>
            </w:r>
          </w:p>
        </w:tc>
        <w:tc>
          <w:tcPr>
            <w:tcW w:w="1684" w:type="dxa"/>
            <w:tcBorders>
              <w:top w:val="nil"/>
              <w:left w:val="nil"/>
              <w:bottom w:val="single" w:sz="4" w:space="0" w:color="auto"/>
              <w:right w:val="single" w:sz="4" w:space="0" w:color="auto"/>
            </w:tcBorders>
            <w:shd w:val="clear" w:color="000000" w:fill="FFFFFF"/>
            <w:noWrap/>
            <w:vAlign w:val="bottom"/>
            <w:hideMark/>
          </w:tcPr>
          <w:p w14:paraId="47DB1E01"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33 920 711,83</w:t>
            </w:r>
          </w:p>
        </w:tc>
        <w:tc>
          <w:tcPr>
            <w:tcW w:w="576" w:type="dxa"/>
            <w:tcBorders>
              <w:top w:val="nil"/>
              <w:left w:val="nil"/>
              <w:bottom w:val="single" w:sz="4" w:space="0" w:color="auto"/>
              <w:right w:val="single" w:sz="8" w:space="0" w:color="auto"/>
            </w:tcBorders>
            <w:shd w:val="clear" w:color="auto" w:fill="auto"/>
            <w:noWrap/>
            <w:vAlign w:val="bottom"/>
            <w:hideMark/>
          </w:tcPr>
          <w:p w14:paraId="3C1AEAEC"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88,2</w:t>
            </w:r>
          </w:p>
        </w:tc>
      </w:tr>
      <w:tr w:rsidR="00AF5B41" w:rsidRPr="00DA77A7" w14:paraId="7E92F4D2" w14:textId="77777777" w:rsidTr="0042584A">
        <w:trPr>
          <w:trHeight w:val="300"/>
        </w:trPr>
        <w:tc>
          <w:tcPr>
            <w:tcW w:w="1231" w:type="dxa"/>
            <w:tcBorders>
              <w:top w:val="nil"/>
              <w:left w:val="single" w:sz="8" w:space="0" w:color="auto"/>
              <w:bottom w:val="nil"/>
              <w:right w:val="single" w:sz="4" w:space="0" w:color="auto"/>
            </w:tcBorders>
            <w:shd w:val="clear" w:color="auto" w:fill="auto"/>
            <w:noWrap/>
            <w:vAlign w:val="bottom"/>
            <w:hideMark/>
          </w:tcPr>
          <w:p w14:paraId="4B07BED0" w14:textId="77777777" w:rsidR="00DA77A7" w:rsidRPr="00DA77A7" w:rsidRDefault="00DA77A7" w:rsidP="00DA77A7">
            <w:pPr>
              <w:spacing w:after="0" w:line="240" w:lineRule="auto"/>
              <w:jc w:val="center"/>
              <w:rPr>
                <w:rFonts w:ascii="Calibri" w:eastAsia="Times New Roman" w:hAnsi="Calibri" w:cs="Arial"/>
                <w:sz w:val="20"/>
                <w:szCs w:val="20"/>
                <w:lang w:eastAsia="cs-CZ"/>
              </w:rPr>
            </w:pPr>
            <w:r w:rsidRPr="00DA77A7">
              <w:rPr>
                <w:rFonts w:ascii="Calibri" w:eastAsia="Times New Roman" w:hAnsi="Calibri" w:cs="Arial"/>
                <w:sz w:val="20"/>
                <w:szCs w:val="20"/>
                <w:lang w:eastAsia="cs-CZ"/>
              </w:rPr>
              <w:t>UZ 34053</w:t>
            </w:r>
          </w:p>
        </w:tc>
        <w:tc>
          <w:tcPr>
            <w:tcW w:w="4085" w:type="dxa"/>
            <w:tcBorders>
              <w:top w:val="nil"/>
              <w:left w:val="nil"/>
              <w:bottom w:val="nil"/>
              <w:right w:val="single" w:sz="4" w:space="0" w:color="auto"/>
            </w:tcBorders>
            <w:shd w:val="clear" w:color="000000" w:fill="FFFFFF"/>
            <w:vAlign w:val="bottom"/>
            <w:hideMark/>
          </w:tcPr>
          <w:p w14:paraId="03301765" w14:textId="56826E80" w:rsidR="00DA77A7" w:rsidRPr="00DA77A7" w:rsidRDefault="00DA77A7" w:rsidP="00DA77A7">
            <w:pPr>
              <w:spacing w:after="0" w:line="240" w:lineRule="auto"/>
              <w:rPr>
                <w:rFonts w:ascii="Calibri" w:eastAsia="Times New Roman" w:hAnsi="Calibri" w:cs="Arial"/>
                <w:sz w:val="20"/>
                <w:szCs w:val="20"/>
                <w:lang w:eastAsia="cs-CZ"/>
              </w:rPr>
            </w:pPr>
            <w:r w:rsidRPr="00DA77A7">
              <w:rPr>
                <w:rFonts w:ascii="Calibri" w:eastAsia="Times New Roman" w:hAnsi="Calibri" w:cs="Arial"/>
                <w:sz w:val="20"/>
                <w:szCs w:val="20"/>
                <w:lang w:eastAsia="cs-CZ"/>
              </w:rPr>
              <w:t>Veřejné informační služby knihoven</w:t>
            </w:r>
          </w:p>
        </w:tc>
        <w:tc>
          <w:tcPr>
            <w:tcW w:w="1394" w:type="dxa"/>
            <w:tcBorders>
              <w:top w:val="nil"/>
              <w:left w:val="nil"/>
              <w:bottom w:val="nil"/>
              <w:right w:val="single" w:sz="4" w:space="0" w:color="auto"/>
            </w:tcBorders>
            <w:shd w:val="clear" w:color="000000" w:fill="FFFFFF"/>
            <w:noWrap/>
            <w:vAlign w:val="bottom"/>
            <w:hideMark/>
          </w:tcPr>
          <w:p w14:paraId="66FE2B65"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0</w:t>
            </w:r>
          </w:p>
        </w:tc>
        <w:tc>
          <w:tcPr>
            <w:tcW w:w="1671" w:type="dxa"/>
            <w:tcBorders>
              <w:top w:val="nil"/>
              <w:left w:val="nil"/>
              <w:bottom w:val="nil"/>
              <w:right w:val="single" w:sz="4" w:space="0" w:color="auto"/>
            </w:tcBorders>
            <w:shd w:val="clear" w:color="000000" w:fill="FFFFFF"/>
            <w:noWrap/>
            <w:vAlign w:val="bottom"/>
            <w:hideMark/>
          </w:tcPr>
          <w:p w14:paraId="3FD3BA41"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26 000,00</w:t>
            </w:r>
          </w:p>
        </w:tc>
        <w:tc>
          <w:tcPr>
            <w:tcW w:w="1684" w:type="dxa"/>
            <w:tcBorders>
              <w:top w:val="nil"/>
              <w:left w:val="nil"/>
              <w:bottom w:val="nil"/>
              <w:right w:val="single" w:sz="4" w:space="0" w:color="auto"/>
            </w:tcBorders>
            <w:shd w:val="clear" w:color="auto" w:fill="auto"/>
            <w:noWrap/>
            <w:vAlign w:val="bottom"/>
            <w:hideMark/>
          </w:tcPr>
          <w:p w14:paraId="389D240F"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26 000,00</w:t>
            </w:r>
          </w:p>
        </w:tc>
        <w:tc>
          <w:tcPr>
            <w:tcW w:w="576" w:type="dxa"/>
            <w:tcBorders>
              <w:top w:val="nil"/>
              <w:left w:val="nil"/>
              <w:bottom w:val="nil"/>
              <w:right w:val="single" w:sz="8" w:space="0" w:color="auto"/>
            </w:tcBorders>
            <w:shd w:val="clear" w:color="auto" w:fill="auto"/>
            <w:noWrap/>
            <w:vAlign w:val="bottom"/>
            <w:hideMark/>
          </w:tcPr>
          <w:p w14:paraId="7F7D221F"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100,0</w:t>
            </w:r>
          </w:p>
        </w:tc>
      </w:tr>
      <w:tr w:rsidR="00AF5B41" w:rsidRPr="00DA77A7" w14:paraId="041DF327" w14:textId="77777777" w:rsidTr="0042584A">
        <w:trPr>
          <w:trHeight w:val="300"/>
        </w:trPr>
        <w:tc>
          <w:tcPr>
            <w:tcW w:w="1231"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66C71C57" w14:textId="77777777" w:rsidR="00DA77A7" w:rsidRPr="00DA77A7" w:rsidRDefault="00DA77A7" w:rsidP="00DA77A7">
            <w:pPr>
              <w:spacing w:after="0" w:line="240" w:lineRule="auto"/>
              <w:jc w:val="center"/>
              <w:rPr>
                <w:rFonts w:ascii="Calibri" w:eastAsia="Times New Roman" w:hAnsi="Calibri" w:cs="Arial"/>
                <w:sz w:val="20"/>
                <w:szCs w:val="20"/>
                <w:lang w:eastAsia="cs-CZ"/>
              </w:rPr>
            </w:pPr>
            <w:r w:rsidRPr="00DA77A7">
              <w:rPr>
                <w:rFonts w:ascii="Calibri" w:eastAsia="Times New Roman" w:hAnsi="Calibri" w:cs="Arial"/>
                <w:sz w:val="20"/>
                <w:szCs w:val="20"/>
                <w:lang w:eastAsia="cs-CZ"/>
              </w:rPr>
              <w:t>UZ 98032</w:t>
            </w:r>
          </w:p>
        </w:tc>
        <w:tc>
          <w:tcPr>
            <w:tcW w:w="4085" w:type="dxa"/>
            <w:tcBorders>
              <w:top w:val="single" w:sz="4" w:space="0" w:color="auto"/>
              <w:left w:val="nil"/>
              <w:bottom w:val="single" w:sz="4" w:space="0" w:color="auto"/>
              <w:right w:val="single" w:sz="4" w:space="0" w:color="auto"/>
            </w:tcBorders>
            <w:shd w:val="clear" w:color="000000" w:fill="FFFFFF"/>
            <w:vAlign w:val="bottom"/>
            <w:hideMark/>
          </w:tcPr>
          <w:p w14:paraId="7F971FC6" w14:textId="77777777" w:rsidR="00DA77A7" w:rsidRPr="00DA77A7" w:rsidRDefault="00DA77A7" w:rsidP="00DA77A7">
            <w:pPr>
              <w:spacing w:after="0" w:line="240" w:lineRule="auto"/>
              <w:rPr>
                <w:rFonts w:ascii="Calibri" w:eastAsia="Times New Roman" w:hAnsi="Calibri" w:cs="Arial"/>
                <w:sz w:val="20"/>
                <w:szCs w:val="20"/>
                <w:lang w:eastAsia="cs-CZ"/>
              </w:rPr>
            </w:pPr>
            <w:r w:rsidRPr="00DA77A7">
              <w:rPr>
                <w:rFonts w:ascii="Calibri" w:eastAsia="Times New Roman" w:hAnsi="Calibri" w:cs="Arial"/>
                <w:sz w:val="20"/>
                <w:szCs w:val="20"/>
                <w:lang w:eastAsia="cs-CZ"/>
              </w:rPr>
              <w:t>Dotace na krizové situace 2021</w:t>
            </w:r>
          </w:p>
        </w:tc>
        <w:tc>
          <w:tcPr>
            <w:tcW w:w="1394" w:type="dxa"/>
            <w:tcBorders>
              <w:top w:val="single" w:sz="4" w:space="0" w:color="auto"/>
              <w:left w:val="nil"/>
              <w:bottom w:val="single" w:sz="4" w:space="0" w:color="auto"/>
              <w:right w:val="single" w:sz="4" w:space="0" w:color="auto"/>
            </w:tcBorders>
            <w:shd w:val="clear" w:color="000000" w:fill="FFFFFF"/>
            <w:noWrap/>
            <w:vAlign w:val="bottom"/>
            <w:hideMark/>
          </w:tcPr>
          <w:p w14:paraId="63AAFDE4"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0</w:t>
            </w:r>
          </w:p>
        </w:tc>
        <w:tc>
          <w:tcPr>
            <w:tcW w:w="1671" w:type="dxa"/>
            <w:tcBorders>
              <w:top w:val="single" w:sz="4" w:space="0" w:color="auto"/>
              <w:left w:val="nil"/>
              <w:bottom w:val="single" w:sz="4" w:space="0" w:color="auto"/>
              <w:right w:val="single" w:sz="4" w:space="0" w:color="auto"/>
            </w:tcBorders>
            <w:shd w:val="clear" w:color="000000" w:fill="FFFFFF"/>
            <w:noWrap/>
            <w:vAlign w:val="bottom"/>
            <w:hideMark/>
          </w:tcPr>
          <w:p w14:paraId="31DB038C"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1 341 950,00</w:t>
            </w:r>
          </w:p>
        </w:tc>
        <w:tc>
          <w:tcPr>
            <w:tcW w:w="1684" w:type="dxa"/>
            <w:tcBorders>
              <w:top w:val="single" w:sz="4" w:space="0" w:color="auto"/>
              <w:left w:val="nil"/>
              <w:bottom w:val="single" w:sz="4" w:space="0" w:color="auto"/>
              <w:right w:val="single" w:sz="4" w:space="0" w:color="auto"/>
            </w:tcBorders>
            <w:shd w:val="clear" w:color="auto" w:fill="auto"/>
            <w:noWrap/>
            <w:vAlign w:val="bottom"/>
            <w:hideMark/>
          </w:tcPr>
          <w:p w14:paraId="3A23E508"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1 341 950,00</w:t>
            </w:r>
          </w:p>
        </w:tc>
        <w:tc>
          <w:tcPr>
            <w:tcW w:w="576" w:type="dxa"/>
            <w:tcBorders>
              <w:top w:val="single" w:sz="4" w:space="0" w:color="auto"/>
              <w:left w:val="nil"/>
              <w:bottom w:val="single" w:sz="4" w:space="0" w:color="auto"/>
              <w:right w:val="single" w:sz="8" w:space="0" w:color="auto"/>
            </w:tcBorders>
            <w:shd w:val="clear" w:color="auto" w:fill="auto"/>
            <w:noWrap/>
            <w:vAlign w:val="bottom"/>
            <w:hideMark/>
          </w:tcPr>
          <w:p w14:paraId="0E162F36" w14:textId="77777777" w:rsidR="00DA77A7" w:rsidRPr="00DA77A7" w:rsidRDefault="00DA77A7" w:rsidP="00DA77A7">
            <w:pPr>
              <w:spacing w:after="0" w:line="240" w:lineRule="auto"/>
              <w:jc w:val="right"/>
              <w:rPr>
                <w:rFonts w:ascii="Calibri" w:eastAsia="Times New Roman" w:hAnsi="Calibri" w:cs="Arial"/>
                <w:sz w:val="20"/>
                <w:szCs w:val="20"/>
                <w:lang w:eastAsia="cs-CZ"/>
              </w:rPr>
            </w:pPr>
            <w:r w:rsidRPr="00DA77A7">
              <w:rPr>
                <w:rFonts w:ascii="Calibri" w:eastAsia="Times New Roman" w:hAnsi="Calibri" w:cs="Arial"/>
                <w:sz w:val="20"/>
                <w:szCs w:val="20"/>
                <w:lang w:eastAsia="cs-CZ"/>
              </w:rPr>
              <w:t>100,0</w:t>
            </w:r>
          </w:p>
        </w:tc>
      </w:tr>
      <w:tr w:rsidR="00AF5B41" w:rsidRPr="00DA77A7" w14:paraId="30219CC5" w14:textId="77777777" w:rsidTr="0042584A">
        <w:trPr>
          <w:trHeight w:val="320"/>
        </w:trPr>
        <w:tc>
          <w:tcPr>
            <w:tcW w:w="1231"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0C05CC0E" w14:textId="77777777" w:rsidR="00DA77A7" w:rsidRPr="00DA77A7" w:rsidRDefault="00DA77A7" w:rsidP="00DA77A7">
            <w:pPr>
              <w:spacing w:after="0" w:line="240" w:lineRule="auto"/>
              <w:jc w:val="center"/>
              <w:rPr>
                <w:rFonts w:ascii="Calibri" w:eastAsia="Times New Roman" w:hAnsi="Calibri" w:cs="Arial"/>
                <w:lang w:eastAsia="cs-CZ"/>
              </w:rPr>
            </w:pPr>
            <w:r w:rsidRPr="00DA77A7">
              <w:rPr>
                <w:rFonts w:ascii="Calibri" w:eastAsia="Times New Roman" w:hAnsi="Calibri" w:cs="Arial"/>
                <w:lang w:eastAsia="cs-CZ"/>
              </w:rPr>
              <w:t> </w:t>
            </w:r>
          </w:p>
        </w:tc>
        <w:tc>
          <w:tcPr>
            <w:tcW w:w="4085" w:type="dxa"/>
            <w:tcBorders>
              <w:top w:val="single" w:sz="8" w:space="0" w:color="auto"/>
              <w:left w:val="nil"/>
              <w:bottom w:val="single" w:sz="8" w:space="0" w:color="auto"/>
              <w:right w:val="single" w:sz="4" w:space="0" w:color="auto"/>
            </w:tcBorders>
            <w:shd w:val="clear" w:color="auto" w:fill="auto"/>
            <w:noWrap/>
            <w:vAlign w:val="bottom"/>
            <w:hideMark/>
          </w:tcPr>
          <w:p w14:paraId="5571E0FE" w14:textId="77777777" w:rsidR="00DA77A7" w:rsidRPr="00DA77A7" w:rsidRDefault="00DA77A7" w:rsidP="00DA77A7">
            <w:pPr>
              <w:spacing w:after="0" w:line="240" w:lineRule="auto"/>
              <w:rPr>
                <w:rFonts w:ascii="Calibri" w:eastAsia="Times New Roman" w:hAnsi="Calibri" w:cs="Arial"/>
                <w:b/>
                <w:bCs/>
                <w:lang w:eastAsia="cs-CZ"/>
              </w:rPr>
            </w:pPr>
            <w:r w:rsidRPr="00DA77A7">
              <w:rPr>
                <w:rFonts w:ascii="Calibri" w:eastAsia="Times New Roman" w:hAnsi="Calibri" w:cs="Arial"/>
                <w:b/>
                <w:bCs/>
                <w:lang w:eastAsia="cs-CZ"/>
              </w:rPr>
              <w:t>Celkem</w:t>
            </w:r>
          </w:p>
        </w:tc>
        <w:tc>
          <w:tcPr>
            <w:tcW w:w="1394" w:type="dxa"/>
            <w:tcBorders>
              <w:top w:val="single" w:sz="8" w:space="0" w:color="auto"/>
              <w:left w:val="nil"/>
              <w:bottom w:val="single" w:sz="8" w:space="0" w:color="auto"/>
              <w:right w:val="single" w:sz="4" w:space="0" w:color="auto"/>
            </w:tcBorders>
            <w:shd w:val="clear" w:color="auto" w:fill="auto"/>
            <w:noWrap/>
            <w:vAlign w:val="bottom"/>
            <w:hideMark/>
          </w:tcPr>
          <w:p w14:paraId="0CD15B0D" w14:textId="77777777" w:rsidR="00DA77A7" w:rsidRPr="008414A1" w:rsidRDefault="00DA77A7" w:rsidP="00DA77A7">
            <w:pPr>
              <w:spacing w:after="0" w:line="240" w:lineRule="auto"/>
              <w:jc w:val="right"/>
              <w:rPr>
                <w:rFonts w:ascii="Calibri" w:eastAsia="Times New Roman" w:hAnsi="Calibri" w:cs="Arial"/>
                <w:b/>
                <w:bCs/>
                <w:sz w:val="20"/>
                <w:szCs w:val="20"/>
                <w:lang w:eastAsia="cs-CZ"/>
              </w:rPr>
            </w:pPr>
            <w:r w:rsidRPr="008414A1">
              <w:rPr>
                <w:rFonts w:ascii="Calibri" w:eastAsia="Times New Roman" w:hAnsi="Calibri" w:cs="Arial"/>
                <w:b/>
                <w:bCs/>
                <w:sz w:val="20"/>
                <w:szCs w:val="20"/>
                <w:lang w:eastAsia="cs-CZ"/>
              </w:rPr>
              <w:t>21 056 000 000</w:t>
            </w:r>
          </w:p>
        </w:tc>
        <w:tc>
          <w:tcPr>
            <w:tcW w:w="1671" w:type="dxa"/>
            <w:tcBorders>
              <w:top w:val="single" w:sz="8" w:space="0" w:color="auto"/>
              <w:left w:val="nil"/>
              <w:bottom w:val="single" w:sz="8" w:space="0" w:color="auto"/>
              <w:right w:val="single" w:sz="4" w:space="0" w:color="auto"/>
            </w:tcBorders>
            <w:shd w:val="clear" w:color="auto" w:fill="auto"/>
            <w:noWrap/>
            <w:vAlign w:val="bottom"/>
            <w:hideMark/>
          </w:tcPr>
          <w:p w14:paraId="569EAEFA" w14:textId="77777777" w:rsidR="00DA77A7" w:rsidRPr="008414A1" w:rsidRDefault="00DA77A7" w:rsidP="00DA77A7">
            <w:pPr>
              <w:spacing w:after="0" w:line="240" w:lineRule="auto"/>
              <w:jc w:val="right"/>
              <w:rPr>
                <w:rFonts w:ascii="Calibri" w:eastAsia="Times New Roman" w:hAnsi="Calibri" w:cs="Arial"/>
                <w:b/>
                <w:bCs/>
                <w:sz w:val="20"/>
                <w:szCs w:val="20"/>
                <w:lang w:eastAsia="cs-CZ"/>
              </w:rPr>
            </w:pPr>
            <w:r w:rsidRPr="008414A1">
              <w:rPr>
                <w:rFonts w:ascii="Calibri" w:eastAsia="Times New Roman" w:hAnsi="Calibri" w:cs="Arial"/>
                <w:b/>
                <w:bCs/>
                <w:sz w:val="20"/>
                <w:szCs w:val="20"/>
                <w:lang w:eastAsia="cs-CZ"/>
              </w:rPr>
              <w:t>22 453 959 179,34</w:t>
            </w:r>
          </w:p>
        </w:tc>
        <w:tc>
          <w:tcPr>
            <w:tcW w:w="1684" w:type="dxa"/>
            <w:tcBorders>
              <w:top w:val="single" w:sz="8" w:space="0" w:color="auto"/>
              <w:left w:val="nil"/>
              <w:bottom w:val="single" w:sz="8" w:space="0" w:color="auto"/>
              <w:right w:val="single" w:sz="4" w:space="0" w:color="auto"/>
            </w:tcBorders>
            <w:shd w:val="clear" w:color="auto" w:fill="auto"/>
            <w:noWrap/>
            <w:vAlign w:val="bottom"/>
            <w:hideMark/>
          </w:tcPr>
          <w:p w14:paraId="20ABA1EF" w14:textId="77777777" w:rsidR="00DA77A7" w:rsidRPr="008414A1" w:rsidRDefault="00DA77A7" w:rsidP="00DA77A7">
            <w:pPr>
              <w:spacing w:after="0" w:line="240" w:lineRule="auto"/>
              <w:jc w:val="right"/>
              <w:rPr>
                <w:rFonts w:ascii="Calibri" w:eastAsia="Times New Roman" w:hAnsi="Calibri" w:cs="Arial"/>
                <w:b/>
                <w:bCs/>
                <w:sz w:val="20"/>
                <w:szCs w:val="20"/>
                <w:lang w:eastAsia="cs-CZ"/>
              </w:rPr>
            </w:pPr>
            <w:r w:rsidRPr="008414A1">
              <w:rPr>
                <w:rFonts w:ascii="Calibri" w:eastAsia="Times New Roman" w:hAnsi="Calibri" w:cs="Arial"/>
                <w:b/>
                <w:bCs/>
                <w:sz w:val="20"/>
                <w:szCs w:val="20"/>
                <w:lang w:eastAsia="cs-CZ"/>
              </w:rPr>
              <w:t>22 396 531 748,66</w:t>
            </w:r>
          </w:p>
        </w:tc>
        <w:tc>
          <w:tcPr>
            <w:tcW w:w="576" w:type="dxa"/>
            <w:tcBorders>
              <w:top w:val="single" w:sz="8" w:space="0" w:color="auto"/>
              <w:left w:val="nil"/>
              <w:bottom w:val="single" w:sz="8" w:space="0" w:color="auto"/>
              <w:right w:val="single" w:sz="8" w:space="0" w:color="auto"/>
            </w:tcBorders>
            <w:shd w:val="clear" w:color="auto" w:fill="auto"/>
            <w:noWrap/>
            <w:vAlign w:val="bottom"/>
            <w:hideMark/>
          </w:tcPr>
          <w:p w14:paraId="737023FD" w14:textId="77777777" w:rsidR="00DA77A7" w:rsidRPr="008414A1" w:rsidRDefault="00DA77A7" w:rsidP="00DA77A7">
            <w:pPr>
              <w:spacing w:after="0" w:line="240" w:lineRule="auto"/>
              <w:jc w:val="right"/>
              <w:rPr>
                <w:rFonts w:ascii="Calibri" w:eastAsia="Times New Roman" w:hAnsi="Calibri" w:cs="Arial"/>
                <w:b/>
                <w:bCs/>
                <w:sz w:val="20"/>
                <w:szCs w:val="20"/>
                <w:lang w:eastAsia="cs-CZ"/>
              </w:rPr>
            </w:pPr>
            <w:r w:rsidRPr="008414A1">
              <w:rPr>
                <w:rFonts w:ascii="Calibri" w:eastAsia="Times New Roman" w:hAnsi="Calibri" w:cs="Arial"/>
                <w:b/>
                <w:bCs/>
                <w:sz w:val="20"/>
                <w:szCs w:val="20"/>
                <w:lang w:eastAsia="cs-CZ"/>
              </w:rPr>
              <w:t>99,7</w:t>
            </w:r>
          </w:p>
        </w:tc>
      </w:tr>
      <w:tr w:rsidR="00AF5B41" w:rsidRPr="00DA77A7" w14:paraId="5A71EA66" w14:textId="77777777" w:rsidTr="0042584A">
        <w:trPr>
          <w:trHeight w:val="300"/>
        </w:trPr>
        <w:tc>
          <w:tcPr>
            <w:tcW w:w="1231" w:type="dxa"/>
            <w:tcBorders>
              <w:top w:val="nil"/>
              <w:left w:val="nil"/>
              <w:bottom w:val="nil"/>
              <w:right w:val="nil"/>
            </w:tcBorders>
            <w:shd w:val="clear" w:color="auto" w:fill="auto"/>
            <w:noWrap/>
            <w:vAlign w:val="bottom"/>
            <w:hideMark/>
          </w:tcPr>
          <w:p w14:paraId="1487EEC9" w14:textId="77777777" w:rsidR="00DA77A7" w:rsidRPr="00DA77A7" w:rsidRDefault="00DA77A7" w:rsidP="00DA77A7">
            <w:pPr>
              <w:spacing w:after="0" w:line="240" w:lineRule="auto"/>
              <w:jc w:val="right"/>
              <w:rPr>
                <w:rFonts w:ascii="Calibri" w:eastAsia="Times New Roman" w:hAnsi="Calibri" w:cs="Arial"/>
                <w:b/>
                <w:bCs/>
                <w:lang w:eastAsia="cs-CZ"/>
              </w:rPr>
            </w:pPr>
          </w:p>
        </w:tc>
        <w:tc>
          <w:tcPr>
            <w:tcW w:w="4085" w:type="dxa"/>
            <w:tcBorders>
              <w:top w:val="nil"/>
              <w:left w:val="nil"/>
              <w:bottom w:val="nil"/>
              <w:right w:val="nil"/>
            </w:tcBorders>
            <w:shd w:val="clear" w:color="auto" w:fill="auto"/>
            <w:noWrap/>
            <w:vAlign w:val="bottom"/>
            <w:hideMark/>
          </w:tcPr>
          <w:p w14:paraId="3DE057DB" w14:textId="77777777" w:rsidR="00DA77A7" w:rsidRPr="00DA77A7" w:rsidRDefault="00DA77A7" w:rsidP="00DA77A7">
            <w:pPr>
              <w:spacing w:after="0" w:line="240" w:lineRule="auto"/>
              <w:jc w:val="center"/>
              <w:rPr>
                <w:rFonts w:ascii="Times New Roman" w:eastAsia="Times New Roman" w:hAnsi="Times New Roman" w:cs="Times New Roman"/>
                <w:sz w:val="20"/>
                <w:szCs w:val="20"/>
                <w:lang w:eastAsia="cs-CZ"/>
              </w:rPr>
            </w:pPr>
          </w:p>
        </w:tc>
        <w:tc>
          <w:tcPr>
            <w:tcW w:w="1394" w:type="dxa"/>
            <w:tcBorders>
              <w:top w:val="nil"/>
              <w:left w:val="nil"/>
              <w:bottom w:val="nil"/>
              <w:right w:val="nil"/>
            </w:tcBorders>
            <w:shd w:val="clear" w:color="auto" w:fill="auto"/>
            <w:noWrap/>
            <w:vAlign w:val="bottom"/>
            <w:hideMark/>
          </w:tcPr>
          <w:p w14:paraId="6297474C" w14:textId="77777777" w:rsidR="00DA77A7" w:rsidRPr="00DA77A7" w:rsidRDefault="00DA77A7" w:rsidP="00DA77A7">
            <w:pPr>
              <w:spacing w:after="0" w:line="240" w:lineRule="auto"/>
              <w:rPr>
                <w:rFonts w:ascii="Times New Roman" w:eastAsia="Times New Roman" w:hAnsi="Times New Roman" w:cs="Times New Roman"/>
                <w:sz w:val="20"/>
                <w:szCs w:val="20"/>
                <w:lang w:eastAsia="cs-CZ"/>
              </w:rPr>
            </w:pPr>
          </w:p>
        </w:tc>
        <w:tc>
          <w:tcPr>
            <w:tcW w:w="1671" w:type="dxa"/>
            <w:tcBorders>
              <w:top w:val="nil"/>
              <w:left w:val="nil"/>
              <w:bottom w:val="nil"/>
              <w:right w:val="nil"/>
            </w:tcBorders>
            <w:shd w:val="clear" w:color="auto" w:fill="auto"/>
            <w:noWrap/>
            <w:vAlign w:val="bottom"/>
            <w:hideMark/>
          </w:tcPr>
          <w:p w14:paraId="6097072C" w14:textId="77777777" w:rsidR="00DA77A7" w:rsidRPr="00DA77A7" w:rsidRDefault="00DA77A7" w:rsidP="00DA77A7">
            <w:pPr>
              <w:spacing w:after="0" w:line="240" w:lineRule="auto"/>
              <w:jc w:val="right"/>
              <w:rPr>
                <w:rFonts w:ascii="Times New Roman" w:eastAsia="Times New Roman" w:hAnsi="Times New Roman" w:cs="Times New Roman"/>
                <w:sz w:val="20"/>
                <w:szCs w:val="20"/>
                <w:lang w:eastAsia="cs-CZ"/>
              </w:rPr>
            </w:pPr>
          </w:p>
        </w:tc>
        <w:tc>
          <w:tcPr>
            <w:tcW w:w="1684" w:type="dxa"/>
            <w:tcBorders>
              <w:top w:val="nil"/>
              <w:left w:val="nil"/>
              <w:bottom w:val="nil"/>
              <w:right w:val="nil"/>
            </w:tcBorders>
            <w:shd w:val="clear" w:color="auto" w:fill="auto"/>
            <w:noWrap/>
            <w:vAlign w:val="bottom"/>
            <w:hideMark/>
          </w:tcPr>
          <w:p w14:paraId="1CFB17A6" w14:textId="77777777" w:rsidR="00DA77A7" w:rsidRPr="00DA77A7" w:rsidRDefault="00DA77A7" w:rsidP="00DA77A7">
            <w:pPr>
              <w:spacing w:after="0" w:line="240" w:lineRule="auto"/>
              <w:jc w:val="right"/>
              <w:rPr>
                <w:rFonts w:ascii="Times New Roman" w:eastAsia="Times New Roman" w:hAnsi="Times New Roman" w:cs="Times New Roman"/>
                <w:sz w:val="20"/>
                <w:szCs w:val="20"/>
                <w:lang w:eastAsia="cs-CZ"/>
              </w:rPr>
            </w:pPr>
          </w:p>
        </w:tc>
        <w:tc>
          <w:tcPr>
            <w:tcW w:w="576" w:type="dxa"/>
            <w:tcBorders>
              <w:top w:val="nil"/>
              <w:left w:val="nil"/>
              <w:bottom w:val="nil"/>
              <w:right w:val="nil"/>
            </w:tcBorders>
            <w:shd w:val="clear" w:color="auto" w:fill="auto"/>
            <w:noWrap/>
            <w:vAlign w:val="bottom"/>
            <w:hideMark/>
          </w:tcPr>
          <w:p w14:paraId="67C70E06" w14:textId="77777777" w:rsidR="00DA77A7" w:rsidRPr="00DA77A7" w:rsidRDefault="00DA77A7" w:rsidP="00DA77A7">
            <w:pPr>
              <w:spacing w:after="0" w:line="240" w:lineRule="auto"/>
              <w:jc w:val="right"/>
              <w:rPr>
                <w:rFonts w:ascii="Times New Roman" w:eastAsia="Times New Roman" w:hAnsi="Times New Roman" w:cs="Times New Roman"/>
                <w:sz w:val="20"/>
                <w:szCs w:val="20"/>
                <w:lang w:eastAsia="cs-CZ"/>
              </w:rPr>
            </w:pPr>
          </w:p>
        </w:tc>
      </w:tr>
      <w:tr w:rsidR="00AF5B41" w:rsidRPr="00DA77A7" w14:paraId="717A28BE" w14:textId="77777777" w:rsidTr="0042584A">
        <w:trPr>
          <w:trHeight w:val="360"/>
        </w:trPr>
        <w:tc>
          <w:tcPr>
            <w:tcW w:w="5316"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5F3A2C4F" w14:textId="77777777" w:rsidR="00DA77A7" w:rsidRPr="00DA77A7" w:rsidRDefault="00DA77A7" w:rsidP="00DA77A7">
            <w:pPr>
              <w:spacing w:after="0" w:line="240" w:lineRule="auto"/>
              <w:rPr>
                <w:rFonts w:ascii="Calibri" w:eastAsia="Times New Roman" w:hAnsi="Calibri" w:cs="Arial"/>
                <w:b/>
                <w:bCs/>
                <w:sz w:val="24"/>
                <w:szCs w:val="24"/>
                <w:lang w:eastAsia="cs-CZ"/>
              </w:rPr>
            </w:pPr>
            <w:r w:rsidRPr="00DA77A7">
              <w:rPr>
                <w:rFonts w:ascii="Calibri" w:eastAsia="Times New Roman" w:hAnsi="Calibri" w:cs="Arial"/>
                <w:b/>
                <w:bCs/>
                <w:sz w:val="24"/>
                <w:szCs w:val="24"/>
                <w:lang w:eastAsia="cs-CZ"/>
              </w:rPr>
              <w:t>Celkem výdaje</w:t>
            </w:r>
          </w:p>
        </w:tc>
        <w:tc>
          <w:tcPr>
            <w:tcW w:w="1394" w:type="dxa"/>
            <w:tcBorders>
              <w:top w:val="single" w:sz="8" w:space="0" w:color="auto"/>
              <w:left w:val="nil"/>
              <w:bottom w:val="single" w:sz="8" w:space="0" w:color="auto"/>
              <w:right w:val="single" w:sz="8" w:space="0" w:color="auto"/>
            </w:tcBorders>
            <w:shd w:val="clear" w:color="auto" w:fill="auto"/>
            <w:noWrap/>
            <w:vAlign w:val="bottom"/>
            <w:hideMark/>
          </w:tcPr>
          <w:p w14:paraId="55C2CA0F" w14:textId="77777777" w:rsidR="00DA77A7" w:rsidRPr="008414A1" w:rsidRDefault="00DA77A7" w:rsidP="00DA77A7">
            <w:pPr>
              <w:spacing w:after="0" w:line="240" w:lineRule="auto"/>
              <w:jc w:val="right"/>
              <w:rPr>
                <w:rFonts w:ascii="Calibri" w:eastAsia="Times New Roman" w:hAnsi="Calibri" w:cs="Arial"/>
                <w:b/>
                <w:bCs/>
                <w:sz w:val="20"/>
                <w:szCs w:val="20"/>
                <w:lang w:eastAsia="cs-CZ"/>
              </w:rPr>
            </w:pPr>
            <w:r w:rsidRPr="008414A1">
              <w:rPr>
                <w:rFonts w:ascii="Calibri" w:eastAsia="Times New Roman" w:hAnsi="Calibri" w:cs="Arial"/>
                <w:b/>
                <w:bCs/>
                <w:sz w:val="20"/>
                <w:szCs w:val="20"/>
                <w:lang w:eastAsia="cs-CZ"/>
              </w:rPr>
              <w:t>21 648 720 000</w:t>
            </w:r>
          </w:p>
        </w:tc>
        <w:tc>
          <w:tcPr>
            <w:tcW w:w="1671" w:type="dxa"/>
            <w:tcBorders>
              <w:top w:val="single" w:sz="8" w:space="0" w:color="auto"/>
              <w:left w:val="nil"/>
              <w:bottom w:val="single" w:sz="8" w:space="0" w:color="auto"/>
              <w:right w:val="single" w:sz="8" w:space="0" w:color="auto"/>
            </w:tcBorders>
            <w:shd w:val="clear" w:color="auto" w:fill="auto"/>
            <w:noWrap/>
            <w:vAlign w:val="bottom"/>
            <w:hideMark/>
          </w:tcPr>
          <w:p w14:paraId="2CCE88DA" w14:textId="77777777" w:rsidR="00DA77A7" w:rsidRPr="008414A1" w:rsidRDefault="00DA77A7" w:rsidP="00DA77A7">
            <w:pPr>
              <w:spacing w:after="0" w:line="240" w:lineRule="auto"/>
              <w:jc w:val="right"/>
              <w:rPr>
                <w:rFonts w:ascii="Calibri" w:eastAsia="Times New Roman" w:hAnsi="Calibri" w:cs="Arial"/>
                <w:b/>
                <w:bCs/>
                <w:sz w:val="20"/>
                <w:szCs w:val="20"/>
                <w:lang w:eastAsia="cs-CZ"/>
              </w:rPr>
            </w:pPr>
            <w:r w:rsidRPr="008414A1">
              <w:rPr>
                <w:rFonts w:ascii="Calibri" w:eastAsia="Times New Roman" w:hAnsi="Calibri" w:cs="Arial"/>
                <w:b/>
                <w:bCs/>
                <w:sz w:val="20"/>
                <w:szCs w:val="20"/>
                <w:lang w:eastAsia="cs-CZ"/>
              </w:rPr>
              <w:t>23 473 645 182,53</w:t>
            </w:r>
          </w:p>
        </w:tc>
        <w:tc>
          <w:tcPr>
            <w:tcW w:w="1684" w:type="dxa"/>
            <w:tcBorders>
              <w:top w:val="single" w:sz="8" w:space="0" w:color="auto"/>
              <w:left w:val="nil"/>
              <w:bottom w:val="single" w:sz="8" w:space="0" w:color="auto"/>
              <w:right w:val="single" w:sz="8" w:space="0" w:color="auto"/>
            </w:tcBorders>
            <w:shd w:val="clear" w:color="auto" w:fill="auto"/>
            <w:noWrap/>
            <w:vAlign w:val="bottom"/>
            <w:hideMark/>
          </w:tcPr>
          <w:p w14:paraId="0A64E026" w14:textId="77777777" w:rsidR="00DA77A7" w:rsidRPr="008414A1" w:rsidRDefault="00DA77A7" w:rsidP="00DA77A7">
            <w:pPr>
              <w:spacing w:after="0" w:line="240" w:lineRule="auto"/>
              <w:jc w:val="right"/>
              <w:rPr>
                <w:rFonts w:ascii="Calibri" w:eastAsia="Times New Roman" w:hAnsi="Calibri" w:cs="Arial"/>
                <w:b/>
                <w:bCs/>
                <w:sz w:val="20"/>
                <w:szCs w:val="20"/>
                <w:lang w:eastAsia="cs-CZ"/>
              </w:rPr>
            </w:pPr>
            <w:r w:rsidRPr="008414A1">
              <w:rPr>
                <w:rFonts w:ascii="Calibri" w:eastAsia="Times New Roman" w:hAnsi="Calibri" w:cs="Arial"/>
                <w:b/>
                <w:bCs/>
                <w:sz w:val="20"/>
                <w:szCs w:val="20"/>
                <w:lang w:eastAsia="cs-CZ"/>
              </w:rPr>
              <w:t>23 336 008 793,79</w:t>
            </w:r>
          </w:p>
        </w:tc>
        <w:tc>
          <w:tcPr>
            <w:tcW w:w="576"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14:paraId="5AF7DA2F" w14:textId="77777777" w:rsidR="00DA77A7" w:rsidRPr="008414A1" w:rsidRDefault="00DA77A7" w:rsidP="00DA77A7">
            <w:pPr>
              <w:spacing w:after="0" w:line="240" w:lineRule="auto"/>
              <w:jc w:val="right"/>
              <w:rPr>
                <w:rFonts w:ascii="Calibri" w:eastAsia="Times New Roman" w:hAnsi="Calibri" w:cs="Arial"/>
                <w:b/>
                <w:bCs/>
                <w:sz w:val="20"/>
                <w:szCs w:val="20"/>
                <w:lang w:eastAsia="cs-CZ"/>
              </w:rPr>
            </w:pPr>
            <w:r w:rsidRPr="008414A1">
              <w:rPr>
                <w:rFonts w:ascii="Calibri" w:eastAsia="Times New Roman" w:hAnsi="Calibri" w:cs="Arial"/>
                <w:b/>
                <w:bCs/>
                <w:sz w:val="20"/>
                <w:szCs w:val="20"/>
                <w:lang w:eastAsia="cs-CZ"/>
              </w:rPr>
              <w:t>99,4</w:t>
            </w:r>
          </w:p>
        </w:tc>
      </w:tr>
    </w:tbl>
    <w:p w14:paraId="184B9017" w14:textId="767A01E6" w:rsidR="00DA77A7" w:rsidRDefault="00DA77A7" w:rsidP="00850519">
      <w:pPr>
        <w:spacing w:after="0" w:line="240" w:lineRule="auto"/>
        <w:jc w:val="both"/>
        <w:rPr>
          <w:rFonts w:cs="Calibri"/>
        </w:rPr>
      </w:pPr>
    </w:p>
    <w:p w14:paraId="41A7BE94" w14:textId="5B470E81" w:rsidR="00DA77A7" w:rsidRDefault="00DA77A7" w:rsidP="00850519">
      <w:pPr>
        <w:spacing w:after="0" w:line="240" w:lineRule="auto"/>
        <w:jc w:val="both"/>
        <w:rPr>
          <w:rFonts w:cs="Calibri"/>
        </w:rPr>
      </w:pPr>
    </w:p>
    <w:p w14:paraId="5004436E" w14:textId="4E9BA143" w:rsidR="00DA77A7" w:rsidRDefault="00DA77A7" w:rsidP="00850519">
      <w:pPr>
        <w:spacing w:after="0" w:line="240" w:lineRule="auto"/>
        <w:jc w:val="both"/>
        <w:rPr>
          <w:rFonts w:cs="Calibri"/>
        </w:rPr>
      </w:pPr>
    </w:p>
    <w:p w14:paraId="43865A10" w14:textId="1439DFAC" w:rsidR="00DA77A7" w:rsidRDefault="00DA77A7" w:rsidP="00850519">
      <w:pPr>
        <w:spacing w:after="0" w:line="240" w:lineRule="auto"/>
        <w:jc w:val="both"/>
        <w:rPr>
          <w:rFonts w:cs="Calibri"/>
        </w:rPr>
      </w:pPr>
    </w:p>
    <w:p w14:paraId="0B468462" w14:textId="2B514E3D" w:rsidR="00DA77A7" w:rsidRDefault="00DA77A7" w:rsidP="00850519">
      <w:pPr>
        <w:spacing w:after="0" w:line="240" w:lineRule="auto"/>
        <w:jc w:val="both"/>
        <w:rPr>
          <w:rFonts w:cs="Calibri"/>
        </w:rPr>
      </w:pPr>
    </w:p>
    <w:p w14:paraId="69333B32" w14:textId="6D72E07A" w:rsidR="00DA77A7" w:rsidRDefault="00DA77A7" w:rsidP="00850519">
      <w:pPr>
        <w:spacing w:after="0" w:line="240" w:lineRule="auto"/>
        <w:jc w:val="both"/>
        <w:rPr>
          <w:rFonts w:cs="Calibri"/>
        </w:rPr>
      </w:pPr>
    </w:p>
    <w:p w14:paraId="6B1A9710" w14:textId="76222CA2" w:rsidR="00DA77A7" w:rsidRDefault="00DA77A7" w:rsidP="00850519">
      <w:pPr>
        <w:spacing w:after="0" w:line="240" w:lineRule="auto"/>
        <w:jc w:val="both"/>
        <w:rPr>
          <w:rFonts w:cs="Calibri"/>
        </w:rPr>
      </w:pPr>
    </w:p>
    <w:p w14:paraId="18172B61" w14:textId="4BE7EAB3" w:rsidR="00DA77A7" w:rsidRDefault="00DA77A7" w:rsidP="00850519">
      <w:pPr>
        <w:spacing w:after="0" w:line="240" w:lineRule="auto"/>
        <w:jc w:val="both"/>
        <w:rPr>
          <w:rFonts w:cs="Calibri"/>
        </w:rPr>
      </w:pPr>
    </w:p>
    <w:p w14:paraId="1B23B34A" w14:textId="43A1E4B1" w:rsidR="00DA77A7" w:rsidRDefault="00DA77A7" w:rsidP="00850519">
      <w:pPr>
        <w:spacing w:after="0" w:line="240" w:lineRule="auto"/>
        <w:jc w:val="both"/>
        <w:rPr>
          <w:rFonts w:cs="Calibri"/>
        </w:rPr>
      </w:pPr>
    </w:p>
    <w:p w14:paraId="34CF26BB" w14:textId="0A0D91E7" w:rsidR="00DA77A7" w:rsidRDefault="00DA77A7" w:rsidP="00850519">
      <w:pPr>
        <w:spacing w:after="0" w:line="240" w:lineRule="auto"/>
        <w:jc w:val="both"/>
        <w:rPr>
          <w:rFonts w:cs="Calibri"/>
        </w:rPr>
      </w:pPr>
    </w:p>
    <w:p w14:paraId="45A306B6" w14:textId="1A454C03" w:rsidR="00DA77A7" w:rsidRDefault="00DA77A7" w:rsidP="00850519">
      <w:pPr>
        <w:spacing w:after="0" w:line="240" w:lineRule="auto"/>
        <w:jc w:val="both"/>
        <w:rPr>
          <w:rFonts w:cs="Calibri"/>
        </w:rPr>
      </w:pPr>
    </w:p>
    <w:p w14:paraId="6F81C509" w14:textId="6070E214" w:rsidR="00DA77A7" w:rsidRDefault="00DA77A7" w:rsidP="00850519">
      <w:pPr>
        <w:spacing w:after="0" w:line="240" w:lineRule="auto"/>
        <w:jc w:val="both"/>
        <w:rPr>
          <w:rFonts w:cs="Calibri"/>
        </w:rPr>
      </w:pPr>
    </w:p>
    <w:p w14:paraId="659E0430" w14:textId="7A1386FE" w:rsidR="00DA77A7" w:rsidRDefault="00DA77A7" w:rsidP="00850519">
      <w:pPr>
        <w:spacing w:after="0" w:line="240" w:lineRule="auto"/>
        <w:jc w:val="both"/>
        <w:rPr>
          <w:rFonts w:cs="Calibri"/>
        </w:rPr>
      </w:pPr>
    </w:p>
    <w:p w14:paraId="5A2EAB25" w14:textId="4B68816F" w:rsidR="00DA77A7" w:rsidRDefault="00DA77A7" w:rsidP="00850519">
      <w:pPr>
        <w:spacing w:after="0" w:line="240" w:lineRule="auto"/>
        <w:jc w:val="both"/>
        <w:rPr>
          <w:rFonts w:cs="Calibri"/>
        </w:rPr>
      </w:pPr>
    </w:p>
    <w:p w14:paraId="033A54BF" w14:textId="6FD1D98F" w:rsidR="00DA77A7" w:rsidRDefault="00DA77A7" w:rsidP="00850519">
      <w:pPr>
        <w:spacing w:after="0" w:line="240" w:lineRule="auto"/>
        <w:jc w:val="both"/>
        <w:rPr>
          <w:rFonts w:cs="Calibri"/>
        </w:rPr>
      </w:pPr>
    </w:p>
    <w:p w14:paraId="6094294D" w14:textId="2F016489" w:rsidR="00DA77A7" w:rsidRDefault="00DA77A7" w:rsidP="00850519">
      <w:pPr>
        <w:spacing w:after="0" w:line="240" w:lineRule="auto"/>
        <w:jc w:val="both"/>
        <w:rPr>
          <w:rFonts w:cs="Calibri"/>
        </w:rPr>
      </w:pPr>
    </w:p>
    <w:p w14:paraId="637AB562" w14:textId="758D53BB" w:rsidR="00DA77A7" w:rsidRDefault="00DA77A7" w:rsidP="00850519">
      <w:pPr>
        <w:spacing w:after="0" w:line="240" w:lineRule="auto"/>
        <w:jc w:val="both"/>
        <w:rPr>
          <w:rFonts w:cs="Calibri"/>
        </w:rPr>
      </w:pPr>
    </w:p>
    <w:p w14:paraId="49D212B0" w14:textId="1B23B731" w:rsidR="00DA77A7" w:rsidRDefault="00DA77A7" w:rsidP="00850519">
      <w:pPr>
        <w:spacing w:after="0" w:line="240" w:lineRule="auto"/>
        <w:jc w:val="both"/>
        <w:rPr>
          <w:rFonts w:cs="Calibri"/>
        </w:rPr>
      </w:pPr>
    </w:p>
    <w:p w14:paraId="443790B1" w14:textId="22B6B17E" w:rsidR="00DA77A7" w:rsidRDefault="00DA77A7" w:rsidP="00850519">
      <w:pPr>
        <w:spacing w:after="0" w:line="240" w:lineRule="auto"/>
        <w:jc w:val="both"/>
        <w:rPr>
          <w:rFonts w:cs="Calibri"/>
        </w:rPr>
      </w:pPr>
    </w:p>
    <w:p w14:paraId="55C3E46C" w14:textId="60FF0AD4" w:rsidR="00DA77A7" w:rsidRDefault="00DA77A7" w:rsidP="00850519">
      <w:pPr>
        <w:spacing w:after="0" w:line="240" w:lineRule="auto"/>
        <w:jc w:val="both"/>
        <w:rPr>
          <w:rFonts w:cs="Calibri"/>
        </w:rPr>
      </w:pPr>
    </w:p>
    <w:p w14:paraId="334F6366" w14:textId="07A5079D" w:rsidR="00B83477" w:rsidRDefault="00B83477" w:rsidP="00850519">
      <w:pPr>
        <w:spacing w:after="0" w:line="240" w:lineRule="auto"/>
        <w:jc w:val="both"/>
        <w:rPr>
          <w:rFonts w:cs="Calibri"/>
        </w:rPr>
      </w:pPr>
    </w:p>
    <w:p w14:paraId="6121D76B" w14:textId="6A52055A" w:rsidR="00B83477" w:rsidRDefault="00B83477" w:rsidP="00850519">
      <w:pPr>
        <w:spacing w:after="0" w:line="240" w:lineRule="auto"/>
        <w:jc w:val="both"/>
        <w:rPr>
          <w:rFonts w:cs="Calibri"/>
        </w:rPr>
      </w:pPr>
    </w:p>
    <w:p w14:paraId="67A43398" w14:textId="215C4F9F" w:rsidR="00B83477" w:rsidRDefault="00B83477" w:rsidP="00850519">
      <w:pPr>
        <w:spacing w:after="0" w:line="240" w:lineRule="auto"/>
        <w:jc w:val="both"/>
        <w:rPr>
          <w:rFonts w:cs="Calibri"/>
        </w:rPr>
      </w:pPr>
    </w:p>
    <w:p w14:paraId="6D6754D6" w14:textId="302E79EC" w:rsidR="00B83477" w:rsidRDefault="00B83477" w:rsidP="00850519">
      <w:pPr>
        <w:spacing w:after="0" w:line="240" w:lineRule="auto"/>
        <w:jc w:val="both"/>
        <w:rPr>
          <w:rFonts w:cs="Calibri"/>
        </w:rPr>
      </w:pPr>
    </w:p>
    <w:p w14:paraId="02082708" w14:textId="0DCE1EA6" w:rsidR="00B83477" w:rsidRDefault="00B83477" w:rsidP="00850519">
      <w:pPr>
        <w:spacing w:after="0" w:line="240" w:lineRule="auto"/>
        <w:jc w:val="both"/>
        <w:rPr>
          <w:rFonts w:cs="Calibri"/>
        </w:rPr>
      </w:pPr>
    </w:p>
    <w:p w14:paraId="377A7763" w14:textId="7042DA78" w:rsidR="00B83477" w:rsidRDefault="00B83477" w:rsidP="00850519">
      <w:pPr>
        <w:spacing w:after="0" w:line="240" w:lineRule="auto"/>
        <w:jc w:val="both"/>
        <w:rPr>
          <w:rFonts w:cs="Calibri"/>
        </w:rPr>
      </w:pPr>
    </w:p>
    <w:p w14:paraId="4FC40EB3" w14:textId="2F74D274" w:rsidR="00B83477" w:rsidRDefault="00B83477" w:rsidP="00850519">
      <w:pPr>
        <w:spacing w:after="0" w:line="240" w:lineRule="auto"/>
        <w:jc w:val="both"/>
        <w:rPr>
          <w:rFonts w:cs="Calibri"/>
        </w:rPr>
      </w:pPr>
    </w:p>
    <w:p w14:paraId="2FBA756C" w14:textId="77777777" w:rsidR="00B83477" w:rsidRDefault="00B83477" w:rsidP="00850519">
      <w:pPr>
        <w:spacing w:after="0" w:line="240" w:lineRule="auto"/>
        <w:jc w:val="both"/>
        <w:rPr>
          <w:rFonts w:cs="Calibri"/>
        </w:rPr>
      </w:pPr>
    </w:p>
    <w:p w14:paraId="56646FF4" w14:textId="6627BCBA" w:rsidR="00DA77A7" w:rsidRDefault="00DA77A7" w:rsidP="00850519">
      <w:pPr>
        <w:spacing w:after="0" w:line="240" w:lineRule="auto"/>
        <w:jc w:val="both"/>
        <w:rPr>
          <w:rFonts w:cs="Calibri"/>
        </w:rPr>
      </w:pPr>
    </w:p>
    <w:p w14:paraId="1D802AA7" w14:textId="58F0FE8A" w:rsidR="00DA77A7" w:rsidRDefault="00DA77A7" w:rsidP="00850519">
      <w:pPr>
        <w:spacing w:after="0" w:line="240" w:lineRule="auto"/>
        <w:jc w:val="both"/>
        <w:rPr>
          <w:rFonts w:cs="Calibri"/>
        </w:rPr>
      </w:pPr>
    </w:p>
    <w:p w14:paraId="3061E4FA" w14:textId="402F0EE3" w:rsidR="00DA77A7" w:rsidRDefault="00DA77A7" w:rsidP="00850519">
      <w:pPr>
        <w:spacing w:after="0" w:line="240" w:lineRule="auto"/>
        <w:jc w:val="both"/>
        <w:rPr>
          <w:rFonts w:cs="Calibri"/>
        </w:rPr>
      </w:pPr>
    </w:p>
    <w:p w14:paraId="685AF653" w14:textId="77777777" w:rsidR="00797F22" w:rsidRDefault="00797F22" w:rsidP="00850519">
      <w:pPr>
        <w:spacing w:after="0" w:line="240" w:lineRule="auto"/>
        <w:jc w:val="both"/>
        <w:rPr>
          <w:rFonts w:cs="Calibri"/>
        </w:rPr>
      </w:pPr>
    </w:p>
    <w:p w14:paraId="4FE816D0" w14:textId="15BFF7B7" w:rsidR="00DA77A7" w:rsidRDefault="00DA77A7" w:rsidP="00850519">
      <w:pPr>
        <w:spacing w:after="0" w:line="240" w:lineRule="auto"/>
        <w:jc w:val="both"/>
        <w:rPr>
          <w:rFonts w:cs="Calibri"/>
        </w:rPr>
      </w:pPr>
    </w:p>
    <w:p w14:paraId="0BD00AFD" w14:textId="77777777" w:rsidR="00037318" w:rsidRPr="00C16CCB" w:rsidRDefault="00037318" w:rsidP="00037318">
      <w:pPr>
        <w:spacing w:after="0" w:line="240" w:lineRule="auto"/>
        <w:jc w:val="both"/>
        <w:rPr>
          <w:rFonts w:eastAsia="Calibri" w:cstheme="minorHAnsi"/>
          <w:b/>
          <w:sz w:val="28"/>
          <w:szCs w:val="28"/>
          <w:u w:val="single"/>
        </w:rPr>
      </w:pPr>
      <w:r w:rsidRPr="00C16CCB">
        <w:rPr>
          <w:rFonts w:eastAsia="Calibri" w:cstheme="minorHAnsi"/>
          <w:b/>
          <w:sz w:val="28"/>
          <w:szCs w:val="28"/>
          <w:u w:val="single"/>
        </w:rPr>
        <w:lastRenderedPageBreak/>
        <w:t>Kapitola 05 – Školství</w:t>
      </w:r>
    </w:p>
    <w:p w14:paraId="474249BA" w14:textId="77777777" w:rsidR="00037318" w:rsidRPr="00C16CCB" w:rsidRDefault="00037318" w:rsidP="00037318">
      <w:pPr>
        <w:spacing w:after="0" w:line="240" w:lineRule="auto"/>
        <w:jc w:val="both"/>
        <w:rPr>
          <w:rFonts w:cstheme="minorHAnsi"/>
        </w:rPr>
      </w:pPr>
    </w:p>
    <w:p w14:paraId="551338CA" w14:textId="77777777" w:rsidR="00037318" w:rsidRPr="00C16CCB" w:rsidRDefault="00037318" w:rsidP="00037318">
      <w:pPr>
        <w:spacing w:after="0" w:line="240" w:lineRule="auto"/>
        <w:jc w:val="both"/>
        <w:rPr>
          <w:rFonts w:eastAsia="Calibri" w:cstheme="minorHAnsi"/>
          <w:b/>
          <w:sz w:val="24"/>
          <w:szCs w:val="24"/>
          <w:u w:val="single"/>
        </w:rPr>
      </w:pPr>
      <w:r w:rsidRPr="00C16CCB">
        <w:rPr>
          <w:rFonts w:eastAsia="Calibri" w:cstheme="minorHAnsi"/>
          <w:b/>
          <w:sz w:val="24"/>
          <w:szCs w:val="24"/>
          <w:u w:val="single"/>
        </w:rPr>
        <w:t>Běžné výdaje</w:t>
      </w:r>
    </w:p>
    <w:p w14:paraId="5D767D84" w14:textId="77777777" w:rsidR="00037318" w:rsidRPr="00C16CCB" w:rsidRDefault="00037318" w:rsidP="00037318">
      <w:pPr>
        <w:spacing w:after="0" w:line="240" w:lineRule="auto"/>
        <w:jc w:val="both"/>
        <w:rPr>
          <w:rFonts w:eastAsia="Calibri" w:cstheme="minorHAnsi"/>
          <w:b/>
          <w:u w:val="single"/>
        </w:rPr>
      </w:pPr>
    </w:p>
    <w:p w14:paraId="25BA0C84" w14:textId="77777777" w:rsidR="00037318" w:rsidRPr="00C16CCB" w:rsidRDefault="00037318" w:rsidP="00037318">
      <w:pPr>
        <w:spacing w:after="0" w:line="240" w:lineRule="auto"/>
        <w:jc w:val="both"/>
        <w:rPr>
          <w:rFonts w:cstheme="minorHAnsi"/>
        </w:rPr>
      </w:pPr>
      <w:r w:rsidRPr="00C16CCB">
        <w:rPr>
          <w:rFonts w:cstheme="minorHAnsi"/>
          <w:b/>
        </w:rPr>
        <w:t xml:space="preserve">Příspěvek příspěvkovým organizacím na provoz škol zřizovaných Středočeským krajem </w:t>
      </w:r>
    </w:p>
    <w:p w14:paraId="6D7EFC71" w14:textId="77777777" w:rsidR="00037318" w:rsidRPr="00C16CCB" w:rsidRDefault="00037318" w:rsidP="00037318">
      <w:pPr>
        <w:spacing w:after="0" w:line="240" w:lineRule="auto"/>
        <w:jc w:val="both"/>
        <w:rPr>
          <w:rFonts w:cstheme="minorHAnsi"/>
        </w:rPr>
      </w:pPr>
      <w:r w:rsidRPr="00C16CCB">
        <w:rPr>
          <w:rFonts w:cstheme="minorHAnsi"/>
        </w:rPr>
        <w:t>Zastupitelstvo Středočeského kraje usnesením č. 006-02/2020/ZK ze dne 14. 12. 2020 schválilo do kapitoly 05 - Školství na rok 2021 na provoz škol zřizovaných Středočeským krajem 465 055 000,00 Kč. Upravený rozpočet k 31. 12. 2021 činil 544 502 074,37 Kč. Finanční prostředky byly navýšeny na základě usnesení č. 007-04/2021/ZK ze dne 22. 2. 2021 (navýšení rozpočtu Středočeského kraje o prostředky ze sdílených daní a nevyčerpané prostředky z roku 2020) o 1 000 000,00 Kč, které byly přímo určeny pro posílení provozního rozpočtu organizace VISK. Dále byl rozpočet navýšen na základě usnesení č. 007-06/2021/ZK ze dne 26. 4. 2021 (rozdělení zůstatku hospodaření Středočeského kraje z roku 2020) o 1 591 356,37 Kč a převodem z kapitoly 25 – Bezpečnost a prevence za účelem financování odměn pro tři vítězné školy, které se zúčastnily soutěže v rámci projektu „Kraje pro bezpečný internet“ ve výši 60 000,00 Kč (usnesení č. 063-24/2021/RK ze dne 3. 6. 2021). Usnesením č. 045-12/2021/RK ze dne 11. 3. 2021 byly z kapitoly 23 – Ostatní, Specifické rezervy (rezerva na krytí propadu daňových příjmů) převedeny finanční prostředky ve výši 72 500 000,00 Kč. Objem těchto prostředků byl rovný objemu zafixovaných finančních prostředků v rezervních fondech a fondech investic škol a školských zařízení z roku 2020. Výše uvedené prostředky byly zároveň rozepsány příslušným školám a školským zařízením, čímž došlo k navýšení příspěvku od zřizovatele ve výši fixace finančních prostředků. V druhém pololetí r. 2021 byl pak rozpočet na provoz navýšen ještě převodem 250 000,00 Kč z kapitoly 17 – Sociální věci za účelem posílení příspěvku na provoz pro organizaci VISK, která organizuje kvalifikační kurzy pro pracovníky v sociálních službách (usnesení č. 113-32/2021/RK ze dne 26. 8. 2021) a o 4 045 718,00 Kč, tj. doplnění o disponibilní zdroje z UZ 000 – podpora kvality škol a rozvojové projekty (usnesení č. 066-46/2021/RK ze dne 9. 12. 2021).</w:t>
      </w:r>
    </w:p>
    <w:p w14:paraId="3BA768BF" w14:textId="77777777" w:rsidR="00037318" w:rsidRPr="00C16CCB" w:rsidRDefault="00037318" w:rsidP="00037318">
      <w:pPr>
        <w:spacing w:after="0" w:line="240" w:lineRule="auto"/>
        <w:jc w:val="both"/>
        <w:rPr>
          <w:rFonts w:cstheme="minorHAnsi"/>
        </w:rPr>
      </w:pPr>
      <w:r w:rsidRPr="00C16CCB">
        <w:rPr>
          <w:rFonts w:cstheme="minorHAnsi"/>
        </w:rPr>
        <w:t>Rozpočet byl dále upravován na základě jednotlivých rozpočtových úprav v rámci kapitoly 05 – Školství (usnesení č. 050-10/2021/RK ze dne 4. 3. 2021, usnesení č. 041-20/2021/RK ze dne 6. 5. 2021, usnesení č. 079-30/2021/RK ze dne 29. 7. 2021, usnesení č. 082-42/2021/RK ze dne 11. 11. 2021 a usnesení č. 066-46/2021/RK ze dne 9. 12. 2021).</w:t>
      </w:r>
    </w:p>
    <w:p w14:paraId="206A3E3B" w14:textId="77777777" w:rsidR="00037318" w:rsidRPr="00C16CCB" w:rsidRDefault="00037318" w:rsidP="00037318">
      <w:pPr>
        <w:spacing w:after="0" w:line="240" w:lineRule="auto"/>
        <w:jc w:val="both"/>
        <w:rPr>
          <w:rFonts w:cstheme="minorHAnsi"/>
        </w:rPr>
      </w:pPr>
      <w:r w:rsidRPr="00C16CCB">
        <w:rPr>
          <w:rFonts w:cstheme="minorHAnsi"/>
        </w:rPr>
        <w:t>Prostředky byly použity na financování mandatorních výdajů, jako např. výdajů na materiál, energie, služby a povinné revize. Dále byly financovány drobné opravy a havárie, vybavení nových prostor nábytkem, obnova zastaralé IT techniky, výdaje dětských domovů a ostatní nezbytné výdaje pro provoz škol a školských zařízení zřizovaných Středočeským krajem. Z celkových provozních výdajů bylo k 31. 12. 2021 čerpáno 99,7 % upraveného rozpočtu.</w:t>
      </w:r>
    </w:p>
    <w:p w14:paraId="26E224EB" w14:textId="77777777" w:rsidR="00037318" w:rsidRPr="00C16CCB" w:rsidRDefault="00037318" w:rsidP="00037318">
      <w:pPr>
        <w:spacing w:after="0" w:line="240" w:lineRule="auto"/>
        <w:jc w:val="both"/>
        <w:rPr>
          <w:rFonts w:cstheme="minorHAnsi"/>
        </w:rPr>
      </w:pPr>
      <w:r w:rsidRPr="00C16CCB">
        <w:rPr>
          <w:rFonts w:cstheme="minorHAnsi"/>
        </w:rPr>
        <w:t>Prostředky byly rozpočtovány na následující paragrafy dle jednotlivých druhů škol a školských zařízení:</w:t>
      </w:r>
    </w:p>
    <w:p w14:paraId="4CAF09C9" w14:textId="77777777" w:rsidR="00037318" w:rsidRPr="00C16CCB" w:rsidRDefault="00037318" w:rsidP="00037318">
      <w:pPr>
        <w:spacing w:after="0" w:line="240" w:lineRule="auto"/>
        <w:jc w:val="both"/>
        <w:rPr>
          <w:rFonts w:cstheme="minorHAnsi"/>
        </w:rPr>
      </w:pPr>
      <w:r w:rsidRPr="00C16CCB">
        <w:rPr>
          <w:rFonts w:cstheme="minorHAnsi"/>
        </w:rPr>
        <w:t>§ 3112 – Mateřské školy pro děti se speciálními vzdělávacími potřebami,</w:t>
      </w:r>
    </w:p>
    <w:p w14:paraId="7217499F" w14:textId="77777777" w:rsidR="00037318" w:rsidRPr="00C16CCB" w:rsidRDefault="00037318" w:rsidP="00037318">
      <w:pPr>
        <w:spacing w:after="0" w:line="240" w:lineRule="auto"/>
        <w:jc w:val="both"/>
        <w:rPr>
          <w:rFonts w:cstheme="minorHAnsi"/>
        </w:rPr>
      </w:pPr>
      <w:r w:rsidRPr="00C16CCB">
        <w:rPr>
          <w:rFonts w:cstheme="minorHAnsi"/>
        </w:rPr>
        <w:t>§ 3114 – Základní školy pro žáky se speciálními vzdělávacími potřebami,</w:t>
      </w:r>
    </w:p>
    <w:p w14:paraId="02703E4B" w14:textId="77777777" w:rsidR="00037318" w:rsidRPr="00C16CCB" w:rsidRDefault="00037318" w:rsidP="00037318">
      <w:pPr>
        <w:spacing w:after="0" w:line="240" w:lineRule="auto"/>
        <w:jc w:val="both"/>
        <w:rPr>
          <w:rFonts w:cstheme="minorHAnsi"/>
        </w:rPr>
      </w:pPr>
      <w:r w:rsidRPr="00C16CCB">
        <w:rPr>
          <w:rFonts w:cstheme="minorHAnsi"/>
        </w:rPr>
        <w:t>§ 3121 – Gymnázia,</w:t>
      </w:r>
    </w:p>
    <w:p w14:paraId="27127B85" w14:textId="77777777" w:rsidR="00037318" w:rsidRPr="00C16CCB" w:rsidRDefault="00037318" w:rsidP="00037318">
      <w:pPr>
        <w:spacing w:after="0" w:line="240" w:lineRule="auto"/>
        <w:jc w:val="both"/>
        <w:rPr>
          <w:rFonts w:cstheme="minorHAnsi"/>
        </w:rPr>
      </w:pPr>
      <w:r w:rsidRPr="00C16CCB">
        <w:rPr>
          <w:rFonts w:cstheme="minorHAnsi"/>
        </w:rPr>
        <w:t>§ 3122 – Střední odborné školy,</w:t>
      </w:r>
    </w:p>
    <w:p w14:paraId="0B19609C" w14:textId="77777777" w:rsidR="00037318" w:rsidRPr="00C16CCB" w:rsidRDefault="00037318" w:rsidP="00037318">
      <w:pPr>
        <w:spacing w:after="0" w:line="240" w:lineRule="auto"/>
        <w:jc w:val="both"/>
        <w:rPr>
          <w:rFonts w:cstheme="minorHAnsi"/>
        </w:rPr>
      </w:pPr>
      <w:r w:rsidRPr="00C16CCB">
        <w:rPr>
          <w:rFonts w:cstheme="minorHAnsi"/>
        </w:rPr>
        <w:t>§ 3123 – Střední školy poskytující střední vzdělání s výučním listem,</w:t>
      </w:r>
    </w:p>
    <w:p w14:paraId="679BE922" w14:textId="77777777" w:rsidR="00037318" w:rsidRPr="00C16CCB" w:rsidRDefault="00037318" w:rsidP="00037318">
      <w:pPr>
        <w:spacing w:after="0" w:line="240" w:lineRule="auto"/>
        <w:jc w:val="both"/>
        <w:rPr>
          <w:rFonts w:cstheme="minorHAnsi"/>
        </w:rPr>
      </w:pPr>
      <w:r w:rsidRPr="00C16CCB">
        <w:rPr>
          <w:rFonts w:cstheme="minorHAnsi"/>
        </w:rPr>
        <w:t>§ 3125 – Střediska praktického vyučování a školní hospodářství,</w:t>
      </w:r>
    </w:p>
    <w:p w14:paraId="634B9A7C" w14:textId="77777777" w:rsidR="00037318" w:rsidRPr="00C16CCB" w:rsidRDefault="00037318" w:rsidP="00037318">
      <w:pPr>
        <w:spacing w:after="0" w:line="240" w:lineRule="auto"/>
        <w:jc w:val="both"/>
        <w:rPr>
          <w:rFonts w:cstheme="minorHAnsi"/>
        </w:rPr>
      </w:pPr>
      <w:r w:rsidRPr="00C16CCB">
        <w:rPr>
          <w:rFonts w:cstheme="minorHAnsi"/>
        </w:rPr>
        <w:t>§ 3133 – Dětské domovy,</w:t>
      </w:r>
    </w:p>
    <w:p w14:paraId="66727EC8" w14:textId="77777777" w:rsidR="00037318" w:rsidRPr="00C16CCB" w:rsidRDefault="00037318" w:rsidP="00037318">
      <w:pPr>
        <w:spacing w:after="0" w:line="240" w:lineRule="auto"/>
        <w:jc w:val="both"/>
        <w:rPr>
          <w:rFonts w:cstheme="minorHAnsi"/>
        </w:rPr>
      </w:pPr>
      <w:r w:rsidRPr="00C16CCB">
        <w:rPr>
          <w:rFonts w:cstheme="minorHAnsi"/>
        </w:rPr>
        <w:t>§ 3146 – Zařízení výchovného poradenství,</w:t>
      </w:r>
    </w:p>
    <w:p w14:paraId="5176A289" w14:textId="77777777" w:rsidR="00037318" w:rsidRPr="00C16CCB" w:rsidRDefault="00037318" w:rsidP="00037318">
      <w:pPr>
        <w:spacing w:after="0" w:line="240" w:lineRule="auto"/>
        <w:jc w:val="both"/>
        <w:rPr>
          <w:rFonts w:cstheme="minorHAnsi"/>
        </w:rPr>
      </w:pPr>
      <w:r w:rsidRPr="00C16CCB">
        <w:rPr>
          <w:rFonts w:cstheme="minorHAnsi"/>
        </w:rPr>
        <w:t>§ 3231 – Základní umělecké školy,</w:t>
      </w:r>
    </w:p>
    <w:p w14:paraId="4F46407A" w14:textId="77777777" w:rsidR="00037318" w:rsidRPr="00C16CCB" w:rsidRDefault="00037318" w:rsidP="00037318">
      <w:pPr>
        <w:spacing w:after="0" w:line="240" w:lineRule="auto"/>
        <w:jc w:val="both"/>
        <w:rPr>
          <w:rFonts w:cstheme="minorHAnsi"/>
        </w:rPr>
      </w:pPr>
      <w:r w:rsidRPr="00C16CCB">
        <w:rPr>
          <w:rFonts w:cstheme="minorHAnsi"/>
        </w:rPr>
        <w:t>§ 3269 – Ostatní správa ve vzdělávání jinde nezařazená,</w:t>
      </w:r>
    </w:p>
    <w:p w14:paraId="552478F0" w14:textId="77777777" w:rsidR="00037318" w:rsidRPr="00C16CCB" w:rsidRDefault="00037318" w:rsidP="00037318">
      <w:pPr>
        <w:spacing w:after="0" w:line="240" w:lineRule="auto"/>
        <w:jc w:val="both"/>
        <w:rPr>
          <w:rFonts w:cstheme="minorHAnsi"/>
        </w:rPr>
      </w:pPr>
      <w:r w:rsidRPr="00C16CCB">
        <w:rPr>
          <w:rFonts w:cstheme="minorHAnsi"/>
        </w:rPr>
        <w:t>§ 3294 – Zařízení pro další vzdělávání pedagogických pracovníků,</w:t>
      </w:r>
    </w:p>
    <w:p w14:paraId="73406940" w14:textId="77777777" w:rsidR="00037318" w:rsidRPr="00C16CCB" w:rsidRDefault="00037318" w:rsidP="00037318">
      <w:pPr>
        <w:spacing w:after="0" w:line="240" w:lineRule="auto"/>
        <w:jc w:val="both"/>
        <w:rPr>
          <w:rFonts w:cstheme="minorHAnsi"/>
        </w:rPr>
      </w:pPr>
      <w:r w:rsidRPr="00C16CCB">
        <w:rPr>
          <w:rFonts w:cstheme="minorHAnsi"/>
        </w:rPr>
        <w:t>§ 3421 – Využití volného času dětí a mládeže.</w:t>
      </w:r>
    </w:p>
    <w:p w14:paraId="0912A2D5" w14:textId="77777777" w:rsidR="00037318" w:rsidRPr="00C16CCB" w:rsidRDefault="00037318" w:rsidP="00037318">
      <w:pPr>
        <w:pStyle w:val="Zkladntext"/>
        <w:spacing w:after="0"/>
        <w:jc w:val="both"/>
        <w:rPr>
          <w:rFonts w:asciiTheme="minorHAnsi" w:hAnsiTheme="minorHAnsi" w:cstheme="minorHAnsi"/>
          <w:b/>
          <w:bCs/>
          <w:sz w:val="22"/>
          <w:szCs w:val="22"/>
        </w:rPr>
      </w:pPr>
    </w:p>
    <w:p w14:paraId="2AFD6C1E" w14:textId="77777777" w:rsidR="00037318" w:rsidRPr="00C16CCB" w:rsidRDefault="00037318" w:rsidP="00037318">
      <w:pPr>
        <w:pStyle w:val="Zkladntext"/>
        <w:spacing w:after="0"/>
        <w:jc w:val="both"/>
        <w:rPr>
          <w:rFonts w:asciiTheme="minorHAnsi" w:hAnsiTheme="minorHAnsi" w:cstheme="minorHAnsi"/>
          <w:b/>
          <w:bCs/>
          <w:sz w:val="22"/>
          <w:szCs w:val="22"/>
        </w:rPr>
      </w:pPr>
      <w:r w:rsidRPr="00C16CCB">
        <w:rPr>
          <w:rFonts w:asciiTheme="minorHAnsi" w:hAnsiTheme="minorHAnsi" w:cstheme="minorHAnsi"/>
          <w:b/>
          <w:bCs/>
          <w:sz w:val="22"/>
          <w:szCs w:val="22"/>
        </w:rPr>
        <w:t xml:space="preserve">Provoz škol – nájemné </w:t>
      </w:r>
    </w:p>
    <w:p w14:paraId="57299137" w14:textId="77777777" w:rsidR="00037318" w:rsidRPr="00C16CCB" w:rsidRDefault="00037318" w:rsidP="00037318">
      <w:pPr>
        <w:spacing w:after="0" w:line="240" w:lineRule="auto"/>
        <w:jc w:val="both"/>
        <w:rPr>
          <w:rFonts w:cstheme="minorHAnsi"/>
          <w:bCs/>
        </w:rPr>
      </w:pPr>
      <w:r w:rsidRPr="00C16CCB">
        <w:rPr>
          <w:rFonts w:cstheme="minorHAnsi"/>
          <w:bCs/>
        </w:rPr>
        <w:t xml:space="preserve">Zastupitelstvo Středočeského kraje usnesením č. </w:t>
      </w:r>
      <w:r w:rsidRPr="00C16CCB">
        <w:rPr>
          <w:rFonts w:cstheme="minorHAnsi"/>
        </w:rPr>
        <w:t xml:space="preserve">006-02/2020/ZK ze dne 14. 12. 2020 </w:t>
      </w:r>
      <w:r w:rsidRPr="00C16CCB">
        <w:rPr>
          <w:rFonts w:cstheme="minorHAnsi"/>
          <w:bCs/>
        </w:rPr>
        <w:t xml:space="preserve">schválilo do kapitoly 05 - Školství na rok 2021 na úhradu nájemného škol a školských zařízení zřizovaných Středočeským krajem 39 000 000,00 Kč. Upravený rozpočet k 31. 12. 2021 činil 40 141 706,82 Kč. Finanční prostředky byly navýšeny rozdělením zůstatku hospodaření Středočeského kraje z roku 2020 (usnesení č. </w:t>
      </w:r>
      <w:r w:rsidRPr="00C16CCB">
        <w:rPr>
          <w:rFonts w:cstheme="minorHAnsi"/>
        </w:rPr>
        <w:t>007-06/2021/ZK ze dne 26. 4. 2021</w:t>
      </w:r>
      <w:r w:rsidRPr="00C16CCB">
        <w:rPr>
          <w:rFonts w:cstheme="minorHAnsi"/>
          <w:bCs/>
        </w:rPr>
        <w:t xml:space="preserve">) o 1 141 706,82 Kč. </w:t>
      </w:r>
      <w:r w:rsidRPr="00C16CCB">
        <w:rPr>
          <w:rFonts w:cstheme="minorHAnsi"/>
        </w:rPr>
        <w:t>Rozpočet byl dále upravován na základě rozpočtových úprav v rámci kapitoly 05 – Školství (usnesení č. 041-20/2021/RK ze dne 6. 5. 2021, usnesení č. 079-30/2021/RK ze dne 29. 7. 2021 a usnesení č. 082-42/2021/RK ze dne 11. 11. 2021).</w:t>
      </w:r>
      <w:r w:rsidRPr="00C16CCB">
        <w:rPr>
          <w:rFonts w:cstheme="minorHAnsi"/>
          <w:bCs/>
        </w:rPr>
        <w:t xml:space="preserve"> </w:t>
      </w:r>
    </w:p>
    <w:p w14:paraId="70B4CE68" w14:textId="77777777" w:rsidR="00037318" w:rsidRPr="00C16CCB" w:rsidRDefault="00037318" w:rsidP="00037318">
      <w:pPr>
        <w:spacing w:after="0" w:line="240" w:lineRule="auto"/>
        <w:jc w:val="both"/>
        <w:rPr>
          <w:rFonts w:cstheme="minorHAnsi"/>
          <w:bCs/>
        </w:rPr>
      </w:pPr>
      <w:r w:rsidRPr="00C16CCB">
        <w:rPr>
          <w:rFonts w:cstheme="minorHAnsi"/>
          <w:bCs/>
        </w:rPr>
        <w:t xml:space="preserve">Finanční prostředky na úhradu nájemného pro školy a školská zařízení zřizované Středočeským krajem byly čerpány na základě uzavřených nájemních smluv pro rok 2021. K 31. 12. 2021 bylo čerpání ve výši 80,3 % upraveného rozpočtu. </w:t>
      </w:r>
      <w:r w:rsidRPr="00C16CCB">
        <w:rPr>
          <w:rFonts w:cstheme="minorHAnsi"/>
          <w:bCs/>
        </w:rPr>
        <w:lastRenderedPageBreak/>
        <w:t xml:space="preserve">Nižší čerpání rozpočtu bylo ovlivněno především uzavřením škol v důsledku koronavirové epidemie, kdy nebyly vyčerpány plánované prostředky na pronájmy tělocvičen a ostatních sportovišť. </w:t>
      </w:r>
    </w:p>
    <w:p w14:paraId="635F6D68" w14:textId="77777777" w:rsidR="00037318" w:rsidRPr="00C16CCB" w:rsidRDefault="00037318" w:rsidP="00037318">
      <w:pPr>
        <w:spacing w:after="0" w:line="240" w:lineRule="auto"/>
        <w:jc w:val="both"/>
        <w:rPr>
          <w:rFonts w:cstheme="minorHAnsi"/>
        </w:rPr>
      </w:pPr>
      <w:r w:rsidRPr="00C16CCB">
        <w:rPr>
          <w:rFonts w:cstheme="minorHAnsi"/>
        </w:rPr>
        <w:t>Prostředky byly rozpočtovány na následující paragrafy dle jednotlivých druhů škol a školských zařízení:</w:t>
      </w:r>
    </w:p>
    <w:p w14:paraId="5EF511E9" w14:textId="77777777" w:rsidR="00037318" w:rsidRPr="00C16CCB" w:rsidRDefault="00037318" w:rsidP="00037318">
      <w:pPr>
        <w:spacing w:after="0" w:line="240" w:lineRule="auto"/>
        <w:jc w:val="both"/>
        <w:rPr>
          <w:rFonts w:cstheme="minorHAnsi"/>
        </w:rPr>
      </w:pPr>
      <w:r w:rsidRPr="00C16CCB">
        <w:rPr>
          <w:rFonts w:cstheme="minorHAnsi"/>
        </w:rPr>
        <w:t>§ 3112 – Mateřské školy pro děti se speciálními vzdělávacími potřebami,</w:t>
      </w:r>
    </w:p>
    <w:p w14:paraId="7ABCFD65" w14:textId="77777777" w:rsidR="00037318" w:rsidRPr="00C16CCB" w:rsidRDefault="00037318" w:rsidP="00037318">
      <w:pPr>
        <w:spacing w:after="0" w:line="240" w:lineRule="auto"/>
        <w:jc w:val="both"/>
        <w:rPr>
          <w:rFonts w:cstheme="minorHAnsi"/>
        </w:rPr>
      </w:pPr>
      <w:r w:rsidRPr="00C16CCB">
        <w:rPr>
          <w:rFonts w:cstheme="minorHAnsi"/>
        </w:rPr>
        <w:t>§ 3114 – Základní školy pro žáky se speciálními vzdělávacími potřebami,</w:t>
      </w:r>
    </w:p>
    <w:p w14:paraId="3F51FF28" w14:textId="77777777" w:rsidR="00037318" w:rsidRPr="00C16CCB" w:rsidRDefault="00037318" w:rsidP="00037318">
      <w:pPr>
        <w:spacing w:after="0" w:line="240" w:lineRule="auto"/>
        <w:jc w:val="both"/>
        <w:rPr>
          <w:rFonts w:cstheme="minorHAnsi"/>
        </w:rPr>
      </w:pPr>
      <w:r w:rsidRPr="00C16CCB">
        <w:rPr>
          <w:rFonts w:cstheme="minorHAnsi"/>
        </w:rPr>
        <w:t>§ 3121 – Gymnázia,</w:t>
      </w:r>
    </w:p>
    <w:p w14:paraId="47B677EC" w14:textId="77777777" w:rsidR="00037318" w:rsidRPr="00C16CCB" w:rsidRDefault="00037318" w:rsidP="00037318">
      <w:pPr>
        <w:spacing w:after="0" w:line="240" w:lineRule="auto"/>
        <w:jc w:val="both"/>
        <w:rPr>
          <w:rFonts w:cstheme="minorHAnsi"/>
        </w:rPr>
      </w:pPr>
      <w:r w:rsidRPr="00C16CCB">
        <w:rPr>
          <w:rFonts w:cstheme="minorHAnsi"/>
        </w:rPr>
        <w:t>§ 3122 – Střední odborné školy,</w:t>
      </w:r>
    </w:p>
    <w:p w14:paraId="3E238322" w14:textId="77777777" w:rsidR="00037318" w:rsidRPr="00C16CCB" w:rsidRDefault="00037318" w:rsidP="00037318">
      <w:pPr>
        <w:spacing w:after="0" w:line="240" w:lineRule="auto"/>
        <w:jc w:val="both"/>
        <w:rPr>
          <w:rFonts w:cstheme="minorHAnsi"/>
        </w:rPr>
      </w:pPr>
      <w:r w:rsidRPr="00C16CCB">
        <w:rPr>
          <w:rFonts w:cstheme="minorHAnsi"/>
        </w:rPr>
        <w:t>§ 3123 – Střední školy poskytující střední vzdělání s výučním listem,</w:t>
      </w:r>
    </w:p>
    <w:p w14:paraId="736A867E" w14:textId="77777777" w:rsidR="00037318" w:rsidRPr="00C16CCB" w:rsidRDefault="00037318" w:rsidP="00037318">
      <w:pPr>
        <w:spacing w:after="0" w:line="240" w:lineRule="auto"/>
        <w:jc w:val="both"/>
        <w:rPr>
          <w:rFonts w:cstheme="minorHAnsi"/>
        </w:rPr>
      </w:pPr>
      <w:r w:rsidRPr="00C16CCB">
        <w:rPr>
          <w:rFonts w:cstheme="minorHAnsi"/>
        </w:rPr>
        <w:t>§ 3146 – Zařízení výchovného poradenství,</w:t>
      </w:r>
    </w:p>
    <w:p w14:paraId="58B67321" w14:textId="77777777" w:rsidR="00037318" w:rsidRPr="00C16CCB" w:rsidRDefault="00037318" w:rsidP="00037318">
      <w:pPr>
        <w:spacing w:after="0" w:line="240" w:lineRule="auto"/>
        <w:jc w:val="both"/>
        <w:rPr>
          <w:rFonts w:cstheme="minorHAnsi"/>
        </w:rPr>
      </w:pPr>
      <w:r w:rsidRPr="00C16CCB">
        <w:rPr>
          <w:rFonts w:cstheme="minorHAnsi"/>
        </w:rPr>
        <w:t>§ 3231 – Základní umělecké školy,</w:t>
      </w:r>
    </w:p>
    <w:p w14:paraId="6A6B8D6E" w14:textId="77777777" w:rsidR="00037318" w:rsidRPr="00C16CCB" w:rsidRDefault="00037318" w:rsidP="00037318">
      <w:pPr>
        <w:spacing w:after="0" w:line="240" w:lineRule="auto"/>
        <w:jc w:val="both"/>
        <w:rPr>
          <w:rFonts w:cstheme="minorHAnsi"/>
        </w:rPr>
      </w:pPr>
      <w:r w:rsidRPr="00C16CCB">
        <w:rPr>
          <w:rFonts w:cstheme="minorHAnsi"/>
        </w:rPr>
        <w:t>§ 3269 – Ostatní správa ve vzdělávání jinde nezařazená,</w:t>
      </w:r>
    </w:p>
    <w:p w14:paraId="3B1DAA00" w14:textId="77777777" w:rsidR="00037318" w:rsidRPr="00C16CCB" w:rsidRDefault="00037318" w:rsidP="00037318">
      <w:pPr>
        <w:spacing w:after="0" w:line="240" w:lineRule="auto"/>
        <w:jc w:val="both"/>
        <w:rPr>
          <w:rFonts w:cstheme="minorHAnsi"/>
        </w:rPr>
      </w:pPr>
      <w:r w:rsidRPr="00C16CCB">
        <w:rPr>
          <w:rFonts w:cstheme="minorHAnsi"/>
        </w:rPr>
        <w:t>§ 3294 – Zařízení pro další vzdělávání pedagogických pracovníků,</w:t>
      </w:r>
    </w:p>
    <w:p w14:paraId="7C0F9132" w14:textId="77777777" w:rsidR="00037318" w:rsidRPr="00C16CCB" w:rsidRDefault="00037318" w:rsidP="00037318">
      <w:pPr>
        <w:spacing w:after="0" w:line="240" w:lineRule="auto"/>
        <w:jc w:val="both"/>
        <w:rPr>
          <w:rFonts w:cstheme="minorHAnsi"/>
        </w:rPr>
      </w:pPr>
      <w:r w:rsidRPr="00C16CCB">
        <w:rPr>
          <w:rFonts w:cstheme="minorHAnsi"/>
        </w:rPr>
        <w:t>§ 3421 – Využití volného času dětí a mládeže.</w:t>
      </w:r>
    </w:p>
    <w:p w14:paraId="7C422B23" w14:textId="77777777" w:rsidR="00037318" w:rsidRPr="00C16CCB" w:rsidRDefault="00037318" w:rsidP="00037318">
      <w:pPr>
        <w:spacing w:after="0" w:line="240" w:lineRule="auto"/>
        <w:jc w:val="both"/>
        <w:rPr>
          <w:rFonts w:cstheme="minorHAnsi"/>
          <w:b/>
        </w:rPr>
      </w:pPr>
    </w:p>
    <w:p w14:paraId="117DE736" w14:textId="77777777" w:rsidR="00037318" w:rsidRPr="00C16CCB" w:rsidRDefault="00037318" w:rsidP="00037318">
      <w:pPr>
        <w:spacing w:after="0" w:line="240" w:lineRule="auto"/>
        <w:jc w:val="both"/>
        <w:rPr>
          <w:rFonts w:cstheme="minorHAnsi"/>
          <w:b/>
          <w:bCs/>
        </w:rPr>
      </w:pPr>
      <w:r w:rsidRPr="00C16CCB">
        <w:rPr>
          <w:rFonts w:cstheme="minorHAnsi"/>
          <w:b/>
          <w:bCs/>
        </w:rPr>
        <w:t>Velké opravy a havárie</w:t>
      </w:r>
    </w:p>
    <w:p w14:paraId="261BC215" w14:textId="77777777" w:rsidR="00037318" w:rsidRPr="00C16CCB" w:rsidRDefault="00037318" w:rsidP="00037318">
      <w:pPr>
        <w:spacing w:after="0" w:line="240" w:lineRule="auto"/>
        <w:jc w:val="both"/>
        <w:rPr>
          <w:rFonts w:cstheme="minorHAnsi"/>
        </w:rPr>
      </w:pPr>
      <w:r w:rsidRPr="00C16CCB">
        <w:rPr>
          <w:rFonts w:cstheme="minorHAnsi"/>
        </w:rPr>
        <w:t>Zastupitelstvo Středočeského kraje usnesením č. 006-02/2020/ZK ze dne 14. 12. 2020 schválilo do kapitoly 05 - Školství na rok 2021 na Velké opravy a havárie 45 000 000,00 Kč. Finanční prostředky byly navýšeny rozdělením zůstatku hospodaření Středočeského kraje z roku 2020 usnesením č. 007-06/2021/ZK ze dne 26. 4. 2021 o 1 708 177,59 Kč. Usnesením č. 053-16/2021/RK ze dne 8. 4. 2021, č. 049-23/2021/RK ze dne 27. 5. 2021, č. 056-27/2021/RK ze dne 24. 6. 2021, č. 084-29/2021/RK ze dne 15. 7. 2021, č. 053-41/2021/RK ze dne 4. 11. 2021 a č. 067-46/2021/RK ze dne 9. 12. 2021 byly finanční prostředky v celkové výši 3 913 527,82 Kč převedeny v rámci kapitoly 05 – Školství do kapitálových výdajů.</w:t>
      </w:r>
    </w:p>
    <w:p w14:paraId="079AD1CE" w14:textId="77777777" w:rsidR="001B3D6E" w:rsidRDefault="00037318" w:rsidP="001B3D6E">
      <w:pPr>
        <w:jc w:val="both"/>
        <w:rPr>
          <w:rFonts w:cstheme="minorHAnsi"/>
        </w:rPr>
      </w:pPr>
      <w:r w:rsidRPr="00C16CCB">
        <w:rPr>
          <w:rFonts w:cstheme="minorHAnsi"/>
        </w:rPr>
        <w:t>Rada kraje schválila k 31. 12. 2021 financování 76 akcí povahy Velké opravy nebo havárie v celkovém finančním objemu 42 794 649,77</w:t>
      </w:r>
      <w:r w:rsidRPr="00C16CCB">
        <w:rPr>
          <w:rFonts w:cstheme="minorHAnsi"/>
          <w:color w:val="FF0000"/>
        </w:rPr>
        <w:t xml:space="preserve"> </w:t>
      </w:r>
      <w:r w:rsidRPr="00C16CCB">
        <w:rPr>
          <w:rFonts w:cstheme="minorHAnsi"/>
        </w:rPr>
        <w:t>Kč. Skutečně čerpáno bylo 34 984 064,66 Kč</w:t>
      </w:r>
      <w:r w:rsidR="00A16061">
        <w:rPr>
          <w:rFonts w:cstheme="minorHAnsi"/>
        </w:rPr>
        <w:t>,</w:t>
      </w:r>
      <w:r w:rsidRPr="00C16CCB">
        <w:rPr>
          <w:rFonts w:cstheme="minorHAnsi"/>
        </w:rPr>
        <w:t xml:space="preserve"> t</w:t>
      </w:r>
      <w:r w:rsidR="00A16061">
        <w:rPr>
          <w:rFonts w:cstheme="minorHAnsi"/>
        </w:rPr>
        <w:t>j</w:t>
      </w:r>
      <w:r w:rsidRPr="00C16CCB">
        <w:rPr>
          <w:rFonts w:cstheme="minorHAnsi"/>
        </w:rPr>
        <w:t>. 81,7 % upraveného rozpočtu. K nedočerpání finančních prostředků došlo jednak z důvodu úspor v rámci výběrových řízení, kdy nedošlo k vyčerpání předpokládaných prostředků, a jednak proto, že se nepodařilo vysoutěžit dodavatele, byla dlouhá dodací lhůta nebo byly překážkou klimatické podmínky a akce se nestihly zrealizovat do konce roku.</w:t>
      </w:r>
    </w:p>
    <w:p w14:paraId="76F06C38" w14:textId="2C45AA16" w:rsidR="00037318" w:rsidRPr="00C16CCB" w:rsidRDefault="00037318" w:rsidP="001B3D6E">
      <w:pPr>
        <w:jc w:val="both"/>
        <w:rPr>
          <w:rFonts w:cstheme="minorHAnsi"/>
        </w:rPr>
      </w:pPr>
      <w:r w:rsidRPr="00C16CCB">
        <w:rPr>
          <w:rFonts w:cstheme="minorHAnsi"/>
        </w:rPr>
        <w:t>Prostředky byly rozpočtovány na následující paragrafy dle jednotlivých druhů škol a školských zařízení a související rezervu:</w:t>
      </w:r>
    </w:p>
    <w:p w14:paraId="0074AA84" w14:textId="77777777" w:rsidR="00037318" w:rsidRPr="00C16CCB" w:rsidRDefault="00037318" w:rsidP="00037318">
      <w:pPr>
        <w:spacing w:after="0" w:line="240" w:lineRule="auto"/>
        <w:jc w:val="both"/>
        <w:rPr>
          <w:rFonts w:cstheme="minorHAnsi"/>
        </w:rPr>
      </w:pPr>
      <w:r w:rsidRPr="00C16CCB">
        <w:rPr>
          <w:rFonts w:cstheme="minorHAnsi"/>
        </w:rPr>
        <w:t>§ 3114 – Základní školy pro žáky se speciálními vzdělávacími potřebami,</w:t>
      </w:r>
    </w:p>
    <w:p w14:paraId="16BE3B55" w14:textId="77777777" w:rsidR="00037318" w:rsidRPr="00C16CCB" w:rsidRDefault="00037318" w:rsidP="00037318">
      <w:pPr>
        <w:spacing w:after="0" w:line="240" w:lineRule="auto"/>
        <w:jc w:val="both"/>
        <w:rPr>
          <w:rFonts w:cstheme="minorHAnsi"/>
        </w:rPr>
      </w:pPr>
      <w:r w:rsidRPr="00C16CCB">
        <w:rPr>
          <w:rFonts w:cstheme="minorHAnsi"/>
        </w:rPr>
        <w:t>§ 3121 – Gymnázia,</w:t>
      </w:r>
    </w:p>
    <w:p w14:paraId="1AF6FA42" w14:textId="77777777" w:rsidR="00037318" w:rsidRPr="00C16CCB" w:rsidRDefault="00037318" w:rsidP="00037318">
      <w:pPr>
        <w:spacing w:after="0" w:line="240" w:lineRule="auto"/>
        <w:jc w:val="both"/>
        <w:rPr>
          <w:rFonts w:cstheme="minorHAnsi"/>
        </w:rPr>
      </w:pPr>
      <w:r w:rsidRPr="00C16CCB">
        <w:rPr>
          <w:rFonts w:cstheme="minorHAnsi"/>
        </w:rPr>
        <w:t>§ 3122 – Střední odborné školy,</w:t>
      </w:r>
    </w:p>
    <w:p w14:paraId="0FEB74CF" w14:textId="77777777" w:rsidR="00037318" w:rsidRPr="00C16CCB" w:rsidRDefault="00037318" w:rsidP="00037318">
      <w:pPr>
        <w:spacing w:after="0" w:line="240" w:lineRule="auto"/>
        <w:jc w:val="both"/>
        <w:rPr>
          <w:rFonts w:cstheme="minorHAnsi"/>
        </w:rPr>
      </w:pPr>
      <w:r w:rsidRPr="00C16CCB">
        <w:rPr>
          <w:rFonts w:cstheme="minorHAnsi"/>
        </w:rPr>
        <w:t>§ 3123 – Střední školy poskytující střední vzdělání s výučním listem,</w:t>
      </w:r>
    </w:p>
    <w:p w14:paraId="56ECD538" w14:textId="431C59DA" w:rsidR="00037318" w:rsidRPr="00C16CCB" w:rsidRDefault="00037318" w:rsidP="00037318">
      <w:pPr>
        <w:spacing w:after="0" w:line="240" w:lineRule="auto"/>
        <w:jc w:val="both"/>
        <w:rPr>
          <w:rFonts w:cstheme="minorHAnsi"/>
        </w:rPr>
      </w:pPr>
      <w:r w:rsidRPr="00C16CCB">
        <w:rPr>
          <w:rFonts w:cstheme="minorHAnsi"/>
        </w:rPr>
        <w:t>§ 3125 – Střediska praktického vyučování a školní hospodářství</w:t>
      </w:r>
      <w:r w:rsidR="008414A1">
        <w:rPr>
          <w:rFonts w:cstheme="minorHAnsi"/>
        </w:rPr>
        <w:t>,</w:t>
      </w:r>
    </w:p>
    <w:p w14:paraId="56BCA763" w14:textId="77777777" w:rsidR="00037318" w:rsidRPr="00C16CCB" w:rsidRDefault="00037318" w:rsidP="00037318">
      <w:pPr>
        <w:spacing w:after="0" w:line="240" w:lineRule="auto"/>
        <w:jc w:val="both"/>
        <w:rPr>
          <w:rFonts w:cstheme="minorHAnsi"/>
        </w:rPr>
      </w:pPr>
      <w:r w:rsidRPr="00C16CCB">
        <w:rPr>
          <w:rFonts w:cstheme="minorHAnsi"/>
        </w:rPr>
        <w:t>§ 3133 – Dětské domovy,</w:t>
      </w:r>
    </w:p>
    <w:p w14:paraId="1E6E61A0" w14:textId="77777777" w:rsidR="00037318" w:rsidRPr="00C16CCB" w:rsidRDefault="00037318" w:rsidP="00037318">
      <w:pPr>
        <w:spacing w:after="0" w:line="240" w:lineRule="auto"/>
        <w:jc w:val="both"/>
        <w:rPr>
          <w:rFonts w:cstheme="minorHAnsi"/>
        </w:rPr>
      </w:pPr>
      <w:r w:rsidRPr="00C16CCB">
        <w:rPr>
          <w:rFonts w:cstheme="minorHAnsi"/>
        </w:rPr>
        <w:t>§ 3231 – Základní umělecké školy,</w:t>
      </w:r>
    </w:p>
    <w:p w14:paraId="0BA3F6BE" w14:textId="77777777" w:rsidR="00037318" w:rsidRPr="00C16CCB" w:rsidRDefault="00037318" w:rsidP="00037318">
      <w:pPr>
        <w:spacing w:after="0" w:line="240" w:lineRule="auto"/>
        <w:jc w:val="both"/>
        <w:rPr>
          <w:rFonts w:cstheme="minorHAnsi"/>
        </w:rPr>
      </w:pPr>
      <w:r w:rsidRPr="00C16CCB">
        <w:rPr>
          <w:rFonts w:cstheme="minorHAnsi"/>
        </w:rPr>
        <w:t>§ 3269 – Ostatní správa ve vzdělávání jinde nezařazená,</w:t>
      </w:r>
    </w:p>
    <w:p w14:paraId="2C3D92AB" w14:textId="77777777" w:rsidR="00037318" w:rsidRPr="00C16CCB" w:rsidRDefault="00037318" w:rsidP="00037318">
      <w:pPr>
        <w:spacing w:after="0" w:line="240" w:lineRule="auto"/>
        <w:jc w:val="both"/>
        <w:rPr>
          <w:rFonts w:cstheme="minorHAnsi"/>
        </w:rPr>
      </w:pPr>
      <w:r w:rsidRPr="00C16CCB">
        <w:rPr>
          <w:rFonts w:cstheme="minorHAnsi"/>
        </w:rPr>
        <w:t>§ 3421 – Využití volného času dětí a mládeže.</w:t>
      </w:r>
    </w:p>
    <w:p w14:paraId="51307413" w14:textId="77777777" w:rsidR="00037318" w:rsidRDefault="00037318" w:rsidP="00037318">
      <w:pPr>
        <w:spacing w:after="0" w:line="240" w:lineRule="auto"/>
        <w:jc w:val="both"/>
        <w:rPr>
          <w:rFonts w:cstheme="minorHAnsi"/>
          <w:b/>
          <w:bCs/>
        </w:rPr>
      </w:pPr>
    </w:p>
    <w:p w14:paraId="4AE1E175" w14:textId="77777777" w:rsidR="00037318" w:rsidRPr="00C16CCB" w:rsidRDefault="00037318" w:rsidP="00037318">
      <w:pPr>
        <w:spacing w:after="0" w:line="240" w:lineRule="auto"/>
        <w:jc w:val="both"/>
        <w:rPr>
          <w:rFonts w:cstheme="minorHAnsi"/>
          <w:b/>
          <w:bCs/>
        </w:rPr>
      </w:pPr>
    </w:p>
    <w:p w14:paraId="56931633" w14:textId="77777777" w:rsidR="00037318" w:rsidRPr="00C16CCB" w:rsidRDefault="00037318" w:rsidP="00037318">
      <w:pPr>
        <w:spacing w:after="0" w:line="240" w:lineRule="auto"/>
        <w:jc w:val="both"/>
        <w:rPr>
          <w:rFonts w:cstheme="minorHAnsi"/>
          <w:b/>
          <w:bCs/>
        </w:rPr>
      </w:pPr>
      <w:r w:rsidRPr="00C16CCB">
        <w:rPr>
          <w:rFonts w:cstheme="minorHAnsi"/>
          <w:b/>
          <w:bCs/>
        </w:rPr>
        <w:t>Podpora učňovského školství - stipendia</w:t>
      </w:r>
    </w:p>
    <w:p w14:paraId="63C7946B" w14:textId="77777777" w:rsidR="00037318" w:rsidRPr="00C16CCB" w:rsidRDefault="00037318" w:rsidP="00037318">
      <w:pPr>
        <w:spacing w:after="0" w:line="240" w:lineRule="auto"/>
        <w:jc w:val="both"/>
        <w:rPr>
          <w:rFonts w:cstheme="minorHAnsi"/>
          <w:bCs/>
        </w:rPr>
      </w:pPr>
      <w:r w:rsidRPr="00C16CCB">
        <w:rPr>
          <w:rFonts w:cstheme="minorHAnsi"/>
        </w:rPr>
        <w:t xml:space="preserve">Zastupitelstvo Středočeského kraje usnesením č. 006-02/2020/ZK ze dne 14. 12. 2020 schválilo do kapitoly 05 - Školství na rok 2021 na podporu učňovského školství 16 000 000,00 Kč. Upravený rozpočet k 31. 12. 2021 činil 10 502 500,00 Kč. </w:t>
      </w:r>
      <w:r w:rsidRPr="00C16CCB">
        <w:rPr>
          <w:rFonts w:cstheme="minorHAnsi"/>
          <w:bCs/>
        </w:rPr>
        <w:t>Finanční prostředky byly navýšeny rozdělením zůstatku hospodaření Středočeského kraje z roku 2020 (usnesení č.</w:t>
      </w:r>
      <w:r w:rsidRPr="00C16CCB">
        <w:rPr>
          <w:rFonts w:cstheme="minorHAnsi"/>
        </w:rPr>
        <w:t xml:space="preserve"> 007-06/2021/ZK ze dne 26. 4. 2021</w:t>
      </w:r>
      <w:r w:rsidRPr="00C16CCB">
        <w:rPr>
          <w:rFonts w:cstheme="minorHAnsi"/>
          <w:bCs/>
        </w:rPr>
        <w:t xml:space="preserve">) o 648 700,00 Kč. Příspěvky měly za cíl motivovat žáky ke studiu učňovských oborů. Prostředky byly čerpány na základě předaných podkladů ze škol na období leden – červen 2021 (usnesení č. 064-04/2021/RK ze dne 28. 1. 2021 a dále usnesení č. 079-30/2021/RK ze dne 29. 7. 2021). </w:t>
      </w:r>
      <w:r w:rsidRPr="00C16CCB">
        <w:t xml:space="preserve">Původní Stipendijní program pro žáky vybraných oborů vzdělávání (pod UZ 004 – podpora učňovského školství – stipendia) byl zrušen k 30. 6. 2021 usnesením RK č. 058-05/2021/RK ze dne 4. 2. 2021 a byl nahrazen Základním rámcem pravidel pro využívání prostředků pro podporované obory vzdělání ve středních školách zřizovaných Stř. krajem. S ohledem na tuto skutečnost byl zůstatek finančních prostředků (a to včetně vratek od škol v rámci vyúčtování) ve výši 6 146 200,00 Kč převeden z účelového znaku 004 – podpora učňovského školství – stipendia na nový účelový znak 013 – podpora vybraných </w:t>
      </w:r>
      <w:r w:rsidRPr="00C16CCB">
        <w:lastRenderedPageBreak/>
        <w:t xml:space="preserve">oborů SŠ (usnesení č. 066-45/2021/RK ze dne 2. 12. 2021). </w:t>
      </w:r>
      <w:r w:rsidRPr="00C16CCB">
        <w:rPr>
          <w:rFonts w:cstheme="minorHAnsi"/>
          <w:bCs/>
        </w:rPr>
        <w:t>K 31. 12. 2021 bylo čerpání ve výši 99,3 % upraveného rozpočtu.</w:t>
      </w:r>
    </w:p>
    <w:p w14:paraId="7A95AA4E" w14:textId="77777777" w:rsidR="00037318" w:rsidRPr="00C16CCB" w:rsidRDefault="00037318" w:rsidP="00037318">
      <w:pPr>
        <w:spacing w:after="0" w:line="240" w:lineRule="auto"/>
        <w:jc w:val="both"/>
        <w:rPr>
          <w:rFonts w:cstheme="minorHAnsi"/>
          <w:bCs/>
        </w:rPr>
      </w:pPr>
      <w:r w:rsidRPr="00C16CCB">
        <w:rPr>
          <w:rFonts w:cstheme="minorHAnsi"/>
          <w:bCs/>
        </w:rPr>
        <w:t>Finanční prostředky byly rozpočtovány na následující paragrafy dle jednotlivých druhů škol:</w:t>
      </w:r>
    </w:p>
    <w:p w14:paraId="5AB35F95" w14:textId="77777777" w:rsidR="00037318" w:rsidRPr="00C16CCB" w:rsidRDefault="00037318" w:rsidP="00037318">
      <w:pPr>
        <w:spacing w:after="0" w:line="240" w:lineRule="auto"/>
        <w:jc w:val="both"/>
        <w:rPr>
          <w:rFonts w:cstheme="minorHAnsi"/>
          <w:bCs/>
        </w:rPr>
      </w:pPr>
      <w:r w:rsidRPr="00C16CCB">
        <w:rPr>
          <w:rFonts w:cstheme="minorHAnsi"/>
          <w:bCs/>
        </w:rPr>
        <w:t xml:space="preserve">§ 3122 – Střední odborné školy, </w:t>
      </w:r>
    </w:p>
    <w:p w14:paraId="2E66AAAD" w14:textId="77777777" w:rsidR="00037318" w:rsidRPr="00C16CCB" w:rsidRDefault="00037318" w:rsidP="00037318">
      <w:pPr>
        <w:spacing w:after="0" w:line="240" w:lineRule="auto"/>
        <w:jc w:val="both"/>
        <w:rPr>
          <w:rFonts w:cstheme="minorHAnsi"/>
          <w:bCs/>
        </w:rPr>
      </w:pPr>
      <w:r w:rsidRPr="00C16CCB">
        <w:rPr>
          <w:rFonts w:cstheme="minorHAnsi"/>
          <w:bCs/>
        </w:rPr>
        <w:t xml:space="preserve">§ 3123 – Střední školy poskytující střední vzdělání s výučním listem, </w:t>
      </w:r>
    </w:p>
    <w:p w14:paraId="33AE76A1" w14:textId="77777777" w:rsidR="00037318" w:rsidRPr="00C16CCB" w:rsidRDefault="00037318" w:rsidP="00037318">
      <w:pPr>
        <w:spacing w:after="0" w:line="240" w:lineRule="auto"/>
        <w:jc w:val="both"/>
        <w:rPr>
          <w:rFonts w:cstheme="minorHAnsi"/>
          <w:bCs/>
        </w:rPr>
      </w:pPr>
      <w:r w:rsidRPr="00C16CCB">
        <w:rPr>
          <w:rFonts w:cstheme="minorHAnsi"/>
          <w:bCs/>
        </w:rPr>
        <w:t>§ 3269 – Ostatní správa ve vzdělávání jinde nezařazená.</w:t>
      </w:r>
    </w:p>
    <w:p w14:paraId="4709D8C7" w14:textId="77777777" w:rsidR="00037318" w:rsidRPr="00C16CCB" w:rsidRDefault="00037318" w:rsidP="00037318">
      <w:pPr>
        <w:spacing w:after="0" w:line="240" w:lineRule="auto"/>
        <w:jc w:val="both"/>
        <w:rPr>
          <w:rFonts w:cstheme="minorHAnsi"/>
          <w:bCs/>
        </w:rPr>
      </w:pPr>
    </w:p>
    <w:p w14:paraId="5FCE1F69" w14:textId="77777777" w:rsidR="00037318" w:rsidRPr="00C16CCB" w:rsidRDefault="00037318" w:rsidP="00037318">
      <w:pPr>
        <w:spacing w:after="0" w:line="240" w:lineRule="auto"/>
        <w:jc w:val="both"/>
        <w:rPr>
          <w:rFonts w:cstheme="minorHAnsi"/>
          <w:b/>
        </w:rPr>
      </w:pPr>
      <w:r w:rsidRPr="00C16CCB">
        <w:rPr>
          <w:rFonts w:cstheme="minorHAnsi"/>
          <w:b/>
        </w:rPr>
        <w:t>Podpora vybraných oborů SŠ</w:t>
      </w:r>
    </w:p>
    <w:p w14:paraId="0197E62D" w14:textId="04A5DED4" w:rsidR="00037318" w:rsidRPr="00C16CCB" w:rsidRDefault="00037318" w:rsidP="00067727">
      <w:pPr>
        <w:spacing w:after="0" w:line="240" w:lineRule="auto"/>
        <w:jc w:val="both"/>
      </w:pPr>
      <w:r w:rsidRPr="00C16CCB">
        <w:t>Finanční prostředky jsou určeny pro podporované obory vzdělání ve středních školách zřizovaných Středočeským krajem v celkové výši 16 000 000,00 Kč na školní rok 2021/2022. Původní Stipendijní program pro žáky vybraných oborů vzdělávání (pod UZ 004 – podpora učňovského školství – stipendia) byl zrušen k 30. 6. 2021 usnesením č. 058-05/2021/RK ze dne 4. 2. 2021 a byl nahrazen Základním rámcem pravidel pro využívání prostředků pro podporované obory vzdělání ve středních školách zřizovaných Stř. krajem. Prostředky lze použít na:</w:t>
      </w:r>
    </w:p>
    <w:p w14:paraId="3B65F675" w14:textId="77777777" w:rsidR="00037318" w:rsidRPr="00C16CCB" w:rsidRDefault="00037318" w:rsidP="00037318">
      <w:pPr>
        <w:numPr>
          <w:ilvl w:val="0"/>
          <w:numId w:val="1"/>
        </w:numPr>
        <w:spacing w:after="0" w:line="240" w:lineRule="auto"/>
      </w:pPr>
      <w:r w:rsidRPr="00C16CCB">
        <w:t>pořízení nezbytného vybavení pro žáky denního studia (oblečení, obuv, nářadí apod.) – max. 30 % přidělených prostředků,</w:t>
      </w:r>
    </w:p>
    <w:p w14:paraId="51ACC37E" w14:textId="77777777" w:rsidR="00037318" w:rsidRPr="00C16CCB" w:rsidRDefault="00037318" w:rsidP="00037318">
      <w:pPr>
        <w:numPr>
          <w:ilvl w:val="0"/>
          <w:numId w:val="1"/>
        </w:numPr>
        <w:spacing w:after="0" w:line="240" w:lineRule="auto"/>
      </w:pPr>
      <w:r w:rsidRPr="00C16CCB">
        <w:t xml:space="preserve"> materiální motivaci žáků denního studia – max. 30% přidělených prostředků</w:t>
      </w:r>
    </w:p>
    <w:p w14:paraId="6BD487AC" w14:textId="77777777" w:rsidR="00037318" w:rsidRPr="00C16CCB" w:rsidRDefault="00037318" w:rsidP="00037318">
      <w:pPr>
        <w:numPr>
          <w:ilvl w:val="0"/>
          <w:numId w:val="1"/>
        </w:numPr>
        <w:spacing w:after="0" w:line="240" w:lineRule="auto"/>
      </w:pPr>
      <w:r w:rsidRPr="00C16CCB">
        <w:t xml:space="preserve"> zlepšení didaktického vybavení pro výuku vybraných podporovaných oborů.</w:t>
      </w:r>
    </w:p>
    <w:p w14:paraId="7FF42F1A" w14:textId="77777777" w:rsidR="00037318" w:rsidRPr="00C16CCB" w:rsidRDefault="00037318" w:rsidP="00037318">
      <w:pPr>
        <w:spacing w:after="0" w:line="240" w:lineRule="auto"/>
        <w:jc w:val="both"/>
        <w:rPr>
          <w:rFonts w:cstheme="minorHAnsi"/>
          <w:bCs/>
        </w:rPr>
      </w:pPr>
      <w:r w:rsidRPr="00C16CCB">
        <w:t xml:space="preserve">Na tento účelový znak byl převeden zůstatek finančních prostředků (a to včetně vratek od škol v rámci vyúčtování původního programu na stipendia k 30. 6. 2021) z účelového znaku 004 - podpora učňovského školství – stipendia ve výši 6 146 200,00 Kč a dále byl objem finančních prostředků doplněn o disponibilní zdroje na UZ 000 – podpora kvality škol a rozvojové projekty ve výši 9 853 800,00 Kč (usnesení č. 066-45/2021/RK ze dne 2. 12. 2021). Celková výše rozepisovaných finančních prostředků na školy na školní rok 2021/2022 činí 16 000 000,00 Kč. </w:t>
      </w:r>
      <w:r w:rsidRPr="00C16CCB">
        <w:rPr>
          <w:rFonts w:cstheme="minorHAnsi"/>
          <w:bCs/>
        </w:rPr>
        <w:t>K 31. 12. 2021 bylo čerpání ve výši 100,0 %.</w:t>
      </w:r>
    </w:p>
    <w:p w14:paraId="55C00310" w14:textId="77777777" w:rsidR="00037318" w:rsidRPr="00C16CCB" w:rsidRDefault="00037318" w:rsidP="00037318">
      <w:pPr>
        <w:spacing w:after="0" w:line="240" w:lineRule="auto"/>
        <w:jc w:val="both"/>
        <w:rPr>
          <w:rFonts w:cstheme="minorHAnsi"/>
          <w:bCs/>
        </w:rPr>
      </w:pPr>
      <w:r w:rsidRPr="00C16CCB">
        <w:rPr>
          <w:rFonts w:cstheme="minorHAnsi"/>
          <w:bCs/>
        </w:rPr>
        <w:t>Finanční prostředky byly rozpočtovány na následující paragrafy dle jednotlivých druhů škol:</w:t>
      </w:r>
    </w:p>
    <w:p w14:paraId="42425826" w14:textId="3400481E" w:rsidR="00037318" w:rsidRPr="00C16CCB" w:rsidRDefault="00037318" w:rsidP="00037318">
      <w:pPr>
        <w:spacing w:after="0" w:line="240" w:lineRule="auto"/>
        <w:jc w:val="both"/>
        <w:rPr>
          <w:rFonts w:cstheme="minorHAnsi"/>
          <w:bCs/>
        </w:rPr>
      </w:pPr>
      <w:r w:rsidRPr="00C16CCB">
        <w:rPr>
          <w:rFonts w:cstheme="minorHAnsi"/>
          <w:bCs/>
        </w:rPr>
        <w:t>§ 3114 – ZŠ pro žáky se spec</w:t>
      </w:r>
      <w:r w:rsidR="00067727">
        <w:rPr>
          <w:rFonts w:cstheme="minorHAnsi"/>
          <w:bCs/>
        </w:rPr>
        <w:t>iálními</w:t>
      </w:r>
      <w:r w:rsidRPr="00C16CCB">
        <w:rPr>
          <w:rFonts w:cstheme="minorHAnsi"/>
          <w:bCs/>
        </w:rPr>
        <w:t xml:space="preserve"> vzděl</w:t>
      </w:r>
      <w:r w:rsidR="00067727">
        <w:rPr>
          <w:rFonts w:cstheme="minorHAnsi"/>
          <w:bCs/>
        </w:rPr>
        <w:t>ávacími</w:t>
      </w:r>
      <w:r w:rsidRPr="00C16CCB">
        <w:rPr>
          <w:rFonts w:cstheme="minorHAnsi"/>
          <w:bCs/>
        </w:rPr>
        <w:t xml:space="preserve"> </w:t>
      </w:r>
      <w:r w:rsidR="008414A1">
        <w:rPr>
          <w:rFonts w:cstheme="minorHAnsi"/>
          <w:bCs/>
        </w:rPr>
        <w:t>p</w:t>
      </w:r>
      <w:r w:rsidRPr="00C16CCB">
        <w:rPr>
          <w:rFonts w:cstheme="minorHAnsi"/>
          <w:bCs/>
        </w:rPr>
        <w:t>otřebami</w:t>
      </w:r>
      <w:r w:rsidR="008414A1">
        <w:rPr>
          <w:rFonts w:cstheme="minorHAnsi"/>
          <w:bCs/>
        </w:rPr>
        <w:t>,</w:t>
      </w:r>
    </w:p>
    <w:p w14:paraId="063C93C2" w14:textId="77777777" w:rsidR="00037318" w:rsidRPr="00C16CCB" w:rsidRDefault="00037318" w:rsidP="00037318">
      <w:pPr>
        <w:spacing w:after="0" w:line="240" w:lineRule="auto"/>
        <w:jc w:val="both"/>
        <w:rPr>
          <w:rFonts w:cstheme="minorHAnsi"/>
          <w:bCs/>
        </w:rPr>
      </w:pPr>
      <w:r w:rsidRPr="00C16CCB">
        <w:rPr>
          <w:rFonts w:cstheme="minorHAnsi"/>
          <w:bCs/>
        </w:rPr>
        <w:t xml:space="preserve">§ 3122 – Střední odborné školy, </w:t>
      </w:r>
    </w:p>
    <w:p w14:paraId="5CFD26CF" w14:textId="77777777" w:rsidR="00037318" w:rsidRPr="00C16CCB" w:rsidRDefault="00037318" w:rsidP="00037318">
      <w:pPr>
        <w:spacing w:after="0" w:line="240" w:lineRule="auto"/>
        <w:jc w:val="both"/>
        <w:rPr>
          <w:rFonts w:cstheme="minorHAnsi"/>
          <w:bCs/>
        </w:rPr>
      </w:pPr>
      <w:r w:rsidRPr="00C16CCB">
        <w:rPr>
          <w:rFonts w:cstheme="minorHAnsi"/>
          <w:bCs/>
        </w:rPr>
        <w:t>§ 3123 – Střední školy poskytující střední vzdělání s výučním listem.</w:t>
      </w:r>
    </w:p>
    <w:p w14:paraId="76C6A8EA" w14:textId="77777777" w:rsidR="00037318" w:rsidRPr="00C16CCB" w:rsidRDefault="00037318" w:rsidP="00037318">
      <w:pPr>
        <w:spacing w:after="0" w:line="240" w:lineRule="auto"/>
        <w:jc w:val="both"/>
      </w:pPr>
    </w:p>
    <w:p w14:paraId="3E4B116B" w14:textId="77777777" w:rsidR="00037318" w:rsidRPr="00C16CCB" w:rsidRDefault="00037318" w:rsidP="00037318">
      <w:pPr>
        <w:spacing w:after="0" w:line="240" w:lineRule="auto"/>
        <w:jc w:val="both"/>
        <w:rPr>
          <w:rFonts w:cstheme="minorHAnsi"/>
          <w:b/>
        </w:rPr>
      </w:pPr>
      <w:r w:rsidRPr="00C16CCB">
        <w:rPr>
          <w:rFonts w:cstheme="minorHAnsi"/>
          <w:b/>
        </w:rPr>
        <w:t xml:space="preserve">Podpora zahraničních aktivit škol </w:t>
      </w:r>
    </w:p>
    <w:p w14:paraId="60E80BD0" w14:textId="77777777" w:rsidR="00037318" w:rsidRPr="00C16CCB" w:rsidRDefault="00037318" w:rsidP="00037318">
      <w:pPr>
        <w:spacing w:after="0" w:line="240" w:lineRule="auto"/>
        <w:jc w:val="both"/>
        <w:rPr>
          <w:rFonts w:cstheme="minorHAnsi"/>
          <w:bCs/>
        </w:rPr>
      </w:pPr>
      <w:r w:rsidRPr="00C16CCB">
        <w:rPr>
          <w:rFonts w:cstheme="minorHAnsi"/>
        </w:rPr>
        <w:t xml:space="preserve">Zastupitelstvo Středočeského kraje usnesením č. 006-02/2020/ZK ze dne 14. 12. 2020 schválilo do kapitoly 05 - Školství na rok 2021 na podporu zahraničních aktivit škol částku 1 000 000,00 Kč. </w:t>
      </w:r>
      <w:r w:rsidRPr="00C16CCB">
        <w:rPr>
          <w:rFonts w:cstheme="minorHAnsi"/>
          <w:bCs/>
        </w:rPr>
        <w:t xml:space="preserve">Upravený rozpočet k 31. 12. 2021 činil 1 194 000,00 Kč. </w:t>
      </w:r>
      <w:r w:rsidRPr="00C16CCB">
        <w:rPr>
          <w:rFonts w:cstheme="minorHAnsi"/>
        </w:rPr>
        <w:t xml:space="preserve"> </w:t>
      </w:r>
      <w:r w:rsidRPr="00C16CCB">
        <w:rPr>
          <w:rFonts w:cstheme="minorHAnsi"/>
          <w:bCs/>
        </w:rPr>
        <w:t xml:space="preserve">Finanční prostředky byly navýšeny rozdělením zůstatku hospodaření z roku 2020 (usnesení č. </w:t>
      </w:r>
      <w:r w:rsidRPr="00C16CCB">
        <w:rPr>
          <w:rFonts w:cstheme="minorHAnsi"/>
        </w:rPr>
        <w:t>007-06/2021/ZK ze dne 26. 4. 2021</w:t>
      </w:r>
      <w:r w:rsidRPr="00C16CCB">
        <w:rPr>
          <w:rFonts w:cstheme="minorHAnsi"/>
          <w:bCs/>
        </w:rPr>
        <w:t>) o 194 000,00 Kč.</w:t>
      </w:r>
      <w:r w:rsidRPr="00C16CCB">
        <w:rPr>
          <w:rFonts w:cstheme="minorHAnsi"/>
        </w:rPr>
        <w:t xml:space="preserve"> </w:t>
      </w:r>
      <w:r w:rsidRPr="00C16CCB">
        <w:rPr>
          <w:rFonts w:cstheme="minorHAnsi"/>
          <w:bCs/>
        </w:rPr>
        <w:t xml:space="preserve">K 31. 12. 2021 bylo čerpání ve výši 3,5 % upraveného rozpočtu. Nízké čerpání rozpočtu bylo ovlivněno především koronavirovou epidemií, kdy nebyly uskutečněny plánované zahraniční akce. </w:t>
      </w:r>
    </w:p>
    <w:p w14:paraId="411A1184" w14:textId="77777777" w:rsidR="00037318" w:rsidRPr="00C16CCB" w:rsidRDefault="00037318" w:rsidP="00037318">
      <w:pPr>
        <w:spacing w:after="0" w:line="240" w:lineRule="auto"/>
        <w:jc w:val="both"/>
        <w:rPr>
          <w:rFonts w:cstheme="minorHAnsi"/>
        </w:rPr>
      </w:pPr>
      <w:r w:rsidRPr="00C16CCB">
        <w:rPr>
          <w:rFonts w:cstheme="minorHAnsi"/>
        </w:rPr>
        <w:t>Prostředky byly rozpočtovány (usnesení č. 058-37/2021/RK ze dne 30. 9. 2021) na následující paragrafy dle jednotlivých druhů škol a školských zařízení:</w:t>
      </w:r>
    </w:p>
    <w:p w14:paraId="201EBE76" w14:textId="77777777" w:rsidR="00037318" w:rsidRPr="00C16CCB" w:rsidRDefault="00037318" w:rsidP="00037318">
      <w:pPr>
        <w:spacing w:after="0" w:line="240" w:lineRule="auto"/>
        <w:jc w:val="both"/>
        <w:rPr>
          <w:rFonts w:cstheme="minorHAnsi"/>
        </w:rPr>
      </w:pPr>
      <w:r w:rsidRPr="00C16CCB">
        <w:rPr>
          <w:rFonts w:cstheme="minorHAnsi"/>
        </w:rPr>
        <w:t>§ 3121 – Gymnázia,</w:t>
      </w:r>
    </w:p>
    <w:p w14:paraId="567D6F9C" w14:textId="77777777" w:rsidR="00037318" w:rsidRPr="00C16CCB" w:rsidRDefault="00037318" w:rsidP="00037318">
      <w:pPr>
        <w:spacing w:after="0" w:line="240" w:lineRule="auto"/>
        <w:jc w:val="both"/>
        <w:rPr>
          <w:rFonts w:cstheme="minorHAnsi"/>
        </w:rPr>
      </w:pPr>
      <w:r w:rsidRPr="00C16CCB">
        <w:rPr>
          <w:rFonts w:cstheme="minorHAnsi"/>
        </w:rPr>
        <w:t>§ 3122 – Střední odborné školy,</w:t>
      </w:r>
    </w:p>
    <w:p w14:paraId="252F9D19" w14:textId="77777777" w:rsidR="00037318" w:rsidRPr="00C16CCB" w:rsidRDefault="00037318" w:rsidP="00037318">
      <w:pPr>
        <w:spacing w:after="0" w:line="240" w:lineRule="auto"/>
        <w:jc w:val="both"/>
        <w:rPr>
          <w:rFonts w:cstheme="minorHAnsi"/>
        </w:rPr>
      </w:pPr>
      <w:r w:rsidRPr="00C16CCB">
        <w:rPr>
          <w:rFonts w:cstheme="minorHAnsi"/>
        </w:rPr>
        <w:t>§ 3291 – Mezinárodní spolupráce ve vzdělávání.</w:t>
      </w:r>
    </w:p>
    <w:p w14:paraId="2EAA915D" w14:textId="77777777" w:rsidR="00037318" w:rsidRPr="00C16CCB" w:rsidRDefault="00037318" w:rsidP="00037318">
      <w:pPr>
        <w:spacing w:after="0" w:line="240" w:lineRule="auto"/>
        <w:jc w:val="both"/>
        <w:rPr>
          <w:rFonts w:cstheme="minorHAnsi"/>
          <w:bCs/>
        </w:rPr>
      </w:pPr>
    </w:p>
    <w:p w14:paraId="609768FC" w14:textId="77777777" w:rsidR="00037318" w:rsidRPr="00C16CCB" w:rsidRDefault="00037318" w:rsidP="00037318">
      <w:pPr>
        <w:spacing w:after="0" w:line="240" w:lineRule="auto"/>
        <w:jc w:val="both"/>
        <w:rPr>
          <w:rFonts w:cstheme="minorHAnsi"/>
          <w:b/>
          <w:bCs/>
          <w:iCs/>
        </w:rPr>
      </w:pPr>
      <w:r w:rsidRPr="00C16CCB">
        <w:rPr>
          <w:rFonts w:cstheme="minorHAnsi"/>
          <w:b/>
          <w:bCs/>
          <w:iCs/>
        </w:rPr>
        <w:t>Prevence patologických jevů</w:t>
      </w:r>
    </w:p>
    <w:p w14:paraId="2BA38156" w14:textId="2690089A" w:rsidR="00037318" w:rsidRPr="00C16CCB" w:rsidRDefault="00037318" w:rsidP="00037318">
      <w:pPr>
        <w:spacing w:after="0" w:line="240" w:lineRule="auto"/>
        <w:jc w:val="both"/>
        <w:rPr>
          <w:rFonts w:cstheme="minorHAnsi"/>
        </w:rPr>
      </w:pPr>
      <w:r w:rsidRPr="00C16CCB">
        <w:rPr>
          <w:rFonts w:cstheme="minorHAnsi"/>
        </w:rPr>
        <w:t xml:space="preserve">Zastupitelstvo Středočeského kraje usnesením č. 006-02/2020/ZK ze dne 14. 12. 2020 schválilo do kapitoly 05 – Školství na rok 2021 na prevenci patologických jevů částku 1 300 000,00 Kč. </w:t>
      </w:r>
      <w:r w:rsidRPr="00C16CCB">
        <w:rPr>
          <w:rFonts w:cstheme="minorHAnsi"/>
          <w:bCs/>
        </w:rPr>
        <w:t xml:space="preserve">Finanční prostředky ve výši 334 210,00 Kč byly převedeny do kapitoly 05 – Školství na základě usnesení č. </w:t>
      </w:r>
      <w:r w:rsidRPr="00C16CCB">
        <w:rPr>
          <w:rFonts w:cstheme="minorHAnsi"/>
        </w:rPr>
        <w:t>049-10/2021/RK ze dne 4. 3. 2021, jed</w:t>
      </w:r>
      <w:r w:rsidRPr="00C16CCB">
        <w:rPr>
          <w:rFonts w:cstheme="minorHAnsi"/>
          <w:bCs/>
        </w:rPr>
        <w:t xml:space="preserve">nalo se o převod nevyčerpaných účelových prostředků z roku 2020 (bylo zapojeno do zůstatku hospodaření Středočeského kraje z roku 2020 schváleného usnesením č. 007-06/2021/ZK ze dne 26. 4. 2021). </w:t>
      </w:r>
      <w:r w:rsidRPr="00C16CCB">
        <w:rPr>
          <w:rFonts w:cstheme="minorHAnsi"/>
        </w:rPr>
        <w:t xml:space="preserve">Na základě usnesení č. 032-15/2021/RK ze dne 1. 4. 2021 a  č. 052-05/2021/RK ze dne 4. 2. 2021 byly poskytnuty neinvestiční příspěvky v celkové výši  1 584 492,00 Kč školám a školským zařízením zřizovaným Středočeským krajem na realizaci aktivit z oblasti primární prevence rizikového chování dětí a mládeže a Vzdělávacímu institutu Středočeského kraje – Zařízení pro další vzdělávání pedagogických pracovníků na realizaci série seminářů pro pedagogy (§ 3114 - Základní školy pro žáky se speciálními vzdělávacími potřebami, § 3121 - Gymnázia,  § 3122 - Střední odborné školy, § 3123 - Střední školy poskytující střední vzdělávání s výučním listem a § 3294 - Zařízení pro další vzdělávání pedagogických pracovníků). </w:t>
      </w:r>
    </w:p>
    <w:p w14:paraId="7B6E87D1" w14:textId="26579ACB" w:rsidR="00037318" w:rsidRPr="00C16CCB" w:rsidRDefault="00D05074" w:rsidP="00037318">
      <w:pPr>
        <w:spacing w:after="0" w:line="240" w:lineRule="auto"/>
        <w:jc w:val="both"/>
        <w:rPr>
          <w:rFonts w:cstheme="minorHAnsi"/>
        </w:rPr>
      </w:pPr>
      <w:r w:rsidRPr="00D05074">
        <w:lastRenderedPageBreak/>
        <w:t xml:space="preserve">V rámci § 3541 – Prevence před drogami, alkoholem, nikotinem a jinými závislostmi </w:t>
      </w:r>
      <w:r>
        <w:t xml:space="preserve">bylo ve druhé polovině </w:t>
      </w:r>
      <w:r w:rsidR="00037318" w:rsidRPr="00C16CCB">
        <w:rPr>
          <w:rFonts w:cstheme="minorHAnsi"/>
        </w:rPr>
        <w:t xml:space="preserve">roku 2021 bylo čerpáno 36 000,00 Kč na konferenci primární prevence „Zažít prevenci 2021“. Nespotřebované prostředky v celkové výši 13 718,00 Kč byly původně rezervovány na občerstvení pro účastníky konference primární prevence. Vzhledem ke konání konference online, nebylo občerstvení realizováno. </w:t>
      </w:r>
      <w:r w:rsidR="00067727">
        <w:rPr>
          <w:rFonts w:cstheme="minorHAnsi"/>
        </w:rPr>
        <w:t xml:space="preserve">Prostředky ve výši </w:t>
      </w:r>
      <w:r w:rsidR="00067727" w:rsidRPr="00C16CCB">
        <w:rPr>
          <w:rFonts w:cstheme="minorHAnsi"/>
        </w:rPr>
        <w:t>81 845,</w:t>
      </w:r>
      <w:r w:rsidR="00067727">
        <w:rPr>
          <w:rFonts w:cstheme="minorHAnsi"/>
        </w:rPr>
        <w:t xml:space="preserve">00 </w:t>
      </w:r>
      <w:r w:rsidR="00067727" w:rsidRPr="00C16CCB">
        <w:rPr>
          <w:rFonts w:cstheme="minorHAnsi"/>
        </w:rPr>
        <w:t>Kč</w:t>
      </w:r>
      <w:r w:rsidR="00067727">
        <w:rPr>
          <w:rFonts w:cstheme="minorHAnsi"/>
        </w:rPr>
        <w:t xml:space="preserve"> byly vráceny zřizovateli a </w:t>
      </w:r>
      <w:r w:rsidR="00037318" w:rsidRPr="00C16CCB">
        <w:rPr>
          <w:rFonts w:cstheme="minorHAnsi"/>
        </w:rPr>
        <w:t>budou převedeny do rozpočtu roku 2022.</w:t>
      </w:r>
      <w:r w:rsidR="00067727">
        <w:rPr>
          <w:rFonts w:cstheme="minorHAnsi"/>
        </w:rPr>
        <w:t xml:space="preserve"> </w:t>
      </w:r>
      <w:r w:rsidR="00037318" w:rsidRPr="00C16CCB">
        <w:rPr>
          <w:rFonts w:cstheme="minorHAnsi"/>
        </w:rPr>
        <w:t>Celkem se v roce 2021 spotřebovalo 1 538 647,00 Kč a bylo čerpáno 94,2 % rozpočtu.</w:t>
      </w:r>
    </w:p>
    <w:p w14:paraId="5A5D6A2A" w14:textId="77777777" w:rsidR="00037318" w:rsidRPr="00C16CCB" w:rsidRDefault="00037318" w:rsidP="00037318">
      <w:pPr>
        <w:spacing w:after="0" w:line="240" w:lineRule="auto"/>
        <w:jc w:val="both"/>
        <w:rPr>
          <w:rFonts w:cstheme="minorHAnsi"/>
          <w:b/>
          <w:bCs/>
          <w:iCs/>
        </w:rPr>
      </w:pPr>
    </w:p>
    <w:p w14:paraId="4CBEB63B" w14:textId="77777777" w:rsidR="00037318" w:rsidRPr="00C16CCB" w:rsidRDefault="00037318" w:rsidP="00037318">
      <w:pPr>
        <w:spacing w:after="0" w:line="240" w:lineRule="auto"/>
        <w:jc w:val="both"/>
        <w:rPr>
          <w:rFonts w:cstheme="minorHAnsi"/>
        </w:rPr>
      </w:pPr>
      <w:r w:rsidRPr="00C16CCB">
        <w:rPr>
          <w:rFonts w:cstheme="minorHAnsi"/>
          <w:b/>
        </w:rPr>
        <w:t>§ 3419 – Sportovní soutěže</w:t>
      </w:r>
    </w:p>
    <w:p w14:paraId="4B61E1A1" w14:textId="77777777" w:rsidR="00037318" w:rsidRPr="00C16CCB" w:rsidRDefault="00037318" w:rsidP="00037318">
      <w:pPr>
        <w:spacing w:after="0" w:line="240" w:lineRule="auto"/>
        <w:jc w:val="both"/>
        <w:rPr>
          <w:rFonts w:cstheme="minorHAnsi"/>
        </w:rPr>
      </w:pPr>
      <w:r w:rsidRPr="00C16CCB">
        <w:rPr>
          <w:rFonts w:cstheme="minorHAnsi"/>
        </w:rPr>
        <w:t xml:space="preserve">Prostředky na plánované sportovní soutěže a akce realizované ve Středočeském kraji ve výši 4 600 000,00 Kč byly převedeny do kapitoly 05 – Školství z kapitoly 08 – Regionální rozvoj na základě organizační změny dle usnesení č. 034-15/2021/RK ze dne 1. 4. 2021. </w:t>
      </w:r>
    </w:p>
    <w:p w14:paraId="0519C26C" w14:textId="77777777" w:rsidR="00037318" w:rsidRPr="00C16CCB" w:rsidRDefault="00037318" w:rsidP="00037318">
      <w:pPr>
        <w:spacing w:after="0" w:line="240" w:lineRule="auto"/>
        <w:jc w:val="both"/>
        <w:rPr>
          <w:rFonts w:cstheme="minorHAnsi"/>
        </w:rPr>
      </w:pPr>
      <w:r w:rsidRPr="00C16CCB">
        <w:rPr>
          <w:rFonts w:cstheme="minorHAnsi"/>
        </w:rPr>
        <w:t xml:space="preserve">Usnesením č. 042-20/2021/RK ze dne 6. 5. 2021 byly schváleny dotace školám zřizovaným obcemi, školské právnické osobě a fyzické osobě na zajištění organizace soutěží vyhlášených ve Věstníku MŠMT ČR pro rok 2021. S žadateli byly postupně uzavírány smlouvy, finanční prostředky byly odesílány začátkem II. pololetí roku 2021. Jednalo se o soutěže v českém jazyce, němčině, matematice a soutěž Evropa ve škole. Vzhledem k uzavření škol se bohužel nekonaly žádné další plánované soutěže, jako např. Plavecko-běžecký pohár, Středočeský taneční pohár, Festival ZUŠ, Sportovec Středočeského kraje atp. Tyto akce mají již dlouholetou tradici a účastní se jich vždy celá řada škol. </w:t>
      </w:r>
    </w:p>
    <w:p w14:paraId="4844500C" w14:textId="77777777" w:rsidR="00037318" w:rsidRPr="00C16CCB" w:rsidRDefault="00037318" w:rsidP="00037318">
      <w:pPr>
        <w:spacing w:after="0" w:line="240" w:lineRule="auto"/>
        <w:jc w:val="both"/>
        <w:rPr>
          <w:rFonts w:cstheme="minorHAnsi"/>
        </w:rPr>
      </w:pPr>
      <w:r w:rsidRPr="00C16CCB">
        <w:rPr>
          <w:rFonts w:cstheme="minorHAnsi"/>
        </w:rPr>
        <w:t>V II. pololetí roku 2021 byly čerpány prostředky na schválené plánované soutěže Středočeská in-line brusle a Florbalový turnaj žáků 4. a 5. tříd ZŠ Středočeského kraje 2021. Dále proběhl mezinárodní turnaj O pohár predsedu Bratislavského samosprávneho kraja, kde byla zajištěna doprava a ubytování reprezentace Středočeského kraje. Další plánované akce neproběhly ani se nerealizovala podpora týkající se rozvoje sportovišť ve Středočeském kraji. Podkladem bude do budoucna výstup z pasportizace sportovišť Středočeského kraje, jejímž cílem je zmapování, kde na území kraje a v jakém technickém stavu se jednotlivá sportoviště nacházejí. Čerpání této části rozpočtu bylo z důvodu dopadů pandemie 8,4 %.</w:t>
      </w:r>
    </w:p>
    <w:p w14:paraId="055BA3C5" w14:textId="77777777" w:rsidR="002F7D33" w:rsidRPr="00C16CCB" w:rsidRDefault="002F7D33" w:rsidP="002F7D33">
      <w:pPr>
        <w:spacing w:after="0" w:line="240" w:lineRule="auto"/>
        <w:jc w:val="both"/>
        <w:rPr>
          <w:rFonts w:cstheme="minorHAnsi"/>
          <w:bCs/>
        </w:rPr>
      </w:pPr>
      <w:r w:rsidRPr="00C16CCB">
        <w:rPr>
          <w:rFonts w:cstheme="minorHAnsi"/>
          <w:bCs/>
        </w:rPr>
        <w:t>Finanční prostředky byly rozpočtovány na následující paragrafy dle jednotlivých druhů škol:</w:t>
      </w:r>
    </w:p>
    <w:p w14:paraId="476E3B84" w14:textId="77777777" w:rsidR="002F7D33" w:rsidRDefault="002F7D33" w:rsidP="00067727">
      <w:pPr>
        <w:spacing w:after="0" w:line="240" w:lineRule="auto"/>
        <w:jc w:val="both"/>
        <w:rPr>
          <w:rFonts w:cstheme="minorHAnsi"/>
        </w:rPr>
      </w:pPr>
      <w:r w:rsidRPr="00C16CCB">
        <w:rPr>
          <w:rFonts w:cstheme="minorHAnsi"/>
        </w:rPr>
        <w:t>§ 311</w:t>
      </w:r>
      <w:r>
        <w:rPr>
          <w:rFonts w:cstheme="minorHAnsi"/>
        </w:rPr>
        <w:t>3</w:t>
      </w:r>
      <w:r w:rsidRPr="00C16CCB">
        <w:rPr>
          <w:rFonts w:cstheme="minorHAnsi"/>
        </w:rPr>
        <w:t xml:space="preserve"> – Základní školy</w:t>
      </w:r>
    </w:p>
    <w:p w14:paraId="77C2A3AA" w14:textId="6AEE0986" w:rsidR="00067727" w:rsidRPr="00C16CCB" w:rsidRDefault="00067727" w:rsidP="00067727">
      <w:pPr>
        <w:spacing w:after="0" w:line="240" w:lineRule="auto"/>
        <w:jc w:val="both"/>
        <w:rPr>
          <w:rFonts w:cstheme="minorHAnsi"/>
        </w:rPr>
      </w:pPr>
      <w:r w:rsidRPr="00C16CCB">
        <w:rPr>
          <w:rFonts w:cstheme="minorHAnsi"/>
        </w:rPr>
        <w:t>§ 3121 – Gymnázia,</w:t>
      </w:r>
    </w:p>
    <w:p w14:paraId="010DA427" w14:textId="77777777" w:rsidR="00067727" w:rsidRPr="00C16CCB" w:rsidRDefault="00067727" w:rsidP="00067727">
      <w:pPr>
        <w:spacing w:after="0" w:line="240" w:lineRule="auto"/>
        <w:jc w:val="both"/>
        <w:rPr>
          <w:rFonts w:cstheme="minorHAnsi"/>
        </w:rPr>
      </w:pPr>
      <w:r w:rsidRPr="00C16CCB">
        <w:rPr>
          <w:rFonts w:cstheme="minorHAnsi"/>
        </w:rPr>
        <w:t>§ 3122 – Střední odborné školy,</w:t>
      </w:r>
    </w:p>
    <w:p w14:paraId="035F1528" w14:textId="77777777" w:rsidR="00067727" w:rsidRPr="00C16CCB" w:rsidRDefault="00067727" w:rsidP="00067727">
      <w:pPr>
        <w:spacing w:after="0" w:line="240" w:lineRule="auto"/>
        <w:jc w:val="both"/>
        <w:rPr>
          <w:rFonts w:cstheme="minorHAnsi"/>
        </w:rPr>
      </w:pPr>
      <w:r w:rsidRPr="00C16CCB">
        <w:rPr>
          <w:rFonts w:cstheme="minorHAnsi"/>
        </w:rPr>
        <w:t>§ 3123 – Střední školy poskytující střední vzdělání s výučním listem,</w:t>
      </w:r>
    </w:p>
    <w:p w14:paraId="71BB60B8" w14:textId="53798D03" w:rsidR="00067727" w:rsidRPr="002F7D33" w:rsidRDefault="00067727" w:rsidP="00067727">
      <w:pPr>
        <w:spacing w:after="0" w:line="240" w:lineRule="auto"/>
        <w:jc w:val="both"/>
        <w:rPr>
          <w:rFonts w:ascii="Calibri" w:eastAsia="Times New Roman" w:hAnsi="Calibri" w:cs="Arial"/>
          <w:i/>
          <w:iCs/>
          <w:sz w:val="20"/>
          <w:szCs w:val="20"/>
          <w:lang w:eastAsia="cs-CZ"/>
        </w:rPr>
      </w:pPr>
      <w:r w:rsidRPr="00C16CCB">
        <w:rPr>
          <w:rFonts w:cstheme="minorHAnsi"/>
        </w:rPr>
        <w:t>§ 3</w:t>
      </w:r>
      <w:r w:rsidR="002F7D33">
        <w:rPr>
          <w:rFonts w:cstheme="minorHAnsi"/>
        </w:rPr>
        <w:t>239</w:t>
      </w:r>
      <w:r w:rsidRPr="00C16CCB">
        <w:rPr>
          <w:rFonts w:cstheme="minorHAnsi"/>
        </w:rPr>
        <w:t xml:space="preserve"> –</w:t>
      </w:r>
      <w:r w:rsidR="002F7D33">
        <w:rPr>
          <w:rFonts w:cstheme="minorHAnsi"/>
        </w:rPr>
        <w:t xml:space="preserve"> </w:t>
      </w:r>
      <w:r w:rsidR="002F7D33" w:rsidRPr="002F7D33">
        <w:rPr>
          <w:rFonts w:ascii="Calibri" w:eastAsia="Times New Roman" w:hAnsi="Calibri" w:cs="Arial"/>
          <w:lang w:eastAsia="cs-CZ"/>
        </w:rPr>
        <w:t>Záležitosti zájmového vzdělávání jinde nezařazené</w:t>
      </w:r>
      <w:r w:rsidRPr="002F7D33">
        <w:rPr>
          <w:rFonts w:cstheme="minorHAnsi"/>
        </w:rPr>
        <w:t>,</w:t>
      </w:r>
    </w:p>
    <w:p w14:paraId="3C7A593B" w14:textId="79237CC9" w:rsidR="00067727" w:rsidRPr="00C16CCB" w:rsidRDefault="00067727" w:rsidP="00067727">
      <w:pPr>
        <w:spacing w:after="0" w:line="240" w:lineRule="auto"/>
        <w:jc w:val="both"/>
        <w:rPr>
          <w:rFonts w:cstheme="minorHAnsi"/>
        </w:rPr>
      </w:pPr>
      <w:r w:rsidRPr="00C16CCB">
        <w:rPr>
          <w:rFonts w:cstheme="minorHAnsi"/>
        </w:rPr>
        <w:t>§ 3</w:t>
      </w:r>
      <w:r w:rsidR="002F7D33">
        <w:rPr>
          <w:rFonts w:cstheme="minorHAnsi"/>
        </w:rPr>
        <w:t>419</w:t>
      </w:r>
      <w:r w:rsidRPr="00C16CCB">
        <w:rPr>
          <w:rFonts w:cstheme="minorHAnsi"/>
        </w:rPr>
        <w:t xml:space="preserve"> –</w:t>
      </w:r>
      <w:r w:rsidR="002F7D33">
        <w:rPr>
          <w:rFonts w:cstheme="minorHAnsi"/>
        </w:rPr>
        <w:t xml:space="preserve"> Ostatní sportovní činnost</w:t>
      </w:r>
      <w:r w:rsidRPr="00C16CCB">
        <w:rPr>
          <w:rFonts w:cstheme="minorHAnsi"/>
        </w:rPr>
        <w:t>,</w:t>
      </w:r>
    </w:p>
    <w:p w14:paraId="3BECF456" w14:textId="77777777" w:rsidR="00067727" w:rsidRPr="00C16CCB" w:rsidRDefault="00067727" w:rsidP="00067727">
      <w:pPr>
        <w:spacing w:after="0" w:line="240" w:lineRule="auto"/>
        <w:jc w:val="both"/>
        <w:rPr>
          <w:rFonts w:cstheme="minorHAnsi"/>
        </w:rPr>
      </w:pPr>
      <w:r w:rsidRPr="00C16CCB">
        <w:rPr>
          <w:rFonts w:cstheme="minorHAnsi"/>
        </w:rPr>
        <w:t>§ 3421 – Využití volného času dětí a mládeže.</w:t>
      </w:r>
    </w:p>
    <w:p w14:paraId="4461D203" w14:textId="77777777" w:rsidR="00067727" w:rsidRPr="00C16CCB" w:rsidRDefault="00067727" w:rsidP="00037318">
      <w:pPr>
        <w:spacing w:after="0" w:line="240" w:lineRule="auto"/>
        <w:jc w:val="both"/>
        <w:rPr>
          <w:rFonts w:cstheme="minorHAnsi"/>
          <w:b/>
          <w:bCs/>
          <w:iCs/>
        </w:rPr>
      </w:pPr>
    </w:p>
    <w:p w14:paraId="7941CE3F" w14:textId="77777777" w:rsidR="00037318" w:rsidRPr="00C16CCB" w:rsidRDefault="00037318" w:rsidP="00037318">
      <w:pPr>
        <w:spacing w:after="0" w:line="240" w:lineRule="auto"/>
        <w:jc w:val="both"/>
        <w:rPr>
          <w:rFonts w:cstheme="minorHAnsi"/>
          <w:b/>
          <w:bCs/>
        </w:rPr>
      </w:pPr>
      <w:r w:rsidRPr="00C16CCB">
        <w:rPr>
          <w:rFonts w:cstheme="minorHAnsi"/>
          <w:b/>
          <w:bCs/>
        </w:rPr>
        <w:t>§ 3419</w:t>
      </w:r>
      <w:r w:rsidRPr="00C16CCB">
        <w:rPr>
          <w:rFonts w:cstheme="minorHAnsi"/>
          <w:b/>
        </w:rPr>
        <w:t xml:space="preserve"> – </w:t>
      </w:r>
      <w:r w:rsidRPr="00C16CCB">
        <w:rPr>
          <w:rFonts w:cstheme="minorHAnsi"/>
          <w:b/>
          <w:bCs/>
        </w:rPr>
        <w:t xml:space="preserve">Sportovní centra mládeže </w:t>
      </w:r>
    </w:p>
    <w:p w14:paraId="6C9248E3" w14:textId="77777777" w:rsidR="00037318" w:rsidRPr="00C16CCB" w:rsidRDefault="00037318" w:rsidP="00037318">
      <w:pPr>
        <w:spacing w:after="0" w:line="240" w:lineRule="auto"/>
        <w:jc w:val="both"/>
        <w:rPr>
          <w:rFonts w:cstheme="minorHAnsi"/>
        </w:rPr>
      </w:pPr>
      <w:r w:rsidRPr="00C16CCB">
        <w:rPr>
          <w:rFonts w:cstheme="minorHAnsi"/>
        </w:rPr>
        <w:t xml:space="preserve">Finanční prostředky ve výši 1 570 000,00 Kč byly na základě organizační změny k 1. 4. 2021 převedeny usnesením č. 034-15/2021/RK ze dne 1. 4. 2021 z kapitoly 08 – Regionální rozvoj do kapitoly 05 - Školství. Rozpočet byl navýšen </w:t>
      </w:r>
      <w:r w:rsidRPr="00C16CCB">
        <w:rPr>
          <w:rFonts w:cstheme="minorHAnsi"/>
          <w:bCs/>
        </w:rPr>
        <w:t>rozdělením zůstatku hospodaření Středočeského kraje z roku 2020 (usnesení č.</w:t>
      </w:r>
      <w:r w:rsidRPr="00C16CCB">
        <w:rPr>
          <w:rFonts w:cstheme="minorHAnsi"/>
        </w:rPr>
        <w:t xml:space="preserve"> 007-06/2021/ZK ze dne 26. 4. 2021</w:t>
      </w:r>
      <w:r w:rsidRPr="00C16CCB">
        <w:rPr>
          <w:rFonts w:cstheme="minorHAnsi"/>
          <w:bCs/>
        </w:rPr>
        <w:t>) o 728 250,00 Kč.</w:t>
      </w:r>
      <w:r w:rsidRPr="00C16CCB">
        <w:rPr>
          <w:rFonts w:cstheme="minorHAnsi"/>
        </w:rPr>
        <w:t xml:space="preserve"> Na základě usnesení Zastupitelstva kraje č. 021-03/2021/ZK ze dne 25. 1. 2021 bylo schváleno rozdělení prostředků jednotlivým sportovním centrům mládeže na provoz a činnost. Dne 22. 2. 2021 bylo rozhodnuto usnesením </w:t>
      </w:r>
      <w:r w:rsidRPr="00C16CCB">
        <w:rPr>
          <w:rFonts w:cstheme="minorHAnsi"/>
        </w:rPr>
        <w:br/>
        <w:t>č. 036-04/2021/ZK o poskytnutí individuálních neinvestičních dotací na provoz a činnost pilotních projektů sportovních center mládeže na rok 2021 pro dva nové žadatele. Další smlouvy nebyly uzavřeny. Za rok 2021 bylo čerpáno v rámci kapitoly 05 - Školství 21,8 % upraveného rozpočtu. Většina požadavků ze strany sportovních center mládeže byla pokryta z prostředků vedených původně pod kapitolou 08 – Regionální rozvoj.</w:t>
      </w:r>
    </w:p>
    <w:p w14:paraId="43030C00" w14:textId="77777777" w:rsidR="00037318" w:rsidRPr="00C16CCB" w:rsidRDefault="00037318" w:rsidP="00037318">
      <w:pPr>
        <w:spacing w:after="0" w:line="240" w:lineRule="auto"/>
        <w:jc w:val="both"/>
        <w:rPr>
          <w:rFonts w:cstheme="minorHAnsi"/>
          <w:b/>
          <w:u w:val="single"/>
        </w:rPr>
      </w:pPr>
    </w:p>
    <w:p w14:paraId="66F02640" w14:textId="77777777" w:rsidR="00037318" w:rsidRPr="00C16CCB" w:rsidRDefault="00037318" w:rsidP="00037318">
      <w:pPr>
        <w:spacing w:after="0" w:line="240" w:lineRule="auto"/>
        <w:jc w:val="both"/>
        <w:rPr>
          <w:rFonts w:cstheme="minorHAnsi"/>
          <w:b/>
          <w:bCs/>
        </w:rPr>
      </w:pPr>
      <w:r w:rsidRPr="00C16CCB">
        <w:rPr>
          <w:rFonts w:cstheme="minorHAnsi"/>
          <w:b/>
          <w:bCs/>
        </w:rPr>
        <w:t xml:space="preserve">§ 3419 – Olympiáda dětí a mládeže </w:t>
      </w:r>
    </w:p>
    <w:p w14:paraId="25F865AE" w14:textId="77777777" w:rsidR="00037318" w:rsidRPr="00C16CCB" w:rsidRDefault="00037318" w:rsidP="00037318">
      <w:pPr>
        <w:spacing w:after="0" w:line="240" w:lineRule="auto"/>
        <w:jc w:val="both"/>
        <w:rPr>
          <w:rFonts w:cstheme="minorHAnsi"/>
        </w:rPr>
      </w:pPr>
      <w:r w:rsidRPr="00C16CCB">
        <w:rPr>
          <w:rFonts w:cstheme="minorHAnsi"/>
        </w:rPr>
        <w:t xml:space="preserve">Finanční prostředky na zajištění výdajů spojených s přípravou účasti výpravy Středočeského kraje na Olympiádě dětí a mládeže ve výši 2 000 000,00 Kč byly na základě organizační změny k 1. 4. 2021 usnesením č. 034-15/2021/RK ze dne 1. 4. 2021 převedeny z kapitoly 08 – Regionální rozvoj do kapitoly 05 - Školství. Rozpočet byl navýšen </w:t>
      </w:r>
      <w:r w:rsidRPr="00C16CCB">
        <w:rPr>
          <w:rFonts w:cstheme="minorHAnsi"/>
          <w:bCs/>
        </w:rPr>
        <w:t>rozdělením zůstatku hospodaření Středočeského kraje z roku 2020 (usnesení č.</w:t>
      </w:r>
      <w:r w:rsidRPr="00C16CCB">
        <w:rPr>
          <w:rFonts w:cstheme="minorHAnsi"/>
        </w:rPr>
        <w:t xml:space="preserve"> 007-06/2021/ZK ze dne 26. 4. 2021</w:t>
      </w:r>
      <w:r w:rsidRPr="00C16CCB">
        <w:rPr>
          <w:rFonts w:cstheme="minorHAnsi"/>
          <w:bCs/>
        </w:rPr>
        <w:t xml:space="preserve">) o 758 400,00 Kč. Tyto finanční prostředky byly čerpány </w:t>
      </w:r>
      <w:r w:rsidRPr="00C16CCB">
        <w:rPr>
          <w:rFonts w:cstheme="minorHAnsi"/>
        </w:rPr>
        <w:t xml:space="preserve">na zajištění účasti výpravy Středočeského kraje na Olympiádě dětí a mládeže. Rada kraje schválila účast Středočeského kraje na Hrách X. letní olympiády dětí a mládeže ČR 2021 usnesením č. 015-68/2020/RK ze dne 16. 9. 2021. Olympiády dětí a mládeže mají tradici již od roku 2004. Plánované výdaje představují výdaje na jednotné sportovní oblečení výpravy, na trenéry a doprovod sportovců, dopravu, materiálové výdaje a </w:t>
      </w:r>
      <w:r w:rsidRPr="00C16CCB">
        <w:rPr>
          <w:rFonts w:cstheme="minorHAnsi"/>
        </w:rPr>
        <w:lastRenderedPageBreak/>
        <w:t xml:space="preserve">nezbytné doprovodné služby. Původně plánovaný termín v červnu 2021 nebylo možné realizovat z důvodu pandemických opatření a Olympiáda byla na základě dohody pořadatelského kraje a Českého olympijského výboru přesunuta na rok 2022. Z tohoto důvodu nebyly zbývající prostředky čerpány. Se zajištěním dalších nákladů se počítá v rozpočtu na rok 2022. </w:t>
      </w:r>
      <w:r w:rsidRPr="00C16CCB">
        <w:rPr>
          <w:rFonts w:cstheme="minorHAnsi"/>
          <w:bCs/>
        </w:rPr>
        <w:t>K 31. 12. 2021 bylo čerpání ve výši 27,5 % upraveného rozpočtu.</w:t>
      </w:r>
    </w:p>
    <w:p w14:paraId="4561846D" w14:textId="77777777" w:rsidR="00037318" w:rsidRPr="00C16CCB" w:rsidRDefault="00037318" w:rsidP="00037318">
      <w:pPr>
        <w:spacing w:after="0" w:line="240" w:lineRule="auto"/>
        <w:jc w:val="both"/>
        <w:rPr>
          <w:rFonts w:cstheme="minorHAnsi"/>
          <w:b/>
          <w:bCs/>
          <w:iCs/>
        </w:rPr>
      </w:pPr>
    </w:p>
    <w:p w14:paraId="492216A0" w14:textId="77777777" w:rsidR="00037318" w:rsidRPr="00C16CCB" w:rsidRDefault="00037318" w:rsidP="00037318">
      <w:pPr>
        <w:spacing w:after="0" w:line="240" w:lineRule="auto"/>
        <w:jc w:val="both"/>
        <w:rPr>
          <w:rFonts w:cstheme="minorHAnsi"/>
          <w:b/>
          <w:bCs/>
          <w:iCs/>
        </w:rPr>
      </w:pPr>
      <w:r w:rsidRPr="00C16CCB">
        <w:rPr>
          <w:rFonts w:cstheme="minorHAnsi"/>
          <w:b/>
          <w:bCs/>
          <w:iCs/>
        </w:rPr>
        <w:t xml:space="preserve">Mzdové prostředky hrazené z rozpočtu kraje </w:t>
      </w:r>
    </w:p>
    <w:p w14:paraId="3BCAC77A" w14:textId="77777777" w:rsidR="00037318" w:rsidRPr="00C16CCB" w:rsidRDefault="00037318" w:rsidP="00037318">
      <w:pPr>
        <w:spacing w:after="0" w:line="240" w:lineRule="auto"/>
        <w:jc w:val="both"/>
        <w:rPr>
          <w:rFonts w:cstheme="minorHAnsi"/>
        </w:rPr>
      </w:pPr>
      <w:r w:rsidRPr="00C16CCB">
        <w:rPr>
          <w:rFonts w:cstheme="minorHAnsi"/>
        </w:rPr>
        <w:t>Zastupitelstvo Středočeského kraje usnesením č. 006-02/2020/ZK ze dne 14. 12. 2020 schválilo do kapitoly 05 - Školství na rok 2021 na mzdové prostředky hrazené z rozpočtu kraje 21 865 000,00 Kč. Upravený rozpočet k 31. 12. 2021 činil 28 237 490,00 Kč. Finanční prostředky byly navýšeny na základě usnesení č. 007-04/2021/ZK ze dne 22. 2. 2021 (navýšení rozpočtu Středočeského kraje o prostředky ze sdílených daní a nevyčerpané prostředky z roku 2020) o 4 968 000,00 Kč a dále byly navýšeny o 1 404 490,00 Kč, tj. doplnění o disponibilní zdroje z UZ 000 – podpora kvality škol a rozvojové projekty (usnesení č. 066-46/2021/RK ze dne 9. 12. 2021).</w:t>
      </w:r>
    </w:p>
    <w:p w14:paraId="6D535481" w14:textId="77777777" w:rsidR="00037318" w:rsidRPr="00C16CCB" w:rsidRDefault="00037318" w:rsidP="00037318">
      <w:pPr>
        <w:spacing w:after="0" w:line="240" w:lineRule="auto"/>
        <w:jc w:val="both"/>
        <w:rPr>
          <w:rFonts w:cstheme="minorHAnsi"/>
        </w:rPr>
      </w:pPr>
      <w:r w:rsidRPr="00C16CCB">
        <w:rPr>
          <w:rFonts w:cstheme="minorHAnsi"/>
        </w:rPr>
        <w:t xml:space="preserve"> </w:t>
      </w:r>
      <w:r w:rsidRPr="00C16CCB">
        <w:rPr>
          <w:rFonts w:cstheme="minorHAnsi"/>
          <w:bCs/>
        </w:rPr>
        <w:t xml:space="preserve">Prostředky ve výši 18 031 100,00 Kč jsou určeny na financování Vzdělávacího institutu Středočeského kraje, který není možné dle zákona č. 561/2004 Sb., školský zákon, financovat ze zdrojů státního rozpočtu. Z této položky byly také dofinancovány platy vč. odvodů u školy SOŠ a SOU S. Kubra Středokluky, která nedosahovala průměrného počtu žáků na třídu daného vyhláškou č. 13/2005 Sb. Tato škola byla do 31. 8. 2021 dofinancována na základě povolené výjimky z nejnižšího průměrného počtu žáků ve třídě. </w:t>
      </w:r>
      <w:r w:rsidRPr="00C16CCB">
        <w:rPr>
          <w:rFonts w:cstheme="minorHAnsi"/>
        </w:rPr>
        <w:t>Dále byly dofinancovány nárokové složky platů vč. odvodů zejména u nepedagogických pracovníků, které nelze s ohledem na metodiku rozpisu přímých výdajů MŠMT na rok 2021 financovat ze zdrojů státního rozpočtu. Také byly z těchto prostředků financovány mzdové potřeby související s organizačními změnami – např. odstupné a ostatní tituly, které nelze hradit z dotace MŠMT. Rovněž byly financovány mzdové prostředky určené na nostrifikační zkoušky.  Rozpočet byl upravován na základě jednotlivých rozpočtových úprav v rámci kapitoly 05 – Školství (usnesení č. 041-20/2021/RK ze dne 6. 5. 2021, usnesení č. 079-30/2021RK ze dne 29. 7. 2021, usnesení č. 081-31/2021/RK ze dne 12. 8. 2021, usnesení č. 082-42/2021/RK ze dne 11. 11. 2021 a usnesení č. 066-46/2021/RK ze dne 9. 12. 2021).</w:t>
      </w:r>
    </w:p>
    <w:p w14:paraId="30DDDA1E" w14:textId="77777777" w:rsidR="00037318" w:rsidRPr="00C16CCB" w:rsidRDefault="00037318" w:rsidP="00037318">
      <w:pPr>
        <w:spacing w:after="0" w:line="240" w:lineRule="auto"/>
        <w:jc w:val="both"/>
        <w:rPr>
          <w:rFonts w:cstheme="minorHAnsi"/>
          <w:bCs/>
        </w:rPr>
      </w:pPr>
      <w:r w:rsidRPr="00C16CCB">
        <w:rPr>
          <w:rFonts w:cstheme="minorHAnsi"/>
          <w:bCs/>
        </w:rPr>
        <w:t>Čerpání k 31. 12. 2021 bylo ve výši 85,8 % upraveného rozpočtu.</w:t>
      </w:r>
    </w:p>
    <w:p w14:paraId="4A05711D" w14:textId="77777777" w:rsidR="00037318" w:rsidRPr="00C16CCB" w:rsidRDefault="00037318" w:rsidP="00037318">
      <w:pPr>
        <w:spacing w:after="0" w:line="240" w:lineRule="auto"/>
        <w:jc w:val="both"/>
        <w:rPr>
          <w:rFonts w:cstheme="minorHAnsi"/>
        </w:rPr>
      </w:pPr>
      <w:r w:rsidRPr="00C16CCB">
        <w:rPr>
          <w:rFonts w:cstheme="minorHAnsi"/>
        </w:rPr>
        <w:t>Prostředky byly rozpočtovány na následující paragrafy dle jednotlivých druhů škol a školských zařízení:</w:t>
      </w:r>
    </w:p>
    <w:p w14:paraId="4DD13290" w14:textId="27A75AE8" w:rsidR="00037318" w:rsidRPr="00C16CCB" w:rsidRDefault="00037318" w:rsidP="00037318">
      <w:pPr>
        <w:spacing w:after="0" w:line="240" w:lineRule="auto"/>
        <w:jc w:val="both"/>
        <w:rPr>
          <w:rFonts w:cstheme="minorHAnsi"/>
        </w:rPr>
      </w:pPr>
      <w:r w:rsidRPr="00C16CCB">
        <w:rPr>
          <w:rFonts w:cstheme="minorHAnsi"/>
        </w:rPr>
        <w:t>§ 3114 – ZŠ pro žáky se spec</w:t>
      </w:r>
      <w:r w:rsidR="002F7D33">
        <w:rPr>
          <w:rFonts w:cstheme="minorHAnsi"/>
        </w:rPr>
        <w:t>iálními</w:t>
      </w:r>
      <w:r w:rsidRPr="00C16CCB">
        <w:rPr>
          <w:rFonts w:cstheme="minorHAnsi"/>
        </w:rPr>
        <w:t xml:space="preserve"> vzděl</w:t>
      </w:r>
      <w:r w:rsidR="002F7D33">
        <w:rPr>
          <w:rFonts w:cstheme="minorHAnsi"/>
        </w:rPr>
        <w:t>ávacími</w:t>
      </w:r>
      <w:r w:rsidRPr="00C16CCB">
        <w:rPr>
          <w:rFonts w:cstheme="minorHAnsi"/>
        </w:rPr>
        <w:t xml:space="preserve"> potřebami</w:t>
      </w:r>
    </w:p>
    <w:p w14:paraId="6D8D8DA9" w14:textId="77777777" w:rsidR="00037318" w:rsidRPr="00C16CCB" w:rsidRDefault="00037318" w:rsidP="00037318">
      <w:pPr>
        <w:spacing w:after="0" w:line="240" w:lineRule="auto"/>
        <w:jc w:val="both"/>
        <w:rPr>
          <w:rFonts w:cstheme="minorHAnsi"/>
        </w:rPr>
      </w:pPr>
      <w:r w:rsidRPr="00C16CCB">
        <w:rPr>
          <w:rFonts w:cstheme="minorHAnsi"/>
        </w:rPr>
        <w:t>§ 3121 – Gymnázia,</w:t>
      </w:r>
    </w:p>
    <w:p w14:paraId="6A8073F1" w14:textId="77777777" w:rsidR="00037318" w:rsidRPr="00C16CCB" w:rsidRDefault="00037318" w:rsidP="00037318">
      <w:pPr>
        <w:spacing w:after="0" w:line="240" w:lineRule="auto"/>
        <w:jc w:val="both"/>
        <w:rPr>
          <w:rFonts w:cstheme="minorHAnsi"/>
        </w:rPr>
      </w:pPr>
      <w:r w:rsidRPr="00C16CCB">
        <w:rPr>
          <w:rFonts w:cstheme="minorHAnsi"/>
        </w:rPr>
        <w:t>§ 3122 – Střední odborné školy,</w:t>
      </w:r>
    </w:p>
    <w:p w14:paraId="5CECE5F3" w14:textId="77777777" w:rsidR="00037318" w:rsidRPr="00C16CCB" w:rsidRDefault="00037318" w:rsidP="00037318">
      <w:pPr>
        <w:spacing w:after="0" w:line="240" w:lineRule="auto"/>
        <w:jc w:val="both"/>
        <w:rPr>
          <w:rFonts w:cstheme="minorHAnsi"/>
        </w:rPr>
      </w:pPr>
      <w:r w:rsidRPr="00C16CCB">
        <w:rPr>
          <w:rFonts w:cstheme="minorHAnsi"/>
        </w:rPr>
        <w:t>§ 3123 – Střední školy poskytující střední vzdělání s výučním listem,</w:t>
      </w:r>
    </w:p>
    <w:p w14:paraId="073E8FB8" w14:textId="77777777" w:rsidR="00037318" w:rsidRPr="00C16CCB" w:rsidRDefault="00037318" w:rsidP="00037318">
      <w:pPr>
        <w:spacing w:after="0" w:line="240" w:lineRule="auto"/>
        <w:jc w:val="both"/>
        <w:rPr>
          <w:rFonts w:cstheme="minorHAnsi"/>
        </w:rPr>
      </w:pPr>
      <w:r w:rsidRPr="00C16CCB">
        <w:rPr>
          <w:rFonts w:cstheme="minorHAnsi"/>
        </w:rPr>
        <w:t>§ 3269 – Ostatní správa ve vzdělávání jinde nezařazená,</w:t>
      </w:r>
    </w:p>
    <w:p w14:paraId="061C43AA" w14:textId="521842AE" w:rsidR="00037318" w:rsidRPr="00C16CCB" w:rsidRDefault="00037318" w:rsidP="00037318">
      <w:pPr>
        <w:spacing w:after="0" w:line="240" w:lineRule="auto"/>
        <w:jc w:val="both"/>
        <w:rPr>
          <w:rFonts w:cstheme="minorHAnsi"/>
        </w:rPr>
      </w:pPr>
      <w:r w:rsidRPr="00C16CCB">
        <w:rPr>
          <w:rFonts w:cstheme="minorHAnsi"/>
        </w:rPr>
        <w:t>§ 3294 – Zařízení pro další vzdělávání pedagogických pracovníků</w:t>
      </w:r>
      <w:r w:rsidR="008414A1">
        <w:rPr>
          <w:rFonts w:cstheme="minorHAnsi"/>
        </w:rPr>
        <w:t>.</w:t>
      </w:r>
    </w:p>
    <w:p w14:paraId="055C7E9E" w14:textId="77777777" w:rsidR="00037318" w:rsidRPr="00C16CCB" w:rsidRDefault="00037318" w:rsidP="00037318">
      <w:pPr>
        <w:spacing w:after="0" w:line="240" w:lineRule="auto"/>
        <w:jc w:val="both"/>
        <w:rPr>
          <w:rFonts w:cstheme="minorHAnsi"/>
        </w:rPr>
      </w:pPr>
    </w:p>
    <w:p w14:paraId="48722D2B" w14:textId="77777777" w:rsidR="00037318" w:rsidRPr="00C16CCB" w:rsidRDefault="00037318" w:rsidP="00037318">
      <w:pPr>
        <w:spacing w:after="0" w:line="240" w:lineRule="auto"/>
        <w:jc w:val="both"/>
        <w:rPr>
          <w:rFonts w:cstheme="minorHAnsi"/>
          <w:b/>
        </w:rPr>
      </w:pPr>
      <w:r w:rsidRPr="00C16CCB">
        <w:rPr>
          <w:rFonts w:cstheme="minorHAnsi"/>
          <w:b/>
          <w:bCs/>
        </w:rPr>
        <w:t xml:space="preserve">Podpora kvality škol a rozvojové projekty </w:t>
      </w:r>
    </w:p>
    <w:p w14:paraId="5F3BA62F" w14:textId="77777777" w:rsidR="00037318" w:rsidRPr="00C16CCB" w:rsidRDefault="00037318" w:rsidP="00037318">
      <w:pPr>
        <w:spacing w:after="0" w:line="240" w:lineRule="auto"/>
        <w:jc w:val="both"/>
        <w:rPr>
          <w:rFonts w:cstheme="minorHAnsi"/>
        </w:rPr>
      </w:pPr>
      <w:r w:rsidRPr="00C16CCB">
        <w:rPr>
          <w:rFonts w:cstheme="minorHAnsi"/>
        </w:rPr>
        <w:t xml:space="preserve">Zastupitelstvo Středočeského kraje usnesením č. 006-02/2020/ZK ze dne 14. 12. 2020 schválilo do kapitoly 05 - Školství na rok 2021 na rozvojové projekty škol částku 3 500 000,00 Kč. </w:t>
      </w:r>
      <w:r w:rsidRPr="00C16CCB">
        <w:rPr>
          <w:rFonts w:cstheme="minorHAnsi"/>
          <w:bCs/>
        </w:rPr>
        <w:t xml:space="preserve">Upravený rozpočet k 31. 12. 2021 činil 43 186 685,63 Kč. </w:t>
      </w:r>
      <w:r w:rsidRPr="00C16CCB">
        <w:rPr>
          <w:rFonts w:cstheme="minorHAnsi"/>
        </w:rPr>
        <w:t xml:space="preserve"> Finanční prostředky byly navýšeny na základě usnesení č. 007-04/2021/ZK ze dne 22. 2. 2021 (navýšení rozpočtu Středočeského kraje o prostředky ze sdílených daní a nevyčerpané prostředky z roku 2020) o 96 000 000,00 Kč a dále byl rozpočet navýšen usnesením č. 007-06/2021/ZK ze dne 26. 4. 2021 (rozdělení zůstatku hospodaření Středočeského kraje z roku 2020) o 1 643 589,63 Kč. Naopak ve druhém pololetí r. 2021 byla část disponibilních prostředků ve výši 9 853 800,00 Kč převedena na UZ 013 – podpora vybraných oborů SŠ </w:t>
      </w:r>
      <w:r w:rsidRPr="00C16CCB">
        <w:t>(usnesení č. 066-45/2021/RK ze dne 2. 12. 2021), částka 4 045 718,00 byla převedena na UZ 008 – provoz škol (</w:t>
      </w:r>
      <w:r w:rsidRPr="00C16CCB">
        <w:rPr>
          <w:rFonts w:cstheme="minorHAnsi"/>
        </w:rPr>
        <w:t>usnesení č. 066-46/2021/RK ze dne 9. 12. 2021) a o částku 1 404 490,00 Kč byl posílen rozpočet na UZ 555 – mzdové prostředky hrazené z rozpočtu kraje (usnesení č. 066-46/2021/RK ze dne 9. 12. 2021).</w:t>
      </w:r>
    </w:p>
    <w:p w14:paraId="0E633191" w14:textId="77777777" w:rsidR="00037318" w:rsidRPr="00C16CCB" w:rsidRDefault="00037318" w:rsidP="00037318">
      <w:pPr>
        <w:spacing w:after="0" w:line="240" w:lineRule="auto"/>
        <w:jc w:val="both"/>
      </w:pPr>
      <w:r w:rsidRPr="00C16CCB">
        <w:rPr>
          <w:rFonts w:cstheme="minorHAnsi"/>
        </w:rPr>
        <w:t xml:space="preserve">Prostředky byly určeny zejména na podporu vytvoření podmínek pro zavádění inovativních metod do výuky, část těchto prostředků ve výši 42 652 896,00 Kč byla čerpána jako investice. Rozpis byl prováděn na základě jednotlivých rozpočtových úprav (usnesení č. 114-32/2021/RK ze dne 26. 8. 2021, usnesení č. 034-44/2021/RK ze dne 25. 11. 2021 a usnesení č. 066-46/2021RK ze dne 9. 12. 2021). Prostředky byly dále využity na poskytnutí příspěvku školám a školským zařízením v rámci uzavřeného </w:t>
      </w:r>
      <w:r w:rsidRPr="00C16CCB">
        <w:t xml:space="preserve">Memoranda o spolupráci Středočeského kraje s organizací The Duke of Edinburghs International Award Czech Republic Foundation, o. p. s. na uhrazení ročního licenčního poplatku za registraci v programu, poplatky za jednotlivá školení a jiné aktivity spojené s programem, vybavení na expedice, popřípadě odměny pro učitele, kteří jsou vedoucími v programu (usnesení č. 072-40/2021/RK ze dne 21. 10. 2021). </w:t>
      </w:r>
      <w:r w:rsidRPr="00C16CCB">
        <w:rPr>
          <w:rFonts w:cstheme="minorHAnsi"/>
          <w:bCs/>
        </w:rPr>
        <w:t>Čerpání k 31. 12. 2021 bylo ve výši 88,0 % upraveného rozpočtu.</w:t>
      </w:r>
    </w:p>
    <w:p w14:paraId="0E714F03" w14:textId="77777777" w:rsidR="00037318" w:rsidRPr="00C16CCB" w:rsidRDefault="00037318" w:rsidP="00037318">
      <w:pPr>
        <w:spacing w:after="0" w:line="240" w:lineRule="auto"/>
        <w:jc w:val="both"/>
      </w:pPr>
      <w:r w:rsidRPr="00C16CCB">
        <w:rPr>
          <w:rFonts w:cstheme="minorHAnsi"/>
        </w:rPr>
        <w:lastRenderedPageBreak/>
        <w:t>Prostředky byly rozpočtovány na následující paragrafy dle jednotlivých druhů škol a školských zařízení:</w:t>
      </w:r>
    </w:p>
    <w:p w14:paraId="2BF0D692" w14:textId="77777777" w:rsidR="00037318" w:rsidRPr="00C16CCB" w:rsidRDefault="00037318" w:rsidP="00037318">
      <w:pPr>
        <w:spacing w:after="0" w:line="240" w:lineRule="auto"/>
        <w:jc w:val="both"/>
        <w:rPr>
          <w:rFonts w:cstheme="minorHAnsi"/>
        </w:rPr>
      </w:pPr>
      <w:r w:rsidRPr="00C16CCB">
        <w:rPr>
          <w:rFonts w:cstheme="minorHAnsi"/>
        </w:rPr>
        <w:t>§ 3114 – Základní školy pro žáky se speciálními vzdělávacími potřebami,</w:t>
      </w:r>
    </w:p>
    <w:p w14:paraId="51646685" w14:textId="77777777" w:rsidR="00037318" w:rsidRPr="00C16CCB" w:rsidRDefault="00037318" w:rsidP="00037318">
      <w:pPr>
        <w:spacing w:after="0" w:line="240" w:lineRule="auto"/>
        <w:jc w:val="both"/>
        <w:rPr>
          <w:rFonts w:cstheme="minorHAnsi"/>
        </w:rPr>
      </w:pPr>
      <w:r w:rsidRPr="00C16CCB">
        <w:rPr>
          <w:rFonts w:cstheme="minorHAnsi"/>
        </w:rPr>
        <w:t>§ 3121 – Gymnázia,</w:t>
      </w:r>
    </w:p>
    <w:p w14:paraId="13BDE119" w14:textId="77777777" w:rsidR="00037318" w:rsidRPr="00C16CCB" w:rsidRDefault="00037318" w:rsidP="00037318">
      <w:pPr>
        <w:spacing w:after="0" w:line="240" w:lineRule="auto"/>
        <w:jc w:val="both"/>
        <w:rPr>
          <w:rFonts w:cstheme="minorHAnsi"/>
        </w:rPr>
      </w:pPr>
      <w:r w:rsidRPr="00C16CCB">
        <w:rPr>
          <w:rFonts w:cstheme="minorHAnsi"/>
        </w:rPr>
        <w:t>§ 3122 – Střední odborné školy,</w:t>
      </w:r>
    </w:p>
    <w:p w14:paraId="76713B52" w14:textId="77777777" w:rsidR="00037318" w:rsidRPr="00C16CCB" w:rsidRDefault="00037318" w:rsidP="00037318">
      <w:pPr>
        <w:spacing w:after="0" w:line="240" w:lineRule="auto"/>
        <w:jc w:val="both"/>
        <w:rPr>
          <w:rFonts w:cstheme="minorHAnsi"/>
        </w:rPr>
      </w:pPr>
      <w:r w:rsidRPr="00C16CCB">
        <w:rPr>
          <w:rFonts w:cstheme="minorHAnsi"/>
        </w:rPr>
        <w:t>§ 3123 – Střední školy poskytující střední vzdělání s výučním listem,</w:t>
      </w:r>
    </w:p>
    <w:p w14:paraId="70FD9E50" w14:textId="77777777" w:rsidR="00037318" w:rsidRPr="00C16CCB" w:rsidRDefault="00037318" w:rsidP="00037318">
      <w:pPr>
        <w:spacing w:after="0" w:line="240" w:lineRule="auto"/>
        <w:jc w:val="both"/>
        <w:rPr>
          <w:rFonts w:cstheme="minorHAnsi"/>
        </w:rPr>
      </w:pPr>
      <w:r w:rsidRPr="00C16CCB">
        <w:rPr>
          <w:rFonts w:cstheme="minorHAnsi"/>
        </w:rPr>
        <w:t>§ 3133 – Dětské domovy,</w:t>
      </w:r>
    </w:p>
    <w:p w14:paraId="4CAF680F" w14:textId="77777777" w:rsidR="00037318" w:rsidRPr="00C16CCB" w:rsidRDefault="00037318" w:rsidP="00037318">
      <w:pPr>
        <w:spacing w:after="0" w:line="240" w:lineRule="auto"/>
        <w:jc w:val="both"/>
        <w:rPr>
          <w:rFonts w:cstheme="minorHAnsi"/>
        </w:rPr>
      </w:pPr>
      <w:r w:rsidRPr="00C16CCB">
        <w:rPr>
          <w:rFonts w:cstheme="minorHAnsi"/>
        </w:rPr>
        <w:t>§ 3269 – Ostatní správa ve vzdělávání jinde nezařazená,</w:t>
      </w:r>
    </w:p>
    <w:p w14:paraId="0037F12D" w14:textId="77777777" w:rsidR="00037318" w:rsidRPr="00C16CCB" w:rsidRDefault="00037318" w:rsidP="00037318">
      <w:pPr>
        <w:spacing w:after="0" w:line="240" w:lineRule="auto"/>
        <w:jc w:val="both"/>
        <w:rPr>
          <w:rFonts w:cstheme="minorHAnsi"/>
        </w:rPr>
      </w:pPr>
      <w:r w:rsidRPr="00C16CCB">
        <w:rPr>
          <w:rFonts w:cstheme="minorHAnsi"/>
        </w:rPr>
        <w:t>§ 3421 – Využití volného času dětí a mládeže.</w:t>
      </w:r>
    </w:p>
    <w:p w14:paraId="7D2C0A22" w14:textId="77777777" w:rsidR="00037318" w:rsidRPr="00C16CCB" w:rsidRDefault="00037318" w:rsidP="00037318">
      <w:pPr>
        <w:pStyle w:val="Zkladntext"/>
        <w:spacing w:after="0"/>
        <w:jc w:val="both"/>
        <w:rPr>
          <w:rFonts w:asciiTheme="minorHAnsi" w:hAnsiTheme="minorHAnsi" w:cstheme="minorHAnsi"/>
          <w:bCs/>
          <w:sz w:val="22"/>
          <w:szCs w:val="22"/>
        </w:rPr>
      </w:pPr>
    </w:p>
    <w:p w14:paraId="1D8DC2CD" w14:textId="77777777" w:rsidR="00037318" w:rsidRPr="00C16CCB" w:rsidRDefault="00037318" w:rsidP="00037318">
      <w:pPr>
        <w:spacing w:after="0" w:line="240" w:lineRule="auto"/>
        <w:jc w:val="both"/>
        <w:rPr>
          <w:rFonts w:cstheme="minorHAnsi"/>
          <w:b/>
          <w:bCs/>
        </w:rPr>
      </w:pPr>
      <w:r w:rsidRPr="00C16CCB">
        <w:rPr>
          <w:rFonts w:cstheme="minorHAnsi"/>
          <w:b/>
          <w:bCs/>
        </w:rPr>
        <w:t>§ 3117 – První stupeň základních škol - odvod na MŠMT</w:t>
      </w:r>
    </w:p>
    <w:p w14:paraId="6276EB7E" w14:textId="77777777" w:rsidR="00037318" w:rsidRPr="00C16CCB" w:rsidRDefault="00037318" w:rsidP="00037318">
      <w:pPr>
        <w:jc w:val="both"/>
      </w:pPr>
      <w:r w:rsidRPr="00C16CCB">
        <w:t xml:space="preserve">Jedná se o vrácení státní účelové dotace z roku 2017 a 2018 na MŠMT za porušení rozpočtové kázně.  Dne 16. 8. 2021 zaplatila obecní škola na účet kraje částku 466 679,00 Kč za porušení rozpočtové kázně. Usnesením č. 029-34/2021/RK ze dne 9. 9. 2021 tato částka byla zapojena do rozpočtu kraje a dne </w:t>
      </w:r>
      <w:r w:rsidRPr="00C16CCB">
        <w:br/>
        <w:t>16. 9. 2021 byl uskutečněn převod na MŠMT.</w:t>
      </w:r>
    </w:p>
    <w:p w14:paraId="07352362" w14:textId="77777777" w:rsidR="00037318" w:rsidRPr="00C16CCB" w:rsidRDefault="00037318" w:rsidP="00037318">
      <w:pPr>
        <w:spacing w:after="0" w:line="240" w:lineRule="auto"/>
        <w:jc w:val="both"/>
        <w:rPr>
          <w:rFonts w:cstheme="minorHAnsi"/>
          <w:b/>
        </w:rPr>
      </w:pPr>
      <w:r w:rsidRPr="00C16CCB">
        <w:rPr>
          <w:rFonts w:cstheme="minorHAnsi"/>
          <w:b/>
        </w:rPr>
        <w:t>§ 3269 – Převody domněle neoprávněně použitých dotací zpět poskytovateli - vratky na základě výzvy</w:t>
      </w:r>
    </w:p>
    <w:p w14:paraId="1C9B1B94" w14:textId="7F65AF74" w:rsidR="00037318" w:rsidRPr="00C16CCB" w:rsidRDefault="00037318" w:rsidP="00037318">
      <w:pPr>
        <w:spacing w:after="0" w:line="240" w:lineRule="auto"/>
        <w:jc w:val="both"/>
        <w:rPr>
          <w:rFonts w:cstheme="minorHAnsi"/>
        </w:rPr>
      </w:pPr>
      <w:r w:rsidRPr="00C16CCB">
        <w:rPr>
          <w:rFonts w:cstheme="minorHAnsi"/>
        </w:rPr>
        <w:t>Jedná se o dobrovolné vrácení státní dotace na základě výzev k vrácení. Finanční prostředky byly usnesením č. 035-15/2021/RK ze dne 1. 4. 2021 převedeny v rámci kapitoly 05 – Školství z prostředků na kofinancování projektu „Implementace Krajského akčního plánu Středočeského kraje“ a následně odeslány na MŠMT. K 31. 12. 2021 bylo čerpáno 100,0 % upraveného rozpočtu.</w:t>
      </w:r>
    </w:p>
    <w:p w14:paraId="057DC05B" w14:textId="77777777" w:rsidR="00037318" w:rsidRPr="00C16CCB" w:rsidRDefault="00037318" w:rsidP="00037318">
      <w:pPr>
        <w:pStyle w:val="Default"/>
        <w:jc w:val="both"/>
        <w:rPr>
          <w:rFonts w:asciiTheme="minorHAnsi" w:hAnsiTheme="minorHAnsi" w:cstheme="minorHAnsi"/>
          <w:sz w:val="22"/>
          <w:szCs w:val="22"/>
        </w:rPr>
      </w:pPr>
      <w:r w:rsidRPr="00C16CCB">
        <w:rPr>
          <w:rFonts w:asciiTheme="minorHAnsi" w:hAnsiTheme="minorHAnsi" w:cstheme="minorHAnsi"/>
          <w:sz w:val="22"/>
          <w:szCs w:val="22"/>
        </w:rPr>
        <w:t xml:space="preserve">Částka 72 503,37 Kč -  jedná se o vrácení části dotace MŠMT v rámci projektu „Implementace Krajského akčního plánu Středočeského kraje“ na základě výzvy </w:t>
      </w:r>
      <w:r w:rsidRPr="00C16CCB">
        <w:rPr>
          <w:rFonts w:asciiTheme="minorHAnsi" w:hAnsiTheme="minorHAnsi" w:cstheme="minorHAnsi"/>
          <w:bCs/>
          <w:sz w:val="22"/>
          <w:szCs w:val="22"/>
        </w:rPr>
        <w:t xml:space="preserve">č. 1/21-03-08655-001 </w:t>
      </w:r>
      <w:r w:rsidRPr="00C16CCB">
        <w:rPr>
          <w:rFonts w:asciiTheme="minorHAnsi" w:hAnsiTheme="minorHAnsi" w:cstheme="minorHAnsi"/>
          <w:sz w:val="22"/>
          <w:szCs w:val="22"/>
        </w:rPr>
        <w:t xml:space="preserve">ze dne 12. 3. 2021 ze strany poskytovatele dotace MŠMT. </w:t>
      </w:r>
    </w:p>
    <w:p w14:paraId="44491064" w14:textId="77777777" w:rsidR="00037318" w:rsidRPr="00C16CCB" w:rsidRDefault="00037318" w:rsidP="00037318">
      <w:pPr>
        <w:pStyle w:val="Default"/>
        <w:jc w:val="both"/>
        <w:rPr>
          <w:rFonts w:asciiTheme="minorHAnsi" w:hAnsiTheme="minorHAnsi" w:cstheme="minorHAnsi"/>
          <w:color w:val="auto"/>
          <w:sz w:val="22"/>
          <w:szCs w:val="22"/>
        </w:rPr>
      </w:pPr>
      <w:r w:rsidRPr="00C16CCB">
        <w:rPr>
          <w:rFonts w:asciiTheme="minorHAnsi" w:hAnsiTheme="minorHAnsi" w:cstheme="minorHAnsi"/>
          <w:sz w:val="22"/>
          <w:szCs w:val="22"/>
        </w:rPr>
        <w:t xml:space="preserve">Částka 159 626,66 Kč - jedná se o vrácení části dotace MŠMT v rámci projektu “Implementace Krajského akčního plánu Středočeského kraje“ na základě výzvy </w:t>
      </w:r>
      <w:r w:rsidRPr="00C16CCB">
        <w:rPr>
          <w:rFonts w:asciiTheme="minorHAnsi" w:hAnsiTheme="minorHAnsi" w:cstheme="minorHAnsi"/>
          <w:bCs/>
          <w:sz w:val="22"/>
          <w:szCs w:val="22"/>
        </w:rPr>
        <w:t xml:space="preserve">č. 1/CZ.02.3.68/0.0/0.0/16_034/0008655/21/001 </w:t>
      </w:r>
      <w:r w:rsidRPr="00C16CCB">
        <w:rPr>
          <w:rFonts w:asciiTheme="minorHAnsi" w:hAnsiTheme="minorHAnsi" w:cstheme="minorHAnsi"/>
          <w:sz w:val="22"/>
          <w:szCs w:val="22"/>
        </w:rPr>
        <w:t xml:space="preserve">ze dne 12. 3. 2021 ze strany poskytovatele dotace MŠMT. </w:t>
      </w:r>
    </w:p>
    <w:p w14:paraId="4206A20C" w14:textId="77777777" w:rsidR="00037318" w:rsidRPr="00C16CCB" w:rsidRDefault="00037318" w:rsidP="00037318">
      <w:pPr>
        <w:spacing w:after="0" w:line="240" w:lineRule="auto"/>
        <w:jc w:val="both"/>
        <w:rPr>
          <w:rFonts w:cstheme="minorHAnsi"/>
          <w:b/>
          <w:u w:val="single"/>
        </w:rPr>
      </w:pPr>
    </w:p>
    <w:p w14:paraId="13837869" w14:textId="2EDBF065" w:rsidR="00037318" w:rsidRPr="00C16CCB" w:rsidRDefault="008414A1" w:rsidP="00037318">
      <w:pPr>
        <w:spacing w:after="0" w:line="240" w:lineRule="auto"/>
        <w:jc w:val="both"/>
        <w:rPr>
          <w:rFonts w:cstheme="minorHAnsi"/>
          <w:b/>
        </w:rPr>
      </w:pPr>
      <w:r w:rsidRPr="00C16CCB">
        <w:rPr>
          <w:rFonts w:cstheme="minorHAnsi"/>
          <w:b/>
        </w:rPr>
        <w:t xml:space="preserve">§ </w:t>
      </w:r>
      <w:r>
        <w:rPr>
          <w:rFonts w:cstheme="minorHAnsi"/>
          <w:b/>
        </w:rPr>
        <w:t>5213</w:t>
      </w:r>
      <w:r w:rsidRPr="00C16CCB">
        <w:rPr>
          <w:rFonts w:cstheme="minorHAnsi"/>
          <w:b/>
        </w:rPr>
        <w:t xml:space="preserve"> – </w:t>
      </w:r>
      <w:r w:rsidR="00037318" w:rsidRPr="00C16CCB">
        <w:rPr>
          <w:rFonts w:cstheme="minorHAnsi"/>
          <w:b/>
        </w:rPr>
        <w:t>Krizová opatření</w:t>
      </w:r>
    </w:p>
    <w:p w14:paraId="35AF03A6" w14:textId="7B0901ED" w:rsidR="00037318" w:rsidRPr="00C16CCB" w:rsidRDefault="00037318" w:rsidP="00037318">
      <w:pPr>
        <w:spacing w:after="0" w:line="240" w:lineRule="auto"/>
        <w:jc w:val="both"/>
        <w:rPr>
          <w:rFonts w:cstheme="minorHAnsi"/>
          <w:bCs/>
        </w:rPr>
      </w:pPr>
      <w:r w:rsidRPr="00C16CCB">
        <w:rPr>
          <w:rFonts w:cstheme="minorHAnsi"/>
        </w:rPr>
        <w:t xml:space="preserve">Prostředky ve výši 5 000 000,00 Kč byly na základě usnesení č. 003-11/2021/RK ze dne 5. 3. 2021 převedeny z kapitoly 23 – Ostatní, Rezerva Středočeského kraje, do kapitoly 05 – Školství k zajištění PCR testování dětí a zaměstnanců ve školách a školských zařízení vykonávajících péči o děti a mládež za nouzového stavu (určené školy). Na základě </w:t>
      </w:r>
      <w:r w:rsidRPr="00C16CCB">
        <w:rPr>
          <w:rFonts w:cstheme="minorHAnsi"/>
          <w:bCs/>
        </w:rPr>
        <w:t xml:space="preserve">usnesení č. 004-36/2021/RK ze dne 23. 9. 2021 byly čerpané prostředky převedeny na UZ </w:t>
      </w:r>
      <w:r w:rsidRPr="00C16CCB">
        <w:rPr>
          <w:rFonts w:cstheme="minorHAnsi"/>
        </w:rPr>
        <w:t>98032 – Dotace na krizové situace 2021, tj</w:t>
      </w:r>
      <w:r w:rsidR="002F7D33">
        <w:rPr>
          <w:rFonts w:cstheme="minorHAnsi"/>
        </w:rPr>
        <w:t>.</w:t>
      </w:r>
      <w:r w:rsidRPr="00C16CCB">
        <w:rPr>
          <w:rFonts w:cstheme="minorHAnsi"/>
        </w:rPr>
        <w:t xml:space="preserve"> byly pokryty z dotace poskytnuté Ministerstvem financí ČR na </w:t>
      </w:r>
      <w:r w:rsidRPr="00C16CCB">
        <w:rPr>
          <w:rFonts w:cstheme="minorHAnsi"/>
          <w:bCs/>
        </w:rPr>
        <w:t>úhradu výdajů v rámci řešení krizové situace v souvislosti s pandemií onemocnění COVID – 19.</w:t>
      </w:r>
    </w:p>
    <w:p w14:paraId="162BD74A" w14:textId="77777777" w:rsidR="00037318" w:rsidRPr="00C16CCB" w:rsidRDefault="00037318" w:rsidP="00037318">
      <w:pPr>
        <w:spacing w:after="0" w:line="240" w:lineRule="auto"/>
        <w:jc w:val="both"/>
        <w:rPr>
          <w:rFonts w:cstheme="minorHAnsi"/>
        </w:rPr>
      </w:pPr>
      <w:r w:rsidRPr="00C16CCB">
        <w:rPr>
          <w:rFonts w:cstheme="minorHAnsi"/>
        </w:rPr>
        <w:t>K 31. 12. 2021 bylo čerpání ve výši 1,8 %.</w:t>
      </w:r>
    </w:p>
    <w:p w14:paraId="2AEEFF83" w14:textId="77777777" w:rsidR="00037318" w:rsidRPr="00C16CCB" w:rsidRDefault="00037318" w:rsidP="00037318">
      <w:pPr>
        <w:spacing w:after="0" w:line="240" w:lineRule="auto"/>
        <w:jc w:val="both"/>
        <w:rPr>
          <w:rFonts w:cstheme="minorHAnsi"/>
          <w:b/>
          <w:u w:val="single"/>
        </w:rPr>
      </w:pPr>
    </w:p>
    <w:p w14:paraId="2DCCFEF6" w14:textId="77777777" w:rsidR="00037318" w:rsidRPr="00C16CCB" w:rsidRDefault="00037318" w:rsidP="00037318">
      <w:pPr>
        <w:spacing w:after="0" w:line="240" w:lineRule="auto"/>
        <w:jc w:val="both"/>
        <w:rPr>
          <w:rFonts w:cstheme="minorHAnsi"/>
          <w:b/>
          <w:sz w:val="24"/>
          <w:szCs w:val="24"/>
          <w:u w:val="single"/>
        </w:rPr>
      </w:pPr>
      <w:r w:rsidRPr="00C16CCB">
        <w:rPr>
          <w:rFonts w:cstheme="minorHAnsi"/>
          <w:b/>
          <w:sz w:val="24"/>
          <w:szCs w:val="24"/>
          <w:u w:val="single"/>
        </w:rPr>
        <w:t>Fondy</w:t>
      </w:r>
    </w:p>
    <w:p w14:paraId="2C5DE9F3" w14:textId="77777777" w:rsidR="00037318" w:rsidRPr="00C16CCB" w:rsidRDefault="00037318" w:rsidP="00037318">
      <w:pPr>
        <w:spacing w:after="0" w:line="240" w:lineRule="auto"/>
        <w:jc w:val="both"/>
        <w:rPr>
          <w:rFonts w:cstheme="minorHAnsi"/>
          <w:b/>
          <w:u w:val="single"/>
        </w:rPr>
      </w:pPr>
    </w:p>
    <w:p w14:paraId="29E4ED2A" w14:textId="77777777" w:rsidR="00037318" w:rsidRPr="00C16CCB" w:rsidRDefault="00037318" w:rsidP="00037318">
      <w:pPr>
        <w:spacing w:after="0" w:line="240" w:lineRule="auto"/>
        <w:jc w:val="both"/>
        <w:rPr>
          <w:rFonts w:cstheme="minorHAnsi"/>
          <w:b/>
        </w:rPr>
      </w:pPr>
      <w:r w:rsidRPr="00C16CCB">
        <w:rPr>
          <w:rFonts w:cstheme="minorHAnsi"/>
          <w:b/>
        </w:rPr>
        <w:t>Středočeský Fond sportu a volného času</w:t>
      </w:r>
    </w:p>
    <w:p w14:paraId="4E6B2E96" w14:textId="7FACC753" w:rsidR="00037318" w:rsidRPr="00C16CCB" w:rsidRDefault="00037318" w:rsidP="00037318">
      <w:pPr>
        <w:spacing w:after="0" w:line="240" w:lineRule="auto"/>
        <w:jc w:val="both"/>
        <w:rPr>
          <w:rFonts w:cstheme="minorHAnsi"/>
        </w:rPr>
      </w:pPr>
      <w:r w:rsidRPr="00C16CCB">
        <w:rPr>
          <w:rFonts w:cstheme="minorHAnsi"/>
        </w:rPr>
        <w:t>Finanční prostředky ve výši 25 000 000,00 Kč byly na základě organizační změny k 1. 4. 2021 převedeny usnesením č. 034-15/2021/RK ze dne 1. 4. 2021 z kapitoly 08 – Regionální rozvoj do kapitoly 05 – Školství. Zastupitelstvo kraje schválilo usnesením č. 015-04/2021/ZK ze dne 22. 2. 2021 vyhlášení „Programu 2021 pro poskytování dotací z rozpočtu Středočeského kraje ze Středočeského fondu sportu a volného času“. Celá částka byla v rámci tohoto programu rozdělena na jednání Zastupitelstva kraje dne 28. 6. 2021 usnesením č. 033-08/2021/ZK. Schváleno bylo 176 projektů, finanční prostředky v celkové částce 24 840 766,00 Kč byly odeslány na základě podepsaných smluv 173 příjemcům dotace. Tři smlouvy v celkové částce 159</w:t>
      </w:r>
      <w:r w:rsidR="002F7D33">
        <w:rPr>
          <w:rFonts w:cstheme="minorHAnsi"/>
        </w:rPr>
        <w:t> </w:t>
      </w:r>
      <w:r w:rsidRPr="00C16CCB">
        <w:rPr>
          <w:rFonts w:cstheme="minorHAnsi"/>
        </w:rPr>
        <w:t>234</w:t>
      </w:r>
      <w:r w:rsidR="002F7D33">
        <w:rPr>
          <w:rFonts w:cstheme="minorHAnsi"/>
        </w:rPr>
        <w:t>,00</w:t>
      </w:r>
      <w:r w:rsidRPr="00C16CCB">
        <w:rPr>
          <w:rFonts w:cstheme="minorHAnsi"/>
        </w:rPr>
        <w:t xml:space="preserve"> Kč nebyly uzavřeny. K 31. 12. se v rámci vyúčtování vrátilo do Fondu sportu a volného času 15 416,54 Kč. Čerpání fondu představuje 99,3 %.</w:t>
      </w:r>
    </w:p>
    <w:p w14:paraId="00E71187" w14:textId="77777777" w:rsidR="00037318" w:rsidRPr="00C16CCB" w:rsidRDefault="00037318" w:rsidP="00037318">
      <w:pPr>
        <w:pStyle w:val="Zkladntext"/>
        <w:spacing w:after="0"/>
        <w:jc w:val="both"/>
        <w:rPr>
          <w:rFonts w:asciiTheme="minorHAnsi" w:hAnsiTheme="minorHAnsi" w:cstheme="minorHAnsi"/>
          <w:b/>
          <w:sz w:val="22"/>
          <w:szCs w:val="22"/>
          <w:u w:val="single"/>
        </w:rPr>
      </w:pPr>
    </w:p>
    <w:p w14:paraId="3B982423" w14:textId="77777777" w:rsidR="00037318" w:rsidRPr="00C16CCB" w:rsidRDefault="00037318" w:rsidP="00037318">
      <w:pPr>
        <w:pStyle w:val="Zkladntext"/>
        <w:spacing w:after="0"/>
        <w:jc w:val="both"/>
        <w:rPr>
          <w:rFonts w:asciiTheme="minorHAnsi" w:hAnsiTheme="minorHAnsi" w:cstheme="minorHAnsi"/>
          <w:b/>
          <w:u w:val="single"/>
        </w:rPr>
      </w:pPr>
      <w:r w:rsidRPr="00C16CCB">
        <w:rPr>
          <w:rFonts w:asciiTheme="minorHAnsi" w:hAnsiTheme="minorHAnsi" w:cstheme="minorHAnsi"/>
          <w:b/>
          <w:u w:val="single"/>
        </w:rPr>
        <w:t>Výdaje na reprodukci majetku příspěvkových organizací</w:t>
      </w:r>
    </w:p>
    <w:p w14:paraId="56AF201E" w14:textId="77777777" w:rsidR="00037318" w:rsidRPr="00C16CCB" w:rsidRDefault="00037318" w:rsidP="00037318">
      <w:pPr>
        <w:pStyle w:val="Zkladntext"/>
        <w:spacing w:after="0"/>
        <w:jc w:val="both"/>
        <w:rPr>
          <w:rFonts w:asciiTheme="minorHAnsi" w:hAnsiTheme="minorHAnsi" w:cstheme="minorHAnsi"/>
          <w:b/>
          <w:sz w:val="22"/>
          <w:szCs w:val="22"/>
        </w:rPr>
      </w:pPr>
      <w:r w:rsidRPr="00C16CCB">
        <w:rPr>
          <w:rFonts w:asciiTheme="minorHAnsi" w:hAnsiTheme="minorHAnsi" w:cstheme="minorHAnsi"/>
          <w:b/>
          <w:sz w:val="22"/>
          <w:szCs w:val="22"/>
        </w:rPr>
        <w:t xml:space="preserve"> </w:t>
      </w:r>
    </w:p>
    <w:p w14:paraId="176FF631" w14:textId="77777777" w:rsidR="00037318" w:rsidRPr="00C16CCB" w:rsidRDefault="00037318" w:rsidP="00037318">
      <w:pPr>
        <w:spacing w:after="0" w:line="240" w:lineRule="auto"/>
        <w:jc w:val="both"/>
        <w:rPr>
          <w:rFonts w:cstheme="minorHAnsi"/>
          <w:b/>
        </w:rPr>
      </w:pPr>
      <w:r w:rsidRPr="00C16CCB">
        <w:rPr>
          <w:rFonts w:cstheme="minorHAnsi"/>
          <w:b/>
        </w:rPr>
        <w:t>Vrácené příjmy z pronájmu (UZ 040)</w:t>
      </w:r>
    </w:p>
    <w:p w14:paraId="3D4480BB" w14:textId="7F26F3D7" w:rsidR="00037318" w:rsidRPr="00C16CCB" w:rsidRDefault="00037318" w:rsidP="00037318">
      <w:pPr>
        <w:spacing w:after="0" w:line="240" w:lineRule="auto"/>
        <w:jc w:val="both"/>
        <w:rPr>
          <w:rFonts w:cstheme="minorHAnsi"/>
        </w:rPr>
      </w:pPr>
      <w:r w:rsidRPr="00C16CCB">
        <w:rPr>
          <w:rFonts w:cstheme="minorHAnsi"/>
        </w:rPr>
        <w:t xml:space="preserve">Zastupitelstvo kraje usnesením č. 006-02/2020/ZK ze dne 14. 12. 2020 schválilo na rok 2021 pro kapitolu 05 - Školství objem vrácených příjmů z pronájmů ve výši 12 750 000,00 Kč. Jedná se o prostředky, které příspěvkové organizace získají za pronájem nebytových prostor budov a pozemků Středočeského kraje svěřených do jejich hospodaření a za </w:t>
      </w:r>
      <w:r w:rsidRPr="00C16CCB">
        <w:rPr>
          <w:rFonts w:cstheme="minorHAnsi"/>
        </w:rPr>
        <w:lastRenderedPageBreak/>
        <w:t xml:space="preserve">věcná břemena, a které průběžně zasílají Středočeskému kraji. Z těchto prostředků je následně příspěvkovým organizacím financována reprodukce majetku. K 31. 12. 2021 z těchto prostředků </w:t>
      </w:r>
      <w:r w:rsidR="002F7D33">
        <w:rPr>
          <w:rFonts w:cstheme="minorHAnsi"/>
        </w:rPr>
        <w:t>r</w:t>
      </w:r>
      <w:r w:rsidRPr="00C16CCB">
        <w:rPr>
          <w:rFonts w:cstheme="minorHAnsi"/>
        </w:rPr>
        <w:t>ada kraje schválila financování 74 akcí investičního i neinvestičního charakteru v celkovém objemu 8 647 673,04 Kč. Z těchto prostředků bylo vyčerpáno 8 423 237,14 Kč, tzn. 97,4 % upraveného rozpočtu. K nedočerpání finančních prostředků došlo z důvodu úspor v rámci výběrových řízení.</w:t>
      </w:r>
    </w:p>
    <w:p w14:paraId="080B51FD" w14:textId="77777777" w:rsidR="00037318" w:rsidRPr="00C16CCB" w:rsidRDefault="00037318" w:rsidP="00037318">
      <w:pPr>
        <w:spacing w:after="0" w:line="240" w:lineRule="auto"/>
        <w:jc w:val="both"/>
        <w:rPr>
          <w:rFonts w:cstheme="minorHAnsi"/>
          <w:b/>
        </w:rPr>
      </w:pPr>
    </w:p>
    <w:p w14:paraId="35551866" w14:textId="77777777" w:rsidR="00037318" w:rsidRPr="00C16CCB" w:rsidRDefault="00037318" w:rsidP="00037318">
      <w:pPr>
        <w:spacing w:after="0" w:line="240" w:lineRule="auto"/>
        <w:jc w:val="both"/>
        <w:rPr>
          <w:rFonts w:cstheme="minorHAnsi"/>
          <w:b/>
        </w:rPr>
      </w:pPr>
      <w:r w:rsidRPr="00C16CCB">
        <w:rPr>
          <w:rFonts w:cstheme="minorHAnsi"/>
          <w:b/>
        </w:rPr>
        <w:t>Vrácené příjmy z pronájmu z minulých let (UZ 041)</w:t>
      </w:r>
    </w:p>
    <w:p w14:paraId="1C95D175" w14:textId="11E38D47" w:rsidR="00037318" w:rsidRPr="00C16CCB" w:rsidRDefault="00037318" w:rsidP="00037318">
      <w:pPr>
        <w:spacing w:after="0" w:line="240" w:lineRule="auto"/>
        <w:jc w:val="both"/>
        <w:rPr>
          <w:rFonts w:cstheme="minorHAnsi"/>
        </w:rPr>
      </w:pPr>
      <w:r w:rsidRPr="00C16CCB">
        <w:rPr>
          <w:rFonts w:cstheme="minorHAnsi"/>
        </w:rPr>
        <w:t xml:space="preserve">Zastupitelstvo kraje usnesením č. 007-06/2021/ZK ze dne 26. 4. 2021 schválilo převod zůstatku vrácených příjmů z pronájmů z roku 2020 ve výši 3 341 348,03 Kč. K 31. 12. 2021 z těchto prostředků </w:t>
      </w:r>
      <w:r w:rsidR="002F7D33">
        <w:rPr>
          <w:rFonts w:cstheme="minorHAnsi"/>
        </w:rPr>
        <w:t>r</w:t>
      </w:r>
      <w:r w:rsidRPr="00C16CCB">
        <w:rPr>
          <w:rFonts w:cstheme="minorHAnsi"/>
        </w:rPr>
        <w:t>ada kraje schválila financování 5 akcí investičního i neinvestičního charakteru ve výši 3 341 200,00 Kč. Z těchto prostředků bylo vyčerpáno 3 322 920,32 Kč, tzn. 99,4 % upraveného rozpočtu. K nedočerpání finančních prostředků došlo z důvodu úspor v rámci výběrových řízení.</w:t>
      </w:r>
    </w:p>
    <w:p w14:paraId="3A912529" w14:textId="77777777" w:rsidR="00037318" w:rsidRPr="00C16CCB" w:rsidRDefault="00037318" w:rsidP="00037318">
      <w:pPr>
        <w:pStyle w:val="Zkladntext"/>
        <w:spacing w:after="0"/>
        <w:jc w:val="both"/>
        <w:rPr>
          <w:rFonts w:asciiTheme="minorHAnsi" w:hAnsiTheme="minorHAnsi" w:cstheme="minorHAnsi"/>
          <w:b/>
          <w:sz w:val="22"/>
          <w:szCs w:val="22"/>
          <w:u w:val="single"/>
        </w:rPr>
      </w:pPr>
    </w:p>
    <w:p w14:paraId="6D4B5D73" w14:textId="77777777" w:rsidR="00037318" w:rsidRPr="00C16CCB" w:rsidRDefault="00037318" w:rsidP="00037318">
      <w:pPr>
        <w:pStyle w:val="Zkladntext"/>
        <w:spacing w:after="0"/>
        <w:jc w:val="both"/>
        <w:rPr>
          <w:rFonts w:asciiTheme="minorHAnsi" w:hAnsiTheme="minorHAnsi" w:cstheme="minorHAnsi"/>
          <w:b/>
          <w:u w:val="single"/>
        </w:rPr>
      </w:pPr>
      <w:r w:rsidRPr="00C16CCB">
        <w:rPr>
          <w:rFonts w:asciiTheme="minorHAnsi" w:hAnsiTheme="minorHAnsi" w:cstheme="minorHAnsi"/>
          <w:b/>
          <w:u w:val="single"/>
        </w:rPr>
        <w:t>Kapitálové výdaje</w:t>
      </w:r>
    </w:p>
    <w:p w14:paraId="7F4CF085" w14:textId="77777777" w:rsidR="00037318" w:rsidRPr="00C16CCB" w:rsidRDefault="00037318" w:rsidP="00037318">
      <w:pPr>
        <w:pStyle w:val="Zkladntext"/>
        <w:spacing w:after="0"/>
        <w:jc w:val="both"/>
        <w:rPr>
          <w:rFonts w:asciiTheme="minorHAnsi" w:hAnsiTheme="minorHAnsi" w:cstheme="minorHAnsi"/>
          <w:b/>
          <w:sz w:val="22"/>
          <w:szCs w:val="22"/>
          <w:u w:val="single"/>
        </w:rPr>
      </w:pPr>
    </w:p>
    <w:p w14:paraId="45B42650" w14:textId="426656E2" w:rsidR="00037318" w:rsidRPr="00C16CCB" w:rsidRDefault="00037318" w:rsidP="00037318">
      <w:pPr>
        <w:spacing w:after="0" w:line="240" w:lineRule="auto"/>
        <w:jc w:val="both"/>
        <w:rPr>
          <w:rFonts w:cstheme="minorHAnsi"/>
          <w:b/>
        </w:rPr>
      </w:pPr>
      <w:r w:rsidRPr="00C16CCB">
        <w:rPr>
          <w:rFonts w:cstheme="minorHAnsi"/>
          <w:b/>
        </w:rPr>
        <w:t xml:space="preserve">Investiční příspěvky zřízeným </w:t>
      </w:r>
      <w:r w:rsidR="00824DDB">
        <w:rPr>
          <w:rFonts w:cstheme="minorHAnsi"/>
          <w:b/>
        </w:rPr>
        <w:t>příspěvkovým organizacím</w:t>
      </w:r>
    </w:p>
    <w:p w14:paraId="2B2E989D" w14:textId="4361B947" w:rsidR="00037318" w:rsidRPr="00C16CCB" w:rsidRDefault="00037318" w:rsidP="00037318">
      <w:pPr>
        <w:spacing w:after="0" w:line="240" w:lineRule="auto"/>
        <w:jc w:val="both"/>
        <w:rPr>
          <w:rFonts w:cstheme="minorHAnsi"/>
          <w:lang w:eastAsia="cs-CZ"/>
        </w:rPr>
      </w:pPr>
      <w:r w:rsidRPr="00C16CCB">
        <w:rPr>
          <w:rFonts w:cstheme="minorHAnsi"/>
          <w:lang w:eastAsia="cs-CZ"/>
        </w:rPr>
        <w:t xml:space="preserve">K 31. 12. 2021 bylo </w:t>
      </w:r>
      <w:r w:rsidR="00824DDB">
        <w:rPr>
          <w:rFonts w:cstheme="minorHAnsi"/>
          <w:lang w:eastAsia="cs-CZ"/>
        </w:rPr>
        <w:t>r</w:t>
      </w:r>
      <w:r w:rsidRPr="00C16CCB">
        <w:rPr>
          <w:rFonts w:cstheme="minorHAnsi"/>
          <w:lang w:eastAsia="cs-CZ"/>
        </w:rPr>
        <w:t xml:space="preserve">adou kraje schváleno poskytnutí finančních prostředků na 11 investičních akcí v celkovém objemu </w:t>
      </w:r>
      <w:r w:rsidRPr="00C16CCB">
        <w:rPr>
          <w:rFonts w:cstheme="minorHAnsi"/>
          <w:bCs/>
        </w:rPr>
        <w:t>3 913 527,82</w:t>
      </w:r>
      <w:r w:rsidRPr="00C16CCB">
        <w:rPr>
          <w:rFonts w:cstheme="minorHAnsi"/>
          <w:lang w:eastAsia="cs-CZ"/>
        </w:rPr>
        <w:t xml:space="preserve"> Kč. </w:t>
      </w:r>
      <w:r w:rsidRPr="00C16CCB">
        <w:rPr>
          <w:rFonts w:cstheme="minorHAnsi"/>
          <w:bCs/>
        </w:rPr>
        <w:t xml:space="preserve">Usnesením č. 053-16/2021/RK ze dne 8. 4. 2021, č. 049-23/2021/RK ze dne 27. 5. 2021, č. 056-27/2021/RK ze dne 24. 6. 2021, </w:t>
      </w:r>
      <w:r w:rsidRPr="00C16CCB">
        <w:rPr>
          <w:rFonts w:cstheme="minorHAnsi"/>
          <w:lang w:eastAsia="cs-CZ"/>
        </w:rPr>
        <w:t>č. 084-29/2021/RK ze dne 15. 07. 2021, č. 053-41/2021/RK ze dne 4. 11. 2021 a č. 067-46/2021/RK ze dne 9. 12. 2021</w:t>
      </w:r>
      <w:r w:rsidRPr="00C16CCB">
        <w:rPr>
          <w:rFonts w:cstheme="minorHAnsi"/>
          <w:bCs/>
        </w:rPr>
        <w:t xml:space="preserve"> byly finanční prostředky v celkové výši 3 913 527,82 Kč převedeny v rámci kapitoly 05 – Školství z běžných výdajů na Velké opravy a havárie. </w:t>
      </w:r>
      <w:r w:rsidRPr="00C16CCB">
        <w:rPr>
          <w:rFonts w:cstheme="minorHAnsi"/>
        </w:rPr>
        <w:t>Rozpočet byl navýšen rozdělením zůstatku hospodaření Středočeského kraje z roku 2020 usnesením č. 007-06/2021/ZK ze dne 26. 4. 2021 o 183 875,09 Kč. Čerpání k 31.12.2021 bylo ve výši 50,1 %.</w:t>
      </w:r>
    </w:p>
    <w:p w14:paraId="35A198CD" w14:textId="77777777" w:rsidR="00037318" w:rsidRPr="00C16CCB" w:rsidRDefault="00037318" w:rsidP="00037318">
      <w:pPr>
        <w:spacing w:after="0" w:line="240" w:lineRule="auto"/>
        <w:jc w:val="both"/>
        <w:rPr>
          <w:rFonts w:cstheme="minorHAnsi"/>
          <w:b/>
        </w:rPr>
      </w:pPr>
      <w:r w:rsidRPr="00C16CCB">
        <w:rPr>
          <w:rFonts w:cstheme="minorHAnsi"/>
          <w:b/>
        </w:rPr>
        <w:t xml:space="preserve">§ 3121 – Gymnázia </w:t>
      </w:r>
    </w:p>
    <w:p w14:paraId="136FBB2E" w14:textId="170D9FC1" w:rsidR="00037318" w:rsidRDefault="00037318" w:rsidP="00037318">
      <w:pPr>
        <w:spacing w:after="0" w:line="240" w:lineRule="auto"/>
        <w:jc w:val="both"/>
        <w:rPr>
          <w:rFonts w:cstheme="minorHAnsi"/>
          <w:lang w:eastAsia="cs-CZ"/>
        </w:rPr>
      </w:pPr>
      <w:r w:rsidRPr="00C16CCB">
        <w:rPr>
          <w:rFonts w:cstheme="minorHAnsi"/>
          <w:lang w:eastAsia="cs-CZ"/>
        </w:rPr>
        <w:t xml:space="preserve">Usnesením č. 056-27/2021/RK ze dne 24. 6. 2021 bylo schváleno financování </w:t>
      </w:r>
      <w:r w:rsidRPr="00C16CCB">
        <w:rPr>
          <w:rFonts w:cstheme="minorHAnsi"/>
        </w:rPr>
        <w:t>havárie serveru školy</w:t>
      </w:r>
      <w:r w:rsidRPr="00C16CCB">
        <w:rPr>
          <w:rFonts w:cstheme="minorHAnsi"/>
          <w:lang w:eastAsia="cs-CZ"/>
        </w:rPr>
        <w:t xml:space="preserve"> v Gymnáziu J. S. Machara, Brandýs nad Labem - Stará Boleslav ve výši 296 663,42 Kč a </w:t>
      </w:r>
      <w:r w:rsidRPr="00C16CCB">
        <w:rPr>
          <w:rFonts w:cstheme="minorHAnsi"/>
        </w:rPr>
        <w:t>havárie školního serveru</w:t>
      </w:r>
      <w:r w:rsidRPr="00C16CCB">
        <w:rPr>
          <w:rFonts w:cstheme="minorHAnsi"/>
          <w:lang w:eastAsia="cs-CZ"/>
        </w:rPr>
        <w:t xml:space="preserve"> v Gymnáziu, Mladá Boleslav ve výši 248 999,00 Kč. Usnesením č. 067-46/2021/RK ze dne 9.12.2021 bylo schváleno spolufinancování nákupu elektrické pánve ve výši 352 621,40 Kč pro Gymnázium Jiřího Ortena v Kutné Hoře. Do 31. 12. 2021 bylo celkem vyčerpáno 100,0 % schválených finančních prostředků.</w:t>
      </w:r>
    </w:p>
    <w:p w14:paraId="406C8ADC" w14:textId="77777777" w:rsidR="00037318" w:rsidRPr="00C16CCB" w:rsidRDefault="00037318" w:rsidP="00037318">
      <w:pPr>
        <w:spacing w:after="0" w:line="240" w:lineRule="auto"/>
        <w:jc w:val="both"/>
        <w:rPr>
          <w:rFonts w:cstheme="minorHAnsi"/>
          <w:b/>
        </w:rPr>
      </w:pPr>
      <w:r w:rsidRPr="00C16CCB">
        <w:rPr>
          <w:rFonts w:cstheme="minorHAnsi"/>
          <w:b/>
        </w:rPr>
        <w:t>§ 3123 – Střední školy poskytující střední vzdělání s výučním listem</w:t>
      </w:r>
    </w:p>
    <w:p w14:paraId="1F17E7C6" w14:textId="0D661CA5" w:rsidR="00037318" w:rsidRDefault="00037318" w:rsidP="00037318">
      <w:pPr>
        <w:spacing w:after="0" w:line="240" w:lineRule="auto"/>
        <w:jc w:val="both"/>
        <w:rPr>
          <w:rFonts w:cstheme="minorHAnsi"/>
          <w:lang w:eastAsia="cs-CZ"/>
        </w:rPr>
      </w:pPr>
      <w:r w:rsidRPr="00C16CCB">
        <w:rPr>
          <w:rFonts w:cstheme="minorHAnsi"/>
          <w:lang w:eastAsia="cs-CZ"/>
        </w:rPr>
        <w:t>Usnesením č. 049-23/2021/RK ze dne 27. 5. 2021 bylo schváleno financování</w:t>
      </w:r>
      <w:r w:rsidRPr="00C16CCB">
        <w:rPr>
          <w:rFonts w:cstheme="minorHAnsi"/>
        </w:rPr>
        <w:t xml:space="preserve"> opravy rozvodů podzemních požárních hydrantů</w:t>
      </w:r>
      <w:r w:rsidRPr="00C16CCB">
        <w:rPr>
          <w:rFonts w:cstheme="minorHAnsi"/>
          <w:lang w:eastAsia="cs-CZ"/>
        </w:rPr>
        <w:t xml:space="preserve"> ve Střední odborné škole a Středním odborném učilišti Neratovice ve výši 200 000,00 Kč a do 31. 12. 2021 bylo vyčerpáno 100,0 % schválených finančních prostředků na akci. Usnesením č. 084-29/2021/RK ze dne 15. 07. 2021 byla pro Střední školu řemesel Kunice, příspěvkovou organizaci schválena čistička odpadních vod ve výši 450 000,00 Kč, pro Střední odbornou školu stavební a Střední odborné učiliště stavební, Kolín II vybudování přípojky vody pro školní kuchyň ve výši 350 000,00 Kč a pro Integrovanou střední školu, Mladá Boleslav oprava domova mládeže na žádost Krajské hygienické stanice ve výši 220 000,00 Kč. Do 31. 12. 2021 nebyly na tyto akce vyčerpány žádné finanční prostředky a akce byly přesunuty na rok 2022. Usnesením č. 067-46/2021/RK ze dne 9. 12. 2021 bylo schváleno financování odvodu za odnětí půdy ze Zemědělského půdního fondu ve výši 210 198,00 Kč pro Střední odbornou školu a Střední odborné učiliště, Horky nad Jizerou a finanční prostředky byly vyčerpány do 31. 12. 2021 ve výši 100</w:t>
      </w:r>
      <w:r w:rsidR="00824DDB">
        <w:rPr>
          <w:rFonts w:cstheme="minorHAnsi"/>
          <w:lang w:eastAsia="cs-CZ"/>
        </w:rPr>
        <w:t>,0</w:t>
      </w:r>
      <w:r w:rsidRPr="00C16CCB">
        <w:rPr>
          <w:rFonts w:cstheme="minorHAnsi"/>
          <w:lang w:eastAsia="cs-CZ"/>
        </w:rPr>
        <w:t xml:space="preserve"> %.</w:t>
      </w:r>
    </w:p>
    <w:p w14:paraId="73236633" w14:textId="77777777" w:rsidR="00037318" w:rsidRPr="00C16CCB" w:rsidRDefault="00037318" w:rsidP="00037318">
      <w:pPr>
        <w:spacing w:after="0" w:line="240" w:lineRule="auto"/>
        <w:jc w:val="both"/>
        <w:rPr>
          <w:rFonts w:cstheme="minorHAnsi"/>
          <w:b/>
        </w:rPr>
      </w:pPr>
      <w:r w:rsidRPr="00C16CCB">
        <w:rPr>
          <w:rFonts w:cstheme="minorHAnsi"/>
          <w:b/>
        </w:rPr>
        <w:t>§ 3125 - Střediska praktického vyučování a školní hospodářství</w:t>
      </w:r>
    </w:p>
    <w:p w14:paraId="3014B979" w14:textId="2165A64F" w:rsidR="00037318" w:rsidRDefault="00037318" w:rsidP="00037318">
      <w:pPr>
        <w:spacing w:after="0" w:line="240" w:lineRule="auto"/>
        <w:jc w:val="both"/>
        <w:rPr>
          <w:rFonts w:cstheme="minorHAnsi"/>
          <w:bCs/>
        </w:rPr>
      </w:pPr>
      <w:r w:rsidRPr="00C16CCB">
        <w:rPr>
          <w:rFonts w:cstheme="minorHAnsi"/>
          <w:bCs/>
        </w:rPr>
        <w:t>Usnesením č. 084-29/2021/RK ze dne 15. 7. 2021 bylo schváleno financování vrtání nové studny pro Školní statek Středočeského kraje, příspěvkovou organizaci ve výši 180 000,00 Kč. Finanční prostředky byly vyčerpány do 31. 12. 2021 ve výši 99,7 %.</w:t>
      </w:r>
    </w:p>
    <w:p w14:paraId="261C360B" w14:textId="77777777" w:rsidR="00037318" w:rsidRPr="00C16CCB" w:rsidRDefault="00037318" w:rsidP="00037318">
      <w:pPr>
        <w:spacing w:after="0" w:line="240" w:lineRule="auto"/>
        <w:jc w:val="both"/>
        <w:rPr>
          <w:rFonts w:cstheme="minorHAnsi"/>
          <w:b/>
        </w:rPr>
      </w:pPr>
      <w:r w:rsidRPr="00C16CCB">
        <w:rPr>
          <w:rFonts w:cstheme="minorHAnsi"/>
          <w:b/>
        </w:rPr>
        <w:t>§ 3133 –</w:t>
      </w:r>
      <w:r w:rsidRPr="00C16CCB">
        <w:rPr>
          <w:rFonts w:eastAsia="Calibri" w:cstheme="minorHAnsi"/>
          <w:b/>
        </w:rPr>
        <w:t xml:space="preserve"> Dětské domovy</w:t>
      </w:r>
    </w:p>
    <w:p w14:paraId="23520ABB" w14:textId="0B7BB592" w:rsidR="00037318" w:rsidRPr="00C16CCB" w:rsidRDefault="00037318" w:rsidP="00037318">
      <w:pPr>
        <w:spacing w:after="0" w:line="240" w:lineRule="auto"/>
        <w:jc w:val="both"/>
        <w:rPr>
          <w:rFonts w:cstheme="minorHAnsi"/>
          <w:lang w:eastAsia="cs-CZ"/>
        </w:rPr>
      </w:pPr>
      <w:r w:rsidRPr="00C16CCB">
        <w:rPr>
          <w:rFonts w:cstheme="minorHAnsi"/>
          <w:lang w:eastAsia="cs-CZ"/>
        </w:rPr>
        <w:t>Usnesením č. 053-16/2021/RK ze dne 8. 4. 2021 bylo schváleno financování</w:t>
      </w:r>
      <w:r w:rsidRPr="00C16CCB">
        <w:rPr>
          <w:rFonts w:cstheme="minorHAnsi"/>
        </w:rPr>
        <w:t xml:space="preserve"> </w:t>
      </w:r>
      <w:r w:rsidRPr="00C16CCB">
        <w:rPr>
          <w:rFonts w:eastAsia="Calibri" w:cstheme="minorHAnsi"/>
        </w:rPr>
        <w:t>rekonstrukce vytápěcího zařízení</w:t>
      </w:r>
      <w:r w:rsidRPr="00C16CCB">
        <w:rPr>
          <w:rFonts w:cstheme="minorHAnsi"/>
          <w:lang w:eastAsia="cs-CZ"/>
        </w:rPr>
        <w:t xml:space="preserve"> v Dětském domově a Školní jídelně, Benešov ve výši 565 046,00 Kč. Do 31. 12. 2021 bylo celkem vyčerpáno 99,9 % schválených finančních prostředků. Usnesením č. 053-41/2021/RK ze dne 4. 11. 2021 bylo schváleno pořízení mikrobusu ve výši 840 000,00 Kč pro Dětský domov, Unhošť. Do 31. 12. 2021 nebyly na tuto akci vyčerpány žádné finanční prostředky z důvodu nevysoutěžení dodavatele a akce byla přesunuta na rok 2022.</w:t>
      </w:r>
    </w:p>
    <w:p w14:paraId="04751D14" w14:textId="77777777" w:rsidR="00037318" w:rsidRPr="00C16CCB" w:rsidRDefault="00037318" w:rsidP="00037318">
      <w:pPr>
        <w:pStyle w:val="Zkladntext"/>
        <w:spacing w:after="0"/>
        <w:jc w:val="both"/>
        <w:rPr>
          <w:rFonts w:asciiTheme="minorHAnsi" w:hAnsiTheme="minorHAnsi" w:cstheme="minorHAnsi"/>
          <w:b/>
          <w:sz w:val="22"/>
          <w:szCs w:val="22"/>
          <w:lang w:eastAsia="cs-CZ"/>
        </w:rPr>
      </w:pPr>
      <w:r w:rsidRPr="00C16CCB">
        <w:rPr>
          <w:rFonts w:asciiTheme="minorHAnsi" w:hAnsiTheme="minorHAnsi" w:cstheme="minorHAnsi"/>
          <w:b/>
          <w:sz w:val="22"/>
          <w:szCs w:val="22"/>
          <w:lang w:eastAsia="cs-CZ"/>
        </w:rPr>
        <w:t>§ 3269</w:t>
      </w:r>
      <w:r w:rsidRPr="00C16CCB">
        <w:rPr>
          <w:rFonts w:asciiTheme="minorHAnsi" w:hAnsiTheme="minorHAnsi" w:cstheme="minorHAnsi"/>
          <w:b/>
          <w:bCs/>
          <w:sz w:val="22"/>
          <w:szCs w:val="22"/>
        </w:rPr>
        <w:t xml:space="preserve"> – Ostatní správa ve vzdělávání jinde nezařazená</w:t>
      </w:r>
    </w:p>
    <w:p w14:paraId="1BE93D51" w14:textId="2146BD30" w:rsidR="00037318" w:rsidRDefault="00037318" w:rsidP="00037318">
      <w:pPr>
        <w:pStyle w:val="Zkladntext"/>
        <w:spacing w:after="0"/>
        <w:jc w:val="both"/>
        <w:rPr>
          <w:rFonts w:asciiTheme="minorHAnsi" w:hAnsiTheme="minorHAnsi" w:cstheme="minorHAnsi"/>
          <w:sz w:val="22"/>
          <w:szCs w:val="22"/>
          <w:lang w:eastAsia="cs-CZ"/>
        </w:rPr>
      </w:pPr>
      <w:r w:rsidRPr="00C16CCB">
        <w:rPr>
          <w:rFonts w:asciiTheme="minorHAnsi" w:hAnsiTheme="minorHAnsi" w:cstheme="minorHAnsi"/>
          <w:sz w:val="22"/>
          <w:szCs w:val="22"/>
        </w:rPr>
        <w:t xml:space="preserve">Tyto prostředky slouží jako rezerva a </w:t>
      </w:r>
      <w:r w:rsidRPr="00C16CCB">
        <w:rPr>
          <w:rFonts w:asciiTheme="minorHAnsi" w:hAnsiTheme="minorHAnsi" w:cstheme="minorHAnsi"/>
          <w:sz w:val="22"/>
          <w:szCs w:val="22"/>
          <w:lang w:eastAsia="cs-CZ"/>
        </w:rPr>
        <w:t>do 31. 12. 2021 čerpány nebyly.</w:t>
      </w:r>
    </w:p>
    <w:p w14:paraId="31D48C44" w14:textId="77777777" w:rsidR="008414A1" w:rsidRPr="00C16CCB" w:rsidRDefault="008414A1" w:rsidP="00037318">
      <w:pPr>
        <w:pStyle w:val="Zkladntext"/>
        <w:spacing w:after="0"/>
        <w:jc w:val="both"/>
        <w:rPr>
          <w:rFonts w:asciiTheme="minorHAnsi" w:hAnsiTheme="minorHAnsi" w:cstheme="minorHAnsi"/>
          <w:sz w:val="22"/>
          <w:szCs w:val="22"/>
          <w:lang w:eastAsia="cs-CZ"/>
        </w:rPr>
      </w:pPr>
    </w:p>
    <w:p w14:paraId="6A4027C4" w14:textId="77777777" w:rsidR="008414A1" w:rsidRPr="00C16CCB" w:rsidRDefault="008414A1" w:rsidP="008414A1">
      <w:pPr>
        <w:spacing w:after="0" w:line="240" w:lineRule="auto"/>
        <w:jc w:val="both"/>
        <w:rPr>
          <w:rFonts w:cstheme="minorHAnsi"/>
          <w:b/>
          <w:lang w:eastAsia="cs-CZ"/>
        </w:rPr>
      </w:pPr>
      <w:r w:rsidRPr="00C16CCB">
        <w:rPr>
          <w:rFonts w:cstheme="minorHAnsi"/>
          <w:b/>
        </w:rPr>
        <w:lastRenderedPageBreak/>
        <w:t xml:space="preserve">§ 3231 – </w:t>
      </w:r>
      <w:r w:rsidRPr="00C16CCB">
        <w:rPr>
          <w:rFonts w:cstheme="minorHAnsi"/>
          <w:b/>
          <w:lang w:eastAsia="cs-CZ"/>
        </w:rPr>
        <w:t>Stavební úpravy v podkroví budovy ZUŠ Nymburk</w:t>
      </w:r>
    </w:p>
    <w:p w14:paraId="3A426C6F" w14:textId="23F14F86" w:rsidR="008414A1" w:rsidRPr="00C16CCB" w:rsidRDefault="008414A1" w:rsidP="008414A1">
      <w:pPr>
        <w:pStyle w:val="Zkladntext"/>
        <w:spacing w:after="0"/>
        <w:jc w:val="both"/>
        <w:rPr>
          <w:rFonts w:asciiTheme="minorHAnsi" w:hAnsiTheme="minorHAnsi" w:cstheme="minorHAnsi"/>
          <w:bCs/>
          <w:sz w:val="22"/>
          <w:szCs w:val="22"/>
          <w:lang w:eastAsia="cs-CZ"/>
        </w:rPr>
      </w:pPr>
      <w:r w:rsidRPr="00A137F1">
        <w:rPr>
          <w:rFonts w:asciiTheme="minorHAnsi" w:hAnsiTheme="minorHAnsi" w:cstheme="minorHAnsi"/>
          <w:bCs/>
          <w:sz w:val="22"/>
          <w:szCs w:val="22"/>
          <w:lang w:eastAsia="cs-CZ"/>
        </w:rPr>
        <w:t>Usnesením č. 079-29/2021/RK ze dne 15.7.2021 bylo schváleno financování stavebních úprav v podkroví budovy ZUŠ Nymburk odvodem z fondu investic uvedené příspěvkové organizace ve výši 395 700,-Kč. Financování této akce bylo nakonec realizováno v roce 2021 z prostředků alokovaných v  Zásobníku investic. Čerpání k 31.</w:t>
      </w:r>
      <w:r>
        <w:rPr>
          <w:rFonts w:asciiTheme="minorHAnsi" w:hAnsiTheme="minorHAnsi" w:cstheme="minorHAnsi"/>
          <w:bCs/>
          <w:sz w:val="22"/>
          <w:szCs w:val="22"/>
          <w:lang w:eastAsia="cs-CZ"/>
        </w:rPr>
        <w:t xml:space="preserve"> </w:t>
      </w:r>
      <w:r w:rsidRPr="00A137F1">
        <w:rPr>
          <w:rFonts w:asciiTheme="minorHAnsi" w:hAnsiTheme="minorHAnsi" w:cstheme="minorHAnsi"/>
          <w:bCs/>
          <w:sz w:val="22"/>
          <w:szCs w:val="22"/>
          <w:lang w:eastAsia="cs-CZ"/>
        </w:rPr>
        <w:t>12.</w:t>
      </w:r>
      <w:r>
        <w:rPr>
          <w:rFonts w:asciiTheme="minorHAnsi" w:hAnsiTheme="minorHAnsi" w:cstheme="minorHAnsi"/>
          <w:bCs/>
          <w:sz w:val="22"/>
          <w:szCs w:val="22"/>
          <w:lang w:eastAsia="cs-CZ"/>
        </w:rPr>
        <w:t xml:space="preserve"> </w:t>
      </w:r>
      <w:r w:rsidRPr="00A137F1">
        <w:rPr>
          <w:rFonts w:asciiTheme="minorHAnsi" w:hAnsiTheme="minorHAnsi" w:cstheme="minorHAnsi"/>
          <w:bCs/>
          <w:sz w:val="22"/>
          <w:szCs w:val="22"/>
          <w:lang w:eastAsia="cs-CZ"/>
        </w:rPr>
        <w:t>2021 bylo 0,0 %.</w:t>
      </w:r>
    </w:p>
    <w:p w14:paraId="5DE216FA" w14:textId="77777777" w:rsidR="00037318" w:rsidRPr="00C16CCB" w:rsidRDefault="00037318" w:rsidP="00037318">
      <w:pPr>
        <w:spacing w:after="0" w:line="240" w:lineRule="auto"/>
        <w:jc w:val="both"/>
        <w:rPr>
          <w:rFonts w:cstheme="minorHAnsi"/>
          <w:b/>
          <w:bCs/>
        </w:rPr>
      </w:pPr>
    </w:p>
    <w:p w14:paraId="45986AC2" w14:textId="77777777" w:rsidR="00037318" w:rsidRPr="00C16CCB" w:rsidRDefault="00037318" w:rsidP="00037318">
      <w:pPr>
        <w:spacing w:after="0" w:line="240" w:lineRule="auto"/>
        <w:jc w:val="both"/>
        <w:rPr>
          <w:rFonts w:cstheme="minorHAnsi"/>
          <w:b/>
          <w:bCs/>
        </w:rPr>
      </w:pPr>
    </w:p>
    <w:p w14:paraId="03446A93" w14:textId="77777777" w:rsidR="00037318" w:rsidRPr="00C16CCB" w:rsidRDefault="00037318" w:rsidP="00037318">
      <w:pPr>
        <w:spacing w:after="0" w:line="240" w:lineRule="auto"/>
        <w:jc w:val="both"/>
        <w:rPr>
          <w:rFonts w:cstheme="minorHAnsi"/>
          <w:b/>
        </w:rPr>
      </w:pPr>
      <w:r w:rsidRPr="00C16CCB">
        <w:rPr>
          <w:rFonts w:cstheme="minorHAnsi"/>
          <w:b/>
          <w:bCs/>
        </w:rPr>
        <w:t xml:space="preserve">Podpora kvality škol a rozvojové projekty </w:t>
      </w:r>
    </w:p>
    <w:p w14:paraId="72B93190" w14:textId="77777777" w:rsidR="00037318" w:rsidRPr="00C16CCB" w:rsidRDefault="00037318" w:rsidP="00037318">
      <w:pPr>
        <w:spacing w:after="0" w:line="240" w:lineRule="auto"/>
        <w:jc w:val="both"/>
      </w:pPr>
      <w:r w:rsidRPr="00C16CCB">
        <w:rPr>
          <w:rFonts w:cstheme="minorHAnsi"/>
        </w:rPr>
        <w:t xml:space="preserve">Prostředky byly určeny zejména na podporu vytvoření podmínek pro zavádění inovativních metod do výuky, kdy část těchto prostředků, původně narozpočtovaných pod neinvestiční položkou, byla na základě žádostí škol čerpána jako investice, a to v celkové výši 42 652 896,00 Kč. Rozpis byl prováděn na základě jednotlivých rozpočtových úprav (usnesení č. 114-32/2021/RK ze dne 26. 8. 2021, usnesení č. 034-44/2021/RK ze dne 25. 11. 2021 a usnesení č. 066-46/2021RK ze dne 9. 12. 2021). </w:t>
      </w:r>
      <w:r w:rsidRPr="00C16CCB">
        <w:rPr>
          <w:rFonts w:cstheme="minorHAnsi"/>
          <w:bCs/>
        </w:rPr>
        <w:t>Čerpání k 31. 12. 2021 bylo ve výši 100,0 % upraveného rozpočtu.</w:t>
      </w:r>
    </w:p>
    <w:p w14:paraId="45AF48F1" w14:textId="77777777" w:rsidR="00037318" w:rsidRPr="00C16CCB" w:rsidRDefault="00037318" w:rsidP="00037318">
      <w:pPr>
        <w:spacing w:after="0" w:line="240" w:lineRule="auto"/>
        <w:jc w:val="both"/>
      </w:pPr>
      <w:r w:rsidRPr="00C16CCB">
        <w:rPr>
          <w:rFonts w:cstheme="minorHAnsi"/>
        </w:rPr>
        <w:t>Prostředky byly rozpočtovány na následující paragrafy dle jednotlivých druhů škol a školských zařízení:</w:t>
      </w:r>
    </w:p>
    <w:p w14:paraId="708E180B" w14:textId="77777777" w:rsidR="00037318" w:rsidRPr="00C16CCB" w:rsidRDefault="00037318" w:rsidP="00037318">
      <w:pPr>
        <w:spacing w:after="0" w:line="240" w:lineRule="auto"/>
        <w:jc w:val="both"/>
        <w:rPr>
          <w:rFonts w:cstheme="minorHAnsi"/>
        </w:rPr>
      </w:pPr>
      <w:r w:rsidRPr="00C16CCB">
        <w:rPr>
          <w:rFonts w:cstheme="minorHAnsi"/>
        </w:rPr>
        <w:t>§ 3114 – Základní školy pro žáky se speciálními vzdělávacími potřebami,</w:t>
      </w:r>
    </w:p>
    <w:p w14:paraId="163D5DAD" w14:textId="77777777" w:rsidR="00037318" w:rsidRPr="00C16CCB" w:rsidRDefault="00037318" w:rsidP="00037318">
      <w:pPr>
        <w:spacing w:after="0" w:line="240" w:lineRule="auto"/>
        <w:jc w:val="both"/>
        <w:rPr>
          <w:rFonts w:cstheme="minorHAnsi"/>
        </w:rPr>
      </w:pPr>
      <w:r w:rsidRPr="00C16CCB">
        <w:rPr>
          <w:rFonts w:cstheme="minorHAnsi"/>
        </w:rPr>
        <w:t>§ 3121 – Gymnázia,</w:t>
      </w:r>
    </w:p>
    <w:p w14:paraId="4B3F7D1B" w14:textId="77777777" w:rsidR="00037318" w:rsidRPr="00C16CCB" w:rsidRDefault="00037318" w:rsidP="00037318">
      <w:pPr>
        <w:spacing w:after="0" w:line="240" w:lineRule="auto"/>
        <w:jc w:val="both"/>
        <w:rPr>
          <w:rFonts w:cstheme="minorHAnsi"/>
        </w:rPr>
      </w:pPr>
      <w:r w:rsidRPr="00C16CCB">
        <w:rPr>
          <w:rFonts w:cstheme="minorHAnsi"/>
        </w:rPr>
        <w:t>§ 3122 – Střední odborné školy,</w:t>
      </w:r>
    </w:p>
    <w:p w14:paraId="5DAF44AE" w14:textId="77777777" w:rsidR="00037318" w:rsidRPr="00C16CCB" w:rsidRDefault="00037318" w:rsidP="00037318">
      <w:pPr>
        <w:spacing w:after="0" w:line="240" w:lineRule="auto"/>
        <w:jc w:val="both"/>
        <w:rPr>
          <w:rFonts w:cstheme="minorHAnsi"/>
        </w:rPr>
      </w:pPr>
      <w:r w:rsidRPr="00C16CCB">
        <w:rPr>
          <w:rFonts w:cstheme="minorHAnsi"/>
        </w:rPr>
        <w:t>§ 3123 – Střední školy poskytující střední vzdělání s výučním listem.</w:t>
      </w:r>
    </w:p>
    <w:p w14:paraId="27EAB92E" w14:textId="77777777" w:rsidR="00037318" w:rsidRPr="00C16CCB" w:rsidRDefault="00037318" w:rsidP="00037318">
      <w:pPr>
        <w:pStyle w:val="Zkladntext"/>
        <w:spacing w:after="0"/>
        <w:jc w:val="both"/>
        <w:rPr>
          <w:rFonts w:asciiTheme="minorHAnsi" w:hAnsiTheme="minorHAnsi" w:cstheme="minorHAnsi"/>
          <w:b/>
          <w:sz w:val="22"/>
          <w:szCs w:val="22"/>
        </w:rPr>
      </w:pPr>
    </w:p>
    <w:p w14:paraId="72CED7C0" w14:textId="77777777" w:rsidR="00037318" w:rsidRPr="00C16CCB" w:rsidRDefault="00037318" w:rsidP="00037318">
      <w:pPr>
        <w:spacing w:after="0" w:line="240" w:lineRule="auto"/>
        <w:jc w:val="both"/>
        <w:rPr>
          <w:rFonts w:cstheme="minorHAnsi"/>
          <w:b/>
          <w:sz w:val="24"/>
          <w:szCs w:val="24"/>
          <w:u w:val="single"/>
        </w:rPr>
      </w:pPr>
      <w:r w:rsidRPr="00C16CCB">
        <w:rPr>
          <w:rFonts w:cstheme="minorHAnsi"/>
          <w:b/>
          <w:sz w:val="24"/>
          <w:szCs w:val="24"/>
          <w:u w:val="single"/>
        </w:rPr>
        <w:t>Předfinancování a kofinancování projektů spolufinancovaných z EU/EHP a ostatní související výdaje s projekty EU/EHP</w:t>
      </w:r>
    </w:p>
    <w:p w14:paraId="0437C9E1" w14:textId="77777777" w:rsidR="00037318" w:rsidRPr="00C16CCB" w:rsidRDefault="00037318" w:rsidP="00037318">
      <w:pPr>
        <w:spacing w:after="0" w:line="240" w:lineRule="auto"/>
        <w:jc w:val="both"/>
        <w:rPr>
          <w:rFonts w:cstheme="minorHAnsi"/>
          <w:b/>
          <w:u w:val="single"/>
        </w:rPr>
      </w:pPr>
    </w:p>
    <w:p w14:paraId="6B486A38" w14:textId="77777777" w:rsidR="00037318" w:rsidRPr="00C16CCB" w:rsidRDefault="00037318" w:rsidP="00037318">
      <w:pPr>
        <w:spacing w:after="0" w:line="240" w:lineRule="auto"/>
        <w:jc w:val="both"/>
        <w:rPr>
          <w:rFonts w:cstheme="minorHAnsi"/>
          <w:b/>
        </w:rPr>
      </w:pPr>
      <w:r w:rsidRPr="00C16CCB">
        <w:rPr>
          <w:rFonts w:cstheme="minorHAnsi"/>
          <w:b/>
        </w:rPr>
        <w:t>§ 3114 – Základní školy pro žáky se speciálními vzdělávacími potřebami</w:t>
      </w:r>
    </w:p>
    <w:p w14:paraId="541FC9FF" w14:textId="77777777" w:rsidR="00037318" w:rsidRPr="00C16CCB" w:rsidRDefault="00037318" w:rsidP="00037318">
      <w:pPr>
        <w:spacing w:after="0" w:line="240" w:lineRule="auto"/>
        <w:jc w:val="both"/>
        <w:rPr>
          <w:rFonts w:cstheme="minorHAnsi"/>
        </w:rPr>
      </w:pPr>
      <w:r w:rsidRPr="00C16CCB">
        <w:rPr>
          <w:rFonts w:cstheme="minorHAnsi"/>
        </w:rPr>
        <w:t>Investiční finanční prostředky pro příspěvkové organizace na kofinancování tří projektů realizovaných v rámci Operačního programu Životní prostředí a Integrovaného regionálního operačního programu. K 31. 12. 2021 bylo čerpáno 100,0 % rozpočtovaných prostředků.</w:t>
      </w:r>
    </w:p>
    <w:p w14:paraId="62952BF4" w14:textId="77777777" w:rsidR="00037318" w:rsidRPr="00C16CCB" w:rsidRDefault="00037318" w:rsidP="00037318">
      <w:pPr>
        <w:spacing w:after="0" w:line="240" w:lineRule="auto"/>
        <w:jc w:val="both"/>
        <w:rPr>
          <w:rFonts w:eastAsia="Times New Roman" w:cstheme="minorHAnsi"/>
          <w:lang w:eastAsia="cs-CZ"/>
        </w:rPr>
      </w:pPr>
    </w:p>
    <w:p w14:paraId="0FC41433" w14:textId="77777777" w:rsidR="00037318" w:rsidRPr="00C16CCB" w:rsidRDefault="00037318" w:rsidP="00037318">
      <w:pPr>
        <w:spacing w:after="0" w:line="240" w:lineRule="auto"/>
        <w:jc w:val="both"/>
        <w:rPr>
          <w:rFonts w:cstheme="minorHAnsi"/>
          <w:b/>
        </w:rPr>
      </w:pPr>
      <w:r w:rsidRPr="00C16CCB">
        <w:rPr>
          <w:rFonts w:cstheme="minorHAnsi"/>
          <w:b/>
        </w:rPr>
        <w:t>§ 3121 – Gymnázia</w:t>
      </w:r>
    </w:p>
    <w:p w14:paraId="704792DC" w14:textId="77777777" w:rsidR="00037318" w:rsidRPr="00C16CCB" w:rsidRDefault="00037318" w:rsidP="00037318">
      <w:pPr>
        <w:spacing w:after="0" w:line="240" w:lineRule="auto"/>
        <w:jc w:val="both"/>
        <w:rPr>
          <w:rFonts w:eastAsia="Times New Roman" w:cstheme="minorHAnsi"/>
          <w:lang w:eastAsia="cs-CZ"/>
        </w:rPr>
      </w:pPr>
      <w:r w:rsidRPr="00C16CCB">
        <w:rPr>
          <w:rFonts w:cstheme="minorHAnsi"/>
        </w:rPr>
        <w:t>Neinvestiční a investiční finanční prostředky pro příspěvkové organizace na předfinancování a kofinancování šesti projektů realizovaných v rámci Operačního programu Výzkum, vývoj a vzdělávání, Integrovaného regionálního operačního programu a Operačního programu Životní prostředí. K 31.</w:t>
      </w:r>
      <w:r w:rsidRPr="00C16CCB">
        <w:t> </w:t>
      </w:r>
      <w:r w:rsidRPr="00C16CCB">
        <w:rPr>
          <w:rFonts w:cstheme="minorHAnsi"/>
        </w:rPr>
        <w:t>12.</w:t>
      </w:r>
      <w:r w:rsidRPr="00C16CCB">
        <w:t> </w:t>
      </w:r>
      <w:r w:rsidRPr="00C16CCB">
        <w:rPr>
          <w:rFonts w:cstheme="minorHAnsi"/>
        </w:rPr>
        <w:t>2021 bylo čerpáno 100,0 % rozpočtovaných prostředků.</w:t>
      </w:r>
    </w:p>
    <w:p w14:paraId="04D9F3D1" w14:textId="77777777" w:rsidR="00037318" w:rsidRPr="00C16CCB" w:rsidRDefault="00037318" w:rsidP="00037318">
      <w:pPr>
        <w:spacing w:after="0" w:line="240" w:lineRule="auto"/>
        <w:jc w:val="both"/>
        <w:rPr>
          <w:rFonts w:cstheme="minorHAnsi"/>
          <w:b/>
          <w:color w:val="FF0000"/>
        </w:rPr>
      </w:pPr>
    </w:p>
    <w:p w14:paraId="386B5000" w14:textId="77777777" w:rsidR="00037318" w:rsidRPr="00C16CCB" w:rsidRDefault="00037318" w:rsidP="00037318">
      <w:pPr>
        <w:spacing w:after="0" w:line="240" w:lineRule="auto"/>
        <w:jc w:val="both"/>
        <w:rPr>
          <w:rFonts w:cstheme="minorHAnsi"/>
          <w:b/>
        </w:rPr>
      </w:pPr>
      <w:r w:rsidRPr="00C16CCB">
        <w:rPr>
          <w:rFonts w:cstheme="minorHAnsi"/>
          <w:b/>
        </w:rPr>
        <w:t>§ 3122 – Střední odborné školy</w:t>
      </w:r>
    </w:p>
    <w:p w14:paraId="07E8D6E3" w14:textId="77777777" w:rsidR="00037318" w:rsidRPr="00C16CCB" w:rsidRDefault="00037318" w:rsidP="00037318">
      <w:pPr>
        <w:spacing w:after="0" w:line="240" w:lineRule="auto"/>
        <w:jc w:val="both"/>
        <w:rPr>
          <w:rFonts w:eastAsia="Times New Roman" w:cstheme="minorHAnsi"/>
          <w:lang w:eastAsia="cs-CZ"/>
        </w:rPr>
      </w:pPr>
      <w:r w:rsidRPr="00C16CCB">
        <w:rPr>
          <w:rFonts w:cstheme="minorHAnsi"/>
        </w:rPr>
        <w:t>Neinvestiční a investiční finanční prostředky pro příspěvkové organizace na předfinancování a kofinancování jedenácti projektů realizovaných v rámci Operačního programu Výzkum, vývoj a vzdělávání, Integrovaného regionálního operačního programu, Operačního programu Životní prostředí a Erasmu+. K 31. 12. 2021 bylo čerpáno 100,0 % rozpočtovaných prostředků.</w:t>
      </w:r>
    </w:p>
    <w:p w14:paraId="0A886F80" w14:textId="77777777" w:rsidR="00037318" w:rsidRPr="00C16CCB" w:rsidRDefault="00037318" w:rsidP="00037318">
      <w:pPr>
        <w:spacing w:after="0" w:line="240" w:lineRule="auto"/>
        <w:jc w:val="both"/>
        <w:rPr>
          <w:rFonts w:cstheme="minorHAnsi"/>
          <w:bCs/>
        </w:rPr>
      </w:pPr>
    </w:p>
    <w:p w14:paraId="2F2A3B59" w14:textId="77777777" w:rsidR="00037318" w:rsidRPr="00C16CCB" w:rsidRDefault="00037318" w:rsidP="00037318">
      <w:pPr>
        <w:spacing w:after="0" w:line="240" w:lineRule="auto"/>
        <w:jc w:val="both"/>
        <w:rPr>
          <w:rFonts w:cstheme="minorHAnsi"/>
          <w:b/>
        </w:rPr>
      </w:pPr>
      <w:r w:rsidRPr="00C16CCB">
        <w:rPr>
          <w:rFonts w:cstheme="minorHAnsi"/>
          <w:b/>
        </w:rPr>
        <w:t xml:space="preserve">§ 3123 – Střední školy poskytující střední vzdělávání s výučním listem </w:t>
      </w:r>
    </w:p>
    <w:p w14:paraId="02338181" w14:textId="77777777" w:rsidR="00037318" w:rsidRPr="00C16CCB" w:rsidRDefault="00037318" w:rsidP="00037318">
      <w:pPr>
        <w:spacing w:after="0" w:line="240" w:lineRule="auto"/>
        <w:jc w:val="both"/>
        <w:rPr>
          <w:rFonts w:eastAsia="Times New Roman" w:cstheme="minorHAnsi"/>
          <w:lang w:eastAsia="cs-CZ"/>
        </w:rPr>
      </w:pPr>
      <w:r w:rsidRPr="00C16CCB">
        <w:rPr>
          <w:rFonts w:cstheme="minorHAnsi"/>
        </w:rPr>
        <w:t>Neinvestiční a investiční finanční prostředky pro příspěvkové organizace na předfinancování a kofinancování třiceti dvou projektů realizovaných v rámci Operačního programu Výzkum, vývoj a vzdělávání, Integrovaného regionálního operačního programu, Operačního programu Životní prostředí a Erasmu+. K 31. 12. 2021 bylo čerpáno 100,0 % rozpočtovaných prostředků.</w:t>
      </w:r>
    </w:p>
    <w:p w14:paraId="0CFBDFDF" w14:textId="77777777" w:rsidR="00037318" w:rsidRPr="00C16CCB" w:rsidRDefault="00037318" w:rsidP="00037318">
      <w:pPr>
        <w:spacing w:after="0" w:line="240" w:lineRule="auto"/>
        <w:jc w:val="both"/>
        <w:rPr>
          <w:rFonts w:cstheme="minorHAnsi"/>
          <w:b/>
          <w:color w:val="FF0000"/>
        </w:rPr>
      </w:pPr>
    </w:p>
    <w:p w14:paraId="35C835B9" w14:textId="77777777" w:rsidR="00037318" w:rsidRPr="00C16CCB" w:rsidRDefault="00037318" w:rsidP="00037318">
      <w:pPr>
        <w:spacing w:after="0" w:line="240" w:lineRule="auto"/>
        <w:jc w:val="both"/>
        <w:rPr>
          <w:rFonts w:cstheme="minorHAnsi"/>
          <w:b/>
          <w:u w:val="single"/>
        </w:rPr>
      </w:pPr>
      <w:r w:rsidRPr="00C16CCB">
        <w:rPr>
          <w:rFonts w:cstheme="minorHAnsi"/>
          <w:b/>
        </w:rPr>
        <w:t>§ 3146 – Zařízení výchovného poradenství</w:t>
      </w:r>
    </w:p>
    <w:p w14:paraId="5CC1BE28" w14:textId="77777777" w:rsidR="00037318" w:rsidRPr="00C16CCB" w:rsidRDefault="00037318" w:rsidP="00037318">
      <w:pPr>
        <w:spacing w:after="0" w:line="240" w:lineRule="auto"/>
        <w:jc w:val="both"/>
        <w:rPr>
          <w:rFonts w:cstheme="minorHAnsi"/>
        </w:rPr>
      </w:pPr>
      <w:r w:rsidRPr="00C16CCB">
        <w:rPr>
          <w:rFonts w:cstheme="minorHAnsi"/>
        </w:rPr>
        <w:t>Neinvestiční finanční prostředky pro příspěvkovou organizaci na předfinancování a kofinancování projektu „Implementace Krajského akčního plánu II Středočeského kraje“ realizovaného v rámci Operačního programu Výzkum, vývoj a vzdělávání. K 31. 12. 2021 bylo čerpáno 100,0 % rozpočtovaných prostředků.</w:t>
      </w:r>
    </w:p>
    <w:p w14:paraId="0FA8EBC9" w14:textId="77777777" w:rsidR="00037318" w:rsidRPr="00C16CCB" w:rsidRDefault="00037318" w:rsidP="00037318">
      <w:pPr>
        <w:spacing w:after="0" w:line="240" w:lineRule="auto"/>
        <w:jc w:val="both"/>
        <w:rPr>
          <w:rFonts w:eastAsia="Times New Roman" w:cstheme="minorHAnsi"/>
          <w:lang w:eastAsia="cs-CZ"/>
        </w:rPr>
      </w:pPr>
    </w:p>
    <w:p w14:paraId="5E6A3D08" w14:textId="77777777" w:rsidR="00037318" w:rsidRPr="00C16CCB" w:rsidRDefault="00037318" w:rsidP="00037318">
      <w:pPr>
        <w:tabs>
          <w:tab w:val="left" w:pos="875"/>
        </w:tabs>
        <w:spacing w:after="0" w:line="240" w:lineRule="auto"/>
        <w:jc w:val="both"/>
        <w:rPr>
          <w:rFonts w:cstheme="minorHAnsi"/>
          <w:b/>
        </w:rPr>
      </w:pPr>
      <w:r w:rsidRPr="00C16CCB">
        <w:rPr>
          <w:rFonts w:cstheme="minorHAnsi"/>
          <w:b/>
        </w:rPr>
        <w:t>§ 3269 – Ostatní správa ve vzdělávání jinde nezařazená</w:t>
      </w:r>
    </w:p>
    <w:p w14:paraId="2CB452E5" w14:textId="7F7B03CD" w:rsidR="00037318" w:rsidRPr="00C16CCB" w:rsidRDefault="00037318" w:rsidP="00037318">
      <w:pPr>
        <w:tabs>
          <w:tab w:val="left" w:pos="875"/>
        </w:tabs>
        <w:spacing w:after="0" w:line="240" w:lineRule="auto"/>
        <w:jc w:val="both"/>
        <w:rPr>
          <w:rFonts w:cstheme="minorHAnsi"/>
        </w:rPr>
      </w:pPr>
      <w:r w:rsidRPr="00C16CCB">
        <w:rPr>
          <w:rFonts w:cstheme="minorHAnsi"/>
        </w:rPr>
        <w:t>V rámci tří projektů Operačního programu Výzkum, vývoj a vzdělávání činil upravený rozpočet 37 536 896,33 Kč a čerpáno bylo 920 080,23 Kč, což činí 2,5 % rozpočtovaných prostředků</w:t>
      </w:r>
      <w:r w:rsidR="00B53241">
        <w:rPr>
          <w:rFonts w:cstheme="minorHAnsi"/>
        </w:rPr>
        <w:t>:</w:t>
      </w:r>
    </w:p>
    <w:p w14:paraId="1CDCDFC1" w14:textId="77777777" w:rsidR="00037318" w:rsidRPr="00C16CCB" w:rsidRDefault="00037318" w:rsidP="00037318">
      <w:pPr>
        <w:tabs>
          <w:tab w:val="left" w:pos="875"/>
        </w:tabs>
        <w:spacing w:after="0" w:line="240" w:lineRule="auto"/>
        <w:jc w:val="both"/>
        <w:rPr>
          <w:rFonts w:cstheme="minorHAnsi"/>
        </w:rPr>
      </w:pPr>
      <w:r w:rsidRPr="00C16CCB">
        <w:rPr>
          <w:rFonts w:cstheme="minorHAnsi"/>
        </w:rPr>
        <w:lastRenderedPageBreak/>
        <w:t xml:space="preserve">Neinvestiční finanční prostředky na kofinancování projektu „Krajský akční plán vzdělávání Středočeského kraje“ realizovaného v rámci Operačního programu Výzkum, vývoj a vzdělávání. Projekt je realizován v letech 2016 – 2022. K 31. 12. 2021 bylo čerpáno 353 445,57 Kč, což činí 42,6 % rozpočtovaných prostředků. Nevyčerpané prostředky ve výši 475 804,45 Kč budou čerpány v I. čtvrtletí roku 2022. </w:t>
      </w:r>
    </w:p>
    <w:p w14:paraId="6080AA4E" w14:textId="77777777" w:rsidR="00037318" w:rsidRPr="00C16CCB" w:rsidRDefault="00037318" w:rsidP="00037318">
      <w:pPr>
        <w:tabs>
          <w:tab w:val="left" w:pos="875"/>
        </w:tabs>
        <w:spacing w:after="0" w:line="240" w:lineRule="auto"/>
        <w:jc w:val="both"/>
        <w:rPr>
          <w:rFonts w:cstheme="minorHAnsi"/>
          <w:bCs/>
        </w:rPr>
      </w:pPr>
      <w:r w:rsidRPr="00C16CCB">
        <w:rPr>
          <w:rFonts w:cstheme="minorHAnsi"/>
          <w:bCs/>
        </w:rPr>
        <w:t>Neinvestiční a investiční finanční prostředky na předfinancování a kofinancování projektu „Implementace Krajského akčního plánu II Středočeského kraje“ realizovaného v rámci Operačního programu Výzkum, vývoj a vzdělávání. Projekt je realizován v letech 2020 – 2023. K 31. 12. 2021 bylo čerpáno 566 634,66 Kč, což činí 1,5 % rozpočtovaných prostředků. Částka 1 772 070,46 Kč je blokována na smlouvách v roce 2021. Nevyčerpané prostředky ve výši 34 368 941,19 Kč budou čerpány v roce 2022.</w:t>
      </w:r>
    </w:p>
    <w:p w14:paraId="43125F35" w14:textId="77777777" w:rsidR="00037318" w:rsidRPr="00C16CCB" w:rsidRDefault="00037318" w:rsidP="00037318">
      <w:pPr>
        <w:spacing w:after="0" w:line="240" w:lineRule="auto"/>
        <w:jc w:val="both"/>
        <w:rPr>
          <w:rFonts w:cstheme="minorHAnsi"/>
          <w:bCs/>
          <w:strike/>
        </w:rPr>
      </w:pPr>
      <w:r w:rsidRPr="00C16CCB">
        <w:rPr>
          <w:rFonts w:cstheme="minorHAnsi"/>
          <w:bCs/>
        </w:rPr>
        <w:t xml:space="preserve">Neinvestiční finanční prostředky na předfinancování a kofinancování projektu „Implementace Krajského akčního plánu Středočeského kraje“ realizovaného v rámci Operačního programu Výzkum, vývoj a vzdělávání. K 31. 12. 2021 bylo čerpáno 0,0 % upraveného rozpočtu. Z důvodu ukončení projektu byly v červenci 2021 nevyčerpané prostředky vráceny do kapitoly 23 – Ostatní, prostředků na předfinancování a kofinancování projektů spolufinancovaných z EU/EHP. </w:t>
      </w:r>
    </w:p>
    <w:p w14:paraId="32DB4B2C" w14:textId="77777777" w:rsidR="00037318" w:rsidRPr="00C16CCB" w:rsidRDefault="00037318" w:rsidP="00037318">
      <w:pPr>
        <w:spacing w:after="0" w:line="240" w:lineRule="auto"/>
        <w:jc w:val="both"/>
        <w:rPr>
          <w:rFonts w:eastAsia="Times New Roman" w:cstheme="minorHAnsi"/>
          <w:lang w:eastAsia="cs-CZ"/>
        </w:rPr>
      </w:pPr>
    </w:p>
    <w:p w14:paraId="21DFA570" w14:textId="77777777" w:rsidR="00037318" w:rsidRPr="00C16CCB" w:rsidRDefault="00037318" w:rsidP="00037318">
      <w:pPr>
        <w:tabs>
          <w:tab w:val="left" w:pos="875"/>
        </w:tabs>
        <w:spacing w:after="0" w:line="240" w:lineRule="auto"/>
        <w:jc w:val="both"/>
        <w:rPr>
          <w:rFonts w:cstheme="minorHAnsi"/>
          <w:b/>
        </w:rPr>
      </w:pPr>
      <w:r w:rsidRPr="00C16CCB">
        <w:rPr>
          <w:rFonts w:cstheme="minorHAnsi"/>
          <w:b/>
        </w:rPr>
        <w:t>§ 3294 – Zařízení pro další vzdělávání pedagogických pracovníků</w:t>
      </w:r>
    </w:p>
    <w:p w14:paraId="1BDA73FC" w14:textId="77777777" w:rsidR="00037318" w:rsidRPr="00C16CCB" w:rsidRDefault="00037318" w:rsidP="00037318">
      <w:pPr>
        <w:spacing w:after="0" w:line="240" w:lineRule="auto"/>
        <w:jc w:val="both"/>
        <w:rPr>
          <w:rFonts w:cstheme="minorHAnsi"/>
        </w:rPr>
      </w:pPr>
      <w:r w:rsidRPr="00C16CCB">
        <w:rPr>
          <w:rFonts w:cstheme="minorHAnsi"/>
        </w:rPr>
        <w:t>Neinvestiční finanční prostředky pro příspěvkovou organizaci na předfinancování a kofinancování projektu „Implementace Krajského akčního plánu II Středočeského kraje“ realizovaného v rámci Operačního programu Výzkum, vývoj a vzdělávání. K 31. 12. 2021 bylo čerpáno 100,0 % upraveného rozpočtu.</w:t>
      </w:r>
    </w:p>
    <w:p w14:paraId="26A04A2A" w14:textId="77777777" w:rsidR="00037318" w:rsidRPr="00C16CCB" w:rsidRDefault="00037318" w:rsidP="00037318">
      <w:pPr>
        <w:spacing w:after="0" w:line="240" w:lineRule="auto"/>
        <w:jc w:val="both"/>
        <w:rPr>
          <w:rFonts w:cstheme="minorHAnsi"/>
        </w:rPr>
      </w:pPr>
    </w:p>
    <w:p w14:paraId="6E49E8E6" w14:textId="77777777" w:rsidR="00037318" w:rsidRPr="00C16CCB" w:rsidRDefault="00037318" w:rsidP="00037318">
      <w:pPr>
        <w:spacing w:after="0" w:line="240" w:lineRule="auto"/>
        <w:jc w:val="both"/>
        <w:rPr>
          <w:rFonts w:cstheme="minorHAnsi"/>
          <w:b/>
          <w:sz w:val="24"/>
          <w:szCs w:val="24"/>
          <w:u w:val="single"/>
        </w:rPr>
      </w:pPr>
      <w:r w:rsidRPr="00C16CCB">
        <w:rPr>
          <w:rFonts w:cstheme="minorHAnsi"/>
          <w:b/>
          <w:sz w:val="24"/>
          <w:szCs w:val="24"/>
          <w:u w:val="single"/>
        </w:rPr>
        <w:t>Předfinancování a kofinancování projektů spolufinancovaných z národních zdrojů a ostatní související výdaje s projekty z národních zdrojů</w:t>
      </w:r>
    </w:p>
    <w:p w14:paraId="2478AFE0" w14:textId="77777777" w:rsidR="00037318" w:rsidRPr="00C16CCB" w:rsidRDefault="00037318" w:rsidP="00037318">
      <w:pPr>
        <w:pStyle w:val="Zkladntext"/>
        <w:spacing w:after="0"/>
        <w:jc w:val="both"/>
        <w:rPr>
          <w:rFonts w:asciiTheme="minorHAnsi" w:hAnsiTheme="minorHAnsi" w:cstheme="minorHAnsi"/>
          <w:iCs/>
          <w:sz w:val="22"/>
          <w:szCs w:val="22"/>
        </w:rPr>
      </w:pPr>
    </w:p>
    <w:p w14:paraId="44FFE2A4" w14:textId="77777777" w:rsidR="00037318" w:rsidRPr="00C16CCB" w:rsidRDefault="00037318" w:rsidP="00037318">
      <w:pPr>
        <w:spacing w:after="0" w:line="240" w:lineRule="auto"/>
        <w:jc w:val="both"/>
        <w:rPr>
          <w:rFonts w:cstheme="minorHAnsi"/>
          <w:b/>
        </w:rPr>
      </w:pPr>
      <w:r w:rsidRPr="00C16CCB">
        <w:rPr>
          <w:rFonts w:cstheme="minorHAnsi"/>
          <w:b/>
        </w:rPr>
        <w:t>§ 3122 – Střední odborné školy</w:t>
      </w:r>
    </w:p>
    <w:p w14:paraId="27A6853F" w14:textId="77777777" w:rsidR="00037318" w:rsidRPr="00C16CCB" w:rsidRDefault="00037318" w:rsidP="00037318">
      <w:pPr>
        <w:spacing w:after="0" w:line="240" w:lineRule="auto"/>
        <w:jc w:val="both"/>
        <w:rPr>
          <w:rFonts w:eastAsia="Times New Roman" w:cstheme="minorHAnsi"/>
          <w:lang w:eastAsia="cs-CZ"/>
        </w:rPr>
      </w:pPr>
      <w:r w:rsidRPr="00C16CCB">
        <w:rPr>
          <w:rFonts w:cstheme="minorHAnsi"/>
        </w:rPr>
        <w:t>Neinvestiční finanční prostředky pro příspěvkové organizace Středočeského kraje na předfinancování a kofinancování dvou projektů realizovaných v rámci národního dotačního programu Ministerstva Životního prostředí. K 31. 12. 2021 bylo čerpáno 100,0 % rozpočtovaných prostředků.</w:t>
      </w:r>
    </w:p>
    <w:p w14:paraId="3A52894B" w14:textId="77777777" w:rsidR="00037318" w:rsidRPr="00C16CCB" w:rsidRDefault="00037318" w:rsidP="00037318">
      <w:pPr>
        <w:spacing w:after="0" w:line="240" w:lineRule="auto"/>
        <w:jc w:val="both"/>
        <w:rPr>
          <w:rFonts w:cstheme="minorHAnsi"/>
        </w:rPr>
      </w:pPr>
      <w:r w:rsidRPr="00C16CCB">
        <w:rPr>
          <w:rFonts w:cstheme="minorHAnsi"/>
        </w:rPr>
        <w:t>Investiční finanční prostředky pro příspěvkové organizace Středočeského kraje na předfinancování a kofinancování tří projektů realizovaných v rámci národního dotačního programu Ministerstva zemědělství 129 710 Centra odborné přípravy. K 31. 12. 2021 bylo čerpáno 100,0 % rozpočtovaných prostředků.</w:t>
      </w:r>
    </w:p>
    <w:p w14:paraId="0B69E00F" w14:textId="77777777" w:rsidR="00037318" w:rsidRPr="00C16CCB" w:rsidRDefault="00037318" w:rsidP="00037318">
      <w:pPr>
        <w:spacing w:after="0" w:line="240" w:lineRule="auto"/>
        <w:jc w:val="both"/>
        <w:rPr>
          <w:rFonts w:eastAsia="Times New Roman" w:cstheme="minorHAnsi"/>
          <w:lang w:eastAsia="cs-CZ"/>
        </w:rPr>
      </w:pPr>
    </w:p>
    <w:p w14:paraId="77C562CF" w14:textId="77777777" w:rsidR="00037318" w:rsidRPr="00C16CCB" w:rsidRDefault="00037318" w:rsidP="00037318">
      <w:pPr>
        <w:spacing w:after="0" w:line="240" w:lineRule="auto"/>
        <w:jc w:val="both"/>
        <w:rPr>
          <w:rFonts w:cstheme="minorHAnsi"/>
          <w:b/>
        </w:rPr>
      </w:pPr>
      <w:r w:rsidRPr="00C16CCB">
        <w:rPr>
          <w:rFonts w:cstheme="minorHAnsi"/>
          <w:b/>
        </w:rPr>
        <w:t xml:space="preserve">§ 3123 – Střední školy poskytující střední vzdělávání s výučním listem </w:t>
      </w:r>
    </w:p>
    <w:p w14:paraId="6A6C845A" w14:textId="77777777" w:rsidR="00037318" w:rsidRPr="00C16CCB" w:rsidRDefault="00037318" w:rsidP="00037318">
      <w:pPr>
        <w:spacing w:after="0" w:line="240" w:lineRule="auto"/>
        <w:jc w:val="both"/>
        <w:rPr>
          <w:rFonts w:eastAsia="Times New Roman" w:cstheme="minorHAnsi"/>
          <w:lang w:eastAsia="cs-CZ"/>
        </w:rPr>
      </w:pPr>
      <w:r w:rsidRPr="00C16CCB">
        <w:rPr>
          <w:rFonts w:cstheme="minorHAnsi"/>
        </w:rPr>
        <w:t>Neinvestiční finanční prostředky pro příspěvkové organizace Středočeského kraje na předfinancování a kofinancování tří projektů realizovaných v rámci národního dotačního programu Ministerstva Životního prostředí. K 31. 12. 2021 bylo čerpáno 100,0 % rozpočtovaných prostředků.</w:t>
      </w:r>
    </w:p>
    <w:p w14:paraId="601E52ED" w14:textId="77777777" w:rsidR="00037318" w:rsidRPr="00C16CCB" w:rsidRDefault="00037318" w:rsidP="00037318">
      <w:pPr>
        <w:spacing w:after="0" w:line="240" w:lineRule="auto"/>
        <w:jc w:val="both"/>
        <w:rPr>
          <w:rFonts w:eastAsia="Times New Roman" w:cstheme="minorHAnsi"/>
          <w:lang w:eastAsia="cs-CZ"/>
        </w:rPr>
      </w:pPr>
      <w:r w:rsidRPr="00C16CCB">
        <w:rPr>
          <w:rFonts w:cstheme="minorHAnsi"/>
        </w:rPr>
        <w:t>Investiční finanční prostředky pro příspěvkové organizace Středočeského kraje na předfinancování a kofinancování dvou projektů realizovaných v rámci národního dotačního programu Ministerstva zemědělství a Ministerstva Životního prostředí. K 31. 12. 2021 bylo čerpáno 100,0 % rozpočtovaných prostředků.</w:t>
      </w:r>
    </w:p>
    <w:p w14:paraId="06602CF6" w14:textId="77777777" w:rsidR="00037318" w:rsidRPr="00C16CCB" w:rsidRDefault="00037318" w:rsidP="00037318">
      <w:pPr>
        <w:spacing w:after="0" w:line="240" w:lineRule="auto"/>
        <w:jc w:val="both"/>
        <w:rPr>
          <w:rFonts w:cstheme="minorHAnsi"/>
        </w:rPr>
      </w:pPr>
    </w:p>
    <w:p w14:paraId="32A98B32" w14:textId="77777777" w:rsidR="00037318" w:rsidRPr="00C16CCB" w:rsidRDefault="00037318" w:rsidP="00037318">
      <w:pPr>
        <w:spacing w:after="0" w:line="240" w:lineRule="auto"/>
        <w:jc w:val="both"/>
        <w:rPr>
          <w:rFonts w:cstheme="minorHAnsi"/>
          <w:sz w:val="24"/>
          <w:szCs w:val="24"/>
        </w:rPr>
      </w:pPr>
      <w:r w:rsidRPr="00C16CCB">
        <w:rPr>
          <w:rFonts w:cstheme="minorHAnsi"/>
          <w:b/>
          <w:sz w:val="24"/>
          <w:szCs w:val="24"/>
          <w:u w:val="single"/>
        </w:rPr>
        <w:t>Dotace ze státního rozpočtu a ostatních veřejných rozpočtů</w:t>
      </w:r>
      <w:r w:rsidRPr="00C16CCB">
        <w:rPr>
          <w:rFonts w:cstheme="minorHAnsi"/>
          <w:sz w:val="24"/>
          <w:szCs w:val="24"/>
        </w:rPr>
        <w:tab/>
      </w:r>
    </w:p>
    <w:p w14:paraId="2D4DCEFD" w14:textId="77777777" w:rsidR="00037318" w:rsidRPr="00C16CCB" w:rsidRDefault="00037318" w:rsidP="00037318">
      <w:pPr>
        <w:spacing w:after="0" w:line="240" w:lineRule="auto"/>
        <w:jc w:val="both"/>
        <w:rPr>
          <w:rFonts w:cstheme="minorHAnsi"/>
        </w:rPr>
      </w:pPr>
    </w:p>
    <w:p w14:paraId="1D0A80E0" w14:textId="77777777" w:rsidR="00037318" w:rsidRPr="00C16CCB" w:rsidRDefault="00037318" w:rsidP="00037318">
      <w:pPr>
        <w:spacing w:after="0" w:line="240" w:lineRule="auto"/>
        <w:jc w:val="both"/>
        <w:rPr>
          <w:rFonts w:cstheme="minorHAnsi"/>
          <w:bCs/>
        </w:rPr>
      </w:pPr>
      <w:r w:rsidRPr="00C16CCB">
        <w:rPr>
          <w:rFonts w:cstheme="minorHAnsi"/>
        </w:rPr>
        <w:t xml:space="preserve">Výdaje pro školy a školská zařízení Středočeského kraje hrazené ze státního rozpočtu, kapitoly 333 MŠMT ČR, kde zřizovatelem je Středočeský kraj, obce Středočeského kraje a soukromé subjekty, jsou hrazeny na základě zákona č. 561/2004 Sb., školský zákon, a člení se na přímé vzdělávací výdaje (mzdové prostředky, odvody, ostatní neinvestiční výdaje) a na účelové výdaje dle vyhlášených rozvojových programů MŠMT ČR. Soukromé školy jsou financovány dle zákona č. 306/1999 Sb., </w:t>
      </w:r>
      <w:r w:rsidRPr="00C16CCB">
        <w:rPr>
          <w:rFonts w:cstheme="minorHAnsi"/>
          <w:lang w:eastAsia="cs-CZ"/>
        </w:rPr>
        <w:t>o dotacích soukromým školám, předškolním a školským zařízením.</w:t>
      </w:r>
      <w:r w:rsidRPr="00C16CCB">
        <w:rPr>
          <w:rFonts w:cstheme="minorHAnsi"/>
          <w:bCs/>
        </w:rPr>
        <w:t xml:space="preserve"> Největší objem finančních prostředků byl čerpán na mzdové prostředky, odvody a ostatní neinvestiční výdaje poskytované z kapitoly 333 MŠMT ČR. Celkově bylo k </w:t>
      </w:r>
      <w:r w:rsidRPr="00C16CCB">
        <w:rPr>
          <w:rFonts w:cstheme="minorHAnsi"/>
        </w:rPr>
        <w:t xml:space="preserve">31. 12. 2021 </w:t>
      </w:r>
      <w:r w:rsidRPr="00C16CCB">
        <w:rPr>
          <w:rFonts w:cstheme="minorHAnsi"/>
          <w:bCs/>
        </w:rPr>
        <w:t>čerpáno 99,7 % upraveného rozpočtu.</w:t>
      </w:r>
    </w:p>
    <w:p w14:paraId="36FED75C" w14:textId="77777777" w:rsidR="00037318" w:rsidRPr="00C16CCB" w:rsidRDefault="00037318" w:rsidP="00037318">
      <w:pPr>
        <w:spacing w:after="0" w:line="240" w:lineRule="auto"/>
        <w:jc w:val="both"/>
        <w:rPr>
          <w:rFonts w:cstheme="minorHAnsi"/>
        </w:rPr>
      </w:pPr>
    </w:p>
    <w:p w14:paraId="6998B0EC" w14:textId="77777777" w:rsidR="00037318" w:rsidRPr="00C16CCB" w:rsidRDefault="00037318" w:rsidP="00037318">
      <w:pPr>
        <w:spacing w:after="0" w:line="240" w:lineRule="auto"/>
        <w:jc w:val="both"/>
        <w:rPr>
          <w:rFonts w:cstheme="minorHAnsi"/>
          <w:b/>
          <w:bCs/>
        </w:rPr>
      </w:pPr>
      <w:r w:rsidRPr="00C16CCB">
        <w:rPr>
          <w:rFonts w:cstheme="minorHAnsi"/>
          <w:b/>
          <w:bCs/>
        </w:rPr>
        <w:t xml:space="preserve">UZ 13013 – Operační program Zaměstnanost </w:t>
      </w:r>
    </w:p>
    <w:p w14:paraId="21C83909" w14:textId="77777777" w:rsidR="00037318" w:rsidRPr="00C16CCB" w:rsidRDefault="00037318" w:rsidP="00037318">
      <w:pPr>
        <w:spacing w:after="0" w:line="240" w:lineRule="auto"/>
        <w:jc w:val="both"/>
        <w:rPr>
          <w:rFonts w:cstheme="minorHAnsi"/>
        </w:rPr>
      </w:pPr>
      <w:r w:rsidRPr="00C16CCB">
        <w:rPr>
          <w:rFonts w:cstheme="minorHAnsi"/>
          <w:bCs/>
        </w:rPr>
        <w:t xml:space="preserve">Neinvestiční účelová dotace poskytnutá Ministerstvem práce a sociálních věcí Střednímu odbornému učilišti a Praktické škole Kladno-Vrapice, příspěvkové organizaci na realizaci projektu OP VVV „Správná cesta II“. </w:t>
      </w:r>
      <w:r w:rsidRPr="00C16CCB">
        <w:rPr>
          <w:rFonts w:cstheme="minorHAnsi"/>
        </w:rPr>
        <w:t xml:space="preserve">K 31. 12. 2021 bylo čerpáno 100,0 % rozpočtovaných prostředků. </w:t>
      </w:r>
    </w:p>
    <w:p w14:paraId="1940C5F2" w14:textId="77777777" w:rsidR="00037318" w:rsidRPr="00C16CCB" w:rsidRDefault="00037318" w:rsidP="00037318">
      <w:pPr>
        <w:spacing w:after="0" w:line="240" w:lineRule="auto"/>
        <w:jc w:val="both"/>
        <w:rPr>
          <w:rFonts w:cstheme="minorHAnsi"/>
          <w:b/>
        </w:rPr>
      </w:pPr>
    </w:p>
    <w:p w14:paraId="64F686D0" w14:textId="77777777" w:rsidR="00037318" w:rsidRPr="00C16CCB" w:rsidRDefault="00037318" w:rsidP="00037318">
      <w:pPr>
        <w:spacing w:after="0" w:line="240" w:lineRule="auto"/>
        <w:jc w:val="both"/>
        <w:rPr>
          <w:rFonts w:cstheme="minorHAnsi"/>
          <w:b/>
        </w:rPr>
      </w:pPr>
      <w:r w:rsidRPr="00C16CCB">
        <w:rPr>
          <w:rFonts w:cstheme="minorHAnsi"/>
          <w:b/>
        </w:rPr>
        <w:t>UZ 17015/17016 – IROP – neinvestice</w:t>
      </w:r>
    </w:p>
    <w:p w14:paraId="609ED8B7" w14:textId="77777777" w:rsidR="00037318" w:rsidRPr="00C16CCB" w:rsidRDefault="00037318" w:rsidP="00037318">
      <w:pPr>
        <w:spacing w:after="0" w:line="240" w:lineRule="auto"/>
        <w:jc w:val="both"/>
        <w:rPr>
          <w:rFonts w:cstheme="minorHAnsi"/>
        </w:rPr>
      </w:pPr>
      <w:r w:rsidRPr="00C16CCB">
        <w:rPr>
          <w:rFonts w:cstheme="minorHAnsi"/>
        </w:rPr>
        <w:t>Neinvestiční účelové dotace poskytnuté Ministerstvem pro místní rozvoj šesti školským příspěvkovým organizacím na projekty realizované v rámci 56., 66. a 68. výzvy Integrovaného regionálního operačního programu. Financování je členěno na podíly státního rozpočtu a podíly Evropské unie, z čehož vyplývá i členění účelových znaků. K 31. 12. 2021 bylo čerpáno 100,0 % rozpočtovaných prostředků.</w:t>
      </w:r>
    </w:p>
    <w:p w14:paraId="48ECC7AF" w14:textId="77777777" w:rsidR="00037318" w:rsidRPr="00C16CCB" w:rsidRDefault="00037318" w:rsidP="00037318">
      <w:pPr>
        <w:spacing w:after="0" w:line="240" w:lineRule="auto"/>
        <w:jc w:val="both"/>
        <w:rPr>
          <w:rFonts w:cstheme="minorHAnsi"/>
        </w:rPr>
      </w:pPr>
    </w:p>
    <w:p w14:paraId="3EB5714C" w14:textId="77777777" w:rsidR="00037318" w:rsidRPr="00C16CCB" w:rsidRDefault="00037318" w:rsidP="00037318">
      <w:pPr>
        <w:spacing w:after="0" w:line="240" w:lineRule="auto"/>
        <w:jc w:val="both"/>
        <w:rPr>
          <w:rFonts w:cstheme="minorHAnsi"/>
          <w:b/>
          <w:bCs/>
        </w:rPr>
      </w:pPr>
      <w:r w:rsidRPr="00C16CCB">
        <w:rPr>
          <w:rFonts w:cstheme="minorHAnsi"/>
          <w:b/>
          <w:bCs/>
        </w:rPr>
        <w:t xml:space="preserve">UZ 17039 – COVID – Ubytování – obce – Dotační titul 3170000055 – NIV </w:t>
      </w:r>
    </w:p>
    <w:p w14:paraId="51C83997" w14:textId="77777777" w:rsidR="00037318" w:rsidRPr="00C16CCB" w:rsidRDefault="00037318" w:rsidP="00037318">
      <w:pPr>
        <w:spacing w:after="0" w:line="240" w:lineRule="auto"/>
        <w:jc w:val="both"/>
        <w:rPr>
          <w:rFonts w:cstheme="minorHAnsi"/>
          <w:bCs/>
        </w:rPr>
      </w:pPr>
      <w:r w:rsidRPr="00C16CCB">
        <w:rPr>
          <w:rFonts w:cstheme="minorHAnsi"/>
          <w:bCs/>
        </w:rPr>
        <w:t>Neinvestiční dotace byla poskytnuta z Ministerstva pro místní rozvoj ČR a byla určena na podporu provozovatelů hromadných ubytovacích zařízení na území ČR zasažených důsledky opatření souvisejících s pandemií Covid – 19.</w:t>
      </w:r>
    </w:p>
    <w:p w14:paraId="09562C8D" w14:textId="77777777" w:rsidR="00037318" w:rsidRPr="00C16CCB" w:rsidRDefault="00037318" w:rsidP="00037318">
      <w:pPr>
        <w:spacing w:after="0" w:line="240" w:lineRule="auto"/>
        <w:jc w:val="both"/>
        <w:rPr>
          <w:rFonts w:cstheme="minorHAnsi"/>
        </w:rPr>
      </w:pPr>
      <w:r w:rsidRPr="00C16CCB">
        <w:rPr>
          <w:rFonts w:cstheme="minorHAnsi"/>
        </w:rPr>
        <w:t>K 31. 12. 2021 bylo čerpáno 100,0 % rozpočtovaných prostředků.</w:t>
      </w:r>
    </w:p>
    <w:p w14:paraId="49F7D6C4" w14:textId="77777777" w:rsidR="00037318" w:rsidRPr="00C16CCB" w:rsidRDefault="00037318" w:rsidP="00037318">
      <w:pPr>
        <w:spacing w:after="0" w:line="240" w:lineRule="auto"/>
        <w:jc w:val="both"/>
        <w:rPr>
          <w:rFonts w:cstheme="minorHAnsi"/>
        </w:rPr>
      </w:pPr>
    </w:p>
    <w:p w14:paraId="43F70A39" w14:textId="77777777" w:rsidR="00037318" w:rsidRPr="00C16CCB" w:rsidRDefault="00037318" w:rsidP="00037318">
      <w:pPr>
        <w:spacing w:after="0" w:line="240" w:lineRule="auto"/>
        <w:jc w:val="both"/>
        <w:rPr>
          <w:rFonts w:cstheme="minorHAnsi"/>
          <w:b/>
        </w:rPr>
      </w:pPr>
      <w:r w:rsidRPr="00C16CCB">
        <w:rPr>
          <w:rFonts w:cstheme="minorHAnsi"/>
          <w:b/>
        </w:rPr>
        <w:t>UZ 17968/17969 – IROP – investice</w:t>
      </w:r>
    </w:p>
    <w:p w14:paraId="7750118F" w14:textId="77777777" w:rsidR="00037318" w:rsidRPr="00C16CCB" w:rsidRDefault="00037318" w:rsidP="00037318">
      <w:pPr>
        <w:spacing w:after="0" w:line="240" w:lineRule="auto"/>
        <w:jc w:val="both"/>
        <w:rPr>
          <w:rFonts w:cstheme="minorHAnsi"/>
        </w:rPr>
      </w:pPr>
      <w:r w:rsidRPr="00C16CCB">
        <w:rPr>
          <w:rFonts w:cstheme="minorHAnsi"/>
        </w:rPr>
        <w:t>Investiční účelové dotace poskytnuté Ministerstvem pro místní rozvoj devíti školským příspěvkovým organizacím na projekty realizované v rámci 56., 66. a 68. výzvy Integrovaného regionálního operačního programu. Financování je členěno na podíly státního rozpočtu a podíly Evropské unie, z čehož vyplývá i členění účelových znaků. K 31. 12. 2021 bylo čerpáno 100,0 % rozpočtovaných prostředků.</w:t>
      </w:r>
    </w:p>
    <w:p w14:paraId="55BE8785" w14:textId="77777777" w:rsidR="00037318" w:rsidRPr="00C16CCB" w:rsidRDefault="00037318" w:rsidP="00037318">
      <w:pPr>
        <w:spacing w:after="0" w:line="240" w:lineRule="auto"/>
        <w:jc w:val="both"/>
        <w:rPr>
          <w:rFonts w:cstheme="minorHAnsi"/>
        </w:rPr>
      </w:pPr>
    </w:p>
    <w:p w14:paraId="0961DACD" w14:textId="77777777" w:rsidR="00037318" w:rsidRPr="00C16CCB" w:rsidRDefault="00037318" w:rsidP="00037318">
      <w:pPr>
        <w:spacing w:after="0" w:line="240" w:lineRule="auto"/>
        <w:jc w:val="both"/>
        <w:rPr>
          <w:rFonts w:cstheme="minorHAnsi"/>
          <w:b/>
        </w:rPr>
      </w:pPr>
      <w:r w:rsidRPr="00C16CCB">
        <w:rPr>
          <w:rFonts w:cstheme="minorHAnsi"/>
          <w:b/>
        </w:rPr>
        <w:t>UZ 29501 – Centra odborné přípravy – program 129710</w:t>
      </w:r>
    </w:p>
    <w:p w14:paraId="0A13AA04" w14:textId="77777777" w:rsidR="00037318" w:rsidRPr="00C16CCB" w:rsidRDefault="00037318" w:rsidP="00037318">
      <w:pPr>
        <w:spacing w:after="0"/>
        <w:jc w:val="both"/>
        <w:rPr>
          <w:rFonts w:ascii="Calibri" w:hAnsi="Calibri"/>
          <w:b/>
        </w:rPr>
      </w:pPr>
      <w:r w:rsidRPr="00C16CCB">
        <w:rPr>
          <w:rFonts w:ascii="Calibri" w:hAnsi="Calibri"/>
        </w:rPr>
        <w:t>Investiční účelové dotace poskytnuté Ministerstvem zemědělství dvěma školám zřizovaným Středočeským krajem. K 31. 12. 2021 bylo čerpáno 100,0 % rozpočtovaných prostředků.</w:t>
      </w:r>
    </w:p>
    <w:p w14:paraId="2F6E1021" w14:textId="77777777" w:rsidR="00037318" w:rsidRPr="00C16CCB" w:rsidRDefault="00037318" w:rsidP="00037318">
      <w:pPr>
        <w:spacing w:after="0" w:line="240" w:lineRule="auto"/>
        <w:jc w:val="both"/>
        <w:rPr>
          <w:rFonts w:cstheme="minorHAnsi"/>
          <w:b/>
          <w:bCs/>
        </w:rPr>
      </w:pPr>
    </w:p>
    <w:p w14:paraId="2C6D9011" w14:textId="77777777" w:rsidR="00037318" w:rsidRPr="00C16CCB" w:rsidRDefault="00037318" w:rsidP="00037318">
      <w:pPr>
        <w:spacing w:after="0" w:line="240" w:lineRule="auto"/>
        <w:jc w:val="both"/>
        <w:rPr>
          <w:rFonts w:cstheme="minorHAnsi"/>
          <w:b/>
          <w:bCs/>
        </w:rPr>
      </w:pPr>
      <w:r w:rsidRPr="00C16CCB">
        <w:rPr>
          <w:rFonts w:cstheme="minorHAnsi"/>
          <w:b/>
          <w:bCs/>
        </w:rPr>
        <w:t>UZ 33063 – OP VVV – PO3 – neinvestice</w:t>
      </w:r>
    </w:p>
    <w:p w14:paraId="023C99FF" w14:textId="77777777" w:rsidR="00037318" w:rsidRPr="00C16CCB" w:rsidRDefault="00037318" w:rsidP="00037318">
      <w:pPr>
        <w:spacing w:after="0" w:line="240" w:lineRule="auto"/>
        <w:jc w:val="both"/>
        <w:rPr>
          <w:bCs/>
        </w:rPr>
      </w:pPr>
      <w:r w:rsidRPr="00C16CCB">
        <w:rPr>
          <w:rFonts w:cstheme="minorHAnsi"/>
          <w:bCs/>
        </w:rPr>
        <w:t xml:space="preserve">Neinvestiční účelové dotace poskytnuté Ministerstvem školství, mládeže a tělovýchovy v rámci Operačního programu Výzkum, vývoj a vzdělávání na čtyři individuální projekty školských příspěvkových organizací a </w:t>
      </w:r>
      <w:r w:rsidRPr="00C16CCB">
        <w:rPr>
          <w:bCs/>
        </w:rPr>
        <w:t>dále projekt příspěvkové organizace zařazený do výzvy Šablony pro SŠ a VOŠ</w:t>
      </w:r>
      <w:r w:rsidRPr="00C16CCB">
        <w:rPr>
          <w:rFonts w:cstheme="minorHAnsi"/>
          <w:bCs/>
        </w:rPr>
        <w:t xml:space="preserve">. K 31. 12. 2021 bylo čerpáno 100,0 % rozpočtovaných prostředků. </w:t>
      </w:r>
    </w:p>
    <w:p w14:paraId="69EC797E" w14:textId="77777777" w:rsidR="00037318" w:rsidRPr="00C16CCB" w:rsidRDefault="00037318" w:rsidP="00037318">
      <w:pPr>
        <w:spacing w:after="0" w:line="240" w:lineRule="auto"/>
        <w:jc w:val="both"/>
        <w:rPr>
          <w:rFonts w:cstheme="minorHAnsi"/>
        </w:rPr>
      </w:pPr>
      <w:r w:rsidRPr="00C16CCB">
        <w:rPr>
          <w:rFonts w:cstheme="minorHAnsi"/>
        </w:rPr>
        <w:t>Neinvestiční účelová dotace na projekt „Implementace Krajského akčního plánu Středočeského kraje“ realizovaného v rámci Operačního programu Výzkum, vývoj a vzdělávání. K 31. 12. 2021 bylo čerpáno 2,4 % rozpočtovaných prostředků. Nevyužité prostředky ve výši 12 081 887,78 Kč byly v březnu 2021 vráceny poskytovateli dotace MŠMT z důvodu ukončení realizace projektu a jeho finančního vypořádání.</w:t>
      </w:r>
    </w:p>
    <w:p w14:paraId="2FFDB6E9" w14:textId="77777777" w:rsidR="00037318" w:rsidRPr="00C16CCB" w:rsidRDefault="00037318" w:rsidP="00037318">
      <w:pPr>
        <w:spacing w:after="0" w:line="240" w:lineRule="auto"/>
        <w:jc w:val="both"/>
        <w:rPr>
          <w:rFonts w:cstheme="minorHAnsi"/>
          <w:bCs/>
        </w:rPr>
      </w:pPr>
      <w:r w:rsidRPr="00C16CCB">
        <w:rPr>
          <w:rFonts w:cstheme="minorHAnsi"/>
          <w:bCs/>
        </w:rPr>
        <w:t xml:space="preserve">Neinvestiční účelová dotace poskytnutá Ministerstvem školství, mládeže a tělovýchovy na zajištění financování projektu „Krajský akční plán vzdělávání Středočeského kraje“ realizovaného v rámci Operačního programu Výzkum, vývoj a vzdělávání. Projekt je koncipován jako šestiletý. K 31. 12. 2021 bylo čerpáno 6 715 462,54 Kč, což činí 90,0 % rozpočtovaných prostředků. Disponibilní zdroje </w:t>
      </w:r>
      <w:r w:rsidRPr="00C16CCB">
        <w:rPr>
          <w:rFonts w:cstheme="minorHAnsi"/>
        </w:rPr>
        <w:t>ve výši 680 287,76 Kč budou čerpány v I. čtvrtletí roku 2022.</w:t>
      </w:r>
    </w:p>
    <w:p w14:paraId="335ED4D9" w14:textId="77777777" w:rsidR="00037318" w:rsidRPr="00C16CCB" w:rsidRDefault="00037318" w:rsidP="00037318">
      <w:pPr>
        <w:tabs>
          <w:tab w:val="left" w:pos="875"/>
        </w:tabs>
        <w:spacing w:after="0" w:line="240" w:lineRule="auto"/>
        <w:jc w:val="both"/>
        <w:rPr>
          <w:rFonts w:cstheme="minorHAnsi"/>
          <w:bCs/>
        </w:rPr>
      </w:pPr>
      <w:r w:rsidRPr="00C16CCB">
        <w:rPr>
          <w:rFonts w:cstheme="minorHAnsi"/>
          <w:bCs/>
        </w:rPr>
        <w:t>Neinvestiční účelová dotace poskytnutá Ministerstvem školství, mládeže a tělovýchovy na projekt „Implementace Krajského akčního plánu II Středočeského kraje“, jejímž příjemcem je Středočeský kraj. Projekt je realizován v letech 2020 – 2023. K 31. 12. 2021 bylo čerpáno 54 253 700,93 Kč, což činí 52,1</w:t>
      </w:r>
      <w:r w:rsidRPr="00C16CCB">
        <w:t> </w:t>
      </w:r>
      <w:r w:rsidRPr="00C16CCB">
        <w:rPr>
          <w:rFonts w:cstheme="minorHAnsi"/>
          <w:bCs/>
        </w:rPr>
        <w:t>% rozpočtovaných prostředků. Částka 30 505 914,54 Kč je blokována na smlouvách v roce 2021. Disponibilní zdroje ve výši 19 343 948,84 Kč budou čerpány v roce 2022.</w:t>
      </w:r>
    </w:p>
    <w:p w14:paraId="58185841" w14:textId="77777777" w:rsidR="00037318" w:rsidRPr="00C16CCB" w:rsidRDefault="00037318" w:rsidP="00037318">
      <w:pPr>
        <w:spacing w:after="0" w:line="240" w:lineRule="auto"/>
        <w:jc w:val="both"/>
        <w:rPr>
          <w:rFonts w:cstheme="minorHAnsi"/>
          <w:bCs/>
        </w:rPr>
      </w:pPr>
    </w:p>
    <w:p w14:paraId="38FEA422" w14:textId="77777777" w:rsidR="00037318" w:rsidRPr="00C16CCB" w:rsidRDefault="00037318" w:rsidP="00037318">
      <w:pPr>
        <w:spacing w:after="0" w:line="240" w:lineRule="auto"/>
        <w:jc w:val="both"/>
        <w:rPr>
          <w:rFonts w:cstheme="minorHAnsi"/>
          <w:b/>
          <w:bCs/>
        </w:rPr>
      </w:pPr>
      <w:r w:rsidRPr="00C16CCB">
        <w:rPr>
          <w:rFonts w:cstheme="minorHAnsi"/>
          <w:b/>
          <w:bCs/>
        </w:rPr>
        <w:t>UZ 33081 – Letní kempy</w:t>
      </w:r>
    </w:p>
    <w:p w14:paraId="1BEB831F" w14:textId="77777777" w:rsidR="00037318" w:rsidRPr="00C16CCB" w:rsidRDefault="00037318" w:rsidP="00037318">
      <w:pPr>
        <w:spacing w:after="0" w:line="240" w:lineRule="auto"/>
        <w:jc w:val="both"/>
        <w:rPr>
          <w:rFonts w:cstheme="minorHAnsi"/>
        </w:rPr>
      </w:pPr>
      <w:r w:rsidRPr="00C16CCB">
        <w:rPr>
          <w:rFonts w:cstheme="minorHAnsi"/>
        </w:rPr>
        <w:t>Dotace byla poskytnuta na projekt „Adaptační týden ZŠ Klobuky“ v rámci výzvy Letní kempy.</w:t>
      </w:r>
    </w:p>
    <w:p w14:paraId="3511FCC7" w14:textId="77777777" w:rsidR="00037318" w:rsidRPr="00C16CCB" w:rsidRDefault="00037318" w:rsidP="00037318">
      <w:pPr>
        <w:spacing w:after="0" w:line="240" w:lineRule="auto"/>
        <w:jc w:val="both"/>
        <w:rPr>
          <w:rFonts w:cstheme="minorHAnsi"/>
        </w:rPr>
      </w:pPr>
      <w:r w:rsidRPr="00C16CCB">
        <w:rPr>
          <w:rFonts w:cstheme="minorHAnsi"/>
        </w:rPr>
        <w:t>K 31. 12. 2021 bylo čerpáno 100,0 % rozpočtovaných prostředků.</w:t>
      </w:r>
    </w:p>
    <w:p w14:paraId="0E1B20D5" w14:textId="77777777" w:rsidR="00037318" w:rsidRPr="00C16CCB" w:rsidRDefault="00037318" w:rsidP="00037318">
      <w:pPr>
        <w:spacing w:after="0" w:line="240" w:lineRule="auto"/>
        <w:jc w:val="both"/>
        <w:rPr>
          <w:rFonts w:cstheme="minorHAnsi"/>
        </w:rPr>
      </w:pPr>
    </w:p>
    <w:p w14:paraId="41C74A3E" w14:textId="77777777" w:rsidR="00037318" w:rsidRPr="00C16CCB" w:rsidRDefault="00037318" w:rsidP="00037318">
      <w:pPr>
        <w:spacing w:after="0" w:line="240" w:lineRule="auto"/>
        <w:jc w:val="both"/>
        <w:rPr>
          <w:rFonts w:cstheme="minorHAnsi"/>
          <w:b/>
          <w:bCs/>
        </w:rPr>
      </w:pPr>
      <w:r w:rsidRPr="00C16CCB">
        <w:rPr>
          <w:rFonts w:cstheme="minorHAnsi"/>
          <w:b/>
          <w:bCs/>
        </w:rPr>
        <w:t>UZ 33082 – Výzva k podpoře rekreačních pobytů dětí a mládeže dětských domovů ČR</w:t>
      </w:r>
    </w:p>
    <w:p w14:paraId="15781593" w14:textId="77777777" w:rsidR="00037318" w:rsidRPr="00C16CCB" w:rsidRDefault="00037318" w:rsidP="00037318">
      <w:pPr>
        <w:spacing w:after="0" w:line="240" w:lineRule="auto"/>
        <w:jc w:val="both"/>
        <w:rPr>
          <w:rFonts w:cstheme="minorHAnsi"/>
        </w:rPr>
      </w:pPr>
      <w:r w:rsidRPr="00C16CCB">
        <w:rPr>
          <w:rFonts w:cstheme="minorHAnsi"/>
        </w:rPr>
        <w:t>Účelem poskytnuté dotace je podpora rekreačních pobytů dětí a mládeže DD ČR v působnosti resortu školství na rok 2021.</w:t>
      </w:r>
    </w:p>
    <w:p w14:paraId="3AE07534" w14:textId="77777777" w:rsidR="00037318" w:rsidRPr="00C16CCB" w:rsidRDefault="00037318" w:rsidP="00037318">
      <w:pPr>
        <w:spacing w:after="0" w:line="240" w:lineRule="auto"/>
        <w:jc w:val="both"/>
        <w:rPr>
          <w:rFonts w:cstheme="minorHAnsi"/>
        </w:rPr>
      </w:pPr>
      <w:r w:rsidRPr="00C16CCB">
        <w:rPr>
          <w:rFonts w:cstheme="minorHAnsi"/>
        </w:rPr>
        <w:t>K 31. 12. 2021 bylo čerpáno 99,3 % rozpočtovaných prostředků.</w:t>
      </w:r>
    </w:p>
    <w:p w14:paraId="4FFD2CB3" w14:textId="77777777" w:rsidR="00037318" w:rsidRPr="00C16CCB" w:rsidRDefault="00037318" w:rsidP="00037318">
      <w:pPr>
        <w:spacing w:after="0" w:line="240" w:lineRule="auto"/>
        <w:jc w:val="both"/>
        <w:rPr>
          <w:rFonts w:cstheme="minorHAnsi"/>
        </w:rPr>
      </w:pPr>
    </w:p>
    <w:p w14:paraId="3EA89C94" w14:textId="77777777" w:rsidR="00037318" w:rsidRPr="00C16CCB" w:rsidRDefault="00037318" w:rsidP="00037318">
      <w:pPr>
        <w:spacing w:after="0" w:line="240" w:lineRule="auto"/>
        <w:jc w:val="both"/>
        <w:rPr>
          <w:rFonts w:cstheme="minorHAnsi"/>
          <w:b/>
          <w:bCs/>
        </w:rPr>
      </w:pPr>
      <w:r w:rsidRPr="00C16CCB">
        <w:rPr>
          <w:rFonts w:cstheme="minorHAnsi"/>
          <w:b/>
          <w:bCs/>
        </w:rPr>
        <w:t>UZ 33083 – Neinvazivní RT-PCR testování dětí a žáků</w:t>
      </w:r>
    </w:p>
    <w:p w14:paraId="658BB387" w14:textId="77777777" w:rsidR="00037318" w:rsidRPr="00C16CCB" w:rsidRDefault="00037318" w:rsidP="00037318">
      <w:pPr>
        <w:spacing w:after="0" w:line="240" w:lineRule="auto"/>
        <w:jc w:val="both"/>
      </w:pPr>
      <w:r w:rsidRPr="00C16CCB">
        <w:t xml:space="preserve">Dotace byla poskytnuta za účelem zajištění neinvazivního RT-PCR testování dětí, žáků, studentů a zaměstnanců v souladu s příslušným mimořádným opatřením Ministerstva zdravotnictví a v mimořádných případech za účelem antigenního testování. </w:t>
      </w:r>
    </w:p>
    <w:p w14:paraId="3B73331C" w14:textId="77777777" w:rsidR="00037318" w:rsidRPr="00C16CCB" w:rsidRDefault="00037318" w:rsidP="00037318">
      <w:pPr>
        <w:spacing w:after="0" w:line="240" w:lineRule="auto"/>
        <w:jc w:val="both"/>
      </w:pPr>
      <w:r w:rsidRPr="00C16CCB">
        <w:rPr>
          <w:rFonts w:cstheme="minorHAnsi"/>
        </w:rPr>
        <w:lastRenderedPageBreak/>
        <w:t>K 31. 12. 2021 bylo čerpáno 99,6 % rozpočtovaných prostředků.</w:t>
      </w:r>
    </w:p>
    <w:p w14:paraId="4D7C96AF" w14:textId="77777777" w:rsidR="00037318" w:rsidRPr="00C16CCB" w:rsidRDefault="00037318" w:rsidP="00037318">
      <w:pPr>
        <w:spacing w:after="0" w:line="240" w:lineRule="auto"/>
        <w:jc w:val="both"/>
        <w:rPr>
          <w:rFonts w:cstheme="minorHAnsi"/>
          <w:b/>
          <w:bCs/>
        </w:rPr>
      </w:pPr>
    </w:p>
    <w:p w14:paraId="3FAD856D" w14:textId="77777777" w:rsidR="00037318" w:rsidRPr="00C16CCB" w:rsidRDefault="00037318" w:rsidP="00037318">
      <w:pPr>
        <w:spacing w:after="0" w:line="240" w:lineRule="auto"/>
        <w:jc w:val="both"/>
        <w:rPr>
          <w:rFonts w:cstheme="minorHAnsi"/>
          <w:b/>
          <w:bCs/>
        </w:rPr>
      </w:pPr>
      <w:r w:rsidRPr="00C16CCB">
        <w:rPr>
          <w:rFonts w:cstheme="minorHAnsi"/>
          <w:b/>
          <w:bCs/>
        </w:rPr>
        <w:t>UZ 33084 – Spolu po COVIDu</w:t>
      </w:r>
    </w:p>
    <w:p w14:paraId="7EE475DE" w14:textId="77777777" w:rsidR="00037318" w:rsidRPr="00C16CCB" w:rsidRDefault="00037318" w:rsidP="00037318">
      <w:pPr>
        <w:spacing w:after="0" w:line="240" w:lineRule="auto"/>
        <w:jc w:val="both"/>
        <w:rPr>
          <w:rFonts w:cstheme="minorHAnsi"/>
        </w:rPr>
      </w:pPr>
      <w:r w:rsidRPr="00C16CCB">
        <w:rPr>
          <w:rFonts w:cstheme="minorHAnsi"/>
        </w:rPr>
        <w:t>Účelem dotace je realizace minimálně dvou třídenních pobytových programů pro dvě různé skupiny žáků a pro pedagogické pracovníky.</w:t>
      </w:r>
    </w:p>
    <w:p w14:paraId="1D8ACC99" w14:textId="77777777" w:rsidR="00037318" w:rsidRPr="00C16CCB" w:rsidRDefault="00037318" w:rsidP="00037318">
      <w:pPr>
        <w:spacing w:after="0" w:line="240" w:lineRule="auto"/>
        <w:jc w:val="both"/>
        <w:rPr>
          <w:rFonts w:cstheme="minorHAnsi"/>
        </w:rPr>
      </w:pPr>
      <w:r w:rsidRPr="00C16CCB">
        <w:rPr>
          <w:rFonts w:cstheme="minorHAnsi"/>
        </w:rPr>
        <w:t>K 31. 12. 2021 bylo čerpáno 95,3 % rozpočtovaných prostředků.</w:t>
      </w:r>
    </w:p>
    <w:p w14:paraId="70D7C24D" w14:textId="77777777" w:rsidR="00037318" w:rsidRPr="00C16CCB" w:rsidRDefault="00037318" w:rsidP="00037318">
      <w:pPr>
        <w:spacing w:after="0" w:line="240" w:lineRule="auto"/>
        <w:jc w:val="both"/>
        <w:rPr>
          <w:rFonts w:cstheme="minorHAnsi"/>
        </w:rPr>
      </w:pPr>
    </w:p>
    <w:p w14:paraId="2045F112" w14:textId="77777777" w:rsidR="00037318" w:rsidRPr="00C16CCB" w:rsidRDefault="00037318" w:rsidP="00037318">
      <w:pPr>
        <w:spacing w:after="0" w:line="240" w:lineRule="auto"/>
        <w:jc w:val="both"/>
        <w:rPr>
          <w:rFonts w:cstheme="minorHAnsi"/>
          <w:b/>
          <w:bCs/>
        </w:rPr>
      </w:pPr>
      <w:r w:rsidRPr="00C16CCB">
        <w:rPr>
          <w:rFonts w:cstheme="minorHAnsi"/>
          <w:b/>
          <w:bCs/>
        </w:rPr>
        <w:t>UZ 33085 – Fond solidarity EU – RT-PCR testování dětí a žáků</w:t>
      </w:r>
    </w:p>
    <w:p w14:paraId="363E0500" w14:textId="77777777" w:rsidR="00037318" w:rsidRPr="00C16CCB" w:rsidRDefault="00037318" w:rsidP="00037318">
      <w:pPr>
        <w:spacing w:after="0" w:line="240" w:lineRule="auto"/>
        <w:jc w:val="both"/>
        <w:rPr>
          <w:rFonts w:cstheme="minorHAnsi"/>
        </w:rPr>
      </w:pPr>
      <w:r w:rsidRPr="00C16CCB">
        <w:rPr>
          <w:rFonts w:cstheme="minorHAnsi"/>
        </w:rPr>
        <w:t>Účelem přijaté</w:t>
      </w:r>
      <w:r w:rsidRPr="00C16CCB">
        <w:t xml:space="preserve"> dotace je poskytnutí dalších finančních prostředků ze státního rozpočtu ČR na rok 2021 – Fondu solidarity EU k finančnímu zajištění neinvazivního RT-PCR testování dětí a žáků v souladu s Mimořádným opatřením Ministerstva zdravotnictví a v mimořádných případech za účelem antigenního testování dětí a žáků.</w:t>
      </w:r>
    </w:p>
    <w:p w14:paraId="04529317" w14:textId="77777777" w:rsidR="00037318" w:rsidRPr="00C16CCB" w:rsidRDefault="00037318" w:rsidP="00037318">
      <w:pPr>
        <w:spacing w:after="0" w:line="240" w:lineRule="auto"/>
        <w:jc w:val="both"/>
        <w:rPr>
          <w:rFonts w:cstheme="minorHAnsi"/>
        </w:rPr>
      </w:pPr>
      <w:r w:rsidRPr="00C16CCB">
        <w:rPr>
          <w:rFonts w:cstheme="minorHAnsi"/>
        </w:rPr>
        <w:t>K 31. 12. 2021 bylo čerpáno 99,6 % rozpočtovaných prostředků.</w:t>
      </w:r>
    </w:p>
    <w:p w14:paraId="6EE194C5" w14:textId="77777777" w:rsidR="00037318" w:rsidRPr="00C16CCB" w:rsidRDefault="00037318" w:rsidP="00037318">
      <w:pPr>
        <w:spacing w:after="0" w:line="240" w:lineRule="auto"/>
        <w:jc w:val="both"/>
        <w:rPr>
          <w:rFonts w:cstheme="minorHAnsi"/>
        </w:rPr>
      </w:pPr>
    </w:p>
    <w:p w14:paraId="5F154B57" w14:textId="77777777" w:rsidR="00037318" w:rsidRPr="00C16CCB" w:rsidRDefault="00037318" w:rsidP="00037318">
      <w:pPr>
        <w:spacing w:after="0" w:line="240" w:lineRule="auto"/>
        <w:jc w:val="both"/>
        <w:rPr>
          <w:rFonts w:cstheme="minorHAnsi"/>
          <w:b/>
          <w:bCs/>
        </w:rPr>
      </w:pPr>
      <w:r w:rsidRPr="00C16CCB">
        <w:rPr>
          <w:rFonts w:cstheme="minorHAnsi"/>
          <w:b/>
          <w:bCs/>
        </w:rPr>
        <w:t>UZ 33155 – Dotace pro soukromé školy</w:t>
      </w:r>
    </w:p>
    <w:p w14:paraId="4EF83986" w14:textId="77777777" w:rsidR="00037318" w:rsidRPr="00C16CCB" w:rsidRDefault="00037318" w:rsidP="00037318">
      <w:pPr>
        <w:spacing w:after="0" w:line="240" w:lineRule="auto"/>
        <w:jc w:val="both"/>
        <w:rPr>
          <w:rFonts w:cstheme="minorHAnsi"/>
          <w:bCs/>
        </w:rPr>
      </w:pPr>
      <w:r w:rsidRPr="00C16CCB">
        <w:rPr>
          <w:rFonts w:cstheme="minorHAnsi"/>
          <w:bCs/>
        </w:rPr>
        <w:t>Čerpáno 100,0 % poskytnutých finančních prostředků ze státního rozpočtu, kapitoly MŠMT. Roční rozpis dotace je čerpán postupně na základě zaslaných čtvrtletních záloh finančních prostředků z MŠMT na účet SK.</w:t>
      </w:r>
    </w:p>
    <w:p w14:paraId="23C39941" w14:textId="77777777" w:rsidR="00037318" w:rsidRPr="00C16CCB" w:rsidRDefault="00037318" w:rsidP="00037318">
      <w:pPr>
        <w:spacing w:after="0" w:line="240" w:lineRule="auto"/>
        <w:jc w:val="both"/>
        <w:rPr>
          <w:rFonts w:cstheme="minorHAnsi"/>
          <w:bCs/>
        </w:rPr>
      </w:pPr>
    </w:p>
    <w:p w14:paraId="21DB28B5" w14:textId="77777777" w:rsidR="00037318" w:rsidRPr="00C16CCB" w:rsidRDefault="00037318" w:rsidP="00037318">
      <w:pPr>
        <w:spacing w:after="0" w:line="240" w:lineRule="auto"/>
        <w:jc w:val="both"/>
        <w:rPr>
          <w:rFonts w:cstheme="minorHAnsi"/>
          <w:b/>
          <w:bCs/>
        </w:rPr>
      </w:pPr>
      <w:r w:rsidRPr="00C16CCB">
        <w:rPr>
          <w:rFonts w:cstheme="minorHAnsi"/>
          <w:b/>
          <w:bCs/>
        </w:rPr>
        <w:t>UZ 33160 – Projekty romské komunity</w:t>
      </w:r>
    </w:p>
    <w:p w14:paraId="6FB57647" w14:textId="77777777" w:rsidR="00037318" w:rsidRPr="00C16CCB" w:rsidRDefault="00037318" w:rsidP="00037318">
      <w:pPr>
        <w:spacing w:after="0" w:line="240" w:lineRule="auto"/>
        <w:jc w:val="both"/>
        <w:rPr>
          <w:rFonts w:cstheme="minorHAnsi"/>
          <w:bCs/>
        </w:rPr>
      </w:pPr>
      <w:r w:rsidRPr="00C16CCB">
        <w:rPr>
          <w:rFonts w:cstheme="minorHAnsi"/>
          <w:bCs/>
        </w:rPr>
        <w:t xml:space="preserve">Dotace na podporu sociálně znevýhodněných romských žáků středních škol, konzervatoří a studentů vyšších odborných škol na rok 2021. </w:t>
      </w:r>
    </w:p>
    <w:p w14:paraId="1F87696C" w14:textId="77777777" w:rsidR="00037318" w:rsidRPr="00C16CCB" w:rsidRDefault="00037318" w:rsidP="00037318">
      <w:pPr>
        <w:spacing w:after="0" w:line="240" w:lineRule="auto"/>
        <w:jc w:val="both"/>
        <w:rPr>
          <w:rFonts w:cstheme="minorHAnsi"/>
          <w:bCs/>
        </w:rPr>
      </w:pPr>
      <w:r w:rsidRPr="00C16CCB">
        <w:rPr>
          <w:rFonts w:cstheme="minorHAnsi"/>
          <w:bCs/>
        </w:rPr>
        <w:t>K 31. 12. 2021 bylo čerpáno 100,0 % poskytnutých finančních prostředků.</w:t>
      </w:r>
    </w:p>
    <w:p w14:paraId="28E40FCE" w14:textId="77777777" w:rsidR="00037318" w:rsidRPr="00C16CCB" w:rsidRDefault="00037318" w:rsidP="00037318">
      <w:pPr>
        <w:spacing w:after="0" w:line="240" w:lineRule="auto"/>
        <w:jc w:val="both"/>
        <w:rPr>
          <w:rFonts w:cstheme="minorHAnsi"/>
          <w:bCs/>
        </w:rPr>
      </w:pPr>
    </w:p>
    <w:p w14:paraId="503F14D2" w14:textId="77777777" w:rsidR="00037318" w:rsidRPr="00C16CCB" w:rsidRDefault="00037318" w:rsidP="00037318">
      <w:pPr>
        <w:spacing w:after="0" w:line="240" w:lineRule="auto"/>
        <w:jc w:val="both"/>
        <w:rPr>
          <w:rFonts w:cstheme="minorHAnsi"/>
        </w:rPr>
      </w:pPr>
      <w:r w:rsidRPr="00C16CCB">
        <w:rPr>
          <w:rFonts w:cstheme="minorHAnsi"/>
          <w:b/>
          <w:bCs/>
        </w:rPr>
        <w:t xml:space="preserve">ÚZ 33166 – Soutěže </w:t>
      </w:r>
    </w:p>
    <w:p w14:paraId="1F0EA4F7" w14:textId="77777777" w:rsidR="00037318" w:rsidRPr="00C16CCB" w:rsidRDefault="00037318" w:rsidP="00037318">
      <w:pPr>
        <w:spacing w:after="0" w:line="240" w:lineRule="auto"/>
        <w:jc w:val="both"/>
        <w:rPr>
          <w:rFonts w:cstheme="minorHAnsi"/>
        </w:rPr>
      </w:pPr>
      <w:r w:rsidRPr="00C16CCB">
        <w:rPr>
          <w:rFonts w:cstheme="minorHAnsi"/>
        </w:rPr>
        <w:t>Středočeský kraj se zapojil do programu MŠMT „Podpora okresních a krajských kol soutěží a přehlídek v zájmovém vzdělávání distanční formou v roce 2021“ zasláním zpracované žádosti a zpracovaného projektu dne 11. 3. 2021. Na základě úspěšného podání obdržel Středočeský kraj na základě rozhodnutí MŠMT č. 0012/9A_kraje/SOU/2021 ze dne 3. 5. 2021 částku 1 300 000,00 Kč. V rámci realizace soutěží v 1. pololetí 2021 bylo čerpáno 884 873,88 Kč. Tato část dotace byla k 30. 11. s MŠMT vypořádána.</w:t>
      </w:r>
    </w:p>
    <w:p w14:paraId="0FDB680F" w14:textId="77777777" w:rsidR="00037318" w:rsidRPr="00C16CCB" w:rsidRDefault="00037318" w:rsidP="00037318">
      <w:pPr>
        <w:spacing w:after="0" w:line="240" w:lineRule="auto"/>
        <w:jc w:val="both"/>
        <w:rPr>
          <w:rFonts w:cstheme="minorHAnsi"/>
        </w:rPr>
      </w:pPr>
      <w:r w:rsidRPr="00C16CCB">
        <w:rPr>
          <w:rFonts w:cstheme="minorHAnsi"/>
        </w:rPr>
        <w:t>Na období 1. 9. 2021 – 31. 12. 2021 byla Středočeskému kraji na základě schválené žádosti a rozhodnutí MŠMT č. 0008/9A_kraje/SOU2/2021 přidělena částka 1 000 000,00 Kč, ze které byla čerpána k 31. 12. 2021 částka 643 010,00 Kč. Čerpání finanční podpory na soutěže vyhlašované MŠMT představuje k 31. 12. 2021 81,1 %.</w:t>
      </w:r>
    </w:p>
    <w:p w14:paraId="6F33B022" w14:textId="77777777" w:rsidR="00037318" w:rsidRPr="00C16CCB" w:rsidRDefault="00037318" w:rsidP="00037318">
      <w:pPr>
        <w:spacing w:after="0" w:line="240" w:lineRule="auto"/>
        <w:jc w:val="both"/>
        <w:rPr>
          <w:rFonts w:cstheme="minorHAnsi"/>
        </w:rPr>
      </w:pPr>
    </w:p>
    <w:p w14:paraId="2CF8FA65" w14:textId="77777777" w:rsidR="00037318" w:rsidRPr="00C16CCB" w:rsidRDefault="00037318" w:rsidP="00037318">
      <w:pPr>
        <w:spacing w:after="0" w:line="240" w:lineRule="auto"/>
        <w:jc w:val="both"/>
        <w:rPr>
          <w:rFonts w:cstheme="minorHAnsi"/>
          <w:b/>
          <w:bCs/>
        </w:rPr>
      </w:pPr>
      <w:r w:rsidRPr="00C16CCB">
        <w:rPr>
          <w:rFonts w:cstheme="minorHAnsi"/>
          <w:b/>
          <w:bCs/>
        </w:rPr>
        <w:t>UZ 33353 – Přímé náklady na vzdělávání - krajské a obecní školy</w:t>
      </w:r>
    </w:p>
    <w:p w14:paraId="66AAB9D9" w14:textId="77777777" w:rsidR="00037318" w:rsidRPr="00C16CCB" w:rsidRDefault="00037318" w:rsidP="00037318">
      <w:pPr>
        <w:spacing w:after="0" w:line="240" w:lineRule="auto"/>
        <w:jc w:val="both"/>
        <w:rPr>
          <w:rFonts w:cstheme="minorHAnsi"/>
          <w:bCs/>
        </w:rPr>
      </w:pPr>
      <w:r w:rsidRPr="00C16CCB">
        <w:rPr>
          <w:rFonts w:cstheme="minorHAnsi"/>
          <w:lang w:eastAsia="cs-CZ"/>
        </w:rPr>
        <w:t xml:space="preserve">Jedná se o finanční prostředky určené na přímé neinvestiční výdaje krajských a obecních škol určené zejména na platy, ostatní platby za provedenou práci, odvody na sociální a zdravotní pojištění a další neinvestiční výdaje např. na učebnice a další učební pomůcky. </w:t>
      </w:r>
      <w:r w:rsidRPr="00C16CCB">
        <w:rPr>
          <w:rFonts w:cstheme="minorHAnsi"/>
          <w:bCs/>
        </w:rPr>
        <w:t>Čerpáno bylo 100,0 % finančních prostředků ze státního rozpočtu, kapitoly MŠMT. Roční rozpis dotace je čerpán postupně na základě zaslaných dvouměsíčních záloh finančních prostředků z MŠMT na účet SK.</w:t>
      </w:r>
    </w:p>
    <w:p w14:paraId="54AF0C4B" w14:textId="77777777" w:rsidR="00037318" w:rsidRDefault="00037318" w:rsidP="00037318">
      <w:pPr>
        <w:spacing w:after="0" w:line="240" w:lineRule="auto"/>
        <w:jc w:val="both"/>
        <w:rPr>
          <w:rFonts w:cstheme="minorHAnsi"/>
          <w:b/>
          <w:bCs/>
        </w:rPr>
      </w:pPr>
    </w:p>
    <w:p w14:paraId="5A7771E3" w14:textId="77777777" w:rsidR="00037318" w:rsidRPr="00C16CCB" w:rsidRDefault="00037318" w:rsidP="00037318">
      <w:pPr>
        <w:spacing w:after="0" w:line="240" w:lineRule="auto"/>
        <w:jc w:val="both"/>
        <w:rPr>
          <w:rFonts w:cstheme="minorHAnsi"/>
          <w:b/>
          <w:bCs/>
        </w:rPr>
      </w:pPr>
      <w:r w:rsidRPr="00C16CCB">
        <w:rPr>
          <w:rFonts w:cstheme="minorHAnsi"/>
          <w:b/>
          <w:bCs/>
        </w:rPr>
        <w:t xml:space="preserve">UZ 33354 – Přímé náklady na vzdělávání - sportovní gymnázia </w:t>
      </w:r>
    </w:p>
    <w:p w14:paraId="3358E6BC" w14:textId="77777777" w:rsidR="00037318" w:rsidRPr="00C16CCB" w:rsidRDefault="00037318" w:rsidP="00037318">
      <w:pPr>
        <w:spacing w:after="0" w:line="240" w:lineRule="auto"/>
        <w:jc w:val="both"/>
        <w:rPr>
          <w:rFonts w:cstheme="minorHAnsi"/>
          <w:bCs/>
        </w:rPr>
      </w:pPr>
      <w:r w:rsidRPr="00C16CCB">
        <w:rPr>
          <w:rFonts w:cstheme="minorHAnsi"/>
        </w:rPr>
        <w:t xml:space="preserve">Účelem dotace na „Podporu přípravy sportovních talentů na školách s oborem vzdělání gymnázium se sportovní přípravou“ na rok 2021 je podpora přípravy a zabezpečení sportovců – žáků. </w:t>
      </w:r>
    </w:p>
    <w:p w14:paraId="749888E5" w14:textId="77777777" w:rsidR="00037318" w:rsidRPr="00C16CCB" w:rsidRDefault="00037318" w:rsidP="00037318">
      <w:pPr>
        <w:spacing w:after="0" w:line="240" w:lineRule="auto"/>
        <w:jc w:val="both"/>
        <w:rPr>
          <w:rFonts w:cstheme="minorHAnsi"/>
        </w:rPr>
      </w:pPr>
      <w:r w:rsidRPr="00C16CCB">
        <w:rPr>
          <w:rFonts w:cstheme="minorHAnsi"/>
        </w:rPr>
        <w:t>K 31. 12. 2021 bylo čerpáno 100,0 % rozpočtovaných prostředků.</w:t>
      </w:r>
    </w:p>
    <w:p w14:paraId="1AC8A7CA" w14:textId="77777777" w:rsidR="00037318" w:rsidRPr="00C16CCB" w:rsidRDefault="00037318" w:rsidP="00037318">
      <w:pPr>
        <w:spacing w:after="0" w:line="240" w:lineRule="auto"/>
        <w:jc w:val="both"/>
        <w:rPr>
          <w:rFonts w:cstheme="minorHAnsi"/>
        </w:rPr>
      </w:pPr>
    </w:p>
    <w:p w14:paraId="1ED9A7C2" w14:textId="77777777" w:rsidR="00037318" w:rsidRPr="00C16CCB" w:rsidRDefault="00037318" w:rsidP="00037318">
      <w:pPr>
        <w:tabs>
          <w:tab w:val="left" w:pos="875"/>
        </w:tabs>
        <w:spacing w:after="0" w:line="240" w:lineRule="auto"/>
        <w:jc w:val="both"/>
        <w:rPr>
          <w:rFonts w:cstheme="minorHAnsi"/>
          <w:b/>
        </w:rPr>
      </w:pPr>
      <w:r w:rsidRPr="00C16CCB">
        <w:rPr>
          <w:rFonts w:cstheme="minorHAnsi"/>
          <w:b/>
        </w:rPr>
        <w:t xml:space="preserve">UZ 33982 – OP VVV </w:t>
      </w:r>
      <w:r w:rsidRPr="00C16CCB">
        <w:rPr>
          <w:rFonts w:cstheme="minorHAnsi"/>
          <w:b/>
          <w:bCs/>
        </w:rPr>
        <w:t>–</w:t>
      </w:r>
      <w:r w:rsidRPr="00C16CCB">
        <w:rPr>
          <w:rFonts w:cstheme="minorHAnsi"/>
          <w:b/>
        </w:rPr>
        <w:t xml:space="preserve"> PO3 </w:t>
      </w:r>
      <w:r w:rsidRPr="00C16CCB">
        <w:rPr>
          <w:rFonts w:cstheme="minorHAnsi"/>
          <w:b/>
          <w:bCs/>
        </w:rPr>
        <w:t xml:space="preserve">– </w:t>
      </w:r>
      <w:r w:rsidRPr="00C16CCB">
        <w:rPr>
          <w:rFonts w:cstheme="minorHAnsi"/>
          <w:b/>
        </w:rPr>
        <w:t>investice</w:t>
      </w:r>
    </w:p>
    <w:p w14:paraId="1F0579DF" w14:textId="77777777" w:rsidR="00037318" w:rsidRPr="00C16CCB" w:rsidRDefault="00037318" w:rsidP="00037318">
      <w:pPr>
        <w:tabs>
          <w:tab w:val="left" w:pos="875"/>
        </w:tabs>
        <w:spacing w:after="0" w:line="240" w:lineRule="auto"/>
        <w:jc w:val="both"/>
        <w:rPr>
          <w:rFonts w:cstheme="minorHAnsi"/>
          <w:bCs/>
        </w:rPr>
      </w:pPr>
      <w:r w:rsidRPr="00C16CCB">
        <w:rPr>
          <w:rFonts w:cstheme="minorHAnsi"/>
          <w:bCs/>
        </w:rPr>
        <w:t>Investiční účelová dotace poskytnutá Ministerstvem školství, mládeže a tělovýchovy na projekt „Implementace Krajského akčního plánu II Středočeského kraje“, jejímž příjemcem je Středočeský kraj. Projekt je realizován v letech 2020 – 2023. K 31. 12. 2021 bylo čerpáno 30 047 353,85 Kč, což činí 86,9</w:t>
      </w:r>
      <w:r w:rsidRPr="00C16CCB">
        <w:rPr>
          <w:b/>
          <w:bCs/>
        </w:rPr>
        <w:t> </w:t>
      </w:r>
      <w:r w:rsidRPr="00C16CCB">
        <w:rPr>
          <w:rFonts w:cstheme="minorHAnsi"/>
          <w:bCs/>
        </w:rPr>
        <w:t>% rozpočtovaných prostředků. Disponibilní zdroje ve výši 4 529 572,38 Kč budou čerpány v roce 2022. Vratka části dotace určené na projekt „Implementace Krajského akčního plánu Středočeského kraje“ realizovaného v rámci Operačního programu Výzkum, vývoj a vzdělávání. K 31. 12. 2021 byla čerpána ve výši 407 721,88 Kč a 3 465 636,10 Kč což činilo 100,0 % rozpočtovaných prostředků.</w:t>
      </w:r>
    </w:p>
    <w:p w14:paraId="302122ED" w14:textId="77777777" w:rsidR="00037318" w:rsidRPr="00C16CCB" w:rsidRDefault="00037318" w:rsidP="00037318">
      <w:pPr>
        <w:spacing w:after="0" w:line="240" w:lineRule="auto"/>
        <w:jc w:val="both"/>
        <w:rPr>
          <w:rFonts w:cstheme="minorHAnsi"/>
          <w:bCs/>
        </w:rPr>
      </w:pPr>
    </w:p>
    <w:p w14:paraId="02459972" w14:textId="77777777" w:rsidR="00037318" w:rsidRPr="00C16CCB" w:rsidRDefault="00037318" w:rsidP="00037318">
      <w:pPr>
        <w:spacing w:after="0" w:line="240" w:lineRule="auto"/>
        <w:jc w:val="both"/>
        <w:rPr>
          <w:rFonts w:cstheme="minorHAnsi"/>
          <w:b/>
          <w:bCs/>
        </w:rPr>
      </w:pPr>
      <w:r w:rsidRPr="00C16CCB">
        <w:rPr>
          <w:rFonts w:cstheme="minorHAnsi"/>
          <w:b/>
          <w:bCs/>
        </w:rPr>
        <w:lastRenderedPageBreak/>
        <w:t xml:space="preserve">UZ 34053 – Veřejné informační služby knihoven </w:t>
      </w:r>
    </w:p>
    <w:p w14:paraId="431C587F" w14:textId="77777777" w:rsidR="00037318" w:rsidRPr="00C16CCB" w:rsidRDefault="00037318" w:rsidP="00037318">
      <w:pPr>
        <w:spacing w:after="0" w:line="240" w:lineRule="auto"/>
        <w:jc w:val="both"/>
        <w:rPr>
          <w:rFonts w:cstheme="minorHAnsi"/>
          <w:bCs/>
        </w:rPr>
      </w:pPr>
      <w:r w:rsidRPr="00C16CCB">
        <w:rPr>
          <w:rFonts w:cstheme="minorHAnsi"/>
          <w:bCs/>
        </w:rPr>
        <w:t>Neinvestiční dotace byla poskytnuta z Ministerstva kultury ČR a byla určena na modernizaci technického vybavení a školní licence.</w:t>
      </w:r>
    </w:p>
    <w:p w14:paraId="317BCED1" w14:textId="77777777" w:rsidR="00037318" w:rsidRPr="00C16CCB" w:rsidRDefault="00037318" w:rsidP="00037318">
      <w:pPr>
        <w:spacing w:after="0" w:line="240" w:lineRule="auto"/>
        <w:jc w:val="both"/>
        <w:rPr>
          <w:rFonts w:cstheme="minorHAnsi"/>
        </w:rPr>
      </w:pPr>
      <w:r w:rsidRPr="00C16CCB">
        <w:rPr>
          <w:rFonts w:cstheme="minorHAnsi"/>
        </w:rPr>
        <w:t>K 31. 12. 2021 bylo čerpáno 100,0 % rozpočtovaných prostředků.</w:t>
      </w:r>
    </w:p>
    <w:p w14:paraId="75B9E7C3" w14:textId="77777777" w:rsidR="00037318" w:rsidRPr="00C16CCB" w:rsidRDefault="00037318" w:rsidP="00037318">
      <w:pPr>
        <w:spacing w:after="0" w:line="240" w:lineRule="auto"/>
        <w:jc w:val="both"/>
        <w:rPr>
          <w:rFonts w:cstheme="minorHAnsi"/>
          <w:b/>
          <w:bCs/>
        </w:rPr>
      </w:pPr>
    </w:p>
    <w:p w14:paraId="77FD1ABF" w14:textId="77777777" w:rsidR="00037318" w:rsidRPr="00C16CCB" w:rsidRDefault="00037318" w:rsidP="00037318">
      <w:pPr>
        <w:spacing w:after="0" w:line="240" w:lineRule="auto"/>
        <w:jc w:val="both"/>
        <w:rPr>
          <w:rFonts w:cstheme="minorHAnsi"/>
          <w:b/>
          <w:bCs/>
        </w:rPr>
      </w:pPr>
      <w:r w:rsidRPr="00C16CCB">
        <w:rPr>
          <w:rFonts w:cstheme="minorHAnsi"/>
          <w:b/>
          <w:bCs/>
        </w:rPr>
        <w:t xml:space="preserve">UZ 98032 – Dotace na krizové situace 2021 </w:t>
      </w:r>
    </w:p>
    <w:p w14:paraId="43F81BC8" w14:textId="77777777" w:rsidR="00037318" w:rsidRPr="00C16CCB" w:rsidRDefault="00037318" w:rsidP="00037318">
      <w:pPr>
        <w:spacing w:after="0" w:line="240" w:lineRule="auto"/>
        <w:jc w:val="both"/>
        <w:rPr>
          <w:rFonts w:cstheme="minorHAnsi"/>
        </w:rPr>
      </w:pPr>
      <w:r w:rsidRPr="00C16CCB">
        <w:rPr>
          <w:rFonts w:cstheme="minorHAnsi"/>
          <w:bCs/>
        </w:rPr>
        <w:t xml:space="preserve">Neinvestiční dotace byla poskytnuta Středočeskému kraji z Ministerstva financí ČR a následně byla její alikvotní část převedena z kapitoly 25 – Bezpečnost a prevence do kapitoly 05 – Školství (usnesení č. 004-36/2021/RK ze dne 23. 9. 2021). Finanční prostředky byly použity na úhradu výdajů v rámci řešení krizové situace v souvislosti s pandemií onemocnění COVID – 19, konkrétně na testování žáků ve školách. </w:t>
      </w:r>
      <w:r w:rsidRPr="00C16CCB">
        <w:rPr>
          <w:rFonts w:cstheme="minorHAnsi"/>
        </w:rPr>
        <w:t>K 31. 12. 2021 bylo čerpáno 100,0 % rozpočtovaných prostředků.</w:t>
      </w:r>
    </w:p>
    <w:p w14:paraId="204E8E04" w14:textId="77777777" w:rsidR="00037318" w:rsidRPr="00C16CCB" w:rsidRDefault="00037318" w:rsidP="00037318">
      <w:pPr>
        <w:tabs>
          <w:tab w:val="left" w:pos="875"/>
        </w:tabs>
        <w:spacing w:after="0" w:line="240" w:lineRule="auto"/>
        <w:jc w:val="both"/>
        <w:rPr>
          <w:rFonts w:cstheme="minorHAnsi"/>
          <w:b/>
        </w:rPr>
      </w:pPr>
    </w:p>
    <w:p w14:paraId="00AAF870" w14:textId="77777777" w:rsidR="00037318" w:rsidRPr="00C16CCB" w:rsidRDefault="00037318" w:rsidP="00037318">
      <w:pPr>
        <w:spacing w:after="0" w:line="240" w:lineRule="auto"/>
        <w:jc w:val="both"/>
        <w:rPr>
          <w:rFonts w:cstheme="minorHAnsi"/>
          <w:b/>
          <w:sz w:val="24"/>
          <w:szCs w:val="24"/>
          <w:u w:val="single"/>
        </w:rPr>
      </w:pPr>
      <w:r w:rsidRPr="00C16CCB">
        <w:rPr>
          <w:rFonts w:cstheme="minorHAnsi"/>
          <w:b/>
          <w:sz w:val="24"/>
          <w:szCs w:val="24"/>
          <w:u w:val="single"/>
        </w:rPr>
        <w:t>Příspěvkové organizace</w:t>
      </w:r>
    </w:p>
    <w:p w14:paraId="3A099104" w14:textId="77777777" w:rsidR="00037318" w:rsidRPr="00C16CCB" w:rsidRDefault="00037318" w:rsidP="00037318">
      <w:pPr>
        <w:spacing w:after="0" w:line="240" w:lineRule="auto"/>
        <w:jc w:val="both"/>
        <w:rPr>
          <w:rFonts w:cstheme="minorHAnsi"/>
        </w:rPr>
      </w:pPr>
    </w:p>
    <w:p w14:paraId="1C0D265D" w14:textId="77777777" w:rsidR="00037318" w:rsidRPr="00C16CCB" w:rsidRDefault="00037318" w:rsidP="00037318">
      <w:pPr>
        <w:spacing w:after="0" w:line="240" w:lineRule="auto"/>
        <w:jc w:val="both"/>
        <w:rPr>
          <w:rFonts w:cstheme="minorHAnsi"/>
        </w:rPr>
      </w:pPr>
      <w:r w:rsidRPr="00C16CCB">
        <w:rPr>
          <w:rFonts w:cstheme="minorHAnsi"/>
        </w:rPr>
        <w:t>Odbor školství k 31. 12. 2021 spravoval a financoval 182</w:t>
      </w:r>
      <w:r w:rsidRPr="00C16CCB">
        <w:rPr>
          <w:rFonts w:cstheme="minorHAnsi"/>
          <w:b/>
          <w:bCs/>
        </w:rPr>
        <w:t xml:space="preserve"> </w:t>
      </w:r>
      <w:r w:rsidRPr="00C16CCB">
        <w:rPr>
          <w:rFonts w:cstheme="minorHAnsi"/>
        </w:rPr>
        <w:t xml:space="preserve">příspěvkových organizací – škol a školských zařízení zřizovaných Středočeským krajem, dále zajišťoval financování 1 031 příspěvkových organizací – škol a školských zařízení zřizovaných obcemi Středočeského kraje a 164 soukromých škol. </w:t>
      </w:r>
    </w:p>
    <w:p w14:paraId="3F858FE8" w14:textId="77777777" w:rsidR="00037318" w:rsidRPr="00C16CCB" w:rsidRDefault="00037318" w:rsidP="00037318">
      <w:pPr>
        <w:spacing w:after="0" w:line="240" w:lineRule="auto"/>
        <w:jc w:val="both"/>
        <w:rPr>
          <w:rFonts w:cstheme="minorHAnsi"/>
        </w:rPr>
      </w:pPr>
    </w:p>
    <w:p w14:paraId="01EE941F" w14:textId="77777777" w:rsidR="00037318" w:rsidRPr="00C16CCB" w:rsidRDefault="00037318" w:rsidP="00037318">
      <w:pPr>
        <w:spacing w:after="0" w:line="240" w:lineRule="auto"/>
        <w:jc w:val="both"/>
        <w:rPr>
          <w:rFonts w:cstheme="minorHAnsi"/>
        </w:rPr>
      </w:pPr>
      <w:r w:rsidRPr="00C16CCB">
        <w:rPr>
          <w:rFonts w:cstheme="minorHAnsi"/>
        </w:rPr>
        <w:t>Školy byly financovány ze státního rozpočtu, kapitoly 333 MŠMT, kdy ze státních prostředků byly financovány přímé výdaje, tj. výdaje na mzdové prostředky, odvody, učebnice a učební pomůcky a dále účelové výdaje. Tyto prostředky jsou zasílány školám prostřednictvím zvláštního (školského) účtu zřízeného dle § 161 zákona č. 561/2004 Sb. (školský zákon). Dále byly školy a školská zařízení zřizované Středočeským krajem financovány z finančních prostředků Středočeského kraje schválených Zastupitelstvem Středočeského kraje usnesením č. 006-02/2020/ZK ze dne 14. 12. 2020. Významný podíl na financování škol a školských zařízení zřizovaných Středočeským krajem měla realizace projektů EU.</w:t>
      </w:r>
    </w:p>
    <w:p w14:paraId="38B51EC3" w14:textId="77777777" w:rsidR="00037318" w:rsidRPr="00C16CCB" w:rsidRDefault="00037318" w:rsidP="00037318">
      <w:pPr>
        <w:spacing w:after="0" w:line="240" w:lineRule="auto"/>
        <w:jc w:val="both"/>
        <w:rPr>
          <w:rFonts w:cstheme="minorHAnsi"/>
        </w:rPr>
      </w:pPr>
      <w:r w:rsidRPr="00C16CCB">
        <w:rPr>
          <w:rFonts w:cstheme="minorHAnsi"/>
        </w:rPr>
        <w:t xml:space="preserve">K 31. 12. 2021 vykázalo v hlavní činnosti 147 příspěvkových organizací zlepšený výsledek hospodaření, 22 příspěvkových organizací vyrovnaný výsledek hospodaření a 13 příspěvkových organizací zhoršený výsledek hospodaření - ztrátu (z toho 8 příspěvkových organizací díky doplňkové činnosti vykázalo kladný výsledek hospodaření). K 31. 12. 2021 vykázalo 5 příspěvkových organizací v doplňkové činnosti zhoršený výsledek hospodaření (ztrátu). </w:t>
      </w:r>
    </w:p>
    <w:p w14:paraId="1769ECD8" w14:textId="77777777" w:rsidR="00037318" w:rsidRPr="00C16CCB" w:rsidRDefault="00037318" w:rsidP="00037318">
      <w:pPr>
        <w:spacing w:after="0" w:line="240" w:lineRule="auto"/>
        <w:jc w:val="both"/>
        <w:rPr>
          <w:rFonts w:cstheme="minorHAnsi"/>
        </w:rPr>
      </w:pPr>
    </w:p>
    <w:p w14:paraId="405389A0" w14:textId="5FD38D33" w:rsidR="00896CFF" w:rsidRDefault="00896CFF" w:rsidP="00850519">
      <w:pPr>
        <w:spacing w:after="0" w:line="240" w:lineRule="auto"/>
        <w:jc w:val="both"/>
        <w:rPr>
          <w:rFonts w:cs="Calibri"/>
        </w:rPr>
      </w:pPr>
    </w:p>
    <w:p w14:paraId="51DCC1B5" w14:textId="1D0010FA" w:rsidR="00896CFF" w:rsidRDefault="00896CFF" w:rsidP="00850519">
      <w:pPr>
        <w:spacing w:after="0" w:line="240" w:lineRule="auto"/>
        <w:jc w:val="both"/>
        <w:rPr>
          <w:rFonts w:cs="Calibri"/>
        </w:rPr>
      </w:pPr>
    </w:p>
    <w:p w14:paraId="26980098" w14:textId="305B7C6B" w:rsidR="00896CFF" w:rsidRDefault="00896CFF" w:rsidP="00850519">
      <w:pPr>
        <w:spacing w:after="0" w:line="240" w:lineRule="auto"/>
        <w:jc w:val="both"/>
        <w:rPr>
          <w:rFonts w:cs="Calibri"/>
        </w:rPr>
      </w:pPr>
    </w:p>
    <w:p w14:paraId="40C0ED5D" w14:textId="445ED01E" w:rsidR="00896CFF" w:rsidRDefault="00896CFF" w:rsidP="00850519">
      <w:pPr>
        <w:spacing w:after="0" w:line="240" w:lineRule="auto"/>
        <w:jc w:val="both"/>
        <w:rPr>
          <w:rFonts w:cs="Calibri"/>
        </w:rPr>
      </w:pPr>
    </w:p>
    <w:p w14:paraId="0462E5BF" w14:textId="61147181" w:rsidR="00896CFF" w:rsidRDefault="00896CFF" w:rsidP="00850519">
      <w:pPr>
        <w:spacing w:after="0" w:line="240" w:lineRule="auto"/>
        <w:jc w:val="both"/>
        <w:rPr>
          <w:rFonts w:cs="Calibri"/>
        </w:rPr>
      </w:pPr>
    </w:p>
    <w:p w14:paraId="685346A4" w14:textId="5DC9E72E" w:rsidR="00896CFF" w:rsidRDefault="00896CFF" w:rsidP="00850519">
      <w:pPr>
        <w:spacing w:after="0" w:line="240" w:lineRule="auto"/>
        <w:jc w:val="both"/>
        <w:rPr>
          <w:rFonts w:cs="Calibri"/>
        </w:rPr>
      </w:pPr>
    </w:p>
    <w:p w14:paraId="25B6B53E" w14:textId="6D53C3B8" w:rsidR="00896CFF" w:rsidRDefault="00896CFF" w:rsidP="00850519">
      <w:pPr>
        <w:spacing w:after="0" w:line="240" w:lineRule="auto"/>
        <w:jc w:val="both"/>
        <w:rPr>
          <w:rFonts w:cs="Calibri"/>
        </w:rPr>
      </w:pPr>
    </w:p>
    <w:p w14:paraId="41884C86" w14:textId="24EC9310" w:rsidR="00896CFF" w:rsidRDefault="00896CFF" w:rsidP="00850519">
      <w:pPr>
        <w:spacing w:after="0" w:line="240" w:lineRule="auto"/>
        <w:jc w:val="both"/>
        <w:rPr>
          <w:rFonts w:cs="Calibri"/>
        </w:rPr>
      </w:pPr>
    </w:p>
    <w:p w14:paraId="22D2933F" w14:textId="0367A7D7" w:rsidR="00896CFF" w:rsidRDefault="00896CFF" w:rsidP="00850519">
      <w:pPr>
        <w:spacing w:after="0" w:line="240" w:lineRule="auto"/>
        <w:jc w:val="both"/>
        <w:rPr>
          <w:rFonts w:cs="Calibri"/>
        </w:rPr>
      </w:pPr>
    </w:p>
    <w:p w14:paraId="3A9E8F50" w14:textId="6FECD058" w:rsidR="00896CFF" w:rsidRDefault="00896CFF" w:rsidP="00850519">
      <w:pPr>
        <w:spacing w:after="0" w:line="240" w:lineRule="auto"/>
        <w:jc w:val="both"/>
        <w:rPr>
          <w:rFonts w:cs="Calibri"/>
        </w:rPr>
      </w:pPr>
    </w:p>
    <w:p w14:paraId="6B01A977" w14:textId="39CF30D8" w:rsidR="00896CFF" w:rsidRDefault="00896CFF" w:rsidP="00850519">
      <w:pPr>
        <w:spacing w:after="0" w:line="240" w:lineRule="auto"/>
        <w:jc w:val="both"/>
        <w:rPr>
          <w:rFonts w:cs="Calibri"/>
        </w:rPr>
      </w:pPr>
    </w:p>
    <w:p w14:paraId="5C9196A0" w14:textId="584C4EE4" w:rsidR="00896CFF" w:rsidRDefault="00896CFF" w:rsidP="00850519">
      <w:pPr>
        <w:spacing w:after="0" w:line="240" w:lineRule="auto"/>
        <w:jc w:val="both"/>
        <w:rPr>
          <w:rFonts w:cs="Calibri"/>
        </w:rPr>
      </w:pPr>
    </w:p>
    <w:p w14:paraId="027B67B5" w14:textId="53464D4A" w:rsidR="00896CFF" w:rsidRDefault="00896CFF" w:rsidP="00850519">
      <w:pPr>
        <w:spacing w:after="0" w:line="240" w:lineRule="auto"/>
        <w:jc w:val="both"/>
        <w:rPr>
          <w:rFonts w:cs="Calibri"/>
        </w:rPr>
      </w:pPr>
    </w:p>
    <w:p w14:paraId="4B0FF51D" w14:textId="3E3B333A" w:rsidR="00896CFF" w:rsidRDefault="00896CFF" w:rsidP="00850519">
      <w:pPr>
        <w:spacing w:after="0" w:line="240" w:lineRule="auto"/>
        <w:jc w:val="both"/>
        <w:rPr>
          <w:rFonts w:cs="Calibri"/>
        </w:rPr>
      </w:pPr>
    </w:p>
    <w:p w14:paraId="0028FBCF" w14:textId="3F50EF78" w:rsidR="00896CFF" w:rsidRDefault="00896CFF" w:rsidP="00850519">
      <w:pPr>
        <w:spacing w:after="0" w:line="240" w:lineRule="auto"/>
        <w:jc w:val="both"/>
        <w:rPr>
          <w:rFonts w:cs="Calibri"/>
        </w:rPr>
      </w:pPr>
    </w:p>
    <w:p w14:paraId="1EFF9C13" w14:textId="04A8C285" w:rsidR="00896CFF" w:rsidRDefault="00896CFF" w:rsidP="00850519">
      <w:pPr>
        <w:spacing w:after="0" w:line="240" w:lineRule="auto"/>
        <w:jc w:val="both"/>
        <w:rPr>
          <w:rFonts w:cs="Calibri"/>
        </w:rPr>
      </w:pPr>
    </w:p>
    <w:p w14:paraId="593B1F2A" w14:textId="4C276699" w:rsidR="00797F22" w:rsidRDefault="00797F22" w:rsidP="00850519">
      <w:pPr>
        <w:spacing w:after="0" w:line="240" w:lineRule="auto"/>
        <w:jc w:val="both"/>
        <w:rPr>
          <w:rFonts w:cs="Calibri"/>
        </w:rPr>
      </w:pPr>
    </w:p>
    <w:p w14:paraId="1E97DB58" w14:textId="42C677B1" w:rsidR="00797F22" w:rsidRDefault="00797F22" w:rsidP="00850519">
      <w:pPr>
        <w:spacing w:after="0" w:line="240" w:lineRule="auto"/>
        <w:jc w:val="both"/>
        <w:rPr>
          <w:rFonts w:cs="Calibri"/>
        </w:rPr>
      </w:pPr>
    </w:p>
    <w:p w14:paraId="52EA8808" w14:textId="77777777" w:rsidR="00797F22" w:rsidRDefault="00797F22" w:rsidP="00850519">
      <w:pPr>
        <w:spacing w:after="0" w:line="240" w:lineRule="auto"/>
        <w:jc w:val="both"/>
        <w:rPr>
          <w:rFonts w:cs="Calibri"/>
        </w:rPr>
      </w:pPr>
    </w:p>
    <w:p w14:paraId="3080663D" w14:textId="48DEF752" w:rsidR="00896CFF" w:rsidRDefault="00896CFF" w:rsidP="00850519">
      <w:pPr>
        <w:spacing w:after="0" w:line="240" w:lineRule="auto"/>
        <w:jc w:val="both"/>
        <w:rPr>
          <w:rFonts w:cs="Calibri"/>
        </w:rPr>
      </w:pPr>
    </w:p>
    <w:p w14:paraId="2CC2D15E" w14:textId="48E6CF0D" w:rsidR="00896CFF" w:rsidRDefault="00896CFF" w:rsidP="00850519">
      <w:pPr>
        <w:spacing w:after="0" w:line="240" w:lineRule="auto"/>
        <w:jc w:val="both"/>
        <w:rPr>
          <w:rFonts w:cs="Calibri"/>
        </w:rPr>
      </w:pPr>
    </w:p>
    <w:p w14:paraId="59A1FFA3" w14:textId="36D8E8DB" w:rsidR="00896CFF" w:rsidRDefault="00896CFF" w:rsidP="00850519">
      <w:pPr>
        <w:spacing w:after="0" w:line="240" w:lineRule="auto"/>
        <w:jc w:val="both"/>
        <w:rPr>
          <w:rFonts w:cs="Calibri"/>
        </w:rPr>
      </w:pPr>
    </w:p>
    <w:tbl>
      <w:tblPr>
        <w:tblW w:w="10712" w:type="dxa"/>
        <w:tblCellMar>
          <w:left w:w="70" w:type="dxa"/>
          <w:right w:w="70" w:type="dxa"/>
        </w:tblCellMar>
        <w:tblLook w:val="04A0" w:firstRow="1" w:lastRow="0" w:firstColumn="1" w:lastColumn="0" w:noHBand="0" w:noVBand="1"/>
      </w:tblPr>
      <w:tblGrid>
        <w:gridCol w:w="826"/>
        <w:gridCol w:w="4672"/>
        <w:gridCol w:w="1264"/>
        <w:gridCol w:w="1602"/>
        <w:gridCol w:w="1701"/>
        <w:gridCol w:w="647"/>
      </w:tblGrid>
      <w:tr w:rsidR="00A55202" w:rsidRPr="00A55202" w14:paraId="40EB9466" w14:textId="77777777" w:rsidTr="008E0636">
        <w:trPr>
          <w:trHeight w:val="402"/>
        </w:trPr>
        <w:tc>
          <w:tcPr>
            <w:tcW w:w="10712" w:type="dxa"/>
            <w:gridSpan w:val="6"/>
            <w:tcBorders>
              <w:top w:val="nil"/>
              <w:left w:val="nil"/>
              <w:bottom w:val="nil"/>
              <w:right w:val="nil"/>
            </w:tcBorders>
            <w:shd w:val="clear" w:color="000000" w:fill="FFFFFF"/>
            <w:noWrap/>
            <w:vAlign w:val="center"/>
            <w:hideMark/>
          </w:tcPr>
          <w:p w14:paraId="74A6DFFB" w14:textId="77777777" w:rsidR="00A55202" w:rsidRPr="00A55202" w:rsidRDefault="00A55202" w:rsidP="00A55202">
            <w:pPr>
              <w:spacing w:after="0" w:line="240" w:lineRule="auto"/>
              <w:jc w:val="center"/>
              <w:rPr>
                <w:rFonts w:ascii="Calibri" w:eastAsia="Times New Roman" w:hAnsi="Calibri" w:cs="Calibri"/>
                <w:b/>
                <w:bCs/>
                <w:sz w:val="28"/>
                <w:szCs w:val="28"/>
                <w:lang w:eastAsia="cs-CZ"/>
              </w:rPr>
            </w:pPr>
            <w:r w:rsidRPr="00A55202">
              <w:rPr>
                <w:rFonts w:ascii="Calibri" w:eastAsia="Times New Roman" w:hAnsi="Calibri" w:cs="Calibri"/>
                <w:b/>
                <w:bCs/>
                <w:sz w:val="28"/>
                <w:szCs w:val="28"/>
                <w:lang w:eastAsia="cs-CZ"/>
              </w:rPr>
              <w:lastRenderedPageBreak/>
              <w:t>Čerpání rozpočtu kapitoly 06 - Kultura a památková péče - období: 1. - 12. 2021</w:t>
            </w:r>
          </w:p>
        </w:tc>
      </w:tr>
      <w:tr w:rsidR="008E0636" w:rsidRPr="00A55202" w14:paraId="04D7DF44" w14:textId="77777777" w:rsidTr="008E0636">
        <w:trPr>
          <w:trHeight w:val="360"/>
        </w:trPr>
        <w:tc>
          <w:tcPr>
            <w:tcW w:w="826" w:type="dxa"/>
            <w:tcBorders>
              <w:top w:val="nil"/>
              <w:left w:val="nil"/>
              <w:bottom w:val="nil"/>
              <w:right w:val="nil"/>
            </w:tcBorders>
            <w:shd w:val="clear" w:color="000000" w:fill="FFFFFF"/>
            <w:noWrap/>
            <w:vAlign w:val="bottom"/>
            <w:hideMark/>
          </w:tcPr>
          <w:p w14:paraId="28A8DC68" w14:textId="77777777" w:rsidR="00A55202" w:rsidRPr="00A55202" w:rsidRDefault="00A55202" w:rsidP="00A55202">
            <w:pPr>
              <w:spacing w:after="0" w:line="240" w:lineRule="auto"/>
              <w:rPr>
                <w:rFonts w:ascii="Calibri" w:eastAsia="Times New Roman" w:hAnsi="Calibri" w:cs="Calibri"/>
                <w:b/>
                <w:bCs/>
                <w:sz w:val="28"/>
                <w:szCs w:val="28"/>
                <w:lang w:eastAsia="cs-CZ"/>
              </w:rPr>
            </w:pPr>
            <w:r w:rsidRPr="00A55202">
              <w:rPr>
                <w:rFonts w:ascii="Calibri" w:eastAsia="Times New Roman" w:hAnsi="Calibri" w:cs="Calibri"/>
                <w:b/>
                <w:bCs/>
                <w:sz w:val="28"/>
                <w:szCs w:val="28"/>
                <w:lang w:eastAsia="cs-CZ"/>
              </w:rPr>
              <w:t> </w:t>
            </w:r>
          </w:p>
        </w:tc>
        <w:tc>
          <w:tcPr>
            <w:tcW w:w="4672" w:type="dxa"/>
            <w:tcBorders>
              <w:top w:val="nil"/>
              <w:left w:val="nil"/>
              <w:bottom w:val="nil"/>
              <w:right w:val="nil"/>
            </w:tcBorders>
            <w:shd w:val="clear" w:color="000000" w:fill="FFFFFF"/>
            <w:noWrap/>
            <w:vAlign w:val="bottom"/>
            <w:hideMark/>
          </w:tcPr>
          <w:p w14:paraId="711C42F7"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c>
          <w:tcPr>
            <w:tcW w:w="1264" w:type="dxa"/>
            <w:tcBorders>
              <w:top w:val="nil"/>
              <w:left w:val="nil"/>
              <w:bottom w:val="nil"/>
              <w:right w:val="nil"/>
            </w:tcBorders>
            <w:shd w:val="clear" w:color="000000" w:fill="FFFFFF"/>
            <w:noWrap/>
            <w:vAlign w:val="bottom"/>
            <w:hideMark/>
          </w:tcPr>
          <w:p w14:paraId="6441FEFB"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c>
          <w:tcPr>
            <w:tcW w:w="1602" w:type="dxa"/>
            <w:tcBorders>
              <w:top w:val="nil"/>
              <w:left w:val="nil"/>
              <w:bottom w:val="nil"/>
              <w:right w:val="nil"/>
            </w:tcBorders>
            <w:shd w:val="clear" w:color="000000" w:fill="FFFFFF"/>
            <w:noWrap/>
            <w:vAlign w:val="bottom"/>
            <w:hideMark/>
          </w:tcPr>
          <w:p w14:paraId="52DFC9C2"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c>
          <w:tcPr>
            <w:tcW w:w="1701" w:type="dxa"/>
            <w:tcBorders>
              <w:top w:val="nil"/>
              <w:left w:val="nil"/>
              <w:bottom w:val="nil"/>
              <w:right w:val="nil"/>
            </w:tcBorders>
            <w:shd w:val="clear" w:color="000000" w:fill="FFFFFF"/>
            <w:noWrap/>
            <w:vAlign w:val="bottom"/>
            <w:hideMark/>
          </w:tcPr>
          <w:p w14:paraId="6E4C0ADD"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c>
          <w:tcPr>
            <w:tcW w:w="647" w:type="dxa"/>
            <w:tcBorders>
              <w:top w:val="nil"/>
              <w:left w:val="nil"/>
              <w:bottom w:val="nil"/>
              <w:right w:val="nil"/>
            </w:tcBorders>
            <w:shd w:val="clear" w:color="000000" w:fill="FFFFFF"/>
            <w:noWrap/>
            <w:vAlign w:val="bottom"/>
            <w:hideMark/>
          </w:tcPr>
          <w:p w14:paraId="7649B5FF" w14:textId="77777777" w:rsidR="00A55202" w:rsidRPr="00A55202" w:rsidRDefault="00A55202" w:rsidP="00A55202">
            <w:pPr>
              <w:spacing w:after="0" w:line="240" w:lineRule="auto"/>
              <w:jc w:val="right"/>
              <w:rPr>
                <w:rFonts w:ascii="Calibri" w:eastAsia="Times New Roman" w:hAnsi="Calibri" w:cs="Calibri"/>
                <w:lang w:eastAsia="cs-CZ"/>
              </w:rPr>
            </w:pPr>
            <w:r w:rsidRPr="00A55202">
              <w:rPr>
                <w:rFonts w:ascii="Calibri" w:eastAsia="Times New Roman" w:hAnsi="Calibri" w:cs="Calibri"/>
                <w:lang w:eastAsia="cs-CZ"/>
              </w:rPr>
              <w:t>v Kč</w:t>
            </w:r>
          </w:p>
        </w:tc>
      </w:tr>
      <w:tr w:rsidR="008E0636" w:rsidRPr="00A55202" w14:paraId="0EA20C6C" w14:textId="77777777" w:rsidTr="008E0636">
        <w:trPr>
          <w:trHeight w:val="705"/>
        </w:trPr>
        <w:tc>
          <w:tcPr>
            <w:tcW w:w="826" w:type="dxa"/>
            <w:tcBorders>
              <w:top w:val="single" w:sz="8" w:space="0" w:color="auto"/>
              <w:left w:val="single" w:sz="8" w:space="0" w:color="auto"/>
              <w:bottom w:val="single" w:sz="8" w:space="0" w:color="auto"/>
              <w:right w:val="single" w:sz="8" w:space="0" w:color="auto"/>
            </w:tcBorders>
            <w:shd w:val="clear" w:color="000000" w:fill="CCFFCC"/>
            <w:noWrap/>
            <w:vAlign w:val="center"/>
            <w:hideMark/>
          </w:tcPr>
          <w:p w14:paraId="689CEF45"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Paragraf</w:t>
            </w:r>
          </w:p>
        </w:tc>
        <w:tc>
          <w:tcPr>
            <w:tcW w:w="4672" w:type="dxa"/>
            <w:tcBorders>
              <w:top w:val="single" w:sz="8" w:space="0" w:color="auto"/>
              <w:left w:val="nil"/>
              <w:bottom w:val="single" w:sz="8" w:space="0" w:color="auto"/>
              <w:right w:val="single" w:sz="8" w:space="0" w:color="auto"/>
            </w:tcBorders>
            <w:shd w:val="clear" w:color="000000" w:fill="CCFFCC"/>
            <w:noWrap/>
            <w:vAlign w:val="center"/>
            <w:hideMark/>
          </w:tcPr>
          <w:p w14:paraId="6794136A"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Oblast rozpočtu</w:t>
            </w:r>
          </w:p>
        </w:tc>
        <w:tc>
          <w:tcPr>
            <w:tcW w:w="1264" w:type="dxa"/>
            <w:tcBorders>
              <w:top w:val="single" w:sz="8" w:space="0" w:color="auto"/>
              <w:left w:val="nil"/>
              <w:bottom w:val="single" w:sz="8" w:space="0" w:color="auto"/>
              <w:right w:val="single" w:sz="8" w:space="0" w:color="auto"/>
            </w:tcBorders>
            <w:shd w:val="clear" w:color="000000" w:fill="CCFFCC"/>
            <w:vAlign w:val="center"/>
            <w:hideMark/>
          </w:tcPr>
          <w:p w14:paraId="36B9B22F"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Schválený rozpočet</w:t>
            </w:r>
          </w:p>
        </w:tc>
        <w:tc>
          <w:tcPr>
            <w:tcW w:w="1602" w:type="dxa"/>
            <w:tcBorders>
              <w:top w:val="single" w:sz="8" w:space="0" w:color="auto"/>
              <w:left w:val="nil"/>
              <w:bottom w:val="single" w:sz="8" w:space="0" w:color="auto"/>
              <w:right w:val="single" w:sz="8" w:space="0" w:color="auto"/>
            </w:tcBorders>
            <w:shd w:val="clear" w:color="000000" w:fill="CCFFCC"/>
            <w:vAlign w:val="center"/>
            <w:hideMark/>
          </w:tcPr>
          <w:p w14:paraId="0CF58567"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Rozpočet po úpravě</w:t>
            </w:r>
          </w:p>
        </w:tc>
        <w:tc>
          <w:tcPr>
            <w:tcW w:w="1701" w:type="dxa"/>
            <w:tcBorders>
              <w:top w:val="single" w:sz="8" w:space="0" w:color="auto"/>
              <w:left w:val="nil"/>
              <w:bottom w:val="single" w:sz="8" w:space="0" w:color="auto"/>
              <w:right w:val="single" w:sz="8" w:space="0" w:color="auto"/>
            </w:tcBorders>
            <w:shd w:val="clear" w:color="000000" w:fill="CCFFCC"/>
            <w:vAlign w:val="center"/>
            <w:hideMark/>
          </w:tcPr>
          <w:p w14:paraId="420B691B"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xml:space="preserve">Skutečnost </w:t>
            </w:r>
          </w:p>
        </w:tc>
        <w:tc>
          <w:tcPr>
            <w:tcW w:w="647" w:type="dxa"/>
            <w:tcBorders>
              <w:top w:val="single" w:sz="8" w:space="0" w:color="auto"/>
              <w:left w:val="nil"/>
              <w:bottom w:val="single" w:sz="8" w:space="0" w:color="auto"/>
              <w:right w:val="single" w:sz="8" w:space="0" w:color="auto"/>
            </w:tcBorders>
            <w:shd w:val="clear" w:color="000000" w:fill="CCFFCC"/>
            <w:vAlign w:val="center"/>
            <w:hideMark/>
          </w:tcPr>
          <w:p w14:paraId="4ACBFC7C"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plnění</w:t>
            </w:r>
          </w:p>
        </w:tc>
      </w:tr>
      <w:tr w:rsidR="008E0636" w:rsidRPr="00A55202" w14:paraId="791AB666" w14:textId="77777777" w:rsidTr="008E0636">
        <w:trPr>
          <w:trHeight w:val="360"/>
        </w:trPr>
        <w:tc>
          <w:tcPr>
            <w:tcW w:w="826" w:type="dxa"/>
            <w:tcBorders>
              <w:top w:val="nil"/>
              <w:left w:val="nil"/>
              <w:bottom w:val="nil"/>
              <w:right w:val="nil"/>
            </w:tcBorders>
            <w:shd w:val="clear" w:color="000000" w:fill="FFFFFF"/>
            <w:noWrap/>
            <w:vAlign w:val="bottom"/>
            <w:hideMark/>
          </w:tcPr>
          <w:p w14:paraId="79C349DF" w14:textId="77777777" w:rsidR="00A55202" w:rsidRPr="00A55202" w:rsidRDefault="00A55202" w:rsidP="00A55202">
            <w:pPr>
              <w:spacing w:after="0" w:line="240" w:lineRule="auto"/>
              <w:rPr>
                <w:rFonts w:ascii="Calibri" w:eastAsia="Times New Roman" w:hAnsi="Calibri" w:cs="Calibri"/>
                <w:sz w:val="24"/>
                <w:szCs w:val="24"/>
                <w:lang w:eastAsia="cs-CZ"/>
              </w:rPr>
            </w:pPr>
            <w:r w:rsidRPr="00A55202">
              <w:rPr>
                <w:rFonts w:ascii="Calibri" w:eastAsia="Times New Roman" w:hAnsi="Calibri" w:cs="Calibri"/>
                <w:sz w:val="24"/>
                <w:szCs w:val="24"/>
                <w:lang w:eastAsia="cs-CZ"/>
              </w:rPr>
              <w:t> </w:t>
            </w:r>
          </w:p>
        </w:tc>
        <w:tc>
          <w:tcPr>
            <w:tcW w:w="4672" w:type="dxa"/>
            <w:tcBorders>
              <w:top w:val="nil"/>
              <w:left w:val="nil"/>
              <w:bottom w:val="nil"/>
              <w:right w:val="nil"/>
            </w:tcBorders>
            <w:shd w:val="clear" w:color="000000" w:fill="FFFFFF"/>
            <w:noWrap/>
            <w:vAlign w:val="bottom"/>
            <w:hideMark/>
          </w:tcPr>
          <w:p w14:paraId="53F5EA85" w14:textId="77777777" w:rsidR="00A55202" w:rsidRPr="00A55202" w:rsidRDefault="00A55202" w:rsidP="00A55202">
            <w:pPr>
              <w:spacing w:after="0" w:line="240" w:lineRule="auto"/>
              <w:rPr>
                <w:rFonts w:ascii="Calibri" w:eastAsia="Times New Roman" w:hAnsi="Calibri" w:cs="Calibri"/>
                <w:b/>
                <w:bCs/>
                <w:lang w:eastAsia="cs-CZ"/>
              </w:rPr>
            </w:pPr>
            <w:r w:rsidRPr="00A55202">
              <w:rPr>
                <w:rFonts w:ascii="Calibri" w:eastAsia="Times New Roman" w:hAnsi="Calibri" w:cs="Calibri"/>
                <w:b/>
                <w:bCs/>
                <w:lang w:eastAsia="cs-CZ"/>
              </w:rPr>
              <w:t xml:space="preserve">Běžné výdaje </w:t>
            </w:r>
          </w:p>
        </w:tc>
        <w:tc>
          <w:tcPr>
            <w:tcW w:w="1264" w:type="dxa"/>
            <w:tcBorders>
              <w:top w:val="nil"/>
              <w:left w:val="nil"/>
              <w:bottom w:val="nil"/>
              <w:right w:val="nil"/>
            </w:tcBorders>
            <w:shd w:val="clear" w:color="000000" w:fill="FFFFFF"/>
            <w:noWrap/>
            <w:vAlign w:val="bottom"/>
            <w:hideMark/>
          </w:tcPr>
          <w:p w14:paraId="1C32C98F" w14:textId="77777777" w:rsidR="00A55202" w:rsidRPr="00A55202" w:rsidRDefault="00A55202" w:rsidP="00A55202">
            <w:pPr>
              <w:spacing w:after="0" w:line="240" w:lineRule="auto"/>
              <w:rPr>
                <w:rFonts w:ascii="Calibri" w:eastAsia="Times New Roman" w:hAnsi="Calibri" w:cs="Calibri"/>
                <w:b/>
                <w:bCs/>
                <w:sz w:val="24"/>
                <w:szCs w:val="24"/>
                <w:lang w:eastAsia="cs-CZ"/>
              </w:rPr>
            </w:pPr>
            <w:r w:rsidRPr="00A55202">
              <w:rPr>
                <w:rFonts w:ascii="Calibri" w:eastAsia="Times New Roman" w:hAnsi="Calibri" w:cs="Calibri"/>
                <w:b/>
                <w:bCs/>
                <w:sz w:val="24"/>
                <w:szCs w:val="24"/>
                <w:lang w:eastAsia="cs-CZ"/>
              </w:rPr>
              <w:t> </w:t>
            </w:r>
          </w:p>
        </w:tc>
        <w:tc>
          <w:tcPr>
            <w:tcW w:w="1602" w:type="dxa"/>
            <w:tcBorders>
              <w:top w:val="nil"/>
              <w:left w:val="nil"/>
              <w:bottom w:val="nil"/>
              <w:right w:val="nil"/>
            </w:tcBorders>
            <w:shd w:val="clear" w:color="000000" w:fill="FFFFFF"/>
            <w:noWrap/>
            <w:vAlign w:val="bottom"/>
            <w:hideMark/>
          </w:tcPr>
          <w:p w14:paraId="636B333C" w14:textId="77777777" w:rsidR="00A55202" w:rsidRPr="00A55202" w:rsidRDefault="00A55202" w:rsidP="00A55202">
            <w:pPr>
              <w:spacing w:after="0" w:line="240" w:lineRule="auto"/>
              <w:rPr>
                <w:rFonts w:ascii="Calibri" w:eastAsia="Times New Roman" w:hAnsi="Calibri" w:cs="Calibri"/>
                <w:b/>
                <w:bCs/>
                <w:sz w:val="24"/>
                <w:szCs w:val="24"/>
                <w:lang w:eastAsia="cs-CZ"/>
              </w:rPr>
            </w:pPr>
            <w:r w:rsidRPr="00A55202">
              <w:rPr>
                <w:rFonts w:ascii="Calibri" w:eastAsia="Times New Roman" w:hAnsi="Calibri" w:cs="Calibri"/>
                <w:b/>
                <w:bCs/>
                <w:sz w:val="24"/>
                <w:szCs w:val="24"/>
                <w:lang w:eastAsia="cs-CZ"/>
              </w:rPr>
              <w:t> </w:t>
            </w:r>
          </w:p>
        </w:tc>
        <w:tc>
          <w:tcPr>
            <w:tcW w:w="1701" w:type="dxa"/>
            <w:tcBorders>
              <w:top w:val="nil"/>
              <w:left w:val="nil"/>
              <w:bottom w:val="nil"/>
              <w:right w:val="nil"/>
            </w:tcBorders>
            <w:shd w:val="clear" w:color="000000" w:fill="FFFFFF"/>
            <w:noWrap/>
            <w:vAlign w:val="bottom"/>
            <w:hideMark/>
          </w:tcPr>
          <w:p w14:paraId="22997F28" w14:textId="77777777" w:rsidR="00A55202" w:rsidRPr="00A55202" w:rsidRDefault="00A55202" w:rsidP="00A55202">
            <w:pPr>
              <w:spacing w:after="0" w:line="240" w:lineRule="auto"/>
              <w:rPr>
                <w:rFonts w:ascii="Calibri" w:eastAsia="Times New Roman" w:hAnsi="Calibri" w:cs="Calibri"/>
                <w:b/>
                <w:bCs/>
                <w:sz w:val="24"/>
                <w:szCs w:val="24"/>
                <w:lang w:eastAsia="cs-CZ"/>
              </w:rPr>
            </w:pPr>
            <w:r w:rsidRPr="00A55202">
              <w:rPr>
                <w:rFonts w:ascii="Calibri" w:eastAsia="Times New Roman" w:hAnsi="Calibri" w:cs="Calibri"/>
                <w:b/>
                <w:bCs/>
                <w:sz w:val="24"/>
                <w:szCs w:val="24"/>
                <w:lang w:eastAsia="cs-CZ"/>
              </w:rPr>
              <w:t> </w:t>
            </w:r>
          </w:p>
        </w:tc>
        <w:tc>
          <w:tcPr>
            <w:tcW w:w="647" w:type="dxa"/>
            <w:tcBorders>
              <w:top w:val="nil"/>
              <w:left w:val="nil"/>
              <w:bottom w:val="nil"/>
              <w:right w:val="nil"/>
            </w:tcBorders>
            <w:shd w:val="clear" w:color="000000" w:fill="FFFFFF"/>
            <w:noWrap/>
            <w:vAlign w:val="bottom"/>
            <w:hideMark/>
          </w:tcPr>
          <w:p w14:paraId="75AFECC2" w14:textId="77777777" w:rsidR="00A55202" w:rsidRPr="00A55202" w:rsidRDefault="00A55202" w:rsidP="00A55202">
            <w:pPr>
              <w:spacing w:after="0" w:line="240" w:lineRule="auto"/>
              <w:rPr>
                <w:rFonts w:ascii="Calibri" w:eastAsia="Times New Roman" w:hAnsi="Calibri" w:cs="Calibri"/>
                <w:sz w:val="24"/>
                <w:szCs w:val="24"/>
                <w:lang w:eastAsia="cs-CZ"/>
              </w:rPr>
            </w:pPr>
            <w:r w:rsidRPr="00A55202">
              <w:rPr>
                <w:rFonts w:ascii="Calibri" w:eastAsia="Times New Roman" w:hAnsi="Calibri" w:cs="Calibri"/>
                <w:sz w:val="24"/>
                <w:szCs w:val="24"/>
                <w:lang w:eastAsia="cs-CZ"/>
              </w:rPr>
              <w:t> </w:t>
            </w:r>
          </w:p>
        </w:tc>
      </w:tr>
      <w:tr w:rsidR="008E0636" w:rsidRPr="00A55202" w14:paraId="078EFBA9" w14:textId="77777777" w:rsidTr="008E0636">
        <w:trPr>
          <w:trHeight w:val="300"/>
        </w:trPr>
        <w:tc>
          <w:tcPr>
            <w:tcW w:w="826" w:type="dxa"/>
            <w:tcBorders>
              <w:top w:val="single" w:sz="8" w:space="0" w:color="auto"/>
              <w:left w:val="single" w:sz="8" w:space="0" w:color="auto"/>
              <w:bottom w:val="single" w:sz="4" w:space="0" w:color="auto"/>
              <w:right w:val="single" w:sz="4" w:space="0" w:color="auto"/>
            </w:tcBorders>
            <w:shd w:val="clear" w:color="000000" w:fill="FFFFFF"/>
            <w:noWrap/>
            <w:vAlign w:val="bottom"/>
            <w:hideMark/>
          </w:tcPr>
          <w:p w14:paraId="10D464DD"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2143</w:t>
            </w:r>
          </w:p>
        </w:tc>
        <w:tc>
          <w:tcPr>
            <w:tcW w:w="4672" w:type="dxa"/>
            <w:tcBorders>
              <w:top w:val="single" w:sz="8" w:space="0" w:color="auto"/>
              <w:left w:val="nil"/>
              <w:bottom w:val="nil"/>
              <w:right w:val="single" w:sz="4" w:space="0" w:color="auto"/>
            </w:tcBorders>
            <w:shd w:val="clear" w:color="000000" w:fill="FFFFFF"/>
            <w:vAlign w:val="bottom"/>
            <w:hideMark/>
          </w:tcPr>
          <w:p w14:paraId="3F2E24DD"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xml:space="preserve">Podpora cestovního ruchu, regionálních/lokálních akcí </w:t>
            </w:r>
          </w:p>
        </w:tc>
        <w:tc>
          <w:tcPr>
            <w:tcW w:w="1264" w:type="dxa"/>
            <w:tcBorders>
              <w:top w:val="single" w:sz="8" w:space="0" w:color="auto"/>
              <w:left w:val="nil"/>
              <w:bottom w:val="nil"/>
              <w:right w:val="single" w:sz="4" w:space="0" w:color="auto"/>
            </w:tcBorders>
            <w:shd w:val="clear" w:color="000000" w:fill="FFFFFF"/>
            <w:noWrap/>
            <w:vAlign w:val="bottom"/>
            <w:hideMark/>
          </w:tcPr>
          <w:p w14:paraId="6848FD10"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0</w:t>
            </w:r>
          </w:p>
        </w:tc>
        <w:tc>
          <w:tcPr>
            <w:tcW w:w="1602" w:type="dxa"/>
            <w:tcBorders>
              <w:top w:val="single" w:sz="8" w:space="0" w:color="auto"/>
              <w:left w:val="nil"/>
              <w:bottom w:val="single" w:sz="4" w:space="0" w:color="auto"/>
              <w:right w:val="single" w:sz="4" w:space="0" w:color="auto"/>
            </w:tcBorders>
            <w:shd w:val="clear" w:color="000000" w:fill="FFFFFF"/>
            <w:noWrap/>
            <w:vAlign w:val="bottom"/>
            <w:hideMark/>
          </w:tcPr>
          <w:p w14:paraId="5321334A"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9 558 362,00</w:t>
            </w:r>
          </w:p>
        </w:tc>
        <w:tc>
          <w:tcPr>
            <w:tcW w:w="1701" w:type="dxa"/>
            <w:tcBorders>
              <w:top w:val="single" w:sz="8" w:space="0" w:color="auto"/>
              <w:left w:val="nil"/>
              <w:bottom w:val="single" w:sz="4" w:space="0" w:color="auto"/>
              <w:right w:val="single" w:sz="4" w:space="0" w:color="auto"/>
            </w:tcBorders>
            <w:shd w:val="clear" w:color="000000" w:fill="FFFFFF"/>
            <w:noWrap/>
            <w:vAlign w:val="bottom"/>
            <w:hideMark/>
          </w:tcPr>
          <w:p w14:paraId="3BB98DFA"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9 472 137,59</w:t>
            </w:r>
          </w:p>
        </w:tc>
        <w:tc>
          <w:tcPr>
            <w:tcW w:w="647" w:type="dxa"/>
            <w:tcBorders>
              <w:top w:val="single" w:sz="8" w:space="0" w:color="auto"/>
              <w:left w:val="nil"/>
              <w:bottom w:val="single" w:sz="4" w:space="0" w:color="auto"/>
              <w:right w:val="single" w:sz="8" w:space="0" w:color="auto"/>
            </w:tcBorders>
            <w:shd w:val="clear" w:color="000000" w:fill="FFFFFF"/>
            <w:noWrap/>
            <w:vAlign w:val="bottom"/>
            <w:hideMark/>
          </w:tcPr>
          <w:p w14:paraId="58887F78"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99,1</w:t>
            </w:r>
          </w:p>
        </w:tc>
      </w:tr>
      <w:tr w:rsidR="008E0636" w:rsidRPr="00A55202" w14:paraId="3176DB35" w14:textId="77777777" w:rsidTr="008E0636">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13592670"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2143</w:t>
            </w:r>
          </w:p>
        </w:tc>
        <w:tc>
          <w:tcPr>
            <w:tcW w:w="4672" w:type="dxa"/>
            <w:tcBorders>
              <w:top w:val="single" w:sz="4" w:space="0" w:color="auto"/>
              <w:left w:val="nil"/>
              <w:bottom w:val="single" w:sz="4" w:space="0" w:color="auto"/>
              <w:right w:val="single" w:sz="4" w:space="0" w:color="auto"/>
            </w:tcBorders>
            <w:shd w:val="clear" w:color="000000" w:fill="FFFFFF"/>
            <w:vAlign w:val="bottom"/>
            <w:hideMark/>
          </w:tcPr>
          <w:p w14:paraId="5E245853"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Klub českých turistů</w:t>
            </w:r>
          </w:p>
        </w:tc>
        <w:tc>
          <w:tcPr>
            <w:tcW w:w="1264" w:type="dxa"/>
            <w:tcBorders>
              <w:top w:val="single" w:sz="4" w:space="0" w:color="auto"/>
              <w:left w:val="nil"/>
              <w:bottom w:val="single" w:sz="4" w:space="0" w:color="auto"/>
              <w:right w:val="single" w:sz="4" w:space="0" w:color="auto"/>
            </w:tcBorders>
            <w:shd w:val="clear" w:color="000000" w:fill="FFFFFF"/>
            <w:noWrap/>
            <w:vAlign w:val="bottom"/>
            <w:hideMark/>
          </w:tcPr>
          <w:p w14:paraId="335D467D"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0</w:t>
            </w:r>
          </w:p>
        </w:tc>
        <w:tc>
          <w:tcPr>
            <w:tcW w:w="1602" w:type="dxa"/>
            <w:tcBorders>
              <w:top w:val="nil"/>
              <w:left w:val="nil"/>
              <w:bottom w:val="single" w:sz="4" w:space="0" w:color="auto"/>
              <w:right w:val="single" w:sz="4" w:space="0" w:color="auto"/>
            </w:tcBorders>
            <w:shd w:val="clear" w:color="000000" w:fill="FFFFFF"/>
            <w:noWrap/>
            <w:vAlign w:val="bottom"/>
            <w:hideMark/>
          </w:tcPr>
          <w:p w14:paraId="1C65F730"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800 000,00</w:t>
            </w:r>
          </w:p>
        </w:tc>
        <w:tc>
          <w:tcPr>
            <w:tcW w:w="1701" w:type="dxa"/>
            <w:tcBorders>
              <w:top w:val="nil"/>
              <w:left w:val="nil"/>
              <w:bottom w:val="single" w:sz="4" w:space="0" w:color="auto"/>
              <w:right w:val="single" w:sz="4" w:space="0" w:color="auto"/>
            </w:tcBorders>
            <w:shd w:val="clear" w:color="000000" w:fill="FFFFFF"/>
            <w:noWrap/>
            <w:vAlign w:val="bottom"/>
            <w:hideMark/>
          </w:tcPr>
          <w:p w14:paraId="0EC8B4BF"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800 000,00</w:t>
            </w:r>
          </w:p>
        </w:tc>
        <w:tc>
          <w:tcPr>
            <w:tcW w:w="647" w:type="dxa"/>
            <w:tcBorders>
              <w:top w:val="nil"/>
              <w:left w:val="nil"/>
              <w:bottom w:val="single" w:sz="4" w:space="0" w:color="auto"/>
              <w:right w:val="single" w:sz="8" w:space="0" w:color="auto"/>
            </w:tcBorders>
            <w:shd w:val="clear" w:color="000000" w:fill="FFFFFF"/>
            <w:noWrap/>
            <w:vAlign w:val="bottom"/>
            <w:hideMark/>
          </w:tcPr>
          <w:p w14:paraId="44CAC1BA"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100,0</w:t>
            </w:r>
          </w:p>
        </w:tc>
      </w:tr>
      <w:tr w:rsidR="008E0636" w:rsidRPr="00A55202" w14:paraId="5E45662C" w14:textId="77777777" w:rsidTr="008E0636">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37C4438A"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2143</w:t>
            </w:r>
          </w:p>
        </w:tc>
        <w:tc>
          <w:tcPr>
            <w:tcW w:w="4672" w:type="dxa"/>
            <w:tcBorders>
              <w:top w:val="nil"/>
              <w:left w:val="nil"/>
              <w:bottom w:val="single" w:sz="4" w:space="0" w:color="auto"/>
              <w:right w:val="single" w:sz="4" w:space="0" w:color="auto"/>
            </w:tcBorders>
            <w:shd w:val="clear" w:color="000000" w:fill="FFFFFF"/>
            <w:noWrap/>
            <w:vAlign w:val="bottom"/>
            <w:hideMark/>
          </w:tcPr>
          <w:p w14:paraId="7F5FE350"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Soundtrack Poděbrady 2022</w:t>
            </w:r>
          </w:p>
        </w:tc>
        <w:tc>
          <w:tcPr>
            <w:tcW w:w="1264" w:type="dxa"/>
            <w:tcBorders>
              <w:top w:val="nil"/>
              <w:left w:val="nil"/>
              <w:bottom w:val="single" w:sz="4" w:space="0" w:color="auto"/>
              <w:right w:val="single" w:sz="4" w:space="0" w:color="auto"/>
            </w:tcBorders>
            <w:shd w:val="clear" w:color="000000" w:fill="FFFFFF"/>
            <w:noWrap/>
            <w:vAlign w:val="bottom"/>
            <w:hideMark/>
          </w:tcPr>
          <w:p w14:paraId="1CA080A1"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0</w:t>
            </w:r>
          </w:p>
        </w:tc>
        <w:tc>
          <w:tcPr>
            <w:tcW w:w="1602" w:type="dxa"/>
            <w:tcBorders>
              <w:top w:val="nil"/>
              <w:left w:val="nil"/>
              <w:bottom w:val="single" w:sz="4" w:space="0" w:color="auto"/>
              <w:right w:val="single" w:sz="4" w:space="0" w:color="auto"/>
            </w:tcBorders>
            <w:shd w:val="clear" w:color="000000" w:fill="FFFFFF"/>
            <w:noWrap/>
            <w:vAlign w:val="bottom"/>
            <w:hideMark/>
          </w:tcPr>
          <w:p w14:paraId="54737109"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2 000 000,00</w:t>
            </w:r>
          </w:p>
        </w:tc>
        <w:tc>
          <w:tcPr>
            <w:tcW w:w="1701" w:type="dxa"/>
            <w:tcBorders>
              <w:top w:val="nil"/>
              <w:left w:val="nil"/>
              <w:bottom w:val="single" w:sz="4" w:space="0" w:color="auto"/>
              <w:right w:val="single" w:sz="4" w:space="0" w:color="auto"/>
            </w:tcBorders>
            <w:shd w:val="clear" w:color="000000" w:fill="FFFFFF"/>
            <w:noWrap/>
            <w:vAlign w:val="bottom"/>
            <w:hideMark/>
          </w:tcPr>
          <w:p w14:paraId="6BC44A39"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2 000 000,00</w:t>
            </w:r>
          </w:p>
        </w:tc>
        <w:tc>
          <w:tcPr>
            <w:tcW w:w="647" w:type="dxa"/>
            <w:tcBorders>
              <w:top w:val="nil"/>
              <w:left w:val="nil"/>
              <w:bottom w:val="single" w:sz="4" w:space="0" w:color="auto"/>
              <w:right w:val="single" w:sz="8" w:space="0" w:color="auto"/>
            </w:tcBorders>
            <w:shd w:val="clear" w:color="000000" w:fill="FFFFFF"/>
            <w:noWrap/>
            <w:vAlign w:val="bottom"/>
            <w:hideMark/>
          </w:tcPr>
          <w:p w14:paraId="64605262"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100,0</w:t>
            </w:r>
          </w:p>
        </w:tc>
      </w:tr>
      <w:tr w:rsidR="008E0636" w:rsidRPr="00A55202" w14:paraId="192EC374" w14:textId="77777777" w:rsidTr="008E0636">
        <w:trPr>
          <w:trHeight w:val="529"/>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276D8765"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2143</w:t>
            </w:r>
          </w:p>
        </w:tc>
        <w:tc>
          <w:tcPr>
            <w:tcW w:w="4672" w:type="dxa"/>
            <w:tcBorders>
              <w:top w:val="nil"/>
              <w:left w:val="nil"/>
              <w:bottom w:val="single" w:sz="4" w:space="0" w:color="auto"/>
              <w:right w:val="single" w:sz="4" w:space="0" w:color="auto"/>
            </w:tcBorders>
            <w:shd w:val="clear" w:color="000000" w:fill="FFFFFF"/>
            <w:vAlign w:val="bottom"/>
            <w:hideMark/>
          </w:tcPr>
          <w:p w14:paraId="2FEFE643"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Cestovní ruch - příspěvek příspěvkové organizaci Středočeská centrála cestovního ruchu</w:t>
            </w:r>
          </w:p>
        </w:tc>
        <w:tc>
          <w:tcPr>
            <w:tcW w:w="1264" w:type="dxa"/>
            <w:tcBorders>
              <w:top w:val="nil"/>
              <w:left w:val="nil"/>
              <w:bottom w:val="single" w:sz="4" w:space="0" w:color="auto"/>
              <w:right w:val="single" w:sz="4" w:space="0" w:color="auto"/>
            </w:tcBorders>
            <w:shd w:val="clear" w:color="000000" w:fill="FFFFFF"/>
            <w:noWrap/>
            <w:vAlign w:val="bottom"/>
            <w:hideMark/>
          </w:tcPr>
          <w:p w14:paraId="21617780"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0</w:t>
            </w:r>
          </w:p>
        </w:tc>
        <w:tc>
          <w:tcPr>
            <w:tcW w:w="1602" w:type="dxa"/>
            <w:tcBorders>
              <w:top w:val="nil"/>
              <w:left w:val="nil"/>
              <w:bottom w:val="single" w:sz="4" w:space="0" w:color="auto"/>
              <w:right w:val="single" w:sz="4" w:space="0" w:color="auto"/>
            </w:tcBorders>
            <w:shd w:val="clear" w:color="000000" w:fill="FFFFFF"/>
            <w:noWrap/>
            <w:vAlign w:val="bottom"/>
            <w:hideMark/>
          </w:tcPr>
          <w:p w14:paraId="33323734"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28 632 337,84</w:t>
            </w:r>
          </w:p>
        </w:tc>
        <w:tc>
          <w:tcPr>
            <w:tcW w:w="1701" w:type="dxa"/>
            <w:tcBorders>
              <w:top w:val="nil"/>
              <w:left w:val="nil"/>
              <w:bottom w:val="single" w:sz="4" w:space="0" w:color="auto"/>
              <w:right w:val="single" w:sz="4" w:space="0" w:color="auto"/>
            </w:tcBorders>
            <w:shd w:val="clear" w:color="000000" w:fill="FFFFFF"/>
            <w:noWrap/>
            <w:vAlign w:val="bottom"/>
            <w:hideMark/>
          </w:tcPr>
          <w:p w14:paraId="287C873B"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25 819 556,00</w:t>
            </w:r>
          </w:p>
        </w:tc>
        <w:tc>
          <w:tcPr>
            <w:tcW w:w="647" w:type="dxa"/>
            <w:tcBorders>
              <w:top w:val="nil"/>
              <w:left w:val="nil"/>
              <w:bottom w:val="single" w:sz="4" w:space="0" w:color="auto"/>
              <w:right w:val="single" w:sz="8" w:space="0" w:color="auto"/>
            </w:tcBorders>
            <w:shd w:val="clear" w:color="000000" w:fill="FFFFFF"/>
            <w:noWrap/>
            <w:vAlign w:val="bottom"/>
            <w:hideMark/>
          </w:tcPr>
          <w:p w14:paraId="4C5CA4E5"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90,2</w:t>
            </w:r>
          </w:p>
        </w:tc>
      </w:tr>
      <w:tr w:rsidR="008E0636" w:rsidRPr="00A55202" w14:paraId="4CE2FF4E" w14:textId="77777777" w:rsidTr="008E0636">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320CFFF3"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c>
          <w:tcPr>
            <w:tcW w:w="4672" w:type="dxa"/>
            <w:tcBorders>
              <w:top w:val="nil"/>
              <w:left w:val="nil"/>
              <w:bottom w:val="single" w:sz="4" w:space="0" w:color="auto"/>
              <w:right w:val="single" w:sz="4" w:space="0" w:color="auto"/>
            </w:tcBorders>
            <w:shd w:val="clear" w:color="000000" w:fill="FFFFFF"/>
            <w:vAlign w:val="bottom"/>
            <w:hideMark/>
          </w:tcPr>
          <w:p w14:paraId="37C3D9B4"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z toho:</w:t>
            </w:r>
          </w:p>
        </w:tc>
        <w:tc>
          <w:tcPr>
            <w:tcW w:w="1264" w:type="dxa"/>
            <w:tcBorders>
              <w:top w:val="nil"/>
              <w:left w:val="nil"/>
              <w:bottom w:val="single" w:sz="4" w:space="0" w:color="auto"/>
              <w:right w:val="single" w:sz="4" w:space="0" w:color="auto"/>
            </w:tcBorders>
            <w:shd w:val="clear" w:color="000000" w:fill="FFFFFF"/>
            <w:noWrap/>
            <w:vAlign w:val="bottom"/>
            <w:hideMark/>
          </w:tcPr>
          <w:p w14:paraId="6F83B2B8" w14:textId="77777777" w:rsidR="00A55202" w:rsidRPr="00A55202" w:rsidRDefault="00A55202" w:rsidP="00A55202">
            <w:pPr>
              <w:spacing w:after="0" w:line="240" w:lineRule="auto"/>
              <w:rPr>
                <w:rFonts w:ascii="Calibri" w:eastAsia="Times New Roman" w:hAnsi="Calibri" w:cs="Calibri"/>
                <w:b/>
                <w:bCs/>
                <w:sz w:val="24"/>
                <w:szCs w:val="24"/>
                <w:lang w:eastAsia="cs-CZ"/>
              </w:rPr>
            </w:pPr>
            <w:r w:rsidRPr="00A55202">
              <w:rPr>
                <w:rFonts w:ascii="Calibri" w:eastAsia="Times New Roman" w:hAnsi="Calibri" w:cs="Calibri"/>
                <w:b/>
                <w:bCs/>
                <w:sz w:val="24"/>
                <w:szCs w:val="24"/>
                <w:lang w:eastAsia="cs-CZ"/>
              </w:rPr>
              <w:t> </w:t>
            </w:r>
          </w:p>
        </w:tc>
        <w:tc>
          <w:tcPr>
            <w:tcW w:w="1602" w:type="dxa"/>
            <w:tcBorders>
              <w:top w:val="nil"/>
              <w:left w:val="nil"/>
              <w:bottom w:val="single" w:sz="4" w:space="0" w:color="auto"/>
              <w:right w:val="single" w:sz="4" w:space="0" w:color="auto"/>
            </w:tcBorders>
            <w:shd w:val="clear" w:color="000000" w:fill="FFFFFF"/>
            <w:noWrap/>
            <w:vAlign w:val="bottom"/>
            <w:hideMark/>
          </w:tcPr>
          <w:p w14:paraId="2A6C1F00"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c>
          <w:tcPr>
            <w:tcW w:w="1701" w:type="dxa"/>
            <w:tcBorders>
              <w:top w:val="nil"/>
              <w:left w:val="nil"/>
              <w:bottom w:val="single" w:sz="4" w:space="0" w:color="auto"/>
              <w:right w:val="single" w:sz="4" w:space="0" w:color="auto"/>
            </w:tcBorders>
            <w:shd w:val="clear" w:color="000000" w:fill="FFFFFF"/>
            <w:noWrap/>
            <w:vAlign w:val="bottom"/>
            <w:hideMark/>
          </w:tcPr>
          <w:p w14:paraId="10EE1B0B"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c>
          <w:tcPr>
            <w:tcW w:w="647" w:type="dxa"/>
            <w:tcBorders>
              <w:top w:val="nil"/>
              <w:left w:val="nil"/>
              <w:bottom w:val="single" w:sz="4" w:space="0" w:color="auto"/>
              <w:right w:val="single" w:sz="8" w:space="0" w:color="auto"/>
            </w:tcBorders>
            <w:shd w:val="clear" w:color="000000" w:fill="FFFFFF"/>
            <w:noWrap/>
            <w:vAlign w:val="bottom"/>
            <w:hideMark/>
          </w:tcPr>
          <w:p w14:paraId="199038E2"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r>
      <w:tr w:rsidR="008E0636" w:rsidRPr="00A55202" w14:paraId="3463E63F" w14:textId="77777777" w:rsidTr="008E0636">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3B693EEF"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c>
          <w:tcPr>
            <w:tcW w:w="4672" w:type="dxa"/>
            <w:tcBorders>
              <w:top w:val="nil"/>
              <w:left w:val="nil"/>
              <w:bottom w:val="single" w:sz="4" w:space="0" w:color="auto"/>
              <w:right w:val="single" w:sz="4" w:space="0" w:color="auto"/>
            </w:tcBorders>
            <w:shd w:val="clear" w:color="000000" w:fill="FFFFFF"/>
            <w:vAlign w:val="bottom"/>
            <w:hideMark/>
          </w:tcPr>
          <w:p w14:paraId="4FA02A5E" w14:textId="77777777" w:rsidR="00A55202" w:rsidRPr="00A55202" w:rsidRDefault="00A55202" w:rsidP="00A55202">
            <w:pPr>
              <w:spacing w:after="0" w:line="240" w:lineRule="auto"/>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příspěvek na provoz</w:t>
            </w:r>
          </w:p>
        </w:tc>
        <w:tc>
          <w:tcPr>
            <w:tcW w:w="1264" w:type="dxa"/>
            <w:tcBorders>
              <w:top w:val="nil"/>
              <w:left w:val="nil"/>
              <w:bottom w:val="single" w:sz="4" w:space="0" w:color="auto"/>
              <w:right w:val="single" w:sz="4" w:space="0" w:color="auto"/>
            </w:tcBorders>
            <w:shd w:val="clear" w:color="000000" w:fill="FFFFFF"/>
            <w:noWrap/>
            <w:vAlign w:val="bottom"/>
            <w:hideMark/>
          </w:tcPr>
          <w:p w14:paraId="4E86464B"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0</w:t>
            </w:r>
          </w:p>
        </w:tc>
        <w:tc>
          <w:tcPr>
            <w:tcW w:w="1602" w:type="dxa"/>
            <w:tcBorders>
              <w:top w:val="nil"/>
              <w:left w:val="nil"/>
              <w:bottom w:val="single" w:sz="4" w:space="0" w:color="auto"/>
              <w:right w:val="single" w:sz="4" w:space="0" w:color="auto"/>
            </w:tcBorders>
            <w:shd w:val="clear" w:color="000000" w:fill="FFFFFF"/>
            <w:noWrap/>
            <w:vAlign w:val="bottom"/>
            <w:hideMark/>
          </w:tcPr>
          <w:p w14:paraId="1043858A"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12 853 617,84</w:t>
            </w:r>
          </w:p>
        </w:tc>
        <w:tc>
          <w:tcPr>
            <w:tcW w:w="1701" w:type="dxa"/>
            <w:tcBorders>
              <w:top w:val="nil"/>
              <w:left w:val="nil"/>
              <w:bottom w:val="single" w:sz="4" w:space="0" w:color="auto"/>
              <w:right w:val="single" w:sz="4" w:space="0" w:color="auto"/>
            </w:tcBorders>
            <w:shd w:val="clear" w:color="000000" w:fill="FFFFFF"/>
            <w:noWrap/>
            <w:vAlign w:val="bottom"/>
            <w:hideMark/>
          </w:tcPr>
          <w:p w14:paraId="0966ADE4"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11 999 082,00</w:t>
            </w:r>
          </w:p>
        </w:tc>
        <w:tc>
          <w:tcPr>
            <w:tcW w:w="647" w:type="dxa"/>
            <w:tcBorders>
              <w:top w:val="nil"/>
              <w:left w:val="nil"/>
              <w:bottom w:val="single" w:sz="4" w:space="0" w:color="auto"/>
              <w:right w:val="single" w:sz="8" w:space="0" w:color="auto"/>
            </w:tcBorders>
            <w:shd w:val="clear" w:color="000000" w:fill="FFFFFF"/>
            <w:noWrap/>
            <w:vAlign w:val="bottom"/>
            <w:hideMark/>
          </w:tcPr>
          <w:p w14:paraId="4329C47E"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93,4</w:t>
            </w:r>
          </w:p>
        </w:tc>
      </w:tr>
      <w:tr w:rsidR="008E0636" w:rsidRPr="00A55202" w14:paraId="49ECD8E6" w14:textId="77777777" w:rsidTr="008E0636">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7784DBDF"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c>
          <w:tcPr>
            <w:tcW w:w="4672" w:type="dxa"/>
            <w:tcBorders>
              <w:top w:val="nil"/>
              <w:left w:val="nil"/>
              <w:bottom w:val="single" w:sz="4" w:space="0" w:color="auto"/>
              <w:right w:val="single" w:sz="4" w:space="0" w:color="auto"/>
            </w:tcBorders>
            <w:shd w:val="clear" w:color="000000" w:fill="FFFFFF"/>
            <w:vAlign w:val="bottom"/>
            <w:hideMark/>
          </w:tcPr>
          <w:p w14:paraId="3EF3E3D0" w14:textId="77777777" w:rsidR="00A55202" w:rsidRPr="00A55202" w:rsidRDefault="00A55202" w:rsidP="00A55202">
            <w:pPr>
              <w:spacing w:after="0" w:line="240" w:lineRule="auto"/>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příspěvek na mzdové výdaje</w:t>
            </w:r>
          </w:p>
        </w:tc>
        <w:tc>
          <w:tcPr>
            <w:tcW w:w="1264" w:type="dxa"/>
            <w:tcBorders>
              <w:top w:val="nil"/>
              <w:left w:val="nil"/>
              <w:bottom w:val="single" w:sz="4" w:space="0" w:color="auto"/>
              <w:right w:val="single" w:sz="4" w:space="0" w:color="auto"/>
            </w:tcBorders>
            <w:shd w:val="clear" w:color="000000" w:fill="FFFFFF"/>
            <w:noWrap/>
            <w:vAlign w:val="bottom"/>
            <w:hideMark/>
          </w:tcPr>
          <w:p w14:paraId="2D776852"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0</w:t>
            </w:r>
          </w:p>
        </w:tc>
        <w:tc>
          <w:tcPr>
            <w:tcW w:w="1602" w:type="dxa"/>
            <w:tcBorders>
              <w:top w:val="nil"/>
              <w:left w:val="nil"/>
              <w:bottom w:val="single" w:sz="4" w:space="0" w:color="auto"/>
              <w:right w:val="single" w:sz="4" w:space="0" w:color="auto"/>
            </w:tcBorders>
            <w:shd w:val="clear" w:color="000000" w:fill="FFFFFF"/>
            <w:noWrap/>
            <w:vAlign w:val="bottom"/>
            <w:hideMark/>
          </w:tcPr>
          <w:p w14:paraId="58E9EFBF"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13 998 720,00</w:t>
            </w:r>
          </w:p>
        </w:tc>
        <w:tc>
          <w:tcPr>
            <w:tcW w:w="1701" w:type="dxa"/>
            <w:tcBorders>
              <w:top w:val="nil"/>
              <w:left w:val="nil"/>
              <w:bottom w:val="single" w:sz="4" w:space="0" w:color="auto"/>
              <w:right w:val="single" w:sz="4" w:space="0" w:color="auto"/>
            </w:tcBorders>
            <w:shd w:val="clear" w:color="000000" w:fill="FFFFFF"/>
            <w:noWrap/>
            <w:vAlign w:val="bottom"/>
            <w:hideMark/>
          </w:tcPr>
          <w:p w14:paraId="219F6A0D"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12 891 624,00</w:t>
            </w:r>
          </w:p>
        </w:tc>
        <w:tc>
          <w:tcPr>
            <w:tcW w:w="647" w:type="dxa"/>
            <w:tcBorders>
              <w:top w:val="nil"/>
              <w:left w:val="nil"/>
              <w:bottom w:val="single" w:sz="4" w:space="0" w:color="auto"/>
              <w:right w:val="single" w:sz="8" w:space="0" w:color="auto"/>
            </w:tcBorders>
            <w:shd w:val="clear" w:color="000000" w:fill="FFFFFF"/>
            <w:noWrap/>
            <w:vAlign w:val="bottom"/>
            <w:hideMark/>
          </w:tcPr>
          <w:p w14:paraId="7BB42B44"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92,1</w:t>
            </w:r>
          </w:p>
        </w:tc>
      </w:tr>
      <w:tr w:rsidR="008E0636" w:rsidRPr="00A55202" w14:paraId="46ACDE7A" w14:textId="77777777" w:rsidTr="008E0636">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1E49B983"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c>
          <w:tcPr>
            <w:tcW w:w="4672" w:type="dxa"/>
            <w:tcBorders>
              <w:top w:val="nil"/>
              <w:left w:val="nil"/>
              <w:bottom w:val="single" w:sz="4" w:space="0" w:color="auto"/>
              <w:right w:val="single" w:sz="4" w:space="0" w:color="auto"/>
            </w:tcBorders>
            <w:shd w:val="clear" w:color="000000" w:fill="FFFFFF"/>
            <w:vAlign w:val="bottom"/>
            <w:hideMark/>
          </w:tcPr>
          <w:p w14:paraId="0D5E94C9" w14:textId="77777777" w:rsidR="00A55202" w:rsidRPr="00A55202" w:rsidRDefault="00A55202" w:rsidP="00A55202">
            <w:pPr>
              <w:spacing w:after="0" w:line="240" w:lineRule="auto"/>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příspěvek na běžné opravy a udržování</w:t>
            </w:r>
          </w:p>
        </w:tc>
        <w:tc>
          <w:tcPr>
            <w:tcW w:w="1264" w:type="dxa"/>
            <w:tcBorders>
              <w:top w:val="nil"/>
              <w:left w:val="nil"/>
              <w:bottom w:val="single" w:sz="4" w:space="0" w:color="auto"/>
              <w:right w:val="single" w:sz="4" w:space="0" w:color="auto"/>
            </w:tcBorders>
            <w:shd w:val="clear" w:color="000000" w:fill="FFFFFF"/>
            <w:noWrap/>
            <w:vAlign w:val="bottom"/>
            <w:hideMark/>
          </w:tcPr>
          <w:p w14:paraId="007E8D5C"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0</w:t>
            </w:r>
          </w:p>
        </w:tc>
        <w:tc>
          <w:tcPr>
            <w:tcW w:w="1602" w:type="dxa"/>
            <w:tcBorders>
              <w:top w:val="nil"/>
              <w:left w:val="nil"/>
              <w:bottom w:val="single" w:sz="4" w:space="0" w:color="auto"/>
              <w:right w:val="single" w:sz="4" w:space="0" w:color="auto"/>
            </w:tcBorders>
            <w:shd w:val="clear" w:color="000000" w:fill="FFFFFF"/>
            <w:noWrap/>
            <w:vAlign w:val="bottom"/>
            <w:hideMark/>
          </w:tcPr>
          <w:p w14:paraId="1201A797"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1 780 000,00</w:t>
            </w:r>
          </w:p>
        </w:tc>
        <w:tc>
          <w:tcPr>
            <w:tcW w:w="1701" w:type="dxa"/>
            <w:tcBorders>
              <w:top w:val="nil"/>
              <w:left w:val="nil"/>
              <w:bottom w:val="single" w:sz="4" w:space="0" w:color="auto"/>
              <w:right w:val="single" w:sz="4" w:space="0" w:color="auto"/>
            </w:tcBorders>
            <w:shd w:val="clear" w:color="000000" w:fill="FFFFFF"/>
            <w:noWrap/>
            <w:vAlign w:val="bottom"/>
            <w:hideMark/>
          </w:tcPr>
          <w:p w14:paraId="648702ED"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928 850,00</w:t>
            </w:r>
          </w:p>
        </w:tc>
        <w:tc>
          <w:tcPr>
            <w:tcW w:w="647" w:type="dxa"/>
            <w:tcBorders>
              <w:top w:val="nil"/>
              <w:left w:val="nil"/>
              <w:bottom w:val="single" w:sz="4" w:space="0" w:color="auto"/>
              <w:right w:val="single" w:sz="8" w:space="0" w:color="auto"/>
            </w:tcBorders>
            <w:shd w:val="clear" w:color="000000" w:fill="FFFFFF"/>
            <w:noWrap/>
            <w:vAlign w:val="bottom"/>
            <w:hideMark/>
          </w:tcPr>
          <w:p w14:paraId="2A8836D9"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52,2</w:t>
            </w:r>
          </w:p>
        </w:tc>
      </w:tr>
      <w:tr w:rsidR="008E0636" w:rsidRPr="00A55202" w14:paraId="2A3B4607" w14:textId="77777777" w:rsidTr="008E0636">
        <w:trPr>
          <w:trHeight w:val="102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70DFB846"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3311</w:t>
            </w:r>
          </w:p>
        </w:tc>
        <w:tc>
          <w:tcPr>
            <w:tcW w:w="4672" w:type="dxa"/>
            <w:tcBorders>
              <w:top w:val="nil"/>
              <w:left w:val="nil"/>
              <w:bottom w:val="single" w:sz="4" w:space="0" w:color="auto"/>
              <w:right w:val="single" w:sz="4" w:space="0" w:color="auto"/>
            </w:tcBorders>
            <w:shd w:val="clear" w:color="000000" w:fill="FFFFFF"/>
            <w:vAlign w:val="bottom"/>
            <w:hideMark/>
          </w:tcPr>
          <w:p w14:paraId="51AD39FC"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Podpora regionálních funkcí statutárních divadel na území Středočeského kraje (Městské divadlo Mladá Boleslav, Divadlo A. Dvořáka v Příbrami, Městské divadlo Kladno, Loutkové divadlo Lampion)</w:t>
            </w:r>
          </w:p>
        </w:tc>
        <w:tc>
          <w:tcPr>
            <w:tcW w:w="1264" w:type="dxa"/>
            <w:tcBorders>
              <w:top w:val="nil"/>
              <w:left w:val="nil"/>
              <w:bottom w:val="single" w:sz="4" w:space="0" w:color="auto"/>
              <w:right w:val="single" w:sz="4" w:space="0" w:color="auto"/>
            </w:tcBorders>
            <w:shd w:val="clear" w:color="000000" w:fill="FFFFFF"/>
            <w:noWrap/>
            <w:vAlign w:val="bottom"/>
            <w:hideMark/>
          </w:tcPr>
          <w:p w14:paraId="7D964964"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2 000 000</w:t>
            </w:r>
          </w:p>
        </w:tc>
        <w:tc>
          <w:tcPr>
            <w:tcW w:w="1602" w:type="dxa"/>
            <w:tcBorders>
              <w:top w:val="nil"/>
              <w:left w:val="nil"/>
              <w:bottom w:val="single" w:sz="4" w:space="0" w:color="auto"/>
              <w:right w:val="single" w:sz="4" w:space="0" w:color="auto"/>
            </w:tcBorders>
            <w:shd w:val="clear" w:color="000000" w:fill="FFFFFF"/>
            <w:noWrap/>
            <w:vAlign w:val="bottom"/>
            <w:hideMark/>
          </w:tcPr>
          <w:p w14:paraId="098A8129"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3 050 336,00</w:t>
            </w:r>
          </w:p>
        </w:tc>
        <w:tc>
          <w:tcPr>
            <w:tcW w:w="1701" w:type="dxa"/>
            <w:tcBorders>
              <w:top w:val="nil"/>
              <w:left w:val="nil"/>
              <w:bottom w:val="single" w:sz="4" w:space="0" w:color="auto"/>
              <w:right w:val="single" w:sz="4" w:space="0" w:color="auto"/>
            </w:tcBorders>
            <w:shd w:val="clear" w:color="000000" w:fill="FFFFFF"/>
            <w:noWrap/>
            <w:vAlign w:val="bottom"/>
            <w:hideMark/>
          </w:tcPr>
          <w:p w14:paraId="2189B0E0"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2 911 120,00</w:t>
            </w:r>
          </w:p>
        </w:tc>
        <w:tc>
          <w:tcPr>
            <w:tcW w:w="647" w:type="dxa"/>
            <w:tcBorders>
              <w:top w:val="nil"/>
              <w:left w:val="nil"/>
              <w:bottom w:val="single" w:sz="4" w:space="0" w:color="auto"/>
              <w:right w:val="single" w:sz="8" w:space="0" w:color="auto"/>
            </w:tcBorders>
            <w:shd w:val="clear" w:color="000000" w:fill="FFFFFF"/>
            <w:noWrap/>
            <w:vAlign w:val="bottom"/>
            <w:hideMark/>
          </w:tcPr>
          <w:p w14:paraId="3A5356F2"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95,4</w:t>
            </w:r>
          </w:p>
        </w:tc>
      </w:tr>
      <w:tr w:rsidR="008E0636" w:rsidRPr="00A55202" w14:paraId="5226A94C" w14:textId="77777777" w:rsidTr="008E0636">
        <w:trPr>
          <w:trHeight w:val="51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3EFA324A"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3314</w:t>
            </w:r>
          </w:p>
        </w:tc>
        <w:tc>
          <w:tcPr>
            <w:tcW w:w="4672" w:type="dxa"/>
            <w:tcBorders>
              <w:top w:val="nil"/>
              <w:left w:val="nil"/>
              <w:bottom w:val="single" w:sz="4" w:space="0" w:color="auto"/>
              <w:right w:val="single" w:sz="4" w:space="0" w:color="auto"/>
            </w:tcBorders>
            <w:shd w:val="clear" w:color="000000" w:fill="FFFFFF"/>
            <w:vAlign w:val="bottom"/>
            <w:hideMark/>
          </w:tcPr>
          <w:p w14:paraId="1F68201E"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xml:space="preserve">Činnosti knihovnické - příspěvek příspěvkovým organizacím </w:t>
            </w:r>
          </w:p>
        </w:tc>
        <w:tc>
          <w:tcPr>
            <w:tcW w:w="1264" w:type="dxa"/>
            <w:tcBorders>
              <w:top w:val="nil"/>
              <w:left w:val="nil"/>
              <w:bottom w:val="single" w:sz="4" w:space="0" w:color="auto"/>
              <w:right w:val="single" w:sz="4" w:space="0" w:color="auto"/>
            </w:tcBorders>
            <w:shd w:val="clear" w:color="000000" w:fill="FFFFFF"/>
            <w:noWrap/>
            <w:vAlign w:val="bottom"/>
            <w:hideMark/>
          </w:tcPr>
          <w:p w14:paraId="78A4F390"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35 811 000</w:t>
            </w:r>
          </w:p>
        </w:tc>
        <w:tc>
          <w:tcPr>
            <w:tcW w:w="1602" w:type="dxa"/>
            <w:tcBorders>
              <w:top w:val="nil"/>
              <w:left w:val="nil"/>
              <w:bottom w:val="single" w:sz="4" w:space="0" w:color="auto"/>
              <w:right w:val="single" w:sz="4" w:space="0" w:color="auto"/>
            </w:tcBorders>
            <w:shd w:val="clear" w:color="000000" w:fill="FFFFFF"/>
            <w:noWrap/>
            <w:vAlign w:val="bottom"/>
            <w:hideMark/>
          </w:tcPr>
          <w:p w14:paraId="6B20E541"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37 799 800,00</w:t>
            </w:r>
          </w:p>
        </w:tc>
        <w:tc>
          <w:tcPr>
            <w:tcW w:w="1701" w:type="dxa"/>
            <w:tcBorders>
              <w:top w:val="nil"/>
              <w:left w:val="nil"/>
              <w:bottom w:val="single" w:sz="4" w:space="0" w:color="auto"/>
              <w:right w:val="single" w:sz="4" w:space="0" w:color="auto"/>
            </w:tcBorders>
            <w:shd w:val="clear" w:color="000000" w:fill="FFFFFF"/>
            <w:noWrap/>
            <w:vAlign w:val="bottom"/>
            <w:hideMark/>
          </w:tcPr>
          <w:p w14:paraId="6807D7E3"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37 799 800,00</w:t>
            </w:r>
          </w:p>
        </w:tc>
        <w:tc>
          <w:tcPr>
            <w:tcW w:w="647" w:type="dxa"/>
            <w:tcBorders>
              <w:top w:val="nil"/>
              <w:left w:val="nil"/>
              <w:bottom w:val="single" w:sz="4" w:space="0" w:color="auto"/>
              <w:right w:val="single" w:sz="8" w:space="0" w:color="auto"/>
            </w:tcBorders>
            <w:shd w:val="clear" w:color="000000" w:fill="FFFFFF"/>
            <w:noWrap/>
            <w:vAlign w:val="bottom"/>
            <w:hideMark/>
          </w:tcPr>
          <w:p w14:paraId="0FF20140"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100,0</w:t>
            </w:r>
          </w:p>
        </w:tc>
      </w:tr>
      <w:tr w:rsidR="008E0636" w:rsidRPr="00A55202" w14:paraId="54278533" w14:textId="77777777" w:rsidTr="008E0636">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3039B987" w14:textId="77777777" w:rsidR="00A55202" w:rsidRPr="00A55202" w:rsidRDefault="00A55202" w:rsidP="00A55202">
            <w:pPr>
              <w:spacing w:after="0" w:line="240" w:lineRule="auto"/>
              <w:jc w:val="center"/>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 </w:t>
            </w:r>
          </w:p>
        </w:tc>
        <w:tc>
          <w:tcPr>
            <w:tcW w:w="4672" w:type="dxa"/>
            <w:tcBorders>
              <w:top w:val="nil"/>
              <w:left w:val="nil"/>
              <w:bottom w:val="single" w:sz="4" w:space="0" w:color="auto"/>
              <w:right w:val="nil"/>
            </w:tcBorders>
            <w:shd w:val="clear" w:color="000000" w:fill="FFFFFF"/>
            <w:vAlign w:val="bottom"/>
            <w:hideMark/>
          </w:tcPr>
          <w:p w14:paraId="318F3F9E"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z toho:</w:t>
            </w:r>
          </w:p>
        </w:tc>
        <w:tc>
          <w:tcPr>
            <w:tcW w:w="1264" w:type="dxa"/>
            <w:tcBorders>
              <w:top w:val="nil"/>
              <w:left w:val="single" w:sz="4" w:space="0" w:color="auto"/>
              <w:bottom w:val="single" w:sz="4" w:space="0" w:color="auto"/>
              <w:right w:val="single" w:sz="4" w:space="0" w:color="auto"/>
            </w:tcBorders>
            <w:shd w:val="clear" w:color="000000" w:fill="FFFFFF"/>
            <w:noWrap/>
            <w:vAlign w:val="bottom"/>
            <w:hideMark/>
          </w:tcPr>
          <w:p w14:paraId="5F88667D" w14:textId="77777777" w:rsidR="00A55202" w:rsidRPr="00A55202" w:rsidRDefault="00A55202" w:rsidP="00A55202">
            <w:pPr>
              <w:spacing w:after="0" w:line="240" w:lineRule="auto"/>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 </w:t>
            </w:r>
          </w:p>
        </w:tc>
        <w:tc>
          <w:tcPr>
            <w:tcW w:w="1602" w:type="dxa"/>
            <w:tcBorders>
              <w:top w:val="nil"/>
              <w:left w:val="nil"/>
              <w:bottom w:val="single" w:sz="4" w:space="0" w:color="auto"/>
              <w:right w:val="single" w:sz="4" w:space="0" w:color="auto"/>
            </w:tcBorders>
            <w:shd w:val="clear" w:color="000000" w:fill="FFFFFF"/>
            <w:noWrap/>
            <w:vAlign w:val="bottom"/>
            <w:hideMark/>
          </w:tcPr>
          <w:p w14:paraId="0ED0BE4D" w14:textId="77777777" w:rsidR="00A55202" w:rsidRPr="00A55202" w:rsidRDefault="00A55202" w:rsidP="00A55202">
            <w:pPr>
              <w:spacing w:after="0" w:line="240" w:lineRule="auto"/>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 </w:t>
            </w:r>
          </w:p>
        </w:tc>
        <w:tc>
          <w:tcPr>
            <w:tcW w:w="1701" w:type="dxa"/>
            <w:tcBorders>
              <w:top w:val="nil"/>
              <w:left w:val="nil"/>
              <w:bottom w:val="single" w:sz="4" w:space="0" w:color="auto"/>
              <w:right w:val="single" w:sz="4" w:space="0" w:color="auto"/>
            </w:tcBorders>
            <w:shd w:val="clear" w:color="000000" w:fill="FFFFFF"/>
            <w:noWrap/>
            <w:vAlign w:val="bottom"/>
            <w:hideMark/>
          </w:tcPr>
          <w:p w14:paraId="7921513B" w14:textId="77777777" w:rsidR="00A55202" w:rsidRPr="00A55202" w:rsidRDefault="00A55202" w:rsidP="00A55202">
            <w:pPr>
              <w:spacing w:after="0" w:line="240" w:lineRule="auto"/>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 </w:t>
            </w:r>
          </w:p>
        </w:tc>
        <w:tc>
          <w:tcPr>
            <w:tcW w:w="647" w:type="dxa"/>
            <w:tcBorders>
              <w:top w:val="nil"/>
              <w:left w:val="nil"/>
              <w:bottom w:val="single" w:sz="4" w:space="0" w:color="auto"/>
              <w:right w:val="single" w:sz="8" w:space="0" w:color="auto"/>
            </w:tcBorders>
            <w:shd w:val="clear" w:color="000000" w:fill="FFFFFF"/>
            <w:noWrap/>
            <w:vAlign w:val="bottom"/>
            <w:hideMark/>
          </w:tcPr>
          <w:p w14:paraId="0E364CA8"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r>
      <w:tr w:rsidR="008E0636" w:rsidRPr="00A55202" w14:paraId="06B3DD27" w14:textId="77777777" w:rsidTr="008E0636">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0B2DC9E6" w14:textId="77777777" w:rsidR="00A55202" w:rsidRPr="00A55202" w:rsidRDefault="00A55202" w:rsidP="00A55202">
            <w:pPr>
              <w:spacing w:after="0" w:line="240" w:lineRule="auto"/>
              <w:jc w:val="center"/>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 </w:t>
            </w:r>
          </w:p>
        </w:tc>
        <w:tc>
          <w:tcPr>
            <w:tcW w:w="4672" w:type="dxa"/>
            <w:tcBorders>
              <w:top w:val="nil"/>
              <w:left w:val="nil"/>
              <w:bottom w:val="single" w:sz="4" w:space="0" w:color="auto"/>
              <w:right w:val="nil"/>
            </w:tcBorders>
            <w:shd w:val="clear" w:color="000000" w:fill="FFFFFF"/>
            <w:vAlign w:val="bottom"/>
            <w:hideMark/>
          </w:tcPr>
          <w:p w14:paraId="76A74442" w14:textId="77777777" w:rsidR="00A55202" w:rsidRPr="00A55202" w:rsidRDefault="00A55202" w:rsidP="00A55202">
            <w:pPr>
              <w:spacing w:after="0" w:line="240" w:lineRule="auto"/>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příspěvek na provoz</w:t>
            </w:r>
          </w:p>
        </w:tc>
        <w:tc>
          <w:tcPr>
            <w:tcW w:w="1264" w:type="dxa"/>
            <w:tcBorders>
              <w:top w:val="nil"/>
              <w:left w:val="single" w:sz="4" w:space="0" w:color="auto"/>
              <w:bottom w:val="single" w:sz="4" w:space="0" w:color="auto"/>
              <w:right w:val="single" w:sz="4" w:space="0" w:color="auto"/>
            </w:tcBorders>
            <w:shd w:val="clear" w:color="000000" w:fill="FFFFFF"/>
            <w:noWrap/>
            <w:vAlign w:val="bottom"/>
            <w:hideMark/>
          </w:tcPr>
          <w:p w14:paraId="09F291AA"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5 796 000</w:t>
            </w:r>
          </w:p>
        </w:tc>
        <w:tc>
          <w:tcPr>
            <w:tcW w:w="1602" w:type="dxa"/>
            <w:tcBorders>
              <w:top w:val="nil"/>
              <w:left w:val="nil"/>
              <w:bottom w:val="single" w:sz="4" w:space="0" w:color="auto"/>
              <w:right w:val="single" w:sz="4" w:space="0" w:color="auto"/>
            </w:tcBorders>
            <w:shd w:val="clear" w:color="000000" w:fill="FFFFFF"/>
            <w:noWrap/>
            <w:vAlign w:val="bottom"/>
            <w:hideMark/>
          </w:tcPr>
          <w:p w14:paraId="39CAD9A3"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6 876 000,00</w:t>
            </w:r>
          </w:p>
        </w:tc>
        <w:tc>
          <w:tcPr>
            <w:tcW w:w="1701" w:type="dxa"/>
            <w:tcBorders>
              <w:top w:val="nil"/>
              <w:left w:val="nil"/>
              <w:bottom w:val="single" w:sz="4" w:space="0" w:color="auto"/>
              <w:right w:val="single" w:sz="4" w:space="0" w:color="auto"/>
            </w:tcBorders>
            <w:shd w:val="clear" w:color="000000" w:fill="FFFFFF"/>
            <w:noWrap/>
            <w:vAlign w:val="bottom"/>
            <w:hideMark/>
          </w:tcPr>
          <w:p w14:paraId="360C0281"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6 876 000,00</w:t>
            </w:r>
          </w:p>
        </w:tc>
        <w:tc>
          <w:tcPr>
            <w:tcW w:w="647" w:type="dxa"/>
            <w:tcBorders>
              <w:top w:val="nil"/>
              <w:left w:val="nil"/>
              <w:bottom w:val="single" w:sz="4" w:space="0" w:color="auto"/>
              <w:right w:val="single" w:sz="8" w:space="0" w:color="auto"/>
            </w:tcBorders>
            <w:shd w:val="clear" w:color="000000" w:fill="FFFFFF"/>
            <w:noWrap/>
            <w:vAlign w:val="bottom"/>
            <w:hideMark/>
          </w:tcPr>
          <w:p w14:paraId="05C8E2DD"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100,0</w:t>
            </w:r>
          </w:p>
        </w:tc>
      </w:tr>
      <w:tr w:rsidR="008E0636" w:rsidRPr="00A55202" w14:paraId="5C02F965" w14:textId="77777777" w:rsidTr="008E0636">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3D37E2BB" w14:textId="77777777" w:rsidR="00A55202" w:rsidRPr="00A55202" w:rsidRDefault="00A55202" w:rsidP="00A55202">
            <w:pPr>
              <w:spacing w:after="0" w:line="240" w:lineRule="auto"/>
              <w:jc w:val="center"/>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 </w:t>
            </w:r>
          </w:p>
        </w:tc>
        <w:tc>
          <w:tcPr>
            <w:tcW w:w="4672" w:type="dxa"/>
            <w:tcBorders>
              <w:top w:val="nil"/>
              <w:left w:val="nil"/>
              <w:bottom w:val="single" w:sz="4" w:space="0" w:color="auto"/>
              <w:right w:val="nil"/>
            </w:tcBorders>
            <w:shd w:val="clear" w:color="000000" w:fill="FFFFFF"/>
            <w:vAlign w:val="bottom"/>
            <w:hideMark/>
          </w:tcPr>
          <w:p w14:paraId="2401F74D" w14:textId="77777777" w:rsidR="00A55202" w:rsidRPr="00A55202" w:rsidRDefault="00A55202" w:rsidP="00A55202">
            <w:pPr>
              <w:spacing w:after="0" w:line="240" w:lineRule="auto"/>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příspěvek na mzdové výdaje</w:t>
            </w:r>
          </w:p>
        </w:tc>
        <w:tc>
          <w:tcPr>
            <w:tcW w:w="1264" w:type="dxa"/>
            <w:tcBorders>
              <w:top w:val="nil"/>
              <w:left w:val="single" w:sz="4" w:space="0" w:color="auto"/>
              <w:bottom w:val="single" w:sz="4" w:space="0" w:color="auto"/>
              <w:right w:val="single" w:sz="4" w:space="0" w:color="auto"/>
            </w:tcBorders>
            <w:shd w:val="clear" w:color="000000" w:fill="FFFFFF"/>
            <w:noWrap/>
            <w:vAlign w:val="bottom"/>
            <w:hideMark/>
          </w:tcPr>
          <w:p w14:paraId="7A7916DE"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30 000 000</w:t>
            </w:r>
          </w:p>
        </w:tc>
        <w:tc>
          <w:tcPr>
            <w:tcW w:w="1602" w:type="dxa"/>
            <w:tcBorders>
              <w:top w:val="nil"/>
              <w:left w:val="nil"/>
              <w:bottom w:val="single" w:sz="4" w:space="0" w:color="auto"/>
              <w:right w:val="single" w:sz="4" w:space="0" w:color="auto"/>
            </w:tcBorders>
            <w:shd w:val="clear" w:color="000000" w:fill="FFFFFF"/>
            <w:noWrap/>
            <w:vAlign w:val="bottom"/>
            <w:hideMark/>
          </w:tcPr>
          <w:p w14:paraId="126F30F2"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30 108 800,00</w:t>
            </w:r>
          </w:p>
        </w:tc>
        <w:tc>
          <w:tcPr>
            <w:tcW w:w="1701" w:type="dxa"/>
            <w:tcBorders>
              <w:top w:val="nil"/>
              <w:left w:val="nil"/>
              <w:bottom w:val="single" w:sz="4" w:space="0" w:color="auto"/>
              <w:right w:val="single" w:sz="4" w:space="0" w:color="auto"/>
            </w:tcBorders>
            <w:shd w:val="clear" w:color="000000" w:fill="FFFFFF"/>
            <w:noWrap/>
            <w:vAlign w:val="bottom"/>
            <w:hideMark/>
          </w:tcPr>
          <w:p w14:paraId="4EB575C7"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30 108 800,00</w:t>
            </w:r>
          </w:p>
        </w:tc>
        <w:tc>
          <w:tcPr>
            <w:tcW w:w="647" w:type="dxa"/>
            <w:tcBorders>
              <w:top w:val="nil"/>
              <w:left w:val="nil"/>
              <w:bottom w:val="single" w:sz="4" w:space="0" w:color="auto"/>
              <w:right w:val="single" w:sz="8" w:space="0" w:color="auto"/>
            </w:tcBorders>
            <w:shd w:val="clear" w:color="000000" w:fill="FFFFFF"/>
            <w:noWrap/>
            <w:vAlign w:val="bottom"/>
            <w:hideMark/>
          </w:tcPr>
          <w:p w14:paraId="2274202C"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100,0</w:t>
            </w:r>
          </w:p>
        </w:tc>
      </w:tr>
      <w:tr w:rsidR="008E0636" w:rsidRPr="00A55202" w14:paraId="7DDE4305" w14:textId="77777777" w:rsidTr="008E0636">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7926877B" w14:textId="77777777" w:rsidR="00A55202" w:rsidRPr="00A55202" w:rsidRDefault="00A55202" w:rsidP="00A55202">
            <w:pPr>
              <w:spacing w:after="0" w:line="240" w:lineRule="auto"/>
              <w:jc w:val="center"/>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 </w:t>
            </w:r>
          </w:p>
        </w:tc>
        <w:tc>
          <w:tcPr>
            <w:tcW w:w="4672" w:type="dxa"/>
            <w:tcBorders>
              <w:top w:val="nil"/>
              <w:left w:val="nil"/>
              <w:bottom w:val="single" w:sz="4" w:space="0" w:color="auto"/>
              <w:right w:val="nil"/>
            </w:tcBorders>
            <w:shd w:val="clear" w:color="000000" w:fill="FFFFFF"/>
            <w:vAlign w:val="bottom"/>
            <w:hideMark/>
          </w:tcPr>
          <w:p w14:paraId="56287A2F" w14:textId="77777777" w:rsidR="00A55202" w:rsidRPr="00A55202" w:rsidRDefault="00A55202" w:rsidP="00A55202">
            <w:pPr>
              <w:spacing w:after="0" w:line="240" w:lineRule="auto"/>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příspěvek na běžné opravy a udržování</w:t>
            </w:r>
          </w:p>
        </w:tc>
        <w:tc>
          <w:tcPr>
            <w:tcW w:w="1264" w:type="dxa"/>
            <w:tcBorders>
              <w:top w:val="nil"/>
              <w:left w:val="single" w:sz="4" w:space="0" w:color="auto"/>
              <w:bottom w:val="single" w:sz="4" w:space="0" w:color="auto"/>
              <w:right w:val="single" w:sz="4" w:space="0" w:color="auto"/>
            </w:tcBorders>
            <w:shd w:val="clear" w:color="000000" w:fill="FFFFFF"/>
            <w:noWrap/>
            <w:vAlign w:val="bottom"/>
            <w:hideMark/>
          </w:tcPr>
          <w:p w14:paraId="69E44AB1"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15 000</w:t>
            </w:r>
          </w:p>
        </w:tc>
        <w:tc>
          <w:tcPr>
            <w:tcW w:w="1602" w:type="dxa"/>
            <w:tcBorders>
              <w:top w:val="nil"/>
              <w:left w:val="nil"/>
              <w:bottom w:val="single" w:sz="4" w:space="0" w:color="auto"/>
              <w:right w:val="single" w:sz="4" w:space="0" w:color="auto"/>
            </w:tcBorders>
            <w:shd w:val="clear" w:color="000000" w:fill="FFFFFF"/>
            <w:noWrap/>
            <w:vAlign w:val="bottom"/>
            <w:hideMark/>
          </w:tcPr>
          <w:p w14:paraId="76125E89"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815 000,00</w:t>
            </w:r>
          </w:p>
        </w:tc>
        <w:tc>
          <w:tcPr>
            <w:tcW w:w="1701" w:type="dxa"/>
            <w:tcBorders>
              <w:top w:val="nil"/>
              <w:left w:val="nil"/>
              <w:bottom w:val="single" w:sz="4" w:space="0" w:color="auto"/>
              <w:right w:val="single" w:sz="4" w:space="0" w:color="auto"/>
            </w:tcBorders>
            <w:shd w:val="clear" w:color="000000" w:fill="FFFFFF"/>
            <w:noWrap/>
            <w:vAlign w:val="bottom"/>
            <w:hideMark/>
          </w:tcPr>
          <w:p w14:paraId="39C19FBC"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815 000,00</w:t>
            </w:r>
          </w:p>
        </w:tc>
        <w:tc>
          <w:tcPr>
            <w:tcW w:w="647" w:type="dxa"/>
            <w:tcBorders>
              <w:top w:val="nil"/>
              <w:left w:val="nil"/>
              <w:bottom w:val="single" w:sz="4" w:space="0" w:color="auto"/>
              <w:right w:val="single" w:sz="8" w:space="0" w:color="auto"/>
            </w:tcBorders>
            <w:shd w:val="clear" w:color="000000" w:fill="FFFFFF"/>
            <w:noWrap/>
            <w:vAlign w:val="bottom"/>
            <w:hideMark/>
          </w:tcPr>
          <w:p w14:paraId="5419D3C6"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100,0</w:t>
            </w:r>
          </w:p>
        </w:tc>
      </w:tr>
      <w:tr w:rsidR="008E0636" w:rsidRPr="00A55202" w14:paraId="0A1085A4" w14:textId="77777777" w:rsidTr="008E0636">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52BE0CD4"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3314</w:t>
            </w:r>
          </w:p>
        </w:tc>
        <w:tc>
          <w:tcPr>
            <w:tcW w:w="4672" w:type="dxa"/>
            <w:tcBorders>
              <w:top w:val="nil"/>
              <w:left w:val="nil"/>
              <w:bottom w:val="single" w:sz="4" w:space="0" w:color="auto"/>
              <w:right w:val="nil"/>
            </w:tcBorders>
            <w:shd w:val="clear" w:color="000000" w:fill="FFFFFF"/>
            <w:vAlign w:val="bottom"/>
            <w:hideMark/>
          </w:tcPr>
          <w:p w14:paraId="5FFEFE26"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Regionální funkce knihoven SK</w:t>
            </w:r>
          </w:p>
        </w:tc>
        <w:tc>
          <w:tcPr>
            <w:tcW w:w="1264" w:type="dxa"/>
            <w:tcBorders>
              <w:top w:val="nil"/>
              <w:left w:val="single" w:sz="4" w:space="0" w:color="auto"/>
              <w:bottom w:val="single" w:sz="4" w:space="0" w:color="auto"/>
              <w:right w:val="single" w:sz="4" w:space="0" w:color="auto"/>
            </w:tcBorders>
            <w:shd w:val="clear" w:color="000000" w:fill="FFFFFF"/>
            <w:noWrap/>
            <w:vAlign w:val="bottom"/>
            <w:hideMark/>
          </w:tcPr>
          <w:p w14:paraId="5468EF8A"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15 694 000</w:t>
            </w:r>
          </w:p>
        </w:tc>
        <w:tc>
          <w:tcPr>
            <w:tcW w:w="1602" w:type="dxa"/>
            <w:tcBorders>
              <w:top w:val="nil"/>
              <w:left w:val="nil"/>
              <w:bottom w:val="single" w:sz="4" w:space="0" w:color="auto"/>
              <w:right w:val="single" w:sz="4" w:space="0" w:color="auto"/>
            </w:tcBorders>
            <w:shd w:val="clear" w:color="000000" w:fill="FFFFFF"/>
            <w:noWrap/>
            <w:vAlign w:val="bottom"/>
            <w:hideMark/>
          </w:tcPr>
          <w:p w14:paraId="58BA6503"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15 694 000,00</w:t>
            </w:r>
          </w:p>
        </w:tc>
        <w:tc>
          <w:tcPr>
            <w:tcW w:w="1701" w:type="dxa"/>
            <w:tcBorders>
              <w:top w:val="nil"/>
              <w:left w:val="nil"/>
              <w:bottom w:val="single" w:sz="4" w:space="0" w:color="auto"/>
              <w:right w:val="single" w:sz="4" w:space="0" w:color="auto"/>
            </w:tcBorders>
            <w:shd w:val="clear" w:color="000000" w:fill="FFFFFF"/>
            <w:noWrap/>
            <w:vAlign w:val="bottom"/>
            <w:hideMark/>
          </w:tcPr>
          <w:p w14:paraId="01C202CE"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15 694 000,00</w:t>
            </w:r>
          </w:p>
        </w:tc>
        <w:tc>
          <w:tcPr>
            <w:tcW w:w="647" w:type="dxa"/>
            <w:tcBorders>
              <w:top w:val="nil"/>
              <w:left w:val="nil"/>
              <w:bottom w:val="single" w:sz="4" w:space="0" w:color="auto"/>
              <w:right w:val="single" w:sz="8" w:space="0" w:color="auto"/>
            </w:tcBorders>
            <w:shd w:val="clear" w:color="000000" w:fill="FFFFFF"/>
            <w:noWrap/>
            <w:vAlign w:val="bottom"/>
            <w:hideMark/>
          </w:tcPr>
          <w:p w14:paraId="0AF23CBB"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100,0</w:t>
            </w:r>
          </w:p>
        </w:tc>
      </w:tr>
      <w:tr w:rsidR="008E0636" w:rsidRPr="00A55202" w14:paraId="587C5EFA" w14:textId="77777777" w:rsidTr="008E0636">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36E3956C"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c>
          <w:tcPr>
            <w:tcW w:w="4672" w:type="dxa"/>
            <w:tcBorders>
              <w:top w:val="nil"/>
              <w:left w:val="nil"/>
              <w:bottom w:val="single" w:sz="4" w:space="0" w:color="auto"/>
              <w:right w:val="nil"/>
            </w:tcBorders>
            <w:shd w:val="clear" w:color="000000" w:fill="FFFFFF"/>
            <w:vAlign w:val="bottom"/>
            <w:hideMark/>
          </w:tcPr>
          <w:p w14:paraId="53E82B4D"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z toho:</w:t>
            </w:r>
          </w:p>
        </w:tc>
        <w:tc>
          <w:tcPr>
            <w:tcW w:w="1264" w:type="dxa"/>
            <w:tcBorders>
              <w:top w:val="nil"/>
              <w:left w:val="single" w:sz="4" w:space="0" w:color="auto"/>
              <w:bottom w:val="single" w:sz="4" w:space="0" w:color="auto"/>
              <w:right w:val="single" w:sz="4" w:space="0" w:color="auto"/>
            </w:tcBorders>
            <w:shd w:val="clear" w:color="000000" w:fill="FFFFFF"/>
            <w:noWrap/>
            <w:vAlign w:val="bottom"/>
            <w:hideMark/>
          </w:tcPr>
          <w:p w14:paraId="0CD1FE78"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c>
          <w:tcPr>
            <w:tcW w:w="1602" w:type="dxa"/>
            <w:tcBorders>
              <w:top w:val="nil"/>
              <w:left w:val="nil"/>
              <w:bottom w:val="single" w:sz="4" w:space="0" w:color="auto"/>
              <w:right w:val="single" w:sz="4" w:space="0" w:color="auto"/>
            </w:tcBorders>
            <w:shd w:val="clear" w:color="000000" w:fill="FFFFFF"/>
            <w:noWrap/>
            <w:vAlign w:val="bottom"/>
            <w:hideMark/>
          </w:tcPr>
          <w:p w14:paraId="6F1BFEBC"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c>
          <w:tcPr>
            <w:tcW w:w="1701" w:type="dxa"/>
            <w:tcBorders>
              <w:top w:val="nil"/>
              <w:left w:val="nil"/>
              <w:bottom w:val="single" w:sz="4" w:space="0" w:color="auto"/>
              <w:right w:val="single" w:sz="4" w:space="0" w:color="auto"/>
            </w:tcBorders>
            <w:shd w:val="clear" w:color="000000" w:fill="FFFFFF"/>
            <w:noWrap/>
            <w:vAlign w:val="bottom"/>
            <w:hideMark/>
          </w:tcPr>
          <w:p w14:paraId="20085488"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c>
          <w:tcPr>
            <w:tcW w:w="647" w:type="dxa"/>
            <w:tcBorders>
              <w:top w:val="nil"/>
              <w:left w:val="nil"/>
              <w:bottom w:val="single" w:sz="4" w:space="0" w:color="auto"/>
              <w:right w:val="single" w:sz="8" w:space="0" w:color="auto"/>
            </w:tcBorders>
            <w:shd w:val="clear" w:color="000000" w:fill="FFFFFF"/>
            <w:noWrap/>
            <w:vAlign w:val="bottom"/>
            <w:hideMark/>
          </w:tcPr>
          <w:p w14:paraId="7A9F9DF9"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r>
      <w:tr w:rsidR="008E0636" w:rsidRPr="00A55202" w14:paraId="28D1251F" w14:textId="77777777" w:rsidTr="008E0636">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36549109" w14:textId="77777777" w:rsidR="00A55202" w:rsidRPr="00A55202" w:rsidRDefault="00A55202" w:rsidP="00A55202">
            <w:pPr>
              <w:spacing w:after="0" w:line="240" w:lineRule="auto"/>
              <w:jc w:val="center"/>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 </w:t>
            </w:r>
          </w:p>
        </w:tc>
        <w:tc>
          <w:tcPr>
            <w:tcW w:w="4672" w:type="dxa"/>
            <w:tcBorders>
              <w:top w:val="nil"/>
              <w:left w:val="nil"/>
              <w:bottom w:val="single" w:sz="4" w:space="0" w:color="auto"/>
              <w:right w:val="nil"/>
            </w:tcBorders>
            <w:shd w:val="clear" w:color="000000" w:fill="FFFFFF"/>
            <w:vAlign w:val="bottom"/>
            <w:hideMark/>
          </w:tcPr>
          <w:p w14:paraId="654CD58B" w14:textId="77777777" w:rsidR="00A55202" w:rsidRPr="00A55202" w:rsidRDefault="00A55202" w:rsidP="00A55202">
            <w:pPr>
              <w:spacing w:after="0" w:line="240" w:lineRule="auto"/>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Středočeská vědecká knihovna v Kladně</w:t>
            </w:r>
          </w:p>
        </w:tc>
        <w:tc>
          <w:tcPr>
            <w:tcW w:w="1264" w:type="dxa"/>
            <w:tcBorders>
              <w:top w:val="nil"/>
              <w:left w:val="single" w:sz="4" w:space="0" w:color="auto"/>
              <w:bottom w:val="single" w:sz="4" w:space="0" w:color="auto"/>
              <w:right w:val="single" w:sz="4" w:space="0" w:color="auto"/>
            </w:tcBorders>
            <w:shd w:val="clear" w:color="000000" w:fill="FFFFFF"/>
            <w:noWrap/>
            <w:vAlign w:val="bottom"/>
            <w:hideMark/>
          </w:tcPr>
          <w:p w14:paraId="4FA91614"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7 402 000</w:t>
            </w:r>
          </w:p>
        </w:tc>
        <w:tc>
          <w:tcPr>
            <w:tcW w:w="1602" w:type="dxa"/>
            <w:tcBorders>
              <w:top w:val="nil"/>
              <w:left w:val="nil"/>
              <w:bottom w:val="single" w:sz="4" w:space="0" w:color="auto"/>
              <w:right w:val="single" w:sz="4" w:space="0" w:color="auto"/>
            </w:tcBorders>
            <w:shd w:val="clear" w:color="000000" w:fill="FFFFFF"/>
            <w:noWrap/>
            <w:vAlign w:val="bottom"/>
            <w:hideMark/>
          </w:tcPr>
          <w:p w14:paraId="24C0DC47"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7 402 000,00</w:t>
            </w:r>
          </w:p>
        </w:tc>
        <w:tc>
          <w:tcPr>
            <w:tcW w:w="1701" w:type="dxa"/>
            <w:tcBorders>
              <w:top w:val="nil"/>
              <w:left w:val="nil"/>
              <w:bottom w:val="single" w:sz="4" w:space="0" w:color="auto"/>
              <w:right w:val="single" w:sz="4" w:space="0" w:color="auto"/>
            </w:tcBorders>
            <w:shd w:val="clear" w:color="000000" w:fill="FFFFFF"/>
            <w:noWrap/>
            <w:vAlign w:val="bottom"/>
            <w:hideMark/>
          </w:tcPr>
          <w:p w14:paraId="15CF4F8F"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7 402 000,00</w:t>
            </w:r>
          </w:p>
        </w:tc>
        <w:tc>
          <w:tcPr>
            <w:tcW w:w="647" w:type="dxa"/>
            <w:tcBorders>
              <w:top w:val="nil"/>
              <w:left w:val="nil"/>
              <w:bottom w:val="single" w:sz="4" w:space="0" w:color="auto"/>
              <w:right w:val="single" w:sz="8" w:space="0" w:color="auto"/>
            </w:tcBorders>
            <w:shd w:val="clear" w:color="000000" w:fill="FFFFFF"/>
            <w:noWrap/>
            <w:vAlign w:val="bottom"/>
            <w:hideMark/>
          </w:tcPr>
          <w:p w14:paraId="4D2BEA87"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100,0</w:t>
            </w:r>
          </w:p>
        </w:tc>
      </w:tr>
      <w:tr w:rsidR="008E0636" w:rsidRPr="00A55202" w14:paraId="186CDA94" w14:textId="77777777" w:rsidTr="008E0636">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7A89D533" w14:textId="77777777" w:rsidR="00A55202" w:rsidRPr="00A55202" w:rsidRDefault="00A55202" w:rsidP="00A55202">
            <w:pPr>
              <w:spacing w:after="0" w:line="240" w:lineRule="auto"/>
              <w:jc w:val="center"/>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 </w:t>
            </w:r>
          </w:p>
        </w:tc>
        <w:tc>
          <w:tcPr>
            <w:tcW w:w="4672" w:type="dxa"/>
            <w:tcBorders>
              <w:top w:val="nil"/>
              <w:left w:val="nil"/>
              <w:bottom w:val="single" w:sz="4" w:space="0" w:color="auto"/>
              <w:right w:val="nil"/>
            </w:tcBorders>
            <w:shd w:val="clear" w:color="000000" w:fill="FFFFFF"/>
            <w:vAlign w:val="bottom"/>
            <w:hideMark/>
          </w:tcPr>
          <w:p w14:paraId="14C4F58C" w14:textId="77777777" w:rsidR="00A55202" w:rsidRPr="00A55202" w:rsidRDefault="00A55202" w:rsidP="00A55202">
            <w:pPr>
              <w:spacing w:after="0" w:line="240" w:lineRule="auto"/>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Městská knihovna Benešov</w:t>
            </w:r>
          </w:p>
        </w:tc>
        <w:tc>
          <w:tcPr>
            <w:tcW w:w="1264" w:type="dxa"/>
            <w:tcBorders>
              <w:top w:val="nil"/>
              <w:left w:val="single" w:sz="4" w:space="0" w:color="auto"/>
              <w:bottom w:val="single" w:sz="4" w:space="0" w:color="auto"/>
              <w:right w:val="single" w:sz="4" w:space="0" w:color="auto"/>
            </w:tcBorders>
            <w:shd w:val="clear" w:color="000000" w:fill="FFFFFF"/>
            <w:noWrap/>
            <w:vAlign w:val="bottom"/>
            <w:hideMark/>
          </w:tcPr>
          <w:p w14:paraId="630CC49D"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1 618 000</w:t>
            </w:r>
          </w:p>
        </w:tc>
        <w:tc>
          <w:tcPr>
            <w:tcW w:w="1602" w:type="dxa"/>
            <w:tcBorders>
              <w:top w:val="nil"/>
              <w:left w:val="nil"/>
              <w:bottom w:val="single" w:sz="4" w:space="0" w:color="auto"/>
              <w:right w:val="single" w:sz="4" w:space="0" w:color="auto"/>
            </w:tcBorders>
            <w:shd w:val="clear" w:color="000000" w:fill="FFFFFF"/>
            <w:noWrap/>
            <w:vAlign w:val="bottom"/>
            <w:hideMark/>
          </w:tcPr>
          <w:p w14:paraId="7BDFA32F"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1 618 000,00</w:t>
            </w:r>
          </w:p>
        </w:tc>
        <w:tc>
          <w:tcPr>
            <w:tcW w:w="1701" w:type="dxa"/>
            <w:tcBorders>
              <w:top w:val="nil"/>
              <w:left w:val="nil"/>
              <w:bottom w:val="single" w:sz="4" w:space="0" w:color="auto"/>
              <w:right w:val="single" w:sz="4" w:space="0" w:color="auto"/>
            </w:tcBorders>
            <w:shd w:val="clear" w:color="000000" w:fill="FFFFFF"/>
            <w:noWrap/>
            <w:vAlign w:val="bottom"/>
            <w:hideMark/>
          </w:tcPr>
          <w:p w14:paraId="4D842E58"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1 618 000,00</w:t>
            </w:r>
          </w:p>
        </w:tc>
        <w:tc>
          <w:tcPr>
            <w:tcW w:w="647" w:type="dxa"/>
            <w:tcBorders>
              <w:top w:val="nil"/>
              <w:left w:val="nil"/>
              <w:bottom w:val="single" w:sz="4" w:space="0" w:color="auto"/>
              <w:right w:val="single" w:sz="8" w:space="0" w:color="auto"/>
            </w:tcBorders>
            <w:shd w:val="clear" w:color="000000" w:fill="FFFFFF"/>
            <w:noWrap/>
            <w:vAlign w:val="bottom"/>
            <w:hideMark/>
          </w:tcPr>
          <w:p w14:paraId="62F2D1F0"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100,0</w:t>
            </w:r>
          </w:p>
        </w:tc>
      </w:tr>
      <w:tr w:rsidR="008E0636" w:rsidRPr="00A55202" w14:paraId="425448AF" w14:textId="77777777" w:rsidTr="008E0636">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230A12F2" w14:textId="77777777" w:rsidR="00A55202" w:rsidRPr="00A55202" w:rsidRDefault="00A55202" w:rsidP="00A55202">
            <w:pPr>
              <w:spacing w:after="0" w:line="240" w:lineRule="auto"/>
              <w:jc w:val="center"/>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 </w:t>
            </w:r>
          </w:p>
        </w:tc>
        <w:tc>
          <w:tcPr>
            <w:tcW w:w="4672" w:type="dxa"/>
            <w:tcBorders>
              <w:top w:val="nil"/>
              <w:left w:val="nil"/>
              <w:bottom w:val="single" w:sz="4" w:space="0" w:color="auto"/>
              <w:right w:val="nil"/>
            </w:tcBorders>
            <w:shd w:val="clear" w:color="000000" w:fill="FFFFFF"/>
            <w:vAlign w:val="bottom"/>
            <w:hideMark/>
          </w:tcPr>
          <w:p w14:paraId="548583B6" w14:textId="77777777" w:rsidR="00A55202" w:rsidRPr="00A55202" w:rsidRDefault="00A55202" w:rsidP="00A55202">
            <w:pPr>
              <w:spacing w:after="0" w:line="240" w:lineRule="auto"/>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Městská knihovna Kutná Hora</w:t>
            </w:r>
          </w:p>
        </w:tc>
        <w:tc>
          <w:tcPr>
            <w:tcW w:w="1264" w:type="dxa"/>
            <w:tcBorders>
              <w:top w:val="nil"/>
              <w:left w:val="single" w:sz="4" w:space="0" w:color="auto"/>
              <w:bottom w:val="single" w:sz="4" w:space="0" w:color="auto"/>
              <w:right w:val="single" w:sz="4" w:space="0" w:color="auto"/>
            </w:tcBorders>
            <w:shd w:val="clear" w:color="000000" w:fill="FFFFFF"/>
            <w:noWrap/>
            <w:vAlign w:val="bottom"/>
            <w:hideMark/>
          </w:tcPr>
          <w:p w14:paraId="211AC6FE"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2 611 000</w:t>
            </w:r>
          </w:p>
        </w:tc>
        <w:tc>
          <w:tcPr>
            <w:tcW w:w="1602" w:type="dxa"/>
            <w:tcBorders>
              <w:top w:val="nil"/>
              <w:left w:val="nil"/>
              <w:bottom w:val="single" w:sz="4" w:space="0" w:color="auto"/>
              <w:right w:val="single" w:sz="4" w:space="0" w:color="auto"/>
            </w:tcBorders>
            <w:shd w:val="clear" w:color="000000" w:fill="FFFFFF"/>
            <w:noWrap/>
            <w:vAlign w:val="bottom"/>
            <w:hideMark/>
          </w:tcPr>
          <w:p w14:paraId="1B50CB01"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2 611 000,00</w:t>
            </w:r>
          </w:p>
        </w:tc>
        <w:tc>
          <w:tcPr>
            <w:tcW w:w="1701" w:type="dxa"/>
            <w:tcBorders>
              <w:top w:val="nil"/>
              <w:left w:val="nil"/>
              <w:bottom w:val="single" w:sz="4" w:space="0" w:color="auto"/>
              <w:right w:val="single" w:sz="4" w:space="0" w:color="auto"/>
            </w:tcBorders>
            <w:shd w:val="clear" w:color="000000" w:fill="FFFFFF"/>
            <w:noWrap/>
            <w:vAlign w:val="bottom"/>
            <w:hideMark/>
          </w:tcPr>
          <w:p w14:paraId="058898D8"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2 611 000,00</w:t>
            </w:r>
          </w:p>
        </w:tc>
        <w:tc>
          <w:tcPr>
            <w:tcW w:w="647" w:type="dxa"/>
            <w:tcBorders>
              <w:top w:val="nil"/>
              <w:left w:val="nil"/>
              <w:bottom w:val="single" w:sz="4" w:space="0" w:color="auto"/>
              <w:right w:val="single" w:sz="8" w:space="0" w:color="auto"/>
            </w:tcBorders>
            <w:shd w:val="clear" w:color="000000" w:fill="FFFFFF"/>
            <w:noWrap/>
            <w:vAlign w:val="bottom"/>
            <w:hideMark/>
          </w:tcPr>
          <w:p w14:paraId="645C41C7"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100,0</w:t>
            </w:r>
          </w:p>
        </w:tc>
      </w:tr>
      <w:tr w:rsidR="008E0636" w:rsidRPr="00A55202" w14:paraId="0E0D9DA9" w14:textId="77777777" w:rsidTr="008E0636">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36752FCD" w14:textId="77777777" w:rsidR="00A55202" w:rsidRPr="00A55202" w:rsidRDefault="00A55202" w:rsidP="00A55202">
            <w:pPr>
              <w:spacing w:after="0" w:line="240" w:lineRule="auto"/>
              <w:jc w:val="center"/>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 </w:t>
            </w:r>
          </w:p>
        </w:tc>
        <w:tc>
          <w:tcPr>
            <w:tcW w:w="4672" w:type="dxa"/>
            <w:tcBorders>
              <w:top w:val="nil"/>
              <w:left w:val="nil"/>
              <w:bottom w:val="single" w:sz="4" w:space="0" w:color="auto"/>
              <w:right w:val="nil"/>
            </w:tcBorders>
            <w:shd w:val="clear" w:color="000000" w:fill="FFFFFF"/>
            <w:vAlign w:val="bottom"/>
            <w:hideMark/>
          </w:tcPr>
          <w:p w14:paraId="48B7973A" w14:textId="77777777" w:rsidR="00A55202" w:rsidRPr="00A55202" w:rsidRDefault="00A55202" w:rsidP="00A55202">
            <w:pPr>
              <w:spacing w:after="0" w:line="240" w:lineRule="auto"/>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Knihovna města Mladá Boleslav</w:t>
            </w:r>
          </w:p>
        </w:tc>
        <w:tc>
          <w:tcPr>
            <w:tcW w:w="1264" w:type="dxa"/>
            <w:tcBorders>
              <w:top w:val="nil"/>
              <w:left w:val="single" w:sz="4" w:space="0" w:color="auto"/>
              <w:bottom w:val="single" w:sz="4" w:space="0" w:color="auto"/>
              <w:right w:val="single" w:sz="4" w:space="0" w:color="auto"/>
            </w:tcBorders>
            <w:shd w:val="clear" w:color="000000" w:fill="FFFFFF"/>
            <w:noWrap/>
            <w:vAlign w:val="bottom"/>
            <w:hideMark/>
          </w:tcPr>
          <w:p w14:paraId="4631580C"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2 024 000</w:t>
            </w:r>
          </w:p>
        </w:tc>
        <w:tc>
          <w:tcPr>
            <w:tcW w:w="1602" w:type="dxa"/>
            <w:tcBorders>
              <w:top w:val="nil"/>
              <w:left w:val="nil"/>
              <w:bottom w:val="single" w:sz="4" w:space="0" w:color="auto"/>
              <w:right w:val="single" w:sz="4" w:space="0" w:color="auto"/>
            </w:tcBorders>
            <w:shd w:val="clear" w:color="000000" w:fill="FFFFFF"/>
            <w:noWrap/>
            <w:vAlign w:val="bottom"/>
            <w:hideMark/>
          </w:tcPr>
          <w:p w14:paraId="6E0BA53D"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2 024 000,00</w:t>
            </w:r>
          </w:p>
        </w:tc>
        <w:tc>
          <w:tcPr>
            <w:tcW w:w="1701" w:type="dxa"/>
            <w:tcBorders>
              <w:top w:val="nil"/>
              <w:left w:val="nil"/>
              <w:bottom w:val="single" w:sz="4" w:space="0" w:color="auto"/>
              <w:right w:val="single" w:sz="4" w:space="0" w:color="auto"/>
            </w:tcBorders>
            <w:shd w:val="clear" w:color="000000" w:fill="FFFFFF"/>
            <w:noWrap/>
            <w:vAlign w:val="bottom"/>
            <w:hideMark/>
          </w:tcPr>
          <w:p w14:paraId="4FCF100B"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2 024 000,00</w:t>
            </w:r>
          </w:p>
        </w:tc>
        <w:tc>
          <w:tcPr>
            <w:tcW w:w="647" w:type="dxa"/>
            <w:tcBorders>
              <w:top w:val="nil"/>
              <w:left w:val="nil"/>
              <w:bottom w:val="single" w:sz="4" w:space="0" w:color="auto"/>
              <w:right w:val="single" w:sz="8" w:space="0" w:color="auto"/>
            </w:tcBorders>
            <w:shd w:val="clear" w:color="000000" w:fill="FFFFFF"/>
            <w:noWrap/>
            <w:vAlign w:val="bottom"/>
            <w:hideMark/>
          </w:tcPr>
          <w:p w14:paraId="55A74BA3"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100,0</w:t>
            </w:r>
          </w:p>
        </w:tc>
      </w:tr>
      <w:tr w:rsidR="008E0636" w:rsidRPr="00A55202" w14:paraId="4EB44555" w14:textId="77777777" w:rsidTr="008E0636">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3B661005" w14:textId="77777777" w:rsidR="00A55202" w:rsidRPr="00A55202" w:rsidRDefault="00A55202" w:rsidP="00A55202">
            <w:pPr>
              <w:spacing w:after="0" w:line="240" w:lineRule="auto"/>
              <w:jc w:val="center"/>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 </w:t>
            </w:r>
          </w:p>
        </w:tc>
        <w:tc>
          <w:tcPr>
            <w:tcW w:w="4672" w:type="dxa"/>
            <w:tcBorders>
              <w:top w:val="nil"/>
              <w:left w:val="nil"/>
              <w:bottom w:val="single" w:sz="4" w:space="0" w:color="auto"/>
              <w:right w:val="nil"/>
            </w:tcBorders>
            <w:shd w:val="clear" w:color="000000" w:fill="FFFFFF"/>
            <w:noWrap/>
            <w:vAlign w:val="bottom"/>
            <w:hideMark/>
          </w:tcPr>
          <w:p w14:paraId="55816F6D" w14:textId="77777777" w:rsidR="00A55202" w:rsidRPr="00A55202" w:rsidRDefault="00A55202" w:rsidP="00A55202">
            <w:pPr>
              <w:spacing w:after="0" w:line="240" w:lineRule="auto"/>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Knihovna Jana Drdy Příbram</w:t>
            </w:r>
          </w:p>
        </w:tc>
        <w:tc>
          <w:tcPr>
            <w:tcW w:w="1264" w:type="dxa"/>
            <w:tcBorders>
              <w:top w:val="nil"/>
              <w:left w:val="single" w:sz="4" w:space="0" w:color="auto"/>
              <w:bottom w:val="single" w:sz="4" w:space="0" w:color="auto"/>
              <w:right w:val="single" w:sz="4" w:space="0" w:color="auto"/>
            </w:tcBorders>
            <w:shd w:val="clear" w:color="000000" w:fill="FFFFFF"/>
            <w:noWrap/>
            <w:vAlign w:val="bottom"/>
            <w:hideMark/>
          </w:tcPr>
          <w:p w14:paraId="619C79BE"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2 039 000</w:t>
            </w:r>
          </w:p>
        </w:tc>
        <w:tc>
          <w:tcPr>
            <w:tcW w:w="1602" w:type="dxa"/>
            <w:tcBorders>
              <w:top w:val="nil"/>
              <w:left w:val="nil"/>
              <w:bottom w:val="single" w:sz="4" w:space="0" w:color="auto"/>
              <w:right w:val="single" w:sz="4" w:space="0" w:color="auto"/>
            </w:tcBorders>
            <w:shd w:val="clear" w:color="000000" w:fill="FFFFFF"/>
            <w:noWrap/>
            <w:vAlign w:val="bottom"/>
            <w:hideMark/>
          </w:tcPr>
          <w:p w14:paraId="4AF7635C"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2 039 000,00</w:t>
            </w:r>
          </w:p>
        </w:tc>
        <w:tc>
          <w:tcPr>
            <w:tcW w:w="1701" w:type="dxa"/>
            <w:tcBorders>
              <w:top w:val="nil"/>
              <w:left w:val="nil"/>
              <w:bottom w:val="single" w:sz="4" w:space="0" w:color="auto"/>
              <w:right w:val="single" w:sz="4" w:space="0" w:color="auto"/>
            </w:tcBorders>
            <w:shd w:val="clear" w:color="000000" w:fill="FFFFFF"/>
            <w:noWrap/>
            <w:vAlign w:val="bottom"/>
            <w:hideMark/>
          </w:tcPr>
          <w:p w14:paraId="0FABAB7F"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2 039 000,00</w:t>
            </w:r>
          </w:p>
        </w:tc>
        <w:tc>
          <w:tcPr>
            <w:tcW w:w="647" w:type="dxa"/>
            <w:tcBorders>
              <w:top w:val="nil"/>
              <w:left w:val="nil"/>
              <w:bottom w:val="single" w:sz="4" w:space="0" w:color="auto"/>
              <w:right w:val="single" w:sz="8" w:space="0" w:color="auto"/>
            </w:tcBorders>
            <w:shd w:val="clear" w:color="000000" w:fill="FFFFFF"/>
            <w:noWrap/>
            <w:vAlign w:val="bottom"/>
            <w:hideMark/>
          </w:tcPr>
          <w:p w14:paraId="47DEF044"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100,0</w:t>
            </w:r>
          </w:p>
        </w:tc>
      </w:tr>
      <w:tr w:rsidR="008E0636" w:rsidRPr="00A55202" w14:paraId="34BBFC1B" w14:textId="77777777" w:rsidTr="008E0636">
        <w:trPr>
          <w:trHeight w:val="675"/>
        </w:trPr>
        <w:tc>
          <w:tcPr>
            <w:tcW w:w="826" w:type="dxa"/>
            <w:tcBorders>
              <w:top w:val="nil"/>
              <w:left w:val="single" w:sz="8" w:space="0" w:color="auto"/>
              <w:bottom w:val="single" w:sz="4" w:space="0" w:color="auto"/>
              <w:right w:val="single" w:sz="4" w:space="0" w:color="auto"/>
            </w:tcBorders>
            <w:shd w:val="clear" w:color="000000" w:fill="FFFFFF"/>
            <w:vAlign w:val="bottom"/>
            <w:hideMark/>
          </w:tcPr>
          <w:p w14:paraId="74D4A58B" w14:textId="77777777" w:rsidR="00A55202" w:rsidRPr="00A55202" w:rsidRDefault="00A55202" w:rsidP="00A55202">
            <w:pPr>
              <w:spacing w:after="0" w:line="240" w:lineRule="auto"/>
              <w:jc w:val="center"/>
              <w:rPr>
                <w:rFonts w:ascii="Calibri" w:eastAsia="Times New Roman" w:hAnsi="Calibri" w:cs="Calibri"/>
                <w:sz w:val="16"/>
                <w:szCs w:val="16"/>
                <w:lang w:eastAsia="cs-CZ"/>
              </w:rPr>
            </w:pPr>
            <w:r w:rsidRPr="00A55202">
              <w:rPr>
                <w:rFonts w:ascii="Calibri" w:eastAsia="Times New Roman" w:hAnsi="Calibri" w:cs="Calibri"/>
                <w:sz w:val="16"/>
                <w:szCs w:val="16"/>
                <w:lang w:eastAsia="cs-CZ"/>
              </w:rPr>
              <w:t>3314, 3315, 3321</w:t>
            </w:r>
          </w:p>
        </w:tc>
        <w:tc>
          <w:tcPr>
            <w:tcW w:w="4672" w:type="dxa"/>
            <w:tcBorders>
              <w:top w:val="nil"/>
              <w:left w:val="nil"/>
              <w:bottom w:val="single" w:sz="4" w:space="0" w:color="auto"/>
              <w:right w:val="nil"/>
            </w:tcBorders>
            <w:shd w:val="clear" w:color="000000" w:fill="FFFFFF"/>
            <w:vAlign w:val="center"/>
            <w:hideMark/>
          </w:tcPr>
          <w:p w14:paraId="1CDFB345"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Rozvojové projekty příspěvkových organizací</w:t>
            </w:r>
          </w:p>
        </w:tc>
        <w:tc>
          <w:tcPr>
            <w:tcW w:w="1264" w:type="dxa"/>
            <w:tcBorders>
              <w:top w:val="nil"/>
              <w:left w:val="single" w:sz="4" w:space="0" w:color="auto"/>
              <w:bottom w:val="single" w:sz="4" w:space="0" w:color="auto"/>
              <w:right w:val="single" w:sz="4" w:space="0" w:color="auto"/>
            </w:tcBorders>
            <w:shd w:val="clear" w:color="000000" w:fill="FFFFFF"/>
            <w:noWrap/>
            <w:vAlign w:val="bottom"/>
            <w:hideMark/>
          </w:tcPr>
          <w:p w14:paraId="4CED1596"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5 000 000</w:t>
            </w:r>
          </w:p>
        </w:tc>
        <w:tc>
          <w:tcPr>
            <w:tcW w:w="1602" w:type="dxa"/>
            <w:tcBorders>
              <w:top w:val="nil"/>
              <w:left w:val="nil"/>
              <w:bottom w:val="single" w:sz="4" w:space="0" w:color="auto"/>
              <w:right w:val="single" w:sz="4" w:space="0" w:color="auto"/>
            </w:tcBorders>
            <w:shd w:val="clear" w:color="000000" w:fill="FFFFFF"/>
            <w:noWrap/>
            <w:vAlign w:val="bottom"/>
            <w:hideMark/>
          </w:tcPr>
          <w:p w14:paraId="3E620C2F"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12 456 915,16</w:t>
            </w:r>
          </w:p>
        </w:tc>
        <w:tc>
          <w:tcPr>
            <w:tcW w:w="1701" w:type="dxa"/>
            <w:tcBorders>
              <w:top w:val="nil"/>
              <w:left w:val="nil"/>
              <w:bottom w:val="single" w:sz="4" w:space="0" w:color="auto"/>
              <w:right w:val="single" w:sz="4" w:space="0" w:color="auto"/>
            </w:tcBorders>
            <w:shd w:val="clear" w:color="000000" w:fill="FFFFFF"/>
            <w:noWrap/>
            <w:vAlign w:val="bottom"/>
            <w:hideMark/>
          </w:tcPr>
          <w:p w14:paraId="527A481B"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12 274 710,47</w:t>
            </w:r>
          </w:p>
        </w:tc>
        <w:tc>
          <w:tcPr>
            <w:tcW w:w="647" w:type="dxa"/>
            <w:tcBorders>
              <w:top w:val="nil"/>
              <w:left w:val="nil"/>
              <w:bottom w:val="single" w:sz="4" w:space="0" w:color="auto"/>
              <w:right w:val="single" w:sz="8" w:space="0" w:color="auto"/>
            </w:tcBorders>
            <w:shd w:val="clear" w:color="000000" w:fill="FFFFFF"/>
            <w:noWrap/>
            <w:vAlign w:val="bottom"/>
            <w:hideMark/>
          </w:tcPr>
          <w:p w14:paraId="382D1644"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98,5</w:t>
            </w:r>
          </w:p>
        </w:tc>
      </w:tr>
      <w:tr w:rsidR="008E0636" w:rsidRPr="00A55202" w14:paraId="1055A4A7" w14:textId="77777777" w:rsidTr="008E0636">
        <w:trPr>
          <w:trHeight w:val="675"/>
        </w:trPr>
        <w:tc>
          <w:tcPr>
            <w:tcW w:w="826" w:type="dxa"/>
            <w:tcBorders>
              <w:top w:val="nil"/>
              <w:left w:val="single" w:sz="8" w:space="0" w:color="auto"/>
              <w:bottom w:val="single" w:sz="4" w:space="0" w:color="auto"/>
              <w:right w:val="single" w:sz="4" w:space="0" w:color="auto"/>
            </w:tcBorders>
            <w:shd w:val="clear" w:color="000000" w:fill="FFFFFF"/>
            <w:vAlign w:val="bottom"/>
            <w:hideMark/>
          </w:tcPr>
          <w:p w14:paraId="2AC363A3" w14:textId="77777777" w:rsidR="00A55202" w:rsidRPr="00A55202" w:rsidRDefault="00A55202" w:rsidP="00A55202">
            <w:pPr>
              <w:spacing w:after="0" w:line="240" w:lineRule="auto"/>
              <w:jc w:val="center"/>
              <w:rPr>
                <w:rFonts w:ascii="Calibri" w:eastAsia="Times New Roman" w:hAnsi="Calibri" w:cs="Calibri"/>
                <w:sz w:val="16"/>
                <w:szCs w:val="16"/>
                <w:lang w:eastAsia="cs-CZ"/>
              </w:rPr>
            </w:pPr>
            <w:r w:rsidRPr="00A55202">
              <w:rPr>
                <w:rFonts w:ascii="Calibri" w:eastAsia="Times New Roman" w:hAnsi="Calibri" w:cs="Calibri"/>
                <w:sz w:val="16"/>
                <w:szCs w:val="16"/>
                <w:lang w:eastAsia="cs-CZ"/>
              </w:rPr>
              <w:t>3314, 3315, 3321</w:t>
            </w:r>
          </w:p>
        </w:tc>
        <w:tc>
          <w:tcPr>
            <w:tcW w:w="4672" w:type="dxa"/>
            <w:tcBorders>
              <w:top w:val="nil"/>
              <w:left w:val="nil"/>
              <w:bottom w:val="single" w:sz="4" w:space="0" w:color="auto"/>
              <w:right w:val="single" w:sz="4" w:space="0" w:color="auto"/>
            </w:tcBorders>
            <w:shd w:val="clear" w:color="000000" w:fill="FFFFFF"/>
            <w:vAlign w:val="center"/>
            <w:hideMark/>
          </w:tcPr>
          <w:p w14:paraId="24D2372A"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Výdaje SK spojené s nákazou koronavirem COVID-19</w:t>
            </w:r>
          </w:p>
        </w:tc>
        <w:tc>
          <w:tcPr>
            <w:tcW w:w="1264" w:type="dxa"/>
            <w:tcBorders>
              <w:top w:val="nil"/>
              <w:left w:val="nil"/>
              <w:bottom w:val="single" w:sz="4" w:space="0" w:color="auto"/>
              <w:right w:val="single" w:sz="4" w:space="0" w:color="auto"/>
            </w:tcBorders>
            <w:shd w:val="clear" w:color="000000" w:fill="FFFFFF"/>
            <w:vAlign w:val="bottom"/>
            <w:hideMark/>
          </w:tcPr>
          <w:p w14:paraId="2F9AFCA8"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0</w:t>
            </w:r>
          </w:p>
        </w:tc>
        <w:tc>
          <w:tcPr>
            <w:tcW w:w="1602" w:type="dxa"/>
            <w:tcBorders>
              <w:top w:val="nil"/>
              <w:left w:val="nil"/>
              <w:bottom w:val="single" w:sz="4" w:space="0" w:color="auto"/>
              <w:right w:val="single" w:sz="4" w:space="0" w:color="auto"/>
            </w:tcBorders>
            <w:shd w:val="clear" w:color="000000" w:fill="FFFFFF"/>
            <w:noWrap/>
            <w:vAlign w:val="bottom"/>
            <w:hideMark/>
          </w:tcPr>
          <w:p w14:paraId="67DB8DEC"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832 293,25</w:t>
            </w:r>
          </w:p>
        </w:tc>
        <w:tc>
          <w:tcPr>
            <w:tcW w:w="1701" w:type="dxa"/>
            <w:tcBorders>
              <w:top w:val="nil"/>
              <w:left w:val="nil"/>
              <w:bottom w:val="single" w:sz="4" w:space="0" w:color="auto"/>
              <w:right w:val="single" w:sz="4" w:space="0" w:color="auto"/>
            </w:tcBorders>
            <w:shd w:val="clear" w:color="000000" w:fill="FFFFFF"/>
            <w:noWrap/>
            <w:vAlign w:val="bottom"/>
            <w:hideMark/>
          </w:tcPr>
          <w:p w14:paraId="6CE08F37"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832 293,25</w:t>
            </w:r>
          </w:p>
        </w:tc>
        <w:tc>
          <w:tcPr>
            <w:tcW w:w="647" w:type="dxa"/>
            <w:tcBorders>
              <w:top w:val="nil"/>
              <w:left w:val="nil"/>
              <w:bottom w:val="nil"/>
              <w:right w:val="single" w:sz="8" w:space="0" w:color="auto"/>
            </w:tcBorders>
            <w:shd w:val="clear" w:color="000000" w:fill="FFFFFF"/>
            <w:noWrap/>
            <w:vAlign w:val="bottom"/>
            <w:hideMark/>
          </w:tcPr>
          <w:p w14:paraId="7DE3342D"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100,0</w:t>
            </w:r>
          </w:p>
        </w:tc>
      </w:tr>
      <w:tr w:rsidR="008E0636" w:rsidRPr="00A55202" w14:paraId="1C0149F1" w14:textId="77777777" w:rsidTr="008E0636">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409A4959"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3315</w:t>
            </w:r>
          </w:p>
        </w:tc>
        <w:tc>
          <w:tcPr>
            <w:tcW w:w="4672" w:type="dxa"/>
            <w:tcBorders>
              <w:top w:val="nil"/>
              <w:left w:val="nil"/>
              <w:bottom w:val="single" w:sz="4" w:space="0" w:color="auto"/>
              <w:right w:val="nil"/>
            </w:tcBorders>
            <w:shd w:val="clear" w:color="000000" w:fill="FFFFFF"/>
            <w:vAlign w:val="bottom"/>
            <w:hideMark/>
          </w:tcPr>
          <w:p w14:paraId="79FCBB63"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Rozvoj edukačních programů pro příspěvkové organizace</w:t>
            </w:r>
          </w:p>
        </w:tc>
        <w:tc>
          <w:tcPr>
            <w:tcW w:w="1264" w:type="dxa"/>
            <w:tcBorders>
              <w:top w:val="nil"/>
              <w:left w:val="single" w:sz="4" w:space="0" w:color="auto"/>
              <w:bottom w:val="single" w:sz="4" w:space="0" w:color="auto"/>
              <w:right w:val="single" w:sz="4" w:space="0" w:color="auto"/>
            </w:tcBorders>
            <w:shd w:val="clear" w:color="000000" w:fill="FFFFFF"/>
            <w:noWrap/>
            <w:vAlign w:val="bottom"/>
            <w:hideMark/>
          </w:tcPr>
          <w:p w14:paraId="6FADBFEB"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300 000</w:t>
            </w:r>
          </w:p>
        </w:tc>
        <w:tc>
          <w:tcPr>
            <w:tcW w:w="1602" w:type="dxa"/>
            <w:tcBorders>
              <w:top w:val="nil"/>
              <w:left w:val="nil"/>
              <w:bottom w:val="single" w:sz="4" w:space="0" w:color="auto"/>
              <w:right w:val="single" w:sz="4" w:space="0" w:color="auto"/>
            </w:tcBorders>
            <w:shd w:val="clear" w:color="000000" w:fill="FFFFFF"/>
            <w:noWrap/>
            <w:vAlign w:val="bottom"/>
            <w:hideMark/>
          </w:tcPr>
          <w:p w14:paraId="77A89D6B"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0,00</w:t>
            </w:r>
          </w:p>
        </w:tc>
        <w:tc>
          <w:tcPr>
            <w:tcW w:w="1701" w:type="dxa"/>
            <w:tcBorders>
              <w:top w:val="nil"/>
              <w:left w:val="nil"/>
              <w:bottom w:val="single" w:sz="4" w:space="0" w:color="auto"/>
              <w:right w:val="single" w:sz="4" w:space="0" w:color="auto"/>
            </w:tcBorders>
            <w:shd w:val="clear" w:color="000000" w:fill="FFFFFF"/>
            <w:noWrap/>
            <w:vAlign w:val="bottom"/>
            <w:hideMark/>
          </w:tcPr>
          <w:p w14:paraId="1AAC063D"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0,00</w:t>
            </w:r>
          </w:p>
        </w:tc>
        <w:tc>
          <w:tcPr>
            <w:tcW w:w="647" w:type="dxa"/>
            <w:tcBorders>
              <w:top w:val="single" w:sz="4" w:space="0" w:color="auto"/>
              <w:left w:val="nil"/>
              <w:bottom w:val="nil"/>
              <w:right w:val="single" w:sz="8" w:space="0" w:color="auto"/>
            </w:tcBorders>
            <w:shd w:val="clear" w:color="000000" w:fill="FFFFFF"/>
            <w:noWrap/>
            <w:vAlign w:val="bottom"/>
            <w:hideMark/>
          </w:tcPr>
          <w:p w14:paraId="54780915"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w:t>
            </w:r>
          </w:p>
        </w:tc>
      </w:tr>
      <w:tr w:rsidR="008E0636" w:rsidRPr="00A55202" w14:paraId="72E8B13E" w14:textId="77777777" w:rsidTr="008E0636">
        <w:trPr>
          <w:trHeight w:val="552"/>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787E57D2"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3315</w:t>
            </w:r>
          </w:p>
        </w:tc>
        <w:tc>
          <w:tcPr>
            <w:tcW w:w="4672" w:type="dxa"/>
            <w:tcBorders>
              <w:top w:val="nil"/>
              <w:left w:val="nil"/>
              <w:bottom w:val="single" w:sz="4" w:space="0" w:color="auto"/>
              <w:right w:val="single" w:sz="4" w:space="0" w:color="auto"/>
            </w:tcBorders>
            <w:shd w:val="clear" w:color="000000" w:fill="FFFFFF"/>
            <w:noWrap/>
            <w:vAlign w:val="bottom"/>
            <w:hideMark/>
          </w:tcPr>
          <w:p w14:paraId="21FC191D"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Oblastní muzeum P-V, 80. výročí událostí 1942</w:t>
            </w:r>
          </w:p>
        </w:tc>
        <w:tc>
          <w:tcPr>
            <w:tcW w:w="1264" w:type="dxa"/>
            <w:tcBorders>
              <w:top w:val="nil"/>
              <w:left w:val="nil"/>
              <w:bottom w:val="single" w:sz="4" w:space="0" w:color="auto"/>
              <w:right w:val="single" w:sz="4" w:space="0" w:color="auto"/>
            </w:tcBorders>
            <w:shd w:val="clear" w:color="000000" w:fill="FFFFFF"/>
            <w:noWrap/>
            <w:vAlign w:val="bottom"/>
            <w:hideMark/>
          </w:tcPr>
          <w:p w14:paraId="5F5C30E5"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0</w:t>
            </w:r>
          </w:p>
        </w:tc>
        <w:tc>
          <w:tcPr>
            <w:tcW w:w="1602" w:type="dxa"/>
            <w:tcBorders>
              <w:top w:val="nil"/>
              <w:left w:val="nil"/>
              <w:bottom w:val="single" w:sz="4" w:space="0" w:color="auto"/>
              <w:right w:val="single" w:sz="4" w:space="0" w:color="auto"/>
            </w:tcBorders>
            <w:shd w:val="clear" w:color="000000" w:fill="FFFFFF"/>
            <w:noWrap/>
            <w:vAlign w:val="bottom"/>
            <w:hideMark/>
          </w:tcPr>
          <w:p w14:paraId="6ECCA658"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1 782 000,00</w:t>
            </w:r>
          </w:p>
        </w:tc>
        <w:tc>
          <w:tcPr>
            <w:tcW w:w="1701" w:type="dxa"/>
            <w:tcBorders>
              <w:top w:val="nil"/>
              <w:left w:val="nil"/>
              <w:bottom w:val="single" w:sz="4" w:space="0" w:color="auto"/>
              <w:right w:val="single" w:sz="4" w:space="0" w:color="auto"/>
            </w:tcBorders>
            <w:shd w:val="clear" w:color="000000" w:fill="FFFFFF"/>
            <w:noWrap/>
            <w:vAlign w:val="bottom"/>
            <w:hideMark/>
          </w:tcPr>
          <w:p w14:paraId="3C16600D"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1 782 000,00</w:t>
            </w:r>
          </w:p>
        </w:tc>
        <w:tc>
          <w:tcPr>
            <w:tcW w:w="647" w:type="dxa"/>
            <w:tcBorders>
              <w:top w:val="single" w:sz="4" w:space="0" w:color="auto"/>
              <w:left w:val="nil"/>
              <w:bottom w:val="nil"/>
              <w:right w:val="single" w:sz="8" w:space="0" w:color="auto"/>
            </w:tcBorders>
            <w:shd w:val="clear" w:color="000000" w:fill="FFFFFF"/>
            <w:noWrap/>
            <w:vAlign w:val="bottom"/>
            <w:hideMark/>
          </w:tcPr>
          <w:p w14:paraId="416FA3B8"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100,0</w:t>
            </w:r>
          </w:p>
        </w:tc>
      </w:tr>
      <w:tr w:rsidR="008E0636" w:rsidRPr="00A55202" w14:paraId="4A8421D3" w14:textId="77777777" w:rsidTr="008E0636">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63E48AD6"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3315</w:t>
            </w:r>
          </w:p>
        </w:tc>
        <w:tc>
          <w:tcPr>
            <w:tcW w:w="4672" w:type="dxa"/>
            <w:tcBorders>
              <w:top w:val="nil"/>
              <w:left w:val="nil"/>
              <w:bottom w:val="single" w:sz="4" w:space="0" w:color="auto"/>
              <w:right w:val="nil"/>
            </w:tcBorders>
            <w:shd w:val="clear" w:color="000000" w:fill="FFFFFF"/>
            <w:vAlign w:val="bottom"/>
            <w:hideMark/>
          </w:tcPr>
          <w:p w14:paraId="51AF228F"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xml:space="preserve">Činnosti muzeí a galerií - příspěvek příspěvkovým organizacím </w:t>
            </w:r>
          </w:p>
        </w:tc>
        <w:tc>
          <w:tcPr>
            <w:tcW w:w="1264" w:type="dxa"/>
            <w:tcBorders>
              <w:top w:val="nil"/>
              <w:left w:val="single" w:sz="4" w:space="0" w:color="auto"/>
              <w:bottom w:val="single" w:sz="4" w:space="0" w:color="auto"/>
              <w:right w:val="single" w:sz="4" w:space="0" w:color="auto"/>
            </w:tcBorders>
            <w:shd w:val="clear" w:color="000000" w:fill="FFFFFF"/>
            <w:noWrap/>
            <w:vAlign w:val="bottom"/>
            <w:hideMark/>
          </w:tcPr>
          <w:p w14:paraId="46CDBA97"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283 972 000</w:t>
            </w:r>
          </w:p>
        </w:tc>
        <w:tc>
          <w:tcPr>
            <w:tcW w:w="1602" w:type="dxa"/>
            <w:tcBorders>
              <w:top w:val="nil"/>
              <w:left w:val="nil"/>
              <w:bottom w:val="single" w:sz="4" w:space="0" w:color="auto"/>
              <w:right w:val="single" w:sz="4" w:space="0" w:color="auto"/>
            </w:tcBorders>
            <w:shd w:val="clear" w:color="000000" w:fill="FFFFFF"/>
            <w:noWrap/>
            <w:vAlign w:val="bottom"/>
            <w:hideMark/>
          </w:tcPr>
          <w:p w14:paraId="5D7C093F"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306 565 191,75</w:t>
            </w:r>
          </w:p>
        </w:tc>
        <w:tc>
          <w:tcPr>
            <w:tcW w:w="1701" w:type="dxa"/>
            <w:tcBorders>
              <w:top w:val="nil"/>
              <w:left w:val="nil"/>
              <w:bottom w:val="single" w:sz="4" w:space="0" w:color="auto"/>
              <w:right w:val="single" w:sz="4" w:space="0" w:color="auto"/>
            </w:tcBorders>
            <w:shd w:val="clear" w:color="000000" w:fill="FFFFFF"/>
            <w:noWrap/>
            <w:vAlign w:val="bottom"/>
            <w:hideMark/>
          </w:tcPr>
          <w:p w14:paraId="7A7BA048"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306 512 611,00</w:t>
            </w:r>
          </w:p>
        </w:tc>
        <w:tc>
          <w:tcPr>
            <w:tcW w:w="647" w:type="dxa"/>
            <w:tcBorders>
              <w:top w:val="single" w:sz="4" w:space="0" w:color="auto"/>
              <w:left w:val="nil"/>
              <w:bottom w:val="single" w:sz="4" w:space="0" w:color="auto"/>
              <w:right w:val="single" w:sz="8" w:space="0" w:color="auto"/>
            </w:tcBorders>
            <w:shd w:val="clear" w:color="000000" w:fill="FFFFFF"/>
            <w:noWrap/>
            <w:vAlign w:val="bottom"/>
            <w:hideMark/>
          </w:tcPr>
          <w:p w14:paraId="73C0E7A9"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100,0</w:t>
            </w:r>
          </w:p>
        </w:tc>
      </w:tr>
      <w:tr w:rsidR="008E0636" w:rsidRPr="00A55202" w14:paraId="772BE4A3" w14:textId="77777777" w:rsidTr="008E0636">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4A1276FD" w14:textId="77777777" w:rsidR="00A55202" w:rsidRPr="00A55202" w:rsidRDefault="00A55202" w:rsidP="00A55202">
            <w:pPr>
              <w:spacing w:after="0" w:line="240" w:lineRule="auto"/>
              <w:jc w:val="center"/>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 </w:t>
            </w:r>
          </w:p>
        </w:tc>
        <w:tc>
          <w:tcPr>
            <w:tcW w:w="4672" w:type="dxa"/>
            <w:tcBorders>
              <w:top w:val="nil"/>
              <w:left w:val="nil"/>
              <w:bottom w:val="single" w:sz="4" w:space="0" w:color="auto"/>
              <w:right w:val="nil"/>
            </w:tcBorders>
            <w:shd w:val="clear" w:color="000000" w:fill="FFFFFF"/>
            <w:vAlign w:val="bottom"/>
            <w:hideMark/>
          </w:tcPr>
          <w:p w14:paraId="416BB1DC"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z toho:</w:t>
            </w:r>
          </w:p>
        </w:tc>
        <w:tc>
          <w:tcPr>
            <w:tcW w:w="1264" w:type="dxa"/>
            <w:tcBorders>
              <w:top w:val="nil"/>
              <w:left w:val="single" w:sz="4" w:space="0" w:color="auto"/>
              <w:bottom w:val="single" w:sz="4" w:space="0" w:color="auto"/>
              <w:right w:val="single" w:sz="4" w:space="0" w:color="auto"/>
            </w:tcBorders>
            <w:shd w:val="clear" w:color="000000" w:fill="FFFFFF"/>
            <w:noWrap/>
            <w:vAlign w:val="bottom"/>
            <w:hideMark/>
          </w:tcPr>
          <w:p w14:paraId="5B93189E" w14:textId="77777777" w:rsidR="00A55202" w:rsidRPr="00A55202" w:rsidRDefault="00A55202" w:rsidP="00A55202">
            <w:pPr>
              <w:spacing w:after="0" w:line="240" w:lineRule="auto"/>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 </w:t>
            </w:r>
          </w:p>
        </w:tc>
        <w:tc>
          <w:tcPr>
            <w:tcW w:w="1602" w:type="dxa"/>
            <w:tcBorders>
              <w:top w:val="nil"/>
              <w:left w:val="nil"/>
              <w:bottom w:val="single" w:sz="4" w:space="0" w:color="auto"/>
              <w:right w:val="single" w:sz="4" w:space="0" w:color="auto"/>
            </w:tcBorders>
            <w:shd w:val="clear" w:color="000000" w:fill="FFFFFF"/>
            <w:noWrap/>
            <w:vAlign w:val="bottom"/>
            <w:hideMark/>
          </w:tcPr>
          <w:p w14:paraId="35243B1E" w14:textId="77777777" w:rsidR="00A55202" w:rsidRPr="00A55202" w:rsidRDefault="00A55202" w:rsidP="00A55202">
            <w:pPr>
              <w:spacing w:after="0" w:line="240" w:lineRule="auto"/>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 </w:t>
            </w:r>
          </w:p>
        </w:tc>
        <w:tc>
          <w:tcPr>
            <w:tcW w:w="1701" w:type="dxa"/>
            <w:tcBorders>
              <w:top w:val="nil"/>
              <w:left w:val="nil"/>
              <w:bottom w:val="single" w:sz="4" w:space="0" w:color="auto"/>
              <w:right w:val="single" w:sz="4" w:space="0" w:color="auto"/>
            </w:tcBorders>
            <w:shd w:val="clear" w:color="000000" w:fill="FFFFFF"/>
            <w:noWrap/>
            <w:vAlign w:val="bottom"/>
            <w:hideMark/>
          </w:tcPr>
          <w:p w14:paraId="49FCBFF2" w14:textId="77777777" w:rsidR="00A55202" w:rsidRPr="00A55202" w:rsidRDefault="00A55202" w:rsidP="00A55202">
            <w:pPr>
              <w:spacing w:after="0" w:line="240" w:lineRule="auto"/>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 </w:t>
            </w:r>
          </w:p>
        </w:tc>
        <w:tc>
          <w:tcPr>
            <w:tcW w:w="647" w:type="dxa"/>
            <w:tcBorders>
              <w:top w:val="nil"/>
              <w:left w:val="nil"/>
              <w:bottom w:val="single" w:sz="4" w:space="0" w:color="auto"/>
              <w:right w:val="single" w:sz="8" w:space="0" w:color="auto"/>
            </w:tcBorders>
            <w:shd w:val="clear" w:color="000000" w:fill="FFFFFF"/>
            <w:noWrap/>
            <w:vAlign w:val="bottom"/>
            <w:hideMark/>
          </w:tcPr>
          <w:p w14:paraId="005C7CC9"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r>
      <w:tr w:rsidR="008E0636" w:rsidRPr="00A55202" w14:paraId="186A308F" w14:textId="77777777" w:rsidTr="008E0636">
        <w:trPr>
          <w:trHeight w:val="300"/>
        </w:trPr>
        <w:tc>
          <w:tcPr>
            <w:tcW w:w="826" w:type="dxa"/>
            <w:tcBorders>
              <w:top w:val="nil"/>
              <w:left w:val="single" w:sz="8" w:space="0" w:color="auto"/>
              <w:bottom w:val="single" w:sz="4" w:space="0" w:color="auto"/>
              <w:right w:val="single" w:sz="4" w:space="0" w:color="auto"/>
            </w:tcBorders>
            <w:shd w:val="clear" w:color="000000" w:fill="FFFFFF"/>
            <w:vAlign w:val="bottom"/>
            <w:hideMark/>
          </w:tcPr>
          <w:p w14:paraId="69EF3534" w14:textId="77777777" w:rsidR="00A55202" w:rsidRPr="00A55202" w:rsidRDefault="00A55202" w:rsidP="00A55202">
            <w:pPr>
              <w:spacing w:after="0" w:line="240" w:lineRule="auto"/>
              <w:jc w:val="center"/>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 </w:t>
            </w:r>
          </w:p>
        </w:tc>
        <w:tc>
          <w:tcPr>
            <w:tcW w:w="4672" w:type="dxa"/>
            <w:tcBorders>
              <w:top w:val="nil"/>
              <w:left w:val="nil"/>
              <w:bottom w:val="single" w:sz="4" w:space="0" w:color="auto"/>
              <w:right w:val="nil"/>
            </w:tcBorders>
            <w:shd w:val="clear" w:color="000000" w:fill="FFFFFF"/>
            <w:vAlign w:val="bottom"/>
            <w:hideMark/>
          </w:tcPr>
          <w:p w14:paraId="18D8FB03" w14:textId="77777777" w:rsidR="00A55202" w:rsidRPr="00A55202" w:rsidRDefault="00A55202" w:rsidP="00A55202">
            <w:pPr>
              <w:spacing w:after="0" w:line="240" w:lineRule="auto"/>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příspěvek na provoz</w:t>
            </w:r>
          </w:p>
        </w:tc>
        <w:tc>
          <w:tcPr>
            <w:tcW w:w="1264" w:type="dxa"/>
            <w:tcBorders>
              <w:top w:val="nil"/>
              <w:left w:val="single" w:sz="4" w:space="0" w:color="auto"/>
              <w:bottom w:val="single" w:sz="4" w:space="0" w:color="auto"/>
              <w:right w:val="single" w:sz="4" w:space="0" w:color="auto"/>
            </w:tcBorders>
            <w:shd w:val="clear" w:color="000000" w:fill="FFFFFF"/>
            <w:noWrap/>
            <w:vAlign w:val="bottom"/>
            <w:hideMark/>
          </w:tcPr>
          <w:p w14:paraId="572263E0"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39 632 400</w:t>
            </w:r>
          </w:p>
        </w:tc>
        <w:tc>
          <w:tcPr>
            <w:tcW w:w="1602" w:type="dxa"/>
            <w:tcBorders>
              <w:top w:val="nil"/>
              <w:left w:val="nil"/>
              <w:bottom w:val="single" w:sz="4" w:space="0" w:color="auto"/>
              <w:right w:val="single" w:sz="4" w:space="0" w:color="auto"/>
            </w:tcBorders>
            <w:shd w:val="clear" w:color="000000" w:fill="FFFFFF"/>
            <w:noWrap/>
            <w:vAlign w:val="bottom"/>
            <w:hideMark/>
          </w:tcPr>
          <w:p w14:paraId="5D5E74A5"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55 519 351,75</w:t>
            </w:r>
          </w:p>
        </w:tc>
        <w:tc>
          <w:tcPr>
            <w:tcW w:w="1701" w:type="dxa"/>
            <w:tcBorders>
              <w:top w:val="nil"/>
              <w:left w:val="nil"/>
              <w:bottom w:val="single" w:sz="4" w:space="0" w:color="auto"/>
              <w:right w:val="single" w:sz="4" w:space="0" w:color="auto"/>
            </w:tcBorders>
            <w:shd w:val="clear" w:color="000000" w:fill="FFFFFF"/>
            <w:noWrap/>
            <w:vAlign w:val="bottom"/>
            <w:hideMark/>
          </w:tcPr>
          <w:p w14:paraId="0BADC9D7"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55 466 771,00</w:t>
            </w:r>
          </w:p>
        </w:tc>
        <w:tc>
          <w:tcPr>
            <w:tcW w:w="647" w:type="dxa"/>
            <w:tcBorders>
              <w:top w:val="nil"/>
              <w:left w:val="nil"/>
              <w:bottom w:val="single" w:sz="4" w:space="0" w:color="auto"/>
              <w:right w:val="single" w:sz="8" w:space="0" w:color="auto"/>
            </w:tcBorders>
            <w:shd w:val="clear" w:color="000000" w:fill="FFFFFF"/>
            <w:noWrap/>
            <w:vAlign w:val="bottom"/>
            <w:hideMark/>
          </w:tcPr>
          <w:p w14:paraId="2525062A"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99,9</w:t>
            </w:r>
          </w:p>
        </w:tc>
      </w:tr>
      <w:tr w:rsidR="008E0636" w:rsidRPr="00A55202" w14:paraId="0C934FE9" w14:textId="77777777" w:rsidTr="008E0636">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3CD59360"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c>
          <w:tcPr>
            <w:tcW w:w="4672" w:type="dxa"/>
            <w:tcBorders>
              <w:top w:val="nil"/>
              <w:left w:val="nil"/>
              <w:bottom w:val="single" w:sz="4" w:space="0" w:color="auto"/>
              <w:right w:val="nil"/>
            </w:tcBorders>
            <w:shd w:val="clear" w:color="000000" w:fill="FFFFFF"/>
            <w:vAlign w:val="bottom"/>
            <w:hideMark/>
          </w:tcPr>
          <w:p w14:paraId="688390E8" w14:textId="77777777" w:rsidR="00A55202" w:rsidRPr="00A55202" w:rsidRDefault="00A55202" w:rsidP="00A55202">
            <w:pPr>
              <w:spacing w:after="0" w:line="240" w:lineRule="auto"/>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příspěvek na mzdové výdaje</w:t>
            </w:r>
          </w:p>
        </w:tc>
        <w:tc>
          <w:tcPr>
            <w:tcW w:w="1264" w:type="dxa"/>
            <w:tcBorders>
              <w:top w:val="nil"/>
              <w:left w:val="single" w:sz="4" w:space="0" w:color="auto"/>
              <w:bottom w:val="single" w:sz="4" w:space="0" w:color="auto"/>
              <w:right w:val="single" w:sz="4" w:space="0" w:color="auto"/>
            </w:tcBorders>
            <w:shd w:val="clear" w:color="000000" w:fill="FFFFFF"/>
            <w:noWrap/>
            <w:vAlign w:val="bottom"/>
            <w:hideMark/>
          </w:tcPr>
          <w:p w14:paraId="1A5AF59E"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235 334 000</w:t>
            </w:r>
          </w:p>
        </w:tc>
        <w:tc>
          <w:tcPr>
            <w:tcW w:w="1602" w:type="dxa"/>
            <w:tcBorders>
              <w:top w:val="nil"/>
              <w:left w:val="nil"/>
              <w:bottom w:val="single" w:sz="4" w:space="0" w:color="auto"/>
              <w:right w:val="single" w:sz="4" w:space="0" w:color="auto"/>
            </w:tcBorders>
            <w:shd w:val="clear" w:color="000000" w:fill="FFFFFF"/>
            <w:noWrap/>
            <w:vAlign w:val="bottom"/>
            <w:hideMark/>
          </w:tcPr>
          <w:p w14:paraId="2E8D6001"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237 446 840,00</w:t>
            </w:r>
          </w:p>
        </w:tc>
        <w:tc>
          <w:tcPr>
            <w:tcW w:w="1701" w:type="dxa"/>
            <w:tcBorders>
              <w:top w:val="nil"/>
              <w:left w:val="nil"/>
              <w:bottom w:val="single" w:sz="4" w:space="0" w:color="auto"/>
              <w:right w:val="single" w:sz="4" w:space="0" w:color="auto"/>
            </w:tcBorders>
            <w:shd w:val="clear" w:color="000000" w:fill="FFFFFF"/>
            <w:noWrap/>
            <w:vAlign w:val="bottom"/>
            <w:hideMark/>
          </w:tcPr>
          <w:p w14:paraId="00A8C349"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237 446 840,00</w:t>
            </w:r>
          </w:p>
        </w:tc>
        <w:tc>
          <w:tcPr>
            <w:tcW w:w="647" w:type="dxa"/>
            <w:tcBorders>
              <w:top w:val="nil"/>
              <w:left w:val="nil"/>
              <w:bottom w:val="single" w:sz="4" w:space="0" w:color="auto"/>
              <w:right w:val="single" w:sz="8" w:space="0" w:color="auto"/>
            </w:tcBorders>
            <w:shd w:val="clear" w:color="000000" w:fill="FFFFFF"/>
            <w:noWrap/>
            <w:vAlign w:val="bottom"/>
            <w:hideMark/>
          </w:tcPr>
          <w:p w14:paraId="65586E7B"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100,0</w:t>
            </w:r>
          </w:p>
        </w:tc>
      </w:tr>
      <w:tr w:rsidR="008E0636" w:rsidRPr="00A55202" w14:paraId="20EB3631" w14:textId="77777777" w:rsidTr="008E0636">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0A6D59D1"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c>
          <w:tcPr>
            <w:tcW w:w="4672" w:type="dxa"/>
            <w:tcBorders>
              <w:top w:val="nil"/>
              <w:left w:val="nil"/>
              <w:bottom w:val="single" w:sz="4" w:space="0" w:color="auto"/>
              <w:right w:val="nil"/>
            </w:tcBorders>
            <w:shd w:val="clear" w:color="000000" w:fill="FFFFFF"/>
            <w:vAlign w:val="bottom"/>
            <w:hideMark/>
          </w:tcPr>
          <w:p w14:paraId="201B54EF" w14:textId="77777777" w:rsidR="00A55202" w:rsidRPr="00A55202" w:rsidRDefault="00A55202" w:rsidP="00A55202">
            <w:pPr>
              <w:spacing w:after="0" w:line="240" w:lineRule="auto"/>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příspěvek na běžné opravy a udržování</w:t>
            </w:r>
          </w:p>
        </w:tc>
        <w:tc>
          <w:tcPr>
            <w:tcW w:w="1264" w:type="dxa"/>
            <w:tcBorders>
              <w:top w:val="nil"/>
              <w:left w:val="single" w:sz="4" w:space="0" w:color="auto"/>
              <w:bottom w:val="single" w:sz="4" w:space="0" w:color="auto"/>
              <w:right w:val="single" w:sz="4" w:space="0" w:color="auto"/>
            </w:tcBorders>
            <w:shd w:val="clear" w:color="000000" w:fill="FFFFFF"/>
            <w:noWrap/>
            <w:vAlign w:val="bottom"/>
            <w:hideMark/>
          </w:tcPr>
          <w:p w14:paraId="53961C88"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9 005 600</w:t>
            </w:r>
          </w:p>
        </w:tc>
        <w:tc>
          <w:tcPr>
            <w:tcW w:w="1602" w:type="dxa"/>
            <w:tcBorders>
              <w:top w:val="nil"/>
              <w:left w:val="nil"/>
              <w:bottom w:val="single" w:sz="4" w:space="0" w:color="auto"/>
              <w:right w:val="single" w:sz="4" w:space="0" w:color="auto"/>
            </w:tcBorders>
            <w:shd w:val="clear" w:color="000000" w:fill="FFFFFF"/>
            <w:noWrap/>
            <w:vAlign w:val="bottom"/>
            <w:hideMark/>
          </w:tcPr>
          <w:p w14:paraId="40D160BA"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13 599 000,00</w:t>
            </w:r>
          </w:p>
        </w:tc>
        <w:tc>
          <w:tcPr>
            <w:tcW w:w="1701" w:type="dxa"/>
            <w:tcBorders>
              <w:top w:val="nil"/>
              <w:left w:val="nil"/>
              <w:bottom w:val="single" w:sz="4" w:space="0" w:color="auto"/>
              <w:right w:val="single" w:sz="4" w:space="0" w:color="auto"/>
            </w:tcBorders>
            <w:shd w:val="clear" w:color="000000" w:fill="FFFFFF"/>
            <w:noWrap/>
            <w:vAlign w:val="bottom"/>
            <w:hideMark/>
          </w:tcPr>
          <w:p w14:paraId="3B7898CF"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13 599 000,00</w:t>
            </w:r>
          </w:p>
        </w:tc>
        <w:tc>
          <w:tcPr>
            <w:tcW w:w="647" w:type="dxa"/>
            <w:tcBorders>
              <w:top w:val="nil"/>
              <w:left w:val="nil"/>
              <w:bottom w:val="single" w:sz="4" w:space="0" w:color="auto"/>
              <w:right w:val="single" w:sz="8" w:space="0" w:color="auto"/>
            </w:tcBorders>
            <w:shd w:val="clear" w:color="000000" w:fill="FFFFFF"/>
            <w:noWrap/>
            <w:vAlign w:val="bottom"/>
            <w:hideMark/>
          </w:tcPr>
          <w:p w14:paraId="1C8B23DA"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100,0</w:t>
            </w:r>
          </w:p>
        </w:tc>
      </w:tr>
      <w:tr w:rsidR="008E0636" w:rsidRPr="00A55202" w14:paraId="421FE862" w14:textId="77777777" w:rsidTr="008E0636">
        <w:trPr>
          <w:trHeight w:val="300"/>
        </w:trPr>
        <w:tc>
          <w:tcPr>
            <w:tcW w:w="826" w:type="dxa"/>
            <w:tcBorders>
              <w:top w:val="nil"/>
              <w:left w:val="single" w:sz="8" w:space="0" w:color="auto"/>
              <w:bottom w:val="single" w:sz="4" w:space="0" w:color="auto"/>
              <w:right w:val="single" w:sz="4" w:space="0" w:color="auto"/>
            </w:tcBorders>
            <w:shd w:val="clear" w:color="000000" w:fill="FFFFFF"/>
            <w:vAlign w:val="bottom"/>
            <w:hideMark/>
          </w:tcPr>
          <w:p w14:paraId="7A8AC107"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3315, 3321</w:t>
            </w:r>
          </w:p>
        </w:tc>
        <w:tc>
          <w:tcPr>
            <w:tcW w:w="4672" w:type="dxa"/>
            <w:tcBorders>
              <w:top w:val="nil"/>
              <w:left w:val="nil"/>
              <w:bottom w:val="single" w:sz="4" w:space="0" w:color="auto"/>
              <w:right w:val="nil"/>
            </w:tcBorders>
            <w:shd w:val="clear" w:color="000000" w:fill="FFFFFF"/>
            <w:noWrap/>
            <w:vAlign w:val="bottom"/>
            <w:hideMark/>
          </w:tcPr>
          <w:p w14:paraId="381C1178"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Havárie a opravy</w:t>
            </w:r>
          </w:p>
        </w:tc>
        <w:tc>
          <w:tcPr>
            <w:tcW w:w="1264" w:type="dxa"/>
            <w:tcBorders>
              <w:top w:val="nil"/>
              <w:left w:val="single" w:sz="4" w:space="0" w:color="auto"/>
              <w:bottom w:val="single" w:sz="4" w:space="0" w:color="auto"/>
              <w:right w:val="single" w:sz="4" w:space="0" w:color="auto"/>
            </w:tcBorders>
            <w:shd w:val="clear" w:color="000000" w:fill="FFFFFF"/>
            <w:noWrap/>
            <w:vAlign w:val="bottom"/>
            <w:hideMark/>
          </w:tcPr>
          <w:p w14:paraId="27D70009"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1 000 000</w:t>
            </w:r>
          </w:p>
        </w:tc>
        <w:tc>
          <w:tcPr>
            <w:tcW w:w="1602" w:type="dxa"/>
            <w:tcBorders>
              <w:top w:val="nil"/>
              <w:left w:val="nil"/>
              <w:bottom w:val="single" w:sz="4" w:space="0" w:color="auto"/>
              <w:right w:val="single" w:sz="4" w:space="0" w:color="auto"/>
            </w:tcBorders>
            <w:shd w:val="clear" w:color="000000" w:fill="FFFFFF"/>
            <w:noWrap/>
            <w:vAlign w:val="bottom"/>
            <w:hideMark/>
          </w:tcPr>
          <w:p w14:paraId="7E293222"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2 380 635,20</w:t>
            </w:r>
          </w:p>
        </w:tc>
        <w:tc>
          <w:tcPr>
            <w:tcW w:w="1701" w:type="dxa"/>
            <w:tcBorders>
              <w:top w:val="nil"/>
              <w:left w:val="nil"/>
              <w:bottom w:val="single" w:sz="4" w:space="0" w:color="auto"/>
              <w:right w:val="single" w:sz="4" w:space="0" w:color="auto"/>
            </w:tcBorders>
            <w:shd w:val="clear" w:color="000000" w:fill="FFFFFF"/>
            <w:noWrap/>
            <w:vAlign w:val="bottom"/>
            <w:hideMark/>
          </w:tcPr>
          <w:p w14:paraId="0D752C87"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2 051 579,00</w:t>
            </w:r>
          </w:p>
        </w:tc>
        <w:tc>
          <w:tcPr>
            <w:tcW w:w="647" w:type="dxa"/>
            <w:tcBorders>
              <w:top w:val="nil"/>
              <w:left w:val="nil"/>
              <w:bottom w:val="single" w:sz="4" w:space="0" w:color="auto"/>
              <w:right w:val="single" w:sz="8" w:space="0" w:color="auto"/>
            </w:tcBorders>
            <w:shd w:val="clear" w:color="000000" w:fill="FFFFFF"/>
            <w:noWrap/>
            <w:vAlign w:val="bottom"/>
            <w:hideMark/>
          </w:tcPr>
          <w:p w14:paraId="6339F95A"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86,2</w:t>
            </w:r>
          </w:p>
        </w:tc>
      </w:tr>
      <w:tr w:rsidR="008E0636" w:rsidRPr="00A55202" w14:paraId="2E7115FC" w14:textId="77777777" w:rsidTr="008E0636">
        <w:trPr>
          <w:trHeight w:val="300"/>
        </w:trPr>
        <w:tc>
          <w:tcPr>
            <w:tcW w:w="826" w:type="dxa"/>
            <w:tcBorders>
              <w:top w:val="nil"/>
              <w:left w:val="single" w:sz="8" w:space="0" w:color="auto"/>
              <w:bottom w:val="nil"/>
              <w:right w:val="single" w:sz="4" w:space="0" w:color="auto"/>
            </w:tcBorders>
            <w:shd w:val="clear" w:color="000000" w:fill="FFFFFF"/>
            <w:noWrap/>
            <w:vAlign w:val="bottom"/>
            <w:hideMark/>
          </w:tcPr>
          <w:p w14:paraId="5D22C6A6"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lastRenderedPageBreak/>
              <w:t> </w:t>
            </w:r>
          </w:p>
        </w:tc>
        <w:tc>
          <w:tcPr>
            <w:tcW w:w="4672" w:type="dxa"/>
            <w:tcBorders>
              <w:top w:val="nil"/>
              <w:left w:val="nil"/>
              <w:bottom w:val="single" w:sz="4" w:space="0" w:color="auto"/>
              <w:right w:val="nil"/>
            </w:tcBorders>
            <w:shd w:val="clear" w:color="000000" w:fill="FFFFFF"/>
            <w:vAlign w:val="bottom"/>
            <w:hideMark/>
          </w:tcPr>
          <w:p w14:paraId="1A2BC059"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z toho:</w:t>
            </w:r>
          </w:p>
        </w:tc>
        <w:tc>
          <w:tcPr>
            <w:tcW w:w="1264" w:type="dxa"/>
            <w:tcBorders>
              <w:top w:val="nil"/>
              <w:left w:val="single" w:sz="4" w:space="0" w:color="auto"/>
              <w:bottom w:val="single" w:sz="4" w:space="0" w:color="auto"/>
              <w:right w:val="single" w:sz="4" w:space="0" w:color="auto"/>
            </w:tcBorders>
            <w:shd w:val="clear" w:color="000000" w:fill="FFFFFF"/>
            <w:noWrap/>
            <w:vAlign w:val="bottom"/>
            <w:hideMark/>
          </w:tcPr>
          <w:p w14:paraId="1B7EDB58" w14:textId="77777777" w:rsidR="00A55202" w:rsidRPr="00A55202" w:rsidRDefault="00A55202" w:rsidP="00A55202">
            <w:pPr>
              <w:spacing w:after="0" w:line="240" w:lineRule="auto"/>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 </w:t>
            </w:r>
          </w:p>
        </w:tc>
        <w:tc>
          <w:tcPr>
            <w:tcW w:w="1602" w:type="dxa"/>
            <w:tcBorders>
              <w:top w:val="nil"/>
              <w:left w:val="nil"/>
              <w:bottom w:val="single" w:sz="4" w:space="0" w:color="auto"/>
              <w:right w:val="single" w:sz="4" w:space="0" w:color="auto"/>
            </w:tcBorders>
            <w:shd w:val="clear" w:color="000000" w:fill="FFFFFF"/>
            <w:noWrap/>
            <w:vAlign w:val="bottom"/>
            <w:hideMark/>
          </w:tcPr>
          <w:p w14:paraId="6CB17D9B" w14:textId="77777777" w:rsidR="00A55202" w:rsidRPr="00A55202" w:rsidRDefault="00A55202" w:rsidP="00A55202">
            <w:pPr>
              <w:spacing w:after="0" w:line="240" w:lineRule="auto"/>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 </w:t>
            </w:r>
          </w:p>
        </w:tc>
        <w:tc>
          <w:tcPr>
            <w:tcW w:w="1701" w:type="dxa"/>
            <w:tcBorders>
              <w:top w:val="nil"/>
              <w:left w:val="nil"/>
              <w:bottom w:val="single" w:sz="4" w:space="0" w:color="auto"/>
              <w:right w:val="single" w:sz="4" w:space="0" w:color="auto"/>
            </w:tcBorders>
            <w:shd w:val="clear" w:color="000000" w:fill="FFFFFF"/>
            <w:noWrap/>
            <w:vAlign w:val="bottom"/>
            <w:hideMark/>
          </w:tcPr>
          <w:p w14:paraId="702C9DD0" w14:textId="77777777" w:rsidR="00A55202" w:rsidRPr="00A55202" w:rsidRDefault="00A55202" w:rsidP="00A55202">
            <w:pPr>
              <w:spacing w:after="0" w:line="240" w:lineRule="auto"/>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 </w:t>
            </w:r>
          </w:p>
        </w:tc>
        <w:tc>
          <w:tcPr>
            <w:tcW w:w="647" w:type="dxa"/>
            <w:tcBorders>
              <w:top w:val="nil"/>
              <w:left w:val="nil"/>
              <w:bottom w:val="single" w:sz="4" w:space="0" w:color="auto"/>
              <w:right w:val="single" w:sz="8" w:space="0" w:color="auto"/>
            </w:tcBorders>
            <w:shd w:val="clear" w:color="000000" w:fill="FFFFFF"/>
            <w:noWrap/>
            <w:vAlign w:val="bottom"/>
            <w:hideMark/>
          </w:tcPr>
          <w:p w14:paraId="7AAF342A"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 </w:t>
            </w:r>
          </w:p>
        </w:tc>
      </w:tr>
      <w:tr w:rsidR="008E0636" w:rsidRPr="00A55202" w14:paraId="02219264" w14:textId="77777777" w:rsidTr="008E0636">
        <w:trPr>
          <w:trHeight w:val="552"/>
        </w:trPr>
        <w:tc>
          <w:tcPr>
            <w:tcW w:w="826" w:type="dxa"/>
            <w:tcBorders>
              <w:top w:val="single" w:sz="4" w:space="0" w:color="auto"/>
              <w:left w:val="single" w:sz="8" w:space="0" w:color="auto"/>
              <w:bottom w:val="single" w:sz="4" w:space="0" w:color="auto"/>
              <w:right w:val="single" w:sz="4" w:space="0" w:color="auto"/>
            </w:tcBorders>
            <w:shd w:val="clear" w:color="000000" w:fill="FFFFFF"/>
            <w:noWrap/>
            <w:vAlign w:val="bottom"/>
            <w:hideMark/>
          </w:tcPr>
          <w:p w14:paraId="43653F96" w14:textId="77777777" w:rsidR="00A55202" w:rsidRPr="00A55202" w:rsidRDefault="00A55202" w:rsidP="00A55202">
            <w:pPr>
              <w:spacing w:after="0" w:line="240" w:lineRule="auto"/>
              <w:jc w:val="center"/>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 </w:t>
            </w:r>
          </w:p>
        </w:tc>
        <w:tc>
          <w:tcPr>
            <w:tcW w:w="4672" w:type="dxa"/>
            <w:tcBorders>
              <w:top w:val="nil"/>
              <w:left w:val="nil"/>
              <w:bottom w:val="single" w:sz="4" w:space="0" w:color="auto"/>
              <w:right w:val="nil"/>
            </w:tcBorders>
            <w:shd w:val="clear" w:color="000000" w:fill="FFFFFF"/>
            <w:vAlign w:val="bottom"/>
            <w:hideMark/>
          </w:tcPr>
          <w:p w14:paraId="1E452B92" w14:textId="77777777" w:rsidR="00A55202" w:rsidRPr="00A55202" w:rsidRDefault="00A55202" w:rsidP="00A55202">
            <w:pPr>
              <w:spacing w:after="0" w:line="240" w:lineRule="auto"/>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výdaje na opravy a údržbu majetku PO</w:t>
            </w:r>
          </w:p>
        </w:tc>
        <w:tc>
          <w:tcPr>
            <w:tcW w:w="1264" w:type="dxa"/>
            <w:tcBorders>
              <w:top w:val="nil"/>
              <w:left w:val="single" w:sz="4" w:space="0" w:color="auto"/>
              <w:bottom w:val="single" w:sz="4" w:space="0" w:color="auto"/>
              <w:right w:val="single" w:sz="4" w:space="0" w:color="auto"/>
            </w:tcBorders>
            <w:shd w:val="clear" w:color="000000" w:fill="FFFFFF"/>
            <w:noWrap/>
            <w:vAlign w:val="bottom"/>
            <w:hideMark/>
          </w:tcPr>
          <w:p w14:paraId="5EA53DDA"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1 000 000</w:t>
            </w:r>
          </w:p>
        </w:tc>
        <w:tc>
          <w:tcPr>
            <w:tcW w:w="1602" w:type="dxa"/>
            <w:tcBorders>
              <w:top w:val="nil"/>
              <w:left w:val="nil"/>
              <w:bottom w:val="single" w:sz="4" w:space="0" w:color="auto"/>
              <w:right w:val="single" w:sz="4" w:space="0" w:color="auto"/>
            </w:tcBorders>
            <w:shd w:val="clear" w:color="000000" w:fill="FFFFFF"/>
            <w:noWrap/>
            <w:vAlign w:val="bottom"/>
            <w:hideMark/>
          </w:tcPr>
          <w:p w14:paraId="0442CEC8"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2 380 635,20</w:t>
            </w:r>
          </w:p>
        </w:tc>
        <w:tc>
          <w:tcPr>
            <w:tcW w:w="1701" w:type="dxa"/>
            <w:tcBorders>
              <w:top w:val="nil"/>
              <w:left w:val="nil"/>
              <w:bottom w:val="single" w:sz="4" w:space="0" w:color="auto"/>
              <w:right w:val="single" w:sz="4" w:space="0" w:color="auto"/>
            </w:tcBorders>
            <w:shd w:val="clear" w:color="000000" w:fill="FFFFFF"/>
            <w:noWrap/>
            <w:vAlign w:val="bottom"/>
            <w:hideMark/>
          </w:tcPr>
          <w:p w14:paraId="1203886E"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2 051 579,00</w:t>
            </w:r>
          </w:p>
        </w:tc>
        <w:tc>
          <w:tcPr>
            <w:tcW w:w="647" w:type="dxa"/>
            <w:tcBorders>
              <w:top w:val="nil"/>
              <w:left w:val="nil"/>
              <w:bottom w:val="single" w:sz="4" w:space="0" w:color="auto"/>
              <w:right w:val="single" w:sz="8" w:space="0" w:color="auto"/>
            </w:tcBorders>
            <w:shd w:val="clear" w:color="000000" w:fill="FFFFFF"/>
            <w:noWrap/>
            <w:vAlign w:val="bottom"/>
            <w:hideMark/>
          </w:tcPr>
          <w:p w14:paraId="2C959929"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86,2</w:t>
            </w:r>
          </w:p>
        </w:tc>
      </w:tr>
      <w:tr w:rsidR="008E0636" w:rsidRPr="00A55202" w14:paraId="7AA32795" w14:textId="77777777" w:rsidTr="008E0636">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5CF9A74C"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3319</w:t>
            </w:r>
          </w:p>
        </w:tc>
        <w:tc>
          <w:tcPr>
            <w:tcW w:w="4672" w:type="dxa"/>
            <w:tcBorders>
              <w:top w:val="nil"/>
              <w:left w:val="nil"/>
              <w:bottom w:val="single" w:sz="4" w:space="0" w:color="auto"/>
              <w:right w:val="nil"/>
            </w:tcBorders>
            <w:shd w:val="clear" w:color="000000" w:fill="FFFFFF"/>
            <w:vAlign w:val="bottom"/>
            <w:hideMark/>
          </w:tcPr>
          <w:p w14:paraId="7093E573"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Prostředky za porušení rozpočtové kázně - částečné prominutí odvodu</w:t>
            </w:r>
          </w:p>
        </w:tc>
        <w:tc>
          <w:tcPr>
            <w:tcW w:w="1264" w:type="dxa"/>
            <w:tcBorders>
              <w:top w:val="nil"/>
              <w:left w:val="single" w:sz="4" w:space="0" w:color="auto"/>
              <w:bottom w:val="single" w:sz="4" w:space="0" w:color="auto"/>
              <w:right w:val="single" w:sz="4" w:space="0" w:color="auto"/>
            </w:tcBorders>
            <w:shd w:val="clear" w:color="000000" w:fill="FFFFFF"/>
            <w:noWrap/>
            <w:vAlign w:val="bottom"/>
            <w:hideMark/>
          </w:tcPr>
          <w:p w14:paraId="74D6719F"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0</w:t>
            </w:r>
          </w:p>
        </w:tc>
        <w:tc>
          <w:tcPr>
            <w:tcW w:w="1602" w:type="dxa"/>
            <w:tcBorders>
              <w:top w:val="nil"/>
              <w:left w:val="nil"/>
              <w:bottom w:val="single" w:sz="4" w:space="0" w:color="auto"/>
              <w:right w:val="single" w:sz="4" w:space="0" w:color="auto"/>
            </w:tcBorders>
            <w:shd w:val="clear" w:color="000000" w:fill="FFFFFF"/>
            <w:noWrap/>
            <w:vAlign w:val="bottom"/>
            <w:hideMark/>
          </w:tcPr>
          <w:p w14:paraId="61D1E2E9"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97 790,00</w:t>
            </w:r>
          </w:p>
        </w:tc>
        <w:tc>
          <w:tcPr>
            <w:tcW w:w="1701" w:type="dxa"/>
            <w:tcBorders>
              <w:top w:val="nil"/>
              <w:left w:val="nil"/>
              <w:bottom w:val="single" w:sz="4" w:space="0" w:color="auto"/>
              <w:right w:val="single" w:sz="4" w:space="0" w:color="auto"/>
            </w:tcBorders>
            <w:shd w:val="clear" w:color="000000" w:fill="FFFFFF"/>
            <w:noWrap/>
            <w:vAlign w:val="bottom"/>
            <w:hideMark/>
          </w:tcPr>
          <w:p w14:paraId="4BFAF21D"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95 780,00</w:t>
            </w:r>
          </w:p>
        </w:tc>
        <w:tc>
          <w:tcPr>
            <w:tcW w:w="647" w:type="dxa"/>
            <w:tcBorders>
              <w:top w:val="nil"/>
              <w:left w:val="nil"/>
              <w:bottom w:val="single" w:sz="4" w:space="0" w:color="auto"/>
              <w:right w:val="single" w:sz="8" w:space="0" w:color="auto"/>
            </w:tcBorders>
            <w:shd w:val="clear" w:color="000000" w:fill="FFFFFF"/>
            <w:noWrap/>
            <w:vAlign w:val="bottom"/>
            <w:hideMark/>
          </w:tcPr>
          <w:p w14:paraId="75272AD5"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97,9</w:t>
            </w:r>
          </w:p>
        </w:tc>
      </w:tr>
      <w:tr w:rsidR="008E0636" w:rsidRPr="00A55202" w14:paraId="3A78DEEB" w14:textId="77777777" w:rsidTr="008E0636">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60328938"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3319</w:t>
            </w:r>
          </w:p>
        </w:tc>
        <w:tc>
          <w:tcPr>
            <w:tcW w:w="4672" w:type="dxa"/>
            <w:tcBorders>
              <w:top w:val="nil"/>
              <w:left w:val="nil"/>
              <w:bottom w:val="single" w:sz="4" w:space="0" w:color="auto"/>
              <w:right w:val="nil"/>
            </w:tcBorders>
            <w:shd w:val="clear" w:color="000000" w:fill="FFFFFF"/>
            <w:vAlign w:val="bottom"/>
            <w:hideMark/>
          </w:tcPr>
          <w:p w14:paraId="0DC7208F"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Kreativní střední Čechy</w:t>
            </w:r>
          </w:p>
        </w:tc>
        <w:tc>
          <w:tcPr>
            <w:tcW w:w="1264" w:type="dxa"/>
            <w:tcBorders>
              <w:top w:val="nil"/>
              <w:left w:val="single" w:sz="4" w:space="0" w:color="auto"/>
              <w:bottom w:val="single" w:sz="4" w:space="0" w:color="auto"/>
              <w:right w:val="single" w:sz="4" w:space="0" w:color="auto"/>
            </w:tcBorders>
            <w:shd w:val="clear" w:color="000000" w:fill="FFFFFF"/>
            <w:noWrap/>
            <w:vAlign w:val="bottom"/>
            <w:hideMark/>
          </w:tcPr>
          <w:p w14:paraId="2B38C10D"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0</w:t>
            </w:r>
          </w:p>
        </w:tc>
        <w:tc>
          <w:tcPr>
            <w:tcW w:w="1602" w:type="dxa"/>
            <w:tcBorders>
              <w:top w:val="nil"/>
              <w:left w:val="nil"/>
              <w:bottom w:val="single" w:sz="4" w:space="0" w:color="auto"/>
              <w:right w:val="single" w:sz="4" w:space="0" w:color="auto"/>
            </w:tcBorders>
            <w:shd w:val="clear" w:color="000000" w:fill="FFFFFF"/>
            <w:noWrap/>
            <w:vAlign w:val="bottom"/>
            <w:hideMark/>
          </w:tcPr>
          <w:p w14:paraId="3B52E4EB"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700 000,00</w:t>
            </w:r>
          </w:p>
        </w:tc>
        <w:tc>
          <w:tcPr>
            <w:tcW w:w="1701" w:type="dxa"/>
            <w:tcBorders>
              <w:top w:val="nil"/>
              <w:left w:val="nil"/>
              <w:bottom w:val="single" w:sz="4" w:space="0" w:color="auto"/>
              <w:right w:val="single" w:sz="4" w:space="0" w:color="auto"/>
            </w:tcBorders>
            <w:shd w:val="clear" w:color="000000" w:fill="FFFFFF"/>
            <w:noWrap/>
            <w:vAlign w:val="bottom"/>
            <w:hideMark/>
          </w:tcPr>
          <w:p w14:paraId="7624D300"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0,00</w:t>
            </w:r>
          </w:p>
        </w:tc>
        <w:tc>
          <w:tcPr>
            <w:tcW w:w="647" w:type="dxa"/>
            <w:tcBorders>
              <w:top w:val="nil"/>
              <w:left w:val="nil"/>
              <w:bottom w:val="single" w:sz="4" w:space="0" w:color="auto"/>
              <w:right w:val="single" w:sz="8" w:space="0" w:color="auto"/>
            </w:tcBorders>
            <w:shd w:val="clear" w:color="000000" w:fill="FFFFFF"/>
            <w:noWrap/>
            <w:vAlign w:val="bottom"/>
            <w:hideMark/>
          </w:tcPr>
          <w:p w14:paraId="7DBF99B6"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0,0</w:t>
            </w:r>
          </w:p>
        </w:tc>
      </w:tr>
      <w:tr w:rsidR="008E0636" w:rsidRPr="00A55202" w14:paraId="4A8DBC99" w14:textId="77777777" w:rsidTr="008E0636">
        <w:trPr>
          <w:trHeight w:val="675"/>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4A0CA454"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3319</w:t>
            </w:r>
          </w:p>
        </w:tc>
        <w:tc>
          <w:tcPr>
            <w:tcW w:w="4672" w:type="dxa"/>
            <w:tcBorders>
              <w:top w:val="nil"/>
              <w:left w:val="nil"/>
              <w:bottom w:val="single" w:sz="4" w:space="0" w:color="auto"/>
              <w:right w:val="nil"/>
            </w:tcBorders>
            <w:shd w:val="clear" w:color="000000" w:fill="FFFFFF"/>
            <w:vAlign w:val="bottom"/>
            <w:hideMark/>
          </w:tcPr>
          <w:p w14:paraId="620904E1"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Metodická a koncepční činnost odboru</w:t>
            </w:r>
          </w:p>
        </w:tc>
        <w:tc>
          <w:tcPr>
            <w:tcW w:w="1264" w:type="dxa"/>
            <w:tcBorders>
              <w:top w:val="nil"/>
              <w:left w:val="single" w:sz="4" w:space="0" w:color="auto"/>
              <w:bottom w:val="single" w:sz="4" w:space="0" w:color="auto"/>
              <w:right w:val="single" w:sz="4" w:space="0" w:color="auto"/>
            </w:tcBorders>
            <w:shd w:val="clear" w:color="000000" w:fill="FFFFFF"/>
            <w:noWrap/>
            <w:vAlign w:val="bottom"/>
            <w:hideMark/>
          </w:tcPr>
          <w:p w14:paraId="0F0D07D4"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935 000</w:t>
            </w:r>
          </w:p>
        </w:tc>
        <w:tc>
          <w:tcPr>
            <w:tcW w:w="1602" w:type="dxa"/>
            <w:tcBorders>
              <w:top w:val="nil"/>
              <w:left w:val="nil"/>
              <w:bottom w:val="single" w:sz="4" w:space="0" w:color="auto"/>
              <w:right w:val="single" w:sz="4" w:space="0" w:color="auto"/>
            </w:tcBorders>
            <w:shd w:val="clear" w:color="000000" w:fill="FFFFFF"/>
            <w:noWrap/>
            <w:vAlign w:val="bottom"/>
            <w:hideMark/>
          </w:tcPr>
          <w:p w14:paraId="01F20C90"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1 541 337,00</w:t>
            </w:r>
          </w:p>
        </w:tc>
        <w:tc>
          <w:tcPr>
            <w:tcW w:w="1701" w:type="dxa"/>
            <w:tcBorders>
              <w:top w:val="nil"/>
              <w:left w:val="nil"/>
              <w:bottom w:val="single" w:sz="4" w:space="0" w:color="auto"/>
              <w:right w:val="single" w:sz="4" w:space="0" w:color="auto"/>
            </w:tcBorders>
            <w:shd w:val="clear" w:color="000000" w:fill="FFFFFF"/>
            <w:noWrap/>
            <w:vAlign w:val="bottom"/>
            <w:hideMark/>
          </w:tcPr>
          <w:p w14:paraId="3DD89ACC"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634 770,18</w:t>
            </w:r>
          </w:p>
        </w:tc>
        <w:tc>
          <w:tcPr>
            <w:tcW w:w="647" w:type="dxa"/>
            <w:tcBorders>
              <w:top w:val="nil"/>
              <w:left w:val="nil"/>
              <w:bottom w:val="single" w:sz="4" w:space="0" w:color="auto"/>
              <w:right w:val="single" w:sz="8" w:space="0" w:color="auto"/>
            </w:tcBorders>
            <w:shd w:val="clear" w:color="000000" w:fill="FFFFFF"/>
            <w:noWrap/>
            <w:vAlign w:val="bottom"/>
            <w:hideMark/>
          </w:tcPr>
          <w:p w14:paraId="39B75D94"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41,2</w:t>
            </w:r>
          </w:p>
        </w:tc>
      </w:tr>
      <w:tr w:rsidR="008E0636" w:rsidRPr="00A55202" w14:paraId="1218C4A8" w14:textId="77777777" w:rsidTr="008E0636">
        <w:trPr>
          <w:trHeight w:val="450"/>
        </w:trPr>
        <w:tc>
          <w:tcPr>
            <w:tcW w:w="826" w:type="dxa"/>
            <w:tcBorders>
              <w:top w:val="nil"/>
              <w:left w:val="single" w:sz="8" w:space="0" w:color="auto"/>
              <w:bottom w:val="single" w:sz="4" w:space="0" w:color="auto"/>
              <w:right w:val="single" w:sz="4" w:space="0" w:color="auto"/>
            </w:tcBorders>
            <w:shd w:val="clear" w:color="000000" w:fill="FFFFFF"/>
            <w:vAlign w:val="center"/>
            <w:hideMark/>
          </w:tcPr>
          <w:p w14:paraId="3A891E83" w14:textId="77777777" w:rsidR="00A55202" w:rsidRPr="00A55202" w:rsidRDefault="00A55202" w:rsidP="00A55202">
            <w:pPr>
              <w:spacing w:after="0" w:line="240" w:lineRule="auto"/>
              <w:jc w:val="center"/>
              <w:rPr>
                <w:rFonts w:ascii="Calibri" w:eastAsia="Times New Roman" w:hAnsi="Calibri" w:cs="Calibri"/>
                <w:sz w:val="16"/>
                <w:szCs w:val="16"/>
                <w:lang w:eastAsia="cs-CZ"/>
              </w:rPr>
            </w:pPr>
            <w:r w:rsidRPr="00A55202">
              <w:rPr>
                <w:rFonts w:ascii="Calibri" w:eastAsia="Times New Roman" w:hAnsi="Calibri" w:cs="Calibri"/>
                <w:sz w:val="16"/>
                <w:szCs w:val="16"/>
                <w:lang w:eastAsia="cs-CZ"/>
              </w:rPr>
              <w:t>3312, 3313, 3319</w:t>
            </w:r>
          </w:p>
        </w:tc>
        <w:tc>
          <w:tcPr>
            <w:tcW w:w="4672" w:type="dxa"/>
            <w:tcBorders>
              <w:top w:val="nil"/>
              <w:left w:val="nil"/>
              <w:bottom w:val="single" w:sz="4" w:space="0" w:color="auto"/>
              <w:right w:val="nil"/>
            </w:tcBorders>
            <w:shd w:val="clear" w:color="000000" w:fill="FFFFFF"/>
            <w:noWrap/>
            <w:vAlign w:val="bottom"/>
            <w:hideMark/>
          </w:tcPr>
          <w:p w14:paraId="396454C4"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Podpora živé kultury</w:t>
            </w:r>
          </w:p>
        </w:tc>
        <w:tc>
          <w:tcPr>
            <w:tcW w:w="1264" w:type="dxa"/>
            <w:tcBorders>
              <w:top w:val="nil"/>
              <w:left w:val="single" w:sz="4" w:space="0" w:color="auto"/>
              <w:bottom w:val="single" w:sz="4" w:space="0" w:color="auto"/>
              <w:right w:val="single" w:sz="4" w:space="0" w:color="auto"/>
            </w:tcBorders>
            <w:shd w:val="clear" w:color="000000" w:fill="FFFFFF"/>
            <w:noWrap/>
            <w:vAlign w:val="bottom"/>
            <w:hideMark/>
          </w:tcPr>
          <w:p w14:paraId="5914C07D"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1 815 000</w:t>
            </w:r>
          </w:p>
        </w:tc>
        <w:tc>
          <w:tcPr>
            <w:tcW w:w="1602" w:type="dxa"/>
            <w:tcBorders>
              <w:top w:val="nil"/>
              <w:left w:val="nil"/>
              <w:bottom w:val="single" w:sz="4" w:space="0" w:color="auto"/>
              <w:right w:val="single" w:sz="4" w:space="0" w:color="auto"/>
            </w:tcBorders>
            <w:shd w:val="clear" w:color="000000" w:fill="FFFFFF"/>
            <w:noWrap/>
            <w:vAlign w:val="bottom"/>
            <w:hideMark/>
          </w:tcPr>
          <w:p w14:paraId="0C295AB9"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5 379 300,00</w:t>
            </w:r>
          </w:p>
        </w:tc>
        <w:tc>
          <w:tcPr>
            <w:tcW w:w="1701" w:type="dxa"/>
            <w:tcBorders>
              <w:top w:val="nil"/>
              <w:left w:val="nil"/>
              <w:bottom w:val="single" w:sz="4" w:space="0" w:color="auto"/>
              <w:right w:val="single" w:sz="4" w:space="0" w:color="auto"/>
            </w:tcBorders>
            <w:shd w:val="clear" w:color="000000" w:fill="FFFFFF"/>
            <w:noWrap/>
            <w:vAlign w:val="bottom"/>
            <w:hideMark/>
          </w:tcPr>
          <w:p w14:paraId="298A207C"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5 338 500,00</w:t>
            </w:r>
          </w:p>
        </w:tc>
        <w:tc>
          <w:tcPr>
            <w:tcW w:w="647" w:type="dxa"/>
            <w:tcBorders>
              <w:top w:val="nil"/>
              <w:left w:val="nil"/>
              <w:bottom w:val="single" w:sz="4" w:space="0" w:color="auto"/>
              <w:right w:val="single" w:sz="8" w:space="0" w:color="auto"/>
            </w:tcBorders>
            <w:shd w:val="clear" w:color="000000" w:fill="FFFFFF"/>
            <w:noWrap/>
            <w:vAlign w:val="bottom"/>
            <w:hideMark/>
          </w:tcPr>
          <w:p w14:paraId="330CEE25"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99,2</w:t>
            </w:r>
          </w:p>
        </w:tc>
      </w:tr>
      <w:tr w:rsidR="008E0636" w:rsidRPr="00A55202" w14:paraId="21276389" w14:textId="77777777" w:rsidTr="008E0636">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5B3D11E2" w14:textId="77777777" w:rsidR="00A55202" w:rsidRPr="00A55202" w:rsidRDefault="00A55202" w:rsidP="00A55202">
            <w:pPr>
              <w:spacing w:after="0" w:line="240" w:lineRule="auto"/>
              <w:jc w:val="center"/>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 </w:t>
            </w:r>
          </w:p>
        </w:tc>
        <w:tc>
          <w:tcPr>
            <w:tcW w:w="4672" w:type="dxa"/>
            <w:tcBorders>
              <w:top w:val="nil"/>
              <w:left w:val="nil"/>
              <w:bottom w:val="single" w:sz="4" w:space="0" w:color="auto"/>
              <w:right w:val="nil"/>
            </w:tcBorders>
            <w:shd w:val="clear" w:color="000000" w:fill="FFFFFF"/>
            <w:noWrap/>
            <w:vAlign w:val="bottom"/>
            <w:hideMark/>
          </w:tcPr>
          <w:p w14:paraId="50E3F56D"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xml:space="preserve">z toho:  </w:t>
            </w:r>
          </w:p>
        </w:tc>
        <w:tc>
          <w:tcPr>
            <w:tcW w:w="1264" w:type="dxa"/>
            <w:tcBorders>
              <w:top w:val="nil"/>
              <w:left w:val="single" w:sz="4" w:space="0" w:color="auto"/>
              <w:bottom w:val="single" w:sz="4" w:space="0" w:color="auto"/>
              <w:right w:val="single" w:sz="4" w:space="0" w:color="auto"/>
            </w:tcBorders>
            <w:shd w:val="clear" w:color="000000" w:fill="FFFFFF"/>
            <w:noWrap/>
            <w:vAlign w:val="bottom"/>
            <w:hideMark/>
          </w:tcPr>
          <w:p w14:paraId="544B26C5" w14:textId="77777777" w:rsidR="00A55202" w:rsidRPr="00A55202" w:rsidRDefault="00A55202" w:rsidP="00A55202">
            <w:pPr>
              <w:spacing w:after="0" w:line="240" w:lineRule="auto"/>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 </w:t>
            </w:r>
          </w:p>
        </w:tc>
        <w:tc>
          <w:tcPr>
            <w:tcW w:w="1602" w:type="dxa"/>
            <w:tcBorders>
              <w:top w:val="nil"/>
              <w:left w:val="nil"/>
              <w:bottom w:val="single" w:sz="4" w:space="0" w:color="auto"/>
              <w:right w:val="single" w:sz="4" w:space="0" w:color="auto"/>
            </w:tcBorders>
            <w:shd w:val="clear" w:color="000000" w:fill="FFFFFF"/>
            <w:noWrap/>
            <w:vAlign w:val="bottom"/>
            <w:hideMark/>
          </w:tcPr>
          <w:p w14:paraId="621B3B0A" w14:textId="77777777" w:rsidR="00A55202" w:rsidRPr="00A55202" w:rsidRDefault="00A55202" w:rsidP="00A55202">
            <w:pPr>
              <w:spacing w:after="0" w:line="240" w:lineRule="auto"/>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 </w:t>
            </w:r>
          </w:p>
        </w:tc>
        <w:tc>
          <w:tcPr>
            <w:tcW w:w="1701" w:type="dxa"/>
            <w:tcBorders>
              <w:top w:val="nil"/>
              <w:left w:val="nil"/>
              <w:bottom w:val="single" w:sz="4" w:space="0" w:color="auto"/>
              <w:right w:val="single" w:sz="4" w:space="0" w:color="auto"/>
            </w:tcBorders>
            <w:shd w:val="clear" w:color="000000" w:fill="FFFFFF"/>
            <w:noWrap/>
            <w:vAlign w:val="bottom"/>
            <w:hideMark/>
          </w:tcPr>
          <w:p w14:paraId="49B4E8EA" w14:textId="77777777" w:rsidR="00A55202" w:rsidRPr="00A55202" w:rsidRDefault="00A55202" w:rsidP="00A55202">
            <w:pPr>
              <w:spacing w:after="0" w:line="240" w:lineRule="auto"/>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 </w:t>
            </w:r>
          </w:p>
        </w:tc>
        <w:tc>
          <w:tcPr>
            <w:tcW w:w="647" w:type="dxa"/>
            <w:tcBorders>
              <w:top w:val="nil"/>
              <w:left w:val="nil"/>
              <w:bottom w:val="single" w:sz="4" w:space="0" w:color="auto"/>
              <w:right w:val="single" w:sz="8" w:space="0" w:color="auto"/>
            </w:tcBorders>
            <w:shd w:val="clear" w:color="000000" w:fill="FFFFFF"/>
            <w:noWrap/>
            <w:vAlign w:val="bottom"/>
            <w:hideMark/>
          </w:tcPr>
          <w:p w14:paraId="3C5843A2"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r>
      <w:tr w:rsidR="008E0636" w:rsidRPr="00A55202" w14:paraId="1224009E" w14:textId="77777777" w:rsidTr="008E0636">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7F2255C2" w14:textId="77777777" w:rsidR="00A55202" w:rsidRPr="00A55202" w:rsidRDefault="00A55202" w:rsidP="00A55202">
            <w:pPr>
              <w:spacing w:after="0" w:line="240" w:lineRule="auto"/>
              <w:jc w:val="center"/>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 </w:t>
            </w:r>
          </w:p>
        </w:tc>
        <w:tc>
          <w:tcPr>
            <w:tcW w:w="4672" w:type="dxa"/>
            <w:tcBorders>
              <w:top w:val="nil"/>
              <w:left w:val="nil"/>
              <w:bottom w:val="single" w:sz="4" w:space="0" w:color="auto"/>
              <w:right w:val="nil"/>
            </w:tcBorders>
            <w:shd w:val="clear" w:color="000000" w:fill="FFFFFF"/>
            <w:noWrap/>
            <w:vAlign w:val="bottom"/>
            <w:hideMark/>
          </w:tcPr>
          <w:p w14:paraId="6340EF42" w14:textId="77777777" w:rsidR="00A55202" w:rsidRPr="00A55202" w:rsidRDefault="00A55202" w:rsidP="00A55202">
            <w:pPr>
              <w:spacing w:after="0" w:line="240" w:lineRule="auto"/>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Má vlast cestami proměn</w:t>
            </w:r>
          </w:p>
        </w:tc>
        <w:tc>
          <w:tcPr>
            <w:tcW w:w="1264" w:type="dxa"/>
            <w:tcBorders>
              <w:top w:val="nil"/>
              <w:left w:val="single" w:sz="4" w:space="0" w:color="auto"/>
              <w:bottom w:val="single" w:sz="4" w:space="0" w:color="auto"/>
              <w:right w:val="single" w:sz="4" w:space="0" w:color="auto"/>
            </w:tcBorders>
            <w:shd w:val="clear" w:color="000000" w:fill="FFFFFF"/>
            <w:noWrap/>
            <w:vAlign w:val="bottom"/>
            <w:hideMark/>
          </w:tcPr>
          <w:p w14:paraId="4D279383"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65 000</w:t>
            </w:r>
          </w:p>
        </w:tc>
        <w:tc>
          <w:tcPr>
            <w:tcW w:w="1602" w:type="dxa"/>
            <w:tcBorders>
              <w:top w:val="nil"/>
              <w:left w:val="nil"/>
              <w:bottom w:val="single" w:sz="4" w:space="0" w:color="auto"/>
              <w:right w:val="single" w:sz="4" w:space="0" w:color="auto"/>
            </w:tcBorders>
            <w:shd w:val="clear" w:color="000000" w:fill="FFFFFF"/>
            <w:noWrap/>
            <w:vAlign w:val="bottom"/>
            <w:hideMark/>
          </w:tcPr>
          <w:p w14:paraId="0252EEF2"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40 800,00</w:t>
            </w:r>
          </w:p>
        </w:tc>
        <w:tc>
          <w:tcPr>
            <w:tcW w:w="1701" w:type="dxa"/>
            <w:tcBorders>
              <w:top w:val="nil"/>
              <w:left w:val="nil"/>
              <w:bottom w:val="single" w:sz="4" w:space="0" w:color="auto"/>
              <w:right w:val="single" w:sz="4" w:space="0" w:color="auto"/>
            </w:tcBorders>
            <w:shd w:val="clear" w:color="000000" w:fill="FFFFFF"/>
            <w:noWrap/>
            <w:vAlign w:val="bottom"/>
            <w:hideMark/>
          </w:tcPr>
          <w:p w14:paraId="42A57209"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0,00</w:t>
            </w:r>
          </w:p>
        </w:tc>
        <w:tc>
          <w:tcPr>
            <w:tcW w:w="647" w:type="dxa"/>
            <w:tcBorders>
              <w:top w:val="nil"/>
              <w:left w:val="nil"/>
              <w:bottom w:val="single" w:sz="4" w:space="0" w:color="auto"/>
              <w:right w:val="single" w:sz="8" w:space="0" w:color="auto"/>
            </w:tcBorders>
            <w:shd w:val="clear" w:color="000000" w:fill="FFFFFF"/>
            <w:noWrap/>
            <w:vAlign w:val="bottom"/>
            <w:hideMark/>
          </w:tcPr>
          <w:p w14:paraId="60149EFC"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0,0</w:t>
            </w:r>
          </w:p>
        </w:tc>
      </w:tr>
      <w:tr w:rsidR="008E0636" w:rsidRPr="00A55202" w14:paraId="272C0360" w14:textId="77777777" w:rsidTr="008E0636">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0A38636D" w14:textId="77777777" w:rsidR="00A55202" w:rsidRPr="00A55202" w:rsidRDefault="00A55202" w:rsidP="00A55202">
            <w:pPr>
              <w:spacing w:after="0" w:line="240" w:lineRule="auto"/>
              <w:jc w:val="center"/>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 </w:t>
            </w:r>
          </w:p>
        </w:tc>
        <w:tc>
          <w:tcPr>
            <w:tcW w:w="4672" w:type="dxa"/>
            <w:tcBorders>
              <w:top w:val="nil"/>
              <w:left w:val="nil"/>
              <w:bottom w:val="single" w:sz="4" w:space="0" w:color="auto"/>
              <w:right w:val="nil"/>
            </w:tcBorders>
            <w:shd w:val="clear" w:color="000000" w:fill="FFFFFF"/>
            <w:noWrap/>
            <w:vAlign w:val="bottom"/>
            <w:hideMark/>
          </w:tcPr>
          <w:p w14:paraId="304AFEA7" w14:textId="77777777" w:rsidR="00A55202" w:rsidRPr="00A55202" w:rsidRDefault="00A55202" w:rsidP="00A55202">
            <w:pPr>
              <w:spacing w:after="0" w:line="240" w:lineRule="auto"/>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Dvořákovo Příbramsko + 2022</w:t>
            </w:r>
          </w:p>
        </w:tc>
        <w:tc>
          <w:tcPr>
            <w:tcW w:w="1264" w:type="dxa"/>
            <w:tcBorders>
              <w:top w:val="nil"/>
              <w:left w:val="single" w:sz="4" w:space="0" w:color="auto"/>
              <w:bottom w:val="single" w:sz="4" w:space="0" w:color="auto"/>
              <w:right w:val="single" w:sz="4" w:space="0" w:color="auto"/>
            </w:tcBorders>
            <w:shd w:val="clear" w:color="000000" w:fill="FFFFFF"/>
            <w:noWrap/>
            <w:vAlign w:val="bottom"/>
            <w:hideMark/>
          </w:tcPr>
          <w:p w14:paraId="48180D08"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600 000</w:t>
            </w:r>
          </w:p>
        </w:tc>
        <w:tc>
          <w:tcPr>
            <w:tcW w:w="1602" w:type="dxa"/>
            <w:tcBorders>
              <w:top w:val="nil"/>
              <w:left w:val="nil"/>
              <w:bottom w:val="single" w:sz="4" w:space="0" w:color="auto"/>
              <w:right w:val="single" w:sz="4" w:space="0" w:color="auto"/>
            </w:tcBorders>
            <w:shd w:val="clear" w:color="000000" w:fill="FFFFFF"/>
            <w:noWrap/>
            <w:vAlign w:val="bottom"/>
            <w:hideMark/>
          </w:tcPr>
          <w:p w14:paraId="5DB8C6DE"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1 400 000,00</w:t>
            </w:r>
          </w:p>
        </w:tc>
        <w:tc>
          <w:tcPr>
            <w:tcW w:w="1701" w:type="dxa"/>
            <w:tcBorders>
              <w:top w:val="nil"/>
              <w:left w:val="nil"/>
              <w:bottom w:val="single" w:sz="4" w:space="0" w:color="auto"/>
              <w:right w:val="single" w:sz="4" w:space="0" w:color="auto"/>
            </w:tcBorders>
            <w:shd w:val="clear" w:color="000000" w:fill="FFFFFF"/>
            <w:noWrap/>
            <w:vAlign w:val="bottom"/>
            <w:hideMark/>
          </w:tcPr>
          <w:p w14:paraId="14B2201F"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1 400 000,00</w:t>
            </w:r>
          </w:p>
        </w:tc>
        <w:tc>
          <w:tcPr>
            <w:tcW w:w="647" w:type="dxa"/>
            <w:tcBorders>
              <w:top w:val="nil"/>
              <w:left w:val="nil"/>
              <w:bottom w:val="single" w:sz="4" w:space="0" w:color="auto"/>
              <w:right w:val="single" w:sz="8" w:space="0" w:color="auto"/>
            </w:tcBorders>
            <w:shd w:val="clear" w:color="000000" w:fill="FFFFFF"/>
            <w:noWrap/>
            <w:vAlign w:val="bottom"/>
            <w:hideMark/>
          </w:tcPr>
          <w:p w14:paraId="10870734"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100,0</w:t>
            </w:r>
          </w:p>
        </w:tc>
      </w:tr>
      <w:tr w:rsidR="008E0636" w:rsidRPr="00A55202" w14:paraId="6F90AA02" w14:textId="77777777" w:rsidTr="008E0636">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5E8A372A"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c>
          <w:tcPr>
            <w:tcW w:w="4672" w:type="dxa"/>
            <w:tcBorders>
              <w:top w:val="nil"/>
              <w:left w:val="nil"/>
              <w:bottom w:val="single" w:sz="4" w:space="0" w:color="auto"/>
              <w:right w:val="nil"/>
            </w:tcBorders>
            <w:shd w:val="clear" w:color="000000" w:fill="FFFFFF"/>
            <w:noWrap/>
            <w:vAlign w:val="bottom"/>
            <w:hideMark/>
          </w:tcPr>
          <w:p w14:paraId="7773366C" w14:textId="77777777" w:rsidR="00A55202" w:rsidRPr="00A55202" w:rsidRDefault="00A55202" w:rsidP="00A55202">
            <w:pPr>
              <w:spacing w:after="0" w:line="240" w:lineRule="auto"/>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Stavba roku 2021 + 2022</w:t>
            </w:r>
          </w:p>
        </w:tc>
        <w:tc>
          <w:tcPr>
            <w:tcW w:w="1264" w:type="dxa"/>
            <w:tcBorders>
              <w:top w:val="nil"/>
              <w:left w:val="single" w:sz="4" w:space="0" w:color="auto"/>
              <w:bottom w:val="single" w:sz="4" w:space="0" w:color="auto"/>
              <w:right w:val="single" w:sz="4" w:space="0" w:color="auto"/>
            </w:tcBorders>
            <w:shd w:val="clear" w:color="000000" w:fill="FFFFFF"/>
            <w:noWrap/>
            <w:vAlign w:val="bottom"/>
            <w:hideMark/>
          </w:tcPr>
          <w:p w14:paraId="19FBCA38"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250 000</w:t>
            </w:r>
          </w:p>
        </w:tc>
        <w:tc>
          <w:tcPr>
            <w:tcW w:w="1602" w:type="dxa"/>
            <w:tcBorders>
              <w:top w:val="nil"/>
              <w:left w:val="nil"/>
              <w:bottom w:val="single" w:sz="4" w:space="0" w:color="auto"/>
              <w:right w:val="single" w:sz="4" w:space="0" w:color="auto"/>
            </w:tcBorders>
            <w:shd w:val="clear" w:color="000000" w:fill="FFFFFF"/>
            <w:noWrap/>
            <w:vAlign w:val="bottom"/>
            <w:hideMark/>
          </w:tcPr>
          <w:p w14:paraId="6B8978EB"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1 000 000,00</w:t>
            </w:r>
          </w:p>
        </w:tc>
        <w:tc>
          <w:tcPr>
            <w:tcW w:w="1701" w:type="dxa"/>
            <w:tcBorders>
              <w:top w:val="nil"/>
              <w:left w:val="nil"/>
              <w:bottom w:val="single" w:sz="4" w:space="0" w:color="auto"/>
              <w:right w:val="single" w:sz="4" w:space="0" w:color="auto"/>
            </w:tcBorders>
            <w:shd w:val="clear" w:color="000000" w:fill="FFFFFF"/>
            <w:noWrap/>
            <w:vAlign w:val="bottom"/>
            <w:hideMark/>
          </w:tcPr>
          <w:p w14:paraId="13F0C084"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1 000 000,00</w:t>
            </w:r>
          </w:p>
        </w:tc>
        <w:tc>
          <w:tcPr>
            <w:tcW w:w="647" w:type="dxa"/>
            <w:tcBorders>
              <w:top w:val="nil"/>
              <w:left w:val="nil"/>
              <w:bottom w:val="single" w:sz="4" w:space="0" w:color="auto"/>
              <w:right w:val="single" w:sz="8" w:space="0" w:color="auto"/>
            </w:tcBorders>
            <w:shd w:val="clear" w:color="000000" w:fill="FFFFFF"/>
            <w:noWrap/>
            <w:vAlign w:val="bottom"/>
            <w:hideMark/>
          </w:tcPr>
          <w:p w14:paraId="16164639"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100,0</w:t>
            </w:r>
          </w:p>
        </w:tc>
      </w:tr>
      <w:tr w:rsidR="008E0636" w:rsidRPr="00A55202" w14:paraId="0C107A67" w14:textId="77777777" w:rsidTr="008E0636">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1BD6FC80" w14:textId="77777777" w:rsidR="00A55202" w:rsidRPr="00A55202" w:rsidRDefault="00A55202" w:rsidP="00A55202">
            <w:pPr>
              <w:spacing w:after="0" w:line="240" w:lineRule="auto"/>
              <w:jc w:val="center"/>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 </w:t>
            </w:r>
          </w:p>
        </w:tc>
        <w:tc>
          <w:tcPr>
            <w:tcW w:w="4672" w:type="dxa"/>
            <w:tcBorders>
              <w:top w:val="nil"/>
              <w:left w:val="nil"/>
              <w:bottom w:val="single" w:sz="4" w:space="0" w:color="auto"/>
              <w:right w:val="nil"/>
            </w:tcBorders>
            <w:shd w:val="clear" w:color="000000" w:fill="FFFFFF"/>
            <w:noWrap/>
            <w:vAlign w:val="bottom"/>
            <w:hideMark/>
          </w:tcPr>
          <w:p w14:paraId="21A17206" w14:textId="77777777" w:rsidR="00A55202" w:rsidRPr="00A55202" w:rsidRDefault="00A55202" w:rsidP="00A55202">
            <w:pPr>
              <w:spacing w:after="0" w:line="240" w:lineRule="auto"/>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Svatá Ludmila 1 100 let</w:t>
            </w:r>
          </w:p>
        </w:tc>
        <w:tc>
          <w:tcPr>
            <w:tcW w:w="1264" w:type="dxa"/>
            <w:tcBorders>
              <w:top w:val="nil"/>
              <w:left w:val="single" w:sz="4" w:space="0" w:color="auto"/>
              <w:bottom w:val="single" w:sz="4" w:space="0" w:color="auto"/>
              <w:right w:val="single" w:sz="4" w:space="0" w:color="auto"/>
            </w:tcBorders>
            <w:shd w:val="clear" w:color="000000" w:fill="FFFFFF"/>
            <w:noWrap/>
            <w:vAlign w:val="bottom"/>
            <w:hideMark/>
          </w:tcPr>
          <w:p w14:paraId="49A01A82"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700 000</w:t>
            </w:r>
          </w:p>
        </w:tc>
        <w:tc>
          <w:tcPr>
            <w:tcW w:w="1602" w:type="dxa"/>
            <w:tcBorders>
              <w:top w:val="nil"/>
              <w:left w:val="nil"/>
              <w:bottom w:val="single" w:sz="4" w:space="0" w:color="auto"/>
              <w:right w:val="single" w:sz="4" w:space="0" w:color="auto"/>
            </w:tcBorders>
            <w:shd w:val="clear" w:color="000000" w:fill="FFFFFF"/>
            <w:noWrap/>
            <w:vAlign w:val="bottom"/>
            <w:hideMark/>
          </w:tcPr>
          <w:p w14:paraId="1E25CE43"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700 000,00</w:t>
            </w:r>
          </w:p>
        </w:tc>
        <w:tc>
          <w:tcPr>
            <w:tcW w:w="1701" w:type="dxa"/>
            <w:tcBorders>
              <w:top w:val="nil"/>
              <w:left w:val="nil"/>
              <w:bottom w:val="single" w:sz="4" w:space="0" w:color="auto"/>
              <w:right w:val="single" w:sz="4" w:space="0" w:color="auto"/>
            </w:tcBorders>
            <w:shd w:val="clear" w:color="000000" w:fill="FFFFFF"/>
            <w:noWrap/>
            <w:vAlign w:val="bottom"/>
            <w:hideMark/>
          </w:tcPr>
          <w:p w14:paraId="2B669C6F"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700 000,00</w:t>
            </w:r>
          </w:p>
        </w:tc>
        <w:tc>
          <w:tcPr>
            <w:tcW w:w="647" w:type="dxa"/>
            <w:tcBorders>
              <w:top w:val="nil"/>
              <w:left w:val="nil"/>
              <w:bottom w:val="single" w:sz="4" w:space="0" w:color="auto"/>
              <w:right w:val="single" w:sz="8" w:space="0" w:color="auto"/>
            </w:tcBorders>
            <w:shd w:val="clear" w:color="000000" w:fill="FFFFFF"/>
            <w:noWrap/>
            <w:vAlign w:val="bottom"/>
            <w:hideMark/>
          </w:tcPr>
          <w:p w14:paraId="1A8C1BBA"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100,0</w:t>
            </w:r>
          </w:p>
        </w:tc>
      </w:tr>
      <w:tr w:rsidR="008E0636" w:rsidRPr="00A55202" w14:paraId="0C3EF6EC" w14:textId="77777777" w:rsidTr="008E0636">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6F346DFF" w14:textId="77777777" w:rsidR="00A55202" w:rsidRPr="00A55202" w:rsidRDefault="00A55202" w:rsidP="00A55202">
            <w:pPr>
              <w:spacing w:after="0" w:line="240" w:lineRule="auto"/>
              <w:jc w:val="center"/>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 </w:t>
            </w:r>
          </w:p>
        </w:tc>
        <w:tc>
          <w:tcPr>
            <w:tcW w:w="4672" w:type="dxa"/>
            <w:tcBorders>
              <w:top w:val="nil"/>
              <w:left w:val="nil"/>
              <w:bottom w:val="single" w:sz="4" w:space="0" w:color="auto"/>
              <w:right w:val="nil"/>
            </w:tcBorders>
            <w:shd w:val="clear" w:color="000000" w:fill="FFFFFF"/>
            <w:noWrap/>
            <w:vAlign w:val="bottom"/>
            <w:hideMark/>
          </w:tcPr>
          <w:p w14:paraId="496CD2C3" w14:textId="77777777" w:rsidR="00A55202" w:rsidRPr="00A55202" w:rsidRDefault="00A55202" w:rsidP="00A55202">
            <w:pPr>
              <w:spacing w:after="0" w:line="240" w:lineRule="auto"/>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Účinnější péče o tradiční lidovou kulturu</w:t>
            </w:r>
          </w:p>
        </w:tc>
        <w:tc>
          <w:tcPr>
            <w:tcW w:w="1264" w:type="dxa"/>
            <w:tcBorders>
              <w:top w:val="nil"/>
              <w:left w:val="single" w:sz="4" w:space="0" w:color="auto"/>
              <w:bottom w:val="single" w:sz="4" w:space="0" w:color="auto"/>
              <w:right w:val="single" w:sz="4" w:space="0" w:color="auto"/>
            </w:tcBorders>
            <w:shd w:val="clear" w:color="000000" w:fill="FFFFFF"/>
            <w:noWrap/>
            <w:vAlign w:val="bottom"/>
            <w:hideMark/>
          </w:tcPr>
          <w:p w14:paraId="6EDE57E2"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200 000</w:t>
            </w:r>
          </w:p>
        </w:tc>
        <w:tc>
          <w:tcPr>
            <w:tcW w:w="1602" w:type="dxa"/>
            <w:tcBorders>
              <w:top w:val="nil"/>
              <w:left w:val="nil"/>
              <w:bottom w:val="single" w:sz="4" w:space="0" w:color="auto"/>
              <w:right w:val="single" w:sz="4" w:space="0" w:color="auto"/>
            </w:tcBorders>
            <w:shd w:val="clear" w:color="000000" w:fill="FFFFFF"/>
            <w:noWrap/>
            <w:vAlign w:val="bottom"/>
            <w:hideMark/>
          </w:tcPr>
          <w:p w14:paraId="62DE5928"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0,00</w:t>
            </w:r>
          </w:p>
        </w:tc>
        <w:tc>
          <w:tcPr>
            <w:tcW w:w="1701" w:type="dxa"/>
            <w:tcBorders>
              <w:top w:val="nil"/>
              <w:left w:val="nil"/>
              <w:bottom w:val="single" w:sz="4" w:space="0" w:color="auto"/>
              <w:right w:val="single" w:sz="4" w:space="0" w:color="auto"/>
            </w:tcBorders>
            <w:shd w:val="clear" w:color="000000" w:fill="FFFFFF"/>
            <w:noWrap/>
            <w:vAlign w:val="bottom"/>
            <w:hideMark/>
          </w:tcPr>
          <w:p w14:paraId="070F4EA4"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0,00</w:t>
            </w:r>
          </w:p>
        </w:tc>
        <w:tc>
          <w:tcPr>
            <w:tcW w:w="647" w:type="dxa"/>
            <w:tcBorders>
              <w:top w:val="nil"/>
              <w:left w:val="nil"/>
              <w:bottom w:val="single" w:sz="4" w:space="0" w:color="auto"/>
              <w:right w:val="single" w:sz="8" w:space="0" w:color="auto"/>
            </w:tcBorders>
            <w:shd w:val="clear" w:color="000000" w:fill="FFFFFF"/>
            <w:noWrap/>
            <w:vAlign w:val="bottom"/>
            <w:hideMark/>
          </w:tcPr>
          <w:p w14:paraId="7148ADC3"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w:t>
            </w:r>
          </w:p>
        </w:tc>
      </w:tr>
      <w:tr w:rsidR="008E0636" w:rsidRPr="00A55202" w14:paraId="72D5D340" w14:textId="77777777" w:rsidTr="008E0636">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6693708F" w14:textId="77777777" w:rsidR="00A55202" w:rsidRPr="00A55202" w:rsidRDefault="00A55202" w:rsidP="00A55202">
            <w:pPr>
              <w:spacing w:after="0" w:line="240" w:lineRule="auto"/>
              <w:jc w:val="center"/>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 </w:t>
            </w:r>
          </w:p>
        </w:tc>
        <w:tc>
          <w:tcPr>
            <w:tcW w:w="4672" w:type="dxa"/>
            <w:tcBorders>
              <w:top w:val="nil"/>
              <w:left w:val="nil"/>
              <w:bottom w:val="single" w:sz="4" w:space="0" w:color="auto"/>
              <w:right w:val="nil"/>
            </w:tcBorders>
            <w:shd w:val="clear" w:color="000000" w:fill="FFFFFF"/>
            <w:noWrap/>
            <w:vAlign w:val="bottom"/>
            <w:hideMark/>
          </w:tcPr>
          <w:p w14:paraId="4151F9F6" w14:textId="77777777" w:rsidR="00A55202" w:rsidRPr="00A55202" w:rsidRDefault="00A55202" w:rsidP="00A55202">
            <w:pPr>
              <w:spacing w:after="0" w:line="240" w:lineRule="auto"/>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Tajemství staré bambitky 2</w:t>
            </w:r>
          </w:p>
        </w:tc>
        <w:tc>
          <w:tcPr>
            <w:tcW w:w="1264" w:type="dxa"/>
            <w:tcBorders>
              <w:top w:val="nil"/>
              <w:left w:val="single" w:sz="4" w:space="0" w:color="auto"/>
              <w:bottom w:val="single" w:sz="4" w:space="0" w:color="auto"/>
              <w:right w:val="single" w:sz="4" w:space="0" w:color="auto"/>
            </w:tcBorders>
            <w:shd w:val="clear" w:color="000000" w:fill="FFFFFF"/>
            <w:noWrap/>
            <w:vAlign w:val="bottom"/>
            <w:hideMark/>
          </w:tcPr>
          <w:p w14:paraId="00EF2E4F"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0</w:t>
            </w:r>
          </w:p>
        </w:tc>
        <w:tc>
          <w:tcPr>
            <w:tcW w:w="1602" w:type="dxa"/>
            <w:tcBorders>
              <w:top w:val="nil"/>
              <w:left w:val="nil"/>
              <w:bottom w:val="single" w:sz="4" w:space="0" w:color="auto"/>
              <w:right w:val="single" w:sz="4" w:space="0" w:color="auto"/>
            </w:tcBorders>
            <w:shd w:val="clear" w:color="000000" w:fill="FFFFFF"/>
            <w:noWrap/>
            <w:vAlign w:val="bottom"/>
            <w:hideMark/>
          </w:tcPr>
          <w:p w14:paraId="72D03B4D"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500 000,00</w:t>
            </w:r>
          </w:p>
        </w:tc>
        <w:tc>
          <w:tcPr>
            <w:tcW w:w="1701" w:type="dxa"/>
            <w:tcBorders>
              <w:top w:val="nil"/>
              <w:left w:val="nil"/>
              <w:bottom w:val="single" w:sz="4" w:space="0" w:color="auto"/>
              <w:right w:val="single" w:sz="4" w:space="0" w:color="auto"/>
            </w:tcBorders>
            <w:shd w:val="clear" w:color="000000" w:fill="FFFFFF"/>
            <w:noWrap/>
            <w:vAlign w:val="bottom"/>
            <w:hideMark/>
          </w:tcPr>
          <w:p w14:paraId="397FF86D"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500 000,00</w:t>
            </w:r>
          </w:p>
        </w:tc>
        <w:tc>
          <w:tcPr>
            <w:tcW w:w="647" w:type="dxa"/>
            <w:tcBorders>
              <w:top w:val="nil"/>
              <w:left w:val="nil"/>
              <w:bottom w:val="single" w:sz="4" w:space="0" w:color="auto"/>
              <w:right w:val="single" w:sz="8" w:space="0" w:color="auto"/>
            </w:tcBorders>
            <w:shd w:val="clear" w:color="000000" w:fill="FFFFFF"/>
            <w:noWrap/>
            <w:vAlign w:val="bottom"/>
            <w:hideMark/>
          </w:tcPr>
          <w:p w14:paraId="7D6A51EC"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100,0</w:t>
            </w:r>
          </w:p>
        </w:tc>
      </w:tr>
      <w:tr w:rsidR="008E0636" w:rsidRPr="00A55202" w14:paraId="7175A0C6" w14:textId="77777777" w:rsidTr="008E0636">
        <w:trPr>
          <w:trHeight w:val="255"/>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10163CA8"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c>
          <w:tcPr>
            <w:tcW w:w="4672" w:type="dxa"/>
            <w:tcBorders>
              <w:top w:val="nil"/>
              <w:left w:val="nil"/>
              <w:bottom w:val="single" w:sz="4" w:space="0" w:color="auto"/>
              <w:right w:val="nil"/>
            </w:tcBorders>
            <w:shd w:val="clear" w:color="000000" w:fill="FFFFFF"/>
            <w:noWrap/>
            <w:vAlign w:val="bottom"/>
            <w:hideMark/>
          </w:tcPr>
          <w:p w14:paraId="4021BCFE" w14:textId="77777777" w:rsidR="00A55202" w:rsidRPr="00A55202" w:rsidRDefault="00A55202" w:rsidP="00A55202">
            <w:pPr>
              <w:spacing w:after="0" w:line="240" w:lineRule="auto"/>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Středočeská skutečná liga 2021 + 2022</w:t>
            </w:r>
          </w:p>
        </w:tc>
        <w:tc>
          <w:tcPr>
            <w:tcW w:w="1264" w:type="dxa"/>
            <w:tcBorders>
              <w:top w:val="nil"/>
              <w:left w:val="single" w:sz="4" w:space="0" w:color="auto"/>
              <w:bottom w:val="single" w:sz="4" w:space="0" w:color="auto"/>
              <w:right w:val="single" w:sz="4" w:space="0" w:color="auto"/>
            </w:tcBorders>
            <w:shd w:val="clear" w:color="000000" w:fill="FFFFFF"/>
            <w:noWrap/>
            <w:vAlign w:val="bottom"/>
            <w:hideMark/>
          </w:tcPr>
          <w:p w14:paraId="695C2C72"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0</w:t>
            </w:r>
          </w:p>
        </w:tc>
        <w:tc>
          <w:tcPr>
            <w:tcW w:w="1602" w:type="dxa"/>
            <w:tcBorders>
              <w:top w:val="nil"/>
              <w:left w:val="nil"/>
              <w:bottom w:val="single" w:sz="4" w:space="0" w:color="auto"/>
              <w:right w:val="single" w:sz="4" w:space="0" w:color="auto"/>
            </w:tcBorders>
            <w:shd w:val="clear" w:color="000000" w:fill="FFFFFF"/>
            <w:noWrap/>
            <w:vAlign w:val="bottom"/>
            <w:hideMark/>
          </w:tcPr>
          <w:p w14:paraId="1021F8E5"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1 626 000,00</w:t>
            </w:r>
          </w:p>
        </w:tc>
        <w:tc>
          <w:tcPr>
            <w:tcW w:w="1701" w:type="dxa"/>
            <w:tcBorders>
              <w:top w:val="nil"/>
              <w:left w:val="nil"/>
              <w:bottom w:val="single" w:sz="4" w:space="0" w:color="auto"/>
              <w:right w:val="single" w:sz="4" w:space="0" w:color="auto"/>
            </w:tcBorders>
            <w:shd w:val="clear" w:color="000000" w:fill="FFFFFF"/>
            <w:noWrap/>
            <w:vAlign w:val="bottom"/>
            <w:hideMark/>
          </w:tcPr>
          <w:p w14:paraId="025616C0"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1 626 000,00</w:t>
            </w:r>
          </w:p>
        </w:tc>
        <w:tc>
          <w:tcPr>
            <w:tcW w:w="647" w:type="dxa"/>
            <w:tcBorders>
              <w:top w:val="nil"/>
              <w:left w:val="nil"/>
              <w:bottom w:val="single" w:sz="4" w:space="0" w:color="auto"/>
              <w:right w:val="single" w:sz="8" w:space="0" w:color="auto"/>
            </w:tcBorders>
            <w:shd w:val="clear" w:color="000000" w:fill="FFFFFF"/>
            <w:noWrap/>
            <w:vAlign w:val="bottom"/>
            <w:hideMark/>
          </w:tcPr>
          <w:p w14:paraId="3BB38803"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100,0</w:t>
            </w:r>
          </w:p>
        </w:tc>
      </w:tr>
      <w:tr w:rsidR="008E0636" w:rsidRPr="00A55202" w14:paraId="4AD73208" w14:textId="77777777" w:rsidTr="008E0636">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48A5B9ED"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c>
          <w:tcPr>
            <w:tcW w:w="4672" w:type="dxa"/>
            <w:tcBorders>
              <w:top w:val="nil"/>
              <w:left w:val="nil"/>
              <w:bottom w:val="single" w:sz="4" w:space="0" w:color="auto"/>
              <w:right w:val="nil"/>
            </w:tcBorders>
            <w:shd w:val="clear" w:color="000000" w:fill="FFFFFF"/>
            <w:noWrap/>
            <w:vAlign w:val="bottom"/>
            <w:hideMark/>
          </w:tcPr>
          <w:p w14:paraId="18DA8574" w14:textId="77777777" w:rsidR="00A55202" w:rsidRPr="00A55202" w:rsidRDefault="00A55202" w:rsidP="00A55202">
            <w:pPr>
              <w:spacing w:after="0" w:line="240" w:lineRule="auto"/>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26. gen. konference ICOM</w:t>
            </w:r>
          </w:p>
        </w:tc>
        <w:tc>
          <w:tcPr>
            <w:tcW w:w="1264" w:type="dxa"/>
            <w:tcBorders>
              <w:top w:val="nil"/>
              <w:left w:val="single" w:sz="4" w:space="0" w:color="auto"/>
              <w:bottom w:val="single" w:sz="4" w:space="0" w:color="auto"/>
              <w:right w:val="single" w:sz="4" w:space="0" w:color="auto"/>
            </w:tcBorders>
            <w:shd w:val="clear" w:color="000000" w:fill="FFFFFF"/>
            <w:noWrap/>
            <w:vAlign w:val="bottom"/>
            <w:hideMark/>
          </w:tcPr>
          <w:p w14:paraId="123E6A24"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0</w:t>
            </w:r>
          </w:p>
        </w:tc>
        <w:tc>
          <w:tcPr>
            <w:tcW w:w="1602" w:type="dxa"/>
            <w:tcBorders>
              <w:top w:val="nil"/>
              <w:left w:val="nil"/>
              <w:bottom w:val="single" w:sz="4" w:space="0" w:color="auto"/>
              <w:right w:val="single" w:sz="4" w:space="0" w:color="auto"/>
            </w:tcBorders>
            <w:shd w:val="clear" w:color="000000" w:fill="FFFFFF"/>
            <w:noWrap/>
            <w:vAlign w:val="bottom"/>
            <w:hideMark/>
          </w:tcPr>
          <w:p w14:paraId="7F7AA6FD"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112 500,00</w:t>
            </w:r>
          </w:p>
        </w:tc>
        <w:tc>
          <w:tcPr>
            <w:tcW w:w="1701" w:type="dxa"/>
            <w:tcBorders>
              <w:top w:val="nil"/>
              <w:left w:val="nil"/>
              <w:bottom w:val="single" w:sz="4" w:space="0" w:color="auto"/>
              <w:right w:val="single" w:sz="4" w:space="0" w:color="auto"/>
            </w:tcBorders>
            <w:shd w:val="clear" w:color="000000" w:fill="FFFFFF"/>
            <w:noWrap/>
            <w:vAlign w:val="bottom"/>
            <w:hideMark/>
          </w:tcPr>
          <w:p w14:paraId="1F6535CB"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112 500,00</w:t>
            </w:r>
          </w:p>
        </w:tc>
        <w:tc>
          <w:tcPr>
            <w:tcW w:w="647" w:type="dxa"/>
            <w:tcBorders>
              <w:top w:val="nil"/>
              <w:left w:val="nil"/>
              <w:bottom w:val="single" w:sz="4" w:space="0" w:color="auto"/>
              <w:right w:val="single" w:sz="8" w:space="0" w:color="auto"/>
            </w:tcBorders>
            <w:shd w:val="clear" w:color="000000" w:fill="FFFFFF"/>
            <w:noWrap/>
            <w:vAlign w:val="bottom"/>
            <w:hideMark/>
          </w:tcPr>
          <w:p w14:paraId="08CD6638"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100,0</w:t>
            </w:r>
          </w:p>
        </w:tc>
      </w:tr>
      <w:tr w:rsidR="008E0636" w:rsidRPr="00A55202" w14:paraId="29CFEA31" w14:textId="77777777" w:rsidTr="008E0636">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3CA745E2"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3321</w:t>
            </w:r>
          </w:p>
        </w:tc>
        <w:tc>
          <w:tcPr>
            <w:tcW w:w="4672" w:type="dxa"/>
            <w:tcBorders>
              <w:top w:val="nil"/>
              <w:left w:val="nil"/>
              <w:bottom w:val="single" w:sz="4" w:space="0" w:color="auto"/>
              <w:right w:val="nil"/>
            </w:tcBorders>
            <w:shd w:val="clear" w:color="000000" w:fill="FFFFFF"/>
            <w:vAlign w:val="bottom"/>
            <w:hideMark/>
          </w:tcPr>
          <w:p w14:paraId="7830B4EE"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xml:space="preserve">Činnosti památkových ústavů, hradů a zámků - příspěvek příspěvkovým organizacím </w:t>
            </w:r>
          </w:p>
        </w:tc>
        <w:tc>
          <w:tcPr>
            <w:tcW w:w="1264" w:type="dxa"/>
            <w:tcBorders>
              <w:top w:val="nil"/>
              <w:left w:val="single" w:sz="4" w:space="0" w:color="auto"/>
              <w:bottom w:val="single" w:sz="4" w:space="0" w:color="auto"/>
              <w:right w:val="single" w:sz="4" w:space="0" w:color="auto"/>
            </w:tcBorders>
            <w:shd w:val="clear" w:color="000000" w:fill="FFFFFF"/>
            <w:noWrap/>
            <w:vAlign w:val="bottom"/>
            <w:hideMark/>
          </w:tcPr>
          <w:p w14:paraId="7F9A19C0"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16 214 000</w:t>
            </w:r>
          </w:p>
        </w:tc>
        <w:tc>
          <w:tcPr>
            <w:tcW w:w="1602" w:type="dxa"/>
            <w:tcBorders>
              <w:top w:val="nil"/>
              <w:left w:val="nil"/>
              <w:bottom w:val="single" w:sz="4" w:space="0" w:color="auto"/>
              <w:right w:val="single" w:sz="4" w:space="0" w:color="auto"/>
            </w:tcBorders>
            <w:shd w:val="clear" w:color="000000" w:fill="FFFFFF"/>
            <w:noWrap/>
            <w:vAlign w:val="bottom"/>
            <w:hideMark/>
          </w:tcPr>
          <w:p w14:paraId="55DACE5D"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17 397 360,00</w:t>
            </w:r>
          </w:p>
        </w:tc>
        <w:tc>
          <w:tcPr>
            <w:tcW w:w="1701" w:type="dxa"/>
            <w:tcBorders>
              <w:top w:val="nil"/>
              <w:left w:val="nil"/>
              <w:bottom w:val="single" w:sz="4" w:space="0" w:color="auto"/>
              <w:right w:val="single" w:sz="4" w:space="0" w:color="auto"/>
            </w:tcBorders>
            <w:shd w:val="clear" w:color="000000" w:fill="FFFFFF"/>
            <w:noWrap/>
            <w:vAlign w:val="bottom"/>
            <w:hideMark/>
          </w:tcPr>
          <w:p w14:paraId="462BAA1D"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17 397 360,00</w:t>
            </w:r>
          </w:p>
        </w:tc>
        <w:tc>
          <w:tcPr>
            <w:tcW w:w="647" w:type="dxa"/>
            <w:tcBorders>
              <w:top w:val="nil"/>
              <w:left w:val="nil"/>
              <w:bottom w:val="single" w:sz="4" w:space="0" w:color="auto"/>
              <w:right w:val="single" w:sz="8" w:space="0" w:color="auto"/>
            </w:tcBorders>
            <w:shd w:val="clear" w:color="000000" w:fill="FFFFFF"/>
            <w:noWrap/>
            <w:vAlign w:val="bottom"/>
            <w:hideMark/>
          </w:tcPr>
          <w:p w14:paraId="1429FCB2"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100,0</w:t>
            </w:r>
          </w:p>
        </w:tc>
      </w:tr>
      <w:tr w:rsidR="008E0636" w:rsidRPr="00A55202" w14:paraId="2846185C" w14:textId="77777777" w:rsidTr="008E0636">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2858361D" w14:textId="77777777" w:rsidR="00A55202" w:rsidRPr="00A55202" w:rsidRDefault="00A55202" w:rsidP="00A55202">
            <w:pPr>
              <w:spacing w:after="0" w:line="240" w:lineRule="auto"/>
              <w:jc w:val="center"/>
              <w:rPr>
                <w:rFonts w:ascii="Calibri" w:eastAsia="Times New Roman" w:hAnsi="Calibri" w:cs="Calibri"/>
                <w:sz w:val="18"/>
                <w:szCs w:val="18"/>
                <w:lang w:eastAsia="cs-CZ"/>
              </w:rPr>
            </w:pPr>
            <w:r w:rsidRPr="00A55202">
              <w:rPr>
                <w:rFonts w:ascii="Calibri" w:eastAsia="Times New Roman" w:hAnsi="Calibri" w:cs="Calibri"/>
                <w:sz w:val="18"/>
                <w:szCs w:val="18"/>
                <w:lang w:eastAsia="cs-CZ"/>
              </w:rPr>
              <w:t> </w:t>
            </w:r>
          </w:p>
        </w:tc>
        <w:tc>
          <w:tcPr>
            <w:tcW w:w="4672" w:type="dxa"/>
            <w:tcBorders>
              <w:top w:val="nil"/>
              <w:left w:val="nil"/>
              <w:bottom w:val="single" w:sz="4" w:space="0" w:color="auto"/>
              <w:right w:val="single" w:sz="4" w:space="0" w:color="auto"/>
            </w:tcBorders>
            <w:shd w:val="clear" w:color="000000" w:fill="FFFFFF"/>
            <w:vAlign w:val="bottom"/>
            <w:hideMark/>
          </w:tcPr>
          <w:p w14:paraId="5B20C7FB"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z toho:</w:t>
            </w:r>
          </w:p>
        </w:tc>
        <w:tc>
          <w:tcPr>
            <w:tcW w:w="1264" w:type="dxa"/>
            <w:tcBorders>
              <w:top w:val="nil"/>
              <w:left w:val="nil"/>
              <w:bottom w:val="single" w:sz="4" w:space="0" w:color="auto"/>
              <w:right w:val="single" w:sz="4" w:space="0" w:color="auto"/>
            </w:tcBorders>
            <w:shd w:val="clear" w:color="000000" w:fill="FFFFFF"/>
            <w:noWrap/>
            <w:vAlign w:val="bottom"/>
            <w:hideMark/>
          </w:tcPr>
          <w:p w14:paraId="13A4D309" w14:textId="77777777" w:rsidR="00A55202" w:rsidRPr="00A55202" w:rsidRDefault="00A55202" w:rsidP="00A55202">
            <w:pPr>
              <w:spacing w:after="0" w:line="240" w:lineRule="auto"/>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 </w:t>
            </w:r>
          </w:p>
        </w:tc>
        <w:tc>
          <w:tcPr>
            <w:tcW w:w="1602" w:type="dxa"/>
            <w:tcBorders>
              <w:top w:val="nil"/>
              <w:left w:val="nil"/>
              <w:bottom w:val="single" w:sz="4" w:space="0" w:color="auto"/>
              <w:right w:val="single" w:sz="4" w:space="0" w:color="auto"/>
            </w:tcBorders>
            <w:shd w:val="clear" w:color="000000" w:fill="FFFFFF"/>
            <w:noWrap/>
            <w:vAlign w:val="bottom"/>
            <w:hideMark/>
          </w:tcPr>
          <w:p w14:paraId="3540B47F" w14:textId="77777777" w:rsidR="00A55202" w:rsidRPr="00A55202" w:rsidRDefault="00A55202" w:rsidP="00A55202">
            <w:pPr>
              <w:spacing w:after="0" w:line="240" w:lineRule="auto"/>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 </w:t>
            </w:r>
          </w:p>
        </w:tc>
        <w:tc>
          <w:tcPr>
            <w:tcW w:w="1701" w:type="dxa"/>
            <w:tcBorders>
              <w:top w:val="nil"/>
              <w:left w:val="nil"/>
              <w:bottom w:val="single" w:sz="4" w:space="0" w:color="auto"/>
              <w:right w:val="single" w:sz="4" w:space="0" w:color="auto"/>
            </w:tcBorders>
            <w:shd w:val="clear" w:color="000000" w:fill="FFFFFF"/>
            <w:noWrap/>
            <w:vAlign w:val="bottom"/>
            <w:hideMark/>
          </w:tcPr>
          <w:p w14:paraId="0E5936C5" w14:textId="77777777" w:rsidR="00A55202" w:rsidRPr="00A55202" w:rsidRDefault="00A55202" w:rsidP="00A55202">
            <w:pPr>
              <w:spacing w:after="0" w:line="240" w:lineRule="auto"/>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 </w:t>
            </w:r>
          </w:p>
        </w:tc>
        <w:tc>
          <w:tcPr>
            <w:tcW w:w="647" w:type="dxa"/>
            <w:tcBorders>
              <w:top w:val="nil"/>
              <w:left w:val="nil"/>
              <w:bottom w:val="single" w:sz="4" w:space="0" w:color="auto"/>
              <w:right w:val="single" w:sz="8" w:space="0" w:color="auto"/>
            </w:tcBorders>
            <w:shd w:val="clear" w:color="000000" w:fill="FFFFFF"/>
            <w:noWrap/>
            <w:vAlign w:val="bottom"/>
            <w:hideMark/>
          </w:tcPr>
          <w:p w14:paraId="0F96D3C0"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 </w:t>
            </w:r>
          </w:p>
        </w:tc>
      </w:tr>
      <w:tr w:rsidR="008E0636" w:rsidRPr="00A55202" w14:paraId="6934CB3C" w14:textId="77777777" w:rsidTr="008E0636">
        <w:trPr>
          <w:trHeight w:val="315"/>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24215053" w14:textId="77777777" w:rsidR="00A55202" w:rsidRPr="00A55202" w:rsidRDefault="00A55202" w:rsidP="00A55202">
            <w:pPr>
              <w:spacing w:after="0" w:line="240" w:lineRule="auto"/>
              <w:rPr>
                <w:rFonts w:ascii="Calibri" w:eastAsia="Times New Roman" w:hAnsi="Calibri" w:cs="Calibri"/>
                <w:b/>
                <w:bCs/>
                <w:sz w:val="24"/>
                <w:szCs w:val="24"/>
                <w:lang w:eastAsia="cs-CZ"/>
              </w:rPr>
            </w:pPr>
            <w:r w:rsidRPr="00A55202">
              <w:rPr>
                <w:rFonts w:ascii="Calibri" w:eastAsia="Times New Roman" w:hAnsi="Calibri" w:cs="Calibri"/>
                <w:b/>
                <w:bCs/>
                <w:sz w:val="24"/>
                <w:szCs w:val="24"/>
                <w:lang w:eastAsia="cs-CZ"/>
              </w:rPr>
              <w:t> </w:t>
            </w:r>
          </w:p>
        </w:tc>
        <w:tc>
          <w:tcPr>
            <w:tcW w:w="4672" w:type="dxa"/>
            <w:tcBorders>
              <w:top w:val="nil"/>
              <w:left w:val="nil"/>
              <w:bottom w:val="single" w:sz="4" w:space="0" w:color="auto"/>
              <w:right w:val="single" w:sz="4" w:space="0" w:color="auto"/>
            </w:tcBorders>
            <w:shd w:val="clear" w:color="000000" w:fill="FFFFFF"/>
            <w:vAlign w:val="bottom"/>
            <w:hideMark/>
          </w:tcPr>
          <w:p w14:paraId="2D133DE5" w14:textId="77777777" w:rsidR="00A55202" w:rsidRPr="00A55202" w:rsidRDefault="00A55202" w:rsidP="00A55202">
            <w:pPr>
              <w:spacing w:after="0" w:line="240" w:lineRule="auto"/>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příspěvek na provoz</w:t>
            </w:r>
          </w:p>
        </w:tc>
        <w:tc>
          <w:tcPr>
            <w:tcW w:w="1264" w:type="dxa"/>
            <w:tcBorders>
              <w:top w:val="nil"/>
              <w:left w:val="nil"/>
              <w:bottom w:val="single" w:sz="4" w:space="0" w:color="auto"/>
              <w:right w:val="single" w:sz="4" w:space="0" w:color="auto"/>
            </w:tcBorders>
            <w:shd w:val="clear" w:color="000000" w:fill="FFFFFF"/>
            <w:noWrap/>
            <w:vAlign w:val="bottom"/>
            <w:hideMark/>
          </w:tcPr>
          <w:p w14:paraId="563A4771"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0</w:t>
            </w:r>
          </w:p>
        </w:tc>
        <w:tc>
          <w:tcPr>
            <w:tcW w:w="1602" w:type="dxa"/>
            <w:tcBorders>
              <w:top w:val="nil"/>
              <w:left w:val="nil"/>
              <w:bottom w:val="single" w:sz="4" w:space="0" w:color="auto"/>
              <w:right w:val="single" w:sz="4" w:space="0" w:color="auto"/>
            </w:tcBorders>
            <w:shd w:val="clear" w:color="000000" w:fill="FFFFFF"/>
            <w:noWrap/>
            <w:vAlign w:val="bottom"/>
            <w:hideMark/>
          </w:tcPr>
          <w:p w14:paraId="14D39E4F"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80 000,00</w:t>
            </w:r>
          </w:p>
        </w:tc>
        <w:tc>
          <w:tcPr>
            <w:tcW w:w="1701" w:type="dxa"/>
            <w:tcBorders>
              <w:top w:val="nil"/>
              <w:left w:val="nil"/>
              <w:bottom w:val="single" w:sz="4" w:space="0" w:color="auto"/>
              <w:right w:val="single" w:sz="4" w:space="0" w:color="auto"/>
            </w:tcBorders>
            <w:shd w:val="clear" w:color="000000" w:fill="FFFFFF"/>
            <w:noWrap/>
            <w:vAlign w:val="bottom"/>
            <w:hideMark/>
          </w:tcPr>
          <w:p w14:paraId="156CF187"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80 000,00</w:t>
            </w:r>
          </w:p>
        </w:tc>
        <w:tc>
          <w:tcPr>
            <w:tcW w:w="647" w:type="dxa"/>
            <w:tcBorders>
              <w:top w:val="nil"/>
              <w:left w:val="nil"/>
              <w:bottom w:val="single" w:sz="4" w:space="0" w:color="auto"/>
              <w:right w:val="single" w:sz="8" w:space="0" w:color="auto"/>
            </w:tcBorders>
            <w:shd w:val="clear" w:color="000000" w:fill="FFFFFF"/>
            <w:noWrap/>
            <w:vAlign w:val="bottom"/>
            <w:hideMark/>
          </w:tcPr>
          <w:p w14:paraId="0F7A7DB2"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100,0</w:t>
            </w:r>
          </w:p>
        </w:tc>
      </w:tr>
      <w:tr w:rsidR="008E0636" w:rsidRPr="00A55202" w14:paraId="3F541D19" w14:textId="77777777" w:rsidTr="008E0636">
        <w:trPr>
          <w:trHeight w:val="319"/>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2965B821" w14:textId="77777777" w:rsidR="00A55202" w:rsidRPr="00A55202" w:rsidRDefault="00A55202" w:rsidP="00A55202">
            <w:pPr>
              <w:spacing w:after="0" w:line="240" w:lineRule="auto"/>
              <w:rPr>
                <w:rFonts w:ascii="Calibri" w:eastAsia="Times New Roman" w:hAnsi="Calibri" w:cs="Calibri"/>
                <w:b/>
                <w:bCs/>
                <w:sz w:val="24"/>
                <w:szCs w:val="24"/>
                <w:lang w:eastAsia="cs-CZ"/>
              </w:rPr>
            </w:pPr>
            <w:r w:rsidRPr="00A55202">
              <w:rPr>
                <w:rFonts w:ascii="Calibri" w:eastAsia="Times New Roman" w:hAnsi="Calibri" w:cs="Calibri"/>
                <w:b/>
                <w:bCs/>
                <w:sz w:val="24"/>
                <w:szCs w:val="24"/>
                <w:lang w:eastAsia="cs-CZ"/>
              </w:rPr>
              <w:t> </w:t>
            </w:r>
          </w:p>
        </w:tc>
        <w:tc>
          <w:tcPr>
            <w:tcW w:w="4672" w:type="dxa"/>
            <w:tcBorders>
              <w:top w:val="nil"/>
              <w:left w:val="nil"/>
              <w:bottom w:val="single" w:sz="4" w:space="0" w:color="auto"/>
              <w:right w:val="single" w:sz="4" w:space="0" w:color="auto"/>
            </w:tcBorders>
            <w:shd w:val="clear" w:color="000000" w:fill="FFFFFF"/>
            <w:vAlign w:val="bottom"/>
            <w:hideMark/>
          </w:tcPr>
          <w:p w14:paraId="3E55A314" w14:textId="77777777" w:rsidR="00A55202" w:rsidRPr="00A55202" w:rsidRDefault="00A55202" w:rsidP="00A55202">
            <w:pPr>
              <w:spacing w:after="0" w:line="240" w:lineRule="auto"/>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příspěvek na mzdové výdaje</w:t>
            </w:r>
          </w:p>
        </w:tc>
        <w:tc>
          <w:tcPr>
            <w:tcW w:w="1264" w:type="dxa"/>
            <w:tcBorders>
              <w:top w:val="nil"/>
              <w:left w:val="nil"/>
              <w:bottom w:val="single" w:sz="4" w:space="0" w:color="auto"/>
              <w:right w:val="single" w:sz="4" w:space="0" w:color="auto"/>
            </w:tcBorders>
            <w:shd w:val="clear" w:color="000000" w:fill="FFFFFF"/>
            <w:noWrap/>
            <w:vAlign w:val="bottom"/>
            <w:hideMark/>
          </w:tcPr>
          <w:p w14:paraId="765E0EFA"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16 214 000</w:t>
            </w:r>
          </w:p>
        </w:tc>
        <w:tc>
          <w:tcPr>
            <w:tcW w:w="1602" w:type="dxa"/>
            <w:tcBorders>
              <w:top w:val="nil"/>
              <w:left w:val="nil"/>
              <w:bottom w:val="single" w:sz="4" w:space="0" w:color="auto"/>
              <w:right w:val="single" w:sz="4" w:space="0" w:color="auto"/>
            </w:tcBorders>
            <w:shd w:val="clear" w:color="000000" w:fill="FFFFFF"/>
            <w:noWrap/>
            <w:vAlign w:val="bottom"/>
            <w:hideMark/>
          </w:tcPr>
          <w:p w14:paraId="11718F6C"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17 317 360,00</w:t>
            </w:r>
          </w:p>
        </w:tc>
        <w:tc>
          <w:tcPr>
            <w:tcW w:w="1701" w:type="dxa"/>
            <w:tcBorders>
              <w:top w:val="nil"/>
              <w:left w:val="nil"/>
              <w:bottom w:val="single" w:sz="4" w:space="0" w:color="auto"/>
              <w:right w:val="single" w:sz="4" w:space="0" w:color="auto"/>
            </w:tcBorders>
            <w:shd w:val="clear" w:color="000000" w:fill="FFFFFF"/>
            <w:noWrap/>
            <w:vAlign w:val="bottom"/>
            <w:hideMark/>
          </w:tcPr>
          <w:p w14:paraId="4C97ECCA"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17 317 360,00</w:t>
            </w:r>
          </w:p>
        </w:tc>
        <w:tc>
          <w:tcPr>
            <w:tcW w:w="647" w:type="dxa"/>
            <w:tcBorders>
              <w:top w:val="nil"/>
              <w:left w:val="nil"/>
              <w:bottom w:val="single" w:sz="4" w:space="0" w:color="auto"/>
              <w:right w:val="single" w:sz="8" w:space="0" w:color="auto"/>
            </w:tcBorders>
            <w:shd w:val="clear" w:color="000000" w:fill="FFFFFF"/>
            <w:noWrap/>
            <w:vAlign w:val="bottom"/>
            <w:hideMark/>
          </w:tcPr>
          <w:p w14:paraId="7B63D0F4"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100,0</w:t>
            </w:r>
          </w:p>
        </w:tc>
      </w:tr>
      <w:tr w:rsidR="008E0636" w:rsidRPr="00A55202" w14:paraId="57FE811F" w14:textId="77777777" w:rsidTr="008E0636">
        <w:trPr>
          <w:trHeight w:val="552"/>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18ED16AF"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3321</w:t>
            </w:r>
          </w:p>
        </w:tc>
        <w:tc>
          <w:tcPr>
            <w:tcW w:w="4672" w:type="dxa"/>
            <w:tcBorders>
              <w:top w:val="nil"/>
              <w:left w:val="nil"/>
              <w:bottom w:val="single" w:sz="4" w:space="0" w:color="auto"/>
              <w:right w:val="single" w:sz="4" w:space="0" w:color="auto"/>
            </w:tcBorders>
            <w:shd w:val="clear" w:color="000000" w:fill="FFFFFF"/>
            <w:vAlign w:val="bottom"/>
            <w:hideMark/>
          </w:tcPr>
          <w:p w14:paraId="5A8BFFCE"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Zajištění postupného naplňování Koncepce rozšíření provozu IC keltské kultury 2022-2026</w:t>
            </w:r>
          </w:p>
        </w:tc>
        <w:tc>
          <w:tcPr>
            <w:tcW w:w="1264" w:type="dxa"/>
            <w:tcBorders>
              <w:top w:val="nil"/>
              <w:left w:val="nil"/>
              <w:bottom w:val="single" w:sz="4" w:space="0" w:color="auto"/>
              <w:right w:val="single" w:sz="4" w:space="0" w:color="auto"/>
            </w:tcBorders>
            <w:shd w:val="clear" w:color="000000" w:fill="FFFFFF"/>
            <w:noWrap/>
            <w:vAlign w:val="bottom"/>
            <w:hideMark/>
          </w:tcPr>
          <w:p w14:paraId="47E15F92"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0</w:t>
            </w:r>
          </w:p>
        </w:tc>
        <w:tc>
          <w:tcPr>
            <w:tcW w:w="1602" w:type="dxa"/>
            <w:tcBorders>
              <w:top w:val="nil"/>
              <w:left w:val="nil"/>
              <w:bottom w:val="single" w:sz="4" w:space="0" w:color="auto"/>
              <w:right w:val="single" w:sz="4" w:space="0" w:color="auto"/>
            </w:tcBorders>
            <w:shd w:val="clear" w:color="000000" w:fill="FFFFFF"/>
            <w:noWrap/>
            <w:vAlign w:val="bottom"/>
            <w:hideMark/>
          </w:tcPr>
          <w:p w14:paraId="2C1C46CC"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440 000,00</w:t>
            </w:r>
          </w:p>
        </w:tc>
        <w:tc>
          <w:tcPr>
            <w:tcW w:w="1701" w:type="dxa"/>
            <w:tcBorders>
              <w:top w:val="nil"/>
              <w:left w:val="nil"/>
              <w:bottom w:val="single" w:sz="4" w:space="0" w:color="auto"/>
              <w:right w:val="single" w:sz="4" w:space="0" w:color="auto"/>
            </w:tcBorders>
            <w:shd w:val="clear" w:color="000000" w:fill="FFFFFF"/>
            <w:noWrap/>
            <w:vAlign w:val="bottom"/>
            <w:hideMark/>
          </w:tcPr>
          <w:p w14:paraId="53D4C305"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440 000,00</w:t>
            </w:r>
          </w:p>
        </w:tc>
        <w:tc>
          <w:tcPr>
            <w:tcW w:w="647" w:type="dxa"/>
            <w:tcBorders>
              <w:top w:val="nil"/>
              <w:left w:val="nil"/>
              <w:bottom w:val="single" w:sz="4" w:space="0" w:color="auto"/>
              <w:right w:val="single" w:sz="8" w:space="0" w:color="auto"/>
            </w:tcBorders>
            <w:shd w:val="clear" w:color="000000" w:fill="FFFFFF"/>
            <w:noWrap/>
            <w:vAlign w:val="bottom"/>
            <w:hideMark/>
          </w:tcPr>
          <w:p w14:paraId="244A7886" w14:textId="77777777" w:rsidR="00A55202" w:rsidRPr="00A55202" w:rsidRDefault="00A55202" w:rsidP="00A55202">
            <w:pPr>
              <w:spacing w:after="0" w:line="240" w:lineRule="auto"/>
              <w:jc w:val="right"/>
              <w:rPr>
                <w:rFonts w:ascii="Calibri" w:eastAsia="Times New Roman" w:hAnsi="Calibri" w:cs="Calibri"/>
                <w:i/>
                <w:iCs/>
                <w:sz w:val="20"/>
                <w:szCs w:val="20"/>
                <w:lang w:eastAsia="cs-CZ"/>
              </w:rPr>
            </w:pPr>
            <w:r w:rsidRPr="00A55202">
              <w:rPr>
                <w:rFonts w:ascii="Calibri" w:eastAsia="Times New Roman" w:hAnsi="Calibri" w:cs="Calibri"/>
                <w:i/>
                <w:iCs/>
                <w:sz w:val="20"/>
                <w:szCs w:val="20"/>
                <w:lang w:eastAsia="cs-CZ"/>
              </w:rPr>
              <w:t>100,0</w:t>
            </w:r>
          </w:p>
        </w:tc>
      </w:tr>
      <w:tr w:rsidR="008E0636" w:rsidRPr="00A55202" w14:paraId="106B9EDB" w14:textId="77777777" w:rsidTr="008E0636">
        <w:trPr>
          <w:trHeight w:val="319"/>
        </w:trPr>
        <w:tc>
          <w:tcPr>
            <w:tcW w:w="826" w:type="dxa"/>
            <w:tcBorders>
              <w:top w:val="nil"/>
              <w:left w:val="single" w:sz="8" w:space="0" w:color="auto"/>
              <w:bottom w:val="single" w:sz="4" w:space="0" w:color="auto"/>
              <w:right w:val="single" w:sz="4" w:space="0" w:color="auto"/>
            </w:tcBorders>
            <w:shd w:val="clear" w:color="000000" w:fill="FFFFFF"/>
            <w:vAlign w:val="bottom"/>
            <w:hideMark/>
          </w:tcPr>
          <w:p w14:paraId="59AC774C"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3315, 3321</w:t>
            </w:r>
          </w:p>
        </w:tc>
        <w:tc>
          <w:tcPr>
            <w:tcW w:w="4672" w:type="dxa"/>
            <w:tcBorders>
              <w:top w:val="nil"/>
              <w:left w:val="nil"/>
              <w:bottom w:val="single" w:sz="4" w:space="0" w:color="auto"/>
              <w:right w:val="single" w:sz="4" w:space="0" w:color="auto"/>
            </w:tcBorders>
            <w:shd w:val="clear" w:color="000000" w:fill="FFFFFF"/>
            <w:vAlign w:val="center"/>
            <w:hideMark/>
          </w:tcPr>
          <w:p w14:paraId="4869942C"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xml:space="preserve">Archeologické  výzkumy a nálezy </w:t>
            </w:r>
          </w:p>
        </w:tc>
        <w:tc>
          <w:tcPr>
            <w:tcW w:w="1264" w:type="dxa"/>
            <w:tcBorders>
              <w:top w:val="nil"/>
              <w:left w:val="nil"/>
              <w:bottom w:val="single" w:sz="4" w:space="0" w:color="auto"/>
              <w:right w:val="single" w:sz="4" w:space="0" w:color="auto"/>
            </w:tcBorders>
            <w:shd w:val="clear" w:color="000000" w:fill="FFFFFF"/>
            <w:vAlign w:val="bottom"/>
            <w:hideMark/>
          </w:tcPr>
          <w:p w14:paraId="1566359A"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600 000</w:t>
            </w:r>
          </w:p>
        </w:tc>
        <w:tc>
          <w:tcPr>
            <w:tcW w:w="1602" w:type="dxa"/>
            <w:tcBorders>
              <w:top w:val="nil"/>
              <w:left w:val="nil"/>
              <w:bottom w:val="single" w:sz="4" w:space="0" w:color="auto"/>
              <w:right w:val="single" w:sz="4" w:space="0" w:color="auto"/>
            </w:tcBorders>
            <w:shd w:val="clear" w:color="000000" w:fill="FFFFFF"/>
            <w:vAlign w:val="bottom"/>
            <w:hideMark/>
          </w:tcPr>
          <w:p w14:paraId="0D2311B7"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801 095,42</w:t>
            </w:r>
          </w:p>
        </w:tc>
        <w:tc>
          <w:tcPr>
            <w:tcW w:w="1701" w:type="dxa"/>
            <w:tcBorders>
              <w:top w:val="nil"/>
              <w:left w:val="nil"/>
              <w:bottom w:val="single" w:sz="4" w:space="0" w:color="auto"/>
              <w:right w:val="single" w:sz="4" w:space="0" w:color="auto"/>
            </w:tcBorders>
            <w:shd w:val="clear" w:color="000000" w:fill="FFFFFF"/>
            <w:vAlign w:val="bottom"/>
            <w:hideMark/>
          </w:tcPr>
          <w:p w14:paraId="156B58DF"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640 918,00</w:t>
            </w:r>
          </w:p>
        </w:tc>
        <w:tc>
          <w:tcPr>
            <w:tcW w:w="647" w:type="dxa"/>
            <w:tcBorders>
              <w:top w:val="nil"/>
              <w:left w:val="nil"/>
              <w:bottom w:val="single" w:sz="4" w:space="0" w:color="auto"/>
              <w:right w:val="single" w:sz="8" w:space="0" w:color="auto"/>
            </w:tcBorders>
            <w:shd w:val="clear" w:color="000000" w:fill="FFFFFF"/>
            <w:vAlign w:val="bottom"/>
            <w:hideMark/>
          </w:tcPr>
          <w:p w14:paraId="523D301D"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80,0</w:t>
            </w:r>
          </w:p>
        </w:tc>
      </w:tr>
      <w:tr w:rsidR="008E0636" w:rsidRPr="00A55202" w14:paraId="239219FE" w14:textId="77777777" w:rsidTr="008E0636">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0BB9F4A1"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3321</w:t>
            </w:r>
          </w:p>
        </w:tc>
        <w:tc>
          <w:tcPr>
            <w:tcW w:w="4672" w:type="dxa"/>
            <w:tcBorders>
              <w:top w:val="nil"/>
              <w:left w:val="nil"/>
              <w:bottom w:val="single" w:sz="4" w:space="0" w:color="auto"/>
              <w:right w:val="single" w:sz="4" w:space="0" w:color="auto"/>
            </w:tcBorders>
            <w:shd w:val="clear" w:color="000000" w:fill="FFFFFF"/>
            <w:vAlign w:val="bottom"/>
            <w:hideMark/>
          </w:tcPr>
          <w:p w14:paraId="77EA7962"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Vědecko-výzkumné archeologické projekty</w:t>
            </w:r>
          </w:p>
        </w:tc>
        <w:tc>
          <w:tcPr>
            <w:tcW w:w="1264" w:type="dxa"/>
            <w:tcBorders>
              <w:top w:val="nil"/>
              <w:left w:val="nil"/>
              <w:bottom w:val="single" w:sz="4" w:space="0" w:color="auto"/>
              <w:right w:val="single" w:sz="4" w:space="0" w:color="auto"/>
            </w:tcBorders>
            <w:shd w:val="clear" w:color="000000" w:fill="FFFFFF"/>
            <w:noWrap/>
            <w:vAlign w:val="bottom"/>
            <w:hideMark/>
          </w:tcPr>
          <w:p w14:paraId="793FADF1"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5 000 000</w:t>
            </w:r>
          </w:p>
        </w:tc>
        <w:tc>
          <w:tcPr>
            <w:tcW w:w="1602" w:type="dxa"/>
            <w:tcBorders>
              <w:top w:val="nil"/>
              <w:left w:val="nil"/>
              <w:bottom w:val="single" w:sz="4" w:space="0" w:color="auto"/>
              <w:right w:val="single" w:sz="4" w:space="0" w:color="auto"/>
            </w:tcBorders>
            <w:shd w:val="clear" w:color="000000" w:fill="FFFFFF"/>
            <w:noWrap/>
            <w:vAlign w:val="bottom"/>
            <w:hideMark/>
          </w:tcPr>
          <w:p w14:paraId="1B00F4CF"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5 000 000,00</w:t>
            </w:r>
          </w:p>
        </w:tc>
        <w:tc>
          <w:tcPr>
            <w:tcW w:w="1701" w:type="dxa"/>
            <w:tcBorders>
              <w:top w:val="nil"/>
              <w:left w:val="nil"/>
              <w:bottom w:val="single" w:sz="4" w:space="0" w:color="auto"/>
              <w:right w:val="single" w:sz="4" w:space="0" w:color="auto"/>
            </w:tcBorders>
            <w:shd w:val="clear" w:color="000000" w:fill="FFFFFF"/>
            <w:noWrap/>
            <w:vAlign w:val="bottom"/>
            <w:hideMark/>
          </w:tcPr>
          <w:p w14:paraId="0EBC5F3A"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5 000 000,00</w:t>
            </w:r>
          </w:p>
        </w:tc>
        <w:tc>
          <w:tcPr>
            <w:tcW w:w="647" w:type="dxa"/>
            <w:tcBorders>
              <w:top w:val="nil"/>
              <w:left w:val="nil"/>
              <w:bottom w:val="single" w:sz="4" w:space="0" w:color="auto"/>
              <w:right w:val="single" w:sz="8" w:space="0" w:color="auto"/>
            </w:tcBorders>
            <w:shd w:val="clear" w:color="000000" w:fill="FFFFFF"/>
            <w:noWrap/>
            <w:vAlign w:val="bottom"/>
            <w:hideMark/>
          </w:tcPr>
          <w:p w14:paraId="6B9DE61F"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100,0</w:t>
            </w:r>
          </w:p>
        </w:tc>
      </w:tr>
      <w:tr w:rsidR="008E0636" w:rsidRPr="00A55202" w14:paraId="7ADF85AB" w14:textId="77777777" w:rsidTr="008E0636">
        <w:trPr>
          <w:trHeight w:val="612"/>
        </w:trPr>
        <w:tc>
          <w:tcPr>
            <w:tcW w:w="826" w:type="dxa"/>
            <w:tcBorders>
              <w:top w:val="nil"/>
              <w:left w:val="single" w:sz="8" w:space="0" w:color="auto"/>
              <w:bottom w:val="nil"/>
              <w:right w:val="single" w:sz="4" w:space="0" w:color="auto"/>
            </w:tcBorders>
            <w:shd w:val="clear" w:color="000000" w:fill="FFFFFF"/>
            <w:vAlign w:val="bottom"/>
            <w:hideMark/>
          </w:tcPr>
          <w:p w14:paraId="36FBD9F3"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3322</w:t>
            </w:r>
          </w:p>
        </w:tc>
        <w:tc>
          <w:tcPr>
            <w:tcW w:w="4672" w:type="dxa"/>
            <w:tcBorders>
              <w:top w:val="nil"/>
              <w:left w:val="nil"/>
              <w:bottom w:val="nil"/>
              <w:right w:val="single" w:sz="4" w:space="0" w:color="auto"/>
            </w:tcBorders>
            <w:shd w:val="clear" w:color="000000" w:fill="FFFFFF"/>
            <w:vAlign w:val="bottom"/>
            <w:hideMark/>
          </w:tcPr>
          <w:p w14:paraId="76E50D59"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Program na obnovu památek určených ke společenskému využití</w:t>
            </w:r>
          </w:p>
        </w:tc>
        <w:tc>
          <w:tcPr>
            <w:tcW w:w="1264" w:type="dxa"/>
            <w:tcBorders>
              <w:top w:val="nil"/>
              <w:left w:val="nil"/>
              <w:bottom w:val="nil"/>
              <w:right w:val="single" w:sz="4" w:space="0" w:color="auto"/>
            </w:tcBorders>
            <w:shd w:val="clear" w:color="000000" w:fill="FFFFFF"/>
            <w:noWrap/>
            <w:vAlign w:val="bottom"/>
            <w:hideMark/>
          </w:tcPr>
          <w:p w14:paraId="4C3E19E0"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0</w:t>
            </w:r>
          </w:p>
        </w:tc>
        <w:tc>
          <w:tcPr>
            <w:tcW w:w="1602" w:type="dxa"/>
            <w:tcBorders>
              <w:top w:val="nil"/>
              <w:left w:val="nil"/>
              <w:bottom w:val="nil"/>
              <w:right w:val="single" w:sz="4" w:space="0" w:color="auto"/>
            </w:tcBorders>
            <w:shd w:val="clear" w:color="000000" w:fill="FFFFFF"/>
            <w:noWrap/>
            <w:vAlign w:val="bottom"/>
            <w:hideMark/>
          </w:tcPr>
          <w:p w14:paraId="05737AAC"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23 849 538,25</w:t>
            </w:r>
          </w:p>
        </w:tc>
        <w:tc>
          <w:tcPr>
            <w:tcW w:w="1701" w:type="dxa"/>
            <w:tcBorders>
              <w:top w:val="nil"/>
              <w:left w:val="nil"/>
              <w:bottom w:val="nil"/>
              <w:right w:val="single" w:sz="4" w:space="0" w:color="auto"/>
            </w:tcBorders>
            <w:shd w:val="clear" w:color="000000" w:fill="FFFFFF"/>
            <w:noWrap/>
            <w:vAlign w:val="bottom"/>
            <w:hideMark/>
          </w:tcPr>
          <w:p w14:paraId="3A35D939"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22 996 551,04</w:t>
            </w:r>
          </w:p>
        </w:tc>
        <w:tc>
          <w:tcPr>
            <w:tcW w:w="647" w:type="dxa"/>
            <w:tcBorders>
              <w:top w:val="nil"/>
              <w:left w:val="nil"/>
              <w:bottom w:val="nil"/>
              <w:right w:val="single" w:sz="8" w:space="0" w:color="auto"/>
            </w:tcBorders>
            <w:shd w:val="clear" w:color="000000" w:fill="FFFFFF"/>
            <w:noWrap/>
            <w:vAlign w:val="bottom"/>
            <w:hideMark/>
          </w:tcPr>
          <w:p w14:paraId="3EDB3726"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96,4</w:t>
            </w:r>
          </w:p>
        </w:tc>
      </w:tr>
      <w:tr w:rsidR="008E0636" w:rsidRPr="00A55202" w14:paraId="278E765E" w14:textId="77777777" w:rsidTr="008E0636">
        <w:trPr>
          <w:trHeight w:val="300"/>
        </w:trPr>
        <w:tc>
          <w:tcPr>
            <w:tcW w:w="826" w:type="dxa"/>
            <w:tcBorders>
              <w:top w:val="single" w:sz="8" w:space="0" w:color="auto"/>
              <w:left w:val="single" w:sz="8" w:space="0" w:color="auto"/>
              <w:bottom w:val="single" w:sz="8" w:space="0" w:color="auto"/>
              <w:right w:val="single" w:sz="4" w:space="0" w:color="auto"/>
            </w:tcBorders>
            <w:shd w:val="clear" w:color="000000" w:fill="FFFFFF"/>
            <w:noWrap/>
            <w:vAlign w:val="bottom"/>
            <w:hideMark/>
          </w:tcPr>
          <w:p w14:paraId="6C17DB4B" w14:textId="77777777" w:rsidR="00A55202" w:rsidRPr="00A55202" w:rsidRDefault="00A55202" w:rsidP="00A55202">
            <w:pPr>
              <w:spacing w:after="0" w:line="240" w:lineRule="auto"/>
              <w:rPr>
                <w:rFonts w:ascii="Calibri" w:eastAsia="Times New Roman" w:hAnsi="Calibri" w:cs="Calibri"/>
                <w:lang w:eastAsia="cs-CZ"/>
              </w:rPr>
            </w:pPr>
            <w:r w:rsidRPr="00A55202">
              <w:rPr>
                <w:rFonts w:ascii="Calibri" w:eastAsia="Times New Roman" w:hAnsi="Calibri" w:cs="Calibri"/>
                <w:lang w:eastAsia="cs-CZ"/>
              </w:rPr>
              <w:t> </w:t>
            </w:r>
          </w:p>
        </w:tc>
        <w:tc>
          <w:tcPr>
            <w:tcW w:w="4672" w:type="dxa"/>
            <w:tcBorders>
              <w:top w:val="single" w:sz="8" w:space="0" w:color="auto"/>
              <w:left w:val="nil"/>
              <w:bottom w:val="single" w:sz="8" w:space="0" w:color="auto"/>
              <w:right w:val="nil"/>
            </w:tcBorders>
            <w:shd w:val="clear" w:color="000000" w:fill="FFFFFF"/>
            <w:noWrap/>
            <w:vAlign w:val="bottom"/>
            <w:hideMark/>
          </w:tcPr>
          <w:p w14:paraId="6A44B4EB" w14:textId="77777777" w:rsidR="00A55202" w:rsidRPr="00A55202" w:rsidRDefault="00A55202" w:rsidP="00A55202">
            <w:pPr>
              <w:spacing w:after="0" w:line="240" w:lineRule="auto"/>
              <w:rPr>
                <w:rFonts w:ascii="Calibri" w:eastAsia="Times New Roman" w:hAnsi="Calibri" w:cs="Calibri"/>
                <w:b/>
                <w:bCs/>
                <w:lang w:eastAsia="cs-CZ"/>
              </w:rPr>
            </w:pPr>
            <w:r w:rsidRPr="00A55202">
              <w:rPr>
                <w:rFonts w:ascii="Calibri" w:eastAsia="Times New Roman" w:hAnsi="Calibri" w:cs="Calibri"/>
                <w:b/>
                <w:bCs/>
                <w:lang w:eastAsia="cs-CZ"/>
              </w:rPr>
              <w:t>Celkem</w:t>
            </w:r>
          </w:p>
        </w:tc>
        <w:tc>
          <w:tcPr>
            <w:tcW w:w="1264" w:type="dxa"/>
            <w:tcBorders>
              <w:top w:val="single" w:sz="8" w:space="0" w:color="auto"/>
              <w:left w:val="nil"/>
              <w:bottom w:val="single" w:sz="8" w:space="0" w:color="auto"/>
              <w:right w:val="single" w:sz="4" w:space="0" w:color="auto"/>
            </w:tcBorders>
            <w:shd w:val="clear" w:color="000000" w:fill="FFFFFF"/>
            <w:noWrap/>
            <w:vAlign w:val="bottom"/>
            <w:hideMark/>
          </w:tcPr>
          <w:p w14:paraId="68DD9221" w14:textId="77777777" w:rsidR="00A55202" w:rsidRPr="00A55202" w:rsidRDefault="00A55202" w:rsidP="00A55202">
            <w:pPr>
              <w:spacing w:after="0" w:line="240" w:lineRule="auto"/>
              <w:jc w:val="right"/>
              <w:rPr>
                <w:rFonts w:ascii="Calibri" w:eastAsia="Times New Roman" w:hAnsi="Calibri" w:cs="Calibri"/>
                <w:b/>
                <w:bCs/>
                <w:lang w:eastAsia="cs-CZ"/>
              </w:rPr>
            </w:pPr>
            <w:r w:rsidRPr="00A55202">
              <w:rPr>
                <w:rFonts w:ascii="Calibri" w:eastAsia="Times New Roman" w:hAnsi="Calibri" w:cs="Calibri"/>
                <w:b/>
                <w:bCs/>
                <w:lang w:eastAsia="cs-CZ"/>
              </w:rPr>
              <w:t>368 341 000</w:t>
            </w:r>
          </w:p>
        </w:tc>
        <w:tc>
          <w:tcPr>
            <w:tcW w:w="1602" w:type="dxa"/>
            <w:tcBorders>
              <w:top w:val="single" w:sz="8" w:space="0" w:color="auto"/>
              <w:left w:val="nil"/>
              <w:bottom w:val="single" w:sz="8" w:space="0" w:color="auto"/>
              <w:right w:val="single" w:sz="4" w:space="0" w:color="auto"/>
            </w:tcBorders>
            <w:shd w:val="clear" w:color="000000" w:fill="FFFFFF"/>
            <w:noWrap/>
            <w:vAlign w:val="bottom"/>
            <w:hideMark/>
          </w:tcPr>
          <w:p w14:paraId="173BF85F" w14:textId="77777777" w:rsidR="00A55202" w:rsidRPr="00A55202" w:rsidRDefault="00A55202" w:rsidP="00A55202">
            <w:pPr>
              <w:spacing w:after="0" w:line="240" w:lineRule="auto"/>
              <w:jc w:val="right"/>
              <w:rPr>
                <w:rFonts w:ascii="Calibri" w:eastAsia="Times New Roman" w:hAnsi="Calibri" w:cs="Calibri"/>
                <w:b/>
                <w:bCs/>
                <w:lang w:eastAsia="cs-CZ"/>
              </w:rPr>
            </w:pPr>
            <w:r w:rsidRPr="00A55202">
              <w:rPr>
                <w:rFonts w:ascii="Calibri" w:eastAsia="Times New Roman" w:hAnsi="Calibri" w:cs="Calibri"/>
                <w:b/>
                <w:bCs/>
                <w:lang w:eastAsia="cs-CZ"/>
              </w:rPr>
              <w:t>476 758 291,87</w:t>
            </w:r>
          </w:p>
        </w:tc>
        <w:tc>
          <w:tcPr>
            <w:tcW w:w="1701" w:type="dxa"/>
            <w:tcBorders>
              <w:top w:val="single" w:sz="8" w:space="0" w:color="auto"/>
              <w:left w:val="nil"/>
              <w:bottom w:val="single" w:sz="8" w:space="0" w:color="auto"/>
              <w:right w:val="single" w:sz="4" w:space="0" w:color="auto"/>
            </w:tcBorders>
            <w:shd w:val="clear" w:color="000000" w:fill="FFFFFF"/>
            <w:noWrap/>
            <w:vAlign w:val="bottom"/>
            <w:hideMark/>
          </w:tcPr>
          <w:p w14:paraId="72B41C11" w14:textId="77777777" w:rsidR="00A55202" w:rsidRPr="00A55202" w:rsidRDefault="00A55202" w:rsidP="00A55202">
            <w:pPr>
              <w:spacing w:after="0" w:line="240" w:lineRule="auto"/>
              <w:jc w:val="right"/>
              <w:rPr>
                <w:rFonts w:ascii="Calibri" w:eastAsia="Times New Roman" w:hAnsi="Calibri" w:cs="Calibri"/>
                <w:b/>
                <w:bCs/>
                <w:lang w:eastAsia="cs-CZ"/>
              </w:rPr>
            </w:pPr>
            <w:r w:rsidRPr="00A55202">
              <w:rPr>
                <w:rFonts w:ascii="Calibri" w:eastAsia="Times New Roman" w:hAnsi="Calibri" w:cs="Calibri"/>
                <w:b/>
                <w:bCs/>
                <w:lang w:eastAsia="cs-CZ"/>
              </w:rPr>
              <w:t>470 493 686,53</w:t>
            </w:r>
          </w:p>
        </w:tc>
        <w:tc>
          <w:tcPr>
            <w:tcW w:w="647" w:type="dxa"/>
            <w:tcBorders>
              <w:top w:val="single" w:sz="8" w:space="0" w:color="auto"/>
              <w:left w:val="nil"/>
              <w:bottom w:val="single" w:sz="8" w:space="0" w:color="auto"/>
              <w:right w:val="single" w:sz="8" w:space="0" w:color="auto"/>
            </w:tcBorders>
            <w:shd w:val="clear" w:color="000000" w:fill="FFFFFF"/>
            <w:noWrap/>
            <w:vAlign w:val="bottom"/>
            <w:hideMark/>
          </w:tcPr>
          <w:p w14:paraId="02A5A3ED" w14:textId="77777777" w:rsidR="00A55202" w:rsidRPr="00A55202" w:rsidRDefault="00A55202" w:rsidP="00A55202">
            <w:pPr>
              <w:spacing w:after="0" w:line="240" w:lineRule="auto"/>
              <w:jc w:val="right"/>
              <w:rPr>
                <w:rFonts w:ascii="Calibri" w:eastAsia="Times New Roman" w:hAnsi="Calibri" w:cs="Calibri"/>
                <w:b/>
                <w:bCs/>
                <w:lang w:eastAsia="cs-CZ"/>
              </w:rPr>
            </w:pPr>
            <w:r w:rsidRPr="00A55202">
              <w:rPr>
                <w:rFonts w:ascii="Calibri" w:eastAsia="Times New Roman" w:hAnsi="Calibri" w:cs="Calibri"/>
                <w:b/>
                <w:bCs/>
                <w:lang w:eastAsia="cs-CZ"/>
              </w:rPr>
              <w:t>98,7</w:t>
            </w:r>
          </w:p>
        </w:tc>
      </w:tr>
      <w:tr w:rsidR="008E0636" w:rsidRPr="00A55202" w14:paraId="323F18BF" w14:textId="77777777" w:rsidTr="008E0636">
        <w:trPr>
          <w:trHeight w:val="300"/>
        </w:trPr>
        <w:tc>
          <w:tcPr>
            <w:tcW w:w="826" w:type="dxa"/>
            <w:tcBorders>
              <w:top w:val="nil"/>
              <w:left w:val="nil"/>
              <w:bottom w:val="nil"/>
              <w:right w:val="nil"/>
            </w:tcBorders>
            <w:shd w:val="clear" w:color="000000" w:fill="FFFFFF"/>
            <w:noWrap/>
            <w:vAlign w:val="bottom"/>
            <w:hideMark/>
          </w:tcPr>
          <w:p w14:paraId="1F5FC1A1" w14:textId="77777777" w:rsidR="00A55202" w:rsidRPr="00A55202" w:rsidRDefault="00A55202" w:rsidP="00A55202">
            <w:pPr>
              <w:spacing w:after="0" w:line="240" w:lineRule="auto"/>
              <w:rPr>
                <w:rFonts w:ascii="Calibri" w:eastAsia="Times New Roman" w:hAnsi="Calibri" w:cs="Calibri"/>
                <w:b/>
                <w:bCs/>
                <w:sz w:val="24"/>
                <w:szCs w:val="24"/>
                <w:lang w:eastAsia="cs-CZ"/>
              </w:rPr>
            </w:pPr>
            <w:r w:rsidRPr="00A55202">
              <w:rPr>
                <w:rFonts w:ascii="Calibri" w:eastAsia="Times New Roman" w:hAnsi="Calibri" w:cs="Calibri"/>
                <w:b/>
                <w:bCs/>
                <w:sz w:val="24"/>
                <w:szCs w:val="24"/>
                <w:lang w:eastAsia="cs-CZ"/>
              </w:rPr>
              <w:t> </w:t>
            </w:r>
          </w:p>
        </w:tc>
        <w:tc>
          <w:tcPr>
            <w:tcW w:w="4672" w:type="dxa"/>
            <w:tcBorders>
              <w:top w:val="nil"/>
              <w:left w:val="nil"/>
              <w:bottom w:val="nil"/>
              <w:right w:val="nil"/>
            </w:tcBorders>
            <w:shd w:val="clear" w:color="000000" w:fill="FFFFFF"/>
            <w:noWrap/>
            <w:vAlign w:val="bottom"/>
            <w:hideMark/>
          </w:tcPr>
          <w:p w14:paraId="379400ED" w14:textId="77777777" w:rsidR="00A55202" w:rsidRPr="00A55202" w:rsidRDefault="00A55202" w:rsidP="00A55202">
            <w:pPr>
              <w:spacing w:after="0" w:line="240" w:lineRule="auto"/>
              <w:rPr>
                <w:rFonts w:ascii="Calibri" w:eastAsia="Times New Roman" w:hAnsi="Calibri" w:cs="Calibri"/>
                <w:b/>
                <w:bCs/>
                <w:lang w:eastAsia="cs-CZ"/>
              </w:rPr>
            </w:pPr>
            <w:r w:rsidRPr="00A55202">
              <w:rPr>
                <w:rFonts w:ascii="Calibri" w:eastAsia="Times New Roman" w:hAnsi="Calibri" w:cs="Calibri"/>
                <w:b/>
                <w:bCs/>
                <w:lang w:eastAsia="cs-CZ"/>
              </w:rPr>
              <w:t> </w:t>
            </w:r>
          </w:p>
        </w:tc>
        <w:tc>
          <w:tcPr>
            <w:tcW w:w="1264" w:type="dxa"/>
            <w:tcBorders>
              <w:top w:val="nil"/>
              <w:left w:val="nil"/>
              <w:bottom w:val="nil"/>
              <w:right w:val="nil"/>
            </w:tcBorders>
            <w:shd w:val="clear" w:color="000000" w:fill="FFFFFF"/>
            <w:noWrap/>
            <w:vAlign w:val="bottom"/>
            <w:hideMark/>
          </w:tcPr>
          <w:p w14:paraId="43F449DB" w14:textId="77777777" w:rsidR="00A55202" w:rsidRPr="00A55202" w:rsidRDefault="00A55202" w:rsidP="00A55202">
            <w:pPr>
              <w:spacing w:after="0" w:line="240" w:lineRule="auto"/>
              <w:rPr>
                <w:rFonts w:ascii="Calibri" w:eastAsia="Times New Roman" w:hAnsi="Calibri" w:cs="Calibri"/>
                <w:b/>
                <w:bCs/>
                <w:lang w:eastAsia="cs-CZ"/>
              </w:rPr>
            </w:pPr>
            <w:r w:rsidRPr="00A55202">
              <w:rPr>
                <w:rFonts w:ascii="Calibri" w:eastAsia="Times New Roman" w:hAnsi="Calibri" w:cs="Calibri"/>
                <w:b/>
                <w:bCs/>
                <w:lang w:eastAsia="cs-CZ"/>
              </w:rPr>
              <w:t> </w:t>
            </w:r>
          </w:p>
        </w:tc>
        <w:tc>
          <w:tcPr>
            <w:tcW w:w="1602" w:type="dxa"/>
            <w:tcBorders>
              <w:top w:val="nil"/>
              <w:left w:val="nil"/>
              <w:bottom w:val="nil"/>
              <w:right w:val="nil"/>
            </w:tcBorders>
            <w:shd w:val="clear" w:color="000000" w:fill="FFFFFF"/>
            <w:noWrap/>
            <w:vAlign w:val="bottom"/>
            <w:hideMark/>
          </w:tcPr>
          <w:p w14:paraId="0DC23486" w14:textId="77777777" w:rsidR="00A55202" w:rsidRPr="00A55202" w:rsidRDefault="00A55202" w:rsidP="00A55202">
            <w:pPr>
              <w:spacing w:after="0" w:line="240" w:lineRule="auto"/>
              <w:rPr>
                <w:rFonts w:ascii="Calibri" w:eastAsia="Times New Roman" w:hAnsi="Calibri" w:cs="Calibri"/>
                <w:b/>
                <w:bCs/>
                <w:lang w:eastAsia="cs-CZ"/>
              </w:rPr>
            </w:pPr>
            <w:r w:rsidRPr="00A55202">
              <w:rPr>
                <w:rFonts w:ascii="Calibri" w:eastAsia="Times New Roman" w:hAnsi="Calibri" w:cs="Calibri"/>
                <w:b/>
                <w:bCs/>
                <w:lang w:eastAsia="cs-CZ"/>
              </w:rPr>
              <w:t> </w:t>
            </w:r>
          </w:p>
        </w:tc>
        <w:tc>
          <w:tcPr>
            <w:tcW w:w="1701" w:type="dxa"/>
            <w:tcBorders>
              <w:top w:val="nil"/>
              <w:left w:val="nil"/>
              <w:bottom w:val="nil"/>
              <w:right w:val="nil"/>
            </w:tcBorders>
            <w:shd w:val="clear" w:color="000000" w:fill="FFFFFF"/>
            <w:noWrap/>
            <w:vAlign w:val="bottom"/>
            <w:hideMark/>
          </w:tcPr>
          <w:p w14:paraId="6E65A39C" w14:textId="77777777" w:rsidR="00A55202" w:rsidRPr="00A55202" w:rsidRDefault="00A55202" w:rsidP="00A55202">
            <w:pPr>
              <w:spacing w:after="0" w:line="240" w:lineRule="auto"/>
              <w:rPr>
                <w:rFonts w:ascii="Calibri" w:eastAsia="Times New Roman" w:hAnsi="Calibri" w:cs="Calibri"/>
                <w:b/>
                <w:bCs/>
                <w:lang w:eastAsia="cs-CZ"/>
              </w:rPr>
            </w:pPr>
            <w:r w:rsidRPr="00A55202">
              <w:rPr>
                <w:rFonts w:ascii="Calibri" w:eastAsia="Times New Roman" w:hAnsi="Calibri" w:cs="Calibri"/>
                <w:b/>
                <w:bCs/>
                <w:lang w:eastAsia="cs-CZ"/>
              </w:rPr>
              <w:t> </w:t>
            </w:r>
          </w:p>
        </w:tc>
        <w:tc>
          <w:tcPr>
            <w:tcW w:w="647" w:type="dxa"/>
            <w:tcBorders>
              <w:top w:val="nil"/>
              <w:left w:val="nil"/>
              <w:bottom w:val="nil"/>
              <w:right w:val="nil"/>
            </w:tcBorders>
            <w:shd w:val="clear" w:color="000000" w:fill="FFFFFF"/>
            <w:noWrap/>
            <w:vAlign w:val="bottom"/>
            <w:hideMark/>
          </w:tcPr>
          <w:p w14:paraId="4C429AF2" w14:textId="77777777" w:rsidR="00A55202" w:rsidRPr="00A55202" w:rsidRDefault="00A55202" w:rsidP="00A55202">
            <w:pPr>
              <w:spacing w:after="0" w:line="240" w:lineRule="auto"/>
              <w:jc w:val="right"/>
              <w:rPr>
                <w:rFonts w:ascii="Calibri" w:eastAsia="Times New Roman" w:hAnsi="Calibri" w:cs="Calibri"/>
                <w:b/>
                <w:bCs/>
                <w:lang w:eastAsia="cs-CZ"/>
              </w:rPr>
            </w:pPr>
            <w:r w:rsidRPr="00A55202">
              <w:rPr>
                <w:rFonts w:ascii="Calibri" w:eastAsia="Times New Roman" w:hAnsi="Calibri" w:cs="Calibri"/>
                <w:b/>
                <w:bCs/>
                <w:lang w:eastAsia="cs-CZ"/>
              </w:rPr>
              <w:t> </w:t>
            </w:r>
          </w:p>
        </w:tc>
      </w:tr>
      <w:tr w:rsidR="008E0636" w:rsidRPr="00A55202" w14:paraId="576CA374" w14:textId="77777777" w:rsidTr="008E0636">
        <w:trPr>
          <w:trHeight w:val="319"/>
        </w:trPr>
        <w:tc>
          <w:tcPr>
            <w:tcW w:w="826" w:type="dxa"/>
            <w:tcBorders>
              <w:top w:val="nil"/>
              <w:left w:val="nil"/>
              <w:bottom w:val="nil"/>
              <w:right w:val="nil"/>
            </w:tcBorders>
            <w:shd w:val="clear" w:color="000000" w:fill="FFFFFF"/>
            <w:noWrap/>
            <w:vAlign w:val="bottom"/>
            <w:hideMark/>
          </w:tcPr>
          <w:p w14:paraId="39A52144" w14:textId="77777777" w:rsidR="00A55202" w:rsidRPr="00A55202" w:rsidRDefault="00A55202" w:rsidP="00A55202">
            <w:pPr>
              <w:spacing w:after="0" w:line="240" w:lineRule="auto"/>
              <w:rPr>
                <w:rFonts w:ascii="Calibri" w:eastAsia="Times New Roman" w:hAnsi="Calibri" w:cs="Calibri"/>
                <w:b/>
                <w:bCs/>
                <w:lang w:eastAsia="cs-CZ"/>
              </w:rPr>
            </w:pPr>
            <w:r w:rsidRPr="00A55202">
              <w:rPr>
                <w:rFonts w:ascii="Calibri" w:eastAsia="Times New Roman" w:hAnsi="Calibri" w:cs="Calibri"/>
                <w:b/>
                <w:bCs/>
                <w:lang w:eastAsia="cs-CZ"/>
              </w:rPr>
              <w:t> </w:t>
            </w:r>
          </w:p>
        </w:tc>
        <w:tc>
          <w:tcPr>
            <w:tcW w:w="7538" w:type="dxa"/>
            <w:gridSpan w:val="3"/>
            <w:tcBorders>
              <w:top w:val="nil"/>
              <w:left w:val="nil"/>
              <w:bottom w:val="nil"/>
              <w:right w:val="nil"/>
            </w:tcBorders>
            <w:shd w:val="clear" w:color="000000" w:fill="FFFFFF"/>
            <w:noWrap/>
            <w:vAlign w:val="bottom"/>
            <w:hideMark/>
          </w:tcPr>
          <w:p w14:paraId="0EFA0B4B" w14:textId="77777777" w:rsidR="00A55202" w:rsidRPr="00A55202" w:rsidRDefault="00A55202" w:rsidP="00A55202">
            <w:pPr>
              <w:spacing w:after="0" w:line="240" w:lineRule="auto"/>
              <w:rPr>
                <w:rFonts w:ascii="Calibri" w:eastAsia="Times New Roman" w:hAnsi="Calibri" w:cs="Calibri"/>
                <w:b/>
                <w:bCs/>
                <w:lang w:eastAsia="cs-CZ"/>
              </w:rPr>
            </w:pPr>
            <w:r w:rsidRPr="00A55202">
              <w:rPr>
                <w:rFonts w:ascii="Calibri" w:eastAsia="Times New Roman" w:hAnsi="Calibri" w:cs="Calibri"/>
                <w:b/>
                <w:bCs/>
                <w:lang w:eastAsia="cs-CZ"/>
              </w:rPr>
              <w:t>Výdaje na reprodukci majetku příspěvkových organizací</w:t>
            </w:r>
          </w:p>
        </w:tc>
        <w:tc>
          <w:tcPr>
            <w:tcW w:w="1701" w:type="dxa"/>
            <w:tcBorders>
              <w:top w:val="nil"/>
              <w:left w:val="nil"/>
              <w:bottom w:val="nil"/>
              <w:right w:val="nil"/>
            </w:tcBorders>
            <w:shd w:val="clear" w:color="000000" w:fill="FFFFFF"/>
            <w:noWrap/>
            <w:vAlign w:val="bottom"/>
            <w:hideMark/>
          </w:tcPr>
          <w:p w14:paraId="298FEAB4" w14:textId="77777777" w:rsidR="00A55202" w:rsidRPr="00A55202" w:rsidRDefault="00A55202" w:rsidP="00A55202">
            <w:pPr>
              <w:spacing w:after="0" w:line="240" w:lineRule="auto"/>
              <w:rPr>
                <w:rFonts w:ascii="Calibri" w:eastAsia="Times New Roman" w:hAnsi="Calibri" w:cs="Calibri"/>
                <w:b/>
                <w:bCs/>
                <w:lang w:eastAsia="cs-CZ"/>
              </w:rPr>
            </w:pPr>
            <w:r w:rsidRPr="00A55202">
              <w:rPr>
                <w:rFonts w:ascii="Calibri" w:eastAsia="Times New Roman" w:hAnsi="Calibri" w:cs="Calibri"/>
                <w:b/>
                <w:bCs/>
                <w:lang w:eastAsia="cs-CZ"/>
              </w:rPr>
              <w:t> </w:t>
            </w:r>
          </w:p>
        </w:tc>
        <w:tc>
          <w:tcPr>
            <w:tcW w:w="647" w:type="dxa"/>
            <w:tcBorders>
              <w:top w:val="nil"/>
              <w:left w:val="nil"/>
              <w:bottom w:val="nil"/>
              <w:right w:val="nil"/>
            </w:tcBorders>
            <w:shd w:val="clear" w:color="000000" w:fill="FFFFFF"/>
            <w:noWrap/>
            <w:vAlign w:val="bottom"/>
            <w:hideMark/>
          </w:tcPr>
          <w:p w14:paraId="112BC68C" w14:textId="77777777" w:rsidR="00A55202" w:rsidRPr="00A55202" w:rsidRDefault="00A55202" w:rsidP="00A55202">
            <w:pPr>
              <w:spacing w:after="0" w:line="240" w:lineRule="auto"/>
              <w:jc w:val="right"/>
              <w:rPr>
                <w:rFonts w:ascii="Calibri" w:eastAsia="Times New Roman" w:hAnsi="Calibri" w:cs="Calibri"/>
                <w:b/>
                <w:bCs/>
                <w:lang w:eastAsia="cs-CZ"/>
              </w:rPr>
            </w:pPr>
            <w:r w:rsidRPr="00A55202">
              <w:rPr>
                <w:rFonts w:ascii="Calibri" w:eastAsia="Times New Roman" w:hAnsi="Calibri" w:cs="Calibri"/>
                <w:b/>
                <w:bCs/>
                <w:lang w:eastAsia="cs-CZ"/>
              </w:rPr>
              <w:t> </w:t>
            </w:r>
          </w:p>
        </w:tc>
      </w:tr>
      <w:tr w:rsidR="008E0636" w:rsidRPr="00A55202" w14:paraId="57A6421C" w14:textId="77777777" w:rsidTr="008E0636">
        <w:trPr>
          <w:trHeight w:val="300"/>
        </w:trPr>
        <w:tc>
          <w:tcPr>
            <w:tcW w:w="826"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7DC774A0"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c>
          <w:tcPr>
            <w:tcW w:w="4672" w:type="dxa"/>
            <w:tcBorders>
              <w:top w:val="single" w:sz="8" w:space="0" w:color="auto"/>
              <w:left w:val="nil"/>
              <w:bottom w:val="single" w:sz="4" w:space="0" w:color="auto"/>
              <w:right w:val="single" w:sz="4" w:space="0" w:color="auto"/>
            </w:tcBorders>
            <w:shd w:val="clear" w:color="000000" w:fill="FFFFFF"/>
            <w:noWrap/>
            <w:vAlign w:val="bottom"/>
            <w:hideMark/>
          </w:tcPr>
          <w:p w14:paraId="67D21602"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Vrácené příjmy z pronájmu (UZ 040)</w:t>
            </w:r>
          </w:p>
        </w:tc>
        <w:tc>
          <w:tcPr>
            <w:tcW w:w="1264" w:type="dxa"/>
            <w:tcBorders>
              <w:top w:val="single" w:sz="8" w:space="0" w:color="auto"/>
              <w:left w:val="nil"/>
              <w:bottom w:val="single" w:sz="4" w:space="0" w:color="auto"/>
              <w:right w:val="single" w:sz="4" w:space="0" w:color="auto"/>
            </w:tcBorders>
            <w:shd w:val="clear" w:color="000000" w:fill="FFFFFF"/>
            <w:noWrap/>
            <w:vAlign w:val="bottom"/>
            <w:hideMark/>
          </w:tcPr>
          <w:p w14:paraId="01A33C8C"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0</w:t>
            </w:r>
          </w:p>
        </w:tc>
        <w:tc>
          <w:tcPr>
            <w:tcW w:w="1602" w:type="dxa"/>
            <w:tcBorders>
              <w:top w:val="single" w:sz="8" w:space="0" w:color="auto"/>
              <w:left w:val="nil"/>
              <w:bottom w:val="single" w:sz="4" w:space="0" w:color="auto"/>
              <w:right w:val="single" w:sz="4" w:space="0" w:color="auto"/>
            </w:tcBorders>
            <w:shd w:val="clear" w:color="000000" w:fill="FFFFFF"/>
            <w:noWrap/>
            <w:vAlign w:val="bottom"/>
            <w:hideMark/>
          </w:tcPr>
          <w:p w14:paraId="6E5676F6"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2 079 667,00</w:t>
            </w:r>
          </w:p>
        </w:tc>
        <w:tc>
          <w:tcPr>
            <w:tcW w:w="1701" w:type="dxa"/>
            <w:tcBorders>
              <w:top w:val="single" w:sz="8" w:space="0" w:color="auto"/>
              <w:left w:val="nil"/>
              <w:bottom w:val="single" w:sz="4" w:space="0" w:color="auto"/>
              <w:right w:val="single" w:sz="4" w:space="0" w:color="auto"/>
            </w:tcBorders>
            <w:shd w:val="clear" w:color="000000" w:fill="FFFFFF"/>
            <w:noWrap/>
            <w:vAlign w:val="bottom"/>
            <w:hideMark/>
          </w:tcPr>
          <w:p w14:paraId="061EACBD"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2 079 667,00</w:t>
            </w:r>
          </w:p>
        </w:tc>
        <w:tc>
          <w:tcPr>
            <w:tcW w:w="647" w:type="dxa"/>
            <w:tcBorders>
              <w:top w:val="single" w:sz="8" w:space="0" w:color="auto"/>
              <w:left w:val="nil"/>
              <w:bottom w:val="single" w:sz="4" w:space="0" w:color="auto"/>
              <w:right w:val="single" w:sz="8" w:space="0" w:color="auto"/>
            </w:tcBorders>
            <w:shd w:val="clear" w:color="000000" w:fill="FFFFFF"/>
            <w:noWrap/>
            <w:vAlign w:val="bottom"/>
            <w:hideMark/>
          </w:tcPr>
          <w:p w14:paraId="61D586EE"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100,0</w:t>
            </w:r>
          </w:p>
        </w:tc>
      </w:tr>
      <w:tr w:rsidR="008E0636" w:rsidRPr="00A55202" w14:paraId="2D839780" w14:textId="77777777" w:rsidTr="008E0636">
        <w:trPr>
          <w:trHeight w:val="360"/>
        </w:trPr>
        <w:tc>
          <w:tcPr>
            <w:tcW w:w="826" w:type="dxa"/>
            <w:tcBorders>
              <w:top w:val="nil"/>
              <w:left w:val="single" w:sz="8" w:space="0" w:color="auto"/>
              <w:bottom w:val="single" w:sz="8" w:space="0" w:color="auto"/>
              <w:right w:val="single" w:sz="4" w:space="0" w:color="auto"/>
            </w:tcBorders>
            <w:shd w:val="clear" w:color="000000" w:fill="FFFFFF"/>
            <w:noWrap/>
            <w:vAlign w:val="center"/>
            <w:hideMark/>
          </w:tcPr>
          <w:p w14:paraId="20430A5C"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c>
          <w:tcPr>
            <w:tcW w:w="4672" w:type="dxa"/>
            <w:tcBorders>
              <w:top w:val="nil"/>
              <w:left w:val="nil"/>
              <w:bottom w:val="nil"/>
              <w:right w:val="single" w:sz="4" w:space="0" w:color="auto"/>
            </w:tcBorders>
            <w:shd w:val="clear" w:color="000000" w:fill="FFFFFF"/>
            <w:noWrap/>
            <w:vAlign w:val="bottom"/>
            <w:hideMark/>
          </w:tcPr>
          <w:p w14:paraId="46F12B43" w14:textId="5A651A2E" w:rsidR="00A55202" w:rsidRPr="00A55202" w:rsidRDefault="008E0636" w:rsidP="00A55202">
            <w:pPr>
              <w:spacing w:after="0" w:line="240" w:lineRule="auto"/>
              <w:rPr>
                <w:rFonts w:ascii="Calibri" w:eastAsia="Times New Roman" w:hAnsi="Calibri" w:cs="Calibri"/>
                <w:sz w:val="20"/>
                <w:szCs w:val="20"/>
                <w:lang w:eastAsia="cs-CZ"/>
              </w:rPr>
            </w:pPr>
            <w:r>
              <w:rPr>
                <w:rFonts w:ascii="Calibri" w:eastAsia="Times New Roman" w:hAnsi="Calibri" w:cs="Calibri"/>
                <w:sz w:val="20"/>
                <w:szCs w:val="20"/>
                <w:lang w:eastAsia="cs-CZ"/>
              </w:rPr>
              <w:t>Vrácené p</w:t>
            </w:r>
            <w:r w:rsidR="00A55202" w:rsidRPr="00A55202">
              <w:rPr>
                <w:rFonts w:ascii="Calibri" w:eastAsia="Times New Roman" w:hAnsi="Calibri" w:cs="Calibri"/>
                <w:sz w:val="20"/>
                <w:szCs w:val="20"/>
                <w:lang w:eastAsia="cs-CZ"/>
              </w:rPr>
              <w:t>říjmy z pronájmu za minulý rok (UZ 041)</w:t>
            </w:r>
          </w:p>
        </w:tc>
        <w:tc>
          <w:tcPr>
            <w:tcW w:w="1264" w:type="dxa"/>
            <w:tcBorders>
              <w:top w:val="nil"/>
              <w:left w:val="nil"/>
              <w:bottom w:val="nil"/>
              <w:right w:val="single" w:sz="4" w:space="0" w:color="auto"/>
            </w:tcBorders>
            <w:shd w:val="clear" w:color="000000" w:fill="FFFFFF"/>
            <w:noWrap/>
            <w:vAlign w:val="bottom"/>
            <w:hideMark/>
          </w:tcPr>
          <w:p w14:paraId="2D1579E4"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0</w:t>
            </w:r>
          </w:p>
        </w:tc>
        <w:tc>
          <w:tcPr>
            <w:tcW w:w="1602" w:type="dxa"/>
            <w:tcBorders>
              <w:top w:val="nil"/>
              <w:left w:val="nil"/>
              <w:bottom w:val="nil"/>
              <w:right w:val="single" w:sz="4" w:space="0" w:color="auto"/>
            </w:tcBorders>
            <w:shd w:val="clear" w:color="000000" w:fill="FFFFFF"/>
            <w:noWrap/>
            <w:vAlign w:val="bottom"/>
            <w:hideMark/>
          </w:tcPr>
          <w:p w14:paraId="2BF1DD6C"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32 511,50</w:t>
            </w:r>
          </w:p>
        </w:tc>
        <w:tc>
          <w:tcPr>
            <w:tcW w:w="1701" w:type="dxa"/>
            <w:tcBorders>
              <w:top w:val="nil"/>
              <w:left w:val="nil"/>
              <w:bottom w:val="nil"/>
              <w:right w:val="single" w:sz="4" w:space="0" w:color="auto"/>
            </w:tcBorders>
            <w:shd w:val="clear" w:color="000000" w:fill="FFFFFF"/>
            <w:noWrap/>
            <w:vAlign w:val="bottom"/>
            <w:hideMark/>
          </w:tcPr>
          <w:p w14:paraId="78C8378C"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32 511,50</w:t>
            </w:r>
          </w:p>
        </w:tc>
        <w:tc>
          <w:tcPr>
            <w:tcW w:w="647" w:type="dxa"/>
            <w:tcBorders>
              <w:top w:val="nil"/>
              <w:left w:val="nil"/>
              <w:bottom w:val="nil"/>
              <w:right w:val="single" w:sz="8" w:space="0" w:color="auto"/>
            </w:tcBorders>
            <w:shd w:val="clear" w:color="000000" w:fill="FFFFFF"/>
            <w:noWrap/>
            <w:vAlign w:val="bottom"/>
            <w:hideMark/>
          </w:tcPr>
          <w:p w14:paraId="3407E25B"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100,0</w:t>
            </w:r>
          </w:p>
        </w:tc>
      </w:tr>
      <w:tr w:rsidR="008E0636" w:rsidRPr="00A55202" w14:paraId="52C9EFA8" w14:textId="77777777" w:rsidTr="008E0636">
        <w:trPr>
          <w:trHeight w:val="300"/>
        </w:trPr>
        <w:tc>
          <w:tcPr>
            <w:tcW w:w="826" w:type="dxa"/>
            <w:tcBorders>
              <w:top w:val="nil"/>
              <w:left w:val="single" w:sz="8" w:space="0" w:color="auto"/>
              <w:bottom w:val="single" w:sz="8" w:space="0" w:color="auto"/>
              <w:right w:val="single" w:sz="4" w:space="0" w:color="auto"/>
            </w:tcBorders>
            <w:shd w:val="clear" w:color="000000" w:fill="FFFFFF"/>
            <w:noWrap/>
            <w:vAlign w:val="bottom"/>
            <w:hideMark/>
          </w:tcPr>
          <w:p w14:paraId="2C57C632"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c>
          <w:tcPr>
            <w:tcW w:w="4672" w:type="dxa"/>
            <w:tcBorders>
              <w:top w:val="single" w:sz="8" w:space="0" w:color="auto"/>
              <w:left w:val="nil"/>
              <w:bottom w:val="single" w:sz="8" w:space="0" w:color="auto"/>
              <w:right w:val="single" w:sz="4" w:space="0" w:color="auto"/>
            </w:tcBorders>
            <w:shd w:val="clear" w:color="000000" w:fill="FFFFFF"/>
            <w:noWrap/>
            <w:vAlign w:val="bottom"/>
            <w:hideMark/>
          </w:tcPr>
          <w:p w14:paraId="3E5B2496" w14:textId="77777777" w:rsidR="00A55202" w:rsidRPr="00A55202" w:rsidRDefault="00A55202" w:rsidP="00A55202">
            <w:pPr>
              <w:spacing w:after="0" w:line="240" w:lineRule="auto"/>
              <w:rPr>
                <w:rFonts w:ascii="Calibri" w:eastAsia="Times New Roman" w:hAnsi="Calibri" w:cs="Calibri"/>
                <w:b/>
                <w:bCs/>
                <w:lang w:eastAsia="cs-CZ"/>
              </w:rPr>
            </w:pPr>
            <w:r w:rsidRPr="00A55202">
              <w:rPr>
                <w:rFonts w:ascii="Calibri" w:eastAsia="Times New Roman" w:hAnsi="Calibri" w:cs="Calibri"/>
                <w:b/>
                <w:bCs/>
                <w:lang w:eastAsia="cs-CZ"/>
              </w:rPr>
              <w:t>Celkem</w:t>
            </w:r>
          </w:p>
        </w:tc>
        <w:tc>
          <w:tcPr>
            <w:tcW w:w="1264" w:type="dxa"/>
            <w:tcBorders>
              <w:top w:val="single" w:sz="8" w:space="0" w:color="auto"/>
              <w:left w:val="nil"/>
              <w:bottom w:val="single" w:sz="8" w:space="0" w:color="auto"/>
              <w:right w:val="single" w:sz="4" w:space="0" w:color="auto"/>
            </w:tcBorders>
            <w:shd w:val="clear" w:color="000000" w:fill="FFFFFF"/>
            <w:noWrap/>
            <w:vAlign w:val="bottom"/>
            <w:hideMark/>
          </w:tcPr>
          <w:p w14:paraId="49975FB7" w14:textId="77777777" w:rsidR="00A55202" w:rsidRPr="00A55202" w:rsidRDefault="00A55202" w:rsidP="00A55202">
            <w:pPr>
              <w:spacing w:after="0" w:line="240" w:lineRule="auto"/>
              <w:jc w:val="right"/>
              <w:rPr>
                <w:rFonts w:ascii="Calibri" w:eastAsia="Times New Roman" w:hAnsi="Calibri" w:cs="Calibri"/>
                <w:b/>
                <w:bCs/>
                <w:lang w:eastAsia="cs-CZ"/>
              </w:rPr>
            </w:pPr>
            <w:r w:rsidRPr="00A55202">
              <w:rPr>
                <w:rFonts w:ascii="Calibri" w:eastAsia="Times New Roman" w:hAnsi="Calibri" w:cs="Calibri"/>
                <w:b/>
                <w:bCs/>
                <w:lang w:eastAsia="cs-CZ"/>
              </w:rPr>
              <w:t>0</w:t>
            </w:r>
          </w:p>
        </w:tc>
        <w:tc>
          <w:tcPr>
            <w:tcW w:w="1602" w:type="dxa"/>
            <w:tcBorders>
              <w:top w:val="single" w:sz="8" w:space="0" w:color="auto"/>
              <w:left w:val="nil"/>
              <w:bottom w:val="single" w:sz="8" w:space="0" w:color="auto"/>
              <w:right w:val="single" w:sz="4" w:space="0" w:color="auto"/>
            </w:tcBorders>
            <w:shd w:val="clear" w:color="000000" w:fill="FFFFFF"/>
            <w:noWrap/>
            <w:vAlign w:val="bottom"/>
            <w:hideMark/>
          </w:tcPr>
          <w:p w14:paraId="4F3FC56C" w14:textId="77777777" w:rsidR="00A55202" w:rsidRPr="00A55202" w:rsidRDefault="00A55202" w:rsidP="00A55202">
            <w:pPr>
              <w:spacing w:after="0" w:line="240" w:lineRule="auto"/>
              <w:jc w:val="right"/>
              <w:rPr>
                <w:rFonts w:ascii="Calibri" w:eastAsia="Times New Roman" w:hAnsi="Calibri" w:cs="Calibri"/>
                <w:b/>
                <w:bCs/>
                <w:lang w:eastAsia="cs-CZ"/>
              </w:rPr>
            </w:pPr>
            <w:r w:rsidRPr="00A55202">
              <w:rPr>
                <w:rFonts w:ascii="Calibri" w:eastAsia="Times New Roman" w:hAnsi="Calibri" w:cs="Calibri"/>
                <w:b/>
                <w:bCs/>
                <w:lang w:eastAsia="cs-CZ"/>
              </w:rPr>
              <w:t>2 112 178,50</w:t>
            </w:r>
          </w:p>
        </w:tc>
        <w:tc>
          <w:tcPr>
            <w:tcW w:w="1701" w:type="dxa"/>
            <w:tcBorders>
              <w:top w:val="single" w:sz="8" w:space="0" w:color="auto"/>
              <w:left w:val="nil"/>
              <w:bottom w:val="single" w:sz="8" w:space="0" w:color="auto"/>
              <w:right w:val="single" w:sz="4" w:space="0" w:color="auto"/>
            </w:tcBorders>
            <w:shd w:val="clear" w:color="000000" w:fill="FFFFFF"/>
            <w:noWrap/>
            <w:vAlign w:val="bottom"/>
            <w:hideMark/>
          </w:tcPr>
          <w:p w14:paraId="5C85A72F" w14:textId="77777777" w:rsidR="00A55202" w:rsidRPr="00A55202" w:rsidRDefault="00A55202" w:rsidP="00A55202">
            <w:pPr>
              <w:spacing w:after="0" w:line="240" w:lineRule="auto"/>
              <w:jc w:val="right"/>
              <w:rPr>
                <w:rFonts w:ascii="Calibri" w:eastAsia="Times New Roman" w:hAnsi="Calibri" w:cs="Calibri"/>
                <w:b/>
                <w:bCs/>
                <w:lang w:eastAsia="cs-CZ"/>
              </w:rPr>
            </w:pPr>
            <w:r w:rsidRPr="00A55202">
              <w:rPr>
                <w:rFonts w:ascii="Calibri" w:eastAsia="Times New Roman" w:hAnsi="Calibri" w:cs="Calibri"/>
                <w:b/>
                <w:bCs/>
                <w:lang w:eastAsia="cs-CZ"/>
              </w:rPr>
              <w:t>2 112 178,50</w:t>
            </w:r>
          </w:p>
        </w:tc>
        <w:tc>
          <w:tcPr>
            <w:tcW w:w="647" w:type="dxa"/>
            <w:tcBorders>
              <w:top w:val="single" w:sz="8" w:space="0" w:color="auto"/>
              <w:left w:val="nil"/>
              <w:bottom w:val="single" w:sz="8" w:space="0" w:color="auto"/>
              <w:right w:val="single" w:sz="8" w:space="0" w:color="auto"/>
            </w:tcBorders>
            <w:shd w:val="clear" w:color="000000" w:fill="FFFFFF"/>
            <w:noWrap/>
            <w:vAlign w:val="bottom"/>
            <w:hideMark/>
          </w:tcPr>
          <w:p w14:paraId="0E6BA5F2" w14:textId="77777777" w:rsidR="00A55202" w:rsidRPr="00A55202" w:rsidRDefault="00A55202" w:rsidP="00A55202">
            <w:pPr>
              <w:spacing w:after="0" w:line="240" w:lineRule="auto"/>
              <w:jc w:val="right"/>
              <w:rPr>
                <w:rFonts w:ascii="Calibri" w:eastAsia="Times New Roman" w:hAnsi="Calibri" w:cs="Calibri"/>
                <w:b/>
                <w:bCs/>
                <w:lang w:eastAsia="cs-CZ"/>
              </w:rPr>
            </w:pPr>
            <w:r w:rsidRPr="00A55202">
              <w:rPr>
                <w:rFonts w:ascii="Calibri" w:eastAsia="Times New Roman" w:hAnsi="Calibri" w:cs="Calibri"/>
                <w:b/>
                <w:bCs/>
                <w:lang w:eastAsia="cs-CZ"/>
              </w:rPr>
              <w:t>100,0</w:t>
            </w:r>
          </w:p>
        </w:tc>
      </w:tr>
      <w:tr w:rsidR="008E0636" w:rsidRPr="00A55202" w14:paraId="1A279F27" w14:textId="77777777" w:rsidTr="008E0636">
        <w:trPr>
          <w:trHeight w:val="300"/>
        </w:trPr>
        <w:tc>
          <w:tcPr>
            <w:tcW w:w="826" w:type="dxa"/>
            <w:tcBorders>
              <w:top w:val="nil"/>
              <w:left w:val="nil"/>
              <w:bottom w:val="nil"/>
              <w:right w:val="nil"/>
            </w:tcBorders>
            <w:shd w:val="clear" w:color="000000" w:fill="FFFFFF"/>
            <w:noWrap/>
            <w:vAlign w:val="bottom"/>
            <w:hideMark/>
          </w:tcPr>
          <w:p w14:paraId="27FBE975"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c>
          <w:tcPr>
            <w:tcW w:w="4672" w:type="dxa"/>
            <w:tcBorders>
              <w:top w:val="nil"/>
              <w:left w:val="nil"/>
              <w:bottom w:val="nil"/>
              <w:right w:val="nil"/>
            </w:tcBorders>
            <w:shd w:val="clear" w:color="000000" w:fill="FFFFFF"/>
            <w:noWrap/>
            <w:vAlign w:val="bottom"/>
            <w:hideMark/>
          </w:tcPr>
          <w:p w14:paraId="0637F6CA" w14:textId="77777777" w:rsidR="00A55202" w:rsidRPr="00A55202" w:rsidRDefault="00A55202" w:rsidP="00A55202">
            <w:pPr>
              <w:spacing w:after="0" w:line="240" w:lineRule="auto"/>
              <w:rPr>
                <w:rFonts w:ascii="Calibri" w:eastAsia="Times New Roman" w:hAnsi="Calibri" w:cs="Calibri"/>
                <w:b/>
                <w:bCs/>
                <w:lang w:eastAsia="cs-CZ"/>
              </w:rPr>
            </w:pPr>
            <w:r w:rsidRPr="00A55202">
              <w:rPr>
                <w:rFonts w:ascii="Calibri" w:eastAsia="Times New Roman" w:hAnsi="Calibri" w:cs="Calibri"/>
                <w:b/>
                <w:bCs/>
                <w:lang w:eastAsia="cs-CZ"/>
              </w:rPr>
              <w:t> </w:t>
            </w:r>
          </w:p>
        </w:tc>
        <w:tc>
          <w:tcPr>
            <w:tcW w:w="1264" w:type="dxa"/>
            <w:tcBorders>
              <w:top w:val="nil"/>
              <w:left w:val="nil"/>
              <w:bottom w:val="nil"/>
              <w:right w:val="nil"/>
            </w:tcBorders>
            <w:shd w:val="clear" w:color="000000" w:fill="FFFFFF"/>
            <w:noWrap/>
            <w:vAlign w:val="bottom"/>
            <w:hideMark/>
          </w:tcPr>
          <w:p w14:paraId="2C034939" w14:textId="77777777" w:rsidR="00A55202" w:rsidRPr="00A55202" w:rsidRDefault="00A55202" w:rsidP="00A55202">
            <w:pPr>
              <w:spacing w:after="0" w:line="240" w:lineRule="auto"/>
              <w:rPr>
                <w:rFonts w:ascii="Calibri" w:eastAsia="Times New Roman" w:hAnsi="Calibri" w:cs="Calibri"/>
                <w:b/>
                <w:bCs/>
                <w:lang w:eastAsia="cs-CZ"/>
              </w:rPr>
            </w:pPr>
            <w:r w:rsidRPr="00A55202">
              <w:rPr>
                <w:rFonts w:ascii="Calibri" w:eastAsia="Times New Roman" w:hAnsi="Calibri" w:cs="Calibri"/>
                <w:b/>
                <w:bCs/>
                <w:lang w:eastAsia="cs-CZ"/>
              </w:rPr>
              <w:t> </w:t>
            </w:r>
          </w:p>
        </w:tc>
        <w:tc>
          <w:tcPr>
            <w:tcW w:w="1602" w:type="dxa"/>
            <w:tcBorders>
              <w:top w:val="nil"/>
              <w:left w:val="nil"/>
              <w:bottom w:val="nil"/>
              <w:right w:val="nil"/>
            </w:tcBorders>
            <w:shd w:val="clear" w:color="000000" w:fill="FFFFFF"/>
            <w:noWrap/>
            <w:vAlign w:val="bottom"/>
            <w:hideMark/>
          </w:tcPr>
          <w:p w14:paraId="151CDF22" w14:textId="77777777" w:rsidR="00A55202" w:rsidRPr="00A55202" w:rsidRDefault="00A55202" w:rsidP="00A55202">
            <w:pPr>
              <w:spacing w:after="0" w:line="240" w:lineRule="auto"/>
              <w:rPr>
                <w:rFonts w:ascii="Calibri" w:eastAsia="Times New Roman" w:hAnsi="Calibri" w:cs="Calibri"/>
                <w:b/>
                <w:bCs/>
                <w:lang w:eastAsia="cs-CZ"/>
              </w:rPr>
            </w:pPr>
            <w:r w:rsidRPr="00A55202">
              <w:rPr>
                <w:rFonts w:ascii="Calibri" w:eastAsia="Times New Roman" w:hAnsi="Calibri" w:cs="Calibri"/>
                <w:b/>
                <w:bCs/>
                <w:lang w:eastAsia="cs-CZ"/>
              </w:rPr>
              <w:t> </w:t>
            </w:r>
          </w:p>
        </w:tc>
        <w:tc>
          <w:tcPr>
            <w:tcW w:w="1701" w:type="dxa"/>
            <w:tcBorders>
              <w:top w:val="nil"/>
              <w:left w:val="nil"/>
              <w:bottom w:val="nil"/>
              <w:right w:val="nil"/>
            </w:tcBorders>
            <w:shd w:val="clear" w:color="000000" w:fill="FFFFFF"/>
            <w:noWrap/>
            <w:vAlign w:val="bottom"/>
            <w:hideMark/>
          </w:tcPr>
          <w:p w14:paraId="0FA8E383" w14:textId="77777777" w:rsidR="00A55202" w:rsidRPr="00A55202" w:rsidRDefault="00A55202" w:rsidP="00A55202">
            <w:pPr>
              <w:spacing w:after="0" w:line="240" w:lineRule="auto"/>
              <w:rPr>
                <w:rFonts w:ascii="Calibri" w:eastAsia="Times New Roman" w:hAnsi="Calibri" w:cs="Calibri"/>
                <w:b/>
                <w:bCs/>
                <w:lang w:eastAsia="cs-CZ"/>
              </w:rPr>
            </w:pPr>
            <w:r w:rsidRPr="00A55202">
              <w:rPr>
                <w:rFonts w:ascii="Calibri" w:eastAsia="Times New Roman" w:hAnsi="Calibri" w:cs="Calibri"/>
                <w:b/>
                <w:bCs/>
                <w:lang w:eastAsia="cs-CZ"/>
              </w:rPr>
              <w:t> </w:t>
            </w:r>
          </w:p>
        </w:tc>
        <w:tc>
          <w:tcPr>
            <w:tcW w:w="647" w:type="dxa"/>
            <w:tcBorders>
              <w:top w:val="nil"/>
              <w:left w:val="nil"/>
              <w:bottom w:val="nil"/>
              <w:right w:val="nil"/>
            </w:tcBorders>
            <w:shd w:val="clear" w:color="000000" w:fill="FFFFFF"/>
            <w:noWrap/>
            <w:vAlign w:val="bottom"/>
            <w:hideMark/>
          </w:tcPr>
          <w:p w14:paraId="5D2CC8FE" w14:textId="77777777" w:rsidR="00A55202" w:rsidRPr="00A55202" w:rsidRDefault="00A55202" w:rsidP="00A55202">
            <w:pPr>
              <w:spacing w:after="0" w:line="240" w:lineRule="auto"/>
              <w:jc w:val="right"/>
              <w:rPr>
                <w:rFonts w:ascii="Calibri" w:eastAsia="Times New Roman" w:hAnsi="Calibri" w:cs="Calibri"/>
                <w:b/>
                <w:bCs/>
                <w:lang w:eastAsia="cs-CZ"/>
              </w:rPr>
            </w:pPr>
            <w:r w:rsidRPr="00A55202">
              <w:rPr>
                <w:rFonts w:ascii="Calibri" w:eastAsia="Times New Roman" w:hAnsi="Calibri" w:cs="Calibri"/>
                <w:b/>
                <w:bCs/>
                <w:lang w:eastAsia="cs-CZ"/>
              </w:rPr>
              <w:t> </w:t>
            </w:r>
          </w:p>
        </w:tc>
      </w:tr>
      <w:tr w:rsidR="008E0636" w:rsidRPr="00A55202" w14:paraId="74115CB7" w14:textId="77777777" w:rsidTr="008E0636">
        <w:trPr>
          <w:trHeight w:val="319"/>
        </w:trPr>
        <w:tc>
          <w:tcPr>
            <w:tcW w:w="826" w:type="dxa"/>
            <w:tcBorders>
              <w:top w:val="nil"/>
              <w:left w:val="nil"/>
              <w:bottom w:val="nil"/>
              <w:right w:val="nil"/>
            </w:tcBorders>
            <w:shd w:val="clear" w:color="000000" w:fill="FFFFFF"/>
            <w:noWrap/>
            <w:vAlign w:val="bottom"/>
            <w:hideMark/>
          </w:tcPr>
          <w:p w14:paraId="7D115DB3"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c>
          <w:tcPr>
            <w:tcW w:w="4672" w:type="dxa"/>
            <w:tcBorders>
              <w:top w:val="nil"/>
              <w:left w:val="nil"/>
              <w:bottom w:val="nil"/>
              <w:right w:val="nil"/>
            </w:tcBorders>
            <w:shd w:val="clear" w:color="000000" w:fill="FFFFFF"/>
            <w:noWrap/>
            <w:vAlign w:val="bottom"/>
            <w:hideMark/>
          </w:tcPr>
          <w:p w14:paraId="1E44A79F" w14:textId="77777777" w:rsidR="00A55202" w:rsidRPr="00A55202" w:rsidRDefault="00A55202" w:rsidP="00A55202">
            <w:pPr>
              <w:spacing w:after="0" w:line="240" w:lineRule="auto"/>
              <w:rPr>
                <w:rFonts w:ascii="Calibri" w:eastAsia="Times New Roman" w:hAnsi="Calibri" w:cs="Calibri"/>
                <w:b/>
                <w:bCs/>
                <w:lang w:eastAsia="cs-CZ"/>
              </w:rPr>
            </w:pPr>
            <w:r w:rsidRPr="00A55202">
              <w:rPr>
                <w:rFonts w:ascii="Calibri" w:eastAsia="Times New Roman" w:hAnsi="Calibri" w:cs="Calibri"/>
                <w:b/>
                <w:bCs/>
                <w:lang w:eastAsia="cs-CZ"/>
              </w:rPr>
              <w:t>Fondy</w:t>
            </w:r>
          </w:p>
        </w:tc>
        <w:tc>
          <w:tcPr>
            <w:tcW w:w="1264" w:type="dxa"/>
            <w:tcBorders>
              <w:top w:val="nil"/>
              <w:left w:val="nil"/>
              <w:bottom w:val="nil"/>
              <w:right w:val="nil"/>
            </w:tcBorders>
            <w:shd w:val="clear" w:color="000000" w:fill="FFFFFF"/>
            <w:noWrap/>
            <w:vAlign w:val="bottom"/>
            <w:hideMark/>
          </w:tcPr>
          <w:p w14:paraId="4ADF4186" w14:textId="77777777" w:rsidR="00A55202" w:rsidRPr="00A55202" w:rsidRDefault="00A55202" w:rsidP="00A55202">
            <w:pPr>
              <w:spacing w:after="0" w:line="240" w:lineRule="auto"/>
              <w:jc w:val="right"/>
              <w:rPr>
                <w:rFonts w:ascii="Calibri" w:eastAsia="Times New Roman" w:hAnsi="Calibri" w:cs="Calibri"/>
                <w:lang w:eastAsia="cs-CZ"/>
              </w:rPr>
            </w:pPr>
            <w:r w:rsidRPr="00A55202">
              <w:rPr>
                <w:rFonts w:ascii="Calibri" w:eastAsia="Times New Roman" w:hAnsi="Calibri" w:cs="Calibri"/>
                <w:lang w:eastAsia="cs-CZ"/>
              </w:rPr>
              <w:t> </w:t>
            </w:r>
          </w:p>
        </w:tc>
        <w:tc>
          <w:tcPr>
            <w:tcW w:w="1602" w:type="dxa"/>
            <w:tcBorders>
              <w:top w:val="nil"/>
              <w:left w:val="nil"/>
              <w:bottom w:val="nil"/>
              <w:right w:val="nil"/>
            </w:tcBorders>
            <w:shd w:val="clear" w:color="000000" w:fill="FFFFFF"/>
            <w:noWrap/>
            <w:vAlign w:val="bottom"/>
            <w:hideMark/>
          </w:tcPr>
          <w:p w14:paraId="71E18572" w14:textId="77777777" w:rsidR="00A55202" w:rsidRPr="00A55202" w:rsidRDefault="00A55202" w:rsidP="00A55202">
            <w:pPr>
              <w:spacing w:after="0" w:line="240" w:lineRule="auto"/>
              <w:jc w:val="right"/>
              <w:rPr>
                <w:rFonts w:ascii="Calibri" w:eastAsia="Times New Roman" w:hAnsi="Calibri" w:cs="Calibri"/>
                <w:b/>
                <w:bCs/>
                <w:lang w:eastAsia="cs-CZ"/>
              </w:rPr>
            </w:pPr>
            <w:r w:rsidRPr="00A55202">
              <w:rPr>
                <w:rFonts w:ascii="Calibri" w:eastAsia="Times New Roman" w:hAnsi="Calibri" w:cs="Calibri"/>
                <w:b/>
                <w:bCs/>
                <w:lang w:eastAsia="cs-CZ"/>
              </w:rPr>
              <w:t> </w:t>
            </w:r>
          </w:p>
        </w:tc>
        <w:tc>
          <w:tcPr>
            <w:tcW w:w="1701" w:type="dxa"/>
            <w:tcBorders>
              <w:top w:val="nil"/>
              <w:left w:val="nil"/>
              <w:bottom w:val="nil"/>
              <w:right w:val="nil"/>
            </w:tcBorders>
            <w:shd w:val="clear" w:color="000000" w:fill="FFFFFF"/>
            <w:noWrap/>
            <w:vAlign w:val="bottom"/>
            <w:hideMark/>
          </w:tcPr>
          <w:p w14:paraId="73C96976" w14:textId="77777777" w:rsidR="00A55202" w:rsidRPr="00A55202" w:rsidRDefault="00A55202" w:rsidP="00A55202">
            <w:pPr>
              <w:spacing w:after="0" w:line="240" w:lineRule="auto"/>
              <w:jc w:val="right"/>
              <w:rPr>
                <w:rFonts w:ascii="Calibri" w:eastAsia="Times New Roman" w:hAnsi="Calibri" w:cs="Calibri"/>
                <w:b/>
                <w:bCs/>
                <w:lang w:eastAsia="cs-CZ"/>
              </w:rPr>
            </w:pPr>
            <w:r w:rsidRPr="00A55202">
              <w:rPr>
                <w:rFonts w:ascii="Calibri" w:eastAsia="Times New Roman" w:hAnsi="Calibri" w:cs="Calibri"/>
                <w:b/>
                <w:bCs/>
                <w:lang w:eastAsia="cs-CZ"/>
              </w:rPr>
              <w:t> </w:t>
            </w:r>
          </w:p>
        </w:tc>
        <w:tc>
          <w:tcPr>
            <w:tcW w:w="647" w:type="dxa"/>
            <w:tcBorders>
              <w:top w:val="nil"/>
              <w:left w:val="nil"/>
              <w:bottom w:val="nil"/>
              <w:right w:val="nil"/>
            </w:tcBorders>
            <w:shd w:val="clear" w:color="000000" w:fill="FFFFFF"/>
            <w:noWrap/>
            <w:vAlign w:val="bottom"/>
            <w:hideMark/>
          </w:tcPr>
          <w:p w14:paraId="10DFC83C" w14:textId="77777777" w:rsidR="00A55202" w:rsidRPr="00A55202" w:rsidRDefault="00A55202" w:rsidP="00A55202">
            <w:pPr>
              <w:spacing w:after="0" w:line="240" w:lineRule="auto"/>
              <w:jc w:val="right"/>
              <w:rPr>
                <w:rFonts w:ascii="Calibri" w:eastAsia="Times New Roman" w:hAnsi="Calibri" w:cs="Calibri"/>
                <w:b/>
                <w:bCs/>
                <w:lang w:eastAsia="cs-CZ"/>
              </w:rPr>
            </w:pPr>
            <w:r w:rsidRPr="00A55202">
              <w:rPr>
                <w:rFonts w:ascii="Calibri" w:eastAsia="Times New Roman" w:hAnsi="Calibri" w:cs="Calibri"/>
                <w:b/>
                <w:bCs/>
                <w:lang w:eastAsia="cs-CZ"/>
              </w:rPr>
              <w:t> </w:t>
            </w:r>
          </w:p>
        </w:tc>
      </w:tr>
      <w:tr w:rsidR="008E0636" w:rsidRPr="00A55202" w14:paraId="0FBA2C9D" w14:textId="77777777" w:rsidTr="008E0636">
        <w:trPr>
          <w:trHeight w:val="300"/>
        </w:trPr>
        <w:tc>
          <w:tcPr>
            <w:tcW w:w="826" w:type="dxa"/>
            <w:tcBorders>
              <w:top w:val="single" w:sz="8" w:space="0" w:color="auto"/>
              <w:left w:val="single" w:sz="8" w:space="0" w:color="auto"/>
              <w:bottom w:val="single" w:sz="4" w:space="0" w:color="auto"/>
              <w:right w:val="single" w:sz="4" w:space="0" w:color="auto"/>
            </w:tcBorders>
            <w:shd w:val="clear" w:color="000000" w:fill="FFFFFF"/>
            <w:noWrap/>
            <w:vAlign w:val="bottom"/>
            <w:hideMark/>
          </w:tcPr>
          <w:p w14:paraId="591EDE27"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c>
          <w:tcPr>
            <w:tcW w:w="4672" w:type="dxa"/>
            <w:tcBorders>
              <w:top w:val="single" w:sz="8" w:space="0" w:color="auto"/>
              <w:left w:val="nil"/>
              <w:bottom w:val="single" w:sz="4" w:space="0" w:color="auto"/>
              <w:right w:val="single" w:sz="4" w:space="0" w:color="auto"/>
            </w:tcBorders>
            <w:shd w:val="clear" w:color="000000" w:fill="FFFFFF"/>
            <w:vAlign w:val="bottom"/>
            <w:hideMark/>
          </w:tcPr>
          <w:p w14:paraId="103D59CF"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Středočeský Fond kultury a obnovy památek</w:t>
            </w:r>
          </w:p>
        </w:tc>
        <w:tc>
          <w:tcPr>
            <w:tcW w:w="1264" w:type="dxa"/>
            <w:tcBorders>
              <w:top w:val="single" w:sz="8" w:space="0" w:color="auto"/>
              <w:left w:val="nil"/>
              <w:bottom w:val="single" w:sz="4" w:space="0" w:color="auto"/>
              <w:right w:val="single" w:sz="4" w:space="0" w:color="auto"/>
            </w:tcBorders>
            <w:shd w:val="clear" w:color="000000" w:fill="FFFFFF"/>
            <w:noWrap/>
            <w:vAlign w:val="bottom"/>
            <w:hideMark/>
          </w:tcPr>
          <w:p w14:paraId="1CAB134C"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0</w:t>
            </w:r>
          </w:p>
        </w:tc>
        <w:tc>
          <w:tcPr>
            <w:tcW w:w="1602" w:type="dxa"/>
            <w:tcBorders>
              <w:top w:val="single" w:sz="8" w:space="0" w:color="auto"/>
              <w:left w:val="nil"/>
              <w:bottom w:val="single" w:sz="4" w:space="0" w:color="auto"/>
              <w:right w:val="single" w:sz="4" w:space="0" w:color="auto"/>
            </w:tcBorders>
            <w:shd w:val="clear" w:color="000000" w:fill="FFFFFF"/>
            <w:noWrap/>
            <w:vAlign w:val="bottom"/>
            <w:hideMark/>
          </w:tcPr>
          <w:p w14:paraId="6A100DD1"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47 600 000,00</w:t>
            </w:r>
          </w:p>
        </w:tc>
        <w:tc>
          <w:tcPr>
            <w:tcW w:w="1701" w:type="dxa"/>
            <w:tcBorders>
              <w:top w:val="single" w:sz="8" w:space="0" w:color="auto"/>
              <w:left w:val="nil"/>
              <w:bottom w:val="single" w:sz="4" w:space="0" w:color="auto"/>
              <w:right w:val="single" w:sz="4" w:space="0" w:color="auto"/>
            </w:tcBorders>
            <w:shd w:val="clear" w:color="000000" w:fill="FFFFFF"/>
            <w:noWrap/>
            <w:vAlign w:val="bottom"/>
            <w:hideMark/>
          </w:tcPr>
          <w:p w14:paraId="04EF0882"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25 952 240,51</w:t>
            </w:r>
          </w:p>
        </w:tc>
        <w:tc>
          <w:tcPr>
            <w:tcW w:w="647" w:type="dxa"/>
            <w:tcBorders>
              <w:top w:val="single" w:sz="8" w:space="0" w:color="auto"/>
              <w:left w:val="nil"/>
              <w:bottom w:val="single" w:sz="4" w:space="0" w:color="auto"/>
              <w:right w:val="single" w:sz="8" w:space="0" w:color="auto"/>
            </w:tcBorders>
            <w:shd w:val="clear" w:color="000000" w:fill="FFFFFF"/>
            <w:noWrap/>
            <w:vAlign w:val="bottom"/>
            <w:hideMark/>
          </w:tcPr>
          <w:p w14:paraId="6126272F"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54,5</w:t>
            </w:r>
          </w:p>
        </w:tc>
      </w:tr>
      <w:tr w:rsidR="008E0636" w:rsidRPr="00A55202" w14:paraId="4DDCB75A" w14:textId="77777777" w:rsidTr="008E0636">
        <w:trPr>
          <w:trHeight w:val="360"/>
        </w:trPr>
        <w:tc>
          <w:tcPr>
            <w:tcW w:w="826" w:type="dxa"/>
            <w:tcBorders>
              <w:top w:val="nil"/>
              <w:left w:val="single" w:sz="8" w:space="0" w:color="auto"/>
              <w:bottom w:val="nil"/>
              <w:right w:val="single" w:sz="4" w:space="0" w:color="auto"/>
            </w:tcBorders>
            <w:shd w:val="clear" w:color="000000" w:fill="FFFFFF"/>
            <w:noWrap/>
            <w:vAlign w:val="bottom"/>
            <w:hideMark/>
          </w:tcPr>
          <w:p w14:paraId="744E4425"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c>
          <w:tcPr>
            <w:tcW w:w="4672" w:type="dxa"/>
            <w:tcBorders>
              <w:top w:val="nil"/>
              <w:left w:val="nil"/>
              <w:bottom w:val="nil"/>
              <w:right w:val="single" w:sz="4" w:space="0" w:color="auto"/>
            </w:tcBorders>
            <w:shd w:val="clear" w:color="000000" w:fill="FFFFFF"/>
            <w:vAlign w:val="bottom"/>
            <w:hideMark/>
          </w:tcPr>
          <w:p w14:paraId="799939B9"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Středočeský Fond rozvoje doprovodné infrastruktury</w:t>
            </w:r>
          </w:p>
        </w:tc>
        <w:tc>
          <w:tcPr>
            <w:tcW w:w="1264" w:type="dxa"/>
            <w:tcBorders>
              <w:top w:val="nil"/>
              <w:left w:val="nil"/>
              <w:bottom w:val="nil"/>
              <w:right w:val="single" w:sz="4" w:space="0" w:color="auto"/>
            </w:tcBorders>
            <w:shd w:val="clear" w:color="000000" w:fill="FFFFFF"/>
            <w:noWrap/>
            <w:vAlign w:val="bottom"/>
            <w:hideMark/>
          </w:tcPr>
          <w:p w14:paraId="064858D5"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0</w:t>
            </w:r>
          </w:p>
        </w:tc>
        <w:tc>
          <w:tcPr>
            <w:tcW w:w="1602" w:type="dxa"/>
            <w:tcBorders>
              <w:top w:val="nil"/>
              <w:left w:val="nil"/>
              <w:bottom w:val="nil"/>
              <w:right w:val="single" w:sz="4" w:space="0" w:color="auto"/>
            </w:tcBorders>
            <w:shd w:val="clear" w:color="000000" w:fill="FFFFFF"/>
            <w:noWrap/>
            <w:vAlign w:val="bottom"/>
            <w:hideMark/>
          </w:tcPr>
          <w:p w14:paraId="2084A924"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16 205 194,00</w:t>
            </w:r>
          </w:p>
        </w:tc>
        <w:tc>
          <w:tcPr>
            <w:tcW w:w="1701" w:type="dxa"/>
            <w:tcBorders>
              <w:top w:val="nil"/>
              <w:left w:val="nil"/>
              <w:bottom w:val="nil"/>
              <w:right w:val="single" w:sz="4" w:space="0" w:color="auto"/>
            </w:tcBorders>
            <w:shd w:val="clear" w:color="000000" w:fill="FFFFFF"/>
            <w:noWrap/>
            <w:vAlign w:val="bottom"/>
            <w:hideMark/>
          </w:tcPr>
          <w:p w14:paraId="1C5981AD"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15 337 638,00</w:t>
            </w:r>
          </w:p>
        </w:tc>
        <w:tc>
          <w:tcPr>
            <w:tcW w:w="647" w:type="dxa"/>
            <w:tcBorders>
              <w:top w:val="nil"/>
              <w:left w:val="nil"/>
              <w:bottom w:val="nil"/>
              <w:right w:val="single" w:sz="8" w:space="0" w:color="auto"/>
            </w:tcBorders>
            <w:shd w:val="clear" w:color="000000" w:fill="FFFFFF"/>
            <w:noWrap/>
            <w:vAlign w:val="bottom"/>
            <w:hideMark/>
          </w:tcPr>
          <w:p w14:paraId="30D09B25"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94,6</w:t>
            </w:r>
          </w:p>
        </w:tc>
      </w:tr>
      <w:tr w:rsidR="008E0636" w:rsidRPr="00A55202" w14:paraId="0D7C3171" w14:textId="77777777" w:rsidTr="008E0636">
        <w:trPr>
          <w:trHeight w:val="360"/>
        </w:trPr>
        <w:tc>
          <w:tcPr>
            <w:tcW w:w="826" w:type="dxa"/>
            <w:tcBorders>
              <w:top w:val="single" w:sz="8" w:space="0" w:color="auto"/>
              <w:left w:val="single" w:sz="8" w:space="0" w:color="auto"/>
              <w:bottom w:val="single" w:sz="8" w:space="0" w:color="auto"/>
              <w:right w:val="single" w:sz="4" w:space="0" w:color="auto"/>
            </w:tcBorders>
            <w:shd w:val="clear" w:color="000000" w:fill="FFFFFF"/>
            <w:noWrap/>
            <w:vAlign w:val="bottom"/>
            <w:hideMark/>
          </w:tcPr>
          <w:p w14:paraId="2772DA87"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c>
          <w:tcPr>
            <w:tcW w:w="4672" w:type="dxa"/>
            <w:tcBorders>
              <w:top w:val="single" w:sz="8" w:space="0" w:color="auto"/>
              <w:left w:val="nil"/>
              <w:bottom w:val="single" w:sz="8" w:space="0" w:color="auto"/>
              <w:right w:val="single" w:sz="4" w:space="0" w:color="auto"/>
            </w:tcBorders>
            <w:shd w:val="clear" w:color="000000" w:fill="FFFFFF"/>
            <w:noWrap/>
            <w:vAlign w:val="bottom"/>
            <w:hideMark/>
          </w:tcPr>
          <w:p w14:paraId="7C3636EB" w14:textId="77777777" w:rsidR="00A55202" w:rsidRPr="00A55202" w:rsidRDefault="00A55202" w:rsidP="00A55202">
            <w:pPr>
              <w:spacing w:after="0" w:line="240" w:lineRule="auto"/>
              <w:rPr>
                <w:rFonts w:ascii="Calibri" w:eastAsia="Times New Roman" w:hAnsi="Calibri" w:cs="Calibri"/>
                <w:b/>
                <w:bCs/>
                <w:lang w:eastAsia="cs-CZ"/>
              </w:rPr>
            </w:pPr>
            <w:r w:rsidRPr="00A55202">
              <w:rPr>
                <w:rFonts w:ascii="Calibri" w:eastAsia="Times New Roman" w:hAnsi="Calibri" w:cs="Calibri"/>
                <w:b/>
                <w:bCs/>
                <w:lang w:eastAsia="cs-CZ"/>
              </w:rPr>
              <w:t xml:space="preserve">Celkem </w:t>
            </w:r>
          </w:p>
        </w:tc>
        <w:tc>
          <w:tcPr>
            <w:tcW w:w="1264" w:type="dxa"/>
            <w:tcBorders>
              <w:top w:val="single" w:sz="8" w:space="0" w:color="auto"/>
              <w:left w:val="nil"/>
              <w:bottom w:val="single" w:sz="8" w:space="0" w:color="auto"/>
              <w:right w:val="single" w:sz="4" w:space="0" w:color="auto"/>
            </w:tcBorders>
            <w:shd w:val="clear" w:color="000000" w:fill="FFFFFF"/>
            <w:noWrap/>
            <w:vAlign w:val="bottom"/>
            <w:hideMark/>
          </w:tcPr>
          <w:p w14:paraId="46E5D952" w14:textId="77777777" w:rsidR="00A55202" w:rsidRPr="00A55202" w:rsidRDefault="00A55202" w:rsidP="00A55202">
            <w:pPr>
              <w:spacing w:after="0" w:line="240" w:lineRule="auto"/>
              <w:jc w:val="right"/>
              <w:rPr>
                <w:rFonts w:ascii="Calibri" w:eastAsia="Times New Roman" w:hAnsi="Calibri" w:cs="Calibri"/>
                <w:b/>
                <w:bCs/>
                <w:lang w:eastAsia="cs-CZ"/>
              </w:rPr>
            </w:pPr>
            <w:r w:rsidRPr="00A55202">
              <w:rPr>
                <w:rFonts w:ascii="Calibri" w:eastAsia="Times New Roman" w:hAnsi="Calibri" w:cs="Calibri"/>
                <w:b/>
                <w:bCs/>
                <w:lang w:eastAsia="cs-CZ"/>
              </w:rPr>
              <w:t>0</w:t>
            </w:r>
          </w:p>
        </w:tc>
        <w:tc>
          <w:tcPr>
            <w:tcW w:w="1602" w:type="dxa"/>
            <w:tcBorders>
              <w:top w:val="single" w:sz="8" w:space="0" w:color="auto"/>
              <w:left w:val="nil"/>
              <w:bottom w:val="single" w:sz="8" w:space="0" w:color="auto"/>
              <w:right w:val="single" w:sz="4" w:space="0" w:color="auto"/>
            </w:tcBorders>
            <w:shd w:val="clear" w:color="000000" w:fill="FFFFFF"/>
            <w:noWrap/>
            <w:vAlign w:val="bottom"/>
            <w:hideMark/>
          </w:tcPr>
          <w:p w14:paraId="7ACEF3AE" w14:textId="77777777" w:rsidR="00A55202" w:rsidRPr="00A55202" w:rsidRDefault="00A55202" w:rsidP="00A55202">
            <w:pPr>
              <w:spacing w:after="0" w:line="240" w:lineRule="auto"/>
              <w:jc w:val="right"/>
              <w:rPr>
                <w:rFonts w:ascii="Calibri" w:eastAsia="Times New Roman" w:hAnsi="Calibri" w:cs="Calibri"/>
                <w:b/>
                <w:bCs/>
                <w:lang w:eastAsia="cs-CZ"/>
              </w:rPr>
            </w:pPr>
            <w:r w:rsidRPr="00A55202">
              <w:rPr>
                <w:rFonts w:ascii="Calibri" w:eastAsia="Times New Roman" w:hAnsi="Calibri" w:cs="Calibri"/>
                <w:b/>
                <w:bCs/>
                <w:lang w:eastAsia="cs-CZ"/>
              </w:rPr>
              <w:t>63 805 194,00</w:t>
            </w:r>
          </w:p>
        </w:tc>
        <w:tc>
          <w:tcPr>
            <w:tcW w:w="1701" w:type="dxa"/>
            <w:tcBorders>
              <w:top w:val="single" w:sz="8" w:space="0" w:color="auto"/>
              <w:left w:val="nil"/>
              <w:bottom w:val="single" w:sz="8" w:space="0" w:color="auto"/>
              <w:right w:val="single" w:sz="4" w:space="0" w:color="auto"/>
            </w:tcBorders>
            <w:shd w:val="clear" w:color="000000" w:fill="FFFFFF"/>
            <w:noWrap/>
            <w:vAlign w:val="bottom"/>
            <w:hideMark/>
          </w:tcPr>
          <w:p w14:paraId="706752B1" w14:textId="77777777" w:rsidR="00A55202" w:rsidRPr="00A55202" w:rsidRDefault="00A55202" w:rsidP="00A55202">
            <w:pPr>
              <w:spacing w:after="0" w:line="240" w:lineRule="auto"/>
              <w:jc w:val="right"/>
              <w:rPr>
                <w:rFonts w:ascii="Calibri" w:eastAsia="Times New Roman" w:hAnsi="Calibri" w:cs="Calibri"/>
                <w:b/>
                <w:bCs/>
                <w:lang w:eastAsia="cs-CZ"/>
              </w:rPr>
            </w:pPr>
            <w:r w:rsidRPr="00A55202">
              <w:rPr>
                <w:rFonts w:ascii="Calibri" w:eastAsia="Times New Roman" w:hAnsi="Calibri" w:cs="Calibri"/>
                <w:b/>
                <w:bCs/>
                <w:lang w:eastAsia="cs-CZ"/>
              </w:rPr>
              <w:t>41 289 878,51</w:t>
            </w:r>
          </w:p>
        </w:tc>
        <w:tc>
          <w:tcPr>
            <w:tcW w:w="647" w:type="dxa"/>
            <w:tcBorders>
              <w:top w:val="single" w:sz="8" w:space="0" w:color="auto"/>
              <w:left w:val="nil"/>
              <w:bottom w:val="single" w:sz="8" w:space="0" w:color="auto"/>
              <w:right w:val="single" w:sz="8" w:space="0" w:color="auto"/>
            </w:tcBorders>
            <w:shd w:val="clear" w:color="000000" w:fill="FFFFFF"/>
            <w:noWrap/>
            <w:vAlign w:val="bottom"/>
            <w:hideMark/>
          </w:tcPr>
          <w:p w14:paraId="46DC5380" w14:textId="77777777" w:rsidR="00A55202" w:rsidRPr="00A55202" w:rsidRDefault="00A55202" w:rsidP="00A55202">
            <w:pPr>
              <w:spacing w:after="0" w:line="240" w:lineRule="auto"/>
              <w:jc w:val="right"/>
              <w:rPr>
                <w:rFonts w:ascii="Calibri" w:eastAsia="Times New Roman" w:hAnsi="Calibri" w:cs="Calibri"/>
                <w:b/>
                <w:bCs/>
                <w:lang w:eastAsia="cs-CZ"/>
              </w:rPr>
            </w:pPr>
            <w:r w:rsidRPr="00A55202">
              <w:rPr>
                <w:rFonts w:ascii="Calibri" w:eastAsia="Times New Roman" w:hAnsi="Calibri" w:cs="Calibri"/>
                <w:b/>
                <w:bCs/>
                <w:lang w:eastAsia="cs-CZ"/>
              </w:rPr>
              <w:t>64,7</w:t>
            </w:r>
          </w:p>
        </w:tc>
      </w:tr>
      <w:tr w:rsidR="008E0636" w:rsidRPr="00A55202" w14:paraId="1E93A9C3" w14:textId="77777777" w:rsidTr="008E0636">
        <w:trPr>
          <w:trHeight w:val="300"/>
        </w:trPr>
        <w:tc>
          <w:tcPr>
            <w:tcW w:w="826" w:type="dxa"/>
            <w:tcBorders>
              <w:top w:val="nil"/>
              <w:left w:val="nil"/>
              <w:bottom w:val="nil"/>
              <w:right w:val="nil"/>
            </w:tcBorders>
            <w:shd w:val="clear" w:color="000000" w:fill="FFFFFF"/>
            <w:noWrap/>
            <w:vAlign w:val="bottom"/>
            <w:hideMark/>
          </w:tcPr>
          <w:p w14:paraId="70816AA7"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c>
          <w:tcPr>
            <w:tcW w:w="4672" w:type="dxa"/>
            <w:tcBorders>
              <w:top w:val="nil"/>
              <w:left w:val="nil"/>
              <w:bottom w:val="nil"/>
              <w:right w:val="nil"/>
            </w:tcBorders>
            <w:shd w:val="clear" w:color="000000" w:fill="FFFFFF"/>
            <w:noWrap/>
            <w:vAlign w:val="bottom"/>
            <w:hideMark/>
          </w:tcPr>
          <w:p w14:paraId="2FE5881F"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c>
          <w:tcPr>
            <w:tcW w:w="1264" w:type="dxa"/>
            <w:tcBorders>
              <w:top w:val="nil"/>
              <w:left w:val="nil"/>
              <w:bottom w:val="nil"/>
              <w:right w:val="nil"/>
            </w:tcBorders>
            <w:shd w:val="clear" w:color="000000" w:fill="FFFFFF"/>
            <w:noWrap/>
            <w:vAlign w:val="bottom"/>
            <w:hideMark/>
          </w:tcPr>
          <w:p w14:paraId="13A3E60E"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c>
          <w:tcPr>
            <w:tcW w:w="1602" w:type="dxa"/>
            <w:tcBorders>
              <w:top w:val="nil"/>
              <w:left w:val="nil"/>
              <w:bottom w:val="nil"/>
              <w:right w:val="nil"/>
            </w:tcBorders>
            <w:shd w:val="clear" w:color="000000" w:fill="FFFFFF"/>
            <w:noWrap/>
            <w:vAlign w:val="bottom"/>
            <w:hideMark/>
          </w:tcPr>
          <w:p w14:paraId="11BD63EE"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c>
          <w:tcPr>
            <w:tcW w:w="1701" w:type="dxa"/>
            <w:tcBorders>
              <w:top w:val="nil"/>
              <w:left w:val="nil"/>
              <w:bottom w:val="nil"/>
              <w:right w:val="nil"/>
            </w:tcBorders>
            <w:shd w:val="clear" w:color="000000" w:fill="FFFFFF"/>
            <w:noWrap/>
            <w:vAlign w:val="bottom"/>
            <w:hideMark/>
          </w:tcPr>
          <w:p w14:paraId="29AF67D2"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c>
          <w:tcPr>
            <w:tcW w:w="647" w:type="dxa"/>
            <w:tcBorders>
              <w:top w:val="nil"/>
              <w:left w:val="nil"/>
              <w:bottom w:val="nil"/>
              <w:right w:val="nil"/>
            </w:tcBorders>
            <w:shd w:val="clear" w:color="000000" w:fill="FFFFFF"/>
            <w:noWrap/>
            <w:vAlign w:val="bottom"/>
            <w:hideMark/>
          </w:tcPr>
          <w:p w14:paraId="492EAC45" w14:textId="77777777" w:rsidR="00A55202" w:rsidRPr="00A55202" w:rsidRDefault="00A55202" w:rsidP="00A55202">
            <w:pPr>
              <w:spacing w:after="0" w:line="240" w:lineRule="auto"/>
              <w:jc w:val="right"/>
              <w:rPr>
                <w:rFonts w:ascii="Calibri" w:eastAsia="Times New Roman" w:hAnsi="Calibri" w:cs="Calibri"/>
                <w:b/>
                <w:bCs/>
                <w:lang w:eastAsia="cs-CZ"/>
              </w:rPr>
            </w:pPr>
            <w:r w:rsidRPr="00A55202">
              <w:rPr>
                <w:rFonts w:ascii="Calibri" w:eastAsia="Times New Roman" w:hAnsi="Calibri" w:cs="Calibri"/>
                <w:b/>
                <w:bCs/>
                <w:lang w:eastAsia="cs-CZ"/>
              </w:rPr>
              <w:t> </w:t>
            </w:r>
          </w:p>
        </w:tc>
      </w:tr>
      <w:tr w:rsidR="008E0636" w:rsidRPr="00A55202" w14:paraId="39D695AB" w14:textId="77777777" w:rsidTr="008E0636">
        <w:trPr>
          <w:trHeight w:val="300"/>
        </w:trPr>
        <w:tc>
          <w:tcPr>
            <w:tcW w:w="826" w:type="dxa"/>
            <w:tcBorders>
              <w:top w:val="nil"/>
              <w:left w:val="nil"/>
              <w:bottom w:val="nil"/>
              <w:right w:val="nil"/>
            </w:tcBorders>
            <w:shd w:val="clear" w:color="000000" w:fill="FFFFFF"/>
            <w:noWrap/>
            <w:vAlign w:val="bottom"/>
            <w:hideMark/>
          </w:tcPr>
          <w:p w14:paraId="21E45763" w14:textId="77777777" w:rsidR="00A55202" w:rsidRPr="00A55202" w:rsidRDefault="00A55202" w:rsidP="00A55202">
            <w:pPr>
              <w:spacing w:after="0" w:line="240" w:lineRule="auto"/>
              <w:rPr>
                <w:rFonts w:ascii="Calibri" w:eastAsia="Times New Roman" w:hAnsi="Calibri" w:cs="Calibri"/>
                <w:lang w:eastAsia="cs-CZ"/>
              </w:rPr>
            </w:pPr>
            <w:r w:rsidRPr="00A55202">
              <w:rPr>
                <w:rFonts w:ascii="Calibri" w:eastAsia="Times New Roman" w:hAnsi="Calibri" w:cs="Calibri"/>
                <w:lang w:eastAsia="cs-CZ"/>
              </w:rPr>
              <w:t> </w:t>
            </w:r>
          </w:p>
        </w:tc>
        <w:tc>
          <w:tcPr>
            <w:tcW w:w="4672" w:type="dxa"/>
            <w:tcBorders>
              <w:top w:val="nil"/>
              <w:left w:val="nil"/>
              <w:bottom w:val="nil"/>
              <w:right w:val="nil"/>
            </w:tcBorders>
            <w:shd w:val="clear" w:color="000000" w:fill="FFFFFF"/>
            <w:noWrap/>
            <w:vAlign w:val="bottom"/>
            <w:hideMark/>
          </w:tcPr>
          <w:p w14:paraId="4FF9379F" w14:textId="77777777" w:rsidR="00A55202" w:rsidRPr="00A55202" w:rsidRDefault="00A55202" w:rsidP="00A55202">
            <w:pPr>
              <w:spacing w:after="0" w:line="240" w:lineRule="auto"/>
              <w:rPr>
                <w:rFonts w:ascii="Calibri" w:eastAsia="Times New Roman" w:hAnsi="Calibri" w:cs="Calibri"/>
                <w:b/>
                <w:bCs/>
                <w:lang w:eastAsia="cs-CZ"/>
              </w:rPr>
            </w:pPr>
            <w:r w:rsidRPr="00A55202">
              <w:rPr>
                <w:rFonts w:ascii="Calibri" w:eastAsia="Times New Roman" w:hAnsi="Calibri" w:cs="Calibri"/>
                <w:b/>
                <w:bCs/>
                <w:lang w:eastAsia="cs-CZ"/>
              </w:rPr>
              <w:t>Kapitálové výdaje</w:t>
            </w:r>
          </w:p>
        </w:tc>
        <w:tc>
          <w:tcPr>
            <w:tcW w:w="1264" w:type="dxa"/>
            <w:tcBorders>
              <w:top w:val="nil"/>
              <w:left w:val="nil"/>
              <w:bottom w:val="nil"/>
              <w:right w:val="nil"/>
            </w:tcBorders>
            <w:shd w:val="clear" w:color="000000" w:fill="FFFFFF"/>
            <w:noWrap/>
            <w:vAlign w:val="bottom"/>
            <w:hideMark/>
          </w:tcPr>
          <w:p w14:paraId="26D7B39E"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c>
          <w:tcPr>
            <w:tcW w:w="1602" w:type="dxa"/>
            <w:tcBorders>
              <w:top w:val="nil"/>
              <w:left w:val="nil"/>
              <w:bottom w:val="nil"/>
              <w:right w:val="nil"/>
            </w:tcBorders>
            <w:shd w:val="clear" w:color="000000" w:fill="FFFFFF"/>
            <w:noWrap/>
            <w:vAlign w:val="bottom"/>
            <w:hideMark/>
          </w:tcPr>
          <w:p w14:paraId="3C127A9B"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c>
          <w:tcPr>
            <w:tcW w:w="1701" w:type="dxa"/>
            <w:tcBorders>
              <w:top w:val="nil"/>
              <w:left w:val="nil"/>
              <w:bottom w:val="nil"/>
              <w:right w:val="nil"/>
            </w:tcBorders>
            <w:shd w:val="clear" w:color="000000" w:fill="FFFFFF"/>
            <w:noWrap/>
            <w:vAlign w:val="bottom"/>
            <w:hideMark/>
          </w:tcPr>
          <w:p w14:paraId="2BF66DB8"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c>
          <w:tcPr>
            <w:tcW w:w="647" w:type="dxa"/>
            <w:tcBorders>
              <w:top w:val="nil"/>
              <w:left w:val="nil"/>
              <w:bottom w:val="nil"/>
              <w:right w:val="nil"/>
            </w:tcBorders>
            <w:shd w:val="clear" w:color="000000" w:fill="FFFFFF"/>
            <w:noWrap/>
            <w:vAlign w:val="bottom"/>
            <w:hideMark/>
          </w:tcPr>
          <w:p w14:paraId="27DBE46B"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r>
      <w:tr w:rsidR="008E0636" w:rsidRPr="00A55202" w14:paraId="0DEE7140" w14:textId="77777777" w:rsidTr="008E0636">
        <w:trPr>
          <w:trHeight w:val="255"/>
        </w:trPr>
        <w:tc>
          <w:tcPr>
            <w:tcW w:w="826" w:type="dxa"/>
            <w:tcBorders>
              <w:top w:val="single" w:sz="8" w:space="0" w:color="auto"/>
              <w:left w:val="single" w:sz="8" w:space="0" w:color="auto"/>
              <w:bottom w:val="single" w:sz="4" w:space="0" w:color="auto"/>
              <w:right w:val="single" w:sz="4" w:space="0" w:color="auto"/>
            </w:tcBorders>
            <w:shd w:val="clear" w:color="000000" w:fill="FFFFFF"/>
            <w:noWrap/>
            <w:vAlign w:val="bottom"/>
            <w:hideMark/>
          </w:tcPr>
          <w:p w14:paraId="78388ED2"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2143</w:t>
            </w:r>
          </w:p>
        </w:tc>
        <w:tc>
          <w:tcPr>
            <w:tcW w:w="4672" w:type="dxa"/>
            <w:tcBorders>
              <w:top w:val="single" w:sz="8" w:space="0" w:color="auto"/>
              <w:left w:val="nil"/>
              <w:bottom w:val="single" w:sz="4" w:space="0" w:color="auto"/>
              <w:right w:val="single" w:sz="4" w:space="0" w:color="auto"/>
            </w:tcBorders>
            <w:shd w:val="clear" w:color="000000" w:fill="FFFFFF"/>
            <w:noWrap/>
            <w:vAlign w:val="bottom"/>
            <w:hideMark/>
          </w:tcPr>
          <w:p w14:paraId="2CCBF5FE"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Podpora cestovního ruchu</w:t>
            </w:r>
          </w:p>
        </w:tc>
        <w:tc>
          <w:tcPr>
            <w:tcW w:w="1264" w:type="dxa"/>
            <w:tcBorders>
              <w:top w:val="single" w:sz="8" w:space="0" w:color="auto"/>
              <w:left w:val="nil"/>
              <w:bottom w:val="single" w:sz="4" w:space="0" w:color="auto"/>
              <w:right w:val="single" w:sz="4" w:space="0" w:color="auto"/>
            </w:tcBorders>
            <w:shd w:val="clear" w:color="000000" w:fill="FFFFFF"/>
            <w:noWrap/>
            <w:vAlign w:val="bottom"/>
            <w:hideMark/>
          </w:tcPr>
          <w:p w14:paraId="27A8D3BD"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0</w:t>
            </w:r>
          </w:p>
        </w:tc>
        <w:tc>
          <w:tcPr>
            <w:tcW w:w="1602" w:type="dxa"/>
            <w:tcBorders>
              <w:top w:val="single" w:sz="8" w:space="0" w:color="auto"/>
              <w:left w:val="nil"/>
              <w:bottom w:val="single" w:sz="4" w:space="0" w:color="auto"/>
              <w:right w:val="single" w:sz="4" w:space="0" w:color="auto"/>
            </w:tcBorders>
            <w:shd w:val="clear" w:color="000000" w:fill="FFFFFF"/>
            <w:noWrap/>
            <w:vAlign w:val="bottom"/>
            <w:hideMark/>
          </w:tcPr>
          <w:p w14:paraId="12CFB18F"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524 985,00</w:t>
            </w:r>
          </w:p>
        </w:tc>
        <w:tc>
          <w:tcPr>
            <w:tcW w:w="1701" w:type="dxa"/>
            <w:tcBorders>
              <w:top w:val="single" w:sz="8" w:space="0" w:color="auto"/>
              <w:left w:val="nil"/>
              <w:bottom w:val="single" w:sz="4" w:space="0" w:color="auto"/>
              <w:right w:val="single" w:sz="4" w:space="0" w:color="auto"/>
            </w:tcBorders>
            <w:shd w:val="clear" w:color="000000" w:fill="FFFFFF"/>
            <w:noWrap/>
            <w:vAlign w:val="bottom"/>
            <w:hideMark/>
          </w:tcPr>
          <w:p w14:paraId="44DB81C2"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495 597,59</w:t>
            </w:r>
          </w:p>
        </w:tc>
        <w:tc>
          <w:tcPr>
            <w:tcW w:w="647" w:type="dxa"/>
            <w:tcBorders>
              <w:top w:val="single" w:sz="8" w:space="0" w:color="auto"/>
              <w:left w:val="nil"/>
              <w:bottom w:val="single" w:sz="4" w:space="0" w:color="auto"/>
              <w:right w:val="single" w:sz="8" w:space="0" w:color="auto"/>
            </w:tcBorders>
            <w:shd w:val="clear" w:color="000000" w:fill="FFFFFF"/>
            <w:noWrap/>
            <w:vAlign w:val="bottom"/>
            <w:hideMark/>
          </w:tcPr>
          <w:p w14:paraId="340DBBE8"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94,4</w:t>
            </w:r>
          </w:p>
        </w:tc>
      </w:tr>
      <w:tr w:rsidR="008E0636" w:rsidRPr="00A55202" w14:paraId="7E105450" w14:textId="77777777" w:rsidTr="008E0636">
        <w:trPr>
          <w:trHeight w:val="319"/>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0F7B600C"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3315</w:t>
            </w:r>
          </w:p>
        </w:tc>
        <w:tc>
          <w:tcPr>
            <w:tcW w:w="4672" w:type="dxa"/>
            <w:tcBorders>
              <w:top w:val="nil"/>
              <w:left w:val="nil"/>
              <w:bottom w:val="single" w:sz="4" w:space="0" w:color="auto"/>
              <w:right w:val="single" w:sz="4" w:space="0" w:color="auto"/>
            </w:tcBorders>
            <w:shd w:val="clear" w:color="000000" w:fill="FFFFFF"/>
            <w:noWrap/>
            <w:vAlign w:val="bottom"/>
            <w:hideMark/>
          </w:tcPr>
          <w:p w14:paraId="0B205DE4"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Oblastní muzeum P-V, Ztvárnění průběhu R. Heydricha</w:t>
            </w:r>
          </w:p>
        </w:tc>
        <w:tc>
          <w:tcPr>
            <w:tcW w:w="1264" w:type="dxa"/>
            <w:tcBorders>
              <w:top w:val="nil"/>
              <w:left w:val="nil"/>
              <w:bottom w:val="single" w:sz="4" w:space="0" w:color="auto"/>
              <w:right w:val="single" w:sz="4" w:space="0" w:color="auto"/>
            </w:tcBorders>
            <w:shd w:val="clear" w:color="000000" w:fill="FFFFFF"/>
            <w:noWrap/>
            <w:vAlign w:val="bottom"/>
            <w:hideMark/>
          </w:tcPr>
          <w:p w14:paraId="73BEA9C6"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0</w:t>
            </w:r>
          </w:p>
        </w:tc>
        <w:tc>
          <w:tcPr>
            <w:tcW w:w="1602" w:type="dxa"/>
            <w:tcBorders>
              <w:top w:val="nil"/>
              <w:left w:val="nil"/>
              <w:bottom w:val="single" w:sz="4" w:space="0" w:color="auto"/>
              <w:right w:val="single" w:sz="4" w:space="0" w:color="auto"/>
            </w:tcBorders>
            <w:shd w:val="clear" w:color="000000" w:fill="FFFFFF"/>
            <w:noWrap/>
            <w:vAlign w:val="bottom"/>
            <w:hideMark/>
          </w:tcPr>
          <w:p w14:paraId="748408BD"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2 567 750,00</w:t>
            </w:r>
          </w:p>
        </w:tc>
        <w:tc>
          <w:tcPr>
            <w:tcW w:w="1701" w:type="dxa"/>
            <w:tcBorders>
              <w:top w:val="nil"/>
              <w:left w:val="nil"/>
              <w:bottom w:val="single" w:sz="4" w:space="0" w:color="auto"/>
              <w:right w:val="single" w:sz="4" w:space="0" w:color="auto"/>
            </w:tcBorders>
            <w:shd w:val="clear" w:color="000000" w:fill="FFFFFF"/>
            <w:noWrap/>
            <w:vAlign w:val="bottom"/>
            <w:hideMark/>
          </w:tcPr>
          <w:p w14:paraId="08502596"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2 567 750,00</w:t>
            </w:r>
          </w:p>
        </w:tc>
        <w:tc>
          <w:tcPr>
            <w:tcW w:w="647" w:type="dxa"/>
            <w:tcBorders>
              <w:top w:val="nil"/>
              <w:left w:val="nil"/>
              <w:bottom w:val="single" w:sz="4" w:space="0" w:color="auto"/>
              <w:right w:val="single" w:sz="8" w:space="0" w:color="auto"/>
            </w:tcBorders>
            <w:shd w:val="clear" w:color="000000" w:fill="FFFFFF"/>
            <w:noWrap/>
            <w:vAlign w:val="bottom"/>
            <w:hideMark/>
          </w:tcPr>
          <w:p w14:paraId="05BEA6C4"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100,0</w:t>
            </w:r>
          </w:p>
        </w:tc>
      </w:tr>
      <w:tr w:rsidR="008E0636" w:rsidRPr="00A55202" w14:paraId="5B699C46" w14:textId="77777777" w:rsidTr="008E0636">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537F7A38"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3315</w:t>
            </w:r>
          </w:p>
        </w:tc>
        <w:tc>
          <w:tcPr>
            <w:tcW w:w="4672" w:type="dxa"/>
            <w:tcBorders>
              <w:top w:val="nil"/>
              <w:left w:val="nil"/>
              <w:bottom w:val="single" w:sz="4" w:space="0" w:color="auto"/>
              <w:right w:val="single" w:sz="4" w:space="0" w:color="auto"/>
            </w:tcBorders>
            <w:shd w:val="clear" w:color="000000" w:fill="FFFFFF"/>
            <w:noWrap/>
            <w:vAlign w:val="bottom"/>
            <w:hideMark/>
          </w:tcPr>
          <w:p w14:paraId="5C80AB9B"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Hornické muzeum Příbram - investice v areálu Bytíz</w:t>
            </w:r>
          </w:p>
        </w:tc>
        <w:tc>
          <w:tcPr>
            <w:tcW w:w="1264" w:type="dxa"/>
            <w:tcBorders>
              <w:top w:val="nil"/>
              <w:left w:val="nil"/>
              <w:bottom w:val="single" w:sz="4" w:space="0" w:color="auto"/>
              <w:right w:val="single" w:sz="4" w:space="0" w:color="auto"/>
            </w:tcBorders>
            <w:shd w:val="clear" w:color="000000" w:fill="FFFFFF"/>
            <w:noWrap/>
            <w:vAlign w:val="bottom"/>
            <w:hideMark/>
          </w:tcPr>
          <w:p w14:paraId="4F443D6A"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0</w:t>
            </w:r>
          </w:p>
        </w:tc>
        <w:tc>
          <w:tcPr>
            <w:tcW w:w="1602" w:type="dxa"/>
            <w:tcBorders>
              <w:top w:val="nil"/>
              <w:left w:val="nil"/>
              <w:bottom w:val="single" w:sz="4" w:space="0" w:color="auto"/>
              <w:right w:val="single" w:sz="4" w:space="0" w:color="auto"/>
            </w:tcBorders>
            <w:shd w:val="clear" w:color="000000" w:fill="FFFFFF"/>
            <w:noWrap/>
            <w:vAlign w:val="bottom"/>
            <w:hideMark/>
          </w:tcPr>
          <w:p w14:paraId="07F4D8C3"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3 354 806,00</w:t>
            </w:r>
          </w:p>
        </w:tc>
        <w:tc>
          <w:tcPr>
            <w:tcW w:w="1701" w:type="dxa"/>
            <w:tcBorders>
              <w:top w:val="nil"/>
              <w:left w:val="nil"/>
              <w:bottom w:val="single" w:sz="4" w:space="0" w:color="auto"/>
              <w:right w:val="single" w:sz="4" w:space="0" w:color="auto"/>
            </w:tcBorders>
            <w:shd w:val="clear" w:color="000000" w:fill="FFFFFF"/>
            <w:noWrap/>
            <w:vAlign w:val="bottom"/>
            <w:hideMark/>
          </w:tcPr>
          <w:p w14:paraId="572C6EBB"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3 354 806,00</w:t>
            </w:r>
          </w:p>
        </w:tc>
        <w:tc>
          <w:tcPr>
            <w:tcW w:w="647" w:type="dxa"/>
            <w:tcBorders>
              <w:top w:val="nil"/>
              <w:left w:val="nil"/>
              <w:bottom w:val="single" w:sz="4" w:space="0" w:color="auto"/>
              <w:right w:val="single" w:sz="8" w:space="0" w:color="auto"/>
            </w:tcBorders>
            <w:shd w:val="clear" w:color="000000" w:fill="FFFFFF"/>
            <w:noWrap/>
            <w:vAlign w:val="bottom"/>
            <w:hideMark/>
          </w:tcPr>
          <w:p w14:paraId="5EA0D71F"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100,0</w:t>
            </w:r>
          </w:p>
        </w:tc>
      </w:tr>
      <w:tr w:rsidR="008E0636" w:rsidRPr="00A55202" w14:paraId="35301D0C" w14:textId="77777777" w:rsidTr="008E0636">
        <w:trPr>
          <w:trHeight w:val="360"/>
        </w:trPr>
        <w:tc>
          <w:tcPr>
            <w:tcW w:w="826" w:type="dxa"/>
            <w:tcBorders>
              <w:top w:val="nil"/>
              <w:left w:val="single" w:sz="8" w:space="0" w:color="auto"/>
              <w:bottom w:val="nil"/>
              <w:right w:val="single" w:sz="4" w:space="0" w:color="auto"/>
            </w:tcBorders>
            <w:shd w:val="clear" w:color="000000" w:fill="FFFFFF"/>
            <w:noWrap/>
            <w:vAlign w:val="bottom"/>
            <w:hideMark/>
          </w:tcPr>
          <w:p w14:paraId="7D9D055D"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lastRenderedPageBreak/>
              <w:t>3315</w:t>
            </w:r>
          </w:p>
        </w:tc>
        <w:tc>
          <w:tcPr>
            <w:tcW w:w="4672" w:type="dxa"/>
            <w:tcBorders>
              <w:top w:val="nil"/>
              <w:left w:val="nil"/>
              <w:bottom w:val="nil"/>
              <w:right w:val="single" w:sz="4" w:space="0" w:color="auto"/>
            </w:tcBorders>
            <w:shd w:val="clear" w:color="000000" w:fill="FFFFFF"/>
            <w:noWrap/>
            <w:vAlign w:val="bottom"/>
            <w:hideMark/>
          </w:tcPr>
          <w:p w14:paraId="0BE3BC1F"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Rozvojové projekty PO</w:t>
            </w:r>
          </w:p>
        </w:tc>
        <w:tc>
          <w:tcPr>
            <w:tcW w:w="1264" w:type="dxa"/>
            <w:tcBorders>
              <w:top w:val="nil"/>
              <w:left w:val="nil"/>
              <w:bottom w:val="nil"/>
              <w:right w:val="single" w:sz="4" w:space="0" w:color="auto"/>
            </w:tcBorders>
            <w:shd w:val="clear" w:color="000000" w:fill="FFFFFF"/>
            <w:noWrap/>
            <w:vAlign w:val="bottom"/>
            <w:hideMark/>
          </w:tcPr>
          <w:p w14:paraId="3AB4A424"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0</w:t>
            </w:r>
          </w:p>
        </w:tc>
        <w:tc>
          <w:tcPr>
            <w:tcW w:w="1602" w:type="dxa"/>
            <w:tcBorders>
              <w:top w:val="nil"/>
              <w:left w:val="nil"/>
              <w:bottom w:val="nil"/>
              <w:right w:val="single" w:sz="4" w:space="0" w:color="auto"/>
            </w:tcBorders>
            <w:shd w:val="clear" w:color="000000" w:fill="FFFFFF"/>
            <w:noWrap/>
            <w:vAlign w:val="bottom"/>
            <w:hideMark/>
          </w:tcPr>
          <w:p w14:paraId="3F09B95E"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802 755,00</w:t>
            </w:r>
          </w:p>
        </w:tc>
        <w:tc>
          <w:tcPr>
            <w:tcW w:w="1701" w:type="dxa"/>
            <w:tcBorders>
              <w:top w:val="nil"/>
              <w:left w:val="nil"/>
              <w:bottom w:val="nil"/>
              <w:right w:val="single" w:sz="4" w:space="0" w:color="auto"/>
            </w:tcBorders>
            <w:shd w:val="clear" w:color="000000" w:fill="FFFFFF"/>
            <w:noWrap/>
            <w:vAlign w:val="bottom"/>
            <w:hideMark/>
          </w:tcPr>
          <w:p w14:paraId="73191F24"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802 755,00</w:t>
            </w:r>
          </w:p>
        </w:tc>
        <w:tc>
          <w:tcPr>
            <w:tcW w:w="647" w:type="dxa"/>
            <w:tcBorders>
              <w:top w:val="nil"/>
              <w:left w:val="nil"/>
              <w:bottom w:val="single" w:sz="4" w:space="0" w:color="auto"/>
              <w:right w:val="single" w:sz="8" w:space="0" w:color="auto"/>
            </w:tcBorders>
            <w:shd w:val="clear" w:color="000000" w:fill="FFFFFF"/>
            <w:noWrap/>
            <w:vAlign w:val="bottom"/>
            <w:hideMark/>
          </w:tcPr>
          <w:p w14:paraId="25CC99AC"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100,0</w:t>
            </w:r>
          </w:p>
        </w:tc>
      </w:tr>
      <w:tr w:rsidR="008E0636" w:rsidRPr="00A55202" w14:paraId="0C024F22" w14:textId="77777777" w:rsidTr="008E0636">
        <w:trPr>
          <w:trHeight w:val="525"/>
        </w:trPr>
        <w:tc>
          <w:tcPr>
            <w:tcW w:w="826" w:type="dxa"/>
            <w:tcBorders>
              <w:top w:val="single" w:sz="4" w:space="0" w:color="auto"/>
              <w:left w:val="single" w:sz="8" w:space="0" w:color="auto"/>
              <w:bottom w:val="single" w:sz="8" w:space="0" w:color="auto"/>
              <w:right w:val="single" w:sz="4" w:space="0" w:color="auto"/>
            </w:tcBorders>
            <w:shd w:val="clear" w:color="000000" w:fill="FFFFFF"/>
            <w:noWrap/>
            <w:vAlign w:val="bottom"/>
            <w:hideMark/>
          </w:tcPr>
          <w:p w14:paraId="11D72CBB"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3322</w:t>
            </w:r>
          </w:p>
        </w:tc>
        <w:tc>
          <w:tcPr>
            <w:tcW w:w="4672" w:type="dxa"/>
            <w:tcBorders>
              <w:top w:val="single" w:sz="4" w:space="0" w:color="auto"/>
              <w:left w:val="nil"/>
              <w:bottom w:val="single" w:sz="8" w:space="0" w:color="auto"/>
              <w:right w:val="single" w:sz="4" w:space="0" w:color="auto"/>
            </w:tcBorders>
            <w:shd w:val="clear" w:color="000000" w:fill="FFFFFF"/>
            <w:vAlign w:val="center"/>
            <w:hideMark/>
          </w:tcPr>
          <w:p w14:paraId="06DBAD79"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Program na obnovu památek určených ke společenskému využití</w:t>
            </w:r>
          </w:p>
        </w:tc>
        <w:tc>
          <w:tcPr>
            <w:tcW w:w="1264" w:type="dxa"/>
            <w:tcBorders>
              <w:top w:val="single" w:sz="4" w:space="0" w:color="auto"/>
              <w:left w:val="nil"/>
              <w:bottom w:val="single" w:sz="8" w:space="0" w:color="auto"/>
              <w:right w:val="single" w:sz="4" w:space="0" w:color="auto"/>
            </w:tcBorders>
            <w:shd w:val="clear" w:color="000000" w:fill="FFFFFF"/>
            <w:noWrap/>
            <w:vAlign w:val="bottom"/>
            <w:hideMark/>
          </w:tcPr>
          <w:p w14:paraId="349A9C87"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0</w:t>
            </w:r>
          </w:p>
        </w:tc>
        <w:tc>
          <w:tcPr>
            <w:tcW w:w="1602" w:type="dxa"/>
            <w:tcBorders>
              <w:top w:val="single" w:sz="4" w:space="0" w:color="auto"/>
              <w:left w:val="nil"/>
              <w:bottom w:val="single" w:sz="8" w:space="0" w:color="auto"/>
              <w:right w:val="single" w:sz="4" w:space="0" w:color="auto"/>
            </w:tcBorders>
            <w:shd w:val="clear" w:color="000000" w:fill="FFFFFF"/>
            <w:noWrap/>
            <w:vAlign w:val="bottom"/>
            <w:hideMark/>
          </w:tcPr>
          <w:p w14:paraId="2A73A8E8"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xml:space="preserve">4 235 000,25 </w:t>
            </w:r>
          </w:p>
        </w:tc>
        <w:tc>
          <w:tcPr>
            <w:tcW w:w="1701" w:type="dxa"/>
            <w:tcBorders>
              <w:top w:val="single" w:sz="4" w:space="0" w:color="auto"/>
              <w:left w:val="nil"/>
              <w:bottom w:val="single" w:sz="8" w:space="0" w:color="auto"/>
              <w:right w:val="single" w:sz="4" w:space="0" w:color="auto"/>
            </w:tcBorders>
            <w:shd w:val="clear" w:color="000000" w:fill="FFFFFF"/>
            <w:noWrap/>
            <w:vAlign w:val="bottom"/>
            <w:hideMark/>
          </w:tcPr>
          <w:p w14:paraId="32239929"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xml:space="preserve">4 235 000,25 </w:t>
            </w:r>
          </w:p>
        </w:tc>
        <w:tc>
          <w:tcPr>
            <w:tcW w:w="647" w:type="dxa"/>
            <w:tcBorders>
              <w:top w:val="nil"/>
              <w:left w:val="nil"/>
              <w:bottom w:val="single" w:sz="8" w:space="0" w:color="auto"/>
              <w:right w:val="single" w:sz="8" w:space="0" w:color="auto"/>
            </w:tcBorders>
            <w:shd w:val="clear" w:color="000000" w:fill="FFFFFF"/>
            <w:noWrap/>
            <w:vAlign w:val="bottom"/>
            <w:hideMark/>
          </w:tcPr>
          <w:p w14:paraId="1AB77B4F"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100,0</w:t>
            </w:r>
          </w:p>
        </w:tc>
      </w:tr>
      <w:tr w:rsidR="008E0636" w:rsidRPr="00A55202" w14:paraId="3A34AB91" w14:textId="77777777" w:rsidTr="008E0636">
        <w:trPr>
          <w:trHeight w:val="300"/>
        </w:trPr>
        <w:tc>
          <w:tcPr>
            <w:tcW w:w="826" w:type="dxa"/>
            <w:tcBorders>
              <w:top w:val="nil"/>
              <w:left w:val="single" w:sz="8" w:space="0" w:color="auto"/>
              <w:bottom w:val="single" w:sz="8" w:space="0" w:color="auto"/>
              <w:right w:val="single" w:sz="4" w:space="0" w:color="auto"/>
            </w:tcBorders>
            <w:shd w:val="clear" w:color="000000" w:fill="FFFFFF"/>
            <w:noWrap/>
            <w:vAlign w:val="bottom"/>
            <w:hideMark/>
          </w:tcPr>
          <w:p w14:paraId="4FA27F20"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c>
          <w:tcPr>
            <w:tcW w:w="4672" w:type="dxa"/>
            <w:tcBorders>
              <w:top w:val="nil"/>
              <w:left w:val="nil"/>
              <w:bottom w:val="single" w:sz="8" w:space="0" w:color="auto"/>
              <w:right w:val="single" w:sz="4" w:space="0" w:color="auto"/>
            </w:tcBorders>
            <w:shd w:val="clear" w:color="000000" w:fill="FFFFFF"/>
            <w:noWrap/>
            <w:vAlign w:val="bottom"/>
            <w:hideMark/>
          </w:tcPr>
          <w:p w14:paraId="27F3DC2C" w14:textId="77777777" w:rsidR="00A55202" w:rsidRPr="00A55202" w:rsidRDefault="00A55202" w:rsidP="00A55202">
            <w:pPr>
              <w:spacing w:after="0" w:line="240" w:lineRule="auto"/>
              <w:rPr>
                <w:rFonts w:ascii="Calibri" w:eastAsia="Times New Roman" w:hAnsi="Calibri" w:cs="Calibri"/>
                <w:b/>
                <w:bCs/>
                <w:lang w:eastAsia="cs-CZ"/>
              </w:rPr>
            </w:pPr>
            <w:r w:rsidRPr="00A55202">
              <w:rPr>
                <w:rFonts w:ascii="Calibri" w:eastAsia="Times New Roman" w:hAnsi="Calibri" w:cs="Calibri"/>
                <w:b/>
                <w:bCs/>
                <w:lang w:eastAsia="cs-CZ"/>
              </w:rPr>
              <w:t>Celkem</w:t>
            </w:r>
          </w:p>
        </w:tc>
        <w:tc>
          <w:tcPr>
            <w:tcW w:w="1264" w:type="dxa"/>
            <w:tcBorders>
              <w:top w:val="nil"/>
              <w:left w:val="nil"/>
              <w:bottom w:val="single" w:sz="8" w:space="0" w:color="auto"/>
              <w:right w:val="single" w:sz="4" w:space="0" w:color="auto"/>
            </w:tcBorders>
            <w:shd w:val="clear" w:color="000000" w:fill="FFFFFF"/>
            <w:noWrap/>
            <w:vAlign w:val="bottom"/>
            <w:hideMark/>
          </w:tcPr>
          <w:p w14:paraId="51524CE4" w14:textId="77777777" w:rsidR="00A55202" w:rsidRPr="00A55202" w:rsidRDefault="00A55202" w:rsidP="00A55202">
            <w:pPr>
              <w:spacing w:after="0" w:line="240" w:lineRule="auto"/>
              <w:jc w:val="right"/>
              <w:rPr>
                <w:rFonts w:ascii="Calibri" w:eastAsia="Times New Roman" w:hAnsi="Calibri" w:cs="Calibri"/>
                <w:b/>
                <w:bCs/>
                <w:lang w:eastAsia="cs-CZ"/>
              </w:rPr>
            </w:pPr>
            <w:r w:rsidRPr="00A55202">
              <w:rPr>
                <w:rFonts w:ascii="Calibri" w:eastAsia="Times New Roman" w:hAnsi="Calibri" w:cs="Calibri"/>
                <w:b/>
                <w:bCs/>
                <w:lang w:eastAsia="cs-CZ"/>
              </w:rPr>
              <w:t>0</w:t>
            </w:r>
          </w:p>
        </w:tc>
        <w:tc>
          <w:tcPr>
            <w:tcW w:w="1602" w:type="dxa"/>
            <w:tcBorders>
              <w:top w:val="nil"/>
              <w:left w:val="nil"/>
              <w:bottom w:val="single" w:sz="8" w:space="0" w:color="auto"/>
              <w:right w:val="single" w:sz="4" w:space="0" w:color="auto"/>
            </w:tcBorders>
            <w:shd w:val="clear" w:color="000000" w:fill="FFFFFF"/>
            <w:noWrap/>
            <w:vAlign w:val="bottom"/>
            <w:hideMark/>
          </w:tcPr>
          <w:p w14:paraId="5D5C968D" w14:textId="77777777" w:rsidR="00A55202" w:rsidRPr="00A55202" w:rsidRDefault="00A55202" w:rsidP="00A55202">
            <w:pPr>
              <w:spacing w:after="0" w:line="240" w:lineRule="auto"/>
              <w:jc w:val="right"/>
              <w:rPr>
                <w:rFonts w:ascii="Calibri" w:eastAsia="Times New Roman" w:hAnsi="Calibri" w:cs="Calibri"/>
                <w:b/>
                <w:bCs/>
                <w:lang w:eastAsia="cs-CZ"/>
              </w:rPr>
            </w:pPr>
            <w:r w:rsidRPr="00A55202">
              <w:rPr>
                <w:rFonts w:ascii="Calibri" w:eastAsia="Times New Roman" w:hAnsi="Calibri" w:cs="Calibri"/>
                <w:b/>
                <w:bCs/>
                <w:lang w:eastAsia="cs-CZ"/>
              </w:rPr>
              <w:t>11 485 296,25</w:t>
            </w:r>
          </w:p>
        </w:tc>
        <w:tc>
          <w:tcPr>
            <w:tcW w:w="1701" w:type="dxa"/>
            <w:tcBorders>
              <w:top w:val="nil"/>
              <w:left w:val="nil"/>
              <w:bottom w:val="single" w:sz="8" w:space="0" w:color="auto"/>
              <w:right w:val="single" w:sz="4" w:space="0" w:color="auto"/>
            </w:tcBorders>
            <w:shd w:val="clear" w:color="000000" w:fill="FFFFFF"/>
            <w:noWrap/>
            <w:vAlign w:val="bottom"/>
            <w:hideMark/>
          </w:tcPr>
          <w:p w14:paraId="44088341" w14:textId="77777777" w:rsidR="00A55202" w:rsidRPr="00A55202" w:rsidRDefault="00A55202" w:rsidP="00A55202">
            <w:pPr>
              <w:spacing w:after="0" w:line="240" w:lineRule="auto"/>
              <w:jc w:val="right"/>
              <w:rPr>
                <w:rFonts w:ascii="Calibri" w:eastAsia="Times New Roman" w:hAnsi="Calibri" w:cs="Calibri"/>
                <w:b/>
                <w:bCs/>
                <w:lang w:eastAsia="cs-CZ"/>
              </w:rPr>
            </w:pPr>
            <w:r w:rsidRPr="00A55202">
              <w:rPr>
                <w:rFonts w:ascii="Calibri" w:eastAsia="Times New Roman" w:hAnsi="Calibri" w:cs="Calibri"/>
                <w:b/>
                <w:bCs/>
                <w:lang w:eastAsia="cs-CZ"/>
              </w:rPr>
              <w:t>11 455 908,84</w:t>
            </w:r>
          </w:p>
        </w:tc>
        <w:tc>
          <w:tcPr>
            <w:tcW w:w="647" w:type="dxa"/>
            <w:tcBorders>
              <w:top w:val="nil"/>
              <w:left w:val="nil"/>
              <w:bottom w:val="single" w:sz="8" w:space="0" w:color="auto"/>
              <w:right w:val="single" w:sz="8" w:space="0" w:color="auto"/>
            </w:tcBorders>
            <w:shd w:val="clear" w:color="000000" w:fill="FFFFFF"/>
            <w:noWrap/>
            <w:vAlign w:val="bottom"/>
            <w:hideMark/>
          </w:tcPr>
          <w:p w14:paraId="15A01AE6" w14:textId="77777777" w:rsidR="00A55202" w:rsidRPr="00A55202" w:rsidRDefault="00A55202" w:rsidP="00A55202">
            <w:pPr>
              <w:spacing w:after="0" w:line="240" w:lineRule="auto"/>
              <w:jc w:val="right"/>
              <w:rPr>
                <w:rFonts w:ascii="Calibri" w:eastAsia="Times New Roman" w:hAnsi="Calibri" w:cs="Calibri"/>
                <w:b/>
                <w:bCs/>
                <w:lang w:eastAsia="cs-CZ"/>
              </w:rPr>
            </w:pPr>
            <w:r w:rsidRPr="00A55202">
              <w:rPr>
                <w:rFonts w:ascii="Calibri" w:eastAsia="Times New Roman" w:hAnsi="Calibri" w:cs="Calibri"/>
                <w:b/>
                <w:bCs/>
                <w:lang w:eastAsia="cs-CZ"/>
              </w:rPr>
              <w:t>99,7</w:t>
            </w:r>
          </w:p>
        </w:tc>
      </w:tr>
      <w:tr w:rsidR="008E0636" w:rsidRPr="00A55202" w14:paraId="0A979226" w14:textId="77777777" w:rsidTr="008E0636">
        <w:trPr>
          <w:trHeight w:val="300"/>
        </w:trPr>
        <w:tc>
          <w:tcPr>
            <w:tcW w:w="826" w:type="dxa"/>
            <w:tcBorders>
              <w:top w:val="nil"/>
              <w:left w:val="nil"/>
              <w:bottom w:val="nil"/>
              <w:right w:val="nil"/>
            </w:tcBorders>
            <w:shd w:val="clear" w:color="000000" w:fill="FFFFFF"/>
            <w:noWrap/>
            <w:vAlign w:val="bottom"/>
            <w:hideMark/>
          </w:tcPr>
          <w:p w14:paraId="11A6B47E"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c>
          <w:tcPr>
            <w:tcW w:w="4672" w:type="dxa"/>
            <w:tcBorders>
              <w:top w:val="nil"/>
              <w:left w:val="nil"/>
              <w:bottom w:val="nil"/>
              <w:right w:val="nil"/>
            </w:tcBorders>
            <w:shd w:val="clear" w:color="000000" w:fill="FFFFFF"/>
            <w:noWrap/>
            <w:vAlign w:val="bottom"/>
            <w:hideMark/>
          </w:tcPr>
          <w:p w14:paraId="4366FEF2"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c>
          <w:tcPr>
            <w:tcW w:w="1264" w:type="dxa"/>
            <w:tcBorders>
              <w:top w:val="nil"/>
              <w:left w:val="nil"/>
              <w:bottom w:val="nil"/>
              <w:right w:val="nil"/>
            </w:tcBorders>
            <w:shd w:val="clear" w:color="000000" w:fill="FFFFFF"/>
            <w:noWrap/>
            <w:vAlign w:val="bottom"/>
            <w:hideMark/>
          </w:tcPr>
          <w:p w14:paraId="614F5417"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c>
          <w:tcPr>
            <w:tcW w:w="1602" w:type="dxa"/>
            <w:tcBorders>
              <w:top w:val="nil"/>
              <w:left w:val="nil"/>
              <w:bottom w:val="nil"/>
              <w:right w:val="nil"/>
            </w:tcBorders>
            <w:shd w:val="clear" w:color="000000" w:fill="FFFFFF"/>
            <w:noWrap/>
            <w:vAlign w:val="bottom"/>
            <w:hideMark/>
          </w:tcPr>
          <w:p w14:paraId="3B59EFD1"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c>
          <w:tcPr>
            <w:tcW w:w="1701" w:type="dxa"/>
            <w:tcBorders>
              <w:top w:val="nil"/>
              <w:left w:val="nil"/>
              <w:bottom w:val="nil"/>
              <w:right w:val="nil"/>
            </w:tcBorders>
            <w:shd w:val="clear" w:color="000000" w:fill="FFFFFF"/>
            <w:noWrap/>
            <w:vAlign w:val="bottom"/>
            <w:hideMark/>
          </w:tcPr>
          <w:p w14:paraId="0451E944"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c>
          <w:tcPr>
            <w:tcW w:w="647" w:type="dxa"/>
            <w:tcBorders>
              <w:top w:val="nil"/>
              <w:left w:val="nil"/>
              <w:bottom w:val="nil"/>
              <w:right w:val="nil"/>
            </w:tcBorders>
            <w:shd w:val="clear" w:color="000000" w:fill="FFFFFF"/>
            <w:noWrap/>
            <w:vAlign w:val="bottom"/>
            <w:hideMark/>
          </w:tcPr>
          <w:p w14:paraId="556E7BFE"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r>
      <w:tr w:rsidR="00A55202" w:rsidRPr="00A55202" w14:paraId="56EFBE4F" w14:textId="77777777" w:rsidTr="008E0636">
        <w:trPr>
          <w:trHeight w:val="300"/>
        </w:trPr>
        <w:tc>
          <w:tcPr>
            <w:tcW w:w="826" w:type="dxa"/>
            <w:tcBorders>
              <w:top w:val="nil"/>
              <w:left w:val="nil"/>
              <w:bottom w:val="nil"/>
              <w:right w:val="nil"/>
            </w:tcBorders>
            <w:shd w:val="clear" w:color="000000" w:fill="FFFFFF"/>
            <w:noWrap/>
            <w:vAlign w:val="bottom"/>
            <w:hideMark/>
          </w:tcPr>
          <w:p w14:paraId="73CE6B3B"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c>
          <w:tcPr>
            <w:tcW w:w="9886" w:type="dxa"/>
            <w:gridSpan w:val="5"/>
            <w:tcBorders>
              <w:top w:val="nil"/>
              <w:left w:val="nil"/>
              <w:bottom w:val="nil"/>
              <w:right w:val="nil"/>
            </w:tcBorders>
            <w:shd w:val="clear" w:color="000000" w:fill="FFFFFF"/>
            <w:vAlign w:val="bottom"/>
            <w:hideMark/>
          </w:tcPr>
          <w:p w14:paraId="50F4B5D0" w14:textId="77777777" w:rsidR="00A55202" w:rsidRPr="00A55202" w:rsidRDefault="00A55202" w:rsidP="00A55202">
            <w:pPr>
              <w:spacing w:after="0" w:line="240" w:lineRule="auto"/>
              <w:rPr>
                <w:rFonts w:ascii="Calibri" w:eastAsia="Times New Roman" w:hAnsi="Calibri" w:cs="Calibri"/>
                <w:b/>
                <w:bCs/>
                <w:lang w:eastAsia="cs-CZ"/>
              </w:rPr>
            </w:pPr>
            <w:r w:rsidRPr="00A55202">
              <w:rPr>
                <w:rFonts w:ascii="Calibri" w:eastAsia="Times New Roman" w:hAnsi="Calibri" w:cs="Calibri"/>
                <w:b/>
                <w:bCs/>
                <w:lang w:eastAsia="cs-CZ"/>
              </w:rPr>
              <w:t>Předfinancování a kofinancování projektů spolufinancovaných z EU/EHP a ostatní související výdaje s projekty EU/EHP</w:t>
            </w:r>
          </w:p>
        </w:tc>
      </w:tr>
      <w:tr w:rsidR="008E0636" w:rsidRPr="00A55202" w14:paraId="01BE08E8" w14:textId="77777777" w:rsidTr="008E0636">
        <w:trPr>
          <w:trHeight w:val="300"/>
        </w:trPr>
        <w:tc>
          <w:tcPr>
            <w:tcW w:w="826" w:type="dxa"/>
            <w:tcBorders>
              <w:top w:val="single" w:sz="8" w:space="0" w:color="auto"/>
              <w:left w:val="single" w:sz="8" w:space="0" w:color="auto"/>
              <w:bottom w:val="single" w:sz="4" w:space="0" w:color="auto"/>
              <w:right w:val="single" w:sz="4" w:space="0" w:color="auto"/>
            </w:tcBorders>
            <w:shd w:val="clear" w:color="000000" w:fill="FFFFFF"/>
            <w:noWrap/>
            <w:vAlign w:val="bottom"/>
            <w:hideMark/>
          </w:tcPr>
          <w:p w14:paraId="4664BD0F"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3315</w:t>
            </w:r>
          </w:p>
        </w:tc>
        <w:tc>
          <w:tcPr>
            <w:tcW w:w="4672" w:type="dxa"/>
            <w:tcBorders>
              <w:top w:val="single" w:sz="8" w:space="0" w:color="auto"/>
              <w:left w:val="nil"/>
              <w:bottom w:val="single" w:sz="4" w:space="0" w:color="auto"/>
              <w:right w:val="single" w:sz="4" w:space="0" w:color="auto"/>
            </w:tcBorders>
            <w:shd w:val="clear" w:color="000000" w:fill="FFFFFF"/>
            <w:noWrap/>
            <w:vAlign w:val="bottom"/>
            <w:hideMark/>
          </w:tcPr>
          <w:p w14:paraId="21B5B28E"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Středočeské muzeum v Roztokách u Prahy - IROP</w:t>
            </w:r>
          </w:p>
        </w:tc>
        <w:tc>
          <w:tcPr>
            <w:tcW w:w="1264" w:type="dxa"/>
            <w:tcBorders>
              <w:top w:val="single" w:sz="8" w:space="0" w:color="auto"/>
              <w:left w:val="nil"/>
              <w:bottom w:val="single" w:sz="4" w:space="0" w:color="auto"/>
              <w:right w:val="single" w:sz="4" w:space="0" w:color="auto"/>
            </w:tcBorders>
            <w:shd w:val="clear" w:color="000000" w:fill="FFFFFF"/>
            <w:noWrap/>
            <w:vAlign w:val="bottom"/>
            <w:hideMark/>
          </w:tcPr>
          <w:p w14:paraId="528FBDB6"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0</w:t>
            </w:r>
          </w:p>
        </w:tc>
        <w:tc>
          <w:tcPr>
            <w:tcW w:w="1602" w:type="dxa"/>
            <w:tcBorders>
              <w:top w:val="single" w:sz="8" w:space="0" w:color="auto"/>
              <w:left w:val="nil"/>
              <w:bottom w:val="single" w:sz="4" w:space="0" w:color="auto"/>
              <w:right w:val="single" w:sz="4" w:space="0" w:color="auto"/>
            </w:tcBorders>
            <w:shd w:val="clear" w:color="000000" w:fill="FFFFFF"/>
            <w:noWrap/>
            <w:vAlign w:val="bottom"/>
            <w:hideMark/>
          </w:tcPr>
          <w:p w14:paraId="6F6DDDEF"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14 175 241,83</w:t>
            </w:r>
          </w:p>
        </w:tc>
        <w:tc>
          <w:tcPr>
            <w:tcW w:w="1701" w:type="dxa"/>
            <w:tcBorders>
              <w:top w:val="single" w:sz="8" w:space="0" w:color="auto"/>
              <w:left w:val="nil"/>
              <w:bottom w:val="single" w:sz="4" w:space="0" w:color="auto"/>
              <w:right w:val="single" w:sz="4" w:space="0" w:color="auto"/>
            </w:tcBorders>
            <w:shd w:val="clear" w:color="000000" w:fill="FFFFFF"/>
            <w:noWrap/>
            <w:vAlign w:val="bottom"/>
            <w:hideMark/>
          </w:tcPr>
          <w:p w14:paraId="64E80C76"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14 175 241,83</w:t>
            </w:r>
          </w:p>
        </w:tc>
        <w:tc>
          <w:tcPr>
            <w:tcW w:w="647" w:type="dxa"/>
            <w:tcBorders>
              <w:top w:val="single" w:sz="8" w:space="0" w:color="auto"/>
              <w:left w:val="nil"/>
              <w:bottom w:val="single" w:sz="4" w:space="0" w:color="auto"/>
              <w:right w:val="single" w:sz="8" w:space="0" w:color="auto"/>
            </w:tcBorders>
            <w:shd w:val="clear" w:color="000000" w:fill="FFFFFF"/>
            <w:noWrap/>
            <w:vAlign w:val="bottom"/>
            <w:hideMark/>
          </w:tcPr>
          <w:p w14:paraId="353307C6"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100,0</w:t>
            </w:r>
          </w:p>
        </w:tc>
      </w:tr>
      <w:tr w:rsidR="008E0636" w:rsidRPr="00A55202" w14:paraId="4549894A" w14:textId="77777777" w:rsidTr="008E0636">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726854D1"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3315</w:t>
            </w:r>
          </w:p>
        </w:tc>
        <w:tc>
          <w:tcPr>
            <w:tcW w:w="4672" w:type="dxa"/>
            <w:tcBorders>
              <w:top w:val="nil"/>
              <w:left w:val="nil"/>
              <w:bottom w:val="single" w:sz="4" w:space="0" w:color="auto"/>
              <w:right w:val="single" w:sz="4" w:space="0" w:color="auto"/>
            </w:tcBorders>
            <w:shd w:val="clear" w:color="000000" w:fill="FFFFFF"/>
            <w:noWrap/>
            <w:vAlign w:val="bottom"/>
            <w:hideMark/>
          </w:tcPr>
          <w:p w14:paraId="278ABA09"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Vlastivědné muzeum Nymburk - IROP</w:t>
            </w:r>
          </w:p>
        </w:tc>
        <w:tc>
          <w:tcPr>
            <w:tcW w:w="1264" w:type="dxa"/>
            <w:tcBorders>
              <w:top w:val="nil"/>
              <w:left w:val="nil"/>
              <w:bottom w:val="single" w:sz="4" w:space="0" w:color="auto"/>
              <w:right w:val="single" w:sz="4" w:space="0" w:color="auto"/>
            </w:tcBorders>
            <w:shd w:val="clear" w:color="000000" w:fill="FFFFFF"/>
            <w:noWrap/>
            <w:vAlign w:val="bottom"/>
            <w:hideMark/>
          </w:tcPr>
          <w:p w14:paraId="100FA93D"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0</w:t>
            </w:r>
          </w:p>
        </w:tc>
        <w:tc>
          <w:tcPr>
            <w:tcW w:w="1602" w:type="dxa"/>
            <w:tcBorders>
              <w:top w:val="nil"/>
              <w:left w:val="nil"/>
              <w:bottom w:val="single" w:sz="4" w:space="0" w:color="auto"/>
              <w:right w:val="single" w:sz="4" w:space="0" w:color="auto"/>
            </w:tcBorders>
            <w:shd w:val="clear" w:color="000000" w:fill="FFFFFF"/>
            <w:noWrap/>
            <w:vAlign w:val="bottom"/>
            <w:hideMark/>
          </w:tcPr>
          <w:p w14:paraId="43DC44F4"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25 821 380,10</w:t>
            </w:r>
          </w:p>
        </w:tc>
        <w:tc>
          <w:tcPr>
            <w:tcW w:w="1701" w:type="dxa"/>
            <w:tcBorders>
              <w:top w:val="nil"/>
              <w:left w:val="nil"/>
              <w:bottom w:val="single" w:sz="4" w:space="0" w:color="auto"/>
              <w:right w:val="single" w:sz="4" w:space="0" w:color="auto"/>
            </w:tcBorders>
            <w:shd w:val="clear" w:color="000000" w:fill="FFFFFF"/>
            <w:noWrap/>
            <w:vAlign w:val="bottom"/>
            <w:hideMark/>
          </w:tcPr>
          <w:p w14:paraId="744E1C87"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25 821 380,10</w:t>
            </w:r>
          </w:p>
        </w:tc>
        <w:tc>
          <w:tcPr>
            <w:tcW w:w="647" w:type="dxa"/>
            <w:tcBorders>
              <w:top w:val="nil"/>
              <w:left w:val="nil"/>
              <w:bottom w:val="single" w:sz="4" w:space="0" w:color="auto"/>
              <w:right w:val="single" w:sz="8" w:space="0" w:color="auto"/>
            </w:tcBorders>
            <w:shd w:val="clear" w:color="000000" w:fill="FFFFFF"/>
            <w:noWrap/>
            <w:vAlign w:val="bottom"/>
            <w:hideMark/>
          </w:tcPr>
          <w:p w14:paraId="73A969B7"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100,0</w:t>
            </w:r>
          </w:p>
        </w:tc>
      </w:tr>
      <w:tr w:rsidR="008E0636" w:rsidRPr="00A55202" w14:paraId="3139F49F" w14:textId="77777777" w:rsidTr="008E0636">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3124C6CF"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3315</w:t>
            </w:r>
          </w:p>
        </w:tc>
        <w:tc>
          <w:tcPr>
            <w:tcW w:w="4672" w:type="dxa"/>
            <w:tcBorders>
              <w:top w:val="nil"/>
              <w:left w:val="nil"/>
              <w:bottom w:val="single" w:sz="4" w:space="0" w:color="auto"/>
              <w:right w:val="single" w:sz="4" w:space="0" w:color="auto"/>
            </w:tcBorders>
            <w:shd w:val="clear" w:color="000000" w:fill="FFFFFF"/>
            <w:noWrap/>
            <w:vAlign w:val="bottom"/>
            <w:hideMark/>
          </w:tcPr>
          <w:p w14:paraId="6AEBAE64"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Muzeum A.G. Masarykové Lány - IROP</w:t>
            </w:r>
          </w:p>
        </w:tc>
        <w:tc>
          <w:tcPr>
            <w:tcW w:w="1264" w:type="dxa"/>
            <w:tcBorders>
              <w:top w:val="nil"/>
              <w:left w:val="nil"/>
              <w:bottom w:val="single" w:sz="4" w:space="0" w:color="auto"/>
              <w:right w:val="single" w:sz="4" w:space="0" w:color="auto"/>
            </w:tcBorders>
            <w:shd w:val="clear" w:color="000000" w:fill="FFFFFF"/>
            <w:noWrap/>
            <w:vAlign w:val="bottom"/>
            <w:hideMark/>
          </w:tcPr>
          <w:p w14:paraId="6E8E1F32"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0</w:t>
            </w:r>
          </w:p>
        </w:tc>
        <w:tc>
          <w:tcPr>
            <w:tcW w:w="1602" w:type="dxa"/>
            <w:tcBorders>
              <w:top w:val="nil"/>
              <w:left w:val="nil"/>
              <w:bottom w:val="single" w:sz="4" w:space="0" w:color="auto"/>
              <w:right w:val="single" w:sz="4" w:space="0" w:color="auto"/>
            </w:tcBorders>
            <w:shd w:val="clear" w:color="000000" w:fill="FFFFFF"/>
            <w:noWrap/>
            <w:vAlign w:val="bottom"/>
            <w:hideMark/>
          </w:tcPr>
          <w:p w14:paraId="5D4FBE85"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6 000 000,00</w:t>
            </w:r>
          </w:p>
        </w:tc>
        <w:tc>
          <w:tcPr>
            <w:tcW w:w="1701" w:type="dxa"/>
            <w:tcBorders>
              <w:top w:val="nil"/>
              <w:left w:val="nil"/>
              <w:bottom w:val="single" w:sz="4" w:space="0" w:color="auto"/>
              <w:right w:val="single" w:sz="4" w:space="0" w:color="auto"/>
            </w:tcBorders>
            <w:shd w:val="clear" w:color="000000" w:fill="FFFFFF"/>
            <w:noWrap/>
            <w:vAlign w:val="bottom"/>
            <w:hideMark/>
          </w:tcPr>
          <w:p w14:paraId="574CC9CF"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6 000 000,00</w:t>
            </w:r>
          </w:p>
        </w:tc>
        <w:tc>
          <w:tcPr>
            <w:tcW w:w="647" w:type="dxa"/>
            <w:tcBorders>
              <w:top w:val="nil"/>
              <w:left w:val="nil"/>
              <w:bottom w:val="single" w:sz="4" w:space="0" w:color="auto"/>
              <w:right w:val="single" w:sz="8" w:space="0" w:color="auto"/>
            </w:tcBorders>
            <w:shd w:val="clear" w:color="000000" w:fill="FFFFFF"/>
            <w:noWrap/>
            <w:vAlign w:val="bottom"/>
            <w:hideMark/>
          </w:tcPr>
          <w:p w14:paraId="37E6EDB4"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100,0</w:t>
            </w:r>
          </w:p>
        </w:tc>
      </w:tr>
      <w:tr w:rsidR="008E0636" w:rsidRPr="00A55202" w14:paraId="1938D487" w14:textId="77777777" w:rsidTr="008E0636">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176A56A0"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3315</w:t>
            </w:r>
          </w:p>
        </w:tc>
        <w:tc>
          <w:tcPr>
            <w:tcW w:w="4672" w:type="dxa"/>
            <w:tcBorders>
              <w:top w:val="nil"/>
              <w:left w:val="nil"/>
              <w:bottom w:val="single" w:sz="4" w:space="0" w:color="auto"/>
              <w:right w:val="single" w:sz="4" w:space="0" w:color="auto"/>
            </w:tcBorders>
            <w:shd w:val="clear" w:color="000000" w:fill="FFFFFF"/>
            <w:noWrap/>
            <w:vAlign w:val="bottom"/>
            <w:hideMark/>
          </w:tcPr>
          <w:p w14:paraId="6589E9F3"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xml:space="preserve">Sládečkovo vlastivědné muzeum v Kladně </w:t>
            </w:r>
          </w:p>
        </w:tc>
        <w:tc>
          <w:tcPr>
            <w:tcW w:w="1264" w:type="dxa"/>
            <w:tcBorders>
              <w:top w:val="nil"/>
              <w:left w:val="nil"/>
              <w:bottom w:val="single" w:sz="4" w:space="0" w:color="auto"/>
              <w:right w:val="single" w:sz="4" w:space="0" w:color="auto"/>
            </w:tcBorders>
            <w:shd w:val="clear" w:color="000000" w:fill="FFFFFF"/>
            <w:noWrap/>
            <w:vAlign w:val="bottom"/>
            <w:hideMark/>
          </w:tcPr>
          <w:p w14:paraId="76E10776"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0</w:t>
            </w:r>
          </w:p>
        </w:tc>
        <w:tc>
          <w:tcPr>
            <w:tcW w:w="1602" w:type="dxa"/>
            <w:tcBorders>
              <w:top w:val="nil"/>
              <w:left w:val="nil"/>
              <w:bottom w:val="single" w:sz="4" w:space="0" w:color="auto"/>
              <w:right w:val="single" w:sz="4" w:space="0" w:color="auto"/>
            </w:tcBorders>
            <w:shd w:val="clear" w:color="000000" w:fill="FFFFFF"/>
            <w:noWrap/>
            <w:vAlign w:val="bottom"/>
            <w:hideMark/>
          </w:tcPr>
          <w:p w14:paraId="31E82132"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1 110 200,00</w:t>
            </w:r>
          </w:p>
        </w:tc>
        <w:tc>
          <w:tcPr>
            <w:tcW w:w="1701" w:type="dxa"/>
            <w:tcBorders>
              <w:top w:val="nil"/>
              <w:left w:val="nil"/>
              <w:bottom w:val="single" w:sz="4" w:space="0" w:color="auto"/>
              <w:right w:val="single" w:sz="4" w:space="0" w:color="auto"/>
            </w:tcBorders>
            <w:shd w:val="clear" w:color="000000" w:fill="FFFFFF"/>
            <w:noWrap/>
            <w:vAlign w:val="bottom"/>
            <w:hideMark/>
          </w:tcPr>
          <w:p w14:paraId="314E4139"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1 110 200,00</w:t>
            </w:r>
          </w:p>
        </w:tc>
        <w:tc>
          <w:tcPr>
            <w:tcW w:w="647" w:type="dxa"/>
            <w:tcBorders>
              <w:top w:val="nil"/>
              <w:left w:val="nil"/>
              <w:bottom w:val="single" w:sz="4" w:space="0" w:color="auto"/>
              <w:right w:val="single" w:sz="8" w:space="0" w:color="auto"/>
            </w:tcBorders>
            <w:shd w:val="clear" w:color="000000" w:fill="FFFFFF"/>
            <w:noWrap/>
            <w:vAlign w:val="bottom"/>
            <w:hideMark/>
          </w:tcPr>
          <w:p w14:paraId="2228FB2E"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100,0</w:t>
            </w:r>
          </w:p>
        </w:tc>
      </w:tr>
      <w:tr w:rsidR="008E0636" w:rsidRPr="00A55202" w14:paraId="69F690A7" w14:textId="77777777" w:rsidTr="008E0636">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343DF717"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3315</w:t>
            </w:r>
          </w:p>
        </w:tc>
        <w:tc>
          <w:tcPr>
            <w:tcW w:w="4672" w:type="dxa"/>
            <w:tcBorders>
              <w:top w:val="nil"/>
              <w:left w:val="nil"/>
              <w:bottom w:val="single" w:sz="4" w:space="0" w:color="auto"/>
              <w:right w:val="single" w:sz="4" w:space="0" w:color="auto"/>
            </w:tcBorders>
            <w:shd w:val="clear" w:color="000000" w:fill="FFFFFF"/>
            <w:noWrap/>
            <w:vAlign w:val="bottom"/>
            <w:hideMark/>
          </w:tcPr>
          <w:p w14:paraId="483D0219"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Muzeum Českého krasu IROP</w:t>
            </w:r>
          </w:p>
        </w:tc>
        <w:tc>
          <w:tcPr>
            <w:tcW w:w="1264" w:type="dxa"/>
            <w:tcBorders>
              <w:top w:val="nil"/>
              <w:left w:val="nil"/>
              <w:bottom w:val="single" w:sz="4" w:space="0" w:color="auto"/>
              <w:right w:val="single" w:sz="4" w:space="0" w:color="auto"/>
            </w:tcBorders>
            <w:shd w:val="clear" w:color="000000" w:fill="FFFFFF"/>
            <w:noWrap/>
            <w:vAlign w:val="bottom"/>
            <w:hideMark/>
          </w:tcPr>
          <w:p w14:paraId="678663A1"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0</w:t>
            </w:r>
          </w:p>
        </w:tc>
        <w:tc>
          <w:tcPr>
            <w:tcW w:w="1602" w:type="dxa"/>
            <w:tcBorders>
              <w:top w:val="nil"/>
              <w:left w:val="nil"/>
              <w:bottom w:val="single" w:sz="4" w:space="0" w:color="auto"/>
              <w:right w:val="single" w:sz="4" w:space="0" w:color="auto"/>
            </w:tcBorders>
            <w:shd w:val="clear" w:color="000000" w:fill="FFFFFF"/>
            <w:noWrap/>
            <w:vAlign w:val="bottom"/>
            <w:hideMark/>
          </w:tcPr>
          <w:p w14:paraId="29A8FC91"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12 024 750,00</w:t>
            </w:r>
          </w:p>
        </w:tc>
        <w:tc>
          <w:tcPr>
            <w:tcW w:w="1701" w:type="dxa"/>
            <w:tcBorders>
              <w:top w:val="nil"/>
              <w:left w:val="nil"/>
              <w:bottom w:val="single" w:sz="4" w:space="0" w:color="auto"/>
              <w:right w:val="single" w:sz="4" w:space="0" w:color="auto"/>
            </w:tcBorders>
            <w:shd w:val="clear" w:color="000000" w:fill="FFFFFF"/>
            <w:noWrap/>
            <w:vAlign w:val="bottom"/>
            <w:hideMark/>
          </w:tcPr>
          <w:p w14:paraId="52EE21CA"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12 024 750,00</w:t>
            </w:r>
          </w:p>
        </w:tc>
        <w:tc>
          <w:tcPr>
            <w:tcW w:w="647" w:type="dxa"/>
            <w:tcBorders>
              <w:top w:val="nil"/>
              <w:left w:val="nil"/>
              <w:bottom w:val="single" w:sz="4" w:space="0" w:color="auto"/>
              <w:right w:val="single" w:sz="8" w:space="0" w:color="auto"/>
            </w:tcBorders>
            <w:shd w:val="clear" w:color="000000" w:fill="FFFFFF"/>
            <w:noWrap/>
            <w:vAlign w:val="bottom"/>
            <w:hideMark/>
          </w:tcPr>
          <w:p w14:paraId="1493176E"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100,0</w:t>
            </w:r>
          </w:p>
        </w:tc>
      </w:tr>
      <w:tr w:rsidR="008E0636" w:rsidRPr="00A55202" w14:paraId="7A84087C" w14:textId="77777777" w:rsidTr="008E0636">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331851A0"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3315</w:t>
            </w:r>
          </w:p>
        </w:tc>
        <w:tc>
          <w:tcPr>
            <w:tcW w:w="4672" w:type="dxa"/>
            <w:tcBorders>
              <w:top w:val="nil"/>
              <w:left w:val="nil"/>
              <w:bottom w:val="single" w:sz="4" w:space="0" w:color="auto"/>
              <w:right w:val="single" w:sz="4" w:space="0" w:color="auto"/>
            </w:tcBorders>
            <w:shd w:val="clear" w:color="000000" w:fill="FFFFFF"/>
            <w:noWrap/>
            <w:vAlign w:val="bottom"/>
            <w:hideMark/>
          </w:tcPr>
          <w:p w14:paraId="470043BC"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Muzeum Podblanicka - IROP</w:t>
            </w:r>
          </w:p>
        </w:tc>
        <w:tc>
          <w:tcPr>
            <w:tcW w:w="1264" w:type="dxa"/>
            <w:tcBorders>
              <w:top w:val="nil"/>
              <w:left w:val="nil"/>
              <w:bottom w:val="single" w:sz="4" w:space="0" w:color="auto"/>
              <w:right w:val="single" w:sz="4" w:space="0" w:color="auto"/>
            </w:tcBorders>
            <w:shd w:val="clear" w:color="000000" w:fill="FFFFFF"/>
            <w:noWrap/>
            <w:vAlign w:val="bottom"/>
            <w:hideMark/>
          </w:tcPr>
          <w:p w14:paraId="7033709D"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0</w:t>
            </w:r>
          </w:p>
        </w:tc>
        <w:tc>
          <w:tcPr>
            <w:tcW w:w="1602" w:type="dxa"/>
            <w:tcBorders>
              <w:top w:val="nil"/>
              <w:left w:val="nil"/>
              <w:bottom w:val="single" w:sz="4" w:space="0" w:color="auto"/>
              <w:right w:val="single" w:sz="4" w:space="0" w:color="auto"/>
            </w:tcBorders>
            <w:shd w:val="clear" w:color="000000" w:fill="FFFFFF"/>
            <w:noWrap/>
            <w:vAlign w:val="bottom"/>
            <w:hideMark/>
          </w:tcPr>
          <w:p w14:paraId="007437C4"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3 025 000,00</w:t>
            </w:r>
          </w:p>
        </w:tc>
        <w:tc>
          <w:tcPr>
            <w:tcW w:w="1701" w:type="dxa"/>
            <w:tcBorders>
              <w:top w:val="nil"/>
              <w:left w:val="nil"/>
              <w:bottom w:val="single" w:sz="4" w:space="0" w:color="auto"/>
              <w:right w:val="single" w:sz="4" w:space="0" w:color="auto"/>
            </w:tcBorders>
            <w:shd w:val="clear" w:color="000000" w:fill="FFFFFF"/>
            <w:noWrap/>
            <w:vAlign w:val="bottom"/>
            <w:hideMark/>
          </w:tcPr>
          <w:p w14:paraId="058C1015"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3 025 000,00</w:t>
            </w:r>
          </w:p>
        </w:tc>
        <w:tc>
          <w:tcPr>
            <w:tcW w:w="647" w:type="dxa"/>
            <w:tcBorders>
              <w:top w:val="nil"/>
              <w:left w:val="nil"/>
              <w:bottom w:val="single" w:sz="4" w:space="0" w:color="auto"/>
              <w:right w:val="single" w:sz="8" w:space="0" w:color="auto"/>
            </w:tcBorders>
            <w:shd w:val="clear" w:color="000000" w:fill="FFFFFF"/>
            <w:noWrap/>
            <w:vAlign w:val="bottom"/>
            <w:hideMark/>
          </w:tcPr>
          <w:p w14:paraId="695199BE"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100,0</w:t>
            </w:r>
          </w:p>
        </w:tc>
      </w:tr>
      <w:tr w:rsidR="008E0636" w:rsidRPr="00A55202" w14:paraId="7A8C1899" w14:textId="77777777" w:rsidTr="008E0636">
        <w:trPr>
          <w:trHeight w:val="300"/>
        </w:trPr>
        <w:tc>
          <w:tcPr>
            <w:tcW w:w="826" w:type="dxa"/>
            <w:tcBorders>
              <w:top w:val="nil"/>
              <w:left w:val="single" w:sz="8" w:space="0" w:color="auto"/>
              <w:bottom w:val="single" w:sz="8" w:space="0" w:color="auto"/>
              <w:right w:val="single" w:sz="4" w:space="0" w:color="auto"/>
            </w:tcBorders>
            <w:shd w:val="clear" w:color="000000" w:fill="FFFFFF"/>
            <w:noWrap/>
            <w:vAlign w:val="bottom"/>
            <w:hideMark/>
          </w:tcPr>
          <w:p w14:paraId="364684AB"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3321</w:t>
            </w:r>
          </w:p>
        </w:tc>
        <w:tc>
          <w:tcPr>
            <w:tcW w:w="4672" w:type="dxa"/>
            <w:tcBorders>
              <w:top w:val="nil"/>
              <w:left w:val="nil"/>
              <w:bottom w:val="single" w:sz="8" w:space="0" w:color="auto"/>
              <w:right w:val="single" w:sz="4" w:space="0" w:color="auto"/>
            </w:tcBorders>
            <w:shd w:val="clear" w:color="000000" w:fill="FFFFFF"/>
            <w:noWrap/>
            <w:vAlign w:val="bottom"/>
            <w:hideMark/>
          </w:tcPr>
          <w:p w14:paraId="4A5C6545" w14:textId="3DB1A564"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xml:space="preserve">OP ŽP 2014+ </w:t>
            </w:r>
            <w:r w:rsidR="008E0636">
              <w:rPr>
                <w:rFonts w:ascii="Calibri" w:eastAsia="Times New Roman" w:hAnsi="Calibri" w:cs="Calibri"/>
                <w:sz w:val="20"/>
                <w:szCs w:val="20"/>
                <w:lang w:eastAsia="cs-CZ"/>
              </w:rPr>
              <w:t>s</w:t>
            </w:r>
            <w:r w:rsidRPr="00A55202">
              <w:rPr>
                <w:rFonts w:ascii="Calibri" w:eastAsia="Times New Roman" w:hAnsi="Calibri" w:cs="Calibri"/>
                <w:sz w:val="20"/>
                <w:szCs w:val="20"/>
                <w:lang w:eastAsia="cs-CZ"/>
              </w:rPr>
              <w:t>níž</w:t>
            </w:r>
            <w:r w:rsidR="008E0636">
              <w:rPr>
                <w:rFonts w:ascii="Calibri" w:eastAsia="Times New Roman" w:hAnsi="Calibri" w:cs="Calibri"/>
                <w:sz w:val="20"/>
                <w:szCs w:val="20"/>
                <w:lang w:eastAsia="cs-CZ"/>
              </w:rPr>
              <w:t>ení</w:t>
            </w:r>
            <w:r w:rsidRPr="00A55202">
              <w:rPr>
                <w:rFonts w:ascii="Calibri" w:eastAsia="Times New Roman" w:hAnsi="Calibri" w:cs="Calibri"/>
                <w:sz w:val="20"/>
                <w:szCs w:val="20"/>
                <w:lang w:eastAsia="cs-CZ"/>
              </w:rPr>
              <w:t xml:space="preserve"> energ</w:t>
            </w:r>
            <w:r w:rsidR="008E0636">
              <w:rPr>
                <w:rFonts w:ascii="Calibri" w:eastAsia="Times New Roman" w:hAnsi="Calibri" w:cs="Calibri"/>
                <w:sz w:val="20"/>
                <w:szCs w:val="20"/>
                <w:lang w:eastAsia="cs-CZ"/>
              </w:rPr>
              <w:t>etické</w:t>
            </w:r>
            <w:r w:rsidRPr="00A55202">
              <w:rPr>
                <w:rFonts w:ascii="Calibri" w:eastAsia="Times New Roman" w:hAnsi="Calibri" w:cs="Calibri"/>
                <w:sz w:val="20"/>
                <w:szCs w:val="20"/>
                <w:lang w:eastAsia="cs-CZ"/>
              </w:rPr>
              <w:t xml:space="preserve"> náročnosti Kounice</w:t>
            </w:r>
          </w:p>
        </w:tc>
        <w:tc>
          <w:tcPr>
            <w:tcW w:w="1264" w:type="dxa"/>
            <w:tcBorders>
              <w:top w:val="nil"/>
              <w:left w:val="nil"/>
              <w:bottom w:val="single" w:sz="8" w:space="0" w:color="auto"/>
              <w:right w:val="single" w:sz="4" w:space="0" w:color="auto"/>
            </w:tcBorders>
            <w:shd w:val="clear" w:color="000000" w:fill="FFFFFF"/>
            <w:noWrap/>
            <w:vAlign w:val="bottom"/>
            <w:hideMark/>
          </w:tcPr>
          <w:p w14:paraId="55A5D70A"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0</w:t>
            </w:r>
          </w:p>
        </w:tc>
        <w:tc>
          <w:tcPr>
            <w:tcW w:w="1602" w:type="dxa"/>
            <w:tcBorders>
              <w:top w:val="nil"/>
              <w:left w:val="nil"/>
              <w:bottom w:val="single" w:sz="8" w:space="0" w:color="auto"/>
              <w:right w:val="single" w:sz="4" w:space="0" w:color="auto"/>
            </w:tcBorders>
            <w:shd w:val="clear" w:color="000000" w:fill="FFFFFF"/>
            <w:noWrap/>
            <w:vAlign w:val="bottom"/>
            <w:hideMark/>
          </w:tcPr>
          <w:p w14:paraId="563785B4"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5 045 700,00</w:t>
            </w:r>
          </w:p>
        </w:tc>
        <w:tc>
          <w:tcPr>
            <w:tcW w:w="1701" w:type="dxa"/>
            <w:tcBorders>
              <w:top w:val="nil"/>
              <w:left w:val="nil"/>
              <w:bottom w:val="single" w:sz="8" w:space="0" w:color="auto"/>
              <w:right w:val="single" w:sz="4" w:space="0" w:color="auto"/>
            </w:tcBorders>
            <w:shd w:val="clear" w:color="000000" w:fill="FFFFFF"/>
            <w:noWrap/>
            <w:vAlign w:val="bottom"/>
            <w:hideMark/>
          </w:tcPr>
          <w:p w14:paraId="2B1139E3"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5 045 700,00</w:t>
            </w:r>
          </w:p>
        </w:tc>
        <w:tc>
          <w:tcPr>
            <w:tcW w:w="647" w:type="dxa"/>
            <w:tcBorders>
              <w:top w:val="nil"/>
              <w:left w:val="nil"/>
              <w:bottom w:val="single" w:sz="8" w:space="0" w:color="auto"/>
              <w:right w:val="single" w:sz="8" w:space="0" w:color="auto"/>
            </w:tcBorders>
            <w:shd w:val="clear" w:color="000000" w:fill="FFFFFF"/>
            <w:noWrap/>
            <w:vAlign w:val="bottom"/>
            <w:hideMark/>
          </w:tcPr>
          <w:p w14:paraId="4EE677BB"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100,0</w:t>
            </w:r>
          </w:p>
        </w:tc>
      </w:tr>
      <w:tr w:rsidR="008E0636" w:rsidRPr="00A55202" w14:paraId="0AF1FD4F" w14:textId="77777777" w:rsidTr="008E0636">
        <w:trPr>
          <w:trHeight w:val="300"/>
        </w:trPr>
        <w:tc>
          <w:tcPr>
            <w:tcW w:w="826" w:type="dxa"/>
            <w:tcBorders>
              <w:top w:val="nil"/>
              <w:left w:val="single" w:sz="8" w:space="0" w:color="auto"/>
              <w:bottom w:val="single" w:sz="8" w:space="0" w:color="auto"/>
              <w:right w:val="single" w:sz="4" w:space="0" w:color="auto"/>
            </w:tcBorders>
            <w:shd w:val="clear" w:color="000000" w:fill="FFFFFF"/>
            <w:noWrap/>
            <w:vAlign w:val="center"/>
            <w:hideMark/>
          </w:tcPr>
          <w:p w14:paraId="6B98935A" w14:textId="77777777" w:rsidR="00A55202" w:rsidRPr="00A55202" w:rsidRDefault="00A55202" w:rsidP="00A55202">
            <w:pPr>
              <w:spacing w:after="0" w:line="240" w:lineRule="auto"/>
              <w:jc w:val="center"/>
              <w:rPr>
                <w:rFonts w:ascii="Calibri" w:eastAsia="Times New Roman" w:hAnsi="Calibri" w:cs="Calibri"/>
                <w:b/>
                <w:bCs/>
                <w:lang w:eastAsia="cs-CZ"/>
              </w:rPr>
            </w:pPr>
            <w:r w:rsidRPr="00A55202">
              <w:rPr>
                <w:rFonts w:ascii="Calibri" w:eastAsia="Times New Roman" w:hAnsi="Calibri" w:cs="Calibri"/>
                <w:b/>
                <w:bCs/>
                <w:lang w:eastAsia="cs-CZ"/>
              </w:rPr>
              <w:t> </w:t>
            </w:r>
          </w:p>
        </w:tc>
        <w:tc>
          <w:tcPr>
            <w:tcW w:w="4672" w:type="dxa"/>
            <w:tcBorders>
              <w:top w:val="nil"/>
              <w:left w:val="nil"/>
              <w:bottom w:val="single" w:sz="8" w:space="0" w:color="auto"/>
              <w:right w:val="single" w:sz="4" w:space="0" w:color="auto"/>
            </w:tcBorders>
            <w:shd w:val="clear" w:color="000000" w:fill="FFFFFF"/>
            <w:noWrap/>
            <w:vAlign w:val="bottom"/>
            <w:hideMark/>
          </w:tcPr>
          <w:p w14:paraId="5759C194" w14:textId="77777777" w:rsidR="00A55202" w:rsidRPr="00A55202" w:rsidRDefault="00A55202" w:rsidP="00A55202">
            <w:pPr>
              <w:spacing w:after="0" w:line="240" w:lineRule="auto"/>
              <w:rPr>
                <w:rFonts w:ascii="Calibri" w:eastAsia="Times New Roman" w:hAnsi="Calibri" w:cs="Calibri"/>
                <w:b/>
                <w:bCs/>
                <w:lang w:eastAsia="cs-CZ"/>
              </w:rPr>
            </w:pPr>
            <w:r w:rsidRPr="00A55202">
              <w:rPr>
                <w:rFonts w:ascii="Calibri" w:eastAsia="Times New Roman" w:hAnsi="Calibri" w:cs="Calibri"/>
                <w:b/>
                <w:bCs/>
                <w:lang w:eastAsia="cs-CZ"/>
              </w:rPr>
              <w:t>Celkem</w:t>
            </w:r>
          </w:p>
        </w:tc>
        <w:tc>
          <w:tcPr>
            <w:tcW w:w="1264" w:type="dxa"/>
            <w:tcBorders>
              <w:top w:val="nil"/>
              <w:left w:val="nil"/>
              <w:bottom w:val="single" w:sz="8" w:space="0" w:color="auto"/>
              <w:right w:val="single" w:sz="4" w:space="0" w:color="auto"/>
            </w:tcBorders>
            <w:shd w:val="clear" w:color="000000" w:fill="FFFFFF"/>
            <w:noWrap/>
            <w:vAlign w:val="bottom"/>
            <w:hideMark/>
          </w:tcPr>
          <w:p w14:paraId="29643B89" w14:textId="77777777" w:rsidR="00A55202" w:rsidRPr="00A55202" w:rsidRDefault="00A55202" w:rsidP="00A55202">
            <w:pPr>
              <w:spacing w:after="0" w:line="240" w:lineRule="auto"/>
              <w:jc w:val="right"/>
              <w:rPr>
                <w:rFonts w:ascii="Calibri" w:eastAsia="Times New Roman" w:hAnsi="Calibri" w:cs="Calibri"/>
                <w:b/>
                <w:bCs/>
                <w:sz w:val="20"/>
                <w:szCs w:val="20"/>
                <w:lang w:eastAsia="cs-CZ"/>
              </w:rPr>
            </w:pPr>
            <w:r w:rsidRPr="00A55202">
              <w:rPr>
                <w:rFonts w:ascii="Calibri" w:eastAsia="Times New Roman" w:hAnsi="Calibri" w:cs="Calibri"/>
                <w:b/>
                <w:bCs/>
                <w:sz w:val="20"/>
                <w:szCs w:val="20"/>
                <w:lang w:eastAsia="cs-CZ"/>
              </w:rPr>
              <w:t>0</w:t>
            </w:r>
          </w:p>
        </w:tc>
        <w:tc>
          <w:tcPr>
            <w:tcW w:w="1602" w:type="dxa"/>
            <w:tcBorders>
              <w:top w:val="nil"/>
              <w:left w:val="nil"/>
              <w:bottom w:val="single" w:sz="8" w:space="0" w:color="auto"/>
              <w:right w:val="single" w:sz="4" w:space="0" w:color="auto"/>
            </w:tcBorders>
            <w:shd w:val="clear" w:color="000000" w:fill="FFFFFF"/>
            <w:noWrap/>
            <w:vAlign w:val="bottom"/>
            <w:hideMark/>
          </w:tcPr>
          <w:p w14:paraId="054CB869" w14:textId="77777777" w:rsidR="00A55202" w:rsidRPr="00A55202" w:rsidRDefault="00A55202" w:rsidP="00A55202">
            <w:pPr>
              <w:spacing w:after="0" w:line="240" w:lineRule="auto"/>
              <w:jc w:val="right"/>
              <w:rPr>
                <w:rFonts w:ascii="Calibri" w:eastAsia="Times New Roman" w:hAnsi="Calibri" w:cs="Calibri"/>
                <w:b/>
                <w:bCs/>
                <w:lang w:eastAsia="cs-CZ"/>
              </w:rPr>
            </w:pPr>
            <w:r w:rsidRPr="00A55202">
              <w:rPr>
                <w:rFonts w:ascii="Calibri" w:eastAsia="Times New Roman" w:hAnsi="Calibri" w:cs="Calibri"/>
                <w:b/>
                <w:bCs/>
                <w:lang w:eastAsia="cs-CZ"/>
              </w:rPr>
              <w:t>67 202 271,93</w:t>
            </w:r>
          </w:p>
        </w:tc>
        <w:tc>
          <w:tcPr>
            <w:tcW w:w="1701" w:type="dxa"/>
            <w:tcBorders>
              <w:top w:val="nil"/>
              <w:left w:val="nil"/>
              <w:bottom w:val="single" w:sz="8" w:space="0" w:color="auto"/>
              <w:right w:val="single" w:sz="4" w:space="0" w:color="auto"/>
            </w:tcBorders>
            <w:shd w:val="clear" w:color="000000" w:fill="FFFFFF"/>
            <w:noWrap/>
            <w:vAlign w:val="bottom"/>
            <w:hideMark/>
          </w:tcPr>
          <w:p w14:paraId="6B4B4C1D" w14:textId="77777777" w:rsidR="00A55202" w:rsidRPr="00A55202" w:rsidRDefault="00A55202" w:rsidP="00A55202">
            <w:pPr>
              <w:spacing w:after="0" w:line="240" w:lineRule="auto"/>
              <w:jc w:val="right"/>
              <w:rPr>
                <w:rFonts w:ascii="Calibri" w:eastAsia="Times New Roman" w:hAnsi="Calibri" w:cs="Calibri"/>
                <w:b/>
                <w:bCs/>
                <w:lang w:eastAsia="cs-CZ"/>
              </w:rPr>
            </w:pPr>
            <w:r w:rsidRPr="00A55202">
              <w:rPr>
                <w:rFonts w:ascii="Calibri" w:eastAsia="Times New Roman" w:hAnsi="Calibri" w:cs="Calibri"/>
                <w:b/>
                <w:bCs/>
                <w:lang w:eastAsia="cs-CZ"/>
              </w:rPr>
              <w:t>67 202 271,93</w:t>
            </w:r>
          </w:p>
        </w:tc>
        <w:tc>
          <w:tcPr>
            <w:tcW w:w="647" w:type="dxa"/>
            <w:tcBorders>
              <w:top w:val="nil"/>
              <w:left w:val="nil"/>
              <w:bottom w:val="single" w:sz="8" w:space="0" w:color="auto"/>
              <w:right w:val="single" w:sz="8" w:space="0" w:color="auto"/>
            </w:tcBorders>
            <w:shd w:val="clear" w:color="000000" w:fill="FFFFFF"/>
            <w:noWrap/>
            <w:vAlign w:val="bottom"/>
            <w:hideMark/>
          </w:tcPr>
          <w:p w14:paraId="42B3E8AD" w14:textId="77777777" w:rsidR="00A55202" w:rsidRPr="00A55202" w:rsidRDefault="00A55202" w:rsidP="00A55202">
            <w:pPr>
              <w:spacing w:after="0" w:line="240" w:lineRule="auto"/>
              <w:jc w:val="right"/>
              <w:rPr>
                <w:rFonts w:ascii="Calibri" w:eastAsia="Times New Roman" w:hAnsi="Calibri" w:cs="Calibri"/>
                <w:b/>
                <w:bCs/>
                <w:sz w:val="20"/>
                <w:szCs w:val="20"/>
                <w:lang w:eastAsia="cs-CZ"/>
              </w:rPr>
            </w:pPr>
            <w:r w:rsidRPr="00A55202">
              <w:rPr>
                <w:rFonts w:ascii="Calibri" w:eastAsia="Times New Roman" w:hAnsi="Calibri" w:cs="Calibri"/>
                <w:b/>
                <w:bCs/>
                <w:sz w:val="20"/>
                <w:szCs w:val="20"/>
                <w:lang w:eastAsia="cs-CZ"/>
              </w:rPr>
              <w:t>100,0</w:t>
            </w:r>
          </w:p>
        </w:tc>
      </w:tr>
      <w:tr w:rsidR="008E0636" w:rsidRPr="00A55202" w14:paraId="2E6112D9" w14:textId="77777777" w:rsidTr="008E0636">
        <w:trPr>
          <w:trHeight w:val="300"/>
        </w:trPr>
        <w:tc>
          <w:tcPr>
            <w:tcW w:w="826" w:type="dxa"/>
            <w:tcBorders>
              <w:top w:val="nil"/>
              <w:left w:val="nil"/>
              <w:bottom w:val="nil"/>
              <w:right w:val="nil"/>
            </w:tcBorders>
            <w:shd w:val="clear" w:color="000000" w:fill="FFFFFF"/>
            <w:noWrap/>
            <w:vAlign w:val="center"/>
            <w:hideMark/>
          </w:tcPr>
          <w:p w14:paraId="008F659E" w14:textId="77777777" w:rsidR="00A55202" w:rsidRPr="00A55202" w:rsidRDefault="00A55202" w:rsidP="00A55202">
            <w:pPr>
              <w:spacing w:after="0" w:line="240" w:lineRule="auto"/>
              <w:jc w:val="center"/>
              <w:rPr>
                <w:rFonts w:ascii="Calibri" w:eastAsia="Times New Roman" w:hAnsi="Calibri" w:cs="Calibri"/>
                <w:b/>
                <w:bCs/>
                <w:lang w:eastAsia="cs-CZ"/>
              </w:rPr>
            </w:pPr>
            <w:r w:rsidRPr="00A55202">
              <w:rPr>
                <w:rFonts w:ascii="Calibri" w:eastAsia="Times New Roman" w:hAnsi="Calibri" w:cs="Calibri"/>
                <w:b/>
                <w:bCs/>
                <w:lang w:eastAsia="cs-CZ"/>
              </w:rPr>
              <w:t> </w:t>
            </w:r>
          </w:p>
        </w:tc>
        <w:tc>
          <w:tcPr>
            <w:tcW w:w="4672" w:type="dxa"/>
            <w:tcBorders>
              <w:top w:val="nil"/>
              <w:left w:val="nil"/>
              <w:bottom w:val="nil"/>
              <w:right w:val="nil"/>
            </w:tcBorders>
            <w:shd w:val="clear" w:color="000000" w:fill="FFFFFF"/>
            <w:noWrap/>
            <w:vAlign w:val="bottom"/>
            <w:hideMark/>
          </w:tcPr>
          <w:p w14:paraId="183A0E6E"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c>
          <w:tcPr>
            <w:tcW w:w="1264" w:type="dxa"/>
            <w:tcBorders>
              <w:top w:val="nil"/>
              <w:left w:val="nil"/>
              <w:bottom w:val="nil"/>
              <w:right w:val="nil"/>
            </w:tcBorders>
            <w:shd w:val="clear" w:color="000000" w:fill="FFFFFF"/>
            <w:noWrap/>
            <w:vAlign w:val="bottom"/>
            <w:hideMark/>
          </w:tcPr>
          <w:p w14:paraId="06485600"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c>
          <w:tcPr>
            <w:tcW w:w="1602" w:type="dxa"/>
            <w:tcBorders>
              <w:top w:val="nil"/>
              <w:left w:val="nil"/>
              <w:bottom w:val="nil"/>
              <w:right w:val="nil"/>
            </w:tcBorders>
            <w:shd w:val="clear" w:color="000000" w:fill="FFFFFF"/>
            <w:noWrap/>
            <w:vAlign w:val="bottom"/>
            <w:hideMark/>
          </w:tcPr>
          <w:p w14:paraId="2017FA48"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c>
          <w:tcPr>
            <w:tcW w:w="1701" w:type="dxa"/>
            <w:tcBorders>
              <w:top w:val="nil"/>
              <w:left w:val="nil"/>
              <w:bottom w:val="nil"/>
              <w:right w:val="nil"/>
            </w:tcBorders>
            <w:shd w:val="clear" w:color="000000" w:fill="FFFFFF"/>
            <w:noWrap/>
            <w:vAlign w:val="bottom"/>
            <w:hideMark/>
          </w:tcPr>
          <w:p w14:paraId="52E967CC" w14:textId="77777777" w:rsidR="00A55202" w:rsidRPr="00A55202" w:rsidRDefault="00A55202" w:rsidP="00A55202">
            <w:pPr>
              <w:spacing w:after="0" w:line="240" w:lineRule="auto"/>
              <w:rPr>
                <w:rFonts w:ascii="Calibri" w:eastAsia="Times New Roman" w:hAnsi="Calibri" w:cs="Calibri"/>
                <w:b/>
                <w:bCs/>
                <w:sz w:val="20"/>
                <w:szCs w:val="20"/>
                <w:lang w:eastAsia="cs-CZ"/>
              </w:rPr>
            </w:pPr>
            <w:r w:rsidRPr="00A55202">
              <w:rPr>
                <w:rFonts w:ascii="Calibri" w:eastAsia="Times New Roman" w:hAnsi="Calibri" w:cs="Calibri"/>
                <w:b/>
                <w:bCs/>
                <w:sz w:val="20"/>
                <w:szCs w:val="20"/>
                <w:lang w:eastAsia="cs-CZ"/>
              </w:rPr>
              <w:t> </w:t>
            </w:r>
          </w:p>
        </w:tc>
        <w:tc>
          <w:tcPr>
            <w:tcW w:w="647" w:type="dxa"/>
            <w:tcBorders>
              <w:top w:val="nil"/>
              <w:left w:val="nil"/>
              <w:bottom w:val="nil"/>
              <w:right w:val="nil"/>
            </w:tcBorders>
            <w:shd w:val="clear" w:color="000000" w:fill="FFFFFF"/>
            <w:noWrap/>
            <w:vAlign w:val="bottom"/>
            <w:hideMark/>
          </w:tcPr>
          <w:p w14:paraId="5F3FD1D0"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r>
      <w:tr w:rsidR="00A55202" w:rsidRPr="00A55202" w14:paraId="2E6B1769" w14:textId="77777777" w:rsidTr="008E0636">
        <w:trPr>
          <w:trHeight w:val="315"/>
        </w:trPr>
        <w:tc>
          <w:tcPr>
            <w:tcW w:w="826" w:type="dxa"/>
            <w:tcBorders>
              <w:top w:val="nil"/>
              <w:left w:val="nil"/>
              <w:bottom w:val="nil"/>
              <w:right w:val="nil"/>
            </w:tcBorders>
            <w:shd w:val="clear" w:color="000000" w:fill="FFFFFF"/>
            <w:noWrap/>
            <w:vAlign w:val="center"/>
            <w:hideMark/>
          </w:tcPr>
          <w:p w14:paraId="5D1CD317" w14:textId="77777777" w:rsidR="00A55202" w:rsidRPr="00A55202" w:rsidRDefault="00A55202" w:rsidP="00A55202">
            <w:pPr>
              <w:spacing w:after="0" w:line="240" w:lineRule="auto"/>
              <w:jc w:val="center"/>
              <w:rPr>
                <w:rFonts w:ascii="Calibri" w:eastAsia="Times New Roman" w:hAnsi="Calibri" w:cs="Calibri"/>
                <w:b/>
                <w:bCs/>
                <w:lang w:eastAsia="cs-CZ"/>
              </w:rPr>
            </w:pPr>
            <w:r w:rsidRPr="00A55202">
              <w:rPr>
                <w:rFonts w:ascii="Calibri" w:eastAsia="Times New Roman" w:hAnsi="Calibri" w:cs="Calibri"/>
                <w:b/>
                <w:bCs/>
                <w:lang w:eastAsia="cs-CZ"/>
              </w:rPr>
              <w:t> </w:t>
            </w:r>
          </w:p>
        </w:tc>
        <w:tc>
          <w:tcPr>
            <w:tcW w:w="9886" w:type="dxa"/>
            <w:gridSpan w:val="5"/>
            <w:tcBorders>
              <w:top w:val="nil"/>
              <w:left w:val="nil"/>
              <w:bottom w:val="nil"/>
              <w:right w:val="nil"/>
            </w:tcBorders>
            <w:shd w:val="clear" w:color="000000" w:fill="FFFFFF"/>
            <w:vAlign w:val="bottom"/>
            <w:hideMark/>
          </w:tcPr>
          <w:p w14:paraId="35DB0567" w14:textId="14239BC4" w:rsidR="00A55202" w:rsidRPr="00A55202" w:rsidRDefault="00A55202" w:rsidP="00A55202">
            <w:pPr>
              <w:spacing w:after="0" w:line="240" w:lineRule="auto"/>
              <w:rPr>
                <w:rFonts w:ascii="Calibri" w:eastAsia="Times New Roman" w:hAnsi="Calibri" w:cs="Calibri"/>
                <w:b/>
                <w:bCs/>
                <w:lang w:eastAsia="cs-CZ"/>
              </w:rPr>
            </w:pPr>
            <w:r w:rsidRPr="00A55202">
              <w:rPr>
                <w:rFonts w:ascii="Calibri" w:eastAsia="Times New Roman" w:hAnsi="Calibri" w:cs="Calibri"/>
                <w:b/>
                <w:bCs/>
                <w:lang w:eastAsia="cs-CZ"/>
              </w:rPr>
              <w:t>Předfinancování a kofi</w:t>
            </w:r>
            <w:r w:rsidR="008E0636">
              <w:rPr>
                <w:rFonts w:ascii="Calibri" w:eastAsia="Times New Roman" w:hAnsi="Calibri" w:cs="Calibri"/>
                <w:b/>
                <w:bCs/>
                <w:lang w:eastAsia="cs-CZ"/>
              </w:rPr>
              <w:t>nancování</w:t>
            </w:r>
            <w:r w:rsidRPr="00A55202">
              <w:rPr>
                <w:rFonts w:ascii="Calibri" w:eastAsia="Times New Roman" w:hAnsi="Calibri" w:cs="Calibri"/>
                <w:b/>
                <w:bCs/>
                <w:lang w:eastAsia="cs-CZ"/>
              </w:rPr>
              <w:t xml:space="preserve"> projektů spolufinancovaných z národních zdrojů a ostatní související výdaje s projekty z</w:t>
            </w:r>
            <w:r w:rsidR="008E0636">
              <w:rPr>
                <w:rFonts w:ascii="Calibri" w:eastAsia="Times New Roman" w:hAnsi="Calibri" w:cs="Calibri"/>
                <w:b/>
                <w:bCs/>
                <w:lang w:eastAsia="cs-CZ"/>
              </w:rPr>
              <w:t> národních zdrojů</w:t>
            </w:r>
          </w:p>
        </w:tc>
      </w:tr>
      <w:tr w:rsidR="008E0636" w:rsidRPr="00A55202" w14:paraId="448007BE" w14:textId="77777777" w:rsidTr="008E0636">
        <w:trPr>
          <w:trHeight w:val="300"/>
        </w:trPr>
        <w:tc>
          <w:tcPr>
            <w:tcW w:w="826"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5D6DEC90"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3314</w:t>
            </w:r>
          </w:p>
        </w:tc>
        <w:tc>
          <w:tcPr>
            <w:tcW w:w="4672" w:type="dxa"/>
            <w:tcBorders>
              <w:top w:val="single" w:sz="8" w:space="0" w:color="auto"/>
              <w:left w:val="nil"/>
              <w:bottom w:val="single" w:sz="4" w:space="0" w:color="auto"/>
              <w:right w:val="single" w:sz="4" w:space="0" w:color="auto"/>
            </w:tcBorders>
            <w:shd w:val="clear" w:color="000000" w:fill="FFFFFF"/>
            <w:vAlign w:val="bottom"/>
            <w:hideMark/>
          </w:tcPr>
          <w:p w14:paraId="5D192CD9"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Činnosti knihovnické</w:t>
            </w:r>
          </w:p>
        </w:tc>
        <w:tc>
          <w:tcPr>
            <w:tcW w:w="1264" w:type="dxa"/>
            <w:tcBorders>
              <w:top w:val="single" w:sz="8" w:space="0" w:color="auto"/>
              <w:left w:val="nil"/>
              <w:bottom w:val="single" w:sz="4" w:space="0" w:color="auto"/>
              <w:right w:val="single" w:sz="4" w:space="0" w:color="auto"/>
            </w:tcBorders>
            <w:shd w:val="clear" w:color="000000" w:fill="FFFFFF"/>
            <w:vAlign w:val="bottom"/>
            <w:hideMark/>
          </w:tcPr>
          <w:p w14:paraId="29DA6730"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0</w:t>
            </w:r>
          </w:p>
        </w:tc>
        <w:tc>
          <w:tcPr>
            <w:tcW w:w="1602" w:type="dxa"/>
            <w:tcBorders>
              <w:top w:val="single" w:sz="8" w:space="0" w:color="auto"/>
              <w:left w:val="nil"/>
              <w:bottom w:val="single" w:sz="4" w:space="0" w:color="auto"/>
              <w:right w:val="single" w:sz="4" w:space="0" w:color="auto"/>
            </w:tcBorders>
            <w:shd w:val="clear" w:color="000000" w:fill="FFFFFF"/>
            <w:noWrap/>
            <w:vAlign w:val="bottom"/>
            <w:hideMark/>
          </w:tcPr>
          <w:p w14:paraId="3AB5548F"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1 423 710,00</w:t>
            </w:r>
          </w:p>
        </w:tc>
        <w:tc>
          <w:tcPr>
            <w:tcW w:w="1701" w:type="dxa"/>
            <w:tcBorders>
              <w:top w:val="single" w:sz="8" w:space="0" w:color="auto"/>
              <w:left w:val="nil"/>
              <w:bottom w:val="single" w:sz="4" w:space="0" w:color="auto"/>
              <w:right w:val="single" w:sz="4" w:space="0" w:color="auto"/>
            </w:tcBorders>
            <w:shd w:val="clear" w:color="000000" w:fill="FFFFFF"/>
            <w:noWrap/>
            <w:vAlign w:val="bottom"/>
            <w:hideMark/>
          </w:tcPr>
          <w:p w14:paraId="5979CDA9"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1 140 480,00</w:t>
            </w:r>
          </w:p>
        </w:tc>
        <w:tc>
          <w:tcPr>
            <w:tcW w:w="647" w:type="dxa"/>
            <w:tcBorders>
              <w:top w:val="single" w:sz="8" w:space="0" w:color="auto"/>
              <w:left w:val="nil"/>
              <w:bottom w:val="single" w:sz="4" w:space="0" w:color="auto"/>
              <w:right w:val="single" w:sz="8" w:space="0" w:color="auto"/>
            </w:tcBorders>
            <w:shd w:val="clear" w:color="000000" w:fill="FFFFFF"/>
            <w:vAlign w:val="bottom"/>
            <w:hideMark/>
          </w:tcPr>
          <w:p w14:paraId="30D3B2D3"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80,1</w:t>
            </w:r>
          </w:p>
        </w:tc>
      </w:tr>
      <w:tr w:rsidR="008E0636" w:rsidRPr="00A55202" w14:paraId="433BBE32" w14:textId="77777777" w:rsidTr="008E0636">
        <w:trPr>
          <w:trHeight w:val="300"/>
        </w:trPr>
        <w:tc>
          <w:tcPr>
            <w:tcW w:w="826" w:type="dxa"/>
            <w:tcBorders>
              <w:top w:val="nil"/>
              <w:left w:val="single" w:sz="8" w:space="0" w:color="auto"/>
              <w:bottom w:val="nil"/>
              <w:right w:val="single" w:sz="4" w:space="0" w:color="auto"/>
            </w:tcBorders>
            <w:shd w:val="clear" w:color="000000" w:fill="FFFFFF"/>
            <w:noWrap/>
            <w:vAlign w:val="center"/>
            <w:hideMark/>
          </w:tcPr>
          <w:p w14:paraId="7EB5DB9C"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3315</w:t>
            </w:r>
          </w:p>
        </w:tc>
        <w:tc>
          <w:tcPr>
            <w:tcW w:w="4672" w:type="dxa"/>
            <w:tcBorders>
              <w:top w:val="nil"/>
              <w:left w:val="nil"/>
              <w:bottom w:val="nil"/>
              <w:right w:val="single" w:sz="4" w:space="0" w:color="auto"/>
            </w:tcBorders>
            <w:shd w:val="clear" w:color="000000" w:fill="FFFFFF"/>
            <w:vAlign w:val="bottom"/>
            <w:hideMark/>
          </w:tcPr>
          <w:p w14:paraId="21B6FCD7"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Činnosti muzeí a galerií</w:t>
            </w:r>
          </w:p>
        </w:tc>
        <w:tc>
          <w:tcPr>
            <w:tcW w:w="1264" w:type="dxa"/>
            <w:tcBorders>
              <w:top w:val="nil"/>
              <w:left w:val="nil"/>
              <w:bottom w:val="nil"/>
              <w:right w:val="single" w:sz="4" w:space="0" w:color="auto"/>
            </w:tcBorders>
            <w:shd w:val="clear" w:color="000000" w:fill="FFFFFF"/>
            <w:noWrap/>
            <w:vAlign w:val="bottom"/>
            <w:hideMark/>
          </w:tcPr>
          <w:p w14:paraId="040E7FAD"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0</w:t>
            </w:r>
          </w:p>
        </w:tc>
        <w:tc>
          <w:tcPr>
            <w:tcW w:w="1602" w:type="dxa"/>
            <w:tcBorders>
              <w:top w:val="nil"/>
              <w:left w:val="nil"/>
              <w:bottom w:val="nil"/>
              <w:right w:val="single" w:sz="4" w:space="0" w:color="auto"/>
            </w:tcBorders>
            <w:shd w:val="clear" w:color="000000" w:fill="FFFFFF"/>
            <w:noWrap/>
            <w:vAlign w:val="bottom"/>
            <w:hideMark/>
          </w:tcPr>
          <w:p w14:paraId="3B44D2D6"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7 748 223,61</w:t>
            </w:r>
          </w:p>
        </w:tc>
        <w:tc>
          <w:tcPr>
            <w:tcW w:w="1701" w:type="dxa"/>
            <w:tcBorders>
              <w:top w:val="nil"/>
              <w:left w:val="nil"/>
              <w:bottom w:val="nil"/>
              <w:right w:val="single" w:sz="4" w:space="0" w:color="auto"/>
            </w:tcBorders>
            <w:shd w:val="clear" w:color="000000" w:fill="FFFFFF"/>
            <w:noWrap/>
            <w:vAlign w:val="bottom"/>
            <w:hideMark/>
          </w:tcPr>
          <w:p w14:paraId="5A591E0D"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7 748 223,61</w:t>
            </w:r>
          </w:p>
        </w:tc>
        <w:tc>
          <w:tcPr>
            <w:tcW w:w="647" w:type="dxa"/>
            <w:tcBorders>
              <w:top w:val="nil"/>
              <w:left w:val="nil"/>
              <w:bottom w:val="nil"/>
              <w:right w:val="single" w:sz="8" w:space="0" w:color="auto"/>
            </w:tcBorders>
            <w:shd w:val="clear" w:color="000000" w:fill="FFFFFF"/>
            <w:vAlign w:val="bottom"/>
            <w:hideMark/>
          </w:tcPr>
          <w:p w14:paraId="27E2CF69"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100,0</w:t>
            </w:r>
          </w:p>
        </w:tc>
      </w:tr>
      <w:tr w:rsidR="008E0636" w:rsidRPr="00A55202" w14:paraId="6052930A" w14:textId="77777777" w:rsidTr="008E0636">
        <w:trPr>
          <w:trHeight w:val="300"/>
        </w:trPr>
        <w:tc>
          <w:tcPr>
            <w:tcW w:w="826" w:type="dxa"/>
            <w:tcBorders>
              <w:top w:val="single" w:sz="8" w:space="0" w:color="auto"/>
              <w:left w:val="single" w:sz="8" w:space="0" w:color="auto"/>
              <w:bottom w:val="single" w:sz="8" w:space="0" w:color="auto"/>
              <w:right w:val="single" w:sz="4" w:space="0" w:color="auto"/>
            </w:tcBorders>
            <w:shd w:val="clear" w:color="000000" w:fill="FFFFFF"/>
            <w:noWrap/>
            <w:vAlign w:val="bottom"/>
            <w:hideMark/>
          </w:tcPr>
          <w:p w14:paraId="65FC4FD7"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c>
          <w:tcPr>
            <w:tcW w:w="4672" w:type="dxa"/>
            <w:tcBorders>
              <w:top w:val="single" w:sz="8" w:space="0" w:color="auto"/>
              <w:left w:val="nil"/>
              <w:bottom w:val="single" w:sz="8" w:space="0" w:color="auto"/>
              <w:right w:val="single" w:sz="4" w:space="0" w:color="auto"/>
            </w:tcBorders>
            <w:shd w:val="clear" w:color="000000" w:fill="FFFFFF"/>
            <w:noWrap/>
            <w:vAlign w:val="bottom"/>
            <w:hideMark/>
          </w:tcPr>
          <w:p w14:paraId="1B8FD67B" w14:textId="77777777" w:rsidR="00A55202" w:rsidRPr="00A55202" w:rsidRDefault="00A55202" w:rsidP="00A55202">
            <w:pPr>
              <w:spacing w:after="0" w:line="240" w:lineRule="auto"/>
              <w:rPr>
                <w:rFonts w:ascii="Calibri" w:eastAsia="Times New Roman" w:hAnsi="Calibri" w:cs="Calibri"/>
                <w:b/>
                <w:bCs/>
                <w:lang w:eastAsia="cs-CZ"/>
              </w:rPr>
            </w:pPr>
            <w:r w:rsidRPr="00A55202">
              <w:rPr>
                <w:rFonts w:ascii="Calibri" w:eastAsia="Times New Roman" w:hAnsi="Calibri" w:cs="Calibri"/>
                <w:b/>
                <w:bCs/>
                <w:lang w:eastAsia="cs-CZ"/>
              </w:rPr>
              <w:t>Celkem</w:t>
            </w:r>
          </w:p>
        </w:tc>
        <w:tc>
          <w:tcPr>
            <w:tcW w:w="1264" w:type="dxa"/>
            <w:tcBorders>
              <w:top w:val="single" w:sz="8" w:space="0" w:color="auto"/>
              <w:left w:val="nil"/>
              <w:bottom w:val="single" w:sz="8" w:space="0" w:color="auto"/>
              <w:right w:val="single" w:sz="4" w:space="0" w:color="auto"/>
            </w:tcBorders>
            <w:shd w:val="clear" w:color="000000" w:fill="FFFFFF"/>
            <w:noWrap/>
            <w:vAlign w:val="bottom"/>
            <w:hideMark/>
          </w:tcPr>
          <w:p w14:paraId="7823EB52" w14:textId="77777777" w:rsidR="00A55202" w:rsidRPr="00A55202" w:rsidRDefault="00A55202" w:rsidP="00A55202">
            <w:pPr>
              <w:spacing w:after="0" w:line="240" w:lineRule="auto"/>
              <w:jc w:val="right"/>
              <w:rPr>
                <w:rFonts w:ascii="Calibri" w:eastAsia="Times New Roman" w:hAnsi="Calibri" w:cs="Calibri"/>
                <w:b/>
                <w:bCs/>
                <w:lang w:eastAsia="cs-CZ"/>
              </w:rPr>
            </w:pPr>
            <w:r w:rsidRPr="00A55202">
              <w:rPr>
                <w:rFonts w:ascii="Calibri" w:eastAsia="Times New Roman" w:hAnsi="Calibri" w:cs="Calibri"/>
                <w:b/>
                <w:bCs/>
                <w:lang w:eastAsia="cs-CZ"/>
              </w:rPr>
              <w:t>0</w:t>
            </w:r>
          </w:p>
        </w:tc>
        <w:tc>
          <w:tcPr>
            <w:tcW w:w="1602" w:type="dxa"/>
            <w:tcBorders>
              <w:top w:val="single" w:sz="8" w:space="0" w:color="auto"/>
              <w:left w:val="nil"/>
              <w:bottom w:val="single" w:sz="8" w:space="0" w:color="auto"/>
              <w:right w:val="single" w:sz="4" w:space="0" w:color="auto"/>
            </w:tcBorders>
            <w:shd w:val="clear" w:color="000000" w:fill="FFFFFF"/>
            <w:noWrap/>
            <w:vAlign w:val="bottom"/>
            <w:hideMark/>
          </w:tcPr>
          <w:p w14:paraId="1507A34D" w14:textId="77777777" w:rsidR="00A55202" w:rsidRPr="00A55202" w:rsidRDefault="00A55202" w:rsidP="00A55202">
            <w:pPr>
              <w:spacing w:after="0" w:line="240" w:lineRule="auto"/>
              <w:jc w:val="right"/>
              <w:rPr>
                <w:rFonts w:ascii="Calibri" w:eastAsia="Times New Roman" w:hAnsi="Calibri" w:cs="Calibri"/>
                <w:b/>
                <w:bCs/>
                <w:lang w:eastAsia="cs-CZ"/>
              </w:rPr>
            </w:pPr>
            <w:r w:rsidRPr="00A55202">
              <w:rPr>
                <w:rFonts w:ascii="Calibri" w:eastAsia="Times New Roman" w:hAnsi="Calibri" w:cs="Calibri"/>
                <w:b/>
                <w:bCs/>
                <w:lang w:eastAsia="cs-CZ"/>
              </w:rPr>
              <w:t>9 171 933,61</w:t>
            </w:r>
          </w:p>
        </w:tc>
        <w:tc>
          <w:tcPr>
            <w:tcW w:w="1701" w:type="dxa"/>
            <w:tcBorders>
              <w:top w:val="single" w:sz="8" w:space="0" w:color="auto"/>
              <w:left w:val="nil"/>
              <w:bottom w:val="single" w:sz="8" w:space="0" w:color="auto"/>
              <w:right w:val="single" w:sz="4" w:space="0" w:color="auto"/>
            </w:tcBorders>
            <w:shd w:val="clear" w:color="000000" w:fill="FFFFFF"/>
            <w:noWrap/>
            <w:vAlign w:val="bottom"/>
            <w:hideMark/>
          </w:tcPr>
          <w:p w14:paraId="611073D9" w14:textId="77777777" w:rsidR="00A55202" w:rsidRPr="00A55202" w:rsidRDefault="00A55202" w:rsidP="00A55202">
            <w:pPr>
              <w:spacing w:after="0" w:line="240" w:lineRule="auto"/>
              <w:jc w:val="right"/>
              <w:rPr>
                <w:rFonts w:ascii="Calibri" w:eastAsia="Times New Roman" w:hAnsi="Calibri" w:cs="Calibri"/>
                <w:b/>
                <w:bCs/>
                <w:lang w:eastAsia="cs-CZ"/>
              </w:rPr>
            </w:pPr>
            <w:r w:rsidRPr="00A55202">
              <w:rPr>
                <w:rFonts w:ascii="Calibri" w:eastAsia="Times New Roman" w:hAnsi="Calibri" w:cs="Calibri"/>
                <w:b/>
                <w:bCs/>
                <w:lang w:eastAsia="cs-CZ"/>
              </w:rPr>
              <w:t>8 888 703,61</w:t>
            </w:r>
          </w:p>
        </w:tc>
        <w:tc>
          <w:tcPr>
            <w:tcW w:w="647" w:type="dxa"/>
            <w:tcBorders>
              <w:top w:val="single" w:sz="8" w:space="0" w:color="auto"/>
              <w:left w:val="nil"/>
              <w:bottom w:val="single" w:sz="8" w:space="0" w:color="auto"/>
              <w:right w:val="single" w:sz="8" w:space="0" w:color="auto"/>
            </w:tcBorders>
            <w:shd w:val="clear" w:color="000000" w:fill="FFFFFF"/>
            <w:noWrap/>
            <w:vAlign w:val="bottom"/>
            <w:hideMark/>
          </w:tcPr>
          <w:p w14:paraId="4F39327C" w14:textId="77777777" w:rsidR="00A55202" w:rsidRPr="00A55202" w:rsidRDefault="00A55202" w:rsidP="00A55202">
            <w:pPr>
              <w:spacing w:after="0" w:line="240" w:lineRule="auto"/>
              <w:jc w:val="right"/>
              <w:rPr>
                <w:rFonts w:ascii="Calibri" w:eastAsia="Times New Roman" w:hAnsi="Calibri" w:cs="Calibri"/>
                <w:b/>
                <w:bCs/>
                <w:lang w:eastAsia="cs-CZ"/>
              </w:rPr>
            </w:pPr>
            <w:r w:rsidRPr="00A55202">
              <w:rPr>
                <w:rFonts w:ascii="Calibri" w:eastAsia="Times New Roman" w:hAnsi="Calibri" w:cs="Calibri"/>
                <w:b/>
                <w:bCs/>
                <w:lang w:eastAsia="cs-CZ"/>
              </w:rPr>
              <w:t>96,9</w:t>
            </w:r>
          </w:p>
        </w:tc>
      </w:tr>
      <w:tr w:rsidR="008E0636" w:rsidRPr="00A55202" w14:paraId="2B9E1507" w14:textId="77777777" w:rsidTr="008E0636">
        <w:trPr>
          <w:trHeight w:val="300"/>
        </w:trPr>
        <w:tc>
          <w:tcPr>
            <w:tcW w:w="826" w:type="dxa"/>
            <w:tcBorders>
              <w:top w:val="nil"/>
              <w:left w:val="nil"/>
              <w:bottom w:val="nil"/>
              <w:right w:val="nil"/>
            </w:tcBorders>
            <w:shd w:val="clear" w:color="000000" w:fill="FFFFFF"/>
            <w:noWrap/>
            <w:vAlign w:val="bottom"/>
            <w:hideMark/>
          </w:tcPr>
          <w:p w14:paraId="5ADFD839"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c>
          <w:tcPr>
            <w:tcW w:w="4672" w:type="dxa"/>
            <w:tcBorders>
              <w:top w:val="nil"/>
              <w:left w:val="nil"/>
              <w:bottom w:val="nil"/>
              <w:right w:val="nil"/>
            </w:tcBorders>
            <w:shd w:val="clear" w:color="000000" w:fill="FFFFFF"/>
            <w:noWrap/>
            <w:vAlign w:val="bottom"/>
            <w:hideMark/>
          </w:tcPr>
          <w:p w14:paraId="5876EAA2" w14:textId="77777777" w:rsidR="00A55202" w:rsidRPr="00A55202" w:rsidRDefault="00A55202" w:rsidP="00A55202">
            <w:pPr>
              <w:spacing w:after="0" w:line="240" w:lineRule="auto"/>
              <w:rPr>
                <w:rFonts w:ascii="Calibri" w:eastAsia="Times New Roman" w:hAnsi="Calibri" w:cs="Calibri"/>
                <w:b/>
                <w:bCs/>
                <w:lang w:eastAsia="cs-CZ"/>
              </w:rPr>
            </w:pPr>
            <w:r w:rsidRPr="00A55202">
              <w:rPr>
                <w:rFonts w:ascii="Calibri" w:eastAsia="Times New Roman" w:hAnsi="Calibri" w:cs="Calibri"/>
                <w:b/>
                <w:bCs/>
                <w:lang w:eastAsia="cs-CZ"/>
              </w:rPr>
              <w:t> </w:t>
            </w:r>
          </w:p>
        </w:tc>
        <w:tc>
          <w:tcPr>
            <w:tcW w:w="1264" w:type="dxa"/>
            <w:tcBorders>
              <w:top w:val="nil"/>
              <w:left w:val="nil"/>
              <w:bottom w:val="nil"/>
              <w:right w:val="nil"/>
            </w:tcBorders>
            <w:shd w:val="clear" w:color="000000" w:fill="FFFFFF"/>
            <w:noWrap/>
            <w:vAlign w:val="bottom"/>
            <w:hideMark/>
          </w:tcPr>
          <w:p w14:paraId="65142037" w14:textId="77777777" w:rsidR="00A55202" w:rsidRPr="00A55202" w:rsidRDefault="00A55202" w:rsidP="00A55202">
            <w:pPr>
              <w:spacing w:after="0" w:line="240" w:lineRule="auto"/>
              <w:jc w:val="right"/>
              <w:rPr>
                <w:rFonts w:ascii="Calibri" w:eastAsia="Times New Roman" w:hAnsi="Calibri" w:cs="Calibri"/>
                <w:b/>
                <w:bCs/>
                <w:lang w:eastAsia="cs-CZ"/>
              </w:rPr>
            </w:pPr>
            <w:r w:rsidRPr="00A55202">
              <w:rPr>
                <w:rFonts w:ascii="Calibri" w:eastAsia="Times New Roman" w:hAnsi="Calibri" w:cs="Calibri"/>
                <w:b/>
                <w:bCs/>
                <w:lang w:eastAsia="cs-CZ"/>
              </w:rPr>
              <w:t> </w:t>
            </w:r>
          </w:p>
        </w:tc>
        <w:tc>
          <w:tcPr>
            <w:tcW w:w="1602" w:type="dxa"/>
            <w:tcBorders>
              <w:top w:val="nil"/>
              <w:left w:val="nil"/>
              <w:bottom w:val="nil"/>
              <w:right w:val="nil"/>
            </w:tcBorders>
            <w:shd w:val="clear" w:color="000000" w:fill="FFFFFF"/>
            <w:noWrap/>
            <w:vAlign w:val="bottom"/>
            <w:hideMark/>
          </w:tcPr>
          <w:p w14:paraId="5024D63D" w14:textId="77777777" w:rsidR="00A55202" w:rsidRPr="00A55202" w:rsidRDefault="00A55202" w:rsidP="00A55202">
            <w:pPr>
              <w:spacing w:after="0" w:line="240" w:lineRule="auto"/>
              <w:jc w:val="right"/>
              <w:rPr>
                <w:rFonts w:ascii="Calibri" w:eastAsia="Times New Roman" w:hAnsi="Calibri" w:cs="Calibri"/>
                <w:b/>
                <w:bCs/>
                <w:lang w:eastAsia="cs-CZ"/>
              </w:rPr>
            </w:pPr>
            <w:r w:rsidRPr="00A55202">
              <w:rPr>
                <w:rFonts w:ascii="Calibri" w:eastAsia="Times New Roman" w:hAnsi="Calibri" w:cs="Calibri"/>
                <w:b/>
                <w:bCs/>
                <w:lang w:eastAsia="cs-CZ"/>
              </w:rPr>
              <w:t> </w:t>
            </w:r>
          </w:p>
        </w:tc>
        <w:tc>
          <w:tcPr>
            <w:tcW w:w="1701" w:type="dxa"/>
            <w:tcBorders>
              <w:top w:val="nil"/>
              <w:left w:val="nil"/>
              <w:bottom w:val="nil"/>
              <w:right w:val="nil"/>
            </w:tcBorders>
            <w:shd w:val="clear" w:color="000000" w:fill="FFFFFF"/>
            <w:noWrap/>
            <w:vAlign w:val="bottom"/>
            <w:hideMark/>
          </w:tcPr>
          <w:p w14:paraId="303BD075" w14:textId="77777777" w:rsidR="00A55202" w:rsidRPr="00A55202" w:rsidRDefault="00A55202" w:rsidP="00A55202">
            <w:pPr>
              <w:spacing w:after="0" w:line="240" w:lineRule="auto"/>
              <w:jc w:val="right"/>
              <w:rPr>
                <w:rFonts w:ascii="Calibri" w:eastAsia="Times New Roman" w:hAnsi="Calibri" w:cs="Calibri"/>
                <w:b/>
                <w:bCs/>
                <w:lang w:eastAsia="cs-CZ"/>
              </w:rPr>
            </w:pPr>
            <w:r w:rsidRPr="00A55202">
              <w:rPr>
                <w:rFonts w:ascii="Calibri" w:eastAsia="Times New Roman" w:hAnsi="Calibri" w:cs="Calibri"/>
                <w:b/>
                <w:bCs/>
                <w:lang w:eastAsia="cs-CZ"/>
              </w:rPr>
              <w:t> </w:t>
            </w:r>
          </w:p>
        </w:tc>
        <w:tc>
          <w:tcPr>
            <w:tcW w:w="647" w:type="dxa"/>
            <w:tcBorders>
              <w:top w:val="nil"/>
              <w:left w:val="nil"/>
              <w:bottom w:val="nil"/>
              <w:right w:val="nil"/>
            </w:tcBorders>
            <w:shd w:val="clear" w:color="000000" w:fill="FFFFFF"/>
            <w:noWrap/>
            <w:vAlign w:val="bottom"/>
            <w:hideMark/>
          </w:tcPr>
          <w:p w14:paraId="01B8DA5F" w14:textId="77777777" w:rsidR="00A55202" w:rsidRPr="00A55202" w:rsidRDefault="00A55202" w:rsidP="00A55202">
            <w:pPr>
              <w:spacing w:after="0" w:line="240" w:lineRule="auto"/>
              <w:jc w:val="right"/>
              <w:rPr>
                <w:rFonts w:ascii="Calibri" w:eastAsia="Times New Roman" w:hAnsi="Calibri" w:cs="Calibri"/>
                <w:b/>
                <w:bCs/>
                <w:lang w:eastAsia="cs-CZ"/>
              </w:rPr>
            </w:pPr>
            <w:r w:rsidRPr="00A55202">
              <w:rPr>
                <w:rFonts w:ascii="Calibri" w:eastAsia="Times New Roman" w:hAnsi="Calibri" w:cs="Calibri"/>
                <w:b/>
                <w:bCs/>
                <w:lang w:eastAsia="cs-CZ"/>
              </w:rPr>
              <w:t> </w:t>
            </w:r>
          </w:p>
        </w:tc>
      </w:tr>
      <w:tr w:rsidR="008E0636" w:rsidRPr="00A55202" w14:paraId="56F06ABD" w14:textId="77777777" w:rsidTr="008E0636">
        <w:trPr>
          <w:trHeight w:val="300"/>
        </w:trPr>
        <w:tc>
          <w:tcPr>
            <w:tcW w:w="826" w:type="dxa"/>
            <w:tcBorders>
              <w:top w:val="nil"/>
              <w:left w:val="nil"/>
              <w:bottom w:val="nil"/>
              <w:right w:val="nil"/>
            </w:tcBorders>
            <w:shd w:val="clear" w:color="000000" w:fill="FFFFFF"/>
            <w:noWrap/>
            <w:vAlign w:val="bottom"/>
            <w:hideMark/>
          </w:tcPr>
          <w:p w14:paraId="6A996EF5"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c>
          <w:tcPr>
            <w:tcW w:w="4672" w:type="dxa"/>
            <w:tcBorders>
              <w:top w:val="nil"/>
              <w:left w:val="nil"/>
              <w:bottom w:val="nil"/>
              <w:right w:val="nil"/>
            </w:tcBorders>
            <w:shd w:val="clear" w:color="000000" w:fill="FFFFFF"/>
            <w:noWrap/>
            <w:vAlign w:val="bottom"/>
            <w:hideMark/>
          </w:tcPr>
          <w:p w14:paraId="1B428D70" w14:textId="77777777" w:rsidR="00A55202" w:rsidRPr="00A55202" w:rsidRDefault="00A55202" w:rsidP="00A55202">
            <w:pPr>
              <w:spacing w:after="0" w:line="240" w:lineRule="auto"/>
              <w:rPr>
                <w:rFonts w:ascii="Calibri" w:eastAsia="Times New Roman" w:hAnsi="Calibri" w:cs="Calibri"/>
                <w:b/>
                <w:bCs/>
                <w:lang w:eastAsia="cs-CZ"/>
              </w:rPr>
            </w:pPr>
            <w:r w:rsidRPr="00A55202">
              <w:rPr>
                <w:rFonts w:ascii="Calibri" w:eastAsia="Times New Roman" w:hAnsi="Calibri" w:cs="Calibri"/>
                <w:b/>
                <w:bCs/>
                <w:lang w:eastAsia="cs-CZ"/>
              </w:rPr>
              <w:t> </w:t>
            </w:r>
          </w:p>
        </w:tc>
        <w:tc>
          <w:tcPr>
            <w:tcW w:w="1264" w:type="dxa"/>
            <w:tcBorders>
              <w:top w:val="nil"/>
              <w:left w:val="nil"/>
              <w:bottom w:val="nil"/>
              <w:right w:val="nil"/>
            </w:tcBorders>
            <w:shd w:val="clear" w:color="000000" w:fill="FFFFFF"/>
            <w:noWrap/>
            <w:vAlign w:val="bottom"/>
            <w:hideMark/>
          </w:tcPr>
          <w:p w14:paraId="6338D2C2" w14:textId="77777777" w:rsidR="00A55202" w:rsidRPr="00A55202" w:rsidRDefault="00A55202" w:rsidP="00A55202">
            <w:pPr>
              <w:spacing w:after="0" w:line="240" w:lineRule="auto"/>
              <w:jc w:val="right"/>
              <w:rPr>
                <w:rFonts w:ascii="Calibri" w:eastAsia="Times New Roman" w:hAnsi="Calibri" w:cs="Calibri"/>
                <w:b/>
                <w:bCs/>
                <w:lang w:eastAsia="cs-CZ"/>
              </w:rPr>
            </w:pPr>
            <w:r w:rsidRPr="00A55202">
              <w:rPr>
                <w:rFonts w:ascii="Calibri" w:eastAsia="Times New Roman" w:hAnsi="Calibri" w:cs="Calibri"/>
                <w:b/>
                <w:bCs/>
                <w:lang w:eastAsia="cs-CZ"/>
              </w:rPr>
              <w:t> </w:t>
            </w:r>
          </w:p>
        </w:tc>
        <w:tc>
          <w:tcPr>
            <w:tcW w:w="1602" w:type="dxa"/>
            <w:tcBorders>
              <w:top w:val="nil"/>
              <w:left w:val="nil"/>
              <w:bottom w:val="nil"/>
              <w:right w:val="nil"/>
            </w:tcBorders>
            <w:shd w:val="clear" w:color="000000" w:fill="FFFFFF"/>
            <w:noWrap/>
            <w:vAlign w:val="bottom"/>
            <w:hideMark/>
          </w:tcPr>
          <w:p w14:paraId="15FA4AD9" w14:textId="77777777" w:rsidR="00A55202" w:rsidRPr="00A55202" w:rsidRDefault="00A55202" w:rsidP="00A55202">
            <w:pPr>
              <w:spacing w:after="0" w:line="240" w:lineRule="auto"/>
              <w:jc w:val="right"/>
              <w:rPr>
                <w:rFonts w:ascii="Calibri" w:eastAsia="Times New Roman" w:hAnsi="Calibri" w:cs="Calibri"/>
                <w:b/>
                <w:bCs/>
                <w:lang w:eastAsia="cs-CZ"/>
              </w:rPr>
            </w:pPr>
            <w:r w:rsidRPr="00A55202">
              <w:rPr>
                <w:rFonts w:ascii="Calibri" w:eastAsia="Times New Roman" w:hAnsi="Calibri" w:cs="Calibri"/>
                <w:b/>
                <w:bCs/>
                <w:lang w:eastAsia="cs-CZ"/>
              </w:rPr>
              <w:t> </w:t>
            </w:r>
          </w:p>
        </w:tc>
        <w:tc>
          <w:tcPr>
            <w:tcW w:w="1701" w:type="dxa"/>
            <w:tcBorders>
              <w:top w:val="nil"/>
              <w:left w:val="nil"/>
              <w:bottom w:val="nil"/>
              <w:right w:val="nil"/>
            </w:tcBorders>
            <w:shd w:val="clear" w:color="000000" w:fill="FFFFFF"/>
            <w:noWrap/>
            <w:vAlign w:val="bottom"/>
            <w:hideMark/>
          </w:tcPr>
          <w:p w14:paraId="3E162FAA" w14:textId="77777777" w:rsidR="00A55202" w:rsidRPr="00A55202" w:rsidRDefault="00A55202" w:rsidP="00A55202">
            <w:pPr>
              <w:spacing w:after="0" w:line="240" w:lineRule="auto"/>
              <w:jc w:val="right"/>
              <w:rPr>
                <w:rFonts w:ascii="Calibri" w:eastAsia="Times New Roman" w:hAnsi="Calibri" w:cs="Calibri"/>
                <w:b/>
                <w:bCs/>
                <w:lang w:eastAsia="cs-CZ"/>
              </w:rPr>
            </w:pPr>
            <w:r w:rsidRPr="00A55202">
              <w:rPr>
                <w:rFonts w:ascii="Calibri" w:eastAsia="Times New Roman" w:hAnsi="Calibri" w:cs="Calibri"/>
                <w:b/>
                <w:bCs/>
                <w:lang w:eastAsia="cs-CZ"/>
              </w:rPr>
              <w:t> </w:t>
            </w:r>
          </w:p>
        </w:tc>
        <w:tc>
          <w:tcPr>
            <w:tcW w:w="647" w:type="dxa"/>
            <w:tcBorders>
              <w:top w:val="nil"/>
              <w:left w:val="nil"/>
              <w:bottom w:val="nil"/>
              <w:right w:val="nil"/>
            </w:tcBorders>
            <w:shd w:val="clear" w:color="000000" w:fill="FFFFFF"/>
            <w:noWrap/>
            <w:vAlign w:val="bottom"/>
            <w:hideMark/>
          </w:tcPr>
          <w:p w14:paraId="742F5583" w14:textId="77777777" w:rsidR="00A55202" w:rsidRPr="00A55202" w:rsidRDefault="00A55202" w:rsidP="00A55202">
            <w:pPr>
              <w:spacing w:after="0" w:line="240" w:lineRule="auto"/>
              <w:jc w:val="right"/>
              <w:rPr>
                <w:rFonts w:ascii="Calibri" w:eastAsia="Times New Roman" w:hAnsi="Calibri" w:cs="Calibri"/>
                <w:b/>
                <w:bCs/>
                <w:lang w:eastAsia="cs-CZ"/>
              </w:rPr>
            </w:pPr>
            <w:r w:rsidRPr="00A55202">
              <w:rPr>
                <w:rFonts w:ascii="Calibri" w:eastAsia="Times New Roman" w:hAnsi="Calibri" w:cs="Calibri"/>
                <w:b/>
                <w:bCs/>
                <w:lang w:eastAsia="cs-CZ"/>
              </w:rPr>
              <w:t> </w:t>
            </w:r>
          </w:p>
        </w:tc>
      </w:tr>
      <w:tr w:rsidR="008E0636" w:rsidRPr="00A55202" w14:paraId="3016C8A8" w14:textId="77777777" w:rsidTr="008E0636">
        <w:trPr>
          <w:trHeight w:val="315"/>
        </w:trPr>
        <w:tc>
          <w:tcPr>
            <w:tcW w:w="826" w:type="dxa"/>
            <w:tcBorders>
              <w:top w:val="nil"/>
              <w:left w:val="nil"/>
              <w:bottom w:val="nil"/>
              <w:right w:val="nil"/>
            </w:tcBorders>
            <w:shd w:val="clear" w:color="000000" w:fill="FFFFFF"/>
            <w:noWrap/>
            <w:vAlign w:val="bottom"/>
            <w:hideMark/>
          </w:tcPr>
          <w:p w14:paraId="603BC114"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c>
          <w:tcPr>
            <w:tcW w:w="7538" w:type="dxa"/>
            <w:gridSpan w:val="3"/>
            <w:tcBorders>
              <w:top w:val="nil"/>
              <w:left w:val="nil"/>
              <w:bottom w:val="nil"/>
              <w:right w:val="nil"/>
            </w:tcBorders>
            <w:shd w:val="clear" w:color="000000" w:fill="FFFFFF"/>
            <w:noWrap/>
            <w:vAlign w:val="bottom"/>
            <w:hideMark/>
          </w:tcPr>
          <w:p w14:paraId="6F6B1619" w14:textId="77777777" w:rsidR="00A55202" w:rsidRPr="00A55202" w:rsidRDefault="00A55202" w:rsidP="00A55202">
            <w:pPr>
              <w:spacing w:after="0" w:line="240" w:lineRule="auto"/>
              <w:rPr>
                <w:rFonts w:ascii="Calibri" w:eastAsia="Times New Roman" w:hAnsi="Calibri" w:cs="Calibri"/>
                <w:b/>
                <w:bCs/>
                <w:lang w:eastAsia="cs-CZ"/>
              </w:rPr>
            </w:pPr>
            <w:r w:rsidRPr="00A55202">
              <w:rPr>
                <w:rFonts w:ascii="Calibri" w:eastAsia="Times New Roman" w:hAnsi="Calibri" w:cs="Calibri"/>
                <w:b/>
                <w:bCs/>
                <w:lang w:eastAsia="cs-CZ"/>
              </w:rPr>
              <w:t>Dotace ze státního rozpočtu  a ostatních veřejných rozpočtů</w:t>
            </w:r>
          </w:p>
        </w:tc>
        <w:tc>
          <w:tcPr>
            <w:tcW w:w="1701" w:type="dxa"/>
            <w:tcBorders>
              <w:top w:val="nil"/>
              <w:left w:val="nil"/>
              <w:bottom w:val="nil"/>
              <w:right w:val="nil"/>
            </w:tcBorders>
            <w:shd w:val="clear" w:color="000000" w:fill="FFFFFF"/>
            <w:noWrap/>
            <w:vAlign w:val="bottom"/>
            <w:hideMark/>
          </w:tcPr>
          <w:p w14:paraId="7A3BA441"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c>
          <w:tcPr>
            <w:tcW w:w="647" w:type="dxa"/>
            <w:tcBorders>
              <w:top w:val="nil"/>
              <w:left w:val="nil"/>
              <w:bottom w:val="nil"/>
              <w:right w:val="nil"/>
            </w:tcBorders>
            <w:shd w:val="clear" w:color="000000" w:fill="FFFFFF"/>
            <w:noWrap/>
            <w:vAlign w:val="bottom"/>
            <w:hideMark/>
          </w:tcPr>
          <w:p w14:paraId="5D195676"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r>
      <w:tr w:rsidR="008E0636" w:rsidRPr="00A55202" w14:paraId="50D8BC9F" w14:textId="77777777" w:rsidTr="008E0636">
        <w:trPr>
          <w:trHeight w:val="300"/>
        </w:trPr>
        <w:tc>
          <w:tcPr>
            <w:tcW w:w="826" w:type="dxa"/>
            <w:tcBorders>
              <w:top w:val="single" w:sz="8" w:space="0" w:color="auto"/>
              <w:left w:val="single" w:sz="8" w:space="0" w:color="auto"/>
              <w:bottom w:val="single" w:sz="4" w:space="0" w:color="auto"/>
              <w:right w:val="single" w:sz="4" w:space="0" w:color="auto"/>
            </w:tcBorders>
            <w:shd w:val="clear" w:color="000000" w:fill="FFFFFF"/>
            <w:noWrap/>
            <w:vAlign w:val="bottom"/>
            <w:hideMark/>
          </w:tcPr>
          <w:p w14:paraId="751C9C0F"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2143</w:t>
            </w:r>
          </w:p>
        </w:tc>
        <w:tc>
          <w:tcPr>
            <w:tcW w:w="4672" w:type="dxa"/>
            <w:tcBorders>
              <w:top w:val="single" w:sz="8" w:space="0" w:color="auto"/>
              <w:left w:val="nil"/>
              <w:bottom w:val="single" w:sz="4" w:space="0" w:color="auto"/>
              <w:right w:val="single" w:sz="4" w:space="0" w:color="auto"/>
            </w:tcBorders>
            <w:shd w:val="clear" w:color="000000" w:fill="FFFFFF"/>
            <w:noWrap/>
            <w:vAlign w:val="bottom"/>
            <w:hideMark/>
          </w:tcPr>
          <w:p w14:paraId="659BF324" w14:textId="2C5A2AB4"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Marketingové aktivity v ces</w:t>
            </w:r>
            <w:r w:rsidR="003C697A">
              <w:rPr>
                <w:rFonts w:ascii="Calibri" w:eastAsia="Times New Roman" w:hAnsi="Calibri" w:cs="Calibri"/>
                <w:sz w:val="20"/>
                <w:szCs w:val="20"/>
                <w:lang w:eastAsia="cs-CZ"/>
              </w:rPr>
              <w:t>t</w:t>
            </w:r>
            <w:r w:rsidR="008E0636">
              <w:rPr>
                <w:rFonts w:ascii="Calibri" w:eastAsia="Times New Roman" w:hAnsi="Calibri" w:cs="Calibri"/>
                <w:sz w:val="20"/>
                <w:szCs w:val="20"/>
                <w:lang w:eastAsia="cs-CZ"/>
              </w:rPr>
              <w:t>ovního</w:t>
            </w:r>
            <w:r w:rsidRPr="00A55202">
              <w:rPr>
                <w:rFonts w:ascii="Calibri" w:eastAsia="Times New Roman" w:hAnsi="Calibri" w:cs="Calibri"/>
                <w:sz w:val="20"/>
                <w:szCs w:val="20"/>
                <w:lang w:eastAsia="cs-CZ"/>
              </w:rPr>
              <w:t xml:space="preserve"> ruchu (UZ 17055)</w:t>
            </w:r>
          </w:p>
        </w:tc>
        <w:tc>
          <w:tcPr>
            <w:tcW w:w="1264" w:type="dxa"/>
            <w:tcBorders>
              <w:top w:val="single" w:sz="8" w:space="0" w:color="auto"/>
              <w:left w:val="nil"/>
              <w:bottom w:val="single" w:sz="4" w:space="0" w:color="auto"/>
              <w:right w:val="single" w:sz="4" w:space="0" w:color="auto"/>
            </w:tcBorders>
            <w:shd w:val="clear" w:color="000000" w:fill="FFFFFF"/>
            <w:noWrap/>
            <w:vAlign w:val="center"/>
            <w:hideMark/>
          </w:tcPr>
          <w:p w14:paraId="2ACBAA7C"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0</w:t>
            </w:r>
          </w:p>
        </w:tc>
        <w:tc>
          <w:tcPr>
            <w:tcW w:w="1602" w:type="dxa"/>
            <w:tcBorders>
              <w:top w:val="single" w:sz="8" w:space="0" w:color="auto"/>
              <w:left w:val="nil"/>
              <w:bottom w:val="single" w:sz="4" w:space="0" w:color="auto"/>
              <w:right w:val="single" w:sz="4" w:space="0" w:color="auto"/>
            </w:tcBorders>
            <w:shd w:val="clear" w:color="000000" w:fill="FFFFFF"/>
            <w:noWrap/>
            <w:vAlign w:val="bottom"/>
            <w:hideMark/>
          </w:tcPr>
          <w:p w14:paraId="62581AEE"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827 068,00</w:t>
            </w:r>
          </w:p>
        </w:tc>
        <w:tc>
          <w:tcPr>
            <w:tcW w:w="1701" w:type="dxa"/>
            <w:tcBorders>
              <w:top w:val="single" w:sz="8" w:space="0" w:color="auto"/>
              <w:left w:val="nil"/>
              <w:bottom w:val="single" w:sz="4" w:space="0" w:color="auto"/>
              <w:right w:val="single" w:sz="4" w:space="0" w:color="auto"/>
            </w:tcBorders>
            <w:shd w:val="clear" w:color="000000" w:fill="FFFFFF"/>
            <w:noWrap/>
            <w:vAlign w:val="bottom"/>
            <w:hideMark/>
          </w:tcPr>
          <w:p w14:paraId="690E0C07"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827 068,00</w:t>
            </w:r>
          </w:p>
        </w:tc>
        <w:tc>
          <w:tcPr>
            <w:tcW w:w="647" w:type="dxa"/>
            <w:tcBorders>
              <w:top w:val="single" w:sz="8" w:space="0" w:color="auto"/>
              <w:left w:val="nil"/>
              <w:bottom w:val="single" w:sz="4" w:space="0" w:color="auto"/>
              <w:right w:val="single" w:sz="8" w:space="0" w:color="auto"/>
            </w:tcBorders>
            <w:shd w:val="clear" w:color="000000" w:fill="FFFFFF"/>
            <w:noWrap/>
            <w:vAlign w:val="bottom"/>
            <w:hideMark/>
          </w:tcPr>
          <w:p w14:paraId="5AF05424"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100,0</w:t>
            </w:r>
          </w:p>
        </w:tc>
      </w:tr>
      <w:tr w:rsidR="008E0636" w:rsidRPr="00A55202" w14:paraId="5739F224" w14:textId="77777777" w:rsidTr="008E0636">
        <w:trPr>
          <w:trHeight w:val="255"/>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25C90DE9"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3315</w:t>
            </w:r>
          </w:p>
        </w:tc>
        <w:tc>
          <w:tcPr>
            <w:tcW w:w="4672" w:type="dxa"/>
            <w:tcBorders>
              <w:top w:val="nil"/>
              <w:left w:val="nil"/>
              <w:bottom w:val="single" w:sz="4" w:space="0" w:color="auto"/>
              <w:right w:val="single" w:sz="4" w:space="0" w:color="auto"/>
            </w:tcBorders>
            <w:shd w:val="clear" w:color="000000" w:fill="FFFFFF"/>
            <w:noWrap/>
            <w:vAlign w:val="bottom"/>
            <w:hideMark/>
          </w:tcPr>
          <w:p w14:paraId="2D275792" w14:textId="7509ED43"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Podpora obnovy kult</w:t>
            </w:r>
            <w:r w:rsidR="008E0636">
              <w:rPr>
                <w:rFonts w:ascii="Calibri" w:eastAsia="Times New Roman" w:hAnsi="Calibri" w:cs="Calibri"/>
                <w:sz w:val="20"/>
                <w:szCs w:val="20"/>
                <w:lang w:eastAsia="cs-CZ"/>
              </w:rPr>
              <w:t>urních p</w:t>
            </w:r>
            <w:r w:rsidRPr="00A55202">
              <w:rPr>
                <w:rFonts w:ascii="Calibri" w:eastAsia="Times New Roman" w:hAnsi="Calibri" w:cs="Calibri"/>
                <w:sz w:val="20"/>
                <w:szCs w:val="20"/>
                <w:lang w:eastAsia="cs-CZ"/>
              </w:rPr>
              <w:t>amátek (UZ 34002)</w:t>
            </w:r>
          </w:p>
        </w:tc>
        <w:tc>
          <w:tcPr>
            <w:tcW w:w="1264" w:type="dxa"/>
            <w:tcBorders>
              <w:top w:val="nil"/>
              <w:left w:val="nil"/>
              <w:bottom w:val="single" w:sz="4" w:space="0" w:color="auto"/>
              <w:right w:val="single" w:sz="4" w:space="0" w:color="auto"/>
            </w:tcBorders>
            <w:shd w:val="clear" w:color="000000" w:fill="FFFFFF"/>
            <w:noWrap/>
            <w:vAlign w:val="center"/>
            <w:hideMark/>
          </w:tcPr>
          <w:p w14:paraId="59575128"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0</w:t>
            </w:r>
          </w:p>
        </w:tc>
        <w:tc>
          <w:tcPr>
            <w:tcW w:w="1602" w:type="dxa"/>
            <w:tcBorders>
              <w:top w:val="nil"/>
              <w:left w:val="nil"/>
              <w:bottom w:val="single" w:sz="4" w:space="0" w:color="auto"/>
              <w:right w:val="single" w:sz="4" w:space="0" w:color="auto"/>
            </w:tcBorders>
            <w:shd w:val="clear" w:color="000000" w:fill="FFFFFF"/>
            <w:noWrap/>
            <w:vAlign w:val="bottom"/>
            <w:hideMark/>
          </w:tcPr>
          <w:p w14:paraId="05D15290"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219 000,00</w:t>
            </w:r>
          </w:p>
        </w:tc>
        <w:tc>
          <w:tcPr>
            <w:tcW w:w="1701" w:type="dxa"/>
            <w:tcBorders>
              <w:top w:val="nil"/>
              <w:left w:val="nil"/>
              <w:bottom w:val="single" w:sz="4" w:space="0" w:color="auto"/>
              <w:right w:val="single" w:sz="4" w:space="0" w:color="auto"/>
            </w:tcBorders>
            <w:shd w:val="clear" w:color="000000" w:fill="FFFFFF"/>
            <w:noWrap/>
            <w:vAlign w:val="bottom"/>
            <w:hideMark/>
          </w:tcPr>
          <w:p w14:paraId="4A59086C"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219 000,00</w:t>
            </w:r>
          </w:p>
        </w:tc>
        <w:tc>
          <w:tcPr>
            <w:tcW w:w="647" w:type="dxa"/>
            <w:tcBorders>
              <w:top w:val="nil"/>
              <w:left w:val="nil"/>
              <w:bottom w:val="single" w:sz="4" w:space="0" w:color="auto"/>
              <w:right w:val="single" w:sz="8" w:space="0" w:color="auto"/>
            </w:tcBorders>
            <w:shd w:val="clear" w:color="000000" w:fill="FFFFFF"/>
            <w:noWrap/>
            <w:vAlign w:val="bottom"/>
            <w:hideMark/>
          </w:tcPr>
          <w:p w14:paraId="54A4F438"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100,0</w:t>
            </w:r>
          </w:p>
        </w:tc>
      </w:tr>
      <w:tr w:rsidR="008E0636" w:rsidRPr="00A55202" w14:paraId="74536D15" w14:textId="77777777" w:rsidTr="008E0636">
        <w:trPr>
          <w:trHeight w:val="51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650B3B33"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3315</w:t>
            </w:r>
          </w:p>
        </w:tc>
        <w:tc>
          <w:tcPr>
            <w:tcW w:w="4672" w:type="dxa"/>
            <w:tcBorders>
              <w:top w:val="nil"/>
              <w:left w:val="nil"/>
              <w:bottom w:val="single" w:sz="4" w:space="0" w:color="auto"/>
              <w:right w:val="single" w:sz="4" w:space="0" w:color="auto"/>
            </w:tcBorders>
            <w:shd w:val="clear" w:color="000000" w:fill="FFFFFF"/>
            <w:vAlign w:val="bottom"/>
            <w:hideMark/>
          </w:tcPr>
          <w:p w14:paraId="7AEAF17C"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Podpora standard. veřejných služeb muzeí a galerií (UZ 34017)</w:t>
            </w:r>
          </w:p>
        </w:tc>
        <w:tc>
          <w:tcPr>
            <w:tcW w:w="1264" w:type="dxa"/>
            <w:tcBorders>
              <w:top w:val="nil"/>
              <w:left w:val="nil"/>
              <w:bottom w:val="single" w:sz="4" w:space="0" w:color="auto"/>
              <w:right w:val="single" w:sz="4" w:space="0" w:color="auto"/>
            </w:tcBorders>
            <w:shd w:val="clear" w:color="000000" w:fill="FFFFFF"/>
            <w:noWrap/>
            <w:vAlign w:val="center"/>
            <w:hideMark/>
          </w:tcPr>
          <w:p w14:paraId="223F19B6"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0</w:t>
            </w:r>
          </w:p>
        </w:tc>
        <w:tc>
          <w:tcPr>
            <w:tcW w:w="1602" w:type="dxa"/>
            <w:tcBorders>
              <w:top w:val="nil"/>
              <w:left w:val="nil"/>
              <w:bottom w:val="single" w:sz="4" w:space="0" w:color="auto"/>
              <w:right w:val="single" w:sz="4" w:space="0" w:color="auto"/>
            </w:tcBorders>
            <w:shd w:val="clear" w:color="000000" w:fill="FFFFFF"/>
            <w:noWrap/>
            <w:vAlign w:val="bottom"/>
            <w:hideMark/>
          </w:tcPr>
          <w:p w14:paraId="69CA11BD"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170 000,00</w:t>
            </w:r>
          </w:p>
        </w:tc>
        <w:tc>
          <w:tcPr>
            <w:tcW w:w="1701" w:type="dxa"/>
            <w:tcBorders>
              <w:top w:val="nil"/>
              <w:left w:val="nil"/>
              <w:bottom w:val="single" w:sz="4" w:space="0" w:color="auto"/>
              <w:right w:val="single" w:sz="4" w:space="0" w:color="auto"/>
            </w:tcBorders>
            <w:shd w:val="clear" w:color="000000" w:fill="FFFFFF"/>
            <w:noWrap/>
            <w:vAlign w:val="bottom"/>
            <w:hideMark/>
          </w:tcPr>
          <w:p w14:paraId="08176976"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170 000,00</w:t>
            </w:r>
          </w:p>
        </w:tc>
        <w:tc>
          <w:tcPr>
            <w:tcW w:w="647" w:type="dxa"/>
            <w:tcBorders>
              <w:top w:val="nil"/>
              <w:left w:val="nil"/>
              <w:bottom w:val="single" w:sz="4" w:space="0" w:color="auto"/>
              <w:right w:val="single" w:sz="8" w:space="0" w:color="auto"/>
            </w:tcBorders>
            <w:shd w:val="clear" w:color="000000" w:fill="FFFFFF"/>
            <w:noWrap/>
            <w:vAlign w:val="bottom"/>
            <w:hideMark/>
          </w:tcPr>
          <w:p w14:paraId="053599A1"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100,0</w:t>
            </w:r>
          </w:p>
        </w:tc>
      </w:tr>
      <w:tr w:rsidR="008E0636" w:rsidRPr="00A55202" w14:paraId="15706C6C" w14:textId="77777777" w:rsidTr="008E0636">
        <w:trPr>
          <w:trHeight w:val="51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3F8CB64A"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3315</w:t>
            </w:r>
          </w:p>
        </w:tc>
        <w:tc>
          <w:tcPr>
            <w:tcW w:w="4672" w:type="dxa"/>
            <w:tcBorders>
              <w:top w:val="nil"/>
              <w:left w:val="nil"/>
              <w:bottom w:val="single" w:sz="4" w:space="0" w:color="auto"/>
              <w:right w:val="single" w:sz="4" w:space="0" w:color="auto"/>
            </w:tcBorders>
            <w:shd w:val="clear" w:color="000000" w:fill="FFFFFF"/>
            <w:vAlign w:val="bottom"/>
            <w:hideMark/>
          </w:tcPr>
          <w:p w14:paraId="143A11DF"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Podpora výchovně vzdělávacích  aktivit  v muzejnictví (UZ 34019)</w:t>
            </w:r>
          </w:p>
        </w:tc>
        <w:tc>
          <w:tcPr>
            <w:tcW w:w="1264" w:type="dxa"/>
            <w:tcBorders>
              <w:top w:val="nil"/>
              <w:left w:val="nil"/>
              <w:bottom w:val="single" w:sz="4" w:space="0" w:color="auto"/>
              <w:right w:val="single" w:sz="4" w:space="0" w:color="auto"/>
            </w:tcBorders>
            <w:shd w:val="clear" w:color="000000" w:fill="FFFFFF"/>
            <w:noWrap/>
            <w:vAlign w:val="center"/>
            <w:hideMark/>
          </w:tcPr>
          <w:p w14:paraId="12CC5B73"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0</w:t>
            </w:r>
          </w:p>
        </w:tc>
        <w:tc>
          <w:tcPr>
            <w:tcW w:w="1602" w:type="dxa"/>
            <w:tcBorders>
              <w:top w:val="nil"/>
              <w:left w:val="nil"/>
              <w:bottom w:val="single" w:sz="4" w:space="0" w:color="auto"/>
              <w:right w:val="single" w:sz="4" w:space="0" w:color="auto"/>
            </w:tcBorders>
            <w:shd w:val="clear" w:color="000000" w:fill="FFFFFF"/>
            <w:noWrap/>
            <w:vAlign w:val="bottom"/>
            <w:hideMark/>
          </w:tcPr>
          <w:p w14:paraId="44DD1089"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104 730,00</w:t>
            </w:r>
          </w:p>
        </w:tc>
        <w:tc>
          <w:tcPr>
            <w:tcW w:w="1701" w:type="dxa"/>
            <w:tcBorders>
              <w:top w:val="nil"/>
              <w:left w:val="nil"/>
              <w:bottom w:val="single" w:sz="4" w:space="0" w:color="auto"/>
              <w:right w:val="single" w:sz="4" w:space="0" w:color="auto"/>
            </w:tcBorders>
            <w:shd w:val="clear" w:color="000000" w:fill="FFFFFF"/>
            <w:noWrap/>
            <w:vAlign w:val="bottom"/>
            <w:hideMark/>
          </w:tcPr>
          <w:p w14:paraId="6FD035BA"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104 730,00</w:t>
            </w:r>
          </w:p>
        </w:tc>
        <w:tc>
          <w:tcPr>
            <w:tcW w:w="647" w:type="dxa"/>
            <w:tcBorders>
              <w:top w:val="nil"/>
              <w:left w:val="nil"/>
              <w:bottom w:val="single" w:sz="4" w:space="0" w:color="auto"/>
              <w:right w:val="single" w:sz="8" w:space="0" w:color="auto"/>
            </w:tcBorders>
            <w:shd w:val="clear" w:color="000000" w:fill="FFFFFF"/>
            <w:noWrap/>
            <w:vAlign w:val="bottom"/>
            <w:hideMark/>
          </w:tcPr>
          <w:p w14:paraId="21AA183C"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100,0</w:t>
            </w:r>
          </w:p>
        </w:tc>
      </w:tr>
      <w:tr w:rsidR="008E0636" w:rsidRPr="00A55202" w14:paraId="7637C8FE" w14:textId="77777777" w:rsidTr="008E0636">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14FC2EAC"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3315</w:t>
            </w:r>
          </w:p>
        </w:tc>
        <w:tc>
          <w:tcPr>
            <w:tcW w:w="4672" w:type="dxa"/>
            <w:tcBorders>
              <w:top w:val="nil"/>
              <w:left w:val="nil"/>
              <w:bottom w:val="single" w:sz="4" w:space="0" w:color="auto"/>
              <w:right w:val="single" w:sz="4" w:space="0" w:color="auto"/>
            </w:tcBorders>
            <w:shd w:val="clear" w:color="000000" w:fill="FFFFFF"/>
            <w:vAlign w:val="bottom"/>
            <w:hideMark/>
          </w:tcPr>
          <w:p w14:paraId="2997423F"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Podpora  expozičních a výstavních projektů (UZ 34021)</w:t>
            </w:r>
          </w:p>
        </w:tc>
        <w:tc>
          <w:tcPr>
            <w:tcW w:w="1264" w:type="dxa"/>
            <w:tcBorders>
              <w:top w:val="nil"/>
              <w:left w:val="nil"/>
              <w:bottom w:val="single" w:sz="4" w:space="0" w:color="auto"/>
              <w:right w:val="single" w:sz="4" w:space="0" w:color="auto"/>
            </w:tcBorders>
            <w:shd w:val="clear" w:color="000000" w:fill="FFFFFF"/>
            <w:noWrap/>
            <w:vAlign w:val="center"/>
            <w:hideMark/>
          </w:tcPr>
          <w:p w14:paraId="2AD5227C"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0</w:t>
            </w:r>
          </w:p>
        </w:tc>
        <w:tc>
          <w:tcPr>
            <w:tcW w:w="1602" w:type="dxa"/>
            <w:tcBorders>
              <w:top w:val="nil"/>
              <w:left w:val="nil"/>
              <w:bottom w:val="single" w:sz="4" w:space="0" w:color="auto"/>
              <w:right w:val="single" w:sz="4" w:space="0" w:color="auto"/>
            </w:tcBorders>
            <w:shd w:val="clear" w:color="000000" w:fill="FFFFFF"/>
            <w:noWrap/>
            <w:vAlign w:val="bottom"/>
            <w:hideMark/>
          </w:tcPr>
          <w:p w14:paraId="4D98C058"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1 134 250,00</w:t>
            </w:r>
          </w:p>
        </w:tc>
        <w:tc>
          <w:tcPr>
            <w:tcW w:w="1701" w:type="dxa"/>
            <w:tcBorders>
              <w:top w:val="nil"/>
              <w:left w:val="nil"/>
              <w:bottom w:val="single" w:sz="4" w:space="0" w:color="auto"/>
              <w:right w:val="single" w:sz="4" w:space="0" w:color="auto"/>
            </w:tcBorders>
            <w:shd w:val="clear" w:color="000000" w:fill="FFFFFF"/>
            <w:noWrap/>
            <w:vAlign w:val="bottom"/>
            <w:hideMark/>
          </w:tcPr>
          <w:p w14:paraId="7817CCE0"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1 134 250,00</w:t>
            </w:r>
          </w:p>
        </w:tc>
        <w:tc>
          <w:tcPr>
            <w:tcW w:w="647" w:type="dxa"/>
            <w:tcBorders>
              <w:top w:val="nil"/>
              <w:left w:val="nil"/>
              <w:bottom w:val="single" w:sz="4" w:space="0" w:color="auto"/>
              <w:right w:val="single" w:sz="8" w:space="0" w:color="auto"/>
            </w:tcBorders>
            <w:shd w:val="clear" w:color="000000" w:fill="FFFFFF"/>
            <w:noWrap/>
            <w:vAlign w:val="bottom"/>
            <w:hideMark/>
          </w:tcPr>
          <w:p w14:paraId="441BB692"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100,0</w:t>
            </w:r>
          </w:p>
        </w:tc>
      </w:tr>
      <w:tr w:rsidR="008E0636" w:rsidRPr="00A55202" w14:paraId="29C3B90E" w14:textId="77777777" w:rsidTr="008E0636">
        <w:trPr>
          <w:trHeight w:val="255"/>
        </w:trPr>
        <w:tc>
          <w:tcPr>
            <w:tcW w:w="826" w:type="dxa"/>
            <w:tcBorders>
              <w:top w:val="nil"/>
              <w:left w:val="single" w:sz="8" w:space="0" w:color="auto"/>
              <w:bottom w:val="single" w:sz="4" w:space="0" w:color="auto"/>
              <w:right w:val="single" w:sz="4" w:space="0" w:color="auto"/>
            </w:tcBorders>
            <w:shd w:val="clear" w:color="000000" w:fill="FFFFFF"/>
            <w:vAlign w:val="bottom"/>
            <w:hideMark/>
          </w:tcPr>
          <w:p w14:paraId="55269CD4"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3314</w:t>
            </w:r>
          </w:p>
        </w:tc>
        <w:tc>
          <w:tcPr>
            <w:tcW w:w="4672" w:type="dxa"/>
            <w:tcBorders>
              <w:top w:val="nil"/>
              <w:left w:val="nil"/>
              <w:bottom w:val="single" w:sz="4" w:space="0" w:color="auto"/>
              <w:right w:val="single" w:sz="4" w:space="0" w:color="auto"/>
            </w:tcBorders>
            <w:shd w:val="clear" w:color="000000" w:fill="FFFFFF"/>
            <w:vAlign w:val="center"/>
            <w:hideMark/>
          </w:tcPr>
          <w:p w14:paraId="455B41DD"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Program ochrany měkkých cílů v kultuře (UZ 34026)</w:t>
            </w:r>
          </w:p>
        </w:tc>
        <w:tc>
          <w:tcPr>
            <w:tcW w:w="1264" w:type="dxa"/>
            <w:tcBorders>
              <w:top w:val="nil"/>
              <w:left w:val="nil"/>
              <w:bottom w:val="single" w:sz="4" w:space="0" w:color="auto"/>
              <w:right w:val="single" w:sz="4" w:space="0" w:color="auto"/>
            </w:tcBorders>
            <w:shd w:val="clear" w:color="000000" w:fill="FFFFFF"/>
            <w:noWrap/>
            <w:vAlign w:val="center"/>
            <w:hideMark/>
          </w:tcPr>
          <w:p w14:paraId="58FA94C0"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0</w:t>
            </w:r>
          </w:p>
        </w:tc>
        <w:tc>
          <w:tcPr>
            <w:tcW w:w="1602" w:type="dxa"/>
            <w:tcBorders>
              <w:top w:val="nil"/>
              <w:left w:val="nil"/>
              <w:bottom w:val="single" w:sz="4" w:space="0" w:color="auto"/>
              <w:right w:val="single" w:sz="4" w:space="0" w:color="auto"/>
            </w:tcBorders>
            <w:shd w:val="clear" w:color="000000" w:fill="FFFFFF"/>
            <w:noWrap/>
            <w:vAlign w:val="bottom"/>
            <w:hideMark/>
          </w:tcPr>
          <w:p w14:paraId="20295EF2"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350 000,00</w:t>
            </w:r>
          </w:p>
        </w:tc>
        <w:tc>
          <w:tcPr>
            <w:tcW w:w="1701" w:type="dxa"/>
            <w:tcBorders>
              <w:top w:val="nil"/>
              <w:left w:val="nil"/>
              <w:bottom w:val="single" w:sz="4" w:space="0" w:color="auto"/>
              <w:right w:val="single" w:sz="4" w:space="0" w:color="auto"/>
            </w:tcBorders>
            <w:shd w:val="clear" w:color="000000" w:fill="FFFFFF"/>
            <w:noWrap/>
            <w:vAlign w:val="bottom"/>
            <w:hideMark/>
          </w:tcPr>
          <w:p w14:paraId="6E2C318B"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350 000,00</w:t>
            </w:r>
          </w:p>
        </w:tc>
        <w:tc>
          <w:tcPr>
            <w:tcW w:w="647" w:type="dxa"/>
            <w:tcBorders>
              <w:top w:val="nil"/>
              <w:left w:val="nil"/>
              <w:bottom w:val="single" w:sz="4" w:space="0" w:color="auto"/>
              <w:right w:val="single" w:sz="8" w:space="0" w:color="auto"/>
            </w:tcBorders>
            <w:shd w:val="clear" w:color="000000" w:fill="FFFFFF"/>
            <w:noWrap/>
            <w:vAlign w:val="bottom"/>
            <w:hideMark/>
          </w:tcPr>
          <w:p w14:paraId="30759436"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100,0</w:t>
            </w:r>
          </w:p>
        </w:tc>
      </w:tr>
      <w:tr w:rsidR="008E0636" w:rsidRPr="00A55202" w14:paraId="366D9750" w14:textId="77777777" w:rsidTr="008E0636">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549F14F8"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3315</w:t>
            </w:r>
          </w:p>
        </w:tc>
        <w:tc>
          <w:tcPr>
            <w:tcW w:w="4672" w:type="dxa"/>
            <w:tcBorders>
              <w:top w:val="nil"/>
              <w:left w:val="nil"/>
              <w:bottom w:val="single" w:sz="4" w:space="0" w:color="auto"/>
              <w:right w:val="single" w:sz="4" w:space="0" w:color="auto"/>
            </w:tcBorders>
            <w:shd w:val="clear" w:color="000000" w:fill="FFFFFF"/>
            <w:vAlign w:val="bottom"/>
            <w:hideMark/>
          </w:tcPr>
          <w:p w14:paraId="75F4417C"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ISO II/A zabezpečení objektů - neinv. (UZ 34028)</w:t>
            </w:r>
          </w:p>
        </w:tc>
        <w:tc>
          <w:tcPr>
            <w:tcW w:w="1264" w:type="dxa"/>
            <w:tcBorders>
              <w:top w:val="nil"/>
              <w:left w:val="nil"/>
              <w:bottom w:val="single" w:sz="4" w:space="0" w:color="auto"/>
              <w:right w:val="single" w:sz="4" w:space="0" w:color="auto"/>
            </w:tcBorders>
            <w:shd w:val="clear" w:color="000000" w:fill="FFFFFF"/>
            <w:noWrap/>
            <w:vAlign w:val="center"/>
            <w:hideMark/>
          </w:tcPr>
          <w:p w14:paraId="3681389E"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0</w:t>
            </w:r>
          </w:p>
        </w:tc>
        <w:tc>
          <w:tcPr>
            <w:tcW w:w="1602" w:type="dxa"/>
            <w:tcBorders>
              <w:top w:val="nil"/>
              <w:left w:val="nil"/>
              <w:bottom w:val="single" w:sz="4" w:space="0" w:color="auto"/>
              <w:right w:val="single" w:sz="4" w:space="0" w:color="auto"/>
            </w:tcBorders>
            <w:shd w:val="clear" w:color="000000" w:fill="FFFFFF"/>
            <w:noWrap/>
            <w:vAlign w:val="bottom"/>
            <w:hideMark/>
          </w:tcPr>
          <w:p w14:paraId="1665E7EF"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84 000,00</w:t>
            </w:r>
          </w:p>
        </w:tc>
        <w:tc>
          <w:tcPr>
            <w:tcW w:w="1701" w:type="dxa"/>
            <w:tcBorders>
              <w:top w:val="nil"/>
              <w:left w:val="nil"/>
              <w:bottom w:val="single" w:sz="4" w:space="0" w:color="auto"/>
              <w:right w:val="single" w:sz="4" w:space="0" w:color="auto"/>
            </w:tcBorders>
            <w:shd w:val="clear" w:color="000000" w:fill="FFFFFF"/>
            <w:noWrap/>
            <w:vAlign w:val="bottom"/>
            <w:hideMark/>
          </w:tcPr>
          <w:p w14:paraId="5E7F69D4"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84 000,00</w:t>
            </w:r>
          </w:p>
        </w:tc>
        <w:tc>
          <w:tcPr>
            <w:tcW w:w="647" w:type="dxa"/>
            <w:tcBorders>
              <w:top w:val="nil"/>
              <w:left w:val="nil"/>
              <w:bottom w:val="single" w:sz="4" w:space="0" w:color="auto"/>
              <w:right w:val="single" w:sz="8" w:space="0" w:color="auto"/>
            </w:tcBorders>
            <w:shd w:val="clear" w:color="000000" w:fill="FFFFFF"/>
            <w:noWrap/>
            <w:vAlign w:val="bottom"/>
            <w:hideMark/>
          </w:tcPr>
          <w:p w14:paraId="590BD816"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100,0</w:t>
            </w:r>
          </w:p>
        </w:tc>
      </w:tr>
      <w:tr w:rsidR="008E0636" w:rsidRPr="00A55202" w14:paraId="1B61D0AB" w14:textId="77777777" w:rsidTr="008E0636">
        <w:trPr>
          <w:trHeight w:val="51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2552B14E"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3315</w:t>
            </w:r>
          </w:p>
        </w:tc>
        <w:tc>
          <w:tcPr>
            <w:tcW w:w="4672" w:type="dxa"/>
            <w:tcBorders>
              <w:top w:val="nil"/>
              <w:left w:val="nil"/>
              <w:bottom w:val="single" w:sz="4" w:space="0" w:color="auto"/>
              <w:right w:val="single" w:sz="4" w:space="0" w:color="auto"/>
            </w:tcBorders>
            <w:shd w:val="clear" w:color="000000" w:fill="FFFFFF"/>
            <w:vAlign w:val="bottom"/>
            <w:hideMark/>
          </w:tcPr>
          <w:p w14:paraId="7068BD9F" w14:textId="4A486741"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ISO II/D prev</w:t>
            </w:r>
            <w:r w:rsidR="008E0636">
              <w:rPr>
                <w:rFonts w:ascii="Calibri" w:eastAsia="Times New Roman" w:hAnsi="Calibri" w:cs="Calibri"/>
                <w:sz w:val="20"/>
                <w:szCs w:val="20"/>
                <w:lang w:eastAsia="cs-CZ"/>
              </w:rPr>
              <w:t>entivní</w:t>
            </w:r>
            <w:r w:rsidRPr="00A55202">
              <w:rPr>
                <w:rFonts w:ascii="Calibri" w:eastAsia="Times New Roman" w:hAnsi="Calibri" w:cs="Calibri"/>
                <w:sz w:val="20"/>
                <w:szCs w:val="20"/>
                <w:lang w:eastAsia="cs-CZ"/>
              </w:rPr>
              <w:t xml:space="preserve"> ochr</w:t>
            </w:r>
            <w:r w:rsidR="008E0636">
              <w:rPr>
                <w:rFonts w:ascii="Calibri" w:eastAsia="Times New Roman" w:hAnsi="Calibri" w:cs="Calibri"/>
                <w:sz w:val="20"/>
                <w:szCs w:val="20"/>
                <w:lang w:eastAsia="cs-CZ"/>
              </w:rPr>
              <w:t>ana</w:t>
            </w:r>
            <w:r w:rsidRPr="00A55202">
              <w:rPr>
                <w:rFonts w:ascii="Calibri" w:eastAsia="Times New Roman" w:hAnsi="Calibri" w:cs="Calibri"/>
                <w:sz w:val="20"/>
                <w:szCs w:val="20"/>
                <w:lang w:eastAsia="cs-CZ"/>
              </w:rPr>
              <w:t xml:space="preserve"> před nepř</w:t>
            </w:r>
            <w:r w:rsidR="008E0636">
              <w:rPr>
                <w:rFonts w:ascii="Calibri" w:eastAsia="Times New Roman" w:hAnsi="Calibri" w:cs="Calibri"/>
                <w:sz w:val="20"/>
                <w:szCs w:val="20"/>
                <w:lang w:eastAsia="cs-CZ"/>
              </w:rPr>
              <w:t>íznivými</w:t>
            </w:r>
            <w:r w:rsidRPr="00A55202">
              <w:rPr>
                <w:rFonts w:ascii="Calibri" w:eastAsia="Times New Roman" w:hAnsi="Calibri" w:cs="Calibri"/>
                <w:sz w:val="20"/>
                <w:szCs w:val="20"/>
                <w:lang w:eastAsia="cs-CZ"/>
              </w:rPr>
              <w:t xml:space="preserve"> vlivy prostř</w:t>
            </w:r>
            <w:r w:rsidR="008E0636">
              <w:rPr>
                <w:rFonts w:ascii="Calibri" w:eastAsia="Times New Roman" w:hAnsi="Calibri" w:cs="Calibri"/>
                <w:sz w:val="20"/>
                <w:szCs w:val="20"/>
                <w:lang w:eastAsia="cs-CZ"/>
              </w:rPr>
              <w:t>edí</w:t>
            </w:r>
            <w:r w:rsidRPr="00A55202">
              <w:rPr>
                <w:rFonts w:ascii="Calibri" w:eastAsia="Times New Roman" w:hAnsi="Calibri" w:cs="Calibri"/>
                <w:sz w:val="20"/>
                <w:szCs w:val="20"/>
                <w:lang w:eastAsia="cs-CZ"/>
              </w:rPr>
              <w:t xml:space="preserve"> neinv. (UZ 34031)</w:t>
            </w:r>
          </w:p>
        </w:tc>
        <w:tc>
          <w:tcPr>
            <w:tcW w:w="1264" w:type="dxa"/>
            <w:tcBorders>
              <w:top w:val="nil"/>
              <w:left w:val="nil"/>
              <w:bottom w:val="single" w:sz="4" w:space="0" w:color="auto"/>
              <w:right w:val="single" w:sz="4" w:space="0" w:color="auto"/>
            </w:tcBorders>
            <w:shd w:val="clear" w:color="000000" w:fill="FFFFFF"/>
            <w:noWrap/>
            <w:vAlign w:val="center"/>
            <w:hideMark/>
          </w:tcPr>
          <w:p w14:paraId="7D3F771E"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0</w:t>
            </w:r>
          </w:p>
        </w:tc>
        <w:tc>
          <w:tcPr>
            <w:tcW w:w="1602" w:type="dxa"/>
            <w:tcBorders>
              <w:top w:val="nil"/>
              <w:left w:val="nil"/>
              <w:bottom w:val="single" w:sz="4" w:space="0" w:color="auto"/>
              <w:right w:val="single" w:sz="4" w:space="0" w:color="auto"/>
            </w:tcBorders>
            <w:shd w:val="clear" w:color="000000" w:fill="FFFFFF"/>
            <w:noWrap/>
            <w:vAlign w:val="bottom"/>
            <w:hideMark/>
          </w:tcPr>
          <w:p w14:paraId="06C9AB92"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680 000,00</w:t>
            </w:r>
          </w:p>
        </w:tc>
        <w:tc>
          <w:tcPr>
            <w:tcW w:w="1701" w:type="dxa"/>
            <w:tcBorders>
              <w:top w:val="nil"/>
              <w:left w:val="nil"/>
              <w:bottom w:val="single" w:sz="4" w:space="0" w:color="auto"/>
              <w:right w:val="single" w:sz="4" w:space="0" w:color="auto"/>
            </w:tcBorders>
            <w:shd w:val="clear" w:color="000000" w:fill="FFFFFF"/>
            <w:noWrap/>
            <w:vAlign w:val="bottom"/>
            <w:hideMark/>
          </w:tcPr>
          <w:p w14:paraId="01C7A249"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668 131,00</w:t>
            </w:r>
          </w:p>
        </w:tc>
        <w:tc>
          <w:tcPr>
            <w:tcW w:w="647" w:type="dxa"/>
            <w:tcBorders>
              <w:top w:val="nil"/>
              <w:left w:val="nil"/>
              <w:bottom w:val="single" w:sz="4" w:space="0" w:color="auto"/>
              <w:right w:val="single" w:sz="8" w:space="0" w:color="auto"/>
            </w:tcBorders>
            <w:shd w:val="clear" w:color="000000" w:fill="FFFFFF"/>
            <w:noWrap/>
            <w:vAlign w:val="bottom"/>
            <w:hideMark/>
          </w:tcPr>
          <w:p w14:paraId="62A97E5E"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98,3</w:t>
            </w:r>
          </w:p>
        </w:tc>
      </w:tr>
      <w:tr w:rsidR="008E0636" w:rsidRPr="00A55202" w14:paraId="3F4EF613" w14:textId="77777777" w:rsidTr="008E0636">
        <w:trPr>
          <w:trHeight w:val="510"/>
        </w:trPr>
        <w:tc>
          <w:tcPr>
            <w:tcW w:w="826" w:type="dxa"/>
            <w:tcBorders>
              <w:top w:val="nil"/>
              <w:left w:val="single" w:sz="8" w:space="0" w:color="auto"/>
              <w:bottom w:val="single" w:sz="4" w:space="0" w:color="auto"/>
              <w:right w:val="single" w:sz="4" w:space="0" w:color="auto"/>
            </w:tcBorders>
            <w:shd w:val="clear" w:color="000000" w:fill="FFFFFF"/>
            <w:vAlign w:val="bottom"/>
            <w:hideMark/>
          </w:tcPr>
          <w:p w14:paraId="128EE58C"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3314, 3315</w:t>
            </w:r>
          </w:p>
        </w:tc>
        <w:tc>
          <w:tcPr>
            <w:tcW w:w="4672" w:type="dxa"/>
            <w:tcBorders>
              <w:top w:val="nil"/>
              <w:left w:val="nil"/>
              <w:bottom w:val="single" w:sz="4" w:space="0" w:color="auto"/>
              <w:right w:val="single" w:sz="4" w:space="0" w:color="auto"/>
            </w:tcBorders>
            <w:shd w:val="clear" w:color="000000" w:fill="FFFFFF"/>
            <w:vAlign w:val="bottom"/>
            <w:hideMark/>
          </w:tcPr>
          <w:p w14:paraId="0F08F2E5"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Veřejné informační služby knihoven - neinvestice (UZ 34053)</w:t>
            </w:r>
          </w:p>
        </w:tc>
        <w:tc>
          <w:tcPr>
            <w:tcW w:w="1264" w:type="dxa"/>
            <w:tcBorders>
              <w:top w:val="nil"/>
              <w:left w:val="nil"/>
              <w:bottom w:val="single" w:sz="4" w:space="0" w:color="auto"/>
              <w:right w:val="single" w:sz="4" w:space="0" w:color="auto"/>
            </w:tcBorders>
            <w:shd w:val="clear" w:color="000000" w:fill="FFFFFF"/>
            <w:noWrap/>
            <w:vAlign w:val="center"/>
            <w:hideMark/>
          </w:tcPr>
          <w:p w14:paraId="655AF628"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0</w:t>
            </w:r>
          </w:p>
        </w:tc>
        <w:tc>
          <w:tcPr>
            <w:tcW w:w="1602" w:type="dxa"/>
            <w:tcBorders>
              <w:top w:val="nil"/>
              <w:left w:val="nil"/>
              <w:bottom w:val="single" w:sz="4" w:space="0" w:color="auto"/>
              <w:right w:val="single" w:sz="4" w:space="0" w:color="auto"/>
            </w:tcBorders>
            <w:shd w:val="clear" w:color="000000" w:fill="FFFFFF"/>
            <w:noWrap/>
            <w:vAlign w:val="bottom"/>
            <w:hideMark/>
          </w:tcPr>
          <w:p w14:paraId="6DA25ADC"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81 000,00</w:t>
            </w:r>
          </w:p>
        </w:tc>
        <w:tc>
          <w:tcPr>
            <w:tcW w:w="1701" w:type="dxa"/>
            <w:tcBorders>
              <w:top w:val="nil"/>
              <w:left w:val="nil"/>
              <w:bottom w:val="single" w:sz="4" w:space="0" w:color="auto"/>
              <w:right w:val="single" w:sz="4" w:space="0" w:color="auto"/>
            </w:tcBorders>
            <w:shd w:val="clear" w:color="000000" w:fill="FFFFFF"/>
            <w:noWrap/>
            <w:vAlign w:val="bottom"/>
            <w:hideMark/>
          </w:tcPr>
          <w:p w14:paraId="08848D35"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76 000,00</w:t>
            </w:r>
          </w:p>
        </w:tc>
        <w:tc>
          <w:tcPr>
            <w:tcW w:w="647" w:type="dxa"/>
            <w:tcBorders>
              <w:top w:val="nil"/>
              <w:left w:val="nil"/>
              <w:bottom w:val="single" w:sz="4" w:space="0" w:color="auto"/>
              <w:right w:val="single" w:sz="8" w:space="0" w:color="auto"/>
            </w:tcBorders>
            <w:shd w:val="clear" w:color="000000" w:fill="FFFFFF"/>
            <w:noWrap/>
            <w:vAlign w:val="bottom"/>
            <w:hideMark/>
          </w:tcPr>
          <w:p w14:paraId="6029D14A"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93,8</w:t>
            </w:r>
          </w:p>
        </w:tc>
      </w:tr>
      <w:tr w:rsidR="008E0636" w:rsidRPr="00A55202" w14:paraId="2A3AFCBE" w14:textId="77777777" w:rsidTr="008E0636">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534309D9"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3315</w:t>
            </w:r>
          </w:p>
        </w:tc>
        <w:tc>
          <w:tcPr>
            <w:tcW w:w="4672" w:type="dxa"/>
            <w:tcBorders>
              <w:top w:val="nil"/>
              <w:left w:val="nil"/>
              <w:bottom w:val="single" w:sz="4" w:space="0" w:color="auto"/>
              <w:right w:val="single" w:sz="4" w:space="0" w:color="auto"/>
            </w:tcBorders>
            <w:shd w:val="clear" w:color="000000" w:fill="FFFFFF"/>
            <w:vAlign w:val="bottom"/>
            <w:hideMark/>
          </w:tcPr>
          <w:p w14:paraId="4DDDA698"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Havárie střech památek (UZ 34055)</w:t>
            </w:r>
          </w:p>
        </w:tc>
        <w:tc>
          <w:tcPr>
            <w:tcW w:w="1264" w:type="dxa"/>
            <w:tcBorders>
              <w:top w:val="nil"/>
              <w:left w:val="nil"/>
              <w:bottom w:val="single" w:sz="4" w:space="0" w:color="auto"/>
              <w:right w:val="single" w:sz="4" w:space="0" w:color="auto"/>
            </w:tcBorders>
            <w:shd w:val="clear" w:color="000000" w:fill="FFFFFF"/>
            <w:noWrap/>
            <w:vAlign w:val="center"/>
            <w:hideMark/>
          </w:tcPr>
          <w:p w14:paraId="4B4CEA1D"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0</w:t>
            </w:r>
          </w:p>
        </w:tc>
        <w:tc>
          <w:tcPr>
            <w:tcW w:w="1602" w:type="dxa"/>
            <w:tcBorders>
              <w:top w:val="nil"/>
              <w:left w:val="nil"/>
              <w:bottom w:val="single" w:sz="4" w:space="0" w:color="auto"/>
              <w:right w:val="single" w:sz="4" w:space="0" w:color="auto"/>
            </w:tcBorders>
            <w:shd w:val="clear" w:color="000000" w:fill="FFFFFF"/>
            <w:noWrap/>
            <w:vAlign w:val="bottom"/>
            <w:hideMark/>
          </w:tcPr>
          <w:p w14:paraId="60BE2CA8"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450 000,00</w:t>
            </w:r>
          </w:p>
        </w:tc>
        <w:tc>
          <w:tcPr>
            <w:tcW w:w="1701" w:type="dxa"/>
            <w:tcBorders>
              <w:top w:val="nil"/>
              <w:left w:val="nil"/>
              <w:bottom w:val="single" w:sz="4" w:space="0" w:color="auto"/>
              <w:right w:val="single" w:sz="4" w:space="0" w:color="auto"/>
            </w:tcBorders>
            <w:shd w:val="clear" w:color="000000" w:fill="FFFFFF"/>
            <w:noWrap/>
            <w:vAlign w:val="bottom"/>
            <w:hideMark/>
          </w:tcPr>
          <w:p w14:paraId="7AC405DD"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450 000,00</w:t>
            </w:r>
          </w:p>
        </w:tc>
        <w:tc>
          <w:tcPr>
            <w:tcW w:w="647" w:type="dxa"/>
            <w:tcBorders>
              <w:top w:val="nil"/>
              <w:left w:val="nil"/>
              <w:bottom w:val="single" w:sz="4" w:space="0" w:color="auto"/>
              <w:right w:val="single" w:sz="8" w:space="0" w:color="auto"/>
            </w:tcBorders>
            <w:shd w:val="clear" w:color="000000" w:fill="FFFFFF"/>
            <w:noWrap/>
            <w:vAlign w:val="bottom"/>
            <w:hideMark/>
          </w:tcPr>
          <w:p w14:paraId="4D21F183"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100,0</w:t>
            </w:r>
          </w:p>
        </w:tc>
      </w:tr>
      <w:tr w:rsidR="008E0636" w:rsidRPr="00A55202" w14:paraId="1FD4706D" w14:textId="77777777" w:rsidTr="008E0636">
        <w:trPr>
          <w:trHeight w:val="675"/>
        </w:trPr>
        <w:tc>
          <w:tcPr>
            <w:tcW w:w="826" w:type="dxa"/>
            <w:tcBorders>
              <w:top w:val="nil"/>
              <w:left w:val="single" w:sz="8" w:space="0" w:color="auto"/>
              <w:bottom w:val="single" w:sz="4" w:space="0" w:color="auto"/>
              <w:right w:val="single" w:sz="4" w:space="0" w:color="auto"/>
            </w:tcBorders>
            <w:shd w:val="clear" w:color="000000" w:fill="FFFFFF"/>
            <w:vAlign w:val="bottom"/>
            <w:hideMark/>
          </w:tcPr>
          <w:p w14:paraId="33FEC9CF" w14:textId="77777777" w:rsidR="00A55202" w:rsidRPr="00A55202" w:rsidRDefault="00A55202" w:rsidP="00A55202">
            <w:pPr>
              <w:spacing w:after="0" w:line="240" w:lineRule="auto"/>
              <w:jc w:val="center"/>
              <w:rPr>
                <w:rFonts w:ascii="Calibri" w:eastAsia="Times New Roman" w:hAnsi="Calibri" w:cs="Calibri"/>
                <w:sz w:val="16"/>
                <w:szCs w:val="16"/>
                <w:lang w:eastAsia="cs-CZ"/>
              </w:rPr>
            </w:pPr>
            <w:r w:rsidRPr="00A55202">
              <w:rPr>
                <w:rFonts w:ascii="Calibri" w:eastAsia="Times New Roman" w:hAnsi="Calibri" w:cs="Calibri"/>
                <w:sz w:val="16"/>
                <w:szCs w:val="16"/>
                <w:lang w:eastAsia="cs-CZ"/>
              </w:rPr>
              <w:t>3314, 3315, 3321</w:t>
            </w:r>
          </w:p>
        </w:tc>
        <w:tc>
          <w:tcPr>
            <w:tcW w:w="4672" w:type="dxa"/>
            <w:tcBorders>
              <w:top w:val="nil"/>
              <w:left w:val="nil"/>
              <w:bottom w:val="single" w:sz="4" w:space="0" w:color="auto"/>
              <w:right w:val="single" w:sz="4" w:space="0" w:color="auto"/>
            </w:tcBorders>
            <w:shd w:val="clear" w:color="000000" w:fill="FFFFFF"/>
            <w:noWrap/>
            <w:vAlign w:val="bottom"/>
            <w:hideMark/>
          </w:tcPr>
          <w:p w14:paraId="5090DA4C"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Kulturní aktivity (UZ 34070)</w:t>
            </w:r>
          </w:p>
        </w:tc>
        <w:tc>
          <w:tcPr>
            <w:tcW w:w="1264" w:type="dxa"/>
            <w:tcBorders>
              <w:top w:val="nil"/>
              <w:left w:val="nil"/>
              <w:bottom w:val="single" w:sz="4" w:space="0" w:color="auto"/>
              <w:right w:val="single" w:sz="4" w:space="0" w:color="auto"/>
            </w:tcBorders>
            <w:shd w:val="clear" w:color="000000" w:fill="FFFFFF"/>
            <w:noWrap/>
            <w:vAlign w:val="center"/>
            <w:hideMark/>
          </w:tcPr>
          <w:p w14:paraId="6013761E"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0</w:t>
            </w:r>
          </w:p>
        </w:tc>
        <w:tc>
          <w:tcPr>
            <w:tcW w:w="1602" w:type="dxa"/>
            <w:tcBorders>
              <w:top w:val="nil"/>
              <w:left w:val="nil"/>
              <w:bottom w:val="single" w:sz="4" w:space="0" w:color="auto"/>
              <w:right w:val="single" w:sz="4" w:space="0" w:color="auto"/>
            </w:tcBorders>
            <w:shd w:val="clear" w:color="000000" w:fill="FFFFFF"/>
            <w:noWrap/>
            <w:vAlign w:val="bottom"/>
            <w:hideMark/>
          </w:tcPr>
          <w:p w14:paraId="65A734F0"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11 334 978,00</w:t>
            </w:r>
          </w:p>
        </w:tc>
        <w:tc>
          <w:tcPr>
            <w:tcW w:w="1701" w:type="dxa"/>
            <w:tcBorders>
              <w:top w:val="nil"/>
              <w:left w:val="nil"/>
              <w:bottom w:val="single" w:sz="4" w:space="0" w:color="auto"/>
              <w:right w:val="single" w:sz="4" w:space="0" w:color="auto"/>
            </w:tcBorders>
            <w:shd w:val="clear" w:color="000000" w:fill="FFFFFF"/>
            <w:noWrap/>
            <w:vAlign w:val="bottom"/>
            <w:hideMark/>
          </w:tcPr>
          <w:p w14:paraId="5AA6C56F"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11 334 978,00</w:t>
            </w:r>
          </w:p>
        </w:tc>
        <w:tc>
          <w:tcPr>
            <w:tcW w:w="647" w:type="dxa"/>
            <w:tcBorders>
              <w:top w:val="nil"/>
              <w:left w:val="nil"/>
              <w:bottom w:val="single" w:sz="4" w:space="0" w:color="auto"/>
              <w:right w:val="single" w:sz="8" w:space="0" w:color="auto"/>
            </w:tcBorders>
            <w:shd w:val="clear" w:color="000000" w:fill="FFFFFF"/>
            <w:noWrap/>
            <w:vAlign w:val="bottom"/>
            <w:hideMark/>
          </w:tcPr>
          <w:p w14:paraId="4AF122E4"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100,0</w:t>
            </w:r>
          </w:p>
        </w:tc>
      </w:tr>
      <w:tr w:rsidR="008E0636" w:rsidRPr="00A55202" w14:paraId="3595CD36" w14:textId="77777777" w:rsidTr="008E0636">
        <w:trPr>
          <w:trHeight w:val="255"/>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33E9D925"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3315</w:t>
            </w:r>
          </w:p>
        </w:tc>
        <w:tc>
          <w:tcPr>
            <w:tcW w:w="4672" w:type="dxa"/>
            <w:tcBorders>
              <w:top w:val="nil"/>
              <w:left w:val="nil"/>
              <w:bottom w:val="single" w:sz="4" w:space="0" w:color="auto"/>
              <w:right w:val="single" w:sz="4" w:space="0" w:color="auto"/>
            </w:tcBorders>
            <w:shd w:val="clear" w:color="000000" w:fill="FFFFFF"/>
            <w:noWrap/>
            <w:vAlign w:val="bottom"/>
            <w:hideMark/>
          </w:tcPr>
          <w:p w14:paraId="2D3C2839"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Akviziční fond (UZ 34502)</w:t>
            </w:r>
          </w:p>
        </w:tc>
        <w:tc>
          <w:tcPr>
            <w:tcW w:w="1264" w:type="dxa"/>
            <w:tcBorders>
              <w:top w:val="nil"/>
              <w:left w:val="nil"/>
              <w:bottom w:val="single" w:sz="4" w:space="0" w:color="auto"/>
              <w:right w:val="single" w:sz="4" w:space="0" w:color="auto"/>
            </w:tcBorders>
            <w:shd w:val="clear" w:color="000000" w:fill="FFFFFF"/>
            <w:noWrap/>
            <w:vAlign w:val="center"/>
            <w:hideMark/>
          </w:tcPr>
          <w:p w14:paraId="77DFECFE"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0</w:t>
            </w:r>
          </w:p>
        </w:tc>
        <w:tc>
          <w:tcPr>
            <w:tcW w:w="1602" w:type="dxa"/>
            <w:tcBorders>
              <w:top w:val="nil"/>
              <w:left w:val="nil"/>
              <w:bottom w:val="single" w:sz="4" w:space="0" w:color="auto"/>
              <w:right w:val="single" w:sz="4" w:space="0" w:color="auto"/>
            </w:tcBorders>
            <w:shd w:val="clear" w:color="000000" w:fill="FFFFFF"/>
            <w:noWrap/>
            <w:vAlign w:val="bottom"/>
            <w:hideMark/>
          </w:tcPr>
          <w:p w14:paraId="6493C7C1"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2 499 000,00</w:t>
            </w:r>
          </w:p>
        </w:tc>
        <w:tc>
          <w:tcPr>
            <w:tcW w:w="1701" w:type="dxa"/>
            <w:tcBorders>
              <w:top w:val="nil"/>
              <w:left w:val="nil"/>
              <w:bottom w:val="single" w:sz="4" w:space="0" w:color="auto"/>
              <w:right w:val="single" w:sz="4" w:space="0" w:color="auto"/>
            </w:tcBorders>
            <w:shd w:val="clear" w:color="000000" w:fill="FFFFFF"/>
            <w:noWrap/>
            <w:vAlign w:val="bottom"/>
            <w:hideMark/>
          </w:tcPr>
          <w:p w14:paraId="14631E25"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2 499 000,00</w:t>
            </w:r>
          </w:p>
        </w:tc>
        <w:tc>
          <w:tcPr>
            <w:tcW w:w="647" w:type="dxa"/>
            <w:tcBorders>
              <w:top w:val="nil"/>
              <w:left w:val="nil"/>
              <w:bottom w:val="single" w:sz="4" w:space="0" w:color="auto"/>
              <w:right w:val="single" w:sz="8" w:space="0" w:color="auto"/>
            </w:tcBorders>
            <w:shd w:val="clear" w:color="000000" w:fill="FFFFFF"/>
            <w:noWrap/>
            <w:vAlign w:val="bottom"/>
            <w:hideMark/>
          </w:tcPr>
          <w:p w14:paraId="39881B8D"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100,0</w:t>
            </w:r>
          </w:p>
        </w:tc>
      </w:tr>
      <w:tr w:rsidR="008E0636" w:rsidRPr="00A55202" w14:paraId="61270F7D" w14:textId="77777777" w:rsidTr="008E0636">
        <w:trPr>
          <w:trHeight w:val="255"/>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4EEE540D"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3315</w:t>
            </w:r>
          </w:p>
        </w:tc>
        <w:tc>
          <w:tcPr>
            <w:tcW w:w="4672" w:type="dxa"/>
            <w:tcBorders>
              <w:top w:val="nil"/>
              <w:left w:val="nil"/>
              <w:bottom w:val="single" w:sz="4" w:space="0" w:color="auto"/>
              <w:right w:val="single" w:sz="4" w:space="0" w:color="auto"/>
            </w:tcBorders>
            <w:shd w:val="clear" w:color="000000" w:fill="FFFFFF"/>
            <w:noWrap/>
            <w:vAlign w:val="bottom"/>
            <w:hideMark/>
          </w:tcPr>
          <w:p w14:paraId="281B62D9" w14:textId="19BDFD01"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ISO II/C výkupy předmětů mimoř</w:t>
            </w:r>
            <w:r w:rsidR="008E0636">
              <w:rPr>
                <w:rFonts w:ascii="Calibri" w:eastAsia="Times New Roman" w:hAnsi="Calibri" w:cs="Calibri"/>
                <w:sz w:val="20"/>
                <w:szCs w:val="20"/>
                <w:lang w:eastAsia="cs-CZ"/>
              </w:rPr>
              <w:t>ádné</w:t>
            </w:r>
            <w:r w:rsidRPr="00A55202">
              <w:rPr>
                <w:rFonts w:ascii="Calibri" w:eastAsia="Times New Roman" w:hAnsi="Calibri" w:cs="Calibri"/>
                <w:sz w:val="20"/>
                <w:szCs w:val="20"/>
                <w:lang w:eastAsia="cs-CZ"/>
              </w:rPr>
              <w:t xml:space="preserve"> kult</w:t>
            </w:r>
            <w:r w:rsidR="008E0636">
              <w:rPr>
                <w:rFonts w:ascii="Calibri" w:eastAsia="Times New Roman" w:hAnsi="Calibri" w:cs="Calibri"/>
                <w:sz w:val="20"/>
                <w:szCs w:val="20"/>
                <w:lang w:eastAsia="cs-CZ"/>
              </w:rPr>
              <w:t>urní</w:t>
            </w:r>
            <w:r w:rsidRPr="00A55202">
              <w:rPr>
                <w:rFonts w:ascii="Calibri" w:eastAsia="Times New Roman" w:hAnsi="Calibri" w:cs="Calibri"/>
                <w:sz w:val="20"/>
                <w:szCs w:val="20"/>
                <w:lang w:eastAsia="cs-CZ"/>
              </w:rPr>
              <w:t xml:space="preserve"> hodnoty (UZ 34505)</w:t>
            </w:r>
          </w:p>
        </w:tc>
        <w:tc>
          <w:tcPr>
            <w:tcW w:w="1264" w:type="dxa"/>
            <w:tcBorders>
              <w:top w:val="nil"/>
              <w:left w:val="nil"/>
              <w:bottom w:val="single" w:sz="4" w:space="0" w:color="auto"/>
              <w:right w:val="single" w:sz="4" w:space="0" w:color="auto"/>
            </w:tcBorders>
            <w:shd w:val="clear" w:color="000000" w:fill="FFFFFF"/>
            <w:noWrap/>
            <w:vAlign w:val="center"/>
            <w:hideMark/>
          </w:tcPr>
          <w:p w14:paraId="3DABD66E"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0</w:t>
            </w:r>
          </w:p>
        </w:tc>
        <w:tc>
          <w:tcPr>
            <w:tcW w:w="1602" w:type="dxa"/>
            <w:tcBorders>
              <w:top w:val="nil"/>
              <w:left w:val="nil"/>
              <w:bottom w:val="single" w:sz="4" w:space="0" w:color="auto"/>
              <w:right w:val="single" w:sz="4" w:space="0" w:color="auto"/>
            </w:tcBorders>
            <w:shd w:val="clear" w:color="000000" w:fill="FFFFFF"/>
            <w:noWrap/>
            <w:vAlign w:val="bottom"/>
            <w:hideMark/>
          </w:tcPr>
          <w:p w14:paraId="044E0B43"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168 000,00</w:t>
            </w:r>
          </w:p>
        </w:tc>
        <w:tc>
          <w:tcPr>
            <w:tcW w:w="1701" w:type="dxa"/>
            <w:tcBorders>
              <w:top w:val="nil"/>
              <w:left w:val="nil"/>
              <w:bottom w:val="single" w:sz="4" w:space="0" w:color="auto"/>
              <w:right w:val="single" w:sz="4" w:space="0" w:color="auto"/>
            </w:tcBorders>
            <w:shd w:val="clear" w:color="000000" w:fill="FFFFFF"/>
            <w:noWrap/>
            <w:vAlign w:val="bottom"/>
            <w:hideMark/>
          </w:tcPr>
          <w:p w14:paraId="4112BFE3"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168 000,00</w:t>
            </w:r>
          </w:p>
        </w:tc>
        <w:tc>
          <w:tcPr>
            <w:tcW w:w="647" w:type="dxa"/>
            <w:tcBorders>
              <w:top w:val="nil"/>
              <w:left w:val="nil"/>
              <w:bottom w:val="single" w:sz="4" w:space="0" w:color="auto"/>
              <w:right w:val="single" w:sz="8" w:space="0" w:color="auto"/>
            </w:tcBorders>
            <w:shd w:val="clear" w:color="000000" w:fill="FFFFFF"/>
            <w:noWrap/>
            <w:vAlign w:val="bottom"/>
            <w:hideMark/>
          </w:tcPr>
          <w:p w14:paraId="07584A4D"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100,0</w:t>
            </w:r>
          </w:p>
        </w:tc>
      </w:tr>
      <w:tr w:rsidR="008E0636" w:rsidRPr="00A55202" w14:paraId="189BAE6D" w14:textId="77777777" w:rsidTr="008E0636">
        <w:trPr>
          <w:trHeight w:val="51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328A0BFF"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3315</w:t>
            </w:r>
          </w:p>
        </w:tc>
        <w:tc>
          <w:tcPr>
            <w:tcW w:w="4672" w:type="dxa"/>
            <w:tcBorders>
              <w:top w:val="nil"/>
              <w:left w:val="nil"/>
              <w:bottom w:val="single" w:sz="4" w:space="0" w:color="auto"/>
              <w:right w:val="single" w:sz="4" w:space="0" w:color="auto"/>
            </w:tcBorders>
            <w:shd w:val="clear" w:color="000000" w:fill="FFFFFF"/>
            <w:vAlign w:val="bottom"/>
            <w:hideMark/>
          </w:tcPr>
          <w:p w14:paraId="74FB0A74" w14:textId="7E7D0784"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ISO II/D prev</w:t>
            </w:r>
            <w:r w:rsidR="008E0636">
              <w:rPr>
                <w:rFonts w:ascii="Calibri" w:eastAsia="Times New Roman" w:hAnsi="Calibri" w:cs="Calibri"/>
                <w:sz w:val="20"/>
                <w:szCs w:val="20"/>
                <w:lang w:eastAsia="cs-CZ"/>
              </w:rPr>
              <w:t>entivní</w:t>
            </w:r>
            <w:r w:rsidRPr="00A55202">
              <w:rPr>
                <w:rFonts w:ascii="Calibri" w:eastAsia="Times New Roman" w:hAnsi="Calibri" w:cs="Calibri"/>
                <w:sz w:val="20"/>
                <w:szCs w:val="20"/>
                <w:lang w:eastAsia="cs-CZ"/>
              </w:rPr>
              <w:t xml:space="preserve"> ochr</w:t>
            </w:r>
            <w:r w:rsidR="008E0636">
              <w:rPr>
                <w:rFonts w:ascii="Calibri" w:eastAsia="Times New Roman" w:hAnsi="Calibri" w:cs="Calibri"/>
                <w:sz w:val="20"/>
                <w:szCs w:val="20"/>
                <w:lang w:eastAsia="cs-CZ"/>
              </w:rPr>
              <w:t>ana</w:t>
            </w:r>
            <w:r w:rsidRPr="00A55202">
              <w:rPr>
                <w:rFonts w:ascii="Calibri" w:eastAsia="Times New Roman" w:hAnsi="Calibri" w:cs="Calibri"/>
                <w:sz w:val="20"/>
                <w:szCs w:val="20"/>
                <w:lang w:eastAsia="cs-CZ"/>
              </w:rPr>
              <w:t xml:space="preserve"> před nepř</w:t>
            </w:r>
            <w:r w:rsidR="008E0636">
              <w:rPr>
                <w:rFonts w:ascii="Calibri" w:eastAsia="Times New Roman" w:hAnsi="Calibri" w:cs="Calibri"/>
                <w:sz w:val="20"/>
                <w:szCs w:val="20"/>
                <w:lang w:eastAsia="cs-CZ"/>
              </w:rPr>
              <w:t>íznivými</w:t>
            </w:r>
            <w:r w:rsidRPr="00A55202">
              <w:rPr>
                <w:rFonts w:ascii="Calibri" w:eastAsia="Times New Roman" w:hAnsi="Calibri" w:cs="Calibri"/>
                <w:sz w:val="20"/>
                <w:szCs w:val="20"/>
                <w:lang w:eastAsia="cs-CZ"/>
              </w:rPr>
              <w:t xml:space="preserve"> vlivy prostř</w:t>
            </w:r>
            <w:r w:rsidR="008E0636">
              <w:rPr>
                <w:rFonts w:ascii="Calibri" w:eastAsia="Times New Roman" w:hAnsi="Calibri" w:cs="Calibri"/>
                <w:sz w:val="20"/>
                <w:szCs w:val="20"/>
                <w:lang w:eastAsia="cs-CZ"/>
              </w:rPr>
              <w:t>edí</w:t>
            </w:r>
            <w:r w:rsidRPr="00A55202">
              <w:rPr>
                <w:rFonts w:ascii="Calibri" w:eastAsia="Times New Roman" w:hAnsi="Calibri" w:cs="Calibri"/>
                <w:sz w:val="20"/>
                <w:szCs w:val="20"/>
                <w:lang w:eastAsia="cs-CZ"/>
              </w:rPr>
              <w:t xml:space="preserve"> inv. (UZ 34506)</w:t>
            </w:r>
          </w:p>
        </w:tc>
        <w:tc>
          <w:tcPr>
            <w:tcW w:w="1264" w:type="dxa"/>
            <w:tcBorders>
              <w:top w:val="nil"/>
              <w:left w:val="nil"/>
              <w:bottom w:val="single" w:sz="4" w:space="0" w:color="auto"/>
              <w:right w:val="single" w:sz="4" w:space="0" w:color="auto"/>
            </w:tcBorders>
            <w:shd w:val="clear" w:color="000000" w:fill="FFFFFF"/>
            <w:noWrap/>
            <w:vAlign w:val="center"/>
            <w:hideMark/>
          </w:tcPr>
          <w:p w14:paraId="5DCCF5A8"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0</w:t>
            </w:r>
          </w:p>
        </w:tc>
        <w:tc>
          <w:tcPr>
            <w:tcW w:w="1602" w:type="dxa"/>
            <w:tcBorders>
              <w:top w:val="nil"/>
              <w:left w:val="nil"/>
              <w:bottom w:val="single" w:sz="4" w:space="0" w:color="auto"/>
              <w:right w:val="single" w:sz="4" w:space="0" w:color="auto"/>
            </w:tcBorders>
            <w:shd w:val="clear" w:color="000000" w:fill="FFFFFF"/>
            <w:noWrap/>
            <w:vAlign w:val="bottom"/>
            <w:hideMark/>
          </w:tcPr>
          <w:p w14:paraId="1AF90F11"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143 000,00</w:t>
            </w:r>
          </w:p>
        </w:tc>
        <w:tc>
          <w:tcPr>
            <w:tcW w:w="1701" w:type="dxa"/>
            <w:tcBorders>
              <w:top w:val="nil"/>
              <w:left w:val="nil"/>
              <w:bottom w:val="single" w:sz="4" w:space="0" w:color="auto"/>
              <w:right w:val="single" w:sz="4" w:space="0" w:color="auto"/>
            </w:tcBorders>
            <w:shd w:val="clear" w:color="000000" w:fill="FFFFFF"/>
            <w:noWrap/>
            <w:vAlign w:val="bottom"/>
            <w:hideMark/>
          </w:tcPr>
          <w:p w14:paraId="5FC3BB44"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143 000,00</w:t>
            </w:r>
          </w:p>
        </w:tc>
        <w:tc>
          <w:tcPr>
            <w:tcW w:w="647" w:type="dxa"/>
            <w:tcBorders>
              <w:top w:val="nil"/>
              <w:left w:val="nil"/>
              <w:bottom w:val="single" w:sz="4" w:space="0" w:color="auto"/>
              <w:right w:val="single" w:sz="8" w:space="0" w:color="auto"/>
            </w:tcBorders>
            <w:shd w:val="clear" w:color="000000" w:fill="FFFFFF"/>
            <w:noWrap/>
            <w:vAlign w:val="bottom"/>
            <w:hideMark/>
          </w:tcPr>
          <w:p w14:paraId="72F41377"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100,0</w:t>
            </w:r>
          </w:p>
        </w:tc>
      </w:tr>
      <w:tr w:rsidR="008E0636" w:rsidRPr="00A55202" w14:paraId="17E992E5" w14:textId="77777777" w:rsidTr="008E0636">
        <w:trPr>
          <w:trHeight w:val="255"/>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277F382F"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3314</w:t>
            </w:r>
          </w:p>
        </w:tc>
        <w:tc>
          <w:tcPr>
            <w:tcW w:w="4672" w:type="dxa"/>
            <w:tcBorders>
              <w:top w:val="nil"/>
              <w:left w:val="nil"/>
              <w:bottom w:val="single" w:sz="4" w:space="0" w:color="auto"/>
              <w:right w:val="single" w:sz="4" w:space="0" w:color="auto"/>
            </w:tcBorders>
            <w:shd w:val="clear" w:color="000000" w:fill="FFFFFF"/>
            <w:vAlign w:val="bottom"/>
            <w:hideMark/>
          </w:tcPr>
          <w:p w14:paraId="569B1979"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Veřejné informační služby knihoven - inv. (UZ 34544)</w:t>
            </w:r>
          </w:p>
        </w:tc>
        <w:tc>
          <w:tcPr>
            <w:tcW w:w="1264" w:type="dxa"/>
            <w:tcBorders>
              <w:top w:val="nil"/>
              <w:left w:val="nil"/>
              <w:bottom w:val="single" w:sz="4" w:space="0" w:color="auto"/>
              <w:right w:val="single" w:sz="4" w:space="0" w:color="auto"/>
            </w:tcBorders>
            <w:shd w:val="clear" w:color="000000" w:fill="FFFFFF"/>
            <w:noWrap/>
            <w:vAlign w:val="center"/>
            <w:hideMark/>
          </w:tcPr>
          <w:p w14:paraId="172D0BDB"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0</w:t>
            </w:r>
          </w:p>
        </w:tc>
        <w:tc>
          <w:tcPr>
            <w:tcW w:w="1602" w:type="dxa"/>
            <w:tcBorders>
              <w:top w:val="nil"/>
              <w:left w:val="nil"/>
              <w:bottom w:val="single" w:sz="4" w:space="0" w:color="auto"/>
              <w:right w:val="single" w:sz="4" w:space="0" w:color="auto"/>
            </w:tcBorders>
            <w:shd w:val="clear" w:color="000000" w:fill="FFFFFF"/>
            <w:noWrap/>
            <w:vAlign w:val="bottom"/>
            <w:hideMark/>
          </w:tcPr>
          <w:p w14:paraId="362C7C51"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605 000,00</w:t>
            </w:r>
          </w:p>
        </w:tc>
        <w:tc>
          <w:tcPr>
            <w:tcW w:w="1701" w:type="dxa"/>
            <w:tcBorders>
              <w:top w:val="nil"/>
              <w:left w:val="nil"/>
              <w:bottom w:val="single" w:sz="4" w:space="0" w:color="auto"/>
              <w:right w:val="single" w:sz="4" w:space="0" w:color="auto"/>
            </w:tcBorders>
            <w:shd w:val="clear" w:color="000000" w:fill="FFFFFF"/>
            <w:noWrap/>
            <w:vAlign w:val="bottom"/>
            <w:hideMark/>
          </w:tcPr>
          <w:p w14:paraId="63AA0C43"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99 000,00</w:t>
            </w:r>
          </w:p>
        </w:tc>
        <w:tc>
          <w:tcPr>
            <w:tcW w:w="647" w:type="dxa"/>
            <w:tcBorders>
              <w:top w:val="nil"/>
              <w:left w:val="nil"/>
              <w:bottom w:val="single" w:sz="4" w:space="0" w:color="auto"/>
              <w:right w:val="single" w:sz="8" w:space="0" w:color="auto"/>
            </w:tcBorders>
            <w:shd w:val="clear" w:color="000000" w:fill="FFFFFF"/>
            <w:noWrap/>
            <w:vAlign w:val="bottom"/>
            <w:hideMark/>
          </w:tcPr>
          <w:p w14:paraId="0DA54235"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16,4</w:t>
            </w:r>
          </w:p>
        </w:tc>
      </w:tr>
      <w:tr w:rsidR="008E0636" w:rsidRPr="00A55202" w14:paraId="6B8A0543" w14:textId="77777777" w:rsidTr="008E0636">
        <w:trPr>
          <w:trHeight w:val="255"/>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76B51209"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3315</w:t>
            </w:r>
          </w:p>
        </w:tc>
        <w:tc>
          <w:tcPr>
            <w:tcW w:w="4672" w:type="dxa"/>
            <w:tcBorders>
              <w:top w:val="nil"/>
              <w:left w:val="nil"/>
              <w:bottom w:val="single" w:sz="4" w:space="0" w:color="auto"/>
              <w:right w:val="single" w:sz="4" w:space="0" w:color="auto"/>
            </w:tcBorders>
            <w:shd w:val="clear" w:color="000000" w:fill="FFFFFF"/>
            <w:vAlign w:val="bottom"/>
            <w:hideMark/>
          </w:tcPr>
          <w:p w14:paraId="1B81E1FA"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Muzeum Českého krasu - IROP (UZ 17015, 17016)</w:t>
            </w:r>
          </w:p>
        </w:tc>
        <w:tc>
          <w:tcPr>
            <w:tcW w:w="1264" w:type="dxa"/>
            <w:tcBorders>
              <w:top w:val="nil"/>
              <w:left w:val="nil"/>
              <w:bottom w:val="single" w:sz="4" w:space="0" w:color="auto"/>
              <w:right w:val="single" w:sz="4" w:space="0" w:color="auto"/>
            </w:tcBorders>
            <w:shd w:val="clear" w:color="000000" w:fill="FFFFFF"/>
            <w:noWrap/>
            <w:vAlign w:val="center"/>
            <w:hideMark/>
          </w:tcPr>
          <w:p w14:paraId="60C6ED4A"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0</w:t>
            </w:r>
          </w:p>
        </w:tc>
        <w:tc>
          <w:tcPr>
            <w:tcW w:w="1602" w:type="dxa"/>
            <w:tcBorders>
              <w:top w:val="nil"/>
              <w:left w:val="nil"/>
              <w:bottom w:val="single" w:sz="4" w:space="0" w:color="auto"/>
              <w:right w:val="single" w:sz="4" w:space="0" w:color="auto"/>
            </w:tcBorders>
            <w:shd w:val="clear" w:color="000000" w:fill="FFFFFF"/>
            <w:noWrap/>
            <w:vAlign w:val="bottom"/>
            <w:hideMark/>
          </w:tcPr>
          <w:p w14:paraId="4A8A15EF"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352 472,89</w:t>
            </w:r>
          </w:p>
        </w:tc>
        <w:tc>
          <w:tcPr>
            <w:tcW w:w="1701" w:type="dxa"/>
            <w:tcBorders>
              <w:top w:val="nil"/>
              <w:left w:val="nil"/>
              <w:bottom w:val="single" w:sz="4" w:space="0" w:color="auto"/>
              <w:right w:val="single" w:sz="4" w:space="0" w:color="auto"/>
            </w:tcBorders>
            <w:shd w:val="clear" w:color="000000" w:fill="FFFFFF"/>
            <w:noWrap/>
            <w:vAlign w:val="bottom"/>
            <w:hideMark/>
          </w:tcPr>
          <w:p w14:paraId="2E785ACD"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352 472,89</w:t>
            </w:r>
          </w:p>
        </w:tc>
        <w:tc>
          <w:tcPr>
            <w:tcW w:w="647" w:type="dxa"/>
            <w:tcBorders>
              <w:top w:val="nil"/>
              <w:left w:val="nil"/>
              <w:bottom w:val="single" w:sz="4" w:space="0" w:color="auto"/>
              <w:right w:val="single" w:sz="8" w:space="0" w:color="auto"/>
            </w:tcBorders>
            <w:shd w:val="clear" w:color="000000" w:fill="FFFFFF"/>
            <w:noWrap/>
            <w:vAlign w:val="bottom"/>
            <w:hideMark/>
          </w:tcPr>
          <w:p w14:paraId="5A40304E"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100,0</w:t>
            </w:r>
          </w:p>
        </w:tc>
      </w:tr>
      <w:tr w:rsidR="008E0636" w:rsidRPr="00A55202" w14:paraId="76B11ED3" w14:textId="77777777" w:rsidTr="008E0636">
        <w:trPr>
          <w:trHeight w:val="255"/>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28F8CEE2"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3315</w:t>
            </w:r>
          </w:p>
        </w:tc>
        <w:tc>
          <w:tcPr>
            <w:tcW w:w="4672" w:type="dxa"/>
            <w:tcBorders>
              <w:top w:val="nil"/>
              <w:left w:val="nil"/>
              <w:bottom w:val="single" w:sz="4" w:space="0" w:color="auto"/>
              <w:right w:val="single" w:sz="4" w:space="0" w:color="auto"/>
            </w:tcBorders>
            <w:shd w:val="clear" w:color="000000" w:fill="FFFFFF"/>
            <w:vAlign w:val="bottom"/>
            <w:hideMark/>
          </w:tcPr>
          <w:p w14:paraId="6C256B2C"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Muzeum Českého krasu - IROP (UZ 17968, 17969)</w:t>
            </w:r>
          </w:p>
        </w:tc>
        <w:tc>
          <w:tcPr>
            <w:tcW w:w="1264" w:type="dxa"/>
            <w:tcBorders>
              <w:top w:val="nil"/>
              <w:left w:val="nil"/>
              <w:bottom w:val="single" w:sz="4" w:space="0" w:color="auto"/>
              <w:right w:val="single" w:sz="4" w:space="0" w:color="auto"/>
            </w:tcBorders>
            <w:shd w:val="clear" w:color="000000" w:fill="FFFFFF"/>
            <w:noWrap/>
            <w:vAlign w:val="center"/>
            <w:hideMark/>
          </w:tcPr>
          <w:p w14:paraId="728D643A"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0</w:t>
            </w:r>
          </w:p>
        </w:tc>
        <w:tc>
          <w:tcPr>
            <w:tcW w:w="1602" w:type="dxa"/>
            <w:tcBorders>
              <w:top w:val="nil"/>
              <w:left w:val="nil"/>
              <w:bottom w:val="single" w:sz="4" w:space="0" w:color="auto"/>
              <w:right w:val="single" w:sz="4" w:space="0" w:color="auto"/>
            </w:tcBorders>
            <w:shd w:val="clear" w:color="000000" w:fill="FFFFFF"/>
            <w:noWrap/>
            <w:vAlign w:val="bottom"/>
            <w:hideMark/>
          </w:tcPr>
          <w:p w14:paraId="354AFEFB"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24 614 457,75</w:t>
            </w:r>
          </w:p>
        </w:tc>
        <w:tc>
          <w:tcPr>
            <w:tcW w:w="1701" w:type="dxa"/>
            <w:tcBorders>
              <w:top w:val="nil"/>
              <w:left w:val="nil"/>
              <w:bottom w:val="single" w:sz="4" w:space="0" w:color="auto"/>
              <w:right w:val="single" w:sz="4" w:space="0" w:color="auto"/>
            </w:tcBorders>
            <w:shd w:val="clear" w:color="000000" w:fill="FFFFFF"/>
            <w:noWrap/>
            <w:vAlign w:val="bottom"/>
            <w:hideMark/>
          </w:tcPr>
          <w:p w14:paraId="1924AB0B"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24 614 457,75</w:t>
            </w:r>
          </w:p>
        </w:tc>
        <w:tc>
          <w:tcPr>
            <w:tcW w:w="647" w:type="dxa"/>
            <w:tcBorders>
              <w:top w:val="nil"/>
              <w:left w:val="nil"/>
              <w:bottom w:val="single" w:sz="4" w:space="0" w:color="auto"/>
              <w:right w:val="single" w:sz="8" w:space="0" w:color="auto"/>
            </w:tcBorders>
            <w:shd w:val="clear" w:color="000000" w:fill="FFFFFF"/>
            <w:noWrap/>
            <w:vAlign w:val="bottom"/>
            <w:hideMark/>
          </w:tcPr>
          <w:p w14:paraId="2EC27FE4"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100,0</w:t>
            </w:r>
          </w:p>
        </w:tc>
      </w:tr>
      <w:tr w:rsidR="008E0636" w:rsidRPr="00A55202" w14:paraId="67951EE9" w14:textId="77777777" w:rsidTr="008E0636">
        <w:trPr>
          <w:trHeight w:val="51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03F86C0F"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lastRenderedPageBreak/>
              <w:t>3314</w:t>
            </w:r>
          </w:p>
        </w:tc>
        <w:tc>
          <w:tcPr>
            <w:tcW w:w="4672" w:type="dxa"/>
            <w:tcBorders>
              <w:top w:val="nil"/>
              <w:left w:val="nil"/>
              <w:bottom w:val="single" w:sz="4" w:space="0" w:color="auto"/>
              <w:right w:val="single" w:sz="4" w:space="0" w:color="auto"/>
            </w:tcBorders>
            <w:shd w:val="clear" w:color="000000" w:fill="FFFFFF"/>
            <w:vAlign w:val="bottom"/>
            <w:hideMark/>
          </w:tcPr>
          <w:p w14:paraId="6C562209" w14:textId="5A6E8258"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Centrální depozitář S</w:t>
            </w:r>
            <w:r w:rsidR="008E0636">
              <w:rPr>
                <w:rFonts w:ascii="Calibri" w:eastAsia="Times New Roman" w:hAnsi="Calibri" w:cs="Calibri"/>
                <w:sz w:val="20"/>
                <w:szCs w:val="20"/>
                <w:lang w:eastAsia="cs-CZ"/>
              </w:rPr>
              <w:t>tředočeské vědecké knihovny</w:t>
            </w:r>
            <w:r w:rsidRPr="00A55202">
              <w:rPr>
                <w:rFonts w:ascii="Calibri" w:eastAsia="Times New Roman" w:hAnsi="Calibri" w:cs="Calibri"/>
                <w:sz w:val="20"/>
                <w:szCs w:val="20"/>
                <w:lang w:eastAsia="cs-CZ"/>
              </w:rPr>
              <w:t xml:space="preserve"> v Kladně IROP (UZ 17968, 17969)</w:t>
            </w:r>
          </w:p>
        </w:tc>
        <w:tc>
          <w:tcPr>
            <w:tcW w:w="1264" w:type="dxa"/>
            <w:tcBorders>
              <w:top w:val="nil"/>
              <w:left w:val="nil"/>
              <w:bottom w:val="single" w:sz="4" w:space="0" w:color="auto"/>
              <w:right w:val="single" w:sz="4" w:space="0" w:color="auto"/>
            </w:tcBorders>
            <w:shd w:val="clear" w:color="000000" w:fill="FFFFFF"/>
            <w:noWrap/>
            <w:vAlign w:val="center"/>
            <w:hideMark/>
          </w:tcPr>
          <w:p w14:paraId="3F64A204"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0</w:t>
            </w:r>
          </w:p>
        </w:tc>
        <w:tc>
          <w:tcPr>
            <w:tcW w:w="1602" w:type="dxa"/>
            <w:tcBorders>
              <w:top w:val="nil"/>
              <w:left w:val="nil"/>
              <w:bottom w:val="single" w:sz="4" w:space="0" w:color="auto"/>
              <w:right w:val="single" w:sz="4" w:space="0" w:color="auto"/>
            </w:tcBorders>
            <w:shd w:val="clear" w:color="000000" w:fill="FFFFFF"/>
            <w:noWrap/>
            <w:vAlign w:val="bottom"/>
            <w:hideMark/>
          </w:tcPr>
          <w:p w14:paraId="12A838EA"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39 623 738,27</w:t>
            </w:r>
          </w:p>
        </w:tc>
        <w:tc>
          <w:tcPr>
            <w:tcW w:w="1701" w:type="dxa"/>
            <w:tcBorders>
              <w:top w:val="nil"/>
              <w:left w:val="nil"/>
              <w:bottom w:val="single" w:sz="4" w:space="0" w:color="auto"/>
              <w:right w:val="single" w:sz="4" w:space="0" w:color="auto"/>
            </w:tcBorders>
            <w:shd w:val="clear" w:color="000000" w:fill="FFFFFF"/>
            <w:noWrap/>
            <w:vAlign w:val="bottom"/>
            <w:hideMark/>
          </w:tcPr>
          <w:p w14:paraId="5A9C2B18"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39 623 738,27</w:t>
            </w:r>
          </w:p>
        </w:tc>
        <w:tc>
          <w:tcPr>
            <w:tcW w:w="647" w:type="dxa"/>
            <w:tcBorders>
              <w:top w:val="nil"/>
              <w:left w:val="nil"/>
              <w:bottom w:val="single" w:sz="4" w:space="0" w:color="auto"/>
              <w:right w:val="single" w:sz="8" w:space="0" w:color="auto"/>
            </w:tcBorders>
            <w:shd w:val="clear" w:color="000000" w:fill="FFFFFF"/>
            <w:noWrap/>
            <w:vAlign w:val="bottom"/>
            <w:hideMark/>
          </w:tcPr>
          <w:p w14:paraId="342E1980"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100,0</w:t>
            </w:r>
          </w:p>
        </w:tc>
      </w:tr>
      <w:tr w:rsidR="008E0636" w:rsidRPr="00A55202" w14:paraId="20029DEE" w14:textId="77777777" w:rsidTr="008E0636">
        <w:trPr>
          <w:trHeight w:val="51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5ECFC18F"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3315</w:t>
            </w:r>
          </w:p>
        </w:tc>
        <w:tc>
          <w:tcPr>
            <w:tcW w:w="4672" w:type="dxa"/>
            <w:tcBorders>
              <w:top w:val="nil"/>
              <w:left w:val="nil"/>
              <w:bottom w:val="single" w:sz="4" w:space="0" w:color="auto"/>
              <w:right w:val="single" w:sz="4" w:space="0" w:color="auto"/>
            </w:tcBorders>
            <w:shd w:val="clear" w:color="000000" w:fill="FFFFFF"/>
            <w:vAlign w:val="bottom"/>
            <w:hideMark/>
          </w:tcPr>
          <w:p w14:paraId="634180E2" w14:textId="5546A535"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Vlast</w:t>
            </w:r>
            <w:r w:rsidR="008E0636">
              <w:rPr>
                <w:rFonts w:ascii="Calibri" w:eastAsia="Times New Roman" w:hAnsi="Calibri" w:cs="Calibri"/>
                <w:sz w:val="20"/>
                <w:szCs w:val="20"/>
                <w:lang w:eastAsia="cs-CZ"/>
              </w:rPr>
              <w:t>ivědné</w:t>
            </w:r>
            <w:r w:rsidRPr="00A55202">
              <w:rPr>
                <w:rFonts w:ascii="Calibri" w:eastAsia="Times New Roman" w:hAnsi="Calibri" w:cs="Calibri"/>
                <w:sz w:val="20"/>
                <w:szCs w:val="20"/>
                <w:lang w:eastAsia="cs-CZ"/>
              </w:rPr>
              <w:t xml:space="preserve"> muzeum Nymburk - rekonstrukce budovy (UZ 17968, 17969)</w:t>
            </w:r>
          </w:p>
        </w:tc>
        <w:tc>
          <w:tcPr>
            <w:tcW w:w="1264" w:type="dxa"/>
            <w:tcBorders>
              <w:top w:val="nil"/>
              <w:left w:val="nil"/>
              <w:bottom w:val="single" w:sz="4" w:space="0" w:color="auto"/>
              <w:right w:val="single" w:sz="4" w:space="0" w:color="auto"/>
            </w:tcBorders>
            <w:shd w:val="clear" w:color="000000" w:fill="FFFFFF"/>
            <w:noWrap/>
            <w:vAlign w:val="center"/>
            <w:hideMark/>
          </w:tcPr>
          <w:p w14:paraId="62FA5A8E"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0</w:t>
            </w:r>
          </w:p>
        </w:tc>
        <w:tc>
          <w:tcPr>
            <w:tcW w:w="1602" w:type="dxa"/>
            <w:tcBorders>
              <w:top w:val="nil"/>
              <w:left w:val="nil"/>
              <w:bottom w:val="single" w:sz="4" w:space="0" w:color="auto"/>
              <w:right w:val="single" w:sz="4" w:space="0" w:color="auto"/>
            </w:tcBorders>
            <w:shd w:val="clear" w:color="000000" w:fill="FFFFFF"/>
            <w:noWrap/>
            <w:vAlign w:val="bottom"/>
            <w:hideMark/>
          </w:tcPr>
          <w:p w14:paraId="3970EE7A"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4 096 797,83</w:t>
            </w:r>
          </w:p>
        </w:tc>
        <w:tc>
          <w:tcPr>
            <w:tcW w:w="1701" w:type="dxa"/>
            <w:tcBorders>
              <w:top w:val="nil"/>
              <w:left w:val="nil"/>
              <w:bottom w:val="single" w:sz="4" w:space="0" w:color="auto"/>
              <w:right w:val="single" w:sz="4" w:space="0" w:color="auto"/>
            </w:tcBorders>
            <w:shd w:val="clear" w:color="000000" w:fill="FFFFFF"/>
            <w:noWrap/>
            <w:vAlign w:val="bottom"/>
            <w:hideMark/>
          </w:tcPr>
          <w:p w14:paraId="3C797F95"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4 096 797,83</w:t>
            </w:r>
          </w:p>
        </w:tc>
        <w:tc>
          <w:tcPr>
            <w:tcW w:w="647" w:type="dxa"/>
            <w:tcBorders>
              <w:top w:val="nil"/>
              <w:left w:val="nil"/>
              <w:bottom w:val="single" w:sz="4" w:space="0" w:color="auto"/>
              <w:right w:val="single" w:sz="8" w:space="0" w:color="auto"/>
            </w:tcBorders>
            <w:shd w:val="clear" w:color="000000" w:fill="FFFFFF"/>
            <w:noWrap/>
            <w:vAlign w:val="bottom"/>
            <w:hideMark/>
          </w:tcPr>
          <w:p w14:paraId="1C2058FD"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100,0</w:t>
            </w:r>
          </w:p>
        </w:tc>
      </w:tr>
      <w:tr w:rsidR="008E0636" w:rsidRPr="00A55202" w14:paraId="3FBAFCC3" w14:textId="77777777" w:rsidTr="008E0636">
        <w:trPr>
          <w:trHeight w:val="525"/>
        </w:trPr>
        <w:tc>
          <w:tcPr>
            <w:tcW w:w="826" w:type="dxa"/>
            <w:tcBorders>
              <w:top w:val="nil"/>
              <w:left w:val="single" w:sz="8" w:space="0" w:color="auto"/>
              <w:bottom w:val="single" w:sz="8" w:space="0" w:color="auto"/>
              <w:right w:val="single" w:sz="4" w:space="0" w:color="auto"/>
            </w:tcBorders>
            <w:shd w:val="clear" w:color="000000" w:fill="FFFFFF"/>
            <w:noWrap/>
            <w:vAlign w:val="bottom"/>
            <w:hideMark/>
          </w:tcPr>
          <w:p w14:paraId="1F7179E5" w14:textId="77777777" w:rsidR="00A55202" w:rsidRPr="00A55202" w:rsidRDefault="00A55202" w:rsidP="00A55202">
            <w:pPr>
              <w:spacing w:after="0" w:line="240" w:lineRule="auto"/>
              <w:jc w:val="center"/>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3315</w:t>
            </w:r>
          </w:p>
        </w:tc>
        <w:tc>
          <w:tcPr>
            <w:tcW w:w="4672" w:type="dxa"/>
            <w:tcBorders>
              <w:top w:val="nil"/>
              <w:left w:val="nil"/>
              <w:bottom w:val="single" w:sz="8" w:space="0" w:color="auto"/>
              <w:right w:val="single" w:sz="4" w:space="0" w:color="auto"/>
            </w:tcBorders>
            <w:shd w:val="clear" w:color="000000" w:fill="FFFFFF"/>
            <w:vAlign w:val="bottom"/>
            <w:hideMark/>
          </w:tcPr>
          <w:p w14:paraId="5F5E1623"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Středočeské muzeum v Roztokách u Prahy - IROP (UZ 17968, 17969)</w:t>
            </w:r>
          </w:p>
        </w:tc>
        <w:tc>
          <w:tcPr>
            <w:tcW w:w="1264" w:type="dxa"/>
            <w:tcBorders>
              <w:top w:val="nil"/>
              <w:left w:val="nil"/>
              <w:bottom w:val="single" w:sz="8" w:space="0" w:color="auto"/>
              <w:right w:val="single" w:sz="4" w:space="0" w:color="auto"/>
            </w:tcBorders>
            <w:shd w:val="clear" w:color="000000" w:fill="FFFFFF"/>
            <w:noWrap/>
            <w:vAlign w:val="bottom"/>
            <w:hideMark/>
          </w:tcPr>
          <w:p w14:paraId="378435A6"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0</w:t>
            </w:r>
          </w:p>
        </w:tc>
        <w:tc>
          <w:tcPr>
            <w:tcW w:w="1602" w:type="dxa"/>
            <w:tcBorders>
              <w:top w:val="nil"/>
              <w:left w:val="nil"/>
              <w:bottom w:val="single" w:sz="8" w:space="0" w:color="auto"/>
              <w:right w:val="single" w:sz="4" w:space="0" w:color="auto"/>
            </w:tcBorders>
            <w:shd w:val="clear" w:color="000000" w:fill="FFFFFF"/>
            <w:noWrap/>
            <w:vAlign w:val="bottom"/>
            <w:hideMark/>
          </w:tcPr>
          <w:p w14:paraId="660B0196"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26 682 296,83</w:t>
            </w:r>
          </w:p>
        </w:tc>
        <w:tc>
          <w:tcPr>
            <w:tcW w:w="1701" w:type="dxa"/>
            <w:tcBorders>
              <w:top w:val="nil"/>
              <w:left w:val="nil"/>
              <w:bottom w:val="single" w:sz="8" w:space="0" w:color="auto"/>
              <w:right w:val="single" w:sz="4" w:space="0" w:color="auto"/>
            </w:tcBorders>
            <w:shd w:val="clear" w:color="000000" w:fill="FFFFFF"/>
            <w:noWrap/>
            <w:vAlign w:val="bottom"/>
            <w:hideMark/>
          </w:tcPr>
          <w:p w14:paraId="4F48C0FE"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26 682 296,83</w:t>
            </w:r>
          </w:p>
        </w:tc>
        <w:tc>
          <w:tcPr>
            <w:tcW w:w="647" w:type="dxa"/>
            <w:tcBorders>
              <w:top w:val="nil"/>
              <w:left w:val="nil"/>
              <w:bottom w:val="single" w:sz="8" w:space="0" w:color="auto"/>
              <w:right w:val="single" w:sz="8" w:space="0" w:color="auto"/>
            </w:tcBorders>
            <w:shd w:val="clear" w:color="000000" w:fill="FFFFFF"/>
            <w:noWrap/>
            <w:vAlign w:val="bottom"/>
            <w:hideMark/>
          </w:tcPr>
          <w:p w14:paraId="3520A086" w14:textId="77777777" w:rsidR="00A55202" w:rsidRPr="00A55202" w:rsidRDefault="00A55202" w:rsidP="00A55202">
            <w:pPr>
              <w:spacing w:after="0" w:line="240" w:lineRule="auto"/>
              <w:jc w:val="right"/>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100,0</w:t>
            </w:r>
          </w:p>
        </w:tc>
      </w:tr>
      <w:tr w:rsidR="008E0636" w:rsidRPr="00A55202" w14:paraId="5FC0528A" w14:textId="77777777" w:rsidTr="008E0636">
        <w:trPr>
          <w:trHeight w:val="315"/>
        </w:trPr>
        <w:tc>
          <w:tcPr>
            <w:tcW w:w="826" w:type="dxa"/>
            <w:tcBorders>
              <w:top w:val="nil"/>
              <w:left w:val="single" w:sz="8" w:space="0" w:color="auto"/>
              <w:bottom w:val="single" w:sz="8" w:space="0" w:color="auto"/>
              <w:right w:val="single" w:sz="4" w:space="0" w:color="auto"/>
            </w:tcBorders>
            <w:shd w:val="clear" w:color="000000" w:fill="FFFFFF"/>
            <w:noWrap/>
            <w:vAlign w:val="bottom"/>
            <w:hideMark/>
          </w:tcPr>
          <w:p w14:paraId="037F94A4"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c>
          <w:tcPr>
            <w:tcW w:w="4672" w:type="dxa"/>
            <w:tcBorders>
              <w:top w:val="nil"/>
              <w:left w:val="nil"/>
              <w:bottom w:val="single" w:sz="8" w:space="0" w:color="auto"/>
              <w:right w:val="single" w:sz="4" w:space="0" w:color="auto"/>
            </w:tcBorders>
            <w:shd w:val="clear" w:color="000000" w:fill="FFFFFF"/>
            <w:noWrap/>
            <w:vAlign w:val="bottom"/>
            <w:hideMark/>
          </w:tcPr>
          <w:p w14:paraId="50761C36" w14:textId="77777777" w:rsidR="00A55202" w:rsidRPr="00A55202" w:rsidRDefault="00A55202" w:rsidP="00A55202">
            <w:pPr>
              <w:spacing w:after="0" w:line="240" w:lineRule="auto"/>
              <w:rPr>
                <w:rFonts w:ascii="Calibri" w:eastAsia="Times New Roman" w:hAnsi="Calibri" w:cs="Calibri"/>
                <w:b/>
                <w:bCs/>
                <w:lang w:eastAsia="cs-CZ"/>
              </w:rPr>
            </w:pPr>
            <w:r w:rsidRPr="00A55202">
              <w:rPr>
                <w:rFonts w:ascii="Calibri" w:eastAsia="Times New Roman" w:hAnsi="Calibri" w:cs="Calibri"/>
                <w:b/>
                <w:bCs/>
                <w:lang w:eastAsia="cs-CZ"/>
              </w:rPr>
              <w:t>Celkem</w:t>
            </w:r>
          </w:p>
        </w:tc>
        <w:tc>
          <w:tcPr>
            <w:tcW w:w="1264" w:type="dxa"/>
            <w:tcBorders>
              <w:top w:val="nil"/>
              <w:left w:val="nil"/>
              <w:bottom w:val="single" w:sz="8" w:space="0" w:color="auto"/>
              <w:right w:val="single" w:sz="4" w:space="0" w:color="auto"/>
            </w:tcBorders>
            <w:shd w:val="clear" w:color="000000" w:fill="FFFFFF"/>
            <w:noWrap/>
            <w:vAlign w:val="bottom"/>
            <w:hideMark/>
          </w:tcPr>
          <w:p w14:paraId="5E252C24" w14:textId="77777777" w:rsidR="00A55202" w:rsidRPr="00A55202" w:rsidRDefault="00A55202" w:rsidP="00A55202">
            <w:pPr>
              <w:spacing w:after="0" w:line="240" w:lineRule="auto"/>
              <w:jc w:val="right"/>
              <w:rPr>
                <w:rFonts w:ascii="Calibri" w:eastAsia="Times New Roman" w:hAnsi="Calibri" w:cs="Calibri"/>
                <w:b/>
                <w:bCs/>
                <w:sz w:val="20"/>
                <w:szCs w:val="20"/>
                <w:lang w:eastAsia="cs-CZ"/>
              </w:rPr>
            </w:pPr>
            <w:r w:rsidRPr="00A55202">
              <w:rPr>
                <w:rFonts w:ascii="Calibri" w:eastAsia="Times New Roman" w:hAnsi="Calibri" w:cs="Calibri"/>
                <w:b/>
                <w:bCs/>
                <w:sz w:val="20"/>
                <w:szCs w:val="20"/>
                <w:lang w:eastAsia="cs-CZ"/>
              </w:rPr>
              <w:t>0</w:t>
            </w:r>
          </w:p>
        </w:tc>
        <w:tc>
          <w:tcPr>
            <w:tcW w:w="1602" w:type="dxa"/>
            <w:tcBorders>
              <w:top w:val="nil"/>
              <w:left w:val="nil"/>
              <w:bottom w:val="single" w:sz="8" w:space="0" w:color="auto"/>
              <w:right w:val="single" w:sz="4" w:space="0" w:color="auto"/>
            </w:tcBorders>
            <w:shd w:val="clear" w:color="000000" w:fill="FFFFFF"/>
            <w:noWrap/>
            <w:vAlign w:val="bottom"/>
            <w:hideMark/>
          </w:tcPr>
          <w:p w14:paraId="531B49D4" w14:textId="77777777" w:rsidR="00A55202" w:rsidRPr="00A55202" w:rsidRDefault="00A55202" w:rsidP="00A55202">
            <w:pPr>
              <w:spacing w:after="0" w:line="240" w:lineRule="auto"/>
              <w:jc w:val="right"/>
              <w:rPr>
                <w:rFonts w:ascii="Calibri" w:eastAsia="Times New Roman" w:hAnsi="Calibri" w:cs="Calibri"/>
                <w:b/>
                <w:bCs/>
                <w:lang w:eastAsia="cs-CZ"/>
              </w:rPr>
            </w:pPr>
            <w:r w:rsidRPr="00A55202">
              <w:rPr>
                <w:rFonts w:ascii="Calibri" w:eastAsia="Times New Roman" w:hAnsi="Calibri" w:cs="Calibri"/>
                <w:b/>
                <w:bCs/>
                <w:lang w:eastAsia="cs-CZ"/>
              </w:rPr>
              <w:t>114 219 789,57</w:t>
            </w:r>
          </w:p>
        </w:tc>
        <w:tc>
          <w:tcPr>
            <w:tcW w:w="1701" w:type="dxa"/>
            <w:tcBorders>
              <w:top w:val="nil"/>
              <w:left w:val="nil"/>
              <w:bottom w:val="single" w:sz="8" w:space="0" w:color="auto"/>
              <w:right w:val="single" w:sz="4" w:space="0" w:color="auto"/>
            </w:tcBorders>
            <w:shd w:val="clear" w:color="000000" w:fill="FFFFFF"/>
            <w:noWrap/>
            <w:vAlign w:val="bottom"/>
            <w:hideMark/>
          </w:tcPr>
          <w:p w14:paraId="58EC214E" w14:textId="77777777" w:rsidR="00A55202" w:rsidRPr="00A55202" w:rsidRDefault="00A55202" w:rsidP="00A55202">
            <w:pPr>
              <w:spacing w:after="0" w:line="240" w:lineRule="auto"/>
              <w:jc w:val="right"/>
              <w:rPr>
                <w:rFonts w:ascii="Calibri" w:eastAsia="Times New Roman" w:hAnsi="Calibri" w:cs="Calibri"/>
                <w:b/>
                <w:bCs/>
                <w:lang w:eastAsia="cs-CZ"/>
              </w:rPr>
            </w:pPr>
            <w:r w:rsidRPr="00A55202">
              <w:rPr>
                <w:rFonts w:ascii="Calibri" w:eastAsia="Times New Roman" w:hAnsi="Calibri" w:cs="Calibri"/>
                <w:b/>
                <w:bCs/>
                <w:lang w:eastAsia="cs-CZ"/>
              </w:rPr>
              <w:t>113 696 920,57</w:t>
            </w:r>
          </w:p>
        </w:tc>
        <w:tc>
          <w:tcPr>
            <w:tcW w:w="647" w:type="dxa"/>
            <w:tcBorders>
              <w:top w:val="nil"/>
              <w:left w:val="nil"/>
              <w:bottom w:val="single" w:sz="8" w:space="0" w:color="auto"/>
              <w:right w:val="single" w:sz="8" w:space="0" w:color="auto"/>
            </w:tcBorders>
            <w:shd w:val="clear" w:color="000000" w:fill="FFFFFF"/>
            <w:noWrap/>
            <w:vAlign w:val="bottom"/>
            <w:hideMark/>
          </w:tcPr>
          <w:p w14:paraId="75C69EA0" w14:textId="77777777" w:rsidR="00A55202" w:rsidRPr="00A55202" w:rsidRDefault="00A55202" w:rsidP="00A55202">
            <w:pPr>
              <w:spacing w:after="0" w:line="240" w:lineRule="auto"/>
              <w:jc w:val="right"/>
              <w:rPr>
                <w:rFonts w:ascii="Calibri" w:eastAsia="Times New Roman" w:hAnsi="Calibri" w:cs="Calibri"/>
                <w:b/>
                <w:bCs/>
                <w:lang w:eastAsia="cs-CZ"/>
              </w:rPr>
            </w:pPr>
            <w:r w:rsidRPr="00A55202">
              <w:rPr>
                <w:rFonts w:ascii="Calibri" w:eastAsia="Times New Roman" w:hAnsi="Calibri" w:cs="Calibri"/>
                <w:b/>
                <w:bCs/>
                <w:lang w:eastAsia="cs-CZ"/>
              </w:rPr>
              <w:t>99,5</w:t>
            </w:r>
          </w:p>
        </w:tc>
      </w:tr>
      <w:tr w:rsidR="008E0636" w:rsidRPr="00A55202" w14:paraId="45842556" w14:textId="77777777" w:rsidTr="008E0636">
        <w:trPr>
          <w:trHeight w:val="270"/>
        </w:trPr>
        <w:tc>
          <w:tcPr>
            <w:tcW w:w="826" w:type="dxa"/>
            <w:tcBorders>
              <w:top w:val="nil"/>
              <w:left w:val="nil"/>
              <w:bottom w:val="nil"/>
              <w:right w:val="nil"/>
            </w:tcBorders>
            <w:shd w:val="clear" w:color="000000" w:fill="FFFFFF"/>
            <w:noWrap/>
            <w:vAlign w:val="bottom"/>
            <w:hideMark/>
          </w:tcPr>
          <w:p w14:paraId="702B600E"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c>
          <w:tcPr>
            <w:tcW w:w="4672" w:type="dxa"/>
            <w:tcBorders>
              <w:top w:val="nil"/>
              <w:left w:val="nil"/>
              <w:bottom w:val="nil"/>
              <w:right w:val="nil"/>
            </w:tcBorders>
            <w:shd w:val="clear" w:color="000000" w:fill="FFFFFF"/>
            <w:noWrap/>
            <w:vAlign w:val="bottom"/>
            <w:hideMark/>
          </w:tcPr>
          <w:p w14:paraId="4B10F6D1"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c>
          <w:tcPr>
            <w:tcW w:w="1264" w:type="dxa"/>
            <w:tcBorders>
              <w:top w:val="nil"/>
              <w:left w:val="nil"/>
              <w:bottom w:val="nil"/>
              <w:right w:val="nil"/>
            </w:tcBorders>
            <w:shd w:val="clear" w:color="000000" w:fill="FFFFFF"/>
            <w:noWrap/>
            <w:vAlign w:val="bottom"/>
            <w:hideMark/>
          </w:tcPr>
          <w:p w14:paraId="64D981F8"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c>
          <w:tcPr>
            <w:tcW w:w="1602" w:type="dxa"/>
            <w:tcBorders>
              <w:top w:val="nil"/>
              <w:left w:val="nil"/>
              <w:bottom w:val="nil"/>
              <w:right w:val="nil"/>
            </w:tcBorders>
            <w:shd w:val="clear" w:color="000000" w:fill="FFFFFF"/>
            <w:noWrap/>
            <w:vAlign w:val="bottom"/>
            <w:hideMark/>
          </w:tcPr>
          <w:p w14:paraId="075C0354"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c>
          <w:tcPr>
            <w:tcW w:w="1701" w:type="dxa"/>
            <w:tcBorders>
              <w:top w:val="nil"/>
              <w:left w:val="nil"/>
              <w:bottom w:val="nil"/>
              <w:right w:val="nil"/>
            </w:tcBorders>
            <w:shd w:val="clear" w:color="000000" w:fill="FFFFFF"/>
            <w:noWrap/>
            <w:vAlign w:val="bottom"/>
            <w:hideMark/>
          </w:tcPr>
          <w:p w14:paraId="6FF86722"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c>
          <w:tcPr>
            <w:tcW w:w="647" w:type="dxa"/>
            <w:tcBorders>
              <w:top w:val="nil"/>
              <w:left w:val="nil"/>
              <w:bottom w:val="nil"/>
              <w:right w:val="nil"/>
            </w:tcBorders>
            <w:shd w:val="clear" w:color="000000" w:fill="FFFFFF"/>
            <w:noWrap/>
            <w:vAlign w:val="bottom"/>
            <w:hideMark/>
          </w:tcPr>
          <w:p w14:paraId="27997758" w14:textId="77777777" w:rsidR="00A55202" w:rsidRPr="00A55202" w:rsidRDefault="00A55202" w:rsidP="00A55202">
            <w:pPr>
              <w:spacing w:after="0" w:line="240" w:lineRule="auto"/>
              <w:rPr>
                <w:rFonts w:ascii="Calibri" w:eastAsia="Times New Roman" w:hAnsi="Calibri" w:cs="Calibri"/>
                <w:sz w:val="20"/>
                <w:szCs w:val="20"/>
                <w:lang w:eastAsia="cs-CZ"/>
              </w:rPr>
            </w:pPr>
            <w:r w:rsidRPr="00A55202">
              <w:rPr>
                <w:rFonts w:ascii="Calibri" w:eastAsia="Times New Roman" w:hAnsi="Calibri" w:cs="Calibri"/>
                <w:sz w:val="20"/>
                <w:szCs w:val="20"/>
                <w:lang w:eastAsia="cs-CZ"/>
              </w:rPr>
              <w:t> </w:t>
            </w:r>
          </w:p>
        </w:tc>
      </w:tr>
      <w:tr w:rsidR="008E0636" w:rsidRPr="00A55202" w14:paraId="3671FFCB" w14:textId="77777777" w:rsidTr="008E0636">
        <w:trPr>
          <w:trHeight w:val="315"/>
        </w:trPr>
        <w:tc>
          <w:tcPr>
            <w:tcW w:w="5498" w:type="dxa"/>
            <w:gridSpan w:val="2"/>
            <w:tcBorders>
              <w:top w:val="single" w:sz="8" w:space="0" w:color="auto"/>
              <w:left w:val="single" w:sz="8" w:space="0" w:color="auto"/>
              <w:bottom w:val="single" w:sz="8" w:space="0" w:color="auto"/>
              <w:right w:val="single" w:sz="8" w:space="0" w:color="000000"/>
            </w:tcBorders>
            <w:shd w:val="clear" w:color="000000" w:fill="FFFFFF"/>
            <w:noWrap/>
            <w:vAlign w:val="bottom"/>
            <w:hideMark/>
          </w:tcPr>
          <w:p w14:paraId="7999412F" w14:textId="77777777" w:rsidR="00A55202" w:rsidRPr="00A55202" w:rsidRDefault="00A55202" w:rsidP="00A55202">
            <w:pPr>
              <w:spacing w:after="0" w:line="240" w:lineRule="auto"/>
              <w:rPr>
                <w:rFonts w:ascii="Calibri" w:eastAsia="Times New Roman" w:hAnsi="Calibri" w:cs="Calibri"/>
                <w:b/>
                <w:bCs/>
                <w:lang w:eastAsia="cs-CZ"/>
              </w:rPr>
            </w:pPr>
            <w:r w:rsidRPr="00A55202">
              <w:rPr>
                <w:rFonts w:ascii="Calibri" w:eastAsia="Times New Roman" w:hAnsi="Calibri" w:cs="Calibri"/>
                <w:b/>
                <w:bCs/>
                <w:lang w:eastAsia="cs-CZ"/>
              </w:rPr>
              <w:t>Celkem výdaje</w:t>
            </w:r>
          </w:p>
        </w:tc>
        <w:tc>
          <w:tcPr>
            <w:tcW w:w="1264" w:type="dxa"/>
            <w:tcBorders>
              <w:top w:val="single" w:sz="8" w:space="0" w:color="auto"/>
              <w:left w:val="nil"/>
              <w:bottom w:val="single" w:sz="8" w:space="0" w:color="auto"/>
              <w:right w:val="single" w:sz="8" w:space="0" w:color="auto"/>
            </w:tcBorders>
            <w:shd w:val="clear" w:color="000000" w:fill="FFFFFF"/>
            <w:noWrap/>
            <w:vAlign w:val="bottom"/>
            <w:hideMark/>
          </w:tcPr>
          <w:p w14:paraId="0766AC54" w14:textId="77777777" w:rsidR="00A55202" w:rsidRPr="00A55202" w:rsidRDefault="00A55202" w:rsidP="00A55202">
            <w:pPr>
              <w:spacing w:after="0" w:line="240" w:lineRule="auto"/>
              <w:jc w:val="right"/>
              <w:rPr>
                <w:rFonts w:ascii="Calibri" w:eastAsia="Times New Roman" w:hAnsi="Calibri" w:cs="Calibri"/>
                <w:b/>
                <w:bCs/>
                <w:lang w:eastAsia="cs-CZ"/>
              </w:rPr>
            </w:pPr>
            <w:r w:rsidRPr="00A55202">
              <w:rPr>
                <w:rFonts w:ascii="Calibri" w:eastAsia="Times New Roman" w:hAnsi="Calibri" w:cs="Calibri"/>
                <w:b/>
                <w:bCs/>
                <w:lang w:eastAsia="cs-CZ"/>
              </w:rPr>
              <w:t>368 341 000</w:t>
            </w:r>
          </w:p>
        </w:tc>
        <w:tc>
          <w:tcPr>
            <w:tcW w:w="1602" w:type="dxa"/>
            <w:tcBorders>
              <w:top w:val="single" w:sz="8" w:space="0" w:color="auto"/>
              <w:left w:val="nil"/>
              <w:bottom w:val="single" w:sz="8" w:space="0" w:color="auto"/>
              <w:right w:val="single" w:sz="8" w:space="0" w:color="auto"/>
            </w:tcBorders>
            <w:shd w:val="clear" w:color="000000" w:fill="FFFFFF"/>
            <w:noWrap/>
            <w:vAlign w:val="bottom"/>
            <w:hideMark/>
          </w:tcPr>
          <w:p w14:paraId="08EDB68F" w14:textId="77777777" w:rsidR="00A55202" w:rsidRPr="00A55202" w:rsidRDefault="00A55202" w:rsidP="00A55202">
            <w:pPr>
              <w:spacing w:after="0" w:line="240" w:lineRule="auto"/>
              <w:jc w:val="right"/>
              <w:rPr>
                <w:rFonts w:ascii="Calibri" w:eastAsia="Times New Roman" w:hAnsi="Calibri" w:cs="Calibri"/>
                <w:b/>
                <w:bCs/>
                <w:lang w:eastAsia="cs-CZ"/>
              </w:rPr>
            </w:pPr>
            <w:r w:rsidRPr="00A55202">
              <w:rPr>
                <w:rFonts w:ascii="Calibri" w:eastAsia="Times New Roman" w:hAnsi="Calibri" w:cs="Calibri"/>
                <w:b/>
                <w:bCs/>
                <w:lang w:eastAsia="cs-CZ"/>
              </w:rPr>
              <w:t>744 754 955,73</w:t>
            </w:r>
          </w:p>
        </w:tc>
        <w:tc>
          <w:tcPr>
            <w:tcW w:w="1701" w:type="dxa"/>
            <w:tcBorders>
              <w:top w:val="single" w:sz="8" w:space="0" w:color="auto"/>
              <w:left w:val="nil"/>
              <w:bottom w:val="single" w:sz="8" w:space="0" w:color="auto"/>
              <w:right w:val="single" w:sz="8" w:space="0" w:color="auto"/>
            </w:tcBorders>
            <w:shd w:val="clear" w:color="000000" w:fill="FFFFFF"/>
            <w:noWrap/>
            <w:vAlign w:val="bottom"/>
            <w:hideMark/>
          </w:tcPr>
          <w:p w14:paraId="22814D97" w14:textId="77777777" w:rsidR="00A55202" w:rsidRPr="00A55202" w:rsidRDefault="00A55202" w:rsidP="00A55202">
            <w:pPr>
              <w:spacing w:after="0" w:line="240" w:lineRule="auto"/>
              <w:jc w:val="right"/>
              <w:rPr>
                <w:rFonts w:ascii="Calibri" w:eastAsia="Times New Roman" w:hAnsi="Calibri" w:cs="Calibri"/>
                <w:b/>
                <w:bCs/>
                <w:lang w:eastAsia="cs-CZ"/>
              </w:rPr>
            </w:pPr>
            <w:r w:rsidRPr="00A55202">
              <w:rPr>
                <w:rFonts w:ascii="Calibri" w:eastAsia="Times New Roman" w:hAnsi="Calibri" w:cs="Calibri"/>
                <w:b/>
                <w:bCs/>
                <w:lang w:eastAsia="cs-CZ"/>
              </w:rPr>
              <w:t>715 139 548,49</w:t>
            </w:r>
          </w:p>
        </w:tc>
        <w:tc>
          <w:tcPr>
            <w:tcW w:w="647" w:type="dxa"/>
            <w:tcBorders>
              <w:top w:val="single" w:sz="8" w:space="0" w:color="auto"/>
              <w:left w:val="single" w:sz="4" w:space="0" w:color="auto"/>
              <w:bottom w:val="single" w:sz="8" w:space="0" w:color="auto"/>
              <w:right w:val="single" w:sz="8" w:space="0" w:color="auto"/>
            </w:tcBorders>
            <w:shd w:val="clear" w:color="000000" w:fill="FFFFFF"/>
            <w:noWrap/>
            <w:vAlign w:val="bottom"/>
            <w:hideMark/>
          </w:tcPr>
          <w:p w14:paraId="558A51D3" w14:textId="77777777" w:rsidR="00A55202" w:rsidRPr="00A55202" w:rsidRDefault="00A55202" w:rsidP="00A55202">
            <w:pPr>
              <w:spacing w:after="0" w:line="240" w:lineRule="auto"/>
              <w:jc w:val="right"/>
              <w:rPr>
                <w:rFonts w:ascii="Calibri" w:eastAsia="Times New Roman" w:hAnsi="Calibri" w:cs="Calibri"/>
                <w:b/>
                <w:bCs/>
                <w:lang w:eastAsia="cs-CZ"/>
              </w:rPr>
            </w:pPr>
            <w:r w:rsidRPr="00A55202">
              <w:rPr>
                <w:rFonts w:ascii="Calibri" w:eastAsia="Times New Roman" w:hAnsi="Calibri" w:cs="Calibri"/>
                <w:b/>
                <w:bCs/>
                <w:lang w:eastAsia="cs-CZ"/>
              </w:rPr>
              <w:t>96,0</w:t>
            </w:r>
          </w:p>
        </w:tc>
      </w:tr>
    </w:tbl>
    <w:p w14:paraId="3A69EED4" w14:textId="0CFC099E" w:rsidR="00896CFF" w:rsidRDefault="00896CFF" w:rsidP="00850519">
      <w:pPr>
        <w:spacing w:after="0" w:line="240" w:lineRule="auto"/>
        <w:jc w:val="both"/>
        <w:rPr>
          <w:rFonts w:cs="Calibri"/>
        </w:rPr>
      </w:pPr>
    </w:p>
    <w:p w14:paraId="3C09BAA1" w14:textId="5C499039" w:rsidR="00896CFF" w:rsidRDefault="00896CFF" w:rsidP="00850519">
      <w:pPr>
        <w:spacing w:after="0" w:line="240" w:lineRule="auto"/>
        <w:jc w:val="both"/>
        <w:rPr>
          <w:rFonts w:cs="Calibri"/>
        </w:rPr>
      </w:pPr>
    </w:p>
    <w:p w14:paraId="0D2EBD77" w14:textId="55274124" w:rsidR="00896CFF" w:rsidRDefault="00896CFF" w:rsidP="00850519">
      <w:pPr>
        <w:spacing w:after="0" w:line="240" w:lineRule="auto"/>
        <w:jc w:val="both"/>
        <w:rPr>
          <w:rFonts w:cs="Calibri"/>
        </w:rPr>
      </w:pPr>
    </w:p>
    <w:p w14:paraId="5D6E15A6" w14:textId="63416555" w:rsidR="00896CFF" w:rsidRDefault="00896CFF" w:rsidP="00850519">
      <w:pPr>
        <w:spacing w:after="0" w:line="240" w:lineRule="auto"/>
        <w:jc w:val="both"/>
        <w:rPr>
          <w:rFonts w:cs="Calibri"/>
        </w:rPr>
      </w:pPr>
    </w:p>
    <w:p w14:paraId="5ED95A86" w14:textId="5372AF0E" w:rsidR="00896CFF" w:rsidRDefault="00896CFF" w:rsidP="00850519">
      <w:pPr>
        <w:spacing w:after="0" w:line="240" w:lineRule="auto"/>
        <w:jc w:val="both"/>
        <w:rPr>
          <w:rFonts w:cs="Calibri"/>
        </w:rPr>
      </w:pPr>
    </w:p>
    <w:p w14:paraId="1A59BCF4" w14:textId="77777777" w:rsidR="00A137F1" w:rsidRDefault="00ED51F3" w:rsidP="00ED51F3">
      <w:pPr>
        <w:jc w:val="center"/>
        <w:rPr>
          <w:rFonts w:ascii="Calibri" w:hAnsi="Calibri" w:cs="Calibri"/>
        </w:rPr>
      </w:pPr>
      <w:r w:rsidRPr="00BE10E2">
        <w:rPr>
          <w:rFonts w:ascii="Calibri" w:hAnsi="Calibri" w:cs="Calibri"/>
        </w:rPr>
        <w:t xml:space="preserve">                                           </w:t>
      </w:r>
    </w:p>
    <w:p w14:paraId="028E86B6" w14:textId="77777777" w:rsidR="00A137F1" w:rsidRDefault="00A137F1" w:rsidP="00ED51F3">
      <w:pPr>
        <w:jc w:val="center"/>
        <w:rPr>
          <w:rFonts w:ascii="Calibri" w:hAnsi="Calibri" w:cs="Calibri"/>
        </w:rPr>
      </w:pPr>
    </w:p>
    <w:p w14:paraId="199FE47C" w14:textId="77777777" w:rsidR="00A137F1" w:rsidRDefault="00A137F1" w:rsidP="00ED51F3">
      <w:pPr>
        <w:jc w:val="center"/>
        <w:rPr>
          <w:rFonts w:ascii="Calibri" w:hAnsi="Calibri" w:cs="Calibri"/>
        </w:rPr>
      </w:pPr>
    </w:p>
    <w:p w14:paraId="63D4C6C4" w14:textId="77777777" w:rsidR="00A137F1" w:rsidRDefault="00A137F1" w:rsidP="00ED51F3">
      <w:pPr>
        <w:jc w:val="center"/>
        <w:rPr>
          <w:rFonts w:ascii="Calibri" w:hAnsi="Calibri" w:cs="Calibri"/>
        </w:rPr>
      </w:pPr>
    </w:p>
    <w:p w14:paraId="749F0E8C" w14:textId="77777777" w:rsidR="00A137F1" w:rsidRDefault="00A137F1" w:rsidP="00ED51F3">
      <w:pPr>
        <w:jc w:val="center"/>
        <w:rPr>
          <w:rFonts w:ascii="Calibri" w:hAnsi="Calibri" w:cs="Calibri"/>
        </w:rPr>
      </w:pPr>
    </w:p>
    <w:p w14:paraId="7026B879" w14:textId="77777777" w:rsidR="00A137F1" w:rsidRDefault="00A137F1" w:rsidP="00ED51F3">
      <w:pPr>
        <w:jc w:val="center"/>
        <w:rPr>
          <w:rFonts w:ascii="Calibri" w:hAnsi="Calibri" w:cs="Calibri"/>
        </w:rPr>
      </w:pPr>
    </w:p>
    <w:p w14:paraId="7F063B93" w14:textId="77777777" w:rsidR="00A137F1" w:rsidRDefault="00A137F1" w:rsidP="00ED51F3">
      <w:pPr>
        <w:jc w:val="center"/>
        <w:rPr>
          <w:rFonts w:ascii="Calibri" w:hAnsi="Calibri" w:cs="Calibri"/>
        </w:rPr>
      </w:pPr>
    </w:p>
    <w:p w14:paraId="031618C0" w14:textId="77777777" w:rsidR="00A137F1" w:rsidRDefault="00A137F1" w:rsidP="00ED51F3">
      <w:pPr>
        <w:jc w:val="center"/>
        <w:rPr>
          <w:rFonts w:ascii="Calibri" w:hAnsi="Calibri" w:cs="Calibri"/>
        </w:rPr>
      </w:pPr>
    </w:p>
    <w:p w14:paraId="423F1180" w14:textId="77777777" w:rsidR="00A137F1" w:rsidRDefault="00A137F1" w:rsidP="00ED51F3">
      <w:pPr>
        <w:jc w:val="center"/>
        <w:rPr>
          <w:rFonts w:ascii="Calibri" w:hAnsi="Calibri" w:cs="Calibri"/>
        </w:rPr>
      </w:pPr>
    </w:p>
    <w:p w14:paraId="76D60719" w14:textId="77777777" w:rsidR="00A137F1" w:rsidRDefault="00A137F1" w:rsidP="00ED51F3">
      <w:pPr>
        <w:jc w:val="center"/>
        <w:rPr>
          <w:rFonts w:ascii="Calibri" w:hAnsi="Calibri" w:cs="Calibri"/>
        </w:rPr>
      </w:pPr>
    </w:p>
    <w:p w14:paraId="773C1E93" w14:textId="77777777" w:rsidR="00A137F1" w:rsidRDefault="00A137F1" w:rsidP="00ED51F3">
      <w:pPr>
        <w:jc w:val="center"/>
        <w:rPr>
          <w:rFonts w:ascii="Calibri" w:hAnsi="Calibri" w:cs="Calibri"/>
        </w:rPr>
      </w:pPr>
    </w:p>
    <w:p w14:paraId="090DE9FE" w14:textId="77777777" w:rsidR="00A137F1" w:rsidRDefault="00A137F1" w:rsidP="00ED51F3">
      <w:pPr>
        <w:jc w:val="center"/>
        <w:rPr>
          <w:rFonts w:ascii="Calibri" w:hAnsi="Calibri" w:cs="Calibri"/>
        </w:rPr>
      </w:pPr>
    </w:p>
    <w:p w14:paraId="3D4C819F" w14:textId="77777777" w:rsidR="00A137F1" w:rsidRDefault="00A137F1" w:rsidP="00ED51F3">
      <w:pPr>
        <w:jc w:val="center"/>
        <w:rPr>
          <w:rFonts w:ascii="Calibri" w:hAnsi="Calibri" w:cs="Calibri"/>
        </w:rPr>
      </w:pPr>
    </w:p>
    <w:p w14:paraId="4364D3C6" w14:textId="77777777" w:rsidR="00A137F1" w:rsidRDefault="00A137F1" w:rsidP="00ED51F3">
      <w:pPr>
        <w:jc w:val="center"/>
        <w:rPr>
          <w:rFonts w:ascii="Calibri" w:hAnsi="Calibri" w:cs="Calibri"/>
        </w:rPr>
      </w:pPr>
    </w:p>
    <w:p w14:paraId="10C9CD8D" w14:textId="77777777" w:rsidR="00A137F1" w:rsidRDefault="00A137F1" w:rsidP="00ED51F3">
      <w:pPr>
        <w:jc w:val="center"/>
        <w:rPr>
          <w:rFonts w:ascii="Calibri" w:hAnsi="Calibri" w:cs="Calibri"/>
        </w:rPr>
      </w:pPr>
    </w:p>
    <w:p w14:paraId="1B35CC5F" w14:textId="77777777" w:rsidR="00A137F1" w:rsidRDefault="00A137F1" w:rsidP="00ED51F3">
      <w:pPr>
        <w:jc w:val="center"/>
        <w:rPr>
          <w:rFonts w:ascii="Calibri" w:hAnsi="Calibri" w:cs="Calibri"/>
        </w:rPr>
      </w:pPr>
    </w:p>
    <w:p w14:paraId="3FB89344" w14:textId="77777777" w:rsidR="00A137F1" w:rsidRDefault="00A137F1" w:rsidP="00ED51F3">
      <w:pPr>
        <w:jc w:val="center"/>
        <w:rPr>
          <w:rFonts w:ascii="Calibri" w:hAnsi="Calibri" w:cs="Calibri"/>
        </w:rPr>
      </w:pPr>
    </w:p>
    <w:p w14:paraId="595D1CEC" w14:textId="77777777" w:rsidR="00A137F1" w:rsidRDefault="00A137F1" w:rsidP="00ED51F3">
      <w:pPr>
        <w:jc w:val="center"/>
        <w:rPr>
          <w:rFonts w:ascii="Calibri" w:hAnsi="Calibri" w:cs="Calibri"/>
        </w:rPr>
      </w:pPr>
    </w:p>
    <w:p w14:paraId="7288EE30" w14:textId="77777777" w:rsidR="00A137F1" w:rsidRDefault="00A137F1" w:rsidP="00ED51F3">
      <w:pPr>
        <w:jc w:val="center"/>
        <w:rPr>
          <w:rFonts w:ascii="Calibri" w:hAnsi="Calibri" w:cs="Calibri"/>
        </w:rPr>
      </w:pPr>
    </w:p>
    <w:p w14:paraId="07141AAD" w14:textId="77777777" w:rsidR="00A137F1" w:rsidRDefault="00A137F1" w:rsidP="00ED51F3">
      <w:pPr>
        <w:jc w:val="center"/>
        <w:rPr>
          <w:rFonts w:ascii="Calibri" w:hAnsi="Calibri" w:cs="Calibri"/>
        </w:rPr>
      </w:pPr>
    </w:p>
    <w:p w14:paraId="7E7FFB78" w14:textId="77777777" w:rsidR="00A137F1" w:rsidRDefault="00A137F1" w:rsidP="00ED51F3">
      <w:pPr>
        <w:jc w:val="center"/>
        <w:rPr>
          <w:rFonts w:ascii="Calibri" w:hAnsi="Calibri" w:cs="Calibri"/>
        </w:rPr>
      </w:pPr>
    </w:p>
    <w:p w14:paraId="226586B0" w14:textId="79F6C132" w:rsidR="00A137F1" w:rsidRDefault="00A137F1" w:rsidP="00ED51F3">
      <w:pPr>
        <w:jc w:val="center"/>
        <w:rPr>
          <w:rFonts w:ascii="Calibri" w:hAnsi="Calibri" w:cs="Calibri"/>
        </w:rPr>
      </w:pPr>
    </w:p>
    <w:p w14:paraId="3906402A" w14:textId="77777777" w:rsidR="00A137F1" w:rsidRDefault="00A137F1" w:rsidP="00797F22">
      <w:pPr>
        <w:rPr>
          <w:rFonts w:ascii="Calibri" w:hAnsi="Calibri" w:cs="Calibri"/>
        </w:rPr>
      </w:pPr>
    </w:p>
    <w:p w14:paraId="21A282F0" w14:textId="77777777" w:rsidR="00A137F1" w:rsidRDefault="00ED51F3" w:rsidP="00ED51F3">
      <w:pPr>
        <w:jc w:val="both"/>
        <w:rPr>
          <w:rFonts w:ascii="Calibri" w:hAnsi="Calibri" w:cs="Calibri"/>
        </w:rPr>
      </w:pPr>
      <w:r w:rsidRPr="00894D14">
        <w:rPr>
          <w:rFonts w:ascii="Calibri" w:hAnsi="Calibri" w:cs="Calibri"/>
          <w:b/>
          <w:sz w:val="28"/>
          <w:szCs w:val="28"/>
          <w:u w:val="single"/>
        </w:rPr>
        <w:lastRenderedPageBreak/>
        <w:t>Kapitola 06 – Kultura a památková péče</w:t>
      </w:r>
    </w:p>
    <w:p w14:paraId="1DE46C7D" w14:textId="1FE14F0E" w:rsidR="00ED51F3" w:rsidRPr="00A137F1" w:rsidRDefault="00ED51F3" w:rsidP="00ED51F3">
      <w:pPr>
        <w:jc w:val="both"/>
        <w:rPr>
          <w:rFonts w:ascii="Calibri" w:hAnsi="Calibri" w:cs="Calibri"/>
        </w:rPr>
      </w:pPr>
      <w:r w:rsidRPr="00BE10E2">
        <w:rPr>
          <w:rFonts w:ascii="Calibri" w:hAnsi="Calibri" w:cs="Calibri"/>
        </w:rPr>
        <w:tab/>
      </w:r>
    </w:p>
    <w:p w14:paraId="4F8F9D4F" w14:textId="7285E329" w:rsidR="00ED51F3" w:rsidRPr="00A137F1" w:rsidRDefault="00ED51F3" w:rsidP="00A137F1">
      <w:pPr>
        <w:jc w:val="both"/>
        <w:rPr>
          <w:rFonts w:eastAsia="Times New Roman" w:cstheme="minorHAnsi"/>
          <w:sz w:val="24"/>
          <w:szCs w:val="24"/>
          <w:lang w:eastAsia="cs-CZ"/>
        </w:rPr>
      </w:pPr>
      <w:r w:rsidRPr="0082664B">
        <w:rPr>
          <w:rFonts w:eastAsia="Times New Roman" w:cstheme="minorHAnsi"/>
          <w:b/>
          <w:sz w:val="24"/>
          <w:szCs w:val="24"/>
          <w:u w:val="single"/>
          <w:lang w:eastAsia="cs-CZ"/>
        </w:rPr>
        <w:t>Běžné výdaje</w:t>
      </w:r>
    </w:p>
    <w:p w14:paraId="5392C47A" w14:textId="77777777" w:rsidR="00ED51F3" w:rsidRPr="0082664B" w:rsidRDefault="00ED51F3" w:rsidP="00ED51F3">
      <w:pPr>
        <w:spacing w:after="0" w:line="240" w:lineRule="auto"/>
        <w:jc w:val="both"/>
        <w:rPr>
          <w:rFonts w:cstheme="minorHAnsi"/>
          <w:b/>
        </w:rPr>
      </w:pPr>
      <w:r w:rsidRPr="0082664B">
        <w:rPr>
          <w:rFonts w:cstheme="minorHAnsi"/>
          <w:b/>
        </w:rPr>
        <w:t>§ 2143 – Podpora cestovního ruchu, regionálních/lokálních akcí</w:t>
      </w:r>
    </w:p>
    <w:p w14:paraId="408861EC" w14:textId="7E990BB8" w:rsidR="00ED51F3" w:rsidRDefault="00ED51F3" w:rsidP="00ED51F3">
      <w:pPr>
        <w:spacing w:after="0" w:line="240" w:lineRule="auto"/>
        <w:jc w:val="both"/>
        <w:rPr>
          <w:rFonts w:cstheme="minorHAnsi"/>
        </w:rPr>
      </w:pPr>
      <w:r w:rsidRPr="0082664B">
        <w:rPr>
          <w:rFonts w:cstheme="minorHAnsi"/>
        </w:rPr>
        <w:t xml:space="preserve">Na základě Opatření ředitele Krajského úřadu Středočeského kraje č. 3/2021, kterým </w:t>
      </w:r>
      <w:bookmarkStart w:id="4" w:name="_Hlk96352741"/>
      <w:r w:rsidRPr="0082664B">
        <w:rPr>
          <w:rFonts w:cstheme="minorHAnsi"/>
        </w:rPr>
        <w:t xml:space="preserve">se mění Organizační řád Krajského úřadu Středočeského kraje </w:t>
      </w:r>
      <w:bookmarkStart w:id="5" w:name="_Hlk96352458"/>
      <w:r w:rsidRPr="0082664B">
        <w:rPr>
          <w:rFonts w:cstheme="minorHAnsi"/>
        </w:rPr>
        <w:t>s účinností dne 1. 4. 2021</w:t>
      </w:r>
      <w:bookmarkEnd w:id="4"/>
      <w:r w:rsidRPr="0082664B">
        <w:rPr>
          <w:rFonts w:cstheme="minorHAnsi"/>
        </w:rPr>
        <w:t xml:space="preserve">, byly převedeny prostředky z kapitoly 08 - Regionální rozvoj, z akce "Podpora cestovního ruchu regionálních/lokálních akcí" ve výši 16 347 600,00 Kč do rozpočtu kapitoly 06 </w:t>
      </w:r>
      <w:r>
        <w:rPr>
          <w:rFonts w:cstheme="minorHAnsi"/>
        </w:rPr>
        <w:t>- Kultura a památková péče (usnesení</w:t>
      </w:r>
      <w:r w:rsidRPr="0082664B">
        <w:rPr>
          <w:rFonts w:cstheme="minorHAnsi"/>
        </w:rPr>
        <w:t xml:space="preserve"> č. 027-15/2021/RK</w:t>
      </w:r>
      <w:r>
        <w:rPr>
          <w:rFonts w:cstheme="minorHAnsi"/>
        </w:rPr>
        <w:t xml:space="preserve"> ze dne 1. 4. 2021</w:t>
      </w:r>
      <w:bookmarkEnd w:id="5"/>
      <w:r w:rsidRPr="0082664B">
        <w:rPr>
          <w:rFonts w:cstheme="minorHAnsi"/>
        </w:rPr>
        <w:t xml:space="preserve">). Upravený </w:t>
      </w:r>
      <w:r>
        <w:rPr>
          <w:rFonts w:cstheme="minorHAnsi"/>
        </w:rPr>
        <w:t xml:space="preserve">rozpočet byl navýšen usnesením </w:t>
      </w:r>
      <w:r w:rsidRPr="0082664B">
        <w:rPr>
          <w:rFonts w:cstheme="minorHAnsi"/>
        </w:rPr>
        <w:t>č. 007-06/2021/ZK ze dne 26. 4. 2021 (rozdělení zůstatku hospodaření SK z roku 2020) o částku 60 000,00 Kč za účelem poskytnutí individuální neinvestiční dotace neziskové společnosti Geopark Český ráj, o.p.s.</w:t>
      </w:r>
      <w:r>
        <w:rPr>
          <w:rFonts w:cstheme="minorHAnsi"/>
        </w:rPr>
        <w:t xml:space="preserve"> a </w:t>
      </w:r>
      <w:bookmarkStart w:id="6" w:name="_Hlk96499082"/>
      <w:r>
        <w:rPr>
          <w:rFonts w:cstheme="minorHAnsi"/>
        </w:rPr>
        <w:t>R</w:t>
      </w:r>
      <w:r w:rsidRPr="006C26FB">
        <w:rPr>
          <w:rFonts w:cstheme="minorHAnsi"/>
        </w:rPr>
        <w:t xml:space="preserve">ozpočtovou úpravou č. </w:t>
      </w:r>
      <w:r>
        <w:rPr>
          <w:rFonts w:cstheme="minorHAnsi"/>
        </w:rPr>
        <w:t>764</w:t>
      </w:r>
      <w:r w:rsidRPr="006C26FB">
        <w:rPr>
          <w:rFonts w:cstheme="minorHAnsi"/>
        </w:rPr>
        <w:t xml:space="preserve">/06/2021 projednanou s příslušným členem </w:t>
      </w:r>
      <w:r w:rsidR="00D64A49">
        <w:rPr>
          <w:rFonts w:cstheme="minorHAnsi"/>
        </w:rPr>
        <w:t>r</w:t>
      </w:r>
      <w:r w:rsidRPr="006C26FB">
        <w:rPr>
          <w:rFonts w:cstheme="minorHAnsi"/>
        </w:rPr>
        <w:t>ady kraje</w:t>
      </w:r>
      <w:r>
        <w:rPr>
          <w:rFonts w:cstheme="minorHAnsi"/>
        </w:rPr>
        <w:t xml:space="preserve"> o částku 81 500,00 Kč</w:t>
      </w:r>
      <w:bookmarkEnd w:id="6"/>
      <w:r>
        <w:rPr>
          <w:rFonts w:cstheme="minorHAnsi"/>
        </w:rPr>
        <w:t xml:space="preserve"> </w:t>
      </w:r>
      <w:bookmarkStart w:id="7" w:name="_Hlk96499132"/>
      <w:r>
        <w:rPr>
          <w:rFonts w:cstheme="minorHAnsi"/>
        </w:rPr>
        <w:t>z důvodu poskytnutí dotace na propagaci Labské stezky</w:t>
      </w:r>
      <w:bookmarkEnd w:id="7"/>
      <w:r>
        <w:rPr>
          <w:rFonts w:cstheme="minorHAnsi"/>
        </w:rPr>
        <w:t>.</w:t>
      </w:r>
    </w:p>
    <w:p w14:paraId="4B218043" w14:textId="1881B5B1" w:rsidR="00ED51F3" w:rsidRPr="0082664B" w:rsidRDefault="00ED51F3" w:rsidP="00ED51F3">
      <w:pPr>
        <w:spacing w:after="0" w:line="240" w:lineRule="auto"/>
        <w:jc w:val="both"/>
        <w:rPr>
          <w:rFonts w:cstheme="minorHAnsi"/>
        </w:rPr>
      </w:pPr>
      <w:r>
        <w:rPr>
          <w:rFonts w:cstheme="minorHAnsi"/>
        </w:rPr>
        <w:t xml:space="preserve">V průběhu roku 2021 došlo ke snížení rozpočtové položky o částku 3 705 753,00 Kč v souvislosti s usnesením č. </w:t>
      </w:r>
      <w:r w:rsidRPr="005241D3">
        <w:rPr>
          <w:rFonts w:cstheme="minorHAnsi"/>
        </w:rPr>
        <w:t>051-43/2021/RK ze dne 18.11.2021</w:t>
      </w:r>
      <w:r>
        <w:rPr>
          <w:rFonts w:cstheme="minorHAnsi"/>
        </w:rPr>
        <w:t xml:space="preserve"> a usnesením č. </w:t>
      </w:r>
      <w:r w:rsidRPr="000E46AC">
        <w:rPr>
          <w:rFonts w:cstheme="minorHAnsi"/>
        </w:rPr>
        <w:t>057-46/2021/RK ze dne 9.12.2021</w:t>
      </w:r>
      <w:r>
        <w:rPr>
          <w:rFonts w:cstheme="minorHAnsi"/>
        </w:rPr>
        <w:t xml:space="preserve">. </w:t>
      </w:r>
      <w:r w:rsidRPr="00936509">
        <w:rPr>
          <w:rFonts w:cstheme="minorHAnsi"/>
        </w:rPr>
        <w:t xml:space="preserve">Rozpočtovou úpravou č. 677/06/2021 projednanou s příslušným členem </w:t>
      </w:r>
      <w:r w:rsidR="00D64A49">
        <w:rPr>
          <w:rFonts w:cstheme="minorHAnsi"/>
        </w:rPr>
        <w:t>r</w:t>
      </w:r>
      <w:r w:rsidRPr="00936509">
        <w:rPr>
          <w:rFonts w:cstheme="minorHAnsi"/>
        </w:rPr>
        <w:t>ady kraje</w:t>
      </w:r>
      <w:r>
        <w:rPr>
          <w:rFonts w:cstheme="minorHAnsi"/>
        </w:rPr>
        <w:t xml:space="preserve"> se snížil upravený rozpočet o částku 2 700 000,00 Kč ve prospěch podpory pro Český klub turistů a na podporu akce Soundtrack Poděbrady 2022. Prostředky ve výši 524 985,00 byly převedeny na investiční účel z důvodu poskytnutí investičních dotací. Upravený rozpočet je 9 558 362,00 Kč.</w:t>
      </w:r>
    </w:p>
    <w:p w14:paraId="5F4268E6" w14:textId="77777777" w:rsidR="00ED51F3" w:rsidRPr="004C7DF3" w:rsidRDefault="00ED51F3" w:rsidP="00ED51F3">
      <w:pPr>
        <w:spacing w:after="0" w:line="240" w:lineRule="auto"/>
        <w:jc w:val="both"/>
        <w:rPr>
          <w:rFonts w:cstheme="minorHAnsi"/>
          <w:color w:val="FF0000"/>
        </w:rPr>
      </w:pPr>
      <w:r>
        <w:rPr>
          <w:rFonts w:cstheme="minorHAnsi"/>
        </w:rPr>
        <w:t>V roce 2021 byly p</w:t>
      </w:r>
      <w:r w:rsidRPr="0082664B">
        <w:rPr>
          <w:rFonts w:cstheme="minorHAnsi"/>
        </w:rPr>
        <w:t>oskytnuty individuální účelové dotace</w:t>
      </w:r>
      <w:r>
        <w:rPr>
          <w:rFonts w:cstheme="minorHAnsi"/>
        </w:rPr>
        <w:t xml:space="preserve"> </w:t>
      </w:r>
      <w:r w:rsidRPr="0082664B">
        <w:rPr>
          <w:rFonts w:cstheme="minorHAnsi"/>
        </w:rPr>
        <w:t>pro podporu cestovního ruchu prostřednictvím významných akcí pro rok 2021, např.: Benešov City Live,</w:t>
      </w:r>
      <w:r>
        <w:rPr>
          <w:rFonts w:cstheme="minorHAnsi"/>
        </w:rPr>
        <w:t xml:space="preserve"> </w:t>
      </w:r>
      <w:r w:rsidRPr="0082664B">
        <w:rPr>
          <w:rFonts w:cstheme="minorHAnsi"/>
        </w:rPr>
        <w:t>Rally</w:t>
      </w:r>
      <w:r>
        <w:rPr>
          <w:rFonts w:cstheme="minorHAnsi"/>
        </w:rPr>
        <w:t xml:space="preserve"> Bohemia</w:t>
      </w:r>
      <w:r w:rsidRPr="0082664B">
        <w:rPr>
          <w:rFonts w:cstheme="minorHAnsi"/>
        </w:rPr>
        <w:t>, Kolo pro život,</w:t>
      </w:r>
      <w:r>
        <w:rPr>
          <w:rFonts w:cstheme="minorHAnsi"/>
        </w:rPr>
        <w:t xml:space="preserve"> Lodě na Labi,</w:t>
      </w:r>
      <w:r w:rsidRPr="0082664B">
        <w:rPr>
          <w:rFonts w:cstheme="minorHAnsi"/>
        </w:rPr>
        <w:t xml:space="preserve"> Vltava run, Kutnohorské léto</w:t>
      </w:r>
      <w:r>
        <w:rPr>
          <w:rFonts w:cstheme="minorHAnsi"/>
        </w:rPr>
        <w:t>, Mělnické vinobraní</w:t>
      </w:r>
      <w:r w:rsidRPr="0082664B">
        <w:rPr>
          <w:rFonts w:cstheme="minorHAnsi"/>
        </w:rPr>
        <w:t xml:space="preserve"> aj. Také</w:t>
      </w:r>
      <w:r>
        <w:rPr>
          <w:rFonts w:cstheme="minorHAnsi"/>
        </w:rPr>
        <w:t xml:space="preserve"> byly </w:t>
      </w:r>
      <w:r w:rsidRPr="0082664B">
        <w:rPr>
          <w:rFonts w:cstheme="minorHAnsi"/>
        </w:rPr>
        <w:t>poskytnuty individuální dotace v rámci Programu na podporu rozvoje destinačních managementů Středočeského kraje a Programu na podporu informačních center Středočeského kraje pro rok 2021</w:t>
      </w:r>
      <w:r>
        <w:rPr>
          <w:rFonts w:cstheme="minorHAnsi"/>
        </w:rPr>
        <w:t xml:space="preserve">. Podpořeny byly další aktivity v oblasti cestovního ruchu. Prostředky za tímto účelem byly čerpány </w:t>
      </w:r>
      <w:r w:rsidRPr="00617DFB">
        <w:rPr>
          <w:rFonts w:cstheme="minorHAnsi"/>
        </w:rPr>
        <w:t>v celkové výši 9 472 137,59 Kč</w:t>
      </w:r>
      <w:r>
        <w:rPr>
          <w:rFonts w:cstheme="minorHAnsi"/>
        </w:rPr>
        <w:t xml:space="preserve">, tj. na 99,1 %. </w:t>
      </w:r>
    </w:p>
    <w:p w14:paraId="11BF223D" w14:textId="77777777" w:rsidR="00ED51F3" w:rsidRPr="0082664B" w:rsidRDefault="00ED51F3" w:rsidP="00ED51F3">
      <w:pPr>
        <w:spacing w:after="0" w:line="240" w:lineRule="auto"/>
        <w:jc w:val="both"/>
        <w:rPr>
          <w:rFonts w:cstheme="minorHAnsi"/>
        </w:rPr>
      </w:pPr>
    </w:p>
    <w:p w14:paraId="6C913A1A" w14:textId="77777777" w:rsidR="00ED51F3" w:rsidRPr="0082664B" w:rsidRDefault="00ED51F3" w:rsidP="00ED51F3">
      <w:pPr>
        <w:spacing w:after="0" w:line="240" w:lineRule="auto"/>
        <w:jc w:val="both"/>
        <w:rPr>
          <w:rFonts w:cstheme="minorHAnsi"/>
          <w:b/>
        </w:rPr>
      </w:pPr>
      <w:r w:rsidRPr="0082664B">
        <w:rPr>
          <w:rFonts w:cstheme="minorHAnsi"/>
          <w:b/>
        </w:rPr>
        <w:t>§ 2143 – Klub českých turistů</w:t>
      </w:r>
    </w:p>
    <w:p w14:paraId="1A6EDD47" w14:textId="465B0859" w:rsidR="00ED51F3" w:rsidRPr="0082664B" w:rsidRDefault="00ED51F3" w:rsidP="00ED51F3">
      <w:pPr>
        <w:spacing w:after="0" w:line="240" w:lineRule="auto"/>
        <w:jc w:val="both"/>
        <w:rPr>
          <w:rFonts w:cstheme="minorHAnsi"/>
        </w:rPr>
      </w:pPr>
      <w:r w:rsidRPr="0082664B">
        <w:rPr>
          <w:rFonts w:cstheme="minorHAnsi"/>
        </w:rPr>
        <w:t>Upravený rozpočet ve výši</w:t>
      </w:r>
      <w:r w:rsidRPr="0082664B">
        <w:rPr>
          <w:rFonts w:cstheme="minorHAnsi"/>
          <w:b/>
        </w:rPr>
        <w:t xml:space="preserve"> </w:t>
      </w:r>
      <w:r>
        <w:rPr>
          <w:rFonts w:cstheme="minorHAnsi"/>
        </w:rPr>
        <w:t>8</w:t>
      </w:r>
      <w:r w:rsidRPr="0082664B">
        <w:rPr>
          <w:rFonts w:cstheme="minorHAnsi"/>
        </w:rPr>
        <w:t>00 000,00 Kč</w:t>
      </w:r>
      <w:r>
        <w:rPr>
          <w:rFonts w:cstheme="minorHAnsi"/>
        </w:rPr>
        <w:t>.</w:t>
      </w:r>
      <w:r>
        <w:rPr>
          <w:rFonts w:cstheme="minorHAnsi"/>
          <w:b/>
        </w:rPr>
        <w:t xml:space="preserve"> </w:t>
      </w:r>
      <w:r w:rsidRPr="00E211C5">
        <w:rPr>
          <w:rFonts w:cstheme="minorHAnsi"/>
          <w:bCs/>
        </w:rPr>
        <w:t>Finanční prostředky ve výši 100 000,00 Kč byly</w:t>
      </w:r>
      <w:r>
        <w:rPr>
          <w:rFonts w:cstheme="minorHAnsi"/>
          <w:bCs/>
        </w:rPr>
        <w:t xml:space="preserve"> převedeny</w:t>
      </w:r>
      <w:r w:rsidRPr="00E211C5">
        <w:t xml:space="preserve"> </w:t>
      </w:r>
      <w:r>
        <w:t>na základě změny</w:t>
      </w:r>
      <w:r w:rsidRPr="00E211C5">
        <w:rPr>
          <w:rFonts w:cstheme="minorHAnsi"/>
          <w:bCs/>
        </w:rPr>
        <w:t xml:space="preserve"> Organizační</w:t>
      </w:r>
      <w:r>
        <w:rPr>
          <w:rFonts w:cstheme="minorHAnsi"/>
          <w:bCs/>
        </w:rPr>
        <w:t>ho</w:t>
      </w:r>
      <w:r w:rsidRPr="00E211C5">
        <w:rPr>
          <w:rFonts w:cstheme="minorHAnsi"/>
          <w:bCs/>
        </w:rPr>
        <w:t xml:space="preserve"> řád</w:t>
      </w:r>
      <w:r>
        <w:rPr>
          <w:rFonts w:cstheme="minorHAnsi"/>
          <w:bCs/>
        </w:rPr>
        <w:t>u</w:t>
      </w:r>
      <w:r w:rsidRPr="00E211C5">
        <w:rPr>
          <w:rFonts w:cstheme="minorHAnsi"/>
          <w:bCs/>
        </w:rPr>
        <w:t xml:space="preserve"> Krajského úřadu Středočeského kraje s účinností dne 1. 4. 2021 </w:t>
      </w:r>
      <w:r w:rsidRPr="00B64AF6">
        <w:rPr>
          <w:rFonts w:cstheme="minorHAnsi"/>
          <w:bCs/>
        </w:rPr>
        <w:t xml:space="preserve">z kapitoly 08 </w:t>
      </w:r>
      <w:r w:rsidR="00D64A49">
        <w:rPr>
          <w:rFonts w:cstheme="minorHAnsi"/>
          <w:bCs/>
        </w:rPr>
        <w:t xml:space="preserve">– Regionální rozvoj </w:t>
      </w:r>
      <w:r w:rsidRPr="00B64AF6">
        <w:rPr>
          <w:rFonts w:cstheme="minorHAnsi"/>
          <w:bCs/>
        </w:rPr>
        <w:t>do rozpočtu kapitoly 06 - Kultura a památková péče (usnesení č. 027-15/2021/RK ze dne 1. 4. 2021</w:t>
      </w:r>
      <w:r>
        <w:rPr>
          <w:rFonts w:cstheme="minorHAnsi"/>
          <w:bCs/>
        </w:rPr>
        <w:t xml:space="preserve">) </w:t>
      </w:r>
      <w:r w:rsidRPr="00E211C5">
        <w:rPr>
          <w:rFonts w:cstheme="minorHAnsi"/>
          <w:bCs/>
        </w:rPr>
        <w:t>na akci „</w:t>
      </w:r>
      <w:bookmarkStart w:id="8" w:name="_Hlk96353626"/>
      <w:r w:rsidRPr="00E211C5">
        <w:rPr>
          <w:rFonts w:cstheme="minorHAnsi"/>
          <w:bCs/>
        </w:rPr>
        <w:t>Středočeská desítka 2021“ spolku Klub českých turistů – středočeská oblast</w:t>
      </w:r>
      <w:bookmarkEnd w:id="8"/>
      <w:r>
        <w:rPr>
          <w:rFonts w:cstheme="minorHAnsi"/>
          <w:bCs/>
        </w:rPr>
        <w:t>.</w:t>
      </w:r>
      <w:r w:rsidRPr="00E211C5">
        <w:rPr>
          <w:rFonts w:cstheme="minorHAnsi"/>
          <w:bCs/>
        </w:rPr>
        <w:t xml:space="preserve"> Poskytnutí dotace bylo schváleno usnesením č. 059-25/2021/RK ze dne 10. 6. 2021</w:t>
      </w:r>
      <w:r>
        <w:rPr>
          <w:rFonts w:cstheme="minorHAnsi"/>
          <w:bCs/>
        </w:rPr>
        <w:t xml:space="preserve">. </w:t>
      </w:r>
      <w:r w:rsidRPr="00452D0B">
        <w:rPr>
          <w:rFonts w:cstheme="minorHAnsi"/>
          <w:bCs/>
        </w:rPr>
        <w:t xml:space="preserve">Rozpočtovou úpravou č. 677/06/2021 projednanou s příslušným členem </w:t>
      </w:r>
      <w:r w:rsidR="00D64A49">
        <w:rPr>
          <w:rFonts w:cstheme="minorHAnsi"/>
          <w:bCs/>
        </w:rPr>
        <w:t>r</w:t>
      </w:r>
      <w:r w:rsidRPr="00452D0B">
        <w:rPr>
          <w:rFonts w:cstheme="minorHAnsi"/>
          <w:bCs/>
        </w:rPr>
        <w:t xml:space="preserve">ady kraje </w:t>
      </w:r>
      <w:r>
        <w:rPr>
          <w:rFonts w:cstheme="minorHAnsi"/>
          <w:bCs/>
        </w:rPr>
        <w:t xml:space="preserve">byl navýšen rozpočet o částku 700 000,00 Kč. </w:t>
      </w:r>
      <w:r w:rsidRPr="00452D0B">
        <w:rPr>
          <w:rFonts w:cstheme="minorHAnsi"/>
          <w:bCs/>
        </w:rPr>
        <w:t>Finanční prostředky ve výši 100 000,00 Kč byly čerpány formou vyplacení účelové dotace na akci „Středočeská desítka 2022“ spolku Klub českých turistů – středočeská oblast</w:t>
      </w:r>
      <w:r>
        <w:rPr>
          <w:rFonts w:cstheme="minorHAnsi"/>
          <w:bCs/>
        </w:rPr>
        <w:t xml:space="preserve"> dle usnesení </w:t>
      </w:r>
      <w:r w:rsidRPr="004D438A">
        <w:rPr>
          <w:rFonts w:cstheme="minorHAnsi"/>
          <w:bCs/>
        </w:rPr>
        <w:t>051-43/2021/RK ze dne 18.11.202</w:t>
      </w:r>
      <w:r>
        <w:rPr>
          <w:rFonts w:cstheme="minorHAnsi"/>
          <w:bCs/>
        </w:rPr>
        <w:t xml:space="preserve">1. </w:t>
      </w:r>
      <w:r>
        <w:rPr>
          <w:rFonts w:cstheme="minorHAnsi"/>
        </w:rPr>
        <w:t xml:space="preserve">Dotace ve výši 600 000,00 Kč byla poskytnuta pro </w:t>
      </w:r>
      <w:r w:rsidRPr="00452D0B">
        <w:rPr>
          <w:rFonts w:cstheme="minorHAnsi"/>
        </w:rPr>
        <w:t>Klub českých turistů</w:t>
      </w:r>
      <w:r>
        <w:rPr>
          <w:rFonts w:cstheme="minorHAnsi"/>
        </w:rPr>
        <w:t xml:space="preserve"> na základě usnesení č. </w:t>
      </w:r>
      <w:r w:rsidRPr="00DF6881">
        <w:rPr>
          <w:rFonts w:cstheme="minorHAnsi"/>
        </w:rPr>
        <w:t>045-11/2021/ZK ze dne 29.</w:t>
      </w:r>
      <w:r w:rsidR="00806351">
        <w:rPr>
          <w:rFonts w:cstheme="minorHAnsi"/>
        </w:rPr>
        <w:t xml:space="preserve"> </w:t>
      </w:r>
      <w:r w:rsidRPr="00DF6881">
        <w:rPr>
          <w:rFonts w:cstheme="minorHAnsi"/>
        </w:rPr>
        <w:t>11.</w:t>
      </w:r>
      <w:r w:rsidR="00806351">
        <w:rPr>
          <w:rFonts w:cstheme="minorHAnsi"/>
        </w:rPr>
        <w:t xml:space="preserve"> </w:t>
      </w:r>
      <w:r w:rsidRPr="00DF6881">
        <w:rPr>
          <w:rFonts w:cstheme="minorHAnsi"/>
        </w:rPr>
        <w:t>2021</w:t>
      </w:r>
      <w:r>
        <w:rPr>
          <w:rFonts w:cstheme="minorHAnsi"/>
        </w:rPr>
        <w:t xml:space="preserve">, a to na </w:t>
      </w:r>
      <w:r w:rsidRPr="00D46ABE">
        <w:rPr>
          <w:rFonts w:cstheme="minorHAnsi"/>
        </w:rPr>
        <w:t>údržb</w:t>
      </w:r>
      <w:r>
        <w:rPr>
          <w:rFonts w:cstheme="minorHAnsi"/>
        </w:rPr>
        <w:t>u</w:t>
      </w:r>
      <w:r w:rsidRPr="00D46ABE">
        <w:rPr>
          <w:rFonts w:cstheme="minorHAnsi"/>
        </w:rPr>
        <w:t xml:space="preserve"> značení pěších a cyklistických tras ve Středočeském kraji 2022</w:t>
      </w:r>
      <w:r>
        <w:rPr>
          <w:rFonts w:cstheme="minorHAnsi"/>
        </w:rPr>
        <w:t>.</w:t>
      </w:r>
      <w:r w:rsidRPr="00550F65">
        <w:t xml:space="preserve"> </w:t>
      </w:r>
      <w:r w:rsidRPr="00550F65">
        <w:rPr>
          <w:rFonts w:cstheme="minorHAnsi"/>
        </w:rPr>
        <w:t>Finanční prostředky byly čerpány na 100</w:t>
      </w:r>
      <w:r w:rsidR="00D64A49">
        <w:rPr>
          <w:rFonts w:cstheme="minorHAnsi"/>
        </w:rPr>
        <w:t>,0</w:t>
      </w:r>
      <w:r w:rsidRPr="00550F65">
        <w:rPr>
          <w:rFonts w:cstheme="minorHAnsi"/>
        </w:rPr>
        <w:t xml:space="preserve"> %.</w:t>
      </w:r>
    </w:p>
    <w:p w14:paraId="2A2B9A93" w14:textId="77777777" w:rsidR="00ED51F3" w:rsidRPr="0082664B" w:rsidRDefault="00ED51F3" w:rsidP="00ED51F3">
      <w:pPr>
        <w:spacing w:after="0" w:line="240" w:lineRule="auto"/>
        <w:jc w:val="both"/>
        <w:rPr>
          <w:rFonts w:cstheme="minorHAnsi"/>
        </w:rPr>
      </w:pPr>
    </w:p>
    <w:p w14:paraId="65D5D291" w14:textId="77777777" w:rsidR="00ED51F3" w:rsidRPr="0082664B" w:rsidRDefault="00ED51F3" w:rsidP="00ED51F3">
      <w:pPr>
        <w:spacing w:after="0" w:line="240" w:lineRule="auto"/>
        <w:jc w:val="both"/>
        <w:rPr>
          <w:rFonts w:cstheme="minorHAnsi"/>
          <w:b/>
        </w:rPr>
      </w:pPr>
      <w:r w:rsidRPr="0082664B">
        <w:rPr>
          <w:rFonts w:cstheme="minorHAnsi"/>
          <w:b/>
        </w:rPr>
        <w:t xml:space="preserve">§ 2143 – </w:t>
      </w:r>
      <w:r>
        <w:rPr>
          <w:rFonts w:cstheme="minorHAnsi"/>
          <w:b/>
        </w:rPr>
        <w:t>Soundtrack Poděbrady 2022</w:t>
      </w:r>
    </w:p>
    <w:p w14:paraId="56FBE45C" w14:textId="771619AC" w:rsidR="00ED51F3" w:rsidRDefault="00ED51F3" w:rsidP="00ED51F3">
      <w:pPr>
        <w:spacing w:after="0" w:line="240" w:lineRule="auto"/>
        <w:jc w:val="both"/>
        <w:rPr>
          <w:rFonts w:cstheme="minorHAnsi"/>
        </w:rPr>
      </w:pPr>
      <w:r>
        <w:rPr>
          <w:rFonts w:cstheme="minorHAnsi"/>
        </w:rPr>
        <w:t>Upravený</w:t>
      </w:r>
      <w:r w:rsidRPr="001466CD">
        <w:rPr>
          <w:rFonts w:cstheme="minorHAnsi"/>
        </w:rPr>
        <w:t xml:space="preserve"> rozpočet ve výši </w:t>
      </w:r>
      <w:r>
        <w:rPr>
          <w:rFonts w:cstheme="minorHAnsi"/>
        </w:rPr>
        <w:t>2</w:t>
      </w:r>
      <w:r w:rsidRPr="001466CD">
        <w:rPr>
          <w:rFonts w:cstheme="minorHAnsi"/>
        </w:rPr>
        <w:t xml:space="preserve"> 000 000,00 Kč byl čerpán na 100,0 %. Na základě usnesení č. 045-11/2021/ZK ze dne 29.</w:t>
      </w:r>
      <w:r w:rsidR="00806351">
        <w:rPr>
          <w:rFonts w:cstheme="minorHAnsi"/>
        </w:rPr>
        <w:t xml:space="preserve"> </w:t>
      </w:r>
      <w:r w:rsidRPr="001466CD">
        <w:rPr>
          <w:rFonts w:cstheme="minorHAnsi"/>
        </w:rPr>
        <w:t>11.</w:t>
      </w:r>
      <w:r w:rsidR="00806351">
        <w:rPr>
          <w:rFonts w:cstheme="minorHAnsi"/>
        </w:rPr>
        <w:t xml:space="preserve"> </w:t>
      </w:r>
      <w:r w:rsidRPr="001466CD">
        <w:rPr>
          <w:rFonts w:cstheme="minorHAnsi"/>
        </w:rPr>
        <w:t>2021 byla poskytnuta individuální dotace z rozpočtu Středočeského kraje pro SOUNDTRACK FESTIVAL a.s. na přípravu a realizaci projektu s názvem „Mezinárodní festival filmové hudby a multimédií SOUNDTRACK PODĚBRADY 2022“</w:t>
      </w:r>
      <w:r>
        <w:rPr>
          <w:rFonts w:cstheme="minorHAnsi"/>
        </w:rPr>
        <w:t>.</w:t>
      </w:r>
    </w:p>
    <w:p w14:paraId="1874758A" w14:textId="77777777" w:rsidR="00ED51F3" w:rsidRPr="0082664B" w:rsidRDefault="00ED51F3" w:rsidP="00ED51F3">
      <w:pPr>
        <w:spacing w:after="0" w:line="240" w:lineRule="auto"/>
        <w:jc w:val="both"/>
        <w:rPr>
          <w:rFonts w:cstheme="minorHAnsi"/>
        </w:rPr>
      </w:pPr>
    </w:p>
    <w:p w14:paraId="46CDF9FC" w14:textId="77777777" w:rsidR="00ED51F3" w:rsidRPr="0082664B" w:rsidRDefault="00ED51F3" w:rsidP="00ED51F3">
      <w:pPr>
        <w:spacing w:after="0" w:line="240" w:lineRule="auto"/>
        <w:jc w:val="both"/>
        <w:rPr>
          <w:rFonts w:cstheme="minorHAnsi"/>
          <w:b/>
        </w:rPr>
      </w:pPr>
      <w:r w:rsidRPr="0082664B">
        <w:rPr>
          <w:rFonts w:cstheme="minorHAnsi"/>
          <w:b/>
        </w:rPr>
        <w:t>§ 2143 – Cestovní ruch – příspěvek příspěvkové organizaci Středočeská centrála cestovního ruchu</w:t>
      </w:r>
    </w:p>
    <w:p w14:paraId="66FC23FE" w14:textId="43B8C365" w:rsidR="00ED51F3" w:rsidRDefault="00ED51F3" w:rsidP="00ED51F3">
      <w:pPr>
        <w:spacing w:after="0" w:line="240" w:lineRule="auto"/>
        <w:jc w:val="both"/>
        <w:rPr>
          <w:rFonts w:cstheme="minorHAnsi"/>
        </w:rPr>
      </w:pPr>
      <w:r>
        <w:rPr>
          <w:rFonts w:cstheme="minorHAnsi"/>
        </w:rPr>
        <w:t>Upravený</w:t>
      </w:r>
      <w:r w:rsidRPr="0082664B">
        <w:rPr>
          <w:rFonts w:cstheme="minorHAnsi"/>
        </w:rPr>
        <w:t xml:space="preserve"> rozpočet ve výši 39 373 843,00 Kč z kapitoly 08 – Regionální rozvoj (usn</w:t>
      </w:r>
      <w:r>
        <w:rPr>
          <w:rFonts w:cstheme="minorHAnsi"/>
        </w:rPr>
        <w:t>esení</w:t>
      </w:r>
      <w:r w:rsidRPr="0082664B">
        <w:rPr>
          <w:rFonts w:cstheme="minorHAnsi"/>
        </w:rPr>
        <w:t xml:space="preserve"> č. 027-15/2021 ze dne 1. 4. 2021) na základě Opatření ředitele Krajského úřadu Středočeského kraje č. 3/2021, kterým se mění Organizační řád Krajského úřadu Středočeského kraje s účinností dne 1. 4. 2021, byl navýšen o částku 600 000,00 Kč usnesením č. 058-24/2021/RK ze dne 3. 6. 2021 – převod prostředků z kap</w:t>
      </w:r>
      <w:r>
        <w:rPr>
          <w:rFonts w:cstheme="minorHAnsi"/>
        </w:rPr>
        <w:t>itoly</w:t>
      </w:r>
      <w:r w:rsidRPr="0082664B">
        <w:rPr>
          <w:rFonts w:cstheme="minorHAnsi"/>
        </w:rPr>
        <w:t xml:space="preserve"> 23 </w:t>
      </w:r>
      <w:r>
        <w:rPr>
          <w:rFonts w:cstheme="minorHAnsi"/>
        </w:rPr>
        <w:t xml:space="preserve">- </w:t>
      </w:r>
      <w:r w:rsidRPr="0082664B">
        <w:rPr>
          <w:rFonts w:cstheme="minorHAnsi"/>
        </w:rPr>
        <w:t xml:space="preserve">Ostatní, </w:t>
      </w:r>
      <w:r>
        <w:rPr>
          <w:rFonts w:cstheme="minorHAnsi"/>
        </w:rPr>
        <w:t xml:space="preserve">specifické rezervy (rezerva na krytí propadu daňových příjmů), </w:t>
      </w:r>
      <w:r w:rsidRPr="0082664B">
        <w:rPr>
          <w:rFonts w:cstheme="minorHAnsi"/>
        </w:rPr>
        <w:t>na navýšení příspěvku pro příspěvkovou organizaci pro rok 2021.</w:t>
      </w:r>
      <w:r>
        <w:rPr>
          <w:rFonts w:cstheme="minorHAnsi"/>
        </w:rPr>
        <w:t xml:space="preserve"> V průběhu roku došlo ke snížení </w:t>
      </w:r>
      <w:bookmarkStart w:id="9" w:name="_Hlk96673000"/>
      <w:r w:rsidRPr="009E6954">
        <w:rPr>
          <w:rFonts w:cstheme="minorHAnsi"/>
        </w:rPr>
        <w:t xml:space="preserve">Rozpočtovou úpravou č. 764/06/2021 projednanou s příslušným členem </w:t>
      </w:r>
      <w:r w:rsidR="00D64A49">
        <w:rPr>
          <w:rFonts w:cstheme="minorHAnsi"/>
        </w:rPr>
        <w:t>r</w:t>
      </w:r>
      <w:r w:rsidRPr="009E6954">
        <w:rPr>
          <w:rFonts w:cstheme="minorHAnsi"/>
        </w:rPr>
        <w:t>ady kraje</w:t>
      </w:r>
      <w:bookmarkEnd w:id="9"/>
      <w:r w:rsidRPr="009E6954">
        <w:rPr>
          <w:rFonts w:cstheme="minorHAnsi"/>
        </w:rPr>
        <w:t xml:space="preserve"> o částku 81 500,00 Kč</w:t>
      </w:r>
      <w:r>
        <w:rPr>
          <w:rFonts w:cstheme="minorHAnsi"/>
        </w:rPr>
        <w:t xml:space="preserve"> </w:t>
      </w:r>
      <w:r w:rsidRPr="009E6954">
        <w:rPr>
          <w:rFonts w:cstheme="minorHAnsi"/>
        </w:rPr>
        <w:t>z důvodu poskytnutí dotace na propagaci Labské stezky</w:t>
      </w:r>
      <w:r>
        <w:rPr>
          <w:rFonts w:cstheme="minorHAnsi"/>
        </w:rPr>
        <w:t xml:space="preserve">, usnesením č. </w:t>
      </w:r>
      <w:r w:rsidRPr="006F4794">
        <w:rPr>
          <w:rFonts w:cstheme="minorHAnsi"/>
        </w:rPr>
        <w:t>035-01/2022/RK ze dne 6.1.2022</w:t>
      </w:r>
      <w:r>
        <w:rPr>
          <w:rFonts w:cstheme="minorHAnsi"/>
        </w:rPr>
        <w:t xml:space="preserve"> o částku 837 320,00 Kč na </w:t>
      </w:r>
      <w:r w:rsidRPr="006F4794">
        <w:rPr>
          <w:rFonts w:cstheme="minorHAnsi"/>
        </w:rPr>
        <w:t>financování smlouvy o spolupráci s Post Bellum Production, s.r.o.</w:t>
      </w:r>
      <w:r>
        <w:rPr>
          <w:rFonts w:cstheme="minorHAnsi"/>
        </w:rPr>
        <w:t xml:space="preserve"> a dále usnesením č.  </w:t>
      </w:r>
      <w:r w:rsidRPr="006F4794">
        <w:rPr>
          <w:rFonts w:cstheme="minorHAnsi"/>
        </w:rPr>
        <w:t xml:space="preserve">007-37/2021/RK ze dne </w:t>
      </w:r>
      <w:r w:rsidRPr="006F4794">
        <w:rPr>
          <w:rFonts w:cstheme="minorHAnsi"/>
        </w:rPr>
        <w:lastRenderedPageBreak/>
        <w:t>30.9.2021</w:t>
      </w:r>
      <w:r>
        <w:rPr>
          <w:rFonts w:cstheme="minorHAnsi"/>
        </w:rPr>
        <w:t xml:space="preserve">, </w:t>
      </w:r>
      <w:r w:rsidRPr="006F4794">
        <w:rPr>
          <w:rFonts w:cstheme="minorHAnsi"/>
        </w:rPr>
        <w:t>060-45/2021/RK ze dne 2.12.2021</w:t>
      </w:r>
      <w:r>
        <w:rPr>
          <w:rFonts w:cstheme="minorHAnsi"/>
        </w:rPr>
        <w:t xml:space="preserve">, </w:t>
      </w:r>
      <w:r w:rsidRPr="006F4794">
        <w:rPr>
          <w:rFonts w:cstheme="minorHAnsi"/>
        </w:rPr>
        <w:t>058-46/2021/RK ze dne 9.12.2021</w:t>
      </w:r>
      <w:r>
        <w:rPr>
          <w:rFonts w:cstheme="minorHAnsi"/>
        </w:rPr>
        <w:t xml:space="preserve">, </w:t>
      </w:r>
      <w:r w:rsidRPr="006F4794">
        <w:rPr>
          <w:rFonts w:cstheme="minorHAnsi"/>
        </w:rPr>
        <w:t>061-45/2021/RK ze dne 2.12.2021</w:t>
      </w:r>
      <w:r>
        <w:rPr>
          <w:rFonts w:cstheme="minorHAnsi"/>
        </w:rPr>
        <w:t xml:space="preserve">, </w:t>
      </w:r>
      <w:r w:rsidRPr="000D68BA">
        <w:rPr>
          <w:rFonts w:cstheme="minorHAnsi"/>
        </w:rPr>
        <w:t>093-47/2021/RK ze dne 16.12.2021</w:t>
      </w:r>
      <w:r>
        <w:rPr>
          <w:rFonts w:cstheme="minorHAnsi"/>
        </w:rPr>
        <w:t xml:space="preserve">, </w:t>
      </w:r>
      <w:r w:rsidRPr="000D68BA">
        <w:rPr>
          <w:rFonts w:cstheme="minorHAnsi"/>
        </w:rPr>
        <w:t>131-47/2021/RK ze dne 16.12.2021</w:t>
      </w:r>
      <w:r>
        <w:rPr>
          <w:rFonts w:cstheme="minorHAnsi"/>
        </w:rPr>
        <w:t xml:space="preserve"> v celkové výši </w:t>
      </w:r>
      <w:r w:rsidRPr="005C272B">
        <w:rPr>
          <w:rFonts w:cstheme="minorHAnsi"/>
        </w:rPr>
        <w:t>10 422 685,16</w:t>
      </w:r>
      <w:r>
        <w:rPr>
          <w:rFonts w:cstheme="minorHAnsi"/>
        </w:rPr>
        <w:t xml:space="preserve"> Kč. Tyto prostředky byly převedeny v rámci kapitoly. Upravený rozpočet byl 28 632 337,84 Kč.</w:t>
      </w:r>
    </w:p>
    <w:p w14:paraId="2CD247E9" w14:textId="336FB996" w:rsidR="00ED51F3" w:rsidRPr="005C272B" w:rsidRDefault="00ED51F3" w:rsidP="00ED51F3">
      <w:pPr>
        <w:spacing w:after="0" w:line="240" w:lineRule="auto"/>
        <w:jc w:val="both"/>
        <w:rPr>
          <w:rFonts w:cstheme="minorHAnsi"/>
          <w:color w:val="FF0000"/>
        </w:rPr>
      </w:pPr>
      <w:r w:rsidRPr="00C43C25">
        <w:rPr>
          <w:rFonts w:cstheme="minorHAnsi"/>
        </w:rPr>
        <w:t>Příspěvek na provoz od zřizovatele pro Středočeskou centrálu cestovního ruchu byl čerpán ve výši 90,2 %. Prostředky v celkové výši 25 819 556,00 Kč byly využity na běžný provoz organizace, na zajištění správy a rozvoje sportovně rekreačního areálu Vrchbělá, na marketing turistického regionu Střední Čechy a na rozvoj marketingové značky Střední Čechy královské (z toho částka 928 850,00 Kč byla čerpána na opravy a udržování – oprava sprch a nátěry dětských prvků v areálu Vrchbělá a opravy, malování a další údržba budovy v Husově ulici</w:t>
      </w:r>
      <w:r w:rsidR="00381961">
        <w:rPr>
          <w:rFonts w:cstheme="minorHAnsi"/>
        </w:rPr>
        <w:t>).</w:t>
      </w:r>
      <w:r w:rsidRPr="00C43C25">
        <w:rPr>
          <w:rFonts w:cstheme="minorHAnsi"/>
        </w:rPr>
        <w:t xml:space="preserve"> </w:t>
      </w:r>
      <w:r w:rsidR="00381961">
        <w:rPr>
          <w:rFonts w:cstheme="minorHAnsi"/>
        </w:rPr>
        <w:t>Č</w:t>
      </w:r>
      <w:r w:rsidRPr="00C43C25">
        <w:rPr>
          <w:rFonts w:cstheme="minorHAnsi"/>
        </w:rPr>
        <w:t xml:space="preserve">ástka </w:t>
      </w:r>
      <w:r>
        <w:rPr>
          <w:rFonts w:cstheme="minorHAnsi"/>
        </w:rPr>
        <w:t>12 891 624</w:t>
      </w:r>
      <w:r w:rsidRPr="00C43C25">
        <w:rPr>
          <w:rFonts w:cstheme="minorHAnsi"/>
        </w:rPr>
        <w:t>,00 Kč byla čerpána na mzdové náklady organizace.</w:t>
      </w:r>
    </w:p>
    <w:p w14:paraId="1A1D8F30" w14:textId="77777777" w:rsidR="00ED51F3" w:rsidRPr="0082664B" w:rsidRDefault="00ED51F3" w:rsidP="00ED51F3">
      <w:pPr>
        <w:spacing w:after="0" w:line="240" w:lineRule="auto"/>
        <w:jc w:val="both"/>
        <w:rPr>
          <w:rFonts w:cstheme="minorHAnsi"/>
        </w:rPr>
      </w:pPr>
    </w:p>
    <w:p w14:paraId="7B0ADA3C" w14:textId="77777777" w:rsidR="00ED51F3" w:rsidRPr="0082664B" w:rsidRDefault="00ED51F3" w:rsidP="00ED51F3">
      <w:pPr>
        <w:spacing w:after="0" w:line="240" w:lineRule="auto"/>
        <w:rPr>
          <w:rFonts w:eastAsia="Times New Roman" w:cstheme="minorHAnsi"/>
          <w:b/>
          <w:lang w:eastAsia="cs-CZ"/>
        </w:rPr>
      </w:pPr>
      <w:r w:rsidRPr="0082664B">
        <w:rPr>
          <w:rFonts w:eastAsia="Times New Roman" w:cstheme="minorHAnsi"/>
          <w:b/>
          <w:lang w:eastAsia="cs-CZ"/>
        </w:rPr>
        <w:t xml:space="preserve">§ 3311 – </w:t>
      </w:r>
      <w:r w:rsidRPr="002F5A57">
        <w:rPr>
          <w:rFonts w:eastAsia="Times New Roman" w:cstheme="minorHAnsi"/>
          <w:b/>
          <w:lang w:eastAsia="cs-CZ"/>
        </w:rPr>
        <w:t>Podpora regionálních funkcí statutárních divadel na území</w:t>
      </w:r>
      <w:r>
        <w:rPr>
          <w:rFonts w:eastAsia="Times New Roman" w:cstheme="minorHAnsi"/>
          <w:b/>
          <w:lang w:eastAsia="cs-CZ"/>
        </w:rPr>
        <w:t xml:space="preserve"> Středočeského kraje</w:t>
      </w:r>
      <w:r w:rsidRPr="0082664B">
        <w:rPr>
          <w:rFonts w:eastAsia="Times New Roman" w:cstheme="minorHAnsi"/>
          <w:b/>
          <w:lang w:eastAsia="cs-CZ"/>
        </w:rPr>
        <w:t xml:space="preserve"> (Městské divadlo Mladá Boleslav, Divadlo A. Dvořáka v Příbrami, Městské divadlo Kladno, Loutkové divadlo Lampion)</w:t>
      </w:r>
    </w:p>
    <w:p w14:paraId="6A6319AB" w14:textId="1AB4538E" w:rsidR="00ED51F3" w:rsidRPr="0082664B" w:rsidRDefault="00ED51F3" w:rsidP="00ED51F3">
      <w:pPr>
        <w:spacing w:after="0" w:line="240" w:lineRule="auto"/>
        <w:jc w:val="both"/>
        <w:rPr>
          <w:rFonts w:eastAsia="Times New Roman" w:cstheme="minorHAnsi"/>
          <w:lang w:eastAsia="cs-CZ"/>
        </w:rPr>
      </w:pPr>
      <w:r w:rsidRPr="0082664B">
        <w:rPr>
          <w:rFonts w:eastAsia="Times New Roman" w:cstheme="minorHAnsi"/>
          <w:lang w:eastAsia="cs-CZ"/>
        </w:rPr>
        <w:t>Na rok 2021 byl schválen rozpočet ve výši 2 000 000,00 Kč. Usnesením č. 007-04</w:t>
      </w:r>
      <w:r>
        <w:rPr>
          <w:rFonts w:eastAsia="Times New Roman" w:cstheme="minorHAnsi"/>
          <w:lang w:eastAsia="cs-CZ"/>
        </w:rPr>
        <w:t>/2021/ZK ze dne 22. 2. 2021 (navýšení rozpočtu Středočeského kraje o prostředky ze sdílených daní a nevyčerpané prostředky z roku 2020) byly prostředky navýšeny</w:t>
      </w:r>
      <w:r w:rsidRPr="0082664B">
        <w:rPr>
          <w:rFonts w:eastAsia="Times New Roman" w:cstheme="minorHAnsi"/>
          <w:lang w:eastAsia="cs-CZ"/>
        </w:rPr>
        <w:t xml:space="preserve"> na částku 4 000 000,00 Kč</w:t>
      </w:r>
      <w:r>
        <w:rPr>
          <w:rFonts w:eastAsia="Times New Roman" w:cstheme="minorHAnsi"/>
          <w:lang w:eastAsia="cs-CZ"/>
        </w:rPr>
        <w:t xml:space="preserve"> a usnesením</w:t>
      </w:r>
      <w:r w:rsidRPr="00312A33">
        <w:rPr>
          <w:rFonts w:eastAsia="Times New Roman" w:cstheme="minorHAnsi"/>
          <w:lang w:eastAsia="cs-CZ"/>
        </w:rPr>
        <w:t xml:space="preserve"> č. 066-42/2021/RK ze dne 11.</w:t>
      </w:r>
      <w:r w:rsidR="00381961">
        <w:rPr>
          <w:rFonts w:eastAsia="Times New Roman" w:cstheme="minorHAnsi"/>
          <w:lang w:eastAsia="cs-CZ"/>
        </w:rPr>
        <w:t xml:space="preserve"> </w:t>
      </w:r>
      <w:r w:rsidRPr="00312A33">
        <w:rPr>
          <w:rFonts w:eastAsia="Times New Roman" w:cstheme="minorHAnsi"/>
          <w:lang w:eastAsia="cs-CZ"/>
        </w:rPr>
        <w:t>11.</w:t>
      </w:r>
      <w:r w:rsidR="00381961">
        <w:rPr>
          <w:rFonts w:eastAsia="Times New Roman" w:cstheme="minorHAnsi"/>
          <w:lang w:eastAsia="cs-CZ"/>
        </w:rPr>
        <w:t xml:space="preserve"> </w:t>
      </w:r>
      <w:r w:rsidRPr="00312A33">
        <w:rPr>
          <w:rFonts w:eastAsia="Times New Roman" w:cstheme="minorHAnsi"/>
          <w:lang w:eastAsia="cs-CZ"/>
        </w:rPr>
        <w:t>2021</w:t>
      </w:r>
      <w:r>
        <w:rPr>
          <w:rFonts w:eastAsia="Times New Roman" w:cstheme="minorHAnsi"/>
          <w:lang w:eastAsia="cs-CZ"/>
        </w:rPr>
        <w:t xml:space="preserve"> sníženy o částku 949 664,00 Kč z důvodu </w:t>
      </w:r>
      <w:r w:rsidRPr="00312A33">
        <w:rPr>
          <w:rFonts w:eastAsia="Times New Roman" w:cstheme="minorHAnsi"/>
          <w:lang w:eastAsia="cs-CZ"/>
        </w:rPr>
        <w:t>poskytnutí příspěvk</w:t>
      </w:r>
      <w:r>
        <w:rPr>
          <w:rFonts w:eastAsia="Times New Roman" w:cstheme="minorHAnsi"/>
          <w:lang w:eastAsia="cs-CZ"/>
        </w:rPr>
        <w:t>ů PO</w:t>
      </w:r>
      <w:r w:rsidRPr="00312A33">
        <w:rPr>
          <w:rFonts w:eastAsia="Times New Roman" w:cstheme="minorHAnsi"/>
          <w:lang w:eastAsia="cs-CZ"/>
        </w:rPr>
        <w:t xml:space="preserve"> na rozvoj edukačních programů v roce 2022</w:t>
      </w:r>
      <w:r>
        <w:rPr>
          <w:rFonts w:eastAsia="Times New Roman" w:cstheme="minorHAnsi"/>
          <w:lang w:eastAsia="cs-CZ"/>
        </w:rPr>
        <w:t>.</w:t>
      </w:r>
      <w:r w:rsidRPr="0082664B">
        <w:rPr>
          <w:rFonts w:eastAsia="Times New Roman" w:cstheme="minorHAnsi"/>
          <w:lang w:eastAsia="cs-CZ"/>
        </w:rPr>
        <w:t xml:space="preserve"> </w:t>
      </w:r>
      <w:r>
        <w:rPr>
          <w:rFonts w:eastAsia="Times New Roman" w:cstheme="minorHAnsi"/>
          <w:lang w:eastAsia="cs-CZ"/>
        </w:rPr>
        <w:t>Upravený r</w:t>
      </w:r>
      <w:r w:rsidRPr="0082664B">
        <w:rPr>
          <w:rFonts w:eastAsia="Times New Roman" w:cstheme="minorHAnsi"/>
          <w:lang w:eastAsia="cs-CZ"/>
        </w:rPr>
        <w:t xml:space="preserve">ozpočet </w:t>
      </w:r>
      <w:r>
        <w:rPr>
          <w:rFonts w:eastAsia="Times New Roman" w:cstheme="minorHAnsi"/>
          <w:lang w:eastAsia="cs-CZ"/>
        </w:rPr>
        <w:t>byl</w:t>
      </w:r>
      <w:r w:rsidRPr="0082664B">
        <w:rPr>
          <w:rFonts w:eastAsia="Times New Roman" w:cstheme="minorHAnsi"/>
          <w:lang w:eastAsia="cs-CZ"/>
        </w:rPr>
        <w:t xml:space="preserve"> určen na podporu tří profesionálních divadel ve Středočeském kraji. </w:t>
      </w:r>
      <w:r>
        <w:rPr>
          <w:rFonts w:eastAsia="Times New Roman" w:cstheme="minorHAnsi"/>
          <w:lang w:eastAsia="cs-CZ"/>
        </w:rPr>
        <w:t>N</w:t>
      </w:r>
      <w:r w:rsidRPr="002F5A57">
        <w:rPr>
          <w:rFonts w:eastAsia="Times New Roman" w:cstheme="minorHAnsi"/>
          <w:lang w:eastAsia="cs-CZ"/>
        </w:rPr>
        <w:t>a základě Programu 2021 pro poskytování dotací na podporu regionálních funkcí statutárních divadel na území Středočeského kraje z rozpočtu Středočeského kraje vyhlášeného dne 9. 7. 2021</w:t>
      </w:r>
      <w:r>
        <w:rPr>
          <w:rFonts w:eastAsia="Times New Roman" w:cstheme="minorHAnsi"/>
          <w:lang w:eastAsia="cs-CZ"/>
        </w:rPr>
        <w:t xml:space="preserve"> </w:t>
      </w:r>
      <w:r w:rsidRPr="0082664B">
        <w:rPr>
          <w:rFonts w:eastAsia="Times New Roman" w:cstheme="minorHAnsi"/>
          <w:lang w:eastAsia="cs-CZ"/>
        </w:rPr>
        <w:t>byly tyto prostředky</w:t>
      </w:r>
      <w:r>
        <w:rPr>
          <w:rFonts w:eastAsia="Times New Roman" w:cstheme="minorHAnsi"/>
          <w:lang w:eastAsia="cs-CZ"/>
        </w:rPr>
        <w:t xml:space="preserve"> čerpány na 95,4 % ve výši 2 911 120,00 Kč </w:t>
      </w:r>
      <w:r w:rsidRPr="0082664B">
        <w:rPr>
          <w:rFonts w:eastAsia="Times New Roman" w:cstheme="minorHAnsi"/>
          <w:lang w:eastAsia="cs-CZ"/>
        </w:rPr>
        <w:t>na podporu Divadla A. Dvořáka v Příbrami, pro Městské divadlo Mladá Boleslav a Divadla Kladno včetně Loutkového divadla Lampion</w:t>
      </w:r>
      <w:r>
        <w:rPr>
          <w:rFonts w:eastAsia="Times New Roman" w:cstheme="minorHAnsi"/>
          <w:lang w:eastAsia="cs-CZ"/>
        </w:rPr>
        <w:t>.</w:t>
      </w:r>
    </w:p>
    <w:p w14:paraId="76DCA848" w14:textId="77777777" w:rsidR="00ED51F3" w:rsidRPr="0082664B" w:rsidRDefault="00ED51F3" w:rsidP="00ED51F3">
      <w:pPr>
        <w:spacing w:after="0" w:line="240" w:lineRule="auto"/>
        <w:jc w:val="both"/>
        <w:rPr>
          <w:rFonts w:cstheme="minorHAnsi"/>
        </w:rPr>
      </w:pPr>
    </w:p>
    <w:p w14:paraId="0A30D955" w14:textId="15BC6CD4" w:rsidR="00ED51F3" w:rsidRPr="0082664B" w:rsidRDefault="00ED51F3" w:rsidP="00ED51F3">
      <w:pPr>
        <w:spacing w:after="0" w:line="240" w:lineRule="auto"/>
        <w:jc w:val="both"/>
        <w:rPr>
          <w:rFonts w:eastAsia="Times New Roman" w:cstheme="minorHAnsi"/>
          <w:b/>
          <w:lang w:eastAsia="cs-CZ"/>
        </w:rPr>
      </w:pPr>
      <w:r w:rsidRPr="0082664B">
        <w:rPr>
          <w:rFonts w:eastAsia="Times New Roman" w:cstheme="minorHAnsi"/>
          <w:b/>
          <w:lang w:eastAsia="cs-CZ"/>
        </w:rPr>
        <w:t>§ 3314 – Činnosti kni</w:t>
      </w:r>
      <w:r>
        <w:rPr>
          <w:rFonts w:eastAsia="Times New Roman" w:cstheme="minorHAnsi"/>
          <w:b/>
          <w:lang w:eastAsia="cs-CZ"/>
        </w:rPr>
        <w:t xml:space="preserve">hovnické </w:t>
      </w:r>
      <w:r w:rsidR="00A7208A">
        <w:rPr>
          <w:rFonts w:eastAsia="Times New Roman" w:cstheme="minorHAnsi"/>
          <w:b/>
          <w:lang w:eastAsia="cs-CZ"/>
        </w:rPr>
        <w:t xml:space="preserve">- </w:t>
      </w:r>
      <w:r w:rsidRPr="0082664B">
        <w:rPr>
          <w:rFonts w:eastAsia="Times New Roman" w:cstheme="minorHAnsi"/>
          <w:b/>
          <w:lang w:eastAsia="cs-CZ"/>
        </w:rPr>
        <w:t>příspěvek příspěvkovým organizacím</w:t>
      </w:r>
    </w:p>
    <w:p w14:paraId="0F0E3912" w14:textId="12F6219D" w:rsidR="00ED51F3" w:rsidRPr="0082664B" w:rsidRDefault="00ED51F3" w:rsidP="00ED51F3">
      <w:pPr>
        <w:spacing w:after="0" w:line="240" w:lineRule="auto"/>
        <w:jc w:val="both"/>
        <w:rPr>
          <w:rFonts w:eastAsia="Times New Roman" w:cstheme="minorHAnsi"/>
          <w:color w:val="000000"/>
          <w:lang w:eastAsia="cs-CZ"/>
        </w:rPr>
      </w:pPr>
      <w:r w:rsidRPr="0082664B">
        <w:rPr>
          <w:rFonts w:eastAsia="Times New Roman" w:cstheme="minorHAnsi"/>
          <w:color w:val="000000"/>
          <w:lang w:eastAsia="cs-CZ"/>
        </w:rPr>
        <w:t xml:space="preserve">Schválený rozpočet ve výši 35 811 000,00 Kč </w:t>
      </w:r>
      <w:r>
        <w:rPr>
          <w:rFonts w:eastAsia="Times New Roman" w:cstheme="minorHAnsi"/>
          <w:color w:val="000000"/>
          <w:lang w:eastAsia="cs-CZ"/>
        </w:rPr>
        <w:t>byl v</w:t>
      </w:r>
      <w:r w:rsidRPr="0082664B">
        <w:rPr>
          <w:rFonts w:eastAsia="Times New Roman" w:cstheme="minorHAnsi"/>
          <w:color w:val="000000"/>
          <w:lang w:eastAsia="cs-CZ"/>
        </w:rPr>
        <w:t> souladu s usnesením č. 031-</w:t>
      </w:r>
      <w:r>
        <w:rPr>
          <w:rFonts w:eastAsia="Times New Roman" w:cstheme="minorHAnsi"/>
          <w:color w:val="000000"/>
          <w:lang w:eastAsia="cs-CZ"/>
        </w:rPr>
        <w:t>14/2021/RK ze dne 25. 3. 2021 (převod z kapitoly 23 – Ostatní, specifické rezervy (rezerva na krytí propadu daňových příjmů) navýšen o 1 800 000,00 Kč, tj. ve výši fixace prostředků ve fondech PO z roku 2020</w:t>
      </w:r>
      <w:r w:rsidRPr="0082664B">
        <w:rPr>
          <w:rFonts w:eastAsia="Times New Roman" w:cstheme="minorHAnsi"/>
          <w:color w:val="000000"/>
          <w:lang w:eastAsia="cs-CZ"/>
        </w:rPr>
        <w:t xml:space="preserve">. </w:t>
      </w:r>
      <w:bookmarkStart w:id="10" w:name="_Hlk96677210"/>
      <w:r>
        <w:rPr>
          <w:rFonts w:eastAsia="Times New Roman" w:cstheme="minorHAnsi"/>
          <w:color w:val="000000"/>
          <w:lang w:eastAsia="cs-CZ"/>
        </w:rPr>
        <w:t xml:space="preserve">Příspěvek na provoz byl navýšen o částku 80 000,00 Kč dle usnesení č. </w:t>
      </w:r>
      <w:r w:rsidRPr="00AB7684">
        <w:rPr>
          <w:rFonts w:eastAsia="Times New Roman" w:cstheme="minorHAnsi"/>
          <w:color w:val="000000"/>
          <w:lang w:eastAsia="cs-CZ"/>
        </w:rPr>
        <w:t>093-47/2021/RK ze dne 16.12.2021</w:t>
      </w:r>
      <w:r>
        <w:rPr>
          <w:rFonts w:eastAsia="Times New Roman" w:cstheme="minorHAnsi"/>
          <w:color w:val="000000"/>
          <w:lang w:eastAsia="cs-CZ"/>
        </w:rPr>
        <w:t xml:space="preserve"> </w:t>
      </w:r>
      <w:r w:rsidRPr="00AB7684">
        <w:rPr>
          <w:rFonts w:eastAsia="Times New Roman" w:cstheme="minorHAnsi"/>
          <w:color w:val="000000"/>
          <w:lang w:eastAsia="cs-CZ"/>
        </w:rPr>
        <w:t>na vybavení pro práci se sociálními sítěmi</w:t>
      </w:r>
      <w:bookmarkEnd w:id="10"/>
      <w:r>
        <w:rPr>
          <w:rFonts w:eastAsia="Times New Roman" w:cstheme="minorHAnsi"/>
          <w:color w:val="000000"/>
          <w:lang w:eastAsia="cs-CZ"/>
        </w:rPr>
        <w:t xml:space="preserve">. </w:t>
      </w:r>
      <w:r w:rsidRPr="0082664B">
        <w:rPr>
          <w:rFonts w:eastAsia="Times New Roman" w:cstheme="minorHAnsi"/>
          <w:color w:val="000000"/>
          <w:lang w:eastAsia="cs-CZ"/>
        </w:rPr>
        <w:t xml:space="preserve">Mzdové prostředky byly </w:t>
      </w:r>
      <w:r>
        <w:rPr>
          <w:rFonts w:eastAsia="Times New Roman" w:cstheme="minorHAnsi"/>
          <w:color w:val="000000"/>
          <w:lang w:eastAsia="cs-CZ"/>
        </w:rPr>
        <w:t xml:space="preserve">dále </w:t>
      </w:r>
      <w:r w:rsidRPr="0082664B">
        <w:rPr>
          <w:rFonts w:eastAsia="Times New Roman" w:cstheme="minorHAnsi"/>
          <w:color w:val="000000"/>
          <w:lang w:eastAsia="cs-CZ"/>
        </w:rPr>
        <w:t xml:space="preserve">navýšeny o </w:t>
      </w:r>
      <w:r>
        <w:rPr>
          <w:rFonts w:eastAsia="Times New Roman" w:cstheme="minorHAnsi"/>
          <w:color w:val="000000"/>
          <w:lang w:eastAsia="cs-CZ"/>
        </w:rPr>
        <w:t>108 800</w:t>
      </w:r>
      <w:r w:rsidRPr="0082664B">
        <w:rPr>
          <w:rFonts w:eastAsia="Times New Roman" w:cstheme="minorHAnsi"/>
          <w:color w:val="000000"/>
          <w:lang w:eastAsia="cs-CZ"/>
        </w:rPr>
        <w:t>,00 Kč (usnesení č. 033-26/2021/RK ze dne 17. 6. 2021</w:t>
      </w:r>
      <w:r w:rsidRPr="00F33834">
        <w:t xml:space="preserve"> </w:t>
      </w:r>
      <w:r>
        <w:t xml:space="preserve">a usnesení č. </w:t>
      </w:r>
      <w:r w:rsidRPr="00F33834">
        <w:rPr>
          <w:rFonts w:eastAsia="Times New Roman" w:cstheme="minorHAnsi"/>
          <w:color w:val="000000"/>
          <w:lang w:eastAsia="cs-CZ"/>
        </w:rPr>
        <w:t xml:space="preserve">062-45/2021/RK ze dne 2.12.2021 </w:t>
      </w:r>
      <w:r>
        <w:rPr>
          <w:rFonts w:eastAsia="Times New Roman" w:cstheme="minorHAnsi"/>
          <w:color w:val="000000"/>
          <w:lang w:eastAsia="cs-CZ"/>
        </w:rPr>
        <w:t>– převod v rámci kapitoly 06 – Kultura a památková péče</w:t>
      </w:r>
      <w:r w:rsidRPr="0082664B">
        <w:rPr>
          <w:rFonts w:eastAsia="Times New Roman" w:cstheme="minorHAnsi"/>
          <w:color w:val="000000"/>
          <w:lang w:eastAsia="cs-CZ"/>
        </w:rPr>
        <w:t xml:space="preserve">).  </w:t>
      </w:r>
      <w:r w:rsidRPr="00CE3E73">
        <w:rPr>
          <w:rFonts w:eastAsia="Times New Roman" w:cstheme="minorHAnsi"/>
          <w:color w:val="000000"/>
          <w:lang w:eastAsia="cs-CZ"/>
        </w:rPr>
        <w:t>Provozní příspěvek byl Středočeské vědecké knihovně v Kladně, p. o. poskytnut za rok 202</w:t>
      </w:r>
      <w:r>
        <w:rPr>
          <w:rFonts w:eastAsia="Times New Roman" w:cstheme="minorHAnsi"/>
          <w:color w:val="000000"/>
          <w:lang w:eastAsia="cs-CZ"/>
        </w:rPr>
        <w:t>1</w:t>
      </w:r>
      <w:r w:rsidRPr="00CE3E73">
        <w:rPr>
          <w:rFonts w:eastAsia="Times New Roman" w:cstheme="minorHAnsi"/>
          <w:color w:val="000000"/>
          <w:lang w:eastAsia="cs-CZ"/>
        </w:rPr>
        <w:t xml:space="preserve"> v souladu s upraveným rozpočtem ve výši 37</w:t>
      </w:r>
      <w:r>
        <w:rPr>
          <w:rFonts w:eastAsia="Times New Roman" w:cstheme="minorHAnsi"/>
          <w:color w:val="000000"/>
          <w:lang w:eastAsia="cs-CZ"/>
        </w:rPr>
        <w:t> 799 800</w:t>
      </w:r>
      <w:r w:rsidRPr="00CE3E73">
        <w:rPr>
          <w:rFonts w:eastAsia="Times New Roman" w:cstheme="minorHAnsi"/>
          <w:color w:val="000000"/>
          <w:lang w:eastAsia="cs-CZ"/>
        </w:rPr>
        <w:t>,00 Kč, tj. ve výši 100,0 %</w:t>
      </w:r>
      <w:r w:rsidRPr="0082664B">
        <w:rPr>
          <w:rFonts w:eastAsia="Times New Roman" w:cstheme="minorHAnsi"/>
          <w:color w:val="000000"/>
          <w:lang w:eastAsia="cs-CZ"/>
        </w:rPr>
        <w:t>.</w:t>
      </w:r>
    </w:p>
    <w:p w14:paraId="2FB01AF1" w14:textId="77777777" w:rsidR="00ED51F3" w:rsidRPr="0082664B" w:rsidRDefault="00ED51F3" w:rsidP="00ED51F3">
      <w:pPr>
        <w:spacing w:after="0" w:line="240" w:lineRule="auto"/>
        <w:jc w:val="both"/>
        <w:rPr>
          <w:rFonts w:eastAsia="Times New Roman" w:cstheme="minorHAnsi"/>
          <w:color w:val="000000"/>
          <w:lang w:eastAsia="cs-CZ"/>
        </w:rPr>
      </w:pPr>
    </w:p>
    <w:p w14:paraId="12065A42" w14:textId="77777777" w:rsidR="00ED51F3" w:rsidRPr="0082664B" w:rsidRDefault="00ED51F3" w:rsidP="00ED51F3">
      <w:pPr>
        <w:spacing w:after="0" w:line="240" w:lineRule="auto"/>
        <w:jc w:val="both"/>
        <w:rPr>
          <w:rFonts w:eastAsia="Times New Roman" w:cstheme="minorHAnsi"/>
          <w:b/>
          <w:lang w:eastAsia="cs-CZ"/>
        </w:rPr>
      </w:pPr>
      <w:r w:rsidRPr="0082664B">
        <w:rPr>
          <w:rFonts w:eastAsia="Times New Roman" w:cstheme="minorHAnsi"/>
          <w:b/>
          <w:lang w:eastAsia="cs-CZ"/>
        </w:rPr>
        <w:t>§ 3314 – Regionální funkce knihoven SK</w:t>
      </w:r>
    </w:p>
    <w:p w14:paraId="18C14D20" w14:textId="07745244" w:rsidR="00ED51F3" w:rsidRPr="0082664B" w:rsidRDefault="00ED51F3" w:rsidP="00ED51F3">
      <w:pPr>
        <w:spacing w:after="0" w:line="240" w:lineRule="auto"/>
        <w:jc w:val="both"/>
        <w:rPr>
          <w:rFonts w:eastAsia="Times New Roman" w:cstheme="minorHAnsi"/>
          <w:lang w:eastAsia="cs-CZ"/>
        </w:rPr>
      </w:pPr>
      <w:r w:rsidRPr="0082664B">
        <w:rPr>
          <w:rFonts w:eastAsia="Times New Roman" w:cstheme="minorHAnsi"/>
          <w:lang w:eastAsia="cs-CZ"/>
        </w:rPr>
        <w:t>Pro rok 2021 byl schválen rozpočet na regionální funkce knihoven</w:t>
      </w:r>
      <w:r>
        <w:rPr>
          <w:rFonts w:eastAsia="Times New Roman" w:cstheme="minorHAnsi"/>
          <w:lang w:eastAsia="cs-CZ"/>
        </w:rPr>
        <w:t xml:space="preserve"> </w:t>
      </w:r>
      <w:r w:rsidRPr="0082664B">
        <w:rPr>
          <w:rFonts w:eastAsia="Times New Roman" w:cstheme="minorHAnsi"/>
          <w:lang w:eastAsia="cs-CZ"/>
        </w:rPr>
        <w:t xml:space="preserve">ve výši 15 694 000,00 Kč. Z těchto prostředků bylo v souladu </w:t>
      </w:r>
      <w:r>
        <w:rPr>
          <w:rFonts w:eastAsia="Times New Roman" w:cstheme="minorHAnsi"/>
          <w:lang w:eastAsia="cs-CZ"/>
        </w:rPr>
        <w:t xml:space="preserve">s </w:t>
      </w:r>
      <w:r w:rsidRPr="00D518F5">
        <w:rPr>
          <w:rFonts w:eastAsia="Times New Roman" w:cstheme="minorHAnsi"/>
          <w:lang w:eastAsia="cs-CZ"/>
        </w:rPr>
        <w:t>Aktualizac</w:t>
      </w:r>
      <w:r>
        <w:rPr>
          <w:rFonts w:eastAsia="Times New Roman" w:cstheme="minorHAnsi"/>
          <w:lang w:eastAsia="cs-CZ"/>
        </w:rPr>
        <w:t>í</w:t>
      </w:r>
      <w:r w:rsidRPr="00D518F5">
        <w:rPr>
          <w:rFonts w:eastAsia="Times New Roman" w:cstheme="minorHAnsi"/>
          <w:lang w:eastAsia="cs-CZ"/>
        </w:rPr>
        <w:t xml:space="preserve"> č. 2</w:t>
      </w:r>
      <w:r>
        <w:rPr>
          <w:rFonts w:eastAsia="Times New Roman" w:cstheme="minorHAnsi"/>
          <w:lang w:eastAsia="cs-CZ"/>
        </w:rPr>
        <w:t xml:space="preserve"> </w:t>
      </w:r>
      <w:r w:rsidRPr="00D518F5">
        <w:rPr>
          <w:rFonts w:eastAsia="Times New Roman" w:cstheme="minorHAnsi"/>
          <w:lang w:eastAsia="cs-CZ"/>
        </w:rPr>
        <w:t>Koncepce regionálních</w:t>
      </w:r>
      <w:r>
        <w:rPr>
          <w:rFonts w:eastAsia="Times New Roman" w:cstheme="minorHAnsi"/>
          <w:lang w:eastAsia="cs-CZ"/>
        </w:rPr>
        <w:t xml:space="preserve"> </w:t>
      </w:r>
      <w:r w:rsidRPr="00D518F5">
        <w:rPr>
          <w:rFonts w:eastAsia="Times New Roman" w:cstheme="minorHAnsi"/>
          <w:lang w:eastAsia="cs-CZ"/>
        </w:rPr>
        <w:t>funkcí knihoven ve</w:t>
      </w:r>
      <w:r>
        <w:rPr>
          <w:rFonts w:eastAsia="Times New Roman" w:cstheme="minorHAnsi"/>
          <w:lang w:eastAsia="cs-CZ"/>
        </w:rPr>
        <w:t xml:space="preserve"> </w:t>
      </w:r>
      <w:r w:rsidRPr="00D518F5">
        <w:rPr>
          <w:rFonts w:eastAsia="Times New Roman" w:cstheme="minorHAnsi"/>
          <w:lang w:eastAsia="cs-CZ"/>
        </w:rPr>
        <w:t>Středočeském kraji na</w:t>
      </w:r>
      <w:r>
        <w:rPr>
          <w:rFonts w:eastAsia="Times New Roman" w:cstheme="minorHAnsi"/>
          <w:lang w:eastAsia="cs-CZ"/>
        </w:rPr>
        <w:t xml:space="preserve"> </w:t>
      </w:r>
      <w:r w:rsidRPr="00D518F5">
        <w:rPr>
          <w:rFonts w:eastAsia="Times New Roman" w:cstheme="minorHAnsi"/>
          <w:lang w:eastAsia="cs-CZ"/>
        </w:rPr>
        <w:t>období 2019 – 2022</w:t>
      </w:r>
      <w:r w:rsidRPr="00E54004">
        <w:t xml:space="preserve"> </w:t>
      </w:r>
      <w:r w:rsidRPr="00E54004">
        <w:rPr>
          <w:rFonts w:eastAsia="Times New Roman" w:cstheme="minorHAnsi"/>
          <w:lang w:eastAsia="cs-CZ"/>
        </w:rPr>
        <w:t>čerpáno 100,0 %</w:t>
      </w:r>
      <w:r>
        <w:rPr>
          <w:rFonts w:eastAsia="Times New Roman" w:cstheme="minorHAnsi"/>
          <w:lang w:eastAsia="cs-CZ"/>
        </w:rPr>
        <w:t xml:space="preserve"> p</w:t>
      </w:r>
      <w:r w:rsidRPr="0082664B">
        <w:rPr>
          <w:rFonts w:eastAsia="Times New Roman" w:cstheme="minorHAnsi"/>
          <w:lang w:eastAsia="cs-CZ"/>
        </w:rPr>
        <w:t>ro</w:t>
      </w:r>
      <w:r>
        <w:rPr>
          <w:rFonts w:eastAsia="Times New Roman" w:cstheme="minorHAnsi"/>
          <w:lang w:eastAsia="cs-CZ"/>
        </w:rPr>
        <w:t xml:space="preserve"> pověřené knihovny</w:t>
      </w:r>
      <w:r w:rsidRPr="00025FBC">
        <w:t xml:space="preserve"> </w:t>
      </w:r>
      <w:r w:rsidRPr="00025FBC">
        <w:rPr>
          <w:rFonts w:eastAsia="Times New Roman" w:cstheme="minorHAnsi"/>
          <w:lang w:eastAsia="cs-CZ"/>
        </w:rPr>
        <w:t>Městskou knihovnu Benešov, Městskou knihovnu Kutná Hora, Knihovnu města Mladá Boleslav</w:t>
      </w:r>
      <w:r>
        <w:rPr>
          <w:rFonts w:eastAsia="Times New Roman" w:cstheme="minorHAnsi"/>
          <w:lang w:eastAsia="cs-CZ"/>
        </w:rPr>
        <w:t xml:space="preserve">, </w:t>
      </w:r>
      <w:r w:rsidRPr="00025FBC">
        <w:rPr>
          <w:rFonts w:eastAsia="Times New Roman" w:cstheme="minorHAnsi"/>
          <w:lang w:eastAsia="cs-CZ"/>
        </w:rPr>
        <w:t>Knihovnu Jana Drdy Příbram</w:t>
      </w:r>
      <w:r>
        <w:rPr>
          <w:rFonts w:eastAsia="Times New Roman" w:cstheme="minorHAnsi"/>
          <w:lang w:eastAsia="cs-CZ"/>
        </w:rPr>
        <w:t xml:space="preserve"> na základě uzavřené smlouvy a pro </w:t>
      </w:r>
      <w:r w:rsidRPr="00E54004">
        <w:rPr>
          <w:rFonts w:eastAsia="Times New Roman" w:cstheme="minorHAnsi"/>
          <w:lang w:eastAsia="cs-CZ"/>
        </w:rPr>
        <w:t>Středočesk</w:t>
      </w:r>
      <w:r>
        <w:rPr>
          <w:rFonts w:eastAsia="Times New Roman" w:cstheme="minorHAnsi"/>
          <w:lang w:eastAsia="cs-CZ"/>
        </w:rPr>
        <w:t>ou</w:t>
      </w:r>
      <w:r w:rsidRPr="00E54004">
        <w:rPr>
          <w:rFonts w:eastAsia="Times New Roman" w:cstheme="minorHAnsi"/>
          <w:lang w:eastAsia="cs-CZ"/>
        </w:rPr>
        <w:t xml:space="preserve"> vědeck</w:t>
      </w:r>
      <w:r>
        <w:rPr>
          <w:rFonts w:eastAsia="Times New Roman" w:cstheme="minorHAnsi"/>
          <w:lang w:eastAsia="cs-CZ"/>
        </w:rPr>
        <w:t>ou</w:t>
      </w:r>
      <w:r w:rsidRPr="00E54004">
        <w:rPr>
          <w:rFonts w:eastAsia="Times New Roman" w:cstheme="minorHAnsi"/>
          <w:lang w:eastAsia="cs-CZ"/>
        </w:rPr>
        <w:t xml:space="preserve"> knihovn</w:t>
      </w:r>
      <w:r>
        <w:rPr>
          <w:rFonts w:eastAsia="Times New Roman" w:cstheme="minorHAnsi"/>
          <w:lang w:eastAsia="cs-CZ"/>
        </w:rPr>
        <w:t>u</w:t>
      </w:r>
      <w:r w:rsidRPr="00E54004">
        <w:rPr>
          <w:rFonts w:eastAsia="Times New Roman" w:cstheme="minorHAnsi"/>
          <w:lang w:eastAsia="cs-CZ"/>
        </w:rPr>
        <w:t xml:space="preserve"> v</w:t>
      </w:r>
      <w:r>
        <w:rPr>
          <w:rFonts w:eastAsia="Times New Roman" w:cstheme="minorHAnsi"/>
          <w:lang w:eastAsia="cs-CZ"/>
        </w:rPr>
        <w:t> </w:t>
      </w:r>
      <w:r w:rsidRPr="00E54004">
        <w:rPr>
          <w:rFonts w:eastAsia="Times New Roman" w:cstheme="minorHAnsi"/>
          <w:lang w:eastAsia="cs-CZ"/>
        </w:rPr>
        <w:t>Kladně</w:t>
      </w:r>
      <w:r>
        <w:rPr>
          <w:rFonts w:eastAsia="Times New Roman" w:cstheme="minorHAnsi"/>
          <w:lang w:eastAsia="cs-CZ"/>
        </w:rPr>
        <w:t xml:space="preserve">, která </w:t>
      </w:r>
      <w:r w:rsidRPr="00E54004">
        <w:rPr>
          <w:rFonts w:eastAsia="Times New Roman" w:cstheme="minorHAnsi"/>
          <w:lang w:eastAsia="cs-CZ"/>
        </w:rPr>
        <w:t>vykonává regionální funkce týkající se území celého Středočeského kraje („centrální funkce“) a regionální funkce v regionu Kladno na základě své zřizovací listiny</w:t>
      </w:r>
      <w:r>
        <w:rPr>
          <w:rFonts w:eastAsia="Times New Roman" w:cstheme="minorHAnsi"/>
          <w:lang w:eastAsia="cs-CZ"/>
        </w:rPr>
        <w:t>.</w:t>
      </w:r>
    </w:p>
    <w:p w14:paraId="4AB8927A" w14:textId="77777777" w:rsidR="00ED51F3" w:rsidRPr="0082664B" w:rsidRDefault="00ED51F3" w:rsidP="00ED51F3">
      <w:pPr>
        <w:spacing w:after="0" w:line="240" w:lineRule="auto"/>
        <w:jc w:val="both"/>
        <w:rPr>
          <w:rFonts w:eastAsia="Times New Roman" w:cstheme="minorHAnsi"/>
          <w:b/>
          <w:lang w:eastAsia="cs-CZ"/>
        </w:rPr>
      </w:pPr>
    </w:p>
    <w:p w14:paraId="25D82199" w14:textId="77777777" w:rsidR="00ED51F3" w:rsidRPr="0082664B" w:rsidRDefault="00ED51F3" w:rsidP="00ED51F3">
      <w:pPr>
        <w:spacing w:after="0" w:line="240" w:lineRule="auto"/>
        <w:jc w:val="both"/>
        <w:rPr>
          <w:rFonts w:eastAsia="Times New Roman" w:cstheme="minorHAnsi"/>
          <w:b/>
          <w:lang w:eastAsia="cs-CZ"/>
        </w:rPr>
      </w:pPr>
      <w:bookmarkStart w:id="11" w:name="_Hlk96506664"/>
      <w:r w:rsidRPr="0082664B">
        <w:rPr>
          <w:rFonts w:eastAsia="Times New Roman" w:cstheme="minorHAnsi"/>
          <w:b/>
          <w:lang w:eastAsia="cs-CZ"/>
        </w:rPr>
        <w:t>§ 3314, 3315, 3321</w:t>
      </w:r>
      <w:bookmarkEnd w:id="11"/>
      <w:r w:rsidRPr="0082664B">
        <w:rPr>
          <w:rFonts w:eastAsia="Times New Roman" w:cstheme="minorHAnsi"/>
          <w:b/>
          <w:lang w:eastAsia="cs-CZ"/>
        </w:rPr>
        <w:t xml:space="preserve"> – Rozvojové projekty příspěvkových organizací</w:t>
      </w:r>
    </w:p>
    <w:p w14:paraId="6F8DA4CC" w14:textId="62E882C2" w:rsidR="00ED51F3" w:rsidRPr="0082664B" w:rsidRDefault="00ED51F3" w:rsidP="00ED51F3">
      <w:pPr>
        <w:spacing w:after="0" w:line="240" w:lineRule="auto"/>
        <w:jc w:val="both"/>
        <w:rPr>
          <w:rFonts w:eastAsia="Times New Roman" w:cstheme="minorHAnsi"/>
          <w:lang w:eastAsia="cs-CZ"/>
        </w:rPr>
      </w:pPr>
      <w:r w:rsidRPr="0082664B">
        <w:rPr>
          <w:rFonts w:eastAsia="Times New Roman" w:cstheme="minorHAnsi"/>
          <w:lang w:eastAsia="cs-CZ"/>
        </w:rPr>
        <w:t xml:space="preserve">Na rok 2021 byl schválen rozpočet ve výši 5 000 000,00 Kč. Na základě usnesení č. 007-04/2021/ZK ze dne 22. 2. 2021 </w:t>
      </w:r>
      <w:r>
        <w:rPr>
          <w:rFonts w:eastAsia="Times New Roman" w:cstheme="minorHAnsi"/>
          <w:lang w:eastAsia="cs-CZ"/>
        </w:rPr>
        <w:t xml:space="preserve">(navýšení rozpočtu Středočeského kraje o prostředky ze sdílených daní a nevyčerpané prostředky z roku 2020) </w:t>
      </w:r>
      <w:r w:rsidRPr="0082664B">
        <w:rPr>
          <w:rFonts w:eastAsia="Times New Roman" w:cstheme="minorHAnsi"/>
          <w:lang w:eastAsia="cs-CZ"/>
        </w:rPr>
        <w:t>došlo k navýšení rozpočtu o prostředky ve výši 2 000 </w:t>
      </w:r>
      <w:r>
        <w:rPr>
          <w:rFonts w:eastAsia="Times New Roman" w:cstheme="minorHAnsi"/>
          <w:lang w:eastAsia="cs-CZ"/>
        </w:rPr>
        <w:t xml:space="preserve">000,00 Kč. Usnesením č. 058-46/2021/RK </w:t>
      </w:r>
      <w:r w:rsidR="00693834">
        <w:rPr>
          <w:rFonts w:eastAsia="Times New Roman" w:cstheme="minorHAnsi"/>
          <w:lang w:eastAsia="cs-CZ"/>
        </w:rPr>
        <w:t xml:space="preserve">ze dne 9. 12. 2021 </w:t>
      </w:r>
      <w:r>
        <w:rPr>
          <w:rFonts w:eastAsia="Times New Roman" w:cstheme="minorHAnsi"/>
          <w:lang w:eastAsia="cs-CZ"/>
        </w:rPr>
        <w:t xml:space="preserve">se položka rozvojových projektů navýšila o částku 5 456 915,16 Kč z prostředků cestovního ruchu. </w:t>
      </w:r>
      <w:r w:rsidRPr="0082664B">
        <w:rPr>
          <w:rFonts w:eastAsia="Times New Roman" w:cstheme="minorHAnsi"/>
          <w:lang w:eastAsia="cs-CZ"/>
        </w:rPr>
        <w:t>Celkový upravený rozpočet tak k 3</w:t>
      </w:r>
      <w:r>
        <w:rPr>
          <w:rFonts w:eastAsia="Times New Roman" w:cstheme="minorHAnsi"/>
          <w:lang w:eastAsia="cs-CZ"/>
        </w:rPr>
        <w:t>1</w:t>
      </w:r>
      <w:r w:rsidRPr="0082664B">
        <w:rPr>
          <w:rFonts w:eastAsia="Times New Roman" w:cstheme="minorHAnsi"/>
          <w:lang w:eastAsia="cs-CZ"/>
        </w:rPr>
        <w:t xml:space="preserve">. </w:t>
      </w:r>
      <w:r>
        <w:rPr>
          <w:rFonts w:eastAsia="Times New Roman" w:cstheme="minorHAnsi"/>
          <w:lang w:eastAsia="cs-CZ"/>
        </w:rPr>
        <w:t>12</w:t>
      </w:r>
      <w:r w:rsidRPr="0082664B">
        <w:rPr>
          <w:rFonts w:eastAsia="Times New Roman" w:cstheme="minorHAnsi"/>
          <w:lang w:eastAsia="cs-CZ"/>
        </w:rPr>
        <w:t xml:space="preserve">. 2021 činil </w:t>
      </w:r>
      <w:r>
        <w:rPr>
          <w:rFonts w:eastAsia="Times New Roman" w:cstheme="minorHAnsi"/>
          <w:lang w:eastAsia="cs-CZ"/>
        </w:rPr>
        <w:t>12 456 915,16</w:t>
      </w:r>
      <w:r w:rsidRPr="0082664B">
        <w:rPr>
          <w:rFonts w:eastAsia="Times New Roman" w:cstheme="minorHAnsi"/>
          <w:lang w:eastAsia="cs-CZ"/>
        </w:rPr>
        <w:t xml:space="preserve"> Kč. Finanční prostředky byly čerpány na </w:t>
      </w:r>
      <w:r>
        <w:rPr>
          <w:rFonts w:eastAsia="Times New Roman" w:cstheme="minorHAnsi"/>
          <w:lang w:eastAsia="cs-CZ"/>
        </w:rPr>
        <w:t>98,5</w:t>
      </w:r>
      <w:r w:rsidRPr="0082664B">
        <w:rPr>
          <w:rFonts w:eastAsia="Times New Roman" w:cstheme="minorHAnsi"/>
          <w:lang w:eastAsia="cs-CZ"/>
        </w:rPr>
        <w:t xml:space="preserve"> % a byly rozepsány na konkrétní akce příspěvkových organizací v oblasti obnovy expozic, vydávání publikací, na instalaci nových výstav, na pořádání konferencí, na akce regionálního významu, na koncerty, divadla, letní kina a jiné akce v rámci Středočeského kulturního léta 2021 a </w:t>
      </w:r>
      <w:r>
        <w:rPr>
          <w:rFonts w:eastAsia="Times New Roman" w:cstheme="minorHAnsi"/>
          <w:lang w:eastAsia="cs-CZ"/>
        </w:rPr>
        <w:t>také</w:t>
      </w:r>
      <w:r w:rsidRPr="0082664B">
        <w:rPr>
          <w:rFonts w:eastAsia="Times New Roman" w:cstheme="minorHAnsi"/>
          <w:lang w:eastAsia="cs-CZ"/>
        </w:rPr>
        <w:t xml:space="preserve"> na podporu péče o svěřený majetek.</w:t>
      </w:r>
    </w:p>
    <w:p w14:paraId="27F82B7C" w14:textId="77777777" w:rsidR="00ED51F3" w:rsidRDefault="00ED51F3" w:rsidP="00ED51F3">
      <w:pPr>
        <w:spacing w:after="0" w:line="240" w:lineRule="auto"/>
        <w:jc w:val="both"/>
        <w:rPr>
          <w:rFonts w:eastAsia="Times New Roman" w:cstheme="minorHAnsi"/>
          <w:lang w:eastAsia="cs-CZ"/>
        </w:rPr>
      </w:pPr>
    </w:p>
    <w:p w14:paraId="76A8F3CF" w14:textId="77777777" w:rsidR="00ED51F3" w:rsidRDefault="00ED51F3" w:rsidP="00ED51F3">
      <w:pPr>
        <w:spacing w:after="0" w:line="240" w:lineRule="auto"/>
        <w:jc w:val="both"/>
        <w:rPr>
          <w:rFonts w:eastAsia="Calibri" w:cstheme="minorHAnsi"/>
          <w:b/>
        </w:rPr>
      </w:pPr>
      <w:r w:rsidRPr="002B4E45">
        <w:rPr>
          <w:rFonts w:eastAsia="Calibri" w:cstheme="minorHAnsi"/>
          <w:b/>
        </w:rPr>
        <w:t>§ 3314, 3315, 3321</w:t>
      </w:r>
      <w:r w:rsidRPr="0082664B">
        <w:rPr>
          <w:rFonts w:eastAsia="Calibri" w:cstheme="minorHAnsi"/>
          <w:b/>
        </w:rPr>
        <w:t xml:space="preserve"> – </w:t>
      </w:r>
      <w:r w:rsidRPr="002B4E45">
        <w:rPr>
          <w:rFonts w:eastAsia="Calibri" w:cstheme="minorHAnsi"/>
          <w:b/>
        </w:rPr>
        <w:t>Výdaje SK spojené s nákazou koronavirem COVID-19</w:t>
      </w:r>
    </w:p>
    <w:p w14:paraId="3376194E" w14:textId="5B91D1A1" w:rsidR="00ED51F3" w:rsidRDefault="00ED51F3" w:rsidP="00ED51F3">
      <w:pPr>
        <w:spacing w:after="0" w:line="240" w:lineRule="auto"/>
        <w:jc w:val="both"/>
        <w:rPr>
          <w:rFonts w:eastAsia="Calibri" w:cstheme="minorHAnsi"/>
        </w:rPr>
      </w:pPr>
      <w:r>
        <w:rPr>
          <w:rFonts w:eastAsia="Calibri" w:cstheme="minorHAnsi"/>
        </w:rPr>
        <w:t>Upravený rozpočet ve výši 832 293,25 Kč byl čerpán</w:t>
      </w:r>
      <w:r w:rsidRPr="00F74258">
        <w:t xml:space="preserve"> </w:t>
      </w:r>
      <w:r>
        <w:t xml:space="preserve">na základě </w:t>
      </w:r>
      <w:r>
        <w:rPr>
          <w:rFonts w:eastAsia="Calibri" w:cstheme="minorHAnsi"/>
        </w:rPr>
        <w:t>u</w:t>
      </w:r>
      <w:r w:rsidRPr="00F74258">
        <w:rPr>
          <w:rFonts w:eastAsia="Calibri" w:cstheme="minorHAnsi"/>
        </w:rPr>
        <w:t>snesení č. 025-40/2021/RK ze dne 21.</w:t>
      </w:r>
      <w:r w:rsidR="00693834">
        <w:rPr>
          <w:rFonts w:eastAsia="Calibri" w:cstheme="minorHAnsi"/>
        </w:rPr>
        <w:t xml:space="preserve"> </w:t>
      </w:r>
      <w:r w:rsidRPr="00F74258">
        <w:rPr>
          <w:rFonts w:eastAsia="Calibri" w:cstheme="minorHAnsi"/>
        </w:rPr>
        <w:t>10.</w:t>
      </w:r>
      <w:r w:rsidR="00693834">
        <w:rPr>
          <w:rFonts w:eastAsia="Calibri" w:cstheme="minorHAnsi"/>
        </w:rPr>
        <w:t xml:space="preserve"> </w:t>
      </w:r>
      <w:r w:rsidRPr="00F74258">
        <w:rPr>
          <w:rFonts w:eastAsia="Calibri" w:cstheme="minorHAnsi"/>
        </w:rPr>
        <w:t>202</w:t>
      </w:r>
      <w:r>
        <w:rPr>
          <w:rFonts w:eastAsia="Calibri" w:cstheme="minorHAnsi"/>
        </w:rPr>
        <w:t xml:space="preserve">1 pro příspěvkové organizace v oblasti kultury jako </w:t>
      </w:r>
      <w:r w:rsidRPr="000950FC">
        <w:rPr>
          <w:rFonts w:eastAsia="Calibri" w:cstheme="minorHAnsi"/>
        </w:rPr>
        <w:t>kompenzace zvýšených nákladů v souvislosti s pandemií COVID-19 v roce 2021, především dezinfekce prostor přístupných veřejnosti, testování, nákup respirátorů a jiných ochranných a dezinfekčních pomůcek</w:t>
      </w:r>
      <w:r>
        <w:rPr>
          <w:rFonts w:eastAsia="Calibri" w:cstheme="minorHAnsi"/>
        </w:rPr>
        <w:t>. Rozpočet byl čerpán ve výši 100,0 %</w:t>
      </w:r>
    </w:p>
    <w:p w14:paraId="0423FC76" w14:textId="77777777" w:rsidR="00D82B5A" w:rsidRPr="00D82B5A" w:rsidRDefault="00D82B5A" w:rsidP="00ED51F3">
      <w:pPr>
        <w:spacing w:after="0" w:line="240" w:lineRule="auto"/>
        <w:jc w:val="both"/>
        <w:rPr>
          <w:rFonts w:eastAsia="Calibri" w:cstheme="minorHAnsi"/>
        </w:rPr>
      </w:pPr>
    </w:p>
    <w:p w14:paraId="54B59236" w14:textId="77777777" w:rsidR="00ED51F3" w:rsidRPr="00F4688B" w:rsidRDefault="00ED51F3" w:rsidP="00ED51F3">
      <w:pPr>
        <w:spacing w:after="0" w:line="240" w:lineRule="auto"/>
        <w:jc w:val="both"/>
        <w:rPr>
          <w:rFonts w:eastAsia="Calibri" w:cstheme="minorHAnsi"/>
          <w:b/>
        </w:rPr>
      </w:pPr>
      <w:bookmarkStart w:id="12" w:name="_Hlk96525657"/>
      <w:r w:rsidRPr="00F4688B">
        <w:rPr>
          <w:rFonts w:eastAsia="Calibri" w:cstheme="minorHAnsi"/>
          <w:b/>
        </w:rPr>
        <w:t>§ 3315 – Rozvoj edukačních programů pro příspěvkové organizace</w:t>
      </w:r>
    </w:p>
    <w:p w14:paraId="54B70964" w14:textId="5C600018" w:rsidR="00ED51F3" w:rsidRPr="00F4688B" w:rsidRDefault="00ED51F3" w:rsidP="00ED51F3">
      <w:pPr>
        <w:spacing w:after="0" w:line="240" w:lineRule="auto"/>
        <w:jc w:val="both"/>
        <w:rPr>
          <w:rFonts w:eastAsia="Times New Roman" w:cstheme="minorHAnsi"/>
          <w:b/>
          <w:lang w:eastAsia="cs-CZ"/>
        </w:rPr>
      </w:pPr>
      <w:r w:rsidRPr="00F4688B">
        <w:rPr>
          <w:rFonts w:eastAsia="Calibri" w:cstheme="minorHAnsi"/>
        </w:rPr>
        <w:t>Schválený rozpočet ve výši 300 000,00 Kč na krytí nákladů příspěvkovým organizacím, které zaměstnávají edukátory a připravují edukační programy pro různé věkové skupiny k realizovaným výstavám. Finanční prostředky byly usnesení</w:t>
      </w:r>
      <w:r w:rsidR="00693834">
        <w:rPr>
          <w:rFonts w:eastAsia="Calibri" w:cstheme="minorHAnsi"/>
        </w:rPr>
        <w:t>m</w:t>
      </w:r>
      <w:r w:rsidRPr="00F4688B">
        <w:rPr>
          <w:rFonts w:eastAsia="Calibri" w:cstheme="minorHAnsi"/>
        </w:rPr>
        <w:t xml:space="preserve"> č. 027-40/2021/RK ze dne 21.</w:t>
      </w:r>
      <w:r w:rsidR="00693834">
        <w:rPr>
          <w:rFonts w:eastAsia="Calibri" w:cstheme="minorHAnsi"/>
        </w:rPr>
        <w:t xml:space="preserve"> </w:t>
      </w:r>
      <w:r w:rsidRPr="00F4688B">
        <w:rPr>
          <w:rFonts w:eastAsia="Calibri" w:cstheme="minorHAnsi"/>
        </w:rPr>
        <w:t>10.</w:t>
      </w:r>
      <w:r w:rsidR="00693834">
        <w:rPr>
          <w:rFonts w:eastAsia="Calibri" w:cstheme="minorHAnsi"/>
        </w:rPr>
        <w:t xml:space="preserve"> </w:t>
      </w:r>
      <w:r w:rsidRPr="00F4688B">
        <w:rPr>
          <w:rFonts w:eastAsia="Calibri" w:cstheme="minorHAnsi"/>
        </w:rPr>
        <w:t xml:space="preserve">2021 převedeny do </w:t>
      </w:r>
      <w:r>
        <w:rPr>
          <w:rFonts w:eastAsia="Calibri" w:cstheme="minorHAnsi"/>
        </w:rPr>
        <w:t>provozních příspěvků</w:t>
      </w:r>
      <w:r w:rsidRPr="00F4688B">
        <w:rPr>
          <w:rFonts w:eastAsia="Calibri" w:cstheme="minorHAnsi"/>
        </w:rPr>
        <w:t xml:space="preserve"> a následně byly čerpány na základě předložených požadavků příspěvkových organizací v oblasti kultury</w:t>
      </w:r>
      <w:r>
        <w:rPr>
          <w:rFonts w:eastAsia="Calibri" w:cstheme="minorHAnsi"/>
        </w:rPr>
        <w:t>.</w:t>
      </w:r>
      <w:bookmarkStart w:id="13" w:name="_Hlk96506069"/>
    </w:p>
    <w:bookmarkEnd w:id="12"/>
    <w:bookmarkEnd w:id="13"/>
    <w:p w14:paraId="0CF03120" w14:textId="77777777" w:rsidR="00ED51F3" w:rsidRDefault="00ED51F3" w:rsidP="00ED51F3">
      <w:pPr>
        <w:spacing w:after="0" w:line="240" w:lineRule="auto"/>
        <w:jc w:val="both"/>
        <w:rPr>
          <w:rFonts w:eastAsia="Times New Roman" w:cstheme="minorHAnsi"/>
          <w:b/>
          <w:lang w:eastAsia="cs-CZ"/>
        </w:rPr>
      </w:pPr>
    </w:p>
    <w:p w14:paraId="75994C66" w14:textId="77777777" w:rsidR="00ED51F3" w:rsidRDefault="00ED51F3" w:rsidP="00ED51F3">
      <w:pPr>
        <w:spacing w:after="0" w:line="240" w:lineRule="auto"/>
        <w:jc w:val="both"/>
        <w:rPr>
          <w:rFonts w:eastAsia="Calibri" w:cstheme="minorHAnsi"/>
          <w:b/>
        </w:rPr>
      </w:pPr>
      <w:r w:rsidRPr="00F4688B">
        <w:rPr>
          <w:rFonts w:eastAsia="Calibri" w:cstheme="minorHAnsi"/>
          <w:b/>
        </w:rPr>
        <w:t xml:space="preserve">§ 3315 – </w:t>
      </w:r>
      <w:r w:rsidRPr="00207954">
        <w:rPr>
          <w:rFonts w:eastAsia="Calibri" w:cstheme="minorHAnsi"/>
          <w:b/>
        </w:rPr>
        <w:t xml:space="preserve">Oblastní muzeum P-V, </w:t>
      </w:r>
      <w:r w:rsidRPr="00A02799">
        <w:rPr>
          <w:rFonts w:eastAsia="Calibri" w:cstheme="minorHAnsi"/>
          <w:b/>
        </w:rPr>
        <w:t>80. výročí událostí 1942</w:t>
      </w:r>
    </w:p>
    <w:p w14:paraId="1514D29A" w14:textId="05D722E2" w:rsidR="00ED51F3" w:rsidRDefault="00ED51F3" w:rsidP="00ED51F3">
      <w:pPr>
        <w:spacing w:after="0" w:line="240" w:lineRule="auto"/>
        <w:jc w:val="both"/>
        <w:rPr>
          <w:rFonts w:eastAsia="Calibri" w:cstheme="minorHAnsi"/>
        </w:rPr>
      </w:pPr>
      <w:r>
        <w:rPr>
          <w:rFonts w:eastAsia="Calibri" w:cstheme="minorHAnsi"/>
        </w:rPr>
        <w:t>Upravený</w:t>
      </w:r>
      <w:r w:rsidRPr="00F4688B">
        <w:rPr>
          <w:rFonts w:eastAsia="Calibri" w:cstheme="minorHAnsi"/>
        </w:rPr>
        <w:t xml:space="preserve"> rozpočet ve výši </w:t>
      </w:r>
      <w:r w:rsidRPr="00207954">
        <w:rPr>
          <w:rFonts w:eastAsia="Calibri" w:cstheme="minorHAnsi"/>
        </w:rPr>
        <w:t>1 782 000,00</w:t>
      </w:r>
      <w:r w:rsidRPr="00F4688B">
        <w:rPr>
          <w:rFonts w:eastAsia="Calibri" w:cstheme="minorHAnsi"/>
        </w:rPr>
        <w:t xml:space="preserve"> Kč </w:t>
      </w:r>
      <w:bookmarkStart w:id="14" w:name="_Hlk96849558"/>
      <w:r w:rsidRPr="00F4688B">
        <w:rPr>
          <w:rFonts w:eastAsia="Calibri" w:cstheme="minorHAnsi"/>
        </w:rPr>
        <w:t xml:space="preserve">na </w:t>
      </w:r>
      <w:r>
        <w:rPr>
          <w:rFonts w:eastAsia="Calibri" w:cstheme="minorHAnsi"/>
        </w:rPr>
        <w:t xml:space="preserve">základě usnesení </w:t>
      </w:r>
      <w:r w:rsidRPr="00207954">
        <w:rPr>
          <w:rFonts w:eastAsia="Calibri" w:cstheme="minorHAnsi"/>
        </w:rPr>
        <w:t>057-46/2021/RK ze dne 9.</w:t>
      </w:r>
      <w:r w:rsidR="00693834">
        <w:rPr>
          <w:rFonts w:eastAsia="Calibri" w:cstheme="minorHAnsi"/>
        </w:rPr>
        <w:t xml:space="preserve"> </w:t>
      </w:r>
      <w:r w:rsidRPr="00207954">
        <w:rPr>
          <w:rFonts w:eastAsia="Calibri" w:cstheme="minorHAnsi"/>
        </w:rPr>
        <w:t>12.</w:t>
      </w:r>
      <w:r w:rsidR="00693834">
        <w:rPr>
          <w:rFonts w:eastAsia="Calibri" w:cstheme="minorHAnsi"/>
        </w:rPr>
        <w:t xml:space="preserve"> </w:t>
      </w:r>
      <w:r w:rsidRPr="00207954">
        <w:rPr>
          <w:rFonts w:eastAsia="Calibri" w:cstheme="minorHAnsi"/>
        </w:rPr>
        <w:t>2021</w:t>
      </w:r>
      <w:r>
        <w:rPr>
          <w:rFonts w:eastAsia="Calibri" w:cstheme="minorHAnsi"/>
        </w:rPr>
        <w:t xml:space="preserve">. Neinvestiční prostředky byly určeny </w:t>
      </w:r>
      <w:r w:rsidRPr="00207954">
        <w:rPr>
          <w:rFonts w:eastAsia="Calibri" w:cstheme="minorHAnsi"/>
        </w:rPr>
        <w:t xml:space="preserve">pro příspěvkovou organizaci Oblastní muzeum Praha – východ na připravované akce v roce 2022 k 80. výročí událostí </w:t>
      </w:r>
      <w:r w:rsidR="00693834">
        <w:rPr>
          <w:rFonts w:eastAsia="Calibri" w:cstheme="minorHAnsi"/>
        </w:rPr>
        <w:t xml:space="preserve">roku </w:t>
      </w:r>
      <w:r w:rsidRPr="00207954">
        <w:rPr>
          <w:rFonts w:eastAsia="Calibri" w:cstheme="minorHAnsi"/>
        </w:rPr>
        <w:t>1942</w:t>
      </w:r>
      <w:r>
        <w:rPr>
          <w:rFonts w:eastAsia="Calibri" w:cstheme="minorHAnsi"/>
        </w:rPr>
        <w:t>.</w:t>
      </w:r>
      <w:bookmarkEnd w:id="14"/>
      <w:r w:rsidRPr="00207954">
        <w:t xml:space="preserve"> </w:t>
      </w:r>
      <w:r w:rsidRPr="00207954">
        <w:rPr>
          <w:rFonts w:eastAsia="Calibri" w:cstheme="minorHAnsi"/>
        </w:rPr>
        <w:t xml:space="preserve">S ohledem na význam roku 2022 pro moderní dějiny České republiky, který bude příležitostí nejen k připomínce 80. výročí krutého obětování obce Lidice, ale také příležitostí k připomenutí boje statečných Čechů proti okupační správě a vybojování práva na českou státnost. </w:t>
      </w:r>
      <w:r>
        <w:rPr>
          <w:rFonts w:eastAsia="Calibri" w:cstheme="minorHAnsi"/>
        </w:rPr>
        <w:t>Muzeum</w:t>
      </w:r>
      <w:r w:rsidRPr="00207954">
        <w:rPr>
          <w:rFonts w:eastAsia="Calibri" w:cstheme="minorHAnsi"/>
        </w:rPr>
        <w:t xml:space="preserve"> spoluprac</w:t>
      </w:r>
      <w:r>
        <w:rPr>
          <w:rFonts w:eastAsia="Calibri" w:cstheme="minorHAnsi"/>
        </w:rPr>
        <w:t>uje</w:t>
      </w:r>
      <w:r w:rsidRPr="00207954">
        <w:rPr>
          <w:rFonts w:eastAsia="Calibri" w:cstheme="minorHAnsi"/>
        </w:rPr>
        <w:t xml:space="preserve"> se širokou škálou spolků a dalších paměťových institucích na důstojné realizaci dílčích projektů k uctění obětí, smíření a k uchování historické paměti</w:t>
      </w:r>
      <w:r>
        <w:rPr>
          <w:rFonts w:eastAsia="Calibri" w:cstheme="minorHAnsi"/>
        </w:rPr>
        <w:t>.</w:t>
      </w:r>
    </w:p>
    <w:p w14:paraId="5AE02700" w14:textId="77777777" w:rsidR="00ED51F3" w:rsidRDefault="00ED51F3" w:rsidP="00ED51F3">
      <w:pPr>
        <w:spacing w:after="0" w:line="240" w:lineRule="auto"/>
        <w:jc w:val="both"/>
        <w:rPr>
          <w:rFonts w:eastAsia="Times New Roman" w:cstheme="minorHAnsi"/>
          <w:b/>
          <w:lang w:eastAsia="cs-CZ"/>
        </w:rPr>
      </w:pPr>
    </w:p>
    <w:p w14:paraId="644508A9" w14:textId="77777777" w:rsidR="00ED51F3" w:rsidRPr="005B6BF5" w:rsidRDefault="00ED51F3" w:rsidP="00ED51F3">
      <w:pPr>
        <w:spacing w:after="0" w:line="240" w:lineRule="auto"/>
        <w:jc w:val="both"/>
        <w:rPr>
          <w:rFonts w:eastAsia="Times New Roman" w:cstheme="minorHAnsi"/>
          <w:b/>
          <w:color w:val="FF0000"/>
          <w:lang w:eastAsia="cs-CZ"/>
        </w:rPr>
      </w:pPr>
      <w:r w:rsidRPr="005B6BF5">
        <w:rPr>
          <w:rFonts w:eastAsia="Times New Roman" w:cstheme="minorHAnsi"/>
          <w:b/>
          <w:lang w:eastAsia="cs-CZ"/>
        </w:rPr>
        <w:t>§ 3315 – Činnosti muzeí a galerií – příspěvek příspěvkovým organizacím</w:t>
      </w:r>
    </w:p>
    <w:p w14:paraId="476A172E" w14:textId="58AD71D5" w:rsidR="00ED51F3" w:rsidRDefault="00ED51F3" w:rsidP="00ED51F3">
      <w:pPr>
        <w:spacing w:after="0" w:line="240" w:lineRule="auto"/>
        <w:jc w:val="both"/>
        <w:rPr>
          <w:rFonts w:eastAsia="Times New Roman" w:cstheme="minorHAnsi"/>
          <w:color w:val="000000"/>
          <w:lang w:eastAsia="cs-CZ"/>
        </w:rPr>
      </w:pPr>
      <w:r w:rsidRPr="005B6BF5">
        <w:rPr>
          <w:rFonts w:eastAsia="Times New Roman" w:cstheme="minorHAnsi"/>
          <w:color w:val="000000"/>
          <w:lang w:eastAsia="cs-CZ"/>
        </w:rPr>
        <w:t>Schválený rozpočet ve výši 283 972 000,00 Kč byl</w:t>
      </w:r>
      <w:r w:rsidRPr="005B6BF5">
        <w:rPr>
          <w:rFonts w:cstheme="minorHAnsi"/>
        </w:rPr>
        <w:t xml:space="preserve"> </w:t>
      </w:r>
      <w:r w:rsidRPr="005B6BF5">
        <w:rPr>
          <w:rFonts w:eastAsia="Times New Roman" w:cstheme="minorHAnsi"/>
          <w:color w:val="000000"/>
          <w:lang w:eastAsia="cs-CZ"/>
        </w:rPr>
        <w:t>navýšen o částku 2 700 000,00 Kč usnesením č. 007-04/2021/ZK ze dne 22. 2. 2021 (navýšení rozpočtu o prostředky ze sdílených daní a nevyčerpané prostředky z roku 2020) na zvýšené provozní náklady z dokončených investic, na úhradu spoluúčastí u získaných dotací a z důvodu nutnosti kompenzovat příspěvkovým organizacím náklady na desinfekce prostor pro veřejnost, náklady na testování zaměstnanců a jiné náklady v souvislosti s pandemickými nařízeními. Dále byl upravený rozpočet navýšen o provozní prostředky dle usnesení č. 031-14/2021/RK ze dne 25. 3. 2021 (převod z kapitoly 23 – Ostatní, specifické rezervy – rezerva na krytí propadu daňových příjmů) o částku 17 800 000,00 Kč ve výši fixace prostředků ve fondech PO z roku 2020. Příspěvek na provoz byl navýšen o částku 1 280 518,00 Kč dle usnesení č. 093-47/2021/RK ze dne 16.</w:t>
      </w:r>
      <w:r w:rsidR="00693834">
        <w:rPr>
          <w:rFonts w:eastAsia="Times New Roman" w:cstheme="minorHAnsi"/>
          <w:color w:val="000000"/>
          <w:lang w:eastAsia="cs-CZ"/>
        </w:rPr>
        <w:t xml:space="preserve"> </w:t>
      </w:r>
      <w:r w:rsidRPr="005B6BF5">
        <w:rPr>
          <w:rFonts w:eastAsia="Times New Roman" w:cstheme="minorHAnsi"/>
          <w:color w:val="000000"/>
          <w:lang w:eastAsia="cs-CZ"/>
        </w:rPr>
        <w:t>12.</w:t>
      </w:r>
      <w:r w:rsidR="00693834">
        <w:rPr>
          <w:rFonts w:eastAsia="Times New Roman" w:cstheme="minorHAnsi"/>
          <w:color w:val="000000"/>
          <w:lang w:eastAsia="cs-CZ"/>
        </w:rPr>
        <w:t xml:space="preserve"> </w:t>
      </w:r>
      <w:r w:rsidRPr="005B6BF5">
        <w:rPr>
          <w:rFonts w:eastAsia="Times New Roman" w:cstheme="minorHAnsi"/>
          <w:color w:val="000000"/>
          <w:lang w:eastAsia="cs-CZ"/>
        </w:rPr>
        <w:t xml:space="preserve">2021 na vybavení pro práci se sociálními sítěmi, o částku </w:t>
      </w:r>
      <w:r>
        <w:rPr>
          <w:rFonts w:eastAsia="Times New Roman" w:cstheme="minorHAnsi"/>
          <w:color w:val="000000"/>
          <w:lang w:eastAsia="cs-CZ"/>
        </w:rPr>
        <w:t>337 463</w:t>
      </w:r>
      <w:r w:rsidRPr="005B6BF5">
        <w:rPr>
          <w:rFonts w:eastAsia="Times New Roman" w:cstheme="minorHAnsi"/>
          <w:color w:val="000000"/>
          <w:lang w:eastAsia="cs-CZ"/>
        </w:rPr>
        <w:t xml:space="preserve">,00 Kč na financování tzv. měkkých projektů dle usnesení č. 021-36/2021/RK ze dne 23.9.2021, o částku </w:t>
      </w:r>
      <w:r>
        <w:rPr>
          <w:rFonts w:eastAsia="Times New Roman" w:cstheme="minorHAnsi"/>
          <w:color w:val="000000"/>
          <w:lang w:eastAsia="cs-CZ"/>
        </w:rPr>
        <w:t>1 169 664,00</w:t>
      </w:r>
      <w:r w:rsidRPr="005B6BF5">
        <w:rPr>
          <w:rFonts w:eastAsia="Times New Roman" w:cstheme="minorHAnsi"/>
          <w:color w:val="000000"/>
          <w:lang w:eastAsia="cs-CZ"/>
        </w:rPr>
        <w:t xml:space="preserve"> Kč na podporu edukačních programů (usnesení č. 027-40/2021/RK ze dne 21.10.2021</w:t>
      </w:r>
      <w:r>
        <w:t xml:space="preserve">, </w:t>
      </w:r>
      <w:r w:rsidRPr="001B75A3">
        <w:rPr>
          <w:rFonts w:eastAsia="Times New Roman" w:cstheme="minorHAnsi"/>
          <w:color w:val="000000"/>
          <w:lang w:eastAsia="cs-CZ"/>
        </w:rPr>
        <w:t>č. 066-42/2021/RK ze dne 11.</w:t>
      </w:r>
      <w:r w:rsidR="00693834">
        <w:rPr>
          <w:rFonts w:eastAsia="Times New Roman" w:cstheme="minorHAnsi"/>
          <w:color w:val="000000"/>
          <w:lang w:eastAsia="cs-CZ"/>
        </w:rPr>
        <w:t xml:space="preserve"> </w:t>
      </w:r>
      <w:r w:rsidRPr="001B75A3">
        <w:rPr>
          <w:rFonts w:eastAsia="Times New Roman" w:cstheme="minorHAnsi"/>
          <w:color w:val="000000"/>
          <w:lang w:eastAsia="cs-CZ"/>
        </w:rPr>
        <w:t>11.</w:t>
      </w:r>
      <w:r w:rsidR="00693834">
        <w:rPr>
          <w:rFonts w:eastAsia="Times New Roman" w:cstheme="minorHAnsi"/>
          <w:color w:val="000000"/>
          <w:lang w:eastAsia="cs-CZ"/>
        </w:rPr>
        <w:t xml:space="preserve"> </w:t>
      </w:r>
      <w:r w:rsidRPr="001B75A3">
        <w:rPr>
          <w:rFonts w:eastAsia="Times New Roman" w:cstheme="minorHAnsi"/>
          <w:color w:val="000000"/>
          <w:lang w:eastAsia="cs-CZ"/>
        </w:rPr>
        <w:t>2021</w:t>
      </w:r>
      <w:r>
        <w:rPr>
          <w:rFonts w:eastAsia="Times New Roman" w:cstheme="minorHAnsi"/>
          <w:color w:val="000000"/>
          <w:lang w:eastAsia="cs-CZ"/>
        </w:rPr>
        <w:t>), v úhrnu o částku 410 000,00 Kč pro Muzeum Mladoboleslavska dle usn</w:t>
      </w:r>
      <w:r w:rsidR="00A7208A">
        <w:rPr>
          <w:rFonts w:eastAsia="Times New Roman" w:cstheme="minorHAnsi"/>
          <w:color w:val="000000"/>
          <w:lang w:eastAsia="cs-CZ"/>
        </w:rPr>
        <w:t>esení</w:t>
      </w:r>
      <w:r>
        <w:rPr>
          <w:rFonts w:eastAsia="Times New Roman" w:cstheme="minorHAnsi"/>
          <w:color w:val="000000"/>
          <w:lang w:eastAsia="cs-CZ"/>
        </w:rPr>
        <w:t xml:space="preserve"> č.</w:t>
      </w:r>
      <w:r w:rsidRPr="00053CEF">
        <w:t xml:space="preserve"> </w:t>
      </w:r>
      <w:r w:rsidRPr="00053CEF">
        <w:rPr>
          <w:rFonts w:eastAsia="Times New Roman" w:cstheme="minorHAnsi"/>
          <w:color w:val="000000"/>
          <w:lang w:eastAsia="cs-CZ"/>
        </w:rPr>
        <w:t>053-28/2021/RK ze dne 1.</w:t>
      </w:r>
      <w:r w:rsidR="00693834">
        <w:rPr>
          <w:rFonts w:eastAsia="Times New Roman" w:cstheme="minorHAnsi"/>
          <w:color w:val="000000"/>
          <w:lang w:eastAsia="cs-CZ"/>
        </w:rPr>
        <w:t xml:space="preserve"> </w:t>
      </w:r>
      <w:r w:rsidRPr="00053CEF">
        <w:rPr>
          <w:rFonts w:eastAsia="Times New Roman" w:cstheme="minorHAnsi"/>
          <w:color w:val="000000"/>
          <w:lang w:eastAsia="cs-CZ"/>
        </w:rPr>
        <w:t>7.</w:t>
      </w:r>
      <w:r w:rsidR="00693834">
        <w:rPr>
          <w:rFonts w:eastAsia="Times New Roman" w:cstheme="minorHAnsi"/>
          <w:color w:val="000000"/>
          <w:lang w:eastAsia="cs-CZ"/>
        </w:rPr>
        <w:t xml:space="preserve"> </w:t>
      </w:r>
      <w:r w:rsidRPr="00053CEF">
        <w:rPr>
          <w:rFonts w:eastAsia="Times New Roman" w:cstheme="minorHAnsi"/>
          <w:color w:val="000000"/>
          <w:lang w:eastAsia="cs-CZ"/>
        </w:rPr>
        <w:t>2021</w:t>
      </w:r>
      <w:r>
        <w:rPr>
          <w:rFonts w:eastAsia="Times New Roman" w:cstheme="minorHAnsi"/>
          <w:color w:val="000000"/>
          <w:lang w:eastAsia="cs-CZ"/>
        </w:rPr>
        <w:t xml:space="preserve"> a </w:t>
      </w:r>
      <w:r w:rsidRPr="00D648FC">
        <w:rPr>
          <w:rFonts w:eastAsia="Times New Roman" w:cstheme="minorHAnsi"/>
          <w:color w:val="000000"/>
          <w:lang w:eastAsia="cs-CZ"/>
        </w:rPr>
        <w:t>č. 007-37/2021/RK ze dne 30.</w:t>
      </w:r>
      <w:r w:rsidR="00693834">
        <w:rPr>
          <w:rFonts w:eastAsia="Times New Roman" w:cstheme="minorHAnsi"/>
          <w:color w:val="000000"/>
          <w:lang w:eastAsia="cs-CZ"/>
        </w:rPr>
        <w:t xml:space="preserve"> </w:t>
      </w:r>
      <w:r w:rsidRPr="00D648FC">
        <w:rPr>
          <w:rFonts w:eastAsia="Times New Roman" w:cstheme="minorHAnsi"/>
          <w:color w:val="000000"/>
          <w:lang w:eastAsia="cs-CZ"/>
        </w:rPr>
        <w:t>9.</w:t>
      </w:r>
      <w:r w:rsidR="00693834">
        <w:rPr>
          <w:rFonts w:eastAsia="Times New Roman" w:cstheme="minorHAnsi"/>
          <w:color w:val="000000"/>
          <w:lang w:eastAsia="cs-CZ"/>
        </w:rPr>
        <w:t xml:space="preserve"> </w:t>
      </w:r>
      <w:r w:rsidRPr="00D648FC">
        <w:rPr>
          <w:rFonts w:eastAsia="Times New Roman" w:cstheme="minorHAnsi"/>
          <w:color w:val="000000"/>
          <w:lang w:eastAsia="cs-CZ"/>
        </w:rPr>
        <w:t>2021</w:t>
      </w:r>
      <w:r>
        <w:rPr>
          <w:rFonts w:eastAsia="Times New Roman" w:cstheme="minorHAnsi"/>
          <w:color w:val="000000"/>
          <w:lang w:eastAsia="cs-CZ"/>
        </w:rPr>
        <w:t xml:space="preserve">. V závěru roku 2021 došlo k </w:t>
      </w:r>
      <w:r w:rsidRPr="00583C47">
        <w:rPr>
          <w:rFonts w:eastAsia="Times New Roman" w:cstheme="minorHAnsi"/>
          <w:color w:val="000000"/>
          <w:lang w:eastAsia="cs-CZ"/>
        </w:rPr>
        <w:t>posílení příspěvk</w:t>
      </w:r>
      <w:r>
        <w:rPr>
          <w:rFonts w:eastAsia="Times New Roman" w:cstheme="minorHAnsi"/>
          <w:color w:val="000000"/>
          <w:lang w:eastAsia="cs-CZ"/>
        </w:rPr>
        <w:t xml:space="preserve">u PO v souvislosti s usnesením </w:t>
      </w:r>
      <w:r w:rsidRPr="00583C47">
        <w:rPr>
          <w:rFonts w:eastAsia="Times New Roman" w:cstheme="minorHAnsi"/>
          <w:color w:val="000000"/>
          <w:lang w:eastAsia="cs-CZ"/>
        </w:rPr>
        <w:t>č. 131-47/2021/RK ze dne 16.12-2021</w:t>
      </w:r>
      <w:r>
        <w:rPr>
          <w:rFonts w:eastAsia="Times New Roman" w:cstheme="minorHAnsi"/>
          <w:color w:val="000000"/>
          <w:lang w:eastAsia="cs-CZ"/>
        </w:rPr>
        <w:t xml:space="preserve"> o částku 540 000,00 Kč. Provozní prostředky byly sníženy o účelové prostředky na kompenzaci nákladů</w:t>
      </w:r>
      <w:r w:rsidRPr="00C86559">
        <w:t xml:space="preserve"> </w:t>
      </w:r>
      <w:r w:rsidRPr="00C86559">
        <w:rPr>
          <w:rFonts w:eastAsia="Times New Roman" w:cstheme="minorHAnsi"/>
          <w:color w:val="000000"/>
          <w:lang w:eastAsia="cs-CZ"/>
        </w:rPr>
        <w:t>COVID-19</w:t>
      </w:r>
      <w:r>
        <w:rPr>
          <w:rFonts w:eastAsia="Times New Roman" w:cstheme="minorHAnsi"/>
          <w:color w:val="000000"/>
          <w:lang w:eastAsia="cs-CZ"/>
        </w:rPr>
        <w:t xml:space="preserve"> v příspěvkových organizacích v celkové výši </w:t>
      </w:r>
      <w:r w:rsidRPr="00C43C25">
        <w:rPr>
          <w:rFonts w:eastAsia="Times New Roman" w:cstheme="minorHAnsi"/>
          <w:color w:val="000000"/>
          <w:lang w:eastAsia="cs-CZ"/>
        </w:rPr>
        <w:t>832</w:t>
      </w:r>
      <w:r>
        <w:rPr>
          <w:rFonts w:eastAsia="Times New Roman" w:cstheme="minorHAnsi"/>
          <w:color w:val="000000"/>
          <w:lang w:eastAsia="cs-CZ"/>
        </w:rPr>
        <w:t xml:space="preserve"> </w:t>
      </w:r>
      <w:r w:rsidRPr="00C43C25">
        <w:rPr>
          <w:rFonts w:eastAsia="Times New Roman" w:cstheme="minorHAnsi"/>
          <w:color w:val="000000"/>
          <w:lang w:eastAsia="cs-CZ"/>
        </w:rPr>
        <w:t>293,25</w:t>
      </w:r>
      <w:r>
        <w:rPr>
          <w:rFonts w:eastAsia="Times New Roman" w:cstheme="minorHAnsi"/>
          <w:color w:val="000000"/>
          <w:lang w:eastAsia="cs-CZ"/>
        </w:rPr>
        <w:t xml:space="preserve"> Kč. </w:t>
      </w:r>
      <w:r w:rsidRPr="005B6BF5">
        <w:rPr>
          <w:rFonts w:eastAsia="Times New Roman" w:cstheme="minorHAnsi"/>
          <w:color w:val="000000"/>
          <w:lang w:eastAsia="cs-CZ"/>
        </w:rPr>
        <w:t>Mzdové prostředky byly sníženy o 812 160,00 Kč (usnesení č. 033-26/2021/RK ze dne 17. 6. 2021, 062-45/2021/RK ze dne 2.</w:t>
      </w:r>
      <w:r w:rsidR="00693834">
        <w:rPr>
          <w:rFonts w:eastAsia="Times New Roman" w:cstheme="minorHAnsi"/>
          <w:color w:val="000000"/>
          <w:lang w:eastAsia="cs-CZ"/>
        </w:rPr>
        <w:t xml:space="preserve"> </w:t>
      </w:r>
      <w:r w:rsidRPr="005B6BF5">
        <w:rPr>
          <w:rFonts w:eastAsia="Times New Roman" w:cstheme="minorHAnsi"/>
          <w:color w:val="000000"/>
          <w:lang w:eastAsia="cs-CZ"/>
        </w:rPr>
        <w:t>12.</w:t>
      </w:r>
      <w:r w:rsidR="00693834">
        <w:rPr>
          <w:rFonts w:eastAsia="Times New Roman" w:cstheme="minorHAnsi"/>
          <w:color w:val="000000"/>
          <w:lang w:eastAsia="cs-CZ"/>
        </w:rPr>
        <w:t xml:space="preserve"> </w:t>
      </w:r>
      <w:r w:rsidRPr="005B6BF5">
        <w:rPr>
          <w:rFonts w:eastAsia="Times New Roman" w:cstheme="minorHAnsi"/>
          <w:color w:val="000000"/>
          <w:lang w:eastAsia="cs-CZ"/>
        </w:rPr>
        <w:t>2021 - převod v rámci kapitoly 06 - Kultura a památková péče). Provozní příspěvky byly příspěvkovým organizacím poskytnuty v roce 2021 v souladu s upraveným rozpočtem ve výši 306</w:t>
      </w:r>
      <w:r w:rsidR="00A7208A">
        <w:rPr>
          <w:rFonts w:eastAsia="Times New Roman" w:cstheme="minorHAnsi"/>
          <w:color w:val="000000"/>
          <w:lang w:eastAsia="cs-CZ"/>
        </w:rPr>
        <w:t> 512 611,00</w:t>
      </w:r>
      <w:r w:rsidRPr="005B6BF5">
        <w:rPr>
          <w:rFonts w:eastAsia="Times New Roman" w:cstheme="minorHAnsi"/>
          <w:color w:val="000000"/>
          <w:lang w:eastAsia="cs-CZ"/>
        </w:rPr>
        <w:t xml:space="preserve"> Kč, tj. na </w:t>
      </w:r>
      <w:r w:rsidRPr="00797F22">
        <w:rPr>
          <w:rFonts w:eastAsia="Times New Roman" w:cstheme="minorHAnsi"/>
          <w:color w:val="000000"/>
          <w:lang w:eastAsia="cs-CZ"/>
        </w:rPr>
        <w:t>100,0 %.</w:t>
      </w:r>
    </w:p>
    <w:p w14:paraId="4C082D1B" w14:textId="77777777" w:rsidR="00ED51F3" w:rsidRPr="0082664B" w:rsidRDefault="00ED51F3" w:rsidP="00ED51F3">
      <w:pPr>
        <w:spacing w:after="0" w:line="240" w:lineRule="auto"/>
        <w:jc w:val="both"/>
        <w:rPr>
          <w:rFonts w:eastAsia="Times New Roman" w:cstheme="minorHAnsi"/>
          <w:color w:val="000000"/>
          <w:lang w:eastAsia="cs-CZ"/>
        </w:rPr>
      </w:pPr>
      <w:r w:rsidRPr="0082664B">
        <w:rPr>
          <w:rFonts w:eastAsia="Times New Roman" w:cstheme="minorHAnsi"/>
          <w:color w:val="000000"/>
          <w:lang w:eastAsia="cs-CZ"/>
        </w:rPr>
        <w:t xml:space="preserve"> </w:t>
      </w:r>
    </w:p>
    <w:p w14:paraId="70B74623" w14:textId="77777777" w:rsidR="00ED51F3" w:rsidRPr="0082664B" w:rsidRDefault="00ED51F3" w:rsidP="00ED51F3">
      <w:pPr>
        <w:spacing w:after="0" w:line="240" w:lineRule="auto"/>
        <w:jc w:val="both"/>
        <w:rPr>
          <w:rFonts w:eastAsia="Times New Roman" w:cstheme="minorHAnsi"/>
          <w:b/>
          <w:lang w:eastAsia="cs-CZ"/>
        </w:rPr>
      </w:pPr>
      <w:r w:rsidRPr="0082664B">
        <w:rPr>
          <w:rFonts w:eastAsia="Times New Roman" w:cstheme="minorHAnsi"/>
          <w:b/>
          <w:lang w:eastAsia="cs-CZ"/>
        </w:rPr>
        <w:t>§ 3315</w:t>
      </w:r>
      <w:r>
        <w:rPr>
          <w:rFonts w:eastAsia="Times New Roman" w:cstheme="minorHAnsi"/>
          <w:b/>
          <w:lang w:eastAsia="cs-CZ"/>
        </w:rPr>
        <w:t>, 3321</w:t>
      </w:r>
      <w:r w:rsidRPr="0082664B">
        <w:rPr>
          <w:rFonts w:eastAsia="Times New Roman" w:cstheme="minorHAnsi"/>
          <w:b/>
          <w:lang w:eastAsia="cs-CZ"/>
        </w:rPr>
        <w:t xml:space="preserve"> – Havárie a opravy</w:t>
      </w:r>
    </w:p>
    <w:p w14:paraId="420AAB0B" w14:textId="0BF8A68D" w:rsidR="00ED51F3" w:rsidRDefault="00ED51F3" w:rsidP="00ED51F3">
      <w:pPr>
        <w:spacing w:after="0" w:line="240" w:lineRule="auto"/>
        <w:jc w:val="both"/>
        <w:rPr>
          <w:rFonts w:eastAsia="Times New Roman" w:cstheme="minorHAnsi"/>
          <w:lang w:eastAsia="cs-CZ"/>
        </w:rPr>
      </w:pPr>
      <w:r w:rsidRPr="0082664B">
        <w:rPr>
          <w:rFonts w:eastAsia="Times New Roman" w:cstheme="minorHAnsi"/>
          <w:lang w:eastAsia="cs-CZ"/>
        </w:rPr>
        <w:t>Schválený rozpočet pro rok 2021 ve výši 1 000 000,00 Kč byl navýšen usnesením č. 007-06/2021/ZK ze dne 26. 4. 2021 (rozdělení zůstatku hospodaření SK z roku 2020) o částku nevyčerpanou z roku 2020 ve výši 330 635,20 Kč</w:t>
      </w:r>
      <w:r>
        <w:rPr>
          <w:rFonts w:eastAsia="Times New Roman" w:cstheme="minorHAnsi"/>
          <w:lang w:eastAsia="cs-CZ"/>
        </w:rPr>
        <w:t xml:space="preserve"> a usnesením č. </w:t>
      </w:r>
      <w:r w:rsidRPr="00AC0ADA">
        <w:rPr>
          <w:rFonts w:eastAsia="Times New Roman" w:cstheme="minorHAnsi"/>
          <w:lang w:eastAsia="cs-CZ"/>
        </w:rPr>
        <w:t>061-45/2021/RK ze dne 2.</w:t>
      </w:r>
      <w:r w:rsidR="009E7096">
        <w:rPr>
          <w:rFonts w:eastAsia="Times New Roman" w:cstheme="minorHAnsi"/>
          <w:lang w:eastAsia="cs-CZ"/>
        </w:rPr>
        <w:t xml:space="preserve"> </w:t>
      </w:r>
      <w:r w:rsidRPr="00AC0ADA">
        <w:rPr>
          <w:rFonts w:eastAsia="Times New Roman" w:cstheme="minorHAnsi"/>
          <w:lang w:eastAsia="cs-CZ"/>
        </w:rPr>
        <w:t>12.</w:t>
      </w:r>
      <w:r w:rsidR="009E7096">
        <w:rPr>
          <w:rFonts w:eastAsia="Times New Roman" w:cstheme="minorHAnsi"/>
          <w:lang w:eastAsia="cs-CZ"/>
        </w:rPr>
        <w:t xml:space="preserve"> </w:t>
      </w:r>
      <w:r w:rsidRPr="00AC0ADA">
        <w:rPr>
          <w:rFonts w:eastAsia="Times New Roman" w:cstheme="minorHAnsi"/>
          <w:lang w:eastAsia="cs-CZ"/>
        </w:rPr>
        <w:t>2021</w:t>
      </w:r>
      <w:r>
        <w:rPr>
          <w:rFonts w:eastAsia="Times New Roman" w:cstheme="minorHAnsi"/>
          <w:lang w:eastAsia="cs-CZ"/>
        </w:rPr>
        <w:t xml:space="preserve"> o částku 1 050 000,00 Kč</w:t>
      </w:r>
      <w:r w:rsidRPr="0082664B">
        <w:rPr>
          <w:rFonts w:eastAsia="Times New Roman" w:cstheme="minorHAnsi"/>
          <w:lang w:eastAsia="cs-CZ"/>
        </w:rPr>
        <w:t xml:space="preserve">. </w:t>
      </w:r>
      <w:r w:rsidRPr="0098759D">
        <w:rPr>
          <w:rFonts w:eastAsia="Times New Roman" w:cstheme="minorHAnsi"/>
          <w:lang w:eastAsia="cs-CZ"/>
        </w:rPr>
        <w:t xml:space="preserve">Finanční prostředky byly čerpány ve výši </w:t>
      </w:r>
      <w:r>
        <w:rPr>
          <w:rFonts w:eastAsia="Times New Roman" w:cstheme="minorHAnsi"/>
          <w:lang w:eastAsia="cs-CZ"/>
        </w:rPr>
        <w:t>2 051 579,00</w:t>
      </w:r>
      <w:r w:rsidRPr="0098759D">
        <w:rPr>
          <w:rFonts w:eastAsia="Times New Roman" w:cstheme="minorHAnsi"/>
          <w:lang w:eastAsia="cs-CZ"/>
        </w:rPr>
        <w:t xml:space="preserve"> Kč na </w:t>
      </w:r>
      <w:r>
        <w:rPr>
          <w:rFonts w:eastAsia="Times New Roman" w:cstheme="minorHAnsi"/>
          <w:lang w:eastAsia="cs-CZ"/>
        </w:rPr>
        <w:t>86,2</w:t>
      </w:r>
      <w:r w:rsidRPr="0098759D">
        <w:rPr>
          <w:rFonts w:eastAsia="Times New Roman" w:cstheme="minorHAnsi"/>
          <w:lang w:eastAsia="cs-CZ"/>
        </w:rPr>
        <w:t xml:space="preserve"> % za účelem odstranění havárií a havarijních stavů majetku Středočeského kraje ve správě příspěvkových organizací v oblasti kultury</w:t>
      </w:r>
      <w:r w:rsidRPr="0082664B">
        <w:rPr>
          <w:rFonts w:eastAsia="Times New Roman" w:cstheme="minorHAnsi"/>
          <w:lang w:eastAsia="cs-CZ"/>
        </w:rPr>
        <w:t xml:space="preserve"> </w:t>
      </w:r>
      <w:r>
        <w:rPr>
          <w:rFonts w:eastAsia="Times New Roman" w:cstheme="minorHAnsi"/>
          <w:lang w:eastAsia="cs-CZ"/>
        </w:rPr>
        <w:t>na základě usnesení</w:t>
      </w:r>
      <w:r w:rsidRPr="0082664B">
        <w:rPr>
          <w:rFonts w:eastAsia="Times New Roman" w:cstheme="minorHAnsi"/>
          <w:lang w:eastAsia="cs-CZ"/>
        </w:rPr>
        <w:t xml:space="preserve"> č. 054-21/2021/RK ze dne 13. 5. 2021</w:t>
      </w:r>
      <w:r>
        <w:rPr>
          <w:rFonts w:eastAsia="Times New Roman" w:cstheme="minorHAnsi"/>
          <w:lang w:eastAsia="cs-CZ"/>
        </w:rPr>
        <w:t xml:space="preserve">, </w:t>
      </w:r>
      <w:r w:rsidRPr="0082664B">
        <w:rPr>
          <w:rFonts w:eastAsia="Times New Roman" w:cstheme="minorHAnsi"/>
          <w:lang w:eastAsia="cs-CZ"/>
        </w:rPr>
        <w:t>č. 059-24/2021/RK ze dne 3. 6. 2021</w:t>
      </w:r>
      <w:r>
        <w:rPr>
          <w:rFonts w:eastAsia="Times New Roman" w:cstheme="minorHAnsi"/>
          <w:lang w:eastAsia="cs-CZ"/>
        </w:rPr>
        <w:t xml:space="preserve">, </w:t>
      </w:r>
      <w:r w:rsidRPr="0098759D">
        <w:rPr>
          <w:rFonts w:eastAsia="Times New Roman" w:cstheme="minorHAnsi"/>
          <w:lang w:eastAsia="cs-CZ"/>
        </w:rPr>
        <w:t>č. 054-28/2021/RK ze dne 1.</w:t>
      </w:r>
      <w:r w:rsidR="009E7096">
        <w:rPr>
          <w:rFonts w:eastAsia="Times New Roman" w:cstheme="minorHAnsi"/>
          <w:lang w:eastAsia="cs-CZ"/>
        </w:rPr>
        <w:t xml:space="preserve"> </w:t>
      </w:r>
      <w:r w:rsidRPr="0098759D">
        <w:rPr>
          <w:rFonts w:eastAsia="Times New Roman" w:cstheme="minorHAnsi"/>
          <w:lang w:eastAsia="cs-CZ"/>
        </w:rPr>
        <w:t>7.</w:t>
      </w:r>
      <w:r w:rsidR="009E7096">
        <w:rPr>
          <w:rFonts w:eastAsia="Times New Roman" w:cstheme="minorHAnsi"/>
          <w:lang w:eastAsia="cs-CZ"/>
        </w:rPr>
        <w:t xml:space="preserve"> </w:t>
      </w:r>
      <w:r w:rsidRPr="0098759D">
        <w:rPr>
          <w:rFonts w:eastAsia="Times New Roman" w:cstheme="minorHAnsi"/>
          <w:lang w:eastAsia="cs-CZ"/>
        </w:rPr>
        <w:t>2021</w:t>
      </w:r>
      <w:r>
        <w:rPr>
          <w:rFonts w:eastAsia="Times New Roman" w:cstheme="minorHAnsi"/>
          <w:lang w:eastAsia="cs-CZ"/>
        </w:rPr>
        <w:t xml:space="preserve">, </w:t>
      </w:r>
      <w:r w:rsidRPr="00DB4138">
        <w:rPr>
          <w:rFonts w:eastAsia="Times New Roman" w:cstheme="minorHAnsi"/>
          <w:lang w:eastAsia="cs-CZ"/>
        </w:rPr>
        <w:t xml:space="preserve">č. </w:t>
      </w:r>
      <w:bookmarkStart w:id="15" w:name="_Hlk96666702"/>
      <w:r w:rsidRPr="00DB4138">
        <w:rPr>
          <w:rFonts w:eastAsia="Times New Roman" w:cstheme="minorHAnsi"/>
          <w:lang w:eastAsia="cs-CZ"/>
        </w:rPr>
        <w:t>061-45/2021/RK ze dne 2.</w:t>
      </w:r>
      <w:r w:rsidR="009E7096">
        <w:rPr>
          <w:rFonts w:eastAsia="Times New Roman" w:cstheme="minorHAnsi"/>
          <w:lang w:eastAsia="cs-CZ"/>
        </w:rPr>
        <w:t xml:space="preserve"> </w:t>
      </w:r>
      <w:r w:rsidRPr="00DB4138">
        <w:rPr>
          <w:rFonts w:eastAsia="Times New Roman" w:cstheme="minorHAnsi"/>
          <w:lang w:eastAsia="cs-CZ"/>
        </w:rPr>
        <w:t>12.</w:t>
      </w:r>
      <w:r w:rsidR="009E7096">
        <w:rPr>
          <w:rFonts w:eastAsia="Times New Roman" w:cstheme="minorHAnsi"/>
          <w:lang w:eastAsia="cs-CZ"/>
        </w:rPr>
        <w:t xml:space="preserve"> </w:t>
      </w:r>
      <w:r w:rsidRPr="00DB4138">
        <w:rPr>
          <w:rFonts w:eastAsia="Times New Roman" w:cstheme="minorHAnsi"/>
          <w:lang w:eastAsia="cs-CZ"/>
        </w:rPr>
        <w:t>2021</w:t>
      </w:r>
      <w:bookmarkEnd w:id="15"/>
      <w:r>
        <w:rPr>
          <w:rFonts w:eastAsia="Times New Roman" w:cstheme="minorHAnsi"/>
          <w:lang w:eastAsia="cs-CZ"/>
        </w:rPr>
        <w:t xml:space="preserve"> (Galerie Středočeského kraje - stavební úpravy j</w:t>
      </w:r>
      <w:r w:rsidRPr="0082664B">
        <w:rPr>
          <w:rFonts w:eastAsia="Times New Roman" w:cstheme="minorHAnsi"/>
          <w:lang w:eastAsia="cs-CZ"/>
        </w:rPr>
        <w:t>ižní věže Jezuitské koleje v Kutné Hoře v rámci opravy zvonů</w:t>
      </w:r>
      <w:r>
        <w:rPr>
          <w:rFonts w:eastAsia="Times New Roman" w:cstheme="minorHAnsi"/>
          <w:lang w:eastAsia="cs-CZ"/>
        </w:rPr>
        <w:t xml:space="preserve">, </w:t>
      </w:r>
      <w:r w:rsidRPr="0082664B">
        <w:rPr>
          <w:rFonts w:eastAsia="Times New Roman" w:cstheme="minorHAnsi"/>
          <w:lang w:eastAsia="cs-CZ"/>
        </w:rPr>
        <w:t>odstranění havárie podlahy v</w:t>
      </w:r>
      <w:r>
        <w:rPr>
          <w:rFonts w:eastAsia="Times New Roman" w:cstheme="minorHAnsi"/>
          <w:lang w:eastAsia="cs-CZ"/>
        </w:rPr>
        <w:t> </w:t>
      </w:r>
      <w:r w:rsidRPr="0082664B">
        <w:rPr>
          <w:rFonts w:eastAsia="Times New Roman" w:cstheme="minorHAnsi"/>
          <w:lang w:eastAsia="cs-CZ"/>
        </w:rPr>
        <w:t>depozitáři</w:t>
      </w:r>
      <w:r>
        <w:rPr>
          <w:rFonts w:eastAsia="Times New Roman" w:cstheme="minorHAnsi"/>
          <w:lang w:eastAsia="cs-CZ"/>
        </w:rPr>
        <w:t xml:space="preserve"> </w:t>
      </w:r>
      <w:r w:rsidRPr="0082664B">
        <w:rPr>
          <w:rFonts w:eastAsia="Times New Roman" w:cstheme="minorHAnsi"/>
          <w:lang w:eastAsia="cs-CZ"/>
        </w:rPr>
        <w:t>10 prasklin</w:t>
      </w:r>
      <w:r>
        <w:rPr>
          <w:rFonts w:eastAsia="Times New Roman" w:cstheme="minorHAnsi"/>
          <w:lang w:eastAsia="cs-CZ"/>
        </w:rPr>
        <w:t xml:space="preserve"> a o</w:t>
      </w:r>
      <w:r w:rsidRPr="00DB4138">
        <w:rPr>
          <w:rFonts w:eastAsia="Times New Roman" w:cstheme="minorHAnsi"/>
          <w:lang w:eastAsia="cs-CZ"/>
        </w:rPr>
        <w:t>prava systému pro nouzové osvětlení</w:t>
      </w:r>
      <w:r>
        <w:rPr>
          <w:rFonts w:eastAsia="Times New Roman" w:cstheme="minorHAnsi"/>
          <w:lang w:eastAsia="cs-CZ"/>
        </w:rPr>
        <w:t xml:space="preserve">, Regionální muzeum v Kolíně - </w:t>
      </w:r>
      <w:r w:rsidRPr="00DB4138">
        <w:rPr>
          <w:rFonts w:eastAsia="Times New Roman" w:cstheme="minorHAnsi"/>
          <w:lang w:eastAsia="cs-CZ"/>
        </w:rPr>
        <w:t>nutná opaření v souvislosti s havarijním stavem části střechy</w:t>
      </w:r>
      <w:r w:rsidRPr="00DB4138">
        <w:t xml:space="preserve"> </w:t>
      </w:r>
      <w:r w:rsidRPr="00DB4138">
        <w:rPr>
          <w:rFonts w:eastAsia="Times New Roman" w:cstheme="minorHAnsi"/>
          <w:lang w:eastAsia="cs-CZ"/>
        </w:rPr>
        <w:t>budovy v Brandlově ulici</w:t>
      </w:r>
      <w:r>
        <w:rPr>
          <w:rFonts w:eastAsia="Times New Roman" w:cstheme="minorHAnsi"/>
          <w:lang w:eastAsia="cs-CZ"/>
        </w:rPr>
        <w:t xml:space="preserve"> v Kolíně, </w:t>
      </w:r>
      <w:r w:rsidRPr="00DB4138">
        <w:rPr>
          <w:rFonts w:eastAsia="Times New Roman" w:cstheme="minorHAnsi"/>
          <w:lang w:eastAsia="cs-CZ"/>
        </w:rPr>
        <w:t xml:space="preserve">Oblastní muzeum Praha </w:t>
      </w:r>
      <w:r>
        <w:rPr>
          <w:rFonts w:eastAsia="Times New Roman" w:cstheme="minorHAnsi"/>
          <w:lang w:eastAsia="cs-CZ"/>
        </w:rPr>
        <w:t>–</w:t>
      </w:r>
      <w:r w:rsidRPr="00DB4138">
        <w:rPr>
          <w:rFonts w:eastAsia="Times New Roman" w:cstheme="minorHAnsi"/>
          <w:lang w:eastAsia="cs-CZ"/>
        </w:rPr>
        <w:t xml:space="preserve"> východ</w:t>
      </w:r>
      <w:r>
        <w:rPr>
          <w:rFonts w:eastAsia="Times New Roman" w:cstheme="minorHAnsi"/>
          <w:lang w:eastAsia="cs-CZ"/>
        </w:rPr>
        <w:t xml:space="preserve"> - </w:t>
      </w:r>
      <w:r w:rsidRPr="00DB4138">
        <w:rPr>
          <w:rFonts w:eastAsia="Times New Roman" w:cstheme="minorHAnsi"/>
          <w:lang w:eastAsia="cs-CZ"/>
        </w:rPr>
        <w:t>zabezpečení havarijního stavu střechy v Brandýse n. L. - Staré Boleslavi</w:t>
      </w:r>
      <w:r>
        <w:rPr>
          <w:rFonts w:eastAsia="Times New Roman" w:cstheme="minorHAnsi"/>
          <w:lang w:eastAsia="cs-CZ"/>
        </w:rPr>
        <w:t xml:space="preserve">, </w:t>
      </w:r>
      <w:r w:rsidRPr="000F644C">
        <w:rPr>
          <w:rFonts w:eastAsia="Times New Roman" w:cstheme="minorHAnsi"/>
          <w:lang w:eastAsia="cs-CZ"/>
        </w:rPr>
        <w:t>Ústav archeologické památkové péče středních Čech</w:t>
      </w:r>
      <w:r>
        <w:rPr>
          <w:rFonts w:eastAsia="Times New Roman" w:cstheme="minorHAnsi"/>
          <w:lang w:eastAsia="cs-CZ"/>
        </w:rPr>
        <w:t xml:space="preserve"> - ř</w:t>
      </w:r>
      <w:r w:rsidRPr="000F644C">
        <w:rPr>
          <w:rFonts w:eastAsia="Times New Roman" w:cstheme="minorHAnsi"/>
          <w:lang w:eastAsia="cs-CZ"/>
        </w:rPr>
        <w:t>ešení výskytu aktivního tesaříka</w:t>
      </w:r>
      <w:r>
        <w:rPr>
          <w:rFonts w:eastAsia="Times New Roman" w:cstheme="minorHAnsi"/>
          <w:lang w:eastAsia="cs-CZ"/>
        </w:rPr>
        <w:t xml:space="preserve">, </w:t>
      </w:r>
      <w:r w:rsidRPr="000F644C">
        <w:rPr>
          <w:rFonts w:eastAsia="Times New Roman" w:cstheme="minorHAnsi"/>
          <w:lang w:eastAsia="cs-CZ"/>
        </w:rPr>
        <w:t>Hornické muzeum Příbram</w:t>
      </w:r>
      <w:r>
        <w:rPr>
          <w:rFonts w:eastAsia="Times New Roman" w:cstheme="minorHAnsi"/>
          <w:lang w:eastAsia="cs-CZ"/>
        </w:rPr>
        <w:t xml:space="preserve"> - v</w:t>
      </w:r>
      <w:r w:rsidRPr="000F644C">
        <w:rPr>
          <w:rFonts w:eastAsia="Times New Roman" w:cstheme="minorHAnsi"/>
          <w:lang w:eastAsia="cs-CZ"/>
        </w:rPr>
        <w:t>ýměna dřevěných konstrukcí oplocení areálu Skanzen Vysoký Chlumec</w:t>
      </w:r>
      <w:r>
        <w:rPr>
          <w:rFonts w:eastAsia="Times New Roman" w:cstheme="minorHAnsi"/>
          <w:lang w:eastAsia="cs-CZ"/>
        </w:rPr>
        <w:t>).</w:t>
      </w:r>
    </w:p>
    <w:p w14:paraId="2E50A86D" w14:textId="77777777" w:rsidR="00ED51F3" w:rsidRPr="0082664B" w:rsidRDefault="00ED51F3" w:rsidP="00ED51F3">
      <w:pPr>
        <w:spacing w:after="0" w:line="240" w:lineRule="auto"/>
        <w:jc w:val="both"/>
        <w:rPr>
          <w:rFonts w:eastAsia="Times New Roman" w:cstheme="minorHAnsi"/>
          <w:color w:val="000000"/>
          <w:lang w:eastAsia="cs-CZ"/>
        </w:rPr>
      </w:pPr>
    </w:p>
    <w:p w14:paraId="675A38DC" w14:textId="77777777" w:rsidR="00ED51F3" w:rsidRPr="0082664B" w:rsidRDefault="00ED51F3" w:rsidP="00ED51F3">
      <w:pPr>
        <w:spacing w:after="0" w:line="240" w:lineRule="auto"/>
        <w:jc w:val="both"/>
        <w:rPr>
          <w:rFonts w:eastAsia="Times New Roman" w:cstheme="minorHAnsi"/>
          <w:b/>
          <w:lang w:eastAsia="cs-CZ"/>
        </w:rPr>
      </w:pPr>
      <w:r w:rsidRPr="0082664B">
        <w:rPr>
          <w:rFonts w:eastAsia="Times New Roman" w:cstheme="minorHAnsi"/>
          <w:b/>
          <w:lang w:eastAsia="cs-CZ"/>
        </w:rPr>
        <w:t xml:space="preserve">§ </w:t>
      </w:r>
      <w:r>
        <w:rPr>
          <w:rFonts w:eastAsia="Times New Roman" w:cstheme="minorHAnsi"/>
          <w:b/>
          <w:lang w:eastAsia="cs-CZ"/>
        </w:rPr>
        <w:t>3319 – Prostředky za porušení rozpočtové kázně – částečné</w:t>
      </w:r>
      <w:r w:rsidRPr="0082664B">
        <w:rPr>
          <w:rFonts w:eastAsia="Times New Roman" w:cstheme="minorHAnsi"/>
          <w:b/>
          <w:lang w:eastAsia="cs-CZ"/>
        </w:rPr>
        <w:t xml:space="preserve"> prominutí odvodu</w:t>
      </w:r>
    </w:p>
    <w:p w14:paraId="0B4432E8" w14:textId="77777777" w:rsidR="00ED51F3" w:rsidRPr="0082664B" w:rsidRDefault="00ED51F3" w:rsidP="00ED51F3">
      <w:pPr>
        <w:spacing w:after="0" w:line="240" w:lineRule="auto"/>
        <w:jc w:val="both"/>
        <w:rPr>
          <w:rFonts w:eastAsia="Times New Roman" w:cstheme="minorHAnsi"/>
          <w:lang w:eastAsia="cs-CZ"/>
        </w:rPr>
      </w:pPr>
      <w:r w:rsidRPr="0082664B">
        <w:rPr>
          <w:rFonts w:eastAsia="Times New Roman" w:cstheme="minorHAnsi"/>
          <w:lang w:eastAsia="cs-CZ"/>
        </w:rPr>
        <w:t>Upravený rozpočet pro rok 2021 ve výš</w:t>
      </w:r>
      <w:r>
        <w:rPr>
          <w:rFonts w:eastAsia="Times New Roman" w:cstheme="minorHAnsi"/>
          <w:lang w:eastAsia="cs-CZ"/>
        </w:rPr>
        <w:t>i 97 790,00 Kč byl schválen</w:t>
      </w:r>
      <w:r w:rsidRPr="0082664B">
        <w:rPr>
          <w:rFonts w:eastAsia="Times New Roman" w:cstheme="minorHAnsi"/>
          <w:lang w:eastAsia="cs-CZ"/>
        </w:rPr>
        <w:t xml:space="preserve"> usnesením č. 00</w:t>
      </w:r>
      <w:r>
        <w:rPr>
          <w:rFonts w:eastAsia="Times New Roman" w:cstheme="minorHAnsi"/>
          <w:lang w:eastAsia="cs-CZ"/>
        </w:rPr>
        <w:t>7-06/2021/ZK ze dne 26. 4. 2021 (</w:t>
      </w:r>
      <w:r w:rsidRPr="0082664B">
        <w:rPr>
          <w:rFonts w:eastAsia="Times New Roman" w:cstheme="minorHAnsi"/>
          <w:lang w:eastAsia="cs-CZ"/>
        </w:rPr>
        <w:t>rozdělení zůstatku hospodaření SK z roku 2020</w:t>
      </w:r>
      <w:r>
        <w:rPr>
          <w:rFonts w:eastAsia="Times New Roman" w:cstheme="minorHAnsi"/>
          <w:lang w:eastAsia="cs-CZ"/>
        </w:rPr>
        <w:t>)</w:t>
      </w:r>
      <w:r w:rsidRPr="0082664B">
        <w:rPr>
          <w:rFonts w:eastAsia="Times New Roman" w:cstheme="minorHAnsi"/>
          <w:lang w:eastAsia="cs-CZ"/>
        </w:rPr>
        <w:t xml:space="preserve">. Jednalo se o částečné prominutí odvodu a penále za porušení </w:t>
      </w:r>
      <w:r w:rsidRPr="0082664B">
        <w:rPr>
          <w:rFonts w:eastAsia="Times New Roman" w:cstheme="minorHAnsi"/>
          <w:lang w:eastAsia="cs-CZ"/>
        </w:rPr>
        <w:lastRenderedPageBreak/>
        <w:t xml:space="preserve">rozpočtové kázně ve výši 50 % vyměřených částek organizaci Folklorní soubor "Jarošovci", částečné prominutí odvodu a penále za porušení rozpočtové kázně ve výši 75 % vyměřených částek spolku Klubu přátel vína v Kutné Hoře, z. s. a částečné prominutí odvodu a penále za porušení rozpočtové kázně ve výši 75 % vyměřených částek organizaci Spolku pro obnovu vinařství na Kutnohorsku. Finanční prostředky jsou čerpány na 97,9 %. </w:t>
      </w:r>
    </w:p>
    <w:p w14:paraId="52619FBC" w14:textId="77777777" w:rsidR="00ED51F3" w:rsidRPr="0082664B" w:rsidRDefault="00ED51F3" w:rsidP="00ED51F3">
      <w:pPr>
        <w:spacing w:after="0" w:line="240" w:lineRule="auto"/>
        <w:jc w:val="both"/>
        <w:rPr>
          <w:rFonts w:eastAsia="Times New Roman" w:cstheme="minorHAnsi"/>
          <w:color w:val="000000"/>
          <w:lang w:eastAsia="cs-CZ"/>
        </w:rPr>
      </w:pPr>
    </w:p>
    <w:p w14:paraId="0639C4A5" w14:textId="77777777" w:rsidR="00ED51F3" w:rsidRPr="000E7C0E" w:rsidRDefault="00ED51F3" w:rsidP="00ED51F3">
      <w:pPr>
        <w:spacing w:after="0" w:line="240" w:lineRule="auto"/>
        <w:jc w:val="both"/>
        <w:rPr>
          <w:rFonts w:eastAsia="Times New Roman" w:cstheme="minorHAnsi"/>
          <w:color w:val="000000"/>
          <w:lang w:eastAsia="cs-CZ"/>
        </w:rPr>
      </w:pPr>
      <w:r w:rsidRPr="0082664B">
        <w:rPr>
          <w:rFonts w:eastAsia="Times New Roman" w:cstheme="minorHAnsi"/>
          <w:b/>
          <w:lang w:eastAsia="cs-CZ"/>
        </w:rPr>
        <w:t>§ 3319 – Kreativní střední Čechy</w:t>
      </w:r>
    </w:p>
    <w:p w14:paraId="71399D25" w14:textId="5F2E6FD2" w:rsidR="00ED51F3" w:rsidRPr="0082664B" w:rsidRDefault="00ED51F3" w:rsidP="00ED51F3">
      <w:pPr>
        <w:spacing w:after="0" w:line="240" w:lineRule="auto"/>
        <w:jc w:val="both"/>
        <w:rPr>
          <w:rFonts w:eastAsia="Times New Roman" w:cstheme="minorHAnsi"/>
          <w:color w:val="000000"/>
          <w:lang w:eastAsia="cs-CZ"/>
        </w:rPr>
      </w:pPr>
      <w:r w:rsidRPr="000E7C0E">
        <w:rPr>
          <w:rFonts w:eastAsia="Times New Roman" w:cstheme="minorHAnsi"/>
          <w:color w:val="000000"/>
          <w:lang w:eastAsia="cs-CZ"/>
        </w:rPr>
        <w:t xml:space="preserve">Upravený rozpočet pro rok 2021 ve výši 700 000,00 Kč byl schválen na základě usnesení č. 007-04/2021/ZK ze dne 22. 2. 2021 (navýšení rozpočtu SK o prostředky ze sdílených daní a nevyčerpané prostředky z roku 2020). </w:t>
      </w:r>
      <w:r w:rsidR="00862690">
        <w:rPr>
          <w:rFonts w:eastAsia="Times New Roman" w:cstheme="minorHAnsi"/>
          <w:color w:val="000000"/>
          <w:lang w:eastAsia="cs-CZ"/>
        </w:rPr>
        <w:t>P</w:t>
      </w:r>
      <w:r w:rsidRPr="000E7C0E">
        <w:rPr>
          <w:rFonts w:eastAsia="Times New Roman" w:cstheme="minorHAnsi"/>
          <w:color w:val="000000"/>
          <w:lang w:eastAsia="cs-CZ"/>
        </w:rPr>
        <w:t>rostředky na krytí nákladů na vznik e-shopu SK pro prodej kopií vybraných sbírkových předmětů, na krytí nákladů příspěvkových organizací na realizaci kurátorských výběrů pro web kreativnistrednicechy.cz, 3D modely, rozšířená realita</w:t>
      </w:r>
      <w:r w:rsidR="00862690">
        <w:rPr>
          <w:rFonts w:eastAsia="Times New Roman" w:cstheme="minorHAnsi"/>
          <w:color w:val="000000"/>
          <w:lang w:eastAsia="cs-CZ"/>
        </w:rPr>
        <w:t xml:space="preserve"> nebyly v roce 2021 čerpány.</w:t>
      </w:r>
    </w:p>
    <w:p w14:paraId="659EFF00" w14:textId="77777777" w:rsidR="00ED51F3" w:rsidRDefault="00ED51F3" w:rsidP="00ED51F3">
      <w:pPr>
        <w:spacing w:after="0" w:line="240" w:lineRule="auto"/>
        <w:jc w:val="both"/>
        <w:rPr>
          <w:rFonts w:eastAsia="Times New Roman" w:cstheme="minorHAnsi"/>
          <w:b/>
          <w:lang w:eastAsia="cs-CZ"/>
        </w:rPr>
      </w:pPr>
    </w:p>
    <w:p w14:paraId="1FA999EA" w14:textId="77777777" w:rsidR="00ED51F3" w:rsidRPr="00BF139E" w:rsidRDefault="00ED51F3" w:rsidP="00ED51F3">
      <w:pPr>
        <w:spacing w:after="0" w:line="240" w:lineRule="auto"/>
        <w:jc w:val="both"/>
        <w:rPr>
          <w:rFonts w:eastAsia="Times New Roman" w:cstheme="minorHAnsi"/>
          <w:b/>
          <w:lang w:eastAsia="cs-CZ"/>
        </w:rPr>
      </w:pPr>
      <w:r w:rsidRPr="00BF139E">
        <w:rPr>
          <w:rFonts w:eastAsia="Times New Roman" w:cstheme="minorHAnsi"/>
          <w:b/>
          <w:lang w:eastAsia="cs-CZ"/>
        </w:rPr>
        <w:t xml:space="preserve">§ 3319 – Metodická a koncepční činnost odboru </w:t>
      </w:r>
    </w:p>
    <w:p w14:paraId="48826399" w14:textId="454EA68E" w:rsidR="00ED51F3" w:rsidRPr="00BF139E" w:rsidRDefault="00ED51F3" w:rsidP="00ED51F3">
      <w:pPr>
        <w:spacing w:after="0" w:line="240" w:lineRule="auto"/>
        <w:jc w:val="both"/>
        <w:rPr>
          <w:rFonts w:eastAsia="Times New Roman" w:cstheme="minorHAnsi"/>
          <w:lang w:eastAsia="cs-CZ"/>
        </w:rPr>
      </w:pPr>
      <w:r w:rsidRPr="00BF139E">
        <w:rPr>
          <w:rFonts w:eastAsia="Times New Roman" w:cstheme="minorHAnsi"/>
          <w:lang w:eastAsia="cs-CZ"/>
        </w:rPr>
        <w:t xml:space="preserve">Schválený rozpočet pro rok 2021 ve výši 935 000,00 Kč je určen na výdaje Odboru kultury a památkové péče spojené s pořádáním a účastí na kulturních akcích regionálního významu a na běžnou činnost odboru. Rozpočet byl navýšen z rozděleného zůstatku hospodaření SK z roku 2020 na základě usnesení č. 007-06/2021/ZK ze dne 26. 4. 2021 o částku ve výši 82 280,00 Kč na citylight pro umístění akcí příspěvkových organizací zřizovaných Středočeským krajem z oblasti kultury. </w:t>
      </w:r>
      <w:r w:rsidRPr="00F0505C">
        <w:rPr>
          <w:rFonts w:eastAsia="Times New Roman" w:cstheme="minorHAnsi"/>
          <w:lang w:eastAsia="cs-CZ"/>
        </w:rPr>
        <w:t>Usnesení</w:t>
      </w:r>
      <w:r>
        <w:rPr>
          <w:rFonts w:eastAsia="Times New Roman" w:cstheme="minorHAnsi"/>
          <w:lang w:eastAsia="cs-CZ"/>
        </w:rPr>
        <w:t>m</w:t>
      </w:r>
      <w:r w:rsidRPr="00F0505C">
        <w:rPr>
          <w:rFonts w:eastAsia="Times New Roman" w:cstheme="minorHAnsi"/>
          <w:lang w:eastAsia="cs-CZ"/>
        </w:rPr>
        <w:t xml:space="preserve"> č. 021-36/2021/RK ze dne 23.</w:t>
      </w:r>
      <w:r w:rsidR="00862690">
        <w:rPr>
          <w:rFonts w:eastAsia="Times New Roman" w:cstheme="minorHAnsi"/>
          <w:lang w:eastAsia="cs-CZ"/>
        </w:rPr>
        <w:t xml:space="preserve"> </w:t>
      </w:r>
      <w:r w:rsidRPr="00F0505C">
        <w:rPr>
          <w:rFonts w:eastAsia="Times New Roman" w:cstheme="minorHAnsi"/>
          <w:lang w:eastAsia="cs-CZ"/>
        </w:rPr>
        <w:t>9.</w:t>
      </w:r>
      <w:r w:rsidR="00862690">
        <w:rPr>
          <w:rFonts w:eastAsia="Times New Roman" w:cstheme="minorHAnsi"/>
          <w:lang w:eastAsia="cs-CZ"/>
        </w:rPr>
        <w:t xml:space="preserve"> </w:t>
      </w:r>
      <w:r w:rsidRPr="00F0505C">
        <w:rPr>
          <w:rFonts w:eastAsia="Times New Roman" w:cstheme="minorHAnsi"/>
          <w:lang w:eastAsia="cs-CZ"/>
        </w:rPr>
        <w:t>2021</w:t>
      </w:r>
      <w:r w:rsidRPr="00BF139E">
        <w:rPr>
          <w:rFonts w:eastAsia="Times New Roman" w:cstheme="minorHAnsi"/>
          <w:lang w:eastAsia="cs-CZ"/>
        </w:rPr>
        <w:t xml:space="preserve"> byla položka </w:t>
      </w:r>
      <w:r>
        <w:rPr>
          <w:rFonts w:eastAsia="Times New Roman" w:cstheme="minorHAnsi"/>
          <w:lang w:eastAsia="cs-CZ"/>
        </w:rPr>
        <w:t>snížena</w:t>
      </w:r>
      <w:r w:rsidRPr="00BF139E">
        <w:rPr>
          <w:rFonts w:eastAsia="Times New Roman" w:cstheme="minorHAnsi"/>
          <w:lang w:eastAsia="cs-CZ"/>
        </w:rPr>
        <w:t xml:space="preserve"> o částku </w:t>
      </w:r>
      <w:r w:rsidRPr="00F0505C">
        <w:rPr>
          <w:rFonts w:eastAsia="Times New Roman" w:cstheme="minorHAnsi"/>
          <w:lang w:eastAsia="cs-CZ"/>
        </w:rPr>
        <w:t>337 463,00</w:t>
      </w:r>
      <w:r w:rsidRPr="00BF139E">
        <w:rPr>
          <w:rFonts w:eastAsia="Times New Roman" w:cstheme="minorHAnsi"/>
          <w:lang w:eastAsia="cs-CZ"/>
        </w:rPr>
        <w:t xml:space="preserve"> Kč </w:t>
      </w:r>
      <w:r w:rsidRPr="00F0505C">
        <w:rPr>
          <w:rFonts w:eastAsia="Times New Roman" w:cstheme="minorHAnsi"/>
          <w:lang w:eastAsia="cs-CZ"/>
        </w:rPr>
        <w:t>v souvislosti se spolufinancováním tzv. "měkkých projektů"</w:t>
      </w:r>
      <w:r>
        <w:rPr>
          <w:rFonts w:eastAsia="Times New Roman" w:cstheme="minorHAnsi"/>
          <w:lang w:eastAsia="cs-CZ"/>
        </w:rPr>
        <w:t xml:space="preserve"> </w:t>
      </w:r>
      <w:r w:rsidRPr="00BF139E">
        <w:rPr>
          <w:rFonts w:eastAsia="Times New Roman" w:cstheme="minorHAnsi"/>
          <w:lang w:eastAsia="cs-CZ"/>
        </w:rPr>
        <w:t>příspěvkových organizací</w:t>
      </w:r>
      <w:r>
        <w:rPr>
          <w:rFonts w:eastAsia="Times New Roman" w:cstheme="minorHAnsi"/>
          <w:lang w:eastAsia="cs-CZ"/>
        </w:rPr>
        <w:t>. </w:t>
      </w:r>
      <w:r w:rsidRPr="00F0505C">
        <w:rPr>
          <w:rFonts w:eastAsia="Times New Roman" w:cstheme="minorHAnsi"/>
          <w:lang w:eastAsia="cs-CZ"/>
        </w:rPr>
        <w:t xml:space="preserve">Rozpočtovou úpravou č. </w:t>
      </w:r>
      <w:r>
        <w:rPr>
          <w:rFonts w:eastAsia="Times New Roman" w:cstheme="minorHAnsi"/>
          <w:lang w:eastAsia="cs-CZ"/>
        </w:rPr>
        <w:t>755</w:t>
      </w:r>
      <w:r w:rsidRPr="00F0505C">
        <w:rPr>
          <w:rFonts w:eastAsia="Times New Roman" w:cstheme="minorHAnsi"/>
          <w:lang w:eastAsia="cs-CZ"/>
        </w:rPr>
        <w:t>/06/202</w:t>
      </w:r>
      <w:r>
        <w:rPr>
          <w:rFonts w:eastAsia="Times New Roman" w:cstheme="minorHAnsi"/>
          <w:lang w:eastAsia="cs-CZ"/>
        </w:rPr>
        <w:t>1</w:t>
      </w:r>
      <w:r w:rsidRPr="00F0505C">
        <w:rPr>
          <w:rFonts w:eastAsia="Times New Roman" w:cstheme="minorHAnsi"/>
          <w:lang w:eastAsia="cs-CZ"/>
        </w:rPr>
        <w:t xml:space="preserve"> projednanou s příslušným členem </w:t>
      </w:r>
      <w:r w:rsidR="00A7208A">
        <w:rPr>
          <w:rFonts w:eastAsia="Times New Roman" w:cstheme="minorHAnsi"/>
          <w:lang w:eastAsia="cs-CZ"/>
        </w:rPr>
        <w:t>r</w:t>
      </w:r>
      <w:r w:rsidRPr="00F0505C">
        <w:rPr>
          <w:rFonts w:eastAsia="Times New Roman" w:cstheme="minorHAnsi"/>
          <w:lang w:eastAsia="cs-CZ"/>
        </w:rPr>
        <w:t>ady kraje</w:t>
      </w:r>
      <w:r>
        <w:rPr>
          <w:rFonts w:eastAsia="Times New Roman" w:cstheme="minorHAnsi"/>
          <w:lang w:eastAsia="cs-CZ"/>
        </w:rPr>
        <w:t xml:space="preserve"> se upravený rozpočet navýšil o částku 24 200,00 Kč na prezentaci kulturních cílů SK (časopis Mozaika) a v souladu s u</w:t>
      </w:r>
      <w:r w:rsidRPr="00053817">
        <w:rPr>
          <w:rFonts w:eastAsia="Times New Roman" w:cstheme="minorHAnsi"/>
          <w:lang w:eastAsia="cs-CZ"/>
        </w:rPr>
        <w:t>snesení</w:t>
      </w:r>
      <w:r>
        <w:rPr>
          <w:rFonts w:eastAsia="Times New Roman" w:cstheme="minorHAnsi"/>
          <w:lang w:eastAsia="cs-CZ"/>
        </w:rPr>
        <w:t>m</w:t>
      </w:r>
      <w:r w:rsidRPr="00053817">
        <w:rPr>
          <w:rFonts w:eastAsia="Times New Roman" w:cstheme="minorHAnsi"/>
          <w:lang w:eastAsia="cs-CZ"/>
        </w:rPr>
        <w:t xml:space="preserve"> č. 035-01/2022/RK ze dne 6.</w:t>
      </w:r>
      <w:r w:rsidR="00862690">
        <w:rPr>
          <w:rFonts w:eastAsia="Times New Roman" w:cstheme="minorHAnsi"/>
          <w:lang w:eastAsia="cs-CZ"/>
        </w:rPr>
        <w:t xml:space="preserve"> </w:t>
      </w:r>
      <w:r w:rsidRPr="00053817">
        <w:rPr>
          <w:rFonts w:eastAsia="Times New Roman" w:cstheme="minorHAnsi"/>
          <w:lang w:eastAsia="cs-CZ"/>
        </w:rPr>
        <w:t>1.</w:t>
      </w:r>
      <w:r w:rsidR="00862690">
        <w:rPr>
          <w:rFonts w:eastAsia="Times New Roman" w:cstheme="minorHAnsi"/>
          <w:lang w:eastAsia="cs-CZ"/>
        </w:rPr>
        <w:t xml:space="preserve"> </w:t>
      </w:r>
      <w:r w:rsidRPr="00053817">
        <w:rPr>
          <w:rFonts w:eastAsia="Times New Roman" w:cstheme="minorHAnsi"/>
          <w:lang w:eastAsia="cs-CZ"/>
        </w:rPr>
        <w:t>2022</w:t>
      </w:r>
      <w:r>
        <w:rPr>
          <w:rFonts w:eastAsia="Times New Roman" w:cstheme="minorHAnsi"/>
          <w:lang w:eastAsia="cs-CZ"/>
        </w:rPr>
        <w:t xml:space="preserve"> došlo k navýšení o částku </w:t>
      </w:r>
      <w:r w:rsidRPr="00053817">
        <w:rPr>
          <w:rFonts w:eastAsia="Times New Roman" w:cstheme="minorHAnsi"/>
          <w:lang w:eastAsia="cs-CZ"/>
        </w:rPr>
        <w:t>837 320,00 Kč</w:t>
      </w:r>
      <w:r>
        <w:rPr>
          <w:rFonts w:eastAsia="Times New Roman" w:cstheme="minorHAnsi"/>
          <w:lang w:eastAsia="cs-CZ"/>
        </w:rPr>
        <w:t xml:space="preserve"> </w:t>
      </w:r>
      <w:r w:rsidRPr="00053817">
        <w:rPr>
          <w:rFonts w:eastAsia="Times New Roman" w:cstheme="minorHAnsi"/>
          <w:lang w:eastAsia="cs-CZ"/>
        </w:rPr>
        <w:t>na financování smlouvy o spolupráci mezi Post Bellum Production, s. r. o., a Středočeským krajem, jejímž předmětem je vzájemná spolupráce smluvních stran na projektu "Pamětníci Středočeského kraje"</w:t>
      </w:r>
      <w:r>
        <w:rPr>
          <w:rFonts w:eastAsia="Times New Roman" w:cstheme="minorHAnsi"/>
          <w:lang w:eastAsia="cs-CZ"/>
        </w:rPr>
        <w:t>.</w:t>
      </w:r>
    </w:p>
    <w:p w14:paraId="4D33CA42" w14:textId="426E45DF" w:rsidR="00ED51F3" w:rsidRPr="0082664B" w:rsidRDefault="00ED51F3" w:rsidP="00ED51F3">
      <w:pPr>
        <w:spacing w:after="0" w:line="240" w:lineRule="auto"/>
        <w:jc w:val="both"/>
        <w:rPr>
          <w:rFonts w:eastAsia="Times New Roman" w:cstheme="minorHAnsi"/>
          <w:lang w:eastAsia="cs-CZ"/>
        </w:rPr>
      </w:pPr>
      <w:r w:rsidRPr="00BF139E">
        <w:rPr>
          <w:rFonts w:eastAsia="Times New Roman" w:cstheme="minorHAnsi"/>
          <w:lang w:eastAsia="cs-CZ"/>
        </w:rPr>
        <w:t>Finanční prostředky byly čerpány v roce 2021 ve výši 360 096,00 Kč za citylight pro umístění akcí příspěvkových organizací zřizovaných Středočeským krajem z oblasti kultury, na zhotovení volných vstupenek do muzeí a galerií ve výši 42</w:t>
      </w:r>
      <w:r>
        <w:rPr>
          <w:rFonts w:eastAsia="Times New Roman" w:cstheme="minorHAnsi"/>
          <w:lang w:eastAsia="cs-CZ"/>
        </w:rPr>
        <w:t> </w:t>
      </w:r>
      <w:r w:rsidRPr="00BF139E">
        <w:rPr>
          <w:rFonts w:eastAsia="Times New Roman" w:cstheme="minorHAnsi"/>
          <w:lang w:eastAsia="cs-CZ"/>
        </w:rPr>
        <w:t>936</w:t>
      </w:r>
      <w:r>
        <w:rPr>
          <w:rFonts w:eastAsia="Times New Roman" w:cstheme="minorHAnsi"/>
          <w:lang w:eastAsia="cs-CZ"/>
        </w:rPr>
        <w:t>,</w:t>
      </w:r>
      <w:r w:rsidRPr="00BF139E">
        <w:rPr>
          <w:rFonts w:eastAsia="Times New Roman" w:cstheme="minorHAnsi"/>
          <w:lang w:eastAsia="cs-CZ"/>
        </w:rPr>
        <w:t>00 Kč, vyplaceno bylo 12 000,00 Kč za nájem pozemku pod Leteckým Muzeem Metoděje Vlacha</w:t>
      </w:r>
      <w:r>
        <w:rPr>
          <w:rFonts w:eastAsia="Times New Roman" w:cstheme="minorHAnsi"/>
          <w:lang w:eastAsia="cs-CZ"/>
        </w:rPr>
        <w:t xml:space="preserve">. </w:t>
      </w:r>
      <w:r w:rsidRPr="00BF139E">
        <w:rPr>
          <w:rFonts w:eastAsia="Times New Roman" w:cstheme="minorHAnsi"/>
          <w:lang w:eastAsia="cs-CZ"/>
        </w:rPr>
        <w:t>Uhrazena byla rovněž částka 36 300,00 Kč za prezentaci Středočeského kraje v Bulletinu „MÁME VYBRÁNO“</w:t>
      </w:r>
      <w:r>
        <w:rPr>
          <w:rFonts w:eastAsia="Times New Roman" w:cstheme="minorHAnsi"/>
          <w:lang w:eastAsia="cs-CZ"/>
        </w:rPr>
        <w:t>, částka 20 000,00 Kč za p</w:t>
      </w:r>
      <w:r w:rsidRPr="0066178A">
        <w:rPr>
          <w:rFonts w:eastAsia="Times New Roman" w:cstheme="minorHAnsi"/>
          <w:lang w:eastAsia="cs-CZ"/>
        </w:rPr>
        <w:t>rezentac</w:t>
      </w:r>
      <w:r>
        <w:rPr>
          <w:rFonts w:eastAsia="Times New Roman" w:cstheme="minorHAnsi"/>
          <w:lang w:eastAsia="cs-CZ"/>
        </w:rPr>
        <w:t>i</w:t>
      </w:r>
      <w:r w:rsidRPr="0066178A">
        <w:rPr>
          <w:rFonts w:eastAsia="Times New Roman" w:cstheme="minorHAnsi"/>
          <w:lang w:eastAsia="cs-CZ"/>
        </w:rPr>
        <w:t xml:space="preserve"> kulturních společenských cílů na území SK</w:t>
      </w:r>
      <w:r>
        <w:rPr>
          <w:rFonts w:eastAsia="Times New Roman" w:cstheme="minorHAnsi"/>
          <w:lang w:eastAsia="cs-CZ"/>
        </w:rPr>
        <w:t xml:space="preserve"> v Mozaice</w:t>
      </w:r>
      <w:r w:rsidRPr="0066178A">
        <w:rPr>
          <w:rFonts w:eastAsia="Times New Roman" w:cstheme="minorHAnsi"/>
          <w:lang w:eastAsia="cs-CZ"/>
        </w:rPr>
        <w:t xml:space="preserve"> </w:t>
      </w:r>
      <w:r>
        <w:rPr>
          <w:rFonts w:eastAsia="Times New Roman" w:cstheme="minorHAnsi"/>
          <w:lang w:eastAsia="cs-CZ"/>
        </w:rPr>
        <w:t>a částka 60 500,00 Kč z</w:t>
      </w:r>
      <w:r w:rsidRPr="00FA6ABC">
        <w:rPr>
          <w:rFonts w:eastAsia="Times New Roman" w:cstheme="minorHAnsi"/>
          <w:lang w:eastAsia="cs-CZ"/>
        </w:rPr>
        <w:t>a propagaci SK na národní putovní výstavě "Má vlast cestami proměn 2021/2022"</w:t>
      </w:r>
      <w:r>
        <w:rPr>
          <w:rFonts w:eastAsia="Times New Roman" w:cstheme="minorHAnsi"/>
          <w:lang w:eastAsia="cs-CZ"/>
        </w:rPr>
        <w:t>.</w:t>
      </w:r>
      <w:r w:rsidRPr="00FA6ABC">
        <w:rPr>
          <w:rFonts w:eastAsia="Times New Roman" w:cstheme="minorHAnsi"/>
          <w:lang w:eastAsia="cs-CZ"/>
        </w:rPr>
        <w:t xml:space="preserve"> </w:t>
      </w:r>
      <w:r>
        <w:rPr>
          <w:rFonts w:eastAsia="Times New Roman" w:cstheme="minorHAnsi"/>
          <w:lang w:eastAsia="cs-CZ"/>
        </w:rPr>
        <w:t>Na základě objednávek byla proplacena částka v celkové výši 29 340,00 Kč za</w:t>
      </w:r>
      <w:r w:rsidRPr="00FA6ABC">
        <w:t xml:space="preserve"> </w:t>
      </w:r>
      <w:r>
        <w:rPr>
          <w:rFonts w:eastAsia="Times New Roman" w:cstheme="minorHAnsi"/>
          <w:lang w:eastAsia="cs-CZ"/>
        </w:rPr>
        <w:t>z</w:t>
      </w:r>
      <w:r w:rsidRPr="00FA6ABC">
        <w:rPr>
          <w:rFonts w:eastAsia="Times New Roman" w:cstheme="minorHAnsi"/>
          <w:lang w:eastAsia="cs-CZ"/>
        </w:rPr>
        <w:t>naleck</w:t>
      </w:r>
      <w:r>
        <w:rPr>
          <w:rFonts w:eastAsia="Times New Roman" w:cstheme="minorHAnsi"/>
          <w:lang w:eastAsia="cs-CZ"/>
        </w:rPr>
        <w:t>é</w:t>
      </w:r>
      <w:r w:rsidRPr="00FA6ABC">
        <w:rPr>
          <w:rFonts w:eastAsia="Times New Roman" w:cstheme="minorHAnsi"/>
          <w:lang w:eastAsia="cs-CZ"/>
        </w:rPr>
        <w:t xml:space="preserve"> posud</w:t>
      </w:r>
      <w:r>
        <w:rPr>
          <w:rFonts w:eastAsia="Times New Roman" w:cstheme="minorHAnsi"/>
          <w:lang w:eastAsia="cs-CZ"/>
        </w:rPr>
        <w:t>ky</w:t>
      </w:r>
      <w:r w:rsidRPr="00FA6ABC">
        <w:rPr>
          <w:rFonts w:eastAsia="Times New Roman" w:cstheme="minorHAnsi"/>
          <w:lang w:eastAsia="cs-CZ"/>
        </w:rPr>
        <w:t xml:space="preserve"> </w:t>
      </w:r>
      <w:r>
        <w:rPr>
          <w:rFonts w:eastAsia="Times New Roman" w:cstheme="minorHAnsi"/>
          <w:lang w:eastAsia="cs-CZ"/>
        </w:rPr>
        <w:t xml:space="preserve">v souvislosti s </w:t>
      </w:r>
      <w:r w:rsidRPr="00FA6ABC">
        <w:rPr>
          <w:rFonts w:eastAsia="Times New Roman" w:cstheme="minorHAnsi"/>
          <w:lang w:eastAsia="cs-CZ"/>
        </w:rPr>
        <w:t>nemovitost</w:t>
      </w:r>
      <w:r>
        <w:rPr>
          <w:rFonts w:eastAsia="Times New Roman" w:cstheme="minorHAnsi"/>
          <w:lang w:eastAsia="cs-CZ"/>
        </w:rPr>
        <w:t>í</w:t>
      </w:r>
      <w:r w:rsidRPr="00FA6ABC">
        <w:rPr>
          <w:rFonts w:eastAsia="Times New Roman" w:cstheme="minorHAnsi"/>
          <w:lang w:eastAsia="cs-CZ"/>
        </w:rPr>
        <w:t xml:space="preserve"> Kersko ev. č. 274 (Hrabalova chata)</w:t>
      </w:r>
      <w:r>
        <w:rPr>
          <w:rFonts w:eastAsia="Times New Roman" w:cstheme="minorHAnsi"/>
          <w:lang w:eastAsia="cs-CZ"/>
        </w:rPr>
        <w:t>. Č</w:t>
      </w:r>
      <w:r w:rsidRPr="00C0244A">
        <w:rPr>
          <w:rFonts w:eastAsia="Times New Roman" w:cstheme="minorHAnsi"/>
          <w:lang w:eastAsia="cs-CZ"/>
        </w:rPr>
        <w:t xml:space="preserve">ástka ve výši </w:t>
      </w:r>
      <w:r>
        <w:rPr>
          <w:rFonts w:eastAsia="Times New Roman" w:cstheme="minorHAnsi"/>
          <w:lang w:eastAsia="cs-CZ"/>
        </w:rPr>
        <w:t>13 598,18 Kč</w:t>
      </w:r>
      <w:r w:rsidRPr="00C0244A">
        <w:rPr>
          <w:rFonts w:eastAsia="Times New Roman" w:cstheme="minorHAnsi"/>
          <w:lang w:eastAsia="cs-CZ"/>
        </w:rPr>
        <w:t xml:space="preserve"> byla použita na občerstvení při poradách ředitelů příspěvkových organizací</w:t>
      </w:r>
      <w:r>
        <w:rPr>
          <w:rFonts w:eastAsia="Times New Roman" w:cstheme="minorHAnsi"/>
          <w:lang w:eastAsia="cs-CZ"/>
        </w:rPr>
        <w:t xml:space="preserve">. Za </w:t>
      </w:r>
      <w:r w:rsidRPr="00EC7789">
        <w:rPr>
          <w:rFonts w:eastAsia="Times New Roman" w:cstheme="minorHAnsi"/>
          <w:lang w:eastAsia="cs-CZ"/>
        </w:rPr>
        <w:t>vypracování studentských návrhů "Revitalizace hradního parkánu a řešení přístupu k areálu hradu v Mladé Boleslavi – sídla Muzea Mladoboleslavska"</w:t>
      </w:r>
      <w:r>
        <w:rPr>
          <w:rFonts w:eastAsia="Times New Roman" w:cstheme="minorHAnsi"/>
          <w:lang w:eastAsia="cs-CZ"/>
        </w:rPr>
        <w:t xml:space="preserve"> byla uhrazena cena díla ve výši 40 000,00 Kč na základě smlouvy o zajištění spolupráce s ČVUT v Praze.</w:t>
      </w:r>
      <w:r w:rsidRPr="00EC7789">
        <w:rPr>
          <w:rFonts w:eastAsia="Times New Roman" w:cstheme="minorHAnsi"/>
          <w:lang w:eastAsia="cs-CZ"/>
        </w:rPr>
        <w:t xml:space="preserve"> </w:t>
      </w:r>
      <w:r w:rsidRPr="00B16E50">
        <w:rPr>
          <w:rFonts w:eastAsia="Times New Roman" w:cstheme="minorHAnsi"/>
          <w:lang w:eastAsia="cs-CZ"/>
        </w:rPr>
        <w:t>Usnesením č. 086-29/2021/RK ze dne 15.</w:t>
      </w:r>
      <w:r w:rsidR="00862690">
        <w:rPr>
          <w:rFonts w:eastAsia="Times New Roman" w:cstheme="minorHAnsi"/>
          <w:lang w:eastAsia="cs-CZ"/>
        </w:rPr>
        <w:t xml:space="preserve"> </w:t>
      </w:r>
      <w:r w:rsidRPr="00B16E50">
        <w:rPr>
          <w:rFonts w:eastAsia="Times New Roman" w:cstheme="minorHAnsi"/>
          <w:lang w:eastAsia="cs-CZ"/>
        </w:rPr>
        <w:t>7.</w:t>
      </w:r>
      <w:r w:rsidR="00862690">
        <w:rPr>
          <w:rFonts w:eastAsia="Times New Roman" w:cstheme="minorHAnsi"/>
          <w:lang w:eastAsia="cs-CZ"/>
        </w:rPr>
        <w:t xml:space="preserve"> </w:t>
      </w:r>
      <w:r w:rsidRPr="00B16E50">
        <w:rPr>
          <w:rFonts w:eastAsia="Times New Roman" w:cstheme="minorHAnsi"/>
          <w:lang w:eastAsia="cs-CZ"/>
        </w:rPr>
        <w:t xml:space="preserve">2021 bylo schváleno vyplacení odměn v celkové výši </w:t>
      </w:r>
      <w:r>
        <w:rPr>
          <w:rFonts w:eastAsia="Times New Roman" w:cstheme="minorHAnsi"/>
          <w:lang w:eastAsia="cs-CZ"/>
        </w:rPr>
        <w:t>20</w:t>
      </w:r>
      <w:r w:rsidRPr="00B16E50">
        <w:rPr>
          <w:rFonts w:eastAsia="Times New Roman" w:cstheme="minorHAnsi"/>
          <w:lang w:eastAsia="cs-CZ"/>
        </w:rPr>
        <w:t xml:space="preserve"> 000,00 Kč </w:t>
      </w:r>
      <w:r w:rsidRPr="001C7929">
        <w:rPr>
          <w:rFonts w:eastAsia="Times New Roman" w:cstheme="minorHAnsi"/>
          <w:lang w:eastAsia="cs-CZ"/>
        </w:rPr>
        <w:t>paní Ivetě Dandové a panu Davidu Tůmovi</w:t>
      </w:r>
      <w:r w:rsidRPr="00B16E50">
        <w:rPr>
          <w:rFonts w:eastAsia="Times New Roman" w:cstheme="minorHAnsi"/>
          <w:lang w:eastAsia="cs-CZ"/>
        </w:rPr>
        <w:t xml:space="preserve"> prostřednictvím darovacích smluv za mimořádný přínos pro oblast tradiční lidové kultury ve Středočeském kraji.</w:t>
      </w:r>
      <w:r>
        <w:rPr>
          <w:rFonts w:eastAsia="Times New Roman" w:cstheme="minorHAnsi"/>
          <w:lang w:eastAsia="cs-CZ"/>
        </w:rPr>
        <w:t xml:space="preserve"> </w:t>
      </w:r>
      <w:r w:rsidRPr="00BF139E">
        <w:rPr>
          <w:rFonts w:eastAsia="Times New Roman" w:cstheme="minorHAnsi"/>
          <w:lang w:eastAsia="cs-CZ"/>
        </w:rPr>
        <w:t>K 3</w:t>
      </w:r>
      <w:r>
        <w:rPr>
          <w:rFonts w:eastAsia="Times New Roman" w:cstheme="minorHAnsi"/>
          <w:lang w:eastAsia="cs-CZ"/>
        </w:rPr>
        <w:t>1</w:t>
      </w:r>
      <w:r w:rsidRPr="00BF139E">
        <w:rPr>
          <w:rFonts w:eastAsia="Times New Roman" w:cstheme="minorHAnsi"/>
          <w:lang w:eastAsia="cs-CZ"/>
        </w:rPr>
        <w:t xml:space="preserve">. </w:t>
      </w:r>
      <w:r>
        <w:rPr>
          <w:rFonts w:eastAsia="Times New Roman" w:cstheme="minorHAnsi"/>
          <w:lang w:eastAsia="cs-CZ"/>
        </w:rPr>
        <w:t>12</w:t>
      </w:r>
      <w:r w:rsidRPr="00BF139E">
        <w:rPr>
          <w:rFonts w:eastAsia="Times New Roman" w:cstheme="minorHAnsi"/>
          <w:lang w:eastAsia="cs-CZ"/>
        </w:rPr>
        <w:t>. 2021 je vyčerpáno 4</w:t>
      </w:r>
      <w:r>
        <w:rPr>
          <w:rFonts w:eastAsia="Times New Roman" w:cstheme="minorHAnsi"/>
          <w:lang w:eastAsia="cs-CZ"/>
        </w:rPr>
        <w:t>1</w:t>
      </w:r>
      <w:r w:rsidRPr="00BF139E">
        <w:rPr>
          <w:rFonts w:eastAsia="Times New Roman" w:cstheme="minorHAnsi"/>
          <w:lang w:eastAsia="cs-CZ"/>
        </w:rPr>
        <w:t>,</w:t>
      </w:r>
      <w:r>
        <w:rPr>
          <w:rFonts w:eastAsia="Times New Roman" w:cstheme="minorHAnsi"/>
          <w:lang w:eastAsia="cs-CZ"/>
        </w:rPr>
        <w:t>2</w:t>
      </w:r>
      <w:r w:rsidRPr="00BF139E">
        <w:rPr>
          <w:rFonts w:eastAsia="Times New Roman" w:cstheme="minorHAnsi"/>
          <w:lang w:eastAsia="cs-CZ"/>
        </w:rPr>
        <w:t xml:space="preserve"> % prostředků.</w:t>
      </w:r>
    </w:p>
    <w:p w14:paraId="56E33279" w14:textId="77777777" w:rsidR="00ED51F3" w:rsidRDefault="00ED51F3" w:rsidP="00ED51F3">
      <w:pPr>
        <w:spacing w:after="0" w:line="240" w:lineRule="auto"/>
        <w:jc w:val="both"/>
        <w:rPr>
          <w:rFonts w:eastAsia="Times New Roman" w:cstheme="minorHAnsi"/>
          <w:b/>
          <w:lang w:eastAsia="cs-CZ"/>
        </w:rPr>
      </w:pPr>
    </w:p>
    <w:p w14:paraId="65142665" w14:textId="77777777" w:rsidR="00ED51F3" w:rsidRPr="0082664B" w:rsidRDefault="00ED51F3" w:rsidP="00ED51F3">
      <w:pPr>
        <w:spacing w:after="0" w:line="240" w:lineRule="auto"/>
        <w:jc w:val="both"/>
        <w:rPr>
          <w:rFonts w:eastAsia="Times New Roman" w:cstheme="minorHAnsi"/>
          <w:b/>
          <w:lang w:eastAsia="cs-CZ"/>
        </w:rPr>
      </w:pPr>
      <w:r w:rsidRPr="0082664B">
        <w:rPr>
          <w:rFonts w:eastAsia="Times New Roman" w:cstheme="minorHAnsi"/>
          <w:b/>
          <w:lang w:eastAsia="cs-CZ"/>
        </w:rPr>
        <w:t xml:space="preserve">§ </w:t>
      </w:r>
      <w:r>
        <w:rPr>
          <w:rFonts w:eastAsia="Times New Roman" w:cstheme="minorHAnsi"/>
          <w:b/>
          <w:lang w:eastAsia="cs-CZ"/>
        </w:rPr>
        <w:t xml:space="preserve">3312, 3313, </w:t>
      </w:r>
      <w:r w:rsidRPr="0082664B">
        <w:rPr>
          <w:rFonts w:eastAsia="Times New Roman" w:cstheme="minorHAnsi"/>
          <w:b/>
          <w:lang w:eastAsia="cs-CZ"/>
        </w:rPr>
        <w:t>3319 – Podpora živé kultury</w:t>
      </w:r>
    </w:p>
    <w:p w14:paraId="5111D3BF" w14:textId="5E91C4EE" w:rsidR="00ED51F3" w:rsidRPr="0082664B" w:rsidRDefault="00ED51F3" w:rsidP="00ED51F3">
      <w:pPr>
        <w:spacing w:after="0" w:line="240" w:lineRule="auto"/>
        <w:jc w:val="both"/>
        <w:rPr>
          <w:rFonts w:eastAsia="Times New Roman" w:cstheme="minorHAnsi"/>
          <w:lang w:eastAsia="cs-CZ"/>
        </w:rPr>
      </w:pPr>
      <w:r w:rsidRPr="0082664B">
        <w:rPr>
          <w:rFonts w:eastAsia="Times New Roman" w:cstheme="minorHAnsi"/>
          <w:lang w:eastAsia="cs-CZ"/>
        </w:rPr>
        <w:t>Na rok 2021 byl schválen rozpočet ve výši 1 815 000,00 Kč</w:t>
      </w:r>
      <w:r>
        <w:rPr>
          <w:rFonts w:eastAsia="Times New Roman" w:cstheme="minorHAnsi"/>
          <w:lang w:eastAsia="cs-CZ"/>
        </w:rPr>
        <w:t xml:space="preserve">, </w:t>
      </w:r>
      <w:r w:rsidR="00BA3AD2">
        <w:rPr>
          <w:rFonts w:eastAsia="Times New Roman" w:cstheme="minorHAnsi"/>
          <w:lang w:eastAsia="cs-CZ"/>
        </w:rPr>
        <w:t>r</w:t>
      </w:r>
      <w:r w:rsidRPr="0082664B">
        <w:rPr>
          <w:rFonts w:eastAsia="Times New Roman" w:cstheme="minorHAnsi"/>
          <w:lang w:eastAsia="cs-CZ"/>
        </w:rPr>
        <w:t>ozpočet byl nav</w:t>
      </w:r>
      <w:r>
        <w:rPr>
          <w:rFonts w:eastAsia="Times New Roman" w:cstheme="minorHAnsi"/>
          <w:lang w:eastAsia="cs-CZ"/>
        </w:rPr>
        <w:t>ýšen převodem v rámci kapitoly 06 – Kultura a památková péče</w:t>
      </w:r>
      <w:r w:rsidRPr="0082664B">
        <w:rPr>
          <w:rFonts w:eastAsia="Times New Roman" w:cstheme="minorHAnsi"/>
          <w:lang w:eastAsia="cs-CZ"/>
        </w:rPr>
        <w:t xml:space="preserve"> (usnesení č. 055-21/2021/RK ze dne 13. 5. 2021) o částku 250 000,00 Kč za účelem dofinancování akce</w:t>
      </w:r>
      <w:r w:rsidRPr="0082664B">
        <w:rPr>
          <w:rFonts w:cstheme="minorHAnsi"/>
        </w:rPr>
        <w:t xml:space="preserve"> </w:t>
      </w:r>
      <w:r w:rsidRPr="0082664B">
        <w:rPr>
          <w:rFonts w:eastAsia="Times New Roman" w:cstheme="minorHAnsi"/>
          <w:lang w:eastAsia="cs-CZ"/>
        </w:rPr>
        <w:t xml:space="preserve">Stavba roku Středočeského kraje 2021. Dále byl rozpočet navýšen </w:t>
      </w:r>
      <w:r>
        <w:rPr>
          <w:rFonts w:eastAsia="Times New Roman" w:cstheme="minorHAnsi"/>
          <w:lang w:eastAsia="cs-CZ"/>
        </w:rPr>
        <w:t>převodem v rámci kapitoly 06 – Kultura a památková péče</w:t>
      </w:r>
      <w:r w:rsidRPr="0082664B">
        <w:rPr>
          <w:rFonts w:eastAsia="Times New Roman" w:cstheme="minorHAnsi"/>
          <w:lang w:eastAsia="cs-CZ"/>
        </w:rPr>
        <w:t xml:space="preserve"> </w:t>
      </w:r>
      <w:r>
        <w:rPr>
          <w:rFonts w:eastAsia="Times New Roman" w:cstheme="minorHAnsi"/>
          <w:lang w:eastAsia="cs-CZ"/>
        </w:rPr>
        <w:t>(usnesení</w:t>
      </w:r>
      <w:r w:rsidRPr="0082664B">
        <w:rPr>
          <w:rFonts w:eastAsia="Times New Roman" w:cstheme="minorHAnsi"/>
          <w:lang w:eastAsia="cs-CZ"/>
        </w:rPr>
        <w:t xml:space="preserve"> č. 034-26/2021/RK ze dne 17. 6. 2021</w:t>
      </w:r>
      <w:r>
        <w:rPr>
          <w:rFonts w:eastAsia="Times New Roman" w:cstheme="minorHAnsi"/>
          <w:lang w:eastAsia="cs-CZ"/>
        </w:rPr>
        <w:t>)</w:t>
      </w:r>
      <w:r w:rsidRPr="0082664B">
        <w:rPr>
          <w:rFonts w:eastAsia="Times New Roman" w:cstheme="minorHAnsi"/>
          <w:lang w:eastAsia="cs-CZ"/>
        </w:rPr>
        <w:t xml:space="preserve"> o celkovou částku 1 313 000,00 Kč, z toho 500 000,00 Kč na natáčení filmové pohádky „</w:t>
      </w:r>
      <w:bookmarkStart w:id="16" w:name="_Hlk96673117"/>
      <w:r w:rsidRPr="0082664B">
        <w:rPr>
          <w:rFonts w:eastAsia="Times New Roman" w:cstheme="minorHAnsi"/>
          <w:lang w:eastAsia="cs-CZ"/>
        </w:rPr>
        <w:t>Tajemství staré bambitky 2</w:t>
      </w:r>
      <w:bookmarkEnd w:id="16"/>
      <w:r w:rsidRPr="0082664B">
        <w:rPr>
          <w:rFonts w:eastAsia="Times New Roman" w:cstheme="minorHAnsi"/>
          <w:lang w:eastAsia="cs-CZ"/>
        </w:rPr>
        <w:t xml:space="preserve">“ </w:t>
      </w:r>
      <w:r>
        <w:rPr>
          <w:rFonts w:eastAsia="Times New Roman" w:cstheme="minorHAnsi"/>
          <w:lang w:eastAsia="cs-CZ"/>
        </w:rPr>
        <w:br/>
      </w:r>
      <w:r w:rsidRPr="0082664B">
        <w:rPr>
          <w:rFonts w:eastAsia="Times New Roman" w:cstheme="minorHAnsi"/>
          <w:lang w:eastAsia="cs-CZ"/>
        </w:rPr>
        <w:t>a 813 000,00 Kč na hledání mladých hudebních talentů v soutěži „</w:t>
      </w:r>
      <w:bookmarkStart w:id="17" w:name="_Hlk96673200"/>
      <w:r w:rsidRPr="0082664B">
        <w:rPr>
          <w:rFonts w:eastAsia="Times New Roman" w:cstheme="minorHAnsi"/>
          <w:lang w:eastAsia="cs-CZ"/>
        </w:rPr>
        <w:t>Středočeská skutečná liga 2021</w:t>
      </w:r>
      <w:bookmarkEnd w:id="17"/>
      <w:r w:rsidRPr="0082664B">
        <w:rPr>
          <w:rFonts w:eastAsia="Times New Roman" w:cstheme="minorHAnsi"/>
          <w:lang w:eastAsia="cs-CZ"/>
        </w:rPr>
        <w:t>“.</w:t>
      </w:r>
      <w:r>
        <w:t xml:space="preserve"> Koncem roku bylo ještě navýšení o částku </w:t>
      </w:r>
      <w:r w:rsidRPr="000F4FB5">
        <w:rPr>
          <w:rFonts w:eastAsia="Times New Roman" w:cstheme="minorHAnsi"/>
          <w:lang w:eastAsia="cs-CZ"/>
        </w:rPr>
        <w:t>2 225 500,00 Kč</w:t>
      </w:r>
      <w:r>
        <w:rPr>
          <w:rFonts w:eastAsia="Times New Roman" w:cstheme="minorHAnsi"/>
          <w:lang w:eastAsia="cs-CZ"/>
        </w:rPr>
        <w:t xml:space="preserve"> – prostředky na poskytnutí dotací v souladu s usnesením č. </w:t>
      </w:r>
      <w:r w:rsidRPr="0087499E">
        <w:rPr>
          <w:rFonts w:eastAsia="Times New Roman" w:cstheme="minorHAnsi"/>
          <w:lang w:eastAsia="cs-CZ"/>
        </w:rPr>
        <w:t>060-45/2021/RK ze dne 2.12.2021</w:t>
      </w:r>
      <w:r>
        <w:rPr>
          <w:rFonts w:eastAsia="Times New Roman" w:cstheme="minorHAnsi"/>
          <w:lang w:eastAsia="cs-CZ"/>
        </w:rPr>
        <w:t>. Podpora živé kultury byla snížena o 24 200,00 Kč dle</w:t>
      </w:r>
      <w:r>
        <w:t xml:space="preserve"> </w:t>
      </w:r>
      <w:r>
        <w:rPr>
          <w:rFonts w:eastAsia="Times New Roman" w:cstheme="minorHAnsi"/>
          <w:lang w:eastAsia="cs-CZ"/>
        </w:rPr>
        <w:t>r</w:t>
      </w:r>
      <w:r w:rsidRPr="007731C3">
        <w:rPr>
          <w:rFonts w:eastAsia="Times New Roman" w:cstheme="minorHAnsi"/>
          <w:lang w:eastAsia="cs-CZ"/>
        </w:rPr>
        <w:t>ozpočtov</w:t>
      </w:r>
      <w:r>
        <w:rPr>
          <w:rFonts w:eastAsia="Times New Roman" w:cstheme="minorHAnsi"/>
          <w:lang w:eastAsia="cs-CZ"/>
        </w:rPr>
        <w:t>é</w:t>
      </w:r>
      <w:r w:rsidRPr="007731C3">
        <w:rPr>
          <w:rFonts w:eastAsia="Times New Roman" w:cstheme="minorHAnsi"/>
          <w:lang w:eastAsia="cs-CZ"/>
        </w:rPr>
        <w:t xml:space="preserve"> úprav</w:t>
      </w:r>
      <w:r>
        <w:rPr>
          <w:rFonts w:eastAsia="Times New Roman" w:cstheme="minorHAnsi"/>
          <w:lang w:eastAsia="cs-CZ"/>
        </w:rPr>
        <w:t>y</w:t>
      </w:r>
      <w:r w:rsidRPr="007731C3">
        <w:rPr>
          <w:rFonts w:eastAsia="Times New Roman" w:cstheme="minorHAnsi"/>
          <w:lang w:eastAsia="cs-CZ"/>
        </w:rPr>
        <w:t xml:space="preserve"> č. 7</w:t>
      </w:r>
      <w:r>
        <w:rPr>
          <w:rFonts w:eastAsia="Times New Roman" w:cstheme="minorHAnsi"/>
          <w:lang w:eastAsia="cs-CZ"/>
        </w:rPr>
        <w:t>55</w:t>
      </w:r>
      <w:r w:rsidRPr="007731C3">
        <w:rPr>
          <w:rFonts w:eastAsia="Times New Roman" w:cstheme="minorHAnsi"/>
          <w:lang w:eastAsia="cs-CZ"/>
        </w:rPr>
        <w:t xml:space="preserve">/06/2021 projednanou s příslušným členem </w:t>
      </w:r>
      <w:r w:rsidR="00A7208A">
        <w:rPr>
          <w:rFonts w:eastAsia="Times New Roman" w:cstheme="minorHAnsi"/>
          <w:lang w:eastAsia="cs-CZ"/>
        </w:rPr>
        <w:t>r</w:t>
      </w:r>
      <w:r w:rsidRPr="007731C3">
        <w:rPr>
          <w:rFonts w:eastAsia="Times New Roman" w:cstheme="minorHAnsi"/>
          <w:lang w:eastAsia="cs-CZ"/>
        </w:rPr>
        <w:t>ady kraje</w:t>
      </w:r>
      <w:r>
        <w:rPr>
          <w:rFonts w:eastAsia="Times New Roman" w:cstheme="minorHAnsi"/>
          <w:lang w:eastAsia="cs-CZ"/>
        </w:rPr>
        <w:t xml:space="preserve"> a o </w:t>
      </w:r>
      <w:r w:rsidR="00F12C73">
        <w:rPr>
          <w:rFonts w:eastAsia="Times New Roman" w:cstheme="minorHAnsi"/>
          <w:lang w:eastAsia="cs-CZ"/>
        </w:rPr>
        <w:t xml:space="preserve">částku </w:t>
      </w:r>
      <w:r>
        <w:rPr>
          <w:rFonts w:eastAsia="Times New Roman" w:cstheme="minorHAnsi"/>
          <w:lang w:eastAsia="cs-CZ"/>
        </w:rPr>
        <w:t>200 000,00 Kč</w:t>
      </w:r>
      <w:r w:rsidR="00F12C73">
        <w:rPr>
          <w:rFonts w:eastAsia="Times New Roman" w:cstheme="minorHAnsi"/>
          <w:lang w:eastAsia="cs-CZ"/>
        </w:rPr>
        <w:t>, která</w:t>
      </w:r>
      <w:r>
        <w:rPr>
          <w:rFonts w:eastAsia="Times New Roman" w:cstheme="minorHAnsi"/>
          <w:lang w:eastAsia="cs-CZ"/>
        </w:rPr>
        <w:t xml:space="preserve"> byl</w:t>
      </w:r>
      <w:r w:rsidR="00F12C73">
        <w:rPr>
          <w:rFonts w:eastAsia="Times New Roman" w:cstheme="minorHAnsi"/>
          <w:lang w:eastAsia="cs-CZ"/>
        </w:rPr>
        <w:t>a</w:t>
      </w:r>
      <w:r>
        <w:rPr>
          <w:rFonts w:eastAsia="Times New Roman" w:cstheme="minorHAnsi"/>
          <w:lang w:eastAsia="cs-CZ"/>
        </w:rPr>
        <w:t xml:space="preserve"> převedeny do provozu Muzea Mladoboleslavska, p. o. </w:t>
      </w:r>
      <w:r w:rsidRPr="007731C3">
        <w:rPr>
          <w:rFonts w:eastAsia="Times New Roman" w:cstheme="minorHAnsi"/>
          <w:lang w:eastAsia="cs-CZ"/>
        </w:rPr>
        <w:t>za účelem zajištění akce „Dny lidové architektury Středočeského kraje 2021</w:t>
      </w:r>
      <w:r>
        <w:rPr>
          <w:rFonts w:eastAsia="Times New Roman" w:cstheme="minorHAnsi"/>
          <w:lang w:eastAsia="cs-CZ"/>
        </w:rPr>
        <w:t xml:space="preserve"> (usnesení</w:t>
      </w:r>
      <w:r w:rsidRPr="00C30400">
        <w:rPr>
          <w:rFonts w:eastAsia="Times New Roman" w:cstheme="minorHAnsi"/>
          <w:lang w:eastAsia="cs-CZ"/>
        </w:rPr>
        <w:t xml:space="preserve"> č. 053-28/2021/RK ze dne 1.</w:t>
      </w:r>
      <w:r w:rsidR="00F12C73">
        <w:rPr>
          <w:rFonts w:eastAsia="Times New Roman" w:cstheme="minorHAnsi"/>
          <w:lang w:eastAsia="cs-CZ"/>
        </w:rPr>
        <w:t xml:space="preserve"> </w:t>
      </w:r>
      <w:r w:rsidRPr="00C30400">
        <w:rPr>
          <w:rFonts w:eastAsia="Times New Roman" w:cstheme="minorHAnsi"/>
          <w:lang w:eastAsia="cs-CZ"/>
        </w:rPr>
        <w:t>7.</w:t>
      </w:r>
      <w:r w:rsidR="00F12C73">
        <w:rPr>
          <w:rFonts w:eastAsia="Times New Roman" w:cstheme="minorHAnsi"/>
          <w:lang w:eastAsia="cs-CZ"/>
        </w:rPr>
        <w:t xml:space="preserve"> </w:t>
      </w:r>
      <w:r w:rsidRPr="00C30400">
        <w:rPr>
          <w:rFonts w:eastAsia="Times New Roman" w:cstheme="minorHAnsi"/>
          <w:lang w:eastAsia="cs-CZ"/>
        </w:rPr>
        <w:t>2021</w:t>
      </w:r>
      <w:r>
        <w:rPr>
          <w:rFonts w:eastAsia="Times New Roman" w:cstheme="minorHAnsi"/>
          <w:lang w:eastAsia="cs-CZ"/>
        </w:rPr>
        <w:t>).</w:t>
      </w:r>
    </w:p>
    <w:p w14:paraId="33F5252C" w14:textId="77777777" w:rsidR="00ED51F3" w:rsidRPr="0082664B" w:rsidRDefault="00ED51F3" w:rsidP="00ED51F3">
      <w:pPr>
        <w:spacing w:after="0" w:line="240" w:lineRule="auto"/>
        <w:jc w:val="both"/>
        <w:rPr>
          <w:rFonts w:eastAsia="Times New Roman" w:cstheme="minorHAnsi"/>
          <w:lang w:eastAsia="cs-CZ"/>
        </w:rPr>
      </w:pPr>
      <w:r w:rsidRPr="0082664B">
        <w:rPr>
          <w:rFonts w:eastAsia="Times New Roman" w:cstheme="minorHAnsi"/>
          <w:lang w:eastAsia="cs-CZ"/>
        </w:rPr>
        <w:t>V </w:t>
      </w:r>
      <w:r>
        <w:rPr>
          <w:rFonts w:eastAsia="Times New Roman" w:cstheme="minorHAnsi"/>
          <w:lang w:eastAsia="cs-CZ"/>
        </w:rPr>
        <w:t>roce</w:t>
      </w:r>
      <w:r w:rsidRPr="0082664B">
        <w:rPr>
          <w:rFonts w:eastAsia="Times New Roman" w:cstheme="minorHAnsi"/>
          <w:lang w:eastAsia="cs-CZ"/>
        </w:rPr>
        <w:t xml:space="preserve"> 2021 bylo z této položky čerpáno </w:t>
      </w:r>
      <w:r>
        <w:rPr>
          <w:rFonts w:eastAsia="Times New Roman" w:cstheme="minorHAnsi"/>
          <w:lang w:eastAsia="cs-CZ"/>
        </w:rPr>
        <w:t>99</w:t>
      </w:r>
      <w:r w:rsidRPr="0082664B">
        <w:rPr>
          <w:rFonts w:eastAsia="Times New Roman" w:cstheme="minorHAnsi"/>
          <w:lang w:eastAsia="cs-CZ"/>
        </w:rPr>
        <w:t>,</w:t>
      </w:r>
      <w:r>
        <w:rPr>
          <w:rFonts w:eastAsia="Times New Roman" w:cstheme="minorHAnsi"/>
          <w:lang w:eastAsia="cs-CZ"/>
        </w:rPr>
        <w:t>2</w:t>
      </w:r>
      <w:r w:rsidRPr="0082664B">
        <w:rPr>
          <w:rFonts w:eastAsia="Times New Roman" w:cstheme="minorHAnsi"/>
          <w:lang w:eastAsia="cs-CZ"/>
        </w:rPr>
        <w:t xml:space="preserve"> % na následující akce:</w:t>
      </w:r>
    </w:p>
    <w:p w14:paraId="5E9FDA35" w14:textId="77777777" w:rsidR="00ED51F3" w:rsidRPr="009A7CC7" w:rsidRDefault="00ED51F3" w:rsidP="00ED51F3">
      <w:pPr>
        <w:pStyle w:val="Odstavecseseznamem"/>
        <w:numPr>
          <w:ilvl w:val="0"/>
          <w:numId w:val="2"/>
        </w:numPr>
        <w:jc w:val="both"/>
        <w:rPr>
          <w:rFonts w:asciiTheme="minorHAnsi" w:hAnsiTheme="minorHAnsi" w:cstheme="minorHAnsi"/>
          <w:sz w:val="22"/>
          <w:szCs w:val="22"/>
        </w:rPr>
      </w:pPr>
      <w:r w:rsidRPr="009A7CC7">
        <w:rPr>
          <w:rFonts w:asciiTheme="minorHAnsi" w:hAnsiTheme="minorHAnsi" w:cstheme="minorHAnsi"/>
          <w:sz w:val="22"/>
          <w:szCs w:val="22"/>
        </w:rPr>
        <w:t>Dvořákovo Příbramsko</w:t>
      </w:r>
      <w:r>
        <w:rPr>
          <w:rFonts w:asciiTheme="minorHAnsi" w:hAnsiTheme="minorHAnsi" w:cstheme="minorHAnsi"/>
          <w:sz w:val="22"/>
          <w:szCs w:val="22"/>
        </w:rPr>
        <w:t xml:space="preserve"> 2021 a 2022</w:t>
      </w:r>
      <w:r w:rsidRPr="009A7CC7">
        <w:rPr>
          <w:rFonts w:asciiTheme="minorHAnsi" w:hAnsiTheme="minorHAnsi" w:cstheme="minorHAnsi"/>
          <w:sz w:val="22"/>
          <w:szCs w:val="22"/>
        </w:rPr>
        <w:t xml:space="preserve"> – dotac</w:t>
      </w:r>
      <w:r>
        <w:rPr>
          <w:rFonts w:asciiTheme="minorHAnsi" w:hAnsiTheme="minorHAnsi" w:cstheme="minorHAnsi"/>
          <w:sz w:val="22"/>
          <w:szCs w:val="22"/>
        </w:rPr>
        <w:t>e</w:t>
      </w:r>
      <w:r w:rsidRPr="009A7CC7">
        <w:rPr>
          <w:rFonts w:asciiTheme="minorHAnsi" w:hAnsiTheme="minorHAnsi" w:cstheme="minorHAnsi"/>
          <w:sz w:val="22"/>
          <w:szCs w:val="22"/>
        </w:rPr>
        <w:t xml:space="preserve"> v</w:t>
      </w:r>
      <w:r>
        <w:rPr>
          <w:rFonts w:asciiTheme="minorHAnsi" w:hAnsiTheme="minorHAnsi" w:cstheme="minorHAnsi"/>
          <w:sz w:val="22"/>
          <w:szCs w:val="22"/>
        </w:rPr>
        <w:t> celkové výši 1 400 000,00 Kč</w:t>
      </w:r>
      <w:r w:rsidRPr="009A7CC7">
        <w:rPr>
          <w:rFonts w:asciiTheme="minorHAnsi" w:hAnsiTheme="minorHAnsi" w:cstheme="minorHAnsi"/>
          <w:sz w:val="22"/>
          <w:szCs w:val="22"/>
        </w:rPr>
        <w:t xml:space="preserve"> obdržel</w:t>
      </w:r>
      <w:r>
        <w:rPr>
          <w:rFonts w:asciiTheme="minorHAnsi" w:hAnsiTheme="minorHAnsi" w:cstheme="minorHAnsi"/>
          <w:sz w:val="22"/>
          <w:szCs w:val="22"/>
        </w:rPr>
        <w:t xml:space="preserve"> zapsaný ústav</w:t>
      </w:r>
      <w:r w:rsidRPr="009A7CC7">
        <w:rPr>
          <w:rFonts w:asciiTheme="minorHAnsi" w:hAnsiTheme="minorHAnsi" w:cstheme="minorHAnsi"/>
          <w:sz w:val="22"/>
          <w:szCs w:val="22"/>
        </w:rPr>
        <w:t xml:space="preserve"> Dvořákovo Příbramsko, z. ú.</w:t>
      </w:r>
      <w:r>
        <w:rPr>
          <w:rFonts w:asciiTheme="minorHAnsi" w:hAnsiTheme="minorHAnsi" w:cstheme="minorHAnsi"/>
          <w:sz w:val="22"/>
          <w:szCs w:val="22"/>
        </w:rPr>
        <w:t xml:space="preserve"> na uspořádání Hudebního festivalu A. Dvořáka</w:t>
      </w:r>
      <w:r w:rsidRPr="009A7CC7">
        <w:rPr>
          <w:rFonts w:asciiTheme="minorHAnsi" w:hAnsiTheme="minorHAnsi" w:cstheme="minorHAnsi"/>
          <w:sz w:val="22"/>
          <w:szCs w:val="22"/>
        </w:rPr>
        <w:t>,</w:t>
      </w:r>
    </w:p>
    <w:p w14:paraId="3582F933" w14:textId="77777777" w:rsidR="00ED51F3" w:rsidRPr="009A7CC7" w:rsidRDefault="00ED51F3" w:rsidP="00ED51F3">
      <w:pPr>
        <w:pStyle w:val="Odstavecseseznamem"/>
        <w:numPr>
          <w:ilvl w:val="0"/>
          <w:numId w:val="2"/>
        </w:numPr>
        <w:jc w:val="both"/>
        <w:rPr>
          <w:rFonts w:asciiTheme="minorHAnsi" w:hAnsiTheme="minorHAnsi" w:cstheme="minorHAnsi"/>
          <w:sz w:val="22"/>
          <w:szCs w:val="22"/>
        </w:rPr>
      </w:pPr>
      <w:r w:rsidRPr="009A7CC7">
        <w:rPr>
          <w:rFonts w:asciiTheme="minorHAnsi" w:hAnsiTheme="minorHAnsi" w:cstheme="minorHAnsi"/>
          <w:sz w:val="22"/>
          <w:szCs w:val="22"/>
        </w:rPr>
        <w:lastRenderedPageBreak/>
        <w:t>Stavba roku Středočeského kraje 2021</w:t>
      </w:r>
      <w:r>
        <w:rPr>
          <w:rFonts w:asciiTheme="minorHAnsi" w:hAnsiTheme="minorHAnsi" w:cstheme="minorHAnsi"/>
          <w:sz w:val="22"/>
          <w:szCs w:val="22"/>
        </w:rPr>
        <w:t xml:space="preserve"> a 2022</w:t>
      </w:r>
      <w:r w:rsidRPr="009A7CC7">
        <w:rPr>
          <w:rFonts w:asciiTheme="minorHAnsi" w:hAnsiTheme="minorHAnsi" w:cstheme="minorHAnsi"/>
          <w:sz w:val="22"/>
          <w:szCs w:val="22"/>
        </w:rPr>
        <w:t xml:space="preserve"> </w:t>
      </w:r>
      <w:r w:rsidRPr="00115052">
        <w:rPr>
          <w:rFonts w:asciiTheme="minorHAnsi" w:hAnsiTheme="minorHAnsi" w:cstheme="minorHAnsi"/>
          <w:sz w:val="22"/>
          <w:szCs w:val="22"/>
        </w:rPr>
        <w:t>–</w:t>
      </w:r>
      <w:r w:rsidRPr="009A7CC7">
        <w:rPr>
          <w:rFonts w:asciiTheme="minorHAnsi" w:hAnsiTheme="minorHAnsi" w:cstheme="minorHAnsi"/>
          <w:sz w:val="22"/>
          <w:szCs w:val="22"/>
        </w:rPr>
        <w:t xml:space="preserve"> dotac</w:t>
      </w:r>
      <w:r>
        <w:rPr>
          <w:rFonts w:asciiTheme="minorHAnsi" w:hAnsiTheme="minorHAnsi" w:cstheme="minorHAnsi"/>
          <w:sz w:val="22"/>
          <w:szCs w:val="22"/>
        </w:rPr>
        <w:t>e</w:t>
      </w:r>
      <w:r w:rsidRPr="009A7CC7">
        <w:rPr>
          <w:rFonts w:asciiTheme="minorHAnsi" w:hAnsiTheme="minorHAnsi" w:cstheme="minorHAnsi"/>
          <w:sz w:val="22"/>
          <w:szCs w:val="22"/>
        </w:rPr>
        <w:t xml:space="preserve"> v</w:t>
      </w:r>
      <w:r>
        <w:rPr>
          <w:rFonts w:asciiTheme="minorHAnsi" w:hAnsiTheme="minorHAnsi" w:cstheme="minorHAnsi"/>
          <w:sz w:val="22"/>
          <w:szCs w:val="22"/>
        </w:rPr>
        <w:t> celkové výši 1 000 000,00 Kč</w:t>
      </w:r>
      <w:r w:rsidRPr="009A7CC7">
        <w:rPr>
          <w:rFonts w:asciiTheme="minorHAnsi" w:hAnsiTheme="minorHAnsi" w:cstheme="minorHAnsi"/>
          <w:sz w:val="22"/>
          <w:szCs w:val="22"/>
        </w:rPr>
        <w:t xml:space="preserve"> obdržela Nadace pro rozvoj architektury a stavitelství,</w:t>
      </w:r>
    </w:p>
    <w:p w14:paraId="7C9EDA1D" w14:textId="77777777" w:rsidR="00ED51F3" w:rsidRDefault="00ED51F3" w:rsidP="00ED51F3">
      <w:pPr>
        <w:pStyle w:val="Odstavecseseznamem"/>
        <w:numPr>
          <w:ilvl w:val="0"/>
          <w:numId w:val="2"/>
        </w:numPr>
        <w:jc w:val="both"/>
        <w:rPr>
          <w:rFonts w:asciiTheme="minorHAnsi" w:hAnsiTheme="minorHAnsi" w:cstheme="minorHAnsi"/>
          <w:sz w:val="22"/>
          <w:szCs w:val="22"/>
        </w:rPr>
      </w:pPr>
      <w:r w:rsidRPr="009A7CC7">
        <w:rPr>
          <w:rFonts w:asciiTheme="minorHAnsi" w:hAnsiTheme="minorHAnsi" w:cstheme="minorHAnsi"/>
          <w:sz w:val="22"/>
          <w:szCs w:val="22"/>
        </w:rPr>
        <w:t>Svatá Ludmila 1 100 let – dotaci ve výši 700 000,00 Kč obdržel spolek SVATÁ LUDMILA 1</w:t>
      </w:r>
      <w:r>
        <w:rPr>
          <w:rFonts w:asciiTheme="minorHAnsi" w:hAnsiTheme="minorHAnsi" w:cstheme="minorHAnsi"/>
          <w:sz w:val="22"/>
          <w:szCs w:val="22"/>
        </w:rPr>
        <w:t xml:space="preserve"> </w:t>
      </w:r>
      <w:r w:rsidRPr="009A7CC7">
        <w:rPr>
          <w:rFonts w:asciiTheme="minorHAnsi" w:hAnsiTheme="minorHAnsi" w:cstheme="minorHAnsi"/>
          <w:sz w:val="22"/>
          <w:szCs w:val="22"/>
        </w:rPr>
        <w:t>100 LET, z.s.</w:t>
      </w:r>
    </w:p>
    <w:p w14:paraId="75227A66" w14:textId="77777777" w:rsidR="00ED51F3" w:rsidRDefault="00ED51F3" w:rsidP="00ED51F3">
      <w:pPr>
        <w:pStyle w:val="Odstavecseseznamem"/>
        <w:numPr>
          <w:ilvl w:val="0"/>
          <w:numId w:val="2"/>
        </w:numPr>
        <w:jc w:val="both"/>
        <w:rPr>
          <w:rFonts w:asciiTheme="minorHAnsi" w:hAnsiTheme="minorHAnsi" w:cstheme="minorHAnsi"/>
          <w:sz w:val="22"/>
          <w:szCs w:val="22"/>
        </w:rPr>
      </w:pPr>
      <w:r w:rsidRPr="007731C3">
        <w:rPr>
          <w:rFonts w:asciiTheme="minorHAnsi" w:hAnsiTheme="minorHAnsi" w:cstheme="minorHAnsi"/>
          <w:sz w:val="22"/>
          <w:szCs w:val="22"/>
        </w:rPr>
        <w:t>Tajemství staré bambitky 2</w:t>
      </w:r>
      <w:r>
        <w:rPr>
          <w:rFonts w:asciiTheme="minorHAnsi" w:hAnsiTheme="minorHAnsi" w:cstheme="minorHAnsi"/>
          <w:sz w:val="22"/>
          <w:szCs w:val="22"/>
        </w:rPr>
        <w:t xml:space="preserve"> </w:t>
      </w:r>
      <w:r w:rsidRPr="002F0AF8">
        <w:rPr>
          <w:rFonts w:asciiTheme="minorHAnsi" w:hAnsiTheme="minorHAnsi" w:cstheme="minorHAnsi"/>
          <w:sz w:val="22"/>
          <w:szCs w:val="22"/>
        </w:rPr>
        <w:t>–</w:t>
      </w:r>
      <w:r>
        <w:rPr>
          <w:rFonts w:asciiTheme="minorHAnsi" w:hAnsiTheme="minorHAnsi" w:cstheme="minorHAnsi"/>
          <w:sz w:val="22"/>
          <w:szCs w:val="22"/>
        </w:rPr>
        <w:t xml:space="preserve"> dotaci ve výši 500 000,00 Kč obdržela společnost </w:t>
      </w:r>
      <w:r w:rsidRPr="00A71623">
        <w:rPr>
          <w:rFonts w:asciiTheme="minorHAnsi" w:hAnsiTheme="minorHAnsi" w:cstheme="minorHAnsi"/>
          <w:sz w:val="22"/>
          <w:szCs w:val="22"/>
        </w:rPr>
        <w:t>Fairytale Production s.r.o.</w:t>
      </w:r>
    </w:p>
    <w:p w14:paraId="46BEA29A" w14:textId="77777777" w:rsidR="00ED51F3" w:rsidRDefault="00ED51F3" w:rsidP="00ED51F3">
      <w:pPr>
        <w:pStyle w:val="Odstavecseseznamem"/>
        <w:numPr>
          <w:ilvl w:val="0"/>
          <w:numId w:val="2"/>
        </w:numPr>
        <w:jc w:val="both"/>
        <w:rPr>
          <w:rFonts w:asciiTheme="minorHAnsi" w:hAnsiTheme="minorHAnsi" w:cstheme="minorHAnsi"/>
          <w:sz w:val="22"/>
          <w:szCs w:val="22"/>
        </w:rPr>
      </w:pPr>
      <w:r w:rsidRPr="00E51AD0">
        <w:rPr>
          <w:rFonts w:asciiTheme="minorHAnsi" w:hAnsiTheme="minorHAnsi" w:cstheme="minorHAnsi"/>
          <w:sz w:val="22"/>
          <w:szCs w:val="22"/>
        </w:rPr>
        <w:t>Středočeská skutečná liga 2021</w:t>
      </w:r>
      <w:r>
        <w:rPr>
          <w:rFonts w:asciiTheme="minorHAnsi" w:hAnsiTheme="minorHAnsi" w:cstheme="minorHAnsi"/>
          <w:sz w:val="22"/>
          <w:szCs w:val="22"/>
        </w:rPr>
        <w:t xml:space="preserve"> a 2022 </w:t>
      </w:r>
      <w:bookmarkStart w:id="18" w:name="_Hlk96674766"/>
      <w:r>
        <w:rPr>
          <w:rFonts w:asciiTheme="minorHAnsi" w:hAnsiTheme="minorHAnsi" w:cstheme="minorHAnsi"/>
          <w:sz w:val="22"/>
          <w:szCs w:val="22"/>
        </w:rPr>
        <w:t>–</w:t>
      </w:r>
      <w:bookmarkEnd w:id="18"/>
      <w:r>
        <w:rPr>
          <w:rFonts w:asciiTheme="minorHAnsi" w:hAnsiTheme="minorHAnsi" w:cstheme="minorHAnsi"/>
          <w:sz w:val="22"/>
          <w:szCs w:val="22"/>
        </w:rPr>
        <w:t xml:space="preserve"> dotace v celkové výši</w:t>
      </w:r>
      <w:r w:rsidRPr="00A71623">
        <w:rPr>
          <w:rFonts w:asciiTheme="minorHAnsi" w:hAnsiTheme="minorHAnsi" w:cstheme="minorHAnsi"/>
          <w:sz w:val="22"/>
          <w:szCs w:val="22"/>
        </w:rPr>
        <w:t xml:space="preserve"> </w:t>
      </w:r>
      <w:r>
        <w:rPr>
          <w:rFonts w:asciiTheme="minorHAnsi" w:hAnsiTheme="minorHAnsi" w:cstheme="minorHAnsi"/>
          <w:sz w:val="22"/>
          <w:szCs w:val="22"/>
        </w:rPr>
        <w:t>1 626</w:t>
      </w:r>
      <w:r w:rsidRPr="00A71623">
        <w:rPr>
          <w:rFonts w:asciiTheme="minorHAnsi" w:hAnsiTheme="minorHAnsi" w:cstheme="minorHAnsi"/>
          <w:sz w:val="22"/>
          <w:szCs w:val="22"/>
        </w:rPr>
        <w:t xml:space="preserve"> 000,00 Kč </w:t>
      </w:r>
      <w:r>
        <w:rPr>
          <w:rFonts w:asciiTheme="minorHAnsi" w:hAnsiTheme="minorHAnsi" w:cstheme="minorHAnsi"/>
          <w:sz w:val="22"/>
          <w:szCs w:val="22"/>
        </w:rPr>
        <w:t xml:space="preserve">obdržel </w:t>
      </w:r>
      <w:r w:rsidRPr="00A71623">
        <w:rPr>
          <w:rFonts w:asciiTheme="minorHAnsi" w:hAnsiTheme="minorHAnsi" w:cstheme="minorHAnsi"/>
          <w:sz w:val="22"/>
          <w:szCs w:val="22"/>
        </w:rPr>
        <w:t>příjemc</w:t>
      </w:r>
      <w:r>
        <w:rPr>
          <w:rFonts w:asciiTheme="minorHAnsi" w:hAnsiTheme="minorHAnsi" w:cstheme="minorHAnsi"/>
          <w:sz w:val="22"/>
          <w:szCs w:val="22"/>
        </w:rPr>
        <w:t>e</w:t>
      </w:r>
      <w:r w:rsidRPr="00A71623">
        <w:rPr>
          <w:rFonts w:asciiTheme="minorHAnsi" w:hAnsiTheme="minorHAnsi" w:cstheme="minorHAnsi"/>
          <w:sz w:val="22"/>
          <w:szCs w:val="22"/>
        </w:rPr>
        <w:t xml:space="preserve"> N.S.E.F. Production s.r.o.</w:t>
      </w:r>
    </w:p>
    <w:p w14:paraId="1A70B80D" w14:textId="77777777" w:rsidR="00ED51F3" w:rsidRPr="009A7CC7" w:rsidRDefault="00ED51F3" w:rsidP="00ED51F3">
      <w:pPr>
        <w:pStyle w:val="Odstavecseseznamem"/>
        <w:numPr>
          <w:ilvl w:val="0"/>
          <w:numId w:val="2"/>
        </w:numPr>
        <w:jc w:val="both"/>
        <w:rPr>
          <w:rFonts w:asciiTheme="minorHAnsi" w:hAnsiTheme="minorHAnsi" w:cstheme="minorHAnsi"/>
          <w:sz w:val="22"/>
          <w:szCs w:val="22"/>
        </w:rPr>
      </w:pPr>
      <w:r w:rsidRPr="00E51AD0">
        <w:rPr>
          <w:rFonts w:asciiTheme="minorHAnsi" w:hAnsiTheme="minorHAnsi" w:cstheme="minorHAnsi"/>
          <w:sz w:val="22"/>
          <w:szCs w:val="22"/>
        </w:rPr>
        <w:t>26. generální konference ICOM</w:t>
      </w:r>
      <w:r>
        <w:rPr>
          <w:rFonts w:asciiTheme="minorHAnsi" w:hAnsiTheme="minorHAnsi" w:cstheme="minorHAnsi"/>
          <w:sz w:val="22"/>
          <w:szCs w:val="22"/>
        </w:rPr>
        <w:t xml:space="preserve"> – dotaci </w:t>
      </w:r>
      <w:r w:rsidRPr="00E51AD0">
        <w:rPr>
          <w:rFonts w:asciiTheme="minorHAnsi" w:hAnsiTheme="minorHAnsi" w:cstheme="minorHAnsi"/>
          <w:sz w:val="22"/>
          <w:szCs w:val="22"/>
        </w:rPr>
        <w:t>ve výši 112 500,00 Kč</w:t>
      </w:r>
      <w:r>
        <w:rPr>
          <w:rFonts w:asciiTheme="minorHAnsi" w:hAnsiTheme="minorHAnsi" w:cstheme="minorHAnsi"/>
          <w:sz w:val="22"/>
          <w:szCs w:val="22"/>
        </w:rPr>
        <w:t xml:space="preserve"> obdržel spolek</w:t>
      </w:r>
      <w:r w:rsidRPr="00E51AD0">
        <w:rPr>
          <w:rFonts w:asciiTheme="minorHAnsi" w:hAnsiTheme="minorHAnsi" w:cstheme="minorHAnsi"/>
          <w:sz w:val="22"/>
          <w:szCs w:val="22"/>
        </w:rPr>
        <w:t xml:space="preserve"> pro Český výbor ICOM, z.s.</w:t>
      </w:r>
    </w:p>
    <w:p w14:paraId="715196D9" w14:textId="77777777" w:rsidR="00ED51F3" w:rsidRPr="009A7CC7" w:rsidRDefault="00ED51F3" w:rsidP="00ED51F3">
      <w:pPr>
        <w:spacing w:after="0" w:line="240" w:lineRule="auto"/>
        <w:jc w:val="both"/>
        <w:rPr>
          <w:rFonts w:eastAsia="Times New Roman" w:cstheme="minorHAnsi"/>
          <w:lang w:eastAsia="cs-CZ"/>
        </w:rPr>
      </w:pPr>
    </w:p>
    <w:p w14:paraId="6214F1A6" w14:textId="77777777" w:rsidR="00ED51F3" w:rsidRPr="0082664B" w:rsidRDefault="00ED51F3" w:rsidP="00ED51F3">
      <w:pPr>
        <w:spacing w:after="0" w:line="240" w:lineRule="auto"/>
        <w:jc w:val="both"/>
        <w:rPr>
          <w:rFonts w:eastAsia="Times New Roman" w:cstheme="minorHAnsi"/>
          <w:b/>
          <w:lang w:eastAsia="cs-CZ"/>
        </w:rPr>
      </w:pPr>
      <w:bookmarkStart w:id="19" w:name="_Hlk96680724"/>
      <w:r w:rsidRPr="0082664B">
        <w:rPr>
          <w:rFonts w:eastAsia="Times New Roman" w:cstheme="minorHAnsi"/>
          <w:b/>
          <w:lang w:eastAsia="cs-CZ"/>
        </w:rPr>
        <w:t>§ 3321 – Činnosti památkových ústavů, hradů a zámků – příspěvek příspěvkovým organizacím</w:t>
      </w:r>
    </w:p>
    <w:p w14:paraId="58876005" w14:textId="0754DE6F" w:rsidR="00ED51F3" w:rsidRPr="0082664B" w:rsidRDefault="00ED51F3" w:rsidP="00ED51F3">
      <w:pPr>
        <w:spacing w:after="0" w:line="240" w:lineRule="auto"/>
        <w:jc w:val="both"/>
        <w:rPr>
          <w:rFonts w:eastAsia="Times New Roman" w:cstheme="minorHAnsi"/>
          <w:color w:val="000000"/>
          <w:lang w:eastAsia="cs-CZ"/>
        </w:rPr>
      </w:pPr>
      <w:r w:rsidRPr="0082664B">
        <w:rPr>
          <w:rFonts w:eastAsia="Times New Roman" w:cstheme="minorHAnsi"/>
          <w:color w:val="000000"/>
          <w:lang w:eastAsia="cs-CZ"/>
        </w:rPr>
        <w:t>Schválený rozpočet</w:t>
      </w:r>
      <w:r>
        <w:rPr>
          <w:rFonts w:eastAsia="Times New Roman" w:cstheme="minorHAnsi"/>
          <w:color w:val="000000"/>
          <w:lang w:eastAsia="cs-CZ"/>
        </w:rPr>
        <w:t xml:space="preserve"> na mzdové výdaje pro příspěvkovou organizaci</w:t>
      </w:r>
      <w:r w:rsidRPr="00D755DF">
        <w:rPr>
          <w:rFonts w:eastAsia="Times New Roman" w:cstheme="minorHAnsi"/>
          <w:color w:val="000000"/>
          <w:lang w:eastAsia="cs-CZ"/>
        </w:rPr>
        <w:t xml:space="preserve"> </w:t>
      </w:r>
      <w:r w:rsidRPr="0082664B">
        <w:rPr>
          <w:rFonts w:eastAsia="Times New Roman" w:cstheme="minorHAnsi"/>
          <w:color w:val="000000"/>
          <w:lang w:eastAsia="cs-CZ"/>
        </w:rPr>
        <w:t>Ústav archeologické památkové péče středních Čech, p. o. ve výši 16 214 000,00 Kč</w:t>
      </w:r>
      <w:r>
        <w:rPr>
          <w:rFonts w:eastAsia="Times New Roman" w:cstheme="minorHAnsi"/>
          <w:color w:val="000000"/>
          <w:lang w:eastAsia="cs-CZ"/>
        </w:rPr>
        <w:t xml:space="preserve"> byl navýšen v</w:t>
      </w:r>
      <w:r w:rsidRPr="0082664B">
        <w:rPr>
          <w:rFonts w:eastAsia="Times New Roman" w:cstheme="minorHAnsi"/>
          <w:color w:val="000000"/>
          <w:lang w:eastAsia="cs-CZ"/>
        </w:rPr>
        <w:t xml:space="preserve"> souladu s usnesením č. 031</w:t>
      </w:r>
      <w:r>
        <w:rPr>
          <w:rFonts w:eastAsia="Times New Roman" w:cstheme="minorHAnsi"/>
          <w:color w:val="000000"/>
          <w:lang w:eastAsia="cs-CZ"/>
        </w:rPr>
        <w:t>-14/2021/RK ze dne 25. 3. 2021 o částku</w:t>
      </w:r>
      <w:r w:rsidRPr="0082664B">
        <w:rPr>
          <w:rFonts w:eastAsia="Times New Roman" w:cstheme="minorHAnsi"/>
          <w:color w:val="000000"/>
          <w:lang w:eastAsia="cs-CZ"/>
        </w:rPr>
        <w:t xml:space="preserve"> 400</w:t>
      </w:r>
      <w:r>
        <w:rPr>
          <w:rFonts w:eastAsia="Times New Roman" w:cstheme="minorHAnsi"/>
          <w:color w:val="000000"/>
          <w:lang w:eastAsia="cs-CZ"/>
        </w:rPr>
        <w:t xml:space="preserve"> 000 Kč (převod z kapitoly 23 – Ostatní, specifické rezervy – rezerva na krytí propadu daňových příjmů)</w:t>
      </w:r>
      <w:r w:rsidRPr="0082664B">
        <w:rPr>
          <w:rFonts w:eastAsia="Times New Roman" w:cstheme="minorHAnsi"/>
          <w:color w:val="000000"/>
          <w:lang w:eastAsia="cs-CZ"/>
        </w:rPr>
        <w:t xml:space="preserve">. Mzdové prostředky byly dále navýšeny o </w:t>
      </w:r>
      <w:r>
        <w:rPr>
          <w:rFonts w:eastAsia="Times New Roman" w:cstheme="minorHAnsi"/>
          <w:color w:val="000000"/>
          <w:lang w:eastAsia="cs-CZ"/>
        </w:rPr>
        <w:t>703 360</w:t>
      </w:r>
      <w:r w:rsidRPr="0082664B">
        <w:rPr>
          <w:rFonts w:eastAsia="Times New Roman" w:cstheme="minorHAnsi"/>
          <w:color w:val="000000"/>
          <w:lang w:eastAsia="cs-CZ"/>
        </w:rPr>
        <w:t>,00 Kč (usnesení č. 033-26/2021/RK ze dne 17. 6. 2021</w:t>
      </w:r>
      <w:r>
        <w:rPr>
          <w:rFonts w:eastAsia="Times New Roman" w:cstheme="minorHAnsi"/>
          <w:color w:val="000000"/>
          <w:lang w:eastAsia="cs-CZ"/>
        </w:rPr>
        <w:t>,</w:t>
      </w:r>
      <w:r w:rsidRPr="002857AA">
        <w:t xml:space="preserve"> </w:t>
      </w:r>
      <w:r>
        <w:t xml:space="preserve">č. </w:t>
      </w:r>
      <w:r w:rsidRPr="002857AA">
        <w:rPr>
          <w:rFonts w:eastAsia="Times New Roman" w:cstheme="minorHAnsi"/>
          <w:color w:val="000000"/>
          <w:lang w:eastAsia="cs-CZ"/>
        </w:rPr>
        <w:t>062-45/2021/RK ze dne 2.12.2021</w:t>
      </w:r>
      <w:r>
        <w:rPr>
          <w:rFonts w:eastAsia="Times New Roman" w:cstheme="minorHAnsi"/>
          <w:color w:val="000000"/>
          <w:lang w:eastAsia="cs-CZ"/>
        </w:rPr>
        <w:t xml:space="preserve"> - převod v rámci kapitoly 06 - Kultura a památková péče</w:t>
      </w:r>
      <w:r w:rsidRPr="0082664B">
        <w:rPr>
          <w:rFonts w:eastAsia="Times New Roman" w:cstheme="minorHAnsi"/>
          <w:color w:val="000000"/>
          <w:lang w:eastAsia="cs-CZ"/>
        </w:rPr>
        <w:t xml:space="preserve">). </w:t>
      </w:r>
      <w:r w:rsidRPr="00A831C9">
        <w:rPr>
          <w:rFonts w:eastAsia="Times New Roman" w:cstheme="minorHAnsi"/>
          <w:color w:val="000000"/>
          <w:lang w:eastAsia="cs-CZ"/>
        </w:rPr>
        <w:t>Příspěvek na provoz byl navýšen o částku 80 000,00 Kč dle usnesení č. 093-47/2021/RK ze dne 16.</w:t>
      </w:r>
      <w:r w:rsidR="008C62A3">
        <w:rPr>
          <w:rFonts w:eastAsia="Times New Roman" w:cstheme="minorHAnsi"/>
          <w:color w:val="000000"/>
          <w:lang w:eastAsia="cs-CZ"/>
        </w:rPr>
        <w:t xml:space="preserve"> </w:t>
      </w:r>
      <w:r w:rsidRPr="00A831C9">
        <w:rPr>
          <w:rFonts w:eastAsia="Times New Roman" w:cstheme="minorHAnsi"/>
          <w:color w:val="000000"/>
          <w:lang w:eastAsia="cs-CZ"/>
        </w:rPr>
        <w:t>12.</w:t>
      </w:r>
      <w:r w:rsidR="008C62A3">
        <w:rPr>
          <w:rFonts w:eastAsia="Times New Roman" w:cstheme="minorHAnsi"/>
          <w:color w:val="000000"/>
          <w:lang w:eastAsia="cs-CZ"/>
        </w:rPr>
        <w:t xml:space="preserve"> </w:t>
      </w:r>
      <w:r w:rsidRPr="00A831C9">
        <w:rPr>
          <w:rFonts w:eastAsia="Times New Roman" w:cstheme="minorHAnsi"/>
          <w:color w:val="000000"/>
          <w:lang w:eastAsia="cs-CZ"/>
        </w:rPr>
        <w:t>2021 na vybavení pro práci se sociálními sítěmi</w:t>
      </w:r>
      <w:r>
        <w:rPr>
          <w:rFonts w:eastAsia="Times New Roman" w:cstheme="minorHAnsi"/>
          <w:color w:val="000000"/>
          <w:lang w:eastAsia="cs-CZ"/>
        </w:rPr>
        <w:t>.</w:t>
      </w:r>
      <w:r w:rsidRPr="00A831C9">
        <w:rPr>
          <w:rFonts w:eastAsia="Times New Roman" w:cstheme="minorHAnsi"/>
          <w:color w:val="000000"/>
          <w:lang w:eastAsia="cs-CZ"/>
        </w:rPr>
        <w:t xml:space="preserve"> </w:t>
      </w:r>
      <w:r w:rsidRPr="0092219C">
        <w:rPr>
          <w:rFonts w:eastAsia="Times New Roman" w:cstheme="minorHAnsi"/>
          <w:color w:val="000000"/>
          <w:lang w:eastAsia="cs-CZ"/>
        </w:rPr>
        <w:t>Příspěvek na</w:t>
      </w:r>
      <w:r>
        <w:rPr>
          <w:rFonts w:eastAsia="Times New Roman" w:cstheme="minorHAnsi"/>
          <w:color w:val="000000"/>
          <w:lang w:eastAsia="cs-CZ"/>
        </w:rPr>
        <w:t xml:space="preserve"> provoz a</w:t>
      </w:r>
      <w:r w:rsidRPr="0092219C">
        <w:rPr>
          <w:rFonts w:eastAsia="Times New Roman" w:cstheme="minorHAnsi"/>
          <w:color w:val="000000"/>
          <w:lang w:eastAsia="cs-CZ"/>
        </w:rPr>
        <w:t xml:space="preserve"> mzdové výdaje byl Ústavu archeologické památkové péče středních Čech, p. o. poskytnut v roce 202</w:t>
      </w:r>
      <w:r>
        <w:rPr>
          <w:rFonts w:eastAsia="Times New Roman" w:cstheme="minorHAnsi"/>
          <w:color w:val="000000"/>
          <w:lang w:eastAsia="cs-CZ"/>
        </w:rPr>
        <w:t>1</w:t>
      </w:r>
      <w:r w:rsidRPr="0092219C">
        <w:rPr>
          <w:rFonts w:eastAsia="Times New Roman" w:cstheme="minorHAnsi"/>
          <w:color w:val="000000"/>
          <w:lang w:eastAsia="cs-CZ"/>
        </w:rPr>
        <w:t xml:space="preserve"> v souladu s rozepsaným rozpočtem ve výši</w:t>
      </w:r>
      <w:r w:rsidRPr="0082664B">
        <w:rPr>
          <w:rFonts w:eastAsia="Times New Roman" w:cstheme="minorHAnsi"/>
          <w:color w:val="000000"/>
          <w:lang w:eastAsia="cs-CZ"/>
        </w:rPr>
        <w:t xml:space="preserve"> </w:t>
      </w:r>
      <w:r>
        <w:rPr>
          <w:rFonts w:eastAsia="Times New Roman" w:cstheme="minorHAnsi"/>
          <w:color w:val="000000"/>
          <w:lang w:eastAsia="cs-CZ"/>
        </w:rPr>
        <w:t xml:space="preserve">17 397 360,00 Kč, </w:t>
      </w:r>
      <w:r w:rsidRPr="0082664B">
        <w:rPr>
          <w:rFonts w:eastAsia="Times New Roman" w:cstheme="minorHAnsi"/>
          <w:color w:val="000000"/>
          <w:lang w:eastAsia="cs-CZ"/>
        </w:rPr>
        <w:t xml:space="preserve">je </w:t>
      </w:r>
      <w:r>
        <w:rPr>
          <w:rFonts w:eastAsia="Times New Roman" w:cstheme="minorHAnsi"/>
          <w:color w:val="000000"/>
          <w:lang w:eastAsia="cs-CZ"/>
        </w:rPr>
        <w:t>vyčerpáno 100,0 %</w:t>
      </w:r>
      <w:r w:rsidRPr="0082664B">
        <w:rPr>
          <w:rFonts w:eastAsia="Times New Roman" w:cstheme="minorHAnsi"/>
          <w:color w:val="000000"/>
          <w:lang w:eastAsia="cs-CZ"/>
        </w:rPr>
        <w:t>.</w:t>
      </w:r>
    </w:p>
    <w:bookmarkEnd w:id="19"/>
    <w:p w14:paraId="5C7B7D2D" w14:textId="77777777" w:rsidR="00ED51F3" w:rsidRDefault="00ED51F3" w:rsidP="00ED51F3">
      <w:pPr>
        <w:spacing w:after="0" w:line="240" w:lineRule="auto"/>
        <w:jc w:val="both"/>
        <w:rPr>
          <w:rFonts w:eastAsia="Times New Roman" w:cstheme="minorHAnsi"/>
          <w:color w:val="000000"/>
          <w:lang w:eastAsia="cs-CZ"/>
        </w:rPr>
      </w:pPr>
    </w:p>
    <w:p w14:paraId="087E0DA1" w14:textId="77777777" w:rsidR="00ED51F3" w:rsidRPr="0082664B" w:rsidRDefault="00ED51F3" w:rsidP="00ED51F3">
      <w:pPr>
        <w:spacing w:after="0" w:line="240" w:lineRule="auto"/>
        <w:jc w:val="both"/>
        <w:rPr>
          <w:rFonts w:eastAsia="Times New Roman" w:cstheme="minorHAnsi"/>
          <w:b/>
          <w:lang w:eastAsia="cs-CZ"/>
        </w:rPr>
      </w:pPr>
      <w:r w:rsidRPr="0082664B">
        <w:rPr>
          <w:rFonts w:eastAsia="Times New Roman" w:cstheme="minorHAnsi"/>
          <w:b/>
          <w:lang w:eastAsia="cs-CZ"/>
        </w:rPr>
        <w:t xml:space="preserve">§ 3321 – </w:t>
      </w:r>
      <w:r w:rsidRPr="00851F4C">
        <w:rPr>
          <w:rFonts w:eastAsia="Times New Roman" w:cstheme="minorHAnsi"/>
          <w:b/>
          <w:lang w:eastAsia="cs-CZ"/>
        </w:rPr>
        <w:t>Zajištění postupného naplňování Koncepce rozšíření provozu IC keltské kultury 2022-2026</w:t>
      </w:r>
    </w:p>
    <w:p w14:paraId="66DD8AA4" w14:textId="7786ACC5" w:rsidR="00ED51F3" w:rsidRPr="0082664B" w:rsidRDefault="00ED51F3" w:rsidP="00ED51F3">
      <w:pPr>
        <w:spacing w:after="0" w:line="240" w:lineRule="auto"/>
        <w:jc w:val="both"/>
        <w:rPr>
          <w:rFonts w:eastAsia="Times New Roman" w:cstheme="minorHAnsi"/>
          <w:color w:val="000000"/>
          <w:lang w:eastAsia="cs-CZ"/>
        </w:rPr>
      </w:pPr>
      <w:r>
        <w:rPr>
          <w:rFonts w:eastAsia="Times New Roman" w:cstheme="minorHAnsi"/>
          <w:color w:val="000000"/>
          <w:lang w:eastAsia="cs-CZ"/>
        </w:rPr>
        <w:t>Upravený</w:t>
      </w:r>
      <w:r w:rsidRPr="0082664B">
        <w:rPr>
          <w:rFonts w:eastAsia="Times New Roman" w:cstheme="minorHAnsi"/>
          <w:color w:val="000000"/>
          <w:lang w:eastAsia="cs-CZ"/>
        </w:rPr>
        <w:t xml:space="preserve"> rozpočet</w:t>
      </w:r>
      <w:r>
        <w:rPr>
          <w:rFonts w:eastAsia="Times New Roman" w:cstheme="minorHAnsi"/>
          <w:color w:val="000000"/>
          <w:lang w:eastAsia="cs-CZ"/>
        </w:rPr>
        <w:t xml:space="preserve"> ve výši 440 000,00 Kč na základě usnesení č. </w:t>
      </w:r>
      <w:r w:rsidRPr="00E46990">
        <w:rPr>
          <w:rFonts w:eastAsia="Times New Roman" w:cstheme="minorHAnsi"/>
          <w:color w:val="000000"/>
          <w:lang w:eastAsia="cs-CZ"/>
        </w:rPr>
        <w:t>056-46/2021/RK ze dne 9.</w:t>
      </w:r>
      <w:r w:rsidR="008C62A3">
        <w:rPr>
          <w:rFonts w:eastAsia="Times New Roman" w:cstheme="minorHAnsi"/>
          <w:color w:val="000000"/>
          <w:lang w:eastAsia="cs-CZ"/>
        </w:rPr>
        <w:t xml:space="preserve"> </w:t>
      </w:r>
      <w:r w:rsidRPr="00E46990">
        <w:rPr>
          <w:rFonts w:eastAsia="Times New Roman" w:cstheme="minorHAnsi"/>
          <w:color w:val="000000"/>
          <w:lang w:eastAsia="cs-CZ"/>
        </w:rPr>
        <w:t>12.</w:t>
      </w:r>
      <w:r w:rsidR="008C62A3">
        <w:rPr>
          <w:rFonts w:eastAsia="Times New Roman" w:cstheme="minorHAnsi"/>
          <w:color w:val="000000"/>
          <w:lang w:eastAsia="cs-CZ"/>
        </w:rPr>
        <w:t xml:space="preserve"> </w:t>
      </w:r>
      <w:r w:rsidRPr="00E46990">
        <w:rPr>
          <w:rFonts w:eastAsia="Times New Roman" w:cstheme="minorHAnsi"/>
          <w:color w:val="000000"/>
          <w:lang w:eastAsia="cs-CZ"/>
        </w:rPr>
        <w:t>2021</w:t>
      </w:r>
      <w:r>
        <w:rPr>
          <w:rFonts w:eastAsia="Times New Roman" w:cstheme="minorHAnsi"/>
          <w:color w:val="000000"/>
          <w:lang w:eastAsia="cs-CZ"/>
        </w:rPr>
        <w:t xml:space="preserve">. Prostředky jsou určeny pro </w:t>
      </w:r>
      <w:r w:rsidRPr="00E46990">
        <w:rPr>
          <w:rFonts w:eastAsia="Times New Roman" w:cstheme="minorHAnsi"/>
          <w:color w:val="000000"/>
          <w:lang w:eastAsia="cs-CZ"/>
        </w:rPr>
        <w:t>Ústav archeologické památkové péče středních Čech, p. o. na výdaje roku 2022 v souvislosti se zajištěním postupného naplňování Koncepce rozšíření provozu Informačního centra keltské kultury na léta 2022-2026 s výhledem do roku 2030 dle přijatého usnesením č. 067-41/2021/RK ze dne 4. 11. 2021. V rámci schválené koncepce b</w:t>
      </w:r>
      <w:r w:rsidR="00A7208A">
        <w:rPr>
          <w:rFonts w:eastAsia="Times New Roman" w:cstheme="minorHAnsi"/>
          <w:color w:val="000000"/>
          <w:lang w:eastAsia="cs-CZ"/>
        </w:rPr>
        <w:t>yly</w:t>
      </w:r>
      <w:r w:rsidRPr="00E46990">
        <w:rPr>
          <w:rFonts w:eastAsia="Times New Roman" w:cstheme="minorHAnsi"/>
          <w:color w:val="000000"/>
          <w:lang w:eastAsia="cs-CZ"/>
        </w:rPr>
        <w:t xml:space="preserve"> přidělené prostředky ve výši 200 000,00 Kč určeny na zhotovení nových informačních tabulí na oppidech Stradonice a Hrazany</w:t>
      </w:r>
      <w:r w:rsidR="008C62A3">
        <w:rPr>
          <w:rFonts w:eastAsia="Times New Roman" w:cstheme="minorHAnsi"/>
          <w:color w:val="000000"/>
          <w:lang w:eastAsia="cs-CZ"/>
        </w:rPr>
        <w:t>,</w:t>
      </w:r>
      <w:r w:rsidRPr="00E46990">
        <w:rPr>
          <w:rFonts w:eastAsia="Times New Roman" w:cstheme="minorHAnsi"/>
          <w:color w:val="000000"/>
          <w:lang w:eastAsia="cs-CZ"/>
        </w:rPr>
        <w:t xml:space="preserve"> prostředky ve výši 240 000,00 Kč určeny na aktualizaci a doplnění informačních materiálů pro návštěvníky – tisk brožur i tabule outdoor</w:t>
      </w:r>
      <w:r>
        <w:rPr>
          <w:rFonts w:eastAsia="Times New Roman" w:cstheme="minorHAnsi"/>
          <w:color w:val="000000"/>
          <w:lang w:eastAsia="cs-CZ"/>
        </w:rPr>
        <w:t>. Čerpání je 100,0 %</w:t>
      </w:r>
      <w:r w:rsidRPr="0082664B">
        <w:rPr>
          <w:rFonts w:eastAsia="Times New Roman" w:cstheme="minorHAnsi"/>
          <w:color w:val="000000"/>
          <w:lang w:eastAsia="cs-CZ"/>
        </w:rPr>
        <w:t>.</w:t>
      </w:r>
    </w:p>
    <w:p w14:paraId="5C1C9569" w14:textId="77777777" w:rsidR="00ED51F3" w:rsidRPr="0082664B" w:rsidRDefault="00ED51F3" w:rsidP="00ED51F3">
      <w:pPr>
        <w:spacing w:after="0" w:line="240" w:lineRule="auto"/>
        <w:jc w:val="both"/>
        <w:rPr>
          <w:rFonts w:eastAsia="Times New Roman" w:cstheme="minorHAnsi"/>
          <w:color w:val="000000"/>
          <w:lang w:eastAsia="cs-CZ"/>
        </w:rPr>
      </w:pPr>
    </w:p>
    <w:p w14:paraId="4F9CC332" w14:textId="77777777" w:rsidR="00ED51F3" w:rsidRPr="0082664B" w:rsidRDefault="00ED51F3" w:rsidP="00ED51F3">
      <w:pPr>
        <w:spacing w:after="0" w:line="240" w:lineRule="auto"/>
        <w:jc w:val="both"/>
        <w:rPr>
          <w:rFonts w:eastAsia="Times New Roman" w:cstheme="minorHAnsi"/>
          <w:b/>
          <w:lang w:eastAsia="cs-CZ"/>
        </w:rPr>
      </w:pPr>
      <w:r w:rsidRPr="0082664B">
        <w:rPr>
          <w:rFonts w:eastAsia="Times New Roman" w:cstheme="minorHAnsi"/>
          <w:b/>
          <w:lang w:eastAsia="cs-CZ"/>
        </w:rPr>
        <w:t xml:space="preserve">§ </w:t>
      </w:r>
      <w:r>
        <w:rPr>
          <w:rFonts w:eastAsia="Times New Roman" w:cstheme="minorHAnsi"/>
          <w:b/>
          <w:lang w:eastAsia="cs-CZ"/>
        </w:rPr>
        <w:t xml:space="preserve">3315, </w:t>
      </w:r>
      <w:r w:rsidRPr="0082664B">
        <w:rPr>
          <w:rFonts w:eastAsia="Times New Roman" w:cstheme="minorHAnsi"/>
          <w:b/>
          <w:lang w:eastAsia="cs-CZ"/>
        </w:rPr>
        <w:t>3321 – Archeologické výzkumy a nálezy</w:t>
      </w:r>
    </w:p>
    <w:p w14:paraId="4BF93E23" w14:textId="3A063080" w:rsidR="00ED51F3" w:rsidRPr="0082664B" w:rsidRDefault="00ED51F3" w:rsidP="00ED51F3">
      <w:pPr>
        <w:spacing w:after="0" w:line="240" w:lineRule="auto"/>
        <w:jc w:val="both"/>
        <w:rPr>
          <w:rFonts w:eastAsia="Times New Roman" w:cstheme="minorHAnsi"/>
          <w:lang w:eastAsia="cs-CZ"/>
        </w:rPr>
      </w:pPr>
      <w:r w:rsidRPr="0082664B">
        <w:rPr>
          <w:rFonts w:eastAsia="Times New Roman" w:cstheme="minorHAnsi"/>
          <w:lang w:eastAsia="cs-CZ"/>
        </w:rPr>
        <w:t xml:space="preserve">Pro rok 2021 byl schválen rozpočet ve výši 600 000,00 Kč. Rozdělením zůstatku hospodaření z roku 2020 </w:t>
      </w:r>
      <w:r>
        <w:rPr>
          <w:rFonts w:eastAsia="Times New Roman" w:cstheme="minorHAnsi"/>
          <w:lang w:eastAsia="cs-CZ"/>
        </w:rPr>
        <w:t>(usnesení</w:t>
      </w:r>
      <w:r w:rsidRPr="0082664B">
        <w:rPr>
          <w:rFonts w:eastAsia="Times New Roman" w:cstheme="minorHAnsi"/>
          <w:lang w:eastAsia="cs-CZ"/>
        </w:rPr>
        <w:t xml:space="preserve"> č. 007-06/2021/ZK ze dne 26. 4. 2021</w:t>
      </w:r>
      <w:r>
        <w:rPr>
          <w:rFonts w:eastAsia="Times New Roman" w:cstheme="minorHAnsi"/>
          <w:lang w:eastAsia="cs-CZ"/>
        </w:rPr>
        <w:t xml:space="preserve">) </w:t>
      </w:r>
      <w:r w:rsidRPr="0082664B">
        <w:rPr>
          <w:rFonts w:eastAsia="Times New Roman" w:cstheme="minorHAnsi"/>
          <w:lang w:eastAsia="cs-CZ"/>
        </w:rPr>
        <w:t xml:space="preserve">byly prostředky posíleny o částku 201 095,42 Kč. Finanční prostředky jsou určeny na výplaty nálezného za archeologické nálezy, na úhradu odborných posudků na předměty s historickou hodnotou a na podporu neinvestičních záchranných archeologických výzkumů na území Středočeského kraje. </w:t>
      </w:r>
    </w:p>
    <w:p w14:paraId="33D1B0EA" w14:textId="5FDAB95A" w:rsidR="00ED51F3" w:rsidRPr="0082664B" w:rsidRDefault="00ED51F3" w:rsidP="00ED51F3">
      <w:pPr>
        <w:spacing w:after="0" w:line="240" w:lineRule="auto"/>
        <w:jc w:val="both"/>
        <w:rPr>
          <w:rFonts w:eastAsia="Times New Roman" w:cstheme="minorHAnsi"/>
          <w:lang w:eastAsia="cs-CZ"/>
        </w:rPr>
      </w:pPr>
      <w:r w:rsidRPr="0082664B">
        <w:rPr>
          <w:rFonts w:eastAsia="Times New Roman" w:cstheme="minorHAnsi"/>
          <w:lang w:eastAsia="cs-CZ"/>
        </w:rPr>
        <w:t>V</w:t>
      </w:r>
      <w:r>
        <w:rPr>
          <w:rFonts w:eastAsia="Times New Roman" w:cstheme="minorHAnsi"/>
          <w:lang w:eastAsia="cs-CZ"/>
        </w:rPr>
        <w:t xml:space="preserve"> roce </w:t>
      </w:r>
      <w:r w:rsidRPr="0082664B">
        <w:rPr>
          <w:rFonts w:eastAsia="Times New Roman" w:cstheme="minorHAnsi"/>
          <w:lang w:eastAsia="cs-CZ"/>
        </w:rPr>
        <w:t>2021 byly vyplaceny odměny za předání archeologického nálezu v celkové výši 60 000,00 pro Jakuba a Lukáše Slámu.</w:t>
      </w:r>
      <w:r w:rsidRPr="00CD4E42">
        <w:t xml:space="preserve"> </w:t>
      </w:r>
      <w:r>
        <w:t>B</w:t>
      </w:r>
      <w:r w:rsidRPr="00CD4E42">
        <w:t xml:space="preserve">yly přiděleny prostředky ve výši </w:t>
      </w:r>
      <w:r>
        <w:t xml:space="preserve">410 210,00 Kč </w:t>
      </w:r>
      <w:r w:rsidRPr="00CD4E42">
        <w:t>na podporu neinvestičních záchranných archeologických výzkumů</w:t>
      </w:r>
      <w:r>
        <w:t xml:space="preserve"> </w:t>
      </w:r>
      <w:r w:rsidRPr="00CD4E42">
        <w:t>pro příspěvkové organizace</w:t>
      </w:r>
      <w:r>
        <w:t xml:space="preserve"> (usnesení </w:t>
      </w:r>
      <w:r w:rsidRPr="00073B3C">
        <w:t>č. 069-30/2021/RK ze dne 29.</w:t>
      </w:r>
      <w:r w:rsidR="00E31559">
        <w:t xml:space="preserve"> </w:t>
      </w:r>
      <w:r w:rsidRPr="00073B3C">
        <w:t>7.</w:t>
      </w:r>
      <w:r w:rsidR="00E31559">
        <w:t xml:space="preserve"> </w:t>
      </w:r>
      <w:r w:rsidRPr="00073B3C">
        <w:t>2021</w:t>
      </w:r>
      <w:r>
        <w:t xml:space="preserve"> a č. </w:t>
      </w:r>
      <w:r w:rsidRPr="00073B3C">
        <w:t>055-46/2021/RK ze dne 9.</w:t>
      </w:r>
      <w:r w:rsidR="00E31559">
        <w:t xml:space="preserve"> </w:t>
      </w:r>
      <w:r w:rsidRPr="00073B3C">
        <w:t>12.</w:t>
      </w:r>
      <w:r w:rsidR="00E31559">
        <w:t xml:space="preserve"> </w:t>
      </w:r>
      <w:r w:rsidRPr="00073B3C">
        <w:t>2021</w:t>
      </w:r>
      <w:r>
        <w:t>).</w:t>
      </w:r>
      <w:r w:rsidRPr="00CD4E42">
        <w:t xml:space="preserve"> </w:t>
      </w:r>
      <w:r>
        <w:t>N</w:t>
      </w:r>
      <w:r w:rsidRPr="00BA0B27">
        <w:t>a úhradu</w:t>
      </w:r>
      <w:r>
        <w:t xml:space="preserve"> za znalecké posudky nálezů</w:t>
      </w:r>
      <w:r w:rsidRPr="00BA0B27">
        <w:t xml:space="preserve"> byly převedeny prostředky ve výši </w:t>
      </w:r>
      <w:r>
        <w:t>44</w:t>
      </w:r>
      <w:r w:rsidRPr="00BA0B27">
        <w:t xml:space="preserve"> </w:t>
      </w:r>
      <w:r>
        <w:t>528</w:t>
      </w:r>
      <w:r w:rsidRPr="00BA0B27">
        <w:t xml:space="preserve">,00 Kč rozpočtovou úpravou č. </w:t>
      </w:r>
      <w:r>
        <w:t>390</w:t>
      </w:r>
      <w:r w:rsidRPr="00BA0B27">
        <w:t>/06/202</w:t>
      </w:r>
      <w:r>
        <w:t>1 a č. 465/06/2021</w:t>
      </w:r>
      <w:r w:rsidRPr="00BA0B27">
        <w:t xml:space="preserve"> projednanou s příslušným členem </w:t>
      </w:r>
      <w:r w:rsidR="00A7208A">
        <w:t>r</w:t>
      </w:r>
      <w:r w:rsidRPr="00BA0B27">
        <w:t>ady kraje</w:t>
      </w:r>
      <w:r>
        <w:t xml:space="preserve">. </w:t>
      </w:r>
      <w:r w:rsidRPr="00D11B0B">
        <w:t>V roce 202</w:t>
      </w:r>
      <w:r>
        <w:t>1</w:t>
      </w:r>
      <w:r w:rsidRPr="00D11B0B">
        <w:t xml:space="preserve"> byla také vyplacena odměna za archeologický nález – depot mincí z období raného novověku, k. ú. Hrachov, panu Danielu Drahuskému, bytem Milevsko</w:t>
      </w:r>
      <w:r>
        <w:t xml:space="preserve"> </w:t>
      </w:r>
      <w:r w:rsidRPr="00D11B0B">
        <w:t>ve výši 126 180,00 Kč</w:t>
      </w:r>
      <w:r>
        <w:t xml:space="preserve">. </w:t>
      </w:r>
      <w:r w:rsidRPr="0082664B">
        <w:rPr>
          <w:rFonts w:eastAsia="Times New Roman" w:cstheme="minorHAnsi"/>
          <w:lang w:eastAsia="cs-CZ"/>
        </w:rPr>
        <w:t xml:space="preserve">Finanční prostředky byly čerpány na </w:t>
      </w:r>
      <w:r>
        <w:rPr>
          <w:rFonts w:eastAsia="Times New Roman" w:cstheme="minorHAnsi"/>
          <w:lang w:eastAsia="cs-CZ"/>
        </w:rPr>
        <w:t>80,0</w:t>
      </w:r>
      <w:r w:rsidRPr="0082664B">
        <w:rPr>
          <w:rFonts w:eastAsia="Times New Roman" w:cstheme="minorHAnsi"/>
          <w:lang w:eastAsia="cs-CZ"/>
        </w:rPr>
        <w:t xml:space="preserve"> % a jejich čerpání je v závislosti na četnosti náhodných archeologických nálezů na území Středočeského kraje a na počtu realizovaných </w:t>
      </w:r>
      <w:bookmarkStart w:id="20" w:name="_Hlk96682738"/>
      <w:r w:rsidRPr="0082664B">
        <w:rPr>
          <w:rFonts w:eastAsia="Times New Roman" w:cstheme="minorHAnsi"/>
          <w:lang w:eastAsia="cs-CZ"/>
        </w:rPr>
        <w:t xml:space="preserve">záchranných archeologických výzkumů příspěvkovými organizacemi, </w:t>
      </w:r>
      <w:r w:rsidRPr="00CD4E42">
        <w:rPr>
          <w:rFonts w:eastAsia="Times New Roman" w:cstheme="minorHAnsi"/>
          <w:lang w:eastAsia="cs-CZ"/>
        </w:rPr>
        <w:t>které jim jsou kompenzovány</w:t>
      </w:r>
      <w:r>
        <w:rPr>
          <w:rFonts w:eastAsia="Times New Roman" w:cstheme="minorHAnsi"/>
          <w:lang w:eastAsia="cs-CZ"/>
        </w:rPr>
        <w:t xml:space="preserve"> v souladu Metodickým pokynem </w:t>
      </w:r>
      <w:r w:rsidRPr="0082664B">
        <w:rPr>
          <w:rFonts w:eastAsia="Times New Roman" w:cstheme="minorHAnsi"/>
          <w:lang w:eastAsia="cs-CZ"/>
        </w:rPr>
        <w:t>č. 2/KUL/2018 Odboru kultury a památkové péče</w:t>
      </w:r>
      <w:bookmarkEnd w:id="20"/>
      <w:r>
        <w:rPr>
          <w:rFonts w:eastAsia="Times New Roman" w:cstheme="minorHAnsi"/>
          <w:lang w:eastAsia="cs-CZ"/>
        </w:rPr>
        <w:t>.</w:t>
      </w:r>
    </w:p>
    <w:p w14:paraId="0E7CBF94" w14:textId="77777777" w:rsidR="00ED51F3" w:rsidRPr="0082664B" w:rsidRDefault="00ED51F3" w:rsidP="00ED51F3">
      <w:pPr>
        <w:spacing w:after="0" w:line="240" w:lineRule="auto"/>
        <w:jc w:val="both"/>
        <w:rPr>
          <w:rFonts w:eastAsia="Times New Roman" w:cstheme="minorHAnsi"/>
          <w:lang w:eastAsia="cs-CZ"/>
        </w:rPr>
      </w:pPr>
    </w:p>
    <w:p w14:paraId="62CE3794" w14:textId="77777777" w:rsidR="00ED51F3" w:rsidRPr="0082664B" w:rsidRDefault="00ED51F3" w:rsidP="00ED51F3">
      <w:pPr>
        <w:spacing w:after="0" w:line="240" w:lineRule="auto"/>
        <w:jc w:val="both"/>
        <w:rPr>
          <w:rFonts w:eastAsia="Times New Roman" w:cstheme="minorHAnsi"/>
          <w:b/>
          <w:lang w:eastAsia="cs-CZ"/>
        </w:rPr>
      </w:pPr>
      <w:r w:rsidRPr="0082664B">
        <w:rPr>
          <w:rFonts w:eastAsia="Times New Roman" w:cstheme="minorHAnsi"/>
          <w:b/>
          <w:lang w:eastAsia="cs-CZ"/>
        </w:rPr>
        <w:t>§ 3321 – Vědecko-výzkumné archeologické projekty</w:t>
      </w:r>
    </w:p>
    <w:p w14:paraId="1C37060E" w14:textId="27E63916" w:rsidR="00ED51F3" w:rsidRPr="0082664B" w:rsidRDefault="00ED51F3" w:rsidP="00ED51F3">
      <w:pPr>
        <w:spacing w:after="0" w:line="240" w:lineRule="auto"/>
        <w:jc w:val="both"/>
        <w:rPr>
          <w:rFonts w:eastAsia="Times New Roman" w:cstheme="minorHAnsi"/>
          <w:lang w:eastAsia="cs-CZ"/>
        </w:rPr>
      </w:pPr>
      <w:r w:rsidRPr="0082664B">
        <w:rPr>
          <w:rFonts w:eastAsia="Times New Roman" w:cstheme="minorHAnsi"/>
          <w:lang w:eastAsia="cs-CZ"/>
        </w:rPr>
        <w:t xml:space="preserve">Pro rok 2021 byl schválen rozpočet ve výši 5 000 000,00 Kč na vědecko-výzkumné projekty plánovaných dopravních staveb Středočeského kraje na území s archeologickými nálezy pro Ústav archeologické památkové péče středních Čech, p. o. </w:t>
      </w:r>
      <w:r>
        <w:rPr>
          <w:rFonts w:eastAsia="Times New Roman" w:cstheme="minorHAnsi"/>
          <w:lang w:eastAsia="cs-CZ"/>
        </w:rPr>
        <w:t xml:space="preserve">(dále jen ÚAPPSČ). </w:t>
      </w:r>
      <w:r w:rsidRPr="0082664B">
        <w:rPr>
          <w:rFonts w:eastAsia="Times New Roman" w:cstheme="minorHAnsi"/>
          <w:lang w:eastAsia="cs-CZ"/>
        </w:rPr>
        <w:t>Na základě uzavřen</w:t>
      </w:r>
      <w:r>
        <w:rPr>
          <w:rFonts w:eastAsia="Times New Roman" w:cstheme="minorHAnsi"/>
          <w:lang w:eastAsia="cs-CZ"/>
        </w:rPr>
        <w:t>é smlouvy o koordinaci mezi Krajskou správou a údržbou silnic SK</w:t>
      </w:r>
      <w:r w:rsidRPr="0082664B">
        <w:rPr>
          <w:rFonts w:eastAsia="Times New Roman" w:cstheme="minorHAnsi"/>
          <w:lang w:eastAsia="cs-CZ"/>
        </w:rPr>
        <w:t xml:space="preserve"> a ÚAPPSČ k investiční akci „II/101 Jesenice, obchvat – II. Etapa – stavba“ dle usnesení č. 066-68/2020/RK ze dne 16. 9. 2020 b</w:t>
      </w:r>
      <w:r w:rsidR="00A7208A">
        <w:rPr>
          <w:rFonts w:eastAsia="Times New Roman" w:cstheme="minorHAnsi"/>
          <w:lang w:eastAsia="cs-CZ"/>
        </w:rPr>
        <w:t>yly</w:t>
      </w:r>
      <w:r w:rsidRPr="0082664B">
        <w:rPr>
          <w:rFonts w:eastAsia="Times New Roman" w:cstheme="minorHAnsi"/>
          <w:lang w:eastAsia="cs-CZ"/>
        </w:rPr>
        <w:t xml:space="preserve"> alokované prostředky určeny na financování uvedeného vědecko-výzkumného projektu. V</w:t>
      </w:r>
      <w:r>
        <w:rPr>
          <w:rFonts w:eastAsia="Times New Roman" w:cstheme="minorHAnsi"/>
          <w:lang w:eastAsia="cs-CZ"/>
        </w:rPr>
        <w:t xml:space="preserve"> roce </w:t>
      </w:r>
      <w:r w:rsidRPr="0082664B">
        <w:rPr>
          <w:rFonts w:eastAsia="Times New Roman" w:cstheme="minorHAnsi"/>
          <w:lang w:eastAsia="cs-CZ"/>
        </w:rPr>
        <w:t xml:space="preserve">2021 </w:t>
      </w:r>
      <w:r w:rsidRPr="00151C61">
        <w:rPr>
          <w:rFonts w:eastAsia="Times New Roman" w:cstheme="minorHAnsi"/>
          <w:lang w:eastAsia="cs-CZ"/>
        </w:rPr>
        <w:t>byly čerpány účelově vázané prostředky</w:t>
      </w:r>
      <w:r w:rsidRPr="008272E2">
        <w:t xml:space="preserve"> </w:t>
      </w:r>
      <w:r w:rsidRPr="008272E2">
        <w:rPr>
          <w:rFonts w:eastAsia="Times New Roman" w:cstheme="minorHAnsi"/>
          <w:lang w:eastAsia="cs-CZ"/>
        </w:rPr>
        <w:t>na 100,0 %</w:t>
      </w:r>
      <w:r w:rsidRPr="00151C61">
        <w:rPr>
          <w:rFonts w:eastAsia="Times New Roman" w:cstheme="minorHAnsi"/>
          <w:lang w:eastAsia="cs-CZ"/>
        </w:rPr>
        <w:t xml:space="preserve"> ve výši </w:t>
      </w:r>
      <w:r>
        <w:rPr>
          <w:rFonts w:eastAsia="Times New Roman" w:cstheme="minorHAnsi"/>
          <w:lang w:eastAsia="cs-CZ"/>
        </w:rPr>
        <w:t>5 000 000</w:t>
      </w:r>
      <w:r w:rsidRPr="00151C61">
        <w:rPr>
          <w:rFonts w:eastAsia="Times New Roman" w:cstheme="minorHAnsi"/>
          <w:lang w:eastAsia="cs-CZ"/>
        </w:rPr>
        <w:t>,00 Kč.</w:t>
      </w:r>
    </w:p>
    <w:p w14:paraId="05F00009" w14:textId="77777777" w:rsidR="00ED51F3" w:rsidRPr="0082664B" w:rsidRDefault="00ED51F3" w:rsidP="00ED51F3">
      <w:pPr>
        <w:spacing w:after="0" w:line="240" w:lineRule="auto"/>
        <w:jc w:val="both"/>
        <w:rPr>
          <w:rFonts w:eastAsia="Times New Roman" w:cstheme="minorHAnsi"/>
          <w:lang w:eastAsia="cs-CZ"/>
        </w:rPr>
      </w:pPr>
    </w:p>
    <w:p w14:paraId="633E0E8B" w14:textId="77777777" w:rsidR="00ED51F3" w:rsidRPr="0082664B" w:rsidRDefault="00ED51F3" w:rsidP="00ED51F3">
      <w:pPr>
        <w:spacing w:after="0" w:line="240" w:lineRule="auto"/>
        <w:jc w:val="both"/>
        <w:rPr>
          <w:rFonts w:eastAsia="Times New Roman" w:cstheme="minorHAnsi"/>
          <w:b/>
          <w:lang w:eastAsia="cs-CZ"/>
        </w:rPr>
      </w:pPr>
      <w:r w:rsidRPr="0082664B">
        <w:rPr>
          <w:rFonts w:eastAsia="Times New Roman" w:cstheme="minorHAnsi"/>
          <w:b/>
          <w:lang w:eastAsia="cs-CZ"/>
        </w:rPr>
        <w:t>§ 3322 – Program na obnovu památek určených ke společenskému využití</w:t>
      </w:r>
    </w:p>
    <w:p w14:paraId="5EC0C9F4" w14:textId="77777777" w:rsidR="00ED51F3" w:rsidRPr="0082664B" w:rsidRDefault="00ED51F3" w:rsidP="00ED51F3">
      <w:pPr>
        <w:spacing w:after="0" w:line="240" w:lineRule="auto"/>
        <w:jc w:val="both"/>
        <w:rPr>
          <w:rFonts w:eastAsia="Times New Roman" w:cstheme="minorHAnsi"/>
          <w:b/>
          <w:lang w:eastAsia="cs-CZ"/>
        </w:rPr>
      </w:pPr>
      <w:r w:rsidRPr="0082664B">
        <w:rPr>
          <w:rFonts w:eastAsia="Times New Roman" w:cstheme="minorHAnsi"/>
          <w:lang w:eastAsia="cs-CZ"/>
        </w:rPr>
        <w:lastRenderedPageBreak/>
        <w:t xml:space="preserve">V rámci rozdělení zůstatku hospodaření Středočeského kraje z roku 2020 byly na základě usnesení č. 007-06/2021/ZK ze dne 26. 4. 2021 převedeny nevyčerpané účelové prostředky ve výši 23 849 538,25 Kč, které souvisí s Programem 2019 a Programem 2020. </w:t>
      </w:r>
      <w:r>
        <w:rPr>
          <w:rFonts w:eastAsia="Times New Roman" w:cstheme="minorHAnsi"/>
          <w:lang w:eastAsia="cs-CZ"/>
        </w:rPr>
        <w:t xml:space="preserve">Prostředky jsou </w:t>
      </w:r>
      <w:r w:rsidRPr="0082664B">
        <w:rPr>
          <w:rFonts w:eastAsia="Times New Roman" w:cstheme="minorHAnsi"/>
          <w:lang w:eastAsia="cs-CZ"/>
        </w:rPr>
        <w:t>určeny pro poskytování dotací z rozpočtu Středočeského kraje na obnovu památek určených ke společenskému využití</w:t>
      </w:r>
      <w:r>
        <w:rPr>
          <w:rFonts w:eastAsia="Times New Roman" w:cstheme="minorHAnsi"/>
          <w:lang w:eastAsia="cs-CZ"/>
        </w:rPr>
        <w:t>.</w:t>
      </w:r>
      <w:r w:rsidRPr="0082664B">
        <w:rPr>
          <w:rFonts w:eastAsia="Times New Roman" w:cstheme="minorHAnsi"/>
          <w:lang w:eastAsia="cs-CZ"/>
        </w:rPr>
        <w:t xml:space="preserve"> Tyto prostředky</w:t>
      </w:r>
      <w:r>
        <w:rPr>
          <w:rFonts w:eastAsia="Times New Roman" w:cstheme="minorHAnsi"/>
          <w:lang w:eastAsia="cs-CZ"/>
        </w:rPr>
        <w:t xml:space="preserve"> byly čerpány ve výši 96,4</w:t>
      </w:r>
      <w:r w:rsidRPr="0082664B">
        <w:rPr>
          <w:rFonts w:eastAsia="Times New Roman" w:cstheme="minorHAnsi"/>
          <w:lang w:eastAsia="cs-CZ"/>
        </w:rPr>
        <w:t xml:space="preserve"> %.</w:t>
      </w:r>
      <w:r>
        <w:rPr>
          <w:rFonts w:eastAsia="Times New Roman" w:cstheme="minorHAnsi"/>
          <w:lang w:eastAsia="cs-CZ"/>
        </w:rPr>
        <w:t xml:space="preserve"> </w:t>
      </w:r>
    </w:p>
    <w:p w14:paraId="25107F37" w14:textId="77777777" w:rsidR="00ED51F3" w:rsidRPr="0082664B" w:rsidRDefault="00ED51F3" w:rsidP="00ED51F3">
      <w:pPr>
        <w:spacing w:after="0" w:line="240" w:lineRule="auto"/>
        <w:jc w:val="both"/>
        <w:rPr>
          <w:rFonts w:eastAsia="Times New Roman" w:cstheme="minorHAnsi"/>
          <w:b/>
          <w:u w:val="single"/>
          <w:lang w:eastAsia="cs-CZ"/>
        </w:rPr>
      </w:pPr>
    </w:p>
    <w:p w14:paraId="04ED3833" w14:textId="77777777" w:rsidR="00ED51F3" w:rsidRPr="00AE511A" w:rsidRDefault="00ED51F3" w:rsidP="00ED51F3">
      <w:pPr>
        <w:spacing w:after="0" w:line="240" w:lineRule="auto"/>
        <w:jc w:val="both"/>
        <w:rPr>
          <w:rFonts w:eastAsia="Times New Roman" w:cstheme="minorHAnsi"/>
          <w:b/>
          <w:color w:val="FF0000"/>
          <w:sz w:val="24"/>
          <w:szCs w:val="24"/>
          <w:u w:val="single"/>
          <w:lang w:eastAsia="cs-CZ"/>
        </w:rPr>
      </w:pPr>
      <w:r w:rsidRPr="005E52C7">
        <w:rPr>
          <w:rFonts w:eastAsia="Times New Roman" w:cstheme="minorHAnsi"/>
          <w:b/>
          <w:sz w:val="24"/>
          <w:szCs w:val="24"/>
          <w:u w:val="single"/>
          <w:lang w:eastAsia="cs-CZ"/>
        </w:rPr>
        <w:t>Výdaje na reprodukci majetku příspěvkových organizací</w:t>
      </w:r>
    </w:p>
    <w:p w14:paraId="1B91C07D" w14:textId="77777777" w:rsidR="00ED51F3" w:rsidRDefault="00ED51F3" w:rsidP="00ED51F3">
      <w:pPr>
        <w:spacing w:after="0" w:line="240" w:lineRule="auto"/>
        <w:jc w:val="both"/>
        <w:rPr>
          <w:rFonts w:eastAsia="Times New Roman" w:cstheme="minorHAnsi"/>
          <w:b/>
          <w:lang w:eastAsia="cs-CZ"/>
        </w:rPr>
      </w:pPr>
    </w:p>
    <w:p w14:paraId="41924B95" w14:textId="31512882" w:rsidR="00ED51F3" w:rsidRPr="0017186C" w:rsidRDefault="00ED51F3" w:rsidP="00ED51F3">
      <w:pPr>
        <w:spacing w:after="0" w:line="240" w:lineRule="auto"/>
        <w:jc w:val="both"/>
        <w:rPr>
          <w:b/>
        </w:rPr>
      </w:pPr>
      <w:r w:rsidRPr="0017186C">
        <w:rPr>
          <w:b/>
        </w:rPr>
        <w:t>Vrácené příjmy z pronájmu (UZ 040)</w:t>
      </w:r>
    </w:p>
    <w:p w14:paraId="246A7A9B" w14:textId="77777777" w:rsidR="00ED51F3" w:rsidRPr="0017186C" w:rsidRDefault="00ED51F3" w:rsidP="00ED51F3">
      <w:pPr>
        <w:spacing w:after="0" w:line="240" w:lineRule="auto"/>
        <w:jc w:val="both"/>
      </w:pPr>
      <w:r w:rsidRPr="0017186C">
        <w:t xml:space="preserve">Upravený rozpočet ve výši </w:t>
      </w:r>
      <w:r>
        <w:t>2 079 667</w:t>
      </w:r>
      <w:r w:rsidRPr="0017186C">
        <w:t>,00 Kč. Rada Středočeského kraje schválila užití těchto příjmů z pronájmu majetku Středočeského kraje příspěvkovými organizacemi na zajištění oprav a údržby majetku svěřeného příspěvkovým organizacím do hospodaření a na posílení investičního fondu příspěvkových organizací. Finanční prostředky byly čerpány na 100,0 %.</w:t>
      </w:r>
    </w:p>
    <w:p w14:paraId="23EE603B" w14:textId="77777777" w:rsidR="00ED51F3" w:rsidRDefault="00ED51F3" w:rsidP="00ED51F3">
      <w:pPr>
        <w:spacing w:after="0" w:line="240" w:lineRule="auto"/>
        <w:jc w:val="both"/>
        <w:rPr>
          <w:rFonts w:eastAsia="Times New Roman" w:cstheme="minorHAnsi"/>
          <w:b/>
          <w:lang w:eastAsia="cs-CZ"/>
        </w:rPr>
      </w:pPr>
      <w:bookmarkStart w:id="21" w:name="_Hlk96688766"/>
    </w:p>
    <w:p w14:paraId="0AEE7BB2" w14:textId="19AB78E2" w:rsidR="00ED51F3" w:rsidRPr="0082664B" w:rsidRDefault="00A7208A" w:rsidP="00ED51F3">
      <w:pPr>
        <w:spacing w:after="0" w:line="240" w:lineRule="auto"/>
        <w:jc w:val="both"/>
        <w:rPr>
          <w:rFonts w:eastAsia="Times New Roman" w:cstheme="minorHAnsi"/>
          <w:b/>
          <w:lang w:eastAsia="cs-CZ"/>
        </w:rPr>
      </w:pPr>
      <w:r>
        <w:rPr>
          <w:rFonts w:eastAsia="Times New Roman" w:cstheme="minorHAnsi"/>
          <w:b/>
          <w:lang w:eastAsia="cs-CZ"/>
        </w:rPr>
        <w:t>Vrácené p</w:t>
      </w:r>
      <w:r w:rsidR="00ED51F3" w:rsidRPr="0082664B">
        <w:rPr>
          <w:rFonts w:eastAsia="Times New Roman" w:cstheme="minorHAnsi"/>
          <w:b/>
          <w:lang w:eastAsia="cs-CZ"/>
        </w:rPr>
        <w:t xml:space="preserve">říjmy z pronájmu za minulý rok (UZ </w:t>
      </w:r>
      <w:r w:rsidR="00ED51F3">
        <w:rPr>
          <w:rFonts w:eastAsia="Times New Roman" w:cstheme="minorHAnsi"/>
          <w:b/>
          <w:lang w:eastAsia="cs-CZ"/>
        </w:rPr>
        <w:t>0</w:t>
      </w:r>
      <w:r w:rsidR="00ED51F3" w:rsidRPr="0082664B">
        <w:rPr>
          <w:rFonts w:eastAsia="Times New Roman" w:cstheme="minorHAnsi"/>
          <w:b/>
          <w:lang w:eastAsia="cs-CZ"/>
        </w:rPr>
        <w:t>41)</w:t>
      </w:r>
    </w:p>
    <w:p w14:paraId="7A0C2158" w14:textId="77777777" w:rsidR="00ED51F3" w:rsidRPr="0082664B" w:rsidRDefault="00ED51F3" w:rsidP="00ED51F3">
      <w:pPr>
        <w:spacing w:after="0" w:line="240" w:lineRule="auto"/>
        <w:jc w:val="both"/>
        <w:rPr>
          <w:rFonts w:eastAsia="Times New Roman" w:cstheme="minorHAnsi"/>
          <w:lang w:eastAsia="cs-CZ"/>
        </w:rPr>
      </w:pPr>
      <w:r>
        <w:rPr>
          <w:rFonts w:eastAsia="Times New Roman" w:cstheme="minorHAnsi"/>
          <w:lang w:eastAsia="cs-CZ"/>
        </w:rPr>
        <w:t>Finanční prostředky ve výši 32</w:t>
      </w:r>
      <w:r w:rsidRPr="0082664B">
        <w:rPr>
          <w:rFonts w:eastAsia="Times New Roman" w:cstheme="minorHAnsi"/>
          <w:lang w:eastAsia="cs-CZ"/>
        </w:rPr>
        <w:t> 511,50 Kč byly převe</w:t>
      </w:r>
      <w:r>
        <w:rPr>
          <w:rFonts w:eastAsia="Times New Roman" w:cstheme="minorHAnsi"/>
          <w:lang w:eastAsia="cs-CZ"/>
        </w:rPr>
        <w:t xml:space="preserve">deny z roku 2020 </w:t>
      </w:r>
      <w:r w:rsidRPr="0082664B">
        <w:rPr>
          <w:rFonts w:eastAsia="Times New Roman" w:cstheme="minorHAnsi"/>
          <w:lang w:eastAsia="cs-CZ"/>
        </w:rPr>
        <w:t>na základě usnesení č. 007-06/2021/ZK ze dne 26. 4. 2021 (rozdělení zůstatku hospodaření z roku 2020). Jedná se o příjmy z pronáj</w:t>
      </w:r>
      <w:r>
        <w:rPr>
          <w:rFonts w:eastAsia="Times New Roman" w:cstheme="minorHAnsi"/>
          <w:lang w:eastAsia="cs-CZ"/>
        </w:rPr>
        <w:t xml:space="preserve">mu majetku Středočeského kraje </w:t>
      </w:r>
      <w:r w:rsidRPr="0082664B">
        <w:rPr>
          <w:rFonts w:eastAsia="Times New Roman" w:cstheme="minorHAnsi"/>
          <w:lang w:eastAsia="cs-CZ"/>
        </w:rPr>
        <w:t>a zřízení věcných břemen příspěvkových organizací v oblasti kultury za rok 2020. Finanční prostředky byly čerpány</w:t>
      </w:r>
      <w:r>
        <w:rPr>
          <w:rFonts w:eastAsia="Times New Roman" w:cstheme="minorHAnsi"/>
          <w:lang w:eastAsia="cs-CZ"/>
        </w:rPr>
        <w:t xml:space="preserve"> </w:t>
      </w:r>
      <w:r w:rsidRPr="0082664B">
        <w:rPr>
          <w:rFonts w:eastAsia="Times New Roman" w:cstheme="minorHAnsi"/>
          <w:lang w:eastAsia="cs-CZ"/>
        </w:rPr>
        <w:t>ve výši 100,0 %</w:t>
      </w:r>
      <w:r>
        <w:rPr>
          <w:rFonts w:eastAsia="Times New Roman" w:cstheme="minorHAnsi"/>
          <w:lang w:eastAsia="cs-CZ"/>
        </w:rPr>
        <w:t>.</w:t>
      </w:r>
      <w:bookmarkEnd w:id="21"/>
    </w:p>
    <w:p w14:paraId="3E682A53" w14:textId="77777777" w:rsidR="00ED51F3" w:rsidRPr="0082664B" w:rsidRDefault="00ED51F3" w:rsidP="00ED51F3">
      <w:pPr>
        <w:spacing w:after="0" w:line="240" w:lineRule="auto"/>
        <w:jc w:val="both"/>
        <w:rPr>
          <w:rFonts w:eastAsia="Times New Roman" w:cstheme="minorHAnsi"/>
          <w:b/>
          <w:lang w:eastAsia="cs-CZ"/>
        </w:rPr>
      </w:pPr>
    </w:p>
    <w:p w14:paraId="3D2C87A5" w14:textId="77777777" w:rsidR="00ED51F3" w:rsidRPr="004117F0" w:rsidRDefault="00ED51F3" w:rsidP="00ED51F3">
      <w:pPr>
        <w:spacing w:after="0" w:line="240" w:lineRule="auto"/>
        <w:jc w:val="both"/>
        <w:rPr>
          <w:rFonts w:eastAsia="Times New Roman" w:cstheme="minorHAnsi"/>
          <w:b/>
          <w:sz w:val="24"/>
          <w:szCs w:val="24"/>
          <w:u w:val="single"/>
          <w:lang w:eastAsia="cs-CZ"/>
        </w:rPr>
      </w:pPr>
      <w:r w:rsidRPr="004117F0">
        <w:rPr>
          <w:rFonts w:eastAsia="Times New Roman" w:cstheme="minorHAnsi"/>
          <w:b/>
          <w:sz w:val="24"/>
          <w:szCs w:val="24"/>
          <w:u w:val="single"/>
          <w:lang w:eastAsia="cs-CZ"/>
        </w:rPr>
        <w:t>Fondy</w:t>
      </w:r>
    </w:p>
    <w:p w14:paraId="705CA872" w14:textId="77777777" w:rsidR="00ED51F3" w:rsidRPr="0082664B" w:rsidRDefault="00ED51F3" w:rsidP="00ED51F3">
      <w:pPr>
        <w:spacing w:after="0" w:line="240" w:lineRule="auto"/>
        <w:jc w:val="both"/>
        <w:rPr>
          <w:rFonts w:eastAsia="Times New Roman" w:cstheme="minorHAnsi"/>
          <w:b/>
          <w:u w:val="single"/>
          <w:lang w:eastAsia="cs-CZ"/>
        </w:rPr>
      </w:pPr>
    </w:p>
    <w:p w14:paraId="2DB6FFA6" w14:textId="77777777" w:rsidR="00ED51F3" w:rsidRPr="0082664B" w:rsidRDefault="00ED51F3" w:rsidP="00ED51F3">
      <w:pPr>
        <w:spacing w:after="0" w:line="240" w:lineRule="auto"/>
        <w:jc w:val="both"/>
        <w:rPr>
          <w:rFonts w:eastAsia="Times New Roman" w:cstheme="minorHAnsi"/>
          <w:b/>
          <w:lang w:eastAsia="cs-CZ"/>
        </w:rPr>
      </w:pPr>
      <w:r w:rsidRPr="0082664B">
        <w:rPr>
          <w:rFonts w:eastAsia="Times New Roman" w:cstheme="minorHAnsi"/>
          <w:b/>
          <w:lang w:eastAsia="cs-CZ"/>
        </w:rPr>
        <w:t>Středočeský Fond kultury a obnovy památek</w:t>
      </w:r>
    </w:p>
    <w:p w14:paraId="607A3BE0" w14:textId="4E99627C" w:rsidR="00ED51F3" w:rsidRDefault="00ED51F3" w:rsidP="00ED51F3">
      <w:pPr>
        <w:spacing w:after="0" w:line="240" w:lineRule="auto"/>
        <w:jc w:val="both"/>
        <w:rPr>
          <w:rFonts w:eastAsia="Times New Roman" w:cstheme="minorHAnsi"/>
          <w:lang w:eastAsia="cs-CZ"/>
        </w:rPr>
      </w:pPr>
      <w:r w:rsidRPr="0082664B">
        <w:rPr>
          <w:rFonts w:eastAsia="Times New Roman" w:cstheme="minorHAnsi"/>
          <w:lang w:eastAsia="cs-CZ"/>
        </w:rPr>
        <w:t>Rozpočet pro rok 2021 byl upraven (usnesení č. 007-04/2021/ZK ze dne 22. 2. 2</w:t>
      </w:r>
      <w:r>
        <w:rPr>
          <w:rFonts w:eastAsia="Times New Roman" w:cstheme="minorHAnsi"/>
          <w:lang w:eastAsia="cs-CZ"/>
        </w:rPr>
        <w:t xml:space="preserve">021 - </w:t>
      </w:r>
      <w:r w:rsidRPr="0082664B">
        <w:rPr>
          <w:rFonts w:eastAsia="Times New Roman" w:cstheme="minorHAnsi"/>
          <w:lang w:eastAsia="cs-CZ"/>
        </w:rPr>
        <w:t>navýšení rozpočtu</w:t>
      </w:r>
      <w:r>
        <w:rPr>
          <w:rFonts w:eastAsia="Times New Roman" w:cstheme="minorHAnsi"/>
          <w:lang w:eastAsia="cs-CZ"/>
        </w:rPr>
        <w:t xml:space="preserve"> SK</w:t>
      </w:r>
      <w:r w:rsidRPr="0082664B">
        <w:rPr>
          <w:rFonts w:eastAsia="Times New Roman" w:cstheme="minorHAnsi"/>
          <w:lang w:eastAsia="cs-CZ"/>
        </w:rPr>
        <w:t xml:space="preserve"> o prostředky ze sdílených daní a nev</w:t>
      </w:r>
      <w:r>
        <w:rPr>
          <w:rFonts w:eastAsia="Times New Roman" w:cstheme="minorHAnsi"/>
          <w:lang w:eastAsia="cs-CZ"/>
        </w:rPr>
        <w:t xml:space="preserve">yčerpané prostředky z roku 2020) </w:t>
      </w:r>
      <w:r w:rsidRPr="0082664B">
        <w:rPr>
          <w:rFonts w:eastAsia="Times New Roman" w:cstheme="minorHAnsi"/>
          <w:lang w:eastAsia="cs-CZ"/>
        </w:rPr>
        <w:t>na částku 34 600 000,00 Kč a dále navýšen usnesením 007</w:t>
      </w:r>
      <w:r>
        <w:rPr>
          <w:rFonts w:eastAsia="Times New Roman" w:cstheme="minorHAnsi"/>
          <w:lang w:eastAsia="cs-CZ"/>
        </w:rPr>
        <w:t>-06/2021/ZK ze dne 26. 4. 2021 (</w:t>
      </w:r>
      <w:r w:rsidRPr="0082664B">
        <w:rPr>
          <w:rFonts w:eastAsia="Times New Roman" w:cstheme="minorHAnsi"/>
          <w:lang w:eastAsia="cs-CZ"/>
        </w:rPr>
        <w:t>rozdělení zůstatku hospodaření Středočeského kraje z roku 2020</w:t>
      </w:r>
      <w:r>
        <w:rPr>
          <w:rFonts w:eastAsia="Times New Roman" w:cstheme="minorHAnsi"/>
          <w:lang w:eastAsia="cs-CZ"/>
        </w:rPr>
        <w:t>)</w:t>
      </w:r>
      <w:r w:rsidRPr="0082664B">
        <w:rPr>
          <w:rFonts w:eastAsia="Times New Roman" w:cstheme="minorHAnsi"/>
          <w:lang w:eastAsia="cs-CZ"/>
        </w:rPr>
        <w:t xml:space="preserve"> o 13 000 000,00 Kč. Prostředky jsou určeny pro poskytování dotací z rozpočtu Středočeského kraje na</w:t>
      </w:r>
      <w:r>
        <w:rPr>
          <w:rFonts w:eastAsia="Times New Roman" w:cstheme="minorHAnsi"/>
          <w:lang w:eastAsia="cs-CZ"/>
        </w:rPr>
        <w:t xml:space="preserve"> podporu kultury, podporu základních knihoven, na </w:t>
      </w:r>
      <w:r w:rsidRPr="0082664B">
        <w:rPr>
          <w:rFonts w:eastAsia="Times New Roman" w:cstheme="minorHAnsi"/>
          <w:lang w:eastAsia="cs-CZ"/>
        </w:rPr>
        <w:t>obnovu</w:t>
      </w:r>
      <w:r>
        <w:rPr>
          <w:rFonts w:eastAsia="Times New Roman" w:cstheme="minorHAnsi"/>
          <w:lang w:eastAsia="cs-CZ"/>
        </w:rPr>
        <w:t xml:space="preserve"> kulturních</w:t>
      </w:r>
      <w:r w:rsidRPr="0082664B">
        <w:rPr>
          <w:rFonts w:eastAsia="Times New Roman" w:cstheme="minorHAnsi"/>
          <w:lang w:eastAsia="cs-CZ"/>
        </w:rPr>
        <w:t xml:space="preserve"> památek</w:t>
      </w:r>
      <w:r>
        <w:rPr>
          <w:rFonts w:eastAsia="Times New Roman" w:cstheme="minorHAnsi"/>
          <w:lang w:eastAsia="cs-CZ"/>
        </w:rPr>
        <w:t xml:space="preserve"> a </w:t>
      </w:r>
      <w:bookmarkStart w:id="22" w:name="_Hlk96846213"/>
      <w:r>
        <w:rPr>
          <w:rFonts w:eastAsia="Times New Roman" w:cstheme="minorHAnsi"/>
          <w:lang w:eastAsia="cs-CZ"/>
        </w:rPr>
        <w:t>památek</w:t>
      </w:r>
      <w:r w:rsidRPr="0082664B">
        <w:rPr>
          <w:rFonts w:eastAsia="Times New Roman" w:cstheme="minorHAnsi"/>
          <w:lang w:eastAsia="cs-CZ"/>
        </w:rPr>
        <w:t xml:space="preserve"> určených ke společenskému využití</w:t>
      </w:r>
      <w:bookmarkEnd w:id="22"/>
      <w:r w:rsidRPr="0082664B">
        <w:rPr>
          <w:rFonts w:eastAsia="Times New Roman" w:cstheme="minorHAnsi"/>
          <w:lang w:eastAsia="cs-CZ"/>
        </w:rPr>
        <w:t xml:space="preserve"> </w:t>
      </w:r>
      <w:r>
        <w:rPr>
          <w:rFonts w:eastAsia="Times New Roman" w:cstheme="minorHAnsi"/>
          <w:lang w:eastAsia="cs-CZ"/>
        </w:rPr>
        <w:t xml:space="preserve">vždy </w:t>
      </w:r>
      <w:r w:rsidRPr="0082664B">
        <w:rPr>
          <w:rFonts w:eastAsia="Times New Roman" w:cstheme="minorHAnsi"/>
          <w:lang w:eastAsia="cs-CZ"/>
        </w:rPr>
        <w:t xml:space="preserve">v souladu se schváleným Programem 2021 - výzva 2021. </w:t>
      </w:r>
      <w:r w:rsidRPr="00093389">
        <w:rPr>
          <w:rFonts w:eastAsia="Times New Roman" w:cstheme="minorHAnsi"/>
          <w:lang w:eastAsia="cs-CZ"/>
        </w:rPr>
        <w:t>Zastupitelstvo Středočeského kraje schválilo usnesením č. 037-08/2021/ZK ze dne 28. 6. 2021 návrh na poskytnutí dotací z rozpočtu Středočeského kraje ze Středočeského Fondu kultury a obnovy památek konkrétním příjemcům.</w:t>
      </w:r>
      <w:r>
        <w:rPr>
          <w:rFonts w:eastAsia="Times New Roman" w:cstheme="minorHAnsi"/>
          <w:lang w:eastAsia="cs-CZ"/>
        </w:rPr>
        <w:t xml:space="preserve"> </w:t>
      </w:r>
      <w:r w:rsidRPr="0082664B">
        <w:rPr>
          <w:rFonts w:eastAsia="Times New Roman" w:cstheme="minorHAnsi"/>
          <w:lang w:eastAsia="cs-CZ"/>
        </w:rPr>
        <w:t>Finanční prostředky</w:t>
      </w:r>
      <w:r>
        <w:rPr>
          <w:rFonts w:eastAsia="Times New Roman" w:cstheme="minorHAnsi"/>
          <w:lang w:eastAsia="cs-CZ"/>
        </w:rPr>
        <w:t xml:space="preserve"> na obnovu</w:t>
      </w:r>
      <w:r w:rsidRPr="00093389">
        <w:t xml:space="preserve"> </w:t>
      </w:r>
      <w:r w:rsidRPr="00093389">
        <w:rPr>
          <w:rFonts w:eastAsia="Times New Roman" w:cstheme="minorHAnsi"/>
          <w:lang w:eastAsia="cs-CZ"/>
        </w:rPr>
        <w:t>památek určených ke společenskému využití</w:t>
      </w:r>
      <w:r w:rsidRPr="0082664B">
        <w:rPr>
          <w:rFonts w:eastAsia="Times New Roman" w:cstheme="minorHAnsi"/>
          <w:lang w:eastAsia="cs-CZ"/>
        </w:rPr>
        <w:t xml:space="preserve"> budo</w:t>
      </w:r>
      <w:r>
        <w:rPr>
          <w:rFonts w:eastAsia="Times New Roman" w:cstheme="minorHAnsi"/>
          <w:lang w:eastAsia="cs-CZ"/>
        </w:rPr>
        <w:t xml:space="preserve">u čerpány dle pravidel </w:t>
      </w:r>
      <w:r w:rsidRPr="0082664B">
        <w:rPr>
          <w:rFonts w:eastAsia="Times New Roman" w:cstheme="minorHAnsi"/>
          <w:lang w:eastAsia="cs-CZ"/>
        </w:rPr>
        <w:t>do 60 dnů od podpisu smlouvy ve výši 25 % z celkové dotace. Finanční prostředky ve výši 75 % dotace budou poskytnuty na z</w:t>
      </w:r>
      <w:r>
        <w:rPr>
          <w:rFonts w:eastAsia="Times New Roman" w:cstheme="minorHAnsi"/>
          <w:lang w:eastAsia="cs-CZ"/>
        </w:rPr>
        <w:t xml:space="preserve">ákladě předložených </w:t>
      </w:r>
      <w:r w:rsidRPr="0082664B">
        <w:rPr>
          <w:rFonts w:eastAsia="Times New Roman" w:cstheme="minorHAnsi"/>
          <w:lang w:eastAsia="cs-CZ"/>
        </w:rPr>
        <w:t>účetních dokladů. Rozpočet byl</w:t>
      </w:r>
      <w:r>
        <w:rPr>
          <w:rFonts w:eastAsia="Times New Roman" w:cstheme="minorHAnsi"/>
          <w:lang w:eastAsia="cs-CZ"/>
        </w:rPr>
        <w:t xml:space="preserve"> v roce </w:t>
      </w:r>
      <w:r w:rsidRPr="0082664B">
        <w:rPr>
          <w:rFonts w:eastAsia="Times New Roman" w:cstheme="minorHAnsi"/>
          <w:lang w:eastAsia="cs-CZ"/>
        </w:rPr>
        <w:t>2021 čerpán</w:t>
      </w:r>
      <w:r>
        <w:rPr>
          <w:rFonts w:eastAsia="Times New Roman" w:cstheme="minorHAnsi"/>
          <w:lang w:eastAsia="cs-CZ"/>
        </w:rPr>
        <w:t xml:space="preserve"> na 54,5 % v souladu s uzavřenými</w:t>
      </w:r>
      <w:r w:rsidRPr="0082664B">
        <w:rPr>
          <w:rFonts w:eastAsia="Times New Roman" w:cstheme="minorHAnsi"/>
          <w:lang w:eastAsia="cs-CZ"/>
        </w:rPr>
        <w:t xml:space="preserve"> veřejnoprávní</w:t>
      </w:r>
      <w:r>
        <w:rPr>
          <w:rFonts w:eastAsia="Times New Roman" w:cstheme="minorHAnsi"/>
          <w:lang w:eastAsia="cs-CZ"/>
        </w:rPr>
        <w:t>mi</w:t>
      </w:r>
      <w:r w:rsidRPr="0082664B">
        <w:rPr>
          <w:rFonts w:eastAsia="Times New Roman" w:cstheme="minorHAnsi"/>
          <w:lang w:eastAsia="cs-CZ"/>
        </w:rPr>
        <w:t xml:space="preserve"> sml</w:t>
      </w:r>
      <w:r>
        <w:rPr>
          <w:rFonts w:eastAsia="Times New Roman" w:cstheme="minorHAnsi"/>
          <w:lang w:eastAsia="cs-CZ"/>
        </w:rPr>
        <w:t>ouvami.</w:t>
      </w:r>
    </w:p>
    <w:p w14:paraId="4C57DF89" w14:textId="77777777" w:rsidR="00ED51F3" w:rsidRPr="0082664B" w:rsidRDefault="00ED51F3" w:rsidP="00ED51F3">
      <w:pPr>
        <w:spacing w:after="0" w:line="240" w:lineRule="auto"/>
        <w:jc w:val="both"/>
        <w:rPr>
          <w:rFonts w:eastAsia="Times New Roman" w:cstheme="minorHAnsi"/>
          <w:lang w:eastAsia="cs-CZ"/>
        </w:rPr>
      </w:pPr>
    </w:p>
    <w:p w14:paraId="62275878" w14:textId="77777777" w:rsidR="00ED51F3" w:rsidRPr="0082664B" w:rsidRDefault="00ED51F3" w:rsidP="00ED51F3">
      <w:pPr>
        <w:spacing w:after="0" w:line="240" w:lineRule="auto"/>
        <w:jc w:val="both"/>
        <w:rPr>
          <w:rFonts w:cstheme="minorHAnsi"/>
          <w:b/>
        </w:rPr>
      </w:pPr>
      <w:r w:rsidRPr="0082664B">
        <w:rPr>
          <w:rFonts w:cstheme="minorHAnsi"/>
          <w:b/>
        </w:rPr>
        <w:t>Středočeský Fond r</w:t>
      </w:r>
      <w:r>
        <w:rPr>
          <w:rFonts w:cstheme="minorHAnsi"/>
          <w:b/>
        </w:rPr>
        <w:t>ozvoje doprovodné infrastruktury</w:t>
      </w:r>
    </w:p>
    <w:p w14:paraId="1A79DB4C" w14:textId="303D2F14" w:rsidR="00ED51F3" w:rsidRPr="00856CD7" w:rsidRDefault="00ED51F3" w:rsidP="00ED51F3">
      <w:pPr>
        <w:spacing w:after="0" w:line="240" w:lineRule="auto"/>
        <w:jc w:val="both"/>
        <w:rPr>
          <w:rFonts w:cstheme="minorHAnsi"/>
        </w:rPr>
      </w:pPr>
      <w:r w:rsidRPr="0082664B">
        <w:rPr>
          <w:rFonts w:cstheme="minorHAnsi"/>
        </w:rPr>
        <w:t>Na základě Opatření ředitele Krajského úřadu Středočeského kraje č. 3/2021, kterým se mění Organizační řád Krajského úřadu Středočeského kraje s účinn</w:t>
      </w:r>
      <w:r>
        <w:rPr>
          <w:rFonts w:cstheme="minorHAnsi"/>
        </w:rPr>
        <w:t xml:space="preserve">ostí dne 1. 4. 2021, byly prostředky </w:t>
      </w:r>
      <w:r w:rsidRPr="0082664B">
        <w:rPr>
          <w:rFonts w:cstheme="minorHAnsi"/>
        </w:rPr>
        <w:t xml:space="preserve">ve výši 20 000 000,00 Kč </w:t>
      </w:r>
      <w:r>
        <w:rPr>
          <w:rFonts w:cstheme="minorHAnsi"/>
        </w:rPr>
        <w:t xml:space="preserve">převedeny </w:t>
      </w:r>
      <w:r w:rsidRPr="0082664B">
        <w:rPr>
          <w:rFonts w:cstheme="minorHAnsi"/>
        </w:rPr>
        <w:t>z kapitoly 08 - Regionální rozvoj do rozpočtu kapitoly 06 - Kultura a památková péče (usnesení č. 027-15/2021/RK ze dne 1. 4. 2021).</w:t>
      </w:r>
      <w:r>
        <w:rPr>
          <w:rFonts w:cstheme="minorHAnsi"/>
        </w:rPr>
        <w:t xml:space="preserve"> Upravený rozpočet 16 205 194,00 Kč</w:t>
      </w:r>
      <w:r w:rsidRPr="0082664B">
        <w:rPr>
          <w:rFonts w:cstheme="minorHAnsi"/>
        </w:rPr>
        <w:t xml:space="preserve"> byl čerpán </w:t>
      </w:r>
      <w:r w:rsidRPr="0041323B">
        <w:rPr>
          <w:rFonts w:cstheme="minorHAnsi"/>
        </w:rPr>
        <w:t>ve výši 94,6 %</w:t>
      </w:r>
      <w:r>
        <w:rPr>
          <w:rFonts w:cstheme="minorHAnsi"/>
        </w:rPr>
        <w:t xml:space="preserve"> </w:t>
      </w:r>
      <w:r w:rsidRPr="0082664B">
        <w:rPr>
          <w:rFonts w:cstheme="minorHAnsi"/>
        </w:rPr>
        <w:t>na základě usnesení č. 047-0</w:t>
      </w:r>
      <w:r>
        <w:rPr>
          <w:rFonts w:cstheme="minorHAnsi"/>
        </w:rPr>
        <w:t xml:space="preserve">4/2021/ZK ze dne 22. 2. 2021 - </w:t>
      </w:r>
      <w:r w:rsidRPr="0082664B">
        <w:rPr>
          <w:rFonts w:cstheme="minorHAnsi"/>
        </w:rPr>
        <w:t>poskytnutí dotací v rámci Středočeského Fondu rozvoje doprovodné infrastruktury pro schválené příjemce.</w:t>
      </w:r>
      <w:r>
        <w:rPr>
          <w:rFonts w:cstheme="minorHAnsi"/>
        </w:rPr>
        <w:t xml:space="preserve"> </w:t>
      </w:r>
      <w:r w:rsidRPr="0082664B">
        <w:rPr>
          <w:rFonts w:cstheme="minorHAnsi"/>
        </w:rPr>
        <w:t>Zastupitelstvo Středočeského kraje vzalo na vědomí usn</w:t>
      </w:r>
      <w:r>
        <w:rPr>
          <w:rFonts w:cstheme="minorHAnsi"/>
        </w:rPr>
        <w:t xml:space="preserve">esení č. 041-08/2021/ZK ze dne </w:t>
      </w:r>
      <w:r w:rsidRPr="0082664B">
        <w:rPr>
          <w:rFonts w:cstheme="minorHAnsi"/>
        </w:rPr>
        <w:t>28. 6. 2021 zpětvzetí žádostí o dotaci od žadatele SVA-solutions s.r.o, IČ: 07009437 a žadatele Radka Šorela, IČ: 48970786</w:t>
      </w:r>
      <w:r>
        <w:rPr>
          <w:rFonts w:cstheme="minorHAnsi"/>
        </w:rPr>
        <w:t xml:space="preserve">. Nevyužité investiční prostředky byly poskytnuty v souladu s usnesením č. </w:t>
      </w:r>
      <w:r w:rsidRPr="004117F0">
        <w:rPr>
          <w:rFonts w:cstheme="minorHAnsi"/>
        </w:rPr>
        <w:t>099-32/2021/RK ze dne 26.</w:t>
      </w:r>
      <w:r w:rsidR="00E31559">
        <w:rPr>
          <w:rFonts w:cstheme="minorHAnsi"/>
        </w:rPr>
        <w:t xml:space="preserve"> </w:t>
      </w:r>
      <w:r w:rsidRPr="004117F0">
        <w:rPr>
          <w:rFonts w:cstheme="minorHAnsi"/>
        </w:rPr>
        <w:t>8.</w:t>
      </w:r>
      <w:r w:rsidR="00E31559">
        <w:rPr>
          <w:rFonts w:cstheme="minorHAnsi"/>
        </w:rPr>
        <w:t xml:space="preserve"> </w:t>
      </w:r>
      <w:r w:rsidRPr="004117F0">
        <w:rPr>
          <w:rFonts w:cstheme="minorHAnsi"/>
        </w:rPr>
        <w:t>2021</w:t>
      </w:r>
      <w:r>
        <w:rPr>
          <w:rFonts w:cstheme="minorHAnsi"/>
        </w:rPr>
        <w:t xml:space="preserve"> </w:t>
      </w:r>
      <w:r w:rsidRPr="004117F0">
        <w:rPr>
          <w:rFonts w:cstheme="minorHAnsi"/>
        </w:rPr>
        <w:t>Hornickému muzeu Příbram na financování investic v</w:t>
      </w:r>
      <w:r>
        <w:rPr>
          <w:rFonts w:cstheme="minorHAnsi"/>
        </w:rPr>
        <w:t> </w:t>
      </w:r>
      <w:r w:rsidRPr="004117F0">
        <w:rPr>
          <w:rFonts w:cstheme="minorHAnsi"/>
        </w:rPr>
        <w:t>areálu</w:t>
      </w:r>
      <w:r>
        <w:rPr>
          <w:rFonts w:cstheme="minorHAnsi"/>
        </w:rPr>
        <w:t xml:space="preserve"> </w:t>
      </w:r>
      <w:r w:rsidRPr="004117F0">
        <w:rPr>
          <w:rFonts w:cstheme="minorHAnsi"/>
        </w:rPr>
        <w:t>Bytíz</w:t>
      </w:r>
      <w:r>
        <w:rPr>
          <w:rFonts w:cstheme="minorHAnsi"/>
        </w:rPr>
        <w:t xml:space="preserve"> ve výši </w:t>
      </w:r>
      <w:r w:rsidRPr="002514AF">
        <w:rPr>
          <w:rFonts w:cstheme="minorHAnsi"/>
        </w:rPr>
        <w:t>3</w:t>
      </w:r>
      <w:r>
        <w:rPr>
          <w:rFonts w:cstheme="minorHAnsi"/>
        </w:rPr>
        <w:t> </w:t>
      </w:r>
      <w:r w:rsidRPr="002514AF">
        <w:rPr>
          <w:rFonts w:cstheme="minorHAnsi"/>
        </w:rPr>
        <w:t>354</w:t>
      </w:r>
      <w:r>
        <w:rPr>
          <w:rFonts w:cstheme="minorHAnsi"/>
        </w:rPr>
        <w:t> </w:t>
      </w:r>
      <w:r w:rsidRPr="002514AF">
        <w:rPr>
          <w:rFonts w:cstheme="minorHAnsi"/>
        </w:rPr>
        <w:t>806</w:t>
      </w:r>
      <w:r>
        <w:rPr>
          <w:rFonts w:cstheme="minorHAnsi"/>
        </w:rPr>
        <w:t xml:space="preserve">,00 Kč. Další nevyužité prostředky fondu ve výši 440 000,00 Kč byly poskytnuty </w:t>
      </w:r>
      <w:r w:rsidRPr="00DF1D76">
        <w:rPr>
          <w:rFonts w:cstheme="minorHAnsi"/>
        </w:rPr>
        <w:t>Ústav</w:t>
      </w:r>
      <w:r>
        <w:rPr>
          <w:rFonts w:cstheme="minorHAnsi"/>
        </w:rPr>
        <w:t>u</w:t>
      </w:r>
      <w:r w:rsidRPr="00DF1D76">
        <w:rPr>
          <w:rFonts w:cstheme="minorHAnsi"/>
        </w:rPr>
        <w:t xml:space="preserve"> archeologické památkové péče středních Čech</w:t>
      </w:r>
      <w:r>
        <w:rPr>
          <w:rFonts w:cstheme="minorHAnsi"/>
        </w:rPr>
        <w:t>, p. o.</w:t>
      </w:r>
      <w:r w:rsidRPr="00DF1D76">
        <w:rPr>
          <w:rFonts w:cstheme="minorHAnsi"/>
        </w:rPr>
        <w:t xml:space="preserve"> na výdaje roku 2022 v souvislosti se zajištěním postupného naplňování Koncepce rozšíření provozu Informačního centra keltské kultury na léta 2022-2026</w:t>
      </w:r>
      <w:r>
        <w:rPr>
          <w:rFonts w:cstheme="minorHAnsi"/>
        </w:rPr>
        <w:t>.</w:t>
      </w:r>
    </w:p>
    <w:p w14:paraId="4FDEB512" w14:textId="77777777" w:rsidR="00ED51F3" w:rsidRPr="0082664B" w:rsidRDefault="00ED51F3" w:rsidP="00ED51F3">
      <w:pPr>
        <w:spacing w:after="0" w:line="240" w:lineRule="auto"/>
        <w:jc w:val="both"/>
        <w:rPr>
          <w:rFonts w:eastAsia="Times New Roman" w:cstheme="minorHAnsi"/>
          <w:b/>
          <w:lang w:eastAsia="cs-CZ"/>
        </w:rPr>
      </w:pPr>
    </w:p>
    <w:p w14:paraId="2DD551CD" w14:textId="77777777" w:rsidR="00ED51F3" w:rsidRPr="0082664B" w:rsidRDefault="00ED51F3" w:rsidP="00ED51F3">
      <w:pPr>
        <w:spacing w:after="0" w:line="240" w:lineRule="auto"/>
        <w:jc w:val="both"/>
        <w:rPr>
          <w:rFonts w:eastAsia="Times New Roman" w:cstheme="minorHAnsi"/>
          <w:sz w:val="24"/>
          <w:szCs w:val="24"/>
          <w:u w:val="single"/>
          <w:lang w:eastAsia="cs-CZ"/>
        </w:rPr>
      </w:pPr>
      <w:r w:rsidRPr="0082664B">
        <w:rPr>
          <w:rFonts w:eastAsia="Times New Roman" w:cstheme="minorHAnsi"/>
          <w:b/>
          <w:sz w:val="24"/>
          <w:szCs w:val="24"/>
          <w:u w:val="single"/>
          <w:lang w:eastAsia="cs-CZ"/>
        </w:rPr>
        <w:t>Kapitálové výdaje</w:t>
      </w:r>
    </w:p>
    <w:p w14:paraId="6BAFEC47" w14:textId="77777777" w:rsidR="00ED51F3" w:rsidRPr="0082664B" w:rsidRDefault="00ED51F3" w:rsidP="00ED51F3">
      <w:pPr>
        <w:spacing w:after="0" w:line="240" w:lineRule="auto"/>
        <w:jc w:val="both"/>
        <w:rPr>
          <w:rFonts w:eastAsia="Times New Roman" w:cstheme="minorHAnsi"/>
          <w:b/>
          <w:u w:val="single"/>
          <w:lang w:eastAsia="cs-CZ"/>
        </w:rPr>
      </w:pPr>
    </w:p>
    <w:p w14:paraId="57085295" w14:textId="77777777" w:rsidR="00ED51F3" w:rsidRPr="0082664B" w:rsidRDefault="00ED51F3" w:rsidP="00ED51F3">
      <w:pPr>
        <w:spacing w:after="0" w:line="240" w:lineRule="auto"/>
        <w:jc w:val="both"/>
        <w:rPr>
          <w:rFonts w:eastAsia="Times New Roman" w:cstheme="minorHAnsi"/>
          <w:b/>
          <w:lang w:eastAsia="cs-CZ"/>
        </w:rPr>
      </w:pPr>
      <w:bookmarkStart w:id="23" w:name="_Hlk96848236"/>
      <w:r>
        <w:rPr>
          <w:rFonts w:eastAsia="Times New Roman" w:cstheme="minorHAnsi"/>
          <w:b/>
          <w:lang w:eastAsia="cs-CZ"/>
        </w:rPr>
        <w:t xml:space="preserve">§ 2143 – </w:t>
      </w:r>
      <w:r w:rsidRPr="0010593F">
        <w:rPr>
          <w:rFonts w:eastAsia="Times New Roman" w:cstheme="minorHAnsi"/>
          <w:b/>
          <w:lang w:eastAsia="cs-CZ"/>
        </w:rPr>
        <w:t>Podpora cestovního ruchu</w:t>
      </w:r>
    </w:p>
    <w:p w14:paraId="75550274" w14:textId="67219557" w:rsidR="00ED51F3" w:rsidRDefault="00ED51F3" w:rsidP="00ED51F3">
      <w:pPr>
        <w:spacing w:after="0" w:line="240" w:lineRule="auto"/>
        <w:jc w:val="both"/>
        <w:rPr>
          <w:rFonts w:eastAsia="Times New Roman" w:cstheme="minorHAnsi"/>
          <w:lang w:eastAsia="cs-CZ"/>
        </w:rPr>
      </w:pPr>
      <w:r w:rsidRPr="0082664B">
        <w:rPr>
          <w:rFonts w:eastAsia="Times New Roman" w:cstheme="minorHAnsi"/>
          <w:lang w:eastAsia="cs-CZ"/>
        </w:rPr>
        <w:lastRenderedPageBreak/>
        <w:t xml:space="preserve">Upravený rozpočet pro rok 2021 je ve výši </w:t>
      </w:r>
      <w:r>
        <w:rPr>
          <w:rFonts w:eastAsia="Times New Roman" w:cstheme="minorHAnsi"/>
          <w:lang w:eastAsia="cs-CZ"/>
        </w:rPr>
        <w:t>524 985,00</w:t>
      </w:r>
      <w:r w:rsidRPr="0082664B">
        <w:rPr>
          <w:rFonts w:eastAsia="Times New Roman" w:cstheme="minorHAnsi"/>
          <w:lang w:eastAsia="cs-CZ"/>
        </w:rPr>
        <w:t xml:space="preserve"> Kč</w:t>
      </w:r>
      <w:r>
        <w:rPr>
          <w:rFonts w:eastAsia="Times New Roman" w:cstheme="minorHAnsi"/>
          <w:lang w:eastAsia="cs-CZ"/>
        </w:rPr>
        <w:t xml:space="preserve"> je určen na </w:t>
      </w:r>
      <w:r w:rsidRPr="00CD1659">
        <w:rPr>
          <w:rFonts w:eastAsia="Times New Roman" w:cstheme="minorHAnsi"/>
          <w:lang w:eastAsia="cs-CZ"/>
        </w:rPr>
        <w:t>poskytnutí</w:t>
      </w:r>
      <w:r>
        <w:rPr>
          <w:rFonts w:eastAsia="Times New Roman" w:cstheme="minorHAnsi"/>
          <w:lang w:eastAsia="cs-CZ"/>
        </w:rPr>
        <w:t xml:space="preserve"> investičních</w:t>
      </w:r>
      <w:r w:rsidRPr="00CD1659">
        <w:rPr>
          <w:rFonts w:eastAsia="Times New Roman" w:cstheme="minorHAnsi"/>
          <w:lang w:eastAsia="cs-CZ"/>
        </w:rPr>
        <w:t xml:space="preserve"> dotací </w:t>
      </w:r>
      <w:r>
        <w:rPr>
          <w:rFonts w:eastAsia="Times New Roman" w:cstheme="minorHAnsi"/>
          <w:lang w:eastAsia="cs-CZ"/>
        </w:rPr>
        <w:br/>
      </w:r>
      <w:r w:rsidRPr="00CD1659">
        <w:rPr>
          <w:rFonts w:eastAsia="Times New Roman" w:cstheme="minorHAnsi"/>
          <w:lang w:eastAsia="cs-CZ"/>
        </w:rPr>
        <w:t>z Programu na podporu informačních center Středočeského kraje pro rok 2021</w:t>
      </w:r>
      <w:r>
        <w:rPr>
          <w:rFonts w:eastAsia="Times New Roman" w:cstheme="minorHAnsi"/>
          <w:lang w:eastAsia="cs-CZ"/>
        </w:rPr>
        <w:t xml:space="preserve"> </w:t>
      </w:r>
      <w:r w:rsidRPr="00CD1659">
        <w:rPr>
          <w:rFonts w:eastAsia="Times New Roman" w:cstheme="minorHAnsi"/>
          <w:lang w:eastAsia="cs-CZ"/>
        </w:rPr>
        <w:t>dle usnesení č. 044-08/2021/ZK ze dne 28.</w:t>
      </w:r>
      <w:r w:rsidR="00E31559">
        <w:rPr>
          <w:rFonts w:eastAsia="Times New Roman" w:cstheme="minorHAnsi"/>
          <w:lang w:eastAsia="cs-CZ"/>
        </w:rPr>
        <w:t xml:space="preserve"> </w:t>
      </w:r>
      <w:r w:rsidRPr="00CD1659">
        <w:rPr>
          <w:rFonts w:eastAsia="Times New Roman" w:cstheme="minorHAnsi"/>
          <w:lang w:eastAsia="cs-CZ"/>
        </w:rPr>
        <w:t>6.</w:t>
      </w:r>
      <w:r w:rsidR="00E31559">
        <w:rPr>
          <w:rFonts w:eastAsia="Times New Roman" w:cstheme="minorHAnsi"/>
          <w:lang w:eastAsia="cs-CZ"/>
        </w:rPr>
        <w:t xml:space="preserve"> </w:t>
      </w:r>
      <w:r w:rsidRPr="00CD1659">
        <w:rPr>
          <w:rFonts w:eastAsia="Times New Roman" w:cstheme="minorHAnsi"/>
          <w:lang w:eastAsia="cs-CZ"/>
        </w:rPr>
        <w:t>2021</w:t>
      </w:r>
      <w:r>
        <w:rPr>
          <w:rFonts w:eastAsia="Times New Roman" w:cstheme="minorHAnsi"/>
          <w:lang w:eastAsia="cs-CZ"/>
        </w:rPr>
        <w:t xml:space="preserve">. </w:t>
      </w:r>
      <w:r w:rsidRPr="0082664B">
        <w:rPr>
          <w:rFonts w:eastAsia="Times New Roman" w:cstheme="minorHAnsi"/>
          <w:lang w:eastAsia="cs-CZ"/>
        </w:rPr>
        <w:t>Finanční prostředky byly čerpány</w:t>
      </w:r>
      <w:bookmarkEnd w:id="23"/>
      <w:r>
        <w:rPr>
          <w:rFonts w:eastAsia="Times New Roman" w:cstheme="minorHAnsi"/>
          <w:lang w:eastAsia="cs-CZ"/>
        </w:rPr>
        <w:t xml:space="preserve"> v 94,4 %</w:t>
      </w:r>
      <w:r w:rsidRPr="0082664B">
        <w:rPr>
          <w:rFonts w:eastAsia="Times New Roman" w:cstheme="minorHAnsi"/>
          <w:lang w:eastAsia="cs-CZ"/>
        </w:rPr>
        <w:t>.</w:t>
      </w:r>
    </w:p>
    <w:p w14:paraId="594C24A9" w14:textId="77777777" w:rsidR="00ED51F3" w:rsidRDefault="00ED51F3" w:rsidP="00ED51F3">
      <w:pPr>
        <w:spacing w:after="0" w:line="240" w:lineRule="auto"/>
        <w:jc w:val="both"/>
        <w:rPr>
          <w:rFonts w:eastAsia="Times New Roman" w:cstheme="minorHAnsi"/>
          <w:b/>
          <w:bCs/>
          <w:lang w:eastAsia="cs-CZ"/>
        </w:rPr>
      </w:pPr>
    </w:p>
    <w:p w14:paraId="59273F6F" w14:textId="77777777" w:rsidR="00ED51F3" w:rsidRPr="0010593F" w:rsidRDefault="00ED51F3" w:rsidP="00ED51F3">
      <w:pPr>
        <w:spacing w:after="0" w:line="240" w:lineRule="auto"/>
        <w:jc w:val="both"/>
        <w:rPr>
          <w:rFonts w:eastAsia="Times New Roman" w:cstheme="minorHAnsi"/>
          <w:b/>
          <w:bCs/>
          <w:lang w:eastAsia="cs-CZ"/>
        </w:rPr>
      </w:pPr>
      <w:r w:rsidRPr="0010593F">
        <w:rPr>
          <w:rFonts w:eastAsia="Times New Roman" w:cstheme="minorHAnsi"/>
          <w:b/>
          <w:bCs/>
          <w:lang w:eastAsia="cs-CZ"/>
        </w:rPr>
        <w:t xml:space="preserve">§ </w:t>
      </w:r>
      <w:r>
        <w:rPr>
          <w:rFonts w:eastAsia="Times New Roman" w:cstheme="minorHAnsi"/>
          <w:b/>
          <w:bCs/>
          <w:lang w:eastAsia="cs-CZ"/>
        </w:rPr>
        <w:t>3315</w:t>
      </w:r>
      <w:r w:rsidRPr="0010593F">
        <w:rPr>
          <w:rFonts w:eastAsia="Times New Roman" w:cstheme="minorHAnsi"/>
          <w:b/>
          <w:bCs/>
          <w:lang w:eastAsia="cs-CZ"/>
        </w:rPr>
        <w:t xml:space="preserve"> – Oblastní muzeum P-V, Ztvárnění průběhu R. Heydricha</w:t>
      </w:r>
    </w:p>
    <w:p w14:paraId="51B96F92" w14:textId="5DC3BB01" w:rsidR="00ED51F3" w:rsidRDefault="00ED51F3" w:rsidP="00ED51F3">
      <w:pPr>
        <w:spacing w:after="0" w:line="240" w:lineRule="auto"/>
        <w:jc w:val="both"/>
        <w:rPr>
          <w:rFonts w:eastAsia="Times New Roman" w:cstheme="minorHAnsi"/>
          <w:lang w:eastAsia="cs-CZ"/>
        </w:rPr>
      </w:pPr>
      <w:r>
        <w:rPr>
          <w:rFonts w:eastAsia="Times New Roman" w:cstheme="minorHAnsi"/>
          <w:lang w:eastAsia="cs-CZ"/>
        </w:rPr>
        <w:t xml:space="preserve">V roce 2021 byl </w:t>
      </w:r>
      <w:r w:rsidRPr="0002740D">
        <w:rPr>
          <w:rFonts w:eastAsia="Times New Roman" w:cstheme="minorHAnsi"/>
          <w:lang w:eastAsia="cs-CZ"/>
        </w:rPr>
        <w:t>poskytnut investiční příspě</w:t>
      </w:r>
      <w:r>
        <w:rPr>
          <w:rFonts w:eastAsia="Times New Roman" w:cstheme="minorHAnsi"/>
          <w:lang w:eastAsia="cs-CZ"/>
        </w:rPr>
        <w:t>vek</w:t>
      </w:r>
      <w:r w:rsidRPr="0002740D">
        <w:rPr>
          <w:rFonts w:eastAsia="Times New Roman" w:cstheme="minorHAnsi"/>
          <w:lang w:eastAsia="cs-CZ"/>
        </w:rPr>
        <w:t xml:space="preserve"> ve výši 1 967 750,00 Kč</w:t>
      </w:r>
      <w:r>
        <w:rPr>
          <w:rFonts w:eastAsia="Times New Roman" w:cstheme="minorHAnsi"/>
          <w:lang w:eastAsia="cs-CZ"/>
        </w:rPr>
        <w:t xml:space="preserve"> pro Oblastní muzeum Praha – východ, p. o.</w:t>
      </w:r>
      <w:r w:rsidRPr="0002740D">
        <w:rPr>
          <w:rFonts w:eastAsia="Times New Roman" w:cstheme="minorHAnsi"/>
          <w:lang w:eastAsia="cs-CZ"/>
        </w:rPr>
        <w:t xml:space="preserve"> </w:t>
      </w:r>
      <w:r>
        <w:rPr>
          <w:rFonts w:eastAsia="Times New Roman" w:cstheme="minorHAnsi"/>
          <w:lang w:eastAsia="cs-CZ"/>
        </w:rPr>
        <w:t xml:space="preserve"> (u</w:t>
      </w:r>
      <w:r w:rsidRPr="0002740D">
        <w:rPr>
          <w:rFonts w:eastAsia="Times New Roman" w:cstheme="minorHAnsi"/>
          <w:lang w:eastAsia="cs-CZ"/>
        </w:rPr>
        <w:t>snesení č. 007-37/2021/RK ze dne 30.</w:t>
      </w:r>
      <w:r w:rsidR="00E31559">
        <w:rPr>
          <w:rFonts w:eastAsia="Times New Roman" w:cstheme="minorHAnsi"/>
          <w:lang w:eastAsia="cs-CZ"/>
        </w:rPr>
        <w:t xml:space="preserve"> </w:t>
      </w:r>
      <w:r w:rsidRPr="0002740D">
        <w:rPr>
          <w:rFonts w:eastAsia="Times New Roman" w:cstheme="minorHAnsi"/>
          <w:lang w:eastAsia="cs-CZ"/>
        </w:rPr>
        <w:t>9.</w:t>
      </w:r>
      <w:r w:rsidR="00E31559">
        <w:rPr>
          <w:rFonts w:eastAsia="Times New Roman" w:cstheme="minorHAnsi"/>
          <w:lang w:eastAsia="cs-CZ"/>
        </w:rPr>
        <w:t xml:space="preserve"> </w:t>
      </w:r>
      <w:r w:rsidRPr="0002740D">
        <w:rPr>
          <w:rFonts w:eastAsia="Times New Roman" w:cstheme="minorHAnsi"/>
          <w:lang w:eastAsia="cs-CZ"/>
        </w:rPr>
        <w:t>2021</w:t>
      </w:r>
      <w:r>
        <w:rPr>
          <w:rFonts w:eastAsia="Times New Roman" w:cstheme="minorHAnsi"/>
          <w:lang w:eastAsia="cs-CZ"/>
        </w:rPr>
        <w:t xml:space="preserve">) </w:t>
      </w:r>
      <w:r w:rsidRPr="0002740D">
        <w:rPr>
          <w:rFonts w:eastAsia="Times New Roman" w:cstheme="minorHAnsi"/>
          <w:lang w:eastAsia="cs-CZ"/>
        </w:rPr>
        <w:t>na ztvárnění průběhu útoku na zastupujícího říšského protektora R. Heydricha v 3D modelu tzv. virtuální realitě v Památníku národního útlaku a odboje Panenské Břežany. V roce 2022 oslavíme 80. výročí od největšího činu domácího odboje v okupovaných zemích Evropy, což byl útok na zastupujícího říšského protektora R. Heydricha.</w:t>
      </w:r>
      <w:r>
        <w:rPr>
          <w:rFonts w:eastAsia="Times New Roman" w:cstheme="minorHAnsi"/>
          <w:lang w:eastAsia="cs-CZ"/>
        </w:rPr>
        <w:t xml:space="preserve"> Další i</w:t>
      </w:r>
      <w:r w:rsidRPr="0002740D">
        <w:rPr>
          <w:rFonts w:eastAsia="Times New Roman" w:cstheme="minorHAnsi"/>
          <w:lang w:eastAsia="cs-CZ"/>
        </w:rPr>
        <w:t>nvestiční prostředky</w:t>
      </w:r>
      <w:r>
        <w:rPr>
          <w:rFonts w:eastAsia="Times New Roman" w:cstheme="minorHAnsi"/>
          <w:lang w:eastAsia="cs-CZ"/>
        </w:rPr>
        <w:t xml:space="preserve"> ve výši 600 000,00 Kč</w:t>
      </w:r>
      <w:r w:rsidRPr="0002740D">
        <w:rPr>
          <w:rFonts w:eastAsia="Times New Roman" w:cstheme="minorHAnsi"/>
          <w:lang w:eastAsia="cs-CZ"/>
        </w:rPr>
        <w:t xml:space="preserve"> byly určeny pro</w:t>
      </w:r>
      <w:r>
        <w:rPr>
          <w:rFonts w:eastAsia="Times New Roman" w:cstheme="minorHAnsi"/>
          <w:lang w:eastAsia="cs-CZ"/>
        </w:rPr>
        <w:t xml:space="preserve"> již zmiňovanou</w:t>
      </w:r>
      <w:r w:rsidRPr="0002740D">
        <w:rPr>
          <w:rFonts w:eastAsia="Times New Roman" w:cstheme="minorHAnsi"/>
          <w:lang w:eastAsia="cs-CZ"/>
        </w:rPr>
        <w:t xml:space="preserve"> příspěvkovou organizaci Oblastní muzeum Praha – východ na připravované akce k 80. výročí událostí 1942</w:t>
      </w:r>
      <w:r>
        <w:rPr>
          <w:rFonts w:eastAsia="Times New Roman" w:cstheme="minorHAnsi"/>
          <w:lang w:eastAsia="cs-CZ"/>
        </w:rPr>
        <w:t xml:space="preserve"> (</w:t>
      </w:r>
      <w:r w:rsidRPr="00314C00">
        <w:rPr>
          <w:rFonts w:eastAsia="Times New Roman" w:cstheme="minorHAnsi"/>
          <w:lang w:eastAsia="cs-CZ"/>
        </w:rPr>
        <w:t>usnesení 057-46/2021/RK ze dne 9.</w:t>
      </w:r>
      <w:r w:rsidR="00E31559">
        <w:rPr>
          <w:rFonts w:eastAsia="Times New Roman" w:cstheme="minorHAnsi"/>
          <w:lang w:eastAsia="cs-CZ"/>
        </w:rPr>
        <w:t xml:space="preserve"> </w:t>
      </w:r>
      <w:r w:rsidRPr="00314C00">
        <w:rPr>
          <w:rFonts w:eastAsia="Times New Roman" w:cstheme="minorHAnsi"/>
          <w:lang w:eastAsia="cs-CZ"/>
        </w:rPr>
        <w:t>12.</w:t>
      </w:r>
      <w:r w:rsidR="00E31559">
        <w:rPr>
          <w:rFonts w:eastAsia="Times New Roman" w:cstheme="minorHAnsi"/>
          <w:lang w:eastAsia="cs-CZ"/>
        </w:rPr>
        <w:t xml:space="preserve"> </w:t>
      </w:r>
      <w:r w:rsidRPr="00314C00">
        <w:rPr>
          <w:rFonts w:eastAsia="Times New Roman" w:cstheme="minorHAnsi"/>
          <w:lang w:eastAsia="cs-CZ"/>
        </w:rPr>
        <w:t>2021</w:t>
      </w:r>
      <w:r>
        <w:rPr>
          <w:rFonts w:eastAsia="Times New Roman" w:cstheme="minorHAnsi"/>
          <w:lang w:eastAsia="cs-CZ"/>
        </w:rPr>
        <w:t>). Čerpání je ve výši 100,0 %.</w:t>
      </w:r>
    </w:p>
    <w:p w14:paraId="51FA239B" w14:textId="77777777" w:rsidR="00ED51F3" w:rsidRDefault="00ED51F3" w:rsidP="00ED51F3">
      <w:pPr>
        <w:spacing w:after="0" w:line="240" w:lineRule="auto"/>
        <w:jc w:val="both"/>
        <w:rPr>
          <w:rFonts w:eastAsia="Times New Roman" w:cstheme="minorHAnsi"/>
          <w:lang w:eastAsia="cs-CZ"/>
        </w:rPr>
      </w:pPr>
    </w:p>
    <w:p w14:paraId="0434DCE9" w14:textId="77777777" w:rsidR="00ED51F3" w:rsidRPr="0082664B" w:rsidRDefault="00ED51F3" w:rsidP="00ED51F3">
      <w:pPr>
        <w:spacing w:after="0" w:line="240" w:lineRule="auto"/>
        <w:jc w:val="both"/>
        <w:rPr>
          <w:rFonts w:eastAsia="Times New Roman" w:cstheme="minorHAnsi"/>
          <w:b/>
          <w:lang w:eastAsia="cs-CZ"/>
        </w:rPr>
      </w:pPr>
      <w:r>
        <w:rPr>
          <w:rFonts w:eastAsia="Times New Roman" w:cstheme="minorHAnsi"/>
          <w:b/>
          <w:lang w:eastAsia="cs-CZ"/>
        </w:rPr>
        <w:t xml:space="preserve">§ 3315 – </w:t>
      </w:r>
      <w:r w:rsidRPr="0010593F">
        <w:rPr>
          <w:rFonts w:eastAsia="Times New Roman" w:cstheme="minorHAnsi"/>
          <w:b/>
          <w:lang w:eastAsia="cs-CZ"/>
        </w:rPr>
        <w:t>Hornické muzeum Příbram</w:t>
      </w:r>
      <w:r>
        <w:rPr>
          <w:rFonts w:eastAsia="Times New Roman" w:cstheme="minorHAnsi"/>
          <w:b/>
          <w:lang w:eastAsia="cs-CZ"/>
        </w:rPr>
        <w:t xml:space="preserve"> – investice v areálu Bytíz</w:t>
      </w:r>
    </w:p>
    <w:p w14:paraId="7B0B83D3" w14:textId="77777777" w:rsidR="00ED51F3" w:rsidRDefault="00ED51F3" w:rsidP="00ED51F3">
      <w:pPr>
        <w:spacing w:after="0" w:line="240" w:lineRule="auto"/>
        <w:jc w:val="both"/>
        <w:rPr>
          <w:rFonts w:eastAsia="Times New Roman" w:cstheme="minorHAnsi"/>
          <w:lang w:eastAsia="cs-CZ"/>
        </w:rPr>
      </w:pPr>
      <w:r w:rsidRPr="0082664B">
        <w:rPr>
          <w:rFonts w:eastAsia="Times New Roman" w:cstheme="minorHAnsi"/>
          <w:lang w:eastAsia="cs-CZ"/>
        </w:rPr>
        <w:t xml:space="preserve">Upravený rozpočet pro rok 2021 je ve výši </w:t>
      </w:r>
      <w:r>
        <w:rPr>
          <w:rFonts w:eastAsia="Times New Roman" w:cstheme="minorHAnsi"/>
          <w:lang w:eastAsia="cs-CZ"/>
        </w:rPr>
        <w:t>3 354 806,00</w:t>
      </w:r>
      <w:r w:rsidRPr="0082664B">
        <w:rPr>
          <w:rFonts w:eastAsia="Times New Roman" w:cstheme="minorHAnsi"/>
          <w:lang w:eastAsia="cs-CZ"/>
        </w:rPr>
        <w:t xml:space="preserve"> Kč.</w:t>
      </w:r>
      <w:r>
        <w:rPr>
          <w:rFonts w:eastAsia="Times New Roman" w:cstheme="minorHAnsi"/>
          <w:lang w:eastAsia="cs-CZ"/>
        </w:rPr>
        <w:t xml:space="preserve"> </w:t>
      </w:r>
      <w:r w:rsidRPr="00FF1336">
        <w:rPr>
          <w:rFonts w:eastAsia="Times New Roman" w:cstheme="minorHAnsi"/>
          <w:lang w:eastAsia="cs-CZ"/>
        </w:rPr>
        <w:t>Zastupitelstvo Středočeského kraje vzalo na vědomí usnesení č. 041-08/2021/ZK ze dne 28. 6. 2021 zpětvzetí žádostí o dotaci od žadatele SVA-solutions s.r.o, IČ: 07009437 a žadatele Radka Šorela, IČ: 48970786</w:t>
      </w:r>
      <w:r w:rsidRPr="00FF1336">
        <w:t xml:space="preserve"> </w:t>
      </w:r>
      <w:r>
        <w:t xml:space="preserve">ze </w:t>
      </w:r>
      <w:r w:rsidRPr="00FF1336">
        <w:rPr>
          <w:rFonts w:eastAsia="Times New Roman" w:cstheme="minorHAnsi"/>
          <w:lang w:eastAsia="cs-CZ"/>
        </w:rPr>
        <w:t>Středočeského Fondu rozvoje doprovodné infrastruktury. Nevyužité investiční prostředky</w:t>
      </w:r>
      <w:r w:rsidRPr="00FF1336">
        <w:t xml:space="preserve"> </w:t>
      </w:r>
      <w:r w:rsidRPr="00FF1336">
        <w:rPr>
          <w:rFonts w:eastAsia="Times New Roman" w:cstheme="minorHAnsi"/>
          <w:lang w:eastAsia="cs-CZ"/>
        </w:rPr>
        <w:t>ve výši 3 354 806,00 Kč byly poskytnuty v souladu s usnesením č. 099-32/2021/RK ze dne 26.8.2021 Hornickému muzeu Příbram</w:t>
      </w:r>
      <w:r>
        <w:rPr>
          <w:rFonts w:eastAsia="Times New Roman" w:cstheme="minorHAnsi"/>
          <w:lang w:eastAsia="cs-CZ"/>
        </w:rPr>
        <w:t>, p. o.</w:t>
      </w:r>
      <w:r w:rsidRPr="00FF1336">
        <w:rPr>
          <w:rFonts w:eastAsia="Times New Roman" w:cstheme="minorHAnsi"/>
          <w:lang w:eastAsia="cs-CZ"/>
        </w:rPr>
        <w:t xml:space="preserve"> na financování investic v areálu Bytíz.</w:t>
      </w:r>
      <w:r>
        <w:rPr>
          <w:rFonts w:eastAsia="Times New Roman" w:cstheme="minorHAnsi"/>
          <w:lang w:eastAsia="cs-CZ"/>
        </w:rPr>
        <w:t xml:space="preserve"> </w:t>
      </w:r>
      <w:r w:rsidRPr="00F956C2">
        <w:rPr>
          <w:rFonts w:eastAsia="Times New Roman" w:cstheme="minorHAnsi"/>
          <w:lang w:eastAsia="cs-CZ"/>
        </w:rPr>
        <w:t>Jednalo se o vybudování vodovodní přípojky, areálových rozvodů inženýrských sítí a stavební práce v budově strojovny a elektrorozvodny</w:t>
      </w:r>
      <w:r w:rsidRPr="0082664B">
        <w:rPr>
          <w:rFonts w:eastAsia="Times New Roman" w:cstheme="minorHAnsi"/>
          <w:lang w:eastAsia="cs-CZ"/>
        </w:rPr>
        <w:t>. Finanční prostředky byly čerpány</w:t>
      </w:r>
      <w:r>
        <w:rPr>
          <w:rFonts w:eastAsia="Times New Roman" w:cstheme="minorHAnsi"/>
          <w:lang w:eastAsia="cs-CZ"/>
        </w:rPr>
        <w:t xml:space="preserve"> na 100,0 %.</w:t>
      </w:r>
    </w:p>
    <w:p w14:paraId="03CD23CD" w14:textId="77777777" w:rsidR="00ED51F3" w:rsidRDefault="00ED51F3" w:rsidP="00ED51F3">
      <w:pPr>
        <w:spacing w:after="0" w:line="240" w:lineRule="auto"/>
        <w:jc w:val="both"/>
        <w:rPr>
          <w:rFonts w:eastAsia="Times New Roman" w:cstheme="minorHAnsi"/>
          <w:lang w:eastAsia="cs-CZ"/>
        </w:rPr>
      </w:pPr>
    </w:p>
    <w:p w14:paraId="6FE3238C" w14:textId="77777777" w:rsidR="00ED51F3" w:rsidRPr="0082664B" w:rsidRDefault="00ED51F3" w:rsidP="00ED51F3">
      <w:pPr>
        <w:spacing w:after="0" w:line="240" w:lineRule="auto"/>
        <w:jc w:val="both"/>
        <w:rPr>
          <w:rFonts w:eastAsia="Times New Roman" w:cstheme="minorHAnsi"/>
          <w:b/>
          <w:lang w:eastAsia="cs-CZ"/>
        </w:rPr>
      </w:pPr>
      <w:r>
        <w:rPr>
          <w:rFonts w:eastAsia="Times New Roman" w:cstheme="minorHAnsi"/>
          <w:b/>
          <w:lang w:eastAsia="cs-CZ"/>
        </w:rPr>
        <w:t>§ 3315 – Rozvojové projekty PO</w:t>
      </w:r>
    </w:p>
    <w:p w14:paraId="77D794E9" w14:textId="05D47E2A" w:rsidR="00ED51F3" w:rsidRDefault="00ED51F3" w:rsidP="00ED51F3">
      <w:pPr>
        <w:spacing w:after="0" w:line="240" w:lineRule="auto"/>
        <w:jc w:val="both"/>
        <w:rPr>
          <w:rFonts w:eastAsia="Times New Roman" w:cstheme="minorHAnsi"/>
          <w:lang w:eastAsia="cs-CZ"/>
        </w:rPr>
      </w:pPr>
      <w:r w:rsidRPr="00A010FD">
        <w:rPr>
          <w:rFonts w:eastAsia="Times New Roman" w:cstheme="minorHAnsi"/>
          <w:lang w:eastAsia="cs-CZ"/>
        </w:rPr>
        <w:t>Usnesením č. 058-46/2021/RK ze dne 9.</w:t>
      </w:r>
      <w:r w:rsidR="00E31559">
        <w:rPr>
          <w:rFonts w:eastAsia="Times New Roman" w:cstheme="minorHAnsi"/>
          <w:lang w:eastAsia="cs-CZ"/>
        </w:rPr>
        <w:t xml:space="preserve"> </w:t>
      </w:r>
      <w:r w:rsidRPr="00A010FD">
        <w:rPr>
          <w:rFonts w:eastAsia="Times New Roman" w:cstheme="minorHAnsi"/>
          <w:lang w:eastAsia="cs-CZ"/>
        </w:rPr>
        <w:t>12.</w:t>
      </w:r>
      <w:r w:rsidR="00E31559">
        <w:rPr>
          <w:rFonts w:eastAsia="Times New Roman" w:cstheme="minorHAnsi"/>
          <w:lang w:eastAsia="cs-CZ"/>
        </w:rPr>
        <w:t xml:space="preserve"> </w:t>
      </w:r>
      <w:r w:rsidRPr="00A010FD">
        <w:rPr>
          <w:rFonts w:eastAsia="Times New Roman" w:cstheme="minorHAnsi"/>
          <w:lang w:eastAsia="cs-CZ"/>
        </w:rPr>
        <w:t xml:space="preserve">2021 se </w:t>
      </w:r>
      <w:r>
        <w:rPr>
          <w:rFonts w:eastAsia="Times New Roman" w:cstheme="minorHAnsi"/>
          <w:lang w:eastAsia="cs-CZ"/>
        </w:rPr>
        <w:t xml:space="preserve">investiční </w:t>
      </w:r>
      <w:r w:rsidRPr="00A010FD">
        <w:rPr>
          <w:rFonts w:eastAsia="Times New Roman" w:cstheme="minorHAnsi"/>
          <w:lang w:eastAsia="cs-CZ"/>
        </w:rPr>
        <w:t xml:space="preserve">položka rozvojových projektů navýšila o částku </w:t>
      </w:r>
      <w:r>
        <w:rPr>
          <w:rFonts w:eastAsia="Times New Roman" w:cstheme="minorHAnsi"/>
          <w:lang w:eastAsia="cs-CZ"/>
        </w:rPr>
        <w:t>802 755,00</w:t>
      </w:r>
      <w:r w:rsidRPr="00A010FD">
        <w:rPr>
          <w:rFonts w:eastAsia="Times New Roman" w:cstheme="minorHAnsi"/>
          <w:lang w:eastAsia="cs-CZ"/>
        </w:rPr>
        <w:t xml:space="preserve"> Kč z prostředků cestovního ruchu. Finanční prostředky byly čerpány na </w:t>
      </w:r>
      <w:r>
        <w:rPr>
          <w:rFonts w:eastAsia="Times New Roman" w:cstheme="minorHAnsi"/>
          <w:lang w:eastAsia="cs-CZ"/>
        </w:rPr>
        <w:t xml:space="preserve">100,0 </w:t>
      </w:r>
      <w:r w:rsidRPr="00A010FD">
        <w:rPr>
          <w:rFonts w:eastAsia="Times New Roman" w:cstheme="minorHAnsi"/>
          <w:lang w:eastAsia="cs-CZ"/>
        </w:rPr>
        <w:t>% a byly rozepsány na konkrétní akce příspěvkových organizací Středočeské</w:t>
      </w:r>
      <w:r>
        <w:rPr>
          <w:rFonts w:eastAsia="Times New Roman" w:cstheme="minorHAnsi"/>
          <w:lang w:eastAsia="cs-CZ"/>
        </w:rPr>
        <w:t>ho</w:t>
      </w:r>
      <w:r w:rsidRPr="00A010FD">
        <w:rPr>
          <w:rFonts w:eastAsia="Times New Roman" w:cstheme="minorHAnsi"/>
          <w:lang w:eastAsia="cs-CZ"/>
        </w:rPr>
        <w:t xml:space="preserve"> muz</w:t>
      </w:r>
      <w:r>
        <w:rPr>
          <w:rFonts w:eastAsia="Times New Roman" w:cstheme="minorHAnsi"/>
          <w:lang w:eastAsia="cs-CZ"/>
        </w:rPr>
        <w:t>ea</w:t>
      </w:r>
      <w:r w:rsidRPr="00A010FD">
        <w:rPr>
          <w:rFonts w:eastAsia="Times New Roman" w:cstheme="minorHAnsi"/>
          <w:lang w:eastAsia="cs-CZ"/>
        </w:rPr>
        <w:t xml:space="preserve"> v Roztokách u Prahy</w:t>
      </w:r>
      <w:r>
        <w:rPr>
          <w:rFonts w:eastAsia="Times New Roman" w:cstheme="minorHAnsi"/>
          <w:lang w:eastAsia="cs-CZ"/>
        </w:rPr>
        <w:t xml:space="preserve"> na </w:t>
      </w:r>
      <w:r w:rsidRPr="00A010FD">
        <w:rPr>
          <w:rFonts w:eastAsia="Times New Roman" w:cstheme="minorHAnsi"/>
          <w:lang w:eastAsia="cs-CZ"/>
        </w:rPr>
        <w:t>akc</w:t>
      </w:r>
      <w:r>
        <w:rPr>
          <w:rFonts w:eastAsia="Times New Roman" w:cstheme="minorHAnsi"/>
          <w:lang w:eastAsia="cs-CZ"/>
        </w:rPr>
        <w:t>i</w:t>
      </w:r>
      <w:r w:rsidRPr="00A010FD">
        <w:rPr>
          <w:rFonts w:eastAsia="Times New Roman" w:cstheme="minorHAnsi"/>
          <w:lang w:eastAsia="cs-CZ"/>
        </w:rPr>
        <w:t xml:space="preserve"> "Realizace nákupu interaktivních 3D prvků pro budoucí expozici Stopami věků</w:t>
      </w:r>
      <w:r>
        <w:rPr>
          <w:rFonts w:eastAsia="Times New Roman" w:cstheme="minorHAnsi"/>
          <w:lang w:eastAsia="cs-CZ"/>
        </w:rPr>
        <w:t xml:space="preserve">“ a </w:t>
      </w:r>
      <w:r w:rsidRPr="00A010FD">
        <w:rPr>
          <w:rFonts w:eastAsia="Times New Roman" w:cstheme="minorHAnsi"/>
          <w:lang w:eastAsia="cs-CZ"/>
        </w:rPr>
        <w:t>Muze</w:t>
      </w:r>
      <w:r>
        <w:rPr>
          <w:rFonts w:eastAsia="Times New Roman" w:cstheme="minorHAnsi"/>
          <w:lang w:eastAsia="cs-CZ"/>
        </w:rPr>
        <w:t>a</w:t>
      </w:r>
      <w:r w:rsidRPr="00A010FD">
        <w:rPr>
          <w:rFonts w:eastAsia="Times New Roman" w:cstheme="minorHAnsi"/>
          <w:lang w:eastAsia="cs-CZ"/>
        </w:rPr>
        <w:t xml:space="preserve"> Českého krasu</w:t>
      </w:r>
      <w:r>
        <w:rPr>
          <w:rFonts w:eastAsia="Times New Roman" w:cstheme="minorHAnsi"/>
          <w:lang w:eastAsia="cs-CZ"/>
        </w:rPr>
        <w:t xml:space="preserve"> na </w:t>
      </w:r>
      <w:r w:rsidRPr="00A010FD">
        <w:rPr>
          <w:rFonts w:eastAsia="Times New Roman" w:cstheme="minorHAnsi"/>
          <w:lang w:eastAsia="cs-CZ"/>
        </w:rPr>
        <w:t>akc</w:t>
      </w:r>
      <w:r>
        <w:rPr>
          <w:rFonts w:eastAsia="Times New Roman" w:cstheme="minorHAnsi"/>
          <w:lang w:eastAsia="cs-CZ"/>
        </w:rPr>
        <w:t>i</w:t>
      </w:r>
      <w:r w:rsidRPr="00A010FD">
        <w:rPr>
          <w:rFonts w:eastAsia="Times New Roman" w:cstheme="minorHAnsi"/>
          <w:lang w:eastAsia="cs-CZ"/>
        </w:rPr>
        <w:t xml:space="preserve"> " Výstava Český kras a jeho lidé"</w:t>
      </w:r>
      <w:r>
        <w:rPr>
          <w:rFonts w:eastAsia="Times New Roman" w:cstheme="minorHAnsi"/>
          <w:lang w:eastAsia="cs-CZ"/>
        </w:rPr>
        <w:t>.</w:t>
      </w:r>
    </w:p>
    <w:p w14:paraId="2478B3F2" w14:textId="77777777" w:rsidR="00ED51F3" w:rsidRDefault="00ED51F3" w:rsidP="00ED51F3">
      <w:pPr>
        <w:spacing w:after="0" w:line="240" w:lineRule="auto"/>
        <w:jc w:val="both"/>
        <w:rPr>
          <w:rFonts w:eastAsia="Times New Roman" w:cstheme="minorHAnsi"/>
          <w:lang w:eastAsia="cs-CZ"/>
        </w:rPr>
      </w:pPr>
    </w:p>
    <w:p w14:paraId="459C03C9" w14:textId="77777777" w:rsidR="00ED51F3" w:rsidRPr="0082664B" w:rsidRDefault="00ED51F3" w:rsidP="00ED51F3">
      <w:pPr>
        <w:spacing w:after="0" w:line="240" w:lineRule="auto"/>
        <w:jc w:val="both"/>
        <w:rPr>
          <w:rFonts w:eastAsia="Times New Roman" w:cstheme="minorHAnsi"/>
          <w:b/>
          <w:lang w:eastAsia="cs-CZ"/>
        </w:rPr>
      </w:pPr>
      <w:r>
        <w:rPr>
          <w:rFonts w:eastAsia="Times New Roman" w:cstheme="minorHAnsi"/>
          <w:b/>
          <w:lang w:eastAsia="cs-CZ"/>
        </w:rPr>
        <w:t>§ 3322 – Program na obnovu památek určených ke společenskému</w:t>
      </w:r>
      <w:r w:rsidRPr="0082664B">
        <w:rPr>
          <w:rFonts w:eastAsia="Times New Roman" w:cstheme="minorHAnsi"/>
          <w:b/>
          <w:lang w:eastAsia="cs-CZ"/>
        </w:rPr>
        <w:t xml:space="preserve"> využití</w:t>
      </w:r>
    </w:p>
    <w:p w14:paraId="0D4A0AB1" w14:textId="77777777" w:rsidR="00ED51F3" w:rsidRDefault="00ED51F3" w:rsidP="00ED51F3">
      <w:pPr>
        <w:spacing w:after="0" w:line="240" w:lineRule="auto"/>
        <w:jc w:val="both"/>
        <w:rPr>
          <w:rFonts w:eastAsia="Times New Roman" w:cstheme="minorHAnsi"/>
          <w:lang w:eastAsia="cs-CZ"/>
        </w:rPr>
      </w:pPr>
      <w:r w:rsidRPr="0082664B">
        <w:rPr>
          <w:rFonts w:eastAsia="Times New Roman" w:cstheme="minorHAnsi"/>
          <w:lang w:eastAsia="cs-CZ"/>
        </w:rPr>
        <w:t>Upravený rozpočet pro rok 2021 je ve výši 4 235 000,25 Kč. Usnesením č. 027-04/2021/RK ze dne 28.1.2021 byly převedeny nevyčerpané účelové prostředky, které souvisí s Programem 2020</w:t>
      </w:r>
      <w:r>
        <w:rPr>
          <w:rFonts w:eastAsia="Times New Roman" w:cstheme="minorHAnsi"/>
          <w:lang w:eastAsia="cs-CZ"/>
        </w:rPr>
        <w:t xml:space="preserve"> (zapojeno do rozdělení zůstatku hospodaření z roku 2020 schváleného usnesením č. 007-06/2021/ZK ze dne 26. 4. 2021)</w:t>
      </w:r>
      <w:r w:rsidRPr="0082664B">
        <w:rPr>
          <w:rFonts w:eastAsia="Times New Roman" w:cstheme="minorHAnsi"/>
          <w:lang w:eastAsia="cs-CZ"/>
        </w:rPr>
        <w:t>. Investiční prostředky jsou určeny pro poskytování dotací z rozpočtu Středočeského kraje na obnovu památek určených ke společenskému využití v souladu se schváleným Programem pro Město Dobrovice. Finanční prostředky byly čerpány</w:t>
      </w:r>
      <w:r>
        <w:rPr>
          <w:rFonts w:eastAsia="Times New Roman" w:cstheme="minorHAnsi"/>
          <w:lang w:eastAsia="cs-CZ"/>
        </w:rPr>
        <w:t xml:space="preserve"> v plné výši, tj. na 100,0 %.</w:t>
      </w:r>
    </w:p>
    <w:p w14:paraId="6C88E584" w14:textId="77777777" w:rsidR="00ED51F3" w:rsidRDefault="00ED51F3" w:rsidP="00ED51F3">
      <w:pPr>
        <w:spacing w:after="0" w:line="240" w:lineRule="auto"/>
        <w:jc w:val="both"/>
        <w:rPr>
          <w:rFonts w:eastAsia="Times New Roman" w:cstheme="minorHAnsi"/>
          <w:lang w:eastAsia="cs-CZ"/>
        </w:rPr>
      </w:pPr>
    </w:p>
    <w:p w14:paraId="5AD9E227" w14:textId="77777777" w:rsidR="00ED51F3" w:rsidRPr="0082664B" w:rsidRDefault="00ED51F3" w:rsidP="00ED51F3">
      <w:pPr>
        <w:spacing w:after="0" w:line="240" w:lineRule="auto"/>
        <w:jc w:val="both"/>
        <w:rPr>
          <w:rFonts w:eastAsia="Times New Roman" w:cstheme="minorHAnsi"/>
          <w:lang w:eastAsia="cs-CZ"/>
        </w:rPr>
      </w:pPr>
    </w:p>
    <w:p w14:paraId="73C5CCE7" w14:textId="77777777" w:rsidR="00ED51F3" w:rsidRPr="0082664B" w:rsidRDefault="00ED51F3" w:rsidP="00ED51F3">
      <w:pPr>
        <w:spacing w:after="0" w:line="240" w:lineRule="auto"/>
        <w:jc w:val="both"/>
        <w:rPr>
          <w:rFonts w:eastAsia="Times New Roman" w:cstheme="minorHAnsi"/>
          <w:sz w:val="24"/>
          <w:szCs w:val="24"/>
          <w:u w:val="single"/>
          <w:lang w:eastAsia="cs-CZ"/>
        </w:rPr>
      </w:pPr>
      <w:bookmarkStart w:id="24" w:name="_Hlk96851862"/>
      <w:r w:rsidRPr="0082664B">
        <w:rPr>
          <w:rFonts w:eastAsia="Times New Roman" w:cstheme="minorHAnsi"/>
          <w:b/>
          <w:sz w:val="24"/>
          <w:szCs w:val="24"/>
          <w:u w:val="single"/>
          <w:lang w:eastAsia="cs-CZ"/>
        </w:rPr>
        <w:t>Předfinancování a kofinancování projek</w:t>
      </w:r>
      <w:r>
        <w:rPr>
          <w:rFonts w:eastAsia="Times New Roman" w:cstheme="minorHAnsi"/>
          <w:b/>
          <w:sz w:val="24"/>
          <w:szCs w:val="24"/>
          <w:u w:val="single"/>
          <w:lang w:eastAsia="cs-CZ"/>
        </w:rPr>
        <w:t xml:space="preserve">tů spolufinancovaných z EU/EHP </w:t>
      </w:r>
      <w:r w:rsidRPr="0082664B">
        <w:rPr>
          <w:rFonts w:eastAsia="Times New Roman" w:cstheme="minorHAnsi"/>
          <w:b/>
          <w:sz w:val="24"/>
          <w:szCs w:val="24"/>
          <w:u w:val="single"/>
          <w:lang w:eastAsia="cs-CZ"/>
        </w:rPr>
        <w:t>a ostatní související výdaje s projekty EU/EHP</w:t>
      </w:r>
    </w:p>
    <w:bookmarkEnd w:id="24"/>
    <w:p w14:paraId="0652B8DA" w14:textId="77777777" w:rsidR="00ED51F3" w:rsidRPr="0082664B" w:rsidRDefault="00ED51F3" w:rsidP="00ED51F3">
      <w:pPr>
        <w:spacing w:after="0" w:line="240" w:lineRule="auto"/>
        <w:jc w:val="both"/>
        <w:rPr>
          <w:rFonts w:eastAsia="Times New Roman" w:cstheme="minorHAnsi"/>
          <w:b/>
          <w:lang w:eastAsia="cs-CZ"/>
        </w:rPr>
      </w:pPr>
    </w:p>
    <w:p w14:paraId="2E8A2B49" w14:textId="77777777" w:rsidR="00ED51F3" w:rsidRPr="0082664B" w:rsidRDefault="00ED51F3" w:rsidP="00ED51F3">
      <w:pPr>
        <w:spacing w:after="0" w:line="240" w:lineRule="auto"/>
        <w:jc w:val="both"/>
        <w:rPr>
          <w:rFonts w:eastAsia="Times New Roman" w:cstheme="minorHAnsi"/>
          <w:b/>
          <w:lang w:eastAsia="cs-CZ"/>
        </w:rPr>
      </w:pPr>
      <w:r w:rsidRPr="0082664B">
        <w:rPr>
          <w:rFonts w:eastAsia="Times New Roman" w:cstheme="minorHAnsi"/>
          <w:b/>
          <w:lang w:eastAsia="cs-CZ"/>
        </w:rPr>
        <w:t>§ 3315 – Středočeské muzeum v Roztokách u Prahy – IROP</w:t>
      </w:r>
    </w:p>
    <w:p w14:paraId="05AB49D1" w14:textId="77777777" w:rsidR="00ED51F3" w:rsidRPr="0082664B" w:rsidRDefault="00ED51F3" w:rsidP="00ED51F3">
      <w:pPr>
        <w:spacing w:after="0" w:line="240" w:lineRule="auto"/>
        <w:jc w:val="both"/>
        <w:rPr>
          <w:rFonts w:eastAsia="Times New Roman" w:cstheme="minorHAnsi"/>
          <w:lang w:eastAsia="cs-CZ"/>
        </w:rPr>
      </w:pPr>
      <w:r w:rsidRPr="0082664B">
        <w:rPr>
          <w:rFonts w:eastAsia="Times New Roman" w:cstheme="minorHAnsi"/>
          <w:lang w:eastAsia="cs-CZ"/>
        </w:rPr>
        <w:t>Finanční prostředky ve výši 14 175 241,83 Kč byly převedeny z ka</w:t>
      </w:r>
      <w:r>
        <w:rPr>
          <w:rFonts w:eastAsia="Times New Roman" w:cstheme="minorHAnsi"/>
          <w:lang w:eastAsia="cs-CZ"/>
        </w:rPr>
        <w:t>pitoly 23 – Ostatní</w:t>
      </w:r>
      <w:r w:rsidRPr="0082664B">
        <w:rPr>
          <w:rFonts w:eastAsia="Times New Roman" w:cstheme="minorHAnsi"/>
          <w:lang w:eastAsia="cs-CZ"/>
        </w:rPr>
        <w:t xml:space="preserve"> na základě usnesení č. 017-10/2021/RK ze dne 4. 3. 2021 a byly schváleny jako investiční příspěvek a návratná finanční výpomoc. Jsou určeny na </w:t>
      </w:r>
      <w:r>
        <w:rPr>
          <w:rFonts w:eastAsia="Times New Roman" w:cstheme="minorHAnsi"/>
          <w:lang w:eastAsia="cs-CZ"/>
        </w:rPr>
        <w:t>před</w:t>
      </w:r>
      <w:r w:rsidRPr="0082664B">
        <w:rPr>
          <w:rFonts w:eastAsia="Times New Roman" w:cstheme="minorHAnsi"/>
          <w:lang w:eastAsia="cs-CZ"/>
        </w:rPr>
        <w:t xml:space="preserve">financování a </w:t>
      </w:r>
      <w:r>
        <w:rPr>
          <w:rFonts w:eastAsia="Times New Roman" w:cstheme="minorHAnsi"/>
          <w:lang w:eastAsia="cs-CZ"/>
        </w:rPr>
        <w:t>ko</w:t>
      </w:r>
      <w:r w:rsidRPr="0082664B">
        <w:rPr>
          <w:rFonts w:eastAsia="Times New Roman" w:cstheme="minorHAnsi"/>
          <w:lang w:eastAsia="cs-CZ"/>
        </w:rPr>
        <w:t>financování projektu IROP „Areál Středočeského muzea v Roztokách u Prahy obnova a rekonstrukce provozního a expozičního zázemí“ pro příspěvkovou organizaci Středočeské muzeum v</w:t>
      </w:r>
      <w:r>
        <w:rPr>
          <w:rFonts w:eastAsia="Times New Roman" w:cstheme="minorHAnsi"/>
          <w:lang w:eastAsia="cs-CZ"/>
        </w:rPr>
        <w:t xml:space="preserve"> Roztokách u Prahy. Finanční </w:t>
      </w:r>
      <w:r w:rsidRPr="0082664B">
        <w:rPr>
          <w:rFonts w:eastAsia="Times New Roman" w:cstheme="minorHAnsi"/>
          <w:lang w:eastAsia="cs-CZ"/>
        </w:rPr>
        <w:t>prostředky byly čerpány ve výši 100,0 %.</w:t>
      </w:r>
    </w:p>
    <w:p w14:paraId="173B968B" w14:textId="77777777" w:rsidR="00ED51F3" w:rsidRPr="0082664B" w:rsidRDefault="00ED51F3" w:rsidP="00ED51F3">
      <w:pPr>
        <w:spacing w:after="0" w:line="240" w:lineRule="auto"/>
        <w:jc w:val="both"/>
        <w:rPr>
          <w:rFonts w:eastAsia="Times New Roman" w:cstheme="minorHAnsi"/>
          <w:lang w:eastAsia="cs-CZ"/>
        </w:rPr>
      </w:pPr>
    </w:p>
    <w:p w14:paraId="640B0E23" w14:textId="77777777" w:rsidR="00ED51F3" w:rsidRPr="0082664B" w:rsidRDefault="00ED51F3" w:rsidP="00ED51F3">
      <w:pPr>
        <w:spacing w:after="0" w:line="240" w:lineRule="auto"/>
        <w:jc w:val="both"/>
        <w:rPr>
          <w:rFonts w:eastAsia="Times New Roman" w:cstheme="minorHAnsi"/>
          <w:b/>
          <w:lang w:eastAsia="cs-CZ"/>
        </w:rPr>
      </w:pPr>
      <w:r w:rsidRPr="0082664B">
        <w:rPr>
          <w:rFonts w:eastAsia="Times New Roman" w:cstheme="minorHAnsi"/>
          <w:b/>
          <w:lang w:eastAsia="cs-CZ"/>
        </w:rPr>
        <w:t xml:space="preserve">§ 3315 – Vlastivědné muzeum Nymburk </w:t>
      </w:r>
      <w:r>
        <w:rPr>
          <w:rFonts w:eastAsia="Times New Roman" w:cstheme="minorHAnsi"/>
          <w:b/>
          <w:lang w:eastAsia="cs-CZ"/>
        </w:rPr>
        <w:t>– IROP</w:t>
      </w:r>
    </w:p>
    <w:p w14:paraId="172A4509" w14:textId="4E94DC35" w:rsidR="00ED51F3" w:rsidRPr="0082664B" w:rsidRDefault="00ED51F3" w:rsidP="00ED51F3">
      <w:pPr>
        <w:spacing w:after="0" w:line="240" w:lineRule="auto"/>
        <w:jc w:val="both"/>
        <w:rPr>
          <w:rFonts w:eastAsia="Times New Roman" w:cstheme="minorHAnsi"/>
          <w:lang w:eastAsia="cs-CZ"/>
        </w:rPr>
      </w:pPr>
      <w:r w:rsidRPr="0082664B">
        <w:rPr>
          <w:rFonts w:eastAsia="Times New Roman" w:cstheme="minorHAnsi"/>
          <w:lang w:eastAsia="cs-CZ"/>
        </w:rPr>
        <w:t xml:space="preserve">Finanční prostředky ve výši </w:t>
      </w:r>
      <w:r>
        <w:rPr>
          <w:rFonts w:eastAsia="Times New Roman" w:cstheme="minorHAnsi"/>
          <w:lang w:eastAsia="cs-CZ"/>
        </w:rPr>
        <w:t>25 821 380,10</w:t>
      </w:r>
      <w:r w:rsidRPr="0082664B">
        <w:rPr>
          <w:rFonts w:eastAsia="Times New Roman" w:cstheme="minorHAnsi"/>
          <w:lang w:eastAsia="cs-CZ"/>
        </w:rPr>
        <w:t xml:space="preserve"> </w:t>
      </w:r>
      <w:r>
        <w:rPr>
          <w:rFonts w:eastAsia="Times New Roman" w:cstheme="minorHAnsi"/>
          <w:lang w:eastAsia="cs-CZ"/>
        </w:rPr>
        <w:t>Kč byly převedeny z kapitoly</w:t>
      </w:r>
      <w:r w:rsidRPr="0082664B">
        <w:rPr>
          <w:rFonts w:eastAsia="Times New Roman" w:cstheme="minorHAnsi"/>
          <w:lang w:eastAsia="cs-CZ"/>
        </w:rPr>
        <w:t xml:space="preserve"> 23 - Ostatní na základě usnesení </w:t>
      </w:r>
      <w:r>
        <w:rPr>
          <w:rFonts w:eastAsia="Times New Roman" w:cstheme="minorHAnsi"/>
          <w:lang w:eastAsia="cs-CZ"/>
        </w:rPr>
        <w:br/>
      </w:r>
      <w:r w:rsidRPr="0082664B">
        <w:rPr>
          <w:rFonts w:eastAsia="Times New Roman" w:cstheme="minorHAnsi"/>
          <w:lang w:eastAsia="cs-CZ"/>
        </w:rPr>
        <w:t>č. 042-12/2021/RK ze dne 11. 3. 2021</w:t>
      </w:r>
      <w:r>
        <w:rPr>
          <w:rFonts w:eastAsia="Times New Roman" w:cstheme="minorHAnsi"/>
          <w:lang w:eastAsia="cs-CZ"/>
        </w:rPr>
        <w:t>,</w:t>
      </w:r>
      <w:r w:rsidRPr="007F0326">
        <w:rPr>
          <w:rFonts w:eastAsia="Times New Roman" w:cstheme="minorHAnsi"/>
          <w:lang w:eastAsia="cs-CZ"/>
        </w:rPr>
        <w:t xml:space="preserve"> </w:t>
      </w:r>
      <w:r>
        <w:rPr>
          <w:rFonts w:eastAsia="Times New Roman" w:cstheme="minorHAnsi"/>
          <w:lang w:eastAsia="cs-CZ"/>
        </w:rPr>
        <w:t xml:space="preserve">usnesení č. </w:t>
      </w:r>
      <w:r w:rsidRPr="007F0326">
        <w:rPr>
          <w:rFonts w:eastAsia="Times New Roman" w:cstheme="minorHAnsi"/>
          <w:lang w:eastAsia="cs-CZ"/>
        </w:rPr>
        <w:t>055-28/2021/RK ze dne 1.</w:t>
      </w:r>
      <w:r w:rsidR="00347912">
        <w:rPr>
          <w:rFonts w:eastAsia="Times New Roman" w:cstheme="minorHAnsi"/>
          <w:lang w:eastAsia="cs-CZ"/>
        </w:rPr>
        <w:t xml:space="preserve"> </w:t>
      </w:r>
      <w:r w:rsidRPr="007F0326">
        <w:rPr>
          <w:rFonts w:eastAsia="Times New Roman" w:cstheme="minorHAnsi"/>
          <w:lang w:eastAsia="cs-CZ"/>
        </w:rPr>
        <w:t>7.</w:t>
      </w:r>
      <w:r w:rsidR="00347912">
        <w:rPr>
          <w:rFonts w:eastAsia="Times New Roman" w:cstheme="minorHAnsi"/>
          <w:lang w:eastAsia="cs-CZ"/>
        </w:rPr>
        <w:t xml:space="preserve"> </w:t>
      </w:r>
      <w:r w:rsidRPr="007F0326">
        <w:rPr>
          <w:rFonts w:eastAsia="Times New Roman" w:cstheme="minorHAnsi"/>
          <w:lang w:eastAsia="cs-CZ"/>
        </w:rPr>
        <w:t>2021</w:t>
      </w:r>
      <w:r>
        <w:t xml:space="preserve"> a </w:t>
      </w:r>
      <w:r>
        <w:rPr>
          <w:rFonts w:eastAsia="Times New Roman" w:cstheme="minorHAnsi"/>
          <w:lang w:eastAsia="cs-CZ"/>
        </w:rPr>
        <w:t>u</w:t>
      </w:r>
      <w:r w:rsidRPr="007F0326">
        <w:rPr>
          <w:rFonts w:eastAsia="Times New Roman" w:cstheme="minorHAnsi"/>
          <w:lang w:eastAsia="cs-CZ"/>
        </w:rPr>
        <w:t>snesení č. 059-45/2021/RK ze dne 2.</w:t>
      </w:r>
      <w:r w:rsidR="00347912">
        <w:rPr>
          <w:rFonts w:eastAsia="Times New Roman" w:cstheme="minorHAnsi"/>
          <w:lang w:eastAsia="cs-CZ"/>
        </w:rPr>
        <w:t xml:space="preserve"> </w:t>
      </w:r>
      <w:r w:rsidRPr="007F0326">
        <w:rPr>
          <w:rFonts w:eastAsia="Times New Roman" w:cstheme="minorHAnsi"/>
          <w:lang w:eastAsia="cs-CZ"/>
        </w:rPr>
        <w:t>12.</w:t>
      </w:r>
      <w:r w:rsidR="00347912">
        <w:rPr>
          <w:rFonts w:eastAsia="Times New Roman" w:cstheme="minorHAnsi"/>
          <w:lang w:eastAsia="cs-CZ"/>
        </w:rPr>
        <w:t xml:space="preserve"> </w:t>
      </w:r>
      <w:r w:rsidRPr="007F0326">
        <w:rPr>
          <w:rFonts w:eastAsia="Times New Roman" w:cstheme="minorHAnsi"/>
          <w:lang w:eastAsia="cs-CZ"/>
        </w:rPr>
        <w:t>202</w:t>
      </w:r>
      <w:r>
        <w:rPr>
          <w:rFonts w:eastAsia="Times New Roman" w:cstheme="minorHAnsi"/>
          <w:lang w:eastAsia="cs-CZ"/>
        </w:rPr>
        <w:t>1. B</w:t>
      </w:r>
      <w:r w:rsidRPr="0082664B">
        <w:rPr>
          <w:rFonts w:eastAsia="Times New Roman" w:cstheme="minorHAnsi"/>
          <w:lang w:eastAsia="cs-CZ"/>
        </w:rPr>
        <w:t xml:space="preserve">yly schváleny jako investiční příspěvek a návratná finanční výpomoc. Finanční prostředky jsou určeny </w:t>
      </w:r>
      <w:r w:rsidRPr="0082664B">
        <w:rPr>
          <w:rFonts w:eastAsia="Times New Roman" w:cstheme="minorHAnsi"/>
          <w:lang w:eastAsia="cs-CZ"/>
        </w:rPr>
        <w:lastRenderedPageBreak/>
        <w:t xml:space="preserve">na </w:t>
      </w:r>
      <w:r>
        <w:rPr>
          <w:rFonts w:eastAsia="Times New Roman" w:cstheme="minorHAnsi"/>
          <w:lang w:eastAsia="cs-CZ"/>
        </w:rPr>
        <w:t>před</w:t>
      </w:r>
      <w:r w:rsidRPr="0082664B">
        <w:rPr>
          <w:rFonts w:eastAsia="Times New Roman" w:cstheme="minorHAnsi"/>
          <w:lang w:eastAsia="cs-CZ"/>
        </w:rPr>
        <w:t xml:space="preserve">financování a </w:t>
      </w:r>
      <w:r>
        <w:rPr>
          <w:rFonts w:eastAsia="Times New Roman" w:cstheme="minorHAnsi"/>
          <w:lang w:eastAsia="cs-CZ"/>
        </w:rPr>
        <w:t>ko</w:t>
      </w:r>
      <w:r w:rsidRPr="0082664B">
        <w:rPr>
          <w:rFonts w:eastAsia="Times New Roman" w:cstheme="minorHAnsi"/>
          <w:lang w:eastAsia="cs-CZ"/>
        </w:rPr>
        <w:t xml:space="preserve">financování projektu IROP „Rekonstrukce budovy a expozic Vlastivědného muzea Nymburk“. Poskytnutí finančních prostředků organizaci bylo ve výši 100,0 %. </w:t>
      </w:r>
    </w:p>
    <w:p w14:paraId="4BA72876" w14:textId="77777777" w:rsidR="00ED51F3" w:rsidRPr="0082664B" w:rsidRDefault="00ED51F3" w:rsidP="00ED51F3">
      <w:pPr>
        <w:spacing w:after="0" w:line="240" w:lineRule="auto"/>
        <w:jc w:val="both"/>
        <w:rPr>
          <w:rFonts w:eastAsia="Times New Roman" w:cstheme="minorHAnsi"/>
          <w:lang w:eastAsia="cs-CZ"/>
        </w:rPr>
      </w:pPr>
    </w:p>
    <w:p w14:paraId="66C80790" w14:textId="77777777" w:rsidR="00ED51F3" w:rsidRPr="0082664B" w:rsidRDefault="00ED51F3" w:rsidP="00ED51F3">
      <w:pPr>
        <w:spacing w:after="0" w:line="240" w:lineRule="auto"/>
        <w:jc w:val="both"/>
        <w:rPr>
          <w:rFonts w:eastAsia="Times New Roman" w:cstheme="minorHAnsi"/>
          <w:b/>
          <w:lang w:eastAsia="cs-CZ"/>
        </w:rPr>
      </w:pPr>
      <w:bookmarkStart w:id="25" w:name="_Hlk96853481"/>
      <w:r w:rsidRPr="0082664B">
        <w:rPr>
          <w:rFonts w:eastAsia="Times New Roman" w:cstheme="minorHAnsi"/>
          <w:b/>
          <w:lang w:eastAsia="cs-CZ"/>
        </w:rPr>
        <w:t xml:space="preserve">§ 3315 – Muzeum A. G. Masarykové Lány </w:t>
      </w:r>
      <w:r>
        <w:rPr>
          <w:rFonts w:eastAsia="Times New Roman" w:cstheme="minorHAnsi"/>
          <w:b/>
          <w:lang w:eastAsia="cs-CZ"/>
        </w:rPr>
        <w:t>– IROP</w:t>
      </w:r>
    </w:p>
    <w:p w14:paraId="22D71135" w14:textId="77777777" w:rsidR="00ED51F3" w:rsidRDefault="00ED51F3" w:rsidP="00ED51F3">
      <w:pPr>
        <w:spacing w:after="0" w:line="240" w:lineRule="auto"/>
        <w:jc w:val="both"/>
        <w:rPr>
          <w:rFonts w:eastAsia="Times New Roman" w:cstheme="minorHAnsi"/>
          <w:lang w:eastAsia="cs-CZ"/>
        </w:rPr>
      </w:pPr>
      <w:bookmarkStart w:id="26" w:name="_Hlk96853465"/>
      <w:r w:rsidRPr="0082664B">
        <w:rPr>
          <w:rFonts w:eastAsia="Times New Roman" w:cstheme="minorHAnsi"/>
          <w:lang w:eastAsia="cs-CZ"/>
        </w:rPr>
        <w:t>Finanční prostředky ve výši 6 000</w:t>
      </w:r>
      <w:r>
        <w:rPr>
          <w:rFonts w:eastAsia="Times New Roman" w:cstheme="minorHAnsi"/>
          <w:lang w:eastAsia="cs-CZ"/>
        </w:rPr>
        <w:t> 000,00 Kč byly převedeny z kapitoly</w:t>
      </w:r>
      <w:r w:rsidRPr="0082664B">
        <w:rPr>
          <w:rFonts w:eastAsia="Times New Roman" w:cstheme="minorHAnsi"/>
          <w:lang w:eastAsia="cs-CZ"/>
        </w:rPr>
        <w:t xml:space="preserve"> 23 - Ostatní na základě usnesení </w:t>
      </w:r>
      <w:r>
        <w:rPr>
          <w:rFonts w:eastAsia="Times New Roman" w:cstheme="minorHAnsi"/>
          <w:lang w:eastAsia="cs-CZ"/>
        </w:rPr>
        <w:br/>
      </w:r>
      <w:r w:rsidRPr="0082664B">
        <w:rPr>
          <w:rFonts w:eastAsia="Times New Roman" w:cstheme="minorHAnsi"/>
          <w:lang w:eastAsia="cs-CZ"/>
        </w:rPr>
        <w:t xml:space="preserve">č. 042-13/2021/RK ze dne 18. 3. 2021 a usnesení č. 028-22/2021/RK ze dne 20. 5. 2021. Byly schváleny jako investiční příspěvek a návratná finanční výpomoc. Finanční prostředky jsou určeny na </w:t>
      </w:r>
      <w:r>
        <w:rPr>
          <w:rFonts w:eastAsia="Times New Roman" w:cstheme="minorHAnsi"/>
          <w:lang w:eastAsia="cs-CZ"/>
        </w:rPr>
        <w:t>před</w:t>
      </w:r>
      <w:r w:rsidRPr="0082664B">
        <w:rPr>
          <w:rFonts w:eastAsia="Times New Roman" w:cstheme="minorHAnsi"/>
          <w:lang w:eastAsia="cs-CZ"/>
        </w:rPr>
        <w:t xml:space="preserve">financování a </w:t>
      </w:r>
      <w:r>
        <w:rPr>
          <w:rFonts w:eastAsia="Times New Roman" w:cstheme="minorHAnsi"/>
          <w:lang w:eastAsia="cs-CZ"/>
        </w:rPr>
        <w:t>ko</w:t>
      </w:r>
      <w:r w:rsidRPr="0082664B">
        <w:rPr>
          <w:rFonts w:eastAsia="Times New Roman" w:cstheme="minorHAnsi"/>
          <w:lang w:eastAsia="cs-CZ"/>
        </w:rPr>
        <w:t xml:space="preserve">financování projektu IROP „Muzeum Alice G. Masarykové v Lánech“. Poskytnutí finančních prostředků organizaci </w:t>
      </w:r>
      <w:r>
        <w:rPr>
          <w:rFonts w:eastAsia="Times New Roman" w:cstheme="minorHAnsi"/>
          <w:lang w:eastAsia="cs-CZ"/>
        </w:rPr>
        <w:t>bylo ve výši 100,0 %</w:t>
      </w:r>
      <w:bookmarkEnd w:id="25"/>
      <w:r>
        <w:rPr>
          <w:rFonts w:eastAsia="Times New Roman" w:cstheme="minorHAnsi"/>
          <w:lang w:eastAsia="cs-CZ"/>
        </w:rPr>
        <w:t xml:space="preserve">. </w:t>
      </w:r>
    </w:p>
    <w:bookmarkEnd w:id="26"/>
    <w:p w14:paraId="2FBBD554" w14:textId="77777777" w:rsidR="00ED51F3" w:rsidRPr="0082664B" w:rsidRDefault="00ED51F3" w:rsidP="00ED51F3">
      <w:pPr>
        <w:spacing w:after="0" w:line="240" w:lineRule="auto"/>
        <w:jc w:val="both"/>
        <w:rPr>
          <w:rFonts w:eastAsia="Times New Roman" w:cstheme="minorHAnsi"/>
          <w:lang w:eastAsia="cs-CZ"/>
        </w:rPr>
      </w:pPr>
    </w:p>
    <w:p w14:paraId="53F3BE66" w14:textId="77777777" w:rsidR="00ED51F3" w:rsidRPr="0082664B" w:rsidRDefault="00ED51F3" w:rsidP="00ED51F3">
      <w:pPr>
        <w:spacing w:after="0" w:line="240" w:lineRule="auto"/>
        <w:jc w:val="both"/>
        <w:rPr>
          <w:rFonts w:eastAsia="Times New Roman" w:cstheme="minorHAnsi"/>
          <w:b/>
          <w:lang w:eastAsia="cs-CZ"/>
        </w:rPr>
      </w:pPr>
      <w:r w:rsidRPr="0082664B">
        <w:rPr>
          <w:rFonts w:eastAsia="Times New Roman" w:cstheme="minorHAnsi"/>
          <w:b/>
          <w:lang w:eastAsia="cs-CZ"/>
        </w:rPr>
        <w:t>§ 3315 – Sládečkovo vlastivědné muzeum v Kladně</w:t>
      </w:r>
    </w:p>
    <w:p w14:paraId="48DC2273" w14:textId="4699938B" w:rsidR="00ED51F3" w:rsidRPr="0082664B" w:rsidRDefault="00ED51F3" w:rsidP="00ED51F3">
      <w:pPr>
        <w:spacing w:after="0" w:line="240" w:lineRule="auto"/>
        <w:jc w:val="both"/>
        <w:rPr>
          <w:rFonts w:eastAsia="Times New Roman" w:cstheme="minorHAnsi"/>
          <w:lang w:eastAsia="cs-CZ"/>
        </w:rPr>
      </w:pPr>
      <w:r w:rsidRPr="0082664B">
        <w:rPr>
          <w:rFonts w:eastAsia="Times New Roman" w:cstheme="minorHAnsi"/>
          <w:lang w:eastAsia="cs-CZ"/>
        </w:rPr>
        <w:t xml:space="preserve">Finanční prostředky ve výši </w:t>
      </w:r>
      <w:r>
        <w:rPr>
          <w:rFonts w:eastAsia="Times New Roman" w:cstheme="minorHAnsi"/>
          <w:lang w:eastAsia="cs-CZ"/>
        </w:rPr>
        <w:t>1 110 200,00 Kč byly převedeny z kapitoly</w:t>
      </w:r>
      <w:r w:rsidRPr="0082664B">
        <w:rPr>
          <w:rFonts w:eastAsia="Times New Roman" w:cstheme="minorHAnsi"/>
          <w:lang w:eastAsia="cs-CZ"/>
        </w:rPr>
        <w:t xml:space="preserve"> 23 - Ostatní na základě usnesení č. 028-22/2021/RK ze dne 20. 5. 2021</w:t>
      </w:r>
      <w:r>
        <w:rPr>
          <w:rFonts w:eastAsia="Times New Roman" w:cstheme="minorHAnsi"/>
          <w:lang w:eastAsia="cs-CZ"/>
        </w:rPr>
        <w:t>, u</w:t>
      </w:r>
      <w:r w:rsidRPr="00724903">
        <w:rPr>
          <w:rFonts w:eastAsia="Times New Roman" w:cstheme="minorHAnsi"/>
          <w:lang w:eastAsia="cs-CZ"/>
        </w:rPr>
        <w:t>snesení č. 055-28/2021/RK ze dne 1.</w:t>
      </w:r>
      <w:r w:rsidR="00347912">
        <w:rPr>
          <w:rFonts w:eastAsia="Times New Roman" w:cstheme="minorHAnsi"/>
          <w:lang w:eastAsia="cs-CZ"/>
        </w:rPr>
        <w:t xml:space="preserve"> </w:t>
      </w:r>
      <w:r w:rsidRPr="00724903">
        <w:rPr>
          <w:rFonts w:eastAsia="Times New Roman" w:cstheme="minorHAnsi"/>
          <w:lang w:eastAsia="cs-CZ"/>
        </w:rPr>
        <w:t>7.</w:t>
      </w:r>
      <w:r w:rsidR="00347912">
        <w:rPr>
          <w:rFonts w:eastAsia="Times New Roman" w:cstheme="minorHAnsi"/>
          <w:lang w:eastAsia="cs-CZ"/>
        </w:rPr>
        <w:t xml:space="preserve"> </w:t>
      </w:r>
      <w:r w:rsidRPr="00724903">
        <w:rPr>
          <w:rFonts w:eastAsia="Times New Roman" w:cstheme="minorHAnsi"/>
          <w:lang w:eastAsia="cs-CZ"/>
        </w:rPr>
        <w:t>2021</w:t>
      </w:r>
      <w:r>
        <w:rPr>
          <w:rFonts w:eastAsia="Times New Roman" w:cstheme="minorHAnsi"/>
          <w:lang w:eastAsia="cs-CZ"/>
        </w:rPr>
        <w:t xml:space="preserve"> </w:t>
      </w:r>
      <w:r w:rsidRPr="0082664B">
        <w:rPr>
          <w:rFonts w:eastAsia="Times New Roman" w:cstheme="minorHAnsi"/>
          <w:lang w:eastAsia="cs-CZ"/>
        </w:rPr>
        <w:t xml:space="preserve">a byly schváleny jako investiční příspěvek na kofinancování přípravy projektu „Cestou uhlí a železa“. Poskytnutí finančních prostředků organizaci bylo ve výši 100,0 %. </w:t>
      </w:r>
    </w:p>
    <w:p w14:paraId="402275FC" w14:textId="77777777" w:rsidR="00ED51F3" w:rsidRDefault="00ED51F3" w:rsidP="00ED51F3">
      <w:pPr>
        <w:spacing w:after="0" w:line="240" w:lineRule="auto"/>
        <w:jc w:val="both"/>
        <w:rPr>
          <w:rFonts w:eastAsia="Times New Roman" w:cstheme="minorHAnsi"/>
          <w:lang w:eastAsia="cs-CZ"/>
        </w:rPr>
      </w:pPr>
    </w:p>
    <w:p w14:paraId="05152715" w14:textId="77777777" w:rsidR="00ED51F3" w:rsidRPr="0082664B" w:rsidRDefault="00ED51F3" w:rsidP="00ED51F3">
      <w:pPr>
        <w:spacing w:after="0" w:line="240" w:lineRule="auto"/>
        <w:jc w:val="both"/>
        <w:rPr>
          <w:rFonts w:eastAsia="Times New Roman" w:cstheme="minorHAnsi"/>
          <w:b/>
          <w:lang w:eastAsia="cs-CZ"/>
        </w:rPr>
      </w:pPr>
      <w:r w:rsidRPr="0082664B">
        <w:rPr>
          <w:rFonts w:eastAsia="Times New Roman" w:cstheme="minorHAnsi"/>
          <w:b/>
          <w:lang w:eastAsia="cs-CZ"/>
        </w:rPr>
        <w:t xml:space="preserve">§ 3315 – Muzeum </w:t>
      </w:r>
      <w:r>
        <w:rPr>
          <w:rFonts w:eastAsia="Times New Roman" w:cstheme="minorHAnsi"/>
          <w:b/>
          <w:lang w:eastAsia="cs-CZ"/>
        </w:rPr>
        <w:t>Českého krasu</w:t>
      </w:r>
      <w:r w:rsidRPr="0082664B">
        <w:rPr>
          <w:rFonts w:eastAsia="Times New Roman" w:cstheme="minorHAnsi"/>
          <w:b/>
          <w:lang w:eastAsia="cs-CZ"/>
        </w:rPr>
        <w:t xml:space="preserve"> </w:t>
      </w:r>
      <w:r>
        <w:rPr>
          <w:rFonts w:eastAsia="Times New Roman" w:cstheme="minorHAnsi"/>
          <w:b/>
          <w:lang w:eastAsia="cs-CZ"/>
        </w:rPr>
        <w:t>– IROP</w:t>
      </w:r>
    </w:p>
    <w:p w14:paraId="1788FEA3" w14:textId="7436CB0C" w:rsidR="00ED51F3" w:rsidRDefault="00ED51F3" w:rsidP="00ED51F3">
      <w:pPr>
        <w:spacing w:after="0" w:line="240" w:lineRule="auto"/>
        <w:jc w:val="both"/>
        <w:rPr>
          <w:rFonts w:eastAsia="Times New Roman" w:cstheme="minorHAnsi"/>
          <w:lang w:eastAsia="cs-CZ"/>
        </w:rPr>
      </w:pPr>
      <w:r w:rsidRPr="0082664B">
        <w:rPr>
          <w:rFonts w:eastAsia="Times New Roman" w:cstheme="minorHAnsi"/>
          <w:lang w:eastAsia="cs-CZ"/>
        </w:rPr>
        <w:t xml:space="preserve">Finanční prostředky ve výši </w:t>
      </w:r>
      <w:r>
        <w:rPr>
          <w:rFonts w:eastAsia="Times New Roman" w:cstheme="minorHAnsi"/>
          <w:lang w:eastAsia="cs-CZ"/>
        </w:rPr>
        <w:t>12 024 750,00 Kč byly převedeny z kapitoly</w:t>
      </w:r>
      <w:r w:rsidRPr="0082664B">
        <w:rPr>
          <w:rFonts w:eastAsia="Times New Roman" w:cstheme="minorHAnsi"/>
          <w:lang w:eastAsia="cs-CZ"/>
        </w:rPr>
        <w:t xml:space="preserve"> 23 - Ostatní na základě usnesení č. </w:t>
      </w:r>
      <w:r w:rsidRPr="00A10874">
        <w:rPr>
          <w:rFonts w:eastAsia="Times New Roman" w:cstheme="minorHAnsi"/>
          <w:lang w:eastAsia="cs-CZ"/>
        </w:rPr>
        <w:t>055-28/2021/RK ze dne 1.</w:t>
      </w:r>
      <w:r w:rsidR="00347912">
        <w:rPr>
          <w:rFonts w:eastAsia="Times New Roman" w:cstheme="minorHAnsi"/>
          <w:lang w:eastAsia="cs-CZ"/>
        </w:rPr>
        <w:t xml:space="preserve"> </w:t>
      </w:r>
      <w:r w:rsidRPr="00A10874">
        <w:rPr>
          <w:rFonts w:eastAsia="Times New Roman" w:cstheme="minorHAnsi"/>
          <w:lang w:eastAsia="cs-CZ"/>
        </w:rPr>
        <w:t>7.</w:t>
      </w:r>
      <w:r w:rsidR="00347912">
        <w:rPr>
          <w:rFonts w:eastAsia="Times New Roman" w:cstheme="minorHAnsi"/>
          <w:lang w:eastAsia="cs-CZ"/>
        </w:rPr>
        <w:t xml:space="preserve"> </w:t>
      </w:r>
      <w:r w:rsidRPr="00A10874">
        <w:rPr>
          <w:rFonts w:eastAsia="Times New Roman" w:cstheme="minorHAnsi"/>
          <w:lang w:eastAsia="cs-CZ"/>
        </w:rPr>
        <w:t>2021</w:t>
      </w:r>
      <w:r>
        <w:rPr>
          <w:rFonts w:eastAsia="Times New Roman" w:cstheme="minorHAnsi"/>
          <w:lang w:eastAsia="cs-CZ"/>
        </w:rPr>
        <w:t>. B</w:t>
      </w:r>
      <w:r w:rsidRPr="0082664B">
        <w:rPr>
          <w:rFonts w:eastAsia="Times New Roman" w:cstheme="minorHAnsi"/>
          <w:lang w:eastAsia="cs-CZ"/>
        </w:rPr>
        <w:t>yly schváleny jako investiční</w:t>
      </w:r>
      <w:r>
        <w:rPr>
          <w:rFonts w:eastAsia="Times New Roman" w:cstheme="minorHAnsi"/>
          <w:lang w:eastAsia="cs-CZ"/>
        </w:rPr>
        <w:t xml:space="preserve"> a neinvestiční</w:t>
      </w:r>
      <w:r w:rsidRPr="0082664B">
        <w:rPr>
          <w:rFonts w:eastAsia="Times New Roman" w:cstheme="minorHAnsi"/>
          <w:lang w:eastAsia="cs-CZ"/>
        </w:rPr>
        <w:t xml:space="preserve"> příspěvek a návratná finanční výpomoc. Finanční prostředky jsou určeny na</w:t>
      </w:r>
      <w:r>
        <w:rPr>
          <w:rFonts w:eastAsia="Times New Roman" w:cstheme="minorHAnsi"/>
          <w:lang w:eastAsia="cs-CZ"/>
        </w:rPr>
        <w:t xml:space="preserve"> </w:t>
      </w:r>
      <w:r w:rsidRPr="0082664B">
        <w:rPr>
          <w:rFonts w:eastAsia="Times New Roman" w:cstheme="minorHAnsi"/>
          <w:lang w:eastAsia="cs-CZ"/>
        </w:rPr>
        <w:t>předfinancování</w:t>
      </w:r>
      <w:r>
        <w:rPr>
          <w:rFonts w:eastAsia="Times New Roman" w:cstheme="minorHAnsi"/>
          <w:lang w:eastAsia="cs-CZ"/>
        </w:rPr>
        <w:t xml:space="preserve"> a kofinancování</w:t>
      </w:r>
      <w:r w:rsidRPr="0082664B">
        <w:rPr>
          <w:rFonts w:eastAsia="Times New Roman" w:cstheme="minorHAnsi"/>
          <w:lang w:eastAsia="cs-CZ"/>
        </w:rPr>
        <w:t xml:space="preserve"> projektu IROP „</w:t>
      </w:r>
      <w:r w:rsidRPr="00A10874">
        <w:rPr>
          <w:rFonts w:eastAsia="Times New Roman" w:cstheme="minorHAnsi"/>
          <w:lang w:eastAsia="cs-CZ"/>
        </w:rPr>
        <w:t>Centrální depozitář – zajištění efektivní ochrany, správy a zpřístupnění sbírkového fondu muzea Českého krasu</w:t>
      </w:r>
      <w:r w:rsidRPr="0082664B">
        <w:rPr>
          <w:rFonts w:eastAsia="Times New Roman" w:cstheme="minorHAnsi"/>
          <w:lang w:eastAsia="cs-CZ"/>
        </w:rPr>
        <w:t xml:space="preserve">“. Poskytnutí finančních prostředků organizaci </w:t>
      </w:r>
      <w:r>
        <w:rPr>
          <w:rFonts w:eastAsia="Times New Roman" w:cstheme="minorHAnsi"/>
          <w:lang w:eastAsia="cs-CZ"/>
        </w:rPr>
        <w:t>bylo ve výši 100,0 %.</w:t>
      </w:r>
    </w:p>
    <w:p w14:paraId="7D9D7AEB" w14:textId="77777777" w:rsidR="00ED51F3" w:rsidRPr="0082664B" w:rsidRDefault="00ED51F3" w:rsidP="00ED51F3">
      <w:pPr>
        <w:spacing w:after="0" w:line="240" w:lineRule="auto"/>
        <w:jc w:val="both"/>
        <w:rPr>
          <w:rFonts w:eastAsia="Times New Roman" w:cstheme="minorHAnsi"/>
          <w:lang w:eastAsia="cs-CZ"/>
        </w:rPr>
      </w:pPr>
    </w:p>
    <w:p w14:paraId="1D81830F" w14:textId="77777777" w:rsidR="00ED51F3" w:rsidRPr="0082664B" w:rsidRDefault="00ED51F3" w:rsidP="00ED51F3">
      <w:pPr>
        <w:spacing w:after="0" w:line="240" w:lineRule="auto"/>
        <w:jc w:val="both"/>
        <w:rPr>
          <w:rFonts w:eastAsia="Times New Roman" w:cstheme="minorHAnsi"/>
          <w:b/>
          <w:lang w:eastAsia="cs-CZ"/>
        </w:rPr>
      </w:pPr>
      <w:r w:rsidRPr="0082664B">
        <w:rPr>
          <w:rFonts w:eastAsia="Times New Roman" w:cstheme="minorHAnsi"/>
          <w:b/>
          <w:lang w:eastAsia="cs-CZ"/>
        </w:rPr>
        <w:t xml:space="preserve">§ 3315 – Muzeum Podblanicka </w:t>
      </w:r>
      <w:r>
        <w:rPr>
          <w:rFonts w:eastAsia="Times New Roman" w:cstheme="minorHAnsi"/>
          <w:b/>
          <w:lang w:eastAsia="cs-CZ"/>
        </w:rPr>
        <w:t>– IROP</w:t>
      </w:r>
    </w:p>
    <w:p w14:paraId="0C8D8954" w14:textId="77777777" w:rsidR="00ED51F3" w:rsidRDefault="00ED51F3" w:rsidP="00ED51F3">
      <w:pPr>
        <w:spacing w:after="0" w:line="240" w:lineRule="auto"/>
        <w:jc w:val="both"/>
        <w:rPr>
          <w:rFonts w:eastAsia="Times New Roman" w:cstheme="minorHAnsi"/>
          <w:lang w:eastAsia="cs-CZ"/>
        </w:rPr>
      </w:pPr>
      <w:r w:rsidRPr="0082664B">
        <w:rPr>
          <w:rFonts w:eastAsia="Times New Roman" w:cstheme="minorHAnsi"/>
          <w:lang w:eastAsia="cs-CZ"/>
        </w:rPr>
        <w:t>Finanční prostředky ve výši 3 025</w:t>
      </w:r>
      <w:r>
        <w:rPr>
          <w:rFonts w:eastAsia="Times New Roman" w:cstheme="minorHAnsi"/>
          <w:lang w:eastAsia="cs-CZ"/>
        </w:rPr>
        <w:t> 000,00 Kč byly převedeny z kapitoly</w:t>
      </w:r>
      <w:r w:rsidRPr="0082664B">
        <w:rPr>
          <w:rFonts w:eastAsia="Times New Roman" w:cstheme="minorHAnsi"/>
          <w:lang w:eastAsia="cs-CZ"/>
        </w:rPr>
        <w:t xml:space="preserve"> 23 - Ostatní na základě usnesení </w:t>
      </w:r>
      <w:r>
        <w:rPr>
          <w:rFonts w:eastAsia="Times New Roman" w:cstheme="minorHAnsi"/>
          <w:lang w:eastAsia="cs-CZ"/>
        </w:rPr>
        <w:br/>
      </w:r>
      <w:r w:rsidRPr="0082664B">
        <w:rPr>
          <w:rFonts w:eastAsia="Times New Roman" w:cstheme="minorHAnsi"/>
          <w:lang w:eastAsia="cs-CZ"/>
        </w:rPr>
        <w:t>č. 042-12/2021/RK ze dne 11. 3. 2021 a byly schváleny jako investiční příspěvek na kofinancování přípravy projektu „Sdílený muzejní depozitář Benešov“. Poskytnutí finančních prostředků organizaci bylo ve výši 100,0 %.</w:t>
      </w:r>
    </w:p>
    <w:p w14:paraId="2CDA1BCE" w14:textId="77777777" w:rsidR="00ED51F3" w:rsidRDefault="00ED51F3" w:rsidP="00ED51F3">
      <w:pPr>
        <w:spacing w:after="0" w:line="240" w:lineRule="auto"/>
        <w:jc w:val="both"/>
        <w:rPr>
          <w:rFonts w:eastAsia="Times New Roman" w:cstheme="minorHAnsi"/>
          <w:lang w:eastAsia="cs-CZ"/>
        </w:rPr>
      </w:pPr>
    </w:p>
    <w:p w14:paraId="466981D5" w14:textId="77777777" w:rsidR="00ED51F3" w:rsidRPr="0082664B" w:rsidRDefault="00ED51F3" w:rsidP="00ED51F3">
      <w:pPr>
        <w:spacing w:after="0" w:line="240" w:lineRule="auto"/>
        <w:jc w:val="both"/>
        <w:rPr>
          <w:rFonts w:eastAsia="Times New Roman" w:cstheme="minorHAnsi"/>
          <w:b/>
          <w:lang w:eastAsia="cs-CZ"/>
        </w:rPr>
      </w:pPr>
      <w:r w:rsidRPr="0082664B">
        <w:rPr>
          <w:rFonts w:eastAsia="Times New Roman" w:cstheme="minorHAnsi"/>
          <w:b/>
          <w:lang w:eastAsia="cs-CZ"/>
        </w:rPr>
        <w:t>§ 33</w:t>
      </w:r>
      <w:r>
        <w:rPr>
          <w:rFonts w:eastAsia="Times New Roman" w:cstheme="minorHAnsi"/>
          <w:b/>
          <w:lang w:eastAsia="cs-CZ"/>
        </w:rPr>
        <w:t>21</w:t>
      </w:r>
      <w:r w:rsidRPr="0082664B">
        <w:rPr>
          <w:rFonts w:eastAsia="Times New Roman" w:cstheme="minorHAnsi"/>
          <w:b/>
          <w:lang w:eastAsia="cs-CZ"/>
        </w:rPr>
        <w:t xml:space="preserve"> – </w:t>
      </w:r>
      <w:r w:rsidRPr="00FB50C5">
        <w:rPr>
          <w:rFonts w:eastAsia="Times New Roman" w:cstheme="minorHAnsi"/>
          <w:b/>
          <w:lang w:eastAsia="cs-CZ"/>
        </w:rPr>
        <w:t>OP ŽP 2014+ Sníž</w:t>
      </w:r>
      <w:r>
        <w:rPr>
          <w:rFonts w:eastAsia="Times New Roman" w:cstheme="minorHAnsi"/>
          <w:b/>
          <w:lang w:eastAsia="cs-CZ"/>
        </w:rPr>
        <w:t>ení</w:t>
      </w:r>
      <w:r w:rsidRPr="00FB50C5">
        <w:rPr>
          <w:rFonts w:eastAsia="Times New Roman" w:cstheme="minorHAnsi"/>
          <w:b/>
          <w:lang w:eastAsia="cs-CZ"/>
        </w:rPr>
        <w:t xml:space="preserve"> energ</w:t>
      </w:r>
      <w:r>
        <w:rPr>
          <w:rFonts w:eastAsia="Times New Roman" w:cstheme="minorHAnsi"/>
          <w:b/>
          <w:lang w:eastAsia="cs-CZ"/>
        </w:rPr>
        <w:t>etické</w:t>
      </w:r>
      <w:r w:rsidRPr="00FB50C5">
        <w:rPr>
          <w:rFonts w:eastAsia="Times New Roman" w:cstheme="minorHAnsi"/>
          <w:b/>
          <w:lang w:eastAsia="cs-CZ"/>
        </w:rPr>
        <w:t xml:space="preserve"> náročnosti Kounice</w:t>
      </w:r>
    </w:p>
    <w:p w14:paraId="58A6939B" w14:textId="624925AE" w:rsidR="00ED51F3" w:rsidRDefault="00ED51F3" w:rsidP="00ED51F3">
      <w:pPr>
        <w:spacing w:after="0" w:line="240" w:lineRule="auto"/>
        <w:jc w:val="both"/>
        <w:rPr>
          <w:rFonts w:eastAsia="Times New Roman" w:cstheme="minorHAnsi"/>
          <w:lang w:eastAsia="cs-CZ"/>
        </w:rPr>
      </w:pPr>
      <w:r w:rsidRPr="0082664B">
        <w:rPr>
          <w:rFonts w:eastAsia="Times New Roman" w:cstheme="minorHAnsi"/>
          <w:lang w:eastAsia="cs-CZ"/>
        </w:rPr>
        <w:t xml:space="preserve">Finanční prostředky ve výši </w:t>
      </w:r>
      <w:r>
        <w:rPr>
          <w:rFonts w:eastAsia="Times New Roman" w:cstheme="minorHAnsi"/>
          <w:lang w:eastAsia="cs-CZ"/>
        </w:rPr>
        <w:t>5 045 700,00 Kč byly převedeny z kapitoly</w:t>
      </w:r>
      <w:r w:rsidRPr="0082664B">
        <w:rPr>
          <w:rFonts w:eastAsia="Times New Roman" w:cstheme="minorHAnsi"/>
          <w:lang w:eastAsia="cs-CZ"/>
        </w:rPr>
        <w:t xml:space="preserve"> 23 - Ostatní na základě usnesení </w:t>
      </w:r>
      <w:r>
        <w:rPr>
          <w:rFonts w:eastAsia="Times New Roman" w:cstheme="minorHAnsi"/>
          <w:lang w:eastAsia="cs-CZ"/>
        </w:rPr>
        <w:br/>
      </w:r>
      <w:r w:rsidRPr="0082664B">
        <w:rPr>
          <w:rFonts w:eastAsia="Times New Roman" w:cstheme="minorHAnsi"/>
          <w:lang w:eastAsia="cs-CZ"/>
        </w:rPr>
        <w:t xml:space="preserve">č. </w:t>
      </w:r>
      <w:r w:rsidRPr="00814829">
        <w:rPr>
          <w:rFonts w:eastAsia="Times New Roman" w:cstheme="minorHAnsi"/>
          <w:lang w:eastAsia="cs-CZ"/>
        </w:rPr>
        <w:t>059-45/2021/RK ze dne 2.</w:t>
      </w:r>
      <w:r w:rsidR="00347912">
        <w:rPr>
          <w:rFonts w:eastAsia="Times New Roman" w:cstheme="minorHAnsi"/>
          <w:lang w:eastAsia="cs-CZ"/>
        </w:rPr>
        <w:t xml:space="preserve"> </w:t>
      </w:r>
      <w:r w:rsidRPr="00814829">
        <w:rPr>
          <w:rFonts w:eastAsia="Times New Roman" w:cstheme="minorHAnsi"/>
          <w:lang w:eastAsia="cs-CZ"/>
        </w:rPr>
        <w:t>12.</w:t>
      </w:r>
      <w:r w:rsidR="00347912">
        <w:rPr>
          <w:rFonts w:eastAsia="Times New Roman" w:cstheme="minorHAnsi"/>
          <w:lang w:eastAsia="cs-CZ"/>
        </w:rPr>
        <w:t xml:space="preserve"> </w:t>
      </w:r>
      <w:r w:rsidRPr="00814829">
        <w:rPr>
          <w:rFonts w:eastAsia="Times New Roman" w:cstheme="minorHAnsi"/>
          <w:lang w:eastAsia="cs-CZ"/>
        </w:rPr>
        <w:t>2021</w:t>
      </w:r>
      <w:r w:rsidRPr="0082664B">
        <w:rPr>
          <w:rFonts w:eastAsia="Times New Roman" w:cstheme="minorHAnsi"/>
          <w:lang w:eastAsia="cs-CZ"/>
        </w:rPr>
        <w:t xml:space="preserve"> a byly schváleny </w:t>
      </w:r>
      <w:r w:rsidRPr="00814829">
        <w:rPr>
          <w:rFonts w:eastAsia="Times New Roman" w:cstheme="minorHAnsi"/>
          <w:lang w:eastAsia="cs-CZ"/>
        </w:rPr>
        <w:t xml:space="preserve">pro Ústav archeologické památkové péče středních Čech, p. o. na </w:t>
      </w:r>
      <w:r>
        <w:rPr>
          <w:rFonts w:eastAsia="Times New Roman" w:cstheme="minorHAnsi"/>
          <w:lang w:eastAsia="cs-CZ"/>
        </w:rPr>
        <w:t>před</w:t>
      </w:r>
      <w:r w:rsidRPr="00814829">
        <w:rPr>
          <w:rFonts w:eastAsia="Times New Roman" w:cstheme="minorHAnsi"/>
          <w:lang w:eastAsia="cs-CZ"/>
        </w:rPr>
        <w:t>financování</w:t>
      </w:r>
      <w:r>
        <w:rPr>
          <w:rFonts w:eastAsia="Times New Roman" w:cstheme="minorHAnsi"/>
          <w:lang w:eastAsia="cs-CZ"/>
        </w:rPr>
        <w:t xml:space="preserve"> a kofinancování</w:t>
      </w:r>
      <w:r w:rsidRPr="00814829">
        <w:rPr>
          <w:rFonts w:eastAsia="Times New Roman" w:cstheme="minorHAnsi"/>
          <w:lang w:eastAsia="cs-CZ"/>
        </w:rPr>
        <w:t xml:space="preserve"> projektu OPŽP</w:t>
      </w:r>
      <w:r>
        <w:rPr>
          <w:rFonts w:eastAsia="Times New Roman" w:cstheme="minorHAnsi"/>
          <w:lang w:eastAsia="cs-CZ"/>
        </w:rPr>
        <w:t xml:space="preserve"> s názvem </w:t>
      </w:r>
      <w:r w:rsidRPr="00814829">
        <w:rPr>
          <w:rFonts w:eastAsia="Times New Roman" w:cstheme="minorHAnsi"/>
          <w:lang w:eastAsia="cs-CZ"/>
        </w:rPr>
        <w:t>„Snížení energetické náročnosti pracoviště Kounice“</w:t>
      </w:r>
      <w:r w:rsidRPr="0082664B">
        <w:rPr>
          <w:rFonts w:eastAsia="Times New Roman" w:cstheme="minorHAnsi"/>
          <w:lang w:eastAsia="cs-CZ"/>
        </w:rPr>
        <w:t xml:space="preserve">. </w:t>
      </w:r>
      <w:r>
        <w:rPr>
          <w:rFonts w:eastAsia="Times New Roman" w:cstheme="minorHAnsi"/>
          <w:lang w:eastAsia="cs-CZ"/>
        </w:rPr>
        <w:t xml:space="preserve"> </w:t>
      </w:r>
      <w:r w:rsidRPr="0082664B">
        <w:rPr>
          <w:rFonts w:eastAsia="Times New Roman" w:cstheme="minorHAnsi"/>
          <w:lang w:eastAsia="cs-CZ"/>
        </w:rPr>
        <w:t>Poskytnutí prostředků</w:t>
      </w:r>
      <w:r>
        <w:rPr>
          <w:rFonts w:eastAsia="Times New Roman" w:cstheme="minorHAnsi"/>
          <w:lang w:eastAsia="cs-CZ"/>
        </w:rPr>
        <w:t xml:space="preserve"> </w:t>
      </w:r>
      <w:r w:rsidRPr="0082664B">
        <w:rPr>
          <w:rFonts w:eastAsia="Times New Roman" w:cstheme="minorHAnsi"/>
          <w:lang w:eastAsia="cs-CZ"/>
        </w:rPr>
        <w:t>organizaci</w:t>
      </w:r>
      <w:r>
        <w:rPr>
          <w:rFonts w:eastAsia="Times New Roman" w:cstheme="minorHAnsi"/>
          <w:lang w:eastAsia="cs-CZ"/>
        </w:rPr>
        <w:t xml:space="preserve"> ve formě investičního příspěvku a návratné finanční výpomoci</w:t>
      </w:r>
      <w:r w:rsidRPr="0082664B">
        <w:rPr>
          <w:rFonts w:eastAsia="Times New Roman" w:cstheme="minorHAnsi"/>
          <w:lang w:eastAsia="cs-CZ"/>
        </w:rPr>
        <w:t xml:space="preserve"> bylo ve výši 100,0 %</w:t>
      </w:r>
      <w:r w:rsidR="00A7208A">
        <w:rPr>
          <w:rFonts w:eastAsia="Times New Roman" w:cstheme="minorHAnsi"/>
          <w:lang w:eastAsia="cs-CZ"/>
        </w:rPr>
        <w:t>.</w:t>
      </w:r>
    </w:p>
    <w:p w14:paraId="474C1B86" w14:textId="77777777" w:rsidR="00347912" w:rsidRPr="00F5693F" w:rsidRDefault="00347912" w:rsidP="00ED51F3">
      <w:pPr>
        <w:spacing w:after="0" w:line="240" w:lineRule="auto"/>
        <w:jc w:val="both"/>
        <w:rPr>
          <w:rFonts w:eastAsia="Times New Roman" w:cstheme="minorHAnsi"/>
          <w:lang w:eastAsia="cs-CZ"/>
        </w:rPr>
      </w:pPr>
    </w:p>
    <w:p w14:paraId="0979893D" w14:textId="1F904883" w:rsidR="00ED51F3" w:rsidRDefault="00ED51F3" w:rsidP="00ED51F3">
      <w:pPr>
        <w:spacing w:after="0" w:line="240" w:lineRule="auto"/>
        <w:jc w:val="both"/>
        <w:rPr>
          <w:rFonts w:eastAsia="Times New Roman" w:cstheme="minorHAnsi"/>
          <w:lang w:eastAsia="cs-CZ"/>
        </w:rPr>
      </w:pPr>
      <w:r w:rsidRPr="00FB50C5">
        <w:rPr>
          <w:rFonts w:eastAsia="Times New Roman" w:cstheme="minorHAnsi"/>
          <w:b/>
          <w:sz w:val="24"/>
          <w:szCs w:val="24"/>
          <w:u w:val="single"/>
          <w:lang w:eastAsia="cs-CZ"/>
        </w:rPr>
        <w:t>Předfinancování a kofin</w:t>
      </w:r>
      <w:r w:rsidR="00A7208A">
        <w:rPr>
          <w:rFonts w:eastAsia="Times New Roman" w:cstheme="minorHAnsi"/>
          <w:b/>
          <w:sz w:val="24"/>
          <w:szCs w:val="24"/>
          <w:u w:val="single"/>
          <w:lang w:eastAsia="cs-CZ"/>
        </w:rPr>
        <w:t>ancování</w:t>
      </w:r>
      <w:r w:rsidRPr="00FB50C5">
        <w:rPr>
          <w:rFonts w:eastAsia="Times New Roman" w:cstheme="minorHAnsi"/>
          <w:b/>
          <w:sz w:val="24"/>
          <w:szCs w:val="24"/>
          <w:u w:val="single"/>
          <w:lang w:eastAsia="cs-CZ"/>
        </w:rPr>
        <w:t xml:space="preserve"> projektů spolufinancovaných z národních zdrojů a ostatní související výdaje s projekty z</w:t>
      </w:r>
      <w:r w:rsidR="00A7208A">
        <w:rPr>
          <w:rFonts w:eastAsia="Times New Roman" w:cstheme="minorHAnsi"/>
          <w:b/>
          <w:sz w:val="24"/>
          <w:szCs w:val="24"/>
          <w:u w:val="single"/>
          <w:lang w:eastAsia="cs-CZ"/>
        </w:rPr>
        <w:t> národních zdrojů</w:t>
      </w:r>
    </w:p>
    <w:p w14:paraId="16929A2B" w14:textId="77777777" w:rsidR="00ED51F3" w:rsidRDefault="00ED51F3" w:rsidP="00ED51F3">
      <w:pPr>
        <w:spacing w:after="0" w:line="240" w:lineRule="auto"/>
        <w:jc w:val="both"/>
        <w:rPr>
          <w:rFonts w:eastAsia="Times New Roman" w:cstheme="minorHAnsi"/>
          <w:lang w:eastAsia="cs-CZ"/>
        </w:rPr>
      </w:pPr>
    </w:p>
    <w:p w14:paraId="11310F28" w14:textId="77777777" w:rsidR="00ED51F3" w:rsidRPr="00B021EA" w:rsidRDefault="00ED51F3" w:rsidP="00ED51F3">
      <w:pPr>
        <w:spacing w:after="0" w:line="240" w:lineRule="auto"/>
        <w:jc w:val="both"/>
        <w:rPr>
          <w:rFonts w:eastAsia="Times New Roman" w:cstheme="minorHAnsi"/>
          <w:b/>
          <w:bCs/>
          <w:lang w:eastAsia="cs-CZ"/>
        </w:rPr>
      </w:pPr>
      <w:r w:rsidRPr="00B021EA">
        <w:rPr>
          <w:rFonts w:eastAsia="Times New Roman" w:cstheme="minorHAnsi"/>
          <w:b/>
          <w:bCs/>
          <w:lang w:eastAsia="cs-CZ"/>
        </w:rPr>
        <w:t>§ 3314 – Činnosti knihovnické</w:t>
      </w:r>
    </w:p>
    <w:p w14:paraId="221F3977" w14:textId="5A4559A9" w:rsidR="00ED51F3" w:rsidRPr="00B021EA" w:rsidRDefault="00ED51F3" w:rsidP="00ED51F3">
      <w:pPr>
        <w:spacing w:after="0" w:line="240" w:lineRule="auto"/>
        <w:jc w:val="both"/>
        <w:rPr>
          <w:rFonts w:eastAsia="Times New Roman" w:cstheme="minorHAnsi"/>
          <w:lang w:eastAsia="cs-CZ"/>
        </w:rPr>
      </w:pPr>
      <w:r w:rsidRPr="00B021EA">
        <w:rPr>
          <w:rFonts w:eastAsia="Times New Roman" w:cstheme="minorHAnsi"/>
          <w:lang w:eastAsia="cs-CZ"/>
        </w:rPr>
        <w:t>Finanční prostředky v celkové výši 1</w:t>
      </w:r>
      <w:r>
        <w:rPr>
          <w:rFonts w:eastAsia="Times New Roman" w:cstheme="minorHAnsi"/>
          <w:lang w:eastAsia="cs-CZ"/>
        </w:rPr>
        <w:t> 423 710,00</w:t>
      </w:r>
      <w:r w:rsidRPr="00B021EA">
        <w:rPr>
          <w:rFonts w:eastAsia="Times New Roman" w:cstheme="minorHAnsi"/>
          <w:lang w:eastAsia="cs-CZ"/>
        </w:rPr>
        <w:t xml:space="preserve"> Kč byly převedeny v souladu s usnesením č. </w:t>
      </w:r>
      <w:bookmarkStart w:id="27" w:name="_Hlk96926795"/>
      <w:r w:rsidRPr="00327795">
        <w:rPr>
          <w:rFonts w:eastAsia="Times New Roman" w:cstheme="minorHAnsi"/>
          <w:lang w:eastAsia="cs-CZ"/>
        </w:rPr>
        <w:t>026-40/2021/RK ze dne 21.</w:t>
      </w:r>
      <w:r w:rsidR="00347912">
        <w:rPr>
          <w:rFonts w:eastAsia="Times New Roman" w:cstheme="minorHAnsi"/>
          <w:lang w:eastAsia="cs-CZ"/>
        </w:rPr>
        <w:t xml:space="preserve"> </w:t>
      </w:r>
      <w:r w:rsidRPr="00327795">
        <w:rPr>
          <w:rFonts w:eastAsia="Times New Roman" w:cstheme="minorHAnsi"/>
          <w:lang w:eastAsia="cs-CZ"/>
        </w:rPr>
        <w:t>10.</w:t>
      </w:r>
      <w:r w:rsidR="00347912">
        <w:rPr>
          <w:rFonts w:eastAsia="Times New Roman" w:cstheme="minorHAnsi"/>
          <w:lang w:eastAsia="cs-CZ"/>
        </w:rPr>
        <w:t xml:space="preserve"> </w:t>
      </w:r>
      <w:r w:rsidRPr="00327795">
        <w:rPr>
          <w:rFonts w:eastAsia="Times New Roman" w:cstheme="minorHAnsi"/>
          <w:lang w:eastAsia="cs-CZ"/>
        </w:rPr>
        <w:t>2021</w:t>
      </w:r>
      <w:bookmarkEnd w:id="27"/>
      <w:r w:rsidRPr="00B021EA">
        <w:rPr>
          <w:rFonts w:eastAsia="Times New Roman" w:cstheme="minorHAnsi"/>
          <w:lang w:eastAsia="cs-CZ"/>
        </w:rPr>
        <w:t xml:space="preserve"> z kapitoly 23 - Ostatní, z prostředků na předfinancování a kofinancování projektů z národních zdrojů a ostatních souvisejících výdajů s projekty spolufinancovaných z národních zdrojů, na kofinancování projektů spolufinancovaných z Ministerstva kultury pro příspěvkovou organizaci Středočeská vědecká knihovna v Kladně na projekty </w:t>
      </w:r>
      <w:r w:rsidRPr="00327795">
        <w:rPr>
          <w:rFonts w:eastAsia="Times New Roman" w:cstheme="minorHAnsi"/>
          <w:lang w:eastAsia="cs-CZ"/>
        </w:rPr>
        <w:t>Čtenář: měsíčník pro knihovny - vzdělávat, informovat a inspirovat</w:t>
      </w:r>
      <w:r>
        <w:rPr>
          <w:rFonts w:eastAsia="Times New Roman" w:cstheme="minorHAnsi"/>
          <w:lang w:eastAsia="cs-CZ"/>
        </w:rPr>
        <w:t xml:space="preserve">, </w:t>
      </w:r>
      <w:r w:rsidRPr="00327795">
        <w:rPr>
          <w:rFonts w:eastAsia="Times New Roman" w:cstheme="minorHAnsi"/>
          <w:lang w:eastAsia="cs-CZ"/>
        </w:rPr>
        <w:t>Čtvrtá etapa v zavedení RFID technologie</w:t>
      </w:r>
      <w:r>
        <w:rPr>
          <w:rFonts w:eastAsia="Times New Roman" w:cstheme="minorHAnsi"/>
          <w:lang w:eastAsia="cs-CZ"/>
        </w:rPr>
        <w:t xml:space="preserve">, </w:t>
      </w:r>
      <w:r w:rsidRPr="00327795">
        <w:rPr>
          <w:rFonts w:eastAsia="Times New Roman" w:cstheme="minorHAnsi"/>
          <w:lang w:eastAsia="cs-CZ"/>
        </w:rPr>
        <w:t>Doplňování vybraných záznamů článků do báze ANL</w:t>
      </w:r>
      <w:r>
        <w:rPr>
          <w:rFonts w:eastAsia="Times New Roman" w:cstheme="minorHAnsi"/>
          <w:lang w:eastAsia="cs-CZ"/>
        </w:rPr>
        <w:t xml:space="preserve">, </w:t>
      </w:r>
      <w:r w:rsidRPr="00327795">
        <w:rPr>
          <w:rFonts w:eastAsia="Times New Roman" w:cstheme="minorHAnsi"/>
          <w:lang w:eastAsia="cs-CZ"/>
        </w:rPr>
        <w:t>Pořízení serveru pro SVK</w:t>
      </w:r>
      <w:r>
        <w:rPr>
          <w:rFonts w:eastAsia="Times New Roman" w:cstheme="minorHAnsi"/>
          <w:lang w:eastAsia="cs-CZ"/>
        </w:rPr>
        <w:t xml:space="preserve">, </w:t>
      </w:r>
      <w:r w:rsidRPr="00327795">
        <w:rPr>
          <w:rFonts w:eastAsia="Times New Roman" w:cstheme="minorHAnsi"/>
          <w:lang w:eastAsia="cs-CZ"/>
        </w:rPr>
        <w:t>Příspěvek na nákup zvukových knih pro zrakově a zdravotně postižené</w:t>
      </w:r>
      <w:r>
        <w:rPr>
          <w:rFonts w:eastAsia="Times New Roman" w:cstheme="minorHAnsi"/>
          <w:lang w:eastAsia="cs-CZ"/>
        </w:rPr>
        <w:t xml:space="preserve">, </w:t>
      </w:r>
      <w:r w:rsidRPr="00327795">
        <w:rPr>
          <w:rFonts w:eastAsia="Times New Roman" w:cstheme="minorHAnsi"/>
          <w:lang w:eastAsia="cs-CZ"/>
        </w:rPr>
        <w:t>Vzdělávání středočeských knihovníků v oblasti ICT</w:t>
      </w:r>
      <w:r w:rsidRPr="00B021EA">
        <w:rPr>
          <w:rFonts w:eastAsia="Times New Roman" w:cstheme="minorHAnsi"/>
          <w:lang w:eastAsia="cs-CZ"/>
        </w:rPr>
        <w:t xml:space="preserve">. Poskytnuté finanční prostředky organizaci byly čerpány ve výši </w:t>
      </w:r>
      <w:r>
        <w:rPr>
          <w:rFonts w:eastAsia="Times New Roman" w:cstheme="minorHAnsi"/>
          <w:lang w:eastAsia="cs-CZ"/>
        </w:rPr>
        <w:t>80</w:t>
      </w:r>
      <w:r w:rsidRPr="00B021EA">
        <w:rPr>
          <w:rFonts w:eastAsia="Times New Roman" w:cstheme="minorHAnsi"/>
          <w:lang w:eastAsia="cs-CZ"/>
        </w:rPr>
        <w:t>,</w:t>
      </w:r>
      <w:r>
        <w:rPr>
          <w:rFonts w:eastAsia="Times New Roman" w:cstheme="minorHAnsi"/>
          <w:lang w:eastAsia="cs-CZ"/>
        </w:rPr>
        <w:t>1</w:t>
      </w:r>
      <w:r w:rsidRPr="00B021EA">
        <w:rPr>
          <w:rFonts w:eastAsia="Times New Roman" w:cstheme="minorHAnsi"/>
          <w:lang w:eastAsia="cs-CZ"/>
        </w:rPr>
        <w:t xml:space="preserve"> %</w:t>
      </w:r>
      <w:r>
        <w:rPr>
          <w:rFonts w:eastAsia="Times New Roman" w:cstheme="minorHAnsi"/>
          <w:lang w:eastAsia="cs-CZ"/>
        </w:rPr>
        <w:t>, neboť účelové investiční a neinvestiční prostředky na pořízení serveru pro SVK byly vráceny v plné výši, tento projekt nebyl realizován.</w:t>
      </w:r>
    </w:p>
    <w:p w14:paraId="22EC4C18" w14:textId="77777777" w:rsidR="00ED51F3" w:rsidRPr="00B021EA" w:rsidRDefault="00ED51F3" w:rsidP="00ED51F3">
      <w:pPr>
        <w:spacing w:after="0" w:line="240" w:lineRule="auto"/>
        <w:jc w:val="both"/>
        <w:rPr>
          <w:rFonts w:eastAsia="Times New Roman" w:cstheme="minorHAnsi"/>
          <w:lang w:eastAsia="cs-CZ"/>
        </w:rPr>
      </w:pPr>
    </w:p>
    <w:p w14:paraId="14A9A808" w14:textId="77777777" w:rsidR="00110410" w:rsidRPr="00110410" w:rsidRDefault="00110410" w:rsidP="00110410">
      <w:pPr>
        <w:spacing w:after="0" w:line="240" w:lineRule="auto"/>
        <w:jc w:val="both"/>
        <w:rPr>
          <w:b/>
          <w:bCs/>
          <w:lang w:eastAsia="cs-CZ"/>
        </w:rPr>
      </w:pPr>
      <w:bookmarkStart w:id="28" w:name="_Hlk98496363"/>
      <w:r w:rsidRPr="00110410">
        <w:rPr>
          <w:b/>
          <w:bCs/>
          <w:lang w:eastAsia="cs-CZ"/>
        </w:rPr>
        <w:t>§ 3315 – Činnosti muzeí a galerií</w:t>
      </w:r>
    </w:p>
    <w:p w14:paraId="4B9FF965" w14:textId="77777777" w:rsidR="00110410" w:rsidRPr="00110410" w:rsidRDefault="00110410" w:rsidP="00110410">
      <w:pPr>
        <w:spacing w:after="0" w:line="240" w:lineRule="auto"/>
        <w:jc w:val="both"/>
        <w:rPr>
          <w:lang w:eastAsia="cs-CZ"/>
        </w:rPr>
      </w:pPr>
      <w:r w:rsidRPr="00110410">
        <w:rPr>
          <w:lang w:eastAsia="cs-CZ"/>
        </w:rPr>
        <w:t xml:space="preserve">Rozpočet byl upraven na základě usnesení č. 072-29/2021/RK ze dne 15. 7. 2021 na částku 1 888 571,00 Kč. Jednalo se o finanční prostředky pro Hornické muzeum Příbram na kofinancování projektu „Opěrná zeď dolu Vojtěch“. Další finanční prostředky byly převedeny v souladu s usnesením č. 026-40/2021/RK ze dne 21.10.2021 (ve výši 4 352 782,61 Kč) a usnesením č. 094-47/2021/RK ze dne 16.12.2021 (ve výši 1 506 870,00 Kč) na projekty Samota uprostřed davu: Charles Baudelaire a české umění, ISOII/D-c - Restaurování a konzervování předmětů do sbírek GASK, Modifikace a </w:t>
      </w:r>
      <w:r w:rsidRPr="00110410">
        <w:rPr>
          <w:lang w:eastAsia="cs-CZ"/>
        </w:rPr>
        <w:lastRenderedPageBreak/>
        <w:t xml:space="preserve">rozšíření nabídky edukačních programů LC GASK ve stálé expozici Stavy mysli/Za obrazem - Obměny a intervence, Náročné restaurování, konzervace a preparování ISO/D-c na rok 2021, Výstava: Z Vídně na sever. Přijeli jsme do stanice, Vítej mezi námi, děťátko. Kojenecká móda 1. poloviny 20. století ze sbírky Miloslavy Šormové a SM v Roztokách, Oprava fasády zámku Růžkovy Lhotice, Celková konzervace a zajištění těžní věže dolu Mayrau, I. etapa, Technické vybavení a obalový materiál, ISO D, Katalog výstavy Dobrodružství cyklistiky - éra vysokého kola v Čechách, Zapomenutá vůně střelného prachu, Restaurování souboru 6 starých fotografických technik, Pořízení 8 skříní na uložení paleontologických sbírek, Vybavení depozitáře archeologické podsbírky OMPV (MK ČR ISO II/D 2021), Rekonstrukce stálé expozice OMPv, p.o. v objektu Arnoldinovský dům, Brandýs nad Labem-Stará Boleslav, Pořízení historických kostýmů pro pracovníky HMP, ISO II/A - Kamerové zabezpečení objektů, ISO II/D – nákup stacionárních regálů, ISO II/D – nákup sušárny s nucenou ventilací, Čapkova Strž v Obrazech, Dokončení modernizace stálé expozice Památníku Karla Čapka ve Staré Huti u Dobříše, příspěvkové organizace, Expozice Příroda a lide na Jesenicku, Nákup 1 uměleckého díla z dotačního programu MKČR - Akviziční fond 2021, Petr Písařík, nákup obrazu Bludné kruhy, Nákup obrazu Zdenky Braunerové - Paříž,  ISO II/C, Stanislav Kostka - nákup souboru 6 skleněných plastik: Autoportrét, Prozřetelnost, Ruka, Tvář, Vrba, Odkud a kam, Údržba oken na vnějším plášti mladoboleslavského hradu 2. etapa, Vzdělávací program "S havířem na šichtu", Restaurování 41 ks grafik a kreseb, Středočeské trienále 2021). </w:t>
      </w:r>
    </w:p>
    <w:p w14:paraId="532F8443" w14:textId="77777777" w:rsidR="00110410" w:rsidRDefault="00110410" w:rsidP="00110410">
      <w:pPr>
        <w:spacing w:after="0" w:line="240" w:lineRule="auto"/>
        <w:jc w:val="both"/>
        <w:rPr>
          <w:lang w:eastAsia="cs-CZ"/>
        </w:rPr>
      </w:pPr>
      <w:r w:rsidRPr="00110410">
        <w:rPr>
          <w:lang w:eastAsia="cs-CZ"/>
        </w:rPr>
        <w:t>Finanční prostředky v celkové výši 7 748 223,61 Kč byly převedeny z kapitoly 23 - Ostatní, z prostředků na předfinancování a kofinancování projektů z národních zdrojů a ostatních souvisejících výdajů s projekty spolufinancovaných z národních zdrojů, na kofinancování projektů spolufinancovaných z Ministerstva kultury pro příspěvkové organizace v oblasti kultury na investiční a neinvestiční projekty Poskytnuté finanční prostředky organizacím byly čerpány ve výši 100,0 %.</w:t>
      </w:r>
      <w:r>
        <w:rPr>
          <w:lang w:eastAsia="cs-CZ"/>
        </w:rPr>
        <w:t xml:space="preserve"> </w:t>
      </w:r>
    </w:p>
    <w:p w14:paraId="60F1DFBF" w14:textId="77777777" w:rsidR="00110410" w:rsidRDefault="00110410" w:rsidP="00110410"/>
    <w:bookmarkEnd w:id="28"/>
    <w:p w14:paraId="666AFF10" w14:textId="77777777" w:rsidR="00ED51F3" w:rsidRPr="0082664B" w:rsidRDefault="00ED51F3" w:rsidP="00ED51F3">
      <w:pPr>
        <w:spacing w:after="0" w:line="240" w:lineRule="auto"/>
        <w:jc w:val="both"/>
        <w:rPr>
          <w:rFonts w:eastAsia="Times New Roman" w:cstheme="minorHAnsi"/>
          <w:lang w:eastAsia="cs-CZ"/>
        </w:rPr>
      </w:pPr>
    </w:p>
    <w:p w14:paraId="31C80951" w14:textId="77777777" w:rsidR="00ED51F3" w:rsidRPr="0082664B" w:rsidRDefault="00ED51F3" w:rsidP="00ED51F3">
      <w:pPr>
        <w:spacing w:after="0" w:line="240" w:lineRule="auto"/>
        <w:jc w:val="both"/>
        <w:rPr>
          <w:rFonts w:eastAsia="Times New Roman" w:cstheme="minorHAnsi"/>
          <w:b/>
          <w:sz w:val="24"/>
          <w:szCs w:val="24"/>
          <w:u w:val="single"/>
          <w:lang w:eastAsia="cs-CZ"/>
        </w:rPr>
      </w:pPr>
      <w:r w:rsidRPr="0082664B">
        <w:rPr>
          <w:rFonts w:eastAsia="Times New Roman" w:cstheme="minorHAnsi"/>
          <w:b/>
          <w:sz w:val="24"/>
          <w:szCs w:val="24"/>
          <w:u w:val="single"/>
          <w:lang w:eastAsia="cs-CZ"/>
        </w:rPr>
        <w:t>Dotace ze státního rozpočtu a ostatních veřejných rozpočtů</w:t>
      </w:r>
    </w:p>
    <w:p w14:paraId="621A2F9B" w14:textId="77777777" w:rsidR="00ED51F3" w:rsidRPr="0082664B" w:rsidRDefault="00ED51F3" w:rsidP="00ED51F3">
      <w:pPr>
        <w:spacing w:after="0" w:line="240" w:lineRule="auto"/>
        <w:jc w:val="both"/>
        <w:rPr>
          <w:rFonts w:eastAsia="Times New Roman" w:cstheme="minorHAnsi"/>
          <w:b/>
          <w:lang w:eastAsia="cs-CZ"/>
        </w:rPr>
      </w:pPr>
    </w:p>
    <w:p w14:paraId="21A13C94" w14:textId="77777777" w:rsidR="00ED51F3" w:rsidRPr="0082664B" w:rsidRDefault="00ED51F3" w:rsidP="00ED51F3">
      <w:pPr>
        <w:spacing w:after="0" w:line="240" w:lineRule="auto"/>
        <w:jc w:val="both"/>
        <w:rPr>
          <w:rFonts w:eastAsia="Times New Roman" w:cstheme="minorHAnsi"/>
          <w:b/>
          <w:lang w:eastAsia="cs-CZ"/>
        </w:rPr>
      </w:pPr>
      <w:r w:rsidRPr="0082664B">
        <w:rPr>
          <w:rFonts w:eastAsia="Times New Roman" w:cstheme="minorHAnsi"/>
          <w:b/>
          <w:lang w:eastAsia="cs-CZ"/>
        </w:rPr>
        <w:t xml:space="preserve">§ </w:t>
      </w:r>
      <w:r>
        <w:rPr>
          <w:rFonts w:eastAsia="Times New Roman" w:cstheme="minorHAnsi"/>
          <w:b/>
          <w:lang w:eastAsia="cs-CZ"/>
        </w:rPr>
        <w:t>2143</w:t>
      </w:r>
      <w:r w:rsidRPr="0082664B">
        <w:rPr>
          <w:rFonts w:eastAsia="Times New Roman" w:cstheme="minorHAnsi"/>
          <w:b/>
          <w:lang w:eastAsia="cs-CZ"/>
        </w:rPr>
        <w:t xml:space="preserve"> – </w:t>
      </w:r>
      <w:r>
        <w:rPr>
          <w:rFonts w:eastAsia="Times New Roman" w:cstheme="minorHAnsi"/>
          <w:b/>
          <w:lang w:eastAsia="cs-CZ"/>
        </w:rPr>
        <w:t>Marketingové aktivity v cestovním ruchu</w:t>
      </w:r>
      <w:r w:rsidRPr="0082664B">
        <w:rPr>
          <w:rFonts w:eastAsia="Times New Roman" w:cstheme="minorHAnsi"/>
          <w:b/>
          <w:lang w:eastAsia="cs-CZ"/>
        </w:rPr>
        <w:t xml:space="preserve"> (UZ </w:t>
      </w:r>
      <w:r>
        <w:rPr>
          <w:rFonts w:eastAsia="Times New Roman" w:cstheme="minorHAnsi"/>
          <w:b/>
          <w:lang w:eastAsia="cs-CZ"/>
        </w:rPr>
        <w:t>17055</w:t>
      </w:r>
      <w:r w:rsidRPr="0082664B">
        <w:rPr>
          <w:rFonts w:eastAsia="Times New Roman" w:cstheme="minorHAnsi"/>
          <w:b/>
          <w:lang w:eastAsia="cs-CZ"/>
        </w:rPr>
        <w:t>)</w:t>
      </w:r>
    </w:p>
    <w:p w14:paraId="419DC97D" w14:textId="77777777" w:rsidR="00ED51F3" w:rsidRPr="00EE6B5B" w:rsidRDefault="00ED51F3" w:rsidP="00ED51F3">
      <w:pPr>
        <w:spacing w:after="0" w:line="240" w:lineRule="auto"/>
        <w:jc w:val="both"/>
        <w:rPr>
          <w:rFonts w:eastAsia="Times New Roman" w:cstheme="minorHAnsi"/>
          <w:lang w:eastAsia="cs-CZ"/>
        </w:rPr>
      </w:pPr>
      <w:r w:rsidRPr="0082664B">
        <w:rPr>
          <w:rFonts w:eastAsia="Times New Roman" w:cstheme="minorHAnsi"/>
          <w:lang w:eastAsia="cs-CZ"/>
        </w:rPr>
        <w:t>Ministe</w:t>
      </w:r>
      <w:r>
        <w:rPr>
          <w:rFonts w:eastAsia="Times New Roman" w:cstheme="minorHAnsi"/>
          <w:lang w:eastAsia="cs-CZ"/>
        </w:rPr>
        <w:t>rstvo pro místní rozvoj</w:t>
      </w:r>
      <w:r w:rsidRPr="0082664B">
        <w:rPr>
          <w:rFonts w:eastAsia="Times New Roman" w:cstheme="minorHAnsi"/>
          <w:lang w:eastAsia="cs-CZ"/>
        </w:rPr>
        <w:t xml:space="preserve"> ČR</w:t>
      </w:r>
      <w:r>
        <w:rPr>
          <w:rFonts w:eastAsia="Times New Roman" w:cstheme="minorHAnsi"/>
          <w:lang w:eastAsia="cs-CZ"/>
        </w:rPr>
        <w:t xml:space="preserve"> rozhodlo o poskytnutí neinvestiční dotace ve výši 827 068,00 Kč z </w:t>
      </w:r>
      <w:r w:rsidRPr="00EE6B5B">
        <w:rPr>
          <w:rFonts w:eastAsia="Times New Roman" w:cstheme="minorHAnsi"/>
          <w:lang w:eastAsia="cs-CZ"/>
        </w:rPr>
        <w:t>Národní</w:t>
      </w:r>
      <w:r>
        <w:rPr>
          <w:rFonts w:eastAsia="Times New Roman" w:cstheme="minorHAnsi"/>
          <w:lang w:eastAsia="cs-CZ"/>
        </w:rPr>
        <w:t>ho</w:t>
      </w:r>
      <w:r w:rsidRPr="00EE6B5B">
        <w:rPr>
          <w:rFonts w:eastAsia="Times New Roman" w:cstheme="minorHAnsi"/>
          <w:lang w:eastAsia="cs-CZ"/>
        </w:rPr>
        <w:t xml:space="preserve"> program</w:t>
      </w:r>
      <w:r>
        <w:rPr>
          <w:rFonts w:eastAsia="Times New Roman" w:cstheme="minorHAnsi"/>
          <w:lang w:eastAsia="cs-CZ"/>
        </w:rPr>
        <w:t>u</w:t>
      </w:r>
      <w:r w:rsidRPr="00EE6B5B">
        <w:rPr>
          <w:rFonts w:eastAsia="Times New Roman" w:cstheme="minorHAnsi"/>
          <w:lang w:eastAsia="cs-CZ"/>
        </w:rPr>
        <w:t xml:space="preserve"> podpory cestovního ruchu v</w:t>
      </w:r>
      <w:r>
        <w:rPr>
          <w:rFonts w:eastAsia="Times New Roman" w:cstheme="minorHAnsi"/>
          <w:lang w:eastAsia="cs-CZ"/>
        </w:rPr>
        <w:t> </w:t>
      </w:r>
      <w:r w:rsidRPr="00EE6B5B">
        <w:rPr>
          <w:rFonts w:eastAsia="Times New Roman" w:cstheme="minorHAnsi"/>
          <w:lang w:eastAsia="cs-CZ"/>
        </w:rPr>
        <w:t>regionech</w:t>
      </w:r>
      <w:r>
        <w:rPr>
          <w:rFonts w:eastAsia="Times New Roman" w:cstheme="minorHAnsi"/>
          <w:lang w:eastAsia="cs-CZ"/>
        </w:rPr>
        <w:t xml:space="preserve">. Dotace je určena </w:t>
      </w:r>
      <w:r w:rsidRPr="00EE6B5B">
        <w:rPr>
          <w:rFonts w:eastAsia="Times New Roman" w:cstheme="minorHAnsi"/>
          <w:lang w:eastAsia="cs-CZ"/>
        </w:rPr>
        <w:t>Středočesk</w:t>
      </w:r>
      <w:r>
        <w:rPr>
          <w:rFonts w:eastAsia="Times New Roman" w:cstheme="minorHAnsi"/>
          <w:lang w:eastAsia="cs-CZ"/>
        </w:rPr>
        <w:t>é</w:t>
      </w:r>
      <w:r w:rsidRPr="00EE6B5B">
        <w:rPr>
          <w:rFonts w:eastAsia="Times New Roman" w:cstheme="minorHAnsi"/>
          <w:lang w:eastAsia="cs-CZ"/>
        </w:rPr>
        <w:t xml:space="preserve"> centrál</w:t>
      </w:r>
      <w:r>
        <w:rPr>
          <w:rFonts w:eastAsia="Times New Roman" w:cstheme="minorHAnsi"/>
          <w:lang w:eastAsia="cs-CZ"/>
        </w:rPr>
        <w:t>e</w:t>
      </w:r>
      <w:r w:rsidRPr="00EE6B5B">
        <w:rPr>
          <w:rFonts w:eastAsia="Times New Roman" w:cstheme="minorHAnsi"/>
          <w:lang w:eastAsia="cs-CZ"/>
        </w:rPr>
        <w:t xml:space="preserve"> cestovního ruchu, příspěvková organizace</w:t>
      </w:r>
      <w:r>
        <w:rPr>
          <w:rFonts w:eastAsia="Times New Roman" w:cstheme="minorHAnsi"/>
          <w:lang w:eastAsia="cs-CZ"/>
        </w:rPr>
        <w:t xml:space="preserve"> na projekt s názvem „</w:t>
      </w:r>
      <w:r w:rsidRPr="00EE6B5B">
        <w:rPr>
          <w:rFonts w:eastAsia="Times New Roman" w:cstheme="minorHAnsi"/>
          <w:lang w:eastAsia="cs-CZ"/>
        </w:rPr>
        <w:t>Rozvoj produktu Střední Čechy královské</w:t>
      </w:r>
      <w:r>
        <w:rPr>
          <w:rFonts w:eastAsia="Times New Roman" w:cstheme="minorHAnsi"/>
          <w:lang w:eastAsia="cs-CZ"/>
        </w:rPr>
        <w:t xml:space="preserve">“ </w:t>
      </w:r>
      <w:bookmarkStart w:id="29" w:name="_Hlk96930651"/>
      <w:r w:rsidRPr="0082664B">
        <w:rPr>
          <w:rFonts w:eastAsia="Times New Roman" w:cstheme="minorHAnsi"/>
          <w:lang w:eastAsia="cs-CZ"/>
        </w:rPr>
        <w:t>(</w:t>
      </w:r>
      <w:r>
        <w:rPr>
          <w:rFonts w:eastAsia="Times New Roman" w:cstheme="minorHAnsi"/>
          <w:lang w:eastAsia="cs-CZ"/>
        </w:rPr>
        <w:t xml:space="preserve">zapojeno do rozpočtu na základě </w:t>
      </w:r>
      <w:r w:rsidRPr="0082664B">
        <w:rPr>
          <w:rFonts w:eastAsia="Times New Roman" w:cstheme="minorHAnsi"/>
          <w:lang w:eastAsia="cs-CZ"/>
        </w:rPr>
        <w:t xml:space="preserve">usnesení č. </w:t>
      </w:r>
      <w:r w:rsidRPr="00CF45E7">
        <w:rPr>
          <w:rFonts w:eastAsia="Times New Roman" w:cstheme="minorHAnsi"/>
          <w:lang w:eastAsia="cs-CZ"/>
        </w:rPr>
        <w:t>049-43/2021/RK ze dne 18.11.2021</w:t>
      </w:r>
      <w:r w:rsidRPr="0082664B">
        <w:rPr>
          <w:rFonts w:eastAsia="Times New Roman" w:cstheme="minorHAnsi"/>
          <w:lang w:eastAsia="cs-CZ"/>
        </w:rPr>
        <w:t>)</w:t>
      </w:r>
      <w:bookmarkEnd w:id="29"/>
      <w:r w:rsidRPr="0082664B">
        <w:rPr>
          <w:rFonts w:eastAsia="Times New Roman" w:cstheme="minorHAnsi"/>
          <w:lang w:eastAsia="cs-CZ"/>
        </w:rPr>
        <w:t>. Finanční prostředky byly čerpány na 100,0 %.</w:t>
      </w:r>
    </w:p>
    <w:p w14:paraId="5D47A470" w14:textId="77777777" w:rsidR="00ED51F3" w:rsidRDefault="00ED51F3" w:rsidP="00ED51F3">
      <w:pPr>
        <w:spacing w:after="0" w:line="240" w:lineRule="auto"/>
        <w:jc w:val="both"/>
        <w:rPr>
          <w:rFonts w:eastAsia="Times New Roman" w:cstheme="minorHAnsi"/>
          <w:b/>
          <w:lang w:eastAsia="cs-CZ"/>
        </w:rPr>
      </w:pPr>
    </w:p>
    <w:p w14:paraId="207C4956" w14:textId="77777777" w:rsidR="00ED51F3" w:rsidRPr="0082664B" w:rsidRDefault="00ED51F3" w:rsidP="00ED51F3">
      <w:pPr>
        <w:spacing w:after="0" w:line="240" w:lineRule="auto"/>
        <w:jc w:val="both"/>
        <w:rPr>
          <w:rFonts w:eastAsia="Times New Roman" w:cstheme="minorHAnsi"/>
          <w:b/>
          <w:lang w:eastAsia="cs-CZ"/>
        </w:rPr>
      </w:pPr>
      <w:r w:rsidRPr="0082664B">
        <w:rPr>
          <w:rFonts w:eastAsia="Times New Roman" w:cstheme="minorHAnsi"/>
          <w:b/>
          <w:lang w:eastAsia="cs-CZ"/>
        </w:rPr>
        <w:t xml:space="preserve">§ 3315 – </w:t>
      </w:r>
      <w:r w:rsidRPr="00876678">
        <w:rPr>
          <w:rFonts w:eastAsia="Times New Roman" w:cstheme="minorHAnsi"/>
          <w:b/>
          <w:lang w:eastAsia="cs-CZ"/>
        </w:rPr>
        <w:t>Podpora obnovy kult</w:t>
      </w:r>
      <w:r>
        <w:rPr>
          <w:rFonts w:eastAsia="Times New Roman" w:cstheme="minorHAnsi"/>
          <w:b/>
          <w:lang w:eastAsia="cs-CZ"/>
        </w:rPr>
        <w:t>urních p</w:t>
      </w:r>
      <w:r w:rsidRPr="00876678">
        <w:rPr>
          <w:rFonts w:eastAsia="Times New Roman" w:cstheme="minorHAnsi"/>
          <w:b/>
          <w:lang w:eastAsia="cs-CZ"/>
        </w:rPr>
        <w:t>amátek (UZ 34002)</w:t>
      </w:r>
    </w:p>
    <w:p w14:paraId="5B162A41" w14:textId="3CB87CA5" w:rsidR="00ED51F3" w:rsidRDefault="00ED51F3" w:rsidP="00ED51F3">
      <w:pPr>
        <w:spacing w:after="0" w:line="240" w:lineRule="auto"/>
        <w:jc w:val="both"/>
        <w:rPr>
          <w:rFonts w:eastAsia="Times New Roman" w:cstheme="minorHAnsi"/>
          <w:b/>
          <w:lang w:eastAsia="cs-CZ"/>
        </w:rPr>
      </w:pPr>
      <w:r w:rsidRPr="0082664B">
        <w:rPr>
          <w:rFonts w:eastAsia="Times New Roman" w:cstheme="minorHAnsi"/>
          <w:lang w:eastAsia="cs-CZ"/>
        </w:rPr>
        <w:t>Ministerstvem kultury ČR byla poskytnuta účelová dot</w:t>
      </w:r>
      <w:r>
        <w:rPr>
          <w:rFonts w:eastAsia="Times New Roman" w:cstheme="minorHAnsi"/>
          <w:lang w:eastAsia="cs-CZ"/>
        </w:rPr>
        <w:t>ace</w:t>
      </w:r>
      <w:r w:rsidRPr="0082664B">
        <w:rPr>
          <w:rFonts w:eastAsia="Times New Roman" w:cstheme="minorHAnsi"/>
          <w:lang w:eastAsia="cs-CZ"/>
        </w:rPr>
        <w:t xml:space="preserve"> ve výši </w:t>
      </w:r>
      <w:r>
        <w:rPr>
          <w:rFonts w:eastAsia="Times New Roman" w:cstheme="minorHAnsi"/>
          <w:lang w:eastAsia="cs-CZ"/>
        </w:rPr>
        <w:t>219 000</w:t>
      </w:r>
      <w:r w:rsidRPr="0082664B">
        <w:rPr>
          <w:rFonts w:eastAsia="Times New Roman" w:cstheme="minorHAnsi"/>
          <w:lang w:eastAsia="cs-CZ"/>
        </w:rPr>
        <w:t xml:space="preserve">,00 Kč, která je určená pro </w:t>
      </w:r>
      <w:r>
        <w:rPr>
          <w:rFonts w:eastAsia="Times New Roman" w:cstheme="minorHAnsi"/>
          <w:lang w:eastAsia="cs-CZ"/>
        </w:rPr>
        <w:t xml:space="preserve">příspěvkovou organizaci Muzeum Podblanicka na </w:t>
      </w:r>
      <w:r w:rsidRPr="00876678">
        <w:rPr>
          <w:rFonts w:eastAsia="Times New Roman" w:cstheme="minorHAnsi"/>
          <w:lang w:eastAsia="cs-CZ"/>
        </w:rPr>
        <w:t>Obnov</w:t>
      </w:r>
      <w:r>
        <w:rPr>
          <w:rFonts w:eastAsia="Times New Roman" w:cstheme="minorHAnsi"/>
          <w:lang w:eastAsia="cs-CZ"/>
        </w:rPr>
        <w:t>u</w:t>
      </w:r>
      <w:r w:rsidRPr="00876678">
        <w:rPr>
          <w:rFonts w:eastAsia="Times New Roman" w:cstheme="minorHAnsi"/>
          <w:lang w:eastAsia="cs-CZ"/>
        </w:rPr>
        <w:t xml:space="preserve"> kulturní památky – zámek Růžkovy Lhotice</w:t>
      </w:r>
      <w:r>
        <w:rPr>
          <w:rFonts w:eastAsia="Times New Roman" w:cstheme="minorHAnsi"/>
          <w:lang w:eastAsia="cs-CZ"/>
        </w:rPr>
        <w:t xml:space="preserve"> </w:t>
      </w:r>
      <w:r w:rsidRPr="005D447B">
        <w:rPr>
          <w:rFonts w:eastAsia="Times New Roman" w:cstheme="minorHAnsi"/>
          <w:lang w:eastAsia="cs-CZ"/>
        </w:rPr>
        <w:t xml:space="preserve">(zapojeno do rozpočtu na základě usnesení č. </w:t>
      </w:r>
      <w:r w:rsidRPr="00327E3F">
        <w:rPr>
          <w:rFonts w:eastAsia="Times New Roman" w:cstheme="minorHAnsi"/>
          <w:lang w:eastAsia="cs-CZ"/>
        </w:rPr>
        <w:t>065-42/2021/RK ze dne 11.</w:t>
      </w:r>
      <w:r w:rsidR="00347912">
        <w:rPr>
          <w:rFonts w:eastAsia="Times New Roman" w:cstheme="minorHAnsi"/>
          <w:lang w:eastAsia="cs-CZ"/>
        </w:rPr>
        <w:t xml:space="preserve"> </w:t>
      </w:r>
      <w:r w:rsidRPr="00327E3F">
        <w:rPr>
          <w:rFonts w:eastAsia="Times New Roman" w:cstheme="minorHAnsi"/>
          <w:lang w:eastAsia="cs-CZ"/>
        </w:rPr>
        <w:t>11.</w:t>
      </w:r>
      <w:r w:rsidR="00347912">
        <w:rPr>
          <w:rFonts w:eastAsia="Times New Roman" w:cstheme="minorHAnsi"/>
          <w:lang w:eastAsia="cs-CZ"/>
        </w:rPr>
        <w:t xml:space="preserve"> </w:t>
      </w:r>
      <w:r w:rsidRPr="00327E3F">
        <w:rPr>
          <w:rFonts w:eastAsia="Times New Roman" w:cstheme="minorHAnsi"/>
          <w:lang w:eastAsia="cs-CZ"/>
        </w:rPr>
        <w:t>2021</w:t>
      </w:r>
      <w:r w:rsidRPr="005D447B">
        <w:rPr>
          <w:rFonts w:eastAsia="Times New Roman" w:cstheme="minorHAnsi"/>
          <w:lang w:eastAsia="cs-CZ"/>
        </w:rPr>
        <w:t>)</w:t>
      </w:r>
      <w:r w:rsidRPr="0082664B">
        <w:rPr>
          <w:rFonts w:eastAsia="Times New Roman" w:cstheme="minorHAnsi"/>
          <w:lang w:eastAsia="cs-CZ"/>
        </w:rPr>
        <w:t xml:space="preserve">. </w:t>
      </w:r>
      <w:r>
        <w:rPr>
          <w:rFonts w:eastAsia="Times New Roman" w:cstheme="minorHAnsi"/>
          <w:lang w:eastAsia="cs-CZ"/>
        </w:rPr>
        <w:t xml:space="preserve">Jedná se o program Podpory obnovy kulturních památek prostřednictvím obcí s rozšířenou působností v roce 2021. </w:t>
      </w:r>
      <w:r w:rsidRPr="0082664B">
        <w:rPr>
          <w:rFonts w:eastAsia="Times New Roman" w:cstheme="minorHAnsi"/>
          <w:lang w:eastAsia="cs-CZ"/>
        </w:rPr>
        <w:t>Finanční prostředky byly čerpány na 100,0 %.</w:t>
      </w:r>
    </w:p>
    <w:p w14:paraId="7C5FDA6C" w14:textId="77777777" w:rsidR="00ED51F3" w:rsidRDefault="00ED51F3" w:rsidP="00ED51F3">
      <w:pPr>
        <w:spacing w:after="0" w:line="240" w:lineRule="auto"/>
        <w:jc w:val="both"/>
        <w:rPr>
          <w:rFonts w:eastAsia="Times New Roman" w:cstheme="minorHAnsi"/>
          <w:b/>
          <w:lang w:eastAsia="cs-CZ"/>
        </w:rPr>
      </w:pPr>
    </w:p>
    <w:p w14:paraId="044B6723" w14:textId="77777777" w:rsidR="00ED51F3" w:rsidRPr="0082664B" w:rsidRDefault="00ED51F3" w:rsidP="00ED51F3">
      <w:pPr>
        <w:spacing w:after="0" w:line="240" w:lineRule="auto"/>
        <w:jc w:val="both"/>
        <w:rPr>
          <w:rFonts w:eastAsia="Times New Roman" w:cstheme="minorHAnsi"/>
          <w:b/>
          <w:lang w:eastAsia="cs-CZ"/>
        </w:rPr>
      </w:pPr>
      <w:r w:rsidRPr="0082664B">
        <w:rPr>
          <w:rFonts w:eastAsia="Times New Roman" w:cstheme="minorHAnsi"/>
          <w:b/>
          <w:lang w:eastAsia="cs-CZ"/>
        </w:rPr>
        <w:t xml:space="preserve">§ 3315 – </w:t>
      </w:r>
      <w:r w:rsidRPr="005D447B">
        <w:rPr>
          <w:rFonts w:eastAsia="Times New Roman" w:cstheme="minorHAnsi"/>
          <w:b/>
          <w:lang w:eastAsia="cs-CZ"/>
        </w:rPr>
        <w:t>Podpora standard. veřejných služeb muzeí a galerií (UZ 34017)</w:t>
      </w:r>
    </w:p>
    <w:p w14:paraId="5BC04D9B" w14:textId="70D1C446" w:rsidR="00ED51F3" w:rsidRPr="0082664B" w:rsidRDefault="00ED51F3" w:rsidP="00ED51F3">
      <w:pPr>
        <w:spacing w:after="0" w:line="240" w:lineRule="auto"/>
        <w:jc w:val="both"/>
        <w:rPr>
          <w:rFonts w:eastAsia="Times New Roman" w:cstheme="minorHAnsi"/>
          <w:b/>
          <w:lang w:eastAsia="cs-CZ"/>
        </w:rPr>
      </w:pPr>
      <w:r>
        <w:rPr>
          <w:rFonts w:eastAsia="Times New Roman" w:cstheme="minorHAnsi"/>
          <w:lang w:eastAsia="cs-CZ"/>
        </w:rPr>
        <w:t xml:space="preserve">Na základě rozhodnutí </w:t>
      </w:r>
      <w:r w:rsidRPr="0082664B">
        <w:rPr>
          <w:rFonts w:eastAsia="Times New Roman" w:cstheme="minorHAnsi"/>
          <w:lang w:eastAsia="cs-CZ"/>
        </w:rPr>
        <w:t>Ministerst</w:t>
      </w:r>
      <w:r>
        <w:rPr>
          <w:rFonts w:eastAsia="Times New Roman" w:cstheme="minorHAnsi"/>
          <w:lang w:eastAsia="cs-CZ"/>
        </w:rPr>
        <w:t>va</w:t>
      </w:r>
      <w:r w:rsidRPr="0082664B">
        <w:rPr>
          <w:rFonts w:eastAsia="Times New Roman" w:cstheme="minorHAnsi"/>
          <w:lang w:eastAsia="cs-CZ"/>
        </w:rPr>
        <w:t xml:space="preserve"> kultury ČR byla</w:t>
      </w:r>
      <w:r>
        <w:rPr>
          <w:rFonts w:eastAsia="Times New Roman" w:cstheme="minorHAnsi"/>
          <w:lang w:eastAsia="cs-CZ"/>
        </w:rPr>
        <w:t xml:space="preserve"> přidělena</w:t>
      </w:r>
      <w:r w:rsidRPr="0082664B">
        <w:rPr>
          <w:rFonts w:eastAsia="Times New Roman" w:cstheme="minorHAnsi"/>
          <w:lang w:eastAsia="cs-CZ"/>
        </w:rPr>
        <w:t xml:space="preserve"> neinvestiční účelová dot</w:t>
      </w:r>
      <w:r>
        <w:rPr>
          <w:rFonts w:eastAsia="Times New Roman" w:cstheme="minorHAnsi"/>
          <w:lang w:eastAsia="cs-CZ"/>
        </w:rPr>
        <w:t>ace</w:t>
      </w:r>
      <w:r w:rsidRPr="0082664B">
        <w:rPr>
          <w:rFonts w:eastAsia="Times New Roman" w:cstheme="minorHAnsi"/>
          <w:lang w:eastAsia="cs-CZ"/>
        </w:rPr>
        <w:t xml:space="preserve"> ve výši </w:t>
      </w:r>
      <w:r>
        <w:rPr>
          <w:rFonts w:eastAsia="Times New Roman" w:cstheme="minorHAnsi"/>
          <w:lang w:eastAsia="cs-CZ"/>
        </w:rPr>
        <w:t>170 000,0</w:t>
      </w:r>
      <w:r w:rsidRPr="0082664B">
        <w:rPr>
          <w:rFonts w:eastAsia="Times New Roman" w:cstheme="minorHAnsi"/>
          <w:lang w:eastAsia="cs-CZ"/>
        </w:rPr>
        <w:t xml:space="preserve">0 Kč, která je určená pro </w:t>
      </w:r>
      <w:r w:rsidRPr="005D447B">
        <w:rPr>
          <w:rFonts w:eastAsia="Times New Roman" w:cstheme="minorHAnsi"/>
          <w:lang w:eastAsia="cs-CZ"/>
        </w:rPr>
        <w:t>Regionální muzeum v Kolíně</w:t>
      </w:r>
      <w:r w:rsidRPr="0082664B">
        <w:rPr>
          <w:rFonts w:eastAsia="Times New Roman" w:cstheme="minorHAnsi"/>
          <w:lang w:eastAsia="cs-CZ"/>
        </w:rPr>
        <w:t xml:space="preserve"> na</w:t>
      </w:r>
      <w:r>
        <w:rPr>
          <w:rFonts w:eastAsia="Times New Roman" w:cstheme="minorHAnsi"/>
          <w:lang w:eastAsia="cs-CZ"/>
        </w:rPr>
        <w:t xml:space="preserve"> </w:t>
      </w:r>
      <w:r w:rsidRPr="005D447B">
        <w:rPr>
          <w:rFonts w:eastAsia="Times New Roman" w:cstheme="minorHAnsi"/>
          <w:lang w:eastAsia="cs-CZ"/>
        </w:rPr>
        <w:t>Katalog putovní výstavy "Dobrodruž</w:t>
      </w:r>
      <w:r>
        <w:rPr>
          <w:rFonts w:eastAsia="Times New Roman" w:cstheme="minorHAnsi"/>
          <w:lang w:eastAsia="cs-CZ"/>
        </w:rPr>
        <w:t>s</w:t>
      </w:r>
      <w:r w:rsidRPr="005D447B">
        <w:rPr>
          <w:rFonts w:eastAsia="Times New Roman" w:cstheme="minorHAnsi"/>
          <w:lang w:eastAsia="cs-CZ"/>
        </w:rPr>
        <w:t>tví cyklistiky"</w:t>
      </w:r>
      <w:r>
        <w:rPr>
          <w:rFonts w:eastAsia="Times New Roman" w:cstheme="minorHAnsi"/>
          <w:lang w:eastAsia="cs-CZ"/>
        </w:rPr>
        <w:t xml:space="preserve"> </w:t>
      </w:r>
      <w:r w:rsidRPr="0082664B">
        <w:rPr>
          <w:rFonts w:eastAsia="Times New Roman" w:cstheme="minorHAnsi"/>
          <w:lang w:eastAsia="cs-CZ"/>
        </w:rPr>
        <w:t>(</w:t>
      </w:r>
      <w:r>
        <w:rPr>
          <w:rFonts w:eastAsia="Times New Roman" w:cstheme="minorHAnsi"/>
          <w:lang w:eastAsia="cs-CZ"/>
        </w:rPr>
        <w:t xml:space="preserve">zapojeno do rozpočtu na základě </w:t>
      </w:r>
      <w:r w:rsidRPr="0082664B">
        <w:rPr>
          <w:rFonts w:eastAsia="Times New Roman" w:cstheme="minorHAnsi"/>
          <w:lang w:eastAsia="cs-CZ"/>
        </w:rPr>
        <w:t xml:space="preserve">usnesení č. </w:t>
      </w:r>
      <w:r w:rsidRPr="00327E3F">
        <w:rPr>
          <w:rFonts w:eastAsia="Times New Roman" w:cstheme="minorHAnsi"/>
          <w:lang w:eastAsia="cs-CZ"/>
        </w:rPr>
        <w:t>052-28/2021/RK ze dne 1.</w:t>
      </w:r>
      <w:r w:rsidR="00347912">
        <w:rPr>
          <w:rFonts w:eastAsia="Times New Roman" w:cstheme="minorHAnsi"/>
          <w:lang w:eastAsia="cs-CZ"/>
        </w:rPr>
        <w:t xml:space="preserve"> </w:t>
      </w:r>
      <w:r w:rsidRPr="00327E3F">
        <w:rPr>
          <w:rFonts w:eastAsia="Times New Roman" w:cstheme="minorHAnsi"/>
          <w:lang w:eastAsia="cs-CZ"/>
        </w:rPr>
        <w:t>7.</w:t>
      </w:r>
      <w:r w:rsidR="00347912">
        <w:rPr>
          <w:rFonts w:eastAsia="Times New Roman" w:cstheme="minorHAnsi"/>
          <w:lang w:eastAsia="cs-CZ"/>
        </w:rPr>
        <w:t xml:space="preserve"> </w:t>
      </w:r>
      <w:r w:rsidRPr="00327E3F">
        <w:rPr>
          <w:rFonts w:eastAsia="Times New Roman" w:cstheme="minorHAnsi"/>
          <w:lang w:eastAsia="cs-CZ"/>
        </w:rPr>
        <w:t>2021</w:t>
      </w:r>
      <w:r w:rsidRPr="0082664B">
        <w:rPr>
          <w:rFonts w:eastAsia="Times New Roman" w:cstheme="minorHAnsi"/>
          <w:lang w:eastAsia="cs-CZ"/>
        </w:rPr>
        <w:t>). Finanční prostředky byly čerpány na 100,0 %.</w:t>
      </w:r>
    </w:p>
    <w:p w14:paraId="7B6E0D5E" w14:textId="77777777" w:rsidR="00ED51F3" w:rsidRDefault="00ED51F3" w:rsidP="00ED51F3">
      <w:pPr>
        <w:spacing w:after="0" w:line="240" w:lineRule="auto"/>
        <w:jc w:val="both"/>
        <w:rPr>
          <w:rFonts w:eastAsia="Times New Roman" w:cstheme="minorHAnsi"/>
          <w:b/>
          <w:lang w:eastAsia="cs-CZ"/>
        </w:rPr>
      </w:pPr>
    </w:p>
    <w:p w14:paraId="4803DC17" w14:textId="77777777" w:rsidR="00ED51F3" w:rsidRPr="0082664B" w:rsidRDefault="00ED51F3" w:rsidP="00ED51F3">
      <w:pPr>
        <w:spacing w:after="0" w:line="240" w:lineRule="auto"/>
        <w:jc w:val="both"/>
        <w:rPr>
          <w:rFonts w:eastAsia="Times New Roman" w:cstheme="minorHAnsi"/>
          <w:b/>
          <w:lang w:eastAsia="cs-CZ"/>
        </w:rPr>
      </w:pPr>
      <w:r w:rsidRPr="0082664B">
        <w:rPr>
          <w:rFonts w:eastAsia="Times New Roman" w:cstheme="minorHAnsi"/>
          <w:b/>
          <w:lang w:eastAsia="cs-CZ"/>
        </w:rPr>
        <w:t>§ 331</w:t>
      </w:r>
      <w:r>
        <w:rPr>
          <w:rFonts w:eastAsia="Times New Roman" w:cstheme="minorHAnsi"/>
          <w:b/>
          <w:lang w:eastAsia="cs-CZ"/>
        </w:rPr>
        <w:t>5</w:t>
      </w:r>
      <w:r w:rsidRPr="0082664B">
        <w:rPr>
          <w:rFonts w:eastAsia="Times New Roman" w:cstheme="minorHAnsi"/>
          <w:b/>
          <w:lang w:eastAsia="cs-CZ"/>
        </w:rPr>
        <w:t xml:space="preserve"> – Podpora výchovně vzdělávacích aktivit v muzejnictví (UZ 34019)</w:t>
      </w:r>
    </w:p>
    <w:p w14:paraId="571F2B75" w14:textId="1A9488C7" w:rsidR="00ED51F3" w:rsidRPr="0082664B" w:rsidRDefault="00ED51F3" w:rsidP="00ED51F3">
      <w:pPr>
        <w:spacing w:after="0" w:line="240" w:lineRule="auto"/>
        <w:jc w:val="both"/>
        <w:rPr>
          <w:rFonts w:eastAsia="Times New Roman" w:cstheme="minorHAnsi"/>
          <w:b/>
          <w:lang w:eastAsia="cs-CZ"/>
        </w:rPr>
      </w:pPr>
      <w:r w:rsidRPr="0082664B">
        <w:rPr>
          <w:rFonts w:eastAsia="Times New Roman" w:cstheme="minorHAnsi"/>
          <w:lang w:eastAsia="cs-CZ"/>
        </w:rPr>
        <w:t>Ministerstvem kultury ČR byla poskytnuta neinvestiční účelová dot</w:t>
      </w:r>
      <w:r>
        <w:rPr>
          <w:rFonts w:eastAsia="Times New Roman" w:cstheme="minorHAnsi"/>
          <w:lang w:eastAsia="cs-CZ"/>
        </w:rPr>
        <w:t>ace</w:t>
      </w:r>
      <w:r w:rsidRPr="0082664B">
        <w:rPr>
          <w:rFonts w:eastAsia="Times New Roman" w:cstheme="minorHAnsi"/>
          <w:lang w:eastAsia="cs-CZ"/>
        </w:rPr>
        <w:t xml:space="preserve"> ve výši 16 730,00 Kč, která je určená pro Hornické muzeum Příbram na vzdělávací program "S Havířem na šichtu" a dotace ve výši 88 000,00 Kč pro Galerii Středočeského kraje na projekt</w:t>
      </w:r>
      <w:r w:rsidRPr="0082664B">
        <w:rPr>
          <w:rFonts w:cstheme="minorHAnsi"/>
        </w:rPr>
        <w:t xml:space="preserve"> </w:t>
      </w:r>
      <w:r w:rsidRPr="0082664B">
        <w:rPr>
          <w:rFonts w:eastAsia="Times New Roman" w:cstheme="minorHAnsi"/>
          <w:lang w:eastAsia="cs-CZ"/>
        </w:rPr>
        <w:t>"Modifikace a rozšíření nabídky edukačních programů LC GASK ve stálé expozici Stavy mysli/Za obrazem – Obměny a intervence"</w:t>
      </w:r>
      <w:r>
        <w:rPr>
          <w:rFonts w:eastAsia="Times New Roman" w:cstheme="minorHAnsi"/>
          <w:lang w:eastAsia="cs-CZ"/>
        </w:rPr>
        <w:t xml:space="preserve"> </w:t>
      </w:r>
      <w:r w:rsidRPr="0082664B">
        <w:rPr>
          <w:rFonts w:eastAsia="Times New Roman" w:cstheme="minorHAnsi"/>
          <w:lang w:eastAsia="cs-CZ"/>
        </w:rPr>
        <w:t>(</w:t>
      </w:r>
      <w:r>
        <w:rPr>
          <w:rFonts w:eastAsia="Times New Roman" w:cstheme="minorHAnsi"/>
          <w:lang w:eastAsia="cs-CZ"/>
        </w:rPr>
        <w:t xml:space="preserve">zapojeno do rozpočtu na základě </w:t>
      </w:r>
      <w:r w:rsidRPr="0082664B">
        <w:rPr>
          <w:rFonts w:eastAsia="Times New Roman" w:cstheme="minorHAnsi"/>
          <w:lang w:eastAsia="cs-CZ"/>
        </w:rPr>
        <w:t>usnesení č. 053-21/2021/RK ze dne 13. 5. 2021</w:t>
      </w:r>
      <w:r>
        <w:rPr>
          <w:rFonts w:eastAsia="Times New Roman" w:cstheme="minorHAnsi"/>
          <w:lang w:eastAsia="cs-CZ"/>
        </w:rPr>
        <w:t xml:space="preserve"> a usnesení č. </w:t>
      </w:r>
      <w:r w:rsidRPr="000D20C1">
        <w:rPr>
          <w:rFonts w:eastAsia="Times New Roman" w:cstheme="minorHAnsi"/>
          <w:lang w:eastAsia="cs-CZ"/>
        </w:rPr>
        <w:t>068-30/2021/RK ze dne 29.</w:t>
      </w:r>
      <w:r w:rsidR="00347912">
        <w:rPr>
          <w:rFonts w:eastAsia="Times New Roman" w:cstheme="minorHAnsi"/>
          <w:lang w:eastAsia="cs-CZ"/>
        </w:rPr>
        <w:t xml:space="preserve"> </w:t>
      </w:r>
      <w:r w:rsidRPr="000D20C1">
        <w:rPr>
          <w:rFonts w:eastAsia="Times New Roman" w:cstheme="minorHAnsi"/>
          <w:lang w:eastAsia="cs-CZ"/>
        </w:rPr>
        <w:t>7.</w:t>
      </w:r>
      <w:r w:rsidR="00347912">
        <w:rPr>
          <w:rFonts w:eastAsia="Times New Roman" w:cstheme="minorHAnsi"/>
          <w:lang w:eastAsia="cs-CZ"/>
        </w:rPr>
        <w:t xml:space="preserve"> </w:t>
      </w:r>
      <w:r w:rsidRPr="000D20C1">
        <w:rPr>
          <w:rFonts w:eastAsia="Times New Roman" w:cstheme="minorHAnsi"/>
          <w:lang w:eastAsia="cs-CZ"/>
        </w:rPr>
        <w:t>2021</w:t>
      </w:r>
      <w:r w:rsidRPr="0082664B">
        <w:rPr>
          <w:rFonts w:eastAsia="Times New Roman" w:cstheme="minorHAnsi"/>
          <w:lang w:eastAsia="cs-CZ"/>
        </w:rPr>
        <w:t>). Finanční prostředky byly čerpány na 100,0 %.</w:t>
      </w:r>
    </w:p>
    <w:p w14:paraId="61D2FDD2" w14:textId="77777777" w:rsidR="00ED51F3" w:rsidRDefault="00ED51F3" w:rsidP="00ED51F3">
      <w:pPr>
        <w:spacing w:after="0" w:line="240" w:lineRule="auto"/>
        <w:jc w:val="both"/>
        <w:rPr>
          <w:rFonts w:eastAsia="Times New Roman" w:cstheme="minorHAnsi"/>
          <w:b/>
          <w:lang w:eastAsia="cs-CZ"/>
        </w:rPr>
      </w:pPr>
    </w:p>
    <w:p w14:paraId="766044B7" w14:textId="77777777" w:rsidR="00ED51F3" w:rsidRPr="0082664B" w:rsidRDefault="00ED51F3" w:rsidP="00ED51F3">
      <w:pPr>
        <w:spacing w:after="0" w:line="240" w:lineRule="auto"/>
        <w:jc w:val="both"/>
        <w:rPr>
          <w:rFonts w:eastAsia="Times New Roman" w:cstheme="minorHAnsi"/>
          <w:b/>
          <w:lang w:eastAsia="cs-CZ"/>
        </w:rPr>
      </w:pPr>
      <w:r w:rsidRPr="0082664B">
        <w:rPr>
          <w:rFonts w:eastAsia="Times New Roman" w:cstheme="minorHAnsi"/>
          <w:b/>
          <w:lang w:eastAsia="cs-CZ"/>
        </w:rPr>
        <w:t>§ 331</w:t>
      </w:r>
      <w:r>
        <w:rPr>
          <w:rFonts w:eastAsia="Times New Roman" w:cstheme="minorHAnsi"/>
          <w:b/>
          <w:lang w:eastAsia="cs-CZ"/>
        </w:rPr>
        <w:t>5</w:t>
      </w:r>
      <w:r w:rsidRPr="0082664B">
        <w:rPr>
          <w:rFonts w:eastAsia="Times New Roman" w:cstheme="minorHAnsi"/>
          <w:b/>
          <w:lang w:eastAsia="cs-CZ"/>
        </w:rPr>
        <w:t xml:space="preserve"> – </w:t>
      </w:r>
      <w:r w:rsidRPr="005D447B">
        <w:rPr>
          <w:rFonts w:eastAsia="Times New Roman" w:cstheme="minorHAnsi"/>
          <w:b/>
          <w:lang w:eastAsia="cs-CZ"/>
        </w:rPr>
        <w:t>Podpora expozičních a výstavních projektů (UZ 34021)</w:t>
      </w:r>
    </w:p>
    <w:p w14:paraId="6639221B" w14:textId="4A9D7681" w:rsidR="00ED51F3" w:rsidRPr="0082664B" w:rsidRDefault="00ED51F3" w:rsidP="00ED51F3">
      <w:pPr>
        <w:spacing w:after="0" w:line="240" w:lineRule="auto"/>
        <w:jc w:val="both"/>
        <w:rPr>
          <w:rFonts w:eastAsia="Times New Roman" w:cstheme="minorHAnsi"/>
          <w:lang w:eastAsia="cs-CZ"/>
        </w:rPr>
      </w:pPr>
      <w:r w:rsidRPr="0082664B">
        <w:rPr>
          <w:rFonts w:eastAsia="Times New Roman" w:cstheme="minorHAnsi"/>
          <w:lang w:eastAsia="cs-CZ"/>
        </w:rPr>
        <w:t>Neinvestiční účelové dotace</w:t>
      </w:r>
      <w:r>
        <w:rPr>
          <w:rFonts w:eastAsia="Times New Roman" w:cstheme="minorHAnsi"/>
          <w:lang w:eastAsia="cs-CZ"/>
        </w:rPr>
        <w:t xml:space="preserve"> v celkové výši 1 134 250,00 Kč</w:t>
      </w:r>
      <w:r w:rsidRPr="0082664B">
        <w:rPr>
          <w:rFonts w:eastAsia="Times New Roman" w:cstheme="minorHAnsi"/>
          <w:lang w:eastAsia="cs-CZ"/>
        </w:rPr>
        <w:t xml:space="preserve"> jsou poskytnut</w:t>
      </w:r>
      <w:r>
        <w:rPr>
          <w:rFonts w:eastAsia="Times New Roman" w:cstheme="minorHAnsi"/>
          <w:lang w:eastAsia="cs-CZ"/>
        </w:rPr>
        <w:t>y</w:t>
      </w:r>
      <w:r w:rsidRPr="0082664B">
        <w:rPr>
          <w:rFonts w:eastAsia="Times New Roman" w:cstheme="minorHAnsi"/>
          <w:lang w:eastAsia="cs-CZ"/>
        </w:rPr>
        <w:t xml:space="preserve"> Ministerstvem kultury ČR z Programu </w:t>
      </w:r>
      <w:r>
        <w:rPr>
          <w:rFonts w:eastAsia="Times New Roman" w:cstheme="minorHAnsi"/>
          <w:lang w:eastAsia="cs-CZ"/>
        </w:rPr>
        <w:t xml:space="preserve">podpory expozičních a výstavních projektů pro příspěvkové organizace </w:t>
      </w:r>
      <w:r w:rsidRPr="00321468">
        <w:rPr>
          <w:rFonts w:eastAsia="Times New Roman" w:cstheme="minorHAnsi"/>
          <w:lang w:eastAsia="cs-CZ"/>
        </w:rPr>
        <w:t>Středočeské muzeum v Roztokách u Prahy</w:t>
      </w:r>
      <w:r>
        <w:rPr>
          <w:rFonts w:eastAsia="Times New Roman" w:cstheme="minorHAnsi"/>
          <w:lang w:eastAsia="cs-CZ"/>
        </w:rPr>
        <w:t xml:space="preserve">, </w:t>
      </w:r>
      <w:r w:rsidRPr="00321468">
        <w:rPr>
          <w:rFonts w:eastAsia="Times New Roman" w:cstheme="minorHAnsi"/>
          <w:lang w:eastAsia="cs-CZ"/>
        </w:rPr>
        <w:t>Regionální muzeum v</w:t>
      </w:r>
      <w:r>
        <w:rPr>
          <w:rFonts w:eastAsia="Times New Roman" w:cstheme="minorHAnsi"/>
          <w:lang w:eastAsia="cs-CZ"/>
        </w:rPr>
        <w:t> </w:t>
      </w:r>
      <w:r w:rsidRPr="00321468">
        <w:rPr>
          <w:rFonts w:eastAsia="Times New Roman" w:cstheme="minorHAnsi"/>
          <w:lang w:eastAsia="cs-CZ"/>
        </w:rPr>
        <w:t>Kolíně</w:t>
      </w:r>
      <w:r>
        <w:rPr>
          <w:rFonts w:eastAsia="Times New Roman" w:cstheme="minorHAnsi"/>
          <w:lang w:eastAsia="cs-CZ"/>
        </w:rPr>
        <w:t xml:space="preserve">, Regionální muzeum Mělník, Oblastní muzeum Praha – východ, </w:t>
      </w:r>
      <w:r w:rsidRPr="00321468">
        <w:rPr>
          <w:rFonts w:eastAsia="Times New Roman" w:cstheme="minorHAnsi"/>
          <w:lang w:eastAsia="cs-CZ"/>
        </w:rPr>
        <w:t xml:space="preserve">Památník Karla Čapka ve </w:t>
      </w:r>
      <w:r w:rsidRPr="00321468">
        <w:rPr>
          <w:rFonts w:eastAsia="Times New Roman" w:cstheme="minorHAnsi"/>
          <w:lang w:eastAsia="cs-CZ"/>
        </w:rPr>
        <w:lastRenderedPageBreak/>
        <w:t>Staré Huti u Dobříše</w:t>
      </w:r>
      <w:r>
        <w:rPr>
          <w:rFonts w:eastAsia="Times New Roman" w:cstheme="minorHAnsi"/>
          <w:lang w:eastAsia="cs-CZ"/>
        </w:rPr>
        <w:t xml:space="preserve"> a Rabasovu galerii Rakovník</w:t>
      </w:r>
      <w:r w:rsidRPr="0082664B">
        <w:rPr>
          <w:rFonts w:eastAsia="Times New Roman" w:cstheme="minorHAnsi"/>
          <w:lang w:eastAsia="cs-CZ"/>
        </w:rPr>
        <w:t xml:space="preserve"> </w:t>
      </w:r>
      <w:bookmarkStart w:id="30" w:name="_Hlk96945455"/>
      <w:r w:rsidRPr="0082664B">
        <w:rPr>
          <w:rFonts w:eastAsia="Times New Roman" w:cstheme="minorHAnsi"/>
          <w:lang w:eastAsia="cs-CZ"/>
        </w:rPr>
        <w:t>(</w:t>
      </w:r>
      <w:r>
        <w:rPr>
          <w:rFonts w:eastAsia="Times New Roman" w:cstheme="minorHAnsi"/>
          <w:lang w:eastAsia="cs-CZ"/>
        </w:rPr>
        <w:t xml:space="preserve">zapojeno do rozpočtu na základě </w:t>
      </w:r>
      <w:r w:rsidRPr="0082664B">
        <w:rPr>
          <w:rFonts w:eastAsia="Times New Roman" w:cstheme="minorHAnsi"/>
          <w:lang w:eastAsia="cs-CZ"/>
        </w:rPr>
        <w:t xml:space="preserve">usnesení č. </w:t>
      </w:r>
      <w:r w:rsidRPr="00321468">
        <w:rPr>
          <w:rFonts w:eastAsia="Times New Roman" w:cstheme="minorHAnsi"/>
          <w:lang w:eastAsia="cs-CZ"/>
        </w:rPr>
        <w:t>065-42/2021/RK ze dne 11.</w:t>
      </w:r>
      <w:r w:rsidR="00347912">
        <w:rPr>
          <w:rFonts w:eastAsia="Times New Roman" w:cstheme="minorHAnsi"/>
          <w:lang w:eastAsia="cs-CZ"/>
        </w:rPr>
        <w:t xml:space="preserve"> </w:t>
      </w:r>
      <w:r w:rsidRPr="00321468">
        <w:rPr>
          <w:rFonts w:eastAsia="Times New Roman" w:cstheme="minorHAnsi"/>
          <w:lang w:eastAsia="cs-CZ"/>
        </w:rPr>
        <w:t>11.</w:t>
      </w:r>
      <w:r w:rsidR="00347912">
        <w:rPr>
          <w:rFonts w:eastAsia="Times New Roman" w:cstheme="minorHAnsi"/>
          <w:lang w:eastAsia="cs-CZ"/>
        </w:rPr>
        <w:t xml:space="preserve"> </w:t>
      </w:r>
      <w:r w:rsidRPr="00321468">
        <w:rPr>
          <w:rFonts w:eastAsia="Times New Roman" w:cstheme="minorHAnsi"/>
          <w:lang w:eastAsia="cs-CZ"/>
        </w:rPr>
        <w:t>2021</w:t>
      </w:r>
      <w:r w:rsidRPr="0082664B">
        <w:rPr>
          <w:rFonts w:eastAsia="Times New Roman" w:cstheme="minorHAnsi"/>
          <w:lang w:eastAsia="cs-CZ"/>
        </w:rPr>
        <w:t>)</w:t>
      </w:r>
      <w:bookmarkEnd w:id="30"/>
      <w:r w:rsidRPr="0082664B">
        <w:rPr>
          <w:rFonts w:eastAsia="Times New Roman" w:cstheme="minorHAnsi"/>
          <w:lang w:eastAsia="cs-CZ"/>
        </w:rPr>
        <w:t>. Finanční prostředky byly využity na 100,0 %.</w:t>
      </w:r>
    </w:p>
    <w:p w14:paraId="38DE48F1" w14:textId="77777777" w:rsidR="00ED51F3" w:rsidRDefault="00ED51F3" w:rsidP="00ED51F3">
      <w:pPr>
        <w:spacing w:after="0" w:line="240" w:lineRule="auto"/>
        <w:jc w:val="both"/>
        <w:rPr>
          <w:rFonts w:eastAsia="Times New Roman" w:cstheme="minorHAnsi"/>
          <w:b/>
          <w:lang w:eastAsia="cs-CZ"/>
        </w:rPr>
      </w:pPr>
    </w:p>
    <w:p w14:paraId="42A104F1" w14:textId="77777777" w:rsidR="00ED51F3" w:rsidRPr="0082664B" w:rsidRDefault="00ED51F3" w:rsidP="00ED51F3">
      <w:pPr>
        <w:spacing w:after="0" w:line="240" w:lineRule="auto"/>
        <w:jc w:val="both"/>
        <w:rPr>
          <w:rFonts w:eastAsia="Times New Roman" w:cstheme="minorHAnsi"/>
          <w:b/>
          <w:lang w:eastAsia="cs-CZ"/>
        </w:rPr>
      </w:pPr>
      <w:bookmarkStart w:id="31" w:name="_Hlk96930351"/>
      <w:r w:rsidRPr="0082664B">
        <w:rPr>
          <w:rFonts w:eastAsia="Times New Roman" w:cstheme="minorHAnsi"/>
          <w:b/>
          <w:lang w:eastAsia="cs-CZ"/>
        </w:rPr>
        <w:t>§ 3314 – Program ochrany měkkých cílů v kultuře (UZ 34026)</w:t>
      </w:r>
    </w:p>
    <w:p w14:paraId="36475EA7" w14:textId="1A3020CD" w:rsidR="00ED51F3" w:rsidRPr="0082664B" w:rsidRDefault="00ED51F3" w:rsidP="00ED51F3">
      <w:pPr>
        <w:spacing w:after="0" w:line="240" w:lineRule="auto"/>
        <w:jc w:val="both"/>
        <w:rPr>
          <w:rFonts w:eastAsia="Times New Roman" w:cstheme="minorHAnsi"/>
          <w:lang w:eastAsia="cs-CZ"/>
        </w:rPr>
      </w:pPr>
      <w:r w:rsidRPr="0082664B">
        <w:rPr>
          <w:rFonts w:eastAsia="Times New Roman" w:cstheme="minorHAnsi"/>
          <w:lang w:eastAsia="cs-CZ"/>
        </w:rPr>
        <w:t>Neinvestiční účelové dotace jsou poskytnuté Ministerstvem kultury ČR z Programu na ochranu měkkých cílů v oblasti kultury (</w:t>
      </w:r>
      <w:r>
        <w:rPr>
          <w:rFonts w:eastAsia="Times New Roman" w:cstheme="minorHAnsi"/>
          <w:lang w:eastAsia="cs-CZ"/>
        </w:rPr>
        <w:t xml:space="preserve">zapojeno do rozpočtu na základě </w:t>
      </w:r>
      <w:r w:rsidRPr="0082664B">
        <w:rPr>
          <w:rFonts w:eastAsia="Times New Roman" w:cstheme="minorHAnsi"/>
          <w:lang w:eastAsia="cs-CZ"/>
        </w:rPr>
        <w:t>usnesení č. 053-21/2021/RK ze dne 13. 5. 2021). Prostředky ve výši 350</w:t>
      </w:r>
      <w:r w:rsidR="00347912">
        <w:rPr>
          <w:rFonts w:eastAsia="Times New Roman" w:cstheme="minorHAnsi"/>
          <w:lang w:eastAsia="cs-CZ"/>
        </w:rPr>
        <w:t> </w:t>
      </w:r>
      <w:r w:rsidRPr="0082664B">
        <w:rPr>
          <w:rFonts w:eastAsia="Times New Roman" w:cstheme="minorHAnsi"/>
          <w:lang w:eastAsia="cs-CZ"/>
        </w:rPr>
        <w:t>000,00 Kč jsou určeny na realizaci projektů Středočeské vědecké knihovny v Kladně „Zpracování analýzy rizik – SVK v Kladně“, „Tvorba bezpečnostních plánů – SVK v Kladně“ a „Vytvoření vzdělávacího programu – SVK v Kladně“. Finanční prostředky byly využity na 100,0 %.</w:t>
      </w:r>
    </w:p>
    <w:bookmarkEnd w:id="31"/>
    <w:p w14:paraId="6B0702FC" w14:textId="77777777" w:rsidR="00ED51F3" w:rsidRDefault="00ED51F3" w:rsidP="00ED51F3">
      <w:pPr>
        <w:spacing w:after="0" w:line="240" w:lineRule="auto"/>
        <w:jc w:val="both"/>
        <w:rPr>
          <w:rFonts w:eastAsia="Times New Roman" w:cstheme="minorHAnsi"/>
          <w:b/>
          <w:lang w:eastAsia="cs-CZ"/>
        </w:rPr>
      </w:pPr>
    </w:p>
    <w:p w14:paraId="070A60FB" w14:textId="77777777" w:rsidR="00ED51F3" w:rsidRDefault="00ED51F3" w:rsidP="00ED51F3">
      <w:pPr>
        <w:spacing w:after="0" w:line="240" w:lineRule="auto"/>
        <w:jc w:val="both"/>
        <w:rPr>
          <w:rFonts w:eastAsia="Times New Roman" w:cstheme="minorHAnsi"/>
          <w:b/>
          <w:lang w:eastAsia="cs-CZ"/>
        </w:rPr>
      </w:pPr>
      <w:r w:rsidRPr="0082664B">
        <w:rPr>
          <w:rFonts w:eastAsia="Times New Roman" w:cstheme="minorHAnsi"/>
          <w:b/>
          <w:lang w:eastAsia="cs-CZ"/>
        </w:rPr>
        <w:t>§ 3</w:t>
      </w:r>
      <w:r>
        <w:rPr>
          <w:rFonts w:eastAsia="Times New Roman" w:cstheme="minorHAnsi"/>
          <w:b/>
          <w:lang w:eastAsia="cs-CZ"/>
        </w:rPr>
        <w:t>315</w:t>
      </w:r>
      <w:r w:rsidRPr="0082664B">
        <w:rPr>
          <w:rFonts w:eastAsia="Times New Roman" w:cstheme="minorHAnsi"/>
          <w:b/>
          <w:lang w:eastAsia="cs-CZ"/>
        </w:rPr>
        <w:t xml:space="preserve"> – </w:t>
      </w:r>
      <w:r w:rsidRPr="00636178">
        <w:rPr>
          <w:rFonts w:eastAsia="Times New Roman" w:cstheme="minorHAnsi"/>
          <w:b/>
          <w:lang w:eastAsia="cs-CZ"/>
        </w:rPr>
        <w:t>ISO II/A zabez</w:t>
      </w:r>
      <w:r>
        <w:rPr>
          <w:rFonts w:eastAsia="Times New Roman" w:cstheme="minorHAnsi"/>
          <w:b/>
          <w:lang w:eastAsia="cs-CZ"/>
        </w:rPr>
        <w:t>p</w:t>
      </w:r>
      <w:r w:rsidRPr="00636178">
        <w:rPr>
          <w:rFonts w:eastAsia="Times New Roman" w:cstheme="minorHAnsi"/>
          <w:b/>
          <w:lang w:eastAsia="cs-CZ"/>
        </w:rPr>
        <w:t>ečení objektů – neinv</w:t>
      </w:r>
      <w:r>
        <w:rPr>
          <w:rFonts w:eastAsia="Times New Roman" w:cstheme="minorHAnsi"/>
          <w:b/>
          <w:lang w:eastAsia="cs-CZ"/>
        </w:rPr>
        <w:t xml:space="preserve">estiční </w:t>
      </w:r>
      <w:r w:rsidRPr="00636178">
        <w:rPr>
          <w:rFonts w:eastAsia="Times New Roman" w:cstheme="minorHAnsi"/>
          <w:b/>
          <w:lang w:eastAsia="cs-CZ"/>
        </w:rPr>
        <w:t>(UZ 34028)</w:t>
      </w:r>
    </w:p>
    <w:p w14:paraId="34373229" w14:textId="77777777" w:rsidR="00ED51F3" w:rsidRDefault="00ED51F3" w:rsidP="00ED51F3">
      <w:pPr>
        <w:spacing w:after="0" w:line="240" w:lineRule="auto"/>
        <w:jc w:val="both"/>
        <w:rPr>
          <w:rFonts w:eastAsia="Times New Roman" w:cstheme="minorHAnsi"/>
          <w:b/>
          <w:lang w:eastAsia="cs-CZ"/>
        </w:rPr>
      </w:pPr>
      <w:r>
        <w:rPr>
          <w:rFonts w:eastAsia="Times New Roman" w:cstheme="minorHAnsi"/>
          <w:lang w:eastAsia="cs-CZ"/>
        </w:rPr>
        <w:t xml:space="preserve">Ministerstvo kultury přidělilo účelovou dotaci z programu </w:t>
      </w:r>
      <w:r w:rsidRPr="00DA5D67">
        <w:rPr>
          <w:rFonts w:eastAsia="Times New Roman" w:cstheme="minorHAnsi"/>
          <w:lang w:eastAsia="cs-CZ"/>
        </w:rPr>
        <w:t>Integrovan</w:t>
      </w:r>
      <w:r>
        <w:rPr>
          <w:rFonts w:eastAsia="Times New Roman" w:cstheme="minorHAnsi"/>
          <w:lang w:eastAsia="cs-CZ"/>
        </w:rPr>
        <w:t>ý</w:t>
      </w:r>
      <w:r w:rsidRPr="00DA5D67">
        <w:rPr>
          <w:rFonts w:eastAsia="Times New Roman" w:cstheme="minorHAnsi"/>
          <w:lang w:eastAsia="cs-CZ"/>
        </w:rPr>
        <w:t xml:space="preserve"> systém ochrany movitého kulturního dědictví II</w:t>
      </w:r>
      <w:r>
        <w:rPr>
          <w:rFonts w:eastAsia="Times New Roman" w:cstheme="minorHAnsi"/>
          <w:lang w:eastAsia="cs-CZ"/>
        </w:rPr>
        <w:t xml:space="preserve"> ve výši 84 000,00 Kč pro Hornické muzeum Příbram</w:t>
      </w:r>
      <w:r w:rsidRPr="0082664B">
        <w:rPr>
          <w:rFonts w:eastAsia="Times New Roman" w:cstheme="minorHAnsi"/>
          <w:lang w:eastAsia="cs-CZ"/>
        </w:rPr>
        <w:t>.</w:t>
      </w:r>
      <w:r>
        <w:rPr>
          <w:rFonts w:eastAsia="Times New Roman" w:cstheme="minorHAnsi"/>
          <w:lang w:eastAsia="cs-CZ"/>
        </w:rPr>
        <w:t xml:space="preserve"> Dotace byla určena na akci „</w:t>
      </w:r>
      <w:r w:rsidRPr="00DA5D67">
        <w:rPr>
          <w:rFonts w:eastAsia="Times New Roman" w:cstheme="minorHAnsi"/>
          <w:lang w:eastAsia="cs-CZ"/>
        </w:rPr>
        <w:t>A II 2021 CCTV s kontinuálním nahráváním i nahráváním po detekci pohybu – šachetní budova</w:t>
      </w:r>
      <w:r>
        <w:rPr>
          <w:rFonts w:eastAsia="Times New Roman" w:cstheme="minorHAnsi"/>
          <w:lang w:eastAsia="cs-CZ"/>
        </w:rPr>
        <w:t xml:space="preserve"> </w:t>
      </w:r>
      <w:r w:rsidRPr="00DA5D67">
        <w:rPr>
          <w:rFonts w:eastAsia="Times New Roman" w:cstheme="minorHAnsi"/>
          <w:lang w:eastAsia="cs-CZ"/>
        </w:rPr>
        <w:t>dolu Vojtěch (výstavní sály) a správní objekt Ševčinského dolu (stálá expozice), Hornické muzeum</w:t>
      </w:r>
      <w:r>
        <w:rPr>
          <w:rFonts w:eastAsia="Times New Roman" w:cstheme="minorHAnsi"/>
          <w:lang w:eastAsia="cs-CZ"/>
        </w:rPr>
        <w:t xml:space="preserve"> </w:t>
      </w:r>
      <w:r w:rsidRPr="00DA5D67">
        <w:rPr>
          <w:rFonts w:eastAsia="Times New Roman" w:cstheme="minorHAnsi"/>
          <w:lang w:eastAsia="cs-CZ"/>
        </w:rPr>
        <w:t>Příbram</w:t>
      </w:r>
      <w:r>
        <w:rPr>
          <w:rFonts w:eastAsia="Times New Roman" w:cstheme="minorHAnsi"/>
          <w:lang w:eastAsia="cs-CZ"/>
        </w:rPr>
        <w:t xml:space="preserve">“. Prostředky byly zapojeny do rozpočtu dle usnesení č. </w:t>
      </w:r>
      <w:r w:rsidRPr="003063BD">
        <w:rPr>
          <w:rFonts w:eastAsia="Times New Roman" w:cstheme="minorHAnsi"/>
          <w:lang w:eastAsia="cs-CZ"/>
        </w:rPr>
        <w:t>004-37/2021/RK ze dne 30.9.2021</w:t>
      </w:r>
      <w:r>
        <w:rPr>
          <w:rFonts w:eastAsia="Times New Roman" w:cstheme="minorHAnsi"/>
          <w:lang w:eastAsia="cs-CZ"/>
        </w:rPr>
        <w:t xml:space="preserve">. </w:t>
      </w:r>
      <w:r w:rsidRPr="0082664B">
        <w:rPr>
          <w:rFonts w:eastAsia="Times New Roman" w:cstheme="minorHAnsi"/>
          <w:lang w:eastAsia="cs-CZ"/>
        </w:rPr>
        <w:t>Dotace byl</w:t>
      </w:r>
      <w:r>
        <w:rPr>
          <w:rFonts w:eastAsia="Times New Roman" w:cstheme="minorHAnsi"/>
          <w:lang w:eastAsia="cs-CZ"/>
        </w:rPr>
        <w:t>a</w:t>
      </w:r>
      <w:r w:rsidRPr="0082664B">
        <w:rPr>
          <w:rFonts w:eastAsia="Times New Roman" w:cstheme="minorHAnsi"/>
          <w:lang w:eastAsia="cs-CZ"/>
        </w:rPr>
        <w:t xml:space="preserve"> čerpán</w:t>
      </w:r>
      <w:r>
        <w:rPr>
          <w:rFonts w:eastAsia="Times New Roman" w:cstheme="minorHAnsi"/>
          <w:lang w:eastAsia="cs-CZ"/>
        </w:rPr>
        <w:t>a</w:t>
      </w:r>
      <w:r w:rsidRPr="0082664B">
        <w:rPr>
          <w:rFonts w:eastAsia="Times New Roman" w:cstheme="minorHAnsi"/>
          <w:lang w:eastAsia="cs-CZ"/>
        </w:rPr>
        <w:t xml:space="preserve"> na 100,0 %.</w:t>
      </w:r>
    </w:p>
    <w:p w14:paraId="448C127B" w14:textId="77777777" w:rsidR="00ED51F3" w:rsidRDefault="00ED51F3" w:rsidP="00ED51F3">
      <w:pPr>
        <w:spacing w:after="0" w:line="240" w:lineRule="auto"/>
        <w:jc w:val="both"/>
        <w:rPr>
          <w:rFonts w:eastAsia="Times New Roman" w:cstheme="minorHAnsi"/>
          <w:b/>
          <w:lang w:eastAsia="cs-CZ"/>
        </w:rPr>
      </w:pPr>
    </w:p>
    <w:p w14:paraId="4CADCC61" w14:textId="77777777" w:rsidR="00ED51F3" w:rsidRPr="00860CF0" w:rsidRDefault="00ED51F3" w:rsidP="00ED51F3">
      <w:pPr>
        <w:spacing w:after="0" w:line="240" w:lineRule="auto"/>
        <w:jc w:val="both"/>
        <w:rPr>
          <w:rFonts w:eastAsia="Times New Roman" w:cstheme="minorHAnsi"/>
          <w:b/>
          <w:bCs/>
          <w:lang w:eastAsia="cs-CZ"/>
        </w:rPr>
      </w:pPr>
      <w:r w:rsidRPr="00860CF0">
        <w:rPr>
          <w:rFonts w:eastAsia="Times New Roman" w:cstheme="minorHAnsi"/>
          <w:b/>
          <w:bCs/>
          <w:lang w:eastAsia="cs-CZ"/>
        </w:rPr>
        <w:t>§ 331</w:t>
      </w:r>
      <w:r>
        <w:rPr>
          <w:rFonts w:eastAsia="Times New Roman" w:cstheme="minorHAnsi"/>
          <w:b/>
          <w:bCs/>
          <w:lang w:eastAsia="cs-CZ"/>
        </w:rPr>
        <w:t>5</w:t>
      </w:r>
      <w:r w:rsidRPr="00860CF0">
        <w:rPr>
          <w:rFonts w:eastAsia="Times New Roman" w:cstheme="minorHAnsi"/>
          <w:b/>
          <w:bCs/>
          <w:lang w:eastAsia="cs-CZ"/>
        </w:rPr>
        <w:t xml:space="preserve"> – ISO II/D preventivní ochrana před nepříznivými vlivy prostředí </w:t>
      </w:r>
      <w:r>
        <w:rPr>
          <w:rFonts w:eastAsia="Times New Roman" w:cstheme="minorHAnsi"/>
          <w:b/>
          <w:bCs/>
          <w:lang w:eastAsia="cs-CZ"/>
        </w:rPr>
        <w:t>–</w:t>
      </w:r>
      <w:r w:rsidRPr="00860CF0">
        <w:rPr>
          <w:rFonts w:eastAsia="Times New Roman" w:cstheme="minorHAnsi"/>
          <w:b/>
          <w:bCs/>
          <w:lang w:eastAsia="cs-CZ"/>
        </w:rPr>
        <w:t xml:space="preserve"> </w:t>
      </w:r>
      <w:r>
        <w:rPr>
          <w:rFonts w:eastAsia="Times New Roman" w:cstheme="minorHAnsi"/>
          <w:b/>
          <w:bCs/>
          <w:lang w:eastAsia="cs-CZ"/>
        </w:rPr>
        <w:t>neinv.</w:t>
      </w:r>
      <w:r w:rsidRPr="00860CF0">
        <w:rPr>
          <w:rFonts w:eastAsia="Times New Roman" w:cstheme="minorHAnsi"/>
          <w:b/>
          <w:bCs/>
          <w:lang w:eastAsia="cs-CZ"/>
        </w:rPr>
        <w:t xml:space="preserve"> (UZ 34031)</w:t>
      </w:r>
    </w:p>
    <w:p w14:paraId="42867AF5" w14:textId="77777777" w:rsidR="00ED51F3" w:rsidRDefault="00ED51F3" w:rsidP="00ED51F3">
      <w:pPr>
        <w:spacing w:after="0" w:line="240" w:lineRule="auto"/>
        <w:jc w:val="both"/>
        <w:rPr>
          <w:rFonts w:eastAsia="Times New Roman" w:cstheme="minorHAnsi"/>
          <w:b/>
          <w:lang w:eastAsia="cs-CZ"/>
        </w:rPr>
      </w:pPr>
      <w:r w:rsidRPr="00860CF0">
        <w:rPr>
          <w:rFonts w:eastAsia="Times New Roman" w:cstheme="minorHAnsi"/>
          <w:lang w:eastAsia="cs-CZ"/>
        </w:rPr>
        <w:t xml:space="preserve">Neinvestiční účelové dotace Ministerstva kultury z programu Integrovaný systém ochrany movitého kulturního dědictví II v části D – Preventivní ochrana před nepříznivými vlivy v celkové výši </w:t>
      </w:r>
      <w:r>
        <w:rPr>
          <w:rFonts w:eastAsia="Times New Roman" w:cstheme="minorHAnsi"/>
          <w:lang w:eastAsia="cs-CZ"/>
        </w:rPr>
        <w:t>680</w:t>
      </w:r>
      <w:r w:rsidRPr="00860CF0">
        <w:rPr>
          <w:rFonts w:eastAsia="Times New Roman" w:cstheme="minorHAnsi"/>
          <w:lang w:eastAsia="cs-CZ"/>
        </w:rPr>
        <w:t xml:space="preserve"> 000,00 Kč jsou určeny příspěvkovým organizacím: Galerie Středočeského kraje,</w:t>
      </w:r>
      <w:r>
        <w:rPr>
          <w:rFonts w:eastAsia="Times New Roman" w:cstheme="minorHAnsi"/>
          <w:lang w:eastAsia="cs-CZ"/>
        </w:rPr>
        <w:t xml:space="preserve"> Středočeské muzeum v Roztokách u Prahy,</w:t>
      </w:r>
      <w:r w:rsidRPr="00860CF0">
        <w:rPr>
          <w:rFonts w:eastAsia="Times New Roman" w:cstheme="minorHAnsi"/>
          <w:lang w:eastAsia="cs-CZ"/>
        </w:rPr>
        <w:t xml:space="preserve"> Muzeum Českého krasu, </w:t>
      </w:r>
      <w:r>
        <w:rPr>
          <w:rFonts w:eastAsia="Times New Roman" w:cstheme="minorHAnsi"/>
          <w:lang w:eastAsia="cs-CZ"/>
        </w:rPr>
        <w:t xml:space="preserve">České muzeum stříbra, Regionální muzeum v Kolíně, Regionální muzeum Mělník, </w:t>
      </w:r>
      <w:r w:rsidRPr="00860CF0">
        <w:rPr>
          <w:rFonts w:eastAsia="Times New Roman" w:cstheme="minorHAnsi"/>
          <w:lang w:eastAsia="cs-CZ"/>
        </w:rPr>
        <w:t>Oblastní muzeum Praha</w:t>
      </w:r>
      <w:r>
        <w:rPr>
          <w:rFonts w:eastAsia="Times New Roman" w:cstheme="minorHAnsi"/>
          <w:lang w:eastAsia="cs-CZ"/>
        </w:rPr>
        <w:t xml:space="preserve"> </w:t>
      </w:r>
      <w:r w:rsidRPr="00860CF0">
        <w:rPr>
          <w:rFonts w:eastAsia="Times New Roman" w:cstheme="minorHAnsi"/>
          <w:lang w:eastAsia="cs-CZ"/>
        </w:rPr>
        <w:t>-</w:t>
      </w:r>
      <w:r>
        <w:rPr>
          <w:rFonts w:eastAsia="Times New Roman" w:cstheme="minorHAnsi"/>
          <w:lang w:eastAsia="cs-CZ"/>
        </w:rPr>
        <w:t xml:space="preserve"> </w:t>
      </w:r>
      <w:r w:rsidRPr="00860CF0">
        <w:rPr>
          <w:rFonts w:eastAsia="Times New Roman" w:cstheme="minorHAnsi"/>
          <w:lang w:eastAsia="cs-CZ"/>
        </w:rPr>
        <w:t xml:space="preserve">východ, Hornické muzeum Příbram, Rabasova galerie Rakovník. Vratky byly realizovány od Oblastního muzea Praha – východ a </w:t>
      </w:r>
      <w:r>
        <w:rPr>
          <w:rFonts w:eastAsia="Times New Roman" w:cstheme="minorHAnsi"/>
          <w:lang w:eastAsia="cs-CZ"/>
        </w:rPr>
        <w:t>Českého muzea stříbra</w:t>
      </w:r>
      <w:r w:rsidRPr="00860CF0">
        <w:rPr>
          <w:rFonts w:eastAsia="Times New Roman" w:cstheme="minorHAnsi"/>
          <w:lang w:eastAsia="cs-CZ"/>
        </w:rPr>
        <w:t>. Finanční prostředky byly čerpány na 98,</w:t>
      </w:r>
      <w:r>
        <w:rPr>
          <w:rFonts w:eastAsia="Times New Roman" w:cstheme="minorHAnsi"/>
          <w:lang w:eastAsia="cs-CZ"/>
        </w:rPr>
        <w:t>3</w:t>
      </w:r>
      <w:r w:rsidRPr="00860CF0">
        <w:rPr>
          <w:rFonts w:eastAsia="Times New Roman" w:cstheme="minorHAnsi"/>
          <w:lang w:eastAsia="cs-CZ"/>
        </w:rPr>
        <w:t xml:space="preserve"> %.</w:t>
      </w:r>
    </w:p>
    <w:p w14:paraId="3C27DB0D" w14:textId="77777777" w:rsidR="00ED51F3" w:rsidRPr="0082664B" w:rsidRDefault="00ED51F3" w:rsidP="00ED51F3">
      <w:pPr>
        <w:spacing w:after="0" w:line="240" w:lineRule="auto"/>
        <w:jc w:val="both"/>
        <w:rPr>
          <w:rFonts w:eastAsia="Times New Roman" w:cstheme="minorHAnsi"/>
          <w:b/>
          <w:lang w:eastAsia="cs-CZ"/>
        </w:rPr>
      </w:pPr>
    </w:p>
    <w:p w14:paraId="600B5797" w14:textId="77777777" w:rsidR="00ED51F3" w:rsidRPr="0082664B" w:rsidRDefault="00ED51F3" w:rsidP="00ED51F3">
      <w:pPr>
        <w:spacing w:after="0" w:line="240" w:lineRule="auto"/>
        <w:jc w:val="both"/>
        <w:rPr>
          <w:rFonts w:eastAsia="Times New Roman" w:cstheme="minorHAnsi"/>
          <w:b/>
          <w:lang w:eastAsia="cs-CZ"/>
        </w:rPr>
      </w:pPr>
      <w:bookmarkStart w:id="32" w:name="_Hlk96944956"/>
      <w:r w:rsidRPr="0082664B">
        <w:rPr>
          <w:rFonts w:eastAsia="Times New Roman" w:cstheme="minorHAnsi"/>
          <w:b/>
          <w:lang w:eastAsia="cs-CZ"/>
        </w:rPr>
        <w:t>§ 3314</w:t>
      </w:r>
      <w:r>
        <w:rPr>
          <w:rFonts w:eastAsia="Times New Roman" w:cstheme="minorHAnsi"/>
          <w:b/>
          <w:lang w:eastAsia="cs-CZ"/>
        </w:rPr>
        <w:t>, 3315</w:t>
      </w:r>
      <w:r w:rsidRPr="0082664B">
        <w:rPr>
          <w:rFonts w:eastAsia="Times New Roman" w:cstheme="minorHAnsi"/>
          <w:b/>
          <w:lang w:eastAsia="cs-CZ"/>
        </w:rPr>
        <w:t xml:space="preserve"> – Veřejné informační služby knihoven – neinvestice (UZ 34053)</w:t>
      </w:r>
    </w:p>
    <w:p w14:paraId="2E2C1BD7" w14:textId="77777777" w:rsidR="00ED51F3" w:rsidRDefault="00ED51F3" w:rsidP="00ED51F3">
      <w:pPr>
        <w:spacing w:after="0" w:line="240" w:lineRule="auto"/>
        <w:jc w:val="both"/>
        <w:rPr>
          <w:rFonts w:eastAsia="Times New Roman" w:cstheme="minorHAnsi"/>
          <w:lang w:eastAsia="cs-CZ"/>
        </w:rPr>
      </w:pPr>
      <w:r>
        <w:rPr>
          <w:rFonts w:eastAsia="Times New Roman" w:cstheme="minorHAnsi"/>
          <w:lang w:eastAsia="cs-CZ"/>
        </w:rPr>
        <w:t>Neinvestiční účelová</w:t>
      </w:r>
      <w:r w:rsidRPr="0082664B">
        <w:rPr>
          <w:rFonts w:eastAsia="Times New Roman" w:cstheme="minorHAnsi"/>
          <w:lang w:eastAsia="cs-CZ"/>
        </w:rPr>
        <w:t xml:space="preserve"> dotace ve výši 59 000,00 Kč, z toho 28 000,00 Kč na projekt „Vzděláv</w:t>
      </w:r>
      <w:r>
        <w:rPr>
          <w:rFonts w:eastAsia="Times New Roman" w:cstheme="minorHAnsi"/>
          <w:lang w:eastAsia="cs-CZ"/>
        </w:rPr>
        <w:t xml:space="preserve">ání středočeských knihovníků“ a </w:t>
      </w:r>
      <w:r w:rsidRPr="0082664B">
        <w:rPr>
          <w:rFonts w:eastAsia="Times New Roman" w:cstheme="minorHAnsi"/>
          <w:lang w:eastAsia="cs-CZ"/>
        </w:rPr>
        <w:t>31 000,00 Kč na realizaci projektu „Doplňování vybraných záznamů článků do báze ANL“</w:t>
      </w:r>
      <w:r>
        <w:rPr>
          <w:rFonts w:eastAsia="Times New Roman" w:cstheme="minorHAnsi"/>
          <w:lang w:eastAsia="cs-CZ"/>
        </w:rPr>
        <w:t>,</w:t>
      </w:r>
      <w:r w:rsidRPr="0082664B">
        <w:rPr>
          <w:rFonts w:eastAsia="Times New Roman" w:cstheme="minorHAnsi"/>
          <w:lang w:eastAsia="cs-CZ"/>
        </w:rPr>
        <w:t xml:space="preserve"> (</w:t>
      </w:r>
      <w:r>
        <w:rPr>
          <w:rFonts w:eastAsia="Times New Roman" w:cstheme="minorHAnsi"/>
          <w:lang w:eastAsia="cs-CZ"/>
        </w:rPr>
        <w:t xml:space="preserve">zapojeno do rozpočtu na základě </w:t>
      </w:r>
      <w:r w:rsidRPr="0082664B">
        <w:rPr>
          <w:rFonts w:eastAsia="Times New Roman" w:cstheme="minorHAnsi"/>
          <w:lang w:eastAsia="cs-CZ"/>
        </w:rPr>
        <w:t>usnesení č. 053</w:t>
      </w:r>
      <w:r>
        <w:rPr>
          <w:rFonts w:eastAsia="Times New Roman" w:cstheme="minorHAnsi"/>
          <w:lang w:eastAsia="cs-CZ"/>
        </w:rPr>
        <w:t>-21/2021/RK ze dne 13. 5. 2021)</w:t>
      </w:r>
      <w:r w:rsidRPr="0082664B">
        <w:rPr>
          <w:rFonts w:eastAsia="Times New Roman" w:cstheme="minorHAnsi"/>
          <w:lang w:eastAsia="cs-CZ"/>
        </w:rPr>
        <w:t xml:space="preserve"> byla poskytnuta </w:t>
      </w:r>
      <w:bookmarkStart w:id="33" w:name="_Hlk96944028"/>
      <w:r w:rsidRPr="0082664B">
        <w:rPr>
          <w:rFonts w:eastAsia="Times New Roman" w:cstheme="minorHAnsi"/>
          <w:lang w:eastAsia="cs-CZ"/>
        </w:rPr>
        <w:t>Středočeské vědecké knihovně v Kladně</w:t>
      </w:r>
      <w:bookmarkEnd w:id="33"/>
      <w:r w:rsidRPr="0082664B">
        <w:rPr>
          <w:rFonts w:eastAsia="Times New Roman" w:cstheme="minorHAnsi"/>
          <w:lang w:eastAsia="cs-CZ"/>
        </w:rPr>
        <w:t xml:space="preserve"> z programu VISK 2 Ministerstva kultury ČR. </w:t>
      </w:r>
      <w:r>
        <w:rPr>
          <w:rFonts w:eastAsia="Times New Roman" w:cstheme="minorHAnsi"/>
          <w:lang w:eastAsia="cs-CZ"/>
        </w:rPr>
        <w:t xml:space="preserve">Dále byla poskytnuta ještě pro tuto organizaci dotace ve výši 8 000,00 Kč a pro </w:t>
      </w:r>
      <w:r w:rsidRPr="006B14F4">
        <w:rPr>
          <w:rFonts w:eastAsia="Times New Roman" w:cstheme="minorHAnsi"/>
          <w:lang w:eastAsia="cs-CZ"/>
        </w:rPr>
        <w:t>Památník Karla Čapka ve Staré Huti u Dobříše</w:t>
      </w:r>
      <w:r>
        <w:rPr>
          <w:rFonts w:eastAsia="Times New Roman" w:cstheme="minorHAnsi"/>
          <w:lang w:eastAsia="cs-CZ"/>
        </w:rPr>
        <w:t xml:space="preserve"> dotace ve výši 14 000,00 Kč. Celkem </w:t>
      </w:r>
      <w:r w:rsidRPr="0082664B">
        <w:rPr>
          <w:rFonts w:eastAsia="Times New Roman" w:cstheme="minorHAnsi"/>
          <w:lang w:eastAsia="cs-CZ"/>
        </w:rPr>
        <w:t>byly</w:t>
      </w:r>
      <w:r>
        <w:rPr>
          <w:rFonts w:eastAsia="Times New Roman" w:cstheme="minorHAnsi"/>
          <w:lang w:eastAsia="cs-CZ"/>
        </w:rPr>
        <w:t xml:space="preserve"> dotace</w:t>
      </w:r>
      <w:r w:rsidRPr="0082664B">
        <w:rPr>
          <w:rFonts w:eastAsia="Times New Roman" w:cstheme="minorHAnsi"/>
          <w:lang w:eastAsia="cs-CZ"/>
        </w:rPr>
        <w:t xml:space="preserve"> čerpány na </w:t>
      </w:r>
      <w:r>
        <w:rPr>
          <w:rFonts w:eastAsia="Times New Roman" w:cstheme="minorHAnsi"/>
          <w:lang w:eastAsia="cs-CZ"/>
        </w:rPr>
        <w:t>93,8</w:t>
      </w:r>
      <w:r w:rsidRPr="0082664B">
        <w:rPr>
          <w:rFonts w:eastAsia="Times New Roman" w:cstheme="minorHAnsi"/>
          <w:lang w:eastAsia="cs-CZ"/>
        </w:rPr>
        <w:t xml:space="preserve"> %</w:t>
      </w:r>
      <w:r>
        <w:rPr>
          <w:rFonts w:eastAsia="Times New Roman" w:cstheme="minorHAnsi"/>
          <w:lang w:eastAsia="cs-CZ"/>
        </w:rPr>
        <w:t xml:space="preserve">, vratku realizovala </w:t>
      </w:r>
      <w:r w:rsidRPr="00074AA6">
        <w:rPr>
          <w:rFonts w:eastAsia="Times New Roman" w:cstheme="minorHAnsi"/>
          <w:lang w:eastAsia="cs-CZ"/>
        </w:rPr>
        <w:t>Středočesk</w:t>
      </w:r>
      <w:r>
        <w:rPr>
          <w:rFonts w:eastAsia="Times New Roman" w:cstheme="minorHAnsi"/>
          <w:lang w:eastAsia="cs-CZ"/>
        </w:rPr>
        <w:t>á</w:t>
      </w:r>
      <w:r w:rsidRPr="00074AA6">
        <w:rPr>
          <w:rFonts w:eastAsia="Times New Roman" w:cstheme="minorHAnsi"/>
          <w:lang w:eastAsia="cs-CZ"/>
        </w:rPr>
        <w:t xml:space="preserve"> vědeck</w:t>
      </w:r>
      <w:r>
        <w:rPr>
          <w:rFonts w:eastAsia="Times New Roman" w:cstheme="minorHAnsi"/>
          <w:lang w:eastAsia="cs-CZ"/>
        </w:rPr>
        <w:t>á</w:t>
      </w:r>
      <w:r w:rsidRPr="00074AA6">
        <w:rPr>
          <w:rFonts w:eastAsia="Times New Roman" w:cstheme="minorHAnsi"/>
          <w:lang w:eastAsia="cs-CZ"/>
        </w:rPr>
        <w:t xml:space="preserve"> knihovn</w:t>
      </w:r>
      <w:r>
        <w:rPr>
          <w:rFonts w:eastAsia="Times New Roman" w:cstheme="minorHAnsi"/>
          <w:lang w:eastAsia="cs-CZ"/>
        </w:rPr>
        <w:t>a</w:t>
      </w:r>
      <w:r w:rsidRPr="00074AA6">
        <w:rPr>
          <w:rFonts w:eastAsia="Times New Roman" w:cstheme="minorHAnsi"/>
          <w:lang w:eastAsia="cs-CZ"/>
        </w:rPr>
        <w:t xml:space="preserve"> v</w:t>
      </w:r>
      <w:r>
        <w:rPr>
          <w:rFonts w:eastAsia="Times New Roman" w:cstheme="minorHAnsi"/>
          <w:lang w:eastAsia="cs-CZ"/>
        </w:rPr>
        <w:t> </w:t>
      </w:r>
      <w:r w:rsidRPr="00074AA6">
        <w:rPr>
          <w:rFonts w:eastAsia="Times New Roman" w:cstheme="minorHAnsi"/>
          <w:lang w:eastAsia="cs-CZ"/>
        </w:rPr>
        <w:t>Kladně</w:t>
      </w:r>
      <w:r>
        <w:rPr>
          <w:rFonts w:eastAsia="Times New Roman" w:cstheme="minorHAnsi"/>
          <w:lang w:eastAsia="cs-CZ"/>
        </w:rPr>
        <w:t xml:space="preserve"> výši 5 000,00 Kč</w:t>
      </w:r>
      <w:r w:rsidRPr="0082664B">
        <w:rPr>
          <w:rFonts w:eastAsia="Times New Roman" w:cstheme="minorHAnsi"/>
          <w:lang w:eastAsia="cs-CZ"/>
        </w:rPr>
        <w:t>.</w:t>
      </w:r>
      <w:bookmarkEnd w:id="32"/>
    </w:p>
    <w:p w14:paraId="6D34D4BB" w14:textId="77777777" w:rsidR="00ED51F3" w:rsidRDefault="00ED51F3" w:rsidP="00ED51F3">
      <w:pPr>
        <w:spacing w:after="0" w:line="240" w:lineRule="auto"/>
        <w:jc w:val="both"/>
        <w:rPr>
          <w:rFonts w:eastAsia="Times New Roman" w:cstheme="minorHAnsi"/>
          <w:lang w:eastAsia="cs-CZ"/>
        </w:rPr>
      </w:pPr>
    </w:p>
    <w:p w14:paraId="1ED1EAAB" w14:textId="77777777" w:rsidR="00ED51F3" w:rsidRPr="0082664B" w:rsidRDefault="00ED51F3" w:rsidP="00ED51F3">
      <w:pPr>
        <w:spacing w:after="0" w:line="240" w:lineRule="auto"/>
        <w:jc w:val="both"/>
        <w:rPr>
          <w:rFonts w:eastAsia="Times New Roman" w:cstheme="minorHAnsi"/>
          <w:b/>
          <w:lang w:eastAsia="cs-CZ"/>
        </w:rPr>
      </w:pPr>
      <w:r w:rsidRPr="0082664B">
        <w:rPr>
          <w:rFonts w:eastAsia="Times New Roman" w:cstheme="minorHAnsi"/>
          <w:b/>
          <w:lang w:eastAsia="cs-CZ"/>
        </w:rPr>
        <w:t xml:space="preserve">§ </w:t>
      </w:r>
      <w:r>
        <w:rPr>
          <w:rFonts w:eastAsia="Times New Roman" w:cstheme="minorHAnsi"/>
          <w:b/>
          <w:lang w:eastAsia="cs-CZ"/>
        </w:rPr>
        <w:t>3315</w:t>
      </w:r>
      <w:r w:rsidRPr="0082664B">
        <w:rPr>
          <w:rFonts w:eastAsia="Times New Roman" w:cstheme="minorHAnsi"/>
          <w:b/>
          <w:lang w:eastAsia="cs-CZ"/>
        </w:rPr>
        <w:t xml:space="preserve"> – </w:t>
      </w:r>
      <w:r w:rsidRPr="00293CD3">
        <w:rPr>
          <w:rFonts w:eastAsia="Times New Roman" w:cstheme="minorHAnsi"/>
          <w:b/>
          <w:lang w:eastAsia="cs-CZ"/>
        </w:rPr>
        <w:t>Havárie střech památek (UZ 34055)</w:t>
      </w:r>
    </w:p>
    <w:p w14:paraId="762468C7" w14:textId="77777777" w:rsidR="00ED51F3" w:rsidRDefault="00ED51F3" w:rsidP="00ED51F3">
      <w:pPr>
        <w:spacing w:after="0" w:line="240" w:lineRule="auto"/>
        <w:jc w:val="both"/>
        <w:rPr>
          <w:rFonts w:eastAsia="Times New Roman" w:cstheme="minorHAnsi"/>
          <w:lang w:eastAsia="cs-CZ"/>
        </w:rPr>
      </w:pPr>
      <w:r>
        <w:rPr>
          <w:rFonts w:eastAsia="Times New Roman" w:cstheme="minorHAnsi"/>
          <w:lang w:eastAsia="cs-CZ"/>
        </w:rPr>
        <w:t xml:space="preserve">Ministerstvo kultury poskytlo dotace </w:t>
      </w:r>
      <w:r w:rsidRPr="00293CD3">
        <w:rPr>
          <w:rFonts w:eastAsia="Times New Roman" w:cstheme="minorHAnsi"/>
          <w:lang w:eastAsia="cs-CZ"/>
        </w:rPr>
        <w:t>v rámci státní finanční podpory v Havarijním programu v roce 2021</w:t>
      </w:r>
      <w:r>
        <w:rPr>
          <w:rFonts w:eastAsia="Times New Roman" w:cstheme="minorHAnsi"/>
          <w:lang w:eastAsia="cs-CZ"/>
        </w:rPr>
        <w:t>. Za účelem obnovy</w:t>
      </w:r>
      <w:r w:rsidRPr="00293CD3">
        <w:rPr>
          <w:rFonts w:eastAsia="Times New Roman" w:cstheme="minorHAnsi"/>
          <w:lang w:eastAsia="cs-CZ"/>
        </w:rPr>
        <w:t xml:space="preserve"> nemovité kulturní památky – uhelný hlubinný důl Mayrau</w:t>
      </w:r>
      <w:r>
        <w:rPr>
          <w:rFonts w:eastAsia="Times New Roman" w:cstheme="minorHAnsi"/>
          <w:lang w:eastAsia="cs-CZ"/>
        </w:rPr>
        <w:t xml:space="preserve"> ve Vinařicích byla přidělena dotace ve výši 200 000,00 Kč pro Sládečkovo vlastivědné muzeum v Kladně. Pro Hornické muzeum Příbram byla v rámci stejné podpory schválena dotace ve výši 250 000,00 Kč na </w:t>
      </w:r>
      <w:r w:rsidRPr="00D60CA5">
        <w:rPr>
          <w:rFonts w:eastAsia="Times New Roman" w:cstheme="minorHAnsi"/>
          <w:lang w:eastAsia="cs-CZ"/>
        </w:rPr>
        <w:t>obnovu nemovité kulturní památky – soubor hornických památek v Březových Horách</w:t>
      </w:r>
      <w:r>
        <w:rPr>
          <w:rFonts w:eastAsia="Times New Roman" w:cstheme="minorHAnsi"/>
          <w:lang w:eastAsia="cs-CZ"/>
        </w:rPr>
        <w:t xml:space="preserve"> </w:t>
      </w:r>
      <w:r w:rsidRPr="00D60CA5">
        <w:rPr>
          <w:rFonts w:eastAsia="Times New Roman" w:cstheme="minorHAnsi"/>
          <w:lang w:eastAsia="cs-CZ"/>
        </w:rPr>
        <w:t>(zapojeno do rozpočtu na základě usnesení č. 068-30/2021/RK ze dne 29.7.2021).</w:t>
      </w:r>
      <w:r>
        <w:rPr>
          <w:rFonts w:eastAsia="Times New Roman" w:cstheme="minorHAnsi"/>
          <w:lang w:eastAsia="cs-CZ"/>
        </w:rPr>
        <w:t xml:space="preserve"> Celkem </w:t>
      </w:r>
      <w:r w:rsidRPr="0082664B">
        <w:rPr>
          <w:rFonts w:eastAsia="Times New Roman" w:cstheme="minorHAnsi"/>
          <w:lang w:eastAsia="cs-CZ"/>
        </w:rPr>
        <w:t>byly</w:t>
      </w:r>
      <w:r>
        <w:rPr>
          <w:rFonts w:eastAsia="Times New Roman" w:cstheme="minorHAnsi"/>
          <w:lang w:eastAsia="cs-CZ"/>
        </w:rPr>
        <w:t xml:space="preserve"> dotace</w:t>
      </w:r>
      <w:r w:rsidRPr="0082664B">
        <w:rPr>
          <w:rFonts w:eastAsia="Times New Roman" w:cstheme="minorHAnsi"/>
          <w:lang w:eastAsia="cs-CZ"/>
        </w:rPr>
        <w:t xml:space="preserve"> čerpány na </w:t>
      </w:r>
      <w:r>
        <w:rPr>
          <w:rFonts w:eastAsia="Times New Roman" w:cstheme="minorHAnsi"/>
          <w:lang w:eastAsia="cs-CZ"/>
        </w:rPr>
        <w:t>100,0</w:t>
      </w:r>
      <w:r w:rsidRPr="0082664B">
        <w:rPr>
          <w:rFonts w:eastAsia="Times New Roman" w:cstheme="minorHAnsi"/>
          <w:lang w:eastAsia="cs-CZ"/>
        </w:rPr>
        <w:t xml:space="preserve"> %.</w:t>
      </w:r>
      <w:r>
        <w:rPr>
          <w:rFonts w:eastAsia="Times New Roman" w:cstheme="minorHAnsi"/>
          <w:lang w:eastAsia="cs-CZ"/>
        </w:rPr>
        <w:t xml:space="preserve"> </w:t>
      </w:r>
    </w:p>
    <w:p w14:paraId="6DD47F25" w14:textId="77777777" w:rsidR="00ED51F3" w:rsidRDefault="00ED51F3" w:rsidP="00ED51F3">
      <w:pPr>
        <w:spacing w:after="0" w:line="240" w:lineRule="auto"/>
        <w:jc w:val="both"/>
        <w:rPr>
          <w:rFonts w:eastAsia="Times New Roman" w:cstheme="minorHAnsi"/>
          <w:lang w:eastAsia="cs-CZ"/>
        </w:rPr>
      </w:pPr>
    </w:p>
    <w:p w14:paraId="0C1E9B2A" w14:textId="77777777" w:rsidR="00ED51F3" w:rsidRPr="000A513E" w:rsidRDefault="00ED51F3" w:rsidP="00ED51F3">
      <w:pPr>
        <w:spacing w:after="0" w:line="240" w:lineRule="auto"/>
        <w:jc w:val="both"/>
        <w:rPr>
          <w:rFonts w:eastAsia="Times New Roman" w:cstheme="minorHAnsi"/>
          <w:b/>
          <w:bCs/>
          <w:lang w:eastAsia="cs-CZ"/>
        </w:rPr>
      </w:pPr>
      <w:r w:rsidRPr="000A513E">
        <w:rPr>
          <w:rFonts w:eastAsia="Times New Roman" w:cstheme="minorHAnsi"/>
          <w:b/>
          <w:bCs/>
          <w:lang w:eastAsia="cs-CZ"/>
        </w:rPr>
        <w:t>§ 3314, 3315, 3321 – Kulturní aktivity (UZ 34070)</w:t>
      </w:r>
    </w:p>
    <w:p w14:paraId="0D336351" w14:textId="77777777" w:rsidR="00ED51F3" w:rsidRPr="00A74DA5" w:rsidRDefault="00ED51F3" w:rsidP="00ED51F3">
      <w:pPr>
        <w:spacing w:after="0" w:line="240" w:lineRule="auto"/>
        <w:jc w:val="both"/>
        <w:rPr>
          <w:rFonts w:eastAsia="Times New Roman" w:cstheme="minorHAnsi"/>
          <w:lang w:eastAsia="cs-CZ"/>
        </w:rPr>
      </w:pPr>
      <w:r w:rsidRPr="00A74DA5">
        <w:rPr>
          <w:rFonts w:eastAsia="Times New Roman" w:cstheme="minorHAnsi"/>
          <w:lang w:eastAsia="cs-CZ"/>
        </w:rPr>
        <w:t>Neinvestiční účelové dotace z programu Ministerstva kultury ČR na realizaci kulturních aktivit byl</w:t>
      </w:r>
      <w:r>
        <w:rPr>
          <w:rFonts w:eastAsia="Times New Roman" w:cstheme="minorHAnsi"/>
          <w:lang w:eastAsia="cs-CZ"/>
        </w:rPr>
        <w:t>y</w:t>
      </w:r>
      <w:r w:rsidRPr="00A74DA5">
        <w:rPr>
          <w:rFonts w:eastAsia="Times New Roman" w:cstheme="minorHAnsi"/>
          <w:lang w:eastAsia="cs-CZ"/>
        </w:rPr>
        <w:t xml:space="preserve"> poskytnut</w:t>
      </w:r>
      <w:r>
        <w:rPr>
          <w:rFonts w:eastAsia="Times New Roman" w:cstheme="minorHAnsi"/>
          <w:lang w:eastAsia="cs-CZ"/>
        </w:rPr>
        <w:t>y</w:t>
      </w:r>
      <w:r w:rsidRPr="00A74DA5">
        <w:rPr>
          <w:rFonts w:eastAsia="Times New Roman" w:cstheme="minorHAnsi"/>
          <w:lang w:eastAsia="cs-CZ"/>
        </w:rPr>
        <w:t xml:space="preserve"> v celkové výši </w:t>
      </w:r>
      <w:r>
        <w:rPr>
          <w:rFonts w:eastAsia="Times New Roman" w:cstheme="minorHAnsi"/>
          <w:lang w:eastAsia="cs-CZ"/>
        </w:rPr>
        <w:t>11 334 978</w:t>
      </w:r>
      <w:r w:rsidRPr="00A74DA5">
        <w:rPr>
          <w:rFonts w:eastAsia="Times New Roman" w:cstheme="minorHAnsi"/>
          <w:lang w:eastAsia="cs-CZ"/>
        </w:rPr>
        <w:t>,00 Kč, z toho byl</w:t>
      </w:r>
      <w:r>
        <w:rPr>
          <w:rFonts w:eastAsia="Times New Roman" w:cstheme="minorHAnsi"/>
          <w:lang w:eastAsia="cs-CZ"/>
        </w:rPr>
        <w:t>y</w:t>
      </w:r>
      <w:r w:rsidRPr="00A74DA5">
        <w:rPr>
          <w:rFonts w:eastAsia="Times New Roman" w:cstheme="minorHAnsi"/>
          <w:lang w:eastAsia="cs-CZ"/>
        </w:rPr>
        <w:t xml:space="preserve"> dotace ve výši </w:t>
      </w:r>
      <w:r>
        <w:rPr>
          <w:rFonts w:eastAsia="Times New Roman" w:cstheme="minorHAnsi"/>
          <w:lang w:eastAsia="cs-CZ"/>
        </w:rPr>
        <w:t>10 655 978</w:t>
      </w:r>
      <w:r w:rsidRPr="00A74DA5">
        <w:rPr>
          <w:rFonts w:eastAsia="Times New Roman" w:cstheme="minorHAnsi"/>
          <w:lang w:eastAsia="cs-CZ"/>
        </w:rPr>
        <w:t>,00 Kč určen</w:t>
      </w:r>
      <w:r>
        <w:rPr>
          <w:rFonts w:eastAsia="Times New Roman" w:cstheme="minorHAnsi"/>
          <w:lang w:eastAsia="cs-CZ"/>
        </w:rPr>
        <w:t>y na z</w:t>
      </w:r>
      <w:r w:rsidRPr="004F71A1">
        <w:rPr>
          <w:rFonts w:eastAsia="Times New Roman" w:cstheme="minorHAnsi"/>
          <w:lang w:eastAsia="cs-CZ"/>
        </w:rPr>
        <w:t>mírnění negativních dopadů souvisejících s opatřeními proti COVID-19</w:t>
      </w:r>
      <w:r>
        <w:rPr>
          <w:rFonts w:eastAsia="Times New Roman" w:cstheme="minorHAnsi"/>
          <w:lang w:eastAsia="cs-CZ"/>
        </w:rPr>
        <w:t xml:space="preserve"> z </w:t>
      </w:r>
      <w:r w:rsidRPr="004F71A1">
        <w:rPr>
          <w:rFonts w:eastAsia="Times New Roman" w:cstheme="minorHAnsi"/>
          <w:lang w:eastAsia="cs-CZ"/>
        </w:rPr>
        <w:t>Program</w:t>
      </w:r>
      <w:r>
        <w:rPr>
          <w:rFonts w:eastAsia="Times New Roman" w:cstheme="minorHAnsi"/>
          <w:lang w:eastAsia="cs-CZ"/>
        </w:rPr>
        <w:t>u</w:t>
      </w:r>
      <w:r w:rsidRPr="004F71A1">
        <w:rPr>
          <w:rFonts w:eastAsia="Times New Roman" w:cstheme="minorHAnsi"/>
          <w:lang w:eastAsia="cs-CZ"/>
        </w:rPr>
        <w:t xml:space="preserve"> udržitelnosti pro muzea II</w:t>
      </w:r>
      <w:r>
        <w:rPr>
          <w:rFonts w:eastAsia="Times New Roman" w:cstheme="minorHAnsi"/>
          <w:lang w:eastAsia="cs-CZ"/>
        </w:rPr>
        <w:t>. Celkem se jednalo o devět příspěvkových organizací v oblasti kultury.</w:t>
      </w:r>
      <w:r w:rsidRPr="004F71A1">
        <w:rPr>
          <w:rFonts w:eastAsia="Times New Roman" w:cstheme="minorHAnsi"/>
          <w:lang w:eastAsia="cs-CZ"/>
        </w:rPr>
        <w:t xml:space="preserve"> </w:t>
      </w:r>
      <w:r>
        <w:rPr>
          <w:rFonts w:eastAsia="Times New Roman" w:cstheme="minorHAnsi"/>
          <w:lang w:eastAsia="cs-CZ"/>
        </w:rPr>
        <w:t>Dále byly dotace přiděleny p</w:t>
      </w:r>
      <w:r w:rsidRPr="00A74DA5">
        <w:rPr>
          <w:rFonts w:eastAsia="Times New Roman" w:cstheme="minorHAnsi"/>
          <w:lang w:eastAsia="cs-CZ"/>
        </w:rPr>
        <w:t xml:space="preserve">ro </w:t>
      </w:r>
      <w:r>
        <w:rPr>
          <w:rFonts w:eastAsia="Times New Roman" w:cstheme="minorHAnsi"/>
          <w:lang w:eastAsia="cs-CZ"/>
        </w:rPr>
        <w:t>Galerii Středočeského kraje ve výši 250 000,00 Kč na projekt</w:t>
      </w:r>
      <w:r w:rsidRPr="004F71A1">
        <w:t xml:space="preserve"> </w:t>
      </w:r>
      <w:r w:rsidRPr="004F71A1">
        <w:rPr>
          <w:rFonts w:eastAsia="Times New Roman" w:cstheme="minorHAnsi"/>
          <w:lang w:eastAsia="cs-CZ"/>
        </w:rPr>
        <w:t>"Samota uprostřed davu: Charles Baudelaire a české umění"</w:t>
      </w:r>
      <w:r>
        <w:rPr>
          <w:rFonts w:eastAsia="Times New Roman" w:cstheme="minorHAnsi"/>
          <w:lang w:eastAsia="cs-CZ"/>
        </w:rPr>
        <w:t xml:space="preserve">, pro </w:t>
      </w:r>
      <w:r w:rsidRPr="00A74DA5">
        <w:rPr>
          <w:rFonts w:eastAsia="Times New Roman" w:cstheme="minorHAnsi"/>
          <w:lang w:eastAsia="cs-CZ"/>
        </w:rPr>
        <w:t>Středočeskou vědeckou knihovnu v</w:t>
      </w:r>
      <w:r>
        <w:rPr>
          <w:rFonts w:eastAsia="Times New Roman" w:cstheme="minorHAnsi"/>
          <w:lang w:eastAsia="cs-CZ"/>
        </w:rPr>
        <w:t> </w:t>
      </w:r>
      <w:r w:rsidRPr="00A74DA5">
        <w:rPr>
          <w:rFonts w:eastAsia="Times New Roman" w:cstheme="minorHAnsi"/>
          <w:lang w:eastAsia="cs-CZ"/>
        </w:rPr>
        <w:t>Kladně</w:t>
      </w:r>
      <w:r>
        <w:rPr>
          <w:rFonts w:eastAsia="Times New Roman" w:cstheme="minorHAnsi"/>
          <w:lang w:eastAsia="cs-CZ"/>
        </w:rPr>
        <w:t xml:space="preserve"> v rámci programu</w:t>
      </w:r>
      <w:r w:rsidRPr="00343FB2">
        <w:t xml:space="preserve"> </w:t>
      </w:r>
      <w:r w:rsidRPr="00343FB2">
        <w:rPr>
          <w:rFonts w:eastAsia="Times New Roman" w:cstheme="minorHAnsi"/>
          <w:lang w:eastAsia="cs-CZ"/>
        </w:rPr>
        <w:t>Knihovna 21. století</w:t>
      </w:r>
      <w:r w:rsidRPr="00A74DA5">
        <w:rPr>
          <w:rFonts w:eastAsia="Times New Roman" w:cstheme="minorHAnsi"/>
          <w:lang w:eastAsia="cs-CZ"/>
        </w:rPr>
        <w:t xml:space="preserve"> ve výši </w:t>
      </w:r>
      <w:r>
        <w:rPr>
          <w:rFonts w:eastAsia="Times New Roman" w:cstheme="minorHAnsi"/>
          <w:lang w:eastAsia="cs-CZ"/>
        </w:rPr>
        <w:t xml:space="preserve">362 </w:t>
      </w:r>
      <w:r w:rsidRPr="00A74DA5">
        <w:rPr>
          <w:rFonts w:eastAsia="Times New Roman" w:cstheme="minorHAnsi"/>
          <w:lang w:eastAsia="cs-CZ"/>
        </w:rPr>
        <w:t>000,00</w:t>
      </w:r>
      <w:r w:rsidRPr="004F71A1">
        <w:t xml:space="preserve"> </w:t>
      </w:r>
      <w:r>
        <w:rPr>
          <w:rFonts w:eastAsia="Times New Roman" w:cstheme="minorHAnsi"/>
          <w:lang w:eastAsia="cs-CZ"/>
        </w:rPr>
        <w:t>jako p</w:t>
      </w:r>
      <w:r w:rsidRPr="004F71A1">
        <w:rPr>
          <w:rFonts w:eastAsia="Times New Roman" w:cstheme="minorHAnsi"/>
          <w:lang w:eastAsia="cs-CZ"/>
        </w:rPr>
        <w:t>říspěvek na nákup zvukových knih pro zrakově postižené</w:t>
      </w:r>
      <w:r>
        <w:rPr>
          <w:rFonts w:eastAsia="Times New Roman" w:cstheme="minorHAnsi"/>
          <w:lang w:eastAsia="cs-CZ"/>
        </w:rPr>
        <w:t xml:space="preserve"> a na projekt </w:t>
      </w:r>
      <w:r w:rsidRPr="00343FB2">
        <w:rPr>
          <w:rFonts w:eastAsia="Times New Roman" w:cstheme="minorHAnsi"/>
          <w:lang w:eastAsia="cs-CZ"/>
        </w:rPr>
        <w:t>"Čtenář: měsíčník pro knihovny – vzdělávat, informovat a inspirovat"</w:t>
      </w:r>
      <w:r w:rsidRPr="00A74DA5">
        <w:rPr>
          <w:rFonts w:eastAsia="Times New Roman" w:cstheme="minorHAnsi"/>
          <w:lang w:eastAsia="cs-CZ"/>
        </w:rPr>
        <w:t xml:space="preserve">. </w:t>
      </w:r>
      <w:r>
        <w:rPr>
          <w:rFonts w:eastAsia="Times New Roman" w:cstheme="minorHAnsi"/>
          <w:lang w:eastAsia="cs-CZ"/>
        </w:rPr>
        <w:t xml:space="preserve">Muzeum Mladoboleslavska realizovalo projekt </w:t>
      </w:r>
      <w:r w:rsidRPr="000A513E">
        <w:rPr>
          <w:rFonts w:eastAsia="Times New Roman" w:cstheme="minorHAnsi"/>
          <w:lang w:eastAsia="cs-CZ"/>
        </w:rPr>
        <w:t>"Velikonoce na Mladoboleslavsku"</w:t>
      </w:r>
      <w:r>
        <w:rPr>
          <w:rFonts w:eastAsia="Times New Roman" w:cstheme="minorHAnsi"/>
          <w:lang w:eastAsia="cs-CZ"/>
        </w:rPr>
        <w:t xml:space="preserve"> a za tímto účelem jim byla poskytnuta dotace ve výši 67 000,00 Kč. </w:t>
      </w:r>
      <w:r w:rsidRPr="00A74DA5">
        <w:rPr>
          <w:rFonts w:eastAsia="Times New Roman" w:cstheme="minorHAnsi"/>
          <w:lang w:eastAsia="cs-CZ"/>
        </w:rPr>
        <w:t>Finanční prostředky byly čerpány na 100,0 %.</w:t>
      </w:r>
    </w:p>
    <w:p w14:paraId="0775D1BA" w14:textId="77777777" w:rsidR="00ED51F3" w:rsidRPr="00A74DA5" w:rsidRDefault="00ED51F3" w:rsidP="00ED51F3">
      <w:pPr>
        <w:spacing w:after="0" w:line="240" w:lineRule="auto"/>
        <w:jc w:val="both"/>
        <w:rPr>
          <w:rFonts w:eastAsia="Times New Roman" w:cstheme="minorHAnsi"/>
          <w:lang w:eastAsia="cs-CZ"/>
        </w:rPr>
      </w:pPr>
    </w:p>
    <w:p w14:paraId="4DFB81FE" w14:textId="77777777" w:rsidR="00ED51F3" w:rsidRPr="00E66EC7" w:rsidRDefault="00ED51F3" w:rsidP="00ED51F3">
      <w:pPr>
        <w:spacing w:after="0" w:line="240" w:lineRule="auto"/>
        <w:jc w:val="both"/>
        <w:rPr>
          <w:rFonts w:eastAsia="Times New Roman" w:cstheme="minorHAnsi"/>
          <w:b/>
          <w:bCs/>
          <w:lang w:eastAsia="cs-CZ"/>
        </w:rPr>
      </w:pPr>
      <w:r w:rsidRPr="00E66EC7">
        <w:rPr>
          <w:rFonts w:eastAsia="Times New Roman" w:cstheme="minorHAnsi"/>
          <w:b/>
          <w:bCs/>
          <w:lang w:eastAsia="cs-CZ"/>
        </w:rPr>
        <w:t>§ 3315 – Dotace MK – Akviziční fond (UZ 34502)</w:t>
      </w:r>
    </w:p>
    <w:p w14:paraId="44B6DAAB" w14:textId="77777777" w:rsidR="00ED51F3" w:rsidRPr="00A74DA5" w:rsidRDefault="00ED51F3" w:rsidP="00ED51F3">
      <w:pPr>
        <w:spacing w:after="0" w:line="240" w:lineRule="auto"/>
        <w:jc w:val="both"/>
        <w:rPr>
          <w:rFonts w:eastAsia="Times New Roman" w:cstheme="minorHAnsi"/>
          <w:lang w:eastAsia="cs-CZ"/>
        </w:rPr>
      </w:pPr>
      <w:r w:rsidRPr="00A74DA5">
        <w:rPr>
          <w:rFonts w:eastAsia="Times New Roman" w:cstheme="minorHAnsi"/>
          <w:lang w:eastAsia="cs-CZ"/>
        </w:rPr>
        <w:lastRenderedPageBreak/>
        <w:t xml:space="preserve">Investiční účelová dotace v celkové výši </w:t>
      </w:r>
      <w:r>
        <w:rPr>
          <w:rFonts w:eastAsia="Times New Roman" w:cstheme="minorHAnsi"/>
          <w:lang w:eastAsia="cs-CZ"/>
        </w:rPr>
        <w:t>2 499 000</w:t>
      </w:r>
      <w:r w:rsidRPr="00A74DA5">
        <w:rPr>
          <w:rFonts w:eastAsia="Times New Roman" w:cstheme="minorHAnsi"/>
          <w:lang w:eastAsia="cs-CZ"/>
        </w:rPr>
        <w:t>,00 Kč z programu Akviziční fond Ministerstva kultury ČR určená na nákup sbírkových předmětů – akvizic byla poskytnuta pro Galerii Středočeského kraje</w:t>
      </w:r>
      <w:r>
        <w:rPr>
          <w:rFonts w:eastAsia="Times New Roman" w:cstheme="minorHAnsi"/>
          <w:lang w:eastAsia="cs-CZ"/>
        </w:rPr>
        <w:t xml:space="preserve"> a pro České muzeum stříbra</w:t>
      </w:r>
      <w:r w:rsidRPr="00A74DA5">
        <w:rPr>
          <w:rFonts w:eastAsia="Times New Roman" w:cstheme="minorHAnsi"/>
          <w:lang w:eastAsia="cs-CZ"/>
        </w:rPr>
        <w:t>. Finanční prostředky byly čerpány na 100,0 %.</w:t>
      </w:r>
    </w:p>
    <w:p w14:paraId="35EFB374" w14:textId="77777777" w:rsidR="00ED51F3" w:rsidRPr="00A74DA5" w:rsidRDefault="00ED51F3" w:rsidP="00ED51F3">
      <w:pPr>
        <w:spacing w:after="0" w:line="240" w:lineRule="auto"/>
        <w:jc w:val="both"/>
        <w:rPr>
          <w:rFonts w:eastAsia="Times New Roman" w:cstheme="minorHAnsi"/>
          <w:lang w:eastAsia="cs-CZ"/>
        </w:rPr>
      </w:pPr>
    </w:p>
    <w:p w14:paraId="47C4411B" w14:textId="4F9E364E" w:rsidR="00ED51F3" w:rsidRPr="00A141EA" w:rsidRDefault="00ED51F3" w:rsidP="00ED51F3">
      <w:pPr>
        <w:spacing w:after="0" w:line="240" w:lineRule="auto"/>
        <w:jc w:val="both"/>
        <w:rPr>
          <w:rFonts w:eastAsia="Times New Roman" w:cstheme="minorHAnsi"/>
          <w:b/>
          <w:bCs/>
          <w:lang w:eastAsia="cs-CZ"/>
        </w:rPr>
      </w:pPr>
      <w:r w:rsidRPr="00A141EA">
        <w:rPr>
          <w:rFonts w:eastAsia="Times New Roman" w:cstheme="minorHAnsi"/>
          <w:b/>
          <w:bCs/>
          <w:lang w:eastAsia="cs-CZ"/>
        </w:rPr>
        <w:t>§ 3315 – ISO II/C výkupy předmětů kult</w:t>
      </w:r>
      <w:r w:rsidR="004C4923">
        <w:rPr>
          <w:rFonts w:eastAsia="Times New Roman" w:cstheme="minorHAnsi"/>
          <w:b/>
          <w:bCs/>
          <w:lang w:eastAsia="cs-CZ"/>
        </w:rPr>
        <w:t>urní</w:t>
      </w:r>
      <w:r w:rsidRPr="00A141EA">
        <w:rPr>
          <w:rFonts w:eastAsia="Times New Roman" w:cstheme="minorHAnsi"/>
          <w:b/>
          <w:bCs/>
          <w:lang w:eastAsia="cs-CZ"/>
        </w:rPr>
        <w:t xml:space="preserve"> hodnoty mimořádného významu (UZ 34505)</w:t>
      </w:r>
    </w:p>
    <w:p w14:paraId="4F028C17" w14:textId="77777777" w:rsidR="00ED51F3" w:rsidRPr="00A74DA5" w:rsidRDefault="00ED51F3" w:rsidP="00ED51F3">
      <w:pPr>
        <w:spacing w:after="0" w:line="240" w:lineRule="auto"/>
        <w:jc w:val="both"/>
        <w:rPr>
          <w:rFonts w:eastAsia="Times New Roman" w:cstheme="minorHAnsi"/>
          <w:lang w:eastAsia="cs-CZ"/>
        </w:rPr>
      </w:pPr>
      <w:r w:rsidRPr="00A74DA5">
        <w:rPr>
          <w:rFonts w:eastAsia="Times New Roman" w:cstheme="minorHAnsi"/>
          <w:lang w:eastAsia="cs-CZ"/>
        </w:rPr>
        <w:t>Investiční účelová dotace z programu Integrovaný systém ochrany movitého kulturního dědictví (ISO) II., části C: výkupy předmětů kulturní hodnoty mimořádného významu na rok 202</w:t>
      </w:r>
      <w:r>
        <w:rPr>
          <w:rFonts w:eastAsia="Times New Roman" w:cstheme="minorHAnsi"/>
          <w:lang w:eastAsia="cs-CZ"/>
        </w:rPr>
        <w:t xml:space="preserve">1, </w:t>
      </w:r>
      <w:r w:rsidRPr="00A74DA5">
        <w:rPr>
          <w:rFonts w:eastAsia="Times New Roman" w:cstheme="minorHAnsi"/>
          <w:lang w:eastAsia="cs-CZ"/>
        </w:rPr>
        <w:t xml:space="preserve">byla poskytnuta Ministerstvem kultury ve výši </w:t>
      </w:r>
      <w:r>
        <w:rPr>
          <w:rFonts w:eastAsia="Times New Roman" w:cstheme="minorHAnsi"/>
          <w:lang w:eastAsia="cs-CZ"/>
        </w:rPr>
        <w:t>168</w:t>
      </w:r>
      <w:r w:rsidRPr="00A74DA5">
        <w:rPr>
          <w:rFonts w:eastAsia="Times New Roman" w:cstheme="minorHAnsi"/>
          <w:lang w:eastAsia="cs-CZ"/>
        </w:rPr>
        <w:t xml:space="preserve"> 000,00 Kč pro </w:t>
      </w:r>
      <w:r>
        <w:rPr>
          <w:rFonts w:eastAsia="Times New Roman" w:cstheme="minorHAnsi"/>
          <w:lang w:eastAsia="cs-CZ"/>
        </w:rPr>
        <w:t>Středočeské muzeum v Roztokách u Prahy</w:t>
      </w:r>
      <w:r w:rsidRPr="00A74DA5">
        <w:rPr>
          <w:rFonts w:eastAsia="Times New Roman" w:cstheme="minorHAnsi"/>
          <w:lang w:eastAsia="cs-CZ"/>
        </w:rPr>
        <w:t xml:space="preserve"> na výkup</w:t>
      </w:r>
      <w:r>
        <w:rPr>
          <w:rFonts w:eastAsia="Times New Roman" w:cstheme="minorHAnsi"/>
          <w:lang w:eastAsia="cs-CZ"/>
        </w:rPr>
        <w:t xml:space="preserve"> díla – Zdenka</w:t>
      </w:r>
      <w:r w:rsidRPr="00A141EA">
        <w:rPr>
          <w:rFonts w:eastAsia="Times New Roman" w:cstheme="minorHAnsi"/>
          <w:lang w:eastAsia="cs-CZ"/>
        </w:rPr>
        <w:t xml:space="preserve"> Braunerová, Paříž, olej na plátně</w:t>
      </w:r>
      <w:r w:rsidRPr="00A74DA5">
        <w:rPr>
          <w:rFonts w:eastAsia="Times New Roman" w:cstheme="minorHAnsi"/>
          <w:lang w:eastAsia="cs-CZ"/>
        </w:rPr>
        <w:t>. Finanční prostředky byly čerpány na 100,0 %.</w:t>
      </w:r>
    </w:p>
    <w:p w14:paraId="2FC51BAF" w14:textId="77777777" w:rsidR="00ED51F3" w:rsidRPr="00A74DA5" w:rsidRDefault="00ED51F3" w:rsidP="00ED51F3">
      <w:pPr>
        <w:spacing w:after="0" w:line="240" w:lineRule="auto"/>
        <w:jc w:val="both"/>
        <w:rPr>
          <w:rFonts w:eastAsia="Times New Roman" w:cstheme="minorHAnsi"/>
          <w:lang w:eastAsia="cs-CZ"/>
        </w:rPr>
      </w:pPr>
    </w:p>
    <w:p w14:paraId="37C3CD6F" w14:textId="77777777" w:rsidR="00ED51F3" w:rsidRPr="000669ED" w:rsidRDefault="00ED51F3" w:rsidP="00ED51F3">
      <w:pPr>
        <w:spacing w:after="0" w:line="240" w:lineRule="auto"/>
        <w:jc w:val="both"/>
        <w:rPr>
          <w:rFonts w:eastAsia="Times New Roman" w:cstheme="minorHAnsi"/>
          <w:b/>
          <w:bCs/>
          <w:lang w:eastAsia="cs-CZ"/>
        </w:rPr>
      </w:pPr>
      <w:r w:rsidRPr="000669ED">
        <w:rPr>
          <w:rFonts w:eastAsia="Times New Roman" w:cstheme="minorHAnsi"/>
          <w:b/>
          <w:bCs/>
          <w:lang w:eastAsia="cs-CZ"/>
        </w:rPr>
        <w:t>§ 3315 – ISO II/D preventivní ochrana před nepříznivými vlivy prostředí – INV (UZ 34506)</w:t>
      </w:r>
    </w:p>
    <w:p w14:paraId="6DACF263" w14:textId="77777777" w:rsidR="00ED51F3" w:rsidRDefault="00ED51F3" w:rsidP="00ED51F3">
      <w:pPr>
        <w:spacing w:after="0" w:line="240" w:lineRule="auto"/>
        <w:jc w:val="both"/>
        <w:rPr>
          <w:rFonts w:eastAsia="Times New Roman" w:cstheme="minorHAnsi"/>
          <w:lang w:eastAsia="cs-CZ"/>
        </w:rPr>
      </w:pPr>
      <w:r w:rsidRPr="00A74DA5">
        <w:rPr>
          <w:rFonts w:eastAsia="Times New Roman" w:cstheme="minorHAnsi"/>
          <w:lang w:eastAsia="cs-CZ"/>
        </w:rPr>
        <w:t xml:space="preserve">Investiční účelové dotace Ministerstva kultury z programu Integrovaný systém ochrany movitého kulturního dědictví II v části D – Preventivní ochrana před nepříznivými vlivy ve výši </w:t>
      </w:r>
      <w:r>
        <w:rPr>
          <w:rFonts w:eastAsia="Times New Roman" w:cstheme="minorHAnsi"/>
          <w:lang w:eastAsia="cs-CZ"/>
        </w:rPr>
        <w:t>143</w:t>
      </w:r>
      <w:r w:rsidRPr="00A74DA5">
        <w:rPr>
          <w:rFonts w:eastAsia="Times New Roman" w:cstheme="minorHAnsi"/>
          <w:lang w:eastAsia="cs-CZ"/>
        </w:rPr>
        <w:t xml:space="preserve"> 000,00 Kč jsou určeny pro Regionální muzeum v</w:t>
      </w:r>
      <w:r>
        <w:rPr>
          <w:rFonts w:eastAsia="Times New Roman" w:cstheme="minorHAnsi"/>
          <w:lang w:eastAsia="cs-CZ"/>
        </w:rPr>
        <w:t xml:space="preserve"> Kolína</w:t>
      </w:r>
      <w:r w:rsidRPr="00A74DA5">
        <w:rPr>
          <w:rFonts w:eastAsia="Times New Roman" w:cstheme="minorHAnsi"/>
          <w:lang w:eastAsia="cs-CZ"/>
        </w:rPr>
        <w:t xml:space="preserve"> na pořízení </w:t>
      </w:r>
      <w:r w:rsidRPr="000669ED">
        <w:rPr>
          <w:rFonts w:eastAsia="Times New Roman" w:cstheme="minorHAnsi"/>
          <w:lang w:eastAsia="cs-CZ"/>
        </w:rPr>
        <w:t>3 x odvlhčovač, 1 x zvlhčovač, 1 x měřák RV a teploty</w:t>
      </w:r>
      <w:r>
        <w:rPr>
          <w:rFonts w:eastAsia="Times New Roman" w:cstheme="minorHAnsi"/>
          <w:lang w:eastAsia="cs-CZ"/>
        </w:rPr>
        <w:t xml:space="preserve"> a pro Hornické muzeum Příbram na nákup</w:t>
      </w:r>
      <w:r w:rsidRPr="000669ED">
        <w:t xml:space="preserve"> </w:t>
      </w:r>
      <w:r w:rsidRPr="000669ED">
        <w:rPr>
          <w:rFonts w:eastAsia="Times New Roman" w:cstheme="minorHAnsi"/>
          <w:lang w:eastAsia="cs-CZ"/>
        </w:rPr>
        <w:t>sušárn</w:t>
      </w:r>
      <w:r>
        <w:rPr>
          <w:rFonts w:eastAsia="Times New Roman" w:cstheme="minorHAnsi"/>
          <w:lang w:eastAsia="cs-CZ"/>
        </w:rPr>
        <w:t xml:space="preserve">y a </w:t>
      </w:r>
      <w:r w:rsidRPr="000669ED">
        <w:rPr>
          <w:rFonts w:eastAsia="Times New Roman" w:cstheme="minorHAnsi"/>
          <w:lang w:eastAsia="cs-CZ"/>
        </w:rPr>
        <w:t>kovové stacionární regály</w:t>
      </w:r>
      <w:r>
        <w:rPr>
          <w:rFonts w:eastAsia="Times New Roman" w:cstheme="minorHAnsi"/>
          <w:lang w:eastAsia="cs-CZ"/>
        </w:rPr>
        <w:t>.</w:t>
      </w:r>
      <w:r w:rsidRPr="00A74DA5">
        <w:rPr>
          <w:rFonts w:eastAsia="Times New Roman" w:cstheme="minorHAnsi"/>
          <w:lang w:eastAsia="cs-CZ"/>
        </w:rPr>
        <w:t xml:space="preserve"> Finanční prostředky byly čerpány na </w:t>
      </w:r>
      <w:r>
        <w:rPr>
          <w:rFonts w:eastAsia="Times New Roman" w:cstheme="minorHAnsi"/>
          <w:lang w:eastAsia="cs-CZ"/>
        </w:rPr>
        <w:t>100,0</w:t>
      </w:r>
      <w:r w:rsidRPr="00A74DA5">
        <w:rPr>
          <w:rFonts w:eastAsia="Times New Roman" w:cstheme="minorHAnsi"/>
          <w:lang w:eastAsia="cs-CZ"/>
        </w:rPr>
        <w:t xml:space="preserve"> %.</w:t>
      </w:r>
    </w:p>
    <w:p w14:paraId="1EDBC2B8" w14:textId="77777777" w:rsidR="00ED51F3" w:rsidRDefault="00ED51F3" w:rsidP="00ED51F3">
      <w:pPr>
        <w:spacing w:after="0" w:line="240" w:lineRule="auto"/>
        <w:jc w:val="both"/>
        <w:rPr>
          <w:rFonts w:eastAsia="Times New Roman" w:cstheme="minorHAnsi"/>
          <w:b/>
          <w:bCs/>
          <w:lang w:eastAsia="cs-CZ"/>
        </w:rPr>
      </w:pPr>
    </w:p>
    <w:p w14:paraId="6FC9BEF8" w14:textId="77777777" w:rsidR="00ED51F3" w:rsidRPr="004A198D" w:rsidRDefault="00ED51F3" w:rsidP="00ED51F3">
      <w:pPr>
        <w:spacing w:after="0" w:line="240" w:lineRule="auto"/>
        <w:jc w:val="both"/>
        <w:rPr>
          <w:rFonts w:eastAsia="Times New Roman" w:cstheme="minorHAnsi"/>
          <w:b/>
          <w:bCs/>
          <w:lang w:eastAsia="cs-CZ"/>
        </w:rPr>
      </w:pPr>
      <w:r w:rsidRPr="004A198D">
        <w:rPr>
          <w:rFonts w:eastAsia="Times New Roman" w:cstheme="minorHAnsi"/>
          <w:b/>
          <w:bCs/>
          <w:lang w:eastAsia="cs-CZ"/>
        </w:rPr>
        <w:t>§ 3314 – Veřejné informační služby knihoven – INV (UZ 34544)</w:t>
      </w:r>
    </w:p>
    <w:p w14:paraId="29B01DCA" w14:textId="77777777" w:rsidR="00ED51F3" w:rsidRPr="00860CF0" w:rsidRDefault="00ED51F3" w:rsidP="00ED51F3">
      <w:pPr>
        <w:spacing w:after="0" w:line="240" w:lineRule="auto"/>
        <w:jc w:val="both"/>
        <w:rPr>
          <w:rFonts w:eastAsia="Times New Roman" w:cstheme="minorHAnsi"/>
          <w:lang w:eastAsia="cs-CZ"/>
        </w:rPr>
      </w:pPr>
      <w:r w:rsidRPr="00860CF0">
        <w:rPr>
          <w:rFonts w:eastAsia="Times New Roman" w:cstheme="minorHAnsi"/>
          <w:lang w:eastAsia="cs-CZ"/>
        </w:rPr>
        <w:t>Investiční účelová dotace z programu Veřejné informační služby knihoven – podprogram VISK</w:t>
      </w:r>
      <w:r>
        <w:rPr>
          <w:rFonts w:eastAsia="Times New Roman" w:cstheme="minorHAnsi"/>
          <w:lang w:eastAsia="cs-CZ"/>
        </w:rPr>
        <w:t xml:space="preserve"> II</w:t>
      </w:r>
      <w:r w:rsidRPr="00860CF0">
        <w:rPr>
          <w:rFonts w:eastAsia="Times New Roman" w:cstheme="minorHAnsi"/>
          <w:lang w:eastAsia="cs-CZ"/>
        </w:rPr>
        <w:t xml:space="preserve"> 3 na rok 202</w:t>
      </w:r>
      <w:r>
        <w:rPr>
          <w:rFonts w:eastAsia="Times New Roman" w:cstheme="minorHAnsi"/>
          <w:lang w:eastAsia="cs-CZ"/>
        </w:rPr>
        <w:t>1</w:t>
      </w:r>
      <w:r w:rsidRPr="00860CF0">
        <w:rPr>
          <w:rFonts w:eastAsia="Times New Roman" w:cstheme="minorHAnsi"/>
          <w:lang w:eastAsia="cs-CZ"/>
        </w:rPr>
        <w:t xml:space="preserve"> Ministerstva kultury ČR určená na základě rozhodnutí ve výši </w:t>
      </w:r>
      <w:r>
        <w:rPr>
          <w:rFonts w:eastAsia="Times New Roman" w:cstheme="minorHAnsi"/>
          <w:lang w:eastAsia="cs-CZ"/>
        </w:rPr>
        <w:t>605</w:t>
      </w:r>
      <w:r w:rsidRPr="00860CF0">
        <w:rPr>
          <w:rFonts w:eastAsia="Times New Roman" w:cstheme="minorHAnsi"/>
          <w:lang w:eastAsia="cs-CZ"/>
        </w:rPr>
        <w:t xml:space="preserve"> 000,00 Kč na </w:t>
      </w:r>
      <w:r>
        <w:rPr>
          <w:rFonts w:eastAsia="Times New Roman" w:cstheme="minorHAnsi"/>
          <w:lang w:eastAsia="cs-CZ"/>
        </w:rPr>
        <w:t>čtvrtou</w:t>
      </w:r>
      <w:r w:rsidRPr="00860CF0">
        <w:rPr>
          <w:rFonts w:eastAsia="Times New Roman" w:cstheme="minorHAnsi"/>
          <w:lang w:eastAsia="cs-CZ"/>
        </w:rPr>
        <w:t xml:space="preserve"> etapu zavedení RFID technologie</w:t>
      </w:r>
      <w:r>
        <w:rPr>
          <w:rFonts w:eastAsia="Times New Roman" w:cstheme="minorHAnsi"/>
          <w:lang w:eastAsia="cs-CZ"/>
        </w:rPr>
        <w:t xml:space="preserve"> a na p</w:t>
      </w:r>
      <w:r w:rsidRPr="004A198D">
        <w:rPr>
          <w:rFonts w:eastAsia="Times New Roman" w:cstheme="minorHAnsi"/>
          <w:lang w:eastAsia="cs-CZ"/>
        </w:rPr>
        <w:t xml:space="preserve">ořízení serveru </w:t>
      </w:r>
      <w:r w:rsidRPr="00860CF0">
        <w:rPr>
          <w:rFonts w:eastAsia="Times New Roman" w:cstheme="minorHAnsi"/>
          <w:lang w:eastAsia="cs-CZ"/>
        </w:rPr>
        <w:t xml:space="preserve">pod účelovým znakem 34544. Účelové prostředky byly poskytnuty Středočeské vědecké knihovně v Kladně a byly čerpány na </w:t>
      </w:r>
      <w:r>
        <w:rPr>
          <w:rFonts w:eastAsia="Times New Roman" w:cstheme="minorHAnsi"/>
          <w:lang w:eastAsia="cs-CZ"/>
        </w:rPr>
        <w:t>16</w:t>
      </w:r>
      <w:r w:rsidRPr="00860CF0">
        <w:rPr>
          <w:rFonts w:eastAsia="Times New Roman" w:cstheme="minorHAnsi"/>
          <w:lang w:eastAsia="cs-CZ"/>
        </w:rPr>
        <w:t>,</w:t>
      </w:r>
      <w:r>
        <w:rPr>
          <w:rFonts w:eastAsia="Times New Roman" w:cstheme="minorHAnsi"/>
          <w:lang w:eastAsia="cs-CZ"/>
        </w:rPr>
        <w:t>4</w:t>
      </w:r>
      <w:r w:rsidRPr="00860CF0">
        <w:rPr>
          <w:rFonts w:eastAsia="Times New Roman" w:cstheme="minorHAnsi"/>
          <w:lang w:eastAsia="cs-CZ"/>
        </w:rPr>
        <w:t xml:space="preserve"> %.</w:t>
      </w:r>
      <w:r>
        <w:rPr>
          <w:rFonts w:eastAsia="Times New Roman" w:cstheme="minorHAnsi"/>
          <w:lang w:eastAsia="cs-CZ"/>
        </w:rPr>
        <w:t xml:space="preserve"> Pořízení serveru se nepodařilo zrealizovat a dotace ve výši 506 000,00 Kč byla vrácena zpět poskytovateli.</w:t>
      </w:r>
    </w:p>
    <w:p w14:paraId="6473A539" w14:textId="77777777" w:rsidR="00ED51F3" w:rsidRDefault="00ED51F3" w:rsidP="00ED51F3">
      <w:pPr>
        <w:spacing w:after="0" w:line="240" w:lineRule="auto"/>
        <w:jc w:val="both"/>
        <w:rPr>
          <w:rFonts w:eastAsia="Times New Roman" w:cstheme="minorHAnsi"/>
          <w:b/>
          <w:lang w:eastAsia="cs-CZ"/>
        </w:rPr>
      </w:pPr>
    </w:p>
    <w:p w14:paraId="4396698D" w14:textId="77777777" w:rsidR="00ED51F3" w:rsidRPr="0082664B" w:rsidRDefault="00ED51F3" w:rsidP="00ED51F3">
      <w:pPr>
        <w:spacing w:after="0" w:line="240" w:lineRule="auto"/>
        <w:jc w:val="both"/>
        <w:rPr>
          <w:rFonts w:eastAsia="Times New Roman" w:cstheme="minorHAnsi"/>
          <w:b/>
          <w:lang w:eastAsia="cs-CZ"/>
        </w:rPr>
      </w:pPr>
      <w:r w:rsidRPr="0082664B">
        <w:rPr>
          <w:rFonts w:eastAsia="Times New Roman" w:cstheme="minorHAnsi"/>
          <w:b/>
          <w:lang w:eastAsia="cs-CZ"/>
        </w:rPr>
        <w:t>§ 331</w:t>
      </w:r>
      <w:r>
        <w:rPr>
          <w:rFonts w:eastAsia="Times New Roman" w:cstheme="minorHAnsi"/>
          <w:b/>
          <w:lang w:eastAsia="cs-CZ"/>
        </w:rPr>
        <w:t>5</w:t>
      </w:r>
      <w:r w:rsidRPr="0082664B">
        <w:rPr>
          <w:rFonts w:eastAsia="Times New Roman" w:cstheme="minorHAnsi"/>
          <w:b/>
          <w:lang w:eastAsia="cs-CZ"/>
        </w:rPr>
        <w:t xml:space="preserve"> – </w:t>
      </w:r>
      <w:r>
        <w:rPr>
          <w:rFonts w:eastAsia="Times New Roman" w:cstheme="minorHAnsi"/>
          <w:b/>
          <w:lang w:eastAsia="cs-CZ"/>
        </w:rPr>
        <w:t>Muzeum Českého krasu</w:t>
      </w:r>
      <w:r w:rsidRPr="0082664B">
        <w:rPr>
          <w:rFonts w:eastAsia="Times New Roman" w:cstheme="minorHAnsi"/>
          <w:b/>
          <w:lang w:eastAsia="cs-CZ"/>
        </w:rPr>
        <w:t xml:space="preserve"> – IROP </w:t>
      </w:r>
      <w:r>
        <w:rPr>
          <w:rFonts w:eastAsia="Times New Roman" w:cstheme="minorHAnsi"/>
          <w:b/>
          <w:lang w:eastAsia="cs-CZ"/>
        </w:rPr>
        <w:t>(</w:t>
      </w:r>
      <w:r w:rsidRPr="0082664B">
        <w:rPr>
          <w:rFonts w:eastAsia="Times New Roman" w:cstheme="minorHAnsi"/>
          <w:b/>
          <w:lang w:eastAsia="cs-CZ"/>
        </w:rPr>
        <w:t>UZ 17</w:t>
      </w:r>
      <w:r>
        <w:rPr>
          <w:rFonts w:eastAsia="Times New Roman" w:cstheme="minorHAnsi"/>
          <w:b/>
          <w:lang w:eastAsia="cs-CZ"/>
        </w:rPr>
        <w:t>015</w:t>
      </w:r>
      <w:r w:rsidRPr="0082664B">
        <w:rPr>
          <w:rFonts w:eastAsia="Times New Roman" w:cstheme="minorHAnsi"/>
          <w:b/>
          <w:lang w:eastAsia="cs-CZ"/>
        </w:rPr>
        <w:t>, 17</w:t>
      </w:r>
      <w:r>
        <w:rPr>
          <w:rFonts w:eastAsia="Times New Roman" w:cstheme="minorHAnsi"/>
          <w:b/>
          <w:lang w:eastAsia="cs-CZ"/>
        </w:rPr>
        <w:t>016)</w:t>
      </w:r>
    </w:p>
    <w:p w14:paraId="7C5C2AFF" w14:textId="77777777" w:rsidR="00ED51F3" w:rsidRPr="0014216F" w:rsidRDefault="00ED51F3" w:rsidP="00ED51F3">
      <w:pPr>
        <w:spacing w:after="0" w:line="240" w:lineRule="auto"/>
        <w:jc w:val="both"/>
        <w:rPr>
          <w:rFonts w:eastAsia="Times New Roman" w:cstheme="minorHAnsi"/>
          <w:lang w:eastAsia="cs-CZ"/>
        </w:rPr>
      </w:pPr>
      <w:r w:rsidRPr="0082664B">
        <w:rPr>
          <w:rFonts w:eastAsia="Times New Roman" w:cstheme="minorHAnsi"/>
          <w:lang w:eastAsia="cs-CZ"/>
        </w:rPr>
        <w:t>Účelová</w:t>
      </w:r>
      <w:r>
        <w:rPr>
          <w:rFonts w:eastAsia="Times New Roman" w:cstheme="minorHAnsi"/>
          <w:lang w:eastAsia="cs-CZ"/>
        </w:rPr>
        <w:t xml:space="preserve"> neinvestiční</w:t>
      </w:r>
      <w:r w:rsidRPr="0082664B">
        <w:rPr>
          <w:rFonts w:eastAsia="Times New Roman" w:cstheme="minorHAnsi"/>
          <w:lang w:eastAsia="cs-CZ"/>
        </w:rPr>
        <w:t xml:space="preserve"> dotace Ministerstva pro místní rozvoj ČR ve výši </w:t>
      </w:r>
      <w:r>
        <w:rPr>
          <w:rFonts w:eastAsia="Times New Roman" w:cstheme="minorHAnsi"/>
          <w:lang w:eastAsia="cs-CZ"/>
        </w:rPr>
        <w:t xml:space="preserve">352 472,89 </w:t>
      </w:r>
      <w:r w:rsidRPr="0082664B">
        <w:rPr>
          <w:rFonts w:eastAsia="Times New Roman" w:cstheme="minorHAnsi"/>
          <w:lang w:eastAsia="cs-CZ"/>
        </w:rPr>
        <w:t xml:space="preserve">Kč. Usnesením </w:t>
      </w:r>
      <w:r w:rsidRPr="0082664B">
        <w:rPr>
          <w:rFonts w:eastAsia="Times New Roman" w:cstheme="minorHAnsi"/>
          <w:lang w:eastAsia="cs-CZ"/>
        </w:rPr>
        <w:br/>
        <w:t xml:space="preserve">č. </w:t>
      </w:r>
      <w:r w:rsidRPr="006E3B38">
        <w:rPr>
          <w:rFonts w:eastAsia="Times New Roman" w:cstheme="minorHAnsi"/>
          <w:lang w:eastAsia="cs-CZ"/>
        </w:rPr>
        <w:t>029-38/2021/RK ze dne 7.10.2021</w:t>
      </w:r>
      <w:r w:rsidRPr="0082664B">
        <w:rPr>
          <w:rFonts w:eastAsia="Times New Roman" w:cstheme="minorHAnsi"/>
          <w:lang w:eastAsia="cs-CZ"/>
        </w:rPr>
        <w:t xml:space="preserve"> byl schválen převod těchto finančních prostředků příjemci dotace </w:t>
      </w:r>
      <w:r>
        <w:rPr>
          <w:rFonts w:eastAsia="Times New Roman" w:cstheme="minorHAnsi"/>
          <w:lang w:eastAsia="cs-CZ"/>
        </w:rPr>
        <w:t>– příspěvkové</w:t>
      </w:r>
      <w:r w:rsidRPr="0082664B">
        <w:rPr>
          <w:rFonts w:eastAsia="Times New Roman" w:cstheme="minorHAnsi"/>
          <w:lang w:eastAsia="cs-CZ"/>
        </w:rPr>
        <w:t xml:space="preserve"> organizaci </w:t>
      </w:r>
      <w:r>
        <w:rPr>
          <w:rFonts w:eastAsia="Times New Roman" w:cstheme="minorHAnsi"/>
          <w:lang w:eastAsia="cs-CZ"/>
        </w:rPr>
        <w:t>Muzeu Českého krasu</w:t>
      </w:r>
      <w:r w:rsidRPr="0082664B">
        <w:rPr>
          <w:rFonts w:eastAsia="Times New Roman" w:cstheme="minorHAnsi"/>
          <w:lang w:eastAsia="cs-CZ"/>
        </w:rPr>
        <w:t xml:space="preserve"> na projekt s názvem „</w:t>
      </w:r>
      <w:r w:rsidRPr="006E3B38">
        <w:rPr>
          <w:rFonts w:eastAsia="Times New Roman" w:cstheme="minorHAnsi"/>
          <w:lang w:eastAsia="cs-CZ"/>
        </w:rPr>
        <w:t>Centrální depozitář – zajištění efektivní ochrany, správy a zpřístupnění sbírkového fondu muzea Českého krasu</w:t>
      </w:r>
      <w:r w:rsidRPr="0082664B">
        <w:rPr>
          <w:rFonts w:eastAsia="Times New Roman" w:cstheme="minorHAnsi"/>
          <w:lang w:eastAsia="cs-CZ"/>
        </w:rPr>
        <w:t>“. Registrační číslo projektu je CZ.06.3.33/0.0/0.0/ 17_099/0007610. Finanční prostředky byly čerpány na 100,0 %.</w:t>
      </w:r>
    </w:p>
    <w:p w14:paraId="76EA849A" w14:textId="77777777" w:rsidR="00ED51F3" w:rsidRPr="0082664B" w:rsidRDefault="00ED51F3" w:rsidP="00ED51F3">
      <w:pPr>
        <w:spacing w:after="0" w:line="240" w:lineRule="auto"/>
        <w:jc w:val="both"/>
        <w:rPr>
          <w:rFonts w:eastAsia="Times New Roman" w:cstheme="minorHAnsi"/>
          <w:b/>
          <w:lang w:eastAsia="cs-CZ"/>
        </w:rPr>
      </w:pPr>
    </w:p>
    <w:p w14:paraId="1DEDED7A" w14:textId="77777777" w:rsidR="00ED51F3" w:rsidRPr="0082664B" w:rsidRDefault="00ED51F3" w:rsidP="00ED51F3">
      <w:pPr>
        <w:spacing w:after="0" w:line="240" w:lineRule="auto"/>
        <w:jc w:val="both"/>
        <w:rPr>
          <w:rFonts w:eastAsia="Times New Roman" w:cstheme="minorHAnsi"/>
          <w:b/>
          <w:lang w:eastAsia="cs-CZ"/>
        </w:rPr>
      </w:pPr>
      <w:bookmarkStart w:id="34" w:name="_Hlk97057128"/>
      <w:r w:rsidRPr="0082664B">
        <w:rPr>
          <w:rFonts w:eastAsia="Times New Roman" w:cstheme="minorHAnsi"/>
          <w:b/>
          <w:lang w:eastAsia="cs-CZ"/>
        </w:rPr>
        <w:t>§ 331</w:t>
      </w:r>
      <w:r>
        <w:rPr>
          <w:rFonts w:eastAsia="Times New Roman" w:cstheme="minorHAnsi"/>
          <w:b/>
          <w:lang w:eastAsia="cs-CZ"/>
        </w:rPr>
        <w:t>5</w:t>
      </w:r>
      <w:r w:rsidRPr="0082664B">
        <w:rPr>
          <w:rFonts w:eastAsia="Times New Roman" w:cstheme="minorHAnsi"/>
          <w:b/>
          <w:lang w:eastAsia="cs-CZ"/>
        </w:rPr>
        <w:t xml:space="preserve"> – </w:t>
      </w:r>
      <w:r>
        <w:rPr>
          <w:rFonts w:eastAsia="Times New Roman" w:cstheme="minorHAnsi"/>
          <w:b/>
          <w:lang w:eastAsia="cs-CZ"/>
        </w:rPr>
        <w:t>Muzeum Českého krasu</w:t>
      </w:r>
      <w:r w:rsidRPr="0082664B">
        <w:rPr>
          <w:rFonts w:eastAsia="Times New Roman" w:cstheme="minorHAnsi"/>
          <w:b/>
          <w:lang w:eastAsia="cs-CZ"/>
        </w:rPr>
        <w:t xml:space="preserve"> – IROP </w:t>
      </w:r>
      <w:r>
        <w:rPr>
          <w:rFonts w:eastAsia="Times New Roman" w:cstheme="minorHAnsi"/>
          <w:b/>
          <w:lang w:eastAsia="cs-CZ"/>
        </w:rPr>
        <w:t>(</w:t>
      </w:r>
      <w:r w:rsidRPr="0082664B">
        <w:rPr>
          <w:rFonts w:eastAsia="Times New Roman" w:cstheme="minorHAnsi"/>
          <w:b/>
          <w:lang w:eastAsia="cs-CZ"/>
        </w:rPr>
        <w:t>UZ 17968, 17969</w:t>
      </w:r>
      <w:r>
        <w:rPr>
          <w:rFonts w:eastAsia="Times New Roman" w:cstheme="minorHAnsi"/>
          <w:b/>
          <w:lang w:eastAsia="cs-CZ"/>
        </w:rPr>
        <w:t>)</w:t>
      </w:r>
    </w:p>
    <w:p w14:paraId="4BBC1997" w14:textId="77777777" w:rsidR="00ED51F3" w:rsidRDefault="00ED51F3" w:rsidP="00ED51F3">
      <w:pPr>
        <w:spacing w:after="0" w:line="240" w:lineRule="auto"/>
        <w:jc w:val="both"/>
        <w:rPr>
          <w:rFonts w:eastAsia="Times New Roman" w:cstheme="minorHAnsi"/>
          <w:lang w:eastAsia="cs-CZ"/>
        </w:rPr>
      </w:pPr>
      <w:r w:rsidRPr="0082664B">
        <w:rPr>
          <w:rFonts w:eastAsia="Times New Roman" w:cstheme="minorHAnsi"/>
          <w:lang w:eastAsia="cs-CZ"/>
        </w:rPr>
        <w:t>Účelová</w:t>
      </w:r>
      <w:r>
        <w:rPr>
          <w:rFonts w:eastAsia="Times New Roman" w:cstheme="minorHAnsi"/>
          <w:lang w:eastAsia="cs-CZ"/>
        </w:rPr>
        <w:t xml:space="preserve"> investiční</w:t>
      </w:r>
      <w:r w:rsidRPr="0082664B">
        <w:rPr>
          <w:rFonts w:eastAsia="Times New Roman" w:cstheme="minorHAnsi"/>
          <w:lang w:eastAsia="cs-CZ"/>
        </w:rPr>
        <w:t xml:space="preserve"> dotace Ministerstva pro místní rozvoj ČR ve výši </w:t>
      </w:r>
      <w:r>
        <w:rPr>
          <w:rFonts w:eastAsia="Times New Roman" w:cstheme="minorHAnsi"/>
          <w:lang w:eastAsia="cs-CZ"/>
        </w:rPr>
        <w:t xml:space="preserve">24 614 457,75 </w:t>
      </w:r>
      <w:r w:rsidRPr="0082664B">
        <w:rPr>
          <w:rFonts w:eastAsia="Times New Roman" w:cstheme="minorHAnsi"/>
          <w:lang w:eastAsia="cs-CZ"/>
        </w:rPr>
        <w:t xml:space="preserve">Kč. Usnesením </w:t>
      </w:r>
      <w:r w:rsidRPr="0082664B">
        <w:rPr>
          <w:rFonts w:eastAsia="Times New Roman" w:cstheme="minorHAnsi"/>
          <w:lang w:eastAsia="cs-CZ"/>
        </w:rPr>
        <w:br/>
        <w:t xml:space="preserve">č. </w:t>
      </w:r>
      <w:r w:rsidRPr="006E3B38">
        <w:rPr>
          <w:rFonts w:eastAsia="Times New Roman" w:cstheme="minorHAnsi"/>
          <w:lang w:eastAsia="cs-CZ"/>
        </w:rPr>
        <w:t>029-38/2021/RK ze dne 7.10.2021</w:t>
      </w:r>
      <w:r w:rsidRPr="0082664B">
        <w:rPr>
          <w:rFonts w:eastAsia="Times New Roman" w:cstheme="minorHAnsi"/>
          <w:lang w:eastAsia="cs-CZ"/>
        </w:rPr>
        <w:t xml:space="preserve"> byl schválen převod těchto finančních prostředků příjemci dotace </w:t>
      </w:r>
      <w:r>
        <w:rPr>
          <w:rFonts w:eastAsia="Times New Roman" w:cstheme="minorHAnsi"/>
          <w:lang w:eastAsia="cs-CZ"/>
        </w:rPr>
        <w:t>– příspěvkové</w:t>
      </w:r>
      <w:r w:rsidRPr="0082664B">
        <w:rPr>
          <w:rFonts w:eastAsia="Times New Roman" w:cstheme="minorHAnsi"/>
          <w:lang w:eastAsia="cs-CZ"/>
        </w:rPr>
        <w:t xml:space="preserve"> organizaci </w:t>
      </w:r>
      <w:r>
        <w:rPr>
          <w:rFonts w:eastAsia="Times New Roman" w:cstheme="minorHAnsi"/>
          <w:lang w:eastAsia="cs-CZ"/>
        </w:rPr>
        <w:t>Muzeu Českého krasu</w:t>
      </w:r>
      <w:r w:rsidRPr="0082664B">
        <w:rPr>
          <w:rFonts w:eastAsia="Times New Roman" w:cstheme="minorHAnsi"/>
          <w:lang w:eastAsia="cs-CZ"/>
        </w:rPr>
        <w:t xml:space="preserve"> na projekt s názvem „</w:t>
      </w:r>
      <w:r w:rsidRPr="006E3B38">
        <w:rPr>
          <w:rFonts w:eastAsia="Times New Roman" w:cstheme="minorHAnsi"/>
          <w:lang w:eastAsia="cs-CZ"/>
        </w:rPr>
        <w:t>Centrální depozitář – zajištění efektivní ochrany, správy a zpřístupnění sbírkového fondu muzea Českého krasu</w:t>
      </w:r>
      <w:r w:rsidRPr="0082664B">
        <w:rPr>
          <w:rFonts w:eastAsia="Times New Roman" w:cstheme="minorHAnsi"/>
          <w:lang w:eastAsia="cs-CZ"/>
        </w:rPr>
        <w:t>“. Registrační číslo projektu je CZ.06.3.33/0.0/0.0/ 17_099/0007610. Finanční prostředky byly čerpány na 100,0 %.</w:t>
      </w:r>
    </w:p>
    <w:bookmarkEnd w:id="34"/>
    <w:p w14:paraId="0A2E9F82" w14:textId="77777777" w:rsidR="00ED51F3" w:rsidRDefault="00ED51F3" w:rsidP="00ED51F3">
      <w:pPr>
        <w:spacing w:after="0" w:line="240" w:lineRule="auto"/>
        <w:jc w:val="both"/>
        <w:rPr>
          <w:rFonts w:eastAsia="Times New Roman" w:cstheme="minorHAnsi"/>
          <w:b/>
          <w:lang w:eastAsia="cs-CZ"/>
        </w:rPr>
      </w:pPr>
    </w:p>
    <w:p w14:paraId="39A9F60D" w14:textId="52A96EDF" w:rsidR="00ED51F3" w:rsidRPr="0082664B" w:rsidRDefault="00ED51F3" w:rsidP="00ED51F3">
      <w:pPr>
        <w:spacing w:after="0" w:line="240" w:lineRule="auto"/>
        <w:jc w:val="both"/>
        <w:rPr>
          <w:rFonts w:eastAsia="Times New Roman" w:cstheme="minorHAnsi"/>
          <w:b/>
          <w:lang w:eastAsia="cs-CZ"/>
        </w:rPr>
      </w:pPr>
      <w:r w:rsidRPr="0082664B">
        <w:rPr>
          <w:rFonts w:eastAsia="Times New Roman" w:cstheme="minorHAnsi"/>
          <w:b/>
          <w:lang w:eastAsia="cs-CZ"/>
        </w:rPr>
        <w:t>§ 331</w:t>
      </w:r>
      <w:r>
        <w:rPr>
          <w:rFonts w:eastAsia="Times New Roman" w:cstheme="minorHAnsi"/>
          <w:b/>
          <w:lang w:eastAsia="cs-CZ"/>
        </w:rPr>
        <w:t>4</w:t>
      </w:r>
      <w:r w:rsidRPr="0082664B">
        <w:rPr>
          <w:rFonts w:eastAsia="Times New Roman" w:cstheme="minorHAnsi"/>
          <w:b/>
          <w:lang w:eastAsia="cs-CZ"/>
        </w:rPr>
        <w:t xml:space="preserve"> – </w:t>
      </w:r>
      <w:r>
        <w:rPr>
          <w:rFonts w:eastAsia="Times New Roman" w:cstheme="minorHAnsi"/>
          <w:b/>
          <w:lang w:eastAsia="cs-CZ"/>
        </w:rPr>
        <w:t>Centrální depozitář S</w:t>
      </w:r>
      <w:r w:rsidR="008E0636">
        <w:rPr>
          <w:rFonts w:eastAsia="Times New Roman" w:cstheme="minorHAnsi"/>
          <w:b/>
          <w:lang w:eastAsia="cs-CZ"/>
        </w:rPr>
        <w:t>tředočeské vědecké knihovny</w:t>
      </w:r>
      <w:r>
        <w:rPr>
          <w:rFonts w:eastAsia="Times New Roman" w:cstheme="minorHAnsi"/>
          <w:b/>
          <w:lang w:eastAsia="cs-CZ"/>
        </w:rPr>
        <w:t xml:space="preserve"> v Kladně</w:t>
      </w:r>
      <w:r w:rsidRPr="0082664B">
        <w:rPr>
          <w:rFonts w:eastAsia="Times New Roman" w:cstheme="minorHAnsi"/>
          <w:b/>
          <w:lang w:eastAsia="cs-CZ"/>
        </w:rPr>
        <w:t xml:space="preserve"> – IROP </w:t>
      </w:r>
      <w:r>
        <w:rPr>
          <w:rFonts w:eastAsia="Times New Roman" w:cstheme="minorHAnsi"/>
          <w:b/>
          <w:lang w:eastAsia="cs-CZ"/>
        </w:rPr>
        <w:t>(</w:t>
      </w:r>
      <w:r w:rsidRPr="0082664B">
        <w:rPr>
          <w:rFonts w:eastAsia="Times New Roman" w:cstheme="minorHAnsi"/>
          <w:b/>
          <w:lang w:eastAsia="cs-CZ"/>
        </w:rPr>
        <w:t>UZ 17968, 17969</w:t>
      </w:r>
      <w:r>
        <w:rPr>
          <w:rFonts w:eastAsia="Times New Roman" w:cstheme="minorHAnsi"/>
          <w:b/>
          <w:lang w:eastAsia="cs-CZ"/>
        </w:rPr>
        <w:t>)</w:t>
      </w:r>
    </w:p>
    <w:p w14:paraId="48511090" w14:textId="77777777" w:rsidR="00ED51F3" w:rsidRDefault="00ED51F3" w:rsidP="00ED51F3">
      <w:pPr>
        <w:spacing w:after="0" w:line="240" w:lineRule="auto"/>
        <w:jc w:val="both"/>
        <w:rPr>
          <w:rFonts w:eastAsia="Times New Roman" w:cstheme="minorHAnsi"/>
          <w:lang w:eastAsia="cs-CZ"/>
        </w:rPr>
      </w:pPr>
      <w:r w:rsidRPr="0082664B">
        <w:rPr>
          <w:rFonts w:eastAsia="Times New Roman" w:cstheme="minorHAnsi"/>
          <w:lang w:eastAsia="cs-CZ"/>
        </w:rPr>
        <w:t xml:space="preserve">Účelová dotace Ministerstva pro místní rozvoj ČR ve výši </w:t>
      </w:r>
      <w:r w:rsidRPr="008E49E5">
        <w:rPr>
          <w:rFonts w:eastAsia="Times New Roman" w:cstheme="minorHAnsi"/>
          <w:lang w:eastAsia="cs-CZ"/>
        </w:rPr>
        <w:t>39</w:t>
      </w:r>
      <w:r>
        <w:rPr>
          <w:rFonts w:eastAsia="Times New Roman" w:cstheme="minorHAnsi"/>
          <w:lang w:eastAsia="cs-CZ"/>
        </w:rPr>
        <w:t> </w:t>
      </w:r>
      <w:r w:rsidRPr="008E49E5">
        <w:rPr>
          <w:rFonts w:eastAsia="Times New Roman" w:cstheme="minorHAnsi"/>
          <w:lang w:eastAsia="cs-CZ"/>
        </w:rPr>
        <w:t>623</w:t>
      </w:r>
      <w:r>
        <w:rPr>
          <w:rFonts w:eastAsia="Times New Roman" w:cstheme="minorHAnsi"/>
          <w:lang w:eastAsia="cs-CZ"/>
        </w:rPr>
        <w:t xml:space="preserve"> </w:t>
      </w:r>
      <w:r w:rsidRPr="008E49E5">
        <w:rPr>
          <w:rFonts w:eastAsia="Times New Roman" w:cstheme="minorHAnsi"/>
          <w:lang w:eastAsia="cs-CZ"/>
        </w:rPr>
        <w:t>738,27</w:t>
      </w:r>
      <w:r>
        <w:rPr>
          <w:rFonts w:eastAsia="Times New Roman" w:cstheme="minorHAnsi"/>
          <w:lang w:eastAsia="cs-CZ"/>
        </w:rPr>
        <w:t xml:space="preserve"> </w:t>
      </w:r>
      <w:r w:rsidRPr="0082664B">
        <w:rPr>
          <w:rFonts w:eastAsia="Times New Roman" w:cstheme="minorHAnsi"/>
          <w:lang w:eastAsia="cs-CZ"/>
        </w:rPr>
        <w:t xml:space="preserve">Kč. Usnesením </w:t>
      </w:r>
      <w:r w:rsidRPr="0082664B">
        <w:rPr>
          <w:rFonts w:eastAsia="Times New Roman" w:cstheme="minorHAnsi"/>
          <w:lang w:eastAsia="cs-CZ"/>
        </w:rPr>
        <w:br/>
        <w:t xml:space="preserve">č. </w:t>
      </w:r>
      <w:r w:rsidRPr="000134F4">
        <w:rPr>
          <w:rFonts w:eastAsia="Times New Roman" w:cstheme="minorHAnsi"/>
          <w:lang w:eastAsia="cs-CZ"/>
        </w:rPr>
        <w:t xml:space="preserve">051-28/2021/RK ze dne 1.7.2021 </w:t>
      </w:r>
      <w:r w:rsidRPr="0082664B">
        <w:rPr>
          <w:rFonts w:eastAsia="Times New Roman" w:cstheme="minorHAnsi"/>
          <w:lang w:eastAsia="cs-CZ"/>
        </w:rPr>
        <w:t xml:space="preserve">byl schválen převod těchto finančních prostředků příjemci dotace </w:t>
      </w:r>
      <w:r>
        <w:rPr>
          <w:rFonts w:eastAsia="Times New Roman" w:cstheme="minorHAnsi"/>
          <w:lang w:eastAsia="cs-CZ"/>
        </w:rPr>
        <w:t>– příspěvkové</w:t>
      </w:r>
      <w:r w:rsidRPr="0082664B">
        <w:rPr>
          <w:rFonts w:eastAsia="Times New Roman" w:cstheme="minorHAnsi"/>
          <w:lang w:eastAsia="cs-CZ"/>
        </w:rPr>
        <w:t xml:space="preserve"> organizaci </w:t>
      </w:r>
      <w:r>
        <w:rPr>
          <w:rFonts w:eastAsia="Times New Roman" w:cstheme="minorHAnsi"/>
          <w:lang w:eastAsia="cs-CZ"/>
        </w:rPr>
        <w:t>Středočeské vědecké knihovně v Kladně</w:t>
      </w:r>
      <w:r w:rsidRPr="0082664B">
        <w:rPr>
          <w:rFonts w:eastAsia="Times New Roman" w:cstheme="minorHAnsi"/>
          <w:lang w:eastAsia="cs-CZ"/>
        </w:rPr>
        <w:t xml:space="preserve"> na projekt s názvem „</w:t>
      </w:r>
      <w:r w:rsidRPr="000134F4">
        <w:rPr>
          <w:rFonts w:eastAsia="Times New Roman" w:cstheme="minorHAnsi"/>
          <w:lang w:eastAsia="cs-CZ"/>
        </w:rPr>
        <w:t>Centrální depozitář – zajištění efektivní ochrany, správy a zpřístupnění knihovního fondu Středočeské vědecké knihovny v Kladně, p. o.“</w:t>
      </w:r>
      <w:r>
        <w:rPr>
          <w:rFonts w:eastAsia="Times New Roman" w:cstheme="minorHAnsi"/>
          <w:lang w:eastAsia="cs-CZ"/>
        </w:rPr>
        <w:t>. R</w:t>
      </w:r>
      <w:r w:rsidRPr="000134F4">
        <w:rPr>
          <w:rFonts w:eastAsia="Times New Roman" w:cstheme="minorHAnsi"/>
          <w:lang w:eastAsia="cs-CZ"/>
        </w:rPr>
        <w:t>egistrační číslo</w:t>
      </w:r>
      <w:r>
        <w:rPr>
          <w:rFonts w:eastAsia="Times New Roman" w:cstheme="minorHAnsi"/>
          <w:lang w:eastAsia="cs-CZ"/>
        </w:rPr>
        <w:t xml:space="preserve"> projektu je</w:t>
      </w:r>
      <w:r w:rsidRPr="000134F4">
        <w:rPr>
          <w:rFonts w:eastAsia="Times New Roman" w:cstheme="minorHAnsi"/>
          <w:lang w:eastAsia="cs-CZ"/>
        </w:rPr>
        <w:t xml:space="preserve"> CZ.06.3.33/0.0/0.0/16_027/0006439</w:t>
      </w:r>
      <w:r w:rsidRPr="0082664B">
        <w:rPr>
          <w:rFonts w:eastAsia="Times New Roman" w:cstheme="minorHAnsi"/>
          <w:lang w:eastAsia="cs-CZ"/>
        </w:rPr>
        <w:t>.</w:t>
      </w:r>
      <w:r>
        <w:rPr>
          <w:rFonts w:eastAsia="Times New Roman" w:cstheme="minorHAnsi"/>
          <w:lang w:eastAsia="cs-CZ"/>
        </w:rPr>
        <w:t xml:space="preserve"> </w:t>
      </w:r>
      <w:r w:rsidRPr="0082664B">
        <w:rPr>
          <w:rFonts w:eastAsia="Times New Roman" w:cstheme="minorHAnsi"/>
          <w:lang w:eastAsia="cs-CZ"/>
        </w:rPr>
        <w:t>Finanční prostředky byly čerpány na 100,0 %.</w:t>
      </w:r>
    </w:p>
    <w:p w14:paraId="68F534DC" w14:textId="77777777" w:rsidR="00ED51F3" w:rsidRDefault="00ED51F3" w:rsidP="00ED51F3">
      <w:pPr>
        <w:spacing w:after="0" w:line="240" w:lineRule="auto"/>
        <w:jc w:val="both"/>
        <w:rPr>
          <w:rFonts w:eastAsia="Times New Roman" w:cstheme="minorHAnsi"/>
          <w:b/>
          <w:lang w:eastAsia="cs-CZ"/>
        </w:rPr>
      </w:pPr>
    </w:p>
    <w:p w14:paraId="21F9BFE1" w14:textId="77777777" w:rsidR="00ED51F3" w:rsidRPr="0082664B" w:rsidRDefault="00ED51F3" w:rsidP="00ED51F3">
      <w:pPr>
        <w:spacing w:after="0" w:line="240" w:lineRule="auto"/>
        <w:jc w:val="both"/>
        <w:rPr>
          <w:rFonts w:eastAsia="Times New Roman" w:cstheme="minorHAnsi"/>
          <w:b/>
          <w:lang w:eastAsia="cs-CZ"/>
        </w:rPr>
      </w:pPr>
      <w:r w:rsidRPr="0082664B">
        <w:rPr>
          <w:rFonts w:eastAsia="Times New Roman" w:cstheme="minorHAnsi"/>
          <w:b/>
          <w:lang w:eastAsia="cs-CZ"/>
        </w:rPr>
        <w:t>§ 3315 –</w:t>
      </w:r>
      <w:r>
        <w:rPr>
          <w:rFonts w:eastAsia="Times New Roman" w:cstheme="minorHAnsi"/>
          <w:b/>
          <w:lang w:eastAsia="cs-CZ"/>
        </w:rPr>
        <w:t xml:space="preserve"> Vlastivědné muzeum Nymburk – rekonstrukce budovy </w:t>
      </w:r>
      <w:r w:rsidRPr="0082664B">
        <w:rPr>
          <w:rFonts w:eastAsia="Times New Roman" w:cstheme="minorHAnsi"/>
          <w:b/>
          <w:lang w:eastAsia="cs-CZ"/>
        </w:rPr>
        <w:t xml:space="preserve">– IROP </w:t>
      </w:r>
      <w:r>
        <w:rPr>
          <w:rFonts w:eastAsia="Times New Roman" w:cstheme="minorHAnsi"/>
          <w:b/>
          <w:lang w:eastAsia="cs-CZ"/>
        </w:rPr>
        <w:t>(</w:t>
      </w:r>
      <w:r w:rsidRPr="0082664B">
        <w:rPr>
          <w:rFonts w:eastAsia="Times New Roman" w:cstheme="minorHAnsi"/>
          <w:b/>
          <w:lang w:eastAsia="cs-CZ"/>
        </w:rPr>
        <w:t>UZ 17968, 17969</w:t>
      </w:r>
      <w:r>
        <w:rPr>
          <w:rFonts w:eastAsia="Times New Roman" w:cstheme="minorHAnsi"/>
          <w:b/>
          <w:lang w:eastAsia="cs-CZ"/>
        </w:rPr>
        <w:t>)</w:t>
      </w:r>
    </w:p>
    <w:p w14:paraId="0542DA0E" w14:textId="77777777" w:rsidR="00ED51F3" w:rsidRPr="008E49E5" w:rsidRDefault="00ED51F3" w:rsidP="00ED51F3">
      <w:pPr>
        <w:spacing w:after="0" w:line="240" w:lineRule="auto"/>
        <w:jc w:val="both"/>
        <w:rPr>
          <w:rFonts w:eastAsia="Times New Roman" w:cstheme="minorHAnsi"/>
          <w:lang w:eastAsia="cs-CZ"/>
        </w:rPr>
      </w:pPr>
      <w:r w:rsidRPr="0082664B">
        <w:rPr>
          <w:rFonts w:eastAsia="Times New Roman" w:cstheme="minorHAnsi"/>
          <w:lang w:eastAsia="cs-CZ"/>
        </w:rPr>
        <w:t xml:space="preserve">Účelová dotace Ministerstva pro místní rozvoj ČR ve výši </w:t>
      </w:r>
      <w:r w:rsidRPr="007F5B2E">
        <w:rPr>
          <w:rFonts w:eastAsia="Times New Roman" w:cstheme="minorHAnsi"/>
          <w:lang w:eastAsia="cs-CZ"/>
        </w:rPr>
        <w:t>4</w:t>
      </w:r>
      <w:r>
        <w:rPr>
          <w:rFonts w:eastAsia="Times New Roman" w:cstheme="minorHAnsi"/>
          <w:lang w:eastAsia="cs-CZ"/>
        </w:rPr>
        <w:t> </w:t>
      </w:r>
      <w:r w:rsidRPr="007F5B2E">
        <w:rPr>
          <w:rFonts w:eastAsia="Times New Roman" w:cstheme="minorHAnsi"/>
          <w:lang w:eastAsia="cs-CZ"/>
        </w:rPr>
        <w:t>096</w:t>
      </w:r>
      <w:r>
        <w:rPr>
          <w:rFonts w:eastAsia="Times New Roman" w:cstheme="minorHAnsi"/>
          <w:lang w:eastAsia="cs-CZ"/>
        </w:rPr>
        <w:t xml:space="preserve"> </w:t>
      </w:r>
      <w:r w:rsidRPr="007F5B2E">
        <w:rPr>
          <w:rFonts w:eastAsia="Times New Roman" w:cstheme="minorHAnsi"/>
          <w:lang w:eastAsia="cs-CZ"/>
        </w:rPr>
        <w:t>797,83</w:t>
      </w:r>
      <w:r>
        <w:rPr>
          <w:rFonts w:eastAsia="Times New Roman" w:cstheme="minorHAnsi"/>
          <w:lang w:eastAsia="cs-CZ"/>
        </w:rPr>
        <w:t xml:space="preserve"> </w:t>
      </w:r>
      <w:r w:rsidRPr="0082664B">
        <w:rPr>
          <w:rFonts w:eastAsia="Times New Roman" w:cstheme="minorHAnsi"/>
          <w:lang w:eastAsia="cs-CZ"/>
        </w:rPr>
        <w:t xml:space="preserve">Kč. Usnesením </w:t>
      </w:r>
      <w:r w:rsidRPr="0082664B">
        <w:rPr>
          <w:rFonts w:eastAsia="Times New Roman" w:cstheme="minorHAnsi"/>
          <w:lang w:eastAsia="cs-CZ"/>
        </w:rPr>
        <w:br/>
        <w:t xml:space="preserve">č. </w:t>
      </w:r>
      <w:r w:rsidRPr="00256C5C">
        <w:rPr>
          <w:rFonts w:eastAsia="Times New Roman" w:cstheme="minorHAnsi"/>
          <w:lang w:eastAsia="cs-CZ"/>
        </w:rPr>
        <w:t>020-36/2021/RK ze dne 23.9.2021</w:t>
      </w:r>
      <w:r w:rsidRPr="0082664B">
        <w:rPr>
          <w:rFonts w:eastAsia="Times New Roman" w:cstheme="minorHAnsi"/>
          <w:lang w:eastAsia="cs-CZ"/>
        </w:rPr>
        <w:t xml:space="preserve"> byl schválen převod těchto finančních prostředků příjemci dotace </w:t>
      </w:r>
      <w:r>
        <w:rPr>
          <w:rFonts w:eastAsia="Times New Roman" w:cstheme="minorHAnsi"/>
          <w:lang w:eastAsia="cs-CZ"/>
        </w:rPr>
        <w:t>– příspěvkové</w:t>
      </w:r>
      <w:r w:rsidRPr="0082664B">
        <w:rPr>
          <w:rFonts w:eastAsia="Times New Roman" w:cstheme="minorHAnsi"/>
          <w:lang w:eastAsia="cs-CZ"/>
        </w:rPr>
        <w:t xml:space="preserve"> organizaci</w:t>
      </w:r>
      <w:r>
        <w:rPr>
          <w:rFonts w:eastAsia="Times New Roman" w:cstheme="minorHAnsi"/>
          <w:lang w:eastAsia="cs-CZ"/>
        </w:rPr>
        <w:t xml:space="preserve"> Polabskému muzeum</w:t>
      </w:r>
      <w:r w:rsidRPr="0082664B">
        <w:rPr>
          <w:rFonts w:eastAsia="Times New Roman" w:cstheme="minorHAnsi"/>
          <w:lang w:eastAsia="cs-CZ"/>
        </w:rPr>
        <w:t xml:space="preserve"> na projekt s názvem „</w:t>
      </w:r>
      <w:r w:rsidRPr="00D416E2">
        <w:rPr>
          <w:rFonts w:eastAsia="Times New Roman" w:cstheme="minorHAnsi"/>
          <w:lang w:eastAsia="cs-CZ"/>
        </w:rPr>
        <w:t>Rekonstrukce budovy a expozic Vlastivědného muzea Nymburk</w:t>
      </w:r>
      <w:r w:rsidRPr="0082664B">
        <w:rPr>
          <w:rFonts w:eastAsia="Times New Roman" w:cstheme="minorHAnsi"/>
          <w:lang w:eastAsia="cs-CZ"/>
        </w:rPr>
        <w:t xml:space="preserve">“. Registrační číslo projektu je </w:t>
      </w:r>
      <w:r w:rsidRPr="00D416E2">
        <w:rPr>
          <w:rFonts w:eastAsia="Times New Roman" w:cstheme="minorHAnsi"/>
          <w:lang w:eastAsia="cs-CZ"/>
        </w:rPr>
        <w:t>CZ.06.3.33/0.0/0.0/17_099/0007930</w:t>
      </w:r>
      <w:r w:rsidRPr="0082664B">
        <w:rPr>
          <w:rFonts w:eastAsia="Times New Roman" w:cstheme="minorHAnsi"/>
          <w:lang w:eastAsia="cs-CZ"/>
        </w:rPr>
        <w:t>.</w:t>
      </w:r>
      <w:r>
        <w:rPr>
          <w:rFonts w:eastAsia="Times New Roman" w:cstheme="minorHAnsi"/>
          <w:lang w:eastAsia="cs-CZ"/>
        </w:rPr>
        <w:t xml:space="preserve"> </w:t>
      </w:r>
      <w:r w:rsidRPr="0082664B">
        <w:rPr>
          <w:rFonts w:eastAsia="Times New Roman" w:cstheme="minorHAnsi"/>
          <w:lang w:eastAsia="cs-CZ"/>
        </w:rPr>
        <w:t>Finanční prostředky byly čerpány na 100,0 %.</w:t>
      </w:r>
    </w:p>
    <w:p w14:paraId="70B41137" w14:textId="77777777" w:rsidR="00ED51F3" w:rsidRDefault="00ED51F3" w:rsidP="00ED51F3">
      <w:pPr>
        <w:spacing w:after="0" w:line="240" w:lineRule="auto"/>
        <w:jc w:val="both"/>
        <w:rPr>
          <w:rFonts w:eastAsia="Times New Roman" w:cstheme="minorHAnsi"/>
          <w:b/>
          <w:lang w:eastAsia="cs-CZ"/>
        </w:rPr>
      </w:pPr>
    </w:p>
    <w:p w14:paraId="47056BC8" w14:textId="77777777" w:rsidR="00ED51F3" w:rsidRPr="0082664B" w:rsidRDefault="00ED51F3" w:rsidP="00ED51F3">
      <w:pPr>
        <w:spacing w:after="0" w:line="240" w:lineRule="auto"/>
        <w:jc w:val="both"/>
        <w:rPr>
          <w:rFonts w:eastAsia="Times New Roman" w:cstheme="minorHAnsi"/>
          <w:b/>
          <w:lang w:eastAsia="cs-CZ"/>
        </w:rPr>
      </w:pPr>
      <w:r w:rsidRPr="0082664B">
        <w:rPr>
          <w:rFonts w:eastAsia="Times New Roman" w:cstheme="minorHAnsi"/>
          <w:b/>
          <w:lang w:eastAsia="cs-CZ"/>
        </w:rPr>
        <w:t xml:space="preserve">§ 3315 – Středočeské muzeum v Roztokách u Prahy – IROP </w:t>
      </w:r>
      <w:r>
        <w:rPr>
          <w:rFonts w:eastAsia="Times New Roman" w:cstheme="minorHAnsi"/>
          <w:b/>
          <w:lang w:eastAsia="cs-CZ"/>
        </w:rPr>
        <w:t>(</w:t>
      </w:r>
      <w:r w:rsidRPr="0082664B">
        <w:rPr>
          <w:rFonts w:eastAsia="Times New Roman" w:cstheme="minorHAnsi"/>
          <w:b/>
          <w:lang w:eastAsia="cs-CZ"/>
        </w:rPr>
        <w:t>UZ 17968, 17969</w:t>
      </w:r>
      <w:r>
        <w:rPr>
          <w:rFonts w:eastAsia="Times New Roman" w:cstheme="minorHAnsi"/>
          <w:b/>
          <w:lang w:eastAsia="cs-CZ"/>
        </w:rPr>
        <w:t>)</w:t>
      </w:r>
    </w:p>
    <w:p w14:paraId="3604BACA" w14:textId="77777777" w:rsidR="00ED51F3" w:rsidRDefault="00ED51F3" w:rsidP="00ED51F3">
      <w:pPr>
        <w:spacing w:after="0" w:line="240" w:lineRule="auto"/>
        <w:jc w:val="both"/>
        <w:rPr>
          <w:rFonts w:eastAsia="Times New Roman" w:cstheme="minorHAnsi"/>
          <w:lang w:eastAsia="cs-CZ"/>
        </w:rPr>
      </w:pPr>
      <w:r w:rsidRPr="0082664B">
        <w:rPr>
          <w:rFonts w:eastAsia="Times New Roman" w:cstheme="minorHAnsi"/>
          <w:lang w:eastAsia="cs-CZ"/>
        </w:rPr>
        <w:t xml:space="preserve">Účelová dotace Ministerstva pro místní rozvoj ČR ve výši </w:t>
      </w:r>
      <w:r>
        <w:rPr>
          <w:rFonts w:eastAsia="Times New Roman" w:cstheme="minorHAnsi"/>
          <w:lang w:eastAsia="cs-CZ"/>
        </w:rPr>
        <w:t xml:space="preserve">26 682 296,83 </w:t>
      </w:r>
      <w:r w:rsidRPr="0082664B">
        <w:rPr>
          <w:rFonts w:eastAsia="Times New Roman" w:cstheme="minorHAnsi"/>
          <w:lang w:eastAsia="cs-CZ"/>
        </w:rPr>
        <w:t xml:space="preserve">Kč. Usnesením </w:t>
      </w:r>
      <w:r w:rsidRPr="0082664B">
        <w:rPr>
          <w:rFonts w:eastAsia="Times New Roman" w:cstheme="minorHAnsi"/>
          <w:lang w:eastAsia="cs-CZ"/>
        </w:rPr>
        <w:br/>
        <w:t>č. 016-10/2021/RK ze dne 4. 3. 2021</w:t>
      </w:r>
      <w:r>
        <w:rPr>
          <w:rFonts w:eastAsia="Times New Roman" w:cstheme="minorHAnsi"/>
          <w:lang w:eastAsia="cs-CZ"/>
        </w:rPr>
        <w:t xml:space="preserve"> a č. </w:t>
      </w:r>
      <w:r w:rsidRPr="00916B29">
        <w:rPr>
          <w:rFonts w:eastAsia="Times New Roman" w:cstheme="minorHAnsi"/>
          <w:lang w:eastAsia="cs-CZ"/>
        </w:rPr>
        <w:t>051-28/2021/RK ze dne 1.7.2021</w:t>
      </w:r>
      <w:r w:rsidRPr="0082664B">
        <w:rPr>
          <w:rFonts w:eastAsia="Times New Roman" w:cstheme="minorHAnsi"/>
          <w:lang w:eastAsia="cs-CZ"/>
        </w:rPr>
        <w:t xml:space="preserve"> byl schválen převod těchto finančních </w:t>
      </w:r>
      <w:r w:rsidRPr="0082664B">
        <w:rPr>
          <w:rFonts w:eastAsia="Times New Roman" w:cstheme="minorHAnsi"/>
          <w:lang w:eastAsia="cs-CZ"/>
        </w:rPr>
        <w:lastRenderedPageBreak/>
        <w:t xml:space="preserve">prostředků příjemci dotace </w:t>
      </w:r>
      <w:r>
        <w:rPr>
          <w:rFonts w:eastAsia="Times New Roman" w:cstheme="minorHAnsi"/>
          <w:lang w:eastAsia="cs-CZ"/>
        </w:rPr>
        <w:t>– příspěvkové</w:t>
      </w:r>
      <w:r w:rsidRPr="0082664B">
        <w:rPr>
          <w:rFonts w:eastAsia="Times New Roman" w:cstheme="minorHAnsi"/>
          <w:lang w:eastAsia="cs-CZ"/>
        </w:rPr>
        <w:t xml:space="preserve"> organizaci Středočeskému muzeu v Roztokách u Prahy na projekt s názvem „Areál Středočeského muzea v Roztokách u Prahy – obnova a rekonstrukce provozního a expozičního zázemí“. Registrační číslo projektu je </w:t>
      </w:r>
      <w:r w:rsidRPr="006E3B38">
        <w:rPr>
          <w:rFonts w:eastAsia="Times New Roman" w:cstheme="minorHAnsi"/>
          <w:lang w:eastAsia="cs-CZ"/>
        </w:rPr>
        <w:t>CZ.06.3.33/0.0/0.0/16_026/0001668</w:t>
      </w:r>
      <w:r w:rsidRPr="0082664B">
        <w:rPr>
          <w:rFonts w:eastAsia="Times New Roman" w:cstheme="minorHAnsi"/>
          <w:lang w:eastAsia="cs-CZ"/>
        </w:rPr>
        <w:t>.</w:t>
      </w:r>
      <w:r>
        <w:rPr>
          <w:rFonts w:eastAsia="Times New Roman" w:cstheme="minorHAnsi"/>
          <w:lang w:eastAsia="cs-CZ"/>
        </w:rPr>
        <w:t xml:space="preserve"> </w:t>
      </w:r>
      <w:r w:rsidRPr="0082664B">
        <w:rPr>
          <w:rFonts w:eastAsia="Times New Roman" w:cstheme="minorHAnsi"/>
          <w:lang w:eastAsia="cs-CZ"/>
        </w:rPr>
        <w:t>Finanční prostředky byly čerpány na 100,0 %.</w:t>
      </w:r>
    </w:p>
    <w:p w14:paraId="6E7E96C5" w14:textId="77777777" w:rsidR="00ED51F3" w:rsidRDefault="00ED51F3" w:rsidP="00ED51F3">
      <w:pPr>
        <w:spacing w:after="0" w:line="240" w:lineRule="auto"/>
        <w:jc w:val="both"/>
        <w:rPr>
          <w:rFonts w:eastAsia="Times New Roman" w:cstheme="minorHAnsi"/>
          <w:b/>
          <w:lang w:eastAsia="cs-CZ"/>
        </w:rPr>
      </w:pPr>
    </w:p>
    <w:p w14:paraId="096AF709" w14:textId="77777777" w:rsidR="00ED51F3" w:rsidRDefault="00ED51F3" w:rsidP="00ED51F3">
      <w:pPr>
        <w:spacing w:after="0" w:line="240" w:lineRule="auto"/>
        <w:jc w:val="both"/>
        <w:rPr>
          <w:rFonts w:eastAsia="Times New Roman" w:cstheme="minorHAnsi"/>
          <w:b/>
          <w:lang w:eastAsia="cs-CZ"/>
        </w:rPr>
      </w:pPr>
    </w:p>
    <w:p w14:paraId="380D32CB" w14:textId="77777777" w:rsidR="00ED51F3" w:rsidRPr="0082664B" w:rsidRDefault="00ED51F3" w:rsidP="00ED51F3">
      <w:pPr>
        <w:spacing w:after="0" w:line="240" w:lineRule="auto"/>
        <w:jc w:val="both"/>
        <w:rPr>
          <w:rFonts w:eastAsia="Times New Roman" w:cstheme="minorHAnsi"/>
          <w:b/>
          <w:lang w:eastAsia="cs-CZ"/>
        </w:rPr>
      </w:pPr>
    </w:p>
    <w:p w14:paraId="6D626E9C" w14:textId="77777777" w:rsidR="00ED51F3" w:rsidRPr="0082664B" w:rsidRDefault="00ED51F3" w:rsidP="00ED51F3">
      <w:pPr>
        <w:spacing w:after="0" w:line="240" w:lineRule="auto"/>
        <w:jc w:val="both"/>
        <w:outlineLvl w:val="0"/>
        <w:rPr>
          <w:rFonts w:eastAsia="Times New Roman" w:cstheme="minorHAnsi"/>
          <w:b/>
          <w:sz w:val="24"/>
          <w:szCs w:val="24"/>
          <w:u w:val="single"/>
          <w:lang w:eastAsia="cs-CZ"/>
        </w:rPr>
      </w:pPr>
      <w:bookmarkStart w:id="35" w:name="_Hlk98497584"/>
      <w:r w:rsidRPr="0082664B">
        <w:rPr>
          <w:rFonts w:eastAsia="Times New Roman" w:cstheme="minorHAnsi"/>
          <w:b/>
          <w:sz w:val="24"/>
          <w:szCs w:val="24"/>
          <w:u w:val="single"/>
          <w:lang w:eastAsia="cs-CZ"/>
        </w:rPr>
        <w:t>Příspěvkové organizace</w:t>
      </w:r>
    </w:p>
    <w:p w14:paraId="743A40D8" w14:textId="77777777" w:rsidR="00ED51F3" w:rsidRPr="0082664B" w:rsidRDefault="00ED51F3" w:rsidP="00ED51F3">
      <w:pPr>
        <w:spacing w:after="0" w:line="240" w:lineRule="auto"/>
        <w:jc w:val="both"/>
        <w:rPr>
          <w:rFonts w:eastAsia="Times New Roman" w:cstheme="minorHAnsi"/>
          <w:b/>
          <w:color w:val="4F6228"/>
          <w:lang w:eastAsia="cs-CZ"/>
        </w:rPr>
      </w:pPr>
    </w:p>
    <w:p w14:paraId="3D975EA9" w14:textId="638EF200" w:rsidR="00557D26" w:rsidRPr="00B908E6" w:rsidRDefault="00ED51F3" w:rsidP="00557D26">
      <w:pPr>
        <w:spacing w:after="0" w:line="240" w:lineRule="auto"/>
        <w:jc w:val="both"/>
        <w:rPr>
          <w:rFonts w:cstheme="minorHAnsi"/>
        </w:rPr>
      </w:pPr>
      <w:r w:rsidRPr="00B908E6">
        <w:rPr>
          <w:rFonts w:eastAsia="Times New Roman" w:cstheme="minorHAnsi"/>
          <w:lang w:eastAsia="cs-CZ"/>
        </w:rPr>
        <w:t xml:space="preserve">Středočeský kraj je zřizovatelem </w:t>
      </w:r>
      <w:r w:rsidR="007008EC" w:rsidRPr="00B908E6">
        <w:rPr>
          <w:rFonts w:eastAsia="Times New Roman" w:cstheme="minorHAnsi"/>
          <w:lang w:eastAsia="cs-CZ"/>
        </w:rPr>
        <w:t>1 organizace v oblasti cestovního ruchu a 19</w:t>
      </w:r>
      <w:r w:rsidRPr="00B908E6">
        <w:rPr>
          <w:rFonts w:eastAsia="Times New Roman" w:cstheme="minorHAnsi"/>
          <w:lang w:eastAsia="cs-CZ"/>
        </w:rPr>
        <w:t xml:space="preserve"> příspěvkových organizací v oblasti kultury, z toho 17 příspěvkových organizací je zaměřeno na činnost muzeí a galerií. Bohaté muzejní sbírky regionu jsou prezentovány v expozicích, které jsou obrazem historie, kulturního vývoje, přírodního bohatství a politického významu míst, tradiční péče o vztah k minulosti, a kromě jiného i dokladem velkého počtu výrazných osobností, které se v kraji narodily, žily či pracovaly. Kromě uvedených sedmnácti institucí jsou dalšími </w:t>
      </w:r>
      <w:r w:rsidR="00557D26" w:rsidRPr="00B908E6">
        <w:rPr>
          <w:rFonts w:eastAsia="Times New Roman" w:cstheme="minorHAnsi"/>
          <w:lang w:eastAsia="cs-CZ"/>
        </w:rPr>
        <w:t xml:space="preserve">Ústav archeologické památkové péče středních Čech, Středočeská vědecká knihovna v Kladně a </w:t>
      </w:r>
      <w:r w:rsidR="00557D26" w:rsidRPr="00B908E6">
        <w:rPr>
          <w:rFonts w:cstheme="minorHAnsi"/>
          <w:bCs/>
        </w:rPr>
        <w:t>Středočeská centrála cestovního ruchu.</w:t>
      </w:r>
    </w:p>
    <w:p w14:paraId="79D68724" w14:textId="73173D47" w:rsidR="00ED51F3" w:rsidRPr="00B908E6" w:rsidRDefault="00ED51F3" w:rsidP="00ED51F3">
      <w:pPr>
        <w:spacing w:after="0" w:line="240" w:lineRule="auto"/>
        <w:jc w:val="both"/>
        <w:rPr>
          <w:rFonts w:eastAsia="Times New Roman" w:cstheme="minorHAnsi"/>
          <w:lang w:eastAsia="cs-CZ"/>
        </w:rPr>
      </w:pPr>
    </w:p>
    <w:p w14:paraId="6E751C32" w14:textId="77777777" w:rsidR="00ED51F3" w:rsidRPr="00B908E6" w:rsidRDefault="00ED51F3" w:rsidP="00ED51F3">
      <w:pPr>
        <w:spacing w:after="0" w:line="240" w:lineRule="auto"/>
        <w:jc w:val="both"/>
        <w:rPr>
          <w:rFonts w:eastAsia="Times New Roman" w:cstheme="minorHAnsi"/>
          <w:lang w:eastAsia="cs-CZ"/>
        </w:rPr>
      </w:pPr>
      <w:r w:rsidRPr="00B908E6">
        <w:rPr>
          <w:rFonts w:eastAsia="Times New Roman" w:cstheme="minorHAnsi"/>
          <w:lang w:eastAsia="cs-CZ"/>
        </w:rPr>
        <w:t>Posláním Ústavu archeologické památkové péče středních Čech je aktivní archeologická památková péče vykonávaná na území Středočeského kraje. Hlavní náplň můžeme charakterizovat jako následující proces: identifikovat a ochránit archeologické situace, v případě ohrožení vykopat, technicky ošetřit, zdokumentovat a uložit movité nálezy, vědecky zhodnotit a odborně publikovat a popularizovat (článek, přednáška, výstava). Většinu času proto pracovníci věnují provádění záchranných archeologických výzkumů a jejich zpracování pro právnické i fyzické osoby na území celých středních Čech.</w:t>
      </w:r>
    </w:p>
    <w:p w14:paraId="25B4D773" w14:textId="77777777" w:rsidR="00557D26" w:rsidRPr="00B908E6" w:rsidRDefault="00557D26" w:rsidP="00ED51F3">
      <w:pPr>
        <w:spacing w:after="0" w:line="240" w:lineRule="auto"/>
        <w:jc w:val="both"/>
        <w:rPr>
          <w:rFonts w:eastAsia="Times New Roman" w:cstheme="minorHAnsi"/>
          <w:lang w:eastAsia="cs-CZ"/>
        </w:rPr>
      </w:pPr>
    </w:p>
    <w:p w14:paraId="0E2D9D5A" w14:textId="6A128140" w:rsidR="00ED51F3" w:rsidRPr="00B908E6" w:rsidRDefault="00ED51F3" w:rsidP="00ED51F3">
      <w:pPr>
        <w:spacing w:after="0" w:line="240" w:lineRule="auto"/>
        <w:jc w:val="both"/>
        <w:rPr>
          <w:rFonts w:eastAsia="Times New Roman" w:cstheme="minorHAnsi"/>
          <w:lang w:eastAsia="cs-CZ"/>
        </w:rPr>
      </w:pPr>
      <w:r w:rsidRPr="00B908E6">
        <w:rPr>
          <w:rFonts w:eastAsia="Times New Roman" w:cstheme="minorHAnsi"/>
          <w:lang w:eastAsia="cs-CZ"/>
        </w:rPr>
        <w:t>Středočeská vědecká knihovna v Kladně poskytuje veřejné knihovnické a informační služby jako krajská knihovna Středočeského kraje. Půjčuje tradiční i elektronické dokumenty a poskytuje informace z nejrůznějších informačních zdrojů. V rámci výkonu regionálních funkcí zajišťuje vzdělávání knihovníků, výpůjčky knih z výměnného fondu a metodickou pomoc obecním knihovnám ve Středočeském kraji.</w:t>
      </w:r>
    </w:p>
    <w:p w14:paraId="06FA4131" w14:textId="77777777" w:rsidR="00ED51F3" w:rsidRPr="00B908E6" w:rsidRDefault="00ED51F3" w:rsidP="00ED51F3">
      <w:pPr>
        <w:spacing w:after="0" w:line="240" w:lineRule="auto"/>
        <w:jc w:val="both"/>
        <w:rPr>
          <w:rFonts w:eastAsia="Times New Roman" w:cstheme="minorHAnsi"/>
          <w:lang w:eastAsia="cs-CZ"/>
        </w:rPr>
      </w:pPr>
    </w:p>
    <w:p w14:paraId="385B2B87" w14:textId="77777777" w:rsidR="00557D26" w:rsidRPr="00B908E6" w:rsidRDefault="00557D26" w:rsidP="00557D26">
      <w:pPr>
        <w:spacing w:after="0" w:line="240" w:lineRule="auto"/>
        <w:jc w:val="both"/>
        <w:rPr>
          <w:rFonts w:eastAsia="Times New Roman" w:cstheme="minorHAnsi"/>
          <w:color w:val="000000"/>
          <w:lang w:eastAsia="cs-CZ"/>
        </w:rPr>
      </w:pPr>
      <w:r w:rsidRPr="00B908E6">
        <w:rPr>
          <w:rFonts w:cstheme="minorHAnsi"/>
        </w:rPr>
        <w:t>Na základě Opatření ředitele Krajského úřadu Středočeského kraje č. 3/2021, kterým se mění Organizační řád Krajského úřadu Středočeského kraje s účinností od 1. 4. 2021, byla do gesce Odboru kultury a památkové péče převedena z Odboru regionálního rozvoje příspěvková organizace Středočeská centrála cestovního ruchu.</w:t>
      </w:r>
    </w:p>
    <w:p w14:paraId="1CA1A400" w14:textId="5706B462" w:rsidR="00557D26" w:rsidRDefault="00557D26" w:rsidP="00557D26">
      <w:pPr>
        <w:spacing w:after="0" w:line="240" w:lineRule="auto"/>
        <w:jc w:val="both"/>
        <w:rPr>
          <w:rFonts w:cstheme="minorHAnsi"/>
        </w:rPr>
      </w:pPr>
      <w:r w:rsidRPr="00B908E6">
        <w:rPr>
          <w:rFonts w:cstheme="minorHAnsi"/>
          <w:bCs/>
        </w:rPr>
        <w:t>Středočeská centrála cestovního ruchu</w:t>
      </w:r>
      <w:r w:rsidRPr="00B908E6">
        <w:rPr>
          <w:rFonts w:cstheme="minorHAnsi"/>
        </w:rPr>
        <w:t xml:space="preserve"> využila zaslané příspěvky od zřizovatele primárně v marketingové podpoře turistického regionu Střední Čechy, k posílení značky Střední Čechy královské, zajistila rozvoj turistického webu </w:t>
      </w:r>
      <w:hyperlink r:id="rId8" w:history="1">
        <w:r w:rsidRPr="00B908E6">
          <w:rPr>
            <w:rStyle w:val="Hypertextovodkaz"/>
            <w:rFonts w:cstheme="minorHAnsi"/>
          </w:rPr>
          <w:t>www.strednicechy.cz</w:t>
        </w:r>
      </w:hyperlink>
      <w:r w:rsidRPr="00B908E6">
        <w:rPr>
          <w:rFonts w:cstheme="minorHAnsi"/>
        </w:rPr>
        <w:t xml:space="preserve"> a zpracování samostatných tematických sekcí. Dále pak organizovala PR podporu a inzerci jak v tištěných, tak online, outdoor a TV kampaních.  Probíhala i spolupráce při propagaci středních Čech v rámci</w:t>
      </w:r>
      <w:r w:rsidRPr="0082664B">
        <w:rPr>
          <w:rFonts w:cstheme="minorHAnsi"/>
        </w:rPr>
        <w:t xml:space="preserve"> dotačního programu Ministerstva pro místní rozvoj, která obsahovala též inzertní a PR plochy, fotografie, videa, online a další. Centrála připravila také jednotnou komunikační kampaň Středočeského kulturního léta 2021. </w:t>
      </w:r>
      <w:r>
        <w:rPr>
          <w:rFonts w:cstheme="minorHAnsi"/>
        </w:rPr>
        <w:t xml:space="preserve">V roce </w:t>
      </w:r>
      <w:r w:rsidRPr="0082664B">
        <w:rPr>
          <w:rFonts w:cstheme="minorHAnsi"/>
        </w:rPr>
        <w:t>2021 vykázala příspěvková organizace kladný hospodářský výsledek.</w:t>
      </w:r>
    </w:p>
    <w:p w14:paraId="7FE6F27F" w14:textId="77777777" w:rsidR="00557D26" w:rsidRDefault="00557D26" w:rsidP="00557D26">
      <w:pPr>
        <w:spacing w:after="0" w:line="240" w:lineRule="auto"/>
        <w:jc w:val="both"/>
        <w:rPr>
          <w:rFonts w:cstheme="minorHAnsi"/>
        </w:rPr>
      </w:pPr>
    </w:p>
    <w:p w14:paraId="1E8219F9" w14:textId="698F4DC0" w:rsidR="007008EC" w:rsidRDefault="00B908E6" w:rsidP="007008EC">
      <w:pPr>
        <w:spacing w:after="0" w:line="240" w:lineRule="auto"/>
        <w:jc w:val="both"/>
        <w:rPr>
          <w:rFonts w:cstheme="minorHAnsi"/>
        </w:rPr>
      </w:pPr>
      <w:r>
        <w:rPr>
          <w:rFonts w:eastAsia="Times New Roman" w:cstheme="minorHAnsi"/>
          <w:lang w:eastAsia="cs-CZ"/>
        </w:rPr>
        <w:t>V oblasti kultury vykázalo z</w:t>
      </w:r>
      <w:r w:rsidR="00ED51F3" w:rsidRPr="006361C3">
        <w:rPr>
          <w:rFonts w:eastAsia="Times New Roman" w:cstheme="minorHAnsi"/>
          <w:lang w:eastAsia="cs-CZ"/>
        </w:rPr>
        <w:t>a rok 202</w:t>
      </w:r>
      <w:r w:rsidR="00ED51F3">
        <w:rPr>
          <w:rFonts w:eastAsia="Times New Roman" w:cstheme="minorHAnsi"/>
          <w:lang w:eastAsia="cs-CZ"/>
        </w:rPr>
        <w:t>1</w:t>
      </w:r>
      <w:r w:rsidR="00ED51F3" w:rsidRPr="006361C3">
        <w:rPr>
          <w:rFonts w:eastAsia="Times New Roman" w:cstheme="minorHAnsi"/>
          <w:lang w:eastAsia="cs-CZ"/>
        </w:rPr>
        <w:t xml:space="preserve"> v hlavní činnosti </w:t>
      </w:r>
      <w:r w:rsidR="007008EC">
        <w:rPr>
          <w:rFonts w:eastAsia="Times New Roman" w:cstheme="minorHAnsi"/>
          <w:lang w:eastAsia="cs-CZ"/>
        </w:rPr>
        <w:t>15</w:t>
      </w:r>
      <w:r w:rsidR="00ED51F3" w:rsidRPr="006361C3">
        <w:rPr>
          <w:rFonts w:eastAsia="Times New Roman" w:cstheme="minorHAnsi"/>
          <w:lang w:eastAsia="cs-CZ"/>
        </w:rPr>
        <w:t xml:space="preserve"> příspěvkových organizací</w:t>
      </w:r>
      <w:r w:rsidR="007008EC">
        <w:rPr>
          <w:rFonts w:eastAsia="Times New Roman" w:cstheme="minorHAnsi"/>
          <w:lang w:eastAsia="cs-CZ"/>
        </w:rPr>
        <w:t xml:space="preserve"> </w:t>
      </w:r>
      <w:r w:rsidR="00ED51F3" w:rsidRPr="006361C3">
        <w:rPr>
          <w:rFonts w:eastAsia="Times New Roman" w:cstheme="minorHAnsi"/>
          <w:lang w:eastAsia="cs-CZ"/>
        </w:rPr>
        <w:t xml:space="preserve">zlepšený hospodářský výsledek. Zhoršený hospodářský výsledek nevykázala žádná příspěvková organizace. </w:t>
      </w:r>
      <w:r w:rsidR="00ED51F3">
        <w:rPr>
          <w:rFonts w:eastAsia="Times New Roman" w:cstheme="minorHAnsi"/>
          <w:lang w:eastAsia="cs-CZ"/>
        </w:rPr>
        <w:t>Čtyři</w:t>
      </w:r>
      <w:r w:rsidR="00ED51F3" w:rsidRPr="006361C3">
        <w:rPr>
          <w:rFonts w:eastAsia="Times New Roman" w:cstheme="minorHAnsi"/>
          <w:lang w:eastAsia="cs-CZ"/>
        </w:rPr>
        <w:t xml:space="preserve"> organizace měly k 31. 12. 202</w:t>
      </w:r>
      <w:r w:rsidR="00ED51F3">
        <w:rPr>
          <w:rFonts w:eastAsia="Times New Roman" w:cstheme="minorHAnsi"/>
          <w:lang w:eastAsia="cs-CZ"/>
        </w:rPr>
        <w:t>1</w:t>
      </w:r>
      <w:r w:rsidR="00ED51F3" w:rsidRPr="006361C3">
        <w:rPr>
          <w:rFonts w:eastAsia="Times New Roman" w:cstheme="minorHAnsi"/>
          <w:lang w:eastAsia="cs-CZ"/>
        </w:rPr>
        <w:t xml:space="preserve"> vyrovnané hospodaření (Středočeská vědecká knihovna</w:t>
      </w:r>
      <w:r w:rsidR="00ED51F3">
        <w:rPr>
          <w:rFonts w:eastAsia="Times New Roman" w:cstheme="minorHAnsi"/>
          <w:lang w:eastAsia="cs-CZ"/>
        </w:rPr>
        <w:t xml:space="preserve"> v </w:t>
      </w:r>
      <w:r w:rsidR="00ED51F3" w:rsidRPr="006361C3">
        <w:rPr>
          <w:rFonts w:eastAsia="Times New Roman" w:cstheme="minorHAnsi"/>
          <w:lang w:eastAsia="cs-CZ"/>
        </w:rPr>
        <w:t>Kladn</w:t>
      </w:r>
      <w:r w:rsidR="00ED51F3">
        <w:rPr>
          <w:rFonts w:eastAsia="Times New Roman" w:cstheme="minorHAnsi"/>
          <w:lang w:eastAsia="cs-CZ"/>
        </w:rPr>
        <w:t>ě</w:t>
      </w:r>
      <w:r w:rsidR="00ED51F3" w:rsidRPr="006361C3">
        <w:rPr>
          <w:rFonts w:eastAsia="Times New Roman" w:cstheme="minorHAnsi"/>
          <w:lang w:eastAsia="cs-CZ"/>
        </w:rPr>
        <w:t>,</w:t>
      </w:r>
      <w:r w:rsidR="00ED51F3">
        <w:rPr>
          <w:rFonts w:eastAsia="Times New Roman" w:cstheme="minorHAnsi"/>
          <w:lang w:eastAsia="cs-CZ"/>
        </w:rPr>
        <w:t xml:space="preserve"> Muzeum Českého krasu, Muzeum Podblanicka a </w:t>
      </w:r>
      <w:r w:rsidR="00ED51F3" w:rsidRPr="006361C3">
        <w:rPr>
          <w:rFonts w:eastAsia="Times New Roman" w:cstheme="minorHAnsi"/>
          <w:lang w:eastAsia="cs-CZ"/>
        </w:rPr>
        <w:t>Památník Karla Čapka ve Staré Huti u Dobříše</w:t>
      </w:r>
      <w:r w:rsidR="00ED51F3">
        <w:rPr>
          <w:rFonts w:eastAsia="Times New Roman" w:cstheme="minorHAnsi"/>
          <w:lang w:eastAsia="cs-CZ"/>
        </w:rPr>
        <w:t>)</w:t>
      </w:r>
      <w:r w:rsidR="00ED51F3" w:rsidRPr="0082664B">
        <w:rPr>
          <w:rFonts w:eastAsia="Times New Roman" w:cstheme="minorHAnsi"/>
          <w:lang w:eastAsia="cs-CZ"/>
        </w:rPr>
        <w:t>.</w:t>
      </w:r>
      <w:r w:rsidR="007008EC">
        <w:rPr>
          <w:rFonts w:eastAsia="Times New Roman" w:cstheme="minorHAnsi"/>
          <w:lang w:eastAsia="cs-CZ"/>
        </w:rPr>
        <w:t xml:space="preserve"> Příspěvková organizace v oblasti cestovního ruchu </w:t>
      </w:r>
      <w:r w:rsidR="007008EC">
        <w:rPr>
          <w:rFonts w:cstheme="minorHAnsi"/>
        </w:rPr>
        <w:t xml:space="preserve">Středočeská centrála cestovního ruchu v roce </w:t>
      </w:r>
      <w:r w:rsidR="007008EC" w:rsidRPr="0082664B">
        <w:rPr>
          <w:rFonts w:cstheme="minorHAnsi"/>
        </w:rPr>
        <w:t>2021 vykázala kladný hospodářský výsledek.</w:t>
      </w:r>
    </w:p>
    <w:p w14:paraId="49A3B0D1" w14:textId="002B32F0" w:rsidR="00ED51F3" w:rsidRPr="0082664B" w:rsidRDefault="00ED51F3" w:rsidP="00ED51F3">
      <w:pPr>
        <w:spacing w:after="0" w:line="240" w:lineRule="auto"/>
        <w:jc w:val="both"/>
        <w:rPr>
          <w:rFonts w:eastAsia="Times New Roman" w:cstheme="minorHAnsi"/>
          <w:lang w:eastAsia="cs-CZ"/>
        </w:rPr>
      </w:pPr>
    </w:p>
    <w:p w14:paraId="05E43F29" w14:textId="77777777" w:rsidR="00ED51F3" w:rsidRPr="0082664B" w:rsidRDefault="00ED51F3" w:rsidP="00ED51F3">
      <w:pPr>
        <w:spacing w:after="0" w:line="240" w:lineRule="auto"/>
        <w:jc w:val="both"/>
        <w:rPr>
          <w:rFonts w:cstheme="minorHAnsi"/>
        </w:rPr>
      </w:pPr>
      <w:r w:rsidRPr="009D778D">
        <w:rPr>
          <w:rFonts w:cstheme="minorHAnsi"/>
        </w:rPr>
        <w:t xml:space="preserve">V roce 2021 mělo </w:t>
      </w:r>
      <w:r w:rsidRPr="0082664B">
        <w:rPr>
          <w:rFonts w:cstheme="minorHAnsi"/>
        </w:rPr>
        <w:t xml:space="preserve">proběhnout opět v příspěvkových organizacích několik významných kulturních </w:t>
      </w:r>
      <w:r>
        <w:rPr>
          <w:rFonts w:cstheme="minorHAnsi"/>
        </w:rPr>
        <w:br/>
      </w:r>
      <w:r w:rsidRPr="0082664B">
        <w:rPr>
          <w:rFonts w:cstheme="minorHAnsi"/>
        </w:rPr>
        <w:t xml:space="preserve">a tradičních akcí, které nebylo možné realizovat. Po mnoha měsících přísných protiepidemických opatření se v polovině května 2021 konečně po celé republice otevřela muzea, galerie a památky. Zatím tedy jen v rámci individuálních prohlídek. Následovalo postupné obnovení provozu muzeí, galerií a knihovny. V rámci hospodaření jsou zřejmé úspory ve mzdové oblasti, které se zejména týkají neobsazení pracovních pozic na DPČ a DPP v době uzavření kulturních institucí. Naopak příjmy ze vstupného a prodeje upomínkových předmětů jsou nedílnou součástí schváleného rozpočtu každé organizace na rok 2021, se kterými je počítáno na krytí provozních výdajů. V prvním pololetí byl zaznamenán značný výpadek těchto příjmů. </w:t>
      </w:r>
      <w:r>
        <w:rPr>
          <w:rFonts w:cstheme="minorHAnsi"/>
        </w:rPr>
        <w:t>Výraznou finanční pomocí byly poskytnuté dotace Ministerstva kultury na z</w:t>
      </w:r>
      <w:r w:rsidRPr="00014798">
        <w:rPr>
          <w:rFonts w:cstheme="minorHAnsi"/>
        </w:rPr>
        <w:t>mírnění negativních dopadů souvisejících s opatřeními proti COVID-19</w:t>
      </w:r>
      <w:r>
        <w:rPr>
          <w:rFonts w:cstheme="minorHAnsi"/>
        </w:rPr>
        <w:t xml:space="preserve">. </w:t>
      </w:r>
      <w:r w:rsidRPr="0082664B">
        <w:rPr>
          <w:rFonts w:cstheme="minorHAnsi"/>
        </w:rPr>
        <w:t xml:space="preserve">Příspěvkové organizace se aktivně zapojily do přípravy </w:t>
      </w:r>
      <w:r w:rsidRPr="0082664B">
        <w:rPr>
          <w:rFonts w:cstheme="minorHAnsi"/>
        </w:rPr>
        <w:lastRenderedPageBreak/>
        <w:t>programu Středočeského kulturního léta 2021 a přípravy jednotlivých kulturních programů</w:t>
      </w:r>
      <w:r>
        <w:rPr>
          <w:rFonts w:cstheme="minorHAnsi"/>
        </w:rPr>
        <w:t xml:space="preserve">, které se podařilo uskutečnit, </w:t>
      </w:r>
      <w:r w:rsidRPr="00EE51C1">
        <w:rPr>
          <w:rFonts w:cstheme="minorHAnsi"/>
        </w:rPr>
        <w:t xml:space="preserve">a to s dodržením </w:t>
      </w:r>
      <w:r>
        <w:rPr>
          <w:rFonts w:cstheme="minorHAnsi"/>
        </w:rPr>
        <w:t xml:space="preserve">všech </w:t>
      </w:r>
      <w:r w:rsidRPr="00EE51C1">
        <w:rPr>
          <w:rFonts w:cstheme="minorHAnsi"/>
        </w:rPr>
        <w:t>platných opatření proti šíření onemocnění Covid-19</w:t>
      </w:r>
      <w:r>
        <w:rPr>
          <w:rFonts w:cstheme="minorHAnsi"/>
        </w:rPr>
        <w:t xml:space="preserve">. </w:t>
      </w:r>
      <w:r w:rsidRPr="0082664B">
        <w:rPr>
          <w:rFonts w:cstheme="minorHAnsi"/>
        </w:rPr>
        <w:t>Realizovaly</w:t>
      </w:r>
      <w:r>
        <w:rPr>
          <w:rFonts w:cstheme="minorHAnsi"/>
        </w:rPr>
        <w:t xml:space="preserve"> také</w:t>
      </w:r>
      <w:r w:rsidRPr="0082664B">
        <w:rPr>
          <w:rFonts w:cstheme="minorHAnsi"/>
        </w:rPr>
        <w:t xml:space="preserve"> nové výstavy, pracovaly na vydání publikací a </w:t>
      </w:r>
      <w:r>
        <w:rPr>
          <w:rFonts w:cstheme="minorHAnsi"/>
        </w:rPr>
        <w:t>n</w:t>
      </w:r>
      <w:r w:rsidRPr="00EE51C1">
        <w:rPr>
          <w:rFonts w:cstheme="minorHAnsi"/>
        </w:rPr>
        <w:t xml:space="preserve">ěkteré organizace </w:t>
      </w:r>
      <w:r w:rsidRPr="0082664B">
        <w:rPr>
          <w:rFonts w:cstheme="minorHAnsi"/>
        </w:rPr>
        <w:t xml:space="preserve">přesunuly </w:t>
      </w:r>
      <w:r>
        <w:rPr>
          <w:rFonts w:cstheme="minorHAnsi"/>
        </w:rPr>
        <w:t xml:space="preserve">návštěvnickou </w:t>
      </w:r>
      <w:r w:rsidRPr="0082664B">
        <w:rPr>
          <w:rFonts w:cstheme="minorHAnsi"/>
        </w:rPr>
        <w:t>komunikaci do online prostř</w:t>
      </w:r>
      <w:r>
        <w:rPr>
          <w:rFonts w:cstheme="minorHAnsi"/>
        </w:rPr>
        <w:t>edí.</w:t>
      </w:r>
    </w:p>
    <w:p w14:paraId="2057B41B" w14:textId="77777777" w:rsidR="00ED51F3" w:rsidRPr="0082664B" w:rsidRDefault="00ED51F3" w:rsidP="00ED51F3">
      <w:pPr>
        <w:spacing w:after="0" w:line="240" w:lineRule="auto"/>
        <w:jc w:val="both"/>
        <w:rPr>
          <w:rFonts w:cstheme="minorHAnsi"/>
        </w:rPr>
      </w:pPr>
    </w:p>
    <w:p w14:paraId="54C5E576" w14:textId="77777777" w:rsidR="00ED51F3" w:rsidRDefault="00ED51F3" w:rsidP="00ED51F3">
      <w:pPr>
        <w:spacing w:after="0" w:line="240" w:lineRule="auto"/>
        <w:jc w:val="both"/>
        <w:rPr>
          <w:rFonts w:cstheme="minorHAnsi"/>
        </w:rPr>
      </w:pPr>
    </w:p>
    <w:bookmarkEnd w:id="35"/>
    <w:p w14:paraId="0B92966A" w14:textId="511BB38B" w:rsidR="00A77949" w:rsidRDefault="00A77949" w:rsidP="00ED51F3">
      <w:pPr>
        <w:spacing w:after="0" w:line="240" w:lineRule="auto"/>
        <w:jc w:val="both"/>
        <w:rPr>
          <w:rFonts w:cstheme="minorHAnsi"/>
        </w:rPr>
      </w:pPr>
    </w:p>
    <w:p w14:paraId="2EC3C85E" w14:textId="4B6E7585" w:rsidR="003F001E" w:rsidRDefault="003F001E" w:rsidP="00ED51F3">
      <w:pPr>
        <w:spacing w:after="0" w:line="240" w:lineRule="auto"/>
        <w:jc w:val="both"/>
        <w:rPr>
          <w:rFonts w:cstheme="minorHAnsi"/>
        </w:rPr>
      </w:pPr>
    </w:p>
    <w:p w14:paraId="679F5837" w14:textId="67081B35" w:rsidR="00797F22" w:rsidRDefault="00797F22" w:rsidP="00ED51F3">
      <w:pPr>
        <w:spacing w:after="0" w:line="240" w:lineRule="auto"/>
        <w:jc w:val="both"/>
        <w:rPr>
          <w:rFonts w:cstheme="minorHAnsi"/>
        </w:rPr>
      </w:pPr>
    </w:p>
    <w:p w14:paraId="3D08A94E" w14:textId="1053E224" w:rsidR="00797F22" w:rsidRDefault="00797F22" w:rsidP="00ED51F3">
      <w:pPr>
        <w:spacing w:after="0" w:line="240" w:lineRule="auto"/>
        <w:jc w:val="both"/>
        <w:rPr>
          <w:rFonts w:cstheme="minorHAnsi"/>
        </w:rPr>
      </w:pPr>
    </w:p>
    <w:p w14:paraId="7D173985" w14:textId="7F06973A" w:rsidR="00797F22" w:rsidRDefault="00797F22" w:rsidP="00ED51F3">
      <w:pPr>
        <w:spacing w:after="0" w:line="240" w:lineRule="auto"/>
        <w:jc w:val="both"/>
        <w:rPr>
          <w:rFonts w:cstheme="minorHAnsi"/>
        </w:rPr>
      </w:pPr>
    </w:p>
    <w:p w14:paraId="3AE48C46" w14:textId="6CE62B2D" w:rsidR="00797F22" w:rsidRDefault="00797F22" w:rsidP="00ED51F3">
      <w:pPr>
        <w:spacing w:after="0" w:line="240" w:lineRule="auto"/>
        <w:jc w:val="both"/>
        <w:rPr>
          <w:rFonts w:cstheme="minorHAnsi"/>
        </w:rPr>
      </w:pPr>
    </w:p>
    <w:p w14:paraId="55133DB4" w14:textId="5E331302" w:rsidR="00797F22" w:rsidRDefault="00797F22" w:rsidP="00ED51F3">
      <w:pPr>
        <w:spacing w:after="0" w:line="240" w:lineRule="auto"/>
        <w:jc w:val="both"/>
        <w:rPr>
          <w:rFonts w:cstheme="minorHAnsi"/>
        </w:rPr>
      </w:pPr>
    </w:p>
    <w:p w14:paraId="686D0DCA" w14:textId="3AB6E4F6" w:rsidR="00797F22" w:rsidRDefault="00797F22" w:rsidP="00ED51F3">
      <w:pPr>
        <w:spacing w:after="0" w:line="240" w:lineRule="auto"/>
        <w:jc w:val="both"/>
        <w:rPr>
          <w:rFonts w:cstheme="minorHAnsi"/>
        </w:rPr>
      </w:pPr>
    </w:p>
    <w:p w14:paraId="157A7E65" w14:textId="174FB80B" w:rsidR="00797F22" w:rsidRDefault="00797F22" w:rsidP="00ED51F3">
      <w:pPr>
        <w:spacing w:after="0" w:line="240" w:lineRule="auto"/>
        <w:jc w:val="both"/>
        <w:rPr>
          <w:rFonts w:cstheme="minorHAnsi"/>
        </w:rPr>
      </w:pPr>
    </w:p>
    <w:p w14:paraId="68543F2E" w14:textId="0308C8F7" w:rsidR="00797F22" w:rsidRDefault="00797F22" w:rsidP="00ED51F3">
      <w:pPr>
        <w:spacing w:after="0" w:line="240" w:lineRule="auto"/>
        <w:jc w:val="both"/>
        <w:rPr>
          <w:rFonts w:cstheme="minorHAnsi"/>
        </w:rPr>
      </w:pPr>
    </w:p>
    <w:p w14:paraId="03126BE0" w14:textId="74C11012" w:rsidR="00797F22" w:rsidRDefault="00797F22" w:rsidP="00ED51F3">
      <w:pPr>
        <w:spacing w:after="0" w:line="240" w:lineRule="auto"/>
        <w:jc w:val="both"/>
        <w:rPr>
          <w:rFonts w:cstheme="minorHAnsi"/>
        </w:rPr>
      </w:pPr>
    </w:p>
    <w:p w14:paraId="2D926D02" w14:textId="656CBC44" w:rsidR="00797F22" w:rsidRDefault="00797F22" w:rsidP="00ED51F3">
      <w:pPr>
        <w:spacing w:after="0" w:line="240" w:lineRule="auto"/>
        <w:jc w:val="both"/>
        <w:rPr>
          <w:rFonts w:cstheme="minorHAnsi"/>
        </w:rPr>
      </w:pPr>
    </w:p>
    <w:p w14:paraId="177F750A" w14:textId="0FB9CF89" w:rsidR="00797F22" w:rsidRDefault="00797F22" w:rsidP="00ED51F3">
      <w:pPr>
        <w:spacing w:after="0" w:line="240" w:lineRule="auto"/>
        <w:jc w:val="both"/>
        <w:rPr>
          <w:rFonts w:cstheme="minorHAnsi"/>
        </w:rPr>
      </w:pPr>
    </w:p>
    <w:p w14:paraId="665B7882" w14:textId="5E2B06D7" w:rsidR="00797F22" w:rsidRDefault="00797F22" w:rsidP="00ED51F3">
      <w:pPr>
        <w:spacing w:after="0" w:line="240" w:lineRule="auto"/>
        <w:jc w:val="both"/>
        <w:rPr>
          <w:rFonts w:cstheme="minorHAnsi"/>
        </w:rPr>
      </w:pPr>
    </w:p>
    <w:p w14:paraId="33B24A5C" w14:textId="59DB869C" w:rsidR="00797F22" w:rsidRDefault="00797F22" w:rsidP="00ED51F3">
      <w:pPr>
        <w:spacing w:after="0" w:line="240" w:lineRule="auto"/>
        <w:jc w:val="both"/>
        <w:rPr>
          <w:rFonts w:cstheme="minorHAnsi"/>
        </w:rPr>
      </w:pPr>
    </w:p>
    <w:p w14:paraId="55C7EAAF" w14:textId="71831782" w:rsidR="00797F22" w:rsidRDefault="00797F22" w:rsidP="00ED51F3">
      <w:pPr>
        <w:spacing w:after="0" w:line="240" w:lineRule="auto"/>
        <w:jc w:val="both"/>
        <w:rPr>
          <w:rFonts w:cstheme="minorHAnsi"/>
        </w:rPr>
      </w:pPr>
    </w:p>
    <w:p w14:paraId="4D29D18F" w14:textId="58593430" w:rsidR="00797F22" w:rsidRDefault="00797F22" w:rsidP="00ED51F3">
      <w:pPr>
        <w:spacing w:after="0" w:line="240" w:lineRule="auto"/>
        <w:jc w:val="both"/>
        <w:rPr>
          <w:rFonts w:cstheme="minorHAnsi"/>
        </w:rPr>
      </w:pPr>
    </w:p>
    <w:p w14:paraId="7133FC16" w14:textId="725AD259" w:rsidR="00797F22" w:rsidRDefault="00797F22" w:rsidP="00ED51F3">
      <w:pPr>
        <w:spacing w:after="0" w:line="240" w:lineRule="auto"/>
        <w:jc w:val="both"/>
        <w:rPr>
          <w:rFonts w:cstheme="minorHAnsi"/>
        </w:rPr>
      </w:pPr>
    </w:p>
    <w:p w14:paraId="21449200" w14:textId="5EA1D29B" w:rsidR="00797F22" w:rsidRDefault="00797F22" w:rsidP="00ED51F3">
      <w:pPr>
        <w:spacing w:after="0" w:line="240" w:lineRule="auto"/>
        <w:jc w:val="both"/>
        <w:rPr>
          <w:rFonts w:cstheme="minorHAnsi"/>
        </w:rPr>
      </w:pPr>
    </w:p>
    <w:p w14:paraId="01195E87" w14:textId="454C08D4" w:rsidR="00797F22" w:rsidRDefault="00797F22" w:rsidP="00ED51F3">
      <w:pPr>
        <w:spacing w:after="0" w:line="240" w:lineRule="auto"/>
        <w:jc w:val="both"/>
        <w:rPr>
          <w:rFonts w:cstheme="minorHAnsi"/>
        </w:rPr>
      </w:pPr>
    </w:p>
    <w:p w14:paraId="10FB982B" w14:textId="1F095ED3" w:rsidR="00797F22" w:rsidRDefault="00797F22" w:rsidP="00ED51F3">
      <w:pPr>
        <w:spacing w:after="0" w:line="240" w:lineRule="auto"/>
        <w:jc w:val="both"/>
        <w:rPr>
          <w:rFonts w:cstheme="minorHAnsi"/>
        </w:rPr>
      </w:pPr>
    </w:p>
    <w:p w14:paraId="458776C8" w14:textId="78E49DFC" w:rsidR="00797F22" w:rsidRDefault="00797F22" w:rsidP="00ED51F3">
      <w:pPr>
        <w:spacing w:after="0" w:line="240" w:lineRule="auto"/>
        <w:jc w:val="both"/>
        <w:rPr>
          <w:rFonts w:cstheme="minorHAnsi"/>
        </w:rPr>
      </w:pPr>
    </w:p>
    <w:p w14:paraId="758DC9C0" w14:textId="5B81B8AB" w:rsidR="00797F22" w:rsidRDefault="00797F22" w:rsidP="00ED51F3">
      <w:pPr>
        <w:spacing w:after="0" w:line="240" w:lineRule="auto"/>
        <w:jc w:val="both"/>
        <w:rPr>
          <w:rFonts w:cstheme="minorHAnsi"/>
        </w:rPr>
      </w:pPr>
    </w:p>
    <w:p w14:paraId="1A9663F2" w14:textId="1684FD01" w:rsidR="00797F22" w:rsidRDefault="00797F22" w:rsidP="00ED51F3">
      <w:pPr>
        <w:spacing w:after="0" w:line="240" w:lineRule="auto"/>
        <w:jc w:val="both"/>
        <w:rPr>
          <w:rFonts w:cstheme="minorHAnsi"/>
        </w:rPr>
      </w:pPr>
    </w:p>
    <w:p w14:paraId="06EACAC9" w14:textId="78723611" w:rsidR="00797F22" w:rsidRDefault="00797F22" w:rsidP="00ED51F3">
      <w:pPr>
        <w:spacing w:after="0" w:line="240" w:lineRule="auto"/>
        <w:jc w:val="both"/>
        <w:rPr>
          <w:rFonts w:cstheme="minorHAnsi"/>
        </w:rPr>
      </w:pPr>
    </w:p>
    <w:p w14:paraId="50911B18" w14:textId="69C9375E" w:rsidR="00797F22" w:rsidRDefault="00797F22" w:rsidP="00ED51F3">
      <w:pPr>
        <w:spacing w:after="0" w:line="240" w:lineRule="auto"/>
        <w:jc w:val="both"/>
        <w:rPr>
          <w:rFonts w:cstheme="minorHAnsi"/>
        </w:rPr>
      </w:pPr>
    </w:p>
    <w:p w14:paraId="675DEE35" w14:textId="19885806" w:rsidR="00797F22" w:rsidRDefault="00797F22" w:rsidP="00ED51F3">
      <w:pPr>
        <w:spacing w:after="0" w:line="240" w:lineRule="auto"/>
        <w:jc w:val="both"/>
        <w:rPr>
          <w:rFonts w:cstheme="minorHAnsi"/>
        </w:rPr>
      </w:pPr>
    </w:p>
    <w:p w14:paraId="1EA59FD2" w14:textId="52F0F342" w:rsidR="00797F22" w:rsidRDefault="00797F22" w:rsidP="00ED51F3">
      <w:pPr>
        <w:spacing w:after="0" w:line="240" w:lineRule="auto"/>
        <w:jc w:val="both"/>
        <w:rPr>
          <w:rFonts w:cstheme="minorHAnsi"/>
        </w:rPr>
      </w:pPr>
    </w:p>
    <w:p w14:paraId="00B11F1F" w14:textId="26038A35" w:rsidR="00797F22" w:rsidRDefault="00797F22" w:rsidP="00ED51F3">
      <w:pPr>
        <w:spacing w:after="0" w:line="240" w:lineRule="auto"/>
        <w:jc w:val="both"/>
        <w:rPr>
          <w:rFonts w:cstheme="minorHAnsi"/>
        </w:rPr>
      </w:pPr>
    </w:p>
    <w:p w14:paraId="70D9D198" w14:textId="6F4A9E5A" w:rsidR="00797F22" w:rsidRDefault="00797F22" w:rsidP="00ED51F3">
      <w:pPr>
        <w:spacing w:after="0" w:line="240" w:lineRule="auto"/>
        <w:jc w:val="both"/>
        <w:rPr>
          <w:rFonts w:cstheme="minorHAnsi"/>
        </w:rPr>
      </w:pPr>
    </w:p>
    <w:p w14:paraId="1CA9DB1C" w14:textId="3B4770C1" w:rsidR="00797F22" w:rsidRDefault="00797F22" w:rsidP="00ED51F3">
      <w:pPr>
        <w:spacing w:after="0" w:line="240" w:lineRule="auto"/>
        <w:jc w:val="both"/>
        <w:rPr>
          <w:rFonts w:cstheme="minorHAnsi"/>
        </w:rPr>
      </w:pPr>
    </w:p>
    <w:p w14:paraId="3EBD5CB4" w14:textId="019A2EE6" w:rsidR="00797F22" w:rsidRDefault="00797F22" w:rsidP="00ED51F3">
      <w:pPr>
        <w:spacing w:after="0" w:line="240" w:lineRule="auto"/>
        <w:jc w:val="both"/>
        <w:rPr>
          <w:rFonts w:cstheme="minorHAnsi"/>
        </w:rPr>
      </w:pPr>
    </w:p>
    <w:p w14:paraId="1305E84D" w14:textId="64AD9508" w:rsidR="00797F22" w:rsidRDefault="00797F22" w:rsidP="00ED51F3">
      <w:pPr>
        <w:spacing w:after="0" w:line="240" w:lineRule="auto"/>
        <w:jc w:val="both"/>
        <w:rPr>
          <w:rFonts w:cstheme="minorHAnsi"/>
        </w:rPr>
      </w:pPr>
    </w:p>
    <w:p w14:paraId="723B4F0C" w14:textId="68548089" w:rsidR="00797F22" w:rsidRDefault="00797F22" w:rsidP="00ED51F3">
      <w:pPr>
        <w:spacing w:after="0" w:line="240" w:lineRule="auto"/>
        <w:jc w:val="both"/>
        <w:rPr>
          <w:rFonts w:cstheme="minorHAnsi"/>
        </w:rPr>
      </w:pPr>
    </w:p>
    <w:p w14:paraId="0CD3E74E" w14:textId="385D6584" w:rsidR="00797F22" w:rsidRDefault="00797F22" w:rsidP="00ED51F3">
      <w:pPr>
        <w:spacing w:after="0" w:line="240" w:lineRule="auto"/>
        <w:jc w:val="both"/>
        <w:rPr>
          <w:rFonts w:cstheme="minorHAnsi"/>
        </w:rPr>
      </w:pPr>
    </w:p>
    <w:p w14:paraId="720C4C0C" w14:textId="5CCE530E" w:rsidR="00797F22" w:rsidRDefault="00797F22" w:rsidP="00ED51F3">
      <w:pPr>
        <w:spacing w:after="0" w:line="240" w:lineRule="auto"/>
        <w:jc w:val="both"/>
        <w:rPr>
          <w:rFonts w:cstheme="minorHAnsi"/>
        </w:rPr>
      </w:pPr>
    </w:p>
    <w:p w14:paraId="72553319" w14:textId="49963F51" w:rsidR="00797F22" w:rsidRDefault="00797F22" w:rsidP="00ED51F3">
      <w:pPr>
        <w:spacing w:after="0" w:line="240" w:lineRule="auto"/>
        <w:jc w:val="both"/>
        <w:rPr>
          <w:rFonts w:cstheme="minorHAnsi"/>
        </w:rPr>
      </w:pPr>
    </w:p>
    <w:p w14:paraId="2407DC5F" w14:textId="5C9DE919" w:rsidR="00797F22" w:rsidRDefault="00797F22" w:rsidP="00ED51F3">
      <w:pPr>
        <w:spacing w:after="0" w:line="240" w:lineRule="auto"/>
        <w:jc w:val="both"/>
        <w:rPr>
          <w:rFonts w:cstheme="minorHAnsi"/>
        </w:rPr>
      </w:pPr>
    </w:p>
    <w:p w14:paraId="310453F4" w14:textId="0E157263" w:rsidR="00797F22" w:rsidRDefault="00797F22" w:rsidP="00ED51F3">
      <w:pPr>
        <w:spacing w:after="0" w:line="240" w:lineRule="auto"/>
        <w:jc w:val="both"/>
        <w:rPr>
          <w:rFonts w:cstheme="minorHAnsi"/>
        </w:rPr>
      </w:pPr>
    </w:p>
    <w:p w14:paraId="67D20306" w14:textId="7ECAECD2" w:rsidR="00797F22" w:rsidRDefault="00797F22" w:rsidP="00ED51F3">
      <w:pPr>
        <w:spacing w:after="0" w:line="240" w:lineRule="auto"/>
        <w:jc w:val="both"/>
        <w:rPr>
          <w:rFonts w:cstheme="minorHAnsi"/>
        </w:rPr>
      </w:pPr>
    </w:p>
    <w:p w14:paraId="49EC26DB" w14:textId="039B6F10" w:rsidR="00797F22" w:rsidRDefault="00797F22" w:rsidP="00ED51F3">
      <w:pPr>
        <w:spacing w:after="0" w:line="240" w:lineRule="auto"/>
        <w:jc w:val="both"/>
        <w:rPr>
          <w:rFonts w:cstheme="minorHAnsi"/>
        </w:rPr>
      </w:pPr>
    </w:p>
    <w:p w14:paraId="7D006192" w14:textId="12AC170D" w:rsidR="00797F22" w:rsidRDefault="00797F22" w:rsidP="00ED51F3">
      <w:pPr>
        <w:spacing w:after="0" w:line="240" w:lineRule="auto"/>
        <w:jc w:val="both"/>
        <w:rPr>
          <w:rFonts w:cstheme="minorHAnsi"/>
        </w:rPr>
      </w:pPr>
    </w:p>
    <w:p w14:paraId="6EFD0EAF" w14:textId="7D293BEB" w:rsidR="00797F22" w:rsidRDefault="00797F22" w:rsidP="00ED51F3">
      <w:pPr>
        <w:spacing w:after="0" w:line="240" w:lineRule="auto"/>
        <w:jc w:val="both"/>
        <w:rPr>
          <w:rFonts w:cstheme="minorHAnsi"/>
        </w:rPr>
      </w:pPr>
    </w:p>
    <w:p w14:paraId="31EC9963" w14:textId="77777777" w:rsidR="00797F22" w:rsidRDefault="00797F22" w:rsidP="00ED51F3">
      <w:pPr>
        <w:spacing w:after="0" w:line="240" w:lineRule="auto"/>
        <w:jc w:val="both"/>
        <w:rPr>
          <w:rFonts w:cstheme="minorHAnsi"/>
        </w:rPr>
      </w:pPr>
    </w:p>
    <w:p w14:paraId="3FE9E020" w14:textId="0A47F3EF" w:rsidR="003F001E" w:rsidRDefault="003F001E" w:rsidP="00ED51F3">
      <w:pPr>
        <w:spacing w:after="0" w:line="240" w:lineRule="auto"/>
        <w:jc w:val="both"/>
        <w:rPr>
          <w:rFonts w:cstheme="minorHAnsi"/>
        </w:rPr>
      </w:pPr>
    </w:p>
    <w:p w14:paraId="0565D62B" w14:textId="2ED5E7E5" w:rsidR="003F001E" w:rsidRDefault="003F001E" w:rsidP="00ED51F3">
      <w:pPr>
        <w:spacing w:after="0" w:line="240" w:lineRule="auto"/>
        <w:jc w:val="both"/>
        <w:rPr>
          <w:rFonts w:cstheme="minorHAnsi"/>
        </w:rPr>
      </w:pPr>
    </w:p>
    <w:p w14:paraId="7ADBFED5" w14:textId="77777777" w:rsidR="003F001E" w:rsidRDefault="003F001E" w:rsidP="00ED51F3">
      <w:pPr>
        <w:spacing w:after="0" w:line="240" w:lineRule="auto"/>
        <w:jc w:val="both"/>
        <w:rPr>
          <w:rFonts w:cstheme="minorHAnsi"/>
        </w:rPr>
      </w:pPr>
    </w:p>
    <w:p w14:paraId="01DE3CEF" w14:textId="45D43FAA" w:rsidR="00ED51F3" w:rsidRDefault="00ED51F3" w:rsidP="00ED51F3">
      <w:pPr>
        <w:spacing w:after="0" w:line="240" w:lineRule="auto"/>
        <w:jc w:val="both"/>
        <w:rPr>
          <w:rFonts w:cstheme="minorHAnsi"/>
        </w:rPr>
      </w:pPr>
    </w:p>
    <w:tbl>
      <w:tblPr>
        <w:tblW w:w="10065" w:type="dxa"/>
        <w:tblInd w:w="-142" w:type="dxa"/>
        <w:tblLayout w:type="fixed"/>
        <w:tblCellMar>
          <w:left w:w="70" w:type="dxa"/>
          <w:right w:w="70" w:type="dxa"/>
        </w:tblCellMar>
        <w:tblLook w:val="04A0" w:firstRow="1" w:lastRow="0" w:firstColumn="1" w:lastColumn="0" w:noHBand="0" w:noVBand="1"/>
      </w:tblPr>
      <w:tblGrid>
        <w:gridCol w:w="967"/>
        <w:gridCol w:w="3554"/>
        <w:gridCol w:w="1432"/>
        <w:gridCol w:w="1702"/>
        <w:gridCol w:w="1701"/>
        <w:gridCol w:w="709"/>
      </w:tblGrid>
      <w:tr w:rsidR="0013179B" w:rsidRPr="0013179B" w14:paraId="549BFF95" w14:textId="77777777" w:rsidTr="0013179B">
        <w:trPr>
          <w:trHeight w:val="390"/>
        </w:trPr>
        <w:tc>
          <w:tcPr>
            <w:tcW w:w="10065" w:type="dxa"/>
            <w:gridSpan w:val="6"/>
            <w:tcBorders>
              <w:top w:val="nil"/>
              <w:left w:val="nil"/>
              <w:bottom w:val="nil"/>
              <w:right w:val="nil"/>
            </w:tcBorders>
            <w:shd w:val="clear" w:color="auto" w:fill="auto"/>
            <w:vAlign w:val="bottom"/>
            <w:hideMark/>
          </w:tcPr>
          <w:p w14:paraId="0CC3F509" w14:textId="77777777" w:rsidR="0013179B" w:rsidRPr="0013179B" w:rsidRDefault="0013179B" w:rsidP="0013179B">
            <w:pPr>
              <w:spacing w:after="0" w:line="240" w:lineRule="auto"/>
              <w:jc w:val="center"/>
              <w:rPr>
                <w:rFonts w:ascii="Calibri" w:eastAsia="Times New Roman" w:hAnsi="Calibri" w:cs="Arial"/>
                <w:b/>
                <w:bCs/>
                <w:sz w:val="28"/>
                <w:szCs w:val="28"/>
                <w:lang w:eastAsia="cs-CZ"/>
              </w:rPr>
            </w:pPr>
            <w:r w:rsidRPr="0013179B">
              <w:rPr>
                <w:rFonts w:ascii="Calibri" w:eastAsia="Times New Roman" w:hAnsi="Calibri" w:cs="Arial"/>
                <w:b/>
                <w:bCs/>
                <w:sz w:val="28"/>
                <w:szCs w:val="28"/>
                <w:lang w:eastAsia="cs-CZ"/>
              </w:rPr>
              <w:lastRenderedPageBreak/>
              <w:t>Čerpání rozpočtu kapitoly 07 - Zdravotnictví - období: 1. - 12. 2021</w:t>
            </w:r>
          </w:p>
        </w:tc>
      </w:tr>
      <w:tr w:rsidR="0013179B" w:rsidRPr="0013179B" w14:paraId="7EE8949B" w14:textId="77777777" w:rsidTr="0013179B">
        <w:trPr>
          <w:trHeight w:val="360"/>
        </w:trPr>
        <w:tc>
          <w:tcPr>
            <w:tcW w:w="967" w:type="dxa"/>
            <w:tcBorders>
              <w:top w:val="nil"/>
              <w:left w:val="nil"/>
              <w:bottom w:val="nil"/>
              <w:right w:val="nil"/>
            </w:tcBorders>
            <w:shd w:val="clear" w:color="auto" w:fill="auto"/>
            <w:noWrap/>
            <w:vAlign w:val="bottom"/>
            <w:hideMark/>
          </w:tcPr>
          <w:p w14:paraId="7FA8E27F" w14:textId="77777777" w:rsidR="0013179B" w:rsidRPr="0013179B" w:rsidRDefault="0013179B" w:rsidP="0013179B">
            <w:pPr>
              <w:spacing w:after="0" w:line="240" w:lineRule="auto"/>
              <w:jc w:val="center"/>
              <w:rPr>
                <w:rFonts w:ascii="Calibri" w:eastAsia="Times New Roman" w:hAnsi="Calibri" w:cs="Arial"/>
                <w:b/>
                <w:bCs/>
                <w:sz w:val="28"/>
                <w:szCs w:val="28"/>
                <w:lang w:eastAsia="cs-CZ"/>
              </w:rPr>
            </w:pPr>
          </w:p>
        </w:tc>
        <w:tc>
          <w:tcPr>
            <w:tcW w:w="3554" w:type="dxa"/>
            <w:tcBorders>
              <w:top w:val="nil"/>
              <w:left w:val="nil"/>
              <w:bottom w:val="nil"/>
              <w:right w:val="nil"/>
            </w:tcBorders>
            <w:shd w:val="clear" w:color="auto" w:fill="auto"/>
            <w:noWrap/>
            <w:vAlign w:val="bottom"/>
            <w:hideMark/>
          </w:tcPr>
          <w:p w14:paraId="0D062D82" w14:textId="77777777" w:rsidR="0013179B" w:rsidRPr="0013179B" w:rsidRDefault="0013179B" w:rsidP="0013179B">
            <w:pPr>
              <w:spacing w:after="0" w:line="240" w:lineRule="auto"/>
              <w:rPr>
                <w:rFonts w:ascii="Times New Roman" w:eastAsia="Times New Roman" w:hAnsi="Times New Roman" w:cs="Times New Roman"/>
                <w:sz w:val="20"/>
                <w:szCs w:val="20"/>
                <w:lang w:eastAsia="cs-CZ"/>
              </w:rPr>
            </w:pPr>
          </w:p>
        </w:tc>
        <w:tc>
          <w:tcPr>
            <w:tcW w:w="1432" w:type="dxa"/>
            <w:tcBorders>
              <w:top w:val="nil"/>
              <w:left w:val="nil"/>
              <w:bottom w:val="nil"/>
              <w:right w:val="nil"/>
            </w:tcBorders>
            <w:shd w:val="clear" w:color="auto" w:fill="auto"/>
            <w:noWrap/>
            <w:vAlign w:val="bottom"/>
            <w:hideMark/>
          </w:tcPr>
          <w:p w14:paraId="410C8202" w14:textId="77777777" w:rsidR="0013179B" w:rsidRPr="0013179B" w:rsidRDefault="0013179B" w:rsidP="0013179B">
            <w:pPr>
              <w:spacing w:after="0" w:line="240" w:lineRule="auto"/>
              <w:rPr>
                <w:rFonts w:ascii="Times New Roman" w:eastAsia="Times New Roman" w:hAnsi="Times New Roman" w:cs="Times New Roman"/>
                <w:sz w:val="20"/>
                <w:szCs w:val="20"/>
                <w:lang w:eastAsia="cs-CZ"/>
              </w:rPr>
            </w:pPr>
          </w:p>
        </w:tc>
        <w:tc>
          <w:tcPr>
            <w:tcW w:w="1702" w:type="dxa"/>
            <w:tcBorders>
              <w:top w:val="nil"/>
              <w:left w:val="nil"/>
              <w:bottom w:val="nil"/>
              <w:right w:val="nil"/>
            </w:tcBorders>
            <w:shd w:val="clear" w:color="auto" w:fill="auto"/>
            <w:noWrap/>
            <w:vAlign w:val="bottom"/>
            <w:hideMark/>
          </w:tcPr>
          <w:p w14:paraId="17E45FE5" w14:textId="77777777" w:rsidR="0013179B" w:rsidRPr="0013179B" w:rsidRDefault="0013179B" w:rsidP="0013179B">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2F3F8D83" w14:textId="77777777" w:rsidR="0013179B" w:rsidRPr="0013179B" w:rsidRDefault="0013179B" w:rsidP="0013179B">
            <w:pPr>
              <w:spacing w:after="0" w:line="240" w:lineRule="auto"/>
              <w:rPr>
                <w:rFonts w:ascii="Times New Roman" w:eastAsia="Times New Roman" w:hAnsi="Times New Roman" w:cs="Times New Roman"/>
                <w:sz w:val="20"/>
                <w:szCs w:val="20"/>
                <w:lang w:eastAsia="cs-CZ"/>
              </w:rPr>
            </w:pPr>
          </w:p>
        </w:tc>
        <w:tc>
          <w:tcPr>
            <w:tcW w:w="709" w:type="dxa"/>
            <w:tcBorders>
              <w:top w:val="nil"/>
              <w:left w:val="nil"/>
              <w:bottom w:val="nil"/>
              <w:right w:val="nil"/>
            </w:tcBorders>
            <w:shd w:val="clear" w:color="auto" w:fill="auto"/>
            <w:noWrap/>
            <w:vAlign w:val="bottom"/>
            <w:hideMark/>
          </w:tcPr>
          <w:p w14:paraId="3424B2B5" w14:textId="77777777" w:rsidR="0013179B" w:rsidRPr="0013179B" w:rsidRDefault="0013179B" w:rsidP="0013179B">
            <w:pPr>
              <w:spacing w:after="0" w:line="240" w:lineRule="auto"/>
              <w:jc w:val="right"/>
              <w:rPr>
                <w:rFonts w:ascii="Calibri" w:eastAsia="Times New Roman" w:hAnsi="Calibri" w:cs="Arial"/>
                <w:lang w:eastAsia="cs-CZ"/>
              </w:rPr>
            </w:pPr>
            <w:r w:rsidRPr="0013179B">
              <w:rPr>
                <w:rFonts w:ascii="Calibri" w:eastAsia="Times New Roman" w:hAnsi="Calibri" w:cs="Arial"/>
                <w:lang w:eastAsia="cs-CZ"/>
              </w:rPr>
              <w:t>v Kč</w:t>
            </w:r>
          </w:p>
        </w:tc>
      </w:tr>
      <w:tr w:rsidR="0013179B" w:rsidRPr="0013179B" w14:paraId="0C5557F6" w14:textId="77777777" w:rsidTr="0013179B">
        <w:trPr>
          <w:trHeight w:val="705"/>
        </w:trPr>
        <w:tc>
          <w:tcPr>
            <w:tcW w:w="967" w:type="dxa"/>
            <w:tcBorders>
              <w:top w:val="single" w:sz="8" w:space="0" w:color="auto"/>
              <w:left w:val="single" w:sz="8" w:space="0" w:color="auto"/>
              <w:bottom w:val="single" w:sz="8" w:space="0" w:color="auto"/>
              <w:right w:val="single" w:sz="8" w:space="0" w:color="auto"/>
            </w:tcBorders>
            <w:shd w:val="clear" w:color="000000" w:fill="CCFFCC"/>
            <w:noWrap/>
            <w:vAlign w:val="center"/>
            <w:hideMark/>
          </w:tcPr>
          <w:p w14:paraId="3B99E9C2" w14:textId="77777777" w:rsidR="0013179B" w:rsidRPr="0013179B" w:rsidRDefault="0013179B" w:rsidP="0013179B">
            <w:pPr>
              <w:spacing w:after="0" w:line="240" w:lineRule="auto"/>
              <w:jc w:val="center"/>
              <w:rPr>
                <w:rFonts w:ascii="Calibri" w:eastAsia="Times New Roman" w:hAnsi="Calibri" w:cs="Arial"/>
                <w:sz w:val="20"/>
                <w:szCs w:val="20"/>
                <w:lang w:eastAsia="cs-CZ"/>
              </w:rPr>
            </w:pPr>
            <w:r w:rsidRPr="0013179B">
              <w:rPr>
                <w:rFonts w:ascii="Calibri" w:eastAsia="Times New Roman" w:hAnsi="Calibri" w:cs="Arial"/>
                <w:sz w:val="20"/>
                <w:szCs w:val="20"/>
                <w:lang w:eastAsia="cs-CZ"/>
              </w:rPr>
              <w:t>Paragraf</w:t>
            </w:r>
          </w:p>
        </w:tc>
        <w:tc>
          <w:tcPr>
            <w:tcW w:w="3554" w:type="dxa"/>
            <w:tcBorders>
              <w:top w:val="single" w:sz="8" w:space="0" w:color="auto"/>
              <w:left w:val="nil"/>
              <w:bottom w:val="single" w:sz="8" w:space="0" w:color="auto"/>
              <w:right w:val="single" w:sz="8" w:space="0" w:color="auto"/>
            </w:tcBorders>
            <w:shd w:val="clear" w:color="000000" w:fill="CCFFCC"/>
            <w:noWrap/>
            <w:vAlign w:val="center"/>
            <w:hideMark/>
          </w:tcPr>
          <w:p w14:paraId="1AA97D3D" w14:textId="77777777" w:rsidR="0013179B" w:rsidRPr="0013179B" w:rsidRDefault="0013179B" w:rsidP="0013179B">
            <w:pPr>
              <w:spacing w:after="0" w:line="240" w:lineRule="auto"/>
              <w:jc w:val="center"/>
              <w:rPr>
                <w:rFonts w:ascii="Calibri" w:eastAsia="Times New Roman" w:hAnsi="Calibri" w:cs="Arial"/>
                <w:sz w:val="20"/>
                <w:szCs w:val="20"/>
                <w:lang w:eastAsia="cs-CZ"/>
              </w:rPr>
            </w:pPr>
            <w:r w:rsidRPr="0013179B">
              <w:rPr>
                <w:rFonts w:ascii="Calibri" w:eastAsia="Times New Roman" w:hAnsi="Calibri" w:cs="Arial"/>
                <w:sz w:val="20"/>
                <w:szCs w:val="20"/>
                <w:lang w:eastAsia="cs-CZ"/>
              </w:rPr>
              <w:t>Oblast rozpočtu</w:t>
            </w:r>
          </w:p>
        </w:tc>
        <w:tc>
          <w:tcPr>
            <w:tcW w:w="1432" w:type="dxa"/>
            <w:tcBorders>
              <w:top w:val="single" w:sz="8" w:space="0" w:color="auto"/>
              <w:left w:val="nil"/>
              <w:bottom w:val="single" w:sz="8" w:space="0" w:color="auto"/>
              <w:right w:val="single" w:sz="8" w:space="0" w:color="auto"/>
            </w:tcBorders>
            <w:shd w:val="clear" w:color="000000" w:fill="CCFFCC"/>
            <w:vAlign w:val="center"/>
            <w:hideMark/>
          </w:tcPr>
          <w:p w14:paraId="733644C1" w14:textId="77777777" w:rsidR="0013179B" w:rsidRPr="0013179B" w:rsidRDefault="0013179B" w:rsidP="0013179B">
            <w:pPr>
              <w:spacing w:after="0" w:line="240" w:lineRule="auto"/>
              <w:jc w:val="center"/>
              <w:rPr>
                <w:rFonts w:ascii="Calibri" w:eastAsia="Times New Roman" w:hAnsi="Calibri" w:cs="Arial"/>
                <w:sz w:val="20"/>
                <w:szCs w:val="20"/>
                <w:lang w:eastAsia="cs-CZ"/>
              </w:rPr>
            </w:pPr>
            <w:r w:rsidRPr="0013179B">
              <w:rPr>
                <w:rFonts w:ascii="Calibri" w:eastAsia="Times New Roman" w:hAnsi="Calibri" w:cs="Arial"/>
                <w:sz w:val="20"/>
                <w:szCs w:val="20"/>
                <w:lang w:eastAsia="cs-CZ"/>
              </w:rPr>
              <w:t>Schválený rozpočet</w:t>
            </w:r>
          </w:p>
        </w:tc>
        <w:tc>
          <w:tcPr>
            <w:tcW w:w="1702" w:type="dxa"/>
            <w:tcBorders>
              <w:top w:val="single" w:sz="8" w:space="0" w:color="auto"/>
              <w:left w:val="nil"/>
              <w:bottom w:val="single" w:sz="8" w:space="0" w:color="auto"/>
              <w:right w:val="single" w:sz="8" w:space="0" w:color="auto"/>
            </w:tcBorders>
            <w:shd w:val="clear" w:color="000000" w:fill="CCFFCC"/>
            <w:vAlign w:val="center"/>
            <w:hideMark/>
          </w:tcPr>
          <w:p w14:paraId="03F897C7" w14:textId="77777777" w:rsidR="0013179B" w:rsidRPr="0013179B" w:rsidRDefault="0013179B" w:rsidP="0013179B">
            <w:pPr>
              <w:spacing w:after="0" w:line="240" w:lineRule="auto"/>
              <w:jc w:val="center"/>
              <w:rPr>
                <w:rFonts w:ascii="Calibri" w:eastAsia="Times New Roman" w:hAnsi="Calibri" w:cs="Arial"/>
                <w:sz w:val="20"/>
                <w:szCs w:val="20"/>
                <w:lang w:eastAsia="cs-CZ"/>
              </w:rPr>
            </w:pPr>
            <w:r w:rsidRPr="0013179B">
              <w:rPr>
                <w:rFonts w:ascii="Calibri" w:eastAsia="Times New Roman" w:hAnsi="Calibri" w:cs="Arial"/>
                <w:sz w:val="20"/>
                <w:szCs w:val="20"/>
                <w:lang w:eastAsia="cs-CZ"/>
              </w:rPr>
              <w:t xml:space="preserve">Rozpočet po úpravě </w:t>
            </w:r>
          </w:p>
        </w:tc>
        <w:tc>
          <w:tcPr>
            <w:tcW w:w="1701" w:type="dxa"/>
            <w:tcBorders>
              <w:top w:val="single" w:sz="8" w:space="0" w:color="auto"/>
              <w:left w:val="nil"/>
              <w:bottom w:val="single" w:sz="8" w:space="0" w:color="auto"/>
              <w:right w:val="single" w:sz="8" w:space="0" w:color="auto"/>
            </w:tcBorders>
            <w:shd w:val="clear" w:color="000000" w:fill="CCFFCC"/>
            <w:vAlign w:val="center"/>
            <w:hideMark/>
          </w:tcPr>
          <w:p w14:paraId="72E363EA" w14:textId="77777777" w:rsidR="0013179B" w:rsidRPr="0013179B" w:rsidRDefault="0013179B" w:rsidP="0013179B">
            <w:pPr>
              <w:spacing w:after="0" w:line="240" w:lineRule="auto"/>
              <w:jc w:val="center"/>
              <w:rPr>
                <w:rFonts w:ascii="Calibri" w:eastAsia="Times New Roman" w:hAnsi="Calibri" w:cs="Arial"/>
                <w:sz w:val="20"/>
                <w:szCs w:val="20"/>
                <w:lang w:eastAsia="cs-CZ"/>
              </w:rPr>
            </w:pPr>
            <w:r w:rsidRPr="0013179B">
              <w:rPr>
                <w:rFonts w:ascii="Calibri" w:eastAsia="Times New Roman" w:hAnsi="Calibri" w:cs="Arial"/>
                <w:sz w:val="20"/>
                <w:szCs w:val="20"/>
                <w:lang w:eastAsia="cs-CZ"/>
              </w:rPr>
              <w:t xml:space="preserve">Skutečnost </w:t>
            </w:r>
          </w:p>
        </w:tc>
        <w:tc>
          <w:tcPr>
            <w:tcW w:w="709" w:type="dxa"/>
            <w:tcBorders>
              <w:top w:val="single" w:sz="8" w:space="0" w:color="auto"/>
              <w:left w:val="nil"/>
              <w:bottom w:val="single" w:sz="8" w:space="0" w:color="auto"/>
              <w:right w:val="single" w:sz="8" w:space="0" w:color="auto"/>
            </w:tcBorders>
            <w:shd w:val="clear" w:color="000000" w:fill="CCFFCC"/>
            <w:vAlign w:val="center"/>
            <w:hideMark/>
          </w:tcPr>
          <w:p w14:paraId="187CF1CF" w14:textId="77777777" w:rsidR="0013179B" w:rsidRPr="0013179B" w:rsidRDefault="0013179B" w:rsidP="0013179B">
            <w:pPr>
              <w:spacing w:after="0" w:line="240" w:lineRule="auto"/>
              <w:jc w:val="center"/>
              <w:rPr>
                <w:rFonts w:ascii="Calibri" w:eastAsia="Times New Roman" w:hAnsi="Calibri" w:cs="Arial"/>
                <w:sz w:val="20"/>
                <w:szCs w:val="20"/>
                <w:lang w:eastAsia="cs-CZ"/>
              </w:rPr>
            </w:pPr>
            <w:r w:rsidRPr="0013179B">
              <w:rPr>
                <w:rFonts w:ascii="Calibri" w:eastAsia="Times New Roman" w:hAnsi="Calibri" w:cs="Arial"/>
                <w:sz w:val="20"/>
                <w:szCs w:val="20"/>
                <w:lang w:eastAsia="cs-CZ"/>
              </w:rPr>
              <w:t>% plnění</w:t>
            </w:r>
          </w:p>
        </w:tc>
      </w:tr>
      <w:tr w:rsidR="0013179B" w:rsidRPr="0013179B" w14:paraId="43E018D6" w14:textId="77777777" w:rsidTr="0013179B">
        <w:trPr>
          <w:trHeight w:val="360"/>
        </w:trPr>
        <w:tc>
          <w:tcPr>
            <w:tcW w:w="967" w:type="dxa"/>
            <w:tcBorders>
              <w:top w:val="nil"/>
              <w:left w:val="nil"/>
              <w:bottom w:val="nil"/>
              <w:right w:val="nil"/>
            </w:tcBorders>
            <w:shd w:val="clear" w:color="auto" w:fill="auto"/>
            <w:noWrap/>
            <w:vAlign w:val="bottom"/>
            <w:hideMark/>
          </w:tcPr>
          <w:p w14:paraId="411C2FF7" w14:textId="77777777" w:rsidR="0013179B" w:rsidRPr="0013179B" w:rsidRDefault="0013179B" w:rsidP="0013179B">
            <w:pPr>
              <w:spacing w:after="0" w:line="240" w:lineRule="auto"/>
              <w:jc w:val="center"/>
              <w:rPr>
                <w:rFonts w:ascii="Calibri" w:eastAsia="Times New Roman" w:hAnsi="Calibri" w:cs="Arial"/>
                <w:sz w:val="20"/>
                <w:szCs w:val="20"/>
                <w:lang w:eastAsia="cs-CZ"/>
              </w:rPr>
            </w:pPr>
          </w:p>
        </w:tc>
        <w:tc>
          <w:tcPr>
            <w:tcW w:w="3554" w:type="dxa"/>
            <w:tcBorders>
              <w:top w:val="nil"/>
              <w:left w:val="nil"/>
              <w:bottom w:val="nil"/>
              <w:right w:val="nil"/>
            </w:tcBorders>
            <w:shd w:val="clear" w:color="auto" w:fill="auto"/>
            <w:noWrap/>
            <w:vAlign w:val="bottom"/>
            <w:hideMark/>
          </w:tcPr>
          <w:p w14:paraId="7168E806" w14:textId="77777777" w:rsidR="0013179B" w:rsidRPr="0013179B" w:rsidRDefault="0013179B" w:rsidP="0013179B">
            <w:pPr>
              <w:spacing w:after="0" w:line="240" w:lineRule="auto"/>
              <w:rPr>
                <w:rFonts w:ascii="Calibri" w:eastAsia="Times New Roman" w:hAnsi="Calibri" w:cs="Arial"/>
                <w:b/>
                <w:bCs/>
                <w:lang w:eastAsia="cs-CZ"/>
              </w:rPr>
            </w:pPr>
            <w:r w:rsidRPr="0013179B">
              <w:rPr>
                <w:rFonts w:ascii="Calibri" w:eastAsia="Times New Roman" w:hAnsi="Calibri" w:cs="Arial"/>
                <w:b/>
                <w:bCs/>
                <w:lang w:eastAsia="cs-CZ"/>
              </w:rPr>
              <w:t xml:space="preserve">Běžné výdaje </w:t>
            </w:r>
          </w:p>
        </w:tc>
        <w:tc>
          <w:tcPr>
            <w:tcW w:w="1432" w:type="dxa"/>
            <w:tcBorders>
              <w:top w:val="nil"/>
              <w:left w:val="nil"/>
              <w:bottom w:val="nil"/>
              <w:right w:val="nil"/>
            </w:tcBorders>
            <w:shd w:val="clear" w:color="auto" w:fill="auto"/>
            <w:noWrap/>
            <w:vAlign w:val="bottom"/>
            <w:hideMark/>
          </w:tcPr>
          <w:p w14:paraId="609A3174" w14:textId="77777777" w:rsidR="0013179B" w:rsidRPr="0013179B" w:rsidRDefault="0013179B" w:rsidP="0013179B">
            <w:pPr>
              <w:spacing w:after="0" w:line="240" w:lineRule="auto"/>
              <w:rPr>
                <w:rFonts w:ascii="Calibri" w:eastAsia="Times New Roman" w:hAnsi="Calibri" w:cs="Arial"/>
                <w:b/>
                <w:bCs/>
                <w:lang w:eastAsia="cs-CZ"/>
              </w:rPr>
            </w:pPr>
          </w:p>
        </w:tc>
        <w:tc>
          <w:tcPr>
            <w:tcW w:w="1702" w:type="dxa"/>
            <w:tcBorders>
              <w:top w:val="nil"/>
              <w:left w:val="nil"/>
              <w:bottom w:val="nil"/>
              <w:right w:val="nil"/>
            </w:tcBorders>
            <w:shd w:val="clear" w:color="auto" w:fill="auto"/>
            <w:noWrap/>
            <w:vAlign w:val="bottom"/>
            <w:hideMark/>
          </w:tcPr>
          <w:p w14:paraId="166811F9" w14:textId="77777777" w:rsidR="0013179B" w:rsidRPr="0013179B" w:rsidRDefault="0013179B" w:rsidP="0013179B">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31864756" w14:textId="77777777" w:rsidR="0013179B" w:rsidRPr="0013179B" w:rsidRDefault="0013179B" w:rsidP="0013179B">
            <w:pPr>
              <w:spacing w:after="0" w:line="240" w:lineRule="auto"/>
              <w:rPr>
                <w:rFonts w:ascii="Times New Roman" w:eastAsia="Times New Roman" w:hAnsi="Times New Roman" w:cs="Times New Roman"/>
                <w:sz w:val="20"/>
                <w:szCs w:val="20"/>
                <w:lang w:eastAsia="cs-CZ"/>
              </w:rPr>
            </w:pPr>
          </w:p>
        </w:tc>
        <w:tc>
          <w:tcPr>
            <w:tcW w:w="709" w:type="dxa"/>
            <w:tcBorders>
              <w:top w:val="nil"/>
              <w:left w:val="nil"/>
              <w:bottom w:val="nil"/>
              <w:right w:val="nil"/>
            </w:tcBorders>
            <w:shd w:val="clear" w:color="auto" w:fill="auto"/>
            <w:noWrap/>
            <w:vAlign w:val="bottom"/>
            <w:hideMark/>
          </w:tcPr>
          <w:p w14:paraId="076B8BD5" w14:textId="77777777" w:rsidR="0013179B" w:rsidRPr="0013179B" w:rsidRDefault="0013179B" w:rsidP="0013179B">
            <w:pPr>
              <w:spacing w:after="0" w:line="240" w:lineRule="auto"/>
              <w:rPr>
                <w:rFonts w:ascii="Times New Roman" w:eastAsia="Times New Roman" w:hAnsi="Times New Roman" w:cs="Times New Roman"/>
                <w:sz w:val="20"/>
                <w:szCs w:val="20"/>
                <w:lang w:eastAsia="cs-CZ"/>
              </w:rPr>
            </w:pPr>
          </w:p>
        </w:tc>
      </w:tr>
      <w:tr w:rsidR="0013179B" w:rsidRPr="0013179B" w14:paraId="6FEEF385" w14:textId="77777777" w:rsidTr="0013179B">
        <w:trPr>
          <w:trHeight w:val="300"/>
        </w:trPr>
        <w:tc>
          <w:tcPr>
            <w:tcW w:w="967"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072594E6" w14:textId="77777777" w:rsidR="0013179B" w:rsidRPr="0013179B" w:rsidRDefault="0013179B" w:rsidP="0013179B">
            <w:pPr>
              <w:spacing w:after="0" w:line="240" w:lineRule="auto"/>
              <w:jc w:val="center"/>
              <w:rPr>
                <w:rFonts w:ascii="Calibri" w:eastAsia="Times New Roman" w:hAnsi="Calibri" w:cs="Arial"/>
                <w:sz w:val="20"/>
                <w:szCs w:val="20"/>
                <w:lang w:eastAsia="cs-CZ"/>
              </w:rPr>
            </w:pPr>
            <w:r w:rsidRPr="0013179B">
              <w:rPr>
                <w:rFonts w:ascii="Calibri" w:eastAsia="Times New Roman" w:hAnsi="Calibri" w:cs="Arial"/>
                <w:sz w:val="20"/>
                <w:szCs w:val="20"/>
                <w:lang w:eastAsia="cs-CZ"/>
              </w:rPr>
              <w:t>3513</w:t>
            </w:r>
          </w:p>
        </w:tc>
        <w:tc>
          <w:tcPr>
            <w:tcW w:w="3554" w:type="dxa"/>
            <w:tcBorders>
              <w:top w:val="single" w:sz="4" w:space="0" w:color="auto"/>
              <w:left w:val="nil"/>
              <w:bottom w:val="single" w:sz="4" w:space="0" w:color="auto"/>
              <w:right w:val="single" w:sz="4" w:space="0" w:color="auto"/>
            </w:tcBorders>
            <w:shd w:val="clear" w:color="auto" w:fill="auto"/>
            <w:noWrap/>
            <w:vAlign w:val="bottom"/>
            <w:hideMark/>
          </w:tcPr>
          <w:p w14:paraId="47CDF626" w14:textId="77777777" w:rsidR="0013179B" w:rsidRPr="0013179B" w:rsidRDefault="0013179B" w:rsidP="0013179B">
            <w:pPr>
              <w:spacing w:after="0" w:line="240" w:lineRule="auto"/>
              <w:rPr>
                <w:rFonts w:ascii="Calibri" w:eastAsia="Times New Roman" w:hAnsi="Calibri" w:cs="Arial"/>
                <w:sz w:val="20"/>
                <w:szCs w:val="20"/>
                <w:lang w:eastAsia="cs-CZ"/>
              </w:rPr>
            </w:pPr>
            <w:r w:rsidRPr="0013179B">
              <w:rPr>
                <w:rFonts w:ascii="Calibri" w:eastAsia="Times New Roman" w:hAnsi="Calibri" w:cs="Arial"/>
                <w:sz w:val="20"/>
                <w:szCs w:val="20"/>
                <w:lang w:eastAsia="cs-CZ"/>
              </w:rPr>
              <w:t>Lékařská služba první pomoci</w:t>
            </w:r>
          </w:p>
        </w:tc>
        <w:tc>
          <w:tcPr>
            <w:tcW w:w="1432" w:type="dxa"/>
            <w:tcBorders>
              <w:top w:val="single" w:sz="4" w:space="0" w:color="auto"/>
              <w:left w:val="nil"/>
              <w:bottom w:val="single" w:sz="4" w:space="0" w:color="auto"/>
              <w:right w:val="single" w:sz="4" w:space="0" w:color="auto"/>
            </w:tcBorders>
            <w:shd w:val="clear" w:color="auto" w:fill="auto"/>
            <w:noWrap/>
            <w:vAlign w:val="bottom"/>
            <w:hideMark/>
          </w:tcPr>
          <w:p w14:paraId="4368EB4B"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41 876 000</w:t>
            </w:r>
          </w:p>
        </w:tc>
        <w:tc>
          <w:tcPr>
            <w:tcW w:w="1702" w:type="dxa"/>
            <w:tcBorders>
              <w:top w:val="single" w:sz="4" w:space="0" w:color="auto"/>
              <w:left w:val="nil"/>
              <w:bottom w:val="single" w:sz="4" w:space="0" w:color="auto"/>
              <w:right w:val="single" w:sz="4" w:space="0" w:color="auto"/>
            </w:tcBorders>
            <w:shd w:val="clear" w:color="auto" w:fill="auto"/>
            <w:noWrap/>
            <w:vAlign w:val="bottom"/>
            <w:hideMark/>
          </w:tcPr>
          <w:p w14:paraId="2B176DC5"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43 818 989,00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3CDAEA05"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41 735 200,00</w:t>
            </w:r>
          </w:p>
        </w:tc>
        <w:tc>
          <w:tcPr>
            <w:tcW w:w="709" w:type="dxa"/>
            <w:tcBorders>
              <w:top w:val="single" w:sz="4" w:space="0" w:color="auto"/>
              <w:left w:val="nil"/>
              <w:bottom w:val="single" w:sz="4" w:space="0" w:color="auto"/>
              <w:right w:val="single" w:sz="8" w:space="0" w:color="auto"/>
            </w:tcBorders>
            <w:shd w:val="clear" w:color="auto" w:fill="auto"/>
            <w:noWrap/>
            <w:vAlign w:val="bottom"/>
            <w:hideMark/>
          </w:tcPr>
          <w:p w14:paraId="35509849"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95,2</w:t>
            </w:r>
          </w:p>
        </w:tc>
      </w:tr>
      <w:tr w:rsidR="0013179B" w:rsidRPr="0013179B" w14:paraId="1B050EA0" w14:textId="77777777" w:rsidTr="0013179B">
        <w:trPr>
          <w:trHeight w:val="780"/>
        </w:trPr>
        <w:tc>
          <w:tcPr>
            <w:tcW w:w="967" w:type="dxa"/>
            <w:tcBorders>
              <w:top w:val="nil"/>
              <w:left w:val="single" w:sz="8" w:space="0" w:color="auto"/>
              <w:bottom w:val="single" w:sz="4" w:space="0" w:color="auto"/>
              <w:right w:val="single" w:sz="4" w:space="0" w:color="auto"/>
            </w:tcBorders>
            <w:shd w:val="clear" w:color="auto" w:fill="auto"/>
            <w:noWrap/>
            <w:vAlign w:val="bottom"/>
            <w:hideMark/>
          </w:tcPr>
          <w:p w14:paraId="3D012EB3" w14:textId="77777777" w:rsidR="0013179B" w:rsidRPr="0013179B" w:rsidRDefault="0013179B" w:rsidP="0013179B">
            <w:pPr>
              <w:spacing w:after="0" w:line="240" w:lineRule="auto"/>
              <w:jc w:val="center"/>
              <w:rPr>
                <w:rFonts w:ascii="Calibri" w:eastAsia="Times New Roman" w:hAnsi="Calibri" w:cs="Arial"/>
                <w:sz w:val="20"/>
                <w:szCs w:val="20"/>
                <w:lang w:eastAsia="cs-CZ"/>
              </w:rPr>
            </w:pPr>
            <w:r w:rsidRPr="0013179B">
              <w:rPr>
                <w:rFonts w:ascii="Calibri" w:eastAsia="Times New Roman" w:hAnsi="Calibri" w:cs="Arial"/>
                <w:sz w:val="20"/>
                <w:szCs w:val="20"/>
                <w:lang w:eastAsia="cs-CZ"/>
              </w:rPr>
              <w:t>3522</w:t>
            </w:r>
          </w:p>
        </w:tc>
        <w:tc>
          <w:tcPr>
            <w:tcW w:w="3554" w:type="dxa"/>
            <w:tcBorders>
              <w:top w:val="nil"/>
              <w:left w:val="nil"/>
              <w:bottom w:val="single" w:sz="4" w:space="0" w:color="auto"/>
              <w:right w:val="single" w:sz="4" w:space="0" w:color="auto"/>
            </w:tcBorders>
            <w:shd w:val="clear" w:color="auto" w:fill="auto"/>
            <w:vAlign w:val="bottom"/>
            <w:hideMark/>
          </w:tcPr>
          <w:p w14:paraId="71696CC1" w14:textId="77777777" w:rsidR="0013179B" w:rsidRPr="0013179B" w:rsidRDefault="0013179B" w:rsidP="0013179B">
            <w:pPr>
              <w:spacing w:after="0" w:line="240" w:lineRule="auto"/>
              <w:rPr>
                <w:rFonts w:ascii="Calibri" w:eastAsia="Times New Roman" w:hAnsi="Calibri" w:cs="Arial"/>
                <w:sz w:val="20"/>
                <w:szCs w:val="20"/>
                <w:lang w:eastAsia="cs-CZ"/>
              </w:rPr>
            </w:pPr>
            <w:r w:rsidRPr="0013179B">
              <w:rPr>
                <w:rFonts w:ascii="Calibri" w:eastAsia="Times New Roman" w:hAnsi="Calibri" w:cs="Arial"/>
                <w:sz w:val="20"/>
                <w:szCs w:val="20"/>
                <w:lang w:eastAsia="cs-CZ"/>
              </w:rPr>
              <w:t>Ostatní nemocnice - Nemocnice Rudolfa a Stefanie Benešov a.s., nemocnice Středočeského kraje - kybernetický útok v r. 2019</w:t>
            </w:r>
          </w:p>
        </w:tc>
        <w:tc>
          <w:tcPr>
            <w:tcW w:w="1432" w:type="dxa"/>
            <w:tcBorders>
              <w:top w:val="nil"/>
              <w:left w:val="nil"/>
              <w:bottom w:val="single" w:sz="4" w:space="0" w:color="auto"/>
              <w:right w:val="single" w:sz="4" w:space="0" w:color="auto"/>
            </w:tcBorders>
            <w:shd w:val="clear" w:color="auto" w:fill="auto"/>
            <w:noWrap/>
            <w:vAlign w:val="bottom"/>
            <w:hideMark/>
          </w:tcPr>
          <w:p w14:paraId="747E1F3F"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0</w:t>
            </w:r>
          </w:p>
        </w:tc>
        <w:tc>
          <w:tcPr>
            <w:tcW w:w="1702" w:type="dxa"/>
            <w:tcBorders>
              <w:top w:val="nil"/>
              <w:left w:val="nil"/>
              <w:bottom w:val="single" w:sz="4" w:space="0" w:color="auto"/>
              <w:right w:val="single" w:sz="4" w:space="0" w:color="auto"/>
            </w:tcBorders>
            <w:shd w:val="clear" w:color="auto" w:fill="auto"/>
            <w:noWrap/>
            <w:vAlign w:val="bottom"/>
            <w:hideMark/>
          </w:tcPr>
          <w:p w14:paraId="2581ACE6"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12 450 000,00</w:t>
            </w:r>
          </w:p>
        </w:tc>
        <w:tc>
          <w:tcPr>
            <w:tcW w:w="1701" w:type="dxa"/>
            <w:tcBorders>
              <w:top w:val="nil"/>
              <w:left w:val="nil"/>
              <w:bottom w:val="single" w:sz="4" w:space="0" w:color="auto"/>
              <w:right w:val="single" w:sz="4" w:space="0" w:color="auto"/>
            </w:tcBorders>
            <w:shd w:val="clear" w:color="auto" w:fill="auto"/>
            <w:noWrap/>
            <w:vAlign w:val="bottom"/>
            <w:hideMark/>
          </w:tcPr>
          <w:p w14:paraId="7AD2B484"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12 450 000,00</w:t>
            </w:r>
          </w:p>
        </w:tc>
        <w:tc>
          <w:tcPr>
            <w:tcW w:w="709" w:type="dxa"/>
            <w:tcBorders>
              <w:top w:val="nil"/>
              <w:left w:val="nil"/>
              <w:bottom w:val="single" w:sz="4" w:space="0" w:color="auto"/>
              <w:right w:val="single" w:sz="8" w:space="0" w:color="auto"/>
            </w:tcBorders>
            <w:shd w:val="clear" w:color="auto" w:fill="auto"/>
            <w:noWrap/>
            <w:vAlign w:val="bottom"/>
            <w:hideMark/>
          </w:tcPr>
          <w:p w14:paraId="0064184E"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100,0</w:t>
            </w:r>
          </w:p>
        </w:tc>
      </w:tr>
      <w:tr w:rsidR="0013179B" w:rsidRPr="0013179B" w14:paraId="0EDBF10B" w14:textId="77777777" w:rsidTr="0013179B">
        <w:trPr>
          <w:trHeight w:val="520"/>
        </w:trPr>
        <w:tc>
          <w:tcPr>
            <w:tcW w:w="967" w:type="dxa"/>
            <w:tcBorders>
              <w:top w:val="nil"/>
              <w:left w:val="single" w:sz="8" w:space="0" w:color="auto"/>
              <w:bottom w:val="single" w:sz="4" w:space="0" w:color="auto"/>
              <w:right w:val="single" w:sz="4" w:space="0" w:color="auto"/>
            </w:tcBorders>
            <w:shd w:val="clear" w:color="auto" w:fill="auto"/>
            <w:noWrap/>
            <w:vAlign w:val="bottom"/>
            <w:hideMark/>
          </w:tcPr>
          <w:p w14:paraId="2C0EE300" w14:textId="77777777" w:rsidR="0013179B" w:rsidRPr="0013179B" w:rsidRDefault="0013179B" w:rsidP="0013179B">
            <w:pPr>
              <w:spacing w:after="0" w:line="240" w:lineRule="auto"/>
              <w:jc w:val="center"/>
              <w:rPr>
                <w:rFonts w:ascii="Calibri" w:eastAsia="Times New Roman" w:hAnsi="Calibri" w:cs="Arial"/>
                <w:sz w:val="20"/>
                <w:szCs w:val="20"/>
                <w:lang w:eastAsia="cs-CZ"/>
              </w:rPr>
            </w:pPr>
            <w:r w:rsidRPr="0013179B">
              <w:rPr>
                <w:rFonts w:ascii="Calibri" w:eastAsia="Times New Roman" w:hAnsi="Calibri" w:cs="Arial"/>
                <w:sz w:val="20"/>
                <w:szCs w:val="20"/>
                <w:lang w:eastAsia="cs-CZ"/>
              </w:rPr>
              <w:t>3529</w:t>
            </w:r>
          </w:p>
        </w:tc>
        <w:tc>
          <w:tcPr>
            <w:tcW w:w="3554" w:type="dxa"/>
            <w:tcBorders>
              <w:top w:val="nil"/>
              <w:left w:val="nil"/>
              <w:bottom w:val="single" w:sz="4" w:space="0" w:color="auto"/>
              <w:right w:val="single" w:sz="4" w:space="0" w:color="auto"/>
            </w:tcBorders>
            <w:shd w:val="clear" w:color="auto" w:fill="auto"/>
            <w:vAlign w:val="center"/>
            <w:hideMark/>
          </w:tcPr>
          <w:p w14:paraId="522734D1" w14:textId="77777777" w:rsidR="0013179B" w:rsidRPr="0013179B" w:rsidRDefault="0013179B" w:rsidP="0013179B">
            <w:pPr>
              <w:spacing w:after="0" w:line="240" w:lineRule="auto"/>
              <w:rPr>
                <w:rFonts w:ascii="Calibri" w:eastAsia="Times New Roman" w:hAnsi="Calibri" w:cs="Arial"/>
                <w:sz w:val="20"/>
                <w:szCs w:val="20"/>
                <w:lang w:eastAsia="cs-CZ"/>
              </w:rPr>
            </w:pPr>
            <w:r w:rsidRPr="0013179B">
              <w:rPr>
                <w:rFonts w:ascii="Calibri" w:eastAsia="Times New Roman" w:hAnsi="Calibri" w:cs="Arial"/>
                <w:sz w:val="20"/>
                <w:szCs w:val="20"/>
                <w:lang w:eastAsia="cs-CZ"/>
              </w:rPr>
              <w:t xml:space="preserve">Ostatní ústavní péče (dětská centra) - příspěvek příspěvkovým organizacím </w:t>
            </w:r>
          </w:p>
        </w:tc>
        <w:tc>
          <w:tcPr>
            <w:tcW w:w="1432" w:type="dxa"/>
            <w:tcBorders>
              <w:top w:val="nil"/>
              <w:left w:val="nil"/>
              <w:bottom w:val="single" w:sz="4" w:space="0" w:color="auto"/>
              <w:right w:val="single" w:sz="4" w:space="0" w:color="auto"/>
            </w:tcBorders>
            <w:shd w:val="clear" w:color="auto" w:fill="auto"/>
            <w:noWrap/>
            <w:vAlign w:val="bottom"/>
            <w:hideMark/>
          </w:tcPr>
          <w:p w14:paraId="45220A25"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124 269 000</w:t>
            </w:r>
          </w:p>
        </w:tc>
        <w:tc>
          <w:tcPr>
            <w:tcW w:w="1702" w:type="dxa"/>
            <w:tcBorders>
              <w:top w:val="nil"/>
              <w:left w:val="nil"/>
              <w:bottom w:val="single" w:sz="4" w:space="0" w:color="auto"/>
              <w:right w:val="single" w:sz="4" w:space="0" w:color="auto"/>
            </w:tcBorders>
            <w:shd w:val="clear" w:color="auto" w:fill="auto"/>
            <w:noWrap/>
            <w:vAlign w:val="bottom"/>
            <w:hideMark/>
          </w:tcPr>
          <w:p w14:paraId="45EC0D93"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154 969 294,00</w:t>
            </w:r>
          </w:p>
        </w:tc>
        <w:tc>
          <w:tcPr>
            <w:tcW w:w="1701" w:type="dxa"/>
            <w:tcBorders>
              <w:top w:val="nil"/>
              <w:left w:val="nil"/>
              <w:bottom w:val="single" w:sz="4" w:space="0" w:color="auto"/>
              <w:right w:val="single" w:sz="4" w:space="0" w:color="auto"/>
            </w:tcBorders>
            <w:shd w:val="clear" w:color="auto" w:fill="auto"/>
            <w:noWrap/>
            <w:vAlign w:val="bottom"/>
            <w:hideMark/>
          </w:tcPr>
          <w:p w14:paraId="0BD19BF8"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154 945 040,00</w:t>
            </w:r>
          </w:p>
        </w:tc>
        <w:tc>
          <w:tcPr>
            <w:tcW w:w="709" w:type="dxa"/>
            <w:tcBorders>
              <w:top w:val="nil"/>
              <w:left w:val="nil"/>
              <w:bottom w:val="single" w:sz="4" w:space="0" w:color="auto"/>
              <w:right w:val="single" w:sz="8" w:space="0" w:color="auto"/>
            </w:tcBorders>
            <w:shd w:val="clear" w:color="auto" w:fill="auto"/>
            <w:noWrap/>
            <w:vAlign w:val="bottom"/>
            <w:hideMark/>
          </w:tcPr>
          <w:p w14:paraId="03592B3A"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100,0</w:t>
            </w:r>
          </w:p>
        </w:tc>
      </w:tr>
      <w:tr w:rsidR="0013179B" w:rsidRPr="0013179B" w14:paraId="51014B40" w14:textId="77777777" w:rsidTr="0013179B">
        <w:trPr>
          <w:trHeight w:val="300"/>
        </w:trPr>
        <w:tc>
          <w:tcPr>
            <w:tcW w:w="967" w:type="dxa"/>
            <w:tcBorders>
              <w:top w:val="nil"/>
              <w:left w:val="single" w:sz="8" w:space="0" w:color="auto"/>
              <w:bottom w:val="single" w:sz="4" w:space="0" w:color="auto"/>
              <w:right w:val="single" w:sz="4" w:space="0" w:color="auto"/>
            </w:tcBorders>
            <w:shd w:val="clear" w:color="auto" w:fill="auto"/>
            <w:noWrap/>
            <w:vAlign w:val="bottom"/>
            <w:hideMark/>
          </w:tcPr>
          <w:p w14:paraId="26BAE37A" w14:textId="77777777" w:rsidR="0013179B" w:rsidRPr="0013179B" w:rsidRDefault="0013179B" w:rsidP="0013179B">
            <w:pPr>
              <w:spacing w:after="0" w:line="240" w:lineRule="auto"/>
              <w:jc w:val="center"/>
              <w:rPr>
                <w:rFonts w:ascii="Calibri" w:eastAsia="Times New Roman" w:hAnsi="Calibri" w:cs="Arial"/>
                <w:i/>
                <w:iCs/>
                <w:sz w:val="20"/>
                <w:szCs w:val="20"/>
                <w:lang w:eastAsia="cs-CZ"/>
              </w:rPr>
            </w:pPr>
            <w:r w:rsidRPr="0013179B">
              <w:rPr>
                <w:rFonts w:ascii="Calibri" w:eastAsia="Times New Roman" w:hAnsi="Calibri" w:cs="Arial"/>
                <w:i/>
                <w:iCs/>
                <w:sz w:val="20"/>
                <w:szCs w:val="20"/>
                <w:lang w:eastAsia="cs-CZ"/>
              </w:rPr>
              <w:t> </w:t>
            </w:r>
          </w:p>
        </w:tc>
        <w:tc>
          <w:tcPr>
            <w:tcW w:w="9098" w:type="dxa"/>
            <w:gridSpan w:val="5"/>
            <w:tcBorders>
              <w:top w:val="single" w:sz="4" w:space="0" w:color="auto"/>
              <w:left w:val="nil"/>
              <w:bottom w:val="single" w:sz="4" w:space="0" w:color="auto"/>
              <w:right w:val="single" w:sz="8" w:space="0" w:color="000000"/>
            </w:tcBorders>
            <w:shd w:val="clear" w:color="auto" w:fill="auto"/>
            <w:vAlign w:val="bottom"/>
            <w:hideMark/>
          </w:tcPr>
          <w:p w14:paraId="6AB586CD" w14:textId="77777777" w:rsidR="0013179B" w:rsidRPr="0013179B" w:rsidRDefault="0013179B" w:rsidP="0013179B">
            <w:pPr>
              <w:spacing w:after="0" w:line="240" w:lineRule="auto"/>
              <w:rPr>
                <w:rFonts w:ascii="Calibri" w:eastAsia="Times New Roman" w:hAnsi="Calibri" w:cs="Arial"/>
                <w:sz w:val="20"/>
                <w:szCs w:val="20"/>
                <w:lang w:eastAsia="cs-CZ"/>
              </w:rPr>
            </w:pPr>
            <w:r w:rsidRPr="0013179B">
              <w:rPr>
                <w:rFonts w:ascii="Calibri" w:eastAsia="Times New Roman" w:hAnsi="Calibri" w:cs="Arial"/>
                <w:sz w:val="20"/>
                <w:szCs w:val="20"/>
                <w:lang w:eastAsia="cs-CZ"/>
              </w:rPr>
              <w:t>z toho:</w:t>
            </w:r>
          </w:p>
        </w:tc>
      </w:tr>
      <w:tr w:rsidR="0013179B" w:rsidRPr="0013179B" w14:paraId="28D3C2BE" w14:textId="77777777" w:rsidTr="0013179B">
        <w:trPr>
          <w:trHeight w:val="300"/>
        </w:trPr>
        <w:tc>
          <w:tcPr>
            <w:tcW w:w="967" w:type="dxa"/>
            <w:tcBorders>
              <w:top w:val="nil"/>
              <w:left w:val="single" w:sz="8" w:space="0" w:color="auto"/>
              <w:bottom w:val="single" w:sz="4" w:space="0" w:color="auto"/>
              <w:right w:val="single" w:sz="4" w:space="0" w:color="auto"/>
            </w:tcBorders>
            <w:shd w:val="clear" w:color="auto" w:fill="auto"/>
            <w:noWrap/>
            <w:vAlign w:val="bottom"/>
            <w:hideMark/>
          </w:tcPr>
          <w:p w14:paraId="39B0BBDA" w14:textId="77777777" w:rsidR="0013179B" w:rsidRPr="0013179B" w:rsidRDefault="0013179B" w:rsidP="0013179B">
            <w:pPr>
              <w:spacing w:after="0" w:line="240" w:lineRule="auto"/>
              <w:jc w:val="center"/>
              <w:rPr>
                <w:rFonts w:ascii="Calibri" w:eastAsia="Times New Roman" w:hAnsi="Calibri" w:cs="Arial"/>
                <w:i/>
                <w:iCs/>
                <w:sz w:val="20"/>
                <w:szCs w:val="20"/>
                <w:lang w:eastAsia="cs-CZ"/>
              </w:rPr>
            </w:pPr>
            <w:r w:rsidRPr="0013179B">
              <w:rPr>
                <w:rFonts w:ascii="Calibri" w:eastAsia="Times New Roman" w:hAnsi="Calibri" w:cs="Arial"/>
                <w:i/>
                <w:iCs/>
                <w:sz w:val="20"/>
                <w:szCs w:val="20"/>
                <w:lang w:eastAsia="cs-CZ"/>
              </w:rPr>
              <w:t> </w:t>
            </w:r>
          </w:p>
        </w:tc>
        <w:tc>
          <w:tcPr>
            <w:tcW w:w="3554" w:type="dxa"/>
            <w:tcBorders>
              <w:top w:val="nil"/>
              <w:left w:val="nil"/>
              <w:bottom w:val="single" w:sz="4" w:space="0" w:color="auto"/>
              <w:right w:val="single" w:sz="4" w:space="0" w:color="auto"/>
            </w:tcBorders>
            <w:shd w:val="clear" w:color="auto" w:fill="auto"/>
            <w:vAlign w:val="bottom"/>
            <w:hideMark/>
          </w:tcPr>
          <w:p w14:paraId="4C237FB9" w14:textId="77777777" w:rsidR="0013179B" w:rsidRPr="0013179B" w:rsidRDefault="0013179B" w:rsidP="0013179B">
            <w:pPr>
              <w:spacing w:after="0" w:line="240" w:lineRule="auto"/>
              <w:rPr>
                <w:rFonts w:ascii="Calibri" w:eastAsia="Times New Roman" w:hAnsi="Calibri" w:cs="Arial"/>
                <w:i/>
                <w:iCs/>
                <w:sz w:val="20"/>
                <w:szCs w:val="20"/>
                <w:lang w:eastAsia="cs-CZ"/>
              </w:rPr>
            </w:pPr>
            <w:r w:rsidRPr="0013179B">
              <w:rPr>
                <w:rFonts w:ascii="Calibri" w:eastAsia="Times New Roman" w:hAnsi="Calibri" w:cs="Arial"/>
                <w:i/>
                <w:iCs/>
                <w:sz w:val="20"/>
                <w:szCs w:val="20"/>
                <w:lang w:eastAsia="cs-CZ"/>
              </w:rPr>
              <w:t>příspěvek na provoz</w:t>
            </w:r>
          </w:p>
        </w:tc>
        <w:tc>
          <w:tcPr>
            <w:tcW w:w="1432" w:type="dxa"/>
            <w:tcBorders>
              <w:top w:val="nil"/>
              <w:left w:val="nil"/>
              <w:bottom w:val="single" w:sz="4" w:space="0" w:color="auto"/>
              <w:right w:val="single" w:sz="4" w:space="0" w:color="auto"/>
            </w:tcBorders>
            <w:shd w:val="clear" w:color="auto" w:fill="auto"/>
            <w:noWrap/>
            <w:vAlign w:val="bottom"/>
            <w:hideMark/>
          </w:tcPr>
          <w:p w14:paraId="08E7BAC5" w14:textId="77777777" w:rsidR="0013179B" w:rsidRPr="0013179B" w:rsidRDefault="0013179B" w:rsidP="0013179B">
            <w:pPr>
              <w:spacing w:after="0" w:line="240" w:lineRule="auto"/>
              <w:jc w:val="right"/>
              <w:rPr>
                <w:rFonts w:ascii="Calibri" w:eastAsia="Times New Roman" w:hAnsi="Calibri" w:cs="Arial"/>
                <w:i/>
                <w:iCs/>
                <w:sz w:val="20"/>
                <w:szCs w:val="20"/>
                <w:lang w:eastAsia="cs-CZ"/>
              </w:rPr>
            </w:pPr>
            <w:r w:rsidRPr="0013179B">
              <w:rPr>
                <w:rFonts w:ascii="Calibri" w:eastAsia="Times New Roman" w:hAnsi="Calibri" w:cs="Arial"/>
                <w:i/>
                <w:iCs/>
                <w:sz w:val="20"/>
                <w:szCs w:val="20"/>
                <w:lang w:eastAsia="cs-CZ"/>
              </w:rPr>
              <w:t>8 137 000</w:t>
            </w:r>
          </w:p>
        </w:tc>
        <w:tc>
          <w:tcPr>
            <w:tcW w:w="1702" w:type="dxa"/>
            <w:tcBorders>
              <w:top w:val="nil"/>
              <w:left w:val="nil"/>
              <w:bottom w:val="single" w:sz="4" w:space="0" w:color="auto"/>
              <w:right w:val="single" w:sz="4" w:space="0" w:color="auto"/>
            </w:tcBorders>
            <w:shd w:val="clear" w:color="auto" w:fill="auto"/>
            <w:noWrap/>
            <w:vAlign w:val="bottom"/>
            <w:hideMark/>
          </w:tcPr>
          <w:p w14:paraId="3CF4D3E2" w14:textId="77777777" w:rsidR="0013179B" w:rsidRPr="0013179B" w:rsidRDefault="0013179B" w:rsidP="0013179B">
            <w:pPr>
              <w:spacing w:after="0" w:line="240" w:lineRule="auto"/>
              <w:jc w:val="right"/>
              <w:rPr>
                <w:rFonts w:ascii="Calibri" w:eastAsia="Times New Roman" w:hAnsi="Calibri" w:cs="Arial"/>
                <w:i/>
                <w:iCs/>
                <w:sz w:val="20"/>
                <w:szCs w:val="20"/>
                <w:lang w:eastAsia="cs-CZ"/>
              </w:rPr>
            </w:pPr>
            <w:r w:rsidRPr="0013179B">
              <w:rPr>
                <w:rFonts w:ascii="Calibri" w:eastAsia="Times New Roman" w:hAnsi="Calibri" w:cs="Arial"/>
                <w:i/>
                <w:iCs/>
                <w:sz w:val="20"/>
                <w:szCs w:val="20"/>
                <w:lang w:eastAsia="cs-CZ"/>
              </w:rPr>
              <w:t>29 141 294,00</w:t>
            </w:r>
          </w:p>
        </w:tc>
        <w:tc>
          <w:tcPr>
            <w:tcW w:w="1701" w:type="dxa"/>
            <w:tcBorders>
              <w:top w:val="nil"/>
              <w:left w:val="nil"/>
              <w:bottom w:val="single" w:sz="4" w:space="0" w:color="auto"/>
              <w:right w:val="single" w:sz="4" w:space="0" w:color="auto"/>
            </w:tcBorders>
            <w:shd w:val="clear" w:color="auto" w:fill="auto"/>
            <w:noWrap/>
            <w:vAlign w:val="bottom"/>
            <w:hideMark/>
          </w:tcPr>
          <w:p w14:paraId="17716769" w14:textId="77777777" w:rsidR="0013179B" w:rsidRPr="0013179B" w:rsidRDefault="0013179B" w:rsidP="0013179B">
            <w:pPr>
              <w:spacing w:after="0" w:line="240" w:lineRule="auto"/>
              <w:jc w:val="right"/>
              <w:rPr>
                <w:rFonts w:ascii="Calibri" w:eastAsia="Times New Roman" w:hAnsi="Calibri" w:cs="Arial"/>
                <w:i/>
                <w:iCs/>
                <w:sz w:val="20"/>
                <w:szCs w:val="20"/>
                <w:lang w:eastAsia="cs-CZ"/>
              </w:rPr>
            </w:pPr>
            <w:r w:rsidRPr="0013179B">
              <w:rPr>
                <w:rFonts w:ascii="Calibri" w:eastAsia="Times New Roman" w:hAnsi="Calibri" w:cs="Arial"/>
                <w:i/>
                <w:iCs/>
                <w:sz w:val="20"/>
                <w:szCs w:val="20"/>
                <w:lang w:eastAsia="cs-CZ"/>
              </w:rPr>
              <w:t>29 137 040,00</w:t>
            </w:r>
          </w:p>
        </w:tc>
        <w:tc>
          <w:tcPr>
            <w:tcW w:w="709" w:type="dxa"/>
            <w:tcBorders>
              <w:top w:val="nil"/>
              <w:left w:val="nil"/>
              <w:bottom w:val="single" w:sz="4" w:space="0" w:color="auto"/>
              <w:right w:val="single" w:sz="8" w:space="0" w:color="auto"/>
            </w:tcBorders>
            <w:shd w:val="clear" w:color="auto" w:fill="auto"/>
            <w:noWrap/>
            <w:vAlign w:val="bottom"/>
            <w:hideMark/>
          </w:tcPr>
          <w:p w14:paraId="7498E69B" w14:textId="77777777" w:rsidR="0013179B" w:rsidRPr="0013179B" w:rsidRDefault="0013179B" w:rsidP="0013179B">
            <w:pPr>
              <w:spacing w:after="0" w:line="240" w:lineRule="auto"/>
              <w:jc w:val="right"/>
              <w:rPr>
                <w:rFonts w:ascii="Calibri" w:eastAsia="Times New Roman" w:hAnsi="Calibri" w:cs="Arial"/>
                <w:i/>
                <w:iCs/>
                <w:sz w:val="20"/>
                <w:szCs w:val="20"/>
                <w:lang w:eastAsia="cs-CZ"/>
              </w:rPr>
            </w:pPr>
            <w:r w:rsidRPr="0013179B">
              <w:rPr>
                <w:rFonts w:ascii="Calibri" w:eastAsia="Times New Roman" w:hAnsi="Calibri" w:cs="Arial"/>
                <w:i/>
                <w:iCs/>
                <w:sz w:val="20"/>
                <w:szCs w:val="20"/>
                <w:lang w:eastAsia="cs-CZ"/>
              </w:rPr>
              <w:t>100,0</w:t>
            </w:r>
          </w:p>
        </w:tc>
      </w:tr>
      <w:tr w:rsidR="0013179B" w:rsidRPr="0013179B" w14:paraId="2D228A63" w14:textId="77777777" w:rsidTr="0013179B">
        <w:trPr>
          <w:trHeight w:val="300"/>
        </w:trPr>
        <w:tc>
          <w:tcPr>
            <w:tcW w:w="967" w:type="dxa"/>
            <w:tcBorders>
              <w:top w:val="nil"/>
              <w:left w:val="single" w:sz="8" w:space="0" w:color="auto"/>
              <w:bottom w:val="single" w:sz="4" w:space="0" w:color="auto"/>
              <w:right w:val="single" w:sz="4" w:space="0" w:color="auto"/>
            </w:tcBorders>
            <w:shd w:val="clear" w:color="auto" w:fill="auto"/>
            <w:noWrap/>
            <w:vAlign w:val="bottom"/>
            <w:hideMark/>
          </w:tcPr>
          <w:p w14:paraId="5EE2C55E" w14:textId="77777777" w:rsidR="0013179B" w:rsidRPr="0013179B" w:rsidRDefault="0013179B" w:rsidP="0013179B">
            <w:pPr>
              <w:spacing w:after="0" w:line="240" w:lineRule="auto"/>
              <w:jc w:val="center"/>
              <w:rPr>
                <w:rFonts w:ascii="Calibri" w:eastAsia="Times New Roman" w:hAnsi="Calibri" w:cs="Arial"/>
                <w:i/>
                <w:iCs/>
                <w:sz w:val="20"/>
                <w:szCs w:val="20"/>
                <w:lang w:eastAsia="cs-CZ"/>
              </w:rPr>
            </w:pPr>
            <w:r w:rsidRPr="0013179B">
              <w:rPr>
                <w:rFonts w:ascii="Calibri" w:eastAsia="Times New Roman" w:hAnsi="Calibri" w:cs="Arial"/>
                <w:i/>
                <w:iCs/>
                <w:sz w:val="20"/>
                <w:szCs w:val="20"/>
                <w:lang w:eastAsia="cs-CZ"/>
              </w:rPr>
              <w:t> </w:t>
            </w:r>
          </w:p>
        </w:tc>
        <w:tc>
          <w:tcPr>
            <w:tcW w:w="3554" w:type="dxa"/>
            <w:tcBorders>
              <w:top w:val="nil"/>
              <w:left w:val="nil"/>
              <w:bottom w:val="single" w:sz="4" w:space="0" w:color="auto"/>
              <w:right w:val="single" w:sz="4" w:space="0" w:color="auto"/>
            </w:tcBorders>
            <w:shd w:val="clear" w:color="auto" w:fill="auto"/>
            <w:vAlign w:val="bottom"/>
            <w:hideMark/>
          </w:tcPr>
          <w:p w14:paraId="3CBA98E4" w14:textId="77777777" w:rsidR="0013179B" w:rsidRPr="0013179B" w:rsidRDefault="0013179B" w:rsidP="0013179B">
            <w:pPr>
              <w:spacing w:after="0" w:line="240" w:lineRule="auto"/>
              <w:rPr>
                <w:rFonts w:ascii="Calibri" w:eastAsia="Times New Roman" w:hAnsi="Calibri" w:cs="Arial"/>
                <w:i/>
                <w:iCs/>
                <w:sz w:val="20"/>
                <w:szCs w:val="20"/>
                <w:lang w:eastAsia="cs-CZ"/>
              </w:rPr>
            </w:pPr>
            <w:r w:rsidRPr="0013179B">
              <w:rPr>
                <w:rFonts w:ascii="Calibri" w:eastAsia="Times New Roman" w:hAnsi="Calibri" w:cs="Arial"/>
                <w:i/>
                <w:iCs/>
                <w:sz w:val="20"/>
                <w:szCs w:val="20"/>
                <w:lang w:eastAsia="cs-CZ"/>
              </w:rPr>
              <w:t>příspěvek na mzdové výdaje</w:t>
            </w:r>
          </w:p>
        </w:tc>
        <w:tc>
          <w:tcPr>
            <w:tcW w:w="1432" w:type="dxa"/>
            <w:tcBorders>
              <w:top w:val="nil"/>
              <w:left w:val="nil"/>
              <w:bottom w:val="single" w:sz="4" w:space="0" w:color="auto"/>
              <w:right w:val="single" w:sz="4" w:space="0" w:color="auto"/>
            </w:tcBorders>
            <w:shd w:val="clear" w:color="auto" w:fill="auto"/>
            <w:noWrap/>
            <w:vAlign w:val="bottom"/>
            <w:hideMark/>
          </w:tcPr>
          <w:p w14:paraId="5D883253" w14:textId="77777777" w:rsidR="0013179B" w:rsidRPr="0013179B" w:rsidRDefault="0013179B" w:rsidP="0013179B">
            <w:pPr>
              <w:spacing w:after="0" w:line="240" w:lineRule="auto"/>
              <w:jc w:val="right"/>
              <w:rPr>
                <w:rFonts w:ascii="Calibri" w:eastAsia="Times New Roman" w:hAnsi="Calibri" w:cs="Arial"/>
                <w:i/>
                <w:iCs/>
                <w:sz w:val="20"/>
                <w:szCs w:val="20"/>
                <w:lang w:eastAsia="cs-CZ"/>
              </w:rPr>
            </w:pPr>
            <w:r w:rsidRPr="0013179B">
              <w:rPr>
                <w:rFonts w:ascii="Calibri" w:eastAsia="Times New Roman" w:hAnsi="Calibri" w:cs="Arial"/>
                <w:i/>
                <w:iCs/>
                <w:sz w:val="20"/>
                <w:szCs w:val="20"/>
                <w:lang w:eastAsia="cs-CZ"/>
              </w:rPr>
              <w:t>113 932 000</w:t>
            </w:r>
          </w:p>
        </w:tc>
        <w:tc>
          <w:tcPr>
            <w:tcW w:w="1702" w:type="dxa"/>
            <w:tcBorders>
              <w:top w:val="nil"/>
              <w:left w:val="nil"/>
              <w:bottom w:val="single" w:sz="4" w:space="0" w:color="auto"/>
              <w:right w:val="single" w:sz="4" w:space="0" w:color="auto"/>
            </w:tcBorders>
            <w:shd w:val="clear" w:color="auto" w:fill="auto"/>
            <w:noWrap/>
            <w:vAlign w:val="bottom"/>
            <w:hideMark/>
          </w:tcPr>
          <w:p w14:paraId="4CFF8FA4" w14:textId="77777777" w:rsidR="0013179B" w:rsidRPr="0013179B" w:rsidRDefault="0013179B" w:rsidP="0013179B">
            <w:pPr>
              <w:spacing w:after="0" w:line="240" w:lineRule="auto"/>
              <w:jc w:val="right"/>
              <w:rPr>
                <w:rFonts w:ascii="Calibri" w:eastAsia="Times New Roman" w:hAnsi="Calibri" w:cs="Arial"/>
                <w:i/>
                <w:iCs/>
                <w:sz w:val="20"/>
                <w:szCs w:val="20"/>
                <w:lang w:eastAsia="cs-CZ"/>
              </w:rPr>
            </w:pPr>
            <w:r w:rsidRPr="0013179B">
              <w:rPr>
                <w:rFonts w:ascii="Calibri" w:eastAsia="Times New Roman" w:hAnsi="Calibri" w:cs="Arial"/>
                <w:i/>
                <w:iCs/>
                <w:sz w:val="20"/>
                <w:szCs w:val="20"/>
                <w:lang w:eastAsia="cs-CZ"/>
              </w:rPr>
              <w:t>123 108 000,00</w:t>
            </w:r>
          </w:p>
        </w:tc>
        <w:tc>
          <w:tcPr>
            <w:tcW w:w="1701" w:type="dxa"/>
            <w:tcBorders>
              <w:top w:val="nil"/>
              <w:left w:val="nil"/>
              <w:bottom w:val="single" w:sz="4" w:space="0" w:color="auto"/>
              <w:right w:val="single" w:sz="4" w:space="0" w:color="auto"/>
            </w:tcBorders>
            <w:shd w:val="clear" w:color="auto" w:fill="auto"/>
            <w:noWrap/>
            <w:vAlign w:val="bottom"/>
            <w:hideMark/>
          </w:tcPr>
          <w:p w14:paraId="0336593A" w14:textId="77777777" w:rsidR="0013179B" w:rsidRPr="0013179B" w:rsidRDefault="0013179B" w:rsidP="0013179B">
            <w:pPr>
              <w:spacing w:after="0" w:line="240" w:lineRule="auto"/>
              <w:jc w:val="right"/>
              <w:rPr>
                <w:rFonts w:ascii="Calibri" w:eastAsia="Times New Roman" w:hAnsi="Calibri" w:cs="Arial"/>
                <w:i/>
                <w:iCs/>
                <w:sz w:val="20"/>
                <w:szCs w:val="20"/>
                <w:lang w:eastAsia="cs-CZ"/>
              </w:rPr>
            </w:pPr>
            <w:r w:rsidRPr="0013179B">
              <w:rPr>
                <w:rFonts w:ascii="Calibri" w:eastAsia="Times New Roman" w:hAnsi="Calibri" w:cs="Arial"/>
                <w:i/>
                <w:iCs/>
                <w:sz w:val="20"/>
                <w:szCs w:val="20"/>
                <w:lang w:eastAsia="cs-CZ"/>
              </w:rPr>
              <w:t>123 108 000,00</w:t>
            </w:r>
          </w:p>
        </w:tc>
        <w:tc>
          <w:tcPr>
            <w:tcW w:w="709" w:type="dxa"/>
            <w:tcBorders>
              <w:top w:val="nil"/>
              <w:left w:val="nil"/>
              <w:bottom w:val="single" w:sz="4" w:space="0" w:color="auto"/>
              <w:right w:val="single" w:sz="8" w:space="0" w:color="auto"/>
            </w:tcBorders>
            <w:shd w:val="clear" w:color="auto" w:fill="auto"/>
            <w:noWrap/>
            <w:vAlign w:val="bottom"/>
            <w:hideMark/>
          </w:tcPr>
          <w:p w14:paraId="5709C6F5" w14:textId="77777777" w:rsidR="0013179B" w:rsidRPr="0013179B" w:rsidRDefault="0013179B" w:rsidP="0013179B">
            <w:pPr>
              <w:spacing w:after="0" w:line="240" w:lineRule="auto"/>
              <w:jc w:val="right"/>
              <w:rPr>
                <w:rFonts w:ascii="Calibri" w:eastAsia="Times New Roman" w:hAnsi="Calibri" w:cs="Arial"/>
                <w:i/>
                <w:iCs/>
                <w:sz w:val="20"/>
                <w:szCs w:val="20"/>
                <w:lang w:eastAsia="cs-CZ"/>
              </w:rPr>
            </w:pPr>
            <w:r w:rsidRPr="0013179B">
              <w:rPr>
                <w:rFonts w:ascii="Calibri" w:eastAsia="Times New Roman" w:hAnsi="Calibri" w:cs="Arial"/>
                <w:i/>
                <w:iCs/>
                <w:sz w:val="20"/>
                <w:szCs w:val="20"/>
                <w:lang w:eastAsia="cs-CZ"/>
              </w:rPr>
              <w:t>100,0</w:t>
            </w:r>
          </w:p>
        </w:tc>
      </w:tr>
      <w:tr w:rsidR="0013179B" w:rsidRPr="0013179B" w14:paraId="7B8602E6" w14:textId="77777777" w:rsidTr="0013179B">
        <w:trPr>
          <w:trHeight w:val="300"/>
        </w:trPr>
        <w:tc>
          <w:tcPr>
            <w:tcW w:w="967" w:type="dxa"/>
            <w:tcBorders>
              <w:top w:val="nil"/>
              <w:left w:val="single" w:sz="8" w:space="0" w:color="auto"/>
              <w:bottom w:val="single" w:sz="4" w:space="0" w:color="auto"/>
              <w:right w:val="single" w:sz="4" w:space="0" w:color="auto"/>
            </w:tcBorders>
            <w:shd w:val="clear" w:color="auto" w:fill="auto"/>
            <w:noWrap/>
            <w:vAlign w:val="bottom"/>
            <w:hideMark/>
          </w:tcPr>
          <w:p w14:paraId="2123B93B" w14:textId="77777777" w:rsidR="0013179B" w:rsidRPr="0013179B" w:rsidRDefault="0013179B" w:rsidP="0013179B">
            <w:pPr>
              <w:spacing w:after="0" w:line="240" w:lineRule="auto"/>
              <w:jc w:val="center"/>
              <w:rPr>
                <w:rFonts w:ascii="Calibri" w:eastAsia="Times New Roman" w:hAnsi="Calibri" w:cs="Arial"/>
                <w:i/>
                <w:iCs/>
                <w:sz w:val="20"/>
                <w:szCs w:val="20"/>
                <w:lang w:eastAsia="cs-CZ"/>
              </w:rPr>
            </w:pPr>
            <w:r w:rsidRPr="0013179B">
              <w:rPr>
                <w:rFonts w:ascii="Calibri" w:eastAsia="Times New Roman" w:hAnsi="Calibri" w:cs="Arial"/>
                <w:i/>
                <w:iCs/>
                <w:sz w:val="20"/>
                <w:szCs w:val="20"/>
                <w:lang w:eastAsia="cs-CZ"/>
              </w:rPr>
              <w:t> </w:t>
            </w:r>
          </w:p>
        </w:tc>
        <w:tc>
          <w:tcPr>
            <w:tcW w:w="3554" w:type="dxa"/>
            <w:tcBorders>
              <w:top w:val="nil"/>
              <w:left w:val="nil"/>
              <w:bottom w:val="single" w:sz="4" w:space="0" w:color="auto"/>
              <w:right w:val="single" w:sz="4" w:space="0" w:color="auto"/>
            </w:tcBorders>
            <w:shd w:val="clear" w:color="auto" w:fill="auto"/>
            <w:vAlign w:val="bottom"/>
            <w:hideMark/>
          </w:tcPr>
          <w:p w14:paraId="7285C7ED" w14:textId="77777777" w:rsidR="0013179B" w:rsidRPr="0013179B" w:rsidRDefault="0013179B" w:rsidP="0013179B">
            <w:pPr>
              <w:spacing w:after="0" w:line="240" w:lineRule="auto"/>
              <w:rPr>
                <w:rFonts w:ascii="Calibri" w:eastAsia="Times New Roman" w:hAnsi="Calibri" w:cs="Arial"/>
                <w:i/>
                <w:iCs/>
                <w:sz w:val="20"/>
                <w:szCs w:val="20"/>
                <w:lang w:eastAsia="cs-CZ"/>
              </w:rPr>
            </w:pPr>
            <w:r w:rsidRPr="0013179B">
              <w:rPr>
                <w:rFonts w:ascii="Calibri" w:eastAsia="Times New Roman" w:hAnsi="Calibri" w:cs="Arial"/>
                <w:i/>
                <w:iCs/>
                <w:sz w:val="20"/>
                <w:szCs w:val="20"/>
                <w:lang w:eastAsia="cs-CZ"/>
              </w:rPr>
              <w:t>příspěvek na běžné opravy a udržování</w:t>
            </w:r>
          </w:p>
        </w:tc>
        <w:tc>
          <w:tcPr>
            <w:tcW w:w="1432" w:type="dxa"/>
            <w:tcBorders>
              <w:top w:val="nil"/>
              <w:left w:val="nil"/>
              <w:bottom w:val="single" w:sz="4" w:space="0" w:color="auto"/>
              <w:right w:val="single" w:sz="4" w:space="0" w:color="auto"/>
            </w:tcBorders>
            <w:shd w:val="clear" w:color="auto" w:fill="auto"/>
            <w:noWrap/>
            <w:vAlign w:val="bottom"/>
            <w:hideMark/>
          </w:tcPr>
          <w:p w14:paraId="1153B17B" w14:textId="77777777" w:rsidR="0013179B" w:rsidRPr="0013179B" w:rsidRDefault="0013179B" w:rsidP="0013179B">
            <w:pPr>
              <w:spacing w:after="0" w:line="240" w:lineRule="auto"/>
              <w:jc w:val="right"/>
              <w:rPr>
                <w:rFonts w:ascii="Calibri" w:eastAsia="Times New Roman" w:hAnsi="Calibri" w:cs="Arial"/>
                <w:i/>
                <w:iCs/>
                <w:sz w:val="20"/>
                <w:szCs w:val="20"/>
                <w:lang w:eastAsia="cs-CZ"/>
              </w:rPr>
            </w:pPr>
            <w:r w:rsidRPr="0013179B">
              <w:rPr>
                <w:rFonts w:ascii="Calibri" w:eastAsia="Times New Roman" w:hAnsi="Calibri" w:cs="Arial"/>
                <w:i/>
                <w:iCs/>
                <w:sz w:val="20"/>
                <w:szCs w:val="20"/>
                <w:lang w:eastAsia="cs-CZ"/>
              </w:rPr>
              <w:t>2 200 000</w:t>
            </w:r>
          </w:p>
        </w:tc>
        <w:tc>
          <w:tcPr>
            <w:tcW w:w="1702" w:type="dxa"/>
            <w:tcBorders>
              <w:top w:val="nil"/>
              <w:left w:val="nil"/>
              <w:bottom w:val="single" w:sz="4" w:space="0" w:color="auto"/>
              <w:right w:val="single" w:sz="4" w:space="0" w:color="auto"/>
            </w:tcBorders>
            <w:shd w:val="clear" w:color="auto" w:fill="auto"/>
            <w:noWrap/>
            <w:vAlign w:val="bottom"/>
            <w:hideMark/>
          </w:tcPr>
          <w:p w14:paraId="52CC8231" w14:textId="77777777" w:rsidR="0013179B" w:rsidRPr="0013179B" w:rsidRDefault="0013179B" w:rsidP="0013179B">
            <w:pPr>
              <w:spacing w:after="0" w:line="240" w:lineRule="auto"/>
              <w:jc w:val="right"/>
              <w:rPr>
                <w:rFonts w:ascii="Calibri" w:eastAsia="Times New Roman" w:hAnsi="Calibri" w:cs="Arial"/>
                <w:i/>
                <w:iCs/>
                <w:sz w:val="20"/>
                <w:szCs w:val="20"/>
                <w:lang w:eastAsia="cs-CZ"/>
              </w:rPr>
            </w:pPr>
            <w:r w:rsidRPr="0013179B">
              <w:rPr>
                <w:rFonts w:ascii="Calibri" w:eastAsia="Times New Roman" w:hAnsi="Calibri" w:cs="Arial"/>
                <w:i/>
                <w:iCs/>
                <w:sz w:val="20"/>
                <w:szCs w:val="20"/>
                <w:lang w:eastAsia="cs-CZ"/>
              </w:rPr>
              <w:t>2 720 000,00</w:t>
            </w:r>
          </w:p>
        </w:tc>
        <w:tc>
          <w:tcPr>
            <w:tcW w:w="1701" w:type="dxa"/>
            <w:tcBorders>
              <w:top w:val="nil"/>
              <w:left w:val="nil"/>
              <w:bottom w:val="single" w:sz="4" w:space="0" w:color="auto"/>
              <w:right w:val="single" w:sz="4" w:space="0" w:color="auto"/>
            </w:tcBorders>
            <w:shd w:val="clear" w:color="auto" w:fill="auto"/>
            <w:noWrap/>
            <w:vAlign w:val="bottom"/>
            <w:hideMark/>
          </w:tcPr>
          <w:p w14:paraId="0AAB68B9" w14:textId="77777777" w:rsidR="0013179B" w:rsidRPr="0013179B" w:rsidRDefault="0013179B" w:rsidP="0013179B">
            <w:pPr>
              <w:spacing w:after="0" w:line="240" w:lineRule="auto"/>
              <w:jc w:val="right"/>
              <w:rPr>
                <w:rFonts w:ascii="Calibri" w:eastAsia="Times New Roman" w:hAnsi="Calibri" w:cs="Arial"/>
                <w:i/>
                <w:iCs/>
                <w:sz w:val="20"/>
                <w:szCs w:val="20"/>
                <w:lang w:eastAsia="cs-CZ"/>
              </w:rPr>
            </w:pPr>
            <w:r w:rsidRPr="0013179B">
              <w:rPr>
                <w:rFonts w:ascii="Calibri" w:eastAsia="Times New Roman" w:hAnsi="Calibri" w:cs="Arial"/>
                <w:i/>
                <w:iCs/>
                <w:sz w:val="20"/>
                <w:szCs w:val="20"/>
                <w:lang w:eastAsia="cs-CZ"/>
              </w:rPr>
              <w:t>2 700 000,00</w:t>
            </w:r>
          </w:p>
        </w:tc>
        <w:tc>
          <w:tcPr>
            <w:tcW w:w="709" w:type="dxa"/>
            <w:tcBorders>
              <w:top w:val="nil"/>
              <w:left w:val="nil"/>
              <w:bottom w:val="single" w:sz="4" w:space="0" w:color="auto"/>
              <w:right w:val="single" w:sz="8" w:space="0" w:color="auto"/>
            </w:tcBorders>
            <w:shd w:val="clear" w:color="auto" w:fill="auto"/>
            <w:noWrap/>
            <w:vAlign w:val="bottom"/>
            <w:hideMark/>
          </w:tcPr>
          <w:p w14:paraId="6CDD294B" w14:textId="77777777" w:rsidR="0013179B" w:rsidRPr="0013179B" w:rsidRDefault="0013179B" w:rsidP="0013179B">
            <w:pPr>
              <w:spacing w:after="0" w:line="240" w:lineRule="auto"/>
              <w:jc w:val="right"/>
              <w:rPr>
                <w:rFonts w:ascii="Calibri" w:eastAsia="Times New Roman" w:hAnsi="Calibri" w:cs="Arial"/>
                <w:i/>
                <w:iCs/>
                <w:sz w:val="20"/>
                <w:szCs w:val="20"/>
                <w:lang w:eastAsia="cs-CZ"/>
              </w:rPr>
            </w:pPr>
            <w:r w:rsidRPr="0013179B">
              <w:rPr>
                <w:rFonts w:ascii="Calibri" w:eastAsia="Times New Roman" w:hAnsi="Calibri" w:cs="Arial"/>
                <w:i/>
                <w:iCs/>
                <w:sz w:val="20"/>
                <w:szCs w:val="20"/>
                <w:lang w:eastAsia="cs-CZ"/>
              </w:rPr>
              <w:t>99,3</w:t>
            </w:r>
          </w:p>
        </w:tc>
      </w:tr>
      <w:tr w:rsidR="0013179B" w:rsidRPr="0013179B" w14:paraId="597380D5" w14:textId="77777777" w:rsidTr="0013179B">
        <w:trPr>
          <w:trHeight w:val="520"/>
        </w:trPr>
        <w:tc>
          <w:tcPr>
            <w:tcW w:w="967" w:type="dxa"/>
            <w:tcBorders>
              <w:top w:val="nil"/>
              <w:left w:val="single" w:sz="8" w:space="0" w:color="auto"/>
              <w:bottom w:val="single" w:sz="4" w:space="0" w:color="auto"/>
              <w:right w:val="single" w:sz="4" w:space="0" w:color="auto"/>
            </w:tcBorders>
            <w:shd w:val="clear" w:color="auto" w:fill="auto"/>
            <w:noWrap/>
            <w:vAlign w:val="bottom"/>
            <w:hideMark/>
          </w:tcPr>
          <w:p w14:paraId="5F2A3E0B" w14:textId="77777777" w:rsidR="0013179B" w:rsidRPr="0013179B" w:rsidRDefault="0013179B" w:rsidP="0013179B">
            <w:pPr>
              <w:spacing w:after="0" w:line="240" w:lineRule="auto"/>
              <w:jc w:val="center"/>
              <w:rPr>
                <w:rFonts w:ascii="Calibri" w:eastAsia="Times New Roman" w:hAnsi="Calibri" w:cs="Arial"/>
                <w:sz w:val="20"/>
                <w:szCs w:val="20"/>
                <w:lang w:eastAsia="cs-CZ"/>
              </w:rPr>
            </w:pPr>
            <w:r w:rsidRPr="0013179B">
              <w:rPr>
                <w:rFonts w:ascii="Calibri" w:eastAsia="Times New Roman" w:hAnsi="Calibri" w:cs="Arial"/>
                <w:sz w:val="20"/>
                <w:szCs w:val="20"/>
                <w:lang w:eastAsia="cs-CZ"/>
              </w:rPr>
              <w:t>3533</w:t>
            </w:r>
          </w:p>
        </w:tc>
        <w:tc>
          <w:tcPr>
            <w:tcW w:w="3554" w:type="dxa"/>
            <w:tcBorders>
              <w:top w:val="nil"/>
              <w:left w:val="nil"/>
              <w:bottom w:val="single" w:sz="4" w:space="0" w:color="auto"/>
              <w:right w:val="single" w:sz="4" w:space="0" w:color="auto"/>
            </w:tcBorders>
            <w:shd w:val="clear" w:color="auto" w:fill="auto"/>
            <w:vAlign w:val="center"/>
            <w:hideMark/>
          </w:tcPr>
          <w:p w14:paraId="729B1C03" w14:textId="77777777" w:rsidR="0013179B" w:rsidRPr="0013179B" w:rsidRDefault="0013179B" w:rsidP="0013179B">
            <w:pPr>
              <w:spacing w:after="0" w:line="240" w:lineRule="auto"/>
              <w:rPr>
                <w:rFonts w:ascii="Calibri" w:eastAsia="Times New Roman" w:hAnsi="Calibri" w:cs="Arial"/>
                <w:sz w:val="20"/>
                <w:szCs w:val="20"/>
                <w:lang w:eastAsia="cs-CZ"/>
              </w:rPr>
            </w:pPr>
            <w:r w:rsidRPr="0013179B">
              <w:rPr>
                <w:rFonts w:ascii="Calibri" w:eastAsia="Times New Roman" w:hAnsi="Calibri" w:cs="Arial"/>
                <w:sz w:val="20"/>
                <w:szCs w:val="20"/>
                <w:lang w:eastAsia="cs-CZ"/>
              </w:rPr>
              <w:t>Zdravotnická záchranná služba - příspěvek příspěvkovým organizacím</w:t>
            </w:r>
          </w:p>
        </w:tc>
        <w:tc>
          <w:tcPr>
            <w:tcW w:w="1432" w:type="dxa"/>
            <w:tcBorders>
              <w:top w:val="nil"/>
              <w:left w:val="nil"/>
              <w:bottom w:val="single" w:sz="4" w:space="0" w:color="auto"/>
              <w:right w:val="single" w:sz="4" w:space="0" w:color="auto"/>
            </w:tcBorders>
            <w:shd w:val="clear" w:color="auto" w:fill="auto"/>
            <w:noWrap/>
            <w:vAlign w:val="bottom"/>
            <w:hideMark/>
          </w:tcPr>
          <w:p w14:paraId="438E8E22"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498 700 000</w:t>
            </w:r>
          </w:p>
        </w:tc>
        <w:tc>
          <w:tcPr>
            <w:tcW w:w="1702" w:type="dxa"/>
            <w:tcBorders>
              <w:top w:val="nil"/>
              <w:left w:val="nil"/>
              <w:bottom w:val="single" w:sz="4" w:space="0" w:color="auto"/>
              <w:right w:val="single" w:sz="4" w:space="0" w:color="auto"/>
            </w:tcBorders>
            <w:shd w:val="clear" w:color="auto" w:fill="auto"/>
            <w:noWrap/>
            <w:vAlign w:val="bottom"/>
            <w:hideMark/>
          </w:tcPr>
          <w:p w14:paraId="4EEF8FAF"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626 806 842,03</w:t>
            </w:r>
          </w:p>
        </w:tc>
        <w:tc>
          <w:tcPr>
            <w:tcW w:w="1701" w:type="dxa"/>
            <w:tcBorders>
              <w:top w:val="nil"/>
              <w:left w:val="nil"/>
              <w:bottom w:val="single" w:sz="4" w:space="0" w:color="auto"/>
              <w:right w:val="single" w:sz="4" w:space="0" w:color="auto"/>
            </w:tcBorders>
            <w:shd w:val="clear" w:color="auto" w:fill="auto"/>
            <w:noWrap/>
            <w:vAlign w:val="bottom"/>
            <w:hideMark/>
          </w:tcPr>
          <w:p w14:paraId="5768048A"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626 806 842,03</w:t>
            </w:r>
          </w:p>
        </w:tc>
        <w:tc>
          <w:tcPr>
            <w:tcW w:w="709" w:type="dxa"/>
            <w:tcBorders>
              <w:top w:val="nil"/>
              <w:left w:val="nil"/>
              <w:bottom w:val="single" w:sz="4" w:space="0" w:color="auto"/>
              <w:right w:val="single" w:sz="8" w:space="0" w:color="auto"/>
            </w:tcBorders>
            <w:shd w:val="clear" w:color="auto" w:fill="auto"/>
            <w:noWrap/>
            <w:vAlign w:val="bottom"/>
            <w:hideMark/>
          </w:tcPr>
          <w:p w14:paraId="4C83056A"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100,0</w:t>
            </w:r>
          </w:p>
        </w:tc>
      </w:tr>
      <w:tr w:rsidR="0013179B" w:rsidRPr="0013179B" w14:paraId="616F347A" w14:textId="77777777" w:rsidTr="0013179B">
        <w:trPr>
          <w:trHeight w:val="300"/>
        </w:trPr>
        <w:tc>
          <w:tcPr>
            <w:tcW w:w="967" w:type="dxa"/>
            <w:tcBorders>
              <w:top w:val="nil"/>
              <w:left w:val="single" w:sz="8" w:space="0" w:color="auto"/>
              <w:bottom w:val="single" w:sz="4" w:space="0" w:color="auto"/>
              <w:right w:val="single" w:sz="4" w:space="0" w:color="auto"/>
            </w:tcBorders>
            <w:shd w:val="clear" w:color="auto" w:fill="auto"/>
            <w:noWrap/>
            <w:vAlign w:val="bottom"/>
            <w:hideMark/>
          </w:tcPr>
          <w:p w14:paraId="3F22569A" w14:textId="77777777" w:rsidR="0013179B" w:rsidRPr="0013179B" w:rsidRDefault="0013179B" w:rsidP="0013179B">
            <w:pPr>
              <w:spacing w:after="0" w:line="240" w:lineRule="auto"/>
              <w:jc w:val="center"/>
              <w:rPr>
                <w:rFonts w:ascii="Calibri" w:eastAsia="Times New Roman" w:hAnsi="Calibri" w:cs="Arial"/>
                <w:i/>
                <w:iCs/>
                <w:sz w:val="20"/>
                <w:szCs w:val="20"/>
                <w:lang w:eastAsia="cs-CZ"/>
              </w:rPr>
            </w:pPr>
            <w:r w:rsidRPr="0013179B">
              <w:rPr>
                <w:rFonts w:ascii="Calibri" w:eastAsia="Times New Roman" w:hAnsi="Calibri" w:cs="Arial"/>
                <w:i/>
                <w:iCs/>
                <w:sz w:val="20"/>
                <w:szCs w:val="20"/>
                <w:lang w:eastAsia="cs-CZ"/>
              </w:rPr>
              <w:t> </w:t>
            </w:r>
          </w:p>
        </w:tc>
        <w:tc>
          <w:tcPr>
            <w:tcW w:w="9098" w:type="dxa"/>
            <w:gridSpan w:val="5"/>
            <w:tcBorders>
              <w:top w:val="single" w:sz="4" w:space="0" w:color="auto"/>
              <w:left w:val="nil"/>
              <w:bottom w:val="single" w:sz="4" w:space="0" w:color="auto"/>
              <w:right w:val="single" w:sz="8" w:space="0" w:color="000000"/>
            </w:tcBorders>
            <w:shd w:val="clear" w:color="auto" w:fill="auto"/>
            <w:vAlign w:val="bottom"/>
            <w:hideMark/>
          </w:tcPr>
          <w:p w14:paraId="23612904" w14:textId="77777777" w:rsidR="0013179B" w:rsidRPr="0013179B" w:rsidRDefault="0013179B" w:rsidP="0013179B">
            <w:pPr>
              <w:spacing w:after="0" w:line="240" w:lineRule="auto"/>
              <w:rPr>
                <w:rFonts w:ascii="Calibri" w:eastAsia="Times New Roman" w:hAnsi="Calibri" w:cs="Arial"/>
                <w:sz w:val="20"/>
                <w:szCs w:val="20"/>
                <w:lang w:eastAsia="cs-CZ"/>
              </w:rPr>
            </w:pPr>
            <w:r w:rsidRPr="0013179B">
              <w:rPr>
                <w:rFonts w:ascii="Calibri" w:eastAsia="Times New Roman" w:hAnsi="Calibri" w:cs="Arial"/>
                <w:sz w:val="20"/>
                <w:szCs w:val="20"/>
                <w:lang w:eastAsia="cs-CZ"/>
              </w:rPr>
              <w:t>z toho:</w:t>
            </w:r>
          </w:p>
        </w:tc>
      </w:tr>
      <w:tr w:rsidR="0013179B" w:rsidRPr="0013179B" w14:paraId="2D5D2DC5" w14:textId="77777777" w:rsidTr="0013179B">
        <w:trPr>
          <w:trHeight w:val="300"/>
        </w:trPr>
        <w:tc>
          <w:tcPr>
            <w:tcW w:w="967" w:type="dxa"/>
            <w:tcBorders>
              <w:top w:val="nil"/>
              <w:left w:val="single" w:sz="8" w:space="0" w:color="auto"/>
              <w:bottom w:val="single" w:sz="4" w:space="0" w:color="auto"/>
              <w:right w:val="single" w:sz="4" w:space="0" w:color="auto"/>
            </w:tcBorders>
            <w:shd w:val="clear" w:color="auto" w:fill="auto"/>
            <w:noWrap/>
            <w:vAlign w:val="bottom"/>
            <w:hideMark/>
          </w:tcPr>
          <w:p w14:paraId="023D04BD" w14:textId="77777777" w:rsidR="0013179B" w:rsidRPr="0013179B" w:rsidRDefault="0013179B" w:rsidP="0013179B">
            <w:pPr>
              <w:spacing w:after="0" w:line="240" w:lineRule="auto"/>
              <w:jc w:val="center"/>
              <w:rPr>
                <w:rFonts w:ascii="Calibri" w:eastAsia="Times New Roman" w:hAnsi="Calibri" w:cs="Arial"/>
                <w:i/>
                <w:iCs/>
                <w:sz w:val="20"/>
                <w:szCs w:val="20"/>
                <w:lang w:eastAsia="cs-CZ"/>
              </w:rPr>
            </w:pPr>
            <w:r w:rsidRPr="0013179B">
              <w:rPr>
                <w:rFonts w:ascii="Calibri" w:eastAsia="Times New Roman" w:hAnsi="Calibri" w:cs="Arial"/>
                <w:i/>
                <w:iCs/>
                <w:sz w:val="20"/>
                <w:szCs w:val="20"/>
                <w:lang w:eastAsia="cs-CZ"/>
              </w:rPr>
              <w:t> </w:t>
            </w:r>
          </w:p>
        </w:tc>
        <w:tc>
          <w:tcPr>
            <w:tcW w:w="3554" w:type="dxa"/>
            <w:tcBorders>
              <w:top w:val="nil"/>
              <w:left w:val="nil"/>
              <w:bottom w:val="single" w:sz="4" w:space="0" w:color="auto"/>
              <w:right w:val="single" w:sz="4" w:space="0" w:color="auto"/>
            </w:tcBorders>
            <w:shd w:val="clear" w:color="auto" w:fill="auto"/>
            <w:vAlign w:val="bottom"/>
            <w:hideMark/>
          </w:tcPr>
          <w:p w14:paraId="79EB8705" w14:textId="77777777" w:rsidR="0013179B" w:rsidRPr="0013179B" w:rsidRDefault="0013179B" w:rsidP="0013179B">
            <w:pPr>
              <w:spacing w:after="0" w:line="240" w:lineRule="auto"/>
              <w:rPr>
                <w:rFonts w:ascii="Calibri" w:eastAsia="Times New Roman" w:hAnsi="Calibri" w:cs="Arial"/>
                <w:i/>
                <w:iCs/>
                <w:sz w:val="20"/>
                <w:szCs w:val="20"/>
                <w:lang w:eastAsia="cs-CZ"/>
              </w:rPr>
            </w:pPr>
            <w:r w:rsidRPr="0013179B">
              <w:rPr>
                <w:rFonts w:ascii="Calibri" w:eastAsia="Times New Roman" w:hAnsi="Calibri" w:cs="Arial"/>
                <w:i/>
                <w:iCs/>
                <w:sz w:val="20"/>
                <w:szCs w:val="20"/>
                <w:lang w:eastAsia="cs-CZ"/>
              </w:rPr>
              <w:t>příspěvek na provoz</w:t>
            </w:r>
          </w:p>
        </w:tc>
        <w:tc>
          <w:tcPr>
            <w:tcW w:w="1432" w:type="dxa"/>
            <w:tcBorders>
              <w:top w:val="nil"/>
              <w:left w:val="nil"/>
              <w:bottom w:val="single" w:sz="4" w:space="0" w:color="auto"/>
              <w:right w:val="single" w:sz="4" w:space="0" w:color="auto"/>
            </w:tcBorders>
            <w:shd w:val="clear" w:color="auto" w:fill="auto"/>
            <w:noWrap/>
            <w:vAlign w:val="bottom"/>
            <w:hideMark/>
          </w:tcPr>
          <w:p w14:paraId="5BA7CC25" w14:textId="77777777" w:rsidR="0013179B" w:rsidRPr="0013179B" w:rsidRDefault="0013179B" w:rsidP="0013179B">
            <w:pPr>
              <w:spacing w:after="0" w:line="240" w:lineRule="auto"/>
              <w:jc w:val="right"/>
              <w:rPr>
                <w:rFonts w:ascii="Calibri" w:eastAsia="Times New Roman" w:hAnsi="Calibri" w:cs="Arial"/>
                <w:i/>
                <w:iCs/>
                <w:sz w:val="20"/>
                <w:szCs w:val="20"/>
                <w:lang w:eastAsia="cs-CZ"/>
              </w:rPr>
            </w:pPr>
            <w:r w:rsidRPr="0013179B">
              <w:rPr>
                <w:rFonts w:ascii="Calibri" w:eastAsia="Times New Roman" w:hAnsi="Calibri" w:cs="Arial"/>
                <w:i/>
                <w:iCs/>
                <w:sz w:val="20"/>
                <w:szCs w:val="20"/>
                <w:lang w:eastAsia="cs-CZ"/>
              </w:rPr>
              <w:t>0</w:t>
            </w:r>
          </w:p>
        </w:tc>
        <w:tc>
          <w:tcPr>
            <w:tcW w:w="1702" w:type="dxa"/>
            <w:tcBorders>
              <w:top w:val="nil"/>
              <w:left w:val="nil"/>
              <w:bottom w:val="single" w:sz="4" w:space="0" w:color="auto"/>
              <w:right w:val="single" w:sz="4" w:space="0" w:color="auto"/>
            </w:tcBorders>
            <w:shd w:val="clear" w:color="auto" w:fill="auto"/>
            <w:noWrap/>
            <w:vAlign w:val="bottom"/>
            <w:hideMark/>
          </w:tcPr>
          <w:p w14:paraId="4F4F85A0" w14:textId="77777777" w:rsidR="0013179B" w:rsidRPr="0013179B" w:rsidRDefault="0013179B" w:rsidP="0013179B">
            <w:pPr>
              <w:spacing w:after="0" w:line="240" w:lineRule="auto"/>
              <w:jc w:val="right"/>
              <w:rPr>
                <w:rFonts w:ascii="Calibri" w:eastAsia="Times New Roman" w:hAnsi="Calibri" w:cs="Arial"/>
                <w:i/>
                <w:iCs/>
                <w:sz w:val="20"/>
                <w:szCs w:val="20"/>
                <w:lang w:eastAsia="cs-CZ"/>
              </w:rPr>
            </w:pPr>
            <w:r w:rsidRPr="0013179B">
              <w:rPr>
                <w:rFonts w:ascii="Calibri" w:eastAsia="Times New Roman" w:hAnsi="Calibri" w:cs="Arial"/>
                <w:i/>
                <w:iCs/>
                <w:sz w:val="20"/>
                <w:szCs w:val="20"/>
                <w:lang w:eastAsia="cs-CZ"/>
              </w:rPr>
              <w:t>76 106 842,03</w:t>
            </w:r>
          </w:p>
        </w:tc>
        <w:tc>
          <w:tcPr>
            <w:tcW w:w="1701" w:type="dxa"/>
            <w:tcBorders>
              <w:top w:val="nil"/>
              <w:left w:val="nil"/>
              <w:bottom w:val="single" w:sz="4" w:space="0" w:color="auto"/>
              <w:right w:val="single" w:sz="4" w:space="0" w:color="auto"/>
            </w:tcBorders>
            <w:shd w:val="clear" w:color="auto" w:fill="auto"/>
            <w:noWrap/>
            <w:vAlign w:val="bottom"/>
            <w:hideMark/>
          </w:tcPr>
          <w:p w14:paraId="38C63154" w14:textId="77777777" w:rsidR="0013179B" w:rsidRPr="0013179B" w:rsidRDefault="0013179B" w:rsidP="0013179B">
            <w:pPr>
              <w:spacing w:after="0" w:line="240" w:lineRule="auto"/>
              <w:jc w:val="right"/>
              <w:rPr>
                <w:rFonts w:ascii="Calibri" w:eastAsia="Times New Roman" w:hAnsi="Calibri" w:cs="Arial"/>
                <w:i/>
                <w:iCs/>
                <w:sz w:val="20"/>
                <w:szCs w:val="20"/>
                <w:lang w:eastAsia="cs-CZ"/>
              </w:rPr>
            </w:pPr>
            <w:r w:rsidRPr="0013179B">
              <w:rPr>
                <w:rFonts w:ascii="Calibri" w:eastAsia="Times New Roman" w:hAnsi="Calibri" w:cs="Arial"/>
                <w:i/>
                <w:iCs/>
                <w:sz w:val="20"/>
                <w:szCs w:val="20"/>
                <w:lang w:eastAsia="cs-CZ"/>
              </w:rPr>
              <w:t>76 106 842,03</w:t>
            </w:r>
          </w:p>
        </w:tc>
        <w:tc>
          <w:tcPr>
            <w:tcW w:w="709" w:type="dxa"/>
            <w:tcBorders>
              <w:top w:val="nil"/>
              <w:left w:val="nil"/>
              <w:bottom w:val="single" w:sz="4" w:space="0" w:color="auto"/>
              <w:right w:val="single" w:sz="8" w:space="0" w:color="auto"/>
            </w:tcBorders>
            <w:shd w:val="clear" w:color="auto" w:fill="auto"/>
            <w:noWrap/>
            <w:vAlign w:val="bottom"/>
            <w:hideMark/>
          </w:tcPr>
          <w:p w14:paraId="265F3411" w14:textId="77777777" w:rsidR="0013179B" w:rsidRPr="0013179B" w:rsidRDefault="0013179B" w:rsidP="0013179B">
            <w:pPr>
              <w:spacing w:after="0" w:line="240" w:lineRule="auto"/>
              <w:jc w:val="right"/>
              <w:rPr>
                <w:rFonts w:ascii="Calibri" w:eastAsia="Times New Roman" w:hAnsi="Calibri" w:cs="Arial"/>
                <w:i/>
                <w:iCs/>
                <w:sz w:val="20"/>
                <w:szCs w:val="20"/>
                <w:lang w:eastAsia="cs-CZ"/>
              </w:rPr>
            </w:pPr>
            <w:r w:rsidRPr="0013179B">
              <w:rPr>
                <w:rFonts w:ascii="Calibri" w:eastAsia="Times New Roman" w:hAnsi="Calibri" w:cs="Arial"/>
                <w:i/>
                <w:iCs/>
                <w:sz w:val="20"/>
                <w:szCs w:val="20"/>
                <w:lang w:eastAsia="cs-CZ"/>
              </w:rPr>
              <w:t>100,0</w:t>
            </w:r>
          </w:p>
        </w:tc>
      </w:tr>
      <w:tr w:rsidR="0013179B" w:rsidRPr="0013179B" w14:paraId="54E5A781" w14:textId="77777777" w:rsidTr="0013179B">
        <w:trPr>
          <w:trHeight w:val="300"/>
        </w:trPr>
        <w:tc>
          <w:tcPr>
            <w:tcW w:w="967" w:type="dxa"/>
            <w:tcBorders>
              <w:top w:val="nil"/>
              <w:left w:val="single" w:sz="8" w:space="0" w:color="auto"/>
              <w:bottom w:val="single" w:sz="4" w:space="0" w:color="auto"/>
              <w:right w:val="single" w:sz="4" w:space="0" w:color="auto"/>
            </w:tcBorders>
            <w:shd w:val="clear" w:color="auto" w:fill="auto"/>
            <w:noWrap/>
            <w:vAlign w:val="bottom"/>
            <w:hideMark/>
          </w:tcPr>
          <w:p w14:paraId="6AB19DE1" w14:textId="77777777" w:rsidR="0013179B" w:rsidRPr="0013179B" w:rsidRDefault="0013179B" w:rsidP="0013179B">
            <w:pPr>
              <w:spacing w:after="0" w:line="240" w:lineRule="auto"/>
              <w:jc w:val="center"/>
              <w:rPr>
                <w:rFonts w:ascii="Calibri" w:eastAsia="Times New Roman" w:hAnsi="Calibri" w:cs="Arial"/>
                <w:i/>
                <w:iCs/>
                <w:sz w:val="20"/>
                <w:szCs w:val="20"/>
                <w:lang w:eastAsia="cs-CZ"/>
              </w:rPr>
            </w:pPr>
            <w:r w:rsidRPr="0013179B">
              <w:rPr>
                <w:rFonts w:ascii="Calibri" w:eastAsia="Times New Roman" w:hAnsi="Calibri" w:cs="Arial"/>
                <w:i/>
                <w:iCs/>
                <w:sz w:val="20"/>
                <w:szCs w:val="20"/>
                <w:lang w:eastAsia="cs-CZ"/>
              </w:rPr>
              <w:t> </w:t>
            </w:r>
          </w:p>
        </w:tc>
        <w:tc>
          <w:tcPr>
            <w:tcW w:w="3554" w:type="dxa"/>
            <w:tcBorders>
              <w:top w:val="nil"/>
              <w:left w:val="nil"/>
              <w:bottom w:val="single" w:sz="4" w:space="0" w:color="auto"/>
              <w:right w:val="single" w:sz="4" w:space="0" w:color="auto"/>
            </w:tcBorders>
            <w:shd w:val="clear" w:color="auto" w:fill="auto"/>
            <w:vAlign w:val="bottom"/>
            <w:hideMark/>
          </w:tcPr>
          <w:p w14:paraId="3B02AD3C" w14:textId="77777777" w:rsidR="0013179B" w:rsidRPr="0013179B" w:rsidRDefault="0013179B" w:rsidP="0013179B">
            <w:pPr>
              <w:spacing w:after="0" w:line="240" w:lineRule="auto"/>
              <w:rPr>
                <w:rFonts w:ascii="Calibri" w:eastAsia="Times New Roman" w:hAnsi="Calibri" w:cs="Arial"/>
                <w:i/>
                <w:iCs/>
                <w:sz w:val="20"/>
                <w:szCs w:val="20"/>
                <w:lang w:eastAsia="cs-CZ"/>
              </w:rPr>
            </w:pPr>
            <w:r w:rsidRPr="0013179B">
              <w:rPr>
                <w:rFonts w:ascii="Calibri" w:eastAsia="Times New Roman" w:hAnsi="Calibri" w:cs="Arial"/>
                <w:i/>
                <w:iCs/>
                <w:sz w:val="20"/>
                <w:szCs w:val="20"/>
                <w:lang w:eastAsia="cs-CZ"/>
              </w:rPr>
              <w:t>příspěvek na mzdové výdaje</w:t>
            </w:r>
          </w:p>
        </w:tc>
        <w:tc>
          <w:tcPr>
            <w:tcW w:w="1432" w:type="dxa"/>
            <w:tcBorders>
              <w:top w:val="nil"/>
              <w:left w:val="nil"/>
              <w:bottom w:val="single" w:sz="4" w:space="0" w:color="auto"/>
              <w:right w:val="single" w:sz="4" w:space="0" w:color="auto"/>
            </w:tcBorders>
            <w:shd w:val="clear" w:color="auto" w:fill="auto"/>
            <w:noWrap/>
            <w:vAlign w:val="bottom"/>
            <w:hideMark/>
          </w:tcPr>
          <w:p w14:paraId="70BCB13C" w14:textId="77777777" w:rsidR="0013179B" w:rsidRPr="0013179B" w:rsidRDefault="0013179B" w:rsidP="0013179B">
            <w:pPr>
              <w:spacing w:after="0" w:line="240" w:lineRule="auto"/>
              <w:jc w:val="right"/>
              <w:rPr>
                <w:rFonts w:ascii="Calibri" w:eastAsia="Times New Roman" w:hAnsi="Calibri" w:cs="Arial"/>
                <w:i/>
                <w:iCs/>
                <w:sz w:val="20"/>
                <w:szCs w:val="20"/>
                <w:lang w:eastAsia="cs-CZ"/>
              </w:rPr>
            </w:pPr>
            <w:r w:rsidRPr="0013179B">
              <w:rPr>
                <w:rFonts w:ascii="Calibri" w:eastAsia="Times New Roman" w:hAnsi="Calibri" w:cs="Arial"/>
                <w:i/>
                <w:iCs/>
                <w:sz w:val="20"/>
                <w:szCs w:val="20"/>
                <w:lang w:eastAsia="cs-CZ"/>
              </w:rPr>
              <w:t>498 700 000</w:t>
            </w:r>
          </w:p>
        </w:tc>
        <w:tc>
          <w:tcPr>
            <w:tcW w:w="1702" w:type="dxa"/>
            <w:tcBorders>
              <w:top w:val="nil"/>
              <w:left w:val="nil"/>
              <w:bottom w:val="single" w:sz="4" w:space="0" w:color="auto"/>
              <w:right w:val="single" w:sz="4" w:space="0" w:color="auto"/>
            </w:tcBorders>
            <w:shd w:val="clear" w:color="auto" w:fill="auto"/>
            <w:noWrap/>
            <w:vAlign w:val="bottom"/>
            <w:hideMark/>
          </w:tcPr>
          <w:p w14:paraId="11E82DDB" w14:textId="77777777" w:rsidR="0013179B" w:rsidRPr="0013179B" w:rsidRDefault="0013179B" w:rsidP="0013179B">
            <w:pPr>
              <w:spacing w:after="0" w:line="240" w:lineRule="auto"/>
              <w:jc w:val="right"/>
              <w:rPr>
                <w:rFonts w:ascii="Calibri" w:eastAsia="Times New Roman" w:hAnsi="Calibri" w:cs="Arial"/>
                <w:i/>
                <w:iCs/>
                <w:sz w:val="20"/>
                <w:szCs w:val="20"/>
                <w:lang w:eastAsia="cs-CZ"/>
              </w:rPr>
            </w:pPr>
            <w:r w:rsidRPr="0013179B">
              <w:rPr>
                <w:rFonts w:ascii="Calibri" w:eastAsia="Times New Roman" w:hAnsi="Calibri" w:cs="Arial"/>
                <w:i/>
                <w:iCs/>
                <w:sz w:val="20"/>
                <w:szCs w:val="20"/>
                <w:lang w:eastAsia="cs-CZ"/>
              </w:rPr>
              <w:t>550 700 000,00</w:t>
            </w:r>
          </w:p>
        </w:tc>
        <w:tc>
          <w:tcPr>
            <w:tcW w:w="1701" w:type="dxa"/>
            <w:tcBorders>
              <w:top w:val="nil"/>
              <w:left w:val="nil"/>
              <w:bottom w:val="single" w:sz="4" w:space="0" w:color="auto"/>
              <w:right w:val="single" w:sz="4" w:space="0" w:color="auto"/>
            </w:tcBorders>
            <w:shd w:val="clear" w:color="auto" w:fill="auto"/>
            <w:noWrap/>
            <w:vAlign w:val="bottom"/>
            <w:hideMark/>
          </w:tcPr>
          <w:p w14:paraId="1333E322" w14:textId="77777777" w:rsidR="0013179B" w:rsidRPr="0013179B" w:rsidRDefault="0013179B" w:rsidP="0013179B">
            <w:pPr>
              <w:spacing w:after="0" w:line="240" w:lineRule="auto"/>
              <w:jc w:val="right"/>
              <w:rPr>
                <w:rFonts w:ascii="Calibri" w:eastAsia="Times New Roman" w:hAnsi="Calibri" w:cs="Arial"/>
                <w:i/>
                <w:iCs/>
                <w:sz w:val="20"/>
                <w:szCs w:val="20"/>
                <w:lang w:eastAsia="cs-CZ"/>
              </w:rPr>
            </w:pPr>
            <w:r w:rsidRPr="0013179B">
              <w:rPr>
                <w:rFonts w:ascii="Calibri" w:eastAsia="Times New Roman" w:hAnsi="Calibri" w:cs="Arial"/>
                <w:i/>
                <w:iCs/>
                <w:sz w:val="20"/>
                <w:szCs w:val="20"/>
                <w:lang w:eastAsia="cs-CZ"/>
              </w:rPr>
              <w:t>550 700 000,00</w:t>
            </w:r>
          </w:p>
        </w:tc>
        <w:tc>
          <w:tcPr>
            <w:tcW w:w="709" w:type="dxa"/>
            <w:tcBorders>
              <w:top w:val="nil"/>
              <w:left w:val="nil"/>
              <w:bottom w:val="single" w:sz="4" w:space="0" w:color="auto"/>
              <w:right w:val="single" w:sz="8" w:space="0" w:color="auto"/>
            </w:tcBorders>
            <w:shd w:val="clear" w:color="auto" w:fill="auto"/>
            <w:noWrap/>
            <w:vAlign w:val="bottom"/>
            <w:hideMark/>
          </w:tcPr>
          <w:p w14:paraId="489D4826" w14:textId="77777777" w:rsidR="0013179B" w:rsidRPr="0013179B" w:rsidRDefault="0013179B" w:rsidP="0013179B">
            <w:pPr>
              <w:spacing w:after="0" w:line="240" w:lineRule="auto"/>
              <w:jc w:val="right"/>
              <w:rPr>
                <w:rFonts w:ascii="Calibri" w:eastAsia="Times New Roman" w:hAnsi="Calibri" w:cs="Arial"/>
                <w:i/>
                <w:iCs/>
                <w:sz w:val="20"/>
                <w:szCs w:val="20"/>
                <w:lang w:eastAsia="cs-CZ"/>
              </w:rPr>
            </w:pPr>
            <w:r w:rsidRPr="0013179B">
              <w:rPr>
                <w:rFonts w:ascii="Calibri" w:eastAsia="Times New Roman" w:hAnsi="Calibri" w:cs="Arial"/>
                <w:i/>
                <w:iCs/>
                <w:sz w:val="20"/>
                <w:szCs w:val="20"/>
                <w:lang w:eastAsia="cs-CZ"/>
              </w:rPr>
              <w:t>100,0</w:t>
            </w:r>
          </w:p>
        </w:tc>
      </w:tr>
      <w:tr w:rsidR="0013179B" w:rsidRPr="0013179B" w14:paraId="72CC6765" w14:textId="77777777" w:rsidTr="0013179B">
        <w:trPr>
          <w:trHeight w:val="300"/>
        </w:trPr>
        <w:tc>
          <w:tcPr>
            <w:tcW w:w="967" w:type="dxa"/>
            <w:tcBorders>
              <w:top w:val="nil"/>
              <w:left w:val="single" w:sz="8" w:space="0" w:color="auto"/>
              <w:bottom w:val="single" w:sz="4" w:space="0" w:color="auto"/>
              <w:right w:val="single" w:sz="4" w:space="0" w:color="auto"/>
            </w:tcBorders>
            <w:shd w:val="clear" w:color="auto" w:fill="auto"/>
            <w:noWrap/>
            <w:vAlign w:val="bottom"/>
            <w:hideMark/>
          </w:tcPr>
          <w:p w14:paraId="0957E791" w14:textId="77777777" w:rsidR="0013179B" w:rsidRPr="0013179B" w:rsidRDefault="0013179B" w:rsidP="0013179B">
            <w:pPr>
              <w:spacing w:after="0" w:line="240" w:lineRule="auto"/>
              <w:jc w:val="center"/>
              <w:rPr>
                <w:rFonts w:ascii="Calibri" w:eastAsia="Times New Roman" w:hAnsi="Calibri" w:cs="Arial"/>
                <w:sz w:val="20"/>
                <w:szCs w:val="20"/>
                <w:lang w:eastAsia="cs-CZ"/>
              </w:rPr>
            </w:pPr>
            <w:r w:rsidRPr="0013179B">
              <w:rPr>
                <w:rFonts w:ascii="Calibri" w:eastAsia="Times New Roman" w:hAnsi="Calibri" w:cs="Arial"/>
                <w:sz w:val="20"/>
                <w:szCs w:val="20"/>
                <w:lang w:eastAsia="cs-CZ"/>
              </w:rPr>
              <w:t>3569</w:t>
            </w:r>
          </w:p>
        </w:tc>
        <w:tc>
          <w:tcPr>
            <w:tcW w:w="3554" w:type="dxa"/>
            <w:tcBorders>
              <w:top w:val="nil"/>
              <w:left w:val="nil"/>
              <w:bottom w:val="single" w:sz="4" w:space="0" w:color="auto"/>
              <w:right w:val="single" w:sz="4" w:space="0" w:color="auto"/>
            </w:tcBorders>
            <w:shd w:val="clear" w:color="auto" w:fill="auto"/>
            <w:vAlign w:val="bottom"/>
            <w:hideMark/>
          </w:tcPr>
          <w:p w14:paraId="0C5B6824" w14:textId="77777777" w:rsidR="0013179B" w:rsidRPr="0013179B" w:rsidRDefault="0013179B" w:rsidP="0013179B">
            <w:pPr>
              <w:spacing w:after="0" w:line="240" w:lineRule="auto"/>
              <w:rPr>
                <w:rFonts w:ascii="Calibri" w:eastAsia="Times New Roman" w:hAnsi="Calibri" w:cs="Arial"/>
                <w:sz w:val="20"/>
                <w:szCs w:val="20"/>
                <w:lang w:eastAsia="cs-CZ"/>
              </w:rPr>
            </w:pPr>
            <w:r w:rsidRPr="0013179B">
              <w:rPr>
                <w:rFonts w:ascii="Calibri" w:eastAsia="Times New Roman" w:hAnsi="Calibri" w:cs="Arial"/>
                <w:sz w:val="20"/>
                <w:szCs w:val="20"/>
                <w:lang w:eastAsia="cs-CZ"/>
              </w:rPr>
              <w:t>Ostatní správa ve zdravotnictví jinde nezařazená</w:t>
            </w:r>
          </w:p>
        </w:tc>
        <w:tc>
          <w:tcPr>
            <w:tcW w:w="1432" w:type="dxa"/>
            <w:tcBorders>
              <w:top w:val="nil"/>
              <w:left w:val="nil"/>
              <w:bottom w:val="single" w:sz="4" w:space="0" w:color="auto"/>
              <w:right w:val="single" w:sz="4" w:space="0" w:color="auto"/>
            </w:tcBorders>
            <w:shd w:val="clear" w:color="auto" w:fill="auto"/>
            <w:noWrap/>
            <w:vAlign w:val="bottom"/>
            <w:hideMark/>
          </w:tcPr>
          <w:p w14:paraId="29B6E4FA"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0</w:t>
            </w:r>
          </w:p>
        </w:tc>
        <w:tc>
          <w:tcPr>
            <w:tcW w:w="1702" w:type="dxa"/>
            <w:tcBorders>
              <w:top w:val="nil"/>
              <w:left w:val="nil"/>
              <w:bottom w:val="single" w:sz="4" w:space="0" w:color="auto"/>
              <w:right w:val="single" w:sz="4" w:space="0" w:color="auto"/>
            </w:tcBorders>
            <w:shd w:val="clear" w:color="auto" w:fill="auto"/>
            <w:noWrap/>
            <w:vAlign w:val="bottom"/>
            <w:hideMark/>
          </w:tcPr>
          <w:p w14:paraId="687B11A0"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2 000 000,00</w:t>
            </w:r>
          </w:p>
        </w:tc>
        <w:tc>
          <w:tcPr>
            <w:tcW w:w="1701" w:type="dxa"/>
            <w:tcBorders>
              <w:top w:val="nil"/>
              <w:left w:val="nil"/>
              <w:bottom w:val="single" w:sz="4" w:space="0" w:color="auto"/>
              <w:right w:val="single" w:sz="4" w:space="0" w:color="auto"/>
            </w:tcBorders>
            <w:shd w:val="clear" w:color="auto" w:fill="auto"/>
            <w:noWrap/>
            <w:vAlign w:val="bottom"/>
            <w:hideMark/>
          </w:tcPr>
          <w:p w14:paraId="546019EA"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2 000 000,00</w:t>
            </w:r>
          </w:p>
        </w:tc>
        <w:tc>
          <w:tcPr>
            <w:tcW w:w="709" w:type="dxa"/>
            <w:tcBorders>
              <w:top w:val="nil"/>
              <w:left w:val="nil"/>
              <w:bottom w:val="single" w:sz="4" w:space="0" w:color="auto"/>
              <w:right w:val="single" w:sz="8" w:space="0" w:color="auto"/>
            </w:tcBorders>
            <w:shd w:val="clear" w:color="auto" w:fill="auto"/>
            <w:noWrap/>
            <w:vAlign w:val="bottom"/>
            <w:hideMark/>
          </w:tcPr>
          <w:p w14:paraId="05CF0A57"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100,0</w:t>
            </w:r>
          </w:p>
        </w:tc>
      </w:tr>
      <w:tr w:rsidR="0013179B" w:rsidRPr="0013179B" w14:paraId="11BDB281" w14:textId="77777777" w:rsidTr="0013179B">
        <w:trPr>
          <w:trHeight w:val="300"/>
        </w:trPr>
        <w:tc>
          <w:tcPr>
            <w:tcW w:w="967" w:type="dxa"/>
            <w:tcBorders>
              <w:top w:val="nil"/>
              <w:left w:val="single" w:sz="8" w:space="0" w:color="auto"/>
              <w:bottom w:val="single" w:sz="4" w:space="0" w:color="auto"/>
              <w:right w:val="single" w:sz="4" w:space="0" w:color="auto"/>
            </w:tcBorders>
            <w:shd w:val="clear" w:color="auto" w:fill="auto"/>
            <w:noWrap/>
            <w:vAlign w:val="bottom"/>
            <w:hideMark/>
          </w:tcPr>
          <w:p w14:paraId="26A78BF3" w14:textId="77777777" w:rsidR="0013179B" w:rsidRPr="0013179B" w:rsidRDefault="0013179B" w:rsidP="0013179B">
            <w:pPr>
              <w:spacing w:after="0" w:line="240" w:lineRule="auto"/>
              <w:jc w:val="center"/>
              <w:rPr>
                <w:rFonts w:ascii="Calibri" w:eastAsia="Times New Roman" w:hAnsi="Calibri" w:cs="Arial"/>
                <w:sz w:val="20"/>
                <w:szCs w:val="20"/>
                <w:lang w:eastAsia="cs-CZ"/>
              </w:rPr>
            </w:pPr>
            <w:r w:rsidRPr="0013179B">
              <w:rPr>
                <w:rFonts w:ascii="Calibri" w:eastAsia="Times New Roman" w:hAnsi="Calibri" w:cs="Arial"/>
                <w:sz w:val="20"/>
                <w:szCs w:val="20"/>
                <w:lang w:eastAsia="cs-CZ"/>
              </w:rPr>
              <w:t>3599</w:t>
            </w:r>
          </w:p>
        </w:tc>
        <w:tc>
          <w:tcPr>
            <w:tcW w:w="3554" w:type="dxa"/>
            <w:tcBorders>
              <w:top w:val="nil"/>
              <w:left w:val="nil"/>
              <w:bottom w:val="single" w:sz="4" w:space="0" w:color="auto"/>
              <w:right w:val="single" w:sz="4" w:space="0" w:color="auto"/>
            </w:tcBorders>
            <w:shd w:val="clear" w:color="auto" w:fill="auto"/>
            <w:vAlign w:val="bottom"/>
            <w:hideMark/>
          </w:tcPr>
          <w:p w14:paraId="04B09F4E" w14:textId="77777777" w:rsidR="0013179B" w:rsidRPr="0013179B" w:rsidRDefault="0013179B" w:rsidP="0013179B">
            <w:pPr>
              <w:spacing w:after="0" w:line="240" w:lineRule="auto"/>
              <w:rPr>
                <w:rFonts w:ascii="Calibri" w:eastAsia="Times New Roman" w:hAnsi="Calibri" w:cs="Arial"/>
                <w:sz w:val="20"/>
                <w:szCs w:val="20"/>
                <w:lang w:eastAsia="cs-CZ"/>
              </w:rPr>
            </w:pPr>
            <w:r w:rsidRPr="0013179B">
              <w:rPr>
                <w:rFonts w:ascii="Calibri" w:eastAsia="Times New Roman" w:hAnsi="Calibri" w:cs="Arial"/>
                <w:sz w:val="20"/>
                <w:szCs w:val="20"/>
                <w:lang w:eastAsia="cs-CZ"/>
              </w:rPr>
              <w:t>Ostatní činnost ve zdravotnictví - odbor</w:t>
            </w:r>
          </w:p>
        </w:tc>
        <w:tc>
          <w:tcPr>
            <w:tcW w:w="1432" w:type="dxa"/>
            <w:tcBorders>
              <w:top w:val="nil"/>
              <w:left w:val="nil"/>
              <w:bottom w:val="single" w:sz="4" w:space="0" w:color="auto"/>
              <w:right w:val="single" w:sz="4" w:space="0" w:color="auto"/>
            </w:tcBorders>
            <w:shd w:val="clear" w:color="auto" w:fill="auto"/>
            <w:noWrap/>
            <w:vAlign w:val="bottom"/>
            <w:hideMark/>
          </w:tcPr>
          <w:p w14:paraId="06DC2564"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5 549 000</w:t>
            </w:r>
          </w:p>
        </w:tc>
        <w:tc>
          <w:tcPr>
            <w:tcW w:w="1702" w:type="dxa"/>
            <w:tcBorders>
              <w:top w:val="nil"/>
              <w:left w:val="nil"/>
              <w:bottom w:val="single" w:sz="4" w:space="0" w:color="auto"/>
              <w:right w:val="single" w:sz="4" w:space="0" w:color="auto"/>
            </w:tcBorders>
            <w:shd w:val="clear" w:color="auto" w:fill="auto"/>
            <w:noWrap/>
            <w:vAlign w:val="bottom"/>
            <w:hideMark/>
          </w:tcPr>
          <w:p w14:paraId="46932DB1"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6 165 403,05</w:t>
            </w:r>
          </w:p>
        </w:tc>
        <w:tc>
          <w:tcPr>
            <w:tcW w:w="1701" w:type="dxa"/>
            <w:tcBorders>
              <w:top w:val="nil"/>
              <w:left w:val="nil"/>
              <w:bottom w:val="single" w:sz="4" w:space="0" w:color="auto"/>
              <w:right w:val="single" w:sz="4" w:space="0" w:color="auto"/>
            </w:tcBorders>
            <w:shd w:val="clear" w:color="auto" w:fill="auto"/>
            <w:noWrap/>
            <w:vAlign w:val="bottom"/>
            <w:hideMark/>
          </w:tcPr>
          <w:p w14:paraId="174CBA44"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5 284 854,00</w:t>
            </w:r>
          </w:p>
        </w:tc>
        <w:tc>
          <w:tcPr>
            <w:tcW w:w="709" w:type="dxa"/>
            <w:tcBorders>
              <w:top w:val="nil"/>
              <w:left w:val="nil"/>
              <w:bottom w:val="single" w:sz="4" w:space="0" w:color="auto"/>
              <w:right w:val="single" w:sz="8" w:space="0" w:color="auto"/>
            </w:tcBorders>
            <w:shd w:val="clear" w:color="auto" w:fill="auto"/>
            <w:noWrap/>
            <w:vAlign w:val="bottom"/>
            <w:hideMark/>
          </w:tcPr>
          <w:p w14:paraId="759289CF"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85,7</w:t>
            </w:r>
          </w:p>
        </w:tc>
      </w:tr>
      <w:tr w:rsidR="0013179B" w:rsidRPr="0013179B" w14:paraId="7B81D07A" w14:textId="77777777" w:rsidTr="0013179B">
        <w:trPr>
          <w:trHeight w:val="520"/>
        </w:trPr>
        <w:tc>
          <w:tcPr>
            <w:tcW w:w="967" w:type="dxa"/>
            <w:tcBorders>
              <w:top w:val="nil"/>
              <w:left w:val="single" w:sz="8" w:space="0" w:color="auto"/>
              <w:bottom w:val="single" w:sz="4" w:space="0" w:color="auto"/>
              <w:right w:val="single" w:sz="4" w:space="0" w:color="auto"/>
            </w:tcBorders>
            <w:shd w:val="clear" w:color="auto" w:fill="auto"/>
            <w:noWrap/>
            <w:vAlign w:val="bottom"/>
            <w:hideMark/>
          </w:tcPr>
          <w:p w14:paraId="3575AC59" w14:textId="77777777" w:rsidR="0013179B" w:rsidRPr="0013179B" w:rsidRDefault="0013179B" w:rsidP="0013179B">
            <w:pPr>
              <w:spacing w:after="0" w:line="240" w:lineRule="auto"/>
              <w:jc w:val="center"/>
              <w:rPr>
                <w:rFonts w:ascii="Calibri" w:eastAsia="Times New Roman" w:hAnsi="Calibri" w:cs="Arial"/>
                <w:sz w:val="20"/>
                <w:szCs w:val="20"/>
                <w:lang w:eastAsia="cs-CZ"/>
              </w:rPr>
            </w:pPr>
            <w:r w:rsidRPr="0013179B">
              <w:rPr>
                <w:rFonts w:ascii="Calibri" w:eastAsia="Times New Roman" w:hAnsi="Calibri" w:cs="Arial"/>
                <w:sz w:val="20"/>
                <w:szCs w:val="20"/>
                <w:lang w:eastAsia="cs-CZ"/>
              </w:rPr>
              <w:t>3599</w:t>
            </w:r>
          </w:p>
        </w:tc>
        <w:tc>
          <w:tcPr>
            <w:tcW w:w="3554" w:type="dxa"/>
            <w:tcBorders>
              <w:top w:val="nil"/>
              <w:left w:val="nil"/>
              <w:bottom w:val="single" w:sz="4" w:space="0" w:color="auto"/>
              <w:right w:val="single" w:sz="4" w:space="0" w:color="auto"/>
            </w:tcBorders>
            <w:shd w:val="clear" w:color="auto" w:fill="auto"/>
            <w:vAlign w:val="bottom"/>
            <w:hideMark/>
          </w:tcPr>
          <w:p w14:paraId="7E618F9F" w14:textId="77777777" w:rsidR="0013179B" w:rsidRPr="0013179B" w:rsidRDefault="0013179B" w:rsidP="0013179B">
            <w:pPr>
              <w:spacing w:after="0" w:line="240" w:lineRule="auto"/>
              <w:rPr>
                <w:rFonts w:ascii="Calibri" w:eastAsia="Times New Roman" w:hAnsi="Calibri" w:cs="Arial"/>
                <w:sz w:val="20"/>
                <w:szCs w:val="20"/>
                <w:lang w:eastAsia="cs-CZ"/>
              </w:rPr>
            </w:pPr>
            <w:r w:rsidRPr="0013179B">
              <w:rPr>
                <w:rFonts w:ascii="Calibri" w:eastAsia="Times New Roman" w:hAnsi="Calibri" w:cs="Arial"/>
                <w:sz w:val="20"/>
                <w:szCs w:val="20"/>
                <w:lang w:eastAsia="cs-CZ"/>
              </w:rPr>
              <w:t>Ostatní činnost ve zdravotnictví - nehrazené činnosti ze zdravotního pojištění</w:t>
            </w:r>
          </w:p>
        </w:tc>
        <w:tc>
          <w:tcPr>
            <w:tcW w:w="1432" w:type="dxa"/>
            <w:tcBorders>
              <w:top w:val="nil"/>
              <w:left w:val="nil"/>
              <w:bottom w:val="single" w:sz="4" w:space="0" w:color="auto"/>
              <w:right w:val="single" w:sz="4" w:space="0" w:color="auto"/>
            </w:tcBorders>
            <w:shd w:val="clear" w:color="auto" w:fill="auto"/>
            <w:noWrap/>
            <w:vAlign w:val="bottom"/>
            <w:hideMark/>
          </w:tcPr>
          <w:p w14:paraId="7FCFB6ED"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23 000 000</w:t>
            </w:r>
          </w:p>
        </w:tc>
        <w:tc>
          <w:tcPr>
            <w:tcW w:w="1702" w:type="dxa"/>
            <w:tcBorders>
              <w:top w:val="nil"/>
              <w:left w:val="nil"/>
              <w:bottom w:val="single" w:sz="4" w:space="0" w:color="auto"/>
              <w:right w:val="single" w:sz="4" w:space="0" w:color="auto"/>
            </w:tcBorders>
            <w:shd w:val="clear" w:color="auto" w:fill="auto"/>
            <w:noWrap/>
            <w:vAlign w:val="bottom"/>
            <w:hideMark/>
          </w:tcPr>
          <w:p w14:paraId="5EA99F27"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29 420 000,00</w:t>
            </w:r>
          </w:p>
        </w:tc>
        <w:tc>
          <w:tcPr>
            <w:tcW w:w="1701" w:type="dxa"/>
            <w:tcBorders>
              <w:top w:val="nil"/>
              <w:left w:val="nil"/>
              <w:bottom w:val="single" w:sz="4" w:space="0" w:color="auto"/>
              <w:right w:val="single" w:sz="4" w:space="0" w:color="auto"/>
            </w:tcBorders>
            <w:shd w:val="clear" w:color="auto" w:fill="auto"/>
            <w:noWrap/>
            <w:vAlign w:val="bottom"/>
            <w:hideMark/>
          </w:tcPr>
          <w:p w14:paraId="2C4B7B27"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29 420 000,00</w:t>
            </w:r>
          </w:p>
        </w:tc>
        <w:tc>
          <w:tcPr>
            <w:tcW w:w="709" w:type="dxa"/>
            <w:tcBorders>
              <w:top w:val="nil"/>
              <w:left w:val="nil"/>
              <w:bottom w:val="single" w:sz="4" w:space="0" w:color="auto"/>
              <w:right w:val="single" w:sz="8" w:space="0" w:color="auto"/>
            </w:tcBorders>
            <w:shd w:val="clear" w:color="auto" w:fill="auto"/>
            <w:noWrap/>
            <w:vAlign w:val="bottom"/>
            <w:hideMark/>
          </w:tcPr>
          <w:p w14:paraId="66C054CB"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100,0</w:t>
            </w:r>
          </w:p>
        </w:tc>
      </w:tr>
      <w:tr w:rsidR="0013179B" w:rsidRPr="0013179B" w14:paraId="67AF039D" w14:textId="77777777" w:rsidTr="0013179B">
        <w:trPr>
          <w:trHeight w:val="300"/>
        </w:trPr>
        <w:tc>
          <w:tcPr>
            <w:tcW w:w="967" w:type="dxa"/>
            <w:tcBorders>
              <w:top w:val="nil"/>
              <w:left w:val="single" w:sz="8" w:space="0" w:color="auto"/>
              <w:bottom w:val="single" w:sz="4" w:space="0" w:color="auto"/>
              <w:right w:val="single" w:sz="4" w:space="0" w:color="auto"/>
            </w:tcBorders>
            <w:shd w:val="clear" w:color="auto" w:fill="auto"/>
            <w:noWrap/>
            <w:vAlign w:val="bottom"/>
            <w:hideMark/>
          </w:tcPr>
          <w:p w14:paraId="3E27C544" w14:textId="77777777" w:rsidR="0013179B" w:rsidRPr="0013179B" w:rsidRDefault="0013179B" w:rsidP="0013179B">
            <w:pPr>
              <w:spacing w:after="0" w:line="240" w:lineRule="auto"/>
              <w:jc w:val="center"/>
              <w:rPr>
                <w:rFonts w:ascii="Calibri" w:eastAsia="Times New Roman" w:hAnsi="Calibri" w:cs="Arial"/>
                <w:sz w:val="20"/>
                <w:szCs w:val="20"/>
                <w:lang w:eastAsia="cs-CZ"/>
              </w:rPr>
            </w:pPr>
            <w:r w:rsidRPr="0013179B">
              <w:rPr>
                <w:rFonts w:ascii="Calibri" w:eastAsia="Times New Roman" w:hAnsi="Calibri" w:cs="Arial"/>
                <w:sz w:val="20"/>
                <w:szCs w:val="20"/>
                <w:lang w:eastAsia="cs-CZ"/>
              </w:rPr>
              <w:t>3599</w:t>
            </w:r>
          </w:p>
        </w:tc>
        <w:tc>
          <w:tcPr>
            <w:tcW w:w="3554" w:type="dxa"/>
            <w:tcBorders>
              <w:top w:val="nil"/>
              <w:left w:val="nil"/>
              <w:bottom w:val="single" w:sz="4" w:space="0" w:color="auto"/>
              <w:right w:val="single" w:sz="4" w:space="0" w:color="auto"/>
            </w:tcBorders>
            <w:shd w:val="clear" w:color="auto" w:fill="auto"/>
            <w:vAlign w:val="bottom"/>
            <w:hideMark/>
          </w:tcPr>
          <w:p w14:paraId="16C79FBE" w14:textId="77777777" w:rsidR="0013179B" w:rsidRPr="0013179B" w:rsidRDefault="0013179B" w:rsidP="0013179B">
            <w:pPr>
              <w:spacing w:after="0" w:line="240" w:lineRule="auto"/>
              <w:rPr>
                <w:rFonts w:ascii="Calibri" w:eastAsia="Times New Roman" w:hAnsi="Calibri" w:cs="Arial"/>
                <w:sz w:val="20"/>
                <w:szCs w:val="20"/>
                <w:lang w:eastAsia="cs-CZ"/>
              </w:rPr>
            </w:pPr>
            <w:r w:rsidRPr="0013179B">
              <w:rPr>
                <w:rFonts w:ascii="Calibri" w:eastAsia="Times New Roman" w:hAnsi="Calibri" w:cs="Arial"/>
                <w:sz w:val="20"/>
                <w:szCs w:val="20"/>
                <w:lang w:eastAsia="cs-CZ"/>
              </w:rPr>
              <w:t>Ostatní činnost ve zdravotnictví - jiné očekávané výdaje</w:t>
            </w:r>
          </w:p>
        </w:tc>
        <w:tc>
          <w:tcPr>
            <w:tcW w:w="1432" w:type="dxa"/>
            <w:tcBorders>
              <w:top w:val="nil"/>
              <w:left w:val="nil"/>
              <w:bottom w:val="single" w:sz="4" w:space="0" w:color="auto"/>
              <w:right w:val="single" w:sz="4" w:space="0" w:color="auto"/>
            </w:tcBorders>
            <w:shd w:val="clear" w:color="auto" w:fill="auto"/>
            <w:noWrap/>
            <w:vAlign w:val="bottom"/>
            <w:hideMark/>
          </w:tcPr>
          <w:p w14:paraId="0347EDEE"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0</w:t>
            </w:r>
          </w:p>
        </w:tc>
        <w:tc>
          <w:tcPr>
            <w:tcW w:w="1702" w:type="dxa"/>
            <w:tcBorders>
              <w:top w:val="nil"/>
              <w:left w:val="nil"/>
              <w:bottom w:val="single" w:sz="4" w:space="0" w:color="auto"/>
              <w:right w:val="single" w:sz="4" w:space="0" w:color="auto"/>
            </w:tcBorders>
            <w:shd w:val="clear" w:color="auto" w:fill="auto"/>
            <w:noWrap/>
            <w:vAlign w:val="bottom"/>
            <w:hideMark/>
          </w:tcPr>
          <w:p w14:paraId="797F75E2"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485 021,97</w:t>
            </w:r>
          </w:p>
        </w:tc>
        <w:tc>
          <w:tcPr>
            <w:tcW w:w="1701" w:type="dxa"/>
            <w:tcBorders>
              <w:top w:val="nil"/>
              <w:left w:val="nil"/>
              <w:bottom w:val="single" w:sz="4" w:space="0" w:color="auto"/>
              <w:right w:val="single" w:sz="4" w:space="0" w:color="auto"/>
            </w:tcBorders>
            <w:shd w:val="clear" w:color="auto" w:fill="auto"/>
            <w:noWrap/>
            <w:vAlign w:val="bottom"/>
            <w:hideMark/>
          </w:tcPr>
          <w:p w14:paraId="29DA68AD"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0,00</w:t>
            </w:r>
          </w:p>
        </w:tc>
        <w:tc>
          <w:tcPr>
            <w:tcW w:w="709" w:type="dxa"/>
            <w:tcBorders>
              <w:top w:val="nil"/>
              <w:left w:val="nil"/>
              <w:bottom w:val="single" w:sz="4" w:space="0" w:color="auto"/>
              <w:right w:val="single" w:sz="8" w:space="0" w:color="auto"/>
            </w:tcBorders>
            <w:shd w:val="clear" w:color="auto" w:fill="auto"/>
            <w:noWrap/>
            <w:vAlign w:val="bottom"/>
            <w:hideMark/>
          </w:tcPr>
          <w:p w14:paraId="3AEE6BEC"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0,0</w:t>
            </w:r>
          </w:p>
        </w:tc>
      </w:tr>
      <w:tr w:rsidR="0013179B" w:rsidRPr="0013179B" w14:paraId="09467EEC" w14:textId="77777777" w:rsidTr="0013179B">
        <w:trPr>
          <w:trHeight w:val="320"/>
        </w:trPr>
        <w:tc>
          <w:tcPr>
            <w:tcW w:w="967" w:type="dxa"/>
            <w:tcBorders>
              <w:top w:val="nil"/>
              <w:left w:val="single" w:sz="8" w:space="0" w:color="auto"/>
              <w:bottom w:val="single" w:sz="4" w:space="0" w:color="auto"/>
              <w:right w:val="single" w:sz="4" w:space="0" w:color="auto"/>
            </w:tcBorders>
            <w:shd w:val="clear" w:color="auto" w:fill="auto"/>
            <w:noWrap/>
            <w:vAlign w:val="bottom"/>
            <w:hideMark/>
          </w:tcPr>
          <w:p w14:paraId="402A97CB" w14:textId="77777777" w:rsidR="0013179B" w:rsidRPr="0013179B" w:rsidRDefault="0013179B" w:rsidP="0013179B">
            <w:pPr>
              <w:spacing w:after="0" w:line="240" w:lineRule="auto"/>
              <w:jc w:val="center"/>
              <w:rPr>
                <w:rFonts w:ascii="Calibri" w:eastAsia="Times New Roman" w:hAnsi="Calibri" w:cs="Arial"/>
                <w:sz w:val="20"/>
                <w:szCs w:val="20"/>
                <w:lang w:eastAsia="cs-CZ"/>
              </w:rPr>
            </w:pPr>
            <w:r w:rsidRPr="0013179B">
              <w:rPr>
                <w:rFonts w:ascii="Calibri" w:eastAsia="Times New Roman" w:hAnsi="Calibri" w:cs="Arial"/>
                <w:sz w:val="20"/>
                <w:szCs w:val="20"/>
                <w:lang w:eastAsia="cs-CZ"/>
              </w:rPr>
              <w:t>3599</w:t>
            </w:r>
          </w:p>
        </w:tc>
        <w:tc>
          <w:tcPr>
            <w:tcW w:w="3554" w:type="dxa"/>
            <w:tcBorders>
              <w:top w:val="nil"/>
              <w:left w:val="nil"/>
              <w:bottom w:val="single" w:sz="4" w:space="0" w:color="auto"/>
              <w:right w:val="single" w:sz="4" w:space="0" w:color="auto"/>
            </w:tcBorders>
            <w:shd w:val="clear" w:color="auto" w:fill="auto"/>
            <w:vAlign w:val="bottom"/>
            <w:hideMark/>
          </w:tcPr>
          <w:p w14:paraId="3D0E26F4" w14:textId="77777777" w:rsidR="0013179B" w:rsidRPr="0013179B" w:rsidRDefault="0013179B" w:rsidP="0013179B">
            <w:pPr>
              <w:spacing w:after="0" w:line="240" w:lineRule="auto"/>
              <w:rPr>
                <w:rFonts w:ascii="Calibri" w:eastAsia="Times New Roman" w:hAnsi="Calibri" w:cs="Arial"/>
                <w:sz w:val="20"/>
                <w:szCs w:val="20"/>
                <w:lang w:eastAsia="cs-CZ"/>
              </w:rPr>
            </w:pPr>
            <w:r w:rsidRPr="0013179B">
              <w:rPr>
                <w:rFonts w:ascii="Calibri" w:eastAsia="Times New Roman" w:hAnsi="Calibri" w:cs="Arial"/>
                <w:sz w:val="20"/>
                <w:szCs w:val="20"/>
                <w:lang w:eastAsia="cs-CZ"/>
              </w:rPr>
              <w:t>Ostatní činnost ve zdravotnictví - záchytné stanice</w:t>
            </w:r>
          </w:p>
        </w:tc>
        <w:tc>
          <w:tcPr>
            <w:tcW w:w="1432" w:type="dxa"/>
            <w:tcBorders>
              <w:top w:val="nil"/>
              <w:left w:val="nil"/>
              <w:bottom w:val="nil"/>
              <w:right w:val="single" w:sz="4" w:space="0" w:color="auto"/>
            </w:tcBorders>
            <w:shd w:val="clear" w:color="auto" w:fill="auto"/>
            <w:noWrap/>
            <w:vAlign w:val="bottom"/>
            <w:hideMark/>
          </w:tcPr>
          <w:p w14:paraId="62F9412B"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0</w:t>
            </w:r>
          </w:p>
        </w:tc>
        <w:tc>
          <w:tcPr>
            <w:tcW w:w="1702" w:type="dxa"/>
            <w:tcBorders>
              <w:top w:val="nil"/>
              <w:left w:val="nil"/>
              <w:bottom w:val="nil"/>
              <w:right w:val="single" w:sz="4" w:space="0" w:color="auto"/>
            </w:tcBorders>
            <w:shd w:val="clear" w:color="auto" w:fill="auto"/>
            <w:noWrap/>
            <w:vAlign w:val="bottom"/>
            <w:hideMark/>
          </w:tcPr>
          <w:p w14:paraId="0F46095B"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2 580 000,00</w:t>
            </w:r>
          </w:p>
        </w:tc>
        <w:tc>
          <w:tcPr>
            <w:tcW w:w="1701" w:type="dxa"/>
            <w:tcBorders>
              <w:top w:val="nil"/>
              <w:left w:val="nil"/>
              <w:bottom w:val="nil"/>
              <w:right w:val="single" w:sz="4" w:space="0" w:color="auto"/>
            </w:tcBorders>
            <w:shd w:val="clear" w:color="auto" w:fill="auto"/>
            <w:noWrap/>
            <w:vAlign w:val="bottom"/>
            <w:hideMark/>
          </w:tcPr>
          <w:p w14:paraId="0CE1AFC5"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2 580 000,00</w:t>
            </w:r>
          </w:p>
        </w:tc>
        <w:tc>
          <w:tcPr>
            <w:tcW w:w="709" w:type="dxa"/>
            <w:tcBorders>
              <w:top w:val="nil"/>
              <w:left w:val="nil"/>
              <w:bottom w:val="single" w:sz="4" w:space="0" w:color="auto"/>
              <w:right w:val="single" w:sz="8" w:space="0" w:color="auto"/>
            </w:tcBorders>
            <w:shd w:val="clear" w:color="auto" w:fill="auto"/>
            <w:noWrap/>
            <w:vAlign w:val="bottom"/>
            <w:hideMark/>
          </w:tcPr>
          <w:p w14:paraId="4920C586"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100,0</w:t>
            </w:r>
          </w:p>
        </w:tc>
      </w:tr>
      <w:tr w:rsidR="0013179B" w:rsidRPr="0013179B" w14:paraId="1F026E81" w14:textId="77777777" w:rsidTr="0013179B">
        <w:trPr>
          <w:trHeight w:val="320"/>
        </w:trPr>
        <w:tc>
          <w:tcPr>
            <w:tcW w:w="967"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707FE405" w14:textId="77777777" w:rsidR="0013179B" w:rsidRPr="0013179B" w:rsidRDefault="0013179B" w:rsidP="0013179B">
            <w:pPr>
              <w:spacing w:after="0" w:line="240" w:lineRule="auto"/>
              <w:rPr>
                <w:rFonts w:ascii="Calibri" w:eastAsia="Times New Roman" w:hAnsi="Calibri" w:cs="Arial"/>
                <w:b/>
                <w:bCs/>
                <w:sz w:val="24"/>
                <w:szCs w:val="24"/>
                <w:lang w:eastAsia="cs-CZ"/>
              </w:rPr>
            </w:pPr>
            <w:r w:rsidRPr="0013179B">
              <w:rPr>
                <w:rFonts w:ascii="Calibri" w:eastAsia="Times New Roman" w:hAnsi="Calibri" w:cs="Arial"/>
                <w:b/>
                <w:bCs/>
                <w:sz w:val="24"/>
                <w:szCs w:val="24"/>
                <w:lang w:eastAsia="cs-CZ"/>
              </w:rPr>
              <w:t> </w:t>
            </w:r>
          </w:p>
        </w:tc>
        <w:tc>
          <w:tcPr>
            <w:tcW w:w="3554" w:type="dxa"/>
            <w:tcBorders>
              <w:top w:val="single" w:sz="8" w:space="0" w:color="auto"/>
              <w:left w:val="nil"/>
              <w:bottom w:val="single" w:sz="8" w:space="0" w:color="auto"/>
              <w:right w:val="single" w:sz="4" w:space="0" w:color="auto"/>
            </w:tcBorders>
            <w:shd w:val="clear" w:color="auto" w:fill="auto"/>
            <w:noWrap/>
            <w:vAlign w:val="bottom"/>
            <w:hideMark/>
          </w:tcPr>
          <w:p w14:paraId="755B8E2C" w14:textId="77777777" w:rsidR="0013179B" w:rsidRPr="0013179B" w:rsidRDefault="0013179B" w:rsidP="0013179B">
            <w:pPr>
              <w:spacing w:after="0" w:line="240" w:lineRule="auto"/>
              <w:rPr>
                <w:rFonts w:ascii="Calibri" w:eastAsia="Times New Roman" w:hAnsi="Calibri" w:cs="Arial"/>
                <w:b/>
                <w:bCs/>
                <w:lang w:eastAsia="cs-CZ"/>
              </w:rPr>
            </w:pPr>
            <w:r w:rsidRPr="0013179B">
              <w:rPr>
                <w:rFonts w:ascii="Calibri" w:eastAsia="Times New Roman" w:hAnsi="Calibri" w:cs="Arial"/>
                <w:b/>
                <w:bCs/>
                <w:lang w:eastAsia="cs-CZ"/>
              </w:rPr>
              <w:t>Celkem</w:t>
            </w:r>
          </w:p>
        </w:tc>
        <w:tc>
          <w:tcPr>
            <w:tcW w:w="1432" w:type="dxa"/>
            <w:tcBorders>
              <w:top w:val="single" w:sz="8" w:space="0" w:color="auto"/>
              <w:left w:val="nil"/>
              <w:bottom w:val="single" w:sz="8" w:space="0" w:color="auto"/>
              <w:right w:val="single" w:sz="4" w:space="0" w:color="auto"/>
            </w:tcBorders>
            <w:shd w:val="clear" w:color="auto" w:fill="auto"/>
            <w:noWrap/>
            <w:vAlign w:val="bottom"/>
            <w:hideMark/>
          </w:tcPr>
          <w:p w14:paraId="546A1FA6" w14:textId="77777777" w:rsidR="0013179B" w:rsidRPr="0013179B" w:rsidRDefault="0013179B" w:rsidP="0013179B">
            <w:pPr>
              <w:spacing w:after="0" w:line="240" w:lineRule="auto"/>
              <w:jc w:val="right"/>
              <w:rPr>
                <w:rFonts w:ascii="Calibri" w:eastAsia="Times New Roman" w:hAnsi="Calibri" w:cs="Arial"/>
                <w:b/>
                <w:bCs/>
                <w:lang w:eastAsia="cs-CZ"/>
              </w:rPr>
            </w:pPr>
            <w:r w:rsidRPr="0013179B">
              <w:rPr>
                <w:rFonts w:ascii="Calibri" w:eastAsia="Times New Roman" w:hAnsi="Calibri" w:cs="Arial"/>
                <w:b/>
                <w:bCs/>
                <w:lang w:eastAsia="cs-CZ"/>
              </w:rPr>
              <w:t>693 394 000</w:t>
            </w:r>
          </w:p>
        </w:tc>
        <w:tc>
          <w:tcPr>
            <w:tcW w:w="1702" w:type="dxa"/>
            <w:tcBorders>
              <w:top w:val="single" w:sz="8" w:space="0" w:color="auto"/>
              <w:left w:val="nil"/>
              <w:bottom w:val="single" w:sz="8" w:space="0" w:color="auto"/>
              <w:right w:val="single" w:sz="4" w:space="0" w:color="auto"/>
            </w:tcBorders>
            <w:shd w:val="clear" w:color="auto" w:fill="auto"/>
            <w:noWrap/>
            <w:vAlign w:val="bottom"/>
            <w:hideMark/>
          </w:tcPr>
          <w:p w14:paraId="064D1247" w14:textId="77777777" w:rsidR="0013179B" w:rsidRPr="0013179B" w:rsidRDefault="0013179B" w:rsidP="0013179B">
            <w:pPr>
              <w:spacing w:after="0" w:line="240" w:lineRule="auto"/>
              <w:jc w:val="right"/>
              <w:rPr>
                <w:rFonts w:ascii="Calibri" w:eastAsia="Times New Roman" w:hAnsi="Calibri" w:cs="Arial"/>
                <w:b/>
                <w:bCs/>
                <w:lang w:eastAsia="cs-CZ"/>
              </w:rPr>
            </w:pPr>
            <w:r w:rsidRPr="0013179B">
              <w:rPr>
                <w:rFonts w:ascii="Calibri" w:eastAsia="Times New Roman" w:hAnsi="Calibri" w:cs="Arial"/>
                <w:b/>
                <w:bCs/>
                <w:lang w:eastAsia="cs-CZ"/>
              </w:rPr>
              <w:t>878 695 550,05</w:t>
            </w:r>
          </w:p>
        </w:tc>
        <w:tc>
          <w:tcPr>
            <w:tcW w:w="1701" w:type="dxa"/>
            <w:tcBorders>
              <w:top w:val="single" w:sz="8" w:space="0" w:color="auto"/>
              <w:left w:val="nil"/>
              <w:bottom w:val="single" w:sz="8" w:space="0" w:color="auto"/>
              <w:right w:val="single" w:sz="4" w:space="0" w:color="auto"/>
            </w:tcBorders>
            <w:shd w:val="clear" w:color="auto" w:fill="auto"/>
            <w:noWrap/>
            <w:vAlign w:val="bottom"/>
            <w:hideMark/>
          </w:tcPr>
          <w:p w14:paraId="55C2E1A4" w14:textId="77777777" w:rsidR="0013179B" w:rsidRPr="0013179B" w:rsidRDefault="0013179B" w:rsidP="0013179B">
            <w:pPr>
              <w:spacing w:after="0" w:line="240" w:lineRule="auto"/>
              <w:jc w:val="right"/>
              <w:rPr>
                <w:rFonts w:ascii="Calibri" w:eastAsia="Times New Roman" w:hAnsi="Calibri" w:cs="Arial"/>
                <w:b/>
                <w:bCs/>
                <w:lang w:eastAsia="cs-CZ"/>
              </w:rPr>
            </w:pPr>
            <w:r w:rsidRPr="0013179B">
              <w:rPr>
                <w:rFonts w:ascii="Calibri" w:eastAsia="Times New Roman" w:hAnsi="Calibri" w:cs="Arial"/>
                <w:b/>
                <w:bCs/>
                <w:lang w:eastAsia="cs-CZ"/>
              </w:rPr>
              <w:t>875 221 936,03</w:t>
            </w:r>
          </w:p>
        </w:tc>
        <w:tc>
          <w:tcPr>
            <w:tcW w:w="709" w:type="dxa"/>
            <w:tcBorders>
              <w:top w:val="single" w:sz="8" w:space="0" w:color="auto"/>
              <w:left w:val="nil"/>
              <w:bottom w:val="single" w:sz="8" w:space="0" w:color="auto"/>
              <w:right w:val="single" w:sz="8" w:space="0" w:color="auto"/>
            </w:tcBorders>
            <w:shd w:val="clear" w:color="auto" w:fill="auto"/>
            <w:noWrap/>
            <w:vAlign w:val="bottom"/>
            <w:hideMark/>
          </w:tcPr>
          <w:p w14:paraId="30574518" w14:textId="77777777" w:rsidR="0013179B" w:rsidRPr="0013179B" w:rsidRDefault="0013179B" w:rsidP="0013179B">
            <w:pPr>
              <w:spacing w:after="0" w:line="240" w:lineRule="auto"/>
              <w:jc w:val="right"/>
              <w:rPr>
                <w:rFonts w:ascii="Calibri" w:eastAsia="Times New Roman" w:hAnsi="Calibri" w:cs="Arial"/>
                <w:b/>
                <w:bCs/>
                <w:lang w:eastAsia="cs-CZ"/>
              </w:rPr>
            </w:pPr>
            <w:r w:rsidRPr="0013179B">
              <w:rPr>
                <w:rFonts w:ascii="Calibri" w:eastAsia="Times New Roman" w:hAnsi="Calibri" w:cs="Arial"/>
                <w:b/>
                <w:bCs/>
                <w:lang w:eastAsia="cs-CZ"/>
              </w:rPr>
              <w:t>99,6</w:t>
            </w:r>
          </w:p>
        </w:tc>
      </w:tr>
      <w:tr w:rsidR="0013179B" w:rsidRPr="0013179B" w14:paraId="679C03D6" w14:textId="77777777" w:rsidTr="0013179B">
        <w:trPr>
          <w:trHeight w:val="300"/>
        </w:trPr>
        <w:tc>
          <w:tcPr>
            <w:tcW w:w="967" w:type="dxa"/>
            <w:tcBorders>
              <w:top w:val="nil"/>
              <w:left w:val="nil"/>
              <w:bottom w:val="nil"/>
              <w:right w:val="nil"/>
            </w:tcBorders>
            <w:shd w:val="clear" w:color="auto" w:fill="auto"/>
            <w:noWrap/>
            <w:vAlign w:val="bottom"/>
            <w:hideMark/>
          </w:tcPr>
          <w:p w14:paraId="3B561AF6" w14:textId="77777777" w:rsidR="0013179B" w:rsidRPr="0013179B" w:rsidRDefault="0013179B" w:rsidP="0013179B">
            <w:pPr>
              <w:spacing w:after="0" w:line="240" w:lineRule="auto"/>
              <w:jc w:val="right"/>
              <w:rPr>
                <w:rFonts w:ascii="Calibri" w:eastAsia="Times New Roman" w:hAnsi="Calibri" w:cs="Arial"/>
                <w:b/>
                <w:bCs/>
                <w:lang w:eastAsia="cs-CZ"/>
              </w:rPr>
            </w:pPr>
          </w:p>
        </w:tc>
        <w:tc>
          <w:tcPr>
            <w:tcW w:w="3554" w:type="dxa"/>
            <w:tcBorders>
              <w:top w:val="nil"/>
              <w:left w:val="nil"/>
              <w:bottom w:val="nil"/>
              <w:right w:val="nil"/>
            </w:tcBorders>
            <w:shd w:val="clear" w:color="auto" w:fill="auto"/>
            <w:noWrap/>
            <w:vAlign w:val="bottom"/>
            <w:hideMark/>
          </w:tcPr>
          <w:p w14:paraId="71552FDF" w14:textId="77777777" w:rsidR="0013179B" w:rsidRPr="0013179B" w:rsidRDefault="0013179B" w:rsidP="0013179B">
            <w:pPr>
              <w:spacing w:after="0" w:line="240" w:lineRule="auto"/>
              <w:rPr>
                <w:rFonts w:ascii="Times New Roman" w:eastAsia="Times New Roman" w:hAnsi="Times New Roman" w:cs="Times New Roman"/>
                <w:sz w:val="20"/>
                <w:szCs w:val="20"/>
                <w:lang w:eastAsia="cs-CZ"/>
              </w:rPr>
            </w:pPr>
          </w:p>
        </w:tc>
        <w:tc>
          <w:tcPr>
            <w:tcW w:w="1432" w:type="dxa"/>
            <w:tcBorders>
              <w:top w:val="nil"/>
              <w:left w:val="nil"/>
              <w:bottom w:val="nil"/>
              <w:right w:val="nil"/>
            </w:tcBorders>
            <w:shd w:val="clear" w:color="auto" w:fill="auto"/>
            <w:noWrap/>
            <w:vAlign w:val="bottom"/>
            <w:hideMark/>
          </w:tcPr>
          <w:p w14:paraId="6C1A7C6A" w14:textId="77777777" w:rsidR="0013179B" w:rsidRPr="0013179B" w:rsidRDefault="0013179B" w:rsidP="0013179B">
            <w:pPr>
              <w:spacing w:after="0" w:line="240" w:lineRule="auto"/>
              <w:rPr>
                <w:rFonts w:ascii="Times New Roman" w:eastAsia="Times New Roman" w:hAnsi="Times New Roman" w:cs="Times New Roman"/>
                <w:sz w:val="20"/>
                <w:szCs w:val="20"/>
                <w:lang w:eastAsia="cs-CZ"/>
              </w:rPr>
            </w:pPr>
          </w:p>
        </w:tc>
        <w:tc>
          <w:tcPr>
            <w:tcW w:w="1702" w:type="dxa"/>
            <w:tcBorders>
              <w:top w:val="nil"/>
              <w:left w:val="nil"/>
              <w:bottom w:val="nil"/>
              <w:right w:val="nil"/>
            </w:tcBorders>
            <w:shd w:val="clear" w:color="auto" w:fill="auto"/>
            <w:noWrap/>
            <w:vAlign w:val="bottom"/>
            <w:hideMark/>
          </w:tcPr>
          <w:p w14:paraId="4F23D8D5" w14:textId="77777777" w:rsidR="0013179B" w:rsidRPr="0013179B" w:rsidRDefault="0013179B" w:rsidP="0013179B">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2D4233A1" w14:textId="77777777" w:rsidR="0013179B" w:rsidRPr="0013179B" w:rsidRDefault="0013179B" w:rsidP="0013179B">
            <w:pPr>
              <w:spacing w:after="0" w:line="240" w:lineRule="auto"/>
              <w:rPr>
                <w:rFonts w:ascii="Times New Roman" w:eastAsia="Times New Roman" w:hAnsi="Times New Roman" w:cs="Times New Roman"/>
                <w:sz w:val="20"/>
                <w:szCs w:val="20"/>
                <w:lang w:eastAsia="cs-CZ"/>
              </w:rPr>
            </w:pPr>
          </w:p>
        </w:tc>
        <w:tc>
          <w:tcPr>
            <w:tcW w:w="709" w:type="dxa"/>
            <w:tcBorders>
              <w:top w:val="nil"/>
              <w:left w:val="nil"/>
              <w:bottom w:val="nil"/>
              <w:right w:val="nil"/>
            </w:tcBorders>
            <w:shd w:val="clear" w:color="auto" w:fill="auto"/>
            <w:noWrap/>
            <w:vAlign w:val="bottom"/>
            <w:hideMark/>
          </w:tcPr>
          <w:p w14:paraId="5FC36F91" w14:textId="77777777" w:rsidR="0013179B" w:rsidRPr="0013179B" w:rsidRDefault="0013179B" w:rsidP="0013179B">
            <w:pPr>
              <w:spacing w:after="0" w:line="240" w:lineRule="auto"/>
              <w:rPr>
                <w:rFonts w:ascii="Times New Roman" w:eastAsia="Times New Roman" w:hAnsi="Times New Roman" w:cs="Times New Roman"/>
                <w:sz w:val="20"/>
                <w:szCs w:val="20"/>
                <w:lang w:eastAsia="cs-CZ"/>
              </w:rPr>
            </w:pPr>
          </w:p>
        </w:tc>
      </w:tr>
      <w:tr w:rsidR="0013179B" w:rsidRPr="0013179B" w14:paraId="37E9DC93" w14:textId="77777777" w:rsidTr="0013179B">
        <w:trPr>
          <w:trHeight w:val="360"/>
        </w:trPr>
        <w:tc>
          <w:tcPr>
            <w:tcW w:w="967" w:type="dxa"/>
            <w:tcBorders>
              <w:top w:val="nil"/>
              <w:left w:val="nil"/>
              <w:bottom w:val="nil"/>
              <w:right w:val="nil"/>
            </w:tcBorders>
            <w:shd w:val="clear" w:color="auto" w:fill="auto"/>
            <w:noWrap/>
            <w:vAlign w:val="bottom"/>
            <w:hideMark/>
          </w:tcPr>
          <w:p w14:paraId="674C13BD" w14:textId="77777777" w:rsidR="0013179B" w:rsidRPr="0013179B" w:rsidRDefault="0013179B" w:rsidP="0013179B">
            <w:pPr>
              <w:spacing w:after="0" w:line="240" w:lineRule="auto"/>
              <w:jc w:val="right"/>
              <w:rPr>
                <w:rFonts w:ascii="Times New Roman" w:eastAsia="Times New Roman" w:hAnsi="Times New Roman" w:cs="Times New Roman"/>
                <w:sz w:val="20"/>
                <w:szCs w:val="20"/>
                <w:lang w:eastAsia="cs-CZ"/>
              </w:rPr>
            </w:pPr>
          </w:p>
        </w:tc>
        <w:tc>
          <w:tcPr>
            <w:tcW w:w="3554" w:type="dxa"/>
            <w:tcBorders>
              <w:top w:val="nil"/>
              <w:left w:val="nil"/>
              <w:bottom w:val="nil"/>
              <w:right w:val="nil"/>
            </w:tcBorders>
            <w:shd w:val="clear" w:color="auto" w:fill="auto"/>
            <w:noWrap/>
            <w:vAlign w:val="bottom"/>
            <w:hideMark/>
          </w:tcPr>
          <w:p w14:paraId="6C9E222F" w14:textId="77777777" w:rsidR="0013179B" w:rsidRPr="0013179B" w:rsidRDefault="0013179B" w:rsidP="0013179B">
            <w:pPr>
              <w:spacing w:after="0" w:line="240" w:lineRule="auto"/>
              <w:rPr>
                <w:rFonts w:ascii="Calibri" w:eastAsia="Times New Roman" w:hAnsi="Calibri" w:cs="Arial"/>
                <w:b/>
                <w:bCs/>
                <w:lang w:eastAsia="cs-CZ"/>
              </w:rPr>
            </w:pPr>
            <w:r w:rsidRPr="0013179B">
              <w:rPr>
                <w:rFonts w:ascii="Calibri" w:eastAsia="Times New Roman" w:hAnsi="Calibri" w:cs="Arial"/>
                <w:b/>
                <w:bCs/>
                <w:lang w:eastAsia="cs-CZ"/>
              </w:rPr>
              <w:t>Fondy</w:t>
            </w:r>
          </w:p>
        </w:tc>
        <w:tc>
          <w:tcPr>
            <w:tcW w:w="1432" w:type="dxa"/>
            <w:tcBorders>
              <w:top w:val="nil"/>
              <w:left w:val="nil"/>
              <w:bottom w:val="nil"/>
              <w:right w:val="nil"/>
            </w:tcBorders>
            <w:shd w:val="clear" w:color="auto" w:fill="auto"/>
            <w:noWrap/>
            <w:vAlign w:val="bottom"/>
            <w:hideMark/>
          </w:tcPr>
          <w:p w14:paraId="09924DD4" w14:textId="77777777" w:rsidR="0013179B" w:rsidRPr="0013179B" w:rsidRDefault="0013179B" w:rsidP="0013179B">
            <w:pPr>
              <w:spacing w:after="0" w:line="240" w:lineRule="auto"/>
              <w:rPr>
                <w:rFonts w:ascii="Calibri" w:eastAsia="Times New Roman" w:hAnsi="Calibri" w:cs="Arial"/>
                <w:b/>
                <w:bCs/>
                <w:lang w:eastAsia="cs-CZ"/>
              </w:rPr>
            </w:pPr>
          </w:p>
        </w:tc>
        <w:tc>
          <w:tcPr>
            <w:tcW w:w="1702" w:type="dxa"/>
            <w:tcBorders>
              <w:top w:val="nil"/>
              <w:left w:val="nil"/>
              <w:bottom w:val="nil"/>
              <w:right w:val="nil"/>
            </w:tcBorders>
            <w:shd w:val="clear" w:color="auto" w:fill="auto"/>
            <w:noWrap/>
            <w:vAlign w:val="bottom"/>
            <w:hideMark/>
          </w:tcPr>
          <w:p w14:paraId="4CC06F18" w14:textId="77777777" w:rsidR="0013179B" w:rsidRPr="0013179B" w:rsidRDefault="0013179B" w:rsidP="0013179B">
            <w:pPr>
              <w:spacing w:after="0" w:line="240" w:lineRule="auto"/>
              <w:jc w:val="right"/>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0D72C496" w14:textId="77777777" w:rsidR="0013179B" w:rsidRPr="0013179B" w:rsidRDefault="0013179B" w:rsidP="0013179B">
            <w:pPr>
              <w:spacing w:after="0" w:line="240" w:lineRule="auto"/>
              <w:jc w:val="right"/>
              <w:rPr>
                <w:rFonts w:ascii="Times New Roman" w:eastAsia="Times New Roman" w:hAnsi="Times New Roman" w:cs="Times New Roman"/>
                <w:sz w:val="20"/>
                <w:szCs w:val="20"/>
                <w:lang w:eastAsia="cs-CZ"/>
              </w:rPr>
            </w:pPr>
          </w:p>
        </w:tc>
        <w:tc>
          <w:tcPr>
            <w:tcW w:w="709" w:type="dxa"/>
            <w:tcBorders>
              <w:top w:val="nil"/>
              <w:left w:val="nil"/>
              <w:bottom w:val="nil"/>
              <w:right w:val="nil"/>
            </w:tcBorders>
            <w:shd w:val="clear" w:color="auto" w:fill="auto"/>
            <w:noWrap/>
            <w:vAlign w:val="bottom"/>
            <w:hideMark/>
          </w:tcPr>
          <w:p w14:paraId="06EC724E" w14:textId="77777777" w:rsidR="0013179B" w:rsidRPr="0013179B" w:rsidRDefault="0013179B" w:rsidP="0013179B">
            <w:pPr>
              <w:spacing w:after="0" w:line="240" w:lineRule="auto"/>
              <w:jc w:val="right"/>
              <w:rPr>
                <w:rFonts w:ascii="Times New Roman" w:eastAsia="Times New Roman" w:hAnsi="Times New Roman" w:cs="Times New Roman"/>
                <w:sz w:val="20"/>
                <w:szCs w:val="20"/>
                <w:lang w:eastAsia="cs-CZ"/>
              </w:rPr>
            </w:pPr>
          </w:p>
        </w:tc>
      </w:tr>
      <w:tr w:rsidR="0013179B" w:rsidRPr="0013179B" w14:paraId="1523C99F" w14:textId="77777777" w:rsidTr="0013179B">
        <w:trPr>
          <w:trHeight w:val="320"/>
        </w:trPr>
        <w:tc>
          <w:tcPr>
            <w:tcW w:w="967"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1BFBCC2" w14:textId="77777777" w:rsidR="0013179B" w:rsidRPr="0013179B" w:rsidRDefault="0013179B" w:rsidP="0013179B">
            <w:pPr>
              <w:spacing w:after="0" w:line="240" w:lineRule="auto"/>
              <w:jc w:val="center"/>
              <w:rPr>
                <w:rFonts w:ascii="Calibri" w:eastAsia="Times New Roman" w:hAnsi="Calibri" w:cs="Arial"/>
                <w:sz w:val="20"/>
                <w:szCs w:val="20"/>
                <w:lang w:eastAsia="cs-CZ"/>
              </w:rPr>
            </w:pPr>
            <w:r w:rsidRPr="0013179B">
              <w:rPr>
                <w:rFonts w:ascii="Calibri" w:eastAsia="Times New Roman" w:hAnsi="Calibri" w:cs="Arial"/>
                <w:sz w:val="20"/>
                <w:szCs w:val="20"/>
                <w:lang w:eastAsia="cs-CZ"/>
              </w:rPr>
              <w:t>3599</w:t>
            </w:r>
          </w:p>
        </w:tc>
        <w:tc>
          <w:tcPr>
            <w:tcW w:w="3554" w:type="dxa"/>
            <w:tcBorders>
              <w:top w:val="single" w:sz="8" w:space="0" w:color="auto"/>
              <w:left w:val="nil"/>
              <w:bottom w:val="single" w:sz="8" w:space="0" w:color="auto"/>
              <w:right w:val="single" w:sz="4" w:space="0" w:color="auto"/>
            </w:tcBorders>
            <w:shd w:val="clear" w:color="auto" w:fill="auto"/>
            <w:vAlign w:val="bottom"/>
            <w:hideMark/>
          </w:tcPr>
          <w:p w14:paraId="53B931A5" w14:textId="77777777" w:rsidR="0013179B" w:rsidRPr="0013179B" w:rsidRDefault="0013179B" w:rsidP="0013179B">
            <w:pPr>
              <w:spacing w:after="0" w:line="240" w:lineRule="auto"/>
              <w:rPr>
                <w:rFonts w:ascii="Calibri" w:eastAsia="Times New Roman" w:hAnsi="Calibri" w:cs="Arial"/>
                <w:sz w:val="20"/>
                <w:szCs w:val="20"/>
                <w:lang w:eastAsia="cs-CZ"/>
              </w:rPr>
            </w:pPr>
            <w:r w:rsidRPr="0013179B">
              <w:rPr>
                <w:rFonts w:ascii="Calibri" w:eastAsia="Times New Roman" w:hAnsi="Calibri" w:cs="Arial"/>
                <w:sz w:val="20"/>
                <w:szCs w:val="20"/>
                <w:lang w:eastAsia="cs-CZ"/>
              </w:rPr>
              <w:t>Středočeský Humanitární fond</w:t>
            </w:r>
          </w:p>
        </w:tc>
        <w:tc>
          <w:tcPr>
            <w:tcW w:w="1432" w:type="dxa"/>
            <w:tcBorders>
              <w:top w:val="single" w:sz="8" w:space="0" w:color="auto"/>
              <w:left w:val="nil"/>
              <w:bottom w:val="single" w:sz="8" w:space="0" w:color="auto"/>
              <w:right w:val="single" w:sz="4" w:space="0" w:color="auto"/>
            </w:tcBorders>
            <w:shd w:val="clear" w:color="auto" w:fill="auto"/>
            <w:noWrap/>
            <w:vAlign w:val="bottom"/>
            <w:hideMark/>
          </w:tcPr>
          <w:p w14:paraId="02B2789D"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0</w:t>
            </w:r>
          </w:p>
        </w:tc>
        <w:tc>
          <w:tcPr>
            <w:tcW w:w="1702" w:type="dxa"/>
            <w:tcBorders>
              <w:top w:val="single" w:sz="8" w:space="0" w:color="auto"/>
              <w:left w:val="nil"/>
              <w:bottom w:val="single" w:sz="8" w:space="0" w:color="auto"/>
              <w:right w:val="single" w:sz="4" w:space="0" w:color="auto"/>
            </w:tcBorders>
            <w:shd w:val="clear" w:color="auto" w:fill="auto"/>
            <w:noWrap/>
            <w:vAlign w:val="bottom"/>
            <w:hideMark/>
          </w:tcPr>
          <w:p w14:paraId="13C9C135"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3 000 000,00</w:t>
            </w:r>
          </w:p>
        </w:tc>
        <w:tc>
          <w:tcPr>
            <w:tcW w:w="1701" w:type="dxa"/>
            <w:tcBorders>
              <w:top w:val="single" w:sz="8" w:space="0" w:color="auto"/>
              <w:left w:val="nil"/>
              <w:bottom w:val="single" w:sz="8" w:space="0" w:color="auto"/>
              <w:right w:val="single" w:sz="4" w:space="0" w:color="auto"/>
            </w:tcBorders>
            <w:shd w:val="clear" w:color="auto" w:fill="auto"/>
            <w:noWrap/>
            <w:vAlign w:val="bottom"/>
            <w:hideMark/>
          </w:tcPr>
          <w:p w14:paraId="3E05BB24"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2 606 358,00</w:t>
            </w:r>
          </w:p>
        </w:tc>
        <w:tc>
          <w:tcPr>
            <w:tcW w:w="709" w:type="dxa"/>
            <w:tcBorders>
              <w:top w:val="single" w:sz="8" w:space="0" w:color="auto"/>
              <w:left w:val="nil"/>
              <w:bottom w:val="single" w:sz="8" w:space="0" w:color="auto"/>
              <w:right w:val="single" w:sz="8" w:space="0" w:color="auto"/>
            </w:tcBorders>
            <w:shd w:val="clear" w:color="auto" w:fill="auto"/>
            <w:noWrap/>
            <w:vAlign w:val="bottom"/>
            <w:hideMark/>
          </w:tcPr>
          <w:p w14:paraId="7CE916FC"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86,9</w:t>
            </w:r>
          </w:p>
        </w:tc>
      </w:tr>
      <w:tr w:rsidR="0013179B" w:rsidRPr="0013179B" w14:paraId="08173F16" w14:textId="77777777" w:rsidTr="0013179B">
        <w:trPr>
          <w:trHeight w:val="320"/>
        </w:trPr>
        <w:tc>
          <w:tcPr>
            <w:tcW w:w="967" w:type="dxa"/>
            <w:tcBorders>
              <w:top w:val="nil"/>
              <w:left w:val="single" w:sz="8" w:space="0" w:color="auto"/>
              <w:bottom w:val="single" w:sz="8" w:space="0" w:color="auto"/>
              <w:right w:val="single" w:sz="4" w:space="0" w:color="auto"/>
            </w:tcBorders>
            <w:shd w:val="clear" w:color="auto" w:fill="auto"/>
            <w:noWrap/>
            <w:vAlign w:val="bottom"/>
            <w:hideMark/>
          </w:tcPr>
          <w:p w14:paraId="18FA86D8" w14:textId="77777777" w:rsidR="0013179B" w:rsidRPr="0013179B" w:rsidRDefault="0013179B" w:rsidP="0013179B">
            <w:pPr>
              <w:spacing w:after="0" w:line="240" w:lineRule="auto"/>
              <w:rPr>
                <w:rFonts w:ascii="Calibri" w:eastAsia="Times New Roman" w:hAnsi="Calibri" w:cs="Arial"/>
                <w:lang w:eastAsia="cs-CZ"/>
              </w:rPr>
            </w:pPr>
            <w:r w:rsidRPr="0013179B">
              <w:rPr>
                <w:rFonts w:ascii="Calibri" w:eastAsia="Times New Roman" w:hAnsi="Calibri" w:cs="Arial"/>
                <w:lang w:eastAsia="cs-CZ"/>
              </w:rPr>
              <w:t> </w:t>
            </w:r>
          </w:p>
        </w:tc>
        <w:tc>
          <w:tcPr>
            <w:tcW w:w="3554" w:type="dxa"/>
            <w:tcBorders>
              <w:top w:val="nil"/>
              <w:left w:val="nil"/>
              <w:bottom w:val="single" w:sz="8" w:space="0" w:color="auto"/>
              <w:right w:val="single" w:sz="4" w:space="0" w:color="auto"/>
            </w:tcBorders>
            <w:shd w:val="clear" w:color="auto" w:fill="auto"/>
            <w:noWrap/>
            <w:vAlign w:val="bottom"/>
            <w:hideMark/>
          </w:tcPr>
          <w:p w14:paraId="5E13DB24" w14:textId="77777777" w:rsidR="0013179B" w:rsidRPr="0013179B" w:rsidRDefault="0013179B" w:rsidP="0013179B">
            <w:pPr>
              <w:spacing w:after="0" w:line="240" w:lineRule="auto"/>
              <w:rPr>
                <w:rFonts w:ascii="Calibri" w:eastAsia="Times New Roman" w:hAnsi="Calibri" w:cs="Arial"/>
                <w:b/>
                <w:bCs/>
                <w:lang w:eastAsia="cs-CZ"/>
              </w:rPr>
            </w:pPr>
            <w:r w:rsidRPr="0013179B">
              <w:rPr>
                <w:rFonts w:ascii="Calibri" w:eastAsia="Times New Roman" w:hAnsi="Calibri" w:cs="Arial"/>
                <w:b/>
                <w:bCs/>
                <w:lang w:eastAsia="cs-CZ"/>
              </w:rPr>
              <w:t xml:space="preserve">Celkem </w:t>
            </w:r>
          </w:p>
        </w:tc>
        <w:tc>
          <w:tcPr>
            <w:tcW w:w="1432" w:type="dxa"/>
            <w:tcBorders>
              <w:top w:val="nil"/>
              <w:left w:val="nil"/>
              <w:bottom w:val="single" w:sz="8" w:space="0" w:color="auto"/>
              <w:right w:val="single" w:sz="4" w:space="0" w:color="auto"/>
            </w:tcBorders>
            <w:shd w:val="clear" w:color="auto" w:fill="auto"/>
            <w:noWrap/>
            <w:vAlign w:val="bottom"/>
            <w:hideMark/>
          </w:tcPr>
          <w:p w14:paraId="3ACAE9A4" w14:textId="77777777" w:rsidR="0013179B" w:rsidRPr="0013179B" w:rsidRDefault="0013179B" w:rsidP="0013179B">
            <w:pPr>
              <w:spacing w:after="0" w:line="240" w:lineRule="auto"/>
              <w:jc w:val="right"/>
              <w:rPr>
                <w:rFonts w:ascii="Calibri" w:eastAsia="Times New Roman" w:hAnsi="Calibri" w:cs="Arial"/>
                <w:b/>
                <w:bCs/>
                <w:lang w:eastAsia="cs-CZ"/>
              </w:rPr>
            </w:pPr>
            <w:r w:rsidRPr="0013179B">
              <w:rPr>
                <w:rFonts w:ascii="Calibri" w:eastAsia="Times New Roman" w:hAnsi="Calibri" w:cs="Arial"/>
                <w:b/>
                <w:bCs/>
                <w:lang w:eastAsia="cs-CZ"/>
              </w:rPr>
              <w:t>0</w:t>
            </w:r>
          </w:p>
        </w:tc>
        <w:tc>
          <w:tcPr>
            <w:tcW w:w="1702" w:type="dxa"/>
            <w:tcBorders>
              <w:top w:val="nil"/>
              <w:left w:val="nil"/>
              <w:bottom w:val="single" w:sz="8" w:space="0" w:color="auto"/>
              <w:right w:val="single" w:sz="4" w:space="0" w:color="auto"/>
            </w:tcBorders>
            <w:shd w:val="clear" w:color="auto" w:fill="auto"/>
            <w:noWrap/>
            <w:vAlign w:val="bottom"/>
            <w:hideMark/>
          </w:tcPr>
          <w:p w14:paraId="15721232" w14:textId="77777777" w:rsidR="0013179B" w:rsidRPr="0013179B" w:rsidRDefault="0013179B" w:rsidP="0013179B">
            <w:pPr>
              <w:spacing w:after="0" w:line="240" w:lineRule="auto"/>
              <w:jc w:val="right"/>
              <w:rPr>
                <w:rFonts w:ascii="Calibri" w:eastAsia="Times New Roman" w:hAnsi="Calibri" w:cs="Arial"/>
                <w:b/>
                <w:bCs/>
                <w:lang w:eastAsia="cs-CZ"/>
              </w:rPr>
            </w:pPr>
            <w:r w:rsidRPr="0013179B">
              <w:rPr>
                <w:rFonts w:ascii="Calibri" w:eastAsia="Times New Roman" w:hAnsi="Calibri" w:cs="Arial"/>
                <w:b/>
                <w:bCs/>
                <w:lang w:eastAsia="cs-CZ"/>
              </w:rPr>
              <w:t>3 000 000,00</w:t>
            </w:r>
          </w:p>
        </w:tc>
        <w:tc>
          <w:tcPr>
            <w:tcW w:w="1701" w:type="dxa"/>
            <w:tcBorders>
              <w:top w:val="nil"/>
              <w:left w:val="nil"/>
              <w:bottom w:val="single" w:sz="8" w:space="0" w:color="auto"/>
              <w:right w:val="single" w:sz="4" w:space="0" w:color="auto"/>
            </w:tcBorders>
            <w:shd w:val="clear" w:color="auto" w:fill="auto"/>
            <w:noWrap/>
            <w:vAlign w:val="bottom"/>
            <w:hideMark/>
          </w:tcPr>
          <w:p w14:paraId="5430C4EE" w14:textId="77777777" w:rsidR="0013179B" w:rsidRPr="0013179B" w:rsidRDefault="0013179B" w:rsidP="0013179B">
            <w:pPr>
              <w:spacing w:after="0" w:line="240" w:lineRule="auto"/>
              <w:jc w:val="right"/>
              <w:rPr>
                <w:rFonts w:ascii="Calibri" w:eastAsia="Times New Roman" w:hAnsi="Calibri" w:cs="Arial"/>
                <w:b/>
                <w:bCs/>
                <w:lang w:eastAsia="cs-CZ"/>
              </w:rPr>
            </w:pPr>
            <w:r w:rsidRPr="0013179B">
              <w:rPr>
                <w:rFonts w:ascii="Calibri" w:eastAsia="Times New Roman" w:hAnsi="Calibri" w:cs="Arial"/>
                <w:b/>
                <w:bCs/>
                <w:lang w:eastAsia="cs-CZ"/>
              </w:rPr>
              <w:t>2 606 358,00</w:t>
            </w:r>
          </w:p>
        </w:tc>
        <w:tc>
          <w:tcPr>
            <w:tcW w:w="709" w:type="dxa"/>
            <w:tcBorders>
              <w:top w:val="nil"/>
              <w:left w:val="nil"/>
              <w:bottom w:val="single" w:sz="8" w:space="0" w:color="auto"/>
              <w:right w:val="single" w:sz="8" w:space="0" w:color="auto"/>
            </w:tcBorders>
            <w:shd w:val="clear" w:color="auto" w:fill="auto"/>
            <w:noWrap/>
            <w:vAlign w:val="bottom"/>
            <w:hideMark/>
          </w:tcPr>
          <w:p w14:paraId="6DFFC436" w14:textId="77777777" w:rsidR="0013179B" w:rsidRPr="0013179B" w:rsidRDefault="0013179B" w:rsidP="0013179B">
            <w:pPr>
              <w:spacing w:after="0" w:line="240" w:lineRule="auto"/>
              <w:jc w:val="right"/>
              <w:rPr>
                <w:rFonts w:ascii="Calibri" w:eastAsia="Times New Roman" w:hAnsi="Calibri" w:cs="Arial"/>
                <w:b/>
                <w:bCs/>
                <w:lang w:eastAsia="cs-CZ"/>
              </w:rPr>
            </w:pPr>
            <w:r w:rsidRPr="0013179B">
              <w:rPr>
                <w:rFonts w:ascii="Calibri" w:eastAsia="Times New Roman" w:hAnsi="Calibri" w:cs="Arial"/>
                <w:b/>
                <w:bCs/>
                <w:lang w:eastAsia="cs-CZ"/>
              </w:rPr>
              <w:t>86,9</w:t>
            </w:r>
          </w:p>
        </w:tc>
      </w:tr>
      <w:tr w:rsidR="0013179B" w:rsidRPr="0013179B" w14:paraId="61EB1EDC" w14:textId="77777777" w:rsidTr="0013179B">
        <w:trPr>
          <w:trHeight w:val="300"/>
        </w:trPr>
        <w:tc>
          <w:tcPr>
            <w:tcW w:w="967" w:type="dxa"/>
            <w:tcBorders>
              <w:top w:val="nil"/>
              <w:left w:val="nil"/>
              <w:bottom w:val="nil"/>
              <w:right w:val="nil"/>
            </w:tcBorders>
            <w:shd w:val="clear" w:color="auto" w:fill="auto"/>
            <w:noWrap/>
            <w:vAlign w:val="bottom"/>
            <w:hideMark/>
          </w:tcPr>
          <w:p w14:paraId="7EDBDF05" w14:textId="77777777" w:rsidR="0013179B" w:rsidRPr="0013179B" w:rsidRDefault="0013179B" w:rsidP="0013179B">
            <w:pPr>
              <w:spacing w:after="0" w:line="240" w:lineRule="auto"/>
              <w:jc w:val="right"/>
              <w:rPr>
                <w:rFonts w:ascii="Calibri" w:eastAsia="Times New Roman" w:hAnsi="Calibri" w:cs="Arial"/>
                <w:b/>
                <w:bCs/>
                <w:lang w:eastAsia="cs-CZ"/>
              </w:rPr>
            </w:pPr>
          </w:p>
        </w:tc>
        <w:tc>
          <w:tcPr>
            <w:tcW w:w="3554" w:type="dxa"/>
            <w:tcBorders>
              <w:top w:val="nil"/>
              <w:left w:val="nil"/>
              <w:bottom w:val="nil"/>
              <w:right w:val="nil"/>
            </w:tcBorders>
            <w:shd w:val="clear" w:color="auto" w:fill="auto"/>
            <w:noWrap/>
            <w:vAlign w:val="bottom"/>
            <w:hideMark/>
          </w:tcPr>
          <w:p w14:paraId="5407AD37" w14:textId="77777777" w:rsidR="0013179B" w:rsidRPr="0013179B" w:rsidRDefault="0013179B" w:rsidP="0013179B">
            <w:pPr>
              <w:spacing w:after="0" w:line="240" w:lineRule="auto"/>
              <w:rPr>
                <w:rFonts w:ascii="Times New Roman" w:eastAsia="Times New Roman" w:hAnsi="Times New Roman" w:cs="Times New Roman"/>
                <w:sz w:val="20"/>
                <w:szCs w:val="20"/>
                <w:lang w:eastAsia="cs-CZ"/>
              </w:rPr>
            </w:pPr>
          </w:p>
        </w:tc>
        <w:tc>
          <w:tcPr>
            <w:tcW w:w="1432" w:type="dxa"/>
            <w:tcBorders>
              <w:top w:val="nil"/>
              <w:left w:val="nil"/>
              <w:bottom w:val="nil"/>
              <w:right w:val="nil"/>
            </w:tcBorders>
            <w:shd w:val="clear" w:color="auto" w:fill="auto"/>
            <w:noWrap/>
            <w:vAlign w:val="bottom"/>
            <w:hideMark/>
          </w:tcPr>
          <w:p w14:paraId="458CEE1F" w14:textId="77777777" w:rsidR="0013179B" w:rsidRPr="0013179B" w:rsidRDefault="0013179B" w:rsidP="0013179B">
            <w:pPr>
              <w:spacing w:after="0" w:line="240" w:lineRule="auto"/>
              <w:rPr>
                <w:rFonts w:ascii="Times New Roman" w:eastAsia="Times New Roman" w:hAnsi="Times New Roman" w:cs="Times New Roman"/>
                <w:sz w:val="20"/>
                <w:szCs w:val="20"/>
                <w:lang w:eastAsia="cs-CZ"/>
              </w:rPr>
            </w:pPr>
          </w:p>
        </w:tc>
        <w:tc>
          <w:tcPr>
            <w:tcW w:w="1702" w:type="dxa"/>
            <w:tcBorders>
              <w:top w:val="nil"/>
              <w:left w:val="nil"/>
              <w:bottom w:val="nil"/>
              <w:right w:val="nil"/>
            </w:tcBorders>
            <w:shd w:val="clear" w:color="auto" w:fill="auto"/>
            <w:noWrap/>
            <w:vAlign w:val="bottom"/>
            <w:hideMark/>
          </w:tcPr>
          <w:p w14:paraId="4A97FE9E" w14:textId="77777777" w:rsidR="0013179B" w:rsidRPr="0013179B" w:rsidRDefault="0013179B" w:rsidP="0013179B">
            <w:pPr>
              <w:spacing w:after="0" w:line="240" w:lineRule="auto"/>
              <w:jc w:val="right"/>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440FC7B1" w14:textId="77777777" w:rsidR="0013179B" w:rsidRPr="0013179B" w:rsidRDefault="0013179B" w:rsidP="0013179B">
            <w:pPr>
              <w:spacing w:after="0" w:line="240" w:lineRule="auto"/>
              <w:jc w:val="right"/>
              <w:rPr>
                <w:rFonts w:ascii="Times New Roman" w:eastAsia="Times New Roman" w:hAnsi="Times New Roman" w:cs="Times New Roman"/>
                <w:sz w:val="20"/>
                <w:szCs w:val="20"/>
                <w:lang w:eastAsia="cs-CZ"/>
              </w:rPr>
            </w:pPr>
          </w:p>
        </w:tc>
        <w:tc>
          <w:tcPr>
            <w:tcW w:w="709" w:type="dxa"/>
            <w:tcBorders>
              <w:top w:val="nil"/>
              <w:left w:val="nil"/>
              <w:bottom w:val="nil"/>
              <w:right w:val="nil"/>
            </w:tcBorders>
            <w:shd w:val="clear" w:color="auto" w:fill="auto"/>
            <w:noWrap/>
            <w:vAlign w:val="bottom"/>
            <w:hideMark/>
          </w:tcPr>
          <w:p w14:paraId="2C6CB867" w14:textId="77777777" w:rsidR="0013179B" w:rsidRPr="0013179B" w:rsidRDefault="0013179B" w:rsidP="0013179B">
            <w:pPr>
              <w:spacing w:after="0" w:line="240" w:lineRule="auto"/>
              <w:jc w:val="right"/>
              <w:rPr>
                <w:rFonts w:ascii="Times New Roman" w:eastAsia="Times New Roman" w:hAnsi="Times New Roman" w:cs="Times New Roman"/>
                <w:sz w:val="20"/>
                <w:szCs w:val="20"/>
                <w:lang w:eastAsia="cs-CZ"/>
              </w:rPr>
            </w:pPr>
          </w:p>
        </w:tc>
      </w:tr>
      <w:tr w:rsidR="0013179B" w:rsidRPr="0013179B" w14:paraId="4287A848" w14:textId="77777777" w:rsidTr="0013179B">
        <w:trPr>
          <w:trHeight w:val="320"/>
        </w:trPr>
        <w:tc>
          <w:tcPr>
            <w:tcW w:w="967" w:type="dxa"/>
            <w:tcBorders>
              <w:top w:val="nil"/>
              <w:left w:val="nil"/>
              <w:bottom w:val="nil"/>
              <w:right w:val="nil"/>
            </w:tcBorders>
            <w:shd w:val="clear" w:color="auto" w:fill="auto"/>
            <w:noWrap/>
            <w:vAlign w:val="center"/>
            <w:hideMark/>
          </w:tcPr>
          <w:p w14:paraId="140BB6CA" w14:textId="77777777" w:rsidR="0013179B" w:rsidRPr="0013179B" w:rsidRDefault="0013179B" w:rsidP="0013179B">
            <w:pPr>
              <w:spacing w:after="0" w:line="240" w:lineRule="auto"/>
              <w:jc w:val="right"/>
              <w:rPr>
                <w:rFonts w:ascii="Times New Roman" w:eastAsia="Times New Roman" w:hAnsi="Times New Roman" w:cs="Times New Roman"/>
                <w:sz w:val="20"/>
                <w:szCs w:val="20"/>
                <w:lang w:eastAsia="cs-CZ"/>
              </w:rPr>
            </w:pPr>
          </w:p>
        </w:tc>
        <w:tc>
          <w:tcPr>
            <w:tcW w:w="3554" w:type="dxa"/>
            <w:tcBorders>
              <w:top w:val="nil"/>
              <w:left w:val="nil"/>
              <w:bottom w:val="single" w:sz="8" w:space="0" w:color="auto"/>
              <w:right w:val="nil"/>
            </w:tcBorders>
            <w:shd w:val="clear" w:color="auto" w:fill="auto"/>
            <w:noWrap/>
            <w:vAlign w:val="center"/>
            <w:hideMark/>
          </w:tcPr>
          <w:p w14:paraId="20702732" w14:textId="77777777" w:rsidR="0013179B" w:rsidRPr="0013179B" w:rsidRDefault="0013179B" w:rsidP="0013179B">
            <w:pPr>
              <w:spacing w:after="0" w:line="240" w:lineRule="auto"/>
              <w:rPr>
                <w:rFonts w:ascii="Calibri" w:eastAsia="Times New Roman" w:hAnsi="Calibri" w:cs="Arial"/>
                <w:b/>
                <w:bCs/>
                <w:lang w:eastAsia="cs-CZ"/>
              </w:rPr>
            </w:pPr>
            <w:r w:rsidRPr="0013179B">
              <w:rPr>
                <w:rFonts w:ascii="Calibri" w:eastAsia="Times New Roman" w:hAnsi="Calibri" w:cs="Arial"/>
                <w:b/>
                <w:bCs/>
                <w:lang w:eastAsia="cs-CZ"/>
              </w:rPr>
              <w:t>Výdaje na havárie</w:t>
            </w:r>
          </w:p>
        </w:tc>
        <w:tc>
          <w:tcPr>
            <w:tcW w:w="1432" w:type="dxa"/>
            <w:tcBorders>
              <w:top w:val="nil"/>
              <w:left w:val="nil"/>
              <w:bottom w:val="nil"/>
              <w:right w:val="nil"/>
            </w:tcBorders>
            <w:shd w:val="clear" w:color="auto" w:fill="auto"/>
            <w:noWrap/>
            <w:vAlign w:val="center"/>
            <w:hideMark/>
          </w:tcPr>
          <w:p w14:paraId="099C6B68" w14:textId="77777777" w:rsidR="0013179B" w:rsidRPr="0013179B" w:rsidRDefault="0013179B" w:rsidP="0013179B">
            <w:pPr>
              <w:spacing w:after="0" w:line="240" w:lineRule="auto"/>
              <w:rPr>
                <w:rFonts w:ascii="Calibri" w:eastAsia="Times New Roman" w:hAnsi="Calibri" w:cs="Arial"/>
                <w:b/>
                <w:bCs/>
                <w:lang w:eastAsia="cs-CZ"/>
              </w:rPr>
            </w:pPr>
          </w:p>
        </w:tc>
        <w:tc>
          <w:tcPr>
            <w:tcW w:w="1702" w:type="dxa"/>
            <w:tcBorders>
              <w:top w:val="nil"/>
              <w:left w:val="nil"/>
              <w:bottom w:val="nil"/>
              <w:right w:val="nil"/>
            </w:tcBorders>
            <w:shd w:val="clear" w:color="auto" w:fill="auto"/>
            <w:noWrap/>
            <w:vAlign w:val="center"/>
            <w:hideMark/>
          </w:tcPr>
          <w:p w14:paraId="50D117C6" w14:textId="77777777" w:rsidR="0013179B" w:rsidRPr="0013179B" w:rsidRDefault="0013179B" w:rsidP="0013179B">
            <w:pPr>
              <w:spacing w:after="0" w:line="240" w:lineRule="auto"/>
              <w:jc w:val="right"/>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center"/>
            <w:hideMark/>
          </w:tcPr>
          <w:p w14:paraId="0089DA1B" w14:textId="77777777" w:rsidR="0013179B" w:rsidRPr="0013179B" w:rsidRDefault="0013179B" w:rsidP="0013179B">
            <w:pPr>
              <w:spacing w:after="0" w:line="240" w:lineRule="auto"/>
              <w:jc w:val="right"/>
              <w:rPr>
                <w:rFonts w:ascii="Times New Roman" w:eastAsia="Times New Roman" w:hAnsi="Times New Roman" w:cs="Times New Roman"/>
                <w:sz w:val="20"/>
                <w:szCs w:val="20"/>
                <w:lang w:eastAsia="cs-CZ"/>
              </w:rPr>
            </w:pPr>
          </w:p>
        </w:tc>
        <w:tc>
          <w:tcPr>
            <w:tcW w:w="709" w:type="dxa"/>
            <w:tcBorders>
              <w:top w:val="nil"/>
              <w:left w:val="nil"/>
              <w:bottom w:val="nil"/>
              <w:right w:val="nil"/>
            </w:tcBorders>
            <w:shd w:val="clear" w:color="auto" w:fill="auto"/>
            <w:noWrap/>
            <w:vAlign w:val="bottom"/>
            <w:hideMark/>
          </w:tcPr>
          <w:p w14:paraId="4380E2C0" w14:textId="77777777" w:rsidR="0013179B" w:rsidRPr="0013179B" w:rsidRDefault="0013179B" w:rsidP="0013179B">
            <w:pPr>
              <w:spacing w:after="0" w:line="240" w:lineRule="auto"/>
              <w:jc w:val="right"/>
              <w:rPr>
                <w:rFonts w:ascii="Times New Roman" w:eastAsia="Times New Roman" w:hAnsi="Times New Roman" w:cs="Times New Roman"/>
                <w:sz w:val="20"/>
                <w:szCs w:val="20"/>
                <w:lang w:eastAsia="cs-CZ"/>
              </w:rPr>
            </w:pPr>
          </w:p>
        </w:tc>
      </w:tr>
      <w:tr w:rsidR="0013179B" w:rsidRPr="0013179B" w14:paraId="0019CE31" w14:textId="77777777" w:rsidTr="0013179B">
        <w:trPr>
          <w:trHeight w:val="510"/>
        </w:trPr>
        <w:tc>
          <w:tcPr>
            <w:tcW w:w="967"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694FB0DD" w14:textId="77777777" w:rsidR="0013179B" w:rsidRPr="0013179B" w:rsidRDefault="0013179B" w:rsidP="0013179B">
            <w:pPr>
              <w:spacing w:after="0" w:line="240" w:lineRule="auto"/>
              <w:jc w:val="center"/>
              <w:rPr>
                <w:rFonts w:ascii="Calibri" w:eastAsia="Times New Roman" w:hAnsi="Calibri" w:cs="Arial"/>
                <w:sz w:val="20"/>
                <w:szCs w:val="20"/>
                <w:lang w:eastAsia="cs-CZ"/>
              </w:rPr>
            </w:pPr>
            <w:r w:rsidRPr="0013179B">
              <w:rPr>
                <w:rFonts w:ascii="Calibri" w:eastAsia="Times New Roman" w:hAnsi="Calibri" w:cs="Arial"/>
                <w:sz w:val="20"/>
                <w:szCs w:val="20"/>
                <w:lang w:eastAsia="cs-CZ"/>
              </w:rPr>
              <w:t>3529</w:t>
            </w:r>
          </w:p>
        </w:tc>
        <w:tc>
          <w:tcPr>
            <w:tcW w:w="3554" w:type="dxa"/>
            <w:tcBorders>
              <w:top w:val="nil"/>
              <w:left w:val="nil"/>
              <w:bottom w:val="single" w:sz="4" w:space="0" w:color="auto"/>
              <w:right w:val="single" w:sz="4" w:space="0" w:color="auto"/>
            </w:tcBorders>
            <w:shd w:val="clear" w:color="auto" w:fill="auto"/>
            <w:vAlign w:val="center"/>
            <w:hideMark/>
          </w:tcPr>
          <w:p w14:paraId="3140FEE7" w14:textId="77777777" w:rsidR="0013179B" w:rsidRPr="0013179B" w:rsidRDefault="0013179B" w:rsidP="0013179B">
            <w:pPr>
              <w:spacing w:after="0" w:line="240" w:lineRule="auto"/>
              <w:rPr>
                <w:rFonts w:ascii="Calibri" w:eastAsia="Times New Roman" w:hAnsi="Calibri" w:cs="Arial"/>
                <w:sz w:val="20"/>
                <w:szCs w:val="20"/>
                <w:lang w:eastAsia="cs-CZ"/>
              </w:rPr>
            </w:pPr>
            <w:r w:rsidRPr="0013179B">
              <w:rPr>
                <w:rFonts w:ascii="Calibri" w:eastAsia="Times New Roman" w:hAnsi="Calibri" w:cs="Arial"/>
                <w:sz w:val="20"/>
                <w:szCs w:val="20"/>
                <w:lang w:eastAsia="cs-CZ"/>
              </w:rPr>
              <w:t xml:space="preserve">Ostatní ústavní péče (dětská centra) - příspěvek příspěvkovým organizacím </w:t>
            </w:r>
          </w:p>
        </w:tc>
        <w:tc>
          <w:tcPr>
            <w:tcW w:w="1432" w:type="dxa"/>
            <w:tcBorders>
              <w:top w:val="single" w:sz="8" w:space="0" w:color="auto"/>
              <w:left w:val="nil"/>
              <w:bottom w:val="single" w:sz="4" w:space="0" w:color="auto"/>
              <w:right w:val="single" w:sz="4" w:space="0" w:color="auto"/>
            </w:tcBorders>
            <w:shd w:val="clear" w:color="auto" w:fill="auto"/>
            <w:noWrap/>
            <w:vAlign w:val="bottom"/>
            <w:hideMark/>
          </w:tcPr>
          <w:p w14:paraId="257FBDFC" w14:textId="77777777" w:rsidR="0013179B" w:rsidRPr="0013179B" w:rsidRDefault="0013179B" w:rsidP="0013179B">
            <w:pPr>
              <w:spacing w:after="0" w:line="240" w:lineRule="auto"/>
              <w:jc w:val="right"/>
              <w:rPr>
                <w:rFonts w:ascii="Calibri" w:eastAsia="Times New Roman" w:hAnsi="Calibri" w:cs="Arial"/>
                <w:color w:val="000000"/>
                <w:sz w:val="20"/>
                <w:szCs w:val="20"/>
                <w:lang w:eastAsia="cs-CZ"/>
              </w:rPr>
            </w:pPr>
            <w:r w:rsidRPr="0013179B">
              <w:rPr>
                <w:rFonts w:ascii="Calibri" w:eastAsia="Times New Roman" w:hAnsi="Calibri" w:cs="Arial"/>
                <w:color w:val="000000"/>
                <w:sz w:val="20"/>
                <w:szCs w:val="20"/>
                <w:lang w:eastAsia="cs-CZ"/>
              </w:rPr>
              <w:t>0</w:t>
            </w:r>
          </w:p>
        </w:tc>
        <w:tc>
          <w:tcPr>
            <w:tcW w:w="1702" w:type="dxa"/>
            <w:tcBorders>
              <w:top w:val="single" w:sz="8" w:space="0" w:color="auto"/>
              <w:left w:val="nil"/>
              <w:bottom w:val="single" w:sz="4" w:space="0" w:color="auto"/>
              <w:right w:val="single" w:sz="4" w:space="0" w:color="auto"/>
            </w:tcBorders>
            <w:shd w:val="clear" w:color="auto" w:fill="auto"/>
            <w:noWrap/>
            <w:vAlign w:val="bottom"/>
            <w:hideMark/>
          </w:tcPr>
          <w:p w14:paraId="30A82CC3" w14:textId="77777777" w:rsidR="0013179B" w:rsidRPr="0013179B" w:rsidRDefault="0013179B" w:rsidP="0013179B">
            <w:pPr>
              <w:spacing w:after="0" w:line="240" w:lineRule="auto"/>
              <w:jc w:val="right"/>
              <w:rPr>
                <w:rFonts w:ascii="Calibri" w:eastAsia="Times New Roman" w:hAnsi="Calibri" w:cs="Arial"/>
                <w:color w:val="000000"/>
                <w:sz w:val="20"/>
                <w:szCs w:val="20"/>
                <w:lang w:eastAsia="cs-CZ"/>
              </w:rPr>
            </w:pPr>
            <w:r w:rsidRPr="0013179B">
              <w:rPr>
                <w:rFonts w:ascii="Calibri" w:eastAsia="Times New Roman" w:hAnsi="Calibri" w:cs="Arial"/>
                <w:color w:val="000000"/>
                <w:sz w:val="20"/>
                <w:szCs w:val="20"/>
                <w:lang w:eastAsia="cs-CZ"/>
              </w:rPr>
              <w:t>500 000,00</w:t>
            </w:r>
          </w:p>
        </w:tc>
        <w:tc>
          <w:tcPr>
            <w:tcW w:w="1701" w:type="dxa"/>
            <w:tcBorders>
              <w:top w:val="single" w:sz="8" w:space="0" w:color="auto"/>
              <w:left w:val="nil"/>
              <w:bottom w:val="single" w:sz="4" w:space="0" w:color="auto"/>
              <w:right w:val="single" w:sz="4" w:space="0" w:color="auto"/>
            </w:tcBorders>
            <w:shd w:val="clear" w:color="auto" w:fill="auto"/>
            <w:noWrap/>
            <w:vAlign w:val="bottom"/>
            <w:hideMark/>
          </w:tcPr>
          <w:p w14:paraId="3ECA01DE" w14:textId="77777777" w:rsidR="0013179B" w:rsidRPr="0013179B" w:rsidRDefault="0013179B" w:rsidP="0013179B">
            <w:pPr>
              <w:spacing w:after="0" w:line="240" w:lineRule="auto"/>
              <w:jc w:val="right"/>
              <w:rPr>
                <w:rFonts w:ascii="Calibri" w:eastAsia="Times New Roman" w:hAnsi="Calibri" w:cs="Arial"/>
                <w:color w:val="000000"/>
                <w:sz w:val="20"/>
                <w:szCs w:val="20"/>
                <w:lang w:eastAsia="cs-CZ"/>
              </w:rPr>
            </w:pPr>
            <w:r w:rsidRPr="0013179B">
              <w:rPr>
                <w:rFonts w:ascii="Calibri" w:eastAsia="Times New Roman" w:hAnsi="Calibri" w:cs="Arial"/>
                <w:color w:val="000000"/>
                <w:sz w:val="20"/>
                <w:szCs w:val="20"/>
                <w:lang w:eastAsia="cs-CZ"/>
              </w:rPr>
              <w:t>500 000,00</w:t>
            </w:r>
          </w:p>
        </w:tc>
        <w:tc>
          <w:tcPr>
            <w:tcW w:w="709" w:type="dxa"/>
            <w:tcBorders>
              <w:top w:val="single" w:sz="8" w:space="0" w:color="auto"/>
              <w:left w:val="nil"/>
              <w:bottom w:val="single" w:sz="4" w:space="0" w:color="auto"/>
              <w:right w:val="single" w:sz="8" w:space="0" w:color="auto"/>
            </w:tcBorders>
            <w:shd w:val="clear" w:color="auto" w:fill="auto"/>
            <w:noWrap/>
            <w:vAlign w:val="bottom"/>
            <w:hideMark/>
          </w:tcPr>
          <w:p w14:paraId="66B670FF" w14:textId="77777777" w:rsidR="0013179B" w:rsidRPr="0013179B" w:rsidRDefault="0013179B" w:rsidP="0013179B">
            <w:pPr>
              <w:spacing w:after="0" w:line="240" w:lineRule="auto"/>
              <w:jc w:val="right"/>
              <w:rPr>
                <w:rFonts w:ascii="Calibri" w:eastAsia="Times New Roman" w:hAnsi="Calibri" w:cs="Arial"/>
                <w:color w:val="000000"/>
                <w:sz w:val="20"/>
                <w:szCs w:val="20"/>
                <w:lang w:eastAsia="cs-CZ"/>
              </w:rPr>
            </w:pPr>
            <w:r w:rsidRPr="0013179B">
              <w:rPr>
                <w:rFonts w:ascii="Calibri" w:eastAsia="Times New Roman" w:hAnsi="Calibri" w:cs="Arial"/>
                <w:color w:val="000000"/>
                <w:sz w:val="20"/>
                <w:szCs w:val="20"/>
                <w:lang w:eastAsia="cs-CZ"/>
              </w:rPr>
              <w:t>100,0</w:t>
            </w:r>
          </w:p>
        </w:tc>
      </w:tr>
      <w:tr w:rsidR="0013179B" w:rsidRPr="0013179B" w14:paraId="0142063E" w14:textId="77777777" w:rsidTr="0013179B">
        <w:trPr>
          <w:trHeight w:val="510"/>
        </w:trPr>
        <w:tc>
          <w:tcPr>
            <w:tcW w:w="967" w:type="dxa"/>
            <w:tcBorders>
              <w:top w:val="nil"/>
              <w:left w:val="single" w:sz="8" w:space="0" w:color="auto"/>
              <w:bottom w:val="nil"/>
              <w:right w:val="single" w:sz="4" w:space="0" w:color="auto"/>
            </w:tcBorders>
            <w:shd w:val="clear" w:color="auto" w:fill="auto"/>
            <w:noWrap/>
            <w:vAlign w:val="bottom"/>
            <w:hideMark/>
          </w:tcPr>
          <w:p w14:paraId="7907E253" w14:textId="77777777" w:rsidR="0013179B" w:rsidRPr="0013179B" w:rsidRDefault="0013179B" w:rsidP="0013179B">
            <w:pPr>
              <w:spacing w:after="0" w:line="240" w:lineRule="auto"/>
              <w:jc w:val="center"/>
              <w:rPr>
                <w:rFonts w:ascii="Calibri" w:eastAsia="Times New Roman" w:hAnsi="Calibri" w:cs="Arial"/>
                <w:sz w:val="20"/>
                <w:szCs w:val="20"/>
                <w:lang w:eastAsia="cs-CZ"/>
              </w:rPr>
            </w:pPr>
            <w:r w:rsidRPr="0013179B">
              <w:rPr>
                <w:rFonts w:ascii="Calibri" w:eastAsia="Times New Roman" w:hAnsi="Calibri" w:cs="Arial"/>
                <w:sz w:val="20"/>
                <w:szCs w:val="20"/>
                <w:lang w:eastAsia="cs-CZ"/>
              </w:rPr>
              <w:t>3533</w:t>
            </w:r>
          </w:p>
        </w:tc>
        <w:tc>
          <w:tcPr>
            <w:tcW w:w="3554" w:type="dxa"/>
            <w:tcBorders>
              <w:top w:val="nil"/>
              <w:left w:val="nil"/>
              <w:bottom w:val="single" w:sz="4" w:space="0" w:color="auto"/>
              <w:right w:val="single" w:sz="4" w:space="0" w:color="auto"/>
            </w:tcBorders>
            <w:shd w:val="clear" w:color="auto" w:fill="auto"/>
            <w:vAlign w:val="center"/>
            <w:hideMark/>
          </w:tcPr>
          <w:p w14:paraId="3E8270A8" w14:textId="77777777" w:rsidR="0013179B" w:rsidRPr="0013179B" w:rsidRDefault="0013179B" w:rsidP="0013179B">
            <w:pPr>
              <w:spacing w:after="0" w:line="240" w:lineRule="auto"/>
              <w:rPr>
                <w:rFonts w:ascii="Calibri" w:eastAsia="Times New Roman" w:hAnsi="Calibri" w:cs="Arial"/>
                <w:sz w:val="20"/>
                <w:szCs w:val="20"/>
                <w:lang w:eastAsia="cs-CZ"/>
              </w:rPr>
            </w:pPr>
            <w:r w:rsidRPr="0013179B">
              <w:rPr>
                <w:rFonts w:ascii="Calibri" w:eastAsia="Times New Roman" w:hAnsi="Calibri" w:cs="Arial"/>
                <w:sz w:val="20"/>
                <w:szCs w:val="20"/>
                <w:lang w:eastAsia="cs-CZ"/>
              </w:rPr>
              <w:t>Zdravotnická záchranná služba - příspěvek příspěvkovým organizacím</w:t>
            </w:r>
          </w:p>
        </w:tc>
        <w:tc>
          <w:tcPr>
            <w:tcW w:w="1432" w:type="dxa"/>
            <w:tcBorders>
              <w:top w:val="nil"/>
              <w:left w:val="nil"/>
              <w:bottom w:val="nil"/>
              <w:right w:val="single" w:sz="4" w:space="0" w:color="auto"/>
            </w:tcBorders>
            <w:shd w:val="clear" w:color="auto" w:fill="auto"/>
            <w:noWrap/>
            <w:vAlign w:val="bottom"/>
            <w:hideMark/>
          </w:tcPr>
          <w:p w14:paraId="2D28B0E1" w14:textId="77777777" w:rsidR="0013179B" w:rsidRPr="0013179B" w:rsidRDefault="0013179B" w:rsidP="0013179B">
            <w:pPr>
              <w:spacing w:after="0" w:line="240" w:lineRule="auto"/>
              <w:jc w:val="right"/>
              <w:rPr>
                <w:rFonts w:ascii="Calibri" w:eastAsia="Times New Roman" w:hAnsi="Calibri" w:cs="Arial"/>
                <w:color w:val="000000"/>
                <w:sz w:val="20"/>
                <w:szCs w:val="20"/>
                <w:lang w:eastAsia="cs-CZ"/>
              </w:rPr>
            </w:pPr>
            <w:r w:rsidRPr="0013179B">
              <w:rPr>
                <w:rFonts w:ascii="Calibri" w:eastAsia="Times New Roman" w:hAnsi="Calibri" w:cs="Arial"/>
                <w:color w:val="000000"/>
                <w:sz w:val="20"/>
                <w:szCs w:val="20"/>
                <w:lang w:eastAsia="cs-CZ"/>
              </w:rPr>
              <w:t>0</w:t>
            </w:r>
          </w:p>
        </w:tc>
        <w:tc>
          <w:tcPr>
            <w:tcW w:w="1702" w:type="dxa"/>
            <w:tcBorders>
              <w:top w:val="nil"/>
              <w:left w:val="nil"/>
              <w:bottom w:val="nil"/>
              <w:right w:val="single" w:sz="4" w:space="0" w:color="auto"/>
            </w:tcBorders>
            <w:shd w:val="clear" w:color="auto" w:fill="auto"/>
            <w:noWrap/>
            <w:vAlign w:val="bottom"/>
            <w:hideMark/>
          </w:tcPr>
          <w:p w14:paraId="0D166508" w14:textId="77777777" w:rsidR="0013179B" w:rsidRPr="0013179B" w:rsidRDefault="0013179B" w:rsidP="0013179B">
            <w:pPr>
              <w:spacing w:after="0" w:line="240" w:lineRule="auto"/>
              <w:jc w:val="right"/>
              <w:rPr>
                <w:rFonts w:ascii="Calibri" w:eastAsia="Times New Roman" w:hAnsi="Calibri" w:cs="Arial"/>
                <w:color w:val="000000"/>
                <w:sz w:val="20"/>
                <w:szCs w:val="20"/>
                <w:lang w:eastAsia="cs-CZ"/>
              </w:rPr>
            </w:pPr>
            <w:r w:rsidRPr="0013179B">
              <w:rPr>
                <w:rFonts w:ascii="Calibri" w:eastAsia="Times New Roman" w:hAnsi="Calibri" w:cs="Arial"/>
                <w:color w:val="000000"/>
                <w:sz w:val="20"/>
                <w:szCs w:val="20"/>
                <w:lang w:eastAsia="cs-CZ"/>
              </w:rPr>
              <w:t>6 050 000,00</w:t>
            </w:r>
          </w:p>
        </w:tc>
        <w:tc>
          <w:tcPr>
            <w:tcW w:w="1701" w:type="dxa"/>
            <w:tcBorders>
              <w:top w:val="nil"/>
              <w:left w:val="nil"/>
              <w:bottom w:val="nil"/>
              <w:right w:val="single" w:sz="4" w:space="0" w:color="auto"/>
            </w:tcBorders>
            <w:shd w:val="clear" w:color="auto" w:fill="auto"/>
            <w:noWrap/>
            <w:vAlign w:val="bottom"/>
            <w:hideMark/>
          </w:tcPr>
          <w:p w14:paraId="2F2EADB6" w14:textId="77777777" w:rsidR="0013179B" w:rsidRPr="0013179B" w:rsidRDefault="0013179B" w:rsidP="0013179B">
            <w:pPr>
              <w:spacing w:after="0" w:line="240" w:lineRule="auto"/>
              <w:jc w:val="right"/>
              <w:rPr>
                <w:rFonts w:ascii="Calibri" w:eastAsia="Times New Roman" w:hAnsi="Calibri" w:cs="Arial"/>
                <w:color w:val="000000"/>
                <w:sz w:val="20"/>
                <w:szCs w:val="20"/>
                <w:lang w:eastAsia="cs-CZ"/>
              </w:rPr>
            </w:pPr>
            <w:r w:rsidRPr="0013179B">
              <w:rPr>
                <w:rFonts w:ascii="Calibri" w:eastAsia="Times New Roman" w:hAnsi="Calibri" w:cs="Arial"/>
                <w:color w:val="000000"/>
                <w:sz w:val="20"/>
                <w:szCs w:val="20"/>
                <w:lang w:eastAsia="cs-CZ"/>
              </w:rPr>
              <w:t>98 010,00</w:t>
            </w:r>
          </w:p>
        </w:tc>
        <w:tc>
          <w:tcPr>
            <w:tcW w:w="709" w:type="dxa"/>
            <w:tcBorders>
              <w:top w:val="nil"/>
              <w:left w:val="nil"/>
              <w:bottom w:val="single" w:sz="4" w:space="0" w:color="auto"/>
              <w:right w:val="single" w:sz="8" w:space="0" w:color="auto"/>
            </w:tcBorders>
            <w:shd w:val="clear" w:color="auto" w:fill="auto"/>
            <w:noWrap/>
            <w:vAlign w:val="bottom"/>
            <w:hideMark/>
          </w:tcPr>
          <w:p w14:paraId="2CCAF5BC" w14:textId="77777777" w:rsidR="0013179B" w:rsidRPr="0013179B" w:rsidRDefault="0013179B" w:rsidP="0013179B">
            <w:pPr>
              <w:spacing w:after="0" w:line="240" w:lineRule="auto"/>
              <w:jc w:val="right"/>
              <w:rPr>
                <w:rFonts w:ascii="Calibri" w:eastAsia="Times New Roman" w:hAnsi="Calibri" w:cs="Arial"/>
                <w:color w:val="000000"/>
                <w:sz w:val="20"/>
                <w:szCs w:val="20"/>
                <w:lang w:eastAsia="cs-CZ"/>
              </w:rPr>
            </w:pPr>
            <w:r w:rsidRPr="0013179B">
              <w:rPr>
                <w:rFonts w:ascii="Calibri" w:eastAsia="Times New Roman" w:hAnsi="Calibri" w:cs="Arial"/>
                <w:color w:val="000000"/>
                <w:sz w:val="20"/>
                <w:szCs w:val="20"/>
                <w:lang w:eastAsia="cs-CZ"/>
              </w:rPr>
              <w:t>1,6</w:t>
            </w:r>
          </w:p>
        </w:tc>
      </w:tr>
      <w:tr w:rsidR="0013179B" w:rsidRPr="0013179B" w14:paraId="72732CA7" w14:textId="77777777" w:rsidTr="0013179B">
        <w:trPr>
          <w:trHeight w:val="320"/>
        </w:trPr>
        <w:tc>
          <w:tcPr>
            <w:tcW w:w="967"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CF61CF0" w14:textId="77777777" w:rsidR="0013179B" w:rsidRPr="0013179B" w:rsidRDefault="0013179B" w:rsidP="0013179B">
            <w:pPr>
              <w:spacing w:after="0" w:line="240" w:lineRule="auto"/>
              <w:jc w:val="center"/>
              <w:rPr>
                <w:rFonts w:ascii="Calibri" w:eastAsia="Times New Roman" w:hAnsi="Calibri" w:cs="Arial"/>
                <w:lang w:eastAsia="cs-CZ"/>
              </w:rPr>
            </w:pPr>
            <w:r w:rsidRPr="0013179B">
              <w:rPr>
                <w:rFonts w:ascii="Calibri" w:eastAsia="Times New Roman" w:hAnsi="Calibri" w:cs="Arial"/>
                <w:lang w:eastAsia="cs-CZ"/>
              </w:rPr>
              <w:t> </w:t>
            </w:r>
          </w:p>
        </w:tc>
        <w:tc>
          <w:tcPr>
            <w:tcW w:w="3554" w:type="dxa"/>
            <w:tcBorders>
              <w:top w:val="single" w:sz="8" w:space="0" w:color="auto"/>
              <w:left w:val="nil"/>
              <w:bottom w:val="single" w:sz="8" w:space="0" w:color="auto"/>
              <w:right w:val="single" w:sz="4" w:space="0" w:color="auto"/>
            </w:tcBorders>
            <w:shd w:val="clear" w:color="auto" w:fill="auto"/>
            <w:noWrap/>
            <w:vAlign w:val="bottom"/>
            <w:hideMark/>
          </w:tcPr>
          <w:p w14:paraId="68C107AA" w14:textId="77777777" w:rsidR="0013179B" w:rsidRPr="0013179B" w:rsidRDefault="0013179B" w:rsidP="0013179B">
            <w:pPr>
              <w:spacing w:after="0" w:line="240" w:lineRule="auto"/>
              <w:rPr>
                <w:rFonts w:ascii="Calibri" w:eastAsia="Times New Roman" w:hAnsi="Calibri" w:cs="Arial"/>
                <w:b/>
                <w:bCs/>
                <w:color w:val="000000"/>
                <w:lang w:eastAsia="cs-CZ"/>
              </w:rPr>
            </w:pPr>
            <w:r w:rsidRPr="0013179B">
              <w:rPr>
                <w:rFonts w:ascii="Calibri" w:eastAsia="Times New Roman" w:hAnsi="Calibri" w:cs="Arial"/>
                <w:b/>
                <w:bCs/>
                <w:color w:val="000000"/>
                <w:lang w:eastAsia="cs-CZ"/>
              </w:rPr>
              <w:t>Celkem</w:t>
            </w:r>
          </w:p>
        </w:tc>
        <w:tc>
          <w:tcPr>
            <w:tcW w:w="1432" w:type="dxa"/>
            <w:tcBorders>
              <w:top w:val="single" w:sz="8" w:space="0" w:color="auto"/>
              <w:left w:val="nil"/>
              <w:bottom w:val="single" w:sz="8" w:space="0" w:color="auto"/>
              <w:right w:val="single" w:sz="4" w:space="0" w:color="auto"/>
            </w:tcBorders>
            <w:shd w:val="clear" w:color="auto" w:fill="auto"/>
            <w:noWrap/>
            <w:vAlign w:val="bottom"/>
            <w:hideMark/>
          </w:tcPr>
          <w:p w14:paraId="50500050" w14:textId="77777777" w:rsidR="0013179B" w:rsidRPr="0013179B" w:rsidRDefault="0013179B" w:rsidP="0013179B">
            <w:pPr>
              <w:spacing w:after="0" w:line="240" w:lineRule="auto"/>
              <w:jc w:val="right"/>
              <w:rPr>
                <w:rFonts w:ascii="Calibri" w:eastAsia="Times New Roman" w:hAnsi="Calibri" w:cs="Arial"/>
                <w:b/>
                <w:bCs/>
                <w:color w:val="000000"/>
                <w:lang w:eastAsia="cs-CZ"/>
              </w:rPr>
            </w:pPr>
            <w:r w:rsidRPr="0013179B">
              <w:rPr>
                <w:rFonts w:ascii="Calibri" w:eastAsia="Times New Roman" w:hAnsi="Calibri" w:cs="Arial"/>
                <w:b/>
                <w:bCs/>
                <w:color w:val="000000"/>
                <w:lang w:eastAsia="cs-CZ"/>
              </w:rPr>
              <w:t>0</w:t>
            </w:r>
          </w:p>
        </w:tc>
        <w:tc>
          <w:tcPr>
            <w:tcW w:w="1702" w:type="dxa"/>
            <w:tcBorders>
              <w:top w:val="single" w:sz="8" w:space="0" w:color="auto"/>
              <w:left w:val="nil"/>
              <w:bottom w:val="single" w:sz="8" w:space="0" w:color="auto"/>
              <w:right w:val="single" w:sz="4" w:space="0" w:color="auto"/>
            </w:tcBorders>
            <w:shd w:val="clear" w:color="auto" w:fill="auto"/>
            <w:noWrap/>
            <w:vAlign w:val="bottom"/>
            <w:hideMark/>
          </w:tcPr>
          <w:p w14:paraId="2828EB0F" w14:textId="77777777" w:rsidR="0013179B" w:rsidRPr="0013179B" w:rsidRDefault="0013179B" w:rsidP="0013179B">
            <w:pPr>
              <w:spacing w:after="0" w:line="240" w:lineRule="auto"/>
              <w:jc w:val="right"/>
              <w:rPr>
                <w:rFonts w:ascii="Calibri" w:eastAsia="Times New Roman" w:hAnsi="Calibri" w:cs="Arial"/>
                <w:b/>
                <w:bCs/>
                <w:color w:val="000000"/>
                <w:lang w:eastAsia="cs-CZ"/>
              </w:rPr>
            </w:pPr>
            <w:r w:rsidRPr="0013179B">
              <w:rPr>
                <w:rFonts w:ascii="Calibri" w:eastAsia="Times New Roman" w:hAnsi="Calibri" w:cs="Arial"/>
                <w:b/>
                <w:bCs/>
                <w:color w:val="000000"/>
                <w:lang w:eastAsia="cs-CZ"/>
              </w:rPr>
              <w:t>6 550 000,00</w:t>
            </w:r>
          </w:p>
        </w:tc>
        <w:tc>
          <w:tcPr>
            <w:tcW w:w="1701" w:type="dxa"/>
            <w:tcBorders>
              <w:top w:val="single" w:sz="8" w:space="0" w:color="auto"/>
              <w:left w:val="nil"/>
              <w:bottom w:val="single" w:sz="8" w:space="0" w:color="auto"/>
              <w:right w:val="single" w:sz="4" w:space="0" w:color="auto"/>
            </w:tcBorders>
            <w:shd w:val="clear" w:color="auto" w:fill="auto"/>
            <w:noWrap/>
            <w:vAlign w:val="bottom"/>
            <w:hideMark/>
          </w:tcPr>
          <w:p w14:paraId="44CE6ACD" w14:textId="77777777" w:rsidR="0013179B" w:rsidRPr="0013179B" w:rsidRDefault="0013179B" w:rsidP="0013179B">
            <w:pPr>
              <w:spacing w:after="0" w:line="240" w:lineRule="auto"/>
              <w:jc w:val="right"/>
              <w:rPr>
                <w:rFonts w:ascii="Calibri" w:eastAsia="Times New Roman" w:hAnsi="Calibri" w:cs="Arial"/>
                <w:b/>
                <w:bCs/>
                <w:color w:val="000000"/>
                <w:lang w:eastAsia="cs-CZ"/>
              </w:rPr>
            </w:pPr>
            <w:r w:rsidRPr="0013179B">
              <w:rPr>
                <w:rFonts w:ascii="Calibri" w:eastAsia="Times New Roman" w:hAnsi="Calibri" w:cs="Arial"/>
                <w:b/>
                <w:bCs/>
                <w:color w:val="000000"/>
                <w:lang w:eastAsia="cs-CZ"/>
              </w:rPr>
              <w:t>598 010,00</w:t>
            </w:r>
          </w:p>
        </w:tc>
        <w:tc>
          <w:tcPr>
            <w:tcW w:w="709" w:type="dxa"/>
            <w:tcBorders>
              <w:top w:val="single" w:sz="8" w:space="0" w:color="auto"/>
              <w:left w:val="nil"/>
              <w:bottom w:val="single" w:sz="8" w:space="0" w:color="auto"/>
              <w:right w:val="single" w:sz="8" w:space="0" w:color="auto"/>
            </w:tcBorders>
            <w:shd w:val="clear" w:color="auto" w:fill="auto"/>
            <w:noWrap/>
            <w:vAlign w:val="bottom"/>
            <w:hideMark/>
          </w:tcPr>
          <w:p w14:paraId="3DE417D5" w14:textId="77777777" w:rsidR="0013179B" w:rsidRPr="0013179B" w:rsidRDefault="0013179B" w:rsidP="0013179B">
            <w:pPr>
              <w:spacing w:after="0" w:line="240" w:lineRule="auto"/>
              <w:jc w:val="right"/>
              <w:rPr>
                <w:rFonts w:ascii="Calibri" w:eastAsia="Times New Roman" w:hAnsi="Calibri" w:cs="Arial"/>
                <w:b/>
                <w:bCs/>
                <w:color w:val="000000"/>
                <w:lang w:eastAsia="cs-CZ"/>
              </w:rPr>
            </w:pPr>
            <w:r w:rsidRPr="0013179B">
              <w:rPr>
                <w:rFonts w:ascii="Calibri" w:eastAsia="Times New Roman" w:hAnsi="Calibri" w:cs="Arial"/>
                <w:b/>
                <w:bCs/>
                <w:color w:val="000000"/>
                <w:lang w:eastAsia="cs-CZ"/>
              </w:rPr>
              <w:t>9,1</w:t>
            </w:r>
          </w:p>
        </w:tc>
      </w:tr>
      <w:tr w:rsidR="0013179B" w:rsidRPr="0013179B" w14:paraId="047D3B50" w14:textId="77777777" w:rsidTr="0013179B">
        <w:trPr>
          <w:trHeight w:val="300"/>
        </w:trPr>
        <w:tc>
          <w:tcPr>
            <w:tcW w:w="967" w:type="dxa"/>
            <w:tcBorders>
              <w:top w:val="nil"/>
              <w:left w:val="nil"/>
              <w:bottom w:val="nil"/>
              <w:right w:val="nil"/>
            </w:tcBorders>
            <w:shd w:val="clear" w:color="auto" w:fill="auto"/>
            <w:noWrap/>
            <w:vAlign w:val="center"/>
            <w:hideMark/>
          </w:tcPr>
          <w:p w14:paraId="4785008C" w14:textId="77777777" w:rsidR="0013179B" w:rsidRPr="0013179B" w:rsidRDefault="0013179B" w:rsidP="0013179B">
            <w:pPr>
              <w:spacing w:after="0" w:line="240" w:lineRule="auto"/>
              <w:jc w:val="right"/>
              <w:rPr>
                <w:rFonts w:ascii="Calibri" w:eastAsia="Times New Roman" w:hAnsi="Calibri" w:cs="Arial"/>
                <w:b/>
                <w:bCs/>
                <w:color w:val="000000"/>
                <w:lang w:eastAsia="cs-CZ"/>
              </w:rPr>
            </w:pPr>
          </w:p>
        </w:tc>
        <w:tc>
          <w:tcPr>
            <w:tcW w:w="3554" w:type="dxa"/>
            <w:tcBorders>
              <w:top w:val="nil"/>
              <w:left w:val="nil"/>
              <w:bottom w:val="nil"/>
              <w:right w:val="nil"/>
            </w:tcBorders>
            <w:shd w:val="clear" w:color="auto" w:fill="auto"/>
            <w:noWrap/>
            <w:vAlign w:val="center"/>
            <w:hideMark/>
          </w:tcPr>
          <w:p w14:paraId="5472DAB1" w14:textId="77777777" w:rsidR="0013179B" w:rsidRPr="0013179B" w:rsidRDefault="0013179B" w:rsidP="0013179B">
            <w:pPr>
              <w:spacing w:after="0" w:line="240" w:lineRule="auto"/>
              <w:jc w:val="center"/>
              <w:rPr>
                <w:rFonts w:ascii="Times New Roman" w:eastAsia="Times New Roman" w:hAnsi="Times New Roman" w:cs="Times New Roman"/>
                <w:sz w:val="20"/>
                <w:szCs w:val="20"/>
                <w:lang w:eastAsia="cs-CZ"/>
              </w:rPr>
            </w:pPr>
          </w:p>
        </w:tc>
        <w:tc>
          <w:tcPr>
            <w:tcW w:w="1432" w:type="dxa"/>
            <w:tcBorders>
              <w:top w:val="nil"/>
              <w:left w:val="nil"/>
              <w:bottom w:val="nil"/>
              <w:right w:val="nil"/>
            </w:tcBorders>
            <w:shd w:val="clear" w:color="auto" w:fill="auto"/>
            <w:noWrap/>
            <w:vAlign w:val="center"/>
            <w:hideMark/>
          </w:tcPr>
          <w:p w14:paraId="553C9E5A" w14:textId="77777777" w:rsidR="0013179B" w:rsidRPr="0013179B" w:rsidRDefault="0013179B" w:rsidP="0013179B">
            <w:pPr>
              <w:spacing w:after="0" w:line="240" w:lineRule="auto"/>
              <w:rPr>
                <w:rFonts w:ascii="Times New Roman" w:eastAsia="Times New Roman" w:hAnsi="Times New Roman" w:cs="Times New Roman"/>
                <w:sz w:val="20"/>
                <w:szCs w:val="20"/>
                <w:lang w:eastAsia="cs-CZ"/>
              </w:rPr>
            </w:pPr>
          </w:p>
        </w:tc>
        <w:tc>
          <w:tcPr>
            <w:tcW w:w="1702" w:type="dxa"/>
            <w:tcBorders>
              <w:top w:val="nil"/>
              <w:left w:val="nil"/>
              <w:bottom w:val="nil"/>
              <w:right w:val="nil"/>
            </w:tcBorders>
            <w:shd w:val="clear" w:color="auto" w:fill="auto"/>
            <w:noWrap/>
            <w:vAlign w:val="center"/>
            <w:hideMark/>
          </w:tcPr>
          <w:p w14:paraId="1193CBAC" w14:textId="77777777" w:rsidR="0013179B" w:rsidRPr="0013179B" w:rsidRDefault="0013179B" w:rsidP="0013179B">
            <w:pPr>
              <w:spacing w:after="0" w:line="240" w:lineRule="auto"/>
              <w:jc w:val="right"/>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center"/>
            <w:hideMark/>
          </w:tcPr>
          <w:p w14:paraId="6DF94B51" w14:textId="77777777" w:rsidR="0013179B" w:rsidRPr="0013179B" w:rsidRDefault="0013179B" w:rsidP="0013179B">
            <w:pPr>
              <w:spacing w:after="0" w:line="240" w:lineRule="auto"/>
              <w:jc w:val="right"/>
              <w:rPr>
                <w:rFonts w:ascii="Times New Roman" w:eastAsia="Times New Roman" w:hAnsi="Times New Roman" w:cs="Times New Roman"/>
                <w:sz w:val="20"/>
                <w:szCs w:val="20"/>
                <w:lang w:eastAsia="cs-CZ"/>
              </w:rPr>
            </w:pPr>
          </w:p>
        </w:tc>
        <w:tc>
          <w:tcPr>
            <w:tcW w:w="709" w:type="dxa"/>
            <w:tcBorders>
              <w:top w:val="nil"/>
              <w:left w:val="nil"/>
              <w:bottom w:val="nil"/>
              <w:right w:val="nil"/>
            </w:tcBorders>
            <w:shd w:val="clear" w:color="auto" w:fill="auto"/>
            <w:noWrap/>
            <w:vAlign w:val="center"/>
            <w:hideMark/>
          </w:tcPr>
          <w:p w14:paraId="0FCB475C" w14:textId="77777777" w:rsidR="0013179B" w:rsidRPr="0013179B" w:rsidRDefault="0013179B" w:rsidP="0013179B">
            <w:pPr>
              <w:spacing w:after="0" w:line="240" w:lineRule="auto"/>
              <w:jc w:val="right"/>
              <w:rPr>
                <w:rFonts w:ascii="Times New Roman" w:eastAsia="Times New Roman" w:hAnsi="Times New Roman" w:cs="Times New Roman"/>
                <w:sz w:val="20"/>
                <w:szCs w:val="20"/>
                <w:lang w:eastAsia="cs-CZ"/>
              </w:rPr>
            </w:pPr>
          </w:p>
        </w:tc>
      </w:tr>
      <w:tr w:rsidR="0013179B" w:rsidRPr="0013179B" w14:paraId="475C84A7" w14:textId="77777777" w:rsidTr="0013179B">
        <w:trPr>
          <w:trHeight w:val="320"/>
        </w:trPr>
        <w:tc>
          <w:tcPr>
            <w:tcW w:w="967" w:type="dxa"/>
            <w:tcBorders>
              <w:top w:val="nil"/>
              <w:left w:val="nil"/>
              <w:bottom w:val="nil"/>
              <w:right w:val="nil"/>
            </w:tcBorders>
            <w:shd w:val="clear" w:color="auto" w:fill="auto"/>
            <w:noWrap/>
            <w:vAlign w:val="bottom"/>
            <w:hideMark/>
          </w:tcPr>
          <w:p w14:paraId="535929F4" w14:textId="77777777" w:rsidR="0013179B" w:rsidRPr="0013179B" w:rsidRDefault="0013179B" w:rsidP="0013179B">
            <w:pPr>
              <w:spacing w:after="0" w:line="240" w:lineRule="auto"/>
              <w:jc w:val="right"/>
              <w:rPr>
                <w:rFonts w:ascii="Times New Roman" w:eastAsia="Times New Roman" w:hAnsi="Times New Roman" w:cs="Times New Roman"/>
                <w:sz w:val="20"/>
                <w:szCs w:val="20"/>
                <w:lang w:eastAsia="cs-CZ"/>
              </w:rPr>
            </w:pPr>
          </w:p>
        </w:tc>
        <w:tc>
          <w:tcPr>
            <w:tcW w:w="6688" w:type="dxa"/>
            <w:gridSpan w:val="3"/>
            <w:tcBorders>
              <w:top w:val="nil"/>
              <w:left w:val="nil"/>
              <w:bottom w:val="nil"/>
              <w:right w:val="nil"/>
            </w:tcBorders>
            <w:shd w:val="clear" w:color="auto" w:fill="auto"/>
            <w:noWrap/>
            <w:vAlign w:val="bottom"/>
            <w:hideMark/>
          </w:tcPr>
          <w:p w14:paraId="1EAB50D5" w14:textId="77777777" w:rsidR="0013179B" w:rsidRPr="0013179B" w:rsidRDefault="0013179B" w:rsidP="0013179B">
            <w:pPr>
              <w:spacing w:after="0" w:line="240" w:lineRule="auto"/>
              <w:rPr>
                <w:rFonts w:ascii="Calibri" w:eastAsia="Times New Roman" w:hAnsi="Calibri" w:cs="Arial"/>
                <w:b/>
                <w:bCs/>
                <w:lang w:eastAsia="cs-CZ"/>
              </w:rPr>
            </w:pPr>
            <w:r w:rsidRPr="0013179B">
              <w:rPr>
                <w:rFonts w:ascii="Calibri" w:eastAsia="Times New Roman" w:hAnsi="Calibri" w:cs="Arial"/>
                <w:b/>
                <w:bCs/>
                <w:lang w:eastAsia="cs-CZ"/>
              </w:rPr>
              <w:t>Výdaje na reprodukci majetku příspěvkových organizací</w:t>
            </w:r>
          </w:p>
        </w:tc>
        <w:tc>
          <w:tcPr>
            <w:tcW w:w="1701" w:type="dxa"/>
            <w:tcBorders>
              <w:top w:val="nil"/>
              <w:left w:val="nil"/>
              <w:bottom w:val="nil"/>
              <w:right w:val="nil"/>
            </w:tcBorders>
            <w:shd w:val="clear" w:color="auto" w:fill="auto"/>
            <w:noWrap/>
            <w:vAlign w:val="bottom"/>
            <w:hideMark/>
          </w:tcPr>
          <w:p w14:paraId="2D48B107" w14:textId="77777777" w:rsidR="0013179B" w:rsidRPr="0013179B" w:rsidRDefault="0013179B" w:rsidP="0013179B">
            <w:pPr>
              <w:spacing w:after="0" w:line="240" w:lineRule="auto"/>
              <w:rPr>
                <w:rFonts w:ascii="Calibri" w:eastAsia="Times New Roman" w:hAnsi="Calibri" w:cs="Arial"/>
                <w:b/>
                <w:bCs/>
                <w:lang w:eastAsia="cs-CZ"/>
              </w:rPr>
            </w:pPr>
          </w:p>
        </w:tc>
        <w:tc>
          <w:tcPr>
            <w:tcW w:w="709" w:type="dxa"/>
            <w:tcBorders>
              <w:top w:val="nil"/>
              <w:left w:val="nil"/>
              <w:bottom w:val="single" w:sz="8" w:space="0" w:color="auto"/>
              <w:right w:val="nil"/>
            </w:tcBorders>
            <w:shd w:val="clear" w:color="auto" w:fill="auto"/>
            <w:noWrap/>
            <w:vAlign w:val="center"/>
            <w:hideMark/>
          </w:tcPr>
          <w:p w14:paraId="58BC357B" w14:textId="77777777" w:rsidR="0013179B" w:rsidRPr="0013179B" w:rsidRDefault="0013179B" w:rsidP="0013179B">
            <w:pPr>
              <w:spacing w:after="0" w:line="240" w:lineRule="auto"/>
              <w:jc w:val="right"/>
              <w:rPr>
                <w:rFonts w:ascii="Calibri" w:eastAsia="Times New Roman" w:hAnsi="Calibri" w:cs="Arial"/>
                <w:b/>
                <w:bCs/>
                <w:color w:val="000000"/>
                <w:lang w:eastAsia="cs-CZ"/>
              </w:rPr>
            </w:pPr>
            <w:r w:rsidRPr="0013179B">
              <w:rPr>
                <w:rFonts w:ascii="Calibri" w:eastAsia="Times New Roman" w:hAnsi="Calibri" w:cs="Arial"/>
                <w:b/>
                <w:bCs/>
                <w:color w:val="000000"/>
                <w:lang w:eastAsia="cs-CZ"/>
              </w:rPr>
              <w:t> </w:t>
            </w:r>
          </w:p>
        </w:tc>
      </w:tr>
      <w:tr w:rsidR="0013179B" w:rsidRPr="0013179B" w14:paraId="6CFFC744" w14:textId="77777777" w:rsidTr="0013179B">
        <w:trPr>
          <w:trHeight w:val="320"/>
        </w:trPr>
        <w:tc>
          <w:tcPr>
            <w:tcW w:w="967" w:type="dxa"/>
            <w:tcBorders>
              <w:top w:val="single" w:sz="8" w:space="0" w:color="auto"/>
              <w:left w:val="single" w:sz="8" w:space="0" w:color="auto"/>
              <w:bottom w:val="nil"/>
              <w:right w:val="single" w:sz="4" w:space="0" w:color="auto"/>
            </w:tcBorders>
            <w:shd w:val="clear" w:color="auto" w:fill="auto"/>
            <w:noWrap/>
            <w:vAlign w:val="bottom"/>
            <w:hideMark/>
          </w:tcPr>
          <w:p w14:paraId="4359D3C2" w14:textId="77777777" w:rsidR="0013179B" w:rsidRPr="0013179B" w:rsidRDefault="0013179B" w:rsidP="0013179B">
            <w:pPr>
              <w:spacing w:after="0" w:line="240" w:lineRule="auto"/>
              <w:jc w:val="center"/>
              <w:rPr>
                <w:rFonts w:ascii="Calibri" w:eastAsia="Times New Roman" w:hAnsi="Calibri" w:cs="Arial"/>
                <w:sz w:val="20"/>
                <w:szCs w:val="20"/>
                <w:lang w:eastAsia="cs-CZ"/>
              </w:rPr>
            </w:pPr>
            <w:r w:rsidRPr="0013179B">
              <w:rPr>
                <w:rFonts w:ascii="Calibri" w:eastAsia="Times New Roman" w:hAnsi="Calibri" w:cs="Arial"/>
                <w:sz w:val="20"/>
                <w:szCs w:val="20"/>
                <w:lang w:eastAsia="cs-CZ"/>
              </w:rPr>
              <w:t> </w:t>
            </w:r>
          </w:p>
        </w:tc>
        <w:tc>
          <w:tcPr>
            <w:tcW w:w="3554" w:type="dxa"/>
            <w:tcBorders>
              <w:top w:val="single" w:sz="8" w:space="0" w:color="auto"/>
              <w:left w:val="nil"/>
              <w:bottom w:val="nil"/>
              <w:right w:val="single" w:sz="4" w:space="0" w:color="auto"/>
            </w:tcBorders>
            <w:shd w:val="clear" w:color="auto" w:fill="auto"/>
            <w:noWrap/>
            <w:vAlign w:val="bottom"/>
            <w:hideMark/>
          </w:tcPr>
          <w:p w14:paraId="681D9231" w14:textId="77777777" w:rsidR="0013179B" w:rsidRPr="0013179B" w:rsidRDefault="0013179B" w:rsidP="0013179B">
            <w:pPr>
              <w:spacing w:after="0" w:line="240" w:lineRule="auto"/>
              <w:rPr>
                <w:rFonts w:ascii="Calibri" w:eastAsia="Times New Roman" w:hAnsi="Calibri" w:cs="Arial"/>
                <w:sz w:val="20"/>
                <w:szCs w:val="20"/>
                <w:lang w:eastAsia="cs-CZ"/>
              </w:rPr>
            </w:pPr>
            <w:r w:rsidRPr="0013179B">
              <w:rPr>
                <w:rFonts w:ascii="Calibri" w:eastAsia="Times New Roman" w:hAnsi="Calibri" w:cs="Arial"/>
                <w:sz w:val="20"/>
                <w:szCs w:val="20"/>
                <w:lang w:eastAsia="cs-CZ"/>
              </w:rPr>
              <w:t>Vrácené příjmy z pronájmu (UZ 040)</w:t>
            </w:r>
          </w:p>
        </w:tc>
        <w:tc>
          <w:tcPr>
            <w:tcW w:w="1432" w:type="dxa"/>
            <w:tcBorders>
              <w:top w:val="single" w:sz="8" w:space="0" w:color="auto"/>
              <w:left w:val="nil"/>
              <w:bottom w:val="nil"/>
              <w:right w:val="single" w:sz="4" w:space="0" w:color="auto"/>
            </w:tcBorders>
            <w:shd w:val="clear" w:color="auto" w:fill="auto"/>
            <w:noWrap/>
            <w:vAlign w:val="bottom"/>
            <w:hideMark/>
          </w:tcPr>
          <w:p w14:paraId="517E3E09"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0</w:t>
            </w:r>
          </w:p>
        </w:tc>
        <w:tc>
          <w:tcPr>
            <w:tcW w:w="1702" w:type="dxa"/>
            <w:tcBorders>
              <w:top w:val="single" w:sz="8" w:space="0" w:color="auto"/>
              <w:left w:val="nil"/>
              <w:bottom w:val="nil"/>
              <w:right w:val="single" w:sz="4" w:space="0" w:color="auto"/>
            </w:tcBorders>
            <w:shd w:val="clear" w:color="auto" w:fill="auto"/>
            <w:noWrap/>
            <w:vAlign w:val="bottom"/>
            <w:hideMark/>
          </w:tcPr>
          <w:p w14:paraId="731ED01C"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244 412,70</w:t>
            </w:r>
          </w:p>
        </w:tc>
        <w:tc>
          <w:tcPr>
            <w:tcW w:w="1701" w:type="dxa"/>
            <w:tcBorders>
              <w:top w:val="single" w:sz="8" w:space="0" w:color="auto"/>
              <w:left w:val="nil"/>
              <w:bottom w:val="nil"/>
              <w:right w:val="single" w:sz="4" w:space="0" w:color="auto"/>
            </w:tcBorders>
            <w:shd w:val="clear" w:color="auto" w:fill="auto"/>
            <w:noWrap/>
            <w:vAlign w:val="bottom"/>
            <w:hideMark/>
          </w:tcPr>
          <w:p w14:paraId="0022B125"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244 412,70</w:t>
            </w:r>
          </w:p>
        </w:tc>
        <w:tc>
          <w:tcPr>
            <w:tcW w:w="709" w:type="dxa"/>
            <w:tcBorders>
              <w:top w:val="nil"/>
              <w:left w:val="nil"/>
              <w:bottom w:val="single" w:sz="8" w:space="0" w:color="auto"/>
              <w:right w:val="single" w:sz="8" w:space="0" w:color="auto"/>
            </w:tcBorders>
            <w:shd w:val="clear" w:color="auto" w:fill="auto"/>
            <w:noWrap/>
            <w:vAlign w:val="center"/>
            <w:hideMark/>
          </w:tcPr>
          <w:p w14:paraId="4DF28C5E" w14:textId="77777777" w:rsidR="0013179B" w:rsidRPr="003F001E" w:rsidRDefault="0013179B" w:rsidP="0013179B">
            <w:pPr>
              <w:spacing w:after="0" w:line="240" w:lineRule="auto"/>
              <w:jc w:val="right"/>
              <w:rPr>
                <w:rFonts w:ascii="Calibri" w:eastAsia="Times New Roman" w:hAnsi="Calibri" w:cs="Arial"/>
                <w:color w:val="000000"/>
                <w:sz w:val="20"/>
                <w:szCs w:val="20"/>
                <w:lang w:eastAsia="cs-CZ"/>
              </w:rPr>
            </w:pPr>
            <w:r w:rsidRPr="003F001E">
              <w:rPr>
                <w:rFonts w:ascii="Calibri" w:eastAsia="Times New Roman" w:hAnsi="Calibri" w:cs="Arial"/>
                <w:color w:val="000000"/>
                <w:sz w:val="20"/>
                <w:szCs w:val="20"/>
                <w:lang w:eastAsia="cs-CZ"/>
              </w:rPr>
              <w:t>100,0</w:t>
            </w:r>
          </w:p>
        </w:tc>
      </w:tr>
      <w:tr w:rsidR="0013179B" w:rsidRPr="0013179B" w14:paraId="5D79CE91" w14:textId="77777777" w:rsidTr="0013179B">
        <w:trPr>
          <w:trHeight w:val="320"/>
        </w:trPr>
        <w:tc>
          <w:tcPr>
            <w:tcW w:w="967"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2B8C711E" w14:textId="77777777" w:rsidR="0013179B" w:rsidRPr="0013179B" w:rsidRDefault="0013179B" w:rsidP="0013179B">
            <w:pPr>
              <w:spacing w:after="0" w:line="240" w:lineRule="auto"/>
              <w:jc w:val="center"/>
              <w:rPr>
                <w:rFonts w:ascii="Calibri" w:eastAsia="Times New Roman" w:hAnsi="Calibri" w:cs="Arial"/>
                <w:b/>
                <w:bCs/>
                <w:sz w:val="24"/>
                <w:szCs w:val="24"/>
                <w:lang w:eastAsia="cs-CZ"/>
              </w:rPr>
            </w:pPr>
            <w:r w:rsidRPr="0013179B">
              <w:rPr>
                <w:rFonts w:ascii="Calibri" w:eastAsia="Times New Roman" w:hAnsi="Calibri" w:cs="Arial"/>
                <w:b/>
                <w:bCs/>
                <w:sz w:val="24"/>
                <w:szCs w:val="24"/>
                <w:lang w:eastAsia="cs-CZ"/>
              </w:rPr>
              <w:t> </w:t>
            </w:r>
          </w:p>
        </w:tc>
        <w:tc>
          <w:tcPr>
            <w:tcW w:w="3554" w:type="dxa"/>
            <w:tcBorders>
              <w:top w:val="single" w:sz="8" w:space="0" w:color="auto"/>
              <w:left w:val="nil"/>
              <w:bottom w:val="single" w:sz="8" w:space="0" w:color="auto"/>
              <w:right w:val="single" w:sz="4" w:space="0" w:color="auto"/>
            </w:tcBorders>
            <w:shd w:val="clear" w:color="auto" w:fill="auto"/>
            <w:noWrap/>
            <w:vAlign w:val="bottom"/>
            <w:hideMark/>
          </w:tcPr>
          <w:p w14:paraId="45DC57A7" w14:textId="77777777" w:rsidR="0013179B" w:rsidRPr="0013179B" w:rsidRDefault="0013179B" w:rsidP="0013179B">
            <w:pPr>
              <w:spacing w:after="0" w:line="240" w:lineRule="auto"/>
              <w:rPr>
                <w:rFonts w:ascii="Calibri" w:eastAsia="Times New Roman" w:hAnsi="Calibri" w:cs="Arial"/>
                <w:b/>
                <w:bCs/>
                <w:lang w:eastAsia="cs-CZ"/>
              </w:rPr>
            </w:pPr>
            <w:r w:rsidRPr="0013179B">
              <w:rPr>
                <w:rFonts w:ascii="Calibri" w:eastAsia="Times New Roman" w:hAnsi="Calibri" w:cs="Arial"/>
                <w:b/>
                <w:bCs/>
                <w:lang w:eastAsia="cs-CZ"/>
              </w:rPr>
              <w:t>Celkem</w:t>
            </w:r>
          </w:p>
        </w:tc>
        <w:tc>
          <w:tcPr>
            <w:tcW w:w="1432" w:type="dxa"/>
            <w:tcBorders>
              <w:top w:val="single" w:sz="8" w:space="0" w:color="auto"/>
              <w:left w:val="nil"/>
              <w:bottom w:val="single" w:sz="8" w:space="0" w:color="auto"/>
              <w:right w:val="single" w:sz="4" w:space="0" w:color="auto"/>
            </w:tcBorders>
            <w:shd w:val="clear" w:color="auto" w:fill="auto"/>
            <w:noWrap/>
            <w:vAlign w:val="bottom"/>
            <w:hideMark/>
          </w:tcPr>
          <w:p w14:paraId="311B6DA6" w14:textId="77777777" w:rsidR="0013179B" w:rsidRPr="0013179B" w:rsidRDefault="0013179B" w:rsidP="0013179B">
            <w:pPr>
              <w:spacing w:after="0" w:line="240" w:lineRule="auto"/>
              <w:jc w:val="right"/>
              <w:rPr>
                <w:rFonts w:ascii="Calibri" w:eastAsia="Times New Roman" w:hAnsi="Calibri" w:cs="Arial"/>
                <w:b/>
                <w:bCs/>
                <w:lang w:eastAsia="cs-CZ"/>
              </w:rPr>
            </w:pPr>
            <w:r w:rsidRPr="0013179B">
              <w:rPr>
                <w:rFonts w:ascii="Calibri" w:eastAsia="Times New Roman" w:hAnsi="Calibri" w:cs="Arial"/>
                <w:b/>
                <w:bCs/>
                <w:lang w:eastAsia="cs-CZ"/>
              </w:rPr>
              <w:t>0</w:t>
            </w:r>
          </w:p>
        </w:tc>
        <w:tc>
          <w:tcPr>
            <w:tcW w:w="1702" w:type="dxa"/>
            <w:tcBorders>
              <w:top w:val="single" w:sz="8" w:space="0" w:color="auto"/>
              <w:left w:val="nil"/>
              <w:bottom w:val="single" w:sz="8" w:space="0" w:color="auto"/>
              <w:right w:val="single" w:sz="4" w:space="0" w:color="auto"/>
            </w:tcBorders>
            <w:shd w:val="clear" w:color="auto" w:fill="auto"/>
            <w:noWrap/>
            <w:vAlign w:val="bottom"/>
            <w:hideMark/>
          </w:tcPr>
          <w:p w14:paraId="044A33D4" w14:textId="77777777" w:rsidR="0013179B" w:rsidRPr="0013179B" w:rsidRDefault="0013179B" w:rsidP="0013179B">
            <w:pPr>
              <w:spacing w:after="0" w:line="240" w:lineRule="auto"/>
              <w:jc w:val="right"/>
              <w:rPr>
                <w:rFonts w:ascii="Calibri" w:eastAsia="Times New Roman" w:hAnsi="Calibri" w:cs="Arial"/>
                <w:b/>
                <w:bCs/>
                <w:lang w:eastAsia="cs-CZ"/>
              </w:rPr>
            </w:pPr>
            <w:r w:rsidRPr="0013179B">
              <w:rPr>
                <w:rFonts w:ascii="Calibri" w:eastAsia="Times New Roman" w:hAnsi="Calibri" w:cs="Arial"/>
                <w:b/>
                <w:bCs/>
                <w:lang w:eastAsia="cs-CZ"/>
              </w:rPr>
              <w:t>244 412,70</w:t>
            </w:r>
          </w:p>
        </w:tc>
        <w:tc>
          <w:tcPr>
            <w:tcW w:w="1701" w:type="dxa"/>
            <w:tcBorders>
              <w:top w:val="single" w:sz="8" w:space="0" w:color="auto"/>
              <w:left w:val="nil"/>
              <w:bottom w:val="single" w:sz="8" w:space="0" w:color="auto"/>
              <w:right w:val="single" w:sz="4" w:space="0" w:color="auto"/>
            </w:tcBorders>
            <w:shd w:val="clear" w:color="auto" w:fill="auto"/>
            <w:noWrap/>
            <w:vAlign w:val="bottom"/>
            <w:hideMark/>
          </w:tcPr>
          <w:p w14:paraId="2DB2FA2C" w14:textId="77777777" w:rsidR="0013179B" w:rsidRPr="0013179B" w:rsidRDefault="0013179B" w:rsidP="0013179B">
            <w:pPr>
              <w:spacing w:after="0" w:line="240" w:lineRule="auto"/>
              <w:jc w:val="right"/>
              <w:rPr>
                <w:rFonts w:ascii="Calibri" w:eastAsia="Times New Roman" w:hAnsi="Calibri" w:cs="Arial"/>
                <w:b/>
                <w:bCs/>
                <w:lang w:eastAsia="cs-CZ"/>
              </w:rPr>
            </w:pPr>
            <w:r w:rsidRPr="0013179B">
              <w:rPr>
                <w:rFonts w:ascii="Calibri" w:eastAsia="Times New Roman" w:hAnsi="Calibri" w:cs="Arial"/>
                <w:b/>
                <w:bCs/>
                <w:lang w:eastAsia="cs-CZ"/>
              </w:rPr>
              <w:t>244 412,70</w:t>
            </w:r>
          </w:p>
        </w:tc>
        <w:tc>
          <w:tcPr>
            <w:tcW w:w="709" w:type="dxa"/>
            <w:tcBorders>
              <w:top w:val="nil"/>
              <w:left w:val="nil"/>
              <w:bottom w:val="single" w:sz="8" w:space="0" w:color="auto"/>
              <w:right w:val="single" w:sz="8" w:space="0" w:color="auto"/>
            </w:tcBorders>
            <w:shd w:val="clear" w:color="auto" w:fill="auto"/>
            <w:noWrap/>
            <w:vAlign w:val="center"/>
            <w:hideMark/>
          </w:tcPr>
          <w:p w14:paraId="46343FA1" w14:textId="77777777" w:rsidR="0013179B" w:rsidRPr="0013179B" w:rsidRDefault="0013179B" w:rsidP="0013179B">
            <w:pPr>
              <w:spacing w:after="0" w:line="240" w:lineRule="auto"/>
              <w:jc w:val="right"/>
              <w:rPr>
                <w:rFonts w:ascii="Calibri" w:eastAsia="Times New Roman" w:hAnsi="Calibri" w:cs="Arial"/>
                <w:b/>
                <w:bCs/>
                <w:color w:val="000000"/>
                <w:lang w:eastAsia="cs-CZ"/>
              </w:rPr>
            </w:pPr>
            <w:r w:rsidRPr="0013179B">
              <w:rPr>
                <w:rFonts w:ascii="Calibri" w:eastAsia="Times New Roman" w:hAnsi="Calibri" w:cs="Arial"/>
                <w:b/>
                <w:bCs/>
                <w:color w:val="000000"/>
                <w:lang w:eastAsia="cs-CZ"/>
              </w:rPr>
              <w:t>100,0</w:t>
            </w:r>
          </w:p>
        </w:tc>
      </w:tr>
      <w:tr w:rsidR="0013179B" w:rsidRPr="0013179B" w14:paraId="7B2C2F71" w14:textId="77777777" w:rsidTr="0013179B">
        <w:trPr>
          <w:trHeight w:val="300"/>
        </w:trPr>
        <w:tc>
          <w:tcPr>
            <w:tcW w:w="967" w:type="dxa"/>
            <w:tcBorders>
              <w:top w:val="nil"/>
              <w:left w:val="nil"/>
              <w:bottom w:val="nil"/>
              <w:right w:val="nil"/>
            </w:tcBorders>
            <w:shd w:val="clear" w:color="auto" w:fill="auto"/>
            <w:noWrap/>
            <w:vAlign w:val="bottom"/>
            <w:hideMark/>
          </w:tcPr>
          <w:p w14:paraId="24F66AAB" w14:textId="77777777" w:rsidR="0013179B" w:rsidRPr="0013179B" w:rsidRDefault="0013179B" w:rsidP="0013179B">
            <w:pPr>
              <w:spacing w:after="0" w:line="240" w:lineRule="auto"/>
              <w:jc w:val="right"/>
              <w:rPr>
                <w:rFonts w:ascii="Calibri" w:eastAsia="Times New Roman" w:hAnsi="Calibri" w:cs="Arial"/>
                <w:b/>
                <w:bCs/>
                <w:color w:val="000000"/>
                <w:lang w:eastAsia="cs-CZ"/>
              </w:rPr>
            </w:pPr>
          </w:p>
        </w:tc>
        <w:tc>
          <w:tcPr>
            <w:tcW w:w="3554" w:type="dxa"/>
            <w:tcBorders>
              <w:top w:val="nil"/>
              <w:left w:val="nil"/>
              <w:bottom w:val="nil"/>
              <w:right w:val="nil"/>
            </w:tcBorders>
            <w:shd w:val="clear" w:color="auto" w:fill="auto"/>
            <w:noWrap/>
            <w:vAlign w:val="bottom"/>
            <w:hideMark/>
          </w:tcPr>
          <w:p w14:paraId="1C66DB5E" w14:textId="77777777" w:rsidR="0013179B" w:rsidRPr="0013179B" w:rsidRDefault="0013179B" w:rsidP="0013179B">
            <w:pPr>
              <w:spacing w:after="0" w:line="240" w:lineRule="auto"/>
              <w:rPr>
                <w:rFonts w:ascii="Times New Roman" w:eastAsia="Times New Roman" w:hAnsi="Times New Roman" w:cs="Times New Roman"/>
                <w:sz w:val="20"/>
                <w:szCs w:val="20"/>
                <w:lang w:eastAsia="cs-CZ"/>
              </w:rPr>
            </w:pPr>
          </w:p>
        </w:tc>
        <w:tc>
          <w:tcPr>
            <w:tcW w:w="1432" w:type="dxa"/>
            <w:tcBorders>
              <w:top w:val="nil"/>
              <w:left w:val="nil"/>
              <w:bottom w:val="nil"/>
              <w:right w:val="nil"/>
            </w:tcBorders>
            <w:shd w:val="clear" w:color="auto" w:fill="auto"/>
            <w:noWrap/>
            <w:vAlign w:val="bottom"/>
            <w:hideMark/>
          </w:tcPr>
          <w:p w14:paraId="30FA764C" w14:textId="77777777" w:rsidR="0013179B" w:rsidRPr="0013179B" w:rsidRDefault="0013179B" w:rsidP="0013179B">
            <w:pPr>
              <w:spacing w:after="0" w:line="240" w:lineRule="auto"/>
              <w:rPr>
                <w:rFonts w:ascii="Times New Roman" w:eastAsia="Times New Roman" w:hAnsi="Times New Roman" w:cs="Times New Roman"/>
                <w:sz w:val="20"/>
                <w:szCs w:val="20"/>
                <w:lang w:eastAsia="cs-CZ"/>
              </w:rPr>
            </w:pPr>
          </w:p>
        </w:tc>
        <w:tc>
          <w:tcPr>
            <w:tcW w:w="1702" w:type="dxa"/>
            <w:tcBorders>
              <w:top w:val="nil"/>
              <w:left w:val="nil"/>
              <w:bottom w:val="nil"/>
              <w:right w:val="nil"/>
            </w:tcBorders>
            <w:shd w:val="clear" w:color="auto" w:fill="auto"/>
            <w:noWrap/>
            <w:vAlign w:val="bottom"/>
            <w:hideMark/>
          </w:tcPr>
          <w:p w14:paraId="13991096" w14:textId="77777777" w:rsidR="0013179B" w:rsidRPr="0013179B" w:rsidRDefault="0013179B" w:rsidP="0013179B">
            <w:pPr>
              <w:spacing w:after="0" w:line="240" w:lineRule="auto"/>
              <w:jc w:val="right"/>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721E0F33" w14:textId="77777777" w:rsidR="0013179B" w:rsidRPr="0013179B" w:rsidRDefault="0013179B" w:rsidP="0013179B">
            <w:pPr>
              <w:spacing w:after="0" w:line="240" w:lineRule="auto"/>
              <w:jc w:val="right"/>
              <w:rPr>
                <w:rFonts w:ascii="Times New Roman" w:eastAsia="Times New Roman" w:hAnsi="Times New Roman" w:cs="Times New Roman"/>
                <w:sz w:val="20"/>
                <w:szCs w:val="20"/>
                <w:lang w:eastAsia="cs-CZ"/>
              </w:rPr>
            </w:pPr>
          </w:p>
        </w:tc>
        <w:tc>
          <w:tcPr>
            <w:tcW w:w="709" w:type="dxa"/>
            <w:tcBorders>
              <w:top w:val="nil"/>
              <w:left w:val="nil"/>
              <w:bottom w:val="nil"/>
              <w:right w:val="nil"/>
            </w:tcBorders>
            <w:shd w:val="clear" w:color="auto" w:fill="auto"/>
            <w:noWrap/>
            <w:vAlign w:val="bottom"/>
            <w:hideMark/>
          </w:tcPr>
          <w:p w14:paraId="063A0706" w14:textId="77777777" w:rsidR="0013179B" w:rsidRPr="0013179B" w:rsidRDefault="0013179B" w:rsidP="0013179B">
            <w:pPr>
              <w:spacing w:after="0" w:line="240" w:lineRule="auto"/>
              <w:jc w:val="right"/>
              <w:rPr>
                <w:rFonts w:ascii="Times New Roman" w:eastAsia="Times New Roman" w:hAnsi="Times New Roman" w:cs="Times New Roman"/>
                <w:sz w:val="20"/>
                <w:szCs w:val="20"/>
                <w:lang w:eastAsia="cs-CZ"/>
              </w:rPr>
            </w:pPr>
          </w:p>
        </w:tc>
      </w:tr>
      <w:tr w:rsidR="0013179B" w:rsidRPr="0013179B" w14:paraId="197CD1EE" w14:textId="77777777" w:rsidTr="0013179B">
        <w:trPr>
          <w:trHeight w:val="360"/>
        </w:trPr>
        <w:tc>
          <w:tcPr>
            <w:tcW w:w="967" w:type="dxa"/>
            <w:tcBorders>
              <w:top w:val="nil"/>
              <w:left w:val="nil"/>
              <w:bottom w:val="nil"/>
              <w:right w:val="nil"/>
            </w:tcBorders>
            <w:shd w:val="clear" w:color="auto" w:fill="auto"/>
            <w:noWrap/>
            <w:vAlign w:val="bottom"/>
            <w:hideMark/>
          </w:tcPr>
          <w:p w14:paraId="69250014" w14:textId="77777777" w:rsidR="0013179B" w:rsidRPr="0013179B" w:rsidRDefault="0013179B" w:rsidP="0013179B">
            <w:pPr>
              <w:spacing w:after="0" w:line="240" w:lineRule="auto"/>
              <w:jc w:val="right"/>
              <w:rPr>
                <w:rFonts w:ascii="Times New Roman" w:eastAsia="Times New Roman" w:hAnsi="Times New Roman" w:cs="Times New Roman"/>
                <w:sz w:val="20"/>
                <w:szCs w:val="20"/>
                <w:lang w:eastAsia="cs-CZ"/>
              </w:rPr>
            </w:pPr>
          </w:p>
        </w:tc>
        <w:tc>
          <w:tcPr>
            <w:tcW w:w="3554" w:type="dxa"/>
            <w:tcBorders>
              <w:top w:val="nil"/>
              <w:left w:val="nil"/>
              <w:bottom w:val="nil"/>
              <w:right w:val="nil"/>
            </w:tcBorders>
            <w:shd w:val="clear" w:color="auto" w:fill="auto"/>
            <w:noWrap/>
            <w:vAlign w:val="bottom"/>
            <w:hideMark/>
          </w:tcPr>
          <w:p w14:paraId="4B80ED2F" w14:textId="77777777" w:rsidR="0013179B" w:rsidRPr="0013179B" w:rsidRDefault="0013179B" w:rsidP="0013179B">
            <w:pPr>
              <w:spacing w:after="0" w:line="240" w:lineRule="auto"/>
              <w:rPr>
                <w:rFonts w:ascii="Calibri" w:eastAsia="Times New Roman" w:hAnsi="Calibri" w:cs="Arial"/>
                <w:b/>
                <w:bCs/>
                <w:color w:val="000000"/>
                <w:lang w:eastAsia="cs-CZ"/>
              </w:rPr>
            </w:pPr>
            <w:r w:rsidRPr="0013179B">
              <w:rPr>
                <w:rFonts w:ascii="Calibri" w:eastAsia="Times New Roman" w:hAnsi="Calibri" w:cs="Arial"/>
                <w:b/>
                <w:bCs/>
                <w:color w:val="000000"/>
                <w:lang w:eastAsia="cs-CZ"/>
              </w:rPr>
              <w:t>Kapitálové výdaje</w:t>
            </w:r>
          </w:p>
        </w:tc>
        <w:tc>
          <w:tcPr>
            <w:tcW w:w="1432" w:type="dxa"/>
            <w:tcBorders>
              <w:top w:val="nil"/>
              <w:left w:val="nil"/>
              <w:bottom w:val="nil"/>
              <w:right w:val="nil"/>
            </w:tcBorders>
            <w:shd w:val="clear" w:color="auto" w:fill="auto"/>
            <w:noWrap/>
            <w:vAlign w:val="bottom"/>
            <w:hideMark/>
          </w:tcPr>
          <w:p w14:paraId="2C180FD3" w14:textId="77777777" w:rsidR="0013179B" w:rsidRPr="0013179B" w:rsidRDefault="0013179B" w:rsidP="0013179B">
            <w:pPr>
              <w:spacing w:after="0" w:line="240" w:lineRule="auto"/>
              <w:rPr>
                <w:rFonts w:ascii="Calibri" w:eastAsia="Times New Roman" w:hAnsi="Calibri" w:cs="Arial"/>
                <w:b/>
                <w:bCs/>
                <w:color w:val="000000"/>
                <w:lang w:eastAsia="cs-CZ"/>
              </w:rPr>
            </w:pPr>
          </w:p>
        </w:tc>
        <w:tc>
          <w:tcPr>
            <w:tcW w:w="1702" w:type="dxa"/>
            <w:tcBorders>
              <w:top w:val="nil"/>
              <w:left w:val="nil"/>
              <w:bottom w:val="nil"/>
              <w:right w:val="nil"/>
            </w:tcBorders>
            <w:shd w:val="clear" w:color="auto" w:fill="auto"/>
            <w:noWrap/>
            <w:vAlign w:val="bottom"/>
            <w:hideMark/>
          </w:tcPr>
          <w:p w14:paraId="3223CCC6" w14:textId="77777777" w:rsidR="0013179B" w:rsidRPr="0013179B" w:rsidRDefault="0013179B" w:rsidP="0013179B">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22738779" w14:textId="77777777" w:rsidR="0013179B" w:rsidRPr="0013179B" w:rsidRDefault="0013179B" w:rsidP="0013179B">
            <w:pPr>
              <w:spacing w:after="0" w:line="240" w:lineRule="auto"/>
              <w:rPr>
                <w:rFonts w:ascii="Times New Roman" w:eastAsia="Times New Roman" w:hAnsi="Times New Roman" w:cs="Times New Roman"/>
                <w:sz w:val="20"/>
                <w:szCs w:val="20"/>
                <w:lang w:eastAsia="cs-CZ"/>
              </w:rPr>
            </w:pPr>
          </w:p>
        </w:tc>
        <w:tc>
          <w:tcPr>
            <w:tcW w:w="709" w:type="dxa"/>
            <w:tcBorders>
              <w:top w:val="nil"/>
              <w:left w:val="nil"/>
              <w:bottom w:val="nil"/>
              <w:right w:val="nil"/>
            </w:tcBorders>
            <w:shd w:val="clear" w:color="auto" w:fill="auto"/>
            <w:noWrap/>
            <w:vAlign w:val="bottom"/>
            <w:hideMark/>
          </w:tcPr>
          <w:p w14:paraId="4520E1A2" w14:textId="77777777" w:rsidR="0013179B" w:rsidRPr="0013179B" w:rsidRDefault="0013179B" w:rsidP="0013179B">
            <w:pPr>
              <w:spacing w:after="0" w:line="240" w:lineRule="auto"/>
              <w:jc w:val="right"/>
              <w:rPr>
                <w:rFonts w:ascii="Times New Roman" w:eastAsia="Times New Roman" w:hAnsi="Times New Roman" w:cs="Times New Roman"/>
                <w:sz w:val="20"/>
                <w:szCs w:val="20"/>
                <w:lang w:eastAsia="cs-CZ"/>
              </w:rPr>
            </w:pPr>
          </w:p>
        </w:tc>
      </w:tr>
      <w:tr w:rsidR="0013179B" w:rsidRPr="0013179B" w14:paraId="227AEF00" w14:textId="77777777" w:rsidTr="0013179B">
        <w:trPr>
          <w:trHeight w:val="315"/>
        </w:trPr>
        <w:tc>
          <w:tcPr>
            <w:tcW w:w="967"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648E5546" w14:textId="77777777" w:rsidR="0013179B" w:rsidRPr="0013179B" w:rsidRDefault="0013179B" w:rsidP="0013179B">
            <w:pPr>
              <w:spacing w:after="0" w:line="240" w:lineRule="auto"/>
              <w:jc w:val="center"/>
              <w:rPr>
                <w:rFonts w:ascii="Calibri" w:eastAsia="Times New Roman" w:hAnsi="Calibri" w:cs="Arial"/>
                <w:sz w:val="20"/>
                <w:szCs w:val="20"/>
                <w:lang w:eastAsia="cs-CZ"/>
              </w:rPr>
            </w:pPr>
            <w:r w:rsidRPr="0013179B">
              <w:rPr>
                <w:rFonts w:ascii="Calibri" w:eastAsia="Times New Roman" w:hAnsi="Calibri" w:cs="Arial"/>
                <w:sz w:val="20"/>
                <w:szCs w:val="20"/>
                <w:lang w:eastAsia="cs-CZ"/>
              </w:rPr>
              <w:t>3522</w:t>
            </w:r>
          </w:p>
        </w:tc>
        <w:tc>
          <w:tcPr>
            <w:tcW w:w="3554" w:type="dxa"/>
            <w:tcBorders>
              <w:top w:val="single" w:sz="8" w:space="0" w:color="auto"/>
              <w:left w:val="nil"/>
              <w:bottom w:val="single" w:sz="4" w:space="0" w:color="auto"/>
              <w:right w:val="single" w:sz="4" w:space="0" w:color="auto"/>
            </w:tcBorders>
            <w:shd w:val="clear" w:color="auto" w:fill="auto"/>
            <w:vAlign w:val="bottom"/>
            <w:hideMark/>
          </w:tcPr>
          <w:p w14:paraId="436A5903" w14:textId="77777777" w:rsidR="0013179B" w:rsidRPr="0013179B" w:rsidRDefault="0013179B" w:rsidP="0013179B">
            <w:pPr>
              <w:spacing w:after="0" w:line="240" w:lineRule="auto"/>
              <w:rPr>
                <w:rFonts w:ascii="Calibri" w:eastAsia="Times New Roman" w:hAnsi="Calibri" w:cs="Arial"/>
                <w:sz w:val="20"/>
                <w:szCs w:val="20"/>
                <w:lang w:eastAsia="cs-CZ"/>
              </w:rPr>
            </w:pPr>
            <w:r w:rsidRPr="0013179B">
              <w:rPr>
                <w:rFonts w:ascii="Calibri" w:eastAsia="Times New Roman" w:hAnsi="Calibri" w:cs="Arial"/>
                <w:sz w:val="20"/>
                <w:szCs w:val="20"/>
                <w:lang w:eastAsia="cs-CZ"/>
              </w:rPr>
              <w:t>Program 2021 - ZDRAVOTNICTVÍ</w:t>
            </w:r>
          </w:p>
        </w:tc>
        <w:tc>
          <w:tcPr>
            <w:tcW w:w="1432" w:type="dxa"/>
            <w:tcBorders>
              <w:top w:val="single" w:sz="8" w:space="0" w:color="auto"/>
              <w:left w:val="nil"/>
              <w:bottom w:val="single" w:sz="4" w:space="0" w:color="auto"/>
              <w:right w:val="single" w:sz="4" w:space="0" w:color="auto"/>
            </w:tcBorders>
            <w:shd w:val="clear" w:color="auto" w:fill="auto"/>
            <w:noWrap/>
            <w:vAlign w:val="bottom"/>
            <w:hideMark/>
          </w:tcPr>
          <w:p w14:paraId="61E5A839" w14:textId="77777777" w:rsidR="0013179B" w:rsidRPr="0013179B" w:rsidRDefault="0013179B" w:rsidP="0013179B">
            <w:pPr>
              <w:spacing w:after="0" w:line="240" w:lineRule="auto"/>
              <w:jc w:val="right"/>
              <w:rPr>
                <w:rFonts w:ascii="Calibri" w:eastAsia="Times New Roman" w:hAnsi="Calibri" w:cs="Arial"/>
                <w:color w:val="000000"/>
                <w:sz w:val="20"/>
                <w:szCs w:val="20"/>
                <w:lang w:eastAsia="cs-CZ"/>
              </w:rPr>
            </w:pPr>
            <w:r w:rsidRPr="0013179B">
              <w:rPr>
                <w:rFonts w:ascii="Calibri" w:eastAsia="Times New Roman" w:hAnsi="Calibri" w:cs="Arial"/>
                <w:color w:val="000000"/>
                <w:sz w:val="20"/>
                <w:szCs w:val="20"/>
                <w:lang w:eastAsia="cs-CZ"/>
              </w:rPr>
              <w:t>0</w:t>
            </w:r>
          </w:p>
        </w:tc>
        <w:tc>
          <w:tcPr>
            <w:tcW w:w="1702" w:type="dxa"/>
            <w:tcBorders>
              <w:top w:val="single" w:sz="8" w:space="0" w:color="auto"/>
              <w:left w:val="nil"/>
              <w:bottom w:val="single" w:sz="4" w:space="0" w:color="auto"/>
              <w:right w:val="single" w:sz="4" w:space="0" w:color="auto"/>
            </w:tcBorders>
            <w:shd w:val="clear" w:color="auto" w:fill="auto"/>
            <w:noWrap/>
            <w:vAlign w:val="bottom"/>
            <w:hideMark/>
          </w:tcPr>
          <w:p w14:paraId="42736E45" w14:textId="77777777" w:rsidR="0013179B" w:rsidRPr="0013179B" w:rsidRDefault="0013179B" w:rsidP="0013179B">
            <w:pPr>
              <w:spacing w:after="0" w:line="240" w:lineRule="auto"/>
              <w:jc w:val="right"/>
              <w:rPr>
                <w:rFonts w:ascii="Calibri" w:eastAsia="Times New Roman" w:hAnsi="Calibri" w:cs="Arial"/>
                <w:color w:val="000000"/>
                <w:sz w:val="20"/>
                <w:szCs w:val="20"/>
                <w:lang w:eastAsia="cs-CZ"/>
              </w:rPr>
            </w:pPr>
            <w:r w:rsidRPr="0013179B">
              <w:rPr>
                <w:rFonts w:ascii="Calibri" w:eastAsia="Times New Roman" w:hAnsi="Calibri" w:cs="Arial"/>
                <w:color w:val="000000"/>
                <w:sz w:val="20"/>
                <w:szCs w:val="20"/>
                <w:lang w:eastAsia="cs-CZ"/>
              </w:rPr>
              <w:t>19 844 001,66</w:t>
            </w:r>
          </w:p>
        </w:tc>
        <w:tc>
          <w:tcPr>
            <w:tcW w:w="1701" w:type="dxa"/>
            <w:tcBorders>
              <w:top w:val="single" w:sz="8" w:space="0" w:color="auto"/>
              <w:left w:val="nil"/>
              <w:bottom w:val="single" w:sz="4" w:space="0" w:color="auto"/>
              <w:right w:val="single" w:sz="4" w:space="0" w:color="auto"/>
            </w:tcBorders>
            <w:shd w:val="clear" w:color="auto" w:fill="auto"/>
            <w:noWrap/>
            <w:vAlign w:val="bottom"/>
            <w:hideMark/>
          </w:tcPr>
          <w:p w14:paraId="615A258E" w14:textId="77777777" w:rsidR="0013179B" w:rsidRPr="0013179B" w:rsidRDefault="0013179B" w:rsidP="0013179B">
            <w:pPr>
              <w:spacing w:after="0" w:line="240" w:lineRule="auto"/>
              <w:jc w:val="right"/>
              <w:rPr>
                <w:rFonts w:ascii="Calibri" w:eastAsia="Times New Roman" w:hAnsi="Calibri" w:cs="Arial"/>
                <w:color w:val="000000"/>
                <w:sz w:val="20"/>
                <w:szCs w:val="20"/>
                <w:lang w:eastAsia="cs-CZ"/>
              </w:rPr>
            </w:pPr>
            <w:r w:rsidRPr="0013179B">
              <w:rPr>
                <w:rFonts w:ascii="Calibri" w:eastAsia="Times New Roman" w:hAnsi="Calibri" w:cs="Arial"/>
                <w:color w:val="000000"/>
                <w:sz w:val="20"/>
                <w:szCs w:val="20"/>
                <w:lang w:eastAsia="cs-CZ"/>
              </w:rPr>
              <w:t>19 844 001,66</w:t>
            </w:r>
          </w:p>
        </w:tc>
        <w:tc>
          <w:tcPr>
            <w:tcW w:w="709" w:type="dxa"/>
            <w:tcBorders>
              <w:top w:val="single" w:sz="8" w:space="0" w:color="auto"/>
              <w:left w:val="nil"/>
              <w:bottom w:val="single" w:sz="4" w:space="0" w:color="auto"/>
              <w:right w:val="single" w:sz="8" w:space="0" w:color="auto"/>
            </w:tcBorders>
            <w:shd w:val="clear" w:color="auto" w:fill="auto"/>
            <w:noWrap/>
            <w:vAlign w:val="bottom"/>
            <w:hideMark/>
          </w:tcPr>
          <w:p w14:paraId="5A5FA648" w14:textId="77777777" w:rsidR="0013179B" w:rsidRPr="0013179B" w:rsidRDefault="0013179B" w:rsidP="0013179B">
            <w:pPr>
              <w:spacing w:after="0" w:line="240" w:lineRule="auto"/>
              <w:jc w:val="right"/>
              <w:rPr>
                <w:rFonts w:ascii="Calibri" w:eastAsia="Times New Roman" w:hAnsi="Calibri" w:cs="Arial"/>
                <w:color w:val="000000"/>
                <w:sz w:val="20"/>
                <w:szCs w:val="20"/>
                <w:lang w:eastAsia="cs-CZ"/>
              </w:rPr>
            </w:pPr>
            <w:r w:rsidRPr="0013179B">
              <w:rPr>
                <w:rFonts w:ascii="Calibri" w:eastAsia="Times New Roman" w:hAnsi="Calibri" w:cs="Arial"/>
                <w:color w:val="000000"/>
                <w:sz w:val="20"/>
                <w:szCs w:val="20"/>
                <w:lang w:eastAsia="cs-CZ"/>
              </w:rPr>
              <w:t>100,0</w:t>
            </w:r>
          </w:p>
        </w:tc>
      </w:tr>
      <w:tr w:rsidR="0013179B" w:rsidRPr="0013179B" w14:paraId="29071D71" w14:textId="77777777" w:rsidTr="0013179B">
        <w:trPr>
          <w:trHeight w:val="510"/>
        </w:trPr>
        <w:tc>
          <w:tcPr>
            <w:tcW w:w="967" w:type="dxa"/>
            <w:tcBorders>
              <w:top w:val="nil"/>
              <w:left w:val="single" w:sz="8" w:space="0" w:color="auto"/>
              <w:bottom w:val="nil"/>
              <w:right w:val="single" w:sz="4" w:space="0" w:color="auto"/>
            </w:tcBorders>
            <w:shd w:val="clear" w:color="auto" w:fill="auto"/>
            <w:noWrap/>
            <w:vAlign w:val="bottom"/>
            <w:hideMark/>
          </w:tcPr>
          <w:p w14:paraId="612F9A7B" w14:textId="77777777" w:rsidR="0013179B" w:rsidRPr="0013179B" w:rsidRDefault="0013179B" w:rsidP="0013179B">
            <w:pPr>
              <w:spacing w:after="0" w:line="240" w:lineRule="auto"/>
              <w:jc w:val="center"/>
              <w:rPr>
                <w:rFonts w:ascii="Calibri" w:eastAsia="Times New Roman" w:hAnsi="Calibri" w:cs="Arial"/>
                <w:sz w:val="20"/>
                <w:szCs w:val="20"/>
                <w:lang w:eastAsia="cs-CZ"/>
              </w:rPr>
            </w:pPr>
            <w:r w:rsidRPr="0013179B">
              <w:rPr>
                <w:rFonts w:ascii="Calibri" w:eastAsia="Times New Roman" w:hAnsi="Calibri" w:cs="Arial"/>
                <w:sz w:val="20"/>
                <w:szCs w:val="20"/>
                <w:lang w:eastAsia="cs-CZ"/>
              </w:rPr>
              <w:t>3533</w:t>
            </w:r>
          </w:p>
        </w:tc>
        <w:tc>
          <w:tcPr>
            <w:tcW w:w="3554" w:type="dxa"/>
            <w:tcBorders>
              <w:top w:val="nil"/>
              <w:left w:val="nil"/>
              <w:bottom w:val="nil"/>
              <w:right w:val="single" w:sz="4" w:space="0" w:color="auto"/>
            </w:tcBorders>
            <w:shd w:val="clear" w:color="auto" w:fill="auto"/>
            <w:vAlign w:val="bottom"/>
            <w:hideMark/>
          </w:tcPr>
          <w:p w14:paraId="7A464575" w14:textId="77777777" w:rsidR="0013179B" w:rsidRPr="0013179B" w:rsidRDefault="0013179B" w:rsidP="0013179B">
            <w:pPr>
              <w:spacing w:after="0" w:line="240" w:lineRule="auto"/>
              <w:rPr>
                <w:rFonts w:ascii="Calibri" w:eastAsia="Times New Roman" w:hAnsi="Calibri" w:cs="Arial"/>
                <w:sz w:val="20"/>
                <w:szCs w:val="20"/>
                <w:lang w:eastAsia="cs-CZ"/>
              </w:rPr>
            </w:pPr>
            <w:r w:rsidRPr="0013179B">
              <w:rPr>
                <w:rFonts w:ascii="Calibri" w:eastAsia="Times New Roman" w:hAnsi="Calibri" w:cs="Arial"/>
                <w:sz w:val="20"/>
                <w:szCs w:val="20"/>
                <w:lang w:eastAsia="cs-CZ"/>
              </w:rPr>
              <w:t>Zdravotnická záchranná služba - batohy s AED a příslušenstvím</w:t>
            </w:r>
          </w:p>
        </w:tc>
        <w:tc>
          <w:tcPr>
            <w:tcW w:w="1432" w:type="dxa"/>
            <w:tcBorders>
              <w:top w:val="nil"/>
              <w:left w:val="nil"/>
              <w:bottom w:val="nil"/>
              <w:right w:val="single" w:sz="4" w:space="0" w:color="auto"/>
            </w:tcBorders>
            <w:shd w:val="clear" w:color="auto" w:fill="auto"/>
            <w:noWrap/>
            <w:vAlign w:val="bottom"/>
            <w:hideMark/>
          </w:tcPr>
          <w:p w14:paraId="74E3A578" w14:textId="77777777" w:rsidR="0013179B" w:rsidRPr="0013179B" w:rsidRDefault="0013179B" w:rsidP="0013179B">
            <w:pPr>
              <w:spacing w:after="0" w:line="240" w:lineRule="auto"/>
              <w:jc w:val="right"/>
              <w:rPr>
                <w:rFonts w:ascii="Calibri" w:eastAsia="Times New Roman" w:hAnsi="Calibri" w:cs="Arial"/>
                <w:color w:val="000000"/>
                <w:sz w:val="20"/>
                <w:szCs w:val="20"/>
                <w:lang w:eastAsia="cs-CZ"/>
              </w:rPr>
            </w:pPr>
            <w:r w:rsidRPr="0013179B">
              <w:rPr>
                <w:rFonts w:ascii="Calibri" w:eastAsia="Times New Roman" w:hAnsi="Calibri" w:cs="Arial"/>
                <w:color w:val="000000"/>
                <w:sz w:val="20"/>
                <w:szCs w:val="20"/>
                <w:lang w:eastAsia="cs-CZ"/>
              </w:rPr>
              <w:t>0</w:t>
            </w:r>
          </w:p>
        </w:tc>
        <w:tc>
          <w:tcPr>
            <w:tcW w:w="1702" w:type="dxa"/>
            <w:tcBorders>
              <w:top w:val="nil"/>
              <w:left w:val="nil"/>
              <w:bottom w:val="nil"/>
              <w:right w:val="single" w:sz="4" w:space="0" w:color="auto"/>
            </w:tcBorders>
            <w:shd w:val="clear" w:color="auto" w:fill="auto"/>
            <w:noWrap/>
            <w:vAlign w:val="bottom"/>
            <w:hideMark/>
          </w:tcPr>
          <w:p w14:paraId="5C4FD21F" w14:textId="77777777" w:rsidR="0013179B" w:rsidRPr="0013179B" w:rsidRDefault="0013179B" w:rsidP="0013179B">
            <w:pPr>
              <w:spacing w:after="0" w:line="240" w:lineRule="auto"/>
              <w:jc w:val="right"/>
              <w:rPr>
                <w:rFonts w:ascii="Calibri" w:eastAsia="Times New Roman" w:hAnsi="Calibri" w:cs="Arial"/>
                <w:color w:val="000000"/>
                <w:sz w:val="20"/>
                <w:szCs w:val="20"/>
                <w:lang w:eastAsia="cs-CZ"/>
              </w:rPr>
            </w:pPr>
            <w:r w:rsidRPr="0013179B">
              <w:rPr>
                <w:rFonts w:ascii="Calibri" w:eastAsia="Times New Roman" w:hAnsi="Calibri" w:cs="Arial"/>
                <w:color w:val="000000"/>
                <w:sz w:val="20"/>
                <w:szCs w:val="20"/>
                <w:lang w:eastAsia="cs-CZ"/>
              </w:rPr>
              <w:t>762 300,00</w:t>
            </w:r>
          </w:p>
        </w:tc>
        <w:tc>
          <w:tcPr>
            <w:tcW w:w="1701" w:type="dxa"/>
            <w:tcBorders>
              <w:top w:val="nil"/>
              <w:left w:val="nil"/>
              <w:bottom w:val="nil"/>
              <w:right w:val="single" w:sz="4" w:space="0" w:color="auto"/>
            </w:tcBorders>
            <w:shd w:val="clear" w:color="auto" w:fill="auto"/>
            <w:noWrap/>
            <w:vAlign w:val="bottom"/>
            <w:hideMark/>
          </w:tcPr>
          <w:p w14:paraId="7D3CCDE5" w14:textId="77777777" w:rsidR="0013179B" w:rsidRPr="0013179B" w:rsidRDefault="0013179B" w:rsidP="0013179B">
            <w:pPr>
              <w:spacing w:after="0" w:line="240" w:lineRule="auto"/>
              <w:jc w:val="right"/>
              <w:rPr>
                <w:rFonts w:ascii="Calibri" w:eastAsia="Times New Roman" w:hAnsi="Calibri" w:cs="Arial"/>
                <w:color w:val="000000"/>
                <w:sz w:val="20"/>
                <w:szCs w:val="20"/>
                <w:lang w:eastAsia="cs-CZ"/>
              </w:rPr>
            </w:pPr>
            <w:r w:rsidRPr="0013179B">
              <w:rPr>
                <w:rFonts w:ascii="Calibri" w:eastAsia="Times New Roman" w:hAnsi="Calibri" w:cs="Arial"/>
                <w:color w:val="000000"/>
                <w:sz w:val="20"/>
                <w:szCs w:val="20"/>
                <w:lang w:eastAsia="cs-CZ"/>
              </w:rPr>
              <w:t>746 781,75</w:t>
            </w:r>
          </w:p>
        </w:tc>
        <w:tc>
          <w:tcPr>
            <w:tcW w:w="709" w:type="dxa"/>
            <w:tcBorders>
              <w:top w:val="nil"/>
              <w:left w:val="nil"/>
              <w:bottom w:val="single" w:sz="4" w:space="0" w:color="auto"/>
              <w:right w:val="single" w:sz="8" w:space="0" w:color="auto"/>
            </w:tcBorders>
            <w:shd w:val="clear" w:color="auto" w:fill="auto"/>
            <w:noWrap/>
            <w:vAlign w:val="bottom"/>
            <w:hideMark/>
          </w:tcPr>
          <w:p w14:paraId="20B3B3D8" w14:textId="77777777" w:rsidR="0013179B" w:rsidRPr="0013179B" w:rsidRDefault="0013179B" w:rsidP="0013179B">
            <w:pPr>
              <w:spacing w:after="0" w:line="240" w:lineRule="auto"/>
              <w:jc w:val="right"/>
              <w:rPr>
                <w:rFonts w:ascii="Calibri" w:eastAsia="Times New Roman" w:hAnsi="Calibri" w:cs="Arial"/>
                <w:color w:val="000000"/>
                <w:sz w:val="20"/>
                <w:szCs w:val="20"/>
                <w:lang w:eastAsia="cs-CZ"/>
              </w:rPr>
            </w:pPr>
            <w:r w:rsidRPr="0013179B">
              <w:rPr>
                <w:rFonts w:ascii="Calibri" w:eastAsia="Times New Roman" w:hAnsi="Calibri" w:cs="Arial"/>
                <w:color w:val="000000"/>
                <w:sz w:val="20"/>
                <w:szCs w:val="20"/>
                <w:lang w:eastAsia="cs-CZ"/>
              </w:rPr>
              <w:t>98,0</w:t>
            </w:r>
          </w:p>
        </w:tc>
      </w:tr>
      <w:tr w:rsidR="0013179B" w:rsidRPr="0013179B" w14:paraId="3AE46EB8" w14:textId="77777777" w:rsidTr="0013179B">
        <w:trPr>
          <w:trHeight w:val="320"/>
        </w:trPr>
        <w:tc>
          <w:tcPr>
            <w:tcW w:w="967"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110145D4" w14:textId="77777777" w:rsidR="0013179B" w:rsidRPr="0013179B" w:rsidRDefault="0013179B" w:rsidP="0013179B">
            <w:pPr>
              <w:spacing w:after="0" w:line="240" w:lineRule="auto"/>
              <w:rPr>
                <w:rFonts w:ascii="Calibri" w:eastAsia="Times New Roman" w:hAnsi="Calibri" w:cs="Arial"/>
                <w:lang w:eastAsia="cs-CZ"/>
              </w:rPr>
            </w:pPr>
            <w:r w:rsidRPr="0013179B">
              <w:rPr>
                <w:rFonts w:ascii="Calibri" w:eastAsia="Times New Roman" w:hAnsi="Calibri" w:cs="Arial"/>
                <w:lang w:eastAsia="cs-CZ"/>
              </w:rPr>
              <w:t> </w:t>
            </w:r>
          </w:p>
        </w:tc>
        <w:tc>
          <w:tcPr>
            <w:tcW w:w="3554" w:type="dxa"/>
            <w:tcBorders>
              <w:top w:val="single" w:sz="8" w:space="0" w:color="auto"/>
              <w:left w:val="nil"/>
              <w:bottom w:val="single" w:sz="8" w:space="0" w:color="auto"/>
              <w:right w:val="single" w:sz="4" w:space="0" w:color="auto"/>
            </w:tcBorders>
            <w:shd w:val="clear" w:color="auto" w:fill="auto"/>
            <w:noWrap/>
            <w:vAlign w:val="bottom"/>
            <w:hideMark/>
          </w:tcPr>
          <w:p w14:paraId="78E09E51" w14:textId="77777777" w:rsidR="0013179B" w:rsidRPr="0013179B" w:rsidRDefault="0013179B" w:rsidP="0013179B">
            <w:pPr>
              <w:spacing w:after="0" w:line="240" w:lineRule="auto"/>
              <w:rPr>
                <w:rFonts w:ascii="Calibri" w:eastAsia="Times New Roman" w:hAnsi="Calibri" w:cs="Arial"/>
                <w:b/>
                <w:bCs/>
                <w:color w:val="000000"/>
                <w:lang w:eastAsia="cs-CZ"/>
              </w:rPr>
            </w:pPr>
            <w:r w:rsidRPr="0013179B">
              <w:rPr>
                <w:rFonts w:ascii="Calibri" w:eastAsia="Times New Roman" w:hAnsi="Calibri" w:cs="Arial"/>
                <w:b/>
                <w:bCs/>
                <w:color w:val="000000"/>
                <w:lang w:eastAsia="cs-CZ"/>
              </w:rPr>
              <w:t>Celkem</w:t>
            </w:r>
          </w:p>
        </w:tc>
        <w:tc>
          <w:tcPr>
            <w:tcW w:w="1432" w:type="dxa"/>
            <w:tcBorders>
              <w:top w:val="single" w:sz="8" w:space="0" w:color="auto"/>
              <w:left w:val="nil"/>
              <w:bottom w:val="single" w:sz="8" w:space="0" w:color="auto"/>
              <w:right w:val="single" w:sz="4" w:space="0" w:color="auto"/>
            </w:tcBorders>
            <w:shd w:val="clear" w:color="auto" w:fill="auto"/>
            <w:noWrap/>
            <w:vAlign w:val="bottom"/>
            <w:hideMark/>
          </w:tcPr>
          <w:p w14:paraId="5C26947E" w14:textId="77777777" w:rsidR="0013179B" w:rsidRPr="0013179B" w:rsidRDefault="0013179B" w:rsidP="0013179B">
            <w:pPr>
              <w:spacing w:after="0" w:line="240" w:lineRule="auto"/>
              <w:jc w:val="right"/>
              <w:rPr>
                <w:rFonts w:ascii="Calibri" w:eastAsia="Times New Roman" w:hAnsi="Calibri" w:cs="Arial"/>
                <w:b/>
                <w:bCs/>
                <w:color w:val="000000"/>
                <w:lang w:eastAsia="cs-CZ"/>
              </w:rPr>
            </w:pPr>
            <w:r w:rsidRPr="0013179B">
              <w:rPr>
                <w:rFonts w:ascii="Calibri" w:eastAsia="Times New Roman" w:hAnsi="Calibri" w:cs="Arial"/>
                <w:b/>
                <w:bCs/>
                <w:color w:val="000000"/>
                <w:lang w:eastAsia="cs-CZ"/>
              </w:rPr>
              <w:t>0</w:t>
            </w:r>
          </w:p>
        </w:tc>
        <w:tc>
          <w:tcPr>
            <w:tcW w:w="1702" w:type="dxa"/>
            <w:tcBorders>
              <w:top w:val="single" w:sz="8" w:space="0" w:color="auto"/>
              <w:left w:val="nil"/>
              <w:bottom w:val="single" w:sz="8" w:space="0" w:color="auto"/>
              <w:right w:val="single" w:sz="4" w:space="0" w:color="auto"/>
            </w:tcBorders>
            <w:shd w:val="clear" w:color="auto" w:fill="auto"/>
            <w:noWrap/>
            <w:vAlign w:val="bottom"/>
            <w:hideMark/>
          </w:tcPr>
          <w:p w14:paraId="4F1B8468" w14:textId="77777777" w:rsidR="0013179B" w:rsidRPr="0013179B" w:rsidRDefault="0013179B" w:rsidP="0013179B">
            <w:pPr>
              <w:spacing w:after="0" w:line="240" w:lineRule="auto"/>
              <w:jc w:val="right"/>
              <w:rPr>
                <w:rFonts w:ascii="Calibri" w:eastAsia="Times New Roman" w:hAnsi="Calibri" w:cs="Arial"/>
                <w:b/>
                <w:bCs/>
                <w:color w:val="000000"/>
                <w:lang w:eastAsia="cs-CZ"/>
              </w:rPr>
            </w:pPr>
            <w:r w:rsidRPr="0013179B">
              <w:rPr>
                <w:rFonts w:ascii="Calibri" w:eastAsia="Times New Roman" w:hAnsi="Calibri" w:cs="Arial"/>
                <w:b/>
                <w:bCs/>
                <w:color w:val="000000"/>
                <w:lang w:eastAsia="cs-CZ"/>
              </w:rPr>
              <w:t>20 606 301,66</w:t>
            </w:r>
          </w:p>
        </w:tc>
        <w:tc>
          <w:tcPr>
            <w:tcW w:w="1701" w:type="dxa"/>
            <w:tcBorders>
              <w:top w:val="single" w:sz="8" w:space="0" w:color="auto"/>
              <w:left w:val="nil"/>
              <w:bottom w:val="single" w:sz="8" w:space="0" w:color="auto"/>
              <w:right w:val="single" w:sz="4" w:space="0" w:color="auto"/>
            </w:tcBorders>
            <w:shd w:val="clear" w:color="auto" w:fill="auto"/>
            <w:noWrap/>
            <w:vAlign w:val="bottom"/>
            <w:hideMark/>
          </w:tcPr>
          <w:p w14:paraId="6DB3736D" w14:textId="77777777" w:rsidR="0013179B" w:rsidRPr="0013179B" w:rsidRDefault="0013179B" w:rsidP="0013179B">
            <w:pPr>
              <w:spacing w:after="0" w:line="240" w:lineRule="auto"/>
              <w:jc w:val="right"/>
              <w:rPr>
                <w:rFonts w:ascii="Calibri" w:eastAsia="Times New Roman" w:hAnsi="Calibri" w:cs="Arial"/>
                <w:b/>
                <w:bCs/>
                <w:color w:val="000000"/>
                <w:lang w:eastAsia="cs-CZ"/>
              </w:rPr>
            </w:pPr>
            <w:r w:rsidRPr="0013179B">
              <w:rPr>
                <w:rFonts w:ascii="Calibri" w:eastAsia="Times New Roman" w:hAnsi="Calibri" w:cs="Arial"/>
                <w:b/>
                <w:bCs/>
                <w:color w:val="000000"/>
                <w:lang w:eastAsia="cs-CZ"/>
              </w:rPr>
              <w:t>20 590 783,41</w:t>
            </w:r>
          </w:p>
        </w:tc>
        <w:tc>
          <w:tcPr>
            <w:tcW w:w="709" w:type="dxa"/>
            <w:tcBorders>
              <w:top w:val="single" w:sz="8" w:space="0" w:color="auto"/>
              <w:left w:val="nil"/>
              <w:bottom w:val="single" w:sz="8" w:space="0" w:color="auto"/>
              <w:right w:val="single" w:sz="8" w:space="0" w:color="auto"/>
            </w:tcBorders>
            <w:shd w:val="clear" w:color="auto" w:fill="auto"/>
            <w:noWrap/>
            <w:vAlign w:val="bottom"/>
            <w:hideMark/>
          </w:tcPr>
          <w:p w14:paraId="18602126" w14:textId="77777777" w:rsidR="0013179B" w:rsidRPr="0013179B" w:rsidRDefault="0013179B" w:rsidP="0013179B">
            <w:pPr>
              <w:spacing w:after="0" w:line="240" w:lineRule="auto"/>
              <w:jc w:val="right"/>
              <w:rPr>
                <w:rFonts w:ascii="Calibri" w:eastAsia="Times New Roman" w:hAnsi="Calibri" w:cs="Arial"/>
                <w:b/>
                <w:bCs/>
                <w:color w:val="000000"/>
                <w:lang w:eastAsia="cs-CZ"/>
              </w:rPr>
            </w:pPr>
            <w:r w:rsidRPr="0013179B">
              <w:rPr>
                <w:rFonts w:ascii="Calibri" w:eastAsia="Times New Roman" w:hAnsi="Calibri" w:cs="Arial"/>
                <w:b/>
                <w:bCs/>
                <w:color w:val="000000"/>
                <w:lang w:eastAsia="cs-CZ"/>
              </w:rPr>
              <w:t>99,9</w:t>
            </w:r>
          </w:p>
        </w:tc>
      </w:tr>
      <w:tr w:rsidR="0013179B" w:rsidRPr="0013179B" w14:paraId="7609A0D7" w14:textId="77777777" w:rsidTr="0013179B">
        <w:trPr>
          <w:trHeight w:val="320"/>
        </w:trPr>
        <w:tc>
          <w:tcPr>
            <w:tcW w:w="967" w:type="dxa"/>
            <w:tcBorders>
              <w:top w:val="nil"/>
              <w:left w:val="nil"/>
              <w:bottom w:val="nil"/>
              <w:right w:val="nil"/>
            </w:tcBorders>
            <w:shd w:val="clear" w:color="auto" w:fill="auto"/>
            <w:noWrap/>
            <w:vAlign w:val="bottom"/>
            <w:hideMark/>
          </w:tcPr>
          <w:p w14:paraId="6878605C" w14:textId="77777777" w:rsidR="0013179B" w:rsidRPr="0013179B" w:rsidRDefault="0013179B" w:rsidP="0013179B">
            <w:pPr>
              <w:spacing w:after="0" w:line="240" w:lineRule="auto"/>
              <w:jc w:val="right"/>
              <w:rPr>
                <w:rFonts w:ascii="Calibri" w:eastAsia="Times New Roman" w:hAnsi="Calibri" w:cs="Arial"/>
                <w:b/>
                <w:bCs/>
                <w:color w:val="000000"/>
                <w:lang w:eastAsia="cs-CZ"/>
              </w:rPr>
            </w:pPr>
          </w:p>
        </w:tc>
        <w:tc>
          <w:tcPr>
            <w:tcW w:w="3554" w:type="dxa"/>
            <w:tcBorders>
              <w:top w:val="nil"/>
              <w:left w:val="nil"/>
              <w:bottom w:val="nil"/>
              <w:right w:val="nil"/>
            </w:tcBorders>
            <w:shd w:val="clear" w:color="auto" w:fill="auto"/>
            <w:noWrap/>
            <w:vAlign w:val="bottom"/>
            <w:hideMark/>
          </w:tcPr>
          <w:p w14:paraId="6D158941" w14:textId="77777777" w:rsidR="0013179B" w:rsidRPr="0013179B" w:rsidRDefault="0013179B" w:rsidP="0013179B">
            <w:pPr>
              <w:spacing w:after="0" w:line="240" w:lineRule="auto"/>
              <w:rPr>
                <w:rFonts w:ascii="Times New Roman" w:eastAsia="Times New Roman" w:hAnsi="Times New Roman" w:cs="Times New Roman"/>
                <w:sz w:val="20"/>
                <w:szCs w:val="20"/>
                <w:lang w:eastAsia="cs-CZ"/>
              </w:rPr>
            </w:pPr>
          </w:p>
        </w:tc>
        <w:tc>
          <w:tcPr>
            <w:tcW w:w="1432" w:type="dxa"/>
            <w:tcBorders>
              <w:top w:val="nil"/>
              <w:left w:val="nil"/>
              <w:bottom w:val="nil"/>
              <w:right w:val="nil"/>
            </w:tcBorders>
            <w:shd w:val="clear" w:color="auto" w:fill="auto"/>
            <w:noWrap/>
            <w:vAlign w:val="bottom"/>
            <w:hideMark/>
          </w:tcPr>
          <w:p w14:paraId="6E3F68AA" w14:textId="77777777" w:rsidR="0013179B" w:rsidRPr="0013179B" w:rsidRDefault="0013179B" w:rsidP="0013179B">
            <w:pPr>
              <w:spacing w:after="0" w:line="240" w:lineRule="auto"/>
              <w:rPr>
                <w:rFonts w:ascii="Times New Roman" w:eastAsia="Times New Roman" w:hAnsi="Times New Roman" w:cs="Times New Roman"/>
                <w:sz w:val="20"/>
                <w:szCs w:val="20"/>
                <w:lang w:eastAsia="cs-CZ"/>
              </w:rPr>
            </w:pPr>
          </w:p>
        </w:tc>
        <w:tc>
          <w:tcPr>
            <w:tcW w:w="1702" w:type="dxa"/>
            <w:tcBorders>
              <w:top w:val="nil"/>
              <w:left w:val="nil"/>
              <w:bottom w:val="nil"/>
              <w:right w:val="nil"/>
            </w:tcBorders>
            <w:shd w:val="clear" w:color="auto" w:fill="auto"/>
            <w:noWrap/>
            <w:vAlign w:val="bottom"/>
            <w:hideMark/>
          </w:tcPr>
          <w:p w14:paraId="119F2AE3" w14:textId="77777777" w:rsidR="0013179B" w:rsidRPr="0013179B" w:rsidRDefault="0013179B" w:rsidP="0013179B">
            <w:pPr>
              <w:spacing w:after="0" w:line="240" w:lineRule="auto"/>
              <w:jc w:val="right"/>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223CF3F3" w14:textId="77777777" w:rsidR="0013179B" w:rsidRPr="0013179B" w:rsidRDefault="0013179B" w:rsidP="0013179B">
            <w:pPr>
              <w:spacing w:after="0" w:line="240" w:lineRule="auto"/>
              <w:jc w:val="right"/>
              <w:rPr>
                <w:rFonts w:ascii="Times New Roman" w:eastAsia="Times New Roman" w:hAnsi="Times New Roman" w:cs="Times New Roman"/>
                <w:sz w:val="20"/>
                <w:szCs w:val="20"/>
                <w:lang w:eastAsia="cs-CZ"/>
              </w:rPr>
            </w:pPr>
          </w:p>
        </w:tc>
        <w:tc>
          <w:tcPr>
            <w:tcW w:w="709" w:type="dxa"/>
            <w:tcBorders>
              <w:top w:val="nil"/>
              <w:left w:val="nil"/>
              <w:bottom w:val="nil"/>
              <w:right w:val="nil"/>
            </w:tcBorders>
            <w:shd w:val="clear" w:color="auto" w:fill="auto"/>
            <w:noWrap/>
            <w:vAlign w:val="bottom"/>
            <w:hideMark/>
          </w:tcPr>
          <w:p w14:paraId="17676E92" w14:textId="77777777" w:rsidR="0013179B" w:rsidRPr="0013179B" w:rsidRDefault="0013179B" w:rsidP="0013179B">
            <w:pPr>
              <w:spacing w:after="0" w:line="240" w:lineRule="auto"/>
              <w:jc w:val="right"/>
              <w:rPr>
                <w:rFonts w:ascii="Times New Roman" w:eastAsia="Times New Roman" w:hAnsi="Times New Roman" w:cs="Times New Roman"/>
                <w:sz w:val="20"/>
                <w:szCs w:val="20"/>
                <w:lang w:eastAsia="cs-CZ"/>
              </w:rPr>
            </w:pPr>
          </w:p>
        </w:tc>
      </w:tr>
      <w:tr w:rsidR="0013179B" w:rsidRPr="0013179B" w14:paraId="4A356C9A" w14:textId="77777777" w:rsidTr="0013179B">
        <w:trPr>
          <w:trHeight w:val="320"/>
        </w:trPr>
        <w:tc>
          <w:tcPr>
            <w:tcW w:w="967" w:type="dxa"/>
            <w:tcBorders>
              <w:top w:val="nil"/>
              <w:left w:val="nil"/>
              <w:bottom w:val="nil"/>
              <w:right w:val="nil"/>
            </w:tcBorders>
            <w:shd w:val="clear" w:color="auto" w:fill="auto"/>
            <w:noWrap/>
            <w:vAlign w:val="bottom"/>
            <w:hideMark/>
          </w:tcPr>
          <w:p w14:paraId="6A6C5515" w14:textId="77777777" w:rsidR="0013179B" w:rsidRPr="0013179B" w:rsidRDefault="0013179B" w:rsidP="0013179B">
            <w:pPr>
              <w:spacing w:after="0" w:line="240" w:lineRule="auto"/>
              <w:rPr>
                <w:rFonts w:ascii="Times New Roman" w:eastAsia="Times New Roman" w:hAnsi="Times New Roman" w:cs="Times New Roman"/>
                <w:sz w:val="20"/>
                <w:szCs w:val="20"/>
                <w:lang w:eastAsia="cs-CZ"/>
              </w:rPr>
            </w:pPr>
          </w:p>
        </w:tc>
        <w:tc>
          <w:tcPr>
            <w:tcW w:w="9098" w:type="dxa"/>
            <w:gridSpan w:val="5"/>
            <w:tcBorders>
              <w:top w:val="nil"/>
              <w:left w:val="nil"/>
              <w:bottom w:val="nil"/>
              <w:right w:val="nil"/>
            </w:tcBorders>
            <w:shd w:val="clear" w:color="auto" w:fill="auto"/>
            <w:noWrap/>
            <w:vAlign w:val="bottom"/>
            <w:hideMark/>
          </w:tcPr>
          <w:p w14:paraId="590905EE" w14:textId="77777777" w:rsidR="0013179B" w:rsidRPr="0013179B" w:rsidRDefault="0013179B" w:rsidP="0013179B">
            <w:pPr>
              <w:spacing w:after="0" w:line="240" w:lineRule="auto"/>
              <w:rPr>
                <w:rFonts w:ascii="Calibri" w:eastAsia="Times New Roman" w:hAnsi="Calibri" w:cs="Arial"/>
                <w:b/>
                <w:bCs/>
                <w:lang w:eastAsia="cs-CZ"/>
              </w:rPr>
            </w:pPr>
            <w:r w:rsidRPr="0013179B">
              <w:rPr>
                <w:rFonts w:ascii="Calibri" w:eastAsia="Times New Roman" w:hAnsi="Calibri" w:cs="Arial"/>
                <w:b/>
                <w:bCs/>
                <w:lang w:eastAsia="cs-CZ"/>
              </w:rPr>
              <w:t>Předfinancování a kofinancování projektů spolufinancovaných z EU/EHP a ostatní související výdaje s projekty EU/EHP</w:t>
            </w:r>
          </w:p>
        </w:tc>
      </w:tr>
      <w:tr w:rsidR="0013179B" w:rsidRPr="0013179B" w14:paraId="112E02D0" w14:textId="77777777" w:rsidTr="0013179B">
        <w:trPr>
          <w:trHeight w:val="320"/>
        </w:trPr>
        <w:tc>
          <w:tcPr>
            <w:tcW w:w="967"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7E94346C" w14:textId="77777777" w:rsidR="0013179B" w:rsidRPr="0013179B" w:rsidRDefault="0013179B" w:rsidP="0013179B">
            <w:pPr>
              <w:spacing w:after="0" w:line="240" w:lineRule="auto"/>
              <w:jc w:val="center"/>
              <w:rPr>
                <w:rFonts w:ascii="Calibri" w:eastAsia="Times New Roman" w:hAnsi="Calibri" w:cs="Arial"/>
                <w:sz w:val="20"/>
                <w:szCs w:val="20"/>
                <w:lang w:eastAsia="cs-CZ"/>
              </w:rPr>
            </w:pPr>
            <w:r w:rsidRPr="0013179B">
              <w:rPr>
                <w:rFonts w:ascii="Calibri" w:eastAsia="Times New Roman" w:hAnsi="Calibri" w:cs="Arial"/>
                <w:sz w:val="20"/>
                <w:szCs w:val="20"/>
                <w:lang w:eastAsia="cs-CZ"/>
              </w:rPr>
              <w:t>2115</w:t>
            </w:r>
          </w:p>
        </w:tc>
        <w:tc>
          <w:tcPr>
            <w:tcW w:w="3554" w:type="dxa"/>
            <w:tcBorders>
              <w:top w:val="single" w:sz="8" w:space="0" w:color="auto"/>
              <w:left w:val="nil"/>
              <w:bottom w:val="single" w:sz="4" w:space="0" w:color="auto"/>
              <w:right w:val="single" w:sz="4" w:space="0" w:color="auto"/>
            </w:tcBorders>
            <w:shd w:val="clear" w:color="auto" w:fill="auto"/>
            <w:noWrap/>
            <w:vAlign w:val="bottom"/>
            <w:hideMark/>
          </w:tcPr>
          <w:p w14:paraId="16AC0354" w14:textId="77777777" w:rsidR="0013179B" w:rsidRPr="0013179B" w:rsidRDefault="0013179B" w:rsidP="0013179B">
            <w:pPr>
              <w:spacing w:after="0" w:line="240" w:lineRule="auto"/>
              <w:rPr>
                <w:rFonts w:ascii="Calibri" w:eastAsia="Times New Roman" w:hAnsi="Calibri" w:cs="Arial"/>
                <w:sz w:val="20"/>
                <w:szCs w:val="20"/>
                <w:lang w:eastAsia="cs-CZ"/>
              </w:rPr>
            </w:pPr>
            <w:r w:rsidRPr="0013179B">
              <w:rPr>
                <w:rFonts w:ascii="Calibri" w:eastAsia="Times New Roman" w:hAnsi="Calibri" w:cs="Arial"/>
                <w:sz w:val="20"/>
                <w:szCs w:val="20"/>
                <w:lang w:eastAsia="cs-CZ"/>
              </w:rPr>
              <w:t>Úspora energie a obnovitelné zdroje</w:t>
            </w:r>
          </w:p>
        </w:tc>
        <w:tc>
          <w:tcPr>
            <w:tcW w:w="1432" w:type="dxa"/>
            <w:tcBorders>
              <w:top w:val="single" w:sz="8" w:space="0" w:color="auto"/>
              <w:left w:val="nil"/>
              <w:bottom w:val="single" w:sz="4" w:space="0" w:color="auto"/>
              <w:right w:val="single" w:sz="4" w:space="0" w:color="auto"/>
            </w:tcBorders>
            <w:shd w:val="clear" w:color="auto" w:fill="auto"/>
            <w:noWrap/>
            <w:vAlign w:val="bottom"/>
            <w:hideMark/>
          </w:tcPr>
          <w:p w14:paraId="60087D2A"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0</w:t>
            </w:r>
          </w:p>
        </w:tc>
        <w:tc>
          <w:tcPr>
            <w:tcW w:w="1702" w:type="dxa"/>
            <w:tcBorders>
              <w:top w:val="single" w:sz="8" w:space="0" w:color="auto"/>
              <w:left w:val="nil"/>
              <w:bottom w:val="single" w:sz="4" w:space="0" w:color="auto"/>
              <w:right w:val="single" w:sz="4" w:space="0" w:color="auto"/>
            </w:tcBorders>
            <w:shd w:val="clear" w:color="auto" w:fill="auto"/>
            <w:noWrap/>
            <w:vAlign w:val="bottom"/>
            <w:hideMark/>
          </w:tcPr>
          <w:p w14:paraId="40B69152"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907 500,00</w:t>
            </w:r>
          </w:p>
        </w:tc>
        <w:tc>
          <w:tcPr>
            <w:tcW w:w="1701" w:type="dxa"/>
            <w:tcBorders>
              <w:top w:val="single" w:sz="8" w:space="0" w:color="auto"/>
              <w:left w:val="nil"/>
              <w:bottom w:val="single" w:sz="4" w:space="0" w:color="auto"/>
              <w:right w:val="single" w:sz="4" w:space="0" w:color="auto"/>
            </w:tcBorders>
            <w:shd w:val="clear" w:color="auto" w:fill="auto"/>
            <w:noWrap/>
            <w:vAlign w:val="bottom"/>
            <w:hideMark/>
          </w:tcPr>
          <w:p w14:paraId="36F1C132"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0,00</w:t>
            </w:r>
          </w:p>
        </w:tc>
        <w:tc>
          <w:tcPr>
            <w:tcW w:w="709" w:type="dxa"/>
            <w:tcBorders>
              <w:top w:val="single" w:sz="8" w:space="0" w:color="auto"/>
              <w:left w:val="nil"/>
              <w:bottom w:val="single" w:sz="4" w:space="0" w:color="auto"/>
              <w:right w:val="single" w:sz="8" w:space="0" w:color="auto"/>
            </w:tcBorders>
            <w:shd w:val="clear" w:color="auto" w:fill="auto"/>
            <w:noWrap/>
            <w:vAlign w:val="bottom"/>
            <w:hideMark/>
          </w:tcPr>
          <w:p w14:paraId="738D5CCC"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0,0</w:t>
            </w:r>
          </w:p>
        </w:tc>
      </w:tr>
      <w:tr w:rsidR="0013179B" w:rsidRPr="0013179B" w14:paraId="023E51B7" w14:textId="77777777" w:rsidTr="0013179B">
        <w:trPr>
          <w:trHeight w:val="320"/>
        </w:trPr>
        <w:tc>
          <w:tcPr>
            <w:tcW w:w="967" w:type="dxa"/>
            <w:tcBorders>
              <w:top w:val="nil"/>
              <w:left w:val="single" w:sz="8" w:space="0" w:color="auto"/>
              <w:bottom w:val="nil"/>
              <w:right w:val="single" w:sz="4" w:space="0" w:color="auto"/>
            </w:tcBorders>
            <w:shd w:val="clear" w:color="auto" w:fill="auto"/>
            <w:noWrap/>
            <w:vAlign w:val="bottom"/>
            <w:hideMark/>
          </w:tcPr>
          <w:p w14:paraId="2D2E8D0D" w14:textId="77777777" w:rsidR="0013179B" w:rsidRPr="0013179B" w:rsidRDefault="0013179B" w:rsidP="0013179B">
            <w:pPr>
              <w:spacing w:after="0" w:line="240" w:lineRule="auto"/>
              <w:jc w:val="center"/>
              <w:rPr>
                <w:rFonts w:ascii="Calibri" w:eastAsia="Times New Roman" w:hAnsi="Calibri" w:cs="Arial"/>
                <w:sz w:val="20"/>
                <w:szCs w:val="20"/>
                <w:lang w:eastAsia="cs-CZ"/>
              </w:rPr>
            </w:pPr>
            <w:r w:rsidRPr="0013179B">
              <w:rPr>
                <w:rFonts w:ascii="Calibri" w:eastAsia="Times New Roman" w:hAnsi="Calibri" w:cs="Arial"/>
                <w:sz w:val="20"/>
                <w:szCs w:val="20"/>
                <w:lang w:eastAsia="cs-CZ"/>
              </w:rPr>
              <w:t>3522</w:t>
            </w:r>
          </w:p>
        </w:tc>
        <w:tc>
          <w:tcPr>
            <w:tcW w:w="3554" w:type="dxa"/>
            <w:tcBorders>
              <w:top w:val="nil"/>
              <w:left w:val="nil"/>
              <w:bottom w:val="nil"/>
              <w:right w:val="single" w:sz="4" w:space="0" w:color="auto"/>
            </w:tcBorders>
            <w:shd w:val="clear" w:color="auto" w:fill="auto"/>
            <w:noWrap/>
            <w:vAlign w:val="bottom"/>
            <w:hideMark/>
          </w:tcPr>
          <w:p w14:paraId="6DE5FAFF" w14:textId="77777777" w:rsidR="0013179B" w:rsidRPr="0013179B" w:rsidRDefault="0013179B" w:rsidP="0013179B">
            <w:pPr>
              <w:spacing w:after="0" w:line="240" w:lineRule="auto"/>
              <w:rPr>
                <w:rFonts w:ascii="Calibri" w:eastAsia="Times New Roman" w:hAnsi="Calibri" w:cs="Arial"/>
                <w:sz w:val="20"/>
                <w:szCs w:val="20"/>
                <w:lang w:eastAsia="cs-CZ"/>
              </w:rPr>
            </w:pPr>
            <w:r w:rsidRPr="0013179B">
              <w:rPr>
                <w:rFonts w:ascii="Calibri" w:eastAsia="Times New Roman" w:hAnsi="Calibri" w:cs="Arial"/>
                <w:sz w:val="20"/>
                <w:szCs w:val="20"/>
                <w:lang w:eastAsia="cs-CZ"/>
              </w:rPr>
              <w:t>Ostatní nemocnice</w:t>
            </w:r>
          </w:p>
        </w:tc>
        <w:tc>
          <w:tcPr>
            <w:tcW w:w="1432" w:type="dxa"/>
            <w:tcBorders>
              <w:top w:val="nil"/>
              <w:left w:val="nil"/>
              <w:bottom w:val="nil"/>
              <w:right w:val="single" w:sz="4" w:space="0" w:color="auto"/>
            </w:tcBorders>
            <w:shd w:val="clear" w:color="auto" w:fill="auto"/>
            <w:noWrap/>
            <w:vAlign w:val="bottom"/>
            <w:hideMark/>
          </w:tcPr>
          <w:p w14:paraId="2ADAE939"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0</w:t>
            </w:r>
          </w:p>
        </w:tc>
        <w:tc>
          <w:tcPr>
            <w:tcW w:w="1702" w:type="dxa"/>
            <w:tcBorders>
              <w:top w:val="nil"/>
              <w:left w:val="nil"/>
              <w:bottom w:val="nil"/>
              <w:right w:val="single" w:sz="4" w:space="0" w:color="auto"/>
            </w:tcBorders>
            <w:shd w:val="clear" w:color="auto" w:fill="auto"/>
            <w:noWrap/>
            <w:vAlign w:val="bottom"/>
            <w:hideMark/>
          </w:tcPr>
          <w:p w14:paraId="2B31E86E"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25 790 452,60</w:t>
            </w:r>
          </w:p>
        </w:tc>
        <w:tc>
          <w:tcPr>
            <w:tcW w:w="1701" w:type="dxa"/>
            <w:tcBorders>
              <w:top w:val="nil"/>
              <w:left w:val="nil"/>
              <w:bottom w:val="nil"/>
              <w:right w:val="single" w:sz="4" w:space="0" w:color="auto"/>
            </w:tcBorders>
            <w:shd w:val="clear" w:color="auto" w:fill="auto"/>
            <w:noWrap/>
            <w:vAlign w:val="bottom"/>
            <w:hideMark/>
          </w:tcPr>
          <w:p w14:paraId="34AE8AB2"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25 732 802,60</w:t>
            </w:r>
          </w:p>
        </w:tc>
        <w:tc>
          <w:tcPr>
            <w:tcW w:w="709" w:type="dxa"/>
            <w:tcBorders>
              <w:top w:val="nil"/>
              <w:left w:val="nil"/>
              <w:bottom w:val="single" w:sz="4" w:space="0" w:color="auto"/>
              <w:right w:val="single" w:sz="8" w:space="0" w:color="auto"/>
            </w:tcBorders>
            <w:shd w:val="clear" w:color="auto" w:fill="auto"/>
            <w:noWrap/>
            <w:vAlign w:val="bottom"/>
            <w:hideMark/>
          </w:tcPr>
          <w:p w14:paraId="270B9420"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99,8</w:t>
            </w:r>
          </w:p>
        </w:tc>
      </w:tr>
      <w:tr w:rsidR="0013179B" w:rsidRPr="0013179B" w14:paraId="1693B2D4" w14:textId="77777777" w:rsidTr="0013179B">
        <w:trPr>
          <w:trHeight w:val="320"/>
        </w:trPr>
        <w:tc>
          <w:tcPr>
            <w:tcW w:w="967"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2BD194E6" w14:textId="77777777" w:rsidR="0013179B" w:rsidRPr="0013179B" w:rsidRDefault="0013179B" w:rsidP="0013179B">
            <w:pPr>
              <w:spacing w:after="0" w:line="240" w:lineRule="auto"/>
              <w:jc w:val="center"/>
              <w:rPr>
                <w:rFonts w:ascii="Calibri" w:eastAsia="Times New Roman" w:hAnsi="Calibri" w:cs="Arial"/>
                <w:sz w:val="20"/>
                <w:szCs w:val="20"/>
                <w:lang w:eastAsia="cs-CZ"/>
              </w:rPr>
            </w:pPr>
            <w:r w:rsidRPr="0013179B">
              <w:rPr>
                <w:rFonts w:ascii="Calibri" w:eastAsia="Times New Roman" w:hAnsi="Calibri" w:cs="Arial"/>
                <w:sz w:val="20"/>
                <w:szCs w:val="20"/>
                <w:lang w:eastAsia="cs-CZ"/>
              </w:rPr>
              <w:t>3529</w:t>
            </w:r>
          </w:p>
        </w:tc>
        <w:tc>
          <w:tcPr>
            <w:tcW w:w="3554" w:type="dxa"/>
            <w:tcBorders>
              <w:top w:val="single" w:sz="4" w:space="0" w:color="auto"/>
              <w:left w:val="nil"/>
              <w:bottom w:val="single" w:sz="4" w:space="0" w:color="auto"/>
              <w:right w:val="single" w:sz="4" w:space="0" w:color="auto"/>
            </w:tcBorders>
            <w:shd w:val="clear" w:color="auto" w:fill="auto"/>
            <w:noWrap/>
            <w:vAlign w:val="bottom"/>
            <w:hideMark/>
          </w:tcPr>
          <w:p w14:paraId="224A16F9" w14:textId="77777777" w:rsidR="0013179B" w:rsidRPr="0013179B" w:rsidRDefault="0013179B" w:rsidP="0013179B">
            <w:pPr>
              <w:spacing w:after="0" w:line="240" w:lineRule="auto"/>
              <w:rPr>
                <w:rFonts w:ascii="Calibri" w:eastAsia="Times New Roman" w:hAnsi="Calibri" w:cs="Arial"/>
                <w:sz w:val="20"/>
                <w:szCs w:val="20"/>
                <w:lang w:eastAsia="cs-CZ"/>
              </w:rPr>
            </w:pPr>
            <w:r w:rsidRPr="0013179B">
              <w:rPr>
                <w:rFonts w:ascii="Calibri" w:eastAsia="Times New Roman" w:hAnsi="Calibri" w:cs="Arial"/>
                <w:sz w:val="20"/>
                <w:szCs w:val="20"/>
                <w:lang w:eastAsia="cs-CZ"/>
              </w:rPr>
              <w:t>Ostatní ústavní péče</w:t>
            </w:r>
          </w:p>
        </w:tc>
        <w:tc>
          <w:tcPr>
            <w:tcW w:w="1432" w:type="dxa"/>
            <w:tcBorders>
              <w:top w:val="single" w:sz="4" w:space="0" w:color="auto"/>
              <w:left w:val="nil"/>
              <w:bottom w:val="single" w:sz="4" w:space="0" w:color="auto"/>
              <w:right w:val="single" w:sz="4" w:space="0" w:color="auto"/>
            </w:tcBorders>
            <w:shd w:val="clear" w:color="auto" w:fill="auto"/>
            <w:noWrap/>
            <w:vAlign w:val="bottom"/>
            <w:hideMark/>
          </w:tcPr>
          <w:p w14:paraId="0F6009A7"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0</w:t>
            </w:r>
          </w:p>
        </w:tc>
        <w:tc>
          <w:tcPr>
            <w:tcW w:w="1702" w:type="dxa"/>
            <w:tcBorders>
              <w:top w:val="single" w:sz="4" w:space="0" w:color="auto"/>
              <w:left w:val="nil"/>
              <w:bottom w:val="single" w:sz="4" w:space="0" w:color="auto"/>
              <w:right w:val="single" w:sz="4" w:space="0" w:color="auto"/>
            </w:tcBorders>
            <w:shd w:val="clear" w:color="auto" w:fill="auto"/>
            <w:noWrap/>
            <w:vAlign w:val="bottom"/>
            <w:hideMark/>
          </w:tcPr>
          <w:p w14:paraId="725F122C"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297 000,00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44491F44"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248 976,15</w:t>
            </w:r>
          </w:p>
        </w:tc>
        <w:tc>
          <w:tcPr>
            <w:tcW w:w="709" w:type="dxa"/>
            <w:tcBorders>
              <w:top w:val="nil"/>
              <w:left w:val="nil"/>
              <w:bottom w:val="single" w:sz="4" w:space="0" w:color="auto"/>
              <w:right w:val="single" w:sz="8" w:space="0" w:color="auto"/>
            </w:tcBorders>
            <w:shd w:val="clear" w:color="auto" w:fill="auto"/>
            <w:noWrap/>
            <w:vAlign w:val="bottom"/>
            <w:hideMark/>
          </w:tcPr>
          <w:p w14:paraId="44414227"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83,8</w:t>
            </w:r>
          </w:p>
        </w:tc>
      </w:tr>
      <w:tr w:rsidR="0013179B" w:rsidRPr="0013179B" w14:paraId="47B45F92" w14:textId="77777777" w:rsidTr="0013179B">
        <w:trPr>
          <w:trHeight w:val="320"/>
        </w:trPr>
        <w:tc>
          <w:tcPr>
            <w:tcW w:w="967" w:type="dxa"/>
            <w:tcBorders>
              <w:top w:val="nil"/>
              <w:left w:val="single" w:sz="8" w:space="0" w:color="auto"/>
              <w:bottom w:val="nil"/>
              <w:right w:val="single" w:sz="4" w:space="0" w:color="auto"/>
            </w:tcBorders>
            <w:shd w:val="clear" w:color="auto" w:fill="auto"/>
            <w:noWrap/>
            <w:vAlign w:val="bottom"/>
            <w:hideMark/>
          </w:tcPr>
          <w:p w14:paraId="3B402EA1" w14:textId="77777777" w:rsidR="0013179B" w:rsidRPr="0013179B" w:rsidRDefault="0013179B" w:rsidP="0013179B">
            <w:pPr>
              <w:spacing w:after="0" w:line="240" w:lineRule="auto"/>
              <w:jc w:val="center"/>
              <w:rPr>
                <w:rFonts w:ascii="Calibri" w:eastAsia="Times New Roman" w:hAnsi="Calibri" w:cs="Arial"/>
                <w:sz w:val="20"/>
                <w:szCs w:val="20"/>
                <w:lang w:eastAsia="cs-CZ"/>
              </w:rPr>
            </w:pPr>
            <w:r w:rsidRPr="0013179B">
              <w:rPr>
                <w:rFonts w:ascii="Calibri" w:eastAsia="Times New Roman" w:hAnsi="Calibri" w:cs="Arial"/>
                <w:sz w:val="20"/>
                <w:szCs w:val="20"/>
                <w:lang w:eastAsia="cs-CZ"/>
              </w:rPr>
              <w:t>3533</w:t>
            </w:r>
          </w:p>
        </w:tc>
        <w:tc>
          <w:tcPr>
            <w:tcW w:w="3554" w:type="dxa"/>
            <w:tcBorders>
              <w:top w:val="nil"/>
              <w:left w:val="nil"/>
              <w:bottom w:val="nil"/>
              <w:right w:val="single" w:sz="4" w:space="0" w:color="auto"/>
            </w:tcBorders>
            <w:shd w:val="clear" w:color="auto" w:fill="auto"/>
            <w:noWrap/>
            <w:vAlign w:val="bottom"/>
            <w:hideMark/>
          </w:tcPr>
          <w:p w14:paraId="2849B87F" w14:textId="77777777" w:rsidR="0013179B" w:rsidRPr="0013179B" w:rsidRDefault="0013179B" w:rsidP="0013179B">
            <w:pPr>
              <w:spacing w:after="0" w:line="240" w:lineRule="auto"/>
              <w:rPr>
                <w:rFonts w:ascii="Calibri" w:eastAsia="Times New Roman" w:hAnsi="Calibri" w:cs="Arial"/>
                <w:sz w:val="20"/>
                <w:szCs w:val="20"/>
                <w:lang w:eastAsia="cs-CZ"/>
              </w:rPr>
            </w:pPr>
            <w:r w:rsidRPr="0013179B">
              <w:rPr>
                <w:rFonts w:ascii="Calibri" w:eastAsia="Times New Roman" w:hAnsi="Calibri" w:cs="Arial"/>
                <w:sz w:val="20"/>
                <w:szCs w:val="20"/>
                <w:lang w:eastAsia="cs-CZ"/>
              </w:rPr>
              <w:t>Zdravotnická záchranná služba</w:t>
            </w:r>
          </w:p>
        </w:tc>
        <w:tc>
          <w:tcPr>
            <w:tcW w:w="1432" w:type="dxa"/>
            <w:tcBorders>
              <w:top w:val="nil"/>
              <w:left w:val="nil"/>
              <w:bottom w:val="nil"/>
              <w:right w:val="single" w:sz="4" w:space="0" w:color="auto"/>
            </w:tcBorders>
            <w:shd w:val="clear" w:color="auto" w:fill="auto"/>
            <w:noWrap/>
            <w:vAlign w:val="bottom"/>
            <w:hideMark/>
          </w:tcPr>
          <w:p w14:paraId="2F37AA18"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0</w:t>
            </w:r>
          </w:p>
        </w:tc>
        <w:tc>
          <w:tcPr>
            <w:tcW w:w="1702" w:type="dxa"/>
            <w:tcBorders>
              <w:top w:val="nil"/>
              <w:left w:val="nil"/>
              <w:bottom w:val="nil"/>
              <w:right w:val="single" w:sz="4" w:space="0" w:color="auto"/>
            </w:tcBorders>
            <w:shd w:val="clear" w:color="auto" w:fill="auto"/>
            <w:noWrap/>
            <w:vAlign w:val="bottom"/>
            <w:hideMark/>
          </w:tcPr>
          <w:p w14:paraId="058518EA"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7 300 000,00</w:t>
            </w:r>
          </w:p>
        </w:tc>
        <w:tc>
          <w:tcPr>
            <w:tcW w:w="1701" w:type="dxa"/>
            <w:tcBorders>
              <w:top w:val="nil"/>
              <w:left w:val="nil"/>
              <w:bottom w:val="nil"/>
              <w:right w:val="single" w:sz="4" w:space="0" w:color="auto"/>
            </w:tcBorders>
            <w:shd w:val="clear" w:color="auto" w:fill="auto"/>
            <w:noWrap/>
            <w:vAlign w:val="bottom"/>
            <w:hideMark/>
          </w:tcPr>
          <w:p w14:paraId="5E197357"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283 503,00</w:t>
            </w:r>
          </w:p>
        </w:tc>
        <w:tc>
          <w:tcPr>
            <w:tcW w:w="709" w:type="dxa"/>
            <w:tcBorders>
              <w:top w:val="nil"/>
              <w:left w:val="nil"/>
              <w:bottom w:val="single" w:sz="8" w:space="0" w:color="auto"/>
              <w:right w:val="single" w:sz="8" w:space="0" w:color="auto"/>
            </w:tcBorders>
            <w:shd w:val="clear" w:color="auto" w:fill="auto"/>
            <w:noWrap/>
            <w:vAlign w:val="bottom"/>
            <w:hideMark/>
          </w:tcPr>
          <w:p w14:paraId="116AC280"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3,9</w:t>
            </w:r>
          </w:p>
        </w:tc>
      </w:tr>
      <w:tr w:rsidR="0013179B" w:rsidRPr="0013179B" w14:paraId="07FB72CC" w14:textId="77777777" w:rsidTr="0013179B">
        <w:trPr>
          <w:trHeight w:val="320"/>
        </w:trPr>
        <w:tc>
          <w:tcPr>
            <w:tcW w:w="967"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6DC35148" w14:textId="77777777" w:rsidR="0013179B" w:rsidRPr="0013179B" w:rsidRDefault="0013179B" w:rsidP="0013179B">
            <w:pPr>
              <w:spacing w:after="0" w:line="240" w:lineRule="auto"/>
              <w:jc w:val="center"/>
              <w:rPr>
                <w:rFonts w:ascii="Calibri" w:eastAsia="Times New Roman" w:hAnsi="Calibri" w:cs="Arial"/>
                <w:lang w:eastAsia="cs-CZ"/>
              </w:rPr>
            </w:pPr>
            <w:r w:rsidRPr="0013179B">
              <w:rPr>
                <w:rFonts w:ascii="Calibri" w:eastAsia="Times New Roman" w:hAnsi="Calibri" w:cs="Arial"/>
                <w:lang w:eastAsia="cs-CZ"/>
              </w:rPr>
              <w:t> </w:t>
            </w:r>
          </w:p>
        </w:tc>
        <w:tc>
          <w:tcPr>
            <w:tcW w:w="3554" w:type="dxa"/>
            <w:tcBorders>
              <w:top w:val="single" w:sz="8" w:space="0" w:color="auto"/>
              <w:left w:val="nil"/>
              <w:bottom w:val="single" w:sz="8" w:space="0" w:color="auto"/>
              <w:right w:val="single" w:sz="4" w:space="0" w:color="auto"/>
            </w:tcBorders>
            <w:shd w:val="clear" w:color="auto" w:fill="auto"/>
            <w:noWrap/>
            <w:vAlign w:val="bottom"/>
            <w:hideMark/>
          </w:tcPr>
          <w:p w14:paraId="791230E9" w14:textId="77777777" w:rsidR="0013179B" w:rsidRPr="0013179B" w:rsidRDefault="0013179B" w:rsidP="0013179B">
            <w:pPr>
              <w:spacing w:after="0" w:line="240" w:lineRule="auto"/>
              <w:rPr>
                <w:rFonts w:ascii="Calibri" w:eastAsia="Times New Roman" w:hAnsi="Calibri" w:cs="Arial"/>
                <w:b/>
                <w:bCs/>
                <w:lang w:eastAsia="cs-CZ"/>
              </w:rPr>
            </w:pPr>
            <w:r w:rsidRPr="0013179B">
              <w:rPr>
                <w:rFonts w:ascii="Calibri" w:eastAsia="Times New Roman" w:hAnsi="Calibri" w:cs="Arial"/>
                <w:b/>
                <w:bCs/>
                <w:lang w:eastAsia="cs-CZ"/>
              </w:rPr>
              <w:t>Celkem</w:t>
            </w:r>
          </w:p>
        </w:tc>
        <w:tc>
          <w:tcPr>
            <w:tcW w:w="1432" w:type="dxa"/>
            <w:tcBorders>
              <w:top w:val="single" w:sz="8" w:space="0" w:color="auto"/>
              <w:left w:val="nil"/>
              <w:bottom w:val="single" w:sz="8" w:space="0" w:color="auto"/>
              <w:right w:val="single" w:sz="4" w:space="0" w:color="auto"/>
            </w:tcBorders>
            <w:shd w:val="clear" w:color="auto" w:fill="auto"/>
            <w:noWrap/>
            <w:vAlign w:val="bottom"/>
            <w:hideMark/>
          </w:tcPr>
          <w:p w14:paraId="49EB614A" w14:textId="77777777" w:rsidR="0013179B" w:rsidRPr="0013179B" w:rsidRDefault="0013179B" w:rsidP="0013179B">
            <w:pPr>
              <w:spacing w:after="0" w:line="240" w:lineRule="auto"/>
              <w:jc w:val="right"/>
              <w:rPr>
                <w:rFonts w:ascii="Calibri" w:eastAsia="Times New Roman" w:hAnsi="Calibri" w:cs="Arial"/>
                <w:b/>
                <w:bCs/>
                <w:lang w:eastAsia="cs-CZ"/>
              </w:rPr>
            </w:pPr>
            <w:r w:rsidRPr="0013179B">
              <w:rPr>
                <w:rFonts w:ascii="Calibri" w:eastAsia="Times New Roman" w:hAnsi="Calibri" w:cs="Arial"/>
                <w:b/>
                <w:bCs/>
                <w:lang w:eastAsia="cs-CZ"/>
              </w:rPr>
              <w:t>0</w:t>
            </w:r>
          </w:p>
        </w:tc>
        <w:tc>
          <w:tcPr>
            <w:tcW w:w="1702" w:type="dxa"/>
            <w:tcBorders>
              <w:top w:val="single" w:sz="8" w:space="0" w:color="auto"/>
              <w:left w:val="nil"/>
              <w:bottom w:val="single" w:sz="8" w:space="0" w:color="auto"/>
              <w:right w:val="single" w:sz="4" w:space="0" w:color="auto"/>
            </w:tcBorders>
            <w:shd w:val="clear" w:color="auto" w:fill="auto"/>
            <w:noWrap/>
            <w:vAlign w:val="bottom"/>
            <w:hideMark/>
          </w:tcPr>
          <w:p w14:paraId="66003D74" w14:textId="77777777" w:rsidR="0013179B" w:rsidRPr="0013179B" w:rsidRDefault="0013179B" w:rsidP="0013179B">
            <w:pPr>
              <w:spacing w:after="0" w:line="240" w:lineRule="auto"/>
              <w:jc w:val="right"/>
              <w:rPr>
                <w:rFonts w:ascii="Calibri" w:eastAsia="Times New Roman" w:hAnsi="Calibri" w:cs="Arial"/>
                <w:b/>
                <w:bCs/>
                <w:lang w:eastAsia="cs-CZ"/>
              </w:rPr>
            </w:pPr>
            <w:r w:rsidRPr="0013179B">
              <w:rPr>
                <w:rFonts w:ascii="Calibri" w:eastAsia="Times New Roman" w:hAnsi="Calibri" w:cs="Arial"/>
                <w:b/>
                <w:bCs/>
                <w:lang w:eastAsia="cs-CZ"/>
              </w:rPr>
              <w:t>34 294 952,60</w:t>
            </w:r>
          </w:p>
        </w:tc>
        <w:tc>
          <w:tcPr>
            <w:tcW w:w="1701" w:type="dxa"/>
            <w:tcBorders>
              <w:top w:val="single" w:sz="8" w:space="0" w:color="auto"/>
              <w:left w:val="nil"/>
              <w:bottom w:val="single" w:sz="8" w:space="0" w:color="auto"/>
              <w:right w:val="single" w:sz="4" w:space="0" w:color="auto"/>
            </w:tcBorders>
            <w:shd w:val="clear" w:color="auto" w:fill="auto"/>
            <w:noWrap/>
            <w:vAlign w:val="bottom"/>
            <w:hideMark/>
          </w:tcPr>
          <w:p w14:paraId="324288B9" w14:textId="77777777" w:rsidR="0013179B" w:rsidRPr="0013179B" w:rsidRDefault="0013179B" w:rsidP="0013179B">
            <w:pPr>
              <w:spacing w:after="0" w:line="240" w:lineRule="auto"/>
              <w:jc w:val="right"/>
              <w:rPr>
                <w:rFonts w:ascii="Calibri" w:eastAsia="Times New Roman" w:hAnsi="Calibri" w:cs="Arial"/>
                <w:b/>
                <w:bCs/>
                <w:lang w:eastAsia="cs-CZ"/>
              </w:rPr>
            </w:pPr>
            <w:r w:rsidRPr="0013179B">
              <w:rPr>
                <w:rFonts w:ascii="Calibri" w:eastAsia="Times New Roman" w:hAnsi="Calibri" w:cs="Arial"/>
                <w:b/>
                <w:bCs/>
                <w:lang w:eastAsia="cs-CZ"/>
              </w:rPr>
              <w:t>26 265 281,75</w:t>
            </w:r>
          </w:p>
        </w:tc>
        <w:tc>
          <w:tcPr>
            <w:tcW w:w="709" w:type="dxa"/>
            <w:tcBorders>
              <w:top w:val="nil"/>
              <w:left w:val="nil"/>
              <w:bottom w:val="single" w:sz="8" w:space="0" w:color="auto"/>
              <w:right w:val="single" w:sz="8" w:space="0" w:color="auto"/>
            </w:tcBorders>
            <w:shd w:val="clear" w:color="auto" w:fill="auto"/>
            <w:noWrap/>
            <w:vAlign w:val="bottom"/>
            <w:hideMark/>
          </w:tcPr>
          <w:p w14:paraId="3D83E52B" w14:textId="77777777" w:rsidR="0013179B" w:rsidRPr="0013179B" w:rsidRDefault="0013179B" w:rsidP="0013179B">
            <w:pPr>
              <w:spacing w:after="0" w:line="240" w:lineRule="auto"/>
              <w:jc w:val="right"/>
              <w:rPr>
                <w:rFonts w:ascii="Calibri" w:eastAsia="Times New Roman" w:hAnsi="Calibri" w:cs="Arial"/>
                <w:b/>
                <w:bCs/>
                <w:lang w:eastAsia="cs-CZ"/>
              </w:rPr>
            </w:pPr>
            <w:r w:rsidRPr="0013179B">
              <w:rPr>
                <w:rFonts w:ascii="Calibri" w:eastAsia="Times New Roman" w:hAnsi="Calibri" w:cs="Arial"/>
                <w:b/>
                <w:bCs/>
                <w:lang w:eastAsia="cs-CZ"/>
              </w:rPr>
              <w:t>76,6</w:t>
            </w:r>
          </w:p>
        </w:tc>
      </w:tr>
      <w:tr w:rsidR="0013179B" w:rsidRPr="0013179B" w14:paraId="47A07DCA" w14:textId="77777777" w:rsidTr="0013179B">
        <w:trPr>
          <w:trHeight w:val="300"/>
        </w:trPr>
        <w:tc>
          <w:tcPr>
            <w:tcW w:w="967" w:type="dxa"/>
            <w:tcBorders>
              <w:top w:val="nil"/>
              <w:left w:val="nil"/>
              <w:bottom w:val="nil"/>
              <w:right w:val="nil"/>
            </w:tcBorders>
            <w:shd w:val="clear" w:color="auto" w:fill="auto"/>
            <w:noWrap/>
            <w:vAlign w:val="bottom"/>
            <w:hideMark/>
          </w:tcPr>
          <w:p w14:paraId="546FBD39" w14:textId="77777777" w:rsidR="0013179B" w:rsidRPr="0013179B" w:rsidRDefault="0013179B" w:rsidP="0013179B">
            <w:pPr>
              <w:spacing w:after="0" w:line="240" w:lineRule="auto"/>
              <w:jc w:val="right"/>
              <w:rPr>
                <w:rFonts w:ascii="Calibri" w:eastAsia="Times New Roman" w:hAnsi="Calibri" w:cs="Arial"/>
                <w:b/>
                <w:bCs/>
                <w:lang w:eastAsia="cs-CZ"/>
              </w:rPr>
            </w:pPr>
          </w:p>
        </w:tc>
        <w:tc>
          <w:tcPr>
            <w:tcW w:w="3554" w:type="dxa"/>
            <w:tcBorders>
              <w:top w:val="nil"/>
              <w:left w:val="nil"/>
              <w:bottom w:val="nil"/>
              <w:right w:val="nil"/>
            </w:tcBorders>
            <w:shd w:val="clear" w:color="auto" w:fill="auto"/>
            <w:noWrap/>
            <w:vAlign w:val="bottom"/>
            <w:hideMark/>
          </w:tcPr>
          <w:p w14:paraId="5DBB07A0" w14:textId="77777777" w:rsidR="0013179B" w:rsidRPr="0013179B" w:rsidRDefault="0013179B" w:rsidP="0013179B">
            <w:pPr>
              <w:spacing w:after="0" w:line="240" w:lineRule="auto"/>
              <w:rPr>
                <w:rFonts w:ascii="Times New Roman" w:eastAsia="Times New Roman" w:hAnsi="Times New Roman" w:cs="Times New Roman"/>
                <w:sz w:val="20"/>
                <w:szCs w:val="20"/>
                <w:lang w:eastAsia="cs-CZ"/>
              </w:rPr>
            </w:pPr>
          </w:p>
        </w:tc>
        <w:tc>
          <w:tcPr>
            <w:tcW w:w="1432" w:type="dxa"/>
            <w:tcBorders>
              <w:top w:val="nil"/>
              <w:left w:val="nil"/>
              <w:bottom w:val="nil"/>
              <w:right w:val="nil"/>
            </w:tcBorders>
            <w:shd w:val="clear" w:color="auto" w:fill="auto"/>
            <w:noWrap/>
            <w:vAlign w:val="bottom"/>
            <w:hideMark/>
          </w:tcPr>
          <w:p w14:paraId="6B206FBF" w14:textId="77777777" w:rsidR="0013179B" w:rsidRPr="0013179B" w:rsidRDefault="0013179B" w:rsidP="0013179B">
            <w:pPr>
              <w:spacing w:after="0" w:line="240" w:lineRule="auto"/>
              <w:rPr>
                <w:rFonts w:ascii="Times New Roman" w:eastAsia="Times New Roman" w:hAnsi="Times New Roman" w:cs="Times New Roman"/>
                <w:sz w:val="20"/>
                <w:szCs w:val="20"/>
                <w:lang w:eastAsia="cs-CZ"/>
              </w:rPr>
            </w:pPr>
          </w:p>
        </w:tc>
        <w:tc>
          <w:tcPr>
            <w:tcW w:w="1702" w:type="dxa"/>
            <w:tcBorders>
              <w:top w:val="nil"/>
              <w:left w:val="nil"/>
              <w:bottom w:val="nil"/>
              <w:right w:val="nil"/>
            </w:tcBorders>
            <w:shd w:val="clear" w:color="auto" w:fill="auto"/>
            <w:noWrap/>
            <w:vAlign w:val="bottom"/>
            <w:hideMark/>
          </w:tcPr>
          <w:p w14:paraId="566BDE6F" w14:textId="77777777" w:rsidR="0013179B" w:rsidRPr="0013179B" w:rsidRDefault="0013179B" w:rsidP="0013179B">
            <w:pPr>
              <w:spacing w:after="0" w:line="240" w:lineRule="auto"/>
              <w:jc w:val="right"/>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03411F78" w14:textId="77777777" w:rsidR="0013179B" w:rsidRPr="0013179B" w:rsidRDefault="0013179B" w:rsidP="0013179B">
            <w:pPr>
              <w:spacing w:after="0" w:line="240" w:lineRule="auto"/>
              <w:jc w:val="right"/>
              <w:rPr>
                <w:rFonts w:ascii="Times New Roman" w:eastAsia="Times New Roman" w:hAnsi="Times New Roman" w:cs="Times New Roman"/>
                <w:sz w:val="20"/>
                <w:szCs w:val="20"/>
                <w:lang w:eastAsia="cs-CZ"/>
              </w:rPr>
            </w:pPr>
          </w:p>
        </w:tc>
        <w:tc>
          <w:tcPr>
            <w:tcW w:w="709" w:type="dxa"/>
            <w:tcBorders>
              <w:top w:val="nil"/>
              <w:left w:val="nil"/>
              <w:bottom w:val="nil"/>
              <w:right w:val="nil"/>
            </w:tcBorders>
            <w:shd w:val="clear" w:color="auto" w:fill="auto"/>
            <w:noWrap/>
            <w:vAlign w:val="bottom"/>
            <w:hideMark/>
          </w:tcPr>
          <w:p w14:paraId="7460FB95" w14:textId="77777777" w:rsidR="0013179B" w:rsidRPr="0013179B" w:rsidRDefault="0013179B" w:rsidP="0013179B">
            <w:pPr>
              <w:spacing w:after="0" w:line="240" w:lineRule="auto"/>
              <w:jc w:val="right"/>
              <w:rPr>
                <w:rFonts w:ascii="Times New Roman" w:eastAsia="Times New Roman" w:hAnsi="Times New Roman" w:cs="Times New Roman"/>
                <w:sz w:val="20"/>
                <w:szCs w:val="20"/>
                <w:lang w:eastAsia="cs-CZ"/>
              </w:rPr>
            </w:pPr>
          </w:p>
        </w:tc>
      </w:tr>
      <w:tr w:rsidR="0013179B" w:rsidRPr="0013179B" w14:paraId="7EBE5039" w14:textId="77777777" w:rsidTr="0013179B">
        <w:trPr>
          <w:trHeight w:val="360"/>
        </w:trPr>
        <w:tc>
          <w:tcPr>
            <w:tcW w:w="967" w:type="dxa"/>
            <w:tcBorders>
              <w:top w:val="nil"/>
              <w:left w:val="nil"/>
              <w:bottom w:val="nil"/>
              <w:right w:val="nil"/>
            </w:tcBorders>
            <w:shd w:val="clear" w:color="auto" w:fill="auto"/>
            <w:noWrap/>
            <w:vAlign w:val="bottom"/>
            <w:hideMark/>
          </w:tcPr>
          <w:p w14:paraId="7306861F" w14:textId="77777777" w:rsidR="0013179B" w:rsidRPr="0013179B" w:rsidRDefault="0013179B" w:rsidP="0013179B">
            <w:pPr>
              <w:spacing w:after="0" w:line="240" w:lineRule="auto"/>
              <w:rPr>
                <w:rFonts w:ascii="Times New Roman" w:eastAsia="Times New Roman" w:hAnsi="Times New Roman" w:cs="Times New Roman"/>
                <w:sz w:val="20"/>
                <w:szCs w:val="20"/>
                <w:lang w:eastAsia="cs-CZ"/>
              </w:rPr>
            </w:pPr>
          </w:p>
        </w:tc>
        <w:tc>
          <w:tcPr>
            <w:tcW w:w="3554" w:type="dxa"/>
            <w:tcBorders>
              <w:top w:val="nil"/>
              <w:left w:val="nil"/>
              <w:bottom w:val="nil"/>
              <w:right w:val="nil"/>
            </w:tcBorders>
            <w:shd w:val="clear" w:color="auto" w:fill="auto"/>
            <w:noWrap/>
            <w:vAlign w:val="bottom"/>
            <w:hideMark/>
          </w:tcPr>
          <w:p w14:paraId="5C544800" w14:textId="77777777" w:rsidR="0013179B" w:rsidRPr="0013179B" w:rsidRDefault="0013179B" w:rsidP="0013179B">
            <w:pPr>
              <w:spacing w:after="0" w:line="240" w:lineRule="auto"/>
              <w:rPr>
                <w:rFonts w:ascii="Calibri" w:eastAsia="Times New Roman" w:hAnsi="Calibri" w:cs="Arial"/>
                <w:b/>
                <w:bCs/>
                <w:lang w:eastAsia="cs-CZ"/>
              </w:rPr>
            </w:pPr>
            <w:r w:rsidRPr="0013179B">
              <w:rPr>
                <w:rFonts w:ascii="Calibri" w:eastAsia="Times New Roman" w:hAnsi="Calibri" w:cs="Arial"/>
                <w:b/>
                <w:bCs/>
                <w:lang w:eastAsia="cs-CZ"/>
              </w:rPr>
              <w:t>Dluhová služba za úvěr nemocnic</w:t>
            </w:r>
          </w:p>
        </w:tc>
        <w:tc>
          <w:tcPr>
            <w:tcW w:w="1432" w:type="dxa"/>
            <w:tcBorders>
              <w:top w:val="nil"/>
              <w:left w:val="nil"/>
              <w:bottom w:val="nil"/>
              <w:right w:val="nil"/>
            </w:tcBorders>
            <w:shd w:val="clear" w:color="auto" w:fill="auto"/>
            <w:noWrap/>
            <w:vAlign w:val="bottom"/>
            <w:hideMark/>
          </w:tcPr>
          <w:p w14:paraId="285B01D7" w14:textId="77777777" w:rsidR="0013179B" w:rsidRPr="0013179B" w:rsidRDefault="0013179B" w:rsidP="0013179B">
            <w:pPr>
              <w:spacing w:after="0" w:line="240" w:lineRule="auto"/>
              <w:rPr>
                <w:rFonts w:ascii="Calibri" w:eastAsia="Times New Roman" w:hAnsi="Calibri" w:cs="Arial"/>
                <w:b/>
                <w:bCs/>
                <w:lang w:eastAsia="cs-CZ"/>
              </w:rPr>
            </w:pPr>
          </w:p>
        </w:tc>
        <w:tc>
          <w:tcPr>
            <w:tcW w:w="1702" w:type="dxa"/>
            <w:tcBorders>
              <w:top w:val="nil"/>
              <w:left w:val="nil"/>
              <w:bottom w:val="nil"/>
              <w:right w:val="nil"/>
            </w:tcBorders>
            <w:shd w:val="clear" w:color="auto" w:fill="auto"/>
            <w:noWrap/>
            <w:vAlign w:val="bottom"/>
            <w:hideMark/>
          </w:tcPr>
          <w:p w14:paraId="466266C7" w14:textId="77777777" w:rsidR="0013179B" w:rsidRPr="0013179B" w:rsidRDefault="0013179B" w:rsidP="0013179B">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480DB9AF" w14:textId="77777777" w:rsidR="0013179B" w:rsidRPr="0013179B" w:rsidRDefault="0013179B" w:rsidP="0013179B">
            <w:pPr>
              <w:spacing w:after="0" w:line="240" w:lineRule="auto"/>
              <w:rPr>
                <w:rFonts w:ascii="Times New Roman" w:eastAsia="Times New Roman" w:hAnsi="Times New Roman" w:cs="Times New Roman"/>
                <w:sz w:val="20"/>
                <w:szCs w:val="20"/>
                <w:lang w:eastAsia="cs-CZ"/>
              </w:rPr>
            </w:pPr>
          </w:p>
        </w:tc>
        <w:tc>
          <w:tcPr>
            <w:tcW w:w="709" w:type="dxa"/>
            <w:tcBorders>
              <w:top w:val="nil"/>
              <w:left w:val="nil"/>
              <w:bottom w:val="nil"/>
              <w:right w:val="nil"/>
            </w:tcBorders>
            <w:shd w:val="clear" w:color="auto" w:fill="auto"/>
            <w:noWrap/>
            <w:vAlign w:val="bottom"/>
            <w:hideMark/>
          </w:tcPr>
          <w:p w14:paraId="51993CCC" w14:textId="77777777" w:rsidR="0013179B" w:rsidRPr="0013179B" w:rsidRDefault="0013179B" w:rsidP="0013179B">
            <w:pPr>
              <w:spacing w:after="0" w:line="240" w:lineRule="auto"/>
              <w:rPr>
                <w:rFonts w:ascii="Times New Roman" w:eastAsia="Times New Roman" w:hAnsi="Times New Roman" w:cs="Times New Roman"/>
                <w:sz w:val="20"/>
                <w:szCs w:val="20"/>
                <w:lang w:eastAsia="cs-CZ"/>
              </w:rPr>
            </w:pPr>
          </w:p>
        </w:tc>
      </w:tr>
      <w:tr w:rsidR="0013179B" w:rsidRPr="0013179B" w14:paraId="67F2223C" w14:textId="77777777" w:rsidTr="0013179B">
        <w:trPr>
          <w:trHeight w:val="320"/>
        </w:trPr>
        <w:tc>
          <w:tcPr>
            <w:tcW w:w="967"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6188D0C" w14:textId="77777777" w:rsidR="0013179B" w:rsidRPr="0013179B" w:rsidRDefault="0013179B" w:rsidP="0013179B">
            <w:pPr>
              <w:spacing w:after="0" w:line="240" w:lineRule="auto"/>
              <w:jc w:val="center"/>
              <w:rPr>
                <w:rFonts w:ascii="Calibri" w:eastAsia="Times New Roman" w:hAnsi="Calibri" w:cs="Arial"/>
                <w:sz w:val="20"/>
                <w:szCs w:val="20"/>
                <w:lang w:eastAsia="cs-CZ"/>
              </w:rPr>
            </w:pPr>
            <w:r w:rsidRPr="0013179B">
              <w:rPr>
                <w:rFonts w:ascii="Calibri" w:eastAsia="Times New Roman" w:hAnsi="Calibri" w:cs="Arial"/>
                <w:sz w:val="20"/>
                <w:szCs w:val="20"/>
                <w:lang w:eastAsia="cs-CZ"/>
              </w:rPr>
              <w:t>3522</w:t>
            </w:r>
          </w:p>
        </w:tc>
        <w:tc>
          <w:tcPr>
            <w:tcW w:w="3554" w:type="dxa"/>
            <w:tcBorders>
              <w:top w:val="single" w:sz="8" w:space="0" w:color="auto"/>
              <w:left w:val="nil"/>
              <w:bottom w:val="single" w:sz="8" w:space="0" w:color="auto"/>
              <w:right w:val="single" w:sz="4" w:space="0" w:color="auto"/>
            </w:tcBorders>
            <w:shd w:val="clear" w:color="auto" w:fill="auto"/>
            <w:noWrap/>
            <w:vAlign w:val="bottom"/>
            <w:hideMark/>
          </w:tcPr>
          <w:p w14:paraId="56E7E664" w14:textId="77777777" w:rsidR="0013179B" w:rsidRPr="0013179B" w:rsidRDefault="0013179B" w:rsidP="0013179B">
            <w:pPr>
              <w:spacing w:after="0" w:line="240" w:lineRule="auto"/>
              <w:rPr>
                <w:rFonts w:ascii="Calibri" w:eastAsia="Times New Roman" w:hAnsi="Calibri" w:cs="Arial"/>
                <w:sz w:val="20"/>
                <w:szCs w:val="20"/>
                <w:lang w:eastAsia="cs-CZ"/>
              </w:rPr>
            </w:pPr>
            <w:r w:rsidRPr="0013179B">
              <w:rPr>
                <w:rFonts w:ascii="Calibri" w:eastAsia="Times New Roman" w:hAnsi="Calibri" w:cs="Arial"/>
                <w:sz w:val="20"/>
                <w:szCs w:val="20"/>
                <w:lang w:eastAsia="cs-CZ"/>
              </w:rPr>
              <w:t>Dluhová služba za úvěr nemocnic</w:t>
            </w:r>
          </w:p>
        </w:tc>
        <w:tc>
          <w:tcPr>
            <w:tcW w:w="1432" w:type="dxa"/>
            <w:tcBorders>
              <w:top w:val="single" w:sz="8" w:space="0" w:color="auto"/>
              <w:left w:val="nil"/>
              <w:bottom w:val="single" w:sz="8" w:space="0" w:color="auto"/>
              <w:right w:val="single" w:sz="4" w:space="0" w:color="auto"/>
            </w:tcBorders>
            <w:shd w:val="clear" w:color="auto" w:fill="auto"/>
            <w:noWrap/>
            <w:vAlign w:val="bottom"/>
            <w:hideMark/>
          </w:tcPr>
          <w:p w14:paraId="197E6CC9"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191 487 000</w:t>
            </w:r>
          </w:p>
        </w:tc>
        <w:tc>
          <w:tcPr>
            <w:tcW w:w="1702" w:type="dxa"/>
            <w:tcBorders>
              <w:top w:val="single" w:sz="8" w:space="0" w:color="auto"/>
              <w:left w:val="nil"/>
              <w:bottom w:val="single" w:sz="8" w:space="0" w:color="auto"/>
              <w:right w:val="single" w:sz="4" w:space="0" w:color="auto"/>
            </w:tcBorders>
            <w:shd w:val="clear" w:color="auto" w:fill="auto"/>
            <w:noWrap/>
            <w:vAlign w:val="bottom"/>
            <w:hideMark/>
          </w:tcPr>
          <w:p w14:paraId="2220286C"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191 487 000,00</w:t>
            </w:r>
          </w:p>
        </w:tc>
        <w:tc>
          <w:tcPr>
            <w:tcW w:w="1701" w:type="dxa"/>
            <w:tcBorders>
              <w:top w:val="single" w:sz="8" w:space="0" w:color="auto"/>
              <w:left w:val="nil"/>
              <w:bottom w:val="single" w:sz="8" w:space="0" w:color="auto"/>
              <w:right w:val="single" w:sz="4" w:space="0" w:color="auto"/>
            </w:tcBorders>
            <w:shd w:val="clear" w:color="auto" w:fill="auto"/>
            <w:noWrap/>
            <w:vAlign w:val="bottom"/>
            <w:hideMark/>
          </w:tcPr>
          <w:p w14:paraId="46BB8310"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185 362 808,58</w:t>
            </w:r>
          </w:p>
        </w:tc>
        <w:tc>
          <w:tcPr>
            <w:tcW w:w="709" w:type="dxa"/>
            <w:tcBorders>
              <w:top w:val="single" w:sz="8" w:space="0" w:color="auto"/>
              <w:left w:val="nil"/>
              <w:bottom w:val="single" w:sz="8" w:space="0" w:color="auto"/>
              <w:right w:val="single" w:sz="8" w:space="0" w:color="auto"/>
            </w:tcBorders>
            <w:shd w:val="clear" w:color="auto" w:fill="auto"/>
            <w:noWrap/>
            <w:vAlign w:val="bottom"/>
            <w:hideMark/>
          </w:tcPr>
          <w:p w14:paraId="229FCFC3"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96,8</w:t>
            </w:r>
          </w:p>
        </w:tc>
      </w:tr>
      <w:tr w:rsidR="0013179B" w:rsidRPr="0013179B" w14:paraId="2CA66641" w14:textId="77777777" w:rsidTr="0013179B">
        <w:trPr>
          <w:trHeight w:val="320"/>
        </w:trPr>
        <w:tc>
          <w:tcPr>
            <w:tcW w:w="967" w:type="dxa"/>
            <w:tcBorders>
              <w:top w:val="nil"/>
              <w:left w:val="single" w:sz="8" w:space="0" w:color="auto"/>
              <w:bottom w:val="single" w:sz="8" w:space="0" w:color="auto"/>
              <w:right w:val="single" w:sz="4" w:space="0" w:color="auto"/>
            </w:tcBorders>
            <w:shd w:val="clear" w:color="auto" w:fill="auto"/>
            <w:noWrap/>
            <w:vAlign w:val="bottom"/>
            <w:hideMark/>
          </w:tcPr>
          <w:p w14:paraId="4F18530E" w14:textId="77777777" w:rsidR="0013179B" w:rsidRPr="0013179B" w:rsidRDefault="0013179B" w:rsidP="0013179B">
            <w:pPr>
              <w:spacing w:after="0" w:line="240" w:lineRule="auto"/>
              <w:rPr>
                <w:rFonts w:ascii="Calibri" w:eastAsia="Times New Roman" w:hAnsi="Calibri" w:cs="Arial"/>
                <w:lang w:eastAsia="cs-CZ"/>
              </w:rPr>
            </w:pPr>
            <w:r w:rsidRPr="0013179B">
              <w:rPr>
                <w:rFonts w:ascii="Calibri" w:eastAsia="Times New Roman" w:hAnsi="Calibri" w:cs="Arial"/>
                <w:lang w:eastAsia="cs-CZ"/>
              </w:rPr>
              <w:t> </w:t>
            </w:r>
          </w:p>
        </w:tc>
        <w:tc>
          <w:tcPr>
            <w:tcW w:w="3554" w:type="dxa"/>
            <w:tcBorders>
              <w:top w:val="nil"/>
              <w:left w:val="nil"/>
              <w:bottom w:val="single" w:sz="8" w:space="0" w:color="auto"/>
              <w:right w:val="single" w:sz="4" w:space="0" w:color="auto"/>
            </w:tcBorders>
            <w:shd w:val="clear" w:color="auto" w:fill="auto"/>
            <w:noWrap/>
            <w:vAlign w:val="bottom"/>
            <w:hideMark/>
          </w:tcPr>
          <w:p w14:paraId="73371234" w14:textId="77777777" w:rsidR="0013179B" w:rsidRPr="0013179B" w:rsidRDefault="0013179B" w:rsidP="0013179B">
            <w:pPr>
              <w:spacing w:after="0" w:line="240" w:lineRule="auto"/>
              <w:rPr>
                <w:rFonts w:ascii="Calibri" w:eastAsia="Times New Roman" w:hAnsi="Calibri" w:cs="Arial"/>
                <w:b/>
                <w:bCs/>
                <w:lang w:eastAsia="cs-CZ"/>
              </w:rPr>
            </w:pPr>
            <w:r w:rsidRPr="0013179B">
              <w:rPr>
                <w:rFonts w:ascii="Calibri" w:eastAsia="Times New Roman" w:hAnsi="Calibri" w:cs="Arial"/>
                <w:b/>
                <w:bCs/>
                <w:lang w:eastAsia="cs-CZ"/>
              </w:rPr>
              <w:t>Celkem</w:t>
            </w:r>
          </w:p>
        </w:tc>
        <w:tc>
          <w:tcPr>
            <w:tcW w:w="1432" w:type="dxa"/>
            <w:tcBorders>
              <w:top w:val="nil"/>
              <w:left w:val="nil"/>
              <w:bottom w:val="single" w:sz="8" w:space="0" w:color="auto"/>
              <w:right w:val="single" w:sz="4" w:space="0" w:color="auto"/>
            </w:tcBorders>
            <w:shd w:val="clear" w:color="auto" w:fill="auto"/>
            <w:noWrap/>
            <w:vAlign w:val="bottom"/>
            <w:hideMark/>
          </w:tcPr>
          <w:p w14:paraId="22C25818" w14:textId="77777777" w:rsidR="0013179B" w:rsidRPr="0013179B" w:rsidRDefault="0013179B" w:rsidP="0013179B">
            <w:pPr>
              <w:spacing w:after="0" w:line="240" w:lineRule="auto"/>
              <w:jc w:val="right"/>
              <w:rPr>
                <w:rFonts w:ascii="Calibri" w:eastAsia="Times New Roman" w:hAnsi="Calibri" w:cs="Arial"/>
                <w:b/>
                <w:bCs/>
                <w:lang w:eastAsia="cs-CZ"/>
              </w:rPr>
            </w:pPr>
            <w:r w:rsidRPr="0013179B">
              <w:rPr>
                <w:rFonts w:ascii="Calibri" w:eastAsia="Times New Roman" w:hAnsi="Calibri" w:cs="Arial"/>
                <w:b/>
                <w:bCs/>
                <w:lang w:eastAsia="cs-CZ"/>
              </w:rPr>
              <w:t>191 487 000</w:t>
            </w:r>
          </w:p>
        </w:tc>
        <w:tc>
          <w:tcPr>
            <w:tcW w:w="1702" w:type="dxa"/>
            <w:tcBorders>
              <w:top w:val="nil"/>
              <w:left w:val="nil"/>
              <w:bottom w:val="single" w:sz="8" w:space="0" w:color="auto"/>
              <w:right w:val="single" w:sz="4" w:space="0" w:color="auto"/>
            </w:tcBorders>
            <w:shd w:val="clear" w:color="auto" w:fill="auto"/>
            <w:noWrap/>
            <w:vAlign w:val="bottom"/>
            <w:hideMark/>
          </w:tcPr>
          <w:p w14:paraId="14BA464C" w14:textId="77777777" w:rsidR="0013179B" w:rsidRPr="0013179B" w:rsidRDefault="0013179B" w:rsidP="0013179B">
            <w:pPr>
              <w:spacing w:after="0" w:line="240" w:lineRule="auto"/>
              <w:jc w:val="right"/>
              <w:rPr>
                <w:rFonts w:ascii="Calibri" w:eastAsia="Times New Roman" w:hAnsi="Calibri" w:cs="Arial"/>
                <w:b/>
                <w:bCs/>
                <w:lang w:eastAsia="cs-CZ"/>
              </w:rPr>
            </w:pPr>
            <w:r w:rsidRPr="0013179B">
              <w:rPr>
                <w:rFonts w:ascii="Calibri" w:eastAsia="Times New Roman" w:hAnsi="Calibri" w:cs="Arial"/>
                <w:b/>
                <w:bCs/>
                <w:lang w:eastAsia="cs-CZ"/>
              </w:rPr>
              <w:t>191 487 000,00</w:t>
            </w:r>
          </w:p>
        </w:tc>
        <w:tc>
          <w:tcPr>
            <w:tcW w:w="1701" w:type="dxa"/>
            <w:tcBorders>
              <w:top w:val="nil"/>
              <w:left w:val="nil"/>
              <w:bottom w:val="single" w:sz="8" w:space="0" w:color="auto"/>
              <w:right w:val="nil"/>
            </w:tcBorders>
            <w:shd w:val="clear" w:color="auto" w:fill="auto"/>
            <w:noWrap/>
            <w:vAlign w:val="bottom"/>
            <w:hideMark/>
          </w:tcPr>
          <w:p w14:paraId="49278037" w14:textId="77777777" w:rsidR="0013179B" w:rsidRPr="0013179B" w:rsidRDefault="0013179B" w:rsidP="0013179B">
            <w:pPr>
              <w:spacing w:after="0" w:line="240" w:lineRule="auto"/>
              <w:jc w:val="right"/>
              <w:rPr>
                <w:rFonts w:ascii="Calibri" w:eastAsia="Times New Roman" w:hAnsi="Calibri" w:cs="Arial"/>
                <w:b/>
                <w:bCs/>
                <w:lang w:eastAsia="cs-CZ"/>
              </w:rPr>
            </w:pPr>
            <w:r w:rsidRPr="0013179B">
              <w:rPr>
                <w:rFonts w:ascii="Calibri" w:eastAsia="Times New Roman" w:hAnsi="Calibri" w:cs="Arial"/>
                <w:b/>
                <w:bCs/>
                <w:lang w:eastAsia="cs-CZ"/>
              </w:rPr>
              <w:t>185 362 808,58</w:t>
            </w:r>
          </w:p>
        </w:tc>
        <w:tc>
          <w:tcPr>
            <w:tcW w:w="709" w:type="dxa"/>
            <w:tcBorders>
              <w:top w:val="nil"/>
              <w:left w:val="single" w:sz="4" w:space="0" w:color="auto"/>
              <w:bottom w:val="single" w:sz="8" w:space="0" w:color="auto"/>
              <w:right w:val="single" w:sz="8" w:space="0" w:color="auto"/>
            </w:tcBorders>
            <w:shd w:val="clear" w:color="auto" w:fill="auto"/>
            <w:noWrap/>
            <w:vAlign w:val="bottom"/>
            <w:hideMark/>
          </w:tcPr>
          <w:p w14:paraId="0B6E9713" w14:textId="77777777" w:rsidR="0013179B" w:rsidRPr="0013179B" w:rsidRDefault="0013179B" w:rsidP="0013179B">
            <w:pPr>
              <w:spacing w:after="0" w:line="240" w:lineRule="auto"/>
              <w:jc w:val="right"/>
              <w:rPr>
                <w:rFonts w:ascii="Calibri" w:eastAsia="Times New Roman" w:hAnsi="Calibri" w:cs="Arial"/>
                <w:b/>
                <w:bCs/>
                <w:lang w:eastAsia="cs-CZ"/>
              </w:rPr>
            </w:pPr>
            <w:r w:rsidRPr="0013179B">
              <w:rPr>
                <w:rFonts w:ascii="Calibri" w:eastAsia="Times New Roman" w:hAnsi="Calibri" w:cs="Arial"/>
                <w:b/>
                <w:bCs/>
                <w:lang w:eastAsia="cs-CZ"/>
              </w:rPr>
              <w:t>96,8</w:t>
            </w:r>
          </w:p>
        </w:tc>
      </w:tr>
      <w:tr w:rsidR="0013179B" w:rsidRPr="0013179B" w14:paraId="31127584" w14:textId="77777777" w:rsidTr="0013179B">
        <w:trPr>
          <w:trHeight w:val="300"/>
        </w:trPr>
        <w:tc>
          <w:tcPr>
            <w:tcW w:w="967" w:type="dxa"/>
            <w:tcBorders>
              <w:top w:val="nil"/>
              <w:left w:val="nil"/>
              <w:bottom w:val="nil"/>
              <w:right w:val="nil"/>
            </w:tcBorders>
            <w:shd w:val="clear" w:color="auto" w:fill="auto"/>
            <w:noWrap/>
            <w:vAlign w:val="bottom"/>
            <w:hideMark/>
          </w:tcPr>
          <w:p w14:paraId="06ADA7DB" w14:textId="77777777" w:rsidR="0013179B" w:rsidRPr="0013179B" w:rsidRDefault="0013179B" w:rsidP="0013179B">
            <w:pPr>
              <w:spacing w:after="0" w:line="240" w:lineRule="auto"/>
              <w:jc w:val="right"/>
              <w:rPr>
                <w:rFonts w:ascii="Calibri" w:eastAsia="Times New Roman" w:hAnsi="Calibri" w:cs="Arial"/>
                <w:b/>
                <w:bCs/>
                <w:lang w:eastAsia="cs-CZ"/>
              </w:rPr>
            </w:pPr>
          </w:p>
        </w:tc>
        <w:tc>
          <w:tcPr>
            <w:tcW w:w="3554" w:type="dxa"/>
            <w:tcBorders>
              <w:top w:val="nil"/>
              <w:left w:val="nil"/>
              <w:bottom w:val="nil"/>
              <w:right w:val="nil"/>
            </w:tcBorders>
            <w:shd w:val="clear" w:color="auto" w:fill="auto"/>
            <w:noWrap/>
            <w:vAlign w:val="bottom"/>
            <w:hideMark/>
          </w:tcPr>
          <w:p w14:paraId="4F0D20AC" w14:textId="77777777" w:rsidR="0013179B" w:rsidRPr="0013179B" w:rsidRDefault="0013179B" w:rsidP="0013179B">
            <w:pPr>
              <w:spacing w:after="0" w:line="240" w:lineRule="auto"/>
              <w:rPr>
                <w:rFonts w:ascii="Times New Roman" w:eastAsia="Times New Roman" w:hAnsi="Times New Roman" w:cs="Times New Roman"/>
                <w:sz w:val="20"/>
                <w:szCs w:val="20"/>
                <w:lang w:eastAsia="cs-CZ"/>
              </w:rPr>
            </w:pPr>
          </w:p>
        </w:tc>
        <w:tc>
          <w:tcPr>
            <w:tcW w:w="1432" w:type="dxa"/>
            <w:tcBorders>
              <w:top w:val="nil"/>
              <w:left w:val="nil"/>
              <w:bottom w:val="nil"/>
              <w:right w:val="nil"/>
            </w:tcBorders>
            <w:shd w:val="clear" w:color="auto" w:fill="auto"/>
            <w:noWrap/>
            <w:vAlign w:val="bottom"/>
            <w:hideMark/>
          </w:tcPr>
          <w:p w14:paraId="45AB5574" w14:textId="77777777" w:rsidR="0013179B" w:rsidRPr="0013179B" w:rsidRDefault="0013179B" w:rsidP="0013179B">
            <w:pPr>
              <w:spacing w:after="0" w:line="240" w:lineRule="auto"/>
              <w:rPr>
                <w:rFonts w:ascii="Times New Roman" w:eastAsia="Times New Roman" w:hAnsi="Times New Roman" w:cs="Times New Roman"/>
                <w:sz w:val="20"/>
                <w:szCs w:val="20"/>
                <w:lang w:eastAsia="cs-CZ"/>
              </w:rPr>
            </w:pPr>
          </w:p>
        </w:tc>
        <w:tc>
          <w:tcPr>
            <w:tcW w:w="1702" w:type="dxa"/>
            <w:tcBorders>
              <w:top w:val="nil"/>
              <w:left w:val="nil"/>
              <w:bottom w:val="nil"/>
              <w:right w:val="nil"/>
            </w:tcBorders>
            <w:shd w:val="clear" w:color="auto" w:fill="auto"/>
            <w:noWrap/>
            <w:vAlign w:val="bottom"/>
            <w:hideMark/>
          </w:tcPr>
          <w:p w14:paraId="58FA1D5A" w14:textId="77777777" w:rsidR="0013179B" w:rsidRPr="0013179B" w:rsidRDefault="0013179B" w:rsidP="0013179B">
            <w:pPr>
              <w:spacing w:after="0" w:line="240" w:lineRule="auto"/>
              <w:jc w:val="right"/>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0E44FA36" w14:textId="77777777" w:rsidR="0013179B" w:rsidRPr="0013179B" w:rsidRDefault="0013179B" w:rsidP="0013179B">
            <w:pPr>
              <w:spacing w:after="0" w:line="240" w:lineRule="auto"/>
              <w:jc w:val="right"/>
              <w:rPr>
                <w:rFonts w:ascii="Times New Roman" w:eastAsia="Times New Roman" w:hAnsi="Times New Roman" w:cs="Times New Roman"/>
                <w:sz w:val="20"/>
                <w:szCs w:val="20"/>
                <w:lang w:eastAsia="cs-CZ"/>
              </w:rPr>
            </w:pPr>
          </w:p>
        </w:tc>
        <w:tc>
          <w:tcPr>
            <w:tcW w:w="709" w:type="dxa"/>
            <w:tcBorders>
              <w:top w:val="nil"/>
              <w:left w:val="nil"/>
              <w:bottom w:val="nil"/>
              <w:right w:val="nil"/>
            </w:tcBorders>
            <w:shd w:val="clear" w:color="auto" w:fill="auto"/>
            <w:noWrap/>
            <w:vAlign w:val="bottom"/>
            <w:hideMark/>
          </w:tcPr>
          <w:p w14:paraId="073FAE68" w14:textId="77777777" w:rsidR="0013179B" w:rsidRPr="0013179B" w:rsidRDefault="0013179B" w:rsidP="0013179B">
            <w:pPr>
              <w:spacing w:after="0" w:line="240" w:lineRule="auto"/>
              <w:rPr>
                <w:rFonts w:ascii="Times New Roman" w:eastAsia="Times New Roman" w:hAnsi="Times New Roman" w:cs="Times New Roman"/>
                <w:sz w:val="20"/>
                <w:szCs w:val="20"/>
                <w:lang w:eastAsia="cs-CZ"/>
              </w:rPr>
            </w:pPr>
          </w:p>
        </w:tc>
      </w:tr>
      <w:tr w:rsidR="0013179B" w:rsidRPr="0013179B" w14:paraId="5DDE4344" w14:textId="77777777" w:rsidTr="0013179B">
        <w:trPr>
          <w:trHeight w:val="360"/>
        </w:trPr>
        <w:tc>
          <w:tcPr>
            <w:tcW w:w="967" w:type="dxa"/>
            <w:tcBorders>
              <w:top w:val="nil"/>
              <w:left w:val="nil"/>
              <w:bottom w:val="nil"/>
              <w:right w:val="nil"/>
            </w:tcBorders>
            <w:shd w:val="clear" w:color="auto" w:fill="auto"/>
            <w:noWrap/>
            <w:vAlign w:val="center"/>
            <w:hideMark/>
          </w:tcPr>
          <w:p w14:paraId="2C332976" w14:textId="77777777" w:rsidR="0013179B" w:rsidRPr="0013179B" w:rsidRDefault="0013179B" w:rsidP="0013179B">
            <w:pPr>
              <w:spacing w:after="0" w:line="240" w:lineRule="auto"/>
              <w:rPr>
                <w:rFonts w:ascii="Times New Roman" w:eastAsia="Times New Roman" w:hAnsi="Times New Roman" w:cs="Times New Roman"/>
                <w:sz w:val="20"/>
                <w:szCs w:val="20"/>
                <w:lang w:eastAsia="cs-CZ"/>
              </w:rPr>
            </w:pPr>
          </w:p>
        </w:tc>
        <w:tc>
          <w:tcPr>
            <w:tcW w:w="6688" w:type="dxa"/>
            <w:gridSpan w:val="3"/>
            <w:tcBorders>
              <w:top w:val="nil"/>
              <w:left w:val="nil"/>
              <w:bottom w:val="nil"/>
              <w:right w:val="nil"/>
            </w:tcBorders>
            <w:shd w:val="clear" w:color="auto" w:fill="auto"/>
            <w:noWrap/>
            <w:vAlign w:val="bottom"/>
            <w:hideMark/>
          </w:tcPr>
          <w:p w14:paraId="41CA6BE8" w14:textId="77777777" w:rsidR="0013179B" w:rsidRPr="0013179B" w:rsidRDefault="0013179B" w:rsidP="0013179B">
            <w:pPr>
              <w:spacing w:after="0" w:line="240" w:lineRule="auto"/>
              <w:rPr>
                <w:rFonts w:ascii="Calibri" w:eastAsia="Times New Roman" w:hAnsi="Calibri" w:cs="Arial"/>
                <w:b/>
                <w:bCs/>
                <w:lang w:eastAsia="cs-CZ"/>
              </w:rPr>
            </w:pPr>
            <w:r w:rsidRPr="0013179B">
              <w:rPr>
                <w:rFonts w:ascii="Calibri" w:eastAsia="Times New Roman" w:hAnsi="Calibri" w:cs="Arial"/>
                <w:b/>
                <w:bCs/>
                <w:lang w:eastAsia="cs-CZ"/>
              </w:rPr>
              <w:t>Dotace ze státního rozpočtu  a ostatních veřejných rozpočtů</w:t>
            </w:r>
          </w:p>
        </w:tc>
        <w:tc>
          <w:tcPr>
            <w:tcW w:w="1701" w:type="dxa"/>
            <w:tcBorders>
              <w:top w:val="nil"/>
              <w:left w:val="nil"/>
              <w:bottom w:val="nil"/>
              <w:right w:val="nil"/>
            </w:tcBorders>
            <w:shd w:val="clear" w:color="auto" w:fill="auto"/>
            <w:noWrap/>
            <w:vAlign w:val="center"/>
            <w:hideMark/>
          </w:tcPr>
          <w:p w14:paraId="0D9A8D88" w14:textId="77777777" w:rsidR="0013179B" w:rsidRPr="0013179B" w:rsidRDefault="0013179B" w:rsidP="0013179B">
            <w:pPr>
              <w:spacing w:after="0" w:line="240" w:lineRule="auto"/>
              <w:rPr>
                <w:rFonts w:ascii="Calibri" w:eastAsia="Times New Roman" w:hAnsi="Calibri" w:cs="Arial"/>
                <w:b/>
                <w:bCs/>
                <w:lang w:eastAsia="cs-CZ"/>
              </w:rPr>
            </w:pPr>
          </w:p>
        </w:tc>
        <w:tc>
          <w:tcPr>
            <w:tcW w:w="709" w:type="dxa"/>
            <w:tcBorders>
              <w:top w:val="nil"/>
              <w:left w:val="nil"/>
              <w:bottom w:val="nil"/>
              <w:right w:val="nil"/>
            </w:tcBorders>
            <w:shd w:val="clear" w:color="auto" w:fill="auto"/>
            <w:noWrap/>
            <w:vAlign w:val="center"/>
            <w:hideMark/>
          </w:tcPr>
          <w:p w14:paraId="7D34639C" w14:textId="77777777" w:rsidR="0013179B" w:rsidRPr="0013179B" w:rsidRDefault="0013179B" w:rsidP="0013179B">
            <w:pPr>
              <w:spacing w:after="0" w:line="240" w:lineRule="auto"/>
              <w:jc w:val="right"/>
              <w:rPr>
                <w:rFonts w:ascii="Times New Roman" w:eastAsia="Times New Roman" w:hAnsi="Times New Roman" w:cs="Times New Roman"/>
                <w:sz w:val="20"/>
                <w:szCs w:val="20"/>
                <w:lang w:eastAsia="cs-CZ"/>
              </w:rPr>
            </w:pPr>
          </w:p>
        </w:tc>
      </w:tr>
      <w:tr w:rsidR="0013179B" w:rsidRPr="0013179B" w14:paraId="5874C0ED" w14:textId="77777777" w:rsidTr="0013179B">
        <w:trPr>
          <w:trHeight w:val="780"/>
        </w:trPr>
        <w:tc>
          <w:tcPr>
            <w:tcW w:w="967"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2C7819D" w14:textId="77777777" w:rsidR="0013179B" w:rsidRPr="0013179B" w:rsidRDefault="0013179B" w:rsidP="0013179B">
            <w:pPr>
              <w:spacing w:after="0" w:line="240" w:lineRule="auto"/>
              <w:jc w:val="center"/>
              <w:rPr>
                <w:rFonts w:ascii="Calibri" w:eastAsia="Times New Roman" w:hAnsi="Calibri" w:cs="Arial"/>
                <w:sz w:val="20"/>
                <w:szCs w:val="20"/>
                <w:lang w:eastAsia="cs-CZ"/>
              </w:rPr>
            </w:pPr>
            <w:r w:rsidRPr="0013179B">
              <w:rPr>
                <w:rFonts w:ascii="Calibri" w:eastAsia="Times New Roman" w:hAnsi="Calibri" w:cs="Arial"/>
                <w:sz w:val="20"/>
                <w:szCs w:val="20"/>
                <w:lang w:eastAsia="cs-CZ"/>
              </w:rPr>
              <w:t>3529</w:t>
            </w:r>
          </w:p>
        </w:tc>
        <w:tc>
          <w:tcPr>
            <w:tcW w:w="3554" w:type="dxa"/>
            <w:tcBorders>
              <w:top w:val="single" w:sz="8" w:space="0" w:color="auto"/>
              <w:left w:val="nil"/>
              <w:bottom w:val="single" w:sz="4" w:space="0" w:color="auto"/>
              <w:right w:val="single" w:sz="4" w:space="0" w:color="auto"/>
            </w:tcBorders>
            <w:shd w:val="clear" w:color="auto" w:fill="auto"/>
            <w:vAlign w:val="center"/>
            <w:hideMark/>
          </w:tcPr>
          <w:p w14:paraId="2AC42BD1" w14:textId="77777777" w:rsidR="0013179B" w:rsidRPr="0013179B" w:rsidRDefault="0013179B" w:rsidP="0013179B">
            <w:pPr>
              <w:spacing w:after="0" w:line="240" w:lineRule="auto"/>
              <w:rPr>
                <w:rFonts w:ascii="Calibri" w:eastAsia="Times New Roman" w:hAnsi="Calibri" w:cs="Arial"/>
                <w:sz w:val="20"/>
                <w:szCs w:val="20"/>
                <w:lang w:eastAsia="cs-CZ"/>
              </w:rPr>
            </w:pPr>
            <w:r w:rsidRPr="0013179B">
              <w:rPr>
                <w:rFonts w:ascii="Calibri" w:eastAsia="Times New Roman" w:hAnsi="Calibri" w:cs="Arial"/>
                <w:sz w:val="20"/>
                <w:szCs w:val="20"/>
                <w:lang w:eastAsia="cs-CZ"/>
              </w:rPr>
              <w:t>MZ ČR - neinvestiční dotace pro zdravotníky dětských center na mzdy v souvislosti s COVID-19, ÚZ 35025</w:t>
            </w:r>
          </w:p>
        </w:tc>
        <w:tc>
          <w:tcPr>
            <w:tcW w:w="1432" w:type="dxa"/>
            <w:tcBorders>
              <w:top w:val="single" w:sz="8" w:space="0" w:color="auto"/>
              <w:left w:val="nil"/>
              <w:bottom w:val="single" w:sz="4" w:space="0" w:color="auto"/>
              <w:right w:val="single" w:sz="4" w:space="0" w:color="auto"/>
            </w:tcBorders>
            <w:shd w:val="clear" w:color="auto" w:fill="auto"/>
            <w:noWrap/>
            <w:vAlign w:val="bottom"/>
            <w:hideMark/>
          </w:tcPr>
          <w:p w14:paraId="42D1CB37"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0</w:t>
            </w:r>
          </w:p>
        </w:tc>
        <w:tc>
          <w:tcPr>
            <w:tcW w:w="1702" w:type="dxa"/>
            <w:tcBorders>
              <w:top w:val="single" w:sz="8" w:space="0" w:color="auto"/>
              <w:left w:val="nil"/>
              <w:bottom w:val="single" w:sz="4" w:space="0" w:color="auto"/>
              <w:right w:val="single" w:sz="4" w:space="0" w:color="auto"/>
            </w:tcBorders>
            <w:shd w:val="clear" w:color="auto" w:fill="auto"/>
            <w:noWrap/>
            <w:vAlign w:val="bottom"/>
            <w:hideMark/>
          </w:tcPr>
          <w:p w14:paraId="056DD21A"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10 204 023,00</w:t>
            </w:r>
          </w:p>
        </w:tc>
        <w:tc>
          <w:tcPr>
            <w:tcW w:w="1701" w:type="dxa"/>
            <w:tcBorders>
              <w:top w:val="single" w:sz="8" w:space="0" w:color="auto"/>
              <w:left w:val="nil"/>
              <w:bottom w:val="single" w:sz="4" w:space="0" w:color="auto"/>
              <w:right w:val="single" w:sz="4" w:space="0" w:color="auto"/>
            </w:tcBorders>
            <w:shd w:val="clear" w:color="auto" w:fill="auto"/>
            <w:noWrap/>
            <w:vAlign w:val="bottom"/>
            <w:hideMark/>
          </w:tcPr>
          <w:p w14:paraId="6121F01B"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10 204 023,00</w:t>
            </w:r>
          </w:p>
        </w:tc>
        <w:tc>
          <w:tcPr>
            <w:tcW w:w="709" w:type="dxa"/>
            <w:tcBorders>
              <w:top w:val="single" w:sz="8" w:space="0" w:color="auto"/>
              <w:left w:val="nil"/>
              <w:bottom w:val="single" w:sz="4" w:space="0" w:color="auto"/>
              <w:right w:val="single" w:sz="8" w:space="0" w:color="auto"/>
            </w:tcBorders>
            <w:shd w:val="clear" w:color="auto" w:fill="auto"/>
            <w:noWrap/>
            <w:vAlign w:val="bottom"/>
            <w:hideMark/>
          </w:tcPr>
          <w:p w14:paraId="6E0532A4"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100,0</w:t>
            </w:r>
          </w:p>
        </w:tc>
      </w:tr>
      <w:tr w:rsidR="0013179B" w:rsidRPr="0013179B" w14:paraId="59BB95BC" w14:textId="77777777" w:rsidTr="0013179B">
        <w:trPr>
          <w:trHeight w:val="765"/>
        </w:trPr>
        <w:tc>
          <w:tcPr>
            <w:tcW w:w="967" w:type="dxa"/>
            <w:tcBorders>
              <w:top w:val="nil"/>
              <w:left w:val="single" w:sz="8" w:space="0" w:color="auto"/>
              <w:bottom w:val="single" w:sz="4" w:space="0" w:color="auto"/>
              <w:right w:val="single" w:sz="4" w:space="0" w:color="auto"/>
            </w:tcBorders>
            <w:shd w:val="clear" w:color="auto" w:fill="auto"/>
            <w:noWrap/>
            <w:vAlign w:val="bottom"/>
            <w:hideMark/>
          </w:tcPr>
          <w:p w14:paraId="121A2DF9" w14:textId="77777777" w:rsidR="0013179B" w:rsidRPr="0013179B" w:rsidRDefault="0013179B" w:rsidP="0013179B">
            <w:pPr>
              <w:spacing w:after="0" w:line="240" w:lineRule="auto"/>
              <w:jc w:val="center"/>
              <w:rPr>
                <w:rFonts w:ascii="Calibri" w:eastAsia="Times New Roman" w:hAnsi="Calibri" w:cs="Arial"/>
                <w:sz w:val="20"/>
                <w:szCs w:val="20"/>
                <w:lang w:eastAsia="cs-CZ"/>
              </w:rPr>
            </w:pPr>
            <w:r w:rsidRPr="0013179B">
              <w:rPr>
                <w:rFonts w:ascii="Calibri" w:eastAsia="Times New Roman" w:hAnsi="Calibri" w:cs="Arial"/>
                <w:sz w:val="20"/>
                <w:szCs w:val="20"/>
                <w:lang w:eastAsia="cs-CZ"/>
              </w:rPr>
              <w:t>3533</w:t>
            </w:r>
          </w:p>
        </w:tc>
        <w:tc>
          <w:tcPr>
            <w:tcW w:w="3554" w:type="dxa"/>
            <w:tcBorders>
              <w:top w:val="nil"/>
              <w:left w:val="nil"/>
              <w:bottom w:val="single" w:sz="4" w:space="0" w:color="auto"/>
              <w:right w:val="single" w:sz="4" w:space="0" w:color="auto"/>
            </w:tcBorders>
            <w:shd w:val="clear" w:color="auto" w:fill="auto"/>
            <w:vAlign w:val="center"/>
            <w:hideMark/>
          </w:tcPr>
          <w:p w14:paraId="11627630" w14:textId="77777777" w:rsidR="0013179B" w:rsidRPr="0013179B" w:rsidRDefault="0013179B" w:rsidP="0013179B">
            <w:pPr>
              <w:spacing w:after="0" w:line="240" w:lineRule="auto"/>
              <w:rPr>
                <w:rFonts w:ascii="Calibri" w:eastAsia="Times New Roman" w:hAnsi="Calibri" w:cs="Arial"/>
                <w:sz w:val="20"/>
                <w:szCs w:val="20"/>
                <w:lang w:eastAsia="cs-CZ"/>
              </w:rPr>
            </w:pPr>
            <w:r w:rsidRPr="0013179B">
              <w:rPr>
                <w:rFonts w:ascii="Calibri" w:eastAsia="Times New Roman" w:hAnsi="Calibri" w:cs="Arial"/>
                <w:sz w:val="20"/>
                <w:szCs w:val="20"/>
                <w:lang w:eastAsia="cs-CZ"/>
              </w:rPr>
              <w:t>MZ ČR - neinvestiční dotace pro ZZS SK PO na zajištění připravenosti na mimořádné události a krizové situace, ÚZ 35018</w:t>
            </w:r>
          </w:p>
        </w:tc>
        <w:tc>
          <w:tcPr>
            <w:tcW w:w="1432" w:type="dxa"/>
            <w:tcBorders>
              <w:top w:val="nil"/>
              <w:left w:val="nil"/>
              <w:bottom w:val="single" w:sz="4" w:space="0" w:color="auto"/>
              <w:right w:val="single" w:sz="4" w:space="0" w:color="auto"/>
            </w:tcBorders>
            <w:shd w:val="clear" w:color="auto" w:fill="auto"/>
            <w:noWrap/>
            <w:vAlign w:val="bottom"/>
            <w:hideMark/>
          </w:tcPr>
          <w:p w14:paraId="095CC2EB"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0</w:t>
            </w:r>
          </w:p>
        </w:tc>
        <w:tc>
          <w:tcPr>
            <w:tcW w:w="1702" w:type="dxa"/>
            <w:tcBorders>
              <w:top w:val="nil"/>
              <w:left w:val="nil"/>
              <w:bottom w:val="single" w:sz="4" w:space="0" w:color="auto"/>
              <w:right w:val="single" w:sz="4" w:space="0" w:color="auto"/>
            </w:tcBorders>
            <w:shd w:val="clear" w:color="auto" w:fill="auto"/>
            <w:noWrap/>
            <w:vAlign w:val="bottom"/>
            <w:hideMark/>
          </w:tcPr>
          <w:p w14:paraId="46AE5CAE"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9 099 970,00</w:t>
            </w:r>
          </w:p>
        </w:tc>
        <w:tc>
          <w:tcPr>
            <w:tcW w:w="1701" w:type="dxa"/>
            <w:tcBorders>
              <w:top w:val="nil"/>
              <w:left w:val="nil"/>
              <w:bottom w:val="single" w:sz="4" w:space="0" w:color="auto"/>
              <w:right w:val="single" w:sz="4" w:space="0" w:color="auto"/>
            </w:tcBorders>
            <w:shd w:val="clear" w:color="auto" w:fill="auto"/>
            <w:noWrap/>
            <w:vAlign w:val="bottom"/>
            <w:hideMark/>
          </w:tcPr>
          <w:p w14:paraId="2A26589A"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9 099 970,00</w:t>
            </w:r>
          </w:p>
        </w:tc>
        <w:tc>
          <w:tcPr>
            <w:tcW w:w="709" w:type="dxa"/>
            <w:tcBorders>
              <w:top w:val="nil"/>
              <w:left w:val="nil"/>
              <w:bottom w:val="single" w:sz="4" w:space="0" w:color="auto"/>
              <w:right w:val="single" w:sz="8" w:space="0" w:color="auto"/>
            </w:tcBorders>
            <w:shd w:val="clear" w:color="auto" w:fill="auto"/>
            <w:noWrap/>
            <w:vAlign w:val="bottom"/>
            <w:hideMark/>
          </w:tcPr>
          <w:p w14:paraId="1C21DA2C"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100,0</w:t>
            </w:r>
          </w:p>
        </w:tc>
      </w:tr>
      <w:tr w:rsidR="0013179B" w:rsidRPr="0013179B" w14:paraId="32DFBD3F" w14:textId="77777777" w:rsidTr="0013179B">
        <w:trPr>
          <w:trHeight w:val="1040"/>
        </w:trPr>
        <w:tc>
          <w:tcPr>
            <w:tcW w:w="967" w:type="dxa"/>
            <w:tcBorders>
              <w:top w:val="nil"/>
              <w:left w:val="single" w:sz="8" w:space="0" w:color="auto"/>
              <w:bottom w:val="single" w:sz="4" w:space="0" w:color="auto"/>
              <w:right w:val="single" w:sz="4" w:space="0" w:color="auto"/>
            </w:tcBorders>
            <w:shd w:val="clear" w:color="auto" w:fill="auto"/>
            <w:noWrap/>
            <w:vAlign w:val="bottom"/>
            <w:hideMark/>
          </w:tcPr>
          <w:p w14:paraId="0C6C3FA4" w14:textId="77777777" w:rsidR="0013179B" w:rsidRPr="0013179B" w:rsidRDefault="0013179B" w:rsidP="0013179B">
            <w:pPr>
              <w:spacing w:after="0" w:line="240" w:lineRule="auto"/>
              <w:jc w:val="center"/>
              <w:rPr>
                <w:rFonts w:ascii="Calibri" w:eastAsia="Times New Roman" w:hAnsi="Calibri" w:cs="Arial"/>
                <w:sz w:val="20"/>
                <w:szCs w:val="20"/>
                <w:lang w:eastAsia="cs-CZ"/>
              </w:rPr>
            </w:pPr>
            <w:r w:rsidRPr="0013179B">
              <w:rPr>
                <w:rFonts w:ascii="Calibri" w:eastAsia="Times New Roman" w:hAnsi="Calibri" w:cs="Arial"/>
                <w:sz w:val="20"/>
                <w:szCs w:val="20"/>
                <w:lang w:eastAsia="cs-CZ"/>
              </w:rPr>
              <w:t>3533</w:t>
            </w:r>
          </w:p>
        </w:tc>
        <w:tc>
          <w:tcPr>
            <w:tcW w:w="3554" w:type="dxa"/>
            <w:tcBorders>
              <w:top w:val="nil"/>
              <w:left w:val="nil"/>
              <w:bottom w:val="single" w:sz="4" w:space="0" w:color="auto"/>
              <w:right w:val="single" w:sz="4" w:space="0" w:color="auto"/>
            </w:tcBorders>
            <w:shd w:val="clear" w:color="auto" w:fill="auto"/>
            <w:vAlign w:val="center"/>
            <w:hideMark/>
          </w:tcPr>
          <w:p w14:paraId="2FD23119" w14:textId="77777777" w:rsidR="0013179B" w:rsidRPr="0013179B" w:rsidRDefault="0013179B" w:rsidP="0013179B">
            <w:pPr>
              <w:spacing w:after="0" w:line="240" w:lineRule="auto"/>
              <w:rPr>
                <w:rFonts w:ascii="Calibri" w:eastAsia="Times New Roman" w:hAnsi="Calibri" w:cs="Arial"/>
                <w:sz w:val="20"/>
                <w:szCs w:val="20"/>
                <w:lang w:eastAsia="cs-CZ"/>
              </w:rPr>
            </w:pPr>
            <w:r w:rsidRPr="0013179B">
              <w:rPr>
                <w:rFonts w:ascii="Calibri" w:eastAsia="Times New Roman" w:hAnsi="Calibri" w:cs="Arial"/>
                <w:sz w:val="20"/>
                <w:szCs w:val="20"/>
                <w:lang w:eastAsia="cs-CZ"/>
              </w:rPr>
              <w:t>MZ ČR - investiční dotace pro ZZS SK PO na podporu rozvoje a obnovy materiálně technického vybavení pro řešení krizových situací, ÚZ 35500</w:t>
            </w:r>
          </w:p>
        </w:tc>
        <w:tc>
          <w:tcPr>
            <w:tcW w:w="1432" w:type="dxa"/>
            <w:tcBorders>
              <w:top w:val="nil"/>
              <w:left w:val="nil"/>
              <w:bottom w:val="single" w:sz="4" w:space="0" w:color="auto"/>
              <w:right w:val="single" w:sz="4" w:space="0" w:color="auto"/>
            </w:tcBorders>
            <w:shd w:val="clear" w:color="auto" w:fill="auto"/>
            <w:noWrap/>
            <w:vAlign w:val="bottom"/>
            <w:hideMark/>
          </w:tcPr>
          <w:p w14:paraId="2DB2609A"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0</w:t>
            </w:r>
          </w:p>
        </w:tc>
        <w:tc>
          <w:tcPr>
            <w:tcW w:w="1702" w:type="dxa"/>
            <w:tcBorders>
              <w:top w:val="nil"/>
              <w:left w:val="nil"/>
              <w:bottom w:val="single" w:sz="4" w:space="0" w:color="auto"/>
              <w:right w:val="single" w:sz="4" w:space="0" w:color="auto"/>
            </w:tcBorders>
            <w:shd w:val="clear" w:color="auto" w:fill="auto"/>
            <w:noWrap/>
            <w:vAlign w:val="bottom"/>
            <w:hideMark/>
          </w:tcPr>
          <w:p w14:paraId="2F30C997"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1 482 938,50</w:t>
            </w:r>
          </w:p>
        </w:tc>
        <w:tc>
          <w:tcPr>
            <w:tcW w:w="1701" w:type="dxa"/>
            <w:tcBorders>
              <w:top w:val="nil"/>
              <w:left w:val="nil"/>
              <w:bottom w:val="single" w:sz="4" w:space="0" w:color="auto"/>
              <w:right w:val="single" w:sz="4" w:space="0" w:color="auto"/>
            </w:tcBorders>
            <w:shd w:val="clear" w:color="auto" w:fill="auto"/>
            <w:noWrap/>
            <w:vAlign w:val="bottom"/>
            <w:hideMark/>
          </w:tcPr>
          <w:p w14:paraId="7DB270EE"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1 482 938,50</w:t>
            </w:r>
          </w:p>
        </w:tc>
        <w:tc>
          <w:tcPr>
            <w:tcW w:w="709" w:type="dxa"/>
            <w:tcBorders>
              <w:top w:val="nil"/>
              <w:left w:val="nil"/>
              <w:bottom w:val="single" w:sz="4" w:space="0" w:color="auto"/>
              <w:right w:val="single" w:sz="8" w:space="0" w:color="auto"/>
            </w:tcBorders>
            <w:shd w:val="clear" w:color="auto" w:fill="auto"/>
            <w:noWrap/>
            <w:vAlign w:val="bottom"/>
            <w:hideMark/>
          </w:tcPr>
          <w:p w14:paraId="41A35AD0"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100,0</w:t>
            </w:r>
          </w:p>
        </w:tc>
      </w:tr>
      <w:tr w:rsidR="0013179B" w:rsidRPr="0013179B" w14:paraId="2129B1DC" w14:textId="77777777" w:rsidTr="0013179B">
        <w:trPr>
          <w:trHeight w:val="530"/>
        </w:trPr>
        <w:tc>
          <w:tcPr>
            <w:tcW w:w="967" w:type="dxa"/>
            <w:tcBorders>
              <w:top w:val="nil"/>
              <w:left w:val="single" w:sz="8" w:space="0" w:color="auto"/>
              <w:bottom w:val="nil"/>
              <w:right w:val="single" w:sz="4" w:space="0" w:color="auto"/>
            </w:tcBorders>
            <w:shd w:val="clear" w:color="auto" w:fill="auto"/>
            <w:noWrap/>
            <w:vAlign w:val="bottom"/>
            <w:hideMark/>
          </w:tcPr>
          <w:p w14:paraId="4C6BF201" w14:textId="77777777" w:rsidR="0013179B" w:rsidRPr="0013179B" w:rsidRDefault="0013179B" w:rsidP="0013179B">
            <w:pPr>
              <w:spacing w:after="0" w:line="240" w:lineRule="auto"/>
              <w:jc w:val="center"/>
              <w:rPr>
                <w:rFonts w:ascii="Calibri" w:eastAsia="Times New Roman" w:hAnsi="Calibri" w:cs="Arial"/>
                <w:sz w:val="20"/>
                <w:szCs w:val="20"/>
                <w:lang w:eastAsia="cs-CZ"/>
              </w:rPr>
            </w:pPr>
            <w:r w:rsidRPr="0013179B">
              <w:rPr>
                <w:rFonts w:ascii="Calibri" w:eastAsia="Times New Roman" w:hAnsi="Calibri" w:cs="Arial"/>
                <w:sz w:val="20"/>
                <w:szCs w:val="20"/>
                <w:lang w:eastAsia="cs-CZ"/>
              </w:rPr>
              <w:t>3533</w:t>
            </w:r>
          </w:p>
        </w:tc>
        <w:tc>
          <w:tcPr>
            <w:tcW w:w="3554" w:type="dxa"/>
            <w:tcBorders>
              <w:top w:val="nil"/>
              <w:left w:val="nil"/>
              <w:bottom w:val="nil"/>
              <w:right w:val="single" w:sz="4" w:space="0" w:color="auto"/>
            </w:tcBorders>
            <w:shd w:val="clear" w:color="auto" w:fill="auto"/>
            <w:vAlign w:val="center"/>
            <w:hideMark/>
          </w:tcPr>
          <w:p w14:paraId="642FDB37" w14:textId="77777777" w:rsidR="0013179B" w:rsidRPr="0013179B" w:rsidRDefault="0013179B" w:rsidP="0013179B">
            <w:pPr>
              <w:spacing w:after="0" w:line="240" w:lineRule="auto"/>
              <w:rPr>
                <w:rFonts w:ascii="Calibri" w:eastAsia="Times New Roman" w:hAnsi="Calibri" w:cs="Arial"/>
                <w:sz w:val="20"/>
                <w:szCs w:val="20"/>
                <w:lang w:eastAsia="cs-CZ"/>
              </w:rPr>
            </w:pPr>
            <w:r w:rsidRPr="0013179B">
              <w:rPr>
                <w:rFonts w:ascii="Calibri" w:eastAsia="Times New Roman" w:hAnsi="Calibri" w:cs="Arial"/>
                <w:sz w:val="20"/>
                <w:szCs w:val="20"/>
                <w:lang w:eastAsia="cs-CZ"/>
              </w:rPr>
              <w:t>MF ČR - dotace na krizové situace 2021, UZ 98032</w:t>
            </w:r>
          </w:p>
        </w:tc>
        <w:tc>
          <w:tcPr>
            <w:tcW w:w="1432" w:type="dxa"/>
            <w:tcBorders>
              <w:top w:val="nil"/>
              <w:left w:val="nil"/>
              <w:bottom w:val="nil"/>
              <w:right w:val="single" w:sz="4" w:space="0" w:color="auto"/>
            </w:tcBorders>
            <w:shd w:val="clear" w:color="auto" w:fill="auto"/>
            <w:noWrap/>
            <w:vAlign w:val="bottom"/>
            <w:hideMark/>
          </w:tcPr>
          <w:p w14:paraId="1AF9B86E"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0</w:t>
            </w:r>
          </w:p>
        </w:tc>
        <w:tc>
          <w:tcPr>
            <w:tcW w:w="1702" w:type="dxa"/>
            <w:tcBorders>
              <w:top w:val="nil"/>
              <w:left w:val="nil"/>
              <w:bottom w:val="nil"/>
              <w:right w:val="single" w:sz="4" w:space="0" w:color="auto"/>
            </w:tcBorders>
            <w:shd w:val="clear" w:color="auto" w:fill="auto"/>
            <w:noWrap/>
            <w:vAlign w:val="bottom"/>
            <w:hideMark/>
          </w:tcPr>
          <w:p w14:paraId="79251991"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2 375 429,40</w:t>
            </w:r>
          </w:p>
        </w:tc>
        <w:tc>
          <w:tcPr>
            <w:tcW w:w="1701" w:type="dxa"/>
            <w:tcBorders>
              <w:top w:val="nil"/>
              <w:left w:val="nil"/>
              <w:bottom w:val="nil"/>
              <w:right w:val="single" w:sz="4" w:space="0" w:color="auto"/>
            </w:tcBorders>
            <w:shd w:val="clear" w:color="auto" w:fill="auto"/>
            <w:noWrap/>
            <w:vAlign w:val="bottom"/>
            <w:hideMark/>
          </w:tcPr>
          <w:p w14:paraId="1F52C611"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2 375 429,40</w:t>
            </w:r>
          </w:p>
        </w:tc>
        <w:tc>
          <w:tcPr>
            <w:tcW w:w="709" w:type="dxa"/>
            <w:tcBorders>
              <w:top w:val="nil"/>
              <w:left w:val="nil"/>
              <w:bottom w:val="single" w:sz="4" w:space="0" w:color="auto"/>
              <w:right w:val="single" w:sz="8" w:space="0" w:color="auto"/>
            </w:tcBorders>
            <w:shd w:val="clear" w:color="auto" w:fill="auto"/>
            <w:noWrap/>
            <w:vAlign w:val="bottom"/>
            <w:hideMark/>
          </w:tcPr>
          <w:p w14:paraId="45852D5A" w14:textId="77777777" w:rsidR="0013179B" w:rsidRPr="0013179B" w:rsidRDefault="0013179B" w:rsidP="0013179B">
            <w:pPr>
              <w:spacing w:after="0" w:line="240" w:lineRule="auto"/>
              <w:jc w:val="right"/>
              <w:rPr>
                <w:rFonts w:ascii="Calibri" w:eastAsia="Times New Roman" w:hAnsi="Calibri" w:cs="Arial"/>
                <w:sz w:val="20"/>
                <w:szCs w:val="20"/>
                <w:lang w:eastAsia="cs-CZ"/>
              </w:rPr>
            </w:pPr>
            <w:r w:rsidRPr="0013179B">
              <w:rPr>
                <w:rFonts w:ascii="Calibri" w:eastAsia="Times New Roman" w:hAnsi="Calibri" w:cs="Arial"/>
                <w:sz w:val="20"/>
                <w:szCs w:val="20"/>
                <w:lang w:eastAsia="cs-CZ"/>
              </w:rPr>
              <w:t>100,0</w:t>
            </w:r>
          </w:p>
        </w:tc>
      </w:tr>
      <w:tr w:rsidR="0013179B" w:rsidRPr="0013179B" w14:paraId="3BECCB43" w14:textId="77777777" w:rsidTr="0013179B">
        <w:trPr>
          <w:trHeight w:val="320"/>
        </w:trPr>
        <w:tc>
          <w:tcPr>
            <w:tcW w:w="967"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5799086E" w14:textId="77777777" w:rsidR="0013179B" w:rsidRPr="0013179B" w:rsidRDefault="0013179B" w:rsidP="0013179B">
            <w:pPr>
              <w:spacing w:after="0" w:line="240" w:lineRule="auto"/>
              <w:jc w:val="center"/>
              <w:rPr>
                <w:rFonts w:ascii="Calibri" w:eastAsia="Times New Roman" w:hAnsi="Calibri" w:cs="Arial"/>
                <w:lang w:eastAsia="cs-CZ"/>
              </w:rPr>
            </w:pPr>
            <w:r w:rsidRPr="0013179B">
              <w:rPr>
                <w:rFonts w:ascii="Calibri" w:eastAsia="Times New Roman" w:hAnsi="Calibri" w:cs="Arial"/>
                <w:lang w:eastAsia="cs-CZ"/>
              </w:rPr>
              <w:t> </w:t>
            </w:r>
          </w:p>
        </w:tc>
        <w:tc>
          <w:tcPr>
            <w:tcW w:w="3554" w:type="dxa"/>
            <w:tcBorders>
              <w:top w:val="single" w:sz="8" w:space="0" w:color="auto"/>
              <w:left w:val="nil"/>
              <w:bottom w:val="single" w:sz="8" w:space="0" w:color="auto"/>
              <w:right w:val="single" w:sz="4" w:space="0" w:color="auto"/>
            </w:tcBorders>
            <w:shd w:val="clear" w:color="auto" w:fill="auto"/>
            <w:noWrap/>
            <w:vAlign w:val="bottom"/>
            <w:hideMark/>
          </w:tcPr>
          <w:p w14:paraId="24E5570E" w14:textId="77777777" w:rsidR="0013179B" w:rsidRPr="0013179B" w:rsidRDefault="0013179B" w:rsidP="0013179B">
            <w:pPr>
              <w:spacing w:after="0" w:line="240" w:lineRule="auto"/>
              <w:rPr>
                <w:rFonts w:ascii="Calibri" w:eastAsia="Times New Roman" w:hAnsi="Calibri" w:cs="Arial"/>
                <w:b/>
                <w:bCs/>
                <w:lang w:eastAsia="cs-CZ"/>
              </w:rPr>
            </w:pPr>
            <w:r w:rsidRPr="0013179B">
              <w:rPr>
                <w:rFonts w:ascii="Calibri" w:eastAsia="Times New Roman" w:hAnsi="Calibri" w:cs="Arial"/>
                <w:b/>
                <w:bCs/>
                <w:lang w:eastAsia="cs-CZ"/>
              </w:rPr>
              <w:t>Celkem</w:t>
            </w:r>
          </w:p>
        </w:tc>
        <w:tc>
          <w:tcPr>
            <w:tcW w:w="1432" w:type="dxa"/>
            <w:tcBorders>
              <w:top w:val="single" w:sz="8" w:space="0" w:color="auto"/>
              <w:left w:val="nil"/>
              <w:bottom w:val="single" w:sz="8" w:space="0" w:color="auto"/>
              <w:right w:val="single" w:sz="4" w:space="0" w:color="auto"/>
            </w:tcBorders>
            <w:shd w:val="clear" w:color="auto" w:fill="auto"/>
            <w:noWrap/>
            <w:vAlign w:val="bottom"/>
            <w:hideMark/>
          </w:tcPr>
          <w:p w14:paraId="0D496791" w14:textId="77777777" w:rsidR="0013179B" w:rsidRPr="0013179B" w:rsidRDefault="0013179B" w:rsidP="0013179B">
            <w:pPr>
              <w:spacing w:after="0" w:line="240" w:lineRule="auto"/>
              <w:jc w:val="right"/>
              <w:rPr>
                <w:rFonts w:ascii="Calibri" w:eastAsia="Times New Roman" w:hAnsi="Calibri" w:cs="Arial"/>
                <w:b/>
                <w:bCs/>
                <w:lang w:eastAsia="cs-CZ"/>
              </w:rPr>
            </w:pPr>
            <w:r w:rsidRPr="0013179B">
              <w:rPr>
                <w:rFonts w:ascii="Calibri" w:eastAsia="Times New Roman" w:hAnsi="Calibri" w:cs="Arial"/>
                <w:b/>
                <w:bCs/>
                <w:lang w:eastAsia="cs-CZ"/>
              </w:rPr>
              <w:t>0</w:t>
            </w:r>
          </w:p>
        </w:tc>
        <w:tc>
          <w:tcPr>
            <w:tcW w:w="1702" w:type="dxa"/>
            <w:tcBorders>
              <w:top w:val="single" w:sz="8" w:space="0" w:color="auto"/>
              <w:left w:val="nil"/>
              <w:bottom w:val="single" w:sz="8" w:space="0" w:color="auto"/>
              <w:right w:val="single" w:sz="4" w:space="0" w:color="auto"/>
            </w:tcBorders>
            <w:shd w:val="clear" w:color="auto" w:fill="auto"/>
            <w:noWrap/>
            <w:vAlign w:val="bottom"/>
            <w:hideMark/>
          </w:tcPr>
          <w:p w14:paraId="5416D0FC" w14:textId="77777777" w:rsidR="0013179B" w:rsidRPr="0013179B" w:rsidRDefault="0013179B" w:rsidP="0013179B">
            <w:pPr>
              <w:spacing w:after="0" w:line="240" w:lineRule="auto"/>
              <w:jc w:val="right"/>
              <w:rPr>
                <w:rFonts w:ascii="Calibri" w:eastAsia="Times New Roman" w:hAnsi="Calibri" w:cs="Arial"/>
                <w:b/>
                <w:bCs/>
                <w:lang w:eastAsia="cs-CZ"/>
              </w:rPr>
            </w:pPr>
            <w:r w:rsidRPr="0013179B">
              <w:rPr>
                <w:rFonts w:ascii="Calibri" w:eastAsia="Times New Roman" w:hAnsi="Calibri" w:cs="Arial"/>
                <w:b/>
                <w:bCs/>
                <w:lang w:eastAsia="cs-CZ"/>
              </w:rPr>
              <w:t>23 162 360,90</w:t>
            </w:r>
          </w:p>
        </w:tc>
        <w:tc>
          <w:tcPr>
            <w:tcW w:w="1701" w:type="dxa"/>
            <w:tcBorders>
              <w:top w:val="single" w:sz="8" w:space="0" w:color="auto"/>
              <w:left w:val="nil"/>
              <w:bottom w:val="single" w:sz="8" w:space="0" w:color="auto"/>
              <w:right w:val="single" w:sz="4" w:space="0" w:color="auto"/>
            </w:tcBorders>
            <w:shd w:val="clear" w:color="auto" w:fill="auto"/>
            <w:noWrap/>
            <w:vAlign w:val="bottom"/>
            <w:hideMark/>
          </w:tcPr>
          <w:p w14:paraId="0A5C2CF1" w14:textId="77777777" w:rsidR="0013179B" w:rsidRPr="0013179B" w:rsidRDefault="0013179B" w:rsidP="0013179B">
            <w:pPr>
              <w:spacing w:after="0" w:line="240" w:lineRule="auto"/>
              <w:jc w:val="right"/>
              <w:rPr>
                <w:rFonts w:ascii="Calibri" w:eastAsia="Times New Roman" w:hAnsi="Calibri" w:cs="Arial"/>
                <w:b/>
                <w:bCs/>
                <w:lang w:eastAsia="cs-CZ"/>
              </w:rPr>
            </w:pPr>
            <w:r w:rsidRPr="0013179B">
              <w:rPr>
                <w:rFonts w:ascii="Calibri" w:eastAsia="Times New Roman" w:hAnsi="Calibri" w:cs="Arial"/>
                <w:b/>
                <w:bCs/>
                <w:lang w:eastAsia="cs-CZ"/>
              </w:rPr>
              <w:t>23 162 360,90</w:t>
            </w:r>
          </w:p>
        </w:tc>
        <w:tc>
          <w:tcPr>
            <w:tcW w:w="709" w:type="dxa"/>
            <w:tcBorders>
              <w:top w:val="single" w:sz="8" w:space="0" w:color="auto"/>
              <w:left w:val="nil"/>
              <w:bottom w:val="single" w:sz="8" w:space="0" w:color="auto"/>
              <w:right w:val="single" w:sz="8" w:space="0" w:color="auto"/>
            </w:tcBorders>
            <w:shd w:val="clear" w:color="auto" w:fill="auto"/>
            <w:noWrap/>
            <w:vAlign w:val="bottom"/>
            <w:hideMark/>
          </w:tcPr>
          <w:p w14:paraId="0D34C16B" w14:textId="77777777" w:rsidR="0013179B" w:rsidRPr="0013179B" w:rsidRDefault="0013179B" w:rsidP="0013179B">
            <w:pPr>
              <w:spacing w:after="0" w:line="240" w:lineRule="auto"/>
              <w:jc w:val="right"/>
              <w:rPr>
                <w:rFonts w:ascii="Calibri" w:eastAsia="Times New Roman" w:hAnsi="Calibri" w:cs="Arial"/>
                <w:b/>
                <w:bCs/>
                <w:lang w:eastAsia="cs-CZ"/>
              </w:rPr>
            </w:pPr>
            <w:r w:rsidRPr="0013179B">
              <w:rPr>
                <w:rFonts w:ascii="Calibri" w:eastAsia="Times New Roman" w:hAnsi="Calibri" w:cs="Arial"/>
                <w:b/>
                <w:bCs/>
                <w:lang w:eastAsia="cs-CZ"/>
              </w:rPr>
              <w:t>100,0</w:t>
            </w:r>
          </w:p>
        </w:tc>
      </w:tr>
      <w:tr w:rsidR="0013179B" w:rsidRPr="0013179B" w14:paraId="17B3E535" w14:textId="77777777" w:rsidTr="0013179B">
        <w:trPr>
          <w:trHeight w:val="300"/>
        </w:trPr>
        <w:tc>
          <w:tcPr>
            <w:tcW w:w="967" w:type="dxa"/>
            <w:tcBorders>
              <w:top w:val="nil"/>
              <w:left w:val="nil"/>
              <w:bottom w:val="nil"/>
              <w:right w:val="nil"/>
            </w:tcBorders>
            <w:shd w:val="clear" w:color="auto" w:fill="auto"/>
            <w:noWrap/>
            <w:vAlign w:val="bottom"/>
            <w:hideMark/>
          </w:tcPr>
          <w:p w14:paraId="063E9552" w14:textId="77777777" w:rsidR="0013179B" w:rsidRPr="0013179B" w:rsidRDefault="0013179B" w:rsidP="0013179B">
            <w:pPr>
              <w:spacing w:after="0" w:line="240" w:lineRule="auto"/>
              <w:jc w:val="right"/>
              <w:rPr>
                <w:rFonts w:ascii="Calibri" w:eastAsia="Times New Roman" w:hAnsi="Calibri" w:cs="Arial"/>
                <w:b/>
                <w:bCs/>
                <w:lang w:eastAsia="cs-CZ"/>
              </w:rPr>
            </w:pPr>
          </w:p>
        </w:tc>
        <w:tc>
          <w:tcPr>
            <w:tcW w:w="3554" w:type="dxa"/>
            <w:tcBorders>
              <w:top w:val="nil"/>
              <w:left w:val="nil"/>
              <w:bottom w:val="nil"/>
              <w:right w:val="nil"/>
            </w:tcBorders>
            <w:shd w:val="clear" w:color="auto" w:fill="auto"/>
            <w:noWrap/>
            <w:vAlign w:val="bottom"/>
            <w:hideMark/>
          </w:tcPr>
          <w:p w14:paraId="29F3254F" w14:textId="77777777" w:rsidR="0013179B" w:rsidRPr="0013179B" w:rsidRDefault="0013179B" w:rsidP="0013179B">
            <w:pPr>
              <w:spacing w:after="0" w:line="240" w:lineRule="auto"/>
              <w:jc w:val="center"/>
              <w:rPr>
                <w:rFonts w:ascii="Times New Roman" w:eastAsia="Times New Roman" w:hAnsi="Times New Roman" w:cs="Times New Roman"/>
                <w:sz w:val="20"/>
                <w:szCs w:val="20"/>
                <w:lang w:eastAsia="cs-CZ"/>
              </w:rPr>
            </w:pPr>
          </w:p>
        </w:tc>
        <w:tc>
          <w:tcPr>
            <w:tcW w:w="1432" w:type="dxa"/>
            <w:tcBorders>
              <w:top w:val="nil"/>
              <w:left w:val="nil"/>
              <w:bottom w:val="nil"/>
              <w:right w:val="nil"/>
            </w:tcBorders>
            <w:shd w:val="clear" w:color="auto" w:fill="auto"/>
            <w:noWrap/>
            <w:vAlign w:val="bottom"/>
            <w:hideMark/>
          </w:tcPr>
          <w:p w14:paraId="6FEB1C37" w14:textId="77777777" w:rsidR="0013179B" w:rsidRPr="0013179B" w:rsidRDefault="0013179B" w:rsidP="0013179B">
            <w:pPr>
              <w:spacing w:after="0" w:line="240" w:lineRule="auto"/>
              <w:rPr>
                <w:rFonts w:ascii="Times New Roman" w:eastAsia="Times New Roman" w:hAnsi="Times New Roman" w:cs="Times New Roman"/>
                <w:sz w:val="20"/>
                <w:szCs w:val="20"/>
                <w:lang w:eastAsia="cs-CZ"/>
              </w:rPr>
            </w:pPr>
          </w:p>
        </w:tc>
        <w:tc>
          <w:tcPr>
            <w:tcW w:w="1702" w:type="dxa"/>
            <w:tcBorders>
              <w:top w:val="nil"/>
              <w:left w:val="nil"/>
              <w:bottom w:val="nil"/>
              <w:right w:val="nil"/>
            </w:tcBorders>
            <w:shd w:val="clear" w:color="auto" w:fill="auto"/>
            <w:noWrap/>
            <w:vAlign w:val="bottom"/>
            <w:hideMark/>
          </w:tcPr>
          <w:p w14:paraId="29A665FD" w14:textId="77777777" w:rsidR="0013179B" w:rsidRPr="0013179B" w:rsidRDefault="0013179B" w:rsidP="0013179B">
            <w:pPr>
              <w:spacing w:after="0" w:line="240" w:lineRule="auto"/>
              <w:jc w:val="right"/>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6FA36610" w14:textId="77777777" w:rsidR="0013179B" w:rsidRPr="0013179B" w:rsidRDefault="0013179B" w:rsidP="0013179B">
            <w:pPr>
              <w:spacing w:after="0" w:line="240" w:lineRule="auto"/>
              <w:jc w:val="right"/>
              <w:rPr>
                <w:rFonts w:ascii="Times New Roman" w:eastAsia="Times New Roman" w:hAnsi="Times New Roman" w:cs="Times New Roman"/>
                <w:sz w:val="20"/>
                <w:szCs w:val="20"/>
                <w:lang w:eastAsia="cs-CZ"/>
              </w:rPr>
            </w:pPr>
          </w:p>
        </w:tc>
        <w:tc>
          <w:tcPr>
            <w:tcW w:w="709" w:type="dxa"/>
            <w:tcBorders>
              <w:top w:val="nil"/>
              <w:left w:val="nil"/>
              <w:bottom w:val="nil"/>
              <w:right w:val="nil"/>
            </w:tcBorders>
            <w:shd w:val="clear" w:color="auto" w:fill="auto"/>
            <w:noWrap/>
            <w:vAlign w:val="bottom"/>
            <w:hideMark/>
          </w:tcPr>
          <w:p w14:paraId="6A8F54C4" w14:textId="77777777" w:rsidR="0013179B" w:rsidRPr="0013179B" w:rsidRDefault="0013179B" w:rsidP="0013179B">
            <w:pPr>
              <w:spacing w:after="0" w:line="240" w:lineRule="auto"/>
              <w:jc w:val="right"/>
              <w:rPr>
                <w:rFonts w:ascii="Times New Roman" w:eastAsia="Times New Roman" w:hAnsi="Times New Roman" w:cs="Times New Roman"/>
                <w:sz w:val="20"/>
                <w:szCs w:val="20"/>
                <w:lang w:eastAsia="cs-CZ"/>
              </w:rPr>
            </w:pPr>
          </w:p>
        </w:tc>
      </w:tr>
      <w:tr w:rsidR="0013179B" w:rsidRPr="0013179B" w14:paraId="376F1150" w14:textId="77777777" w:rsidTr="0013179B">
        <w:trPr>
          <w:trHeight w:val="360"/>
        </w:trPr>
        <w:tc>
          <w:tcPr>
            <w:tcW w:w="4521"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6B6CDB59" w14:textId="77777777" w:rsidR="0013179B" w:rsidRPr="0013179B" w:rsidRDefault="0013179B" w:rsidP="0013179B">
            <w:pPr>
              <w:spacing w:after="0" w:line="240" w:lineRule="auto"/>
              <w:rPr>
                <w:rFonts w:ascii="Calibri" w:eastAsia="Times New Roman" w:hAnsi="Calibri" w:cs="Arial"/>
                <w:b/>
                <w:bCs/>
                <w:sz w:val="24"/>
                <w:szCs w:val="24"/>
                <w:lang w:eastAsia="cs-CZ"/>
              </w:rPr>
            </w:pPr>
            <w:r w:rsidRPr="0013179B">
              <w:rPr>
                <w:rFonts w:ascii="Calibri" w:eastAsia="Times New Roman" w:hAnsi="Calibri" w:cs="Arial"/>
                <w:b/>
                <w:bCs/>
                <w:sz w:val="24"/>
                <w:szCs w:val="24"/>
                <w:lang w:eastAsia="cs-CZ"/>
              </w:rPr>
              <w:t xml:space="preserve">Celkem výdaje   </w:t>
            </w:r>
          </w:p>
        </w:tc>
        <w:tc>
          <w:tcPr>
            <w:tcW w:w="1432" w:type="dxa"/>
            <w:tcBorders>
              <w:top w:val="single" w:sz="8" w:space="0" w:color="auto"/>
              <w:left w:val="nil"/>
              <w:bottom w:val="single" w:sz="8" w:space="0" w:color="auto"/>
              <w:right w:val="single" w:sz="8" w:space="0" w:color="auto"/>
            </w:tcBorders>
            <w:shd w:val="clear" w:color="auto" w:fill="auto"/>
            <w:noWrap/>
            <w:vAlign w:val="bottom"/>
            <w:hideMark/>
          </w:tcPr>
          <w:p w14:paraId="4A27CEE8" w14:textId="77777777" w:rsidR="0013179B" w:rsidRPr="0013179B" w:rsidRDefault="0013179B" w:rsidP="0013179B">
            <w:pPr>
              <w:spacing w:after="0" w:line="240" w:lineRule="auto"/>
              <w:jc w:val="right"/>
              <w:rPr>
                <w:rFonts w:ascii="Calibri" w:eastAsia="Times New Roman" w:hAnsi="Calibri" w:cs="Arial"/>
                <w:b/>
                <w:bCs/>
                <w:lang w:eastAsia="cs-CZ"/>
              </w:rPr>
            </w:pPr>
            <w:r w:rsidRPr="0013179B">
              <w:rPr>
                <w:rFonts w:ascii="Calibri" w:eastAsia="Times New Roman" w:hAnsi="Calibri" w:cs="Arial"/>
                <w:b/>
                <w:bCs/>
                <w:lang w:eastAsia="cs-CZ"/>
              </w:rPr>
              <w:t>884 881 000</w:t>
            </w:r>
          </w:p>
        </w:tc>
        <w:tc>
          <w:tcPr>
            <w:tcW w:w="1702" w:type="dxa"/>
            <w:tcBorders>
              <w:top w:val="single" w:sz="8" w:space="0" w:color="auto"/>
              <w:left w:val="nil"/>
              <w:bottom w:val="single" w:sz="8" w:space="0" w:color="auto"/>
              <w:right w:val="single" w:sz="8" w:space="0" w:color="auto"/>
            </w:tcBorders>
            <w:shd w:val="clear" w:color="auto" w:fill="auto"/>
            <w:noWrap/>
            <w:vAlign w:val="bottom"/>
            <w:hideMark/>
          </w:tcPr>
          <w:p w14:paraId="74397192" w14:textId="77777777" w:rsidR="0013179B" w:rsidRPr="0013179B" w:rsidRDefault="0013179B" w:rsidP="0013179B">
            <w:pPr>
              <w:spacing w:after="0" w:line="240" w:lineRule="auto"/>
              <w:jc w:val="right"/>
              <w:rPr>
                <w:rFonts w:ascii="Calibri" w:eastAsia="Times New Roman" w:hAnsi="Calibri" w:cs="Arial"/>
                <w:b/>
                <w:bCs/>
                <w:lang w:eastAsia="cs-CZ"/>
              </w:rPr>
            </w:pPr>
            <w:r w:rsidRPr="0013179B">
              <w:rPr>
                <w:rFonts w:ascii="Calibri" w:eastAsia="Times New Roman" w:hAnsi="Calibri" w:cs="Arial"/>
                <w:b/>
                <w:bCs/>
                <w:lang w:eastAsia="cs-CZ"/>
              </w:rPr>
              <w:t>1 158 040 577,91</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5AC6DF54" w14:textId="77777777" w:rsidR="0013179B" w:rsidRPr="0013179B" w:rsidRDefault="0013179B" w:rsidP="0013179B">
            <w:pPr>
              <w:spacing w:after="0" w:line="240" w:lineRule="auto"/>
              <w:jc w:val="right"/>
              <w:rPr>
                <w:rFonts w:ascii="Calibri" w:eastAsia="Times New Roman" w:hAnsi="Calibri" w:cs="Arial"/>
                <w:b/>
                <w:bCs/>
                <w:lang w:eastAsia="cs-CZ"/>
              </w:rPr>
            </w:pPr>
            <w:r w:rsidRPr="0013179B">
              <w:rPr>
                <w:rFonts w:ascii="Calibri" w:eastAsia="Times New Roman" w:hAnsi="Calibri" w:cs="Arial"/>
                <w:b/>
                <w:bCs/>
                <w:lang w:eastAsia="cs-CZ"/>
              </w:rPr>
              <w:t>1 134 051 951,37</w:t>
            </w:r>
          </w:p>
        </w:tc>
        <w:tc>
          <w:tcPr>
            <w:tcW w:w="709"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14:paraId="1A728BEF" w14:textId="77777777" w:rsidR="0013179B" w:rsidRPr="0013179B" w:rsidRDefault="0013179B" w:rsidP="0013179B">
            <w:pPr>
              <w:spacing w:after="0" w:line="240" w:lineRule="auto"/>
              <w:jc w:val="right"/>
              <w:rPr>
                <w:rFonts w:ascii="Calibri" w:eastAsia="Times New Roman" w:hAnsi="Calibri" w:cs="Arial"/>
                <w:b/>
                <w:bCs/>
                <w:lang w:eastAsia="cs-CZ"/>
              </w:rPr>
            </w:pPr>
            <w:r w:rsidRPr="0013179B">
              <w:rPr>
                <w:rFonts w:ascii="Calibri" w:eastAsia="Times New Roman" w:hAnsi="Calibri" w:cs="Arial"/>
                <w:b/>
                <w:bCs/>
                <w:lang w:eastAsia="cs-CZ"/>
              </w:rPr>
              <w:t>97,9</w:t>
            </w:r>
          </w:p>
        </w:tc>
      </w:tr>
    </w:tbl>
    <w:p w14:paraId="6A363CEC" w14:textId="52C0900D" w:rsidR="00A617CD" w:rsidRDefault="00A617CD" w:rsidP="00A617CD">
      <w:pPr>
        <w:rPr>
          <w:rFonts w:cs="Calibri"/>
          <w:b/>
          <w:bCs/>
          <w:u w:val="single"/>
        </w:rPr>
      </w:pPr>
    </w:p>
    <w:p w14:paraId="40632B9F" w14:textId="5CC53DE9" w:rsidR="00B83477" w:rsidRDefault="00B83477" w:rsidP="00A617CD">
      <w:pPr>
        <w:rPr>
          <w:rFonts w:cs="Calibri"/>
          <w:b/>
          <w:bCs/>
          <w:u w:val="single"/>
        </w:rPr>
      </w:pPr>
    </w:p>
    <w:p w14:paraId="15E4F069" w14:textId="0AE79AAE" w:rsidR="00797F22" w:rsidRDefault="00797F22" w:rsidP="00A617CD">
      <w:pPr>
        <w:rPr>
          <w:rFonts w:cs="Calibri"/>
          <w:b/>
          <w:bCs/>
          <w:u w:val="single"/>
        </w:rPr>
      </w:pPr>
    </w:p>
    <w:p w14:paraId="7225B0F7" w14:textId="2B02F6EE" w:rsidR="00797F22" w:rsidRDefault="00797F22" w:rsidP="00A617CD">
      <w:pPr>
        <w:rPr>
          <w:rFonts w:cs="Calibri"/>
          <w:b/>
          <w:bCs/>
          <w:u w:val="single"/>
        </w:rPr>
      </w:pPr>
    </w:p>
    <w:p w14:paraId="2BC7E466" w14:textId="2E91F206" w:rsidR="00797F22" w:rsidRDefault="00797F22" w:rsidP="00A617CD">
      <w:pPr>
        <w:rPr>
          <w:rFonts w:cs="Calibri"/>
          <w:b/>
          <w:bCs/>
          <w:u w:val="single"/>
        </w:rPr>
      </w:pPr>
    </w:p>
    <w:p w14:paraId="2FFEA945" w14:textId="57B094C8" w:rsidR="00797F22" w:rsidRDefault="00797F22" w:rsidP="00A617CD">
      <w:pPr>
        <w:rPr>
          <w:rFonts w:cs="Calibri"/>
          <w:b/>
          <w:bCs/>
          <w:u w:val="single"/>
        </w:rPr>
      </w:pPr>
    </w:p>
    <w:p w14:paraId="2C4898E5" w14:textId="781E53AB" w:rsidR="00797F22" w:rsidRDefault="00797F22" w:rsidP="00A617CD">
      <w:pPr>
        <w:rPr>
          <w:rFonts w:cs="Calibri"/>
          <w:b/>
          <w:bCs/>
          <w:u w:val="single"/>
        </w:rPr>
      </w:pPr>
    </w:p>
    <w:p w14:paraId="3E7CB617" w14:textId="77777777" w:rsidR="00797F22" w:rsidRDefault="00797F22" w:rsidP="00A617CD">
      <w:pPr>
        <w:rPr>
          <w:rFonts w:cs="Calibri"/>
          <w:b/>
          <w:bCs/>
          <w:u w:val="single"/>
        </w:rPr>
      </w:pPr>
    </w:p>
    <w:p w14:paraId="3DCC078C" w14:textId="77777777" w:rsidR="00A617CD" w:rsidRPr="00635A9A" w:rsidRDefault="00A617CD" w:rsidP="00A617CD">
      <w:pPr>
        <w:spacing w:after="0" w:line="240" w:lineRule="auto"/>
        <w:jc w:val="both"/>
        <w:rPr>
          <w:rFonts w:cstheme="minorHAnsi"/>
          <w:sz w:val="28"/>
          <w:szCs w:val="28"/>
        </w:rPr>
      </w:pPr>
      <w:r w:rsidRPr="00635A9A">
        <w:rPr>
          <w:rFonts w:cstheme="minorHAnsi"/>
          <w:b/>
          <w:bCs/>
          <w:sz w:val="28"/>
          <w:szCs w:val="28"/>
          <w:u w:val="single"/>
        </w:rPr>
        <w:lastRenderedPageBreak/>
        <w:t>Kapitola 07 – Zdravotnictví</w:t>
      </w:r>
    </w:p>
    <w:p w14:paraId="574A4938" w14:textId="77777777" w:rsidR="00A617CD" w:rsidRPr="00635A9A" w:rsidRDefault="00A617CD" w:rsidP="00A617CD">
      <w:pPr>
        <w:spacing w:after="0" w:line="240" w:lineRule="auto"/>
        <w:jc w:val="both"/>
        <w:rPr>
          <w:rFonts w:cstheme="minorHAnsi"/>
          <w:b/>
          <w:bCs/>
          <w:sz w:val="24"/>
          <w:szCs w:val="24"/>
          <w:u w:val="single"/>
        </w:rPr>
      </w:pPr>
    </w:p>
    <w:p w14:paraId="57E7CE7F" w14:textId="77777777" w:rsidR="00A617CD" w:rsidRPr="00635A9A" w:rsidRDefault="00A617CD" w:rsidP="00A617CD">
      <w:pPr>
        <w:spacing w:after="0" w:line="240" w:lineRule="auto"/>
        <w:jc w:val="both"/>
        <w:rPr>
          <w:rFonts w:cstheme="minorHAnsi"/>
          <w:b/>
          <w:bCs/>
          <w:sz w:val="24"/>
          <w:szCs w:val="24"/>
          <w:u w:val="single"/>
        </w:rPr>
      </w:pPr>
      <w:r w:rsidRPr="00635A9A">
        <w:rPr>
          <w:rFonts w:cstheme="minorHAnsi"/>
          <w:b/>
          <w:bCs/>
          <w:sz w:val="24"/>
          <w:szCs w:val="24"/>
          <w:u w:val="single"/>
        </w:rPr>
        <w:t>Běžné výdaje</w:t>
      </w:r>
    </w:p>
    <w:p w14:paraId="72E9C037" w14:textId="77777777" w:rsidR="00A617CD" w:rsidRPr="00635A9A" w:rsidRDefault="00A617CD" w:rsidP="00A617CD">
      <w:pPr>
        <w:spacing w:after="0" w:line="240" w:lineRule="auto"/>
        <w:jc w:val="both"/>
        <w:rPr>
          <w:rFonts w:cstheme="minorHAnsi"/>
          <w:b/>
          <w:bCs/>
        </w:rPr>
      </w:pPr>
    </w:p>
    <w:p w14:paraId="0C7FF545" w14:textId="77777777" w:rsidR="00A617CD" w:rsidRPr="00B86756" w:rsidRDefault="00A617CD" w:rsidP="00A617CD">
      <w:pPr>
        <w:spacing w:after="0" w:line="240" w:lineRule="auto"/>
        <w:jc w:val="both"/>
        <w:rPr>
          <w:rFonts w:cstheme="minorHAnsi"/>
          <w:b/>
          <w:bCs/>
        </w:rPr>
      </w:pPr>
      <w:r w:rsidRPr="00B86756">
        <w:rPr>
          <w:rFonts w:cstheme="minorHAnsi"/>
          <w:b/>
          <w:bCs/>
        </w:rPr>
        <w:t xml:space="preserve">§ 3513 – Lékařská služba první pomoci  </w:t>
      </w:r>
    </w:p>
    <w:p w14:paraId="23F11223" w14:textId="77777777" w:rsidR="00A617CD" w:rsidRPr="00432D66" w:rsidRDefault="00A617CD" w:rsidP="00A617CD">
      <w:pPr>
        <w:pStyle w:val="tun"/>
        <w:snapToGrid w:val="0"/>
        <w:spacing w:line="240" w:lineRule="auto"/>
        <w:jc w:val="both"/>
        <w:rPr>
          <w:rFonts w:asciiTheme="minorHAnsi" w:eastAsiaTheme="minorHAnsi" w:hAnsiTheme="minorHAnsi" w:cstheme="minorHAnsi"/>
          <w:b w:val="0"/>
          <w:szCs w:val="22"/>
          <w:lang w:eastAsia="en-US"/>
        </w:rPr>
      </w:pPr>
      <w:r w:rsidRPr="00432D66">
        <w:rPr>
          <w:rFonts w:asciiTheme="minorHAnsi" w:eastAsiaTheme="minorHAnsi" w:hAnsiTheme="minorHAnsi" w:cstheme="minorHAnsi"/>
          <w:b w:val="0"/>
          <w:szCs w:val="22"/>
          <w:lang w:eastAsia="en-US"/>
        </w:rPr>
        <w:t>Usnesením č. 006-02/2020/ZK ze dne 14. 12. 2020 byl schválen rozpočet běžných výdajů kapitoly 07 – Zdravotnictví na rok 2021. V této částce byla zahrnuta i částka na zajištění</w:t>
      </w:r>
      <w:r w:rsidRPr="00432D66">
        <w:rPr>
          <w:rFonts w:asciiTheme="minorHAnsi" w:hAnsiTheme="minorHAnsi" w:cstheme="minorHAnsi"/>
          <w:b w:val="0"/>
          <w:szCs w:val="22"/>
        </w:rPr>
        <w:t xml:space="preserve"> lékařské pohotovostní služby (dále jen LPS) na rok 2021 v celkové výši 41 876 000,00 Kč</w:t>
      </w:r>
      <w:r w:rsidRPr="00432D66">
        <w:rPr>
          <w:rFonts w:asciiTheme="minorHAnsi" w:eastAsiaTheme="minorHAnsi" w:hAnsiTheme="minorHAnsi" w:cstheme="minorHAnsi"/>
          <w:b w:val="0"/>
          <w:szCs w:val="22"/>
          <w:lang w:eastAsia="en-US"/>
        </w:rPr>
        <w:t>. Na zajištění LPS a pohotovostní služby v oboru zubní lékařství se v roce 2021 podíleli poskytovatelé zdravotních služeb lůžkové formy péče (v centrálních ordinacích nemocnic založených Středočeským krajem a ostatních lůžkových zdravotnických zařízeních ve Středočeském kraji), na zajištění pohotovostní služby v oboru zubní lékařství v oblastech Rakovník, Nymburk a Čáslav se dále podíleli poskytovatelé zdravotních služeb ambulantní formy péče ve vlastních ordinacích.</w:t>
      </w:r>
    </w:p>
    <w:p w14:paraId="725199C9" w14:textId="77777777" w:rsidR="00A617CD" w:rsidRPr="00432D66" w:rsidRDefault="00A617CD" w:rsidP="00A617CD">
      <w:pPr>
        <w:spacing w:after="0" w:line="240" w:lineRule="auto"/>
        <w:jc w:val="both"/>
        <w:rPr>
          <w:rFonts w:cstheme="minorHAnsi"/>
        </w:rPr>
      </w:pPr>
      <w:r w:rsidRPr="00432D66">
        <w:rPr>
          <w:rFonts w:cstheme="minorHAnsi"/>
        </w:rPr>
        <w:t>Usnesením č. 037-04/2021/ZK ze dne 22. 2. 2021 bylo schváleno rozdělení částky na zajištění LPS pro jednotlivé nemocnice založené Středočeským krajem, poskytovatele zdravotních služeb lůžkové a ambulantní formy péče na území Středočeského kraje v celkové výši 41 875 200,00 Kč. Částka ve výši 800,00 Kč zůstala nerozdělena a měla být použita v průběhu roku 2021 na navýšení rozdělených částek za poskytované služby LPS.</w:t>
      </w:r>
    </w:p>
    <w:p w14:paraId="3F85A264" w14:textId="77777777" w:rsidR="00A617CD" w:rsidRPr="00432D66" w:rsidRDefault="00A617CD" w:rsidP="00A617CD">
      <w:pPr>
        <w:spacing w:after="0" w:line="240" w:lineRule="auto"/>
        <w:jc w:val="both"/>
        <w:rPr>
          <w:rFonts w:cstheme="minorHAnsi"/>
        </w:rPr>
      </w:pPr>
      <w:r w:rsidRPr="00432D66">
        <w:rPr>
          <w:rFonts w:cstheme="minorHAnsi"/>
        </w:rPr>
        <w:t xml:space="preserve">Usnesením č. 007-06/2021/ZK ze dne 26. 4. 2021 (rozdělení zůstatku hospodaření Středočeského kraje z roku 2020) byl paragraf navýšen o 1 942 989,00 Kč. Jednalo se o převod nedočerpané částky z roku 2020 do rozpočtu kapitoly 07 – Zdravotnictví na rok 2021. </w:t>
      </w:r>
    </w:p>
    <w:p w14:paraId="04B39F3D" w14:textId="77777777" w:rsidR="00A617CD" w:rsidRPr="00432D66" w:rsidRDefault="00A617CD" w:rsidP="00A617CD">
      <w:pPr>
        <w:spacing w:after="0" w:line="240" w:lineRule="auto"/>
        <w:jc w:val="both"/>
        <w:rPr>
          <w:rFonts w:cstheme="minorHAnsi"/>
          <w:bCs/>
        </w:rPr>
      </w:pPr>
      <w:r w:rsidRPr="00432D66">
        <w:rPr>
          <w:rFonts w:cstheme="minorHAnsi"/>
        </w:rPr>
        <w:t xml:space="preserve">V roce 2021 zajišťovala poskytování lékařské pohotovostní služby na území Středočeského kraje tato zdravotnická zařízení: Oblastní nemocnice Příbram, a. s., Nemocnice Rudolfa a Stefanie Benešov, a. s., nemocnice SČK, Oblastní nemocnice Kladno, a. s., nemocnice SČK, Oblastní nemocnice Kolín, a. s., nemocnice SČK, Oblastní nemocnice Mladá Boleslav, a. s., nemocnice SČK, dále Nemocnice Slaný (zajišťovala LPS pro dospělé a LPS pro děti a dorost), Nemocnice Nymburk, s. r. o. (zajišťovala LPS pro dospělé a LPS pro děti a dorost), Mělnická zdravotní a. s. - Nemocnice Mělník (zajišťovala LPS pro dospělé a LPS pro děti a dorost), </w:t>
      </w:r>
      <w:r w:rsidRPr="00432D66">
        <w:rPr>
          <w:rFonts w:cstheme="minorHAnsi"/>
          <w:color w:val="FF0000"/>
        </w:rPr>
        <w:t xml:space="preserve"> </w:t>
      </w:r>
      <w:r w:rsidRPr="00432D66">
        <w:rPr>
          <w:rFonts w:cstheme="minorHAnsi"/>
        </w:rPr>
        <w:t>Masarykova nemocnice Rakovník s. r. o. (zajišťovala LPS pro dospělé), JESSENIA a. s. - Rehabilitační nemocnice Beroun (zajišťovala LPS pro dospělé), NH Hospital a. s. - Nemocnice Hořovice (zajišťovala LPS pro dospělé a LPS pro děti a dorost), Nemocnice Říčany a. s. (zajišťovala LPS pro dospělé), Městská nemocnice Městec Králové, a. s. (zajišťovala LPS pro dospělé).</w:t>
      </w:r>
      <w:r w:rsidRPr="00432D66">
        <w:rPr>
          <w:rFonts w:cstheme="minorHAnsi"/>
          <w:bCs/>
        </w:rPr>
        <w:t xml:space="preserve"> </w:t>
      </w:r>
      <w:r w:rsidRPr="00432D66">
        <w:rPr>
          <w:rFonts w:cstheme="minorHAnsi"/>
        </w:rPr>
        <w:t xml:space="preserve">Uvedeným poskytovatelům LPS byly finanční prostředky v roce 2021 poskytnuty na základě usnesení orgánů kraje a uzavřených veřejnoprávních smluv. </w:t>
      </w:r>
    </w:p>
    <w:p w14:paraId="79F09084" w14:textId="77777777" w:rsidR="00A617CD" w:rsidRPr="00432D66" w:rsidRDefault="00A617CD" w:rsidP="00A617CD">
      <w:pPr>
        <w:spacing w:after="0" w:line="240" w:lineRule="auto"/>
        <w:jc w:val="both"/>
        <w:rPr>
          <w:rFonts w:cstheme="minorHAnsi"/>
        </w:rPr>
      </w:pPr>
      <w:r w:rsidRPr="00432D66">
        <w:rPr>
          <w:rFonts w:cstheme="minorHAnsi"/>
        </w:rPr>
        <w:t>Jednotlivým stomatologům byly finanční prostředky v roce 2021 poskytnuty na základě usnesení orgánů kraje, uzavřených veřejnoprávních smluv a předloženého vyúčtování o zajištění pohotovostní služby v oboru zubní lékařství.</w:t>
      </w:r>
    </w:p>
    <w:p w14:paraId="1CE52259" w14:textId="77777777" w:rsidR="00A617CD" w:rsidRPr="00432D66" w:rsidRDefault="00A617CD" w:rsidP="00A617CD">
      <w:pPr>
        <w:spacing w:after="0" w:line="240" w:lineRule="auto"/>
        <w:jc w:val="both"/>
        <w:rPr>
          <w:rFonts w:cstheme="minorHAnsi"/>
        </w:rPr>
      </w:pPr>
      <w:r w:rsidRPr="00432D66">
        <w:rPr>
          <w:rFonts w:cstheme="minorHAnsi"/>
        </w:rPr>
        <w:t>Prostředky byly čerpány ve výši 95,2 % upraveného rozpočtu.</w:t>
      </w:r>
    </w:p>
    <w:p w14:paraId="0BCD2D49" w14:textId="77777777" w:rsidR="00A617CD" w:rsidRPr="00432D66" w:rsidRDefault="00A617CD" w:rsidP="00A617CD">
      <w:pPr>
        <w:spacing w:after="0" w:line="240" w:lineRule="auto"/>
        <w:jc w:val="both"/>
        <w:rPr>
          <w:rFonts w:cstheme="minorHAnsi"/>
        </w:rPr>
      </w:pPr>
    </w:p>
    <w:p w14:paraId="594EF9D9" w14:textId="77777777" w:rsidR="00A617CD" w:rsidRPr="00432D66" w:rsidRDefault="00A617CD" w:rsidP="00A617CD">
      <w:pPr>
        <w:spacing w:after="0" w:line="240" w:lineRule="auto"/>
        <w:jc w:val="both"/>
        <w:rPr>
          <w:rFonts w:cstheme="minorHAnsi"/>
          <w:b/>
          <w:bCs/>
        </w:rPr>
      </w:pPr>
      <w:r w:rsidRPr="00432D66">
        <w:rPr>
          <w:rFonts w:cstheme="minorHAnsi"/>
          <w:b/>
          <w:bCs/>
        </w:rPr>
        <w:t>§ 3522 Ostatní nemocnice – Nemocnice Rudolfa a Stefanie Benešov, a. s., nemocnice Středočeského kraje – kybernetický útok v r. 2019</w:t>
      </w:r>
    </w:p>
    <w:p w14:paraId="45D3D9BD" w14:textId="54EAEA8E" w:rsidR="00A617CD" w:rsidRPr="00432D66" w:rsidRDefault="00A617CD" w:rsidP="00A617CD">
      <w:pPr>
        <w:spacing w:after="0" w:line="240" w:lineRule="auto"/>
        <w:jc w:val="both"/>
        <w:rPr>
          <w:rFonts w:cstheme="minorHAnsi"/>
        </w:rPr>
      </w:pPr>
      <w:r w:rsidRPr="00432D66">
        <w:rPr>
          <w:rFonts w:cstheme="minorHAnsi"/>
        </w:rPr>
        <w:t>Usnesením č. 040-41/2021/RK ze dne 4. 11. 2021 byly převedeny finanční prostředky ve výši 12 450 000,00 Kč z kap</w:t>
      </w:r>
      <w:r w:rsidR="003F001E">
        <w:rPr>
          <w:rFonts w:cstheme="minorHAnsi"/>
        </w:rPr>
        <w:t>itoly</w:t>
      </w:r>
      <w:r w:rsidRPr="00432D66">
        <w:rPr>
          <w:rFonts w:cstheme="minorHAnsi"/>
        </w:rPr>
        <w:t xml:space="preserve"> 23 – Ostatní, Rezerva SK. Usnesením č. 049-11/2021/ZK ze dne 29.</w:t>
      </w:r>
      <w:r>
        <w:rPr>
          <w:rFonts w:cstheme="minorHAnsi"/>
        </w:rPr>
        <w:t xml:space="preserve"> </w:t>
      </w:r>
      <w:r w:rsidRPr="00432D66">
        <w:rPr>
          <w:rFonts w:cstheme="minorHAnsi"/>
        </w:rPr>
        <w:t>11.</w:t>
      </w:r>
      <w:r>
        <w:rPr>
          <w:rFonts w:cstheme="minorHAnsi"/>
        </w:rPr>
        <w:t xml:space="preserve"> </w:t>
      </w:r>
      <w:r w:rsidRPr="00432D66">
        <w:rPr>
          <w:rFonts w:cstheme="minorHAnsi"/>
        </w:rPr>
        <w:t xml:space="preserve">2021 bylo schváleno poskytnutí účelové neinvestiční dotace z rozpočtu Středočeského kraje pro Nemocnici Rudolfa a Stefanie Benešov, a. s., nemocnici Středočeského kraje na úhradu spoluúčasti přímých nákladů spojených s kybernetickým útokem v prosinci 2019. </w:t>
      </w:r>
    </w:p>
    <w:p w14:paraId="6B5514AE" w14:textId="0A1B017F" w:rsidR="00A617CD" w:rsidRPr="00432D66" w:rsidRDefault="00A617CD" w:rsidP="00A617CD">
      <w:pPr>
        <w:spacing w:after="0" w:line="240" w:lineRule="auto"/>
        <w:rPr>
          <w:rFonts w:cstheme="minorHAnsi"/>
        </w:rPr>
      </w:pPr>
      <w:r w:rsidRPr="00432D66">
        <w:rPr>
          <w:rFonts w:cstheme="minorHAnsi"/>
        </w:rPr>
        <w:t xml:space="preserve">Finanční prostředky byly poskytnuty </w:t>
      </w:r>
      <w:r w:rsidRPr="00432D66">
        <w:rPr>
          <w:rFonts w:cstheme="minorHAnsi"/>
          <w:bCs/>
        </w:rPr>
        <w:t xml:space="preserve">na základě usnesení orgánů kraje a uzavřené veřejnoprávní smlouvy. </w:t>
      </w:r>
      <w:r w:rsidRPr="00432D66">
        <w:rPr>
          <w:rFonts w:cstheme="minorHAnsi"/>
        </w:rPr>
        <w:t xml:space="preserve"> Čerpány byly ve výši 100</w:t>
      </w:r>
      <w:r w:rsidR="003F001E">
        <w:rPr>
          <w:rFonts w:cstheme="minorHAnsi"/>
        </w:rPr>
        <w:t>,0</w:t>
      </w:r>
      <w:r w:rsidRPr="00432D66">
        <w:rPr>
          <w:rFonts w:cstheme="minorHAnsi"/>
        </w:rPr>
        <w:t xml:space="preserve"> % upraveného rozpočtu.</w:t>
      </w:r>
    </w:p>
    <w:p w14:paraId="3A073C11" w14:textId="77777777" w:rsidR="00A617CD" w:rsidRPr="00432D66" w:rsidRDefault="00A617CD" w:rsidP="00A617CD">
      <w:pPr>
        <w:spacing w:after="0" w:line="240" w:lineRule="auto"/>
        <w:jc w:val="both"/>
        <w:rPr>
          <w:rFonts w:cstheme="minorHAnsi"/>
        </w:rPr>
      </w:pPr>
    </w:p>
    <w:p w14:paraId="42981E89" w14:textId="77777777" w:rsidR="00A617CD" w:rsidRPr="00432D66" w:rsidRDefault="00A617CD" w:rsidP="00A617CD">
      <w:pPr>
        <w:spacing w:after="0" w:line="240" w:lineRule="auto"/>
        <w:jc w:val="both"/>
        <w:rPr>
          <w:rFonts w:cstheme="minorHAnsi"/>
          <w:b/>
          <w:bCs/>
        </w:rPr>
      </w:pPr>
      <w:r w:rsidRPr="00432D66">
        <w:rPr>
          <w:rFonts w:cstheme="minorHAnsi"/>
          <w:b/>
          <w:bCs/>
        </w:rPr>
        <w:t>§</w:t>
      </w:r>
      <w:r w:rsidRPr="00432D66">
        <w:rPr>
          <w:rFonts w:cstheme="minorHAnsi"/>
        </w:rPr>
        <w:t xml:space="preserve"> </w:t>
      </w:r>
      <w:r w:rsidRPr="00432D66">
        <w:rPr>
          <w:rFonts w:cstheme="minorHAnsi"/>
          <w:b/>
          <w:bCs/>
        </w:rPr>
        <w:t>3529 – Ostatní ústavní péče (dětská centra) - příspěvek příspěvkovým organizacím</w:t>
      </w:r>
    </w:p>
    <w:p w14:paraId="60D836BF" w14:textId="77777777" w:rsidR="00A617CD" w:rsidRPr="00432D66" w:rsidRDefault="00A617CD" w:rsidP="00A617CD">
      <w:pPr>
        <w:spacing w:after="0" w:line="240" w:lineRule="auto"/>
        <w:jc w:val="both"/>
        <w:rPr>
          <w:rFonts w:cstheme="minorHAnsi"/>
        </w:rPr>
      </w:pPr>
      <w:r w:rsidRPr="00432D66">
        <w:rPr>
          <w:rFonts w:cstheme="minorHAnsi"/>
        </w:rPr>
        <w:t>Středočeský kraj je zřizovatelem těchto dětských center: Dětské centrum Kladno, příspěvková organizace; Dětské centrum Milovice, příspěvková organizace; Dětské centrum Chocerady - centrum komplexní péče, příspěvková organizace a Dětské centrum Kolín, příspěvková organizace (dále jen DC).</w:t>
      </w:r>
    </w:p>
    <w:p w14:paraId="61B93A71" w14:textId="7F4A594B" w:rsidR="00A617CD" w:rsidRPr="00432D66" w:rsidRDefault="00A617CD" w:rsidP="00A617CD">
      <w:pPr>
        <w:spacing w:after="0" w:line="240" w:lineRule="auto"/>
        <w:jc w:val="both"/>
        <w:rPr>
          <w:rFonts w:cstheme="minorHAnsi"/>
        </w:rPr>
      </w:pPr>
      <w:r w:rsidRPr="00432D66">
        <w:rPr>
          <w:rFonts w:cstheme="minorHAnsi"/>
          <w:noProof/>
        </w:rPr>
        <w:t xml:space="preserve">Finanční prostředky ve výši 124 269 000,00 Kč byly schváleny </w:t>
      </w:r>
      <w:r w:rsidRPr="00432D66">
        <w:rPr>
          <w:rFonts w:cstheme="minorHAnsi"/>
        </w:rPr>
        <w:t>usnesením č. 006-02/2020/ZK ze dne 14. 12. 2020</w:t>
      </w:r>
      <w:r w:rsidR="003F001E">
        <w:rPr>
          <w:rFonts w:cstheme="minorHAnsi"/>
        </w:rPr>
        <w:t>.</w:t>
      </w:r>
      <w:r w:rsidRPr="00432D66">
        <w:rPr>
          <w:rFonts w:cstheme="minorHAnsi"/>
        </w:rPr>
        <w:t xml:space="preserve"> Usnesením č. 049-06/2021/RK ze dne 11. 2. 2021 byl schválen převod finančních prostředků z kapitoly 23 – Ostatní, specifické rezervy (rezerva na krytí propadu daňových příjmů) na navýšení příspěvku na provoz DC ve výši fixace rezervních fondů z roku 2020 v celkové výši 4 000 000,00 Kč (každé DC obdrželo 1 000 000,00 Kč). Tímto usnesením byla ukončena platnost závazného ukazatele „vázaný zůstatek rezervního fondu PO pro rok 2020“ pro použití v roce 2021 dle přijatého usnesení č. 025-53/2020/RK ze dne 20. 7. 2020. Na základě u</w:t>
      </w:r>
      <w:r w:rsidRPr="00432D66">
        <w:rPr>
          <w:rFonts w:ascii="Calibri" w:hAnsi="Calibri" w:cs="Calibri"/>
        </w:rPr>
        <w:t xml:space="preserve">snesení č. 007-04/2021/ZK ze dne 22. 2. 2021 (navýšení rozpočtu Středočeského kraje o prostředky ze sdílených daní a nevyčerpané prostředky z roku 2020) </w:t>
      </w:r>
      <w:r w:rsidRPr="00432D66">
        <w:rPr>
          <w:rFonts w:ascii="Calibri" w:hAnsi="Calibri" w:cs="Calibri"/>
        </w:rPr>
        <w:lastRenderedPageBreak/>
        <w:t xml:space="preserve">byl navýšen příspěvek na mzdy </w:t>
      </w:r>
      <w:r w:rsidRPr="00432D66">
        <w:rPr>
          <w:rFonts w:cstheme="minorHAnsi"/>
        </w:rPr>
        <w:t xml:space="preserve">v celkové výši 9 176 000,00 Kč (z toho: DC Kladno - částka 2 700 000,00 Kč, DC Kolín - částka 1 682 000,00 Kč, DC Milovice - částka 2 000 000,00 Kč, DC Chocerady - částka 2 794 000,00 Kč) a příspěvek na provoz v celkové výši 17 000 000,00 Kč (z toho: DC Kladno - částka 2 500 000,00 Kč, DC Kolín - částka 3 600 000,00 Kč, DC Milovice 2 500 000,00 Kč, DC Chocerady - částka 8 400 000,00 Kč). Usnesením č. 007-06/2021/ZK ze dne 26. 4. 2021 (rozdělení zůstatku hospodaření Středočeského kraje z roku 2020) bylo schváleno navýšení prostředků o částku v celkové výši 524 294,00 Kč. Jedná se o zapojení nedočerpaných prostředků v roce 2020 na obnovu majetku ve správě PO (částka 370 040,00 Kč) a o zapojení nedočerpaných prostředků PO v souvislosti se zavedením GDPR (částka 154 254,00 Kč). </w:t>
      </w:r>
    </w:p>
    <w:p w14:paraId="1A03E0F6" w14:textId="77777777" w:rsidR="00A617CD" w:rsidRPr="00432D66" w:rsidRDefault="00A617CD" w:rsidP="00A617CD">
      <w:pPr>
        <w:spacing w:after="0" w:line="240" w:lineRule="auto"/>
        <w:jc w:val="both"/>
        <w:rPr>
          <w:rFonts w:cstheme="minorHAnsi"/>
        </w:rPr>
      </w:pPr>
      <w:r w:rsidRPr="00432D66">
        <w:rPr>
          <w:rFonts w:cstheme="minorHAnsi"/>
        </w:rPr>
        <w:t xml:space="preserve">Schválené finanční prostředky byly na provoz dětským centrům v roce 2021 poskytovány měsíčně a použity např. na mzdové náklady zaměstnanců, na úhradu nákupu spotřebního materiálu, spotřebu energií, nákupu potravin, atd. </w:t>
      </w:r>
    </w:p>
    <w:p w14:paraId="21DA0407" w14:textId="499EA59F" w:rsidR="00A617CD" w:rsidRPr="00432D66" w:rsidRDefault="00A617CD" w:rsidP="00A617CD">
      <w:pPr>
        <w:spacing w:after="0" w:line="240" w:lineRule="auto"/>
        <w:rPr>
          <w:rFonts w:cstheme="minorHAnsi"/>
        </w:rPr>
      </w:pPr>
      <w:r w:rsidRPr="00432D66">
        <w:rPr>
          <w:rFonts w:cstheme="minorHAnsi"/>
        </w:rPr>
        <w:t>Prostředky byly čerpány ve výši 100</w:t>
      </w:r>
      <w:r w:rsidR="003F001E">
        <w:rPr>
          <w:rFonts w:cstheme="minorHAnsi"/>
        </w:rPr>
        <w:t>,0</w:t>
      </w:r>
      <w:r w:rsidRPr="00432D66">
        <w:rPr>
          <w:rFonts w:cstheme="minorHAnsi"/>
        </w:rPr>
        <w:t xml:space="preserve"> % upraveného rozpočtu. </w:t>
      </w:r>
    </w:p>
    <w:p w14:paraId="43D93F09" w14:textId="77777777" w:rsidR="00A617CD" w:rsidRPr="00432D66" w:rsidRDefault="00A617CD" w:rsidP="00A617CD">
      <w:pPr>
        <w:spacing w:after="0" w:line="240" w:lineRule="auto"/>
        <w:jc w:val="both"/>
        <w:rPr>
          <w:rFonts w:cstheme="minorHAnsi"/>
          <w:b/>
          <w:bCs/>
        </w:rPr>
      </w:pPr>
    </w:p>
    <w:p w14:paraId="0054027B" w14:textId="77777777" w:rsidR="00A617CD" w:rsidRPr="00432D66" w:rsidRDefault="00A617CD" w:rsidP="00A617CD">
      <w:pPr>
        <w:spacing w:after="0" w:line="240" w:lineRule="auto"/>
        <w:jc w:val="both"/>
        <w:rPr>
          <w:rFonts w:cstheme="minorHAnsi"/>
          <w:b/>
        </w:rPr>
      </w:pPr>
      <w:r w:rsidRPr="00432D66">
        <w:rPr>
          <w:rFonts w:cstheme="minorHAnsi"/>
          <w:b/>
          <w:bCs/>
        </w:rPr>
        <w:t>§ 3533 – Zdravotnická záchranná služba - příspěvek příspěvkovým organizacím</w:t>
      </w:r>
    </w:p>
    <w:p w14:paraId="31EFE3BA" w14:textId="4155A054" w:rsidR="00A617CD" w:rsidRPr="00432D66" w:rsidRDefault="00A617CD" w:rsidP="00A617CD">
      <w:pPr>
        <w:spacing w:after="0" w:line="240" w:lineRule="auto"/>
        <w:jc w:val="both"/>
        <w:rPr>
          <w:rFonts w:cstheme="minorHAnsi"/>
        </w:rPr>
      </w:pPr>
      <w:r w:rsidRPr="00432D66">
        <w:rPr>
          <w:rFonts w:cstheme="minorHAnsi"/>
          <w:noProof/>
        </w:rPr>
        <w:t xml:space="preserve">Výše rozpočtu (ÚZ 555 - příspěvek na mzdové výdaje) byla schválena </w:t>
      </w:r>
      <w:r w:rsidRPr="00432D66">
        <w:rPr>
          <w:rFonts w:cstheme="minorHAnsi"/>
        </w:rPr>
        <w:t>usnesením č. 006-02/2020/ZK ze dne 14. 12. 2020. Na základě u</w:t>
      </w:r>
      <w:r w:rsidRPr="00432D66">
        <w:rPr>
          <w:rFonts w:ascii="Calibri" w:hAnsi="Calibri" w:cs="Calibri"/>
        </w:rPr>
        <w:t>snesení č. 007-04/2021/ZK ze dne 22. 2. 2021 (navýšení rozpočtu Středočeského kraje o prostředky ze sdílených daní a nevyčerpané prostředky z roku 2020) byl navýšen příspěvek na mzdy</w:t>
      </w:r>
      <w:r w:rsidRPr="00432D66">
        <w:rPr>
          <w:rFonts w:cstheme="minorHAnsi"/>
        </w:rPr>
        <w:t xml:space="preserve"> o částku 52 000 000,00 Kč. Usnesením č. 071-04/2021/RK ze dne 28. 1. 2021 byl schválen převod finančních prostředků z</w:t>
      </w:r>
      <w:r w:rsidR="003F001E">
        <w:rPr>
          <w:rFonts w:cstheme="minorHAnsi"/>
        </w:rPr>
        <w:t> </w:t>
      </w:r>
      <w:r w:rsidRPr="00432D66">
        <w:rPr>
          <w:rFonts w:cstheme="minorHAnsi"/>
        </w:rPr>
        <w:t>kap</w:t>
      </w:r>
      <w:r w:rsidR="003F001E">
        <w:rPr>
          <w:rFonts w:cstheme="minorHAnsi"/>
        </w:rPr>
        <w:t xml:space="preserve">itoly </w:t>
      </w:r>
      <w:r w:rsidRPr="00432D66">
        <w:rPr>
          <w:rFonts w:cstheme="minorHAnsi"/>
        </w:rPr>
        <w:t xml:space="preserve">23 – Ostatní, specifické rezervy (rezerva na krytí propadu daňových příjmů) na navýšení příspěvku na provoz ve výši fixace rezervního fondu a fondu investic Zdravotnické záchranné služby Středočeského kraje, příspěvkové organizace (dále jen ZZS SK) z roku 2020 v celkové výši 76 000 000,00 Kč. </w:t>
      </w:r>
    </w:p>
    <w:p w14:paraId="5B003581" w14:textId="2535601F" w:rsidR="00A617CD" w:rsidRPr="00432D66" w:rsidRDefault="00A617CD" w:rsidP="00A617CD">
      <w:pPr>
        <w:spacing w:after="0" w:line="240" w:lineRule="auto"/>
        <w:jc w:val="both"/>
        <w:rPr>
          <w:rFonts w:cstheme="minorHAnsi"/>
        </w:rPr>
      </w:pPr>
      <w:r w:rsidRPr="00432D66">
        <w:rPr>
          <w:rFonts w:cstheme="minorHAnsi"/>
        </w:rPr>
        <w:t xml:space="preserve">Usnesením č. 052-42/2021/RK ze dne 11. 11. 2021 bylo schváleno navýšení příspěvku na provoz </w:t>
      </w:r>
      <w:r w:rsidRPr="00432D66">
        <w:rPr>
          <w:rFonts w:cstheme="minorHAnsi"/>
        </w:rPr>
        <w:br/>
        <w:t xml:space="preserve">o částku 106 842,03 Kč na financování akce „Batohy s AED a příslušenstvím pro Prvosledové hlídky“. </w:t>
      </w:r>
      <w:r w:rsidRPr="00432D66">
        <w:rPr>
          <w:rFonts w:cstheme="minorHAnsi"/>
        </w:rPr>
        <w:br/>
        <w:t xml:space="preserve">ZZS SK pracuje v nepřetržitém režimu. Vlastní řídící složkou je zdravotnické operační středisko se sídlem v Kladně. Zdravotnické operační středisko nepřetržitě a bezprostředně řídí činnost výjezdových skupin zdravotnické záchranné služby a integruje činnost všech článků přednemocniční neodkladné péče v určené oblasti. Činnost střediska zajišťují odborní zdravotničtí pracovníci. Schválené finanční prostředky byly v roce 2021 poskytovány měsíčně a využity na úhradu mezd zaměstnanců, na úhradu mezd lékařům, kteří vykonávají svou činnost dle uzavřených dohod o provedení práce a na provozní výdaje související s činností organizace. Prostředky na akci „Batohy s AED a příslušenstvím pro Prvosledové hlídky“ byly poskytnuty jednorázově. Čerpání tohoto paragrafu bylo ve výši </w:t>
      </w:r>
      <w:r w:rsidRPr="00432D66">
        <w:rPr>
          <w:rFonts w:cstheme="minorHAnsi"/>
        </w:rPr>
        <w:br/>
        <w:t>100</w:t>
      </w:r>
      <w:r w:rsidR="003F001E">
        <w:rPr>
          <w:rFonts w:cstheme="minorHAnsi"/>
        </w:rPr>
        <w:t>,0</w:t>
      </w:r>
      <w:r w:rsidRPr="00432D66">
        <w:rPr>
          <w:rFonts w:cstheme="minorHAnsi"/>
        </w:rPr>
        <w:t xml:space="preserve"> % upraveného rozpočtu.</w:t>
      </w:r>
    </w:p>
    <w:p w14:paraId="32118369" w14:textId="77777777" w:rsidR="00A617CD" w:rsidRPr="00432D66" w:rsidRDefault="00A617CD" w:rsidP="00A617CD">
      <w:pPr>
        <w:spacing w:after="0" w:line="240" w:lineRule="auto"/>
        <w:jc w:val="both"/>
        <w:rPr>
          <w:rFonts w:cstheme="minorHAnsi"/>
        </w:rPr>
      </w:pPr>
    </w:p>
    <w:p w14:paraId="64EB1C0C" w14:textId="77777777" w:rsidR="00A617CD" w:rsidRPr="00432D66" w:rsidRDefault="00A617CD" w:rsidP="00A617CD">
      <w:pPr>
        <w:spacing w:after="0" w:line="240" w:lineRule="auto"/>
        <w:jc w:val="both"/>
        <w:rPr>
          <w:rFonts w:cstheme="minorHAnsi"/>
          <w:b/>
          <w:bCs/>
        </w:rPr>
      </w:pPr>
      <w:bookmarkStart w:id="36" w:name="_Hlk98847066"/>
      <w:r w:rsidRPr="00432D66">
        <w:rPr>
          <w:rFonts w:cstheme="minorHAnsi"/>
          <w:b/>
          <w:bCs/>
        </w:rPr>
        <w:t xml:space="preserve">§ 3569 – Ostatní správa ve zdravotnictví jinde nezařazená </w:t>
      </w:r>
    </w:p>
    <w:p w14:paraId="12781BCB" w14:textId="33C65929" w:rsidR="000D32ED" w:rsidRDefault="00A617CD" w:rsidP="000D32ED">
      <w:pPr>
        <w:spacing w:after="0" w:line="240" w:lineRule="auto"/>
        <w:jc w:val="both"/>
      </w:pPr>
      <w:r w:rsidRPr="00432D66">
        <w:rPr>
          <w:rFonts w:cstheme="minorHAnsi"/>
          <w:bCs/>
        </w:rPr>
        <w:t xml:space="preserve">Usnesením č. 053-08/2021/ZK ze dne 28. 6. 2021 bylo schváleno poskytnutí neinvestiční dotace ve výši </w:t>
      </w:r>
      <w:r w:rsidRPr="00432D66">
        <w:rPr>
          <w:rFonts w:cstheme="minorHAnsi"/>
          <w:bCs/>
        </w:rPr>
        <w:br/>
        <w:t>2 000 000,00 Kč z rozpočtu Středočeského kraje společnosti Nemocnice Středočeského kraje, a. s</w:t>
      </w:r>
      <w:r w:rsidRPr="000D32ED">
        <w:rPr>
          <w:rFonts w:cstheme="minorHAnsi"/>
          <w:bCs/>
        </w:rPr>
        <w:t>.</w:t>
      </w:r>
      <w:r w:rsidR="000D32ED" w:rsidRPr="000D32ED">
        <w:t xml:space="preserve"> na úhradu nákladů na zajištění mzdových a provozních nákladů v roce 2021.</w:t>
      </w:r>
    </w:p>
    <w:p w14:paraId="043F2EB3" w14:textId="413A5F87" w:rsidR="00A617CD" w:rsidRPr="000D32ED" w:rsidRDefault="00A617CD" w:rsidP="000D32ED">
      <w:pPr>
        <w:spacing w:after="0" w:line="240" w:lineRule="auto"/>
        <w:jc w:val="both"/>
        <w:rPr>
          <w:rFonts w:cstheme="minorHAnsi"/>
          <w:bCs/>
        </w:rPr>
      </w:pPr>
      <w:r w:rsidRPr="00432D66">
        <w:rPr>
          <w:rFonts w:cstheme="minorHAnsi"/>
          <w:bCs/>
        </w:rPr>
        <w:t>Finanční prostředky byly v roce 2021 poskytnuty na základě rozhodnutí orgánů kraje a uzavření veřejnoprávní smlouvy</w:t>
      </w:r>
      <w:r w:rsidR="000D32ED">
        <w:rPr>
          <w:rFonts w:cstheme="minorHAnsi"/>
          <w:bCs/>
        </w:rPr>
        <w:t xml:space="preserve"> </w:t>
      </w:r>
      <w:r w:rsidR="000D32ED" w:rsidRPr="000D32ED">
        <w:t>č. S-4472/ZDR/2021</w:t>
      </w:r>
      <w:r w:rsidRPr="000D32ED">
        <w:rPr>
          <w:rFonts w:cstheme="minorHAnsi"/>
          <w:bCs/>
        </w:rPr>
        <w:t>.</w:t>
      </w:r>
      <w:r w:rsidR="000D32ED">
        <w:rPr>
          <w:rFonts w:cstheme="minorHAnsi"/>
          <w:bCs/>
        </w:rPr>
        <w:t xml:space="preserve"> </w:t>
      </w:r>
      <w:r w:rsidRPr="00432D66">
        <w:rPr>
          <w:rFonts w:cstheme="minorHAnsi"/>
        </w:rPr>
        <w:t>Prostředky byly čerpány ve výši 100</w:t>
      </w:r>
      <w:r w:rsidR="004C57CF">
        <w:rPr>
          <w:rFonts w:cstheme="minorHAnsi"/>
        </w:rPr>
        <w:t>,0</w:t>
      </w:r>
      <w:r w:rsidRPr="00432D66">
        <w:rPr>
          <w:rFonts w:cstheme="minorHAnsi"/>
        </w:rPr>
        <w:t xml:space="preserve"> % upraveného rozpočtu.</w:t>
      </w:r>
    </w:p>
    <w:bookmarkEnd w:id="36"/>
    <w:p w14:paraId="06EF4B0B" w14:textId="77777777" w:rsidR="00A617CD" w:rsidRPr="00432D66" w:rsidRDefault="00A617CD" w:rsidP="00A617CD">
      <w:pPr>
        <w:spacing w:after="0" w:line="240" w:lineRule="auto"/>
        <w:jc w:val="both"/>
        <w:rPr>
          <w:rFonts w:cstheme="minorHAnsi"/>
          <w:bCs/>
        </w:rPr>
      </w:pPr>
    </w:p>
    <w:p w14:paraId="251E9973" w14:textId="77777777" w:rsidR="00A617CD" w:rsidRPr="00432D66" w:rsidRDefault="00A617CD" w:rsidP="00A617CD">
      <w:pPr>
        <w:spacing w:after="0" w:line="240" w:lineRule="auto"/>
        <w:jc w:val="both"/>
        <w:rPr>
          <w:rFonts w:cstheme="minorHAnsi"/>
        </w:rPr>
      </w:pPr>
      <w:r w:rsidRPr="00432D66">
        <w:rPr>
          <w:rFonts w:cstheme="minorHAnsi"/>
          <w:b/>
          <w:bCs/>
        </w:rPr>
        <w:t>§</w:t>
      </w:r>
      <w:r w:rsidRPr="00432D66">
        <w:rPr>
          <w:rFonts w:cstheme="minorHAnsi"/>
        </w:rPr>
        <w:t xml:space="preserve"> </w:t>
      </w:r>
      <w:r w:rsidRPr="00432D66">
        <w:rPr>
          <w:rFonts w:cstheme="minorHAnsi"/>
          <w:b/>
          <w:bCs/>
        </w:rPr>
        <w:t>3599 – Ostatní činnost ve zdravotnictví - odbor</w:t>
      </w:r>
    </w:p>
    <w:p w14:paraId="21F189F3" w14:textId="77777777" w:rsidR="00A617CD" w:rsidRPr="00432D66" w:rsidRDefault="00A617CD" w:rsidP="00A617CD">
      <w:pPr>
        <w:spacing w:after="0" w:line="240" w:lineRule="auto"/>
        <w:jc w:val="both"/>
        <w:rPr>
          <w:rFonts w:cstheme="minorHAnsi"/>
        </w:rPr>
      </w:pPr>
      <w:r w:rsidRPr="00432D66">
        <w:rPr>
          <w:rFonts w:cstheme="minorHAnsi"/>
        </w:rPr>
        <w:t xml:space="preserve">Jedná se o úhradu činností Odboru zdravotnictví (např. odměna odborníkům za účast při výběrových řízeních na ambulantní péči - odborníci zdravotních pojišťoven, odborníci - stížnosti, zpracování dat a služby související s informačními a komunikačními technologiemi, nákup ostatních služeb - koroner, školící činnost, předarchivní péče ON Příbram, a. s., zpracování znaleckých posudků, pohoštění). </w:t>
      </w:r>
    </w:p>
    <w:p w14:paraId="4A45F975" w14:textId="77777777" w:rsidR="00A617CD" w:rsidRPr="00432D66" w:rsidRDefault="00A617CD" w:rsidP="00A617CD">
      <w:pPr>
        <w:spacing w:after="0" w:line="240" w:lineRule="auto"/>
        <w:jc w:val="both"/>
        <w:rPr>
          <w:rFonts w:cstheme="minorHAnsi"/>
        </w:rPr>
      </w:pPr>
      <w:r w:rsidRPr="00432D66">
        <w:rPr>
          <w:rFonts w:cstheme="minorHAnsi"/>
        </w:rPr>
        <w:t>Usnesením č. 007-06/2021/ZK ze dne 26. 4. 2021 (rozdělení zůstatku hospodaření Středočeského kraje z roku 2020) bylo schváleno navýšení prostředků o 616 403,05 Kč. Jednalo se o převod finančních prostředků z roku 2020 na úhradu faktur za služby koronera za IV. čtvrtletí 2020, které byly dle smluvního vztahu zaslány na Středočeský kraj v průběhu I. čtvrtletí 2021, a na úhradu faktur za znalecké posudky zadané odborníkům na konci roku 2020, které nebylo možné z důvodu náročnosti zpracování, objemnosti a časové tísně uhradit v roce 2020.</w:t>
      </w:r>
    </w:p>
    <w:p w14:paraId="797FD099" w14:textId="77777777" w:rsidR="00A617CD" w:rsidRPr="00432D66" w:rsidRDefault="00A617CD" w:rsidP="00A617CD">
      <w:pPr>
        <w:spacing w:after="0" w:line="240" w:lineRule="auto"/>
        <w:jc w:val="both"/>
        <w:rPr>
          <w:rFonts w:cstheme="minorHAnsi"/>
          <w:bCs/>
        </w:rPr>
      </w:pPr>
      <w:r w:rsidRPr="00432D66">
        <w:rPr>
          <w:rFonts w:cstheme="minorHAnsi"/>
          <w:bCs/>
        </w:rPr>
        <w:t>Finanční prostředky byly vyčerpány ve výši 85,7 % upraveného rozpočtu.</w:t>
      </w:r>
    </w:p>
    <w:p w14:paraId="0A9CFE13" w14:textId="77777777" w:rsidR="00A617CD" w:rsidRPr="00432D66" w:rsidRDefault="00A617CD" w:rsidP="00A617CD">
      <w:pPr>
        <w:spacing w:after="0" w:line="240" w:lineRule="auto"/>
        <w:rPr>
          <w:rFonts w:cstheme="minorHAnsi"/>
        </w:rPr>
      </w:pPr>
    </w:p>
    <w:p w14:paraId="43CBCE55" w14:textId="77777777" w:rsidR="00A617CD" w:rsidRPr="00432D66" w:rsidRDefault="00A617CD" w:rsidP="00A617CD">
      <w:pPr>
        <w:spacing w:after="0" w:line="240" w:lineRule="auto"/>
        <w:jc w:val="both"/>
        <w:rPr>
          <w:rFonts w:cstheme="minorHAnsi"/>
          <w:b/>
          <w:bCs/>
        </w:rPr>
      </w:pPr>
      <w:r w:rsidRPr="00432D66">
        <w:rPr>
          <w:rFonts w:cstheme="minorHAnsi"/>
          <w:b/>
          <w:bCs/>
        </w:rPr>
        <w:t>§</w:t>
      </w:r>
      <w:r w:rsidRPr="00432D66">
        <w:rPr>
          <w:rFonts w:cstheme="minorHAnsi"/>
        </w:rPr>
        <w:t xml:space="preserve"> </w:t>
      </w:r>
      <w:r w:rsidRPr="00432D66">
        <w:rPr>
          <w:rFonts w:cstheme="minorHAnsi"/>
          <w:b/>
          <w:bCs/>
        </w:rPr>
        <w:t>3599 – Ostatní činnost ve zdravotnictví</w:t>
      </w:r>
      <w:r w:rsidRPr="00432D66">
        <w:rPr>
          <w:rFonts w:cstheme="minorHAnsi"/>
        </w:rPr>
        <w:t xml:space="preserve"> </w:t>
      </w:r>
      <w:r w:rsidRPr="00432D66">
        <w:rPr>
          <w:rFonts w:cstheme="minorHAnsi"/>
          <w:b/>
          <w:bCs/>
        </w:rPr>
        <w:t>- nehrazené činnosti ze zdravotního pojištění</w:t>
      </w:r>
    </w:p>
    <w:p w14:paraId="7CB76BE4" w14:textId="77777777" w:rsidR="00A617CD" w:rsidRPr="00432D66" w:rsidRDefault="00A617CD" w:rsidP="00A617CD">
      <w:pPr>
        <w:spacing w:after="0" w:line="240" w:lineRule="auto"/>
        <w:jc w:val="both"/>
        <w:rPr>
          <w:rFonts w:cstheme="minorHAnsi"/>
        </w:rPr>
      </w:pPr>
      <w:r w:rsidRPr="00432D66">
        <w:rPr>
          <w:rFonts w:cstheme="minorHAnsi"/>
          <w:noProof/>
        </w:rPr>
        <w:t>Výše schváleného rozpočtu na činnosti nehrazené z veřejného zdravotního pojištění byla schválena u</w:t>
      </w:r>
      <w:r w:rsidRPr="00432D66">
        <w:rPr>
          <w:rFonts w:cstheme="minorHAnsi"/>
        </w:rPr>
        <w:t xml:space="preserve">snesením </w:t>
      </w:r>
      <w:r w:rsidRPr="00432D66">
        <w:rPr>
          <w:rFonts w:cstheme="minorHAnsi"/>
          <w:bCs/>
        </w:rPr>
        <w:t>č. 006-02/2020/ZK ze dne 14. 12. 2020</w:t>
      </w:r>
      <w:r w:rsidRPr="00432D66">
        <w:rPr>
          <w:rFonts w:cstheme="minorHAnsi"/>
        </w:rPr>
        <w:t xml:space="preserve">. Usnesením č. 022-03/2021/ZK ze dne 25. 1. 2021 bylo schváleno poskytnutí finančních </w:t>
      </w:r>
      <w:r w:rsidRPr="00432D66">
        <w:rPr>
          <w:rFonts w:cstheme="minorHAnsi"/>
        </w:rPr>
        <w:lastRenderedPageBreak/>
        <w:t>prostředků jednotlivým příjemcům dotací na činnosti nehrazené z veřejného zdravotního pojištění. Na základě u</w:t>
      </w:r>
      <w:r w:rsidRPr="00432D66">
        <w:rPr>
          <w:rFonts w:ascii="Calibri" w:hAnsi="Calibri" w:cs="Calibri"/>
        </w:rPr>
        <w:t>snesení č. 007-04/2021/ZK ze dne 22. 2. 2021 (navýšení rozpočtu Středočeského kraje o prostředky ze sdílených daní a nevyčerpané prostředky z roku 2020) byl rozpočet tohoto paragrafu navýšen</w:t>
      </w:r>
      <w:r w:rsidRPr="00432D66">
        <w:rPr>
          <w:rFonts w:cstheme="minorHAnsi"/>
        </w:rPr>
        <w:t xml:space="preserve"> o částku 9 000 000,00 Kč. Usnesením č. 015-05/2021/ZK ze dne 29. 3. 2021 bylo schváleno navýšení finančních prostředků poskytovaných jednotlivým příjemcům dotací na činnosti nehrazené ze zdravotního pojištění. Rozpočtovou úpravou č. 033/07/2021 ze dne </w:t>
      </w:r>
      <w:r w:rsidRPr="00432D66">
        <w:rPr>
          <w:rFonts w:cstheme="minorHAnsi"/>
        </w:rPr>
        <w:br/>
        <w:t xml:space="preserve">31. 3. 2021 projednanou s příslušným členem rady kraje byla částka v celkové výši 2 580 000,00 Kč převedena v rámci rozpočtu kapitoly 07 – Zdravotnictví </w:t>
      </w:r>
      <w:r w:rsidRPr="00432D66">
        <w:rPr>
          <w:rFonts w:cstheme="minorHAnsi"/>
          <w:noProof/>
        </w:rPr>
        <w:t xml:space="preserve">na provoz protialkoholní a záchytné stanice v </w:t>
      </w:r>
      <w:r w:rsidRPr="00432D66">
        <w:rPr>
          <w:rFonts w:cstheme="minorHAnsi"/>
        </w:rPr>
        <w:t>Centru sociálních a zdravotních služeb města Příbram, p. o.</w:t>
      </w:r>
    </w:p>
    <w:p w14:paraId="23B301F1" w14:textId="77777777" w:rsidR="00A617CD" w:rsidRPr="00432D66" w:rsidRDefault="00A617CD" w:rsidP="00A617CD">
      <w:pPr>
        <w:spacing w:after="0" w:line="240" w:lineRule="auto"/>
        <w:jc w:val="both"/>
        <w:rPr>
          <w:rFonts w:cstheme="minorHAnsi"/>
        </w:rPr>
      </w:pPr>
      <w:r w:rsidRPr="00432D66">
        <w:rPr>
          <w:rFonts w:cstheme="minorHAnsi"/>
        </w:rPr>
        <w:t>V roce 2021 byly hrazeny činnosti nehrazené z veřejného zdravotního pojištění následovně:</w:t>
      </w:r>
    </w:p>
    <w:p w14:paraId="255E349F" w14:textId="77777777" w:rsidR="00A617CD" w:rsidRPr="00432D66" w:rsidRDefault="00A617CD" w:rsidP="00A617CD">
      <w:pPr>
        <w:spacing w:after="0" w:line="240" w:lineRule="auto"/>
        <w:jc w:val="both"/>
        <w:rPr>
          <w:rFonts w:cstheme="minorHAnsi"/>
        </w:rPr>
      </w:pPr>
      <w:r w:rsidRPr="00432D66">
        <w:rPr>
          <w:rFonts w:cstheme="minorHAnsi"/>
          <w:u w:val="single"/>
        </w:rPr>
        <w:t>Oblastní nemocnice Příbram a. s. - částka 1 470 000,00 Kč</w:t>
      </w:r>
    </w:p>
    <w:p w14:paraId="2A1588D6" w14:textId="77777777" w:rsidR="00A617CD" w:rsidRPr="00432D66" w:rsidRDefault="00A617CD" w:rsidP="00A617CD">
      <w:pPr>
        <w:pStyle w:val="Normln1"/>
        <w:spacing w:line="240" w:lineRule="auto"/>
        <w:jc w:val="both"/>
        <w:rPr>
          <w:rFonts w:asciiTheme="minorHAnsi" w:hAnsiTheme="minorHAnsi" w:cstheme="minorHAnsi"/>
        </w:rPr>
      </w:pPr>
      <w:r w:rsidRPr="00432D66">
        <w:rPr>
          <w:rFonts w:asciiTheme="minorHAnsi" w:hAnsiTheme="minorHAnsi" w:cstheme="minorHAnsi"/>
        </w:rPr>
        <w:t xml:space="preserve">činnost národních registrů, činnost Útvaru krizového managementu, sociální činnost </w:t>
      </w:r>
    </w:p>
    <w:p w14:paraId="172F41C0" w14:textId="77777777" w:rsidR="00A617CD" w:rsidRPr="00432D66" w:rsidRDefault="00A617CD" w:rsidP="00A617CD">
      <w:pPr>
        <w:spacing w:after="0" w:line="240" w:lineRule="auto"/>
        <w:jc w:val="both"/>
        <w:rPr>
          <w:rFonts w:cstheme="minorHAnsi"/>
          <w:u w:val="single"/>
        </w:rPr>
      </w:pPr>
      <w:r w:rsidRPr="00432D66">
        <w:rPr>
          <w:rFonts w:cstheme="minorHAnsi"/>
          <w:u w:val="single"/>
        </w:rPr>
        <w:t>Nemocnice Rudolfa a Stefanie Benešov a. s., nemocnice Středočeského kraje - částka 2 000 000,00 Kč</w:t>
      </w:r>
    </w:p>
    <w:p w14:paraId="0AFA2B95" w14:textId="77777777" w:rsidR="00A617CD" w:rsidRPr="00432D66" w:rsidRDefault="00A617CD" w:rsidP="00A617CD">
      <w:pPr>
        <w:spacing w:after="0" w:line="240" w:lineRule="auto"/>
        <w:jc w:val="both"/>
        <w:rPr>
          <w:rFonts w:cstheme="minorHAnsi"/>
        </w:rPr>
      </w:pPr>
      <w:r w:rsidRPr="00432D66">
        <w:rPr>
          <w:rFonts w:cstheme="minorHAnsi"/>
        </w:rPr>
        <w:t>činnost národních registrů, činnost Útvaru krizového managementu, sociální činnost, úhrada licencí manažerského informačního systému pro Středočeský kraj</w:t>
      </w:r>
    </w:p>
    <w:p w14:paraId="3A66BBE3" w14:textId="77777777" w:rsidR="00A617CD" w:rsidRPr="00432D66" w:rsidRDefault="00A617CD" w:rsidP="00A617CD">
      <w:pPr>
        <w:spacing w:after="0" w:line="240" w:lineRule="auto"/>
        <w:jc w:val="both"/>
        <w:rPr>
          <w:rFonts w:cstheme="minorHAnsi"/>
          <w:u w:val="single"/>
        </w:rPr>
      </w:pPr>
      <w:r w:rsidRPr="00432D66">
        <w:rPr>
          <w:rFonts w:cstheme="minorHAnsi"/>
          <w:u w:val="single"/>
        </w:rPr>
        <w:t>Oblastní nemocnice Kladno a. s., nemocnice Středočeského kraje - částka 3 880 000,00 Kč</w:t>
      </w:r>
    </w:p>
    <w:p w14:paraId="1242B541" w14:textId="77777777" w:rsidR="00A617CD" w:rsidRPr="00432D66" w:rsidRDefault="00A617CD" w:rsidP="00A617CD">
      <w:pPr>
        <w:spacing w:after="0" w:line="240" w:lineRule="auto"/>
        <w:jc w:val="both"/>
        <w:rPr>
          <w:rFonts w:cstheme="minorHAnsi"/>
        </w:rPr>
      </w:pPr>
      <w:r w:rsidRPr="00432D66">
        <w:rPr>
          <w:rFonts w:cstheme="minorHAnsi"/>
        </w:rPr>
        <w:t>činnost národních registrů, činnost Útvaru krizového managementu, sociální činnost, provoz expektačních pokojů - záchytná protialkoholní stanice</w:t>
      </w:r>
    </w:p>
    <w:p w14:paraId="24304486" w14:textId="77777777" w:rsidR="00A617CD" w:rsidRPr="00432D66" w:rsidRDefault="00A617CD" w:rsidP="00A617CD">
      <w:pPr>
        <w:spacing w:after="0" w:line="240" w:lineRule="auto"/>
        <w:jc w:val="both"/>
        <w:rPr>
          <w:rFonts w:cstheme="minorHAnsi"/>
          <w:u w:val="single"/>
        </w:rPr>
      </w:pPr>
      <w:r w:rsidRPr="00432D66">
        <w:rPr>
          <w:rFonts w:cstheme="minorHAnsi"/>
          <w:u w:val="single"/>
        </w:rPr>
        <w:t>Oblastní nemocnice Kolín a. s., nemocnice Středočeského kraje - částka 1 990 000,00 Kč</w:t>
      </w:r>
    </w:p>
    <w:p w14:paraId="6AC18E36" w14:textId="77777777" w:rsidR="00A617CD" w:rsidRPr="00432D66" w:rsidRDefault="00A617CD" w:rsidP="00A617CD">
      <w:pPr>
        <w:spacing w:after="0" w:line="240" w:lineRule="auto"/>
        <w:jc w:val="both"/>
        <w:rPr>
          <w:rFonts w:cstheme="minorHAnsi"/>
        </w:rPr>
      </w:pPr>
      <w:r w:rsidRPr="00432D66">
        <w:rPr>
          <w:rFonts w:cstheme="minorHAnsi"/>
        </w:rPr>
        <w:t>činnost národních registrů, činnost Útvaru krizového managementu, sociální činnost</w:t>
      </w:r>
    </w:p>
    <w:p w14:paraId="1E799D0A" w14:textId="77777777" w:rsidR="00A617CD" w:rsidRPr="00432D66" w:rsidRDefault="00A617CD" w:rsidP="00A617CD">
      <w:pPr>
        <w:spacing w:after="0" w:line="240" w:lineRule="auto"/>
        <w:jc w:val="both"/>
        <w:rPr>
          <w:rFonts w:cstheme="minorHAnsi"/>
          <w:u w:val="single"/>
        </w:rPr>
      </w:pPr>
      <w:r w:rsidRPr="00432D66">
        <w:rPr>
          <w:rFonts w:cstheme="minorHAnsi"/>
          <w:u w:val="single"/>
        </w:rPr>
        <w:t>Oblastní nemocnice Mladá Boleslav a. s., nemocnice Středočeského kraje - částka 20 080 000,00 Kč</w:t>
      </w:r>
    </w:p>
    <w:p w14:paraId="3A8A3FEE" w14:textId="77777777" w:rsidR="00A617CD" w:rsidRPr="00432D66" w:rsidRDefault="00A617CD" w:rsidP="00A617CD">
      <w:pPr>
        <w:spacing w:after="0" w:line="240" w:lineRule="auto"/>
        <w:jc w:val="both"/>
        <w:rPr>
          <w:rFonts w:cstheme="minorHAnsi"/>
        </w:rPr>
      </w:pPr>
      <w:r w:rsidRPr="00432D66">
        <w:rPr>
          <w:rFonts w:cstheme="minorHAnsi"/>
        </w:rPr>
        <w:t>činnost Útvaru krizového managementu, provoz protialkoholní záchytné stanice, provoz dětského centra</w:t>
      </w:r>
    </w:p>
    <w:p w14:paraId="64C3693F" w14:textId="134E8ACD" w:rsidR="00A617CD" w:rsidRPr="00432D66" w:rsidRDefault="00A617CD" w:rsidP="00A617CD">
      <w:pPr>
        <w:spacing w:after="0" w:line="240" w:lineRule="auto"/>
        <w:rPr>
          <w:rFonts w:cstheme="minorHAnsi"/>
        </w:rPr>
      </w:pPr>
      <w:r w:rsidRPr="00432D66">
        <w:rPr>
          <w:rFonts w:cstheme="minorHAnsi"/>
        </w:rPr>
        <w:t xml:space="preserve">Uvedené finanční prostředky byly výše uvedeným organizacím poskytnuty </w:t>
      </w:r>
      <w:r w:rsidRPr="00432D66">
        <w:rPr>
          <w:rFonts w:cstheme="minorHAnsi"/>
          <w:bCs/>
        </w:rPr>
        <w:t>na základě usnesení orgánů kraje a uzavřených veřejnoprávních smluv.</w:t>
      </w:r>
      <w:r w:rsidRPr="00432D66">
        <w:rPr>
          <w:rFonts w:cstheme="minorHAnsi"/>
        </w:rPr>
        <w:t xml:space="preserve"> Prostředky byly čerpány ve výši 100</w:t>
      </w:r>
      <w:r w:rsidR="004C57CF">
        <w:rPr>
          <w:rFonts w:cstheme="minorHAnsi"/>
        </w:rPr>
        <w:t>,0</w:t>
      </w:r>
      <w:r w:rsidRPr="00432D66">
        <w:rPr>
          <w:rFonts w:cstheme="minorHAnsi"/>
        </w:rPr>
        <w:t xml:space="preserve"> % upraveného rozpočtu.</w:t>
      </w:r>
    </w:p>
    <w:p w14:paraId="1AAF557D" w14:textId="77777777" w:rsidR="003C697A" w:rsidRDefault="003C697A" w:rsidP="00A617CD">
      <w:pPr>
        <w:spacing w:after="0" w:line="240" w:lineRule="auto"/>
        <w:jc w:val="both"/>
        <w:rPr>
          <w:rFonts w:cstheme="minorHAnsi"/>
          <w:b/>
        </w:rPr>
      </w:pPr>
      <w:bookmarkStart w:id="37" w:name="_Hlk98847310"/>
    </w:p>
    <w:p w14:paraId="7D1E427C" w14:textId="1A250EA3" w:rsidR="00A617CD" w:rsidRPr="00432D66" w:rsidRDefault="00A617CD" w:rsidP="00A617CD">
      <w:pPr>
        <w:spacing w:after="0" w:line="240" w:lineRule="auto"/>
        <w:jc w:val="both"/>
        <w:rPr>
          <w:rFonts w:cstheme="minorHAnsi"/>
          <w:b/>
        </w:rPr>
      </w:pPr>
      <w:r w:rsidRPr="00432D66">
        <w:rPr>
          <w:rFonts w:cstheme="minorHAnsi"/>
          <w:b/>
        </w:rPr>
        <w:t xml:space="preserve">§ 3599 </w:t>
      </w:r>
      <w:r w:rsidRPr="00432D66">
        <w:rPr>
          <w:rFonts w:cstheme="minorHAnsi"/>
          <w:b/>
          <w:bCs/>
        </w:rPr>
        <w:t xml:space="preserve">– </w:t>
      </w:r>
      <w:r w:rsidRPr="00432D66">
        <w:rPr>
          <w:rFonts w:cstheme="minorHAnsi"/>
          <w:b/>
        </w:rPr>
        <w:t xml:space="preserve">Ostatní činnost ve zdravotnictví </w:t>
      </w:r>
      <w:r w:rsidRPr="00432D66">
        <w:rPr>
          <w:rFonts w:cstheme="minorHAnsi"/>
          <w:b/>
          <w:bCs/>
        </w:rPr>
        <w:t xml:space="preserve">- </w:t>
      </w:r>
      <w:r w:rsidRPr="00432D66">
        <w:rPr>
          <w:rFonts w:cstheme="minorHAnsi"/>
          <w:b/>
        </w:rPr>
        <w:t>jiné očekávané výdaje</w:t>
      </w:r>
    </w:p>
    <w:p w14:paraId="15C34BBA" w14:textId="3C9FD680" w:rsidR="000D32ED" w:rsidRDefault="00A617CD" w:rsidP="000D32ED">
      <w:pPr>
        <w:spacing w:after="0" w:line="240" w:lineRule="auto"/>
        <w:jc w:val="both"/>
      </w:pPr>
      <w:r w:rsidRPr="00432D66">
        <w:rPr>
          <w:rFonts w:cstheme="minorHAnsi"/>
        </w:rPr>
        <w:t>Rozpočet byl vytvořen usnesením č. 007-06/2021/ZK ze dne 26. 4. 2021 (rozdělení zůstatku hospodaření Středočeského kraje z roku 2020) ve výši 591 864,00 Kč</w:t>
      </w:r>
      <w:r w:rsidRPr="000D32ED">
        <w:rPr>
          <w:rFonts w:cstheme="minorHAnsi"/>
        </w:rPr>
        <w:t>.</w:t>
      </w:r>
      <w:r w:rsidR="000D32ED" w:rsidRPr="000D32ED">
        <w:t xml:space="preserve"> Finanční prostředky byly určeny na případné navýšení rozpočtu na úhradu činností nehrazených ze zdravotního pojištění nebo na případné navýšení dotace na protialkoholní záchytné stanice.</w:t>
      </w:r>
    </w:p>
    <w:p w14:paraId="76E17F4D" w14:textId="77777777" w:rsidR="00A617CD" w:rsidRPr="00432D66" w:rsidRDefault="00A617CD" w:rsidP="00A617CD">
      <w:pPr>
        <w:spacing w:after="0" w:line="240" w:lineRule="auto"/>
        <w:jc w:val="both"/>
        <w:rPr>
          <w:rFonts w:cstheme="minorHAnsi"/>
        </w:rPr>
      </w:pPr>
      <w:r w:rsidRPr="00432D66">
        <w:rPr>
          <w:rFonts w:cstheme="minorHAnsi"/>
        </w:rPr>
        <w:t>Usnesením č. 052-42/2021/RK ze dne 11. 11. 2021 byl schválen převod finančních prostředků ve výši 106 842,03 Kč v rámci kapitoly 07 – Zdravotnictví na navýšení příspěvku na provoz Zdravotnické záchranné služby Středočeského kraje na financování akce „Batohy s AED a příslušenství pro prvosledové hlídky“ (§ 3533).</w:t>
      </w:r>
    </w:p>
    <w:bookmarkEnd w:id="37"/>
    <w:p w14:paraId="112233C2" w14:textId="77777777" w:rsidR="000D32ED" w:rsidRPr="00432D66" w:rsidRDefault="000D32ED" w:rsidP="00A617CD">
      <w:pPr>
        <w:spacing w:after="0" w:line="240" w:lineRule="auto"/>
        <w:jc w:val="both"/>
        <w:rPr>
          <w:rFonts w:cstheme="minorHAnsi"/>
        </w:rPr>
      </w:pPr>
    </w:p>
    <w:p w14:paraId="0C8E59E0" w14:textId="77777777" w:rsidR="00A617CD" w:rsidRPr="00432D66" w:rsidRDefault="00A617CD" w:rsidP="00A617CD">
      <w:pPr>
        <w:spacing w:after="0" w:line="240" w:lineRule="auto"/>
        <w:jc w:val="both"/>
        <w:rPr>
          <w:rFonts w:cstheme="minorHAnsi"/>
          <w:b/>
        </w:rPr>
      </w:pPr>
      <w:r w:rsidRPr="00432D66">
        <w:rPr>
          <w:rFonts w:cstheme="minorHAnsi"/>
          <w:b/>
        </w:rPr>
        <w:t xml:space="preserve">§ 3599 </w:t>
      </w:r>
      <w:r w:rsidRPr="00432D66">
        <w:rPr>
          <w:rFonts w:cstheme="minorHAnsi"/>
          <w:b/>
          <w:bCs/>
        </w:rPr>
        <w:t xml:space="preserve">– </w:t>
      </w:r>
      <w:r w:rsidRPr="00432D66">
        <w:rPr>
          <w:rFonts w:cstheme="minorHAnsi"/>
          <w:b/>
        </w:rPr>
        <w:t xml:space="preserve">Ostatní činnost ve zdravotnictví </w:t>
      </w:r>
      <w:r w:rsidRPr="00432D66">
        <w:rPr>
          <w:rFonts w:cstheme="minorHAnsi"/>
          <w:b/>
          <w:bCs/>
        </w:rPr>
        <w:t xml:space="preserve">- </w:t>
      </w:r>
      <w:r w:rsidRPr="00432D66">
        <w:rPr>
          <w:rFonts w:cstheme="minorHAnsi"/>
          <w:b/>
        </w:rPr>
        <w:t>záchytné stanice</w:t>
      </w:r>
    </w:p>
    <w:p w14:paraId="4C1A8D1D" w14:textId="77777777" w:rsidR="00A617CD" w:rsidRPr="00432D66" w:rsidRDefault="00A617CD" w:rsidP="00A617CD">
      <w:pPr>
        <w:spacing w:after="0" w:line="240" w:lineRule="auto"/>
        <w:jc w:val="both"/>
        <w:rPr>
          <w:rFonts w:cstheme="minorHAnsi"/>
          <w:bCs/>
        </w:rPr>
      </w:pPr>
      <w:r w:rsidRPr="00432D66">
        <w:rPr>
          <w:rFonts w:cstheme="minorHAnsi"/>
          <w:noProof/>
        </w:rPr>
        <w:t xml:space="preserve">Schválená výše dotace určená na provoz protialkoholní a záchytné stanice </w:t>
      </w:r>
      <w:r w:rsidRPr="00432D66">
        <w:rPr>
          <w:rFonts w:cstheme="minorHAnsi"/>
        </w:rPr>
        <w:t>byla zahrnuta v rozpočtu kapitoly 07 -</w:t>
      </w:r>
      <w:r w:rsidRPr="00432D66">
        <w:rPr>
          <w:rFonts w:cstheme="minorHAnsi"/>
          <w:b/>
          <w:bCs/>
        </w:rPr>
        <w:t xml:space="preserve"> </w:t>
      </w:r>
      <w:r w:rsidRPr="00432D66">
        <w:rPr>
          <w:rFonts w:cstheme="minorHAnsi"/>
        </w:rPr>
        <w:t xml:space="preserve">Zdravotnictví (§ 3599 - Ostatní činnost ve zdravotnictví - nehrazené činnosti ze zdravotního pojištění), který byl schválen usnesením č. </w:t>
      </w:r>
      <w:r w:rsidRPr="00432D66">
        <w:rPr>
          <w:rFonts w:cstheme="minorHAnsi"/>
          <w:bCs/>
        </w:rPr>
        <w:t>006-02/2020/ZK ze dne 14. 12. 2020.</w:t>
      </w:r>
      <w:r w:rsidRPr="00432D66">
        <w:rPr>
          <w:rFonts w:cstheme="minorHAnsi"/>
        </w:rPr>
        <w:t xml:space="preserve"> Usnesením č. 022-03/2021/ZK ze dne 25. 1. 2021 a usnesením č. 015-05/2021/ZK ze dne 29. 3. 2021 bylo schváleno poskytnutí finančních prostředků na uvedenou činnost ve výši 2 580 000,00 Kč pro Centrum sociálních a zdravotních služeb města Příbram, p. o., finanční prostředky byly v uvedené výši převedeny rozpočtovou úpravou č. 033/07/2021 ze dne 31. 3. 2021 projednanou s příslušným členem rady kraje v rámci rozpočtu kapitoly 07 - Zdravotnictví. Finanční prostředky byly uvedené organizaci poskytnuty na základě usnesení orgánů kraje a uzavřené veřejnoprávní smlouvy a </w:t>
      </w:r>
      <w:r w:rsidRPr="00432D66">
        <w:rPr>
          <w:rFonts w:cstheme="minorHAnsi"/>
          <w:bCs/>
        </w:rPr>
        <w:t>vyčerpány ve výši 100 % upraveného rozpočtu.</w:t>
      </w:r>
    </w:p>
    <w:p w14:paraId="31A467DB" w14:textId="77777777" w:rsidR="00A617CD" w:rsidRPr="00432D66" w:rsidRDefault="00A617CD" w:rsidP="00A617CD">
      <w:pPr>
        <w:spacing w:after="0" w:line="240" w:lineRule="auto"/>
        <w:jc w:val="both"/>
        <w:rPr>
          <w:rFonts w:cstheme="minorHAnsi"/>
          <w:b/>
          <w:bCs/>
          <w:sz w:val="24"/>
          <w:szCs w:val="24"/>
          <w:u w:val="single"/>
        </w:rPr>
      </w:pPr>
    </w:p>
    <w:p w14:paraId="0B30F9A1" w14:textId="77777777" w:rsidR="00A617CD" w:rsidRPr="00432D66" w:rsidRDefault="00A617CD" w:rsidP="00A617CD">
      <w:pPr>
        <w:spacing w:after="0" w:line="240" w:lineRule="auto"/>
        <w:jc w:val="both"/>
        <w:rPr>
          <w:rFonts w:cstheme="minorHAnsi"/>
          <w:b/>
          <w:bCs/>
          <w:sz w:val="24"/>
          <w:szCs w:val="24"/>
          <w:u w:val="single"/>
        </w:rPr>
      </w:pPr>
      <w:r w:rsidRPr="00432D66">
        <w:rPr>
          <w:rFonts w:cstheme="minorHAnsi"/>
          <w:b/>
          <w:bCs/>
          <w:sz w:val="24"/>
          <w:szCs w:val="24"/>
          <w:u w:val="single"/>
        </w:rPr>
        <w:t>Fondy</w:t>
      </w:r>
    </w:p>
    <w:p w14:paraId="70E54A63" w14:textId="77777777" w:rsidR="00A617CD" w:rsidRPr="00432D66" w:rsidRDefault="00A617CD" w:rsidP="00A617CD">
      <w:pPr>
        <w:spacing w:after="0" w:line="240" w:lineRule="auto"/>
        <w:jc w:val="both"/>
        <w:rPr>
          <w:rFonts w:cstheme="minorHAnsi"/>
          <w:b/>
          <w:bCs/>
          <w:u w:val="single"/>
        </w:rPr>
      </w:pPr>
    </w:p>
    <w:p w14:paraId="27639AF2" w14:textId="77777777" w:rsidR="00A617CD" w:rsidRPr="00432D66" w:rsidRDefault="00A617CD" w:rsidP="00A617CD">
      <w:pPr>
        <w:spacing w:after="0" w:line="240" w:lineRule="auto"/>
        <w:jc w:val="both"/>
        <w:rPr>
          <w:rFonts w:cstheme="minorHAnsi"/>
          <w:b/>
          <w:bCs/>
        </w:rPr>
      </w:pPr>
      <w:r w:rsidRPr="00432D66">
        <w:rPr>
          <w:rFonts w:cstheme="minorHAnsi"/>
          <w:b/>
        </w:rPr>
        <w:t xml:space="preserve">§ 3599 </w:t>
      </w:r>
      <w:r w:rsidRPr="00432D66">
        <w:rPr>
          <w:rFonts w:cstheme="minorHAnsi"/>
          <w:b/>
          <w:bCs/>
        </w:rPr>
        <w:t>– Středočeský Humanitární fond</w:t>
      </w:r>
    </w:p>
    <w:p w14:paraId="333C0DCE" w14:textId="70959475" w:rsidR="00A617CD" w:rsidRPr="00432D66" w:rsidRDefault="00A617CD" w:rsidP="00A617CD">
      <w:pPr>
        <w:spacing w:after="0" w:line="240" w:lineRule="auto"/>
        <w:jc w:val="both"/>
        <w:rPr>
          <w:rFonts w:cstheme="minorHAnsi"/>
          <w:bCs/>
        </w:rPr>
      </w:pPr>
      <w:r w:rsidRPr="00432D66">
        <w:rPr>
          <w:rFonts w:cstheme="minorHAnsi"/>
          <w:bCs/>
        </w:rPr>
        <w:t>Usnesením č. 007-04/2021/ZK ze dne 22. 2. 2021 bylo schváleno navýšení rozpočtu Středočeského kraje o prostředky ze sdílených daní a nevyčerpané prostředky z roku 2020. Kapitole 07 -</w:t>
      </w:r>
      <w:r w:rsidRPr="00432D66">
        <w:rPr>
          <w:rFonts w:cstheme="minorHAnsi"/>
          <w:b/>
          <w:bCs/>
        </w:rPr>
        <w:t xml:space="preserve"> </w:t>
      </w:r>
      <w:r w:rsidRPr="00432D66">
        <w:rPr>
          <w:rFonts w:cstheme="minorHAnsi"/>
          <w:bCs/>
        </w:rPr>
        <w:t xml:space="preserve">Zdravotnictví byla přidělena částka ve výši 3 000 000,00 Kč na poskytnutí dotací ze Středočeského Humanitárního fondu v rámci tematického zadání „Zdravotnictví“. Usnesením č. 049-08/2021/ZK ze dne 28. 6. 2021 bylo schváleno poskytnutí dotace jednotlivým žadatelům ve výši 2 752 137,00 Kč. </w:t>
      </w:r>
    </w:p>
    <w:p w14:paraId="21EA7426" w14:textId="48902AA3" w:rsidR="00A617CD" w:rsidRDefault="00A617CD" w:rsidP="00A617CD">
      <w:pPr>
        <w:spacing w:after="0" w:line="240" w:lineRule="auto"/>
        <w:jc w:val="both"/>
        <w:rPr>
          <w:rFonts w:cstheme="minorHAnsi"/>
          <w:bCs/>
        </w:rPr>
      </w:pPr>
      <w:r w:rsidRPr="00432D66">
        <w:rPr>
          <w:rFonts w:cstheme="minorHAnsi"/>
          <w:bCs/>
        </w:rPr>
        <w:t>V roce 2021 byly na základě uzavřených veřejnoprávních smluv finanční prostředky vyplaceny ve výši 2 606 358,00 Kč, tj. 86,9 % upraveného rozpočtu.</w:t>
      </w:r>
      <w:r w:rsidR="004C57CF">
        <w:rPr>
          <w:rFonts w:cstheme="minorHAnsi"/>
          <w:bCs/>
        </w:rPr>
        <w:t xml:space="preserve"> Zbývající částka </w:t>
      </w:r>
      <w:r w:rsidR="004C57CF" w:rsidRPr="00432D66">
        <w:rPr>
          <w:rFonts w:cstheme="minorHAnsi"/>
          <w:bCs/>
        </w:rPr>
        <w:t>ve výši 145 779,00 Kč</w:t>
      </w:r>
      <w:r w:rsidR="004C57CF">
        <w:rPr>
          <w:rFonts w:cstheme="minorHAnsi"/>
          <w:bCs/>
        </w:rPr>
        <w:t xml:space="preserve"> bude vyplacena v roce 2022.</w:t>
      </w:r>
    </w:p>
    <w:p w14:paraId="5DC07951" w14:textId="77777777" w:rsidR="004C57CF" w:rsidRPr="00432D66" w:rsidRDefault="004C57CF" w:rsidP="00A617CD">
      <w:pPr>
        <w:spacing w:after="0" w:line="240" w:lineRule="auto"/>
        <w:jc w:val="both"/>
        <w:rPr>
          <w:rFonts w:cstheme="minorHAnsi"/>
          <w:bCs/>
        </w:rPr>
      </w:pPr>
    </w:p>
    <w:p w14:paraId="62FDF2AB" w14:textId="77777777" w:rsidR="00A617CD" w:rsidRPr="00432D66" w:rsidRDefault="00A617CD" w:rsidP="00A617CD">
      <w:pPr>
        <w:spacing w:after="0" w:line="240" w:lineRule="auto"/>
        <w:jc w:val="both"/>
        <w:rPr>
          <w:rFonts w:cstheme="minorHAnsi"/>
          <w:b/>
          <w:bCs/>
          <w:sz w:val="24"/>
          <w:szCs w:val="24"/>
          <w:u w:val="single"/>
        </w:rPr>
      </w:pPr>
      <w:r w:rsidRPr="00432D66">
        <w:rPr>
          <w:rFonts w:cstheme="minorHAnsi"/>
          <w:b/>
          <w:bCs/>
          <w:sz w:val="24"/>
          <w:szCs w:val="24"/>
          <w:u w:val="single"/>
        </w:rPr>
        <w:t>Výdaje na havárie</w:t>
      </w:r>
    </w:p>
    <w:p w14:paraId="43537B30" w14:textId="77777777" w:rsidR="00A617CD" w:rsidRPr="00432D66" w:rsidRDefault="00A617CD" w:rsidP="00A617CD">
      <w:pPr>
        <w:spacing w:after="0" w:line="240" w:lineRule="auto"/>
        <w:jc w:val="both"/>
        <w:rPr>
          <w:rFonts w:cstheme="minorHAnsi"/>
          <w:b/>
          <w:bCs/>
          <w:sz w:val="24"/>
          <w:szCs w:val="24"/>
          <w:u w:val="single"/>
        </w:rPr>
      </w:pPr>
    </w:p>
    <w:p w14:paraId="74A9BDF2" w14:textId="77777777" w:rsidR="00A617CD" w:rsidRPr="00432D66" w:rsidRDefault="00A617CD" w:rsidP="00A617CD">
      <w:pPr>
        <w:spacing w:after="0" w:line="240" w:lineRule="auto"/>
        <w:jc w:val="both"/>
        <w:rPr>
          <w:rFonts w:cstheme="minorHAnsi"/>
          <w:b/>
        </w:rPr>
      </w:pPr>
      <w:r w:rsidRPr="00432D66">
        <w:rPr>
          <w:rFonts w:cstheme="minorHAnsi"/>
          <w:b/>
        </w:rPr>
        <w:t>§ 3529 – Ostatní ústavní péče (dětská centra) – příspěvek příspěvkovým organizacím</w:t>
      </w:r>
    </w:p>
    <w:p w14:paraId="2EE8E121" w14:textId="77777777" w:rsidR="00A617CD" w:rsidRPr="00432D66" w:rsidRDefault="00A617CD" w:rsidP="00A617CD">
      <w:pPr>
        <w:spacing w:after="0" w:line="240" w:lineRule="auto"/>
        <w:jc w:val="both"/>
        <w:rPr>
          <w:rFonts w:cstheme="minorHAnsi"/>
          <w:bCs/>
        </w:rPr>
      </w:pPr>
      <w:r w:rsidRPr="00432D66">
        <w:rPr>
          <w:rFonts w:cstheme="minorHAnsi"/>
          <w:bCs/>
        </w:rPr>
        <w:t xml:space="preserve">Usnesením č. 084-32/2021/RK ze dne 26. 8. 2021 bylo schváleno poskytnutí neinvestičního příspěvku ve výši 500 000,00 Kč pro Dětské centrum Kolín, příspěvkovou organizaci, na opravu havarijního stavu kanalizačního řadu v prostoru prádelny. </w:t>
      </w:r>
    </w:p>
    <w:p w14:paraId="37117E57" w14:textId="28DEA1D4" w:rsidR="00A617CD" w:rsidRPr="00432D66" w:rsidRDefault="00A617CD" w:rsidP="00A617CD">
      <w:pPr>
        <w:spacing w:after="0" w:line="240" w:lineRule="auto"/>
        <w:jc w:val="both"/>
        <w:rPr>
          <w:rFonts w:cstheme="minorHAnsi"/>
          <w:bCs/>
        </w:rPr>
      </w:pPr>
      <w:r w:rsidRPr="00432D66">
        <w:rPr>
          <w:rFonts w:cstheme="minorHAnsi"/>
          <w:bCs/>
        </w:rPr>
        <w:t>Finanční prostředky byly vyčerpány ve výši 100</w:t>
      </w:r>
      <w:r w:rsidR="004C57CF">
        <w:rPr>
          <w:rFonts w:cstheme="minorHAnsi"/>
          <w:bCs/>
        </w:rPr>
        <w:t>,0</w:t>
      </w:r>
      <w:r w:rsidRPr="00432D66">
        <w:rPr>
          <w:rFonts w:cstheme="minorHAnsi"/>
          <w:bCs/>
        </w:rPr>
        <w:t xml:space="preserve"> % upraveného rozpočtu.</w:t>
      </w:r>
    </w:p>
    <w:p w14:paraId="352890CB" w14:textId="77777777" w:rsidR="00A617CD" w:rsidRPr="00432D66" w:rsidRDefault="00A617CD" w:rsidP="00A617CD">
      <w:pPr>
        <w:spacing w:after="0" w:line="240" w:lineRule="auto"/>
        <w:jc w:val="both"/>
        <w:rPr>
          <w:rFonts w:cstheme="minorHAnsi"/>
          <w:bCs/>
          <w:color w:val="FF0000"/>
        </w:rPr>
      </w:pPr>
    </w:p>
    <w:p w14:paraId="704796A2" w14:textId="77777777" w:rsidR="00A617CD" w:rsidRPr="00432D66" w:rsidRDefault="00A617CD" w:rsidP="00A617CD">
      <w:pPr>
        <w:spacing w:after="0" w:line="240" w:lineRule="auto"/>
        <w:jc w:val="both"/>
        <w:rPr>
          <w:rFonts w:cstheme="minorHAnsi"/>
          <w:b/>
        </w:rPr>
      </w:pPr>
      <w:r w:rsidRPr="00432D66">
        <w:rPr>
          <w:rFonts w:cstheme="minorHAnsi"/>
          <w:b/>
        </w:rPr>
        <w:t>§ 3533 – Zdravotnická záchranná služba – příspěvek příspěvkovým organizacím</w:t>
      </w:r>
    </w:p>
    <w:p w14:paraId="056AAB5B" w14:textId="77777777" w:rsidR="00A617CD" w:rsidRPr="00432D66" w:rsidRDefault="00A617CD" w:rsidP="00A617CD">
      <w:pPr>
        <w:spacing w:after="0" w:line="240" w:lineRule="auto"/>
        <w:jc w:val="both"/>
        <w:rPr>
          <w:rFonts w:cstheme="minorHAnsi"/>
          <w:bCs/>
        </w:rPr>
      </w:pPr>
      <w:r w:rsidRPr="00432D66">
        <w:rPr>
          <w:rFonts w:cstheme="minorHAnsi"/>
          <w:bCs/>
        </w:rPr>
        <w:t xml:space="preserve">Usnesením č. 083-32/2021/RK ze dne 26. 8. 2021 bylo schváleno poskytnutí investičního příspěvku ve výši 6 050 000,00 Kč pro Zdravotnickou záchrannou službu Středočeského kraje, příspěvkovou organizaci, na akci „Stavební úpravy – střecha objektu ZZS Kladno (havarijní stav)“. </w:t>
      </w:r>
    </w:p>
    <w:p w14:paraId="683C881D" w14:textId="0DD94856" w:rsidR="00A617CD" w:rsidRPr="00432D66" w:rsidRDefault="00A617CD" w:rsidP="00A617CD">
      <w:pPr>
        <w:spacing w:after="0" w:line="240" w:lineRule="auto"/>
        <w:jc w:val="both"/>
        <w:rPr>
          <w:rFonts w:cstheme="minorHAnsi"/>
          <w:bCs/>
        </w:rPr>
      </w:pPr>
      <w:r w:rsidRPr="00432D66">
        <w:rPr>
          <w:rFonts w:cstheme="minorHAnsi"/>
          <w:bCs/>
        </w:rPr>
        <w:t xml:space="preserve">V roce 2021 bylo čerpání ve výši 1,6 %. </w:t>
      </w:r>
      <w:r w:rsidR="004C57CF">
        <w:rPr>
          <w:rFonts w:cstheme="minorHAnsi"/>
          <w:bCs/>
        </w:rPr>
        <w:t>Zbývající část bude čerpána v roce 2022.</w:t>
      </w:r>
    </w:p>
    <w:p w14:paraId="02808F54" w14:textId="77777777" w:rsidR="00A617CD" w:rsidRPr="00432D66" w:rsidRDefault="00A617CD" w:rsidP="00A617CD">
      <w:pPr>
        <w:spacing w:after="0" w:line="240" w:lineRule="auto"/>
        <w:jc w:val="both"/>
        <w:rPr>
          <w:rFonts w:cstheme="minorHAnsi"/>
          <w:bCs/>
        </w:rPr>
      </w:pPr>
    </w:p>
    <w:p w14:paraId="190741A4" w14:textId="77777777" w:rsidR="00A617CD" w:rsidRPr="00432D66" w:rsidRDefault="00A617CD" w:rsidP="00A617CD">
      <w:pPr>
        <w:jc w:val="both"/>
        <w:rPr>
          <w:b/>
          <w:bCs/>
          <w:sz w:val="24"/>
          <w:szCs w:val="24"/>
          <w:u w:val="single"/>
        </w:rPr>
      </w:pPr>
      <w:r w:rsidRPr="00432D66">
        <w:rPr>
          <w:b/>
          <w:bCs/>
          <w:sz w:val="24"/>
          <w:szCs w:val="24"/>
          <w:u w:val="single"/>
        </w:rPr>
        <w:t xml:space="preserve">Výdaje na reprodukci majetku příspěvkových organizací </w:t>
      </w:r>
    </w:p>
    <w:p w14:paraId="466DE5EE" w14:textId="77777777" w:rsidR="00A617CD" w:rsidRPr="00432D66" w:rsidRDefault="00A617CD" w:rsidP="00A617CD">
      <w:pPr>
        <w:spacing w:after="0" w:line="240" w:lineRule="auto"/>
        <w:jc w:val="both"/>
        <w:rPr>
          <w:b/>
          <w:bCs/>
        </w:rPr>
      </w:pPr>
      <w:r w:rsidRPr="00432D66">
        <w:rPr>
          <w:b/>
          <w:bCs/>
        </w:rPr>
        <w:t>Vrácené příjmy z pronájmu (UZ 040)</w:t>
      </w:r>
    </w:p>
    <w:p w14:paraId="011AB288" w14:textId="4B403967" w:rsidR="00A617CD" w:rsidRPr="00432D66" w:rsidRDefault="00A617CD" w:rsidP="00A617CD">
      <w:pPr>
        <w:spacing w:after="0" w:line="240" w:lineRule="auto"/>
        <w:jc w:val="both"/>
        <w:rPr>
          <w:bCs/>
        </w:rPr>
      </w:pPr>
      <w:r w:rsidRPr="00432D66">
        <w:rPr>
          <w:bCs/>
        </w:rPr>
        <w:t xml:space="preserve">Usnesením č. 053-31/2021/RK ze dne 12. 8. 2021 bylo schváleno užití příjmů z pronájmu majetku Středočeského kraje za I. pololetí 2021 ve výši 104 512,50 Kč, </w:t>
      </w:r>
      <w:r w:rsidR="004C57CF">
        <w:rPr>
          <w:bCs/>
        </w:rPr>
        <w:t>u</w:t>
      </w:r>
      <w:r w:rsidRPr="00432D66">
        <w:rPr>
          <w:bCs/>
        </w:rPr>
        <w:t xml:space="preserve">snesením č. 042-46/2021/RK ze dne 9. 12. 2021 bylo schváleno užití příjmů z pronájmu majetku Středočeského kraje za II. pololetí 2021 ve výši 94 900,20 Kč a </w:t>
      </w:r>
      <w:r w:rsidR="004C57CF">
        <w:rPr>
          <w:bCs/>
        </w:rPr>
        <w:t>u</w:t>
      </w:r>
      <w:r w:rsidRPr="00432D66">
        <w:rPr>
          <w:bCs/>
        </w:rPr>
        <w:t xml:space="preserve">snesením č. 044-46/2021/RK ze dne 9. 12. 2021 bylo schváleno užití příjmů z pronájmu majetku Středočeského kraje za rok 2021 ve výši 45 000,00 Kč </w:t>
      </w:r>
      <w:r w:rsidRPr="00432D66">
        <w:t>těmito zdravotnickými příspěvkovými organizacemi:</w:t>
      </w:r>
    </w:p>
    <w:p w14:paraId="783FC16D" w14:textId="77777777" w:rsidR="00A617CD" w:rsidRPr="00432D66" w:rsidRDefault="00A617CD" w:rsidP="00A617CD">
      <w:pPr>
        <w:spacing w:after="0" w:line="240" w:lineRule="auto"/>
        <w:jc w:val="both"/>
      </w:pPr>
      <w:r w:rsidRPr="00432D66">
        <w:rPr>
          <w:u w:val="single"/>
        </w:rPr>
        <w:t>Zdravotnická záchranná služba Středočeského kraje</w:t>
      </w:r>
    </w:p>
    <w:p w14:paraId="40EC7161" w14:textId="77777777" w:rsidR="00A617CD" w:rsidRPr="00432D66" w:rsidRDefault="00A617CD" w:rsidP="00A617CD">
      <w:pPr>
        <w:spacing w:after="0" w:line="240" w:lineRule="auto"/>
        <w:jc w:val="both"/>
      </w:pPr>
      <w:r w:rsidRPr="00432D66">
        <w:t xml:space="preserve">Jednalo se o vrácené příjmy z pronájmu majetku, který má organizace svěřen do užívání. </w:t>
      </w:r>
      <w:r w:rsidRPr="00432D66">
        <w:br/>
        <w:t>Jde o pronájem nebytových prostor na provoz ambulancí praktických lékařů. Finanční prostředky, vyinkasované v roce 2021 byly použity na opravy a údržbu svěřeného majetku (malování objektů, oprava topení, oprava instalací, oprava zámků, oprava dveří, oprava stoupaček, atd.)</w:t>
      </w:r>
    </w:p>
    <w:p w14:paraId="49C66224" w14:textId="77777777" w:rsidR="00A617CD" w:rsidRPr="00432D66" w:rsidRDefault="00A617CD" w:rsidP="00A617CD">
      <w:pPr>
        <w:spacing w:after="0" w:line="240" w:lineRule="auto"/>
        <w:jc w:val="both"/>
        <w:rPr>
          <w:bCs/>
          <w:u w:val="single"/>
        </w:rPr>
      </w:pPr>
      <w:r w:rsidRPr="00432D66">
        <w:rPr>
          <w:bCs/>
          <w:u w:val="single"/>
        </w:rPr>
        <w:t>Dětské centrum Chocerady – centrum komplexní péče</w:t>
      </w:r>
    </w:p>
    <w:p w14:paraId="5AAFD8FE" w14:textId="77777777" w:rsidR="00A617CD" w:rsidRPr="00432D66" w:rsidRDefault="00A617CD" w:rsidP="00A617CD">
      <w:pPr>
        <w:spacing w:after="0" w:line="240" w:lineRule="auto"/>
        <w:jc w:val="both"/>
      </w:pPr>
      <w:r w:rsidRPr="00432D66">
        <w:t xml:space="preserve">Jednalo se o vrácené příjmy z pronájmu služebního bytu, umístěného v 2. nadzemním podlaží budovy č. p. 164 v Dětském centru Chocerady, kterou má tato organizace předanou do hospodaření. Finanční prostředky, vybrané roce 2021 za tento pronájem, byly použity na opravy a údržbu svěřeného majetku (úhrada faktury za opravu podlahy – vyrovnání podkladu a nové PVC, malování objektu).           </w:t>
      </w:r>
    </w:p>
    <w:p w14:paraId="272460EA" w14:textId="73EA4644" w:rsidR="00A617CD" w:rsidRPr="00432D66" w:rsidRDefault="00A617CD" w:rsidP="00A617CD">
      <w:pPr>
        <w:spacing w:after="0" w:line="240" w:lineRule="auto"/>
        <w:rPr>
          <w:rFonts w:cstheme="minorHAnsi"/>
        </w:rPr>
      </w:pPr>
      <w:r w:rsidRPr="00432D66">
        <w:rPr>
          <w:rFonts w:cstheme="minorHAnsi"/>
        </w:rPr>
        <w:t>Prostředky byly čerpány ve výši 100</w:t>
      </w:r>
      <w:r w:rsidR="009227EF">
        <w:rPr>
          <w:rFonts w:cstheme="minorHAnsi"/>
        </w:rPr>
        <w:t>,0</w:t>
      </w:r>
      <w:r w:rsidRPr="00432D66">
        <w:rPr>
          <w:rFonts w:cstheme="minorHAnsi"/>
        </w:rPr>
        <w:t xml:space="preserve"> % upraveného rozpočtu.</w:t>
      </w:r>
    </w:p>
    <w:p w14:paraId="39A6C647" w14:textId="77777777" w:rsidR="00A617CD" w:rsidRPr="00432D66" w:rsidRDefault="00A617CD" w:rsidP="00A617CD">
      <w:pPr>
        <w:spacing w:after="0" w:line="240" w:lineRule="auto"/>
        <w:jc w:val="both"/>
        <w:rPr>
          <w:rFonts w:cstheme="minorHAnsi"/>
          <w:bCs/>
        </w:rPr>
      </w:pPr>
    </w:p>
    <w:p w14:paraId="4E116064" w14:textId="77777777" w:rsidR="00A617CD" w:rsidRPr="00432D66" w:rsidRDefault="00A617CD" w:rsidP="00A617CD">
      <w:pPr>
        <w:spacing w:after="0" w:line="240" w:lineRule="auto"/>
        <w:jc w:val="both"/>
        <w:rPr>
          <w:rFonts w:cstheme="minorHAnsi"/>
          <w:b/>
          <w:bCs/>
          <w:sz w:val="24"/>
          <w:szCs w:val="24"/>
          <w:u w:val="single"/>
        </w:rPr>
      </w:pPr>
      <w:r w:rsidRPr="00432D66">
        <w:rPr>
          <w:rFonts w:cstheme="minorHAnsi"/>
          <w:b/>
          <w:bCs/>
          <w:sz w:val="24"/>
          <w:szCs w:val="24"/>
          <w:u w:val="single"/>
        </w:rPr>
        <w:t>Kapitálové výdaje</w:t>
      </w:r>
    </w:p>
    <w:p w14:paraId="0BABCAED" w14:textId="77777777" w:rsidR="00A617CD" w:rsidRPr="00432D66" w:rsidRDefault="00A617CD" w:rsidP="00A617CD">
      <w:pPr>
        <w:spacing w:after="0" w:line="240" w:lineRule="auto"/>
        <w:jc w:val="both"/>
        <w:rPr>
          <w:rFonts w:cstheme="minorHAnsi"/>
          <w:b/>
          <w:bCs/>
          <w:u w:val="single"/>
        </w:rPr>
      </w:pPr>
    </w:p>
    <w:p w14:paraId="58949D78" w14:textId="77777777" w:rsidR="00A617CD" w:rsidRPr="00432D66" w:rsidRDefault="00A617CD" w:rsidP="00A617CD">
      <w:pPr>
        <w:spacing w:after="0" w:line="240" w:lineRule="auto"/>
        <w:jc w:val="both"/>
        <w:rPr>
          <w:rFonts w:cstheme="minorHAnsi"/>
          <w:b/>
          <w:bCs/>
          <w:color w:val="FF0000"/>
        </w:rPr>
      </w:pPr>
      <w:r w:rsidRPr="00432D66">
        <w:rPr>
          <w:rFonts w:cstheme="minorHAnsi"/>
          <w:b/>
        </w:rPr>
        <w:t xml:space="preserve">§ 3522 </w:t>
      </w:r>
      <w:r w:rsidRPr="00432D66">
        <w:rPr>
          <w:rFonts w:cstheme="minorHAnsi"/>
          <w:b/>
          <w:bCs/>
        </w:rPr>
        <w:t>– Program 2021 - ZDRAVOTNICTVÍ</w:t>
      </w:r>
    </w:p>
    <w:p w14:paraId="5869E759" w14:textId="5CAE7387" w:rsidR="00A617CD" w:rsidRPr="00432D66" w:rsidRDefault="00A617CD" w:rsidP="00A617CD">
      <w:pPr>
        <w:spacing w:after="0" w:line="240" w:lineRule="auto"/>
        <w:jc w:val="both"/>
        <w:rPr>
          <w:rFonts w:cstheme="minorHAnsi"/>
        </w:rPr>
      </w:pPr>
      <w:r w:rsidRPr="00432D66">
        <w:rPr>
          <w:rFonts w:cstheme="minorHAnsi"/>
          <w:bCs/>
        </w:rPr>
        <w:t xml:space="preserve">Usnesením č. 028-07/2021/ZK ze dne 31. 5. 2021 byl schválen „Program 2021 – ZDRAVOTNICTVÍ“ (dále jen Program) pro poskytování investičních dotací z rozpočtu Středočeského kraje poskytovatelům akutní lůžkové péče na území Středočeského kraje. Finanční prostředky ve výši 25 000 000,00 Kč byly tímto usnesením převedeny z kapitoly 23 – Ostatní, výdaje dle programů. </w:t>
      </w:r>
      <w:r w:rsidRPr="00432D66">
        <w:rPr>
          <w:rFonts w:cstheme="minorHAnsi"/>
        </w:rPr>
        <w:t xml:space="preserve">Dotace poskytnuté z tohoto Programu přispívají k podpoře akutní lůžkové péče na území Středočeského kraje. Finanční prostředky lze poskytnout pouze na účel, který je vymezen v rámci podpory tohoto Programu (na pořízení přístrojového vybavení souvisejícího s poskytováním akutní lůžkové péče a na výdaje související s výstavbou nebo rekonstrukcí objektů, ve kterých je poskytována akutní lůžková péče). </w:t>
      </w:r>
    </w:p>
    <w:p w14:paraId="71DD2A9B" w14:textId="5E1399DB" w:rsidR="00A617CD" w:rsidRPr="00432D66" w:rsidRDefault="00A617CD" w:rsidP="00A617CD">
      <w:pPr>
        <w:spacing w:after="0" w:line="240" w:lineRule="auto"/>
        <w:jc w:val="both"/>
        <w:rPr>
          <w:rFonts w:cstheme="minorHAnsi"/>
        </w:rPr>
      </w:pPr>
      <w:r w:rsidRPr="00432D66">
        <w:rPr>
          <w:rFonts w:cstheme="minorHAnsi"/>
        </w:rPr>
        <w:t xml:space="preserve">Usnesením č. 025-10/2021/ZK ze dne 25. 10. 2021 bylo schváleno poskytnutí výše dotací pro jednotlivé žadatele v rámci tohoto Program v celkové 19 844 001,66 Kč. Finanční prostředky byly jednotlivým žadatelům poskytnuty na základě uzavřené veřejnoprávní smlouvy. </w:t>
      </w:r>
      <w:r w:rsidR="009227EF">
        <w:rPr>
          <w:rFonts w:cstheme="minorHAnsi"/>
        </w:rPr>
        <w:t>Nevyužité f</w:t>
      </w:r>
      <w:r w:rsidR="009227EF" w:rsidRPr="00432D66">
        <w:rPr>
          <w:rFonts w:cstheme="minorHAnsi"/>
        </w:rPr>
        <w:t>inanční prostředky ve výši 5 155 998,34 Kč byly usnesením č. 032-47/2021/RK ze dne 16. 12. 2021 převedeny do kap</w:t>
      </w:r>
      <w:r w:rsidR="009227EF">
        <w:rPr>
          <w:rFonts w:cstheme="minorHAnsi"/>
        </w:rPr>
        <w:t>itoly</w:t>
      </w:r>
      <w:r w:rsidR="009227EF" w:rsidRPr="00432D66">
        <w:rPr>
          <w:rFonts w:cstheme="minorHAnsi"/>
        </w:rPr>
        <w:t xml:space="preserve"> 23 – Ostatní, výdaje dle programů.</w:t>
      </w:r>
    </w:p>
    <w:p w14:paraId="4CB85E04" w14:textId="421F102E" w:rsidR="00A617CD" w:rsidRPr="00432D66" w:rsidRDefault="00A617CD" w:rsidP="00A617CD">
      <w:pPr>
        <w:spacing w:after="0" w:line="240" w:lineRule="auto"/>
        <w:rPr>
          <w:rFonts w:cstheme="minorHAnsi"/>
        </w:rPr>
      </w:pPr>
      <w:r w:rsidRPr="00432D66">
        <w:rPr>
          <w:rFonts w:cstheme="minorHAnsi"/>
        </w:rPr>
        <w:t>Prostředky byly čerpány ve výši 100</w:t>
      </w:r>
      <w:r w:rsidR="009227EF">
        <w:rPr>
          <w:rFonts w:cstheme="minorHAnsi"/>
        </w:rPr>
        <w:t>,0</w:t>
      </w:r>
      <w:r w:rsidRPr="00432D66">
        <w:rPr>
          <w:rFonts w:cstheme="minorHAnsi"/>
        </w:rPr>
        <w:t xml:space="preserve"> % upraveného rozpočtu.</w:t>
      </w:r>
    </w:p>
    <w:p w14:paraId="57FB93E5" w14:textId="77777777" w:rsidR="00A617CD" w:rsidRPr="00432D66" w:rsidRDefault="00A617CD" w:rsidP="00A617CD">
      <w:pPr>
        <w:spacing w:after="0" w:line="240" w:lineRule="auto"/>
        <w:jc w:val="both"/>
        <w:rPr>
          <w:rFonts w:cstheme="minorHAnsi"/>
        </w:rPr>
      </w:pPr>
    </w:p>
    <w:p w14:paraId="6965AD3A" w14:textId="77777777" w:rsidR="00A617CD" w:rsidRPr="00432D66" w:rsidRDefault="00A617CD" w:rsidP="00A617CD">
      <w:pPr>
        <w:spacing w:after="0" w:line="240" w:lineRule="auto"/>
        <w:jc w:val="both"/>
        <w:rPr>
          <w:rFonts w:cstheme="minorHAnsi"/>
          <w:b/>
          <w:bCs/>
        </w:rPr>
      </w:pPr>
      <w:r w:rsidRPr="00432D66">
        <w:rPr>
          <w:rFonts w:cstheme="minorHAnsi"/>
          <w:b/>
          <w:bCs/>
        </w:rPr>
        <w:t xml:space="preserve">§ 3533 – Zdravotnická záchranná služba – batohy s AED a příslušenstvím </w:t>
      </w:r>
    </w:p>
    <w:p w14:paraId="7CB37FA1" w14:textId="77777777" w:rsidR="00A617CD" w:rsidRPr="00432D66" w:rsidRDefault="00A617CD" w:rsidP="00A617CD">
      <w:pPr>
        <w:spacing w:after="0" w:line="240" w:lineRule="auto"/>
        <w:jc w:val="both"/>
        <w:rPr>
          <w:rFonts w:cstheme="minorHAnsi"/>
        </w:rPr>
      </w:pPr>
      <w:r w:rsidRPr="00432D66">
        <w:rPr>
          <w:rFonts w:cstheme="minorHAnsi"/>
        </w:rPr>
        <w:lastRenderedPageBreak/>
        <w:t>Usnesením č. 052-42/2021/RK ze dne 11. 11. 2021 bylo schváleno poskytnutí investičního příspěvku ve výši 762 300,00 Kč na financování akce „Batohy s AED a příslušenstvím pro Prvosledové hlídky“ a převedení finančních prostředků z kapitoly 23 – Ostatní, Rezerva SK do kapitoly 07 – Zdravotnictví. Finanční prostředky byly použity na nákup 15 kusů batohů s automatickým externím defibrilátorem. Nákup batohů provedla ZZS SK a předala Policii ČR na základě Smlouvy o výpůjčce.</w:t>
      </w:r>
    </w:p>
    <w:p w14:paraId="0D344378" w14:textId="26AD404E" w:rsidR="00A617CD" w:rsidRPr="00432D66" w:rsidRDefault="00A617CD" w:rsidP="00A617CD">
      <w:pPr>
        <w:spacing w:after="0" w:line="240" w:lineRule="auto"/>
        <w:rPr>
          <w:rFonts w:cstheme="minorHAnsi"/>
        </w:rPr>
      </w:pPr>
      <w:r w:rsidRPr="00432D66">
        <w:rPr>
          <w:rFonts w:cstheme="minorHAnsi"/>
        </w:rPr>
        <w:t>Prostředky byly čerpány ve výši 98</w:t>
      </w:r>
      <w:r w:rsidR="009227EF">
        <w:rPr>
          <w:rFonts w:cstheme="minorHAnsi"/>
        </w:rPr>
        <w:t>,0</w:t>
      </w:r>
      <w:r w:rsidRPr="00432D66">
        <w:rPr>
          <w:rFonts w:cstheme="minorHAnsi"/>
        </w:rPr>
        <w:t xml:space="preserve"> % upraveného rozpočtu.</w:t>
      </w:r>
    </w:p>
    <w:p w14:paraId="290D0F5D" w14:textId="77777777" w:rsidR="00A617CD" w:rsidRPr="00432D66" w:rsidRDefault="00A617CD" w:rsidP="00A617CD">
      <w:pPr>
        <w:spacing w:after="0" w:line="240" w:lineRule="auto"/>
        <w:jc w:val="both"/>
        <w:rPr>
          <w:rFonts w:cstheme="minorHAnsi"/>
        </w:rPr>
      </w:pPr>
    </w:p>
    <w:p w14:paraId="7513222C" w14:textId="77777777" w:rsidR="00A617CD" w:rsidRPr="00432D66" w:rsidRDefault="00A617CD" w:rsidP="00A617CD">
      <w:pPr>
        <w:spacing w:after="0" w:line="240" w:lineRule="auto"/>
        <w:jc w:val="both"/>
        <w:rPr>
          <w:rFonts w:cstheme="minorHAnsi"/>
          <w:b/>
          <w:bCs/>
          <w:sz w:val="24"/>
          <w:szCs w:val="24"/>
          <w:u w:val="single"/>
        </w:rPr>
      </w:pPr>
      <w:r w:rsidRPr="00432D66">
        <w:rPr>
          <w:rFonts w:cstheme="minorHAnsi"/>
          <w:b/>
          <w:bCs/>
          <w:sz w:val="24"/>
          <w:szCs w:val="24"/>
          <w:u w:val="single"/>
        </w:rPr>
        <w:t>Předfinancování a kofinancování projektů spolufinancovaných z EU/EHP a ostatní související výdaje s projekty EU/EHP</w:t>
      </w:r>
    </w:p>
    <w:p w14:paraId="7A12E572" w14:textId="77777777" w:rsidR="00A617CD" w:rsidRPr="00432D66" w:rsidRDefault="00A617CD" w:rsidP="00A617CD">
      <w:pPr>
        <w:spacing w:after="0" w:line="240" w:lineRule="auto"/>
        <w:jc w:val="both"/>
        <w:rPr>
          <w:rFonts w:cstheme="minorHAnsi"/>
          <w:b/>
          <w:bCs/>
          <w:sz w:val="24"/>
          <w:szCs w:val="24"/>
          <w:u w:val="single"/>
        </w:rPr>
      </w:pPr>
    </w:p>
    <w:p w14:paraId="41F9432B" w14:textId="77777777" w:rsidR="00A617CD" w:rsidRPr="00432D66" w:rsidRDefault="00A617CD" w:rsidP="00A617CD">
      <w:pPr>
        <w:spacing w:after="0" w:line="240" w:lineRule="auto"/>
        <w:jc w:val="both"/>
        <w:rPr>
          <w:rFonts w:cstheme="minorHAnsi"/>
          <w:b/>
          <w:bCs/>
        </w:rPr>
      </w:pPr>
      <w:r w:rsidRPr="00432D66">
        <w:rPr>
          <w:rFonts w:cstheme="minorHAnsi"/>
          <w:b/>
          <w:bCs/>
        </w:rPr>
        <w:t>§ 2115 – Úspora energie a obnovitelného zdroje</w:t>
      </w:r>
    </w:p>
    <w:p w14:paraId="1292B319" w14:textId="04948CB3" w:rsidR="00A617CD" w:rsidRPr="00432D66" w:rsidRDefault="00A617CD" w:rsidP="00A617CD">
      <w:pPr>
        <w:spacing w:after="0" w:line="240" w:lineRule="auto"/>
        <w:jc w:val="both"/>
        <w:rPr>
          <w:rFonts w:cstheme="minorHAnsi"/>
        </w:rPr>
      </w:pPr>
      <w:r w:rsidRPr="00432D66">
        <w:rPr>
          <w:rFonts w:cstheme="minorHAnsi"/>
        </w:rPr>
        <w:t>Usnesením č. 008-35/2021/RK ze dne 16. 9. 2021 byly převedeny finanční prostředky projektu „EPC I - Energetické úspory se zaručeným výsledkem - Oblastní nemocnice Mladá Boleslav“ ve výši 907 500,00 Kč z kap</w:t>
      </w:r>
      <w:r w:rsidR="009227EF">
        <w:rPr>
          <w:rFonts w:cstheme="minorHAnsi"/>
        </w:rPr>
        <w:t>itoly</w:t>
      </w:r>
      <w:r w:rsidRPr="00432D66">
        <w:rPr>
          <w:rFonts w:cstheme="minorHAnsi"/>
        </w:rPr>
        <w:t xml:space="preserve"> 09 - Evropská integrace do kap</w:t>
      </w:r>
      <w:r w:rsidR="009227EF">
        <w:rPr>
          <w:rFonts w:cstheme="minorHAnsi"/>
        </w:rPr>
        <w:t>itoly</w:t>
      </w:r>
      <w:r w:rsidRPr="00432D66">
        <w:rPr>
          <w:rFonts w:cstheme="minorHAnsi"/>
        </w:rPr>
        <w:t xml:space="preserve"> 07 – Zdravotnictví. </w:t>
      </w:r>
      <w:r w:rsidR="009227EF">
        <w:rPr>
          <w:rFonts w:cstheme="minorHAnsi"/>
        </w:rPr>
        <w:t>Bude čerpáno v roce 2022.</w:t>
      </w:r>
    </w:p>
    <w:p w14:paraId="52010D40" w14:textId="77777777" w:rsidR="00A617CD" w:rsidRPr="00432D66" w:rsidRDefault="00A617CD" w:rsidP="00A617CD">
      <w:pPr>
        <w:spacing w:after="0" w:line="240" w:lineRule="auto"/>
        <w:jc w:val="both"/>
        <w:rPr>
          <w:rFonts w:cstheme="minorHAnsi"/>
        </w:rPr>
      </w:pPr>
    </w:p>
    <w:p w14:paraId="0D6624EC" w14:textId="77777777" w:rsidR="00A617CD" w:rsidRPr="00432D66" w:rsidRDefault="00A617CD" w:rsidP="00A617CD">
      <w:pPr>
        <w:spacing w:after="0" w:line="240" w:lineRule="auto"/>
        <w:jc w:val="both"/>
        <w:rPr>
          <w:rFonts w:cstheme="minorHAnsi"/>
          <w:b/>
          <w:bCs/>
        </w:rPr>
      </w:pPr>
      <w:r w:rsidRPr="00432D66">
        <w:rPr>
          <w:rFonts w:cstheme="minorHAnsi"/>
          <w:b/>
          <w:bCs/>
        </w:rPr>
        <w:t>§ 3522 – Ostatní nemocnice</w:t>
      </w:r>
    </w:p>
    <w:p w14:paraId="22A32EF4" w14:textId="25DAB7AE" w:rsidR="00A617CD" w:rsidRPr="00432D66" w:rsidRDefault="00A617CD" w:rsidP="00A617CD">
      <w:pPr>
        <w:pStyle w:val="Default"/>
        <w:jc w:val="both"/>
        <w:rPr>
          <w:rFonts w:asciiTheme="minorHAnsi" w:hAnsiTheme="minorHAnsi" w:cstheme="minorHAnsi"/>
          <w:color w:val="auto"/>
          <w:sz w:val="22"/>
          <w:szCs w:val="22"/>
        </w:rPr>
      </w:pPr>
      <w:r w:rsidRPr="00432D66">
        <w:rPr>
          <w:rFonts w:asciiTheme="minorHAnsi" w:hAnsiTheme="minorHAnsi" w:cstheme="minorHAnsi"/>
          <w:color w:val="auto"/>
          <w:sz w:val="22"/>
          <w:szCs w:val="22"/>
        </w:rPr>
        <w:t>Usnesením č. 026-10/2021/ZK ze dne 25. 10. 2021 bylo schváleno poskytnutí investičních dotací z rozpočtu Středočeského kraje na přípravu projektů investičních akcí v roce 2021 pro nemocnice založené Středočeským krajem. Usnesením č. 044-43/2021/RK ze dne 18. 11. 2021 byly do rozpočtu kap</w:t>
      </w:r>
      <w:r w:rsidR="009227EF">
        <w:rPr>
          <w:rFonts w:asciiTheme="minorHAnsi" w:hAnsiTheme="minorHAnsi" w:cstheme="minorHAnsi"/>
          <w:color w:val="auto"/>
          <w:sz w:val="22"/>
          <w:szCs w:val="22"/>
        </w:rPr>
        <w:t>itoly</w:t>
      </w:r>
      <w:r w:rsidRPr="00432D66">
        <w:rPr>
          <w:rFonts w:asciiTheme="minorHAnsi" w:hAnsiTheme="minorHAnsi" w:cstheme="minorHAnsi"/>
          <w:color w:val="auto"/>
          <w:sz w:val="22"/>
          <w:szCs w:val="22"/>
        </w:rPr>
        <w:t xml:space="preserve"> 07 – Zdravotnictví převedeny finanční prostředky ve výši 25 790 452,60 Kč z kap</w:t>
      </w:r>
      <w:r w:rsidR="009227EF">
        <w:rPr>
          <w:rFonts w:asciiTheme="minorHAnsi" w:hAnsiTheme="minorHAnsi" w:cstheme="minorHAnsi"/>
          <w:color w:val="auto"/>
          <w:sz w:val="22"/>
          <w:szCs w:val="22"/>
        </w:rPr>
        <w:t>itoly</w:t>
      </w:r>
      <w:r w:rsidRPr="00432D66">
        <w:rPr>
          <w:rFonts w:asciiTheme="minorHAnsi" w:hAnsiTheme="minorHAnsi" w:cstheme="minorHAnsi"/>
          <w:color w:val="auto"/>
          <w:sz w:val="22"/>
          <w:szCs w:val="22"/>
        </w:rPr>
        <w:t xml:space="preserve"> 23 – Ostatní, z prostředků na předfinancování a kofinancování projektů EU/EHP a ostatní související výdaje s projekty EU/EHP.  Finanční prostředky byly poskytnuty na základě uzavření veřejnoprávních smluv o poskytnutí investičních dotací z rozpočtu Středočeského kraje.</w:t>
      </w:r>
    </w:p>
    <w:p w14:paraId="694D0979" w14:textId="77777777" w:rsidR="00A617CD" w:rsidRPr="00432D66" w:rsidRDefault="00A617CD" w:rsidP="00A617CD">
      <w:pPr>
        <w:pStyle w:val="Default"/>
        <w:jc w:val="both"/>
        <w:rPr>
          <w:rFonts w:asciiTheme="minorHAnsi" w:hAnsiTheme="minorHAnsi" w:cstheme="minorHAnsi"/>
          <w:color w:val="auto"/>
          <w:sz w:val="22"/>
          <w:szCs w:val="22"/>
        </w:rPr>
      </w:pPr>
      <w:r w:rsidRPr="00432D66">
        <w:rPr>
          <w:rFonts w:asciiTheme="minorHAnsi" w:hAnsiTheme="minorHAnsi" w:cstheme="minorHAnsi"/>
          <w:color w:val="auto"/>
          <w:sz w:val="22"/>
          <w:szCs w:val="22"/>
        </w:rPr>
        <w:t>Prostředky byly čerpány ve výši 99,8 % upraveného rozpočtu.</w:t>
      </w:r>
    </w:p>
    <w:p w14:paraId="4B71680F" w14:textId="77777777" w:rsidR="00A617CD" w:rsidRPr="00432D66" w:rsidRDefault="00A617CD" w:rsidP="00A617CD">
      <w:pPr>
        <w:pStyle w:val="Default"/>
      </w:pPr>
    </w:p>
    <w:p w14:paraId="58B1E003" w14:textId="77777777" w:rsidR="00A617CD" w:rsidRPr="00432D66" w:rsidRDefault="00A617CD" w:rsidP="00A617CD">
      <w:pPr>
        <w:spacing w:after="0" w:line="240" w:lineRule="auto"/>
        <w:jc w:val="both"/>
        <w:rPr>
          <w:rFonts w:cstheme="minorHAnsi"/>
          <w:b/>
          <w:bCs/>
        </w:rPr>
      </w:pPr>
      <w:r w:rsidRPr="00432D66">
        <w:rPr>
          <w:rFonts w:cstheme="minorHAnsi"/>
          <w:b/>
          <w:bCs/>
        </w:rPr>
        <w:t xml:space="preserve">§ 3529 – Ostatní ústavní péče </w:t>
      </w:r>
    </w:p>
    <w:p w14:paraId="3AEBC7C1" w14:textId="62913767" w:rsidR="00A617CD" w:rsidRPr="00432D66" w:rsidRDefault="00A617CD" w:rsidP="00A617CD">
      <w:pPr>
        <w:spacing w:after="0" w:line="240" w:lineRule="auto"/>
        <w:jc w:val="both"/>
        <w:rPr>
          <w:rFonts w:cstheme="minorHAnsi"/>
        </w:rPr>
      </w:pPr>
      <w:r w:rsidRPr="00432D66">
        <w:rPr>
          <w:rFonts w:cstheme="minorHAnsi"/>
        </w:rPr>
        <w:t>Usnesením č. 026-10/2021/ZK ze dne 25. 10. 2021 bylo schváleno poskytnutí investičních příspěvků na přípravu projektů investičních akcí v roce 2021 pro zdravotnické příspěvkové organizace zřízené Středočeským krajem (dětská centra). Usnesením č. 043-46/2021/RK ze dne 9. 12. 2021 byly do rozpočtu kap</w:t>
      </w:r>
      <w:r w:rsidR="009227EF">
        <w:rPr>
          <w:rFonts w:cstheme="minorHAnsi"/>
        </w:rPr>
        <w:t>itoly</w:t>
      </w:r>
      <w:r w:rsidRPr="00432D66">
        <w:rPr>
          <w:rFonts w:cstheme="minorHAnsi"/>
        </w:rPr>
        <w:t xml:space="preserve"> 07 – Zdravotnictví převedeny finanční prostředky ve výši 297 000,00 Kč z kap</w:t>
      </w:r>
      <w:r w:rsidR="009227EF">
        <w:rPr>
          <w:rFonts w:cstheme="minorHAnsi"/>
        </w:rPr>
        <w:t>itoly</w:t>
      </w:r>
      <w:r w:rsidRPr="00432D66">
        <w:rPr>
          <w:rFonts w:cstheme="minorHAnsi"/>
        </w:rPr>
        <w:t xml:space="preserve"> 23 – Ostatní, z prostředků na předfinancování a kofinancování projektů EU/EHP a ostatní související výdaje s projekty EU/EHP.  </w:t>
      </w:r>
    </w:p>
    <w:p w14:paraId="025B09D7" w14:textId="77777777" w:rsidR="00A617CD" w:rsidRPr="00432D66" w:rsidRDefault="00A617CD" w:rsidP="00A617CD">
      <w:pPr>
        <w:pStyle w:val="Default"/>
        <w:rPr>
          <w:rFonts w:asciiTheme="minorHAnsi" w:hAnsiTheme="minorHAnsi" w:cstheme="minorHAnsi"/>
          <w:color w:val="auto"/>
          <w:sz w:val="22"/>
          <w:szCs w:val="22"/>
        </w:rPr>
      </w:pPr>
      <w:r w:rsidRPr="00432D66">
        <w:rPr>
          <w:rFonts w:asciiTheme="minorHAnsi" w:hAnsiTheme="minorHAnsi" w:cstheme="minorHAnsi"/>
          <w:color w:val="auto"/>
          <w:sz w:val="22"/>
          <w:szCs w:val="22"/>
        </w:rPr>
        <w:t>Prostředky byly čerpány ve výši 83,8 % upraveného rozpočtu.</w:t>
      </w:r>
    </w:p>
    <w:p w14:paraId="79951E98" w14:textId="77777777" w:rsidR="00A617CD" w:rsidRPr="00432D66" w:rsidRDefault="00A617CD" w:rsidP="00A617CD">
      <w:pPr>
        <w:pStyle w:val="Default"/>
        <w:rPr>
          <w:rFonts w:asciiTheme="minorHAnsi" w:hAnsiTheme="minorHAnsi" w:cstheme="minorHAnsi"/>
          <w:color w:val="auto"/>
          <w:sz w:val="22"/>
          <w:szCs w:val="22"/>
        </w:rPr>
      </w:pPr>
    </w:p>
    <w:p w14:paraId="68C3B4D7" w14:textId="77777777" w:rsidR="00A617CD" w:rsidRPr="00432D66" w:rsidRDefault="00A617CD" w:rsidP="00A617CD">
      <w:pPr>
        <w:spacing w:after="0" w:line="240" w:lineRule="auto"/>
        <w:jc w:val="both"/>
        <w:rPr>
          <w:rFonts w:cstheme="minorHAnsi"/>
          <w:b/>
          <w:bCs/>
        </w:rPr>
      </w:pPr>
      <w:r w:rsidRPr="00432D66">
        <w:rPr>
          <w:rFonts w:cstheme="minorHAnsi"/>
          <w:b/>
          <w:bCs/>
        </w:rPr>
        <w:t>§ 3533 – Zdravotnická záchranná služba</w:t>
      </w:r>
    </w:p>
    <w:p w14:paraId="36FD842F" w14:textId="0AE32D10" w:rsidR="00A617CD" w:rsidRPr="00432D66" w:rsidRDefault="00A617CD" w:rsidP="00A617CD">
      <w:pPr>
        <w:spacing w:after="0" w:line="240" w:lineRule="auto"/>
        <w:jc w:val="both"/>
        <w:rPr>
          <w:rFonts w:cstheme="minorHAnsi"/>
        </w:rPr>
      </w:pPr>
      <w:r w:rsidRPr="00432D66">
        <w:rPr>
          <w:rFonts w:cstheme="minorHAnsi"/>
        </w:rPr>
        <w:t>Usnesením č. 026-10/2021/ZK ze dne 25. 10. 2021 bylo schváleno poskytnutí investičních příspěvků na přípravu projektů investičních akcí v roce 2021 pro Zdravotnickou záchrannou službu Středočeského kraje, příspěvkovou organizaci. Usnesením č. 043-46/2021/RK ze dne 9. 12. 2021 byly do rozpočtu kap</w:t>
      </w:r>
      <w:r w:rsidR="009227EF">
        <w:rPr>
          <w:rFonts w:cstheme="minorHAnsi"/>
        </w:rPr>
        <w:t>itoly</w:t>
      </w:r>
      <w:r w:rsidRPr="00432D66">
        <w:rPr>
          <w:rFonts w:cstheme="minorHAnsi"/>
        </w:rPr>
        <w:t xml:space="preserve"> 07 – Zdravotnictví převedeny finanční prostředky ve výši 7 300 000,00 Kč z kap</w:t>
      </w:r>
      <w:r w:rsidR="009227EF">
        <w:rPr>
          <w:rFonts w:cstheme="minorHAnsi"/>
        </w:rPr>
        <w:t>itoly</w:t>
      </w:r>
      <w:r w:rsidRPr="00432D66">
        <w:rPr>
          <w:rFonts w:cstheme="minorHAnsi"/>
        </w:rPr>
        <w:t xml:space="preserve"> 23 – Ostatní, z prostředků na předfinancování a kofinancování projektů EU/EHP a ostatní související výdaje s projekty EU/EHP.  </w:t>
      </w:r>
    </w:p>
    <w:p w14:paraId="36C4BE04" w14:textId="7C37C3DC" w:rsidR="00A617CD" w:rsidRPr="00432D66" w:rsidRDefault="00A617CD" w:rsidP="00A617CD">
      <w:pPr>
        <w:pStyle w:val="Default"/>
        <w:rPr>
          <w:rFonts w:asciiTheme="minorHAnsi" w:hAnsiTheme="minorHAnsi" w:cstheme="minorHAnsi"/>
          <w:color w:val="auto"/>
          <w:sz w:val="22"/>
          <w:szCs w:val="22"/>
        </w:rPr>
      </w:pPr>
      <w:r w:rsidRPr="00432D66">
        <w:rPr>
          <w:rFonts w:asciiTheme="minorHAnsi" w:hAnsiTheme="minorHAnsi" w:cstheme="minorHAnsi"/>
          <w:color w:val="auto"/>
          <w:sz w:val="22"/>
          <w:szCs w:val="22"/>
        </w:rPr>
        <w:t>Prostředky byly čerpány ve výši 3,9 % upraveného rozpočtu.</w:t>
      </w:r>
      <w:r w:rsidR="009227EF">
        <w:rPr>
          <w:rFonts w:asciiTheme="minorHAnsi" w:hAnsiTheme="minorHAnsi" w:cstheme="minorHAnsi"/>
          <w:color w:val="auto"/>
          <w:sz w:val="22"/>
          <w:szCs w:val="22"/>
        </w:rPr>
        <w:t xml:space="preserve"> Zbylá část bude čerpána v roce 2022.</w:t>
      </w:r>
    </w:p>
    <w:p w14:paraId="7E2886CC" w14:textId="77777777" w:rsidR="009227EF" w:rsidRDefault="009227EF" w:rsidP="00A617CD">
      <w:pPr>
        <w:spacing w:after="0" w:line="240" w:lineRule="auto"/>
        <w:jc w:val="both"/>
        <w:rPr>
          <w:rFonts w:cstheme="minorHAnsi"/>
          <w:b/>
          <w:bCs/>
          <w:sz w:val="24"/>
          <w:szCs w:val="24"/>
          <w:u w:val="single"/>
        </w:rPr>
      </w:pPr>
    </w:p>
    <w:p w14:paraId="5255CF60" w14:textId="0261D4AC" w:rsidR="00A617CD" w:rsidRPr="00432D66" w:rsidRDefault="00A617CD" w:rsidP="00A617CD">
      <w:pPr>
        <w:spacing w:after="0" w:line="240" w:lineRule="auto"/>
        <w:jc w:val="both"/>
        <w:rPr>
          <w:rFonts w:cstheme="minorHAnsi"/>
          <w:sz w:val="24"/>
          <w:szCs w:val="24"/>
        </w:rPr>
      </w:pPr>
      <w:r w:rsidRPr="00432D66">
        <w:rPr>
          <w:rFonts w:cstheme="minorHAnsi"/>
          <w:b/>
          <w:bCs/>
          <w:sz w:val="24"/>
          <w:szCs w:val="24"/>
          <w:u w:val="single"/>
        </w:rPr>
        <w:t>Dluhová služba za úvěr nemocnic</w:t>
      </w:r>
    </w:p>
    <w:p w14:paraId="41018658" w14:textId="77777777" w:rsidR="00A617CD" w:rsidRPr="00432D66" w:rsidRDefault="00A617CD" w:rsidP="00A617CD">
      <w:pPr>
        <w:spacing w:after="0" w:line="240" w:lineRule="auto"/>
        <w:jc w:val="both"/>
        <w:rPr>
          <w:rFonts w:cstheme="minorHAnsi"/>
          <w:b/>
          <w:bCs/>
          <w:u w:val="single"/>
        </w:rPr>
      </w:pPr>
    </w:p>
    <w:p w14:paraId="728BAA18" w14:textId="77777777" w:rsidR="00A617CD" w:rsidRPr="00432D66" w:rsidRDefault="00A617CD" w:rsidP="00A617CD">
      <w:pPr>
        <w:spacing w:after="0" w:line="240" w:lineRule="auto"/>
        <w:jc w:val="both"/>
        <w:rPr>
          <w:rFonts w:cstheme="minorHAnsi"/>
          <w:b/>
          <w:bCs/>
        </w:rPr>
      </w:pPr>
      <w:r w:rsidRPr="00432D66">
        <w:rPr>
          <w:rFonts w:cstheme="minorHAnsi"/>
          <w:b/>
          <w:bCs/>
        </w:rPr>
        <w:t xml:space="preserve">§ 3522 – Dluhová služba za úvěr nemocnic </w:t>
      </w:r>
    </w:p>
    <w:p w14:paraId="73094989" w14:textId="73C848C7" w:rsidR="00A617CD" w:rsidRPr="00432D66" w:rsidRDefault="00A617CD" w:rsidP="00A617CD">
      <w:pPr>
        <w:spacing w:after="0" w:line="240" w:lineRule="auto"/>
        <w:jc w:val="both"/>
        <w:rPr>
          <w:rFonts w:cstheme="minorHAnsi"/>
        </w:rPr>
      </w:pPr>
      <w:r w:rsidRPr="00432D66">
        <w:rPr>
          <w:rFonts w:cstheme="minorHAnsi"/>
        </w:rPr>
        <w:t xml:space="preserve">Dluhová služba za úvěr nemocnic vyplývá z ručitelských prohlášení Středočeského kraje vystavených na plánované splátky úvěrů v jednotlivých letech. V roce 2021 byly plánované splátky úvěrů oblastních nemocnic v Příbrami (částka 72 370 000,00 Kč), v Kladně (částka 101 803 000,00 Kč) a v Kolíně (částka 17 314 000,00 Kč). V roce 2021 bylo uvedeným nemocnicím celkem poskytnuto 185 362 808,58 Kč (Příbram - částka 70 262 745,83 Kč, Kladno - částka 97 991 963,45 Kč, Kolín - částka 17 108 099,30 Kč). Uvedené částky vyplývají ze Smlouvy o dotacích ev. č. 4158/ZDR/2008, ev. č. 4159/ZDR/2008 a ev. č. 4496/ZDR/2008 a z Dodatků č. 1 ke smlouvám. </w:t>
      </w:r>
    </w:p>
    <w:p w14:paraId="4656FF7C" w14:textId="659CF732" w:rsidR="00A617CD" w:rsidRPr="00432D66" w:rsidRDefault="00A617CD" w:rsidP="00A617CD">
      <w:pPr>
        <w:spacing w:after="0" w:line="240" w:lineRule="auto"/>
        <w:rPr>
          <w:rFonts w:cstheme="minorHAnsi"/>
        </w:rPr>
      </w:pPr>
      <w:r w:rsidRPr="00432D66">
        <w:rPr>
          <w:rFonts w:cstheme="minorHAnsi"/>
        </w:rPr>
        <w:t>Prostředky byly čerpány ve výši 96,8 % upraveného rozpočtu.</w:t>
      </w:r>
    </w:p>
    <w:p w14:paraId="1294157C" w14:textId="77777777" w:rsidR="00A617CD" w:rsidRPr="00432D66" w:rsidRDefault="00A617CD" w:rsidP="00A617CD">
      <w:pPr>
        <w:spacing w:after="0" w:line="240" w:lineRule="auto"/>
        <w:rPr>
          <w:rFonts w:cstheme="minorHAnsi"/>
        </w:rPr>
      </w:pPr>
    </w:p>
    <w:p w14:paraId="5608FCEE" w14:textId="77777777" w:rsidR="00A617CD" w:rsidRPr="00432D66" w:rsidRDefault="00A617CD" w:rsidP="00A617CD">
      <w:pPr>
        <w:spacing w:after="0" w:line="240" w:lineRule="auto"/>
        <w:rPr>
          <w:rFonts w:cstheme="minorHAnsi"/>
        </w:rPr>
      </w:pPr>
    </w:p>
    <w:p w14:paraId="31DC09DB" w14:textId="77777777" w:rsidR="00A617CD" w:rsidRPr="00432D66" w:rsidRDefault="00A617CD" w:rsidP="00A617CD">
      <w:pPr>
        <w:spacing w:after="0" w:line="240" w:lineRule="auto"/>
        <w:jc w:val="both"/>
        <w:rPr>
          <w:rFonts w:cstheme="minorHAnsi"/>
        </w:rPr>
      </w:pPr>
    </w:p>
    <w:p w14:paraId="6172F6C4" w14:textId="77777777" w:rsidR="00A617CD" w:rsidRPr="00432D66" w:rsidRDefault="00A617CD" w:rsidP="00A617CD">
      <w:pPr>
        <w:spacing w:after="0" w:line="240" w:lineRule="auto"/>
        <w:jc w:val="both"/>
        <w:rPr>
          <w:rFonts w:cstheme="minorHAnsi"/>
          <w:b/>
          <w:bCs/>
          <w:sz w:val="24"/>
          <w:szCs w:val="24"/>
          <w:u w:val="single"/>
        </w:rPr>
      </w:pPr>
      <w:r w:rsidRPr="00432D66">
        <w:rPr>
          <w:rFonts w:cstheme="minorHAnsi"/>
          <w:b/>
          <w:bCs/>
          <w:sz w:val="24"/>
          <w:szCs w:val="24"/>
          <w:u w:val="single"/>
        </w:rPr>
        <w:lastRenderedPageBreak/>
        <w:t>Dotace ze státního rozpočtu a ostatních veřejných rozpočtů</w:t>
      </w:r>
    </w:p>
    <w:p w14:paraId="12719FBD" w14:textId="77777777" w:rsidR="00A617CD" w:rsidRPr="00432D66" w:rsidRDefault="00A617CD" w:rsidP="00A617CD">
      <w:pPr>
        <w:spacing w:after="0" w:line="240" w:lineRule="auto"/>
        <w:jc w:val="both"/>
        <w:rPr>
          <w:rFonts w:cstheme="minorHAnsi"/>
          <w:b/>
          <w:bCs/>
          <w:sz w:val="24"/>
          <w:szCs w:val="24"/>
          <w:u w:val="single"/>
        </w:rPr>
      </w:pPr>
    </w:p>
    <w:p w14:paraId="2C09C3AB" w14:textId="77777777" w:rsidR="00A617CD" w:rsidRPr="00432D66" w:rsidRDefault="00A617CD" w:rsidP="00A617CD">
      <w:pPr>
        <w:spacing w:after="0" w:line="240" w:lineRule="auto"/>
        <w:jc w:val="both"/>
        <w:rPr>
          <w:rFonts w:cstheme="minorHAnsi"/>
          <w:b/>
        </w:rPr>
      </w:pPr>
      <w:r w:rsidRPr="00432D66">
        <w:rPr>
          <w:rFonts w:cstheme="minorHAnsi"/>
          <w:b/>
        </w:rPr>
        <w:t xml:space="preserve">§ 3529 – MZ ČR - neinvestiční dotace pro zdravotníky dětských center na mzdy v souvislosti </w:t>
      </w:r>
      <w:r w:rsidRPr="00432D66">
        <w:rPr>
          <w:rFonts w:cstheme="minorHAnsi"/>
          <w:b/>
        </w:rPr>
        <w:br/>
        <w:t>s COVID-19, ÚZ 35025</w:t>
      </w:r>
    </w:p>
    <w:p w14:paraId="0DA43ED5" w14:textId="63998B2C" w:rsidR="00A617CD" w:rsidRPr="00432D66" w:rsidRDefault="00A617CD" w:rsidP="00A617CD">
      <w:pPr>
        <w:spacing w:after="0" w:line="240" w:lineRule="auto"/>
        <w:jc w:val="both"/>
        <w:rPr>
          <w:rFonts w:cstheme="minorHAnsi"/>
        </w:rPr>
      </w:pPr>
      <w:r w:rsidRPr="00432D66">
        <w:rPr>
          <w:rFonts w:cstheme="minorHAnsi"/>
        </w:rPr>
        <w:t xml:space="preserve">Usnesením č. 030-18/2021/RK ze dne 22. 4. 2021 </w:t>
      </w:r>
      <w:r w:rsidR="009227EF">
        <w:rPr>
          <w:rFonts w:cstheme="minorHAnsi"/>
        </w:rPr>
        <w:t xml:space="preserve">bylo na základě </w:t>
      </w:r>
      <w:r w:rsidRPr="00432D66">
        <w:rPr>
          <w:rFonts w:cstheme="minorHAnsi"/>
        </w:rPr>
        <w:t xml:space="preserve">Rozhodnutí Ministerstva zdravotnictví ČR </w:t>
      </w:r>
      <w:r w:rsidRPr="00432D66">
        <w:rPr>
          <w:rFonts w:cstheme="minorHAnsi"/>
        </w:rPr>
        <w:br/>
        <w:t>č. 69/2021/COVID/CAU schváleno poskytnutí neinvestiční dotace na podporu mimořádného finančního ohodnocení zaměstnanců poskytovatelů lůžkové péče (dětských center) v souvislosti s epidemií COVID-19 pro rok 2021 v celkové výši 10 204 023,00 Kč takto: Dětské centrum Kladno - částka 2 820 614,00 Kč; Dětské centrum Kolín - částka 2 113 529,00 Kč; Dětské centrum Milovice - částka 2 585 983,00 Kč; Dětské centrum Chocerady - centrum komplexní péče - částka - 2 683 897,00 Kč.</w:t>
      </w:r>
    </w:p>
    <w:p w14:paraId="710B1E55" w14:textId="77777777" w:rsidR="00A617CD" w:rsidRPr="00432D66" w:rsidRDefault="00A617CD" w:rsidP="00A617CD">
      <w:pPr>
        <w:spacing w:after="0" w:line="240" w:lineRule="auto"/>
        <w:jc w:val="both"/>
        <w:rPr>
          <w:rFonts w:cstheme="minorHAnsi"/>
        </w:rPr>
      </w:pPr>
      <w:r w:rsidRPr="00432D66">
        <w:rPr>
          <w:rFonts w:cstheme="minorHAnsi"/>
        </w:rPr>
        <w:t>Uvedená neinvestiční dotace ze státního rozpočtu je předmětem finančního vypořádání se státním rozpočtem za rok 2021. Finanční prostředky byly v roce 2021 čerpány v plné výši.</w:t>
      </w:r>
    </w:p>
    <w:p w14:paraId="5297A27B" w14:textId="77777777" w:rsidR="00A617CD" w:rsidRPr="00432D66" w:rsidRDefault="00A617CD" w:rsidP="00A617CD">
      <w:pPr>
        <w:spacing w:after="0" w:line="240" w:lineRule="auto"/>
        <w:jc w:val="both"/>
        <w:rPr>
          <w:rFonts w:cstheme="minorHAnsi"/>
        </w:rPr>
      </w:pPr>
    </w:p>
    <w:p w14:paraId="1E412F6A" w14:textId="77777777" w:rsidR="00A617CD" w:rsidRPr="00432D66" w:rsidRDefault="00A617CD" w:rsidP="00A617CD">
      <w:pPr>
        <w:spacing w:after="0" w:line="240" w:lineRule="auto"/>
        <w:jc w:val="both"/>
        <w:rPr>
          <w:rFonts w:cstheme="minorHAnsi"/>
          <w:b/>
        </w:rPr>
      </w:pPr>
      <w:r w:rsidRPr="00432D66">
        <w:rPr>
          <w:rFonts w:cstheme="minorHAnsi"/>
          <w:b/>
        </w:rPr>
        <w:t xml:space="preserve">§ 3533 </w:t>
      </w:r>
      <w:r w:rsidRPr="00432D66">
        <w:rPr>
          <w:rFonts w:cstheme="minorHAnsi"/>
          <w:b/>
          <w:bCs/>
        </w:rPr>
        <w:t xml:space="preserve">– </w:t>
      </w:r>
      <w:r w:rsidRPr="00432D66">
        <w:rPr>
          <w:rFonts w:cstheme="minorHAnsi"/>
          <w:b/>
        </w:rPr>
        <w:t xml:space="preserve">MZ ČR </w:t>
      </w:r>
      <w:r w:rsidRPr="00432D66">
        <w:rPr>
          <w:rFonts w:cstheme="minorHAnsi"/>
          <w:b/>
          <w:bCs/>
        </w:rPr>
        <w:t xml:space="preserve">- </w:t>
      </w:r>
      <w:r w:rsidRPr="00432D66">
        <w:rPr>
          <w:rFonts w:cstheme="minorHAnsi"/>
          <w:b/>
        </w:rPr>
        <w:t>neinvestiční dotace pro ZZS SK PO na zajištění připravenosti na mimořádné události a krizové situace, ÚZ 35018</w:t>
      </w:r>
    </w:p>
    <w:p w14:paraId="45C4AA1C" w14:textId="77777777" w:rsidR="00A617CD" w:rsidRPr="00432D66" w:rsidRDefault="00A617CD" w:rsidP="00A617CD">
      <w:pPr>
        <w:spacing w:after="0" w:line="240" w:lineRule="auto"/>
        <w:jc w:val="both"/>
        <w:rPr>
          <w:rFonts w:cstheme="minorHAnsi"/>
        </w:rPr>
      </w:pPr>
      <w:r w:rsidRPr="00432D66">
        <w:rPr>
          <w:rFonts w:cstheme="minorHAnsi"/>
        </w:rPr>
        <w:t>Usnesením č. 038-12/2021/RK ze dne 11. 3. 2021 bylo na základě Rozhodnutí Ministerstva zdravotnictví ČR č. OKP/11/1102/2021 schváleno zapojení první splátky neinvestiční</w:t>
      </w:r>
      <w:r w:rsidRPr="00432D66">
        <w:rPr>
          <w:rFonts w:cstheme="minorHAnsi"/>
          <w:b/>
          <w:bCs/>
        </w:rPr>
        <w:t xml:space="preserve"> </w:t>
      </w:r>
      <w:r w:rsidRPr="00432D66">
        <w:rPr>
          <w:rFonts w:cstheme="minorHAnsi"/>
        </w:rPr>
        <w:t>dotace ze státního rozpočtu účelově určené pro ZZS SK ve výši 2 000 000,00 Kč k úhradě nákladů na činnosti související se zajištěním připravenosti na mimořádné události a krizové situace. Usnesením č. 047-21/2021/RK ze dne 13. 5. 2021 bylo na základě Rozhodnutí Ministerstva zdravotnictví ČR č. OKP/24/1102/2021 schváleno zapojení druhé splátky neinvestiční</w:t>
      </w:r>
      <w:r w:rsidRPr="00432D66">
        <w:rPr>
          <w:rFonts w:cstheme="minorHAnsi"/>
          <w:b/>
          <w:bCs/>
        </w:rPr>
        <w:t xml:space="preserve"> </w:t>
      </w:r>
      <w:r w:rsidRPr="00432D66">
        <w:rPr>
          <w:rFonts w:cstheme="minorHAnsi"/>
        </w:rPr>
        <w:t xml:space="preserve">dotace ze státního rozpočtu účelově určené pro ZZS SK ve výši 7 099 970,00 Kč. Cílem poskytnutí finančních prostředků je zajištění krizové připravenosti poskytovatele ZZS SK na řešení mimořádných událostí a krizových situací. Dotace mohla být využita například k přípravě a provádění taktických a prováděcích cvičení, nácviků, školení a dalších vzdělávacích akcí vztahujících se k dané problematice. </w:t>
      </w:r>
    </w:p>
    <w:p w14:paraId="24BEBB48" w14:textId="77777777" w:rsidR="00A617CD" w:rsidRPr="00432D66" w:rsidRDefault="00A617CD" w:rsidP="00A617CD">
      <w:pPr>
        <w:spacing w:after="0" w:line="240" w:lineRule="auto"/>
        <w:jc w:val="both"/>
        <w:rPr>
          <w:rFonts w:cstheme="minorHAnsi"/>
        </w:rPr>
      </w:pPr>
      <w:r w:rsidRPr="00432D66">
        <w:rPr>
          <w:rFonts w:cstheme="minorHAnsi"/>
        </w:rPr>
        <w:t>Uvedená neinvestiční dotace ze státního rozpočtu není určena na financování běžné činnosti ZZS SK a je předmětem finančního vypořádání se státním rozpočtem za rok 2021. Finanční prostředky byly roce 2021 čerpány v plné výši.</w:t>
      </w:r>
    </w:p>
    <w:p w14:paraId="44237B18" w14:textId="77777777" w:rsidR="00A617CD" w:rsidRPr="00432D66" w:rsidRDefault="00A617CD" w:rsidP="00A617CD">
      <w:pPr>
        <w:spacing w:after="0" w:line="240" w:lineRule="auto"/>
        <w:jc w:val="both"/>
        <w:rPr>
          <w:rFonts w:cstheme="minorHAnsi"/>
        </w:rPr>
      </w:pPr>
    </w:p>
    <w:p w14:paraId="20361B91" w14:textId="77777777" w:rsidR="00A617CD" w:rsidRPr="00432D66" w:rsidRDefault="00A617CD" w:rsidP="00A617CD">
      <w:pPr>
        <w:spacing w:after="0" w:line="240" w:lineRule="auto"/>
        <w:jc w:val="both"/>
        <w:rPr>
          <w:rFonts w:cstheme="minorHAnsi"/>
          <w:b/>
        </w:rPr>
      </w:pPr>
      <w:r w:rsidRPr="00432D66">
        <w:rPr>
          <w:rFonts w:cstheme="minorHAnsi"/>
          <w:b/>
        </w:rPr>
        <w:t xml:space="preserve">§ 3533 </w:t>
      </w:r>
      <w:r w:rsidRPr="00432D66">
        <w:rPr>
          <w:rFonts w:cstheme="minorHAnsi"/>
          <w:b/>
          <w:bCs/>
        </w:rPr>
        <w:t xml:space="preserve">– </w:t>
      </w:r>
      <w:r w:rsidRPr="00432D66">
        <w:rPr>
          <w:rFonts w:cstheme="minorHAnsi"/>
          <w:b/>
        </w:rPr>
        <w:t xml:space="preserve">MZ ČR </w:t>
      </w:r>
      <w:r w:rsidRPr="00432D66">
        <w:rPr>
          <w:rFonts w:cstheme="minorHAnsi"/>
          <w:b/>
          <w:bCs/>
        </w:rPr>
        <w:t xml:space="preserve">- </w:t>
      </w:r>
      <w:r w:rsidRPr="00432D66">
        <w:rPr>
          <w:rFonts w:cstheme="minorHAnsi"/>
          <w:b/>
        </w:rPr>
        <w:t>investiční dotace pro ZZS SK PO na podporu rozvoje a obnovy materiálně technického vybavení pro řešení krizových situací, ÚZ 35500</w:t>
      </w:r>
    </w:p>
    <w:p w14:paraId="56CC46F7" w14:textId="77777777" w:rsidR="00A617CD" w:rsidRPr="00432D66" w:rsidRDefault="00A617CD" w:rsidP="00A617CD">
      <w:pPr>
        <w:spacing w:after="0" w:line="240" w:lineRule="auto"/>
        <w:jc w:val="both"/>
        <w:rPr>
          <w:rFonts w:cstheme="minorHAnsi"/>
        </w:rPr>
      </w:pPr>
      <w:bookmarkStart w:id="38" w:name="_Hlk95997366"/>
      <w:r w:rsidRPr="00432D66">
        <w:rPr>
          <w:rFonts w:cstheme="minorHAnsi"/>
        </w:rPr>
        <w:t>Usnesením č. 035-13/2021/RK ze dne 18. 3. 2021</w:t>
      </w:r>
      <w:r w:rsidRPr="00432D66">
        <w:rPr>
          <w:rFonts w:cstheme="minorHAnsi"/>
          <w:color w:val="FF0000"/>
        </w:rPr>
        <w:t xml:space="preserve"> </w:t>
      </w:r>
      <w:bookmarkStart w:id="39" w:name="_Hlk95997397"/>
      <w:bookmarkEnd w:id="38"/>
      <w:r w:rsidRPr="00432D66">
        <w:rPr>
          <w:rFonts w:cstheme="minorHAnsi"/>
        </w:rPr>
        <w:t xml:space="preserve">bylo na základě Rozhodnutí Ministerstva zdravotnictví ČR č. 13D082001708 ze dne 13. 11. 2019 a Rozhodnutí č. 135D081002001 ze dne 4. 11. 2020 schváleno zapojení investiční dotace ze státního rozpočtu do příjmů a výdajů kapitoly 07 - Zdravotnictví na rok 2021 ve výši 638 782,00 Kč. Dotace byla určená pro ZZS SK na úhradu nákladů souvisejících s akcí „ZZS Středočeského kraje – obnova serverového parku – 2020“. </w:t>
      </w:r>
    </w:p>
    <w:p w14:paraId="75CB61E5" w14:textId="77777777" w:rsidR="00A617CD" w:rsidRPr="00432D66" w:rsidRDefault="00A617CD" w:rsidP="00A617CD">
      <w:pPr>
        <w:spacing w:after="0" w:line="240" w:lineRule="auto"/>
        <w:jc w:val="both"/>
        <w:rPr>
          <w:rFonts w:cstheme="minorHAnsi"/>
          <w:bCs/>
        </w:rPr>
      </w:pPr>
      <w:r w:rsidRPr="00432D66">
        <w:rPr>
          <w:rFonts w:cstheme="minorHAnsi"/>
        </w:rPr>
        <w:t>Usnesením č. 024-01/2022/RK ze dne 6. 1. 2022 bylo na základě Rozhodnutí Ministerstva zdravotnictví ČR č. 135D082002115 ze dne 23. 11. 2021 schváleno zapojení investiční dotace ze státního rozpočtu do příjmů a výdajů kapitoly 07 - Zdravotnictví na rok 2021 ve výši 844 156,50 Kč. Dotace byla určená pro ZZS SK na úhradu nákladů souvisejících s akcí</w:t>
      </w:r>
      <w:bookmarkEnd w:id="39"/>
      <w:r w:rsidRPr="00432D66">
        <w:rPr>
          <w:rFonts w:cstheme="minorHAnsi"/>
        </w:rPr>
        <w:t xml:space="preserve"> </w:t>
      </w:r>
      <w:r w:rsidRPr="00432D66">
        <w:rPr>
          <w:bCs/>
        </w:rPr>
        <w:t>„ZZS Středočeského kraje – výukové celotělové modely pro KPR – 2021“.</w:t>
      </w:r>
    </w:p>
    <w:p w14:paraId="16778B2D" w14:textId="1AED00C5" w:rsidR="00A617CD" w:rsidRPr="00432D66" w:rsidRDefault="00A617CD" w:rsidP="00A617CD">
      <w:pPr>
        <w:spacing w:after="0" w:line="240" w:lineRule="auto"/>
        <w:jc w:val="both"/>
        <w:rPr>
          <w:rFonts w:cstheme="minorHAnsi"/>
        </w:rPr>
      </w:pPr>
      <w:r w:rsidRPr="00432D66">
        <w:rPr>
          <w:rFonts w:cstheme="minorHAnsi"/>
        </w:rPr>
        <w:t>Uvedené dotace byly poskytnuty Ministerstvem zdravotnictví ČR v rámci programu reprodukce majetku „Podpora rozvoje a obnovy materiálně technického vybavení pro řešení krizových situací“. Příjemcem dotace byla ZZS SK. Financování projektů je ex ante. Finanční prostředky byly v roce 2021 čerpány ve výši 100</w:t>
      </w:r>
      <w:r w:rsidR="009227EF">
        <w:rPr>
          <w:rFonts w:cstheme="minorHAnsi"/>
        </w:rPr>
        <w:t>,0</w:t>
      </w:r>
      <w:r w:rsidRPr="00432D66">
        <w:rPr>
          <w:rFonts w:cstheme="minorHAnsi"/>
        </w:rPr>
        <w:t xml:space="preserve"> %.</w:t>
      </w:r>
    </w:p>
    <w:p w14:paraId="0322EFEE" w14:textId="77777777" w:rsidR="00A617CD" w:rsidRPr="00432D66" w:rsidRDefault="00A617CD" w:rsidP="00A617CD">
      <w:pPr>
        <w:spacing w:after="0" w:line="240" w:lineRule="auto"/>
        <w:jc w:val="both"/>
        <w:rPr>
          <w:rFonts w:cstheme="minorHAnsi"/>
        </w:rPr>
      </w:pPr>
    </w:p>
    <w:p w14:paraId="6E5B21E0" w14:textId="77777777" w:rsidR="00A617CD" w:rsidRPr="00432D66" w:rsidRDefault="00A617CD" w:rsidP="00A617CD">
      <w:pPr>
        <w:spacing w:after="0" w:line="240" w:lineRule="auto"/>
        <w:jc w:val="both"/>
        <w:rPr>
          <w:rFonts w:cstheme="minorHAnsi"/>
          <w:b/>
          <w:bCs/>
        </w:rPr>
      </w:pPr>
      <w:r w:rsidRPr="00432D66">
        <w:rPr>
          <w:rFonts w:cstheme="minorHAnsi"/>
          <w:b/>
          <w:bCs/>
        </w:rPr>
        <w:t>§ 3533 – MF ČR – dotace na krizové situace 2021, UZ 98032</w:t>
      </w:r>
    </w:p>
    <w:p w14:paraId="392F72DB" w14:textId="77777777" w:rsidR="00A617CD" w:rsidRPr="00432D66" w:rsidRDefault="00A617CD" w:rsidP="00A617CD">
      <w:pPr>
        <w:spacing w:after="0" w:line="240" w:lineRule="auto"/>
        <w:jc w:val="both"/>
        <w:rPr>
          <w:rFonts w:cstheme="minorHAnsi"/>
        </w:rPr>
      </w:pPr>
      <w:r w:rsidRPr="00432D66">
        <w:rPr>
          <w:rFonts w:cstheme="minorHAnsi"/>
        </w:rPr>
        <w:t>Rozhodnutím MF ČR ze dne 28. 1. 2021 (č. j. MF-1879/2021/1201-3) byly Středočeskému kraji poskytnuty finanční prostředky státního rozpočtu účelově určené na pokrytí prvotních nákladů na akce a nezbytná opatření přijatá Středočeským krajem v rámci řešení krizové situace, realizovaná v návaznosti na vyhlášení nouzového stavu od 00:00 hodin dne 5. října 2020, a rovněž na realizaci krizových opatření nařizovaných vládou ČR, resp. hejtmany v podmínkách krajů. Lhůta, v níž mělo být účelu dosaženo byla do 31. 12. 2021.</w:t>
      </w:r>
    </w:p>
    <w:p w14:paraId="6C561C4A" w14:textId="77777777" w:rsidR="00A617CD" w:rsidRPr="00432D66" w:rsidRDefault="00A617CD" w:rsidP="00A617CD">
      <w:pPr>
        <w:spacing w:after="0" w:line="240" w:lineRule="auto"/>
        <w:jc w:val="both"/>
        <w:rPr>
          <w:rFonts w:cstheme="minorHAnsi"/>
        </w:rPr>
      </w:pPr>
      <w:r w:rsidRPr="00432D66">
        <w:rPr>
          <w:rFonts w:cstheme="minorHAnsi"/>
        </w:rPr>
        <w:t xml:space="preserve">Usnesením č. 052-45/2021/RK ze dne 2. 12. 2021 byl schválen převod finančních prostředků ve výši </w:t>
      </w:r>
      <w:r w:rsidRPr="00432D66">
        <w:rPr>
          <w:rFonts w:cstheme="minorHAnsi"/>
        </w:rPr>
        <w:br/>
        <w:t>1 564 226,40 Kč z kapitoly 25 – Bezpečnost a prevence a ve výši 811 203,00 Kč z kapitoly 02 - Činnost Krajského úřadu do kapitoly 07 – Zdravotnictví a poskytnutí příspěvku ve výši 2 375 429,40 Kč Zdravotnické záchranné službě, příspěvkové organizaci, na úhradu mimořádných výdajů vzniklých v souvislosti s řešením krizové situace (na úhradu nákladů spojených s nákupem OOP a pracovních pomůcek pro zaměstnance ZZS SK).</w:t>
      </w:r>
    </w:p>
    <w:p w14:paraId="3E882FD4" w14:textId="77777777" w:rsidR="00A617CD" w:rsidRPr="00432D66" w:rsidRDefault="00A617CD" w:rsidP="00A617CD">
      <w:pPr>
        <w:spacing w:after="0" w:line="240" w:lineRule="auto"/>
        <w:jc w:val="both"/>
        <w:rPr>
          <w:rFonts w:cstheme="minorHAnsi"/>
        </w:rPr>
      </w:pPr>
      <w:r w:rsidRPr="00432D66">
        <w:rPr>
          <w:rFonts w:cstheme="minorHAnsi"/>
        </w:rPr>
        <w:lastRenderedPageBreak/>
        <w:t>Finanční prostředky byly v roce 2021 čerpány v plné výši.</w:t>
      </w:r>
    </w:p>
    <w:p w14:paraId="099FB60E" w14:textId="77777777" w:rsidR="00A617CD" w:rsidRPr="00432D66" w:rsidRDefault="00A617CD" w:rsidP="00A617CD">
      <w:pPr>
        <w:spacing w:after="0" w:line="240" w:lineRule="auto"/>
        <w:jc w:val="both"/>
        <w:rPr>
          <w:rFonts w:cstheme="minorHAnsi"/>
          <w:b/>
          <w:bCs/>
          <w:u w:val="single"/>
        </w:rPr>
      </w:pPr>
    </w:p>
    <w:p w14:paraId="4F17E8FD" w14:textId="77777777" w:rsidR="00A617CD" w:rsidRPr="00432D66" w:rsidRDefault="00A617CD" w:rsidP="00A617CD">
      <w:pPr>
        <w:spacing w:after="0" w:line="240" w:lineRule="auto"/>
        <w:jc w:val="both"/>
        <w:rPr>
          <w:rFonts w:cstheme="minorHAnsi"/>
          <w:b/>
          <w:bCs/>
          <w:sz w:val="24"/>
          <w:szCs w:val="24"/>
          <w:u w:val="single"/>
        </w:rPr>
      </w:pPr>
      <w:r w:rsidRPr="00432D66">
        <w:rPr>
          <w:rFonts w:cstheme="minorHAnsi"/>
          <w:b/>
          <w:bCs/>
          <w:sz w:val="24"/>
          <w:szCs w:val="24"/>
          <w:u w:val="single"/>
        </w:rPr>
        <w:t>Příspěvkové organizace</w:t>
      </w:r>
    </w:p>
    <w:p w14:paraId="63520AB3" w14:textId="77777777" w:rsidR="00A617CD" w:rsidRPr="00432D66" w:rsidRDefault="00A617CD" w:rsidP="00A617CD">
      <w:pPr>
        <w:spacing w:after="0" w:line="240" w:lineRule="auto"/>
        <w:jc w:val="both"/>
        <w:rPr>
          <w:rFonts w:cstheme="minorHAnsi"/>
        </w:rPr>
      </w:pPr>
    </w:p>
    <w:p w14:paraId="5D71583B" w14:textId="2B098157" w:rsidR="00A617CD" w:rsidRPr="00432D66" w:rsidRDefault="009227EF" w:rsidP="00A617CD">
      <w:pPr>
        <w:spacing w:after="0" w:line="240" w:lineRule="auto"/>
        <w:jc w:val="both"/>
        <w:rPr>
          <w:rFonts w:cstheme="minorHAnsi"/>
        </w:rPr>
      </w:pPr>
      <w:r>
        <w:rPr>
          <w:rFonts w:cstheme="minorHAnsi"/>
        </w:rPr>
        <w:t>Kapitoly 07 – Zdravotnictví spravuje</w:t>
      </w:r>
      <w:r w:rsidR="00A617CD" w:rsidRPr="00432D66">
        <w:rPr>
          <w:rFonts w:cstheme="minorHAnsi"/>
        </w:rPr>
        <w:t xml:space="preserve"> pět zdravotnických příspěvkových organizací: Dětské centrum Kladno, Dětské centrum Milovice, Dětské centrum Chocerady - centrum komplexní péče, Dětské centrum Kolín a Zdravotnická záchranná služba Středočeského kraje (dále jen ZZS SK).</w:t>
      </w:r>
    </w:p>
    <w:p w14:paraId="6052BC27" w14:textId="77777777" w:rsidR="00A617CD" w:rsidRPr="00432D66" w:rsidRDefault="00A617CD" w:rsidP="00A617CD">
      <w:pPr>
        <w:spacing w:after="0" w:line="240" w:lineRule="auto"/>
        <w:jc w:val="both"/>
        <w:rPr>
          <w:rFonts w:cstheme="minorHAnsi"/>
        </w:rPr>
      </w:pPr>
      <w:r w:rsidRPr="00432D66">
        <w:rPr>
          <w:rFonts w:cstheme="minorHAnsi"/>
        </w:rPr>
        <w:t xml:space="preserve">Příspěvek na provoz byl těmto zdravotnickým příspěvkovým organizacím v roce 2021 poskytnut v celkové výši 781 751 882,03 Kč, z toho: 154 945 040,00 Kč dětským centrům (provoz, mzdové výdaje, opravy a udržování) a 626 806 842,03 Kč ZZS SK (provoz, mzdové výdaje). </w:t>
      </w:r>
    </w:p>
    <w:p w14:paraId="61091382" w14:textId="77777777" w:rsidR="00A617CD" w:rsidRPr="00432D66" w:rsidRDefault="00A617CD" w:rsidP="00A617CD">
      <w:pPr>
        <w:spacing w:after="0" w:line="240" w:lineRule="auto"/>
        <w:jc w:val="both"/>
        <w:rPr>
          <w:rFonts w:cstheme="minorHAnsi"/>
        </w:rPr>
      </w:pPr>
    </w:p>
    <w:p w14:paraId="343E5F48" w14:textId="51DD8F26" w:rsidR="00A617CD" w:rsidRPr="00432D66" w:rsidRDefault="00A617CD" w:rsidP="00A617CD">
      <w:pPr>
        <w:spacing w:after="0" w:line="240" w:lineRule="auto"/>
        <w:jc w:val="both"/>
        <w:rPr>
          <w:rFonts w:cstheme="minorHAnsi"/>
        </w:rPr>
      </w:pPr>
      <w:r w:rsidRPr="00432D66">
        <w:rPr>
          <w:rFonts w:cstheme="minorHAnsi"/>
        </w:rPr>
        <w:t>Hospodářský výsledek za všech pět zdravotnických příspěvkových organizací byl za rok 2021 kladný v celkové výši 15</w:t>
      </w:r>
      <w:r w:rsidR="009227EF">
        <w:rPr>
          <w:rFonts w:cstheme="minorHAnsi"/>
        </w:rPr>
        <w:t> </w:t>
      </w:r>
      <w:r w:rsidRPr="00432D66">
        <w:rPr>
          <w:rFonts w:cstheme="minorHAnsi"/>
        </w:rPr>
        <w:t>133</w:t>
      </w:r>
      <w:r w:rsidR="009227EF">
        <w:rPr>
          <w:rFonts w:cstheme="minorHAnsi"/>
        </w:rPr>
        <w:t> </w:t>
      </w:r>
      <w:r w:rsidRPr="00432D66">
        <w:rPr>
          <w:rFonts w:cstheme="minorHAnsi"/>
        </w:rPr>
        <w:t>92</w:t>
      </w:r>
      <w:r w:rsidR="009227EF">
        <w:rPr>
          <w:rFonts w:cstheme="minorHAnsi"/>
        </w:rPr>
        <w:t>0,00</w:t>
      </w:r>
      <w:r w:rsidRPr="00432D66">
        <w:rPr>
          <w:rFonts w:cstheme="minorHAnsi"/>
        </w:rPr>
        <w:t xml:space="preserve"> Kč.</w:t>
      </w:r>
    </w:p>
    <w:p w14:paraId="57DA2D10" w14:textId="77777777" w:rsidR="00A617CD" w:rsidRPr="00432D66" w:rsidRDefault="00A617CD" w:rsidP="00A617CD">
      <w:pPr>
        <w:spacing w:after="0" w:line="240" w:lineRule="auto"/>
        <w:jc w:val="both"/>
        <w:rPr>
          <w:rFonts w:cstheme="minorHAnsi"/>
          <w:u w:val="single"/>
        </w:rPr>
      </w:pPr>
      <w:r w:rsidRPr="00432D66">
        <w:rPr>
          <w:rFonts w:cstheme="minorHAnsi"/>
          <w:u w:val="single"/>
        </w:rPr>
        <w:t>Jednotlivé příspěvkové organizace:</w:t>
      </w:r>
    </w:p>
    <w:p w14:paraId="67FFABD5" w14:textId="2297857E" w:rsidR="00A617CD" w:rsidRPr="00432D66" w:rsidRDefault="00A617CD" w:rsidP="00A617CD">
      <w:pPr>
        <w:spacing w:after="0" w:line="240" w:lineRule="auto"/>
        <w:jc w:val="both"/>
        <w:rPr>
          <w:rFonts w:cstheme="minorHAnsi"/>
        </w:rPr>
      </w:pPr>
      <w:r w:rsidRPr="00432D66">
        <w:rPr>
          <w:rFonts w:cstheme="minorHAnsi"/>
        </w:rPr>
        <w:t>Dětské centrum Kladno - kladný hospodářský výsledek ve výši 5</w:t>
      </w:r>
      <w:r w:rsidR="009227EF">
        <w:rPr>
          <w:rFonts w:cstheme="minorHAnsi"/>
        </w:rPr>
        <w:t> </w:t>
      </w:r>
      <w:r w:rsidRPr="00432D66">
        <w:rPr>
          <w:rFonts w:cstheme="minorHAnsi"/>
        </w:rPr>
        <w:t>821</w:t>
      </w:r>
      <w:r w:rsidR="009227EF">
        <w:rPr>
          <w:rFonts w:cstheme="minorHAnsi"/>
        </w:rPr>
        <w:t> </w:t>
      </w:r>
      <w:r w:rsidRPr="00432D66">
        <w:rPr>
          <w:rFonts w:cstheme="minorHAnsi"/>
        </w:rPr>
        <w:t>54</w:t>
      </w:r>
      <w:r w:rsidR="009227EF">
        <w:rPr>
          <w:rFonts w:cstheme="minorHAnsi"/>
        </w:rPr>
        <w:t>0,00</w:t>
      </w:r>
      <w:r w:rsidRPr="00432D66">
        <w:rPr>
          <w:rFonts w:cstheme="minorHAnsi"/>
        </w:rPr>
        <w:t xml:space="preserve"> Kč</w:t>
      </w:r>
    </w:p>
    <w:p w14:paraId="566FEF3B" w14:textId="4C9CD501" w:rsidR="00A617CD" w:rsidRPr="00432D66" w:rsidRDefault="00A617CD" w:rsidP="00A617CD">
      <w:pPr>
        <w:spacing w:after="0" w:line="240" w:lineRule="auto"/>
        <w:jc w:val="both"/>
        <w:rPr>
          <w:rFonts w:cstheme="minorHAnsi"/>
        </w:rPr>
      </w:pPr>
      <w:r w:rsidRPr="00432D66">
        <w:rPr>
          <w:rFonts w:cstheme="minorHAnsi"/>
        </w:rPr>
        <w:t>Dětské centrum Milovice -  kladný hospodářský výsledek ve výši 71</w:t>
      </w:r>
      <w:r w:rsidR="009227EF">
        <w:rPr>
          <w:rFonts w:cstheme="minorHAnsi"/>
        </w:rPr>
        <w:t> </w:t>
      </w:r>
      <w:r w:rsidRPr="00432D66">
        <w:rPr>
          <w:rFonts w:cstheme="minorHAnsi"/>
        </w:rPr>
        <w:t>00</w:t>
      </w:r>
      <w:r w:rsidR="009227EF">
        <w:rPr>
          <w:rFonts w:cstheme="minorHAnsi"/>
        </w:rPr>
        <w:t>0,00</w:t>
      </w:r>
      <w:r w:rsidRPr="00432D66">
        <w:rPr>
          <w:rFonts w:cstheme="minorHAnsi"/>
        </w:rPr>
        <w:t xml:space="preserve"> Kč</w:t>
      </w:r>
    </w:p>
    <w:p w14:paraId="1F399702" w14:textId="649CC406" w:rsidR="00A617CD" w:rsidRPr="00432D66" w:rsidRDefault="00A617CD" w:rsidP="00A617CD">
      <w:pPr>
        <w:spacing w:after="0" w:line="240" w:lineRule="auto"/>
        <w:jc w:val="both"/>
        <w:rPr>
          <w:rFonts w:cstheme="minorHAnsi"/>
        </w:rPr>
      </w:pPr>
      <w:r w:rsidRPr="00432D66">
        <w:rPr>
          <w:rFonts w:cstheme="minorHAnsi"/>
        </w:rPr>
        <w:t xml:space="preserve">Dětské centrum Chocerady - centrum komplexní péče - kladný hospodářský výsledek ve výši </w:t>
      </w:r>
      <w:r w:rsidRPr="00432D66">
        <w:rPr>
          <w:rFonts w:cstheme="minorHAnsi"/>
        </w:rPr>
        <w:br/>
        <w:t>8</w:t>
      </w:r>
      <w:r w:rsidR="009227EF">
        <w:rPr>
          <w:rFonts w:cstheme="minorHAnsi"/>
        </w:rPr>
        <w:t> </w:t>
      </w:r>
      <w:r w:rsidRPr="00432D66">
        <w:rPr>
          <w:rFonts w:cstheme="minorHAnsi"/>
        </w:rPr>
        <w:t>868</w:t>
      </w:r>
      <w:r w:rsidR="009227EF">
        <w:rPr>
          <w:rFonts w:cstheme="minorHAnsi"/>
        </w:rPr>
        <w:t> </w:t>
      </w:r>
      <w:r w:rsidRPr="00432D66">
        <w:rPr>
          <w:rFonts w:cstheme="minorHAnsi"/>
        </w:rPr>
        <w:t>29</w:t>
      </w:r>
      <w:r w:rsidR="009227EF">
        <w:rPr>
          <w:rFonts w:cstheme="minorHAnsi"/>
        </w:rPr>
        <w:t>0,00</w:t>
      </w:r>
      <w:r w:rsidRPr="00432D66">
        <w:rPr>
          <w:rFonts w:cstheme="minorHAnsi"/>
        </w:rPr>
        <w:t xml:space="preserve"> Kč</w:t>
      </w:r>
    </w:p>
    <w:p w14:paraId="7F62E2C4" w14:textId="68ADF84A" w:rsidR="00A617CD" w:rsidRPr="00432D66" w:rsidRDefault="00A617CD" w:rsidP="00A617CD">
      <w:pPr>
        <w:spacing w:after="0" w:line="240" w:lineRule="auto"/>
        <w:jc w:val="both"/>
        <w:rPr>
          <w:rFonts w:cstheme="minorHAnsi"/>
        </w:rPr>
      </w:pPr>
      <w:r w:rsidRPr="00432D66">
        <w:rPr>
          <w:rFonts w:cstheme="minorHAnsi"/>
        </w:rPr>
        <w:t>Dětské centrum Kolín - kladný hospodářský výsledek ve výši 161</w:t>
      </w:r>
      <w:r w:rsidR="009227EF">
        <w:rPr>
          <w:rFonts w:cstheme="minorHAnsi"/>
        </w:rPr>
        <w:t> </w:t>
      </w:r>
      <w:r w:rsidRPr="00432D66">
        <w:rPr>
          <w:rFonts w:cstheme="minorHAnsi"/>
        </w:rPr>
        <w:t>11</w:t>
      </w:r>
      <w:r w:rsidR="009227EF">
        <w:rPr>
          <w:rFonts w:cstheme="minorHAnsi"/>
        </w:rPr>
        <w:t>0,00</w:t>
      </w:r>
      <w:r w:rsidRPr="00432D66">
        <w:rPr>
          <w:rFonts w:cstheme="minorHAnsi"/>
        </w:rPr>
        <w:t xml:space="preserve"> Kč</w:t>
      </w:r>
    </w:p>
    <w:p w14:paraId="0FA27E81" w14:textId="16229DA5" w:rsidR="00A617CD" w:rsidRPr="00432D66" w:rsidRDefault="00A617CD" w:rsidP="00A617CD">
      <w:pPr>
        <w:spacing w:after="0" w:line="240" w:lineRule="auto"/>
        <w:jc w:val="both"/>
        <w:rPr>
          <w:rFonts w:cstheme="minorHAnsi"/>
        </w:rPr>
      </w:pPr>
      <w:r w:rsidRPr="00432D66">
        <w:rPr>
          <w:rFonts w:cstheme="minorHAnsi"/>
        </w:rPr>
        <w:t>ZZS SK - kladný hospodářský výsledek ve výši 211</w:t>
      </w:r>
      <w:r w:rsidR="009227EF">
        <w:rPr>
          <w:rFonts w:cstheme="minorHAnsi"/>
        </w:rPr>
        <w:t> </w:t>
      </w:r>
      <w:r w:rsidRPr="00432D66">
        <w:rPr>
          <w:rFonts w:cstheme="minorHAnsi"/>
        </w:rPr>
        <w:t>98</w:t>
      </w:r>
      <w:r w:rsidR="009227EF">
        <w:rPr>
          <w:rFonts w:cstheme="minorHAnsi"/>
        </w:rPr>
        <w:t>0,00</w:t>
      </w:r>
      <w:r w:rsidRPr="00432D66">
        <w:rPr>
          <w:rFonts w:cstheme="minorHAnsi"/>
        </w:rPr>
        <w:t xml:space="preserve"> Kč</w:t>
      </w:r>
    </w:p>
    <w:p w14:paraId="67DBD3BB" w14:textId="77777777" w:rsidR="00A617CD" w:rsidRPr="00432D66" w:rsidRDefault="00A617CD" w:rsidP="00A617CD">
      <w:pPr>
        <w:spacing w:after="0" w:line="240" w:lineRule="auto"/>
        <w:jc w:val="both"/>
        <w:rPr>
          <w:rFonts w:cstheme="minorHAnsi"/>
        </w:rPr>
      </w:pPr>
    </w:p>
    <w:p w14:paraId="7756A7F6" w14:textId="77777777" w:rsidR="00A617CD" w:rsidRPr="00432D66" w:rsidRDefault="00A617CD" w:rsidP="00A617CD">
      <w:pPr>
        <w:spacing w:after="0" w:line="240" w:lineRule="auto"/>
        <w:jc w:val="both"/>
        <w:rPr>
          <w:rFonts w:cstheme="minorHAnsi"/>
          <w:b/>
          <w:bCs/>
          <w:sz w:val="24"/>
          <w:szCs w:val="24"/>
          <w:u w:val="single"/>
        </w:rPr>
      </w:pPr>
      <w:r w:rsidRPr="00432D66">
        <w:rPr>
          <w:rFonts w:cstheme="minorHAnsi"/>
          <w:b/>
          <w:bCs/>
          <w:sz w:val="24"/>
          <w:szCs w:val="24"/>
          <w:u w:val="single"/>
        </w:rPr>
        <w:t>Akciové společnosti</w:t>
      </w:r>
    </w:p>
    <w:p w14:paraId="5276924F" w14:textId="77777777" w:rsidR="00A617CD" w:rsidRPr="00432D66" w:rsidRDefault="00A617CD" w:rsidP="00A617CD">
      <w:pPr>
        <w:spacing w:after="0" w:line="240" w:lineRule="auto"/>
        <w:jc w:val="both"/>
        <w:rPr>
          <w:rFonts w:cstheme="minorHAnsi"/>
          <w:b/>
          <w:bCs/>
          <w:u w:val="single"/>
        </w:rPr>
      </w:pPr>
    </w:p>
    <w:p w14:paraId="29D7C9FA" w14:textId="77777777" w:rsidR="00A617CD" w:rsidRPr="00432D66" w:rsidRDefault="00A617CD" w:rsidP="00A617CD">
      <w:pPr>
        <w:spacing w:after="0" w:line="240" w:lineRule="auto"/>
        <w:jc w:val="both"/>
        <w:rPr>
          <w:rFonts w:cstheme="minorHAnsi"/>
        </w:rPr>
      </w:pPr>
      <w:r w:rsidRPr="00432D66">
        <w:rPr>
          <w:rFonts w:cstheme="minorHAnsi"/>
        </w:rPr>
        <w:t>Středočeský kraj je zakladatelem šesti akciových společností: Nemocnice Rudolfa a Stefanie Benešov, a. s., nemocnice Středočeského kraje, Oblastní nemocnice Kladno, a. s., nemocnice Středočeského kraje, Oblastní nemocnice Kolín, a. s., nemocnice Středočeského kraje, Oblastní nemocnice Mladá Boleslav, a. s., nemocnice Středočeského kraje, Oblastní nemocnice Příbram, a. s. a Nemocnice Středočeského kraje, a. s. Nemocnice Středočeského kraje, a.s. byla založena v březnu 2019 jako servisní organizace pro oblastní nemocnice založené Středočeským krajem s cílem společné činnosti v oblasti nákupu, zejména organizace výběrových řízení podle zákona o veřejných zakázkách, administrace centrálního objednávání zdravotnického materiálu pro zdravotnická zařízení a komunikace mezi Středočeským krajem a jednotlivými zdravotnickými zařízeními.</w:t>
      </w:r>
    </w:p>
    <w:p w14:paraId="566C372A" w14:textId="613BD1D2" w:rsidR="00A617CD" w:rsidRPr="00432D66" w:rsidRDefault="00A617CD" w:rsidP="00A617CD">
      <w:pPr>
        <w:spacing w:after="0" w:line="240" w:lineRule="auto"/>
        <w:jc w:val="both"/>
        <w:rPr>
          <w:rFonts w:cstheme="minorHAnsi"/>
        </w:rPr>
      </w:pPr>
      <w:r w:rsidRPr="00432D66">
        <w:rPr>
          <w:rFonts w:cstheme="minorHAnsi"/>
        </w:rPr>
        <w:t>Pěti založeným nemocnicím byly v průběhu roku 2021 poskytnuty neinvestiční dotace z rozpočtu Středočeského kraje v celkové výši 65 656 400,00 Kč (z toho na zajišťování lékařské pohotovostní služby - částka 23 786 400,00 Kč, na zajišťování činností nehrazených z veřejného zdravotního pojištění - částka 29 420 000,00 Kč). Usnesením  č. 049-11/2021/ZK ze dne 29. 11. 2021 bylo schváleno poskytnutí účelové neinvestiční dotace z rozpočtu Středočeského kraje na úhradu spoluúčasti přímých nákladů spojených s kybernetickým útokem v prosinci 2019 pro Nemocnici Rudolfa a Stefanie Benešov, a.s., nemocnici Středočeského kraje ve výši 12 450 000,00 Kč. Všechny uvedené dotace byly poskytnuty na základě usnesení orgánů kraje a uzavřených veřejnoprávních smluv. Čerpány byly ve výši 100</w:t>
      </w:r>
      <w:r w:rsidR="00D4251C">
        <w:rPr>
          <w:rFonts w:cstheme="minorHAnsi"/>
        </w:rPr>
        <w:t>,0</w:t>
      </w:r>
      <w:r w:rsidRPr="00432D66">
        <w:rPr>
          <w:rFonts w:cstheme="minorHAnsi"/>
        </w:rPr>
        <w:t xml:space="preserve"> %.</w:t>
      </w:r>
    </w:p>
    <w:p w14:paraId="108D1AB5" w14:textId="77777777" w:rsidR="00A617CD" w:rsidRPr="00432D66" w:rsidRDefault="00A617CD" w:rsidP="00A617CD">
      <w:pPr>
        <w:spacing w:after="0" w:line="240" w:lineRule="auto"/>
        <w:jc w:val="both"/>
        <w:rPr>
          <w:rFonts w:cstheme="minorHAnsi"/>
        </w:rPr>
      </w:pPr>
      <w:r w:rsidRPr="00432D66">
        <w:rPr>
          <w:rFonts w:cstheme="minorHAnsi"/>
        </w:rPr>
        <w:t>Nemocnici Středočeského kraje, a. s. byla Usnesením č. 053-08/2021/ZK ze dne 28. 6. 2021 poskytnuta neinvestiční dotace z rozpočtu Středočeského kraje ve výši 2 000 000,00 Kč na úhradu nákladů na zajištění mzdových a provozních nákladů v roce 2021. Uvedená dotace byla poskytnuta na základě usnesení orgánů kraje a uzavřené veřejnoprávní smlouvy a čerpána v plné výši.</w:t>
      </w:r>
    </w:p>
    <w:p w14:paraId="10463A12" w14:textId="34E08A48" w:rsidR="00A617CD" w:rsidRPr="00432D66" w:rsidRDefault="00A617CD" w:rsidP="00A617CD">
      <w:pPr>
        <w:spacing w:after="0" w:line="240" w:lineRule="auto"/>
        <w:jc w:val="both"/>
        <w:rPr>
          <w:rFonts w:cstheme="minorHAnsi"/>
        </w:rPr>
      </w:pPr>
      <w:r w:rsidRPr="00432D66">
        <w:rPr>
          <w:rFonts w:cstheme="minorHAnsi"/>
        </w:rPr>
        <w:t>Celkový neauditovaný hospodářský výsledek za rok 2021 všech šesti založených nemocnic je kladný v celkové výši 159</w:t>
      </w:r>
      <w:r w:rsidR="00D4251C">
        <w:rPr>
          <w:rFonts w:cstheme="minorHAnsi"/>
        </w:rPr>
        <w:t> </w:t>
      </w:r>
      <w:r w:rsidRPr="00432D66">
        <w:rPr>
          <w:rFonts w:cstheme="minorHAnsi"/>
        </w:rPr>
        <w:t>862</w:t>
      </w:r>
      <w:r w:rsidR="00D4251C">
        <w:rPr>
          <w:rFonts w:cstheme="minorHAnsi"/>
        </w:rPr>
        <w:t> </w:t>
      </w:r>
      <w:r w:rsidRPr="00432D66">
        <w:rPr>
          <w:rFonts w:cstheme="minorHAnsi"/>
        </w:rPr>
        <w:t>79</w:t>
      </w:r>
      <w:r w:rsidR="00D4251C">
        <w:rPr>
          <w:rFonts w:cstheme="minorHAnsi"/>
        </w:rPr>
        <w:t>0,00</w:t>
      </w:r>
      <w:r w:rsidRPr="00432D66">
        <w:rPr>
          <w:rFonts w:cstheme="minorHAnsi"/>
        </w:rPr>
        <w:t> Kč.</w:t>
      </w:r>
    </w:p>
    <w:p w14:paraId="712E6D5F" w14:textId="77777777" w:rsidR="00A617CD" w:rsidRPr="00BC5D75" w:rsidRDefault="00A617CD" w:rsidP="00A617CD">
      <w:pPr>
        <w:spacing w:after="0" w:line="240" w:lineRule="auto"/>
        <w:jc w:val="both"/>
        <w:rPr>
          <w:rFonts w:cstheme="minorHAnsi"/>
          <w:u w:val="single"/>
        </w:rPr>
      </w:pPr>
      <w:r w:rsidRPr="00BC5D75">
        <w:rPr>
          <w:rFonts w:cstheme="minorHAnsi"/>
          <w:u w:val="single"/>
        </w:rPr>
        <w:t>Jednotlivé organizace – neauditovaný hospodářský výsledek za období 1. - 12. 2021</w:t>
      </w:r>
    </w:p>
    <w:p w14:paraId="1D26D57E" w14:textId="77777777" w:rsidR="00A617CD" w:rsidRPr="00BC5D75" w:rsidRDefault="00A617CD" w:rsidP="00A617CD">
      <w:pPr>
        <w:spacing w:after="0" w:line="240" w:lineRule="auto"/>
        <w:jc w:val="both"/>
        <w:rPr>
          <w:rFonts w:cstheme="minorHAnsi"/>
        </w:rPr>
      </w:pPr>
      <w:r w:rsidRPr="00BC5D75">
        <w:rPr>
          <w:rFonts w:cstheme="minorHAnsi"/>
        </w:rPr>
        <w:t>Nemocnice Rudolfa a Stefanie Benešov, a. s., nemocnice Středočeského kraje</w:t>
      </w:r>
    </w:p>
    <w:p w14:paraId="75D8FF8A" w14:textId="77777777" w:rsidR="00A617CD" w:rsidRPr="00BC5D75" w:rsidRDefault="00A617CD" w:rsidP="00A617CD">
      <w:pPr>
        <w:spacing w:after="0" w:line="240" w:lineRule="auto"/>
        <w:jc w:val="both"/>
        <w:rPr>
          <w:rFonts w:cstheme="minorHAnsi"/>
        </w:rPr>
      </w:pPr>
      <w:r w:rsidRPr="00BC5D75">
        <w:rPr>
          <w:rFonts w:cstheme="minorHAnsi"/>
        </w:rPr>
        <w:t>kladný hospodářský výsledek ve výši 21 698,18 tis. Kč</w:t>
      </w:r>
    </w:p>
    <w:p w14:paraId="20D036E3" w14:textId="77777777" w:rsidR="00A617CD" w:rsidRPr="00BC5D75" w:rsidRDefault="00A617CD" w:rsidP="00A617CD">
      <w:pPr>
        <w:spacing w:after="0" w:line="240" w:lineRule="auto"/>
        <w:jc w:val="both"/>
        <w:rPr>
          <w:rFonts w:cstheme="minorHAnsi"/>
        </w:rPr>
      </w:pPr>
      <w:r w:rsidRPr="00BC5D75">
        <w:rPr>
          <w:rFonts w:cstheme="minorHAnsi"/>
        </w:rPr>
        <w:t>Oblastní nemocnice Kladno, a. s., nemocnice Středočeského kraje</w:t>
      </w:r>
    </w:p>
    <w:p w14:paraId="6ED66FB7" w14:textId="77777777" w:rsidR="00A617CD" w:rsidRPr="00BC5D75" w:rsidRDefault="00A617CD" w:rsidP="00A617CD">
      <w:pPr>
        <w:spacing w:after="0" w:line="240" w:lineRule="auto"/>
        <w:jc w:val="both"/>
        <w:rPr>
          <w:rFonts w:cstheme="minorHAnsi"/>
        </w:rPr>
      </w:pPr>
      <w:r w:rsidRPr="00BC5D75">
        <w:rPr>
          <w:rFonts w:cstheme="minorHAnsi"/>
        </w:rPr>
        <w:t>kladný hospodářský výsledek ve výši 4 209,87 tis. Kč</w:t>
      </w:r>
    </w:p>
    <w:p w14:paraId="3388A3BC" w14:textId="77777777" w:rsidR="00A617CD" w:rsidRPr="00BC5D75" w:rsidRDefault="00A617CD" w:rsidP="00A617CD">
      <w:pPr>
        <w:spacing w:after="0" w:line="240" w:lineRule="auto"/>
        <w:jc w:val="both"/>
        <w:rPr>
          <w:rFonts w:cstheme="minorHAnsi"/>
        </w:rPr>
      </w:pPr>
      <w:r w:rsidRPr="00BC5D75">
        <w:rPr>
          <w:rFonts w:cstheme="minorHAnsi"/>
        </w:rPr>
        <w:t>Oblastní nemocnice Kolín, a. s., nemocnice Středočeského kraje</w:t>
      </w:r>
    </w:p>
    <w:p w14:paraId="1BFE3EA3" w14:textId="77777777" w:rsidR="00A617CD" w:rsidRPr="00BC5D75" w:rsidRDefault="00A617CD" w:rsidP="00A617CD">
      <w:pPr>
        <w:spacing w:after="0" w:line="240" w:lineRule="auto"/>
        <w:jc w:val="both"/>
        <w:rPr>
          <w:rFonts w:cstheme="minorHAnsi"/>
        </w:rPr>
      </w:pPr>
      <w:r w:rsidRPr="00BC5D75">
        <w:rPr>
          <w:rFonts w:cstheme="minorHAnsi"/>
        </w:rPr>
        <w:t>kladný hospodářský výsledek ve výši 12 483,00 tis. Kč</w:t>
      </w:r>
    </w:p>
    <w:p w14:paraId="03B5B6CE" w14:textId="77777777" w:rsidR="00A617CD" w:rsidRPr="00BC5D75" w:rsidRDefault="00A617CD" w:rsidP="00A617CD">
      <w:pPr>
        <w:spacing w:after="0" w:line="240" w:lineRule="auto"/>
        <w:jc w:val="both"/>
        <w:rPr>
          <w:rFonts w:cstheme="minorHAnsi"/>
        </w:rPr>
      </w:pPr>
      <w:r w:rsidRPr="00BC5D75">
        <w:rPr>
          <w:rFonts w:cstheme="minorHAnsi"/>
        </w:rPr>
        <w:t>Oblastní nemocnice Mladá Boleslav, a. s., nemocnice Středočeského kraje</w:t>
      </w:r>
    </w:p>
    <w:p w14:paraId="6D32AA2A" w14:textId="77777777" w:rsidR="00A617CD" w:rsidRPr="00BC5D75" w:rsidRDefault="00A617CD" w:rsidP="00A617CD">
      <w:pPr>
        <w:spacing w:after="0" w:line="240" w:lineRule="auto"/>
        <w:jc w:val="both"/>
        <w:rPr>
          <w:rFonts w:cstheme="minorHAnsi"/>
        </w:rPr>
      </w:pPr>
      <w:r w:rsidRPr="00BC5D75">
        <w:rPr>
          <w:rFonts w:cstheme="minorHAnsi"/>
        </w:rPr>
        <w:t>kladný hospodářský výsledek ve výši 108 634,73 tis. Kč</w:t>
      </w:r>
    </w:p>
    <w:p w14:paraId="4BB70957" w14:textId="77777777" w:rsidR="00A617CD" w:rsidRPr="00BC5D75" w:rsidRDefault="00A617CD" w:rsidP="00A617CD">
      <w:pPr>
        <w:tabs>
          <w:tab w:val="left" w:pos="3615"/>
        </w:tabs>
        <w:spacing w:after="0" w:line="240" w:lineRule="auto"/>
        <w:jc w:val="both"/>
        <w:rPr>
          <w:rFonts w:cstheme="minorHAnsi"/>
        </w:rPr>
      </w:pPr>
      <w:r w:rsidRPr="00BC5D75">
        <w:rPr>
          <w:rFonts w:cstheme="minorHAnsi"/>
        </w:rPr>
        <w:lastRenderedPageBreak/>
        <w:t>Oblastní nemocnice Příbram, a. s.</w:t>
      </w:r>
    </w:p>
    <w:p w14:paraId="47EE20A7" w14:textId="77777777" w:rsidR="00A617CD" w:rsidRPr="00BC5D75" w:rsidRDefault="00A617CD" w:rsidP="00A617CD">
      <w:pPr>
        <w:tabs>
          <w:tab w:val="left" w:pos="3615"/>
        </w:tabs>
        <w:spacing w:after="0" w:line="240" w:lineRule="auto"/>
        <w:jc w:val="both"/>
        <w:rPr>
          <w:rFonts w:cstheme="minorHAnsi"/>
        </w:rPr>
      </w:pPr>
      <w:r w:rsidRPr="00BC5D75">
        <w:rPr>
          <w:rFonts w:cstheme="minorHAnsi"/>
        </w:rPr>
        <w:t>kladný hospodářský výsledek ve výši 16 583,01 tis. Kč</w:t>
      </w:r>
    </w:p>
    <w:p w14:paraId="15677C8A" w14:textId="77777777" w:rsidR="00A617CD" w:rsidRPr="00BC5D75" w:rsidRDefault="00A617CD" w:rsidP="00A617CD">
      <w:pPr>
        <w:tabs>
          <w:tab w:val="left" w:pos="3615"/>
        </w:tabs>
        <w:spacing w:after="0" w:line="240" w:lineRule="auto"/>
        <w:jc w:val="both"/>
        <w:rPr>
          <w:rFonts w:cstheme="minorHAnsi"/>
        </w:rPr>
      </w:pPr>
      <w:r w:rsidRPr="00BC5D75">
        <w:rPr>
          <w:rFonts w:cstheme="minorHAnsi"/>
        </w:rPr>
        <w:t>Nemocnice Středočeského kraje, a. s.</w:t>
      </w:r>
    </w:p>
    <w:p w14:paraId="3E2173C1" w14:textId="145B98AF" w:rsidR="00A617CD" w:rsidRPr="00BC5D75" w:rsidRDefault="00A617CD" w:rsidP="00A617CD">
      <w:pPr>
        <w:spacing w:after="0" w:line="240" w:lineRule="auto"/>
        <w:jc w:val="both"/>
        <w:rPr>
          <w:rFonts w:cstheme="minorHAnsi"/>
        </w:rPr>
      </w:pPr>
      <w:r w:rsidRPr="00BC5D75">
        <w:rPr>
          <w:rFonts w:cstheme="minorHAnsi"/>
        </w:rPr>
        <w:t>záporný hospodářský výsledek ve výši - 3</w:t>
      </w:r>
      <w:r w:rsidR="00763E65" w:rsidRPr="00BC5D75">
        <w:rPr>
          <w:rFonts w:cstheme="minorHAnsi"/>
        </w:rPr>
        <w:t> </w:t>
      </w:r>
      <w:r w:rsidRPr="00BC5D75">
        <w:rPr>
          <w:rFonts w:cstheme="minorHAnsi"/>
        </w:rPr>
        <w:t>746</w:t>
      </w:r>
      <w:r w:rsidR="00763E65" w:rsidRPr="00BC5D75">
        <w:rPr>
          <w:rFonts w:cstheme="minorHAnsi"/>
        </w:rPr>
        <w:t>,00</w:t>
      </w:r>
      <w:r w:rsidRPr="00BC5D75">
        <w:rPr>
          <w:rFonts w:cstheme="minorHAnsi"/>
        </w:rPr>
        <w:t xml:space="preserve"> tis. Kč</w:t>
      </w:r>
    </w:p>
    <w:p w14:paraId="246280BE" w14:textId="77777777" w:rsidR="00A617CD" w:rsidRPr="00BC5D75" w:rsidRDefault="00A617CD" w:rsidP="00A617CD">
      <w:pPr>
        <w:spacing w:after="0" w:line="240" w:lineRule="auto"/>
        <w:jc w:val="both"/>
        <w:rPr>
          <w:rFonts w:cstheme="minorHAnsi"/>
        </w:rPr>
      </w:pPr>
    </w:p>
    <w:p w14:paraId="49A5DE4D" w14:textId="536F60D2" w:rsidR="00763E65" w:rsidRDefault="00763E65" w:rsidP="00763E65">
      <w:pPr>
        <w:rPr>
          <w:lang w:eastAsia="cs-CZ"/>
        </w:rPr>
      </w:pPr>
    </w:p>
    <w:p w14:paraId="72E22BE8" w14:textId="69BB5864" w:rsidR="003C697A" w:rsidRDefault="003C697A" w:rsidP="00763E65">
      <w:pPr>
        <w:rPr>
          <w:lang w:eastAsia="cs-CZ"/>
        </w:rPr>
      </w:pPr>
    </w:p>
    <w:p w14:paraId="533AF0EF" w14:textId="77777777" w:rsidR="003C697A" w:rsidRDefault="003C697A" w:rsidP="00763E65">
      <w:pPr>
        <w:rPr>
          <w:lang w:eastAsia="cs-CZ"/>
        </w:rPr>
      </w:pPr>
    </w:p>
    <w:p w14:paraId="71F1B364" w14:textId="77777777" w:rsidR="00A617CD" w:rsidRPr="00432D66" w:rsidRDefault="00A617CD" w:rsidP="00A617CD">
      <w:pPr>
        <w:spacing w:after="0" w:line="240" w:lineRule="auto"/>
        <w:jc w:val="both"/>
        <w:rPr>
          <w:rFonts w:cstheme="minorHAnsi"/>
        </w:rPr>
      </w:pPr>
    </w:p>
    <w:p w14:paraId="607BF046" w14:textId="77777777" w:rsidR="00A617CD" w:rsidRPr="00432D66" w:rsidRDefault="00A617CD" w:rsidP="00A617CD">
      <w:pPr>
        <w:spacing w:after="0" w:line="240" w:lineRule="auto"/>
        <w:jc w:val="both"/>
        <w:rPr>
          <w:rFonts w:cstheme="minorHAnsi"/>
        </w:rPr>
      </w:pPr>
    </w:p>
    <w:p w14:paraId="07EEC64B" w14:textId="77777777" w:rsidR="00A617CD" w:rsidRDefault="00A617CD" w:rsidP="00A617CD">
      <w:pPr>
        <w:spacing w:after="0" w:line="240" w:lineRule="auto"/>
        <w:jc w:val="both"/>
        <w:rPr>
          <w:rFonts w:cstheme="minorHAnsi"/>
        </w:rPr>
      </w:pPr>
    </w:p>
    <w:p w14:paraId="6E39E40A" w14:textId="77777777" w:rsidR="00A617CD" w:rsidRDefault="00A617CD" w:rsidP="00A617CD">
      <w:pPr>
        <w:spacing w:after="0" w:line="240" w:lineRule="auto"/>
        <w:jc w:val="both"/>
        <w:rPr>
          <w:rFonts w:cstheme="minorHAnsi"/>
        </w:rPr>
      </w:pPr>
    </w:p>
    <w:p w14:paraId="3DEE47B2" w14:textId="77777777" w:rsidR="00A617CD" w:rsidRDefault="00A617CD" w:rsidP="00A617CD"/>
    <w:p w14:paraId="7A9B485B" w14:textId="78269E4E" w:rsidR="00ED51F3" w:rsidRDefault="00ED51F3" w:rsidP="00ED51F3">
      <w:pPr>
        <w:spacing w:after="0" w:line="240" w:lineRule="auto"/>
        <w:jc w:val="both"/>
        <w:rPr>
          <w:rFonts w:cstheme="minorHAnsi"/>
        </w:rPr>
      </w:pPr>
    </w:p>
    <w:p w14:paraId="7C940214" w14:textId="5520C142" w:rsidR="0013179B" w:rsidRDefault="0013179B" w:rsidP="00ED51F3">
      <w:pPr>
        <w:spacing w:after="0" w:line="240" w:lineRule="auto"/>
        <w:jc w:val="both"/>
        <w:rPr>
          <w:rFonts w:cstheme="minorHAnsi"/>
        </w:rPr>
      </w:pPr>
    </w:p>
    <w:p w14:paraId="64A2F4E4" w14:textId="5A99A897" w:rsidR="0013179B" w:rsidRDefault="0013179B" w:rsidP="00ED51F3">
      <w:pPr>
        <w:spacing w:after="0" w:line="240" w:lineRule="auto"/>
        <w:jc w:val="both"/>
        <w:rPr>
          <w:rFonts w:cstheme="minorHAnsi"/>
        </w:rPr>
      </w:pPr>
    </w:p>
    <w:p w14:paraId="53E599EC" w14:textId="2A4ED03F" w:rsidR="0013179B" w:rsidRDefault="0013179B" w:rsidP="00ED51F3">
      <w:pPr>
        <w:spacing w:after="0" w:line="240" w:lineRule="auto"/>
        <w:jc w:val="both"/>
        <w:rPr>
          <w:rFonts w:cstheme="minorHAnsi"/>
        </w:rPr>
      </w:pPr>
    </w:p>
    <w:p w14:paraId="2C97CEBD" w14:textId="56E2F7EF" w:rsidR="0013179B" w:rsidRDefault="0013179B" w:rsidP="00ED51F3">
      <w:pPr>
        <w:spacing w:after="0" w:line="240" w:lineRule="auto"/>
        <w:jc w:val="both"/>
        <w:rPr>
          <w:rFonts w:cstheme="minorHAnsi"/>
        </w:rPr>
      </w:pPr>
    </w:p>
    <w:p w14:paraId="5C4E6C68" w14:textId="47A1B0CA" w:rsidR="0013179B" w:rsidRDefault="0013179B" w:rsidP="00ED51F3">
      <w:pPr>
        <w:spacing w:after="0" w:line="240" w:lineRule="auto"/>
        <w:jc w:val="both"/>
        <w:rPr>
          <w:rFonts w:cstheme="minorHAnsi"/>
        </w:rPr>
      </w:pPr>
    </w:p>
    <w:p w14:paraId="21081B83" w14:textId="4F143A2B" w:rsidR="0013179B" w:rsidRDefault="0013179B" w:rsidP="00ED51F3">
      <w:pPr>
        <w:spacing w:after="0" w:line="240" w:lineRule="auto"/>
        <w:jc w:val="both"/>
        <w:rPr>
          <w:rFonts w:cstheme="minorHAnsi"/>
        </w:rPr>
      </w:pPr>
    </w:p>
    <w:p w14:paraId="56086BB2" w14:textId="1C1870F8" w:rsidR="0013179B" w:rsidRDefault="0013179B" w:rsidP="00ED51F3">
      <w:pPr>
        <w:spacing w:after="0" w:line="240" w:lineRule="auto"/>
        <w:jc w:val="both"/>
        <w:rPr>
          <w:rFonts w:cstheme="minorHAnsi"/>
        </w:rPr>
      </w:pPr>
    </w:p>
    <w:p w14:paraId="70B2A3BF" w14:textId="1040C56F" w:rsidR="0013179B" w:rsidRDefault="0013179B" w:rsidP="00ED51F3">
      <w:pPr>
        <w:spacing w:after="0" w:line="240" w:lineRule="auto"/>
        <w:jc w:val="both"/>
        <w:rPr>
          <w:rFonts w:cstheme="minorHAnsi"/>
        </w:rPr>
      </w:pPr>
    </w:p>
    <w:p w14:paraId="1FE2EE4C" w14:textId="5FDC8B36" w:rsidR="0013179B" w:rsidRDefault="0013179B" w:rsidP="00ED51F3">
      <w:pPr>
        <w:spacing w:after="0" w:line="240" w:lineRule="auto"/>
        <w:jc w:val="both"/>
        <w:rPr>
          <w:rFonts w:cstheme="minorHAnsi"/>
        </w:rPr>
      </w:pPr>
    </w:p>
    <w:p w14:paraId="2AD579E6" w14:textId="5AB239E1" w:rsidR="0013179B" w:rsidRDefault="0013179B" w:rsidP="00ED51F3">
      <w:pPr>
        <w:spacing w:after="0" w:line="240" w:lineRule="auto"/>
        <w:jc w:val="both"/>
        <w:rPr>
          <w:rFonts w:cstheme="minorHAnsi"/>
        </w:rPr>
      </w:pPr>
    </w:p>
    <w:p w14:paraId="026357F7" w14:textId="38324F6F" w:rsidR="0013179B" w:rsidRDefault="0013179B" w:rsidP="00ED51F3">
      <w:pPr>
        <w:spacing w:after="0" w:line="240" w:lineRule="auto"/>
        <w:jc w:val="both"/>
        <w:rPr>
          <w:rFonts w:cstheme="minorHAnsi"/>
        </w:rPr>
      </w:pPr>
    </w:p>
    <w:p w14:paraId="7D1E31B6" w14:textId="0A66028A" w:rsidR="0013179B" w:rsidRDefault="0013179B" w:rsidP="00ED51F3">
      <w:pPr>
        <w:spacing w:after="0" w:line="240" w:lineRule="auto"/>
        <w:jc w:val="both"/>
        <w:rPr>
          <w:rFonts w:cstheme="minorHAnsi"/>
        </w:rPr>
      </w:pPr>
    </w:p>
    <w:p w14:paraId="067C1F82" w14:textId="62D17A9E" w:rsidR="0013179B" w:rsidRDefault="0013179B" w:rsidP="00ED51F3">
      <w:pPr>
        <w:spacing w:after="0" w:line="240" w:lineRule="auto"/>
        <w:jc w:val="both"/>
        <w:rPr>
          <w:rFonts w:cstheme="minorHAnsi"/>
        </w:rPr>
      </w:pPr>
    </w:p>
    <w:p w14:paraId="3D4BA1EF" w14:textId="77777777" w:rsidR="0013179B" w:rsidRPr="00905432" w:rsidRDefault="0013179B" w:rsidP="0013179B">
      <w:pPr>
        <w:spacing w:after="0" w:line="240" w:lineRule="auto"/>
        <w:jc w:val="both"/>
        <w:rPr>
          <w:rFonts w:cstheme="minorHAnsi"/>
          <w:b/>
          <w:bCs/>
          <w:sz w:val="28"/>
          <w:szCs w:val="28"/>
          <w:u w:val="single"/>
        </w:rPr>
      </w:pPr>
    </w:p>
    <w:p w14:paraId="1EB41BB5" w14:textId="77777777" w:rsidR="0013179B" w:rsidRPr="00905432" w:rsidRDefault="0013179B" w:rsidP="0013179B">
      <w:pPr>
        <w:spacing w:after="0" w:line="240" w:lineRule="auto"/>
        <w:jc w:val="both"/>
        <w:rPr>
          <w:rFonts w:cstheme="minorHAnsi"/>
        </w:rPr>
      </w:pPr>
    </w:p>
    <w:p w14:paraId="7E97BFD3" w14:textId="77777777" w:rsidR="0013179B" w:rsidRPr="00905432" w:rsidRDefault="0013179B" w:rsidP="0013179B">
      <w:pPr>
        <w:rPr>
          <w:rFonts w:cs="Calibri"/>
        </w:rPr>
      </w:pPr>
    </w:p>
    <w:p w14:paraId="1EA6F006" w14:textId="116DB344" w:rsidR="0013179B" w:rsidRDefault="0013179B" w:rsidP="0013179B">
      <w:pPr>
        <w:rPr>
          <w:rFonts w:cs="Calibri"/>
        </w:rPr>
      </w:pPr>
    </w:p>
    <w:p w14:paraId="3882E782" w14:textId="153AF7A6" w:rsidR="0013179B" w:rsidRDefault="0013179B" w:rsidP="0013179B">
      <w:pPr>
        <w:rPr>
          <w:rFonts w:cs="Calibri"/>
        </w:rPr>
      </w:pPr>
    </w:p>
    <w:p w14:paraId="123B5813" w14:textId="09AE904C" w:rsidR="00D158B8" w:rsidRDefault="00D158B8" w:rsidP="0013179B">
      <w:pPr>
        <w:rPr>
          <w:rFonts w:cs="Calibri"/>
        </w:rPr>
      </w:pPr>
    </w:p>
    <w:p w14:paraId="08E25A5A" w14:textId="6EB0DEA6" w:rsidR="00D158B8" w:rsidRDefault="00D158B8" w:rsidP="0013179B">
      <w:pPr>
        <w:rPr>
          <w:rFonts w:cs="Calibri"/>
        </w:rPr>
      </w:pPr>
    </w:p>
    <w:p w14:paraId="125A69BD" w14:textId="1739DD4A" w:rsidR="00D158B8" w:rsidRDefault="00D158B8" w:rsidP="0013179B">
      <w:pPr>
        <w:rPr>
          <w:rFonts w:cs="Calibri"/>
        </w:rPr>
      </w:pPr>
    </w:p>
    <w:p w14:paraId="21EB18E8" w14:textId="53273886" w:rsidR="003C697A" w:rsidRDefault="003C697A" w:rsidP="0013179B">
      <w:pPr>
        <w:rPr>
          <w:rFonts w:cs="Calibri"/>
        </w:rPr>
      </w:pPr>
    </w:p>
    <w:p w14:paraId="22B04805" w14:textId="5FC7AB66" w:rsidR="003C697A" w:rsidRDefault="003C697A" w:rsidP="0013179B">
      <w:pPr>
        <w:rPr>
          <w:rFonts w:cs="Calibri"/>
        </w:rPr>
      </w:pPr>
    </w:p>
    <w:p w14:paraId="0A07621E" w14:textId="584BC841" w:rsidR="003C697A" w:rsidRDefault="003C697A" w:rsidP="0013179B">
      <w:pPr>
        <w:rPr>
          <w:rFonts w:cs="Calibri"/>
        </w:rPr>
      </w:pPr>
    </w:p>
    <w:p w14:paraId="6E4E37A8" w14:textId="49BA2443" w:rsidR="003C697A" w:rsidRDefault="003C697A" w:rsidP="0013179B">
      <w:pPr>
        <w:rPr>
          <w:rFonts w:cs="Calibri"/>
        </w:rPr>
      </w:pPr>
    </w:p>
    <w:p w14:paraId="050DFE7A" w14:textId="04E84386" w:rsidR="003C697A" w:rsidRDefault="003C697A" w:rsidP="0013179B">
      <w:pPr>
        <w:rPr>
          <w:rFonts w:cs="Calibri"/>
        </w:rPr>
      </w:pPr>
    </w:p>
    <w:p w14:paraId="5D731DCE" w14:textId="77777777" w:rsidR="003C697A" w:rsidRDefault="003C697A" w:rsidP="0013179B">
      <w:pPr>
        <w:rPr>
          <w:rFonts w:cs="Calibri"/>
        </w:rPr>
      </w:pPr>
    </w:p>
    <w:tbl>
      <w:tblPr>
        <w:tblW w:w="9928" w:type="dxa"/>
        <w:tblCellMar>
          <w:left w:w="70" w:type="dxa"/>
          <w:right w:w="70" w:type="dxa"/>
        </w:tblCellMar>
        <w:tblLook w:val="04A0" w:firstRow="1" w:lastRow="0" w:firstColumn="1" w:lastColumn="0" w:noHBand="0" w:noVBand="1"/>
      </w:tblPr>
      <w:tblGrid>
        <w:gridCol w:w="826"/>
        <w:gridCol w:w="4109"/>
        <w:gridCol w:w="1302"/>
        <w:gridCol w:w="1418"/>
        <w:gridCol w:w="1559"/>
        <w:gridCol w:w="714"/>
      </w:tblGrid>
      <w:tr w:rsidR="00256A12" w:rsidRPr="00256A12" w14:paraId="7DAA8664" w14:textId="77777777" w:rsidTr="00256A12">
        <w:trPr>
          <w:trHeight w:val="360"/>
        </w:trPr>
        <w:tc>
          <w:tcPr>
            <w:tcW w:w="826" w:type="dxa"/>
            <w:tcBorders>
              <w:top w:val="nil"/>
              <w:left w:val="nil"/>
              <w:bottom w:val="nil"/>
              <w:right w:val="nil"/>
            </w:tcBorders>
            <w:shd w:val="clear" w:color="000000" w:fill="FFFFFF"/>
            <w:noWrap/>
            <w:vAlign w:val="bottom"/>
            <w:hideMark/>
          </w:tcPr>
          <w:p w14:paraId="7ACD4BB9" w14:textId="77777777" w:rsidR="00256A12" w:rsidRPr="00256A12" w:rsidRDefault="00256A12" w:rsidP="00256A12">
            <w:pPr>
              <w:spacing w:after="0" w:line="240" w:lineRule="auto"/>
              <w:rPr>
                <w:rFonts w:ascii="Calibri" w:eastAsia="Times New Roman" w:hAnsi="Calibri" w:cs="Arial"/>
                <w:sz w:val="20"/>
                <w:szCs w:val="20"/>
                <w:lang w:eastAsia="cs-CZ"/>
              </w:rPr>
            </w:pPr>
            <w:r w:rsidRPr="00256A12">
              <w:rPr>
                <w:rFonts w:ascii="Calibri" w:eastAsia="Times New Roman" w:hAnsi="Calibri" w:cs="Arial"/>
                <w:sz w:val="20"/>
                <w:szCs w:val="20"/>
                <w:lang w:eastAsia="cs-CZ"/>
              </w:rPr>
              <w:t> </w:t>
            </w:r>
          </w:p>
        </w:tc>
        <w:tc>
          <w:tcPr>
            <w:tcW w:w="4109" w:type="dxa"/>
            <w:tcBorders>
              <w:top w:val="nil"/>
              <w:left w:val="nil"/>
              <w:bottom w:val="nil"/>
              <w:right w:val="nil"/>
            </w:tcBorders>
            <w:shd w:val="clear" w:color="000000" w:fill="FFFFFF"/>
            <w:noWrap/>
            <w:vAlign w:val="bottom"/>
            <w:hideMark/>
          </w:tcPr>
          <w:p w14:paraId="30DF0466" w14:textId="77777777" w:rsidR="00256A12" w:rsidRPr="00256A12" w:rsidRDefault="00256A12" w:rsidP="00256A12">
            <w:pPr>
              <w:spacing w:after="0" w:line="240" w:lineRule="auto"/>
              <w:rPr>
                <w:rFonts w:ascii="Calibri" w:eastAsia="Times New Roman" w:hAnsi="Calibri" w:cs="Arial"/>
                <w:sz w:val="20"/>
                <w:szCs w:val="20"/>
                <w:lang w:eastAsia="cs-CZ"/>
              </w:rPr>
            </w:pPr>
            <w:r w:rsidRPr="00256A12">
              <w:rPr>
                <w:rFonts w:ascii="Calibri" w:eastAsia="Times New Roman" w:hAnsi="Calibri" w:cs="Arial"/>
                <w:sz w:val="20"/>
                <w:szCs w:val="20"/>
                <w:lang w:eastAsia="cs-CZ"/>
              </w:rPr>
              <w:t> </w:t>
            </w:r>
          </w:p>
        </w:tc>
        <w:tc>
          <w:tcPr>
            <w:tcW w:w="1302" w:type="dxa"/>
            <w:tcBorders>
              <w:top w:val="nil"/>
              <w:left w:val="nil"/>
              <w:bottom w:val="nil"/>
              <w:right w:val="nil"/>
            </w:tcBorders>
            <w:shd w:val="clear" w:color="000000" w:fill="FFFFFF"/>
            <w:noWrap/>
            <w:vAlign w:val="bottom"/>
            <w:hideMark/>
          </w:tcPr>
          <w:p w14:paraId="76B89132" w14:textId="77777777" w:rsidR="00256A12" w:rsidRPr="00256A12" w:rsidRDefault="00256A12" w:rsidP="00256A12">
            <w:pPr>
              <w:spacing w:after="0" w:line="240" w:lineRule="auto"/>
              <w:rPr>
                <w:rFonts w:ascii="Calibri" w:eastAsia="Times New Roman" w:hAnsi="Calibri" w:cs="Arial"/>
                <w:sz w:val="20"/>
                <w:szCs w:val="20"/>
                <w:lang w:eastAsia="cs-CZ"/>
              </w:rPr>
            </w:pPr>
            <w:r w:rsidRPr="00256A12">
              <w:rPr>
                <w:rFonts w:ascii="Calibri" w:eastAsia="Times New Roman" w:hAnsi="Calibri" w:cs="Arial"/>
                <w:sz w:val="20"/>
                <w:szCs w:val="20"/>
                <w:lang w:eastAsia="cs-CZ"/>
              </w:rPr>
              <w:t> </w:t>
            </w:r>
          </w:p>
        </w:tc>
        <w:tc>
          <w:tcPr>
            <w:tcW w:w="1418" w:type="dxa"/>
            <w:tcBorders>
              <w:top w:val="nil"/>
              <w:left w:val="nil"/>
              <w:bottom w:val="nil"/>
              <w:right w:val="nil"/>
            </w:tcBorders>
            <w:shd w:val="clear" w:color="000000" w:fill="FFFFFF"/>
            <w:noWrap/>
            <w:vAlign w:val="bottom"/>
            <w:hideMark/>
          </w:tcPr>
          <w:p w14:paraId="21A72AB2" w14:textId="77777777" w:rsidR="00256A12" w:rsidRPr="00256A12" w:rsidRDefault="00256A12" w:rsidP="00256A12">
            <w:pPr>
              <w:spacing w:after="0" w:line="240" w:lineRule="auto"/>
              <w:rPr>
                <w:rFonts w:ascii="Calibri" w:eastAsia="Times New Roman" w:hAnsi="Calibri" w:cs="Arial"/>
                <w:sz w:val="20"/>
                <w:szCs w:val="20"/>
                <w:lang w:eastAsia="cs-CZ"/>
              </w:rPr>
            </w:pPr>
            <w:r w:rsidRPr="00256A12">
              <w:rPr>
                <w:rFonts w:ascii="Calibri" w:eastAsia="Times New Roman" w:hAnsi="Calibri" w:cs="Arial"/>
                <w:sz w:val="20"/>
                <w:szCs w:val="20"/>
                <w:lang w:eastAsia="cs-CZ"/>
              </w:rPr>
              <w:t> </w:t>
            </w:r>
          </w:p>
        </w:tc>
        <w:tc>
          <w:tcPr>
            <w:tcW w:w="1559" w:type="dxa"/>
            <w:tcBorders>
              <w:top w:val="nil"/>
              <w:left w:val="nil"/>
              <w:bottom w:val="nil"/>
              <w:right w:val="nil"/>
            </w:tcBorders>
            <w:shd w:val="clear" w:color="000000" w:fill="FFFFFF"/>
            <w:noWrap/>
            <w:vAlign w:val="bottom"/>
            <w:hideMark/>
          </w:tcPr>
          <w:p w14:paraId="251DA823" w14:textId="77777777" w:rsidR="00256A12" w:rsidRPr="00256A12" w:rsidRDefault="00256A12" w:rsidP="00256A12">
            <w:pPr>
              <w:spacing w:after="0" w:line="240" w:lineRule="auto"/>
              <w:rPr>
                <w:rFonts w:ascii="Calibri" w:eastAsia="Times New Roman" w:hAnsi="Calibri" w:cs="Arial"/>
                <w:sz w:val="20"/>
                <w:szCs w:val="20"/>
                <w:lang w:eastAsia="cs-CZ"/>
              </w:rPr>
            </w:pPr>
            <w:r w:rsidRPr="00256A12">
              <w:rPr>
                <w:rFonts w:ascii="Calibri" w:eastAsia="Times New Roman" w:hAnsi="Calibri" w:cs="Arial"/>
                <w:sz w:val="20"/>
                <w:szCs w:val="20"/>
                <w:lang w:eastAsia="cs-CZ"/>
              </w:rPr>
              <w:t> </w:t>
            </w:r>
          </w:p>
        </w:tc>
        <w:tc>
          <w:tcPr>
            <w:tcW w:w="714" w:type="dxa"/>
            <w:tcBorders>
              <w:top w:val="nil"/>
              <w:left w:val="nil"/>
              <w:bottom w:val="nil"/>
              <w:right w:val="nil"/>
            </w:tcBorders>
            <w:shd w:val="clear" w:color="000000" w:fill="FFFFFF"/>
            <w:noWrap/>
            <w:vAlign w:val="bottom"/>
            <w:hideMark/>
          </w:tcPr>
          <w:p w14:paraId="7DC80667" w14:textId="77777777" w:rsidR="00256A12" w:rsidRPr="00256A12" w:rsidRDefault="00256A12" w:rsidP="00256A12">
            <w:pPr>
              <w:spacing w:after="0" w:line="240" w:lineRule="auto"/>
              <w:rPr>
                <w:rFonts w:ascii="Calibri" w:eastAsia="Times New Roman" w:hAnsi="Calibri" w:cs="Arial"/>
                <w:sz w:val="20"/>
                <w:szCs w:val="20"/>
                <w:lang w:eastAsia="cs-CZ"/>
              </w:rPr>
            </w:pPr>
            <w:r w:rsidRPr="00256A12">
              <w:rPr>
                <w:rFonts w:ascii="Calibri" w:eastAsia="Times New Roman" w:hAnsi="Calibri" w:cs="Arial"/>
                <w:sz w:val="20"/>
                <w:szCs w:val="20"/>
                <w:lang w:eastAsia="cs-CZ"/>
              </w:rPr>
              <w:t> </w:t>
            </w:r>
          </w:p>
        </w:tc>
      </w:tr>
      <w:tr w:rsidR="00256A12" w:rsidRPr="00256A12" w14:paraId="2288578E" w14:textId="77777777" w:rsidTr="00256A12">
        <w:trPr>
          <w:trHeight w:val="403"/>
        </w:trPr>
        <w:tc>
          <w:tcPr>
            <w:tcW w:w="9928" w:type="dxa"/>
            <w:gridSpan w:val="6"/>
            <w:tcBorders>
              <w:top w:val="nil"/>
              <w:left w:val="nil"/>
              <w:bottom w:val="nil"/>
              <w:right w:val="nil"/>
            </w:tcBorders>
            <w:shd w:val="clear" w:color="000000" w:fill="FFFFFF"/>
            <w:noWrap/>
            <w:vAlign w:val="center"/>
            <w:hideMark/>
          </w:tcPr>
          <w:p w14:paraId="11F2969A" w14:textId="77777777" w:rsidR="00256A12" w:rsidRPr="00256A12" w:rsidRDefault="00256A12" w:rsidP="00256A12">
            <w:pPr>
              <w:spacing w:after="0" w:line="240" w:lineRule="auto"/>
              <w:jc w:val="center"/>
              <w:rPr>
                <w:rFonts w:ascii="Calibri" w:eastAsia="Times New Roman" w:hAnsi="Calibri" w:cs="Arial"/>
                <w:b/>
                <w:bCs/>
                <w:sz w:val="28"/>
                <w:szCs w:val="28"/>
                <w:lang w:eastAsia="cs-CZ"/>
              </w:rPr>
            </w:pPr>
            <w:r w:rsidRPr="00256A12">
              <w:rPr>
                <w:rFonts w:ascii="Calibri" w:eastAsia="Times New Roman" w:hAnsi="Calibri" w:cs="Arial"/>
                <w:b/>
                <w:bCs/>
                <w:sz w:val="28"/>
                <w:szCs w:val="28"/>
                <w:lang w:eastAsia="cs-CZ"/>
              </w:rPr>
              <w:lastRenderedPageBreak/>
              <w:t>Čerpání rozpočtu kapitoly 08 - Regionální rozvoj - období: 1. - 12. 2021</w:t>
            </w:r>
          </w:p>
        </w:tc>
      </w:tr>
      <w:tr w:rsidR="00256A12" w:rsidRPr="00256A12" w14:paraId="335BAABB" w14:textId="77777777" w:rsidTr="00256A12">
        <w:trPr>
          <w:trHeight w:val="360"/>
        </w:trPr>
        <w:tc>
          <w:tcPr>
            <w:tcW w:w="826" w:type="dxa"/>
            <w:tcBorders>
              <w:top w:val="nil"/>
              <w:left w:val="nil"/>
              <w:bottom w:val="nil"/>
              <w:right w:val="nil"/>
            </w:tcBorders>
            <w:shd w:val="clear" w:color="000000" w:fill="FFFFFF"/>
            <w:noWrap/>
            <w:vAlign w:val="bottom"/>
            <w:hideMark/>
          </w:tcPr>
          <w:p w14:paraId="6393B29C" w14:textId="77777777" w:rsidR="00256A12" w:rsidRPr="00256A12" w:rsidRDefault="00256A12" w:rsidP="00256A12">
            <w:pPr>
              <w:spacing w:after="0" w:line="240" w:lineRule="auto"/>
              <w:rPr>
                <w:rFonts w:ascii="Calibri" w:eastAsia="Times New Roman" w:hAnsi="Calibri" w:cs="Arial"/>
                <w:b/>
                <w:bCs/>
                <w:sz w:val="28"/>
                <w:szCs w:val="28"/>
                <w:lang w:eastAsia="cs-CZ"/>
              </w:rPr>
            </w:pPr>
            <w:r w:rsidRPr="00256A12">
              <w:rPr>
                <w:rFonts w:ascii="Calibri" w:eastAsia="Times New Roman" w:hAnsi="Calibri" w:cs="Arial"/>
                <w:b/>
                <w:bCs/>
                <w:sz w:val="28"/>
                <w:szCs w:val="28"/>
                <w:lang w:eastAsia="cs-CZ"/>
              </w:rPr>
              <w:t> </w:t>
            </w:r>
          </w:p>
        </w:tc>
        <w:tc>
          <w:tcPr>
            <w:tcW w:w="4109" w:type="dxa"/>
            <w:tcBorders>
              <w:top w:val="nil"/>
              <w:left w:val="nil"/>
              <w:bottom w:val="nil"/>
              <w:right w:val="nil"/>
            </w:tcBorders>
            <w:shd w:val="clear" w:color="000000" w:fill="FFFFFF"/>
            <w:noWrap/>
            <w:vAlign w:val="bottom"/>
            <w:hideMark/>
          </w:tcPr>
          <w:p w14:paraId="3437E436" w14:textId="77777777" w:rsidR="00256A12" w:rsidRPr="00256A12" w:rsidRDefault="00256A12" w:rsidP="00256A12">
            <w:pPr>
              <w:spacing w:after="0" w:line="240" w:lineRule="auto"/>
              <w:rPr>
                <w:rFonts w:ascii="Calibri" w:eastAsia="Times New Roman" w:hAnsi="Calibri" w:cs="Arial"/>
                <w:sz w:val="20"/>
                <w:szCs w:val="20"/>
                <w:lang w:eastAsia="cs-CZ"/>
              </w:rPr>
            </w:pPr>
            <w:r w:rsidRPr="00256A12">
              <w:rPr>
                <w:rFonts w:ascii="Calibri" w:eastAsia="Times New Roman" w:hAnsi="Calibri" w:cs="Arial"/>
                <w:sz w:val="20"/>
                <w:szCs w:val="20"/>
                <w:lang w:eastAsia="cs-CZ"/>
              </w:rPr>
              <w:t> </w:t>
            </w:r>
          </w:p>
        </w:tc>
        <w:tc>
          <w:tcPr>
            <w:tcW w:w="1302" w:type="dxa"/>
            <w:tcBorders>
              <w:top w:val="nil"/>
              <w:left w:val="nil"/>
              <w:bottom w:val="nil"/>
              <w:right w:val="nil"/>
            </w:tcBorders>
            <w:shd w:val="clear" w:color="000000" w:fill="FFFFFF"/>
            <w:noWrap/>
            <w:vAlign w:val="bottom"/>
            <w:hideMark/>
          </w:tcPr>
          <w:p w14:paraId="5F3AC7C7" w14:textId="77777777" w:rsidR="00256A12" w:rsidRPr="00256A12" w:rsidRDefault="00256A12" w:rsidP="00256A12">
            <w:pPr>
              <w:spacing w:after="0" w:line="240" w:lineRule="auto"/>
              <w:rPr>
                <w:rFonts w:ascii="Calibri" w:eastAsia="Times New Roman" w:hAnsi="Calibri" w:cs="Arial"/>
                <w:sz w:val="20"/>
                <w:szCs w:val="20"/>
                <w:lang w:eastAsia="cs-CZ"/>
              </w:rPr>
            </w:pPr>
            <w:r w:rsidRPr="00256A12">
              <w:rPr>
                <w:rFonts w:ascii="Calibri" w:eastAsia="Times New Roman" w:hAnsi="Calibri" w:cs="Arial"/>
                <w:sz w:val="20"/>
                <w:szCs w:val="20"/>
                <w:lang w:eastAsia="cs-CZ"/>
              </w:rPr>
              <w:t> </w:t>
            </w:r>
          </w:p>
        </w:tc>
        <w:tc>
          <w:tcPr>
            <w:tcW w:w="1418" w:type="dxa"/>
            <w:tcBorders>
              <w:top w:val="nil"/>
              <w:left w:val="nil"/>
              <w:bottom w:val="nil"/>
              <w:right w:val="nil"/>
            </w:tcBorders>
            <w:shd w:val="clear" w:color="000000" w:fill="FFFFFF"/>
            <w:noWrap/>
            <w:vAlign w:val="bottom"/>
            <w:hideMark/>
          </w:tcPr>
          <w:p w14:paraId="6D0F072A" w14:textId="77777777" w:rsidR="00256A12" w:rsidRPr="00256A12" w:rsidRDefault="00256A12" w:rsidP="00256A12">
            <w:pPr>
              <w:spacing w:after="0" w:line="240" w:lineRule="auto"/>
              <w:rPr>
                <w:rFonts w:ascii="Calibri" w:eastAsia="Times New Roman" w:hAnsi="Calibri" w:cs="Arial"/>
                <w:sz w:val="20"/>
                <w:szCs w:val="20"/>
                <w:lang w:eastAsia="cs-CZ"/>
              </w:rPr>
            </w:pPr>
            <w:r w:rsidRPr="00256A12">
              <w:rPr>
                <w:rFonts w:ascii="Calibri" w:eastAsia="Times New Roman" w:hAnsi="Calibri" w:cs="Arial"/>
                <w:sz w:val="20"/>
                <w:szCs w:val="20"/>
                <w:lang w:eastAsia="cs-CZ"/>
              </w:rPr>
              <w:t> </w:t>
            </w:r>
          </w:p>
        </w:tc>
        <w:tc>
          <w:tcPr>
            <w:tcW w:w="1559" w:type="dxa"/>
            <w:tcBorders>
              <w:top w:val="nil"/>
              <w:left w:val="nil"/>
              <w:bottom w:val="nil"/>
              <w:right w:val="nil"/>
            </w:tcBorders>
            <w:shd w:val="clear" w:color="000000" w:fill="FFFFFF"/>
            <w:noWrap/>
            <w:vAlign w:val="bottom"/>
            <w:hideMark/>
          </w:tcPr>
          <w:p w14:paraId="7492C958" w14:textId="77777777" w:rsidR="00256A12" w:rsidRPr="00256A12" w:rsidRDefault="00256A12" w:rsidP="00256A12">
            <w:pPr>
              <w:spacing w:after="0" w:line="240" w:lineRule="auto"/>
              <w:rPr>
                <w:rFonts w:ascii="Calibri" w:eastAsia="Times New Roman" w:hAnsi="Calibri" w:cs="Arial"/>
                <w:sz w:val="20"/>
                <w:szCs w:val="20"/>
                <w:lang w:eastAsia="cs-CZ"/>
              </w:rPr>
            </w:pPr>
            <w:r w:rsidRPr="00256A12">
              <w:rPr>
                <w:rFonts w:ascii="Calibri" w:eastAsia="Times New Roman" w:hAnsi="Calibri" w:cs="Arial"/>
                <w:sz w:val="20"/>
                <w:szCs w:val="20"/>
                <w:lang w:eastAsia="cs-CZ"/>
              </w:rPr>
              <w:t> </w:t>
            </w:r>
          </w:p>
        </w:tc>
        <w:tc>
          <w:tcPr>
            <w:tcW w:w="714" w:type="dxa"/>
            <w:tcBorders>
              <w:top w:val="nil"/>
              <w:left w:val="nil"/>
              <w:bottom w:val="nil"/>
              <w:right w:val="nil"/>
            </w:tcBorders>
            <w:shd w:val="clear" w:color="000000" w:fill="FFFFFF"/>
            <w:noWrap/>
            <w:vAlign w:val="bottom"/>
            <w:hideMark/>
          </w:tcPr>
          <w:p w14:paraId="3E43352C" w14:textId="77777777" w:rsidR="00256A12" w:rsidRPr="00256A12" w:rsidRDefault="00256A12" w:rsidP="00256A12">
            <w:pPr>
              <w:spacing w:after="0" w:line="240" w:lineRule="auto"/>
              <w:jc w:val="right"/>
              <w:rPr>
                <w:rFonts w:ascii="Calibri" w:eastAsia="Times New Roman" w:hAnsi="Calibri" w:cs="Arial"/>
                <w:lang w:eastAsia="cs-CZ"/>
              </w:rPr>
            </w:pPr>
            <w:r w:rsidRPr="00256A12">
              <w:rPr>
                <w:rFonts w:ascii="Calibri" w:eastAsia="Times New Roman" w:hAnsi="Calibri" w:cs="Arial"/>
                <w:lang w:eastAsia="cs-CZ"/>
              </w:rPr>
              <w:t>v Kč</w:t>
            </w:r>
          </w:p>
        </w:tc>
      </w:tr>
      <w:tr w:rsidR="00256A12" w:rsidRPr="00256A12" w14:paraId="66880204" w14:textId="77777777" w:rsidTr="00256A12">
        <w:trPr>
          <w:trHeight w:val="705"/>
        </w:trPr>
        <w:tc>
          <w:tcPr>
            <w:tcW w:w="826" w:type="dxa"/>
            <w:tcBorders>
              <w:top w:val="single" w:sz="8" w:space="0" w:color="auto"/>
              <w:left w:val="single" w:sz="8" w:space="0" w:color="auto"/>
              <w:bottom w:val="single" w:sz="8" w:space="0" w:color="auto"/>
              <w:right w:val="single" w:sz="8" w:space="0" w:color="auto"/>
            </w:tcBorders>
            <w:shd w:val="clear" w:color="000000" w:fill="CCFFCC"/>
            <w:noWrap/>
            <w:vAlign w:val="center"/>
            <w:hideMark/>
          </w:tcPr>
          <w:p w14:paraId="5EB1A84A" w14:textId="77777777" w:rsidR="00256A12" w:rsidRPr="00256A12" w:rsidRDefault="00256A12" w:rsidP="00256A12">
            <w:pPr>
              <w:spacing w:after="0" w:line="240" w:lineRule="auto"/>
              <w:jc w:val="center"/>
              <w:rPr>
                <w:rFonts w:ascii="Calibri" w:eastAsia="Times New Roman" w:hAnsi="Calibri" w:cs="Arial"/>
                <w:sz w:val="20"/>
                <w:szCs w:val="20"/>
                <w:lang w:eastAsia="cs-CZ"/>
              </w:rPr>
            </w:pPr>
            <w:r w:rsidRPr="00256A12">
              <w:rPr>
                <w:rFonts w:ascii="Calibri" w:eastAsia="Times New Roman" w:hAnsi="Calibri" w:cs="Arial"/>
                <w:sz w:val="20"/>
                <w:szCs w:val="20"/>
                <w:lang w:eastAsia="cs-CZ"/>
              </w:rPr>
              <w:t>Paragraf</w:t>
            </w:r>
          </w:p>
        </w:tc>
        <w:tc>
          <w:tcPr>
            <w:tcW w:w="4109" w:type="dxa"/>
            <w:tcBorders>
              <w:top w:val="single" w:sz="8" w:space="0" w:color="auto"/>
              <w:left w:val="nil"/>
              <w:bottom w:val="single" w:sz="8" w:space="0" w:color="auto"/>
              <w:right w:val="single" w:sz="8" w:space="0" w:color="auto"/>
            </w:tcBorders>
            <w:shd w:val="clear" w:color="000000" w:fill="CCFFCC"/>
            <w:noWrap/>
            <w:vAlign w:val="center"/>
            <w:hideMark/>
          </w:tcPr>
          <w:p w14:paraId="60920F59" w14:textId="77777777" w:rsidR="00256A12" w:rsidRPr="00256A12" w:rsidRDefault="00256A12" w:rsidP="00256A12">
            <w:pPr>
              <w:spacing w:after="0" w:line="240" w:lineRule="auto"/>
              <w:jc w:val="center"/>
              <w:rPr>
                <w:rFonts w:ascii="Calibri" w:eastAsia="Times New Roman" w:hAnsi="Calibri" w:cs="Arial"/>
                <w:sz w:val="20"/>
                <w:szCs w:val="20"/>
                <w:lang w:eastAsia="cs-CZ"/>
              </w:rPr>
            </w:pPr>
            <w:r w:rsidRPr="00256A12">
              <w:rPr>
                <w:rFonts w:ascii="Calibri" w:eastAsia="Times New Roman" w:hAnsi="Calibri" w:cs="Arial"/>
                <w:sz w:val="20"/>
                <w:szCs w:val="20"/>
                <w:lang w:eastAsia="cs-CZ"/>
              </w:rPr>
              <w:t>Oblast rozpočtu</w:t>
            </w:r>
          </w:p>
        </w:tc>
        <w:tc>
          <w:tcPr>
            <w:tcW w:w="1302" w:type="dxa"/>
            <w:tcBorders>
              <w:top w:val="single" w:sz="8" w:space="0" w:color="auto"/>
              <w:left w:val="nil"/>
              <w:bottom w:val="single" w:sz="8" w:space="0" w:color="auto"/>
              <w:right w:val="single" w:sz="8" w:space="0" w:color="auto"/>
            </w:tcBorders>
            <w:shd w:val="clear" w:color="000000" w:fill="CCFFCC"/>
            <w:vAlign w:val="center"/>
            <w:hideMark/>
          </w:tcPr>
          <w:p w14:paraId="5E63BBD2" w14:textId="77777777" w:rsidR="00256A12" w:rsidRPr="00256A12" w:rsidRDefault="00256A12" w:rsidP="00256A12">
            <w:pPr>
              <w:spacing w:after="0" w:line="240" w:lineRule="auto"/>
              <w:jc w:val="center"/>
              <w:rPr>
                <w:rFonts w:ascii="Calibri" w:eastAsia="Times New Roman" w:hAnsi="Calibri" w:cs="Arial"/>
                <w:sz w:val="20"/>
                <w:szCs w:val="20"/>
                <w:lang w:eastAsia="cs-CZ"/>
              </w:rPr>
            </w:pPr>
            <w:r w:rsidRPr="00256A12">
              <w:rPr>
                <w:rFonts w:ascii="Calibri" w:eastAsia="Times New Roman" w:hAnsi="Calibri" w:cs="Arial"/>
                <w:sz w:val="20"/>
                <w:szCs w:val="20"/>
                <w:lang w:eastAsia="cs-CZ"/>
              </w:rPr>
              <w:t>Schválený rozpočet</w:t>
            </w:r>
          </w:p>
        </w:tc>
        <w:tc>
          <w:tcPr>
            <w:tcW w:w="1418" w:type="dxa"/>
            <w:tcBorders>
              <w:top w:val="single" w:sz="8" w:space="0" w:color="auto"/>
              <w:left w:val="nil"/>
              <w:bottom w:val="single" w:sz="8" w:space="0" w:color="auto"/>
              <w:right w:val="single" w:sz="8" w:space="0" w:color="auto"/>
            </w:tcBorders>
            <w:shd w:val="clear" w:color="000000" w:fill="CCFFCC"/>
            <w:vAlign w:val="center"/>
            <w:hideMark/>
          </w:tcPr>
          <w:p w14:paraId="3329561C" w14:textId="77777777" w:rsidR="00256A12" w:rsidRPr="00256A12" w:rsidRDefault="00256A12" w:rsidP="00256A12">
            <w:pPr>
              <w:spacing w:after="0" w:line="240" w:lineRule="auto"/>
              <w:jc w:val="center"/>
              <w:rPr>
                <w:rFonts w:ascii="Calibri" w:eastAsia="Times New Roman" w:hAnsi="Calibri" w:cs="Arial"/>
                <w:sz w:val="20"/>
                <w:szCs w:val="20"/>
                <w:lang w:eastAsia="cs-CZ"/>
              </w:rPr>
            </w:pPr>
            <w:r w:rsidRPr="00256A12">
              <w:rPr>
                <w:rFonts w:ascii="Calibri" w:eastAsia="Times New Roman" w:hAnsi="Calibri" w:cs="Arial"/>
                <w:sz w:val="20"/>
                <w:szCs w:val="20"/>
                <w:lang w:eastAsia="cs-CZ"/>
              </w:rPr>
              <w:t>Rozpočet po úpravě</w:t>
            </w:r>
          </w:p>
        </w:tc>
        <w:tc>
          <w:tcPr>
            <w:tcW w:w="1559" w:type="dxa"/>
            <w:tcBorders>
              <w:top w:val="single" w:sz="8" w:space="0" w:color="auto"/>
              <w:left w:val="nil"/>
              <w:bottom w:val="single" w:sz="8" w:space="0" w:color="auto"/>
              <w:right w:val="single" w:sz="8" w:space="0" w:color="auto"/>
            </w:tcBorders>
            <w:shd w:val="clear" w:color="000000" w:fill="CCFFCC"/>
            <w:vAlign w:val="center"/>
            <w:hideMark/>
          </w:tcPr>
          <w:p w14:paraId="53D93C73" w14:textId="77777777" w:rsidR="00256A12" w:rsidRPr="00256A12" w:rsidRDefault="00256A12" w:rsidP="00256A12">
            <w:pPr>
              <w:spacing w:after="0" w:line="240" w:lineRule="auto"/>
              <w:jc w:val="center"/>
              <w:rPr>
                <w:rFonts w:ascii="Calibri" w:eastAsia="Times New Roman" w:hAnsi="Calibri" w:cs="Arial"/>
                <w:sz w:val="20"/>
                <w:szCs w:val="20"/>
                <w:lang w:eastAsia="cs-CZ"/>
              </w:rPr>
            </w:pPr>
            <w:r w:rsidRPr="00256A12">
              <w:rPr>
                <w:rFonts w:ascii="Calibri" w:eastAsia="Times New Roman" w:hAnsi="Calibri" w:cs="Arial"/>
                <w:sz w:val="20"/>
                <w:szCs w:val="20"/>
                <w:lang w:eastAsia="cs-CZ"/>
              </w:rPr>
              <w:t xml:space="preserve">Skutečnost </w:t>
            </w:r>
          </w:p>
        </w:tc>
        <w:tc>
          <w:tcPr>
            <w:tcW w:w="714" w:type="dxa"/>
            <w:tcBorders>
              <w:top w:val="single" w:sz="8" w:space="0" w:color="auto"/>
              <w:left w:val="nil"/>
              <w:bottom w:val="single" w:sz="8" w:space="0" w:color="auto"/>
              <w:right w:val="single" w:sz="8" w:space="0" w:color="auto"/>
            </w:tcBorders>
            <w:shd w:val="clear" w:color="000000" w:fill="CCFFCC"/>
            <w:vAlign w:val="center"/>
            <w:hideMark/>
          </w:tcPr>
          <w:p w14:paraId="4FF0DE2B" w14:textId="77777777" w:rsidR="00256A12" w:rsidRPr="00256A12" w:rsidRDefault="00256A12" w:rsidP="00256A12">
            <w:pPr>
              <w:spacing w:after="0" w:line="240" w:lineRule="auto"/>
              <w:jc w:val="center"/>
              <w:rPr>
                <w:rFonts w:ascii="Calibri" w:eastAsia="Times New Roman" w:hAnsi="Calibri" w:cs="Arial"/>
                <w:sz w:val="20"/>
                <w:szCs w:val="20"/>
                <w:lang w:eastAsia="cs-CZ"/>
              </w:rPr>
            </w:pPr>
            <w:r w:rsidRPr="00256A12">
              <w:rPr>
                <w:rFonts w:ascii="Calibri" w:eastAsia="Times New Roman" w:hAnsi="Calibri" w:cs="Arial"/>
                <w:sz w:val="20"/>
                <w:szCs w:val="20"/>
                <w:lang w:eastAsia="cs-CZ"/>
              </w:rPr>
              <w:t>% plnění</w:t>
            </w:r>
          </w:p>
        </w:tc>
      </w:tr>
      <w:tr w:rsidR="00256A12" w:rsidRPr="00256A12" w14:paraId="2422AE18" w14:textId="77777777" w:rsidTr="00256A12">
        <w:trPr>
          <w:trHeight w:val="360"/>
        </w:trPr>
        <w:tc>
          <w:tcPr>
            <w:tcW w:w="826" w:type="dxa"/>
            <w:tcBorders>
              <w:top w:val="nil"/>
              <w:left w:val="nil"/>
              <w:bottom w:val="nil"/>
              <w:right w:val="nil"/>
            </w:tcBorders>
            <w:shd w:val="clear" w:color="000000" w:fill="FFFFFF"/>
            <w:noWrap/>
            <w:vAlign w:val="bottom"/>
            <w:hideMark/>
          </w:tcPr>
          <w:p w14:paraId="0AC250F6" w14:textId="77777777" w:rsidR="00256A12" w:rsidRPr="00256A12" w:rsidRDefault="00256A12" w:rsidP="00256A12">
            <w:pPr>
              <w:spacing w:after="0" w:line="240" w:lineRule="auto"/>
              <w:rPr>
                <w:rFonts w:ascii="Calibri" w:eastAsia="Times New Roman" w:hAnsi="Calibri" w:cs="Arial"/>
                <w:sz w:val="24"/>
                <w:szCs w:val="24"/>
                <w:lang w:eastAsia="cs-CZ"/>
              </w:rPr>
            </w:pPr>
            <w:r w:rsidRPr="00256A12">
              <w:rPr>
                <w:rFonts w:ascii="Calibri" w:eastAsia="Times New Roman" w:hAnsi="Calibri" w:cs="Arial"/>
                <w:sz w:val="24"/>
                <w:szCs w:val="24"/>
                <w:lang w:eastAsia="cs-CZ"/>
              </w:rPr>
              <w:t> </w:t>
            </w:r>
          </w:p>
        </w:tc>
        <w:tc>
          <w:tcPr>
            <w:tcW w:w="4109" w:type="dxa"/>
            <w:tcBorders>
              <w:top w:val="nil"/>
              <w:left w:val="nil"/>
              <w:bottom w:val="nil"/>
              <w:right w:val="nil"/>
            </w:tcBorders>
            <w:shd w:val="clear" w:color="000000" w:fill="FFFFFF"/>
            <w:noWrap/>
            <w:vAlign w:val="bottom"/>
            <w:hideMark/>
          </w:tcPr>
          <w:p w14:paraId="5BA8AA5C" w14:textId="77777777" w:rsidR="00256A12" w:rsidRPr="00256A12" w:rsidRDefault="00256A12" w:rsidP="00256A12">
            <w:pPr>
              <w:spacing w:after="0" w:line="240" w:lineRule="auto"/>
              <w:rPr>
                <w:rFonts w:ascii="Calibri" w:eastAsia="Times New Roman" w:hAnsi="Calibri" w:cs="Arial"/>
                <w:b/>
                <w:bCs/>
                <w:lang w:eastAsia="cs-CZ"/>
              </w:rPr>
            </w:pPr>
            <w:r w:rsidRPr="00256A12">
              <w:rPr>
                <w:rFonts w:ascii="Calibri" w:eastAsia="Times New Roman" w:hAnsi="Calibri" w:cs="Arial"/>
                <w:b/>
                <w:bCs/>
                <w:lang w:eastAsia="cs-CZ"/>
              </w:rPr>
              <w:t xml:space="preserve">Běžné výdaje </w:t>
            </w:r>
          </w:p>
        </w:tc>
        <w:tc>
          <w:tcPr>
            <w:tcW w:w="1302" w:type="dxa"/>
            <w:tcBorders>
              <w:top w:val="nil"/>
              <w:left w:val="nil"/>
              <w:bottom w:val="nil"/>
              <w:right w:val="nil"/>
            </w:tcBorders>
            <w:shd w:val="clear" w:color="000000" w:fill="FFFFFF"/>
            <w:noWrap/>
            <w:vAlign w:val="bottom"/>
            <w:hideMark/>
          </w:tcPr>
          <w:p w14:paraId="709C5FB7" w14:textId="77777777" w:rsidR="00256A12" w:rsidRPr="00256A12" w:rsidRDefault="00256A12" w:rsidP="00256A12">
            <w:pPr>
              <w:spacing w:after="0" w:line="240" w:lineRule="auto"/>
              <w:rPr>
                <w:rFonts w:ascii="Calibri" w:eastAsia="Times New Roman" w:hAnsi="Calibri" w:cs="Arial"/>
                <w:b/>
                <w:bCs/>
                <w:sz w:val="24"/>
                <w:szCs w:val="24"/>
                <w:lang w:eastAsia="cs-CZ"/>
              </w:rPr>
            </w:pPr>
            <w:r w:rsidRPr="00256A12">
              <w:rPr>
                <w:rFonts w:ascii="Calibri" w:eastAsia="Times New Roman" w:hAnsi="Calibri" w:cs="Arial"/>
                <w:b/>
                <w:bCs/>
                <w:sz w:val="24"/>
                <w:szCs w:val="24"/>
                <w:lang w:eastAsia="cs-CZ"/>
              </w:rPr>
              <w:t> </w:t>
            </w:r>
          </w:p>
        </w:tc>
        <w:tc>
          <w:tcPr>
            <w:tcW w:w="1418" w:type="dxa"/>
            <w:tcBorders>
              <w:top w:val="nil"/>
              <w:left w:val="nil"/>
              <w:bottom w:val="nil"/>
              <w:right w:val="nil"/>
            </w:tcBorders>
            <w:shd w:val="clear" w:color="000000" w:fill="FFFFFF"/>
            <w:noWrap/>
            <w:vAlign w:val="bottom"/>
            <w:hideMark/>
          </w:tcPr>
          <w:p w14:paraId="3A10D695" w14:textId="77777777" w:rsidR="00256A12" w:rsidRPr="00256A12" w:rsidRDefault="00256A12" w:rsidP="00256A12">
            <w:pPr>
              <w:spacing w:after="0" w:line="240" w:lineRule="auto"/>
              <w:rPr>
                <w:rFonts w:ascii="Calibri" w:eastAsia="Times New Roman" w:hAnsi="Calibri" w:cs="Arial"/>
                <w:b/>
                <w:bCs/>
                <w:sz w:val="24"/>
                <w:szCs w:val="24"/>
                <w:lang w:eastAsia="cs-CZ"/>
              </w:rPr>
            </w:pPr>
            <w:r w:rsidRPr="00256A12">
              <w:rPr>
                <w:rFonts w:ascii="Calibri" w:eastAsia="Times New Roman" w:hAnsi="Calibri" w:cs="Arial"/>
                <w:b/>
                <w:bCs/>
                <w:sz w:val="24"/>
                <w:szCs w:val="24"/>
                <w:lang w:eastAsia="cs-CZ"/>
              </w:rPr>
              <w:t> </w:t>
            </w:r>
          </w:p>
        </w:tc>
        <w:tc>
          <w:tcPr>
            <w:tcW w:w="1559" w:type="dxa"/>
            <w:tcBorders>
              <w:top w:val="nil"/>
              <w:left w:val="nil"/>
              <w:bottom w:val="nil"/>
              <w:right w:val="nil"/>
            </w:tcBorders>
            <w:shd w:val="clear" w:color="000000" w:fill="FFFFFF"/>
            <w:noWrap/>
            <w:vAlign w:val="bottom"/>
            <w:hideMark/>
          </w:tcPr>
          <w:p w14:paraId="3304E992" w14:textId="77777777" w:rsidR="00256A12" w:rsidRPr="00256A12" w:rsidRDefault="00256A12" w:rsidP="00256A12">
            <w:pPr>
              <w:spacing w:after="0" w:line="240" w:lineRule="auto"/>
              <w:rPr>
                <w:rFonts w:ascii="Calibri" w:eastAsia="Times New Roman" w:hAnsi="Calibri" w:cs="Arial"/>
                <w:b/>
                <w:bCs/>
                <w:sz w:val="24"/>
                <w:szCs w:val="24"/>
                <w:lang w:eastAsia="cs-CZ"/>
              </w:rPr>
            </w:pPr>
            <w:r w:rsidRPr="00256A12">
              <w:rPr>
                <w:rFonts w:ascii="Calibri" w:eastAsia="Times New Roman" w:hAnsi="Calibri" w:cs="Arial"/>
                <w:b/>
                <w:bCs/>
                <w:sz w:val="24"/>
                <w:szCs w:val="24"/>
                <w:lang w:eastAsia="cs-CZ"/>
              </w:rPr>
              <w:t> </w:t>
            </w:r>
          </w:p>
        </w:tc>
        <w:tc>
          <w:tcPr>
            <w:tcW w:w="714" w:type="dxa"/>
            <w:tcBorders>
              <w:top w:val="nil"/>
              <w:left w:val="nil"/>
              <w:bottom w:val="nil"/>
              <w:right w:val="nil"/>
            </w:tcBorders>
            <w:shd w:val="clear" w:color="000000" w:fill="FFFFFF"/>
            <w:noWrap/>
            <w:vAlign w:val="bottom"/>
            <w:hideMark/>
          </w:tcPr>
          <w:p w14:paraId="5E815EE7" w14:textId="77777777" w:rsidR="00256A12" w:rsidRPr="00256A12" w:rsidRDefault="00256A12" w:rsidP="00256A12">
            <w:pPr>
              <w:spacing w:after="0" w:line="240" w:lineRule="auto"/>
              <w:rPr>
                <w:rFonts w:ascii="Calibri" w:eastAsia="Times New Roman" w:hAnsi="Calibri" w:cs="Arial"/>
                <w:sz w:val="24"/>
                <w:szCs w:val="24"/>
                <w:lang w:eastAsia="cs-CZ"/>
              </w:rPr>
            </w:pPr>
            <w:r w:rsidRPr="00256A12">
              <w:rPr>
                <w:rFonts w:ascii="Calibri" w:eastAsia="Times New Roman" w:hAnsi="Calibri" w:cs="Arial"/>
                <w:sz w:val="24"/>
                <w:szCs w:val="24"/>
                <w:lang w:eastAsia="cs-CZ"/>
              </w:rPr>
              <w:t> </w:t>
            </w:r>
          </w:p>
        </w:tc>
      </w:tr>
      <w:tr w:rsidR="00256A12" w:rsidRPr="00256A12" w14:paraId="5DCF3D8E" w14:textId="77777777" w:rsidTr="00256A12">
        <w:trPr>
          <w:trHeight w:val="300"/>
        </w:trPr>
        <w:tc>
          <w:tcPr>
            <w:tcW w:w="826" w:type="dxa"/>
            <w:tcBorders>
              <w:top w:val="single" w:sz="8" w:space="0" w:color="auto"/>
              <w:left w:val="single" w:sz="8" w:space="0" w:color="auto"/>
              <w:bottom w:val="single" w:sz="4" w:space="0" w:color="auto"/>
              <w:right w:val="single" w:sz="4" w:space="0" w:color="auto"/>
            </w:tcBorders>
            <w:shd w:val="clear" w:color="000000" w:fill="FFFFFF"/>
            <w:noWrap/>
            <w:vAlign w:val="bottom"/>
            <w:hideMark/>
          </w:tcPr>
          <w:p w14:paraId="617D90F4" w14:textId="77777777" w:rsidR="00256A12" w:rsidRPr="00256A12" w:rsidRDefault="00256A12" w:rsidP="00256A12">
            <w:pPr>
              <w:spacing w:after="0" w:line="240" w:lineRule="auto"/>
              <w:jc w:val="center"/>
              <w:rPr>
                <w:rFonts w:ascii="Calibri" w:eastAsia="Times New Roman" w:hAnsi="Calibri" w:cs="Arial"/>
                <w:sz w:val="20"/>
                <w:szCs w:val="20"/>
                <w:lang w:eastAsia="cs-CZ"/>
              </w:rPr>
            </w:pPr>
            <w:r w:rsidRPr="00256A12">
              <w:rPr>
                <w:rFonts w:ascii="Calibri" w:eastAsia="Times New Roman" w:hAnsi="Calibri" w:cs="Arial"/>
                <w:sz w:val="20"/>
                <w:szCs w:val="20"/>
                <w:lang w:eastAsia="cs-CZ"/>
              </w:rPr>
              <w:t>2143</w:t>
            </w:r>
          </w:p>
        </w:tc>
        <w:tc>
          <w:tcPr>
            <w:tcW w:w="4109" w:type="dxa"/>
            <w:tcBorders>
              <w:top w:val="single" w:sz="8" w:space="0" w:color="auto"/>
              <w:left w:val="nil"/>
              <w:bottom w:val="nil"/>
              <w:right w:val="single" w:sz="4" w:space="0" w:color="auto"/>
            </w:tcBorders>
            <w:shd w:val="clear" w:color="000000" w:fill="FFFFFF"/>
            <w:vAlign w:val="bottom"/>
            <w:hideMark/>
          </w:tcPr>
          <w:p w14:paraId="292ED05C" w14:textId="77777777" w:rsidR="00256A12" w:rsidRPr="00256A12" w:rsidRDefault="00256A12" w:rsidP="00256A12">
            <w:pPr>
              <w:spacing w:after="0" w:line="240" w:lineRule="auto"/>
              <w:rPr>
                <w:rFonts w:ascii="Calibri" w:eastAsia="Times New Roman" w:hAnsi="Calibri" w:cs="Arial"/>
                <w:sz w:val="20"/>
                <w:szCs w:val="20"/>
                <w:lang w:eastAsia="cs-CZ"/>
              </w:rPr>
            </w:pPr>
            <w:r w:rsidRPr="00256A12">
              <w:rPr>
                <w:rFonts w:ascii="Calibri" w:eastAsia="Times New Roman" w:hAnsi="Calibri" w:cs="Arial"/>
                <w:sz w:val="20"/>
                <w:szCs w:val="20"/>
                <w:lang w:eastAsia="cs-CZ"/>
              </w:rPr>
              <w:t xml:space="preserve">Podpora cestovního ruchu, regionálních/lokálních akcí </w:t>
            </w:r>
          </w:p>
        </w:tc>
        <w:tc>
          <w:tcPr>
            <w:tcW w:w="1302" w:type="dxa"/>
            <w:tcBorders>
              <w:top w:val="single" w:sz="8" w:space="0" w:color="auto"/>
              <w:left w:val="nil"/>
              <w:bottom w:val="single" w:sz="4" w:space="0" w:color="auto"/>
              <w:right w:val="single" w:sz="4" w:space="0" w:color="auto"/>
            </w:tcBorders>
            <w:shd w:val="clear" w:color="000000" w:fill="FFFFFF"/>
            <w:noWrap/>
            <w:vAlign w:val="bottom"/>
            <w:hideMark/>
          </w:tcPr>
          <w:p w14:paraId="03FC2C99"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16 930 000</w:t>
            </w:r>
          </w:p>
        </w:tc>
        <w:tc>
          <w:tcPr>
            <w:tcW w:w="1418" w:type="dxa"/>
            <w:tcBorders>
              <w:top w:val="single" w:sz="8" w:space="0" w:color="auto"/>
              <w:left w:val="nil"/>
              <w:bottom w:val="single" w:sz="4" w:space="0" w:color="auto"/>
              <w:right w:val="single" w:sz="4" w:space="0" w:color="auto"/>
            </w:tcBorders>
            <w:shd w:val="clear" w:color="000000" w:fill="FFFFFF"/>
            <w:noWrap/>
            <w:vAlign w:val="bottom"/>
            <w:hideMark/>
          </w:tcPr>
          <w:p w14:paraId="7C478E85"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2 232 400,00</w:t>
            </w:r>
          </w:p>
        </w:tc>
        <w:tc>
          <w:tcPr>
            <w:tcW w:w="1559" w:type="dxa"/>
            <w:tcBorders>
              <w:top w:val="single" w:sz="8" w:space="0" w:color="auto"/>
              <w:left w:val="nil"/>
              <w:bottom w:val="single" w:sz="4" w:space="0" w:color="auto"/>
              <w:right w:val="single" w:sz="4" w:space="0" w:color="auto"/>
            </w:tcBorders>
            <w:shd w:val="clear" w:color="000000" w:fill="FFFFFF"/>
            <w:noWrap/>
            <w:vAlign w:val="bottom"/>
            <w:hideMark/>
          </w:tcPr>
          <w:p w14:paraId="60337335"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2 232 400,00</w:t>
            </w:r>
          </w:p>
        </w:tc>
        <w:tc>
          <w:tcPr>
            <w:tcW w:w="714" w:type="dxa"/>
            <w:tcBorders>
              <w:top w:val="single" w:sz="8" w:space="0" w:color="auto"/>
              <w:left w:val="nil"/>
              <w:bottom w:val="single" w:sz="4" w:space="0" w:color="auto"/>
              <w:right w:val="single" w:sz="8" w:space="0" w:color="auto"/>
            </w:tcBorders>
            <w:shd w:val="clear" w:color="000000" w:fill="FFFFFF"/>
            <w:noWrap/>
            <w:vAlign w:val="bottom"/>
            <w:hideMark/>
          </w:tcPr>
          <w:p w14:paraId="30D7B1DD"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100,0</w:t>
            </w:r>
          </w:p>
        </w:tc>
      </w:tr>
      <w:tr w:rsidR="00256A12" w:rsidRPr="00256A12" w14:paraId="15167FCD" w14:textId="77777777" w:rsidTr="00256A12">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72795B5B" w14:textId="77777777" w:rsidR="00256A12" w:rsidRPr="00256A12" w:rsidRDefault="00256A12" w:rsidP="00256A12">
            <w:pPr>
              <w:spacing w:after="0" w:line="240" w:lineRule="auto"/>
              <w:jc w:val="center"/>
              <w:rPr>
                <w:rFonts w:ascii="Calibri" w:eastAsia="Times New Roman" w:hAnsi="Calibri" w:cs="Arial"/>
                <w:sz w:val="20"/>
                <w:szCs w:val="20"/>
                <w:lang w:eastAsia="cs-CZ"/>
              </w:rPr>
            </w:pPr>
            <w:r w:rsidRPr="00256A12">
              <w:rPr>
                <w:rFonts w:ascii="Calibri" w:eastAsia="Times New Roman" w:hAnsi="Calibri" w:cs="Arial"/>
                <w:sz w:val="20"/>
                <w:szCs w:val="20"/>
                <w:lang w:eastAsia="cs-CZ"/>
              </w:rPr>
              <w:t>2143</w:t>
            </w:r>
          </w:p>
        </w:tc>
        <w:tc>
          <w:tcPr>
            <w:tcW w:w="4109" w:type="dxa"/>
            <w:tcBorders>
              <w:top w:val="single" w:sz="4" w:space="0" w:color="auto"/>
              <w:left w:val="nil"/>
              <w:bottom w:val="single" w:sz="4" w:space="0" w:color="auto"/>
              <w:right w:val="single" w:sz="4" w:space="0" w:color="auto"/>
            </w:tcBorders>
            <w:shd w:val="clear" w:color="000000" w:fill="FFFFFF"/>
            <w:vAlign w:val="bottom"/>
            <w:hideMark/>
          </w:tcPr>
          <w:p w14:paraId="34B2AC0B" w14:textId="77777777" w:rsidR="00256A12" w:rsidRPr="00256A12" w:rsidRDefault="00256A12" w:rsidP="00256A12">
            <w:pPr>
              <w:spacing w:after="0" w:line="240" w:lineRule="auto"/>
              <w:rPr>
                <w:rFonts w:ascii="Calibri" w:eastAsia="Times New Roman" w:hAnsi="Calibri" w:cs="Arial"/>
                <w:sz w:val="20"/>
                <w:szCs w:val="20"/>
                <w:lang w:eastAsia="cs-CZ"/>
              </w:rPr>
            </w:pPr>
            <w:r w:rsidRPr="00256A12">
              <w:rPr>
                <w:rFonts w:ascii="Calibri" w:eastAsia="Times New Roman" w:hAnsi="Calibri" w:cs="Arial"/>
                <w:sz w:val="20"/>
                <w:szCs w:val="20"/>
                <w:lang w:eastAsia="cs-CZ"/>
              </w:rPr>
              <w:t>Příprava a udržitelnost projektů regionálního rozvoje</w:t>
            </w:r>
          </w:p>
        </w:tc>
        <w:tc>
          <w:tcPr>
            <w:tcW w:w="1302" w:type="dxa"/>
            <w:tcBorders>
              <w:top w:val="nil"/>
              <w:left w:val="nil"/>
              <w:bottom w:val="single" w:sz="4" w:space="0" w:color="auto"/>
              <w:right w:val="single" w:sz="4" w:space="0" w:color="auto"/>
            </w:tcBorders>
            <w:shd w:val="clear" w:color="000000" w:fill="FFFFFF"/>
            <w:noWrap/>
            <w:vAlign w:val="bottom"/>
            <w:hideMark/>
          </w:tcPr>
          <w:p w14:paraId="457EF0BF"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1 500 000</w:t>
            </w:r>
          </w:p>
        </w:tc>
        <w:tc>
          <w:tcPr>
            <w:tcW w:w="1418" w:type="dxa"/>
            <w:tcBorders>
              <w:top w:val="nil"/>
              <w:left w:val="nil"/>
              <w:bottom w:val="single" w:sz="4" w:space="0" w:color="auto"/>
              <w:right w:val="single" w:sz="4" w:space="0" w:color="auto"/>
            </w:tcBorders>
            <w:shd w:val="clear" w:color="000000" w:fill="FFFFFF"/>
            <w:noWrap/>
            <w:vAlign w:val="bottom"/>
            <w:hideMark/>
          </w:tcPr>
          <w:p w14:paraId="31E6A58E"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2 397 510,45</w:t>
            </w:r>
          </w:p>
        </w:tc>
        <w:tc>
          <w:tcPr>
            <w:tcW w:w="1559" w:type="dxa"/>
            <w:tcBorders>
              <w:top w:val="nil"/>
              <w:left w:val="nil"/>
              <w:bottom w:val="single" w:sz="4" w:space="0" w:color="auto"/>
              <w:right w:val="single" w:sz="4" w:space="0" w:color="auto"/>
            </w:tcBorders>
            <w:shd w:val="clear" w:color="000000" w:fill="FFFFFF"/>
            <w:noWrap/>
            <w:vAlign w:val="bottom"/>
            <w:hideMark/>
          </w:tcPr>
          <w:p w14:paraId="786A0E13"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1 037 533,62</w:t>
            </w:r>
          </w:p>
        </w:tc>
        <w:tc>
          <w:tcPr>
            <w:tcW w:w="714" w:type="dxa"/>
            <w:tcBorders>
              <w:top w:val="nil"/>
              <w:left w:val="nil"/>
              <w:bottom w:val="single" w:sz="4" w:space="0" w:color="auto"/>
              <w:right w:val="single" w:sz="8" w:space="0" w:color="auto"/>
            </w:tcBorders>
            <w:shd w:val="clear" w:color="000000" w:fill="FFFFFF"/>
            <w:noWrap/>
            <w:vAlign w:val="bottom"/>
            <w:hideMark/>
          </w:tcPr>
          <w:p w14:paraId="17AAF8C6"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43,3</w:t>
            </w:r>
          </w:p>
        </w:tc>
      </w:tr>
      <w:tr w:rsidR="00256A12" w:rsidRPr="00256A12" w14:paraId="367CB853" w14:textId="77777777" w:rsidTr="00256A12">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1B3193F9" w14:textId="77777777" w:rsidR="00256A12" w:rsidRPr="00256A12" w:rsidRDefault="00256A12" w:rsidP="00256A12">
            <w:pPr>
              <w:spacing w:after="0" w:line="240" w:lineRule="auto"/>
              <w:jc w:val="center"/>
              <w:rPr>
                <w:rFonts w:ascii="Calibri" w:eastAsia="Times New Roman" w:hAnsi="Calibri" w:cs="Arial"/>
                <w:sz w:val="20"/>
                <w:szCs w:val="20"/>
                <w:lang w:eastAsia="cs-CZ"/>
              </w:rPr>
            </w:pPr>
            <w:r w:rsidRPr="00256A12">
              <w:rPr>
                <w:rFonts w:ascii="Calibri" w:eastAsia="Times New Roman" w:hAnsi="Calibri" w:cs="Arial"/>
                <w:sz w:val="20"/>
                <w:szCs w:val="20"/>
                <w:lang w:eastAsia="cs-CZ"/>
              </w:rPr>
              <w:t>2143</w:t>
            </w:r>
          </w:p>
        </w:tc>
        <w:tc>
          <w:tcPr>
            <w:tcW w:w="4109" w:type="dxa"/>
            <w:tcBorders>
              <w:top w:val="nil"/>
              <w:left w:val="nil"/>
              <w:bottom w:val="single" w:sz="4" w:space="0" w:color="auto"/>
              <w:right w:val="single" w:sz="4" w:space="0" w:color="auto"/>
            </w:tcBorders>
            <w:shd w:val="clear" w:color="000000" w:fill="FFFFFF"/>
            <w:vAlign w:val="bottom"/>
            <w:hideMark/>
          </w:tcPr>
          <w:p w14:paraId="58066949" w14:textId="77777777" w:rsidR="00256A12" w:rsidRPr="00256A12" w:rsidRDefault="00256A12" w:rsidP="00256A12">
            <w:pPr>
              <w:spacing w:after="0" w:line="240" w:lineRule="auto"/>
              <w:rPr>
                <w:rFonts w:ascii="Calibri" w:eastAsia="Times New Roman" w:hAnsi="Calibri" w:cs="Arial"/>
                <w:sz w:val="20"/>
                <w:szCs w:val="20"/>
                <w:lang w:eastAsia="cs-CZ"/>
              </w:rPr>
            </w:pPr>
            <w:r w:rsidRPr="00256A12">
              <w:rPr>
                <w:rFonts w:ascii="Calibri" w:eastAsia="Times New Roman" w:hAnsi="Calibri" w:cs="Arial"/>
                <w:sz w:val="20"/>
                <w:szCs w:val="20"/>
                <w:lang w:eastAsia="cs-CZ"/>
              </w:rPr>
              <w:t>Strategické dokumenty</w:t>
            </w:r>
          </w:p>
        </w:tc>
        <w:tc>
          <w:tcPr>
            <w:tcW w:w="1302" w:type="dxa"/>
            <w:tcBorders>
              <w:top w:val="nil"/>
              <w:left w:val="nil"/>
              <w:bottom w:val="single" w:sz="4" w:space="0" w:color="auto"/>
              <w:right w:val="single" w:sz="4" w:space="0" w:color="auto"/>
            </w:tcBorders>
            <w:shd w:val="clear" w:color="000000" w:fill="FFFFFF"/>
            <w:noWrap/>
            <w:vAlign w:val="bottom"/>
            <w:hideMark/>
          </w:tcPr>
          <w:p w14:paraId="0901E758"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1 500 000</w:t>
            </w:r>
          </w:p>
        </w:tc>
        <w:tc>
          <w:tcPr>
            <w:tcW w:w="1418" w:type="dxa"/>
            <w:tcBorders>
              <w:top w:val="nil"/>
              <w:left w:val="nil"/>
              <w:bottom w:val="single" w:sz="4" w:space="0" w:color="auto"/>
              <w:right w:val="single" w:sz="4" w:space="0" w:color="auto"/>
            </w:tcBorders>
            <w:shd w:val="clear" w:color="000000" w:fill="FFFFFF"/>
            <w:noWrap/>
            <w:vAlign w:val="bottom"/>
            <w:hideMark/>
          </w:tcPr>
          <w:p w14:paraId="2914DBEF"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1 500 000,00</w:t>
            </w:r>
          </w:p>
        </w:tc>
        <w:tc>
          <w:tcPr>
            <w:tcW w:w="1559" w:type="dxa"/>
            <w:tcBorders>
              <w:top w:val="nil"/>
              <w:left w:val="nil"/>
              <w:bottom w:val="single" w:sz="4" w:space="0" w:color="auto"/>
              <w:right w:val="single" w:sz="4" w:space="0" w:color="auto"/>
            </w:tcBorders>
            <w:shd w:val="clear" w:color="000000" w:fill="FFFFFF"/>
            <w:noWrap/>
            <w:vAlign w:val="bottom"/>
            <w:hideMark/>
          </w:tcPr>
          <w:p w14:paraId="204625CF"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0,00</w:t>
            </w:r>
          </w:p>
        </w:tc>
        <w:tc>
          <w:tcPr>
            <w:tcW w:w="714" w:type="dxa"/>
            <w:tcBorders>
              <w:top w:val="nil"/>
              <w:left w:val="nil"/>
              <w:bottom w:val="single" w:sz="4" w:space="0" w:color="auto"/>
              <w:right w:val="single" w:sz="8" w:space="0" w:color="auto"/>
            </w:tcBorders>
            <w:shd w:val="clear" w:color="000000" w:fill="FFFFFF"/>
            <w:noWrap/>
            <w:vAlign w:val="bottom"/>
            <w:hideMark/>
          </w:tcPr>
          <w:p w14:paraId="3E2542B4"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0,0</w:t>
            </w:r>
          </w:p>
        </w:tc>
      </w:tr>
      <w:tr w:rsidR="00256A12" w:rsidRPr="00256A12" w14:paraId="17ECC2B4" w14:textId="77777777" w:rsidTr="00256A12">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69B8262F" w14:textId="77777777" w:rsidR="00256A12" w:rsidRPr="00256A12" w:rsidRDefault="00256A12" w:rsidP="00256A12">
            <w:pPr>
              <w:spacing w:after="0" w:line="240" w:lineRule="auto"/>
              <w:jc w:val="center"/>
              <w:rPr>
                <w:rFonts w:ascii="Calibri" w:eastAsia="Times New Roman" w:hAnsi="Calibri" w:cs="Arial"/>
                <w:sz w:val="20"/>
                <w:szCs w:val="20"/>
                <w:lang w:eastAsia="cs-CZ"/>
              </w:rPr>
            </w:pPr>
            <w:r w:rsidRPr="00256A12">
              <w:rPr>
                <w:rFonts w:ascii="Calibri" w:eastAsia="Times New Roman" w:hAnsi="Calibri" w:cs="Arial"/>
                <w:sz w:val="20"/>
                <w:szCs w:val="20"/>
                <w:lang w:eastAsia="cs-CZ"/>
              </w:rPr>
              <w:t>2143</w:t>
            </w:r>
          </w:p>
        </w:tc>
        <w:tc>
          <w:tcPr>
            <w:tcW w:w="4109" w:type="dxa"/>
            <w:tcBorders>
              <w:top w:val="nil"/>
              <w:left w:val="nil"/>
              <w:bottom w:val="single" w:sz="4" w:space="0" w:color="auto"/>
              <w:right w:val="single" w:sz="4" w:space="0" w:color="auto"/>
            </w:tcBorders>
            <w:shd w:val="clear" w:color="000000" w:fill="FFFFFF"/>
            <w:vAlign w:val="bottom"/>
            <w:hideMark/>
          </w:tcPr>
          <w:p w14:paraId="589DD7B4" w14:textId="77777777" w:rsidR="00256A12" w:rsidRPr="00256A12" w:rsidRDefault="00256A12" w:rsidP="00256A12">
            <w:pPr>
              <w:spacing w:after="0" w:line="240" w:lineRule="auto"/>
              <w:rPr>
                <w:rFonts w:ascii="Calibri" w:eastAsia="Times New Roman" w:hAnsi="Calibri" w:cs="Arial"/>
                <w:sz w:val="20"/>
                <w:szCs w:val="20"/>
                <w:lang w:eastAsia="cs-CZ"/>
              </w:rPr>
            </w:pPr>
            <w:r w:rsidRPr="00256A12">
              <w:rPr>
                <w:rFonts w:ascii="Calibri" w:eastAsia="Times New Roman" w:hAnsi="Calibri" w:cs="Arial"/>
                <w:sz w:val="20"/>
                <w:szCs w:val="20"/>
                <w:lang w:eastAsia="cs-CZ"/>
              </w:rPr>
              <w:t xml:space="preserve">Místní akční skupiny </w:t>
            </w:r>
          </w:p>
        </w:tc>
        <w:tc>
          <w:tcPr>
            <w:tcW w:w="1302" w:type="dxa"/>
            <w:tcBorders>
              <w:top w:val="nil"/>
              <w:left w:val="nil"/>
              <w:bottom w:val="single" w:sz="4" w:space="0" w:color="auto"/>
              <w:right w:val="single" w:sz="4" w:space="0" w:color="auto"/>
            </w:tcBorders>
            <w:shd w:val="clear" w:color="000000" w:fill="FFFFFF"/>
            <w:noWrap/>
            <w:vAlign w:val="bottom"/>
            <w:hideMark/>
          </w:tcPr>
          <w:p w14:paraId="3A68ED2E"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1 500 000</w:t>
            </w:r>
          </w:p>
        </w:tc>
        <w:tc>
          <w:tcPr>
            <w:tcW w:w="1418" w:type="dxa"/>
            <w:tcBorders>
              <w:top w:val="nil"/>
              <w:left w:val="nil"/>
              <w:bottom w:val="single" w:sz="4" w:space="0" w:color="auto"/>
              <w:right w:val="single" w:sz="4" w:space="0" w:color="auto"/>
            </w:tcBorders>
            <w:shd w:val="clear" w:color="000000" w:fill="FFFFFF"/>
            <w:noWrap/>
            <w:vAlign w:val="bottom"/>
            <w:hideMark/>
          </w:tcPr>
          <w:p w14:paraId="665FE0EA"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1 500 000,00</w:t>
            </w:r>
          </w:p>
        </w:tc>
        <w:tc>
          <w:tcPr>
            <w:tcW w:w="1559" w:type="dxa"/>
            <w:tcBorders>
              <w:top w:val="nil"/>
              <w:left w:val="nil"/>
              <w:bottom w:val="single" w:sz="4" w:space="0" w:color="auto"/>
              <w:right w:val="single" w:sz="4" w:space="0" w:color="auto"/>
            </w:tcBorders>
            <w:shd w:val="clear" w:color="000000" w:fill="FFFFFF"/>
            <w:noWrap/>
            <w:vAlign w:val="bottom"/>
            <w:hideMark/>
          </w:tcPr>
          <w:p w14:paraId="07445DBC"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1 500 000,00</w:t>
            </w:r>
          </w:p>
        </w:tc>
        <w:tc>
          <w:tcPr>
            <w:tcW w:w="714" w:type="dxa"/>
            <w:tcBorders>
              <w:top w:val="nil"/>
              <w:left w:val="nil"/>
              <w:bottom w:val="single" w:sz="4" w:space="0" w:color="auto"/>
              <w:right w:val="single" w:sz="8" w:space="0" w:color="auto"/>
            </w:tcBorders>
            <w:shd w:val="clear" w:color="000000" w:fill="FFFFFF"/>
            <w:noWrap/>
            <w:vAlign w:val="bottom"/>
            <w:hideMark/>
          </w:tcPr>
          <w:p w14:paraId="64CC97E9"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100,0</w:t>
            </w:r>
          </w:p>
        </w:tc>
      </w:tr>
      <w:tr w:rsidR="00256A12" w:rsidRPr="00256A12" w14:paraId="2185AB97" w14:textId="77777777" w:rsidTr="00256A12">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70F62CEF" w14:textId="77777777" w:rsidR="00256A12" w:rsidRPr="00256A12" w:rsidRDefault="00256A12" w:rsidP="00256A12">
            <w:pPr>
              <w:spacing w:after="0" w:line="240" w:lineRule="auto"/>
              <w:jc w:val="center"/>
              <w:rPr>
                <w:rFonts w:ascii="Calibri" w:eastAsia="Times New Roman" w:hAnsi="Calibri" w:cs="Arial"/>
                <w:sz w:val="20"/>
                <w:szCs w:val="20"/>
                <w:lang w:eastAsia="cs-CZ"/>
              </w:rPr>
            </w:pPr>
            <w:r w:rsidRPr="00256A12">
              <w:rPr>
                <w:rFonts w:ascii="Calibri" w:eastAsia="Times New Roman" w:hAnsi="Calibri" w:cs="Arial"/>
                <w:sz w:val="20"/>
                <w:szCs w:val="20"/>
                <w:lang w:eastAsia="cs-CZ"/>
              </w:rPr>
              <w:t>2143</w:t>
            </w:r>
          </w:p>
        </w:tc>
        <w:tc>
          <w:tcPr>
            <w:tcW w:w="4109" w:type="dxa"/>
            <w:tcBorders>
              <w:top w:val="nil"/>
              <w:left w:val="nil"/>
              <w:bottom w:val="single" w:sz="4" w:space="0" w:color="auto"/>
              <w:right w:val="single" w:sz="4" w:space="0" w:color="auto"/>
            </w:tcBorders>
            <w:shd w:val="clear" w:color="000000" w:fill="FFFFFF"/>
            <w:vAlign w:val="bottom"/>
            <w:hideMark/>
          </w:tcPr>
          <w:p w14:paraId="2F26B9D9" w14:textId="77777777" w:rsidR="00256A12" w:rsidRPr="00256A12" w:rsidRDefault="00256A12" w:rsidP="00256A12">
            <w:pPr>
              <w:spacing w:after="0" w:line="240" w:lineRule="auto"/>
              <w:rPr>
                <w:rFonts w:ascii="Calibri" w:eastAsia="Times New Roman" w:hAnsi="Calibri" w:cs="Arial"/>
                <w:sz w:val="20"/>
                <w:szCs w:val="20"/>
                <w:lang w:eastAsia="cs-CZ"/>
              </w:rPr>
            </w:pPr>
            <w:r w:rsidRPr="00256A12">
              <w:rPr>
                <w:rFonts w:ascii="Calibri" w:eastAsia="Times New Roman" w:hAnsi="Calibri" w:cs="Arial"/>
                <w:sz w:val="20"/>
                <w:szCs w:val="20"/>
                <w:lang w:eastAsia="cs-CZ"/>
              </w:rPr>
              <w:t>Klub českých turistů</w:t>
            </w:r>
          </w:p>
        </w:tc>
        <w:tc>
          <w:tcPr>
            <w:tcW w:w="1302" w:type="dxa"/>
            <w:tcBorders>
              <w:top w:val="nil"/>
              <w:left w:val="nil"/>
              <w:bottom w:val="single" w:sz="4" w:space="0" w:color="auto"/>
              <w:right w:val="single" w:sz="4" w:space="0" w:color="auto"/>
            </w:tcBorders>
            <w:shd w:val="clear" w:color="000000" w:fill="FFFFFF"/>
            <w:noWrap/>
            <w:vAlign w:val="bottom"/>
            <w:hideMark/>
          </w:tcPr>
          <w:p w14:paraId="7BB47865"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700 000</w:t>
            </w:r>
          </w:p>
        </w:tc>
        <w:tc>
          <w:tcPr>
            <w:tcW w:w="1418" w:type="dxa"/>
            <w:tcBorders>
              <w:top w:val="nil"/>
              <w:left w:val="nil"/>
              <w:bottom w:val="single" w:sz="4" w:space="0" w:color="auto"/>
              <w:right w:val="single" w:sz="4" w:space="0" w:color="auto"/>
            </w:tcBorders>
            <w:shd w:val="clear" w:color="000000" w:fill="FFFFFF"/>
            <w:noWrap/>
            <w:vAlign w:val="bottom"/>
            <w:hideMark/>
          </w:tcPr>
          <w:p w14:paraId="557BAE3B"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600 000,00</w:t>
            </w:r>
          </w:p>
        </w:tc>
        <w:tc>
          <w:tcPr>
            <w:tcW w:w="1559" w:type="dxa"/>
            <w:tcBorders>
              <w:top w:val="nil"/>
              <w:left w:val="nil"/>
              <w:bottom w:val="single" w:sz="4" w:space="0" w:color="auto"/>
              <w:right w:val="single" w:sz="4" w:space="0" w:color="auto"/>
            </w:tcBorders>
            <w:shd w:val="clear" w:color="000000" w:fill="FFFFFF"/>
            <w:noWrap/>
            <w:vAlign w:val="bottom"/>
            <w:hideMark/>
          </w:tcPr>
          <w:p w14:paraId="04D7EAE0"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600 000,00</w:t>
            </w:r>
          </w:p>
        </w:tc>
        <w:tc>
          <w:tcPr>
            <w:tcW w:w="714" w:type="dxa"/>
            <w:tcBorders>
              <w:top w:val="nil"/>
              <w:left w:val="nil"/>
              <w:bottom w:val="single" w:sz="4" w:space="0" w:color="auto"/>
              <w:right w:val="single" w:sz="8" w:space="0" w:color="auto"/>
            </w:tcBorders>
            <w:shd w:val="clear" w:color="000000" w:fill="FFFFFF"/>
            <w:noWrap/>
            <w:vAlign w:val="bottom"/>
            <w:hideMark/>
          </w:tcPr>
          <w:p w14:paraId="6A5A33E4"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100,0</w:t>
            </w:r>
          </w:p>
        </w:tc>
      </w:tr>
      <w:tr w:rsidR="00256A12" w:rsidRPr="00256A12" w14:paraId="5EDA9290" w14:textId="77777777" w:rsidTr="00256A12">
        <w:trPr>
          <w:trHeight w:val="52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201479B4" w14:textId="77777777" w:rsidR="00256A12" w:rsidRPr="00256A12" w:rsidRDefault="00256A12" w:rsidP="00256A12">
            <w:pPr>
              <w:spacing w:after="0" w:line="240" w:lineRule="auto"/>
              <w:jc w:val="center"/>
              <w:rPr>
                <w:rFonts w:ascii="Calibri" w:eastAsia="Times New Roman" w:hAnsi="Calibri" w:cs="Arial"/>
                <w:sz w:val="20"/>
                <w:szCs w:val="20"/>
                <w:lang w:eastAsia="cs-CZ"/>
              </w:rPr>
            </w:pPr>
            <w:r w:rsidRPr="00256A12">
              <w:rPr>
                <w:rFonts w:ascii="Calibri" w:eastAsia="Times New Roman" w:hAnsi="Calibri" w:cs="Arial"/>
                <w:sz w:val="20"/>
                <w:szCs w:val="20"/>
                <w:lang w:eastAsia="cs-CZ"/>
              </w:rPr>
              <w:t>2143</w:t>
            </w:r>
          </w:p>
        </w:tc>
        <w:tc>
          <w:tcPr>
            <w:tcW w:w="4109" w:type="dxa"/>
            <w:tcBorders>
              <w:top w:val="nil"/>
              <w:left w:val="nil"/>
              <w:bottom w:val="single" w:sz="4" w:space="0" w:color="auto"/>
              <w:right w:val="single" w:sz="4" w:space="0" w:color="auto"/>
            </w:tcBorders>
            <w:shd w:val="clear" w:color="000000" w:fill="FFFFFF"/>
            <w:vAlign w:val="bottom"/>
            <w:hideMark/>
          </w:tcPr>
          <w:p w14:paraId="4C8DAA8F" w14:textId="77777777" w:rsidR="00256A12" w:rsidRPr="00256A12" w:rsidRDefault="00256A12" w:rsidP="00256A12">
            <w:pPr>
              <w:spacing w:after="0" w:line="240" w:lineRule="auto"/>
              <w:rPr>
                <w:rFonts w:ascii="Calibri" w:eastAsia="Times New Roman" w:hAnsi="Calibri" w:cs="Arial"/>
                <w:sz w:val="20"/>
                <w:szCs w:val="20"/>
                <w:lang w:eastAsia="cs-CZ"/>
              </w:rPr>
            </w:pPr>
            <w:r w:rsidRPr="00256A12">
              <w:rPr>
                <w:rFonts w:ascii="Calibri" w:eastAsia="Times New Roman" w:hAnsi="Calibri" w:cs="Arial"/>
                <w:sz w:val="20"/>
                <w:szCs w:val="20"/>
                <w:lang w:eastAsia="cs-CZ"/>
              </w:rPr>
              <w:t>Cestovní ruch - příspěvek příspěvkové organizaci Středočeská centrála cestovního ruchu</w:t>
            </w:r>
          </w:p>
        </w:tc>
        <w:tc>
          <w:tcPr>
            <w:tcW w:w="1302" w:type="dxa"/>
            <w:tcBorders>
              <w:top w:val="nil"/>
              <w:left w:val="nil"/>
              <w:bottom w:val="single" w:sz="4" w:space="0" w:color="auto"/>
              <w:right w:val="single" w:sz="4" w:space="0" w:color="auto"/>
            </w:tcBorders>
            <w:shd w:val="clear" w:color="000000" w:fill="FFFFFF"/>
            <w:noWrap/>
            <w:vAlign w:val="bottom"/>
            <w:hideMark/>
          </w:tcPr>
          <w:p w14:paraId="71D50451"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49 530 000</w:t>
            </w:r>
          </w:p>
        </w:tc>
        <w:tc>
          <w:tcPr>
            <w:tcW w:w="1418" w:type="dxa"/>
            <w:tcBorders>
              <w:top w:val="nil"/>
              <w:left w:val="nil"/>
              <w:bottom w:val="single" w:sz="4" w:space="0" w:color="auto"/>
              <w:right w:val="single" w:sz="4" w:space="0" w:color="auto"/>
            </w:tcBorders>
            <w:shd w:val="clear" w:color="000000" w:fill="FFFFFF"/>
            <w:noWrap/>
            <w:vAlign w:val="bottom"/>
            <w:hideMark/>
          </w:tcPr>
          <w:p w14:paraId="14138580"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10 156 157,00</w:t>
            </w:r>
          </w:p>
        </w:tc>
        <w:tc>
          <w:tcPr>
            <w:tcW w:w="1559" w:type="dxa"/>
            <w:tcBorders>
              <w:top w:val="nil"/>
              <w:left w:val="nil"/>
              <w:bottom w:val="single" w:sz="4" w:space="0" w:color="auto"/>
              <w:right w:val="single" w:sz="4" w:space="0" w:color="auto"/>
            </w:tcBorders>
            <w:shd w:val="clear" w:color="000000" w:fill="FFFFFF"/>
            <w:noWrap/>
            <w:vAlign w:val="bottom"/>
            <w:hideMark/>
          </w:tcPr>
          <w:p w14:paraId="4BF52C88"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10 156 157,00</w:t>
            </w:r>
          </w:p>
        </w:tc>
        <w:tc>
          <w:tcPr>
            <w:tcW w:w="714" w:type="dxa"/>
            <w:tcBorders>
              <w:top w:val="nil"/>
              <w:left w:val="nil"/>
              <w:bottom w:val="single" w:sz="4" w:space="0" w:color="auto"/>
              <w:right w:val="single" w:sz="8" w:space="0" w:color="auto"/>
            </w:tcBorders>
            <w:shd w:val="clear" w:color="000000" w:fill="FFFFFF"/>
            <w:noWrap/>
            <w:vAlign w:val="bottom"/>
            <w:hideMark/>
          </w:tcPr>
          <w:p w14:paraId="17BA3D9E"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100,0</w:t>
            </w:r>
          </w:p>
        </w:tc>
      </w:tr>
      <w:tr w:rsidR="00256A12" w:rsidRPr="00256A12" w14:paraId="0E5D4480" w14:textId="77777777" w:rsidTr="00256A12">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0235990D" w14:textId="77777777" w:rsidR="00256A12" w:rsidRPr="00256A12" w:rsidRDefault="00256A12" w:rsidP="00256A12">
            <w:pPr>
              <w:spacing w:after="0" w:line="240" w:lineRule="auto"/>
              <w:jc w:val="center"/>
              <w:rPr>
                <w:rFonts w:ascii="Calibri" w:eastAsia="Times New Roman" w:hAnsi="Calibri" w:cs="Arial"/>
                <w:i/>
                <w:iCs/>
                <w:sz w:val="20"/>
                <w:szCs w:val="20"/>
                <w:lang w:eastAsia="cs-CZ"/>
              </w:rPr>
            </w:pPr>
            <w:r w:rsidRPr="00256A12">
              <w:rPr>
                <w:rFonts w:ascii="Calibri" w:eastAsia="Times New Roman" w:hAnsi="Calibri" w:cs="Arial"/>
                <w:i/>
                <w:iCs/>
                <w:sz w:val="20"/>
                <w:szCs w:val="20"/>
                <w:lang w:eastAsia="cs-CZ"/>
              </w:rPr>
              <w:t> </w:t>
            </w:r>
          </w:p>
        </w:tc>
        <w:tc>
          <w:tcPr>
            <w:tcW w:w="9102" w:type="dxa"/>
            <w:gridSpan w:val="5"/>
            <w:tcBorders>
              <w:top w:val="single" w:sz="4" w:space="0" w:color="auto"/>
              <w:left w:val="nil"/>
              <w:bottom w:val="single" w:sz="4" w:space="0" w:color="auto"/>
              <w:right w:val="single" w:sz="8" w:space="0" w:color="000000"/>
            </w:tcBorders>
            <w:shd w:val="clear" w:color="000000" w:fill="FFFFFF"/>
            <w:vAlign w:val="bottom"/>
            <w:hideMark/>
          </w:tcPr>
          <w:p w14:paraId="5D3D2910" w14:textId="77777777" w:rsidR="00256A12" w:rsidRPr="00256A12" w:rsidRDefault="00256A12" w:rsidP="00256A12">
            <w:pPr>
              <w:spacing w:after="0" w:line="240" w:lineRule="auto"/>
              <w:rPr>
                <w:rFonts w:ascii="Calibri" w:eastAsia="Times New Roman" w:hAnsi="Calibri" w:cs="Arial"/>
                <w:sz w:val="20"/>
                <w:szCs w:val="20"/>
                <w:lang w:eastAsia="cs-CZ"/>
              </w:rPr>
            </w:pPr>
            <w:r w:rsidRPr="00256A12">
              <w:rPr>
                <w:rFonts w:ascii="Calibri" w:eastAsia="Times New Roman" w:hAnsi="Calibri" w:cs="Arial"/>
                <w:sz w:val="20"/>
                <w:szCs w:val="20"/>
                <w:lang w:eastAsia="cs-CZ"/>
              </w:rPr>
              <w:t>z toho:</w:t>
            </w:r>
          </w:p>
        </w:tc>
      </w:tr>
      <w:tr w:rsidR="00256A12" w:rsidRPr="00256A12" w14:paraId="0F4C3BD8" w14:textId="77777777" w:rsidTr="00256A12">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2B19AC62" w14:textId="77777777" w:rsidR="00256A12" w:rsidRPr="00256A12" w:rsidRDefault="00256A12" w:rsidP="00256A12">
            <w:pPr>
              <w:spacing w:after="0" w:line="240" w:lineRule="auto"/>
              <w:jc w:val="center"/>
              <w:rPr>
                <w:rFonts w:ascii="Calibri" w:eastAsia="Times New Roman" w:hAnsi="Calibri" w:cs="Arial"/>
                <w:i/>
                <w:iCs/>
                <w:sz w:val="20"/>
                <w:szCs w:val="20"/>
                <w:lang w:eastAsia="cs-CZ"/>
              </w:rPr>
            </w:pPr>
            <w:r w:rsidRPr="00256A12">
              <w:rPr>
                <w:rFonts w:ascii="Calibri" w:eastAsia="Times New Roman" w:hAnsi="Calibri" w:cs="Arial"/>
                <w:i/>
                <w:iCs/>
                <w:sz w:val="20"/>
                <w:szCs w:val="20"/>
                <w:lang w:eastAsia="cs-CZ"/>
              </w:rPr>
              <w:t> </w:t>
            </w:r>
          </w:p>
        </w:tc>
        <w:tc>
          <w:tcPr>
            <w:tcW w:w="4109" w:type="dxa"/>
            <w:tcBorders>
              <w:top w:val="nil"/>
              <w:left w:val="nil"/>
              <w:bottom w:val="single" w:sz="4" w:space="0" w:color="auto"/>
              <w:right w:val="single" w:sz="4" w:space="0" w:color="auto"/>
            </w:tcBorders>
            <w:shd w:val="clear" w:color="000000" w:fill="FFFFFF"/>
            <w:vAlign w:val="bottom"/>
            <w:hideMark/>
          </w:tcPr>
          <w:p w14:paraId="12F6E2D4" w14:textId="77777777" w:rsidR="00256A12" w:rsidRPr="00256A12" w:rsidRDefault="00256A12" w:rsidP="00256A12">
            <w:pPr>
              <w:spacing w:after="0" w:line="240" w:lineRule="auto"/>
              <w:rPr>
                <w:rFonts w:ascii="Calibri" w:eastAsia="Times New Roman" w:hAnsi="Calibri" w:cs="Arial"/>
                <w:i/>
                <w:iCs/>
                <w:sz w:val="20"/>
                <w:szCs w:val="20"/>
                <w:lang w:eastAsia="cs-CZ"/>
              </w:rPr>
            </w:pPr>
            <w:r w:rsidRPr="00256A12">
              <w:rPr>
                <w:rFonts w:ascii="Calibri" w:eastAsia="Times New Roman" w:hAnsi="Calibri" w:cs="Arial"/>
                <w:i/>
                <w:iCs/>
                <w:sz w:val="20"/>
                <w:szCs w:val="20"/>
                <w:lang w:eastAsia="cs-CZ"/>
              </w:rPr>
              <w:t>příspěvek na provoz</w:t>
            </w:r>
          </w:p>
        </w:tc>
        <w:tc>
          <w:tcPr>
            <w:tcW w:w="1302" w:type="dxa"/>
            <w:tcBorders>
              <w:top w:val="nil"/>
              <w:left w:val="nil"/>
              <w:bottom w:val="single" w:sz="4" w:space="0" w:color="auto"/>
              <w:right w:val="single" w:sz="4" w:space="0" w:color="auto"/>
            </w:tcBorders>
            <w:shd w:val="clear" w:color="000000" w:fill="FFFFFF"/>
            <w:noWrap/>
            <w:vAlign w:val="bottom"/>
            <w:hideMark/>
          </w:tcPr>
          <w:p w14:paraId="24688D79" w14:textId="77777777" w:rsidR="00256A12" w:rsidRPr="00256A12" w:rsidRDefault="00256A12" w:rsidP="00256A12">
            <w:pPr>
              <w:spacing w:after="0" w:line="240" w:lineRule="auto"/>
              <w:jc w:val="right"/>
              <w:rPr>
                <w:rFonts w:ascii="Calibri" w:eastAsia="Times New Roman" w:hAnsi="Calibri" w:cs="Arial"/>
                <w:i/>
                <w:iCs/>
                <w:sz w:val="20"/>
                <w:szCs w:val="20"/>
                <w:lang w:eastAsia="cs-CZ"/>
              </w:rPr>
            </w:pPr>
            <w:r w:rsidRPr="00256A12">
              <w:rPr>
                <w:rFonts w:ascii="Calibri" w:eastAsia="Times New Roman" w:hAnsi="Calibri" w:cs="Arial"/>
                <w:i/>
                <w:iCs/>
                <w:sz w:val="20"/>
                <w:szCs w:val="20"/>
                <w:lang w:eastAsia="cs-CZ"/>
              </w:rPr>
              <w:t>28 318 000</w:t>
            </w:r>
          </w:p>
        </w:tc>
        <w:tc>
          <w:tcPr>
            <w:tcW w:w="1418" w:type="dxa"/>
            <w:tcBorders>
              <w:top w:val="nil"/>
              <w:left w:val="nil"/>
              <w:bottom w:val="single" w:sz="4" w:space="0" w:color="auto"/>
              <w:right w:val="single" w:sz="4" w:space="0" w:color="auto"/>
            </w:tcBorders>
            <w:shd w:val="clear" w:color="000000" w:fill="FFFFFF"/>
            <w:noWrap/>
            <w:vAlign w:val="bottom"/>
            <w:hideMark/>
          </w:tcPr>
          <w:p w14:paraId="5A08261C" w14:textId="77777777" w:rsidR="00256A12" w:rsidRPr="00256A12" w:rsidRDefault="00256A12" w:rsidP="00256A12">
            <w:pPr>
              <w:spacing w:after="0" w:line="240" w:lineRule="auto"/>
              <w:jc w:val="right"/>
              <w:rPr>
                <w:rFonts w:ascii="Calibri" w:eastAsia="Times New Roman" w:hAnsi="Calibri" w:cs="Arial"/>
                <w:i/>
                <w:iCs/>
                <w:sz w:val="20"/>
                <w:szCs w:val="20"/>
                <w:lang w:eastAsia="cs-CZ"/>
              </w:rPr>
            </w:pPr>
            <w:r w:rsidRPr="00256A12">
              <w:rPr>
                <w:rFonts w:ascii="Calibri" w:eastAsia="Times New Roman" w:hAnsi="Calibri" w:cs="Arial"/>
                <w:i/>
                <w:iCs/>
                <w:sz w:val="20"/>
                <w:szCs w:val="20"/>
                <w:lang w:eastAsia="cs-CZ"/>
              </w:rPr>
              <w:t>5 641 697,00</w:t>
            </w:r>
          </w:p>
        </w:tc>
        <w:tc>
          <w:tcPr>
            <w:tcW w:w="1559" w:type="dxa"/>
            <w:tcBorders>
              <w:top w:val="nil"/>
              <w:left w:val="nil"/>
              <w:bottom w:val="single" w:sz="4" w:space="0" w:color="auto"/>
              <w:right w:val="single" w:sz="4" w:space="0" w:color="auto"/>
            </w:tcBorders>
            <w:shd w:val="clear" w:color="000000" w:fill="FFFFFF"/>
            <w:noWrap/>
            <w:vAlign w:val="bottom"/>
            <w:hideMark/>
          </w:tcPr>
          <w:p w14:paraId="05AAE122" w14:textId="77777777" w:rsidR="00256A12" w:rsidRPr="00256A12" w:rsidRDefault="00256A12" w:rsidP="00256A12">
            <w:pPr>
              <w:spacing w:after="0" w:line="240" w:lineRule="auto"/>
              <w:jc w:val="right"/>
              <w:rPr>
                <w:rFonts w:ascii="Calibri" w:eastAsia="Times New Roman" w:hAnsi="Calibri" w:cs="Arial"/>
                <w:i/>
                <w:iCs/>
                <w:sz w:val="20"/>
                <w:szCs w:val="20"/>
                <w:lang w:eastAsia="cs-CZ"/>
              </w:rPr>
            </w:pPr>
            <w:r w:rsidRPr="00256A12">
              <w:rPr>
                <w:rFonts w:ascii="Calibri" w:eastAsia="Times New Roman" w:hAnsi="Calibri" w:cs="Arial"/>
                <w:i/>
                <w:iCs/>
                <w:sz w:val="20"/>
                <w:szCs w:val="20"/>
                <w:lang w:eastAsia="cs-CZ"/>
              </w:rPr>
              <w:t>5 641 697,00</w:t>
            </w:r>
          </w:p>
        </w:tc>
        <w:tc>
          <w:tcPr>
            <w:tcW w:w="714" w:type="dxa"/>
            <w:tcBorders>
              <w:top w:val="nil"/>
              <w:left w:val="nil"/>
              <w:bottom w:val="single" w:sz="4" w:space="0" w:color="auto"/>
              <w:right w:val="single" w:sz="8" w:space="0" w:color="auto"/>
            </w:tcBorders>
            <w:shd w:val="clear" w:color="000000" w:fill="FFFFFF"/>
            <w:noWrap/>
            <w:vAlign w:val="bottom"/>
            <w:hideMark/>
          </w:tcPr>
          <w:p w14:paraId="078B8A7B" w14:textId="77777777" w:rsidR="00256A12" w:rsidRPr="00256A12" w:rsidRDefault="00256A12" w:rsidP="00256A12">
            <w:pPr>
              <w:spacing w:after="0" w:line="240" w:lineRule="auto"/>
              <w:jc w:val="right"/>
              <w:rPr>
                <w:rFonts w:ascii="Calibri" w:eastAsia="Times New Roman" w:hAnsi="Calibri" w:cs="Arial"/>
                <w:i/>
                <w:iCs/>
                <w:sz w:val="20"/>
                <w:szCs w:val="20"/>
                <w:lang w:eastAsia="cs-CZ"/>
              </w:rPr>
            </w:pPr>
            <w:r w:rsidRPr="00256A12">
              <w:rPr>
                <w:rFonts w:ascii="Calibri" w:eastAsia="Times New Roman" w:hAnsi="Calibri" w:cs="Arial"/>
                <w:i/>
                <w:iCs/>
                <w:sz w:val="20"/>
                <w:szCs w:val="20"/>
                <w:lang w:eastAsia="cs-CZ"/>
              </w:rPr>
              <w:t>100,0</w:t>
            </w:r>
          </w:p>
        </w:tc>
      </w:tr>
      <w:tr w:rsidR="00256A12" w:rsidRPr="00256A12" w14:paraId="4E7C703F" w14:textId="77777777" w:rsidTr="00256A12">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7AA098EB" w14:textId="77777777" w:rsidR="00256A12" w:rsidRPr="00256A12" w:rsidRDefault="00256A12" w:rsidP="00256A12">
            <w:pPr>
              <w:spacing w:after="0" w:line="240" w:lineRule="auto"/>
              <w:jc w:val="center"/>
              <w:rPr>
                <w:rFonts w:ascii="Calibri" w:eastAsia="Times New Roman" w:hAnsi="Calibri" w:cs="Arial"/>
                <w:i/>
                <w:iCs/>
                <w:sz w:val="20"/>
                <w:szCs w:val="20"/>
                <w:lang w:eastAsia="cs-CZ"/>
              </w:rPr>
            </w:pPr>
            <w:r w:rsidRPr="00256A12">
              <w:rPr>
                <w:rFonts w:ascii="Calibri" w:eastAsia="Times New Roman" w:hAnsi="Calibri" w:cs="Arial"/>
                <w:i/>
                <w:iCs/>
                <w:sz w:val="20"/>
                <w:szCs w:val="20"/>
                <w:lang w:eastAsia="cs-CZ"/>
              </w:rPr>
              <w:t> </w:t>
            </w:r>
          </w:p>
        </w:tc>
        <w:tc>
          <w:tcPr>
            <w:tcW w:w="4109" w:type="dxa"/>
            <w:tcBorders>
              <w:top w:val="nil"/>
              <w:left w:val="nil"/>
              <w:bottom w:val="single" w:sz="4" w:space="0" w:color="auto"/>
              <w:right w:val="single" w:sz="4" w:space="0" w:color="auto"/>
            </w:tcBorders>
            <w:shd w:val="clear" w:color="000000" w:fill="FFFFFF"/>
            <w:vAlign w:val="bottom"/>
            <w:hideMark/>
          </w:tcPr>
          <w:p w14:paraId="7E176C33" w14:textId="77777777" w:rsidR="00256A12" w:rsidRPr="00256A12" w:rsidRDefault="00256A12" w:rsidP="00256A12">
            <w:pPr>
              <w:spacing w:after="0" w:line="240" w:lineRule="auto"/>
              <w:rPr>
                <w:rFonts w:ascii="Calibri" w:eastAsia="Times New Roman" w:hAnsi="Calibri" w:cs="Arial"/>
                <w:i/>
                <w:iCs/>
                <w:sz w:val="20"/>
                <w:szCs w:val="20"/>
                <w:lang w:eastAsia="cs-CZ"/>
              </w:rPr>
            </w:pPr>
            <w:r w:rsidRPr="00256A12">
              <w:rPr>
                <w:rFonts w:ascii="Calibri" w:eastAsia="Times New Roman" w:hAnsi="Calibri" w:cs="Arial"/>
                <w:i/>
                <w:iCs/>
                <w:sz w:val="20"/>
                <w:szCs w:val="20"/>
                <w:lang w:eastAsia="cs-CZ"/>
              </w:rPr>
              <w:t>příspěvek na mzdové výdaje</w:t>
            </w:r>
          </w:p>
        </w:tc>
        <w:tc>
          <w:tcPr>
            <w:tcW w:w="1302" w:type="dxa"/>
            <w:tcBorders>
              <w:top w:val="nil"/>
              <w:left w:val="nil"/>
              <w:bottom w:val="single" w:sz="4" w:space="0" w:color="auto"/>
              <w:right w:val="single" w:sz="4" w:space="0" w:color="auto"/>
            </w:tcBorders>
            <w:shd w:val="clear" w:color="000000" w:fill="FFFFFF"/>
            <w:noWrap/>
            <w:vAlign w:val="bottom"/>
            <w:hideMark/>
          </w:tcPr>
          <w:p w14:paraId="639ED20B" w14:textId="77777777" w:rsidR="00256A12" w:rsidRPr="00256A12" w:rsidRDefault="00256A12" w:rsidP="00256A12">
            <w:pPr>
              <w:spacing w:after="0" w:line="240" w:lineRule="auto"/>
              <w:jc w:val="right"/>
              <w:rPr>
                <w:rFonts w:ascii="Calibri" w:eastAsia="Times New Roman" w:hAnsi="Calibri" w:cs="Arial"/>
                <w:i/>
                <w:iCs/>
                <w:sz w:val="20"/>
                <w:szCs w:val="20"/>
                <w:lang w:eastAsia="cs-CZ"/>
              </w:rPr>
            </w:pPr>
            <w:r w:rsidRPr="00256A12">
              <w:rPr>
                <w:rFonts w:ascii="Calibri" w:eastAsia="Times New Roman" w:hAnsi="Calibri" w:cs="Arial"/>
                <w:i/>
                <w:iCs/>
                <w:sz w:val="20"/>
                <w:szCs w:val="20"/>
                <w:lang w:eastAsia="cs-CZ"/>
              </w:rPr>
              <w:t>19 432 000</w:t>
            </w:r>
          </w:p>
        </w:tc>
        <w:tc>
          <w:tcPr>
            <w:tcW w:w="1418" w:type="dxa"/>
            <w:tcBorders>
              <w:top w:val="nil"/>
              <w:left w:val="nil"/>
              <w:bottom w:val="single" w:sz="4" w:space="0" w:color="auto"/>
              <w:right w:val="single" w:sz="4" w:space="0" w:color="auto"/>
            </w:tcBorders>
            <w:shd w:val="clear" w:color="000000" w:fill="FFFFFF"/>
            <w:noWrap/>
            <w:vAlign w:val="bottom"/>
            <w:hideMark/>
          </w:tcPr>
          <w:p w14:paraId="5EECD107" w14:textId="77777777" w:rsidR="00256A12" w:rsidRPr="00256A12" w:rsidRDefault="00256A12" w:rsidP="00256A12">
            <w:pPr>
              <w:spacing w:after="0" w:line="240" w:lineRule="auto"/>
              <w:jc w:val="right"/>
              <w:rPr>
                <w:rFonts w:ascii="Calibri" w:eastAsia="Times New Roman" w:hAnsi="Calibri" w:cs="Arial"/>
                <w:i/>
                <w:iCs/>
                <w:sz w:val="20"/>
                <w:szCs w:val="20"/>
                <w:lang w:eastAsia="cs-CZ"/>
              </w:rPr>
            </w:pPr>
            <w:r w:rsidRPr="00256A12">
              <w:rPr>
                <w:rFonts w:ascii="Calibri" w:eastAsia="Times New Roman" w:hAnsi="Calibri" w:cs="Arial"/>
                <w:i/>
                <w:iCs/>
                <w:sz w:val="20"/>
                <w:szCs w:val="20"/>
                <w:lang w:eastAsia="cs-CZ"/>
              </w:rPr>
              <w:t>4 514 460,00</w:t>
            </w:r>
          </w:p>
        </w:tc>
        <w:tc>
          <w:tcPr>
            <w:tcW w:w="1559" w:type="dxa"/>
            <w:tcBorders>
              <w:top w:val="nil"/>
              <w:left w:val="nil"/>
              <w:bottom w:val="single" w:sz="4" w:space="0" w:color="auto"/>
              <w:right w:val="single" w:sz="4" w:space="0" w:color="auto"/>
            </w:tcBorders>
            <w:shd w:val="clear" w:color="000000" w:fill="FFFFFF"/>
            <w:noWrap/>
            <w:vAlign w:val="bottom"/>
            <w:hideMark/>
          </w:tcPr>
          <w:p w14:paraId="3E1BDC00" w14:textId="77777777" w:rsidR="00256A12" w:rsidRPr="00256A12" w:rsidRDefault="00256A12" w:rsidP="00256A12">
            <w:pPr>
              <w:spacing w:after="0" w:line="240" w:lineRule="auto"/>
              <w:jc w:val="right"/>
              <w:rPr>
                <w:rFonts w:ascii="Calibri" w:eastAsia="Times New Roman" w:hAnsi="Calibri" w:cs="Arial"/>
                <w:i/>
                <w:iCs/>
                <w:sz w:val="20"/>
                <w:szCs w:val="20"/>
                <w:lang w:eastAsia="cs-CZ"/>
              </w:rPr>
            </w:pPr>
            <w:r w:rsidRPr="00256A12">
              <w:rPr>
                <w:rFonts w:ascii="Calibri" w:eastAsia="Times New Roman" w:hAnsi="Calibri" w:cs="Arial"/>
                <w:i/>
                <w:iCs/>
                <w:sz w:val="20"/>
                <w:szCs w:val="20"/>
                <w:lang w:eastAsia="cs-CZ"/>
              </w:rPr>
              <w:t>4 514 460,00</w:t>
            </w:r>
          </w:p>
        </w:tc>
        <w:tc>
          <w:tcPr>
            <w:tcW w:w="714" w:type="dxa"/>
            <w:tcBorders>
              <w:top w:val="nil"/>
              <w:left w:val="nil"/>
              <w:bottom w:val="single" w:sz="4" w:space="0" w:color="auto"/>
              <w:right w:val="single" w:sz="8" w:space="0" w:color="auto"/>
            </w:tcBorders>
            <w:shd w:val="clear" w:color="000000" w:fill="FFFFFF"/>
            <w:noWrap/>
            <w:vAlign w:val="bottom"/>
            <w:hideMark/>
          </w:tcPr>
          <w:p w14:paraId="4DD3B967" w14:textId="77777777" w:rsidR="00256A12" w:rsidRPr="00256A12" w:rsidRDefault="00256A12" w:rsidP="00256A12">
            <w:pPr>
              <w:spacing w:after="0" w:line="240" w:lineRule="auto"/>
              <w:jc w:val="right"/>
              <w:rPr>
                <w:rFonts w:ascii="Calibri" w:eastAsia="Times New Roman" w:hAnsi="Calibri" w:cs="Arial"/>
                <w:i/>
                <w:iCs/>
                <w:sz w:val="20"/>
                <w:szCs w:val="20"/>
                <w:lang w:eastAsia="cs-CZ"/>
              </w:rPr>
            </w:pPr>
            <w:r w:rsidRPr="00256A12">
              <w:rPr>
                <w:rFonts w:ascii="Calibri" w:eastAsia="Times New Roman" w:hAnsi="Calibri" w:cs="Arial"/>
                <w:i/>
                <w:iCs/>
                <w:sz w:val="20"/>
                <w:szCs w:val="20"/>
                <w:lang w:eastAsia="cs-CZ"/>
              </w:rPr>
              <w:t>100,0</w:t>
            </w:r>
          </w:p>
        </w:tc>
      </w:tr>
      <w:tr w:rsidR="00256A12" w:rsidRPr="00256A12" w14:paraId="13A99634" w14:textId="77777777" w:rsidTr="00256A12">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16EAF3D6" w14:textId="77777777" w:rsidR="00256A12" w:rsidRPr="00256A12" w:rsidRDefault="00256A12" w:rsidP="00256A12">
            <w:pPr>
              <w:spacing w:after="0" w:line="240" w:lineRule="auto"/>
              <w:jc w:val="center"/>
              <w:rPr>
                <w:rFonts w:ascii="Calibri" w:eastAsia="Times New Roman" w:hAnsi="Calibri" w:cs="Arial"/>
                <w:i/>
                <w:iCs/>
                <w:sz w:val="20"/>
                <w:szCs w:val="20"/>
                <w:lang w:eastAsia="cs-CZ"/>
              </w:rPr>
            </w:pPr>
            <w:r w:rsidRPr="00256A12">
              <w:rPr>
                <w:rFonts w:ascii="Calibri" w:eastAsia="Times New Roman" w:hAnsi="Calibri" w:cs="Arial"/>
                <w:i/>
                <w:iCs/>
                <w:sz w:val="20"/>
                <w:szCs w:val="20"/>
                <w:lang w:eastAsia="cs-CZ"/>
              </w:rPr>
              <w:t> </w:t>
            </w:r>
          </w:p>
        </w:tc>
        <w:tc>
          <w:tcPr>
            <w:tcW w:w="4109" w:type="dxa"/>
            <w:tcBorders>
              <w:top w:val="nil"/>
              <w:left w:val="nil"/>
              <w:bottom w:val="single" w:sz="4" w:space="0" w:color="auto"/>
              <w:right w:val="single" w:sz="4" w:space="0" w:color="auto"/>
            </w:tcBorders>
            <w:shd w:val="clear" w:color="000000" w:fill="FFFFFF"/>
            <w:vAlign w:val="bottom"/>
            <w:hideMark/>
          </w:tcPr>
          <w:p w14:paraId="4E990F24" w14:textId="77777777" w:rsidR="00256A12" w:rsidRPr="00256A12" w:rsidRDefault="00256A12" w:rsidP="00256A12">
            <w:pPr>
              <w:spacing w:after="0" w:line="240" w:lineRule="auto"/>
              <w:rPr>
                <w:rFonts w:ascii="Calibri" w:eastAsia="Times New Roman" w:hAnsi="Calibri" w:cs="Arial"/>
                <w:i/>
                <w:iCs/>
                <w:sz w:val="20"/>
                <w:szCs w:val="20"/>
                <w:lang w:eastAsia="cs-CZ"/>
              </w:rPr>
            </w:pPr>
            <w:r w:rsidRPr="00256A12">
              <w:rPr>
                <w:rFonts w:ascii="Calibri" w:eastAsia="Times New Roman" w:hAnsi="Calibri" w:cs="Arial"/>
                <w:i/>
                <w:iCs/>
                <w:sz w:val="20"/>
                <w:szCs w:val="20"/>
                <w:lang w:eastAsia="cs-CZ"/>
              </w:rPr>
              <w:t>příspěvek na běžné opravy a udržování</w:t>
            </w:r>
          </w:p>
        </w:tc>
        <w:tc>
          <w:tcPr>
            <w:tcW w:w="1302" w:type="dxa"/>
            <w:tcBorders>
              <w:top w:val="nil"/>
              <w:left w:val="nil"/>
              <w:bottom w:val="single" w:sz="4" w:space="0" w:color="auto"/>
              <w:right w:val="single" w:sz="4" w:space="0" w:color="auto"/>
            </w:tcBorders>
            <w:shd w:val="clear" w:color="000000" w:fill="FFFFFF"/>
            <w:noWrap/>
            <w:vAlign w:val="bottom"/>
            <w:hideMark/>
          </w:tcPr>
          <w:p w14:paraId="60E6ACF8" w14:textId="77777777" w:rsidR="00256A12" w:rsidRPr="00256A12" w:rsidRDefault="00256A12" w:rsidP="00256A12">
            <w:pPr>
              <w:spacing w:after="0" w:line="240" w:lineRule="auto"/>
              <w:jc w:val="right"/>
              <w:rPr>
                <w:rFonts w:ascii="Calibri" w:eastAsia="Times New Roman" w:hAnsi="Calibri" w:cs="Arial"/>
                <w:i/>
                <w:iCs/>
                <w:sz w:val="20"/>
                <w:szCs w:val="20"/>
                <w:lang w:eastAsia="cs-CZ"/>
              </w:rPr>
            </w:pPr>
            <w:r w:rsidRPr="00256A12">
              <w:rPr>
                <w:rFonts w:ascii="Calibri" w:eastAsia="Times New Roman" w:hAnsi="Calibri" w:cs="Arial"/>
                <w:i/>
                <w:iCs/>
                <w:sz w:val="20"/>
                <w:szCs w:val="20"/>
                <w:lang w:eastAsia="cs-CZ"/>
              </w:rPr>
              <w:t>1 780 000</w:t>
            </w:r>
          </w:p>
        </w:tc>
        <w:tc>
          <w:tcPr>
            <w:tcW w:w="1418" w:type="dxa"/>
            <w:tcBorders>
              <w:top w:val="nil"/>
              <w:left w:val="nil"/>
              <w:bottom w:val="single" w:sz="4" w:space="0" w:color="auto"/>
              <w:right w:val="single" w:sz="4" w:space="0" w:color="auto"/>
            </w:tcBorders>
            <w:shd w:val="clear" w:color="000000" w:fill="FFFFFF"/>
            <w:noWrap/>
            <w:vAlign w:val="bottom"/>
            <w:hideMark/>
          </w:tcPr>
          <w:p w14:paraId="0C869E95" w14:textId="77777777" w:rsidR="00256A12" w:rsidRPr="00256A12" w:rsidRDefault="00256A12" w:rsidP="00256A12">
            <w:pPr>
              <w:spacing w:after="0" w:line="240" w:lineRule="auto"/>
              <w:jc w:val="right"/>
              <w:rPr>
                <w:rFonts w:ascii="Calibri" w:eastAsia="Times New Roman" w:hAnsi="Calibri" w:cs="Arial"/>
                <w:i/>
                <w:iCs/>
                <w:sz w:val="20"/>
                <w:szCs w:val="20"/>
                <w:lang w:eastAsia="cs-CZ"/>
              </w:rPr>
            </w:pPr>
            <w:r w:rsidRPr="00256A12">
              <w:rPr>
                <w:rFonts w:ascii="Calibri" w:eastAsia="Times New Roman" w:hAnsi="Calibri" w:cs="Arial"/>
                <w:i/>
                <w:iCs/>
                <w:sz w:val="20"/>
                <w:szCs w:val="20"/>
                <w:lang w:eastAsia="cs-CZ"/>
              </w:rPr>
              <w:t>0,00</w:t>
            </w:r>
          </w:p>
        </w:tc>
        <w:tc>
          <w:tcPr>
            <w:tcW w:w="1559" w:type="dxa"/>
            <w:tcBorders>
              <w:top w:val="nil"/>
              <w:left w:val="nil"/>
              <w:bottom w:val="single" w:sz="4" w:space="0" w:color="auto"/>
              <w:right w:val="single" w:sz="4" w:space="0" w:color="auto"/>
            </w:tcBorders>
            <w:shd w:val="clear" w:color="000000" w:fill="FFFFFF"/>
            <w:noWrap/>
            <w:vAlign w:val="bottom"/>
            <w:hideMark/>
          </w:tcPr>
          <w:p w14:paraId="237E709B" w14:textId="77777777" w:rsidR="00256A12" w:rsidRPr="00256A12" w:rsidRDefault="00256A12" w:rsidP="00256A12">
            <w:pPr>
              <w:spacing w:after="0" w:line="240" w:lineRule="auto"/>
              <w:jc w:val="right"/>
              <w:rPr>
                <w:rFonts w:ascii="Calibri" w:eastAsia="Times New Roman" w:hAnsi="Calibri" w:cs="Arial"/>
                <w:i/>
                <w:iCs/>
                <w:sz w:val="20"/>
                <w:szCs w:val="20"/>
                <w:lang w:eastAsia="cs-CZ"/>
              </w:rPr>
            </w:pPr>
            <w:r w:rsidRPr="00256A12">
              <w:rPr>
                <w:rFonts w:ascii="Calibri" w:eastAsia="Times New Roman" w:hAnsi="Calibri" w:cs="Arial"/>
                <w:i/>
                <w:iCs/>
                <w:sz w:val="20"/>
                <w:szCs w:val="20"/>
                <w:lang w:eastAsia="cs-CZ"/>
              </w:rPr>
              <w:t>0,00</w:t>
            </w:r>
          </w:p>
        </w:tc>
        <w:tc>
          <w:tcPr>
            <w:tcW w:w="714" w:type="dxa"/>
            <w:tcBorders>
              <w:top w:val="nil"/>
              <w:left w:val="nil"/>
              <w:bottom w:val="single" w:sz="4" w:space="0" w:color="auto"/>
              <w:right w:val="single" w:sz="8" w:space="0" w:color="auto"/>
            </w:tcBorders>
            <w:shd w:val="clear" w:color="000000" w:fill="FFFFFF"/>
            <w:noWrap/>
            <w:vAlign w:val="bottom"/>
            <w:hideMark/>
          </w:tcPr>
          <w:p w14:paraId="44B29FCF" w14:textId="77777777" w:rsidR="00256A12" w:rsidRPr="00256A12" w:rsidRDefault="00256A12" w:rsidP="00256A12">
            <w:pPr>
              <w:spacing w:after="0" w:line="240" w:lineRule="auto"/>
              <w:jc w:val="right"/>
              <w:rPr>
                <w:rFonts w:ascii="Calibri" w:eastAsia="Times New Roman" w:hAnsi="Calibri" w:cs="Arial"/>
                <w:i/>
                <w:iCs/>
                <w:sz w:val="20"/>
                <w:szCs w:val="20"/>
                <w:lang w:eastAsia="cs-CZ"/>
              </w:rPr>
            </w:pPr>
            <w:r w:rsidRPr="00256A12">
              <w:rPr>
                <w:rFonts w:ascii="Calibri" w:eastAsia="Times New Roman" w:hAnsi="Calibri" w:cs="Arial"/>
                <w:i/>
                <w:iCs/>
                <w:sz w:val="20"/>
                <w:szCs w:val="20"/>
                <w:lang w:eastAsia="cs-CZ"/>
              </w:rPr>
              <w:t>0,0</w:t>
            </w:r>
          </w:p>
        </w:tc>
      </w:tr>
      <w:tr w:rsidR="00256A12" w:rsidRPr="00256A12" w14:paraId="21CFABBF" w14:textId="77777777" w:rsidTr="00256A12">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6BF3FFBC" w14:textId="77777777" w:rsidR="00256A12" w:rsidRPr="00256A12" w:rsidRDefault="00256A12" w:rsidP="00256A12">
            <w:pPr>
              <w:spacing w:after="0" w:line="240" w:lineRule="auto"/>
              <w:jc w:val="center"/>
              <w:rPr>
                <w:rFonts w:ascii="Calibri" w:eastAsia="Times New Roman" w:hAnsi="Calibri" w:cs="Arial"/>
                <w:sz w:val="20"/>
                <w:szCs w:val="20"/>
                <w:lang w:eastAsia="cs-CZ"/>
              </w:rPr>
            </w:pPr>
            <w:r w:rsidRPr="00256A12">
              <w:rPr>
                <w:rFonts w:ascii="Calibri" w:eastAsia="Times New Roman" w:hAnsi="Calibri" w:cs="Arial"/>
                <w:sz w:val="20"/>
                <w:szCs w:val="20"/>
                <w:lang w:eastAsia="cs-CZ"/>
              </w:rPr>
              <w:t>2143</w:t>
            </w:r>
          </w:p>
        </w:tc>
        <w:tc>
          <w:tcPr>
            <w:tcW w:w="4109" w:type="dxa"/>
            <w:tcBorders>
              <w:top w:val="nil"/>
              <w:left w:val="nil"/>
              <w:bottom w:val="single" w:sz="4" w:space="0" w:color="auto"/>
              <w:right w:val="single" w:sz="4" w:space="0" w:color="auto"/>
            </w:tcBorders>
            <w:shd w:val="clear" w:color="000000" w:fill="FFFFFF"/>
            <w:noWrap/>
            <w:vAlign w:val="bottom"/>
            <w:hideMark/>
          </w:tcPr>
          <w:p w14:paraId="0AA6CE01" w14:textId="77777777" w:rsidR="00256A12" w:rsidRPr="00256A12" w:rsidRDefault="00256A12" w:rsidP="00256A12">
            <w:pPr>
              <w:spacing w:after="0" w:line="240" w:lineRule="auto"/>
              <w:rPr>
                <w:rFonts w:ascii="Calibri" w:eastAsia="Times New Roman" w:hAnsi="Calibri" w:cs="Arial"/>
                <w:sz w:val="20"/>
                <w:szCs w:val="20"/>
                <w:lang w:eastAsia="cs-CZ"/>
              </w:rPr>
            </w:pPr>
            <w:r w:rsidRPr="00256A12">
              <w:rPr>
                <w:rFonts w:ascii="Calibri" w:eastAsia="Times New Roman" w:hAnsi="Calibri" w:cs="Arial"/>
                <w:sz w:val="20"/>
                <w:szCs w:val="20"/>
                <w:lang w:eastAsia="cs-CZ"/>
              </w:rPr>
              <w:t xml:space="preserve">Středočeské vodní cesty, spolek </w:t>
            </w:r>
          </w:p>
        </w:tc>
        <w:tc>
          <w:tcPr>
            <w:tcW w:w="1302" w:type="dxa"/>
            <w:tcBorders>
              <w:top w:val="nil"/>
              <w:left w:val="nil"/>
              <w:bottom w:val="single" w:sz="4" w:space="0" w:color="auto"/>
              <w:right w:val="single" w:sz="4" w:space="0" w:color="auto"/>
            </w:tcBorders>
            <w:shd w:val="clear" w:color="000000" w:fill="FFFFFF"/>
            <w:noWrap/>
            <w:vAlign w:val="bottom"/>
            <w:hideMark/>
          </w:tcPr>
          <w:p w14:paraId="3C39B5D5"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3 620 000</w:t>
            </w:r>
          </w:p>
        </w:tc>
        <w:tc>
          <w:tcPr>
            <w:tcW w:w="1418" w:type="dxa"/>
            <w:tcBorders>
              <w:top w:val="nil"/>
              <w:left w:val="nil"/>
              <w:bottom w:val="single" w:sz="4" w:space="0" w:color="auto"/>
              <w:right w:val="single" w:sz="4" w:space="0" w:color="auto"/>
            </w:tcBorders>
            <w:shd w:val="clear" w:color="000000" w:fill="FFFFFF"/>
            <w:noWrap/>
            <w:vAlign w:val="bottom"/>
            <w:hideMark/>
          </w:tcPr>
          <w:p w14:paraId="0D01926F"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190 000,00</w:t>
            </w:r>
          </w:p>
        </w:tc>
        <w:tc>
          <w:tcPr>
            <w:tcW w:w="1559" w:type="dxa"/>
            <w:tcBorders>
              <w:top w:val="nil"/>
              <w:left w:val="nil"/>
              <w:bottom w:val="single" w:sz="4" w:space="0" w:color="auto"/>
              <w:right w:val="single" w:sz="4" w:space="0" w:color="auto"/>
            </w:tcBorders>
            <w:shd w:val="clear" w:color="000000" w:fill="FFFFFF"/>
            <w:noWrap/>
            <w:vAlign w:val="bottom"/>
            <w:hideMark/>
          </w:tcPr>
          <w:p w14:paraId="105B6EF0"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190 000,00</w:t>
            </w:r>
          </w:p>
        </w:tc>
        <w:tc>
          <w:tcPr>
            <w:tcW w:w="714" w:type="dxa"/>
            <w:tcBorders>
              <w:top w:val="nil"/>
              <w:left w:val="nil"/>
              <w:bottom w:val="single" w:sz="4" w:space="0" w:color="auto"/>
              <w:right w:val="single" w:sz="8" w:space="0" w:color="auto"/>
            </w:tcBorders>
            <w:shd w:val="clear" w:color="000000" w:fill="FFFFFF"/>
            <w:noWrap/>
            <w:vAlign w:val="bottom"/>
            <w:hideMark/>
          </w:tcPr>
          <w:p w14:paraId="1EBBB306"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100,0</w:t>
            </w:r>
          </w:p>
        </w:tc>
      </w:tr>
      <w:tr w:rsidR="00256A12" w:rsidRPr="00256A12" w14:paraId="539C2BCE" w14:textId="77777777" w:rsidTr="00256A12">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36FC8B90" w14:textId="77777777" w:rsidR="00256A12" w:rsidRPr="00256A12" w:rsidRDefault="00256A12" w:rsidP="00256A12">
            <w:pPr>
              <w:spacing w:after="0" w:line="240" w:lineRule="auto"/>
              <w:jc w:val="center"/>
              <w:rPr>
                <w:rFonts w:ascii="Calibri" w:eastAsia="Times New Roman" w:hAnsi="Calibri" w:cs="Arial"/>
                <w:sz w:val="20"/>
                <w:szCs w:val="20"/>
                <w:lang w:eastAsia="cs-CZ"/>
              </w:rPr>
            </w:pPr>
            <w:r w:rsidRPr="00256A12">
              <w:rPr>
                <w:rFonts w:ascii="Calibri" w:eastAsia="Times New Roman" w:hAnsi="Calibri" w:cs="Arial"/>
                <w:sz w:val="20"/>
                <w:szCs w:val="20"/>
                <w:lang w:eastAsia="cs-CZ"/>
              </w:rPr>
              <w:t>2510</w:t>
            </w:r>
          </w:p>
        </w:tc>
        <w:tc>
          <w:tcPr>
            <w:tcW w:w="4109" w:type="dxa"/>
            <w:tcBorders>
              <w:top w:val="nil"/>
              <w:left w:val="nil"/>
              <w:bottom w:val="single" w:sz="4" w:space="0" w:color="auto"/>
              <w:right w:val="single" w:sz="4" w:space="0" w:color="auto"/>
            </w:tcBorders>
            <w:shd w:val="clear" w:color="000000" w:fill="FFFFFF"/>
            <w:vAlign w:val="bottom"/>
            <w:hideMark/>
          </w:tcPr>
          <w:p w14:paraId="1182F09A" w14:textId="77777777" w:rsidR="00256A12" w:rsidRPr="00256A12" w:rsidRDefault="00256A12" w:rsidP="00256A12">
            <w:pPr>
              <w:spacing w:after="0" w:line="240" w:lineRule="auto"/>
              <w:rPr>
                <w:rFonts w:ascii="Calibri" w:eastAsia="Times New Roman" w:hAnsi="Calibri" w:cs="Arial"/>
                <w:sz w:val="20"/>
                <w:szCs w:val="20"/>
                <w:lang w:eastAsia="cs-CZ"/>
              </w:rPr>
            </w:pPr>
            <w:r w:rsidRPr="00256A12">
              <w:rPr>
                <w:rFonts w:ascii="Calibri" w:eastAsia="Times New Roman" w:hAnsi="Calibri" w:cs="Arial"/>
                <w:sz w:val="20"/>
                <w:szCs w:val="20"/>
                <w:lang w:eastAsia="cs-CZ"/>
              </w:rPr>
              <w:t>Podpora podnikání, investiční příležitosti, brownfields</w:t>
            </w:r>
          </w:p>
        </w:tc>
        <w:tc>
          <w:tcPr>
            <w:tcW w:w="1302" w:type="dxa"/>
            <w:tcBorders>
              <w:top w:val="nil"/>
              <w:left w:val="nil"/>
              <w:bottom w:val="single" w:sz="4" w:space="0" w:color="auto"/>
              <w:right w:val="single" w:sz="4" w:space="0" w:color="auto"/>
            </w:tcBorders>
            <w:shd w:val="clear" w:color="000000" w:fill="FFFFFF"/>
            <w:noWrap/>
            <w:vAlign w:val="bottom"/>
            <w:hideMark/>
          </w:tcPr>
          <w:p w14:paraId="6754FCE4"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2 000 000</w:t>
            </w:r>
          </w:p>
        </w:tc>
        <w:tc>
          <w:tcPr>
            <w:tcW w:w="1418" w:type="dxa"/>
            <w:tcBorders>
              <w:top w:val="nil"/>
              <w:left w:val="nil"/>
              <w:bottom w:val="single" w:sz="4" w:space="0" w:color="auto"/>
              <w:right w:val="single" w:sz="4" w:space="0" w:color="auto"/>
            </w:tcBorders>
            <w:shd w:val="clear" w:color="000000" w:fill="FFFFFF"/>
            <w:noWrap/>
            <w:vAlign w:val="bottom"/>
            <w:hideMark/>
          </w:tcPr>
          <w:p w14:paraId="42769277"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2 000 000,00</w:t>
            </w:r>
          </w:p>
        </w:tc>
        <w:tc>
          <w:tcPr>
            <w:tcW w:w="1559" w:type="dxa"/>
            <w:tcBorders>
              <w:top w:val="nil"/>
              <w:left w:val="nil"/>
              <w:bottom w:val="single" w:sz="4" w:space="0" w:color="auto"/>
              <w:right w:val="single" w:sz="4" w:space="0" w:color="auto"/>
            </w:tcBorders>
            <w:shd w:val="clear" w:color="000000" w:fill="FFFFFF"/>
            <w:noWrap/>
            <w:vAlign w:val="bottom"/>
            <w:hideMark/>
          </w:tcPr>
          <w:p w14:paraId="59DDBEB0"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246 000,00</w:t>
            </w:r>
          </w:p>
        </w:tc>
        <w:tc>
          <w:tcPr>
            <w:tcW w:w="714" w:type="dxa"/>
            <w:tcBorders>
              <w:top w:val="nil"/>
              <w:left w:val="nil"/>
              <w:bottom w:val="single" w:sz="4" w:space="0" w:color="auto"/>
              <w:right w:val="single" w:sz="8" w:space="0" w:color="auto"/>
            </w:tcBorders>
            <w:shd w:val="clear" w:color="000000" w:fill="FFFFFF"/>
            <w:noWrap/>
            <w:vAlign w:val="bottom"/>
            <w:hideMark/>
          </w:tcPr>
          <w:p w14:paraId="2AE94F83"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12,3</w:t>
            </w:r>
          </w:p>
        </w:tc>
      </w:tr>
      <w:tr w:rsidR="00256A12" w:rsidRPr="00256A12" w14:paraId="2EBEB521" w14:textId="77777777" w:rsidTr="00256A12">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29496829" w14:textId="77777777" w:rsidR="00256A12" w:rsidRPr="00256A12" w:rsidRDefault="00256A12" w:rsidP="00256A12">
            <w:pPr>
              <w:spacing w:after="0" w:line="240" w:lineRule="auto"/>
              <w:jc w:val="center"/>
              <w:rPr>
                <w:rFonts w:ascii="Calibri" w:eastAsia="Times New Roman" w:hAnsi="Calibri" w:cs="Arial"/>
                <w:sz w:val="20"/>
                <w:szCs w:val="20"/>
                <w:lang w:eastAsia="cs-CZ"/>
              </w:rPr>
            </w:pPr>
            <w:r w:rsidRPr="00256A12">
              <w:rPr>
                <w:rFonts w:ascii="Calibri" w:eastAsia="Times New Roman" w:hAnsi="Calibri" w:cs="Arial"/>
                <w:sz w:val="20"/>
                <w:szCs w:val="20"/>
                <w:lang w:eastAsia="cs-CZ"/>
              </w:rPr>
              <w:t>2510</w:t>
            </w:r>
          </w:p>
        </w:tc>
        <w:tc>
          <w:tcPr>
            <w:tcW w:w="4109" w:type="dxa"/>
            <w:tcBorders>
              <w:top w:val="nil"/>
              <w:left w:val="nil"/>
              <w:bottom w:val="single" w:sz="4" w:space="0" w:color="auto"/>
              <w:right w:val="single" w:sz="4" w:space="0" w:color="auto"/>
            </w:tcBorders>
            <w:shd w:val="clear" w:color="000000" w:fill="FFFFFF"/>
            <w:vAlign w:val="bottom"/>
            <w:hideMark/>
          </w:tcPr>
          <w:p w14:paraId="002DBD12" w14:textId="0D41ED74" w:rsidR="00256A12" w:rsidRPr="00256A12" w:rsidRDefault="00256A12" w:rsidP="00256A12">
            <w:pPr>
              <w:spacing w:after="0" w:line="240" w:lineRule="auto"/>
              <w:rPr>
                <w:rFonts w:ascii="Calibri" w:eastAsia="Times New Roman" w:hAnsi="Calibri" w:cs="Arial"/>
                <w:sz w:val="20"/>
                <w:szCs w:val="20"/>
                <w:lang w:eastAsia="cs-CZ"/>
              </w:rPr>
            </w:pPr>
            <w:r w:rsidRPr="00256A12">
              <w:rPr>
                <w:rFonts w:ascii="Calibri" w:eastAsia="Times New Roman" w:hAnsi="Calibri" w:cs="Arial"/>
                <w:sz w:val="20"/>
                <w:szCs w:val="20"/>
                <w:lang w:eastAsia="cs-CZ"/>
              </w:rPr>
              <w:t xml:space="preserve">Středočeské inovační centrum </w:t>
            </w:r>
            <w:r w:rsidR="0026360D">
              <w:rPr>
                <w:rFonts w:ascii="Calibri" w:eastAsia="Times New Roman" w:hAnsi="Calibri" w:cs="Arial"/>
                <w:sz w:val="20"/>
                <w:szCs w:val="20"/>
                <w:lang w:eastAsia="cs-CZ"/>
              </w:rPr>
              <w:t>– běžné výdaje</w:t>
            </w:r>
          </w:p>
        </w:tc>
        <w:tc>
          <w:tcPr>
            <w:tcW w:w="1302" w:type="dxa"/>
            <w:tcBorders>
              <w:top w:val="nil"/>
              <w:left w:val="nil"/>
              <w:bottom w:val="single" w:sz="4" w:space="0" w:color="auto"/>
              <w:right w:val="single" w:sz="4" w:space="0" w:color="auto"/>
            </w:tcBorders>
            <w:shd w:val="clear" w:color="000000" w:fill="FFFFFF"/>
            <w:noWrap/>
            <w:vAlign w:val="bottom"/>
            <w:hideMark/>
          </w:tcPr>
          <w:p w14:paraId="75BB1CA6"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28 848 000</w:t>
            </w:r>
          </w:p>
        </w:tc>
        <w:tc>
          <w:tcPr>
            <w:tcW w:w="1418" w:type="dxa"/>
            <w:tcBorders>
              <w:top w:val="nil"/>
              <w:left w:val="nil"/>
              <w:bottom w:val="single" w:sz="4" w:space="0" w:color="auto"/>
              <w:right w:val="single" w:sz="4" w:space="0" w:color="auto"/>
            </w:tcBorders>
            <w:shd w:val="clear" w:color="000000" w:fill="FFFFFF"/>
            <w:noWrap/>
            <w:vAlign w:val="bottom"/>
            <w:hideMark/>
          </w:tcPr>
          <w:p w14:paraId="26470697"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14 355 000,00</w:t>
            </w:r>
          </w:p>
        </w:tc>
        <w:tc>
          <w:tcPr>
            <w:tcW w:w="1559" w:type="dxa"/>
            <w:tcBorders>
              <w:top w:val="nil"/>
              <w:left w:val="nil"/>
              <w:bottom w:val="single" w:sz="4" w:space="0" w:color="auto"/>
              <w:right w:val="single" w:sz="4" w:space="0" w:color="auto"/>
            </w:tcBorders>
            <w:shd w:val="clear" w:color="000000" w:fill="FFFFFF"/>
            <w:noWrap/>
            <w:vAlign w:val="bottom"/>
            <w:hideMark/>
          </w:tcPr>
          <w:p w14:paraId="0DD4A181"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14 355 000,00</w:t>
            </w:r>
          </w:p>
        </w:tc>
        <w:tc>
          <w:tcPr>
            <w:tcW w:w="714" w:type="dxa"/>
            <w:tcBorders>
              <w:top w:val="nil"/>
              <w:left w:val="nil"/>
              <w:bottom w:val="single" w:sz="4" w:space="0" w:color="auto"/>
              <w:right w:val="single" w:sz="8" w:space="0" w:color="auto"/>
            </w:tcBorders>
            <w:shd w:val="clear" w:color="000000" w:fill="FFFFFF"/>
            <w:noWrap/>
            <w:vAlign w:val="bottom"/>
            <w:hideMark/>
          </w:tcPr>
          <w:p w14:paraId="314492C1"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100,0</w:t>
            </w:r>
          </w:p>
        </w:tc>
      </w:tr>
      <w:tr w:rsidR="00256A12" w:rsidRPr="00256A12" w14:paraId="27D7B5F4" w14:textId="77777777" w:rsidTr="00256A12">
        <w:trPr>
          <w:trHeight w:val="51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6537839C" w14:textId="77777777" w:rsidR="00256A12" w:rsidRPr="00256A12" w:rsidRDefault="00256A12" w:rsidP="00256A12">
            <w:pPr>
              <w:spacing w:after="0" w:line="240" w:lineRule="auto"/>
              <w:jc w:val="center"/>
              <w:rPr>
                <w:rFonts w:ascii="Calibri" w:eastAsia="Times New Roman" w:hAnsi="Calibri" w:cs="Arial"/>
                <w:sz w:val="20"/>
                <w:szCs w:val="20"/>
                <w:lang w:eastAsia="cs-CZ"/>
              </w:rPr>
            </w:pPr>
            <w:r w:rsidRPr="00256A12">
              <w:rPr>
                <w:rFonts w:ascii="Calibri" w:eastAsia="Times New Roman" w:hAnsi="Calibri" w:cs="Arial"/>
                <w:sz w:val="20"/>
                <w:szCs w:val="20"/>
                <w:lang w:eastAsia="cs-CZ"/>
              </w:rPr>
              <w:t>2510</w:t>
            </w:r>
          </w:p>
        </w:tc>
        <w:tc>
          <w:tcPr>
            <w:tcW w:w="4109" w:type="dxa"/>
            <w:tcBorders>
              <w:top w:val="nil"/>
              <w:left w:val="nil"/>
              <w:bottom w:val="single" w:sz="4" w:space="0" w:color="auto"/>
              <w:right w:val="single" w:sz="4" w:space="0" w:color="auto"/>
            </w:tcBorders>
            <w:shd w:val="clear" w:color="000000" w:fill="FFFFFF"/>
            <w:vAlign w:val="bottom"/>
            <w:hideMark/>
          </w:tcPr>
          <w:p w14:paraId="1DC0E299" w14:textId="77777777" w:rsidR="00256A12" w:rsidRPr="00256A12" w:rsidRDefault="00256A12" w:rsidP="00256A12">
            <w:pPr>
              <w:spacing w:after="0" w:line="240" w:lineRule="auto"/>
              <w:rPr>
                <w:rFonts w:ascii="Calibri" w:eastAsia="Times New Roman" w:hAnsi="Calibri" w:cs="Arial"/>
                <w:sz w:val="20"/>
                <w:szCs w:val="20"/>
                <w:lang w:eastAsia="cs-CZ"/>
              </w:rPr>
            </w:pPr>
            <w:r w:rsidRPr="00256A12">
              <w:rPr>
                <w:rFonts w:ascii="Calibri" w:eastAsia="Times New Roman" w:hAnsi="Calibri" w:cs="Arial"/>
                <w:sz w:val="20"/>
                <w:szCs w:val="20"/>
                <w:lang w:eastAsia="cs-CZ"/>
              </w:rPr>
              <w:t xml:space="preserve">Středočeské inovační centrum - Středočeské podnikatelské vouchery </w:t>
            </w:r>
          </w:p>
        </w:tc>
        <w:tc>
          <w:tcPr>
            <w:tcW w:w="1302" w:type="dxa"/>
            <w:tcBorders>
              <w:top w:val="nil"/>
              <w:left w:val="nil"/>
              <w:bottom w:val="single" w:sz="4" w:space="0" w:color="auto"/>
              <w:right w:val="single" w:sz="4" w:space="0" w:color="auto"/>
            </w:tcBorders>
            <w:shd w:val="clear" w:color="000000" w:fill="FFFFFF"/>
            <w:noWrap/>
            <w:vAlign w:val="bottom"/>
            <w:hideMark/>
          </w:tcPr>
          <w:p w14:paraId="0BC1C2C7"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12 000 000</w:t>
            </w:r>
          </w:p>
        </w:tc>
        <w:tc>
          <w:tcPr>
            <w:tcW w:w="1418" w:type="dxa"/>
            <w:tcBorders>
              <w:top w:val="nil"/>
              <w:left w:val="nil"/>
              <w:bottom w:val="single" w:sz="4" w:space="0" w:color="auto"/>
              <w:right w:val="single" w:sz="4" w:space="0" w:color="auto"/>
            </w:tcBorders>
            <w:shd w:val="clear" w:color="000000" w:fill="FFFFFF"/>
            <w:noWrap/>
            <w:vAlign w:val="bottom"/>
            <w:hideMark/>
          </w:tcPr>
          <w:p w14:paraId="235A12CD"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12 000 000,00</w:t>
            </w:r>
          </w:p>
        </w:tc>
        <w:tc>
          <w:tcPr>
            <w:tcW w:w="1559" w:type="dxa"/>
            <w:tcBorders>
              <w:top w:val="nil"/>
              <w:left w:val="nil"/>
              <w:bottom w:val="single" w:sz="4" w:space="0" w:color="auto"/>
              <w:right w:val="single" w:sz="4" w:space="0" w:color="auto"/>
            </w:tcBorders>
            <w:shd w:val="clear" w:color="000000" w:fill="FFFFFF"/>
            <w:noWrap/>
            <w:vAlign w:val="bottom"/>
            <w:hideMark/>
          </w:tcPr>
          <w:p w14:paraId="51901964"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12 000 000,00</w:t>
            </w:r>
          </w:p>
        </w:tc>
        <w:tc>
          <w:tcPr>
            <w:tcW w:w="714" w:type="dxa"/>
            <w:tcBorders>
              <w:top w:val="nil"/>
              <w:left w:val="nil"/>
              <w:bottom w:val="single" w:sz="4" w:space="0" w:color="auto"/>
              <w:right w:val="single" w:sz="8" w:space="0" w:color="auto"/>
            </w:tcBorders>
            <w:shd w:val="clear" w:color="000000" w:fill="FFFFFF"/>
            <w:noWrap/>
            <w:vAlign w:val="bottom"/>
            <w:hideMark/>
          </w:tcPr>
          <w:p w14:paraId="202ADFC8"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100,0</w:t>
            </w:r>
          </w:p>
        </w:tc>
      </w:tr>
      <w:tr w:rsidR="00256A12" w:rsidRPr="00256A12" w14:paraId="5F426111" w14:textId="77777777" w:rsidTr="00256A12">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196C1142" w14:textId="77777777" w:rsidR="00256A12" w:rsidRPr="00256A12" w:rsidRDefault="00256A12" w:rsidP="00256A12">
            <w:pPr>
              <w:spacing w:after="0" w:line="240" w:lineRule="auto"/>
              <w:jc w:val="center"/>
              <w:rPr>
                <w:rFonts w:ascii="Calibri" w:eastAsia="Times New Roman" w:hAnsi="Calibri" w:cs="Arial"/>
                <w:sz w:val="20"/>
                <w:szCs w:val="20"/>
                <w:lang w:eastAsia="cs-CZ"/>
              </w:rPr>
            </w:pPr>
            <w:r w:rsidRPr="00256A12">
              <w:rPr>
                <w:rFonts w:ascii="Calibri" w:eastAsia="Times New Roman" w:hAnsi="Calibri" w:cs="Arial"/>
                <w:sz w:val="20"/>
                <w:szCs w:val="20"/>
                <w:lang w:eastAsia="cs-CZ"/>
              </w:rPr>
              <w:t>2510</w:t>
            </w:r>
          </w:p>
        </w:tc>
        <w:tc>
          <w:tcPr>
            <w:tcW w:w="4109" w:type="dxa"/>
            <w:tcBorders>
              <w:top w:val="nil"/>
              <w:left w:val="nil"/>
              <w:bottom w:val="single" w:sz="4" w:space="0" w:color="auto"/>
              <w:right w:val="single" w:sz="4" w:space="0" w:color="auto"/>
            </w:tcBorders>
            <w:shd w:val="clear" w:color="000000" w:fill="FFFFFF"/>
            <w:vAlign w:val="bottom"/>
            <w:hideMark/>
          </w:tcPr>
          <w:p w14:paraId="61DECC9E" w14:textId="77777777" w:rsidR="00256A12" w:rsidRPr="00256A12" w:rsidRDefault="00256A12" w:rsidP="00256A12">
            <w:pPr>
              <w:spacing w:after="0" w:line="240" w:lineRule="auto"/>
              <w:rPr>
                <w:rFonts w:ascii="Calibri" w:eastAsia="Times New Roman" w:hAnsi="Calibri" w:cs="Arial"/>
                <w:sz w:val="20"/>
                <w:szCs w:val="20"/>
                <w:lang w:eastAsia="cs-CZ"/>
              </w:rPr>
            </w:pPr>
            <w:r w:rsidRPr="00256A12">
              <w:rPr>
                <w:rFonts w:ascii="Calibri" w:eastAsia="Times New Roman" w:hAnsi="Calibri" w:cs="Arial"/>
                <w:sz w:val="20"/>
                <w:szCs w:val="20"/>
                <w:lang w:eastAsia="cs-CZ"/>
              </w:rPr>
              <w:t>Středočeské inovační centrum  - projekt PLATINN</w:t>
            </w:r>
          </w:p>
        </w:tc>
        <w:tc>
          <w:tcPr>
            <w:tcW w:w="1302" w:type="dxa"/>
            <w:tcBorders>
              <w:top w:val="nil"/>
              <w:left w:val="nil"/>
              <w:bottom w:val="single" w:sz="4" w:space="0" w:color="auto"/>
              <w:right w:val="single" w:sz="4" w:space="0" w:color="auto"/>
            </w:tcBorders>
            <w:shd w:val="clear" w:color="000000" w:fill="FFFFFF"/>
            <w:noWrap/>
            <w:vAlign w:val="bottom"/>
            <w:hideMark/>
          </w:tcPr>
          <w:p w14:paraId="3B5CB9B7"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1 500 000</w:t>
            </w:r>
          </w:p>
        </w:tc>
        <w:tc>
          <w:tcPr>
            <w:tcW w:w="1418" w:type="dxa"/>
            <w:tcBorders>
              <w:top w:val="nil"/>
              <w:left w:val="nil"/>
              <w:bottom w:val="single" w:sz="4" w:space="0" w:color="auto"/>
              <w:right w:val="single" w:sz="4" w:space="0" w:color="auto"/>
            </w:tcBorders>
            <w:shd w:val="clear" w:color="000000" w:fill="FFFFFF"/>
            <w:noWrap/>
            <w:vAlign w:val="bottom"/>
            <w:hideMark/>
          </w:tcPr>
          <w:p w14:paraId="6F4D8608"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1 500 000,00</w:t>
            </w:r>
          </w:p>
        </w:tc>
        <w:tc>
          <w:tcPr>
            <w:tcW w:w="1559" w:type="dxa"/>
            <w:tcBorders>
              <w:top w:val="nil"/>
              <w:left w:val="nil"/>
              <w:bottom w:val="single" w:sz="4" w:space="0" w:color="auto"/>
              <w:right w:val="single" w:sz="4" w:space="0" w:color="auto"/>
            </w:tcBorders>
            <w:shd w:val="clear" w:color="000000" w:fill="FFFFFF"/>
            <w:noWrap/>
            <w:vAlign w:val="bottom"/>
            <w:hideMark/>
          </w:tcPr>
          <w:p w14:paraId="0C1BD7F9"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1 500 000,00</w:t>
            </w:r>
          </w:p>
        </w:tc>
        <w:tc>
          <w:tcPr>
            <w:tcW w:w="714" w:type="dxa"/>
            <w:tcBorders>
              <w:top w:val="nil"/>
              <w:left w:val="nil"/>
              <w:bottom w:val="single" w:sz="4" w:space="0" w:color="auto"/>
              <w:right w:val="single" w:sz="8" w:space="0" w:color="auto"/>
            </w:tcBorders>
            <w:shd w:val="clear" w:color="000000" w:fill="FFFFFF"/>
            <w:noWrap/>
            <w:vAlign w:val="bottom"/>
            <w:hideMark/>
          </w:tcPr>
          <w:p w14:paraId="233910B3"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100,0</w:t>
            </w:r>
          </w:p>
        </w:tc>
      </w:tr>
      <w:tr w:rsidR="00256A12" w:rsidRPr="00256A12" w14:paraId="64355325" w14:textId="77777777" w:rsidTr="00256A12">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1092B24E" w14:textId="77777777" w:rsidR="00256A12" w:rsidRPr="00256A12" w:rsidRDefault="00256A12" w:rsidP="00256A12">
            <w:pPr>
              <w:spacing w:after="0" w:line="240" w:lineRule="auto"/>
              <w:jc w:val="center"/>
              <w:rPr>
                <w:rFonts w:ascii="Calibri" w:eastAsia="Times New Roman" w:hAnsi="Calibri" w:cs="Arial"/>
                <w:sz w:val="20"/>
                <w:szCs w:val="20"/>
                <w:lang w:eastAsia="cs-CZ"/>
              </w:rPr>
            </w:pPr>
            <w:r w:rsidRPr="00256A12">
              <w:rPr>
                <w:rFonts w:ascii="Calibri" w:eastAsia="Times New Roman" w:hAnsi="Calibri" w:cs="Arial"/>
                <w:sz w:val="20"/>
                <w:szCs w:val="20"/>
                <w:lang w:eastAsia="cs-CZ"/>
              </w:rPr>
              <w:t>3419</w:t>
            </w:r>
          </w:p>
        </w:tc>
        <w:tc>
          <w:tcPr>
            <w:tcW w:w="4109" w:type="dxa"/>
            <w:tcBorders>
              <w:top w:val="nil"/>
              <w:left w:val="nil"/>
              <w:bottom w:val="single" w:sz="4" w:space="0" w:color="auto"/>
              <w:right w:val="single" w:sz="4" w:space="0" w:color="auto"/>
            </w:tcBorders>
            <w:shd w:val="clear" w:color="000000" w:fill="FFFFFF"/>
            <w:vAlign w:val="bottom"/>
            <w:hideMark/>
          </w:tcPr>
          <w:p w14:paraId="66CF07BE" w14:textId="77777777" w:rsidR="00256A12" w:rsidRPr="00256A12" w:rsidRDefault="00256A12" w:rsidP="00256A12">
            <w:pPr>
              <w:spacing w:after="0" w:line="240" w:lineRule="auto"/>
              <w:rPr>
                <w:rFonts w:ascii="Calibri" w:eastAsia="Times New Roman" w:hAnsi="Calibri" w:cs="Arial"/>
                <w:sz w:val="20"/>
                <w:szCs w:val="20"/>
                <w:lang w:eastAsia="cs-CZ"/>
              </w:rPr>
            </w:pPr>
            <w:r w:rsidRPr="00256A12">
              <w:rPr>
                <w:rFonts w:ascii="Calibri" w:eastAsia="Times New Roman" w:hAnsi="Calibri" w:cs="Arial"/>
                <w:sz w:val="20"/>
                <w:szCs w:val="20"/>
                <w:lang w:eastAsia="cs-CZ"/>
              </w:rPr>
              <w:t>Sportovní soutěže</w:t>
            </w:r>
          </w:p>
        </w:tc>
        <w:tc>
          <w:tcPr>
            <w:tcW w:w="1302" w:type="dxa"/>
            <w:tcBorders>
              <w:top w:val="nil"/>
              <w:left w:val="nil"/>
              <w:bottom w:val="single" w:sz="4" w:space="0" w:color="auto"/>
              <w:right w:val="single" w:sz="4" w:space="0" w:color="auto"/>
            </w:tcBorders>
            <w:shd w:val="clear" w:color="000000" w:fill="FFFFFF"/>
            <w:noWrap/>
            <w:vAlign w:val="bottom"/>
            <w:hideMark/>
          </w:tcPr>
          <w:p w14:paraId="2F68E0B6"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4 600 000</w:t>
            </w:r>
          </w:p>
        </w:tc>
        <w:tc>
          <w:tcPr>
            <w:tcW w:w="1418" w:type="dxa"/>
            <w:tcBorders>
              <w:top w:val="nil"/>
              <w:left w:val="nil"/>
              <w:bottom w:val="single" w:sz="4" w:space="0" w:color="auto"/>
              <w:right w:val="single" w:sz="4" w:space="0" w:color="auto"/>
            </w:tcBorders>
            <w:shd w:val="clear" w:color="000000" w:fill="FFFFFF"/>
            <w:noWrap/>
            <w:vAlign w:val="bottom"/>
            <w:hideMark/>
          </w:tcPr>
          <w:p w14:paraId="6581740A"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0,00</w:t>
            </w:r>
          </w:p>
        </w:tc>
        <w:tc>
          <w:tcPr>
            <w:tcW w:w="1559" w:type="dxa"/>
            <w:tcBorders>
              <w:top w:val="nil"/>
              <w:left w:val="nil"/>
              <w:bottom w:val="single" w:sz="4" w:space="0" w:color="auto"/>
              <w:right w:val="single" w:sz="4" w:space="0" w:color="auto"/>
            </w:tcBorders>
            <w:shd w:val="clear" w:color="000000" w:fill="FFFFFF"/>
            <w:noWrap/>
            <w:vAlign w:val="bottom"/>
            <w:hideMark/>
          </w:tcPr>
          <w:p w14:paraId="324DA03D"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0,00</w:t>
            </w:r>
          </w:p>
        </w:tc>
        <w:tc>
          <w:tcPr>
            <w:tcW w:w="714" w:type="dxa"/>
            <w:tcBorders>
              <w:top w:val="nil"/>
              <w:left w:val="nil"/>
              <w:bottom w:val="single" w:sz="4" w:space="0" w:color="auto"/>
              <w:right w:val="single" w:sz="8" w:space="0" w:color="auto"/>
            </w:tcBorders>
            <w:shd w:val="clear" w:color="000000" w:fill="FFFFFF"/>
            <w:noWrap/>
            <w:vAlign w:val="bottom"/>
            <w:hideMark/>
          </w:tcPr>
          <w:p w14:paraId="6709209F"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w:t>
            </w:r>
          </w:p>
        </w:tc>
      </w:tr>
      <w:tr w:rsidR="00256A12" w:rsidRPr="00256A12" w14:paraId="356AE4B8" w14:textId="77777777" w:rsidTr="00256A12">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6CC3950B" w14:textId="77777777" w:rsidR="00256A12" w:rsidRPr="00256A12" w:rsidRDefault="00256A12" w:rsidP="00256A12">
            <w:pPr>
              <w:spacing w:after="0" w:line="240" w:lineRule="auto"/>
              <w:jc w:val="center"/>
              <w:rPr>
                <w:rFonts w:ascii="Calibri" w:eastAsia="Times New Roman" w:hAnsi="Calibri" w:cs="Arial"/>
                <w:sz w:val="20"/>
                <w:szCs w:val="20"/>
                <w:lang w:eastAsia="cs-CZ"/>
              </w:rPr>
            </w:pPr>
            <w:r w:rsidRPr="00256A12">
              <w:rPr>
                <w:rFonts w:ascii="Calibri" w:eastAsia="Times New Roman" w:hAnsi="Calibri" w:cs="Arial"/>
                <w:sz w:val="20"/>
                <w:szCs w:val="20"/>
                <w:lang w:eastAsia="cs-CZ"/>
              </w:rPr>
              <w:t>3419</w:t>
            </w:r>
          </w:p>
        </w:tc>
        <w:tc>
          <w:tcPr>
            <w:tcW w:w="4109" w:type="dxa"/>
            <w:tcBorders>
              <w:top w:val="nil"/>
              <w:left w:val="nil"/>
              <w:bottom w:val="single" w:sz="4" w:space="0" w:color="auto"/>
              <w:right w:val="single" w:sz="4" w:space="0" w:color="auto"/>
            </w:tcBorders>
            <w:shd w:val="clear" w:color="000000" w:fill="FFFFFF"/>
            <w:noWrap/>
            <w:vAlign w:val="bottom"/>
            <w:hideMark/>
          </w:tcPr>
          <w:p w14:paraId="2639C8B3" w14:textId="77777777" w:rsidR="00256A12" w:rsidRPr="00256A12" w:rsidRDefault="00256A12" w:rsidP="00256A12">
            <w:pPr>
              <w:spacing w:after="0" w:line="240" w:lineRule="auto"/>
              <w:rPr>
                <w:rFonts w:ascii="Calibri" w:eastAsia="Times New Roman" w:hAnsi="Calibri" w:cs="Arial"/>
                <w:sz w:val="20"/>
                <w:szCs w:val="20"/>
                <w:lang w:eastAsia="cs-CZ"/>
              </w:rPr>
            </w:pPr>
            <w:r w:rsidRPr="00256A12">
              <w:rPr>
                <w:rFonts w:ascii="Calibri" w:eastAsia="Times New Roman" w:hAnsi="Calibri" w:cs="Arial"/>
                <w:sz w:val="20"/>
                <w:szCs w:val="20"/>
                <w:lang w:eastAsia="cs-CZ"/>
              </w:rPr>
              <w:t>Sportovní centra mládeže</w:t>
            </w:r>
          </w:p>
        </w:tc>
        <w:tc>
          <w:tcPr>
            <w:tcW w:w="1302" w:type="dxa"/>
            <w:tcBorders>
              <w:top w:val="nil"/>
              <w:left w:val="nil"/>
              <w:bottom w:val="single" w:sz="4" w:space="0" w:color="auto"/>
              <w:right w:val="single" w:sz="4" w:space="0" w:color="auto"/>
            </w:tcBorders>
            <w:shd w:val="clear" w:color="000000" w:fill="FFFFFF"/>
            <w:noWrap/>
            <w:vAlign w:val="bottom"/>
            <w:hideMark/>
          </w:tcPr>
          <w:p w14:paraId="11D53EB1"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0</w:t>
            </w:r>
          </w:p>
        </w:tc>
        <w:tc>
          <w:tcPr>
            <w:tcW w:w="1418" w:type="dxa"/>
            <w:tcBorders>
              <w:top w:val="nil"/>
              <w:left w:val="nil"/>
              <w:bottom w:val="single" w:sz="4" w:space="0" w:color="auto"/>
              <w:right w:val="single" w:sz="4" w:space="0" w:color="auto"/>
            </w:tcBorders>
            <w:shd w:val="clear" w:color="000000" w:fill="FFFFFF"/>
            <w:noWrap/>
            <w:vAlign w:val="bottom"/>
            <w:hideMark/>
          </w:tcPr>
          <w:p w14:paraId="3CD2C09A"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28 430 000,00</w:t>
            </w:r>
          </w:p>
        </w:tc>
        <w:tc>
          <w:tcPr>
            <w:tcW w:w="1559" w:type="dxa"/>
            <w:tcBorders>
              <w:top w:val="nil"/>
              <w:left w:val="nil"/>
              <w:bottom w:val="single" w:sz="4" w:space="0" w:color="auto"/>
              <w:right w:val="single" w:sz="4" w:space="0" w:color="auto"/>
            </w:tcBorders>
            <w:shd w:val="clear" w:color="000000" w:fill="FFFFFF"/>
            <w:noWrap/>
            <w:vAlign w:val="bottom"/>
            <w:hideMark/>
          </w:tcPr>
          <w:p w14:paraId="7C33A58A"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28 430 000,00</w:t>
            </w:r>
          </w:p>
        </w:tc>
        <w:tc>
          <w:tcPr>
            <w:tcW w:w="714" w:type="dxa"/>
            <w:tcBorders>
              <w:top w:val="nil"/>
              <w:left w:val="nil"/>
              <w:bottom w:val="single" w:sz="4" w:space="0" w:color="auto"/>
              <w:right w:val="single" w:sz="8" w:space="0" w:color="auto"/>
            </w:tcBorders>
            <w:shd w:val="clear" w:color="000000" w:fill="FFFFFF"/>
            <w:noWrap/>
            <w:vAlign w:val="bottom"/>
            <w:hideMark/>
          </w:tcPr>
          <w:p w14:paraId="646297EA"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100,0</w:t>
            </w:r>
          </w:p>
        </w:tc>
      </w:tr>
      <w:tr w:rsidR="00256A12" w:rsidRPr="00256A12" w14:paraId="297AAB87" w14:textId="77777777" w:rsidTr="00256A12">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60D53238" w14:textId="77777777" w:rsidR="00256A12" w:rsidRPr="00256A12" w:rsidRDefault="00256A12" w:rsidP="00256A12">
            <w:pPr>
              <w:spacing w:after="0" w:line="240" w:lineRule="auto"/>
              <w:jc w:val="center"/>
              <w:rPr>
                <w:rFonts w:ascii="Calibri" w:eastAsia="Times New Roman" w:hAnsi="Calibri" w:cs="Arial"/>
                <w:sz w:val="20"/>
                <w:szCs w:val="20"/>
                <w:lang w:eastAsia="cs-CZ"/>
              </w:rPr>
            </w:pPr>
            <w:r w:rsidRPr="00256A12">
              <w:rPr>
                <w:rFonts w:ascii="Calibri" w:eastAsia="Times New Roman" w:hAnsi="Calibri" w:cs="Arial"/>
                <w:sz w:val="20"/>
                <w:szCs w:val="20"/>
                <w:lang w:eastAsia="cs-CZ"/>
              </w:rPr>
              <w:t>3419</w:t>
            </w:r>
          </w:p>
        </w:tc>
        <w:tc>
          <w:tcPr>
            <w:tcW w:w="4109" w:type="dxa"/>
            <w:tcBorders>
              <w:top w:val="nil"/>
              <w:left w:val="nil"/>
              <w:bottom w:val="single" w:sz="4" w:space="0" w:color="auto"/>
              <w:right w:val="single" w:sz="4" w:space="0" w:color="auto"/>
            </w:tcBorders>
            <w:shd w:val="clear" w:color="000000" w:fill="FFFFFF"/>
            <w:vAlign w:val="bottom"/>
            <w:hideMark/>
          </w:tcPr>
          <w:p w14:paraId="6DF48434" w14:textId="77777777" w:rsidR="00256A12" w:rsidRPr="00256A12" w:rsidRDefault="00256A12" w:rsidP="00256A12">
            <w:pPr>
              <w:spacing w:after="0" w:line="240" w:lineRule="auto"/>
              <w:rPr>
                <w:rFonts w:ascii="Calibri" w:eastAsia="Times New Roman" w:hAnsi="Calibri" w:cs="Arial"/>
                <w:sz w:val="20"/>
                <w:szCs w:val="20"/>
                <w:lang w:eastAsia="cs-CZ"/>
              </w:rPr>
            </w:pPr>
            <w:r w:rsidRPr="00256A12">
              <w:rPr>
                <w:rFonts w:ascii="Calibri" w:eastAsia="Times New Roman" w:hAnsi="Calibri" w:cs="Arial"/>
                <w:sz w:val="20"/>
                <w:szCs w:val="20"/>
                <w:lang w:eastAsia="cs-CZ"/>
              </w:rPr>
              <w:t xml:space="preserve">Olympiáda dětí a mládeže </w:t>
            </w:r>
          </w:p>
        </w:tc>
        <w:tc>
          <w:tcPr>
            <w:tcW w:w="1302" w:type="dxa"/>
            <w:tcBorders>
              <w:top w:val="nil"/>
              <w:left w:val="nil"/>
              <w:bottom w:val="single" w:sz="4" w:space="0" w:color="auto"/>
              <w:right w:val="single" w:sz="4" w:space="0" w:color="auto"/>
            </w:tcBorders>
            <w:shd w:val="clear" w:color="000000" w:fill="FFFFFF"/>
            <w:noWrap/>
            <w:vAlign w:val="bottom"/>
            <w:hideMark/>
          </w:tcPr>
          <w:p w14:paraId="5880B461"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2 000 000</w:t>
            </w:r>
          </w:p>
        </w:tc>
        <w:tc>
          <w:tcPr>
            <w:tcW w:w="1418" w:type="dxa"/>
            <w:tcBorders>
              <w:top w:val="nil"/>
              <w:left w:val="nil"/>
              <w:bottom w:val="single" w:sz="4" w:space="0" w:color="auto"/>
              <w:right w:val="single" w:sz="4" w:space="0" w:color="auto"/>
            </w:tcBorders>
            <w:shd w:val="clear" w:color="000000" w:fill="FFFFFF"/>
            <w:noWrap/>
            <w:vAlign w:val="bottom"/>
            <w:hideMark/>
          </w:tcPr>
          <w:p w14:paraId="5C94BFE2"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0,00</w:t>
            </w:r>
          </w:p>
        </w:tc>
        <w:tc>
          <w:tcPr>
            <w:tcW w:w="1559" w:type="dxa"/>
            <w:tcBorders>
              <w:top w:val="nil"/>
              <w:left w:val="nil"/>
              <w:bottom w:val="single" w:sz="4" w:space="0" w:color="auto"/>
              <w:right w:val="single" w:sz="4" w:space="0" w:color="auto"/>
            </w:tcBorders>
            <w:shd w:val="clear" w:color="000000" w:fill="FFFFFF"/>
            <w:noWrap/>
            <w:vAlign w:val="bottom"/>
            <w:hideMark/>
          </w:tcPr>
          <w:p w14:paraId="5192285A"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0,00</w:t>
            </w:r>
          </w:p>
        </w:tc>
        <w:tc>
          <w:tcPr>
            <w:tcW w:w="714" w:type="dxa"/>
            <w:tcBorders>
              <w:top w:val="nil"/>
              <w:left w:val="nil"/>
              <w:bottom w:val="single" w:sz="4" w:space="0" w:color="auto"/>
              <w:right w:val="single" w:sz="8" w:space="0" w:color="auto"/>
            </w:tcBorders>
            <w:shd w:val="clear" w:color="000000" w:fill="FFFFFF"/>
            <w:noWrap/>
            <w:vAlign w:val="bottom"/>
            <w:hideMark/>
          </w:tcPr>
          <w:p w14:paraId="6F22EA12"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w:t>
            </w:r>
          </w:p>
        </w:tc>
      </w:tr>
      <w:tr w:rsidR="00256A12" w:rsidRPr="00256A12" w14:paraId="5B426D52" w14:textId="77777777" w:rsidTr="00256A12">
        <w:trPr>
          <w:trHeight w:val="78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62131E9A" w14:textId="77777777" w:rsidR="00256A12" w:rsidRPr="00256A12" w:rsidRDefault="00256A12" w:rsidP="00256A12">
            <w:pPr>
              <w:spacing w:after="0" w:line="240" w:lineRule="auto"/>
              <w:jc w:val="center"/>
              <w:rPr>
                <w:rFonts w:ascii="Calibri" w:eastAsia="Times New Roman" w:hAnsi="Calibri" w:cs="Arial"/>
                <w:sz w:val="20"/>
                <w:szCs w:val="20"/>
                <w:lang w:eastAsia="cs-CZ"/>
              </w:rPr>
            </w:pPr>
            <w:r w:rsidRPr="00256A12">
              <w:rPr>
                <w:rFonts w:ascii="Calibri" w:eastAsia="Times New Roman" w:hAnsi="Calibri" w:cs="Arial"/>
                <w:sz w:val="20"/>
                <w:szCs w:val="20"/>
                <w:lang w:eastAsia="cs-CZ"/>
              </w:rPr>
              <w:t>3636</w:t>
            </w:r>
          </w:p>
        </w:tc>
        <w:tc>
          <w:tcPr>
            <w:tcW w:w="4109" w:type="dxa"/>
            <w:tcBorders>
              <w:top w:val="nil"/>
              <w:left w:val="nil"/>
              <w:bottom w:val="single" w:sz="4" w:space="0" w:color="auto"/>
              <w:right w:val="single" w:sz="4" w:space="0" w:color="auto"/>
            </w:tcBorders>
            <w:shd w:val="clear" w:color="000000" w:fill="FFFFFF"/>
            <w:vAlign w:val="center"/>
            <w:hideMark/>
          </w:tcPr>
          <w:p w14:paraId="1289DB81" w14:textId="77777777" w:rsidR="00256A12" w:rsidRPr="00256A12" w:rsidRDefault="00256A12" w:rsidP="00256A12">
            <w:pPr>
              <w:spacing w:after="0" w:line="240" w:lineRule="auto"/>
              <w:rPr>
                <w:rFonts w:ascii="Calibri" w:eastAsia="Times New Roman" w:hAnsi="Calibri" w:cs="Arial"/>
                <w:sz w:val="20"/>
                <w:szCs w:val="20"/>
                <w:lang w:eastAsia="cs-CZ"/>
              </w:rPr>
            </w:pPr>
            <w:r w:rsidRPr="00256A12">
              <w:rPr>
                <w:rFonts w:ascii="Calibri" w:eastAsia="Times New Roman" w:hAnsi="Calibri" w:cs="Arial"/>
                <w:sz w:val="20"/>
                <w:szCs w:val="20"/>
                <w:lang w:eastAsia="cs-CZ"/>
              </w:rPr>
              <w:t>Program podpory rozvoje meziobecní spolupráce v oblasti fungování center sdílených služeb dobrovolných svazků obcí Středočeského kraje pro rok 2021</w:t>
            </w:r>
          </w:p>
        </w:tc>
        <w:tc>
          <w:tcPr>
            <w:tcW w:w="1302" w:type="dxa"/>
            <w:tcBorders>
              <w:top w:val="nil"/>
              <w:left w:val="nil"/>
              <w:bottom w:val="single" w:sz="4" w:space="0" w:color="auto"/>
              <w:right w:val="single" w:sz="4" w:space="0" w:color="auto"/>
            </w:tcBorders>
            <w:shd w:val="clear" w:color="000000" w:fill="FFFFFF"/>
            <w:noWrap/>
            <w:vAlign w:val="bottom"/>
            <w:hideMark/>
          </w:tcPr>
          <w:p w14:paraId="4DB6AA5F"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2 000 000</w:t>
            </w:r>
          </w:p>
        </w:tc>
        <w:tc>
          <w:tcPr>
            <w:tcW w:w="1418" w:type="dxa"/>
            <w:tcBorders>
              <w:top w:val="nil"/>
              <w:left w:val="nil"/>
              <w:bottom w:val="single" w:sz="4" w:space="0" w:color="auto"/>
              <w:right w:val="single" w:sz="4" w:space="0" w:color="auto"/>
            </w:tcBorders>
            <w:shd w:val="clear" w:color="000000" w:fill="FFFFFF"/>
            <w:noWrap/>
            <w:vAlign w:val="bottom"/>
            <w:hideMark/>
          </w:tcPr>
          <w:p w14:paraId="73B2D56D"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3 500 000,00</w:t>
            </w:r>
          </w:p>
        </w:tc>
        <w:tc>
          <w:tcPr>
            <w:tcW w:w="1559" w:type="dxa"/>
            <w:tcBorders>
              <w:top w:val="nil"/>
              <w:left w:val="nil"/>
              <w:bottom w:val="single" w:sz="4" w:space="0" w:color="auto"/>
              <w:right w:val="single" w:sz="4" w:space="0" w:color="auto"/>
            </w:tcBorders>
            <w:shd w:val="clear" w:color="000000" w:fill="FFFFFF"/>
            <w:noWrap/>
            <w:vAlign w:val="bottom"/>
            <w:hideMark/>
          </w:tcPr>
          <w:p w14:paraId="2EB2AB6A"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2 987 481,00</w:t>
            </w:r>
          </w:p>
        </w:tc>
        <w:tc>
          <w:tcPr>
            <w:tcW w:w="714" w:type="dxa"/>
            <w:tcBorders>
              <w:top w:val="nil"/>
              <w:left w:val="nil"/>
              <w:bottom w:val="single" w:sz="4" w:space="0" w:color="auto"/>
              <w:right w:val="single" w:sz="8" w:space="0" w:color="auto"/>
            </w:tcBorders>
            <w:shd w:val="clear" w:color="000000" w:fill="FFFFFF"/>
            <w:noWrap/>
            <w:vAlign w:val="bottom"/>
            <w:hideMark/>
          </w:tcPr>
          <w:p w14:paraId="1766BBE1"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85,4</w:t>
            </w:r>
          </w:p>
        </w:tc>
      </w:tr>
      <w:tr w:rsidR="00256A12" w:rsidRPr="00256A12" w14:paraId="7F58AC40" w14:textId="77777777" w:rsidTr="00256A12">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1E68C0AD" w14:textId="77777777" w:rsidR="00256A12" w:rsidRPr="00256A12" w:rsidRDefault="00256A12" w:rsidP="00256A12">
            <w:pPr>
              <w:spacing w:after="0" w:line="240" w:lineRule="auto"/>
              <w:jc w:val="center"/>
              <w:rPr>
                <w:rFonts w:ascii="Calibri" w:eastAsia="Times New Roman" w:hAnsi="Calibri" w:cs="Arial"/>
                <w:sz w:val="20"/>
                <w:szCs w:val="20"/>
                <w:lang w:eastAsia="cs-CZ"/>
              </w:rPr>
            </w:pPr>
            <w:r w:rsidRPr="00256A12">
              <w:rPr>
                <w:rFonts w:ascii="Calibri" w:eastAsia="Times New Roman" w:hAnsi="Calibri" w:cs="Arial"/>
                <w:sz w:val="20"/>
                <w:szCs w:val="20"/>
                <w:lang w:eastAsia="cs-CZ"/>
              </w:rPr>
              <w:t>3636</w:t>
            </w:r>
          </w:p>
        </w:tc>
        <w:tc>
          <w:tcPr>
            <w:tcW w:w="4109" w:type="dxa"/>
            <w:tcBorders>
              <w:top w:val="nil"/>
              <w:left w:val="nil"/>
              <w:bottom w:val="single" w:sz="4" w:space="0" w:color="auto"/>
              <w:right w:val="single" w:sz="4" w:space="0" w:color="auto"/>
            </w:tcBorders>
            <w:shd w:val="clear" w:color="000000" w:fill="FFFFFF"/>
            <w:vAlign w:val="center"/>
            <w:hideMark/>
          </w:tcPr>
          <w:p w14:paraId="33B4772D" w14:textId="77777777" w:rsidR="00256A12" w:rsidRPr="00256A12" w:rsidRDefault="00256A12" w:rsidP="00256A12">
            <w:pPr>
              <w:spacing w:after="0" w:line="240" w:lineRule="auto"/>
              <w:rPr>
                <w:rFonts w:ascii="Calibri" w:eastAsia="Times New Roman" w:hAnsi="Calibri" w:cs="Arial"/>
                <w:sz w:val="20"/>
                <w:szCs w:val="20"/>
                <w:lang w:eastAsia="cs-CZ"/>
              </w:rPr>
            </w:pPr>
            <w:r w:rsidRPr="00256A12">
              <w:rPr>
                <w:rFonts w:ascii="Calibri" w:eastAsia="Times New Roman" w:hAnsi="Calibri" w:cs="Arial"/>
                <w:sz w:val="20"/>
                <w:szCs w:val="20"/>
                <w:lang w:eastAsia="cs-CZ"/>
              </w:rPr>
              <w:t>DTM - digitální technická mapa informační systém</w:t>
            </w:r>
          </w:p>
        </w:tc>
        <w:tc>
          <w:tcPr>
            <w:tcW w:w="1302" w:type="dxa"/>
            <w:tcBorders>
              <w:top w:val="nil"/>
              <w:left w:val="nil"/>
              <w:bottom w:val="single" w:sz="4" w:space="0" w:color="auto"/>
              <w:right w:val="single" w:sz="4" w:space="0" w:color="auto"/>
            </w:tcBorders>
            <w:shd w:val="clear" w:color="000000" w:fill="FFFFFF"/>
            <w:noWrap/>
            <w:vAlign w:val="bottom"/>
            <w:hideMark/>
          </w:tcPr>
          <w:p w14:paraId="2D4CDA62"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1 645 000</w:t>
            </w:r>
          </w:p>
        </w:tc>
        <w:tc>
          <w:tcPr>
            <w:tcW w:w="1418" w:type="dxa"/>
            <w:tcBorders>
              <w:top w:val="nil"/>
              <w:left w:val="nil"/>
              <w:bottom w:val="single" w:sz="4" w:space="0" w:color="auto"/>
              <w:right w:val="single" w:sz="4" w:space="0" w:color="auto"/>
            </w:tcBorders>
            <w:shd w:val="clear" w:color="000000" w:fill="FFFFFF"/>
            <w:noWrap/>
            <w:vAlign w:val="bottom"/>
            <w:hideMark/>
          </w:tcPr>
          <w:p w14:paraId="78629DB1"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1 645 000,00</w:t>
            </w:r>
          </w:p>
        </w:tc>
        <w:tc>
          <w:tcPr>
            <w:tcW w:w="1559" w:type="dxa"/>
            <w:tcBorders>
              <w:top w:val="nil"/>
              <w:left w:val="nil"/>
              <w:bottom w:val="single" w:sz="4" w:space="0" w:color="auto"/>
              <w:right w:val="single" w:sz="4" w:space="0" w:color="auto"/>
            </w:tcBorders>
            <w:shd w:val="clear" w:color="000000" w:fill="FFFFFF"/>
            <w:noWrap/>
            <w:vAlign w:val="bottom"/>
            <w:hideMark/>
          </w:tcPr>
          <w:p w14:paraId="7A488310"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0,00</w:t>
            </w:r>
          </w:p>
        </w:tc>
        <w:tc>
          <w:tcPr>
            <w:tcW w:w="714" w:type="dxa"/>
            <w:tcBorders>
              <w:top w:val="nil"/>
              <w:left w:val="nil"/>
              <w:bottom w:val="single" w:sz="4" w:space="0" w:color="auto"/>
              <w:right w:val="single" w:sz="8" w:space="0" w:color="auto"/>
            </w:tcBorders>
            <w:shd w:val="clear" w:color="000000" w:fill="FFFFFF"/>
            <w:noWrap/>
            <w:vAlign w:val="bottom"/>
            <w:hideMark/>
          </w:tcPr>
          <w:p w14:paraId="4AD8EF14"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0,0</w:t>
            </w:r>
          </w:p>
        </w:tc>
      </w:tr>
      <w:tr w:rsidR="00256A12" w:rsidRPr="00256A12" w14:paraId="3AF9EC17" w14:textId="77777777" w:rsidTr="00256A12">
        <w:trPr>
          <w:trHeight w:val="54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21229501" w14:textId="77777777" w:rsidR="00256A12" w:rsidRPr="00256A12" w:rsidRDefault="00256A12" w:rsidP="00256A12">
            <w:pPr>
              <w:spacing w:after="0" w:line="240" w:lineRule="auto"/>
              <w:jc w:val="center"/>
              <w:rPr>
                <w:rFonts w:ascii="Calibri" w:eastAsia="Times New Roman" w:hAnsi="Calibri" w:cs="Arial"/>
                <w:sz w:val="20"/>
                <w:szCs w:val="20"/>
                <w:lang w:eastAsia="cs-CZ"/>
              </w:rPr>
            </w:pPr>
            <w:r w:rsidRPr="00256A12">
              <w:rPr>
                <w:rFonts w:ascii="Calibri" w:eastAsia="Times New Roman" w:hAnsi="Calibri" w:cs="Arial"/>
                <w:sz w:val="20"/>
                <w:szCs w:val="20"/>
                <w:lang w:eastAsia="cs-CZ"/>
              </w:rPr>
              <w:t>6172</w:t>
            </w:r>
          </w:p>
        </w:tc>
        <w:tc>
          <w:tcPr>
            <w:tcW w:w="4109" w:type="dxa"/>
            <w:tcBorders>
              <w:top w:val="nil"/>
              <w:left w:val="nil"/>
              <w:bottom w:val="single" w:sz="4" w:space="0" w:color="auto"/>
              <w:right w:val="single" w:sz="4" w:space="0" w:color="auto"/>
            </w:tcBorders>
            <w:shd w:val="clear" w:color="000000" w:fill="FFFFFF"/>
            <w:vAlign w:val="bottom"/>
            <w:hideMark/>
          </w:tcPr>
          <w:p w14:paraId="46BAFECF" w14:textId="77777777" w:rsidR="00256A12" w:rsidRPr="00256A12" w:rsidRDefault="00256A12" w:rsidP="00256A12">
            <w:pPr>
              <w:spacing w:after="0" w:line="240" w:lineRule="auto"/>
              <w:rPr>
                <w:rFonts w:ascii="Calibri" w:eastAsia="Times New Roman" w:hAnsi="Calibri" w:cs="Arial"/>
                <w:sz w:val="20"/>
                <w:szCs w:val="20"/>
                <w:lang w:eastAsia="cs-CZ"/>
              </w:rPr>
            </w:pPr>
            <w:r w:rsidRPr="00256A12">
              <w:rPr>
                <w:rFonts w:ascii="Calibri" w:eastAsia="Times New Roman" w:hAnsi="Calibri" w:cs="Arial"/>
                <w:sz w:val="20"/>
                <w:szCs w:val="20"/>
                <w:lang w:eastAsia="cs-CZ"/>
              </w:rPr>
              <w:t>Činnost Regionální rady regionu soudržnosti Střední Čechy</w:t>
            </w:r>
          </w:p>
        </w:tc>
        <w:tc>
          <w:tcPr>
            <w:tcW w:w="1302" w:type="dxa"/>
            <w:tcBorders>
              <w:top w:val="nil"/>
              <w:left w:val="nil"/>
              <w:bottom w:val="single" w:sz="4" w:space="0" w:color="auto"/>
              <w:right w:val="single" w:sz="4" w:space="0" w:color="auto"/>
            </w:tcBorders>
            <w:shd w:val="clear" w:color="000000" w:fill="FFFFFF"/>
            <w:noWrap/>
            <w:vAlign w:val="bottom"/>
            <w:hideMark/>
          </w:tcPr>
          <w:p w14:paraId="0ECE34ED"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1 500 000</w:t>
            </w:r>
          </w:p>
        </w:tc>
        <w:tc>
          <w:tcPr>
            <w:tcW w:w="1418" w:type="dxa"/>
            <w:tcBorders>
              <w:top w:val="nil"/>
              <w:left w:val="nil"/>
              <w:bottom w:val="single" w:sz="4" w:space="0" w:color="auto"/>
              <w:right w:val="single" w:sz="4" w:space="0" w:color="auto"/>
            </w:tcBorders>
            <w:shd w:val="clear" w:color="000000" w:fill="FFFFFF"/>
            <w:noWrap/>
            <w:vAlign w:val="bottom"/>
            <w:hideMark/>
          </w:tcPr>
          <w:p w14:paraId="17D126E4"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1 500 000,00</w:t>
            </w:r>
          </w:p>
        </w:tc>
        <w:tc>
          <w:tcPr>
            <w:tcW w:w="1559" w:type="dxa"/>
            <w:tcBorders>
              <w:top w:val="nil"/>
              <w:left w:val="nil"/>
              <w:bottom w:val="single" w:sz="4" w:space="0" w:color="auto"/>
              <w:right w:val="single" w:sz="4" w:space="0" w:color="auto"/>
            </w:tcBorders>
            <w:shd w:val="clear" w:color="000000" w:fill="FFFFFF"/>
            <w:noWrap/>
            <w:vAlign w:val="bottom"/>
            <w:hideMark/>
          </w:tcPr>
          <w:p w14:paraId="4DCDB48C"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251 415,63</w:t>
            </w:r>
          </w:p>
        </w:tc>
        <w:tc>
          <w:tcPr>
            <w:tcW w:w="714" w:type="dxa"/>
            <w:tcBorders>
              <w:top w:val="nil"/>
              <w:left w:val="nil"/>
              <w:bottom w:val="single" w:sz="4" w:space="0" w:color="auto"/>
              <w:right w:val="single" w:sz="8" w:space="0" w:color="auto"/>
            </w:tcBorders>
            <w:shd w:val="clear" w:color="000000" w:fill="FFFFFF"/>
            <w:noWrap/>
            <w:vAlign w:val="bottom"/>
            <w:hideMark/>
          </w:tcPr>
          <w:p w14:paraId="67942FC8"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16,8</w:t>
            </w:r>
          </w:p>
        </w:tc>
      </w:tr>
      <w:tr w:rsidR="00256A12" w:rsidRPr="00256A12" w14:paraId="206EECD2" w14:textId="77777777" w:rsidTr="00256A12">
        <w:trPr>
          <w:trHeight w:val="320"/>
        </w:trPr>
        <w:tc>
          <w:tcPr>
            <w:tcW w:w="826" w:type="dxa"/>
            <w:tcBorders>
              <w:top w:val="single" w:sz="8" w:space="0" w:color="auto"/>
              <w:left w:val="single" w:sz="8" w:space="0" w:color="auto"/>
              <w:bottom w:val="single" w:sz="8" w:space="0" w:color="auto"/>
              <w:right w:val="single" w:sz="4" w:space="0" w:color="auto"/>
            </w:tcBorders>
            <w:shd w:val="clear" w:color="000000" w:fill="FFFFFF"/>
            <w:noWrap/>
            <w:vAlign w:val="bottom"/>
            <w:hideMark/>
          </w:tcPr>
          <w:p w14:paraId="20E2FF6E" w14:textId="77777777" w:rsidR="00256A12" w:rsidRPr="00256A12" w:rsidRDefault="00256A12" w:rsidP="00256A12">
            <w:pPr>
              <w:spacing w:after="0" w:line="240" w:lineRule="auto"/>
              <w:rPr>
                <w:rFonts w:ascii="Calibri" w:eastAsia="Times New Roman" w:hAnsi="Calibri" w:cs="Arial"/>
                <w:b/>
                <w:bCs/>
                <w:lang w:eastAsia="cs-CZ"/>
              </w:rPr>
            </w:pPr>
            <w:r w:rsidRPr="00256A12">
              <w:rPr>
                <w:rFonts w:ascii="Calibri" w:eastAsia="Times New Roman" w:hAnsi="Calibri" w:cs="Arial"/>
                <w:b/>
                <w:bCs/>
                <w:lang w:eastAsia="cs-CZ"/>
              </w:rPr>
              <w:t> </w:t>
            </w:r>
          </w:p>
        </w:tc>
        <w:tc>
          <w:tcPr>
            <w:tcW w:w="4109" w:type="dxa"/>
            <w:tcBorders>
              <w:top w:val="single" w:sz="8" w:space="0" w:color="auto"/>
              <w:left w:val="nil"/>
              <w:bottom w:val="single" w:sz="8" w:space="0" w:color="auto"/>
              <w:right w:val="single" w:sz="4" w:space="0" w:color="auto"/>
            </w:tcBorders>
            <w:shd w:val="clear" w:color="000000" w:fill="FFFFFF"/>
            <w:noWrap/>
            <w:vAlign w:val="bottom"/>
            <w:hideMark/>
          </w:tcPr>
          <w:p w14:paraId="3F6DE6F8" w14:textId="77777777" w:rsidR="00256A12" w:rsidRPr="00256A12" w:rsidRDefault="00256A12" w:rsidP="00256A12">
            <w:pPr>
              <w:spacing w:after="0" w:line="240" w:lineRule="auto"/>
              <w:rPr>
                <w:rFonts w:ascii="Calibri" w:eastAsia="Times New Roman" w:hAnsi="Calibri" w:cs="Arial"/>
                <w:b/>
                <w:bCs/>
                <w:lang w:eastAsia="cs-CZ"/>
              </w:rPr>
            </w:pPr>
            <w:r w:rsidRPr="00256A12">
              <w:rPr>
                <w:rFonts w:ascii="Calibri" w:eastAsia="Times New Roman" w:hAnsi="Calibri" w:cs="Arial"/>
                <w:b/>
                <w:bCs/>
                <w:lang w:eastAsia="cs-CZ"/>
              </w:rPr>
              <w:t>Celkem</w:t>
            </w:r>
          </w:p>
        </w:tc>
        <w:tc>
          <w:tcPr>
            <w:tcW w:w="1302" w:type="dxa"/>
            <w:tcBorders>
              <w:top w:val="single" w:sz="8" w:space="0" w:color="auto"/>
              <w:left w:val="nil"/>
              <w:bottom w:val="single" w:sz="8" w:space="0" w:color="auto"/>
              <w:right w:val="single" w:sz="4" w:space="0" w:color="auto"/>
            </w:tcBorders>
            <w:shd w:val="clear" w:color="000000" w:fill="FFFFFF"/>
            <w:noWrap/>
            <w:vAlign w:val="bottom"/>
            <w:hideMark/>
          </w:tcPr>
          <w:p w14:paraId="764280EC" w14:textId="77777777" w:rsidR="00256A12" w:rsidRPr="00256A12" w:rsidRDefault="00256A12" w:rsidP="00256A12">
            <w:pPr>
              <w:spacing w:after="0" w:line="240" w:lineRule="auto"/>
              <w:jc w:val="right"/>
              <w:rPr>
                <w:rFonts w:ascii="Calibri" w:eastAsia="Times New Roman" w:hAnsi="Calibri" w:cs="Arial"/>
                <w:b/>
                <w:bCs/>
                <w:lang w:eastAsia="cs-CZ"/>
              </w:rPr>
            </w:pPr>
            <w:r w:rsidRPr="00256A12">
              <w:rPr>
                <w:rFonts w:ascii="Calibri" w:eastAsia="Times New Roman" w:hAnsi="Calibri" w:cs="Arial"/>
                <w:b/>
                <w:bCs/>
                <w:lang w:eastAsia="cs-CZ"/>
              </w:rPr>
              <w:t>131 373 000</w:t>
            </w:r>
          </w:p>
        </w:tc>
        <w:tc>
          <w:tcPr>
            <w:tcW w:w="1418" w:type="dxa"/>
            <w:tcBorders>
              <w:top w:val="single" w:sz="8" w:space="0" w:color="auto"/>
              <w:left w:val="nil"/>
              <w:bottom w:val="single" w:sz="8" w:space="0" w:color="auto"/>
              <w:right w:val="single" w:sz="4" w:space="0" w:color="auto"/>
            </w:tcBorders>
            <w:shd w:val="clear" w:color="000000" w:fill="FFFFFF"/>
            <w:noWrap/>
            <w:vAlign w:val="bottom"/>
            <w:hideMark/>
          </w:tcPr>
          <w:p w14:paraId="7058CCDA" w14:textId="1B89A6CB" w:rsidR="00256A12" w:rsidRPr="00256A12" w:rsidRDefault="00256A12" w:rsidP="00256A12">
            <w:pPr>
              <w:spacing w:after="0" w:line="240" w:lineRule="auto"/>
              <w:jc w:val="right"/>
              <w:rPr>
                <w:rFonts w:ascii="Calibri" w:eastAsia="Times New Roman" w:hAnsi="Calibri" w:cs="Arial"/>
                <w:b/>
                <w:bCs/>
                <w:lang w:eastAsia="cs-CZ"/>
              </w:rPr>
            </w:pPr>
            <w:r w:rsidRPr="00256A12">
              <w:rPr>
                <w:rFonts w:ascii="Calibri" w:eastAsia="Times New Roman" w:hAnsi="Calibri" w:cs="Arial"/>
                <w:b/>
                <w:bCs/>
                <w:lang w:eastAsia="cs-CZ"/>
              </w:rPr>
              <w:t xml:space="preserve">83 </w:t>
            </w:r>
            <w:r w:rsidR="00EC20C1">
              <w:rPr>
                <w:rFonts w:ascii="Calibri" w:eastAsia="Times New Roman" w:hAnsi="Calibri" w:cs="Arial"/>
                <w:b/>
                <w:bCs/>
                <w:lang w:eastAsia="cs-CZ"/>
              </w:rPr>
              <w:t>506</w:t>
            </w:r>
            <w:r w:rsidRPr="00256A12">
              <w:rPr>
                <w:rFonts w:ascii="Calibri" w:eastAsia="Times New Roman" w:hAnsi="Calibri" w:cs="Arial"/>
                <w:b/>
                <w:bCs/>
                <w:lang w:eastAsia="cs-CZ"/>
              </w:rPr>
              <w:t xml:space="preserve"> 067,45</w:t>
            </w:r>
          </w:p>
        </w:tc>
        <w:tc>
          <w:tcPr>
            <w:tcW w:w="1559" w:type="dxa"/>
            <w:tcBorders>
              <w:top w:val="single" w:sz="8" w:space="0" w:color="auto"/>
              <w:left w:val="nil"/>
              <w:bottom w:val="single" w:sz="8" w:space="0" w:color="auto"/>
              <w:right w:val="single" w:sz="4" w:space="0" w:color="auto"/>
            </w:tcBorders>
            <w:shd w:val="clear" w:color="000000" w:fill="FFFFFF"/>
            <w:noWrap/>
            <w:vAlign w:val="bottom"/>
            <w:hideMark/>
          </w:tcPr>
          <w:p w14:paraId="19B7AF6C" w14:textId="3C45A03F" w:rsidR="00256A12" w:rsidRPr="00256A12" w:rsidRDefault="00256A12" w:rsidP="00256A12">
            <w:pPr>
              <w:spacing w:after="0" w:line="240" w:lineRule="auto"/>
              <w:jc w:val="right"/>
              <w:rPr>
                <w:rFonts w:ascii="Calibri" w:eastAsia="Times New Roman" w:hAnsi="Calibri" w:cs="Arial"/>
                <w:b/>
                <w:bCs/>
                <w:lang w:eastAsia="cs-CZ"/>
              </w:rPr>
            </w:pPr>
            <w:r w:rsidRPr="00256A12">
              <w:rPr>
                <w:rFonts w:ascii="Calibri" w:eastAsia="Times New Roman" w:hAnsi="Calibri" w:cs="Arial"/>
                <w:b/>
                <w:bCs/>
                <w:lang w:eastAsia="cs-CZ"/>
              </w:rPr>
              <w:t xml:space="preserve">75 </w:t>
            </w:r>
            <w:r w:rsidR="00EC20C1">
              <w:rPr>
                <w:rFonts w:ascii="Calibri" w:eastAsia="Times New Roman" w:hAnsi="Calibri" w:cs="Arial"/>
                <w:b/>
                <w:bCs/>
                <w:lang w:eastAsia="cs-CZ"/>
              </w:rPr>
              <w:t>485</w:t>
            </w:r>
            <w:r w:rsidRPr="00256A12">
              <w:rPr>
                <w:rFonts w:ascii="Calibri" w:eastAsia="Times New Roman" w:hAnsi="Calibri" w:cs="Arial"/>
                <w:b/>
                <w:bCs/>
                <w:lang w:eastAsia="cs-CZ"/>
              </w:rPr>
              <w:t xml:space="preserve"> 987,25</w:t>
            </w:r>
          </w:p>
        </w:tc>
        <w:tc>
          <w:tcPr>
            <w:tcW w:w="714" w:type="dxa"/>
            <w:tcBorders>
              <w:top w:val="single" w:sz="8" w:space="0" w:color="auto"/>
              <w:left w:val="nil"/>
              <w:bottom w:val="single" w:sz="8" w:space="0" w:color="auto"/>
              <w:right w:val="single" w:sz="8" w:space="0" w:color="auto"/>
            </w:tcBorders>
            <w:shd w:val="clear" w:color="000000" w:fill="FFFFFF"/>
            <w:noWrap/>
            <w:vAlign w:val="bottom"/>
            <w:hideMark/>
          </w:tcPr>
          <w:p w14:paraId="36D18F30" w14:textId="77777777" w:rsidR="00256A12" w:rsidRPr="00256A12" w:rsidRDefault="00256A12" w:rsidP="00256A12">
            <w:pPr>
              <w:spacing w:after="0" w:line="240" w:lineRule="auto"/>
              <w:jc w:val="right"/>
              <w:rPr>
                <w:rFonts w:ascii="Calibri" w:eastAsia="Times New Roman" w:hAnsi="Calibri" w:cs="Arial"/>
                <w:b/>
                <w:bCs/>
                <w:lang w:eastAsia="cs-CZ"/>
              </w:rPr>
            </w:pPr>
            <w:r w:rsidRPr="00256A12">
              <w:rPr>
                <w:rFonts w:ascii="Calibri" w:eastAsia="Times New Roman" w:hAnsi="Calibri" w:cs="Arial"/>
                <w:b/>
                <w:bCs/>
                <w:lang w:eastAsia="cs-CZ"/>
              </w:rPr>
              <w:t>90,4</w:t>
            </w:r>
          </w:p>
        </w:tc>
      </w:tr>
      <w:tr w:rsidR="00256A12" w:rsidRPr="00256A12" w14:paraId="780ADF59" w14:textId="77777777" w:rsidTr="00256A12">
        <w:trPr>
          <w:trHeight w:val="300"/>
        </w:trPr>
        <w:tc>
          <w:tcPr>
            <w:tcW w:w="826" w:type="dxa"/>
            <w:tcBorders>
              <w:top w:val="nil"/>
              <w:left w:val="nil"/>
              <w:bottom w:val="nil"/>
              <w:right w:val="nil"/>
            </w:tcBorders>
            <w:shd w:val="clear" w:color="000000" w:fill="FFFFFF"/>
            <w:noWrap/>
            <w:vAlign w:val="bottom"/>
            <w:hideMark/>
          </w:tcPr>
          <w:p w14:paraId="5A7FF999" w14:textId="77777777" w:rsidR="00256A12" w:rsidRPr="00256A12" w:rsidRDefault="00256A12" w:rsidP="00256A12">
            <w:pPr>
              <w:spacing w:after="0" w:line="240" w:lineRule="auto"/>
              <w:rPr>
                <w:rFonts w:ascii="Calibri" w:eastAsia="Times New Roman" w:hAnsi="Calibri" w:cs="Arial"/>
                <w:sz w:val="24"/>
                <w:szCs w:val="24"/>
                <w:lang w:eastAsia="cs-CZ"/>
              </w:rPr>
            </w:pPr>
            <w:r w:rsidRPr="00256A12">
              <w:rPr>
                <w:rFonts w:ascii="Calibri" w:eastAsia="Times New Roman" w:hAnsi="Calibri" w:cs="Arial"/>
                <w:sz w:val="24"/>
                <w:szCs w:val="24"/>
                <w:lang w:eastAsia="cs-CZ"/>
              </w:rPr>
              <w:t> </w:t>
            </w:r>
          </w:p>
        </w:tc>
        <w:tc>
          <w:tcPr>
            <w:tcW w:w="4109" w:type="dxa"/>
            <w:tcBorders>
              <w:top w:val="nil"/>
              <w:left w:val="nil"/>
              <w:bottom w:val="nil"/>
              <w:right w:val="nil"/>
            </w:tcBorders>
            <w:shd w:val="clear" w:color="000000" w:fill="FFFFFF"/>
            <w:noWrap/>
            <w:vAlign w:val="bottom"/>
            <w:hideMark/>
          </w:tcPr>
          <w:p w14:paraId="7A973D18" w14:textId="77777777" w:rsidR="00256A12" w:rsidRPr="00256A12" w:rsidRDefault="00256A12" w:rsidP="00256A12">
            <w:pPr>
              <w:spacing w:after="0" w:line="240" w:lineRule="auto"/>
              <w:rPr>
                <w:rFonts w:ascii="Calibri" w:eastAsia="Times New Roman" w:hAnsi="Calibri" w:cs="Arial"/>
                <w:b/>
                <w:bCs/>
                <w:sz w:val="24"/>
                <w:szCs w:val="24"/>
                <w:lang w:eastAsia="cs-CZ"/>
              </w:rPr>
            </w:pPr>
            <w:r w:rsidRPr="00256A12">
              <w:rPr>
                <w:rFonts w:ascii="Calibri" w:eastAsia="Times New Roman" w:hAnsi="Calibri" w:cs="Arial"/>
                <w:b/>
                <w:bCs/>
                <w:sz w:val="24"/>
                <w:szCs w:val="24"/>
                <w:lang w:eastAsia="cs-CZ"/>
              </w:rPr>
              <w:t> </w:t>
            </w:r>
          </w:p>
        </w:tc>
        <w:tc>
          <w:tcPr>
            <w:tcW w:w="1302" w:type="dxa"/>
            <w:tcBorders>
              <w:top w:val="nil"/>
              <w:left w:val="nil"/>
              <w:bottom w:val="nil"/>
              <w:right w:val="nil"/>
            </w:tcBorders>
            <w:shd w:val="clear" w:color="000000" w:fill="FFFFFF"/>
            <w:noWrap/>
            <w:vAlign w:val="bottom"/>
            <w:hideMark/>
          </w:tcPr>
          <w:p w14:paraId="170FABBF" w14:textId="77777777" w:rsidR="00256A12" w:rsidRPr="00256A12" w:rsidRDefault="00256A12" w:rsidP="00256A12">
            <w:pPr>
              <w:spacing w:after="0" w:line="240" w:lineRule="auto"/>
              <w:jc w:val="right"/>
              <w:rPr>
                <w:rFonts w:ascii="Calibri" w:eastAsia="Times New Roman" w:hAnsi="Calibri" w:cs="Arial"/>
                <w:b/>
                <w:bCs/>
                <w:sz w:val="24"/>
                <w:szCs w:val="24"/>
                <w:lang w:eastAsia="cs-CZ"/>
              </w:rPr>
            </w:pPr>
            <w:r w:rsidRPr="00256A12">
              <w:rPr>
                <w:rFonts w:ascii="Calibri" w:eastAsia="Times New Roman" w:hAnsi="Calibri" w:cs="Arial"/>
                <w:b/>
                <w:bCs/>
                <w:sz w:val="24"/>
                <w:szCs w:val="24"/>
                <w:lang w:eastAsia="cs-CZ"/>
              </w:rPr>
              <w:t> </w:t>
            </w:r>
          </w:p>
        </w:tc>
        <w:tc>
          <w:tcPr>
            <w:tcW w:w="1418" w:type="dxa"/>
            <w:tcBorders>
              <w:top w:val="nil"/>
              <w:left w:val="nil"/>
              <w:bottom w:val="nil"/>
              <w:right w:val="nil"/>
            </w:tcBorders>
            <w:shd w:val="clear" w:color="000000" w:fill="FFFFFF"/>
            <w:noWrap/>
            <w:vAlign w:val="bottom"/>
            <w:hideMark/>
          </w:tcPr>
          <w:p w14:paraId="4F3C72C3" w14:textId="77777777" w:rsidR="00256A12" w:rsidRPr="00256A12" w:rsidRDefault="00256A12" w:rsidP="00256A12">
            <w:pPr>
              <w:spacing w:after="0" w:line="240" w:lineRule="auto"/>
              <w:jc w:val="right"/>
              <w:rPr>
                <w:rFonts w:ascii="Calibri" w:eastAsia="Times New Roman" w:hAnsi="Calibri" w:cs="Arial"/>
                <w:b/>
                <w:bCs/>
                <w:sz w:val="24"/>
                <w:szCs w:val="24"/>
                <w:lang w:eastAsia="cs-CZ"/>
              </w:rPr>
            </w:pPr>
            <w:r w:rsidRPr="00256A12">
              <w:rPr>
                <w:rFonts w:ascii="Calibri" w:eastAsia="Times New Roman" w:hAnsi="Calibri" w:cs="Arial"/>
                <w:b/>
                <w:bCs/>
                <w:sz w:val="24"/>
                <w:szCs w:val="24"/>
                <w:lang w:eastAsia="cs-CZ"/>
              </w:rPr>
              <w:t> </w:t>
            </w:r>
          </w:p>
        </w:tc>
        <w:tc>
          <w:tcPr>
            <w:tcW w:w="1559" w:type="dxa"/>
            <w:tcBorders>
              <w:top w:val="nil"/>
              <w:left w:val="nil"/>
              <w:bottom w:val="nil"/>
              <w:right w:val="nil"/>
            </w:tcBorders>
            <w:shd w:val="clear" w:color="000000" w:fill="FFFFFF"/>
            <w:noWrap/>
            <w:vAlign w:val="bottom"/>
            <w:hideMark/>
          </w:tcPr>
          <w:p w14:paraId="5D0B7B67" w14:textId="77777777" w:rsidR="00256A12" w:rsidRPr="00256A12" w:rsidRDefault="00256A12" w:rsidP="00256A12">
            <w:pPr>
              <w:spacing w:after="0" w:line="240" w:lineRule="auto"/>
              <w:jc w:val="right"/>
              <w:rPr>
                <w:rFonts w:ascii="Calibri" w:eastAsia="Times New Roman" w:hAnsi="Calibri" w:cs="Arial"/>
                <w:b/>
                <w:bCs/>
                <w:sz w:val="24"/>
                <w:szCs w:val="24"/>
                <w:lang w:eastAsia="cs-CZ"/>
              </w:rPr>
            </w:pPr>
            <w:r w:rsidRPr="00256A12">
              <w:rPr>
                <w:rFonts w:ascii="Calibri" w:eastAsia="Times New Roman" w:hAnsi="Calibri" w:cs="Arial"/>
                <w:b/>
                <w:bCs/>
                <w:sz w:val="24"/>
                <w:szCs w:val="24"/>
                <w:lang w:eastAsia="cs-CZ"/>
              </w:rPr>
              <w:t> </w:t>
            </w:r>
          </w:p>
        </w:tc>
        <w:tc>
          <w:tcPr>
            <w:tcW w:w="714" w:type="dxa"/>
            <w:tcBorders>
              <w:top w:val="nil"/>
              <w:left w:val="nil"/>
              <w:bottom w:val="nil"/>
              <w:right w:val="nil"/>
            </w:tcBorders>
            <w:shd w:val="clear" w:color="000000" w:fill="FFFFFF"/>
            <w:noWrap/>
            <w:vAlign w:val="bottom"/>
            <w:hideMark/>
          </w:tcPr>
          <w:p w14:paraId="1C8A1315" w14:textId="77777777" w:rsidR="00256A12" w:rsidRPr="00256A12" w:rsidRDefault="00256A12" w:rsidP="00256A12">
            <w:pPr>
              <w:spacing w:after="0" w:line="240" w:lineRule="auto"/>
              <w:jc w:val="right"/>
              <w:rPr>
                <w:rFonts w:ascii="Calibri" w:eastAsia="Times New Roman" w:hAnsi="Calibri" w:cs="Arial"/>
                <w:b/>
                <w:bCs/>
                <w:sz w:val="24"/>
                <w:szCs w:val="24"/>
                <w:lang w:eastAsia="cs-CZ"/>
              </w:rPr>
            </w:pPr>
            <w:r w:rsidRPr="00256A12">
              <w:rPr>
                <w:rFonts w:ascii="Calibri" w:eastAsia="Times New Roman" w:hAnsi="Calibri" w:cs="Arial"/>
                <w:b/>
                <w:bCs/>
                <w:sz w:val="24"/>
                <w:szCs w:val="24"/>
                <w:lang w:eastAsia="cs-CZ"/>
              </w:rPr>
              <w:t> </w:t>
            </w:r>
          </w:p>
        </w:tc>
      </w:tr>
      <w:tr w:rsidR="00256A12" w:rsidRPr="00256A12" w14:paraId="0E0A988E" w14:textId="77777777" w:rsidTr="00256A12">
        <w:trPr>
          <w:trHeight w:val="360"/>
        </w:trPr>
        <w:tc>
          <w:tcPr>
            <w:tcW w:w="826" w:type="dxa"/>
            <w:tcBorders>
              <w:top w:val="nil"/>
              <w:left w:val="nil"/>
              <w:bottom w:val="nil"/>
              <w:right w:val="nil"/>
            </w:tcBorders>
            <w:shd w:val="clear" w:color="000000" w:fill="FFFFFF"/>
            <w:noWrap/>
            <w:vAlign w:val="bottom"/>
            <w:hideMark/>
          </w:tcPr>
          <w:p w14:paraId="5427478D" w14:textId="77777777" w:rsidR="00256A12" w:rsidRPr="00256A12" w:rsidRDefault="00256A12" w:rsidP="00256A12">
            <w:pPr>
              <w:spacing w:after="0" w:line="240" w:lineRule="auto"/>
              <w:jc w:val="center"/>
              <w:rPr>
                <w:rFonts w:ascii="Calibri" w:eastAsia="Times New Roman" w:hAnsi="Calibri" w:cs="Arial"/>
                <w:b/>
                <w:bCs/>
                <w:sz w:val="20"/>
                <w:szCs w:val="20"/>
                <w:lang w:eastAsia="cs-CZ"/>
              </w:rPr>
            </w:pPr>
            <w:r w:rsidRPr="00256A12">
              <w:rPr>
                <w:rFonts w:ascii="Calibri" w:eastAsia="Times New Roman" w:hAnsi="Calibri" w:cs="Arial"/>
                <w:b/>
                <w:bCs/>
                <w:sz w:val="20"/>
                <w:szCs w:val="20"/>
                <w:lang w:eastAsia="cs-CZ"/>
              </w:rPr>
              <w:t> </w:t>
            </w:r>
          </w:p>
        </w:tc>
        <w:tc>
          <w:tcPr>
            <w:tcW w:w="9102" w:type="dxa"/>
            <w:gridSpan w:val="5"/>
            <w:tcBorders>
              <w:top w:val="nil"/>
              <w:left w:val="nil"/>
              <w:bottom w:val="nil"/>
              <w:right w:val="nil"/>
            </w:tcBorders>
            <w:shd w:val="clear" w:color="000000" w:fill="FFFFFF"/>
            <w:vAlign w:val="bottom"/>
            <w:hideMark/>
          </w:tcPr>
          <w:p w14:paraId="01F0CD8F" w14:textId="77777777" w:rsidR="00256A12" w:rsidRPr="00256A12" w:rsidRDefault="00256A12" w:rsidP="00256A12">
            <w:pPr>
              <w:spacing w:after="0" w:line="240" w:lineRule="auto"/>
              <w:rPr>
                <w:rFonts w:ascii="Calibri" w:eastAsia="Times New Roman" w:hAnsi="Calibri" w:cs="Arial"/>
                <w:b/>
                <w:bCs/>
                <w:lang w:eastAsia="cs-CZ"/>
              </w:rPr>
            </w:pPr>
            <w:r w:rsidRPr="00256A12">
              <w:rPr>
                <w:rFonts w:ascii="Calibri" w:eastAsia="Times New Roman" w:hAnsi="Calibri" w:cs="Arial"/>
                <w:b/>
                <w:bCs/>
                <w:lang w:eastAsia="cs-CZ"/>
              </w:rPr>
              <w:t>Předfinancování a kofinancování projektů spolufinancovaných z EU/EHP a ostatní související výdaje s projekty EU/EHP</w:t>
            </w:r>
          </w:p>
        </w:tc>
      </w:tr>
      <w:tr w:rsidR="00256A12" w:rsidRPr="00256A12" w14:paraId="5E573E70" w14:textId="77777777" w:rsidTr="00256A12">
        <w:trPr>
          <w:trHeight w:val="300"/>
        </w:trPr>
        <w:tc>
          <w:tcPr>
            <w:tcW w:w="826" w:type="dxa"/>
            <w:tcBorders>
              <w:top w:val="single" w:sz="8" w:space="0" w:color="auto"/>
              <w:left w:val="single" w:sz="8" w:space="0" w:color="auto"/>
              <w:bottom w:val="single" w:sz="4" w:space="0" w:color="auto"/>
              <w:right w:val="single" w:sz="4" w:space="0" w:color="auto"/>
            </w:tcBorders>
            <w:shd w:val="clear" w:color="000000" w:fill="FFFFFF"/>
            <w:vAlign w:val="center"/>
            <w:hideMark/>
          </w:tcPr>
          <w:p w14:paraId="478B3C81" w14:textId="77777777" w:rsidR="00256A12" w:rsidRPr="00256A12" w:rsidRDefault="00256A12" w:rsidP="00256A12">
            <w:pPr>
              <w:spacing w:after="0" w:line="240" w:lineRule="auto"/>
              <w:jc w:val="center"/>
              <w:rPr>
                <w:rFonts w:ascii="Calibri" w:eastAsia="Times New Roman" w:hAnsi="Calibri" w:cs="Arial"/>
                <w:sz w:val="20"/>
                <w:szCs w:val="20"/>
                <w:lang w:eastAsia="cs-CZ"/>
              </w:rPr>
            </w:pPr>
            <w:r w:rsidRPr="00256A12">
              <w:rPr>
                <w:rFonts w:ascii="Calibri" w:eastAsia="Times New Roman" w:hAnsi="Calibri" w:cs="Arial"/>
                <w:sz w:val="20"/>
                <w:szCs w:val="20"/>
                <w:lang w:eastAsia="cs-CZ"/>
              </w:rPr>
              <w:t>2510</w:t>
            </w:r>
          </w:p>
        </w:tc>
        <w:tc>
          <w:tcPr>
            <w:tcW w:w="4109" w:type="dxa"/>
            <w:tcBorders>
              <w:top w:val="single" w:sz="8" w:space="0" w:color="auto"/>
              <w:left w:val="nil"/>
              <w:bottom w:val="single" w:sz="4" w:space="0" w:color="auto"/>
              <w:right w:val="single" w:sz="4" w:space="0" w:color="auto"/>
            </w:tcBorders>
            <w:shd w:val="clear" w:color="000000" w:fill="FFFFFF"/>
            <w:vAlign w:val="bottom"/>
            <w:hideMark/>
          </w:tcPr>
          <w:p w14:paraId="439D0531" w14:textId="77777777" w:rsidR="00256A12" w:rsidRPr="00256A12" w:rsidRDefault="00256A12" w:rsidP="00256A12">
            <w:pPr>
              <w:spacing w:after="0" w:line="240" w:lineRule="auto"/>
              <w:rPr>
                <w:rFonts w:ascii="Calibri" w:eastAsia="Times New Roman" w:hAnsi="Calibri" w:cs="Arial"/>
                <w:sz w:val="20"/>
                <w:szCs w:val="20"/>
                <w:lang w:eastAsia="cs-CZ"/>
              </w:rPr>
            </w:pPr>
            <w:r w:rsidRPr="00256A12">
              <w:rPr>
                <w:rFonts w:ascii="Calibri" w:eastAsia="Times New Roman" w:hAnsi="Calibri" w:cs="Arial"/>
                <w:sz w:val="20"/>
                <w:szCs w:val="20"/>
                <w:lang w:eastAsia="cs-CZ"/>
              </w:rPr>
              <w:t>Smart Akcelerátor II</w:t>
            </w:r>
          </w:p>
        </w:tc>
        <w:tc>
          <w:tcPr>
            <w:tcW w:w="1302" w:type="dxa"/>
            <w:tcBorders>
              <w:top w:val="single" w:sz="8" w:space="0" w:color="auto"/>
              <w:left w:val="nil"/>
              <w:bottom w:val="single" w:sz="4" w:space="0" w:color="auto"/>
              <w:right w:val="single" w:sz="4" w:space="0" w:color="auto"/>
            </w:tcBorders>
            <w:shd w:val="clear" w:color="000000" w:fill="FFFFFF"/>
            <w:vAlign w:val="bottom"/>
            <w:hideMark/>
          </w:tcPr>
          <w:p w14:paraId="79DD0AF4"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0</w:t>
            </w:r>
          </w:p>
        </w:tc>
        <w:tc>
          <w:tcPr>
            <w:tcW w:w="1418" w:type="dxa"/>
            <w:tcBorders>
              <w:top w:val="single" w:sz="8" w:space="0" w:color="auto"/>
              <w:left w:val="nil"/>
              <w:bottom w:val="single" w:sz="4" w:space="0" w:color="auto"/>
              <w:right w:val="single" w:sz="4" w:space="0" w:color="auto"/>
            </w:tcBorders>
            <w:shd w:val="clear" w:color="000000" w:fill="FFFFFF"/>
            <w:vAlign w:val="bottom"/>
            <w:hideMark/>
          </w:tcPr>
          <w:p w14:paraId="2FFA30E5"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26 128,55</w:t>
            </w:r>
          </w:p>
        </w:tc>
        <w:tc>
          <w:tcPr>
            <w:tcW w:w="1559" w:type="dxa"/>
            <w:tcBorders>
              <w:top w:val="single" w:sz="8" w:space="0" w:color="auto"/>
              <w:left w:val="nil"/>
              <w:bottom w:val="single" w:sz="4" w:space="0" w:color="auto"/>
              <w:right w:val="single" w:sz="4" w:space="0" w:color="auto"/>
            </w:tcBorders>
            <w:shd w:val="clear" w:color="000000" w:fill="FFFFFF"/>
            <w:vAlign w:val="bottom"/>
            <w:hideMark/>
          </w:tcPr>
          <w:p w14:paraId="2C329D94"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26 128,55</w:t>
            </w:r>
          </w:p>
        </w:tc>
        <w:tc>
          <w:tcPr>
            <w:tcW w:w="714" w:type="dxa"/>
            <w:tcBorders>
              <w:top w:val="single" w:sz="8" w:space="0" w:color="auto"/>
              <w:left w:val="nil"/>
              <w:bottom w:val="single" w:sz="4" w:space="0" w:color="auto"/>
              <w:right w:val="single" w:sz="8" w:space="0" w:color="auto"/>
            </w:tcBorders>
            <w:shd w:val="clear" w:color="000000" w:fill="FFFFFF"/>
            <w:vAlign w:val="bottom"/>
            <w:hideMark/>
          </w:tcPr>
          <w:p w14:paraId="2CD40F2F"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100,0</w:t>
            </w:r>
          </w:p>
        </w:tc>
      </w:tr>
      <w:tr w:rsidR="00256A12" w:rsidRPr="00256A12" w14:paraId="37B059A3" w14:textId="77777777" w:rsidTr="00256A12">
        <w:trPr>
          <w:trHeight w:val="300"/>
        </w:trPr>
        <w:tc>
          <w:tcPr>
            <w:tcW w:w="826" w:type="dxa"/>
            <w:tcBorders>
              <w:top w:val="nil"/>
              <w:left w:val="single" w:sz="8" w:space="0" w:color="auto"/>
              <w:bottom w:val="single" w:sz="4" w:space="0" w:color="auto"/>
              <w:right w:val="single" w:sz="4" w:space="0" w:color="auto"/>
            </w:tcBorders>
            <w:shd w:val="clear" w:color="000000" w:fill="FFFFFF"/>
            <w:vAlign w:val="center"/>
            <w:hideMark/>
          </w:tcPr>
          <w:p w14:paraId="540329A6" w14:textId="77777777" w:rsidR="00256A12" w:rsidRPr="00256A12" w:rsidRDefault="00256A12" w:rsidP="00256A12">
            <w:pPr>
              <w:spacing w:after="0" w:line="240" w:lineRule="auto"/>
              <w:jc w:val="center"/>
              <w:rPr>
                <w:rFonts w:ascii="Calibri" w:eastAsia="Times New Roman" w:hAnsi="Calibri" w:cs="Arial"/>
                <w:sz w:val="20"/>
                <w:szCs w:val="20"/>
                <w:lang w:eastAsia="cs-CZ"/>
              </w:rPr>
            </w:pPr>
            <w:r w:rsidRPr="00256A12">
              <w:rPr>
                <w:rFonts w:ascii="Calibri" w:eastAsia="Times New Roman" w:hAnsi="Calibri" w:cs="Arial"/>
                <w:sz w:val="20"/>
                <w:szCs w:val="20"/>
                <w:lang w:eastAsia="cs-CZ"/>
              </w:rPr>
              <w:t>3636</w:t>
            </w:r>
          </w:p>
        </w:tc>
        <w:tc>
          <w:tcPr>
            <w:tcW w:w="4109" w:type="dxa"/>
            <w:tcBorders>
              <w:top w:val="nil"/>
              <w:left w:val="nil"/>
              <w:bottom w:val="single" w:sz="4" w:space="0" w:color="auto"/>
              <w:right w:val="single" w:sz="4" w:space="0" w:color="auto"/>
            </w:tcBorders>
            <w:shd w:val="clear" w:color="000000" w:fill="FFFFFF"/>
            <w:vAlign w:val="bottom"/>
            <w:hideMark/>
          </w:tcPr>
          <w:p w14:paraId="1861B2C7" w14:textId="77777777" w:rsidR="00256A12" w:rsidRPr="00256A12" w:rsidRDefault="00256A12" w:rsidP="00256A12">
            <w:pPr>
              <w:spacing w:after="0" w:line="240" w:lineRule="auto"/>
              <w:rPr>
                <w:rFonts w:ascii="Calibri" w:eastAsia="Times New Roman" w:hAnsi="Calibri" w:cs="Arial"/>
                <w:sz w:val="20"/>
                <w:szCs w:val="20"/>
                <w:lang w:eastAsia="cs-CZ"/>
              </w:rPr>
            </w:pPr>
            <w:r w:rsidRPr="00256A12">
              <w:rPr>
                <w:rFonts w:ascii="Calibri" w:eastAsia="Times New Roman" w:hAnsi="Calibri" w:cs="Arial"/>
                <w:sz w:val="20"/>
                <w:szCs w:val="20"/>
                <w:lang w:eastAsia="cs-CZ"/>
              </w:rPr>
              <w:t>Středočesky kraj - efektivní region</w:t>
            </w:r>
          </w:p>
        </w:tc>
        <w:tc>
          <w:tcPr>
            <w:tcW w:w="1302" w:type="dxa"/>
            <w:tcBorders>
              <w:top w:val="nil"/>
              <w:left w:val="nil"/>
              <w:bottom w:val="single" w:sz="4" w:space="0" w:color="auto"/>
              <w:right w:val="single" w:sz="4" w:space="0" w:color="auto"/>
            </w:tcBorders>
            <w:shd w:val="clear" w:color="000000" w:fill="FFFFFF"/>
            <w:vAlign w:val="bottom"/>
            <w:hideMark/>
          </w:tcPr>
          <w:p w14:paraId="77143E3A"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0</w:t>
            </w:r>
          </w:p>
        </w:tc>
        <w:tc>
          <w:tcPr>
            <w:tcW w:w="1418" w:type="dxa"/>
            <w:tcBorders>
              <w:top w:val="nil"/>
              <w:left w:val="nil"/>
              <w:bottom w:val="single" w:sz="4" w:space="0" w:color="auto"/>
              <w:right w:val="single" w:sz="4" w:space="0" w:color="auto"/>
            </w:tcBorders>
            <w:shd w:val="clear" w:color="000000" w:fill="FFFFFF"/>
            <w:vAlign w:val="bottom"/>
            <w:hideMark/>
          </w:tcPr>
          <w:p w14:paraId="5EA43147"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100 000,00</w:t>
            </w:r>
          </w:p>
        </w:tc>
        <w:tc>
          <w:tcPr>
            <w:tcW w:w="1559" w:type="dxa"/>
            <w:tcBorders>
              <w:top w:val="nil"/>
              <w:left w:val="nil"/>
              <w:bottom w:val="single" w:sz="4" w:space="0" w:color="auto"/>
              <w:right w:val="single" w:sz="4" w:space="0" w:color="auto"/>
            </w:tcBorders>
            <w:shd w:val="clear" w:color="000000" w:fill="FFFFFF"/>
            <w:vAlign w:val="bottom"/>
            <w:hideMark/>
          </w:tcPr>
          <w:p w14:paraId="5C035485"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73 411,81</w:t>
            </w:r>
          </w:p>
        </w:tc>
        <w:tc>
          <w:tcPr>
            <w:tcW w:w="714" w:type="dxa"/>
            <w:tcBorders>
              <w:top w:val="nil"/>
              <w:left w:val="nil"/>
              <w:bottom w:val="single" w:sz="4" w:space="0" w:color="auto"/>
              <w:right w:val="single" w:sz="8" w:space="0" w:color="auto"/>
            </w:tcBorders>
            <w:shd w:val="clear" w:color="000000" w:fill="FFFFFF"/>
            <w:vAlign w:val="bottom"/>
            <w:hideMark/>
          </w:tcPr>
          <w:p w14:paraId="06CE6975"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73,4</w:t>
            </w:r>
          </w:p>
        </w:tc>
      </w:tr>
      <w:tr w:rsidR="00256A12" w:rsidRPr="00256A12" w14:paraId="4DD56488" w14:textId="77777777" w:rsidTr="00256A12">
        <w:trPr>
          <w:trHeight w:val="520"/>
        </w:trPr>
        <w:tc>
          <w:tcPr>
            <w:tcW w:w="826" w:type="dxa"/>
            <w:tcBorders>
              <w:top w:val="nil"/>
              <w:left w:val="single" w:sz="8" w:space="0" w:color="auto"/>
              <w:bottom w:val="single" w:sz="4" w:space="0" w:color="auto"/>
              <w:right w:val="single" w:sz="4" w:space="0" w:color="auto"/>
            </w:tcBorders>
            <w:shd w:val="clear" w:color="000000" w:fill="FFFFFF"/>
            <w:vAlign w:val="center"/>
            <w:hideMark/>
          </w:tcPr>
          <w:p w14:paraId="036B9B89" w14:textId="77777777" w:rsidR="00256A12" w:rsidRPr="00256A12" w:rsidRDefault="00256A12" w:rsidP="00256A12">
            <w:pPr>
              <w:spacing w:after="0" w:line="240" w:lineRule="auto"/>
              <w:jc w:val="center"/>
              <w:rPr>
                <w:rFonts w:ascii="Calibri" w:eastAsia="Times New Roman" w:hAnsi="Calibri" w:cs="Arial"/>
                <w:sz w:val="20"/>
                <w:szCs w:val="20"/>
                <w:lang w:eastAsia="cs-CZ"/>
              </w:rPr>
            </w:pPr>
            <w:r w:rsidRPr="00256A12">
              <w:rPr>
                <w:rFonts w:ascii="Calibri" w:eastAsia="Times New Roman" w:hAnsi="Calibri" w:cs="Arial"/>
                <w:sz w:val="20"/>
                <w:szCs w:val="20"/>
                <w:lang w:eastAsia="cs-CZ"/>
              </w:rPr>
              <w:t>3636</w:t>
            </w:r>
          </w:p>
        </w:tc>
        <w:tc>
          <w:tcPr>
            <w:tcW w:w="4109" w:type="dxa"/>
            <w:tcBorders>
              <w:top w:val="nil"/>
              <w:left w:val="nil"/>
              <w:bottom w:val="single" w:sz="4" w:space="0" w:color="auto"/>
              <w:right w:val="single" w:sz="4" w:space="0" w:color="auto"/>
            </w:tcBorders>
            <w:shd w:val="clear" w:color="000000" w:fill="FFFFFF"/>
            <w:vAlign w:val="bottom"/>
            <w:hideMark/>
          </w:tcPr>
          <w:p w14:paraId="523A77AA" w14:textId="77777777" w:rsidR="00256A12" w:rsidRPr="00256A12" w:rsidRDefault="00256A12" w:rsidP="00256A12">
            <w:pPr>
              <w:spacing w:after="0" w:line="240" w:lineRule="auto"/>
              <w:rPr>
                <w:rFonts w:ascii="Calibri" w:eastAsia="Times New Roman" w:hAnsi="Calibri" w:cs="Arial"/>
                <w:sz w:val="20"/>
                <w:szCs w:val="20"/>
                <w:lang w:eastAsia="cs-CZ"/>
              </w:rPr>
            </w:pPr>
            <w:r w:rsidRPr="00256A12">
              <w:rPr>
                <w:rFonts w:ascii="Calibri" w:eastAsia="Times New Roman" w:hAnsi="Calibri" w:cs="Arial"/>
                <w:sz w:val="20"/>
                <w:szCs w:val="20"/>
                <w:lang w:eastAsia="cs-CZ"/>
              </w:rPr>
              <w:t>Zajištění činnosti Regionální stálé konference SK 2020 - 2022</w:t>
            </w:r>
          </w:p>
        </w:tc>
        <w:tc>
          <w:tcPr>
            <w:tcW w:w="1302" w:type="dxa"/>
            <w:tcBorders>
              <w:top w:val="nil"/>
              <w:left w:val="nil"/>
              <w:bottom w:val="single" w:sz="4" w:space="0" w:color="auto"/>
              <w:right w:val="single" w:sz="4" w:space="0" w:color="auto"/>
            </w:tcBorders>
            <w:shd w:val="clear" w:color="000000" w:fill="FFFFFF"/>
            <w:vAlign w:val="bottom"/>
            <w:hideMark/>
          </w:tcPr>
          <w:p w14:paraId="280D84A2"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0</w:t>
            </w:r>
          </w:p>
        </w:tc>
        <w:tc>
          <w:tcPr>
            <w:tcW w:w="1418" w:type="dxa"/>
            <w:tcBorders>
              <w:top w:val="nil"/>
              <w:left w:val="nil"/>
              <w:bottom w:val="single" w:sz="4" w:space="0" w:color="auto"/>
              <w:right w:val="single" w:sz="4" w:space="0" w:color="auto"/>
            </w:tcBorders>
            <w:shd w:val="clear" w:color="000000" w:fill="FFFFFF"/>
            <w:vAlign w:val="bottom"/>
            <w:hideMark/>
          </w:tcPr>
          <w:p w14:paraId="29A60675"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193 392,12</w:t>
            </w:r>
          </w:p>
        </w:tc>
        <w:tc>
          <w:tcPr>
            <w:tcW w:w="1559" w:type="dxa"/>
            <w:tcBorders>
              <w:top w:val="nil"/>
              <w:left w:val="nil"/>
              <w:bottom w:val="single" w:sz="4" w:space="0" w:color="auto"/>
              <w:right w:val="single" w:sz="4" w:space="0" w:color="auto"/>
            </w:tcBorders>
            <w:shd w:val="clear" w:color="000000" w:fill="FFFFFF"/>
            <w:vAlign w:val="bottom"/>
            <w:hideMark/>
          </w:tcPr>
          <w:p w14:paraId="6152748B"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54 680,04</w:t>
            </w:r>
          </w:p>
        </w:tc>
        <w:tc>
          <w:tcPr>
            <w:tcW w:w="714" w:type="dxa"/>
            <w:tcBorders>
              <w:top w:val="nil"/>
              <w:left w:val="nil"/>
              <w:bottom w:val="single" w:sz="4" w:space="0" w:color="auto"/>
              <w:right w:val="single" w:sz="8" w:space="0" w:color="auto"/>
            </w:tcBorders>
            <w:shd w:val="clear" w:color="000000" w:fill="FFFFFF"/>
            <w:vAlign w:val="bottom"/>
            <w:hideMark/>
          </w:tcPr>
          <w:p w14:paraId="334DE19F"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28,3</w:t>
            </w:r>
          </w:p>
        </w:tc>
      </w:tr>
      <w:tr w:rsidR="00256A12" w:rsidRPr="00256A12" w14:paraId="4F61C6BB" w14:textId="77777777" w:rsidTr="00256A12">
        <w:trPr>
          <w:trHeight w:val="300"/>
        </w:trPr>
        <w:tc>
          <w:tcPr>
            <w:tcW w:w="826" w:type="dxa"/>
            <w:tcBorders>
              <w:top w:val="nil"/>
              <w:left w:val="single" w:sz="8" w:space="0" w:color="auto"/>
              <w:bottom w:val="single" w:sz="4" w:space="0" w:color="auto"/>
              <w:right w:val="single" w:sz="4" w:space="0" w:color="auto"/>
            </w:tcBorders>
            <w:shd w:val="clear" w:color="000000" w:fill="FFFFFF"/>
            <w:vAlign w:val="center"/>
            <w:hideMark/>
          </w:tcPr>
          <w:p w14:paraId="0E7E9219" w14:textId="77777777" w:rsidR="00256A12" w:rsidRPr="00256A12" w:rsidRDefault="00256A12" w:rsidP="00256A12">
            <w:pPr>
              <w:spacing w:after="0" w:line="240" w:lineRule="auto"/>
              <w:jc w:val="center"/>
              <w:rPr>
                <w:rFonts w:ascii="Calibri" w:eastAsia="Times New Roman" w:hAnsi="Calibri" w:cs="Arial"/>
                <w:sz w:val="20"/>
                <w:szCs w:val="20"/>
                <w:lang w:eastAsia="cs-CZ"/>
              </w:rPr>
            </w:pPr>
            <w:r w:rsidRPr="00256A12">
              <w:rPr>
                <w:rFonts w:ascii="Calibri" w:eastAsia="Times New Roman" w:hAnsi="Calibri" w:cs="Arial"/>
                <w:sz w:val="20"/>
                <w:szCs w:val="20"/>
                <w:lang w:eastAsia="cs-CZ"/>
              </w:rPr>
              <w:t>3636</w:t>
            </w:r>
          </w:p>
        </w:tc>
        <w:tc>
          <w:tcPr>
            <w:tcW w:w="4109" w:type="dxa"/>
            <w:tcBorders>
              <w:top w:val="nil"/>
              <w:left w:val="nil"/>
              <w:bottom w:val="single" w:sz="4" w:space="0" w:color="auto"/>
              <w:right w:val="single" w:sz="4" w:space="0" w:color="auto"/>
            </w:tcBorders>
            <w:shd w:val="clear" w:color="000000" w:fill="FFFFFF"/>
            <w:vAlign w:val="bottom"/>
            <w:hideMark/>
          </w:tcPr>
          <w:p w14:paraId="28B770A5" w14:textId="77777777" w:rsidR="00256A12" w:rsidRPr="00256A12" w:rsidRDefault="00256A12" w:rsidP="00256A12">
            <w:pPr>
              <w:spacing w:after="0" w:line="240" w:lineRule="auto"/>
              <w:rPr>
                <w:rFonts w:ascii="Calibri" w:eastAsia="Times New Roman" w:hAnsi="Calibri" w:cs="Arial"/>
                <w:sz w:val="20"/>
                <w:szCs w:val="20"/>
                <w:lang w:eastAsia="cs-CZ"/>
              </w:rPr>
            </w:pPr>
            <w:r w:rsidRPr="00256A12">
              <w:rPr>
                <w:rFonts w:ascii="Calibri" w:eastAsia="Times New Roman" w:hAnsi="Calibri" w:cs="Arial"/>
                <w:sz w:val="20"/>
                <w:szCs w:val="20"/>
                <w:lang w:eastAsia="cs-CZ"/>
              </w:rPr>
              <w:t>Optimalizace procesů a postupů KÚSK</w:t>
            </w:r>
          </w:p>
        </w:tc>
        <w:tc>
          <w:tcPr>
            <w:tcW w:w="1302" w:type="dxa"/>
            <w:tcBorders>
              <w:top w:val="nil"/>
              <w:left w:val="nil"/>
              <w:bottom w:val="single" w:sz="4" w:space="0" w:color="auto"/>
              <w:right w:val="single" w:sz="4" w:space="0" w:color="auto"/>
            </w:tcBorders>
            <w:shd w:val="clear" w:color="000000" w:fill="FFFFFF"/>
            <w:vAlign w:val="bottom"/>
            <w:hideMark/>
          </w:tcPr>
          <w:p w14:paraId="20694030"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0</w:t>
            </w:r>
          </w:p>
        </w:tc>
        <w:tc>
          <w:tcPr>
            <w:tcW w:w="1418" w:type="dxa"/>
            <w:tcBorders>
              <w:top w:val="nil"/>
              <w:left w:val="nil"/>
              <w:bottom w:val="single" w:sz="4" w:space="0" w:color="auto"/>
              <w:right w:val="single" w:sz="4" w:space="0" w:color="auto"/>
            </w:tcBorders>
            <w:shd w:val="clear" w:color="000000" w:fill="FFFFFF"/>
            <w:vAlign w:val="bottom"/>
            <w:hideMark/>
          </w:tcPr>
          <w:p w14:paraId="00D0278A"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529 437,91</w:t>
            </w:r>
          </w:p>
        </w:tc>
        <w:tc>
          <w:tcPr>
            <w:tcW w:w="1559" w:type="dxa"/>
            <w:tcBorders>
              <w:top w:val="nil"/>
              <w:left w:val="nil"/>
              <w:bottom w:val="single" w:sz="4" w:space="0" w:color="auto"/>
              <w:right w:val="single" w:sz="4" w:space="0" w:color="auto"/>
            </w:tcBorders>
            <w:shd w:val="clear" w:color="000000" w:fill="FFFFFF"/>
            <w:vAlign w:val="bottom"/>
            <w:hideMark/>
          </w:tcPr>
          <w:p w14:paraId="4C899227"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513 420,76</w:t>
            </w:r>
          </w:p>
        </w:tc>
        <w:tc>
          <w:tcPr>
            <w:tcW w:w="714" w:type="dxa"/>
            <w:tcBorders>
              <w:top w:val="nil"/>
              <w:left w:val="nil"/>
              <w:bottom w:val="single" w:sz="4" w:space="0" w:color="auto"/>
              <w:right w:val="single" w:sz="8" w:space="0" w:color="auto"/>
            </w:tcBorders>
            <w:shd w:val="clear" w:color="000000" w:fill="FFFFFF"/>
            <w:vAlign w:val="bottom"/>
            <w:hideMark/>
          </w:tcPr>
          <w:p w14:paraId="54B8C4C6"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97,0</w:t>
            </w:r>
          </w:p>
        </w:tc>
      </w:tr>
      <w:tr w:rsidR="00256A12" w:rsidRPr="00256A12" w14:paraId="3BA1C000" w14:textId="77777777" w:rsidTr="00256A12">
        <w:trPr>
          <w:trHeight w:val="320"/>
        </w:trPr>
        <w:tc>
          <w:tcPr>
            <w:tcW w:w="826" w:type="dxa"/>
            <w:tcBorders>
              <w:top w:val="single" w:sz="8" w:space="0" w:color="auto"/>
              <w:left w:val="single" w:sz="8" w:space="0" w:color="auto"/>
              <w:bottom w:val="single" w:sz="8" w:space="0" w:color="auto"/>
              <w:right w:val="nil"/>
            </w:tcBorders>
            <w:shd w:val="clear" w:color="000000" w:fill="FFFFFF"/>
            <w:noWrap/>
            <w:vAlign w:val="center"/>
            <w:hideMark/>
          </w:tcPr>
          <w:p w14:paraId="7511D5DD" w14:textId="77777777" w:rsidR="00256A12" w:rsidRPr="00256A12" w:rsidRDefault="00256A12" w:rsidP="00256A12">
            <w:pPr>
              <w:spacing w:after="0" w:line="240" w:lineRule="auto"/>
              <w:jc w:val="center"/>
              <w:rPr>
                <w:rFonts w:ascii="Calibri" w:eastAsia="Times New Roman" w:hAnsi="Calibri" w:cs="Arial"/>
                <w:lang w:eastAsia="cs-CZ"/>
              </w:rPr>
            </w:pPr>
            <w:r w:rsidRPr="00256A12">
              <w:rPr>
                <w:rFonts w:ascii="Calibri" w:eastAsia="Times New Roman" w:hAnsi="Calibri" w:cs="Arial"/>
                <w:lang w:eastAsia="cs-CZ"/>
              </w:rPr>
              <w:t> </w:t>
            </w:r>
          </w:p>
        </w:tc>
        <w:tc>
          <w:tcPr>
            <w:tcW w:w="4109" w:type="dxa"/>
            <w:tcBorders>
              <w:top w:val="single" w:sz="8" w:space="0" w:color="auto"/>
              <w:left w:val="single" w:sz="4" w:space="0" w:color="auto"/>
              <w:bottom w:val="single" w:sz="8" w:space="0" w:color="auto"/>
              <w:right w:val="single" w:sz="4" w:space="0" w:color="auto"/>
            </w:tcBorders>
            <w:shd w:val="clear" w:color="000000" w:fill="FFFFFF"/>
            <w:noWrap/>
            <w:vAlign w:val="bottom"/>
            <w:hideMark/>
          </w:tcPr>
          <w:p w14:paraId="484668A2" w14:textId="77777777" w:rsidR="00256A12" w:rsidRPr="00256A12" w:rsidRDefault="00256A12" w:rsidP="00256A12">
            <w:pPr>
              <w:spacing w:after="0" w:line="240" w:lineRule="auto"/>
              <w:rPr>
                <w:rFonts w:ascii="Calibri" w:eastAsia="Times New Roman" w:hAnsi="Calibri" w:cs="Arial"/>
                <w:b/>
                <w:bCs/>
                <w:lang w:eastAsia="cs-CZ"/>
              </w:rPr>
            </w:pPr>
            <w:r w:rsidRPr="00256A12">
              <w:rPr>
                <w:rFonts w:ascii="Calibri" w:eastAsia="Times New Roman" w:hAnsi="Calibri" w:cs="Arial"/>
                <w:b/>
                <w:bCs/>
                <w:lang w:eastAsia="cs-CZ"/>
              </w:rPr>
              <w:t>Celkem</w:t>
            </w:r>
          </w:p>
        </w:tc>
        <w:tc>
          <w:tcPr>
            <w:tcW w:w="1302" w:type="dxa"/>
            <w:tcBorders>
              <w:top w:val="single" w:sz="8" w:space="0" w:color="auto"/>
              <w:left w:val="nil"/>
              <w:bottom w:val="single" w:sz="8" w:space="0" w:color="auto"/>
              <w:right w:val="single" w:sz="4" w:space="0" w:color="auto"/>
            </w:tcBorders>
            <w:shd w:val="clear" w:color="000000" w:fill="FFFFFF"/>
            <w:noWrap/>
            <w:vAlign w:val="bottom"/>
            <w:hideMark/>
          </w:tcPr>
          <w:p w14:paraId="5028F7AD" w14:textId="77777777" w:rsidR="00256A12" w:rsidRPr="00256A12" w:rsidRDefault="00256A12" w:rsidP="00256A12">
            <w:pPr>
              <w:spacing w:after="0" w:line="240" w:lineRule="auto"/>
              <w:jc w:val="right"/>
              <w:rPr>
                <w:rFonts w:ascii="Calibri" w:eastAsia="Times New Roman" w:hAnsi="Calibri" w:cs="Arial"/>
                <w:b/>
                <w:bCs/>
                <w:lang w:eastAsia="cs-CZ"/>
              </w:rPr>
            </w:pPr>
            <w:r w:rsidRPr="00256A12">
              <w:rPr>
                <w:rFonts w:ascii="Calibri" w:eastAsia="Times New Roman" w:hAnsi="Calibri" w:cs="Arial"/>
                <w:b/>
                <w:bCs/>
                <w:lang w:eastAsia="cs-CZ"/>
              </w:rPr>
              <w:t>0</w:t>
            </w:r>
          </w:p>
        </w:tc>
        <w:tc>
          <w:tcPr>
            <w:tcW w:w="1418" w:type="dxa"/>
            <w:tcBorders>
              <w:top w:val="single" w:sz="8" w:space="0" w:color="auto"/>
              <w:left w:val="nil"/>
              <w:bottom w:val="single" w:sz="8" w:space="0" w:color="auto"/>
              <w:right w:val="single" w:sz="4" w:space="0" w:color="auto"/>
            </w:tcBorders>
            <w:shd w:val="clear" w:color="000000" w:fill="FFFFFF"/>
            <w:noWrap/>
            <w:vAlign w:val="bottom"/>
            <w:hideMark/>
          </w:tcPr>
          <w:p w14:paraId="4EB2861B" w14:textId="77777777" w:rsidR="00256A12" w:rsidRPr="00256A12" w:rsidRDefault="00256A12" w:rsidP="00256A12">
            <w:pPr>
              <w:spacing w:after="0" w:line="240" w:lineRule="auto"/>
              <w:jc w:val="right"/>
              <w:rPr>
                <w:rFonts w:ascii="Calibri" w:eastAsia="Times New Roman" w:hAnsi="Calibri" w:cs="Arial"/>
                <w:b/>
                <w:bCs/>
                <w:lang w:eastAsia="cs-CZ"/>
              </w:rPr>
            </w:pPr>
            <w:r w:rsidRPr="00256A12">
              <w:rPr>
                <w:rFonts w:ascii="Calibri" w:eastAsia="Times New Roman" w:hAnsi="Calibri" w:cs="Arial"/>
                <w:b/>
                <w:bCs/>
                <w:lang w:eastAsia="cs-CZ"/>
              </w:rPr>
              <w:t>848 958,58</w:t>
            </w:r>
          </w:p>
        </w:tc>
        <w:tc>
          <w:tcPr>
            <w:tcW w:w="1559" w:type="dxa"/>
            <w:tcBorders>
              <w:top w:val="single" w:sz="8" w:space="0" w:color="auto"/>
              <w:left w:val="nil"/>
              <w:bottom w:val="single" w:sz="8" w:space="0" w:color="auto"/>
              <w:right w:val="single" w:sz="4" w:space="0" w:color="auto"/>
            </w:tcBorders>
            <w:shd w:val="clear" w:color="000000" w:fill="FFFFFF"/>
            <w:noWrap/>
            <w:vAlign w:val="bottom"/>
            <w:hideMark/>
          </w:tcPr>
          <w:p w14:paraId="31CFA6FB" w14:textId="77777777" w:rsidR="00256A12" w:rsidRPr="00256A12" w:rsidRDefault="00256A12" w:rsidP="00256A12">
            <w:pPr>
              <w:spacing w:after="0" w:line="240" w:lineRule="auto"/>
              <w:jc w:val="right"/>
              <w:rPr>
                <w:rFonts w:ascii="Calibri" w:eastAsia="Times New Roman" w:hAnsi="Calibri" w:cs="Arial"/>
                <w:b/>
                <w:bCs/>
                <w:lang w:eastAsia="cs-CZ"/>
              </w:rPr>
            </w:pPr>
            <w:r w:rsidRPr="00256A12">
              <w:rPr>
                <w:rFonts w:ascii="Calibri" w:eastAsia="Times New Roman" w:hAnsi="Calibri" w:cs="Arial"/>
                <w:b/>
                <w:bCs/>
                <w:lang w:eastAsia="cs-CZ"/>
              </w:rPr>
              <w:t>667 641,16</w:t>
            </w:r>
          </w:p>
        </w:tc>
        <w:tc>
          <w:tcPr>
            <w:tcW w:w="714" w:type="dxa"/>
            <w:tcBorders>
              <w:top w:val="single" w:sz="8" w:space="0" w:color="auto"/>
              <w:left w:val="nil"/>
              <w:bottom w:val="single" w:sz="8" w:space="0" w:color="auto"/>
              <w:right w:val="single" w:sz="8" w:space="0" w:color="auto"/>
            </w:tcBorders>
            <w:shd w:val="clear" w:color="000000" w:fill="FFFFFF"/>
            <w:noWrap/>
            <w:vAlign w:val="bottom"/>
            <w:hideMark/>
          </w:tcPr>
          <w:p w14:paraId="0645B79D" w14:textId="77777777" w:rsidR="00256A12" w:rsidRPr="00256A12" w:rsidRDefault="00256A12" w:rsidP="00256A12">
            <w:pPr>
              <w:spacing w:after="0" w:line="240" w:lineRule="auto"/>
              <w:jc w:val="right"/>
              <w:rPr>
                <w:rFonts w:ascii="Calibri" w:eastAsia="Times New Roman" w:hAnsi="Calibri" w:cs="Arial"/>
                <w:b/>
                <w:bCs/>
                <w:lang w:eastAsia="cs-CZ"/>
              </w:rPr>
            </w:pPr>
            <w:r w:rsidRPr="00256A12">
              <w:rPr>
                <w:rFonts w:ascii="Calibri" w:eastAsia="Times New Roman" w:hAnsi="Calibri" w:cs="Arial"/>
                <w:b/>
                <w:bCs/>
                <w:lang w:eastAsia="cs-CZ"/>
              </w:rPr>
              <w:t>78,6</w:t>
            </w:r>
          </w:p>
        </w:tc>
      </w:tr>
      <w:tr w:rsidR="00256A12" w:rsidRPr="00256A12" w14:paraId="6E4A0F62" w14:textId="77777777" w:rsidTr="00256A12">
        <w:trPr>
          <w:trHeight w:val="300"/>
        </w:trPr>
        <w:tc>
          <w:tcPr>
            <w:tcW w:w="826" w:type="dxa"/>
            <w:tcBorders>
              <w:top w:val="nil"/>
              <w:left w:val="nil"/>
              <w:bottom w:val="nil"/>
              <w:right w:val="nil"/>
            </w:tcBorders>
            <w:shd w:val="clear" w:color="000000" w:fill="FFFFFF"/>
            <w:noWrap/>
            <w:vAlign w:val="center"/>
            <w:hideMark/>
          </w:tcPr>
          <w:p w14:paraId="474FA228" w14:textId="77777777" w:rsidR="00256A12" w:rsidRPr="00256A12" w:rsidRDefault="00256A12" w:rsidP="00256A12">
            <w:pPr>
              <w:spacing w:after="0" w:line="240" w:lineRule="auto"/>
              <w:jc w:val="center"/>
              <w:rPr>
                <w:rFonts w:ascii="Calibri" w:eastAsia="Times New Roman" w:hAnsi="Calibri" w:cs="Arial"/>
                <w:lang w:eastAsia="cs-CZ"/>
              </w:rPr>
            </w:pPr>
            <w:r w:rsidRPr="00256A12">
              <w:rPr>
                <w:rFonts w:ascii="Calibri" w:eastAsia="Times New Roman" w:hAnsi="Calibri" w:cs="Arial"/>
                <w:lang w:eastAsia="cs-CZ"/>
              </w:rPr>
              <w:t> </w:t>
            </w:r>
          </w:p>
        </w:tc>
        <w:tc>
          <w:tcPr>
            <w:tcW w:w="4109" w:type="dxa"/>
            <w:tcBorders>
              <w:top w:val="nil"/>
              <w:left w:val="nil"/>
              <w:bottom w:val="nil"/>
              <w:right w:val="nil"/>
            </w:tcBorders>
            <w:shd w:val="clear" w:color="000000" w:fill="FFFFFF"/>
            <w:noWrap/>
            <w:vAlign w:val="bottom"/>
            <w:hideMark/>
          </w:tcPr>
          <w:p w14:paraId="550CB06C" w14:textId="77777777" w:rsidR="00256A12" w:rsidRPr="00256A12" w:rsidRDefault="00256A12" w:rsidP="00256A12">
            <w:pPr>
              <w:spacing w:after="0" w:line="240" w:lineRule="auto"/>
              <w:rPr>
                <w:rFonts w:ascii="Calibri" w:eastAsia="Times New Roman" w:hAnsi="Calibri" w:cs="Arial"/>
                <w:b/>
                <w:bCs/>
                <w:lang w:eastAsia="cs-CZ"/>
              </w:rPr>
            </w:pPr>
            <w:r w:rsidRPr="00256A12">
              <w:rPr>
                <w:rFonts w:ascii="Calibri" w:eastAsia="Times New Roman" w:hAnsi="Calibri" w:cs="Arial"/>
                <w:b/>
                <w:bCs/>
                <w:lang w:eastAsia="cs-CZ"/>
              </w:rPr>
              <w:t> </w:t>
            </w:r>
          </w:p>
        </w:tc>
        <w:tc>
          <w:tcPr>
            <w:tcW w:w="1302" w:type="dxa"/>
            <w:tcBorders>
              <w:top w:val="nil"/>
              <w:left w:val="nil"/>
              <w:bottom w:val="nil"/>
              <w:right w:val="nil"/>
            </w:tcBorders>
            <w:shd w:val="clear" w:color="000000" w:fill="FFFFFF"/>
            <w:noWrap/>
            <w:vAlign w:val="bottom"/>
            <w:hideMark/>
          </w:tcPr>
          <w:p w14:paraId="62D8FB8B" w14:textId="77777777" w:rsidR="00256A12" w:rsidRPr="00256A12" w:rsidRDefault="00256A12" w:rsidP="00256A12">
            <w:pPr>
              <w:spacing w:after="0" w:line="240" w:lineRule="auto"/>
              <w:jc w:val="right"/>
              <w:rPr>
                <w:rFonts w:ascii="Calibri" w:eastAsia="Times New Roman" w:hAnsi="Calibri" w:cs="Arial"/>
                <w:b/>
                <w:bCs/>
                <w:lang w:eastAsia="cs-CZ"/>
              </w:rPr>
            </w:pPr>
            <w:r w:rsidRPr="00256A12">
              <w:rPr>
                <w:rFonts w:ascii="Calibri" w:eastAsia="Times New Roman" w:hAnsi="Calibri" w:cs="Arial"/>
                <w:b/>
                <w:bCs/>
                <w:lang w:eastAsia="cs-CZ"/>
              </w:rPr>
              <w:t> </w:t>
            </w:r>
          </w:p>
        </w:tc>
        <w:tc>
          <w:tcPr>
            <w:tcW w:w="1418" w:type="dxa"/>
            <w:tcBorders>
              <w:top w:val="nil"/>
              <w:left w:val="nil"/>
              <w:bottom w:val="nil"/>
              <w:right w:val="nil"/>
            </w:tcBorders>
            <w:shd w:val="clear" w:color="000000" w:fill="FFFFFF"/>
            <w:noWrap/>
            <w:vAlign w:val="bottom"/>
            <w:hideMark/>
          </w:tcPr>
          <w:p w14:paraId="3936FB4F" w14:textId="77777777" w:rsidR="00256A12" w:rsidRPr="00256A12" w:rsidRDefault="00256A12" w:rsidP="00256A12">
            <w:pPr>
              <w:spacing w:after="0" w:line="240" w:lineRule="auto"/>
              <w:jc w:val="right"/>
              <w:rPr>
                <w:rFonts w:ascii="Calibri" w:eastAsia="Times New Roman" w:hAnsi="Calibri" w:cs="Arial"/>
                <w:b/>
                <w:bCs/>
                <w:lang w:eastAsia="cs-CZ"/>
              </w:rPr>
            </w:pPr>
            <w:r w:rsidRPr="00256A12">
              <w:rPr>
                <w:rFonts w:ascii="Calibri" w:eastAsia="Times New Roman" w:hAnsi="Calibri" w:cs="Arial"/>
                <w:b/>
                <w:bCs/>
                <w:lang w:eastAsia="cs-CZ"/>
              </w:rPr>
              <w:t> </w:t>
            </w:r>
          </w:p>
        </w:tc>
        <w:tc>
          <w:tcPr>
            <w:tcW w:w="1559" w:type="dxa"/>
            <w:tcBorders>
              <w:top w:val="nil"/>
              <w:left w:val="nil"/>
              <w:bottom w:val="nil"/>
              <w:right w:val="nil"/>
            </w:tcBorders>
            <w:shd w:val="clear" w:color="000000" w:fill="FFFFFF"/>
            <w:noWrap/>
            <w:vAlign w:val="bottom"/>
            <w:hideMark/>
          </w:tcPr>
          <w:p w14:paraId="0D53CA30" w14:textId="77777777" w:rsidR="00256A12" w:rsidRPr="00256A12" w:rsidRDefault="00256A12" w:rsidP="00256A12">
            <w:pPr>
              <w:spacing w:after="0" w:line="240" w:lineRule="auto"/>
              <w:jc w:val="right"/>
              <w:rPr>
                <w:rFonts w:ascii="Calibri" w:eastAsia="Times New Roman" w:hAnsi="Calibri" w:cs="Arial"/>
                <w:b/>
                <w:bCs/>
                <w:lang w:eastAsia="cs-CZ"/>
              </w:rPr>
            </w:pPr>
            <w:r w:rsidRPr="00256A12">
              <w:rPr>
                <w:rFonts w:ascii="Calibri" w:eastAsia="Times New Roman" w:hAnsi="Calibri" w:cs="Arial"/>
                <w:b/>
                <w:bCs/>
                <w:lang w:eastAsia="cs-CZ"/>
              </w:rPr>
              <w:t> </w:t>
            </w:r>
          </w:p>
        </w:tc>
        <w:tc>
          <w:tcPr>
            <w:tcW w:w="714" w:type="dxa"/>
            <w:tcBorders>
              <w:top w:val="nil"/>
              <w:left w:val="nil"/>
              <w:bottom w:val="nil"/>
              <w:right w:val="nil"/>
            </w:tcBorders>
            <w:shd w:val="clear" w:color="000000" w:fill="FFFFFF"/>
            <w:noWrap/>
            <w:vAlign w:val="bottom"/>
            <w:hideMark/>
          </w:tcPr>
          <w:p w14:paraId="628047A9" w14:textId="77777777" w:rsidR="00256A12" w:rsidRPr="00256A12" w:rsidRDefault="00256A12" w:rsidP="00256A12">
            <w:pPr>
              <w:spacing w:after="0" w:line="240" w:lineRule="auto"/>
              <w:jc w:val="right"/>
              <w:rPr>
                <w:rFonts w:ascii="Calibri" w:eastAsia="Times New Roman" w:hAnsi="Calibri" w:cs="Arial"/>
                <w:b/>
                <w:bCs/>
                <w:lang w:eastAsia="cs-CZ"/>
              </w:rPr>
            </w:pPr>
            <w:r w:rsidRPr="00256A12">
              <w:rPr>
                <w:rFonts w:ascii="Calibri" w:eastAsia="Times New Roman" w:hAnsi="Calibri" w:cs="Arial"/>
                <w:b/>
                <w:bCs/>
                <w:lang w:eastAsia="cs-CZ"/>
              </w:rPr>
              <w:t> </w:t>
            </w:r>
          </w:p>
        </w:tc>
      </w:tr>
      <w:tr w:rsidR="00256A12" w:rsidRPr="00256A12" w14:paraId="25A5E6D9" w14:textId="77777777" w:rsidTr="00256A12">
        <w:trPr>
          <w:trHeight w:val="360"/>
        </w:trPr>
        <w:tc>
          <w:tcPr>
            <w:tcW w:w="826" w:type="dxa"/>
            <w:tcBorders>
              <w:top w:val="nil"/>
              <w:left w:val="nil"/>
              <w:bottom w:val="nil"/>
              <w:right w:val="nil"/>
            </w:tcBorders>
            <w:shd w:val="clear" w:color="000000" w:fill="FFFFFF"/>
            <w:noWrap/>
            <w:vAlign w:val="center"/>
            <w:hideMark/>
          </w:tcPr>
          <w:p w14:paraId="2A3D1F82" w14:textId="77777777" w:rsidR="00256A12" w:rsidRPr="00256A12" w:rsidRDefault="00256A12" w:rsidP="00256A12">
            <w:pPr>
              <w:spacing w:after="0" w:line="240" w:lineRule="auto"/>
              <w:jc w:val="center"/>
              <w:rPr>
                <w:rFonts w:ascii="Calibri" w:eastAsia="Times New Roman" w:hAnsi="Calibri" w:cs="Arial"/>
                <w:sz w:val="20"/>
                <w:szCs w:val="20"/>
                <w:lang w:eastAsia="cs-CZ"/>
              </w:rPr>
            </w:pPr>
            <w:r w:rsidRPr="00256A12">
              <w:rPr>
                <w:rFonts w:ascii="Calibri" w:eastAsia="Times New Roman" w:hAnsi="Calibri" w:cs="Arial"/>
                <w:sz w:val="20"/>
                <w:szCs w:val="20"/>
                <w:lang w:eastAsia="cs-CZ"/>
              </w:rPr>
              <w:t> </w:t>
            </w:r>
          </w:p>
        </w:tc>
        <w:tc>
          <w:tcPr>
            <w:tcW w:w="6829" w:type="dxa"/>
            <w:gridSpan w:val="3"/>
            <w:tcBorders>
              <w:top w:val="nil"/>
              <w:left w:val="nil"/>
              <w:bottom w:val="nil"/>
              <w:right w:val="nil"/>
            </w:tcBorders>
            <w:shd w:val="clear" w:color="000000" w:fill="FFFFFF"/>
            <w:noWrap/>
            <w:vAlign w:val="bottom"/>
            <w:hideMark/>
          </w:tcPr>
          <w:p w14:paraId="05EE9047" w14:textId="77777777" w:rsidR="00256A12" w:rsidRPr="00256A12" w:rsidRDefault="00256A12" w:rsidP="00256A12">
            <w:pPr>
              <w:spacing w:after="0" w:line="240" w:lineRule="auto"/>
              <w:rPr>
                <w:rFonts w:ascii="Calibri" w:eastAsia="Times New Roman" w:hAnsi="Calibri" w:cs="Arial"/>
                <w:b/>
                <w:bCs/>
                <w:lang w:eastAsia="cs-CZ"/>
              </w:rPr>
            </w:pPr>
            <w:r w:rsidRPr="00256A12">
              <w:rPr>
                <w:rFonts w:ascii="Calibri" w:eastAsia="Times New Roman" w:hAnsi="Calibri" w:cs="Arial"/>
                <w:b/>
                <w:bCs/>
                <w:lang w:eastAsia="cs-CZ"/>
              </w:rPr>
              <w:t>Dotace ze státního rozpočtu  a ostatních veřejných rozpočtů</w:t>
            </w:r>
          </w:p>
        </w:tc>
        <w:tc>
          <w:tcPr>
            <w:tcW w:w="1559" w:type="dxa"/>
            <w:tcBorders>
              <w:top w:val="nil"/>
              <w:left w:val="nil"/>
              <w:bottom w:val="nil"/>
              <w:right w:val="nil"/>
            </w:tcBorders>
            <w:shd w:val="clear" w:color="000000" w:fill="FFFFFF"/>
            <w:noWrap/>
            <w:vAlign w:val="center"/>
            <w:hideMark/>
          </w:tcPr>
          <w:p w14:paraId="2C21A34D"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 </w:t>
            </w:r>
          </w:p>
        </w:tc>
        <w:tc>
          <w:tcPr>
            <w:tcW w:w="714" w:type="dxa"/>
            <w:tcBorders>
              <w:top w:val="nil"/>
              <w:left w:val="nil"/>
              <w:bottom w:val="nil"/>
              <w:right w:val="nil"/>
            </w:tcBorders>
            <w:shd w:val="clear" w:color="000000" w:fill="FFFFFF"/>
            <w:noWrap/>
            <w:vAlign w:val="center"/>
            <w:hideMark/>
          </w:tcPr>
          <w:p w14:paraId="21827A98"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 </w:t>
            </w:r>
          </w:p>
        </w:tc>
      </w:tr>
      <w:tr w:rsidR="00256A12" w:rsidRPr="00256A12" w14:paraId="4A13A42C" w14:textId="77777777" w:rsidTr="00256A12">
        <w:trPr>
          <w:trHeight w:val="300"/>
        </w:trPr>
        <w:tc>
          <w:tcPr>
            <w:tcW w:w="826"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6895CD33" w14:textId="77777777" w:rsidR="00256A12" w:rsidRPr="00256A12" w:rsidRDefault="00256A12" w:rsidP="00256A12">
            <w:pPr>
              <w:spacing w:after="0" w:line="240" w:lineRule="auto"/>
              <w:jc w:val="center"/>
              <w:rPr>
                <w:rFonts w:ascii="Calibri" w:eastAsia="Times New Roman" w:hAnsi="Calibri" w:cs="Arial"/>
                <w:sz w:val="20"/>
                <w:szCs w:val="20"/>
                <w:lang w:eastAsia="cs-CZ"/>
              </w:rPr>
            </w:pPr>
            <w:r w:rsidRPr="00256A12">
              <w:rPr>
                <w:rFonts w:ascii="Calibri" w:eastAsia="Times New Roman" w:hAnsi="Calibri" w:cs="Arial"/>
                <w:sz w:val="20"/>
                <w:szCs w:val="20"/>
                <w:lang w:eastAsia="cs-CZ"/>
              </w:rPr>
              <w:lastRenderedPageBreak/>
              <w:t>2510</w:t>
            </w:r>
          </w:p>
        </w:tc>
        <w:tc>
          <w:tcPr>
            <w:tcW w:w="4109" w:type="dxa"/>
            <w:tcBorders>
              <w:top w:val="single" w:sz="8" w:space="0" w:color="auto"/>
              <w:left w:val="nil"/>
              <w:bottom w:val="single" w:sz="4" w:space="0" w:color="auto"/>
              <w:right w:val="single" w:sz="4" w:space="0" w:color="auto"/>
            </w:tcBorders>
            <w:shd w:val="clear" w:color="000000" w:fill="FFFFFF"/>
            <w:vAlign w:val="center"/>
            <w:hideMark/>
          </w:tcPr>
          <w:p w14:paraId="55EE0A79" w14:textId="77777777" w:rsidR="00256A12" w:rsidRPr="00256A12" w:rsidRDefault="00256A12" w:rsidP="00256A12">
            <w:pPr>
              <w:spacing w:after="0" w:line="240" w:lineRule="auto"/>
              <w:rPr>
                <w:rFonts w:ascii="Calibri" w:eastAsia="Times New Roman" w:hAnsi="Calibri" w:cs="Arial"/>
                <w:sz w:val="20"/>
                <w:szCs w:val="20"/>
                <w:lang w:eastAsia="cs-CZ"/>
              </w:rPr>
            </w:pPr>
            <w:r w:rsidRPr="00256A12">
              <w:rPr>
                <w:rFonts w:ascii="Calibri" w:eastAsia="Times New Roman" w:hAnsi="Calibri" w:cs="Arial"/>
                <w:sz w:val="20"/>
                <w:szCs w:val="20"/>
                <w:lang w:eastAsia="cs-CZ"/>
              </w:rPr>
              <w:t>Smart Akcelerátor II (UZ 33062)</w:t>
            </w:r>
          </w:p>
        </w:tc>
        <w:tc>
          <w:tcPr>
            <w:tcW w:w="1302" w:type="dxa"/>
            <w:tcBorders>
              <w:top w:val="single" w:sz="8" w:space="0" w:color="auto"/>
              <w:left w:val="nil"/>
              <w:bottom w:val="single" w:sz="4" w:space="0" w:color="auto"/>
              <w:right w:val="single" w:sz="4" w:space="0" w:color="auto"/>
            </w:tcBorders>
            <w:shd w:val="clear" w:color="000000" w:fill="FFFFFF"/>
            <w:noWrap/>
            <w:vAlign w:val="bottom"/>
            <w:hideMark/>
          </w:tcPr>
          <w:p w14:paraId="2814A1D8"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0</w:t>
            </w:r>
          </w:p>
        </w:tc>
        <w:tc>
          <w:tcPr>
            <w:tcW w:w="1418" w:type="dxa"/>
            <w:tcBorders>
              <w:top w:val="single" w:sz="8" w:space="0" w:color="auto"/>
              <w:left w:val="nil"/>
              <w:bottom w:val="single" w:sz="4" w:space="0" w:color="auto"/>
              <w:right w:val="single" w:sz="4" w:space="0" w:color="auto"/>
            </w:tcBorders>
            <w:shd w:val="clear" w:color="000000" w:fill="FFFFFF"/>
            <w:noWrap/>
            <w:vAlign w:val="bottom"/>
            <w:hideMark/>
          </w:tcPr>
          <w:p w14:paraId="3A91A5CC"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148 061,82</w:t>
            </w:r>
          </w:p>
        </w:tc>
        <w:tc>
          <w:tcPr>
            <w:tcW w:w="1559" w:type="dxa"/>
            <w:tcBorders>
              <w:top w:val="single" w:sz="8" w:space="0" w:color="auto"/>
              <w:left w:val="nil"/>
              <w:bottom w:val="single" w:sz="4" w:space="0" w:color="auto"/>
              <w:right w:val="single" w:sz="4" w:space="0" w:color="auto"/>
            </w:tcBorders>
            <w:shd w:val="clear" w:color="000000" w:fill="FFFFFF"/>
            <w:noWrap/>
            <w:vAlign w:val="bottom"/>
            <w:hideMark/>
          </w:tcPr>
          <w:p w14:paraId="00926425"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148 061,82</w:t>
            </w:r>
          </w:p>
        </w:tc>
        <w:tc>
          <w:tcPr>
            <w:tcW w:w="714" w:type="dxa"/>
            <w:tcBorders>
              <w:top w:val="single" w:sz="8" w:space="0" w:color="auto"/>
              <w:left w:val="nil"/>
              <w:bottom w:val="single" w:sz="4" w:space="0" w:color="auto"/>
              <w:right w:val="single" w:sz="8" w:space="0" w:color="auto"/>
            </w:tcBorders>
            <w:shd w:val="clear" w:color="000000" w:fill="FFFFFF"/>
            <w:noWrap/>
            <w:vAlign w:val="bottom"/>
            <w:hideMark/>
          </w:tcPr>
          <w:p w14:paraId="0B189B8A"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100,0</w:t>
            </w:r>
          </w:p>
        </w:tc>
      </w:tr>
      <w:tr w:rsidR="00256A12" w:rsidRPr="00256A12" w14:paraId="54E371F6" w14:textId="77777777" w:rsidTr="00256A12">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center"/>
            <w:hideMark/>
          </w:tcPr>
          <w:p w14:paraId="6E8E0350" w14:textId="77777777" w:rsidR="00256A12" w:rsidRPr="00256A12" w:rsidRDefault="00256A12" w:rsidP="00256A12">
            <w:pPr>
              <w:spacing w:after="0" w:line="240" w:lineRule="auto"/>
              <w:jc w:val="center"/>
              <w:rPr>
                <w:rFonts w:ascii="Calibri" w:eastAsia="Times New Roman" w:hAnsi="Calibri" w:cs="Arial"/>
                <w:sz w:val="20"/>
                <w:szCs w:val="20"/>
                <w:lang w:eastAsia="cs-CZ"/>
              </w:rPr>
            </w:pPr>
            <w:r w:rsidRPr="00256A12">
              <w:rPr>
                <w:rFonts w:ascii="Calibri" w:eastAsia="Times New Roman" w:hAnsi="Calibri" w:cs="Arial"/>
                <w:sz w:val="20"/>
                <w:szCs w:val="20"/>
                <w:lang w:eastAsia="cs-CZ"/>
              </w:rPr>
              <w:t>3636</w:t>
            </w:r>
          </w:p>
        </w:tc>
        <w:tc>
          <w:tcPr>
            <w:tcW w:w="4109" w:type="dxa"/>
            <w:tcBorders>
              <w:top w:val="nil"/>
              <w:left w:val="nil"/>
              <w:bottom w:val="single" w:sz="4" w:space="0" w:color="auto"/>
              <w:right w:val="single" w:sz="4" w:space="0" w:color="auto"/>
            </w:tcBorders>
            <w:shd w:val="clear" w:color="000000" w:fill="FFFFFF"/>
            <w:vAlign w:val="center"/>
            <w:hideMark/>
          </w:tcPr>
          <w:p w14:paraId="5921F59E" w14:textId="77777777" w:rsidR="00256A12" w:rsidRPr="00256A12" w:rsidRDefault="00256A12" w:rsidP="00256A12">
            <w:pPr>
              <w:spacing w:after="0" w:line="240" w:lineRule="auto"/>
              <w:rPr>
                <w:rFonts w:ascii="Calibri" w:eastAsia="Times New Roman" w:hAnsi="Calibri" w:cs="Arial"/>
                <w:sz w:val="20"/>
                <w:szCs w:val="20"/>
                <w:lang w:eastAsia="cs-CZ"/>
              </w:rPr>
            </w:pPr>
            <w:r w:rsidRPr="00256A12">
              <w:rPr>
                <w:rFonts w:ascii="Calibri" w:eastAsia="Times New Roman" w:hAnsi="Calibri" w:cs="Arial"/>
                <w:sz w:val="20"/>
                <w:szCs w:val="20"/>
                <w:lang w:eastAsia="cs-CZ"/>
              </w:rPr>
              <w:t>Středočeský kraj - efektivní region (UZ 13013)</w:t>
            </w:r>
          </w:p>
        </w:tc>
        <w:tc>
          <w:tcPr>
            <w:tcW w:w="1302" w:type="dxa"/>
            <w:tcBorders>
              <w:top w:val="nil"/>
              <w:left w:val="nil"/>
              <w:bottom w:val="single" w:sz="4" w:space="0" w:color="auto"/>
              <w:right w:val="single" w:sz="4" w:space="0" w:color="auto"/>
            </w:tcBorders>
            <w:shd w:val="clear" w:color="000000" w:fill="FFFFFF"/>
            <w:noWrap/>
            <w:vAlign w:val="bottom"/>
            <w:hideMark/>
          </w:tcPr>
          <w:p w14:paraId="06D89B6C"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0</w:t>
            </w:r>
          </w:p>
        </w:tc>
        <w:tc>
          <w:tcPr>
            <w:tcW w:w="1418" w:type="dxa"/>
            <w:tcBorders>
              <w:top w:val="nil"/>
              <w:left w:val="nil"/>
              <w:bottom w:val="single" w:sz="4" w:space="0" w:color="auto"/>
              <w:right w:val="single" w:sz="4" w:space="0" w:color="auto"/>
            </w:tcBorders>
            <w:shd w:val="clear" w:color="000000" w:fill="FFFFFF"/>
            <w:noWrap/>
            <w:vAlign w:val="bottom"/>
            <w:hideMark/>
          </w:tcPr>
          <w:p w14:paraId="3ECF3CBA"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2 840 204,50</w:t>
            </w:r>
          </w:p>
        </w:tc>
        <w:tc>
          <w:tcPr>
            <w:tcW w:w="1559" w:type="dxa"/>
            <w:tcBorders>
              <w:top w:val="nil"/>
              <w:left w:val="nil"/>
              <w:bottom w:val="single" w:sz="4" w:space="0" w:color="auto"/>
              <w:right w:val="single" w:sz="4" w:space="0" w:color="auto"/>
            </w:tcBorders>
            <w:shd w:val="clear" w:color="000000" w:fill="FFFFFF"/>
            <w:noWrap/>
            <w:vAlign w:val="bottom"/>
            <w:hideMark/>
          </w:tcPr>
          <w:p w14:paraId="2F5971C8"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1 394 824,88</w:t>
            </w:r>
          </w:p>
        </w:tc>
        <w:tc>
          <w:tcPr>
            <w:tcW w:w="714" w:type="dxa"/>
            <w:tcBorders>
              <w:top w:val="nil"/>
              <w:left w:val="nil"/>
              <w:bottom w:val="single" w:sz="4" w:space="0" w:color="auto"/>
              <w:right w:val="single" w:sz="8" w:space="0" w:color="auto"/>
            </w:tcBorders>
            <w:shd w:val="clear" w:color="000000" w:fill="FFFFFF"/>
            <w:noWrap/>
            <w:vAlign w:val="bottom"/>
            <w:hideMark/>
          </w:tcPr>
          <w:p w14:paraId="156EC0B4"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49,1</w:t>
            </w:r>
          </w:p>
        </w:tc>
      </w:tr>
      <w:tr w:rsidR="00256A12" w:rsidRPr="00256A12" w14:paraId="6C5A8C63" w14:textId="77777777" w:rsidTr="00256A12">
        <w:trPr>
          <w:trHeight w:val="300"/>
        </w:trPr>
        <w:tc>
          <w:tcPr>
            <w:tcW w:w="826" w:type="dxa"/>
            <w:tcBorders>
              <w:top w:val="nil"/>
              <w:left w:val="single" w:sz="8" w:space="0" w:color="auto"/>
              <w:bottom w:val="single" w:sz="4" w:space="0" w:color="auto"/>
              <w:right w:val="single" w:sz="4" w:space="0" w:color="auto"/>
            </w:tcBorders>
            <w:shd w:val="clear" w:color="000000" w:fill="FFFFFF"/>
            <w:vAlign w:val="center"/>
            <w:hideMark/>
          </w:tcPr>
          <w:p w14:paraId="3497C987" w14:textId="77777777" w:rsidR="00256A12" w:rsidRPr="00256A12" w:rsidRDefault="00256A12" w:rsidP="00256A12">
            <w:pPr>
              <w:spacing w:after="0" w:line="240" w:lineRule="auto"/>
              <w:jc w:val="center"/>
              <w:rPr>
                <w:rFonts w:ascii="Calibri" w:eastAsia="Times New Roman" w:hAnsi="Calibri" w:cs="Arial"/>
                <w:sz w:val="20"/>
                <w:szCs w:val="20"/>
                <w:lang w:eastAsia="cs-CZ"/>
              </w:rPr>
            </w:pPr>
            <w:r w:rsidRPr="00256A12">
              <w:rPr>
                <w:rFonts w:ascii="Calibri" w:eastAsia="Times New Roman" w:hAnsi="Calibri" w:cs="Arial"/>
                <w:sz w:val="20"/>
                <w:szCs w:val="20"/>
                <w:lang w:eastAsia="cs-CZ"/>
              </w:rPr>
              <w:t>3636</w:t>
            </w:r>
          </w:p>
        </w:tc>
        <w:tc>
          <w:tcPr>
            <w:tcW w:w="4109" w:type="dxa"/>
            <w:tcBorders>
              <w:top w:val="nil"/>
              <w:left w:val="nil"/>
              <w:bottom w:val="single" w:sz="4" w:space="0" w:color="auto"/>
              <w:right w:val="single" w:sz="4" w:space="0" w:color="auto"/>
            </w:tcBorders>
            <w:shd w:val="clear" w:color="000000" w:fill="FFFFFF"/>
            <w:vAlign w:val="bottom"/>
            <w:hideMark/>
          </w:tcPr>
          <w:p w14:paraId="3E1B0DBE" w14:textId="77777777" w:rsidR="00256A12" w:rsidRPr="00256A12" w:rsidRDefault="00256A12" w:rsidP="00256A12">
            <w:pPr>
              <w:spacing w:after="0" w:line="240" w:lineRule="auto"/>
              <w:rPr>
                <w:rFonts w:ascii="Calibri" w:eastAsia="Times New Roman" w:hAnsi="Calibri" w:cs="Arial"/>
                <w:sz w:val="20"/>
                <w:szCs w:val="20"/>
                <w:lang w:eastAsia="cs-CZ"/>
              </w:rPr>
            </w:pPr>
            <w:r w:rsidRPr="00256A12">
              <w:rPr>
                <w:rFonts w:ascii="Calibri" w:eastAsia="Times New Roman" w:hAnsi="Calibri" w:cs="Arial"/>
                <w:sz w:val="20"/>
                <w:szCs w:val="20"/>
                <w:lang w:eastAsia="cs-CZ"/>
              </w:rPr>
              <w:t>Optimalizace procesů a postupů KÚSK (UZ 13013)</w:t>
            </w:r>
          </w:p>
        </w:tc>
        <w:tc>
          <w:tcPr>
            <w:tcW w:w="1302" w:type="dxa"/>
            <w:tcBorders>
              <w:top w:val="nil"/>
              <w:left w:val="nil"/>
              <w:bottom w:val="single" w:sz="4" w:space="0" w:color="auto"/>
              <w:right w:val="single" w:sz="4" w:space="0" w:color="auto"/>
            </w:tcBorders>
            <w:shd w:val="clear" w:color="000000" w:fill="FFFFFF"/>
            <w:noWrap/>
            <w:vAlign w:val="bottom"/>
            <w:hideMark/>
          </w:tcPr>
          <w:p w14:paraId="2EEB19BA"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0</w:t>
            </w:r>
          </w:p>
        </w:tc>
        <w:tc>
          <w:tcPr>
            <w:tcW w:w="1418" w:type="dxa"/>
            <w:tcBorders>
              <w:top w:val="nil"/>
              <w:left w:val="nil"/>
              <w:bottom w:val="single" w:sz="4" w:space="0" w:color="auto"/>
              <w:right w:val="single" w:sz="4" w:space="0" w:color="auto"/>
            </w:tcBorders>
            <w:shd w:val="clear" w:color="000000" w:fill="FFFFFF"/>
            <w:noWrap/>
            <w:vAlign w:val="bottom"/>
            <w:hideMark/>
          </w:tcPr>
          <w:p w14:paraId="0C46B709"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279 656,00</w:t>
            </w:r>
          </w:p>
        </w:tc>
        <w:tc>
          <w:tcPr>
            <w:tcW w:w="1559" w:type="dxa"/>
            <w:tcBorders>
              <w:top w:val="nil"/>
              <w:left w:val="nil"/>
              <w:bottom w:val="single" w:sz="4" w:space="0" w:color="auto"/>
              <w:right w:val="single" w:sz="4" w:space="0" w:color="auto"/>
            </w:tcBorders>
            <w:shd w:val="clear" w:color="000000" w:fill="FFFFFF"/>
            <w:noWrap/>
            <w:vAlign w:val="bottom"/>
            <w:hideMark/>
          </w:tcPr>
          <w:p w14:paraId="0FE88C2B"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279 656,00</w:t>
            </w:r>
          </w:p>
        </w:tc>
        <w:tc>
          <w:tcPr>
            <w:tcW w:w="714" w:type="dxa"/>
            <w:tcBorders>
              <w:top w:val="nil"/>
              <w:left w:val="nil"/>
              <w:bottom w:val="single" w:sz="4" w:space="0" w:color="auto"/>
              <w:right w:val="single" w:sz="8" w:space="0" w:color="auto"/>
            </w:tcBorders>
            <w:shd w:val="clear" w:color="000000" w:fill="FFFFFF"/>
            <w:noWrap/>
            <w:vAlign w:val="bottom"/>
            <w:hideMark/>
          </w:tcPr>
          <w:p w14:paraId="6756146D"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100,0</w:t>
            </w:r>
          </w:p>
        </w:tc>
      </w:tr>
      <w:tr w:rsidR="00256A12" w:rsidRPr="00256A12" w14:paraId="415E084D" w14:textId="77777777" w:rsidTr="00DA4AA1">
        <w:trPr>
          <w:trHeight w:val="530"/>
        </w:trPr>
        <w:tc>
          <w:tcPr>
            <w:tcW w:w="826" w:type="dxa"/>
            <w:tcBorders>
              <w:top w:val="nil"/>
              <w:left w:val="single" w:sz="8" w:space="0" w:color="auto"/>
              <w:bottom w:val="single" w:sz="4" w:space="0" w:color="auto"/>
              <w:right w:val="single" w:sz="4" w:space="0" w:color="auto"/>
            </w:tcBorders>
            <w:shd w:val="clear" w:color="000000" w:fill="FFFFFF"/>
            <w:vAlign w:val="bottom"/>
            <w:hideMark/>
          </w:tcPr>
          <w:p w14:paraId="68C8964B" w14:textId="77777777" w:rsidR="00256A12" w:rsidRPr="00256A12" w:rsidRDefault="00256A12" w:rsidP="00256A12">
            <w:pPr>
              <w:spacing w:after="0" w:line="240" w:lineRule="auto"/>
              <w:jc w:val="center"/>
              <w:rPr>
                <w:rFonts w:ascii="Calibri" w:eastAsia="Times New Roman" w:hAnsi="Calibri" w:cs="Arial"/>
                <w:sz w:val="20"/>
                <w:szCs w:val="20"/>
                <w:lang w:eastAsia="cs-CZ"/>
              </w:rPr>
            </w:pPr>
            <w:r w:rsidRPr="00256A12">
              <w:rPr>
                <w:rFonts w:ascii="Calibri" w:eastAsia="Times New Roman" w:hAnsi="Calibri" w:cs="Arial"/>
                <w:sz w:val="20"/>
                <w:szCs w:val="20"/>
                <w:lang w:eastAsia="cs-CZ"/>
              </w:rPr>
              <w:t>3636</w:t>
            </w:r>
          </w:p>
        </w:tc>
        <w:tc>
          <w:tcPr>
            <w:tcW w:w="4109" w:type="dxa"/>
            <w:tcBorders>
              <w:top w:val="nil"/>
              <w:left w:val="nil"/>
              <w:bottom w:val="single" w:sz="4" w:space="0" w:color="auto"/>
              <w:right w:val="single" w:sz="4" w:space="0" w:color="auto"/>
            </w:tcBorders>
            <w:shd w:val="clear" w:color="000000" w:fill="FFFFFF"/>
            <w:vAlign w:val="bottom"/>
            <w:hideMark/>
          </w:tcPr>
          <w:p w14:paraId="723A9D79" w14:textId="77777777" w:rsidR="00256A12" w:rsidRPr="00256A12" w:rsidRDefault="00256A12" w:rsidP="00256A12">
            <w:pPr>
              <w:spacing w:after="0" w:line="240" w:lineRule="auto"/>
              <w:rPr>
                <w:rFonts w:ascii="Calibri" w:eastAsia="Times New Roman" w:hAnsi="Calibri" w:cs="Arial"/>
                <w:sz w:val="20"/>
                <w:szCs w:val="20"/>
                <w:lang w:eastAsia="cs-CZ"/>
              </w:rPr>
            </w:pPr>
            <w:r w:rsidRPr="00256A12">
              <w:rPr>
                <w:rFonts w:ascii="Calibri" w:eastAsia="Times New Roman" w:hAnsi="Calibri" w:cs="Arial"/>
                <w:sz w:val="20"/>
                <w:szCs w:val="20"/>
                <w:lang w:eastAsia="cs-CZ"/>
              </w:rPr>
              <w:t>Zajištění činnosti Regionální stálé konference SK 2020 - 2022 (UZ 17017, 17018)</w:t>
            </w:r>
          </w:p>
        </w:tc>
        <w:tc>
          <w:tcPr>
            <w:tcW w:w="1302" w:type="dxa"/>
            <w:tcBorders>
              <w:top w:val="nil"/>
              <w:left w:val="nil"/>
              <w:bottom w:val="single" w:sz="4" w:space="0" w:color="auto"/>
              <w:right w:val="single" w:sz="4" w:space="0" w:color="auto"/>
            </w:tcBorders>
            <w:shd w:val="clear" w:color="000000" w:fill="FFFFFF"/>
            <w:noWrap/>
            <w:vAlign w:val="bottom"/>
            <w:hideMark/>
          </w:tcPr>
          <w:p w14:paraId="4DB8302E"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0</w:t>
            </w:r>
          </w:p>
        </w:tc>
        <w:tc>
          <w:tcPr>
            <w:tcW w:w="1418" w:type="dxa"/>
            <w:tcBorders>
              <w:top w:val="nil"/>
              <w:left w:val="nil"/>
              <w:bottom w:val="single" w:sz="4" w:space="0" w:color="auto"/>
              <w:right w:val="single" w:sz="4" w:space="0" w:color="auto"/>
            </w:tcBorders>
            <w:shd w:val="clear" w:color="000000" w:fill="FFFFFF"/>
            <w:noWrap/>
            <w:vAlign w:val="bottom"/>
            <w:hideMark/>
          </w:tcPr>
          <w:p w14:paraId="2E1D2D0E"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3 114 305,83</w:t>
            </w:r>
          </w:p>
        </w:tc>
        <w:tc>
          <w:tcPr>
            <w:tcW w:w="1559" w:type="dxa"/>
            <w:tcBorders>
              <w:top w:val="nil"/>
              <w:left w:val="nil"/>
              <w:bottom w:val="single" w:sz="4" w:space="0" w:color="auto"/>
              <w:right w:val="single" w:sz="4" w:space="0" w:color="auto"/>
            </w:tcBorders>
            <w:shd w:val="clear" w:color="000000" w:fill="FFFFFF"/>
            <w:noWrap/>
            <w:vAlign w:val="bottom"/>
            <w:hideMark/>
          </w:tcPr>
          <w:p w14:paraId="30562B7B"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2 227 661,03</w:t>
            </w:r>
          </w:p>
        </w:tc>
        <w:tc>
          <w:tcPr>
            <w:tcW w:w="714" w:type="dxa"/>
            <w:tcBorders>
              <w:top w:val="nil"/>
              <w:left w:val="nil"/>
              <w:bottom w:val="single" w:sz="4" w:space="0" w:color="auto"/>
              <w:right w:val="single" w:sz="8" w:space="0" w:color="auto"/>
            </w:tcBorders>
            <w:shd w:val="clear" w:color="000000" w:fill="FFFFFF"/>
            <w:noWrap/>
            <w:vAlign w:val="bottom"/>
            <w:hideMark/>
          </w:tcPr>
          <w:p w14:paraId="74CEECC4" w14:textId="77777777" w:rsidR="00256A12" w:rsidRPr="00256A12" w:rsidRDefault="00256A12" w:rsidP="00256A12">
            <w:pPr>
              <w:spacing w:after="0" w:line="240" w:lineRule="auto"/>
              <w:jc w:val="right"/>
              <w:rPr>
                <w:rFonts w:ascii="Calibri" w:eastAsia="Times New Roman" w:hAnsi="Calibri" w:cs="Arial"/>
                <w:sz w:val="20"/>
                <w:szCs w:val="20"/>
                <w:lang w:eastAsia="cs-CZ"/>
              </w:rPr>
            </w:pPr>
            <w:r w:rsidRPr="00256A12">
              <w:rPr>
                <w:rFonts w:ascii="Calibri" w:eastAsia="Times New Roman" w:hAnsi="Calibri" w:cs="Arial"/>
                <w:sz w:val="20"/>
                <w:szCs w:val="20"/>
                <w:lang w:eastAsia="cs-CZ"/>
              </w:rPr>
              <w:t>71,5</w:t>
            </w:r>
          </w:p>
        </w:tc>
      </w:tr>
      <w:tr w:rsidR="00DA4AA1" w:rsidRPr="00256A12" w14:paraId="267873C2" w14:textId="77777777" w:rsidTr="00EC20C1">
        <w:trPr>
          <w:trHeight w:val="320"/>
        </w:trPr>
        <w:tc>
          <w:tcPr>
            <w:tcW w:w="826" w:type="dxa"/>
            <w:tcBorders>
              <w:top w:val="single" w:sz="4" w:space="0" w:color="auto"/>
              <w:left w:val="single" w:sz="8" w:space="0" w:color="auto"/>
              <w:bottom w:val="single" w:sz="8" w:space="0" w:color="auto"/>
              <w:right w:val="single" w:sz="4" w:space="0" w:color="auto"/>
            </w:tcBorders>
            <w:shd w:val="clear" w:color="000000" w:fill="FFFFFF"/>
            <w:noWrap/>
            <w:vAlign w:val="bottom"/>
          </w:tcPr>
          <w:p w14:paraId="39E7521B" w14:textId="7864F1AD" w:rsidR="00DA4AA1" w:rsidRPr="00256A12" w:rsidRDefault="00DA4AA1" w:rsidP="00DA4AA1">
            <w:pPr>
              <w:spacing w:after="0" w:line="240" w:lineRule="auto"/>
              <w:jc w:val="center"/>
              <w:rPr>
                <w:rFonts w:ascii="Calibri" w:eastAsia="Times New Roman" w:hAnsi="Calibri" w:cs="Arial"/>
                <w:lang w:eastAsia="cs-CZ"/>
              </w:rPr>
            </w:pPr>
            <w:r w:rsidRPr="00256A12">
              <w:rPr>
                <w:rFonts w:ascii="Calibri" w:eastAsia="Times New Roman" w:hAnsi="Calibri" w:cs="Arial"/>
                <w:sz w:val="20"/>
                <w:szCs w:val="20"/>
                <w:lang w:eastAsia="cs-CZ"/>
              </w:rPr>
              <w:t>3771</w:t>
            </w:r>
          </w:p>
        </w:tc>
        <w:tc>
          <w:tcPr>
            <w:tcW w:w="4109" w:type="dxa"/>
            <w:tcBorders>
              <w:top w:val="single" w:sz="4" w:space="0" w:color="auto"/>
              <w:left w:val="nil"/>
              <w:bottom w:val="single" w:sz="8" w:space="0" w:color="auto"/>
              <w:right w:val="single" w:sz="4" w:space="0" w:color="auto"/>
            </w:tcBorders>
            <w:shd w:val="clear" w:color="000000" w:fill="FFFFFF"/>
            <w:noWrap/>
            <w:vAlign w:val="bottom"/>
          </w:tcPr>
          <w:p w14:paraId="7A45B2CB" w14:textId="61F6E02C" w:rsidR="00DA4AA1" w:rsidRPr="00256A12" w:rsidRDefault="00DA4AA1" w:rsidP="00DA4AA1">
            <w:pPr>
              <w:spacing w:after="0" w:line="240" w:lineRule="auto"/>
              <w:rPr>
                <w:rFonts w:ascii="Calibri" w:eastAsia="Times New Roman" w:hAnsi="Calibri" w:cs="Arial"/>
                <w:b/>
                <w:bCs/>
                <w:lang w:eastAsia="cs-CZ"/>
              </w:rPr>
            </w:pPr>
            <w:r w:rsidRPr="00256A12">
              <w:rPr>
                <w:rFonts w:ascii="Calibri" w:eastAsia="Times New Roman" w:hAnsi="Calibri" w:cs="Arial"/>
                <w:sz w:val="20"/>
                <w:szCs w:val="20"/>
                <w:lang w:eastAsia="cs-CZ"/>
              </w:rPr>
              <w:t>Protiradonová opatření</w:t>
            </w:r>
            <w:r w:rsidR="000C7B12">
              <w:rPr>
                <w:rFonts w:ascii="Calibri" w:eastAsia="Times New Roman" w:hAnsi="Calibri" w:cs="Arial"/>
                <w:sz w:val="20"/>
                <w:szCs w:val="20"/>
                <w:lang w:eastAsia="cs-CZ"/>
              </w:rPr>
              <w:t xml:space="preserve"> (UZ 98035)</w:t>
            </w:r>
          </w:p>
        </w:tc>
        <w:tc>
          <w:tcPr>
            <w:tcW w:w="1302" w:type="dxa"/>
            <w:tcBorders>
              <w:top w:val="single" w:sz="4" w:space="0" w:color="auto"/>
              <w:left w:val="nil"/>
              <w:bottom w:val="single" w:sz="8" w:space="0" w:color="auto"/>
              <w:right w:val="single" w:sz="4" w:space="0" w:color="auto"/>
            </w:tcBorders>
            <w:shd w:val="clear" w:color="000000" w:fill="FFFFFF"/>
            <w:noWrap/>
            <w:vAlign w:val="bottom"/>
          </w:tcPr>
          <w:p w14:paraId="5EE8FF8B" w14:textId="1B07FC7A" w:rsidR="00DA4AA1" w:rsidRPr="00256A12" w:rsidRDefault="00DA4AA1" w:rsidP="00DA4AA1">
            <w:pPr>
              <w:spacing w:after="0" w:line="240" w:lineRule="auto"/>
              <w:jc w:val="right"/>
              <w:rPr>
                <w:rFonts w:ascii="Calibri" w:eastAsia="Times New Roman" w:hAnsi="Calibri" w:cs="Arial"/>
                <w:b/>
                <w:bCs/>
                <w:lang w:eastAsia="cs-CZ"/>
              </w:rPr>
            </w:pPr>
            <w:r w:rsidRPr="00256A12">
              <w:rPr>
                <w:rFonts w:ascii="Calibri" w:eastAsia="Times New Roman" w:hAnsi="Calibri" w:cs="Arial"/>
                <w:sz w:val="20"/>
                <w:szCs w:val="20"/>
                <w:lang w:eastAsia="cs-CZ"/>
              </w:rPr>
              <w:t>0</w:t>
            </w:r>
          </w:p>
        </w:tc>
        <w:tc>
          <w:tcPr>
            <w:tcW w:w="1418" w:type="dxa"/>
            <w:tcBorders>
              <w:top w:val="single" w:sz="4" w:space="0" w:color="auto"/>
              <w:left w:val="nil"/>
              <w:bottom w:val="single" w:sz="8" w:space="0" w:color="auto"/>
              <w:right w:val="single" w:sz="4" w:space="0" w:color="auto"/>
            </w:tcBorders>
            <w:shd w:val="clear" w:color="000000" w:fill="FFFFFF"/>
            <w:noWrap/>
            <w:vAlign w:val="bottom"/>
          </w:tcPr>
          <w:p w14:paraId="2BA0639F" w14:textId="1C6D8939" w:rsidR="00DA4AA1" w:rsidRPr="00256A12" w:rsidRDefault="00DA4AA1" w:rsidP="00DA4AA1">
            <w:pPr>
              <w:spacing w:after="0" w:line="240" w:lineRule="auto"/>
              <w:jc w:val="right"/>
              <w:rPr>
                <w:rFonts w:ascii="Calibri" w:eastAsia="Times New Roman" w:hAnsi="Calibri" w:cs="Arial"/>
                <w:b/>
                <w:bCs/>
                <w:lang w:eastAsia="cs-CZ"/>
              </w:rPr>
            </w:pPr>
            <w:r w:rsidRPr="00256A12">
              <w:rPr>
                <w:rFonts w:ascii="Calibri" w:eastAsia="Times New Roman" w:hAnsi="Calibri" w:cs="Arial"/>
                <w:sz w:val="20"/>
                <w:szCs w:val="20"/>
                <w:lang w:eastAsia="cs-CZ"/>
              </w:rPr>
              <w:t>150 000,00</w:t>
            </w:r>
          </w:p>
        </w:tc>
        <w:tc>
          <w:tcPr>
            <w:tcW w:w="1559" w:type="dxa"/>
            <w:tcBorders>
              <w:top w:val="single" w:sz="4" w:space="0" w:color="auto"/>
              <w:left w:val="nil"/>
              <w:bottom w:val="single" w:sz="8" w:space="0" w:color="auto"/>
              <w:right w:val="single" w:sz="4" w:space="0" w:color="auto"/>
            </w:tcBorders>
            <w:shd w:val="clear" w:color="000000" w:fill="FFFFFF"/>
            <w:noWrap/>
            <w:vAlign w:val="bottom"/>
          </w:tcPr>
          <w:p w14:paraId="431A825C" w14:textId="31360C53" w:rsidR="00DA4AA1" w:rsidRPr="00256A12" w:rsidRDefault="00DA4AA1" w:rsidP="00DA4AA1">
            <w:pPr>
              <w:spacing w:after="0" w:line="240" w:lineRule="auto"/>
              <w:jc w:val="right"/>
              <w:rPr>
                <w:rFonts w:ascii="Calibri" w:eastAsia="Times New Roman" w:hAnsi="Calibri" w:cs="Arial"/>
                <w:b/>
                <w:bCs/>
                <w:lang w:eastAsia="cs-CZ"/>
              </w:rPr>
            </w:pPr>
            <w:r w:rsidRPr="00256A12">
              <w:rPr>
                <w:rFonts w:ascii="Calibri" w:eastAsia="Times New Roman" w:hAnsi="Calibri" w:cs="Arial"/>
                <w:sz w:val="20"/>
                <w:szCs w:val="20"/>
                <w:lang w:eastAsia="cs-CZ"/>
              </w:rPr>
              <w:t>150 000,00</w:t>
            </w:r>
          </w:p>
        </w:tc>
        <w:tc>
          <w:tcPr>
            <w:tcW w:w="714" w:type="dxa"/>
            <w:tcBorders>
              <w:top w:val="single" w:sz="4" w:space="0" w:color="auto"/>
              <w:left w:val="nil"/>
              <w:bottom w:val="single" w:sz="8" w:space="0" w:color="auto"/>
              <w:right w:val="single" w:sz="8" w:space="0" w:color="auto"/>
            </w:tcBorders>
            <w:shd w:val="clear" w:color="000000" w:fill="FFFFFF"/>
            <w:noWrap/>
            <w:vAlign w:val="bottom"/>
          </w:tcPr>
          <w:p w14:paraId="6B07D4B7" w14:textId="0183A3F9" w:rsidR="00DA4AA1" w:rsidRPr="00256A12" w:rsidRDefault="00DA4AA1" w:rsidP="00DA4AA1">
            <w:pPr>
              <w:spacing w:after="0" w:line="240" w:lineRule="auto"/>
              <w:jc w:val="right"/>
              <w:rPr>
                <w:rFonts w:ascii="Calibri" w:eastAsia="Times New Roman" w:hAnsi="Calibri" w:cs="Arial"/>
                <w:b/>
                <w:bCs/>
                <w:lang w:eastAsia="cs-CZ"/>
              </w:rPr>
            </w:pPr>
            <w:r w:rsidRPr="00256A12">
              <w:rPr>
                <w:rFonts w:ascii="Calibri" w:eastAsia="Times New Roman" w:hAnsi="Calibri" w:cs="Arial"/>
                <w:sz w:val="20"/>
                <w:szCs w:val="20"/>
                <w:lang w:eastAsia="cs-CZ"/>
              </w:rPr>
              <w:t>100,0</w:t>
            </w:r>
          </w:p>
        </w:tc>
      </w:tr>
      <w:tr w:rsidR="00DA4AA1" w:rsidRPr="00256A12" w14:paraId="5880458B" w14:textId="77777777" w:rsidTr="00256A12">
        <w:trPr>
          <w:trHeight w:val="320"/>
        </w:trPr>
        <w:tc>
          <w:tcPr>
            <w:tcW w:w="826" w:type="dxa"/>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4F71376E" w14:textId="77777777" w:rsidR="00DA4AA1" w:rsidRPr="00256A12" w:rsidRDefault="00DA4AA1" w:rsidP="00DA4AA1">
            <w:pPr>
              <w:spacing w:after="0" w:line="240" w:lineRule="auto"/>
              <w:jc w:val="center"/>
              <w:rPr>
                <w:rFonts w:ascii="Calibri" w:eastAsia="Times New Roman" w:hAnsi="Calibri" w:cs="Arial"/>
                <w:lang w:eastAsia="cs-CZ"/>
              </w:rPr>
            </w:pPr>
            <w:r w:rsidRPr="00256A12">
              <w:rPr>
                <w:rFonts w:ascii="Calibri" w:eastAsia="Times New Roman" w:hAnsi="Calibri" w:cs="Arial"/>
                <w:lang w:eastAsia="cs-CZ"/>
              </w:rPr>
              <w:t> </w:t>
            </w:r>
          </w:p>
        </w:tc>
        <w:tc>
          <w:tcPr>
            <w:tcW w:w="4109" w:type="dxa"/>
            <w:tcBorders>
              <w:top w:val="single" w:sz="8" w:space="0" w:color="auto"/>
              <w:left w:val="nil"/>
              <w:bottom w:val="single" w:sz="8" w:space="0" w:color="auto"/>
              <w:right w:val="single" w:sz="4" w:space="0" w:color="auto"/>
            </w:tcBorders>
            <w:shd w:val="clear" w:color="000000" w:fill="FFFFFF"/>
            <w:noWrap/>
            <w:vAlign w:val="bottom"/>
            <w:hideMark/>
          </w:tcPr>
          <w:p w14:paraId="45685F69" w14:textId="77777777" w:rsidR="00DA4AA1" w:rsidRPr="00256A12" w:rsidRDefault="00DA4AA1" w:rsidP="00DA4AA1">
            <w:pPr>
              <w:spacing w:after="0" w:line="240" w:lineRule="auto"/>
              <w:rPr>
                <w:rFonts w:ascii="Calibri" w:eastAsia="Times New Roman" w:hAnsi="Calibri" w:cs="Arial"/>
                <w:b/>
                <w:bCs/>
                <w:lang w:eastAsia="cs-CZ"/>
              </w:rPr>
            </w:pPr>
            <w:r w:rsidRPr="00256A12">
              <w:rPr>
                <w:rFonts w:ascii="Calibri" w:eastAsia="Times New Roman" w:hAnsi="Calibri" w:cs="Arial"/>
                <w:b/>
                <w:bCs/>
                <w:lang w:eastAsia="cs-CZ"/>
              </w:rPr>
              <w:t>Celkem</w:t>
            </w:r>
          </w:p>
        </w:tc>
        <w:tc>
          <w:tcPr>
            <w:tcW w:w="1302" w:type="dxa"/>
            <w:tcBorders>
              <w:top w:val="single" w:sz="8" w:space="0" w:color="auto"/>
              <w:left w:val="nil"/>
              <w:bottom w:val="single" w:sz="8" w:space="0" w:color="auto"/>
              <w:right w:val="single" w:sz="4" w:space="0" w:color="auto"/>
            </w:tcBorders>
            <w:shd w:val="clear" w:color="000000" w:fill="FFFFFF"/>
            <w:noWrap/>
            <w:vAlign w:val="bottom"/>
            <w:hideMark/>
          </w:tcPr>
          <w:p w14:paraId="502120ED" w14:textId="77777777" w:rsidR="00DA4AA1" w:rsidRPr="00256A12" w:rsidRDefault="00DA4AA1" w:rsidP="00DA4AA1">
            <w:pPr>
              <w:spacing w:after="0" w:line="240" w:lineRule="auto"/>
              <w:jc w:val="right"/>
              <w:rPr>
                <w:rFonts w:ascii="Calibri" w:eastAsia="Times New Roman" w:hAnsi="Calibri" w:cs="Arial"/>
                <w:b/>
                <w:bCs/>
                <w:lang w:eastAsia="cs-CZ"/>
              </w:rPr>
            </w:pPr>
            <w:r w:rsidRPr="00256A12">
              <w:rPr>
                <w:rFonts w:ascii="Calibri" w:eastAsia="Times New Roman" w:hAnsi="Calibri" w:cs="Arial"/>
                <w:b/>
                <w:bCs/>
                <w:lang w:eastAsia="cs-CZ"/>
              </w:rPr>
              <w:t>0</w:t>
            </w:r>
          </w:p>
        </w:tc>
        <w:tc>
          <w:tcPr>
            <w:tcW w:w="1418" w:type="dxa"/>
            <w:tcBorders>
              <w:top w:val="single" w:sz="8" w:space="0" w:color="auto"/>
              <w:left w:val="nil"/>
              <w:bottom w:val="single" w:sz="8" w:space="0" w:color="auto"/>
              <w:right w:val="single" w:sz="4" w:space="0" w:color="auto"/>
            </w:tcBorders>
            <w:shd w:val="clear" w:color="000000" w:fill="FFFFFF"/>
            <w:noWrap/>
            <w:vAlign w:val="bottom"/>
            <w:hideMark/>
          </w:tcPr>
          <w:p w14:paraId="21F8FF83" w14:textId="63B7A5F3" w:rsidR="00DA4AA1" w:rsidRPr="00256A12" w:rsidRDefault="00DA4AA1" w:rsidP="00DA4AA1">
            <w:pPr>
              <w:spacing w:after="0" w:line="240" w:lineRule="auto"/>
              <w:jc w:val="right"/>
              <w:rPr>
                <w:rFonts w:ascii="Calibri" w:eastAsia="Times New Roman" w:hAnsi="Calibri" w:cs="Arial"/>
                <w:b/>
                <w:bCs/>
                <w:lang w:eastAsia="cs-CZ"/>
              </w:rPr>
            </w:pPr>
            <w:r w:rsidRPr="00256A12">
              <w:rPr>
                <w:rFonts w:ascii="Calibri" w:eastAsia="Times New Roman" w:hAnsi="Calibri" w:cs="Arial"/>
                <w:b/>
                <w:bCs/>
                <w:lang w:eastAsia="cs-CZ"/>
              </w:rPr>
              <w:t xml:space="preserve">6 </w:t>
            </w:r>
            <w:r>
              <w:rPr>
                <w:rFonts w:ascii="Calibri" w:eastAsia="Times New Roman" w:hAnsi="Calibri" w:cs="Arial"/>
                <w:b/>
                <w:bCs/>
                <w:lang w:eastAsia="cs-CZ"/>
              </w:rPr>
              <w:t>532</w:t>
            </w:r>
            <w:r w:rsidRPr="00256A12">
              <w:rPr>
                <w:rFonts w:ascii="Calibri" w:eastAsia="Times New Roman" w:hAnsi="Calibri" w:cs="Arial"/>
                <w:b/>
                <w:bCs/>
                <w:lang w:eastAsia="cs-CZ"/>
              </w:rPr>
              <w:t xml:space="preserve"> 228,15</w:t>
            </w:r>
          </w:p>
        </w:tc>
        <w:tc>
          <w:tcPr>
            <w:tcW w:w="1559" w:type="dxa"/>
            <w:tcBorders>
              <w:top w:val="single" w:sz="8" w:space="0" w:color="auto"/>
              <w:left w:val="nil"/>
              <w:bottom w:val="single" w:sz="8" w:space="0" w:color="auto"/>
              <w:right w:val="single" w:sz="4" w:space="0" w:color="auto"/>
            </w:tcBorders>
            <w:shd w:val="clear" w:color="000000" w:fill="FFFFFF"/>
            <w:noWrap/>
            <w:vAlign w:val="bottom"/>
            <w:hideMark/>
          </w:tcPr>
          <w:p w14:paraId="686F0F24" w14:textId="3A9E2264" w:rsidR="00DA4AA1" w:rsidRPr="00256A12" w:rsidRDefault="00DA4AA1" w:rsidP="00DA4AA1">
            <w:pPr>
              <w:spacing w:after="0" w:line="240" w:lineRule="auto"/>
              <w:jc w:val="right"/>
              <w:rPr>
                <w:rFonts w:ascii="Calibri" w:eastAsia="Times New Roman" w:hAnsi="Calibri" w:cs="Arial"/>
                <w:b/>
                <w:bCs/>
                <w:lang w:eastAsia="cs-CZ"/>
              </w:rPr>
            </w:pPr>
            <w:r w:rsidRPr="00256A12">
              <w:rPr>
                <w:rFonts w:ascii="Calibri" w:eastAsia="Times New Roman" w:hAnsi="Calibri" w:cs="Arial"/>
                <w:b/>
                <w:bCs/>
                <w:lang w:eastAsia="cs-CZ"/>
              </w:rPr>
              <w:t xml:space="preserve">4 </w:t>
            </w:r>
            <w:r w:rsidR="00EC20C1">
              <w:rPr>
                <w:rFonts w:ascii="Calibri" w:eastAsia="Times New Roman" w:hAnsi="Calibri" w:cs="Arial"/>
                <w:b/>
                <w:bCs/>
                <w:lang w:eastAsia="cs-CZ"/>
              </w:rPr>
              <w:t>20</w:t>
            </w:r>
            <w:r w:rsidRPr="00256A12">
              <w:rPr>
                <w:rFonts w:ascii="Calibri" w:eastAsia="Times New Roman" w:hAnsi="Calibri" w:cs="Arial"/>
                <w:b/>
                <w:bCs/>
                <w:lang w:eastAsia="cs-CZ"/>
              </w:rPr>
              <w:t>0 203,73</w:t>
            </w:r>
          </w:p>
        </w:tc>
        <w:tc>
          <w:tcPr>
            <w:tcW w:w="714" w:type="dxa"/>
            <w:tcBorders>
              <w:top w:val="single" w:sz="8" w:space="0" w:color="auto"/>
              <w:left w:val="nil"/>
              <w:bottom w:val="single" w:sz="8" w:space="0" w:color="auto"/>
              <w:right w:val="single" w:sz="8" w:space="0" w:color="auto"/>
            </w:tcBorders>
            <w:shd w:val="clear" w:color="000000" w:fill="FFFFFF"/>
            <w:noWrap/>
            <w:vAlign w:val="bottom"/>
            <w:hideMark/>
          </w:tcPr>
          <w:p w14:paraId="07A4CE05" w14:textId="34F70953" w:rsidR="00DA4AA1" w:rsidRPr="00256A12" w:rsidRDefault="00DA4AA1" w:rsidP="00DA4AA1">
            <w:pPr>
              <w:spacing w:after="0" w:line="240" w:lineRule="auto"/>
              <w:jc w:val="right"/>
              <w:rPr>
                <w:rFonts w:ascii="Calibri" w:eastAsia="Times New Roman" w:hAnsi="Calibri" w:cs="Arial"/>
                <w:b/>
                <w:bCs/>
                <w:lang w:eastAsia="cs-CZ"/>
              </w:rPr>
            </w:pPr>
            <w:r w:rsidRPr="00256A12">
              <w:rPr>
                <w:rFonts w:ascii="Calibri" w:eastAsia="Times New Roman" w:hAnsi="Calibri" w:cs="Arial"/>
                <w:b/>
                <w:bCs/>
                <w:lang w:eastAsia="cs-CZ"/>
              </w:rPr>
              <w:t>6</w:t>
            </w:r>
            <w:r w:rsidR="00EC20C1">
              <w:rPr>
                <w:rFonts w:ascii="Calibri" w:eastAsia="Times New Roman" w:hAnsi="Calibri" w:cs="Arial"/>
                <w:b/>
                <w:bCs/>
                <w:lang w:eastAsia="cs-CZ"/>
              </w:rPr>
              <w:t>4</w:t>
            </w:r>
            <w:r w:rsidRPr="00256A12">
              <w:rPr>
                <w:rFonts w:ascii="Calibri" w:eastAsia="Times New Roman" w:hAnsi="Calibri" w:cs="Arial"/>
                <w:b/>
                <w:bCs/>
                <w:lang w:eastAsia="cs-CZ"/>
              </w:rPr>
              <w:t>,</w:t>
            </w:r>
            <w:r w:rsidR="00EC20C1">
              <w:rPr>
                <w:rFonts w:ascii="Calibri" w:eastAsia="Times New Roman" w:hAnsi="Calibri" w:cs="Arial"/>
                <w:b/>
                <w:bCs/>
                <w:lang w:eastAsia="cs-CZ"/>
              </w:rPr>
              <w:t>0</w:t>
            </w:r>
          </w:p>
        </w:tc>
      </w:tr>
      <w:tr w:rsidR="00DA4AA1" w:rsidRPr="00256A12" w14:paraId="32848F67" w14:textId="77777777" w:rsidTr="00256A12">
        <w:trPr>
          <w:trHeight w:val="300"/>
        </w:trPr>
        <w:tc>
          <w:tcPr>
            <w:tcW w:w="826" w:type="dxa"/>
            <w:tcBorders>
              <w:top w:val="nil"/>
              <w:left w:val="nil"/>
              <w:bottom w:val="nil"/>
              <w:right w:val="nil"/>
            </w:tcBorders>
            <w:shd w:val="clear" w:color="000000" w:fill="FFFFFF"/>
            <w:noWrap/>
            <w:vAlign w:val="bottom"/>
            <w:hideMark/>
          </w:tcPr>
          <w:p w14:paraId="4BF8DA62" w14:textId="77777777" w:rsidR="00DA4AA1" w:rsidRPr="00256A12" w:rsidRDefault="00DA4AA1" w:rsidP="00DA4AA1">
            <w:pPr>
              <w:spacing w:after="0" w:line="240" w:lineRule="auto"/>
              <w:rPr>
                <w:rFonts w:ascii="Calibri" w:eastAsia="Times New Roman" w:hAnsi="Calibri" w:cs="Arial"/>
                <w:sz w:val="24"/>
                <w:szCs w:val="24"/>
                <w:lang w:eastAsia="cs-CZ"/>
              </w:rPr>
            </w:pPr>
            <w:r w:rsidRPr="00256A12">
              <w:rPr>
                <w:rFonts w:ascii="Calibri" w:eastAsia="Times New Roman" w:hAnsi="Calibri" w:cs="Arial"/>
                <w:sz w:val="24"/>
                <w:szCs w:val="24"/>
                <w:lang w:eastAsia="cs-CZ"/>
              </w:rPr>
              <w:t> </w:t>
            </w:r>
          </w:p>
        </w:tc>
        <w:tc>
          <w:tcPr>
            <w:tcW w:w="4109" w:type="dxa"/>
            <w:tcBorders>
              <w:top w:val="nil"/>
              <w:left w:val="nil"/>
              <w:bottom w:val="nil"/>
              <w:right w:val="nil"/>
            </w:tcBorders>
            <w:shd w:val="clear" w:color="000000" w:fill="FFFFFF"/>
            <w:noWrap/>
            <w:vAlign w:val="bottom"/>
            <w:hideMark/>
          </w:tcPr>
          <w:p w14:paraId="24DEC93B" w14:textId="77777777" w:rsidR="00DA4AA1" w:rsidRPr="00256A12" w:rsidRDefault="00DA4AA1" w:rsidP="00DA4AA1">
            <w:pPr>
              <w:spacing w:after="0" w:line="240" w:lineRule="auto"/>
              <w:rPr>
                <w:rFonts w:ascii="Calibri" w:eastAsia="Times New Roman" w:hAnsi="Calibri" w:cs="Arial"/>
                <w:b/>
                <w:bCs/>
                <w:sz w:val="24"/>
                <w:szCs w:val="24"/>
                <w:lang w:eastAsia="cs-CZ"/>
              </w:rPr>
            </w:pPr>
            <w:r w:rsidRPr="00256A12">
              <w:rPr>
                <w:rFonts w:ascii="Calibri" w:eastAsia="Times New Roman" w:hAnsi="Calibri" w:cs="Arial"/>
                <w:b/>
                <w:bCs/>
                <w:sz w:val="24"/>
                <w:szCs w:val="24"/>
                <w:lang w:eastAsia="cs-CZ"/>
              </w:rPr>
              <w:t> </w:t>
            </w:r>
          </w:p>
        </w:tc>
        <w:tc>
          <w:tcPr>
            <w:tcW w:w="1302" w:type="dxa"/>
            <w:tcBorders>
              <w:top w:val="nil"/>
              <w:left w:val="nil"/>
              <w:bottom w:val="nil"/>
              <w:right w:val="nil"/>
            </w:tcBorders>
            <w:shd w:val="clear" w:color="000000" w:fill="FFFFFF"/>
            <w:noWrap/>
            <w:vAlign w:val="bottom"/>
            <w:hideMark/>
          </w:tcPr>
          <w:p w14:paraId="11DA97EE" w14:textId="77777777" w:rsidR="00DA4AA1" w:rsidRPr="00256A12" w:rsidRDefault="00DA4AA1" w:rsidP="00DA4AA1">
            <w:pPr>
              <w:spacing w:after="0" w:line="240" w:lineRule="auto"/>
              <w:jc w:val="right"/>
              <w:rPr>
                <w:rFonts w:ascii="Calibri" w:eastAsia="Times New Roman" w:hAnsi="Calibri" w:cs="Arial"/>
                <w:b/>
                <w:bCs/>
                <w:sz w:val="24"/>
                <w:szCs w:val="24"/>
                <w:lang w:eastAsia="cs-CZ"/>
              </w:rPr>
            </w:pPr>
            <w:r w:rsidRPr="00256A12">
              <w:rPr>
                <w:rFonts w:ascii="Calibri" w:eastAsia="Times New Roman" w:hAnsi="Calibri" w:cs="Arial"/>
                <w:b/>
                <w:bCs/>
                <w:sz w:val="24"/>
                <w:szCs w:val="24"/>
                <w:lang w:eastAsia="cs-CZ"/>
              </w:rPr>
              <w:t> </w:t>
            </w:r>
          </w:p>
        </w:tc>
        <w:tc>
          <w:tcPr>
            <w:tcW w:w="1418" w:type="dxa"/>
            <w:tcBorders>
              <w:top w:val="nil"/>
              <w:left w:val="nil"/>
              <w:bottom w:val="nil"/>
              <w:right w:val="nil"/>
            </w:tcBorders>
            <w:shd w:val="clear" w:color="000000" w:fill="FFFFFF"/>
            <w:noWrap/>
            <w:vAlign w:val="bottom"/>
            <w:hideMark/>
          </w:tcPr>
          <w:p w14:paraId="0A03417B" w14:textId="77777777" w:rsidR="00DA4AA1" w:rsidRPr="00256A12" w:rsidRDefault="00DA4AA1" w:rsidP="00DA4AA1">
            <w:pPr>
              <w:spacing w:after="0" w:line="240" w:lineRule="auto"/>
              <w:jc w:val="right"/>
              <w:rPr>
                <w:rFonts w:ascii="Calibri" w:eastAsia="Times New Roman" w:hAnsi="Calibri" w:cs="Arial"/>
                <w:b/>
                <w:bCs/>
                <w:sz w:val="24"/>
                <w:szCs w:val="24"/>
                <w:lang w:eastAsia="cs-CZ"/>
              </w:rPr>
            </w:pPr>
            <w:r w:rsidRPr="00256A12">
              <w:rPr>
                <w:rFonts w:ascii="Calibri" w:eastAsia="Times New Roman" w:hAnsi="Calibri" w:cs="Arial"/>
                <w:b/>
                <w:bCs/>
                <w:sz w:val="24"/>
                <w:szCs w:val="24"/>
                <w:lang w:eastAsia="cs-CZ"/>
              </w:rPr>
              <w:t> </w:t>
            </w:r>
          </w:p>
        </w:tc>
        <w:tc>
          <w:tcPr>
            <w:tcW w:w="1559" w:type="dxa"/>
            <w:tcBorders>
              <w:top w:val="nil"/>
              <w:left w:val="nil"/>
              <w:bottom w:val="nil"/>
              <w:right w:val="nil"/>
            </w:tcBorders>
            <w:shd w:val="clear" w:color="000000" w:fill="FFFFFF"/>
            <w:noWrap/>
            <w:vAlign w:val="bottom"/>
            <w:hideMark/>
          </w:tcPr>
          <w:p w14:paraId="39F3D21E" w14:textId="77777777" w:rsidR="00DA4AA1" w:rsidRPr="00256A12" w:rsidRDefault="00DA4AA1" w:rsidP="00DA4AA1">
            <w:pPr>
              <w:spacing w:after="0" w:line="240" w:lineRule="auto"/>
              <w:jc w:val="right"/>
              <w:rPr>
                <w:rFonts w:ascii="Calibri" w:eastAsia="Times New Roman" w:hAnsi="Calibri" w:cs="Arial"/>
                <w:b/>
                <w:bCs/>
                <w:sz w:val="24"/>
                <w:szCs w:val="24"/>
                <w:lang w:eastAsia="cs-CZ"/>
              </w:rPr>
            </w:pPr>
            <w:r w:rsidRPr="00256A12">
              <w:rPr>
                <w:rFonts w:ascii="Calibri" w:eastAsia="Times New Roman" w:hAnsi="Calibri" w:cs="Arial"/>
                <w:b/>
                <w:bCs/>
                <w:sz w:val="24"/>
                <w:szCs w:val="24"/>
                <w:lang w:eastAsia="cs-CZ"/>
              </w:rPr>
              <w:t> </w:t>
            </w:r>
          </w:p>
        </w:tc>
        <w:tc>
          <w:tcPr>
            <w:tcW w:w="714" w:type="dxa"/>
            <w:tcBorders>
              <w:top w:val="nil"/>
              <w:left w:val="nil"/>
              <w:bottom w:val="nil"/>
              <w:right w:val="nil"/>
            </w:tcBorders>
            <w:shd w:val="clear" w:color="000000" w:fill="FFFFFF"/>
            <w:noWrap/>
            <w:vAlign w:val="bottom"/>
            <w:hideMark/>
          </w:tcPr>
          <w:p w14:paraId="59D098D8" w14:textId="77777777" w:rsidR="00DA4AA1" w:rsidRPr="00256A12" w:rsidRDefault="00DA4AA1" w:rsidP="00DA4AA1">
            <w:pPr>
              <w:spacing w:after="0" w:line="240" w:lineRule="auto"/>
              <w:jc w:val="right"/>
              <w:rPr>
                <w:rFonts w:ascii="Calibri" w:eastAsia="Times New Roman" w:hAnsi="Calibri" w:cs="Arial"/>
                <w:b/>
                <w:bCs/>
                <w:sz w:val="24"/>
                <w:szCs w:val="24"/>
                <w:lang w:eastAsia="cs-CZ"/>
              </w:rPr>
            </w:pPr>
            <w:r w:rsidRPr="00256A12">
              <w:rPr>
                <w:rFonts w:ascii="Calibri" w:eastAsia="Times New Roman" w:hAnsi="Calibri" w:cs="Arial"/>
                <w:b/>
                <w:bCs/>
                <w:sz w:val="24"/>
                <w:szCs w:val="24"/>
                <w:lang w:eastAsia="cs-CZ"/>
              </w:rPr>
              <w:t> </w:t>
            </w:r>
          </w:p>
        </w:tc>
      </w:tr>
      <w:tr w:rsidR="00DA4AA1" w:rsidRPr="00256A12" w14:paraId="09B0B023" w14:textId="77777777" w:rsidTr="00256A12">
        <w:trPr>
          <w:trHeight w:val="360"/>
        </w:trPr>
        <w:tc>
          <w:tcPr>
            <w:tcW w:w="4935" w:type="dxa"/>
            <w:gridSpan w:val="2"/>
            <w:tcBorders>
              <w:top w:val="single" w:sz="8" w:space="0" w:color="auto"/>
              <w:left w:val="single" w:sz="8" w:space="0" w:color="auto"/>
              <w:bottom w:val="single" w:sz="8" w:space="0" w:color="auto"/>
              <w:right w:val="single" w:sz="8" w:space="0" w:color="000000"/>
            </w:tcBorders>
            <w:shd w:val="clear" w:color="000000" w:fill="FFFFFF"/>
            <w:noWrap/>
            <w:vAlign w:val="bottom"/>
            <w:hideMark/>
          </w:tcPr>
          <w:p w14:paraId="227E42B4" w14:textId="77777777" w:rsidR="00DA4AA1" w:rsidRPr="00256A12" w:rsidRDefault="00DA4AA1" w:rsidP="00DA4AA1">
            <w:pPr>
              <w:spacing w:after="0" w:line="240" w:lineRule="auto"/>
              <w:rPr>
                <w:rFonts w:ascii="Calibri" w:eastAsia="Times New Roman" w:hAnsi="Calibri" w:cs="Arial"/>
                <w:b/>
                <w:bCs/>
                <w:sz w:val="24"/>
                <w:szCs w:val="24"/>
                <w:lang w:eastAsia="cs-CZ"/>
              </w:rPr>
            </w:pPr>
            <w:r w:rsidRPr="00256A12">
              <w:rPr>
                <w:rFonts w:ascii="Calibri" w:eastAsia="Times New Roman" w:hAnsi="Calibri" w:cs="Arial"/>
                <w:b/>
                <w:bCs/>
                <w:sz w:val="24"/>
                <w:szCs w:val="24"/>
                <w:lang w:eastAsia="cs-CZ"/>
              </w:rPr>
              <w:t xml:space="preserve">Celkem výdaje   </w:t>
            </w:r>
          </w:p>
        </w:tc>
        <w:tc>
          <w:tcPr>
            <w:tcW w:w="1302" w:type="dxa"/>
            <w:tcBorders>
              <w:top w:val="single" w:sz="8" w:space="0" w:color="auto"/>
              <w:left w:val="nil"/>
              <w:bottom w:val="single" w:sz="8" w:space="0" w:color="auto"/>
              <w:right w:val="single" w:sz="8" w:space="0" w:color="auto"/>
            </w:tcBorders>
            <w:shd w:val="clear" w:color="000000" w:fill="FFFFFF"/>
            <w:noWrap/>
            <w:vAlign w:val="bottom"/>
            <w:hideMark/>
          </w:tcPr>
          <w:p w14:paraId="60D1B686" w14:textId="77777777" w:rsidR="00DA4AA1" w:rsidRPr="00256A12" w:rsidRDefault="00DA4AA1" w:rsidP="00DA4AA1">
            <w:pPr>
              <w:spacing w:after="0" w:line="240" w:lineRule="auto"/>
              <w:jc w:val="right"/>
              <w:rPr>
                <w:rFonts w:ascii="Calibri" w:eastAsia="Times New Roman" w:hAnsi="Calibri" w:cs="Arial"/>
                <w:b/>
                <w:bCs/>
                <w:lang w:eastAsia="cs-CZ"/>
              </w:rPr>
            </w:pPr>
            <w:r w:rsidRPr="00256A12">
              <w:rPr>
                <w:rFonts w:ascii="Calibri" w:eastAsia="Times New Roman" w:hAnsi="Calibri" w:cs="Arial"/>
                <w:b/>
                <w:bCs/>
                <w:lang w:eastAsia="cs-CZ"/>
              </w:rPr>
              <w:t>131 373 000</w:t>
            </w:r>
          </w:p>
        </w:tc>
        <w:tc>
          <w:tcPr>
            <w:tcW w:w="1418" w:type="dxa"/>
            <w:tcBorders>
              <w:top w:val="single" w:sz="8" w:space="0" w:color="auto"/>
              <w:left w:val="nil"/>
              <w:bottom w:val="single" w:sz="8" w:space="0" w:color="auto"/>
              <w:right w:val="single" w:sz="8" w:space="0" w:color="auto"/>
            </w:tcBorders>
            <w:shd w:val="clear" w:color="000000" w:fill="FFFFFF"/>
            <w:noWrap/>
            <w:vAlign w:val="bottom"/>
            <w:hideMark/>
          </w:tcPr>
          <w:p w14:paraId="6854294A" w14:textId="77777777" w:rsidR="00DA4AA1" w:rsidRPr="00256A12" w:rsidRDefault="00DA4AA1" w:rsidP="00DA4AA1">
            <w:pPr>
              <w:spacing w:after="0" w:line="240" w:lineRule="auto"/>
              <w:jc w:val="right"/>
              <w:rPr>
                <w:rFonts w:ascii="Calibri" w:eastAsia="Times New Roman" w:hAnsi="Calibri" w:cs="Arial"/>
                <w:b/>
                <w:bCs/>
                <w:lang w:eastAsia="cs-CZ"/>
              </w:rPr>
            </w:pPr>
            <w:r w:rsidRPr="00256A12">
              <w:rPr>
                <w:rFonts w:ascii="Calibri" w:eastAsia="Times New Roman" w:hAnsi="Calibri" w:cs="Arial"/>
                <w:b/>
                <w:bCs/>
                <w:lang w:eastAsia="cs-CZ"/>
              </w:rPr>
              <w:t>90 887 254,18</w:t>
            </w:r>
          </w:p>
        </w:tc>
        <w:tc>
          <w:tcPr>
            <w:tcW w:w="1559" w:type="dxa"/>
            <w:tcBorders>
              <w:top w:val="single" w:sz="8" w:space="0" w:color="auto"/>
              <w:left w:val="nil"/>
              <w:bottom w:val="single" w:sz="8" w:space="0" w:color="auto"/>
              <w:right w:val="single" w:sz="8" w:space="0" w:color="auto"/>
            </w:tcBorders>
            <w:shd w:val="clear" w:color="000000" w:fill="FFFFFF"/>
            <w:noWrap/>
            <w:vAlign w:val="bottom"/>
            <w:hideMark/>
          </w:tcPr>
          <w:p w14:paraId="7FC0EA53" w14:textId="77777777" w:rsidR="00DA4AA1" w:rsidRPr="00256A12" w:rsidRDefault="00DA4AA1" w:rsidP="00DA4AA1">
            <w:pPr>
              <w:spacing w:after="0" w:line="240" w:lineRule="auto"/>
              <w:jc w:val="right"/>
              <w:rPr>
                <w:rFonts w:ascii="Calibri" w:eastAsia="Times New Roman" w:hAnsi="Calibri" w:cs="Arial"/>
                <w:b/>
                <w:bCs/>
                <w:lang w:eastAsia="cs-CZ"/>
              </w:rPr>
            </w:pPr>
            <w:r w:rsidRPr="00256A12">
              <w:rPr>
                <w:rFonts w:ascii="Calibri" w:eastAsia="Times New Roman" w:hAnsi="Calibri" w:cs="Arial"/>
                <w:b/>
                <w:bCs/>
                <w:lang w:eastAsia="cs-CZ"/>
              </w:rPr>
              <w:t>80 353 832,14</w:t>
            </w:r>
          </w:p>
        </w:tc>
        <w:tc>
          <w:tcPr>
            <w:tcW w:w="714" w:type="dxa"/>
            <w:tcBorders>
              <w:top w:val="single" w:sz="8" w:space="0" w:color="auto"/>
              <w:left w:val="single" w:sz="4" w:space="0" w:color="auto"/>
              <w:bottom w:val="single" w:sz="8" w:space="0" w:color="auto"/>
              <w:right w:val="single" w:sz="8" w:space="0" w:color="auto"/>
            </w:tcBorders>
            <w:shd w:val="clear" w:color="000000" w:fill="FFFFFF"/>
            <w:noWrap/>
            <w:vAlign w:val="bottom"/>
            <w:hideMark/>
          </w:tcPr>
          <w:p w14:paraId="26EA6851" w14:textId="77777777" w:rsidR="00DA4AA1" w:rsidRPr="00256A12" w:rsidRDefault="00DA4AA1" w:rsidP="00DA4AA1">
            <w:pPr>
              <w:spacing w:after="0" w:line="240" w:lineRule="auto"/>
              <w:jc w:val="right"/>
              <w:rPr>
                <w:rFonts w:ascii="Calibri" w:eastAsia="Times New Roman" w:hAnsi="Calibri" w:cs="Arial"/>
                <w:b/>
                <w:bCs/>
                <w:lang w:eastAsia="cs-CZ"/>
              </w:rPr>
            </w:pPr>
            <w:r w:rsidRPr="00256A12">
              <w:rPr>
                <w:rFonts w:ascii="Calibri" w:eastAsia="Times New Roman" w:hAnsi="Calibri" w:cs="Arial"/>
                <w:b/>
                <w:bCs/>
                <w:lang w:eastAsia="cs-CZ"/>
              </w:rPr>
              <w:t>88,4</w:t>
            </w:r>
          </w:p>
        </w:tc>
      </w:tr>
    </w:tbl>
    <w:p w14:paraId="0AB06D3C" w14:textId="1CAB6AB2" w:rsidR="0013179B" w:rsidRDefault="0013179B" w:rsidP="0013179B">
      <w:pPr>
        <w:rPr>
          <w:rFonts w:cs="Calibri"/>
        </w:rPr>
      </w:pPr>
    </w:p>
    <w:p w14:paraId="7728ED87" w14:textId="49C00082" w:rsidR="00256A12" w:rsidRDefault="00256A12" w:rsidP="0013179B">
      <w:pPr>
        <w:rPr>
          <w:rFonts w:cs="Calibri"/>
        </w:rPr>
      </w:pPr>
    </w:p>
    <w:p w14:paraId="65E044E1" w14:textId="67BF5AC8" w:rsidR="00B83477" w:rsidRDefault="00B83477" w:rsidP="0013179B">
      <w:pPr>
        <w:rPr>
          <w:rFonts w:cs="Calibri"/>
        </w:rPr>
      </w:pPr>
    </w:p>
    <w:p w14:paraId="330A8BD7" w14:textId="36A38123" w:rsidR="00B83477" w:rsidRDefault="00B83477" w:rsidP="0013179B">
      <w:pPr>
        <w:rPr>
          <w:rFonts w:cs="Calibri"/>
        </w:rPr>
      </w:pPr>
    </w:p>
    <w:p w14:paraId="399DE0E0" w14:textId="78C8BDF3" w:rsidR="00B83477" w:rsidRDefault="00B83477" w:rsidP="0013179B">
      <w:pPr>
        <w:rPr>
          <w:rFonts w:cs="Calibri"/>
        </w:rPr>
      </w:pPr>
    </w:p>
    <w:p w14:paraId="482C058B" w14:textId="5BDD7F7C" w:rsidR="00B83477" w:rsidRDefault="00B83477" w:rsidP="0013179B">
      <w:pPr>
        <w:rPr>
          <w:rFonts w:cs="Calibri"/>
        </w:rPr>
      </w:pPr>
    </w:p>
    <w:p w14:paraId="5B7097A7" w14:textId="0976D92F" w:rsidR="00B83477" w:rsidRDefault="00B83477" w:rsidP="0013179B">
      <w:pPr>
        <w:rPr>
          <w:rFonts w:cs="Calibri"/>
        </w:rPr>
      </w:pPr>
    </w:p>
    <w:p w14:paraId="2F7688B0" w14:textId="71668CA5" w:rsidR="00B83477" w:rsidRDefault="00B83477" w:rsidP="0013179B">
      <w:pPr>
        <w:rPr>
          <w:rFonts w:cs="Calibri"/>
        </w:rPr>
      </w:pPr>
    </w:p>
    <w:p w14:paraId="062E8570" w14:textId="41C1D7F4" w:rsidR="00B83477" w:rsidRDefault="00B83477" w:rsidP="0013179B">
      <w:pPr>
        <w:rPr>
          <w:rFonts w:cs="Calibri"/>
        </w:rPr>
      </w:pPr>
    </w:p>
    <w:p w14:paraId="4486834F" w14:textId="7768351A" w:rsidR="00B83477" w:rsidRDefault="00B83477" w:rsidP="0013179B">
      <w:pPr>
        <w:rPr>
          <w:rFonts w:cs="Calibri"/>
        </w:rPr>
      </w:pPr>
    </w:p>
    <w:p w14:paraId="73CA2A9E" w14:textId="2DD1D920" w:rsidR="00B83477" w:rsidRDefault="00B83477" w:rsidP="0013179B">
      <w:pPr>
        <w:rPr>
          <w:rFonts w:cs="Calibri"/>
        </w:rPr>
      </w:pPr>
    </w:p>
    <w:p w14:paraId="66835F7D" w14:textId="58F32775" w:rsidR="00B83477" w:rsidRDefault="00B83477" w:rsidP="0013179B">
      <w:pPr>
        <w:rPr>
          <w:rFonts w:cs="Calibri"/>
        </w:rPr>
      </w:pPr>
    </w:p>
    <w:p w14:paraId="033DA6AC" w14:textId="6F2FCEED" w:rsidR="00B83477" w:rsidRDefault="00B83477" w:rsidP="0013179B">
      <w:pPr>
        <w:rPr>
          <w:rFonts w:cs="Calibri"/>
        </w:rPr>
      </w:pPr>
    </w:p>
    <w:p w14:paraId="18224E04" w14:textId="7717B9DB" w:rsidR="00B83477" w:rsidRDefault="00B83477" w:rsidP="0013179B">
      <w:pPr>
        <w:rPr>
          <w:rFonts w:cs="Calibri"/>
        </w:rPr>
      </w:pPr>
    </w:p>
    <w:p w14:paraId="6441EE8F" w14:textId="5069C249" w:rsidR="00B83477" w:rsidRDefault="00B83477" w:rsidP="0013179B">
      <w:pPr>
        <w:rPr>
          <w:rFonts w:cs="Calibri"/>
        </w:rPr>
      </w:pPr>
    </w:p>
    <w:p w14:paraId="044F384D" w14:textId="6E2F83EA" w:rsidR="00B83477" w:rsidRDefault="00B83477" w:rsidP="0013179B">
      <w:pPr>
        <w:rPr>
          <w:rFonts w:cs="Calibri"/>
        </w:rPr>
      </w:pPr>
    </w:p>
    <w:p w14:paraId="2FE48CB6" w14:textId="6DF700C0" w:rsidR="00B83477" w:rsidRDefault="00B83477" w:rsidP="0013179B">
      <w:pPr>
        <w:rPr>
          <w:rFonts w:cs="Calibri"/>
        </w:rPr>
      </w:pPr>
    </w:p>
    <w:p w14:paraId="37E4AF66" w14:textId="5B29BA63" w:rsidR="00B83477" w:rsidRDefault="00B83477" w:rsidP="0013179B">
      <w:pPr>
        <w:rPr>
          <w:rFonts w:cs="Calibri"/>
        </w:rPr>
      </w:pPr>
    </w:p>
    <w:p w14:paraId="6AE05C1A" w14:textId="77777777" w:rsidR="00B83477" w:rsidRDefault="00B83477" w:rsidP="0013179B">
      <w:pPr>
        <w:rPr>
          <w:rFonts w:cs="Calibri"/>
        </w:rPr>
      </w:pPr>
    </w:p>
    <w:p w14:paraId="7A8D8EAB" w14:textId="23A724F1" w:rsidR="00256A12" w:rsidRDefault="00256A12" w:rsidP="0013179B">
      <w:pPr>
        <w:rPr>
          <w:rFonts w:cs="Calibri"/>
        </w:rPr>
      </w:pPr>
    </w:p>
    <w:p w14:paraId="5E40FDE7" w14:textId="2525AE9F" w:rsidR="00256A12" w:rsidRDefault="00256A12" w:rsidP="0013179B">
      <w:pPr>
        <w:rPr>
          <w:rFonts w:cs="Calibri"/>
        </w:rPr>
      </w:pPr>
    </w:p>
    <w:p w14:paraId="31A8C1A9" w14:textId="321A3734" w:rsidR="00D4251C" w:rsidRDefault="00D4251C" w:rsidP="0013179B">
      <w:pPr>
        <w:rPr>
          <w:rFonts w:cs="Calibri"/>
        </w:rPr>
      </w:pPr>
    </w:p>
    <w:p w14:paraId="32C49252" w14:textId="3A2E11C1" w:rsidR="00D4251C" w:rsidRDefault="00D4251C" w:rsidP="0013179B">
      <w:pPr>
        <w:rPr>
          <w:rFonts w:cs="Calibri"/>
        </w:rPr>
      </w:pPr>
    </w:p>
    <w:p w14:paraId="146BFB46" w14:textId="0D935DF6" w:rsidR="00D4251C" w:rsidRDefault="00D4251C" w:rsidP="0013179B">
      <w:pPr>
        <w:rPr>
          <w:rFonts w:cs="Calibri"/>
        </w:rPr>
      </w:pPr>
    </w:p>
    <w:p w14:paraId="69885C50" w14:textId="2F4A60E0" w:rsidR="00D4251C" w:rsidRDefault="00D4251C" w:rsidP="0013179B">
      <w:pPr>
        <w:rPr>
          <w:rFonts w:cs="Calibri"/>
        </w:rPr>
      </w:pPr>
    </w:p>
    <w:tbl>
      <w:tblPr>
        <w:tblW w:w="10348" w:type="dxa"/>
        <w:tblLayout w:type="fixed"/>
        <w:tblCellMar>
          <w:left w:w="70" w:type="dxa"/>
          <w:right w:w="70" w:type="dxa"/>
        </w:tblCellMar>
        <w:tblLook w:val="04A0" w:firstRow="1" w:lastRow="0" w:firstColumn="1" w:lastColumn="0" w:noHBand="0" w:noVBand="1"/>
      </w:tblPr>
      <w:tblGrid>
        <w:gridCol w:w="10348"/>
      </w:tblGrid>
      <w:tr w:rsidR="00720597" w:rsidRPr="00BA4348" w14:paraId="297EC23D" w14:textId="77777777" w:rsidTr="0026360D">
        <w:trPr>
          <w:trHeight w:val="402"/>
        </w:trPr>
        <w:tc>
          <w:tcPr>
            <w:tcW w:w="10348" w:type="dxa"/>
            <w:tcBorders>
              <w:top w:val="nil"/>
              <w:left w:val="nil"/>
              <w:bottom w:val="nil"/>
              <w:right w:val="nil"/>
            </w:tcBorders>
            <w:shd w:val="clear" w:color="auto" w:fill="auto"/>
            <w:noWrap/>
            <w:vAlign w:val="center"/>
            <w:hideMark/>
          </w:tcPr>
          <w:p w14:paraId="18950F75" w14:textId="11EA0B67" w:rsidR="00720597" w:rsidRPr="00BA4348" w:rsidRDefault="00720597" w:rsidP="005D5AC2">
            <w:pPr>
              <w:spacing w:after="0" w:line="240" w:lineRule="auto"/>
              <w:rPr>
                <w:rFonts w:ascii="Calibri" w:eastAsia="Times New Roman" w:hAnsi="Calibri" w:cs="Calibri"/>
                <w:b/>
                <w:bCs/>
                <w:sz w:val="28"/>
                <w:szCs w:val="28"/>
                <w:lang w:eastAsia="cs-CZ"/>
              </w:rPr>
            </w:pPr>
          </w:p>
        </w:tc>
      </w:tr>
    </w:tbl>
    <w:p w14:paraId="1A708CDA" w14:textId="77777777" w:rsidR="00720597" w:rsidRPr="00BA4348" w:rsidRDefault="00720597" w:rsidP="00720597">
      <w:pPr>
        <w:spacing w:after="0" w:line="240" w:lineRule="auto"/>
        <w:rPr>
          <w:rFonts w:cstheme="minorHAnsi"/>
          <w:b/>
          <w:sz w:val="28"/>
          <w:szCs w:val="28"/>
          <w:u w:val="single"/>
        </w:rPr>
      </w:pPr>
      <w:r w:rsidRPr="00BA4348">
        <w:rPr>
          <w:rFonts w:cstheme="minorHAnsi"/>
          <w:b/>
          <w:sz w:val="28"/>
          <w:szCs w:val="28"/>
          <w:u w:val="single"/>
        </w:rPr>
        <w:t>Kapitola 08 – Regionální rozvoj</w:t>
      </w:r>
    </w:p>
    <w:p w14:paraId="6AD842C3" w14:textId="77777777" w:rsidR="00720597" w:rsidRPr="00BA4348" w:rsidRDefault="00720597" w:rsidP="00720597">
      <w:pPr>
        <w:spacing w:after="0" w:line="240" w:lineRule="auto"/>
        <w:rPr>
          <w:rFonts w:cstheme="minorHAnsi"/>
          <w:b/>
          <w:u w:val="single"/>
        </w:rPr>
      </w:pPr>
    </w:p>
    <w:p w14:paraId="05861C31" w14:textId="77777777" w:rsidR="00720597" w:rsidRPr="00BA4348" w:rsidRDefault="00720597" w:rsidP="00720597">
      <w:pPr>
        <w:spacing w:after="0" w:line="240" w:lineRule="auto"/>
        <w:rPr>
          <w:rFonts w:cstheme="minorHAnsi"/>
          <w:b/>
          <w:sz w:val="24"/>
          <w:szCs w:val="24"/>
          <w:u w:val="single"/>
        </w:rPr>
      </w:pPr>
      <w:r w:rsidRPr="00BA4348">
        <w:rPr>
          <w:rFonts w:cstheme="minorHAnsi"/>
          <w:b/>
          <w:sz w:val="24"/>
          <w:szCs w:val="24"/>
          <w:u w:val="single"/>
        </w:rPr>
        <w:t>Běžné výdaje</w:t>
      </w:r>
    </w:p>
    <w:p w14:paraId="04F44644" w14:textId="77777777" w:rsidR="00720597" w:rsidRPr="00BA4348" w:rsidRDefault="00720597" w:rsidP="00720597">
      <w:pPr>
        <w:spacing w:after="0" w:line="240" w:lineRule="auto"/>
        <w:rPr>
          <w:rFonts w:cstheme="minorHAnsi"/>
          <w:b/>
          <w:u w:val="single"/>
        </w:rPr>
      </w:pPr>
    </w:p>
    <w:p w14:paraId="2A38569A" w14:textId="77777777" w:rsidR="00720597" w:rsidRPr="00BA4348" w:rsidRDefault="00720597" w:rsidP="00720597">
      <w:pPr>
        <w:spacing w:after="0" w:line="240" w:lineRule="auto"/>
        <w:rPr>
          <w:rFonts w:cstheme="minorHAnsi"/>
          <w:b/>
        </w:rPr>
      </w:pPr>
      <w:bookmarkStart w:id="40" w:name="_Hlk98848539"/>
      <w:r w:rsidRPr="00BA4348">
        <w:rPr>
          <w:rFonts w:cstheme="minorHAnsi"/>
          <w:b/>
        </w:rPr>
        <w:t>§ 2143 – Podpora cestovního ruchu, regionálních/lokálních akcí</w:t>
      </w:r>
    </w:p>
    <w:p w14:paraId="4E5F18C1" w14:textId="7581007D" w:rsidR="00720597" w:rsidRPr="00BA4348" w:rsidRDefault="00720597" w:rsidP="00720597">
      <w:pPr>
        <w:spacing w:after="0" w:line="240" w:lineRule="auto"/>
        <w:jc w:val="both"/>
        <w:rPr>
          <w:rFonts w:cstheme="minorHAnsi"/>
        </w:rPr>
      </w:pPr>
      <w:r w:rsidRPr="00BA4348">
        <w:rPr>
          <w:rFonts w:cstheme="minorHAnsi"/>
        </w:rPr>
        <w:t xml:space="preserve">Schválený rozpočet ve výši 16 930 000,00 Kč byl navýšen usnesením č. 021-02/2021/RK ze dne 14. 1. 2021 (převod nevyčerpaných finančních prostředků z roku 2020 do rozpočtu roku 2021) o částku 1 650 000,00 Kč. Prostředky ve výši 16 347 600,00 Kč byly převedeny z kapitoly </w:t>
      </w:r>
      <w:r w:rsidR="005D5AC2">
        <w:rPr>
          <w:rFonts w:cstheme="minorHAnsi"/>
        </w:rPr>
        <w:t xml:space="preserve">08 - </w:t>
      </w:r>
      <w:r w:rsidRPr="00BA4348">
        <w:rPr>
          <w:rFonts w:cstheme="minorHAnsi"/>
        </w:rPr>
        <w:t xml:space="preserve">Regionálního rozvoje do kapitoly 06 – Kultura a památková péče </w:t>
      </w:r>
      <w:r w:rsidR="00EE51AC" w:rsidRPr="00EE51AC">
        <w:t>(usnesení č. 027-15/2021/RK ze dne 1. 4. 2021)</w:t>
      </w:r>
      <w:r w:rsidR="005D5AC2" w:rsidRPr="00EE51AC">
        <w:rPr>
          <w:rFonts w:cstheme="minorHAnsi"/>
        </w:rPr>
        <w:t xml:space="preserve"> z důvodu přesunu oddělení </w:t>
      </w:r>
      <w:r w:rsidR="005D5AC2" w:rsidRPr="00EE51AC">
        <w:t>cestovního ruchu z Odboru regionálního rozvoje do Odboru kultury a památkové péče na základě Opatření ředitele Krajského úřadu Středočeského kraje č. 3/2021, kterým se mění Organizační řád Krajského úřadu Středočeského kraje s účinností dne 1. 4. 2021</w:t>
      </w:r>
      <w:r w:rsidR="00EE51AC" w:rsidRPr="00EE51AC">
        <w:t>.</w:t>
      </w:r>
      <w:r w:rsidR="005D5AC2" w:rsidRPr="00EE51AC">
        <w:t xml:space="preserve"> </w:t>
      </w:r>
    </w:p>
    <w:p w14:paraId="3145708B" w14:textId="77777777" w:rsidR="00720597" w:rsidRPr="00BA4348" w:rsidRDefault="00720597" w:rsidP="00720597">
      <w:pPr>
        <w:spacing w:after="0" w:line="240" w:lineRule="auto"/>
        <w:jc w:val="both"/>
        <w:rPr>
          <w:rFonts w:cstheme="minorHAnsi"/>
        </w:rPr>
      </w:pPr>
      <w:r w:rsidRPr="00BA4348">
        <w:rPr>
          <w:rFonts w:cstheme="minorHAnsi"/>
        </w:rPr>
        <w:t>Finanční prostředky byly čerpány v rámci podpory cestovního ruchu ve Středočeském kraji ve výši 100 %. Jednalo se o rozdělení individuálních účelových dotací pro podporu cestovního ruchu prostřednictvím významných akcí pro rok 2021, např. na podporu projektu "Pískovcová skalní města" a projektu „Marketing Labské stezky 2021 v Česku a Německu“. Také byly poskytnuty individuální dotace v rámci 2. výzvy Programu na podporu rozvoje destinačních managementů Středočeského kraje pro rok 2020 pro Sdružení Český ráj, z.s., TOULAVA, o.p.s., Berounsko, z. s., Posázaví o.p.s., Turistická oblast Kutnohorsko a Kolínsko z.s., Kraj blanických rytířů, z.s. a Pojizeří a Polabí, z.s. Dále byl poskytnut spolku Turistická oblast Brdy a Podbrdsko členský příspěvek na rok 2021 a příspěvek na zajištění účasti na Jihočeské konferenci cestovního ruchu Travelcon.</w:t>
      </w:r>
    </w:p>
    <w:bookmarkEnd w:id="40"/>
    <w:p w14:paraId="4FFB4276" w14:textId="77777777" w:rsidR="00720597" w:rsidRPr="00BA4348" w:rsidRDefault="00720597" w:rsidP="00720597">
      <w:pPr>
        <w:spacing w:after="0" w:line="240" w:lineRule="auto"/>
        <w:rPr>
          <w:rFonts w:cstheme="minorHAnsi"/>
          <w:b/>
        </w:rPr>
      </w:pPr>
    </w:p>
    <w:p w14:paraId="75318B05" w14:textId="77777777" w:rsidR="00720597" w:rsidRPr="00BA4348" w:rsidRDefault="00720597" w:rsidP="00720597">
      <w:pPr>
        <w:spacing w:after="0" w:line="240" w:lineRule="auto"/>
        <w:rPr>
          <w:rFonts w:cstheme="minorHAnsi"/>
          <w:b/>
          <w:u w:val="single"/>
        </w:rPr>
      </w:pPr>
      <w:r w:rsidRPr="00BA4348">
        <w:rPr>
          <w:rFonts w:cstheme="minorHAnsi"/>
          <w:b/>
        </w:rPr>
        <w:t xml:space="preserve">§ 2143 – Příprava a udržitelnost projektů regionálního rozvoje </w:t>
      </w:r>
    </w:p>
    <w:p w14:paraId="08AF3D13" w14:textId="77777777" w:rsidR="00720597" w:rsidRPr="00BA4348" w:rsidRDefault="00720597" w:rsidP="00720597">
      <w:pPr>
        <w:autoSpaceDE w:val="0"/>
        <w:autoSpaceDN w:val="0"/>
        <w:adjustRightInd w:val="0"/>
        <w:spacing w:after="0" w:line="240" w:lineRule="auto"/>
        <w:jc w:val="both"/>
        <w:rPr>
          <w:rFonts w:cstheme="minorHAnsi"/>
        </w:rPr>
      </w:pPr>
      <w:r w:rsidRPr="00BA4348">
        <w:rPr>
          <w:rFonts w:cstheme="minorHAnsi"/>
        </w:rPr>
        <w:t xml:space="preserve">Schválený rozpočet ve výši 1 500 000,00 Kč byl navýšen usnesením č. 007-06/2021/ZK ze dne 26. 4. 2021 (rozdělení zůstatku hospodaření SK z roku 2020) o částku 897 510,45 Kč. </w:t>
      </w:r>
    </w:p>
    <w:p w14:paraId="45C6B7ED" w14:textId="77777777" w:rsidR="00720597" w:rsidRPr="00BA4348" w:rsidRDefault="00720597" w:rsidP="00720597">
      <w:pPr>
        <w:autoSpaceDE w:val="0"/>
        <w:autoSpaceDN w:val="0"/>
        <w:adjustRightInd w:val="0"/>
        <w:spacing w:after="0" w:line="240" w:lineRule="auto"/>
        <w:jc w:val="both"/>
        <w:rPr>
          <w:rFonts w:cstheme="minorHAnsi"/>
        </w:rPr>
      </w:pPr>
      <w:r w:rsidRPr="00BA4348">
        <w:rPr>
          <w:rFonts w:cstheme="minorHAnsi"/>
        </w:rPr>
        <w:t>Finanční prostředky byly čerpány ve výši 43,3 % mj. na výdaje v rámci uzavřené rámcové smlouvy o poskytování služeb v oblasti elektronických komunikací, informačních a komunikačních technologií, na konzultační a poradenské služby související s přípravou projektů regionálního rozvoje.</w:t>
      </w:r>
    </w:p>
    <w:p w14:paraId="738AD783" w14:textId="77777777" w:rsidR="00720597" w:rsidRPr="00BA4348" w:rsidRDefault="00720597" w:rsidP="00720597">
      <w:pPr>
        <w:spacing w:after="0" w:line="240" w:lineRule="auto"/>
        <w:rPr>
          <w:rFonts w:cstheme="minorHAnsi"/>
          <w:b/>
        </w:rPr>
      </w:pPr>
    </w:p>
    <w:p w14:paraId="307AA351" w14:textId="77777777" w:rsidR="00720597" w:rsidRPr="00BA4348" w:rsidRDefault="00720597" w:rsidP="00720597">
      <w:pPr>
        <w:spacing w:after="0" w:line="240" w:lineRule="auto"/>
        <w:rPr>
          <w:rFonts w:cstheme="minorHAnsi"/>
          <w:b/>
        </w:rPr>
      </w:pPr>
      <w:bookmarkStart w:id="41" w:name="_Hlk98848582"/>
      <w:r w:rsidRPr="00BA4348">
        <w:rPr>
          <w:rFonts w:cstheme="minorHAnsi"/>
          <w:b/>
        </w:rPr>
        <w:t>§ 2143 – Strategické dokumenty</w:t>
      </w:r>
    </w:p>
    <w:p w14:paraId="6F3ED4A9" w14:textId="7D0364F6" w:rsidR="00EE51AC" w:rsidRDefault="00720597" w:rsidP="00A60813">
      <w:pPr>
        <w:spacing w:after="0" w:line="240" w:lineRule="auto"/>
        <w:jc w:val="both"/>
      </w:pPr>
      <w:r w:rsidRPr="00BA4348">
        <w:rPr>
          <w:rFonts w:cstheme="minorHAnsi"/>
        </w:rPr>
        <w:t xml:space="preserve">Schválené finanční prostředky ve výši 1 500 000,00 Kč nebyly v roce 2021 čerpány.  </w:t>
      </w:r>
      <w:r w:rsidR="00EE51AC" w:rsidRPr="00A60813">
        <w:t>Finanční prostředky byly určeny na zajištění a zpracování Regionální surovinové politiky kraje vč. zajištění procesu SEA – posouzení vlivu koncepce na životní prostředí a soustavu NATURA 2000, dále na zajištění a zpracování akčních plánů schválených strategických dokumentů, zpracování posudků a analýz, které se týkají rozvoje Středočeského kraje. Výše uvedené činnosti se budou realizovat v roce 2022.</w:t>
      </w:r>
      <w:r w:rsidR="00EE51AC">
        <w:t xml:space="preserve"> </w:t>
      </w:r>
    </w:p>
    <w:p w14:paraId="6087E44E" w14:textId="77777777" w:rsidR="00720597" w:rsidRPr="00BA4348" w:rsidRDefault="00720597" w:rsidP="00720597">
      <w:pPr>
        <w:spacing w:after="0" w:line="240" w:lineRule="auto"/>
        <w:jc w:val="both"/>
        <w:rPr>
          <w:rFonts w:cstheme="minorHAnsi"/>
        </w:rPr>
      </w:pPr>
    </w:p>
    <w:bookmarkEnd w:id="41"/>
    <w:p w14:paraId="584E68AA" w14:textId="77777777" w:rsidR="00720597" w:rsidRPr="00BA4348" w:rsidRDefault="00720597" w:rsidP="00720597">
      <w:pPr>
        <w:spacing w:after="0" w:line="240" w:lineRule="auto"/>
        <w:jc w:val="both"/>
        <w:rPr>
          <w:rFonts w:cstheme="minorHAnsi"/>
          <w:b/>
        </w:rPr>
      </w:pPr>
      <w:r w:rsidRPr="00BA4348">
        <w:rPr>
          <w:rFonts w:cstheme="minorHAnsi"/>
          <w:b/>
        </w:rPr>
        <w:t>§ 2143 – Místní akční skupiny</w:t>
      </w:r>
    </w:p>
    <w:p w14:paraId="531223EA" w14:textId="2D915F17" w:rsidR="00720597" w:rsidRPr="00BA4348" w:rsidRDefault="00720597" w:rsidP="00720597">
      <w:pPr>
        <w:spacing w:after="0" w:line="240" w:lineRule="auto"/>
        <w:jc w:val="both"/>
        <w:rPr>
          <w:rFonts w:cstheme="minorHAnsi"/>
        </w:rPr>
      </w:pPr>
      <w:r w:rsidRPr="00BA4348">
        <w:rPr>
          <w:rFonts w:cstheme="minorHAnsi"/>
        </w:rPr>
        <w:t>Schválený rozpočet ve výši</w:t>
      </w:r>
      <w:r w:rsidRPr="00BA4348">
        <w:rPr>
          <w:rFonts w:cstheme="minorHAnsi"/>
          <w:b/>
        </w:rPr>
        <w:t xml:space="preserve"> </w:t>
      </w:r>
      <w:r w:rsidRPr="00BA4348">
        <w:rPr>
          <w:rFonts w:cstheme="minorHAnsi"/>
        </w:rPr>
        <w:t>1 500 000,00 Kč</w:t>
      </w:r>
      <w:r w:rsidRPr="00BA4348">
        <w:rPr>
          <w:rFonts w:cstheme="minorHAnsi"/>
          <w:b/>
        </w:rPr>
        <w:t xml:space="preserve"> </w:t>
      </w:r>
      <w:r w:rsidRPr="00BA4348">
        <w:rPr>
          <w:rFonts w:cstheme="minorHAnsi"/>
        </w:rPr>
        <w:t xml:space="preserve">byl čerpán na 100,0 % na základě usnesení č. 020-07/2021/ZK ze dne 31. 5. 2021 na poskytnutí individuální účelové neinvestiční dotace Krajskému sdružení Národní sítě Místních akčních skupin </w:t>
      </w:r>
      <w:r w:rsidR="00D4251C">
        <w:rPr>
          <w:rFonts w:cstheme="minorHAnsi"/>
        </w:rPr>
        <w:t xml:space="preserve">(MAS) </w:t>
      </w:r>
      <w:r w:rsidRPr="00BA4348">
        <w:rPr>
          <w:rFonts w:cstheme="minorHAnsi"/>
        </w:rPr>
        <w:t>Středočeského kraje, z toho částka 1 000 000,00 Kč byla rozdělena Krajským sdružením mezi jednotlivé organizace MAS působících na území Středočeského kraje. Dotace je určena na realizaci služeb přispívajících k podpoře regionálního rozvoje na území Středočeského kraje, na jeho organizační zajištění a na služby a aktivity směřující k regionálnímu rozvoji jednotlivých středočeských organizací MAS v roce 2021.</w:t>
      </w:r>
    </w:p>
    <w:p w14:paraId="79F89FE5" w14:textId="77777777" w:rsidR="00720597" w:rsidRPr="00BA4348" w:rsidRDefault="00720597" w:rsidP="00720597">
      <w:pPr>
        <w:spacing w:after="0" w:line="240" w:lineRule="auto"/>
        <w:jc w:val="both"/>
        <w:rPr>
          <w:rFonts w:cstheme="minorHAnsi"/>
          <w:b/>
        </w:rPr>
      </w:pPr>
    </w:p>
    <w:p w14:paraId="521B16DE" w14:textId="77777777" w:rsidR="00720597" w:rsidRPr="00BA4348" w:rsidRDefault="00720597" w:rsidP="00720597">
      <w:pPr>
        <w:spacing w:after="0" w:line="240" w:lineRule="auto"/>
        <w:jc w:val="both"/>
        <w:rPr>
          <w:rFonts w:cstheme="minorHAnsi"/>
          <w:b/>
        </w:rPr>
      </w:pPr>
      <w:r w:rsidRPr="00BA4348">
        <w:rPr>
          <w:rFonts w:cstheme="minorHAnsi"/>
          <w:b/>
        </w:rPr>
        <w:t xml:space="preserve">§ 2143 – Klub českých turistů </w:t>
      </w:r>
    </w:p>
    <w:p w14:paraId="74491418" w14:textId="77777777" w:rsidR="00720597" w:rsidRPr="00BA4348" w:rsidRDefault="00720597" w:rsidP="00720597">
      <w:pPr>
        <w:spacing w:after="0" w:line="240" w:lineRule="auto"/>
        <w:jc w:val="both"/>
        <w:rPr>
          <w:rFonts w:eastAsia="Times New Roman" w:cstheme="minorHAnsi"/>
          <w:lang w:eastAsia="cs-CZ"/>
        </w:rPr>
      </w:pPr>
      <w:r w:rsidRPr="00BA4348">
        <w:rPr>
          <w:rFonts w:eastAsia="Times New Roman" w:cstheme="minorHAnsi"/>
          <w:lang w:eastAsia="cs-CZ"/>
        </w:rPr>
        <w:t>Schválený rozpočet ve výši 700 000,00 Kč byl snížen usnesením č. 027-15/2021/RK ze dne 1. 4. 2021 (převod finančních prostředků z kapitoly 08 – Regionální rozvoj do kapitoly 06 – Kultura a památková péče) o částku 100 000,00 Kč.</w:t>
      </w:r>
    </w:p>
    <w:p w14:paraId="3294C791" w14:textId="52CE6E08" w:rsidR="00720597" w:rsidRPr="00BA4348" w:rsidRDefault="00720597" w:rsidP="00720597">
      <w:pPr>
        <w:spacing w:after="0" w:line="240" w:lineRule="auto"/>
        <w:jc w:val="both"/>
        <w:rPr>
          <w:rFonts w:eastAsia="Times New Roman" w:cstheme="minorHAnsi"/>
          <w:lang w:eastAsia="cs-CZ"/>
        </w:rPr>
      </w:pPr>
      <w:r w:rsidRPr="00BA4348">
        <w:rPr>
          <w:rFonts w:eastAsia="Times New Roman" w:cstheme="minorHAnsi"/>
          <w:lang w:eastAsia="cs-CZ"/>
        </w:rPr>
        <w:t>Finanční prostředky byly čerpány ve výši 100</w:t>
      </w:r>
      <w:r w:rsidR="00D4251C">
        <w:rPr>
          <w:rFonts w:eastAsia="Times New Roman" w:cstheme="minorHAnsi"/>
          <w:lang w:eastAsia="cs-CZ"/>
        </w:rPr>
        <w:t>,0</w:t>
      </w:r>
      <w:r w:rsidRPr="00BA4348">
        <w:rPr>
          <w:rFonts w:eastAsia="Times New Roman" w:cstheme="minorHAnsi"/>
          <w:lang w:eastAsia="cs-CZ"/>
        </w:rPr>
        <w:t xml:space="preserve"> % na poskytnutí individuální účelové neinvestiční dotace na údržbu značení pěších a cyklistických tras ve Středočeském kraji spolku Klub českých turistů (usnesení č. 044-04/2021/ZK ze dne 22. 2. 2021).</w:t>
      </w:r>
    </w:p>
    <w:p w14:paraId="10B8E06B" w14:textId="77777777" w:rsidR="00720597" w:rsidRPr="00BA4348" w:rsidRDefault="00720597" w:rsidP="00720597">
      <w:pPr>
        <w:spacing w:after="0" w:line="240" w:lineRule="auto"/>
        <w:rPr>
          <w:rFonts w:cstheme="minorHAnsi"/>
          <w:b/>
          <w:u w:val="single"/>
        </w:rPr>
      </w:pPr>
    </w:p>
    <w:p w14:paraId="0B3AFDE5" w14:textId="77777777" w:rsidR="00720597" w:rsidRPr="00BA4348" w:rsidRDefault="00720597" w:rsidP="00720597">
      <w:pPr>
        <w:spacing w:after="0" w:line="240" w:lineRule="auto"/>
        <w:jc w:val="both"/>
        <w:rPr>
          <w:rFonts w:cstheme="minorHAnsi"/>
          <w:b/>
        </w:rPr>
      </w:pPr>
      <w:r w:rsidRPr="00BA4348">
        <w:rPr>
          <w:rFonts w:cstheme="minorHAnsi"/>
          <w:b/>
        </w:rPr>
        <w:t>§ 2143 – Cestovní ruch – příspěvek příspěvkové organizaci Středočeská centrála cestovního ruchu</w:t>
      </w:r>
    </w:p>
    <w:p w14:paraId="712AF515" w14:textId="77777777" w:rsidR="00720597" w:rsidRPr="00BA4348" w:rsidRDefault="00720597" w:rsidP="00720597">
      <w:pPr>
        <w:spacing w:after="0" w:line="240" w:lineRule="auto"/>
        <w:jc w:val="both"/>
        <w:rPr>
          <w:rFonts w:eastAsia="Times New Roman" w:cstheme="minorHAnsi"/>
          <w:lang w:eastAsia="cs-CZ"/>
        </w:rPr>
      </w:pPr>
      <w:r w:rsidRPr="00BA4348">
        <w:rPr>
          <w:rFonts w:eastAsia="Times New Roman" w:cstheme="minorHAnsi"/>
          <w:lang w:eastAsia="cs-CZ"/>
        </w:rPr>
        <w:lastRenderedPageBreak/>
        <w:t xml:space="preserve">Schválený rozpočet ve výši 49 530 000,00 Kč byl snížen usnesením č. 027-15/2021/RK ze dne 1. 4. 2021 (převod finančních prostředků z kapitoly 08 – Regionální rozvoj do kapitoly 06 – Kultura a památková péče) o částku </w:t>
      </w:r>
      <w:r w:rsidRPr="00BA4348">
        <w:rPr>
          <w:rFonts w:eastAsia="Times New Roman" w:cstheme="minorHAnsi"/>
          <w:lang w:eastAsia="cs-CZ"/>
        </w:rPr>
        <w:br/>
        <w:t>39 373 843,00 Kč.</w:t>
      </w:r>
    </w:p>
    <w:p w14:paraId="18091DFE" w14:textId="0192B3DB" w:rsidR="00720597" w:rsidRPr="00BA4348" w:rsidRDefault="00720597" w:rsidP="00720597">
      <w:pPr>
        <w:spacing w:after="0" w:line="240" w:lineRule="auto"/>
        <w:jc w:val="both"/>
        <w:rPr>
          <w:rFonts w:eastAsia="Times New Roman" w:cstheme="minorHAnsi"/>
          <w:lang w:eastAsia="cs-CZ"/>
        </w:rPr>
      </w:pPr>
      <w:r w:rsidRPr="00BA4348">
        <w:rPr>
          <w:rFonts w:eastAsia="Times New Roman" w:cstheme="minorHAnsi"/>
          <w:lang w:eastAsia="cs-CZ"/>
        </w:rPr>
        <w:t>Finanční prostředky byly čerpány ve výši 100</w:t>
      </w:r>
      <w:r w:rsidR="00D4251C">
        <w:rPr>
          <w:rFonts w:eastAsia="Times New Roman" w:cstheme="minorHAnsi"/>
          <w:lang w:eastAsia="cs-CZ"/>
        </w:rPr>
        <w:t>,0</w:t>
      </w:r>
      <w:r w:rsidRPr="00BA4348">
        <w:rPr>
          <w:rFonts w:eastAsia="Times New Roman" w:cstheme="minorHAnsi"/>
          <w:lang w:eastAsia="cs-CZ"/>
        </w:rPr>
        <w:t xml:space="preserve"> % - celkem 10 156 157,00 Kč jako příspěvek na provoz od zřizovatele Středočeské centrále cestovního ruchu, příspěvková organizace na období leden – březen roku 2021. Z toho finanční prostředky ve výši 5 641 697,00 Kč byly čerpány na provoz organizace. Vzhledem k situaci ohledně pandemických opatření, která komplikovala standardní trendy turistického ruchu, bylo čerpání primárně v marketingové podpoře turistického regionu Střední Čechy, posílení značky Střední Čechy královské, rozvoj turistického webu www.strednicechy.cz, zpracování samostatných tematických sekcí a naplnění obsahem, vydání nového propagačního materiálu – S pastelkami po středních Čechách, spolupráce při propagaci středních Čech ve spolupráci s Ministerstvem pro místní rozvoj ČR, která obsahovala nejen inzertní a PR plochy, fotografie, videa a mapové podklady, ale také průzkum chování domácích turistů. Dále pak zajištění správy a rozvoje sportovně rekreačního areálu Vrchbělá a rozhledny Čížovka. </w:t>
      </w:r>
    </w:p>
    <w:p w14:paraId="30D05A63" w14:textId="77777777" w:rsidR="00720597" w:rsidRPr="00BA4348" w:rsidRDefault="00720597" w:rsidP="00720597">
      <w:pPr>
        <w:spacing w:after="0" w:line="240" w:lineRule="auto"/>
        <w:jc w:val="both"/>
        <w:rPr>
          <w:rFonts w:eastAsia="Times New Roman" w:cstheme="minorHAnsi"/>
          <w:lang w:eastAsia="cs-CZ"/>
        </w:rPr>
      </w:pPr>
      <w:r w:rsidRPr="00BA4348">
        <w:rPr>
          <w:rFonts w:eastAsia="Times New Roman" w:cstheme="minorHAnsi"/>
          <w:lang w:eastAsia="cs-CZ"/>
        </w:rPr>
        <w:t>Na mzdové náklady organizace za období leden – březen 2021 (22 zaměstnanců na HPP, 4 zaměstnanci na DPP, DPČ) byly čerpány finanční prostředky ve výši 4 514 460,00 Kč.</w:t>
      </w:r>
    </w:p>
    <w:p w14:paraId="44285BE2" w14:textId="77777777" w:rsidR="00720597" w:rsidRPr="00BA4348" w:rsidRDefault="00720597" w:rsidP="00720597">
      <w:pPr>
        <w:spacing w:after="0" w:line="240" w:lineRule="auto"/>
        <w:rPr>
          <w:rFonts w:cstheme="minorHAnsi"/>
          <w:b/>
        </w:rPr>
      </w:pPr>
    </w:p>
    <w:p w14:paraId="5B59D7B9" w14:textId="77777777" w:rsidR="00720597" w:rsidRPr="00BA4348" w:rsidRDefault="00720597" w:rsidP="00720597">
      <w:pPr>
        <w:spacing w:after="0" w:line="240" w:lineRule="auto"/>
        <w:rPr>
          <w:rFonts w:cstheme="minorHAnsi"/>
          <w:b/>
        </w:rPr>
      </w:pPr>
      <w:r w:rsidRPr="00BA4348">
        <w:rPr>
          <w:rFonts w:cstheme="minorHAnsi"/>
          <w:b/>
        </w:rPr>
        <w:t xml:space="preserve">§ 2143 – Středočeské vodní cesty, spolek </w:t>
      </w:r>
    </w:p>
    <w:p w14:paraId="20B5C042" w14:textId="77777777" w:rsidR="00720597" w:rsidRPr="00D70DBD" w:rsidRDefault="00720597" w:rsidP="00720597">
      <w:pPr>
        <w:pStyle w:val="Default"/>
        <w:jc w:val="both"/>
        <w:rPr>
          <w:rFonts w:ascii="Calibri" w:hAnsi="Calibri" w:cstheme="minorHAnsi"/>
          <w:color w:val="auto"/>
          <w:sz w:val="22"/>
          <w:szCs w:val="22"/>
        </w:rPr>
      </w:pPr>
      <w:r w:rsidRPr="00D70DBD">
        <w:rPr>
          <w:rFonts w:ascii="Calibri" w:hAnsi="Calibri" w:cstheme="minorHAnsi"/>
          <w:color w:val="auto"/>
          <w:sz w:val="22"/>
          <w:szCs w:val="22"/>
        </w:rPr>
        <w:t xml:space="preserve">Schválený rozpočet ve výši 3 620 000,00 Kč byl snížen usnesením č. 027-15/2021/RK ze dne 1. 4. 2021 (převod finančních prostředků z kapitoly 08 – Regionální rozvoj do kapitoly 06 – Kultura a památková péče) o částku </w:t>
      </w:r>
      <w:r w:rsidRPr="00D70DBD">
        <w:rPr>
          <w:rFonts w:ascii="Calibri" w:hAnsi="Calibri" w:cstheme="minorHAnsi"/>
          <w:color w:val="auto"/>
          <w:sz w:val="22"/>
          <w:szCs w:val="22"/>
        </w:rPr>
        <w:br/>
        <w:t>3 430 000,00 Kč.</w:t>
      </w:r>
    </w:p>
    <w:p w14:paraId="779D549A" w14:textId="555A338B" w:rsidR="00720597" w:rsidRPr="00D70DBD" w:rsidRDefault="00720597" w:rsidP="00720597">
      <w:pPr>
        <w:pStyle w:val="Default"/>
        <w:jc w:val="both"/>
        <w:rPr>
          <w:rFonts w:ascii="Calibri" w:hAnsi="Calibri" w:cstheme="minorHAnsi"/>
          <w:color w:val="auto"/>
          <w:sz w:val="22"/>
        </w:rPr>
      </w:pPr>
      <w:r w:rsidRPr="00D70DBD">
        <w:rPr>
          <w:rFonts w:ascii="Calibri" w:hAnsi="Calibri" w:cstheme="minorHAnsi"/>
          <w:color w:val="auto"/>
          <w:sz w:val="22"/>
        </w:rPr>
        <w:t>Finanční prostředky byly čerpány ve výši 100</w:t>
      </w:r>
      <w:r w:rsidR="00D4251C">
        <w:rPr>
          <w:rFonts w:ascii="Calibri" w:hAnsi="Calibri" w:cstheme="minorHAnsi"/>
          <w:color w:val="auto"/>
          <w:sz w:val="22"/>
        </w:rPr>
        <w:t>,0</w:t>
      </w:r>
      <w:r w:rsidRPr="00D70DBD">
        <w:rPr>
          <w:rFonts w:ascii="Calibri" w:hAnsi="Calibri" w:cstheme="minorHAnsi"/>
          <w:color w:val="auto"/>
          <w:sz w:val="22"/>
        </w:rPr>
        <w:t xml:space="preserve"> % na poskytnutí individuální účelové neinvestiční dotace </w:t>
      </w:r>
      <w:r w:rsidRPr="00D70DBD">
        <w:rPr>
          <w:rFonts w:ascii="Calibri" w:hAnsi="Calibri" w:cstheme="minorHAnsi"/>
          <w:color w:val="auto"/>
          <w:sz w:val="22"/>
        </w:rPr>
        <w:br/>
        <w:t>z rozpočtu SK na provoz spolku Středočeské vodní cesty, z.s. na měsíc leden 2021.</w:t>
      </w:r>
    </w:p>
    <w:p w14:paraId="69C393BA" w14:textId="77777777" w:rsidR="00720597" w:rsidRPr="00BA4348" w:rsidRDefault="00720597" w:rsidP="00720597">
      <w:pPr>
        <w:spacing w:after="0" w:line="240" w:lineRule="auto"/>
        <w:rPr>
          <w:rFonts w:cstheme="minorHAnsi"/>
          <w:b/>
        </w:rPr>
      </w:pPr>
    </w:p>
    <w:p w14:paraId="0F07231C" w14:textId="77777777" w:rsidR="00720597" w:rsidRPr="00BA4348" w:rsidRDefault="00720597" w:rsidP="00720597">
      <w:pPr>
        <w:spacing w:after="0" w:line="240" w:lineRule="auto"/>
        <w:jc w:val="both"/>
        <w:rPr>
          <w:rFonts w:cstheme="minorHAnsi"/>
          <w:b/>
        </w:rPr>
      </w:pPr>
      <w:r w:rsidRPr="00BA4348">
        <w:rPr>
          <w:rFonts w:cstheme="minorHAnsi"/>
          <w:b/>
        </w:rPr>
        <w:t xml:space="preserve">§ 2510 – Podpora podnikání, investiční příležitosti, brownfields </w:t>
      </w:r>
    </w:p>
    <w:p w14:paraId="1FDAA92A" w14:textId="1573AA28" w:rsidR="00720597" w:rsidRPr="00BA4348" w:rsidRDefault="00720597" w:rsidP="00720597">
      <w:pPr>
        <w:spacing w:after="0" w:line="240" w:lineRule="auto"/>
        <w:jc w:val="both"/>
        <w:rPr>
          <w:rFonts w:cstheme="minorHAnsi"/>
        </w:rPr>
      </w:pPr>
      <w:r w:rsidRPr="00BA4348">
        <w:rPr>
          <w:rFonts w:cstheme="minorHAnsi"/>
        </w:rPr>
        <w:t xml:space="preserve">Finanční prostředky ve výši 12,3 % byly čerpány na organizaci krajského kola soutěže Zlatý erb 2021 a na poskytnutí individuální účelové neinvestiční dotace z rozpočtu Středočeského kraje pro Krajskou hospodářskou komoru Střední Čechy. V roce 2022 budou finanční prostředky z části </w:t>
      </w:r>
      <w:r w:rsidR="00D4251C">
        <w:rPr>
          <w:rFonts w:cstheme="minorHAnsi"/>
        </w:rPr>
        <w:t>dočerpány</w:t>
      </w:r>
      <w:r w:rsidRPr="00BA4348">
        <w:rPr>
          <w:rFonts w:cstheme="minorHAnsi"/>
        </w:rPr>
        <w:t xml:space="preserve"> na zajištění veletrhu MIPIM 2022</w:t>
      </w:r>
      <w:r w:rsidR="00D4251C">
        <w:rPr>
          <w:rFonts w:cstheme="minorHAnsi"/>
        </w:rPr>
        <w:t>.</w:t>
      </w:r>
      <w:r w:rsidRPr="00BA4348">
        <w:rPr>
          <w:rFonts w:cstheme="minorHAnsi"/>
        </w:rPr>
        <w:t xml:space="preserve"> </w:t>
      </w:r>
    </w:p>
    <w:p w14:paraId="22986862" w14:textId="77777777" w:rsidR="00720597" w:rsidRPr="00BA4348" w:rsidRDefault="00720597" w:rsidP="00720597">
      <w:pPr>
        <w:spacing w:after="0" w:line="240" w:lineRule="auto"/>
        <w:jc w:val="both"/>
        <w:rPr>
          <w:rFonts w:cstheme="minorHAnsi"/>
        </w:rPr>
      </w:pPr>
    </w:p>
    <w:p w14:paraId="4BE92CF3" w14:textId="77777777" w:rsidR="00720597" w:rsidRPr="00BA4348" w:rsidRDefault="00720597" w:rsidP="00720597">
      <w:pPr>
        <w:spacing w:after="0" w:line="240" w:lineRule="auto"/>
        <w:jc w:val="both"/>
        <w:rPr>
          <w:rFonts w:cstheme="minorHAnsi"/>
          <w:b/>
        </w:rPr>
      </w:pPr>
      <w:r w:rsidRPr="00BA4348">
        <w:rPr>
          <w:rFonts w:cstheme="minorHAnsi"/>
          <w:b/>
        </w:rPr>
        <w:t xml:space="preserve">§ 2510 – Středočeské inovační centrum - běžné výdaje </w:t>
      </w:r>
    </w:p>
    <w:p w14:paraId="4B6E4CB4" w14:textId="77777777" w:rsidR="00720597" w:rsidRPr="00BA4348" w:rsidRDefault="00720597" w:rsidP="00720597">
      <w:pPr>
        <w:spacing w:after="0" w:line="240" w:lineRule="auto"/>
        <w:jc w:val="both"/>
        <w:rPr>
          <w:rFonts w:cstheme="minorHAnsi"/>
        </w:rPr>
      </w:pPr>
      <w:r w:rsidRPr="00BA4348">
        <w:rPr>
          <w:rFonts w:cstheme="minorHAnsi"/>
        </w:rPr>
        <w:t>Schválený rozpočet ve výši 28 848 000,00 Kč byl snížen usnesením č. 006-17/2021/RK ze dne 15. 4. 2021 - převod finančních prostředků z kapitoly 08 – Regionální rozvoj do kapitoly 09 – Evropská integrace na částku 14 355 000,00 Kč. Jedná se o převod finančních prostředků z Odboru regionálního rozvoje do kapitoly 09 - Evropská integrace, z důvodu převodu agendy z Odboru regionálního rozvoje do Odboru řízení dotačních projektů, na základě Opatření ředitele Krajského úřadu Středočeského kraje č. 3/2021, kterým se mění Organizační řád Krajského úřadu Středočeského kraje s účinností dne 1. 4. 2021.</w:t>
      </w:r>
    </w:p>
    <w:p w14:paraId="61817AD8" w14:textId="4B484EDF" w:rsidR="00720597" w:rsidRPr="00BA4348" w:rsidRDefault="00720597" w:rsidP="00720597">
      <w:pPr>
        <w:spacing w:after="0" w:line="240" w:lineRule="auto"/>
        <w:jc w:val="both"/>
        <w:rPr>
          <w:rFonts w:cstheme="minorHAnsi"/>
        </w:rPr>
      </w:pPr>
      <w:r w:rsidRPr="00BA4348">
        <w:rPr>
          <w:rFonts w:cstheme="minorHAnsi"/>
        </w:rPr>
        <w:t>Finanční prostředky ve výši 100</w:t>
      </w:r>
      <w:r w:rsidR="00D4251C">
        <w:rPr>
          <w:rFonts w:cstheme="minorHAnsi"/>
        </w:rPr>
        <w:t>,0</w:t>
      </w:r>
      <w:r w:rsidRPr="00BA4348">
        <w:rPr>
          <w:rFonts w:cstheme="minorHAnsi"/>
        </w:rPr>
        <w:t xml:space="preserve"> % byly čerpány na financování provozu a inovačních aktivit spolku v roce 2021. Jednalo se o proplacení první části dotace</w:t>
      </w:r>
      <w:r>
        <w:rPr>
          <w:rFonts w:cstheme="minorHAnsi"/>
        </w:rPr>
        <w:t>.</w:t>
      </w:r>
    </w:p>
    <w:p w14:paraId="3F52880F" w14:textId="77777777" w:rsidR="00720597" w:rsidRPr="00BA4348" w:rsidRDefault="00720597" w:rsidP="00720597">
      <w:pPr>
        <w:spacing w:after="0" w:line="240" w:lineRule="auto"/>
        <w:jc w:val="both"/>
        <w:rPr>
          <w:rFonts w:cstheme="minorHAnsi"/>
          <w:b/>
          <w:u w:val="single"/>
        </w:rPr>
      </w:pPr>
      <w:r w:rsidRPr="00BA4348">
        <w:rPr>
          <w:rFonts w:cstheme="minorHAnsi"/>
        </w:rPr>
        <w:t xml:space="preserve"> </w:t>
      </w:r>
    </w:p>
    <w:p w14:paraId="5C3A8E40" w14:textId="77777777" w:rsidR="00720597" w:rsidRPr="00BA4348" w:rsidRDefault="00720597" w:rsidP="00720597">
      <w:pPr>
        <w:spacing w:after="0" w:line="240" w:lineRule="auto"/>
        <w:rPr>
          <w:rFonts w:cstheme="minorHAnsi"/>
          <w:b/>
        </w:rPr>
      </w:pPr>
      <w:r w:rsidRPr="00BA4348">
        <w:rPr>
          <w:rFonts w:cstheme="minorHAnsi"/>
          <w:b/>
        </w:rPr>
        <w:t>§ 2510 – Středočeské inovační centrum – Středočeské podnikatelské vouchery</w:t>
      </w:r>
    </w:p>
    <w:p w14:paraId="4D700F2E" w14:textId="218253D7" w:rsidR="00720597" w:rsidRPr="00BA4348" w:rsidRDefault="00720597" w:rsidP="00720597">
      <w:pPr>
        <w:spacing w:after="0" w:line="240" w:lineRule="auto"/>
        <w:jc w:val="both"/>
        <w:rPr>
          <w:rFonts w:cstheme="minorHAnsi"/>
        </w:rPr>
      </w:pPr>
      <w:r w:rsidRPr="00BA4348">
        <w:rPr>
          <w:rFonts w:cstheme="minorHAnsi"/>
        </w:rPr>
        <w:t>Schválený rozpočet ve výši 12 000 000,00 Kč byl čerpán na 100</w:t>
      </w:r>
      <w:r w:rsidR="00D4251C">
        <w:rPr>
          <w:rFonts w:cstheme="minorHAnsi"/>
        </w:rPr>
        <w:t>,0</w:t>
      </w:r>
      <w:r w:rsidRPr="00BA4348">
        <w:rPr>
          <w:rFonts w:cstheme="minorHAnsi"/>
        </w:rPr>
        <w:t xml:space="preserve"> %. Finanční prostředky byly čerpány jako poskytnutí účelové neinvestiční dotace z rozpočtu Středočeského kraje na realizaci programů Středočeské podnikatelské vouchery 2021 na základě usnesení č. 018-03/2021/ZK ze dne 25. 1. 2021.</w:t>
      </w:r>
    </w:p>
    <w:p w14:paraId="5F03410F" w14:textId="1C57F40E" w:rsidR="00720597" w:rsidRPr="00BA4348" w:rsidRDefault="00720597" w:rsidP="00720597">
      <w:pPr>
        <w:spacing w:after="0" w:line="240" w:lineRule="auto"/>
        <w:jc w:val="both"/>
        <w:rPr>
          <w:rFonts w:cstheme="minorHAnsi"/>
        </w:rPr>
      </w:pPr>
      <w:r w:rsidRPr="00BA4348">
        <w:rPr>
          <w:rFonts w:cstheme="minorHAnsi"/>
        </w:rPr>
        <w:t>Podnikatelský voucher je finanční nástroj podporující inovační firmy ze Středočeského kraje s ambicí mezinárodního rozvoje, které mají šanci v budoucnu významně přispět k ekonomickému rozvoji kraje. Program naváže na pět výzev inovačních voucherů a tři výzvy kreativních voucherů a podpoř</w:t>
      </w:r>
      <w:r>
        <w:rPr>
          <w:rFonts w:cstheme="minorHAnsi"/>
        </w:rPr>
        <w:t>í</w:t>
      </w:r>
      <w:r w:rsidRPr="00BA4348">
        <w:rPr>
          <w:rFonts w:cstheme="minorHAnsi"/>
        </w:rPr>
        <w:t xml:space="preserve"> firmy při využití specializovaných služeb s vysokou přidanou hodnotou v oblasti vývoje, designu, marketingu apod. a umožní jim plně se soustředit na vlastní vnitřní kompetence, aniž by zanedbávaly další, které nemají a jsou přitom k úspěšnému rozvoji firmy klíčové. Díky klientskému přístupu k žadatelům, který SIC začal používat od roku 2020, se ukazuje, že je lepší nabízet firmám jeden program s pestřejším portfoliem uznatelných nákladů, které umožní na základě detailního seznámení se se situací konkrétní firmy reagovat na její individuální potřeby tak, aby došlo k maximalizaci přínosu podpory jak pro firmu, tak pro regionální ekonomiku. Tento postup je i efektivnější z hlediska administrativních nákladů spojených s programem. Dalším přínosem programu je to, že si nekonkuruje se státními či evropskými programy, ale vhodně je na regionální úrovni doplňuje.</w:t>
      </w:r>
    </w:p>
    <w:p w14:paraId="2F0E2CF3" w14:textId="77777777" w:rsidR="00720597" w:rsidRPr="00BA4348" w:rsidRDefault="00720597" w:rsidP="00720597">
      <w:pPr>
        <w:spacing w:after="0" w:line="240" w:lineRule="auto"/>
        <w:rPr>
          <w:rFonts w:cstheme="minorHAnsi"/>
          <w:b/>
        </w:rPr>
      </w:pPr>
    </w:p>
    <w:p w14:paraId="4DDF3554" w14:textId="77777777" w:rsidR="00720597" w:rsidRPr="00BA4348" w:rsidRDefault="00720597" w:rsidP="00720597">
      <w:pPr>
        <w:spacing w:after="0" w:line="240" w:lineRule="auto"/>
        <w:jc w:val="both"/>
        <w:rPr>
          <w:rFonts w:cstheme="minorHAnsi"/>
          <w:b/>
        </w:rPr>
      </w:pPr>
      <w:r w:rsidRPr="00BA4348">
        <w:rPr>
          <w:rFonts w:cstheme="minorHAnsi"/>
          <w:b/>
        </w:rPr>
        <w:t xml:space="preserve">§ 2510 – Středočeské inovační centrum – projekt PLATINN </w:t>
      </w:r>
    </w:p>
    <w:p w14:paraId="070DA332" w14:textId="77777777" w:rsidR="00720597" w:rsidRPr="00BA4348" w:rsidRDefault="00720597" w:rsidP="00720597">
      <w:pPr>
        <w:pStyle w:val="Normln10"/>
        <w:jc w:val="both"/>
        <w:rPr>
          <w:rFonts w:asciiTheme="minorHAnsi" w:hAnsiTheme="minorHAnsi" w:cstheme="minorHAnsi"/>
          <w:color w:val="auto"/>
          <w:sz w:val="22"/>
          <w:szCs w:val="22"/>
        </w:rPr>
      </w:pPr>
      <w:r w:rsidRPr="00BA4348">
        <w:rPr>
          <w:rFonts w:asciiTheme="minorHAnsi" w:hAnsiTheme="minorHAnsi" w:cstheme="minorHAnsi"/>
          <w:color w:val="auto"/>
          <w:sz w:val="22"/>
          <w:szCs w:val="22"/>
        </w:rPr>
        <w:t>Schválený rozpočet ve výši</w:t>
      </w:r>
      <w:r w:rsidRPr="00BA4348">
        <w:rPr>
          <w:rFonts w:asciiTheme="minorHAnsi" w:hAnsiTheme="minorHAnsi" w:cstheme="minorHAnsi"/>
          <w:b/>
          <w:color w:val="auto"/>
          <w:sz w:val="22"/>
          <w:szCs w:val="22"/>
        </w:rPr>
        <w:t xml:space="preserve"> </w:t>
      </w:r>
      <w:r w:rsidRPr="00BA4348">
        <w:rPr>
          <w:rFonts w:asciiTheme="minorHAnsi" w:hAnsiTheme="minorHAnsi" w:cstheme="minorHAnsi"/>
          <w:color w:val="auto"/>
          <w:sz w:val="22"/>
          <w:szCs w:val="22"/>
        </w:rPr>
        <w:t>1 500 000,00 Kč</w:t>
      </w:r>
      <w:r w:rsidRPr="00BA4348">
        <w:rPr>
          <w:rFonts w:asciiTheme="minorHAnsi" w:hAnsiTheme="minorHAnsi" w:cstheme="minorHAnsi"/>
          <w:b/>
          <w:color w:val="auto"/>
          <w:sz w:val="22"/>
          <w:szCs w:val="22"/>
        </w:rPr>
        <w:t xml:space="preserve"> </w:t>
      </w:r>
      <w:r w:rsidRPr="00BA4348">
        <w:rPr>
          <w:rFonts w:asciiTheme="minorHAnsi" w:hAnsiTheme="minorHAnsi" w:cstheme="minorHAnsi"/>
          <w:color w:val="auto"/>
          <w:sz w:val="22"/>
          <w:szCs w:val="22"/>
        </w:rPr>
        <w:t>byl čerpán na 100,0 %. Finanční prostředky byly čerpány jako poskytnutí dotace na program podporující inovační aktivity podniků působící ve Středočeském kraji - „Program PLATINN“. Program PLATINN má za cíl usnadňovat firmám odhalení inovačních příležitostí a realizaci změn vedoucích k růstu firmy a rozvoji regionu. Podpora v Programu je realizována spoluprací externích expertů (zkušených podnikatelů) ze sítě Platinn.cz, kteří pomáhají majitelům firem ze Středočeského kraje metodou koučinku a mentorinku v předem definovaných oblastech souvisejících s inovačním procesem firmy. Náklady na činnost těchto expertů jsou v 1. fázi ze 100 %, v druhé fázi Programu z 50 % hrazeny z této dotace. Účelem Programu je zprostředkovat spolupráci mezi velmi zkušenými podnikateli a experty z celé ČR a firmami ve Středočeském kraji, která povede ke zvýšení inovační výkonnosti a konkurenceschopnosti středočeských firem. Dotace byla proplacena Středočeskému inovačnímu centru, spolku na základě schválení žádosti Zastupitelstvem Středočeského kraje usnesením č. 019-03/2021/ZK ze dne 25. 1. 2021.</w:t>
      </w:r>
    </w:p>
    <w:p w14:paraId="313A7A2D" w14:textId="77777777" w:rsidR="00720597" w:rsidRPr="00BA4348" w:rsidRDefault="00720597" w:rsidP="00720597">
      <w:pPr>
        <w:spacing w:after="0" w:line="240" w:lineRule="auto"/>
        <w:rPr>
          <w:rFonts w:cstheme="minorHAnsi"/>
          <w:b/>
          <w:bCs/>
        </w:rPr>
      </w:pPr>
    </w:p>
    <w:p w14:paraId="2B6DCEFD" w14:textId="77777777" w:rsidR="00720597" w:rsidRPr="00BA4348" w:rsidRDefault="00720597" w:rsidP="00720597">
      <w:pPr>
        <w:spacing w:after="0" w:line="240" w:lineRule="auto"/>
        <w:rPr>
          <w:rFonts w:cstheme="minorHAnsi"/>
          <w:b/>
          <w:bCs/>
        </w:rPr>
      </w:pPr>
      <w:bookmarkStart w:id="42" w:name="_Hlk98848832"/>
      <w:r w:rsidRPr="00BA4348">
        <w:rPr>
          <w:rFonts w:cstheme="minorHAnsi"/>
          <w:b/>
          <w:bCs/>
        </w:rPr>
        <w:t xml:space="preserve">§ 3419 – Sportovní soutěže </w:t>
      </w:r>
    </w:p>
    <w:p w14:paraId="2EAA940E" w14:textId="3F3E42ED" w:rsidR="00720597" w:rsidRPr="00BA4348" w:rsidRDefault="00720597" w:rsidP="00720597">
      <w:pPr>
        <w:spacing w:after="0" w:line="240" w:lineRule="auto"/>
        <w:jc w:val="both"/>
        <w:rPr>
          <w:rFonts w:cstheme="minorHAnsi"/>
        </w:rPr>
      </w:pPr>
      <w:r w:rsidRPr="00BA4348">
        <w:rPr>
          <w:rFonts w:cstheme="minorHAnsi"/>
        </w:rPr>
        <w:t>Schválený rozpočet ve výši 4 600 000,00 Kč byl snížen usnesením č. 034-15/2021/RK ze dne 1. 4. 2021 - na částku 0,00 Kč. Jedn</w:t>
      </w:r>
      <w:r>
        <w:rPr>
          <w:rFonts w:cstheme="minorHAnsi"/>
        </w:rPr>
        <w:t>alo</w:t>
      </w:r>
      <w:r w:rsidRPr="00BA4348">
        <w:rPr>
          <w:rFonts w:cstheme="minorHAnsi"/>
        </w:rPr>
        <w:t xml:space="preserve"> se o převod finančních prostředků z Odboru regionálního rozvoje do kapitoly 05 - Školství, z důvodu převodu agendy do Odboru </w:t>
      </w:r>
      <w:r w:rsidR="00A60813">
        <w:rPr>
          <w:rFonts w:cstheme="minorHAnsi"/>
        </w:rPr>
        <w:t>školství</w:t>
      </w:r>
      <w:r w:rsidRPr="00BA4348">
        <w:rPr>
          <w:rFonts w:cstheme="minorHAnsi"/>
        </w:rPr>
        <w:t>, na základě Opatření ředitele Krajského úřadu Středočeského kraje č. 3/2021, kterým se mění Organizační řád Krajského úřadu Středočeského kraje s účinností dne 1. 4. 2021.</w:t>
      </w:r>
    </w:p>
    <w:p w14:paraId="60FEB640" w14:textId="77777777" w:rsidR="00720597" w:rsidRPr="00BA4348" w:rsidRDefault="00720597" w:rsidP="00720597">
      <w:pPr>
        <w:spacing w:after="0" w:line="240" w:lineRule="auto"/>
        <w:jc w:val="both"/>
        <w:rPr>
          <w:rFonts w:cstheme="minorHAnsi"/>
          <w:b/>
          <w:bCs/>
        </w:rPr>
      </w:pPr>
    </w:p>
    <w:p w14:paraId="26A294EF" w14:textId="77777777" w:rsidR="00720597" w:rsidRPr="00BA4348" w:rsidRDefault="00720597" w:rsidP="00720597">
      <w:pPr>
        <w:spacing w:after="0" w:line="240" w:lineRule="auto"/>
        <w:jc w:val="both"/>
        <w:rPr>
          <w:rFonts w:cstheme="minorHAnsi"/>
          <w:b/>
        </w:rPr>
      </w:pPr>
      <w:r w:rsidRPr="00BA4348">
        <w:rPr>
          <w:rFonts w:cstheme="minorHAnsi"/>
          <w:b/>
        </w:rPr>
        <w:t xml:space="preserve">§ 3419 – Sportovní centra mládeže </w:t>
      </w:r>
    </w:p>
    <w:p w14:paraId="46386CF1" w14:textId="7D4DE714" w:rsidR="00720597" w:rsidRPr="00BA4348" w:rsidRDefault="00720597" w:rsidP="00720597">
      <w:pPr>
        <w:spacing w:after="0" w:line="240" w:lineRule="auto"/>
        <w:jc w:val="both"/>
        <w:rPr>
          <w:rFonts w:cstheme="minorHAnsi"/>
        </w:rPr>
      </w:pPr>
      <w:r w:rsidRPr="00BA4348">
        <w:rPr>
          <w:rFonts w:cstheme="minorHAnsi"/>
        </w:rPr>
        <w:t>Rozpočet byl upraven na částku 30 000 000,00 Kč usnesením č. 069-01/2021/RK ze dne 7. 1. 2021 – převod nevyčerpaných finančních prostředků kapitoly z roku 2020 do rozpočtu roku 2021, a dále byl snížen usnesením č. 034-15/2021/RK ze dne 1. 4. 2021 – převod finančních prostředků z kapitoly 08 – Regionální rozvoj do kapitoly 05 – Školství na částku 28 430 000,00 Kč. Jedn</w:t>
      </w:r>
      <w:r>
        <w:rPr>
          <w:rFonts w:cstheme="minorHAnsi"/>
        </w:rPr>
        <w:t>alo</w:t>
      </w:r>
      <w:r w:rsidRPr="00BA4348">
        <w:rPr>
          <w:rFonts w:cstheme="minorHAnsi"/>
        </w:rPr>
        <w:t xml:space="preserve"> se o převod finančních prostředků z důvodu převodu agendy z Odboru regionálního rozvoje </w:t>
      </w:r>
      <w:r w:rsidRPr="00A60813">
        <w:rPr>
          <w:rFonts w:cstheme="minorHAnsi"/>
        </w:rPr>
        <w:t xml:space="preserve">do Odboru </w:t>
      </w:r>
      <w:r w:rsidR="00A60813" w:rsidRPr="00A60813">
        <w:rPr>
          <w:rFonts w:cstheme="minorHAnsi"/>
        </w:rPr>
        <w:t>školství</w:t>
      </w:r>
      <w:r w:rsidRPr="00BA4348">
        <w:rPr>
          <w:rFonts w:cstheme="minorHAnsi"/>
        </w:rPr>
        <w:t>, na základě Opatření ředitele Krajského úřadu Středočeského kraje č. 3/2021, kterým se mění Organizační řád Krajského úřadu Středočeského kraje s účinností dne 1. 4. 2021.</w:t>
      </w:r>
    </w:p>
    <w:p w14:paraId="7DB82467" w14:textId="4EF19B4E" w:rsidR="00720597" w:rsidRPr="00BA4348" w:rsidRDefault="00720597" w:rsidP="00720597">
      <w:pPr>
        <w:spacing w:after="0" w:line="240" w:lineRule="auto"/>
        <w:jc w:val="both"/>
        <w:rPr>
          <w:rFonts w:cstheme="minorHAnsi"/>
        </w:rPr>
      </w:pPr>
      <w:r w:rsidRPr="00BA4348">
        <w:rPr>
          <w:rFonts w:cstheme="minorHAnsi"/>
        </w:rPr>
        <w:t>Finanční prostředky ve výši 100</w:t>
      </w:r>
      <w:r w:rsidR="004D5F33">
        <w:rPr>
          <w:rFonts w:cstheme="minorHAnsi"/>
        </w:rPr>
        <w:t>,0</w:t>
      </w:r>
      <w:r w:rsidRPr="00BA4348">
        <w:rPr>
          <w:rFonts w:cstheme="minorHAnsi"/>
        </w:rPr>
        <w:t xml:space="preserve"> % byly čerpány na základě usnesení</w:t>
      </w:r>
      <w:r w:rsidRPr="00BA4348">
        <w:t xml:space="preserve"> </w:t>
      </w:r>
      <w:r w:rsidRPr="00BA4348">
        <w:rPr>
          <w:rFonts w:cstheme="minorHAnsi"/>
        </w:rPr>
        <w:t>021-03/2021/ZK ze dne 25. 1. 2021, na financování sportovních center mládeže na základě individuálních žádostí.</w:t>
      </w:r>
    </w:p>
    <w:bookmarkEnd w:id="42"/>
    <w:p w14:paraId="1C596EDE" w14:textId="77777777" w:rsidR="00720597" w:rsidRPr="00BA4348" w:rsidRDefault="00720597" w:rsidP="00720597">
      <w:pPr>
        <w:spacing w:after="0" w:line="240" w:lineRule="auto"/>
        <w:jc w:val="both"/>
        <w:rPr>
          <w:rFonts w:cstheme="minorHAnsi"/>
          <w:b/>
          <w:bCs/>
          <w:u w:val="single"/>
        </w:rPr>
      </w:pPr>
    </w:p>
    <w:p w14:paraId="2DFF0068" w14:textId="77777777" w:rsidR="00720597" w:rsidRPr="00BA4348" w:rsidRDefault="00720597" w:rsidP="00720597">
      <w:pPr>
        <w:spacing w:after="0" w:line="240" w:lineRule="auto"/>
        <w:jc w:val="both"/>
        <w:rPr>
          <w:rFonts w:cstheme="minorHAnsi"/>
          <w:b/>
        </w:rPr>
      </w:pPr>
      <w:bookmarkStart w:id="43" w:name="_Hlk98848960"/>
      <w:r w:rsidRPr="00BA4348">
        <w:rPr>
          <w:rFonts w:cstheme="minorHAnsi"/>
          <w:b/>
        </w:rPr>
        <w:t xml:space="preserve">§ 3419 – Olympiáda dětí a mládeže </w:t>
      </w:r>
    </w:p>
    <w:p w14:paraId="2ABF73BE" w14:textId="54B20CEF" w:rsidR="00720597" w:rsidRPr="00BA4348" w:rsidRDefault="00720597" w:rsidP="00720597">
      <w:pPr>
        <w:spacing w:after="0" w:line="240" w:lineRule="auto"/>
        <w:jc w:val="both"/>
        <w:rPr>
          <w:rFonts w:cstheme="minorHAnsi"/>
        </w:rPr>
      </w:pPr>
      <w:r w:rsidRPr="00BA4348">
        <w:rPr>
          <w:rFonts w:cstheme="minorHAnsi"/>
        </w:rPr>
        <w:t>Schválený rozpočet ve výši 2 000 000,00 Kč byl snížen usnesením č. 034-15/2021/RK ze dne 1. 4. 2021 – převod finančních prostředků z kapitoly 08 – Regionální rozvoj do kapitoly 05 – Školství na částku 0,00 Kč. Jedn</w:t>
      </w:r>
      <w:r>
        <w:rPr>
          <w:rFonts w:cstheme="minorHAnsi"/>
        </w:rPr>
        <w:t>alo</w:t>
      </w:r>
      <w:r w:rsidRPr="00BA4348">
        <w:rPr>
          <w:rFonts w:cstheme="minorHAnsi"/>
        </w:rPr>
        <w:t xml:space="preserve"> se o převod finančních prostředků z důvodu převodu agendy z Odboru regionálního rozvoje do Odboru </w:t>
      </w:r>
      <w:r w:rsidR="00A60813">
        <w:rPr>
          <w:rFonts w:cstheme="minorHAnsi"/>
        </w:rPr>
        <w:t>školství</w:t>
      </w:r>
      <w:r w:rsidRPr="00BA4348">
        <w:rPr>
          <w:rFonts w:cstheme="minorHAnsi"/>
        </w:rPr>
        <w:t>, na základě Opatření ředitele Krajského úřadu Středočeského kraje č. 3/2021, kterým se mění Organizační řád Krajského úřadu Středočeského kraje s účinností dne 1. 4. 2021.</w:t>
      </w:r>
    </w:p>
    <w:bookmarkEnd w:id="43"/>
    <w:p w14:paraId="0DC81153" w14:textId="77777777" w:rsidR="00720597" w:rsidRPr="00BA4348" w:rsidRDefault="00720597" w:rsidP="00720597">
      <w:pPr>
        <w:spacing w:after="0" w:line="240" w:lineRule="auto"/>
        <w:jc w:val="both"/>
        <w:rPr>
          <w:rFonts w:cstheme="minorHAnsi"/>
        </w:rPr>
      </w:pPr>
    </w:p>
    <w:p w14:paraId="4F4D53B3" w14:textId="77777777" w:rsidR="00720597" w:rsidRPr="00BA4348" w:rsidRDefault="00720597" w:rsidP="00720597">
      <w:pPr>
        <w:spacing w:after="0" w:line="240" w:lineRule="auto"/>
        <w:jc w:val="both"/>
        <w:rPr>
          <w:rFonts w:cstheme="minorHAnsi"/>
        </w:rPr>
      </w:pPr>
      <w:r w:rsidRPr="00BA4348">
        <w:rPr>
          <w:rFonts w:cstheme="minorHAnsi"/>
          <w:b/>
        </w:rPr>
        <w:t>§ 3636 – Program podpory rozvoje meziobecní spolupráce v oblasti fungování center sdílených služeb dobrovolných svazků obcí Středočeského kraje pro rok 2021</w:t>
      </w:r>
    </w:p>
    <w:p w14:paraId="6490DCDB" w14:textId="77777777" w:rsidR="00720597" w:rsidRPr="00BA4348" w:rsidRDefault="00720597" w:rsidP="00720597">
      <w:pPr>
        <w:spacing w:after="0" w:line="240" w:lineRule="auto"/>
        <w:jc w:val="both"/>
        <w:rPr>
          <w:rFonts w:cstheme="minorHAnsi"/>
        </w:rPr>
      </w:pPr>
      <w:r w:rsidRPr="00BA4348">
        <w:rPr>
          <w:rFonts w:cstheme="minorHAnsi"/>
        </w:rPr>
        <w:t>Schválený rozpočet ve výši 2 000 000,00 Kč byl navýšen usnesením č. 021-02/2021/RK ze dne 14. 1. 2021 - převod nevyčerpaných finančních prostředků kapitoly 08 – Regionální rozvoj z roku 2020 do rozpočtu roku 2021, na částku 3 500 000,00 Kč.</w:t>
      </w:r>
    </w:p>
    <w:p w14:paraId="2475ADCE" w14:textId="77777777" w:rsidR="00720597" w:rsidRPr="00BA4348" w:rsidRDefault="00720597" w:rsidP="00720597">
      <w:pPr>
        <w:spacing w:after="0" w:line="240" w:lineRule="auto"/>
        <w:jc w:val="both"/>
        <w:rPr>
          <w:rFonts w:cstheme="minorHAnsi"/>
        </w:rPr>
      </w:pPr>
      <w:r w:rsidRPr="00BA4348">
        <w:rPr>
          <w:rFonts w:cstheme="minorHAnsi"/>
        </w:rPr>
        <w:t>Finanční prostředky ve výši 85,4 % byly čerpány na základě usnesení</w:t>
      </w:r>
      <w:r w:rsidRPr="00BA4348">
        <w:t xml:space="preserve"> č. </w:t>
      </w:r>
      <w:r w:rsidRPr="00BA4348">
        <w:rPr>
          <w:rFonts w:cstheme="minorHAnsi"/>
        </w:rPr>
        <w:t xml:space="preserve">034-02/2020/ZK ze dne 14. 12. 2020 a usnesení č. 039-09/2021/ZK ze dne 13.9.2021 jako poskytnutí neinvestiční dotace v rámci výše uvedeného Programu. </w:t>
      </w:r>
    </w:p>
    <w:p w14:paraId="51996F0F" w14:textId="77777777" w:rsidR="00720597" w:rsidRPr="00BA4348" w:rsidRDefault="00720597" w:rsidP="00720597">
      <w:pPr>
        <w:spacing w:after="0" w:line="240" w:lineRule="auto"/>
        <w:rPr>
          <w:rFonts w:cstheme="minorHAnsi"/>
        </w:rPr>
      </w:pPr>
    </w:p>
    <w:p w14:paraId="06466746" w14:textId="3064C66E" w:rsidR="00720597" w:rsidRPr="00BA4348" w:rsidRDefault="00720597" w:rsidP="00720597">
      <w:pPr>
        <w:spacing w:after="0" w:line="240" w:lineRule="auto"/>
        <w:rPr>
          <w:rFonts w:cstheme="minorHAnsi"/>
          <w:b/>
          <w:bCs/>
        </w:rPr>
      </w:pPr>
      <w:bookmarkStart w:id="44" w:name="_Hlk98849024"/>
      <w:r w:rsidRPr="00BA4348">
        <w:rPr>
          <w:rFonts w:cstheme="minorHAnsi"/>
          <w:b/>
          <w:bCs/>
        </w:rPr>
        <w:t xml:space="preserve">§ 3636 </w:t>
      </w:r>
      <w:r w:rsidR="0026360D" w:rsidRPr="00BA4348">
        <w:rPr>
          <w:rFonts w:cstheme="minorHAnsi"/>
          <w:b/>
          <w:bCs/>
        </w:rPr>
        <w:t xml:space="preserve">– </w:t>
      </w:r>
      <w:r w:rsidRPr="00BA4348">
        <w:rPr>
          <w:rFonts w:cstheme="minorHAnsi"/>
          <w:b/>
          <w:bCs/>
        </w:rPr>
        <w:t xml:space="preserve">DTM – digitální technická mapa informační systém </w:t>
      </w:r>
    </w:p>
    <w:p w14:paraId="55F48D38" w14:textId="74EC8682" w:rsidR="00720597" w:rsidRPr="00BA4348" w:rsidRDefault="00720597" w:rsidP="00720597">
      <w:pPr>
        <w:spacing w:after="0" w:line="240" w:lineRule="auto"/>
        <w:jc w:val="both"/>
        <w:rPr>
          <w:rFonts w:cstheme="minorHAnsi"/>
        </w:rPr>
      </w:pPr>
      <w:r w:rsidRPr="00BA4348">
        <w:rPr>
          <w:rFonts w:cstheme="minorHAnsi"/>
        </w:rPr>
        <w:t xml:space="preserve">Ze schváleného rozpočtu ve výši 1 645 000,00 Kč nebylo v roce 2021 čerpáno. </w:t>
      </w:r>
      <w:r w:rsidR="00713EB0" w:rsidRPr="00713EB0">
        <w:t>V roce 2021 probíhaly pouze přípravné práce a projekt bude realizován v roce 2022.</w:t>
      </w:r>
    </w:p>
    <w:bookmarkEnd w:id="44"/>
    <w:p w14:paraId="04B37134" w14:textId="77777777" w:rsidR="00720597" w:rsidRDefault="00720597" w:rsidP="00720597">
      <w:pPr>
        <w:spacing w:after="0" w:line="240" w:lineRule="auto"/>
        <w:rPr>
          <w:rFonts w:cstheme="minorHAnsi"/>
          <w:b/>
          <w:bCs/>
        </w:rPr>
      </w:pPr>
    </w:p>
    <w:p w14:paraId="730A837F" w14:textId="77777777" w:rsidR="00720597" w:rsidRPr="00BA4348" w:rsidRDefault="00720597" w:rsidP="00720597">
      <w:pPr>
        <w:spacing w:after="0" w:line="240" w:lineRule="auto"/>
        <w:rPr>
          <w:rFonts w:cstheme="minorHAnsi"/>
          <w:b/>
          <w:bCs/>
          <w:u w:val="single"/>
        </w:rPr>
      </w:pPr>
      <w:r w:rsidRPr="00BA4348">
        <w:rPr>
          <w:rFonts w:cstheme="minorHAnsi"/>
          <w:b/>
          <w:bCs/>
        </w:rPr>
        <w:t>§ 6172</w:t>
      </w:r>
      <w:r w:rsidRPr="00BA4348">
        <w:rPr>
          <w:rFonts w:cstheme="minorHAnsi"/>
          <w:b/>
        </w:rPr>
        <w:t xml:space="preserve"> – </w:t>
      </w:r>
      <w:r w:rsidRPr="00BA4348">
        <w:rPr>
          <w:rFonts w:cstheme="minorHAnsi"/>
          <w:b/>
          <w:bCs/>
        </w:rPr>
        <w:t>Činnost Regionální rady regionu soudržnosti Střední Čechy</w:t>
      </w:r>
    </w:p>
    <w:p w14:paraId="75639466" w14:textId="77777777" w:rsidR="00720597" w:rsidRPr="00BA4348" w:rsidRDefault="00720597" w:rsidP="00720597">
      <w:pPr>
        <w:spacing w:after="0" w:line="240" w:lineRule="auto"/>
        <w:jc w:val="both"/>
        <w:rPr>
          <w:rFonts w:cstheme="minorHAnsi"/>
        </w:rPr>
      </w:pPr>
      <w:r w:rsidRPr="00BA4348">
        <w:rPr>
          <w:rFonts w:cstheme="minorHAnsi"/>
        </w:rPr>
        <w:t xml:space="preserve">Schválený rozpočet ve výši 1 500 000,00 Kč byl čerpán na 16,8 %. Finanční prostředky byly čerpány na poskytnutí dotace na financování úkolů a úkonů při ukončování činnosti Regionální rady regionu soudržnosti Střední Čechy </w:t>
      </w:r>
      <w:r>
        <w:rPr>
          <w:rFonts w:cstheme="minorHAnsi"/>
        </w:rPr>
        <w:t xml:space="preserve">v roce 2021 </w:t>
      </w:r>
      <w:r w:rsidRPr="00BA4348">
        <w:rPr>
          <w:rFonts w:cstheme="minorHAnsi"/>
        </w:rPr>
        <w:t>na základě schválení žádosti Zastupitelstvem Středočeského kraje usnesením č. 033-02/2020/ZK ze dne 14. 12. 2020.</w:t>
      </w:r>
    </w:p>
    <w:p w14:paraId="0840F13D" w14:textId="77777777" w:rsidR="00720597" w:rsidRPr="00BA4348" w:rsidRDefault="00720597" w:rsidP="00720597">
      <w:pPr>
        <w:spacing w:after="0" w:line="240" w:lineRule="auto"/>
        <w:rPr>
          <w:rFonts w:cstheme="minorHAnsi"/>
          <w:b/>
        </w:rPr>
      </w:pPr>
    </w:p>
    <w:p w14:paraId="3E735F17" w14:textId="77777777" w:rsidR="00720597" w:rsidRPr="00BA4348" w:rsidRDefault="00720597" w:rsidP="00720597">
      <w:pPr>
        <w:spacing w:after="0" w:line="240" w:lineRule="auto"/>
        <w:rPr>
          <w:rFonts w:cstheme="minorHAnsi"/>
          <w:b/>
        </w:rPr>
      </w:pPr>
    </w:p>
    <w:p w14:paraId="6B13DC74" w14:textId="77777777" w:rsidR="00720597" w:rsidRPr="00BA4348" w:rsidRDefault="00720597" w:rsidP="00720597">
      <w:pPr>
        <w:spacing w:after="0" w:line="240" w:lineRule="auto"/>
        <w:rPr>
          <w:rFonts w:cstheme="minorHAnsi"/>
          <w:b/>
        </w:rPr>
      </w:pPr>
    </w:p>
    <w:p w14:paraId="73FD4BF1" w14:textId="77777777" w:rsidR="00720597" w:rsidRPr="00BA4348" w:rsidRDefault="00720597" w:rsidP="00720597">
      <w:pPr>
        <w:spacing w:after="0" w:line="240" w:lineRule="auto"/>
        <w:jc w:val="both"/>
        <w:rPr>
          <w:rFonts w:cstheme="minorHAnsi"/>
          <w:b/>
          <w:sz w:val="24"/>
          <w:szCs w:val="24"/>
          <w:u w:val="single"/>
        </w:rPr>
      </w:pPr>
      <w:r w:rsidRPr="00BA4348">
        <w:rPr>
          <w:rFonts w:cstheme="minorHAnsi"/>
          <w:b/>
          <w:sz w:val="24"/>
          <w:szCs w:val="24"/>
          <w:u w:val="single"/>
        </w:rPr>
        <w:t xml:space="preserve">Předfinancování a kofinancování projektů spolufinancovaných z EU/EHP a ostatní související výdaje s projekty EU/EHP </w:t>
      </w:r>
    </w:p>
    <w:p w14:paraId="57575BDA" w14:textId="77777777" w:rsidR="00720597" w:rsidRPr="00BA4348" w:rsidRDefault="00720597" w:rsidP="00720597">
      <w:pPr>
        <w:spacing w:after="0" w:line="240" w:lineRule="auto"/>
        <w:jc w:val="both"/>
        <w:rPr>
          <w:rFonts w:cstheme="minorHAnsi"/>
          <w:b/>
          <w:u w:val="single"/>
        </w:rPr>
      </w:pPr>
    </w:p>
    <w:p w14:paraId="4D6BAB69" w14:textId="34993CA2" w:rsidR="00720597" w:rsidRPr="00BA4348" w:rsidRDefault="00720597" w:rsidP="00720597">
      <w:pPr>
        <w:spacing w:after="0" w:line="240" w:lineRule="auto"/>
        <w:jc w:val="both"/>
        <w:rPr>
          <w:rFonts w:cstheme="minorHAnsi"/>
          <w:b/>
        </w:rPr>
      </w:pPr>
      <w:r w:rsidRPr="00A754CF">
        <w:rPr>
          <w:rFonts w:cstheme="minorHAnsi"/>
          <w:b/>
        </w:rPr>
        <w:t xml:space="preserve">§ </w:t>
      </w:r>
      <w:r w:rsidR="00A754CF">
        <w:rPr>
          <w:rFonts w:cstheme="minorHAnsi"/>
          <w:b/>
        </w:rPr>
        <w:t>2510</w:t>
      </w:r>
      <w:r w:rsidRPr="00BA4348">
        <w:rPr>
          <w:rFonts w:cstheme="minorHAnsi"/>
          <w:b/>
        </w:rPr>
        <w:t xml:space="preserve"> – Smart Akcelerátor II</w:t>
      </w:r>
      <w:r w:rsidR="0026360D">
        <w:rPr>
          <w:rFonts w:cstheme="minorHAnsi"/>
          <w:b/>
        </w:rPr>
        <w:t xml:space="preserve"> </w:t>
      </w:r>
    </w:p>
    <w:p w14:paraId="369BC698" w14:textId="77777777" w:rsidR="00720597" w:rsidRPr="00BA4348" w:rsidRDefault="00720597" w:rsidP="00720597">
      <w:pPr>
        <w:spacing w:after="0" w:line="240" w:lineRule="auto"/>
        <w:jc w:val="both"/>
        <w:rPr>
          <w:rFonts w:cstheme="minorHAnsi"/>
        </w:rPr>
      </w:pPr>
      <w:r w:rsidRPr="00BA4348">
        <w:rPr>
          <w:rFonts w:cstheme="minorHAnsi"/>
        </w:rPr>
        <w:t>Rozpočet byl upraven usnesením č. 044-09/2021/RK ze dne 25. 2. 2021 (převod nevyčerpaných účelových finančních prostředků kapitoly 08 – Regionální rozvoj z roku 2020 do rozpočtu roku 2021</w:t>
      </w:r>
      <w:r w:rsidRPr="00BA4348">
        <w:rPr>
          <w:rFonts w:ascii="Calibri" w:eastAsia="Calibri" w:hAnsi="Calibri" w:cs="Times New Roman"/>
          <w:bCs/>
          <w:szCs w:val="24"/>
        </w:rPr>
        <w:t>)</w:t>
      </w:r>
      <w:r w:rsidRPr="00BA4348">
        <w:rPr>
          <w:rFonts w:cstheme="minorHAnsi"/>
        </w:rPr>
        <w:t xml:space="preserve"> na částku 4 966 696,93 Kč. Dále byl rozpočet upraven usnesením č. 006-17/2021/RK ze dne 15. 4. 2021 – převod finančních prostředků z kapitoly 08 – Regionální rozvoj do kapitoly 09 – Evropská integrace na částku 26 128,55 Kč. Jedná se o převod finančních prostředků z důvodu pře</w:t>
      </w:r>
      <w:r>
        <w:rPr>
          <w:rFonts w:cstheme="minorHAnsi"/>
        </w:rPr>
        <w:t>sunu</w:t>
      </w:r>
      <w:r w:rsidRPr="00BA4348">
        <w:rPr>
          <w:rFonts w:cstheme="minorHAnsi"/>
        </w:rPr>
        <w:t xml:space="preserve"> agendy na základě Opatření ředitele Krajského úřadu Středočeského kraje č. 3/2021, kterým se mění Organizační řád Krajského úřadu Středočeského kraje s účinností dne 1. 4. 2021.</w:t>
      </w:r>
    </w:p>
    <w:p w14:paraId="111E7AD5" w14:textId="4977D5DF" w:rsidR="00720597" w:rsidRPr="00BA4348" w:rsidRDefault="00720597" w:rsidP="00720597">
      <w:pPr>
        <w:spacing w:after="0" w:line="240" w:lineRule="auto"/>
        <w:jc w:val="both"/>
        <w:rPr>
          <w:rFonts w:cstheme="minorHAnsi"/>
        </w:rPr>
      </w:pPr>
      <w:r w:rsidRPr="00BA4348">
        <w:rPr>
          <w:rFonts w:cstheme="minorHAnsi"/>
        </w:rPr>
        <w:t>Finanční prostředky ve výši 100</w:t>
      </w:r>
      <w:r w:rsidR="00282825">
        <w:rPr>
          <w:rFonts w:cstheme="minorHAnsi"/>
        </w:rPr>
        <w:t>,0</w:t>
      </w:r>
      <w:r w:rsidRPr="00BA4348">
        <w:rPr>
          <w:rFonts w:cstheme="minorHAnsi"/>
        </w:rPr>
        <w:t xml:space="preserve"> % byly čerpány na úhradu mezd zaměstnanců v rámci projektu Smart </w:t>
      </w:r>
      <w:r w:rsidRPr="00BA4348">
        <w:rPr>
          <w:rFonts w:cstheme="minorHAnsi"/>
        </w:rPr>
        <w:br/>
        <w:t xml:space="preserve">Akcelerátor II ve Středočeském kraji. </w:t>
      </w:r>
    </w:p>
    <w:p w14:paraId="595AE70A" w14:textId="77777777" w:rsidR="00720597" w:rsidRPr="00BA4348" w:rsidRDefault="00720597" w:rsidP="00720597">
      <w:pPr>
        <w:spacing w:after="0" w:line="240" w:lineRule="auto"/>
        <w:jc w:val="both"/>
        <w:rPr>
          <w:rFonts w:cstheme="minorHAnsi"/>
        </w:rPr>
      </w:pPr>
    </w:p>
    <w:p w14:paraId="0F5E442D" w14:textId="77777777" w:rsidR="00720597" w:rsidRPr="00BA4348" w:rsidRDefault="00720597" w:rsidP="00720597">
      <w:pPr>
        <w:spacing w:after="0" w:line="240" w:lineRule="auto"/>
        <w:jc w:val="both"/>
        <w:rPr>
          <w:rFonts w:cstheme="minorHAnsi"/>
        </w:rPr>
      </w:pPr>
      <w:r w:rsidRPr="00BA4348">
        <w:rPr>
          <w:rFonts w:cstheme="minorHAnsi"/>
          <w:b/>
        </w:rPr>
        <w:t xml:space="preserve">§ 3636 – Středočeský kraj – efektivní region </w:t>
      </w:r>
    </w:p>
    <w:p w14:paraId="2E6A2826" w14:textId="77777777" w:rsidR="00720597" w:rsidRPr="00BA4348" w:rsidRDefault="00720597" w:rsidP="00720597">
      <w:pPr>
        <w:spacing w:after="0" w:line="240" w:lineRule="auto"/>
        <w:jc w:val="both"/>
        <w:rPr>
          <w:rFonts w:cstheme="minorHAnsi"/>
        </w:rPr>
      </w:pPr>
      <w:r w:rsidRPr="00BA4348">
        <w:rPr>
          <w:rFonts w:cstheme="minorHAnsi"/>
        </w:rPr>
        <w:t xml:space="preserve">Rozpočet byl upraven usnesením č. 019-16/2021/RK ze dne 8. 4. 2021 (zapojení dotace z MPSV ČR do rozpočtu kapitoly 08 - Regionální rozvoj a převod finančních prostředků z kapitoly 23 – Ostatní na předfinancování </w:t>
      </w:r>
      <w:r>
        <w:rPr>
          <w:rFonts w:cstheme="minorHAnsi"/>
        </w:rPr>
        <w:br/>
      </w:r>
      <w:r w:rsidRPr="00BA4348">
        <w:rPr>
          <w:rFonts w:cstheme="minorHAnsi"/>
        </w:rPr>
        <w:t xml:space="preserve">a kofinancování projektů z EU/EHP) na částku 100 000,00 Kč. </w:t>
      </w:r>
    </w:p>
    <w:p w14:paraId="3992FD51" w14:textId="77777777" w:rsidR="00720597" w:rsidRPr="00BA4348" w:rsidRDefault="00720597" w:rsidP="00720597">
      <w:pPr>
        <w:spacing w:after="0" w:line="240" w:lineRule="auto"/>
        <w:jc w:val="both"/>
        <w:rPr>
          <w:rFonts w:cstheme="minorHAnsi"/>
        </w:rPr>
      </w:pPr>
      <w:r w:rsidRPr="00BA4348">
        <w:rPr>
          <w:rFonts w:cstheme="minorHAnsi"/>
        </w:rPr>
        <w:t xml:space="preserve">Finanční prostředky ve výši 73,4 % byly čerpány na úhradu mezd zaměstnanců v rámci projektu Středočeský kraj - efektivní region. </w:t>
      </w:r>
    </w:p>
    <w:p w14:paraId="570CD927" w14:textId="77777777" w:rsidR="00720597" w:rsidRPr="00BA4348" w:rsidRDefault="00720597" w:rsidP="00720597">
      <w:pPr>
        <w:spacing w:after="0" w:line="240" w:lineRule="auto"/>
        <w:jc w:val="both"/>
        <w:rPr>
          <w:rFonts w:cstheme="minorHAnsi"/>
          <w:b/>
        </w:rPr>
      </w:pPr>
    </w:p>
    <w:p w14:paraId="22F38702" w14:textId="77777777" w:rsidR="00720597" w:rsidRPr="00BA4348" w:rsidRDefault="00720597" w:rsidP="00720597">
      <w:pPr>
        <w:spacing w:after="0" w:line="240" w:lineRule="auto"/>
        <w:jc w:val="both"/>
        <w:rPr>
          <w:rFonts w:cstheme="minorHAnsi"/>
          <w:b/>
        </w:rPr>
      </w:pPr>
      <w:r w:rsidRPr="00BA4348">
        <w:rPr>
          <w:rFonts w:cstheme="minorHAnsi"/>
          <w:b/>
        </w:rPr>
        <w:t>§ 3636 – Zajištění činnosti Regionální stálé konference Středočeského kraje 2020 - 2022</w:t>
      </w:r>
    </w:p>
    <w:p w14:paraId="738F2965" w14:textId="175BFFB5" w:rsidR="00720597" w:rsidRPr="00BA4348" w:rsidRDefault="00720597" w:rsidP="00720597">
      <w:pPr>
        <w:spacing w:after="0" w:line="240" w:lineRule="auto"/>
        <w:jc w:val="both"/>
        <w:rPr>
          <w:rFonts w:cstheme="minorHAnsi"/>
        </w:rPr>
      </w:pPr>
      <w:r w:rsidRPr="00BA4348">
        <w:rPr>
          <w:rFonts w:cstheme="minorHAnsi"/>
        </w:rPr>
        <w:t>Rozpočet byl upraven usnesením č. 044-09/2021/RK ze dne 25. 2. 2021 (převod nevyčerpaných účelových finančních prostředků kapitoly 08 – Regionální rozvoj z roku 2020 do rozpočtu roku 2021) na částku 93 392,12 Kč a dále usnesením č. 011-15/2021/RK ze dne 1. 4. 2021 (převod finančních prostředků z kap</w:t>
      </w:r>
      <w:r w:rsidR="00A754CF">
        <w:rPr>
          <w:rFonts w:cstheme="minorHAnsi"/>
        </w:rPr>
        <w:t>itoly</w:t>
      </w:r>
      <w:r w:rsidRPr="00BA4348">
        <w:rPr>
          <w:rFonts w:cstheme="minorHAnsi"/>
        </w:rPr>
        <w:t xml:space="preserve"> 23 – Ostatní na předfinancování a kofinancování projektů z EU/EHP do rozpočtu kap</w:t>
      </w:r>
      <w:r w:rsidR="00A754CF">
        <w:rPr>
          <w:rFonts w:cstheme="minorHAnsi"/>
        </w:rPr>
        <w:t>itoly</w:t>
      </w:r>
      <w:r w:rsidRPr="00BA4348">
        <w:rPr>
          <w:rFonts w:cstheme="minorHAnsi"/>
        </w:rPr>
        <w:t xml:space="preserve"> 08 - Regionální rozvoj na financování projektu „Zajištění činnosti Regionální stálé konference pro území SK 2020 - 2022") na konečnou částku 193 392,12 Kč.</w:t>
      </w:r>
    </w:p>
    <w:p w14:paraId="56340771" w14:textId="77777777" w:rsidR="00720597" w:rsidRPr="00BA4348" w:rsidRDefault="00720597" w:rsidP="00720597">
      <w:pPr>
        <w:spacing w:after="0" w:line="240" w:lineRule="auto"/>
        <w:jc w:val="both"/>
        <w:rPr>
          <w:rFonts w:cstheme="minorHAnsi"/>
        </w:rPr>
      </w:pPr>
      <w:r w:rsidRPr="00BA4348">
        <w:rPr>
          <w:rFonts w:cstheme="minorHAnsi"/>
        </w:rPr>
        <w:t xml:space="preserve">Finanční prostředky ve výši 28,3 % byly čerpány na úhradu mezd zaměstnanců v rámci projektu Zajištění činnosti Regionální stálé konference Středočeského kraje 2020 – 2022, dále na vypracování oponentního posudku k vymezení </w:t>
      </w:r>
      <w:r w:rsidRPr="00BA4348">
        <w:t>hospodářsky a sociálně ohrožených území</w:t>
      </w:r>
      <w:r w:rsidRPr="00BA4348">
        <w:rPr>
          <w:rFonts w:cstheme="minorHAnsi"/>
        </w:rPr>
        <w:t xml:space="preserve"> ve Středočeském kraji a zajištění webhostingu. </w:t>
      </w:r>
    </w:p>
    <w:p w14:paraId="250E6EB7" w14:textId="77777777" w:rsidR="00720597" w:rsidRPr="00BA4348" w:rsidRDefault="00720597" w:rsidP="00720597">
      <w:pPr>
        <w:spacing w:after="0" w:line="240" w:lineRule="auto"/>
        <w:jc w:val="both"/>
        <w:rPr>
          <w:rFonts w:cstheme="minorHAnsi"/>
          <w:b/>
        </w:rPr>
      </w:pPr>
    </w:p>
    <w:p w14:paraId="35BA3534" w14:textId="77777777" w:rsidR="00720597" w:rsidRPr="00BA4348" w:rsidRDefault="00720597" w:rsidP="00720597">
      <w:pPr>
        <w:spacing w:after="0" w:line="240" w:lineRule="auto"/>
        <w:jc w:val="both"/>
        <w:rPr>
          <w:rFonts w:cstheme="minorHAnsi"/>
          <w:b/>
        </w:rPr>
      </w:pPr>
      <w:r w:rsidRPr="00BA4348">
        <w:rPr>
          <w:rFonts w:cstheme="minorHAnsi"/>
          <w:b/>
        </w:rPr>
        <w:t xml:space="preserve">§ 3636 – Optimalizace procesů a postupů KÚSK </w:t>
      </w:r>
    </w:p>
    <w:p w14:paraId="4397D3BF" w14:textId="77777777" w:rsidR="00720597" w:rsidRPr="00BA4348" w:rsidRDefault="00720597" w:rsidP="00720597">
      <w:pPr>
        <w:spacing w:after="0" w:line="240" w:lineRule="auto"/>
        <w:jc w:val="both"/>
        <w:rPr>
          <w:rFonts w:cstheme="minorHAnsi"/>
        </w:rPr>
      </w:pPr>
      <w:r w:rsidRPr="00BA4348">
        <w:rPr>
          <w:rFonts w:cstheme="minorHAnsi"/>
        </w:rPr>
        <w:t>Rozpočet byl upraven usnesením č. 044-09/2021/RK ze dne 25. 2. 2021 (převod nevyčerpaných účelových finančních prostředků kapitoly 08 – Regionální rozvoj z roku 2020 do rozpočtu roku 2021) na částku 25 427,91 Kč a dále usnesením č. 010-14/2021/RK ze dne 25. 3. 2021 (převod finančních prostředků z kapitoly 23 – Ostatní na předfinancování a kofinancování projektů z EU/EHP na financování projektu) na konečnou částku 529 437,91 Kč.</w:t>
      </w:r>
    </w:p>
    <w:p w14:paraId="32A327A5" w14:textId="5B2897F5" w:rsidR="00720597" w:rsidRPr="00BA4348" w:rsidRDefault="00720597" w:rsidP="00720597">
      <w:pPr>
        <w:spacing w:after="0" w:line="240" w:lineRule="auto"/>
        <w:jc w:val="both"/>
        <w:rPr>
          <w:rFonts w:cstheme="minorHAnsi"/>
        </w:rPr>
      </w:pPr>
      <w:r w:rsidRPr="00BA4348">
        <w:rPr>
          <w:rFonts w:cstheme="minorHAnsi"/>
        </w:rPr>
        <w:t>Finanční prostředky ve výši 97</w:t>
      </w:r>
      <w:r w:rsidR="00282825">
        <w:rPr>
          <w:rFonts w:cstheme="minorHAnsi"/>
        </w:rPr>
        <w:t>,0</w:t>
      </w:r>
      <w:r w:rsidRPr="00BA4348">
        <w:rPr>
          <w:rFonts w:cstheme="minorHAnsi"/>
        </w:rPr>
        <w:t xml:space="preserve"> % byly čerpány na úhradu mezd zaměstnanců v rámci projektu Optimalizace procesů a postupů KÚSK a dále na zajištění certifikačního procesu dle ČSN EN ISO/IEC 27001:2014 a na Zásobník SMART projektů/Chytrá brána – dokončení administrace webu, pokročilé vyhledávání obsahu projektů, uživatelská aplikace včetně roční licence - software pro vyhledávání a administraci. </w:t>
      </w:r>
    </w:p>
    <w:p w14:paraId="3834B5F1" w14:textId="77777777" w:rsidR="00720597" w:rsidRPr="00BA4348" w:rsidRDefault="00720597" w:rsidP="00720597">
      <w:pPr>
        <w:spacing w:after="0" w:line="240" w:lineRule="auto"/>
        <w:jc w:val="both"/>
        <w:rPr>
          <w:rFonts w:cstheme="minorHAnsi"/>
          <w:b/>
          <w:sz w:val="24"/>
          <w:szCs w:val="24"/>
          <w:u w:val="single"/>
        </w:rPr>
      </w:pPr>
    </w:p>
    <w:p w14:paraId="59349F96" w14:textId="77777777" w:rsidR="00720597" w:rsidRPr="00BA4348" w:rsidRDefault="00720597" w:rsidP="00720597">
      <w:pPr>
        <w:spacing w:after="0" w:line="240" w:lineRule="auto"/>
        <w:jc w:val="both"/>
        <w:rPr>
          <w:rFonts w:cstheme="minorHAnsi"/>
          <w:b/>
          <w:sz w:val="24"/>
          <w:szCs w:val="24"/>
          <w:u w:val="single"/>
        </w:rPr>
      </w:pPr>
    </w:p>
    <w:p w14:paraId="52DB30CE" w14:textId="77777777" w:rsidR="00720597" w:rsidRPr="00BA4348" w:rsidRDefault="00720597" w:rsidP="00720597">
      <w:pPr>
        <w:spacing w:after="0" w:line="240" w:lineRule="auto"/>
        <w:jc w:val="both"/>
        <w:rPr>
          <w:rFonts w:cstheme="minorHAnsi"/>
          <w:sz w:val="24"/>
          <w:szCs w:val="24"/>
          <w:u w:val="single"/>
        </w:rPr>
      </w:pPr>
      <w:r w:rsidRPr="00BA4348">
        <w:rPr>
          <w:rFonts w:cstheme="minorHAnsi"/>
          <w:b/>
          <w:sz w:val="24"/>
          <w:szCs w:val="24"/>
          <w:u w:val="single"/>
        </w:rPr>
        <w:t>Dotace ze státního rozpočtu a ostatních veřejných rozpočtů</w:t>
      </w:r>
    </w:p>
    <w:p w14:paraId="3DEC3D95" w14:textId="77777777" w:rsidR="00720597" w:rsidRPr="00BA4348" w:rsidRDefault="00720597" w:rsidP="00720597">
      <w:pPr>
        <w:spacing w:after="0" w:line="240" w:lineRule="auto"/>
        <w:jc w:val="both"/>
        <w:rPr>
          <w:rFonts w:cstheme="minorHAnsi"/>
        </w:rPr>
      </w:pPr>
    </w:p>
    <w:p w14:paraId="2B034270" w14:textId="77777777" w:rsidR="00720597" w:rsidRPr="00BA4348" w:rsidRDefault="00720597" w:rsidP="00720597">
      <w:pPr>
        <w:spacing w:after="0" w:line="240" w:lineRule="auto"/>
        <w:rPr>
          <w:rFonts w:cstheme="minorHAnsi"/>
        </w:rPr>
      </w:pPr>
      <w:r w:rsidRPr="00BA4348">
        <w:rPr>
          <w:rFonts w:cstheme="minorHAnsi"/>
          <w:b/>
        </w:rPr>
        <w:t>§ 2510 – Smart Akcelerátor II (UZ 33062)</w:t>
      </w:r>
    </w:p>
    <w:p w14:paraId="37189D34" w14:textId="77777777" w:rsidR="00720597" w:rsidRPr="00BA4348" w:rsidRDefault="00720597" w:rsidP="00720597">
      <w:pPr>
        <w:spacing w:after="0" w:line="240" w:lineRule="auto"/>
        <w:jc w:val="both"/>
        <w:rPr>
          <w:rFonts w:cstheme="minorHAnsi"/>
        </w:rPr>
      </w:pPr>
      <w:r w:rsidRPr="00BA4348">
        <w:rPr>
          <w:rFonts w:cstheme="minorHAnsi"/>
        </w:rPr>
        <w:t>Rozpočet byl upraven usnesením č. 044-09/2021/RK ze dne 25. 2. 2021 (převod nevyčerpaných účelových finančních prostředků kapitoly 08 – Regionální rozvoj z roku 2020 do rozpočtu roku 2021</w:t>
      </w:r>
      <w:r w:rsidRPr="00BA4348">
        <w:rPr>
          <w:rFonts w:ascii="Calibri" w:eastAsia="Calibri" w:hAnsi="Calibri" w:cs="Times New Roman"/>
          <w:bCs/>
          <w:szCs w:val="24"/>
        </w:rPr>
        <w:t>)</w:t>
      </w:r>
      <w:r w:rsidRPr="00BA4348">
        <w:rPr>
          <w:rFonts w:cstheme="minorHAnsi"/>
        </w:rPr>
        <w:t xml:space="preserve"> na částku 5 076 849,49 Kč. Dále byl rozpočet upraven usnesením č. 006-17/2021/RK ze dne 15. 4. 2021 – převod finančních prostředků z kapitoly 08 – Regionální rozvoj do kapitoly 09 – Evropská integrace na částku 148 061,82 Kč. Jednalo se o převod finančních prostředků z Odboru regionálního rozvoje do kapitoly 09 - Evropská integrace, z důvodu převodu agendy na základě </w:t>
      </w:r>
      <w:r w:rsidRPr="00BA4348">
        <w:rPr>
          <w:rFonts w:cstheme="minorHAnsi"/>
        </w:rPr>
        <w:lastRenderedPageBreak/>
        <w:t>Opatření ředitele Krajského úřadu Středočeského kraje č. 3/2021, kterým se mění Organizační řád Krajského úřadu Středočeského kraje s účinností dne 1. 4. 2021.</w:t>
      </w:r>
    </w:p>
    <w:p w14:paraId="4653978D" w14:textId="0C4C7F1C" w:rsidR="00720597" w:rsidRPr="00BA4348" w:rsidRDefault="00720597" w:rsidP="00720597">
      <w:pPr>
        <w:spacing w:after="0" w:line="240" w:lineRule="auto"/>
        <w:jc w:val="both"/>
        <w:rPr>
          <w:rFonts w:cstheme="minorHAnsi"/>
        </w:rPr>
      </w:pPr>
      <w:r w:rsidRPr="00BA4348">
        <w:rPr>
          <w:rFonts w:cstheme="minorHAnsi"/>
        </w:rPr>
        <w:t>Finanční prostředky ve výši 100</w:t>
      </w:r>
      <w:r w:rsidR="00282825">
        <w:rPr>
          <w:rFonts w:cstheme="minorHAnsi"/>
        </w:rPr>
        <w:t>,0</w:t>
      </w:r>
      <w:r w:rsidRPr="00BA4348">
        <w:rPr>
          <w:rFonts w:cstheme="minorHAnsi"/>
        </w:rPr>
        <w:t xml:space="preserve"> % byly čerpány na úhradu mezd zaměstnanců v rámci projektu Smart </w:t>
      </w:r>
      <w:r w:rsidRPr="00BA4348">
        <w:rPr>
          <w:rFonts w:cstheme="minorHAnsi"/>
        </w:rPr>
        <w:br/>
        <w:t xml:space="preserve">Akcelerátor II ve Středočeském kraji. </w:t>
      </w:r>
    </w:p>
    <w:p w14:paraId="0FE9D6E4" w14:textId="77777777" w:rsidR="00720597" w:rsidRPr="00BA4348" w:rsidRDefault="00720597" w:rsidP="00720597">
      <w:pPr>
        <w:spacing w:after="0" w:line="240" w:lineRule="auto"/>
        <w:jc w:val="both"/>
        <w:rPr>
          <w:rFonts w:cstheme="minorHAnsi"/>
        </w:rPr>
      </w:pPr>
    </w:p>
    <w:p w14:paraId="18E59411" w14:textId="77777777" w:rsidR="00720597" w:rsidRPr="00BA4348" w:rsidRDefault="00720597" w:rsidP="00720597">
      <w:pPr>
        <w:spacing w:after="0" w:line="240" w:lineRule="auto"/>
        <w:jc w:val="both"/>
        <w:rPr>
          <w:rFonts w:cstheme="minorHAnsi"/>
        </w:rPr>
      </w:pPr>
      <w:r w:rsidRPr="00BA4348">
        <w:rPr>
          <w:rFonts w:cstheme="minorHAnsi"/>
          <w:b/>
        </w:rPr>
        <w:t>§ 3636 – Středočeský kraj – efektivní region (UZ 13013)</w:t>
      </w:r>
    </w:p>
    <w:p w14:paraId="3A6DFC3C" w14:textId="77777777" w:rsidR="00720597" w:rsidRPr="00BA4348" w:rsidRDefault="00720597" w:rsidP="00720597">
      <w:pPr>
        <w:spacing w:after="0" w:line="240" w:lineRule="auto"/>
        <w:jc w:val="both"/>
        <w:rPr>
          <w:rFonts w:cstheme="minorHAnsi"/>
        </w:rPr>
      </w:pPr>
      <w:r w:rsidRPr="00BA4348">
        <w:rPr>
          <w:rFonts w:cstheme="minorHAnsi"/>
        </w:rPr>
        <w:t xml:space="preserve">Rozpočet byl upraven usnesením č. 019-16/2021/RK ze dne 8. 4. 2021 (zapojení dotace z MPSV ČR do rozpočtu kapitoly 08 - Regionální rozvoj a převod finančních prostředků z kapitoly 23 – Ostatní na předfinancování a kofinancování projektů z EU/EHP) na částku 2 478 207,52 Kč a usnesením č. 020-45/2021/RK ze dne 2.12.2021– zapojení dotace z MPSV ČR do rozpočtu kapitoly na konečnou částku 2 840 204,50 Kč. </w:t>
      </w:r>
    </w:p>
    <w:p w14:paraId="28725C25" w14:textId="77777777" w:rsidR="00720597" w:rsidRPr="00BA4348" w:rsidRDefault="00720597" w:rsidP="00720597">
      <w:pPr>
        <w:spacing w:after="0" w:line="240" w:lineRule="auto"/>
        <w:jc w:val="both"/>
        <w:rPr>
          <w:rFonts w:cstheme="minorHAnsi"/>
        </w:rPr>
      </w:pPr>
      <w:r w:rsidRPr="00BA4348">
        <w:rPr>
          <w:rFonts w:cstheme="minorHAnsi"/>
        </w:rPr>
        <w:t xml:space="preserve">Finanční prostředky ve výši 49,1 % byly čerpány na úhradu mezd zaměstnanců v rámci projektu Středočeský kraj -  efektivní region. </w:t>
      </w:r>
    </w:p>
    <w:p w14:paraId="4645C2D2" w14:textId="77777777" w:rsidR="00720597" w:rsidRPr="00BA4348" w:rsidRDefault="00720597" w:rsidP="00720597">
      <w:pPr>
        <w:spacing w:after="0" w:line="240" w:lineRule="auto"/>
        <w:jc w:val="both"/>
        <w:rPr>
          <w:rFonts w:cstheme="minorHAnsi"/>
          <w:b/>
        </w:rPr>
      </w:pPr>
    </w:p>
    <w:p w14:paraId="7D4FC1C9" w14:textId="77777777" w:rsidR="00720597" w:rsidRPr="00FE7BC9" w:rsidRDefault="00720597" w:rsidP="00720597">
      <w:pPr>
        <w:spacing w:after="0" w:line="240" w:lineRule="auto"/>
        <w:rPr>
          <w:rFonts w:cstheme="minorHAnsi"/>
          <w:b/>
        </w:rPr>
      </w:pPr>
      <w:r w:rsidRPr="00FE7BC9">
        <w:rPr>
          <w:rFonts w:cstheme="minorHAnsi"/>
          <w:b/>
        </w:rPr>
        <w:t>§ 3636 – Optimalizace procesů a postupů KÚSK (UZ 13013)</w:t>
      </w:r>
    </w:p>
    <w:p w14:paraId="77CA3181" w14:textId="77777777" w:rsidR="00720597" w:rsidRPr="00BA4348" w:rsidRDefault="00720597" w:rsidP="00720597">
      <w:pPr>
        <w:spacing w:after="0" w:line="240" w:lineRule="auto"/>
        <w:jc w:val="both"/>
        <w:rPr>
          <w:rFonts w:cstheme="minorHAnsi"/>
        </w:rPr>
      </w:pPr>
      <w:r w:rsidRPr="00BA4348">
        <w:rPr>
          <w:rFonts w:cstheme="minorHAnsi"/>
        </w:rPr>
        <w:t xml:space="preserve">Rozpočet byl upraven usnesením č. 044-09/2021/RK ze dne 25. 2. 2021 (převod nevyčerpaných účelových finančních prostředků kapitoly 08 – Regionální rozvoj z roku 2020 do rozpočtu roku 2021) na částku </w:t>
      </w:r>
      <w:r>
        <w:rPr>
          <w:rFonts w:cstheme="minorHAnsi"/>
        </w:rPr>
        <w:br/>
      </w:r>
      <w:r w:rsidRPr="00BA4348">
        <w:rPr>
          <w:rFonts w:cstheme="minorHAnsi"/>
        </w:rPr>
        <w:t>279 656,00 Kč.</w:t>
      </w:r>
    </w:p>
    <w:p w14:paraId="22DA1AE0" w14:textId="5330EFF6" w:rsidR="00720597" w:rsidRPr="00BA4348" w:rsidRDefault="00720597" w:rsidP="00720597">
      <w:pPr>
        <w:spacing w:after="0" w:line="240" w:lineRule="auto"/>
        <w:jc w:val="both"/>
        <w:rPr>
          <w:rFonts w:cstheme="minorHAnsi"/>
        </w:rPr>
      </w:pPr>
      <w:r w:rsidRPr="00BA4348">
        <w:rPr>
          <w:rFonts w:cstheme="minorHAnsi"/>
        </w:rPr>
        <w:t>Finanční prostředky ve výši 100</w:t>
      </w:r>
      <w:r w:rsidR="00282825">
        <w:rPr>
          <w:rFonts w:cstheme="minorHAnsi"/>
        </w:rPr>
        <w:t>,0</w:t>
      </w:r>
      <w:r w:rsidRPr="00BA4348">
        <w:rPr>
          <w:rFonts w:cstheme="minorHAnsi"/>
        </w:rPr>
        <w:t xml:space="preserve"> % byly čerpány na úhradu mezd zaměstnanců v rámci projektu Optimalizace procesů a postupů KÚSK, dále na zajištění certifikačního procesu dle ČSN EN ISO/IEC 27001:2014 a na Zásobník SMART projektů/Chytrá brána – dokončení administrace webu, pokročilé vyhledávání obsahu projektů, uživatelská aplikace včetně roční licence - software pro vyhledávání a administraci.</w:t>
      </w:r>
    </w:p>
    <w:p w14:paraId="2445C457" w14:textId="77777777" w:rsidR="00720597" w:rsidRPr="00BA4348" w:rsidRDefault="00720597" w:rsidP="00720597">
      <w:pPr>
        <w:spacing w:after="0" w:line="240" w:lineRule="auto"/>
        <w:jc w:val="both"/>
        <w:rPr>
          <w:rFonts w:cstheme="minorHAnsi"/>
          <w:b/>
        </w:rPr>
      </w:pPr>
    </w:p>
    <w:p w14:paraId="238A0397" w14:textId="77777777" w:rsidR="00720597" w:rsidRPr="0050696A" w:rsidRDefault="00720597" w:rsidP="00720597">
      <w:pPr>
        <w:spacing w:after="0" w:line="240" w:lineRule="auto"/>
        <w:rPr>
          <w:rFonts w:cstheme="minorHAnsi"/>
          <w:b/>
        </w:rPr>
      </w:pPr>
      <w:r w:rsidRPr="0050696A">
        <w:rPr>
          <w:rFonts w:cstheme="minorHAnsi"/>
          <w:b/>
        </w:rPr>
        <w:t>§ 3636 – Zajištění činnosti Regionální stálé konference Středočeského kraje 2020 – 2022 (UZ 17017, UZ 17018)</w:t>
      </w:r>
    </w:p>
    <w:p w14:paraId="00B8845D" w14:textId="604FD470" w:rsidR="00720597" w:rsidRPr="00BA4348" w:rsidRDefault="00720597" w:rsidP="00720597">
      <w:pPr>
        <w:spacing w:after="0" w:line="240" w:lineRule="auto"/>
        <w:jc w:val="both"/>
        <w:rPr>
          <w:rFonts w:cstheme="minorHAnsi"/>
        </w:rPr>
      </w:pPr>
      <w:r w:rsidRPr="0050696A">
        <w:rPr>
          <w:rFonts w:cstheme="minorHAnsi"/>
        </w:rPr>
        <w:t>Rozpočet byl upraven usnesením č. 044-09/2021/RK ze dne 25. 2. 2021 (převod nevyčerpaných účelových finančních prostředků kapitoly 08 – Regionální rozvoj z roku 2020 do rozpočtu roku 2021) na částku 1 043 678,92 Kč, dále navýšen usneseními č. 017-23/2021/RK ze dne 27. 5. 2021 a 010-46/2021/RK ze dne 9.12.2021</w:t>
      </w:r>
      <w:r w:rsidR="00282825">
        <w:rPr>
          <w:rFonts w:cstheme="minorHAnsi"/>
        </w:rPr>
        <w:t>,</w:t>
      </w:r>
      <w:r w:rsidRPr="0050696A">
        <w:rPr>
          <w:rFonts w:cstheme="minorHAnsi"/>
        </w:rPr>
        <w:t xml:space="preserve"> </w:t>
      </w:r>
      <w:r w:rsidR="00282825">
        <w:rPr>
          <w:rFonts w:cstheme="minorHAnsi"/>
        </w:rPr>
        <w:t>j</w:t>
      </w:r>
      <w:r w:rsidRPr="0050696A">
        <w:rPr>
          <w:rFonts w:cstheme="minorHAnsi"/>
        </w:rPr>
        <w:t>ednalo se o zapojením dotací ve výši 1 076 </w:t>
      </w:r>
      <w:r w:rsidR="0050696A" w:rsidRPr="0050696A">
        <w:rPr>
          <w:rFonts w:cstheme="minorHAnsi"/>
        </w:rPr>
        <w:t>59</w:t>
      </w:r>
      <w:r w:rsidRPr="0050696A">
        <w:rPr>
          <w:rFonts w:cstheme="minorHAnsi"/>
        </w:rPr>
        <w:t>0,50 Kč a 994 036,41 Kč z Ministerstva pro místní rozvoj ČR do rozpočtu kapitoly) na konečnou částku 3 114 305,83 Kč.</w:t>
      </w:r>
      <w:r w:rsidRPr="00BA4348">
        <w:rPr>
          <w:rFonts w:cstheme="minorHAnsi"/>
        </w:rPr>
        <w:t xml:space="preserve"> </w:t>
      </w:r>
    </w:p>
    <w:p w14:paraId="41BA825B" w14:textId="77777777" w:rsidR="00720597" w:rsidRPr="00BA4348" w:rsidRDefault="00720597" w:rsidP="00720597">
      <w:pPr>
        <w:spacing w:after="0" w:line="240" w:lineRule="auto"/>
        <w:jc w:val="both"/>
        <w:rPr>
          <w:rFonts w:cstheme="minorHAnsi"/>
          <w:b/>
        </w:rPr>
      </w:pPr>
      <w:r w:rsidRPr="00BA4348">
        <w:rPr>
          <w:rFonts w:cstheme="minorHAnsi"/>
        </w:rPr>
        <w:t xml:space="preserve">Finanční prostředky ve výši 71,5 % byly čerpány na úhradu mezd zaměstnanců v rámci projektu Zajištění činnosti Regionální stálé konference Středočeského kraje 2020 – 2022, dále na vypracování oponentního posudku k vymezení </w:t>
      </w:r>
      <w:r w:rsidRPr="00BA4348">
        <w:t>hospodářsky a sociálně ohrožených území</w:t>
      </w:r>
      <w:r w:rsidRPr="00BA4348">
        <w:rPr>
          <w:rFonts w:cstheme="minorHAnsi"/>
        </w:rPr>
        <w:t xml:space="preserve"> ve Středočeském kraji a zajištění webhostingu.</w:t>
      </w:r>
    </w:p>
    <w:p w14:paraId="2B27BB19" w14:textId="23CB1272" w:rsidR="00720597" w:rsidRDefault="00720597" w:rsidP="00720597">
      <w:pPr>
        <w:spacing w:after="0" w:line="240" w:lineRule="auto"/>
        <w:jc w:val="both"/>
        <w:rPr>
          <w:rFonts w:cstheme="minorHAnsi"/>
        </w:rPr>
      </w:pPr>
    </w:p>
    <w:p w14:paraId="578B0E0E" w14:textId="24E046C3" w:rsidR="00DA4AA1" w:rsidRPr="00BA4348" w:rsidRDefault="00DA4AA1" w:rsidP="00DA4AA1">
      <w:pPr>
        <w:pStyle w:val="Default"/>
        <w:jc w:val="both"/>
        <w:rPr>
          <w:rFonts w:asciiTheme="minorHAnsi" w:hAnsiTheme="minorHAnsi" w:cstheme="minorHAnsi"/>
          <w:b/>
          <w:bCs/>
          <w:color w:val="auto"/>
          <w:sz w:val="22"/>
          <w:szCs w:val="22"/>
        </w:rPr>
      </w:pPr>
      <w:r w:rsidRPr="00BA4348">
        <w:rPr>
          <w:rFonts w:asciiTheme="minorHAnsi" w:hAnsiTheme="minorHAnsi" w:cstheme="minorHAnsi"/>
          <w:b/>
          <w:bCs/>
          <w:color w:val="auto"/>
          <w:sz w:val="22"/>
          <w:szCs w:val="22"/>
        </w:rPr>
        <w:t xml:space="preserve">§ 3771 – Protiradonová opatření </w:t>
      </w:r>
      <w:r w:rsidR="000C7B12">
        <w:rPr>
          <w:rFonts w:asciiTheme="minorHAnsi" w:hAnsiTheme="minorHAnsi" w:cstheme="minorHAnsi"/>
          <w:b/>
          <w:bCs/>
          <w:color w:val="auto"/>
          <w:sz w:val="22"/>
          <w:szCs w:val="22"/>
        </w:rPr>
        <w:t>(UZ 98035)</w:t>
      </w:r>
    </w:p>
    <w:p w14:paraId="0CA7233A" w14:textId="77777777" w:rsidR="00DA4AA1" w:rsidRPr="004D5F33" w:rsidRDefault="00DA4AA1" w:rsidP="00DA4AA1">
      <w:pPr>
        <w:pStyle w:val="Default"/>
        <w:jc w:val="both"/>
        <w:rPr>
          <w:rFonts w:ascii="Calibri" w:hAnsi="Calibri" w:cstheme="minorHAnsi"/>
          <w:color w:val="auto"/>
          <w:sz w:val="22"/>
          <w:szCs w:val="22"/>
        </w:rPr>
      </w:pPr>
      <w:r w:rsidRPr="004D5F33">
        <w:rPr>
          <w:rFonts w:ascii="Calibri" w:hAnsi="Calibri" w:cstheme="minorHAnsi"/>
          <w:color w:val="auto"/>
          <w:sz w:val="22"/>
          <w:szCs w:val="22"/>
        </w:rPr>
        <w:t>Finanční prostředky ve výši 100</w:t>
      </w:r>
      <w:r>
        <w:rPr>
          <w:rFonts w:ascii="Calibri" w:hAnsi="Calibri" w:cstheme="minorHAnsi"/>
          <w:color w:val="auto"/>
          <w:sz w:val="22"/>
          <w:szCs w:val="22"/>
        </w:rPr>
        <w:t>,0</w:t>
      </w:r>
      <w:r w:rsidRPr="004D5F33">
        <w:rPr>
          <w:rFonts w:ascii="Calibri" w:hAnsi="Calibri" w:cstheme="minorHAnsi"/>
          <w:color w:val="auto"/>
          <w:sz w:val="22"/>
          <w:szCs w:val="22"/>
        </w:rPr>
        <w:t xml:space="preserve"> % byly čerpány na poskytnutí dotace ze státního rozpočtu na úhradu kontrolních </w:t>
      </w:r>
      <w:r w:rsidRPr="004D5F33">
        <w:rPr>
          <w:rFonts w:ascii="Calibri" w:hAnsi="Calibri" w:cstheme="minorHAnsi"/>
          <w:color w:val="auto"/>
          <w:sz w:val="22"/>
          <w:szCs w:val="22"/>
        </w:rPr>
        <w:br/>
        <w:t>a závěrečných měření prokazujících účinnost provedených protiradonových opatření. Jednalo se o průtokový transfer, poskytnutý z Ministerstva financí ČR.</w:t>
      </w:r>
    </w:p>
    <w:p w14:paraId="408F610D" w14:textId="77777777" w:rsidR="00DA4AA1" w:rsidRPr="00BA4348" w:rsidRDefault="00DA4AA1" w:rsidP="00720597">
      <w:pPr>
        <w:spacing w:after="0" w:line="240" w:lineRule="auto"/>
        <w:jc w:val="both"/>
        <w:rPr>
          <w:rFonts w:cstheme="minorHAnsi"/>
        </w:rPr>
      </w:pPr>
    </w:p>
    <w:p w14:paraId="2E416B73" w14:textId="77777777" w:rsidR="00720597" w:rsidRPr="00BA4348" w:rsidRDefault="00720597" w:rsidP="00720597">
      <w:pPr>
        <w:spacing w:after="0" w:line="240" w:lineRule="auto"/>
        <w:jc w:val="both"/>
        <w:rPr>
          <w:rFonts w:cstheme="minorHAnsi"/>
        </w:rPr>
      </w:pPr>
    </w:p>
    <w:p w14:paraId="1EC3EB8D" w14:textId="77777777" w:rsidR="00720597" w:rsidRPr="00BA4348" w:rsidRDefault="00720597" w:rsidP="00720597">
      <w:pPr>
        <w:spacing w:after="0" w:line="240" w:lineRule="auto"/>
        <w:jc w:val="both"/>
        <w:rPr>
          <w:rFonts w:cstheme="minorHAnsi"/>
        </w:rPr>
      </w:pPr>
    </w:p>
    <w:tbl>
      <w:tblPr>
        <w:tblW w:w="10632" w:type="dxa"/>
        <w:tblLayout w:type="fixed"/>
        <w:tblCellMar>
          <w:left w:w="70" w:type="dxa"/>
          <w:right w:w="70" w:type="dxa"/>
        </w:tblCellMar>
        <w:tblLook w:val="04A0" w:firstRow="1" w:lastRow="0" w:firstColumn="1" w:lastColumn="0" w:noHBand="0" w:noVBand="1"/>
      </w:tblPr>
      <w:tblGrid>
        <w:gridCol w:w="826"/>
        <w:gridCol w:w="4136"/>
        <w:gridCol w:w="1559"/>
        <w:gridCol w:w="1701"/>
        <w:gridCol w:w="1701"/>
        <w:gridCol w:w="709"/>
      </w:tblGrid>
      <w:tr w:rsidR="00720597" w:rsidRPr="00BA4348" w14:paraId="32349C43" w14:textId="77777777" w:rsidTr="0026360D">
        <w:trPr>
          <w:trHeight w:val="300"/>
        </w:trPr>
        <w:tc>
          <w:tcPr>
            <w:tcW w:w="826" w:type="dxa"/>
            <w:tcBorders>
              <w:top w:val="nil"/>
              <w:left w:val="nil"/>
              <w:bottom w:val="nil"/>
              <w:right w:val="nil"/>
            </w:tcBorders>
            <w:shd w:val="clear" w:color="auto" w:fill="auto"/>
            <w:noWrap/>
            <w:vAlign w:val="bottom"/>
            <w:hideMark/>
          </w:tcPr>
          <w:p w14:paraId="58F6D91B" w14:textId="77777777" w:rsidR="00720597" w:rsidRPr="00BA4348" w:rsidRDefault="00720597" w:rsidP="0026360D">
            <w:pPr>
              <w:rPr>
                <w:rFonts w:ascii="Calibri" w:eastAsia="Times New Roman" w:hAnsi="Calibri" w:cs="Calibri"/>
                <w:b/>
                <w:bCs/>
                <w:lang w:eastAsia="cs-CZ"/>
              </w:rPr>
            </w:pPr>
          </w:p>
        </w:tc>
        <w:tc>
          <w:tcPr>
            <w:tcW w:w="4136" w:type="dxa"/>
            <w:tcBorders>
              <w:top w:val="nil"/>
              <w:left w:val="nil"/>
              <w:bottom w:val="nil"/>
              <w:right w:val="nil"/>
            </w:tcBorders>
            <w:shd w:val="clear" w:color="auto" w:fill="auto"/>
            <w:noWrap/>
            <w:vAlign w:val="bottom"/>
            <w:hideMark/>
          </w:tcPr>
          <w:p w14:paraId="10F3C06C" w14:textId="77777777" w:rsidR="00720597" w:rsidRPr="00BA4348" w:rsidRDefault="00720597" w:rsidP="0026360D">
            <w:pPr>
              <w:spacing w:after="0" w:line="240" w:lineRule="auto"/>
              <w:rPr>
                <w:rFonts w:ascii="Times New Roman" w:eastAsia="Times New Roman" w:hAnsi="Times New Roman" w:cs="Times New Roman"/>
                <w:sz w:val="20"/>
                <w:szCs w:val="20"/>
                <w:lang w:eastAsia="cs-CZ"/>
              </w:rPr>
            </w:pPr>
          </w:p>
        </w:tc>
        <w:tc>
          <w:tcPr>
            <w:tcW w:w="1559" w:type="dxa"/>
            <w:tcBorders>
              <w:top w:val="nil"/>
              <w:left w:val="nil"/>
              <w:bottom w:val="nil"/>
              <w:right w:val="nil"/>
            </w:tcBorders>
            <w:shd w:val="clear" w:color="auto" w:fill="auto"/>
            <w:noWrap/>
            <w:vAlign w:val="bottom"/>
            <w:hideMark/>
          </w:tcPr>
          <w:p w14:paraId="72299A04" w14:textId="77777777" w:rsidR="00720597" w:rsidRPr="00BA4348" w:rsidRDefault="00720597" w:rsidP="0026360D">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410680CB" w14:textId="77777777" w:rsidR="00720597" w:rsidRPr="00BA4348" w:rsidRDefault="00720597" w:rsidP="0026360D">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3187B09B" w14:textId="77777777" w:rsidR="00720597" w:rsidRPr="00BA4348" w:rsidRDefault="00720597" w:rsidP="0026360D">
            <w:pPr>
              <w:spacing w:after="0" w:line="240" w:lineRule="auto"/>
              <w:rPr>
                <w:rFonts w:ascii="Times New Roman" w:eastAsia="Times New Roman" w:hAnsi="Times New Roman" w:cs="Times New Roman"/>
                <w:sz w:val="20"/>
                <w:szCs w:val="20"/>
                <w:lang w:eastAsia="cs-CZ"/>
              </w:rPr>
            </w:pPr>
          </w:p>
        </w:tc>
        <w:tc>
          <w:tcPr>
            <w:tcW w:w="709" w:type="dxa"/>
            <w:tcBorders>
              <w:top w:val="nil"/>
              <w:left w:val="nil"/>
              <w:bottom w:val="nil"/>
              <w:right w:val="nil"/>
            </w:tcBorders>
            <w:shd w:val="clear" w:color="auto" w:fill="auto"/>
            <w:noWrap/>
            <w:vAlign w:val="bottom"/>
            <w:hideMark/>
          </w:tcPr>
          <w:p w14:paraId="3D8F0160" w14:textId="77777777" w:rsidR="00720597" w:rsidRPr="00BA4348" w:rsidRDefault="00720597" w:rsidP="0026360D">
            <w:pPr>
              <w:spacing w:after="0" w:line="240" w:lineRule="auto"/>
              <w:rPr>
                <w:rFonts w:ascii="Times New Roman" w:eastAsia="Times New Roman" w:hAnsi="Times New Roman" w:cs="Times New Roman"/>
                <w:sz w:val="20"/>
                <w:szCs w:val="20"/>
                <w:lang w:eastAsia="cs-CZ"/>
              </w:rPr>
            </w:pPr>
          </w:p>
        </w:tc>
      </w:tr>
    </w:tbl>
    <w:p w14:paraId="275B8EC2" w14:textId="77777777" w:rsidR="00720597" w:rsidRPr="00BA4348" w:rsidRDefault="00720597" w:rsidP="00720597">
      <w:pPr>
        <w:spacing w:after="0" w:line="240" w:lineRule="auto"/>
        <w:rPr>
          <w:rFonts w:cstheme="minorHAnsi"/>
        </w:rPr>
      </w:pPr>
    </w:p>
    <w:p w14:paraId="4D179969" w14:textId="1D6539D2" w:rsidR="00256A12" w:rsidRDefault="00256A12" w:rsidP="0013179B">
      <w:pPr>
        <w:rPr>
          <w:rFonts w:cs="Calibri"/>
        </w:rPr>
      </w:pPr>
    </w:p>
    <w:p w14:paraId="4F67FD9D" w14:textId="63793F15" w:rsidR="00256A12" w:rsidRDefault="00256A12" w:rsidP="0013179B">
      <w:pPr>
        <w:rPr>
          <w:rFonts w:cs="Calibri"/>
        </w:rPr>
      </w:pPr>
    </w:p>
    <w:p w14:paraId="3D75FAAC" w14:textId="721E5D7E" w:rsidR="00256A12" w:rsidRDefault="00256A12" w:rsidP="0013179B">
      <w:pPr>
        <w:rPr>
          <w:rFonts w:cs="Calibri"/>
        </w:rPr>
      </w:pPr>
    </w:p>
    <w:p w14:paraId="11F58FC8" w14:textId="14999971" w:rsidR="00256A12" w:rsidRDefault="00256A12" w:rsidP="0013179B">
      <w:pPr>
        <w:rPr>
          <w:rFonts w:cs="Calibri"/>
        </w:rPr>
      </w:pPr>
    </w:p>
    <w:p w14:paraId="63A036DA" w14:textId="146528E2" w:rsidR="00256A12" w:rsidRDefault="00256A12" w:rsidP="0013179B">
      <w:pPr>
        <w:rPr>
          <w:rFonts w:cs="Calibri"/>
        </w:rPr>
      </w:pPr>
    </w:p>
    <w:p w14:paraId="07DE17DC" w14:textId="6E45F769" w:rsidR="00256A12" w:rsidRDefault="00256A12" w:rsidP="0013179B">
      <w:pPr>
        <w:rPr>
          <w:rFonts w:cs="Calibri"/>
        </w:rPr>
      </w:pPr>
    </w:p>
    <w:p w14:paraId="0D316298" w14:textId="3AA026FA" w:rsidR="00256A12" w:rsidRDefault="00256A12" w:rsidP="0013179B">
      <w:pPr>
        <w:rPr>
          <w:rFonts w:cs="Calibri"/>
        </w:rPr>
      </w:pPr>
    </w:p>
    <w:tbl>
      <w:tblPr>
        <w:tblW w:w="10773" w:type="dxa"/>
        <w:tblLayout w:type="fixed"/>
        <w:tblCellMar>
          <w:left w:w="70" w:type="dxa"/>
          <w:right w:w="70" w:type="dxa"/>
        </w:tblCellMar>
        <w:tblLook w:val="04A0" w:firstRow="1" w:lastRow="0" w:firstColumn="1" w:lastColumn="0" w:noHBand="0" w:noVBand="1"/>
      </w:tblPr>
      <w:tblGrid>
        <w:gridCol w:w="851"/>
        <w:gridCol w:w="4235"/>
        <w:gridCol w:w="1293"/>
        <w:gridCol w:w="1701"/>
        <w:gridCol w:w="1559"/>
        <w:gridCol w:w="1134"/>
      </w:tblGrid>
      <w:tr w:rsidR="0072554E" w:rsidRPr="0072554E" w14:paraId="0566F3AA" w14:textId="77777777" w:rsidTr="009E7CFC">
        <w:trPr>
          <w:trHeight w:val="403"/>
        </w:trPr>
        <w:tc>
          <w:tcPr>
            <w:tcW w:w="10773" w:type="dxa"/>
            <w:gridSpan w:val="6"/>
            <w:tcBorders>
              <w:top w:val="nil"/>
              <w:bottom w:val="nil"/>
              <w:right w:val="nil"/>
            </w:tcBorders>
            <w:shd w:val="clear" w:color="auto" w:fill="auto"/>
            <w:noWrap/>
            <w:vAlign w:val="bottom"/>
            <w:hideMark/>
          </w:tcPr>
          <w:p w14:paraId="4C9B85C0" w14:textId="77777777" w:rsidR="0072554E" w:rsidRPr="0072554E" w:rsidRDefault="0072554E" w:rsidP="0072554E">
            <w:pPr>
              <w:spacing w:after="0" w:line="240" w:lineRule="auto"/>
              <w:jc w:val="center"/>
              <w:rPr>
                <w:rFonts w:ascii="Calibri" w:eastAsia="Times New Roman" w:hAnsi="Calibri" w:cs="Arial"/>
                <w:b/>
                <w:bCs/>
                <w:sz w:val="28"/>
                <w:szCs w:val="28"/>
                <w:lang w:eastAsia="cs-CZ"/>
              </w:rPr>
            </w:pPr>
            <w:r w:rsidRPr="0072554E">
              <w:rPr>
                <w:rFonts w:ascii="Calibri" w:eastAsia="Times New Roman" w:hAnsi="Calibri" w:cs="Arial"/>
                <w:b/>
                <w:bCs/>
                <w:sz w:val="28"/>
                <w:szCs w:val="28"/>
                <w:lang w:eastAsia="cs-CZ"/>
              </w:rPr>
              <w:lastRenderedPageBreak/>
              <w:t>Čerpání rozpočtu kapitoly 09 - Evropská integrace - období: 1. - 12. 2021</w:t>
            </w:r>
          </w:p>
        </w:tc>
      </w:tr>
      <w:tr w:rsidR="0072554E" w:rsidRPr="0072554E" w14:paraId="0FA334CB" w14:textId="77777777" w:rsidTr="009E7CFC">
        <w:trPr>
          <w:trHeight w:val="360"/>
        </w:trPr>
        <w:tc>
          <w:tcPr>
            <w:tcW w:w="851" w:type="dxa"/>
            <w:tcBorders>
              <w:top w:val="nil"/>
              <w:bottom w:val="single" w:sz="8" w:space="0" w:color="auto"/>
              <w:right w:val="nil"/>
            </w:tcBorders>
            <w:shd w:val="clear" w:color="auto" w:fill="auto"/>
            <w:noWrap/>
            <w:vAlign w:val="center"/>
            <w:hideMark/>
          </w:tcPr>
          <w:p w14:paraId="599E7D39" w14:textId="77777777" w:rsidR="0072554E" w:rsidRPr="0072554E" w:rsidRDefault="0072554E" w:rsidP="0072554E">
            <w:pPr>
              <w:spacing w:after="0" w:line="240" w:lineRule="auto"/>
              <w:jc w:val="center"/>
              <w:rPr>
                <w:rFonts w:ascii="Calibri" w:eastAsia="Times New Roman" w:hAnsi="Calibri" w:cs="Arial"/>
                <w:b/>
                <w:bCs/>
                <w:sz w:val="28"/>
                <w:szCs w:val="28"/>
                <w:lang w:eastAsia="cs-CZ"/>
              </w:rPr>
            </w:pPr>
          </w:p>
        </w:tc>
        <w:tc>
          <w:tcPr>
            <w:tcW w:w="4235" w:type="dxa"/>
            <w:tcBorders>
              <w:top w:val="nil"/>
              <w:left w:val="nil"/>
              <w:bottom w:val="nil"/>
              <w:right w:val="nil"/>
            </w:tcBorders>
            <w:shd w:val="clear" w:color="auto" w:fill="auto"/>
            <w:noWrap/>
            <w:vAlign w:val="center"/>
            <w:hideMark/>
          </w:tcPr>
          <w:p w14:paraId="3036E3F3" w14:textId="77777777" w:rsidR="0072554E" w:rsidRPr="0072554E" w:rsidRDefault="0072554E" w:rsidP="0072554E">
            <w:pPr>
              <w:spacing w:after="0" w:line="240" w:lineRule="auto"/>
              <w:jc w:val="center"/>
              <w:rPr>
                <w:rFonts w:ascii="Times New Roman" w:eastAsia="Times New Roman" w:hAnsi="Times New Roman" w:cs="Times New Roman"/>
                <w:sz w:val="20"/>
                <w:szCs w:val="20"/>
                <w:lang w:eastAsia="cs-CZ"/>
              </w:rPr>
            </w:pPr>
          </w:p>
        </w:tc>
        <w:tc>
          <w:tcPr>
            <w:tcW w:w="1293" w:type="dxa"/>
            <w:tcBorders>
              <w:top w:val="nil"/>
              <w:left w:val="nil"/>
              <w:bottom w:val="nil"/>
              <w:right w:val="nil"/>
            </w:tcBorders>
            <w:shd w:val="clear" w:color="auto" w:fill="auto"/>
            <w:noWrap/>
            <w:vAlign w:val="center"/>
            <w:hideMark/>
          </w:tcPr>
          <w:p w14:paraId="44D3BEDD" w14:textId="77777777" w:rsidR="0072554E" w:rsidRPr="0072554E" w:rsidRDefault="0072554E" w:rsidP="0072554E">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center"/>
            <w:hideMark/>
          </w:tcPr>
          <w:p w14:paraId="0A4DF91C" w14:textId="77777777" w:rsidR="0072554E" w:rsidRPr="0072554E" w:rsidRDefault="0072554E" w:rsidP="0072554E">
            <w:pPr>
              <w:spacing w:after="0" w:line="240" w:lineRule="auto"/>
              <w:jc w:val="right"/>
              <w:rPr>
                <w:rFonts w:ascii="Times New Roman" w:eastAsia="Times New Roman" w:hAnsi="Times New Roman" w:cs="Times New Roman"/>
                <w:sz w:val="20"/>
                <w:szCs w:val="20"/>
                <w:lang w:eastAsia="cs-CZ"/>
              </w:rPr>
            </w:pPr>
          </w:p>
        </w:tc>
        <w:tc>
          <w:tcPr>
            <w:tcW w:w="1559" w:type="dxa"/>
            <w:tcBorders>
              <w:top w:val="nil"/>
              <w:left w:val="nil"/>
              <w:bottom w:val="nil"/>
              <w:right w:val="nil"/>
            </w:tcBorders>
            <w:shd w:val="clear" w:color="auto" w:fill="auto"/>
            <w:noWrap/>
            <w:vAlign w:val="center"/>
            <w:hideMark/>
          </w:tcPr>
          <w:p w14:paraId="6C5A4BF6" w14:textId="77777777" w:rsidR="0072554E" w:rsidRPr="0072554E" w:rsidRDefault="0072554E" w:rsidP="0072554E">
            <w:pPr>
              <w:spacing w:after="0" w:line="240" w:lineRule="auto"/>
              <w:jc w:val="right"/>
              <w:rPr>
                <w:rFonts w:ascii="Times New Roman" w:eastAsia="Times New Roman" w:hAnsi="Times New Roman" w:cs="Times New Roman"/>
                <w:sz w:val="20"/>
                <w:szCs w:val="20"/>
                <w:lang w:eastAsia="cs-CZ"/>
              </w:rPr>
            </w:pPr>
          </w:p>
        </w:tc>
        <w:tc>
          <w:tcPr>
            <w:tcW w:w="1134" w:type="dxa"/>
            <w:tcBorders>
              <w:top w:val="nil"/>
              <w:left w:val="nil"/>
              <w:bottom w:val="nil"/>
              <w:right w:val="nil"/>
            </w:tcBorders>
            <w:shd w:val="clear" w:color="auto" w:fill="auto"/>
            <w:noWrap/>
            <w:vAlign w:val="center"/>
            <w:hideMark/>
          </w:tcPr>
          <w:p w14:paraId="5F20FD53" w14:textId="77777777" w:rsidR="0072554E" w:rsidRPr="0072554E" w:rsidRDefault="0072554E" w:rsidP="0072554E">
            <w:pPr>
              <w:spacing w:after="0" w:line="240" w:lineRule="auto"/>
              <w:jc w:val="right"/>
              <w:rPr>
                <w:rFonts w:ascii="Calibri" w:eastAsia="Times New Roman" w:hAnsi="Calibri" w:cs="Arial"/>
                <w:lang w:eastAsia="cs-CZ"/>
              </w:rPr>
            </w:pPr>
            <w:r w:rsidRPr="0072554E">
              <w:rPr>
                <w:rFonts w:ascii="Calibri" w:eastAsia="Times New Roman" w:hAnsi="Calibri" w:cs="Arial"/>
                <w:lang w:eastAsia="cs-CZ"/>
              </w:rPr>
              <w:t>v  Kč</w:t>
            </w:r>
          </w:p>
        </w:tc>
      </w:tr>
      <w:tr w:rsidR="0072554E" w:rsidRPr="0072554E" w14:paraId="2D5872DA" w14:textId="77777777" w:rsidTr="009E7CFC">
        <w:trPr>
          <w:trHeight w:val="705"/>
        </w:trPr>
        <w:tc>
          <w:tcPr>
            <w:tcW w:w="851" w:type="dxa"/>
            <w:tcBorders>
              <w:top w:val="single" w:sz="8" w:space="0" w:color="auto"/>
              <w:left w:val="single" w:sz="8" w:space="0" w:color="auto"/>
              <w:bottom w:val="single" w:sz="8" w:space="0" w:color="auto"/>
              <w:right w:val="single" w:sz="8" w:space="0" w:color="auto"/>
            </w:tcBorders>
            <w:shd w:val="clear" w:color="000000" w:fill="CCFFCC"/>
            <w:vAlign w:val="center"/>
            <w:hideMark/>
          </w:tcPr>
          <w:p w14:paraId="032D08D8"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Paragraf</w:t>
            </w:r>
          </w:p>
        </w:tc>
        <w:tc>
          <w:tcPr>
            <w:tcW w:w="4235" w:type="dxa"/>
            <w:tcBorders>
              <w:top w:val="single" w:sz="8" w:space="0" w:color="auto"/>
              <w:left w:val="nil"/>
              <w:bottom w:val="single" w:sz="8" w:space="0" w:color="auto"/>
              <w:right w:val="single" w:sz="8" w:space="0" w:color="auto"/>
            </w:tcBorders>
            <w:shd w:val="clear" w:color="000000" w:fill="CCFFCC"/>
            <w:vAlign w:val="center"/>
            <w:hideMark/>
          </w:tcPr>
          <w:p w14:paraId="71B909AD"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Oblast rozpočtu</w:t>
            </w:r>
          </w:p>
        </w:tc>
        <w:tc>
          <w:tcPr>
            <w:tcW w:w="1293" w:type="dxa"/>
            <w:tcBorders>
              <w:top w:val="single" w:sz="8" w:space="0" w:color="auto"/>
              <w:left w:val="nil"/>
              <w:bottom w:val="single" w:sz="8" w:space="0" w:color="auto"/>
              <w:right w:val="single" w:sz="8" w:space="0" w:color="auto"/>
            </w:tcBorders>
            <w:shd w:val="clear" w:color="000000" w:fill="CCFFCC"/>
            <w:vAlign w:val="center"/>
            <w:hideMark/>
          </w:tcPr>
          <w:p w14:paraId="62B52F6E"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Schválený rozpočet</w:t>
            </w:r>
          </w:p>
        </w:tc>
        <w:tc>
          <w:tcPr>
            <w:tcW w:w="1701" w:type="dxa"/>
            <w:tcBorders>
              <w:top w:val="single" w:sz="8" w:space="0" w:color="auto"/>
              <w:left w:val="nil"/>
              <w:bottom w:val="single" w:sz="8" w:space="0" w:color="auto"/>
              <w:right w:val="single" w:sz="8" w:space="0" w:color="auto"/>
            </w:tcBorders>
            <w:shd w:val="clear" w:color="000000" w:fill="CCFFCC"/>
            <w:vAlign w:val="center"/>
            <w:hideMark/>
          </w:tcPr>
          <w:p w14:paraId="5BE969FF"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Rozpočet po úpravě</w:t>
            </w:r>
          </w:p>
        </w:tc>
        <w:tc>
          <w:tcPr>
            <w:tcW w:w="1559" w:type="dxa"/>
            <w:tcBorders>
              <w:top w:val="single" w:sz="8" w:space="0" w:color="auto"/>
              <w:left w:val="nil"/>
              <w:bottom w:val="single" w:sz="8" w:space="0" w:color="auto"/>
              <w:right w:val="single" w:sz="8" w:space="0" w:color="auto"/>
            </w:tcBorders>
            <w:shd w:val="clear" w:color="000000" w:fill="CCFFCC"/>
            <w:vAlign w:val="center"/>
            <w:hideMark/>
          </w:tcPr>
          <w:p w14:paraId="24945014"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Skutečnost</w:t>
            </w:r>
          </w:p>
        </w:tc>
        <w:tc>
          <w:tcPr>
            <w:tcW w:w="1134" w:type="dxa"/>
            <w:tcBorders>
              <w:top w:val="single" w:sz="8" w:space="0" w:color="auto"/>
              <w:left w:val="nil"/>
              <w:bottom w:val="single" w:sz="8" w:space="0" w:color="auto"/>
              <w:right w:val="single" w:sz="8" w:space="0" w:color="auto"/>
            </w:tcBorders>
            <w:shd w:val="clear" w:color="000000" w:fill="CCFFCC"/>
            <w:vAlign w:val="center"/>
            <w:hideMark/>
          </w:tcPr>
          <w:p w14:paraId="68D0CD14"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 plnění</w:t>
            </w:r>
          </w:p>
        </w:tc>
      </w:tr>
      <w:tr w:rsidR="0072554E" w:rsidRPr="0072554E" w14:paraId="55C76E2A" w14:textId="77777777" w:rsidTr="009E7CFC">
        <w:trPr>
          <w:trHeight w:val="360"/>
        </w:trPr>
        <w:tc>
          <w:tcPr>
            <w:tcW w:w="851" w:type="dxa"/>
            <w:tcBorders>
              <w:top w:val="nil"/>
              <w:left w:val="single" w:sz="8" w:space="0" w:color="auto"/>
              <w:bottom w:val="single" w:sz="8" w:space="0" w:color="auto"/>
              <w:right w:val="nil"/>
            </w:tcBorders>
            <w:shd w:val="clear" w:color="auto" w:fill="auto"/>
            <w:noWrap/>
            <w:vAlign w:val="center"/>
            <w:hideMark/>
          </w:tcPr>
          <w:p w14:paraId="353ACEF7"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 </w:t>
            </w:r>
          </w:p>
        </w:tc>
        <w:tc>
          <w:tcPr>
            <w:tcW w:w="4235" w:type="dxa"/>
            <w:tcBorders>
              <w:top w:val="nil"/>
              <w:left w:val="nil"/>
              <w:bottom w:val="single" w:sz="8" w:space="0" w:color="auto"/>
              <w:right w:val="nil"/>
            </w:tcBorders>
            <w:shd w:val="clear" w:color="auto" w:fill="auto"/>
            <w:noWrap/>
            <w:vAlign w:val="center"/>
            <w:hideMark/>
          </w:tcPr>
          <w:p w14:paraId="2C22B54B" w14:textId="77777777" w:rsidR="0072554E" w:rsidRPr="0072554E" w:rsidRDefault="0072554E" w:rsidP="0072554E">
            <w:pPr>
              <w:spacing w:after="0" w:line="240" w:lineRule="auto"/>
              <w:rPr>
                <w:rFonts w:ascii="Calibri" w:eastAsia="Times New Roman" w:hAnsi="Calibri" w:cs="Arial"/>
                <w:b/>
                <w:bCs/>
                <w:lang w:eastAsia="cs-CZ"/>
              </w:rPr>
            </w:pPr>
            <w:r w:rsidRPr="0072554E">
              <w:rPr>
                <w:rFonts w:ascii="Calibri" w:eastAsia="Times New Roman" w:hAnsi="Calibri" w:cs="Arial"/>
                <w:b/>
                <w:bCs/>
                <w:lang w:eastAsia="cs-CZ"/>
              </w:rPr>
              <w:t>Běžné výdaje</w:t>
            </w:r>
          </w:p>
        </w:tc>
        <w:tc>
          <w:tcPr>
            <w:tcW w:w="1293" w:type="dxa"/>
            <w:tcBorders>
              <w:top w:val="nil"/>
              <w:left w:val="nil"/>
              <w:bottom w:val="single" w:sz="8" w:space="0" w:color="auto"/>
              <w:right w:val="nil"/>
            </w:tcBorders>
            <w:shd w:val="clear" w:color="auto" w:fill="auto"/>
            <w:noWrap/>
            <w:vAlign w:val="center"/>
            <w:hideMark/>
          </w:tcPr>
          <w:p w14:paraId="4A91D6BC"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 </w:t>
            </w:r>
          </w:p>
        </w:tc>
        <w:tc>
          <w:tcPr>
            <w:tcW w:w="1701" w:type="dxa"/>
            <w:tcBorders>
              <w:top w:val="nil"/>
              <w:left w:val="nil"/>
              <w:bottom w:val="single" w:sz="8" w:space="0" w:color="auto"/>
              <w:right w:val="nil"/>
            </w:tcBorders>
            <w:shd w:val="clear" w:color="auto" w:fill="auto"/>
            <w:noWrap/>
            <w:vAlign w:val="center"/>
            <w:hideMark/>
          </w:tcPr>
          <w:p w14:paraId="57E7D7FE"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 </w:t>
            </w:r>
          </w:p>
        </w:tc>
        <w:tc>
          <w:tcPr>
            <w:tcW w:w="1559" w:type="dxa"/>
            <w:tcBorders>
              <w:top w:val="nil"/>
              <w:left w:val="nil"/>
              <w:bottom w:val="single" w:sz="8" w:space="0" w:color="auto"/>
              <w:right w:val="nil"/>
            </w:tcBorders>
            <w:shd w:val="clear" w:color="auto" w:fill="auto"/>
            <w:noWrap/>
            <w:vAlign w:val="center"/>
            <w:hideMark/>
          </w:tcPr>
          <w:p w14:paraId="7456021D"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 </w:t>
            </w:r>
          </w:p>
        </w:tc>
        <w:tc>
          <w:tcPr>
            <w:tcW w:w="1134" w:type="dxa"/>
            <w:tcBorders>
              <w:top w:val="nil"/>
              <w:left w:val="nil"/>
              <w:bottom w:val="single" w:sz="8" w:space="0" w:color="auto"/>
              <w:right w:val="nil"/>
            </w:tcBorders>
            <w:shd w:val="clear" w:color="auto" w:fill="auto"/>
            <w:noWrap/>
            <w:vAlign w:val="center"/>
            <w:hideMark/>
          </w:tcPr>
          <w:p w14:paraId="229C0062"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 </w:t>
            </w:r>
          </w:p>
        </w:tc>
      </w:tr>
      <w:tr w:rsidR="0072554E" w:rsidRPr="0072554E" w14:paraId="0DEE89AC" w14:textId="77777777" w:rsidTr="009E7CFC">
        <w:trPr>
          <w:trHeight w:val="300"/>
        </w:trPr>
        <w:tc>
          <w:tcPr>
            <w:tcW w:w="851"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EDA34CC"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2115</w:t>
            </w:r>
          </w:p>
        </w:tc>
        <w:tc>
          <w:tcPr>
            <w:tcW w:w="4235" w:type="dxa"/>
            <w:tcBorders>
              <w:top w:val="nil"/>
              <w:left w:val="nil"/>
              <w:bottom w:val="single" w:sz="4" w:space="0" w:color="auto"/>
              <w:right w:val="single" w:sz="4" w:space="0" w:color="auto"/>
            </w:tcBorders>
            <w:shd w:val="clear" w:color="auto" w:fill="auto"/>
            <w:vAlign w:val="bottom"/>
            <w:hideMark/>
          </w:tcPr>
          <w:p w14:paraId="74285364" w14:textId="77777777" w:rsidR="0072554E" w:rsidRPr="0072554E" w:rsidRDefault="0072554E" w:rsidP="0072554E">
            <w:pPr>
              <w:spacing w:after="0" w:line="240" w:lineRule="auto"/>
              <w:rPr>
                <w:rFonts w:ascii="Calibri" w:eastAsia="Times New Roman" w:hAnsi="Calibri" w:cs="Arial"/>
                <w:sz w:val="20"/>
                <w:szCs w:val="20"/>
                <w:lang w:eastAsia="cs-CZ"/>
              </w:rPr>
            </w:pPr>
            <w:r w:rsidRPr="0072554E">
              <w:rPr>
                <w:rFonts w:ascii="Calibri" w:eastAsia="Times New Roman" w:hAnsi="Calibri" w:cs="Arial"/>
                <w:sz w:val="20"/>
                <w:szCs w:val="20"/>
                <w:lang w:eastAsia="cs-CZ"/>
              </w:rPr>
              <w:t>Energetické úspory</w:t>
            </w:r>
          </w:p>
        </w:tc>
        <w:tc>
          <w:tcPr>
            <w:tcW w:w="1293" w:type="dxa"/>
            <w:tcBorders>
              <w:top w:val="nil"/>
              <w:left w:val="nil"/>
              <w:bottom w:val="single" w:sz="4" w:space="0" w:color="auto"/>
              <w:right w:val="single" w:sz="4" w:space="0" w:color="auto"/>
            </w:tcBorders>
            <w:shd w:val="clear" w:color="auto" w:fill="auto"/>
            <w:noWrap/>
            <w:vAlign w:val="bottom"/>
            <w:hideMark/>
          </w:tcPr>
          <w:p w14:paraId="4A142900"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0275C0A4"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158 333,00</w:t>
            </w:r>
          </w:p>
        </w:tc>
        <w:tc>
          <w:tcPr>
            <w:tcW w:w="1559" w:type="dxa"/>
            <w:tcBorders>
              <w:top w:val="nil"/>
              <w:left w:val="nil"/>
              <w:bottom w:val="single" w:sz="4" w:space="0" w:color="auto"/>
              <w:right w:val="single" w:sz="4" w:space="0" w:color="auto"/>
            </w:tcBorders>
            <w:shd w:val="clear" w:color="auto" w:fill="auto"/>
            <w:noWrap/>
            <w:vAlign w:val="bottom"/>
            <w:hideMark/>
          </w:tcPr>
          <w:p w14:paraId="7A6C0CAC"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100 000,00</w:t>
            </w:r>
          </w:p>
        </w:tc>
        <w:tc>
          <w:tcPr>
            <w:tcW w:w="1134" w:type="dxa"/>
            <w:tcBorders>
              <w:top w:val="nil"/>
              <w:left w:val="nil"/>
              <w:bottom w:val="single" w:sz="4" w:space="0" w:color="auto"/>
              <w:right w:val="single" w:sz="8" w:space="0" w:color="auto"/>
            </w:tcBorders>
            <w:shd w:val="clear" w:color="auto" w:fill="auto"/>
            <w:noWrap/>
            <w:vAlign w:val="bottom"/>
            <w:hideMark/>
          </w:tcPr>
          <w:p w14:paraId="1E2F0C10"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63,2</w:t>
            </w:r>
          </w:p>
        </w:tc>
      </w:tr>
      <w:tr w:rsidR="0072554E" w:rsidRPr="0072554E" w14:paraId="54595D8F" w14:textId="77777777" w:rsidTr="009E7CFC">
        <w:trPr>
          <w:trHeight w:val="300"/>
        </w:trPr>
        <w:tc>
          <w:tcPr>
            <w:tcW w:w="851" w:type="dxa"/>
            <w:tcBorders>
              <w:top w:val="nil"/>
              <w:left w:val="single" w:sz="8" w:space="0" w:color="auto"/>
              <w:bottom w:val="single" w:sz="4" w:space="0" w:color="auto"/>
              <w:right w:val="single" w:sz="4" w:space="0" w:color="auto"/>
            </w:tcBorders>
            <w:shd w:val="clear" w:color="auto" w:fill="auto"/>
            <w:noWrap/>
            <w:vAlign w:val="center"/>
            <w:hideMark/>
          </w:tcPr>
          <w:p w14:paraId="13244662"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2143</w:t>
            </w:r>
          </w:p>
        </w:tc>
        <w:tc>
          <w:tcPr>
            <w:tcW w:w="4235" w:type="dxa"/>
            <w:tcBorders>
              <w:top w:val="nil"/>
              <w:left w:val="nil"/>
              <w:bottom w:val="single" w:sz="4" w:space="0" w:color="auto"/>
              <w:right w:val="single" w:sz="4" w:space="0" w:color="auto"/>
            </w:tcBorders>
            <w:shd w:val="clear" w:color="auto" w:fill="auto"/>
            <w:vAlign w:val="bottom"/>
            <w:hideMark/>
          </w:tcPr>
          <w:p w14:paraId="71ACC83C" w14:textId="77777777" w:rsidR="0072554E" w:rsidRPr="0072554E" w:rsidRDefault="0072554E" w:rsidP="0072554E">
            <w:pPr>
              <w:spacing w:after="0" w:line="240" w:lineRule="auto"/>
              <w:rPr>
                <w:rFonts w:ascii="Calibri" w:eastAsia="Times New Roman" w:hAnsi="Calibri" w:cs="Arial"/>
                <w:sz w:val="20"/>
                <w:szCs w:val="20"/>
                <w:lang w:eastAsia="cs-CZ"/>
              </w:rPr>
            </w:pPr>
            <w:r w:rsidRPr="0072554E">
              <w:rPr>
                <w:rFonts w:ascii="Calibri" w:eastAsia="Times New Roman" w:hAnsi="Calibri" w:cs="Arial"/>
                <w:sz w:val="20"/>
                <w:szCs w:val="20"/>
                <w:lang w:eastAsia="cs-CZ"/>
              </w:rPr>
              <w:t>Vesnice roku</w:t>
            </w:r>
          </w:p>
        </w:tc>
        <w:tc>
          <w:tcPr>
            <w:tcW w:w="1293" w:type="dxa"/>
            <w:tcBorders>
              <w:top w:val="nil"/>
              <w:left w:val="nil"/>
              <w:bottom w:val="single" w:sz="4" w:space="0" w:color="auto"/>
              <w:right w:val="single" w:sz="4" w:space="0" w:color="auto"/>
            </w:tcBorders>
            <w:shd w:val="clear" w:color="auto" w:fill="auto"/>
            <w:noWrap/>
            <w:vAlign w:val="bottom"/>
            <w:hideMark/>
          </w:tcPr>
          <w:p w14:paraId="0C8A8D34"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3A57AA7B"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1 147 790,34</w:t>
            </w:r>
          </w:p>
        </w:tc>
        <w:tc>
          <w:tcPr>
            <w:tcW w:w="1559" w:type="dxa"/>
            <w:tcBorders>
              <w:top w:val="nil"/>
              <w:left w:val="nil"/>
              <w:bottom w:val="single" w:sz="4" w:space="0" w:color="auto"/>
              <w:right w:val="single" w:sz="4" w:space="0" w:color="auto"/>
            </w:tcBorders>
            <w:shd w:val="clear" w:color="auto" w:fill="auto"/>
            <w:noWrap/>
            <w:vAlign w:val="bottom"/>
            <w:hideMark/>
          </w:tcPr>
          <w:p w14:paraId="5033F910"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0,00</w:t>
            </w:r>
          </w:p>
        </w:tc>
        <w:tc>
          <w:tcPr>
            <w:tcW w:w="1134" w:type="dxa"/>
            <w:tcBorders>
              <w:top w:val="nil"/>
              <w:left w:val="nil"/>
              <w:bottom w:val="single" w:sz="4" w:space="0" w:color="auto"/>
              <w:right w:val="single" w:sz="8" w:space="0" w:color="auto"/>
            </w:tcBorders>
            <w:shd w:val="clear" w:color="auto" w:fill="auto"/>
            <w:noWrap/>
            <w:vAlign w:val="bottom"/>
            <w:hideMark/>
          </w:tcPr>
          <w:p w14:paraId="74E6C67B"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0,0</w:t>
            </w:r>
          </w:p>
        </w:tc>
      </w:tr>
      <w:tr w:rsidR="0072554E" w:rsidRPr="0072554E" w14:paraId="48FC0456" w14:textId="77777777" w:rsidTr="009E7CFC">
        <w:trPr>
          <w:trHeight w:val="300"/>
        </w:trPr>
        <w:tc>
          <w:tcPr>
            <w:tcW w:w="851" w:type="dxa"/>
            <w:tcBorders>
              <w:top w:val="nil"/>
              <w:left w:val="single" w:sz="8" w:space="0" w:color="auto"/>
              <w:bottom w:val="single" w:sz="4" w:space="0" w:color="auto"/>
              <w:right w:val="single" w:sz="4" w:space="0" w:color="auto"/>
            </w:tcBorders>
            <w:shd w:val="clear" w:color="auto" w:fill="auto"/>
            <w:noWrap/>
            <w:vAlign w:val="center"/>
            <w:hideMark/>
          </w:tcPr>
          <w:p w14:paraId="036720FA"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2223</w:t>
            </w:r>
          </w:p>
        </w:tc>
        <w:tc>
          <w:tcPr>
            <w:tcW w:w="4235" w:type="dxa"/>
            <w:tcBorders>
              <w:top w:val="nil"/>
              <w:left w:val="nil"/>
              <w:bottom w:val="single" w:sz="4" w:space="0" w:color="auto"/>
              <w:right w:val="single" w:sz="4" w:space="0" w:color="auto"/>
            </w:tcBorders>
            <w:shd w:val="clear" w:color="auto" w:fill="auto"/>
            <w:vAlign w:val="bottom"/>
            <w:hideMark/>
          </w:tcPr>
          <w:p w14:paraId="2668CB1F" w14:textId="77777777" w:rsidR="0072554E" w:rsidRPr="0072554E" w:rsidRDefault="0072554E" w:rsidP="0072554E">
            <w:pPr>
              <w:spacing w:after="0" w:line="240" w:lineRule="auto"/>
              <w:rPr>
                <w:rFonts w:ascii="Calibri" w:eastAsia="Times New Roman" w:hAnsi="Calibri" w:cs="Arial"/>
                <w:sz w:val="20"/>
                <w:szCs w:val="20"/>
                <w:lang w:eastAsia="cs-CZ"/>
              </w:rPr>
            </w:pPr>
            <w:r w:rsidRPr="0072554E">
              <w:rPr>
                <w:rFonts w:ascii="Calibri" w:eastAsia="Times New Roman" w:hAnsi="Calibri" w:cs="Arial"/>
                <w:sz w:val="20"/>
                <w:szCs w:val="20"/>
                <w:lang w:eastAsia="cs-CZ"/>
              </w:rPr>
              <w:t>Bezpečnost silničního provozu</w:t>
            </w:r>
          </w:p>
        </w:tc>
        <w:tc>
          <w:tcPr>
            <w:tcW w:w="1293" w:type="dxa"/>
            <w:tcBorders>
              <w:top w:val="nil"/>
              <w:left w:val="nil"/>
              <w:bottom w:val="single" w:sz="4" w:space="0" w:color="auto"/>
              <w:right w:val="single" w:sz="4" w:space="0" w:color="auto"/>
            </w:tcBorders>
            <w:shd w:val="clear" w:color="auto" w:fill="auto"/>
            <w:noWrap/>
            <w:vAlign w:val="bottom"/>
            <w:hideMark/>
          </w:tcPr>
          <w:p w14:paraId="1D4535DC"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03300B59"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1 575 633,75</w:t>
            </w:r>
          </w:p>
        </w:tc>
        <w:tc>
          <w:tcPr>
            <w:tcW w:w="1559" w:type="dxa"/>
            <w:tcBorders>
              <w:top w:val="nil"/>
              <w:left w:val="nil"/>
              <w:bottom w:val="single" w:sz="4" w:space="0" w:color="auto"/>
              <w:right w:val="single" w:sz="4" w:space="0" w:color="auto"/>
            </w:tcBorders>
            <w:shd w:val="clear" w:color="auto" w:fill="auto"/>
            <w:noWrap/>
            <w:vAlign w:val="bottom"/>
            <w:hideMark/>
          </w:tcPr>
          <w:p w14:paraId="65300150"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105 227,00</w:t>
            </w:r>
          </w:p>
        </w:tc>
        <w:tc>
          <w:tcPr>
            <w:tcW w:w="1134" w:type="dxa"/>
            <w:tcBorders>
              <w:top w:val="nil"/>
              <w:left w:val="nil"/>
              <w:bottom w:val="single" w:sz="4" w:space="0" w:color="auto"/>
              <w:right w:val="single" w:sz="8" w:space="0" w:color="auto"/>
            </w:tcBorders>
            <w:shd w:val="clear" w:color="auto" w:fill="auto"/>
            <w:noWrap/>
            <w:vAlign w:val="bottom"/>
            <w:hideMark/>
          </w:tcPr>
          <w:p w14:paraId="7DAF4BCD"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6,7</w:t>
            </w:r>
          </w:p>
        </w:tc>
      </w:tr>
      <w:tr w:rsidR="0072554E" w:rsidRPr="0072554E" w14:paraId="30E5E979" w14:textId="77777777" w:rsidTr="009E7CFC">
        <w:trPr>
          <w:trHeight w:val="300"/>
        </w:trPr>
        <w:tc>
          <w:tcPr>
            <w:tcW w:w="851" w:type="dxa"/>
            <w:tcBorders>
              <w:top w:val="nil"/>
              <w:left w:val="single" w:sz="8" w:space="0" w:color="auto"/>
              <w:bottom w:val="single" w:sz="4" w:space="0" w:color="auto"/>
              <w:right w:val="single" w:sz="4" w:space="0" w:color="auto"/>
            </w:tcBorders>
            <w:shd w:val="clear" w:color="auto" w:fill="auto"/>
            <w:noWrap/>
            <w:vAlign w:val="center"/>
            <w:hideMark/>
          </w:tcPr>
          <w:p w14:paraId="073F43AB"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2510</w:t>
            </w:r>
          </w:p>
        </w:tc>
        <w:tc>
          <w:tcPr>
            <w:tcW w:w="4235" w:type="dxa"/>
            <w:tcBorders>
              <w:top w:val="nil"/>
              <w:left w:val="nil"/>
              <w:bottom w:val="single" w:sz="4" w:space="0" w:color="auto"/>
              <w:right w:val="single" w:sz="4" w:space="0" w:color="auto"/>
            </w:tcBorders>
            <w:shd w:val="clear" w:color="auto" w:fill="auto"/>
            <w:vAlign w:val="bottom"/>
            <w:hideMark/>
          </w:tcPr>
          <w:p w14:paraId="2113A43B" w14:textId="77777777" w:rsidR="0072554E" w:rsidRPr="0072554E" w:rsidRDefault="0072554E" w:rsidP="0072554E">
            <w:pPr>
              <w:spacing w:after="0" w:line="240" w:lineRule="auto"/>
              <w:rPr>
                <w:rFonts w:ascii="Calibri" w:eastAsia="Times New Roman" w:hAnsi="Calibri" w:cs="Arial"/>
                <w:sz w:val="20"/>
                <w:szCs w:val="20"/>
                <w:lang w:eastAsia="cs-CZ"/>
              </w:rPr>
            </w:pPr>
            <w:r w:rsidRPr="0072554E">
              <w:rPr>
                <w:rFonts w:ascii="Calibri" w:eastAsia="Times New Roman" w:hAnsi="Calibri" w:cs="Arial"/>
                <w:sz w:val="20"/>
                <w:szCs w:val="20"/>
                <w:lang w:eastAsia="cs-CZ"/>
              </w:rPr>
              <w:t>Středočeské inovační centrum</w:t>
            </w:r>
          </w:p>
        </w:tc>
        <w:tc>
          <w:tcPr>
            <w:tcW w:w="1293" w:type="dxa"/>
            <w:tcBorders>
              <w:top w:val="nil"/>
              <w:left w:val="nil"/>
              <w:bottom w:val="single" w:sz="4" w:space="0" w:color="auto"/>
              <w:right w:val="single" w:sz="4" w:space="0" w:color="auto"/>
            </w:tcBorders>
            <w:shd w:val="clear" w:color="auto" w:fill="auto"/>
            <w:noWrap/>
            <w:vAlign w:val="bottom"/>
            <w:hideMark/>
          </w:tcPr>
          <w:p w14:paraId="09902C40"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7AFE4B4B"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14 658 102,72</w:t>
            </w:r>
          </w:p>
        </w:tc>
        <w:tc>
          <w:tcPr>
            <w:tcW w:w="1559" w:type="dxa"/>
            <w:tcBorders>
              <w:top w:val="nil"/>
              <w:left w:val="nil"/>
              <w:bottom w:val="single" w:sz="4" w:space="0" w:color="auto"/>
              <w:right w:val="single" w:sz="4" w:space="0" w:color="auto"/>
            </w:tcBorders>
            <w:shd w:val="clear" w:color="auto" w:fill="auto"/>
            <w:noWrap/>
            <w:vAlign w:val="bottom"/>
            <w:hideMark/>
          </w:tcPr>
          <w:p w14:paraId="089B775B"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14 360 000,00</w:t>
            </w:r>
          </w:p>
        </w:tc>
        <w:tc>
          <w:tcPr>
            <w:tcW w:w="1134" w:type="dxa"/>
            <w:tcBorders>
              <w:top w:val="nil"/>
              <w:left w:val="nil"/>
              <w:bottom w:val="single" w:sz="4" w:space="0" w:color="auto"/>
              <w:right w:val="single" w:sz="8" w:space="0" w:color="auto"/>
            </w:tcBorders>
            <w:shd w:val="clear" w:color="auto" w:fill="auto"/>
            <w:noWrap/>
            <w:vAlign w:val="bottom"/>
            <w:hideMark/>
          </w:tcPr>
          <w:p w14:paraId="4F3EA251"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98,0</w:t>
            </w:r>
          </w:p>
        </w:tc>
      </w:tr>
      <w:tr w:rsidR="0072554E" w:rsidRPr="0072554E" w14:paraId="1019F64D" w14:textId="77777777" w:rsidTr="009E7CFC">
        <w:trPr>
          <w:trHeight w:val="540"/>
        </w:trPr>
        <w:tc>
          <w:tcPr>
            <w:tcW w:w="851" w:type="dxa"/>
            <w:tcBorders>
              <w:top w:val="nil"/>
              <w:left w:val="single" w:sz="8" w:space="0" w:color="auto"/>
              <w:bottom w:val="single" w:sz="4" w:space="0" w:color="auto"/>
              <w:right w:val="single" w:sz="4" w:space="0" w:color="auto"/>
            </w:tcBorders>
            <w:shd w:val="clear" w:color="auto" w:fill="auto"/>
            <w:noWrap/>
            <w:vAlign w:val="bottom"/>
            <w:hideMark/>
          </w:tcPr>
          <w:p w14:paraId="7F3A9DF2"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2510</w:t>
            </w:r>
          </w:p>
        </w:tc>
        <w:tc>
          <w:tcPr>
            <w:tcW w:w="4235" w:type="dxa"/>
            <w:tcBorders>
              <w:top w:val="nil"/>
              <w:left w:val="nil"/>
              <w:bottom w:val="single" w:sz="4" w:space="0" w:color="auto"/>
              <w:right w:val="single" w:sz="4" w:space="0" w:color="auto"/>
            </w:tcBorders>
            <w:shd w:val="clear" w:color="auto" w:fill="auto"/>
            <w:vAlign w:val="center"/>
            <w:hideMark/>
          </w:tcPr>
          <w:p w14:paraId="06CA48B3" w14:textId="77777777" w:rsidR="0072554E" w:rsidRPr="0072554E" w:rsidRDefault="0072554E" w:rsidP="0072554E">
            <w:pPr>
              <w:spacing w:after="0" w:line="240" w:lineRule="auto"/>
              <w:rPr>
                <w:rFonts w:ascii="Calibri" w:eastAsia="Times New Roman" w:hAnsi="Calibri" w:cs="Arial"/>
                <w:sz w:val="20"/>
                <w:szCs w:val="20"/>
                <w:lang w:eastAsia="cs-CZ"/>
              </w:rPr>
            </w:pPr>
            <w:r w:rsidRPr="0072554E">
              <w:rPr>
                <w:rFonts w:ascii="Calibri" w:eastAsia="Times New Roman" w:hAnsi="Calibri" w:cs="Arial"/>
                <w:sz w:val="20"/>
                <w:szCs w:val="20"/>
                <w:lang w:eastAsia="cs-CZ"/>
              </w:rPr>
              <w:t>Středočeské inovační centrum - Středočeské podnikatelské vouchery</w:t>
            </w:r>
          </w:p>
        </w:tc>
        <w:tc>
          <w:tcPr>
            <w:tcW w:w="1293" w:type="dxa"/>
            <w:tcBorders>
              <w:top w:val="nil"/>
              <w:left w:val="nil"/>
              <w:bottom w:val="single" w:sz="4" w:space="0" w:color="auto"/>
              <w:right w:val="single" w:sz="4" w:space="0" w:color="auto"/>
            </w:tcBorders>
            <w:shd w:val="clear" w:color="auto" w:fill="auto"/>
            <w:noWrap/>
            <w:vAlign w:val="bottom"/>
            <w:hideMark/>
          </w:tcPr>
          <w:p w14:paraId="1953B134"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3AC1D7E1"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743 072,59</w:t>
            </w:r>
          </w:p>
        </w:tc>
        <w:tc>
          <w:tcPr>
            <w:tcW w:w="1559" w:type="dxa"/>
            <w:tcBorders>
              <w:top w:val="nil"/>
              <w:left w:val="nil"/>
              <w:bottom w:val="single" w:sz="4" w:space="0" w:color="auto"/>
              <w:right w:val="single" w:sz="4" w:space="0" w:color="auto"/>
            </w:tcBorders>
            <w:shd w:val="clear" w:color="auto" w:fill="auto"/>
            <w:noWrap/>
            <w:vAlign w:val="bottom"/>
            <w:hideMark/>
          </w:tcPr>
          <w:p w14:paraId="3983B139"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743 072,59</w:t>
            </w:r>
          </w:p>
        </w:tc>
        <w:tc>
          <w:tcPr>
            <w:tcW w:w="1134" w:type="dxa"/>
            <w:tcBorders>
              <w:top w:val="nil"/>
              <w:left w:val="nil"/>
              <w:bottom w:val="single" w:sz="4" w:space="0" w:color="auto"/>
              <w:right w:val="single" w:sz="8" w:space="0" w:color="auto"/>
            </w:tcBorders>
            <w:shd w:val="clear" w:color="auto" w:fill="auto"/>
            <w:noWrap/>
            <w:vAlign w:val="bottom"/>
            <w:hideMark/>
          </w:tcPr>
          <w:p w14:paraId="0C32B36C"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100,0</w:t>
            </w:r>
          </w:p>
        </w:tc>
      </w:tr>
      <w:tr w:rsidR="0072554E" w:rsidRPr="0072554E" w14:paraId="6E78FE6A" w14:textId="77777777" w:rsidTr="009E7CFC">
        <w:trPr>
          <w:trHeight w:val="540"/>
        </w:trPr>
        <w:tc>
          <w:tcPr>
            <w:tcW w:w="851" w:type="dxa"/>
            <w:tcBorders>
              <w:top w:val="nil"/>
              <w:left w:val="single" w:sz="8" w:space="0" w:color="auto"/>
              <w:bottom w:val="single" w:sz="4" w:space="0" w:color="auto"/>
              <w:right w:val="single" w:sz="4" w:space="0" w:color="auto"/>
            </w:tcBorders>
            <w:shd w:val="clear" w:color="auto" w:fill="auto"/>
            <w:noWrap/>
            <w:vAlign w:val="bottom"/>
            <w:hideMark/>
          </w:tcPr>
          <w:p w14:paraId="4F0AA710"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2510</w:t>
            </w:r>
          </w:p>
        </w:tc>
        <w:tc>
          <w:tcPr>
            <w:tcW w:w="4235" w:type="dxa"/>
            <w:tcBorders>
              <w:top w:val="nil"/>
              <w:left w:val="nil"/>
              <w:bottom w:val="single" w:sz="4" w:space="0" w:color="auto"/>
              <w:right w:val="single" w:sz="4" w:space="0" w:color="auto"/>
            </w:tcBorders>
            <w:shd w:val="clear" w:color="auto" w:fill="auto"/>
            <w:vAlign w:val="center"/>
            <w:hideMark/>
          </w:tcPr>
          <w:p w14:paraId="66B7E867" w14:textId="0576452A" w:rsidR="0072554E" w:rsidRPr="0072554E" w:rsidRDefault="0072554E" w:rsidP="0072554E">
            <w:pPr>
              <w:spacing w:after="0" w:line="240" w:lineRule="auto"/>
              <w:rPr>
                <w:rFonts w:ascii="Calibri" w:eastAsia="Times New Roman" w:hAnsi="Calibri" w:cs="Arial"/>
                <w:sz w:val="20"/>
                <w:szCs w:val="20"/>
                <w:lang w:eastAsia="cs-CZ"/>
              </w:rPr>
            </w:pPr>
            <w:r w:rsidRPr="0072554E">
              <w:rPr>
                <w:rFonts w:ascii="Calibri" w:eastAsia="Times New Roman" w:hAnsi="Calibri" w:cs="Arial"/>
                <w:sz w:val="20"/>
                <w:szCs w:val="20"/>
                <w:lang w:eastAsia="cs-CZ"/>
              </w:rPr>
              <w:t xml:space="preserve">Středočeské inovační centrum </w:t>
            </w:r>
            <w:r w:rsidR="00050636">
              <w:rPr>
                <w:rFonts w:ascii="Calibri" w:eastAsia="Times New Roman" w:hAnsi="Calibri" w:cs="Arial"/>
                <w:sz w:val="20"/>
                <w:szCs w:val="20"/>
                <w:lang w:eastAsia="cs-CZ"/>
              </w:rPr>
              <w:t>– projekt PLATINN -</w:t>
            </w:r>
            <w:r w:rsidRPr="0072554E">
              <w:rPr>
                <w:rFonts w:ascii="Calibri" w:eastAsia="Times New Roman" w:hAnsi="Calibri" w:cs="Arial"/>
                <w:sz w:val="20"/>
                <w:szCs w:val="20"/>
                <w:lang w:eastAsia="cs-CZ"/>
              </w:rPr>
              <w:t xml:space="preserve"> neinvestiční transfery spolkům</w:t>
            </w:r>
          </w:p>
        </w:tc>
        <w:tc>
          <w:tcPr>
            <w:tcW w:w="1293" w:type="dxa"/>
            <w:tcBorders>
              <w:top w:val="nil"/>
              <w:left w:val="nil"/>
              <w:bottom w:val="single" w:sz="4" w:space="0" w:color="auto"/>
              <w:right w:val="single" w:sz="4" w:space="0" w:color="auto"/>
            </w:tcBorders>
            <w:shd w:val="clear" w:color="auto" w:fill="auto"/>
            <w:noWrap/>
            <w:vAlign w:val="bottom"/>
            <w:hideMark/>
          </w:tcPr>
          <w:p w14:paraId="385B9E38"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2DD1AC47"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347 570,33</w:t>
            </w:r>
          </w:p>
        </w:tc>
        <w:tc>
          <w:tcPr>
            <w:tcW w:w="1559" w:type="dxa"/>
            <w:tcBorders>
              <w:top w:val="nil"/>
              <w:left w:val="nil"/>
              <w:bottom w:val="single" w:sz="4" w:space="0" w:color="auto"/>
              <w:right w:val="single" w:sz="4" w:space="0" w:color="auto"/>
            </w:tcBorders>
            <w:shd w:val="clear" w:color="auto" w:fill="auto"/>
            <w:noWrap/>
            <w:vAlign w:val="bottom"/>
            <w:hideMark/>
          </w:tcPr>
          <w:p w14:paraId="5FCAE2C7"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0,00</w:t>
            </w:r>
          </w:p>
        </w:tc>
        <w:tc>
          <w:tcPr>
            <w:tcW w:w="1134" w:type="dxa"/>
            <w:tcBorders>
              <w:top w:val="nil"/>
              <w:left w:val="nil"/>
              <w:bottom w:val="single" w:sz="4" w:space="0" w:color="auto"/>
              <w:right w:val="single" w:sz="8" w:space="0" w:color="auto"/>
            </w:tcBorders>
            <w:shd w:val="clear" w:color="auto" w:fill="auto"/>
            <w:noWrap/>
            <w:vAlign w:val="bottom"/>
            <w:hideMark/>
          </w:tcPr>
          <w:p w14:paraId="056AD4F9"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0,0</w:t>
            </w:r>
          </w:p>
        </w:tc>
      </w:tr>
      <w:tr w:rsidR="0072554E" w:rsidRPr="0072554E" w14:paraId="0D700EB0" w14:textId="77777777" w:rsidTr="009E7CFC">
        <w:trPr>
          <w:trHeight w:val="510"/>
        </w:trPr>
        <w:tc>
          <w:tcPr>
            <w:tcW w:w="851" w:type="dxa"/>
            <w:tcBorders>
              <w:top w:val="nil"/>
              <w:left w:val="single" w:sz="8" w:space="0" w:color="auto"/>
              <w:bottom w:val="single" w:sz="4" w:space="0" w:color="auto"/>
              <w:right w:val="single" w:sz="4" w:space="0" w:color="auto"/>
            </w:tcBorders>
            <w:shd w:val="clear" w:color="auto" w:fill="auto"/>
            <w:noWrap/>
            <w:vAlign w:val="bottom"/>
            <w:hideMark/>
          </w:tcPr>
          <w:p w14:paraId="32C51DEC"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2510</w:t>
            </w:r>
          </w:p>
        </w:tc>
        <w:tc>
          <w:tcPr>
            <w:tcW w:w="4235" w:type="dxa"/>
            <w:tcBorders>
              <w:top w:val="nil"/>
              <w:left w:val="nil"/>
              <w:bottom w:val="single" w:sz="4" w:space="0" w:color="auto"/>
              <w:right w:val="single" w:sz="4" w:space="0" w:color="auto"/>
            </w:tcBorders>
            <w:shd w:val="clear" w:color="auto" w:fill="auto"/>
            <w:vAlign w:val="center"/>
            <w:hideMark/>
          </w:tcPr>
          <w:p w14:paraId="4F19B27C" w14:textId="77777777" w:rsidR="0072554E" w:rsidRPr="0072554E" w:rsidRDefault="0072554E" w:rsidP="0072554E">
            <w:pPr>
              <w:spacing w:after="0" w:line="240" w:lineRule="auto"/>
              <w:rPr>
                <w:rFonts w:ascii="Calibri" w:eastAsia="Times New Roman" w:hAnsi="Calibri" w:cs="Arial"/>
                <w:sz w:val="20"/>
                <w:szCs w:val="20"/>
                <w:lang w:eastAsia="cs-CZ"/>
              </w:rPr>
            </w:pPr>
            <w:r w:rsidRPr="0072554E">
              <w:rPr>
                <w:rFonts w:ascii="Calibri" w:eastAsia="Times New Roman" w:hAnsi="Calibri" w:cs="Arial"/>
                <w:sz w:val="20"/>
                <w:szCs w:val="20"/>
                <w:lang w:eastAsia="cs-CZ"/>
              </w:rPr>
              <w:t>Podpora podnikání - příspěvek příspěvkové organizaci Regionální dotační kancelář</w:t>
            </w:r>
          </w:p>
        </w:tc>
        <w:tc>
          <w:tcPr>
            <w:tcW w:w="1293" w:type="dxa"/>
            <w:tcBorders>
              <w:top w:val="nil"/>
              <w:left w:val="nil"/>
              <w:bottom w:val="single" w:sz="4" w:space="0" w:color="auto"/>
              <w:right w:val="single" w:sz="4" w:space="0" w:color="auto"/>
            </w:tcBorders>
            <w:shd w:val="clear" w:color="auto" w:fill="auto"/>
            <w:vAlign w:val="bottom"/>
            <w:hideMark/>
          </w:tcPr>
          <w:p w14:paraId="27E13164"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21 780 000</w:t>
            </w:r>
          </w:p>
        </w:tc>
        <w:tc>
          <w:tcPr>
            <w:tcW w:w="1701" w:type="dxa"/>
            <w:tcBorders>
              <w:top w:val="nil"/>
              <w:left w:val="nil"/>
              <w:bottom w:val="single" w:sz="4" w:space="0" w:color="auto"/>
              <w:right w:val="single" w:sz="4" w:space="0" w:color="auto"/>
            </w:tcBorders>
            <w:shd w:val="clear" w:color="auto" w:fill="auto"/>
            <w:vAlign w:val="bottom"/>
            <w:hideMark/>
          </w:tcPr>
          <w:p w14:paraId="053083DA"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21 830 000,00</w:t>
            </w:r>
          </w:p>
        </w:tc>
        <w:tc>
          <w:tcPr>
            <w:tcW w:w="1559" w:type="dxa"/>
            <w:tcBorders>
              <w:top w:val="nil"/>
              <w:left w:val="nil"/>
              <w:bottom w:val="single" w:sz="4" w:space="0" w:color="auto"/>
              <w:right w:val="single" w:sz="4" w:space="0" w:color="auto"/>
            </w:tcBorders>
            <w:shd w:val="clear" w:color="auto" w:fill="auto"/>
            <w:vAlign w:val="bottom"/>
            <w:hideMark/>
          </w:tcPr>
          <w:p w14:paraId="313EF05A"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21 830 000,00</w:t>
            </w:r>
          </w:p>
        </w:tc>
        <w:tc>
          <w:tcPr>
            <w:tcW w:w="1134" w:type="dxa"/>
            <w:tcBorders>
              <w:top w:val="nil"/>
              <w:left w:val="nil"/>
              <w:bottom w:val="single" w:sz="4" w:space="0" w:color="auto"/>
              <w:right w:val="single" w:sz="8" w:space="0" w:color="auto"/>
            </w:tcBorders>
            <w:shd w:val="clear" w:color="auto" w:fill="auto"/>
            <w:vAlign w:val="bottom"/>
            <w:hideMark/>
          </w:tcPr>
          <w:p w14:paraId="56978256"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100,0</w:t>
            </w:r>
          </w:p>
        </w:tc>
      </w:tr>
      <w:tr w:rsidR="0072554E" w:rsidRPr="0072554E" w14:paraId="439B26E2" w14:textId="77777777" w:rsidTr="009E7CFC">
        <w:trPr>
          <w:trHeight w:val="300"/>
        </w:trPr>
        <w:tc>
          <w:tcPr>
            <w:tcW w:w="851" w:type="dxa"/>
            <w:tcBorders>
              <w:top w:val="nil"/>
              <w:left w:val="single" w:sz="8" w:space="0" w:color="auto"/>
              <w:bottom w:val="single" w:sz="4" w:space="0" w:color="auto"/>
              <w:right w:val="single" w:sz="4" w:space="0" w:color="auto"/>
            </w:tcBorders>
            <w:shd w:val="clear" w:color="auto" w:fill="auto"/>
            <w:noWrap/>
            <w:vAlign w:val="center"/>
            <w:hideMark/>
          </w:tcPr>
          <w:p w14:paraId="1EF02991"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 </w:t>
            </w:r>
          </w:p>
        </w:tc>
        <w:tc>
          <w:tcPr>
            <w:tcW w:w="9922" w:type="dxa"/>
            <w:gridSpan w:val="5"/>
            <w:tcBorders>
              <w:top w:val="single" w:sz="4" w:space="0" w:color="auto"/>
              <w:left w:val="nil"/>
              <w:bottom w:val="single" w:sz="4" w:space="0" w:color="auto"/>
              <w:right w:val="single" w:sz="8" w:space="0" w:color="000000"/>
            </w:tcBorders>
            <w:shd w:val="clear" w:color="auto" w:fill="auto"/>
            <w:noWrap/>
            <w:vAlign w:val="bottom"/>
            <w:hideMark/>
          </w:tcPr>
          <w:p w14:paraId="7E7758EB" w14:textId="77777777" w:rsidR="0072554E" w:rsidRPr="0072554E" w:rsidRDefault="0072554E" w:rsidP="0072554E">
            <w:pPr>
              <w:spacing w:after="0" w:line="240" w:lineRule="auto"/>
              <w:rPr>
                <w:rFonts w:ascii="Calibri" w:eastAsia="Times New Roman" w:hAnsi="Calibri" w:cs="Arial"/>
                <w:sz w:val="20"/>
                <w:szCs w:val="20"/>
                <w:lang w:eastAsia="cs-CZ"/>
              </w:rPr>
            </w:pPr>
            <w:r w:rsidRPr="0072554E">
              <w:rPr>
                <w:rFonts w:ascii="Calibri" w:eastAsia="Times New Roman" w:hAnsi="Calibri" w:cs="Arial"/>
                <w:sz w:val="20"/>
                <w:szCs w:val="20"/>
                <w:lang w:eastAsia="cs-CZ"/>
              </w:rPr>
              <w:t>z toho:</w:t>
            </w:r>
          </w:p>
        </w:tc>
      </w:tr>
      <w:tr w:rsidR="0072554E" w:rsidRPr="0072554E" w14:paraId="15D3D68B" w14:textId="77777777" w:rsidTr="009E7CFC">
        <w:trPr>
          <w:trHeight w:val="300"/>
        </w:trPr>
        <w:tc>
          <w:tcPr>
            <w:tcW w:w="851" w:type="dxa"/>
            <w:tcBorders>
              <w:top w:val="nil"/>
              <w:left w:val="single" w:sz="8" w:space="0" w:color="auto"/>
              <w:bottom w:val="single" w:sz="4" w:space="0" w:color="auto"/>
              <w:right w:val="single" w:sz="4" w:space="0" w:color="auto"/>
            </w:tcBorders>
            <w:shd w:val="clear" w:color="auto" w:fill="auto"/>
            <w:noWrap/>
            <w:vAlign w:val="center"/>
            <w:hideMark/>
          </w:tcPr>
          <w:p w14:paraId="322F7B27"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 </w:t>
            </w:r>
          </w:p>
        </w:tc>
        <w:tc>
          <w:tcPr>
            <w:tcW w:w="4235" w:type="dxa"/>
            <w:tcBorders>
              <w:top w:val="nil"/>
              <w:left w:val="nil"/>
              <w:bottom w:val="single" w:sz="4" w:space="0" w:color="auto"/>
              <w:right w:val="single" w:sz="4" w:space="0" w:color="auto"/>
            </w:tcBorders>
            <w:shd w:val="clear" w:color="auto" w:fill="auto"/>
            <w:vAlign w:val="bottom"/>
            <w:hideMark/>
          </w:tcPr>
          <w:p w14:paraId="629452D8" w14:textId="77777777" w:rsidR="0072554E" w:rsidRPr="0072554E" w:rsidRDefault="0072554E" w:rsidP="0072554E">
            <w:pPr>
              <w:spacing w:after="0" w:line="240" w:lineRule="auto"/>
              <w:rPr>
                <w:rFonts w:ascii="Calibri" w:eastAsia="Times New Roman" w:hAnsi="Calibri" w:cs="Arial"/>
                <w:i/>
                <w:iCs/>
                <w:sz w:val="20"/>
                <w:szCs w:val="20"/>
                <w:lang w:eastAsia="cs-CZ"/>
              </w:rPr>
            </w:pPr>
            <w:r w:rsidRPr="0072554E">
              <w:rPr>
                <w:rFonts w:ascii="Calibri" w:eastAsia="Times New Roman" w:hAnsi="Calibri" w:cs="Arial"/>
                <w:i/>
                <w:iCs/>
                <w:sz w:val="20"/>
                <w:szCs w:val="20"/>
                <w:lang w:eastAsia="cs-CZ"/>
              </w:rPr>
              <w:t>příspěvek na provoz</w:t>
            </w:r>
          </w:p>
        </w:tc>
        <w:tc>
          <w:tcPr>
            <w:tcW w:w="1293" w:type="dxa"/>
            <w:tcBorders>
              <w:top w:val="nil"/>
              <w:left w:val="nil"/>
              <w:bottom w:val="single" w:sz="4" w:space="0" w:color="auto"/>
              <w:right w:val="single" w:sz="4" w:space="0" w:color="auto"/>
            </w:tcBorders>
            <w:shd w:val="clear" w:color="auto" w:fill="auto"/>
            <w:noWrap/>
            <w:vAlign w:val="bottom"/>
            <w:hideMark/>
          </w:tcPr>
          <w:p w14:paraId="6F3B13D7" w14:textId="77777777" w:rsidR="0072554E" w:rsidRPr="0072554E" w:rsidRDefault="0072554E" w:rsidP="0072554E">
            <w:pPr>
              <w:spacing w:after="0" w:line="240" w:lineRule="auto"/>
              <w:jc w:val="right"/>
              <w:rPr>
                <w:rFonts w:ascii="Calibri" w:eastAsia="Times New Roman" w:hAnsi="Calibri" w:cs="Arial"/>
                <w:i/>
                <w:iCs/>
                <w:sz w:val="20"/>
                <w:szCs w:val="20"/>
                <w:lang w:eastAsia="cs-CZ"/>
              </w:rPr>
            </w:pPr>
            <w:r w:rsidRPr="0072554E">
              <w:rPr>
                <w:rFonts w:ascii="Calibri" w:eastAsia="Times New Roman" w:hAnsi="Calibri" w:cs="Arial"/>
                <w:i/>
                <w:iCs/>
                <w:sz w:val="20"/>
                <w:szCs w:val="20"/>
                <w:lang w:eastAsia="cs-CZ"/>
              </w:rPr>
              <w:t>2 309 000</w:t>
            </w:r>
          </w:p>
        </w:tc>
        <w:tc>
          <w:tcPr>
            <w:tcW w:w="1701" w:type="dxa"/>
            <w:tcBorders>
              <w:top w:val="nil"/>
              <w:left w:val="nil"/>
              <w:bottom w:val="single" w:sz="4" w:space="0" w:color="auto"/>
              <w:right w:val="single" w:sz="4" w:space="0" w:color="auto"/>
            </w:tcBorders>
            <w:shd w:val="clear" w:color="auto" w:fill="auto"/>
            <w:noWrap/>
            <w:vAlign w:val="bottom"/>
            <w:hideMark/>
          </w:tcPr>
          <w:p w14:paraId="4875041C" w14:textId="77777777" w:rsidR="0072554E" w:rsidRPr="0072554E" w:rsidRDefault="0072554E" w:rsidP="0072554E">
            <w:pPr>
              <w:spacing w:after="0" w:line="240" w:lineRule="auto"/>
              <w:jc w:val="right"/>
              <w:rPr>
                <w:rFonts w:ascii="Calibri" w:eastAsia="Times New Roman" w:hAnsi="Calibri" w:cs="Arial"/>
                <w:i/>
                <w:iCs/>
                <w:sz w:val="20"/>
                <w:szCs w:val="20"/>
                <w:lang w:eastAsia="cs-CZ"/>
              </w:rPr>
            </w:pPr>
            <w:r w:rsidRPr="0072554E">
              <w:rPr>
                <w:rFonts w:ascii="Calibri" w:eastAsia="Times New Roman" w:hAnsi="Calibri" w:cs="Arial"/>
                <w:i/>
                <w:iCs/>
                <w:sz w:val="20"/>
                <w:szCs w:val="20"/>
                <w:lang w:eastAsia="cs-CZ"/>
              </w:rPr>
              <w:t>2 359 000,00</w:t>
            </w:r>
          </w:p>
        </w:tc>
        <w:tc>
          <w:tcPr>
            <w:tcW w:w="1559" w:type="dxa"/>
            <w:tcBorders>
              <w:top w:val="nil"/>
              <w:left w:val="nil"/>
              <w:bottom w:val="single" w:sz="4" w:space="0" w:color="auto"/>
              <w:right w:val="single" w:sz="4" w:space="0" w:color="auto"/>
            </w:tcBorders>
            <w:shd w:val="clear" w:color="auto" w:fill="auto"/>
            <w:noWrap/>
            <w:vAlign w:val="bottom"/>
            <w:hideMark/>
          </w:tcPr>
          <w:p w14:paraId="4C2B7A51" w14:textId="77777777" w:rsidR="0072554E" w:rsidRPr="0072554E" w:rsidRDefault="0072554E" w:rsidP="0072554E">
            <w:pPr>
              <w:spacing w:after="0" w:line="240" w:lineRule="auto"/>
              <w:jc w:val="right"/>
              <w:rPr>
                <w:rFonts w:ascii="Calibri" w:eastAsia="Times New Roman" w:hAnsi="Calibri" w:cs="Arial"/>
                <w:i/>
                <w:iCs/>
                <w:sz w:val="20"/>
                <w:szCs w:val="20"/>
                <w:lang w:eastAsia="cs-CZ"/>
              </w:rPr>
            </w:pPr>
            <w:r w:rsidRPr="0072554E">
              <w:rPr>
                <w:rFonts w:ascii="Calibri" w:eastAsia="Times New Roman" w:hAnsi="Calibri" w:cs="Arial"/>
                <w:i/>
                <w:iCs/>
                <w:sz w:val="20"/>
                <w:szCs w:val="20"/>
                <w:lang w:eastAsia="cs-CZ"/>
              </w:rPr>
              <w:t>2 359 000,00</w:t>
            </w:r>
          </w:p>
        </w:tc>
        <w:tc>
          <w:tcPr>
            <w:tcW w:w="1134" w:type="dxa"/>
            <w:tcBorders>
              <w:top w:val="nil"/>
              <w:left w:val="nil"/>
              <w:bottom w:val="single" w:sz="4" w:space="0" w:color="auto"/>
              <w:right w:val="single" w:sz="8" w:space="0" w:color="auto"/>
            </w:tcBorders>
            <w:shd w:val="clear" w:color="auto" w:fill="auto"/>
            <w:noWrap/>
            <w:vAlign w:val="bottom"/>
            <w:hideMark/>
          </w:tcPr>
          <w:p w14:paraId="3B004E97" w14:textId="77777777" w:rsidR="0072554E" w:rsidRPr="0072554E" w:rsidRDefault="0072554E" w:rsidP="0072554E">
            <w:pPr>
              <w:spacing w:after="0" w:line="240" w:lineRule="auto"/>
              <w:jc w:val="right"/>
              <w:rPr>
                <w:rFonts w:ascii="Calibri" w:eastAsia="Times New Roman" w:hAnsi="Calibri" w:cs="Arial"/>
                <w:i/>
                <w:iCs/>
                <w:sz w:val="20"/>
                <w:szCs w:val="20"/>
                <w:lang w:eastAsia="cs-CZ"/>
              </w:rPr>
            </w:pPr>
            <w:r w:rsidRPr="0072554E">
              <w:rPr>
                <w:rFonts w:ascii="Calibri" w:eastAsia="Times New Roman" w:hAnsi="Calibri" w:cs="Arial"/>
                <w:i/>
                <w:iCs/>
                <w:sz w:val="20"/>
                <w:szCs w:val="20"/>
                <w:lang w:eastAsia="cs-CZ"/>
              </w:rPr>
              <w:t>100,0</w:t>
            </w:r>
          </w:p>
        </w:tc>
      </w:tr>
      <w:tr w:rsidR="0072554E" w:rsidRPr="0072554E" w14:paraId="421EC161" w14:textId="77777777" w:rsidTr="009E7CFC">
        <w:trPr>
          <w:trHeight w:val="300"/>
        </w:trPr>
        <w:tc>
          <w:tcPr>
            <w:tcW w:w="851" w:type="dxa"/>
            <w:tcBorders>
              <w:top w:val="nil"/>
              <w:left w:val="single" w:sz="8" w:space="0" w:color="auto"/>
              <w:bottom w:val="single" w:sz="4" w:space="0" w:color="auto"/>
              <w:right w:val="single" w:sz="4" w:space="0" w:color="auto"/>
            </w:tcBorders>
            <w:shd w:val="clear" w:color="auto" w:fill="auto"/>
            <w:noWrap/>
            <w:vAlign w:val="center"/>
            <w:hideMark/>
          </w:tcPr>
          <w:p w14:paraId="7ADA443F"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 </w:t>
            </w:r>
          </w:p>
        </w:tc>
        <w:tc>
          <w:tcPr>
            <w:tcW w:w="4235" w:type="dxa"/>
            <w:tcBorders>
              <w:top w:val="nil"/>
              <w:left w:val="nil"/>
              <w:bottom w:val="single" w:sz="4" w:space="0" w:color="auto"/>
              <w:right w:val="single" w:sz="4" w:space="0" w:color="auto"/>
            </w:tcBorders>
            <w:shd w:val="clear" w:color="auto" w:fill="auto"/>
            <w:vAlign w:val="bottom"/>
            <w:hideMark/>
          </w:tcPr>
          <w:p w14:paraId="2279161B" w14:textId="77777777" w:rsidR="0072554E" w:rsidRPr="0072554E" w:rsidRDefault="0072554E" w:rsidP="0072554E">
            <w:pPr>
              <w:spacing w:after="0" w:line="240" w:lineRule="auto"/>
              <w:rPr>
                <w:rFonts w:ascii="Calibri" w:eastAsia="Times New Roman" w:hAnsi="Calibri" w:cs="Arial"/>
                <w:i/>
                <w:iCs/>
                <w:sz w:val="20"/>
                <w:szCs w:val="20"/>
                <w:lang w:eastAsia="cs-CZ"/>
              </w:rPr>
            </w:pPr>
            <w:r w:rsidRPr="0072554E">
              <w:rPr>
                <w:rFonts w:ascii="Calibri" w:eastAsia="Times New Roman" w:hAnsi="Calibri" w:cs="Arial"/>
                <w:i/>
                <w:iCs/>
                <w:sz w:val="20"/>
                <w:szCs w:val="20"/>
                <w:lang w:eastAsia="cs-CZ"/>
              </w:rPr>
              <w:t>příspěvek na mzdové výdaje</w:t>
            </w:r>
          </w:p>
        </w:tc>
        <w:tc>
          <w:tcPr>
            <w:tcW w:w="1293" w:type="dxa"/>
            <w:tcBorders>
              <w:top w:val="nil"/>
              <w:left w:val="nil"/>
              <w:bottom w:val="single" w:sz="4" w:space="0" w:color="auto"/>
              <w:right w:val="single" w:sz="4" w:space="0" w:color="auto"/>
            </w:tcBorders>
            <w:shd w:val="clear" w:color="auto" w:fill="auto"/>
            <w:noWrap/>
            <w:vAlign w:val="bottom"/>
            <w:hideMark/>
          </w:tcPr>
          <w:p w14:paraId="1A51CEF8" w14:textId="77777777" w:rsidR="0072554E" w:rsidRPr="0072554E" w:rsidRDefault="0072554E" w:rsidP="0072554E">
            <w:pPr>
              <w:spacing w:after="0" w:line="240" w:lineRule="auto"/>
              <w:jc w:val="right"/>
              <w:rPr>
                <w:rFonts w:ascii="Calibri" w:eastAsia="Times New Roman" w:hAnsi="Calibri" w:cs="Arial"/>
                <w:i/>
                <w:iCs/>
                <w:sz w:val="20"/>
                <w:szCs w:val="20"/>
                <w:lang w:eastAsia="cs-CZ"/>
              </w:rPr>
            </w:pPr>
            <w:r w:rsidRPr="0072554E">
              <w:rPr>
                <w:rFonts w:ascii="Calibri" w:eastAsia="Times New Roman" w:hAnsi="Calibri" w:cs="Arial"/>
                <w:i/>
                <w:iCs/>
                <w:sz w:val="20"/>
                <w:szCs w:val="20"/>
                <w:lang w:eastAsia="cs-CZ"/>
              </w:rPr>
              <w:t>19 299 000</w:t>
            </w:r>
          </w:p>
        </w:tc>
        <w:tc>
          <w:tcPr>
            <w:tcW w:w="1701" w:type="dxa"/>
            <w:tcBorders>
              <w:top w:val="nil"/>
              <w:left w:val="nil"/>
              <w:bottom w:val="single" w:sz="4" w:space="0" w:color="auto"/>
              <w:right w:val="single" w:sz="4" w:space="0" w:color="auto"/>
            </w:tcBorders>
            <w:shd w:val="clear" w:color="auto" w:fill="auto"/>
            <w:noWrap/>
            <w:vAlign w:val="bottom"/>
            <w:hideMark/>
          </w:tcPr>
          <w:p w14:paraId="4F7DCCAB" w14:textId="77777777" w:rsidR="0072554E" w:rsidRPr="0072554E" w:rsidRDefault="0072554E" w:rsidP="0072554E">
            <w:pPr>
              <w:spacing w:after="0" w:line="240" w:lineRule="auto"/>
              <w:jc w:val="right"/>
              <w:rPr>
                <w:rFonts w:ascii="Calibri" w:eastAsia="Times New Roman" w:hAnsi="Calibri" w:cs="Arial"/>
                <w:i/>
                <w:iCs/>
                <w:sz w:val="20"/>
                <w:szCs w:val="20"/>
                <w:lang w:eastAsia="cs-CZ"/>
              </w:rPr>
            </w:pPr>
            <w:r w:rsidRPr="0072554E">
              <w:rPr>
                <w:rFonts w:ascii="Calibri" w:eastAsia="Times New Roman" w:hAnsi="Calibri" w:cs="Arial"/>
                <w:i/>
                <w:iCs/>
                <w:sz w:val="20"/>
                <w:szCs w:val="20"/>
                <w:lang w:eastAsia="cs-CZ"/>
              </w:rPr>
              <w:t>19 299 000,00</w:t>
            </w:r>
          </w:p>
        </w:tc>
        <w:tc>
          <w:tcPr>
            <w:tcW w:w="1559" w:type="dxa"/>
            <w:tcBorders>
              <w:top w:val="nil"/>
              <w:left w:val="nil"/>
              <w:bottom w:val="single" w:sz="4" w:space="0" w:color="auto"/>
              <w:right w:val="single" w:sz="4" w:space="0" w:color="auto"/>
            </w:tcBorders>
            <w:shd w:val="clear" w:color="auto" w:fill="auto"/>
            <w:noWrap/>
            <w:vAlign w:val="bottom"/>
            <w:hideMark/>
          </w:tcPr>
          <w:p w14:paraId="2821AE63" w14:textId="77777777" w:rsidR="0072554E" w:rsidRPr="0072554E" w:rsidRDefault="0072554E" w:rsidP="0072554E">
            <w:pPr>
              <w:spacing w:after="0" w:line="240" w:lineRule="auto"/>
              <w:jc w:val="right"/>
              <w:rPr>
                <w:rFonts w:ascii="Calibri" w:eastAsia="Times New Roman" w:hAnsi="Calibri" w:cs="Arial"/>
                <w:i/>
                <w:iCs/>
                <w:sz w:val="20"/>
                <w:szCs w:val="20"/>
                <w:lang w:eastAsia="cs-CZ"/>
              </w:rPr>
            </w:pPr>
            <w:r w:rsidRPr="0072554E">
              <w:rPr>
                <w:rFonts w:ascii="Calibri" w:eastAsia="Times New Roman" w:hAnsi="Calibri" w:cs="Arial"/>
                <w:i/>
                <w:iCs/>
                <w:sz w:val="20"/>
                <w:szCs w:val="20"/>
                <w:lang w:eastAsia="cs-CZ"/>
              </w:rPr>
              <w:t>19 299 000,00</w:t>
            </w:r>
          </w:p>
        </w:tc>
        <w:tc>
          <w:tcPr>
            <w:tcW w:w="1134" w:type="dxa"/>
            <w:tcBorders>
              <w:top w:val="nil"/>
              <w:left w:val="nil"/>
              <w:bottom w:val="single" w:sz="4" w:space="0" w:color="auto"/>
              <w:right w:val="single" w:sz="8" w:space="0" w:color="auto"/>
            </w:tcBorders>
            <w:shd w:val="clear" w:color="auto" w:fill="auto"/>
            <w:noWrap/>
            <w:vAlign w:val="bottom"/>
            <w:hideMark/>
          </w:tcPr>
          <w:p w14:paraId="2F2BE5E1" w14:textId="77777777" w:rsidR="0072554E" w:rsidRPr="0072554E" w:rsidRDefault="0072554E" w:rsidP="0072554E">
            <w:pPr>
              <w:spacing w:after="0" w:line="240" w:lineRule="auto"/>
              <w:jc w:val="right"/>
              <w:rPr>
                <w:rFonts w:ascii="Calibri" w:eastAsia="Times New Roman" w:hAnsi="Calibri" w:cs="Arial"/>
                <w:i/>
                <w:iCs/>
                <w:sz w:val="20"/>
                <w:szCs w:val="20"/>
                <w:lang w:eastAsia="cs-CZ"/>
              </w:rPr>
            </w:pPr>
            <w:r w:rsidRPr="0072554E">
              <w:rPr>
                <w:rFonts w:ascii="Calibri" w:eastAsia="Times New Roman" w:hAnsi="Calibri" w:cs="Arial"/>
                <w:i/>
                <w:iCs/>
                <w:sz w:val="20"/>
                <w:szCs w:val="20"/>
                <w:lang w:eastAsia="cs-CZ"/>
              </w:rPr>
              <w:t>100,0</w:t>
            </w:r>
          </w:p>
        </w:tc>
      </w:tr>
      <w:tr w:rsidR="0072554E" w:rsidRPr="0072554E" w14:paraId="118700DB" w14:textId="77777777" w:rsidTr="009E7CFC">
        <w:trPr>
          <w:trHeight w:val="300"/>
        </w:trPr>
        <w:tc>
          <w:tcPr>
            <w:tcW w:w="851" w:type="dxa"/>
            <w:tcBorders>
              <w:top w:val="nil"/>
              <w:left w:val="single" w:sz="8" w:space="0" w:color="auto"/>
              <w:bottom w:val="single" w:sz="4" w:space="0" w:color="auto"/>
              <w:right w:val="single" w:sz="4" w:space="0" w:color="auto"/>
            </w:tcBorders>
            <w:shd w:val="clear" w:color="auto" w:fill="auto"/>
            <w:noWrap/>
            <w:vAlign w:val="center"/>
            <w:hideMark/>
          </w:tcPr>
          <w:p w14:paraId="30ED7B82"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 </w:t>
            </w:r>
          </w:p>
        </w:tc>
        <w:tc>
          <w:tcPr>
            <w:tcW w:w="4235" w:type="dxa"/>
            <w:tcBorders>
              <w:top w:val="nil"/>
              <w:left w:val="nil"/>
              <w:bottom w:val="single" w:sz="4" w:space="0" w:color="auto"/>
              <w:right w:val="single" w:sz="4" w:space="0" w:color="auto"/>
            </w:tcBorders>
            <w:shd w:val="clear" w:color="auto" w:fill="auto"/>
            <w:vAlign w:val="bottom"/>
            <w:hideMark/>
          </w:tcPr>
          <w:p w14:paraId="21A7F8D4" w14:textId="77777777" w:rsidR="0072554E" w:rsidRPr="0072554E" w:rsidRDefault="0072554E" w:rsidP="0072554E">
            <w:pPr>
              <w:spacing w:after="0" w:line="240" w:lineRule="auto"/>
              <w:rPr>
                <w:rFonts w:ascii="Calibri" w:eastAsia="Times New Roman" w:hAnsi="Calibri" w:cs="Arial"/>
                <w:i/>
                <w:iCs/>
                <w:sz w:val="20"/>
                <w:szCs w:val="20"/>
                <w:lang w:eastAsia="cs-CZ"/>
              </w:rPr>
            </w:pPr>
            <w:r w:rsidRPr="0072554E">
              <w:rPr>
                <w:rFonts w:ascii="Calibri" w:eastAsia="Times New Roman" w:hAnsi="Calibri" w:cs="Arial"/>
                <w:i/>
                <w:iCs/>
                <w:sz w:val="20"/>
                <w:szCs w:val="20"/>
                <w:lang w:eastAsia="cs-CZ"/>
              </w:rPr>
              <w:t>příspěvek na běžné opravy a udržování</w:t>
            </w:r>
          </w:p>
        </w:tc>
        <w:tc>
          <w:tcPr>
            <w:tcW w:w="1293" w:type="dxa"/>
            <w:tcBorders>
              <w:top w:val="nil"/>
              <w:left w:val="nil"/>
              <w:bottom w:val="single" w:sz="4" w:space="0" w:color="auto"/>
              <w:right w:val="single" w:sz="4" w:space="0" w:color="auto"/>
            </w:tcBorders>
            <w:shd w:val="clear" w:color="auto" w:fill="auto"/>
            <w:noWrap/>
            <w:vAlign w:val="bottom"/>
            <w:hideMark/>
          </w:tcPr>
          <w:p w14:paraId="4401A53F" w14:textId="77777777" w:rsidR="0072554E" w:rsidRPr="0072554E" w:rsidRDefault="0072554E" w:rsidP="0072554E">
            <w:pPr>
              <w:spacing w:after="0" w:line="240" w:lineRule="auto"/>
              <w:jc w:val="right"/>
              <w:rPr>
                <w:rFonts w:ascii="Calibri" w:eastAsia="Times New Roman" w:hAnsi="Calibri" w:cs="Arial"/>
                <w:i/>
                <w:iCs/>
                <w:sz w:val="20"/>
                <w:szCs w:val="20"/>
                <w:lang w:eastAsia="cs-CZ"/>
              </w:rPr>
            </w:pPr>
            <w:r w:rsidRPr="0072554E">
              <w:rPr>
                <w:rFonts w:ascii="Calibri" w:eastAsia="Times New Roman" w:hAnsi="Calibri" w:cs="Arial"/>
                <w:i/>
                <w:iCs/>
                <w:sz w:val="20"/>
                <w:szCs w:val="20"/>
                <w:lang w:eastAsia="cs-CZ"/>
              </w:rPr>
              <w:t>172 000</w:t>
            </w:r>
          </w:p>
        </w:tc>
        <w:tc>
          <w:tcPr>
            <w:tcW w:w="1701" w:type="dxa"/>
            <w:tcBorders>
              <w:top w:val="nil"/>
              <w:left w:val="nil"/>
              <w:bottom w:val="single" w:sz="4" w:space="0" w:color="auto"/>
              <w:right w:val="single" w:sz="4" w:space="0" w:color="auto"/>
            </w:tcBorders>
            <w:shd w:val="clear" w:color="auto" w:fill="auto"/>
            <w:noWrap/>
            <w:vAlign w:val="bottom"/>
            <w:hideMark/>
          </w:tcPr>
          <w:p w14:paraId="0E2D3FA0" w14:textId="77777777" w:rsidR="0072554E" w:rsidRPr="0072554E" w:rsidRDefault="0072554E" w:rsidP="0072554E">
            <w:pPr>
              <w:spacing w:after="0" w:line="240" w:lineRule="auto"/>
              <w:jc w:val="right"/>
              <w:rPr>
                <w:rFonts w:ascii="Calibri" w:eastAsia="Times New Roman" w:hAnsi="Calibri" w:cs="Arial"/>
                <w:i/>
                <w:iCs/>
                <w:sz w:val="20"/>
                <w:szCs w:val="20"/>
                <w:lang w:eastAsia="cs-CZ"/>
              </w:rPr>
            </w:pPr>
            <w:r w:rsidRPr="0072554E">
              <w:rPr>
                <w:rFonts w:ascii="Calibri" w:eastAsia="Times New Roman" w:hAnsi="Calibri" w:cs="Arial"/>
                <w:i/>
                <w:iCs/>
                <w:sz w:val="20"/>
                <w:szCs w:val="20"/>
                <w:lang w:eastAsia="cs-CZ"/>
              </w:rPr>
              <w:t>172 000,00</w:t>
            </w:r>
          </w:p>
        </w:tc>
        <w:tc>
          <w:tcPr>
            <w:tcW w:w="1559" w:type="dxa"/>
            <w:tcBorders>
              <w:top w:val="nil"/>
              <w:left w:val="nil"/>
              <w:bottom w:val="single" w:sz="4" w:space="0" w:color="auto"/>
              <w:right w:val="single" w:sz="4" w:space="0" w:color="auto"/>
            </w:tcBorders>
            <w:shd w:val="clear" w:color="auto" w:fill="auto"/>
            <w:noWrap/>
            <w:vAlign w:val="bottom"/>
            <w:hideMark/>
          </w:tcPr>
          <w:p w14:paraId="78EE9984" w14:textId="77777777" w:rsidR="0072554E" w:rsidRPr="0072554E" w:rsidRDefault="0072554E" w:rsidP="0072554E">
            <w:pPr>
              <w:spacing w:after="0" w:line="240" w:lineRule="auto"/>
              <w:jc w:val="right"/>
              <w:rPr>
                <w:rFonts w:ascii="Calibri" w:eastAsia="Times New Roman" w:hAnsi="Calibri" w:cs="Arial"/>
                <w:i/>
                <w:iCs/>
                <w:sz w:val="20"/>
                <w:szCs w:val="20"/>
                <w:lang w:eastAsia="cs-CZ"/>
              </w:rPr>
            </w:pPr>
            <w:r w:rsidRPr="0072554E">
              <w:rPr>
                <w:rFonts w:ascii="Calibri" w:eastAsia="Times New Roman" w:hAnsi="Calibri" w:cs="Arial"/>
                <w:i/>
                <w:iCs/>
                <w:sz w:val="20"/>
                <w:szCs w:val="20"/>
                <w:lang w:eastAsia="cs-CZ"/>
              </w:rPr>
              <w:t>172 000,00</w:t>
            </w:r>
          </w:p>
        </w:tc>
        <w:tc>
          <w:tcPr>
            <w:tcW w:w="1134" w:type="dxa"/>
            <w:tcBorders>
              <w:top w:val="nil"/>
              <w:left w:val="nil"/>
              <w:bottom w:val="single" w:sz="4" w:space="0" w:color="auto"/>
              <w:right w:val="single" w:sz="8" w:space="0" w:color="auto"/>
            </w:tcBorders>
            <w:shd w:val="clear" w:color="auto" w:fill="auto"/>
            <w:noWrap/>
            <w:vAlign w:val="bottom"/>
            <w:hideMark/>
          </w:tcPr>
          <w:p w14:paraId="74844639" w14:textId="77777777" w:rsidR="0072554E" w:rsidRPr="0072554E" w:rsidRDefault="0072554E" w:rsidP="0072554E">
            <w:pPr>
              <w:spacing w:after="0" w:line="240" w:lineRule="auto"/>
              <w:jc w:val="right"/>
              <w:rPr>
                <w:rFonts w:ascii="Calibri" w:eastAsia="Times New Roman" w:hAnsi="Calibri" w:cs="Arial"/>
                <w:i/>
                <w:iCs/>
                <w:sz w:val="20"/>
                <w:szCs w:val="20"/>
                <w:lang w:eastAsia="cs-CZ"/>
              </w:rPr>
            </w:pPr>
            <w:r w:rsidRPr="0072554E">
              <w:rPr>
                <w:rFonts w:ascii="Calibri" w:eastAsia="Times New Roman" w:hAnsi="Calibri" w:cs="Arial"/>
                <w:i/>
                <w:iCs/>
                <w:sz w:val="20"/>
                <w:szCs w:val="20"/>
                <w:lang w:eastAsia="cs-CZ"/>
              </w:rPr>
              <w:t>100,0</w:t>
            </w:r>
          </w:p>
        </w:tc>
      </w:tr>
      <w:tr w:rsidR="0072554E" w:rsidRPr="0072554E" w14:paraId="3C90EEF1" w14:textId="77777777" w:rsidTr="009E7CFC">
        <w:trPr>
          <w:trHeight w:val="300"/>
        </w:trPr>
        <w:tc>
          <w:tcPr>
            <w:tcW w:w="851" w:type="dxa"/>
            <w:tcBorders>
              <w:top w:val="nil"/>
              <w:left w:val="single" w:sz="8" w:space="0" w:color="auto"/>
              <w:bottom w:val="single" w:sz="4" w:space="0" w:color="auto"/>
              <w:right w:val="single" w:sz="4" w:space="0" w:color="auto"/>
            </w:tcBorders>
            <w:shd w:val="clear" w:color="auto" w:fill="auto"/>
            <w:noWrap/>
            <w:vAlign w:val="bottom"/>
            <w:hideMark/>
          </w:tcPr>
          <w:p w14:paraId="033886B0"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3713</w:t>
            </w:r>
          </w:p>
        </w:tc>
        <w:tc>
          <w:tcPr>
            <w:tcW w:w="4235" w:type="dxa"/>
            <w:tcBorders>
              <w:top w:val="nil"/>
              <w:left w:val="nil"/>
              <w:bottom w:val="single" w:sz="4" w:space="0" w:color="auto"/>
              <w:right w:val="single" w:sz="4" w:space="0" w:color="auto"/>
            </w:tcBorders>
            <w:shd w:val="clear" w:color="auto" w:fill="auto"/>
            <w:vAlign w:val="bottom"/>
            <w:hideMark/>
          </w:tcPr>
          <w:p w14:paraId="2A93B919" w14:textId="77777777" w:rsidR="0072554E" w:rsidRPr="0072554E" w:rsidRDefault="0072554E" w:rsidP="0072554E">
            <w:pPr>
              <w:spacing w:after="0" w:line="240" w:lineRule="auto"/>
              <w:rPr>
                <w:rFonts w:ascii="Calibri" w:eastAsia="Times New Roman" w:hAnsi="Calibri" w:cs="Arial"/>
                <w:sz w:val="20"/>
                <w:szCs w:val="20"/>
                <w:lang w:eastAsia="cs-CZ"/>
              </w:rPr>
            </w:pPr>
            <w:r w:rsidRPr="0072554E">
              <w:rPr>
                <w:rFonts w:ascii="Calibri" w:eastAsia="Times New Roman" w:hAnsi="Calibri" w:cs="Arial"/>
                <w:sz w:val="20"/>
                <w:szCs w:val="20"/>
                <w:lang w:eastAsia="cs-CZ"/>
              </w:rPr>
              <w:t>Změna technologií vytápění - rezerva, odvody a penále</w:t>
            </w:r>
          </w:p>
        </w:tc>
        <w:tc>
          <w:tcPr>
            <w:tcW w:w="1293" w:type="dxa"/>
            <w:tcBorders>
              <w:top w:val="nil"/>
              <w:left w:val="nil"/>
              <w:bottom w:val="single" w:sz="4" w:space="0" w:color="auto"/>
              <w:right w:val="single" w:sz="4" w:space="0" w:color="auto"/>
            </w:tcBorders>
            <w:shd w:val="clear" w:color="auto" w:fill="auto"/>
            <w:noWrap/>
            <w:vAlign w:val="bottom"/>
            <w:hideMark/>
          </w:tcPr>
          <w:p w14:paraId="0030BF8B"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6930D83D"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175 978,41</w:t>
            </w:r>
          </w:p>
        </w:tc>
        <w:tc>
          <w:tcPr>
            <w:tcW w:w="1559" w:type="dxa"/>
            <w:tcBorders>
              <w:top w:val="nil"/>
              <w:left w:val="nil"/>
              <w:bottom w:val="single" w:sz="4" w:space="0" w:color="auto"/>
              <w:right w:val="single" w:sz="4" w:space="0" w:color="auto"/>
            </w:tcBorders>
            <w:shd w:val="clear" w:color="auto" w:fill="auto"/>
            <w:noWrap/>
            <w:vAlign w:val="bottom"/>
            <w:hideMark/>
          </w:tcPr>
          <w:p w14:paraId="11E48477"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3 249,99</w:t>
            </w:r>
          </w:p>
        </w:tc>
        <w:tc>
          <w:tcPr>
            <w:tcW w:w="1134" w:type="dxa"/>
            <w:tcBorders>
              <w:top w:val="nil"/>
              <w:left w:val="nil"/>
              <w:bottom w:val="single" w:sz="4" w:space="0" w:color="auto"/>
              <w:right w:val="single" w:sz="8" w:space="0" w:color="auto"/>
            </w:tcBorders>
            <w:shd w:val="clear" w:color="auto" w:fill="auto"/>
            <w:noWrap/>
            <w:vAlign w:val="bottom"/>
            <w:hideMark/>
          </w:tcPr>
          <w:p w14:paraId="06BA851A"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1,8</w:t>
            </w:r>
          </w:p>
        </w:tc>
      </w:tr>
      <w:tr w:rsidR="0072554E" w:rsidRPr="0072554E" w14:paraId="4DAD2744" w14:textId="77777777" w:rsidTr="009E7CFC">
        <w:trPr>
          <w:trHeight w:val="510"/>
        </w:trPr>
        <w:tc>
          <w:tcPr>
            <w:tcW w:w="851" w:type="dxa"/>
            <w:tcBorders>
              <w:top w:val="nil"/>
              <w:left w:val="single" w:sz="8" w:space="0" w:color="auto"/>
              <w:bottom w:val="single" w:sz="4" w:space="0" w:color="auto"/>
              <w:right w:val="single" w:sz="4" w:space="0" w:color="auto"/>
            </w:tcBorders>
            <w:shd w:val="clear" w:color="auto" w:fill="auto"/>
            <w:noWrap/>
            <w:vAlign w:val="bottom"/>
            <w:hideMark/>
          </w:tcPr>
          <w:p w14:paraId="1F2B6BBE"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3714</w:t>
            </w:r>
          </w:p>
        </w:tc>
        <w:tc>
          <w:tcPr>
            <w:tcW w:w="4235" w:type="dxa"/>
            <w:tcBorders>
              <w:top w:val="nil"/>
              <w:left w:val="nil"/>
              <w:bottom w:val="single" w:sz="4" w:space="0" w:color="auto"/>
              <w:right w:val="single" w:sz="4" w:space="0" w:color="auto"/>
            </w:tcBorders>
            <w:shd w:val="clear" w:color="auto" w:fill="auto"/>
            <w:vAlign w:val="center"/>
            <w:hideMark/>
          </w:tcPr>
          <w:p w14:paraId="5FD129D8" w14:textId="77777777" w:rsidR="0072554E" w:rsidRPr="0072554E" w:rsidRDefault="0072554E" w:rsidP="0072554E">
            <w:pPr>
              <w:spacing w:after="0" w:line="240" w:lineRule="auto"/>
              <w:rPr>
                <w:rFonts w:ascii="Calibri" w:eastAsia="Times New Roman" w:hAnsi="Calibri" w:cs="Arial"/>
                <w:sz w:val="20"/>
                <w:szCs w:val="20"/>
                <w:lang w:eastAsia="cs-CZ"/>
              </w:rPr>
            </w:pPr>
            <w:r w:rsidRPr="0072554E">
              <w:rPr>
                <w:rFonts w:ascii="Calibri" w:eastAsia="Times New Roman" w:hAnsi="Calibri" w:cs="Arial"/>
                <w:sz w:val="20"/>
                <w:szCs w:val="20"/>
                <w:lang w:eastAsia="cs-CZ"/>
              </w:rPr>
              <w:t>Opatření ke snižování produkce skleníkových plynů a plynů poškozujících ozonovou vrstvu</w:t>
            </w:r>
          </w:p>
        </w:tc>
        <w:tc>
          <w:tcPr>
            <w:tcW w:w="1293" w:type="dxa"/>
            <w:tcBorders>
              <w:top w:val="nil"/>
              <w:left w:val="nil"/>
              <w:bottom w:val="single" w:sz="4" w:space="0" w:color="auto"/>
              <w:right w:val="single" w:sz="4" w:space="0" w:color="auto"/>
            </w:tcBorders>
            <w:shd w:val="clear" w:color="auto" w:fill="auto"/>
            <w:noWrap/>
            <w:vAlign w:val="bottom"/>
            <w:hideMark/>
          </w:tcPr>
          <w:p w14:paraId="763F2ACB"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70599A17"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664 656,20</w:t>
            </w:r>
          </w:p>
        </w:tc>
        <w:tc>
          <w:tcPr>
            <w:tcW w:w="1559" w:type="dxa"/>
            <w:tcBorders>
              <w:top w:val="nil"/>
              <w:left w:val="nil"/>
              <w:bottom w:val="single" w:sz="4" w:space="0" w:color="auto"/>
              <w:right w:val="single" w:sz="4" w:space="0" w:color="auto"/>
            </w:tcBorders>
            <w:shd w:val="clear" w:color="auto" w:fill="auto"/>
            <w:noWrap/>
            <w:vAlign w:val="bottom"/>
            <w:hideMark/>
          </w:tcPr>
          <w:p w14:paraId="3879575F"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0,00</w:t>
            </w:r>
          </w:p>
        </w:tc>
        <w:tc>
          <w:tcPr>
            <w:tcW w:w="1134" w:type="dxa"/>
            <w:tcBorders>
              <w:top w:val="nil"/>
              <w:left w:val="nil"/>
              <w:bottom w:val="single" w:sz="4" w:space="0" w:color="auto"/>
              <w:right w:val="single" w:sz="8" w:space="0" w:color="auto"/>
            </w:tcBorders>
            <w:shd w:val="clear" w:color="auto" w:fill="auto"/>
            <w:noWrap/>
            <w:vAlign w:val="bottom"/>
            <w:hideMark/>
          </w:tcPr>
          <w:p w14:paraId="2219AA76"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0,0</w:t>
            </w:r>
          </w:p>
        </w:tc>
      </w:tr>
      <w:tr w:rsidR="0072554E" w:rsidRPr="0072554E" w14:paraId="5ABEA8A0" w14:textId="77777777" w:rsidTr="009E7CFC">
        <w:trPr>
          <w:trHeight w:val="300"/>
        </w:trPr>
        <w:tc>
          <w:tcPr>
            <w:tcW w:w="851" w:type="dxa"/>
            <w:tcBorders>
              <w:top w:val="nil"/>
              <w:left w:val="single" w:sz="8" w:space="0" w:color="auto"/>
              <w:bottom w:val="single" w:sz="4" w:space="0" w:color="auto"/>
              <w:right w:val="single" w:sz="4" w:space="0" w:color="auto"/>
            </w:tcBorders>
            <w:shd w:val="clear" w:color="auto" w:fill="auto"/>
            <w:noWrap/>
            <w:vAlign w:val="center"/>
            <w:hideMark/>
          </w:tcPr>
          <w:p w14:paraId="06C8309A"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6172</w:t>
            </w:r>
          </w:p>
        </w:tc>
        <w:tc>
          <w:tcPr>
            <w:tcW w:w="4235" w:type="dxa"/>
            <w:tcBorders>
              <w:top w:val="nil"/>
              <w:left w:val="nil"/>
              <w:bottom w:val="single" w:sz="4" w:space="0" w:color="auto"/>
              <w:right w:val="single" w:sz="4" w:space="0" w:color="auto"/>
            </w:tcBorders>
            <w:shd w:val="clear" w:color="auto" w:fill="auto"/>
            <w:vAlign w:val="bottom"/>
            <w:hideMark/>
          </w:tcPr>
          <w:p w14:paraId="48FD2FB4" w14:textId="77777777" w:rsidR="0072554E" w:rsidRPr="0072554E" w:rsidRDefault="0072554E" w:rsidP="0072554E">
            <w:pPr>
              <w:spacing w:after="0" w:line="240" w:lineRule="auto"/>
              <w:rPr>
                <w:rFonts w:ascii="Calibri" w:eastAsia="Times New Roman" w:hAnsi="Calibri" w:cs="Arial"/>
                <w:sz w:val="20"/>
                <w:szCs w:val="20"/>
                <w:lang w:eastAsia="cs-CZ"/>
              </w:rPr>
            </w:pPr>
            <w:r w:rsidRPr="0072554E">
              <w:rPr>
                <w:rFonts w:ascii="Calibri" w:eastAsia="Times New Roman" w:hAnsi="Calibri" w:cs="Arial"/>
                <w:sz w:val="20"/>
                <w:szCs w:val="20"/>
                <w:lang w:eastAsia="cs-CZ"/>
              </w:rPr>
              <w:t>Činnost regionální správy - Zajištění provozu eDotací</w:t>
            </w:r>
          </w:p>
        </w:tc>
        <w:tc>
          <w:tcPr>
            <w:tcW w:w="1293" w:type="dxa"/>
            <w:tcBorders>
              <w:top w:val="nil"/>
              <w:left w:val="nil"/>
              <w:bottom w:val="nil"/>
              <w:right w:val="single" w:sz="4" w:space="0" w:color="auto"/>
            </w:tcBorders>
            <w:shd w:val="clear" w:color="auto" w:fill="auto"/>
            <w:noWrap/>
            <w:vAlign w:val="bottom"/>
            <w:hideMark/>
          </w:tcPr>
          <w:p w14:paraId="341BE93A"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1 000 000</w:t>
            </w:r>
          </w:p>
        </w:tc>
        <w:tc>
          <w:tcPr>
            <w:tcW w:w="1701" w:type="dxa"/>
            <w:tcBorders>
              <w:top w:val="nil"/>
              <w:left w:val="nil"/>
              <w:bottom w:val="nil"/>
              <w:right w:val="single" w:sz="4" w:space="0" w:color="auto"/>
            </w:tcBorders>
            <w:shd w:val="clear" w:color="auto" w:fill="auto"/>
            <w:noWrap/>
            <w:vAlign w:val="bottom"/>
            <w:hideMark/>
          </w:tcPr>
          <w:p w14:paraId="2DCF31EF"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1 603 250,00</w:t>
            </w:r>
          </w:p>
        </w:tc>
        <w:tc>
          <w:tcPr>
            <w:tcW w:w="1559" w:type="dxa"/>
            <w:tcBorders>
              <w:top w:val="nil"/>
              <w:left w:val="nil"/>
              <w:bottom w:val="nil"/>
              <w:right w:val="single" w:sz="4" w:space="0" w:color="auto"/>
            </w:tcBorders>
            <w:shd w:val="clear" w:color="auto" w:fill="auto"/>
            <w:noWrap/>
            <w:vAlign w:val="bottom"/>
            <w:hideMark/>
          </w:tcPr>
          <w:p w14:paraId="00BB6BD4"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1 149 500,00</w:t>
            </w:r>
          </w:p>
        </w:tc>
        <w:tc>
          <w:tcPr>
            <w:tcW w:w="1134" w:type="dxa"/>
            <w:tcBorders>
              <w:top w:val="nil"/>
              <w:left w:val="nil"/>
              <w:bottom w:val="single" w:sz="4" w:space="0" w:color="auto"/>
              <w:right w:val="single" w:sz="8" w:space="0" w:color="auto"/>
            </w:tcBorders>
            <w:shd w:val="clear" w:color="auto" w:fill="auto"/>
            <w:noWrap/>
            <w:vAlign w:val="bottom"/>
            <w:hideMark/>
          </w:tcPr>
          <w:p w14:paraId="31245ADD"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71,7</w:t>
            </w:r>
          </w:p>
        </w:tc>
      </w:tr>
      <w:tr w:rsidR="0072554E" w:rsidRPr="0072554E" w14:paraId="1D9895D4" w14:textId="77777777" w:rsidTr="009E7CFC">
        <w:trPr>
          <w:trHeight w:val="300"/>
        </w:trPr>
        <w:tc>
          <w:tcPr>
            <w:tcW w:w="851" w:type="dxa"/>
            <w:tcBorders>
              <w:top w:val="nil"/>
              <w:left w:val="single" w:sz="8" w:space="0" w:color="auto"/>
              <w:bottom w:val="single" w:sz="4" w:space="0" w:color="auto"/>
              <w:right w:val="single" w:sz="4" w:space="0" w:color="auto"/>
            </w:tcBorders>
            <w:shd w:val="clear" w:color="auto" w:fill="auto"/>
            <w:noWrap/>
            <w:vAlign w:val="center"/>
            <w:hideMark/>
          </w:tcPr>
          <w:p w14:paraId="5F57ED62"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6172</w:t>
            </w:r>
          </w:p>
        </w:tc>
        <w:tc>
          <w:tcPr>
            <w:tcW w:w="4235" w:type="dxa"/>
            <w:tcBorders>
              <w:top w:val="nil"/>
              <w:left w:val="nil"/>
              <w:bottom w:val="single" w:sz="4" w:space="0" w:color="auto"/>
              <w:right w:val="single" w:sz="4" w:space="0" w:color="auto"/>
            </w:tcBorders>
            <w:shd w:val="clear" w:color="auto" w:fill="auto"/>
            <w:vAlign w:val="bottom"/>
            <w:hideMark/>
          </w:tcPr>
          <w:p w14:paraId="4B3AB64C" w14:textId="77777777" w:rsidR="0072554E" w:rsidRPr="0072554E" w:rsidRDefault="0072554E" w:rsidP="0072554E">
            <w:pPr>
              <w:spacing w:after="0" w:line="240" w:lineRule="auto"/>
              <w:rPr>
                <w:rFonts w:ascii="Calibri" w:eastAsia="Times New Roman" w:hAnsi="Calibri" w:cs="Arial"/>
                <w:sz w:val="20"/>
                <w:szCs w:val="20"/>
                <w:lang w:eastAsia="cs-CZ"/>
              </w:rPr>
            </w:pPr>
            <w:r w:rsidRPr="0072554E">
              <w:rPr>
                <w:rFonts w:ascii="Calibri" w:eastAsia="Times New Roman" w:hAnsi="Calibri" w:cs="Arial"/>
                <w:sz w:val="20"/>
                <w:szCs w:val="20"/>
                <w:lang w:eastAsia="cs-CZ"/>
              </w:rPr>
              <w:t>Činnost regionální správy - Participativní rozpočet</w:t>
            </w:r>
          </w:p>
        </w:tc>
        <w:tc>
          <w:tcPr>
            <w:tcW w:w="1293" w:type="dxa"/>
            <w:tcBorders>
              <w:top w:val="single" w:sz="4" w:space="0" w:color="auto"/>
              <w:left w:val="nil"/>
              <w:bottom w:val="nil"/>
              <w:right w:val="single" w:sz="4" w:space="0" w:color="auto"/>
            </w:tcBorders>
            <w:shd w:val="clear" w:color="auto" w:fill="auto"/>
            <w:noWrap/>
            <w:vAlign w:val="bottom"/>
            <w:hideMark/>
          </w:tcPr>
          <w:p w14:paraId="26705874"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w:t>
            </w:r>
          </w:p>
        </w:tc>
        <w:tc>
          <w:tcPr>
            <w:tcW w:w="1701" w:type="dxa"/>
            <w:tcBorders>
              <w:top w:val="single" w:sz="4" w:space="0" w:color="auto"/>
              <w:left w:val="nil"/>
              <w:bottom w:val="nil"/>
              <w:right w:val="single" w:sz="4" w:space="0" w:color="auto"/>
            </w:tcBorders>
            <w:shd w:val="clear" w:color="auto" w:fill="auto"/>
            <w:noWrap/>
            <w:vAlign w:val="bottom"/>
            <w:hideMark/>
          </w:tcPr>
          <w:p w14:paraId="3EFE219F"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116 160,00</w:t>
            </w:r>
          </w:p>
        </w:tc>
        <w:tc>
          <w:tcPr>
            <w:tcW w:w="1559" w:type="dxa"/>
            <w:tcBorders>
              <w:top w:val="single" w:sz="4" w:space="0" w:color="auto"/>
              <w:left w:val="nil"/>
              <w:bottom w:val="nil"/>
              <w:right w:val="single" w:sz="4" w:space="0" w:color="auto"/>
            </w:tcBorders>
            <w:shd w:val="clear" w:color="auto" w:fill="auto"/>
            <w:noWrap/>
            <w:vAlign w:val="bottom"/>
            <w:hideMark/>
          </w:tcPr>
          <w:p w14:paraId="365CB58B"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0,00</w:t>
            </w:r>
          </w:p>
        </w:tc>
        <w:tc>
          <w:tcPr>
            <w:tcW w:w="1134" w:type="dxa"/>
            <w:tcBorders>
              <w:top w:val="nil"/>
              <w:left w:val="nil"/>
              <w:bottom w:val="single" w:sz="4" w:space="0" w:color="auto"/>
              <w:right w:val="single" w:sz="8" w:space="0" w:color="auto"/>
            </w:tcBorders>
            <w:shd w:val="clear" w:color="auto" w:fill="auto"/>
            <w:noWrap/>
            <w:vAlign w:val="bottom"/>
            <w:hideMark/>
          </w:tcPr>
          <w:p w14:paraId="1DAD54BD"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0,0</w:t>
            </w:r>
          </w:p>
        </w:tc>
      </w:tr>
      <w:tr w:rsidR="0072554E" w:rsidRPr="0072554E" w14:paraId="38A5DD88" w14:textId="77777777" w:rsidTr="009E7CFC">
        <w:trPr>
          <w:trHeight w:val="300"/>
        </w:trPr>
        <w:tc>
          <w:tcPr>
            <w:tcW w:w="851" w:type="dxa"/>
            <w:tcBorders>
              <w:top w:val="nil"/>
              <w:left w:val="single" w:sz="8" w:space="0" w:color="auto"/>
              <w:bottom w:val="single" w:sz="4" w:space="0" w:color="auto"/>
              <w:right w:val="single" w:sz="4" w:space="0" w:color="auto"/>
            </w:tcBorders>
            <w:shd w:val="clear" w:color="auto" w:fill="auto"/>
            <w:noWrap/>
            <w:vAlign w:val="center"/>
            <w:hideMark/>
          </w:tcPr>
          <w:p w14:paraId="01B89E37"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6172</w:t>
            </w:r>
          </w:p>
        </w:tc>
        <w:tc>
          <w:tcPr>
            <w:tcW w:w="4235" w:type="dxa"/>
            <w:tcBorders>
              <w:top w:val="nil"/>
              <w:left w:val="nil"/>
              <w:bottom w:val="nil"/>
              <w:right w:val="single" w:sz="4" w:space="0" w:color="auto"/>
            </w:tcBorders>
            <w:shd w:val="clear" w:color="auto" w:fill="auto"/>
            <w:vAlign w:val="bottom"/>
            <w:hideMark/>
          </w:tcPr>
          <w:p w14:paraId="229A604D" w14:textId="77777777" w:rsidR="0072554E" w:rsidRPr="0072554E" w:rsidRDefault="0072554E" w:rsidP="0072554E">
            <w:pPr>
              <w:spacing w:after="0" w:line="240" w:lineRule="auto"/>
              <w:rPr>
                <w:rFonts w:ascii="Calibri" w:eastAsia="Times New Roman" w:hAnsi="Calibri" w:cs="Arial"/>
                <w:sz w:val="20"/>
                <w:szCs w:val="20"/>
                <w:lang w:eastAsia="cs-CZ"/>
              </w:rPr>
            </w:pPr>
            <w:r w:rsidRPr="0072554E">
              <w:rPr>
                <w:rFonts w:ascii="Calibri" w:eastAsia="Times New Roman" w:hAnsi="Calibri" w:cs="Arial"/>
                <w:sz w:val="20"/>
                <w:szCs w:val="20"/>
                <w:lang w:eastAsia="cs-CZ"/>
              </w:rPr>
              <w:t>Činnost regionální správy - Dotace online - předplatné</w:t>
            </w:r>
          </w:p>
        </w:tc>
        <w:tc>
          <w:tcPr>
            <w:tcW w:w="1293" w:type="dxa"/>
            <w:tcBorders>
              <w:top w:val="single" w:sz="4" w:space="0" w:color="auto"/>
              <w:left w:val="nil"/>
              <w:bottom w:val="nil"/>
              <w:right w:val="single" w:sz="4" w:space="0" w:color="auto"/>
            </w:tcBorders>
            <w:shd w:val="clear" w:color="auto" w:fill="auto"/>
            <w:noWrap/>
            <w:vAlign w:val="bottom"/>
            <w:hideMark/>
          </w:tcPr>
          <w:p w14:paraId="176D25EC"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w:t>
            </w:r>
          </w:p>
        </w:tc>
        <w:tc>
          <w:tcPr>
            <w:tcW w:w="1701" w:type="dxa"/>
            <w:tcBorders>
              <w:top w:val="single" w:sz="4" w:space="0" w:color="auto"/>
              <w:left w:val="nil"/>
              <w:bottom w:val="nil"/>
              <w:right w:val="single" w:sz="4" w:space="0" w:color="auto"/>
            </w:tcBorders>
            <w:shd w:val="clear" w:color="auto" w:fill="auto"/>
            <w:noWrap/>
            <w:vAlign w:val="bottom"/>
            <w:hideMark/>
          </w:tcPr>
          <w:p w14:paraId="51547ED6"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9 680,00</w:t>
            </w:r>
          </w:p>
        </w:tc>
        <w:tc>
          <w:tcPr>
            <w:tcW w:w="1559" w:type="dxa"/>
            <w:tcBorders>
              <w:top w:val="single" w:sz="4" w:space="0" w:color="auto"/>
              <w:left w:val="nil"/>
              <w:bottom w:val="nil"/>
              <w:right w:val="single" w:sz="4" w:space="0" w:color="auto"/>
            </w:tcBorders>
            <w:shd w:val="clear" w:color="auto" w:fill="auto"/>
            <w:noWrap/>
            <w:vAlign w:val="bottom"/>
            <w:hideMark/>
          </w:tcPr>
          <w:p w14:paraId="3192C91C"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9 680,00</w:t>
            </w:r>
          </w:p>
        </w:tc>
        <w:tc>
          <w:tcPr>
            <w:tcW w:w="1134" w:type="dxa"/>
            <w:tcBorders>
              <w:top w:val="nil"/>
              <w:left w:val="nil"/>
              <w:bottom w:val="single" w:sz="4" w:space="0" w:color="auto"/>
              <w:right w:val="single" w:sz="8" w:space="0" w:color="auto"/>
            </w:tcBorders>
            <w:shd w:val="clear" w:color="auto" w:fill="auto"/>
            <w:noWrap/>
            <w:vAlign w:val="bottom"/>
            <w:hideMark/>
          </w:tcPr>
          <w:p w14:paraId="673A0A31"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100,0</w:t>
            </w:r>
          </w:p>
        </w:tc>
      </w:tr>
      <w:tr w:rsidR="0072554E" w:rsidRPr="0072554E" w14:paraId="75EF4FB5" w14:textId="77777777" w:rsidTr="009E7CFC">
        <w:trPr>
          <w:trHeight w:val="530"/>
        </w:trPr>
        <w:tc>
          <w:tcPr>
            <w:tcW w:w="851" w:type="dxa"/>
            <w:tcBorders>
              <w:top w:val="nil"/>
              <w:left w:val="single" w:sz="8" w:space="0" w:color="auto"/>
              <w:bottom w:val="single" w:sz="8" w:space="0" w:color="auto"/>
              <w:right w:val="single" w:sz="4" w:space="0" w:color="auto"/>
            </w:tcBorders>
            <w:shd w:val="clear" w:color="auto" w:fill="auto"/>
            <w:noWrap/>
            <w:vAlign w:val="center"/>
            <w:hideMark/>
          </w:tcPr>
          <w:p w14:paraId="4E307B2E"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6172</w:t>
            </w:r>
          </w:p>
        </w:tc>
        <w:tc>
          <w:tcPr>
            <w:tcW w:w="4235" w:type="dxa"/>
            <w:tcBorders>
              <w:top w:val="single" w:sz="4" w:space="0" w:color="auto"/>
              <w:left w:val="nil"/>
              <w:bottom w:val="single" w:sz="8" w:space="0" w:color="auto"/>
              <w:right w:val="single" w:sz="4" w:space="0" w:color="auto"/>
            </w:tcBorders>
            <w:shd w:val="clear" w:color="auto" w:fill="auto"/>
            <w:vAlign w:val="bottom"/>
            <w:hideMark/>
          </w:tcPr>
          <w:p w14:paraId="34F26635" w14:textId="1035DCA3" w:rsidR="0072554E" w:rsidRPr="0072554E" w:rsidRDefault="0072554E" w:rsidP="0072554E">
            <w:pPr>
              <w:spacing w:after="0" w:line="240" w:lineRule="auto"/>
              <w:rPr>
                <w:rFonts w:ascii="Calibri" w:eastAsia="Times New Roman" w:hAnsi="Calibri" w:cs="Arial"/>
                <w:sz w:val="20"/>
                <w:szCs w:val="20"/>
                <w:lang w:eastAsia="cs-CZ"/>
              </w:rPr>
            </w:pPr>
            <w:r w:rsidRPr="0072554E">
              <w:rPr>
                <w:rFonts w:ascii="Calibri" w:eastAsia="Times New Roman" w:hAnsi="Calibri" w:cs="Arial"/>
                <w:sz w:val="20"/>
                <w:szCs w:val="20"/>
                <w:lang w:eastAsia="cs-CZ"/>
              </w:rPr>
              <w:t xml:space="preserve">Činnost regionální správy - podpora živnostníkům </w:t>
            </w:r>
          </w:p>
        </w:tc>
        <w:tc>
          <w:tcPr>
            <w:tcW w:w="1293" w:type="dxa"/>
            <w:tcBorders>
              <w:top w:val="single" w:sz="4" w:space="0" w:color="auto"/>
              <w:left w:val="nil"/>
              <w:bottom w:val="single" w:sz="8" w:space="0" w:color="auto"/>
              <w:right w:val="single" w:sz="4" w:space="0" w:color="auto"/>
            </w:tcBorders>
            <w:shd w:val="clear" w:color="auto" w:fill="auto"/>
            <w:noWrap/>
            <w:vAlign w:val="bottom"/>
            <w:hideMark/>
          </w:tcPr>
          <w:p w14:paraId="5247D891"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w:t>
            </w:r>
          </w:p>
        </w:tc>
        <w:tc>
          <w:tcPr>
            <w:tcW w:w="1701" w:type="dxa"/>
            <w:tcBorders>
              <w:top w:val="single" w:sz="4" w:space="0" w:color="auto"/>
              <w:left w:val="nil"/>
              <w:bottom w:val="single" w:sz="8" w:space="0" w:color="auto"/>
              <w:right w:val="single" w:sz="4" w:space="0" w:color="auto"/>
            </w:tcBorders>
            <w:shd w:val="clear" w:color="auto" w:fill="auto"/>
            <w:noWrap/>
            <w:vAlign w:val="bottom"/>
            <w:hideMark/>
          </w:tcPr>
          <w:p w14:paraId="294C204C"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1 454 903,00</w:t>
            </w:r>
          </w:p>
        </w:tc>
        <w:tc>
          <w:tcPr>
            <w:tcW w:w="1559" w:type="dxa"/>
            <w:tcBorders>
              <w:top w:val="single" w:sz="4" w:space="0" w:color="auto"/>
              <w:left w:val="nil"/>
              <w:bottom w:val="single" w:sz="8" w:space="0" w:color="auto"/>
              <w:right w:val="single" w:sz="4" w:space="0" w:color="auto"/>
            </w:tcBorders>
            <w:shd w:val="clear" w:color="auto" w:fill="auto"/>
            <w:noWrap/>
            <w:vAlign w:val="bottom"/>
            <w:hideMark/>
          </w:tcPr>
          <w:p w14:paraId="687FD37B"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125 477,00</w:t>
            </w:r>
          </w:p>
        </w:tc>
        <w:tc>
          <w:tcPr>
            <w:tcW w:w="1134" w:type="dxa"/>
            <w:tcBorders>
              <w:top w:val="nil"/>
              <w:left w:val="nil"/>
              <w:bottom w:val="single" w:sz="8" w:space="0" w:color="auto"/>
              <w:right w:val="single" w:sz="8" w:space="0" w:color="auto"/>
            </w:tcBorders>
            <w:shd w:val="clear" w:color="auto" w:fill="auto"/>
            <w:noWrap/>
            <w:vAlign w:val="bottom"/>
            <w:hideMark/>
          </w:tcPr>
          <w:p w14:paraId="0AE107A7"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8,6</w:t>
            </w:r>
          </w:p>
        </w:tc>
      </w:tr>
      <w:tr w:rsidR="0072554E" w:rsidRPr="0072554E" w14:paraId="03137CD3" w14:textId="77777777" w:rsidTr="009E7CFC">
        <w:trPr>
          <w:trHeight w:val="320"/>
        </w:trPr>
        <w:tc>
          <w:tcPr>
            <w:tcW w:w="851" w:type="dxa"/>
            <w:tcBorders>
              <w:top w:val="nil"/>
              <w:left w:val="single" w:sz="8" w:space="0" w:color="auto"/>
              <w:bottom w:val="single" w:sz="8" w:space="0" w:color="auto"/>
              <w:right w:val="single" w:sz="4" w:space="0" w:color="auto"/>
            </w:tcBorders>
            <w:shd w:val="clear" w:color="auto" w:fill="auto"/>
            <w:noWrap/>
            <w:vAlign w:val="center"/>
            <w:hideMark/>
          </w:tcPr>
          <w:p w14:paraId="78D1BBE0" w14:textId="77777777" w:rsidR="0072554E" w:rsidRPr="0072554E" w:rsidRDefault="0072554E" w:rsidP="0072554E">
            <w:pPr>
              <w:spacing w:after="0" w:line="240" w:lineRule="auto"/>
              <w:jc w:val="center"/>
              <w:rPr>
                <w:rFonts w:ascii="Calibri" w:eastAsia="Times New Roman" w:hAnsi="Calibri" w:cs="Arial"/>
                <w:lang w:eastAsia="cs-CZ"/>
              </w:rPr>
            </w:pPr>
            <w:r w:rsidRPr="0072554E">
              <w:rPr>
                <w:rFonts w:ascii="Calibri" w:eastAsia="Times New Roman" w:hAnsi="Calibri" w:cs="Arial"/>
                <w:lang w:eastAsia="cs-CZ"/>
              </w:rPr>
              <w:t> </w:t>
            </w:r>
          </w:p>
        </w:tc>
        <w:tc>
          <w:tcPr>
            <w:tcW w:w="4235" w:type="dxa"/>
            <w:tcBorders>
              <w:top w:val="nil"/>
              <w:left w:val="nil"/>
              <w:bottom w:val="single" w:sz="8" w:space="0" w:color="auto"/>
              <w:right w:val="single" w:sz="4" w:space="0" w:color="auto"/>
            </w:tcBorders>
            <w:shd w:val="clear" w:color="auto" w:fill="auto"/>
            <w:noWrap/>
            <w:vAlign w:val="center"/>
            <w:hideMark/>
          </w:tcPr>
          <w:p w14:paraId="21217A96" w14:textId="77777777" w:rsidR="0072554E" w:rsidRPr="0072554E" w:rsidRDefault="0072554E" w:rsidP="0072554E">
            <w:pPr>
              <w:spacing w:after="0" w:line="240" w:lineRule="auto"/>
              <w:rPr>
                <w:rFonts w:ascii="Calibri" w:eastAsia="Times New Roman" w:hAnsi="Calibri" w:cs="Arial"/>
                <w:b/>
                <w:bCs/>
                <w:lang w:eastAsia="cs-CZ"/>
              </w:rPr>
            </w:pPr>
            <w:r w:rsidRPr="0072554E">
              <w:rPr>
                <w:rFonts w:ascii="Calibri" w:eastAsia="Times New Roman" w:hAnsi="Calibri" w:cs="Arial"/>
                <w:b/>
                <w:bCs/>
                <w:lang w:eastAsia="cs-CZ"/>
              </w:rPr>
              <w:t>Celkem</w:t>
            </w:r>
          </w:p>
        </w:tc>
        <w:tc>
          <w:tcPr>
            <w:tcW w:w="1293" w:type="dxa"/>
            <w:tcBorders>
              <w:top w:val="nil"/>
              <w:left w:val="nil"/>
              <w:bottom w:val="single" w:sz="8" w:space="0" w:color="auto"/>
              <w:right w:val="single" w:sz="4" w:space="0" w:color="auto"/>
            </w:tcBorders>
            <w:shd w:val="clear" w:color="auto" w:fill="auto"/>
            <w:noWrap/>
            <w:vAlign w:val="bottom"/>
            <w:hideMark/>
          </w:tcPr>
          <w:p w14:paraId="1C6889DC" w14:textId="77777777" w:rsidR="0072554E" w:rsidRPr="0072554E" w:rsidRDefault="0072554E" w:rsidP="0072554E">
            <w:pPr>
              <w:spacing w:after="0" w:line="240" w:lineRule="auto"/>
              <w:jc w:val="right"/>
              <w:rPr>
                <w:rFonts w:ascii="Calibri" w:eastAsia="Times New Roman" w:hAnsi="Calibri" w:cs="Arial"/>
                <w:b/>
                <w:bCs/>
                <w:lang w:eastAsia="cs-CZ"/>
              </w:rPr>
            </w:pPr>
            <w:r w:rsidRPr="0072554E">
              <w:rPr>
                <w:rFonts w:ascii="Calibri" w:eastAsia="Times New Roman" w:hAnsi="Calibri" w:cs="Arial"/>
                <w:b/>
                <w:bCs/>
                <w:lang w:eastAsia="cs-CZ"/>
              </w:rPr>
              <w:t>22 780 000</w:t>
            </w:r>
          </w:p>
        </w:tc>
        <w:tc>
          <w:tcPr>
            <w:tcW w:w="1701" w:type="dxa"/>
            <w:tcBorders>
              <w:top w:val="nil"/>
              <w:left w:val="nil"/>
              <w:bottom w:val="single" w:sz="8" w:space="0" w:color="auto"/>
              <w:right w:val="single" w:sz="4" w:space="0" w:color="auto"/>
            </w:tcBorders>
            <w:shd w:val="clear" w:color="auto" w:fill="auto"/>
            <w:noWrap/>
            <w:vAlign w:val="center"/>
            <w:hideMark/>
          </w:tcPr>
          <w:p w14:paraId="717D8DB1" w14:textId="77777777" w:rsidR="0072554E" w:rsidRPr="0072554E" w:rsidRDefault="0072554E" w:rsidP="0072554E">
            <w:pPr>
              <w:spacing w:after="0" w:line="240" w:lineRule="auto"/>
              <w:jc w:val="right"/>
              <w:rPr>
                <w:rFonts w:ascii="Calibri" w:eastAsia="Times New Roman" w:hAnsi="Calibri" w:cs="Arial"/>
                <w:b/>
                <w:bCs/>
                <w:lang w:eastAsia="cs-CZ"/>
              </w:rPr>
            </w:pPr>
            <w:r w:rsidRPr="0072554E">
              <w:rPr>
                <w:rFonts w:ascii="Calibri" w:eastAsia="Times New Roman" w:hAnsi="Calibri" w:cs="Arial"/>
                <w:b/>
                <w:bCs/>
                <w:lang w:eastAsia="cs-CZ"/>
              </w:rPr>
              <w:t>44 485 130,34</w:t>
            </w:r>
          </w:p>
        </w:tc>
        <w:tc>
          <w:tcPr>
            <w:tcW w:w="1559" w:type="dxa"/>
            <w:tcBorders>
              <w:top w:val="nil"/>
              <w:left w:val="nil"/>
              <w:bottom w:val="single" w:sz="8" w:space="0" w:color="auto"/>
              <w:right w:val="single" w:sz="4" w:space="0" w:color="auto"/>
            </w:tcBorders>
            <w:shd w:val="clear" w:color="auto" w:fill="auto"/>
            <w:noWrap/>
            <w:vAlign w:val="center"/>
            <w:hideMark/>
          </w:tcPr>
          <w:p w14:paraId="78B1B828" w14:textId="77777777" w:rsidR="0072554E" w:rsidRPr="0072554E" w:rsidRDefault="0072554E" w:rsidP="0072554E">
            <w:pPr>
              <w:spacing w:after="0" w:line="240" w:lineRule="auto"/>
              <w:jc w:val="right"/>
              <w:rPr>
                <w:rFonts w:ascii="Calibri" w:eastAsia="Times New Roman" w:hAnsi="Calibri" w:cs="Arial"/>
                <w:b/>
                <w:bCs/>
                <w:lang w:eastAsia="cs-CZ"/>
              </w:rPr>
            </w:pPr>
            <w:r w:rsidRPr="0072554E">
              <w:rPr>
                <w:rFonts w:ascii="Calibri" w:eastAsia="Times New Roman" w:hAnsi="Calibri" w:cs="Arial"/>
                <w:b/>
                <w:bCs/>
                <w:lang w:eastAsia="cs-CZ"/>
              </w:rPr>
              <w:t>38 426 206,58</w:t>
            </w:r>
          </w:p>
        </w:tc>
        <w:tc>
          <w:tcPr>
            <w:tcW w:w="1134" w:type="dxa"/>
            <w:tcBorders>
              <w:top w:val="nil"/>
              <w:left w:val="nil"/>
              <w:bottom w:val="single" w:sz="8" w:space="0" w:color="auto"/>
              <w:right w:val="single" w:sz="8" w:space="0" w:color="auto"/>
            </w:tcBorders>
            <w:shd w:val="clear" w:color="auto" w:fill="auto"/>
            <w:noWrap/>
            <w:vAlign w:val="bottom"/>
            <w:hideMark/>
          </w:tcPr>
          <w:p w14:paraId="54F2D648" w14:textId="77777777" w:rsidR="0072554E" w:rsidRPr="0072554E" w:rsidRDefault="0072554E" w:rsidP="0072554E">
            <w:pPr>
              <w:spacing w:after="0" w:line="240" w:lineRule="auto"/>
              <w:jc w:val="right"/>
              <w:rPr>
                <w:rFonts w:ascii="Calibri" w:eastAsia="Times New Roman" w:hAnsi="Calibri" w:cs="Arial"/>
                <w:b/>
                <w:bCs/>
                <w:lang w:eastAsia="cs-CZ"/>
              </w:rPr>
            </w:pPr>
            <w:r w:rsidRPr="0072554E">
              <w:rPr>
                <w:rFonts w:ascii="Calibri" w:eastAsia="Times New Roman" w:hAnsi="Calibri" w:cs="Arial"/>
                <w:b/>
                <w:bCs/>
                <w:lang w:eastAsia="cs-CZ"/>
              </w:rPr>
              <w:t>86,4</w:t>
            </w:r>
          </w:p>
        </w:tc>
      </w:tr>
      <w:tr w:rsidR="0072554E" w:rsidRPr="0072554E" w14:paraId="57130113" w14:textId="77777777" w:rsidTr="009E7CFC">
        <w:trPr>
          <w:trHeight w:val="300"/>
        </w:trPr>
        <w:tc>
          <w:tcPr>
            <w:tcW w:w="851" w:type="dxa"/>
            <w:tcBorders>
              <w:top w:val="nil"/>
              <w:left w:val="single" w:sz="8" w:space="0" w:color="auto"/>
              <w:bottom w:val="nil"/>
              <w:right w:val="nil"/>
            </w:tcBorders>
            <w:shd w:val="clear" w:color="auto" w:fill="auto"/>
            <w:noWrap/>
            <w:vAlign w:val="center"/>
            <w:hideMark/>
          </w:tcPr>
          <w:p w14:paraId="1DA85703" w14:textId="77777777" w:rsidR="0072554E" w:rsidRPr="0072554E" w:rsidRDefault="0072554E" w:rsidP="0072554E">
            <w:pPr>
              <w:spacing w:after="0" w:line="240" w:lineRule="auto"/>
              <w:jc w:val="right"/>
              <w:rPr>
                <w:rFonts w:ascii="Calibri" w:eastAsia="Times New Roman" w:hAnsi="Calibri" w:cs="Arial"/>
                <w:b/>
                <w:bCs/>
                <w:lang w:eastAsia="cs-CZ"/>
              </w:rPr>
            </w:pPr>
          </w:p>
        </w:tc>
        <w:tc>
          <w:tcPr>
            <w:tcW w:w="4235" w:type="dxa"/>
            <w:tcBorders>
              <w:top w:val="nil"/>
              <w:left w:val="nil"/>
              <w:bottom w:val="nil"/>
              <w:right w:val="nil"/>
            </w:tcBorders>
            <w:shd w:val="clear" w:color="auto" w:fill="auto"/>
            <w:noWrap/>
            <w:vAlign w:val="center"/>
            <w:hideMark/>
          </w:tcPr>
          <w:p w14:paraId="5E1ED5F2" w14:textId="77777777" w:rsidR="0072554E" w:rsidRPr="0072554E" w:rsidRDefault="0072554E" w:rsidP="0072554E">
            <w:pPr>
              <w:spacing w:after="0" w:line="240" w:lineRule="auto"/>
              <w:jc w:val="center"/>
              <w:rPr>
                <w:rFonts w:ascii="Times New Roman" w:eastAsia="Times New Roman" w:hAnsi="Times New Roman" w:cs="Times New Roman"/>
                <w:sz w:val="20"/>
                <w:szCs w:val="20"/>
                <w:lang w:eastAsia="cs-CZ"/>
              </w:rPr>
            </w:pPr>
          </w:p>
        </w:tc>
        <w:tc>
          <w:tcPr>
            <w:tcW w:w="1293" w:type="dxa"/>
            <w:tcBorders>
              <w:top w:val="nil"/>
              <w:left w:val="nil"/>
              <w:bottom w:val="nil"/>
              <w:right w:val="nil"/>
            </w:tcBorders>
            <w:shd w:val="clear" w:color="auto" w:fill="auto"/>
            <w:noWrap/>
            <w:vAlign w:val="center"/>
            <w:hideMark/>
          </w:tcPr>
          <w:p w14:paraId="60029D2C" w14:textId="77777777" w:rsidR="0072554E" w:rsidRPr="0072554E" w:rsidRDefault="0072554E" w:rsidP="0072554E">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center"/>
            <w:hideMark/>
          </w:tcPr>
          <w:p w14:paraId="5F548F47" w14:textId="77777777" w:rsidR="0072554E" w:rsidRPr="0072554E" w:rsidRDefault="0072554E" w:rsidP="0072554E">
            <w:pPr>
              <w:spacing w:after="0" w:line="240" w:lineRule="auto"/>
              <w:jc w:val="right"/>
              <w:rPr>
                <w:rFonts w:ascii="Times New Roman" w:eastAsia="Times New Roman" w:hAnsi="Times New Roman" w:cs="Times New Roman"/>
                <w:sz w:val="20"/>
                <w:szCs w:val="20"/>
                <w:lang w:eastAsia="cs-CZ"/>
              </w:rPr>
            </w:pPr>
          </w:p>
        </w:tc>
        <w:tc>
          <w:tcPr>
            <w:tcW w:w="1559" w:type="dxa"/>
            <w:tcBorders>
              <w:top w:val="nil"/>
              <w:left w:val="nil"/>
              <w:bottom w:val="nil"/>
              <w:right w:val="nil"/>
            </w:tcBorders>
            <w:shd w:val="clear" w:color="auto" w:fill="auto"/>
            <w:noWrap/>
            <w:vAlign w:val="center"/>
            <w:hideMark/>
          </w:tcPr>
          <w:p w14:paraId="4A097F05" w14:textId="77777777" w:rsidR="0072554E" w:rsidRPr="0072554E" w:rsidRDefault="0072554E" w:rsidP="0072554E">
            <w:pPr>
              <w:spacing w:after="0" w:line="240" w:lineRule="auto"/>
              <w:jc w:val="right"/>
              <w:rPr>
                <w:rFonts w:ascii="Times New Roman" w:eastAsia="Times New Roman" w:hAnsi="Times New Roman" w:cs="Times New Roman"/>
                <w:sz w:val="20"/>
                <w:szCs w:val="20"/>
                <w:lang w:eastAsia="cs-CZ"/>
              </w:rPr>
            </w:pPr>
          </w:p>
        </w:tc>
        <w:tc>
          <w:tcPr>
            <w:tcW w:w="1134" w:type="dxa"/>
            <w:tcBorders>
              <w:top w:val="nil"/>
              <w:left w:val="nil"/>
              <w:bottom w:val="nil"/>
              <w:right w:val="nil"/>
            </w:tcBorders>
            <w:shd w:val="clear" w:color="auto" w:fill="auto"/>
            <w:noWrap/>
            <w:vAlign w:val="center"/>
            <w:hideMark/>
          </w:tcPr>
          <w:p w14:paraId="695AAFB1" w14:textId="77777777" w:rsidR="0072554E" w:rsidRPr="0072554E" w:rsidRDefault="0072554E" w:rsidP="0072554E">
            <w:pPr>
              <w:spacing w:after="0" w:line="240" w:lineRule="auto"/>
              <w:jc w:val="right"/>
              <w:rPr>
                <w:rFonts w:ascii="Times New Roman" w:eastAsia="Times New Roman" w:hAnsi="Times New Roman" w:cs="Times New Roman"/>
                <w:sz w:val="20"/>
                <w:szCs w:val="20"/>
                <w:lang w:eastAsia="cs-CZ"/>
              </w:rPr>
            </w:pPr>
          </w:p>
        </w:tc>
      </w:tr>
      <w:tr w:rsidR="0072554E" w:rsidRPr="0072554E" w14:paraId="3D883F34" w14:textId="77777777" w:rsidTr="009E7CFC">
        <w:trPr>
          <w:trHeight w:val="360"/>
        </w:trPr>
        <w:tc>
          <w:tcPr>
            <w:tcW w:w="851" w:type="dxa"/>
            <w:tcBorders>
              <w:top w:val="nil"/>
              <w:left w:val="single" w:sz="8" w:space="0" w:color="auto"/>
              <w:bottom w:val="single" w:sz="8" w:space="0" w:color="auto"/>
              <w:right w:val="nil"/>
            </w:tcBorders>
            <w:shd w:val="clear" w:color="auto" w:fill="auto"/>
            <w:noWrap/>
            <w:vAlign w:val="center"/>
            <w:hideMark/>
          </w:tcPr>
          <w:p w14:paraId="0F1D25B3" w14:textId="77777777" w:rsidR="0072554E" w:rsidRPr="0072554E" w:rsidRDefault="0072554E" w:rsidP="0072554E">
            <w:pPr>
              <w:spacing w:after="0" w:line="240" w:lineRule="auto"/>
              <w:jc w:val="right"/>
              <w:rPr>
                <w:rFonts w:ascii="Times New Roman" w:eastAsia="Times New Roman" w:hAnsi="Times New Roman" w:cs="Times New Roman"/>
                <w:sz w:val="20"/>
                <w:szCs w:val="20"/>
                <w:lang w:eastAsia="cs-CZ"/>
              </w:rPr>
            </w:pPr>
          </w:p>
        </w:tc>
        <w:tc>
          <w:tcPr>
            <w:tcW w:w="4235" w:type="dxa"/>
            <w:tcBorders>
              <w:top w:val="nil"/>
              <w:left w:val="nil"/>
              <w:bottom w:val="nil"/>
              <w:right w:val="nil"/>
            </w:tcBorders>
            <w:shd w:val="clear" w:color="auto" w:fill="auto"/>
            <w:noWrap/>
            <w:vAlign w:val="bottom"/>
            <w:hideMark/>
          </w:tcPr>
          <w:p w14:paraId="6C3BF7CD" w14:textId="77777777" w:rsidR="0072554E" w:rsidRPr="0072554E" w:rsidRDefault="0072554E" w:rsidP="0072554E">
            <w:pPr>
              <w:spacing w:after="0" w:line="240" w:lineRule="auto"/>
              <w:rPr>
                <w:rFonts w:ascii="Calibri" w:eastAsia="Times New Roman" w:hAnsi="Calibri" w:cs="Arial"/>
                <w:b/>
                <w:bCs/>
                <w:lang w:eastAsia="cs-CZ"/>
              </w:rPr>
            </w:pPr>
            <w:r w:rsidRPr="0072554E">
              <w:rPr>
                <w:rFonts w:ascii="Calibri" w:eastAsia="Times New Roman" w:hAnsi="Calibri" w:cs="Arial"/>
                <w:b/>
                <w:bCs/>
                <w:lang w:eastAsia="cs-CZ"/>
              </w:rPr>
              <w:t>Fondy</w:t>
            </w:r>
          </w:p>
        </w:tc>
        <w:tc>
          <w:tcPr>
            <w:tcW w:w="1293" w:type="dxa"/>
            <w:tcBorders>
              <w:top w:val="nil"/>
              <w:left w:val="nil"/>
              <w:bottom w:val="nil"/>
              <w:right w:val="nil"/>
            </w:tcBorders>
            <w:shd w:val="clear" w:color="auto" w:fill="auto"/>
            <w:noWrap/>
            <w:vAlign w:val="center"/>
            <w:hideMark/>
          </w:tcPr>
          <w:p w14:paraId="539E6104" w14:textId="77777777" w:rsidR="0072554E" w:rsidRPr="0072554E" w:rsidRDefault="0072554E" w:rsidP="0072554E">
            <w:pPr>
              <w:spacing w:after="0" w:line="240" w:lineRule="auto"/>
              <w:rPr>
                <w:rFonts w:ascii="Calibri" w:eastAsia="Times New Roman" w:hAnsi="Calibri" w:cs="Arial"/>
                <w:b/>
                <w:bCs/>
                <w:lang w:eastAsia="cs-CZ"/>
              </w:rPr>
            </w:pPr>
          </w:p>
        </w:tc>
        <w:tc>
          <w:tcPr>
            <w:tcW w:w="1701" w:type="dxa"/>
            <w:tcBorders>
              <w:top w:val="nil"/>
              <w:left w:val="nil"/>
              <w:bottom w:val="nil"/>
              <w:right w:val="nil"/>
            </w:tcBorders>
            <w:shd w:val="clear" w:color="auto" w:fill="auto"/>
            <w:noWrap/>
            <w:vAlign w:val="center"/>
            <w:hideMark/>
          </w:tcPr>
          <w:p w14:paraId="7DFCC5DE" w14:textId="77777777" w:rsidR="0072554E" w:rsidRPr="0072554E" w:rsidRDefault="0072554E" w:rsidP="0072554E">
            <w:pPr>
              <w:spacing w:after="0" w:line="240" w:lineRule="auto"/>
              <w:jc w:val="right"/>
              <w:rPr>
                <w:rFonts w:ascii="Times New Roman" w:eastAsia="Times New Roman" w:hAnsi="Times New Roman" w:cs="Times New Roman"/>
                <w:sz w:val="20"/>
                <w:szCs w:val="20"/>
                <w:lang w:eastAsia="cs-CZ"/>
              </w:rPr>
            </w:pPr>
          </w:p>
        </w:tc>
        <w:tc>
          <w:tcPr>
            <w:tcW w:w="1559" w:type="dxa"/>
            <w:tcBorders>
              <w:top w:val="nil"/>
              <w:left w:val="nil"/>
              <w:bottom w:val="nil"/>
              <w:right w:val="nil"/>
            </w:tcBorders>
            <w:shd w:val="clear" w:color="auto" w:fill="auto"/>
            <w:noWrap/>
            <w:vAlign w:val="center"/>
            <w:hideMark/>
          </w:tcPr>
          <w:p w14:paraId="653FD9AC" w14:textId="77777777" w:rsidR="0072554E" w:rsidRPr="0072554E" w:rsidRDefault="0072554E" w:rsidP="0072554E">
            <w:pPr>
              <w:spacing w:after="0" w:line="240" w:lineRule="auto"/>
              <w:jc w:val="right"/>
              <w:rPr>
                <w:rFonts w:ascii="Times New Roman" w:eastAsia="Times New Roman" w:hAnsi="Times New Roman" w:cs="Times New Roman"/>
                <w:sz w:val="20"/>
                <w:szCs w:val="20"/>
                <w:lang w:eastAsia="cs-CZ"/>
              </w:rPr>
            </w:pPr>
          </w:p>
        </w:tc>
        <w:tc>
          <w:tcPr>
            <w:tcW w:w="1134" w:type="dxa"/>
            <w:tcBorders>
              <w:top w:val="nil"/>
              <w:left w:val="nil"/>
              <w:bottom w:val="nil"/>
              <w:right w:val="nil"/>
            </w:tcBorders>
            <w:shd w:val="clear" w:color="auto" w:fill="auto"/>
            <w:noWrap/>
            <w:vAlign w:val="center"/>
            <w:hideMark/>
          </w:tcPr>
          <w:p w14:paraId="5D8E776B" w14:textId="77777777" w:rsidR="0072554E" w:rsidRPr="0072554E" w:rsidRDefault="0072554E" w:rsidP="0072554E">
            <w:pPr>
              <w:spacing w:after="0" w:line="240" w:lineRule="auto"/>
              <w:jc w:val="right"/>
              <w:rPr>
                <w:rFonts w:ascii="Times New Roman" w:eastAsia="Times New Roman" w:hAnsi="Times New Roman" w:cs="Times New Roman"/>
                <w:sz w:val="20"/>
                <w:szCs w:val="20"/>
                <w:lang w:eastAsia="cs-CZ"/>
              </w:rPr>
            </w:pPr>
          </w:p>
        </w:tc>
      </w:tr>
      <w:tr w:rsidR="0072554E" w:rsidRPr="0072554E" w14:paraId="78A4B7F6" w14:textId="77777777" w:rsidTr="009E7CFC">
        <w:trPr>
          <w:trHeight w:val="260"/>
        </w:trPr>
        <w:tc>
          <w:tcPr>
            <w:tcW w:w="851"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2EED86FB"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 </w:t>
            </w:r>
          </w:p>
        </w:tc>
        <w:tc>
          <w:tcPr>
            <w:tcW w:w="4235" w:type="dxa"/>
            <w:tcBorders>
              <w:top w:val="single" w:sz="8" w:space="0" w:color="auto"/>
              <w:left w:val="nil"/>
              <w:bottom w:val="single" w:sz="4" w:space="0" w:color="auto"/>
              <w:right w:val="single" w:sz="4" w:space="0" w:color="auto"/>
            </w:tcBorders>
            <w:shd w:val="clear" w:color="auto" w:fill="auto"/>
            <w:vAlign w:val="bottom"/>
            <w:hideMark/>
          </w:tcPr>
          <w:p w14:paraId="696023E6" w14:textId="77777777" w:rsidR="0072554E" w:rsidRPr="0072554E" w:rsidRDefault="0072554E" w:rsidP="0072554E">
            <w:pPr>
              <w:spacing w:after="0" w:line="240" w:lineRule="auto"/>
              <w:rPr>
                <w:rFonts w:ascii="Calibri" w:eastAsia="Times New Roman" w:hAnsi="Calibri" w:cs="Arial"/>
                <w:sz w:val="20"/>
                <w:szCs w:val="20"/>
                <w:lang w:eastAsia="cs-CZ"/>
              </w:rPr>
            </w:pPr>
            <w:r w:rsidRPr="0072554E">
              <w:rPr>
                <w:rFonts w:ascii="Calibri" w:eastAsia="Times New Roman" w:hAnsi="Calibri" w:cs="Arial"/>
                <w:sz w:val="20"/>
                <w:szCs w:val="20"/>
                <w:lang w:eastAsia="cs-CZ"/>
              </w:rPr>
              <w:t xml:space="preserve">Středočeský Fond rozvoje obcí a měst </w:t>
            </w:r>
          </w:p>
        </w:tc>
        <w:tc>
          <w:tcPr>
            <w:tcW w:w="1293" w:type="dxa"/>
            <w:tcBorders>
              <w:top w:val="single" w:sz="8" w:space="0" w:color="auto"/>
              <w:left w:val="nil"/>
              <w:bottom w:val="single" w:sz="4" w:space="0" w:color="auto"/>
              <w:right w:val="single" w:sz="4" w:space="0" w:color="auto"/>
            </w:tcBorders>
            <w:shd w:val="clear" w:color="auto" w:fill="auto"/>
            <w:noWrap/>
            <w:vAlign w:val="bottom"/>
            <w:hideMark/>
          </w:tcPr>
          <w:p w14:paraId="284E0ACB"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w:t>
            </w:r>
          </w:p>
        </w:tc>
        <w:tc>
          <w:tcPr>
            <w:tcW w:w="1701" w:type="dxa"/>
            <w:tcBorders>
              <w:top w:val="single" w:sz="8" w:space="0" w:color="auto"/>
              <w:left w:val="nil"/>
              <w:bottom w:val="single" w:sz="4" w:space="0" w:color="auto"/>
              <w:right w:val="single" w:sz="4" w:space="0" w:color="auto"/>
            </w:tcBorders>
            <w:shd w:val="clear" w:color="auto" w:fill="auto"/>
            <w:noWrap/>
            <w:vAlign w:val="bottom"/>
            <w:hideMark/>
          </w:tcPr>
          <w:p w14:paraId="5500D839" w14:textId="77777777" w:rsidR="0072554E" w:rsidRPr="0072554E" w:rsidRDefault="0072554E" w:rsidP="0072554E">
            <w:pPr>
              <w:spacing w:after="0" w:line="240" w:lineRule="auto"/>
              <w:jc w:val="right"/>
              <w:rPr>
                <w:rFonts w:ascii="Calibri" w:eastAsia="Times New Roman" w:hAnsi="Calibri" w:cs="Arial"/>
                <w:color w:val="000000"/>
                <w:sz w:val="20"/>
                <w:szCs w:val="20"/>
                <w:lang w:eastAsia="cs-CZ"/>
              </w:rPr>
            </w:pPr>
            <w:r w:rsidRPr="0072554E">
              <w:rPr>
                <w:rFonts w:ascii="Calibri" w:eastAsia="Times New Roman" w:hAnsi="Calibri" w:cs="Arial"/>
                <w:color w:val="000000"/>
                <w:sz w:val="20"/>
                <w:szCs w:val="20"/>
                <w:lang w:eastAsia="cs-CZ"/>
              </w:rPr>
              <w:t xml:space="preserve">0,00 </w:t>
            </w:r>
          </w:p>
        </w:tc>
        <w:tc>
          <w:tcPr>
            <w:tcW w:w="1559" w:type="dxa"/>
            <w:tcBorders>
              <w:top w:val="single" w:sz="8" w:space="0" w:color="auto"/>
              <w:left w:val="nil"/>
              <w:bottom w:val="single" w:sz="4" w:space="0" w:color="auto"/>
              <w:right w:val="single" w:sz="4" w:space="0" w:color="auto"/>
            </w:tcBorders>
            <w:shd w:val="clear" w:color="auto" w:fill="auto"/>
            <w:noWrap/>
            <w:vAlign w:val="bottom"/>
            <w:hideMark/>
          </w:tcPr>
          <w:p w14:paraId="1C73F1AE" w14:textId="77777777" w:rsidR="0072554E" w:rsidRPr="0072554E" w:rsidRDefault="0072554E" w:rsidP="0072554E">
            <w:pPr>
              <w:spacing w:after="0" w:line="240" w:lineRule="auto"/>
              <w:jc w:val="right"/>
              <w:rPr>
                <w:rFonts w:ascii="Calibri" w:eastAsia="Times New Roman" w:hAnsi="Calibri" w:cs="Arial"/>
                <w:color w:val="000000"/>
                <w:sz w:val="20"/>
                <w:szCs w:val="20"/>
                <w:lang w:eastAsia="cs-CZ"/>
              </w:rPr>
            </w:pPr>
            <w:r w:rsidRPr="0072554E">
              <w:rPr>
                <w:rFonts w:ascii="Calibri" w:eastAsia="Times New Roman" w:hAnsi="Calibri" w:cs="Arial"/>
                <w:color w:val="000000"/>
                <w:sz w:val="20"/>
                <w:szCs w:val="20"/>
                <w:lang w:eastAsia="cs-CZ"/>
              </w:rPr>
              <w:t xml:space="preserve">0,00 </w:t>
            </w:r>
          </w:p>
        </w:tc>
        <w:tc>
          <w:tcPr>
            <w:tcW w:w="1134" w:type="dxa"/>
            <w:tcBorders>
              <w:top w:val="single" w:sz="8" w:space="0" w:color="auto"/>
              <w:left w:val="nil"/>
              <w:bottom w:val="single" w:sz="4" w:space="0" w:color="auto"/>
              <w:right w:val="single" w:sz="8" w:space="0" w:color="auto"/>
            </w:tcBorders>
            <w:shd w:val="clear" w:color="auto" w:fill="auto"/>
            <w:noWrap/>
            <w:vAlign w:val="bottom"/>
            <w:hideMark/>
          </w:tcPr>
          <w:p w14:paraId="270B5410"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w:t>
            </w:r>
          </w:p>
        </w:tc>
      </w:tr>
      <w:tr w:rsidR="0072554E" w:rsidRPr="0072554E" w14:paraId="6BDA52CD" w14:textId="77777777" w:rsidTr="009E7CFC">
        <w:trPr>
          <w:trHeight w:val="300"/>
        </w:trPr>
        <w:tc>
          <w:tcPr>
            <w:tcW w:w="851" w:type="dxa"/>
            <w:tcBorders>
              <w:top w:val="nil"/>
              <w:left w:val="single" w:sz="8" w:space="0" w:color="auto"/>
              <w:bottom w:val="nil"/>
              <w:right w:val="single" w:sz="4" w:space="0" w:color="auto"/>
            </w:tcBorders>
            <w:shd w:val="clear" w:color="000000" w:fill="FFFFFF"/>
            <w:noWrap/>
            <w:vAlign w:val="center"/>
            <w:hideMark/>
          </w:tcPr>
          <w:p w14:paraId="62324383"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 </w:t>
            </w:r>
          </w:p>
        </w:tc>
        <w:tc>
          <w:tcPr>
            <w:tcW w:w="4235" w:type="dxa"/>
            <w:tcBorders>
              <w:top w:val="nil"/>
              <w:left w:val="nil"/>
              <w:bottom w:val="nil"/>
              <w:right w:val="single" w:sz="4" w:space="0" w:color="auto"/>
            </w:tcBorders>
            <w:shd w:val="clear" w:color="auto" w:fill="auto"/>
            <w:vAlign w:val="center"/>
            <w:hideMark/>
          </w:tcPr>
          <w:p w14:paraId="3D54EF34" w14:textId="77777777" w:rsidR="0072554E" w:rsidRPr="0072554E" w:rsidRDefault="0072554E" w:rsidP="0072554E">
            <w:pPr>
              <w:spacing w:after="0" w:line="240" w:lineRule="auto"/>
              <w:rPr>
                <w:rFonts w:ascii="Calibri" w:eastAsia="Times New Roman" w:hAnsi="Calibri" w:cs="Arial"/>
                <w:sz w:val="20"/>
                <w:szCs w:val="20"/>
                <w:lang w:eastAsia="cs-CZ"/>
              </w:rPr>
            </w:pPr>
            <w:r w:rsidRPr="0072554E">
              <w:rPr>
                <w:rFonts w:ascii="Calibri" w:eastAsia="Times New Roman" w:hAnsi="Calibri" w:cs="Arial"/>
                <w:sz w:val="20"/>
                <w:szCs w:val="20"/>
                <w:lang w:eastAsia="cs-CZ"/>
              </w:rPr>
              <w:t xml:space="preserve">Středočeský Fond obnovy venkova </w:t>
            </w:r>
          </w:p>
        </w:tc>
        <w:tc>
          <w:tcPr>
            <w:tcW w:w="1293" w:type="dxa"/>
            <w:tcBorders>
              <w:top w:val="nil"/>
              <w:left w:val="nil"/>
              <w:bottom w:val="nil"/>
              <w:right w:val="single" w:sz="4" w:space="0" w:color="auto"/>
            </w:tcBorders>
            <w:shd w:val="clear" w:color="auto" w:fill="auto"/>
            <w:noWrap/>
            <w:vAlign w:val="center"/>
            <w:hideMark/>
          </w:tcPr>
          <w:p w14:paraId="7E6965F8"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20 000 000</w:t>
            </w:r>
          </w:p>
        </w:tc>
        <w:tc>
          <w:tcPr>
            <w:tcW w:w="1701" w:type="dxa"/>
            <w:tcBorders>
              <w:top w:val="nil"/>
              <w:left w:val="nil"/>
              <w:bottom w:val="nil"/>
              <w:right w:val="single" w:sz="4" w:space="0" w:color="auto"/>
            </w:tcBorders>
            <w:shd w:val="clear" w:color="auto" w:fill="auto"/>
            <w:noWrap/>
            <w:vAlign w:val="center"/>
            <w:hideMark/>
          </w:tcPr>
          <w:p w14:paraId="2C79D142" w14:textId="77777777" w:rsidR="0072554E" w:rsidRPr="0072554E" w:rsidRDefault="0072554E" w:rsidP="0072554E">
            <w:pPr>
              <w:spacing w:after="0" w:line="240" w:lineRule="auto"/>
              <w:jc w:val="right"/>
              <w:rPr>
                <w:rFonts w:ascii="Calibri" w:eastAsia="Times New Roman" w:hAnsi="Calibri" w:cs="Arial"/>
                <w:color w:val="000000"/>
                <w:sz w:val="20"/>
                <w:szCs w:val="20"/>
                <w:lang w:eastAsia="cs-CZ"/>
              </w:rPr>
            </w:pPr>
            <w:r w:rsidRPr="0072554E">
              <w:rPr>
                <w:rFonts w:ascii="Calibri" w:eastAsia="Times New Roman" w:hAnsi="Calibri" w:cs="Arial"/>
                <w:color w:val="000000"/>
                <w:sz w:val="20"/>
                <w:szCs w:val="20"/>
                <w:lang w:eastAsia="cs-CZ"/>
              </w:rPr>
              <w:t xml:space="preserve">201 737 783,00 </w:t>
            </w:r>
          </w:p>
        </w:tc>
        <w:tc>
          <w:tcPr>
            <w:tcW w:w="1559" w:type="dxa"/>
            <w:tcBorders>
              <w:top w:val="nil"/>
              <w:left w:val="nil"/>
              <w:bottom w:val="nil"/>
              <w:right w:val="single" w:sz="4" w:space="0" w:color="auto"/>
            </w:tcBorders>
            <w:shd w:val="clear" w:color="auto" w:fill="auto"/>
            <w:noWrap/>
            <w:vAlign w:val="center"/>
            <w:hideMark/>
          </w:tcPr>
          <w:p w14:paraId="585D95AF" w14:textId="77777777" w:rsidR="0072554E" w:rsidRPr="0072554E" w:rsidRDefault="0072554E" w:rsidP="0072554E">
            <w:pPr>
              <w:spacing w:after="0" w:line="240" w:lineRule="auto"/>
              <w:jc w:val="right"/>
              <w:rPr>
                <w:rFonts w:ascii="Calibri" w:eastAsia="Times New Roman" w:hAnsi="Calibri" w:cs="Arial"/>
                <w:color w:val="000000"/>
                <w:sz w:val="20"/>
                <w:szCs w:val="20"/>
                <w:lang w:eastAsia="cs-CZ"/>
              </w:rPr>
            </w:pPr>
            <w:r w:rsidRPr="0072554E">
              <w:rPr>
                <w:rFonts w:ascii="Calibri" w:eastAsia="Times New Roman" w:hAnsi="Calibri" w:cs="Arial"/>
                <w:color w:val="000000"/>
                <w:sz w:val="20"/>
                <w:szCs w:val="20"/>
                <w:lang w:eastAsia="cs-CZ"/>
              </w:rPr>
              <w:t xml:space="preserve">181 339 593,00 </w:t>
            </w:r>
          </w:p>
        </w:tc>
        <w:tc>
          <w:tcPr>
            <w:tcW w:w="1134" w:type="dxa"/>
            <w:tcBorders>
              <w:top w:val="nil"/>
              <w:left w:val="nil"/>
              <w:bottom w:val="single" w:sz="4" w:space="0" w:color="auto"/>
              <w:right w:val="single" w:sz="8" w:space="0" w:color="auto"/>
            </w:tcBorders>
            <w:shd w:val="clear" w:color="auto" w:fill="auto"/>
            <w:noWrap/>
            <w:vAlign w:val="bottom"/>
            <w:hideMark/>
          </w:tcPr>
          <w:p w14:paraId="19444A12"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89,9</w:t>
            </w:r>
          </w:p>
        </w:tc>
      </w:tr>
      <w:tr w:rsidR="0072554E" w:rsidRPr="0072554E" w14:paraId="3D22F8C7" w14:textId="77777777" w:rsidTr="009E7CFC">
        <w:trPr>
          <w:trHeight w:val="510"/>
        </w:trPr>
        <w:tc>
          <w:tcPr>
            <w:tcW w:w="851"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31A78081"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 </w:t>
            </w:r>
          </w:p>
        </w:tc>
        <w:tc>
          <w:tcPr>
            <w:tcW w:w="4235" w:type="dxa"/>
            <w:tcBorders>
              <w:top w:val="single" w:sz="4" w:space="0" w:color="auto"/>
              <w:left w:val="nil"/>
              <w:bottom w:val="single" w:sz="4" w:space="0" w:color="auto"/>
              <w:right w:val="nil"/>
            </w:tcBorders>
            <w:shd w:val="clear" w:color="auto" w:fill="auto"/>
            <w:vAlign w:val="center"/>
            <w:hideMark/>
          </w:tcPr>
          <w:p w14:paraId="01F99C6D" w14:textId="77777777" w:rsidR="0072554E" w:rsidRPr="0072554E" w:rsidRDefault="0072554E" w:rsidP="0072554E">
            <w:pPr>
              <w:spacing w:after="0" w:line="240" w:lineRule="auto"/>
              <w:rPr>
                <w:rFonts w:ascii="Calibri" w:eastAsia="Times New Roman" w:hAnsi="Calibri" w:cs="Arial"/>
                <w:sz w:val="20"/>
                <w:szCs w:val="20"/>
                <w:lang w:eastAsia="cs-CZ"/>
              </w:rPr>
            </w:pPr>
            <w:r w:rsidRPr="0072554E">
              <w:rPr>
                <w:rFonts w:ascii="Calibri" w:eastAsia="Times New Roman" w:hAnsi="Calibri" w:cs="Arial"/>
                <w:sz w:val="20"/>
                <w:szCs w:val="20"/>
                <w:lang w:eastAsia="cs-CZ"/>
              </w:rPr>
              <w:t>Středočeský Infrastrukturní fond: Tematické zadání Podpora rozvoje a obnovy základních a mateřských škol</w:t>
            </w:r>
          </w:p>
        </w:tc>
        <w:tc>
          <w:tcPr>
            <w:tcW w:w="12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F2A09E"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w:t>
            </w:r>
          </w:p>
        </w:tc>
        <w:tc>
          <w:tcPr>
            <w:tcW w:w="1701" w:type="dxa"/>
            <w:tcBorders>
              <w:top w:val="single" w:sz="4" w:space="0" w:color="auto"/>
              <w:left w:val="nil"/>
              <w:bottom w:val="single" w:sz="4" w:space="0" w:color="auto"/>
              <w:right w:val="single" w:sz="4" w:space="0" w:color="auto"/>
            </w:tcBorders>
            <w:shd w:val="clear" w:color="auto" w:fill="auto"/>
            <w:noWrap/>
            <w:hideMark/>
          </w:tcPr>
          <w:p w14:paraId="7A08AEE1" w14:textId="77777777" w:rsidR="0072554E" w:rsidRPr="0072554E" w:rsidRDefault="0072554E" w:rsidP="0072554E">
            <w:pPr>
              <w:spacing w:after="0" w:line="240" w:lineRule="auto"/>
              <w:jc w:val="right"/>
              <w:rPr>
                <w:rFonts w:ascii="Calibri" w:eastAsia="Times New Roman" w:hAnsi="Calibri" w:cs="Arial"/>
                <w:color w:val="000000"/>
                <w:sz w:val="20"/>
                <w:szCs w:val="20"/>
                <w:lang w:eastAsia="cs-CZ"/>
              </w:rPr>
            </w:pPr>
            <w:r w:rsidRPr="0072554E">
              <w:rPr>
                <w:rFonts w:ascii="Calibri" w:eastAsia="Times New Roman" w:hAnsi="Calibri" w:cs="Arial"/>
                <w:color w:val="000000"/>
                <w:sz w:val="20"/>
                <w:szCs w:val="20"/>
                <w:lang w:eastAsia="cs-CZ"/>
              </w:rPr>
              <w:t xml:space="preserve">124 913 607,61 </w:t>
            </w:r>
          </w:p>
        </w:tc>
        <w:tc>
          <w:tcPr>
            <w:tcW w:w="1559" w:type="dxa"/>
            <w:tcBorders>
              <w:top w:val="single" w:sz="4" w:space="0" w:color="auto"/>
              <w:left w:val="nil"/>
              <w:bottom w:val="single" w:sz="4" w:space="0" w:color="auto"/>
              <w:right w:val="single" w:sz="4" w:space="0" w:color="auto"/>
            </w:tcBorders>
            <w:shd w:val="clear" w:color="auto" w:fill="auto"/>
            <w:noWrap/>
            <w:hideMark/>
          </w:tcPr>
          <w:p w14:paraId="3A29EAA5" w14:textId="77777777" w:rsidR="0072554E" w:rsidRPr="0072554E" w:rsidRDefault="0072554E" w:rsidP="0072554E">
            <w:pPr>
              <w:spacing w:after="0" w:line="240" w:lineRule="auto"/>
              <w:jc w:val="right"/>
              <w:rPr>
                <w:rFonts w:ascii="Calibri" w:eastAsia="Times New Roman" w:hAnsi="Calibri" w:cs="Arial"/>
                <w:color w:val="000000"/>
                <w:sz w:val="20"/>
                <w:szCs w:val="20"/>
                <w:lang w:eastAsia="cs-CZ"/>
              </w:rPr>
            </w:pPr>
            <w:r w:rsidRPr="0072554E">
              <w:rPr>
                <w:rFonts w:ascii="Calibri" w:eastAsia="Times New Roman" w:hAnsi="Calibri" w:cs="Arial"/>
                <w:color w:val="000000"/>
                <w:sz w:val="20"/>
                <w:szCs w:val="20"/>
                <w:lang w:eastAsia="cs-CZ"/>
              </w:rPr>
              <w:t xml:space="preserve">75 776 455,55 </w:t>
            </w:r>
          </w:p>
        </w:tc>
        <w:tc>
          <w:tcPr>
            <w:tcW w:w="1134" w:type="dxa"/>
            <w:tcBorders>
              <w:top w:val="nil"/>
              <w:left w:val="nil"/>
              <w:bottom w:val="single" w:sz="4" w:space="0" w:color="auto"/>
              <w:right w:val="single" w:sz="8" w:space="0" w:color="auto"/>
            </w:tcBorders>
            <w:shd w:val="clear" w:color="auto" w:fill="auto"/>
            <w:noWrap/>
            <w:vAlign w:val="bottom"/>
            <w:hideMark/>
          </w:tcPr>
          <w:p w14:paraId="751B8DFC"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60,7</w:t>
            </w:r>
          </w:p>
        </w:tc>
      </w:tr>
      <w:tr w:rsidR="0072554E" w:rsidRPr="0072554E" w14:paraId="2A3D0ACB" w14:textId="77777777" w:rsidTr="009E7CFC">
        <w:trPr>
          <w:trHeight w:val="510"/>
        </w:trPr>
        <w:tc>
          <w:tcPr>
            <w:tcW w:w="851" w:type="dxa"/>
            <w:tcBorders>
              <w:top w:val="nil"/>
              <w:left w:val="single" w:sz="8" w:space="0" w:color="auto"/>
              <w:bottom w:val="single" w:sz="4" w:space="0" w:color="auto"/>
              <w:right w:val="single" w:sz="4" w:space="0" w:color="auto"/>
            </w:tcBorders>
            <w:shd w:val="clear" w:color="000000" w:fill="FFFFFF"/>
            <w:noWrap/>
            <w:vAlign w:val="center"/>
            <w:hideMark/>
          </w:tcPr>
          <w:p w14:paraId="01AECA6E"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 </w:t>
            </w:r>
          </w:p>
        </w:tc>
        <w:tc>
          <w:tcPr>
            <w:tcW w:w="4235" w:type="dxa"/>
            <w:tcBorders>
              <w:top w:val="nil"/>
              <w:left w:val="nil"/>
              <w:bottom w:val="single" w:sz="4" w:space="0" w:color="auto"/>
              <w:right w:val="nil"/>
            </w:tcBorders>
            <w:shd w:val="clear" w:color="auto" w:fill="auto"/>
            <w:vAlign w:val="center"/>
            <w:hideMark/>
          </w:tcPr>
          <w:p w14:paraId="29989329" w14:textId="77777777" w:rsidR="0072554E" w:rsidRPr="0072554E" w:rsidRDefault="0072554E" w:rsidP="0072554E">
            <w:pPr>
              <w:spacing w:after="0" w:line="240" w:lineRule="auto"/>
              <w:rPr>
                <w:rFonts w:ascii="Calibri" w:eastAsia="Times New Roman" w:hAnsi="Calibri" w:cs="Arial"/>
                <w:sz w:val="20"/>
                <w:szCs w:val="20"/>
                <w:lang w:eastAsia="cs-CZ"/>
              </w:rPr>
            </w:pPr>
            <w:r w:rsidRPr="0072554E">
              <w:rPr>
                <w:rFonts w:ascii="Calibri" w:eastAsia="Times New Roman" w:hAnsi="Calibri" w:cs="Arial"/>
                <w:sz w:val="20"/>
                <w:szCs w:val="20"/>
                <w:lang w:eastAsia="cs-CZ"/>
              </w:rPr>
              <w:t>Středočeský Fond na podporu participativních rozpočtů obcí a měst</w:t>
            </w:r>
          </w:p>
        </w:tc>
        <w:tc>
          <w:tcPr>
            <w:tcW w:w="1293" w:type="dxa"/>
            <w:tcBorders>
              <w:top w:val="nil"/>
              <w:left w:val="single" w:sz="4" w:space="0" w:color="auto"/>
              <w:bottom w:val="single" w:sz="4" w:space="0" w:color="auto"/>
              <w:right w:val="single" w:sz="4" w:space="0" w:color="auto"/>
            </w:tcBorders>
            <w:shd w:val="clear" w:color="auto" w:fill="auto"/>
            <w:noWrap/>
            <w:vAlign w:val="bottom"/>
            <w:hideMark/>
          </w:tcPr>
          <w:p w14:paraId="5D526463"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hideMark/>
          </w:tcPr>
          <w:p w14:paraId="3CE2084D" w14:textId="77777777" w:rsidR="0072554E" w:rsidRPr="0072554E" w:rsidRDefault="0072554E" w:rsidP="0072554E">
            <w:pPr>
              <w:spacing w:after="0" w:line="240" w:lineRule="auto"/>
              <w:jc w:val="right"/>
              <w:rPr>
                <w:rFonts w:ascii="Calibri" w:eastAsia="Times New Roman" w:hAnsi="Calibri" w:cs="Arial"/>
                <w:color w:val="000000"/>
                <w:sz w:val="20"/>
                <w:szCs w:val="20"/>
                <w:lang w:eastAsia="cs-CZ"/>
              </w:rPr>
            </w:pPr>
            <w:r w:rsidRPr="0072554E">
              <w:rPr>
                <w:rFonts w:ascii="Calibri" w:eastAsia="Times New Roman" w:hAnsi="Calibri" w:cs="Arial"/>
                <w:color w:val="000000"/>
                <w:sz w:val="20"/>
                <w:szCs w:val="20"/>
                <w:lang w:eastAsia="cs-CZ"/>
              </w:rPr>
              <w:t xml:space="preserve">200 000,00 </w:t>
            </w:r>
          </w:p>
        </w:tc>
        <w:tc>
          <w:tcPr>
            <w:tcW w:w="1559" w:type="dxa"/>
            <w:tcBorders>
              <w:top w:val="nil"/>
              <w:left w:val="nil"/>
              <w:bottom w:val="single" w:sz="4" w:space="0" w:color="auto"/>
              <w:right w:val="single" w:sz="4" w:space="0" w:color="auto"/>
            </w:tcBorders>
            <w:shd w:val="clear" w:color="auto" w:fill="auto"/>
            <w:noWrap/>
            <w:hideMark/>
          </w:tcPr>
          <w:p w14:paraId="46653FC0" w14:textId="77777777" w:rsidR="0072554E" w:rsidRPr="0072554E" w:rsidRDefault="0072554E" w:rsidP="0072554E">
            <w:pPr>
              <w:spacing w:after="0" w:line="240" w:lineRule="auto"/>
              <w:jc w:val="right"/>
              <w:rPr>
                <w:rFonts w:ascii="Calibri" w:eastAsia="Times New Roman" w:hAnsi="Calibri" w:cs="Arial"/>
                <w:color w:val="000000"/>
                <w:sz w:val="20"/>
                <w:szCs w:val="20"/>
                <w:lang w:eastAsia="cs-CZ"/>
              </w:rPr>
            </w:pPr>
            <w:r w:rsidRPr="0072554E">
              <w:rPr>
                <w:rFonts w:ascii="Calibri" w:eastAsia="Times New Roman" w:hAnsi="Calibri" w:cs="Arial"/>
                <w:color w:val="000000"/>
                <w:sz w:val="20"/>
                <w:szCs w:val="20"/>
                <w:lang w:eastAsia="cs-CZ"/>
              </w:rPr>
              <w:t xml:space="preserve">200 000,00 </w:t>
            </w:r>
          </w:p>
        </w:tc>
        <w:tc>
          <w:tcPr>
            <w:tcW w:w="1134" w:type="dxa"/>
            <w:tcBorders>
              <w:top w:val="nil"/>
              <w:left w:val="nil"/>
              <w:bottom w:val="single" w:sz="4" w:space="0" w:color="auto"/>
              <w:right w:val="single" w:sz="8" w:space="0" w:color="auto"/>
            </w:tcBorders>
            <w:shd w:val="clear" w:color="auto" w:fill="auto"/>
            <w:noWrap/>
            <w:vAlign w:val="bottom"/>
            <w:hideMark/>
          </w:tcPr>
          <w:p w14:paraId="354B710F"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100,0</w:t>
            </w:r>
          </w:p>
        </w:tc>
      </w:tr>
      <w:tr w:rsidR="0072554E" w:rsidRPr="0072554E" w14:paraId="07D06EF3" w14:textId="77777777" w:rsidTr="009E7CFC">
        <w:trPr>
          <w:trHeight w:val="300"/>
        </w:trPr>
        <w:tc>
          <w:tcPr>
            <w:tcW w:w="851" w:type="dxa"/>
            <w:tcBorders>
              <w:top w:val="nil"/>
              <w:left w:val="single" w:sz="8" w:space="0" w:color="auto"/>
              <w:bottom w:val="single" w:sz="4" w:space="0" w:color="auto"/>
              <w:right w:val="single" w:sz="4" w:space="0" w:color="auto"/>
            </w:tcBorders>
            <w:shd w:val="clear" w:color="000000" w:fill="FFFFFF"/>
            <w:noWrap/>
            <w:vAlign w:val="center"/>
            <w:hideMark/>
          </w:tcPr>
          <w:p w14:paraId="02D3C605"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 </w:t>
            </w:r>
          </w:p>
        </w:tc>
        <w:tc>
          <w:tcPr>
            <w:tcW w:w="4235" w:type="dxa"/>
            <w:tcBorders>
              <w:top w:val="nil"/>
              <w:left w:val="nil"/>
              <w:bottom w:val="single" w:sz="4" w:space="0" w:color="auto"/>
              <w:right w:val="single" w:sz="4" w:space="0" w:color="auto"/>
            </w:tcBorders>
            <w:shd w:val="clear" w:color="auto" w:fill="auto"/>
            <w:vAlign w:val="bottom"/>
            <w:hideMark/>
          </w:tcPr>
          <w:p w14:paraId="1160711B" w14:textId="77777777" w:rsidR="0072554E" w:rsidRPr="0072554E" w:rsidRDefault="0072554E" w:rsidP="0072554E">
            <w:pPr>
              <w:spacing w:after="0" w:line="240" w:lineRule="auto"/>
              <w:rPr>
                <w:rFonts w:ascii="Calibri" w:eastAsia="Times New Roman" w:hAnsi="Calibri" w:cs="Arial"/>
                <w:sz w:val="20"/>
                <w:szCs w:val="20"/>
                <w:lang w:eastAsia="cs-CZ"/>
              </w:rPr>
            </w:pPr>
            <w:r w:rsidRPr="0072554E">
              <w:rPr>
                <w:rFonts w:ascii="Calibri" w:eastAsia="Times New Roman" w:hAnsi="Calibri" w:cs="Arial"/>
                <w:sz w:val="20"/>
                <w:szCs w:val="20"/>
                <w:lang w:eastAsia="cs-CZ"/>
              </w:rPr>
              <w:t>Středočeský Fond na podporu obecního bydlení</w:t>
            </w:r>
          </w:p>
        </w:tc>
        <w:tc>
          <w:tcPr>
            <w:tcW w:w="1293" w:type="dxa"/>
            <w:tcBorders>
              <w:top w:val="nil"/>
              <w:left w:val="nil"/>
              <w:bottom w:val="single" w:sz="4" w:space="0" w:color="auto"/>
              <w:right w:val="single" w:sz="4" w:space="0" w:color="auto"/>
            </w:tcBorders>
            <w:shd w:val="clear" w:color="auto" w:fill="auto"/>
            <w:noWrap/>
            <w:vAlign w:val="bottom"/>
            <w:hideMark/>
          </w:tcPr>
          <w:p w14:paraId="3BDFD0A2"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hideMark/>
          </w:tcPr>
          <w:p w14:paraId="1453ADB2" w14:textId="77777777" w:rsidR="0072554E" w:rsidRPr="0072554E" w:rsidRDefault="0072554E" w:rsidP="0072554E">
            <w:pPr>
              <w:spacing w:after="0" w:line="240" w:lineRule="auto"/>
              <w:jc w:val="right"/>
              <w:rPr>
                <w:rFonts w:ascii="Calibri" w:eastAsia="Times New Roman" w:hAnsi="Calibri" w:cs="Arial"/>
                <w:color w:val="000000"/>
                <w:sz w:val="20"/>
                <w:szCs w:val="20"/>
                <w:lang w:eastAsia="cs-CZ"/>
              </w:rPr>
            </w:pPr>
            <w:r w:rsidRPr="0072554E">
              <w:rPr>
                <w:rFonts w:ascii="Calibri" w:eastAsia="Times New Roman" w:hAnsi="Calibri" w:cs="Arial"/>
                <w:color w:val="000000"/>
                <w:sz w:val="20"/>
                <w:szCs w:val="20"/>
                <w:lang w:eastAsia="cs-CZ"/>
              </w:rPr>
              <w:t xml:space="preserve">6 446 251,00 </w:t>
            </w:r>
          </w:p>
        </w:tc>
        <w:tc>
          <w:tcPr>
            <w:tcW w:w="1559" w:type="dxa"/>
            <w:tcBorders>
              <w:top w:val="nil"/>
              <w:left w:val="nil"/>
              <w:bottom w:val="single" w:sz="4" w:space="0" w:color="auto"/>
              <w:right w:val="single" w:sz="4" w:space="0" w:color="auto"/>
            </w:tcBorders>
            <w:shd w:val="clear" w:color="auto" w:fill="auto"/>
            <w:noWrap/>
            <w:hideMark/>
          </w:tcPr>
          <w:p w14:paraId="693B4D25" w14:textId="77777777" w:rsidR="0072554E" w:rsidRPr="0072554E" w:rsidRDefault="0072554E" w:rsidP="0072554E">
            <w:pPr>
              <w:spacing w:after="0" w:line="240" w:lineRule="auto"/>
              <w:jc w:val="right"/>
              <w:rPr>
                <w:rFonts w:ascii="Calibri" w:eastAsia="Times New Roman" w:hAnsi="Calibri" w:cs="Arial"/>
                <w:color w:val="000000"/>
                <w:sz w:val="20"/>
                <w:szCs w:val="20"/>
                <w:lang w:eastAsia="cs-CZ"/>
              </w:rPr>
            </w:pPr>
            <w:r w:rsidRPr="0072554E">
              <w:rPr>
                <w:rFonts w:ascii="Calibri" w:eastAsia="Times New Roman" w:hAnsi="Calibri" w:cs="Arial"/>
                <w:color w:val="000000"/>
                <w:sz w:val="20"/>
                <w:szCs w:val="20"/>
                <w:lang w:eastAsia="cs-CZ"/>
              </w:rPr>
              <w:t xml:space="preserve">0,00 </w:t>
            </w:r>
          </w:p>
        </w:tc>
        <w:tc>
          <w:tcPr>
            <w:tcW w:w="1134" w:type="dxa"/>
            <w:tcBorders>
              <w:top w:val="nil"/>
              <w:left w:val="nil"/>
              <w:bottom w:val="single" w:sz="4" w:space="0" w:color="auto"/>
              <w:right w:val="single" w:sz="8" w:space="0" w:color="auto"/>
            </w:tcBorders>
            <w:shd w:val="clear" w:color="auto" w:fill="auto"/>
            <w:noWrap/>
            <w:vAlign w:val="bottom"/>
            <w:hideMark/>
          </w:tcPr>
          <w:p w14:paraId="230B6939"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0,0</w:t>
            </w:r>
          </w:p>
        </w:tc>
      </w:tr>
      <w:tr w:rsidR="0072554E" w:rsidRPr="0072554E" w14:paraId="73C0DE30" w14:textId="77777777" w:rsidTr="009E7CFC">
        <w:trPr>
          <w:trHeight w:val="300"/>
        </w:trPr>
        <w:tc>
          <w:tcPr>
            <w:tcW w:w="851" w:type="dxa"/>
            <w:tcBorders>
              <w:top w:val="nil"/>
              <w:left w:val="single" w:sz="8" w:space="0" w:color="auto"/>
              <w:bottom w:val="single" w:sz="4" w:space="0" w:color="auto"/>
              <w:right w:val="single" w:sz="4" w:space="0" w:color="auto"/>
            </w:tcBorders>
            <w:shd w:val="clear" w:color="000000" w:fill="FFFFFF"/>
            <w:noWrap/>
            <w:vAlign w:val="center"/>
            <w:hideMark/>
          </w:tcPr>
          <w:p w14:paraId="623D1F71"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 </w:t>
            </w:r>
          </w:p>
        </w:tc>
        <w:tc>
          <w:tcPr>
            <w:tcW w:w="4235" w:type="dxa"/>
            <w:tcBorders>
              <w:top w:val="nil"/>
              <w:left w:val="nil"/>
              <w:bottom w:val="single" w:sz="4" w:space="0" w:color="auto"/>
              <w:right w:val="single" w:sz="4" w:space="0" w:color="auto"/>
            </w:tcBorders>
            <w:shd w:val="clear" w:color="auto" w:fill="auto"/>
            <w:vAlign w:val="bottom"/>
            <w:hideMark/>
          </w:tcPr>
          <w:p w14:paraId="5DEC109C" w14:textId="77777777" w:rsidR="0072554E" w:rsidRPr="0072554E" w:rsidRDefault="0072554E" w:rsidP="0072554E">
            <w:pPr>
              <w:spacing w:after="0" w:line="240" w:lineRule="auto"/>
              <w:rPr>
                <w:rFonts w:ascii="Calibri" w:eastAsia="Times New Roman" w:hAnsi="Calibri" w:cs="Arial"/>
                <w:sz w:val="20"/>
                <w:szCs w:val="20"/>
                <w:lang w:eastAsia="cs-CZ"/>
              </w:rPr>
            </w:pPr>
            <w:r w:rsidRPr="0072554E">
              <w:rPr>
                <w:rFonts w:ascii="Calibri" w:eastAsia="Times New Roman" w:hAnsi="Calibri" w:cs="Arial"/>
                <w:sz w:val="20"/>
                <w:szCs w:val="20"/>
                <w:lang w:eastAsia="cs-CZ"/>
              </w:rPr>
              <w:t>Středočeský Fond návratných finančních zdrojů</w:t>
            </w:r>
          </w:p>
        </w:tc>
        <w:tc>
          <w:tcPr>
            <w:tcW w:w="1293" w:type="dxa"/>
            <w:tcBorders>
              <w:top w:val="nil"/>
              <w:left w:val="nil"/>
              <w:bottom w:val="single" w:sz="4" w:space="0" w:color="auto"/>
              <w:right w:val="single" w:sz="4" w:space="0" w:color="auto"/>
            </w:tcBorders>
            <w:shd w:val="clear" w:color="auto" w:fill="auto"/>
            <w:noWrap/>
            <w:vAlign w:val="bottom"/>
            <w:hideMark/>
          </w:tcPr>
          <w:p w14:paraId="4446135A"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hideMark/>
          </w:tcPr>
          <w:p w14:paraId="4F614600" w14:textId="77777777" w:rsidR="0072554E" w:rsidRPr="0072554E" w:rsidRDefault="0072554E" w:rsidP="0072554E">
            <w:pPr>
              <w:spacing w:after="0" w:line="240" w:lineRule="auto"/>
              <w:jc w:val="right"/>
              <w:rPr>
                <w:rFonts w:ascii="Calibri" w:eastAsia="Times New Roman" w:hAnsi="Calibri" w:cs="Arial"/>
                <w:color w:val="000000"/>
                <w:sz w:val="20"/>
                <w:szCs w:val="20"/>
                <w:lang w:eastAsia="cs-CZ"/>
              </w:rPr>
            </w:pPr>
            <w:r w:rsidRPr="0072554E">
              <w:rPr>
                <w:rFonts w:ascii="Calibri" w:eastAsia="Times New Roman" w:hAnsi="Calibri" w:cs="Arial"/>
                <w:color w:val="000000"/>
                <w:sz w:val="20"/>
                <w:szCs w:val="20"/>
                <w:lang w:eastAsia="cs-CZ"/>
              </w:rPr>
              <w:t xml:space="preserve">20 000 000,00 </w:t>
            </w:r>
          </w:p>
        </w:tc>
        <w:tc>
          <w:tcPr>
            <w:tcW w:w="1559" w:type="dxa"/>
            <w:tcBorders>
              <w:top w:val="nil"/>
              <w:left w:val="nil"/>
              <w:bottom w:val="single" w:sz="4" w:space="0" w:color="auto"/>
              <w:right w:val="single" w:sz="4" w:space="0" w:color="auto"/>
            </w:tcBorders>
            <w:shd w:val="clear" w:color="auto" w:fill="auto"/>
            <w:noWrap/>
            <w:hideMark/>
          </w:tcPr>
          <w:p w14:paraId="61C753D3" w14:textId="77777777" w:rsidR="0072554E" w:rsidRPr="0072554E" w:rsidRDefault="0072554E" w:rsidP="0072554E">
            <w:pPr>
              <w:spacing w:after="0" w:line="240" w:lineRule="auto"/>
              <w:jc w:val="right"/>
              <w:rPr>
                <w:rFonts w:ascii="Calibri" w:eastAsia="Times New Roman" w:hAnsi="Calibri" w:cs="Arial"/>
                <w:color w:val="000000"/>
                <w:sz w:val="20"/>
                <w:szCs w:val="20"/>
                <w:lang w:eastAsia="cs-CZ"/>
              </w:rPr>
            </w:pPr>
            <w:r w:rsidRPr="0072554E">
              <w:rPr>
                <w:rFonts w:ascii="Calibri" w:eastAsia="Times New Roman" w:hAnsi="Calibri" w:cs="Arial"/>
                <w:color w:val="000000"/>
                <w:sz w:val="20"/>
                <w:szCs w:val="20"/>
                <w:lang w:eastAsia="cs-CZ"/>
              </w:rPr>
              <w:t xml:space="preserve">0,00 </w:t>
            </w:r>
          </w:p>
        </w:tc>
        <w:tc>
          <w:tcPr>
            <w:tcW w:w="1134" w:type="dxa"/>
            <w:tcBorders>
              <w:top w:val="nil"/>
              <w:left w:val="nil"/>
              <w:bottom w:val="single" w:sz="4" w:space="0" w:color="auto"/>
              <w:right w:val="single" w:sz="8" w:space="0" w:color="auto"/>
            </w:tcBorders>
            <w:shd w:val="clear" w:color="auto" w:fill="auto"/>
            <w:noWrap/>
            <w:vAlign w:val="bottom"/>
            <w:hideMark/>
          </w:tcPr>
          <w:p w14:paraId="36E7C016"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0,0</w:t>
            </w:r>
          </w:p>
        </w:tc>
      </w:tr>
      <w:tr w:rsidR="0072554E" w:rsidRPr="0072554E" w14:paraId="7EF0DCB8" w14:textId="77777777" w:rsidTr="009E7CFC">
        <w:trPr>
          <w:trHeight w:val="510"/>
        </w:trPr>
        <w:tc>
          <w:tcPr>
            <w:tcW w:w="851" w:type="dxa"/>
            <w:tcBorders>
              <w:top w:val="nil"/>
              <w:left w:val="single" w:sz="8" w:space="0" w:color="auto"/>
              <w:bottom w:val="single" w:sz="4" w:space="0" w:color="auto"/>
              <w:right w:val="single" w:sz="4" w:space="0" w:color="auto"/>
            </w:tcBorders>
            <w:shd w:val="clear" w:color="auto" w:fill="auto"/>
            <w:noWrap/>
            <w:vAlign w:val="center"/>
            <w:hideMark/>
          </w:tcPr>
          <w:p w14:paraId="4918BB3E"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 </w:t>
            </w:r>
          </w:p>
        </w:tc>
        <w:tc>
          <w:tcPr>
            <w:tcW w:w="4235" w:type="dxa"/>
            <w:tcBorders>
              <w:top w:val="nil"/>
              <w:left w:val="nil"/>
              <w:bottom w:val="single" w:sz="4" w:space="0" w:color="auto"/>
              <w:right w:val="single" w:sz="4" w:space="0" w:color="auto"/>
            </w:tcBorders>
            <w:shd w:val="clear" w:color="auto" w:fill="auto"/>
            <w:vAlign w:val="center"/>
            <w:hideMark/>
          </w:tcPr>
          <w:p w14:paraId="54D41143" w14:textId="77777777" w:rsidR="0072554E" w:rsidRPr="0072554E" w:rsidRDefault="0072554E" w:rsidP="0072554E">
            <w:pPr>
              <w:spacing w:after="0" w:line="240" w:lineRule="auto"/>
              <w:rPr>
                <w:rFonts w:ascii="Calibri" w:eastAsia="Times New Roman" w:hAnsi="Calibri" w:cs="Arial"/>
                <w:sz w:val="20"/>
                <w:szCs w:val="20"/>
                <w:lang w:eastAsia="cs-CZ"/>
              </w:rPr>
            </w:pPr>
            <w:r w:rsidRPr="0072554E">
              <w:rPr>
                <w:rFonts w:ascii="Calibri" w:eastAsia="Times New Roman" w:hAnsi="Calibri" w:cs="Arial"/>
                <w:sz w:val="20"/>
                <w:szCs w:val="20"/>
                <w:lang w:eastAsia="cs-CZ"/>
              </w:rPr>
              <w:t xml:space="preserve">Středočeský Fond podpory včasné přípravy projektů EU 2021+ a NIP </w:t>
            </w:r>
          </w:p>
        </w:tc>
        <w:tc>
          <w:tcPr>
            <w:tcW w:w="1293" w:type="dxa"/>
            <w:tcBorders>
              <w:top w:val="nil"/>
              <w:left w:val="nil"/>
              <w:bottom w:val="single" w:sz="4" w:space="0" w:color="auto"/>
              <w:right w:val="single" w:sz="4" w:space="0" w:color="auto"/>
            </w:tcBorders>
            <w:shd w:val="clear" w:color="auto" w:fill="auto"/>
            <w:noWrap/>
            <w:vAlign w:val="bottom"/>
            <w:hideMark/>
          </w:tcPr>
          <w:p w14:paraId="66A72C13"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hideMark/>
          </w:tcPr>
          <w:p w14:paraId="3652D4F5" w14:textId="77777777" w:rsidR="0072554E" w:rsidRPr="0072554E" w:rsidRDefault="0072554E" w:rsidP="0072554E">
            <w:pPr>
              <w:spacing w:after="0" w:line="240" w:lineRule="auto"/>
              <w:jc w:val="right"/>
              <w:rPr>
                <w:rFonts w:ascii="Calibri" w:eastAsia="Times New Roman" w:hAnsi="Calibri" w:cs="Arial"/>
                <w:color w:val="000000"/>
                <w:sz w:val="20"/>
                <w:szCs w:val="20"/>
                <w:lang w:eastAsia="cs-CZ"/>
              </w:rPr>
            </w:pPr>
            <w:r w:rsidRPr="0072554E">
              <w:rPr>
                <w:rFonts w:ascii="Calibri" w:eastAsia="Times New Roman" w:hAnsi="Calibri" w:cs="Arial"/>
                <w:color w:val="000000"/>
                <w:sz w:val="20"/>
                <w:szCs w:val="20"/>
                <w:lang w:eastAsia="cs-CZ"/>
              </w:rPr>
              <w:t xml:space="preserve">60 609 601,99 </w:t>
            </w:r>
          </w:p>
        </w:tc>
        <w:tc>
          <w:tcPr>
            <w:tcW w:w="1559" w:type="dxa"/>
            <w:tcBorders>
              <w:top w:val="nil"/>
              <w:left w:val="nil"/>
              <w:bottom w:val="single" w:sz="4" w:space="0" w:color="auto"/>
              <w:right w:val="single" w:sz="4" w:space="0" w:color="auto"/>
            </w:tcBorders>
            <w:shd w:val="clear" w:color="auto" w:fill="auto"/>
            <w:noWrap/>
            <w:hideMark/>
          </w:tcPr>
          <w:p w14:paraId="22C07EBE" w14:textId="77777777" w:rsidR="0072554E" w:rsidRPr="0072554E" w:rsidRDefault="0072554E" w:rsidP="0072554E">
            <w:pPr>
              <w:spacing w:after="0" w:line="240" w:lineRule="auto"/>
              <w:jc w:val="right"/>
              <w:rPr>
                <w:rFonts w:ascii="Calibri" w:eastAsia="Times New Roman" w:hAnsi="Calibri" w:cs="Arial"/>
                <w:color w:val="000000"/>
                <w:sz w:val="20"/>
                <w:szCs w:val="20"/>
                <w:lang w:eastAsia="cs-CZ"/>
              </w:rPr>
            </w:pPr>
            <w:r w:rsidRPr="0072554E">
              <w:rPr>
                <w:rFonts w:ascii="Calibri" w:eastAsia="Times New Roman" w:hAnsi="Calibri" w:cs="Arial"/>
                <w:color w:val="000000"/>
                <w:sz w:val="20"/>
                <w:szCs w:val="20"/>
                <w:lang w:eastAsia="cs-CZ"/>
              </w:rPr>
              <w:t xml:space="preserve">17 158 013,00 </w:t>
            </w:r>
          </w:p>
        </w:tc>
        <w:tc>
          <w:tcPr>
            <w:tcW w:w="1134" w:type="dxa"/>
            <w:tcBorders>
              <w:top w:val="nil"/>
              <w:left w:val="nil"/>
              <w:bottom w:val="single" w:sz="4" w:space="0" w:color="auto"/>
              <w:right w:val="single" w:sz="8" w:space="0" w:color="auto"/>
            </w:tcBorders>
            <w:shd w:val="clear" w:color="auto" w:fill="auto"/>
            <w:noWrap/>
            <w:vAlign w:val="bottom"/>
            <w:hideMark/>
          </w:tcPr>
          <w:p w14:paraId="4DCAFA4B"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28,3</w:t>
            </w:r>
          </w:p>
        </w:tc>
      </w:tr>
      <w:tr w:rsidR="0072554E" w:rsidRPr="0072554E" w14:paraId="1A8DBC2D" w14:textId="77777777" w:rsidTr="009E7CFC">
        <w:trPr>
          <w:trHeight w:val="360"/>
        </w:trPr>
        <w:tc>
          <w:tcPr>
            <w:tcW w:w="851" w:type="dxa"/>
            <w:tcBorders>
              <w:top w:val="nil"/>
              <w:left w:val="single" w:sz="8" w:space="0" w:color="auto"/>
              <w:bottom w:val="single" w:sz="8" w:space="0" w:color="auto"/>
              <w:right w:val="single" w:sz="4" w:space="0" w:color="auto"/>
            </w:tcBorders>
            <w:shd w:val="clear" w:color="000000" w:fill="FFFFFF"/>
            <w:noWrap/>
            <w:vAlign w:val="bottom"/>
            <w:hideMark/>
          </w:tcPr>
          <w:p w14:paraId="79507800" w14:textId="77777777" w:rsidR="0072554E" w:rsidRPr="0072554E" w:rsidRDefault="0072554E" w:rsidP="0072554E">
            <w:pPr>
              <w:spacing w:after="0" w:line="240" w:lineRule="auto"/>
              <w:jc w:val="center"/>
              <w:rPr>
                <w:rFonts w:ascii="Calibri" w:eastAsia="Times New Roman" w:hAnsi="Calibri" w:cs="Arial"/>
                <w:lang w:eastAsia="cs-CZ"/>
              </w:rPr>
            </w:pPr>
            <w:r w:rsidRPr="0072554E">
              <w:rPr>
                <w:rFonts w:ascii="Calibri" w:eastAsia="Times New Roman" w:hAnsi="Calibri" w:cs="Arial"/>
                <w:lang w:eastAsia="cs-CZ"/>
              </w:rPr>
              <w:t> </w:t>
            </w:r>
          </w:p>
        </w:tc>
        <w:tc>
          <w:tcPr>
            <w:tcW w:w="4235" w:type="dxa"/>
            <w:tcBorders>
              <w:top w:val="nil"/>
              <w:left w:val="nil"/>
              <w:bottom w:val="single" w:sz="8" w:space="0" w:color="auto"/>
              <w:right w:val="single" w:sz="4" w:space="0" w:color="auto"/>
            </w:tcBorders>
            <w:shd w:val="clear" w:color="auto" w:fill="auto"/>
            <w:vAlign w:val="bottom"/>
            <w:hideMark/>
          </w:tcPr>
          <w:p w14:paraId="1F188D44" w14:textId="77777777" w:rsidR="0072554E" w:rsidRPr="0072554E" w:rsidRDefault="0072554E" w:rsidP="0072554E">
            <w:pPr>
              <w:spacing w:after="0" w:line="240" w:lineRule="auto"/>
              <w:rPr>
                <w:rFonts w:ascii="Calibri" w:eastAsia="Times New Roman" w:hAnsi="Calibri" w:cs="Arial"/>
                <w:sz w:val="20"/>
                <w:szCs w:val="20"/>
                <w:lang w:eastAsia="cs-CZ"/>
              </w:rPr>
            </w:pPr>
            <w:r w:rsidRPr="0072554E">
              <w:rPr>
                <w:rFonts w:ascii="Calibri" w:eastAsia="Times New Roman" w:hAnsi="Calibri" w:cs="Arial"/>
                <w:sz w:val="20"/>
                <w:szCs w:val="20"/>
                <w:lang w:eastAsia="cs-CZ"/>
              </w:rPr>
              <w:t>Středočeský Fond na podporu výsadby stromů</w:t>
            </w:r>
          </w:p>
        </w:tc>
        <w:tc>
          <w:tcPr>
            <w:tcW w:w="1293" w:type="dxa"/>
            <w:tcBorders>
              <w:top w:val="nil"/>
              <w:left w:val="nil"/>
              <w:bottom w:val="single" w:sz="8" w:space="0" w:color="auto"/>
              <w:right w:val="single" w:sz="4" w:space="0" w:color="auto"/>
            </w:tcBorders>
            <w:shd w:val="clear" w:color="auto" w:fill="auto"/>
            <w:noWrap/>
            <w:vAlign w:val="bottom"/>
            <w:hideMark/>
          </w:tcPr>
          <w:p w14:paraId="0BF02786"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hideMark/>
          </w:tcPr>
          <w:p w14:paraId="1728ED8A" w14:textId="77777777" w:rsidR="0072554E" w:rsidRPr="0072554E" w:rsidRDefault="0072554E" w:rsidP="0072554E">
            <w:pPr>
              <w:spacing w:after="0" w:line="240" w:lineRule="auto"/>
              <w:jc w:val="right"/>
              <w:rPr>
                <w:rFonts w:ascii="Calibri" w:eastAsia="Times New Roman" w:hAnsi="Calibri" w:cs="Arial"/>
                <w:color w:val="000000"/>
                <w:sz w:val="20"/>
                <w:szCs w:val="20"/>
                <w:lang w:eastAsia="cs-CZ"/>
              </w:rPr>
            </w:pPr>
            <w:r w:rsidRPr="0072554E">
              <w:rPr>
                <w:rFonts w:ascii="Calibri" w:eastAsia="Times New Roman" w:hAnsi="Calibri" w:cs="Arial"/>
                <w:color w:val="000000"/>
                <w:sz w:val="20"/>
                <w:szCs w:val="20"/>
                <w:lang w:eastAsia="cs-CZ"/>
              </w:rPr>
              <w:t xml:space="preserve">2 292 000,00 </w:t>
            </w:r>
          </w:p>
        </w:tc>
        <w:tc>
          <w:tcPr>
            <w:tcW w:w="1559" w:type="dxa"/>
            <w:tcBorders>
              <w:top w:val="nil"/>
              <w:left w:val="nil"/>
              <w:bottom w:val="single" w:sz="4" w:space="0" w:color="auto"/>
              <w:right w:val="single" w:sz="4" w:space="0" w:color="auto"/>
            </w:tcBorders>
            <w:shd w:val="clear" w:color="auto" w:fill="auto"/>
            <w:noWrap/>
            <w:hideMark/>
          </w:tcPr>
          <w:p w14:paraId="182D80E8" w14:textId="77777777" w:rsidR="0072554E" w:rsidRPr="0072554E" w:rsidRDefault="0072554E" w:rsidP="0072554E">
            <w:pPr>
              <w:spacing w:after="0" w:line="240" w:lineRule="auto"/>
              <w:jc w:val="right"/>
              <w:rPr>
                <w:rFonts w:ascii="Calibri" w:eastAsia="Times New Roman" w:hAnsi="Calibri" w:cs="Arial"/>
                <w:color w:val="000000"/>
                <w:sz w:val="20"/>
                <w:szCs w:val="20"/>
                <w:lang w:eastAsia="cs-CZ"/>
              </w:rPr>
            </w:pPr>
            <w:r w:rsidRPr="0072554E">
              <w:rPr>
                <w:rFonts w:ascii="Calibri" w:eastAsia="Times New Roman" w:hAnsi="Calibri" w:cs="Arial"/>
                <w:color w:val="000000"/>
                <w:sz w:val="20"/>
                <w:szCs w:val="20"/>
                <w:lang w:eastAsia="cs-CZ"/>
              </w:rPr>
              <w:t xml:space="preserve">2 292 000,00 </w:t>
            </w:r>
          </w:p>
        </w:tc>
        <w:tc>
          <w:tcPr>
            <w:tcW w:w="1134" w:type="dxa"/>
            <w:tcBorders>
              <w:top w:val="nil"/>
              <w:left w:val="nil"/>
              <w:bottom w:val="nil"/>
              <w:right w:val="single" w:sz="8" w:space="0" w:color="auto"/>
            </w:tcBorders>
            <w:shd w:val="clear" w:color="auto" w:fill="auto"/>
            <w:noWrap/>
            <w:vAlign w:val="bottom"/>
            <w:hideMark/>
          </w:tcPr>
          <w:p w14:paraId="24B6F97B"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100,0</w:t>
            </w:r>
          </w:p>
        </w:tc>
      </w:tr>
      <w:tr w:rsidR="0072554E" w:rsidRPr="0072554E" w14:paraId="36F2EAC8" w14:textId="77777777" w:rsidTr="009E7CFC">
        <w:trPr>
          <w:trHeight w:val="320"/>
        </w:trPr>
        <w:tc>
          <w:tcPr>
            <w:tcW w:w="851" w:type="dxa"/>
            <w:tcBorders>
              <w:top w:val="nil"/>
              <w:left w:val="single" w:sz="8" w:space="0" w:color="auto"/>
              <w:bottom w:val="single" w:sz="8" w:space="0" w:color="auto"/>
              <w:right w:val="single" w:sz="4" w:space="0" w:color="auto"/>
            </w:tcBorders>
            <w:shd w:val="clear" w:color="000000" w:fill="FFFFFF"/>
            <w:noWrap/>
            <w:vAlign w:val="bottom"/>
            <w:hideMark/>
          </w:tcPr>
          <w:p w14:paraId="4A78D1AE" w14:textId="77777777" w:rsidR="0072554E" w:rsidRPr="0072554E" w:rsidRDefault="0072554E" w:rsidP="0072554E">
            <w:pPr>
              <w:spacing w:after="0" w:line="240" w:lineRule="auto"/>
              <w:jc w:val="center"/>
              <w:rPr>
                <w:rFonts w:ascii="Calibri" w:eastAsia="Times New Roman" w:hAnsi="Calibri" w:cs="Arial"/>
                <w:lang w:eastAsia="cs-CZ"/>
              </w:rPr>
            </w:pPr>
            <w:r w:rsidRPr="0072554E">
              <w:rPr>
                <w:rFonts w:ascii="Calibri" w:eastAsia="Times New Roman" w:hAnsi="Calibri" w:cs="Arial"/>
                <w:lang w:eastAsia="cs-CZ"/>
              </w:rPr>
              <w:t> </w:t>
            </w:r>
          </w:p>
        </w:tc>
        <w:tc>
          <w:tcPr>
            <w:tcW w:w="4235" w:type="dxa"/>
            <w:tcBorders>
              <w:top w:val="nil"/>
              <w:left w:val="nil"/>
              <w:bottom w:val="single" w:sz="8" w:space="0" w:color="auto"/>
              <w:right w:val="single" w:sz="4" w:space="0" w:color="auto"/>
            </w:tcBorders>
            <w:shd w:val="clear" w:color="auto" w:fill="auto"/>
            <w:noWrap/>
            <w:vAlign w:val="bottom"/>
            <w:hideMark/>
          </w:tcPr>
          <w:p w14:paraId="1810D70E" w14:textId="77777777" w:rsidR="0072554E" w:rsidRPr="0072554E" w:rsidRDefault="0072554E" w:rsidP="0072554E">
            <w:pPr>
              <w:spacing w:after="0" w:line="240" w:lineRule="auto"/>
              <w:rPr>
                <w:rFonts w:ascii="Calibri" w:eastAsia="Times New Roman" w:hAnsi="Calibri" w:cs="Arial"/>
                <w:b/>
                <w:bCs/>
                <w:lang w:eastAsia="cs-CZ"/>
              </w:rPr>
            </w:pPr>
            <w:r w:rsidRPr="0072554E">
              <w:rPr>
                <w:rFonts w:ascii="Calibri" w:eastAsia="Times New Roman" w:hAnsi="Calibri" w:cs="Arial"/>
                <w:b/>
                <w:bCs/>
                <w:lang w:eastAsia="cs-CZ"/>
              </w:rPr>
              <w:t>Celkem</w:t>
            </w:r>
          </w:p>
        </w:tc>
        <w:tc>
          <w:tcPr>
            <w:tcW w:w="1293" w:type="dxa"/>
            <w:tcBorders>
              <w:top w:val="nil"/>
              <w:left w:val="nil"/>
              <w:bottom w:val="single" w:sz="8" w:space="0" w:color="auto"/>
              <w:right w:val="single" w:sz="4" w:space="0" w:color="auto"/>
            </w:tcBorders>
            <w:shd w:val="clear" w:color="auto" w:fill="auto"/>
            <w:noWrap/>
            <w:vAlign w:val="bottom"/>
            <w:hideMark/>
          </w:tcPr>
          <w:p w14:paraId="5916FB91" w14:textId="77777777" w:rsidR="0072554E" w:rsidRPr="0072554E" w:rsidRDefault="0072554E" w:rsidP="0072554E">
            <w:pPr>
              <w:spacing w:after="0" w:line="240" w:lineRule="auto"/>
              <w:jc w:val="right"/>
              <w:rPr>
                <w:rFonts w:ascii="Calibri" w:eastAsia="Times New Roman" w:hAnsi="Calibri" w:cs="Arial"/>
                <w:b/>
                <w:bCs/>
                <w:lang w:eastAsia="cs-CZ"/>
              </w:rPr>
            </w:pPr>
            <w:r w:rsidRPr="0072554E">
              <w:rPr>
                <w:rFonts w:ascii="Calibri" w:eastAsia="Times New Roman" w:hAnsi="Calibri" w:cs="Arial"/>
                <w:b/>
                <w:bCs/>
                <w:lang w:eastAsia="cs-CZ"/>
              </w:rPr>
              <w:t>20 000 000</w:t>
            </w:r>
          </w:p>
        </w:tc>
        <w:tc>
          <w:tcPr>
            <w:tcW w:w="1701" w:type="dxa"/>
            <w:tcBorders>
              <w:top w:val="single" w:sz="8" w:space="0" w:color="auto"/>
              <w:left w:val="nil"/>
              <w:bottom w:val="single" w:sz="8" w:space="0" w:color="auto"/>
              <w:right w:val="single" w:sz="4" w:space="0" w:color="auto"/>
            </w:tcBorders>
            <w:shd w:val="clear" w:color="auto" w:fill="auto"/>
            <w:noWrap/>
            <w:vAlign w:val="bottom"/>
            <w:hideMark/>
          </w:tcPr>
          <w:p w14:paraId="61BDCE74" w14:textId="77777777" w:rsidR="0072554E" w:rsidRPr="0072554E" w:rsidRDefault="0072554E" w:rsidP="0072554E">
            <w:pPr>
              <w:spacing w:after="0" w:line="240" w:lineRule="auto"/>
              <w:jc w:val="right"/>
              <w:rPr>
                <w:rFonts w:ascii="Calibri" w:eastAsia="Times New Roman" w:hAnsi="Calibri" w:cs="Arial"/>
                <w:b/>
                <w:bCs/>
                <w:lang w:eastAsia="cs-CZ"/>
              </w:rPr>
            </w:pPr>
            <w:r w:rsidRPr="0072554E">
              <w:rPr>
                <w:rFonts w:ascii="Calibri" w:eastAsia="Times New Roman" w:hAnsi="Calibri" w:cs="Arial"/>
                <w:b/>
                <w:bCs/>
                <w:lang w:eastAsia="cs-CZ"/>
              </w:rPr>
              <w:t>416 199 243,60</w:t>
            </w:r>
          </w:p>
        </w:tc>
        <w:tc>
          <w:tcPr>
            <w:tcW w:w="1559" w:type="dxa"/>
            <w:tcBorders>
              <w:top w:val="single" w:sz="8" w:space="0" w:color="auto"/>
              <w:left w:val="nil"/>
              <w:bottom w:val="single" w:sz="8" w:space="0" w:color="auto"/>
              <w:right w:val="single" w:sz="4" w:space="0" w:color="auto"/>
            </w:tcBorders>
            <w:shd w:val="clear" w:color="auto" w:fill="auto"/>
            <w:noWrap/>
            <w:vAlign w:val="bottom"/>
            <w:hideMark/>
          </w:tcPr>
          <w:p w14:paraId="49A61DBE" w14:textId="77777777" w:rsidR="0072554E" w:rsidRPr="0072554E" w:rsidRDefault="0072554E" w:rsidP="0072554E">
            <w:pPr>
              <w:spacing w:after="0" w:line="240" w:lineRule="auto"/>
              <w:jc w:val="right"/>
              <w:rPr>
                <w:rFonts w:ascii="Calibri" w:eastAsia="Times New Roman" w:hAnsi="Calibri" w:cs="Arial"/>
                <w:b/>
                <w:bCs/>
                <w:lang w:eastAsia="cs-CZ"/>
              </w:rPr>
            </w:pPr>
            <w:r w:rsidRPr="0072554E">
              <w:rPr>
                <w:rFonts w:ascii="Calibri" w:eastAsia="Times New Roman" w:hAnsi="Calibri" w:cs="Arial"/>
                <w:b/>
                <w:bCs/>
                <w:lang w:eastAsia="cs-CZ"/>
              </w:rPr>
              <w:t>276 766 061,55</w:t>
            </w:r>
          </w:p>
        </w:tc>
        <w:tc>
          <w:tcPr>
            <w:tcW w:w="1134" w:type="dxa"/>
            <w:tcBorders>
              <w:top w:val="single" w:sz="8" w:space="0" w:color="auto"/>
              <w:left w:val="nil"/>
              <w:bottom w:val="single" w:sz="8" w:space="0" w:color="auto"/>
              <w:right w:val="single" w:sz="8" w:space="0" w:color="auto"/>
            </w:tcBorders>
            <w:shd w:val="clear" w:color="auto" w:fill="auto"/>
            <w:noWrap/>
            <w:vAlign w:val="bottom"/>
            <w:hideMark/>
          </w:tcPr>
          <w:p w14:paraId="04CFE78E" w14:textId="77777777" w:rsidR="0072554E" w:rsidRPr="0072554E" w:rsidRDefault="0072554E" w:rsidP="0072554E">
            <w:pPr>
              <w:spacing w:after="0" w:line="240" w:lineRule="auto"/>
              <w:jc w:val="right"/>
              <w:rPr>
                <w:rFonts w:ascii="Calibri" w:eastAsia="Times New Roman" w:hAnsi="Calibri" w:cs="Arial"/>
                <w:b/>
                <w:bCs/>
                <w:lang w:eastAsia="cs-CZ"/>
              </w:rPr>
            </w:pPr>
            <w:r w:rsidRPr="0072554E">
              <w:rPr>
                <w:rFonts w:ascii="Calibri" w:eastAsia="Times New Roman" w:hAnsi="Calibri" w:cs="Arial"/>
                <w:b/>
                <w:bCs/>
                <w:lang w:eastAsia="cs-CZ"/>
              </w:rPr>
              <w:t>66,5</w:t>
            </w:r>
          </w:p>
        </w:tc>
      </w:tr>
      <w:tr w:rsidR="0072554E" w:rsidRPr="0072554E" w14:paraId="61B78ADF" w14:textId="77777777" w:rsidTr="009E7CFC">
        <w:trPr>
          <w:trHeight w:val="300"/>
        </w:trPr>
        <w:tc>
          <w:tcPr>
            <w:tcW w:w="851" w:type="dxa"/>
            <w:tcBorders>
              <w:top w:val="nil"/>
              <w:left w:val="single" w:sz="8" w:space="0" w:color="auto"/>
              <w:bottom w:val="nil"/>
              <w:right w:val="nil"/>
            </w:tcBorders>
            <w:shd w:val="clear" w:color="auto" w:fill="auto"/>
            <w:noWrap/>
            <w:vAlign w:val="bottom"/>
            <w:hideMark/>
          </w:tcPr>
          <w:p w14:paraId="2025DD57" w14:textId="77777777" w:rsidR="0072554E" w:rsidRPr="0072554E" w:rsidRDefault="0072554E" w:rsidP="0072554E">
            <w:pPr>
              <w:spacing w:after="0" w:line="240" w:lineRule="auto"/>
              <w:jc w:val="right"/>
              <w:rPr>
                <w:rFonts w:ascii="Calibri" w:eastAsia="Times New Roman" w:hAnsi="Calibri" w:cs="Arial"/>
                <w:b/>
                <w:bCs/>
                <w:lang w:eastAsia="cs-CZ"/>
              </w:rPr>
            </w:pPr>
          </w:p>
        </w:tc>
        <w:tc>
          <w:tcPr>
            <w:tcW w:w="4235" w:type="dxa"/>
            <w:tcBorders>
              <w:top w:val="nil"/>
              <w:left w:val="nil"/>
              <w:bottom w:val="nil"/>
              <w:right w:val="nil"/>
            </w:tcBorders>
            <w:shd w:val="clear" w:color="auto" w:fill="auto"/>
            <w:noWrap/>
            <w:vAlign w:val="bottom"/>
            <w:hideMark/>
          </w:tcPr>
          <w:p w14:paraId="67A90E8C" w14:textId="77777777" w:rsidR="0072554E" w:rsidRPr="0072554E" w:rsidRDefault="0072554E" w:rsidP="0072554E">
            <w:pPr>
              <w:spacing w:after="0" w:line="240" w:lineRule="auto"/>
              <w:jc w:val="center"/>
              <w:rPr>
                <w:rFonts w:ascii="Times New Roman" w:eastAsia="Times New Roman" w:hAnsi="Times New Roman" w:cs="Times New Roman"/>
                <w:sz w:val="20"/>
                <w:szCs w:val="20"/>
                <w:lang w:eastAsia="cs-CZ"/>
              </w:rPr>
            </w:pPr>
          </w:p>
        </w:tc>
        <w:tc>
          <w:tcPr>
            <w:tcW w:w="1293" w:type="dxa"/>
            <w:tcBorders>
              <w:top w:val="nil"/>
              <w:left w:val="nil"/>
              <w:bottom w:val="nil"/>
              <w:right w:val="nil"/>
            </w:tcBorders>
            <w:shd w:val="clear" w:color="auto" w:fill="auto"/>
            <w:noWrap/>
            <w:vAlign w:val="bottom"/>
            <w:hideMark/>
          </w:tcPr>
          <w:p w14:paraId="5B9FF6B0" w14:textId="77777777" w:rsidR="0072554E" w:rsidRPr="0072554E" w:rsidRDefault="0072554E" w:rsidP="0072554E">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22C79202" w14:textId="77777777" w:rsidR="0072554E" w:rsidRPr="0072554E" w:rsidRDefault="0072554E" w:rsidP="0072554E">
            <w:pPr>
              <w:spacing w:after="0" w:line="240" w:lineRule="auto"/>
              <w:jc w:val="right"/>
              <w:rPr>
                <w:rFonts w:ascii="Times New Roman" w:eastAsia="Times New Roman" w:hAnsi="Times New Roman" w:cs="Times New Roman"/>
                <w:sz w:val="20"/>
                <w:szCs w:val="20"/>
                <w:lang w:eastAsia="cs-CZ"/>
              </w:rPr>
            </w:pPr>
          </w:p>
        </w:tc>
        <w:tc>
          <w:tcPr>
            <w:tcW w:w="1559" w:type="dxa"/>
            <w:tcBorders>
              <w:top w:val="nil"/>
              <w:left w:val="nil"/>
              <w:bottom w:val="nil"/>
              <w:right w:val="nil"/>
            </w:tcBorders>
            <w:shd w:val="clear" w:color="auto" w:fill="auto"/>
            <w:noWrap/>
            <w:vAlign w:val="bottom"/>
            <w:hideMark/>
          </w:tcPr>
          <w:p w14:paraId="5D3928EC" w14:textId="77777777" w:rsidR="0072554E" w:rsidRPr="0072554E" w:rsidRDefault="0072554E" w:rsidP="0072554E">
            <w:pPr>
              <w:spacing w:after="0" w:line="240" w:lineRule="auto"/>
              <w:jc w:val="right"/>
              <w:rPr>
                <w:rFonts w:ascii="Times New Roman" w:eastAsia="Times New Roman" w:hAnsi="Times New Roman" w:cs="Times New Roman"/>
                <w:sz w:val="20"/>
                <w:szCs w:val="20"/>
                <w:lang w:eastAsia="cs-CZ"/>
              </w:rPr>
            </w:pPr>
          </w:p>
        </w:tc>
        <w:tc>
          <w:tcPr>
            <w:tcW w:w="1134" w:type="dxa"/>
            <w:tcBorders>
              <w:top w:val="nil"/>
              <w:left w:val="nil"/>
              <w:bottom w:val="nil"/>
              <w:right w:val="nil"/>
            </w:tcBorders>
            <w:shd w:val="clear" w:color="auto" w:fill="auto"/>
            <w:noWrap/>
            <w:vAlign w:val="bottom"/>
            <w:hideMark/>
          </w:tcPr>
          <w:p w14:paraId="74E3C989" w14:textId="77777777" w:rsidR="0072554E" w:rsidRPr="0072554E" w:rsidRDefault="0072554E" w:rsidP="0072554E">
            <w:pPr>
              <w:spacing w:after="0" w:line="240" w:lineRule="auto"/>
              <w:jc w:val="right"/>
              <w:rPr>
                <w:rFonts w:ascii="Times New Roman" w:eastAsia="Times New Roman" w:hAnsi="Times New Roman" w:cs="Times New Roman"/>
                <w:sz w:val="20"/>
                <w:szCs w:val="20"/>
                <w:lang w:eastAsia="cs-CZ"/>
              </w:rPr>
            </w:pPr>
          </w:p>
        </w:tc>
      </w:tr>
      <w:tr w:rsidR="0072554E" w:rsidRPr="0072554E" w14:paraId="25604B03" w14:textId="77777777" w:rsidTr="009E7CFC">
        <w:trPr>
          <w:trHeight w:val="320"/>
        </w:trPr>
        <w:tc>
          <w:tcPr>
            <w:tcW w:w="851" w:type="dxa"/>
            <w:tcBorders>
              <w:top w:val="nil"/>
              <w:left w:val="single" w:sz="8" w:space="0" w:color="auto"/>
              <w:bottom w:val="single" w:sz="8" w:space="0" w:color="auto"/>
              <w:right w:val="nil"/>
            </w:tcBorders>
            <w:shd w:val="clear" w:color="auto" w:fill="auto"/>
            <w:noWrap/>
            <w:vAlign w:val="center"/>
            <w:hideMark/>
          </w:tcPr>
          <w:p w14:paraId="595781D3" w14:textId="77777777" w:rsidR="0072554E" w:rsidRPr="0072554E" w:rsidRDefault="0072554E" w:rsidP="0072554E">
            <w:pPr>
              <w:spacing w:after="0" w:line="240" w:lineRule="auto"/>
              <w:jc w:val="right"/>
              <w:rPr>
                <w:rFonts w:ascii="Times New Roman" w:eastAsia="Times New Roman" w:hAnsi="Times New Roman" w:cs="Times New Roman"/>
                <w:sz w:val="20"/>
                <w:szCs w:val="20"/>
                <w:lang w:eastAsia="cs-CZ"/>
              </w:rPr>
            </w:pPr>
          </w:p>
        </w:tc>
        <w:tc>
          <w:tcPr>
            <w:tcW w:w="4235" w:type="dxa"/>
            <w:tcBorders>
              <w:top w:val="nil"/>
              <w:left w:val="nil"/>
              <w:bottom w:val="nil"/>
              <w:right w:val="nil"/>
            </w:tcBorders>
            <w:shd w:val="clear" w:color="auto" w:fill="auto"/>
            <w:noWrap/>
            <w:vAlign w:val="center"/>
            <w:hideMark/>
          </w:tcPr>
          <w:p w14:paraId="0D1C5C50" w14:textId="77777777" w:rsidR="0072554E" w:rsidRPr="0072554E" w:rsidRDefault="0072554E" w:rsidP="0072554E">
            <w:pPr>
              <w:spacing w:after="0" w:line="240" w:lineRule="auto"/>
              <w:rPr>
                <w:rFonts w:ascii="Calibri" w:eastAsia="Times New Roman" w:hAnsi="Calibri" w:cs="Arial"/>
                <w:b/>
                <w:bCs/>
                <w:lang w:eastAsia="cs-CZ"/>
              </w:rPr>
            </w:pPr>
            <w:r w:rsidRPr="0072554E">
              <w:rPr>
                <w:rFonts w:ascii="Calibri" w:eastAsia="Times New Roman" w:hAnsi="Calibri" w:cs="Arial"/>
                <w:b/>
                <w:bCs/>
                <w:lang w:eastAsia="cs-CZ"/>
              </w:rPr>
              <w:t>Kapitálové výdaje</w:t>
            </w:r>
          </w:p>
        </w:tc>
        <w:tc>
          <w:tcPr>
            <w:tcW w:w="1293" w:type="dxa"/>
            <w:tcBorders>
              <w:top w:val="nil"/>
              <w:left w:val="nil"/>
              <w:bottom w:val="nil"/>
              <w:right w:val="nil"/>
            </w:tcBorders>
            <w:shd w:val="clear" w:color="auto" w:fill="auto"/>
            <w:noWrap/>
            <w:vAlign w:val="center"/>
            <w:hideMark/>
          </w:tcPr>
          <w:p w14:paraId="140E28AE" w14:textId="77777777" w:rsidR="0072554E" w:rsidRPr="0072554E" w:rsidRDefault="0072554E" w:rsidP="0072554E">
            <w:pPr>
              <w:spacing w:after="0" w:line="240" w:lineRule="auto"/>
              <w:rPr>
                <w:rFonts w:ascii="Calibri" w:eastAsia="Times New Roman" w:hAnsi="Calibri" w:cs="Arial"/>
                <w:b/>
                <w:bCs/>
                <w:lang w:eastAsia="cs-CZ"/>
              </w:rPr>
            </w:pPr>
          </w:p>
        </w:tc>
        <w:tc>
          <w:tcPr>
            <w:tcW w:w="1701" w:type="dxa"/>
            <w:tcBorders>
              <w:top w:val="nil"/>
              <w:left w:val="nil"/>
              <w:bottom w:val="nil"/>
              <w:right w:val="nil"/>
            </w:tcBorders>
            <w:shd w:val="clear" w:color="auto" w:fill="auto"/>
            <w:noWrap/>
            <w:vAlign w:val="center"/>
            <w:hideMark/>
          </w:tcPr>
          <w:p w14:paraId="7E3B56DA" w14:textId="77777777" w:rsidR="0072554E" w:rsidRPr="0072554E" w:rsidRDefault="0072554E" w:rsidP="0072554E">
            <w:pPr>
              <w:spacing w:after="0" w:line="240" w:lineRule="auto"/>
              <w:jc w:val="right"/>
              <w:rPr>
                <w:rFonts w:ascii="Times New Roman" w:eastAsia="Times New Roman" w:hAnsi="Times New Roman" w:cs="Times New Roman"/>
                <w:sz w:val="20"/>
                <w:szCs w:val="20"/>
                <w:lang w:eastAsia="cs-CZ"/>
              </w:rPr>
            </w:pPr>
          </w:p>
        </w:tc>
        <w:tc>
          <w:tcPr>
            <w:tcW w:w="1559" w:type="dxa"/>
            <w:tcBorders>
              <w:top w:val="nil"/>
              <w:left w:val="nil"/>
              <w:bottom w:val="nil"/>
              <w:right w:val="nil"/>
            </w:tcBorders>
            <w:shd w:val="clear" w:color="auto" w:fill="auto"/>
            <w:noWrap/>
            <w:vAlign w:val="center"/>
            <w:hideMark/>
          </w:tcPr>
          <w:p w14:paraId="457FD983" w14:textId="77777777" w:rsidR="0072554E" w:rsidRPr="0072554E" w:rsidRDefault="0072554E" w:rsidP="0072554E">
            <w:pPr>
              <w:spacing w:after="0" w:line="240" w:lineRule="auto"/>
              <w:jc w:val="right"/>
              <w:rPr>
                <w:rFonts w:ascii="Times New Roman" w:eastAsia="Times New Roman" w:hAnsi="Times New Roman" w:cs="Times New Roman"/>
                <w:sz w:val="20"/>
                <w:szCs w:val="20"/>
                <w:lang w:eastAsia="cs-CZ"/>
              </w:rPr>
            </w:pPr>
          </w:p>
        </w:tc>
        <w:tc>
          <w:tcPr>
            <w:tcW w:w="1134" w:type="dxa"/>
            <w:tcBorders>
              <w:top w:val="nil"/>
              <w:left w:val="nil"/>
              <w:bottom w:val="nil"/>
              <w:right w:val="nil"/>
            </w:tcBorders>
            <w:shd w:val="clear" w:color="auto" w:fill="auto"/>
            <w:noWrap/>
            <w:vAlign w:val="center"/>
            <w:hideMark/>
          </w:tcPr>
          <w:p w14:paraId="54C85B38" w14:textId="77777777" w:rsidR="0072554E" w:rsidRPr="0072554E" w:rsidRDefault="0072554E" w:rsidP="0072554E">
            <w:pPr>
              <w:spacing w:after="0" w:line="240" w:lineRule="auto"/>
              <w:jc w:val="right"/>
              <w:rPr>
                <w:rFonts w:ascii="Times New Roman" w:eastAsia="Times New Roman" w:hAnsi="Times New Roman" w:cs="Times New Roman"/>
                <w:sz w:val="20"/>
                <w:szCs w:val="20"/>
                <w:lang w:eastAsia="cs-CZ"/>
              </w:rPr>
            </w:pPr>
          </w:p>
        </w:tc>
      </w:tr>
      <w:tr w:rsidR="0072554E" w:rsidRPr="0072554E" w14:paraId="40616C7E" w14:textId="77777777" w:rsidTr="009E7CFC">
        <w:trPr>
          <w:trHeight w:val="360"/>
        </w:trPr>
        <w:tc>
          <w:tcPr>
            <w:tcW w:w="851"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A2A797E"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lastRenderedPageBreak/>
              <w:t>2310</w:t>
            </w:r>
          </w:p>
        </w:tc>
        <w:tc>
          <w:tcPr>
            <w:tcW w:w="4235" w:type="dxa"/>
            <w:tcBorders>
              <w:top w:val="single" w:sz="8" w:space="0" w:color="auto"/>
              <w:left w:val="nil"/>
              <w:bottom w:val="single" w:sz="4" w:space="0" w:color="auto"/>
              <w:right w:val="single" w:sz="4" w:space="0" w:color="auto"/>
            </w:tcBorders>
            <w:shd w:val="clear" w:color="auto" w:fill="auto"/>
            <w:noWrap/>
            <w:vAlign w:val="center"/>
            <w:hideMark/>
          </w:tcPr>
          <w:p w14:paraId="4A83DAF2" w14:textId="77777777" w:rsidR="0072554E" w:rsidRPr="0072554E" w:rsidRDefault="0072554E" w:rsidP="0072554E">
            <w:pPr>
              <w:spacing w:after="0" w:line="240" w:lineRule="auto"/>
              <w:rPr>
                <w:rFonts w:ascii="Calibri" w:eastAsia="Times New Roman" w:hAnsi="Calibri" w:cs="Arial"/>
                <w:sz w:val="20"/>
                <w:szCs w:val="20"/>
                <w:lang w:eastAsia="cs-CZ"/>
              </w:rPr>
            </w:pPr>
            <w:r w:rsidRPr="0072554E">
              <w:rPr>
                <w:rFonts w:ascii="Calibri" w:eastAsia="Times New Roman" w:hAnsi="Calibri" w:cs="Arial"/>
                <w:sz w:val="20"/>
                <w:szCs w:val="20"/>
                <w:lang w:eastAsia="cs-CZ"/>
              </w:rPr>
              <w:t xml:space="preserve"> Individuální účelová dotace obci Cítov</w:t>
            </w:r>
          </w:p>
        </w:tc>
        <w:tc>
          <w:tcPr>
            <w:tcW w:w="1293" w:type="dxa"/>
            <w:tcBorders>
              <w:top w:val="single" w:sz="8" w:space="0" w:color="auto"/>
              <w:left w:val="nil"/>
              <w:bottom w:val="single" w:sz="4" w:space="0" w:color="auto"/>
              <w:right w:val="single" w:sz="4" w:space="0" w:color="auto"/>
            </w:tcBorders>
            <w:shd w:val="clear" w:color="auto" w:fill="auto"/>
            <w:noWrap/>
            <w:vAlign w:val="center"/>
            <w:hideMark/>
          </w:tcPr>
          <w:p w14:paraId="3F735FA3"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w:t>
            </w:r>
          </w:p>
        </w:tc>
        <w:tc>
          <w:tcPr>
            <w:tcW w:w="1701" w:type="dxa"/>
            <w:tcBorders>
              <w:top w:val="single" w:sz="8" w:space="0" w:color="auto"/>
              <w:left w:val="nil"/>
              <w:bottom w:val="single" w:sz="4" w:space="0" w:color="auto"/>
              <w:right w:val="single" w:sz="4" w:space="0" w:color="auto"/>
            </w:tcBorders>
            <w:shd w:val="clear" w:color="auto" w:fill="auto"/>
            <w:noWrap/>
            <w:vAlign w:val="bottom"/>
            <w:hideMark/>
          </w:tcPr>
          <w:p w14:paraId="4828D55E"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2 500 000,00</w:t>
            </w:r>
          </w:p>
        </w:tc>
        <w:tc>
          <w:tcPr>
            <w:tcW w:w="1559" w:type="dxa"/>
            <w:tcBorders>
              <w:top w:val="single" w:sz="8" w:space="0" w:color="auto"/>
              <w:left w:val="nil"/>
              <w:bottom w:val="single" w:sz="4" w:space="0" w:color="auto"/>
              <w:right w:val="single" w:sz="4" w:space="0" w:color="auto"/>
            </w:tcBorders>
            <w:shd w:val="clear" w:color="auto" w:fill="auto"/>
            <w:noWrap/>
            <w:vAlign w:val="bottom"/>
            <w:hideMark/>
          </w:tcPr>
          <w:p w14:paraId="618E593A"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2 500 000,00</w:t>
            </w:r>
          </w:p>
        </w:tc>
        <w:tc>
          <w:tcPr>
            <w:tcW w:w="1134" w:type="dxa"/>
            <w:tcBorders>
              <w:top w:val="single" w:sz="8" w:space="0" w:color="auto"/>
              <w:left w:val="nil"/>
              <w:bottom w:val="single" w:sz="4" w:space="0" w:color="auto"/>
              <w:right w:val="single" w:sz="8" w:space="0" w:color="auto"/>
            </w:tcBorders>
            <w:shd w:val="clear" w:color="auto" w:fill="auto"/>
            <w:noWrap/>
            <w:vAlign w:val="bottom"/>
            <w:hideMark/>
          </w:tcPr>
          <w:p w14:paraId="2D01FD5C"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100,0</w:t>
            </w:r>
          </w:p>
        </w:tc>
      </w:tr>
      <w:tr w:rsidR="0072554E" w:rsidRPr="0072554E" w14:paraId="4D63CC06" w14:textId="77777777" w:rsidTr="009E7CFC">
        <w:trPr>
          <w:trHeight w:val="310"/>
        </w:trPr>
        <w:tc>
          <w:tcPr>
            <w:tcW w:w="851"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48BEED8"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3635</w:t>
            </w:r>
          </w:p>
        </w:tc>
        <w:tc>
          <w:tcPr>
            <w:tcW w:w="4235" w:type="dxa"/>
            <w:tcBorders>
              <w:top w:val="nil"/>
              <w:left w:val="nil"/>
              <w:bottom w:val="single" w:sz="4" w:space="0" w:color="auto"/>
              <w:right w:val="single" w:sz="4" w:space="0" w:color="auto"/>
            </w:tcBorders>
            <w:shd w:val="clear" w:color="auto" w:fill="auto"/>
            <w:noWrap/>
            <w:vAlign w:val="center"/>
            <w:hideMark/>
          </w:tcPr>
          <w:p w14:paraId="3756C2D7" w14:textId="77777777" w:rsidR="0072554E" w:rsidRPr="0072554E" w:rsidRDefault="0072554E" w:rsidP="0072554E">
            <w:pPr>
              <w:spacing w:after="0" w:line="240" w:lineRule="auto"/>
              <w:rPr>
                <w:rFonts w:ascii="Calibri" w:eastAsia="Times New Roman" w:hAnsi="Calibri" w:cs="Arial"/>
                <w:sz w:val="20"/>
                <w:szCs w:val="20"/>
                <w:lang w:eastAsia="cs-CZ"/>
              </w:rPr>
            </w:pPr>
            <w:r w:rsidRPr="0072554E">
              <w:rPr>
                <w:rFonts w:ascii="Calibri" w:eastAsia="Times New Roman" w:hAnsi="Calibri" w:cs="Arial"/>
                <w:sz w:val="20"/>
                <w:szCs w:val="20"/>
                <w:lang w:eastAsia="cs-CZ"/>
              </w:rPr>
              <w:t>Změna územního plánu Brdy - individuální dotace</w:t>
            </w:r>
          </w:p>
        </w:tc>
        <w:tc>
          <w:tcPr>
            <w:tcW w:w="1293" w:type="dxa"/>
            <w:tcBorders>
              <w:top w:val="nil"/>
              <w:left w:val="nil"/>
              <w:bottom w:val="single" w:sz="4" w:space="0" w:color="auto"/>
              <w:right w:val="single" w:sz="4" w:space="0" w:color="auto"/>
            </w:tcBorders>
            <w:shd w:val="clear" w:color="auto" w:fill="auto"/>
            <w:noWrap/>
            <w:vAlign w:val="center"/>
            <w:hideMark/>
          </w:tcPr>
          <w:p w14:paraId="167D7B03"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66E4F1D0"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44 306,00</w:t>
            </w:r>
          </w:p>
        </w:tc>
        <w:tc>
          <w:tcPr>
            <w:tcW w:w="1559" w:type="dxa"/>
            <w:tcBorders>
              <w:top w:val="nil"/>
              <w:left w:val="nil"/>
              <w:bottom w:val="single" w:sz="4" w:space="0" w:color="auto"/>
              <w:right w:val="single" w:sz="4" w:space="0" w:color="auto"/>
            </w:tcBorders>
            <w:shd w:val="clear" w:color="auto" w:fill="auto"/>
            <w:noWrap/>
            <w:vAlign w:val="bottom"/>
            <w:hideMark/>
          </w:tcPr>
          <w:p w14:paraId="781D9C97"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33 570,00</w:t>
            </w:r>
          </w:p>
        </w:tc>
        <w:tc>
          <w:tcPr>
            <w:tcW w:w="1134" w:type="dxa"/>
            <w:tcBorders>
              <w:top w:val="nil"/>
              <w:left w:val="nil"/>
              <w:bottom w:val="single" w:sz="4" w:space="0" w:color="auto"/>
              <w:right w:val="single" w:sz="8" w:space="0" w:color="auto"/>
            </w:tcBorders>
            <w:shd w:val="clear" w:color="auto" w:fill="auto"/>
            <w:noWrap/>
            <w:vAlign w:val="bottom"/>
            <w:hideMark/>
          </w:tcPr>
          <w:p w14:paraId="230D3981"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75,8</w:t>
            </w:r>
          </w:p>
        </w:tc>
      </w:tr>
      <w:tr w:rsidR="0072554E" w:rsidRPr="0072554E" w14:paraId="7B5368E6" w14:textId="77777777" w:rsidTr="009E7CFC">
        <w:trPr>
          <w:trHeight w:val="310"/>
        </w:trPr>
        <w:tc>
          <w:tcPr>
            <w:tcW w:w="851"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0896EAEF"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3639</w:t>
            </w:r>
          </w:p>
        </w:tc>
        <w:tc>
          <w:tcPr>
            <w:tcW w:w="4235" w:type="dxa"/>
            <w:tcBorders>
              <w:top w:val="nil"/>
              <w:left w:val="nil"/>
              <w:bottom w:val="single" w:sz="4" w:space="0" w:color="auto"/>
              <w:right w:val="single" w:sz="4" w:space="0" w:color="auto"/>
            </w:tcBorders>
            <w:shd w:val="clear" w:color="auto" w:fill="auto"/>
            <w:vAlign w:val="center"/>
            <w:hideMark/>
          </w:tcPr>
          <w:p w14:paraId="20BF83C1" w14:textId="77777777" w:rsidR="0072554E" w:rsidRPr="0072554E" w:rsidRDefault="0072554E" w:rsidP="0072554E">
            <w:pPr>
              <w:spacing w:after="0" w:line="240" w:lineRule="auto"/>
              <w:rPr>
                <w:rFonts w:ascii="Calibri" w:eastAsia="Times New Roman" w:hAnsi="Calibri" w:cs="Arial"/>
                <w:sz w:val="20"/>
                <w:szCs w:val="20"/>
                <w:lang w:eastAsia="cs-CZ"/>
              </w:rPr>
            </w:pPr>
            <w:r w:rsidRPr="0072554E">
              <w:rPr>
                <w:rFonts w:ascii="Calibri" w:eastAsia="Times New Roman" w:hAnsi="Calibri" w:cs="Arial"/>
                <w:sz w:val="20"/>
                <w:szCs w:val="20"/>
                <w:lang w:eastAsia="cs-CZ"/>
              </w:rPr>
              <w:t>Individuální dlouhodobá výpomoc obci Tetín</w:t>
            </w:r>
          </w:p>
        </w:tc>
        <w:tc>
          <w:tcPr>
            <w:tcW w:w="1293" w:type="dxa"/>
            <w:tcBorders>
              <w:top w:val="nil"/>
              <w:left w:val="nil"/>
              <w:bottom w:val="single" w:sz="4" w:space="0" w:color="auto"/>
              <w:right w:val="single" w:sz="4" w:space="0" w:color="auto"/>
            </w:tcBorders>
            <w:shd w:val="clear" w:color="auto" w:fill="auto"/>
            <w:noWrap/>
            <w:vAlign w:val="bottom"/>
            <w:hideMark/>
          </w:tcPr>
          <w:p w14:paraId="6E2E4E0A"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0174C80D"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10 000 000,00</w:t>
            </w:r>
          </w:p>
        </w:tc>
        <w:tc>
          <w:tcPr>
            <w:tcW w:w="1559" w:type="dxa"/>
            <w:tcBorders>
              <w:top w:val="nil"/>
              <w:left w:val="nil"/>
              <w:bottom w:val="single" w:sz="4" w:space="0" w:color="auto"/>
              <w:right w:val="single" w:sz="4" w:space="0" w:color="auto"/>
            </w:tcBorders>
            <w:shd w:val="clear" w:color="auto" w:fill="auto"/>
            <w:noWrap/>
            <w:vAlign w:val="bottom"/>
            <w:hideMark/>
          </w:tcPr>
          <w:p w14:paraId="782B5C48"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10 000 000,00</w:t>
            </w:r>
          </w:p>
        </w:tc>
        <w:tc>
          <w:tcPr>
            <w:tcW w:w="1134" w:type="dxa"/>
            <w:tcBorders>
              <w:top w:val="nil"/>
              <w:left w:val="nil"/>
              <w:bottom w:val="single" w:sz="4" w:space="0" w:color="auto"/>
              <w:right w:val="single" w:sz="8" w:space="0" w:color="auto"/>
            </w:tcBorders>
            <w:shd w:val="clear" w:color="auto" w:fill="auto"/>
            <w:noWrap/>
            <w:vAlign w:val="bottom"/>
            <w:hideMark/>
          </w:tcPr>
          <w:p w14:paraId="328033E3"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100,0</w:t>
            </w:r>
          </w:p>
        </w:tc>
      </w:tr>
      <w:tr w:rsidR="0072554E" w:rsidRPr="0072554E" w14:paraId="7CC780EC" w14:textId="77777777" w:rsidTr="009E7CFC">
        <w:trPr>
          <w:trHeight w:val="1040"/>
        </w:trPr>
        <w:tc>
          <w:tcPr>
            <w:tcW w:w="851"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49EC2CCD"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3713</w:t>
            </w:r>
          </w:p>
        </w:tc>
        <w:tc>
          <w:tcPr>
            <w:tcW w:w="4235" w:type="dxa"/>
            <w:tcBorders>
              <w:top w:val="nil"/>
              <w:left w:val="nil"/>
              <w:bottom w:val="single" w:sz="4" w:space="0" w:color="auto"/>
              <w:right w:val="single" w:sz="4" w:space="0" w:color="auto"/>
            </w:tcBorders>
            <w:shd w:val="clear" w:color="auto" w:fill="auto"/>
            <w:vAlign w:val="center"/>
            <w:hideMark/>
          </w:tcPr>
          <w:p w14:paraId="047F8806" w14:textId="77777777" w:rsidR="0072554E" w:rsidRPr="0072554E" w:rsidRDefault="0072554E" w:rsidP="0072554E">
            <w:pPr>
              <w:spacing w:after="0" w:line="240" w:lineRule="auto"/>
              <w:rPr>
                <w:rFonts w:ascii="Calibri" w:eastAsia="Times New Roman" w:hAnsi="Calibri" w:cs="Arial"/>
                <w:sz w:val="20"/>
                <w:szCs w:val="20"/>
                <w:lang w:eastAsia="cs-CZ"/>
              </w:rPr>
            </w:pPr>
            <w:r w:rsidRPr="0072554E">
              <w:rPr>
                <w:rFonts w:ascii="Calibri" w:eastAsia="Times New Roman" w:hAnsi="Calibri" w:cs="Arial"/>
                <w:sz w:val="20"/>
                <w:szCs w:val="20"/>
                <w:lang w:eastAsia="cs-CZ"/>
              </w:rPr>
              <w:t>Státní fond životního prostředí ČR - Výměna zdrojů tepla na pevná paliva v rodinných domech Středočeského kraje 2017 – 2019 – II. Výzva</w:t>
            </w:r>
          </w:p>
        </w:tc>
        <w:tc>
          <w:tcPr>
            <w:tcW w:w="1293" w:type="dxa"/>
            <w:tcBorders>
              <w:top w:val="nil"/>
              <w:left w:val="nil"/>
              <w:bottom w:val="single" w:sz="4" w:space="0" w:color="auto"/>
              <w:right w:val="single" w:sz="4" w:space="0" w:color="auto"/>
            </w:tcBorders>
            <w:shd w:val="clear" w:color="auto" w:fill="auto"/>
            <w:noWrap/>
            <w:vAlign w:val="center"/>
            <w:hideMark/>
          </w:tcPr>
          <w:p w14:paraId="2B91EF99"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18A19AE0"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27 500,00</w:t>
            </w:r>
          </w:p>
        </w:tc>
        <w:tc>
          <w:tcPr>
            <w:tcW w:w="1559" w:type="dxa"/>
            <w:tcBorders>
              <w:top w:val="nil"/>
              <w:left w:val="nil"/>
              <w:bottom w:val="single" w:sz="4" w:space="0" w:color="auto"/>
              <w:right w:val="single" w:sz="4" w:space="0" w:color="auto"/>
            </w:tcBorders>
            <w:shd w:val="clear" w:color="auto" w:fill="auto"/>
            <w:noWrap/>
            <w:vAlign w:val="bottom"/>
            <w:hideMark/>
          </w:tcPr>
          <w:p w14:paraId="0ABF3222"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0,00</w:t>
            </w:r>
          </w:p>
        </w:tc>
        <w:tc>
          <w:tcPr>
            <w:tcW w:w="1134" w:type="dxa"/>
            <w:tcBorders>
              <w:top w:val="nil"/>
              <w:left w:val="nil"/>
              <w:bottom w:val="single" w:sz="4" w:space="0" w:color="auto"/>
              <w:right w:val="single" w:sz="8" w:space="0" w:color="auto"/>
            </w:tcBorders>
            <w:shd w:val="clear" w:color="auto" w:fill="auto"/>
            <w:noWrap/>
            <w:vAlign w:val="bottom"/>
            <w:hideMark/>
          </w:tcPr>
          <w:p w14:paraId="63F30303"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0,0</w:t>
            </w:r>
          </w:p>
        </w:tc>
      </w:tr>
      <w:tr w:rsidR="0072554E" w:rsidRPr="0072554E" w14:paraId="74403DD1" w14:textId="77777777" w:rsidTr="009E7CFC">
        <w:trPr>
          <w:trHeight w:val="1040"/>
        </w:trPr>
        <w:tc>
          <w:tcPr>
            <w:tcW w:w="851"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0CA9E116"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3713</w:t>
            </w:r>
          </w:p>
        </w:tc>
        <w:tc>
          <w:tcPr>
            <w:tcW w:w="4235" w:type="dxa"/>
            <w:tcBorders>
              <w:top w:val="nil"/>
              <w:left w:val="nil"/>
              <w:bottom w:val="single" w:sz="4" w:space="0" w:color="auto"/>
              <w:right w:val="single" w:sz="4" w:space="0" w:color="auto"/>
            </w:tcBorders>
            <w:shd w:val="clear" w:color="auto" w:fill="auto"/>
            <w:vAlign w:val="center"/>
            <w:hideMark/>
          </w:tcPr>
          <w:p w14:paraId="6C2CCC80" w14:textId="77777777" w:rsidR="0072554E" w:rsidRPr="0072554E" w:rsidRDefault="0072554E" w:rsidP="0072554E">
            <w:pPr>
              <w:spacing w:after="0" w:line="240" w:lineRule="auto"/>
              <w:rPr>
                <w:rFonts w:ascii="Calibri" w:eastAsia="Times New Roman" w:hAnsi="Calibri" w:cs="Arial"/>
                <w:sz w:val="20"/>
                <w:szCs w:val="20"/>
                <w:lang w:eastAsia="cs-CZ"/>
              </w:rPr>
            </w:pPr>
            <w:r w:rsidRPr="0072554E">
              <w:rPr>
                <w:rFonts w:ascii="Calibri" w:eastAsia="Times New Roman" w:hAnsi="Calibri" w:cs="Arial"/>
                <w:sz w:val="20"/>
                <w:szCs w:val="20"/>
                <w:lang w:eastAsia="cs-CZ"/>
              </w:rPr>
              <w:t>Státní fond životního prostředí ČR - Výměna zdrojů tepla na pevná paliva v rodinných domech Středočeského kraje 2019 – 2021  – III. Výzva</w:t>
            </w:r>
          </w:p>
        </w:tc>
        <w:tc>
          <w:tcPr>
            <w:tcW w:w="1293" w:type="dxa"/>
            <w:tcBorders>
              <w:top w:val="nil"/>
              <w:left w:val="nil"/>
              <w:bottom w:val="single" w:sz="4" w:space="0" w:color="auto"/>
              <w:right w:val="single" w:sz="4" w:space="0" w:color="auto"/>
            </w:tcBorders>
            <w:shd w:val="clear" w:color="auto" w:fill="auto"/>
            <w:noWrap/>
            <w:vAlign w:val="bottom"/>
            <w:hideMark/>
          </w:tcPr>
          <w:p w14:paraId="0DAE3D98"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707DA3B1"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100 000,00</w:t>
            </w:r>
          </w:p>
        </w:tc>
        <w:tc>
          <w:tcPr>
            <w:tcW w:w="1559" w:type="dxa"/>
            <w:tcBorders>
              <w:top w:val="nil"/>
              <w:left w:val="nil"/>
              <w:bottom w:val="single" w:sz="4" w:space="0" w:color="auto"/>
              <w:right w:val="single" w:sz="4" w:space="0" w:color="auto"/>
            </w:tcBorders>
            <w:shd w:val="clear" w:color="auto" w:fill="auto"/>
            <w:noWrap/>
            <w:vAlign w:val="bottom"/>
            <w:hideMark/>
          </w:tcPr>
          <w:p w14:paraId="1EFDB557"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100 000,00</w:t>
            </w:r>
          </w:p>
        </w:tc>
        <w:tc>
          <w:tcPr>
            <w:tcW w:w="1134" w:type="dxa"/>
            <w:tcBorders>
              <w:top w:val="nil"/>
              <w:left w:val="nil"/>
              <w:bottom w:val="single" w:sz="4" w:space="0" w:color="auto"/>
              <w:right w:val="single" w:sz="8" w:space="0" w:color="auto"/>
            </w:tcBorders>
            <w:shd w:val="clear" w:color="auto" w:fill="auto"/>
            <w:noWrap/>
            <w:vAlign w:val="bottom"/>
            <w:hideMark/>
          </w:tcPr>
          <w:p w14:paraId="06227DC9"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100,0</w:t>
            </w:r>
          </w:p>
        </w:tc>
      </w:tr>
      <w:tr w:rsidR="0072554E" w:rsidRPr="0072554E" w14:paraId="2B5D7359" w14:textId="77777777" w:rsidTr="009E7CFC">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5F9064CC"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6172</w:t>
            </w:r>
          </w:p>
        </w:tc>
        <w:tc>
          <w:tcPr>
            <w:tcW w:w="4235" w:type="dxa"/>
            <w:tcBorders>
              <w:top w:val="nil"/>
              <w:left w:val="nil"/>
              <w:bottom w:val="single" w:sz="8" w:space="0" w:color="auto"/>
              <w:right w:val="single" w:sz="4" w:space="0" w:color="auto"/>
            </w:tcBorders>
            <w:shd w:val="clear" w:color="auto" w:fill="auto"/>
            <w:vAlign w:val="center"/>
            <w:hideMark/>
          </w:tcPr>
          <w:p w14:paraId="4177D946" w14:textId="77777777" w:rsidR="0072554E" w:rsidRPr="0072554E" w:rsidRDefault="0072554E" w:rsidP="0072554E">
            <w:pPr>
              <w:spacing w:after="0" w:line="240" w:lineRule="auto"/>
              <w:rPr>
                <w:rFonts w:ascii="Calibri" w:eastAsia="Times New Roman" w:hAnsi="Calibri" w:cs="Arial"/>
                <w:sz w:val="20"/>
                <w:szCs w:val="20"/>
                <w:lang w:eastAsia="cs-CZ"/>
              </w:rPr>
            </w:pPr>
            <w:r w:rsidRPr="0072554E">
              <w:rPr>
                <w:rFonts w:ascii="Calibri" w:eastAsia="Times New Roman" w:hAnsi="Calibri" w:cs="Arial"/>
                <w:sz w:val="20"/>
                <w:szCs w:val="20"/>
                <w:lang w:eastAsia="cs-CZ"/>
              </w:rPr>
              <w:t>Činnost regionální správy - Participativní rozpočet</w:t>
            </w:r>
          </w:p>
        </w:tc>
        <w:tc>
          <w:tcPr>
            <w:tcW w:w="1293" w:type="dxa"/>
            <w:tcBorders>
              <w:top w:val="nil"/>
              <w:left w:val="nil"/>
              <w:bottom w:val="single" w:sz="8" w:space="0" w:color="auto"/>
              <w:right w:val="single" w:sz="4" w:space="0" w:color="auto"/>
            </w:tcBorders>
            <w:shd w:val="clear" w:color="auto" w:fill="auto"/>
            <w:noWrap/>
            <w:vAlign w:val="bottom"/>
            <w:hideMark/>
          </w:tcPr>
          <w:p w14:paraId="2DD7333D"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w:t>
            </w:r>
          </w:p>
        </w:tc>
        <w:tc>
          <w:tcPr>
            <w:tcW w:w="1701" w:type="dxa"/>
            <w:tcBorders>
              <w:top w:val="nil"/>
              <w:left w:val="nil"/>
              <w:bottom w:val="single" w:sz="8" w:space="0" w:color="auto"/>
              <w:right w:val="single" w:sz="4" w:space="0" w:color="auto"/>
            </w:tcBorders>
            <w:shd w:val="clear" w:color="auto" w:fill="auto"/>
            <w:noWrap/>
            <w:vAlign w:val="bottom"/>
            <w:hideMark/>
          </w:tcPr>
          <w:p w14:paraId="33D578B6"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968 000,00</w:t>
            </w:r>
          </w:p>
        </w:tc>
        <w:tc>
          <w:tcPr>
            <w:tcW w:w="1559" w:type="dxa"/>
            <w:tcBorders>
              <w:top w:val="nil"/>
              <w:left w:val="nil"/>
              <w:bottom w:val="single" w:sz="8" w:space="0" w:color="auto"/>
              <w:right w:val="single" w:sz="4" w:space="0" w:color="auto"/>
            </w:tcBorders>
            <w:shd w:val="clear" w:color="auto" w:fill="auto"/>
            <w:noWrap/>
            <w:vAlign w:val="bottom"/>
            <w:hideMark/>
          </w:tcPr>
          <w:p w14:paraId="1F84B7E2"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605 000,00</w:t>
            </w:r>
          </w:p>
        </w:tc>
        <w:tc>
          <w:tcPr>
            <w:tcW w:w="1134" w:type="dxa"/>
            <w:tcBorders>
              <w:top w:val="nil"/>
              <w:left w:val="nil"/>
              <w:bottom w:val="single" w:sz="8" w:space="0" w:color="auto"/>
              <w:right w:val="single" w:sz="8" w:space="0" w:color="auto"/>
            </w:tcBorders>
            <w:shd w:val="clear" w:color="auto" w:fill="auto"/>
            <w:noWrap/>
            <w:vAlign w:val="bottom"/>
            <w:hideMark/>
          </w:tcPr>
          <w:p w14:paraId="418F23CE"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62,5</w:t>
            </w:r>
          </w:p>
        </w:tc>
      </w:tr>
      <w:tr w:rsidR="0072554E" w:rsidRPr="0072554E" w14:paraId="2790D2D5" w14:textId="77777777" w:rsidTr="009E7CFC">
        <w:trPr>
          <w:trHeight w:val="320"/>
        </w:trPr>
        <w:tc>
          <w:tcPr>
            <w:tcW w:w="851"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3B1EEB2F" w14:textId="77777777" w:rsidR="0072554E" w:rsidRPr="0072554E" w:rsidRDefault="0072554E" w:rsidP="0072554E">
            <w:pPr>
              <w:spacing w:after="0" w:line="240" w:lineRule="auto"/>
              <w:jc w:val="center"/>
              <w:rPr>
                <w:rFonts w:ascii="Calibri" w:eastAsia="Times New Roman" w:hAnsi="Calibri" w:cs="Arial"/>
                <w:lang w:eastAsia="cs-CZ"/>
              </w:rPr>
            </w:pPr>
            <w:r w:rsidRPr="0072554E">
              <w:rPr>
                <w:rFonts w:ascii="Calibri" w:eastAsia="Times New Roman" w:hAnsi="Calibri" w:cs="Arial"/>
                <w:lang w:eastAsia="cs-CZ"/>
              </w:rPr>
              <w:t> </w:t>
            </w:r>
          </w:p>
        </w:tc>
        <w:tc>
          <w:tcPr>
            <w:tcW w:w="4235" w:type="dxa"/>
            <w:tcBorders>
              <w:top w:val="nil"/>
              <w:left w:val="nil"/>
              <w:bottom w:val="single" w:sz="8" w:space="0" w:color="auto"/>
              <w:right w:val="single" w:sz="4" w:space="0" w:color="auto"/>
            </w:tcBorders>
            <w:shd w:val="clear" w:color="auto" w:fill="auto"/>
            <w:noWrap/>
            <w:vAlign w:val="center"/>
            <w:hideMark/>
          </w:tcPr>
          <w:p w14:paraId="2C31395A" w14:textId="77777777" w:rsidR="0072554E" w:rsidRPr="0072554E" w:rsidRDefault="0072554E" w:rsidP="0072554E">
            <w:pPr>
              <w:spacing w:after="0" w:line="240" w:lineRule="auto"/>
              <w:rPr>
                <w:rFonts w:ascii="Calibri" w:eastAsia="Times New Roman" w:hAnsi="Calibri" w:cs="Arial"/>
                <w:b/>
                <w:bCs/>
                <w:lang w:eastAsia="cs-CZ"/>
              </w:rPr>
            </w:pPr>
            <w:r w:rsidRPr="0072554E">
              <w:rPr>
                <w:rFonts w:ascii="Calibri" w:eastAsia="Times New Roman" w:hAnsi="Calibri" w:cs="Arial"/>
                <w:b/>
                <w:bCs/>
                <w:lang w:eastAsia="cs-CZ"/>
              </w:rPr>
              <w:t>Celkem</w:t>
            </w:r>
          </w:p>
        </w:tc>
        <w:tc>
          <w:tcPr>
            <w:tcW w:w="1293" w:type="dxa"/>
            <w:tcBorders>
              <w:top w:val="nil"/>
              <w:left w:val="nil"/>
              <w:bottom w:val="single" w:sz="8" w:space="0" w:color="auto"/>
              <w:right w:val="single" w:sz="4" w:space="0" w:color="auto"/>
            </w:tcBorders>
            <w:shd w:val="clear" w:color="auto" w:fill="auto"/>
            <w:noWrap/>
            <w:vAlign w:val="center"/>
            <w:hideMark/>
          </w:tcPr>
          <w:p w14:paraId="7771EBE9" w14:textId="77777777" w:rsidR="0072554E" w:rsidRPr="0072554E" w:rsidRDefault="0072554E" w:rsidP="0072554E">
            <w:pPr>
              <w:spacing w:after="0" w:line="240" w:lineRule="auto"/>
              <w:jc w:val="right"/>
              <w:rPr>
                <w:rFonts w:ascii="Calibri" w:eastAsia="Times New Roman" w:hAnsi="Calibri" w:cs="Arial"/>
                <w:b/>
                <w:bCs/>
                <w:lang w:eastAsia="cs-CZ"/>
              </w:rPr>
            </w:pPr>
            <w:r w:rsidRPr="0072554E">
              <w:rPr>
                <w:rFonts w:ascii="Calibri" w:eastAsia="Times New Roman" w:hAnsi="Calibri" w:cs="Arial"/>
                <w:b/>
                <w:bCs/>
                <w:lang w:eastAsia="cs-CZ"/>
              </w:rPr>
              <w:t>0</w:t>
            </w:r>
          </w:p>
        </w:tc>
        <w:tc>
          <w:tcPr>
            <w:tcW w:w="1701" w:type="dxa"/>
            <w:tcBorders>
              <w:top w:val="nil"/>
              <w:left w:val="nil"/>
              <w:bottom w:val="single" w:sz="8" w:space="0" w:color="auto"/>
              <w:right w:val="single" w:sz="4" w:space="0" w:color="auto"/>
            </w:tcBorders>
            <w:shd w:val="clear" w:color="auto" w:fill="auto"/>
            <w:noWrap/>
            <w:vAlign w:val="center"/>
            <w:hideMark/>
          </w:tcPr>
          <w:p w14:paraId="68744F04" w14:textId="77777777" w:rsidR="0072554E" w:rsidRPr="0072554E" w:rsidRDefault="0072554E" w:rsidP="0072554E">
            <w:pPr>
              <w:spacing w:after="0" w:line="240" w:lineRule="auto"/>
              <w:jc w:val="right"/>
              <w:rPr>
                <w:rFonts w:ascii="Calibri" w:eastAsia="Times New Roman" w:hAnsi="Calibri" w:cs="Arial"/>
                <w:b/>
                <w:bCs/>
                <w:lang w:eastAsia="cs-CZ"/>
              </w:rPr>
            </w:pPr>
            <w:r w:rsidRPr="0072554E">
              <w:rPr>
                <w:rFonts w:ascii="Calibri" w:eastAsia="Times New Roman" w:hAnsi="Calibri" w:cs="Arial"/>
                <w:b/>
                <w:bCs/>
                <w:lang w:eastAsia="cs-CZ"/>
              </w:rPr>
              <w:t>13 639 806,00</w:t>
            </w:r>
          </w:p>
        </w:tc>
        <w:tc>
          <w:tcPr>
            <w:tcW w:w="1559" w:type="dxa"/>
            <w:tcBorders>
              <w:top w:val="nil"/>
              <w:left w:val="nil"/>
              <w:bottom w:val="single" w:sz="8" w:space="0" w:color="auto"/>
              <w:right w:val="single" w:sz="4" w:space="0" w:color="auto"/>
            </w:tcBorders>
            <w:shd w:val="clear" w:color="auto" w:fill="auto"/>
            <w:noWrap/>
            <w:vAlign w:val="center"/>
            <w:hideMark/>
          </w:tcPr>
          <w:p w14:paraId="51083294" w14:textId="77777777" w:rsidR="0072554E" w:rsidRPr="0072554E" w:rsidRDefault="0072554E" w:rsidP="0072554E">
            <w:pPr>
              <w:spacing w:after="0" w:line="240" w:lineRule="auto"/>
              <w:jc w:val="right"/>
              <w:rPr>
                <w:rFonts w:ascii="Calibri" w:eastAsia="Times New Roman" w:hAnsi="Calibri" w:cs="Arial"/>
                <w:b/>
                <w:bCs/>
                <w:lang w:eastAsia="cs-CZ"/>
              </w:rPr>
            </w:pPr>
            <w:r w:rsidRPr="0072554E">
              <w:rPr>
                <w:rFonts w:ascii="Calibri" w:eastAsia="Times New Roman" w:hAnsi="Calibri" w:cs="Arial"/>
                <w:b/>
                <w:bCs/>
                <w:lang w:eastAsia="cs-CZ"/>
              </w:rPr>
              <w:t>13 238 570,00</w:t>
            </w:r>
          </w:p>
        </w:tc>
        <w:tc>
          <w:tcPr>
            <w:tcW w:w="1134" w:type="dxa"/>
            <w:tcBorders>
              <w:top w:val="nil"/>
              <w:left w:val="nil"/>
              <w:bottom w:val="single" w:sz="8" w:space="0" w:color="auto"/>
              <w:right w:val="single" w:sz="8" w:space="0" w:color="auto"/>
            </w:tcBorders>
            <w:shd w:val="clear" w:color="auto" w:fill="auto"/>
            <w:noWrap/>
            <w:vAlign w:val="bottom"/>
            <w:hideMark/>
          </w:tcPr>
          <w:p w14:paraId="428947B5" w14:textId="77777777" w:rsidR="0072554E" w:rsidRPr="0072554E" w:rsidRDefault="0072554E" w:rsidP="0072554E">
            <w:pPr>
              <w:spacing w:after="0" w:line="240" w:lineRule="auto"/>
              <w:jc w:val="right"/>
              <w:rPr>
                <w:rFonts w:ascii="Calibri" w:eastAsia="Times New Roman" w:hAnsi="Calibri" w:cs="Arial"/>
                <w:b/>
                <w:bCs/>
                <w:lang w:eastAsia="cs-CZ"/>
              </w:rPr>
            </w:pPr>
            <w:r w:rsidRPr="0072554E">
              <w:rPr>
                <w:rFonts w:ascii="Calibri" w:eastAsia="Times New Roman" w:hAnsi="Calibri" w:cs="Arial"/>
                <w:b/>
                <w:bCs/>
                <w:lang w:eastAsia="cs-CZ"/>
              </w:rPr>
              <w:t>97,1</w:t>
            </w:r>
          </w:p>
        </w:tc>
      </w:tr>
      <w:tr w:rsidR="0072554E" w:rsidRPr="0072554E" w14:paraId="25BE64A3" w14:textId="77777777" w:rsidTr="009E7CFC">
        <w:trPr>
          <w:trHeight w:val="300"/>
        </w:trPr>
        <w:tc>
          <w:tcPr>
            <w:tcW w:w="851" w:type="dxa"/>
            <w:tcBorders>
              <w:top w:val="nil"/>
              <w:left w:val="single" w:sz="8" w:space="0" w:color="auto"/>
              <w:bottom w:val="nil"/>
              <w:right w:val="nil"/>
            </w:tcBorders>
            <w:shd w:val="clear" w:color="auto" w:fill="auto"/>
            <w:noWrap/>
            <w:vAlign w:val="center"/>
            <w:hideMark/>
          </w:tcPr>
          <w:p w14:paraId="79F4F451" w14:textId="77777777" w:rsidR="0072554E" w:rsidRPr="0072554E" w:rsidRDefault="0072554E" w:rsidP="0072554E">
            <w:pPr>
              <w:spacing w:after="0" w:line="240" w:lineRule="auto"/>
              <w:jc w:val="right"/>
              <w:rPr>
                <w:rFonts w:ascii="Calibri" w:eastAsia="Times New Roman" w:hAnsi="Calibri" w:cs="Arial"/>
                <w:b/>
                <w:bCs/>
                <w:lang w:eastAsia="cs-CZ"/>
              </w:rPr>
            </w:pPr>
          </w:p>
        </w:tc>
        <w:tc>
          <w:tcPr>
            <w:tcW w:w="4235" w:type="dxa"/>
            <w:tcBorders>
              <w:top w:val="nil"/>
              <w:left w:val="nil"/>
              <w:bottom w:val="nil"/>
              <w:right w:val="nil"/>
            </w:tcBorders>
            <w:shd w:val="clear" w:color="auto" w:fill="auto"/>
            <w:noWrap/>
            <w:vAlign w:val="center"/>
            <w:hideMark/>
          </w:tcPr>
          <w:p w14:paraId="454DB772" w14:textId="77777777" w:rsidR="0072554E" w:rsidRPr="0072554E" w:rsidRDefault="0072554E" w:rsidP="0072554E">
            <w:pPr>
              <w:spacing w:after="0" w:line="240" w:lineRule="auto"/>
              <w:jc w:val="center"/>
              <w:rPr>
                <w:rFonts w:ascii="Times New Roman" w:eastAsia="Times New Roman" w:hAnsi="Times New Roman" w:cs="Times New Roman"/>
                <w:sz w:val="20"/>
                <w:szCs w:val="20"/>
                <w:lang w:eastAsia="cs-CZ"/>
              </w:rPr>
            </w:pPr>
          </w:p>
        </w:tc>
        <w:tc>
          <w:tcPr>
            <w:tcW w:w="1293" w:type="dxa"/>
            <w:tcBorders>
              <w:top w:val="nil"/>
              <w:left w:val="nil"/>
              <w:bottom w:val="nil"/>
              <w:right w:val="nil"/>
            </w:tcBorders>
            <w:shd w:val="clear" w:color="auto" w:fill="auto"/>
            <w:noWrap/>
            <w:vAlign w:val="center"/>
            <w:hideMark/>
          </w:tcPr>
          <w:p w14:paraId="5183592B" w14:textId="77777777" w:rsidR="0072554E" w:rsidRPr="0072554E" w:rsidRDefault="0072554E" w:rsidP="0072554E">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center"/>
            <w:hideMark/>
          </w:tcPr>
          <w:p w14:paraId="3700AEC6" w14:textId="77777777" w:rsidR="0072554E" w:rsidRPr="0072554E" w:rsidRDefault="0072554E" w:rsidP="0072554E">
            <w:pPr>
              <w:spacing w:after="0" w:line="240" w:lineRule="auto"/>
              <w:jc w:val="right"/>
              <w:rPr>
                <w:rFonts w:ascii="Times New Roman" w:eastAsia="Times New Roman" w:hAnsi="Times New Roman" w:cs="Times New Roman"/>
                <w:sz w:val="20"/>
                <w:szCs w:val="20"/>
                <w:lang w:eastAsia="cs-CZ"/>
              </w:rPr>
            </w:pPr>
          </w:p>
        </w:tc>
        <w:tc>
          <w:tcPr>
            <w:tcW w:w="1559" w:type="dxa"/>
            <w:tcBorders>
              <w:top w:val="nil"/>
              <w:left w:val="nil"/>
              <w:bottom w:val="nil"/>
              <w:right w:val="nil"/>
            </w:tcBorders>
            <w:shd w:val="clear" w:color="auto" w:fill="auto"/>
            <w:noWrap/>
            <w:vAlign w:val="center"/>
            <w:hideMark/>
          </w:tcPr>
          <w:p w14:paraId="303DA7D7" w14:textId="77777777" w:rsidR="0072554E" w:rsidRPr="0072554E" w:rsidRDefault="0072554E" w:rsidP="0072554E">
            <w:pPr>
              <w:spacing w:after="0" w:line="240" w:lineRule="auto"/>
              <w:jc w:val="right"/>
              <w:rPr>
                <w:rFonts w:ascii="Times New Roman" w:eastAsia="Times New Roman" w:hAnsi="Times New Roman" w:cs="Times New Roman"/>
                <w:sz w:val="20"/>
                <w:szCs w:val="20"/>
                <w:lang w:eastAsia="cs-CZ"/>
              </w:rPr>
            </w:pPr>
          </w:p>
        </w:tc>
        <w:tc>
          <w:tcPr>
            <w:tcW w:w="1134" w:type="dxa"/>
            <w:tcBorders>
              <w:top w:val="nil"/>
              <w:left w:val="nil"/>
              <w:bottom w:val="nil"/>
              <w:right w:val="nil"/>
            </w:tcBorders>
            <w:shd w:val="clear" w:color="auto" w:fill="auto"/>
            <w:noWrap/>
            <w:vAlign w:val="bottom"/>
            <w:hideMark/>
          </w:tcPr>
          <w:p w14:paraId="485CA8A4" w14:textId="77777777" w:rsidR="0072554E" w:rsidRPr="0072554E" w:rsidRDefault="0072554E" w:rsidP="0072554E">
            <w:pPr>
              <w:spacing w:after="0" w:line="240" w:lineRule="auto"/>
              <w:jc w:val="right"/>
              <w:rPr>
                <w:rFonts w:ascii="Times New Roman" w:eastAsia="Times New Roman" w:hAnsi="Times New Roman" w:cs="Times New Roman"/>
                <w:sz w:val="20"/>
                <w:szCs w:val="20"/>
                <w:lang w:eastAsia="cs-CZ"/>
              </w:rPr>
            </w:pPr>
          </w:p>
        </w:tc>
      </w:tr>
      <w:tr w:rsidR="0072554E" w:rsidRPr="0072554E" w14:paraId="470BF145" w14:textId="77777777" w:rsidTr="009E7CFC">
        <w:trPr>
          <w:trHeight w:val="300"/>
        </w:trPr>
        <w:tc>
          <w:tcPr>
            <w:tcW w:w="851" w:type="dxa"/>
            <w:tcBorders>
              <w:top w:val="nil"/>
              <w:left w:val="single" w:sz="8" w:space="0" w:color="auto"/>
              <w:bottom w:val="single" w:sz="8" w:space="0" w:color="auto"/>
              <w:right w:val="nil"/>
            </w:tcBorders>
            <w:shd w:val="clear" w:color="auto" w:fill="auto"/>
            <w:noWrap/>
            <w:hideMark/>
          </w:tcPr>
          <w:p w14:paraId="14277884" w14:textId="77777777" w:rsidR="0072554E" w:rsidRPr="0072554E" w:rsidRDefault="0072554E" w:rsidP="0072554E">
            <w:pPr>
              <w:spacing w:after="0" w:line="240" w:lineRule="auto"/>
              <w:rPr>
                <w:rFonts w:ascii="Arial" w:eastAsia="Times New Roman" w:hAnsi="Arial" w:cs="Arial"/>
                <w:color w:val="FFFFFF"/>
                <w:sz w:val="16"/>
                <w:szCs w:val="16"/>
                <w:lang w:eastAsia="cs-CZ"/>
              </w:rPr>
            </w:pPr>
            <w:r w:rsidRPr="0072554E">
              <w:rPr>
                <w:rFonts w:ascii="Arial" w:eastAsia="Times New Roman" w:hAnsi="Arial" w:cs="Arial"/>
                <w:color w:val="FFFFFF"/>
                <w:sz w:val="16"/>
                <w:szCs w:val="16"/>
                <w:lang w:eastAsia="cs-CZ"/>
              </w:rPr>
              <w:t> </w:t>
            </w:r>
          </w:p>
        </w:tc>
        <w:tc>
          <w:tcPr>
            <w:tcW w:w="9922" w:type="dxa"/>
            <w:gridSpan w:val="5"/>
            <w:tcBorders>
              <w:top w:val="nil"/>
              <w:left w:val="nil"/>
              <w:bottom w:val="single" w:sz="8" w:space="0" w:color="auto"/>
              <w:right w:val="nil"/>
            </w:tcBorders>
            <w:shd w:val="clear" w:color="auto" w:fill="auto"/>
            <w:vAlign w:val="bottom"/>
            <w:hideMark/>
          </w:tcPr>
          <w:p w14:paraId="49471560" w14:textId="77777777" w:rsidR="0072554E" w:rsidRPr="0072554E" w:rsidRDefault="0072554E" w:rsidP="0072554E">
            <w:pPr>
              <w:spacing w:after="0" w:line="240" w:lineRule="auto"/>
              <w:rPr>
                <w:rFonts w:ascii="Calibri" w:eastAsia="Times New Roman" w:hAnsi="Calibri" w:cs="Arial"/>
                <w:b/>
                <w:bCs/>
                <w:lang w:eastAsia="cs-CZ"/>
              </w:rPr>
            </w:pPr>
            <w:r w:rsidRPr="0072554E">
              <w:rPr>
                <w:rFonts w:ascii="Calibri" w:eastAsia="Times New Roman" w:hAnsi="Calibri" w:cs="Arial"/>
                <w:b/>
                <w:bCs/>
                <w:lang w:eastAsia="cs-CZ"/>
              </w:rPr>
              <w:t>Předfinancování a kofinancování projektů spolufinancovaných z EU/EHP a ostatní související výdaje s projekty EU/EHP</w:t>
            </w:r>
          </w:p>
        </w:tc>
      </w:tr>
      <w:tr w:rsidR="0072554E" w:rsidRPr="0072554E" w14:paraId="08D0235A" w14:textId="77777777" w:rsidTr="009E7CFC">
        <w:trPr>
          <w:trHeight w:val="520"/>
        </w:trPr>
        <w:tc>
          <w:tcPr>
            <w:tcW w:w="851" w:type="dxa"/>
            <w:tcBorders>
              <w:top w:val="single" w:sz="8" w:space="0" w:color="auto"/>
              <w:left w:val="single" w:sz="8" w:space="0" w:color="auto"/>
              <w:bottom w:val="single" w:sz="4" w:space="0" w:color="auto"/>
              <w:right w:val="single" w:sz="4" w:space="0" w:color="auto"/>
            </w:tcBorders>
            <w:shd w:val="clear" w:color="auto" w:fill="auto"/>
            <w:vAlign w:val="bottom"/>
            <w:hideMark/>
          </w:tcPr>
          <w:p w14:paraId="3033C566"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2115</w:t>
            </w:r>
          </w:p>
        </w:tc>
        <w:tc>
          <w:tcPr>
            <w:tcW w:w="4235" w:type="dxa"/>
            <w:tcBorders>
              <w:top w:val="nil"/>
              <w:left w:val="nil"/>
              <w:bottom w:val="single" w:sz="4" w:space="0" w:color="auto"/>
              <w:right w:val="single" w:sz="4" w:space="0" w:color="auto"/>
            </w:tcBorders>
            <w:shd w:val="clear" w:color="auto" w:fill="auto"/>
            <w:vAlign w:val="bottom"/>
            <w:hideMark/>
          </w:tcPr>
          <w:p w14:paraId="4D28B205" w14:textId="77777777" w:rsidR="0072554E" w:rsidRPr="0072554E" w:rsidRDefault="0072554E" w:rsidP="0072554E">
            <w:pPr>
              <w:spacing w:after="0" w:line="240" w:lineRule="auto"/>
              <w:rPr>
                <w:rFonts w:ascii="Calibri" w:eastAsia="Times New Roman" w:hAnsi="Calibri" w:cs="Arial"/>
                <w:sz w:val="20"/>
                <w:szCs w:val="20"/>
                <w:lang w:eastAsia="cs-CZ"/>
              </w:rPr>
            </w:pPr>
            <w:r w:rsidRPr="0072554E">
              <w:rPr>
                <w:rFonts w:ascii="Calibri" w:eastAsia="Times New Roman" w:hAnsi="Calibri" w:cs="Arial"/>
                <w:sz w:val="20"/>
                <w:szCs w:val="20"/>
                <w:lang w:eastAsia="cs-CZ"/>
              </w:rPr>
              <w:t>Energetické úspory se zaručeným výsledkem pro SK - nemocnice Mladá Boleslav EPC I</w:t>
            </w:r>
          </w:p>
        </w:tc>
        <w:tc>
          <w:tcPr>
            <w:tcW w:w="1293" w:type="dxa"/>
            <w:tcBorders>
              <w:top w:val="nil"/>
              <w:left w:val="nil"/>
              <w:bottom w:val="single" w:sz="4" w:space="0" w:color="auto"/>
              <w:right w:val="single" w:sz="4" w:space="0" w:color="auto"/>
            </w:tcBorders>
            <w:shd w:val="clear" w:color="auto" w:fill="auto"/>
            <w:noWrap/>
            <w:vAlign w:val="bottom"/>
            <w:hideMark/>
          </w:tcPr>
          <w:p w14:paraId="2D424D19"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63948568"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237 966,67</w:t>
            </w:r>
          </w:p>
        </w:tc>
        <w:tc>
          <w:tcPr>
            <w:tcW w:w="1559" w:type="dxa"/>
            <w:tcBorders>
              <w:top w:val="nil"/>
              <w:left w:val="nil"/>
              <w:bottom w:val="single" w:sz="4" w:space="0" w:color="auto"/>
              <w:right w:val="single" w:sz="4" w:space="0" w:color="auto"/>
            </w:tcBorders>
            <w:shd w:val="clear" w:color="auto" w:fill="auto"/>
            <w:noWrap/>
            <w:vAlign w:val="bottom"/>
            <w:hideMark/>
          </w:tcPr>
          <w:p w14:paraId="53CED201"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213 766,66</w:t>
            </w:r>
          </w:p>
        </w:tc>
        <w:tc>
          <w:tcPr>
            <w:tcW w:w="1134" w:type="dxa"/>
            <w:tcBorders>
              <w:top w:val="nil"/>
              <w:left w:val="nil"/>
              <w:bottom w:val="single" w:sz="4" w:space="0" w:color="auto"/>
              <w:right w:val="single" w:sz="8" w:space="0" w:color="auto"/>
            </w:tcBorders>
            <w:shd w:val="clear" w:color="auto" w:fill="auto"/>
            <w:noWrap/>
            <w:vAlign w:val="bottom"/>
            <w:hideMark/>
          </w:tcPr>
          <w:p w14:paraId="405B476E"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89,8</w:t>
            </w:r>
          </w:p>
        </w:tc>
      </w:tr>
      <w:tr w:rsidR="0072554E" w:rsidRPr="0072554E" w14:paraId="00B7189D" w14:textId="77777777" w:rsidTr="009E7CFC">
        <w:trPr>
          <w:trHeight w:val="520"/>
        </w:trPr>
        <w:tc>
          <w:tcPr>
            <w:tcW w:w="851" w:type="dxa"/>
            <w:tcBorders>
              <w:top w:val="nil"/>
              <w:left w:val="single" w:sz="8" w:space="0" w:color="auto"/>
              <w:bottom w:val="single" w:sz="4" w:space="0" w:color="auto"/>
              <w:right w:val="single" w:sz="4" w:space="0" w:color="auto"/>
            </w:tcBorders>
            <w:shd w:val="clear" w:color="auto" w:fill="auto"/>
            <w:vAlign w:val="bottom"/>
            <w:hideMark/>
          </w:tcPr>
          <w:p w14:paraId="33E8E5C0"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2115</w:t>
            </w:r>
          </w:p>
        </w:tc>
        <w:tc>
          <w:tcPr>
            <w:tcW w:w="4235" w:type="dxa"/>
            <w:tcBorders>
              <w:top w:val="nil"/>
              <w:left w:val="nil"/>
              <w:bottom w:val="nil"/>
              <w:right w:val="nil"/>
            </w:tcBorders>
            <w:shd w:val="clear" w:color="auto" w:fill="auto"/>
            <w:vAlign w:val="bottom"/>
            <w:hideMark/>
          </w:tcPr>
          <w:p w14:paraId="08C2B71E" w14:textId="77777777" w:rsidR="0072554E" w:rsidRPr="0072554E" w:rsidRDefault="0072554E" w:rsidP="0072554E">
            <w:pPr>
              <w:spacing w:after="0" w:line="240" w:lineRule="auto"/>
              <w:rPr>
                <w:rFonts w:ascii="Calibri" w:eastAsia="Times New Roman" w:hAnsi="Calibri" w:cs="Arial"/>
                <w:sz w:val="20"/>
                <w:szCs w:val="20"/>
                <w:lang w:eastAsia="cs-CZ"/>
              </w:rPr>
            </w:pPr>
            <w:r w:rsidRPr="0072554E">
              <w:rPr>
                <w:rFonts w:ascii="Calibri" w:eastAsia="Times New Roman" w:hAnsi="Calibri" w:cs="Arial"/>
                <w:sz w:val="20"/>
                <w:szCs w:val="20"/>
                <w:lang w:eastAsia="cs-CZ"/>
              </w:rPr>
              <w:t>Energetické úspory se zaručeným výsledkem pro SK - nemocnice Kutná Hora EPC I</w:t>
            </w:r>
          </w:p>
        </w:tc>
        <w:tc>
          <w:tcPr>
            <w:tcW w:w="1293" w:type="dxa"/>
            <w:tcBorders>
              <w:top w:val="nil"/>
              <w:left w:val="single" w:sz="4" w:space="0" w:color="auto"/>
              <w:bottom w:val="single" w:sz="4" w:space="0" w:color="auto"/>
              <w:right w:val="single" w:sz="4" w:space="0" w:color="auto"/>
            </w:tcBorders>
            <w:shd w:val="clear" w:color="auto" w:fill="auto"/>
            <w:noWrap/>
            <w:vAlign w:val="bottom"/>
            <w:hideMark/>
          </w:tcPr>
          <w:p w14:paraId="30F7AE80"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28EE2B9C"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842 966,67</w:t>
            </w:r>
          </w:p>
        </w:tc>
        <w:tc>
          <w:tcPr>
            <w:tcW w:w="1559" w:type="dxa"/>
            <w:tcBorders>
              <w:top w:val="nil"/>
              <w:left w:val="nil"/>
              <w:bottom w:val="single" w:sz="4" w:space="0" w:color="auto"/>
              <w:right w:val="single" w:sz="4" w:space="0" w:color="auto"/>
            </w:tcBorders>
            <w:shd w:val="clear" w:color="auto" w:fill="auto"/>
            <w:noWrap/>
            <w:vAlign w:val="bottom"/>
            <w:hideMark/>
          </w:tcPr>
          <w:p w14:paraId="540BC19C"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213 766,67</w:t>
            </w:r>
          </w:p>
        </w:tc>
        <w:tc>
          <w:tcPr>
            <w:tcW w:w="1134" w:type="dxa"/>
            <w:tcBorders>
              <w:top w:val="nil"/>
              <w:left w:val="nil"/>
              <w:bottom w:val="single" w:sz="4" w:space="0" w:color="auto"/>
              <w:right w:val="single" w:sz="8" w:space="0" w:color="auto"/>
            </w:tcBorders>
            <w:shd w:val="clear" w:color="auto" w:fill="auto"/>
            <w:noWrap/>
            <w:vAlign w:val="bottom"/>
            <w:hideMark/>
          </w:tcPr>
          <w:p w14:paraId="620F5184"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25,4</w:t>
            </w:r>
          </w:p>
        </w:tc>
      </w:tr>
      <w:tr w:rsidR="0072554E" w:rsidRPr="0072554E" w14:paraId="766E216D" w14:textId="77777777" w:rsidTr="009E7CFC">
        <w:trPr>
          <w:trHeight w:val="520"/>
        </w:trPr>
        <w:tc>
          <w:tcPr>
            <w:tcW w:w="851" w:type="dxa"/>
            <w:tcBorders>
              <w:top w:val="nil"/>
              <w:left w:val="single" w:sz="8" w:space="0" w:color="auto"/>
              <w:bottom w:val="single" w:sz="4" w:space="0" w:color="auto"/>
              <w:right w:val="single" w:sz="4" w:space="0" w:color="auto"/>
            </w:tcBorders>
            <w:shd w:val="clear" w:color="auto" w:fill="auto"/>
            <w:vAlign w:val="bottom"/>
            <w:hideMark/>
          </w:tcPr>
          <w:p w14:paraId="0B37E27B"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2115</w:t>
            </w:r>
          </w:p>
        </w:tc>
        <w:tc>
          <w:tcPr>
            <w:tcW w:w="4235" w:type="dxa"/>
            <w:tcBorders>
              <w:top w:val="single" w:sz="4" w:space="0" w:color="auto"/>
              <w:left w:val="nil"/>
              <w:bottom w:val="single" w:sz="4" w:space="0" w:color="auto"/>
              <w:right w:val="single" w:sz="4" w:space="0" w:color="auto"/>
            </w:tcBorders>
            <w:shd w:val="clear" w:color="auto" w:fill="auto"/>
            <w:vAlign w:val="bottom"/>
            <w:hideMark/>
          </w:tcPr>
          <w:p w14:paraId="79F838EF" w14:textId="77777777" w:rsidR="0072554E" w:rsidRPr="0072554E" w:rsidRDefault="0072554E" w:rsidP="0072554E">
            <w:pPr>
              <w:spacing w:after="0" w:line="240" w:lineRule="auto"/>
              <w:rPr>
                <w:rFonts w:ascii="Calibri" w:eastAsia="Times New Roman" w:hAnsi="Calibri" w:cs="Arial"/>
                <w:sz w:val="20"/>
                <w:szCs w:val="20"/>
                <w:lang w:eastAsia="cs-CZ"/>
              </w:rPr>
            </w:pPr>
            <w:r w:rsidRPr="0072554E">
              <w:rPr>
                <w:rFonts w:ascii="Calibri" w:eastAsia="Times New Roman" w:hAnsi="Calibri" w:cs="Arial"/>
                <w:sz w:val="20"/>
                <w:szCs w:val="20"/>
                <w:lang w:eastAsia="cs-CZ"/>
              </w:rPr>
              <w:t>Energetické úspory se zaručeným výsledkem pro SK - Krajský úřad EPC I</w:t>
            </w:r>
          </w:p>
        </w:tc>
        <w:tc>
          <w:tcPr>
            <w:tcW w:w="1293" w:type="dxa"/>
            <w:tcBorders>
              <w:top w:val="nil"/>
              <w:left w:val="nil"/>
              <w:bottom w:val="single" w:sz="4" w:space="0" w:color="auto"/>
              <w:right w:val="single" w:sz="4" w:space="0" w:color="auto"/>
            </w:tcBorders>
            <w:shd w:val="clear" w:color="auto" w:fill="auto"/>
            <w:noWrap/>
            <w:vAlign w:val="bottom"/>
            <w:hideMark/>
          </w:tcPr>
          <w:p w14:paraId="42AD33A1"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09A28108"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560 786,67</w:t>
            </w:r>
          </w:p>
        </w:tc>
        <w:tc>
          <w:tcPr>
            <w:tcW w:w="1559" w:type="dxa"/>
            <w:tcBorders>
              <w:top w:val="nil"/>
              <w:left w:val="nil"/>
              <w:bottom w:val="single" w:sz="4" w:space="0" w:color="auto"/>
              <w:right w:val="single" w:sz="4" w:space="0" w:color="auto"/>
            </w:tcBorders>
            <w:shd w:val="clear" w:color="auto" w:fill="auto"/>
            <w:noWrap/>
            <w:vAlign w:val="bottom"/>
            <w:hideMark/>
          </w:tcPr>
          <w:p w14:paraId="3A3CC5B5"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223 600,00</w:t>
            </w:r>
          </w:p>
        </w:tc>
        <w:tc>
          <w:tcPr>
            <w:tcW w:w="1134" w:type="dxa"/>
            <w:tcBorders>
              <w:top w:val="nil"/>
              <w:left w:val="nil"/>
              <w:bottom w:val="single" w:sz="4" w:space="0" w:color="auto"/>
              <w:right w:val="single" w:sz="8" w:space="0" w:color="auto"/>
            </w:tcBorders>
            <w:shd w:val="clear" w:color="auto" w:fill="auto"/>
            <w:noWrap/>
            <w:vAlign w:val="bottom"/>
            <w:hideMark/>
          </w:tcPr>
          <w:p w14:paraId="48797444"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39,9</w:t>
            </w:r>
          </w:p>
        </w:tc>
      </w:tr>
      <w:tr w:rsidR="0072554E" w:rsidRPr="0072554E" w14:paraId="1926C88B" w14:textId="77777777" w:rsidTr="009E7CFC">
        <w:trPr>
          <w:trHeight w:val="300"/>
        </w:trPr>
        <w:tc>
          <w:tcPr>
            <w:tcW w:w="851" w:type="dxa"/>
            <w:tcBorders>
              <w:top w:val="nil"/>
              <w:left w:val="single" w:sz="8" w:space="0" w:color="auto"/>
              <w:bottom w:val="single" w:sz="4" w:space="0" w:color="auto"/>
              <w:right w:val="single" w:sz="4" w:space="0" w:color="auto"/>
            </w:tcBorders>
            <w:shd w:val="clear" w:color="auto" w:fill="auto"/>
            <w:vAlign w:val="bottom"/>
            <w:hideMark/>
          </w:tcPr>
          <w:p w14:paraId="7A0552CC"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2115</w:t>
            </w:r>
          </w:p>
        </w:tc>
        <w:tc>
          <w:tcPr>
            <w:tcW w:w="4235" w:type="dxa"/>
            <w:tcBorders>
              <w:top w:val="nil"/>
              <w:left w:val="nil"/>
              <w:bottom w:val="single" w:sz="4" w:space="0" w:color="auto"/>
              <w:right w:val="single" w:sz="4" w:space="0" w:color="auto"/>
            </w:tcBorders>
            <w:shd w:val="clear" w:color="auto" w:fill="auto"/>
            <w:vAlign w:val="bottom"/>
            <w:hideMark/>
          </w:tcPr>
          <w:p w14:paraId="39465438" w14:textId="77777777" w:rsidR="0072554E" w:rsidRPr="0072554E" w:rsidRDefault="0072554E" w:rsidP="0072554E">
            <w:pPr>
              <w:spacing w:after="0" w:line="240" w:lineRule="auto"/>
              <w:rPr>
                <w:rFonts w:ascii="Calibri" w:eastAsia="Times New Roman" w:hAnsi="Calibri" w:cs="Arial"/>
                <w:sz w:val="20"/>
                <w:szCs w:val="20"/>
                <w:lang w:eastAsia="cs-CZ"/>
              </w:rPr>
            </w:pPr>
            <w:r w:rsidRPr="0072554E">
              <w:rPr>
                <w:rFonts w:ascii="Calibri" w:eastAsia="Times New Roman" w:hAnsi="Calibri" w:cs="Arial"/>
                <w:sz w:val="20"/>
                <w:szCs w:val="20"/>
                <w:lang w:eastAsia="cs-CZ"/>
              </w:rPr>
              <w:t>Energetické úspory se zaručeným výsledkem pro SK II</w:t>
            </w:r>
          </w:p>
        </w:tc>
        <w:tc>
          <w:tcPr>
            <w:tcW w:w="1293" w:type="dxa"/>
            <w:tcBorders>
              <w:top w:val="nil"/>
              <w:left w:val="nil"/>
              <w:bottom w:val="single" w:sz="4" w:space="0" w:color="auto"/>
              <w:right w:val="single" w:sz="4" w:space="0" w:color="auto"/>
            </w:tcBorders>
            <w:shd w:val="clear" w:color="auto" w:fill="auto"/>
            <w:noWrap/>
            <w:vAlign w:val="bottom"/>
            <w:hideMark/>
          </w:tcPr>
          <w:p w14:paraId="5A19C8C6"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2A384B5E"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2 607 837,94</w:t>
            </w:r>
          </w:p>
        </w:tc>
        <w:tc>
          <w:tcPr>
            <w:tcW w:w="1559" w:type="dxa"/>
            <w:tcBorders>
              <w:top w:val="nil"/>
              <w:left w:val="nil"/>
              <w:bottom w:val="single" w:sz="4" w:space="0" w:color="auto"/>
              <w:right w:val="single" w:sz="4" w:space="0" w:color="auto"/>
            </w:tcBorders>
            <w:shd w:val="clear" w:color="auto" w:fill="auto"/>
            <w:noWrap/>
            <w:vAlign w:val="bottom"/>
            <w:hideMark/>
          </w:tcPr>
          <w:p w14:paraId="4CB01D27"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365 920,16</w:t>
            </w:r>
          </w:p>
        </w:tc>
        <w:tc>
          <w:tcPr>
            <w:tcW w:w="1134" w:type="dxa"/>
            <w:tcBorders>
              <w:top w:val="nil"/>
              <w:left w:val="nil"/>
              <w:bottom w:val="single" w:sz="4" w:space="0" w:color="auto"/>
              <w:right w:val="single" w:sz="8" w:space="0" w:color="auto"/>
            </w:tcBorders>
            <w:shd w:val="clear" w:color="auto" w:fill="auto"/>
            <w:noWrap/>
            <w:vAlign w:val="bottom"/>
            <w:hideMark/>
          </w:tcPr>
          <w:p w14:paraId="1B5B505D"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14,0</w:t>
            </w:r>
          </w:p>
        </w:tc>
      </w:tr>
      <w:tr w:rsidR="0072554E" w:rsidRPr="0072554E" w14:paraId="03F33C70" w14:textId="77777777" w:rsidTr="009E7CFC">
        <w:trPr>
          <w:trHeight w:val="360"/>
        </w:trPr>
        <w:tc>
          <w:tcPr>
            <w:tcW w:w="851" w:type="dxa"/>
            <w:tcBorders>
              <w:top w:val="nil"/>
              <w:left w:val="single" w:sz="8" w:space="0" w:color="auto"/>
              <w:bottom w:val="single" w:sz="8" w:space="0" w:color="auto"/>
              <w:right w:val="single" w:sz="4" w:space="0" w:color="auto"/>
            </w:tcBorders>
            <w:shd w:val="clear" w:color="000000" w:fill="FFFFFF"/>
            <w:noWrap/>
            <w:vAlign w:val="bottom"/>
            <w:hideMark/>
          </w:tcPr>
          <w:p w14:paraId="7FE83E48"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2510</w:t>
            </w:r>
          </w:p>
        </w:tc>
        <w:tc>
          <w:tcPr>
            <w:tcW w:w="4235" w:type="dxa"/>
            <w:tcBorders>
              <w:top w:val="nil"/>
              <w:left w:val="nil"/>
              <w:bottom w:val="single" w:sz="8" w:space="0" w:color="auto"/>
              <w:right w:val="single" w:sz="4" w:space="0" w:color="auto"/>
            </w:tcBorders>
            <w:shd w:val="clear" w:color="auto" w:fill="auto"/>
            <w:vAlign w:val="bottom"/>
            <w:hideMark/>
          </w:tcPr>
          <w:p w14:paraId="0BAA3C6E" w14:textId="77777777" w:rsidR="0072554E" w:rsidRPr="0072554E" w:rsidRDefault="0072554E" w:rsidP="0072554E">
            <w:pPr>
              <w:spacing w:after="0" w:line="240" w:lineRule="auto"/>
              <w:rPr>
                <w:rFonts w:ascii="Calibri" w:eastAsia="Times New Roman" w:hAnsi="Calibri" w:cs="Arial"/>
                <w:sz w:val="20"/>
                <w:szCs w:val="20"/>
                <w:lang w:eastAsia="cs-CZ"/>
              </w:rPr>
            </w:pPr>
            <w:r w:rsidRPr="0072554E">
              <w:rPr>
                <w:rFonts w:ascii="Calibri" w:eastAsia="Times New Roman" w:hAnsi="Calibri" w:cs="Arial"/>
                <w:sz w:val="20"/>
                <w:szCs w:val="20"/>
                <w:lang w:eastAsia="cs-CZ"/>
              </w:rPr>
              <w:t>Smart Akcelerátor II</w:t>
            </w:r>
          </w:p>
        </w:tc>
        <w:tc>
          <w:tcPr>
            <w:tcW w:w="1293" w:type="dxa"/>
            <w:tcBorders>
              <w:top w:val="nil"/>
              <w:left w:val="nil"/>
              <w:bottom w:val="single" w:sz="8" w:space="0" w:color="auto"/>
              <w:right w:val="single" w:sz="4" w:space="0" w:color="auto"/>
            </w:tcBorders>
            <w:shd w:val="clear" w:color="auto" w:fill="auto"/>
            <w:noWrap/>
            <w:vAlign w:val="bottom"/>
            <w:hideMark/>
          </w:tcPr>
          <w:p w14:paraId="1CDD0D92"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w:t>
            </w:r>
          </w:p>
        </w:tc>
        <w:tc>
          <w:tcPr>
            <w:tcW w:w="1701" w:type="dxa"/>
            <w:tcBorders>
              <w:top w:val="nil"/>
              <w:left w:val="nil"/>
              <w:bottom w:val="nil"/>
              <w:right w:val="single" w:sz="4" w:space="0" w:color="auto"/>
            </w:tcBorders>
            <w:shd w:val="clear" w:color="auto" w:fill="auto"/>
            <w:noWrap/>
            <w:vAlign w:val="bottom"/>
            <w:hideMark/>
          </w:tcPr>
          <w:p w14:paraId="675E6A0F"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4 940 568,38</w:t>
            </w:r>
          </w:p>
        </w:tc>
        <w:tc>
          <w:tcPr>
            <w:tcW w:w="1559" w:type="dxa"/>
            <w:tcBorders>
              <w:top w:val="nil"/>
              <w:left w:val="nil"/>
              <w:bottom w:val="nil"/>
              <w:right w:val="single" w:sz="4" w:space="0" w:color="auto"/>
            </w:tcBorders>
            <w:shd w:val="clear" w:color="auto" w:fill="auto"/>
            <w:noWrap/>
            <w:vAlign w:val="bottom"/>
            <w:hideMark/>
          </w:tcPr>
          <w:p w14:paraId="2C17C15A"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275 852,84</w:t>
            </w:r>
          </w:p>
        </w:tc>
        <w:tc>
          <w:tcPr>
            <w:tcW w:w="1134" w:type="dxa"/>
            <w:tcBorders>
              <w:top w:val="nil"/>
              <w:left w:val="nil"/>
              <w:bottom w:val="single" w:sz="4" w:space="0" w:color="auto"/>
              <w:right w:val="single" w:sz="8" w:space="0" w:color="auto"/>
            </w:tcBorders>
            <w:shd w:val="clear" w:color="auto" w:fill="auto"/>
            <w:noWrap/>
            <w:vAlign w:val="bottom"/>
            <w:hideMark/>
          </w:tcPr>
          <w:p w14:paraId="266175DC"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5,6</w:t>
            </w:r>
          </w:p>
        </w:tc>
      </w:tr>
      <w:tr w:rsidR="0072554E" w:rsidRPr="0072554E" w14:paraId="7FB0D950" w14:textId="77777777" w:rsidTr="009E7CFC">
        <w:trPr>
          <w:trHeight w:val="320"/>
        </w:trPr>
        <w:tc>
          <w:tcPr>
            <w:tcW w:w="851" w:type="dxa"/>
            <w:tcBorders>
              <w:top w:val="nil"/>
              <w:left w:val="single" w:sz="8" w:space="0" w:color="auto"/>
              <w:bottom w:val="single" w:sz="8" w:space="0" w:color="auto"/>
              <w:right w:val="single" w:sz="4" w:space="0" w:color="auto"/>
            </w:tcBorders>
            <w:shd w:val="clear" w:color="000000" w:fill="FFFFFF"/>
            <w:noWrap/>
            <w:vAlign w:val="center"/>
            <w:hideMark/>
          </w:tcPr>
          <w:p w14:paraId="25623B0E" w14:textId="77777777" w:rsidR="0072554E" w:rsidRPr="0072554E" w:rsidRDefault="0072554E" w:rsidP="0072554E">
            <w:pPr>
              <w:spacing w:after="0" w:line="240" w:lineRule="auto"/>
              <w:jc w:val="center"/>
              <w:rPr>
                <w:rFonts w:ascii="Calibri" w:eastAsia="Times New Roman" w:hAnsi="Calibri" w:cs="Arial"/>
                <w:lang w:eastAsia="cs-CZ"/>
              </w:rPr>
            </w:pPr>
            <w:r w:rsidRPr="0072554E">
              <w:rPr>
                <w:rFonts w:ascii="Calibri" w:eastAsia="Times New Roman" w:hAnsi="Calibri" w:cs="Arial"/>
                <w:lang w:eastAsia="cs-CZ"/>
              </w:rPr>
              <w:t> </w:t>
            </w:r>
          </w:p>
        </w:tc>
        <w:tc>
          <w:tcPr>
            <w:tcW w:w="4235" w:type="dxa"/>
            <w:tcBorders>
              <w:top w:val="nil"/>
              <w:left w:val="nil"/>
              <w:bottom w:val="single" w:sz="8" w:space="0" w:color="auto"/>
              <w:right w:val="single" w:sz="4" w:space="0" w:color="auto"/>
            </w:tcBorders>
            <w:shd w:val="clear" w:color="000000" w:fill="FFFFFF"/>
            <w:noWrap/>
            <w:vAlign w:val="bottom"/>
            <w:hideMark/>
          </w:tcPr>
          <w:p w14:paraId="44803B90" w14:textId="77777777" w:rsidR="0072554E" w:rsidRPr="0072554E" w:rsidRDefault="0072554E" w:rsidP="0072554E">
            <w:pPr>
              <w:spacing w:after="0" w:line="240" w:lineRule="auto"/>
              <w:rPr>
                <w:rFonts w:ascii="Calibri" w:eastAsia="Times New Roman" w:hAnsi="Calibri" w:cs="Arial"/>
                <w:b/>
                <w:bCs/>
                <w:lang w:eastAsia="cs-CZ"/>
              </w:rPr>
            </w:pPr>
            <w:r w:rsidRPr="0072554E">
              <w:rPr>
                <w:rFonts w:ascii="Calibri" w:eastAsia="Times New Roman" w:hAnsi="Calibri" w:cs="Arial"/>
                <w:b/>
                <w:bCs/>
                <w:lang w:eastAsia="cs-CZ"/>
              </w:rPr>
              <w:t>Celkem</w:t>
            </w:r>
          </w:p>
        </w:tc>
        <w:tc>
          <w:tcPr>
            <w:tcW w:w="1293" w:type="dxa"/>
            <w:tcBorders>
              <w:top w:val="nil"/>
              <w:left w:val="nil"/>
              <w:bottom w:val="single" w:sz="8" w:space="0" w:color="auto"/>
              <w:right w:val="single" w:sz="4" w:space="0" w:color="auto"/>
            </w:tcBorders>
            <w:shd w:val="clear" w:color="000000" w:fill="FFFFFF"/>
            <w:noWrap/>
            <w:vAlign w:val="bottom"/>
            <w:hideMark/>
          </w:tcPr>
          <w:p w14:paraId="0679D4FD" w14:textId="77777777" w:rsidR="0072554E" w:rsidRPr="0072554E" w:rsidRDefault="0072554E" w:rsidP="0072554E">
            <w:pPr>
              <w:spacing w:after="0" w:line="240" w:lineRule="auto"/>
              <w:jc w:val="right"/>
              <w:rPr>
                <w:rFonts w:ascii="Calibri" w:eastAsia="Times New Roman" w:hAnsi="Calibri" w:cs="Arial"/>
                <w:b/>
                <w:bCs/>
                <w:lang w:eastAsia="cs-CZ"/>
              </w:rPr>
            </w:pPr>
            <w:r w:rsidRPr="0072554E">
              <w:rPr>
                <w:rFonts w:ascii="Calibri" w:eastAsia="Times New Roman" w:hAnsi="Calibri" w:cs="Arial"/>
                <w:b/>
                <w:bCs/>
                <w:lang w:eastAsia="cs-CZ"/>
              </w:rPr>
              <w:t>0</w:t>
            </w:r>
          </w:p>
        </w:tc>
        <w:tc>
          <w:tcPr>
            <w:tcW w:w="1701" w:type="dxa"/>
            <w:tcBorders>
              <w:top w:val="single" w:sz="8" w:space="0" w:color="auto"/>
              <w:left w:val="nil"/>
              <w:bottom w:val="single" w:sz="8" w:space="0" w:color="auto"/>
              <w:right w:val="single" w:sz="4" w:space="0" w:color="auto"/>
            </w:tcBorders>
            <w:shd w:val="clear" w:color="000000" w:fill="FFFFFF"/>
            <w:noWrap/>
            <w:vAlign w:val="bottom"/>
            <w:hideMark/>
          </w:tcPr>
          <w:p w14:paraId="0AECA0F1" w14:textId="77777777" w:rsidR="0072554E" w:rsidRPr="0072554E" w:rsidRDefault="0072554E" w:rsidP="0072554E">
            <w:pPr>
              <w:spacing w:after="0" w:line="240" w:lineRule="auto"/>
              <w:jc w:val="right"/>
              <w:rPr>
                <w:rFonts w:ascii="Calibri" w:eastAsia="Times New Roman" w:hAnsi="Calibri" w:cs="Arial"/>
                <w:b/>
                <w:bCs/>
                <w:lang w:eastAsia="cs-CZ"/>
              </w:rPr>
            </w:pPr>
            <w:r w:rsidRPr="0072554E">
              <w:rPr>
                <w:rFonts w:ascii="Calibri" w:eastAsia="Times New Roman" w:hAnsi="Calibri" w:cs="Arial"/>
                <w:b/>
                <w:bCs/>
                <w:lang w:eastAsia="cs-CZ"/>
              </w:rPr>
              <w:t>9 190 126,33</w:t>
            </w:r>
          </w:p>
        </w:tc>
        <w:tc>
          <w:tcPr>
            <w:tcW w:w="1559" w:type="dxa"/>
            <w:tcBorders>
              <w:top w:val="single" w:sz="8" w:space="0" w:color="auto"/>
              <w:left w:val="nil"/>
              <w:bottom w:val="single" w:sz="8" w:space="0" w:color="auto"/>
              <w:right w:val="single" w:sz="4" w:space="0" w:color="auto"/>
            </w:tcBorders>
            <w:shd w:val="clear" w:color="000000" w:fill="FFFFFF"/>
            <w:noWrap/>
            <w:vAlign w:val="bottom"/>
            <w:hideMark/>
          </w:tcPr>
          <w:p w14:paraId="32E6E56A" w14:textId="77777777" w:rsidR="0072554E" w:rsidRPr="0072554E" w:rsidRDefault="0072554E" w:rsidP="0072554E">
            <w:pPr>
              <w:spacing w:after="0" w:line="240" w:lineRule="auto"/>
              <w:jc w:val="right"/>
              <w:rPr>
                <w:rFonts w:ascii="Calibri" w:eastAsia="Times New Roman" w:hAnsi="Calibri" w:cs="Arial"/>
                <w:b/>
                <w:bCs/>
                <w:lang w:eastAsia="cs-CZ"/>
              </w:rPr>
            </w:pPr>
            <w:r w:rsidRPr="0072554E">
              <w:rPr>
                <w:rFonts w:ascii="Calibri" w:eastAsia="Times New Roman" w:hAnsi="Calibri" w:cs="Arial"/>
                <w:b/>
                <w:bCs/>
                <w:lang w:eastAsia="cs-CZ"/>
              </w:rPr>
              <w:t>1 292 906,33</w:t>
            </w:r>
          </w:p>
        </w:tc>
        <w:tc>
          <w:tcPr>
            <w:tcW w:w="1134" w:type="dxa"/>
            <w:tcBorders>
              <w:top w:val="single" w:sz="8" w:space="0" w:color="auto"/>
              <w:left w:val="nil"/>
              <w:bottom w:val="single" w:sz="8" w:space="0" w:color="auto"/>
              <w:right w:val="single" w:sz="8" w:space="0" w:color="auto"/>
            </w:tcBorders>
            <w:shd w:val="clear" w:color="auto" w:fill="auto"/>
            <w:noWrap/>
            <w:vAlign w:val="bottom"/>
            <w:hideMark/>
          </w:tcPr>
          <w:p w14:paraId="5EFBDF42" w14:textId="77777777" w:rsidR="0072554E" w:rsidRPr="0072554E" w:rsidRDefault="0072554E" w:rsidP="0072554E">
            <w:pPr>
              <w:spacing w:after="0" w:line="240" w:lineRule="auto"/>
              <w:jc w:val="right"/>
              <w:rPr>
                <w:rFonts w:ascii="Calibri" w:eastAsia="Times New Roman" w:hAnsi="Calibri" w:cs="Arial"/>
                <w:b/>
                <w:bCs/>
                <w:lang w:eastAsia="cs-CZ"/>
              </w:rPr>
            </w:pPr>
            <w:r w:rsidRPr="0072554E">
              <w:rPr>
                <w:rFonts w:ascii="Calibri" w:eastAsia="Times New Roman" w:hAnsi="Calibri" w:cs="Arial"/>
                <w:b/>
                <w:bCs/>
                <w:lang w:eastAsia="cs-CZ"/>
              </w:rPr>
              <w:t>14,1</w:t>
            </w:r>
          </w:p>
        </w:tc>
      </w:tr>
      <w:tr w:rsidR="0072554E" w:rsidRPr="0072554E" w14:paraId="69E26220" w14:textId="77777777" w:rsidTr="009E7CFC">
        <w:trPr>
          <w:trHeight w:val="300"/>
        </w:trPr>
        <w:tc>
          <w:tcPr>
            <w:tcW w:w="851" w:type="dxa"/>
            <w:tcBorders>
              <w:top w:val="nil"/>
              <w:left w:val="single" w:sz="8" w:space="0" w:color="auto"/>
              <w:bottom w:val="nil"/>
              <w:right w:val="nil"/>
            </w:tcBorders>
            <w:shd w:val="clear" w:color="auto" w:fill="auto"/>
            <w:noWrap/>
            <w:vAlign w:val="center"/>
            <w:hideMark/>
          </w:tcPr>
          <w:p w14:paraId="3E8DD94F" w14:textId="77777777" w:rsidR="0072554E" w:rsidRPr="0072554E" w:rsidRDefault="0072554E" w:rsidP="0072554E">
            <w:pPr>
              <w:spacing w:after="0" w:line="240" w:lineRule="auto"/>
              <w:jc w:val="right"/>
              <w:rPr>
                <w:rFonts w:ascii="Calibri" w:eastAsia="Times New Roman" w:hAnsi="Calibri" w:cs="Arial"/>
                <w:b/>
                <w:bCs/>
                <w:lang w:eastAsia="cs-CZ"/>
              </w:rPr>
            </w:pPr>
          </w:p>
        </w:tc>
        <w:tc>
          <w:tcPr>
            <w:tcW w:w="4235" w:type="dxa"/>
            <w:tcBorders>
              <w:top w:val="nil"/>
              <w:left w:val="nil"/>
              <w:bottom w:val="nil"/>
              <w:right w:val="nil"/>
            </w:tcBorders>
            <w:shd w:val="clear" w:color="auto" w:fill="auto"/>
            <w:noWrap/>
            <w:vAlign w:val="center"/>
            <w:hideMark/>
          </w:tcPr>
          <w:p w14:paraId="62D6804B" w14:textId="77777777" w:rsidR="0072554E" w:rsidRPr="0072554E" w:rsidRDefault="0072554E" w:rsidP="0072554E">
            <w:pPr>
              <w:spacing w:after="0" w:line="240" w:lineRule="auto"/>
              <w:jc w:val="center"/>
              <w:rPr>
                <w:rFonts w:ascii="Times New Roman" w:eastAsia="Times New Roman" w:hAnsi="Times New Roman" w:cs="Times New Roman"/>
                <w:sz w:val="20"/>
                <w:szCs w:val="20"/>
                <w:lang w:eastAsia="cs-CZ"/>
              </w:rPr>
            </w:pPr>
          </w:p>
        </w:tc>
        <w:tc>
          <w:tcPr>
            <w:tcW w:w="1293" w:type="dxa"/>
            <w:tcBorders>
              <w:top w:val="nil"/>
              <w:left w:val="nil"/>
              <w:bottom w:val="nil"/>
              <w:right w:val="nil"/>
            </w:tcBorders>
            <w:shd w:val="clear" w:color="auto" w:fill="auto"/>
            <w:noWrap/>
            <w:vAlign w:val="center"/>
            <w:hideMark/>
          </w:tcPr>
          <w:p w14:paraId="5A0499DB" w14:textId="77777777" w:rsidR="0072554E" w:rsidRPr="0072554E" w:rsidRDefault="0072554E" w:rsidP="0072554E">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center"/>
            <w:hideMark/>
          </w:tcPr>
          <w:p w14:paraId="7D8F53E0" w14:textId="77777777" w:rsidR="0072554E" w:rsidRPr="0072554E" w:rsidRDefault="0072554E" w:rsidP="0072554E">
            <w:pPr>
              <w:spacing w:after="0" w:line="240" w:lineRule="auto"/>
              <w:jc w:val="right"/>
              <w:rPr>
                <w:rFonts w:ascii="Times New Roman" w:eastAsia="Times New Roman" w:hAnsi="Times New Roman" w:cs="Times New Roman"/>
                <w:sz w:val="20"/>
                <w:szCs w:val="20"/>
                <w:lang w:eastAsia="cs-CZ"/>
              </w:rPr>
            </w:pPr>
          </w:p>
        </w:tc>
        <w:tc>
          <w:tcPr>
            <w:tcW w:w="1559" w:type="dxa"/>
            <w:tcBorders>
              <w:top w:val="nil"/>
              <w:left w:val="nil"/>
              <w:bottom w:val="nil"/>
              <w:right w:val="nil"/>
            </w:tcBorders>
            <w:shd w:val="clear" w:color="auto" w:fill="auto"/>
            <w:noWrap/>
            <w:vAlign w:val="center"/>
            <w:hideMark/>
          </w:tcPr>
          <w:p w14:paraId="7E91B919" w14:textId="77777777" w:rsidR="0072554E" w:rsidRPr="0072554E" w:rsidRDefault="0072554E" w:rsidP="0072554E">
            <w:pPr>
              <w:spacing w:after="0" w:line="240" w:lineRule="auto"/>
              <w:jc w:val="right"/>
              <w:rPr>
                <w:rFonts w:ascii="Times New Roman" w:eastAsia="Times New Roman" w:hAnsi="Times New Roman" w:cs="Times New Roman"/>
                <w:sz w:val="20"/>
                <w:szCs w:val="20"/>
                <w:lang w:eastAsia="cs-CZ"/>
              </w:rPr>
            </w:pPr>
          </w:p>
        </w:tc>
        <w:tc>
          <w:tcPr>
            <w:tcW w:w="1134" w:type="dxa"/>
            <w:tcBorders>
              <w:top w:val="nil"/>
              <w:left w:val="nil"/>
              <w:bottom w:val="nil"/>
              <w:right w:val="nil"/>
            </w:tcBorders>
            <w:shd w:val="clear" w:color="auto" w:fill="auto"/>
            <w:noWrap/>
            <w:vAlign w:val="bottom"/>
            <w:hideMark/>
          </w:tcPr>
          <w:p w14:paraId="3776F6AF" w14:textId="77777777" w:rsidR="0072554E" w:rsidRPr="0072554E" w:rsidRDefault="0072554E" w:rsidP="0072554E">
            <w:pPr>
              <w:spacing w:after="0" w:line="240" w:lineRule="auto"/>
              <w:jc w:val="right"/>
              <w:rPr>
                <w:rFonts w:ascii="Times New Roman" w:eastAsia="Times New Roman" w:hAnsi="Times New Roman" w:cs="Times New Roman"/>
                <w:sz w:val="20"/>
                <w:szCs w:val="20"/>
                <w:lang w:eastAsia="cs-CZ"/>
              </w:rPr>
            </w:pPr>
          </w:p>
        </w:tc>
      </w:tr>
      <w:tr w:rsidR="0072554E" w:rsidRPr="0072554E" w14:paraId="21C2594F" w14:textId="77777777" w:rsidTr="009E7CFC">
        <w:trPr>
          <w:trHeight w:val="600"/>
        </w:trPr>
        <w:tc>
          <w:tcPr>
            <w:tcW w:w="851" w:type="dxa"/>
            <w:tcBorders>
              <w:top w:val="nil"/>
              <w:left w:val="single" w:sz="8" w:space="0" w:color="auto"/>
              <w:bottom w:val="single" w:sz="8" w:space="0" w:color="auto"/>
              <w:right w:val="nil"/>
            </w:tcBorders>
            <w:shd w:val="clear" w:color="auto" w:fill="auto"/>
            <w:vAlign w:val="center"/>
            <w:hideMark/>
          </w:tcPr>
          <w:p w14:paraId="2CDB5B90" w14:textId="77777777" w:rsidR="0072554E" w:rsidRPr="0072554E" w:rsidRDefault="0072554E" w:rsidP="0072554E">
            <w:pPr>
              <w:spacing w:after="0" w:line="240" w:lineRule="auto"/>
              <w:jc w:val="right"/>
              <w:rPr>
                <w:rFonts w:ascii="Times New Roman" w:eastAsia="Times New Roman" w:hAnsi="Times New Roman" w:cs="Times New Roman"/>
                <w:sz w:val="20"/>
                <w:szCs w:val="20"/>
                <w:lang w:eastAsia="cs-CZ"/>
              </w:rPr>
            </w:pPr>
          </w:p>
        </w:tc>
        <w:tc>
          <w:tcPr>
            <w:tcW w:w="9922" w:type="dxa"/>
            <w:gridSpan w:val="5"/>
            <w:tcBorders>
              <w:top w:val="nil"/>
              <w:left w:val="nil"/>
              <w:bottom w:val="single" w:sz="8" w:space="0" w:color="auto"/>
              <w:right w:val="nil"/>
            </w:tcBorders>
            <w:shd w:val="clear" w:color="auto" w:fill="auto"/>
            <w:vAlign w:val="center"/>
            <w:hideMark/>
          </w:tcPr>
          <w:p w14:paraId="76547967" w14:textId="77777777" w:rsidR="0072554E" w:rsidRPr="0072554E" w:rsidRDefault="0072554E" w:rsidP="0072554E">
            <w:pPr>
              <w:spacing w:after="0" w:line="240" w:lineRule="auto"/>
              <w:rPr>
                <w:rFonts w:ascii="Calibri" w:eastAsia="Times New Roman" w:hAnsi="Calibri" w:cs="Arial"/>
                <w:b/>
                <w:bCs/>
                <w:lang w:eastAsia="cs-CZ"/>
              </w:rPr>
            </w:pPr>
            <w:r w:rsidRPr="0072554E">
              <w:rPr>
                <w:rFonts w:ascii="Calibri" w:eastAsia="Times New Roman" w:hAnsi="Calibri" w:cs="Arial"/>
                <w:b/>
                <w:bCs/>
                <w:lang w:eastAsia="cs-CZ"/>
              </w:rPr>
              <w:t xml:space="preserve">Předfinancování a kofinancování projektů spolufinancovaných z národních zdrojů a ostatní související výdaje s projekty z národních zdrojů </w:t>
            </w:r>
          </w:p>
        </w:tc>
      </w:tr>
      <w:tr w:rsidR="0072554E" w:rsidRPr="0072554E" w14:paraId="1F7CD057" w14:textId="77777777" w:rsidTr="009E7CFC">
        <w:trPr>
          <w:trHeight w:val="600"/>
        </w:trPr>
        <w:tc>
          <w:tcPr>
            <w:tcW w:w="851" w:type="dxa"/>
            <w:tcBorders>
              <w:top w:val="single" w:sz="8" w:space="0" w:color="auto"/>
              <w:left w:val="single" w:sz="8" w:space="0" w:color="auto"/>
              <w:bottom w:val="single" w:sz="4" w:space="0" w:color="auto"/>
              <w:right w:val="single" w:sz="4" w:space="0" w:color="auto"/>
            </w:tcBorders>
            <w:shd w:val="clear" w:color="auto" w:fill="auto"/>
            <w:vAlign w:val="bottom"/>
            <w:hideMark/>
          </w:tcPr>
          <w:p w14:paraId="37E8ECF6"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2115</w:t>
            </w:r>
          </w:p>
        </w:tc>
        <w:tc>
          <w:tcPr>
            <w:tcW w:w="4235" w:type="dxa"/>
            <w:tcBorders>
              <w:top w:val="nil"/>
              <w:left w:val="nil"/>
              <w:bottom w:val="single" w:sz="4" w:space="0" w:color="auto"/>
              <w:right w:val="single" w:sz="4" w:space="0" w:color="auto"/>
            </w:tcBorders>
            <w:shd w:val="clear" w:color="auto" w:fill="auto"/>
            <w:vAlign w:val="bottom"/>
            <w:hideMark/>
          </w:tcPr>
          <w:p w14:paraId="7DD77B38" w14:textId="77777777" w:rsidR="0072554E" w:rsidRPr="0072554E" w:rsidRDefault="0072554E" w:rsidP="0072554E">
            <w:pPr>
              <w:spacing w:after="0" w:line="240" w:lineRule="auto"/>
              <w:rPr>
                <w:rFonts w:ascii="Calibri" w:eastAsia="Times New Roman" w:hAnsi="Calibri" w:cs="Arial"/>
                <w:sz w:val="20"/>
                <w:szCs w:val="20"/>
                <w:lang w:eastAsia="cs-CZ"/>
              </w:rPr>
            </w:pPr>
            <w:r w:rsidRPr="0072554E">
              <w:rPr>
                <w:rFonts w:ascii="Calibri" w:eastAsia="Times New Roman" w:hAnsi="Calibri" w:cs="Arial"/>
                <w:sz w:val="20"/>
                <w:szCs w:val="20"/>
                <w:lang w:eastAsia="cs-CZ"/>
              </w:rPr>
              <w:t>EPC III - Analýza I stavu a potenciálu energetických úspor SK I</w:t>
            </w:r>
          </w:p>
        </w:tc>
        <w:tc>
          <w:tcPr>
            <w:tcW w:w="1293" w:type="dxa"/>
            <w:tcBorders>
              <w:top w:val="nil"/>
              <w:left w:val="nil"/>
              <w:bottom w:val="single" w:sz="4" w:space="0" w:color="auto"/>
              <w:right w:val="single" w:sz="4" w:space="0" w:color="auto"/>
            </w:tcBorders>
            <w:shd w:val="clear" w:color="auto" w:fill="auto"/>
            <w:noWrap/>
            <w:vAlign w:val="bottom"/>
            <w:hideMark/>
          </w:tcPr>
          <w:p w14:paraId="4E9F1C16"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490564DD"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147 908,56</w:t>
            </w:r>
          </w:p>
        </w:tc>
        <w:tc>
          <w:tcPr>
            <w:tcW w:w="1559" w:type="dxa"/>
            <w:tcBorders>
              <w:top w:val="nil"/>
              <w:left w:val="nil"/>
              <w:bottom w:val="single" w:sz="4" w:space="0" w:color="auto"/>
              <w:right w:val="single" w:sz="4" w:space="0" w:color="auto"/>
            </w:tcBorders>
            <w:shd w:val="clear" w:color="auto" w:fill="auto"/>
            <w:noWrap/>
            <w:vAlign w:val="bottom"/>
            <w:hideMark/>
          </w:tcPr>
          <w:p w14:paraId="6EFB4933"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55 466,37</w:t>
            </w:r>
          </w:p>
        </w:tc>
        <w:tc>
          <w:tcPr>
            <w:tcW w:w="1134" w:type="dxa"/>
            <w:tcBorders>
              <w:top w:val="nil"/>
              <w:left w:val="nil"/>
              <w:bottom w:val="single" w:sz="4" w:space="0" w:color="auto"/>
              <w:right w:val="single" w:sz="8" w:space="0" w:color="auto"/>
            </w:tcBorders>
            <w:shd w:val="clear" w:color="auto" w:fill="auto"/>
            <w:noWrap/>
            <w:vAlign w:val="bottom"/>
            <w:hideMark/>
          </w:tcPr>
          <w:p w14:paraId="39341E57"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37,5</w:t>
            </w:r>
          </w:p>
        </w:tc>
      </w:tr>
      <w:tr w:rsidR="0072554E" w:rsidRPr="0072554E" w14:paraId="67B22BD6" w14:textId="77777777" w:rsidTr="009E7CFC">
        <w:trPr>
          <w:trHeight w:val="600"/>
        </w:trPr>
        <w:tc>
          <w:tcPr>
            <w:tcW w:w="851" w:type="dxa"/>
            <w:tcBorders>
              <w:top w:val="nil"/>
              <w:left w:val="single" w:sz="8" w:space="0" w:color="auto"/>
              <w:bottom w:val="single" w:sz="4" w:space="0" w:color="auto"/>
              <w:right w:val="single" w:sz="4" w:space="0" w:color="auto"/>
            </w:tcBorders>
            <w:shd w:val="clear" w:color="auto" w:fill="auto"/>
            <w:vAlign w:val="bottom"/>
            <w:hideMark/>
          </w:tcPr>
          <w:p w14:paraId="12516031"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2115</w:t>
            </w:r>
          </w:p>
        </w:tc>
        <w:tc>
          <w:tcPr>
            <w:tcW w:w="4235" w:type="dxa"/>
            <w:tcBorders>
              <w:top w:val="nil"/>
              <w:left w:val="nil"/>
              <w:bottom w:val="single" w:sz="4" w:space="0" w:color="auto"/>
              <w:right w:val="single" w:sz="4" w:space="0" w:color="auto"/>
            </w:tcBorders>
            <w:shd w:val="clear" w:color="auto" w:fill="auto"/>
            <w:vAlign w:val="bottom"/>
            <w:hideMark/>
          </w:tcPr>
          <w:p w14:paraId="56E3EF52" w14:textId="77777777" w:rsidR="0072554E" w:rsidRPr="0072554E" w:rsidRDefault="0072554E" w:rsidP="0072554E">
            <w:pPr>
              <w:spacing w:after="0" w:line="240" w:lineRule="auto"/>
              <w:rPr>
                <w:rFonts w:ascii="Calibri" w:eastAsia="Times New Roman" w:hAnsi="Calibri" w:cs="Arial"/>
                <w:sz w:val="20"/>
                <w:szCs w:val="20"/>
                <w:lang w:eastAsia="cs-CZ"/>
              </w:rPr>
            </w:pPr>
            <w:r w:rsidRPr="0072554E">
              <w:rPr>
                <w:rFonts w:ascii="Calibri" w:eastAsia="Times New Roman" w:hAnsi="Calibri" w:cs="Arial"/>
                <w:sz w:val="20"/>
                <w:szCs w:val="20"/>
                <w:lang w:eastAsia="cs-CZ"/>
              </w:rPr>
              <w:t>EPC III - Analýza II potenciálu energetických úspor SK II</w:t>
            </w:r>
          </w:p>
        </w:tc>
        <w:tc>
          <w:tcPr>
            <w:tcW w:w="1293" w:type="dxa"/>
            <w:tcBorders>
              <w:top w:val="nil"/>
              <w:left w:val="nil"/>
              <w:bottom w:val="single" w:sz="4" w:space="0" w:color="auto"/>
              <w:right w:val="single" w:sz="4" w:space="0" w:color="auto"/>
            </w:tcBorders>
            <w:shd w:val="clear" w:color="auto" w:fill="auto"/>
            <w:noWrap/>
            <w:vAlign w:val="bottom"/>
            <w:hideMark/>
          </w:tcPr>
          <w:p w14:paraId="01610D7C"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034F08B8"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147 908,56</w:t>
            </w:r>
          </w:p>
        </w:tc>
        <w:tc>
          <w:tcPr>
            <w:tcW w:w="1559" w:type="dxa"/>
            <w:tcBorders>
              <w:top w:val="nil"/>
              <w:left w:val="nil"/>
              <w:bottom w:val="single" w:sz="4" w:space="0" w:color="auto"/>
              <w:right w:val="single" w:sz="4" w:space="0" w:color="auto"/>
            </w:tcBorders>
            <w:shd w:val="clear" w:color="auto" w:fill="auto"/>
            <w:noWrap/>
            <w:vAlign w:val="bottom"/>
            <w:hideMark/>
          </w:tcPr>
          <w:p w14:paraId="0A0E36F1"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55 466,37</w:t>
            </w:r>
          </w:p>
        </w:tc>
        <w:tc>
          <w:tcPr>
            <w:tcW w:w="1134" w:type="dxa"/>
            <w:tcBorders>
              <w:top w:val="nil"/>
              <w:left w:val="nil"/>
              <w:bottom w:val="single" w:sz="4" w:space="0" w:color="auto"/>
              <w:right w:val="single" w:sz="8" w:space="0" w:color="auto"/>
            </w:tcBorders>
            <w:shd w:val="clear" w:color="auto" w:fill="auto"/>
            <w:noWrap/>
            <w:vAlign w:val="bottom"/>
            <w:hideMark/>
          </w:tcPr>
          <w:p w14:paraId="5E5E6E16"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37,5</w:t>
            </w:r>
          </w:p>
        </w:tc>
      </w:tr>
      <w:tr w:rsidR="0072554E" w:rsidRPr="0072554E" w14:paraId="5D35458E" w14:textId="77777777" w:rsidTr="009E7CFC">
        <w:trPr>
          <w:trHeight w:val="600"/>
        </w:trPr>
        <w:tc>
          <w:tcPr>
            <w:tcW w:w="851" w:type="dxa"/>
            <w:tcBorders>
              <w:top w:val="nil"/>
              <w:left w:val="single" w:sz="8" w:space="0" w:color="auto"/>
              <w:bottom w:val="single" w:sz="4" w:space="0" w:color="auto"/>
              <w:right w:val="single" w:sz="4" w:space="0" w:color="auto"/>
            </w:tcBorders>
            <w:shd w:val="clear" w:color="auto" w:fill="auto"/>
            <w:vAlign w:val="bottom"/>
            <w:hideMark/>
          </w:tcPr>
          <w:p w14:paraId="39489C6A"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2115</w:t>
            </w:r>
          </w:p>
        </w:tc>
        <w:tc>
          <w:tcPr>
            <w:tcW w:w="4235" w:type="dxa"/>
            <w:tcBorders>
              <w:top w:val="nil"/>
              <w:left w:val="nil"/>
              <w:bottom w:val="single" w:sz="4" w:space="0" w:color="auto"/>
              <w:right w:val="single" w:sz="4" w:space="0" w:color="auto"/>
            </w:tcBorders>
            <w:shd w:val="clear" w:color="auto" w:fill="auto"/>
            <w:vAlign w:val="bottom"/>
            <w:hideMark/>
          </w:tcPr>
          <w:p w14:paraId="31A56906" w14:textId="77777777" w:rsidR="0072554E" w:rsidRPr="0072554E" w:rsidRDefault="0072554E" w:rsidP="0072554E">
            <w:pPr>
              <w:spacing w:after="0" w:line="240" w:lineRule="auto"/>
              <w:rPr>
                <w:rFonts w:ascii="Calibri" w:eastAsia="Times New Roman" w:hAnsi="Calibri" w:cs="Arial"/>
                <w:sz w:val="20"/>
                <w:szCs w:val="20"/>
                <w:lang w:eastAsia="cs-CZ"/>
              </w:rPr>
            </w:pPr>
            <w:r w:rsidRPr="0072554E">
              <w:rPr>
                <w:rFonts w:ascii="Calibri" w:eastAsia="Times New Roman" w:hAnsi="Calibri" w:cs="Arial"/>
                <w:sz w:val="20"/>
                <w:szCs w:val="20"/>
                <w:lang w:eastAsia="cs-CZ"/>
              </w:rPr>
              <w:t>EPC III - Analýza III potenciálu energetických úspor SK III</w:t>
            </w:r>
          </w:p>
        </w:tc>
        <w:tc>
          <w:tcPr>
            <w:tcW w:w="1293" w:type="dxa"/>
            <w:tcBorders>
              <w:top w:val="nil"/>
              <w:left w:val="nil"/>
              <w:bottom w:val="single" w:sz="4" w:space="0" w:color="auto"/>
              <w:right w:val="single" w:sz="4" w:space="0" w:color="auto"/>
            </w:tcBorders>
            <w:shd w:val="clear" w:color="auto" w:fill="auto"/>
            <w:noWrap/>
            <w:vAlign w:val="bottom"/>
            <w:hideMark/>
          </w:tcPr>
          <w:p w14:paraId="31BACED7"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669DE8C4"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134 461,39</w:t>
            </w:r>
          </w:p>
        </w:tc>
        <w:tc>
          <w:tcPr>
            <w:tcW w:w="1559" w:type="dxa"/>
            <w:tcBorders>
              <w:top w:val="nil"/>
              <w:left w:val="nil"/>
              <w:bottom w:val="single" w:sz="4" w:space="0" w:color="auto"/>
              <w:right w:val="single" w:sz="4" w:space="0" w:color="auto"/>
            </w:tcBorders>
            <w:shd w:val="clear" w:color="auto" w:fill="auto"/>
            <w:noWrap/>
            <w:vAlign w:val="bottom"/>
            <w:hideMark/>
          </w:tcPr>
          <w:p w14:paraId="52F79F2A"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50 423,26</w:t>
            </w:r>
          </w:p>
        </w:tc>
        <w:tc>
          <w:tcPr>
            <w:tcW w:w="1134" w:type="dxa"/>
            <w:tcBorders>
              <w:top w:val="nil"/>
              <w:left w:val="nil"/>
              <w:bottom w:val="single" w:sz="4" w:space="0" w:color="auto"/>
              <w:right w:val="single" w:sz="8" w:space="0" w:color="auto"/>
            </w:tcBorders>
            <w:shd w:val="clear" w:color="auto" w:fill="auto"/>
            <w:noWrap/>
            <w:vAlign w:val="bottom"/>
            <w:hideMark/>
          </w:tcPr>
          <w:p w14:paraId="00A1E0AF"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37,5</w:t>
            </w:r>
          </w:p>
        </w:tc>
      </w:tr>
      <w:tr w:rsidR="0072554E" w:rsidRPr="0072554E" w14:paraId="0094F2DA" w14:textId="77777777" w:rsidTr="009E7CFC">
        <w:trPr>
          <w:trHeight w:val="780"/>
        </w:trPr>
        <w:tc>
          <w:tcPr>
            <w:tcW w:w="851" w:type="dxa"/>
            <w:tcBorders>
              <w:top w:val="nil"/>
              <w:left w:val="single" w:sz="8" w:space="0" w:color="auto"/>
              <w:bottom w:val="single" w:sz="4" w:space="0" w:color="auto"/>
              <w:right w:val="single" w:sz="4" w:space="0" w:color="auto"/>
            </w:tcBorders>
            <w:shd w:val="clear" w:color="auto" w:fill="auto"/>
            <w:vAlign w:val="bottom"/>
            <w:hideMark/>
          </w:tcPr>
          <w:p w14:paraId="5FBA4A54"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2115</w:t>
            </w:r>
          </w:p>
        </w:tc>
        <w:tc>
          <w:tcPr>
            <w:tcW w:w="4235" w:type="dxa"/>
            <w:tcBorders>
              <w:top w:val="nil"/>
              <w:left w:val="nil"/>
              <w:bottom w:val="single" w:sz="4" w:space="0" w:color="auto"/>
              <w:right w:val="single" w:sz="4" w:space="0" w:color="auto"/>
            </w:tcBorders>
            <w:shd w:val="clear" w:color="auto" w:fill="auto"/>
            <w:vAlign w:val="bottom"/>
            <w:hideMark/>
          </w:tcPr>
          <w:p w14:paraId="08C2537B" w14:textId="77777777" w:rsidR="0072554E" w:rsidRPr="0072554E" w:rsidRDefault="0072554E" w:rsidP="0072554E">
            <w:pPr>
              <w:spacing w:after="0" w:line="240" w:lineRule="auto"/>
              <w:rPr>
                <w:rFonts w:ascii="Calibri" w:eastAsia="Times New Roman" w:hAnsi="Calibri" w:cs="Arial"/>
                <w:sz w:val="20"/>
                <w:szCs w:val="20"/>
                <w:lang w:eastAsia="cs-CZ"/>
              </w:rPr>
            </w:pPr>
            <w:r w:rsidRPr="0072554E">
              <w:rPr>
                <w:rFonts w:ascii="Calibri" w:eastAsia="Times New Roman" w:hAnsi="Calibri" w:cs="Arial"/>
                <w:sz w:val="20"/>
                <w:szCs w:val="20"/>
                <w:lang w:eastAsia="cs-CZ"/>
              </w:rPr>
              <w:t>Systém hospodaření s energií v podobě centrálního energetického managementu budov a objektů organizací SK</w:t>
            </w:r>
          </w:p>
        </w:tc>
        <w:tc>
          <w:tcPr>
            <w:tcW w:w="1293" w:type="dxa"/>
            <w:tcBorders>
              <w:top w:val="nil"/>
              <w:left w:val="nil"/>
              <w:bottom w:val="single" w:sz="4" w:space="0" w:color="auto"/>
              <w:right w:val="single" w:sz="4" w:space="0" w:color="auto"/>
            </w:tcBorders>
            <w:shd w:val="clear" w:color="auto" w:fill="auto"/>
            <w:noWrap/>
            <w:vAlign w:val="bottom"/>
            <w:hideMark/>
          </w:tcPr>
          <w:p w14:paraId="22095CCB"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5C3999AE"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214 200,00</w:t>
            </w:r>
          </w:p>
        </w:tc>
        <w:tc>
          <w:tcPr>
            <w:tcW w:w="1559" w:type="dxa"/>
            <w:tcBorders>
              <w:top w:val="nil"/>
              <w:left w:val="nil"/>
              <w:bottom w:val="single" w:sz="4" w:space="0" w:color="auto"/>
              <w:right w:val="single" w:sz="4" w:space="0" w:color="auto"/>
            </w:tcBorders>
            <w:shd w:val="clear" w:color="auto" w:fill="auto"/>
            <w:noWrap/>
            <w:vAlign w:val="bottom"/>
            <w:hideMark/>
          </w:tcPr>
          <w:p w14:paraId="28C9A26C"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90 750,00</w:t>
            </w:r>
          </w:p>
        </w:tc>
        <w:tc>
          <w:tcPr>
            <w:tcW w:w="1134" w:type="dxa"/>
            <w:tcBorders>
              <w:top w:val="nil"/>
              <w:left w:val="nil"/>
              <w:bottom w:val="single" w:sz="4" w:space="0" w:color="auto"/>
              <w:right w:val="single" w:sz="8" w:space="0" w:color="auto"/>
            </w:tcBorders>
            <w:shd w:val="clear" w:color="auto" w:fill="auto"/>
            <w:noWrap/>
            <w:vAlign w:val="bottom"/>
            <w:hideMark/>
          </w:tcPr>
          <w:p w14:paraId="5A68C686"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42,4</w:t>
            </w:r>
          </w:p>
        </w:tc>
      </w:tr>
      <w:tr w:rsidR="0072554E" w:rsidRPr="0072554E" w14:paraId="495517AC" w14:textId="77777777" w:rsidTr="009E7CFC">
        <w:trPr>
          <w:trHeight w:val="790"/>
        </w:trPr>
        <w:tc>
          <w:tcPr>
            <w:tcW w:w="851" w:type="dxa"/>
            <w:tcBorders>
              <w:top w:val="nil"/>
              <w:left w:val="single" w:sz="8" w:space="0" w:color="auto"/>
              <w:bottom w:val="single" w:sz="8" w:space="0" w:color="auto"/>
              <w:right w:val="single" w:sz="4" w:space="0" w:color="auto"/>
            </w:tcBorders>
            <w:shd w:val="clear" w:color="000000" w:fill="FFFFFF"/>
            <w:noWrap/>
            <w:vAlign w:val="bottom"/>
            <w:hideMark/>
          </w:tcPr>
          <w:p w14:paraId="6D354572"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3714</w:t>
            </w:r>
          </w:p>
        </w:tc>
        <w:tc>
          <w:tcPr>
            <w:tcW w:w="4235" w:type="dxa"/>
            <w:tcBorders>
              <w:top w:val="nil"/>
              <w:left w:val="nil"/>
              <w:bottom w:val="single" w:sz="8" w:space="0" w:color="auto"/>
              <w:right w:val="single" w:sz="4" w:space="0" w:color="auto"/>
            </w:tcBorders>
            <w:shd w:val="clear" w:color="auto" w:fill="auto"/>
            <w:vAlign w:val="bottom"/>
            <w:hideMark/>
          </w:tcPr>
          <w:p w14:paraId="2FB625B8" w14:textId="77777777" w:rsidR="0072554E" w:rsidRPr="0072554E" w:rsidRDefault="0072554E" w:rsidP="0072554E">
            <w:pPr>
              <w:spacing w:after="0" w:line="240" w:lineRule="auto"/>
              <w:rPr>
                <w:rFonts w:ascii="Calibri" w:eastAsia="Times New Roman" w:hAnsi="Calibri" w:cs="Arial"/>
                <w:sz w:val="20"/>
                <w:szCs w:val="20"/>
                <w:lang w:eastAsia="cs-CZ"/>
              </w:rPr>
            </w:pPr>
            <w:r w:rsidRPr="0072554E">
              <w:rPr>
                <w:rFonts w:ascii="Calibri" w:eastAsia="Times New Roman" w:hAnsi="Calibri" w:cs="Arial"/>
                <w:sz w:val="20"/>
                <w:szCs w:val="20"/>
                <w:lang w:eastAsia="cs-CZ"/>
              </w:rPr>
              <w:t>Opatření ke snižování produkce skleníkových plynů a plynů poškozujících ozonovou vrstvu - výsadba stromů v SK</w:t>
            </w:r>
          </w:p>
        </w:tc>
        <w:tc>
          <w:tcPr>
            <w:tcW w:w="1293" w:type="dxa"/>
            <w:tcBorders>
              <w:top w:val="nil"/>
              <w:left w:val="nil"/>
              <w:bottom w:val="single" w:sz="8" w:space="0" w:color="auto"/>
              <w:right w:val="single" w:sz="4" w:space="0" w:color="auto"/>
            </w:tcBorders>
            <w:shd w:val="clear" w:color="auto" w:fill="auto"/>
            <w:noWrap/>
            <w:vAlign w:val="bottom"/>
            <w:hideMark/>
          </w:tcPr>
          <w:p w14:paraId="79D1DA3C"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w:t>
            </w:r>
          </w:p>
        </w:tc>
        <w:tc>
          <w:tcPr>
            <w:tcW w:w="1701" w:type="dxa"/>
            <w:tcBorders>
              <w:top w:val="nil"/>
              <w:left w:val="nil"/>
              <w:bottom w:val="nil"/>
              <w:right w:val="single" w:sz="4" w:space="0" w:color="auto"/>
            </w:tcBorders>
            <w:shd w:val="clear" w:color="auto" w:fill="auto"/>
            <w:noWrap/>
            <w:vAlign w:val="bottom"/>
            <w:hideMark/>
          </w:tcPr>
          <w:p w14:paraId="02AE1A33"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1 071 165,00</w:t>
            </w:r>
          </w:p>
        </w:tc>
        <w:tc>
          <w:tcPr>
            <w:tcW w:w="1559" w:type="dxa"/>
            <w:tcBorders>
              <w:top w:val="nil"/>
              <w:left w:val="nil"/>
              <w:bottom w:val="nil"/>
              <w:right w:val="single" w:sz="4" w:space="0" w:color="auto"/>
            </w:tcBorders>
            <w:shd w:val="clear" w:color="auto" w:fill="auto"/>
            <w:noWrap/>
            <w:vAlign w:val="bottom"/>
            <w:hideMark/>
          </w:tcPr>
          <w:p w14:paraId="6C2FC74E"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125 535,00</w:t>
            </w:r>
          </w:p>
        </w:tc>
        <w:tc>
          <w:tcPr>
            <w:tcW w:w="1134" w:type="dxa"/>
            <w:tcBorders>
              <w:top w:val="nil"/>
              <w:left w:val="nil"/>
              <w:bottom w:val="single" w:sz="4" w:space="0" w:color="auto"/>
              <w:right w:val="single" w:sz="8" w:space="0" w:color="auto"/>
            </w:tcBorders>
            <w:shd w:val="clear" w:color="auto" w:fill="auto"/>
            <w:noWrap/>
            <w:vAlign w:val="bottom"/>
            <w:hideMark/>
          </w:tcPr>
          <w:p w14:paraId="7FFDDEB1"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11,7</w:t>
            </w:r>
          </w:p>
        </w:tc>
      </w:tr>
      <w:tr w:rsidR="0072554E" w:rsidRPr="0072554E" w14:paraId="083A7A65" w14:textId="77777777" w:rsidTr="009E7CFC">
        <w:trPr>
          <w:trHeight w:val="320"/>
        </w:trPr>
        <w:tc>
          <w:tcPr>
            <w:tcW w:w="851" w:type="dxa"/>
            <w:tcBorders>
              <w:top w:val="nil"/>
              <w:left w:val="single" w:sz="8" w:space="0" w:color="auto"/>
              <w:bottom w:val="single" w:sz="8" w:space="0" w:color="auto"/>
              <w:right w:val="single" w:sz="4" w:space="0" w:color="auto"/>
            </w:tcBorders>
            <w:shd w:val="clear" w:color="000000" w:fill="FFFFFF"/>
            <w:noWrap/>
            <w:vAlign w:val="center"/>
            <w:hideMark/>
          </w:tcPr>
          <w:p w14:paraId="607A0690" w14:textId="77777777" w:rsidR="0072554E" w:rsidRPr="0072554E" w:rsidRDefault="0072554E" w:rsidP="0072554E">
            <w:pPr>
              <w:spacing w:after="0" w:line="240" w:lineRule="auto"/>
              <w:jc w:val="center"/>
              <w:rPr>
                <w:rFonts w:ascii="Calibri" w:eastAsia="Times New Roman" w:hAnsi="Calibri" w:cs="Arial"/>
                <w:lang w:eastAsia="cs-CZ"/>
              </w:rPr>
            </w:pPr>
            <w:r w:rsidRPr="0072554E">
              <w:rPr>
                <w:rFonts w:ascii="Calibri" w:eastAsia="Times New Roman" w:hAnsi="Calibri" w:cs="Arial"/>
                <w:lang w:eastAsia="cs-CZ"/>
              </w:rPr>
              <w:t> </w:t>
            </w:r>
          </w:p>
        </w:tc>
        <w:tc>
          <w:tcPr>
            <w:tcW w:w="4235" w:type="dxa"/>
            <w:tcBorders>
              <w:top w:val="nil"/>
              <w:left w:val="nil"/>
              <w:bottom w:val="single" w:sz="8" w:space="0" w:color="auto"/>
              <w:right w:val="single" w:sz="4" w:space="0" w:color="auto"/>
            </w:tcBorders>
            <w:shd w:val="clear" w:color="000000" w:fill="FFFFFF"/>
            <w:noWrap/>
            <w:vAlign w:val="bottom"/>
            <w:hideMark/>
          </w:tcPr>
          <w:p w14:paraId="445A9D6D" w14:textId="77777777" w:rsidR="0072554E" w:rsidRPr="0072554E" w:rsidRDefault="0072554E" w:rsidP="0072554E">
            <w:pPr>
              <w:spacing w:after="0" w:line="240" w:lineRule="auto"/>
              <w:rPr>
                <w:rFonts w:ascii="Calibri" w:eastAsia="Times New Roman" w:hAnsi="Calibri" w:cs="Arial"/>
                <w:b/>
                <w:bCs/>
                <w:lang w:eastAsia="cs-CZ"/>
              </w:rPr>
            </w:pPr>
            <w:r w:rsidRPr="0072554E">
              <w:rPr>
                <w:rFonts w:ascii="Calibri" w:eastAsia="Times New Roman" w:hAnsi="Calibri" w:cs="Arial"/>
                <w:b/>
                <w:bCs/>
                <w:lang w:eastAsia="cs-CZ"/>
              </w:rPr>
              <w:t>Celkem</w:t>
            </w:r>
          </w:p>
        </w:tc>
        <w:tc>
          <w:tcPr>
            <w:tcW w:w="1293" w:type="dxa"/>
            <w:tcBorders>
              <w:top w:val="nil"/>
              <w:left w:val="nil"/>
              <w:bottom w:val="single" w:sz="8" w:space="0" w:color="auto"/>
              <w:right w:val="single" w:sz="4" w:space="0" w:color="auto"/>
            </w:tcBorders>
            <w:shd w:val="clear" w:color="000000" w:fill="FFFFFF"/>
            <w:noWrap/>
            <w:vAlign w:val="bottom"/>
            <w:hideMark/>
          </w:tcPr>
          <w:p w14:paraId="635633A4" w14:textId="77777777" w:rsidR="0072554E" w:rsidRPr="0072554E" w:rsidRDefault="0072554E" w:rsidP="0072554E">
            <w:pPr>
              <w:spacing w:after="0" w:line="240" w:lineRule="auto"/>
              <w:jc w:val="right"/>
              <w:rPr>
                <w:rFonts w:ascii="Calibri" w:eastAsia="Times New Roman" w:hAnsi="Calibri" w:cs="Arial"/>
                <w:b/>
                <w:bCs/>
                <w:lang w:eastAsia="cs-CZ"/>
              </w:rPr>
            </w:pPr>
            <w:r w:rsidRPr="0072554E">
              <w:rPr>
                <w:rFonts w:ascii="Calibri" w:eastAsia="Times New Roman" w:hAnsi="Calibri" w:cs="Arial"/>
                <w:b/>
                <w:bCs/>
                <w:lang w:eastAsia="cs-CZ"/>
              </w:rPr>
              <w:t>0</w:t>
            </w:r>
          </w:p>
        </w:tc>
        <w:tc>
          <w:tcPr>
            <w:tcW w:w="1701" w:type="dxa"/>
            <w:tcBorders>
              <w:top w:val="single" w:sz="8" w:space="0" w:color="auto"/>
              <w:left w:val="nil"/>
              <w:bottom w:val="single" w:sz="8" w:space="0" w:color="auto"/>
              <w:right w:val="single" w:sz="4" w:space="0" w:color="auto"/>
            </w:tcBorders>
            <w:shd w:val="clear" w:color="000000" w:fill="FFFFFF"/>
            <w:noWrap/>
            <w:vAlign w:val="bottom"/>
            <w:hideMark/>
          </w:tcPr>
          <w:p w14:paraId="7D07FAA2" w14:textId="77777777" w:rsidR="0072554E" w:rsidRPr="0072554E" w:rsidRDefault="0072554E" w:rsidP="0072554E">
            <w:pPr>
              <w:spacing w:after="0" w:line="240" w:lineRule="auto"/>
              <w:jc w:val="right"/>
              <w:rPr>
                <w:rFonts w:ascii="Calibri" w:eastAsia="Times New Roman" w:hAnsi="Calibri" w:cs="Arial"/>
                <w:b/>
                <w:bCs/>
                <w:lang w:eastAsia="cs-CZ"/>
              </w:rPr>
            </w:pPr>
            <w:r w:rsidRPr="0072554E">
              <w:rPr>
                <w:rFonts w:ascii="Calibri" w:eastAsia="Times New Roman" w:hAnsi="Calibri" w:cs="Arial"/>
                <w:b/>
                <w:bCs/>
                <w:lang w:eastAsia="cs-CZ"/>
              </w:rPr>
              <w:t>1 715 643,51</w:t>
            </w:r>
          </w:p>
        </w:tc>
        <w:tc>
          <w:tcPr>
            <w:tcW w:w="1559" w:type="dxa"/>
            <w:tcBorders>
              <w:top w:val="single" w:sz="8" w:space="0" w:color="auto"/>
              <w:left w:val="nil"/>
              <w:bottom w:val="single" w:sz="8" w:space="0" w:color="auto"/>
              <w:right w:val="single" w:sz="4" w:space="0" w:color="auto"/>
            </w:tcBorders>
            <w:shd w:val="clear" w:color="000000" w:fill="FFFFFF"/>
            <w:noWrap/>
            <w:vAlign w:val="bottom"/>
            <w:hideMark/>
          </w:tcPr>
          <w:p w14:paraId="362713CF" w14:textId="77777777" w:rsidR="0072554E" w:rsidRPr="0072554E" w:rsidRDefault="0072554E" w:rsidP="0072554E">
            <w:pPr>
              <w:spacing w:after="0" w:line="240" w:lineRule="auto"/>
              <w:jc w:val="right"/>
              <w:rPr>
                <w:rFonts w:ascii="Calibri" w:eastAsia="Times New Roman" w:hAnsi="Calibri" w:cs="Arial"/>
                <w:b/>
                <w:bCs/>
                <w:lang w:eastAsia="cs-CZ"/>
              </w:rPr>
            </w:pPr>
            <w:r w:rsidRPr="0072554E">
              <w:rPr>
                <w:rFonts w:ascii="Calibri" w:eastAsia="Times New Roman" w:hAnsi="Calibri" w:cs="Arial"/>
                <w:b/>
                <w:bCs/>
                <w:lang w:eastAsia="cs-CZ"/>
              </w:rPr>
              <w:t>377 641,00</w:t>
            </w:r>
          </w:p>
        </w:tc>
        <w:tc>
          <w:tcPr>
            <w:tcW w:w="1134" w:type="dxa"/>
            <w:tcBorders>
              <w:top w:val="single" w:sz="8" w:space="0" w:color="auto"/>
              <w:left w:val="nil"/>
              <w:bottom w:val="single" w:sz="8" w:space="0" w:color="auto"/>
              <w:right w:val="single" w:sz="8" w:space="0" w:color="auto"/>
            </w:tcBorders>
            <w:shd w:val="clear" w:color="auto" w:fill="auto"/>
            <w:noWrap/>
            <w:vAlign w:val="bottom"/>
            <w:hideMark/>
          </w:tcPr>
          <w:p w14:paraId="142FC8E3" w14:textId="77777777" w:rsidR="0072554E" w:rsidRPr="0072554E" w:rsidRDefault="0072554E" w:rsidP="0072554E">
            <w:pPr>
              <w:spacing w:after="0" w:line="240" w:lineRule="auto"/>
              <w:jc w:val="right"/>
              <w:rPr>
                <w:rFonts w:ascii="Calibri" w:eastAsia="Times New Roman" w:hAnsi="Calibri" w:cs="Arial"/>
                <w:b/>
                <w:bCs/>
                <w:lang w:eastAsia="cs-CZ"/>
              </w:rPr>
            </w:pPr>
            <w:r w:rsidRPr="0072554E">
              <w:rPr>
                <w:rFonts w:ascii="Calibri" w:eastAsia="Times New Roman" w:hAnsi="Calibri" w:cs="Arial"/>
                <w:b/>
                <w:bCs/>
                <w:lang w:eastAsia="cs-CZ"/>
              </w:rPr>
              <w:t>22,0</w:t>
            </w:r>
          </w:p>
        </w:tc>
      </w:tr>
      <w:tr w:rsidR="0072554E" w:rsidRPr="0072554E" w14:paraId="1C72DD09" w14:textId="77777777" w:rsidTr="009E7CFC">
        <w:trPr>
          <w:trHeight w:val="300"/>
        </w:trPr>
        <w:tc>
          <w:tcPr>
            <w:tcW w:w="851" w:type="dxa"/>
            <w:tcBorders>
              <w:top w:val="nil"/>
              <w:left w:val="single" w:sz="8" w:space="0" w:color="auto"/>
              <w:bottom w:val="nil"/>
              <w:right w:val="nil"/>
            </w:tcBorders>
            <w:shd w:val="clear" w:color="auto" w:fill="auto"/>
            <w:noWrap/>
            <w:vAlign w:val="center"/>
            <w:hideMark/>
          </w:tcPr>
          <w:p w14:paraId="46762492" w14:textId="77777777" w:rsidR="0072554E" w:rsidRPr="0072554E" w:rsidRDefault="0072554E" w:rsidP="0072554E">
            <w:pPr>
              <w:spacing w:after="0" w:line="240" w:lineRule="auto"/>
              <w:jc w:val="right"/>
              <w:rPr>
                <w:rFonts w:ascii="Calibri" w:eastAsia="Times New Roman" w:hAnsi="Calibri" w:cs="Arial"/>
                <w:b/>
                <w:bCs/>
                <w:lang w:eastAsia="cs-CZ"/>
              </w:rPr>
            </w:pPr>
          </w:p>
        </w:tc>
        <w:tc>
          <w:tcPr>
            <w:tcW w:w="4235" w:type="dxa"/>
            <w:tcBorders>
              <w:top w:val="nil"/>
              <w:left w:val="nil"/>
              <w:bottom w:val="nil"/>
              <w:right w:val="nil"/>
            </w:tcBorders>
            <w:shd w:val="clear" w:color="auto" w:fill="auto"/>
            <w:noWrap/>
            <w:vAlign w:val="bottom"/>
            <w:hideMark/>
          </w:tcPr>
          <w:p w14:paraId="3D65D180" w14:textId="77777777" w:rsidR="0072554E" w:rsidRPr="0072554E" w:rsidRDefault="0072554E" w:rsidP="0072554E">
            <w:pPr>
              <w:spacing w:after="0" w:line="240" w:lineRule="auto"/>
              <w:jc w:val="center"/>
              <w:rPr>
                <w:rFonts w:ascii="Times New Roman" w:eastAsia="Times New Roman" w:hAnsi="Times New Roman" w:cs="Times New Roman"/>
                <w:sz w:val="20"/>
                <w:szCs w:val="20"/>
                <w:lang w:eastAsia="cs-CZ"/>
              </w:rPr>
            </w:pPr>
          </w:p>
        </w:tc>
        <w:tc>
          <w:tcPr>
            <w:tcW w:w="1293" w:type="dxa"/>
            <w:tcBorders>
              <w:top w:val="nil"/>
              <w:left w:val="nil"/>
              <w:bottom w:val="nil"/>
              <w:right w:val="nil"/>
            </w:tcBorders>
            <w:shd w:val="clear" w:color="auto" w:fill="auto"/>
            <w:noWrap/>
            <w:vAlign w:val="bottom"/>
            <w:hideMark/>
          </w:tcPr>
          <w:p w14:paraId="0622FAE3" w14:textId="77777777" w:rsidR="0072554E" w:rsidRPr="0072554E" w:rsidRDefault="0072554E" w:rsidP="0072554E">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06FF92B6" w14:textId="77777777" w:rsidR="0072554E" w:rsidRPr="0072554E" w:rsidRDefault="0072554E" w:rsidP="0072554E">
            <w:pPr>
              <w:spacing w:after="0" w:line="240" w:lineRule="auto"/>
              <w:jc w:val="right"/>
              <w:rPr>
                <w:rFonts w:ascii="Times New Roman" w:eastAsia="Times New Roman" w:hAnsi="Times New Roman" w:cs="Times New Roman"/>
                <w:sz w:val="20"/>
                <w:szCs w:val="20"/>
                <w:lang w:eastAsia="cs-CZ"/>
              </w:rPr>
            </w:pPr>
          </w:p>
        </w:tc>
        <w:tc>
          <w:tcPr>
            <w:tcW w:w="1559" w:type="dxa"/>
            <w:tcBorders>
              <w:top w:val="nil"/>
              <w:left w:val="nil"/>
              <w:bottom w:val="nil"/>
              <w:right w:val="nil"/>
            </w:tcBorders>
            <w:shd w:val="clear" w:color="auto" w:fill="auto"/>
            <w:noWrap/>
            <w:vAlign w:val="bottom"/>
            <w:hideMark/>
          </w:tcPr>
          <w:p w14:paraId="15AC0518" w14:textId="77777777" w:rsidR="0072554E" w:rsidRPr="0072554E" w:rsidRDefault="0072554E" w:rsidP="0072554E">
            <w:pPr>
              <w:spacing w:after="0" w:line="240" w:lineRule="auto"/>
              <w:jc w:val="right"/>
              <w:rPr>
                <w:rFonts w:ascii="Times New Roman" w:eastAsia="Times New Roman" w:hAnsi="Times New Roman" w:cs="Times New Roman"/>
                <w:sz w:val="20"/>
                <w:szCs w:val="20"/>
                <w:lang w:eastAsia="cs-CZ"/>
              </w:rPr>
            </w:pPr>
          </w:p>
        </w:tc>
        <w:tc>
          <w:tcPr>
            <w:tcW w:w="1134" w:type="dxa"/>
            <w:tcBorders>
              <w:top w:val="nil"/>
              <w:left w:val="nil"/>
              <w:bottom w:val="nil"/>
              <w:right w:val="nil"/>
            </w:tcBorders>
            <w:shd w:val="clear" w:color="auto" w:fill="auto"/>
            <w:noWrap/>
            <w:vAlign w:val="bottom"/>
            <w:hideMark/>
          </w:tcPr>
          <w:p w14:paraId="034C2D4F" w14:textId="77777777" w:rsidR="0072554E" w:rsidRPr="0072554E" w:rsidRDefault="0072554E" w:rsidP="0072554E">
            <w:pPr>
              <w:spacing w:after="0" w:line="240" w:lineRule="auto"/>
              <w:jc w:val="right"/>
              <w:rPr>
                <w:rFonts w:ascii="Times New Roman" w:eastAsia="Times New Roman" w:hAnsi="Times New Roman" w:cs="Times New Roman"/>
                <w:sz w:val="20"/>
                <w:szCs w:val="20"/>
                <w:lang w:eastAsia="cs-CZ"/>
              </w:rPr>
            </w:pPr>
          </w:p>
        </w:tc>
      </w:tr>
      <w:tr w:rsidR="0072554E" w:rsidRPr="0072554E" w14:paraId="0872E585" w14:textId="77777777" w:rsidTr="009E7CFC">
        <w:trPr>
          <w:trHeight w:val="300"/>
        </w:trPr>
        <w:tc>
          <w:tcPr>
            <w:tcW w:w="851" w:type="dxa"/>
            <w:tcBorders>
              <w:top w:val="nil"/>
              <w:left w:val="single" w:sz="8" w:space="0" w:color="auto"/>
              <w:bottom w:val="single" w:sz="8" w:space="0" w:color="auto"/>
              <w:right w:val="nil"/>
            </w:tcBorders>
            <w:shd w:val="clear" w:color="auto" w:fill="auto"/>
            <w:noWrap/>
            <w:vAlign w:val="center"/>
            <w:hideMark/>
          </w:tcPr>
          <w:p w14:paraId="7D9651A0"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 </w:t>
            </w:r>
          </w:p>
        </w:tc>
        <w:tc>
          <w:tcPr>
            <w:tcW w:w="7229" w:type="dxa"/>
            <w:gridSpan w:val="3"/>
            <w:tcBorders>
              <w:top w:val="nil"/>
              <w:left w:val="nil"/>
              <w:bottom w:val="single" w:sz="8" w:space="0" w:color="auto"/>
              <w:right w:val="nil"/>
            </w:tcBorders>
            <w:shd w:val="clear" w:color="auto" w:fill="auto"/>
            <w:noWrap/>
            <w:vAlign w:val="bottom"/>
            <w:hideMark/>
          </w:tcPr>
          <w:p w14:paraId="0AC6502E" w14:textId="77777777" w:rsidR="0072554E" w:rsidRPr="0072554E" w:rsidRDefault="0072554E" w:rsidP="0072554E">
            <w:pPr>
              <w:spacing w:after="0" w:line="240" w:lineRule="auto"/>
              <w:rPr>
                <w:rFonts w:ascii="Calibri" w:eastAsia="Times New Roman" w:hAnsi="Calibri" w:cs="Arial"/>
                <w:b/>
                <w:bCs/>
                <w:lang w:eastAsia="cs-CZ"/>
              </w:rPr>
            </w:pPr>
            <w:r w:rsidRPr="0072554E">
              <w:rPr>
                <w:rFonts w:ascii="Calibri" w:eastAsia="Times New Roman" w:hAnsi="Calibri" w:cs="Arial"/>
                <w:b/>
                <w:bCs/>
                <w:lang w:eastAsia="cs-CZ"/>
              </w:rPr>
              <w:t>Dotace ze státního rozpočtu  a ostatních veřejných rozpočtů</w:t>
            </w:r>
          </w:p>
        </w:tc>
        <w:tc>
          <w:tcPr>
            <w:tcW w:w="1559" w:type="dxa"/>
            <w:tcBorders>
              <w:top w:val="nil"/>
              <w:left w:val="nil"/>
              <w:bottom w:val="single" w:sz="8" w:space="0" w:color="auto"/>
              <w:right w:val="nil"/>
            </w:tcBorders>
            <w:shd w:val="clear" w:color="auto" w:fill="auto"/>
            <w:noWrap/>
            <w:vAlign w:val="center"/>
            <w:hideMark/>
          </w:tcPr>
          <w:p w14:paraId="74FE9B4C"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 </w:t>
            </w:r>
          </w:p>
        </w:tc>
        <w:tc>
          <w:tcPr>
            <w:tcW w:w="1134" w:type="dxa"/>
            <w:tcBorders>
              <w:top w:val="nil"/>
              <w:left w:val="nil"/>
              <w:bottom w:val="single" w:sz="8" w:space="0" w:color="auto"/>
              <w:right w:val="nil"/>
            </w:tcBorders>
            <w:shd w:val="clear" w:color="auto" w:fill="auto"/>
            <w:noWrap/>
            <w:vAlign w:val="center"/>
            <w:hideMark/>
          </w:tcPr>
          <w:p w14:paraId="6698A15A"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 </w:t>
            </w:r>
          </w:p>
        </w:tc>
      </w:tr>
      <w:tr w:rsidR="0072554E" w:rsidRPr="0072554E" w14:paraId="0EDAAC02" w14:textId="77777777" w:rsidTr="009E7CFC">
        <w:trPr>
          <w:trHeight w:val="300"/>
        </w:trPr>
        <w:tc>
          <w:tcPr>
            <w:tcW w:w="851" w:type="dxa"/>
            <w:vMerge w:val="restart"/>
            <w:tcBorders>
              <w:top w:val="nil"/>
              <w:left w:val="single" w:sz="8" w:space="0" w:color="auto"/>
              <w:bottom w:val="single" w:sz="4" w:space="0" w:color="000000"/>
              <w:right w:val="single" w:sz="4" w:space="0" w:color="auto"/>
            </w:tcBorders>
            <w:shd w:val="clear" w:color="auto" w:fill="auto"/>
            <w:noWrap/>
            <w:vAlign w:val="center"/>
            <w:hideMark/>
          </w:tcPr>
          <w:p w14:paraId="3ADBE167"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2115</w:t>
            </w:r>
          </w:p>
        </w:tc>
        <w:tc>
          <w:tcPr>
            <w:tcW w:w="4235" w:type="dxa"/>
            <w:tcBorders>
              <w:top w:val="nil"/>
              <w:left w:val="nil"/>
              <w:bottom w:val="single" w:sz="4" w:space="0" w:color="auto"/>
              <w:right w:val="single" w:sz="4" w:space="0" w:color="auto"/>
            </w:tcBorders>
            <w:shd w:val="clear" w:color="auto" w:fill="auto"/>
            <w:vAlign w:val="bottom"/>
            <w:hideMark/>
          </w:tcPr>
          <w:p w14:paraId="20630E34" w14:textId="77777777" w:rsidR="0072554E" w:rsidRPr="0072554E" w:rsidRDefault="0072554E" w:rsidP="0072554E">
            <w:pPr>
              <w:spacing w:after="0" w:line="240" w:lineRule="auto"/>
              <w:rPr>
                <w:rFonts w:ascii="Calibri" w:eastAsia="Times New Roman" w:hAnsi="Calibri" w:cs="Arial"/>
                <w:sz w:val="20"/>
                <w:szCs w:val="20"/>
                <w:lang w:eastAsia="cs-CZ"/>
              </w:rPr>
            </w:pPr>
            <w:r w:rsidRPr="0072554E">
              <w:rPr>
                <w:rFonts w:ascii="Calibri" w:eastAsia="Times New Roman" w:hAnsi="Calibri" w:cs="Arial"/>
                <w:sz w:val="20"/>
                <w:szCs w:val="20"/>
                <w:lang w:eastAsia="cs-CZ"/>
              </w:rPr>
              <w:t>Energetické úspory se zaručeným výsledkem pro SK II</w:t>
            </w:r>
          </w:p>
        </w:tc>
        <w:tc>
          <w:tcPr>
            <w:tcW w:w="1293" w:type="dxa"/>
            <w:tcBorders>
              <w:top w:val="nil"/>
              <w:left w:val="nil"/>
              <w:bottom w:val="single" w:sz="4" w:space="0" w:color="auto"/>
              <w:right w:val="single" w:sz="4" w:space="0" w:color="auto"/>
            </w:tcBorders>
            <w:shd w:val="clear" w:color="auto" w:fill="auto"/>
            <w:noWrap/>
            <w:vAlign w:val="bottom"/>
            <w:hideMark/>
          </w:tcPr>
          <w:p w14:paraId="132495F1"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7D99091A"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24 689 890,42</w:t>
            </w:r>
          </w:p>
        </w:tc>
        <w:tc>
          <w:tcPr>
            <w:tcW w:w="1559" w:type="dxa"/>
            <w:tcBorders>
              <w:top w:val="nil"/>
              <w:left w:val="nil"/>
              <w:bottom w:val="single" w:sz="4" w:space="0" w:color="auto"/>
              <w:right w:val="single" w:sz="4" w:space="0" w:color="auto"/>
            </w:tcBorders>
            <w:shd w:val="clear" w:color="auto" w:fill="auto"/>
            <w:noWrap/>
            <w:vAlign w:val="bottom"/>
            <w:hideMark/>
          </w:tcPr>
          <w:p w14:paraId="72FF2061"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4 276 135,79</w:t>
            </w:r>
          </w:p>
        </w:tc>
        <w:tc>
          <w:tcPr>
            <w:tcW w:w="1134" w:type="dxa"/>
            <w:tcBorders>
              <w:top w:val="nil"/>
              <w:left w:val="nil"/>
              <w:bottom w:val="single" w:sz="4" w:space="0" w:color="auto"/>
              <w:right w:val="single" w:sz="8" w:space="0" w:color="auto"/>
            </w:tcBorders>
            <w:shd w:val="clear" w:color="auto" w:fill="auto"/>
            <w:noWrap/>
            <w:vAlign w:val="bottom"/>
            <w:hideMark/>
          </w:tcPr>
          <w:p w14:paraId="408A25D8"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17,3</w:t>
            </w:r>
          </w:p>
        </w:tc>
      </w:tr>
      <w:tr w:rsidR="0072554E" w:rsidRPr="0072554E" w14:paraId="6F749AA2" w14:textId="77777777" w:rsidTr="009E7CFC">
        <w:trPr>
          <w:trHeight w:val="780"/>
        </w:trPr>
        <w:tc>
          <w:tcPr>
            <w:tcW w:w="851" w:type="dxa"/>
            <w:vMerge/>
            <w:tcBorders>
              <w:top w:val="nil"/>
              <w:left w:val="single" w:sz="8" w:space="0" w:color="auto"/>
              <w:bottom w:val="single" w:sz="4" w:space="0" w:color="000000"/>
              <w:right w:val="single" w:sz="4" w:space="0" w:color="auto"/>
            </w:tcBorders>
            <w:vAlign w:val="center"/>
            <w:hideMark/>
          </w:tcPr>
          <w:p w14:paraId="760588B6" w14:textId="77777777" w:rsidR="0072554E" w:rsidRPr="0072554E" w:rsidRDefault="0072554E" w:rsidP="0072554E">
            <w:pPr>
              <w:spacing w:after="0" w:line="240" w:lineRule="auto"/>
              <w:rPr>
                <w:rFonts w:ascii="Calibri" w:eastAsia="Times New Roman" w:hAnsi="Calibri" w:cs="Arial"/>
                <w:sz w:val="20"/>
                <w:szCs w:val="20"/>
                <w:lang w:eastAsia="cs-CZ"/>
              </w:rPr>
            </w:pPr>
          </w:p>
        </w:tc>
        <w:tc>
          <w:tcPr>
            <w:tcW w:w="4235" w:type="dxa"/>
            <w:tcBorders>
              <w:top w:val="nil"/>
              <w:left w:val="nil"/>
              <w:bottom w:val="single" w:sz="4" w:space="0" w:color="auto"/>
              <w:right w:val="single" w:sz="4" w:space="0" w:color="auto"/>
            </w:tcBorders>
            <w:shd w:val="clear" w:color="auto" w:fill="auto"/>
            <w:vAlign w:val="bottom"/>
            <w:hideMark/>
          </w:tcPr>
          <w:p w14:paraId="4D5AB2F7" w14:textId="77777777" w:rsidR="0072554E" w:rsidRPr="0072554E" w:rsidRDefault="0072554E" w:rsidP="0072554E">
            <w:pPr>
              <w:spacing w:after="0" w:line="240" w:lineRule="auto"/>
              <w:rPr>
                <w:rFonts w:ascii="Calibri" w:eastAsia="Times New Roman" w:hAnsi="Calibri" w:cs="Arial"/>
                <w:sz w:val="20"/>
                <w:szCs w:val="20"/>
                <w:lang w:eastAsia="cs-CZ"/>
              </w:rPr>
            </w:pPr>
            <w:r w:rsidRPr="0072554E">
              <w:rPr>
                <w:rFonts w:ascii="Calibri" w:eastAsia="Times New Roman" w:hAnsi="Calibri" w:cs="Arial"/>
                <w:sz w:val="20"/>
                <w:szCs w:val="20"/>
                <w:lang w:eastAsia="cs-CZ"/>
              </w:rPr>
              <w:t>Systém hospodaření s energií v podobě centrálního energetického managementu budov a objektů organizací SK</w:t>
            </w:r>
          </w:p>
        </w:tc>
        <w:tc>
          <w:tcPr>
            <w:tcW w:w="1293" w:type="dxa"/>
            <w:tcBorders>
              <w:top w:val="nil"/>
              <w:left w:val="nil"/>
              <w:bottom w:val="single" w:sz="4" w:space="0" w:color="auto"/>
              <w:right w:val="single" w:sz="4" w:space="0" w:color="auto"/>
            </w:tcBorders>
            <w:shd w:val="clear" w:color="auto" w:fill="auto"/>
            <w:noWrap/>
            <w:vAlign w:val="bottom"/>
            <w:hideMark/>
          </w:tcPr>
          <w:p w14:paraId="2B908985"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62F87A59"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211 750,00</w:t>
            </w:r>
          </w:p>
        </w:tc>
        <w:tc>
          <w:tcPr>
            <w:tcW w:w="1559" w:type="dxa"/>
            <w:tcBorders>
              <w:top w:val="nil"/>
              <w:left w:val="nil"/>
              <w:bottom w:val="single" w:sz="4" w:space="0" w:color="auto"/>
              <w:right w:val="single" w:sz="4" w:space="0" w:color="auto"/>
            </w:tcBorders>
            <w:shd w:val="clear" w:color="auto" w:fill="auto"/>
            <w:noWrap/>
            <w:vAlign w:val="bottom"/>
            <w:hideMark/>
          </w:tcPr>
          <w:p w14:paraId="717A89A9"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211 750,00</w:t>
            </w:r>
          </w:p>
        </w:tc>
        <w:tc>
          <w:tcPr>
            <w:tcW w:w="1134" w:type="dxa"/>
            <w:tcBorders>
              <w:top w:val="nil"/>
              <w:left w:val="nil"/>
              <w:bottom w:val="single" w:sz="4" w:space="0" w:color="auto"/>
              <w:right w:val="single" w:sz="8" w:space="0" w:color="auto"/>
            </w:tcBorders>
            <w:shd w:val="clear" w:color="auto" w:fill="auto"/>
            <w:noWrap/>
            <w:vAlign w:val="bottom"/>
            <w:hideMark/>
          </w:tcPr>
          <w:p w14:paraId="050016BA"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100,0</w:t>
            </w:r>
          </w:p>
        </w:tc>
      </w:tr>
      <w:tr w:rsidR="0072554E" w:rsidRPr="0072554E" w14:paraId="08842383" w14:textId="77777777" w:rsidTr="009E7CFC">
        <w:trPr>
          <w:trHeight w:val="520"/>
        </w:trPr>
        <w:tc>
          <w:tcPr>
            <w:tcW w:w="851" w:type="dxa"/>
            <w:vMerge/>
            <w:tcBorders>
              <w:top w:val="nil"/>
              <w:left w:val="single" w:sz="8" w:space="0" w:color="auto"/>
              <w:bottom w:val="single" w:sz="4" w:space="0" w:color="000000"/>
              <w:right w:val="single" w:sz="4" w:space="0" w:color="auto"/>
            </w:tcBorders>
            <w:vAlign w:val="center"/>
            <w:hideMark/>
          </w:tcPr>
          <w:p w14:paraId="675D3A7A" w14:textId="77777777" w:rsidR="0072554E" w:rsidRPr="0072554E" w:rsidRDefault="0072554E" w:rsidP="0072554E">
            <w:pPr>
              <w:spacing w:after="0" w:line="240" w:lineRule="auto"/>
              <w:rPr>
                <w:rFonts w:ascii="Calibri" w:eastAsia="Times New Roman" w:hAnsi="Calibri" w:cs="Arial"/>
                <w:sz w:val="20"/>
                <w:szCs w:val="20"/>
                <w:lang w:eastAsia="cs-CZ"/>
              </w:rPr>
            </w:pPr>
          </w:p>
        </w:tc>
        <w:tc>
          <w:tcPr>
            <w:tcW w:w="4235" w:type="dxa"/>
            <w:tcBorders>
              <w:top w:val="nil"/>
              <w:left w:val="nil"/>
              <w:bottom w:val="single" w:sz="4" w:space="0" w:color="auto"/>
              <w:right w:val="single" w:sz="4" w:space="0" w:color="auto"/>
            </w:tcBorders>
            <w:shd w:val="clear" w:color="auto" w:fill="auto"/>
            <w:vAlign w:val="bottom"/>
            <w:hideMark/>
          </w:tcPr>
          <w:p w14:paraId="7E993D72" w14:textId="6DEFA5F6" w:rsidR="0072554E" w:rsidRPr="0072554E" w:rsidRDefault="0072554E" w:rsidP="0072554E">
            <w:pPr>
              <w:spacing w:after="0" w:line="240" w:lineRule="auto"/>
              <w:rPr>
                <w:rFonts w:ascii="Calibri" w:eastAsia="Times New Roman" w:hAnsi="Calibri" w:cs="Arial"/>
                <w:sz w:val="20"/>
                <w:szCs w:val="20"/>
                <w:lang w:eastAsia="cs-CZ"/>
              </w:rPr>
            </w:pPr>
            <w:r w:rsidRPr="0072554E">
              <w:rPr>
                <w:rFonts w:ascii="Calibri" w:eastAsia="Times New Roman" w:hAnsi="Calibri" w:cs="Arial"/>
                <w:sz w:val="20"/>
                <w:szCs w:val="20"/>
                <w:lang w:eastAsia="cs-CZ"/>
              </w:rPr>
              <w:t>EPC III - Analýza  stavu a potenciálu energetických úspor SK I</w:t>
            </w:r>
          </w:p>
        </w:tc>
        <w:tc>
          <w:tcPr>
            <w:tcW w:w="1293" w:type="dxa"/>
            <w:tcBorders>
              <w:top w:val="nil"/>
              <w:left w:val="nil"/>
              <w:bottom w:val="single" w:sz="4" w:space="0" w:color="auto"/>
              <w:right w:val="single" w:sz="4" w:space="0" w:color="auto"/>
            </w:tcBorders>
            <w:shd w:val="clear" w:color="auto" w:fill="auto"/>
            <w:noWrap/>
            <w:vAlign w:val="bottom"/>
            <w:hideMark/>
          </w:tcPr>
          <w:p w14:paraId="57D74A87"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795310A7"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129 418,00</w:t>
            </w:r>
          </w:p>
        </w:tc>
        <w:tc>
          <w:tcPr>
            <w:tcW w:w="1559" w:type="dxa"/>
            <w:tcBorders>
              <w:top w:val="nil"/>
              <w:left w:val="nil"/>
              <w:bottom w:val="single" w:sz="4" w:space="0" w:color="auto"/>
              <w:right w:val="single" w:sz="4" w:space="0" w:color="auto"/>
            </w:tcBorders>
            <w:shd w:val="clear" w:color="auto" w:fill="auto"/>
            <w:noWrap/>
            <w:vAlign w:val="bottom"/>
            <w:hideMark/>
          </w:tcPr>
          <w:p w14:paraId="02B2E14A"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129 418,00</w:t>
            </w:r>
          </w:p>
        </w:tc>
        <w:tc>
          <w:tcPr>
            <w:tcW w:w="1134" w:type="dxa"/>
            <w:tcBorders>
              <w:top w:val="nil"/>
              <w:left w:val="nil"/>
              <w:bottom w:val="single" w:sz="4" w:space="0" w:color="auto"/>
              <w:right w:val="single" w:sz="8" w:space="0" w:color="auto"/>
            </w:tcBorders>
            <w:shd w:val="clear" w:color="auto" w:fill="auto"/>
            <w:noWrap/>
            <w:vAlign w:val="bottom"/>
            <w:hideMark/>
          </w:tcPr>
          <w:p w14:paraId="237988DC"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100,0</w:t>
            </w:r>
          </w:p>
        </w:tc>
      </w:tr>
      <w:tr w:rsidR="0072554E" w:rsidRPr="0072554E" w14:paraId="6A18326B" w14:textId="77777777" w:rsidTr="009E7CFC">
        <w:trPr>
          <w:trHeight w:val="300"/>
        </w:trPr>
        <w:tc>
          <w:tcPr>
            <w:tcW w:w="851" w:type="dxa"/>
            <w:vMerge/>
            <w:tcBorders>
              <w:top w:val="nil"/>
              <w:left w:val="single" w:sz="8" w:space="0" w:color="auto"/>
              <w:bottom w:val="single" w:sz="4" w:space="0" w:color="000000"/>
              <w:right w:val="single" w:sz="4" w:space="0" w:color="auto"/>
            </w:tcBorders>
            <w:vAlign w:val="center"/>
            <w:hideMark/>
          </w:tcPr>
          <w:p w14:paraId="50531CEC" w14:textId="77777777" w:rsidR="0072554E" w:rsidRPr="0072554E" w:rsidRDefault="0072554E" w:rsidP="0072554E">
            <w:pPr>
              <w:spacing w:after="0" w:line="240" w:lineRule="auto"/>
              <w:rPr>
                <w:rFonts w:ascii="Calibri" w:eastAsia="Times New Roman" w:hAnsi="Calibri" w:cs="Arial"/>
                <w:sz w:val="20"/>
                <w:szCs w:val="20"/>
                <w:lang w:eastAsia="cs-CZ"/>
              </w:rPr>
            </w:pPr>
          </w:p>
        </w:tc>
        <w:tc>
          <w:tcPr>
            <w:tcW w:w="4235" w:type="dxa"/>
            <w:tcBorders>
              <w:top w:val="nil"/>
              <w:left w:val="nil"/>
              <w:bottom w:val="single" w:sz="4" w:space="0" w:color="auto"/>
              <w:right w:val="single" w:sz="4" w:space="0" w:color="auto"/>
            </w:tcBorders>
            <w:shd w:val="clear" w:color="auto" w:fill="auto"/>
            <w:vAlign w:val="bottom"/>
            <w:hideMark/>
          </w:tcPr>
          <w:p w14:paraId="1F897CC0" w14:textId="3A2A5E41" w:rsidR="0072554E" w:rsidRPr="0072554E" w:rsidRDefault="0072554E" w:rsidP="0072554E">
            <w:pPr>
              <w:spacing w:after="0" w:line="240" w:lineRule="auto"/>
              <w:rPr>
                <w:rFonts w:ascii="Calibri" w:eastAsia="Times New Roman" w:hAnsi="Calibri" w:cs="Arial"/>
                <w:sz w:val="20"/>
                <w:szCs w:val="20"/>
                <w:lang w:eastAsia="cs-CZ"/>
              </w:rPr>
            </w:pPr>
            <w:r w:rsidRPr="0072554E">
              <w:rPr>
                <w:rFonts w:ascii="Calibri" w:eastAsia="Times New Roman" w:hAnsi="Calibri" w:cs="Arial"/>
                <w:sz w:val="20"/>
                <w:szCs w:val="20"/>
                <w:lang w:eastAsia="cs-CZ"/>
              </w:rPr>
              <w:t>EPC III - Analýza  potenciálu energetických úspor SK II</w:t>
            </w:r>
          </w:p>
        </w:tc>
        <w:tc>
          <w:tcPr>
            <w:tcW w:w="1293" w:type="dxa"/>
            <w:tcBorders>
              <w:top w:val="nil"/>
              <w:left w:val="nil"/>
              <w:bottom w:val="single" w:sz="4" w:space="0" w:color="auto"/>
              <w:right w:val="single" w:sz="4" w:space="0" w:color="auto"/>
            </w:tcBorders>
            <w:shd w:val="clear" w:color="auto" w:fill="auto"/>
            <w:noWrap/>
            <w:vAlign w:val="bottom"/>
            <w:hideMark/>
          </w:tcPr>
          <w:p w14:paraId="7883A49E"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6D4F3D8D"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129 418,00</w:t>
            </w:r>
          </w:p>
        </w:tc>
        <w:tc>
          <w:tcPr>
            <w:tcW w:w="1559" w:type="dxa"/>
            <w:tcBorders>
              <w:top w:val="nil"/>
              <w:left w:val="nil"/>
              <w:bottom w:val="single" w:sz="4" w:space="0" w:color="auto"/>
              <w:right w:val="single" w:sz="4" w:space="0" w:color="auto"/>
            </w:tcBorders>
            <w:shd w:val="clear" w:color="auto" w:fill="auto"/>
            <w:noWrap/>
            <w:vAlign w:val="bottom"/>
            <w:hideMark/>
          </w:tcPr>
          <w:p w14:paraId="13F949AE"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129 418,00</w:t>
            </w:r>
          </w:p>
        </w:tc>
        <w:tc>
          <w:tcPr>
            <w:tcW w:w="1134" w:type="dxa"/>
            <w:tcBorders>
              <w:top w:val="nil"/>
              <w:left w:val="nil"/>
              <w:bottom w:val="single" w:sz="4" w:space="0" w:color="auto"/>
              <w:right w:val="single" w:sz="8" w:space="0" w:color="auto"/>
            </w:tcBorders>
            <w:shd w:val="clear" w:color="auto" w:fill="auto"/>
            <w:noWrap/>
            <w:vAlign w:val="bottom"/>
            <w:hideMark/>
          </w:tcPr>
          <w:p w14:paraId="5D8C4AA3"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100,0</w:t>
            </w:r>
          </w:p>
        </w:tc>
      </w:tr>
      <w:tr w:rsidR="0072554E" w:rsidRPr="0072554E" w14:paraId="6E3E4CF1" w14:textId="77777777" w:rsidTr="009E7CFC">
        <w:trPr>
          <w:trHeight w:val="300"/>
        </w:trPr>
        <w:tc>
          <w:tcPr>
            <w:tcW w:w="851" w:type="dxa"/>
            <w:vMerge/>
            <w:tcBorders>
              <w:top w:val="nil"/>
              <w:left w:val="single" w:sz="8" w:space="0" w:color="auto"/>
              <w:bottom w:val="single" w:sz="4" w:space="0" w:color="000000"/>
              <w:right w:val="single" w:sz="4" w:space="0" w:color="auto"/>
            </w:tcBorders>
            <w:vAlign w:val="center"/>
            <w:hideMark/>
          </w:tcPr>
          <w:p w14:paraId="3D531F98" w14:textId="77777777" w:rsidR="0072554E" w:rsidRPr="0072554E" w:rsidRDefault="0072554E" w:rsidP="0072554E">
            <w:pPr>
              <w:spacing w:after="0" w:line="240" w:lineRule="auto"/>
              <w:rPr>
                <w:rFonts w:ascii="Calibri" w:eastAsia="Times New Roman" w:hAnsi="Calibri" w:cs="Arial"/>
                <w:sz w:val="20"/>
                <w:szCs w:val="20"/>
                <w:lang w:eastAsia="cs-CZ"/>
              </w:rPr>
            </w:pPr>
          </w:p>
        </w:tc>
        <w:tc>
          <w:tcPr>
            <w:tcW w:w="4235" w:type="dxa"/>
            <w:tcBorders>
              <w:top w:val="nil"/>
              <w:left w:val="nil"/>
              <w:bottom w:val="single" w:sz="4" w:space="0" w:color="auto"/>
              <w:right w:val="single" w:sz="4" w:space="0" w:color="auto"/>
            </w:tcBorders>
            <w:shd w:val="clear" w:color="auto" w:fill="auto"/>
            <w:vAlign w:val="bottom"/>
            <w:hideMark/>
          </w:tcPr>
          <w:p w14:paraId="38EFD333" w14:textId="30785AD8" w:rsidR="0072554E" w:rsidRPr="0072554E" w:rsidRDefault="0072554E" w:rsidP="0072554E">
            <w:pPr>
              <w:spacing w:after="0" w:line="240" w:lineRule="auto"/>
              <w:rPr>
                <w:rFonts w:ascii="Calibri" w:eastAsia="Times New Roman" w:hAnsi="Calibri" w:cs="Arial"/>
                <w:sz w:val="20"/>
                <w:szCs w:val="20"/>
                <w:lang w:eastAsia="cs-CZ"/>
              </w:rPr>
            </w:pPr>
            <w:r w:rsidRPr="0072554E">
              <w:rPr>
                <w:rFonts w:ascii="Calibri" w:eastAsia="Times New Roman" w:hAnsi="Calibri" w:cs="Arial"/>
                <w:sz w:val="20"/>
                <w:szCs w:val="20"/>
                <w:lang w:eastAsia="cs-CZ"/>
              </w:rPr>
              <w:t>EPC III - Analýza  potenciálu energetických úspor SK III</w:t>
            </w:r>
          </w:p>
        </w:tc>
        <w:tc>
          <w:tcPr>
            <w:tcW w:w="1293" w:type="dxa"/>
            <w:tcBorders>
              <w:top w:val="nil"/>
              <w:left w:val="nil"/>
              <w:bottom w:val="single" w:sz="4" w:space="0" w:color="auto"/>
              <w:right w:val="single" w:sz="4" w:space="0" w:color="auto"/>
            </w:tcBorders>
            <w:shd w:val="clear" w:color="auto" w:fill="auto"/>
            <w:noWrap/>
            <w:vAlign w:val="bottom"/>
            <w:hideMark/>
          </w:tcPr>
          <w:p w14:paraId="63862238"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2BDB9E41"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117 653,00</w:t>
            </w:r>
          </w:p>
        </w:tc>
        <w:tc>
          <w:tcPr>
            <w:tcW w:w="1559" w:type="dxa"/>
            <w:tcBorders>
              <w:top w:val="nil"/>
              <w:left w:val="nil"/>
              <w:bottom w:val="single" w:sz="4" w:space="0" w:color="auto"/>
              <w:right w:val="single" w:sz="4" w:space="0" w:color="auto"/>
            </w:tcBorders>
            <w:shd w:val="clear" w:color="auto" w:fill="auto"/>
            <w:noWrap/>
            <w:vAlign w:val="bottom"/>
            <w:hideMark/>
          </w:tcPr>
          <w:p w14:paraId="2352EA46"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117 653,00</w:t>
            </w:r>
          </w:p>
        </w:tc>
        <w:tc>
          <w:tcPr>
            <w:tcW w:w="1134" w:type="dxa"/>
            <w:tcBorders>
              <w:top w:val="nil"/>
              <w:left w:val="nil"/>
              <w:bottom w:val="single" w:sz="4" w:space="0" w:color="auto"/>
              <w:right w:val="single" w:sz="8" w:space="0" w:color="auto"/>
            </w:tcBorders>
            <w:shd w:val="clear" w:color="auto" w:fill="auto"/>
            <w:noWrap/>
            <w:vAlign w:val="bottom"/>
            <w:hideMark/>
          </w:tcPr>
          <w:p w14:paraId="3EF23DEC"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100,0</w:t>
            </w:r>
          </w:p>
        </w:tc>
      </w:tr>
      <w:tr w:rsidR="0072554E" w:rsidRPr="0072554E" w14:paraId="65C1790B" w14:textId="77777777" w:rsidTr="009E7CFC">
        <w:trPr>
          <w:trHeight w:val="300"/>
        </w:trPr>
        <w:tc>
          <w:tcPr>
            <w:tcW w:w="851" w:type="dxa"/>
            <w:tcBorders>
              <w:top w:val="nil"/>
              <w:left w:val="single" w:sz="8" w:space="0" w:color="auto"/>
              <w:bottom w:val="single" w:sz="4" w:space="0" w:color="auto"/>
              <w:right w:val="single" w:sz="4" w:space="0" w:color="auto"/>
            </w:tcBorders>
            <w:shd w:val="clear" w:color="000000" w:fill="FFFFFF"/>
            <w:noWrap/>
            <w:vAlign w:val="bottom"/>
            <w:hideMark/>
          </w:tcPr>
          <w:p w14:paraId="671A9AF5"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2510</w:t>
            </w:r>
          </w:p>
        </w:tc>
        <w:tc>
          <w:tcPr>
            <w:tcW w:w="4235" w:type="dxa"/>
            <w:tcBorders>
              <w:top w:val="nil"/>
              <w:left w:val="nil"/>
              <w:bottom w:val="single" w:sz="4" w:space="0" w:color="auto"/>
              <w:right w:val="single" w:sz="4" w:space="0" w:color="auto"/>
            </w:tcBorders>
            <w:shd w:val="clear" w:color="auto" w:fill="auto"/>
            <w:vAlign w:val="bottom"/>
            <w:hideMark/>
          </w:tcPr>
          <w:p w14:paraId="02B787F1" w14:textId="77777777" w:rsidR="0072554E" w:rsidRPr="0072554E" w:rsidRDefault="0072554E" w:rsidP="0072554E">
            <w:pPr>
              <w:spacing w:after="0" w:line="240" w:lineRule="auto"/>
              <w:rPr>
                <w:rFonts w:ascii="Calibri" w:eastAsia="Times New Roman" w:hAnsi="Calibri" w:cs="Arial"/>
                <w:sz w:val="20"/>
                <w:szCs w:val="20"/>
                <w:lang w:eastAsia="cs-CZ"/>
              </w:rPr>
            </w:pPr>
            <w:r w:rsidRPr="0072554E">
              <w:rPr>
                <w:rFonts w:ascii="Calibri" w:eastAsia="Times New Roman" w:hAnsi="Calibri" w:cs="Arial"/>
                <w:sz w:val="20"/>
                <w:szCs w:val="20"/>
                <w:lang w:eastAsia="cs-CZ"/>
              </w:rPr>
              <w:t>Smart Akcelerátor II</w:t>
            </w:r>
          </w:p>
        </w:tc>
        <w:tc>
          <w:tcPr>
            <w:tcW w:w="1293" w:type="dxa"/>
            <w:tcBorders>
              <w:top w:val="nil"/>
              <w:left w:val="nil"/>
              <w:bottom w:val="single" w:sz="4" w:space="0" w:color="auto"/>
              <w:right w:val="single" w:sz="4" w:space="0" w:color="auto"/>
            </w:tcBorders>
            <w:shd w:val="clear" w:color="auto" w:fill="auto"/>
            <w:noWrap/>
            <w:vAlign w:val="bottom"/>
            <w:hideMark/>
          </w:tcPr>
          <w:p w14:paraId="55E6E158"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155FE10A"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21 928 787,67</w:t>
            </w:r>
          </w:p>
        </w:tc>
        <w:tc>
          <w:tcPr>
            <w:tcW w:w="1559" w:type="dxa"/>
            <w:tcBorders>
              <w:top w:val="nil"/>
              <w:left w:val="nil"/>
              <w:bottom w:val="single" w:sz="4" w:space="0" w:color="auto"/>
              <w:right w:val="single" w:sz="4" w:space="0" w:color="auto"/>
            </w:tcBorders>
            <w:shd w:val="clear" w:color="auto" w:fill="auto"/>
            <w:noWrap/>
            <w:vAlign w:val="bottom"/>
            <w:hideMark/>
          </w:tcPr>
          <w:p w14:paraId="1A48EE9D"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14 814 156,19</w:t>
            </w:r>
          </w:p>
        </w:tc>
        <w:tc>
          <w:tcPr>
            <w:tcW w:w="1134" w:type="dxa"/>
            <w:tcBorders>
              <w:top w:val="nil"/>
              <w:left w:val="nil"/>
              <w:bottom w:val="single" w:sz="4" w:space="0" w:color="auto"/>
              <w:right w:val="single" w:sz="8" w:space="0" w:color="auto"/>
            </w:tcBorders>
            <w:shd w:val="clear" w:color="auto" w:fill="auto"/>
            <w:noWrap/>
            <w:vAlign w:val="bottom"/>
            <w:hideMark/>
          </w:tcPr>
          <w:p w14:paraId="7AF6B66D"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67,6</w:t>
            </w:r>
          </w:p>
        </w:tc>
      </w:tr>
      <w:tr w:rsidR="0072554E" w:rsidRPr="0072554E" w14:paraId="226BD8DE" w14:textId="77777777" w:rsidTr="009E7CFC">
        <w:trPr>
          <w:trHeight w:val="300"/>
        </w:trPr>
        <w:tc>
          <w:tcPr>
            <w:tcW w:w="851" w:type="dxa"/>
            <w:tcBorders>
              <w:top w:val="nil"/>
              <w:left w:val="single" w:sz="8" w:space="0" w:color="auto"/>
              <w:bottom w:val="single" w:sz="8" w:space="0" w:color="auto"/>
              <w:right w:val="single" w:sz="4" w:space="0" w:color="auto"/>
            </w:tcBorders>
            <w:shd w:val="clear" w:color="auto" w:fill="auto"/>
            <w:noWrap/>
            <w:vAlign w:val="center"/>
            <w:hideMark/>
          </w:tcPr>
          <w:p w14:paraId="4A4D882B"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3299</w:t>
            </w:r>
          </w:p>
        </w:tc>
        <w:tc>
          <w:tcPr>
            <w:tcW w:w="4235" w:type="dxa"/>
            <w:tcBorders>
              <w:top w:val="nil"/>
              <w:left w:val="nil"/>
              <w:bottom w:val="single" w:sz="4" w:space="0" w:color="auto"/>
              <w:right w:val="single" w:sz="4" w:space="0" w:color="auto"/>
            </w:tcBorders>
            <w:shd w:val="clear" w:color="auto" w:fill="auto"/>
            <w:vAlign w:val="center"/>
            <w:hideMark/>
          </w:tcPr>
          <w:p w14:paraId="1B6DA60D" w14:textId="77777777" w:rsidR="0072554E" w:rsidRPr="0072554E" w:rsidRDefault="0072554E" w:rsidP="0072554E">
            <w:pPr>
              <w:spacing w:after="0" w:line="240" w:lineRule="auto"/>
              <w:rPr>
                <w:rFonts w:ascii="Calibri" w:eastAsia="Times New Roman" w:hAnsi="Calibri" w:cs="Arial"/>
                <w:sz w:val="20"/>
                <w:szCs w:val="20"/>
                <w:lang w:eastAsia="cs-CZ"/>
              </w:rPr>
            </w:pPr>
            <w:r w:rsidRPr="0072554E">
              <w:rPr>
                <w:rFonts w:ascii="Calibri" w:eastAsia="Times New Roman" w:hAnsi="Calibri" w:cs="Arial"/>
                <w:sz w:val="20"/>
                <w:szCs w:val="20"/>
                <w:lang w:eastAsia="cs-CZ"/>
              </w:rPr>
              <w:t>Operační program Vzdělávání pro konkurenceschopnost</w:t>
            </w:r>
          </w:p>
        </w:tc>
        <w:tc>
          <w:tcPr>
            <w:tcW w:w="1293" w:type="dxa"/>
            <w:tcBorders>
              <w:top w:val="nil"/>
              <w:left w:val="nil"/>
              <w:bottom w:val="single" w:sz="4" w:space="0" w:color="auto"/>
              <w:right w:val="single" w:sz="4" w:space="0" w:color="auto"/>
            </w:tcBorders>
            <w:shd w:val="clear" w:color="auto" w:fill="auto"/>
            <w:noWrap/>
            <w:vAlign w:val="center"/>
            <w:hideMark/>
          </w:tcPr>
          <w:p w14:paraId="5887FEB0"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74428817"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728 247,66</w:t>
            </w:r>
          </w:p>
        </w:tc>
        <w:tc>
          <w:tcPr>
            <w:tcW w:w="1559" w:type="dxa"/>
            <w:tcBorders>
              <w:top w:val="nil"/>
              <w:left w:val="nil"/>
              <w:bottom w:val="single" w:sz="4" w:space="0" w:color="auto"/>
              <w:right w:val="single" w:sz="4" w:space="0" w:color="auto"/>
            </w:tcBorders>
            <w:shd w:val="clear" w:color="auto" w:fill="auto"/>
            <w:noWrap/>
            <w:vAlign w:val="bottom"/>
            <w:hideMark/>
          </w:tcPr>
          <w:p w14:paraId="376BD89C"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485 397,00</w:t>
            </w:r>
          </w:p>
        </w:tc>
        <w:tc>
          <w:tcPr>
            <w:tcW w:w="1134" w:type="dxa"/>
            <w:tcBorders>
              <w:top w:val="nil"/>
              <w:left w:val="nil"/>
              <w:bottom w:val="single" w:sz="4" w:space="0" w:color="auto"/>
              <w:right w:val="single" w:sz="8" w:space="0" w:color="auto"/>
            </w:tcBorders>
            <w:shd w:val="clear" w:color="auto" w:fill="auto"/>
            <w:noWrap/>
            <w:vAlign w:val="bottom"/>
            <w:hideMark/>
          </w:tcPr>
          <w:p w14:paraId="3F61B50F"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66,7</w:t>
            </w:r>
          </w:p>
        </w:tc>
      </w:tr>
      <w:tr w:rsidR="0072554E" w:rsidRPr="0072554E" w14:paraId="61FEF5CE" w14:textId="77777777" w:rsidTr="009E7CFC">
        <w:trPr>
          <w:trHeight w:val="1040"/>
        </w:trPr>
        <w:tc>
          <w:tcPr>
            <w:tcW w:w="851" w:type="dxa"/>
            <w:tcBorders>
              <w:top w:val="single" w:sz="8" w:space="0" w:color="auto"/>
              <w:left w:val="single" w:sz="8" w:space="0" w:color="auto"/>
              <w:bottom w:val="nil"/>
              <w:right w:val="single" w:sz="4" w:space="0" w:color="auto"/>
            </w:tcBorders>
            <w:shd w:val="clear" w:color="auto" w:fill="auto"/>
            <w:noWrap/>
            <w:vAlign w:val="center"/>
            <w:hideMark/>
          </w:tcPr>
          <w:p w14:paraId="1E6B7D04"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 </w:t>
            </w:r>
          </w:p>
        </w:tc>
        <w:tc>
          <w:tcPr>
            <w:tcW w:w="4235" w:type="dxa"/>
            <w:tcBorders>
              <w:top w:val="nil"/>
              <w:left w:val="nil"/>
              <w:bottom w:val="single" w:sz="4" w:space="0" w:color="auto"/>
              <w:right w:val="single" w:sz="4" w:space="0" w:color="auto"/>
            </w:tcBorders>
            <w:shd w:val="clear" w:color="auto" w:fill="auto"/>
            <w:vAlign w:val="bottom"/>
            <w:hideMark/>
          </w:tcPr>
          <w:p w14:paraId="1CA7B70E" w14:textId="77777777" w:rsidR="0072554E" w:rsidRPr="0072554E" w:rsidRDefault="0072554E" w:rsidP="0072554E">
            <w:pPr>
              <w:spacing w:after="0" w:line="240" w:lineRule="auto"/>
              <w:rPr>
                <w:rFonts w:ascii="Calibri" w:eastAsia="Times New Roman" w:hAnsi="Calibri" w:cs="Arial"/>
                <w:sz w:val="20"/>
                <w:szCs w:val="20"/>
                <w:lang w:eastAsia="cs-CZ"/>
              </w:rPr>
            </w:pPr>
            <w:r w:rsidRPr="0072554E">
              <w:rPr>
                <w:rFonts w:ascii="Calibri" w:eastAsia="Times New Roman" w:hAnsi="Calibri" w:cs="Arial"/>
                <w:sz w:val="20"/>
                <w:szCs w:val="20"/>
                <w:lang w:eastAsia="cs-CZ"/>
              </w:rPr>
              <w:t>Státní fond životního prostředí ČR- inv., neinv., Výměna zdrojů tepla na pevná paliva v rodinných domech SK 2017 – 2019, ÚZ 15011, 15974 – I. Výzva</w:t>
            </w:r>
          </w:p>
        </w:tc>
        <w:tc>
          <w:tcPr>
            <w:tcW w:w="1293" w:type="dxa"/>
            <w:tcBorders>
              <w:top w:val="nil"/>
              <w:left w:val="nil"/>
              <w:bottom w:val="single" w:sz="4" w:space="0" w:color="auto"/>
              <w:right w:val="single" w:sz="4" w:space="0" w:color="auto"/>
            </w:tcBorders>
            <w:shd w:val="clear" w:color="auto" w:fill="auto"/>
            <w:noWrap/>
            <w:vAlign w:val="bottom"/>
            <w:hideMark/>
          </w:tcPr>
          <w:p w14:paraId="69265B31"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7F854F19"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100 197,00</w:t>
            </w:r>
          </w:p>
        </w:tc>
        <w:tc>
          <w:tcPr>
            <w:tcW w:w="1559" w:type="dxa"/>
            <w:tcBorders>
              <w:top w:val="nil"/>
              <w:left w:val="nil"/>
              <w:bottom w:val="single" w:sz="4" w:space="0" w:color="auto"/>
              <w:right w:val="single" w:sz="4" w:space="0" w:color="auto"/>
            </w:tcBorders>
            <w:shd w:val="clear" w:color="auto" w:fill="auto"/>
            <w:noWrap/>
            <w:vAlign w:val="bottom"/>
            <w:hideMark/>
          </w:tcPr>
          <w:p w14:paraId="38386C4A"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0,00</w:t>
            </w:r>
          </w:p>
        </w:tc>
        <w:tc>
          <w:tcPr>
            <w:tcW w:w="1134" w:type="dxa"/>
            <w:tcBorders>
              <w:top w:val="nil"/>
              <w:left w:val="nil"/>
              <w:bottom w:val="single" w:sz="4" w:space="0" w:color="auto"/>
              <w:right w:val="single" w:sz="8" w:space="0" w:color="auto"/>
            </w:tcBorders>
            <w:shd w:val="clear" w:color="auto" w:fill="auto"/>
            <w:noWrap/>
            <w:vAlign w:val="bottom"/>
            <w:hideMark/>
          </w:tcPr>
          <w:p w14:paraId="679F369C"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0,0</w:t>
            </w:r>
          </w:p>
        </w:tc>
      </w:tr>
      <w:tr w:rsidR="0072554E" w:rsidRPr="0072554E" w14:paraId="5BAC342D" w14:textId="77777777" w:rsidTr="009E7CFC">
        <w:trPr>
          <w:trHeight w:val="1040"/>
        </w:trPr>
        <w:tc>
          <w:tcPr>
            <w:tcW w:w="851" w:type="dxa"/>
            <w:tcBorders>
              <w:top w:val="nil"/>
              <w:left w:val="single" w:sz="8" w:space="0" w:color="auto"/>
              <w:bottom w:val="single" w:sz="4" w:space="0" w:color="auto"/>
              <w:right w:val="single" w:sz="4" w:space="0" w:color="auto"/>
            </w:tcBorders>
            <w:shd w:val="clear" w:color="auto" w:fill="auto"/>
            <w:noWrap/>
            <w:vAlign w:val="center"/>
            <w:hideMark/>
          </w:tcPr>
          <w:p w14:paraId="0D28D8B3"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 </w:t>
            </w:r>
          </w:p>
        </w:tc>
        <w:tc>
          <w:tcPr>
            <w:tcW w:w="4235" w:type="dxa"/>
            <w:tcBorders>
              <w:top w:val="nil"/>
              <w:left w:val="nil"/>
              <w:bottom w:val="single" w:sz="4" w:space="0" w:color="auto"/>
              <w:right w:val="single" w:sz="4" w:space="0" w:color="auto"/>
            </w:tcBorders>
            <w:shd w:val="clear" w:color="auto" w:fill="auto"/>
            <w:vAlign w:val="bottom"/>
            <w:hideMark/>
          </w:tcPr>
          <w:p w14:paraId="730DFDFA" w14:textId="77777777" w:rsidR="0072554E" w:rsidRPr="0072554E" w:rsidRDefault="0072554E" w:rsidP="0072554E">
            <w:pPr>
              <w:spacing w:after="0" w:line="240" w:lineRule="auto"/>
              <w:rPr>
                <w:rFonts w:ascii="Calibri" w:eastAsia="Times New Roman" w:hAnsi="Calibri" w:cs="Arial"/>
                <w:sz w:val="20"/>
                <w:szCs w:val="20"/>
                <w:lang w:eastAsia="cs-CZ"/>
              </w:rPr>
            </w:pPr>
            <w:r w:rsidRPr="0072554E">
              <w:rPr>
                <w:rFonts w:ascii="Calibri" w:eastAsia="Times New Roman" w:hAnsi="Calibri" w:cs="Arial"/>
                <w:sz w:val="20"/>
                <w:szCs w:val="20"/>
                <w:lang w:eastAsia="cs-CZ"/>
              </w:rPr>
              <w:t>Státní fond životního prostředí ČR- inv., neinv., Výměna zdrojů tepla na pevná paliva v rodinných domech SK 2017 – 2019, ÚZ 15011, 15974 – II. Výzva</w:t>
            </w:r>
          </w:p>
        </w:tc>
        <w:tc>
          <w:tcPr>
            <w:tcW w:w="1293" w:type="dxa"/>
            <w:tcBorders>
              <w:top w:val="nil"/>
              <w:left w:val="nil"/>
              <w:bottom w:val="single" w:sz="4" w:space="0" w:color="auto"/>
              <w:right w:val="single" w:sz="4" w:space="0" w:color="auto"/>
            </w:tcBorders>
            <w:shd w:val="clear" w:color="auto" w:fill="auto"/>
            <w:noWrap/>
            <w:vAlign w:val="bottom"/>
            <w:hideMark/>
          </w:tcPr>
          <w:p w14:paraId="7AD54D70"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6408B7FF"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120 000,00</w:t>
            </w:r>
          </w:p>
        </w:tc>
        <w:tc>
          <w:tcPr>
            <w:tcW w:w="1559" w:type="dxa"/>
            <w:tcBorders>
              <w:top w:val="nil"/>
              <w:left w:val="nil"/>
              <w:bottom w:val="single" w:sz="4" w:space="0" w:color="auto"/>
              <w:right w:val="single" w:sz="4" w:space="0" w:color="auto"/>
            </w:tcBorders>
            <w:shd w:val="clear" w:color="auto" w:fill="auto"/>
            <w:noWrap/>
            <w:vAlign w:val="bottom"/>
            <w:hideMark/>
          </w:tcPr>
          <w:p w14:paraId="3D87AAA5"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120 000,00</w:t>
            </w:r>
          </w:p>
        </w:tc>
        <w:tc>
          <w:tcPr>
            <w:tcW w:w="1134" w:type="dxa"/>
            <w:tcBorders>
              <w:top w:val="nil"/>
              <w:left w:val="nil"/>
              <w:bottom w:val="single" w:sz="4" w:space="0" w:color="auto"/>
              <w:right w:val="single" w:sz="8" w:space="0" w:color="auto"/>
            </w:tcBorders>
            <w:shd w:val="clear" w:color="auto" w:fill="auto"/>
            <w:noWrap/>
            <w:vAlign w:val="bottom"/>
            <w:hideMark/>
          </w:tcPr>
          <w:p w14:paraId="18AA6332"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100,0</w:t>
            </w:r>
          </w:p>
        </w:tc>
      </w:tr>
      <w:tr w:rsidR="0072554E" w:rsidRPr="0072554E" w14:paraId="43ABDC42" w14:textId="77777777" w:rsidTr="009E7CFC">
        <w:trPr>
          <w:trHeight w:val="1040"/>
        </w:trPr>
        <w:tc>
          <w:tcPr>
            <w:tcW w:w="851" w:type="dxa"/>
            <w:tcBorders>
              <w:top w:val="single" w:sz="4" w:space="0" w:color="auto"/>
              <w:left w:val="single" w:sz="8" w:space="0" w:color="auto"/>
              <w:bottom w:val="single" w:sz="4" w:space="0" w:color="auto"/>
              <w:right w:val="single" w:sz="4" w:space="0" w:color="auto"/>
            </w:tcBorders>
            <w:shd w:val="clear" w:color="auto" w:fill="auto"/>
            <w:vAlign w:val="bottom"/>
            <w:hideMark/>
          </w:tcPr>
          <w:p w14:paraId="785A9955"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3713</w:t>
            </w:r>
          </w:p>
        </w:tc>
        <w:tc>
          <w:tcPr>
            <w:tcW w:w="4235" w:type="dxa"/>
            <w:tcBorders>
              <w:top w:val="nil"/>
              <w:left w:val="nil"/>
              <w:bottom w:val="single" w:sz="4" w:space="0" w:color="auto"/>
              <w:right w:val="single" w:sz="4" w:space="0" w:color="auto"/>
            </w:tcBorders>
            <w:shd w:val="clear" w:color="auto" w:fill="auto"/>
            <w:vAlign w:val="bottom"/>
            <w:hideMark/>
          </w:tcPr>
          <w:p w14:paraId="46B93CCD" w14:textId="77777777" w:rsidR="0072554E" w:rsidRPr="0072554E" w:rsidRDefault="0072554E" w:rsidP="0072554E">
            <w:pPr>
              <w:spacing w:after="0" w:line="240" w:lineRule="auto"/>
              <w:rPr>
                <w:rFonts w:ascii="Calibri" w:eastAsia="Times New Roman" w:hAnsi="Calibri" w:cs="Arial"/>
                <w:sz w:val="20"/>
                <w:szCs w:val="20"/>
                <w:lang w:eastAsia="cs-CZ"/>
              </w:rPr>
            </w:pPr>
            <w:r w:rsidRPr="0072554E">
              <w:rPr>
                <w:rFonts w:ascii="Calibri" w:eastAsia="Times New Roman" w:hAnsi="Calibri" w:cs="Arial"/>
                <w:sz w:val="20"/>
                <w:szCs w:val="20"/>
                <w:lang w:eastAsia="cs-CZ"/>
              </w:rPr>
              <w:t>Státní fond životního prostředí ČR- inv., neinv., Výměna zdrojů tepla na pevná paliva v rodinných domech SK 2019 – 2023, ÚZ 15011, 15974 – III. Výzva</w:t>
            </w:r>
          </w:p>
        </w:tc>
        <w:tc>
          <w:tcPr>
            <w:tcW w:w="1293" w:type="dxa"/>
            <w:tcBorders>
              <w:top w:val="nil"/>
              <w:left w:val="nil"/>
              <w:bottom w:val="single" w:sz="4" w:space="0" w:color="auto"/>
              <w:right w:val="single" w:sz="4" w:space="0" w:color="auto"/>
            </w:tcBorders>
            <w:shd w:val="clear" w:color="auto" w:fill="auto"/>
            <w:noWrap/>
            <w:vAlign w:val="bottom"/>
            <w:hideMark/>
          </w:tcPr>
          <w:p w14:paraId="4B5E661B"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7F7FE748"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369 230 213,52</w:t>
            </w:r>
          </w:p>
        </w:tc>
        <w:tc>
          <w:tcPr>
            <w:tcW w:w="1559" w:type="dxa"/>
            <w:tcBorders>
              <w:top w:val="nil"/>
              <w:left w:val="nil"/>
              <w:bottom w:val="single" w:sz="4" w:space="0" w:color="auto"/>
              <w:right w:val="single" w:sz="4" w:space="0" w:color="auto"/>
            </w:tcBorders>
            <w:shd w:val="clear" w:color="auto" w:fill="auto"/>
            <w:noWrap/>
            <w:vAlign w:val="bottom"/>
            <w:hideMark/>
          </w:tcPr>
          <w:p w14:paraId="68D8AE50"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185 740 439,28</w:t>
            </w:r>
          </w:p>
        </w:tc>
        <w:tc>
          <w:tcPr>
            <w:tcW w:w="1134" w:type="dxa"/>
            <w:tcBorders>
              <w:top w:val="nil"/>
              <w:left w:val="nil"/>
              <w:bottom w:val="single" w:sz="4" w:space="0" w:color="auto"/>
              <w:right w:val="single" w:sz="8" w:space="0" w:color="auto"/>
            </w:tcBorders>
            <w:shd w:val="clear" w:color="auto" w:fill="auto"/>
            <w:noWrap/>
            <w:vAlign w:val="bottom"/>
            <w:hideMark/>
          </w:tcPr>
          <w:p w14:paraId="5BA42853"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50,3</w:t>
            </w:r>
          </w:p>
        </w:tc>
      </w:tr>
      <w:tr w:rsidR="0072554E" w:rsidRPr="0072554E" w14:paraId="4885A3E9" w14:textId="77777777" w:rsidTr="009E7CFC">
        <w:trPr>
          <w:trHeight w:val="780"/>
        </w:trPr>
        <w:tc>
          <w:tcPr>
            <w:tcW w:w="851" w:type="dxa"/>
            <w:tcBorders>
              <w:top w:val="nil"/>
              <w:left w:val="single" w:sz="8" w:space="0" w:color="auto"/>
              <w:bottom w:val="single" w:sz="4" w:space="0" w:color="auto"/>
              <w:right w:val="single" w:sz="4" w:space="0" w:color="auto"/>
            </w:tcBorders>
            <w:shd w:val="clear" w:color="auto" w:fill="auto"/>
            <w:vAlign w:val="bottom"/>
            <w:hideMark/>
          </w:tcPr>
          <w:p w14:paraId="332D9D3B"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3713</w:t>
            </w:r>
          </w:p>
        </w:tc>
        <w:tc>
          <w:tcPr>
            <w:tcW w:w="4235" w:type="dxa"/>
            <w:tcBorders>
              <w:top w:val="nil"/>
              <w:left w:val="nil"/>
              <w:bottom w:val="single" w:sz="4" w:space="0" w:color="auto"/>
              <w:right w:val="single" w:sz="4" w:space="0" w:color="auto"/>
            </w:tcBorders>
            <w:shd w:val="clear" w:color="auto" w:fill="auto"/>
            <w:vAlign w:val="bottom"/>
            <w:hideMark/>
          </w:tcPr>
          <w:p w14:paraId="77F59E52" w14:textId="233B4BA8" w:rsidR="0072554E" w:rsidRPr="0072554E" w:rsidRDefault="0072554E" w:rsidP="0072554E">
            <w:pPr>
              <w:spacing w:after="0" w:line="240" w:lineRule="auto"/>
              <w:rPr>
                <w:rFonts w:ascii="Calibri" w:eastAsia="Times New Roman" w:hAnsi="Calibri" w:cs="Arial"/>
                <w:sz w:val="20"/>
                <w:szCs w:val="20"/>
                <w:lang w:eastAsia="cs-CZ"/>
              </w:rPr>
            </w:pPr>
            <w:r w:rsidRPr="0072554E">
              <w:rPr>
                <w:rFonts w:ascii="Calibri" w:eastAsia="Times New Roman" w:hAnsi="Calibri" w:cs="Arial"/>
                <w:sz w:val="20"/>
                <w:szCs w:val="20"/>
                <w:lang w:eastAsia="cs-CZ"/>
              </w:rPr>
              <w:t>N</w:t>
            </w:r>
            <w:r w:rsidR="00E42688">
              <w:rPr>
                <w:rFonts w:ascii="Calibri" w:eastAsia="Times New Roman" w:hAnsi="Calibri" w:cs="Arial"/>
                <w:sz w:val="20"/>
                <w:szCs w:val="20"/>
                <w:lang w:eastAsia="cs-CZ"/>
              </w:rPr>
              <w:t>ová zelená úsporám</w:t>
            </w:r>
            <w:r w:rsidRPr="0072554E">
              <w:rPr>
                <w:rFonts w:ascii="Calibri" w:eastAsia="Times New Roman" w:hAnsi="Calibri" w:cs="Arial"/>
                <w:sz w:val="20"/>
                <w:szCs w:val="20"/>
                <w:lang w:eastAsia="cs-CZ"/>
              </w:rPr>
              <w:t xml:space="preserve"> - Výměna zdrojů tepla na pevná paliva v rodinných domech SK 2019-2023  - zásobník</w:t>
            </w:r>
            <w:r w:rsidR="00E42688">
              <w:rPr>
                <w:rFonts w:ascii="Calibri" w:eastAsia="Times New Roman" w:hAnsi="Calibri" w:cs="Arial"/>
                <w:sz w:val="20"/>
                <w:szCs w:val="20"/>
                <w:lang w:eastAsia="cs-CZ"/>
              </w:rPr>
              <w:t xml:space="preserve"> schválených žádostí dílčích projektů</w:t>
            </w:r>
            <w:r w:rsidRPr="0072554E">
              <w:rPr>
                <w:rFonts w:ascii="Calibri" w:eastAsia="Times New Roman" w:hAnsi="Calibri" w:cs="Arial"/>
                <w:sz w:val="20"/>
                <w:szCs w:val="20"/>
                <w:lang w:eastAsia="cs-CZ"/>
              </w:rPr>
              <w:t>, ÚZ 15972</w:t>
            </w:r>
          </w:p>
        </w:tc>
        <w:tc>
          <w:tcPr>
            <w:tcW w:w="1293" w:type="dxa"/>
            <w:tcBorders>
              <w:top w:val="nil"/>
              <w:left w:val="nil"/>
              <w:bottom w:val="single" w:sz="4" w:space="0" w:color="auto"/>
              <w:right w:val="single" w:sz="4" w:space="0" w:color="auto"/>
            </w:tcBorders>
            <w:shd w:val="clear" w:color="auto" w:fill="auto"/>
            <w:noWrap/>
            <w:vAlign w:val="bottom"/>
            <w:hideMark/>
          </w:tcPr>
          <w:p w14:paraId="24C7B158"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1BEB32B2"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201 218 038,45</w:t>
            </w:r>
          </w:p>
        </w:tc>
        <w:tc>
          <w:tcPr>
            <w:tcW w:w="1559" w:type="dxa"/>
            <w:tcBorders>
              <w:top w:val="nil"/>
              <w:left w:val="nil"/>
              <w:bottom w:val="single" w:sz="4" w:space="0" w:color="auto"/>
              <w:right w:val="single" w:sz="4" w:space="0" w:color="auto"/>
            </w:tcBorders>
            <w:shd w:val="clear" w:color="auto" w:fill="auto"/>
            <w:noWrap/>
            <w:vAlign w:val="bottom"/>
            <w:hideMark/>
          </w:tcPr>
          <w:p w14:paraId="29049335"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168 345 843,10</w:t>
            </w:r>
          </w:p>
        </w:tc>
        <w:tc>
          <w:tcPr>
            <w:tcW w:w="1134" w:type="dxa"/>
            <w:tcBorders>
              <w:top w:val="nil"/>
              <w:left w:val="nil"/>
              <w:bottom w:val="single" w:sz="4" w:space="0" w:color="auto"/>
              <w:right w:val="single" w:sz="8" w:space="0" w:color="auto"/>
            </w:tcBorders>
            <w:shd w:val="clear" w:color="auto" w:fill="auto"/>
            <w:noWrap/>
            <w:vAlign w:val="bottom"/>
            <w:hideMark/>
          </w:tcPr>
          <w:p w14:paraId="2F90291A"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83,7</w:t>
            </w:r>
          </w:p>
        </w:tc>
      </w:tr>
      <w:tr w:rsidR="0072554E" w:rsidRPr="0072554E" w14:paraId="455A8181" w14:textId="77777777" w:rsidTr="009E7CFC">
        <w:trPr>
          <w:trHeight w:val="300"/>
        </w:trPr>
        <w:tc>
          <w:tcPr>
            <w:tcW w:w="851" w:type="dxa"/>
            <w:tcBorders>
              <w:top w:val="nil"/>
              <w:left w:val="single" w:sz="8" w:space="0" w:color="auto"/>
              <w:bottom w:val="nil"/>
              <w:right w:val="single" w:sz="4" w:space="0" w:color="auto"/>
            </w:tcBorders>
            <w:shd w:val="clear" w:color="auto" w:fill="auto"/>
            <w:vAlign w:val="center"/>
            <w:hideMark/>
          </w:tcPr>
          <w:p w14:paraId="49EDF6D6"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4341</w:t>
            </w:r>
          </w:p>
        </w:tc>
        <w:tc>
          <w:tcPr>
            <w:tcW w:w="4235" w:type="dxa"/>
            <w:tcBorders>
              <w:top w:val="nil"/>
              <w:left w:val="nil"/>
              <w:bottom w:val="single" w:sz="4" w:space="0" w:color="auto"/>
              <w:right w:val="single" w:sz="4" w:space="0" w:color="auto"/>
            </w:tcBorders>
            <w:shd w:val="clear" w:color="auto" w:fill="auto"/>
            <w:vAlign w:val="bottom"/>
            <w:hideMark/>
          </w:tcPr>
          <w:p w14:paraId="49235DBD" w14:textId="77777777" w:rsidR="0072554E" w:rsidRPr="0072554E" w:rsidRDefault="0072554E" w:rsidP="0072554E">
            <w:pPr>
              <w:spacing w:after="0" w:line="240" w:lineRule="auto"/>
              <w:rPr>
                <w:rFonts w:ascii="Calibri" w:eastAsia="Times New Roman" w:hAnsi="Calibri" w:cs="Arial"/>
                <w:sz w:val="20"/>
                <w:szCs w:val="20"/>
                <w:lang w:eastAsia="cs-CZ"/>
              </w:rPr>
            </w:pPr>
            <w:r w:rsidRPr="0072554E">
              <w:rPr>
                <w:rFonts w:ascii="Calibri" w:eastAsia="Times New Roman" w:hAnsi="Calibri" w:cs="Arial"/>
                <w:sz w:val="20"/>
                <w:szCs w:val="20"/>
                <w:lang w:eastAsia="cs-CZ"/>
              </w:rPr>
              <w:t>Obědy do škol ve SK II</w:t>
            </w:r>
          </w:p>
        </w:tc>
        <w:tc>
          <w:tcPr>
            <w:tcW w:w="1293" w:type="dxa"/>
            <w:tcBorders>
              <w:top w:val="nil"/>
              <w:left w:val="nil"/>
              <w:bottom w:val="single" w:sz="4" w:space="0" w:color="auto"/>
              <w:right w:val="single" w:sz="4" w:space="0" w:color="auto"/>
            </w:tcBorders>
            <w:shd w:val="clear" w:color="auto" w:fill="auto"/>
            <w:noWrap/>
            <w:vAlign w:val="bottom"/>
            <w:hideMark/>
          </w:tcPr>
          <w:p w14:paraId="6CCFE802"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7F049872"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358,05</w:t>
            </w:r>
          </w:p>
        </w:tc>
        <w:tc>
          <w:tcPr>
            <w:tcW w:w="1559" w:type="dxa"/>
            <w:tcBorders>
              <w:top w:val="nil"/>
              <w:left w:val="nil"/>
              <w:bottom w:val="single" w:sz="4" w:space="0" w:color="auto"/>
              <w:right w:val="single" w:sz="4" w:space="0" w:color="auto"/>
            </w:tcBorders>
            <w:shd w:val="clear" w:color="auto" w:fill="auto"/>
            <w:noWrap/>
            <w:vAlign w:val="bottom"/>
            <w:hideMark/>
          </w:tcPr>
          <w:p w14:paraId="6E595A34"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358,05</w:t>
            </w:r>
          </w:p>
        </w:tc>
        <w:tc>
          <w:tcPr>
            <w:tcW w:w="1134" w:type="dxa"/>
            <w:tcBorders>
              <w:top w:val="nil"/>
              <w:left w:val="nil"/>
              <w:bottom w:val="single" w:sz="4" w:space="0" w:color="auto"/>
              <w:right w:val="single" w:sz="8" w:space="0" w:color="auto"/>
            </w:tcBorders>
            <w:shd w:val="clear" w:color="auto" w:fill="auto"/>
            <w:noWrap/>
            <w:vAlign w:val="bottom"/>
            <w:hideMark/>
          </w:tcPr>
          <w:p w14:paraId="74E6626A"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100,0</w:t>
            </w:r>
          </w:p>
        </w:tc>
      </w:tr>
      <w:tr w:rsidR="0072554E" w:rsidRPr="0072554E" w14:paraId="36D88D92" w14:textId="77777777" w:rsidTr="009E7CFC">
        <w:trPr>
          <w:trHeight w:val="300"/>
        </w:trPr>
        <w:tc>
          <w:tcPr>
            <w:tcW w:w="851" w:type="dxa"/>
            <w:tcBorders>
              <w:top w:val="single" w:sz="4" w:space="0" w:color="auto"/>
              <w:left w:val="single" w:sz="8" w:space="0" w:color="auto"/>
              <w:bottom w:val="nil"/>
              <w:right w:val="single" w:sz="4" w:space="0" w:color="auto"/>
            </w:tcBorders>
            <w:shd w:val="clear" w:color="auto" w:fill="auto"/>
            <w:vAlign w:val="center"/>
            <w:hideMark/>
          </w:tcPr>
          <w:p w14:paraId="3C271B96"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4341</w:t>
            </w:r>
          </w:p>
        </w:tc>
        <w:tc>
          <w:tcPr>
            <w:tcW w:w="4235" w:type="dxa"/>
            <w:tcBorders>
              <w:top w:val="nil"/>
              <w:left w:val="nil"/>
              <w:bottom w:val="single" w:sz="4" w:space="0" w:color="auto"/>
              <w:right w:val="single" w:sz="4" w:space="0" w:color="auto"/>
            </w:tcBorders>
            <w:shd w:val="clear" w:color="auto" w:fill="auto"/>
            <w:vAlign w:val="bottom"/>
            <w:hideMark/>
          </w:tcPr>
          <w:p w14:paraId="435A2EA5" w14:textId="77777777" w:rsidR="0072554E" w:rsidRPr="0072554E" w:rsidRDefault="0072554E" w:rsidP="0072554E">
            <w:pPr>
              <w:spacing w:after="0" w:line="240" w:lineRule="auto"/>
              <w:rPr>
                <w:rFonts w:ascii="Calibri" w:eastAsia="Times New Roman" w:hAnsi="Calibri" w:cs="Arial"/>
                <w:sz w:val="20"/>
                <w:szCs w:val="20"/>
                <w:lang w:eastAsia="cs-CZ"/>
              </w:rPr>
            </w:pPr>
            <w:r w:rsidRPr="0072554E">
              <w:rPr>
                <w:rFonts w:ascii="Calibri" w:eastAsia="Times New Roman" w:hAnsi="Calibri" w:cs="Arial"/>
                <w:sz w:val="20"/>
                <w:szCs w:val="20"/>
                <w:lang w:eastAsia="cs-CZ"/>
              </w:rPr>
              <w:t>Obědy do škol ve SK IV</w:t>
            </w:r>
          </w:p>
        </w:tc>
        <w:tc>
          <w:tcPr>
            <w:tcW w:w="1293" w:type="dxa"/>
            <w:tcBorders>
              <w:top w:val="nil"/>
              <w:left w:val="nil"/>
              <w:bottom w:val="single" w:sz="4" w:space="0" w:color="auto"/>
              <w:right w:val="single" w:sz="4" w:space="0" w:color="auto"/>
            </w:tcBorders>
            <w:shd w:val="clear" w:color="auto" w:fill="auto"/>
            <w:noWrap/>
            <w:vAlign w:val="bottom"/>
            <w:hideMark/>
          </w:tcPr>
          <w:p w14:paraId="75BC5205"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54A3811A"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7 144 018,27</w:t>
            </w:r>
          </w:p>
        </w:tc>
        <w:tc>
          <w:tcPr>
            <w:tcW w:w="1559" w:type="dxa"/>
            <w:tcBorders>
              <w:top w:val="nil"/>
              <w:left w:val="nil"/>
              <w:bottom w:val="single" w:sz="4" w:space="0" w:color="auto"/>
              <w:right w:val="single" w:sz="4" w:space="0" w:color="auto"/>
            </w:tcBorders>
            <w:shd w:val="clear" w:color="auto" w:fill="auto"/>
            <w:noWrap/>
            <w:vAlign w:val="bottom"/>
            <w:hideMark/>
          </w:tcPr>
          <w:p w14:paraId="1F9CA2E1"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7 117 647,52</w:t>
            </w:r>
          </w:p>
        </w:tc>
        <w:tc>
          <w:tcPr>
            <w:tcW w:w="1134" w:type="dxa"/>
            <w:tcBorders>
              <w:top w:val="nil"/>
              <w:left w:val="nil"/>
              <w:bottom w:val="single" w:sz="4" w:space="0" w:color="auto"/>
              <w:right w:val="single" w:sz="8" w:space="0" w:color="auto"/>
            </w:tcBorders>
            <w:shd w:val="clear" w:color="auto" w:fill="auto"/>
            <w:noWrap/>
            <w:vAlign w:val="bottom"/>
            <w:hideMark/>
          </w:tcPr>
          <w:p w14:paraId="572162CF"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99,6</w:t>
            </w:r>
          </w:p>
        </w:tc>
      </w:tr>
      <w:tr w:rsidR="0072554E" w:rsidRPr="0072554E" w14:paraId="1CD34629" w14:textId="77777777" w:rsidTr="009E7CFC">
        <w:trPr>
          <w:trHeight w:val="300"/>
        </w:trPr>
        <w:tc>
          <w:tcPr>
            <w:tcW w:w="851" w:type="dxa"/>
            <w:tcBorders>
              <w:top w:val="single" w:sz="4" w:space="0" w:color="auto"/>
              <w:left w:val="single" w:sz="8" w:space="0" w:color="auto"/>
              <w:bottom w:val="nil"/>
              <w:right w:val="single" w:sz="4" w:space="0" w:color="auto"/>
            </w:tcBorders>
            <w:shd w:val="clear" w:color="auto" w:fill="auto"/>
            <w:vAlign w:val="center"/>
            <w:hideMark/>
          </w:tcPr>
          <w:p w14:paraId="2CBBE2DF"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4341</w:t>
            </w:r>
          </w:p>
        </w:tc>
        <w:tc>
          <w:tcPr>
            <w:tcW w:w="4235" w:type="dxa"/>
            <w:tcBorders>
              <w:top w:val="nil"/>
              <w:left w:val="nil"/>
              <w:bottom w:val="single" w:sz="4" w:space="0" w:color="auto"/>
              <w:right w:val="single" w:sz="4" w:space="0" w:color="auto"/>
            </w:tcBorders>
            <w:shd w:val="clear" w:color="auto" w:fill="auto"/>
            <w:vAlign w:val="bottom"/>
            <w:hideMark/>
          </w:tcPr>
          <w:p w14:paraId="3EFB4DC4" w14:textId="77777777" w:rsidR="0072554E" w:rsidRPr="0072554E" w:rsidRDefault="0072554E" w:rsidP="0072554E">
            <w:pPr>
              <w:spacing w:after="0" w:line="240" w:lineRule="auto"/>
              <w:rPr>
                <w:rFonts w:ascii="Calibri" w:eastAsia="Times New Roman" w:hAnsi="Calibri" w:cs="Arial"/>
                <w:sz w:val="20"/>
                <w:szCs w:val="20"/>
                <w:lang w:eastAsia="cs-CZ"/>
              </w:rPr>
            </w:pPr>
            <w:r w:rsidRPr="0072554E">
              <w:rPr>
                <w:rFonts w:ascii="Calibri" w:eastAsia="Times New Roman" w:hAnsi="Calibri" w:cs="Arial"/>
                <w:sz w:val="20"/>
                <w:szCs w:val="20"/>
                <w:lang w:eastAsia="cs-CZ"/>
              </w:rPr>
              <w:t>Podpora administrace KP OP PMP pro rok 2021</w:t>
            </w:r>
          </w:p>
        </w:tc>
        <w:tc>
          <w:tcPr>
            <w:tcW w:w="1293" w:type="dxa"/>
            <w:tcBorders>
              <w:top w:val="nil"/>
              <w:left w:val="nil"/>
              <w:bottom w:val="single" w:sz="4" w:space="0" w:color="auto"/>
              <w:right w:val="single" w:sz="4" w:space="0" w:color="auto"/>
            </w:tcBorders>
            <w:shd w:val="clear" w:color="auto" w:fill="auto"/>
            <w:noWrap/>
            <w:vAlign w:val="bottom"/>
            <w:hideMark/>
          </w:tcPr>
          <w:p w14:paraId="49E3405A"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2E28A8F8"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220 000,00</w:t>
            </w:r>
          </w:p>
        </w:tc>
        <w:tc>
          <w:tcPr>
            <w:tcW w:w="1559" w:type="dxa"/>
            <w:tcBorders>
              <w:top w:val="nil"/>
              <w:left w:val="nil"/>
              <w:bottom w:val="single" w:sz="4" w:space="0" w:color="auto"/>
              <w:right w:val="single" w:sz="4" w:space="0" w:color="auto"/>
            </w:tcBorders>
            <w:shd w:val="clear" w:color="auto" w:fill="auto"/>
            <w:noWrap/>
            <w:vAlign w:val="bottom"/>
            <w:hideMark/>
          </w:tcPr>
          <w:p w14:paraId="68E6F7A0"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220 000,00</w:t>
            </w:r>
          </w:p>
        </w:tc>
        <w:tc>
          <w:tcPr>
            <w:tcW w:w="1134" w:type="dxa"/>
            <w:tcBorders>
              <w:top w:val="nil"/>
              <w:left w:val="nil"/>
              <w:bottom w:val="single" w:sz="4" w:space="0" w:color="auto"/>
              <w:right w:val="single" w:sz="8" w:space="0" w:color="auto"/>
            </w:tcBorders>
            <w:shd w:val="clear" w:color="auto" w:fill="auto"/>
            <w:noWrap/>
            <w:vAlign w:val="bottom"/>
            <w:hideMark/>
          </w:tcPr>
          <w:p w14:paraId="7FB6A48A"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100,0</w:t>
            </w:r>
          </w:p>
        </w:tc>
      </w:tr>
      <w:tr w:rsidR="0072554E" w:rsidRPr="0072554E" w14:paraId="5147CA96" w14:textId="77777777" w:rsidTr="009E7CFC">
        <w:trPr>
          <w:trHeight w:val="1040"/>
        </w:trPr>
        <w:tc>
          <w:tcPr>
            <w:tcW w:w="851" w:type="dxa"/>
            <w:tcBorders>
              <w:top w:val="single" w:sz="4" w:space="0" w:color="auto"/>
              <w:left w:val="single" w:sz="8" w:space="0" w:color="auto"/>
              <w:bottom w:val="single" w:sz="4" w:space="0" w:color="auto"/>
              <w:right w:val="single" w:sz="4" w:space="0" w:color="auto"/>
            </w:tcBorders>
            <w:shd w:val="clear" w:color="auto" w:fill="auto"/>
            <w:vAlign w:val="bottom"/>
            <w:hideMark/>
          </w:tcPr>
          <w:p w14:paraId="70374877"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6402</w:t>
            </w:r>
          </w:p>
        </w:tc>
        <w:tc>
          <w:tcPr>
            <w:tcW w:w="4235" w:type="dxa"/>
            <w:tcBorders>
              <w:top w:val="nil"/>
              <w:left w:val="nil"/>
              <w:bottom w:val="single" w:sz="4" w:space="0" w:color="auto"/>
              <w:right w:val="single" w:sz="4" w:space="0" w:color="auto"/>
            </w:tcBorders>
            <w:shd w:val="clear" w:color="auto" w:fill="auto"/>
            <w:vAlign w:val="center"/>
            <w:hideMark/>
          </w:tcPr>
          <w:p w14:paraId="13E3F891" w14:textId="77777777" w:rsidR="0072554E" w:rsidRPr="0072554E" w:rsidRDefault="0072554E" w:rsidP="0072554E">
            <w:pPr>
              <w:spacing w:after="0" w:line="240" w:lineRule="auto"/>
              <w:rPr>
                <w:rFonts w:ascii="Calibri" w:eastAsia="Times New Roman" w:hAnsi="Calibri" w:cs="Arial"/>
                <w:sz w:val="20"/>
                <w:szCs w:val="20"/>
                <w:lang w:eastAsia="cs-CZ"/>
              </w:rPr>
            </w:pPr>
            <w:r w:rsidRPr="0072554E">
              <w:rPr>
                <w:rFonts w:ascii="Calibri" w:eastAsia="Times New Roman" w:hAnsi="Calibri" w:cs="Arial"/>
                <w:sz w:val="20"/>
                <w:szCs w:val="20"/>
                <w:lang w:eastAsia="cs-CZ"/>
              </w:rPr>
              <w:t>Státní fond životního prostředí ČR - inv., neinv., Výměna zdrojů tepla na pevná paliva v rodinných domech SK 2015-2018, ÚZ 15011, 15974 – I. Výzva - vratky MŽP</w:t>
            </w:r>
          </w:p>
        </w:tc>
        <w:tc>
          <w:tcPr>
            <w:tcW w:w="1293" w:type="dxa"/>
            <w:tcBorders>
              <w:top w:val="nil"/>
              <w:left w:val="nil"/>
              <w:bottom w:val="single" w:sz="4" w:space="0" w:color="auto"/>
              <w:right w:val="single" w:sz="4" w:space="0" w:color="auto"/>
            </w:tcBorders>
            <w:shd w:val="clear" w:color="auto" w:fill="auto"/>
            <w:noWrap/>
            <w:vAlign w:val="bottom"/>
            <w:hideMark/>
          </w:tcPr>
          <w:p w14:paraId="2BC3858E"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06E758E1"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4 650,00</w:t>
            </w:r>
          </w:p>
        </w:tc>
        <w:tc>
          <w:tcPr>
            <w:tcW w:w="1559" w:type="dxa"/>
            <w:tcBorders>
              <w:top w:val="nil"/>
              <w:left w:val="nil"/>
              <w:bottom w:val="single" w:sz="4" w:space="0" w:color="auto"/>
              <w:right w:val="single" w:sz="4" w:space="0" w:color="auto"/>
            </w:tcBorders>
            <w:shd w:val="clear" w:color="auto" w:fill="auto"/>
            <w:noWrap/>
            <w:vAlign w:val="bottom"/>
            <w:hideMark/>
          </w:tcPr>
          <w:p w14:paraId="74495D5E"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4 650,00</w:t>
            </w:r>
          </w:p>
        </w:tc>
        <w:tc>
          <w:tcPr>
            <w:tcW w:w="1134" w:type="dxa"/>
            <w:tcBorders>
              <w:top w:val="nil"/>
              <w:left w:val="nil"/>
              <w:bottom w:val="single" w:sz="4" w:space="0" w:color="auto"/>
              <w:right w:val="single" w:sz="8" w:space="0" w:color="auto"/>
            </w:tcBorders>
            <w:shd w:val="clear" w:color="auto" w:fill="auto"/>
            <w:noWrap/>
            <w:vAlign w:val="bottom"/>
            <w:hideMark/>
          </w:tcPr>
          <w:p w14:paraId="3D8FD0BD"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100,0</w:t>
            </w:r>
          </w:p>
        </w:tc>
      </w:tr>
      <w:tr w:rsidR="0072554E" w:rsidRPr="0072554E" w14:paraId="07812174" w14:textId="77777777" w:rsidTr="009E7CFC">
        <w:trPr>
          <w:trHeight w:val="1040"/>
        </w:trPr>
        <w:tc>
          <w:tcPr>
            <w:tcW w:w="851" w:type="dxa"/>
            <w:tcBorders>
              <w:top w:val="nil"/>
              <w:left w:val="single" w:sz="8" w:space="0" w:color="auto"/>
              <w:bottom w:val="single" w:sz="4" w:space="0" w:color="auto"/>
              <w:right w:val="single" w:sz="4" w:space="0" w:color="auto"/>
            </w:tcBorders>
            <w:shd w:val="clear" w:color="auto" w:fill="auto"/>
            <w:vAlign w:val="bottom"/>
            <w:hideMark/>
          </w:tcPr>
          <w:p w14:paraId="4A33B3DC"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6402</w:t>
            </w:r>
          </w:p>
        </w:tc>
        <w:tc>
          <w:tcPr>
            <w:tcW w:w="4235" w:type="dxa"/>
            <w:tcBorders>
              <w:top w:val="nil"/>
              <w:left w:val="nil"/>
              <w:bottom w:val="single" w:sz="4" w:space="0" w:color="auto"/>
              <w:right w:val="single" w:sz="4" w:space="0" w:color="auto"/>
            </w:tcBorders>
            <w:shd w:val="clear" w:color="auto" w:fill="auto"/>
            <w:vAlign w:val="bottom"/>
            <w:hideMark/>
          </w:tcPr>
          <w:p w14:paraId="3C87D0D2" w14:textId="77777777" w:rsidR="0072554E" w:rsidRPr="0072554E" w:rsidRDefault="0072554E" w:rsidP="0072554E">
            <w:pPr>
              <w:spacing w:after="0" w:line="240" w:lineRule="auto"/>
              <w:rPr>
                <w:rFonts w:ascii="Calibri" w:eastAsia="Times New Roman" w:hAnsi="Calibri" w:cs="Arial"/>
                <w:sz w:val="20"/>
                <w:szCs w:val="20"/>
                <w:lang w:eastAsia="cs-CZ"/>
              </w:rPr>
            </w:pPr>
            <w:r w:rsidRPr="0072554E">
              <w:rPr>
                <w:rFonts w:ascii="Calibri" w:eastAsia="Times New Roman" w:hAnsi="Calibri" w:cs="Arial"/>
                <w:sz w:val="20"/>
                <w:szCs w:val="20"/>
                <w:lang w:eastAsia="cs-CZ"/>
              </w:rPr>
              <w:t>Státní fond životního prostředí ČR- inv., neinv., Výměna zdrojů tepla na pevná paliva v rodinných domech SK 2017 – 2019, ÚZ 15011, 15974 – II. Výzva - vratky MŽP</w:t>
            </w:r>
          </w:p>
        </w:tc>
        <w:tc>
          <w:tcPr>
            <w:tcW w:w="1293" w:type="dxa"/>
            <w:tcBorders>
              <w:top w:val="nil"/>
              <w:left w:val="nil"/>
              <w:bottom w:val="single" w:sz="4" w:space="0" w:color="auto"/>
              <w:right w:val="single" w:sz="4" w:space="0" w:color="auto"/>
            </w:tcBorders>
            <w:shd w:val="clear" w:color="auto" w:fill="auto"/>
            <w:noWrap/>
            <w:vAlign w:val="bottom"/>
            <w:hideMark/>
          </w:tcPr>
          <w:p w14:paraId="4162D038"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06DADC93"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24 849 014,75</w:t>
            </w:r>
          </w:p>
        </w:tc>
        <w:tc>
          <w:tcPr>
            <w:tcW w:w="1559" w:type="dxa"/>
            <w:tcBorders>
              <w:top w:val="nil"/>
              <w:left w:val="nil"/>
              <w:bottom w:val="single" w:sz="4" w:space="0" w:color="auto"/>
              <w:right w:val="single" w:sz="4" w:space="0" w:color="auto"/>
            </w:tcBorders>
            <w:shd w:val="clear" w:color="auto" w:fill="auto"/>
            <w:noWrap/>
            <w:vAlign w:val="bottom"/>
            <w:hideMark/>
          </w:tcPr>
          <w:p w14:paraId="154C99EB"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24 849 014,75</w:t>
            </w:r>
          </w:p>
        </w:tc>
        <w:tc>
          <w:tcPr>
            <w:tcW w:w="1134" w:type="dxa"/>
            <w:tcBorders>
              <w:top w:val="nil"/>
              <w:left w:val="nil"/>
              <w:bottom w:val="single" w:sz="4" w:space="0" w:color="auto"/>
              <w:right w:val="single" w:sz="8" w:space="0" w:color="auto"/>
            </w:tcBorders>
            <w:shd w:val="clear" w:color="auto" w:fill="auto"/>
            <w:noWrap/>
            <w:vAlign w:val="bottom"/>
            <w:hideMark/>
          </w:tcPr>
          <w:p w14:paraId="36B98DC9"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100,0</w:t>
            </w:r>
          </w:p>
        </w:tc>
      </w:tr>
      <w:tr w:rsidR="0072554E" w:rsidRPr="0072554E" w14:paraId="587CB53E" w14:textId="77777777" w:rsidTr="009E7CFC">
        <w:trPr>
          <w:trHeight w:val="290"/>
        </w:trPr>
        <w:tc>
          <w:tcPr>
            <w:tcW w:w="851" w:type="dxa"/>
            <w:tcBorders>
              <w:top w:val="nil"/>
              <w:left w:val="single" w:sz="8" w:space="0" w:color="auto"/>
              <w:bottom w:val="single" w:sz="4" w:space="0" w:color="auto"/>
              <w:right w:val="single" w:sz="4" w:space="0" w:color="auto"/>
            </w:tcBorders>
            <w:shd w:val="clear" w:color="auto" w:fill="auto"/>
            <w:vAlign w:val="bottom"/>
            <w:hideMark/>
          </w:tcPr>
          <w:p w14:paraId="7FED12EA"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6402</w:t>
            </w:r>
          </w:p>
        </w:tc>
        <w:tc>
          <w:tcPr>
            <w:tcW w:w="4235" w:type="dxa"/>
            <w:tcBorders>
              <w:top w:val="nil"/>
              <w:left w:val="nil"/>
              <w:bottom w:val="single" w:sz="4" w:space="0" w:color="auto"/>
              <w:right w:val="single" w:sz="4" w:space="0" w:color="auto"/>
            </w:tcBorders>
            <w:shd w:val="clear" w:color="auto" w:fill="auto"/>
            <w:vAlign w:val="center"/>
            <w:hideMark/>
          </w:tcPr>
          <w:p w14:paraId="44FB888E" w14:textId="77777777" w:rsidR="0072554E" w:rsidRPr="0072554E" w:rsidRDefault="0072554E" w:rsidP="0072554E">
            <w:pPr>
              <w:spacing w:after="0" w:line="240" w:lineRule="auto"/>
              <w:rPr>
                <w:rFonts w:ascii="Calibri" w:eastAsia="Times New Roman" w:hAnsi="Calibri" w:cs="Arial"/>
                <w:sz w:val="20"/>
                <w:szCs w:val="20"/>
                <w:lang w:eastAsia="cs-CZ"/>
              </w:rPr>
            </w:pPr>
            <w:r w:rsidRPr="0072554E">
              <w:rPr>
                <w:rFonts w:ascii="Calibri" w:eastAsia="Times New Roman" w:hAnsi="Calibri" w:cs="Arial"/>
                <w:sz w:val="20"/>
                <w:szCs w:val="20"/>
                <w:lang w:eastAsia="cs-CZ"/>
              </w:rPr>
              <w:t>Obědy do škol ve SK II - vratka zřizovateli (MPSV)</w:t>
            </w:r>
          </w:p>
        </w:tc>
        <w:tc>
          <w:tcPr>
            <w:tcW w:w="1293" w:type="dxa"/>
            <w:tcBorders>
              <w:top w:val="nil"/>
              <w:left w:val="nil"/>
              <w:bottom w:val="single" w:sz="4" w:space="0" w:color="auto"/>
              <w:right w:val="single" w:sz="4" w:space="0" w:color="auto"/>
            </w:tcBorders>
            <w:shd w:val="clear" w:color="auto" w:fill="auto"/>
            <w:noWrap/>
            <w:vAlign w:val="bottom"/>
            <w:hideMark/>
          </w:tcPr>
          <w:p w14:paraId="00B278A5"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59CB093D" w14:textId="77777777" w:rsidR="0072554E" w:rsidRPr="0072554E" w:rsidRDefault="0072554E" w:rsidP="0072554E">
            <w:pPr>
              <w:spacing w:after="0" w:line="240" w:lineRule="auto"/>
              <w:jc w:val="right"/>
              <w:rPr>
                <w:rFonts w:ascii="Calibri" w:eastAsia="Times New Roman" w:hAnsi="Calibri" w:cs="Arial"/>
                <w:lang w:eastAsia="cs-CZ"/>
              </w:rPr>
            </w:pPr>
            <w:r w:rsidRPr="0072554E">
              <w:rPr>
                <w:rFonts w:ascii="Calibri" w:eastAsia="Times New Roman" w:hAnsi="Calibri" w:cs="Arial"/>
                <w:lang w:eastAsia="cs-CZ"/>
              </w:rPr>
              <w:t>9 247 400,82</w:t>
            </w:r>
          </w:p>
        </w:tc>
        <w:tc>
          <w:tcPr>
            <w:tcW w:w="1559" w:type="dxa"/>
            <w:tcBorders>
              <w:top w:val="nil"/>
              <w:left w:val="nil"/>
              <w:bottom w:val="single" w:sz="4" w:space="0" w:color="auto"/>
              <w:right w:val="single" w:sz="4" w:space="0" w:color="auto"/>
            </w:tcBorders>
            <w:shd w:val="clear" w:color="auto" w:fill="auto"/>
            <w:noWrap/>
            <w:vAlign w:val="bottom"/>
            <w:hideMark/>
          </w:tcPr>
          <w:p w14:paraId="5D2E44F2" w14:textId="77777777" w:rsidR="0072554E" w:rsidRPr="0072554E" w:rsidRDefault="0072554E" w:rsidP="0072554E">
            <w:pPr>
              <w:spacing w:after="0" w:line="240" w:lineRule="auto"/>
              <w:jc w:val="right"/>
              <w:rPr>
                <w:rFonts w:ascii="Calibri" w:eastAsia="Times New Roman" w:hAnsi="Calibri" w:cs="Arial"/>
                <w:lang w:eastAsia="cs-CZ"/>
              </w:rPr>
            </w:pPr>
            <w:r w:rsidRPr="0072554E">
              <w:rPr>
                <w:rFonts w:ascii="Calibri" w:eastAsia="Times New Roman" w:hAnsi="Calibri" w:cs="Arial"/>
                <w:lang w:eastAsia="cs-CZ"/>
              </w:rPr>
              <w:t>9 247 400,82</w:t>
            </w:r>
          </w:p>
        </w:tc>
        <w:tc>
          <w:tcPr>
            <w:tcW w:w="1134" w:type="dxa"/>
            <w:tcBorders>
              <w:top w:val="nil"/>
              <w:left w:val="nil"/>
              <w:bottom w:val="single" w:sz="4" w:space="0" w:color="auto"/>
              <w:right w:val="single" w:sz="8" w:space="0" w:color="auto"/>
            </w:tcBorders>
            <w:shd w:val="clear" w:color="auto" w:fill="auto"/>
            <w:noWrap/>
            <w:vAlign w:val="bottom"/>
            <w:hideMark/>
          </w:tcPr>
          <w:p w14:paraId="5317F0C6"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100,0</w:t>
            </w:r>
          </w:p>
        </w:tc>
      </w:tr>
      <w:tr w:rsidR="0072554E" w:rsidRPr="0072554E" w14:paraId="7A58070C" w14:textId="77777777" w:rsidTr="009E7CFC">
        <w:trPr>
          <w:trHeight w:val="270"/>
        </w:trPr>
        <w:tc>
          <w:tcPr>
            <w:tcW w:w="851" w:type="dxa"/>
            <w:tcBorders>
              <w:top w:val="nil"/>
              <w:left w:val="single" w:sz="8" w:space="0" w:color="auto"/>
              <w:bottom w:val="single" w:sz="8" w:space="0" w:color="auto"/>
              <w:right w:val="single" w:sz="4" w:space="0" w:color="auto"/>
            </w:tcBorders>
            <w:shd w:val="clear" w:color="auto" w:fill="auto"/>
            <w:vAlign w:val="bottom"/>
            <w:hideMark/>
          </w:tcPr>
          <w:p w14:paraId="4341F925"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6402</w:t>
            </w:r>
          </w:p>
        </w:tc>
        <w:tc>
          <w:tcPr>
            <w:tcW w:w="4235" w:type="dxa"/>
            <w:tcBorders>
              <w:top w:val="nil"/>
              <w:left w:val="nil"/>
              <w:bottom w:val="nil"/>
              <w:right w:val="nil"/>
            </w:tcBorders>
            <w:shd w:val="clear" w:color="auto" w:fill="auto"/>
            <w:vAlign w:val="bottom"/>
            <w:hideMark/>
          </w:tcPr>
          <w:p w14:paraId="54FFD050" w14:textId="77777777" w:rsidR="0072554E" w:rsidRPr="0072554E" w:rsidRDefault="0072554E" w:rsidP="0072554E">
            <w:pPr>
              <w:spacing w:after="0" w:line="240" w:lineRule="auto"/>
              <w:rPr>
                <w:rFonts w:ascii="Calibri" w:eastAsia="Times New Roman" w:hAnsi="Calibri" w:cs="Arial"/>
                <w:sz w:val="20"/>
                <w:szCs w:val="20"/>
                <w:lang w:eastAsia="cs-CZ"/>
              </w:rPr>
            </w:pPr>
            <w:r w:rsidRPr="0072554E">
              <w:rPr>
                <w:rFonts w:ascii="Calibri" w:eastAsia="Times New Roman" w:hAnsi="Calibri" w:cs="Arial"/>
                <w:sz w:val="20"/>
                <w:szCs w:val="20"/>
                <w:lang w:eastAsia="cs-CZ"/>
              </w:rPr>
              <w:t>Obědy do škol ve SK III - vratka zřizovateli (MPSV)</w:t>
            </w:r>
          </w:p>
        </w:tc>
        <w:tc>
          <w:tcPr>
            <w:tcW w:w="1293" w:type="dxa"/>
            <w:tcBorders>
              <w:top w:val="nil"/>
              <w:left w:val="single" w:sz="4" w:space="0" w:color="auto"/>
              <w:bottom w:val="single" w:sz="4" w:space="0" w:color="auto"/>
              <w:right w:val="single" w:sz="4" w:space="0" w:color="auto"/>
            </w:tcBorders>
            <w:shd w:val="clear" w:color="auto" w:fill="auto"/>
            <w:noWrap/>
            <w:vAlign w:val="bottom"/>
            <w:hideMark/>
          </w:tcPr>
          <w:p w14:paraId="74E77F07"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0</w:t>
            </w:r>
          </w:p>
        </w:tc>
        <w:tc>
          <w:tcPr>
            <w:tcW w:w="1701" w:type="dxa"/>
            <w:tcBorders>
              <w:top w:val="nil"/>
              <w:left w:val="nil"/>
              <w:bottom w:val="nil"/>
              <w:right w:val="nil"/>
            </w:tcBorders>
            <w:shd w:val="clear" w:color="auto" w:fill="auto"/>
            <w:noWrap/>
            <w:vAlign w:val="bottom"/>
            <w:hideMark/>
          </w:tcPr>
          <w:p w14:paraId="700113F2"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11 176 463,45</w:t>
            </w:r>
          </w:p>
        </w:tc>
        <w:tc>
          <w:tcPr>
            <w:tcW w:w="1559" w:type="dxa"/>
            <w:tcBorders>
              <w:top w:val="nil"/>
              <w:left w:val="single" w:sz="4" w:space="0" w:color="auto"/>
              <w:bottom w:val="single" w:sz="8" w:space="0" w:color="auto"/>
              <w:right w:val="single" w:sz="4" w:space="0" w:color="auto"/>
            </w:tcBorders>
            <w:shd w:val="clear" w:color="auto" w:fill="auto"/>
            <w:noWrap/>
            <w:vAlign w:val="bottom"/>
            <w:hideMark/>
          </w:tcPr>
          <w:p w14:paraId="74671409"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108 188,35</w:t>
            </w:r>
          </w:p>
        </w:tc>
        <w:tc>
          <w:tcPr>
            <w:tcW w:w="1134" w:type="dxa"/>
            <w:tcBorders>
              <w:top w:val="nil"/>
              <w:left w:val="nil"/>
              <w:bottom w:val="single" w:sz="4" w:space="0" w:color="auto"/>
              <w:right w:val="single" w:sz="8" w:space="0" w:color="auto"/>
            </w:tcBorders>
            <w:shd w:val="clear" w:color="auto" w:fill="auto"/>
            <w:noWrap/>
            <w:vAlign w:val="bottom"/>
            <w:hideMark/>
          </w:tcPr>
          <w:p w14:paraId="3178977B" w14:textId="77777777" w:rsidR="0072554E" w:rsidRPr="0072554E" w:rsidRDefault="0072554E" w:rsidP="0072554E">
            <w:pPr>
              <w:spacing w:after="0" w:line="240" w:lineRule="auto"/>
              <w:jc w:val="right"/>
              <w:rPr>
                <w:rFonts w:ascii="Calibri" w:eastAsia="Times New Roman" w:hAnsi="Calibri" w:cs="Arial"/>
                <w:sz w:val="20"/>
                <w:szCs w:val="20"/>
                <w:lang w:eastAsia="cs-CZ"/>
              </w:rPr>
            </w:pPr>
            <w:r w:rsidRPr="0072554E">
              <w:rPr>
                <w:rFonts w:ascii="Calibri" w:eastAsia="Times New Roman" w:hAnsi="Calibri" w:cs="Arial"/>
                <w:sz w:val="20"/>
                <w:szCs w:val="20"/>
                <w:lang w:eastAsia="cs-CZ"/>
              </w:rPr>
              <w:t>1,0</w:t>
            </w:r>
          </w:p>
        </w:tc>
      </w:tr>
      <w:tr w:rsidR="0072554E" w:rsidRPr="0072554E" w14:paraId="74A9486E" w14:textId="77777777" w:rsidTr="009E7CFC">
        <w:trPr>
          <w:trHeight w:val="320"/>
        </w:trPr>
        <w:tc>
          <w:tcPr>
            <w:tcW w:w="851" w:type="dxa"/>
            <w:tcBorders>
              <w:top w:val="nil"/>
              <w:left w:val="single" w:sz="8" w:space="0" w:color="auto"/>
              <w:bottom w:val="single" w:sz="8" w:space="0" w:color="auto"/>
              <w:right w:val="nil"/>
            </w:tcBorders>
            <w:shd w:val="clear" w:color="auto" w:fill="auto"/>
            <w:noWrap/>
            <w:vAlign w:val="bottom"/>
            <w:hideMark/>
          </w:tcPr>
          <w:p w14:paraId="1E134E7F" w14:textId="77777777" w:rsidR="0072554E" w:rsidRPr="0072554E" w:rsidRDefault="0072554E" w:rsidP="0072554E">
            <w:pPr>
              <w:spacing w:after="0" w:line="240" w:lineRule="auto"/>
              <w:jc w:val="center"/>
              <w:rPr>
                <w:rFonts w:ascii="Calibri" w:eastAsia="Times New Roman" w:hAnsi="Calibri" w:cs="Arial"/>
                <w:sz w:val="20"/>
                <w:szCs w:val="20"/>
                <w:lang w:eastAsia="cs-CZ"/>
              </w:rPr>
            </w:pPr>
            <w:r w:rsidRPr="0072554E">
              <w:rPr>
                <w:rFonts w:ascii="Calibri" w:eastAsia="Times New Roman" w:hAnsi="Calibri" w:cs="Arial"/>
                <w:sz w:val="20"/>
                <w:szCs w:val="20"/>
                <w:lang w:eastAsia="cs-CZ"/>
              </w:rPr>
              <w:t> </w:t>
            </w:r>
          </w:p>
        </w:tc>
        <w:tc>
          <w:tcPr>
            <w:tcW w:w="4235" w:type="dxa"/>
            <w:tcBorders>
              <w:top w:val="single" w:sz="8" w:space="0" w:color="auto"/>
              <w:left w:val="single" w:sz="4" w:space="0" w:color="auto"/>
              <w:bottom w:val="single" w:sz="8" w:space="0" w:color="auto"/>
              <w:right w:val="single" w:sz="4" w:space="0" w:color="auto"/>
            </w:tcBorders>
            <w:shd w:val="clear" w:color="auto" w:fill="auto"/>
            <w:noWrap/>
            <w:vAlign w:val="bottom"/>
            <w:hideMark/>
          </w:tcPr>
          <w:p w14:paraId="65B730C8" w14:textId="77777777" w:rsidR="0072554E" w:rsidRPr="0072554E" w:rsidRDefault="0072554E" w:rsidP="0072554E">
            <w:pPr>
              <w:spacing w:after="0" w:line="240" w:lineRule="auto"/>
              <w:rPr>
                <w:rFonts w:ascii="Calibri" w:eastAsia="Times New Roman" w:hAnsi="Calibri" w:cs="Arial"/>
                <w:b/>
                <w:bCs/>
                <w:lang w:eastAsia="cs-CZ"/>
              </w:rPr>
            </w:pPr>
            <w:r w:rsidRPr="0072554E">
              <w:rPr>
                <w:rFonts w:ascii="Calibri" w:eastAsia="Times New Roman" w:hAnsi="Calibri" w:cs="Arial"/>
                <w:b/>
                <w:bCs/>
                <w:lang w:eastAsia="cs-CZ"/>
              </w:rPr>
              <w:t>Celkem</w:t>
            </w:r>
          </w:p>
        </w:tc>
        <w:tc>
          <w:tcPr>
            <w:tcW w:w="1293" w:type="dxa"/>
            <w:tcBorders>
              <w:top w:val="single" w:sz="8" w:space="0" w:color="auto"/>
              <w:left w:val="nil"/>
              <w:bottom w:val="single" w:sz="8" w:space="0" w:color="auto"/>
              <w:right w:val="single" w:sz="4" w:space="0" w:color="auto"/>
            </w:tcBorders>
            <w:shd w:val="clear" w:color="auto" w:fill="auto"/>
            <w:noWrap/>
            <w:vAlign w:val="bottom"/>
            <w:hideMark/>
          </w:tcPr>
          <w:p w14:paraId="3FD74FE8" w14:textId="77777777" w:rsidR="0072554E" w:rsidRPr="0072554E" w:rsidRDefault="0072554E" w:rsidP="0072554E">
            <w:pPr>
              <w:spacing w:after="0" w:line="240" w:lineRule="auto"/>
              <w:jc w:val="right"/>
              <w:rPr>
                <w:rFonts w:ascii="Calibri" w:eastAsia="Times New Roman" w:hAnsi="Calibri" w:cs="Arial"/>
                <w:b/>
                <w:bCs/>
                <w:lang w:eastAsia="cs-CZ"/>
              </w:rPr>
            </w:pPr>
            <w:r w:rsidRPr="0072554E">
              <w:rPr>
                <w:rFonts w:ascii="Calibri" w:eastAsia="Times New Roman" w:hAnsi="Calibri" w:cs="Arial"/>
                <w:b/>
                <w:bCs/>
                <w:lang w:eastAsia="cs-CZ"/>
              </w:rPr>
              <w:t>0</w:t>
            </w:r>
          </w:p>
        </w:tc>
        <w:tc>
          <w:tcPr>
            <w:tcW w:w="1701" w:type="dxa"/>
            <w:tcBorders>
              <w:top w:val="single" w:sz="8" w:space="0" w:color="auto"/>
              <w:left w:val="nil"/>
              <w:bottom w:val="single" w:sz="8" w:space="0" w:color="auto"/>
              <w:right w:val="single" w:sz="4" w:space="0" w:color="auto"/>
            </w:tcBorders>
            <w:shd w:val="clear" w:color="auto" w:fill="auto"/>
            <w:noWrap/>
            <w:vAlign w:val="bottom"/>
            <w:hideMark/>
          </w:tcPr>
          <w:p w14:paraId="42215CA9" w14:textId="77777777" w:rsidR="0072554E" w:rsidRPr="0072554E" w:rsidRDefault="0072554E" w:rsidP="0072554E">
            <w:pPr>
              <w:spacing w:after="0" w:line="240" w:lineRule="auto"/>
              <w:jc w:val="right"/>
              <w:rPr>
                <w:rFonts w:ascii="Calibri" w:eastAsia="Times New Roman" w:hAnsi="Calibri" w:cs="Arial"/>
                <w:b/>
                <w:bCs/>
                <w:lang w:eastAsia="cs-CZ"/>
              </w:rPr>
            </w:pPr>
            <w:r w:rsidRPr="0072554E">
              <w:rPr>
                <w:rFonts w:ascii="Calibri" w:eastAsia="Times New Roman" w:hAnsi="Calibri" w:cs="Arial"/>
                <w:b/>
                <w:bCs/>
                <w:lang w:eastAsia="cs-CZ"/>
              </w:rPr>
              <w:t>671 245 519,06</w:t>
            </w:r>
          </w:p>
        </w:tc>
        <w:tc>
          <w:tcPr>
            <w:tcW w:w="1559" w:type="dxa"/>
            <w:tcBorders>
              <w:top w:val="nil"/>
              <w:left w:val="nil"/>
              <w:bottom w:val="single" w:sz="8" w:space="0" w:color="auto"/>
              <w:right w:val="single" w:sz="4" w:space="0" w:color="auto"/>
            </w:tcBorders>
            <w:shd w:val="clear" w:color="auto" w:fill="auto"/>
            <w:noWrap/>
            <w:vAlign w:val="bottom"/>
            <w:hideMark/>
          </w:tcPr>
          <w:p w14:paraId="14EC9005" w14:textId="77777777" w:rsidR="0072554E" w:rsidRPr="0072554E" w:rsidRDefault="0072554E" w:rsidP="0072554E">
            <w:pPr>
              <w:spacing w:after="0" w:line="240" w:lineRule="auto"/>
              <w:jc w:val="right"/>
              <w:rPr>
                <w:rFonts w:ascii="Calibri" w:eastAsia="Times New Roman" w:hAnsi="Calibri" w:cs="Arial"/>
                <w:b/>
                <w:bCs/>
                <w:lang w:eastAsia="cs-CZ"/>
              </w:rPr>
            </w:pPr>
            <w:r w:rsidRPr="0072554E">
              <w:rPr>
                <w:rFonts w:ascii="Calibri" w:eastAsia="Times New Roman" w:hAnsi="Calibri" w:cs="Arial"/>
                <w:b/>
                <w:bCs/>
                <w:lang w:eastAsia="cs-CZ"/>
              </w:rPr>
              <w:t>415 917 469,85</w:t>
            </w:r>
          </w:p>
        </w:tc>
        <w:tc>
          <w:tcPr>
            <w:tcW w:w="1134" w:type="dxa"/>
            <w:tcBorders>
              <w:top w:val="single" w:sz="8" w:space="0" w:color="auto"/>
              <w:left w:val="nil"/>
              <w:bottom w:val="single" w:sz="8" w:space="0" w:color="auto"/>
              <w:right w:val="single" w:sz="8" w:space="0" w:color="auto"/>
            </w:tcBorders>
            <w:shd w:val="clear" w:color="auto" w:fill="auto"/>
            <w:noWrap/>
            <w:vAlign w:val="bottom"/>
            <w:hideMark/>
          </w:tcPr>
          <w:p w14:paraId="525DD460" w14:textId="77777777" w:rsidR="0072554E" w:rsidRPr="0072554E" w:rsidRDefault="0072554E" w:rsidP="0072554E">
            <w:pPr>
              <w:spacing w:after="0" w:line="240" w:lineRule="auto"/>
              <w:jc w:val="right"/>
              <w:rPr>
                <w:rFonts w:ascii="Calibri" w:eastAsia="Times New Roman" w:hAnsi="Calibri" w:cs="Arial"/>
                <w:b/>
                <w:bCs/>
                <w:lang w:eastAsia="cs-CZ"/>
              </w:rPr>
            </w:pPr>
            <w:r w:rsidRPr="0072554E">
              <w:rPr>
                <w:rFonts w:ascii="Calibri" w:eastAsia="Times New Roman" w:hAnsi="Calibri" w:cs="Arial"/>
                <w:b/>
                <w:bCs/>
                <w:lang w:eastAsia="cs-CZ"/>
              </w:rPr>
              <w:t>62,0</w:t>
            </w:r>
          </w:p>
        </w:tc>
      </w:tr>
      <w:tr w:rsidR="0072554E" w:rsidRPr="0072554E" w14:paraId="4CFFCB67" w14:textId="77777777" w:rsidTr="009E7CFC">
        <w:trPr>
          <w:trHeight w:val="300"/>
        </w:trPr>
        <w:tc>
          <w:tcPr>
            <w:tcW w:w="851" w:type="dxa"/>
            <w:tcBorders>
              <w:top w:val="nil"/>
              <w:left w:val="single" w:sz="8" w:space="0" w:color="auto"/>
              <w:bottom w:val="nil"/>
              <w:right w:val="nil"/>
            </w:tcBorders>
            <w:shd w:val="clear" w:color="auto" w:fill="auto"/>
            <w:noWrap/>
            <w:vAlign w:val="bottom"/>
            <w:hideMark/>
          </w:tcPr>
          <w:p w14:paraId="1D4C90D6" w14:textId="77777777" w:rsidR="0072554E" w:rsidRPr="0072554E" w:rsidRDefault="0072554E" w:rsidP="0072554E">
            <w:pPr>
              <w:spacing w:after="0" w:line="240" w:lineRule="auto"/>
              <w:jc w:val="right"/>
              <w:rPr>
                <w:rFonts w:ascii="Calibri" w:eastAsia="Times New Roman" w:hAnsi="Calibri" w:cs="Arial"/>
                <w:b/>
                <w:bCs/>
                <w:lang w:eastAsia="cs-CZ"/>
              </w:rPr>
            </w:pPr>
          </w:p>
        </w:tc>
        <w:tc>
          <w:tcPr>
            <w:tcW w:w="4235" w:type="dxa"/>
            <w:tcBorders>
              <w:top w:val="nil"/>
              <w:left w:val="nil"/>
              <w:bottom w:val="nil"/>
              <w:right w:val="nil"/>
            </w:tcBorders>
            <w:shd w:val="clear" w:color="auto" w:fill="auto"/>
            <w:noWrap/>
            <w:vAlign w:val="bottom"/>
            <w:hideMark/>
          </w:tcPr>
          <w:p w14:paraId="1D5D1260" w14:textId="77777777" w:rsidR="0072554E" w:rsidRPr="0072554E" w:rsidRDefault="0072554E" w:rsidP="0072554E">
            <w:pPr>
              <w:spacing w:after="0" w:line="240" w:lineRule="auto"/>
              <w:rPr>
                <w:rFonts w:ascii="Times New Roman" w:eastAsia="Times New Roman" w:hAnsi="Times New Roman" w:cs="Times New Roman"/>
                <w:sz w:val="20"/>
                <w:szCs w:val="20"/>
                <w:lang w:eastAsia="cs-CZ"/>
              </w:rPr>
            </w:pPr>
          </w:p>
        </w:tc>
        <w:tc>
          <w:tcPr>
            <w:tcW w:w="1293" w:type="dxa"/>
            <w:tcBorders>
              <w:top w:val="nil"/>
              <w:left w:val="nil"/>
              <w:bottom w:val="nil"/>
              <w:right w:val="nil"/>
            </w:tcBorders>
            <w:shd w:val="clear" w:color="auto" w:fill="auto"/>
            <w:noWrap/>
            <w:vAlign w:val="bottom"/>
            <w:hideMark/>
          </w:tcPr>
          <w:p w14:paraId="16969BEF" w14:textId="77777777" w:rsidR="0072554E" w:rsidRPr="0072554E" w:rsidRDefault="0072554E" w:rsidP="0072554E">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2AE8D600" w14:textId="77777777" w:rsidR="0072554E" w:rsidRPr="0072554E" w:rsidRDefault="0072554E" w:rsidP="0072554E">
            <w:pPr>
              <w:spacing w:after="0" w:line="240" w:lineRule="auto"/>
              <w:jc w:val="right"/>
              <w:rPr>
                <w:rFonts w:ascii="Times New Roman" w:eastAsia="Times New Roman" w:hAnsi="Times New Roman" w:cs="Times New Roman"/>
                <w:sz w:val="20"/>
                <w:szCs w:val="20"/>
                <w:lang w:eastAsia="cs-CZ"/>
              </w:rPr>
            </w:pPr>
          </w:p>
        </w:tc>
        <w:tc>
          <w:tcPr>
            <w:tcW w:w="1559" w:type="dxa"/>
            <w:tcBorders>
              <w:top w:val="nil"/>
              <w:left w:val="nil"/>
              <w:bottom w:val="nil"/>
              <w:right w:val="nil"/>
            </w:tcBorders>
            <w:shd w:val="clear" w:color="auto" w:fill="auto"/>
            <w:noWrap/>
            <w:vAlign w:val="bottom"/>
            <w:hideMark/>
          </w:tcPr>
          <w:p w14:paraId="41667DFD" w14:textId="77777777" w:rsidR="0072554E" w:rsidRPr="0072554E" w:rsidRDefault="0072554E" w:rsidP="0072554E">
            <w:pPr>
              <w:spacing w:after="0" w:line="240" w:lineRule="auto"/>
              <w:rPr>
                <w:rFonts w:ascii="Times New Roman" w:eastAsia="Times New Roman" w:hAnsi="Times New Roman" w:cs="Times New Roman"/>
                <w:sz w:val="20"/>
                <w:szCs w:val="20"/>
                <w:lang w:eastAsia="cs-CZ"/>
              </w:rPr>
            </w:pPr>
          </w:p>
        </w:tc>
        <w:tc>
          <w:tcPr>
            <w:tcW w:w="1134" w:type="dxa"/>
            <w:tcBorders>
              <w:top w:val="nil"/>
              <w:left w:val="nil"/>
              <w:bottom w:val="single" w:sz="8" w:space="0" w:color="auto"/>
              <w:right w:val="nil"/>
            </w:tcBorders>
            <w:shd w:val="clear" w:color="auto" w:fill="auto"/>
            <w:noWrap/>
            <w:vAlign w:val="bottom"/>
            <w:hideMark/>
          </w:tcPr>
          <w:p w14:paraId="13FC3166" w14:textId="77777777" w:rsidR="0072554E" w:rsidRPr="0072554E" w:rsidRDefault="0072554E" w:rsidP="0072554E">
            <w:pPr>
              <w:spacing w:after="0" w:line="240" w:lineRule="auto"/>
              <w:rPr>
                <w:rFonts w:ascii="Calibri" w:eastAsia="Times New Roman" w:hAnsi="Calibri" w:cs="Arial"/>
                <w:sz w:val="20"/>
                <w:szCs w:val="20"/>
                <w:lang w:eastAsia="cs-CZ"/>
              </w:rPr>
            </w:pPr>
            <w:r w:rsidRPr="0072554E">
              <w:rPr>
                <w:rFonts w:ascii="Calibri" w:eastAsia="Times New Roman" w:hAnsi="Calibri" w:cs="Arial"/>
                <w:sz w:val="20"/>
                <w:szCs w:val="20"/>
                <w:lang w:eastAsia="cs-CZ"/>
              </w:rPr>
              <w:t> </w:t>
            </w:r>
          </w:p>
        </w:tc>
      </w:tr>
      <w:tr w:rsidR="0072554E" w:rsidRPr="0072554E" w14:paraId="0B844427" w14:textId="77777777" w:rsidTr="009E7CFC">
        <w:trPr>
          <w:trHeight w:val="360"/>
        </w:trPr>
        <w:tc>
          <w:tcPr>
            <w:tcW w:w="5086" w:type="dxa"/>
            <w:gridSpan w:val="2"/>
            <w:tcBorders>
              <w:top w:val="single" w:sz="8" w:space="0" w:color="auto"/>
              <w:left w:val="single" w:sz="8" w:space="0" w:color="auto"/>
              <w:bottom w:val="single" w:sz="8" w:space="0" w:color="auto"/>
              <w:right w:val="single" w:sz="4" w:space="0" w:color="000000"/>
            </w:tcBorders>
            <w:shd w:val="clear" w:color="auto" w:fill="auto"/>
            <w:noWrap/>
            <w:vAlign w:val="bottom"/>
            <w:hideMark/>
          </w:tcPr>
          <w:p w14:paraId="0C2B14D9" w14:textId="77777777" w:rsidR="0072554E" w:rsidRPr="0072554E" w:rsidRDefault="0072554E" w:rsidP="0072554E">
            <w:pPr>
              <w:spacing w:after="0" w:line="240" w:lineRule="auto"/>
              <w:rPr>
                <w:rFonts w:ascii="Calibri" w:eastAsia="Times New Roman" w:hAnsi="Calibri" w:cs="Arial"/>
                <w:b/>
                <w:bCs/>
                <w:sz w:val="24"/>
                <w:szCs w:val="24"/>
                <w:lang w:eastAsia="cs-CZ"/>
              </w:rPr>
            </w:pPr>
            <w:r w:rsidRPr="0072554E">
              <w:rPr>
                <w:rFonts w:ascii="Calibri" w:eastAsia="Times New Roman" w:hAnsi="Calibri" w:cs="Arial"/>
                <w:b/>
                <w:bCs/>
                <w:sz w:val="24"/>
                <w:szCs w:val="24"/>
                <w:lang w:eastAsia="cs-CZ"/>
              </w:rPr>
              <w:t>Celkem výdaje</w:t>
            </w:r>
          </w:p>
        </w:tc>
        <w:tc>
          <w:tcPr>
            <w:tcW w:w="1293" w:type="dxa"/>
            <w:tcBorders>
              <w:top w:val="single" w:sz="8" w:space="0" w:color="auto"/>
              <w:left w:val="nil"/>
              <w:bottom w:val="single" w:sz="8" w:space="0" w:color="auto"/>
              <w:right w:val="single" w:sz="4" w:space="0" w:color="auto"/>
            </w:tcBorders>
            <w:shd w:val="clear" w:color="auto" w:fill="auto"/>
            <w:noWrap/>
            <w:vAlign w:val="bottom"/>
            <w:hideMark/>
          </w:tcPr>
          <w:p w14:paraId="6BCB87EB" w14:textId="77777777" w:rsidR="0072554E" w:rsidRPr="0072554E" w:rsidRDefault="0072554E" w:rsidP="0072554E">
            <w:pPr>
              <w:spacing w:after="0" w:line="240" w:lineRule="auto"/>
              <w:jc w:val="right"/>
              <w:rPr>
                <w:rFonts w:ascii="Calibri" w:eastAsia="Times New Roman" w:hAnsi="Calibri" w:cs="Arial"/>
                <w:b/>
                <w:bCs/>
                <w:lang w:eastAsia="cs-CZ"/>
              </w:rPr>
            </w:pPr>
            <w:r w:rsidRPr="0072554E">
              <w:rPr>
                <w:rFonts w:ascii="Calibri" w:eastAsia="Times New Roman" w:hAnsi="Calibri" w:cs="Arial"/>
                <w:b/>
                <w:bCs/>
                <w:lang w:eastAsia="cs-CZ"/>
              </w:rPr>
              <w:t>42 780 000</w:t>
            </w:r>
          </w:p>
        </w:tc>
        <w:tc>
          <w:tcPr>
            <w:tcW w:w="1701" w:type="dxa"/>
            <w:tcBorders>
              <w:top w:val="single" w:sz="8" w:space="0" w:color="auto"/>
              <w:left w:val="nil"/>
              <w:bottom w:val="single" w:sz="8" w:space="0" w:color="auto"/>
              <w:right w:val="single" w:sz="4" w:space="0" w:color="auto"/>
            </w:tcBorders>
            <w:shd w:val="clear" w:color="auto" w:fill="auto"/>
            <w:noWrap/>
            <w:vAlign w:val="bottom"/>
            <w:hideMark/>
          </w:tcPr>
          <w:p w14:paraId="7A2A4053" w14:textId="77777777" w:rsidR="0072554E" w:rsidRPr="0072554E" w:rsidRDefault="0072554E" w:rsidP="0072554E">
            <w:pPr>
              <w:spacing w:after="0" w:line="240" w:lineRule="auto"/>
              <w:jc w:val="right"/>
              <w:rPr>
                <w:rFonts w:ascii="Calibri" w:eastAsia="Times New Roman" w:hAnsi="Calibri" w:cs="Arial"/>
                <w:b/>
                <w:bCs/>
                <w:lang w:eastAsia="cs-CZ"/>
              </w:rPr>
            </w:pPr>
            <w:r w:rsidRPr="0072554E">
              <w:rPr>
                <w:rFonts w:ascii="Calibri" w:eastAsia="Times New Roman" w:hAnsi="Calibri" w:cs="Arial"/>
                <w:b/>
                <w:bCs/>
                <w:lang w:eastAsia="cs-CZ"/>
              </w:rPr>
              <w:t>1 156 475 468,84</w:t>
            </w:r>
          </w:p>
        </w:tc>
        <w:tc>
          <w:tcPr>
            <w:tcW w:w="1559" w:type="dxa"/>
            <w:tcBorders>
              <w:top w:val="single" w:sz="8" w:space="0" w:color="auto"/>
              <w:left w:val="nil"/>
              <w:bottom w:val="single" w:sz="8" w:space="0" w:color="auto"/>
              <w:right w:val="single" w:sz="4" w:space="0" w:color="auto"/>
            </w:tcBorders>
            <w:shd w:val="clear" w:color="auto" w:fill="auto"/>
            <w:noWrap/>
            <w:vAlign w:val="bottom"/>
            <w:hideMark/>
          </w:tcPr>
          <w:p w14:paraId="41F29707" w14:textId="77777777" w:rsidR="0072554E" w:rsidRPr="0072554E" w:rsidRDefault="0072554E" w:rsidP="0072554E">
            <w:pPr>
              <w:spacing w:after="0" w:line="240" w:lineRule="auto"/>
              <w:jc w:val="right"/>
              <w:rPr>
                <w:rFonts w:ascii="Calibri" w:eastAsia="Times New Roman" w:hAnsi="Calibri" w:cs="Arial"/>
                <w:b/>
                <w:bCs/>
                <w:lang w:eastAsia="cs-CZ"/>
              </w:rPr>
            </w:pPr>
            <w:r w:rsidRPr="0072554E">
              <w:rPr>
                <w:rFonts w:ascii="Calibri" w:eastAsia="Times New Roman" w:hAnsi="Calibri" w:cs="Arial"/>
                <w:b/>
                <w:bCs/>
                <w:lang w:eastAsia="cs-CZ"/>
              </w:rPr>
              <w:t>746 018 855,31</w:t>
            </w:r>
          </w:p>
        </w:tc>
        <w:tc>
          <w:tcPr>
            <w:tcW w:w="1134" w:type="dxa"/>
            <w:tcBorders>
              <w:top w:val="single" w:sz="4" w:space="0" w:color="auto"/>
              <w:left w:val="nil"/>
              <w:bottom w:val="single" w:sz="8" w:space="0" w:color="auto"/>
              <w:right w:val="single" w:sz="8" w:space="0" w:color="auto"/>
            </w:tcBorders>
            <w:shd w:val="clear" w:color="auto" w:fill="auto"/>
            <w:noWrap/>
            <w:vAlign w:val="bottom"/>
            <w:hideMark/>
          </w:tcPr>
          <w:p w14:paraId="1298D085" w14:textId="77777777" w:rsidR="0072554E" w:rsidRPr="0072554E" w:rsidRDefault="0072554E" w:rsidP="0072554E">
            <w:pPr>
              <w:spacing w:after="0" w:line="240" w:lineRule="auto"/>
              <w:jc w:val="right"/>
              <w:rPr>
                <w:rFonts w:ascii="Calibri" w:eastAsia="Times New Roman" w:hAnsi="Calibri" w:cs="Arial"/>
                <w:b/>
                <w:bCs/>
                <w:lang w:eastAsia="cs-CZ"/>
              </w:rPr>
            </w:pPr>
            <w:r w:rsidRPr="0072554E">
              <w:rPr>
                <w:rFonts w:ascii="Calibri" w:eastAsia="Times New Roman" w:hAnsi="Calibri" w:cs="Arial"/>
                <w:b/>
                <w:bCs/>
                <w:lang w:eastAsia="cs-CZ"/>
              </w:rPr>
              <w:t>64,5</w:t>
            </w:r>
          </w:p>
        </w:tc>
      </w:tr>
    </w:tbl>
    <w:p w14:paraId="200B63B0" w14:textId="392132FF" w:rsidR="00256A12" w:rsidRDefault="00256A12" w:rsidP="0013179B">
      <w:pPr>
        <w:rPr>
          <w:rFonts w:cs="Calibri"/>
        </w:rPr>
      </w:pPr>
    </w:p>
    <w:p w14:paraId="49AE3ADA" w14:textId="3C148B59" w:rsidR="0072554E" w:rsidRDefault="0072554E" w:rsidP="0013179B">
      <w:pPr>
        <w:rPr>
          <w:rFonts w:cs="Calibri"/>
        </w:rPr>
      </w:pPr>
    </w:p>
    <w:p w14:paraId="7B329A1D" w14:textId="192A66FC" w:rsidR="0072554E" w:rsidRDefault="0072554E" w:rsidP="0013179B">
      <w:pPr>
        <w:rPr>
          <w:rFonts w:cs="Calibri"/>
        </w:rPr>
      </w:pPr>
    </w:p>
    <w:p w14:paraId="0ABD863A" w14:textId="23D306C9" w:rsidR="007E7613" w:rsidRDefault="007E7613" w:rsidP="0013179B">
      <w:pPr>
        <w:rPr>
          <w:rFonts w:cs="Calibri"/>
        </w:rPr>
      </w:pPr>
    </w:p>
    <w:p w14:paraId="71B80AD5" w14:textId="3C8487F6" w:rsidR="007E7613" w:rsidRDefault="007E7613" w:rsidP="0013179B">
      <w:pPr>
        <w:rPr>
          <w:rFonts w:cs="Calibri"/>
        </w:rPr>
      </w:pPr>
    </w:p>
    <w:p w14:paraId="4360C880" w14:textId="72F8B20F" w:rsidR="007E7613" w:rsidRDefault="007E7613" w:rsidP="0013179B">
      <w:pPr>
        <w:rPr>
          <w:rFonts w:cs="Calibri"/>
        </w:rPr>
      </w:pPr>
    </w:p>
    <w:p w14:paraId="49D3E84D" w14:textId="77777777" w:rsidR="007E7613" w:rsidRDefault="007E7613" w:rsidP="0013179B">
      <w:pPr>
        <w:rPr>
          <w:rFonts w:cs="Calibri"/>
        </w:rPr>
      </w:pPr>
    </w:p>
    <w:p w14:paraId="4FDC6D76" w14:textId="77777777" w:rsidR="0072554E" w:rsidRPr="0003094C" w:rsidRDefault="0072554E" w:rsidP="0072554E">
      <w:pPr>
        <w:spacing w:after="0" w:line="240" w:lineRule="auto"/>
        <w:jc w:val="both"/>
        <w:rPr>
          <w:rFonts w:cstheme="minorHAnsi"/>
          <w:sz w:val="28"/>
          <w:szCs w:val="28"/>
        </w:rPr>
      </w:pPr>
      <w:r w:rsidRPr="0003094C">
        <w:rPr>
          <w:rFonts w:cstheme="minorHAnsi"/>
          <w:b/>
          <w:sz w:val="28"/>
          <w:szCs w:val="28"/>
          <w:u w:val="single"/>
        </w:rPr>
        <w:lastRenderedPageBreak/>
        <w:t xml:space="preserve">Kapitola </w:t>
      </w:r>
      <w:r>
        <w:rPr>
          <w:rFonts w:cstheme="minorHAnsi"/>
          <w:b/>
          <w:sz w:val="28"/>
          <w:szCs w:val="28"/>
          <w:u w:val="single"/>
        </w:rPr>
        <w:t>09 - Evropská integrace</w:t>
      </w:r>
      <w:r w:rsidRPr="0003094C">
        <w:rPr>
          <w:rFonts w:cstheme="minorHAnsi"/>
          <w:b/>
          <w:sz w:val="28"/>
          <w:szCs w:val="28"/>
          <w:u w:val="single"/>
        </w:rPr>
        <w:t xml:space="preserve"> </w:t>
      </w:r>
    </w:p>
    <w:p w14:paraId="56601857" w14:textId="77777777" w:rsidR="0072554E" w:rsidRPr="0003094C" w:rsidRDefault="0072554E" w:rsidP="0072554E">
      <w:pPr>
        <w:spacing w:after="0" w:line="240" w:lineRule="auto"/>
        <w:jc w:val="both"/>
        <w:rPr>
          <w:rFonts w:cstheme="minorHAnsi"/>
        </w:rPr>
      </w:pPr>
    </w:p>
    <w:p w14:paraId="3F929E98" w14:textId="77777777" w:rsidR="0072554E" w:rsidRPr="0003094C" w:rsidRDefault="0072554E" w:rsidP="0072554E">
      <w:pPr>
        <w:spacing w:after="0" w:line="240" w:lineRule="auto"/>
        <w:jc w:val="both"/>
        <w:rPr>
          <w:rFonts w:cstheme="minorHAnsi"/>
          <w:b/>
          <w:sz w:val="24"/>
          <w:szCs w:val="24"/>
          <w:u w:val="single"/>
        </w:rPr>
      </w:pPr>
      <w:r w:rsidRPr="0003094C">
        <w:rPr>
          <w:rFonts w:cstheme="minorHAnsi"/>
          <w:b/>
          <w:sz w:val="24"/>
          <w:szCs w:val="24"/>
          <w:u w:val="single"/>
        </w:rPr>
        <w:t>Běžné výdaje</w:t>
      </w:r>
    </w:p>
    <w:p w14:paraId="76DAF0A7" w14:textId="77777777" w:rsidR="0072554E" w:rsidRPr="0003094C" w:rsidRDefault="0072554E" w:rsidP="0072554E">
      <w:pPr>
        <w:spacing w:after="0" w:line="240" w:lineRule="auto"/>
        <w:jc w:val="both"/>
        <w:rPr>
          <w:rFonts w:cstheme="minorHAnsi"/>
          <w:b/>
          <w:u w:val="single"/>
        </w:rPr>
      </w:pPr>
    </w:p>
    <w:p w14:paraId="484F22CA" w14:textId="77777777" w:rsidR="0072554E" w:rsidRPr="0003094C" w:rsidRDefault="0072554E" w:rsidP="0072554E">
      <w:pPr>
        <w:spacing w:after="0" w:line="240" w:lineRule="auto"/>
        <w:jc w:val="both"/>
        <w:rPr>
          <w:rFonts w:cstheme="minorHAnsi"/>
          <w:b/>
        </w:rPr>
      </w:pPr>
      <w:r w:rsidRPr="0003094C">
        <w:rPr>
          <w:rFonts w:cstheme="minorHAnsi"/>
          <w:b/>
        </w:rPr>
        <w:t xml:space="preserve">§ 2115 – Energetické úspory </w:t>
      </w:r>
    </w:p>
    <w:p w14:paraId="1EF67D6C" w14:textId="551E2C09" w:rsidR="0072554E" w:rsidRPr="0003094C" w:rsidRDefault="009E7CFC" w:rsidP="0072554E">
      <w:pPr>
        <w:spacing w:after="0" w:line="240" w:lineRule="auto"/>
        <w:jc w:val="both"/>
        <w:rPr>
          <w:rFonts w:cstheme="minorHAnsi"/>
        </w:rPr>
      </w:pPr>
      <w:r>
        <w:rPr>
          <w:rFonts w:cstheme="minorHAnsi"/>
        </w:rPr>
        <w:t>Na základě usnesení</w:t>
      </w:r>
      <w:r w:rsidRPr="0003094C">
        <w:rPr>
          <w:rFonts w:cstheme="minorHAnsi"/>
        </w:rPr>
        <w:t xml:space="preserve"> č. 0</w:t>
      </w:r>
      <w:r>
        <w:rPr>
          <w:rFonts w:cstheme="minorHAnsi"/>
        </w:rPr>
        <w:t>09</w:t>
      </w:r>
      <w:r w:rsidRPr="0003094C">
        <w:rPr>
          <w:rFonts w:cstheme="minorHAnsi"/>
        </w:rPr>
        <w:t xml:space="preserve">–08/2021/RK ze dne 18. 2. 2021 byly převedeny </w:t>
      </w:r>
      <w:r>
        <w:rPr>
          <w:rFonts w:cstheme="minorHAnsi"/>
        </w:rPr>
        <w:t xml:space="preserve">nevyčerpané účelové </w:t>
      </w:r>
      <w:r w:rsidRPr="0003094C">
        <w:rPr>
          <w:rFonts w:cstheme="minorHAnsi"/>
        </w:rPr>
        <w:t>finanční prostředky ve výši 158 333,00 Kč z </w:t>
      </w:r>
      <w:r>
        <w:rPr>
          <w:rFonts w:cstheme="minorHAnsi"/>
        </w:rPr>
        <w:t>roku</w:t>
      </w:r>
      <w:r w:rsidRPr="0003094C">
        <w:rPr>
          <w:rFonts w:cstheme="minorHAnsi"/>
        </w:rPr>
        <w:t xml:space="preserve"> 2020 do </w:t>
      </w:r>
      <w:r>
        <w:rPr>
          <w:rFonts w:cstheme="minorHAnsi"/>
        </w:rPr>
        <w:t>rozpočtu roku</w:t>
      </w:r>
      <w:r w:rsidRPr="0003094C">
        <w:rPr>
          <w:rFonts w:cstheme="minorHAnsi"/>
        </w:rPr>
        <w:t xml:space="preserve"> 2021</w:t>
      </w:r>
      <w:r>
        <w:rPr>
          <w:rFonts w:cstheme="minorHAnsi"/>
        </w:rPr>
        <w:t xml:space="preserve"> (</w:t>
      </w:r>
      <w:r w:rsidRPr="00957F76">
        <w:rPr>
          <w:rFonts w:cstheme="minorHAnsi"/>
        </w:rPr>
        <w:t>zapojeno do zůstatku hospodaření SK z </w:t>
      </w:r>
      <w:r>
        <w:rPr>
          <w:rFonts w:cstheme="minorHAnsi"/>
        </w:rPr>
        <w:t xml:space="preserve">r. 2020 schváleného usnesením </w:t>
      </w:r>
      <w:r w:rsidRPr="00957F76">
        <w:rPr>
          <w:rFonts w:cstheme="minorHAnsi"/>
        </w:rPr>
        <w:t>č. 007-06/2021/ZK ze dne 26. 04. 2021)</w:t>
      </w:r>
      <w:r w:rsidRPr="0003094C">
        <w:rPr>
          <w:rFonts w:cstheme="minorHAnsi"/>
        </w:rPr>
        <w:t>.</w:t>
      </w:r>
      <w:r>
        <w:rPr>
          <w:rFonts w:cstheme="minorHAnsi"/>
        </w:rPr>
        <w:t xml:space="preserve"> </w:t>
      </w:r>
      <w:r w:rsidR="0072554E" w:rsidRPr="0003094C">
        <w:rPr>
          <w:rFonts w:cstheme="minorHAnsi"/>
        </w:rPr>
        <w:t xml:space="preserve">Finanční prostředky upraveného rozpočtu byly čerpány na úhradu poplatku </w:t>
      </w:r>
      <w:r w:rsidR="0072554E">
        <w:rPr>
          <w:rFonts w:cstheme="minorHAnsi"/>
        </w:rPr>
        <w:t>ve výši 100 000,00 Kč,</w:t>
      </w:r>
      <w:r w:rsidR="0072554E" w:rsidRPr="009B5630">
        <w:rPr>
          <w:rFonts w:cstheme="minorHAnsi"/>
        </w:rPr>
        <w:t xml:space="preserve"> </w:t>
      </w:r>
      <w:r w:rsidR="0072554E" w:rsidRPr="00153FDF">
        <w:rPr>
          <w:rFonts w:cstheme="minorHAnsi"/>
        </w:rPr>
        <w:t xml:space="preserve">což představuje plnění ve výši </w:t>
      </w:r>
      <w:r w:rsidR="0072554E">
        <w:rPr>
          <w:rFonts w:cstheme="minorHAnsi"/>
        </w:rPr>
        <w:t>63,2</w:t>
      </w:r>
      <w:r w:rsidR="0072554E" w:rsidRPr="00153FDF">
        <w:rPr>
          <w:rFonts w:cstheme="minorHAnsi"/>
        </w:rPr>
        <w:t xml:space="preserve"> %</w:t>
      </w:r>
      <w:r w:rsidR="0072554E">
        <w:rPr>
          <w:rFonts w:cstheme="minorHAnsi"/>
        </w:rPr>
        <w:t xml:space="preserve"> rozpočtu, </w:t>
      </w:r>
      <w:r w:rsidR="0072554E" w:rsidRPr="0003094C">
        <w:rPr>
          <w:rFonts w:cstheme="minorHAnsi"/>
        </w:rPr>
        <w:t>za členství Středočeského kraje ve spolku Sdružení energet</w:t>
      </w:r>
      <w:r w:rsidR="0072554E">
        <w:rPr>
          <w:rFonts w:cstheme="minorHAnsi"/>
        </w:rPr>
        <w:t>ických manažerů měst a obcí, z.</w:t>
      </w:r>
      <w:r w:rsidR="0072554E" w:rsidRPr="0003094C">
        <w:rPr>
          <w:rFonts w:cstheme="minorHAnsi"/>
        </w:rPr>
        <w:t>s. (dále jen SEMMO) v souladu s usnesením č. 073-34/2020/RK ze dne 8. 6. 2020. SEMMO je sdružením zaměřeným na realizaci energeticky úsporných opatření, využití obnovitelných zdrojů i související opatření v dopravě a naplnění myšlenky chytrých řešení s cílem podpory využití šetrných zdrojů energie a zároveň udržitelného rozvoje. Finanční prostředky budou dále použity n</w:t>
      </w:r>
      <w:r w:rsidR="0072554E">
        <w:rPr>
          <w:rFonts w:cstheme="minorHAnsi"/>
        </w:rPr>
        <w:t>a úhradu poplatků v dalších letech</w:t>
      </w:r>
      <w:r w:rsidR="0072554E" w:rsidRPr="00B6514F">
        <w:rPr>
          <w:rFonts w:cstheme="minorHAnsi"/>
        </w:rPr>
        <w:t>. Nevyčerpané účelové finanční prostředky ve výši 58 333,00 Kč budou pro další využití v rámci problematiky energetických úspor převedeny do rozpočtu r</w:t>
      </w:r>
      <w:r w:rsidR="0072554E">
        <w:rPr>
          <w:rFonts w:cstheme="minorHAnsi"/>
        </w:rPr>
        <w:t>.</w:t>
      </w:r>
      <w:r w:rsidR="0072554E" w:rsidRPr="00B6514F">
        <w:rPr>
          <w:rFonts w:cstheme="minorHAnsi"/>
        </w:rPr>
        <w:t xml:space="preserve"> 2022.</w:t>
      </w:r>
    </w:p>
    <w:p w14:paraId="71364A22" w14:textId="77777777" w:rsidR="0072554E" w:rsidRPr="0003094C" w:rsidRDefault="0072554E" w:rsidP="0072554E">
      <w:pPr>
        <w:spacing w:after="0" w:line="240" w:lineRule="auto"/>
        <w:jc w:val="both"/>
        <w:rPr>
          <w:rFonts w:cstheme="minorHAnsi"/>
          <w:color w:val="FF0000"/>
        </w:rPr>
      </w:pPr>
    </w:p>
    <w:p w14:paraId="4AC6F981" w14:textId="77777777" w:rsidR="0072554E" w:rsidRPr="0003094C" w:rsidRDefault="0072554E" w:rsidP="0072554E">
      <w:pPr>
        <w:spacing w:after="0" w:line="240" w:lineRule="auto"/>
        <w:jc w:val="both"/>
        <w:rPr>
          <w:rFonts w:cstheme="minorHAnsi"/>
          <w:b/>
        </w:rPr>
      </w:pPr>
      <w:r w:rsidRPr="0003094C">
        <w:rPr>
          <w:rFonts w:cstheme="minorHAnsi"/>
          <w:b/>
        </w:rPr>
        <w:t xml:space="preserve">§ 2143 – Vesnice </w:t>
      </w:r>
      <w:r>
        <w:rPr>
          <w:rFonts w:cstheme="minorHAnsi"/>
          <w:b/>
        </w:rPr>
        <w:t>roku</w:t>
      </w:r>
    </w:p>
    <w:p w14:paraId="4E5EAD25" w14:textId="6C699123" w:rsidR="0072554E" w:rsidRPr="0003094C" w:rsidRDefault="0072554E" w:rsidP="0072554E">
      <w:pPr>
        <w:spacing w:after="0" w:line="240" w:lineRule="auto"/>
        <w:jc w:val="both"/>
        <w:rPr>
          <w:rFonts w:cstheme="minorHAnsi"/>
          <w:b/>
        </w:rPr>
      </w:pPr>
      <w:r w:rsidRPr="0003094C">
        <w:rPr>
          <w:rFonts w:cstheme="minorHAnsi"/>
        </w:rPr>
        <w:t>Rozpočet byl upraven na základě usnesení 0</w:t>
      </w:r>
      <w:r>
        <w:rPr>
          <w:rFonts w:cstheme="minorHAnsi"/>
        </w:rPr>
        <w:t>09</w:t>
      </w:r>
      <w:r w:rsidRPr="0003094C">
        <w:rPr>
          <w:rFonts w:cstheme="minorHAnsi"/>
        </w:rPr>
        <w:t>–08/2021/RK ze dne 18. 2. 2021 převodem nevyčerpaných ú</w:t>
      </w:r>
      <w:r>
        <w:rPr>
          <w:rFonts w:cstheme="minorHAnsi"/>
        </w:rPr>
        <w:t xml:space="preserve">čelových finančních prostředků </w:t>
      </w:r>
      <w:r w:rsidRPr="0003094C">
        <w:rPr>
          <w:rFonts w:cstheme="minorHAnsi"/>
        </w:rPr>
        <w:t xml:space="preserve">z </w:t>
      </w:r>
      <w:r>
        <w:rPr>
          <w:rFonts w:cstheme="minorHAnsi"/>
        </w:rPr>
        <w:t>r.</w:t>
      </w:r>
      <w:r w:rsidRPr="0003094C">
        <w:rPr>
          <w:rFonts w:cstheme="minorHAnsi"/>
        </w:rPr>
        <w:t xml:space="preserve"> 2020 </w:t>
      </w:r>
      <w:r>
        <w:rPr>
          <w:rFonts w:cstheme="minorHAnsi"/>
        </w:rPr>
        <w:t xml:space="preserve">ve výši 1 147 790,34 Kč </w:t>
      </w:r>
      <w:r w:rsidRPr="0003094C">
        <w:rPr>
          <w:rFonts w:cstheme="minorHAnsi"/>
        </w:rPr>
        <w:t xml:space="preserve">do rozpočtu </w:t>
      </w:r>
      <w:r>
        <w:rPr>
          <w:rFonts w:cstheme="minorHAnsi"/>
        </w:rPr>
        <w:t>r. 2021 (</w:t>
      </w:r>
      <w:r w:rsidRPr="00957F76">
        <w:rPr>
          <w:rFonts w:cstheme="minorHAnsi"/>
        </w:rPr>
        <w:t>zap</w:t>
      </w:r>
      <w:r>
        <w:rPr>
          <w:rFonts w:cstheme="minorHAnsi"/>
        </w:rPr>
        <w:t>ojeno do zůstatku hospodaření Středočeského kraje</w:t>
      </w:r>
      <w:r w:rsidRPr="00957F76">
        <w:rPr>
          <w:rFonts w:cstheme="minorHAnsi"/>
        </w:rPr>
        <w:t xml:space="preserve"> z </w:t>
      </w:r>
      <w:r>
        <w:rPr>
          <w:rFonts w:cstheme="minorHAnsi"/>
        </w:rPr>
        <w:t xml:space="preserve">r. 2020 schváleného usnesením </w:t>
      </w:r>
      <w:r w:rsidRPr="00957F76">
        <w:rPr>
          <w:rFonts w:cstheme="minorHAnsi"/>
        </w:rPr>
        <w:t>č. 007-06/2021/ZK ze dne 26. 04. 2021)</w:t>
      </w:r>
      <w:r>
        <w:rPr>
          <w:rFonts w:cstheme="minorHAnsi"/>
        </w:rPr>
        <w:t>.</w:t>
      </w:r>
      <w:r w:rsidRPr="0003094C">
        <w:rPr>
          <w:rFonts w:cstheme="minorHAnsi"/>
        </w:rPr>
        <w:t xml:space="preserve"> Rozpočet nebyl čerpán, protože v </w:t>
      </w:r>
      <w:r>
        <w:rPr>
          <w:rFonts w:cstheme="minorHAnsi"/>
        </w:rPr>
        <w:t>r.</w:t>
      </w:r>
      <w:r w:rsidRPr="0003094C">
        <w:rPr>
          <w:rFonts w:cstheme="minorHAnsi"/>
        </w:rPr>
        <w:t xml:space="preserve"> 2021 nebyla soutěž Vesnice </w:t>
      </w:r>
      <w:r>
        <w:rPr>
          <w:rFonts w:cstheme="minorHAnsi"/>
        </w:rPr>
        <w:t>r</w:t>
      </w:r>
      <w:r w:rsidR="009E7CFC">
        <w:rPr>
          <w:rFonts w:cstheme="minorHAnsi"/>
        </w:rPr>
        <w:t>oku</w:t>
      </w:r>
      <w:r w:rsidRPr="0003094C">
        <w:rPr>
          <w:rFonts w:cstheme="minorHAnsi"/>
        </w:rPr>
        <w:t xml:space="preserve"> vyhlášena. </w:t>
      </w:r>
      <w:r>
        <w:rPr>
          <w:rFonts w:cstheme="minorHAnsi"/>
        </w:rPr>
        <w:t>Nevyčerpané f</w:t>
      </w:r>
      <w:r w:rsidRPr="0003094C">
        <w:rPr>
          <w:rFonts w:cstheme="minorHAnsi"/>
        </w:rPr>
        <w:t xml:space="preserve">inanční prostředky budou </w:t>
      </w:r>
      <w:r w:rsidRPr="00163EB1">
        <w:rPr>
          <w:rFonts w:cstheme="minorHAnsi"/>
        </w:rPr>
        <w:t>převedeny do rozpočtu r.  2022</w:t>
      </w:r>
      <w:r>
        <w:rPr>
          <w:rFonts w:cstheme="minorHAnsi"/>
        </w:rPr>
        <w:t xml:space="preserve"> </w:t>
      </w:r>
      <w:r w:rsidRPr="0003094C">
        <w:rPr>
          <w:rFonts w:cstheme="minorHAnsi"/>
        </w:rPr>
        <w:t xml:space="preserve">na </w:t>
      </w:r>
      <w:r>
        <w:rPr>
          <w:rFonts w:cstheme="minorHAnsi"/>
        </w:rPr>
        <w:t>realizaci soutěže Vesnice</w:t>
      </w:r>
      <w:r w:rsidRPr="0003094C">
        <w:rPr>
          <w:rFonts w:cstheme="minorHAnsi"/>
        </w:rPr>
        <w:t xml:space="preserve"> </w:t>
      </w:r>
      <w:r>
        <w:rPr>
          <w:rFonts w:cstheme="minorHAnsi"/>
        </w:rPr>
        <w:t>roku</w:t>
      </w:r>
      <w:r w:rsidRPr="0003094C">
        <w:rPr>
          <w:rFonts w:cstheme="minorHAnsi"/>
        </w:rPr>
        <w:t xml:space="preserve"> 2022.</w:t>
      </w:r>
    </w:p>
    <w:p w14:paraId="212531C5" w14:textId="77777777" w:rsidR="0072554E" w:rsidRPr="0003094C" w:rsidRDefault="0072554E" w:rsidP="0072554E">
      <w:pPr>
        <w:spacing w:after="0" w:line="240" w:lineRule="auto"/>
        <w:jc w:val="both"/>
        <w:rPr>
          <w:rFonts w:cstheme="minorHAnsi"/>
        </w:rPr>
      </w:pPr>
    </w:p>
    <w:p w14:paraId="2AF3176D" w14:textId="77777777" w:rsidR="0072554E" w:rsidRPr="0003094C" w:rsidRDefault="0072554E" w:rsidP="0072554E">
      <w:pPr>
        <w:spacing w:after="0" w:line="240" w:lineRule="auto"/>
        <w:jc w:val="both"/>
        <w:rPr>
          <w:rFonts w:cstheme="minorHAnsi"/>
          <w:b/>
        </w:rPr>
      </w:pPr>
      <w:r w:rsidRPr="0003094C">
        <w:rPr>
          <w:rFonts w:cstheme="minorHAnsi"/>
          <w:b/>
        </w:rPr>
        <w:t>§ 2223 – Bezpečnost silničního provozu</w:t>
      </w:r>
    </w:p>
    <w:p w14:paraId="4AD687AA" w14:textId="3E2FAB4F" w:rsidR="0072554E" w:rsidRPr="0003094C" w:rsidRDefault="0072554E" w:rsidP="0072554E">
      <w:pPr>
        <w:spacing w:after="0" w:line="240" w:lineRule="auto"/>
        <w:jc w:val="both"/>
        <w:rPr>
          <w:rFonts w:cstheme="minorHAnsi"/>
        </w:rPr>
      </w:pPr>
      <w:r w:rsidRPr="0003094C">
        <w:rPr>
          <w:rFonts w:cstheme="minorHAnsi"/>
        </w:rPr>
        <w:t xml:space="preserve">V srpnu 2017 ukončil Středočeský kraj realizaci projektu Bezpečný Středočeský kraj – od září 2017 jsou poskytovány finanční prostředky na opravy a havárie prvků aktivního monitoringu. Do </w:t>
      </w:r>
      <w:r>
        <w:rPr>
          <w:rFonts w:cstheme="minorHAnsi"/>
        </w:rPr>
        <w:t>r. 2021 byly převedeny dle usnesení</w:t>
      </w:r>
      <w:r w:rsidRPr="0003094C">
        <w:rPr>
          <w:rFonts w:cstheme="minorHAnsi"/>
        </w:rPr>
        <w:t xml:space="preserve"> č. 007-06/2021/RK ze dne 11. 2. 2021 nevyčerpané finanční prostředky z </w:t>
      </w:r>
      <w:r>
        <w:rPr>
          <w:rFonts w:cstheme="minorHAnsi"/>
        </w:rPr>
        <w:t>r.</w:t>
      </w:r>
      <w:r w:rsidRPr="0003094C">
        <w:rPr>
          <w:rFonts w:cstheme="minorHAnsi"/>
        </w:rPr>
        <w:t xml:space="preserve"> 2020 v celkové výši 1 425 633,75 Kč na opravy a zajištění kalibrace a ověření dynamických vah</w:t>
      </w:r>
      <w:r>
        <w:rPr>
          <w:rFonts w:cstheme="minorHAnsi"/>
        </w:rPr>
        <w:t xml:space="preserve"> (</w:t>
      </w:r>
      <w:r w:rsidRPr="00957F76">
        <w:rPr>
          <w:rFonts w:cstheme="minorHAnsi"/>
        </w:rPr>
        <w:t>zapojeno do zůstatku hospodaření SK z </w:t>
      </w:r>
      <w:r>
        <w:rPr>
          <w:rFonts w:cstheme="minorHAnsi"/>
        </w:rPr>
        <w:t xml:space="preserve">r. 2020 schváleného usnesením </w:t>
      </w:r>
      <w:r w:rsidRPr="00957F76">
        <w:rPr>
          <w:rFonts w:cstheme="minorHAnsi"/>
        </w:rPr>
        <w:t>č. 007-06/2021/ZK ze dne 26. 04. 2021</w:t>
      </w:r>
      <w:r w:rsidRPr="00F301F7">
        <w:rPr>
          <w:rFonts w:cstheme="minorHAnsi"/>
        </w:rPr>
        <w:t xml:space="preserve">). </w:t>
      </w:r>
      <w:r w:rsidR="009E7CFC" w:rsidRPr="00153FDF">
        <w:rPr>
          <w:rFonts w:cstheme="minorHAnsi"/>
        </w:rPr>
        <w:t xml:space="preserve">Zároveň došlo schváleným usnesením č. 035-36/2021/RK ze dne 23. 9. 2021 k převodu finančních prostředků </w:t>
      </w:r>
      <w:r w:rsidR="009E7CFC">
        <w:rPr>
          <w:rFonts w:cstheme="minorHAnsi"/>
        </w:rPr>
        <w:t xml:space="preserve">ve výši </w:t>
      </w:r>
      <w:r w:rsidR="009E7CFC" w:rsidRPr="00163EB1">
        <w:rPr>
          <w:rFonts w:cstheme="minorHAnsi"/>
        </w:rPr>
        <w:t>150 000,00 Kč z</w:t>
      </w:r>
      <w:r w:rsidR="009E7CFC" w:rsidRPr="00153FDF">
        <w:rPr>
          <w:rFonts w:cstheme="minorHAnsi"/>
        </w:rPr>
        <w:t> </w:t>
      </w:r>
      <w:r w:rsidR="009E7CFC">
        <w:rPr>
          <w:rFonts w:cstheme="minorHAnsi"/>
        </w:rPr>
        <w:t>kapitoly</w:t>
      </w:r>
      <w:r w:rsidR="009E7CFC" w:rsidRPr="00153FDF">
        <w:rPr>
          <w:rFonts w:cstheme="minorHAnsi"/>
        </w:rPr>
        <w:t xml:space="preserve"> 23 do </w:t>
      </w:r>
      <w:r w:rsidR="009E7CFC">
        <w:rPr>
          <w:rFonts w:cstheme="minorHAnsi"/>
        </w:rPr>
        <w:t>kapitoly</w:t>
      </w:r>
      <w:r w:rsidR="009E7CFC" w:rsidRPr="00153FDF">
        <w:rPr>
          <w:rFonts w:cstheme="minorHAnsi"/>
        </w:rPr>
        <w:t xml:space="preserve"> </w:t>
      </w:r>
      <w:r w:rsidR="009E7CFC">
        <w:rPr>
          <w:rFonts w:cstheme="minorHAnsi"/>
        </w:rPr>
        <w:t>09 - Evropská integrace</w:t>
      </w:r>
      <w:r w:rsidR="009E7CFC" w:rsidRPr="00153FDF">
        <w:rPr>
          <w:rFonts w:cstheme="minorHAnsi"/>
        </w:rPr>
        <w:t xml:space="preserve"> na opravy.</w:t>
      </w:r>
      <w:r w:rsidR="009E7CFC">
        <w:rPr>
          <w:rFonts w:cstheme="minorHAnsi"/>
        </w:rPr>
        <w:t xml:space="preserve"> </w:t>
      </w:r>
      <w:r w:rsidRPr="0003094C">
        <w:rPr>
          <w:rFonts w:cstheme="minorHAnsi"/>
        </w:rPr>
        <w:t>V I.</w:t>
      </w:r>
      <w:r w:rsidR="009E7CFC">
        <w:rPr>
          <w:rFonts w:cstheme="minorHAnsi"/>
        </w:rPr>
        <w:t> </w:t>
      </w:r>
      <w:r w:rsidRPr="0003094C">
        <w:rPr>
          <w:rFonts w:cstheme="minorHAnsi"/>
        </w:rPr>
        <w:t xml:space="preserve">polovině </w:t>
      </w:r>
      <w:r>
        <w:rPr>
          <w:rFonts w:cstheme="minorHAnsi"/>
        </w:rPr>
        <w:t>r.</w:t>
      </w:r>
      <w:r w:rsidRPr="0003094C">
        <w:rPr>
          <w:rFonts w:cstheme="minorHAnsi"/>
        </w:rPr>
        <w:t xml:space="preserve"> 2021 byly čerpány finanční prostředky ve výši 19 118,00 Kč na opravy prvků aktivního monitoringu</w:t>
      </w:r>
      <w:bookmarkStart w:id="45" w:name="_Hlk97016896"/>
      <w:r>
        <w:rPr>
          <w:rFonts w:cstheme="minorHAnsi"/>
        </w:rPr>
        <w:t>, v</w:t>
      </w:r>
      <w:r w:rsidRPr="00153FDF">
        <w:rPr>
          <w:rFonts w:cstheme="minorHAnsi"/>
        </w:rPr>
        <w:t xml:space="preserve">e II. polovině </w:t>
      </w:r>
      <w:r>
        <w:rPr>
          <w:rFonts w:cstheme="minorHAnsi"/>
        </w:rPr>
        <w:t>r.</w:t>
      </w:r>
      <w:r w:rsidRPr="00153FDF">
        <w:rPr>
          <w:rFonts w:cstheme="minorHAnsi"/>
        </w:rPr>
        <w:t xml:space="preserve"> byly čerpány finanční prostředky ve </w:t>
      </w:r>
      <w:r w:rsidRPr="00163EB1">
        <w:rPr>
          <w:rFonts w:cstheme="minorHAnsi"/>
        </w:rPr>
        <w:t>výši 86 109,00 Kč, což</w:t>
      </w:r>
      <w:r w:rsidRPr="00153FDF">
        <w:rPr>
          <w:rFonts w:cstheme="minorHAnsi"/>
        </w:rPr>
        <w:t xml:space="preserve"> představuje plnění ve výši 6,7 %.</w:t>
      </w:r>
      <w:bookmarkEnd w:id="45"/>
      <w:r w:rsidRPr="00153FDF">
        <w:rPr>
          <w:rFonts w:cstheme="minorHAnsi"/>
        </w:rPr>
        <w:t xml:space="preserve"> Zbývající </w:t>
      </w:r>
      <w:r>
        <w:rPr>
          <w:rFonts w:cstheme="minorHAnsi"/>
        </w:rPr>
        <w:t xml:space="preserve">nevyčerpané finanční </w:t>
      </w:r>
      <w:r w:rsidRPr="00153FDF">
        <w:rPr>
          <w:rFonts w:cstheme="minorHAnsi"/>
        </w:rPr>
        <w:t xml:space="preserve">prostředky budou </w:t>
      </w:r>
      <w:r>
        <w:rPr>
          <w:rFonts w:cstheme="minorHAnsi"/>
        </w:rPr>
        <w:t xml:space="preserve">převedeny do rozpočtu r. 2022 a </w:t>
      </w:r>
      <w:r w:rsidRPr="00153FDF">
        <w:rPr>
          <w:rFonts w:cstheme="minorHAnsi"/>
        </w:rPr>
        <w:t>vyčerpány v </w:t>
      </w:r>
      <w:r>
        <w:rPr>
          <w:rFonts w:cstheme="minorHAnsi"/>
        </w:rPr>
        <w:t>r.</w:t>
      </w:r>
      <w:r w:rsidRPr="00153FDF">
        <w:rPr>
          <w:rFonts w:cstheme="minorHAnsi"/>
        </w:rPr>
        <w:t xml:space="preserve"> 2022 na zajištění kalibrace a ověření dynamických vah. Středočeský </w:t>
      </w:r>
      <w:r w:rsidRPr="0003094C">
        <w:rPr>
          <w:rFonts w:cstheme="minorHAnsi"/>
        </w:rPr>
        <w:t xml:space="preserve">kraj je zavázán zajistit funkčnost (provoz) prvků aktivního monitoringu (radarů a dynamických vah) po dobu 8 let udržitelnosti, tj. do </w:t>
      </w:r>
      <w:r>
        <w:rPr>
          <w:rFonts w:cstheme="minorHAnsi"/>
        </w:rPr>
        <w:t>r.</w:t>
      </w:r>
      <w:r w:rsidRPr="0003094C">
        <w:rPr>
          <w:rFonts w:cstheme="minorHAnsi"/>
        </w:rPr>
        <w:t xml:space="preserve"> 2025. </w:t>
      </w:r>
      <w:r>
        <w:rPr>
          <w:rFonts w:cstheme="minorHAnsi"/>
        </w:rPr>
        <w:t xml:space="preserve"> </w:t>
      </w:r>
    </w:p>
    <w:p w14:paraId="231F6126" w14:textId="77777777" w:rsidR="0072554E" w:rsidRPr="0003094C" w:rsidRDefault="0072554E" w:rsidP="0072554E">
      <w:pPr>
        <w:spacing w:after="0" w:line="240" w:lineRule="auto"/>
        <w:jc w:val="both"/>
        <w:rPr>
          <w:rFonts w:cstheme="minorHAnsi"/>
        </w:rPr>
      </w:pPr>
    </w:p>
    <w:p w14:paraId="05DEA0DC" w14:textId="77777777" w:rsidR="0072554E" w:rsidRPr="0003094C" w:rsidRDefault="0072554E" w:rsidP="0072554E">
      <w:pPr>
        <w:spacing w:after="0" w:line="240" w:lineRule="auto"/>
        <w:jc w:val="both"/>
        <w:rPr>
          <w:rFonts w:cstheme="minorHAnsi"/>
          <w:b/>
        </w:rPr>
      </w:pPr>
      <w:r w:rsidRPr="0003094C">
        <w:rPr>
          <w:rFonts w:cstheme="minorHAnsi"/>
          <w:b/>
        </w:rPr>
        <w:t>§ 2510 – Středočeské inovační centrum</w:t>
      </w:r>
    </w:p>
    <w:p w14:paraId="48CDD849" w14:textId="77777777" w:rsidR="0072554E" w:rsidRPr="00792ECC" w:rsidRDefault="0072554E" w:rsidP="0072554E">
      <w:pPr>
        <w:autoSpaceDE w:val="0"/>
        <w:autoSpaceDN w:val="0"/>
        <w:adjustRightInd w:val="0"/>
        <w:spacing w:after="0" w:line="240" w:lineRule="auto"/>
        <w:jc w:val="both"/>
        <w:rPr>
          <w:rFonts w:cstheme="minorHAnsi"/>
        </w:rPr>
      </w:pPr>
      <w:r w:rsidRPr="00792ECC">
        <w:rPr>
          <w:rFonts w:cstheme="minorHAnsi"/>
        </w:rPr>
        <w:t xml:space="preserve">Rozpočet byl upraven usnesením č. 006-17/2021/RK ze dne 15. 4. 2021 - Rozpočtová úprava č. 174/08/2021 – převod finančních prostředků z kapitoly 08 – Regionální rozvoj do kapitoly </w:t>
      </w:r>
      <w:r>
        <w:rPr>
          <w:rFonts w:cstheme="minorHAnsi"/>
        </w:rPr>
        <w:t>09 – Evropská integrace na</w:t>
      </w:r>
      <w:r w:rsidRPr="00792ECC">
        <w:rPr>
          <w:rFonts w:cstheme="minorHAnsi"/>
        </w:rPr>
        <w:t xml:space="preserve"> částku 14 493 000,00 Kč. Jedná se o převod finančních prostředků z Odboru regionálního rozvoje do kapitoly </w:t>
      </w:r>
      <w:r>
        <w:rPr>
          <w:rFonts w:cstheme="minorHAnsi"/>
        </w:rPr>
        <w:t>09 - Evropská integrace</w:t>
      </w:r>
      <w:r w:rsidRPr="00792ECC">
        <w:rPr>
          <w:rFonts w:cstheme="minorHAnsi"/>
        </w:rPr>
        <w:t xml:space="preserve">, z důvodu převodu agendy z Odboru regionálního rozvoje do Odboru řízení dotačních projektů, na základě Opatření ředitele Krajského úřadu Středočeského kraje č. 3/2021, kterým se mění Organizační řád Krajského úřadu Středočeského kraje s účinností dne 1. 4. 2021. Dále byl rozpočet navýšen usnesením č. 029-47/2021/RK ze dne 16.12.2021 - zapojení finančních prostředků do příjmů a výdajů kapitoly </w:t>
      </w:r>
      <w:r>
        <w:rPr>
          <w:rFonts w:cstheme="minorHAnsi"/>
        </w:rPr>
        <w:t>09 - Evropská integrace</w:t>
      </w:r>
      <w:r w:rsidRPr="00792ECC">
        <w:rPr>
          <w:rFonts w:cstheme="minorHAnsi"/>
        </w:rPr>
        <w:t xml:space="preserve"> na částku 14 658 102,72 Kč. </w:t>
      </w:r>
    </w:p>
    <w:p w14:paraId="1BEF437C" w14:textId="77777777" w:rsidR="0072554E" w:rsidRDefault="0072554E" w:rsidP="0072554E">
      <w:pPr>
        <w:spacing w:after="0" w:line="240" w:lineRule="auto"/>
        <w:jc w:val="both"/>
        <w:rPr>
          <w:rFonts w:cstheme="minorHAnsi"/>
        </w:rPr>
      </w:pPr>
      <w:r w:rsidRPr="00792ECC">
        <w:rPr>
          <w:rFonts w:cstheme="minorHAnsi"/>
        </w:rPr>
        <w:t>Finanční prostředky ve výši 98</w:t>
      </w:r>
      <w:r>
        <w:rPr>
          <w:rFonts w:cstheme="minorHAnsi"/>
        </w:rPr>
        <w:t>,0</w:t>
      </w:r>
      <w:r w:rsidRPr="00792ECC">
        <w:rPr>
          <w:rFonts w:cstheme="minorHAnsi"/>
        </w:rPr>
        <w:t xml:space="preserve"> % byly čerpány na financování provozu a inovačních aktivit spolku v </w:t>
      </w:r>
      <w:r>
        <w:rPr>
          <w:rFonts w:cstheme="minorHAnsi"/>
        </w:rPr>
        <w:t>r.</w:t>
      </w:r>
      <w:r w:rsidRPr="00792ECC">
        <w:rPr>
          <w:rFonts w:cstheme="minorHAnsi"/>
        </w:rPr>
        <w:t xml:space="preserve"> 2021 a jedná se o proplacení druhé části dotace ve výši 14 355 000,00 Kč dle uzavřené smlouvy, první část dotace ve výši 14 355 000,00 Kč byla proplacena z kapitoly 08 – Regionální rozvoj. Celková výše dotace je 28 710 000,00 Kč a byla schválena Zastupitelstvem Středočeského kraje usnesením č. 032-02/2020/ZK ze dne 14. 12. 2020 na základě žádosti spolku o poskytnutí dotace. Dále byly finanční prostředky čerpány na uhrazení členského příspěvku ve výši 5 000,00 Kč za rok 2021</w:t>
      </w:r>
      <w:r>
        <w:rPr>
          <w:rFonts w:cstheme="minorHAnsi"/>
        </w:rPr>
        <w:t>.</w:t>
      </w:r>
    </w:p>
    <w:p w14:paraId="44FCB327" w14:textId="77777777" w:rsidR="0072554E" w:rsidRPr="0003094C" w:rsidRDefault="0072554E" w:rsidP="0072554E">
      <w:pPr>
        <w:spacing w:after="0" w:line="240" w:lineRule="auto"/>
        <w:jc w:val="both"/>
        <w:rPr>
          <w:rFonts w:cstheme="minorHAnsi"/>
        </w:rPr>
      </w:pPr>
    </w:p>
    <w:p w14:paraId="2D71C778" w14:textId="77777777" w:rsidR="0072554E" w:rsidRPr="0003094C" w:rsidRDefault="0072554E" w:rsidP="0072554E">
      <w:pPr>
        <w:spacing w:after="0" w:line="240" w:lineRule="auto"/>
        <w:jc w:val="both"/>
        <w:rPr>
          <w:rFonts w:cstheme="minorHAnsi"/>
          <w:b/>
        </w:rPr>
      </w:pPr>
      <w:r w:rsidRPr="0003094C">
        <w:rPr>
          <w:rFonts w:cstheme="minorHAnsi"/>
          <w:b/>
        </w:rPr>
        <w:t>§ 2510 –</w:t>
      </w:r>
      <w:r>
        <w:rPr>
          <w:rFonts w:cstheme="minorHAnsi"/>
          <w:b/>
        </w:rPr>
        <w:t xml:space="preserve"> Středočeské inovační centrum – Středočeské</w:t>
      </w:r>
      <w:r w:rsidRPr="0003094C">
        <w:rPr>
          <w:rFonts w:cstheme="minorHAnsi"/>
          <w:b/>
        </w:rPr>
        <w:t xml:space="preserve"> podnikatelské vouchery</w:t>
      </w:r>
    </w:p>
    <w:p w14:paraId="00FE1A71" w14:textId="77777777" w:rsidR="0072554E" w:rsidRPr="00792ECC" w:rsidRDefault="0072554E" w:rsidP="0072554E">
      <w:pPr>
        <w:spacing w:after="0" w:line="240" w:lineRule="auto"/>
        <w:jc w:val="both"/>
        <w:rPr>
          <w:rFonts w:cstheme="minorHAnsi"/>
        </w:rPr>
      </w:pPr>
      <w:r w:rsidRPr="00792ECC">
        <w:rPr>
          <w:rFonts w:cstheme="minorHAnsi"/>
        </w:rPr>
        <w:lastRenderedPageBreak/>
        <w:t xml:space="preserve">Rozpočet byl upraven usnesením č. 006-17/2021/RK ze dne 15. 4. 2021 - Rozpočtová úprava č. 174/08/2021 – převod finančních prostředků z kapitoly 08 – Regionální rozvoj do kapitoly </w:t>
      </w:r>
      <w:r>
        <w:rPr>
          <w:rFonts w:cstheme="minorHAnsi"/>
        </w:rPr>
        <w:t>09 – Evropská integrace na</w:t>
      </w:r>
      <w:r w:rsidRPr="00792ECC">
        <w:rPr>
          <w:rFonts w:cstheme="minorHAnsi"/>
        </w:rPr>
        <w:t xml:space="preserve"> částku 743 072,59 Kč. Jedná se o převod finančních prostředků z Odboru regionálního rozvoje do kapitoly </w:t>
      </w:r>
      <w:r>
        <w:rPr>
          <w:rFonts w:cstheme="minorHAnsi"/>
        </w:rPr>
        <w:t>09 - Evropská integrace</w:t>
      </w:r>
      <w:r w:rsidRPr="00792ECC">
        <w:rPr>
          <w:rFonts w:cstheme="minorHAnsi"/>
        </w:rPr>
        <w:t>, z důvodu převodu agendy z Odboru regionálního rozvoje do Odboru řízení dotačních projektů, na základě Opatření ředitele Krajského úřadu Středočeského kraje č. 3/2021, kterým se mění Organizační řád Krajského úřadu Středočeského kraje s účinností dne 1. 4. 2021.</w:t>
      </w:r>
    </w:p>
    <w:p w14:paraId="2F491E58" w14:textId="367E3776" w:rsidR="0072554E" w:rsidRPr="00792ECC" w:rsidRDefault="0072554E" w:rsidP="0072554E">
      <w:pPr>
        <w:spacing w:after="0"/>
        <w:jc w:val="both"/>
        <w:rPr>
          <w:rFonts w:cstheme="minorHAnsi"/>
        </w:rPr>
      </w:pPr>
      <w:r w:rsidRPr="00792ECC">
        <w:rPr>
          <w:rFonts w:cstheme="minorHAnsi"/>
        </w:rPr>
        <w:t>Finanční prostředky ve výši 100</w:t>
      </w:r>
      <w:r w:rsidR="009E7CFC">
        <w:rPr>
          <w:rFonts w:cstheme="minorHAnsi"/>
        </w:rPr>
        <w:t>,0</w:t>
      </w:r>
      <w:r w:rsidRPr="00792ECC">
        <w:rPr>
          <w:rFonts w:cstheme="minorHAnsi"/>
        </w:rPr>
        <w:t xml:space="preserve"> % byly čerpány na dodatečnou účelovou neinvestiční dotaci z rozpočtu Středočeského kraje na realizaci programů Středočeské podnikatelské vouchery 2021 na základě Usnesení č. 029-05/2021/ZK ze dne 29. 3. 2021. Středočeské podnikatelské vouchery 2021 již schválilo k realizaci Zastupitelstvo Středočeského kraje usnesením č. 018-03/2021/ZK ze dne 25. 1. 2021 s dotací 12</w:t>
      </w:r>
      <w:r>
        <w:rPr>
          <w:rFonts w:cstheme="minorHAnsi"/>
        </w:rPr>
        <w:t> 000 000,00</w:t>
      </w:r>
      <w:r w:rsidRPr="00792ECC">
        <w:rPr>
          <w:rFonts w:cstheme="minorHAnsi"/>
        </w:rPr>
        <w:t xml:space="preserve"> Kč a následně byla dne 5. 2. 2021 uzavřena smlouva č. S-0333/REG/2021 a finanční prostředky byly proplaceny z kapitoly 08 – Regionální rozvoj. </w:t>
      </w:r>
    </w:p>
    <w:p w14:paraId="231DDFC7" w14:textId="77777777" w:rsidR="0072554E" w:rsidRDefault="0072554E" w:rsidP="0072554E">
      <w:pPr>
        <w:spacing w:after="0"/>
        <w:jc w:val="both"/>
        <w:rPr>
          <w:rFonts w:cstheme="minorHAnsi"/>
        </w:rPr>
      </w:pPr>
      <w:r w:rsidRPr="00792ECC">
        <w:rPr>
          <w:rFonts w:cstheme="minorHAnsi"/>
        </w:rPr>
        <w:t xml:space="preserve">Podnikatelský voucher je finanční nástroj podporující inovační firmy ze Středočeského kraje s ambicí mezinárodního rozvoje, které mají šanci v budoucnu významně přispět k ekonomickému rozvoji kraje. Program naváže na pět výzev inovačních voucherů a tři výzvy kreativních voucherů a podpoří firmy při využití specializovaných služeb s vysokou přidanou hodnotou v oblasti vývoje, designu, marketingu apod. a umožní jim plně se soustředit na vlastní vnitřní kompetence, aniž by zanedbávaly další, které nemají a jsou přitom k úspěšnému rozvoji firmy klíčové. Díky klientskému přístupu k žadatelům, který SIC začal používat od </w:t>
      </w:r>
      <w:r>
        <w:rPr>
          <w:rFonts w:cstheme="minorHAnsi"/>
        </w:rPr>
        <w:t>r.</w:t>
      </w:r>
      <w:r w:rsidRPr="00792ECC">
        <w:rPr>
          <w:rFonts w:cstheme="minorHAnsi"/>
        </w:rPr>
        <w:t xml:space="preserve"> 2020, se ukazuje, že je lepší nabízet firmám jeden program s pestřejším portfoliem uznatelných nákladů, které umožní na základě detailního seznámení se se situací konkrétní firmy reagovat na její individuální potřeby tak, aby došlo k maximalizaci přínosu podpory jak pro firmu, tak pro regionální ekonomiku. Tento postup je i efektivnější z hlediska administrativních nákladů spojených s programem. Dalším přínosem programu je to, že si nekonkuruje se státními či evropskými programy, ale vhodně je na regionální úrovni doplňuje.</w:t>
      </w:r>
    </w:p>
    <w:p w14:paraId="4C1E910C" w14:textId="77777777" w:rsidR="0072554E" w:rsidRDefault="0072554E" w:rsidP="0072554E">
      <w:pPr>
        <w:spacing w:after="0"/>
        <w:jc w:val="both"/>
        <w:rPr>
          <w:rFonts w:cstheme="minorHAnsi"/>
        </w:rPr>
      </w:pPr>
    </w:p>
    <w:p w14:paraId="4BAF60F3" w14:textId="7EA65F0F" w:rsidR="0072554E" w:rsidRDefault="0072554E" w:rsidP="0072554E">
      <w:pPr>
        <w:spacing w:after="0" w:line="240" w:lineRule="auto"/>
        <w:jc w:val="both"/>
        <w:rPr>
          <w:rFonts w:cstheme="minorHAnsi"/>
        </w:rPr>
      </w:pPr>
      <w:r w:rsidRPr="00792ECC">
        <w:rPr>
          <w:rFonts w:cstheme="minorHAnsi"/>
          <w:b/>
        </w:rPr>
        <w:t xml:space="preserve">§ 2510 – Středočeské inovační centrum – projekt PLATINN </w:t>
      </w:r>
      <w:r w:rsidR="00050636">
        <w:rPr>
          <w:rFonts w:cstheme="minorHAnsi"/>
          <w:b/>
        </w:rPr>
        <w:t>– neinvestiční transfery spolkům</w:t>
      </w:r>
    </w:p>
    <w:p w14:paraId="22271582" w14:textId="77777777" w:rsidR="0072554E" w:rsidRPr="00792ECC" w:rsidRDefault="0072554E" w:rsidP="0072554E">
      <w:pPr>
        <w:spacing w:after="0" w:line="240" w:lineRule="auto"/>
        <w:jc w:val="both"/>
        <w:rPr>
          <w:rFonts w:cstheme="minorHAnsi"/>
        </w:rPr>
      </w:pPr>
      <w:r w:rsidRPr="00792ECC">
        <w:rPr>
          <w:rFonts w:cstheme="minorHAnsi"/>
        </w:rPr>
        <w:t xml:space="preserve">Rozpočet byl upraven usnesením č. 029-47/2021/RK ze dne 16.12.2021 - zapojení finančních prostředků do příjmů a výdajů kapitoly </w:t>
      </w:r>
      <w:r>
        <w:rPr>
          <w:rFonts w:cstheme="minorHAnsi"/>
        </w:rPr>
        <w:t>09 - Evropská integrace</w:t>
      </w:r>
      <w:r w:rsidRPr="00792ECC">
        <w:rPr>
          <w:rFonts w:cstheme="minorHAnsi"/>
        </w:rPr>
        <w:t xml:space="preserve"> na částku 347 570,33 Kč. </w:t>
      </w:r>
    </w:p>
    <w:p w14:paraId="5070DDCA" w14:textId="11244709" w:rsidR="0072554E" w:rsidRPr="00792ECC" w:rsidRDefault="0072554E" w:rsidP="0072554E">
      <w:pPr>
        <w:spacing w:after="0" w:line="240" w:lineRule="auto"/>
        <w:jc w:val="both"/>
        <w:rPr>
          <w:rFonts w:cstheme="minorHAnsi"/>
        </w:rPr>
      </w:pPr>
      <w:r w:rsidRPr="00792ECC">
        <w:rPr>
          <w:rFonts w:cstheme="minorHAnsi"/>
        </w:rPr>
        <w:t>Uvedené finanční prostředky byly vráceny v rámci finančního vypořádání poskytnuté dotace na program podporující inovační aktivity podniků působící ve Středočeském kraji - „Program PLATINN“ v </w:t>
      </w:r>
      <w:r>
        <w:rPr>
          <w:rFonts w:cstheme="minorHAnsi"/>
        </w:rPr>
        <w:t>r.</w:t>
      </w:r>
      <w:r w:rsidRPr="00792ECC">
        <w:rPr>
          <w:rFonts w:cstheme="minorHAnsi"/>
        </w:rPr>
        <w:t xml:space="preserve"> 2021.</w:t>
      </w:r>
      <w:r>
        <w:rPr>
          <w:rFonts w:cstheme="minorHAnsi"/>
        </w:rPr>
        <w:t xml:space="preserve"> </w:t>
      </w:r>
      <w:r w:rsidRPr="00163EB1">
        <w:rPr>
          <w:rFonts w:cstheme="minorHAnsi"/>
        </w:rPr>
        <w:t>V r. 2021 nebylo čerpáno</w:t>
      </w:r>
      <w:r w:rsidR="009E7CFC">
        <w:rPr>
          <w:rFonts w:cstheme="minorHAnsi"/>
        </w:rPr>
        <w:t xml:space="preserve">. </w:t>
      </w:r>
    </w:p>
    <w:p w14:paraId="3EC148A6" w14:textId="77777777" w:rsidR="0072554E" w:rsidRPr="0003094C" w:rsidRDefault="0072554E" w:rsidP="0072554E">
      <w:pPr>
        <w:spacing w:after="0" w:line="240" w:lineRule="auto"/>
        <w:jc w:val="both"/>
        <w:rPr>
          <w:rFonts w:cstheme="minorHAnsi"/>
          <w:b/>
        </w:rPr>
      </w:pPr>
    </w:p>
    <w:p w14:paraId="180CD03D" w14:textId="77777777" w:rsidR="0072554E" w:rsidRPr="0003094C" w:rsidRDefault="0072554E" w:rsidP="0072554E">
      <w:pPr>
        <w:spacing w:after="0" w:line="240" w:lineRule="auto"/>
        <w:jc w:val="both"/>
        <w:rPr>
          <w:rFonts w:cstheme="minorHAnsi"/>
          <w:b/>
        </w:rPr>
      </w:pPr>
      <w:r w:rsidRPr="0003094C">
        <w:rPr>
          <w:rFonts w:cstheme="minorHAnsi"/>
          <w:b/>
        </w:rPr>
        <w:t>§ 2510 – Podpora podnikání – příspěvek příspěvkové organizaci Regionální dotační kancelář</w:t>
      </w:r>
    </w:p>
    <w:p w14:paraId="3E9D7606" w14:textId="7269DD75" w:rsidR="0072554E" w:rsidRPr="0003094C" w:rsidRDefault="0072554E" w:rsidP="0072554E">
      <w:pPr>
        <w:spacing w:after="0" w:line="240" w:lineRule="auto"/>
        <w:jc w:val="both"/>
        <w:rPr>
          <w:rFonts w:cstheme="minorHAnsi"/>
        </w:rPr>
      </w:pPr>
      <w:r w:rsidRPr="0003094C">
        <w:rPr>
          <w:rFonts w:cstheme="minorHAnsi"/>
        </w:rPr>
        <w:t>Regionální dotační kancelář, příspěvková organizace, vznikla k 1. květnu 2017. Hlavním účelem jejího zřízení je efektivní čerpání dotačních prostředků ze struktu</w:t>
      </w:r>
      <w:r>
        <w:rPr>
          <w:rFonts w:cstheme="minorHAnsi"/>
        </w:rPr>
        <w:t xml:space="preserve">rálních fondů Evropské unie. Na základě </w:t>
      </w:r>
      <w:r w:rsidRPr="0003094C">
        <w:rPr>
          <w:rFonts w:cstheme="minorHAnsi"/>
        </w:rPr>
        <w:t xml:space="preserve">usnesení č. 032-87/2020/RK ze dne 17. 12. 2020 </w:t>
      </w:r>
      <w:r>
        <w:rPr>
          <w:rFonts w:cstheme="minorHAnsi"/>
        </w:rPr>
        <w:t xml:space="preserve">byly schváleny </w:t>
      </w:r>
      <w:r w:rsidRPr="0003094C">
        <w:rPr>
          <w:rFonts w:cstheme="minorHAnsi"/>
        </w:rPr>
        <w:t xml:space="preserve">Regionální dotační kanceláři </w:t>
      </w:r>
      <w:r>
        <w:rPr>
          <w:rFonts w:cstheme="minorHAnsi"/>
        </w:rPr>
        <w:t xml:space="preserve">na rok 2021 </w:t>
      </w:r>
      <w:r w:rsidRPr="0003094C">
        <w:rPr>
          <w:rFonts w:cstheme="minorHAnsi"/>
        </w:rPr>
        <w:t xml:space="preserve">finanční </w:t>
      </w:r>
      <w:r>
        <w:rPr>
          <w:rFonts w:cstheme="minorHAnsi"/>
        </w:rPr>
        <w:t xml:space="preserve">prostředky </w:t>
      </w:r>
      <w:r w:rsidRPr="0003094C">
        <w:rPr>
          <w:rFonts w:cstheme="minorHAnsi"/>
        </w:rPr>
        <w:t xml:space="preserve">ve výši 21 780 000,00 Kč. </w:t>
      </w:r>
      <w:r>
        <w:rPr>
          <w:rFonts w:cstheme="minorHAnsi"/>
        </w:rPr>
        <w:t>Usnesením č. 005-46/2021/RK ze dne 9.</w:t>
      </w:r>
      <w:r w:rsidR="00A03CC2">
        <w:rPr>
          <w:rFonts w:cstheme="minorHAnsi"/>
        </w:rPr>
        <w:t xml:space="preserve"> </w:t>
      </w:r>
      <w:r>
        <w:rPr>
          <w:rFonts w:cstheme="minorHAnsi"/>
        </w:rPr>
        <w:t>12.</w:t>
      </w:r>
      <w:r w:rsidR="00A03CC2">
        <w:rPr>
          <w:rFonts w:cstheme="minorHAnsi"/>
        </w:rPr>
        <w:t xml:space="preserve"> </w:t>
      </w:r>
      <w:r>
        <w:rPr>
          <w:rFonts w:cstheme="minorHAnsi"/>
        </w:rPr>
        <w:t>2021 byl rozpočet příspěvkové organizace navýšen o 50 000,00 Kč.</w:t>
      </w:r>
    </w:p>
    <w:p w14:paraId="39C5910F" w14:textId="77777777" w:rsidR="0072554E" w:rsidRDefault="0072554E" w:rsidP="0072554E">
      <w:pPr>
        <w:spacing w:after="0" w:line="240" w:lineRule="auto"/>
        <w:jc w:val="both"/>
        <w:rPr>
          <w:rFonts w:cstheme="minorHAnsi"/>
        </w:rPr>
      </w:pPr>
      <w:r w:rsidRPr="0003094C">
        <w:rPr>
          <w:rFonts w:cstheme="minorHAnsi"/>
        </w:rPr>
        <w:t xml:space="preserve">Čerpáno bylo </w:t>
      </w:r>
      <w:r>
        <w:rPr>
          <w:rFonts w:cstheme="minorHAnsi"/>
        </w:rPr>
        <w:t>10</w:t>
      </w:r>
      <w:r w:rsidRPr="0003094C">
        <w:rPr>
          <w:rFonts w:cstheme="minorHAnsi"/>
        </w:rPr>
        <w:t>0,0 %, tj.</w:t>
      </w:r>
      <w:r>
        <w:rPr>
          <w:rFonts w:cstheme="minorHAnsi"/>
        </w:rPr>
        <w:t xml:space="preserve"> 21 830 000,00</w:t>
      </w:r>
      <w:r w:rsidRPr="0003094C">
        <w:rPr>
          <w:rFonts w:cstheme="minorHAnsi"/>
        </w:rPr>
        <w:t xml:space="preserve"> Kč. Celkový příspěvek se skládá z příspěvku na provoz, příspěvku na mzdové výdaje a příspěvku na běžné opravy a udržování.</w:t>
      </w:r>
    </w:p>
    <w:p w14:paraId="6B5AADDC" w14:textId="77777777" w:rsidR="0072554E" w:rsidRPr="0003094C" w:rsidRDefault="0072554E" w:rsidP="0072554E">
      <w:pPr>
        <w:spacing w:after="0" w:line="240" w:lineRule="auto"/>
        <w:jc w:val="both"/>
        <w:rPr>
          <w:rFonts w:cstheme="minorHAnsi"/>
        </w:rPr>
      </w:pPr>
    </w:p>
    <w:p w14:paraId="1A0A069F" w14:textId="77777777" w:rsidR="0072554E" w:rsidRPr="0003094C" w:rsidRDefault="0072554E" w:rsidP="0072554E">
      <w:pPr>
        <w:spacing w:after="0" w:line="240" w:lineRule="auto"/>
        <w:jc w:val="both"/>
        <w:rPr>
          <w:rFonts w:cstheme="minorHAnsi"/>
          <w:b/>
        </w:rPr>
      </w:pPr>
      <w:r w:rsidRPr="0003094C">
        <w:rPr>
          <w:rFonts w:cstheme="minorHAnsi"/>
          <w:b/>
        </w:rPr>
        <w:t>§ 371</w:t>
      </w:r>
      <w:r>
        <w:rPr>
          <w:rFonts w:cstheme="minorHAnsi"/>
          <w:b/>
        </w:rPr>
        <w:t>3 – Změna technologií vytápění – rezerva</w:t>
      </w:r>
      <w:r w:rsidRPr="0003094C">
        <w:rPr>
          <w:rFonts w:cstheme="minorHAnsi"/>
          <w:b/>
        </w:rPr>
        <w:t>, odvody a penále</w:t>
      </w:r>
    </w:p>
    <w:p w14:paraId="0DACC8F2" w14:textId="77777777" w:rsidR="0072554E" w:rsidRDefault="0072554E" w:rsidP="0072554E">
      <w:pPr>
        <w:jc w:val="both"/>
        <w:rPr>
          <w:rFonts w:eastAsia="Times New Roman" w:cstheme="minorHAnsi"/>
          <w:lang w:eastAsia="cs-CZ"/>
        </w:rPr>
      </w:pPr>
      <w:r w:rsidRPr="0003094C">
        <w:rPr>
          <w:rFonts w:cstheme="minorHAnsi"/>
        </w:rPr>
        <w:t xml:space="preserve">Finanční prostředky slouží jako rezerva na pokrytí výdajů spojených s projekty – hodnocení a kontrola realizace projektů kontrolními orgány (Ministerstvem financí ČR, Ministerstvem životního prostředí, Evropská komise, Státní fond životního prostředí, Evropský dvůr a Nejvyšší kontrolní orgán) a dále pro případ schválení </w:t>
      </w:r>
      <w:r w:rsidRPr="00163EB1">
        <w:rPr>
          <w:rFonts w:cstheme="minorHAnsi"/>
        </w:rPr>
        <w:t>nároku</w:t>
      </w:r>
      <w:r w:rsidRPr="0003094C">
        <w:rPr>
          <w:rFonts w:cstheme="minorHAnsi"/>
        </w:rPr>
        <w:t xml:space="preserve"> příjemce na proplacení </w:t>
      </w:r>
      <w:r w:rsidRPr="00163EB1">
        <w:rPr>
          <w:rFonts w:cstheme="minorHAnsi"/>
        </w:rPr>
        <w:t>úr</w:t>
      </w:r>
      <w:r>
        <w:rPr>
          <w:rFonts w:cstheme="minorHAnsi"/>
        </w:rPr>
        <w:t>oků</w:t>
      </w:r>
      <w:r w:rsidRPr="0003094C">
        <w:rPr>
          <w:rFonts w:cstheme="minorHAnsi"/>
        </w:rPr>
        <w:t xml:space="preserve"> z prodlení za pozdní vyplácení kotlíkové dotace na základě </w:t>
      </w:r>
      <w:r>
        <w:rPr>
          <w:rFonts w:cstheme="minorHAnsi"/>
        </w:rPr>
        <w:t xml:space="preserve">žádosti a zajištění seminářů.  </w:t>
      </w:r>
      <w:r w:rsidRPr="0003094C">
        <w:rPr>
          <w:rFonts w:cstheme="minorHAnsi"/>
        </w:rPr>
        <w:t>Usnesením č. 051-</w:t>
      </w:r>
      <w:r>
        <w:rPr>
          <w:rFonts w:cstheme="minorHAnsi"/>
        </w:rPr>
        <w:t>09</w:t>
      </w:r>
      <w:r w:rsidRPr="0003094C">
        <w:rPr>
          <w:rFonts w:cstheme="minorHAnsi"/>
        </w:rPr>
        <w:t>/2021/RK ze dne 25. 2. 2021 byly převedeny nevyčerpané účelové finanční prostředky z </w:t>
      </w:r>
      <w:r>
        <w:rPr>
          <w:rFonts w:cstheme="minorHAnsi"/>
        </w:rPr>
        <w:t>r.</w:t>
      </w:r>
      <w:r w:rsidRPr="0003094C">
        <w:rPr>
          <w:rFonts w:cstheme="minorHAnsi"/>
        </w:rPr>
        <w:t xml:space="preserve"> 2020 do rozpočtu </w:t>
      </w:r>
      <w:r>
        <w:rPr>
          <w:rFonts w:cstheme="minorHAnsi"/>
        </w:rPr>
        <w:t>r. 2021 ve výši 468 890,98 Kč (</w:t>
      </w:r>
      <w:r w:rsidRPr="00957F76">
        <w:rPr>
          <w:rFonts w:cstheme="minorHAnsi"/>
        </w:rPr>
        <w:t>zapojeno do zůstatku hospodaření SK z </w:t>
      </w:r>
      <w:r>
        <w:rPr>
          <w:rFonts w:cstheme="minorHAnsi"/>
        </w:rPr>
        <w:t xml:space="preserve">r. 2020 schváleného usnesením </w:t>
      </w:r>
      <w:r w:rsidRPr="00957F76">
        <w:rPr>
          <w:rFonts w:cstheme="minorHAnsi"/>
        </w:rPr>
        <w:t>č. 007-06/2021/ZK ze dne 26. 04. 2021)</w:t>
      </w:r>
      <w:r>
        <w:rPr>
          <w:rFonts w:cstheme="minorHAnsi"/>
        </w:rPr>
        <w:t>.</w:t>
      </w:r>
      <w:r w:rsidRPr="0003094C">
        <w:rPr>
          <w:rFonts w:cstheme="minorHAnsi"/>
        </w:rPr>
        <w:t xml:space="preserve"> Na základě usnesení č. 010-12/2021/RK ze dne 11. 3. 2021 byla částka 93 918,82 Kč převedena v rámci rozpočtu kapitoly </w:t>
      </w:r>
      <w:r>
        <w:rPr>
          <w:rFonts w:cstheme="minorHAnsi"/>
        </w:rPr>
        <w:t>09 - Evropská integrace a</w:t>
      </w:r>
      <w:r w:rsidRPr="0003094C">
        <w:rPr>
          <w:rFonts w:cstheme="minorHAnsi"/>
        </w:rPr>
        <w:t xml:space="preserve"> vrácena poskytovateli </w:t>
      </w:r>
      <w:r>
        <w:rPr>
          <w:rFonts w:cstheme="minorHAnsi"/>
        </w:rPr>
        <w:t>MŽP</w:t>
      </w:r>
      <w:r w:rsidRPr="0003094C">
        <w:rPr>
          <w:rFonts w:cstheme="minorHAnsi"/>
        </w:rPr>
        <w:t xml:space="preserve"> jako vratka zálohy dotace v rámci projektu „Výměna zdrojů tepla na pevná paliva v rodinných domech v SK 2017-2019“. </w:t>
      </w:r>
    </w:p>
    <w:p w14:paraId="6D2DDFD4" w14:textId="77777777" w:rsidR="009E7CFC" w:rsidRDefault="0072554E" w:rsidP="009E7CFC">
      <w:pPr>
        <w:spacing w:after="0" w:line="240" w:lineRule="auto"/>
        <w:jc w:val="both"/>
        <w:rPr>
          <w:rFonts w:cstheme="minorHAnsi"/>
        </w:rPr>
      </w:pPr>
      <w:r w:rsidRPr="0003094C">
        <w:rPr>
          <w:rFonts w:cstheme="minorHAnsi"/>
        </w:rPr>
        <w:t>V rámci realizace projektu „Obědy do škol ve SK II“ byla poskytovatelem dotace (MPSV) provedena kontrola na m</w:t>
      </w:r>
      <w:r>
        <w:rPr>
          <w:rFonts w:cstheme="minorHAnsi"/>
        </w:rPr>
        <w:t xml:space="preserve">ístě č. 2020_0239 a byly zjištěny </w:t>
      </w:r>
      <w:r w:rsidRPr="0003094C">
        <w:rPr>
          <w:rFonts w:cstheme="minorHAnsi"/>
        </w:rPr>
        <w:t>nezpůsobilé výda</w:t>
      </w:r>
      <w:r>
        <w:rPr>
          <w:rFonts w:cstheme="minorHAnsi"/>
        </w:rPr>
        <w:t xml:space="preserve">je projektu ve výši 358,05 Kč. Tato částka byla převedena </w:t>
      </w:r>
      <w:r w:rsidRPr="00817A77">
        <w:rPr>
          <w:rFonts w:cstheme="minorHAnsi"/>
        </w:rPr>
        <w:t xml:space="preserve">v rámci rozpočtu kapitoly </w:t>
      </w:r>
      <w:r>
        <w:rPr>
          <w:rFonts w:cstheme="minorHAnsi"/>
        </w:rPr>
        <w:t>09 - Evropská integrace</w:t>
      </w:r>
      <w:r w:rsidRPr="00817A77">
        <w:rPr>
          <w:rFonts w:cstheme="minorHAnsi"/>
        </w:rPr>
        <w:t xml:space="preserve"> </w:t>
      </w:r>
      <w:r w:rsidRPr="0003094C">
        <w:rPr>
          <w:rFonts w:cstheme="minorHAnsi"/>
        </w:rPr>
        <w:t xml:space="preserve">na základě usnesení č. 014-21/2021/RK ze dne 13. 5. 2021 a byla vrácena </w:t>
      </w:r>
      <w:r w:rsidRPr="0003094C">
        <w:rPr>
          <w:rFonts w:cstheme="minorHAnsi"/>
        </w:rPr>
        <w:lastRenderedPageBreak/>
        <w:t xml:space="preserve">zpět poskytovateli dotace – MPSV. </w:t>
      </w:r>
      <w:r w:rsidRPr="008E0CCE">
        <w:rPr>
          <w:rFonts w:cstheme="minorHAnsi"/>
        </w:rPr>
        <w:t>Po obdržení vrácené dotace od partnerských organizací projektu, u kterých byl nezpůsobilý výdaj identifikován, budou finanční prostředky refundovány v 100,0 % výši zpět.</w:t>
      </w:r>
      <w:r w:rsidR="009E7CFC">
        <w:rPr>
          <w:rFonts w:cstheme="minorHAnsi"/>
        </w:rPr>
        <w:t xml:space="preserve"> </w:t>
      </w:r>
      <w:r w:rsidRPr="00826F8B">
        <w:rPr>
          <w:rFonts w:cstheme="minorHAnsi"/>
        </w:rPr>
        <w:t xml:space="preserve">Rozpočtovou úpravou č. 750/09/2021 byly převedeny </w:t>
      </w:r>
      <w:r>
        <w:rPr>
          <w:rFonts w:cstheme="minorHAnsi"/>
        </w:rPr>
        <w:t xml:space="preserve">finanční </w:t>
      </w:r>
      <w:r w:rsidRPr="00826F8B">
        <w:rPr>
          <w:rFonts w:cstheme="minorHAnsi"/>
        </w:rPr>
        <w:t>prostředky na vratky ve výši 198 635,70 Kč na základě výzev z MŽP.</w:t>
      </w:r>
      <w:r w:rsidR="009E7CFC">
        <w:rPr>
          <w:rFonts w:cstheme="minorHAnsi"/>
        </w:rPr>
        <w:t xml:space="preserve"> </w:t>
      </w:r>
    </w:p>
    <w:p w14:paraId="28D1D31F" w14:textId="1580118C" w:rsidR="0072554E" w:rsidRPr="00826F8B" w:rsidRDefault="0072554E" w:rsidP="009E7CFC">
      <w:pPr>
        <w:spacing w:after="0" w:line="240" w:lineRule="auto"/>
        <w:jc w:val="both"/>
        <w:rPr>
          <w:rFonts w:cstheme="minorHAnsi"/>
        </w:rPr>
      </w:pPr>
      <w:r w:rsidRPr="00826F8B">
        <w:rPr>
          <w:rFonts w:cstheme="minorHAnsi"/>
        </w:rPr>
        <w:t xml:space="preserve">Upravený rozpočet ve výši 175 978,41 Kč byl v r. 2021 čerpán ve výši 1,8 % na občerstvení - seminář III. výzva kotlíkové dotace. </w:t>
      </w:r>
    </w:p>
    <w:p w14:paraId="149D128C" w14:textId="77777777" w:rsidR="0072554E" w:rsidRDefault="0072554E" w:rsidP="0072554E">
      <w:pPr>
        <w:pStyle w:val="TableParagraph"/>
        <w:ind w:left="0"/>
        <w:jc w:val="both"/>
        <w:rPr>
          <w:rFonts w:asciiTheme="minorHAnsi" w:hAnsiTheme="minorHAnsi" w:cstheme="minorHAnsi"/>
          <w:lang w:bidi="ar-SA"/>
        </w:rPr>
      </w:pPr>
    </w:p>
    <w:p w14:paraId="68DD46DE" w14:textId="77777777" w:rsidR="0072554E" w:rsidRPr="0003094C" w:rsidRDefault="0072554E" w:rsidP="0072554E">
      <w:pPr>
        <w:pStyle w:val="TableParagraph"/>
        <w:ind w:left="0"/>
        <w:jc w:val="both"/>
        <w:rPr>
          <w:rFonts w:asciiTheme="minorHAnsi" w:hAnsiTheme="minorHAnsi" w:cstheme="minorHAnsi"/>
          <w:b/>
        </w:rPr>
      </w:pPr>
      <w:r w:rsidRPr="0003094C">
        <w:rPr>
          <w:rFonts w:asciiTheme="minorHAnsi" w:hAnsiTheme="minorHAnsi" w:cstheme="minorHAnsi"/>
          <w:b/>
        </w:rPr>
        <w:t>§ 3714 – Opatření ke snižování produkce skleníkových plynů a plynů poškozujících ozonovou vrstvu</w:t>
      </w:r>
    </w:p>
    <w:p w14:paraId="0BF4B3D4" w14:textId="06E77A6B" w:rsidR="0072554E" w:rsidRPr="0003094C" w:rsidRDefault="0072554E" w:rsidP="0072554E">
      <w:pPr>
        <w:spacing w:after="0" w:line="240" w:lineRule="auto"/>
        <w:jc w:val="both"/>
        <w:rPr>
          <w:rFonts w:cstheme="minorHAnsi"/>
        </w:rPr>
      </w:pPr>
      <w:r w:rsidRPr="0003094C">
        <w:rPr>
          <w:rFonts w:cstheme="minorHAnsi"/>
        </w:rPr>
        <w:t xml:space="preserve">Do rozpočtu 2021 byly usnesením č. 008-08/2021/RK ze dne 18. 2. 2021 převedeny nevyčerpané finanční prostředky </w:t>
      </w:r>
      <w:r>
        <w:rPr>
          <w:rFonts w:cstheme="minorHAnsi"/>
        </w:rPr>
        <w:t xml:space="preserve">z r. 2020 </w:t>
      </w:r>
      <w:r w:rsidRPr="0003094C">
        <w:rPr>
          <w:rFonts w:cstheme="minorHAnsi"/>
        </w:rPr>
        <w:t>ve výši 664 656,20 Kč</w:t>
      </w:r>
      <w:r>
        <w:rPr>
          <w:rFonts w:cstheme="minorHAnsi"/>
        </w:rPr>
        <w:t xml:space="preserve"> (</w:t>
      </w:r>
      <w:r w:rsidRPr="00957F76">
        <w:rPr>
          <w:rFonts w:cstheme="minorHAnsi"/>
        </w:rPr>
        <w:t>zapojeno do zůstatku hospodaření SK z </w:t>
      </w:r>
      <w:r>
        <w:rPr>
          <w:rFonts w:cstheme="minorHAnsi"/>
        </w:rPr>
        <w:t xml:space="preserve">r. 2020 schváleného usnesením </w:t>
      </w:r>
      <w:r w:rsidRPr="00957F76">
        <w:rPr>
          <w:rFonts w:cstheme="minorHAnsi"/>
        </w:rPr>
        <w:t>č. 007-06/2021/ZK ze dne 26. 04. 2021)</w:t>
      </w:r>
      <w:r w:rsidRPr="0003094C">
        <w:rPr>
          <w:rFonts w:cstheme="minorHAnsi"/>
        </w:rPr>
        <w:t xml:space="preserve"> na zpracování strategie Středočeského kraje na dosaže</w:t>
      </w:r>
      <w:r>
        <w:rPr>
          <w:rFonts w:cstheme="minorHAnsi"/>
        </w:rPr>
        <w:t>ní uhlíkové neutrality. V r.</w:t>
      </w:r>
      <w:r w:rsidRPr="0003094C">
        <w:rPr>
          <w:rFonts w:cstheme="minorHAnsi"/>
        </w:rPr>
        <w:t xml:space="preserve"> 2021 nebylo čerpáno</w:t>
      </w:r>
      <w:r w:rsidRPr="00153FDF">
        <w:rPr>
          <w:rFonts w:cstheme="minorHAnsi"/>
        </w:rPr>
        <w:t>.</w:t>
      </w:r>
    </w:p>
    <w:p w14:paraId="45A38530" w14:textId="77777777" w:rsidR="0072554E" w:rsidRPr="0003094C" w:rsidRDefault="0072554E" w:rsidP="0072554E">
      <w:pPr>
        <w:spacing w:after="0" w:line="240" w:lineRule="auto"/>
        <w:jc w:val="both"/>
        <w:rPr>
          <w:rFonts w:cstheme="minorHAnsi"/>
        </w:rPr>
      </w:pPr>
    </w:p>
    <w:p w14:paraId="0A3D1C7F" w14:textId="77777777" w:rsidR="0072554E" w:rsidRPr="0003094C" w:rsidRDefault="0072554E" w:rsidP="0072554E">
      <w:pPr>
        <w:spacing w:after="0" w:line="240" w:lineRule="auto"/>
        <w:jc w:val="both"/>
        <w:rPr>
          <w:rFonts w:cstheme="minorHAnsi"/>
          <w:b/>
        </w:rPr>
      </w:pPr>
      <w:r w:rsidRPr="0003094C">
        <w:rPr>
          <w:rFonts w:cstheme="minorHAnsi"/>
          <w:b/>
        </w:rPr>
        <w:t xml:space="preserve">§ 6172 – Činnost regionální správy </w:t>
      </w:r>
      <w:r>
        <w:rPr>
          <w:rFonts w:cstheme="minorHAnsi"/>
          <w:b/>
        </w:rPr>
        <w:t>– Zajištění</w:t>
      </w:r>
      <w:r w:rsidRPr="0003094C">
        <w:rPr>
          <w:rFonts w:cstheme="minorHAnsi"/>
          <w:b/>
        </w:rPr>
        <w:t xml:space="preserve"> provozu eDotací</w:t>
      </w:r>
    </w:p>
    <w:p w14:paraId="657AF878" w14:textId="79500BA5" w:rsidR="0072554E" w:rsidRPr="0003094C" w:rsidRDefault="0072554E" w:rsidP="0072554E">
      <w:pPr>
        <w:spacing w:after="0" w:line="240" w:lineRule="auto"/>
        <w:jc w:val="both"/>
        <w:rPr>
          <w:rFonts w:cstheme="minorHAnsi"/>
        </w:rPr>
      </w:pPr>
      <w:r w:rsidRPr="0003094C">
        <w:rPr>
          <w:rFonts w:cstheme="minorHAnsi"/>
        </w:rPr>
        <w:t xml:space="preserve">Schválený rozpočet na zajištění provozu </w:t>
      </w:r>
      <w:r>
        <w:rPr>
          <w:rFonts w:cstheme="minorHAnsi"/>
        </w:rPr>
        <w:t>aplikace eDotace</w:t>
      </w:r>
      <w:r w:rsidRPr="0003094C">
        <w:rPr>
          <w:rFonts w:cstheme="minorHAnsi"/>
        </w:rPr>
        <w:t xml:space="preserve"> v objemu 1 000 000,00 Kč byl v </w:t>
      </w:r>
      <w:r>
        <w:rPr>
          <w:rFonts w:cstheme="minorHAnsi"/>
        </w:rPr>
        <w:t>r.</w:t>
      </w:r>
      <w:r w:rsidRPr="0003094C">
        <w:rPr>
          <w:rFonts w:cstheme="minorHAnsi"/>
        </w:rPr>
        <w:t xml:space="preserve"> 2021 navýšen o 216 287,50 Kč usnesením č. 007-06/2021/RK ze dne 11. 2. 2021, kterým se převedly</w:t>
      </w:r>
      <w:r>
        <w:rPr>
          <w:rFonts w:cstheme="minorHAnsi"/>
        </w:rPr>
        <w:t xml:space="preserve"> do rozpočtu r. 2021</w:t>
      </w:r>
      <w:r w:rsidRPr="0003094C">
        <w:rPr>
          <w:rFonts w:cstheme="minorHAnsi"/>
        </w:rPr>
        <w:t xml:space="preserve"> z </w:t>
      </w:r>
      <w:r>
        <w:rPr>
          <w:rFonts w:cstheme="minorHAnsi"/>
        </w:rPr>
        <w:t>r.</w:t>
      </w:r>
      <w:r w:rsidRPr="0003094C">
        <w:rPr>
          <w:rFonts w:cstheme="minorHAnsi"/>
        </w:rPr>
        <w:t xml:space="preserve"> 2020 </w:t>
      </w:r>
      <w:r>
        <w:rPr>
          <w:rFonts w:cstheme="minorHAnsi"/>
        </w:rPr>
        <w:t>nevyčerpané finanční prostředky (</w:t>
      </w:r>
      <w:r w:rsidRPr="00957F76">
        <w:rPr>
          <w:rFonts w:cstheme="minorHAnsi"/>
        </w:rPr>
        <w:t>zapojeno do zůstatku hospodaření SK z </w:t>
      </w:r>
      <w:r>
        <w:rPr>
          <w:rFonts w:cstheme="minorHAnsi"/>
        </w:rPr>
        <w:t xml:space="preserve">r. 2020 schváleného usnesením </w:t>
      </w:r>
      <w:r w:rsidRPr="00957F76">
        <w:rPr>
          <w:rFonts w:cstheme="minorHAnsi"/>
        </w:rPr>
        <w:t>č. 007-06/2021/ZK ze dne 26. 04. 2021)</w:t>
      </w:r>
      <w:r>
        <w:rPr>
          <w:rFonts w:cstheme="minorHAnsi"/>
        </w:rPr>
        <w:t xml:space="preserve">. </w:t>
      </w:r>
      <w:r w:rsidRPr="009C31A5">
        <w:rPr>
          <w:rFonts w:cstheme="minorHAnsi"/>
        </w:rPr>
        <w:t xml:space="preserve">Další navýšení rozpočtu o 386 962,50 Kč bylo provedeno převodem finančních prostředků z kapitoly 23 – Ostatní, Rezerva Středočeského kraje, do kapitoly </w:t>
      </w:r>
      <w:r>
        <w:rPr>
          <w:rFonts w:cstheme="minorHAnsi"/>
        </w:rPr>
        <w:t xml:space="preserve">09 - Evropská integrace </w:t>
      </w:r>
      <w:r w:rsidRPr="009C31A5">
        <w:rPr>
          <w:rFonts w:cstheme="minorHAnsi"/>
        </w:rPr>
        <w:t xml:space="preserve">usnesením č. 022-28/2021/RK ze dne 1. 7. 2021.  Finanční prostředky byly ke konci </w:t>
      </w:r>
      <w:r>
        <w:rPr>
          <w:rFonts w:cstheme="minorHAnsi"/>
        </w:rPr>
        <w:t>r.</w:t>
      </w:r>
      <w:r w:rsidRPr="009C31A5">
        <w:rPr>
          <w:rFonts w:cstheme="minorHAnsi"/>
        </w:rPr>
        <w:t xml:space="preserve"> 2021 čerpány ve výši 1 149 500,00 Kč, což představuje 71,7 % plnění rozpočtu. </w:t>
      </w:r>
    </w:p>
    <w:p w14:paraId="399B069C" w14:textId="77777777" w:rsidR="0072554E" w:rsidRPr="0003094C" w:rsidRDefault="0072554E" w:rsidP="0072554E">
      <w:pPr>
        <w:spacing w:after="0" w:line="240" w:lineRule="auto"/>
        <w:jc w:val="both"/>
        <w:rPr>
          <w:rFonts w:cstheme="minorHAnsi"/>
        </w:rPr>
      </w:pPr>
    </w:p>
    <w:p w14:paraId="0B59618C" w14:textId="77777777" w:rsidR="0072554E" w:rsidRPr="0003094C" w:rsidRDefault="0072554E" w:rsidP="0072554E">
      <w:pPr>
        <w:spacing w:after="0" w:line="240" w:lineRule="auto"/>
        <w:jc w:val="both"/>
        <w:rPr>
          <w:rFonts w:cstheme="minorHAnsi"/>
          <w:b/>
        </w:rPr>
      </w:pPr>
      <w:r w:rsidRPr="0003094C">
        <w:rPr>
          <w:rFonts w:cstheme="minorHAnsi"/>
          <w:b/>
        </w:rPr>
        <w:t>§ 6172 – Činnost regionál</w:t>
      </w:r>
      <w:r>
        <w:rPr>
          <w:rFonts w:cstheme="minorHAnsi"/>
          <w:b/>
        </w:rPr>
        <w:t>ní správy – Participativní</w:t>
      </w:r>
      <w:r w:rsidRPr="0003094C">
        <w:rPr>
          <w:rFonts w:cstheme="minorHAnsi"/>
          <w:b/>
        </w:rPr>
        <w:t xml:space="preserve"> rozpočet</w:t>
      </w:r>
    </w:p>
    <w:p w14:paraId="7EFFE749" w14:textId="77777777" w:rsidR="0072554E" w:rsidRPr="00DA0D68" w:rsidRDefault="0072554E" w:rsidP="0072554E">
      <w:pPr>
        <w:jc w:val="both"/>
      </w:pPr>
      <w:r w:rsidRPr="0003094C">
        <w:rPr>
          <w:rFonts w:cstheme="minorHAnsi"/>
        </w:rPr>
        <w:t xml:space="preserve">V I. pololetí </w:t>
      </w:r>
      <w:r>
        <w:rPr>
          <w:rFonts w:cstheme="minorHAnsi"/>
        </w:rPr>
        <w:t>r.</w:t>
      </w:r>
      <w:r w:rsidRPr="0003094C">
        <w:rPr>
          <w:rFonts w:cstheme="minorHAnsi"/>
        </w:rPr>
        <w:t xml:space="preserve"> 2021 byly usnesením č. 018-23/2021/RK ze dne 27. 5. 2021 převedeny do kapitoly </w:t>
      </w:r>
      <w:r>
        <w:rPr>
          <w:rFonts w:cstheme="minorHAnsi"/>
        </w:rPr>
        <w:t>09 – Evropská integrace finanční</w:t>
      </w:r>
      <w:r w:rsidRPr="0003094C">
        <w:rPr>
          <w:rFonts w:cstheme="minorHAnsi"/>
        </w:rPr>
        <w:t xml:space="preserve"> prostředky ve výši 1 084 160,</w:t>
      </w:r>
      <w:r>
        <w:rPr>
          <w:rFonts w:cstheme="minorHAnsi"/>
        </w:rPr>
        <w:t>00 Kč z kapitoly 23 – Ostatní, v</w:t>
      </w:r>
      <w:r w:rsidRPr="0003094C">
        <w:rPr>
          <w:rFonts w:cstheme="minorHAnsi"/>
        </w:rPr>
        <w:t>ýdaje dle programů 2021, na dodání a podporu portálu participativního rozpočtu.</w:t>
      </w:r>
      <w:r>
        <w:rPr>
          <w:rFonts w:cstheme="minorHAnsi"/>
        </w:rPr>
        <w:t xml:space="preserve"> </w:t>
      </w:r>
      <w:r w:rsidRPr="0003094C">
        <w:rPr>
          <w:rFonts w:cstheme="minorHAnsi"/>
        </w:rPr>
        <w:t>Částka 968 000,00 Kč byla rozpočtovou úpravou č. 331/</w:t>
      </w:r>
      <w:r>
        <w:rPr>
          <w:rFonts w:cstheme="minorHAnsi"/>
        </w:rPr>
        <w:t>09/</w:t>
      </w:r>
      <w:r w:rsidRPr="0003094C">
        <w:rPr>
          <w:rFonts w:cstheme="minorHAnsi"/>
        </w:rPr>
        <w:t xml:space="preserve">2021 </w:t>
      </w:r>
      <w:r>
        <w:rPr>
          <w:rFonts w:cstheme="minorHAnsi"/>
        </w:rPr>
        <w:t xml:space="preserve">v rámci kapitoly </w:t>
      </w:r>
      <w:r w:rsidRPr="0003094C">
        <w:rPr>
          <w:rFonts w:cstheme="minorHAnsi"/>
        </w:rPr>
        <w:t xml:space="preserve">převedena do kapitálových výdajů. </w:t>
      </w:r>
      <w:r>
        <w:rPr>
          <w:rFonts w:cstheme="minorHAnsi"/>
        </w:rPr>
        <w:t>V r.</w:t>
      </w:r>
      <w:r w:rsidRPr="0003094C">
        <w:rPr>
          <w:rFonts w:cstheme="minorHAnsi"/>
        </w:rPr>
        <w:t xml:space="preserve"> 2021 nebyl upravený rozpočet ve výši 116 160,00 Kč čerpán</w:t>
      </w:r>
      <w:r>
        <w:rPr>
          <w:rFonts w:cstheme="minorHAnsi"/>
        </w:rPr>
        <w:t xml:space="preserve"> a nevyčerpané</w:t>
      </w:r>
      <w:r w:rsidRPr="0003094C">
        <w:rPr>
          <w:rFonts w:cstheme="minorHAnsi"/>
        </w:rPr>
        <w:t xml:space="preserve"> </w:t>
      </w:r>
      <w:r>
        <w:rPr>
          <w:rFonts w:cstheme="minorHAnsi"/>
        </w:rPr>
        <w:t>f</w:t>
      </w:r>
      <w:r w:rsidRPr="0003094C">
        <w:rPr>
          <w:rFonts w:cstheme="minorHAnsi"/>
        </w:rPr>
        <w:t xml:space="preserve">inanční prostředky budou </w:t>
      </w:r>
      <w:r>
        <w:rPr>
          <w:rFonts w:cstheme="minorHAnsi"/>
        </w:rPr>
        <w:t>převedeny do dalších let na Etapu D, která</w:t>
      </w:r>
      <w:r>
        <w:t xml:space="preserve"> se počítá od data akceptace etapy C, tj. od 15.12.2021 a to znamená, že by </w:t>
      </w:r>
      <w:r w:rsidRPr="00DA0D68">
        <w:t>měla končit k datu 14.12.2023.</w:t>
      </w:r>
    </w:p>
    <w:p w14:paraId="3A58DAE6" w14:textId="77777777" w:rsidR="0072554E" w:rsidRPr="0003094C" w:rsidRDefault="0072554E" w:rsidP="0072554E">
      <w:pPr>
        <w:spacing w:after="0" w:line="240" w:lineRule="auto"/>
        <w:jc w:val="both"/>
        <w:rPr>
          <w:rFonts w:cstheme="minorHAnsi"/>
        </w:rPr>
      </w:pPr>
    </w:p>
    <w:p w14:paraId="7DD27B4C" w14:textId="77777777" w:rsidR="0072554E" w:rsidRPr="0003094C" w:rsidRDefault="0072554E" w:rsidP="0072554E">
      <w:pPr>
        <w:spacing w:after="0" w:line="240" w:lineRule="auto"/>
        <w:jc w:val="both"/>
        <w:rPr>
          <w:rFonts w:cstheme="minorHAnsi"/>
          <w:b/>
        </w:rPr>
      </w:pPr>
      <w:r w:rsidRPr="0003094C">
        <w:rPr>
          <w:rFonts w:cstheme="minorHAnsi"/>
          <w:b/>
        </w:rPr>
        <w:t xml:space="preserve">§ 6172 – Činnost regionální správy – Dotace online – předplatné  </w:t>
      </w:r>
    </w:p>
    <w:p w14:paraId="0ED11955" w14:textId="1FC7A1D7" w:rsidR="0072554E" w:rsidRPr="0003094C" w:rsidRDefault="0072554E" w:rsidP="0072554E">
      <w:pPr>
        <w:spacing w:after="0" w:line="240" w:lineRule="auto"/>
        <w:jc w:val="both"/>
        <w:rPr>
          <w:rFonts w:cstheme="minorHAnsi"/>
        </w:rPr>
      </w:pPr>
      <w:r w:rsidRPr="0003094C">
        <w:rPr>
          <w:rFonts w:cstheme="minorHAnsi"/>
        </w:rPr>
        <w:t>Usnesením č. 007-06/2021/RK ze dne 11. 2. 2021 byly převedeny z </w:t>
      </w:r>
      <w:r>
        <w:rPr>
          <w:rFonts w:cstheme="minorHAnsi"/>
        </w:rPr>
        <w:t>r.</w:t>
      </w:r>
      <w:r w:rsidRPr="0003094C">
        <w:rPr>
          <w:rFonts w:cstheme="minorHAnsi"/>
        </w:rPr>
        <w:t xml:space="preserve"> 2020 nevyčerpané finanční prostředky ve výši 9 680,00 Kč </w:t>
      </w:r>
      <w:r>
        <w:rPr>
          <w:rFonts w:cstheme="minorHAnsi"/>
        </w:rPr>
        <w:t xml:space="preserve">do r. 2021 </w:t>
      </w:r>
      <w:r w:rsidRPr="0003094C">
        <w:rPr>
          <w:rFonts w:cstheme="minorHAnsi"/>
        </w:rPr>
        <w:t>na zpřístupnění monitoringu dotac</w:t>
      </w:r>
      <w:r>
        <w:rPr>
          <w:rFonts w:cstheme="minorHAnsi"/>
        </w:rPr>
        <w:t>í v rámci služby Dotace online.</w:t>
      </w:r>
      <w:r w:rsidRPr="0003094C">
        <w:rPr>
          <w:rFonts w:cstheme="minorHAnsi"/>
        </w:rPr>
        <w:t>cz pro potřeby</w:t>
      </w:r>
      <w:r>
        <w:rPr>
          <w:rFonts w:cstheme="minorHAnsi"/>
        </w:rPr>
        <w:t xml:space="preserve"> </w:t>
      </w:r>
      <w:r w:rsidRPr="0003094C">
        <w:rPr>
          <w:rFonts w:cstheme="minorHAnsi"/>
        </w:rPr>
        <w:t>Středo</w:t>
      </w:r>
      <w:r>
        <w:rPr>
          <w:rFonts w:cstheme="minorHAnsi"/>
        </w:rPr>
        <w:t>českého kraje na dobu 12 měsíců (</w:t>
      </w:r>
      <w:r w:rsidRPr="00957F76">
        <w:rPr>
          <w:rFonts w:cstheme="minorHAnsi"/>
        </w:rPr>
        <w:t>zapojeno do zůstatku hospodaření SK z </w:t>
      </w:r>
      <w:r>
        <w:rPr>
          <w:rFonts w:cstheme="minorHAnsi"/>
        </w:rPr>
        <w:t xml:space="preserve">r. 2020 schváleného usnesením </w:t>
      </w:r>
      <w:r>
        <w:rPr>
          <w:rFonts w:cstheme="minorHAnsi"/>
        </w:rPr>
        <w:br/>
      </w:r>
      <w:r w:rsidRPr="00957F76">
        <w:rPr>
          <w:rFonts w:cstheme="minorHAnsi"/>
        </w:rPr>
        <w:t>č. 007-06/2021/ZK ze dne 26. 04. 2021)</w:t>
      </w:r>
      <w:r>
        <w:rPr>
          <w:rFonts w:cstheme="minorHAnsi"/>
        </w:rPr>
        <w:t xml:space="preserve">. </w:t>
      </w:r>
      <w:r w:rsidRPr="00E3172C">
        <w:rPr>
          <w:rFonts w:cstheme="minorHAnsi"/>
        </w:rPr>
        <w:t>Bylo čerpáno 100</w:t>
      </w:r>
      <w:r w:rsidR="009E7CFC">
        <w:rPr>
          <w:rFonts w:cstheme="minorHAnsi"/>
        </w:rPr>
        <w:t>,0</w:t>
      </w:r>
      <w:r w:rsidRPr="00E3172C">
        <w:rPr>
          <w:rFonts w:cstheme="minorHAnsi"/>
        </w:rPr>
        <w:t xml:space="preserve"> % upraveného rozpočtu.</w:t>
      </w:r>
    </w:p>
    <w:p w14:paraId="06C59C23" w14:textId="77777777" w:rsidR="0072554E" w:rsidRPr="0003094C" w:rsidRDefault="0072554E" w:rsidP="0072554E">
      <w:pPr>
        <w:spacing w:after="0" w:line="240" w:lineRule="auto"/>
        <w:jc w:val="both"/>
        <w:rPr>
          <w:rFonts w:cstheme="minorHAnsi"/>
        </w:rPr>
      </w:pPr>
    </w:p>
    <w:p w14:paraId="66039E6A" w14:textId="50A3FE1A" w:rsidR="0072554E" w:rsidRPr="0003094C" w:rsidRDefault="0072554E" w:rsidP="0072554E">
      <w:pPr>
        <w:spacing w:after="0" w:line="240" w:lineRule="auto"/>
        <w:jc w:val="both"/>
        <w:rPr>
          <w:rFonts w:cstheme="minorHAnsi"/>
          <w:b/>
        </w:rPr>
      </w:pPr>
      <w:r w:rsidRPr="0003094C">
        <w:rPr>
          <w:rFonts w:cstheme="minorHAnsi"/>
          <w:b/>
        </w:rPr>
        <w:t>§ 61</w:t>
      </w:r>
      <w:r>
        <w:rPr>
          <w:rFonts w:cstheme="minorHAnsi"/>
          <w:b/>
        </w:rPr>
        <w:t>72 – Činnost regionální správy – podpora</w:t>
      </w:r>
      <w:r w:rsidRPr="0003094C">
        <w:rPr>
          <w:rFonts w:cstheme="minorHAnsi"/>
          <w:b/>
        </w:rPr>
        <w:t xml:space="preserve"> živnostníkům </w:t>
      </w:r>
    </w:p>
    <w:p w14:paraId="33E12F16" w14:textId="489883C8" w:rsidR="0072554E" w:rsidRPr="0003094C" w:rsidRDefault="0072554E" w:rsidP="0072554E">
      <w:pPr>
        <w:spacing w:after="0" w:line="240" w:lineRule="auto"/>
        <w:jc w:val="both"/>
        <w:rPr>
          <w:rFonts w:cstheme="minorHAnsi"/>
          <w:b/>
        </w:rPr>
      </w:pPr>
      <w:r w:rsidRPr="0003094C">
        <w:rPr>
          <w:rFonts w:cstheme="minorHAnsi"/>
        </w:rPr>
        <w:t>Upravený rozpočet je tvořen nevyčerpanými finančními prostředky z </w:t>
      </w:r>
      <w:r>
        <w:rPr>
          <w:rFonts w:cstheme="minorHAnsi"/>
        </w:rPr>
        <w:t>r.</w:t>
      </w:r>
      <w:r w:rsidRPr="0003094C">
        <w:rPr>
          <w:rFonts w:cstheme="minorHAnsi"/>
        </w:rPr>
        <w:t xml:space="preserve"> 2020 ve výši 1 454 903,00 Kč, které byly převedeny usnesením č. 007-06/2021/RK ze dne 11. 2. 2021 do </w:t>
      </w:r>
      <w:r>
        <w:rPr>
          <w:rFonts w:cstheme="minorHAnsi"/>
        </w:rPr>
        <w:t>r.</w:t>
      </w:r>
      <w:r w:rsidRPr="0003094C">
        <w:rPr>
          <w:rFonts w:cstheme="minorHAnsi"/>
        </w:rPr>
        <w:t xml:space="preserve"> 2021</w:t>
      </w:r>
      <w:r>
        <w:rPr>
          <w:rFonts w:cstheme="minorHAnsi"/>
        </w:rPr>
        <w:t xml:space="preserve"> (</w:t>
      </w:r>
      <w:r w:rsidRPr="00957F76">
        <w:rPr>
          <w:rFonts w:cstheme="minorHAnsi"/>
        </w:rPr>
        <w:t>zapojeno do zůstatku hospodaření SK z </w:t>
      </w:r>
      <w:r>
        <w:rPr>
          <w:rFonts w:cstheme="minorHAnsi"/>
        </w:rPr>
        <w:t xml:space="preserve">r. 2020 schváleného usnesením </w:t>
      </w:r>
      <w:r w:rsidRPr="00957F76">
        <w:rPr>
          <w:rFonts w:cstheme="minorHAnsi"/>
        </w:rPr>
        <w:t>č. 007-06/2021/ZK ze dne 26. 04. 2021)</w:t>
      </w:r>
      <w:r w:rsidRPr="0003094C">
        <w:rPr>
          <w:rFonts w:cstheme="minorHAnsi"/>
        </w:rPr>
        <w:t>. V</w:t>
      </w:r>
      <w:r>
        <w:rPr>
          <w:rFonts w:cstheme="minorHAnsi"/>
        </w:rPr>
        <w:t xml:space="preserve"> r. </w:t>
      </w:r>
      <w:r w:rsidRPr="0003094C">
        <w:rPr>
          <w:rFonts w:cstheme="minorHAnsi"/>
        </w:rPr>
        <w:t xml:space="preserve">2021 bylo čerpáno </w:t>
      </w:r>
      <w:r>
        <w:rPr>
          <w:rFonts w:cstheme="minorHAnsi"/>
        </w:rPr>
        <w:t>125 477</w:t>
      </w:r>
      <w:r w:rsidRPr="0003094C">
        <w:rPr>
          <w:rFonts w:cstheme="minorHAnsi"/>
        </w:rPr>
        <w:t xml:space="preserve">,00 Kč, tj. </w:t>
      </w:r>
      <w:r>
        <w:rPr>
          <w:rFonts w:cstheme="minorHAnsi"/>
        </w:rPr>
        <w:t>8,6</w:t>
      </w:r>
      <w:r w:rsidRPr="0003094C">
        <w:rPr>
          <w:rFonts w:cstheme="minorHAnsi"/>
        </w:rPr>
        <w:t xml:space="preserve"> % rozpočtované částky</w:t>
      </w:r>
      <w:r>
        <w:rPr>
          <w:rFonts w:cstheme="minorHAnsi"/>
        </w:rPr>
        <w:t>,</w:t>
      </w:r>
      <w:r w:rsidRPr="0003094C">
        <w:rPr>
          <w:rFonts w:cstheme="minorHAnsi"/>
        </w:rPr>
        <w:t xml:space="preserve"> na podporu systému poskytování finanční výpomoci živnostníkům.</w:t>
      </w:r>
      <w:r>
        <w:rPr>
          <w:rFonts w:cstheme="minorHAnsi"/>
        </w:rPr>
        <w:t xml:space="preserve"> </w:t>
      </w:r>
    </w:p>
    <w:p w14:paraId="601D8B2A" w14:textId="77777777" w:rsidR="0072554E" w:rsidRDefault="0072554E" w:rsidP="0072554E">
      <w:pPr>
        <w:spacing w:after="0" w:line="240" w:lineRule="auto"/>
        <w:jc w:val="both"/>
        <w:rPr>
          <w:rFonts w:cstheme="minorHAnsi"/>
          <w:b/>
          <w:u w:val="single"/>
        </w:rPr>
      </w:pPr>
    </w:p>
    <w:p w14:paraId="6870B1CE" w14:textId="77777777" w:rsidR="0072554E" w:rsidRPr="0003094C" w:rsidRDefault="0072554E" w:rsidP="0072554E">
      <w:pPr>
        <w:spacing w:after="0" w:line="240" w:lineRule="auto"/>
        <w:jc w:val="both"/>
        <w:rPr>
          <w:rFonts w:cstheme="minorHAnsi"/>
          <w:b/>
          <w:u w:val="single"/>
        </w:rPr>
      </w:pPr>
    </w:p>
    <w:p w14:paraId="46622D16" w14:textId="77777777" w:rsidR="0072554E" w:rsidRPr="0003094C" w:rsidRDefault="0072554E" w:rsidP="0072554E">
      <w:pPr>
        <w:spacing w:after="0" w:line="240" w:lineRule="auto"/>
        <w:jc w:val="both"/>
        <w:rPr>
          <w:rFonts w:cstheme="minorHAnsi"/>
          <w:b/>
          <w:sz w:val="24"/>
          <w:szCs w:val="24"/>
          <w:u w:val="single"/>
        </w:rPr>
      </w:pPr>
      <w:r w:rsidRPr="0003094C">
        <w:rPr>
          <w:rFonts w:cstheme="minorHAnsi"/>
          <w:b/>
          <w:sz w:val="24"/>
          <w:szCs w:val="24"/>
          <w:u w:val="single"/>
        </w:rPr>
        <w:t>Fondy</w:t>
      </w:r>
    </w:p>
    <w:p w14:paraId="3F688B7F" w14:textId="77777777" w:rsidR="0072554E" w:rsidRPr="0003094C" w:rsidRDefault="0072554E" w:rsidP="0072554E">
      <w:pPr>
        <w:spacing w:after="0" w:line="240" w:lineRule="auto"/>
        <w:jc w:val="both"/>
        <w:rPr>
          <w:rFonts w:cstheme="minorHAnsi"/>
          <w:b/>
          <w:u w:val="single"/>
        </w:rPr>
      </w:pPr>
    </w:p>
    <w:p w14:paraId="28BC4D32" w14:textId="77777777" w:rsidR="0072554E" w:rsidRPr="0003094C" w:rsidRDefault="0072554E" w:rsidP="0072554E">
      <w:pPr>
        <w:spacing w:after="0" w:line="240" w:lineRule="auto"/>
        <w:jc w:val="both"/>
        <w:rPr>
          <w:rFonts w:cstheme="minorHAnsi"/>
          <w:b/>
          <w:u w:val="single"/>
        </w:rPr>
      </w:pPr>
      <w:r w:rsidRPr="0003094C">
        <w:rPr>
          <w:rFonts w:cstheme="minorHAnsi"/>
          <w:b/>
        </w:rPr>
        <w:t>Středočeský Fond rozvoje obcí a měst</w:t>
      </w:r>
    </w:p>
    <w:p w14:paraId="5AEA4AA2" w14:textId="77777777" w:rsidR="0072554E" w:rsidRPr="0003094C" w:rsidRDefault="0072554E" w:rsidP="0072554E">
      <w:pPr>
        <w:spacing w:after="0" w:line="240" w:lineRule="auto"/>
        <w:jc w:val="both"/>
        <w:rPr>
          <w:rFonts w:cstheme="minorHAnsi"/>
        </w:rPr>
      </w:pPr>
      <w:r w:rsidRPr="0003094C">
        <w:rPr>
          <w:rFonts w:cstheme="minorHAnsi"/>
        </w:rPr>
        <w:t xml:space="preserve">Rozpočet byl upraven na základě usnesení 051-02/2021/RK ze dne 14. 1. 2021 převodem nevyčerpaných účelových finančních prostředků kapitoly </w:t>
      </w:r>
      <w:r>
        <w:rPr>
          <w:rFonts w:cstheme="minorHAnsi"/>
        </w:rPr>
        <w:t>09 - Evropská integrace</w:t>
      </w:r>
      <w:r w:rsidRPr="0003094C">
        <w:rPr>
          <w:rFonts w:cstheme="minorHAnsi"/>
        </w:rPr>
        <w:t xml:space="preserve"> </w:t>
      </w:r>
      <w:r>
        <w:rPr>
          <w:rFonts w:cstheme="minorHAnsi"/>
        </w:rPr>
        <w:t>z</w:t>
      </w:r>
      <w:r w:rsidRPr="0003094C">
        <w:rPr>
          <w:rFonts w:cstheme="minorHAnsi"/>
        </w:rPr>
        <w:t xml:space="preserve"> </w:t>
      </w:r>
      <w:r>
        <w:rPr>
          <w:rFonts w:cstheme="minorHAnsi"/>
        </w:rPr>
        <w:t>r.</w:t>
      </w:r>
      <w:r w:rsidRPr="0003094C">
        <w:rPr>
          <w:rFonts w:cstheme="minorHAnsi"/>
        </w:rPr>
        <w:t xml:space="preserve"> 2020 ve výši 2 500 000,00 Kč do rozpočtu </w:t>
      </w:r>
      <w:r>
        <w:rPr>
          <w:rFonts w:cstheme="minorHAnsi"/>
        </w:rPr>
        <w:t>r.</w:t>
      </w:r>
      <w:r w:rsidRPr="0003094C">
        <w:rPr>
          <w:rFonts w:cstheme="minorHAnsi"/>
        </w:rPr>
        <w:t xml:space="preserve"> 2021 </w:t>
      </w:r>
      <w:r>
        <w:rPr>
          <w:rFonts w:cstheme="minorHAnsi"/>
        </w:rPr>
        <w:t>(</w:t>
      </w:r>
      <w:r w:rsidRPr="00957F76">
        <w:rPr>
          <w:rFonts w:cstheme="minorHAnsi"/>
        </w:rPr>
        <w:t>zapojeno do zůstatku hospodaření SK z </w:t>
      </w:r>
      <w:r>
        <w:rPr>
          <w:rFonts w:cstheme="minorHAnsi"/>
        </w:rPr>
        <w:t xml:space="preserve">r. 2020 schváleného usnesením </w:t>
      </w:r>
      <w:r w:rsidRPr="00957F76">
        <w:rPr>
          <w:rFonts w:cstheme="minorHAnsi"/>
        </w:rPr>
        <w:t>č. 007-06/2021/ZK ze dne 26. 04. 2021)</w:t>
      </w:r>
      <w:r>
        <w:rPr>
          <w:rFonts w:cstheme="minorHAnsi"/>
        </w:rPr>
        <w:t xml:space="preserve">. </w:t>
      </w:r>
      <w:r w:rsidRPr="009C31A5">
        <w:rPr>
          <w:rFonts w:cstheme="minorHAnsi"/>
        </w:rPr>
        <w:t>Finanční prostředky ve výši 2 500 000,00 Kč byly převedeny usnesením č. 026-32/2021/RK ze dne 26.8.2021 na poskytnutí individuální účelové dotace obci Cítov.</w:t>
      </w:r>
    </w:p>
    <w:p w14:paraId="693E1007" w14:textId="77777777" w:rsidR="0072554E" w:rsidRPr="0003094C" w:rsidRDefault="0072554E" w:rsidP="0072554E">
      <w:pPr>
        <w:spacing w:after="0" w:line="240" w:lineRule="auto"/>
        <w:jc w:val="both"/>
        <w:rPr>
          <w:rFonts w:cstheme="minorHAnsi"/>
        </w:rPr>
      </w:pPr>
    </w:p>
    <w:p w14:paraId="0CF9BAF5" w14:textId="77777777" w:rsidR="0072554E" w:rsidRPr="0003094C" w:rsidRDefault="0072554E" w:rsidP="0072554E">
      <w:pPr>
        <w:spacing w:after="0" w:line="240" w:lineRule="auto"/>
        <w:jc w:val="both"/>
        <w:rPr>
          <w:rFonts w:cstheme="minorHAnsi"/>
          <w:b/>
        </w:rPr>
      </w:pPr>
      <w:r w:rsidRPr="0003094C">
        <w:rPr>
          <w:rFonts w:cstheme="minorHAnsi"/>
          <w:b/>
        </w:rPr>
        <w:t>Středočeský Fond obnovy venkova</w:t>
      </w:r>
    </w:p>
    <w:p w14:paraId="25705527" w14:textId="25FAE17E" w:rsidR="0072554E" w:rsidRPr="0003094C" w:rsidRDefault="0072554E" w:rsidP="0072554E">
      <w:pPr>
        <w:spacing w:after="0" w:line="240" w:lineRule="auto"/>
        <w:jc w:val="both"/>
        <w:rPr>
          <w:rFonts w:cstheme="minorHAnsi"/>
        </w:rPr>
      </w:pPr>
      <w:r w:rsidRPr="0003094C">
        <w:rPr>
          <w:rFonts w:cstheme="minorHAnsi"/>
        </w:rPr>
        <w:lastRenderedPageBreak/>
        <w:t xml:space="preserve">Schválený rozpočet </w:t>
      </w:r>
      <w:r>
        <w:rPr>
          <w:rFonts w:cstheme="minorHAnsi"/>
        </w:rPr>
        <w:t xml:space="preserve">ve výši </w:t>
      </w:r>
      <w:r w:rsidRPr="0003094C">
        <w:rPr>
          <w:rFonts w:cstheme="minorHAnsi"/>
        </w:rPr>
        <w:t>20 000 000,00 Kč byl</w:t>
      </w:r>
      <w:r>
        <w:rPr>
          <w:rFonts w:cstheme="minorHAnsi"/>
        </w:rPr>
        <w:t xml:space="preserve"> </w:t>
      </w:r>
      <w:r w:rsidR="00A03CC2">
        <w:rPr>
          <w:rFonts w:cstheme="minorHAnsi"/>
        </w:rPr>
        <w:t>u</w:t>
      </w:r>
      <w:r w:rsidRPr="0003094C">
        <w:rPr>
          <w:rFonts w:cstheme="minorHAnsi"/>
        </w:rPr>
        <w:t xml:space="preserve">snesením č. 051-02/2021/RK ze dne 14. 1. 2021 navýšen o 147 937 783,00 Kč (převod nevyčerpaných účelových finančních prostředků kapitoly </w:t>
      </w:r>
      <w:r>
        <w:rPr>
          <w:rFonts w:cstheme="minorHAnsi"/>
        </w:rPr>
        <w:t xml:space="preserve">09 </w:t>
      </w:r>
      <w:r w:rsidRPr="0003094C">
        <w:rPr>
          <w:rFonts w:cstheme="minorHAnsi"/>
        </w:rPr>
        <w:t xml:space="preserve">Evropská integrace z </w:t>
      </w:r>
      <w:r>
        <w:rPr>
          <w:rFonts w:cstheme="minorHAnsi"/>
        </w:rPr>
        <w:t>r.</w:t>
      </w:r>
      <w:r w:rsidRPr="0003094C">
        <w:rPr>
          <w:rFonts w:cstheme="minorHAnsi"/>
        </w:rPr>
        <w:t xml:space="preserve"> 2020 do rozpočtu </w:t>
      </w:r>
      <w:r>
        <w:rPr>
          <w:rFonts w:cstheme="minorHAnsi"/>
        </w:rPr>
        <w:t>r.</w:t>
      </w:r>
      <w:r w:rsidRPr="0003094C">
        <w:rPr>
          <w:rFonts w:cstheme="minorHAnsi"/>
        </w:rPr>
        <w:t xml:space="preserve"> 2021</w:t>
      </w:r>
      <w:r>
        <w:rPr>
          <w:rFonts w:cstheme="minorHAnsi"/>
        </w:rPr>
        <w:t xml:space="preserve"> - </w:t>
      </w:r>
      <w:r w:rsidRPr="00957F76">
        <w:rPr>
          <w:rFonts w:cstheme="minorHAnsi"/>
        </w:rPr>
        <w:t>zapojeno do zůstatku hospodaření SK z </w:t>
      </w:r>
      <w:r>
        <w:rPr>
          <w:rFonts w:cstheme="minorHAnsi"/>
        </w:rPr>
        <w:t xml:space="preserve">r. 2020 schváleného usnesením </w:t>
      </w:r>
      <w:r w:rsidRPr="00957F76">
        <w:rPr>
          <w:rFonts w:cstheme="minorHAnsi"/>
        </w:rPr>
        <w:t>č. 007</w:t>
      </w:r>
      <w:r>
        <w:rPr>
          <w:rFonts w:cstheme="minorHAnsi"/>
        </w:rPr>
        <w:t>-06/2021/ZK ze dne 26. 04. 2021</w:t>
      </w:r>
      <w:r w:rsidRPr="0003094C">
        <w:rPr>
          <w:rFonts w:cstheme="minorHAnsi"/>
        </w:rPr>
        <w:t>). Přijatým usnesením č. 007-04/2021/ZK ze dne 22. 2. 2021 byly navýšeny finanční prostředky fondu o 30 000 000,00 Kč (</w:t>
      </w:r>
      <w:r>
        <w:rPr>
          <w:rFonts w:cstheme="minorHAnsi"/>
        </w:rPr>
        <w:t xml:space="preserve">navýšení rozpočtu Středočeského kraje o finanční </w:t>
      </w:r>
      <w:r w:rsidRPr="0003094C">
        <w:rPr>
          <w:rFonts w:cstheme="minorHAnsi"/>
        </w:rPr>
        <w:t>prostředky ze sdílených daní a nevyčerpané</w:t>
      </w:r>
      <w:r>
        <w:rPr>
          <w:rFonts w:cstheme="minorHAnsi"/>
        </w:rPr>
        <w:t xml:space="preserve"> finanční</w:t>
      </w:r>
      <w:r w:rsidRPr="0003094C">
        <w:rPr>
          <w:rFonts w:cstheme="minorHAnsi"/>
        </w:rPr>
        <w:t xml:space="preserve"> prostředky z </w:t>
      </w:r>
      <w:r>
        <w:rPr>
          <w:rFonts w:cstheme="minorHAnsi"/>
        </w:rPr>
        <w:t>r.</w:t>
      </w:r>
      <w:r w:rsidRPr="0003094C">
        <w:rPr>
          <w:rFonts w:cstheme="minorHAnsi"/>
        </w:rPr>
        <w:t xml:space="preserve"> 2020). Usnesením č. 0</w:t>
      </w:r>
      <w:r>
        <w:rPr>
          <w:rFonts w:cstheme="minorHAnsi"/>
        </w:rPr>
        <w:t>09-</w:t>
      </w:r>
      <w:r w:rsidRPr="0003094C">
        <w:rPr>
          <w:rFonts w:cstheme="minorHAnsi"/>
        </w:rPr>
        <w:t>15/2021/RK ze dne 1. 4. 2021 byl rozpočet fondu snížen, byl proveden převod finančních prostře</w:t>
      </w:r>
      <w:r>
        <w:rPr>
          <w:rFonts w:cstheme="minorHAnsi"/>
        </w:rPr>
        <w:t>dků ve výši 600 000,00 Kč mezi f</w:t>
      </w:r>
      <w:r w:rsidRPr="0003094C">
        <w:rPr>
          <w:rFonts w:cstheme="minorHAnsi"/>
        </w:rPr>
        <w:t xml:space="preserve">ondy Středočeského kraje v rámci kapitoly </w:t>
      </w:r>
      <w:r>
        <w:rPr>
          <w:rFonts w:cstheme="minorHAnsi"/>
        </w:rPr>
        <w:t xml:space="preserve">09 </w:t>
      </w:r>
      <w:r w:rsidRPr="0003094C">
        <w:rPr>
          <w:rFonts w:cstheme="minorHAnsi"/>
        </w:rPr>
        <w:t xml:space="preserve">- Evropská integrace (z Fondu obnovy venkova do Fondu na podporu výsadby stromů). </w:t>
      </w:r>
      <w:r w:rsidRPr="009C31A5">
        <w:rPr>
          <w:rFonts w:cstheme="minorHAnsi"/>
        </w:rPr>
        <w:t xml:space="preserve">Usnesením č. 018-32/2021/RK ze dne 26.8.2021 byl navýšen o 20 000 000,00 Kč převodem finančních prostředků mezi </w:t>
      </w:r>
      <w:r>
        <w:rPr>
          <w:rFonts w:cstheme="minorHAnsi"/>
        </w:rPr>
        <w:t>f</w:t>
      </w:r>
      <w:r w:rsidRPr="009C31A5">
        <w:rPr>
          <w:rFonts w:cstheme="minorHAnsi"/>
        </w:rPr>
        <w:t xml:space="preserve">ondy kapitoly </w:t>
      </w:r>
      <w:r>
        <w:rPr>
          <w:rFonts w:cstheme="minorHAnsi"/>
        </w:rPr>
        <w:t xml:space="preserve">09 - </w:t>
      </w:r>
      <w:r w:rsidRPr="009C31A5">
        <w:rPr>
          <w:rFonts w:cstheme="minorHAnsi"/>
        </w:rPr>
        <w:t>Evropská integrace a usnesením č. 004-38/2021/RK ze dne 7.10.2021 byl navýšen o 7 000 000,00 Kč</w:t>
      </w:r>
      <w:r>
        <w:rPr>
          <w:rFonts w:cstheme="minorHAnsi"/>
        </w:rPr>
        <w:t xml:space="preserve"> převodem</w:t>
      </w:r>
      <w:r w:rsidRPr="009C31A5">
        <w:rPr>
          <w:rFonts w:cstheme="minorHAnsi"/>
        </w:rPr>
        <w:t xml:space="preserve"> z kapitoly 23 – Ostatní, </w:t>
      </w:r>
      <w:r>
        <w:rPr>
          <w:rFonts w:cstheme="minorHAnsi"/>
        </w:rPr>
        <w:t>v</w:t>
      </w:r>
      <w:r w:rsidRPr="009C31A5">
        <w:rPr>
          <w:rFonts w:cstheme="minorHAnsi"/>
        </w:rPr>
        <w:t xml:space="preserve">ýdaje dle programů 2021 do kapitoly </w:t>
      </w:r>
      <w:r>
        <w:rPr>
          <w:rFonts w:cstheme="minorHAnsi"/>
        </w:rPr>
        <w:t xml:space="preserve">09   - Evropská integrace </w:t>
      </w:r>
      <w:r w:rsidRPr="009C31A5">
        <w:rPr>
          <w:rFonts w:cstheme="minorHAnsi"/>
        </w:rPr>
        <w:t xml:space="preserve">na navýšení rozpočtu Středočeského </w:t>
      </w:r>
      <w:r w:rsidRPr="00163EB1">
        <w:rPr>
          <w:rFonts w:cstheme="minorHAnsi"/>
        </w:rPr>
        <w:t>Fondu</w:t>
      </w:r>
      <w:r w:rsidRPr="009C31A5">
        <w:rPr>
          <w:rFonts w:cstheme="minorHAnsi"/>
        </w:rPr>
        <w:t xml:space="preserve"> obnovy venkova 2021-2024. Usnesením č. 032-47/2021/RK ze dne 16.12.2021 byly </w:t>
      </w:r>
      <w:r w:rsidR="009E7CFC">
        <w:rPr>
          <w:rFonts w:cstheme="minorHAnsi"/>
        </w:rPr>
        <w:t>volné</w:t>
      </w:r>
      <w:r>
        <w:rPr>
          <w:rFonts w:cstheme="minorHAnsi"/>
        </w:rPr>
        <w:t xml:space="preserve"> </w:t>
      </w:r>
      <w:r w:rsidRPr="009C31A5">
        <w:rPr>
          <w:rFonts w:cstheme="minorHAnsi"/>
        </w:rPr>
        <w:t>finanční prostředky ve výši 22 600 000,00 Kč převedeny z Fondu obnovy venkova</w:t>
      </w:r>
      <w:r>
        <w:rPr>
          <w:rFonts w:cstheme="minorHAnsi"/>
        </w:rPr>
        <w:t xml:space="preserve"> do </w:t>
      </w:r>
      <w:r w:rsidR="009E7CFC">
        <w:rPr>
          <w:rFonts w:cstheme="minorHAnsi"/>
        </w:rPr>
        <w:t>kapitoly 23 - Ostatní</w:t>
      </w:r>
      <w:r>
        <w:rPr>
          <w:rFonts w:cstheme="minorHAnsi"/>
        </w:rPr>
        <w:t xml:space="preserve"> </w:t>
      </w:r>
      <w:bookmarkStart w:id="46" w:name="_Hlk96948828"/>
      <w:r>
        <w:rPr>
          <w:rFonts w:cstheme="minorHAnsi"/>
        </w:rPr>
        <w:t>jako jeden ze zdrojů krytí výdajů</w:t>
      </w:r>
      <w:bookmarkEnd w:id="46"/>
      <w:r>
        <w:rPr>
          <w:rFonts w:cstheme="minorHAnsi"/>
        </w:rPr>
        <w:t xml:space="preserve"> Středočeského Fondu obnovy venkova v r. 2022.</w:t>
      </w:r>
      <w:r w:rsidRPr="009C31A5">
        <w:rPr>
          <w:rFonts w:cstheme="minorHAnsi"/>
        </w:rPr>
        <w:t xml:space="preserve"> Finanční prostředky o objemu 181 339 593,00 Kč, které představují plnění rozpočtu ve výši 89,9 %, byly čerpány do konce </w:t>
      </w:r>
      <w:r>
        <w:rPr>
          <w:rFonts w:cstheme="minorHAnsi"/>
        </w:rPr>
        <w:t>r.</w:t>
      </w:r>
      <w:r w:rsidRPr="009C31A5">
        <w:rPr>
          <w:rFonts w:cstheme="minorHAnsi"/>
        </w:rPr>
        <w:t xml:space="preserve"> 2021 na poskytnutí dotací pro obce do 2 000 obyvatel na projekty dopravní a technické infrastruktury, dále na projekty občanské vybavenosti, a veřejných prostranství. </w:t>
      </w:r>
    </w:p>
    <w:p w14:paraId="7226F436" w14:textId="77777777" w:rsidR="0072554E" w:rsidRPr="0003094C" w:rsidRDefault="0072554E" w:rsidP="0072554E">
      <w:pPr>
        <w:spacing w:after="0" w:line="240" w:lineRule="auto"/>
        <w:jc w:val="both"/>
        <w:rPr>
          <w:rFonts w:cstheme="minorHAnsi"/>
        </w:rPr>
      </w:pPr>
    </w:p>
    <w:p w14:paraId="5B73B706" w14:textId="77777777" w:rsidR="0072554E" w:rsidRPr="0003094C" w:rsidRDefault="0072554E" w:rsidP="0072554E">
      <w:pPr>
        <w:spacing w:after="0" w:line="240" w:lineRule="auto"/>
        <w:jc w:val="both"/>
        <w:rPr>
          <w:rFonts w:cstheme="minorHAnsi"/>
          <w:b/>
        </w:rPr>
      </w:pPr>
      <w:r w:rsidRPr="0003094C">
        <w:rPr>
          <w:rFonts w:cstheme="minorHAnsi"/>
          <w:b/>
        </w:rPr>
        <w:t>Středočeský Infrastrukturní fond: Tematické zadání Podpora rozvoje a obnovy základních škol a mateřských škol</w:t>
      </w:r>
    </w:p>
    <w:p w14:paraId="01414151" w14:textId="79D5F18C" w:rsidR="0072554E" w:rsidRDefault="00A03CC2" w:rsidP="0072554E">
      <w:pPr>
        <w:spacing w:after="0" w:line="240" w:lineRule="auto"/>
        <w:jc w:val="both"/>
        <w:rPr>
          <w:rFonts w:cstheme="minorHAnsi"/>
        </w:rPr>
      </w:pPr>
      <w:r>
        <w:rPr>
          <w:rFonts w:cstheme="minorHAnsi"/>
        </w:rPr>
        <w:t>R</w:t>
      </w:r>
      <w:r w:rsidR="0072554E" w:rsidRPr="0003094C">
        <w:rPr>
          <w:rFonts w:cstheme="minorHAnsi"/>
        </w:rPr>
        <w:t>ozpočet</w:t>
      </w:r>
      <w:r w:rsidR="0072554E">
        <w:rPr>
          <w:rFonts w:cstheme="minorHAnsi"/>
        </w:rPr>
        <w:t xml:space="preserve"> byl</w:t>
      </w:r>
      <w:r w:rsidR="0072554E" w:rsidRPr="0003094C">
        <w:rPr>
          <w:rFonts w:cstheme="minorHAnsi"/>
        </w:rPr>
        <w:t xml:space="preserve"> tvořen nevyčerpanými účelovými finančními prostředky kapitoly </w:t>
      </w:r>
      <w:r w:rsidR="0072554E">
        <w:rPr>
          <w:rFonts w:cstheme="minorHAnsi"/>
        </w:rPr>
        <w:t xml:space="preserve">09 </w:t>
      </w:r>
      <w:r w:rsidR="0072554E" w:rsidRPr="0003094C">
        <w:rPr>
          <w:rFonts w:cstheme="minorHAnsi"/>
        </w:rPr>
        <w:t xml:space="preserve">- Evropská integrace z </w:t>
      </w:r>
      <w:r w:rsidR="0072554E">
        <w:rPr>
          <w:rFonts w:cstheme="minorHAnsi"/>
        </w:rPr>
        <w:t>r.</w:t>
      </w:r>
      <w:r w:rsidR="0072554E" w:rsidRPr="0003094C">
        <w:rPr>
          <w:rFonts w:cstheme="minorHAnsi"/>
        </w:rPr>
        <w:t xml:space="preserve"> 2020, které byly převedeny do rozpočtu </w:t>
      </w:r>
      <w:r w:rsidR="0072554E">
        <w:rPr>
          <w:rFonts w:cstheme="minorHAnsi"/>
        </w:rPr>
        <w:t>r.</w:t>
      </w:r>
      <w:r w:rsidR="0072554E" w:rsidRPr="0003094C">
        <w:rPr>
          <w:rFonts w:cstheme="minorHAnsi"/>
        </w:rPr>
        <w:t xml:space="preserve"> 2021 ve výši 128 759 898,61 Kč usnesením č. 011-04/2021/RK ze dne 28. 1. 2021</w:t>
      </w:r>
      <w:r w:rsidR="0072554E">
        <w:rPr>
          <w:rFonts w:cstheme="minorHAnsi"/>
        </w:rPr>
        <w:t xml:space="preserve"> (</w:t>
      </w:r>
      <w:r w:rsidR="0072554E" w:rsidRPr="00957F76">
        <w:rPr>
          <w:rFonts w:cstheme="minorHAnsi"/>
        </w:rPr>
        <w:t>zap</w:t>
      </w:r>
      <w:r w:rsidR="0072554E">
        <w:rPr>
          <w:rFonts w:cstheme="minorHAnsi"/>
        </w:rPr>
        <w:t>ojeno do zůstatku hospodaření Středočeského kraje</w:t>
      </w:r>
      <w:r w:rsidR="0072554E" w:rsidRPr="00957F76">
        <w:rPr>
          <w:rFonts w:cstheme="minorHAnsi"/>
        </w:rPr>
        <w:t xml:space="preserve"> z </w:t>
      </w:r>
      <w:r w:rsidR="0072554E">
        <w:rPr>
          <w:rFonts w:cstheme="minorHAnsi"/>
        </w:rPr>
        <w:t xml:space="preserve">r. 2020 schváleného usnesením </w:t>
      </w:r>
      <w:r w:rsidR="0072554E" w:rsidRPr="00957F76">
        <w:rPr>
          <w:rFonts w:cstheme="minorHAnsi"/>
        </w:rPr>
        <w:t>č. 007-06/2021/ZK ze dne 26. 04. 2021)</w:t>
      </w:r>
      <w:r w:rsidR="0072554E" w:rsidRPr="0003094C">
        <w:rPr>
          <w:rFonts w:cstheme="minorHAnsi"/>
        </w:rPr>
        <w:t xml:space="preserve">, dále byl usnesením č. 007-04/2021/ZK ze dne 22. 2. 2021 navýšen rozpočet fondu </w:t>
      </w:r>
      <w:r w:rsidR="0072554E">
        <w:rPr>
          <w:rFonts w:cstheme="minorHAnsi"/>
        </w:rPr>
        <w:t xml:space="preserve">o 20 000 000,00 Kč (navýšení rozpočtu Středočeského kraje o </w:t>
      </w:r>
      <w:r w:rsidR="0072554E" w:rsidRPr="0003094C">
        <w:rPr>
          <w:rFonts w:cstheme="minorHAnsi"/>
        </w:rPr>
        <w:t xml:space="preserve">prostředky ze sdílených daní a nevyčerpané </w:t>
      </w:r>
      <w:r w:rsidR="0072554E">
        <w:rPr>
          <w:rFonts w:cstheme="minorHAnsi"/>
        </w:rPr>
        <w:t xml:space="preserve">finanční </w:t>
      </w:r>
      <w:r w:rsidR="0072554E" w:rsidRPr="0003094C">
        <w:rPr>
          <w:rFonts w:cstheme="minorHAnsi"/>
        </w:rPr>
        <w:t xml:space="preserve">prostředky z </w:t>
      </w:r>
      <w:r w:rsidR="0072554E">
        <w:rPr>
          <w:rFonts w:cstheme="minorHAnsi"/>
        </w:rPr>
        <w:t>r.</w:t>
      </w:r>
      <w:r w:rsidR="0072554E" w:rsidRPr="0003094C">
        <w:rPr>
          <w:rFonts w:cstheme="minorHAnsi"/>
        </w:rPr>
        <w:t xml:space="preserve"> 2020</w:t>
      </w:r>
      <w:r w:rsidR="0072554E">
        <w:rPr>
          <w:rFonts w:cstheme="minorHAnsi"/>
        </w:rPr>
        <w:t>)</w:t>
      </w:r>
      <w:r w:rsidR="0072554E" w:rsidRPr="0003094C">
        <w:rPr>
          <w:rFonts w:cstheme="minorHAnsi"/>
        </w:rPr>
        <w:t>, usnesením č. 043-14/2021/RK ze dne 25. 3. 2021 byl rozpočet fondu snížen o 1 846 291,00 Kč převo</w:t>
      </w:r>
      <w:r w:rsidR="0072554E">
        <w:rPr>
          <w:rFonts w:cstheme="minorHAnsi"/>
        </w:rPr>
        <w:t>dem finančních prostředků mezi f</w:t>
      </w:r>
      <w:r w:rsidR="0072554E" w:rsidRPr="0003094C">
        <w:rPr>
          <w:rFonts w:cstheme="minorHAnsi"/>
        </w:rPr>
        <w:t xml:space="preserve">ondy kapitoly </w:t>
      </w:r>
      <w:r w:rsidR="0072554E">
        <w:rPr>
          <w:rFonts w:cstheme="minorHAnsi"/>
        </w:rPr>
        <w:t xml:space="preserve">09 </w:t>
      </w:r>
      <w:r w:rsidR="0072554E" w:rsidRPr="0003094C">
        <w:rPr>
          <w:rFonts w:cstheme="minorHAnsi"/>
        </w:rPr>
        <w:t>- Evropská integrace (ze Středočeského Infrastrukturního fondu do Středočeského Fondu podpory včasné přípravy projektů EU 2021+ a NIP)</w:t>
      </w:r>
      <w:r w:rsidR="009E7CFC">
        <w:rPr>
          <w:rFonts w:cstheme="minorHAnsi"/>
        </w:rPr>
        <w:t>, dále</w:t>
      </w:r>
      <w:r w:rsidR="0072554E" w:rsidRPr="0003094C">
        <w:rPr>
          <w:rFonts w:cstheme="minorHAnsi"/>
        </w:rPr>
        <w:t xml:space="preserve"> usnesením č. 019-23/2021/RK ze dne 27. 5. 2021 byl rozpočet fondu snížen o 2 000 000,00 Kč převo</w:t>
      </w:r>
      <w:r w:rsidR="0072554E">
        <w:rPr>
          <w:rFonts w:cstheme="minorHAnsi"/>
        </w:rPr>
        <w:t>dem finančních prostředků mezi f</w:t>
      </w:r>
      <w:r w:rsidR="0072554E" w:rsidRPr="0003094C">
        <w:rPr>
          <w:rFonts w:cstheme="minorHAnsi"/>
        </w:rPr>
        <w:t xml:space="preserve">ondy kapitoly </w:t>
      </w:r>
      <w:r w:rsidR="0072554E">
        <w:rPr>
          <w:rFonts w:cstheme="minorHAnsi"/>
        </w:rPr>
        <w:t xml:space="preserve">09 - </w:t>
      </w:r>
      <w:r w:rsidR="0072554E" w:rsidRPr="0003094C">
        <w:rPr>
          <w:rFonts w:cstheme="minorHAnsi"/>
        </w:rPr>
        <w:t>Evropská integrace (ze Středočeského Infrastrukturního fondu do Středočeského fondu na podporu participativních rozpočtů obcí a měst).</w:t>
      </w:r>
    </w:p>
    <w:p w14:paraId="3F7375A0" w14:textId="15B10361" w:rsidR="0072554E" w:rsidRDefault="0072554E" w:rsidP="0072554E">
      <w:pPr>
        <w:spacing w:after="0" w:line="240" w:lineRule="auto"/>
        <w:jc w:val="both"/>
        <w:rPr>
          <w:rFonts w:cstheme="minorHAnsi"/>
        </w:rPr>
      </w:pPr>
      <w:r w:rsidRPr="00BE2BCB">
        <w:rPr>
          <w:rFonts w:cstheme="minorHAnsi"/>
        </w:rPr>
        <w:t xml:space="preserve">Usnesením č. 032-47/2021/RK ze dne 16.12.2021 byly </w:t>
      </w:r>
      <w:r w:rsidR="009E7CFC">
        <w:rPr>
          <w:rFonts w:cstheme="minorHAnsi"/>
        </w:rPr>
        <w:t>volné</w:t>
      </w:r>
      <w:r>
        <w:rPr>
          <w:rFonts w:cstheme="minorHAnsi"/>
        </w:rPr>
        <w:t xml:space="preserve"> </w:t>
      </w:r>
      <w:r w:rsidRPr="00BE2BCB">
        <w:rPr>
          <w:rFonts w:cstheme="minorHAnsi"/>
        </w:rPr>
        <w:t xml:space="preserve">finanční prostředky ve výši 20 000 000,00 Kč převedeny </w:t>
      </w:r>
      <w:bookmarkStart w:id="47" w:name="_Hlk96949166"/>
      <w:r w:rsidR="009E7CFC">
        <w:rPr>
          <w:rFonts w:cstheme="minorHAnsi"/>
        </w:rPr>
        <w:t>na kapitolu 23 - Ostatní</w:t>
      </w:r>
      <w:r w:rsidRPr="00BE2BCB">
        <w:rPr>
          <w:rFonts w:cstheme="minorHAnsi"/>
        </w:rPr>
        <w:t xml:space="preserve"> </w:t>
      </w:r>
      <w:r>
        <w:rPr>
          <w:rFonts w:cstheme="minorHAnsi"/>
        </w:rPr>
        <w:t xml:space="preserve">jako jeden ze zdrojů krytí výdajů Středočeského </w:t>
      </w:r>
      <w:bookmarkEnd w:id="47"/>
      <w:r>
        <w:rPr>
          <w:rFonts w:cstheme="minorHAnsi"/>
        </w:rPr>
        <w:t xml:space="preserve">Infrastrukturního fondu v r. 2022. </w:t>
      </w:r>
      <w:r w:rsidRPr="00BE2BCB">
        <w:rPr>
          <w:rFonts w:cstheme="minorHAnsi"/>
        </w:rPr>
        <w:t xml:space="preserve">Finanční prostředky o objemu 75 776 455,55 Kč, které představují plnění rozpočtu ve výši 60,7 %, byly čerpány na poskytnutí dotací pro obce na spolufinancování projektů týkajících se podpory rozvoje a obnovy základních a mateřských škol. Investiční dotace jsou poskytovány v maximální výši 10 000 000,00 Kč. </w:t>
      </w:r>
    </w:p>
    <w:p w14:paraId="6EF2F7FC" w14:textId="77777777" w:rsidR="0072554E" w:rsidRPr="0003094C" w:rsidRDefault="0072554E" w:rsidP="0072554E">
      <w:pPr>
        <w:spacing w:after="0" w:line="240" w:lineRule="auto"/>
        <w:jc w:val="both"/>
        <w:rPr>
          <w:rFonts w:cstheme="minorHAnsi"/>
        </w:rPr>
      </w:pPr>
      <w:r w:rsidRPr="0003094C">
        <w:rPr>
          <w:rFonts w:cstheme="minorHAnsi"/>
        </w:rPr>
        <w:t xml:space="preserve"> </w:t>
      </w:r>
    </w:p>
    <w:p w14:paraId="7A20820B" w14:textId="77777777" w:rsidR="0072554E" w:rsidRPr="0003094C" w:rsidRDefault="0072554E" w:rsidP="0072554E">
      <w:pPr>
        <w:spacing w:after="0" w:line="240" w:lineRule="auto"/>
        <w:jc w:val="both"/>
        <w:rPr>
          <w:rFonts w:cstheme="minorHAnsi"/>
          <w:b/>
        </w:rPr>
      </w:pPr>
      <w:r w:rsidRPr="0003094C">
        <w:rPr>
          <w:rFonts w:cstheme="minorHAnsi"/>
          <w:b/>
        </w:rPr>
        <w:t>Středočeský Fond na podporu participativních rozpočtů obcí a měst</w:t>
      </w:r>
    </w:p>
    <w:p w14:paraId="4C29D7CE" w14:textId="7CF016E5" w:rsidR="0072554E" w:rsidRPr="0003094C" w:rsidRDefault="00F63467" w:rsidP="0072554E">
      <w:pPr>
        <w:spacing w:after="0" w:line="240" w:lineRule="auto"/>
        <w:jc w:val="both"/>
        <w:rPr>
          <w:rFonts w:cstheme="minorHAnsi"/>
        </w:rPr>
      </w:pPr>
      <w:r>
        <w:rPr>
          <w:rFonts w:cstheme="minorHAnsi"/>
        </w:rPr>
        <w:t>R</w:t>
      </w:r>
      <w:r w:rsidR="0072554E" w:rsidRPr="0003094C">
        <w:rPr>
          <w:rFonts w:cstheme="minorHAnsi"/>
        </w:rPr>
        <w:t xml:space="preserve">ozpočet </w:t>
      </w:r>
      <w:r>
        <w:rPr>
          <w:rFonts w:cstheme="minorHAnsi"/>
        </w:rPr>
        <w:t xml:space="preserve">ve výši 2 000 000,00 Kč </w:t>
      </w:r>
      <w:r w:rsidR="0072554E">
        <w:rPr>
          <w:rFonts w:cstheme="minorHAnsi"/>
        </w:rPr>
        <w:t>byl</w:t>
      </w:r>
      <w:r w:rsidR="0072554E" w:rsidRPr="0003094C">
        <w:rPr>
          <w:rFonts w:cstheme="minorHAnsi"/>
        </w:rPr>
        <w:t xml:space="preserve"> tvořen převodem finančních prostředků ze Středočeského Infrastrukturního fond</w:t>
      </w:r>
      <w:r w:rsidR="0072554E">
        <w:rPr>
          <w:rFonts w:cstheme="minorHAnsi"/>
        </w:rPr>
        <w:t>u 2020 do nového Středočeského F</w:t>
      </w:r>
      <w:r w:rsidR="0072554E" w:rsidRPr="0003094C">
        <w:rPr>
          <w:rFonts w:cstheme="minorHAnsi"/>
        </w:rPr>
        <w:t xml:space="preserve">ondu na podporu participativních rozpočtů obcí a měst v rámci kapitoly </w:t>
      </w:r>
      <w:r w:rsidR="0072554E">
        <w:rPr>
          <w:rFonts w:cstheme="minorHAnsi"/>
        </w:rPr>
        <w:t>09 – Evropská integrace na</w:t>
      </w:r>
      <w:r w:rsidR="0072554E" w:rsidRPr="0003094C">
        <w:rPr>
          <w:rFonts w:cstheme="minorHAnsi"/>
        </w:rPr>
        <w:t xml:space="preserve"> základě usnesení č. 019-23/2021/RK ze dne 27. 5. 2021. </w:t>
      </w:r>
    </w:p>
    <w:p w14:paraId="7C48E4C1" w14:textId="5ADC3BF7" w:rsidR="0072554E" w:rsidRPr="0003094C" w:rsidRDefault="00F63467" w:rsidP="0072554E">
      <w:pPr>
        <w:spacing w:after="0" w:line="240" w:lineRule="auto"/>
        <w:jc w:val="both"/>
        <w:rPr>
          <w:rFonts w:cstheme="minorHAnsi"/>
        </w:rPr>
      </w:pPr>
      <w:r>
        <w:rPr>
          <w:rFonts w:cstheme="minorHAnsi"/>
        </w:rPr>
        <w:t>U</w:t>
      </w:r>
      <w:r w:rsidR="0072554E" w:rsidRPr="00A44C3E">
        <w:rPr>
          <w:rFonts w:cstheme="minorHAnsi"/>
        </w:rPr>
        <w:t xml:space="preserve">snesením č. 032-47/2021/RK ze dne 16.12.2021 </w:t>
      </w:r>
      <w:r w:rsidR="008256C8">
        <w:rPr>
          <w:rFonts w:cstheme="minorHAnsi"/>
        </w:rPr>
        <w:t xml:space="preserve">byly do kapitoly 23 – Ostatní </w:t>
      </w:r>
      <w:r w:rsidR="0072554E" w:rsidRPr="00A44C3E">
        <w:rPr>
          <w:rFonts w:cstheme="minorHAnsi"/>
        </w:rPr>
        <w:t xml:space="preserve">převedeny </w:t>
      </w:r>
      <w:r w:rsidR="008256C8">
        <w:rPr>
          <w:rFonts w:cstheme="minorHAnsi"/>
        </w:rPr>
        <w:t>volné</w:t>
      </w:r>
      <w:r w:rsidR="0072554E">
        <w:rPr>
          <w:rFonts w:cstheme="minorHAnsi"/>
        </w:rPr>
        <w:t xml:space="preserve"> </w:t>
      </w:r>
      <w:r w:rsidR="0072554E" w:rsidRPr="00A44C3E">
        <w:rPr>
          <w:rFonts w:cstheme="minorHAnsi"/>
        </w:rPr>
        <w:t>finanční prostředky ve výši 1 800 000,00 Kč z</w:t>
      </w:r>
      <w:r w:rsidR="0072554E">
        <w:rPr>
          <w:rFonts w:cstheme="minorHAnsi"/>
        </w:rPr>
        <w:t> </w:t>
      </w:r>
      <w:r w:rsidR="0072554E" w:rsidRPr="00A44C3E">
        <w:rPr>
          <w:rFonts w:cstheme="minorHAnsi"/>
        </w:rPr>
        <w:t>fond</w:t>
      </w:r>
      <w:r w:rsidR="0072554E">
        <w:rPr>
          <w:rFonts w:cstheme="minorHAnsi"/>
        </w:rPr>
        <w:t>u jako jeden ze zdrojů krytí výdajů Středočeského Infrastrukturního fondu v r. 2022.</w:t>
      </w:r>
      <w:r w:rsidR="0072554E" w:rsidRPr="00A44C3E">
        <w:rPr>
          <w:rFonts w:cstheme="minorHAnsi"/>
        </w:rPr>
        <w:t xml:space="preserve"> Finanční prostředky o objemu 200 000,00 Kč, které představují plnění rozpočtu ve výši 100</w:t>
      </w:r>
      <w:r w:rsidR="008256C8">
        <w:rPr>
          <w:rFonts w:cstheme="minorHAnsi"/>
        </w:rPr>
        <w:t>,0</w:t>
      </w:r>
      <w:r w:rsidR="0072554E" w:rsidRPr="00A44C3E">
        <w:rPr>
          <w:rFonts w:cstheme="minorHAnsi"/>
        </w:rPr>
        <w:t xml:space="preserve"> %, byly čerpány do konce </w:t>
      </w:r>
      <w:r w:rsidR="0072554E">
        <w:rPr>
          <w:rFonts w:cstheme="minorHAnsi"/>
        </w:rPr>
        <w:t>r.</w:t>
      </w:r>
      <w:r w:rsidR="0072554E" w:rsidRPr="00A44C3E">
        <w:rPr>
          <w:rFonts w:cstheme="minorHAnsi"/>
        </w:rPr>
        <w:t xml:space="preserve"> 2021 jako dary na rozjezd prvních participativních rozpočtů obcí.</w:t>
      </w:r>
    </w:p>
    <w:p w14:paraId="137CC809" w14:textId="77777777" w:rsidR="0072554E" w:rsidRPr="0003094C" w:rsidRDefault="0072554E" w:rsidP="0072554E">
      <w:pPr>
        <w:spacing w:after="0" w:line="240" w:lineRule="auto"/>
        <w:jc w:val="both"/>
        <w:rPr>
          <w:rFonts w:cstheme="minorHAnsi"/>
        </w:rPr>
      </w:pPr>
    </w:p>
    <w:p w14:paraId="3512C7EE" w14:textId="77777777" w:rsidR="0072554E" w:rsidRPr="0003094C" w:rsidRDefault="0072554E" w:rsidP="0072554E">
      <w:pPr>
        <w:spacing w:after="0" w:line="240" w:lineRule="auto"/>
        <w:jc w:val="both"/>
        <w:rPr>
          <w:rFonts w:cstheme="minorHAnsi"/>
          <w:b/>
        </w:rPr>
      </w:pPr>
      <w:r w:rsidRPr="0003094C">
        <w:rPr>
          <w:rFonts w:cstheme="minorHAnsi"/>
          <w:b/>
        </w:rPr>
        <w:t>Středočeský Fond na podporu obecního bydlení</w:t>
      </w:r>
    </w:p>
    <w:p w14:paraId="2C8CB3F4" w14:textId="77777777" w:rsidR="0072554E" w:rsidRPr="0003094C" w:rsidRDefault="0072554E" w:rsidP="0072554E">
      <w:pPr>
        <w:spacing w:after="0" w:line="240" w:lineRule="auto"/>
        <w:jc w:val="both"/>
        <w:rPr>
          <w:rFonts w:cstheme="minorHAnsi"/>
        </w:rPr>
      </w:pPr>
      <w:r w:rsidRPr="0003094C">
        <w:rPr>
          <w:rFonts w:cstheme="minorHAnsi"/>
        </w:rPr>
        <w:t>Upravený rozpočet</w:t>
      </w:r>
      <w:r>
        <w:rPr>
          <w:rFonts w:cstheme="minorHAnsi"/>
        </w:rPr>
        <w:t xml:space="preserve"> </w:t>
      </w:r>
      <w:r w:rsidRPr="00163EB1">
        <w:rPr>
          <w:rFonts w:cstheme="minorHAnsi"/>
        </w:rPr>
        <w:t>v I. pololetí</w:t>
      </w:r>
      <w:r w:rsidRPr="0003094C">
        <w:rPr>
          <w:rFonts w:cstheme="minorHAnsi"/>
        </w:rPr>
        <w:t xml:space="preserve"> ve výši 20 000 000,00 Kč </w:t>
      </w:r>
      <w:r>
        <w:rPr>
          <w:rFonts w:cstheme="minorHAnsi"/>
        </w:rPr>
        <w:t>byl</w:t>
      </w:r>
      <w:r w:rsidRPr="0003094C">
        <w:rPr>
          <w:rFonts w:cstheme="minorHAnsi"/>
        </w:rPr>
        <w:t xml:space="preserve"> tvořen převodem finančních prostředků z kapitoly 23 – Ostatní, </w:t>
      </w:r>
      <w:r>
        <w:rPr>
          <w:rFonts w:cstheme="minorHAnsi"/>
        </w:rPr>
        <w:t xml:space="preserve">výdaje dle programů, </w:t>
      </w:r>
      <w:r w:rsidRPr="0003094C">
        <w:rPr>
          <w:rFonts w:cstheme="minorHAnsi"/>
        </w:rPr>
        <w:t xml:space="preserve">do nově zřízeného Fondu na podporu obecního bydlení, na základě usnesení č. 008-05/2021/ZK ze dne 29. 3. 2021. </w:t>
      </w:r>
    </w:p>
    <w:p w14:paraId="2CE05DDA" w14:textId="2D05B3AE" w:rsidR="0072554E" w:rsidRPr="0003094C" w:rsidRDefault="0072554E" w:rsidP="0072554E">
      <w:pPr>
        <w:spacing w:after="0" w:line="240" w:lineRule="auto"/>
        <w:jc w:val="both"/>
        <w:rPr>
          <w:rFonts w:cstheme="minorHAnsi"/>
        </w:rPr>
      </w:pPr>
      <w:r w:rsidRPr="00A44C3E">
        <w:rPr>
          <w:rFonts w:cstheme="minorHAnsi"/>
        </w:rPr>
        <w:t>V II. pololetí</w:t>
      </w:r>
      <w:r>
        <w:rPr>
          <w:rFonts w:cstheme="minorHAnsi"/>
        </w:rPr>
        <w:t xml:space="preserve"> </w:t>
      </w:r>
      <w:r w:rsidRPr="00163EB1">
        <w:rPr>
          <w:rFonts w:cstheme="minorHAnsi"/>
        </w:rPr>
        <w:t>r. 2021</w:t>
      </w:r>
      <w:r>
        <w:rPr>
          <w:rFonts w:cstheme="minorHAnsi"/>
        </w:rPr>
        <w:t xml:space="preserve"> </w:t>
      </w:r>
      <w:r w:rsidRPr="00A44C3E">
        <w:rPr>
          <w:rFonts w:cstheme="minorHAnsi"/>
        </w:rPr>
        <w:t xml:space="preserve">byl rozpočet upraven na částku 6 446 251,00 Kč. Usnesením č. 032-47/2021/RK ze dne 16.12.2021 byly </w:t>
      </w:r>
      <w:r w:rsidR="008256C8">
        <w:rPr>
          <w:rFonts w:cstheme="minorHAnsi"/>
        </w:rPr>
        <w:t>volné</w:t>
      </w:r>
      <w:r>
        <w:rPr>
          <w:rFonts w:cstheme="minorHAnsi"/>
        </w:rPr>
        <w:t xml:space="preserve"> </w:t>
      </w:r>
      <w:r w:rsidRPr="00A44C3E">
        <w:rPr>
          <w:rFonts w:cstheme="minorHAnsi"/>
        </w:rPr>
        <w:t xml:space="preserve">finanční prostředky ve výši 13 553 749,00 Kč převedeny </w:t>
      </w:r>
      <w:r w:rsidR="008256C8">
        <w:rPr>
          <w:rFonts w:cstheme="minorHAnsi"/>
        </w:rPr>
        <w:t>na kapitolu 23 - Ostatní</w:t>
      </w:r>
      <w:r>
        <w:rPr>
          <w:rFonts w:cstheme="minorHAnsi"/>
        </w:rPr>
        <w:t xml:space="preserve"> jako jeden ze zdrojů krytí výdajů Středočeského Fondu na podpory obecního bydlení v r. 2022. </w:t>
      </w:r>
      <w:r w:rsidRPr="00A44C3E">
        <w:rPr>
          <w:rFonts w:cstheme="minorHAnsi"/>
        </w:rPr>
        <w:t xml:space="preserve"> Finanční prostředky zatím nebyly čerpány, budou </w:t>
      </w:r>
      <w:r>
        <w:rPr>
          <w:rFonts w:cstheme="minorHAnsi"/>
        </w:rPr>
        <w:t xml:space="preserve">převedeny </w:t>
      </w:r>
      <w:r w:rsidRPr="00163EB1">
        <w:rPr>
          <w:rFonts w:cstheme="minorHAnsi"/>
        </w:rPr>
        <w:t>do rozpočtu r. 2022</w:t>
      </w:r>
      <w:r>
        <w:rPr>
          <w:rFonts w:cstheme="minorHAnsi"/>
        </w:rPr>
        <w:t xml:space="preserve"> a </w:t>
      </w:r>
      <w:r w:rsidRPr="00A44C3E">
        <w:rPr>
          <w:rFonts w:cstheme="minorHAnsi"/>
        </w:rPr>
        <w:t xml:space="preserve">čerpány jako dary na spolufinancování projektů obecního bydlení v I. pololetí </w:t>
      </w:r>
      <w:r>
        <w:rPr>
          <w:rFonts w:cstheme="minorHAnsi"/>
        </w:rPr>
        <w:t>r.</w:t>
      </w:r>
      <w:r w:rsidRPr="00A44C3E">
        <w:rPr>
          <w:rFonts w:cstheme="minorHAnsi"/>
        </w:rPr>
        <w:t xml:space="preserve"> 2022.</w:t>
      </w:r>
    </w:p>
    <w:p w14:paraId="367D2F3D" w14:textId="77777777" w:rsidR="0072554E" w:rsidRPr="0003094C" w:rsidRDefault="0072554E" w:rsidP="0072554E">
      <w:pPr>
        <w:spacing w:after="0" w:line="240" w:lineRule="auto"/>
        <w:jc w:val="both"/>
        <w:rPr>
          <w:rFonts w:cstheme="minorHAnsi"/>
        </w:rPr>
      </w:pPr>
    </w:p>
    <w:p w14:paraId="7B8A1617" w14:textId="77777777" w:rsidR="0072554E" w:rsidRPr="0003094C" w:rsidRDefault="0072554E" w:rsidP="0072554E">
      <w:pPr>
        <w:spacing w:after="0" w:line="240" w:lineRule="auto"/>
        <w:jc w:val="both"/>
        <w:rPr>
          <w:rFonts w:cstheme="minorHAnsi"/>
          <w:highlight w:val="yellow"/>
        </w:rPr>
      </w:pPr>
      <w:r w:rsidRPr="0003094C">
        <w:rPr>
          <w:rFonts w:cstheme="minorHAnsi"/>
          <w:b/>
        </w:rPr>
        <w:t>Středočeský Fond návratných finančních zdrojů</w:t>
      </w:r>
    </w:p>
    <w:p w14:paraId="7B7E75E0" w14:textId="3C5B3FA6" w:rsidR="0072554E" w:rsidRPr="0003094C" w:rsidRDefault="00F63467" w:rsidP="0072554E">
      <w:pPr>
        <w:spacing w:after="0" w:line="240" w:lineRule="auto"/>
        <w:jc w:val="both"/>
        <w:rPr>
          <w:rFonts w:cstheme="minorHAnsi"/>
        </w:rPr>
      </w:pPr>
      <w:r>
        <w:rPr>
          <w:rFonts w:cstheme="minorHAnsi"/>
        </w:rPr>
        <w:lastRenderedPageBreak/>
        <w:t>R</w:t>
      </w:r>
      <w:r w:rsidR="0072554E" w:rsidRPr="0003094C">
        <w:rPr>
          <w:rFonts w:cstheme="minorHAnsi"/>
        </w:rPr>
        <w:t xml:space="preserve">ozpočet </w:t>
      </w:r>
      <w:r w:rsidR="0072554E">
        <w:rPr>
          <w:rFonts w:cstheme="minorHAnsi"/>
        </w:rPr>
        <w:t>byl</w:t>
      </w:r>
      <w:r w:rsidR="0072554E" w:rsidRPr="0003094C">
        <w:rPr>
          <w:rFonts w:cstheme="minorHAnsi"/>
        </w:rPr>
        <w:t xml:space="preserve"> tvořen z nevyčerpaných účelových finančních prostředků kapitoly </w:t>
      </w:r>
      <w:r w:rsidR="0072554E">
        <w:rPr>
          <w:rFonts w:cstheme="minorHAnsi"/>
        </w:rPr>
        <w:t xml:space="preserve">09 - </w:t>
      </w:r>
      <w:r w:rsidR="0072554E" w:rsidRPr="0003094C">
        <w:rPr>
          <w:rFonts w:cstheme="minorHAnsi"/>
        </w:rPr>
        <w:t xml:space="preserve">Evropská integrace z </w:t>
      </w:r>
      <w:r w:rsidR="0072554E">
        <w:rPr>
          <w:rFonts w:cstheme="minorHAnsi"/>
        </w:rPr>
        <w:t>r.</w:t>
      </w:r>
      <w:r w:rsidR="0072554E" w:rsidRPr="0003094C">
        <w:rPr>
          <w:rFonts w:cstheme="minorHAnsi"/>
        </w:rPr>
        <w:t xml:space="preserve"> 2020, které byly převedeny do rozpočtu </w:t>
      </w:r>
      <w:r w:rsidR="0072554E">
        <w:rPr>
          <w:rFonts w:cstheme="minorHAnsi"/>
        </w:rPr>
        <w:t>r.</w:t>
      </w:r>
      <w:r w:rsidR="0072554E" w:rsidRPr="0003094C">
        <w:rPr>
          <w:rFonts w:cstheme="minorHAnsi"/>
        </w:rPr>
        <w:t xml:space="preserve"> 2021 ve výši 40 300 000,00 Kč usnesením č. 011-04/2021/RK ze dne 28. 1. 2021</w:t>
      </w:r>
      <w:r w:rsidR="0072554E">
        <w:rPr>
          <w:rFonts w:cstheme="minorHAnsi"/>
        </w:rPr>
        <w:t xml:space="preserve"> (</w:t>
      </w:r>
      <w:r w:rsidR="0072554E" w:rsidRPr="00957F76">
        <w:rPr>
          <w:rFonts w:cstheme="minorHAnsi"/>
        </w:rPr>
        <w:t>zapojeno do zůstatku hospodaření S</w:t>
      </w:r>
      <w:r w:rsidR="0072554E">
        <w:rPr>
          <w:rFonts w:cstheme="minorHAnsi"/>
        </w:rPr>
        <w:t>tředočeského kraje</w:t>
      </w:r>
      <w:r w:rsidR="0072554E" w:rsidRPr="00957F76">
        <w:rPr>
          <w:rFonts w:cstheme="minorHAnsi"/>
        </w:rPr>
        <w:t xml:space="preserve"> z </w:t>
      </w:r>
      <w:r w:rsidR="0072554E">
        <w:rPr>
          <w:rFonts w:cstheme="minorHAnsi"/>
        </w:rPr>
        <w:t xml:space="preserve">r. 2020 schváleného usnesením </w:t>
      </w:r>
      <w:r w:rsidR="0072554E" w:rsidRPr="00957F76">
        <w:rPr>
          <w:rFonts w:cstheme="minorHAnsi"/>
        </w:rPr>
        <w:t>č. 007-06/2021/ZK ze dne 26. 04. 2021)</w:t>
      </w:r>
      <w:r w:rsidR="0072554E">
        <w:rPr>
          <w:rFonts w:cstheme="minorHAnsi"/>
        </w:rPr>
        <w:t xml:space="preserve"> snížených o </w:t>
      </w:r>
      <w:r w:rsidR="0072554E" w:rsidRPr="0003094C">
        <w:rPr>
          <w:rFonts w:cstheme="minorHAnsi"/>
        </w:rPr>
        <w:t xml:space="preserve">10 000 000,00 Kč </w:t>
      </w:r>
      <w:r w:rsidR="0072554E">
        <w:rPr>
          <w:rFonts w:cstheme="minorHAnsi"/>
        </w:rPr>
        <w:t xml:space="preserve">na základě usnesení </w:t>
      </w:r>
      <w:r w:rsidR="0072554E" w:rsidRPr="0003094C">
        <w:rPr>
          <w:rFonts w:cstheme="minorHAnsi"/>
        </w:rPr>
        <w:t>č. 013-08/2021/ZK ze dne 28. 6. 2021</w:t>
      </w:r>
      <w:r w:rsidR="0072554E">
        <w:rPr>
          <w:rFonts w:cstheme="minorHAnsi"/>
        </w:rPr>
        <w:t xml:space="preserve"> - převod </w:t>
      </w:r>
      <w:r w:rsidR="0072554E" w:rsidRPr="0003094C">
        <w:rPr>
          <w:rFonts w:cstheme="minorHAnsi"/>
        </w:rPr>
        <w:t xml:space="preserve">v rámci rozpočtu kapitoly </w:t>
      </w:r>
      <w:r w:rsidR="0072554E">
        <w:rPr>
          <w:rFonts w:cstheme="minorHAnsi"/>
        </w:rPr>
        <w:t xml:space="preserve">09  – Evropská integrace ze </w:t>
      </w:r>
      <w:r w:rsidR="0072554E" w:rsidRPr="0003094C">
        <w:rPr>
          <w:rFonts w:cstheme="minorHAnsi"/>
        </w:rPr>
        <w:t>Středočeského Fond</w:t>
      </w:r>
      <w:r w:rsidR="0072554E">
        <w:rPr>
          <w:rFonts w:cstheme="minorHAnsi"/>
        </w:rPr>
        <w:t xml:space="preserve">u návratných finančních zdrojů </w:t>
      </w:r>
      <w:r w:rsidR="0072554E" w:rsidRPr="0003094C">
        <w:rPr>
          <w:rFonts w:cstheme="minorHAnsi"/>
        </w:rPr>
        <w:t xml:space="preserve">na </w:t>
      </w:r>
      <w:r w:rsidR="0072554E">
        <w:rPr>
          <w:rFonts w:cstheme="minorHAnsi"/>
        </w:rPr>
        <w:t xml:space="preserve">poskytnutí </w:t>
      </w:r>
      <w:r w:rsidR="0072554E" w:rsidRPr="0003094C">
        <w:rPr>
          <w:rFonts w:cstheme="minorHAnsi"/>
        </w:rPr>
        <w:t xml:space="preserve">individuální </w:t>
      </w:r>
      <w:r w:rsidR="0072554E">
        <w:rPr>
          <w:rFonts w:cstheme="minorHAnsi"/>
        </w:rPr>
        <w:t>dlouhodobé</w:t>
      </w:r>
      <w:r w:rsidR="0072554E" w:rsidRPr="0003094C">
        <w:rPr>
          <w:rFonts w:cstheme="minorHAnsi"/>
        </w:rPr>
        <w:t xml:space="preserve"> </w:t>
      </w:r>
      <w:r w:rsidR="0072554E">
        <w:rPr>
          <w:rFonts w:cstheme="minorHAnsi"/>
        </w:rPr>
        <w:t>návratné</w:t>
      </w:r>
      <w:r w:rsidR="0072554E" w:rsidRPr="0003094C">
        <w:rPr>
          <w:rFonts w:cstheme="minorHAnsi"/>
        </w:rPr>
        <w:t xml:space="preserve"> výpomoc</w:t>
      </w:r>
      <w:r w:rsidR="0072554E">
        <w:rPr>
          <w:rFonts w:cstheme="minorHAnsi"/>
        </w:rPr>
        <w:t>i</w:t>
      </w:r>
      <w:r w:rsidR="0072554E" w:rsidRPr="0003094C">
        <w:rPr>
          <w:rFonts w:cstheme="minorHAnsi"/>
        </w:rPr>
        <w:t xml:space="preserve"> </w:t>
      </w:r>
      <w:r w:rsidR="0072554E">
        <w:rPr>
          <w:rFonts w:cstheme="minorHAnsi"/>
        </w:rPr>
        <w:t>obci Tetín</w:t>
      </w:r>
      <w:r w:rsidR="0072554E" w:rsidRPr="0003094C">
        <w:rPr>
          <w:rFonts w:cstheme="minorHAnsi"/>
        </w:rPr>
        <w:t xml:space="preserve">. </w:t>
      </w:r>
    </w:p>
    <w:p w14:paraId="00729E35" w14:textId="5A97C521" w:rsidR="0072554E" w:rsidRDefault="00F63467" w:rsidP="0072554E">
      <w:pPr>
        <w:spacing w:after="0" w:line="240" w:lineRule="auto"/>
        <w:jc w:val="both"/>
        <w:rPr>
          <w:rFonts w:cstheme="minorHAnsi"/>
        </w:rPr>
      </w:pPr>
      <w:r>
        <w:rPr>
          <w:rFonts w:cstheme="minorHAnsi"/>
        </w:rPr>
        <w:t>U</w:t>
      </w:r>
      <w:r w:rsidR="0072554E" w:rsidRPr="00A44C3E">
        <w:rPr>
          <w:rFonts w:cstheme="minorHAnsi"/>
        </w:rPr>
        <w:t xml:space="preserve">snesením č. 018-32/2021/RK ze dne 26.8.2021 </w:t>
      </w:r>
      <w:r w:rsidRPr="00A44C3E">
        <w:rPr>
          <w:rFonts w:cstheme="minorHAnsi"/>
        </w:rPr>
        <w:t xml:space="preserve">byl rozpočet upraven </w:t>
      </w:r>
      <w:r w:rsidR="0072554E" w:rsidRPr="00A44C3E">
        <w:rPr>
          <w:rFonts w:cstheme="minorHAnsi"/>
        </w:rPr>
        <w:t xml:space="preserve">– převodem finančních prostředků ve výši 20 000 000,00 Kč mezi </w:t>
      </w:r>
      <w:r w:rsidR="0072554E">
        <w:rPr>
          <w:rFonts w:cstheme="minorHAnsi"/>
        </w:rPr>
        <w:t>f</w:t>
      </w:r>
      <w:r w:rsidR="0072554E" w:rsidRPr="00A44C3E">
        <w:rPr>
          <w:rFonts w:cstheme="minorHAnsi"/>
        </w:rPr>
        <w:t xml:space="preserve">ondy kapitoly </w:t>
      </w:r>
      <w:r w:rsidR="0072554E">
        <w:rPr>
          <w:rFonts w:cstheme="minorHAnsi"/>
        </w:rPr>
        <w:t xml:space="preserve">09 - </w:t>
      </w:r>
      <w:r w:rsidR="0072554E" w:rsidRPr="00A44C3E">
        <w:rPr>
          <w:rFonts w:cstheme="minorHAnsi"/>
        </w:rPr>
        <w:t xml:space="preserve">Evropská integrace, převod do Fondu obnovy venkova. Dále byly usnesením č. 018-31/2021/RK ze dne 12.8.2021 zapojeny splátky půjček od obcí a měst ve výši 7 000 000,00 Kč do rozpočtu kapitoly </w:t>
      </w:r>
      <w:r w:rsidR="0072554E">
        <w:rPr>
          <w:rFonts w:cstheme="minorHAnsi"/>
        </w:rPr>
        <w:t>09 - Evropská integrace</w:t>
      </w:r>
      <w:r w:rsidR="0072554E" w:rsidRPr="00A44C3E">
        <w:rPr>
          <w:rFonts w:cstheme="minorHAnsi"/>
        </w:rPr>
        <w:t xml:space="preserve"> a usnesením č. 016-32/2021/RK ze dne 26.8.2021 zapojeny splátky půjček od obcí a měst ve výši 2 700 000,00 Kč do rozpočtu kapitoly </w:t>
      </w:r>
      <w:r w:rsidR="0072554E">
        <w:rPr>
          <w:rFonts w:cstheme="minorHAnsi"/>
        </w:rPr>
        <w:t>09 - Evropská integrace</w:t>
      </w:r>
      <w:r w:rsidR="0072554E" w:rsidRPr="00A44C3E">
        <w:rPr>
          <w:rFonts w:cstheme="minorHAnsi"/>
        </w:rPr>
        <w:t xml:space="preserve">. Finanční prostředky zatím nebyly čerpány. </w:t>
      </w:r>
    </w:p>
    <w:p w14:paraId="0B7258A3" w14:textId="77777777" w:rsidR="008256C8" w:rsidRPr="0003094C" w:rsidRDefault="008256C8" w:rsidP="0072554E">
      <w:pPr>
        <w:spacing w:after="0" w:line="240" w:lineRule="auto"/>
        <w:jc w:val="both"/>
        <w:rPr>
          <w:rFonts w:cstheme="minorHAnsi"/>
        </w:rPr>
      </w:pPr>
    </w:p>
    <w:p w14:paraId="482C1871" w14:textId="77777777" w:rsidR="0072554E" w:rsidRPr="0003094C" w:rsidRDefault="0072554E" w:rsidP="0072554E">
      <w:pPr>
        <w:spacing w:after="0" w:line="240" w:lineRule="auto"/>
        <w:jc w:val="both"/>
        <w:rPr>
          <w:rFonts w:cstheme="minorHAnsi"/>
          <w:b/>
        </w:rPr>
      </w:pPr>
      <w:r w:rsidRPr="0003094C">
        <w:rPr>
          <w:rFonts w:cstheme="minorHAnsi"/>
          <w:b/>
        </w:rPr>
        <w:t>Středočeský Fond podpory včasné přípravy projektů EU 2021+ a NIP</w:t>
      </w:r>
    </w:p>
    <w:p w14:paraId="5EB281F0" w14:textId="08A97F15" w:rsidR="0072554E" w:rsidRDefault="0072554E" w:rsidP="0072554E">
      <w:pPr>
        <w:spacing w:after="0" w:line="240" w:lineRule="auto"/>
        <w:jc w:val="both"/>
        <w:rPr>
          <w:rFonts w:cstheme="minorHAnsi"/>
        </w:rPr>
      </w:pPr>
      <w:r w:rsidRPr="0003094C">
        <w:rPr>
          <w:rFonts w:cstheme="minorHAnsi"/>
        </w:rPr>
        <w:t xml:space="preserve">Upravený rozpočet ve výši 74 974 101,99 Kč </w:t>
      </w:r>
      <w:r>
        <w:rPr>
          <w:rFonts w:cstheme="minorHAnsi"/>
        </w:rPr>
        <w:t>byl</w:t>
      </w:r>
      <w:r w:rsidRPr="0003094C">
        <w:rPr>
          <w:rFonts w:cstheme="minorHAnsi"/>
        </w:rPr>
        <w:t xml:space="preserve"> tvořen z nevyčerpaných účelových finančních prostředků kapitoly </w:t>
      </w:r>
      <w:r>
        <w:rPr>
          <w:rFonts w:cstheme="minorHAnsi"/>
        </w:rPr>
        <w:t xml:space="preserve">09 – Evropská integrace </w:t>
      </w:r>
      <w:r w:rsidRPr="0003094C">
        <w:rPr>
          <w:rFonts w:cstheme="minorHAnsi"/>
        </w:rPr>
        <w:t>z </w:t>
      </w:r>
      <w:r>
        <w:rPr>
          <w:rFonts w:cstheme="minorHAnsi"/>
        </w:rPr>
        <w:t>r.</w:t>
      </w:r>
      <w:r w:rsidRPr="0003094C">
        <w:rPr>
          <w:rFonts w:cstheme="minorHAnsi"/>
        </w:rPr>
        <w:t xml:space="preserve"> 2020, které byly převedeny do rozpočtu </w:t>
      </w:r>
      <w:r>
        <w:rPr>
          <w:rFonts w:cstheme="minorHAnsi"/>
        </w:rPr>
        <w:t>r.</w:t>
      </w:r>
      <w:r w:rsidRPr="0003094C">
        <w:rPr>
          <w:rFonts w:cstheme="minorHAnsi"/>
        </w:rPr>
        <w:t xml:space="preserve"> 2021 ve výši 33 127 810,99 Kč usnesením č. 011-04/2021/RK ze dne 28. 1. 2021</w:t>
      </w:r>
      <w:r>
        <w:rPr>
          <w:rFonts w:cstheme="minorHAnsi"/>
        </w:rPr>
        <w:t xml:space="preserve"> (</w:t>
      </w:r>
      <w:r w:rsidRPr="00957F76">
        <w:rPr>
          <w:rFonts w:cstheme="minorHAnsi"/>
        </w:rPr>
        <w:t>zapojeno do zůstatku hospodaření SK z </w:t>
      </w:r>
      <w:r>
        <w:rPr>
          <w:rFonts w:cstheme="minorHAnsi"/>
        </w:rPr>
        <w:t xml:space="preserve">r. 2020 schváleného usnesením </w:t>
      </w:r>
      <w:r w:rsidRPr="00957F76">
        <w:rPr>
          <w:rFonts w:cstheme="minorHAnsi"/>
        </w:rPr>
        <w:t>č. 007-06/2021/ZK ze dne 26. 04. 2021)</w:t>
      </w:r>
      <w:r>
        <w:rPr>
          <w:rFonts w:cstheme="minorHAnsi"/>
        </w:rPr>
        <w:t xml:space="preserve">. </w:t>
      </w:r>
      <w:r w:rsidR="00F63467">
        <w:rPr>
          <w:rFonts w:cstheme="minorHAnsi"/>
        </w:rPr>
        <w:t>R</w:t>
      </w:r>
      <w:r>
        <w:rPr>
          <w:rFonts w:cstheme="minorHAnsi"/>
        </w:rPr>
        <w:t xml:space="preserve">ozpočet </w:t>
      </w:r>
      <w:r w:rsidR="00F63467">
        <w:rPr>
          <w:rFonts w:cstheme="minorHAnsi"/>
        </w:rPr>
        <w:t xml:space="preserve">byl </w:t>
      </w:r>
      <w:r w:rsidRPr="0003094C">
        <w:rPr>
          <w:rFonts w:cstheme="minorHAnsi"/>
        </w:rPr>
        <w:t>navýšen přijatým usnesením č. 00</w:t>
      </w:r>
      <w:r>
        <w:rPr>
          <w:rFonts w:cstheme="minorHAnsi"/>
        </w:rPr>
        <w:t>7-04/2021/ZK ze dne 22. 2. 2021 (navýšení rozpočtu Středočeského kraje o finanční prostředky</w:t>
      </w:r>
      <w:r w:rsidRPr="0003094C">
        <w:rPr>
          <w:rFonts w:cstheme="minorHAnsi"/>
        </w:rPr>
        <w:t xml:space="preserve"> z</w:t>
      </w:r>
      <w:r>
        <w:rPr>
          <w:rFonts w:cstheme="minorHAnsi"/>
        </w:rPr>
        <w:t xml:space="preserve">e sdílených daní a nevyčerpané finanční prostředky </w:t>
      </w:r>
      <w:r w:rsidRPr="0003094C">
        <w:rPr>
          <w:rFonts w:cstheme="minorHAnsi"/>
        </w:rPr>
        <w:t>z </w:t>
      </w:r>
      <w:r>
        <w:rPr>
          <w:rFonts w:cstheme="minorHAnsi"/>
        </w:rPr>
        <w:t>r.</w:t>
      </w:r>
      <w:r w:rsidRPr="0003094C">
        <w:rPr>
          <w:rFonts w:cstheme="minorHAnsi"/>
        </w:rPr>
        <w:t xml:space="preserve"> 2020</w:t>
      </w:r>
      <w:r>
        <w:rPr>
          <w:rFonts w:cstheme="minorHAnsi"/>
        </w:rPr>
        <w:t>)</w:t>
      </w:r>
      <w:r w:rsidRPr="003371F0">
        <w:rPr>
          <w:rFonts w:cstheme="minorHAnsi"/>
        </w:rPr>
        <w:t xml:space="preserve"> </w:t>
      </w:r>
      <w:r w:rsidRPr="0003094C">
        <w:rPr>
          <w:rFonts w:cstheme="minorHAnsi"/>
        </w:rPr>
        <w:t>o 40 000 000,00 Kč. Usnesením č. 043-14/2021/RK ze dne 25. 3. 2021 byl rozpočet fondu navýšen o 1 846 291,00 Kč převo</w:t>
      </w:r>
      <w:r>
        <w:rPr>
          <w:rFonts w:cstheme="minorHAnsi"/>
        </w:rPr>
        <w:t>dem finančních prostředků mezi f</w:t>
      </w:r>
      <w:r w:rsidRPr="0003094C">
        <w:rPr>
          <w:rFonts w:cstheme="minorHAnsi"/>
        </w:rPr>
        <w:t xml:space="preserve">ondy kapitoly </w:t>
      </w:r>
      <w:r>
        <w:rPr>
          <w:rFonts w:cstheme="minorHAnsi"/>
        </w:rPr>
        <w:t xml:space="preserve">09 </w:t>
      </w:r>
      <w:r w:rsidRPr="0003094C">
        <w:rPr>
          <w:rFonts w:cstheme="minorHAnsi"/>
        </w:rPr>
        <w:t xml:space="preserve">- Evropská integrace (ze Středočeského Infrastrukturního fondu do Středočeského Fondu podpory včasné přípravy projektů EU 2021+ a NIP). </w:t>
      </w:r>
    </w:p>
    <w:p w14:paraId="012FC628" w14:textId="41814666" w:rsidR="0072554E" w:rsidRDefault="0072554E" w:rsidP="0072554E">
      <w:pPr>
        <w:spacing w:after="0" w:line="240" w:lineRule="auto"/>
        <w:jc w:val="both"/>
        <w:rPr>
          <w:rFonts w:cstheme="minorHAnsi"/>
        </w:rPr>
      </w:pPr>
      <w:r>
        <w:rPr>
          <w:rFonts w:cstheme="minorHAnsi"/>
        </w:rPr>
        <w:t>V </w:t>
      </w:r>
      <w:r w:rsidRPr="00942C5D">
        <w:rPr>
          <w:rFonts w:cstheme="minorHAnsi"/>
        </w:rPr>
        <w:t>II. pololetí r. 2021 usnesením</w:t>
      </w:r>
      <w:r w:rsidRPr="00A44C3E">
        <w:rPr>
          <w:rFonts w:cstheme="minorHAnsi"/>
        </w:rPr>
        <w:t xml:space="preserve"> č. 032-47/2021/RK ze dne 16.12.2021 byly </w:t>
      </w:r>
      <w:r w:rsidR="008256C8">
        <w:rPr>
          <w:rFonts w:cstheme="minorHAnsi"/>
        </w:rPr>
        <w:t>volné</w:t>
      </w:r>
      <w:r>
        <w:rPr>
          <w:rFonts w:cstheme="minorHAnsi"/>
        </w:rPr>
        <w:t xml:space="preserve"> </w:t>
      </w:r>
      <w:r w:rsidRPr="00A44C3E">
        <w:rPr>
          <w:rFonts w:cstheme="minorHAnsi"/>
        </w:rPr>
        <w:t>finanční prostředky ve výši 1</w:t>
      </w:r>
      <w:r>
        <w:rPr>
          <w:rFonts w:cstheme="minorHAnsi"/>
        </w:rPr>
        <w:t>4</w:t>
      </w:r>
      <w:r w:rsidR="008256C8">
        <w:rPr>
          <w:rFonts w:cstheme="minorHAnsi"/>
        </w:rPr>
        <w:t> </w:t>
      </w:r>
      <w:r>
        <w:rPr>
          <w:rFonts w:cstheme="minorHAnsi"/>
        </w:rPr>
        <w:t>364</w:t>
      </w:r>
      <w:r w:rsidR="008256C8">
        <w:rPr>
          <w:rFonts w:cstheme="minorHAnsi"/>
        </w:rPr>
        <w:t> </w:t>
      </w:r>
      <w:r>
        <w:rPr>
          <w:rFonts w:cstheme="minorHAnsi"/>
        </w:rPr>
        <w:t>500</w:t>
      </w:r>
      <w:r w:rsidRPr="00A44C3E">
        <w:rPr>
          <w:rFonts w:cstheme="minorHAnsi"/>
        </w:rPr>
        <w:t>,00 Kč převedeny z</w:t>
      </w:r>
      <w:r>
        <w:rPr>
          <w:rFonts w:cstheme="minorHAnsi"/>
        </w:rPr>
        <w:t> </w:t>
      </w:r>
      <w:r w:rsidRPr="00A44C3E">
        <w:rPr>
          <w:rFonts w:cstheme="minorHAnsi"/>
        </w:rPr>
        <w:t>fondu</w:t>
      </w:r>
      <w:r>
        <w:rPr>
          <w:rFonts w:cstheme="minorHAnsi"/>
        </w:rPr>
        <w:t xml:space="preserve"> </w:t>
      </w:r>
      <w:r w:rsidR="008256C8">
        <w:rPr>
          <w:rFonts w:cstheme="minorHAnsi"/>
        </w:rPr>
        <w:t xml:space="preserve">do kapitoly 23 – Ostatní </w:t>
      </w:r>
      <w:r>
        <w:rPr>
          <w:rFonts w:cstheme="minorHAnsi"/>
        </w:rPr>
        <w:t xml:space="preserve">jako jeden ze zdrojů krytí výdajů Středočeského Fondu podpory včasné přípravy projektů EU 2021+ a NIP v r. 2022. </w:t>
      </w:r>
    </w:p>
    <w:p w14:paraId="20D1AA93" w14:textId="177684E8" w:rsidR="0072554E" w:rsidRDefault="0072554E" w:rsidP="0072554E">
      <w:pPr>
        <w:spacing w:after="0" w:line="240" w:lineRule="auto"/>
        <w:jc w:val="both"/>
        <w:rPr>
          <w:rFonts w:cstheme="minorHAnsi"/>
        </w:rPr>
      </w:pPr>
      <w:r w:rsidRPr="00BE2BCB">
        <w:rPr>
          <w:rFonts w:cstheme="minorHAnsi"/>
        </w:rPr>
        <w:t xml:space="preserve">Finanční prostředky o objemu </w:t>
      </w:r>
      <w:r>
        <w:rPr>
          <w:rFonts w:cstheme="minorHAnsi"/>
        </w:rPr>
        <w:t>17 158 013,00</w:t>
      </w:r>
      <w:r w:rsidRPr="00BE2BCB">
        <w:rPr>
          <w:rFonts w:cstheme="minorHAnsi"/>
        </w:rPr>
        <w:t xml:space="preserve"> Kč, které představují plnění rozpočtu ve výši </w:t>
      </w:r>
      <w:r>
        <w:rPr>
          <w:rFonts w:cstheme="minorHAnsi"/>
        </w:rPr>
        <w:t>28,3</w:t>
      </w:r>
      <w:r w:rsidRPr="00BE2BCB">
        <w:rPr>
          <w:rFonts w:cstheme="minorHAnsi"/>
        </w:rPr>
        <w:t xml:space="preserve"> %, byly čerpány na poskytnutí dotací pro obce na spolufinancování projektů týkajících se podpory </w:t>
      </w:r>
      <w:r>
        <w:rPr>
          <w:rFonts w:cstheme="minorHAnsi"/>
        </w:rPr>
        <w:t>přípravy projektů EU 2021+ a NIP</w:t>
      </w:r>
      <w:r w:rsidRPr="00BE2BCB">
        <w:rPr>
          <w:rFonts w:cstheme="minorHAnsi"/>
        </w:rPr>
        <w:t xml:space="preserve">. </w:t>
      </w:r>
      <w:r w:rsidRPr="0003094C">
        <w:rPr>
          <w:rFonts w:cstheme="minorHAnsi"/>
        </w:rPr>
        <w:t>Žadatelé mají na žádost o platbu lhůtu dva roky od uzavření smlouvy</w:t>
      </w:r>
      <w:r>
        <w:rPr>
          <w:rFonts w:cstheme="minorHAnsi"/>
        </w:rPr>
        <w:t>.</w:t>
      </w:r>
      <w:r w:rsidRPr="00BE2BCB">
        <w:rPr>
          <w:rFonts w:cstheme="minorHAnsi"/>
        </w:rPr>
        <w:t xml:space="preserve"> </w:t>
      </w:r>
    </w:p>
    <w:p w14:paraId="26898C2B" w14:textId="77777777" w:rsidR="0072554E" w:rsidRPr="0003094C" w:rsidRDefault="0072554E" w:rsidP="0072554E">
      <w:pPr>
        <w:spacing w:after="0" w:line="240" w:lineRule="auto"/>
        <w:jc w:val="both"/>
        <w:rPr>
          <w:rFonts w:cstheme="minorHAnsi"/>
          <w:b/>
        </w:rPr>
      </w:pPr>
    </w:p>
    <w:p w14:paraId="05D30688" w14:textId="77777777" w:rsidR="0072554E" w:rsidRPr="0003094C" w:rsidRDefault="0072554E" w:rsidP="0072554E">
      <w:pPr>
        <w:spacing w:after="0" w:line="240" w:lineRule="auto"/>
        <w:jc w:val="both"/>
        <w:rPr>
          <w:rFonts w:cstheme="minorHAnsi"/>
        </w:rPr>
      </w:pPr>
      <w:r w:rsidRPr="0003094C">
        <w:rPr>
          <w:rFonts w:cstheme="minorHAnsi"/>
          <w:b/>
        </w:rPr>
        <w:t>Středočeský Fond na podporu výsadby stromů</w:t>
      </w:r>
    </w:p>
    <w:p w14:paraId="0BAE5462" w14:textId="38D5878E" w:rsidR="0072554E" w:rsidRPr="0003094C" w:rsidRDefault="00767169" w:rsidP="0072554E">
      <w:pPr>
        <w:spacing w:after="0" w:line="240" w:lineRule="auto"/>
        <w:jc w:val="both"/>
        <w:rPr>
          <w:rFonts w:cstheme="minorHAnsi"/>
        </w:rPr>
      </w:pPr>
      <w:r>
        <w:rPr>
          <w:rFonts w:cstheme="minorHAnsi"/>
        </w:rPr>
        <w:t>R</w:t>
      </w:r>
      <w:r w:rsidR="0072554E" w:rsidRPr="0003094C">
        <w:rPr>
          <w:rFonts w:cstheme="minorHAnsi"/>
        </w:rPr>
        <w:t xml:space="preserve">ozpočet </w:t>
      </w:r>
      <w:r w:rsidR="0072554E">
        <w:rPr>
          <w:rFonts w:cstheme="minorHAnsi"/>
        </w:rPr>
        <w:t>byl</w:t>
      </w:r>
      <w:r w:rsidR="0072554E" w:rsidRPr="0003094C">
        <w:rPr>
          <w:rFonts w:cstheme="minorHAnsi"/>
        </w:rPr>
        <w:t xml:space="preserve"> tvořen nevyčerpanými účelovými finančními prostředky ve výši 393 000,00 Kč kapitoly </w:t>
      </w:r>
      <w:r w:rsidR="0072554E">
        <w:rPr>
          <w:rFonts w:cstheme="minorHAnsi"/>
        </w:rPr>
        <w:t>09 - Evropská integrace z r. 2020</w:t>
      </w:r>
      <w:r w:rsidR="0072554E" w:rsidRPr="0003094C">
        <w:rPr>
          <w:rFonts w:cstheme="minorHAnsi"/>
        </w:rPr>
        <w:t xml:space="preserve"> převedenými do rozpočtu </w:t>
      </w:r>
      <w:r w:rsidR="0072554E">
        <w:rPr>
          <w:rFonts w:cstheme="minorHAnsi"/>
        </w:rPr>
        <w:t>r.</w:t>
      </w:r>
      <w:r w:rsidR="0072554E" w:rsidRPr="0003094C">
        <w:rPr>
          <w:rFonts w:cstheme="minorHAnsi"/>
        </w:rPr>
        <w:t xml:space="preserve"> 2021 usnesením č. 017-02/2021/RK ze dne 14. 1. 2021</w:t>
      </w:r>
      <w:r w:rsidR="0072554E">
        <w:rPr>
          <w:rFonts w:cstheme="minorHAnsi"/>
        </w:rPr>
        <w:t xml:space="preserve"> (</w:t>
      </w:r>
      <w:r w:rsidR="0072554E" w:rsidRPr="00957F76">
        <w:rPr>
          <w:rFonts w:cstheme="minorHAnsi"/>
        </w:rPr>
        <w:t>zapojeno do zůstatku hospodaření SK z </w:t>
      </w:r>
      <w:r w:rsidR="0072554E">
        <w:rPr>
          <w:rFonts w:cstheme="minorHAnsi"/>
        </w:rPr>
        <w:t xml:space="preserve">r. 2020 schváleného usnesením </w:t>
      </w:r>
      <w:r w:rsidR="0072554E" w:rsidRPr="00957F76">
        <w:rPr>
          <w:rFonts w:cstheme="minorHAnsi"/>
        </w:rPr>
        <w:t>č. 007-06/2021/ZK ze dne 26. 04. 2021)</w:t>
      </w:r>
      <w:r w:rsidR="0072554E" w:rsidRPr="0003094C">
        <w:rPr>
          <w:rFonts w:cstheme="minorHAnsi"/>
        </w:rPr>
        <w:t>, dále finančními prostředky ve výši 900 000,00 Kč, které byly převedeny usnesením č. 007-04/2021/ZK ze dne 22. 2. 202</w:t>
      </w:r>
      <w:r w:rsidR="0072554E">
        <w:rPr>
          <w:rFonts w:cstheme="minorHAnsi"/>
        </w:rPr>
        <w:t>1 (navýšení rozpočtu Středočeského kraje o prostředky</w:t>
      </w:r>
      <w:r w:rsidR="0072554E" w:rsidRPr="0003094C">
        <w:rPr>
          <w:rFonts w:cstheme="minorHAnsi"/>
        </w:rPr>
        <w:t xml:space="preserve"> z</w:t>
      </w:r>
      <w:r w:rsidR="0072554E">
        <w:rPr>
          <w:rFonts w:cstheme="minorHAnsi"/>
        </w:rPr>
        <w:t xml:space="preserve">e sdílených daní a nevyčerpané finanční prostředky </w:t>
      </w:r>
      <w:r w:rsidR="0072554E" w:rsidRPr="0003094C">
        <w:rPr>
          <w:rFonts w:cstheme="minorHAnsi"/>
        </w:rPr>
        <w:t>z </w:t>
      </w:r>
      <w:r w:rsidR="0072554E">
        <w:rPr>
          <w:rFonts w:cstheme="minorHAnsi"/>
        </w:rPr>
        <w:t>r.</w:t>
      </w:r>
      <w:r w:rsidR="0072554E" w:rsidRPr="0003094C">
        <w:rPr>
          <w:rFonts w:cstheme="minorHAnsi"/>
        </w:rPr>
        <w:t xml:space="preserve"> 2020</w:t>
      </w:r>
      <w:r w:rsidR="0072554E">
        <w:rPr>
          <w:rFonts w:cstheme="minorHAnsi"/>
        </w:rPr>
        <w:t>),</w:t>
      </w:r>
      <w:r w:rsidR="0072554E" w:rsidRPr="0003094C">
        <w:rPr>
          <w:rFonts w:cstheme="minorHAnsi"/>
        </w:rPr>
        <w:t xml:space="preserve"> a </w:t>
      </w:r>
      <w:r w:rsidR="0072554E">
        <w:rPr>
          <w:rFonts w:cstheme="minorHAnsi"/>
        </w:rPr>
        <w:t>finančními prostředky převedenými mezi fondy</w:t>
      </w:r>
      <w:r w:rsidR="0072554E" w:rsidRPr="0003094C">
        <w:rPr>
          <w:rFonts w:cstheme="minorHAnsi"/>
        </w:rPr>
        <w:t xml:space="preserve"> v rámci kapitoly </w:t>
      </w:r>
      <w:r w:rsidR="0072554E">
        <w:rPr>
          <w:rFonts w:cstheme="minorHAnsi"/>
        </w:rPr>
        <w:t>09 - Evropská integrace</w:t>
      </w:r>
      <w:r w:rsidR="0072554E" w:rsidRPr="0003094C">
        <w:rPr>
          <w:rFonts w:cstheme="minorHAnsi"/>
        </w:rPr>
        <w:t xml:space="preserve"> (z Fondu obnovy venkova do Fondu na podporu výsadby</w:t>
      </w:r>
      <w:r w:rsidR="0072554E">
        <w:rPr>
          <w:rFonts w:cstheme="minorHAnsi"/>
        </w:rPr>
        <w:t xml:space="preserve"> stromů) ve výši 600 000,00 Kč na základě usnesení</w:t>
      </w:r>
      <w:r w:rsidR="0072554E" w:rsidRPr="0003094C">
        <w:rPr>
          <w:rFonts w:cstheme="minorHAnsi"/>
        </w:rPr>
        <w:t xml:space="preserve"> č. 0</w:t>
      </w:r>
      <w:r w:rsidR="0072554E">
        <w:rPr>
          <w:rFonts w:cstheme="minorHAnsi"/>
        </w:rPr>
        <w:t>09-</w:t>
      </w:r>
      <w:r w:rsidR="0072554E" w:rsidRPr="0003094C">
        <w:rPr>
          <w:rFonts w:cstheme="minorHAnsi"/>
        </w:rPr>
        <w:t>15/2021/RK ze dne 1. 4. 2021</w:t>
      </w:r>
      <w:r w:rsidR="0072554E">
        <w:rPr>
          <w:rFonts w:cstheme="minorHAnsi"/>
        </w:rPr>
        <w:t>.</w:t>
      </w:r>
    </w:p>
    <w:p w14:paraId="39E7DB94" w14:textId="094473FB" w:rsidR="0072554E" w:rsidRPr="0003094C" w:rsidRDefault="00767169" w:rsidP="0072554E">
      <w:pPr>
        <w:spacing w:after="0" w:line="240" w:lineRule="auto"/>
        <w:jc w:val="both"/>
        <w:rPr>
          <w:rFonts w:cstheme="minorHAnsi"/>
        </w:rPr>
      </w:pPr>
      <w:r>
        <w:rPr>
          <w:rFonts w:cstheme="minorHAnsi"/>
        </w:rPr>
        <w:t>Dále byl r</w:t>
      </w:r>
      <w:r w:rsidR="0072554E" w:rsidRPr="00494DF0">
        <w:rPr>
          <w:rFonts w:cstheme="minorHAnsi"/>
        </w:rPr>
        <w:t>ozpočet navýšen o částku 399 000,00 Kč usnesením č.</w:t>
      </w:r>
      <w:r w:rsidR="0072554E" w:rsidRPr="00494DF0">
        <w:t xml:space="preserve"> </w:t>
      </w:r>
      <w:r w:rsidR="0072554E" w:rsidRPr="00494DF0">
        <w:rPr>
          <w:rFonts w:cstheme="minorHAnsi"/>
        </w:rPr>
        <w:t xml:space="preserve">019-31/2021/RK ze dne 12.8.2021 – převod finančních prostředků z kapitoly 23 – Ostatní, </w:t>
      </w:r>
      <w:r w:rsidR="0072554E">
        <w:rPr>
          <w:rFonts w:cstheme="minorHAnsi"/>
        </w:rPr>
        <w:t>v</w:t>
      </w:r>
      <w:r w:rsidR="0072554E" w:rsidRPr="00494DF0">
        <w:rPr>
          <w:rFonts w:cstheme="minorHAnsi"/>
        </w:rPr>
        <w:t xml:space="preserve">ýdaje dle programů 2021 do kapitoly </w:t>
      </w:r>
      <w:r w:rsidR="0072554E">
        <w:rPr>
          <w:rFonts w:cstheme="minorHAnsi"/>
        </w:rPr>
        <w:t>09 – Evropská integrace na</w:t>
      </w:r>
      <w:r w:rsidR="0072554E" w:rsidRPr="00494DF0">
        <w:rPr>
          <w:rFonts w:cstheme="minorHAnsi"/>
        </w:rPr>
        <w:t xml:space="preserve"> navýšení rozpočtu Středočeského fondu na podporu výsadby stromů. Finanční prostředky byly čerpány ve výši 2 292 000,00 Kč, což představuje 100</w:t>
      </w:r>
      <w:r w:rsidR="008256C8">
        <w:rPr>
          <w:rFonts w:cstheme="minorHAnsi"/>
        </w:rPr>
        <w:t xml:space="preserve">,0 </w:t>
      </w:r>
      <w:r w:rsidR="0072554E" w:rsidRPr="00494DF0">
        <w:rPr>
          <w:rFonts w:cstheme="minorHAnsi"/>
        </w:rPr>
        <w:t>% plnění rozpočtu.</w:t>
      </w:r>
      <w:r w:rsidR="0072554E" w:rsidRPr="0003094C">
        <w:rPr>
          <w:rFonts w:cstheme="minorHAnsi"/>
        </w:rPr>
        <w:t xml:space="preserve"> </w:t>
      </w:r>
    </w:p>
    <w:p w14:paraId="0EDF7FCB" w14:textId="77777777" w:rsidR="0072554E" w:rsidRDefault="0072554E" w:rsidP="0072554E">
      <w:pPr>
        <w:spacing w:after="0" w:line="240" w:lineRule="auto"/>
        <w:jc w:val="both"/>
        <w:rPr>
          <w:rFonts w:cstheme="minorHAnsi"/>
          <w:b/>
          <w:u w:val="single"/>
        </w:rPr>
      </w:pPr>
    </w:p>
    <w:p w14:paraId="2F364166" w14:textId="77777777" w:rsidR="0072554E" w:rsidRDefault="0072554E" w:rsidP="0072554E">
      <w:pPr>
        <w:spacing w:after="0" w:line="240" w:lineRule="auto"/>
        <w:jc w:val="both"/>
        <w:rPr>
          <w:rFonts w:cstheme="minorHAnsi"/>
          <w:b/>
          <w:u w:val="single"/>
        </w:rPr>
      </w:pPr>
    </w:p>
    <w:p w14:paraId="4F77B7CD" w14:textId="77777777" w:rsidR="0072554E" w:rsidRDefault="0072554E" w:rsidP="0072554E">
      <w:pPr>
        <w:spacing w:after="0" w:line="240" w:lineRule="auto"/>
        <w:jc w:val="both"/>
        <w:rPr>
          <w:rFonts w:cstheme="minorHAnsi"/>
          <w:b/>
          <w:u w:val="single"/>
        </w:rPr>
      </w:pPr>
    </w:p>
    <w:p w14:paraId="3ED313D5" w14:textId="77777777" w:rsidR="0072554E" w:rsidRPr="0003094C" w:rsidRDefault="0072554E" w:rsidP="0072554E">
      <w:pPr>
        <w:spacing w:after="0" w:line="240" w:lineRule="auto"/>
        <w:jc w:val="both"/>
        <w:rPr>
          <w:rFonts w:cstheme="minorHAnsi"/>
          <w:b/>
          <w:sz w:val="24"/>
          <w:szCs w:val="24"/>
          <w:u w:val="single"/>
        </w:rPr>
      </w:pPr>
      <w:bookmarkStart w:id="48" w:name="_Hlk98852066"/>
      <w:r w:rsidRPr="0003094C">
        <w:rPr>
          <w:rFonts w:cstheme="minorHAnsi"/>
          <w:b/>
          <w:sz w:val="24"/>
          <w:szCs w:val="24"/>
          <w:u w:val="single"/>
        </w:rPr>
        <w:t>Kapitálové výdaje</w:t>
      </w:r>
    </w:p>
    <w:p w14:paraId="42AC9C7C" w14:textId="77777777" w:rsidR="0072554E" w:rsidRPr="0003094C" w:rsidRDefault="0072554E" w:rsidP="0072554E">
      <w:pPr>
        <w:spacing w:after="0" w:line="240" w:lineRule="auto"/>
        <w:jc w:val="both"/>
        <w:rPr>
          <w:rFonts w:cstheme="minorHAnsi"/>
          <w:b/>
          <w:u w:val="single"/>
        </w:rPr>
      </w:pPr>
    </w:p>
    <w:p w14:paraId="72FC0D2C" w14:textId="77777777" w:rsidR="0072554E" w:rsidRPr="00494DF0" w:rsidRDefault="0072554E" w:rsidP="0072554E">
      <w:pPr>
        <w:spacing w:after="0" w:line="240" w:lineRule="auto"/>
        <w:jc w:val="both"/>
        <w:rPr>
          <w:rFonts w:cstheme="minorHAnsi"/>
          <w:b/>
        </w:rPr>
      </w:pPr>
      <w:r w:rsidRPr="00795CC0">
        <w:rPr>
          <w:rFonts w:cstheme="minorHAnsi"/>
          <w:b/>
        </w:rPr>
        <w:t>§ 2310 – Individuální účelová dotace obci Cítov</w:t>
      </w:r>
    </w:p>
    <w:p w14:paraId="4A923FCE" w14:textId="392D93A7" w:rsidR="0072554E" w:rsidRDefault="0072554E" w:rsidP="0072554E">
      <w:pPr>
        <w:spacing w:after="0" w:line="240" w:lineRule="auto"/>
        <w:jc w:val="both"/>
        <w:rPr>
          <w:rFonts w:cstheme="minorHAnsi"/>
        </w:rPr>
      </w:pPr>
      <w:r w:rsidRPr="00494DF0">
        <w:rPr>
          <w:rFonts w:cstheme="minorHAnsi"/>
        </w:rPr>
        <w:t>Upravený rozpočet byl navýšen na základě usnesení 026-32/2021/RK ze dne 26.</w:t>
      </w:r>
      <w:r w:rsidR="00767169">
        <w:rPr>
          <w:rFonts w:cstheme="minorHAnsi"/>
        </w:rPr>
        <w:t xml:space="preserve"> </w:t>
      </w:r>
      <w:r w:rsidRPr="00494DF0">
        <w:rPr>
          <w:rFonts w:cstheme="minorHAnsi"/>
        </w:rPr>
        <w:t>8.</w:t>
      </w:r>
      <w:r w:rsidR="00767169">
        <w:rPr>
          <w:rFonts w:cstheme="minorHAnsi"/>
        </w:rPr>
        <w:t xml:space="preserve"> </w:t>
      </w:r>
      <w:r w:rsidRPr="00494DF0">
        <w:rPr>
          <w:rFonts w:cstheme="minorHAnsi"/>
        </w:rPr>
        <w:t xml:space="preserve">2021 převodem finančních prostředků ve výši 2 500 000,00 Kč v rámci kapitoly </w:t>
      </w:r>
      <w:r>
        <w:rPr>
          <w:rFonts w:cstheme="minorHAnsi"/>
        </w:rPr>
        <w:t xml:space="preserve">09 – Evropská integrace </w:t>
      </w:r>
      <w:r w:rsidRPr="00494DF0">
        <w:rPr>
          <w:rFonts w:cstheme="minorHAnsi"/>
        </w:rPr>
        <w:t xml:space="preserve">na poskytnutí individuální účelové dotace </w:t>
      </w:r>
      <w:r w:rsidR="00795CC0">
        <w:rPr>
          <w:rFonts w:cstheme="minorHAnsi"/>
        </w:rPr>
        <w:t xml:space="preserve">na zajištění realizace projektu „Úpravna vody Daminěves“ </w:t>
      </w:r>
      <w:r w:rsidRPr="00494DF0">
        <w:rPr>
          <w:rFonts w:cstheme="minorHAnsi"/>
        </w:rPr>
        <w:t>obci Cítov.  Finanční prostředky byly čerpány ve výši 2 500 000,00 Kč, což představuje 100 % plnění rozpočtu.</w:t>
      </w:r>
      <w:r>
        <w:rPr>
          <w:rFonts w:cstheme="minorHAnsi"/>
        </w:rPr>
        <w:t xml:space="preserve"> </w:t>
      </w:r>
    </w:p>
    <w:bookmarkEnd w:id="48"/>
    <w:p w14:paraId="7BA9A4CB" w14:textId="77777777" w:rsidR="0072554E" w:rsidRPr="0003094C" w:rsidRDefault="0072554E" w:rsidP="0072554E">
      <w:pPr>
        <w:spacing w:after="0" w:line="240" w:lineRule="auto"/>
        <w:jc w:val="both"/>
        <w:rPr>
          <w:rFonts w:cstheme="minorHAnsi"/>
        </w:rPr>
      </w:pPr>
    </w:p>
    <w:p w14:paraId="28EDC5D9" w14:textId="77777777" w:rsidR="00795CC0" w:rsidRDefault="0072554E" w:rsidP="0072554E">
      <w:pPr>
        <w:spacing w:after="0" w:line="240" w:lineRule="auto"/>
        <w:jc w:val="both"/>
        <w:rPr>
          <w:rFonts w:cstheme="minorHAnsi"/>
          <w:b/>
        </w:rPr>
      </w:pPr>
      <w:r w:rsidRPr="0003094C">
        <w:rPr>
          <w:rFonts w:cstheme="minorHAnsi"/>
          <w:b/>
        </w:rPr>
        <w:t>§ 3635 – Změna územního plánu Brdy – individuální dotace</w:t>
      </w:r>
    </w:p>
    <w:p w14:paraId="1FFC098F" w14:textId="07D8F2F8" w:rsidR="0072554E" w:rsidRPr="00795CC0" w:rsidRDefault="0072554E" w:rsidP="0072554E">
      <w:pPr>
        <w:spacing w:after="0" w:line="240" w:lineRule="auto"/>
        <w:jc w:val="both"/>
        <w:rPr>
          <w:rFonts w:cstheme="minorHAnsi"/>
          <w:b/>
        </w:rPr>
      </w:pPr>
      <w:r w:rsidRPr="0003094C">
        <w:rPr>
          <w:rFonts w:cstheme="minorHAnsi"/>
        </w:rPr>
        <w:lastRenderedPageBreak/>
        <w:t>Upravený rozpočet byl navýšen na základě usnesení č. 0</w:t>
      </w:r>
      <w:r>
        <w:rPr>
          <w:rFonts w:cstheme="minorHAnsi"/>
        </w:rPr>
        <w:t>09</w:t>
      </w:r>
      <w:r w:rsidRPr="0003094C">
        <w:rPr>
          <w:rFonts w:cstheme="minorHAnsi"/>
        </w:rPr>
        <w:t xml:space="preserve">-08/2021/RK ze dne 18. 2. 2021 převodem nevyčerpaných účelových finančních prostředků ve výši 44 306,00 Kč kapitoly </w:t>
      </w:r>
      <w:r>
        <w:rPr>
          <w:rFonts w:cstheme="minorHAnsi"/>
        </w:rPr>
        <w:t xml:space="preserve">09 - </w:t>
      </w:r>
      <w:r w:rsidRPr="0003094C">
        <w:rPr>
          <w:rFonts w:cstheme="minorHAnsi"/>
        </w:rPr>
        <w:t xml:space="preserve">Evropská integrace z </w:t>
      </w:r>
      <w:r>
        <w:rPr>
          <w:rFonts w:cstheme="minorHAnsi"/>
        </w:rPr>
        <w:t>r.</w:t>
      </w:r>
      <w:r w:rsidRPr="0003094C">
        <w:rPr>
          <w:rFonts w:cstheme="minorHAnsi"/>
        </w:rPr>
        <w:t xml:space="preserve"> 2020 do rozpočtu </w:t>
      </w:r>
      <w:r>
        <w:rPr>
          <w:rFonts w:cstheme="minorHAnsi"/>
        </w:rPr>
        <w:t>r.</w:t>
      </w:r>
      <w:r w:rsidRPr="0003094C">
        <w:rPr>
          <w:rFonts w:cstheme="minorHAnsi"/>
        </w:rPr>
        <w:t xml:space="preserve"> 2021</w:t>
      </w:r>
      <w:r>
        <w:rPr>
          <w:rFonts w:cstheme="minorHAnsi"/>
        </w:rPr>
        <w:t xml:space="preserve"> (</w:t>
      </w:r>
      <w:r w:rsidRPr="00957F76">
        <w:rPr>
          <w:rFonts w:cstheme="minorHAnsi"/>
        </w:rPr>
        <w:t>zapojeno do zůstatku hospodaření SK z </w:t>
      </w:r>
      <w:r>
        <w:rPr>
          <w:rFonts w:cstheme="minorHAnsi"/>
        </w:rPr>
        <w:t xml:space="preserve">r. 2020 schváleného usnesením </w:t>
      </w:r>
      <w:r w:rsidRPr="00957F76">
        <w:rPr>
          <w:rFonts w:cstheme="minorHAnsi"/>
        </w:rPr>
        <w:t xml:space="preserve">č. 007-06/2021/ZK ze dne </w:t>
      </w:r>
      <w:r>
        <w:rPr>
          <w:rFonts w:cstheme="minorHAnsi"/>
        </w:rPr>
        <w:br/>
      </w:r>
      <w:r w:rsidRPr="00957F76">
        <w:rPr>
          <w:rFonts w:cstheme="minorHAnsi"/>
        </w:rPr>
        <w:t>26. 04. 2021)</w:t>
      </w:r>
      <w:r>
        <w:rPr>
          <w:rFonts w:cstheme="minorHAnsi"/>
        </w:rPr>
        <w:t xml:space="preserve">. </w:t>
      </w:r>
      <w:r w:rsidRPr="0003094C">
        <w:rPr>
          <w:rFonts w:cstheme="minorHAnsi"/>
        </w:rPr>
        <w:t xml:space="preserve">Finanční prostředky v objemu 33 570,00 Kč, které představují plnění rozpočtu ve výši 75,8 %, byly čerpány na zpracování změny územních plánů obcí v ÚP Brdy. </w:t>
      </w:r>
    </w:p>
    <w:p w14:paraId="23077364" w14:textId="77777777" w:rsidR="0072554E" w:rsidRDefault="0072554E" w:rsidP="0072554E">
      <w:pPr>
        <w:spacing w:after="0" w:line="240" w:lineRule="auto"/>
        <w:jc w:val="both"/>
        <w:rPr>
          <w:rFonts w:cstheme="minorHAnsi"/>
        </w:rPr>
      </w:pPr>
    </w:p>
    <w:p w14:paraId="6FE27EE5" w14:textId="77777777" w:rsidR="0072554E" w:rsidRPr="0003094C" w:rsidRDefault="0072554E" w:rsidP="0072554E">
      <w:pPr>
        <w:spacing w:after="0" w:line="240" w:lineRule="auto"/>
        <w:jc w:val="both"/>
        <w:rPr>
          <w:rFonts w:cstheme="minorHAnsi"/>
          <w:b/>
        </w:rPr>
      </w:pPr>
      <w:bookmarkStart w:id="49" w:name="_Hlk98852137"/>
      <w:r w:rsidRPr="00795CC0">
        <w:rPr>
          <w:rFonts w:cstheme="minorHAnsi"/>
          <w:b/>
        </w:rPr>
        <w:t>§ 3639 – Individuální dlouhodobá výpomoc obci Tetín</w:t>
      </w:r>
    </w:p>
    <w:p w14:paraId="5F2B008A" w14:textId="71534BC4" w:rsidR="0072554E" w:rsidRPr="0003094C" w:rsidRDefault="0072554E" w:rsidP="0072554E">
      <w:pPr>
        <w:spacing w:after="0" w:line="240" w:lineRule="auto"/>
        <w:jc w:val="both"/>
        <w:rPr>
          <w:rFonts w:cstheme="minorHAnsi"/>
          <w:b/>
        </w:rPr>
      </w:pPr>
      <w:r w:rsidRPr="0003094C">
        <w:rPr>
          <w:rFonts w:cstheme="minorHAnsi"/>
        </w:rPr>
        <w:t xml:space="preserve">Usnesením č. 013-08/2021/ZK ze dne 28. 6. 2021 byl proveden převod v rámci rozpočtu kapitoly </w:t>
      </w:r>
      <w:r>
        <w:rPr>
          <w:rFonts w:cstheme="minorHAnsi"/>
        </w:rPr>
        <w:t xml:space="preserve">09 - Evropská integrace </w:t>
      </w:r>
      <w:r w:rsidRPr="0003094C">
        <w:rPr>
          <w:rFonts w:cstheme="minorHAnsi"/>
        </w:rPr>
        <w:t>z nevyčer</w:t>
      </w:r>
      <w:r>
        <w:rPr>
          <w:rFonts w:cstheme="minorHAnsi"/>
        </w:rPr>
        <w:t xml:space="preserve">paných finančních prostředků </w:t>
      </w:r>
      <w:r w:rsidRPr="0003094C">
        <w:rPr>
          <w:rFonts w:cstheme="minorHAnsi"/>
        </w:rPr>
        <w:t xml:space="preserve">Středočeského Fondu návratných finančních zdrojů na </w:t>
      </w:r>
      <w:r>
        <w:rPr>
          <w:rFonts w:cstheme="minorHAnsi"/>
        </w:rPr>
        <w:t xml:space="preserve">poskytnutí </w:t>
      </w:r>
      <w:r w:rsidRPr="0003094C">
        <w:rPr>
          <w:rFonts w:cstheme="minorHAnsi"/>
        </w:rPr>
        <w:t xml:space="preserve">individuální </w:t>
      </w:r>
      <w:r>
        <w:rPr>
          <w:rFonts w:cstheme="minorHAnsi"/>
        </w:rPr>
        <w:t>dlouhodobé</w:t>
      </w:r>
      <w:r w:rsidRPr="0003094C">
        <w:rPr>
          <w:rFonts w:cstheme="minorHAnsi"/>
        </w:rPr>
        <w:t xml:space="preserve"> </w:t>
      </w:r>
      <w:r>
        <w:rPr>
          <w:rFonts w:cstheme="minorHAnsi"/>
        </w:rPr>
        <w:t>návratné</w:t>
      </w:r>
      <w:r w:rsidRPr="0003094C">
        <w:rPr>
          <w:rFonts w:cstheme="minorHAnsi"/>
        </w:rPr>
        <w:t xml:space="preserve"> výpomoc</w:t>
      </w:r>
      <w:r>
        <w:rPr>
          <w:rFonts w:cstheme="minorHAnsi"/>
        </w:rPr>
        <w:t>i</w:t>
      </w:r>
      <w:r w:rsidRPr="0003094C">
        <w:rPr>
          <w:rFonts w:cstheme="minorHAnsi"/>
        </w:rPr>
        <w:t xml:space="preserve"> obci Tetín </w:t>
      </w:r>
      <w:r w:rsidR="00795CC0">
        <w:rPr>
          <w:rFonts w:cstheme="minorHAnsi"/>
        </w:rPr>
        <w:t xml:space="preserve">na zajištění akce „Národní pouť na Tetíně 2021“ </w:t>
      </w:r>
      <w:r w:rsidRPr="0003094C">
        <w:rPr>
          <w:rFonts w:cstheme="minorHAnsi"/>
        </w:rPr>
        <w:t>ve výši 10 000 000,00 Kč</w:t>
      </w:r>
      <w:r w:rsidRPr="00494DF0">
        <w:rPr>
          <w:rFonts w:cstheme="minorHAnsi"/>
        </w:rPr>
        <w:t>.  Finanční prostředky byly čerpány ve výši 10 000 000,00 Kč, což představuje 100</w:t>
      </w:r>
      <w:r w:rsidR="008256C8">
        <w:rPr>
          <w:rFonts w:cstheme="minorHAnsi"/>
        </w:rPr>
        <w:t>,0</w:t>
      </w:r>
      <w:r w:rsidRPr="00494DF0">
        <w:rPr>
          <w:rFonts w:cstheme="minorHAnsi"/>
        </w:rPr>
        <w:t xml:space="preserve"> % plnění rozpočtu. Veškeré finanční prostředky individuální návratné finanční výpomoci budou vráceny do 31. 12. 2031, a to ve splátkách ve výši nejméně 1 000 000,00 Kč počínaje rokem 2022, a to vždy nejpozději k poslednímu dni příslušného </w:t>
      </w:r>
      <w:r>
        <w:rPr>
          <w:rFonts w:cstheme="minorHAnsi"/>
        </w:rPr>
        <w:t>roku.</w:t>
      </w:r>
    </w:p>
    <w:bookmarkEnd w:id="49"/>
    <w:p w14:paraId="088CA169" w14:textId="77777777" w:rsidR="00795CC0" w:rsidRPr="0003094C" w:rsidRDefault="00795CC0" w:rsidP="0072554E">
      <w:pPr>
        <w:spacing w:after="0" w:line="240" w:lineRule="auto"/>
        <w:jc w:val="both"/>
        <w:rPr>
          <w:rFonts w:cstheme="minorHAnsi"/>
        </w:rPr>
      </w:pPr>
    </w:p>
    <w:p w14:paraId="61041404" w14:textId="77777777" w:rsidR="0072554E" w:rsidRPr="0003094C" w:rsidRDefault="0072554E" w:rsidP="0072554E">
      <w:pPr>
        <w:spacing w:after="0" w:line="240" w:lineRule="auto"/>
        <w:jc w:val="both"/>
        <w:rPr>
          <w:rFonts w:cstheme="minorHAnsi"/>
          <w:b/>
        </w:rPr>
      </w:pPr>
      <w:r w:rsidRPr="0003094C">
        <w:rPr>
          <w:rFonts w:cstheme="minorHAnsi"/>
          <w:b/>
        </w:rPr>
        <w:t>§ 3713 – Státní fond životního prostředí ČR – Výměna zdrojů tepla na pevná paliva v rodinných d</w:t>
      </w:r>
      <w:r>
        <w:rPr>
          <w:rFonts w:cstheme="minorHAnsi"/>
          <w:b/>
        </w:rPr>
        <w:t>omech Středočeského kraje 2017–2019</w:t>
      </w:r>
      <w:r w:rsidRPr="0003094C">
        <w:rPr>
          <w:rFonts w:cstheme="minorHAnsi"/>
          <w:b/>
        </w:rPr>
        <w:t xml:space="preserve"> - II. Výzva</w:t>
      </w:r>
    </w:p>
    <w:p w14:paraId="7480C1C7" w14:textId="0C792AC7" w:rsidR="0072554E" w:rsidRDefault="0072554E" w:rsidP="0072554E">
      <w:pPr>
        <w:spacing w:after="0" w:line="240" w:lineRule="auto"/>
        <w:jc w:val="both"/>
        <w:rPr>
          <w:rFonts w:cstheme="minorHAnsi"/>
        </w:rPr>
      </w:pPr>
      <w:r w:rsidRPr="0003094C">
        <w:rPr>
          <w:rFonts w:cstheme="minorHAnsi"/>
        </w:rPr>
        <w:t>V </w:t>
      </w:r>
      <w:r>
        <w:rPr>
          <w:rFonts w:cstheme="minorHAnsi"/>
        </w:rPr>
        <w:t>r.</w:t>
      </w:r>
      <w:r w:rsidRPr="0003094C">
        <w:rPr>
          <w:rFonts w:cstheme="minorHAnsi"/>
        </w:rPr>
        <w:t xml:space="preserve"> 2018 se zjistilo, že část žadatelů má kotel Atmos, který má špatnou dokumentaci. Krajský úřad uznal morální nárok žadatelů, kteří v dobré víře výměnu provedli, a zařadil tyto případy k individuální dotaci přijatým usnesením č. 007-</w:t>
      </w:r>
      <w:r>
        <w:rPr>
          <w:rFonts w:cstheme="minorHAnsi"/>
        </w:rPr>
        <w:t xml:space="preserve">30/2018/RK ze dne 8. 10. 2018. </w:t>
      </w:r>
      <w:r w:rsidRPr="0003094C">
        <w:rPr>
          <w:rFonts w:cstheme="minorHAnsi"/>
        </w:rPr>
        <w:t xml:space="preserve">Usnesením č. 007-06/2021/ZK ze dne 26. 4. 2021 (rozdělení zůstatku hospodaření SK </w:t>
      </w:r>
      <w:r>
        <w:rPr>
          <w:rFonts w:cstheme="minorHAnsi"/>
        </w:rPr>
        <w:t>r.</w:t>
      </w:r>
      <w:r w:rsidRPr="0003094C">
        <w:rPr>
          <w:rFonts w:cstheme="minorHAnsi"/>
        </w:rPr>
        <w:t xml:space="preserve"> 2020) byly převedeny do </w:t>
      </w:r>
      <w:r>
        <w:rPr>
          <w:rFonts w:cstheme="minorHAnsi"/>
        </w:rPr>
        <w:t>r.</w:t>
      </w:r>
      <w:r w:rsidRPr="0003094C">
        <w:rPr>
          <w:rFonts w:cstheme="minorHAnsi"/>
        </w:rPr>
        <w:t xml:space="preserve"> 2021 nevyčerpané finanční prostředky ve výši 127 500,00 Kč určené pro výplatu žadateli o kotlíkovou dotaci, která se uskutečnila jen z části. RÚ č. 282/</w:t>
      </w:r>
      <w:r>
        <w:rPr>
          <w:rFonts w:cstheme="minorHAnsi"/>
        </w:rPr>
        <w:t>09/</w:t>
      </w:r>
      <w:r w:rsidRPr="0003094C">
        <w:rPr>
          <w:rFonts w:cstheme="minorHAnsi"/>
        </w:rPr>
        <w:t xml:space="preserve">021 byly finanční prostředky ve výši 100 000,00 Kč převedeny v rámci kapitoly </w:t>
      </w:r>
      <w:r>
        <w:rPr>
          <w:rFonts w:cstheme="minorHAnsi"/>
        </w:rPr>
        <w:t xml:space="preserve">09 - Evropská integrace </w:t>
      </w:r>
      <w:r w:rsidRPr="0003094C">
        <w:rPr>
          <w:rFonts w:cstheme="minorHAnsi"/>
        </w:rPr>
        <w:t>do rozpočtu projektu „Výměna zdrojů tepla na pevná pal</w:t>
      </w:r>
      <w:r>
        <w:rPr>
          <w:rFonts w:cstheme="minorHAnsi"/>
        </w:rPr>
        <w:t xml:space="preserve">iva v rodinných domech SK 2019–2021“ - III. Výzva. </w:t>
      </w:r>
    </w:p>
    <w:p w14:paraId="0A96F7D1" w14:textId="77777777" w:rsidR="0072554E" w:rsidRPr="0003094C" w:rsidRDefault="0072554E" w:rsidP="0072554E">
      <w:pPr>
        <w:spacing w:after="0" w:line="240" w:lineRule="auto"/>
        <w:jc w:val="both"/>
        <w:rPr>
          <w:rFonts w:cstheme="minorHAnsi"/>
          <w:b/>
          <w:u w:val="single"/>
        </w:rPr>
      </w:pPr>
    </w:p>
    <w:p w14:paraId="5CADBE9A" w14:textId="77777777" w:rsidR="0072554E" w:rsidRPr="0003094C" w:rsidRDefault="0072554E" w:rsidP="0072554E">
      <w:pPr>
        <w:spacing w:after="0" w:line="240" w:lineRule="auto"/>
        <w:jc w:val="both"/>
        <w:rPr>
          <w:rFonts w:cstheme="minorHAnsi"/>
          <w:b/>
        </w:rPr>
      </w:pPr>
      <w:r w:rsidRPr="0003094C">
        <w:rPr>
          <w:rFonts w:cstheme="minorHAnsi"/>
          <w:b/>
        </w:rPr>
        <w:t>§ 3713 – Státní fond životního prostředí ČR – Výměna zdrojů tepla na pe</w:t>
      </w:r>
      <w:r>
        <w:rPr>
          <w:rFonts w:cstheme="minorHAnsi"/>
          <w:b/>
        </w:rPr>
        <w:t>vná paliva v rodinných domech Středočeského kraje</w:t>
      </w:r>
      <w:r w:rsidRPr="0003094C">
        <w:rPr>
          <w:rFonts w:cstheme="minorHAnsi"/>
          <w:b/>
        </w:rPr>
        <w:t xml:space="preserve"> 2019–2021 - III. Výzva</w:t>
      </w:r>
    </w:p>
    <w:p w14:paraId="10760432" w14:textId="77777777" w:rsidR="0072554E" w:rsidRPr="0003094C" w:rsidRDefault="0072554E" w:rsidP="0072554E">
      <w:pPr>
        <w:spacing w:after="0" w:line="240" w:lineRule="auto"/>
        <w:jc w:val="both"/>
        <w:rPr>
          <w:rFonts w:cstheme="minorHAnsi"/>
        </w:rPr>
      </w:pPr>
      <w:r>
        <w:rPr>
          <w:rFonts w:cstheme="minorHAnsi"/>
        </w:rPr>
        <w:t xml:space="preserve">Rozpočtovou úpravou </w:t>
      </w:r>
      <w:r w:rsidRPr="0003094C">
        <w:rPr>
          <w:rFonts w:cstheme="minorHAnsi"/>
        </w:rPr>
        <w:t>č. 282/</w:t>
      </w:r>
      <w:r>
        <w:rPr>
          <w:rFonts w:cstheme="minorHAnsi"/>
        </w:rPr>
        <w:t>09</w:t>
      </w:r>
      <w:r w:rsidRPr="0003094C">
        <w:rPr>
          <w:rFonts w:cstheme="minorHAnsi"/>
        </w:rPr>
        <w:t xml:space="preserve">/2021 byly finanční prostředky ve výši 100 000,00 Kč převedeny v rámci kapitoly </w:t>
      </w:r>
      <w:r>
        <w:rPr>
          <w:rFonts w:cstheme="minorHAnsi"/>
        </w:rPr>
        <w:t>09 - Evropská integrace</w:t>
      </w:r>
      <w:r w:rsidRPr="0003094C">
        <w:rPr>
          <w:rFonts w:cstheme="minorHAnsi"/>
        </w:rPr>
        <w:t xml:space="preserve"> </w:t>
      </w:r>
      <w:r>
        <w:rPr>
          <w:rFonts w:cstheme="minorHAnsi"/>
        </w:rPr>
        <w:t>z</w:t>
      </w:r>
      <w:r w:rsidRPr="0003094C">
        <w:rPr>
          <w:rFonts w:cstheme="minorHAnsi"/>
        </w:rPr>
        <w:t xml:space="preserve"> rozpočtu projektu „Výměna zdrojů tepla na pevná pal</w:t>
      </w:r>
      <w:r>
        <w:rPr>
          <w:rFonts w:cstheme="minorHAnsi"/>
        </w:rPr>
        <w:t>iva v rodinných domech Středočeského kraje 2017–2019“ - I</w:t>
      </w:r>
      <w:r w:rsidRPr="0003094C">
        <w:rPr>
          <w:rFonts w:cstheme="minorHAnsi"/>
        </w:rPr>
        <w:t>I. Výzva. V I. pololetí</w:t>
      </w:r>
      <w:r>
        <w:rPr>
          <w:rFonts w:cstheme="minorHAnsi"/>
        </w:rPr>
        <w:t xml:space="preserve"> r. 2021 byl rozpočet čerpán na</w:t>
      </w:r>
      <w:r w:rsidRPr="0003094C">
        <w:rPr>
          <w:rFonts w:cstheme="minorHAnsi"/>
        </w:rPr>
        <w:t xml:space="preserve"> 100,0 % na </w:t>
      </w:r>
      <w:r>
        <w:rPr>
          <w:rFonts w:cstheme="minorHAnsi"/>
        </w:rPr>
        <w:t xml:space="preserve">poskytnutí </w:t>
      </w:r>
      <w:r w:rsidRPr="0003094C">
        <w:rPr>
          <w:rFonts w:cstheme="minorHAnsi"/>
        </w:rPr>
        <w:t>individuál</w:t>
      </w:r>
      <w:r>
        <w:rPr>
          <w:rFonts w:cstheme="minorHAnsi"/>
        </w:rPr>
        <w:t>ní účelové dotace</w:t>
      </w:r>
      <w:r w:rsidRPr="0003094C">
        <w:rPr>
          <w:rFonts w:cstheme="minorHAnsi"/>
        </w:rPr>
        <w:t xml:space="preserve"> na </w:t>
      </w:r>
      <w:r>
        <w:rPr>
          <w:rFonts w:cstheme="minorHAnsi"/>
        </w:rPr>
        <w:t>základě uzavřené smlouvy</w:t>
      </w:r>
      <w:r w:rsidRPr="0003094C">
        <w:rPr>
          <w:rFonts w:cstheme="minorHAnsi"/>
        </w:rPr>
        <w:t xml:space="preserve"> č. S-2815/ŘDP/2021.</w:t>
      </w:r>
    </w:p>
    <w:p w14:paraId="1A8BBB5F" w14:textId="77777777" w:rsidR="0072554E" w:rsidRPr="0003094C" w:rsidRDefault="0072554E" w:rsidP="0072554E">
      <w:pPr>
        <w:spacing w:after="0" w:line="240" w:lineRule="auto"/>
        <w:jc w:val="both"/>
        <w:rPr>
          <w:rFonts w:cstheme="minorHAnsi"/>
          <w:b/>
        </w:rPr>
      </w:pPr>
    </w:p>
    <w:p w14:paraId="7D9FF0BE" w14:textId="77777777" w:rsidR="0072554E" w:rsidRPr="0003094C" w:rsidRDefault="0072554E" w:rsidP="0072554E">
      <w:pPr>
        <w:spacing w:after="0" w:line="240" w:lineRule="auto"/>
        <w:jc w:val="both"/>
        <w:rPr>
          <w:rFonts w:cstheme="minorHAnsi"/>
          <w:b/>
        </w:rPr>
      </w:pPr>
      <w:r w:rsidRPr="0003094C">
        <w:rPr>
          <w:rFonts w:cstheme="minorHAnsi"/>
          <w:b/>
        </w:rPr>
        <w:t>§ 61</w:t>
      </w:r>
      <w:r>
        <w:rPr>
          <w:rFonts w:cstheme="minorHAnsi"/>
          <w:b/>
        </w:rPr>
        <w:t>72 – Činnost regionální správy – Participativní</w:t>
      </w:r>
      <w:r w:rsidRPr="0003094C">
        <w:rPr>
          <w:rFonts w:cstheme="minorHAnsi"/>
          <w:b/>
        </w:rPr>
        <w:t xml:space="preserve"> rozpočet</w:t>
      </w:r>
    </w:p>
    <w:p w14:paraId="7BE3A2EE" w14:textId="5D455055" w:rsidR="0072554E" w:rsidRDefault="0072554E" w:rsidP="0072554E">
      <w:pPr>
        <w:spacing w:after="0" w:line="240" w:lineRule="auto"/>
        <w:jc w:val="both"/>
        <w:rPr>
          <w:rFonts w:cstheme="minorHAnsi"/>
        </w:rPr>
      </w:pPr>
      <w:r w:rsidRPr="0003094C">
        <w:rPr>
          <w:rFonts w:cstheme="minorHAnsi"/>
        </w:rPr>
        <w:t>Finanční prostředky ve výši 968 000,00 Kč byly rozpočtovou úpravou č. 331/</w:t>
      </w:r>
      <w:r>
        <w:rPr>
          <w:rFonts w:cstheme="minorHAnsi"/>
        </w:rPr>
        <w:t>09/2021 převedeny z běžných</w:t>
      </w:r>
      <w:r w:rsidRPr="0003094C">
        <w:rPr>
          <w:rFonts w:cstheme="minorHAnsi"/>
        </w:rPr>
        <w:t xml:space="preserve"> výdajů</w:t>
      </w:r>
      <w:r>
        <w:rPr>
          <w:rFonts w:cstheme="minorHAnsi"/>
        </w:rPr>
        <w:t xml:space="preserve"> kapitoly 09 - Evropská integrace</w:t>
      </w:r>
      <w:r w:rsidRPr="0003094C">
        <w:rPr>
          <w:rFonts w:cstheme="minorHAnsi"/>
        </w:rPr>
        <w:t xml:space="preserve">. </w:t>
      </w:r>
      <w:r w:rsidR="00D34CC5">
        <w:rPr>
          <w:rFonts w:cstheme="minorHAnsi"/>
        </w:rPr>
        <w:t>Čerpalo se</w:t>
      </w:r>
      <w:r w:rsidRPr="0003094C">
        <w:rPr>
          <w:rFonts w:cstheme="minorHAnsi"/>
        </w:rPr>
        <w:t xml:space="preserve"> na realizaci Etap</w:t>
      </w:r>
      <w:r>
        <w:rPr>
          <w:rFonts w:cstheme="minorHAnsi"/>
        </w:rPr>
        <w:t xml:space="preserve"> A, B</w:t>
      </w:r>
      <w:r w:rsidRPr="0003094C">
        <w:rPr>
          <w:rFonts w:cstheme="minorHAnsi"/>
        </w:rPr>
        <w:t xml:space="preserve"> – pilotní nasazení, grafický návrh a strukturu Portálu PAROZ, částka </w:t>
      </w:r>
      <w:r>
        <w:rPr>
          <w:rFonts w:cstheme="minorHAnsi"/>
        </w:rPr>
        <w:t>605</w:t>
      </w:r>
      <w:r w:rsidRPr="0003094C">
        <w:rPr>
          <w:rFonts w:cstheme="minorHAnsi"/>
        </w:rPr>
        <w:t xml:space="preserve"> 000,00 Kč, což je </w:t>
      </w:r>
      <w:r>
        <w:rPr>
          <w:rFonts w:cstheme="minorHAnsi"/>
        </w:rPr>
        <w:t>62,5</w:t>
      </w:r>
      <w:r w:rsidRPr="0003094C">
        <w:rPr>
          <w:rFonts w:cstheme="minorHAnsi"/>
        </w:rPr>
        <w:t xml:space="preserve"> % </w:t>
      </w:r>
      <w:r>
        <w:rPr>
          <w:rFonts w:cstheme="minorHAnsi"/>
        </w:rPr>
        <w:t>rozpočtu.</w:t>
      </w:r>
    </w:p>
    <w:p w14:paraId="66EE72AE" w14:textId="77777777" w:rsidR="0072554E" w:rsidRPr="0003094C" w:rsidRDefault="0072554E" w:rsidP="0072554E">
      <w:pPr>
        <w:spacing w:after="0" w:line="240" w:lineRule="auto"/>
        <w:jc w:val="both"/>
        <w:rPr>
          <w:rFonts w:cstheme="minorHAnsi"/>
          <w:b/>
        </w:rPr>
      </w:pPr>
    </w:p>
    <w:p w14:paraId="64B25E8A" w14:textId="77777777" w:rsidR="0072554E" w:rsidRPr="0003094C" w:rsidRDefault="0072554E" w:rsidP="0072554E">
      <w:pPr>
        <w:spacing w:after="0" w:line="240" w:lineRule="auto"/>
        <w:jc w:val="both"/>
        <w:rPr>
          <w:rFonts w:cstheme="minorHAnsi"/>
          <w:b/>
          <w:u w:val="single"/>
        </w:rPr>
      </w:pPr>
    </w:p>
    <w:p w14:paraId="29E1D277" w14:textId="77777777" w:rsidR="0072554E" w:rsidRPr="0003094C" w:rsidRDefault="0072554E" w:rsidP="0072554E">
      <w:pPr>
        <w:spacing w:after="0" w:line="240" w:lineRule="auto"/>
        <w:jc w:val="both"/>
        <w:rPr>
          <w:rFonts w:cstheme="minorHAnsi"/>
          <w:b/>
          <w:sz w:val="24"/>
          <w:szCs w:val="24"/>
          <w:u w:val="single"/>
        </w:rPr>
      </w:pPr>
      <w:r w:rsidRPr="0003094C">
        <w:rPr>
          <w:rFonts w:cstheme="minorHAnsi"/>
          <w:b/>
          <w:sz w:val="24"/>
          <w:szCs w:val="24"/>
          <w:u w:val="single"/>
        </w:rPr>
        <w:t>Předfinancování a kofinancování projektů spolufinancovaných z EU/EHP a ostatní související výdaje s projekty EU/EHP</w:t>
      </w:r>
    </w:p>
    <w:p w14:paraId="5753DC25" w14:textId="77777777" w:rsidR="0072554E" w:rsidRPr="0003094C" w:rsidRDefault="0072554E" w:rsidP="0072554E">
      <w:pPr>
        <w:spacing w:after="0" w:line="240" w:lineRule="auto"/>
        <w:jc w:val="both"/>
        <w:rPr>
          <w:rFonts w:cstheme="minorHAnsi"/>
          <w:b/>
          <w:u w:val="single"/>
        </w:rPr>
      </w:pPr>
    </w:p>
    <w:p w14:paraId="47316B21" w14:textId="77777777" w:rsidR="0072554E" w:rsidRPr="0003094C" w:rsidRDefault="0072554E" w:rsidP="0072554E">
      <w:pPr>
        <w:spacing w:after="0" w:line="240" w:lineRule="auto"/>
        <w:jc w:val="both"/>
        <w:rPr>
          <w:rFonts w:cstheme="minorHAnsi"/>
          <w:b/>
        </w:rPr>
      </w:pPr>
      <w:r w:rsidRPr="0003094C">
        <w:rPr>
          <w:rFonts w:cstheme="minorHAnsi"/>
          <w:b/>
        </w:rPr>
        <w:t>§ 2115 – Energetické úspory se zaručený</w:t>
      </w:r>
      <w:r>
        <w:rPr>
          <w:rFonts w:cstheme="minorHAnsi"/>
          <w:b/>
        </w:rPr>
        <w:t>m výsledkem pro SK</w:t>
      </w:r>
      <w:r w:rsidRPr="0003094C">
        <w:rPr>
          <w:rFonts w:cstheme="minorHAnsi"/>
          <w:b/>
        </w:rPr>
        <w:t xml:space="preserve"> – nemocnice Mladá Boleslav </w:t>
      </w:r>
      <w:r>
        <w:rPr>
          <w:rFonts w:cstheme="minorHAnsi"/>
          <w:b/>
        </w:rPr>
        <w:t>EPC I</w:t>
      </w:r>
    </w:p>
    <w:p w14:paraId="5B2BBAF2" w14:textId="77777777" w:rsidR="008256C8" w:rsidRDefault="0072554E" w:rsidP="0072554E">
      <w:pPr>
        <w:spacing w:after="0" w:line="240" w:lineRule="auto"/>
        <w:jc w:val="both"/>
        <w:rPr>
          <w:rFonts w:cstheme="minorHAnsi"/>
        </w:rPr>
      </w:pPr>
      <w:r w:rsidRPr="0003094C">
        <w:rPr>
          <w:rFonts w:cstheme="minorHAnsi"/>
        </w:rPr>
        <w:t xml:space="preserve">Upravený rozpočet je tvořen nevyčerpanými účelovými </w:t>
      </w:r>
      <w:r>
        <w:rPr>
          <w:rFonts w:cstheme="minorHAnsi"/>
        </w:rPr>
        <w:t xml:space="preserve">finančními </w:t>
      </w:r>
      <w:r w:rsidRPr="0003094C">
        <w:rPr>
          <w:rFonts w:cstheme="minorHAnsi"/>
        </w:rPr>
        <w:t>prost</w:t>
      </w:r>
      <w:r>
        <w:rPr>
          <w:rFonts w:cstheme="minorHAnsi"/>
        </w:rPr>
        <w:t xml:space="preserve">ředky z r. 2020 </w:t>
      </w:r>
      <w:r w:rsidRPr="0003094C">
        <w:rPr>
          <w:rFonts w:cstheme="minorHAnsi"/>
        </w:rPr>
        <w:t xml:space="preserve">ve výši 528 366,65 Kč, které byly převedeny </w:t>
      </w:r>
      <w:r>
        <w:rPr>
          <w:rFonts w:cstheme="minorHAnsi"/>
        </w:rPr>
        <w:t xml:space="preserve">do r. 2021 </w:t>
      </w:r>
      <w:r w:rsidRPr="0003094C">
        <w:rPr>
          <w:rFonts w:cstheme="minorHAnsi"/>
        </w:rPr>
        <w:t xml:space="preserve">usnesením č. 042-14/2021/RK ze dne 25. 3. 2021 k projektům na energetické úspory nemocnice Mladá Boleslav </w:t>
      </w:r>
      <w:r>
        <w:rPr>
          <w:rFonts w:cstheme="minorHAnsi"/>
        </w:rPr>
        <w:t>EPC I (</w:t>
      </w:r>
      <w:r w:rsidRPr="00957F76">
        <w:rPr>
          <w:rFonts w:cstheme="minorHAnsi"/>
        </w:rPr>
        <w:t>zapojeno do zůstatku hospodaření SK z </w:t>
      </w:r>
      <w:r>
        <w:rPr>
          <w:rFonts w:cstheme="minorHAnsi"/>
        </w:rPr>
        <w:t xml:space="preserve">r. 2020 schváleného usnesením </w:t>
      </w:r>
      <w:r w:rsidRPr="00957F76">
        <w:rPr>
          <w:rFonts w:cstheme="minorHAnsi"/>
        </w:rPr>
        <w:t>č. 007-06/2021/ZK ze dne 26. 04. 2021)</w:t>
      </w:r>
      <w:r>
        <w:rPr>
          <w:rFonts w:cstheme="minorHAnsi"/>
        </w:rPr>
        <w:t>.</w:t>
      </w:r>
      <w:r w:rsidRPr="0003094C">
        <w:rPr>
          <w:rFonts w:cstheme="minorHAnsi"/>
        </w:rPr>
        <w:t xml:space="preserve"> Rozpočet byl navýšen usnesením č. 044-14/2021/RK ze dne 25. 3. 2021 (převodem finančních prostředků z kapitoly 23 - Ostatní, z prostředků na předfinancování a kofinancování projektů EU/EHP a ostatních souvisejících vý</w:t>
      </w:r>
      <w:r>
        <w:rPr>
          <w:rFonts w:cstheme="minorHAnsi"/>
        </w:rPr>
        <w:t xml:space="preserve">dajů s projekty EU/EHP) </w:t>
      </w:r>
      <w:r w:rsidRPr="0003094C">
        <w:rPr>
          <w:rFonts w:cstheme="minorHAnsi"/>
        </w:rPr>
        <w:t xml:space="preserve">o částku 907 500,00 Kč k zajištění výkonu činnosti technického dozoru stavebníka a koordinátora BOZP. </w:t>
      </w:r>
      <w:r w:rsidR="008256C8">
        <w:rPr>
          <w:rFonts w:cstheme="minorHAnsi"/>
        </w:rPr>
        <w:t xml:space="preserve"> </w:t>
      </w:r>
      <w:r w:rsidRPr="006472EC">
        <w:rPr>
          <w:rFonts w:cstheme="minorHAnsi"/>
        </w:rPr>
        <w:t>V</w:t>
      </w:r>
      <w:r>
        <w:rPr>
          <w:rFonts w:cstheme="minorHAnsi"/>
        </w:rPr>
        <w:t> II. pololetí</w:t>
      </w:r>
      <w:r w:rsidRPr="006472EC">
        <w:rPr>
          <w:rFonts w:cstheme="minorHAnsi"/>
        </w:rPr>
        <w:t xml:space="preserve"> </w:t>
      </w:r>
      <w:r>
        <w:rPr>
          <w:rFonts w:cstheme="minorHAnsi"/>
        </w:rPr>
        <w:t>r.</w:t>
      </w:r>
      <w:r w:rsidRPr="006472EC">
        <w:rPr>
          <w:rFonts w:cstheme="minorHAnsi"/>
        </w:rPr>
        <w:t xml:space="preserve"> 2021 se usnesením č. 017-32/2021/RK ze dne 26.8.2021 vrátily nevyčerpané</w:t>
      </w:r>
      <w:r>
        <w:rPr>
          <w:rFonts w:cstheme="minorHAnsi"/>
        </w:rPr>
        <w:t xml:space="preserve"> finanční</w:t>
      </w:r>
      <w:r w:rsidRPr="006472EC">
        <w:rPr>
          <w:rFonts w:cstheme="minorHAnsi"/>
        </w:rPr>
        <w:t xml:space="preserve"> prostředky do </w:t>
      </w:r>
      <w:r>
        <w:rPr>
          <w:rFonts w:cstheme="minorHAnsi"/>
        </w:rPr>
        <w:t>kapitoly</w:t>
      </w:r>
      <w:r w:rsidRPr="006472EC">
        <w:rPr>
          <w:rFonts w:cstheme="minorHAnsi"/>
        </w:rPr>
        <w:t xml:space="preserve"> 23 – Ostatní v částce 528 366,65 Kč a zároveň </w:t>
      </w:r>
      <w:r w:rsidRPr="00942C5D">
        <w:rPr>
          <w:rFonts w:cstheme="minorHAnsi"/>
        </w:rPr>
        <w:t>se</w:t>
      </w:r>
      <w:r>
        <w:rPr>
          <w:rFonts w:cstheme="minorHAnsi"/>
        </w:rPr>
        <w:t xml:space="preserve"> </w:t>
      </w:r>
      <w:r w:rsidRPr="006472EC">
        <w:rPr>
          <w:rFonts w:cstheme="minorHAnsi"/>
        </w:rPr>
        <w:t xml:space="preserve">převedly </w:t>
      </w:r>
      <w:r>
        <w:rPr>
          <w:rFonts w:cstheme="minorHAnsi"/>
        </w:rPr>
        <w:t xml:space="preserve">finanční </w:t>
      </w:r>
      <w:r w:rsidRPr="006472EC">
        <w:rPr>
          <w:rFonts w:cstheme="minorHAnsi"/>
        </w:rPr>
        <w:t xml:space="preserve">prostředky ve výši 237 966,67 Kč na pokrytí části plnění ze smlouvy na konzultační služby při výběru poskytovatele energetických služeb EPC I (převod </w:t>
      </w:r>
      <w:r>
        <w:rPr>
          <w:rFonts w:cstheme="minorHAnsi"/>
        </w:rPr>
        <w:t xml:space="preserve">finančních </w:t>
      </w:r>
      <w:r w:rsidRPr="006472EC">
        <w:rPr>
          <w:rFonts w:cstheme="minorHAnsi"/>
        </w:rPr>
        <w:t>prostředků z </w:t>
      </w:r>
      <w:r>
        <w:rPr>
          <w:rFonts w:cstheme="minorHAnsi"/>
        </w:rPr>
        <w:t>kapitoly</w:t>
      </w:r>
      <w:r w:rsidRPr="006472EC">
        <w:rPr>
          <w:rFonts w:cstheme="minorHAnsi"/>
        </w:rPr>
        <w:t xml:space="preserve"> 23 – Ostatní – na financování projektu „EPC I – Energetické úspory se zaručeným výsledkem – ON Mladá Boleslav). Dále bylo usnesením č. 008-35/2021/RK ze dne 16.9.2021 převedeno 907 500,00 Kč (převod finančních prostředků z </w:t>
      </w:r>
      <w:r>
        <w:rPr>
          <w:rFonts w:cstheme="minorHAnsi"/>
        </w:rPr>
        <w:t>kapitoly</w:t>
      </w:r>
      <w:r w:rsidRPr="006472EC">
        <w:rPr>
          <w:rFonts w:cstheme="minorHAnsi"/>
        </w:rPr>
        <w:t xml:space="preserve"> </w:t>
      </w:r>
      <w:r>
        <w:rPr>
          <w:rFonts w:cstheme="minorHAnsi"/>
        </w:rPr>
        <w:t>09 – Evropská integrace do</w:t>
      </w:r>
      <w:r w:rsidRPr="006472EC">
        <w:rPr>
          <w:rFonts w:cstheme="minorHAnsi"/>
        </w:rPr>
        <w:t xml:space="preserve"> </w:t>
      </w:r>
      <w:r>
        <w:rPr>
          <w:rFonts w:cstheme="minorHAnsi"/>
        </w:rPr>
        <w:t>kapitoly</w:t>
      </w:r>
      <w:r w:rsidRPr="006472EC">
        <w:rPr>
          <w:rFonts w:cstheme="minorHAnsi"/>
        </w:rPr>
        <w:t xml:space="preserve"> 07 – </w:t>
      </w:r>
      <w:r w:rsidRPr="006472EC">
        <w:rPr>
          <w:rFonts w:cstheme="minorHAnsi"/>
        </w:rPr>
        <w:lastRenderedPageBreak/>
        <w:t xml:space="preserve">Zdravotnictví – projekt EPC I – Energetické úspory se zaručeným výsledkem – oblastní nemocnice Mladá Boleslav) na Odbor ZDR jako prostředky na realizaci projektu, jelikož se jedná o nemocnici – akciovou společnost. </w:t>
      </w:r>
    </w:p>
    <w:p w14:paraId="4E2C3AAF" w14:textId="6D7FC80C" w:rsidR="0072554E" w:rsidRDefault="0072554E" w:rsidP="0072554E">
      <w:pPr>
        <w:spacing w:after="0" w:line="240" w:lineRule="auto"/>
        <w:jc w:val="both"/>
        <w:rPr>
          <w:rFonts w:cstheme="minorHAnsi"/>
        </w:rPr>
      </w:pPr>
      <w:r w:rsidRPr="006472EC">
        <w:rPr>
          <w:rFonts w:cstheme="minorHAnsi"/>
        </w:rPr>
        <w:t>V </w:t>
      </w:r>
      <w:r>
        <w:rPr>
          <w:rFonts w:cstheme="minorHAnsi"/>
        </w:rPr>
        <w:t>r.</w:t>
      </w:r>
      <w:r w:rsidRPr="006472EC">
        <w:rPr>
          <w:rFonts w:cstheme="minorHAnsi"/>
        </w:rPr>
        <w:t xml:space="preserve"> 2021 došlo k čerpání částky 213 766,66 Kč, která se skládá ze dvou faktur za plnění smlouvy na konzultační služby při výběru poskytovatele energetických služeb EPC I. Konkrétně se jednalo o část c – příprava VŘ (193 60</w:t>
      </w:r>
      <w:r w:rsidRPr="00942C5D">
        <w:rPr>
          <w:rFonts w:cstheme="minorHAnsi"/>
        </w:rPr>
        <w:t>0,00</w:t>
      </w:r>
      <w:r w:rsidRPr="006472EC">
        <w:rPr>
          <w:rFonts w:cstheme="minorHAnsi"/>
        </w:rPr>
        <w:t xml:space="preserve"> Kč) a za část d) – výběr dodavatele (20 166,66 Kč). Čerpání v </w:t>
      </w:r>
      <w:r>
        <w:rPr>
          <w:rFonts w:cstheme="minorHAnsi"/>
        </w:rPr>
        <w:t>r.</w:t>
      </w:r>
      <w:r w:rsidRPr="006472EC">
        <w:rPr>
          <w:rFonts w:cstheme="minorHAnsi"/>
        </w:rPr>
        <w:t xml:space="preserve"> 2021 </w:t>
      </w:r>
      <w:r w:rsidRPr="00942C5D">
        <w:rPr>
          <w:rFonts w:cstheme="minorHAnsi"/>
        </w:rPr>
        <w:t>ve výši</w:t>
      </w:r>
      <w:r w:rsidRPr="006472EC">
        <w:rPr>
          <w:rFonts w:cstheme="minorHAnsi"/>
        </w:rPr>
        <w:t xml:space="preserve"> 89,8 %. </w:t>
      </w:r>
      <w:r>
        <w:t>Projekt bude ukončen 31.8.2023.</w:t>
      </w:r>
    </w:p>
    <w:p w14:paraId="11D427F7" w14:textId="77777777" w:rsidR="0072554E" w:rsidRPr="0003094C" w:rsidRDefault="0072554E" w:rsidP="0072554E">
      <w:pPr>
        <w:spacing w:after="0" w:line="240" w:lineRule="auto"/>
        <w:jc w:val="both"/>
        <w:rPr>
          <w:rFonts w:cstheme="minorHAnsi"/>
        </w:rPr>
      </w:pPr>
    </w:p>
    <w:p w14:paraId="130DE0C9" w14:textId="77777777" w:rsidR="0072554E" w:rsidRPr="0003094C" w:rsidRDefault="0072554E" w:rsidP="0072554E">
      <w:pPr>
        <w:spacing w:after="0" w:line="240" w:lineRule="auto"/>
        <w:jc w:val="both"/>
        <w:rPr>
          <w:rFonts w:cstheme="minorHAnsi"/>
          <w:b/>
        </w:rPr>
      </w:pPr>
      <w:r w:rsidRPr="0003094C">
        <w:rPr>
          <w:rFonts w:cstheme="minorHAnsi"/>
          <w:b/>
        </w:rPr>
        <w:t>§ 2115 – Energetické úspory se zaručeným výsledkem pro S</w:t>
      </w:r>
      <w:r>
        <w:rPr>
          <w:rFonts w:cstheme="minorHAnsi"/>
          <w:b/>
        </w:rPr>
        <w:t>K – nemocnice Kutná Hora EPC I</w:t>
      </w:r>
    </w:p>
    <w:p w14:paraId="5F02737F" w14:textId="77777777" w:rsidR="008256C8" w:rsidRDefault="0072554E" w:rsidP="0072554E">
      <w:pPr>
        <w:spacing w:after="0" w:line="240" w:lineRule="auto"/>
        <w:jc w:val="both"/>
        <w:rPr>
          <w:rFonts w:cstheme="minorHAnsi"/>
        </w:rPr>
      </w:pPr>
      <w:r w:rsidRPr="0003094C">
        <w:rPr>
          <w:rFonts w:cstheme="minorHAnsi"/>
        </w:rPr>
        <w:t>Upravený rozpočet je tvořen nevyčerpanými ú</w:t>
      </w:r>
      <w:r>
        <w:rPr>
          <w:rFonts w:cstheme="minorHAnsi"/>
        </w:rPr>
        <w:t>čelovými finančními prostředky z r. 2020</w:t>
      </w:r>
      <w:r w:rsidRPr="0003094C">
        <w:rPr>
          <w:rFonts w:cstheme="minorHAnsi"/>
        </w:rPr>
        <w:t xml:space="preserve"> ve výši 274 266,67 Kč, které byly převedeny </w:t>
      </w:r>
      <w:r>
        <w:rPr>
          <w:rFonts w:cstheme="minorHAnsi"/>
        </w:rPr>
        <w:t xml:space="preserve">do rozpočtu r. 2021 </w:t>
      </w:r>
      <w:r w:rsidRPr="0003094C">
        <w:rPr>
          <w:rFonts w:cstheme="minorHAnsi"/>
        </w:rPr>
        <w:t>usnesením č. 042-14/20</w:t>
      </w:r>
      <w:r>
        <w:rPr>
          <w:rFonts w:cstheme="minorHAnsi"/>
        </w:rPr>
        <w:t xml:space="preserve">21/RK ze dne 25. 3. 2021 </w:t>
      </w:r>
      <w:r w:rsidRPr="0003094C">
        <w:rPr>
          <w:rFonts w:cstheme="minorHAnsi"/>
        </w:rPr>
        <w:t>na energetické úspory nemocnice Kutná Hora EPC I</w:t>
      </w:r>
      <w:r>
        <w:rPr>
          <w:rFonts w:cstheme="minorHAnsi"/>
        </w:rPr>
        <w:t xml:space="preserve"> (</w:t>
      </w:r>
      <w:r w:rsidRPr="00957F76">
        <w:rPr>
          <w:rFonts w:cstheme="minorHAnsi"/>
        </w:rPr>
        <w:t>zapojeno do zůstatku hospodaření SK z </w:t>
      </w:r>
      <w:r>
        <w:rPr>
          <w:rFonts w:cstheme="minorHAnsi"/>
        </w:rPr>
        <w:t xml:space="preserve">r. 2020 schváleného usnesením </w:t>
      </w:r>
      <w:r w:rsidRPr="00957F76">
        <w:rPr>
          <w:rFonts w:cstheme="minorHAnsi"/>
        </w:rPr>
        <w:t>č. 007-06/2021/ZK ze dne 26. 04. 2021)</w:t>
      </w:r>
      <w:r>
        <w:rPr>
          <w:rFonts w:cstheme="minorHAnsi"/>
        </w:rPr>
        <w:t xml:space="preserve">. </w:t>
      </w:r>
      <w:r w:rsidRPr="0003094C">
        <w:rPr>
          <w:rFonts w:cstheme="minorHAnsi"/>
        </w:rPr>
        <w:t>Rozpočet</w:t>
      </w:r>
      <w:r>
        <w:rPr>
          <w:rFonts w:cstheme="minorHAnsi"/>
        </w:rPr>
        <w:t xml:space="preserve"> </w:t>
      </w:r>
      <w:r w:rsidRPr="0003094C">
        <w:rPr>
          <w:rFonts w:cstheme="minorHAnsi"/>
        </w:rPr>
        <w:t xml:space="preserve">byl navýšen usnesením č. 044-14/2021/RK ze dne 25. 3. 2021 (převodem finančních prostředků z kapitoly 23 - Ostatní, z prostředků na předfinancování a kofinancování projektů EU/EHP a ostatních souvisejících výdajů s projekty EU/EHP) o částku 544 500,00 Kč k zajištění výkonu činnosti technického dozoru stavebníka a koordinátora BOZP. </w:t>
      </w:r>
      <w:r w:rsidRPr="00942C5D">
        <w:rPr>
          <w:rFonts w:cstheme="minorHAnsi"/>
        </w:rPr>
        <w:t>V II. pololetí</w:t>
      </w:r>
      <w:r w:rsidRPr="006472EC">
        <w:rPr>
          <w:rFonts w:cstheme="minorHAnsi"/>
        </w:rPr>
        <w:t xml:space="preserve"> </w:t>
      </w:r>
      <w:r>
        <w:rPr>
          <w:rFonts w:cstheme="minorHAnsi"/>
        </w:rPr>
        <w:t>r.</w:t>
      </w:r>
      <w:r w:rsidRPr="006472EC">
        <w:rPr>
          <w:rFonts w:cstheme="minorHAnsi"/>
        </w:rPr>
        <w:t xml:space="preserve"> 2021 byl rozpočet projektu navýšen usnesením č. 006-43/2021/RK ze dne 18.11.2021 (převod finančních prostředků z </w:t>
      </w:r>
      <w:r>
        <w:rPr>
          <w:rFonts w:cstheme="minorHAnsi"/>
        </w:rPr>
        <w:t>kapitoly</w:t>
      </w:r>
      <w:r w:rsidRPr="006472EC">
        <w:rPr>
          <w:rFonts w:cstheme="minorHAnsi"/>
        </w:rPr>
        <w:t xml:space="preserve"> 23 – Ostatní</w:t>
      </w:r>
      <w:r>
        <w:rPr>
          <w:rFonts w:cstheme="minorHAnsi"/>
        </w:rPr>
        <w:t>,</w:t>
      </w:r>
      <w:r w:rsidRPr="006472EC">
        <w:rPr>
          <w:rFonts w:cstheme="minorHAnsi"/>
        </w:rPr>
        <w:t xml:space="preserve"> </w:t>
      </w:r>
      <w:r>
        <w:rPr>
          <w:rFonts w:cstheme="minorHAnsi"/>
        </w:rPr>
        <w:t>p</w:t>
      </w:r>
      <w:r w:rsidRPr="006472EC">
        <w:rPr>
          <w:rFonts w:cstheme="minorHAnsi"/>
        </w:rPr>
        <w:t xml:space="preserve">rostředků na předfinancování a kofinancování projektů EU/EHP a ostatních souvisejících výdajů s projekty EU/EHP a ostatních souvisejících výdajů s projekty EU/EHP do </w:t>
      </w:r>
      <w:r>
        <w:rPr>
          <w:rFonts w:cstheme="minorHAnsi"/>
        </w:rPr>
        <w:t>kapitoly</w:t>
      </w:r>
      <w:r w:rsidRPr="006472EC">
        <w:rPr>
          <w:rFonts w:cstheme="minorHAnsi"/>
        </w:rPr>
        <w:t xml:space="preserve"> </w:t>
      </w:r>
      <w:r>
        <w:rPr>
          <w:rFonts w:cstheme="minorHAnsi"/>
        </w:rPr>
        <w:t>09 - Evropská integrace – EPC</w:t>
      </w:r>
      <w:r w:rsidRPr="006472EC">
        <w:rPr>
          <w:rFonts w:cstheme="minorHAnsi"/>
        </w:rPr>
        <w:t xml:space="preserve"> I) o částku 24 200,00 Kč k zajištění povinné publicity projektu.</w:t>
      </w:r>
    </w:p>
    <w:p w14:paraId="2B0D6D91" w14:textId="689572BF" w:rsidR="0072554E" w:rsidRDefault="0072554E" w:rsidP="0072554E">
      <w:pPr>
        <w:spacing w:after="0" w:line="240" w:lineRule="auto"/>
        <w:jc w:val="both"/>
        <w:rPr>
          <w:rFonts w:cstheme="minorHAnsi"/>
        </w:rPr>
      </w:pPr>
      <w:r w:rsidRPr="006472EC">
        <w:rPr>
          <w:rFonts w:cstheme="minorHAnsi"/>
        </w:rPr>
        <w:t>V </w:t>
      </w:r>
      <w:r>
        <w:rPr>
          <w:rFonts w:cstheme="minorHAnsi"/>
        </w:rPr>
        <w:t>r.</w:t>
      </w:r>
      <w:r w:rsidRPr="006472EC">
        <w:rPr>
          <w:rFonts w:cstheme="minorHAnsi"/>
        </w:rPr>
        <w:t xml:space="preserve"> 2021 došlo k čerpání částky 213 766,67 Kč, která se skládá ze dvou faktur za plnění smlouvy na konzultační služby při výběru poskytovatele energetických služeb EPC I. Konkrétně se jednalo o část c – příprava VŘ (193 </w:t>
      </w:r>
      <w:r w:rsidRPr="00942C5D">
        <w:rPr>
          <w:rFonts w:cstheme="minorHAnsi"/>
        </w:rPr>
        <w:t>600,00</w:t>
      </w:r>
      <w:r>
        <w:rPr>
          <w:rFonts w:cstheme="minorHAnsi"/>
        </w:rPr>
        <w:t xml:space="preserve"> </w:t>
      </w:r>
      <w:r w:rsidRPr="006472EC">
        <w:rPr>
          <w:rFonts w:cstheme="minorHAnsi"/>
        </w:rPr>
        <w:t>Kč) a za část d) – výběr dodavatele (20 166,67 Kč). Čerpání v </w:t>
      </w:r>
      <w:r>
        <w:rPr>
          <w:rFonts w:cstheme="minorHAnsi"/>
        </w:rPr>
        <w:t>r.</w:t>
      </w:r>
      <w:r w:rsidRPr="006472EC">
        <w:rPr>
          <w:rFonts w:cstheme="minorHAnsi"/>
        </w:rPr>
        <w:t xml:space="preserve"> 2021 </w:t>
      </w:r>
      <w:r>
        <w:rPr>
          <w:rFonts w:cstheme="minorHAnsi"/>
        </w:rPr>
        <w:t>ve výši</w:t>
      </w:r>
      <w:r w:rsidRPr="006472EC">
        <w:rPr>
          <w:rFonts w:cstheme="minorHAnsi"/>
        </w:rPr>
        <w:t xml:space="preserve"> 25,4 %. </w:t>
      </w:r>
      <w:r>
        <w:t>Projekt bude ukončen 31.8.2023.</w:t>
      </w:r>
    </w:p>
    <w:p w14:paraId="3D311AC9" w14:textId="77777777" w:rsidR="0072554E" w:rsidRPr="0003094C" w:rsidRDefault="0072554E" w:rsidP="0072554E">
      <w:pPr>
        <w:spacing w:after="0" w:line="240" w:lineRule="auto"/>
        <w:jc w:val="both"/>
        <w:rPr>
          <w:rFonts w:cstheme="minorHAnsi"/>
        </w:rPr>
      </w:pPr>
    </w:p>
    <w:p w14:paraId="1FDD52F5" w14:textId="77777777" w:rsidR="0072554E" w:rsidRPr="0003094C" w:rsidRDefault="0072554E" w:rsidP="0072554E">
      <w:pPr>
        <w:spacing w:after="0" w:line="240" w:lineRule="auto"/>
        <w:jc w:val="both"/>
        <w:rPr>
          <w:rFonts w:cstheme="minorHAnsi"/>
          <w:b/>
        </w:rPr>
      </w:pPr>
      <w:r w:rsidRPr="0003094C">
        <w:rPr>
          <w:rFonts w:cstheme="minorHAnsi"/>
          <w:b/>
        </w:rPr>
        <w:t>§ 2115 – Energetické úspory se zaru</w:t>
      </w:r>
      <w:r>
        <w:rPr>
          <w:rFonts w:cstheme="minorHAnsi"/>
          <w:b/>
        </w:rPr>
        <w:t>čeným výsledkem pro SK – Krajský úřad EPC I</w:t>
      </w:r>
    </w:p>
    <w:p w14:paraId="6EF7EC7C" w14:textId="269D6F4E" w:rsidR="0072554E" w:rsidRPr="0003094C" w:rsidRDefault="0072554E" w:rsidP="0072554E">
      <w:pPr>
        <w:spacing w:after="0" w:line="240" w:lineRule="auto"/>
        <w:jc w:val="both"/>
        <w:rPr>
          <w:rFonts w:cstheme="minorHAnsi"/>
        </w:rPr>
      </w:pPr>
      <w:r w:rsidRPr="0003094C">
        <w:rPr>
          <w:rFonts w:cstheme="minorHAnsi"/>
        </w:rPr>
        <w:t>Upravený rozpočet je tvořen nevyčerpanými účel</w:t>
      </w:r>
      <w:r>
        <w:rPr>
          <w:rFonts w:cstheme="minorHAnsi"/>
        </w:rPr>
        <w:t xml:space="preserve">ovými finančními prostředky z r. 2020 </w:t>
      </w:r>
      <w:r w:rsidRPr="0003094C">
        <w:rPr>
          <w:rFonts w:cstheme="minorHAnsi"/>
        </w:rPr>
        <w:t xml:space="preserve">ve výši 274 266,67 Kč, které byly převedeny </w:t>
      </w:r>
      <w:r>
        <w:rPr>
          <w:rFonts w:cstheme="minorHAnsi"/>
        </w:rPr>
        <w:t xml:space="preserve">do rozpočtu r. 2021 </w:t>
      </w:r>
      <w:r w:rsidRPr="0003094C">
        <w:rPr>
          <w:rFonts w:cstheme="minorHAnsi"/>
        </w:rPr>
        <w:t>usnesením č. 042</w:t>
      </w:r>
      <w:r>
        <w:rPr>
          <w:rFonts w:cstheme="minorHAnsi"/>
        </w:rPr>
        <w:t>-14/2021/RK ze dne 25. 3. 2021 na projekty</w:t>
      </w:r>
      <w:r w:rsidRPr="0003094C">
        <w:rPr>
          <w:rFonts w:cstheme="minorHAnsi"/>
        </w:rPr>
        <w:t xml:space="preserve"> </w:t>
      </w:r>
      <w:r>
        <w:rPr>
          <w:rFonts w:cstheme="minorHAnsi"/>
        </w:rPr>
        <w:t xml:space="preserve">na energetické úspory </w:t>
      </w:r>
      <w:r w:rsidRPr="0003094C">
        <w:rPr>
          <w:rFonts w:cstheme="minorHAnsi"/>
        </w:rPr>
        <w:t>Krajský úřad EPC I</w:t>
      </w:r>
      <w:r>
        <w:rPr>
          <w:rFonts w:cstheme="minorHAnsi"/>
        </w:rPr>
        <w:t xml:space="preserve"> (</w:t>
      </w:r>
      <w:r w:rsidRPr="00957F76">
        <w:rPr>
          <w:rFonts w:cstheme="minorHAnsi"/>
        </w:rPr>
        <w:t>zapojeno do zůstatku hospodaření SK z </w:t>
      </w:r>
      <w:r>
        <w:rPr>
          <w:rFonts w:cstheme="minorHAnsi"/>
        </w:rPr>
        <w:t xml:space="preserve">r. 2020 schváleného usnesením </w:t>
      </w:r>
      <w:r>
        <w:rPr>
          <w:rFonts w:cstheme="minorHAnsi"/>
        </w:rPr>
        <w:br/>
      </w:r>
      <w:r w:rsidRPr="00957F76">
        <w:rPr>
          <w:rFonts w:cstheme="minorHAnsi"/>
        </w:rPr>
        <w:t>č. 007-06/2021/ZK ze dne 26. 04. 2021)</w:t>
      </w:r>
      <w:r w:rsidRPr="0003094C">
        <w:rPr>
          <w:rFonts w:cstheme="minorHAnsi"/>
        </w:rPr>
        <w:t xml:space="preserve">. Rozpočet byl navýšen usnesením č. 044-14/2021/RK ze dne 25. 3. 2021 (převodem finančních prostředků z kapitoly 23 - Ostatní, </w:t>
      </w:r>
      <w:r>
        <w:rPr>
          <w:rFonts w:cstheme="minorHAnsi"/>
        </w:rPr>
        <w:t>p</w:t>
      </w:r>
      <w:r w:rsidRPr="0003094C">
        <w:rPr>
          <w:rFonts w:cstheme="minorHAnsi"/>
        </w:rPr>
        <w:t>rostředků na předfinancování a kofinancování projektů EU/EHP a ostatních souvisejících vý</w:t>
      </w:r>
      <w:r>
        <w:rPr>
          <w:rFonts w:cstheme="minorHAnsi"/>
        </w:rPr>
        <w:t>dajů s projekty EU/EHP)</w:t>
      </w:r>
      <w:r w:rsidRPr="0003094C">
        <w:rPr>
          <w:rFonts w:cstheme="minorHAnsi"/>
        </w:rPr>
        <w:t xml:space="preserve"> o částku 254 100,00 Kč k zajištění výkonu činnosti technického dozoru stavebníka a koordinátora BOZP. </w:t>
      </w:r>
      <w:r w:rsidRPr="00942C5D">
        <w:rPr>
          <w:rFonts w:cstheme="minorHAnsi"/>
        </w:rPr>
        <w:t>V II. pololetí</w:t>
      </w:r>
      <w:r w:rsidRPr="006472EC">
        <w:rPr>
          <w:rFonts w:cstheme="minorHAnsi"/>
        </w:rPr>
        <w:t xml:space="preserve"> </w:t>
      </w:r>
      <w:r>
        <w:rPr>
          <w:rFonts w:cstheme="minorHAnsi"/>
        </w:rPr>
        <w:t>r.</w:t>
      </w:r>
      <w:r w:rsidRPr="006472EC">
        <w:rPr>
          <w:rFonts w:cstheme="minorHAnsi"/>
        </w:rPr>
        <w:t xml:space="preserve"> 2021 byl rozpočet projektu navýšen usnesením č. 006-43/2021/RK ze dne 18.11.2021 (převod finančních prostředků z </w:t>
      </w:r>
      <w:r>
        <w:rPr>
          <w:rFonts w:cstheme="minorHAnsi"/>
        </w:rPr>
        <w:t>kapitoly</w:t>
      </w:r>
      <w:r w:rsidRPr="006472EC">
        <w:rPr>
          <w:rFonts w:cstheme="minorHAnsi"/>
        </w:rPr>
        <w:t xml:space="preserve"> 23 – Ostatní</w:t>
      </w:r>
      <w:r>
        <w:rPr>
          <w:rFonts w:cstheme="minorHAnsi"/>
        </w:rPr>
        <w:t>, z</w:t>
      </w:r>
      <w:r w:rsidRPr="006472EC">
        <w:rPr>
          <w:rFonts w:cstheme="minorHAnsi"/>
        </w:rPr>
        <w:t xml:space="preserve"> prostředků na předfinancování a kofinancování projektů EU/EHP a ostatních souvisejících výdajů s projekty EU/EHP a ostatních souvisejících výdajů s projekty EU/EHP do </w:t>
      </w:r>
      <w:r>
        <w:rPr>
          <w:rFonts w:cstheme="minorHAnsi"/>
        </w:rPr>
        <w:t>kapitoly</w:t>
      </w:r>
      <w:r w:rsidRPr="006472EC">
        <w:rPr>
          <w:rFonts w:cstheme="minorHAnsi"/>
        </w:rPr>
        <w:t xml:space="preserve"> </w:t>
      </w:r>
      <w:r>
        <w:rPr>
          <w:rFonts w:cstheme="minorHAnsi"/>
        </w:rPr>
        <w:t>09 – Evropská integrace – EPC</w:t>
      </w:r>
      <w:r w:rsidRPr="006472EC">
        <w:rPr>
          <w:rFonts w:cstheme="minorHAnsi"/>
        </w:rPr>
        <w:t xml:space="preserve"> I) o částku 2 420,</w:t>
      </w:r>
      <w:r>
        <w:rPr>
          <w:rFonts w:cstheme="minorHAnsi"/>
        </w:rPr>
        <w:t>00</w:t>
      </w:r>
      <w:r w:rsidRPr="006472EC">
        <w:rPr>
          <w:rFonts w:cstheme="minorHAnsi"/>
        </w:rPr>
        <w:t xml:space="preserve"> Kč k zajištění povinné publicity projektu. Dále byl rozpočet navýšen usnesením č. 021-42/2021/RK ze dne 11.11.2021 (převod finančních prostředků z </w:t>
      </w:r>
      <w:r>
        <w:rPr>
          <w:rFonts w:cstheme="minorHAnsi"/>
        </w:rPr>
        <w:t>kapitoly</w:t>
      </w:r>
      <w:r w:rsidRPr="006472EC">
        <w:rPr>
          <w:rFonts w:cstheme="minorHAnsi"/>
        </w:rPr>
        <w:t xml:space="preserve"> 23 – Ostatní, do </w:t>
      </w:r>
      <w:r>
        <w:rPr>
          <w:rFonts w:cstheme="minorHAnsi"/>
        </w:rPr>
        <w:t>kapitoly</w:t>
      </w:r>
      <w:r w:rsidRPr="006472EC">
        <w:rPr>
          <w:rFonts w:cstheme="minorHAnsi"/>
        </w:rPr>
        <w:t xml:space="preserve"> </w:t>
      </w:r>
      <w:r>
        <w:rPr>
          <w:rFonts w:cstheme="minorHAnsi"/>
        </w:rPr>
        <w:t>09 – Evropská integrace – EPC I</w:t>
      </w:r>
      <w:r w:rsidRPr="006472EC">
        <w:rPr>
          <w:rFonts w:cstheme="minorHAnsi"/>
        </w:rPr>
        <w:t>) o částku 30 000,</w:t>
      </w:r>
      <w:r>
        <w:rPr>
          <w:rFonts w:cstheme="minorHAnsi"/>
        </w:rPr>
        <w:t>00</w:t>
      </w:r>
      <w:r w:rsidRPr="006472EC">
        <w:rPr>
          <w:rFonts w:cstheme="minorHAnsi"/>
        </w:rPr>
        <w:t xml:space="preserve"> Kč na správní poplatek ÚOHS. V </w:t>
      </w:r>
      <w:r>
        <w:rPr>
          <w:rFonts w:cstheme="minorHAnsi"/>
        </w:rPr>
        <w:t>r.</w:t>
      </w:r>
      <w:r w:rsidRPr="006472EC">
        <w:rPr>
          <w:rFonts w:cstheme="minorHAnsi"/>
        </w:rPr>
        <w:t xml:space="preserve"> 2021 došlo k čerpání částky 223 600,</w:t>
      </w:r>
      <w:r>
        <w:rPr>
          <w:rFonts w:cstheme="minorHAnsi"/>
        </w:rPr>
        <w:t>00</w:t>
      </w:r>
      <w:r w:rsidRPr="006472EC">
        <w:rPr>
          <w:rFonts w:cstheme="minorHAnsi"/>
        </w:rPr>
        <w:t xml:space="preserve"> Kč, z níž bylo 193 600,</w:t>
      </w:r>
      <w:r>
        <w:rPr>
          <w:rFonts w:cstheme="minorHAnsi"/>
        </w:rPr>
        <w:t>00</w:t>
      </w:r>
      <w:r w:rsidRPr="006472EC">
        <w:rPr>
          <w:rFonts w:cstheme="minorHAnsi"/>
        </w:rPr>
        <w:t xml:space="preserve"> Kč zaplacena za plnění smlouvy na konzultační služby při výběru poskytovatele energetických služeb EPC I a 30 000,</w:t>
      </w:r>
      <w:r>
        <w:rPr>
          <w:rFonts w:cstheme="minorHAnsi"/>
        </w:rPr>
        <w:t>00</w:t>
      </w:r>
      <w:r w:rsidRPr="006472EC">
        <w:rPr>
          <w:rFonts w:cstheme="minorHAnsi"/>
        </w:rPr>
        <w:t xml:space="preserve"> Kč za správní poplatek ÚOHS. Čerpání v </w:t>
      </w:r>
      <w:r>
        <w:rPr>
          <w:rFonts w:cstheme="minorHAnsi"/>
        </w:rPr>
        <w:t>r.</w:t>
      </w:r>
      <w:r w:rsidRPr="006472EC">
        <w:rPr>
          <w:rFonts w:cstheme="minorHAnsi"/>
        </w:rPr>
        <w:t xml:space="preserve"> 2021 </w:t>
      </w:r>
      <w:r>
        <w:rPr>
          <w:rFonts w:cstheme="minorHAnsi"/>
        </w:rPr>
        <w:t>ve výši</w:t>
      </w:r>
      <w:r w:rsidRPr="006472EC">
        <w:rPr>
          <w:rFonts w:cstheme="minorHAnsi"/>
        </w:rPr>
        <w:t xml:space="preserve"> 39,9 %. </w:t>
      </w:r>
      <w:r>
        <w:t>Projekt bude ukončen 31.8.2023.</w:t>
      </w:r>
    </w:p>
    <w:p w14:paraId="38384137" w14:textId="77777777" w:rsidR="0072554E" w:rsidRPr="0003094C" w:rsidRDefault="0072554E" w:rsidP="0072554E">
      <w:pPr>
        <w:spacing w:after="0" w:line="240" w:lineRule="auto"/>
        <w:jc w:val="both"/>
        <w:rPr>
          <w:rFonts w:cstheme="minorHAnsi"/>
        </w:rPr>
      </w:pPr>
    </w:p>
    <w:p w14:paraId="612AB1AC" w14:textId="77777777" w:rsidR="0072554E" w:rsidRPr="0003094C" w:rsidRDefault="0072554E" w:rsidP="0072554E">
      <w:pPr>
        <w:spacing w:after="0" w:line="240" w:lineRule="auto"/>
        <w:jc w:val="both"/>
        <w:rPr>
          <w:rFonts w:cstheme="minorHAnsi"/>
          <w:b/>
        </w:rPr>
      </w:pPr>
      <w:r w:rsidRPr="0003094C">
        <w:rPr>
          <w:rFonts w:cstheme="minorHAnsi"/>
          <w:b/>
        </w:rPr>
        <w:t>§ 2115 – Energetické úspory se</w:t>
      </w:r>
      <w:r>
        <w:rPr>
          <w:rFonts w:cstheme="minorHAnsi"/>
          <w:b/>
        </w:rPr>
        <w:t xml:space="preserve"> zaručeným výsledkem pro SK II</w:t>
      </w:r>
    </w:p>
    <w:p w14:paraId="7009B291" w14:textId="77777777" w:rsidR="00C1054D" w:rsidRDefault="0072554E" w:rsidP="0072554E">
      <w:pPr>
        <w:spacing w:after="0" w:line="240" w:lineRule="auto"/>
        <w:jc w:val="both"/>
        <w:rPr>
          <w:rFonts w:cstheme="minorHAnsi"/>
        </w:rPr>
      </w:pPr>
      <w:r w:rsidRPr="0003094C">
        <w:rPr>
          <w:rFonts w:cstheme="minorHAnsi"/>
        </w:rPr>
        <w:t xml:space="preserve">Upravený rozpočet je tvořen nevyčerpanými účelovými </w:t>
      </w:r>
      <w:r>
        <w:rPr>
          <w:rFonts w:cstheme="minorHAnsi"/>
        </w:rPr>
        <w:t xml:space="preserve">finančními </w:t>
      </w:r>
      <w:r w:rsidRPr="0003094C">
        <w:rPr>
          <w:rFonts w:cstheme="minorHAnsi"/>
        </w:rPr>
        <w:t>prost</w:t>
      </w:r>
      <w:r>
        <w:rPr>
          <w:rFonts w:cstheme="minorHAnsi"/>
        </w:rPr>
        <w:t xml:space="preserve">ředky z r. 2020 </w:t>
      </w:r>
      <w:r w:rsidRPr="0003094C">
        <w:rPr>
          <w:rFonts w:cstheme="minorHAnsi"/>
        </w:rPr>
        <w:t xml:space="preserve">ve výši 307 837,94 Kč, které byly převedeny </w:t>
      </w:r>
      <w:r>
        <w:rPr>
          <w:rFonts w:cstheme="minorHAnsi"/>
        </w:rPr>
        <w:t xml:space="preserve">do rozpočtu r. 2021 </w:t>
      </w:r>
      <w:r w:rsidRPr="0003094C">
        <w:rPr>
          <w:rFonts w:cstheme="minorHAnsi"/>
        </w:rPr>
        <w:t>usnesením č. 042</w:t>
      </w:r>
      <w:r>
        <w:rPr>
          <w:rFonts w:cstheme="minorHAnsi"/>
        </w:rPr>
        <w:t>-14/2021/RK ze dne 25. 3. 2021 na projekty</w:t>
      </w:r>
      <w:r w:rsidRPr="0003094C">
        <w:rPr>
          <w:rFonts w:cstheme="minorHAnsi"/>
        </w:rPr>
        <w:t xml:space="preserve"> na energetické úspory se zaručeným výsledkem pro SK II</w:t>
      </w:r>
      <w:r>
        <w:rPr>
          <w:rFonts w:cstheme="minorHAnsi"/>
        </w:rPr>
        <w:t xml:space="preserve"> (</w:t>
      </w:r>
      <w:r w:rsidRPr="00957F76">
        <w:rPr>
          <w:rFonts w:cstheme="minorHAnsi"/>
        </w:rPr>
        <w:t>zapojeno do zůstatku hospodaření SK z </w:t>
      </w:r>
      <w:r>
        <w:rPr>
          <w:rFonts w:cstheme="minorHAnsi"/>
        </w:rPr>
        <w:t xml:space="preserve">r. 2020 schváleného usnesením </w:t>
      </w:r>
      <w:r>
        <w:rPr>
          <w:rFonts w:cstheme="minorHAnsi"/>
        </w:rPr>
        <w:br/>
      </w:r>
      <w:r w:rsidRPr="00957F76">
        <w:rPr>
          <w:rFonts w:cstheme="minorHAnsi"/>
        </w:rPr>
        <w:t>č. 007-06/2021/ZK ze dne 26. 04. 2021)</w:t>
      </w:r>
      <w:r w:rsidRPr="0003094C">
        <w:rPr>
          <w:rFonts w:cstheme="minorHAnsi"/>
        </w:rPr>
        <w:t>. Rozpočet byl navýšen usnesením č. 044-14/2021/RK ze dne 25. 3. 2021 (převodem finančních prostředků z kapitoly 23 - Ostatní, z prostředků na předfinancování a kofinancování projektů EU/EHP a ostatních souvisejících výdajů s </w:t>
      </w:r>
      <w:r>
        <w:rPr>
          <w:rFonts w:cstheme="minorHAnsi"/>
        </w:rPr>
        <w:t>projekty EU/EHP)</w:t>
      </w:r>
      <w:r w:rsidRPr="0003094C">
        <w:rPr>
          <w:rFonts w:cstheme="minorHAnsi"/>
        </w:rPr>
        <w:t xml:space="preserve"> o částku 2 300 000,00 Kč. Finanční prostředky jsou určeny k zajištění realizace dílčích plnění Rámc</w:t>
      </w:r>
      <w:r>
        <w:rPr>
          <w:rFonts w:cstheme="minorHAnsi"/>
        </w:rPr>
        <w:t>ové dohody S-8237/ŘDP/2020 - z</w:t>
      </w:r>
      <w:r w:rsidRPr="0003094C">
        <w:rPr>
          <w:rFonts w:cstheme="minorHAnsi"/>
        </w:rPr>
        <w:t>pracování vstupní analýzy využití dotací</w:t>
      </w:r>
      <w:r>
        <w:rPr>
          <w:rFonts w:cstheme="minorHAnsi"/>
        </w:rPr>
        <w:t xml:space="preserve"> OPŽP s využitím metody EPC a o</w:t>
      </w:r>
      <w:r w:rsidRPr="0003094C">
        <w:rPr>
          <w:rFonts w:cstheme="minorHAnsi"/>
        </w:rPr>
        <w:t>věření analýzy a zpracování podkladů pro podání žádostí o podporu v </w:t>
      </w:r>
      <w:r>
        <w:rPr>
          <w:rFonts w:cstheme="minorHAnsi"/>
        </w:rPr>
        <w:t>r.</w:t>
      </w:r>
      <w:r w:rsidRPr="0003094C">
        <w:rPr>
          <w:rFonts w:cstheme="minorHAnsi"/>
        </w:rPr>
        <w:t xml:space="preserve"> 2021</w:t>
      </w:r>
      <w:r w:rsidRPr="00942C5D">
        <w:rPr>
          <w:rFonts w:cstheme="minorHAnsi"/>
        </w:rPr>
        <w:t xml:space="preserve">.  </w:t>
      </w:r>
    </w:p>
    <w:p w14:paraId="3DEEF365" w14:textId="00C3BBD6" w:rsidR="0072554E" w:rsidRPr="0003094C" w:rsidRDefault="0072554E" w:rsidP="0072554E">
      <w:pPr>
        <w:spacing w:after="0" w:line="240" w:lineRule="auto"/>
        <w:jc w:val="both"/>
        <w:rPr>
          <w:rFonts w:cstheme="minorHAnsi"/>
        </w:rPr>
      </w:pPr>
      <w:r w:rsidRPr="00942C5D">
        <w:rPr>
          <w:rFonts w:cstheme="minorHAnsi"/>
        </w:rPr>
        <w:t>V r. 2021 bylo čerpáno 365 920,16 Kč za poradenské a konzultační služby v rámci přípravy projektů na energetické</w:t>
      </w:r>
      <w:r w:rsidRPr="006472EC">
        <w:rPr>
          <w:rFonts w:cstheme="minorHAnsi"/>
        </w:rPr>
        <w:t xml:space="preserve"> úspory se zaručeným výsledkem II ve výši 74 939,36 Kč a na zajištění realizace dílčího plnění Rámcové dohody S-8237/ŘDP/2020 - část A) zpracování vstupní analýzy využití dotací OPŽP s využitím metody EPC ve výši 290 980,80 Kč, což představuje plnění rozpočtu 14</w:t>
      </w:r>
      <w:r>
        <w:rPr>
          <w:rFonts w:cstheme="minorHAnsi"/>
        </w:rPr>
        <w:t>,0</w:t>
      </w:r>
      <w:r w:rsidRPr="006472EC">
        <w:rPr>
          <w:rFonts w:cstheme="minorHAnsi"/>
        </w:rPr>
        <w:t xml:space="preserve"> %. </w:t>
      </w:r>
      <w:r w:rsidRPr="00942C5D">
        <w:rPr>
          <w:rFonts w:cstheme="minorHAnsi"/>
        </w:rPr>
        <w:t xml:space="preserve">Nevyčerpané finanční prostředky budou převedeny do rozpočtu r. 2022 </w:t>
      </w:r>
      <w:r w:rsidRPr="008A2FBA">
        <w:rPr>
          <w:rFonts w:cstheme="minorHAnsi"/>
        </w:rPr>
        <w:t>a čerpány v průběhu r. 2022 a 2023.</w:t>
      </w:r>
    </w:p>
    <w:p w14:paraId="12FC305A" w14:textId="77777777" w:rsidR="0072554E" w:rsidRDefault="0072554E" w:rsidP="0072554E">
      <w:pPr>
        <w:spacing w:after="0" w:line="240" w:lineRule="auto"/>
        <w:jc w:val="both"/>
        <w:rPr>
          <w:rFonts w:cstheme="minorHAnsi"/>
          <w:b/>
        </w:rPr>
      </w:pPr>
    </w:p>
    <w:p w14:paraId="6FD7AB2F" w14:textId="77777777" w:rsidR="0072554E" w:rsidRPr="0003094C" w:rsidRDefault="0072554E" w:rsidP="0072554E">
      <w:pPr>
        <w:spacing w:after="0" w:line="240" w:lineRule="auto"/>
        <w:jc w:val="both"/>
        <w:rPr>
          <w:rFonts w:cstheme="minorHAnsi"/>
          <w:b/>
        </w:rPr>
      </w:pPr>
      <w:r>
        <w:rPr>
          <w:rFonts w:cstheme="minorHAnsi"/>
          <w:b/>
        </w:rPr>
        <w:lastRenderedPageBreak/>
        <w:t>§ 2510 – Smart Akcelerátor II</w:t>
      </w:r>
    </w:p>
    <w:p w14:paraId="3FCF16A5" w14:textId="2FDF6C35" w:rsidR="0072554E" w:rsidRPr="00792ECC" w:rsidRDefault="0072554E" w:rsidP="0072554E">
      <w:pPr>
        <w:spacing w:after="0" w:line="240" w:lineRule="auto"/>
        <w:jc w:val="both"/>
        <w:rPr>
          <w:rFonts w:cstheme="minorHAnsi"/>
        </w:rPr>
      </w:pPr>
      <w:r w:rsidRPr="00792ECC">
        <w:rPr>
          <w:rFonts w:cstheme="minorHAnsi"/>
        </w:rPr>
        <w:t xml:space="preserve">Rozpočet byl upraven usnesením č. 006-17/2021/RK ze dne 15. 4. 2021 - Rozpočtová úprava č. 174/08/2021 – převod finančních prostředků z kapitoly 08 – Regionální rozvoj do kapitoly </w:t>
      </w:r>
      <w:r>
        <w:rPr>
          <w:rFonts w:cstheme="minorHAnsi"/>
        </w:rPr>
        <w:t xml:space="preserve">09 – Evropská integrace </w:t>
      </w:r>
      <w:r w:rsidRPr="00792ECC">
        <w:rPr>
          <w:rFonts w:cstheme="minorHAnsi"/>
        </w:rPr>
        <w:t xml:space="preserve">na částku 4 940 568,38 Kč. Jedná se o převod finančních prostředků z Odboru regionálního rozvoje do kapitoly </w:t>
      </w:r>
      <w:r>
        <w:rPr>
          <w:rFonts w:cstheme="minorHAnsi"/>
        </w:rPr>
        <w:t xml:space="preserve">09 </w:t>
      </w:r>
      <w:r w:rsidRPr="00792ECC">
        <w:rPr>
          <w:rFonts w:cstheme="minorHAnsi"/>
        </w:rPr>
        <w:t>- Evropská integrace, z důvodu převodu agendy z Odboru regionálního rozvoje do Odboru řízení dotačních projektů, na základě Opatření ředitele Krajského úřadu Středočeského kraje č. 3/2021, kterým se mění Organizační řád Krajského úřadu Středočeského kraje s účinností dne 1. 4. 2021.</w:t>
      </w:r>
      <w:r>
        <w:rPr>
          <w:rFonts w:cstheme="minorHAnsi"/>
        </w:rPr>
        <w:t xml:space="preserve"> </w:t>
      </w:r>
      <w:r w:rsidRPr="00792ECC">
        <w:rPr>
          <w:rFonts w:cstheme="minorHAnsi"/>
        </w:rPr>
        <w:t xml:space="preserve">Finanční prostředky ve výši 5,6 % byly čerpány na úhradu mezd zaměstnanců v rámci projektu Smart Akcelerátor II ve Středočeském kraji. </w:t>
      </w:r>
      <w:r w:rsidRPr="00F301F7">
        <w:rPr>
          <w:rFonts w:cstheme="minorHAnsi"/>
        </w:rPr>
        <w:t>Nevyčerpané finanční prostředky budou čerpány v průběhu r</w:t>
      </w:r>
      <w:r w:rsidR="00C1054D">
        <w:rPr>
          <w:rFonts w:cstheme="minorHAnsi"/>
        </w:rPr>
        <w:t>oku</w:t>
      </w:r>
      <w:r w:rsidRPr="00F301F7">
        <w:rPr>
          <w:rFonts w:cstheme="minorHAnsi"/>
        </w:rPr>
        <w:t xml:space="preserve"> 2022</w:t>
      </w:r>
      <w:r>
        <w:rPr>
          <w:rFonts w:cstheme="minorHAnsi"/>
        </w:rPr>
        <w:t>.</w:t>
      </w:r>
    </w:p>
    <w:p w14:paraId="06A4996D" w14:textId="77777777" w:rsidR="0072554E" w:rsidRPr="0003094C" w:rsidRDefault="0072554E" w:rsidP="0072554E">
      <w:pPr>
        <w:spacing w:after="0" w:line="240" w:lineRule="auto"/>
        <w:jc w:val="both"/>
        <w:rPr>
          <w:rFonts w:cstheme="minorHAnsi"/>
        </w:rPr>
      </w:pPr>
    </w:p>
    <w:p w14:paraId="739EAA22" w14:textId="77777777" w:rsidR="0072554E" w:rsidRPr="0003094C" w:rsidRDefault="0072554E" w:rsidP="0072554E">
      <w:pPr>
        <w:spacing w:after="0" w:line="240" w:lineRule="auto"/>
        <w:jc w:val="both"/>
        <w:rPr>
          <w:rFonts w:cstheme="minorHAnsi"/>
          <w:b/>
          <w:u w:val="single"/>
        </w:rPr>
      </w:pPr>
    </w:p>
    <w:p w14:paraId="28F1DBC1" w14:textId="77777777" w:rsidR="0072554E" w:rsidRPr="0003094C" w:rsidRDefault="0072554E" w:rsidP="0072554E">
      <w:pPr>
        <w:spacing w:after="0" w:line="240" w:lineRule="auto"/>
        <w:jc w:val="both"/>
        <w:rPr>
          <w:rFonts w:cstheme="minorHAnsi"/>
          <w:b/>
          <w:sz w:val="24"/>
          <w:szCs w:val="24"/>
          <w:u w:val="single"/>
        </w:rPr>
      </w:pPr>
      <w:r w:rsidRPr="0003094C">
        <w:rPr>
          <w:rFonts w:cstheme="minorHAnsi"/>
          <w:b/>
          <w:sz w:val="24"/>
          <w:szCs w:val="24"/>
          <w:u w:val="single"/>
        </w:rPr>
        <w:t>Předfinancování a kofinancování projektů spolufinancovaných z národních zdrojů a ostatní související výdaje s projekty z národních zdrojů</w:t>
      </w:r>
    </w:p>
    <w:p w14:paraId="61884943" w14:textId="77777777" w:rsidR="0072554E" w:rsidRDefault="0072554E" w:rsidP="0072554E">
      <w:pPr>
        <w:spacing w:after="0" w:line="240" w:lineRule="auto"/>
        <w:jc w:val="both"/>
        <w:rPr>
          <w:rFonts w:cstheme="minorHAnsi"/>
          <w:b/>
          <w:u w:val="single"/>
        </w:rPr>
      </w:pPr>
    </w:p>
    <w:p w14:paraId="446F7A7D" w14:textId="77777777" w:rsidR="0072554E" w:rsidRDefault="0072554E" w:rsidP="0072554E">
      <w:pPr>
        <w:spacing w:after="0" w:line="240" w:lineRule="auto"/>
        <w:jc w:val="both"/>
        <w:rPr>
          <w:rFonts w:cstheme="minorHAnsi"/>
          <w:b/>
          <w:u w:val="single"/>
        </w:rPr>
      </w:pPr>
    </w:p>
    <w:p w14:paraId="03BADD83" w14:textId="77777777" w:rsidR="0072554E" w:rsidRPr="0003094C" w:rsidRDefault="0072554E" w:rsidP="0072554E">
      <w:pPr>
        <w:spacing w:after="0" w:line="240" w:lineRule="auto"/>
        <w:jc w:val="both"/>
        <w:rPr>
          <w:rFonts w:cstheme="minorHAnsi"/>
          <w:b/>
        </w:rPr>
      </w:pPr>
      <w:r w:rsidRPr="0003094C">
        <w:rPr>
          <w:rFonts w:cstheme="minorHAnsi"/>
          <w:b/>
        </w:rPr>
        <w:t xml:space="preserve">§ 2115 – EPC III </w:t>
      </w:r>
      <w:r>
        <w:rPr>
          <w:rFonts w:cstheme="minorHAnsi"/>
          <w:b/>
        </w:rPr>
        <w:t>– Analýza</w:t>
      </w:r>
      <w:r w:rsidRPr="0003094C">
        <w:rPr>
          <w:rFonts w:cstheme="minorHAnsi"/>
          <w:b/>
        </w:rPr>
        <w:t xml:space="preserve"> I stavu a potenciálu energetický</w:t>
      </w:r>
      <w:r>
        <w:rPr>
          <w:rFonts w:cstheme="minorHAnsi"/>
          <w:b/>
        </w:rPr>
        <w:t>ch úspor SK I</w:t>
      </w:r>
    </w:p>
    <w:p w14:paraId="32D0A4BC" w14:textId="29470D04" w:rsidR="0072554E" w:rsidRPr="0003094C" w:rsidRDefault="0072554E" w:rsidP="0072554E">
      <w:pPr>
        <w:spacing w:after="0" w:line="240" w:lineRule="auto"/>
        <w:jc w:val="both"/>
        <w:rPr>
          <w:rFonts w:cstheme="minorHAnsi"/>
        </w:rPr>
      </w:pPr>
      <w:r w:rsidRPr="0003094C">
        <w:rPr>
          <w:rFonts w:cstheme="minorHAnsi"/>
        </w:rPr>
        <w:t xml:space="preserve">Rozpočet byl upraven </w:t>
      </w:r>
      <w:r>
        <w:rPr>
          <w:rFonts w:cstheme="minorHAnsi"/>
        </w:rPr>
        <w:t xml:space="preserve">usnesením č. </w:t>
      </w:r>
      <w:r w:rsidRPr="006D02A8">
        <w:rPr>
          <w:rFonts w:cstheme="minorHAnsi"/>
        </w:rPr>
        <w:t>021-42/2021/RK ze dne 11.</w:t>
      </w:r>
      <w:r w:rsidR="00704F23">
        <w:rPr>
          <w:rFonts w:cstheme="minorHAnsi"/>
        </w:rPr>
        <w:t xml:space="preserve"> </w:t>
      </w:r>
      <w:r w:rsidRPr="006D02A8">
        <w:rPr>
          <w:rFonts w:cstheme="minorHAnsi"/>
        </w:rPr>
        <w:t>11.</w:t>
      </w:r>
      <w:r w:rsidR="00704F23">
        <w:rPr>
          <w:rFonts w:cstheme="minorHAnsi"/>
        </w:rPr>
        <w:t xml:space="preserve"> </w:t>
      </w:r>
      <w:r w:rsidRPr="006D02A8">
        <w:rPr>
          <w:rFonts w:cstheme="minorHAnsi"/>
        </w:rPr>
        <w:t>2021</w:t>
      </w:r>
      <w:r>
        <w:rPr>
          <w:rFonts w:cstheme="minorHAnsi"/>
        </w:rPr>
        <w:t xml:space="preserve"> </w:t>
      </w:r>
      <w:r w:rsidRPr="006D02A8">
        <w:rPr>
          <w:rFonts w:cstheme="minorHAnsi"/>
        </w:rPr>
        <w:t>o 92 442,19 Kč a usnesením č. 017-45/2021/RK ze dne 2.</w:t>
      </w:r>
      <w:r w:rsidR="00704F23">
        <w:rPr>
          <w:rFonts w:cstheme="minorHAnsi"/>
        </w:rPr>
        <w:t xml:space="preserve"> </w:t>
      </w:r>
      <w:r w:rsidRPr="006D02A8">
        <w:rPr>
          <w:rFonts w:cstheme="minorHAnsi"/>
        </w:rPr>
        <w:t>12.</w:t>
      </w:r>
      <w:r w:rsidR="00704F23">
        <w:rPr>
          <w:rFonts w:cstheme="minorHAnsi"/>
        </w:rPr>
        <w:t xml:space="preserve"> </w:t>
      </w:r>
      <w:r w:rsidRPr="006D02A8">
        <w:rPr>
          <w:rFonts w:cstheme="minorHAnsi"/>
        </w:rPr>
        <w:t>2021 o 55 466,37 Kč. K úhradě kofinancování předmětu plnění (zajištění analýz stavu a potenciálu energetických úspor ke zjištění vhodnosti realizace energeticky úsporného projektu/projektů prostřednictvím metody EPC pro soubor budov uvedených v části 1) přílohy č. 1 smlouvy č. S-80</w:t>
      </w:r>
      <w:r>
        <w:rPr>
          <w:rFonts w:cstheme="minorHAnsi"/>
        </w:rPr>
        <w:t>09</w:t>
      </w:r>
      <w:r w:rsidRPr="006D02A8">
        <w:rPr>
          <w:rFonts w:cstheme="minorHAnsi"/>
        </w:rPr>
        <w:t xml:space="preserve">/ŘDP/2020) ve výši 55 466,37 došlo ve II. polovině </w:t>
      </w:r>
      <w:r>
        <w:rPr>
          <w:rFonts w:cstheme="minorHAnsi"/>
        </w:rPr>
        <w:t>r.</w:t>
      </w:r>
      <w:r w:rsidRPr="006D02A8">
        <w:rPr>
          <w:rFonts w:cstheme="minorHAnsi"/>
        </w:rPr>
        <w:t xml:space="preserve"> 2021, </w:t>
      </w:r>
      <w:r>
        <w:rPr>
          <w:rFonts w:cstheme="minorHAnsi"/>
        </w:rPr>
        <w:t xml:space="preserve">čerpání rozpočtu 37,5 %.  </w:t>
      </w:r>
    </w:p>
    <w:p w14:paraId="094C9857" w14:textId="77777777" w:rsidR="0072554E" w:rsidRPr="0003094C" w:rsidRDefault="0072554E" w:rsidP="0072554E">
      <w:pPr>
        <w:spacing w:after="0" w:line="240" w:lineRule="auto"/>
        <w:jc w:val="both"/>
        <w:rPr>
          <w:rFonts w:cstheme="minorHAnsi"/>
        </w:rPr>
      </w:pPr>
    </w:p>
    <w:p w14:paraId="5A7D057D" w14:textId="77777777" w:rsidR="0072554E" w:rsidRPr="0003094C" w:rsidRDefault="0072554E" w:rsidP="0072554E">
      <w:pPr>
        <w:spacing w:after="0" w:line="240" w:lineRule="auto"/>
        <w:jc w:val="both"/>
        <w:rPr>
          <w:rFonts w:cstheme="minorHAnsi"/>
          <w:b/>
        </w:rPr>
      </w:pPr>
      <w:r w:rsidRPr="0003094C">
        <w:rPr>
          <w:rFonts w:cstheme="minorHAnsi"/>
          <w:b/>
        </w:rPr>
        <w:t xml:space="preserve">§ 2115 – EPC III </w:t>
      </w:r>
      <w:r>
        <w:rPr>
          <w:rFonts w:cstheme="minorHAnsi"/>
          <w:b/>
        </w:rPr>
        <w:t>– Analýza</w:t>
      </w:r>
      <w:r w:rsidRPr="0003094C">
        <w:rPr>
          <w:rFonts w:cstheme="minorHAnsi"/>
          <w:b/>
        </w:rPr>
        <w:t xml:space="preserve"> II potenciálu ener</w:t>
      </w:r>
      <w:r>
        <w:rPr>
          <w:rFonts w:cstheme="minorHAnsi"/>
          <w:b/>
        </w:rPr>
        <w:t>getických úspor SK II</w:t>
      </w:r>
    </w:p>
    <w:p w14:paraId="09487BFB" w14:textId="25CB0B2D" w:rsidR="0072554E" w:rsidRPr="0003094C" w:rsidRDefault="0072554E" w:rsidP="0072554E">
      <w:pPr>
        <w:spacing w:after="0" w:line="240" w:lineRule="auto"/>
        <w:jc w:val="both"/>
        <w:rPr>
          <w:rFonts w:cstheme="minorHAnsi"/>
        </w:rPr>
      </w:pPr>
      <w:r>
        <w:rPr>
          <w:rFonts w:cstheme="minorHAnsi"/>
        </w:rPr>
        <w:t xml:space="preserve">Rozpočet byl upraven </w:t>
      </w:r>
      <w:r w:rsidRPr="006D02A8">
        <w:rPr>
          <w:rFonts w:cstheme="minorHAnsi"/>
        </w:rPr>
        <w:t>Usnesením č. 021-42/2021/RK ze dne 11.</w:t>
      </w:r>
      <w:r w:rsidR="00704F23">
        <w:rPr>
          <w:rFonts w:cstheme="minorHAnsi"/>
        </w:rPr>
        <w:t xml:space="preserve"> </w:t>
      </w:r>
      <w:r w:rsidRPr="006D02A8">
        <w:rPr>
          <w:rFonts w:cstheme="minorHAnsi"/>
        </w:rPr>
        <w:t>11.</w:t>
      </w:r>
      <w:r w:rsidR="00704F23">
        <w:rPr>
          <w:rFonts w:cstheme="minorHAnsi"/>
        </w:rPr>
        <w:t xml:space="preserve"> </w:t>
      </w:r>
      <w:r w:rsidRPr="006D02A8">
        <w:rPr>
          <w:rFonts w:cstheme="minorHAnsi"/>
        </w:rPr>
        <w:t>2021</w:t>
      </w:r>
      <w:r>
        <w:rPr>
          <w:rFonts w:cstheme="minorHAnsi"/>
        </w:rPr>
        <w:t xml:space="preserve"> </w:t>
      </w:r>
      <w:r w:rsidRPr="006D02A8">
        <w:rPr>
          <w:rFonts w:cstheme="minorHAnsi"/>
        </w:rPr>
        <w:t>o 92 442,19 Kč a usnesením č. 017-45/2021/RK ze dne 2.</w:t>
      </w:r>
      <w:r w:rsidR="00704F23">
        <w:rPr>
          <w:rFonts w:cstheme="minorHAnsi"/>
        </w:rPr>
        <w:t xml:space="preserve"> </w:t>
      </w:r>
      <w:r w:rsidRPr="006D02A8">
        <w:rPr>
          <w:rFonts w:cstheme="minorHAnsi"/>
        </w:rPr>
        <w:t>12.</w:t>
      </w:r>
      <w:r w:rsidR="00704F23">
        <w:rPr>
          <w:rFonts w:cstheme="minorHAnsi"/>
        </w:rPr>
        <w:t xml:space="preserve"> </w:t>
      </w:r>
      <w:r w:rsidRPr="006D02A8">
        <w:rPr>
          <w:rFonts w:cstheme="minorHAnsi"/>
        </w:rPr>
        <w:t>2021 o 55 466,37 Kč.</w:t>
      </w:r>
      <w:r>
        <w:rPr>
          <w:rFonts w:cstheme="minorHAnsi"/>
        </w:rPr>
        <w:t xml:space="preserve"> </w:t>
      </w:r>
      <w:r w:rsidRPr="006D02A8">
        <w:rPr>
          <w:rFonts w:cstheme="minorHAnsi"/>
        </w:rPr>
        <w:t>K úhradě kofinancování předmětu plnění (zajištění analýz stavu a potenciálu energetických úspor ke zjištění vhodnosti realizace energeticky úsporného projektu/projektů prostřednictvím metody EPC pro soubor budov uvedených v části 1) přílohy č. 1 smlouvy č. S-80</w:t>
      </w:r>
      <w:r>
        <w:rPr>
          <w:rFonts w:cstheme="minorHAnsi"/>
        </w:rPr>
        <w:t>09/</w:t>
      </w:r>
      <w:r w:rsidRPr="006D02A8">
        <w:rPr>
          <w:rFonts w:cstheme="minorHAnsi"/>
        </w:rPr>
        <w:t xml:space="preserve">ŘDP/2020) ve výši 55 466,37 došlo ve II. polovině </w:t>
      </w:r>
      <w:r>
        <w:rPr>
          <w:rFonts w:cstheme="minorHAnsi"/>
        </w:rPr>
        <w:t>r.</w:t>
      </w:r>
      <w:r w:rsidRPr="006D02A8">
        <w:rPr>
          <w:rFonts w:cstheme="minorHAnsi"/>
        </w:rPr>
        <w:t xml:space="preserve"> 2021, </w:t>
      </w:r>
      <w:r>
        <w:rPr>
          <w:rFonts w:cstheme="minorHAnsi"/>
        </w:rPr>
        <w:t xml:space="preserve">čerpání rozpočtu 37,5 %.  </w:t>
      </w:r>
    </w:p>
    <w:p w14:paraId="3CC9116B" w14:textId="77777777" w:rsidR="0072554E" w:rsidRPr="0003094C" w:rsidRDefault="0072554E" w:rsidP="0072554E">
      <w:pPr>
        <w:spacing w:after="0" w:line="240" w:lineRule="auto"/>
        <w:jc w:val="both"/>
        <w:rPr>
          <w:rFonts w:cstheme="minorHAnsi"/>
        </w:rPr>
      </w:pPr>
    </w:p>
    <w:p w14:paraId="08AE096B" w14:textId="77777777" w:rsidR="0072554E" w:rsidRPr="0003094C" w:rsidRDefault="0072554E" w:rsidP="0072554E">
      <w:pPr>
        <w:spacing w:after="0" w:line="240" w:lineRule="auto"/>
        <w:jc w:val="both"/>
        <w:rPr>
          <w:rFonts w:cstheme="minorHAnsi"/>
          <w:b/>
        </w:rPr>
      </w:pPr>
      <w:r w:rsidRPr="0003094C">
        <w:rPr>
          <w:rFonts w:cstheme="minorHAnsi"/>
          <w:b/>
        </w:rPr>
        <w:t xml:space="preserve">§ 2115 – EPC III </w:t>
      </w:r>
      <w:r>
        <w:rPr>
          <w:rFonts w:cstheme="minorHAnsi"/>
          <w:b/>
        </w:rPr>
        <w:t>– Analýza</w:t>
      </w:r>
      <w:r w:rsidRPr="0003094C">
        <w:rPr>
          <w:rFonts w:cstheme="minorHAnsi"/>
          <w:b/>
        </w:rPr>
        <w:t xml:space="preserve"> IIII potenciálu energ</w:t>
      </w:r>
      <w:r>
        <w:rPr>
          <w:rFonts w:cstheme="minorHAnsi"/>
          <w:b/>
        </w:rPr>
        <w:t>etických úspor SK III</w:t>
      </w:r>
    </w:p>
    <w:p w14:paraId="17AC15A8" w14:textId="79788414" w:rsidR="0072554E" w:rsidRPr="0003094C" w:rsidRDefault="0072554E" w:rsidP="0072554E">
      <w:pPr>
        <w:spacing w:after="0" w:line="240" w:lineRule="auto"/>
        <w:jc w:val="both"/>
        <w:rPr>
          <w:rFonts w:cstheme="minorHAnsi"/>
        </w:rPr>
      </w:pPr>
      <w:r w:rsidRPr="0003094C">
        <w:rPr>
          <w:rFonts w:cstheme="minorHAnsi"/>
        </w:rPr>
        <w:t xml:space="preserve">Rozpočet byl upraven usnesením </w:t>
      </w:r>
      <w:r w:rsidRPr="006D02A8">
        <w:rPr>
          <w:rFonts w:cstheme="minorHAnsi"/>
        </w:rPr>
        <w:t>č. 021-42/2021/RK ze dne 11.11.2021</w:t>
      </w:r>
      <w:r>
        <w:rPr>
          <w:rFonts w:cstheme="minorHAnsi"/>
        </w:rPr>
        <w:t xml:space="preserve"> o</w:t>
      </w:r>
      <w:r w:rsidRPr="006D02A8">
        <w:rPr>
          <w:rFonts w:cstheme="minorHAnsi"/>
        </w:rPr>
        <w:t xml:space="preserve"> </w:t>
      </w:r>
      <w:r>
        <w:rPr>
          <w:rFonts w:cstheme="minorHAnsi"/>
        </w:rPr>
        <w:t>84 038,13</w:t>
      </w:r>
      <w:r w:rsidRPr="006D02A8">
        <w:rPr>
          <w:rFonts w:cstheme="minorHAnsi"/>
        </w:rPr>
        <w:t xml:space="preserve"> Kč a usnesením č. 017-45/2021/RK ze dne 2.12.2021 o 5</w:t>
      </w:r>
      <w:r>
        <w:rPr>
          <w:rFonts w:cstheme="minorHAnsi"/>
        </w:rPr>
        <w:t>0 423,26</w:t>
      </w:r>
      <w:r w:rsidRPr="006D02A8">
        <w:rPr>
          <w:rFonts w:cstheme="minorHAnsi"/>
        </w:rPr>
        <w:t xml:space="preserve"> Kč.</w:t>
      </w:r>
      <w:r>
        <w:rPr>
          <w:rFonts w:cstheme="minorHAnsi"/>
        </w:rPr>
        <w:t xml:space="preserve"> </w:t>
      </w:r>
      <w:r w:rsidRPr="006D02A8">
        <w:rPr>
          <w:rFonts w:cstheme="minorHAnsi"/>
        </w:rPr>
        <w:t>K úhradě kofinancování předmětu plnění (zajištění analýz stavu a potenciálu energetických úspor ke zjištění vhodnosti realizace energeticky úsporného projektu/projektů prostřednictvím metody EPC pro soubor budov uvedených v části 1) přílohy č. 1 smlouvy č. S-80</w:t>
      </w:r>
      <w:r>
        <w:rPr>
          <w:rFonts w:cstheme="minorHAnsi"/>
        </w:rPr>
        <w:t>09</w:t>
      </w:r>
      <w:r w:rsidRPr="006D02A8">
        <w:rPr>
          <w:rFonts w:cstheme="minorHAnsi"/>
        </w:rPr>
        <w:t>/ŘDP/2020) ve výši 5</w:t>
      </w:r>
      <w:r>
        <w:rPr>
          <w:rFonts w:cstheme="minorHAnsi"/>
        </w:rPr>
        <w:t>0 423,26</w:t>
      </w:r>
      <w:r w:rsidRPr="006D02A8">
        <w:rPr>
          <w:rFonts w:cstheme="minorHAnsi"/>
        </w:rPr>
        <w:t xml:space="preserve"> došlo ve II. polovině </w:t>
      </w:r>
      <w:r>
        <w:rPr>
          <w:rFonts w:cstheme="minorHAnsi"/>
        </w:rPr>
        <w:t>r.</w:t>
      </w:r>
      <w:r w:rsidRPr="006D02A8">
        <w:rPr>
          <w:rFonts w:cstheme="minorHAnsi"/>
        </w:rPr>
        <w:t xml:space="preserve"> 2021, </w:t>
      </w:r>
      <w:r>
        <w:rPr>
          <w:rFonts w:cstheme="minorHAnsi"/>
        </w:rPr>
        <w:t xml:space="preserve">čerpání rozpočtu 37,5 </w:t>
      </w:r>
      <w:r w:rsidRPr="00C862DA">
        <w:rPr>
          <w:rFonts w:cstheme="minorHAnsi"/>
        </w:rPr>
        <w:t xml:space="preserve">%.  </w:t>
      </w:r>
    </w:p>
    <w:p w14:paraId="3FC781F5" w14:textId="77777777" w:rsidR="0072554E" w:rsidRDefault="0072554E" w:rsidP="0072554E">
      <w:pPr>
        <w:spacing w:after="0" w:line="240" w:lineRule="auto"/>
        <w:jc w:val="both"/>
        <w:rPr>
          <w:rFonts w:cstheme="minorHAnsi"/>
          <w:b/>
          <w:u w:val="single"/>
        </w:rPr>
      </w:pPr>
    </w:p>
    <w:p w14:paraId="63D1691F" w14:textId="77777777" w:rsidR="0072554E" w:rsidRPr="0003094C" w:rsidRDefault="0072554E" w:rsidP="0072554E">
      <w:pPr>
        <w:spacing w:after="0" w:line="240" w:lineRule="auto"/>
        <w:jc w:val="both"/>
        <w:rPr>
          <w:rFonts w:cstheme="minorHAnsi"/>
          <w:b/>
        </w:rPr>
      </w:pPr>
      <w:r w:rsidRPr="0003094C">
        <w:rPr>
          <w:rFonts w:cstheme="minorHAnsi"/>
          <w:b/>
        </w:rPr>
        <w:t>§ 2115 – Systém hospodaření s energ</w:t>
      </w:r>
      <w:r>
        <w:rPr>
          <w:rFonts w:cstheme="minorHAnsi"/>
          <w:b/>
        </w:rPr>
        <w:t>ií v podobě centrálního energetického</w:t>
      </w:r>
      <w:r w:rsidRPr="0003094C">
        <w:rPr>
          <w:rFonts w:cstheme="minorHAnsi"/>
          <w:b/>
        </w:rPr>
        <w:t xml:space="preserve"> managementu</w:t>
      </w:r>
      <w:r>
        <w:rPr>
          <w:rFonts w:cstheme="minorHAnsi"/>
          <w:b/>
        </w:rPr>
        <w:t xml:space="preserve"> budov a objektů organizací SK</w:t>
      </w:r>
    </w:p>
    <w:p w14:paraId="5C30345B" w14:textId="1F6FDF17" w:rsidR="0072554E" w:rsidRPr="0003094C" w:rsidRDefault="0072554E" w:rsidP="0072554E">
      <w:pPr>
        <w:spacing w:after="0" w:line="240" w:lineRule="auto"/>
        <w:jc w:val="both"/>
        <w:rPr>
          <w:rFonts w:cstheme="minorHAnsi"/>
        </w:rPr>
      </w:pPr>
      <w:r w:rsidRPr="0003094C">
        <w:rPr>
          <w:rFonts w:cstheme="minorHAnsi"/>
        </w:rPr>
        <w:t xml:space="preserve">Rozpočet byl upraven </w:t>
      </w:r>
      <w:r>
        <w:rPr>
          <w:rFonts w:cstheme="minorHAnsi"/>
        </w:rPr>
        <w:t xml:space="preserve">usnesením č. </w:t>
      </w:r>
      <w:r w:rsidRPr="00A02891">
        <w:rPr>
          <w:rFonts w:cstheme="minorHAnsi"/>
        </w:rPr>
        <w:t>017-45/2021/RK ze dne 2.12.2021</w:t>
      </w:r>
      <w:r>
        <w:rPr>
          <w:rFonts w:cstheme="minorHAnsi"/>
        </w:rPr>
        <w:t xml:space="preserve"> o </w:t>
      </w:r>
      <w:r w:rsidRPr="00A02891">
        <w:rPr>
          <w:rFonts w:cstheme="minorHAnsi"/>
        </w:rPr>
        <w:t>214</w:t>
      </w:r>
      <w:r>
        <w:rPr>
          <w:rFonts w:cstheme="minorHAnsi"/>
        </w:rPr>
        <w:t> </w:t>
      </w:r>
      <w:r w:rsidRPr="00A02891">
        <w:rPr>
          <w:rFonts w:cstheme="minorHAnsi"/>
        </w:rPr>
        <w:t>200</w:t>
      </w:r>
      <w:r>
        <w:rPr>
          <w:rFonts w:cstheme="minorHAnsi"/>
        </w:rPr>
        <w:t xml:space="preserve">, 00 Kč, </w:t>
      </w:r>
      <w:r w:rsidRPr="00E7018C">
        <w:rPr>
          <w:rFonts w:cstheme="minorHAnsi"/>
        </w:rPr>
        <w:t>převod</w:t>
      </w:r>
      <w:r>
        <w:rPr>
          <w:rFonts w:cstheme="minorHAnsi"/>
        </w:rPr>
        <w:t>em</w:t>
      </w:r>
      <w:r w:rsidRPr="00E7018C">
        <w:rPr>
          <w:rFonts w:cstheme="minorHAnsi"/>
        </w:rPr>
        <w:t xml:space="preserve"> </w:t>
      </w:r>
      <w:r>
        <w:rPr>
          <w:rFonts w:cstheme="minorHAnsi"/>
        </w:rPr>
        <w:t xml:space="preserve">nevyčerpaných </w:t>
      </w:r>
      <w:r w:rsidRPr="00E7018C">
        <w:rPr>
          <w:rFonts w:cstheme="minorHAnsi"/>
        </w:rPr>
        <w:t>finančních prostředků z kap</w:t>
      </w:r>
      <w:r>
        <w:rPr>
          <w:rFonts w:cstheme="minorHAnsi"/>
        </w:rPr>
        <w:t>itoly</w:t>
      </w:r>
      <w:r w:rsidRPr="00E7018C">
        <w:rPr>
          <w:rFonts w:cstheme="minorHAnsi"/>
        </w:rPr>
        <w:t xml:space="preserve"> 23 - Ostatní, prostředk</w:t>
      </w:r>
      <w:r>
        <w:rPr>
          <w:rFonts w:cstheme="minorHAnsi"/>
        </w:rPr>
        <w:t>ů</w:t>
      </w:r>
      <w:r w:rsidRPr="00E7018C">
        <w:rPr>
          <w:rFonts w:cstheme="minorHAnsi"/>
        </w:rPr>
        <w:t xml:space="preserve"> na předfinancování a kofinancování projektů spolufinancovaných z národních zdrojů do kap</w:t>
      </w:r>
      <w:r>
        <w:rPr>
          <w:rFonts w:cstheme="minorHAnsi"/>
        </w:rPr>
        <w:t>itoly</w:t>
      </w:r>
      <w:r w:rsidRPr="00E7018C">
        <w:rPr>
          <w:rFonts w:cstheme="minorHAnsi"/>
        </w:rPr>
        <w:t xml:space="preserve"> </w:t>
      </w:r>
      <w:r>
        <w:rPr>
          <w:rFonts w:cstheme="minorHAnsi"/>
        </w:rPr>
        <w:t xml:space="preserve">09 - Evropská integrace. </w:t>
      </w:r>
      <w:r w:rsidRPr="0003094C">
        <w:rPr>
          <w:rFonts w:cstheme="minorHAnsi"/>
        </w:rPr>
        <w:t>Finanční prostředky jsou určeny na kofinancování zpracování efektivního systému hospodaření s energiemi v podobě centrálního energetického managementu v návaznosti na připravovaná úsporná opatření v budovách a objektech Středočeského kraje v rámci projektu EPC I s možností dalšího rozšíření na budovy/objekty organizací Středočeského kraje</w:t>
      </w:r>
      <w:r>
        <w:rPr>
          <w:rFonts w:cstheme="minorHAnsi"/>
        </w:rPr>
        <w:t xml:space="preserve">. </w:t>
      </w:r>
      <w:r w:rsidRPr="006D02A8">
        <w:rPr>
          <w:rFonts w:cstheme="minorHAnsi"/>
        </w:rPr>
        <w:t xml:space="preserve">K úhradě kofinancování předmětu plnění </w:t>
      </w:r>
      <w:r>
        <w:rPr>
          <w:rFonts w:cstheme="minorHAnsi"/>
        </w:rPr>
        <w:t xml:space="preserve">dle </w:t>
      </w:r>
      <w:r w:rsidRPr="006D02A8">
        <w:rPr>
          <w:rFonts w:cstheme="minorHAnsi"/>
        </w:rPr>
        <w:t>smlouvy č. S-800</w:t>
      </w:r>
      <w:r>
        <w:rPr>
          <w:rFonts w:cstheme="minorHAnsi"/>
        </w:rPr>
        <w:t>8</w:t>
      </w:r>
      <w:r w:rsidRPr="006D02A8">
        <w:rPr>
          <w:rFonts w:cstheme="minorHAnsi"/>
        </w:rPr>
        <w:t xml:space="preserve">/ŘDP/2020) ve výši </w:t>
      </w:r>
      <w:r>
        <w:rPr>
          <w:rFonts w:cstheme="minorHAnsi"/>
          <w:iCs/>
        </w:rPr>
        <w:t>90 750</w:t>
      </w:r>
      <w:r w:rsidRPr="00B63E9C">
        <w:rPr>
          <w:rFonts w:cstheme="minorHAnsi"/>
          <w:iCs/>
        </w:rPr>
        <w:t>,00 Kč</w:t>
      </w:r>
      <w:r w:rsidRPr="006D02A8">
        <w:rPr>
          <w:rFonts w:cstheme="minorHAnsi"/>
        </w:rPr>
        <w:t xml:space="preserve"> došlo ve II. polovině </w:t>
      </w:r>
      <w:r>
        <w:rPr>
          <w:rFonts w:cstheme="minorHAnsi"/>
        </w:rPr>
        <w:t>r.</w:t>
      </w:r>
      <w:r w:rsidRPr="006D02A8">
        <w:rPr>
          <w:rFonts w:cstheme="minorHAnsi"/>
        </w:rPr>
        <w:t xml:space="preserve"> 2021, </w:t>
      </w:r>
      <w:r>
        <w:rPr>
          <w:rFonts w:cstheme="minorHAnsi"/>
        </w:rPr>
        <w:t>čerpání rozpočtu</w:t>
      </w:r>
      <w:r w:rsidRPr="00B63E9C">
        <w:rPr>
          <w:rFonts w:cstheme="minorHAnsi"/>
          <w:iCs/>
        </w:rPr>
        <w:t xml:space="preserve"> </w:t>
      </w:r>
      <w:r>
        <w:rPr>
          <w:rFonts w:cstheme="minorHAnsi"/>
          <w:iCs/>
        </w:rPr>
        <w:t xml:space="preserve">42,4 </w:t>
      </w:r>
      <w:r>
        <w:rPr>
          <w:rFonts w:cstheme="minorHAnsi"/>
        </w:rPr>
        <w:t xml:space="preserve">%.  </w:t>
      </w:r>
    </w:p>
    <w:p w14:paraId="40556432" w14:textId="77777777" w:rsidR="0072554E" w:rsidRPr="0003094C" w:rsidRDefault="0072554E" w:rsidP="0072554E">
      <w:pPr>
        <w:spacing w:after="0" w:line="240" w:lineRule="auto"/>
        <w:jc w:val="both"/>
        <w:rPr>
          <w:rFonts w:cstheme="minorHAnsi"/>
          <w:b/>
          <w:u w:val="single"/>
        </w:rPr>
      </w:pPr>
    </w:p>
    <w:p w14:paraId="26F1A38A" w14:textId="77777777" w:rsidR="0072554E" w:rsidRPr="0003094C" w:rsidRDefault="0072554E" w:rsidP="0072554E">
      <w:pPr>
        <w:spacing w:after="0" w:line="240" w:lineRule="auto"/>
        <w:jc w:val="both"/>
        <w:rPr>
          <w:rFonts w:cstheme="minorHAnsi"/>
          <w:b/>
        </w:rPr>
      </w:pPr>
      <w:r w:rsidRPr="0003094C">
        <w:rPr>
          <w:rFonts w:cstheme="minorHAnsi"/>
          <w:b/>
        </w:rPr>
        <w:t>§ 3714 – Opatření ke snižování produkce skleníkových plynů a plynů poškozu</w:t>
      </w:r>
      <w:r>
        <w:rPr>
          <w:rFonts w:cstheme="minorHAnsi"/>
          <w:b/>
        </w:rPr>
        <w:t>jících ozonovou vrstvu – výsadba</w:t>
      </w:r>
      <w:r w:rsidRPr="0003094C">
        <w:rPr>
          <w:rFonts w:cstheme="minorHAnsi"/>
          <w:b/>
        </w:rPr>
        <w:t xml:space="preserve"> stromů v SK</w:t>
      </w:r>
    </w:p>
    <w:p w14:paraId="1F1BA2A7" w14:textId="77777777" w:rsidR="0072554E" w:rsidRPr="0003094C" w:rsidRDefault="0072554E" w:rsidP="0072554E">
      <w:pPr>
        <w:spacing w:after="0" w:line="240" w:lineRule="auto"/>
        <w:jc w:val="both"/>
        <w:rPr>
          <w:rFonts w:cstheme="minorHAnsi"/>
          <w:iCs/>
        </w:rPr>
      </w:pPr>
      <w:r w:rsidRPr="0003094C">
        <w:rPr>
          <w:rFonts w:cstheme="minorHAnsi"/>
          <w:iCs/>
        </w:rPr>
        <w:t xml:space="preserve">Do </w:t>
      </w:r>
      <w:r>
        <w:rPr>
          <w:rFonts w:cstheme="minorHAnsi"/>
          <w:iCs/>
        </w:rPr>
        <w:t>r.</w:t>
      </w:r>
      <w:r w:rsidRPr="0003094C">
        <w:rPr>
          <w:rFonts w:cstheme="minorHAnsi"/>
          <w:iCs/>
        </w:rPr>
        <w:t xml:space="preserve"> 2021 byly převedeny nevyčerpané finanční prostředky </w:t>
      </w:r>
      <w:r>
        <w:rPr>
          <w:rFonts w:cstheme="minorHAnsi"/>
          <w:iCs/>
        </w:rPr>
        <w:t xml:space="preserve">z r. 2020 </w:t>
      </w:r>
      <w:r w:rsidRPr="0003094C">
        <w:rPr>
          <w:rFonts w:cstheme="minorHAnsi"/>
          <w:iCs/>
        </w:rPr>
        <w:t xml:space="preserve">usnesením č. 008-08/2021/RK ze dne 18. 2. 2021 ve výši 1 071 165,00 Kč na </w:t>
      </w:r>
      <w:r>
        <w:rPr>
          <w:rFonts w:cstheme="minorHAnsi"/>
          <w:iCs/>
        </w:rPr>
        <w:t xml:space="preserve">úhradu realizace výsadby stromů </w:t>
      </w:r>
      <w:r>
        <w:rPr>
          <w:rFonts w:cstheme="minorHAnsi"/>
        </w:rPr>
        <w:t>(</w:t>
      </w:r>
      <w:r w:rsidRPr="00957F76">
        <w:rPr>
          <w:rFonts w:cstheme="minorHAnsi"/>
        </w:rPr>
        <w:t>zapojeno do zůstatku hospodaření SK z </w:t>
      </w:r>
      <w:r>
        <w:rPr>
          <w:rFonts w:cstheme="minorHAnsi"/>
        </w:rPr>
        <w:t xml:space="preserve">r. 2020 schváleného usnesením </w:t>
      </w:r>
      <w:r w:rsidRPr="00957F76">
        <w:rPr>
          <w:rFonts w:cstheme="minorHAnsi"/>
        </w:rPr>
        <w:t>č. 007-06/2021/ZK ze dne 26. 04. 2021)</w:t>
      </w:r>
      <w:r>
        <w:rPr>
          <w:rFonts w:cstheme="minorHAnsi"/>
        </w:rPr>
        <w:t>.</w:t>
      </w:r>
      <w:r>
        <w:rPr>
          <w:rFonts w:cstheme="minorHAnsi"/>
          <w:iCs/>
        </w:rPr>
        <w:t xml:space="preserve"> </w:t>
      </w:r>
      <w:r w:rsidRPr="0003094C">
        <w:rPr>
          <w:rFonts w:cstheme="minorHAnsi"/>
          <w:iCs/>
        </w:rPr>
        <w:t>V</w:t>
      </w:r>
      <w:r>
        <w:rPr>
          <w:rFonts w:cstheme="minorHAnsi"/>
          <w:iCs/>
        </w:rPr>
        <w:t xml:space="preserve"> r.</w:t>
      </w:r>
      <w:r w:rsidRPr="0003094C">
        <w:rPr>
          <w:rFonts w:cstheme="minorHAnsi"/>
          <w:iCs/>
        </w:rPr>
        <w:t xml:space="preserve"> 2021 byly finanční prostředky čerpá</w:t>
      </w:r>
      <w:r>
        <w:rPr>
          <w:rFonts w:cstheme="minorHAnsi"/>
          <w:iCs/>
        </w:rPr>
        <w:t xml:space="preserve">ny na realizaci výsadby stromů </w:t>
      </w:r>
      <w:r w:rsidRPr="0003094C">
        <w:rPr>
          <w:rFonts w:cstheme="minorHAnsi"/>
          <w:iCs/>
        </w:rPr>
        <w:t>v poslední obci ve výši 101 535,00 Kč a na odborný dozor ve výši 24 000,00 Kč</w:t>
      </w:r>
      <w:r>
        <w:rPr>
          <w:rFonts w:cstheme="minorHAnsi"/>
          <w:iCs/>
        </w:rPr>
        <w:t xml:space="preserve">. Čerpání rozpočtu </w:t>
      </w:r>
      <w:r w:rsidRPr="0003094C">
        <w:rPr>
          <w:rFonts w:cstheme="minorHAnsi"/>
          <w:iCs/>
        </w:rPr>
        <w:t xml:space="preserve">11,7 </w:t>
      </w:r>
      <w:r w:rsidRPr="0003094C">
        <w:rPr>
          <w:rFonts w:cstheme="minorHAnsi"/>
          <w:iCs/>
        </w:rPr>
        <w:lastRenderedPageBreak/>
        <w:t xml:space="preserve">%. Nevyčerpané </w:t>
      </w:r>
      <w:r>
        <w:rPr>
          <w:rFonts w:cstheme="minorHAnsi"/>
          <w:iCs/>
        </w:rPr>
        <w:t xml:space="preserve">finanční prostředky </w:t>
      </w:r>
      <w:r w:rsidRPr="0003094C">
        <w:rPr>
          <w:rFonts w:cstheme="minorHAnsi"/>
          <w:iCs/>
        </w:rPr>
        <w:t xml:space="preserve">ve výši 945 630,00 Kč </w:t>
      </w:r>
      <w:r w:rsidRPr="008A2FBA">
        <w:rPr>
          <w:rFonts w:cstheme="minorHAnsi"/>
          <w:iCs/>
        </w:rPr>
        <w:t>budou převedeny do rozpočtu r. 2022</w:t>
      </w:r>
      <w:r w:rsidRPr="0003094C">
        <w:rPr>
          <w:rFonts w:cstheme="minorHAnsi"/>
          <w:iCs/>
        </w:rPr>
        <w:t xml:space="preserve"> čerpány na úhradu nákladů spojených s odborným dozorem při následné péči a samotnou následnou péčí (3 roky). Po dobu následné péče a udržitelnosti (do </w:t>
      </w:r>
      <w:r>
        <w:rPr>
          <w:rFonts w:cstheme="minorHAnsi"/>
          <w:iCs/>
        </w:rPr>
        <w:t>r.</w:t>
      </w:r>
      <w:r w:rsidRPr="0003094C">
        <w:rPr>
          <w:rFonts w:cstheme="minorHAnsi"/>
          <w:iCs/>
        </w:rPr>
        <w:t xml:space="preserve"> 2030) mohou být čerpány další </w:t>
      </w:r>
      <w:r>
        <w:rPr>
          <w:rFonts w:cstheme="minorHAnsi"/>
          <w:iCs/>
        </w:rPr>
        <w:t xml:space="preserve">finanční </w:t>
      </w:r>
      <w:r w:rsidRPr="0003094C">
        <w:rPr>
          <w:rFonts w:cstheme="minorHAnsi"/>
          <w:iCs/>
        </w:rPr>
        <w:t>prostředky na zajištění ochrany a péče vysazených stromů, popř. jejich náhrady. Výši</w:t>
      </w:r>
      <w:r>
        <w:rPr>
          <w:rFonts w:cstheme="minorHAnsi"/>
          <w:iCs/>
        </w:rPr>
        <w:t xml:space="preserve"> </w:t>
      </w:r>
      <w:r w:rsidRPr="0003094C">
        <w:rPr>
          <w:rFonts w:cstheme="minorHAnsi"/>
          <w:iCs/>
        </w:rPr>
        <w:t>těchto nákladů však nelze nyní blíže specifikovat.</w:t>
      </w:r>
    </w:p>
    <w:p w14:paraId="023B9905" w14:textId="77777777" w:rsidR="0072554E" w:rsidRPr="0003094C" w:rsidRDefault="0072554E" w:rsidP="0072554E">
      <w:pPr>
        <w:spacing w:after="0" w:line="240" w:lineRule="auto"/>
        <w:jc w:val="both"/>
        <w:rPr>
          <w:rFonts w:cstheme="minorHAnsi"/>
          <w:b/>
          <w:u w:val="single"/>
        </w:rPr>
      </w:pPr>
    </w:p>
    <w:p w14:paraId="4369F8B5" w14:textId="77777777" w:rsidR="0072554E" w:rsidRPr="0003094C" w:rsidRDefault="0072554E" w:rsidP="0072554E">
      <w:pPr>
        <w:spacing w:after="0" w:line="240" w:lineRule="auto"/>
        <w:jc w:val="both"/>
        <w:rPr>
          <w:rFonts w:cstheme="minorHAnsi"/>
          <w:b/>
          <w:sz w:val="24"/>
          <w:szCs w:val="24"/>
          <w:u w:val="single"/>
        </w:rPr>
      </w:pPr>
      <w:r w:rsidRPr="0003094C">
        <w:rPr>
          <w:rFonts w:cstheme="minorHAnsi"/>
          <w:b/>
          <w:sz w:val="24"/>
          <w:szCs w:val="24"/>
          <w:u w:val="single"/>
        </w:rPr>
        <w:t>Dot</w:t>
      </w:r>
      <w:smartTag w:uri="urn:schemas-microsoft-com:office:smarttags" w:element="PersonName">
        <w:r w:rsidRPr="0003094C">
          <w:rPr>
            <w:rFonts w:cstheme="minorHAnsi"/>
            <w:b/>
            <w:sz w:val="24"/>
            <w:szCs w:val="24"/>
            <w:u w:val="single"/>
          </w:rPr>
          <w:t>ace</w:t>
        </w:r>
      </w:smartTag>
      <w:r w:rsidRPr="0003094C">
        <w:rPr>
          <w:rFonts w:cstheme="minorHAnsi"/>
          <w:b/>
          <w:sz w:val="24"/>
          <w:szCs w:val="24"/>
          <w:u w:val="single"/>
        </w:rPr>
        <w:t xml:space="preserve"> ze státního rozpočtu a ostatních veřejných rozpočtů</w:t>
      </w:r>
    </w:p>
    <w:p w14:paraId="537711D2" w14:textId="77777777" w:rsidR="0072554E" w:rsidRPr="0003094C" w:rsidRDefault="0072554E" w:rsidP="0072554E">
      <w:pPr>
        <w:spacing w:after="0" w:line="240" w:lineRule="auto"/>
        <w:jc w:val="both"/>
        <w:rPr>
          <w:rFonts w:cstheme="minorHAnsi"/>
          <w:b/>
          <w:u w:val="single"/>
        </w:rPr>
      </w:pPr>
    </w:p>
    <w:p w14:paraId="19F37C82" w14:textId="77777777" w:rsidR="0072554E" w:rsidRPr="0003094C" w:rsidRDefault="0072554E" w:rsidP="0072554E">
      <w:pPr>
        <w:spacing w:after="0" w:line="240" w:lineRule="auto"/>
        <w:rPr>
          <w:rFonts w:cstheme="minorHAnsi"/>
          <w:b/>
        </w:rPr>
      </w:pPr>
      <w:r w:rsidRPr="0003094C">
        <w:rPr>
          <w:rFonts w:cstheme="minorHAnsi"/>
          <w:b/>
        </w:rPr>
        <w:t>§ 2115 – Energetické úspory se zaručeným</w:t>
      </w:r>
      <w:r>
        <w:rPr>
          <w:rFonts w:cstheme="minorHAnsi"/>
          <w:b/>
        </w:rPr>
        <w:t xml:space="preserve"> výsledkem pro SK II</w:t>
      </w:r>
    </w:p>
    <w:p w14:paraId="2CFC4B30" w14:textId="21CE3785" w:rsidR="0072554E" w:rsidRDefault="0072554E" w:rsidP="0072554E">
      <w:pPr>
        <w:spacing w:after="0" w:line="240" w:lineRule="auto"/>
        <w:jc w:val="both"/>
        <w:rPr>
          <w:rFonts w:cstheme="minorHAnsi"/>
        </w:rPr>
      </w:pPr>
      <w:r>
        <w:rPr>
          <w:rFonts w:cstheme="minorHAnsi"/>
        </w:rPr>
        <w:t>Rozpočet byl upraven</w:t>
      </w:r>
      <w:r w:rsidRPr="0003094C">
        <w:rPr>
          <w:rFonts w:cstheme="minorHAnsi"/>
        </w:rPr>
        <w:t xml:space="preserve"> na základě usnesení č. 042-14/2021/RK ze dne 25. 3. 2021 převodem nevyčerpaných účelových finančních prostředků z </w:t>
      </w:r>
      <w:r>
        <w:rPr>
          <w:rFonts w:cstheme="minorHAnsi"/>
        </w:rPr>
        <w:t>r.</w:t>
      </w:r>
      <w:r w:rsidRPr="0003094C">
        <w:rPr>
          <w:rFonts w:cstheme="minorHAnsi"/>
        </w:rPr>
        <w:t xml:space="preserve"> 2020 ve výši 24 665 449,23 Kč</w:t>
      </w:r>
      <w:r>
        <w:rPr>
          <w:rFonts w:cstheme="minorHAnsi"/>
        </w:rPr>
        <w:t xml:space="preserve"> </w:t>
      </w:r>
      <w:r w:rsidRPr="0003094C">
        <w:rPr>
          <w:rFonts w:cstheme="minorHAnsi"/>
        </w:rPr>
        <w:t>do</w:t>
      </w:r>
      <w:r>
        <w:rPr>
          <w:rFonts w:cstheme="minorHAnsi"/>
        </w:rPr>
        <w:t xml:space="preserve"> rozpočtu</w:t>
      </w:r>
      <w:r w:rsidRPr="0003094C">
        <w:rPr>
          <w:rFonts w:cstheme="minorHAnsi"/>
        </w:rPr>
        <w:t xml:space="preserve"> </w:t>
      </w:r>
      <w:r>
        <w:rPr>
          <w:rFonts w:cstheme="minorHAnsi"/>
        </w:rPr>
        <w:t>r.</w:t>
      </w:r>
      <w:r w:rsidRPr="0003094C">
        <w:rPr>
          <w:rFonts w:cstheme="minorHAnsi"/>
        </w:rPr>
        <w:t xml:space="preserve"> 2021 </w:t>
      </w:r>
      <w:r>
        <w:rPr>
          <w:rFonts w:cstheme="minorHAnsi"/>
        </w:rPr>
        <w:t>(</w:t>
      </w:r>
      <w:r w:rsidRPr="00957F76">
        <w:rPr>
          <w:rFonts w:cstheme="minorHAnsi"/>
        </w:rPr>
        <w:t>zapojeno do zůstatku hospodaření SK z </w:t>
      </w:r>
      <w:r>
        <w:rPr>
          <w:rFonts w:cstheme="minorHAnsi"/>
        </w:rPr>
        <w:t xml:space="preserve">r. 2020 schváleného usnesením </w:t>
      </w:r>
      <w:r w:rsidRPr="00957F76">
        <w:rPr>
          <w:rFonts w:cstheme="minorHAnsi"/>
        </w:rPr>
        <w:t>č. 007-06/2021/ZK ze dne 26. 04. 2021)</w:t>
      </w:r>
      <w:r>
        <w:rPr>
          <w:rFonts w:cstheme="minorHAnsi"/>
        </w:rPr>
        <w:t xml:space="preserve">. Rozpočet byl dále </w:t>
      </w:r>
      <w:r w:rsidRPr="0003094C">
        <w:rPr>
          <w:rFonts w:cstheme="minorHAnsi"/>
        </w:rPr>
        <w:t>navýšen usnesením č. 026-26/2021/RK ze dne 17. 6. 2021 (zapojení úroků z bankovního účtu) ve výši 11 433,83 Kč</w:t>
      </w:r>
      <w:r>
        <w:rPr>
          <w:rFonts w:cstheme="minorHAnsi"/>
        </w:rPr>
        <w:t xml:space="preserve"> </w:t>
      </w:r>
      <w:r w:rsidRPr="00C83AE6">
        <w:rPr>
          <w:rFonts w:cstheme="minorHAnsi"/>
        </w:rPr>
        <w:t>a usnesením č. 028-47/2021/RK ze dne 16.12.2021 ve výši 13 007,36 Kč (zapojení úroků z bankovního účtu). V </w:t>
      </w:r>
      <w:r>
        <w:rPr>
          <w:rFonts w:cstheme="minorHAnsi"/>
        </w:rPr>
        <w:t>r.</w:t>
      </w:r>
      <w:r w:rsidRPr="00C83AE6">
        <w:rPr>
          <w:rFonts w:cstheme="minorHAnsi"/>
        </w:rPr>
        <w:t xml:space="preserve"> 2021 byly čerpány finanční prostředky na poradenské a konzultační služby v rámci přípravy projektů na energetické úspory se zaručeným výsledkem II ve výši 674 453,92 Kč, na zajištění realizace dílčího plnění Rámcové dohody S</w:t>
      </w:r>
      <w:r>
        <w:rPr>
          <w:rFonts w:cstheme="minorHAnsi"/>
        </w:rPr>
        <w:t>-</w:t>
      </w:r>
      <w:r w:rsidRPr="00C83AE6">
        <w:rPr>
          <w:rFonts w:cstheme="minorHAnsi"/>
        </w:rPr>
        <w:t>8237/ŘDP/2020 - část A) zpracování vstupní analýzy využití dotací OPŽP s využitím metody EPC ve výši 2 618 827,20 Kč a na zajištění občerstvení ve výši 1 986,94 Kč. Dále byly čerpány finanční prostředky na zajištění š</w:t>
      </w:r>
      <w:r w:rsidRPr="00C83AE6">
        <w:t>kolení k problematice EPC ve výši 60 500,00 K</w:t>
      </w:r>
      <w:r>
        <w:t>č</w:t>
      </w:r>
      <w:r w:rsidRPr="00C83AE6">
        <w:rPr>
          <w:rFonts w:cstheme="minorHAnsi"/>
        </w:rPr>
        <w:t>. Finanční prostředky ve výši 920 367,73 Kč byly určeny na úhradu mezd zaměstnanců. Celkově bylo vyčerpáno 4 276 135,79</w:t>
      </w:r>
      <w:r w:rsidRPr="005E77AD">
        <w:rPr>
          <w:rFonts w:cstheme="minorHAnsi"/>
        </w:rPr>
        <w:t>, tj</w:t>
      </w:r>
      <w:r>
        <w:rPr>
          <w:rFonts w:cstheme="minorHAnsi"/>
        </w:rPr>
        <w:t xml:space="preserve">. </w:t>
      </w:r>
      <w:r w:rsidRPr="00C83AE6">
        <w:rPr>
          <w:rFonts w:cstheme="minorHAnsi"/>
        </w:rPr>
        <w:t>17,3 %</w:t>
      </w:r>
      <w:r>
        <w:rPr>
          <w:rFonts w:cstheme="minorHAnsi"/>
        </w:rPr>
        <w:t xml:space="preserve"> rozpočtu</w:t>
      </w:r>
      <w:r w:rsidRPr="00C83AE6">
        <w:rPr>
          <w:rFonts w:cstheme="minorHAnsi"/>
        </w:rPr>
        <w:t xml:space="preserve">. </w:t>
      </w:r>
    </w:p>
    <w:p w14:paraId="65DD409C" w14:textId="77777777" w:rsidR="0072554E" w:rsidRDefault="0072554E" w:rsidP="0072554E">
      <w:pPr>
        <w:spacing w:after="0" w:line="240" w:lineRule="auto"/>
        <w:jc w:val="both"/>
        <w:rPr>
          <w:rFonts w:cstheme="minorHAnsi"/>
        </w:rPr>
      </w:pPr>
    </w:p>
    <w:p w14:paraId="74048825" w14:textId="77777777" w:rsidR="0072554E" w:rsidRPr="00C83AE6" w:rsidRDefault="0072554E" w:rsidP="0072554E">
      <w:pPr>
        <w:spacing w:after="0" w:line="240" w:lineRule="auto"/>
        <w:jc w:val="both"/>
        <w:rPr>
          <w:rFonts w:cstheme="minorHAnsi"/>
          <w:b/>
        </w:rPr>
      </w:pPr>
      <w:r w:rsidRPr="00C83AE6">
        <w:rPr>
          <w:rFonts w:cstheme="minorHAnsi"/>
          <w:b/>
        </w:rPr>
        <w:t>§ 2115 – Systém hospodaření s energií v podobě centrálního energetického managementu budov a objektů organizací SK</w:t>
      </w:r>
    </w:p>
    <w:p w14:paraId="6CE7EDB9" w14:textId="32C2E5CB" w:rsidR="0072554E" w:rsidRDefault="0072554E" w:rsidP="0072554E">
      <w:pPr>
        <w:spacing w:after="0" w:line="240" w:lineRule="auto"/>
        <w:jc w:val="both"/>
        <w:rPr>
          <w:rFonts w:cstheme="minorHAnsi"/>
        </w:rPr>
      </w:pPr>
      <w:r>
        <w:rPr>
          <w:rFonts w:cstheme="minorHAnsi"/>
        </w:rPr>
        <w:t xml:space="preserve">Rozpočet v </w:t>
      </w:r>
      <w:r w:rsidRPr="00C83AE6">
        <w:rPr>
          <w:rFonts w:cstheme="minorHAnsi"/>
        </w:rPr>
        <w:t xml:space="preserve">rámci realizace projektu „Systém hospodaření s energií v podobě centrálního energetického managementu budov a objektů organizací SK“ </w:t>
      </w:r>
      <w:r>
        <w:rPr>
          <w:rFonts w:cstheme="minorHAnsi"/>
        </w:rPr>
        <w:t>byl upraven</w:t>
      </w:r>
      <w:r w:rsidRPr="00C83AE6">
        <w:rPr>
          <w:rFonts w:cstheme="minorHAnsi"/>
        </w:rPr>
        <w:t xml:space="preserve"> na základě usnesení č</w:t>
      </w:r>
      <w:r w:rsidR="00704F23">
        <w:rPr>
          <w:rFonts w:cstheme="minorHAnsi"/>
        </w:rPr>
        <w:t>.</w:t>
      </w:r>
      <w:r w:rsidRPr="00C83AE6">
        <w:rPr>
          <w:rFonts w:cstheme="minorHAnsi"/>
        </w:rPr>
        <w:t xml:space="preserve"> 007-30/2021/RK ze dne 29. 7. 2021 </w:t>
      </w:r>
      <w:r>
        <w:rPr>
          <w:rFonts w:cstheme="minorHAnsi"/>
        </w:rPr>
        <w:t xml:space="preserve">zapojením </w:t>
      </w:r>
      <w:r w:rsidRPr="00C83AE6">
        <w:rPr>
          <w:rFonts w:cstheme="minorHAnsi"/>
        </w:rPr>
        <w:t xml:space="preserve">dotace z MPO Programu EFEKT 2 ve výši 211 750,00 Kč. Dotace byla </w:t>
      </w:r>
      <w:r>
        <w:rPr>
          <w:rFonts w:cstheme="minorHAnsi"/>
        </w:rPr>
        <w:t>100 %</w:t>
      </w:r>
      <w:r w:rsidRPr="00C83AE6">
        <w:rPr>
          <w:rFonts w:cstheme="minorHAnsi"/>
        </w:rPr>
        <w:t xml:space="preserve"> čerpána</w:t>
      </w:r>
      <w:r>
        <w:rPr>
          <w:rFonts w:cstheme="minorHAnsi"/>
        </w:rPr>
        <w:t xml:space="preserve"> k</w:t>
      </w:r>
      <w:r w:rsidRPr="006D02A8">
        <w:rPr>
          <w:rFonts w:cstheme="minorHAnsi"/>
        </w:rPr>
        <w:t xml:space="preserve"> úhradě předmětu plnění </w:t>
      </w:r>
      <w:r>
        <w:rPr>
          <w:rFonts w:cstheme="minorHAnsi"/>
        </w:rPr>
        <w:t xml:space="preserve">dle </w:t>
      </w:r>
      <w:r w:rsidRPr="006D02A8">
        <w:rPr>
          <w:rFonts w:cstheme="minorHAnsi"/>
        </w:rPr>
        <w:t>smlouvy č. S-800</w:t>
      </w:r>
      <w:r>
        <w:rPr>
          <w:rFonts w:cstheme="minorHAnsi"/>
        </w:rPr>
        <w:t>8</w:t>
      </w:r>
      <w:r w:rsidRPr="006D02A8">
        <w:rPr>
          <w:rFonts w:cstheme="minorHAnsi"/>
        </w:rPr>
        <w:t>/ŘDP/2020</w:t>
      </w:r>
      <w:r>
        <w:rPr>
          <w:rFonts w:cstheme="minorHAnsi"/>
        </w:rPr>
        <w:t xml:space="preserve"> </w:t>
      </w:r>
      <w:r w:rsidRPr="00C83AE6">
        <w:rPr>
          <w:rFonts w:cstheme="minorHAnsi"/>
        </w:rPr>
        <w:t>na zpracování efektivního systému hospodaření s energiemi v podobě centrálního energetického managementu v návaznosti na připravovaná úsporná opatření v budovách a objektech Středočeského kraje v rámci projektu EPC I s možností dalšího rozšíření na budovy/objekty organizací Středočeského kraje</w:t>
      </w:r>
      <w:r>
        <w:rPr>
          <w:rFonts w:cstheme="minorHAnsi"/>
        </w:rPr>
        <w:t>.</w:t>
      </w:r>
    </w:p>
    <w:p w14:paraId="1897BCD5" w14:textId="77777777" w:rsidR="0072554E" w:rsidRDefault="0072554E" w:rsidP="0072554E">
      <w:pPr>
        <w:spacing w:after="0" w:line="240" w:lineRule="auto"/>
        <w:jc w:val="both"/>
        <w:rPr>
          <w:rFonts w:cstheme="minorHAnsi"/>
        </w:rPr>
      </w:pPr>
    </w:p>
    <w:p w14:paraId="1033FD24" w14:textId="110E556B" w:rsidR="0072554E" w:rsidRPr="00C83AE6" w:rsidRDefault="0072554E" w:rsidP="0072554E">
      <w:pPr>
        <w:spacing w:after="0" w:line="240" w:lineRule="auto"/>
        <w:jc w:val="both"/>
        <w:rPr>
          <w:rFonts w:cstheme="minorHAnsi"/>
          <w:b/>
        </w:rPr>
      </w:pPr>
      <w:r w:rsidRPr="00C83AE6">
        <w:rPr>
          <w:rFonts w:cstheme="minorHAnsi"/>
          <w:b/>
        </w:rPr>
        <w:t>§ 2115 – EPC III – Analýza stavu a potenciálu energetických úspor SK I</w:t>
      </w:r>
    </w:p>
    <w:p w14:paraId="358305AD" w14:textId="77777777" w:rsidR="0072554E" w:rsidRPr="00C83AE6" w:rsidRDefault="0072554E" w:rsidP="0072554E">
      <w:pPr>
        <w:spacing w:after="0" w:line="240" w:lineRule="auto"/>
        <w:jc w:val="both"/>
        <w:rPr>
          <w:rFonts w:cstheme="minorHAnsi"/>
        </w:rPr>
      </w:pPr>
      <w:r>
        <w:rPr>
          <w:rFonts w:cstheme="minorHAnsi"/>
        </w:rPr>
        <w:t>Rozpočet v</w:t>
      </w:r>
      <w:r w:rsidRPr="00C83AE6">
        <w:rPr>
          <w:rFonts w:cstheme="minorHAnsi"/>
        </w:rPr>
        <w:t xml:space="preserve"> rámci realizace projektu „EPC III – Analýza stavu a potenciálu energetických úspor SK I“ </w:t>
      </w:r>
      <w:r>
        <w:rPr>
          <w:rFonts w:cstheme="minorHAnsi"/>
        </w:rPr>
        <w:t xml:space="preserve">byl upraven </w:t>
      </w:r>
      <w:r w:rsidRPr="00C83AE6">
        <w:rPr>
          <w:rFonts w:cstheme="minorHAnsi"/>
        </w:rPr>
        <w:t xml:space="preserve">na základě usnesení č. 021-28/2021/RK ze dne 1. 7. 2021 </w:t>
      </w:r>
      <w:r>
        <w:rPr>
          <w:rFonts w:cstheme="minorHAnsi"/>
        </w:rPr>
        <w:t>za</w:t>
      </w:r>
      <w:r w:rsidRPr="00C83AE6">
        <w:rPr>
          <w:rFonts w:cstheme="minorHAnsi"/>
        </w:rPr>
        <w:t>poj</w:t>
      </w:r>
      <w:r>
        <w:rPr>
          <w:rFonts w:cstheme="minorHAnsi"/>
        </w:rPr>
        <w:t>ením</w:t>
      </w:r>
      <w:r w:rsidRPr="00C83AE6">
        <w:rPr>
          <w:rFonts w:cstheme="minorHAnsi"/>
        </w:rPr>
        <w:t xml:space="preserve"> dotace z MPO Programu EFEKT 2 ve výši 129 418,00 Kč. Dotace byla </w:t>
      </w:r>
      <w:r>
        <w:rPr>
          <w:rFonts w:cstheme="minorHAnsi"/>
        </w:rPr>
        <w:t>100 % čerpána</w:t>
      </w:r>
      <w:r w:rsidRPr="00C83AE6">
        <w:rPr>
          <w:rFonts w:cstheme="minorHAnsi"/>
        </w:rPr>
        <w:t xml:space="preserve"> na zajištění analýz stavu a potenciálu energetických úspor ke zjištění vhodnosti realizace energeticky úsporného projektu/projektů prostřednictvím metody EPC pro soubor budov uvedených v části 1) přílohy č. 1 smlouvy č. S-80</w:t>
      </w:r>
      <w:r>
        <w:rPr>
          <w:rFonts w:cstheme="minorHAnsi"/>
        </w:rPr>
        <w:t>09</w:t>
      </w:r>
      <w:r w:rsidRPr="00C83AE6">
        <w:rPr>
          <w:rFonts w:cstheme="minorHAnsi"/>
        </w:rPr>
        <w:t>/ŘDP/2020.</w:t>
      </w:r>
    </w:p>
    <w:p w14:paraId="7E7D8F24" w14:textId="77777777" w:rsidR="0072554E" w:rsidRPr="00C83AE6" w:rsidRDefault="0072554E" w:rsidP="0072554E">
      <w:pPr>
        <w:spacing w:after="0" w:line="240" w:lineRule="auto"/>
        <w:jc w:val="both"/>
        <w:rPr>
          <w:rFonts w:cstheme="minorHAnsi"/>
        </w:rPr>
      </w:pPr>
    </w:p>
    <w:p w14:paraId="31E95B5B" w14:textId="77777777" w:rsidR="0072554E" w:rsidRPr="00C83AE6" w:rsidRDefault="0072554E" w:rsidP="0072554E">
      <w:pPr>
        <w:spacing w:after="0" w:line="240" w:lineRule="auto"/>
        <w:jc w:val="both"/>
        <w:rPr>
          <w:rFonts w:cstheme="minorHAnsi"/>
          <w:b/>
        </w:rPr>
      </w:pPr>
      <w:r w:rsidRPr="00C83AE6">
        <w:rPr>
          <w:rFonts w:cstheme="minorHAnsi"/>
          <w:b/>
        </w:rPr>
        <w:t>§ 2115 – EPC III – Analýza potenciálu energetických úspor SK II</w:t>
      </w:r>
    </w:p>
    <w:p w14:paraId="60626E86" w14:textId="22ABEFAF" w:rsidR="0072554E" w:rsidRPr="00C83AE6" w:rsidRDefault="0072554E" w:rsidP="0072554E">
      <w:pPr>
        <w:spacing w:after="0" w:line="240" w:lineRule="auto"/>
        <w:jc w:val="both"/>
        <w:rPr>
          <w:rFonts w:cstheme="minorHAnsi"/>
        </w:rPr>
      </w:pPr>
      <w:r>
        <w:rPr>
          <w:rFonts w:cstheme="minorHAnsi"/>
        </w:rPr>
        <w:t>Rozpočet v</w:t>
      </w:r>
      <w:r w:rsidRPr="00C83AE6">
        <w:rPr>
          <w:rFonts w:cstheme="minorHAnsi"/>
        </w:rPr>
        <w:t xml:space="preserve"> rámci realizace projektu „EPC III – Analýza stavu a potenciálu energetických úspor SK II“ </w:t>
      </w:r>
      <w:r>
        <w:rPr>
          <w:rFonts w:cstheme="minorHAnsi"/>
        </w:rPr>
        <w:t xml:space="preserve">byl upraven </w:t>
      </w:r>
      <w:r w:rsidRPr="00C83AE6">
        <w:rPr>
          <w:rFonts w:cstheme="minorHAnsi"/>
        </w:rPr>
        <w:t xml:space="preserve">na základě usnesení č. 021-28/2021/RK ze dne 1. 7. 2021 </w:t>
      </w:r>
      <w:r>
        <w:rPr>
          <w:rFonts w:cstheme="minorHAnsi"/>
        </w:rPr>
        <w:t xml:space="preserve">zapojením </w:t>
      </w:r>
      <w:r w:rsidRPr="00C83AE6">
        <w:rPr>
          <w:rFonts w:cstheme="minorHAnsi"/>
        </w:rPr>
        <w:t xml:space="preserve">dotace z MPO Programu EFEKT 2 ve výši 129 418,00 Kč. Dotace byla </w:t>
      </w:r>
      <w:r>
        <w:rPr>
          <w:rFonts w:cstheme="minorHAnsi"/>
        </w:rPr>
        <w:t>100</w:t>
      </w:r>
      <w:r w:rsidR="00C1054D">
        <w:rPr>
          <w:rFonts w:cstheme="minorHAnsi"/>
        </w:rPr>
        <w:t>,0</w:t>
      </w:r>
      <w:r>
        <w:rPr>
          <w:rFonts w:cstheme="minorHAnsi"/>
        </w:rPr>
        <w:t xml:space="preserve"> %</w:t>
      </w:r>
      <w:r w:rsidRPr="00C83AE6">
        <w:rPr>
          <w:rFonts w:cstheme="minorHAnsi"/>
        </w:rPr>
        <w:t xml:space="preserve"> čerpána na zajištění analýz stavu a potenciálu energetických úspor ke zjištění vhodnosti realizace energeticky úsporného projektu/projektů prostřednictvím metody EPC pro soubor budov uvedených v části 1) přílohy č. 1 smlouvy č. S-80</w:t>
      </w:r>
      <w:r>
        <w:rPr>
          <w:rFonts w:cstheme="minorHAnsi"/>
        </w:rPr>
        <w:t>09/</w:t>
      </w:r>
      <w:r w:rsidRPr="00C83AE6">
        <w:rPr>
          <w:rFonts w:cstheme="minorHAnsi"/>
        </w:rPr>
        <w:t>ŘDP/2020.</w:t>
      </w:r>
    </w:p>
    <w:p w14:paraId="3B36FAEC" w14:textId="77777777" w:rsidR="0072554E" w:rsidRDefault="0072554E" w:rsidP="0072554E">
      <w:pPr>
        <w:spacing w:after="0" w:line="240" w:lineRule="auto"/>
        <w:jc w:val="both"/>
        <w:rPr>
          <w:rFonts w:cstheme="minorHAnsi"/>
        </w:rPr>
      </w:pPr>
    </w:p>
    <w:p w14:paraId="47450D52" w14:textId="77777777" w:rsidR="0072554E" w:rsidRPr="00C83AE6" w:rsidRDefault="0072554E" w:rsidP="0072554E">
      <w:pPr>
        <w:spacing w:after="0" w:line="240" w:lineRule="auto"/>
        <w:jc w:val="both"/>
        <w:rPr>
          <w:rFonts w:cstheme="minorHAnsi"/>
        </w:rPr>
      </w:pPr>
    </w:p>
    <w:p w14:paraId="3F1CD79C" w14:textId="77777777" w:rsidR="0072554E" w:rsidRPr="00C83AE6" w:rsidRDefault="0072554E" w:rsidP="0072554E">
      <w:pPr>
        <w:spacing w:after="0" w:line="240" w:lineRule="auto"/>
        <w:jc w:val="both"/>
        <w:rPr>
          <w:rFonts w:cstheme="minorHAnsi"/>
          <w:b/>
        </w:rPr>
      </w:pPr>
      <w:r w:rsidRPr="00C83AE6">
        <w:rPr>
          <w:rFonts w:cstheme="minorHAnsi"/>
          <w:b/>
        </w:rPr>
        <w:t>§ 2115 – EPC III – Analýza potenciálu energetických úspor SK III</w:t>
      </w:r>
    </w:p>
    <w:p w14:paraId="508846D3" w14:textId="3C591BC9" w:rsidR="0072554E" w:rsidRPr="00C83AE6" w:rsidRDefault="0072554E" w:rsidP="0072554E">
      <w:pPr>
        <w:spacing w:after="0" w:line="240" w:lineRule="auto"/>
        <w:jc w:val="both"/>
        <w:rPr>
          <w:rFonts w:cstheme="minorHAnsi"/>
        </w:rPr>
      </w:pPr>
      <w:r>
        <w:rPr>
          <w:rFonts w:cstheme="minorHAnsi"/>
        </w:rPr>
        <w:t>Rozpočet v</w:t>
      </w:r>
      <w:r w:rsidRPr="00C83AE6">
        <w:rPr>
          <w:rFonts w:cstheme="minorHAnsi"/>
        </w:rPr>
        <w:t xml:space="preserve"> rámci realizace projektu „EPC III – Analýza stavu a potenciálu energetických úspor SK III“ </w:t>
      </w:r>
      <w:r>
        <w:rPr>
          <w:rFonts w:cstheme="minorHAnsi"/>
        </w:rPr>
        <w:t xml:space="preserve">byl </w:t>
      </w:r>
      <w:r w:rsidRPr="00C83AE6">
        <w:rPr>
          <w:rFonts w:cstheme="minorHAnsi"/>
        </w:rPr>
        <w:t xml:space="preserve">na základě usnesení č. 021-28/2021/RK ze dne 1. 7. 2021 </w:t>
      </w:r>
      <w:r>
        <w:rPr>
          <w:rFonts w:cstheme="minorHAnsi"/>
        </w:rPr>
        <w:t xml:space="preserve">zapojením </w:t>
      </w:r>
      <w:r w:rsidRPr="00C83AE6">
        <w:rPr>
          <w:rFonts w:cstheme="minorHAnsi"/>
        </w:rPr>
        <w:t xml:space="preserve">dotace z MPO Programu EFEKT 2 ve výši 117 653,00 Kč. Dotace byla </w:t>
      </w:r>
      <w:r>
        <w:rPr>
          <w:rFonts w:cstheme="minorHAnsi"/>
        </w:rPr>
        <w:t>100</w:t>
      </w:r>
      <w:r w:rsidR="00C1054D">
        <w:rPr>
          <w:rFonts w:cstheme="minorHAnsi"/>
        </w:rPr>
        <w:t>,0</w:t>
      </w:r>
      <w:r>
        <w:rPr>
          <w:rFonts w:cstheme="minorHAnsi"/>
        </w:rPr>
        <w:t xml:space="preserve"> % čerpána </w:t>
      </w:r>
      <w:r w:rsidRPr="00C83AE6">
        <w:rPr>
          <w:rFonts w:cstheme="minorHAnsi"/>
        </w:rPr>
        <w:t>na zajištění analýz stavu a potenciálu energetických úspor ke zjištění vhodnosti realizace energeticky úsporného projektu/projektů prostřednictvím metody EPC pro soubor budov uvedených v části 1) přílohy č. 1 smlouvy č. S-80</w:t>
      </w:r>
      <w:r>
        <w:rPr>
          <w:rFonts w:cstheme="minorHAnsi"/>
        </w:rPr>
        <w:t>09</w:t>
      </w:r>
      <w:r w:rsidRPr="00C83AE6">
        <w:rPr>
          <w:rFonts w:cstheme="minorHAnsi"/>
        </w:rPr>
        <w:t>/ŘDP/2020.</w:t>
      </w:r>
    </w:p>
    <w:p w14:paraId="1711ED9D" w14:textId="77777777" w:rsidR="0072554E" w:rsidRPr="0003094C" w:rsidRDefault="0072554E" w:rsidP="0072554E">
      <w:pPr>
        <w:spacing w:after="0" w:line="240" w:lineRule="auto"/>
        <w:jc w:val="both"/>
        <w:rPr>
          <w:rFonts w:cstheme="minorHAnsi"/>
        </w:rPr>
      </w:pPr>
      <w:r w:rsidRPr="0003094C">
        <w:rPr>
          <w:rFonts w:cstheme="minorHAnsi"/>
        </w:rPr>
        <w:tab/>
      </w:r>
    </w:p>
    <w:p w14:paraId="25D55529" w14:textId="77777777" w:rsidR="0072554E" w:rsidRPr="00792ECC" w:rsidRDefault="0072554E" w:rsidP="0072554E">
      <w:pPr>
        <w:spacing w:after="0" w:line="240" w:lineRule="auto"/>
        <w:rPr>
          <w:rFonts w:cstheme="minorHAnsi"/>
          <w:b/>
        </w:rPr>
      </w:pPr>
      <w:r w:rsidRPr="00792ECC">
        <w:rPr>
          <w:rFonts w:cstheme="minorHAnsi"/>
          <w:b/>
        </w:rPr>
        <w:t>§ 2510 – Smart Akcelerátor II</w:t>
      </w:r>
    </w:p>
    <w:p w14:paraId="0430D76C" w14:textId="554B0A03" w:rsidR="0072554E" w:rsidRPr="00792ECC" w:rsidRDefault="0072554E" w:rsidP="0072554E">
      <w:pPr>
        <w:spacing w:after="0" w:line="240" w:lineRule="auto"/>
        <w:jc w:val="both"/>
        <w:rPr>
          <w:rFonts w:cstheme="minorHAnsi"/>
        </w:rPr>
      </w:pPr>
      <w:r w:rsidRPr="00792ECC">
        <w:rPr>
          <w:rFonts w:cstheme="minorHAnsi"/>
        </w:rPr>
        <w:lastRenderedPageBreak/>
        <w:t xml:space="preserve">Rozpočet byl upraven usnesením č. 006-17/2021/RK ze dne 15. 4. 2021 - </w:t>
      </w:r>
      <w:r>
        <w:rPr>
          <w:rFonts w:cstheme="minorHAnsi"/>
        </w:rPr>
        <w:t>r</w:t>
      </w:r>
      <w:r w:rsidRPr="00792ECC">
        <w:rPr>
          <w:rFonts w:cstheme="minorHAnsi"/>
        </w:rPr>
        <w:t>ozpočto</w:t>
      </w:r>
      <w:r>
        <w:rPr>
          <w:rFonts w:cstheme="minorHAnsi"/>
        </w:rPr>
        <w:t>vou</w:t>
      </w:r>
      <w:r w:rsidRPr="00792ECC">
        <w:rPr>
          <w:rFonts w:cstheme="minorHAnsi"/>
        </w:rPr>
        <w:t xml:space="preserve"> úprav</w:t>
      </w:r>
      <w:r>
        <w:rPr>
          <w:rFonts w:cstheme="minorHAnsi"/>
        </w:rPr>
        <w:t>ou</w:t>
      </w:r>
      <w:r w:rsidRPr="00792ECC">
        <w:rPr>
          <w:rFonts w:cstheme="minorHAnsi"/>
        </w:rPr>
        <w:t xml:space="preserve"> č. 174/08/2021 – převod finančních prostředků z kapitoly 08 – Regionální rozvoj do kapitoly </w:t>
      </w:r>
      <w:r>
        <w:rPr>
          <w:rFonts w:cstheme="minorHAnsi"/>
        </w:rPr>
        <w:t xml:space="preserve">09 - Evropská integrace </w:t>
      </w:r>
      <w:r w:rsidRPr="00792ECC">
        <w:rPr>
          <w:rFonts w:cstheme="minorHAnsi"/>
        </w:rPr>
        <w:t xml:space="preserve">na částku </w:t>
      </w:r>
      <w:r>
        <w:rPr>
          <w:rFonts w:cstheme="minorHAnsi"/>
        </w:rPr>
        <w:t>4 928 787,67</w:t>
      </w:r>
      <w:r w:rsidRPr="00792ECC">
        <w:rPr>
          <w:rFonts w:cstheme="minorHAnsi"/>
        </w:rPr>
        <w:t xml:space="preserve"> Kč</w:t>
      </w:r>
      <w:r>
        <w:rPr>
          <w:rFonts w:cstheme="minorHAnsi"/>
        </w:rPr>
        <w:t>, j</w:t>
      </w:r>
      <w:r w:rsidRPr="00792ECC">
        <w:rPr>
          <w:rFonts w:cstheme="minorHAnsi"/>
        </w:rPr>
        <w:t xml:space="preserve">edná se o převod finančních prostředků z Odboru regionálního rozvoje do kapitoly </w:t>
      </w:r>
      <w:r>
        <w:rPr>
          <w:rFonts w:cstheme="minorHAnsi"/>
        </w:rPr>
        <w:t xml:space="preserve">09 </w:t>
      </w:r>
      <w:r w:rsidRPr="00792ECC">
        <w:rPr>
          <w:rFonts w:cstheme="minorHAnsi"/>
        </w:rPr>
        <w:t>- Evropská integrace, z důvodu převodu agendy z Odboru regionálního rozvoje do Odboru řízení dotačních projektů, na základě Opatření ředitele Krajského úřadu Středočeského kraje č. 3/2021, kterým se mění Organizační řád Krajského úřadu Středočeského kraje s účinností dne 1. 4. 2021.</w:t>
      </w:r>
      <w:r>
        <w:rPr>
          <w:rFonts w:cstheme="minorHAnsi"/>
        </w:rPr>
        <w:t xml:space="preserve"> Usnesením č. 006-18/2021/RK ze dne 22.4.2021 byl rozpočet navýšen o 8 500 000,00 Kč zapojením dotace.</w:t>
      </w:r>
      <w:r w:rsidRPr="00792ECC">
        <w:rPr>
          <w:rFonts w:cstheme="minorHAnsi"/>
        </w:rPr>
        <w:t xml:space="preserve"> Dále byl rozpočet </w:t>
      </w:r>
      <w:r>
        <w:rPr>
          <w:rFonts w:cstheme="minorHAnsi"/>
        </w:rPr>
        <w:t>navýšen</w:t>
      </w:r>
      <w:r w:rsidRPr="00792ECC">
        <w:rPr>
          <w:rFonts w:cstheme="minorHAnsi"/>
        </w:rPr>
        <w:t xml:space="preserve"> usnesením č</w:t>
      </w:r>
      <w:r w:rsidR="00C1054D">
        <w:rPr>
          <w:rFonts w:cstheme="minorHAnsi"/>
        </w:rPr>
        <w:t>.</w:t>
      </w:r>
      <w:r w:rsidRPr="00792ECC">
        <w:rPr>
          <w:rFonts w:cstheme="minorHAnsi"/>
        </w:rPr>
        <w:t xml:space="preserve"> 005-43/2021/RK ze dne 18.11.2021 </w:t>
      </w:r>
      <w:r>
        <w:rPr>
          <w:rFonts w:cstheme="minorHAnsi"/>
        </w:rPr>
        <w:t>–</w:t>
      </w:r>
      <w:r w:rsidRPr="00792ECC">
        <w:rPr>
          <w:rFonts w:cstheme="minorHAnsi"/>
        </w:rPr>
        <w:t xml:space="preserve"> </w:t>
      </w:r>
      <w:r>
        <w:rPr>
          <w:rFonts w:cstheme="minorHAnsi"/>
        </w:rPr>
        <w:t>zapojením dotace</w:t>
      </w:r>
      <w:r w:rsidRPr="00792ECC">
        <w:rPr>
          <w:rFonts w:cstheme="minorHAnsi"/>
        </w:rPr>
        <w:t xml:space="preserve"> na částku 21 928 787,67 Kč.</w:t>
      </w:r>
    </w:p>
    <w:p w14:paraId="60C4EF52" w14:textId="77777777" w:rsidR="0072554E" w:rsidRPr="00792ECC" w:rsidRDefault="0072554E" w:rsidP="0072554E">
      <w:pPr>
        <w:spacing w:after="0" w:line="240" w:lineRule="auto"/>
        <w:jc w:val="both"/>
        <w:rPr>
          <w:rFonts w:cstheme="minorHAnsi"/>
        </w:rPr>
      </w:pPr>
      <w:r w:rsidRPr="00792ECC">
        <w:rPr>
          <w:rFonts w:cstheme="minorHAnsi"/>
        </w:rPr>
        <w:t>Finanční prostředky ve výši 67,6 % byly čerpány na úhradu mezd zaměstnanců v rámci projektu Smart Akcelerátor II ve Středočeském kraji a na poskytnutí finančních prostředků Středočeskému inovačnímu centru v rámci projektu Smart Akcelerátor II na základě Smlouvy o partnerství ze dne 28. 3. 2019 a na základě uzavřené dohody o realizaci partnerské smlouvy, kde je vymezen finanční podíl partnera.</w:t>
      </w:r>
    </w:p>
    <w:p w14:paraId="7E1E199E" w14:textId="77777777" w:rsidR="0072554E" w:rsidRPr="0003094C" w:rsidRDefault="0072554E" w:rsidP="0072554E">
      <w:pPr>
        <w:spacing w:after="0" w:line="240" w:lineRule="auto"/>
        <w:jc w:val="both"/>
        <w:rPr>
          <w:rFonts w:cstheme="minorHAnsi"/>
          <w:b/>
          <w:u w:val="single"/>
        </w:rPr>
      </w:pPr>
    </w:p>
    <w:p w14:paraId="63C9B3C3" w14:textId="77777777" w:rsidR="0072554E" w:rsidRPr="0003094C" w:rsidRDefault="0072554E" w:rsidP="0072554E">
      <w:pPr>
        <w:spacing w:after="0" w:line="240" w:lineRule="auto"/>
        <w:rPr>
          <w:rFonts w:cstheme="minorHAnsi"/>
          <w:b/>
        </w:rPr>
      </w:pPr>
      <w:r w:rsidRPr="0003094C">
        <w:rPr>
          <w:rFonts w:cstheme="minorHAnsi"/>
          <w:b/>
        </w:rPr>
        <w:t>§ 3299 – Operační program Vzdělávání pro konkurenceschopnost</w:t>
      </w:r>
    </w:p>
    <w:p w14:paraId="4C02394C" w14:textId="77777777" w:rsidR="0072554E" w:rsidRDefault="0072554E" w:rsidP="0072554E">
      <w:pPr>
        <w:spacing w:after="0" w:line="240" w:lineRule="auto"/>
        <w:jc w:val="both"/>
        <w:rPr>
          <w:rFonts w:cstheme="minorHAnsi"/>
        </w:rPr>
      </w:pPr>
      <w:r w:rsidRPr="0003094C">
        <w:rPr>
          <w:rFonts w:cstheme="minorHAnsi"/>
        </w:rPr>
        <w:t>Upravený rozpočet je tvořen nevyčerpanými finančními prostředky z </w:t>
      </w:r>
      <w:r>
        <w:rPr>
          <w:rFonts w:cstheme="minorHAnsi"/>
        </w:rPr>
        <w:t>r.</w:t>
      </w:r>
      <w:r w:rsidRPr="0003094C">
        <w:rPr>
          <w:rFonts w:cstheme="minorHAnsi"/>
        </w:rPr>
        <w:t xml:space="preserve"> 2020 ve výši 662 567,66 Kč, které byly převedeny</w:t>
      </w:r>
      <w:r>
        <w:rPr>
          <w:rFonts w:cstheme="minorHAnsi"/>
        </w:rPr>
        <w:t xml:space="preserve"> do r. 2021</w:t>
      </w:r>
      <w:r w:rsidRPr="0003094C">
        <w:rPr>
          <w:rFonts w:cstheme="minorHAnsi"/>
        </w:rPr>
        <w:t xml:space="preserve"> usnesením č. 0</w:t>
      </w:r>
      <w:r>
        <w:rPr>
          <w:rFonts w:cstheme="minorHAnsi"/>
        </w:rPr>
        <w:t>09-</w:t>
      </w:r>
      <w:r w:rsidRPr="0003094C">
        <w:rPr>
          <w:rFonts w:cstheme="minorHAnsi"/>
        </w:rPr>
        <w:t xml:space="preserve">08/2021/RK ze dne 18. 2. 2021 </w:t>
      </w:r>
      <w:r>
        <w:rPr>
          <w:rFonts w:cstheme="minorHAnsi"/>
        </w:rPr>
        <w:t>(</w:t>
      </w:r>
      <w:r w:rsidRPr="00957F76">
        <w:rPr>
          <w:rFonts w:cstheme="minorHAnsi"/>
        </w:rPr>
        <w:t>zapojeno do zůstatku hospodaření SK z </w:t>
      </w:r>
      <w:r>
        <w:rPr>
          <w:rFonts w:cstheme="minorHAnsi"/>
        </w:rPr>
        <w:t xml:space="preserve">r. 2020 schváleného usnesením </w:t>
      </w:r>
      <w:r w:rsidRPr="00957F76">
        <w:rPr>
          <w:rFonts w:cstheme="minorHAnsi"/>
        </w:rPr>
        <w:t>č. 007-06/2021/ZK ze dne 26. 04. 2021)</w:t>
      </w:r>
      <w:r w:rsidRPr="0003094C">
        <w:rPr>
          <w:rFonts w:cstheme="minorHAnsi"/>
        </w:rPr>
        <w:t xml:space="preserve">. </w:t>
      </w:r>
      <w:r>
        <w:rPr>
          <w:rFonts w:cstheme="minorHAnsi"/>
        </w:rPr>
        <w:t xml:space="preserve">Usnesením č. 009-30/2021/RK ze dne 29.7.2021 byl navýšen rozpočet o 65 680,00 Kč o dobrovolně vrácenou částku u projektu OP VK. </w:t>
      </w:r>
      <w:r w:rsidRPr="0003094C">
        <w:rPr>
          <w:rFonts w:cstheme="minorHAnsi"/>
        </w:rPr>
        <w:t>V</w:t>
      </w:r>
      <w:r>
        <w:rPr>
          <w:rFonts w:cstheme="minorHAnsi"/>
        </w:rPr>
        <w:t xml:space="preserve"> r. </w:t>
      </w:r>
      <w:r w:rsidRPr="0003094C">
        <w:rPr>
          <w:rFonts w:cstheme="minorHAnsi"/>
        </w:rPr>
        <w:t xml:space="preserve">2021 bylo čerpáno </w:t>
      </w:r>
      <w:r>
        <w:rPr>
          <w:rFonts w:cstheme="minorHAnsi"/>
        </w:rPr>
        <w:t>485 397,00 Kč, což představuje 66,7</w:t>
      </w:r>
      <w:r w:rsidRPr="0003094C">
        <w:rPr>
          <w:rFonts w:cstheme="minorHAnsi"/>
        </w:rPr>
        <w:t xml:space="preserve"> % plnění rozpočtu, </w:t>
      </w:r>
      <w:r>
        <w:rPr>
          <w:rFonts w:cstheme="minorHAnsi"/>
        </w:rPr>
        <w:t>na</w:t>
      </w:r>
      <w:r w:rsidRPr="0003094C">
        <w:rPr>
          <w:rFonts w:cstheme="minorHAnsi"/>
        </w:rPr>
        <w:t xml:space="preserve"> vratk</w:t>
      </w:r>
      <w:r>
        <w:rPr>
          <w:rFonts w:cstheme="minorHAnsi"/>
        </w:rPr>
        <w:t>u</w:t>
      </w:r>
      <w:r w:rsidRPr="0003094C">
        <w:rPr>
          <w:rFonts w:cstheme="minorHAnsi"/>
        </w:rPr>
        <w:t xml:space="preserve"> příjemc</w:t>
      </w:r>
      <w:r>
        <w:rPr>
          <w:rFonts w:cstheme="minorHAnsi"/>
        </w:rPr>
        <w:t>i</w:t>
      </w:r>
      <w:r w:rsidRPr="0003094C">
        <w:rPr>
          <w:rFonts w:cstheme="minorHAnsi"/>
        </w:rPr>
        <w:t xml:space="preserve"> dotace, u kter</w:t>
      </w:r>
      <w:r>
        <w:rPr>
          <w:rFonts w:cstheme="minorHAnsi"/>
        </w:rPr>
        <w:t>ého</w:t>
      </w:r>
      <w:r w:rsidRPr="0003094C">
        <w:rPr>
          <w:rFonts w:cstheme="minorHAnsi"/>
        </w:rPr>
        <w:t xml:space="preserve"> se nepotvrdila nesrovnalost</w:t>
      </w:r>
      <w:r>
        <w:rPr>
          <w:rFonts w:cstheme="minorHAnsi"/>
        </w:rPr>
        <w:t xml:space="preserve"> a poskytovateli MŠMT.</w:t>
      </w:r>
      <w:r w:rsidRPr="0003094C">
        <w:rPr>
          <w:rFonts w:cstheme="minorHAnsi"/>
        </w:rPr>
        <w:t xml:space="preserve"> Nevyčerpané </w:t>
      </w:r>
      <w:r>
        <w:rPr>
          <w:rFonts w:cstheme="minorHAnsi"/>
        </w:rPr>
        <w:t xml:space="preserve">finanční </w:t>
      </w:r>
      <w:r w:rsidRPr="0003094C">
        <w:rPr>
          <w:rFonts w:cstheme="minorHAnsi"/>
        </w:rPr>
        <w:t xml:space="preserve">prostředky budou </w:t>
      </w:r>
      <w:r w:rsidRPr="005E77AD">
        <w:rPr>
          <w:rFonts w:cstheme="minorHAnsi"/>
        </w:rPr>
        <w:t>převedeny do rozpočtu r. 2022</w:t>
      </w:r>
      <w:r>
        <w:rPr>
          <w:rFonts w:cstheme="minorHAnsi"/>
        </w:rPr>
        <w:t xml:space="preserve"> a </w:t>
      </w:r>
      <w:r w:rsidRPr="0003094C">
        <w:rPr>
          <w:rFonts w:cstheme="minorHAnsi"/>
        </w:rPr>
        <w:t>čerpány na vypořádání nesrovnalostí</w:t>
      </w:r>
      <w:r>
        <w:rPr>
          <w:rFonts w:cstheme="minorHAnsi"/>
        </w:rPr>
        <w:t xml:space="preserve"> v dalších letech.</w:t>
      </w:r>
    </w:p>
    <w:p w14:paraId="0C5D0350" w14:textId="77777777" w:rsidR="0072554E" w:rsidRDefault="0072554E" w:rsidP="0072554E">
      <w:pPr>
        <w:spacing w:after="0" w:line="240" w:lineRule="auto"/>
        <w:jc w:val="both"/>
        <w:rPr>
          <w:rFonts w:cstheme="minorHAnsi"/>
        </w:rPr>
      </w:pPr>
    </w:p>
    <w:p w14:paraId="6754BA59" w14:textId="43396CF7" w:rsidR="0072554E" w:rsidRDefault="0072554E" w:rsidP="0072554E">
      <w:pPr>
        <w:spacing w:after="0" w:line="240" w:lineRule="auto"/>
        <w:rPr>
          <w:rFonts w:cstheme="minorHAnsi"/>
          <w:b/>
        </w:rPr>
      </w:pPr>
      <w:r w:rsidRPr="0003094C">
        <w:rPr>
          <w:rFonts w:cstheme="minorHAnsi"/>
          <w:b/>
        </w:rPr>
        <w:t>§ 3713 – Stát</w:t>
      </w:r>
      <w:r>
        <w:rPr>
          <w:rFonts w:cstheme="minorHAnsi"/>
          <w:b/>
        </w:rPr>
        <w:t>ní fond životního prostředí ČR -</w:t>
      </w:r>
      <w:r w:rsidRPr="0003094C">
        <w:rPr>
          <w:rFonts w:cstheme="minorHAnsi"/>
          <w:b/>
        </w:rPr>
        <w:t xml:space="preserve"> inv., neinv., Výměna zdrojů tepla na pevná paliva v rodinných domec</w:t>
      </w:r>
      <w:r>
        <w:rPr>
          <w:rFonts w:cstheme="minorHAnsi"/>
          <w:b/>
        </w:rPr>
        <w:t>h SK 201</w:t>
      </w:r>
      <w:r w:rsidR="00966B8C">
        <w:rPr>
          <w:rFonts w:cstheme="minorHAnsi"/>
          <w:b/>
        </w:rPr>
        <w:t>7</w:t>
      </w:r>
      <w:r>
        <w:rPr>
          <w:rFonts w:cstheme="minorHAnsi"/>
          <w:b/>
        </w:rPr>
        <w:t>-201</w:t>
      </w:r>
      <w:r w:rsidR="00966B8C">
        <w:rPr>
          <w:rFonts w:cstheme="minorHAnsi"/>
          <w:b/>
        </w:rPr>
        <w:t>9</w:t>
      </w:r>
      <w:r>
        <w:rPr>
          <w:rFonts w:cstheme="minorHAnsi"/>
          <w:b/>
        </w:rPr>
        <w:t>, ÚZ 15011,15974 - I. Výzva</w:t>
      </w:r>
    </w:p>
    <w:p w14:paraId="387DE191" w14:textId="3ACC0B54" w:rsidR="0072554E" w:rsidRDefault="0072554E" w:rsidP="0072554E">
      <w:pPr>
        <w:spacing w:after="0" w:line="240" w:lineRule="auto"/>
        <w:rPr>
          <w:rFonts w:cstheme="minorHAnsi"/>
          <w:bCs/>
        </w:rPr>
      </w:pPr>
      <w:r w:rsidRPr="005E77AD">
        <w:rPr>
          <w:rFonts w:cstheme="minorHAnsi"/>
          <w:bCs/>
        </w:rPr>
        <w:t>Upravený rozpočet je tvořen vrácenou dotací od příjemce za nesplnění podmínek dotace ve výši 100 197,00 Kč, zapojenou usnesením č. 027-47/2021/RK ze dne 16.12.2021 do rozpočtu. V roce 2021 nebylo čerpáno, nevyčerpané finanční prostředky po obdržení výzvy bud</w:t>
      </w:r>
      <w:r>
        <w:rPr>
          <w:rFonts w:cstheme="minorHAnsi"/>
          <w:bCs/>
        </w:rPr>
        <w:t>ou</w:t>
      </w:r>
      <w:r w:rsidRPr="005E77AD">
        <w:rPr>
          <w:rFonts w:cstheme="minorHAnsi"/>
          <w:bCs/>
        </w:rPr>
        <w:t xml:space="preserve"> vrácen</w:t>
      </w:r>
      <w:r>
        <w:rPr>
          <w:rFonts w:cstheme="minorHAnsi"/>
          <w:bCs/>
        </w:rPr>
        <w:t>y</w:t>
      </w:r>
      <w:r w:rsidRPr="005E77AD">
        <w:rPr>
          <w:rFonts w:cstheme="minorHAnsi"/>
          <w:bCs/>
        </w:rPr>
        <w:t xml:space="preserve"> poskytovateli</w:t>
      </w:r>
      <w:r>
        <w:rPr>
          <w:rFonts w:cstheme="minorHAnsi"/>
          <w:bCs/>
        </w:rPr>
        <w:t>,</w:t>
      </w:r>
      <w:r w:rsidRPr="005E77AD">
        <w:rPr>
          <w:rFonts w:cstheme="minorHAnsi"/>
          <w:bCs/>
        </w:rPr>
        <w:t xml:space="preserve"> MŽP.</w:t>
      </w:r>
    </w:p>
    <w:p w14:paraId="50434D78" w14:textId="77777777" w:rsidR="0072554E" w:rsidRPr="000F5CBD" w:rsidRDefault="0072554E" w:rsidP="0072554E">
      <w:pPr>
        <w:spacing w:after="0" w:line="240" w:lineRule="auto"/>
        <w:rPr>
          <w:rFonts w:cstheme="minorHAnsi"/>
          <w:bCs/>
        </w:rPr>
      </w:pPr>
    </w:p>
    <w:p w14:paraId="40FFCD9C" w14:textId="77777777" w:rsidR="0072554E" w:rsidRDefault="0072554E" w:rsidP="0072554E">
      <w:pPr>
        <w:spacing w:after="0" w:line="240" w:lineRule="auto"/>
        <w:rPr>
          <w:rFonts w:cstheme="minorHAnsi"/>
          <w:b/>
        </w:rPr>
      </w:pPr>
      <w:r w:rsidRPr="0003094C">
        <w:rPr>
          <w:rFonts w:cstheme="minorHAnsi"/>
          <w:b/>
        </w:rPr>
        <w:t>§ 3713 – Stát</w:t>
      </w:r>
      <w:r>
        <w:rPr>
          <w:rFonts w:cstheme="minorHAnsi"/>
          <w:b/>
        </w:rPr>
        <w:t>ní fond životního prostředí ČR -</w:t>
      </w:r>
      <w:r w:rsidRPr="0003094C">
        <w:rPr>
          <w:rFonts w:cstheme="minorHAnsi"/>
          <w:b/>
        </w:rPr>
        <w:t xml:space="preserve"> inv., neinv., Výměna zdrojů tepla na pevná paliva v rodinných domec</w:t>
      </w:r>
      <w:r>
        <w:rPr>
          <w:rFonts w:cstheme="minorHAnsi"/>
          <w:b/>
        </w:rPr>
        <w:t>h SK 2017-2019, ÚZ 15011,15974 - II. Výzva</w:t>
      </w:r>
    </w:p>
    <w:p w14:paraId="307FAB6B" w14:textId="3B29A04E" w:rsidR="0072554E" w:rsidRDefault="0072554E" w:rsidP="0072554E">
      <w:pPr>
        <w:jc w:val="both"/>
        <w:rPr>
          <w:rFonts w:cstheme="minorHAnsi"/>
        </w:rPr>
      </w:pPr>
      <w:r w:rsidRPr="005E77AD">
        <w:rPr>
          <w:rFonts w:cstheme="minorHAnsi"/>
        </w:rPr>
        <w:t xml:space="preserve">Rozpočet byl upraven na základě usnesení č. 019-02/2021/RK ze dne 14.1.2021 převodem nevyčerpaných finančních účelových prostředků kapitoly 09 - Evropská integrace v rámci projektů OPŽP z r. 2020 (zapojeno do zůstatku hospodaření SK z r. 2020 schváleného usnesením č. 007-06/2021/ZK ze dne 26. 04. 2021), usnesením č. 010-12/2021/RK ze dne 11. 3. 2021 </w:t>
      </w:r>
      <w:r w:rsidRPr="005E77AD">
        <w:rPr>
          <w:rFonts w:ascii="Calibri" w:eastAsia="Times New Roman" w:hAnsi="Calibri" w:cs="Times New Roman"/>
          <w:color w:val="000000"/>
          <w:lang w:eastAsia="cs-CZ"/>
        </w:rPr>
        <w:t>převodem finančních prostředků mezi paragrafy v rámci výdajů kapitoly 09 - Evropská integrace a r</w:t>
      </w:r>
      <w:r w:rsidRPr="005E77AD">
        <w:rPr>
          <w:rFonts w:cstheme="minorHAnsi"/>
        </w:rPr>
        <w:t>ozpočtovou úpravou č. 750/09/2021 z 9.12.2021 na 120 000,00 Kč. Čerpáno 100</w:t>
      </w:r>
      <w:r w:rsidR="00C1054D">
        <w:rPr>
          <w:rFonts w:cstheme="minorHAnsi"/>
        </w:rPr>
        <w:t>,0</w:t>
      </w:r>
      <w:r w:rsidRPr="005E77AD">
        <w:rPr>
          <w:rFonts w:cstheme="minorHAnsi"/>
        </w:rPr>
        <w:t xml:space="preserve"> % vrácením na základě výzvy z MŽP.</w:t>
      </w:r>
    </w:p>
    <w:p w14:paraId="2CE0083B" w14:textId="77777777" w:rsidR="0072554E" w:rsidRPr="0003094C" w:rsidRDefault="0072554E" w:rsidP="0072554E">
      <w:pPr>
        <w:spacing w:after="0" w:line="240" w:lineRule="auto"/>
        <w:jc w:val="both"/>
        <w:rPr>
          <w:rFonts w:cstheme="minorHAnsi"/>
        </w:rPr>
      </w:pPr>
    </w:p>
    <w:p w14:paraId="29A8898A" w14:textId="77777777" w:rsidR="0072554E" w:rsidRDefault="0072554E" w:rsidP="0072554E">
      <w:pPr>
        <w:spacing w:after="0" w:line="240" w:lineRule="auto"/>
        <w:rPr>
          <w:rFonts w:cstheme="minorHAnsi"/>
          <w:b/>
        </w:rPr>
      </w:pPr>
      <w:r w:rsidRPr="0003094C">
        <w:rPr>
          <w:rFonts w:cstheme="minorHAnsi"/>
          <w:b/>
        </w:rPr>
        <w:t>§ 3713 – Stát</w:t>
      </w:r>
      <w:r>
        <w:rPr>
          <w:rFonts w:cstheme="minorHAnsi"/>
          <w:b/>
        </w:rPr>
        <w:t>ní fond životního prostředí ČR -</w:t>
      </w:r>
      <w:r w:rsidRPr="0003094C">
        <w:rPr>
          <w:rFonts w:cstheme="minorHAnsi"/>
          <w:b/>
        </w:rPr>
        <w:t xml:space="preserve"> inv., neinv., Výměna zdrojů tepla na pevná paliva v rodinných domec</w:t>
      </w:r>
      <w:r>
        <w:rPr>
          <w:rFonts w:cstheme="minorHAnsi"/>
          <w:b/>
        </w:rPr>
        <w:t>h SK 2019-2023, ÚZ 15011,15974 - III. Výzva</w:t>
      </w:r>
    </w:p>
    <w:p w14:paraId="41B13F43" w14:textId="46F79319" w:rsidR="0072554E" w:rsidRPr="00AF589E" w:rsidRDefault="0072554E" w:rsidP="0072554E">
      <w:pPr>
        <w:spacing w:after="0" w:line="240" w:lineRule="auto"/>
        <w:jc w:val="both"/>
        <w:rPr>
          <w:rFonts w:cstheme="minorHAnsi"/>
        </w:rPr>
      </w:pPr>
      <w:r>
        <w:rPr>
          <w:rFonts w:cstheme="minorHAnsi"/>
        </w:rPr>
        <w:t>Rozpočet byl upraven na základě usnesení</w:t>
      </w:r>
      <w:r w:rsidRPr="0003094C">
        <w:rPr>
          <w:rFonts w:cstheme="minorHAnsi"/>
        </w:rPr>
        <w:t xml:space="preserve"> č. 006-10/202</w:t>
      </w:r>
      <w:r>
        <w:rPr>
          <w:rFonts w:cstheme="minorHAnsi"/>
        </w:rPr>
        <w:t xml:space="preserve">1/RK ze dne 4. 3. 2021 z </w:t>
      </w:r>
      <w:r w:rsidRPr="0003094C">
        <w:rPr>
          <w:rFonts w:cstheme="minorHAnsi"/>
        </w:rPr>
        <w:t>nevyčerpaných účelových finančních</w:t>
      </w:r>
      <w:r>
        <w:rPr>
          <w:rFonts w:cstheme="minorHAnsi"/>
        </w:rPr>
        <w:t xml:space="preserve"> prostředků r.</w:t>
      </w:r>
      <w:r w:rsidRPr="0003094C">
        <w:rPr>
          <w:rFonts w:cstheme="minorHAnsi"/>
        </w:rPr>
        <w:t xml:space="preserve"> 2020</w:t>
      </w:r>
      <w:r>
        <w:rPr>
          <w:rFonts w:cstheme="minorHAnsi"/>
        </w:rPr>
        <w:t xml:space="preserve"> (</w:t>
      </w:r>
      <w:r w:rsidRPr="00957F76">
        <w:rPr>
          <w:rFonts w:cstheme="minorHAnsi"/>
        </w:rPr>
        <w:t>zapojeno do zůstatku hospodaření SK z </w:t>
      </w:r>
      <w:r>
        <w:rPr>
          <w:rFonts w:cstheme="minorHAnsi"/>
        </w:rPr>
        <w:t xml:space="preserve">r. 2020 schváleného usnesením </w:t>
      </w:r>
      <w:r w:rsidRPr="00957F76">
        <w:rPr>
          <w:rFonts w:cstheme="minorHAnsi"/>
        </w:rPr>
        <w:t>č. 007-06/2021/ZK ze dne 26. 04. 2021)</w:t>
      </w:r>
      <w:r>
        <w:rPr>
          <w:rFonts w:cstheme="minorHAnsi"/>
        </w:rPr>
        <w:t xml:space="preserve"> </w:t>
      </w:r>
      <w:r w:rsidRPr="0003094C">
        <w:rPr>
          <w:rFonts w:cstheme="minorHAnsi"/>
        </w:rPr>
        <w:t>ve výši 165 271 129,17 Kč</w:t>
      </w:r>
      <w:r>
        <w:rPr>
          <w:rFonts w:cstheme="minorHAnsi"/>
        </w:rPr>
        <w:t>, usnesením č. 008-30/2021/RK ze dne 29.7.2021 byla zapojena do rozpočtu dotace z MŽP</w:t>
      </w:r>
      <w:r w:rsidRPr="001E2D94">
        <w:rPr>
          <w:rFonts w:cstheme="minorHAnsi"/>
        </w:rPr>
        <w:t xml:space="preserve"> </w:t>
      </w:r>
      <w:r>
        <w:rPr>
          <w:rFonts w:cstheme="minorHAnsi"/>
        </w:rPr>
        <w:t>ve výši 133 759 558,19 Kč, usnesením č. 030-</w:t>
      </w:r>
      <w:r w:rsidRPr="005E77AD">
        <w:rPr>
          <w:rFonts w:cstheme="minorHAnsi"/>
        </w:rPr>
        <w:t>47</w:t>
      </w:r>
      <w:r>
        <w:rPr>
          <w:rFonts w:cstheme="minorHAnsi"/>
        </w:rPr>
        <w:t xml:space="preserve">/2021/RK ze dne 16.12.2021 byla zapojena dotace MŽP ve výši 70 000 000,00 Kč. Úroky z bankovního účtu navýšily rozpočet o 120 890,46 Kč usnesením č. 026-47/2021/RK ze dne 16.12.2021. Rozpočtovou úpravou č. 750/09/2021 z 9.12.2021 byl rozpočet navýšen o vratku ve výši 78 635,70 Kč, která byla vyplacena poskytovateli na základě výzvy. </w:t>
      </w:r>
      <w:r w:rsidRPr="0003094C">
        <w:rPr>
          <w:rFonts w:cstheme="minorHAnsi"/>
        </w:rPr>
        <w:t>V </w:t>
      </w:r>
      <w:r>
        <w:rPr>
          <w:rFonts w:cstheme="minorHAnsi"/>
        </w:rPr>
        <w:t>r.</w:t>
      </w:r>
      <w:r w:rsidRPr="0003094C">
        <w:rPr>
          <w:rFonts w:cstheme="minorHAnsi"/>
        </w:rPr>
        <w:t xml:space="preserve"> 2021 bylo čerpáno </w:t>
      </w:r>
      <w:r>
        <w:rPr>
          <w:rFonts w:cstheme="minorHAnsi"/>
        </w:rPr>
        <w:t xml:space="preserve">185 740 439,28 </w:t>
      </w:r>
      <w:r w:rsidRPr="0003094C">
        <w:rPr>
          <w:rFonts w:cstheme="minorHAnsi"/>
        </w:rPr>
        <w:t xml:space="preserve">Kč, což představuje </w:t>
      </w:r>
      <w:r>
        <w:rPr>
          <w:rFonts w:cstheme="minorHAnsi"/>
        </w:rPr>
        <w:t>50,3</w:t>
      </w:r>
      <w:r w:rsidRPr="0003094C">
        <w:rPr>
          <w:rFonts w:cstheme="minorHAnsi"/>
        </w:rPr>
        <w:t xml:space="preserve"> % plnění rozpočtu. Zbylé </w:t>
      </w:r>
      <w:r>
        <w:rPr>
          <w:rFonts w:cstheme="minorHAnsi"/>
        </w:rPr>
        <w:t xml:space="preserve">nevyčerpané </w:t>
      </w:r>
      <w:r w:rsidRPr="0003094C">
        <w:rPr>
          <w:rFonts w:cstheme="minorHAnsi"/>
        </w:rPr>
        <w:t>finanční prostředky čerpány v </w:t>
      </w:r>
      <w:r>
        <w:rPr>
          <w:rFonts w:cstheme="minorHAnsi"/>
        </w:rPr>
        <w:t>r.</w:t>
      </w:r>
      <w:r w:rsidRPr="0003094C">
        <w:rPr>
          <w:rFonts w:cstheme="minorHAnsi"/>
        </w:rPr>
        <w:t xml:space="preserve"> 202</w:t>
      </w:r>
      <w:r>
        <w:rPr>
          <w:rFonts w:cstheme="minorHAnsi"/>
        </w:rPr>
        <w:t>2</w:t>
      </w:r>
      <w:r w:rsidRPr="0003094C">
        <w:rPr>
          <w:rFonts w:cstheme="minorHAnsi"/>
        </w:rPr>
        <w:t xml:space="preserve"> a dalších letech.</w:t>
      </w:r>
    </w:p>
    <w:p w14:paraId="47D4B5CC" w14:textId="77777777" w:rsidR="0072554E" w:rsidRPr="0003094C" w:rsidRDefault="0072554E" w:rsidP="0072554E">
      <w:pPr>
        <w:spacing w:after="0" w:line="240" w:lineRule="auto"/>
        <w:jc w:val="both"/>
        <w:rPr>
          <w:rFonts w:cstheme="minorHAnsi"/>
        </w:rPr>
      </w:pPr>
    </w:p>
    <w:p w14:paraId="464F1F63" w14:textId="65EEDA2D" w:rsidR="0072554E" w:rsidRPr="0003094C" w:rsidRDefault="0072554E" w:rsidP="0072554E">
      <w:pPr>
        <w:spacing w:after="0" w:line="240" w:lineRule="auto"/>
        <w:rPr>
          <w:rFonts w:cstheme="minorHAnsi"/>
          <w:b/>
        </w:rPr>
      </w:pPr>
      <w:bookmarkStart w:id="50" w:name="_Hlk98852851"/>
      <w:r w:rsidRPr="0003094C">
        <w:rPr>
          <w:rFonts w:cstheme="minorHAnsi"/>
          <w:b/>
        </w:rPr>
        <w:t xml:space="preserve">§ 3713 – </w:t>
      </w:r>
      <w:r w:rsidRPr="001F591A">
        <w:rPr>
          <w:rFonts w:cstheme="minorHAnsi"/>
          <w:b/>
        </w:rPr>
        <w:t>N</w:t>
      </w:r>
      <w:r w:rsidR="00795CC0" w:rsidRPr="001F591A">
        <w:rPr>
          <w:rFonts w:cstheme="minorHAnsi"/>
          <w:b/>
        </w:rPr>
        <w:t>ová zelená úsporám</w:t>
      </w:r>
      <w:r w:rsidRPr="001F591A">
        <w:rPr>
          <w:rFonts w:cstheme="minorHAnsi"/>
          <w:b/>
        </w:rPr>
        <w:t xml:space="preserve"> – Výměna zdrojů tepla na pevná paliva v rodinných domech SK 2019-2023 </w:t>
      </w:r>
      <w:r w:rsidR="00E42688" w:rsidRPr="001F591A">
        <w:rPr>
          <w:rFonts w:cstheme="minorHAnsi"/>
          <w:b/>
        </w:rPr>
        <w:t>–</w:t>
      </w:r>
      <w:r w:rsidRPr="001F591A">
        <w:rPr>
          <w:rFonts w:cstheme="minorHAnsi"/>
          <w:b/>
        </w:rPr>
        <w:t xml:space="preserve"> zásobník</w:t>
      </w:r>
      <w:r w:rsidR="00E42688" w:rsidRPr="001F591A">
        <w:rPr>
          <w:rFonts w:cstheme="minorHAnsi"/>
          <w:b/>
        </w:rPr>
        <w:t xml:space="preserve"> schválených</w:t>
      </w:r>
      <w:r w:rsidR="00E42688">
        <w:rPr>
          <w:rFonts w:cstheme="minorHAnsi"/>
          <w:b/>
        </w:rPr>
        <w:t xml:space="preserve"> žádostí dílčích projektů</w:t>
      </w:r>
      <w:r w:rsidRPr="0003094C">
        <w:rPr>
          <w:rFonts w:cstheme="minorHAnsi"/>
          <w:b/>
        </w:rPr>
        <w:t>, ÚZ 15972</w:t>
      </w:r>
    </w:p>
    <w:p w14:paraId="6473EF5B" w14:textId="1D3D3808" w:rsidR="0072554E" w:rsidRPr="00A4527F" w:rsidRDefault="0072554E" w:rsidP="0072554E">
      <w:pPr>
        <w:spacing w:after="0" w:line="240" w:lineRule="auto"/>
        <w:jc w:val="both"/>
        <w:rPr>
          <w:rFonts w:cstheme="minorHAnsi"/>
          <w:b/>
        </w:rPr>
      </w:pPr>
      <w:r w:rsidRPr="0003094C">
        <w:rPr>
          <w:rFonts w:cstheme="minorHAnsi"/>
        </w:rPr>
        <w:t xml:space="preserve">Usnesením č. 006-10/2021/RK ze dne 4. 3. 2021 byly převedeny nevyčerpané účelové </w:t>
      </w:r>
      <w:r>
        <w:rPr>
          <w:rFonts w:cstheme="minorHAnsi"/>
        </w:rPr>
        <w:t xml:space="preserve">finanční </w:t>
      </w:r>
      <w:r w:rsidRPr="0003094C">
        <w:rPr>
          <w:rFonts w:cstheme="minorHAnsi"/>
        </w:rPr>
        <w:t>prostředky z </w:t>
      </w:r>
      <w:r>
        <w:rPr>
          <w:rFonts w:cstheme="minorHAnsi"/>
        </w:rPr>
        <w:t>r.</w:t>
      </w:r>
      <w:r w:rsidRPr="0003094C">
        <w:rPr>
          <w:rFonts w:cstheme="minorHAnsi"/>
        </w:rPr>
        <w:t xml:space="preserve"> 2020 do </w:t>
      </w:r>
      <w:r>
        <w:rPr>
          <w:rFonts w:cstheme="minorHAnsi"/>
        </w:rPr>
        <w:t xml:space="preserve">rozpočtu r. 2021 ve výši 88 888 573,85 Kč. Usnesením č. 020-28/2021/RK ze dne 1.7.2021 byla do rozpočtu zapojena </w:t>
      </w:r>
      <w:r>
        <w:rPr>
          <w:rFonts w:cstheme="minorHAnsi"/>
        </w:rPr>
        <w:lastRenderedPageBreak/>
        <w:t xml:space="preserve">dotace MŽP ve výši 56 333 066,26 Kč a usnesením č. 008-39/2021/RK ze dne 14.10.2021 byla zapojena dotace MŽP ve výši 55 996 398,34 Kč. </w:t>
      </w:r>
      <w:r w:rsidRPr="0003094C">
        <w:rPr>
          <w:rFonts w:cstheme="minorHAnsi"/>
        </w:rPr>
        <w:t>V </w:t>
      </w:r>
      <w:r>
        <w:rPr>
          <w:rFonts w:cstheme="minorHAnsi"/>
        </w:rPr>
        <w:t>r.</w:t>
      </w:r>
      <w:r w:rsidRPr="0003094C">
        <w:rPr>
          <w:rFonts w:cstheme="minorHAnsi"/>
        </w:rPr>
        <w:t xml:space="preserve"> 2021 bylo čerpáno </w:t>
      </w:r>
      <w:r>
        <w:rPr>
          <w:rFonts w:cstheme="minorHAnsi"/>
        </w:rPr>
        <w:t>168 345 843,10</w:t>
      </w:r>
      <w:r w:rsidRPr="0003094C">
        <w:rPr>
          <w:rFonts w:cstheme="minorHAnsi"/>
        </w:rPr>
        <w:t xml:space="preserve"> Kč, což představuje </w:t>
      </w:r>
      <w:r>
        <w:rPr>
          <w:rFonts w:cstheme="minorHAnsi"/>
        </w:rPr>
        <w:t>83,7</w:t>
      </w:r>
      <w:r w:rsidRPr="0003094C">
        <w:rPr>
          <w:rFonts w:cstheme="minorHAnsi"/>
        </w:rPr>
        <w:t xml:space="preserve"> % rozpočt</w:t>
      </w:r>
      <w:r>
        <w:rPr>
          <w:rFonts w:cstheme="minorHAnsi"/>
        </w:rPr>
        <w:t>u</w:t>
      </w:r>
      <w:r w:rsidRPr="0003094C">
        <w:rPr>
          <w:rFonts w:cstheme="minorHAnsi"/>
        </w:rPr>
        <w:t xml:space="preserve">. Zbylé </w:t>
      </w:r>
      <w:r>
        <w:rPr>
          <w:rFonts w:cstheme="minorHAnsi"/>
        </w:rPr>
        <w:t xml:space="preserve">nevyčerpané </w:t>
      </w:r>
      <w:r w:rsidRPr="0003094C">
        <w:rPr>
          <w:rFonts w:cstheme="minorHAnsi"/>
        </w:rPr>
        <w:t>finanční prostředky budou</w:t>
      </w:r>
      <w:r>
        <w:rPr>
          <w:rFonts w:cstheme="minorHAnsi"/>
        </w:rPr>
        <w:t xml:space="preserve"> </w:t>
      </w:r>
      <w:r w:rsidRPr="0003094C">
        <w:rPr>
          <w:rFonts w:cstheme="minorHAnsi"/>
        </w:rPr>
        <w:t>čerpány v </w:t>
      </w:r>
      <w:r>
        <w:rPr>
          <w:rFonts w:cstheme="minorHAnsi"/>
        </w:rPr>
        <w:t>r.</w:t>
      </w:r>
      <w:r w:rsidRPr="0003094C">
        <w:rPr>
          <w:rFonts w:cstheme="minorHAnsi"/>
        </w:rPr>
        <w:t xml:space="preserve"> 202</w:t>
      </w:r>
      <w:r>
        <w:rPr>
          <w:rFonts w:cstheme="minorHAnsi"/>
        </w:rPr>
        <w:t>2</w:t>
      </w:r>
      <w:r w:rsidRPr="0003094C">
        <w:rPr>
          <w:rFonts w:cstheme="minorHAnsi"/>
        </w:rPr>
        <w:t xml:space="preserve"> a dalších letech.</w:t>
      </w:r>
    </w:p>
    <w:bookmarkEnd w:id="50"/>
    <w:p w14:paraId="2C2B3FA6" w14:textId="77777777" w:rsidR="0072554E" w:rsidRPr="0003094C" w:rsidRDefault="0072554E" w:rsidP="0072554E">
      <w:pPr>
        <w:spacing w:after="0" w:line="240" w:lineRule="auto"/>
        <w:jc w:val="both"/>
        <w:rPr>
          <w:rFonts w:cstheme="minorHAnsi"/>
          <w:b/>
          <w:u w:val="single"/>
        </w:rPr>
      </w:pPr>
    </w:p>
    <w:p w14:paraId="1235804D" w14:textId="77777777" w:rsidR="0072554E" w:rsidRPr="0003094C" w:rsidRDefault="0072554E" w:rsidP="0072554E">
      <w:pPr>
        <w:spacing w:after="0" w:line="240" w:lineRule="auto"/>
        <w:jc w:val="both"/>
        <w:rPr>
          <w:rFonts w:cstheme="minorHAnsi"/>
          <w:b/>
        </w:rPr>
      </w:pPr>
      <w:r w:rsidRPr="0003094C">
        <w:rPr>
          <w:rFonts w:cstheme="minorHAnsi"/>
          <w:b/>
        </w:rPr>
        <w:t>§ 4341 – Obědy do škol v</w:t>
      </w:r>
      <w:r>
        <w:rPr>
          <w:rFonts w:cstheme="minorHAnsi"/>
          <w:b/>
        </w:rPr>
        <w:t>e</w:t>
      </w:r>
      <w:r w:rsidRPr="0003094C">
        <w:rPr>
          <w:rFonts w:cstheme="minorHAnsi"/>
          <w:b/>
        </w:rPr>
        <w:t xml:space="preserve"> SK II</w:t>
      </w:r>
    </w:p>
    <w:p w14:paraId="56A70005" w14:textId="06602489" w:rsidR="0072554E" w:rsidRPr="0003094C" w:rsidRDefault="0072554E" w:rsidP="001F591A">
      <w:pPr>
        <w:jc w:val="both"/>
      </w:pPr>
      <w:r w:rsidRPr="0003094C">
        <w:t xml:space="preserve">V rámci realizace projektu „Obědy do škol ve SK II“ byla poskytovatelem dotace (MPSV) provedena kontrola na </w:t>
      </w:r>
      <w:r>
        <w:t>místě č. 2020_0239 a byly zjištěny</w:t>
      </w:r>
      <w:r w:rsidRPr="0003094C">
        <w:t xml:space="preserve"> nezpůsobilé výda</w:t>
      </w:r>
      <w:r>
        <w:t xml:space="preserve">je projektu ve výši 358,05 Kč. </w:t>
      </w:r>
      <w:r w:rsidRPr="0003094C">
        <w:t>Uved</w:t>
      </w:r>
      <w:r>
        <w:t>ené finanční prostředky byly</w:t>
      </w:r>
      <w:r w:rsidRPr="0003094C">
        <w:t xml:space="preserve"> převeden</w:t>
      </w:r>
      <w:r>
        <w:t xml:space="preserve">y v rámci rozpočtu kapitoly 09 – Evropská integrace </w:t>
      </w:r>
      <w:r w:rsidRPr="0003094C">
        <w:t xml:space="preserve">na základě </w:t>
      </w:r>
      <w:r w:rsidRPr="006D13BE">
        <w:t xml:space="preserve">usnesení č. 014-21/2021/RK ze dne </w:t>
      </w:r>
      <w:r>
        <w:br/>
      </w:r>
      <w:r w:rsidRPr="006D13BE">
        <w:t>13. 5. 2021 a dotace byla vrácena zpět poskytovateli – MPSV. Po obdržení vrácené dotace od partnerských organizací projektu</w:t>
      </w:r>
      <w:r>
        <w:t xml:space="preserve"> v r. 2022</w:t>
      </w:r>
      <w:r w:rsidRPr="006D13BE">
        <w:t>, u kterých byl nezpůsobilý výdaj identifikován, budou finanční prostředky refundovány ve 100</w:t>
      </w:r>
      <w:r>
        <w:t xml:space="preserve"> </w:t>
      </w:r>
      <w:r w:rsidRPr="006D13BE">
        <w:t>% výši zpět. V </w:t>
      </w:r>
      <w:r>
        <w:t>r.</w:t>
      </w:r>
      <w:r w:rsidRPr="006D13BE">
        <w:t xml:space="preserve"> 20</w:t>
      </w:r>
      <w:r>
        <w:t>21 bylo čerpáno na 100</w:t>
      </w:r>
      <w:r w:rsidR="00C1054D">
        <w:t>,0</w:t>
      </w:r>
      <w:r>
        <w:t xml:space="preserve"> %</w:t>
      </w:r>
      <w:r w:rsidRPr="006D13BE">
        <w:t>.</w:t>
      </w:r>
    </w:p>
    <w:p w14:paraId="5FB89742" w14:textId="77777777" w:rsidR="0072554E" w:rsidRPr="0003094C" w:rsidRDefault="0072554E" w:rsidP="0072554E">
      <w:pPr>
        <w:spacing w:after="0" w:line="240" w:lineRule="auto"/>
        <w:jc w:val="both"/>
        <w:rPr>
          <w:rFonts w:cstheme="minorHAnsi"/>
          <w:b/>
        </w:rPr>
      </w:pPr>
      <w:r w:rsidRPr="0003094C">
        <w:rPr>
          <w:rFonts w:cstheme="minorHAnsi"/>
          <w:b/>
        </w:rPr>
        <w:t>§ 4341 – Obědy do škol ve SK IV</w:t>
      </w:r>
    </w:p>
    <w:p w14:paraId="478F97D7" w14:textId="77777777" w:rsidR="0072554E" w:rsidRPr="00966B8C" w:rsidRDefault="0072554E" w:rsidP="0072554E">
      <w:pPr>
        <w:pStyle w:val="Default"/>
        <w:jc w:val="both"/>
        <w:rPr>
          <w:rFonts w:asciiTheme="minorHAnsi" w:hAnsiTheme="minorHAnsi" w:cstheme="minorHAnsi"/>
          <w:sz w:val="22"/>
          <w:szCs w:val="22"/>
        </w:rPr>
      </w:pPr>
      <w:r w:rsidRPr="001A2FC7">
        <w:rPr>
          <w:rFonts w:asciiTheme="minorHAnsi" w:hAnsiTheme="minorHAnsi" w:cstheme="minorHAnsi"/>
          <w:sz w:val="22"/>
          <w:szCs w:val="22"/>
        </w:rPr>
        <w:t>V </w:t>
      </w:r>
      <w:r>
        <w:rPr>
          <w:rFonts w:asciiTheme="minorHAnsi" w:hAnsiTheme="minorHAnsi" w:cstheme="minorHAnsi"/>
          <w:sz w:val="22"/>
          <w:szCs w:val="22"/>
        </w:rPr>
        <w:t>r.</w:t>
      </w:r>
      <w:r w:rsidRPr="001A2FC7">
        <w:rPr>
          <w:rFonts w:asciiTheme="minorHAnsi" w:hAnsiTheme="minorHAnsi" w:cstheme="minorHAnsi"/>
          <w:sz w:val="22"/>
          <w:szCs w:val="22"/>
        </w:rPr>
        <w:t xml:space="preserve"> 2021 požádal Středočeský kraj o dotaci ve výši 6 799 685,47 Kč z Operačního programu potravinové a materiální </w:t>
      </w:r>
      <w:r w:rsidRPr="001A2FC7">
        <w:rPr>
          <w:rFonts w:asciiTheme="minorHAnsi" w:hAnsiTheme="minorHAnsi" w:cstheme="minorHAnsi"/>
          <w:color w:val="auto"/>
          <w:sz w:val="22"/>
          <w:szCs w:val="22"/>
        </w:rPr>
        <w:t xml:space="preserve">pomoci za účelem realizace navazujícího projektu „Obědy do škol ve Středočeském kraji IV“. Polovina dotace v hodnotě 3 399 842,74 Kč byla z MPSV poskytnuta na konci srpna </w:t>
      </w:r>
      <w:r>
        <w:rPr>
          <w:rFonts w:asciiTheme="minorHAnsi" w:hAnsiTheme="minorHAnsi" w:cstheme="minorHAnsi"/>
          <w:color w:val="auto"/>
          <w:sz w:val="22"/>
          <w:szCs w:val="22"/>
        </w:rPr>
        <w:t>r.</w:t>
      </w:r>
      <w:r w:rsidRPr="001A2FC7">
        <w:rPr>
          <w:rFonts w:asciiTheme="minorHAnsi" w:hAnsiTheme="minorHAnsi" w:cstheme="minorHAnsi"/>
          <w:color w:val="auto"/>
          <w:sz w:val="22"/>
          <w:szCs w:val="22"/>
        </w:rPr>
        <w:t xml:space="preserve"> 2021 a do rozpočtu zapojena usnesením č.  016-45/2021/RK ze dne 2.12.2021. Druhá polovina dotace v hodnotě 3 399 842,73 Kč bude z MPSV poskytnuta v </w:t>
      </w:r>
      <w:r>
        <w:rPr>
          <w:rFonts w:asciiTheme="minorHAnsi" w:hAnsiTheme="minorHAnsi" w:cstheme="minorHAnsi"/>
          <w:color w:val="auto"/>
          <w:sz w:val="22"/>
          <w:szCs w:val="22"/>
        </w:rPr>
        <w:t>r.</w:t>
      </w:r>
      <w:r w:rsidRPr="001A2FC7">
        <w:rPr>
          <w:rFonts w:asciiTheme="minorHAnsi" w:hAnsiTheme="minorHAnsi" w:cstheme="minorHAnsi"/>
          <w:color w:val="auto"/>
          <w:sz w:val="22"/>
          <w:szCs w:val="22"/>
        </w:rPr>
        <w:t xml:space="preserve"> 2022.</w:t>
      </w:r>
      <w:r w:rsidRPr="001A2FC7">
        <w:rPr>
          <w:rFonts w:asciiTheme="minorHAnsi" w:hAnsiTheme="minorHAnsi"/>
          <w:b/>
          <w:bCs/>
          <w:sz w:val="22"/>
          <w:szCs w:val="22"/>
        </w:rPr>
        <w:t xml:space="preserve"> </w:t>
      </w:r>
      <w:r w:rsidRPr="001A2FC7">
        <w:rPr>
          <w:rFonts w:asciiTheme="minorHAnsi" w:hAnsiTheme="minorHAnsi" w:cstheme="minorHAnsi"/>
          <w:sz w:val="22"/>
          <w:szCs w:val="22"/>
        </w:rPr>
        <w:t xml:space="preserve">Proto bylo nutné na předfinancování projektu použít finanční prostředky z rozpočtu Středočeského kraje – k proplacení dotace partnerským organizacím. Finanční prostředky z kapitoly 23 – Ostatní, z prostředků na předfinancování a kofinancování projektů EU/EHP a ostatních souvisejících výdajů s projekty EU/EHP, byly do rozpočtu kapitoly </w:t>
      </w:r>
      <w:r>
        <w:rPr>
          <w:rFonts w:asciiTheme="minorHAnsi" w:hAnsiTheme="minorHAnsi" w:cstheme="minorHAnsi"/>
          <w:sz w:val="22"/>
          <w:szCs w:val="22"/>
        </w:rPr>
        <w:t>09 - Evropská integrace</w:t>
      </w:r>
      <w:r w:rsidRPr="001A2FC7">
        <w:rPr>
          <w:rFonts w:asciiTheme="minorHAnsi" w:hAnsiTheme="minorHAnsi" w:cstheme="minorHAnsi"/>
          <w:sz w:val="22"/>
          <w:szCs w:val="22"/>
        </w:rPr>
        <w:t xml:space="preserve"> zapojeny na základě přijatého usnesení č. 015-21/2021/RK ze dne 13. 5. 2021. Po poskytnutí dotace z MPSV budou </w:t>
      </w:r>
      <w:r w:rsidRPr="00966B8C">
        <w:rPr>
          <w:rFonts w:asciiTheme="minorHAnsi" w:hAnsiTheme="minorHAnsi" w:cstheme="minorHAnsi"/>
          <w:sz w:val="22"/>
          <w:szCs w:val="22"/>
        </w:rPr>
        <w:t xml:space="preserve">finanční prostředky vráceny zpět do kapitoly 23 – Ostatní. </w:t>
      </w:r>
    </w:p>
    <w:p w14:paraId="6AC0FD47" w14:textId="544628DD" w:rsidR="0072554E" w:rsidRPr="00966B8C" w:rsidRDefault="0072554E" w:rsidP="0072554E">
      <w:pPr>
        <w:pStyle w:val="Default"/>
        <w:jc w:val="both"/>
        <w:rPr>
          <w:rFonts w:asciiTheme="minorHAnsi" w:hAnsiTheme="minorHAnsi" w:cstheme="minorHAnsi"/>
          <w:sz w:val="22"/>
          <w:szCs w:val="22"/>
        </w:rPr>
      </w:pPr>
      <w:r w:rsidRPr="00966B8C">
        <w:rPr>
          <w:rFonts w:asciiTheme="minorHAnsi" w:hAnsiTheme="minorHAnsi" w:cstheme="minorHAnsi"/>
          <w:sz w:val="22"/>
          <w:szCs w:val="22"/>
        </w:rPr>
        <w:t xml:space="preserve">Partnerským organizacím byla předfinancována na základě smluv a dodatků dotace v celkové výši 7 144 018,27 Kč. Část dotace ve výši 26 370,75 byla kompenzačně vrácena do rozpočtu. </w:t>
      </w:r>
      <w:r w:rsidR="00966B8C">
        <w:rPr>
          <w:rFonts w:asciiTheme="minorHAnsi" w:hAnsiTheme="minorHAnsi" w:cstheme="minorHAnsi"/>
          <w:sz w:val="22"/>
          <w:szCs w:val="22"/>
        </w:rPr>
        <w:t>B</w:t>
      </w:r>
      <w:r w:rsidRPr="00966B8C">
        <w:rPr>
          <w:rFonts w:asciiTheme="minorHAnsi" w:hAnsiTheme="minorHAnsi" w:cstheme="minorHAnsi"/>
          <w:sz w:val="22"/>
          <w:szCs w:val="22"/>
        </w:rPr>
        <w:t>ylo čerpáno 99,6 % rozpočtu</w:t>
      </w:r>
      <w:r w:rsidR="00C1054D">
        <w:rPr>
          <w:rFonts w:asciiTheme="minorHAnsi" w:hAnsiTheme="minorHAnsi" w:cstheme="minorHAnsi"/>
          <w:sz w:val="22"/>
          <w:szCs w:val="22"/>
        </w:rPr>
        <w:t>.</w:t>
      </w:r>
      <w:r w:rsidRPr="00966B8C">
        <w:rPr>
          <w:rFonts w:asciiTheme="minorHAnsi" w:hAnsiTheme="minorHAnsi" w:cstheme="minorHAnsi"/>
          <w:sz w:val="22"/>
          <w:szCs w:val="22"/>
        </w:rPr>
        <w:t xml:space="preserve"> </w:t>
      </w:r>
    </w:p>
    <w:p w14:paraId="08C17566" w14:textId="77777777" w:rsidR="0072554E" w:rsidRPr="0003094C" w:rsidRDefault="0072554E" w:rsidP="0072554E">
      <w:pPr>
        <w:spacing w:after="0" w:line="240" w:lineRule="auto"/>
        <w:jc w:val="both"/>
        <w:rPr>
          <w:rFonts w:cstheme="minorHAnsi"/>
        </w:rPr>
      </w:pPr>
    </w:p>
    <w:p w14:paraId="00C16D0D" w14:textId="77777777" w:rsidR="0072554E" w:rsidRPr="0003094C" w:rsidRDefault="0072554E" w:rsidP="0072554E">
      <w:pPr>
        <w:spacing w:after="0" w:line="240" w:lineRule="auto"/>
        <w:jc w:val="both"/>
        <w:rPr>
          <w:rFonts w:cstheme="minorHAnsi"/>
          <w:b/>
        </w:rPr>
      </w:pPr>
      <w:r w:rsidRPr="0003094C">
        <w:rPr>
          <w:rFonts w:cstheme="minorHAnsi"/>
          <w:b/>
        </w:rPr>
        <w:t>§ 4341 – Podpora administrace KP OP PMP pro rok 2021</w:t>
      </w:r>
    </w:p>
    <w:p w14:paraId="17813888" w14:textId="5225E3A9" w:rsidR="0072554E" w:rsidRPr="0003094C" w:rsidRDefault="0072554E" w:rsidP="0072554E">
      <w:pPr>
        <w:spacing w:after="0" w:line="240" w:lineRule="auto"/>
        <w:jc w:val="both"/>
        <w:rPr>
          <w:rFonts w:cstheme="minorHAnsi"/>
        </w:rPr>
      </w:pPr>
      <w:r w:rsidRPr="0003094C">
        <w:rPr>
          <w:rFonts w:cstheme="minorHAnsi"/>
        </w:rPr>
        <w:t>V rámci realizace projektu </w:t>
      </w:r>
      <w:r w:rsidRPr="0002784B">
        <w:rPr>
          <w:rFonts w:cstheme="minorHAnsi"/>
        </w:rPr>
        <w:t xml:space="preserve">„Podpora administrace krajských projektů </w:t>
      </w:r>
      <w:r w:rsidRPr="0003094C">
        <w:rPr>
          <w:rFonts w:cstheme="minorHAnsi"/>
        </w:rPr>
        <w:t xml:space="preserve">Operačního programu </w:t>
      </w:r>
      <w:r>
        <w:rPr>
          <w:rFonts w:cstheme="minorHAnsi"/>
        </w:rPr>
        <w:t>potravinové a materiální pomoci</w:t>
      </w:r>
      <w:r w:rsidRPr="0002784B">
        <w:rPr>
          <w:rFonts w:cstheme="minorHAnsi"/>
        </w:rPr>
        <w:t>“ pro</w:t>
      </w:r>
      <w:r w:rsidRPr="0003094C">
        <w:rPr>
          <w:rFonts w:cstheme="minorHAnsi"/>
        </w:rPr>
        <w:t xml:space="preserve"> rok 2021 se do rozpočtu SK </w:t>
      </w:r>
      <w:r>
        <w:rPr>
          <w:rFonts w:cstheme="minorHAnsi"/>
        </w:rPr>
        <w:t>r.</w:t>
      </w:r>
      <w:r w:rsidRPr="0003094C">
        <w:rPr>
          <w:rFonts w:cstheme="minorHAnsi"/>
        </w:rPr>
        <w:t xml:space="preserve"> 2021 zapojila na základě usnesení č. 030-17/2021/RK ze dne 15. 4. 2021 dotace z MPSV ve výši 220 000,00 Kč. Dotace</w:t>
      </w:r>
      <w:r>
        <w:rPr>
          <w:rFonts w:cstheme="minorHAnsi"/>
        </w:rPr>
        <w:t xml:space="preserve"> byla využita </w:t>
      </w:r>
      <w:r w:rsidRPr="0003094C">
        <w:rPr>
          <w:rFonts w:cstheme="minorHAnsi"/>
        </w:rPr>
        <w:t>na refundaci mzdových nákladů zaměstnanců administrujících projekty Obědy do škol ve Středočeském kraji v období leden–říjen 2021</w:t>
      </w:r>
      <w:r>
        <w:rPr>
          <w:rFonts w:cstheme="minorHAnsi"/>
        </w:rPr>
        <w:t xml:space="preserve"> </w:t>
      </w:r>
      <w:r w:rsidRPr="0003094C">
        <w:rPr>
          <w:rFonts w:cstheme="minorHAnsi"/>
        </w:rPr>
        <w:t xml:space="preserve">(22 000,00 Kč měsíčně). </w:t>
      </w:r>
      <w:r>
        <w:rPr>
          <w:rFonts w:cstheme="minorHAnsi"/>
        </w:rPr>
        <w:t xml:space="preserve">V r. </w:t>
      </w:r>
      <w:r w:rsidRPr="0003094C">
        <w:rPr>
          <w:rFonts w:cstheme="minorHAnsi"/>
        </w:rPr>
        <w:t xml:space="preserve">2021 bylo čerpáno </w:t>
      </w:r>
      <w:r>
        <w:rPr>
          <w:rFonts w:cstheme="minorHAnsi"/>
        </w:rPr>
        <w:t>10</w:t>
      </w:r>
      <w:r w:rsidRPr="0003094C">
        <w:rPr>
          <w:rFonts w:cstheme="minorHAnsi"/>
        </w:rPr>
        <w:t>0</w:t>
      </w:r>
      <w:r w:rsidR="009C615C">
        <w:rPr>
          <w:rFonts w:cstheme="minorHAnsi"/>
        </w:rPr>
        <w:t>,0</w:t>
      </w:r>
      <w:r w:rsidRPr="0003094C">
        <w:rPr>
          <w:rFonts w:cstheme="minorHAnsi"/>
        </w:rPr>
        <w:t xml:space="preserve"> % rozpočtu.</w:t>
      </w:r>
    </w:p>
    <w:p w14:paraId="536284B6" w14:textId="77777777" w:rsidR="0072554E" w:rsidRPr="0003094C" w:rsidRDefault="0072554E" w:rsidP="0072554E">
      <w:pPr>
        <w:spacing w:after="0" w:line="240" w:lineRule="auto"/>
        <w:jc w:val="both"/>
        <w:rPr>
          <w:rFonts w:cstheme="minorHAnsi"/>
        </w:rPr>
      </w:pPr>
    </w:p>
    <w:p w14:paraId="058A0E27" w14:textId="77777777" w:rsidR="0072554E" w:rsidRPr="0003094C" w:rsidRDefault="0072554E" w:rsidP="0072554E">
      <w:pPr>
        <w:spacing w:after="0" w:line="240" w:lineRule="auto"/>
        <w:rPr>
          <w:rFonts w:cstheme="minorHAnsi"/>
          <w:b/>
        </w:rPr>
      </w:pPr>
      <w:r w:rsidRPr="0003094C">
        <w:rPr>
          <w:rFonts w:cstheme="minorHAnsi"/>
          <w:b/>
        </w:rPr>
        <w:t>§ 6402 – Stát</w:t>
      </w:r>
      <w:r>
        <w:rPr>
          <w:rFonts w:cstheme="minorHAnsi"/>
          <w:b/>
        </w:rPr>
        <w:t>ní fond životního prostředí ČR -</w:t>
      </w:r>
      <w:r w:rsidRPr="0003094C">
        <w:rPr>
          <w:rFonts w:cstheme="minorHAnsi"/>
          <w:b/>
        </w:rPr>
        <w:t xml:space="preserve"> inv., neinv., „Výměna zdrojů tepla na pevná paliva v rodinných domech SK 2015-201</w:t>
      </w:r>
      <w:r>
        <w:rPr>
          <w:rFonts w:cstheme="minorHAnsi"/>
          <w:b/>
        </w:rPr>
        <w:t>8“, ÚZ 15011, 15974 - I. Výzva – vratky</w:t>
      </w:r>
      <w:r w:rsidRPr="0003094C">
        <w:rPr>
          <w:rFonts w:cstheme="minorHAnsi"/>
          <w:b/>
        </w:rPr>
        <w:t xml:space="preserve"> </w:t>
      </w:r>
      <w:r>
        <w:rPr>
          <w:rFonts w:cstheme="minorHAnsi"/>
          <w:b/>
        </w:rPr>
        <w:t>MŽP</w:t>
      </w:r>
    </w:p>
    <w:p w14:paraId="1C4DA9AA" w14:textId="77777777" w:rsidR="0072554E" w:rsidRPr="0003094C" w:rsidRDefault="0072554E" w:rsidP="0072554E">
      <w:pPr>
        <w:spacing w:after="0" w:line="240" w:lineRule="auto"/>
        <w:jc w:val="both"/>
        <w:rPr>
          <w:rFonts w:cstheme="minorHAnsi"/>
        </w:rPr>
      </w:pPr>
      <w:r w:rsidRPr="0003094C">
        <w:rPr>
          <w:rFonts w:cstheme="minorHAnsi"/>
        </w:rPr>
        <w:t>Usnesením č. 019-02/2021/RK ze dne 14. 1. 2021 byly převedeny z </w:t>
      </w:r>
      <w:r>
        <w:rPr>
          <w:rFonts w:cstheme="minorHAnsi"/>
        </w:rPr>
        <w:t>r.</w:t>
      </w:r>
      <w:r w:rsidRPr="0003094C">
        <w:rPr>
          <w:rFonts w:cstheme="minorHAnsi"/>
        </w:rPr>
        <w:t xml:space="preserve"> 2020 nevyčerpané finanční prostředky ve výši 4 650,00 Kč do </w:t>
      </w:r>
      <w:r>
        <w:rPr>
          <w:rFonts w:cstheme="minorHAnsi"/>
        </w:rPr>
        <w:t>r.</w:t>
      </w:r>
      <w:r w:rsidRPr="0003094C">
        <w:rPr>
          <w:rFonts w:cstheme="minorHAnsi"/>
        </w:rPr>
        <w:t xml:space="preserve"> 2021, které byly určeny k vráce</w:t>
      </w:r>
      <w:r>
        <w:rPr>
          <w:rFonts w:cstheme="minorHAnsi"/>
        </w:rPr>
        <w:t>ní zpět poskytovateli dotace MŽP (</w:t>
      </w:r>
      <w:r w:rsidRPr="00957F76">
        <w:rPr>
          <w:rFonts w:cstheme="minorHAnsi"/>
        </w:rPr>
        <w:t>zapojeno do zůstatku hospodaření SK</w:t>
      </w:r>
      <w:r>
        <w:rPr>
          <w:rFonts w:cstheme="minorHAnsi"/>
        </w:rPr>
        <w:t xml:space="preserve"> </w:t>
      </w:r>
      <w:r w:rsidRPr="00957F76">
        <w:rPr>
          <w:rFonts w:cstheme="minorHAnsi"/>
        </w:rPr>
        <w:t>z </w:t>
      </w:r>
      <w:r>
        <w:rPr>
          <w:rFonts w:cstheme="minorHAnsi"/>
        </w:rPr>
        <w:t xml:space="preserve">r. 2020 schváleného usnesením </w:t>
      </w:r>
      <w:r w:rsidRPr="00957F76">
        <w:rPr>
          <w:rFonts w:cstheme="minorHAnsi"/>
        </w:rPr>
        <w:t xml:space="preserve">č. 007-06/2021/ZK ze dne </w:t>
      </w:r>
      <w:r>
        <w:rPr>
          <w:rFonts w:cstheme="minorHAnsi"/>
        </w:rPr>
        <w:t xml:space="preserve">26. </w:t>
      </w:r>
      <w:r w:rsidRPr="00957F76">
        <w:rPr>
          <w:rFonts w:cstheme="minorHAnsi"/>
        </w:rPr>
        <w:t>4. 2021)</w:t>
      </w:r>
      <w:r>
        <w:rPr>
          <w:rFonts w:cstheme="minorHAnsi"/>
        </w:rPr>
        <w:t>.</w:t>
      </w:r>
      <w:r w:rsidRPr="0003094C">
        <w:rPr>
          <w:rFonts w:cstheme="minorHAnsi"/>
        </w:rPr>
        <w:t xml:space="preserve"> V </w:t>
      </w:r>
      <w:r>
        <w:rPr>
          <w:rFonts w:cstheme="minorHAnsi"/>
        </w:rPr>
        <w:t>r.</w:t>
      </w:r>
      <w:r w:rsidRPr="0003094C">
        <w:rPr>
          <w:rFonts w:cstheme="minorHAnsi"/>
        </w:rPr>
        <w:t xml:space="preserve"> 2021 bylo čerpáno 100 % rozpočtu.</w:t>
      </w:r>
    </w:p>
    <w:p w14:paraId="6A729AC6" w14:textId="77777777" w:rsidR="0072554E" w:rsidRPr="0003094C" w:rsidRDefault="0072554E" w:rsidP="0072554E">
      <w:pPr>
        <w:spacing w:after="0" w:line="240" w:lineRule="auto"/>
        <w:rPr>
          <w:rFonts w:cstheme="minorHAnsi"/>
          <w:b/>
        </w:rPr>
      </w:pPr>
    </w:p>
    <w:p w14:paraId="49A88ABA" w14:textId="77777777" w:rsidR="0072554E" w:rsidRPr="0003094C" w:rsidRDefault="0072554E" w:rsidP="0072554E">
      <w:pPr>
        <w:spacing w:after="0" w:line="240" w:lineRule="auto"/>
        <w:rPr>
          <w:rFonts w:cstheme="minorHAnsi"/>
          <w:b/>
        </w:rPr>
      </w:pPr>
      <w:r w:rsidRPr="0003094C">
        <w:rPr>
          <w:rFonts w:cstheme="minorHAnsi"/>
          <w:b/>
        </w:rPr>
        <w:t>§ 6402 – Státn</w:t>
      </w:r>
      <w:r>
        <w:rPr>
          <w:rFonts w:cstheme="minorHAnsi"/>
          <w:b/>
        </w:rPr>
        <w:t>í fond životního prostředí ČR -</w:t>
      </w:r>
      <w:r w:rsidRPr="0003094C">
        <w:rPr>
          <w:rFonts w:cstheme="minorHAnsi"/>
          <w:b/>
        </w:rPr>
        <w:t xml:space="preserve"> inv., neinv., Výměna zdrojů tepla na pevná paliva v rodinných domech SK 2017–2019</w:t>
      </w:r>
      <w:r>
        <w:rPr>
          <w:rFonts w:cstheme="minorHAnsi"/>
          <w:b/>
        </w:rPr>
        <w:t>, ÚZ 15011,15974 - II. Výzva – vratky</w:t>
      </w:r>
      <w:r w:rsidRPr="0003094C">
        <w:rPr>
          <w:rFonts w:cstheme="minorHAnsi"/>
          <w:b/>
        </w:rPr>
        <w:t xml:space="preserve"> </w:t>
      </w:r>
      <w:r>
        <w:rPr>
          <w:rFonts w:cstheme="minorHAnsi"/>
          <w:b/>
        </w:rPr>
        <w:t>MŽP</w:t>
      </w:r>
    </w:p>
    <w:p w14:paraId="61DED184" w14:textId="77F2A3B9" w:rsidR="0072554E" w:rsidRDefault="0072554E" w:rsidP="0072554E">
      <w:pPr>
        <w:spacing w:after="0" w:line="240" w:lineRule="auto"/>
        <w:jc w:val="both"/>
        <w:rPr>
          <w:rFonts w:cstheme="minorHAnsi"/>
        </w:rPr>
      </w:pPr>
      <w:r w:rsidRPr="0003094C">
        <w:rPr>
          <w:rFonts w:cstheme="minorHAnsi"/>
        </w:rPr>
        <w:t xml:space="preserve">Usnesením č. 019-02/2021/RK ze dne 14. 1. 2021 ve výši 82 500,00 Kč (převod nevyčerpaných účelových </w:t>
      </w:r>
      <w:r>
        <w:rPr>
          <w:rFonts w:cstheme="minorHAnsi"/>
        </w:rPr>
        <w:t xml:space="preserve">finančních </w:t>
      </w:r>
      <w:r w:rsidRPr="0003094C">
        <w:rPr>
          <w:rFonts w:cstheme="minorHAnsi"/>
        </w:rPr>
        <w:t>prostředků z </w:t>
      </w:r>
      <w:r>
        <w:rPr>
          <w:rFonts w:cstheme="minorHAnsi"/>
        </w:rPr>
        <w:t>r.</w:t>
      </w:r>
      <w:r w:rsidRPr="0003094C">
        <w:rPr>
          <w:rFonts w:cstheme="minorHAnsi"/>
        </w:rPr>
        <w:t xml:space="preserve"> 2020 do</w:t>
      </w:r>
      <w:r>
        <w:rPr>
          <w:rFonts w:cstheme="minorHAnsi"/>
        </w:rPr>
        <w:t xml:space="preserve"> rozpočtu</w:t>
      </w:r>
      <w:r w:rsidRPr="0003094C">
        <w:rPr>
          <w:rFonts w:cstheme="minorHAnsi"/>
        </w:rPr>
        <w:t xml:space="preserve"> </w:t>
      </w:r>
      <w:r>
        <w:rPr>
          <w:rFonts w:cstheme="minorHAnsi"/>
        </w:rPr>
        <w:t>r.</w:t>
      </w:r>
      <w:r w:rsidRPr="0003094C">
        <w:rPr>
          <w:rFonts w:cstheme="minorHAnsi"/>
        </w:rPr>
        <w:t xml:space="preserve"> 2021</w:t>
      </w:r>
      <w:r>
        <w:rPr>
          <w:rFonts w:cstheme="minorHAnsi"/>
        </w:rPr>
        <w:t xml:space="preserve"> - </w:t>
      </w:r>
      <w:r w:rsidRPr="00957F76">
        <w:rPr>
          <w:rFonts w:cstheme="minorHAnsi"/>
        </w:rPr>
        <w:t>zapojeno do zůstatku hospodaření SK z </w:t>
      </w:r>
      <w:r>
        <w:rPr>
          <w:rFonts w:cstheme="minorHAnsi"/>
        </w:rPr>
        <w:t xml:space="preserve">r. 2020 schváleného usnesením </w:t>
      </w:r>
      <w:r w:rsidRPr="00957F76">
        <w:rPr>
          <w:rFonts w:cstheme="minorHAnsi"/>
        </w:rPr>
        <w:t xml:space="preserve">č. 007-06/2021/ZK ze dne </w:t>
      </w:r>
      <w:r>
        <w:rPr>
          <w:rFonts w:cstheme="minorHAnsi"/>
        </w:rPr>
        <w:t xml:space="preserve">26. </w:t>
      </w:r>
      <w:r w:rsidRPr="00957F76">
        <w:rPr>
          <w:rFonts w:cstheme="minorHAnsi"/>
        </w:rPr>
        <w:t>4. 2021</w:t>
      </w:r>
      <w:r w:rsidRPr="0003094C">
        <w:rPr>
          <w:rFonts w:cstheme="minorHAnsi"/>
        </w:rPr>
        <w:t xml:space="preserve">) a usnesením č. </w:t>
      </w:r>
      <w:r>
        <w:rPr>
          <w:rFonts w:cstheme="minorHAnsi"/>
        </w:rPr>
        <w:t>0</w:t>
      </w:r>
      <w:r w:rsidRPr="0003094C">
        <w:rPr>
          <w:rFonts w:cstheme="minorHAnsi"/>
        </w:rPr>
        <w:t xml:space="preserve">10-12/2021/RK ze dne 11. 3. 2021 ve výši 24 766 514,75 Kč </w:t>
      </w:r>
      <w:r>
        <w:rPr>
          <w:rFonts w:cstheme="minorHAnsi"/>
        </w:rPr>
        <w:t>(převod finančních prostředků v rámci</w:t>
      </w:r>
      <w:r w:rsidRPr="0003094C">
        <w:rPr>
          <w:rFonts w:cstheme="minorHAnsi"/>
        </w:rPr>
        <w:t xml:space="preserve"> kapitoly </w:t>
      </w:r>
      <w:r>
        <w:rPr>
          <w:rFonts w:cstheme="minorHAnsi"/>
        </w:rPr>
        <w:t>09 - Evropská integrace</w:t>
      </w:r>
      <w:r w:rsidRPr="0003094C">
        <w:rPr>
          <w:rFonts w:cstheme="minorHAnsi"/>
        </w:rPr>
        <w:t xml:space="preserve"> byl rozpočet upraven na </w:t>
      </w:r>
      <w:r>
        <w:rPr>
          <w:rFonts w:cstheme="minorHAnsi"/>
        </w:rPr>
        <w:t xml:space="preserve">částku </w:t>
      </w:r>
      <w:r w:rsidRPr="0003094C">
        <w:rPr>
          <w:rFonts w:cstheme="minorHAnsi"/>
        </w:rPr>
        <w:t>24 849 014,75 Kč, kte</w:t>
      </w:r>
      <w:r>
        <w:rPr>
          <w:rFonts w:cstheme="minorHAnsi"/>
        </w:rPr>
        <w:t>rá se vrátila</w:t>
      </w:r>
      <w:r w:rsidRPr="0003094C">
        <w:rPr>
          <w:rFonts w:cstheme="minorHAnsi"/>
        </w:rPr>
        <w:t xml:space="preserve"> v rámci vyp</w:t>
      </w:r>
      <w:r>
        <w:rPr>
          <w:rFonts w:cstheme="minorHAnsi"/>
        </w:rPr>
        <w:t>ořádání poskytovateli dotace MŽP</w:t>
      </w:r>
      <w:r w:rsidRPr="0003094C">
        <w:rPr>
          <w:rFonts w:cstheme="minorHAnsi"/>
        </w:rPr>
        <w:t xml:space="preserve">. V I. pololetí </w:t>
      </w:r>
      <w:r>
        <w:rPr>
          <w:rFonts w:cstheme="minorHAnsi"/>
        </w:rPr>
        <w:t>r.</w:t>
      </w:r>
      <w:r w:rsidRPr="0003094C">
        <w:rPr>
          <w:rFonts w:cstheme="minorHAnsi"/>
        </w:rPr>
        <w:t xml:space="preserve"> 2021 bylo čerpáno 100</w:t>
      </w:r>
      <w:r w:rsidR="009C615C">
        <w:rPr>
          <w:rFonts w:cstheme="minorHAnsi"/>
        </w:rPr>
        <w:t>,0</w:t>
      </w:r>
      <w:r w:rsidRPr="0003094C">
        <w:rPr>
          <w:rFonts w:cstheme="minorHAnsi"/>
        </w:rPr>
        <w:t xml:space="preserve"> % rozpočtu.</w:t>
      </w:r>
    </w:p>
    <w:p w14:paraId="19D3BDC0" w14:textId="77777777" w:rsidR="0072554E" w:rsidRPr="0003094C" w:rsidRDefault="0072554E" w:rsidP="0072554E">
      <w:pPr>
        <w:spacing w:after="0" w:line="240" w:lineRule="auto"/>
        <w:jc w:val="both"/>
        <w:rPr>
          <w:rFonts w:cstheme="minorHAnsi"/>
        </w:rPr>
      </w:pPr>
    </w:p>
    <w:p w14:paraId="6B2331E2" w14:textId="77777777" w:rsidR="0072554E" w:rsidRPr="0003094C" w:rsidRDefault="0072554E" w:rsidP="0072554E">
      <w:pPr>
        <w:spacing w:after="0" w:line="240" w:lineRule="auto"/>
        <w:jc w:val="both"/>
        <w:rPr>
          <w:rFonts w:cstheme="minorHAnsi"/>
          <w:b/>
        </w:rPr>
      </w:pPr>
      <w:r w:rsidRPr="0003094C">
        <w:rPr>
          <w:rFonts w:cstheme="minorHAnsi"/>
          <w:b/>
        </w:rPr>
        <w:t>§ 6402 – Obědy do škol v</w:t>
      </w:r>
      <w:r>
        <w:rPr>
          <w:rFonts w:cstheme="minorHAnsi"/>
          <w:b/>
        </w:rPr>
        <w:t>e SK II – vratka</w:t>
      </w:r>
      <w:r w:rsidRPr="0003094C">
        <w:rPr>
          <w:rFonts w:cstheme="minorHAnsi"/>
          <w:b/>
        </w:rPr>
        <w:t xml:space="preserve"> zřizovateli (MPSV)</w:t>
      </w:r>
    </w:p>
    <w:p w14:paraId="403DA1B7" w14:textId="7261B070" w:rsidR="0072554E" w:rsidRPr="0003094C" w:rsidRDefault="0072554E" w:rsidP="0072554E">
      <w:pPr>
        <w:spacing w:after="0" w:line="240" w:lineRule="auto"/>
        <w:jc w:val="both"/>
        <w:rPr>
          <w:rFonts w:cstheme="minorHAnsi"/>
        </w:rPr>
      </w:pPr>
      <w:r w:rsidRPr="0003094C">
        <w:rPr>
          <w:rFonts w:cstheme="minorHAnsi"/>
        </w:rPr>
        <w:t xml:space="preserve">V rámci realizace projektu „Obědy do škol ve SK II“ byl upravený rozpočet </w:t>
      </w:r>
      <w:r>
        <w:rPr>
          <w:rFonts w:cstheme="minorHAnsi"/>
        </w:rPr>
        <w:t>r.</w:t>
      </w:r>
      <w:r w:rsidRPr="0003094C">
        <w:rPr>
          <w:rFonts w:cstheme="minorHAnsi"/>
        </w:rPr>
        <w:t xml:space="preserve"> 20</w:t>
      </w:r>
      <w:r>
        <w:rPr>
          <w:rFonts w:cstheme="minorHAnsi"/>
        </w:rPr>
        <w:t>21 ve výši 9 247 400,82 Kč vytvořen</w:t>
      </w:r>
      <w:r w:rsidRPr="0003094C">
        <w:rPr>
          <w:rFonts w:cstheme="minorHAnsi"/>
        </w:rPr>
        <w:t xml:space="preserve"> usnesením č. 015-02/2021/RK ze dne 14. 1. 2021 (převodem nevyčerpaných účelových f</w:t>
      </w:r>
      <w:r>
        <w:rPr>
          <w:rFonts w:cstheme="minorHAnsi"/>
        </w:rPr>
        <w:t xml:space="preserve">inančních prostředků z r. 2020 - </w:t>
      </w:r>
      <w:r w:rsidRPr="00957F76">
        <w:rPr>
          <w:rFonts w:cstheme="minorHAnsi"/>
        </w:rPr>
        <w:t>zapojeno do zůstatku hospodaření SK z </w:t>
      </w:r>
      <w:r>
        <w:rPr>
          <w:rFonts w:cstheme="minorHAnsi"/>
        </w:rPr>
        <w:t xml:space="preserve">r. 2020 schváleného usnesením </w:t>
      </w:r>
      <w:r w:rsidRPr="00957F76">
        <w:rPr>
          <w:rFonts w:cstheme="minorHAnsi"/>
        </w:rPr>
        <w:t xml:space="preserve">č. 007-06/2021/ZK ze dne </w:t>
      </w:r>
      <w:r>
        <w:rPr>
          <w:rFonts w:cstheme="minorHAnsi"/>
        </w:rPr>
        <w:t xml:space="preserve">26. </w:t>
      </w:r>
      <w:r w:rsidRPr="00957F76">
        <w:rPr>
          <w:rFonts w:cstheme="minorHAnsi"/>
        </w:rPr>
        <w:t>4. 2021</w:t>
      </w:r>
      <w:r>
        <w:rPr>
          <w:rFonts w:cstheme="minorHAnsi"/>
        </w:rPr>
        <w:t>)</w:t>
      </w:r>
      <w:r w:rsidRPr="0003094C">
        <w:rPr>
          <w:rFonts w:cstheme="minorHAnsi"/>
        </w:rPr>
        <w:t>. Tyto finanční prostředky byly vráceny partnerskými organizacemi jako nevyužitá dotace do rozpočtu SK v </w:t>
      </w:r>
      <w:r>
        <w:rPr>
          <w:rFonts w:cstheme="minorHAnsi"/>
        </w:rPr>
        <w:t>r.</w:t>
      </w:r>
      <w:r w:rsidRPr="0003094C">
        <w:rPr>
          <w:rFonts w:cstheme="minorHAnsi"/>
        </w:rPr>
        <w:t xml:space="preserve"> 2</w:t>
      </w:r>
      <w:r>
        <w:rPr>
          <w:rFonts w:cstheme="minorHAnsi"/>
        </w:rPr>
        <w:t>020 (usnesení</w:t>
      </w:r>
      <w:r w:rsidRPr="0003094C">
        <w:rPr>
          <w:rFonts w:cstheme="minorHAnsi"/>
        </w:rPr>
        <w:t xml:space="preserve"> č. 017-86/2020/RK ze dne 10. 12. 2020) a v lednu </w:t>
      </w:r>
      <w:r>
        <w:rPr>
          <w:rFonts w:cstheme="minorHAnsi"/>
        </w:rPr>
        <w:t>r.</w:t>
      </w:r>
      <w:r w:rsidRPr="0003094C">
        <w:rPr>
          <w:rFonts w:cstheme="minorHAnsi"/>
        </w:rPr>
        <w:t xml:space="preserve"> 2021 byly vyplaceny zpět poskytovateli dotace </w:t>
      </w:r>
      <w:r>
        <w:rPr>
          <w:rFonts w:cstheme="minorHAnsi"/>
        </w:rPr>
        <w:t>– MPSV</w:t>
      </w:r>
      <w:r w:rsidRPr="0003094C">
        <w:rPr>
          <w:rFonts w:cstheme="minorHAnsi"/>
        </w:rPr>
        <w:t xml:space="preserve">. V </w:t>
      </w:r>
      <w:r>
        <w:rPr>
          <w:rFonts w:cstheme="minorHAnsi"/>
        </w:rPr>
        <w:t>r.</w:t>
      </w:r>
      <w:r w:rsidRPr="0003094C">
        <w:rPr>
          <w:rFonts w:cstheme="minorHAnsi"/>
        </w:rPr>
        <w:t xml:space="preserve"> 2021 bylo čerpáno 100</w:t>
      </w:r>
      <w:r w:rsidR="009C615C">
        <w:rPr>
          <w:rFonts w:cstheme="minorHAnsi"/>
        </w:rPr>
        <w:t>,0</w:t>
      </w:r>
      <w:r w:rsidRPr="0003094C">
        <w:rPr>
          <w:rFonts w:cstheme="minorHAnsi"/>
        </w:rPr>
        <w:t xml:space="preserve"> % rozpočtu.</w:t>
      </w:r>
    </w:p>
    <w:p w14:paraId="1771B1A4" w14:textId="77777777" w:rsidR="0072554E" w:rsidRPr="0003094C" w:rsidRDefault="0072554E" w:rsidP="0072554E">
      <w:pPr>
        <w:spacing w:after="0" w:line="240" w:lineRule="auto"/>
        <w:jc w:val="both"/>
        <w:rPr>
          <w:rFonts w:cstheme="minorHAnsi"/>
        </w:rPr>
      </w:pPr>
      <w:r>
        <w:rPr>
          <w:rFonts w:cstheme="minorHAnsi"/>
        </w:rPr>
        <w:lastRenderedPageBreak/>
        <w:t xml:space="preserve"> </w:t>
      </w:r>
    </w:p>
    <w:p w14:paraId="7FB890FA" w14:textId="77777777" w:rsidR="0072554E" w:rsidRPr="0003094C" w:rsidRDefault="0072554E" w:rsidP="0072554E">
      <w:pPr>
        <w:spacing w:after="0" w:line="240" w:lineRule="auto"/>
        <w:jc w:val="both"/>
        <w:rPr>
          <w:rFonts w:cstheme="minorHAnsi"/>
          <w:b/>
        </w:rPr>
      </w:pPr>
      <w:r w:rsidRPr="0003094C">
        <w:rPr>
          <w:rFonts w:cstheme="minorHAnsi"/>
          <w:b/>
        </w:rPr>
        <w:t>§ 6402 – Obědy do škol v</w:t>
      </w:r>
      <w:r>
        <w:rPr>
          <w:rFonts w:cstheme="minorHAnsi"/>
          <w:b/>
        </w:rPr>
        <w:t>e SK III – vratka</w:t>
      </w:r>
      <w:r w:rsidRPr="0003094C">
        <w:rPr>
          <w:rFonts w:cstheme="minorHAnsi"/>
          <w:b/>
        </w:rPr>
        <w:t xml:space="preserve"> zřizovateli (MPSV)</w:t>
      </w:r>
    </w:p>
    <w:p w14:paraId="669ED40F" w14:textId="30741C3F" w:rsidR="0072554E" w:rsidRDefault="0072554E" w:rsidP="0072554E">
      <w:pPr>
        <w:spacing w:after="0" w:line="240" w:lineRule="auto"/>
        <w:jc w:val="both"/>
        <w:rPr>
          <w:rFonts w:cstheme="minorHAnsi"/>
        </w:rPr>
      </w:pPr>
      <w:r w:rsidRPr="0003094C">
        <w:rPr>
          <w:rFonts w:cstheme="minorHAnsi"/>
        </w:rPr>
        <w:t>V rámci realizace projekt</w:t>
      </w:r>
      <w:r>
        <w:rPr>
          <w:rFonts w:cstheme="minorHAnsi"/>
        </w:rPr>
        <w:t>u „Obědy do škol ve SK III“ byly převedeny finanční prostředky</w:t>
      </w:r>
      <w:r w:rsidRPr="0003094C">
        <w:rPr>
          <w:rFonts w:cstheme="minorHAnsi"/>
        </w:rPr>
        <w:t xml:space="preserve"> </w:t>
      </w:r>
      <w:r>
        <w:rPr>
          <w:rFonts w:cstheme="minorHAnsi"/>
        </w:rPr>
        <w:t xml:space="preserve">ve výši </w:t>
      </w:r>
      <w:r w:rsidRPr="0003094C">
        <w:rPr>
          <w:rFonts w:cstheme="minorHAnsi"/>
        </w:rPr>
        <w:t>108 188,35 Kč</w:t>
      </w:r>
      <w:r>
        <w:rPr>
          <w:rFonts w:cstheme="minorHAnsi"/>
        </w:rPr>
        <w:t xml:space="preserve"> na základě usnesení</w:t>
      </w:r>
      <w:r w:rsidRPr="0003094C">
        <w:rPr>
          <w:rFonts w:cstheme="minorHAnsi"/>
        </w:rPr>
        <w:t xml:space="preserve"> č. 018-02/2021/</w:t>
      </w:r>
      <w:r>
        <w:rPr>
          <w:rFonts w:cstheme="minorHAnsi"/>
        </w:rPr>
        <w:t xml:space="preserve">RK ze dne 14. 1. 2021 z </w:t>
      </w:r>
      <w:r w:rsidRPr="0003094C">
        <w:rPr>
          <w:rFonts w:cstheme="minorHAnsi"/>
        </w:rPr>
        <w:t>nevyčerpaných účelových finančních prostředků z </w:t>
      </w:r>
      <w:r>
        <w:rPr>
          <w:rFonts w:cstheme="minorHAnsi"/>
        </w:rPr>
        <w:t>r.</w:t>
      </w:r>
      <w:r w:rsidRPr="0003094C">
        <w:rPr>
          <w:rFonts w:cstheme="minorHAnsi"/>
        </w:rPr>
        <w:t xml:space="preserve"> 2020</w:t>
      </w:r>
      <w:r>
        <w:rPr>
          <w:rFonts w:cstheme="minorHAnsi"/>
        </w:rPr>
        <w:t xml:space="preserve"> (</w:t>
      </w:r>
      <w:r w:rsidRPr="00957F76">
        <w:rPr>
          <w:rFonts w:cstheme="minorHAnsi"/>
        </w:rPr>
        <w:t>zapojeno do zůstatku hospodaření SK z </w:t>
      </w:r>
      <w:r>
        <w:rPr>
          <w:rFonts w:cstheme="minorHAnsi"/>
        </w:rPr>
        <w:t xml:space="preserve">r. 2020 schváleného usnesením </w:t>
      </w:r>
      <w:r w:rsidRPr="00957F76">
        <w:rPr>
          <w:rFonts w:cstheme="minorHAnsi"/>
        </w:rPr>
        <w:t xml:space="preserve">č. 007-06/2021/ZK ze dne </w:t>
      </w:r>
      <w:r>
        <w:rPr>
          <w:rFonts w:cstheme="minorHAnsi"/>
        </w:rPr>
        <w:t xml:space="preserve">26. </w:t>
      </w:r>
      <w:r w:rsidRPr="00957F76">
        <w:rPr>
          <w:rFonts w:cstheme="minorHAnsi"/>
        </w:rPr>
        <w:t>4. 2021</w:t>
      </w:r>
      <w:r>
        <w:rPr>
          <w:rFonts w:cstheme="minorHAnsi"/>
        </w:rPr>
        <w:t>)</w:t>
      </w:r>
      <w:r w:rsidRPr="0003094C">
        <w:rPr>
          <w:rFonts w:cstheme="minorHAnsi"/>
        </w:rPr>
        <w:t>. Tyto finanční prostředky byly vráceny partnerskými organizacemi jako nevyužitá dotace do ro</w:t>
      </w:r>
      <w:r>
        <w:rPr>
          <w:rFonts w:cstheme="minorHAnsi"/>
        </w:rPr>
        <w:t>zpočtu SK v r. 2020 (usnesení</w:t>
      </w:r>
      <w:r w:rsidRPr="0003094C">
        <w:rPr>
          <w:rFonts w:cstheme="minorHAnsi"/>
        </w:rPr>
        <w:t xml:space="preserve"> č. 031-87/2020/RK ze dne 17. 12. 2020) a v lednu </w:t>
      </w:r>
      <w:r>
        <w:rPr>
          <w:rFonts w:cstheme="minorHAnsi"/>
        </w:rPr>
        <w:t>r.</w:t>
      </w:r>
      <w:r w:rsidRPr="0003094C">
        <w:rPr>
          <w:rFonts w:cstheme="minorHAnsi"/>
        </w:rPr>
        <w:t xml:space="preserve"> 2021 byly vyplaceny zpět poskytovateli dotace </w:t>
      </w:r>
      <w:r>
        <w:rPr>
          <w:rFonts w:cstheme="minorHAnsi"/>
        </w:rPr>
        <w:t>– MPSV. Během dalších měsíců realizace projektu vrátily partnerské organizace nevyužité finanční prostředky v celkové výši 11 068 275,10 Kč, které se do rozpočtu zapojily na základě usnesení č. 040-44/2021/RK ze dne 25.11.2021. V r. 2021 bylo čerpáno 1,0 % rozpočtu. Nevyčerpané finanční prostředky budou vráceny zpět poskytovateli dotace – MPSV.</w:t>
      </w:r>
    </w:p>
    <w:p w14:paraId="763A2C6C" w14:textId="77777777" w:rsidR="0072554E" w:rsidRPr="0003094C" w:rsidRDefault="0072554E" w:rsidP="0072554E">
      <w:pPr>
        <w:spacing w:after="0" w:line="240" w:lineRule="auto"/>
        <w:jc w:val="both"/>
        <w:rPr>
          <w:rFonts w:cstheme="minorHAnsi"/>
          <w:b/>
          <w:u w:val="single"/>
        </w:rPr>
      </w:pPr>
    </w:p>
    <w:p w14:paraId="30C7176F" w14:textId="77777777" w:rsidR="0072554E" w:rsidRDefault="0072554E" w:rsidP="0072554E">
      <w:pPr>
        <w:spacing w:after="0" w:line="240" w:lineRule="auto"/>
        <w:jc w:val="both"/>
        <w:rPr>
          <w:rFonts w:cstheme="minorHAnsi"/>
          <w:b/>
          <w:u w:val="single"/>
        </w:rPr>
      </w:pPr>
    </w:p>
    <w:p w14:paraId="60DABBE3" w14:textId="77777777" w:rsidR="0072554E" w:rsidRPr="0003094C" w:rsidRDefault="0072554E" w:rsidP="0072554E">
      <w:pPr>
        <w:spacing w:after="0" w:line="240" w:lineRule="auto"/>
        <w:jc w:val="both"/>
        <w:rPr>
          <w:rFonts w:cstheme="minorHAnsi"/>
          <w:b/>
          <w:sz w:val="24"/>
          <w:szCs w:val="24"/>
          <w:u w:val="single"/>
        </w:rPr>
      </w:pPr>
      <w:bookmarkStart w:id="51" w:name="_Hlk98853205"/>
      <w:r w:rsidRPr="0003094C">
        <w:rPr>
          <w:rFonts w:cstheme="minorHAnsi"/>
          <w:b/>
          <w:sz w:val="24"/>
          <w:szCs w:val="24"/>
          <w:u w:val="single"/>
        </w:rPr>
        <w:t>Příspěvkové organizace</w:t>
      </w:r>
    </w:p>
    <w:bookmarkEnd w:id="51"/>
    <w:p w14:paraId="4266E701" w14:textId="77777777" w:rsidR="0072554E" w:rsidRPr="0003094C" w:rsidRDefault="0072554E" w:rsidP="0072554E">
      <w:pPr>
        <w:spacing w:after="0" w:line="240" w:lineRule="auto"/>
        <w:jc w:val="both"/>
        <w:rPr>
          <w:rFonts w:cstheme="minorHAnsi"/>
          <w:b/>
          <w:u w:val="single"/>
        </w:rPr>
      </w:pPr>
    </w:p>
    <w:p w14:paraId="3807A8DF" w14:textId="3275EA06" w:rsidR="006504CE" w:rsidRDefault="009C615C" w:rsidP="006504CE">
      <w:pPr>
        <w:spacing w:after="0" w:line="240" w:lineRule="auto"/>
        <w:jc w:val="both"/>
        <w:rPr>
          <w:rFonts w:cstheme="minorHAnsi"/>
        </w:rPr>
      </w:pPr>
      <w:r>
        <w:rPr>
          <w:rFonts w:cstheme="minorHAnsi"/>
        </w:rPr>
        <w:t xml:space="preserve">Kapitola 09 – Evropská integrace spravuje jednu příspěvkovou organizaci </w:t>
      </w:r>
      <w:r w:rsidR="0072554E" w:rsidRPr="0003094C">
        <w:rPr>
          <w:rFonts w:cstheme="minorHAnsi"/>
        </w:rPr>
        <w:t>Regionální dotační kancelář</w:t>
      </w:r>
      <w:r>
        <w:rPr>
          <w:rFonts w:cstheme="minorHAnsi"/>
        </w:rPr>
        <w:t>.</w:t>
      </w:r>
      <w:r w:rsidR="0072554E" w:rsidRPr="0003094C">
        <w:rPr>
          <w:rFonts w:cstheme="minorHAnsi"/>
        </w:rPr>
        <w:t xml:space="preserve"> </w:t>
      </w:r>
      <w:r>
        <w:rPr>
          <w:rFonts w:cstheme="minorHAnsi"/>
        </w:rPr>
        <w:t>P</w:t>
      </w:r>
      <w:r w:rsidR="0072554E" w:rsidRPr="0003094C">
        <w:rPr>
          <w:rFonts w:cstheme="minorHAnsi"/>
        </w:rPr>
        <w:t>říspěvková organizace vznikla k 1. květnu 2017. Hlavním účelem zřízení příspěvkové organizace je poskytování komplexního administrativního servisu pro Středočeský kraj za účelem efektivního čerpání dotačních prostředků ze struk</w:t>
      </w:r>
      <w:r w:rsidR="0072554E">
        <w:rPr>
          <w:rFonts w:cstheme="minorHAnsi"/>
        </w:rPr>
        <w:t>turálních fondů Evropské unie. </w:t>
      </w:r>
      <w:r w:rsidR="0072554E" w:rsidRPr="0003094C">
        <w:rPr>
          <w:rFonts w:cstheme="minorHAnsi"/>
        </w:rPr>
        <w:t>Celkový příspěvek se skládá z příspěvku na provoz, příspěvku na mzdové výdaje a příspěvku na běžné opravy a udržování. Zř</w:t>
      </w:r>
      <w:r w:rsidR="0072554E">
        <w:rPr>
          <w:rFonts w:cstheme="minorHAnsi"/>
        </w:rPr>
        <w:t>izovatelem</w:t>
      </w:r>
      <w:r w:rsidR="0072554E" w:rsidRPr="0003094C">
        <w:rPr>
          <w:rFonts w:cstheme="minorHAnsi"/>
        </w:rPr>
        <w:t xml:space="preserve"> byl </w:t>
      </w:r>
      <w:r w:rsidR="0072554E">
        <w:rPr>
          <w:rFonts w:cstheme="minorHAnsi"/>
        </w:rPr>
        <w:t xml:space="preserve">v r.  2021 </w:t>
      </w:r>
      <w:r w:rsidR="0072554E" w:rsidRPr="0003094C">
        <w:rPr>
          <w:rFonts w:cstheme="minorHAnsi"/>
        </w:rPr>
        <w:t>zaslán celkový příspěvek ve výši</w:t>
      </w:r>
      <w:r w:rsidR="0072554E">
        <w:rPr>
          <w:rFonts w:cstheme="minorHAnsi"/>
        </w:rPr>
        <w:t xml:space="preserve"> 21 830 000</w:t>
      </w:r>
      <w:r w:rsidR="0072554E" w:rsidRPr="0003094C">
        <w:rPr>
          <w:rFonts w:cstheme="minorHAnsi"/>
        </w:rPr>
        <w:t xml:space="preserve">,00 Kč, z toho </w:t>
      </w:r>
      <w:r w:rsidR="0072554E">
        <w:rPr>
          <w:rFonts w:cstheme="minorHAnsi"/>
        </w:rPr>
        <w:t>2 359 000</w:t>
      </w:r>
      <w:r w:rsidR="0072554E" w:rsidRPr="0003094C">
        <w:rPr>
          <w:rFonts w:cstheme="minorHAnsi"/>
        </w:rPr>
        <w:t xml:space="preserve">,00 Kč příspěvek na provoz, </w:t>
      </w:r>
      <w:r w:rsidR="0072554E">
        <w:rPr>
          <w:rFonts w:cstheme="minorHAnsi"/>
        </w:rPr>
        <w:t>19 299 000</w:t>
      </w:r>
      <w:r w:rsidR="0072554E" w:rsidRPr="0003094C">
        <w:rPr>
          <w:rFonts w:cstheme="minorHAnsi"/>
        </w:rPr>
        <w:t>,00 Kč mzdové výdaje a 172</w:t>
      </w:r>
      <w:r w:rsidR="0072554E">
        <w:rPr>
          <w:rFonts w:cstheme="minorHAnsi"/>
        </w:rPr>
        <w:t xml:space="preserve"> 000</w:t>
      </w:r>
      <w:r w:rsidR="0072554E" w:rsidRPr="0003094C">
        <w:rPr>
          <w:rFonts w:cstheme="minorHAnsi"/>
        </w:rPr>
        <w:t xml:space="preserve">,00 Kč příspěvek na běžné opravy a udržování. </w:t>
      </w:r>
      <w:bookmarkStart w:id="52" w:name="_Hlk98924458"/>
      <w:r w:rsidR="006504CE" w:rsidRPr="00792ECC">
        <w:rPr>
          <w:rFonts w:cstheme="minorHAnsi"/>
        </w:rPr>
        <w:t xml:space="preserve">V </w:t>
      </w:r>
      <w:r w:rsidR="006504CE">
        <w:rPr>
          <w:rFonts w:cstheme="minorHAnsi"/>
        </w:rPr>
        <w:t>r.</w:t>
      </w:r>
      <w:r w:rsidR="006504CE" w:rsidRPr="00792ECC">
        <w:rPr>
          <w:rFonts w:cstheme="minorHAnsi"/>
        </w:rPr>
        <w:t xml:space="preserve"> 2021 vykázal</w:t>
      </w:r>
      <w:r w:rsidR="006504CE">
        <w:rPr>
          <w:rFonts w:cstheme="minorHAnsi"/>
        </w:rPr>
        <w:t>a</w:t>
      </w:r>
      <w:r w:rsidR="006504CE" w:rsidRPr="00792ECC">
        <w:rPr>
          <w:rFonts w:cstheme="minorHAnsi"/>
        </w:rPr>
        <w:t xml:space="preserve"> </w:t>
      </w:r>
      <w:r w:rsidR="006504CE">
        <w:rPr>
          <w:rFonts w:cstheme="minorHAnsi"/>
        </w:rPr>
        <w:t>příspěvková organizace</w:t>
      </w:r>
      <w:r w:rsidR="006504CE" w:rsidRPr="00792ECC">
        <w:rPr>
          <w:rFonts w:cstheme="minorHAnsi"/>
        </w:rPr>
        <w:t xml:space="preserve"> hospodářský výsledek ve výši 0,00 Kč</w:t>
      </w:r>
      <w:r w:rsidR="006504CE">
        <w:rPr>
          <w:rFonts w:cstheme="minorHAnsi"/>
        </w:rPr>
        <w:t>.</w:t>
      </w:r>
      <w:r w:rsidR="006504CE" w:rsidRPr="00792ECC">
        <w:rPr>
          <w:rFonts w:cstheme="minorHAnsi"/>
        </w:rPr>
        <w:t xml:space="preserve"> </w:t>
      </w:r>
      <w:bookmarkEnd w:id="52"/>
    </w:p>
    <w:p w14:paraId="3D1DA3AD" w14:textId="77777777" w:rsidR="0072554E" w:rsidRPr="0003094C" w:rsidRDefault="0072554E" w:rsidP="0072554E">
      <w:pPr>
        <w:spacing w:after="0" w:line="240" w:lineRule="auto"/>
        <w:jc w:val="both"/>
        <w:rPr>
          <w:rFonts w:cstheme="minorHAnsi"/>
          <w:b/>
          <w:u w:val="single"/>
        </w:rPr>
      </w:pPr>
    </w:p>
    <w:p w14:paraId="351CE868" w14:textId="77777777" w:rsidR="0072554E" w:rsidRPr="0003094C" w:rsidRDefault="0072554E" w:rsidP="0072554E">
      <w:pPr>
        <w:spacing w:after="0" w:line="240" w:lineRule="auto"/>
        <w:jc w:val="both"/>
        <w:rPr>
          <w:rFonts w:cstheme="minorHAnsi"/>
          <w:b/>
          <w:sz w:val="24"/>
          <w:szCs w:val="24"/>
          <w:u w:val="single"/>
        </w:rPr>
      </w:pPr>
      <w:r w:rsidRPr="0003094C">
        <w:rPr>
          <w:rFonts w:cstheme="minorHAnsi"/>
          <w:b/>
          <w:sz w:val="24"/>
          <w:szCs w:val="24"/>
          <w:u w:val="single"/>
        </w:rPr>
        <w:t>Spolky</w:t>
      </w:r>
    </w:p>
    <w:p w14:paraId="310CBF57" w14:textId="77777777" w:rsidR="0072554E" w:rsidRPr="0003094C" w:rsidRDefault="0072554E" w:rsidP="0072554E">
      <w:pPr>
        <w:spacing w:after="0" w:line="240" w:lineRule="auto"/>
        <w:jc w:val="both"/>
        <w:rPr>
          <w:rFonts w:cstheme="minorHAnsi"/>
          <w:b/>
          <w:u w:val="single"/>
        </w:rPr>
      </w:pPr>
    </w:p>
    <w:p w14:paraId="5115331D" w14:textId="77777777" w:rsidR="0072554E" w:rsidRPr="00792ECC" w:rsidRDefault="0072554E" w:rsidP="0072554E">
      <w:pPr>
        <w:spacing w:after="0" w:line="240" w:lineRule="auto"/>
        <w:jc w:val="both"/>
        <w:rPr>
          <w:rFonts w:cstheme="minorHAnsi"/>
          <w:b/>
        </w:rPr>
      </w:pPr>
      <w:r w:rsidRPr="00792ECC">
        <w:rPr>
          <w:rFonts w:cstheme="minorHAnsi"/>
          <w:b/>
        </w:rPr>
        <w:t>Středočeské inovační centrum, spolek</w:t>
      </w:r>
    </w:p>
    <w:p w14:paraId="3556B674" w14:textId="179BB710" w:rsidR="0072554E" w:rsidRDefault="0072554E" w:rsidP="0072554E">
      <w:pPr>
        <w:spacing w:after="0" w:line="240" w:lineRule="auto"/>
        <w:jc w:val="both"/>
        <w:rPr>
          <w:rFonts w:cstheme="minorHAnsi"/>
        </w:rPr>
      </w:pPr>
      <w:r w:rsidRPr="0003094C">
        <w:rPr>
          <w:rFonts w:cstheme="minorHAnsi"/>
        </w:rPr>
        <w:t>Středočeské inovační centrum je nezisková organizace zajišťující především veřejnou službu v oblasti podpory inovačního prostředí v kraji. Byla založena v roce 2015 Středočeským krajem, fyzikálním ústavem AV ČR, v.v.i, Astronomickým ústavem AV ČR, v.v.i. a Výzkumným ústavem geodetickým, topografickým a kartografickým, v.v.i. Dle stanov zajišťuje mj. vznik a rozvoj podnikání založeného na znalostech a výsledcích výzkumu, propojování výzkumných organizací s firmami na území Středočeského kraje a naplňování regionální strategie in</w:t>
      </w:r>
      <w:r>
        <w:rPr>
          <w:rFonts w:cstheme="minorHAnsi"/>
        </w:rPr>
        <w:t xml:space="preserve">teligentní specializace (RIS3). Spolek přešel </w:t>
      </w:r>
      <w:r w:rsidRPr="0003094C">
        <w:rPr>
          <w:rFonts w:cstheme="minorHAnsi"/>
        </w:rPr>
        <w:t xml:space="preserve">z Odboru regionálního </w:t>
      </w:r>
      <w:r>
        <w:rPr>
          <w:rFonts w:cstheme="minorHAnsi"/>
        </w:rPr>
        <w:t xml:space="preserve">rozvoje do Odboru řízení dotačních projektů z důvodu převodu agendy </w:t>
      </w:r>
      <w:r w:rsidRPr="0003094C">
        <w:rPr>
          <w:rFonts w:cstheme="minorHAnsi"/>
        </w:rPr>
        <w:t>na základě Opatření ředitele Krajského úřadu Středočeského kraje č. 3/2021, kterým se mění Organizační řád Krajského úřadu Středočeského kraje s účinností dne 1. 4. 2021.</w:t>
      </w:r>
      <w:r w:rsidR="00ED6B90">
        <w:rPr>
          <w:rFonts w:cstheme="minorHAnsi"/>
        </w:rPr>
        <w:t xml:space="preserve"> </w:t>
      </w:r>
      <w:r w:rsidRPr="0003094C">
        <w:rPr>
          <w:rFonts w:cstheme="minorHAnsi"/>
        </w:rPr>
        <w:t>Za I. pololetí roku 2021 vykázal spolek kladný hospodářský výsledek (81 264 tis. Kč), a to z důvodu „rozpuštění“ části (50</w:t>
      </w:r>
      <w:r>
        <w:rPr>
          <w:rFonts w:cstheme="minorHAnsi"/>
        </w:rPr>
        <w:t xml:space="preserve"> </w:t>
      </w:r>
      <w:r w:rsidRPr="0003094C">
        <w:rPr>
          <w:rFonts w:cstheme="minorHAnsi"/>
        </w:rPr>
        <w:t xml:space="preserve">%) dotace ve výši 11,5 mil. Kč na zajištění provozu do výnosů a přijatých členských příspěvků členů spolku. Druhá zbývající část dotace </w:t>
      </w:r>
      <w:r>
        <w:rPr>
          <w:rFonts w:cstheme="minorHAnsi"/>
        </w:rPr>
        <w:t>byla</w:t>
      </w:r>
      <w:r w:rsidRPr="0003094C">
        <w:rPr>
          <w:rFonts w:cstheme="minorHAnsi"/>
        </w:rPr>
        <w:t xml:space="preserve"> rozpuštěna ve II. pololetí 2021.</w:t>
      </w:r>
      <w:r>
        <w:rPr>
          <w:rFonts w:cstheme="minorHAnsi"/>
        </w:rPr>
        <w:t xml:space="preserve"> </w:t>
      </w:r>
      <w:r w:rsidRPr="00792ECC">
        <w:rPr>
          <w:rFonts w:cstheme="minorHAnsi"/>
        </w:rPr>
        <w:t xml:space="preserve">V </w:t>
      </w:r>
      <w:r>
        <w:rPr>
          <w:rFonts w:cstheme="minorHAnsi"/>
        </w:rPr>
        <w:t>r.</w:t>
      </w:r>
      <w:r w:rsidRPr="00792ECC">
        <w:rPr>
          <w:rFonts w:cstheme="minorHAnsi"/>
        </w:rPr>
        <w:t xml:space="preserve"> 2021 vykázal spolek hospodářský výsledek ve výši 0,00 Kč dle "Výsledovky 2021"</w:t>
      </w:r>
      <w:r>
        <w:rPr>
          <w:rFonts w:cstheme="minorHAnsi"/>
        </w:rPr>
        <w:t>.</w:t>
      </w:r>
    </w:p>
    <w:p w14:paraId="5AA24E97" w14:textId="77777777" w:rsidR="0072554E" w:rsidRDefault="0072554E" w:rsidP="0072554E">
      <w:pPr>
        <w:pStyle w:val="Normln10"/>
        <w:jc w:val="both"/>
        <w:rPr>
          <w:rFonts w:asciiTheme="minorHAnsi" w:hAnsiTheme="minorHAnsi" w:cstheme="minorHAnsi"/>
          <w:color w:val="auto"/>
          <w:sz w:val="22"/>
          <w:szCs w:val="22"/>
        </w:rPr>
      </w:pPr>
    </w:p>
    <w:p w14:paraId="1FADD784" w14:textId="77777777" w:rsidR="0072554E" w:rsidRDefault="0072554E" w:rsidP="0072554E">
      <w:pPr>
        <w:pStyle w:val="Normln10"/>
        <w:jc w:val="both"/>
        <w:rPr>
          <w:rFonts w:asciiTheme="minorHAnsi" w:hAnsiTheme="minorHAnsi" w:cstheme="minorHAnsi"/>
          <w:color w:val="auto"/>
          <w:sz w:val="22"/>
          <w:szCs w:val="22"/>
        </w:rPr>
      </w:pPr>
    </w:p>
    <w:p w14:paraId="6B31A291" w14:textId="77777777" w:rsidR="0072554E" w:rsidRDefault="0072554E" w:rsidP="0072554E">
      <w:pPr>
        <w:pStyle w:val="Normln10"/>
        <w:jc w:val="both"/>
        <w:rPr>
          <w:rFonts w:asciiTheme="minorHAnsi" w:hAnsiTheme="minorHAnsi" w:cstheme="minorHAnsi"/>
          <w:color w:val="auto"/>
          <w:sz w:val="22"/>
          <w:szCs w:val="22"/>
        </w:rPr>
      </w:pPr>
    </w:p>
    <w:p w14:paraId="6A3676AE" w14:textId="77777777" w:rsidR="0072554E" w:rsidRDefault="0072554E" w:rsidP="0072554E">
      <w:pPr>
        <w:pStyle w:val="Normln10"/>
        <w:jc w:val="both"/>
        <w:rPr>
          <w:rFonts w:asciiTheme="minorHAnsi" w:hAnsiTheme="minorHAnsi" w:cstheme="minorHAnsi"/>
          <w:color w:val="auto"/>
          <w:sz w:val="22"/>
          <w:szCs w:val="22"/>
        </w:rPr>
      </w:pPr>
    </w:p>
    <w:p w14:paraId="4673E187" w14:textId="77777777" w:rsidR="0072554E" w:rsidRDefault="0072554E" w:rsidP="0072554E">
      <w:pPr>
        <w:pStyle w:val="Normln10"/>
        <w:jc w:val="both"/>
        <w:rPr>
          <w:rFonts w:asciiTheme="minorHAnsi" w:hAnsiTheme="minorHAnsi" w:cstheme="minorHAnsi"/>
          <w:color w:val="auto"/>
          <w:sz w:val="22"/>
          <w:szCs w:val="22"/>
        </w:rPr>
      </w:pPr>
    </w:p>
    <w:p w14:paraId="669FDC98" w14:textId="77777777" w:rsidR="0072554E" w:rsidRDefault="0072554E" w:rsidP="0072554E">
      <w:pPr>
        <w:pStyle w:val="Normln10"/>
        <w:jc w:val="both"/>
        <w:rPr>
          <w:rFonts w:asciiTheme="minorHAnsi" w:hAnsiTheme="minorHAnsi" w:cstheme="minorHAnsi"/>
          <w:color w:val="auto"/>
          <w:sz w:val="22"/>
          <w:szCs w:val="22"/>
        </w:rPr>
      </w:pPr>
    </w:p>
    <w:p w14:paraId="1DDEAA48" w14:textId="77777777" w:rsidR="0072554E" w:rsidRDefault="0072554E" w:rsidP="0072554E">
      <w:pPr>
        <w:pStyle w:val="Normln10"/>
        <w:jc w:val="both"/>
        <w:rPr>
          <w:rFonts w:asciiTheme="minorHAnsi" w:hAnsiTheme="minorHAnsi" w:cstheme="minorHAnsi"/>
          <w:color w:val="auto"/>
          <w:sz w:val="22"/>
          <w:szCs w:val="22"/>
        </w:rPr>
      </w:pPr>
    </w:p>
    <w:p w14:paraId="023757B0" w14:textId="77777777" w:rsidR="0072554E" w:rsidRDefault="0072554E" w:rsidP="0072554E">
      <w:pPr>
        <w:pStyle w:val="Normln10"/>
        <w:jc w:val="both"/>
        <w:rPr>
          <w:rFonts w:asciiTheme="minorHAnsi" w:hAnsiTheme="minorHAnsi" w:cstheme="minorHAnsi"/>
          <w:color w:val="auto"/>
          <w:sz w:val="22"/>
          <w:szCs w:val="22"/>
        </w:rPr>
      </w:pPr>
    </w:p>
    <w:p w14:paraId="202BB203" w14:textId="77777777" w:rsidR="0072554E" w:rsidRDefault="0072554E" w:rsidP="0072554E">
      <w:pPr>
        <w:pStyle w:val="Normln10"/>
        <w:jc w:val="both"/>
        <w:rPr>
          <w:rFonts w:asciiTheme="minorHAnsi" w:hAnsiTheme="minorHAnsi" w:cstheme="minorHAnsi"/>
          <w:color w:val="auto"/>
          <w:sz w:val="22"/>
          <w:szCs w:val="22"/>
        </w:rPr>
      </w:pPr>
    </w:p>
    <w:p w14:paraId="4758E3F9" w14:textId="4ED23514" w:rsidR="0072554E" w:rsidRDefault="0072554E" w:rsidP="0072554E">
      <w:pPr>
        <w:pStyle w:val="Normln10"/>
        <w:jc w:val="both"/>
        <w:rPr>
          <w:rFonts w:asciiTheme="minorHAnsi" w:hAnsiTheme="minorHAnsi" w:cstheme="minorHAnsi"/>
          <w:color w:val="auto"/>
          <w:sz w:val="22"/>
          <w:szCs w:val="22"/>
        </w:rPr>
      </w:pPr>
    </w:p>
    <w:p w14:paraId="714B22F2" w14:textId="6A888038" w:rsidR="00B83477" w:rsidRDefault="00B83477" w:rsidP="0072554E">
      <w:pPr>
        <w:pStyle w:val="Normln10"/>
        <w:jc w:val="both"/>
        <w:rPr>
          <w:rFonts w:asciiTheme="minorHAnsi" w:hAnsiTheme="minorHAnsi" w:cstheme="minorHAnsi"/>
          <w:color w:val="auto"/>
          <w:sz w:val="22"/>
          <w:szCs w:val="22"/>
        </w:rPr>
      </w:pPr>
    </w:p>
    <w:p w14:paraId="11ABCA2D" w14:textId="0677CE0F" w:rsidR="00B83477" w:rsidRDefault="00B83477" w:rsidP="0072554E">
      <w:pPr>
        <w:pStyle w:val="Normln10"/>
        <w:jc w:val="both"/>
        <w:rPr>
          <w:rFonts w:asciiTheme="minorHAnsi" w:hAnsiTheme="minorHAnsi" w:cstheme="minorHAnsi"/>
          <w:color w:val="auto"/>
          <w:sz w:val="22"/>
          <w:szCs w:val="22"/>
        </w:rPr>
      </w:pPr>
    </w:p>
    <w:p w14:paraId="3D28C148" w14:textId="5F8BCAF6" w:rsidR="00B83477" w:rsidRDefault="00B83477" w:rsidP="0072554E">
      <w:pPr>
        <w:pStyle w:val="Normln10"/>
        <w:jc w:val="both"/>
        <w:rPr>
          <w:rFonts w:asciiTheme="minorHAnsi" w:hAnsiTheme="minorHAnsi" w:cstheme="minorHAnsi"/>
          <w:color w:val="auto"/>
          <w:sz w:val="22"/>
          <w:szCs w:val="22"/>
        </w:rPr>
      </w:pPr>
    </w:p>
    <w:p w14:paraId="6478B8CE" w14:textId="0656B1CC" w:rsidR="005D7E89" w:rsidRDefault="005D7E89" w:rsidP="0072554E">
      <w:pPr>
        <w:pStyle w:val="Normln10"/>
        <w:jc w:val="both"/>
        <w:rPr>
          <w:rFonts w:asciiTheme="minorHAnsi" w:hAnsiTheme="minorHAnsi" w:cstheme="minorHAnsi"/>
          <w:color w:val="auto"/>
          <w:sz w:val="22"/>
          <w:szCs w:val="22"/>
        </w:rPr>
      </w:pPr>
    </w:p>
    <w:p w14:paraId="46EF955B" w14:textId="77777777" w:rsidR="005D7E89" w:rsidRDefault="005D7E89" w:rsidP="0072554E">
      <w:pPr>
        <w:pStyle w:val="Normln10"/>
        <w:jc w:val="both"/>
        <w:rPr>
          <w:rFonts w:asciiTheme="minorHAnsi" w:hAnsiTheme="minorHAnsi" w:cstheme="minorHAnsi"/>
          <w:color w:val="auto"/>
          <w:sz w:val="22"/>
          <w:szCs w:val="22"/>
        </w:rPr>
      </w:pPr>
    </w:p>
    <w:p w14:paraId="1F81E38D" w14:textId="55035BF5" w:rsidR="00B83477" w:rsidRDefault="00B83477" w:rsidP="0072554E">
      <w:pPr>
        <w:pStyle w:val="Normln10"/>
        <w:jc w:val="both"/>
        <w:rPr>
          <w:rFonts w:asciiTheme="minorHAnsi" w:hAnsiTheme="minorHAnsi" w:cstheme="minorHAnsi"/>
          <w:color w:val="auto"/>
          <w:sz w:val="22"/>
          <w:szCs w:val="22"/>
        </w:rPr>
      </w:pPr>
    </w:p>
    <w:tbl>
      <w:tblPr>
        <w:tblW w:w="9951" w:type="dxa"/>
        <w:tblCellMar>
          <w:left w:w="70" w:type="dxa"/>
          <w:right w:w="70" w:type="dxa"/>
        </w:tblCellMar>
        <w:tblLook w:val="04A0" w:firstRow="1" w:lastRow="0" w:firstColumn="1" w:lastColumn="0" w:noHBand="0" w:noVBand="1"/>
      </w:tblPr>
      <w:tblGrid>
        <w:gridCol w:w="826"/>
        <w:gridCol w:w="3994"/>
        <w:gridCol w:w="1276"/>
        <w:gridCol w:w="1559"/>
        <w:gridCol w:w="1559"/>
        <w:gridCol w:w="737"/>
      </w:tblGrid>
      <w:tr w:rsidR="00960E88" w:rsidRPr="00960E88" w14:paraId="17DACFCB" w14:textId="77777777" w:rsidTr="00960E88">
        <w:trPr>
          <w:trHeight w:val="403"/>
        </w:trPr>
        <w:tc>
          <w:tcPr>
            <w:tcW w:w="9951" w:type="dxa"/>
            <w:gridSpan w:val="6"/>
            <w:tcBorders>
              <w:top w:val="nil"/>
              <w:left w:val="nil"/>
              <w:bottom w:val="nil"/>
              <w:right w:val="nil"/>
            </w:tcBorders>
            <w:shd w:val="clear" w:color="auto" w:fill="auto"/>
            <w:noWrap/>
            <w:vAlign w:val="center"/>
            <w:hideMark/>
          </w:tcPr>
          <w:p w14:paraId="62D170A2" w14:textId="77777777" w:rsidR="00960E88" w:rsidRPr="00960E88" w:rsidRDefault="00960E88" w:rsidP="00960E88">
            <w:pPr>
              <w:spacing w:after="0" w:line="240" w:lineRule="auto"/>
              <w:jc w:val="center"/>
              <w:rPr>
                <w:rFonts w:ascii="Calibri" w:eastAsia="Times New Roman" w:hAnsi="Calibri" w:cs="Arial"/>
                <w:b/>
                <w:bCs/>
                <w:sz w:val="28"/>
                <w:szCs w:val="28"/>
                <w:lang w:eastAsia="cs-CZ"/>
              </w:rPr>
            </w:pPr>
            <w:r w:rsidRPr="00960E88">
              <w:rPr>
                <w:rFonts w:ascii="Calibri" w:eastAsia="Times New Roman" w:hAnsi="Calibri" w:cs="Arial"/>
                <w:b/>
                <w:bCs/>
                <w:sz w:val="28"/>
                <w:szCs w:val="28"/>
                <w:lang w:eastAsia="cs-CZ"/>
              </w:rPr>
              <w:t xml:space="preserve">            Čerpání rozpočtu kapitoly 10 - Životní prostředí a zemědělství - období: 1. - 12. 2021</w:t>
            </w:r>
          </w:p>
        </w:tc>
      </w:tr>
      <w:tr w:rsidR="00960E88" w:rsidRPr="00960E88" w14:paraId="020DCFDA" w14:textId="77777777" w:rsidTr="00960E88">
        <w:trPr>
          <w:trHeight w:val="360"/>
        </w:trPr>
        <w:tc>
          <w:tcPr>
            <w:tcW w:w="826" w:type="dxa"/>
            <w:tcBorders>
              <w:top w:val="nil"/>
              <w:left w:val="nil"/>
              <w:bottom w:val="nil"/>
              <w:right w:val="nil"/>
            </w:tcBorders>
            <w:shd w:val="clear" w:color="auto" w:fill="auto"/>
            <w:noWrap/>
            <w:vAlign w:val="bottom"/>
            <w:hideMark/>
          </w:tcPr>
          <w:p w14:paraId="40626986" w14:textId="77777777" w:rsidR="00960E88" w:rsidRPr="00960E88" w:rsidRDefault="00960E88" w:rsidP="00960E88">
            <w:pPr>
              <w:spacing w:after="0" w:line="240" w:lineRule="auto"/>
              <w:jc w:val="center"/>
              <w:rPr>
                <w:rFonts w:ascii="Calibri" w:eastAsia="Times New Roman" w:hAnsi="Calibri" w:cs="Arial"/>
                <w:b/>
                <w:bCs/>
                <w:sz w:val="28"/>
                <w:szCs w:val="28"/>
                <w:lang w:eastAsia="cs-CZ"/>
              </w:rPr>
            </w:pPr>
          </w:p>
        </w:tc>
        <w:tc>
          <w:tcPr>
            <w:tcW w:w="3994" w:type="dxa"/>
            <w:tcBorders>
              <w:top w:val="nil"/>
              <w:left w:val="nil"/>
              <w:bottom w:val="nil"/>
              <w:right w:val="nil"/>
            </w:tcBorders>
            <w:shd w:val="clear" w:color="auto" w:fill="auto"/>
            <w:noWrap/>
            <w:vAlign w:val="bottom"/>
            <w:hideMark/>
          </w:tcPr>
          <w:p w14:paraId="1A771E29" w14:textId="77777777" w:rsidR="00960E88" w:rsidRPr="00960E88" w:rsidRDefault="00960E88" w:rsidP="00960E88">
            <w:pPr>
              <w:spacing w:after="0" w:line="240" w:lineRule="auto"/>
              <w:rPr>
                <w:rFonts w:ascii="Times New Roman" w:eastAsia="Times New Roman" w:hAnsi="Times New Roman" w:cs="Times New Roman"/>
                <w:sz w:val="20"/>
                <w:szCs w:val="20"/>
                <w:lang w:eastAsia="cs-CZ"/>
              </w:rPr>
            </w:pPr>
          </w:p>
        </w:tc>
        <w:tc>
          <w:tcPr>
            <w:tcW w:w="1276" w:type="dxa"/>
            <w:tcBorders>
              <w:top w:val="nil"/>
              <w:left w:val="nil"/>
              <w:bottom w:val="nil"/>
              <w:right w:val="nil"/>
            </w:tcBorders>
            <w:shd w:val="clear" w:color="auto" w:fill="auto"/>
            <w:noWrap/>
            <w:vAlign w:val="bottom"/>
            <w:hideMark/>
          </w:tcPr>
          <w:p w14:paraId="66CCD49F" w14:textId="77777777" w:rsidR="00960E88" w:rsidRPr="00960E88" w:rsidRDefault="00960E88" w:rsidP="00960E88">
            <w:pPr>
              <w:spacing w:after="0" w:line="240" w:lineRule="auto"/>
              <w:rPr>
                <w:rFonts w:ascii="Times New Roman" w:eastAsia="Times New Roman" w:hAnsi="Times New Roman" w:cs="Times New Roman"/>
                <w:sz w:val="20"/>
                <w:szCs w:val="20"/>
                <w:lang w:eastAsia="cs-CZ"/>
              </w:rPr>
            </w:pPr>
          </w:p>
        </w:tc>
        <w:tc>
          <w:tcPr>
            <w:tcW w:w="1559" w:type="dxa"/>
            <w:tcBorders>
              <w:top w:val="nil"/>
              <w:left w:val="nil"/>
              <w:bottom w:val="nil"/>
              <w:right w:val="nil"/>
            </w:tcBorders>
            <w:shd w:val="clear" w:color="auto" w:fill="auto"/>
            <w:noWrap/>
            <w:vAlign w:val="bottom"/>
            <w:hideMark/>
          </w:tcPr>
          <w:p w14:paraId="5B05CDC6" w14:textId="77777777" w:rsidR="00960E88" w:rsidRPr="00960E88" w:rsidRDefault="00960E88" w:rsidP="00960E88">
            <w:pPr>
              <w:spacing w:after="0" w:line="240" w:lineRule="auto"/>
              <w:rPr>
                <w:rFonts w:ascii="Times New Roman" w:eastAsia="Times New Roman" w:hAnsi="Times New Roman" w:cs="Times New Roman"/>
                <w:sz w:val="20"/>
                <w:szCs w:val="20"/>
                <w:lang w:eastAsia="cs-CZ"/>
              </w:rPr>
            </w:pPr>
          </w:p>
        </w:tc>
        <w:tc>
          <w:tcPr>
            <w:tcW w:w="1559" w:type="dxa"/>
            <w:tcBorders>
              <w:top w:val="nil"/>
              <w:left w:val="nil"/>
              <w:bottom w:val="nil"/>
              <w:right w:val="nil"/>
            </w:tcBorders>
            <w:shd w:val="clear" w:color="auto" w:fill="auto"/>
            <w:noWrap/>
            <w:vAlign w:val="bottom"/>
            <w:hideMark/>
          </w:tcPr>
          <w:p w14:paraId="08B401FF" w14:textId="77777777" w:rsidR="00960E88" w:rsidRPr="00960E88" w:rsidRDefault="00960E88" w:rsidP="00960E88">
            <w:pPr>
              <w:spacing w:after="0" w:line="240" w:lineRule="auto"/>
              <w:rPr>
                <w:rFonts w:ascii="Times New Roman" w:eastAsia="Times New Roman" w:hAnsi="Times New Roman" w:cs="Times New Roman"/>
                <w:sz w:val="20"/>
                <w:szCs w:val="20"/>
                <w:lang w:eastAsia="cs-CZ"/>
              </w:rPr>
            </w:pPr>
          </w:p>
        </w:tc>
        <w:tc>
          <w:tcPr>
            <w:tcW w:w="737" w:type="dxa"/>
            <w:tcBorders>
              <w:top w:val="nil"/>
              <w:left w:val="nil"/>
              <w:bottom w:val="nil"/>
              <w:right w:val="nil"/>
            </w:tcBorders>
            <w:shd w:val="clear" w:color="auto" w:fill="auto"/>
            <w:noWrap/>
            <w:vAlign w:val="bottom"/>
            <w:hideMark/>
          </w:tcPr>
          <w:p w14:paraId="7CBD37AD" w14:textId="77777777" w:rsidR="00960E88" w:rsidRPr="00960E88" w:rsidRDefault="00960E88" w:rsidP="00960E88">
            <w:pPr>
              <w:spacing w:after="0" w:line="240" w:lineRule="auto"/>
              <w:jc w:val="right"/>
              <w:rPr>
                <w:rFonts w:ascii="Calibri" w:eastAsia="Times New Roman" w:hAnsi="Calibri" w:cs="Arial"/>
                <w:lang w:eastAsia="cs-CZ"/>
              </w:rPr>
            </w:pPr>
            <w:r w:rsidRPr="00960E88">
              <w:rPr>
                <w:rFonts w:ascii="Calibri" w:eastAsia="Times New Roman" w:hAnsi="Calibri" w:cs="Arial"/>
                <w:lang w:eastAsia="cs-CZ"/>
              </w:rPr>
              <w:t xml:space="preserve"> v Kč</w:t>
            </w:r>
          </w:p>
        </w:tc>
      </w:tr>
      <w:tr w:rsidR="00960E88" w:rsidRPr="00960E88" w14:paraId="1791BB7C" w14:textId="77777777" w:rsidTr="00960E88">
        <w:trPr>
          <w:trHeight w:val="705"/>
        </w:trPr>
        <w:tc>
          <w:tcPr>
            <w:tcW w:w="826" w:type="dxa"/>
            <w:tcBorders>
              <w:top w:val="single" w:sz="8" w:space="0" w:color="auto"/>
              <w:left w:val="single" w:sz="8" w:space="0" w:color="auto"/>
              <w:bottom w:val="single" w:sz="8" w:space="0" w:color="auto"/>
              <w:right w:val="single" w:sz="8" w:space="0" w:color="auto"/>
            </w:tcBorders>
            <w:shd w:val="clear" w:color="000000" w:fill="CCFFCC"/>
            <w:noWrap/>
            <w:vAlign w:val="center"/>
            <w:hideMark/>
          </w:tcPr>
          <w:p w14:paraId="66EB962A" w14:textId="77777777" w:rsidR="00960E88" w:rsidRPr="00960E88" w:rsidRDefault="00960E88" w:rsidP="00960E88">
            <w:pPr>
              <w:spacing w:after="0" w:line="240" w:lineRule="auto"/>
              <w:jc w:val="center"/>
              <w:rPr>
                <w:rFonts w:ascii="Calibri" w:eastAsia="Times New Roman" w:hAnsi="Calibri" w:cs="Arial"/>
                <w:sz w:val="20"/>
                <w:szCs w:val="20"/>
                <w:lang w:eastAsia="cs-CZ"/>
              </w:rPr>
            </w:pPr>
            <w:r w:rsidRPr="00960E88">
              <w:rPr>
                <w:rFonts w:ascii="Calibri" w:eastAsia="Times New Roman" w:hAnsi="Calibri" w:cs="Arial"/>
                <w:sz w:val="20"/>
                <w:szCs w:val="20"/>
                <w:lang w:eastAsia="cs-CZ"/>
              </w:rPr>
              <w:t>Paragraf</w:t>
            </w:r>
          </w:p>
        </w:tc>
        <w:tc>
          <w:tcPr>
            <w:tcW w:w="3994" w:type="dxa"/>
            <w:tcBorders>
              <w:top w:val="single" w:sz="8" w:space="0" w:color="auto"/>
              <w:left w:val="nil"/>
              <w:bottom w:val="single" w:sz="8" w:space="0" w:color="auto"/>
              <w:right w:val="single" w:sz="8" w:space="0" w:color="auto"/>
            </w:tcBorders>
            <w:shd w:val="clear" w:color="000000" w:fill="CCFFCC"/>
            <w:noWrap/>
            <w:vAlign w:val="center"/>
            <w:hideMark/>
          </w:tcPr>
          <w:p w14:paraId="76ECBD65" w14:textId="77777777" w:rsidR="00960E88" w:rsidRPr="00960E88" w:rsidRDefault="00960E88" w:rsidP="00960E88">
            <w:pPr>
              <w:spacing w:after="0" w:line="240" w:lineRule="auto"/>
              <w:jc w:val="center"/>
              <w:rPr>
                <w:rFonts w:ascii="Calibri" w:eastAsia="Times New Roman" w:hAnsi="Calibri" w:cs="Arial"/>
                <w:sz w:val="20"/>
                <w:szCs w:val="20"/>
                <w:lang w:eastAsia="cs-CZ"/>
              </w:rPr>
            </w:pPr>
            <w:r w:rsidRPr="00960E88">
              <w:rPr>
                <w:rFonts w:ascii="Calibri" w:eastAsia="Times New Roman" w:hAnsi="Calibri" w:cs="Arial"/>
                <w:sz w:val="20"/>
                <w:szCs w:val="20"/>
                <w:lang w:eastAsia="cs-CZ"/>
              </w:rPr>
              <w:t>Oblast rozpočtu</w:t>
            </w:r>
          </w:p>
        </w:tc>
        <w:tc>
          <w:tcPr>
            <w:tcW w:w="1276" w:type="dxa"/>
            <w:tcBorders>
              <w:top w:val="single" w:sz="8" w:space="0" w:color="auto"/>
              <w:left w:val="nil"/>
              <w:bottom w:val="single" w:sz="8" w:space="0" w:color="auto"/>
              <w:right w:val="single" w:sz="8" w:space="0" w:color="auto"/>
            </w:tcBorders>
            <w:shd w:val="clear" w:color="000000" w:fill="CCFFCC"/>
            <w:vAlign w:val="center"/>
            <w:hideMark/>
          </w:tcPr>
          <w:p w14:paraId="732AD15C" w14:textId="77777777" w:rsidR="00960E88" w:rsidRPr="00960E88" w:rsidRDefault="00960E88" w:rsidP="00960E88">
            <w:pPr>
              <w:spacing w:after="0" w:line="240" w:lineRule="auto"/>
              <w:jc w:val="center"/>
              <w:rPr>
                <w:rFonts w:ascii="Calibri" w:eastAsia="Times New Roman" w:hAnsi="Calibri" w:cs="Arial"/>
                <w:sz w:val="20"/>
                <w:szCs w:val="20"/>
                <w:lang w:eastAsia="cs-CZ"/>
              </w:rPr>
            </w:pPr>
            <w:r w:rsidRPr="00960E88">
              <w:rPr>
                <w:rFonts w:ascii="Calibri" w:eastAsia="Times New Roman" w:hAnsi="Calibri" w:cs="Arial"/>
                <w:sz w:val="20"/>
                <w:szCs w:val="20"/>
                <w:lang w:eastAsia="cs-CZ"/>
              </w:rPr>
              <w:t>Schválený rozpočet</w:t>
            </w:r>
          </w:p>
        </w:tc>
        <w:tc>
          <w:tcPr>
            <w:tcW w:w="1559" w:type="dxa"/>
            <w:tcBorders>
              <w:top w:val="single" w:sz="8" w:space="0" w:color="auto"/>
              <w:left w:val="nil"/>
              <w:bottom w:val="single" w:sz="8" w:space="0" w:color="auto"/>
              <w:right w:val="single" w:sz="8" w:space="0" w:color="auto"/>
            </w:tcBorders>
            <w:shd w:val="clear" w:color="000000" w:fill="CCFFCC"/>
            <w:vAlign w:val="center"/>
            <w:hideMark/>
          </w:tcPr>
          <w:p w14:paraId="4CAEB86C" w14:textId="77777777" w:rsidR="00960E88" w:rsidRPr="00960E88" w:rsidRDefault="00960E88" w:rsidP="00960E88">
            <w:pPr>
              <w:spacing w:after="0" w:line="240" w:lineRule="auto"/>
              <w:jc w:val="center"/>
              <w:rPr>
                <w:rFonts w:ascii="Calibri" w:eastAsia="Times New Roman" w:hAnsi="Calibri" w:cs="Arial"/>
                <w:sz w:val="20"/>
                <w:szCs w:val="20"/>
                <w:lang w:eastAsia="cs-CZ"/>
              </w:rPr>
            </w:pPr>
            <w:r w:rsidRPr="00960E88">
              <w:rPr>
                <w:rFonts w:ascii="Calibri" w:eastAsia="Times New Roman" w:hAnsi="Calibri" w:cs="Arial"/>
                <w:sz w:val="20"/>
                <w:szCs w:val="20"/>
                <w:lang w:eastAsia="cs-CZ"/>
              </w:rPr>
              <w:t>Rozpočet po úpravě</w:t>
            </w:r>
          </w:p>
        </w:tc>
        <w:tc>
          <w:tcPr>
            <w:tcW w:w="1559" w:type="dxa"/>
            <w:tcBorders>
              <w:top w:val="single" w:sz="8" w:space="0" w:color="auto"/>
              <w:left w:val="nil"/>
              <w:bottom w:val="single" w:sz="8" w:space="0" w:color="auto"/>
              <w:right w:val="single" w:sz="8" w:space="0" w:color="auto"/>
            </w:tcBorders>
            <w:shd w:val="clear" w:color="000000" w:fill="CCFFCC"/>
            <w:vAlign w:val="center"/>
            <w:hideMark/>
          </w:tcPr>
          <w:p w14:paraId="65E5E6C4" w14:textId="77777777" w:rsidR="00960E88" w:rsidRPr="00960E88" w:rsidRDefault="00960E88" w:rsidP="00960E88">
            <w:pPr>
              <w:spacing w:after="0" w:line="240" w:lineRule="auto"/>
              <w:jc w:val="center"/>
              <w:rPr>
                <w:rFonts w:ascii="Calibri" w:eastAsia="Times New Roman" w:hAnsi="Calibri" w:cs="Arial"/>
                <w:sz w:val="20"/>
                <w:szCs w:val="20"/>
                <w:lang w:eastAsia="cs-CZ"/>
              </w:rPr>
            </w:pPr>
            <w:r w:rsidRPr="00960E88">
              <w:rPr>
                <w:rFonts w:ascii="Calibri" w:eastAsia="Times New Roman" w:hAnsi="Calibri" w:cs="Arial"/>
                <w:sz w:val="20"/>
                <w:szCs w:val="20"/>
                <w:lang w:eastAsia="cs-CZ"/>
              </w:rPr>
              <w:t xml:space="preserve">Skutečnost </w:t>
            </w:r>
          </w:p>
        </w:tc>
        <w:tc>
          <w:tcPr>
            <w:tcW w:w="737" w:type="dxa"/>
            <w:tcBorders>
              <w:top w:val="single" w:sz="8" w:space="0" w:color="auto"/>
              <w:left w:val="nil"/>
              <w:bottom w:val="single" w:sz="8" w:space="0" w:color="auto"/>
              <w:right w:val="single" w:sz="8" w:space="0" w:color="auto"/>
            </w:tcBorders>
            <w:shd w:val="clear" w:color="000000" w:fill="CCFFCC"/>
            <w:vAlign w:val="center"/>
            <w:hideMark/>
          </w:tcPr>
          <w:p w14:paraId="3FD2DDBF" w14:textId="77777777" w:rsidR="00960E88" w:rsidRPr="00960E88" w:rsidRDefault="00960E88" w:rsidP="00960E88">
            <w:pPr>
              <w:spacing w:after="0" w:line="240" w:lineRule="auto"/>
              <w:jc w:val="center"/>
              <w:rPr>
                <w:rFonts w:ascii="Calibri" w:eastAsia="Times New Roman" w:hAnsi="Calibri" w:cs="Arial"/>
                <w:sz w:val="20"/>
                <w:szCs w:val="20"/>
                <w:lang w:eastAsia="cs-CZ"/>
              </w:rPr>
            </w:pPr>
            <w:r w:rsidRPr="00960E88">
              <w:rPr>
                <w:rFonts w:ascii="Calibri" w:eastAsia="Times New Roman" w:hAnsi="Calibri" w:cs="Arial"/>
                <w:sz w:val="20"/>
                <w:szCs w:val="20"/>
                <w:lang w:eastAsia="cs-CZ"/>
              </w:rPr>
              <w:t>% plnění</w:t>
            </w:r>
          </w:p>
        </w:tc>
      </w:tr>
      <w:tr w:rsidR="00960E88" w:rsidRPr="00960E88" w14:paraId="47524E14" w14:textId="77777777" w:rsidTr="00960E88">
        <w:trPr>
          <w:trHeight w:val="360"/>
        </w:trPr>
        <w:tc>
          <w:tcPr>
            <w:tcW w:w="826" w:type="dxa"/>
            <w:tcBorders>
              <w:top w:val="nil"/>
              <w:left w:val="nil"/>
              <w:bottom w:val="nil"/>
              <w:right w:val="nil"/>
            </w:tcBorders>
            <w:shd w:val="clear" w:color="auto" w:fill="auto"/>
            <w:noWrap/>
            <w:vAlign w:val="bottom"/>
            <w:hideMark/>
          </w:tcPr>
          <w:p w14:paraId="4CD24862" w14:textId="77777777" w:rsidR="00960E88" w:rsidRPr="00960E88" w:rsidRDefault="00960E88" w:rsidP="00960E88">
            <w:pPr>
              <w:spacing w:after="0" w:line="240" w:lineRule="auto"/>
              <w:jc w:val="center"/>
              <w:rPr>
                <w:rFonts w:ascii="Calibri" w:eastAsia="Times New Roman" w:hAnsi="Calibri" w:cs="Arial"/>
                <w:sz w:val="20"/>
                <w:szCs w:val="20"/>
                <w:lang w:eastAsia="cs-CZ"/>
              </w:rPr>
            </w:pPr>
          </w:p>
        </w:tc>
        <w:tc>
          <w:tcPr>
            <w:tcW w:w="3994" w:type="dxa"/>
            <w:tcBorders>
              <w:top w:val="nil"/>
              <w:left w:val="nil"/>
              <w:bottom w:val="nil"/>
              <w:right w:val="nil"/>
            </w:tcBorders>
            <w:shd w:val="clear" w:color="auto" w:fill="auto"/>
            <w:noWrap/>
            <w:vAlign w:val="bottom"/>
            <w:hideMark/>
          </w:tcPr>
          <w:p w14:paraId="3A2FA441" w14:textId="77777777" w:rsidR="00960E88" w:rsidRPr="00960E88" w:rsidRDefault="00960E88" w:rsidP="00960E88">
            <w:pPr>
              <w:spacing w:after="0" w:line="240" w:lineRule="auto"/>
              <w:rPr>
                <w:rFonts w:ascii="Calibri" w:eastAsia="Times New Roman" w:hAnsi="Calibri" w:cs="Arial"/>
                <w:b/>
                <w:bCs/>
                <w:lang w:eastAsia="cs-CZ"/>
              </w:rPr>
            </w:pPr>
            <w:r w:rsidRPr="00960E88">
              <w:rPr>
                <w:rFonts w:ascii="Calibri" w:eastAsia="Times New Roman" w:hAnsi="Calibri" w:cs="Arial"/>
                <w:b/>
                <w:bCs/>
                <w:lang w:eastAsia="cs-CZ"/>
              </w:rPr>
              <w:t xml:space="preserve">Běžné výdaje </w:t>
            </w:r>
          </w:p>
        </w:tc>
        <w:tc>
          <w:tcPr>
            <w:tcW w:w="1276" w:type="dxa"/>
            <w:tcBorders>
              <w:top w:val="nil"/>
              <w:left w:val="nil"/>
              <w:bottom w:val="nil"/>
              <w:right w:val="nil"/>
            </w:tcBorders>
            <w:shd w:val="clear" w:color="auto" w:fill="auto"/>
            <w:noWrap/>
            <w:vAlign w:val="bottom"/>
            <w:hideMark/>
          </w:tcPr>
          <w:p w14:paraId="50BD247C" w14:textId="77777777" w:rsidR="00960E88" w:rsidRPr="00960E88" w:rsidRDefault="00960E88" w:rsidP="00960E88">
            <w:pPr>
              <w:spacing w:after="0" w:line="240" w:lineRule="auto"/>
              <w:rPr>
                <w:rFonts w:ascii="Calibri" w:eastAsia="Times New Roman" w:hAnsi="Calibri" w:cs="Arial"/>
                <w:b/>
                <w:bCs/>
                <w:lang w:eastAsia="cs-CZ"/>
              </w:rPr>
            </w:pPr>
          </w:p>
        </w:tc>
        <w:tc>
          <w:tcPr>
            <w:tcW w:w="1559" w:type="dxa"/>
            <w:tcBorders>
              <w:top w:val="nil"/>
              <w:left w:val="nil"/>
              <w:bottom w:val="nil"/>
              <w:right w:val="nil"/>
            </w:tcBorders>
            <w:shd w:val="clear" w:color="auto" w:fill="auto"/>
            <w:noWrap/>
            <w:vAlign w:val="bottom"/>
            <w:hideMark/>
          </w:tcPr>
          <w:p w14:paraId="032D7ED8" w14:textId="77777777" w:rsidR="00960E88" w:rsidRPr="00960E88" w:rsidRDefault="00960E88" w:rsidP="00960E88">
            <w:pPr>
              <w:spacing w:after="0" w:line="240" w:lineRule="auto"/>
              <w:rPr>
                <w:rFonts w:ascii="Times New Roman" w:eastAsia="Times New Roman" w:hAnsi="Times New Roman" w:cs="Times New Roman"/>
                <w:sz w:val="20"/>
                <w:szCs w:val="20"/>
                <w:lang w:eastAsia="cs-CZ"/>
              </w:rPr>
            </w:pPr>
          </w:p>
        </w:tc>
        <w:tc>
          <w:tcPr>
            <w:tcW w:w="1559" w:type="dxa"/>
            <w:tcBorders>
              <w:top w:val="nil"/>
              <w:left w:val="nil"/>
              <w:bottom w:val="nil"/>
              <w:right w:val="nil"/>
            </w:tcBorders>
            <w:shd w:val="clear" w:color="auto" w:fill="auto"/>
            <w:noWrap/>
            <w:vAlign w:val="bottom"/>
            <w:hideMark/>
          </w:tcPr>
          <w:p w14:paraId="0367D720" w14:textId="77777777" w:rsidR="00960E88" w:rsidRPr="00960E88" w:rsidRDefault="00960E88" w:rsidP="00960E88">
            <w:pPr>
              <w:spacing w:after="0" w:line="240" w:lineRule="auto"/>
              <w:rPr>
                <w:rFonts w:ascii="Times New Roman" w:eastAsia="Times New Roman" w:hAnsi="Times New Roman" w:cs="Times New Roman"/>
                <w:sz w:val="20"/>
                <w:szCs w:val="20"/>
                <w:lang w:eastAsia="cs-CZ"/>
              </w:rPr>
            </w:pPr>
          </w:p>
        </w:tc>
        <w:tc>
          <w:tcPr>
            <w:tcW w:w="737" w:type="dxa"/>
            <w:tcBorders>
              <w:top w:val="nil"/>
              <w:left w:val="nil"/>
              <w:bottom w:val="nil"/>
              <w:right w:val="nil"/>
            </w:tcBorders>
            <w:shd w:val="clear" w:color="auto" w:fill="auto"/>
            <w:noWrap/>
            <w:vAlign w:val="bottom"/>
            <w:hideMark/>
          </w:tcPr>
          <w:p w14:paraId="41B49203" w14:textId="77777777" w:rsidR="00960E88" w:rsidRPr="00960E88" w:rsidRDefault="00960E88" w:rsidP="00960E88">
            <w:pPr>
              <w:spacing w:after="0" w:line="240" w:lineRule="auto"/>
              <w:rPr>
                <w:rFonts w:ascii="Times New Roman" w:eastAsia="Times New Roman" w:hAnsi="Times New Roman" w:cs="Times New Roman"/>
                <w:sz w:val="20"/>
                <w:szCs w:val="20"/>
                <w:lang w:eastAsia="cs-CZ"/>
              </w:rPr>
            </w:pPr>
          </w:p>
        </w:tc>
      </w:tr>
      <w:tr w:rsidR="00960E88" w:rsidRPr="00960E88" w14:paraId="30C14E55" w14:textId="77777777" w:rsidTr="00960E88">
        <w:trPr>
          <w:trHeight w:val="260"/>
        </w:trPr>
        <w:tc>
          <w:tcPr>
            <w:tcW w:w="826"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B8A2D62" w14:textId="77777777" w:rsidR="00960E88" w:rsidRPr="00960E88" w:rsidRDefault="00960E88" w:rsidP="00960E88">
            <w:pPr>
              <w:spacing w:after="0" w:line="240" w:lineRule="auto"/>
              <w:jc w:val="center"/>
              <w:rPr>
                <w:rFonts w:ascii="Calibri" w:eastAsia="Times New Roman" w:hAnsi="Calibri" w:cs="Arial"/>
                <w:sz w:val="20"/>
                <w:szCs w:val="20"/>
                <w:lang w:eastAsia="cs-CZ"/>
              </w:rPr>
            </w:pPr>
            <w:r w:rsidRPr="00960E88">
              <w:rPr>
                <w:rFonts w:ascii="Calibri" w:eastAsia="Times New Roman" w:hAnsi="Calibri" w:cs="Arial"/>
                <w:sz w:val="20"/>
                <w:szCs w:val="20"/>
                <w:lang w:eastAsia="cs-CZ"/>
              </w:rPr>
              <w:t>1019</w:t>
            </w:r>
          </w:p>
        </w:tc>
        <w:tc>
          <w:tcPr>
            <w:tcW w:w="3994" w:type="dxa"/>
            <w:tcBorders>
              <w:top w:val="single" w:sz="8" w:space="0" w:color="auto"/>
              <w:left w:val="nil"/>
              <w:bottom w:val="single" w:sz="4" w:space="0" w:color="auto"/>
              <w:right w:val="single" w:sz="4" w:space="0" w:color="auto"/>
            </w:tcBorders>
            <w:shd w:val="clear" w:color="auto" w:fill="auto"/>
            <w:vAlign w:val="bottom"/>
            <w:hideMark/>
          </w:tcPr>
          <w:p w14:paraId="3EFBD375" w14:textId="77777777" w:rsidR="00960E88" w:rsidRPr="00960E88" w:rsidRDefault="00960E88" w:rsidP="00960E88">
            <w:pPr>
              <w:spacing w:after="0" w:line="240" w:lineRule="auto"/>
              <w:rPr>
                <w:rFonts w:ascii="Calibri" w:eastAsia="Times New Roman" w:hAnsi="Calibri" w:cs="Arial"/>
                <w:sz w:val="20"/>
                <w:szCs w:val="20"/>
                <w:lang w:eastAsia="cs-CZ"/>
              </w:rPr>
            </w:pPr>
            <w:r w:rsidRPr="00960E88">
              <w:rPr>
                <w:rFonts w:ascii="Calibri" w:eastAsia="Times New Roman" w:hAnsi="Calibri" w:cs="Arial"/>
                <w:sz w:val="20"/>
                <w:szCs w:val="20"/>
                <w:lang w:eastAsia="cs-CZ"/>
              </w:rPr>
              <w:t>Ostatní zemědělská a potravinářská činnost a rozvoj</w:t>
            </w:r>
          </w:p>
        </w:tc>
        <w:tc>
          <w:tcPr>
            <w:tcW w:w="1276" w:type="dxa"/>
            <w:tcBorders>
              <w:top w:val="single" w:sz="8" w:space="0" w:color="auto"/>
              <w:left w:val="nil"/>
              <w:bottom w:val="single" w:sz="4" w:space="0" w:color="auto"/>
              <w:right w:val="single" w:sz="4" w:space="0" w:color="auto"/>
            </w:tcBorders>
            <w:shd w:val="clear" w:color="auto" w:fill="auto"/>
            <w:noWrap/>
            <w:vAlign w:val="bottom"/>
            <w:hideMark/>
          </w:tcPr>
          <w:p w14:paraId="5DEBF496"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0</w:t>
            </w:r>
          </w:p>
        </w:tc>
        <w:tc>
          <w:tcPr>
            <w:tcW w:w="1559" w:type="dxa"/>
            <w:tcBorders>
              <w:top w:val="single" w:sz="8" w:space="0" w:color="auto"/>
              <w:left w:val="nil"/>
              <w:bottom w:val="single" w:sz="4" w:space="0" w:color="auto"/>
              <w:right w:val="single" w:sz="4" w:space="0" w:color="auto"/>
            </w:tcBorders>
            <w:shd w:val="clear" w:color="auto" w:fill="auto"/>
            <w:noWrap/>
            <w:vAlign w:val="bottom"/>
            <w:hideMark/>
          </w:tcPr>
          <w:p w14:paraId="40130A77"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800 000,00</w:t>
            </w:r>
          </w:p>
        </w:tc>
        <w:tc>
          <w:tcPr>
            <w:tcW w:w="1559" w:type="dxa"/>
            <w:tcBorders>
              <w:top w:val="single" w:sz="8" w:space="0" w:color="auto"/>
              <w:left w:val="nil"/>
              <w:bottom w:val="single" w:sz="4" w:space="0" w:color="auto"/>
              <w:right w:val="single" w:sz="4" w:space="0" w:color="auto"/>
            </w:tcBorders>
            <w:shd w:val="clear" w:color="auto" w:fill="auto"/>
            <w:noWrap/>
            <w:vAlign w:val="bottom"/>
            <w:hideMark/>
          </w:tcPr>
          <w:p w14:paraId="35854741"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588 879,00</w:t>
            </w:r>
          </w:p>
        </w:tc>
        <w:tc>
          <w:tcPr>
            <w:tcW w:w="737" w:type="dxa"/>
            <w:tcBorders>
              <w:top w:val="single" w:sz="8" w:space="0" w:color="auto"/>
              <w:left w:val="nil"/>
              <w:bottom w:val="single" w:sz="4" w:space="0" w:color="auto"/>
              <w:right w:val="single" w:sz="8" w:space="0" w:color="auto"/>
            </w:tcBorders>
            <w:shd w:val="clear" w:color="auto" w:fill="auto"/>
            <w:noWrap/>
            <w:vAlign w:val="bottom"/>
            <w:hideMark/>
          </w:tcPr>
          <w:p w14:paraId="550B6227"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73,6</w:t>
            </w:r>
          </w:p>
        </w:tc>
      </w:tr>
      <w:tr w:rsidR="00960E88" w:rsidRPr="00960E88" w14:paraId="4CF09053" w14:textId="77777777" w:rsidTr="00960E88">
        <w:trPr>
          <w:trHeight w:val="26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02E6D665" w14:textId="77777777" w:rsidR="00960E88" w:rsidRPr="00960E88" w:rsidRDefault="00960E88" w:rsidP="00960E88">
            <w:pPr>
              <w:spacing w:after="0" w:line="240" w:lineRule="auto"/>
              <w:jc w:val="center"/>
              <w:rPr>
                <w:rFonts w:ascii="Calibri" w:eastAsia="Times New Roman" w:hAnsi="Calibri" w:cs="Arial"/>
                <w:sz w:val="20"/>
                <w:szCs w:val="20"/>
                <w:lang w:eastAsia="cs-CZ"/>
              </w:rPr>
            </w:pPr>
            <w:r w:rsidRPr="00960E88">
              <w:rPr>
                <w:rFonts w:ascii="Calibri" w:eastAsia="Times New Roman" w:hAnsi="Calibri" w:cs="Arial"/>
                <w:sz w:val="20"/>
                <w:szCs w:val="20"/>
                <w:lang w:eastAsia="cs-CZ"/>
              </w:rPr>
              <w:t>1031</w:t>
            </w:r>
          </w:p>
        </w:tc>
        <w:tc>
          <w:tcPr>
            <w:tcW w:w="3994" w:type="dxa"/>
            <w:tcBorders>
              <w:top w:val="nil"/>
              <w:left w:val="nil"/>
              <w:bottom w:val="single" w:sz="4" w:space="0" w:color="auto"/>
              <w:right w:val="single" w:sz="4" w:space="0" w:color="auto"/>
            </w:tcBorders>
            <w:shd w:val="clear" w:color="auto" w:fill="auto"/>
            <w:noWrap/>
            <w:vAlign w:val="bottom"/>
            <w:hideMark/>
          </w:tcPr>
          <w:p w14:paraId="6CBB870D" w14:textId="77777777" w:rsidR="00960E88" w:rsidRPr="00960E88" w:rsidRDefault="00960E88" w:rsidP="00960E88">
            <w:pPr>
              <w:spacing w:after="0" w:line="240" w:lineRule="auto"/>
              <w:rPr>
                <w:rFonts w:ascii="Calibri" w:eastAsia="Times New Roman" w:hAnsi="Calibri" w:cs="Arial"/>
                <w:sz w:val="20"/>
                <w:szCs w:val="20"/>
                <w:lang w:eastAsia="cs-CZ"/>
              </w:rPr>
            </w:pPr>
            <w:r w:rsidRPr="00960E88">
              <w:rPr>
                <w:rFonts w:ascii="Calibri" w:eastAsia="Times New Roman" w:hAnsi="Calibri" w:cs="Arial"/>
                <w:sz w:val="20"/>
                <w:szCs w:val="20"/>
                <w:lang w:eastAsia="cs-CZ"/>
              </w:rPr>
              <w:t>Pěstební činnost</w:t>
            </w:r>
          </w:p>
        </w:tc>
        <w:tc>
          <w:tcPr>
            <w:tcW w:w="1276" w:type="dxa"/>
            <w:tcBorders>
              <w:top w:val="nil"/>
              <w:left w:val="nil"/>
              <w:bottom w:val="single" w:sz="4" w:space="0" w:color="auto"/>
              <w:right w:val="single" w:sz="4" w:space="0" w:color="auto"/>
            </w:tcBorders>
            <w:shd w:val="clear" w:color="auto" w:fill="auto"/>
            <w:noWrap/>
            <w:vAlign w:val="bottom"/>
            <w:hideMark/>
          </w:tcPr>
          <w:p w14:paraId="7138FDED"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0</w:t>
            </w:r>
          </w:p>
        </w:tc>
        <w:tc>
          <w:tcPr>
            <w:tcW w:w="1559" w:type="dxa"/>
            <w:tcBorders>
              <w:top w:val="nil"/>
              <w:left w:val="nil"/>
              <w:bottom w:val="single" w:sz="4" w:space="0" w:color="auto"/>
              <w:right w:val="single" w:sz="4" w:space="0" w:color="auto"/>
            </w:tcBorders>
            <w:shd w:val="clear" w:color="auto" w:fill="auto"/>
            <w:noWrap/>
            <w:vAlign w:val="bottom"/>
            <w:hideMark/>
          </w:tcPr>
          <w:p w14:paraId="327255C6"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7 999 128,00</w:t>
            </w:r>
          </w:p>
        </w:tc>
        <w:tc>
          <w:tcPr>
            <w:tcW w:w="1559" w:type="dxa"/>
            <w:tcBorders>
              <w:top w:val="nil"/>
              <w:left w:val="nil"/>
              <w:bottom w:val="single" w:sz="4" w:space="0" w:color="auto"/>
              <w:right w:val="single" w:sz="4" w:space="0" w:color="auto"/>
            </w:tcBorders>
            <w:shd w:val="clear" w:color="auto" w:fill="auto"/>
            <w:noWrap/>
            <w:vAlign w:val="bottom"/>
            <w:hideMark/>
          </w:tcPr>
          <w:p w14:paraId="67515D53"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7 988 289,00</w:t>
            </w:r>
          </w:p>
        </w:tc>
        <w:tc>
          <w:tcPr>
            <w:tcW w:w="737" w:type="dxa"/>
            <w:tcBorders>
              <w:top w:val="nil"/>
              <w:left w:val="nil"/>
              <w:bottom w:val="single" w:sz="4" w:space="0" w:color="auto"/>
              <w:right w:val="single" w:sz="8" w:space="0" w:color="auto"/>
            </w:tcBorders>
            <w:shd w:val="clear" w:color="auto" w:fill="auto"/>
            <w:noWrap/>
            <w:vAlign w:val="bottom"/>
            <w:hideMark/>
          </w:tcPr>
          <w:p w14:paraId="37763589"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99,9</w:t>
            </w:r>
          </w:p>
        </w:tc>
      </w:tr>
      <w:tr w:rsidR="00960E88" w:rsidRPr="00960E88" w14:paraId="2AEAD70B" w14:textId="77777777" w:rsidTr="00960E88">
        <w:trPr>
          <w:trHeight w:val="26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43DDABE6" w14:textId="77777777" w:rsidR="00960E88" w:rsidRPr="00960E88" w:rsidRDefault="00960E88" w:rsidP="00960E88">
            <w:pPr>
              <w:spacing w:after="0" w:line="240" w:lineRule="auto"/>
              <w:jc w:val="center"/>
              <w:rPr>
                <w:rFonts w:ascii="Calibri" w:eastAsia="Times New Roman" w:hAnsi="Calibri" w:cs="Arial"/>
                <w:sz w:val="20"/>
                <w:szCs w:val="20"/>
                <w:lang w:eastAsia="cs-CZ"/>
              </w:rPr>
            </w:pPr>
            <w:r w:rsidRPr="00960E88">
              <w:rPr>
                <w:rFonts w:ascii="Calibri" w:eastAsia="Times New Roman" w:hAnsi="Calibri" w:cs="Arial"/>
                <w:sz w:val="20"/>
                <w:szCs w:val="20"/>
                <w:lang w:eastAsia="cs-CZ"/>
              </w:rPr>
              <w:t>1070</w:t>
            </w:r>
          </w:p>
        </w:tc>
        <w:tc>
          <w:tcPr>
            <w:tcW w:w="3994" w:type="dxa"/>
            <w:tcBorders>
              <w:top w:val="nil"/>
              <w:left w:val="nil"/>
              <w:bottom w:val="single" w:sz="4" w:space="0" w:color="auto"/>
              <w:right w:val="single" w:sz="4" w:space="0" w:color="auto"/>
            </w:tcBorders>
            <w:shd w:val="clear" w:color="auto" w:fill="auto"/>
            <w:noWrap/>
            <w:vAlign w:val="bottom"/>
            <w:hideMark/>
          </w:tcPr>
          <w:p w14:paraId="2A18780A" w14:textId="77777777" w:rsidR="00960E88" w:rsidRPr="00960E88" w:rsidRDefault="00960E88" w:rsidP="00960E88">
            <w:pPr>
              <w:spacing w:after="0" w:line="240" w:lineRule="auto"/>
              <w:rPr>
                <w:rFonts w:ascii="Calibri" w:eastAsia="Times New Roman" w:hAnsi="Calibri" w:cs="Arial"/>
                <w:sz w:val="20"/>
                <w:szCs w:val="20"/>
                <w:lang w:eastAsia="cs-CZ"/>
              </w:rPr>
            </w:pPr>
            <w:r w:rsidRPr="00960E88">
              <w:rPr>
                <w:rFonts w:ascii="Calibri" w:eastAsia="Times New Roman" w:hAnsi="Calibri" w:cs="Arial"/>
                <w:sz w:val="20"/>
                <w:szCs w:val="20"/>
                <w:lang w:eastAsia="cs-CZ"/>
              </w:rPr>
              <w:t>Rybářství</w:t>
            </w:r>
          </w:p>
        </w:tc>
        <w:tc>
          <w:tcPr>
            <w:tcW w:w="1276" w:type="dxa"/>
            <w:tcBorders>
              <w:top w:val="nil"/>
              <w:left w:val="nil"/>
              <w:bottom w:val="single" w:sz="4" w:space="0" w:color="auto"/>
              <w:right w:val="single" w:sz="4" w:space="0" w:color="auto"/>
            </w:tcBorders>
            <w:shd w:val="clear" w:color="auto" w:fill="auto"/>
            <w:noWrap/>
            <w:vAlign w:val="bottom"/>
            <w:hideMark/>
          </w:tcPr>
          <w:p w14:paraId="07C1D72D"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230 000</w:t>
            </w:r>
          </w:p>
        </w:tc>
        <w:tc>
          <w:tcPr>
            <w:tcW w:w="1559" w:type="dxa"/>
            <w:tcBorders>
              <w:top w:val="nil"/>
              <w:left w:val="nil"/>
              <w:bottom w:val="single" w:sz="4" w:space="0" w:color="auto"/>
              <w:right w:val="single" w:sz="4" w:space="0" w:color="auto"/>
            </w:tcBorders>
            <w:shd w:val="clear" w:color="auto" w:fill="auto"/>
            <w:noWrap/>
            <w:vAlign w:val="bottom"/>
            <w:hideMark/>
          </w:tcPr>
          <w:p w14:paraId="32688E06"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230 000,00</w:t>
            </w:r>
          </w:p>
        </w:tc>
        <w:tc>
          <w:tcPr>
            <w:tcW w:w="1559" w:type="dxa"/>
            <w:tcBorders>
              <w:top w:val="nil"/>
              <w:left w:val="nil"/>
              <w:bottom w:val="single" w:sz="4" w:space="0" w:color="auto"/>
              <w:right w:val="single" w:sz="4" w:space="0" w:color="auto"/>
            </w:tcBorders>
            <w:shd w:val="clear" w:color="auto" w:fill="auto"/>
            <w:noWrap/>
            <w:vAlign w:val="bottom"/>
            <w:hideMark/>
          </w:tcPr>
          <w:p w14:paraId="701D4A41"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180 000,00</w:t>
            </w:r>
          </w:p>
        </w:tc>
        <w:tc>
          <w:tcPr>
            <w:tcW w:w="737" w:type="dxa"/>
            <w:tcBorders>
              <w:top w:val="nil"/>
              <w:left w:val="nil"/>
              <w:bottom w:val="single" w:sz="4" w:space="0" w:color="auto"/>
              <w:right w:val="single" w:sz="8" w:space="0" w:color="auto"/>
            </w:tcBorders>
            <w:shd w:val="clear" w:color="auto" w:fill="auto"/>
            <w:noWrap/>
            <w:vAlign w:val="bottom"/>
            <w:hideMark/>
          </w:tcPr>
          <w:p w14:paraId="2EB683CB"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78,3</w:t>
            </w:r>
          </w:p>
        </w:tc>
      </w:tr>
      <w:tr w:rsidR="00960E88" w:rsidRPr="00960E88" w14:paraId="77BE9366" w14:textId="77777777" w:rsidTr="00960E88">
        <w:trPr>
          <w:trHeight w:val="26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0E4881BD" w14:textId="77777777" w:rsidR="00960E88" w:rsidRPr="00960E88" w:rsidRDefault="00960E88" w:rsidP="00960E88">
            <w:pPr>
              <w:spacing w:after="0" w:line="240" w:lineRule="auto"/>
              <w:jc w:val="center"/>
              <w:rPr>
                <w:rFonts w:ascii="Calibri" w:eastAsia="Times New Roman" w:hAnsi="Calibri" w:cs="Arial"/>
                <w:sz w:val="20"/>
                <w:szCs w:val="20"/>
                <w:lang w:eastAsia="cs-CZ"/>
              </w:rPr>
            </w:pPr>
            <w:r w:rsidRPr="00960E88">
              <w:rPr>
                <w:rFonts w:ascii="Calibri" w:eastAsia="Times New Roman" w:hAnsi="Calibri" w:cs="Arial"/>
                <w:sz w:val="20"/>
                <w:szCs w:val="20"/>
                <w:lang w:eastAsia="cs-CZ"/>
              </w:rPr>
              <w:t>2310</w:t>
            </w:r>
          </w:p>
        </w:tc>
        <w:tc>
          <w:tcPr>
            <w:tcW w:w="3994" w:type="dxa"/>
            <w:tcBorders>
              <w:top w:val="nil"/>
              <w:left w:val="nil"/>
              <w:bottom w:val="single" w:sz="4" w:space="0" w:color="auto"/>
              <w:right w:val="single" w:sz="4" w:space="0" w:color="auto"/>
            </w:tcBorders>
            <w:shd w:val="clear" w:color="auto" w:fill="auto"/>
            <w:noWrap/>
            <w:vAlign w:val="bottom"/>
            <w:hideMark/>
          </w:tcPr>
          <w:p w14:paraId="0EA5E0BE" w14:textId="77777777" w:rsidR="00960E88" w:rsidRPr="00960E88" w:rsidRDefault="00960E88" w:rsidP="00960E88">
            <w:pPr>
              <w:spacing w:after="0" w:line="240" w:lineRule="auto"/>
              <w:rPr>
                <w:rFonts w:ascii="Calibri" w:eastAsia="Times New Roman" w:hAnsi="Calibri" w:cs="Arial"/>
                <w:sz w:val="20"/>
                <w:szCs w:val="20"/>
                <w:lang w:eastAsia="cs-CZ"/>
              </w:rPr>
            </w:pPr>
            <w:r w:rsidRPr="00960E88">
              <w:rPr>
                <w:rFonts w:ascii="Calibri" w:eastAsia="Times New Roman" w:hAnsi="Calibri" w:cs="Arial"/>
                <w:sz w:val="20"/>
                <w:szCs w:val="20"/>
                <w:lang w:eastAsia="cs-CZ"/>
              </w:rPr>
              <w:t>Pitná voda</w:t>
            </w:r>
          </w:p>
        </w:tc>
        <w:tc>
          <w:tcPr>
            <w:tcW w:w="1276" w:type="dxa"/>
            <w:tcBorders>
              <w:top w:val="nil"/>
              <w:left w:val="nil"/>
              <w:bottom w:val="single" w:sz="4" w:space="0" w:color="auto"/>
              <w:right w:val="single" w:sz="4" w:space="0" w:color="auto"/>
            </w:tcBorders>
            <w:shd w:val="clear" w:color="auto" w:fill="auto"/>
            <w:noWrap/>
            <w:vAlign w:val="bottom"/>
            <w:hideMark/>
          </w:tcPr>
          <w:p w14:paraId="0CAB8B87"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1 500 000</w:t>
            </w:r>
          </w:p>
        </w:tc>
        <w:tc>
          <w:tcPr>
            <w:tcW w:w="1559" w:type="dxa"/>
            <w:tcBorders>
              <w:top w:val="nil"/>
              <w:left w:val="nil"/>
              <w:bottom w:val="single" w:sz="4" w:space="0" w:color="auto"/>
              <w:right w:val="single" w:sz="4" w:space="0" w:color="auto"/>
            </w:tcBorders>
            <w:shd w:val="clear" w:color="auto" w:fill="auto"/>
            <w:noWrap/>
            <w:vAlign w:val="bottom"/>
            <w:hideMark/>
          </w:tcPr>
          <w:p w14:paraId="2C147DDB"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6 500 000,00</w:t>
            </w:r>
          </w:p>
        </w:tc>
        <w:tc>
          <w:tcPr>
            <w:tcW w:w="1559" w:type="dxa"/>
            <w:tcBorders>
              <w:top w:val="nil"/>
              <w:left w:val="nil"/>
              <w:bottom w:val="single" w:sz="4" w:space="0" w:color="auto"/>
              <w:right w:val="single" w:sz="4" w:space="0" w:color="auto"/>
            </w:tcBorders>
            <w:shd w:val="clear" w:color="auto" w:fill="auto"/>
            <w:noWrap/>
            <w:vAlign w:val="bottom"/>
            <w:hideMark/>
          </w:tcPr>
          <w:p w14:paraId="292CFCCC"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1 430 220,00</w:t>
            </w:r>
          </w:p>
        </w:tc>
        <w:tc>
          <w:tcPr>
            <w:tcW w:w="737" w:type="dxa"/>
            <w:tcBorders>
              <w:top w:val="nil"/>
              <w:left w:val="nil"/>
              <w:bottom w:val="single" w:sz="4" w:space="0" w:color="auto"/>
              <w:right w:val="single" w:sz="8" w:space="0" w:color="auto"/>
            </w:tcBorders>
            <w:shd w:val="clear" w:color="auto" w:fill="auto"/>
            <w:noWrap/>
            <w:vAlign w:val="bottom"/>
            <w:hideMark/>
          </w:tcPr>
          <w:p w14:paraId="3DEAE777"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22,0</w:t>
            </w:r>
          </w:p>
        </w:tc>
      </w:tr>
      <w:tr w:rsidR="00960E88" w:rsidRPr="00960E88" w14:paraId="191183A3" w14:textId="77777777" w:rsidTr="00960E88">
        <w:trPr>
          <w:trHeight w:val="51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6529A1B8" w14:textId="77777777" w:rsidR="00960E88" w:rsidRPr="00960E88" w:rsidRDefault="00960E88" w:rsidP="00960E88">
            <w:pPr>
              <w:spacing w:after="0" w:line="240" w:lineRule="auto"/>
              <w:jc w:val="center"/>
              <w:rPr>
                <w:rFonts w:ascii="Calibri" w:eastAsia="Times New Roman" w:hAnsi="Calibri" w:cs="Arial"/>
                <w:sz w:val="20"/>
                <w:szCs w:val="20"/>
                <w:lang w:eastAsia="cs-CZ"/>
              </w:rPr>
            </w:pPr>
            <w:r w:rsidRPr="00960E88">
              <w:rPr>
                <w:rFonts w:ascii="Calibri" w:eastAsia="Times New Roman" w:hAnsi="Calibri" w:cs="Arial"/>
                <w:sz w:val="20"/>
                <w:szCs w:val="20"/>
                <w:lang w:eastAsia="cs-CZ"/>
              </w:rPr>
              <w:t>2339</w:t>
            </w:r>
          </w:p>
        </w:tc>
        <w:tc>
          <w:tcPr>
            <w:tcW w:w="3994" w:type="dxa"/>
            <w:tcBorders>
              <w:top w:val="nil"/>
              <w:left w:val="nil"/>
              <w:bottom w:val="single" w:sz="4" w:space="0" w:color="auto"/>
              <w:right w:val="single" w:sz="4" w:space="0" w:color="auto"/>
            </w:tcBorders>
            <w:shd w:val="clear" w:color="auto" w:fill="auto"/>
            <w:vAlign w:val="center"/>
            <w:hideMark/>
          </w:tcPr>
          <w:p w14:paraId="092DFED1" w14:textId="77777777" w:rsidR="00960E88" w:rsidRPr="00960E88" w:rsidRDefault="00960E88" w:rsidP="00960E88">
            <w:pPr>
              <w:spacing w:after="0" w:line="240" w:lineRule="auto"/>
              <w:rPr>
                <w:rFonts w:ascii="Calibri" w:eastAsia="Times New Roman" w:hAnsi="Calibri" w:cs="Arial"/>
                <w:sz w:val="20"/>
                <w:szCs w:val="20"/>
                <w:lang w:eastAsia="cs-CZ"/>
              </w:rPr>
            </w:pPr>
            <w:r w:rsidRPr="00960E88">
              <w:rPr>
                <w:rFonts w:ascii="Calibri" w:eastAsia="Times New Roman" w:hAnsi="Calibri" w:cs="Arial"/>
                <w:sz w:val="20"/>
                <w:szCs w:val="20"/>
                <w:lang w:eastAsia="cs-CZ"/>
              </w:rPr>
              <w:t>Záležitosti vodních toků a vodohospodářských děl jinde nezařazené</w:t>
            </w:r>
          </w:p>
        </w:tc>
        <w:tc>
          <w:tcPr>
            <w:tcW w:w="1276" w:type="dxa"/>
            <w:tcBorders>
              <w:top w:val="nil"/>
              <w:left w:val="nil"/>
              <w:bottom w:val="single" w:sz="4" w:space="0" w:color="auto"/>
              <w:right w:val="single" w:sz="4" w:space="0" w:color="auto"/>
            </w:tcBorders>
            <w:shd w:val="clear" w:color="auto" w:fill="auto"/>
            <w:noWrap/>
            <w:vAlign w:val="bottom"/>
            <w:hideMark/>
          </w:tcPr>
          <w:p w14:paraId="44954BC7"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300 000</w:t>
            </w:r>
          </w:p>
        </w:tc>
        <w:tc>
          <w:tcPr>
            <w:tcW w:w="1559" w:type="dxa"/>
            <w:tcBorders>
              <w:top w:val="nil"/>
              <w:left w:val="nil"/>
              <w:bottom w:val="single" w:sz="4" w:space="0" w:color="auto"/>
              <w:right w:val="single" w:sz="4" w:space="0" w:color="auto"/>
            </w:tcBorders>
            <w:shd w:val="clear" w:color="auto" w:fill="auto"/>
            <w:noWrap/>
            <w:vAlign w:val="bottom"/>
            <w:hideMark/>
          </w:tcPr>
          <w:p w14:paraId="2E88DF72"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900 000,00</w:t>
            </w:r>
          </w:p>
        </w:tc>
        <w:tc>
          <w:tcPr>
            <w:tcW w:w="1559" w:type="dxa"/>
            <w:tcBorders>
              <w:top w:val="nil"/>
              <w:left w:val="nil"/>
              <w:bottom w:val="single" w:sz="4" w:space="0" w:color="auto"/>
              <w:right w:val="single" w:sz="4" w:space="0" w:color="auto"/>
            </w:tcBorders>
            <w:shd w:val="clear" w:color="auto" w:fill="auto"/>
            <w:noWrap/>
            <w:vAlign w:val="bottom"/>
            <w:hideMark/>
          </w:tcPr>
          <w:p w14:paraId="53F0DD33"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837 875,00</w:t>
            </w:r>
          </w:p>
        </w:tc>
        <w:tc>
          <w:tcPr>
            <w:tcW w:w="737" w:type="dxa"/>
            <w:tcBorders>
              <w:top w:val="nil"/>
              <w:left w:val="nil"/>
              <w:bottom w:val="single" w:sz="4" w:space="0" w:color="auto"/>
              <w:right w:val="single" w:sz="8" w:space="0" w:color="auto"/>
            </w:tcBorders>
            <w:shd w:val="clear" w:color="auto" w:fill="auto"/>
            <w:noWrap/>
            <w:vAlign w:val="bottom"/>
            <w:hideMark/>
          </w:tcPr>
          <w:p w14:paraId="5A62BDA0"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93,1</w:t>
            </w:r>
          </w:p>
        </w:tc>
      </w:tr>
      <w:tr w:rsidR="00960E88" w:rsidRPr="00960E88" w14:paraId="70E2C4D2" w14:textId="77777777" w:rsidTr="00960E88">
        <w:trPr>
          <w:trHeight w:val="26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4FF3B5E4" w14:textId="77777777" w:rsidR="00960E88" w:rsidRPr="00960E88" w:rsidRDefault="00960E88" w:rsidP="00960E88">
            <w:pPr>
              <w:spacing w:after="0" w:line="240" w:lineRule="auto"/>
              <w:jc w:val="center"/>
              <w:rPr>
                <w:rFonts w:ascii="Calibri" w:eastAsia="Times New Roman" w:hAnsi="Calibri" w:cs="Arial"/>
                <w:sz w:val="20"/>
                <w:szCs w:val="20"/>
                <w:lang w:eastAsia="cs-CZ"/>
              </w:rPr>
            </w:pPr>
            <w:r w:rsidRPr="00960E88">
              <w:rPr>
                <w:rFonts w:ascii="Calibri" w:eastAsia="Times New Roman" w:hAnsi="Calibri" w:cs="Arial"/>
                <w:sz w:val="20"/>
                <w:szCs w:val="20"/>
                <w:lang w:eastAsia="cs-CZ"/>
              </w:rPr>
              <w:t>3716</w:t>
            </w:r>
          </w:p>
        </w:tc>
        <w:tc>
          <w:tcPr>
            <w:tcW w:w="3994" w:type="dxa"/>
            <w:tcBorders>
              <w:top w:val="nil"/>
              <w:left w:val="nil"/>
              <w:bottom w:val="single" w:sz="4" w:space="0" w:color="auto"/>
              <w:right w:val="single" w:sz="4" w:space="0" w:color="auto"/>
            </w:tcBorders>
            <w:shd w:val="clear" w:color="auto" w:fill="auto"/>
            <w:vAlign w:val="bottom"/>
            <w:hideMark/>
          </w:tcPr>
          <w:p w14:paraId="5395D613" w14:textId="77777777" w:rsidR="00960E88" w:rsidRPr="00960E88" w:rsidRDefault="00960E88" w:rsidP="00960E88">
            <w:pPr>
              <w:spacing w:after="0" w:line="240" w:lineRule="auto"/>
              <w:rPr>
                <w:rFonts w:ascii="Calibri" w:eastAsia="Times New Roman" w:hAnsi="Calibri" w:cs="Arial"/>
                <w:sz w:val="20"/>
                <w:szCs w:val="20"/>
                <w:lang w:eastAsia="cs-CZ"/>
              </w:rPr>
            </w:pPr>
            <w:r w:rsidRPr="00960E88">
              <w:rPr>
                <w:rFonts w:ascii="Calibri" w:eastAsia="Times New Roman" w:hAnsi="Calibri" w:cs="Arial"/>
                <w:sz w:val="20"/>
                <w:szCs w:val="20"/>
                <w:lang w:eastAsia="cs-CZ"/>
              </w:rPr>
              <w:t>Monitoring ochrany ovzduší</w:t>
            </w:r>
          </w:p>
        </w:tc>
        <w:tc>
          <w:tcPr>
            <w:tcW w:w="1276" w:type="dxa"/>
            <w:tcBorders>
              <w:top w:val="nil"/>
              <w:left w:val="nil"/>
              <w:bottom w:val="single" w:sz="4" w:space="0" w:color="auto"/>
              <w:right w:val="single" w:sz="4" w:space="0" w:color="auto"/>
            </w:tcBorders>
            <w:shd w:val="clear" w:color="auto" w:fill="auto"/>
            <w:noWrap/>
            <w:vAlign w:val="bottom"/>
            <w:hideMark/>
          </w:tcPr>
          <w:p w14:paraId="36428679"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1 200 000</w:t>
            </w:r>
          </w:p>
        </w:tc>
        <w:tc>
          <w:tcPr>
            <w:tcW w:w="1559" w:type="dxa"/>
            <w:tcBorders>
              <w:top w:val="nil"/>
              <w:left w:val="nil"/>
              <w:bottom w:val="single" w:sz="4" w:space="0" w:color="auto"/>
              <w:right w:val="single" w:sz="4" w:space="0" w:color="auto"/>
            </w:tcBorders>
            <w:shd w:val="clear" w:color="auto" w:fill="auto"/>
            <w:noWrap/>
            <w:vAlign w:val="bottom"/>
            <w:hideMark/>
          </w:tcPr>
          <w:p w14:paraId="312D9531"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1 200 000,00</w:t>
            </w:r>
          </w:p>
        </w:tc>
        <w:tc>
          <w:tcPr>
            <w:tcW w:w="1559" w:type="dxa"/>
            <w:tcBorders>
              <w:top w:val="nil"/>
              <w:left w:val="nil"/>
              <w:bottom w:val="single" w:sz="4" w:space="0" w:color="auto"/>
              <w:right w:val="single" w:sz="4" w:space="0" w:color="auto"/>
            </w:tcBorders>
            <w:shd w:val="clear" w:color="auto" w:fill="auto"/>
            <w:noWrap/>
            <w:vAlign w:val="bottom"/>
            <w:hideMark/>
          </w:tcPr>
          <w:p w14:paraId="3CC14C59"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1 114 488,40</w:t>
            </w:r>
          </w:p>
        </w:tc>
        <w:tc>
          <w:tcPr>
            <w:tcW w:w="737" w:type="dxa"/>
            <w:tcBorders>
              <w:top w:val="nil"/>
              <w:left w:val="nil"/>
              <w:bottom w:val="single" w:sz="4" w:space="0" w:color="auto"/>
              <w:right w:val="single" w:sz="8" w:space="0" w:color="auto"/>
            </w:tcBorders>
            <w:shd w:val="clear" w:color="auto" w:fill="auto"/>
            <w:noWrap/>
            <w:vAlign w:val="bottom"/>
            <w:hideMark/>
          </w:tcPr>
          <w:p w14:paraId="5E9ABA1D"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92,9</w:t>
            </w:r>
          </w:p>
        </w:tc>
      </w:tr>
      <w:tr w:rsidR="00960E88" w:rsidRPr="00960E88" w14:paraId="6981F6E4" w14:textId="77777777" w:rsidTr="00960E88">
        <w:trPr>
          <w:trHeight w:val="26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46A5A7C5" w14:textId="77777777" w:rsidR="00960E88" w:rsidRPr="00960E88" w:rsidRDefault="00960E88" w:rsidP="00960E88">
            <w:pPr>
              <w:spacing w:after="0" w:line="240" w:lineRule="auto"/>
              <w:jc w:val="center"/>
              <w:rPr>
                <w:rFonts w:ascii="Calibri" w:eastAsia="Times New Roman" w:hAnsi="Calibri" w:cs="Arial"/>
                <w:sz w:val="20"/>
                <w:szCs w:val="20"/>
                <w:lang w:eastAsia="cs-CZ"/>
              </w:rPr>
            </w:pPr>
            <w:r w:rsidRPr="00960E88">
              <w:rPr>
                <w:rFonts w:ascii="Calibri" w:eastAsia="Times New Roman" w:hAnsi="Calibri" w:cs="Arial"/>
                <w:sz w:val="20"/>
                <w:szCs w:val="20"/>
                <w:lang w:eastAsia="cs-CZ"/>
              </w:rPr>
              <w:t>3727</w:t>
            </w:r>
          </w:p>
        </w:tc>
        <w:tc>
          <w:tcPr>
            <w:tcW w:w="3994" w:type="dxa"/>
            <w:tcBorders>
              <w:top w:val="nil"/>
              <w:left w:val="nil"/>
              <w:bottom w:val="single" w:sz="4" w:space="0" w:color="auto"/>
              <w:right w:val="single" w:sz="4" w:space="0" w:color="auto"/>
            </w:tcBorders>
            <w:shd w:val="clear" w:color="auto" w:fill="auto"/>
            <w:vAlign w:val="bottom"/>
            <w:hideMark/>
          </w:tcPr>
          <w:p w14:paraId="5C221797" w14:textId="77777777" w:rsidR="00960E88" w:rsidRPr="00960E88" w:rsidRDefault="00960E88" w:rsidP="00960E88">
            <w:pPr>
              <w:spacing w:after="0" w:line="240" w:lineRule="auto"/>
              <w:rPr>
                <w:rFonts w:ascii="Calibri" w:eastAsia="Times New Roman" w:hAnsi="Calibri" w:cs="Arial"/>
                <w:sz w:val="20"/>
                <w:szCs w:val="20"/>
                <w:lang w:eastAsia="cs-CZ"/>
              </w:rPr>
            </w:pPr>
            <w:r w:rsidRPr="00960E88">
              <w:rPr>
                <w:rFonts w:ascii="Calibri" w:eastAsia="Times New Roman" w:hAnsi="Calibri" w:cs="Arial"/>
                <w:sz w:val="20"/>
                <w:szCs w:val="20"/>
                <w:lang w:eastAsia="cs-CZ"/>
              </w:rPr>
              <w:t>Prevence vzniku odpadů</w:t>
            </w:r>
          </w:p>
        </w:tc>
        <w:tc>
          <w:tcPr>
            <w:tcW w:w="1276" w:type="dxa"/>
            <w:tcBorders>
              <w:top w:val="nil"/>
              <w:left w:val="nil"/>
              <w:bottom w:val="single" w:sz="4" w:space="0" w:color="auto"/>
              <w:right w:val="single" w:sz="4" w:space="0" w:color="auto"/>
            </w:tcBorders>
            <w:shd w:val="clear" w:color="auto" w:fill="auto"/>
            <w:noWrap/>
            <w:vAlign w:val="bottom"/>
            <w:hideMark/>
          </w:tcPr>
          <w:p w14:paraId="22EFF2B2"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1 000 000</w:t>
            </w:r>
          </w:p>
        </w:tc>
        <w:tc>
          <w:tcPr>
            <w:tcW w:w="1559" w:type="dxa"/>
            <w:tcBorders>
              <w:top w:val="nil"/>
              <w:left w:val="nil"/>
              <w:bottom w:val="single" w:sz="4" w:space="0" w:color="auto"/>
              <w:right w:val="single" w:sz="4" w:space="0" w:color="auto"/>
            </w:tcBorders>
            <w:shd w:val="clear" w:color="auto" w:fill="auto"/>
            <w:noWrap/>
            <w:vAlign w:val="bottom"/>
            <w:hideMark/>
          </w:tcPr>
          <w:p w14:paraId="6A3E4D49"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1 964 000,00</w:t>
            </w:r>
          </w:p>
        </w:tc>
        <w:tc>
          <w:tcPr>
            <w:tcW w:w="1559" w:type="dxa"/>
            <w:tcBorders>
              <w:top w:val="nil"/>
              <w:left w:val="nil"/>
              <w:bottom w:val="single" w:sz="4" w:space="0" w:color="auto"/>
              <w:right w:val="single" w:sz="4" w:space="0" w:color="auto"/>
            </w:tcBorders>
            <w:shd w:val="clear" w:color="auto" w:fill="auto"/>
            <w:noWrap/>
            <w:vAlign w:val="bottom"/>
            <w:hideMark/>
          </w:tcPr>
          <w:p w14:paraId="7327D351"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798 160,00</w:t>
            </w:r>
          </w:p>
        </w:tc>
        <w:tc>
          <w:tcPr>
            <w:tcW w:w="737" w:type="dxa"/>
            <w:tcBorders>
              <w:top w:val="nil"/>
              <w:left w:val="nil"/>
              <w:bottom w:val="single" w:sz="4" w:space="0" w:color="auto"/>
              <w:right w:val="single" w:sz="8" w:space="0" w:color="auto"/>
            </w:tcBorders>
            <w:shd w:val="clear" w:color="auto" w:fill="auto"/>
            <w:noWrap/>
            <w:vAlign w:val="bottom"/>
            <w:hideMark/>
          </w:tcPr>
          <w:p w14:paraId="59E2B68C"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40,6</w:t>
            </w:r>
          </w:p>
        </w:tc>
      </w:tr>
      <w:tr w:rsidR="00960E88" w:rsidRPr="00960E88" w14:paraId="0B71E687" w14:textId="77777777" w:rsidTr="00960E88">
        <w:trPr>
          <w:trHeight w:val="26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39E98775" w14:textId="77777777" w:rsidR="00960E88" w:rsidRPr="00960E88" w:rsidRDefault="00960E88" w:rsidP="00960E88">
            <w:pPr>
              <w:spacing w:after="0" w:line="240" w:lineRule="auto"/>
              <w:jc w:val="center"/>
              <w:rPr>
                <w:rFonts w:ascii="Calibri" w:eastAsia="Times New Roman" w:hAnsi="Calibri" w:cs="Arial"/>
                <w:sz w:val="20"/>
                <w:szCs w:val="20"/>
                <w:lang w:eastAsia="cs-CZ"/>
              </w:rPr>
            </w:pPr>
            <w:r w:rsidRPr="00960E88">
              <w:rPr>
                <w:rFonts w:ascii="Calibri" w:eastAsia="Times New Roman" w:hAnsi="Calibri" w:cs="Arial"/>
                <w:sz w:val="20"/>
                <w:szCs w:val="20"/>
                <w:lang w:eastAsia="cs-CZ"/>
              </w:rPr>
              <w:t>3729</w:t>
            </w:r>
          </w:p>
        </w:tc>
        <w:tc>
          <w:tcPr>
            <w:tcW w:w="3994" w:type="dxa"/>
            <w:tcBorders>
              <w:top w:val="nil"/>
              <w:left w:val="nil"/>
              <w:bottom w:val="single" w:sz="4" w:space="0" w:color="auto"/>
              <w:right w:val="single" w:sz="4" w:space="0" w:color="auto"/>
            </w:tcBorders>
            <w:shd w:val="clear" w:color="auto" w:fill="auto"/>
            <w:vAlign w:val="bottom"/>
            <w:hideMark/>
          </w:tcPr>
          <w:p w14:paraId="4EFE6C4B" w14:textId="77777777" w:rsidR="00960E88" w:rsidRPr="00960E88" w:rsidRDefault="00960E88" w:rsidP="00960E88">
            <w:pPr>
              <w:spacing w:after="0" w:line="240" w:lineRule="auto"/>
              <w:rPr>
                <w:rFonts w:ascii="Calibri" w:eastAsia="Times New Roman" w:hAnsi="Calibri" w:cs="Arial"/>
                <w:sz w:val="20"/>
                <w:szCs w:val="20"/>
                <w:lang w:eastAsia="cs-CZ"/>
              </w:rPr>
            </w:pPr>
            <w:r w:rsidRPr="00960E88">
              <w:rPr>
                <w:rFonts w:ascii="Calibri" w:eastAsia="Times New Roman" w:hAnsi="Calibri" w:cs="Arial"/>
                <w:sz w:val="20"/>
                <w:szCs w:val="20"/>
                <w:lang w:eastAsia="cs-CZ"/>
              </w:rPr>
              <w:t>Ostatní nakládání s odpady</w:t>
            </w:r>
          </w:p>
        </w:tc>
        <w:tc>
          <w:tcPr>
            <w:tcW w:w="1276" w:type="dxa"/>
            <w:tcBorders>
              <w:top w:val="nil"/>
              <w:left w:val="nil"/>
              <w:bottom w:val="single" w:sz="4" w:space="0" w:color="auto"/>
              <w:right w:val="single" w:sz="4" w:space="0" w:color="auto"/>
            </w:tcBorders>
            <w:shd w:val="clear" w:color="auto" w:fill="auto"/>
            <w:noWrap/>
            <w:vAlign w:val="bottom"/>
            <w:hideMark/>
          </w:tcPr>
          <w:p w14:paraId="118D5C74"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500 000</w:t>
            </w:r>
          </w:p>
        </w:tc>
        <w:tc>
          <w:tcPr>
            <w:tcW w:w="1559" w:type="dxa"/>
            <w:tcBorders>
              <w:top w:val="nil"/>
              <w:left w:val="nil"/>
              <w:bottom w:val="single" w:sz="4" w:space="0" w:color="auto"/>
              <w:right w:val="single" w:sz="4" w:space="0" w:color="auto"/>
            </w:tcBorders>
            <w:shd w:val="clear" w:color="auto" w:fill="auto"/>
            <w:noWrap/>
            <w:vAlign w:val="bottom"/>
            <w:hideMark/>
          </w:tcPr>
          <w:p w14:paraId="7720947F"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744 770,00</w:t>
            </w:r>
          </w:p>
        </w:tc>
        <w:tc>
          <w:tcPr>
            <w:tcW w:w="1559" w:type="dxa"/>
            <w:tcBorders>
              <w:top w:val="nil"/>
              <w:left w:val="nil"/>
              <w:bottom w:val="single" w:sz="4" w:space="0" w:color="auto"/>
              <w:right w:val="single" w:sz="4" w:space="0" w:color="auto"/>
            </w:tcBorders>
            <w:shd w:val="clear" w:color="auto" w:fill="auto"/>
            <w:noWrap/>
            <w:vAlign w:val="bottom"/>
            <w:hideMark/>
          </w:tcPr>
          <w:p w14:paraId="37EDBB7B"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44 770,00</w:t>
            </w:r>
          </w:p>
        </w:tc>
        <w:tc>
          <w:tcPr>
            <w:tcW w:w="737" w:type="dxa"/>
            <w:tcBorders>
              <w:top w:val="nil"/>
              <w:left w:val="nil"/>
              <w:bottom w:val="single" w:sz="4" w:space="0" w:color="auto"/>
              <w:right w:val="single" w:sz="8" w:space="0" w:color="auto"/>
            </w:tcBorders>
            <w:shd w:val="clear" w:color="auto" w:fill="auto"/>
            <w:noWrap/>
            <w:vAlign w:val="bottom"/>
            <w:hideMark/>
          </w:tcPr>
          <w:p w14:paraId="363E3487"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6,0</w:t>
            </w:r>
          </w:p>
        </w:tc>
      </w:tr>
      <w:tr w:rsidR="00960E88" w:rsidRPr="00960E88" w14:paraId="4316D7C9" w14:textId="77777777" w:rsidTr="00960E88">
        <w:trPr>
          <w:trHeight w:val="26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2BA58776" w14:textId="77777777" w:rsidR="00960E88" w:rsidRPr="00960E88" w:rsidRDefault="00960E88" w:rsidP="00960E88">
            <w:pPr>
              <w:spacing w:after="0" w:line="240" w:lineRule="auto"/>
              <w:jc w:val="center"/>
              <w:rPr>
                <w:rFonts w:ascii="Calibri" w:eastAsia="Times New Roman" w:hAnsi="Calibri" w:cs="Arial"/>
                <w:sz w:val="20"/>
                <w:szCs w:val="20"/>
                <w:lang w:eastAsia="cs-CZ"/>
              </w:rPr>
            </w:pPr>
            <w:r w:rsidRPr="00960E88">
              <w:rPr>
                <w:rFonts w:ascii="Calibri" w:eastAsia="Times New Roman" w:hAnsi="Calibri" w:cs="Arial"/>
                <w:sz w:val="20"/>
                <w:szCs w:val="20"/>
                <w:lang w:eastAsia="cs-CZ"/>
              </w:rPr>
              <w:t>3741</w:t>
            </w:r>
          </w:p>
        </w:tc>
        <w:tc>
          <w:tcPr>
            <w:tcW w:w="3994" w:type="dxa"/>
            <w:tcBorders>
              <w:top w:val="nil"/>
              <w:left w:val="nil"/>
              <w:bottom w:val="single" w:sz="4" w:space="0" w:color="auto"/>
              <w:right w:val="single" w:sz="4" w:space="0" w:color="auto"/>
            </w:tcBorders>
            <w:shd w:val="clear" w:color="auto" w:fill="auto"/>
            <w:vAlign w:val="bottom"/>
            <w:hideMark/>
          </w:tcPr>
          <w:p w14:paraId="084A791C" w14:textId="77777777" w:rsidR="00960E88" w:rsidRPr="00960E88" w:rsidRDefault="00960E88" w:rsidP="00960E88">
            <w:pPr>
              <w:spacing w:after="0" w:line="240" w:lineRule="auto"/>
              <w:rPr>
                <w:rFonts w:ascii="Calibri" w:eastAsia="Times New Roman" w:hAnsi="Calibri" w:cs="Arial"/>
                <w:sz w:val="20"/>
                <w:szCs w:val="20"/>
                <w:lang w:eastAsia="cs-CZ"/>
              </w:rPr>
            </w:pPr>
            <w:r w:rsidRPr="00960E88">
              <w:rPr>
                <w:rFonts w:ascii="Calibri" w:eastAsia="Times New Roman" w:hAnsi="Calibri" w:cs="Arial"/>
                <w:sz w:val="20"/>
                <w:szCs w:val="20"/>
                <w:lang w:eastAsia="cs-CZ"/>
              </w:rPr>
              <w:t>Ochrana druhů a stanovišť</w:t>
            </w:r>
          </w:p>
        </w:tc>
        <w:tc>
          <w:tcPr>
            <w:tcW w:w="1276" w:type="dxa"/>
            <w:tcBorders>
              <w:top w:val="nil"/>
              <w:left w:val="nil"/>
              <w:bottom w:val="single" w:sz="4" w:space="0" w:color="auto"/>
              <w:right w:val="single" w:sz="4" w:space="0" w:color="auto"/>
            </w:tcBorders>
            <w:shd w:val="clear" w:color="auto" w:fill="auto"/>
            <w:noWrap/>
            <w:vAlign w:val="bottom"/>
            <w:hideMark/>
          </w:tcPr>
          <w:p w14:paraId="2C14E657"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2 004 000</w:t>
            </w:r>
          </w:p>
        </w:tc>
        <w:tc>
          <w:tcPr>
            <w:tcW w:w="1559" w:type="dxa"/>
            <w:tcBorders>
              <w:top w:val="nil"/>
              <w:left w:val="nil"/>
              <w:bottom w:val="single" w:sz="4" w:space="0" w:color="auto"/>
              <w:right w:val="single" w:sz="4" w:space="0" w:color="auto"/>
            </w:tcBorders>
            <w:shd w:val="clear" w:color="auto" w:fill="auto"/>
            <w:noWrap/>
            <w:vAlign w:val="bottom"/>
            <w:hideMark/>
          </w:tcPr>
          <w:p w14:paraId="38D54FCD"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2 004 000,00</w:t>
            </w:r>
          </w:p>
        </w:tc>
        <w:tc>
          <w:tcPr>
            <w:tcW w:w="1559" w:type="dxa"/>
            <w:tcBorders>
              <w:top w:val="nil"/>
              <w:left w:val="nil"/>
              <w:bottom w:val="single" w:sz="4" w:space="0" w:color="auto"/>
              <w:right w:val="single" w:sz="4" w:space="0" w:color="auto"/>
            </w:tcBorders>
            <w:shd w:val="clear" w:color="auto" w:fill="auto"/>
            <w:noWrap/>
            <w:vAlign w:val="bottom"/>
            <w:hideMark/>
          </w:tcPr>
          <w:p w14:paraId="6A634E27"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2 004 000,00</w:t>
            </w:r>
          </w:p>
        </w:tc>
        <w:tc>
          <w:tcPr>
            <w:tcW w:w="737" w:type="dxa"/>
            <w:tcBorders>
              <w:top w:val="nil"/>
              <w:left w:val="nil"/>
              <w:bottom w:val="single" w:sz="4" w:space="0" w:color="auto"/>
              <w:right w:val="single" w:sz="8" w:space="0" w:color="auto"/>
            </w:tcBorders>
            <w:shd w:val="clear" w:color="auto" w:fill="auto"/>
            <w:noWrap/>
            <w:vAlign w:val="bottom"/>
            <w:hideMark/>
          </w:tcPr>
          <w:p w14:paraId="7EBA1078"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100,0</w:t>
            </w:r>
          </w:p>
        </w:tc>
      </w:tr>
      <w:tr w:rsidR="00960E88" w:rsidRPr="00960E88" w14:paraId="5A93ACFD" w14:textId="77777777" w:rsidTr="00960E88">
        <w:trPr>
          <w:trHeight w:val="26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5E610E2A" w14:textId="77777777" w:rsidR="00960E88" w:rsidRPr="00960E88" w:rsidRDefault="00960E88" w:rsidP="00960E88">
            <w:pPr>
              <w:spacing w:after="0" w:line="240" w:lineRule="auto"/>
              <w:jc w:val="center"/>
              <w:rPr>
                <w:rFonts w:ascii="Calibri" w:eastAsia="Times New Roman" w:hAnsi="Calibri" w:cs="Arial"/>
                <w:sz w:val="20"/>
                <w:szCs w:val="20"/>
                <w:lang w:eastAsia="cs-CZ"/>
              </w:rPr>
            </w:pPr>
            <w:r w:rsidRPr="00960E88">
              <w:rPr>
                <w:rFonts w:ascii="Calibri" w:eastAsia="Times New Roman" w:hAnsi="Calibri" w:cs="Arial"/>
                <w:sz w:val="20"/>
                <w:szCs w:val="20"/>
                <w:lang w:eastAsia="cs-CZ"/>
              </w:rPr>
              <w:t>3742</w:t>
            </w:r>
          </w:p>
        </w:tc>
        <w:tc>
          <w:tcPr>
            <w:tcW w:w="3994" w:type="dxa"/>
            <w:tcBorders>
              <w:top w:val="nil"/>
              <w:left w:val="nil"/>
              <w:bottom w:val="single" w:sz="4" w:space="0" w:color="auto"/>
              <w:right w:val="single" w:sz="4" w:space="0" w:color="auto"/>
            </w:tcBorders>
            <w:shd w:val="clear" w:color="auto" w:fill="auto"/>
            <w:vAlign w:val="bottom"/>
            <w:hideMark/>
          </w:tcPr>
          <w:p w14:paraId="4C693A6C" w14:textId="77777777" w:rsidR="00960E88" w:rsidRPr="00960E88" w:rsidRDefault="00960E88" w:rsidP="00960E88">
            <w:pPr>
              <w:spacing w:after="0" w:line="240" w:lineRule="auto"/>
              <w:rPr>
                <w:rFonts w:ascii="Calibri" w:eastAsia="Times New Roman" w:hAnsi="Calibri" w:cs="Arial"/>
                <w:sz w:val="20"/>
                <w:szCs w:val="20"/>
                <w:lang w:eastAsia="cs-CZ"/>
              </w:rPr>
            </w:pPr>
            <w:r w:rsidRPr="00960E88">
              <w:rPr>
                <w:rFonts w:ascii="Calibri" w:eastAsia="Times New Roman" w:hAnsi="Calibri" w:cs="Arial"/>
                <w:sz w:val="20"/>
                <w:szCs w:val="20"/>
                <w:lang w:eastAsia="cs-CZ"/>
              </w:rPr>
              <w:t>Chráněné části přírody</w:t>
            </w:r>
          </w:p>
        </w:tc>
        <w:tc>
          <w:tcPr>
            <w:tcW w:w="1276" w:type="dxa"/>
            <w:tcBorders>
              <w:top w:val="nil"/>
              <w:left w:val="nil"/>
              <w:bottom w:val="single" w:sz="4" w:space="0" w:color="auto"/>
              <w:right w:val="single" w:sz="4" w:space="0" w:color="auto"/>
            </w:tcBorders>
            <w:shd w:val="clear" w:color="auto" w:fill="auto"/>
            <w:noWrap/>
            <w:vAlign w:val="bottom"/>
            <w:hideMark/>
          </w:tcPr>
          <w:p w14:paraId="7BF320EA"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16 000 000</w:t>
            </w:r>
          </w:p>
        </w:tc>
        <w:tc>
          <w:tcPr>
            <w:tcW w:w="1559" w:type="dxa"/>
            <w:tcBorders>
              <w:top w:val="nil"/>
              <w:left w:val="nil"/>
              <w:bottom w:val="single" w:sz="4" w:space="0" w:color="auto"/>
              <w:right w:val="single" w:sz="4" w:space="0" w:color="auto"/>
            </w:tcBorders>
            <w:shd w:val="clear" w:color="auto" w:fill="auto"/>
            <w:noWrap/>
            <w:vAlign w:val="bottom"/>
            <w:hideMark/>
          </w:tcPr>
          <w:p w14:paraId="3942AF7D"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19 000 000,00</w:t>
            </w:r>
          </w:p>
        </w:tc>
        <w:tc>
          <w:tcPr>
            <w:tcW w:w="1559" w:type="dxa"/>
            <w:tcBorders>
              <w:top w:val="nil"/>
              <w:left w:val="nil"/>
              <w:bottom w:val="single" w:sz="4" w:space="0" w:color="auto"/>
              <w:right w:val="single" w:sz="4" w:space="0" w:color="auto"/>
            </w:tcBorders>
            <w:shd w:val="clear" w:color="auto" w:fill="auto"/>
            <w:noWrap/>
            <w:vAlign w:val="bottom"/>
            <w:hideMark/>
          </w:tcPr>
          <w:p w14:paraId="4E531943"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16 530 204,04</w:t>
            </w:r>
          </w:p>
        </w:tc>
        <w:tc>
          <w:tcPr>
            <w:tcW w:w="737" w:type="dxa"/>
            <w:tcBorders>
              <w:top w:val="nil"/>
              <w:left w:val="nil"/>
              <w:bottom w:val="single" w:sz="4" w:space="0" w:color="auto"/>
              <w:right w:val="single" w:sz="8" w:space="0" w:color="auto"/>
            </w:tcBorders>
            <w:shd w:val="clear" w:color="auto" w:fill="auto"/>
            <w:noWrap/>
            <w:vAlign w:val="bottom"/>
            <w:hideMark/>
          </w:tcPr>
          <w:p w14:paraId="64FD0AC9"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87,0</w:t>
            </w:r>
          </w:p>
        </w:tc>
      </w:tr>
      <w:tr w:rsidR="00960E88" w:rsidRPr="00960E88" w14:paraId="7D82F30A" w14:textId="77777777" w:rsidTr="00960E88">
        <w:trPr>
          <w:trHeight w:val="26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6E605C4B" w14:textId="77777777" w:rsidR="00960E88" w:rsidRPr="00960E88" w:rsidRDefault="00960E88" w:rsidP="00960E88">
            <w:pPr>
              <w:spacing w:after="0" w:line="240" w:lineRule="auto"/>
              <w:jc w:val="center"/>
              <w:rPr>
                <w:rFonts w:ascii="Calibri" w:eastAsia="Times New Roman" w:hAnsi="Calibri" w:cs="Arial"/>
                <w:i/>
                <w:iCs/>
                <w:sz w:val="20"/>
                <w:szCs w:val="20"/>
                <w:lang w:eastAsia="cs-CZ"/>
              </w:rPr>
            </w:pPr>
            <w:r w:rsidRPr="00960E88">
              <w:rPr>
                <w:rFonts w:ascii="Calibri" w:eastAsia="Times New Roman" w:hAnsi="Calibri" w:cs="Arial"/>
                <w:i/>
                <w:iCs/>
                <w:sz w:val="20"/>
                <w:szCs w:val="20"/>
                <w:lang w:eastAsia="cs-CZ"/>
              </w:rPr>
              <w:t> </w:t>
            </w:r>
          </w:p>
        </w:tc>
        <w:tc>
          <w:tcPr>
            <w:tcW w:w="9125" w:type="dxa"/>
            <w:gridSpan w:val="5"/>
            <w:tcBorders>
              <w:top w:val="single" w:sz="4" w:space="0" w:color="auto"/>
              <w:left w:val="nil"/>
              <w:bottom w:val="single" w:sz="4" w:space="0" w:color="auto"/>
              <w:right w:val="single" w:sz="8" w:space="0" w:color="000000"/>
            </w:tcBorders>
            <w:shd w:val="clear" w:color="auto" w:fill="auto"/>
            <w:vAlign w:val="bottom"/>
            <w:hideMark/>
          </w:tcPr>
          <w:p w14:paraId="01C1A927" w14:textId="77777777" w:rsidR="00960E88" w:rsidRPr="00960E88" w:rsidRDefault="00960E88" w:rsidP="00960E88">
            <w:pPr>
              <w:spacing w:after="0" w:line="240" w:lineRule="auto"/>
              <w:rPr>
                <w:rFonts w:ascii="Calibri" w:eastAsia="Times New Roman" w:hAnsi="Calibri" w:cs="Arial"/>
                <w:sz w:val="20"/>
                <w:szCs w:val="20"/>
                <w:lang w:eastAsia="cs-CZ"/>
              </w:rPr>
            </w:pPr>
            <w:r w:rsidRPr="00960E88">
              <w:rPr>
                <w:rFonts w:ascii="Calibri" w:eastAsia="Times New Roman" w:hAnsi="Calibri" w:cs="Arial"/>
                <w:sz w:val="20"/>
                <w:szCs w:val="20"/>
                <w:lang w:eastAsia="cs-CZ"/>
              </w:rPr>
              <w:t>z toho:</w:t>
            </w:r>
          </w:p>
        </w:tc>
      </w:tr>
      <w:tr w:rsidR="00960E88" w:rsidRPr="00960E88" w14:paraId="4A6EF2AA" w14:textId="77777777" w:rsidTr="00960E88">
        <w:trPr>
          <w:trHeight w:val="26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23B2B77B" w14:textId="77777777" w:rsidR="00960E88" w:rsidRPr="00960E88" w:rsidRDefault="00960E88" w:rsidP="00960E88">
            <w:pPr>
              <w:spacing w:after="0" w:line="240" w:lineRule="auto"/>
              <w:jc w:val="center"/>
              <w:rPr>
                <w:rFonts w:ascii="Calibri" w:eastAsia="Times New Roman" w:hAnsi="Calibri" w:cs="Arial"/>
                <w:i/>
                <w:iCs/>
                <w:sz w:val="20"/>
                <w:szCs w:val="20"/>
                <w:lang w:eastAsia="cs-CZ"/>
              </w:rPr>
            </w:pPr>
            <w:r w:rsidRPr="00960E88">
              <w:rPr>
                <w:rFonts w:ascii="Calibri" w:eastAsia="Times New Roman" w:hAnsi="Calibri" w:cs="Arial"/>
                <w:i/>
                <w:iCs/>
                <w:sz w:val="20"/>
                <w:szCs w:val="20"/>
                <w:lang w:eastAsia="cs-CZ"/>
              </w:rPr>
              <w:t> </w:t>
            </w:r>
          </w:p>
        </w:tc>
        <w:tc>
          <w:tcPr>
            <w:tcW w:w="3994" w:type="dxa"/>
            <w:tcBorders>
              <w:top w:val="nil"/>
              <w:left w:val="nil"/>
              <w:bottom w:val="single" w:sz="4" w:space="0" w:color="auto"/>
              <w:right w:val="single" w:sz="4" w:space="0" w:color="auto"/>
            </w:tcBorders>
            <w:shd w:val="clear" w:color="auto" w:fill="auto"/>
            <w:vAlign w:val="bottom"/>
            <w:hideMark/>
          </w:tcPr>
          <w:p w14:paraId="1A35A302" w14:textId="77777777" w:rsidR="00960E88" w:rsidRPr="00960E88" w:rsidRDefault="00960E88" w:rsidP="00960E88">
            <w:pPr>
              <w:spacing w:after="0" w:line="240" w:lineRule="auto"/>
              <w:rPr>
                <w:rFonts w:ascii="Calibri" w:eastAsia="Times New Roman" w:hAnsi="Calibri" w:cs="Arial"/>
                <w:i/>
                <w:iCs/>
                <w:sz w:val="20"/>
                <w:szCs w:val="20"/>
                <w:lang w:eastAsia="cs-CZ"/>
              </w:rPr>
            </w:pPr>
            <w:r w:rsidRPr="00960E88">
              <w:rPr>
                <w:rFonts w:ascii="Calibri" w:eastAsia="Times New Roman" w:hAnsi="Calibri" w:cs="Arial"/>
                <w:i/>
                <w:iCs/>
                <w:sz w:val="20"/>
                <w:szCs w:val="20"/>
                <w:lang w:eastAsia="cs-CZ"/>
              </w:rPr>
              <w:t>výdaje na opravy a údržbu majetku</w:t>
            </w:r>
          </w:p>
        </w:tc>
        <w:tc>
          <w:tcPr>
            <w:tcW w:w="1276" w:type="dxa"/>
            <w:tcBorders>
              <w:top w:val="nil"/>
              <w:left w:val="nil"/>
              <w:bottom w:val="single" w:sz="4" w:space="0" w:color="auto"/>
              <w:right w:val="single" w:sz="4" w:space="0" w:color="auto"/>
            </w:tcBorders>
            <w:shd w:val="clear" w:color="auto" w:fill="auto"/>
            <w:noWrap/>
            <w:vAlign w:val="bottom"/>
            <w:hideMark/>
          </w:tcPr>
          <w:p w14:paraId="16BB357B" w14:textId="77777777" w:rsidR="00960E88" w:rsidRPr="00960E88" w:rsidRDefault="00960E88" w:rsidP="00960E88">
            <w:pPr>
              <w:spacing w:after="0" w:line="240" w:lineRule="auto"/>
              <w:jc w:val="right"/>
              <w:rPr>
                <w:rFonts w:ascii="Calibri" w:eastAsia="Times New Roman" w:hAnsi="Calibri" w:cs="Arial"/>
                <w:i/>
                <w:iCs/>
                <w:sz w:val="20"/>
                <w:szCs w:val="20"/>
                <w:lang w:eastAsia="cs-CZ"/>
              </w:rPr>
            </w:pPr>
            <w:r w:rsidRPr="00960E88">
              <w:rPr>
                <w:rFonts w:ascii="Calibri" w:eastAsia="Times New Roman" w:hAnsi="Calibri" w:cs="Arial"/>
                <w:i/>
                <w:iCs/>
                <w:sz w:val="20"/>
                <w:szCs w:val="20"/>
                <w:lang w:eastAsia="cs-CZ"/>
              </w:rPr>
              <w:t>200 000</w:t>
            </w:r>
          </w:p>
        </w:tc>
        <w:tc>
          <w:tcPr>
            <w:tcW w:w="1559" w:type="dxa"/>
            <w:tcBorders>
              <w:top w:val="nil"/>
              <w:left w:val="nil"/>
              <w:bottom w:val="single" w:sz="4" w:space="0" w:color="auto"/>
              <w:right w:val="single" w:sz="4" w:space="0" w:color="auto"/>
            </w:tcBorders>
            <w:shd w:val="clear" w:color="auto" w:fill="auto"/>
            <w:noWrap/>
            <w:vAlign w:val="bottom"/>
            <w:hideMark/>
          </w:tcPr>
          <w:p w14:paraId="26FF7A8A" w14:textId="77777777" w:rsidR="00960E88" w:rsidRPr="00960E88" w:rsidRDefault="00960E88" w:rsidP="00960E88">
            <w:pPr>
              <w:spacing w:after="0" w:line="240" w:lineRule="auto"/>
              <w:jc w:val="right"/>
              <w:rPr>
                <w:rFonts w:ascii="Calibri" w:eastAsia="Times New Roman" w:hAnsi="Calibri" w:cs="Arial"/>
                <w:i/>
                <w:iCs/>
                <w:sz w:val="20"/>
                <w:szCs w:val="20"/>
                <w:lang w:eastAsia="cs-CZ"/>
              </w:rPr>
            </w:pPr>
            <w:r w:rsidRPr="00960E88">
              <w:rPr>
                <w:rFonts w:ascii="Calibri" w:eastAsia="Times New Roman" w:hAnsi="Calibri" w:cs="Arial"/>
                <w:i/>
                <w:iCs/>
                <w:sz w:val="20"/>
                <w:szCs w:val="20"/>
                <w:lang w:eastAsia="cs-CZ"/>
              </w:rPr>
              <w:t>200 000,00</w:t>
            </w:r>
          </w:p>
        </w:tc>
        <w:tc>
          <w:tcPr>
            <w:tcW w:w="1559" w:type="dxa"/>
            <w:tcBorders>
              <w:top w:val="nil"/>
              <w:left w:val="nil"/>
              <w:bottom w:val="nil"/>
              <w:right w:val="single" w:sz="4" w:space="0" w:color="auto"/>
            </w:tcBorders>
            <w:shd w:val="clear" w:color="auto" w:fill="auto"/>
            <w:noWrap/>
            <w:vAlign w:val="bottom"/>
            <w:hideMark/>
          </w:tcPr>
          <w:p w14:paraId="320CC538" w14:textId="77777777" w:rsidR="00960E88" w:rsidRPr="00960E88" w:rsidRDefault="00960E88" w:rsidP="00960E88">
            <w:pPr>
              <w:spacing w:after="0" w:line="240" w:lineRule="auto"/>
              <w:jc w:val="right"/>
              <w:rPr>
                <w:rFonts w:ascii="Calibri" w:eastAsia="Times New Roman" w:hAnsi="Calibri" w:cs="Arial"/>
                <w:i/>
                <w:iCs/>
                <w:sz w:val="20"/>
                <w:szCs w:val="20"/>
                <w:lang w:eastAsia="cs-CZ"/>
              </w:rPr>
            </w:pPr>
            <w:r w:rsidRPr="00960E88">
              <w:rPr>
                <w:rFonts w:ascii="Calibri" w:eastAsia="Times New Roman" w:hAnsi="Calibri" w:cs="Arial"/>
                <w:i/>
                <w:iCs/>
                <w:sz w:val="20"/>
                <w:szCs w:val="20"/>
                <w:lang w:eastAsia="cs-CZ"/>
              </w:rPr>
              <w:t>32 600,00</w:t>
            </w:r>
          </w:p>
        </w:tc>
        <w:tc>
          <w:tcPr>
            <w:tcW w:w="737" w:type="dxa"/>
            <w:tcBorders>
              <w:top w:val="nil"/>
              <w:left w:val="nil"/>
              <w:bottom w:val="single" w:sz="4" w:space="0" w:color="auto"/>
              <w:right w:val="single" w:sz="8" w:space="0" w:color="auto"/>
            </w:tcBorders>
            <w:shd w:val="clear" w:color="auto" w:fill="auto"/>
            <w:noWrap/>
            <w:vAlign w:val="bottom"/>
            <w:hideMark/>
          </w:tcPr>
          <w:p w14:paraId="2EF6BAF4" w14:textId="77777777" w:rsidR="00960E88" w:rsidRPr="00960E88" w:rsidRDefault="00960E88" w:rsidP="00960E88">
            <w:pPr>
              <w:spacing w:after="0" w:line="240" w:lineRule="auto"/>
              <w:jc w:val="right"/>
              <w:rPr>
                <w:rFonts w:ascii="Calibri" w:eastAsia="Times New Roman" w:hAnsi="Calibri" w:cs="Arial"/>
                <w:i/>
                <w:iCs/>
                <w:sz w:val="20"/>
                <w:szCs w:val="20"/>
                <w:lang w:eastAsia="cs-CZ"/>
              </w:rPr>
            </w:pPr>
            <w:r w:rsidRPr="00960E88">
              <w:rPr>
                <w:rFonts w:ascii="Calibri" w:eastAsia="Times New Roman" w:hAnsi="Calibri" w:cs="Arial"/>
                <w:i/>
                <w:iCs/>
                <w:sz w:val="20"/>
                <w:szCs w:val="20"/>
                <w:lang w:eastAsia="cs-CZ"/>
              </w:rPr>
              <w:t>16,3</w:t>
            </w:r>
          </w:p>
        </w:tc>
      </w:tr>
      <w:tr w:rsidR="00960E88" w:rsidRPr="00960E88" w14:paraId="3C723B71" w14:textId="77777777" w:rsidTr="00960E88">
        <w:trPr>
          <w:trHeight w:val="26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1D603D4D" w14:textId="77777777" w:rsidR="00960E88" w:rsidRPr="00960E88" w:rsidRDefault="00960E88" w:rsidP="00960E88">
            <w:pPr>
              <w:spacing w:after="0" w:line="240" w:lineRule="auto"/>
              <w:jc w:val="center"/>
              <w:rPr>
                <w:rFonts w:ascii="Calibri" w:eastAsia="Times New Roman" w:hAnsi="Calibri" w:cs="Arial"/>
                <w:sz w:val="20"/>
                <w:szCs w:val="20"/>
                <w:lang w:eastAsia="cs-CZ"/>
              </w:rPr>
            </w:pPr>
            <w:r w:rsidRPr="00960E88">
              <w:rPr>
                <w:rFonts w:ascii="Calibri" w:eastAsia="Times New Roman" w:hAnsi="Calibri" w:cs="Arial"/>
                <w:sz w:val="20"/>
                <w:szCs w:val="20"/>
                <w:lang w:eastAsia="cs-CZ"/>
              </w:rPr>
              <w:t>3769</w:t>
            </w:r>
          </w:p>
        </w:tc>
        <w:tc>
          <w:tcPr>
            <w:tcW w:w="3994" w:type="dxa"/>
            <w:tcBorders>
              <w:top w:val="nil"/>
              <w:left w:val="nil"/>
              <w:bottom w:val="single" w:sz="4" w:space="0" w:color="auto"/>
              <w:right w:val="single" w:sz="4" w:space="0" w:color="auto"/>
            </w:tcBorders>
            <w:shd w:val="clear" w:color="auto" w:fill="auto"/>
            <w:vAlign w:val="bottom"/>
            <w:hideMark/>
          </w:tcPr>
          <w:p w14:paraId="101C68C6" w14:textId="77777777" w:rsidR="00960E88" w:rsidRPr="00960E88" w:rsidRDefault="00960E88" w:rsidP="00960E88">
            <w:pPr>
              <w:spacing w:after="0" w:line="240" w:lineRule="auto"/>
              <w:rPr>
                <w:rFonts w:ascii="Calibri" w:eastAsia="Times New Roman" w:hAnsi="Calibri" w:cs="Arial"/>
                <w:color w:val="000000"/>
                <w:sz w:val="20"/>
                <w:szCs w:val="20"/>
                <w:lang w:eastAsia="cs-CZ"/>
              </w:rPr>
            </w:pPr>
            <w:r w:rsidRPr="00960E88">
              <w:rPr>
                <w:rFonts w:ascii="Calibri" w:eastAsia="Times New Roman" w:hAnsi="Calibri" w:cs="Arial"/>
                <w:color w:val="000000"/>
                <w:sz w:val="20"/>
                <w:szCs w:val="20"/>
                <w:lang w:eastAsia="cs-CZ"/>
              </w:rPr>
              <w:t>Ostatní správa v ochraně životního prostředí</w:t>
            </w:r>
          </w:p>
        </w:tc>
        <w:tc>
          <w:tcPr>
            <w:tcW w:w="1276" w:type="dxa"/>
            <w:tcBorders>
              <w:top w:val="nil"/>
              <w:left w:val="nil"/>
              <w:bottom w:val="single" w:sz="4" w:space="0" w:color="auto"/>
              <w:right w:val="single" w:sz="4" w:space="0" w:color="auto"/>
            </w:tcBorders>
            <w:shd w:val="clear" w:color="auto" w:fill="auto"/>
            <w:noWrap/>
            <w:vAlign w:val="bottom"/>
            <w:hideMark/>
          </w:tcPr>
          <w:p w14:paraId="2CEC3771"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300 000</w:t>
            </w:r>
          </w:p>
        </w:tc>
        <w:tc>
          <w:tcPr>
            <w:tcW w:w="1559" w:type="dxa"/>
            <w:tcBorders>
              <w:top w:val="nil"/>
              <w:left w:val="nil"/>
              <w:bottom w:val="single" w:sz="4" w:space="0" w:color="auto"/>
              <w:right w:val="single" w:sz="4" w:space="0" w:color="auto"/>
            </w:tcBorders>
            <w:shd w:val="clear" w:color="auto" w:fill="auto"/>
            <w:noWrap/>
            <w:vAlign w:val="bottom"/>
            <w:hideMark/>
          </w:tcPr>
          <w:p w14:paraId="7D17B6C6"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434 310,00</w:t>
            </w:r>
          </w:p>
        </w:tc>
        <w:tc>
          <w:tcPr>
            <w:tcW w:w="1559" w:type="dxa"/>
            <w:tcBorders>
              <w:top w:val="single" w:sz="4" w:space="0" w:color="auto"/>
              <w:left w:val="nil"/>
              <w:bottom w:val="nil"/>
              <w:right w:val="single" w:sz="4" w:space="0" w:color="auto"/>
            </w:tcBorders>
            <w:shd w:val="clear" w:color="auto" w:fill="auto"/>
            <w:noWrap/>
            <w:vAlign w:val="bottom"/>
            <w:hideMark/>
          </w:tcPr>
          <w:p w14:paraId="11CBCA23"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0,00</w:t>
            </w:r>
          </w:p>
        </w:tc>
        <w:tc>
          <w:tcPr>
            <w:tcW w:w="737" w:type="dxa"/>
            <w:tcBorders>
              <w:top w:val="nil"/>
              <w:left w:val="nil"/>
              <w:bottom w:val="single" w:sz="4" w:space="0" w:color="auto"/>
              <w:right w:val="single" w:sz="8" w:space="0" w:color="auto"/>
            </w:tcBorders>
            <w:shd w:val="clear" w:color="auto" w:fill="auto"/>
            <w:noWrap/>
            <w:vAlign w:val="bottom"/>
            <w:hideMark/>
          </w:tcPr>
          <w:p w14:paraId="52164C19"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0,0</w:t>
            </w:r>
          </w:p>
        </w:tc>
      </w:tr>
      <w:tr w:rsidR="00960E88" w:rsidRPr="00960E88" w14:paraId="51F71D13" w14:textId="77777777" w:rsidTr="00960E88">
        <w:trPr>
          <w:trHeight w:val="26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055F2829" w14:textId="77777777" w:rsidR="00960E88" w:rsidRPr="00960E88" w:rsidRDefault="00960E88" w:rsidP="00960E88">
            <w:pPr>
              <w:spacing w:after="0" w:line="240" w:lineRule="auto"/>
              <w:jc w:val="center"/>
              <w:rPr>
                <w:rFonts w:ascii="Calibri" w:eastAsia="Times New Roman" w:hAnsi="Calibri" w:cs="Arial"/>
                <w:sz w:val="20"/>
                <w:szCs w:val="20"/>
                <w:lang w:eastAsia="cs-CZ"/>
              </w:rPr>
            </w:pPr>
            <w:r w:rsidRPr="00960E88">
              <w:rPr>
                <w:rFonts w:ascii="Calibri" w:eastAsia="Times New Roman" w:hAnsi="Calibri" w:cs="Arial"/>
                <w:sz w:val="20"/>
                <w:szCs w:val="20"/>
                <w:lang w:eastAsia="cs-CZ"/>
              </w:rPr>
              <w:t>3792</w:t>
            </w:r>
          </w:p>
        </w:tc>
        <w:tc>
          <w:tcPr>
            <w:tcW w:w="3994" w:type="dxa"/>
            <w:tcBorders>
              <w:top w:val="nil"/>
              <w:left w:val="nil"/>
              <w:bottom w:val="single" w:sz="4" w:space="0" w:color="auto"/>
              <w:right w:val="single" w:sz="4" w:space="0" w:color="auto"/>
            </w:tcBorders>
            <w:shd w:val="clear" w:color="auto" w:fill="auto"/>
            <w:noWrap/>
            <w:vAlign w:val="bottom"/>
            <w:hideMark/>
          </w:tcPr>
          <w:p w14:paraId="2E9452A9" w14:textId="77777777" w:rsidR="00960E88" w:rsidRPr="00960E88" w:rsidRDefault="00960E88" w:rsidP="00960E88">
            <w:pPr>
              <w:spacing w:after="0" w:line="240" w:lineRule="auto"/>
              <w:rPr>
                <w:rFonts w:ascii="Calibri" w:eastAsia="Times New Roman" w:hAnsi="Calibri" w:cs="Arial"/>
                <w:sz w:val="20"/>
                <w:szCs w:val="20"/>
                <w:lang w:eastAsia="cs-CZ"/>
              </w:rPr>
            </w:pPr>
            <w:r w:rsidRPr="00960E88">
              <w:rPr>
                <w:rFonts w:ascii="Calibri" w:eastAsia="Times New Roman" w:hAnsi="Calibri" w:cs="Arial"/>
                <w:sz w:val="20"/>
                <w:szCs w:val="20"/>
                <w:lang w:eastAsia="cs-CZ"/>
              </w:rPr>
              <w:t>Ekologická výchova a osvěta</w:t>
            </w:r>
          </w:p>
        </w:tc>
        <w:tc>
          <w:tcPr>
            <w:tcW w:w="1276" w:type="dxa"/>
            <w:tcBorders>
              <w:top w:val="nil"/>
              <w:left w:val="nil"/>
              <w:bottom w:val="single" w:sz="4" w:space="0" w:color="auto"/>
              <w:right w:val="single" w:sz="4" w:space="0" w:color="auto"/>
            </w:tcBorders>
            <w:shd w:val="clear" w:color="auto" w:fill="auto"/>
            <w:noWrap/>
            <w:vAlign w:val="bottom"/>
            <w:hideMark/>
          </w:tcPr>
          <w:p w14:paraId="0B33E5DB"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17 600 000</w:t>
            </w:r>
          </w:p>
        </w:tc>
        <w:tc>
          <w:tcPr>
            <w:tcW w:w="1559" w:type="dxa"/>
            <w:tcBorders>
              <w:top w:val="nil"/>
              <w:left w:val="nil"/>
              <w:bottom w:val="single" w:sz="4" w:space="0" w:color="auto"/>
              <w:right w:val="single" w:sz="4" w:space="0" w:color="auto"/>
            </w:tcBorders>
            <w:shd w:val="clear" w:color="auto" w:fill="auto"/>
            <w:noWrap/>
            <w:vAlign w:val="bottom"/>
            <w:hideMark/>
          </w:tcPr>
          <w:p w14:paraId="6105A878"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17 870 530,00</w:t>
            </w:r>
          </w:p>
        </w:tc>
        <w:tc>
          <w:tcPr>
            <w:tcW w:w="1559" w:type="dxa"/>
            <w:tcBorders>
              <w:top w:val="single" w:sz="4" w:space="0" w:color="auto"/>
              <w:left w:val="nil"/>
              <w:bottom w:val="nil"/>
              <w:right w:val="single" w:sz="4" w:space="0" w:color="auto"/>
            </w:tcBorders>
            <w:shd w:val="clear" w:color="auto" w:fill="auto"/>
            <w:noWrap/>
            <w:vAlign w:val="bottom"/>
            <w:hideMark/>
          </w:tcPr>
          <w:p w14:paraId="311D005A"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15 784 592,00</w:t>
            </w:r>
          </w:p>
        </w:tc>
        <w:tc>
          <w:tcPr>
            <w:tcW w:w="737" w:type="dxa"/>
            <w:tcBorders>
              <w:top w:val="nil"/>
              <w:left w:val="nil"/>
              <w:bottom w:val="single" w:sz="4" w:space="0" w:color="auto"/>
              <w:right w:val="single" w:sz="8" w:space="0" w:color="auto"/>
            </w:tcBorders>
            <w:shd w:val="clear" w:color="auto" w:fill="auto"/>
            <w:noWrap/>
            <w:vAlign w:val="bottom"/>
            <w:hideMark/>
          </w:tcPr>
          <w:p w14:paraId="40A340BB"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88,3</w:t>
            </w:r>
          </w:p>
        </w:tc>
      </w:tr>
      <w:tr w:rsidR="00960E88" w:rsidRPr="00960E88" w14:paraId="6444E995" w14:textId="77777777" w:rsidTr="00960E88">
        <w:trPr>
          <w:trHeight w:val="27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10234543" w14:textId="77777777" w:rsidR="00960E88" w:rsidRPr="00960E88" w:rsidRDefault="00960E88" w:rsidP="00960E88">
            <w:pPr>
              <w:spacing w:after="0" w:line="240" w:lineRule="auto"/>
              <w:jc w:val="center"/>
              <w:rPr>
                <w:rFonts w:ascii="Calibri" w:eastAsia="Times New Roman" w:hAnsi="Calibri" w:cs="Arial"/>
                <w:sz w:val="20"/>
                <w:szCs w:val="20"/>
                <w:lang w:eastAsia="cs-CZ"/>
              </w:rPr>
            </w:pPr>
            <w:r w:rsidRPr="00960E88">
              <w:rPr>
                <w:rFonts w:ascii="Calibri" w:eastAsia="Times New Roman" w:hAnsi="Calibri" w:cs="Arial"/>
                <w:sz w:val="20"/>
                <w:szCs w:val="20"/>
                <w:lang w:eastAsia="cs-CZ"/>
              </w:rPr>
              <w:t>3799</w:t>
            </w:r>
          </w:p>
        </w:tc>
        <w:tc>
          <w:tcPr>
            <w:tcW w:w="3994" w:type="dxa"/>
            <w:tcBorders>
              <w:top w:val="nil"/>
              <w:left w:val="nil"/>
              <w:bottom w:val="single" w:sz="4" w:space="0" w:color="auto"/>
              <w:right w:val="single" w:sz="4" w:space="0" w:color="auto"/>
            </w:tcBorders>
            <w:shd w:val="clear" w:color="auto" w:fill="auto"/>
            <w:noWrap/>
            <w:vAlign w:val="bottom"/>
            <w:hideMark/>
          </w:tcPr>
          <w:p w14:paraId="3424C946" w14:textId="77777777" w:rsidR="00960E88" w:rsidRPr="00960E88" w:rsidRDefault="00960E88" w:rsidP="00960E88">
            <w:pPr>
              <w:spacing w:after="0" w:line="240" w:lineRule="auto"/>
              <w:rPr>
                <w:rFonts w:ascii="Calibri" w:eastAsia="Times New Roman" w:hAnsi="Calibri" w:cs="Arial"/>
                <w:sz w:val="20"/>
                <w:szCs w:val="20"/>
                <w:lang w:eastAsia="cs-CZ"/>
              </w:rPr>
            </w:pPr>
            <w:r w:rsidRPr="00960E88">
              <w:rPr>
                <w:rFonts w:ascii="Calibri" w:eastAsia="Times New Roman" w:hAnsi="Calibri" w:cs="Arial"/>
                <w:sz w:val="20"/>
                <w:szCs w:val="20"/>
                <w:lang w:eastAsia="cs-CZ"/>
              </w:rPr>
              <w:t>Ostatní ekologické záležitosti</w:t>
            </w:r>
          </w:p>
        </w:tc>
        <w:tc>
          <w:tcPr>
            <w:tcW w:w="1276" w:type="dxa"/>
            <w:tcBorders>
              <w:top w:val="nil"/>
              <w:left w:val="nil"/>
              <w:bottom w:val="single" w:sz="4" w:space="0" w:color="auto"/>
              <w:right w:val="single" w:sz="4" w:space="0" w:color="auto"/>
            </w:tcBorders>
            <w:shd w:val="clear" w:color="auto" w:fill="auto"/>
            <w:noWrap/>
            <w:vAlign w:val="bottom"/>
            <w:hideMark/>
          </w:tcPr>
          <w:p w14:paraId="024A432C"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1 941 000</w:t>
            </w:r>
          </w:p>
        </w:tc>
        <w:tc>
          <w:tcPr>
            <w:tcW w:w="1559" w:type="dxa"/>
            <w:tcBorders>
              <w:top w:val="nil"/>
              <w:left w:val="nil"/>
              <w:bottom w:val="single" w:sz="4" w:space="0" w:color="auto"/>
              <w:right w:val="single" w:sz="4" w:space="0" w:color="auto"/>
            </w:tcBorders>
            <w:shd w:val="clear" w:color="auto" w:fill="auto"/>
            <w:noWrap/>
            <w:vAlign w:val="bottom"/>
            <w:hideMark/>
          </w:tcPr>
          <w:p w14:paraId="75FFA00F"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2 001 000,00</w:t>
            </w:r>
          </w:p>
        </w:tc>
        <w:tc>
          <w:tcPr>
            <w:tcW w:w="1559" w:type="dxa"/>
            <w:tcBorders>
              <w:top w:val="single" w:sz="4" w:space="0" w:color="auto"/>
              <w:left w:val="nil"/>
              <w:bottom w:val="nil"/>
              <w:right w:val="single" w:sz="4" w:space="0" w:color="auto"/>
            </w:tcBorders>
            <w:shd w:val="clear" w:color="auto" w:fill="auto"/>
            <w:noWrap/>
            <w:vAlign w:val="bottom"/>
            <w:hideMark/>
          </w:tcPr>
          <w:p w14:paraId="6AAC5EAD"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1 041 250,40</w:t>
            </w:r>
          </w:p>
        </w:tc>
        <w:tc>
          <w:tcPr>
            <w:tcW w:w="737" w:type="dxa"/>
            <w:tcBorders>
              <w:top w:val="nil"/>
              <w:left w:val="nil"/>
              <w:bottom w:val="nil"/>
              <w:right w:val="single" w:sz="8" w:space="0" w:color="auto"/>
            </w:tcBorders>
            <w:shd w:val="clear" w:color="auto" w:fill="auto"/>
            <w:noWrap/>
            <w:vAlign w:val="bottom"/>
            <w:hideMark/>
          </w:tcPr>
          <w:p w14:paraId="71B91419"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52,0</w:t>
            </w:r>
          </w:p>
        </w:tc>
      </w:tr>
      <w:tr w:rsidR="00960E88" w:rsidRPr="00960E88" w14:paraId="231C48C6" w14:textId="77777777" w:rsidTr="00960E88">
        <w:trPr>
          <w:trHeight w:val="320"/>
        </w:trPr>
        <w:tc>
          <w:tcPr>
            <w:tcW w:w="826"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42C1E58D" w14:textId="77777777" w:rsidR="00960E88" w:rsidRPr="00960E88" w:rsidRDefault="00960E88" w:rsidP="00960E88">
            <w:pPr>
              <w:spacing w:after="0" w:line="240" w:lineRule="auto"/>
              <w:rPr>
                <w:rFonts w:ascii="Calibri" w:eastAsia="Times New Roman" w:hAnsi="Calibri" w:cs="Arial"/>
                <w:b/>
                <w:bCs/>
                <w:sz w:val="24"/>
                <w:szCs w:val="24"/>
                <w:lang w:eastAsia="cs-CZ"/>
              </w:rPr>
            </w:pPr>
            <w:r w:rsidRPr="00960E88">
              <w:rPr>
                <w:rFonts w:ascii="Calibri" w:eastAsia="Times New Roman" w:hAnsi="Calibri" w:cs="Arial"/>
                <w:b/>
                <w:bCs/>
                <w:sz w:val="24"/>
                <w:szCs w:val="24"/>
                <w:lang w:eastAsia="cs-CZ"/>
              </w:rPr>
              <w:t> </w:t>
            </w:r>
          </w:p>
        </w:tc>
        <w:tc>
          <w:tcPr>
            <w:tcW w:w="3994" w:type="dxa"/>
            <w:tcBorders>
              <w:top w:val="single" w:sz="8" w:space="0" w:color="auto"/>
              <w:left w:val="nil"/>
              <w:bottom w:val="single" w:sz="8" w:space="0" w:color="auto"/>
              <w:right w:val="single" w:sz="4" w:space="0" w:color="auto"/>
            </w:tcBorders>
            <w:shd w:val="clear" w:color="auto" w:fill="auto"/>
            <w:noWrap/>
            <w:vAlign w:val="center"/>
            <w:hideMark/>
          </w:tcPr>
          <w:p w14:paraId="239025B2" w14:textId="77777777" w:rsidR="00960E88" w:rsidRPr="00960E88" w:rsidRDefault="00960E88" w:rsidP="00960E88">
            <w:pPr>
              <w:spacing w:after="0" w:line="240" w:lineRule="auto"/>
              <w:rPr>
                <w:rFonts w:ascii="Calibri" w:eastAsia="Times New Roman" w:hAnsi="Calibri" w:cs="Arial"/>
                <w:b/>
                <w:bCs/>
                <w:lang w:eastAsia="cs-CZ"/>
              </w:rPr>
            </w:pPr>
            <w:r w:rsidRPr="00960E88">
              <w:rPr>
                <w:rFonts w:ascii="Calibri" w:eastAsia="Times New Roman" w:hAnsi="Calibri" w:cs="Arial"/>
                <w:b/>
                <w:bCs/>
                <w:lang w:eastAsia="cs-CZ"/>
              </w:rPr>
              <w:t>Celkem</w:t>
            </w:r>
          </w:p>
        </w:tc>
        <w:tc>
          <w:tcPr>
            <w:tcW w:w="1276" w:type="dxa"/>
            <w:tcBorders>
              <w:top w:val="single" w:sz="8" w:space="0" w:color="auto"/>
              <w:left w:val="nil"/>
              <w:bottom w:val="single" w:sz="8" w:space="0" w:color="auto"/>
              <w:right w:val="single" w:sz="4" w:space="0" w:color="auto"/>
            </w:tcBorders>
            <w:shd w:val="clear" w:color="auto" w:fill="auto"/>
            <w:noWrap/>
            <w:vAlign w:val="center"/>
            <w:hideMark/>
          </w:tcPr>
          <w:p w14:paraId="6C02DE7A" w14:textId="77777777" w:rsidR="00960E88" w:rsidRPr="00960E88" w:rsidRDefault="00960E88" w:rsidP="00960E88">
            <w:pPr>
              <w:spacing w:after="0" w:line="240" w:lineRule="auto"/>
              <w:jc w:val="right"/>
              <w:rPr>
                <w:rFonts w:ascii="Calibri" w:eastAsia="Times New Roman" w:hAnsi="Calibri" w:cs="Arial"/>
                <w:b/>
                <w:bCs/>
                <w:lang w:eastAsia="cs-CZ"/>
              </w:rPr>
            </w:pPr>
            <w:r w:rsidRPr="00960E88">
              <w:rPr>
                <w:rFonts w:ascii="Calibri" w:eastAsia="Times New Roman" w:hAnsi="Calibri" w:cs="Arial"/>
                <w:b/>
                <w:bCs/>
                <w:lang w:eastAsia="cs-CZ"/>
              </w:rPr>
              <w:t>42 575 000</w:t>
            </w:r>
          </w:p>
        </w:tc>
        <w:tc>
          <w:tcPr>
            <w:tcW w:w="1559" w:type="dxa"/>
            <w:tcBorders>
              <w:top w:val="single" w:sz="8" w:space="0" w:color="auto"/>
              <w:left w:val="nil"/>
              <w:bottom w:val="single" w:sz="8" w:space="0" w:color="auto"/>
              <w:right w:val="single" w:sz="4" w:space="0" w:color="auto"/>
            </w:tcBorders>
            <w:shd w:val="clear" w:color="auto" w:fill="auto"/>
            <w:noWrap/>
            <w:vAlign w:val="center"/>
            <w:hideMark/>
          </w:tcPr>
          <w:p w14:paraId="451DCCBB" w14:textId="77777777" w:rsidR="00960E88" w:rsidRPr="00960E88" w:rsidRDefault="00960E88" w:rsidP="00960E88">
            <w:pPr>
              <w:spacing w:after="0" w:line="240" w:lineRule="auto"/>
              <w:jc w:val="right"/>
              <w:rPr>
                <w:rFonts w:ascii="Calibri" w:eastAsia="Times New Roman" w:hAnsi="Calibri" w:cs="Arial"/>
                <w:b/>
                <w:bCs/>
                <w:lang w:eastAsia="cs-CZ"/>
              </w:rPr>
            </w:pPr>
            <w:r w:rsidRPr="00960E88">
              <w:rPr>
                <w:rFonts w:ascii="Calibri" w:eastAsia="Times New Roman" w:hAnsi="Calibri" w:cs="Arial"/>
                <w:b/>
                <w:bCs/>
                <w:lang w:eastAsia="cs-CZ"/>
              </w:rPr>
              <w:t>61 647 738,00</w:t>
            </w:r>
          </w:p>
        </w:tc>
        <w:tc>
          <w:tcPr>
            <w:tcW w:w="1559" w:type="dxa"/>
            <w:tcBorders>
              <w:top w:val="single" w:sz="8" w:space="0" w:color="auto"/>
              <w:left w:val="nil"/>
              <w:bottom w:val="single" w:sz="8" w:space="0" w:color="auto"/>
              <w:right w:val="single" w:sz="4" w:space="0" w:color="auto"/>
            </w:tcBorders>
            <w:shd w:val="clear" w:color="auto" w:fill="auto"/>
            <w:noWrap/>
            <w:vAlign w:val="center"/>
            <w:hideMark/>
          </w:tcPr>
          <w:p w14:paraId="2343F6AE" w14:textId="77777777" w:rsidR="00960E88" w:rsidRPr="00960E88" w:rsidRDefault="00960E88" w:rsidP="00960E88">
            <w:pPr>
              <w:spacing w:after="0" w:line="240" w:lineRule="auto"/>
              <w:jc w:val="right"/>
              <w:rPr>
                <w:rFonts w:ascii="Calibri" w:eastAsia="Times New Roman" w:hAnsi="Calibri" w:cs="Arial"/>
                <w:b/>
                <w:bCs/>
                <w:lang w:eastAsia="cs-CZ"/>
              </w:rPr>
            </w:pPr>
            <w:r w:rsidRPr="00960E88">
              <w:rPr>
                <w:rFonts w:ascii="Calibri" w:eastAsia="Times New Roman" w:hAnsi="Calibri" w:cs="Arial"/>
                <w:b/>
                <w:bCs/>
                <w:lang w:eastAsia="cs-CZ"/>
              </w:rPr>
              <w:t>48 342 727,84</w:t>
            </w:r>
          </w:p>
        </w:tc>
        <w:tc>
          <w:tcPr>
            <w:tcW w:w="737" w:type="dxa"/>
            <w:tcBorders>
              <w:top w:val="single" w:sz="8" w:space="0" w:color="auto"/>
              <w:left w:val="nil"/>
              <w:bottom w:val="single" w:sz="8" w:space="0" w:color="auto"/>
              <w:right w:val="single" w:sz="8" w:space="0" w:color="auto"/>
            </w:tcBorders>
            <w:shd w:val="clear" w:color="auto" w:fill="auto"/>
            <w:noWrap/>
            <w:vAlign w:val="center"/>
            <w:hideMark/>
          </w:tcPr>
          <w:p w14:paraId="015B3566" w14:textId="77777777" w:rsidR="00960E88" w:rsidRPr="00960E88" w:rsidRDefault="00960E88" w:rsidP="00960E88">
            <w:pPr>
              <w:spacing w:after="0" w:line="240" w:lineRule="auto"/>
              <w:jc w:val="right"/>
              <w:rPr>
                <w:rFonts w:ascii="Calibri" w:eastAsia="Times New Roman" w:hAnsi="Calibri" w:cs="Arial"/>
                <w:b/>
                <w:bCs/>
                <w:lang w:eastAsia="cs-CZ"/>
              </w:rPr>
            </w:pPr>
            <w:r w:rsidRPr="00960E88">
              <w:rPr>
                <w:rFonts w:ascii="Calibri" w:eastAsia="Times New Roman" w:hAnsi="Calibri" w:cs="Arial"/>
                <w:b/>
                <w:bCs/>
                <w:lang w:eastAsia="cs-CZ"/>
              </w:rPr>
              <w:t>78,4</w:t>
            </w:r>
          </w:p>
        </w:tc>
      </w:tr>
      <w:tr w:rsidR="00960E88" w:rsidRPr="00960E88" w14:paraId="2464CA45" w14:textId="77777777" w:rsidTr="00960E88">
        <w:trPr>
          <w:trHeight w:val="290"/>
        </w:trPr>
        <w:tc>
          <w:tcPr>
            <w:tcW w:w="826" w:type="dxa"/>
            <w:tcBorders>
              <w:top w:val="nil"/>
              <w:left w:val="nil"/>
              <w:bottom w:val="nil"/>
              <w:right w:val="nil"/>
            </w:tcBorders>
            <w:shd w:val="clear" w:color="auto" w:fill="auto"/>
            <w:noWrap/>
            <w:vAlign w:val="bottom"/>
            <w:hideMark/>
          </w:tcPr>
          <w:p w14:paraId="0F2088AF" w14:textId="77777777" w:rsidR="00960E88" w:rsidRPr="00960E88" w:rsidRDefault="00960E88" w:rsidP="00960E88">
            <w:pPr>
              <w:spacing w:after="0" w:line="240" w:lineRule="auto"/>
              <w:jc w:val="right"/>
              <w:rPr>
                <w:rFonts w:ascii="Calibri" w:eastAsia="Times New Roman" w:hAnsi="Calibri" w:cs="Arial"/>
                <w:b/>
                <w:bCs/>
                <w:lang w:eastAsia="cs-CZ"/>
              </w:rPr>
            </w:pPr>
          </w:p>
        </w:tc>
        <w:tc>
          <w:tcPr>
            <w:tcW w:w="3994" w:type="dxa"/>
            <w:tcBorders>
              <w:top w:val="nil"/>
              <w:left w:val="nil"/>
              <w:bottom w:val="nil"/>
              <w:right w:val="nil"/>
            </w:tcBorders>
            <w:shd w:val="clear" w:color="auto" w:fill="auto"/>
            <w:noWrap/>
            <w:vAlign w:val="bottom"/>
            <w:hideMark/>
          </w:tcPr>
          <w:p w14:paraId="6E285BC1" w14:textId="77777777" w:rsidR="00960E88" w:rsidRPr="00960E88" w:rsidRDefault="00960E88" w:rsidP="00960E88">
            <w:pPr>
              <w:spacing w:after="0" w:line="240" w:lineRule="auto"/>
              <w:rPr>
                <w:rFonts w:ascii="Times New Roman" w:eastAsia="Times New Roman" w:hAnsi="Times New Roman" w:cs="Times New Roman"/>
                <w:sz w:val="20"/>
                <w:szCs w:val="20"/>
                <w:lang w:eastAsia="cs-CZ"/>
              </w:rPr>
            </w:pPr>
          </w:p>
        </w:tc>
        <w:tc>
          <w:tcPr>
            <w:tcW w:w="1276" w:type="dxa"/>
            <w:tcBorders>
              <w:top w:val="nil"/>
              <w:left w:val="nil"/>
              <w:bottom w:val="nil"/>
              <w:right w:val="nil"/>
            </w:tcBorders>
            <w:shd w:val="clear" w:color="auto" w:fill="auto"/>
            <w:noWrap/>
            <w:vAlign w:val="bottom"/>
            <w:hideMark/>
          </w:tcPr>
          <w:p w14:paraId="1D54E9D3" w14:textId="77777777" w:rsidR="00960E88" w:rsidRPr="00960E88" w:rsidRDefault="00960E88" w:rsidP="00960E88">
            <w:pPr>
              <w:spacing w:after="0" w:line="240" w:lineRule="auto"/>
              <w:rPr>
                <w:rFonts w:ascii="Times New Roman" w:eastAsia="Times New Roman" w:hAnsi="Times New Roman" w:cs="Times New Roman"/>
                <w:sz w:val="20"/>
                <w:szCs w:val="20"/>
                <w:lang w:eastAsia="cs-CZ"/>
              </w:rPr>
            </w:pPr>
          </w:p>
        </w:tc>
        <w:tc>
          <w:tcPr>
            <w:tcW w:w="1559" w:type="dxa"/>
            <w:tcBorders>
              <w:top w:val="nil"/>
              <w:left w:val="nil"/>
              <w:bottom w:val="nil"/>
              <w:right w:val="nil"/>
            </w:tcBorders>
            <w:shd w:val="clear" w:color="auto" w:fill="auto"/>
            <w:noWrap/>
            <w:vAlign w:val="bottom"/>
            <w:hideMark/>
          </w:tcPr>
          <w:p w14:paraId="5D9AF255" w14:textId="77777777" w:rsidR="00960E88" w:rsidRPr="00960E88" w:rsidRDefault="00960E88" w:rsidP="00960E88">
            <w:pPr>
              <w:spacing w:after="0" w:line="240" w:lineRule="auto"/>
              <w:rPr>
                <w:rFonts w:ascii="Times New Roman" w:eastAsia="Times New Roman" w:hAnsi="Times New Roman" w:cs="Times New Roman"/>
                <w:sz w:val="20"/>
                <w:szCs w:val="20"/>
                <w:lang w:eastAsia="cs-CZ"/>
              </w:rPr>
            </w:pPr>
          </w:p>
        </w:tc>
        <w:tc>
          <w:tcPr>
            <w:tcW w:w="1559" w:type="dxa"/>
            <w:tcBorders>
              <w:top w:val="nil"/>
              <w:left w:val="nil"/>
              <w:bottom w:val="nil"/>
              <w:right w:val="nil"/>
            </w:tcBorders>
            <w:shd w:val="clear" w:color="auto" w:fill="auto"/>
            <w:noWrap/>
            <w:vAlign w:val="bottom"/>
            <w:hideMark/>
          </w:tcPr>
          <w:p w14:paraId="1C4F86F1" w14:textId="77777777" w:rsidR="00960E88" w:rsidRPr="00960E88" w:rsidRDefault="00960E88" w:rsidP="00960E88">
            <w:pPr>
              <w:spacing w:after="0" w:line="240" w:lineRule="auto"/>
              <w:rPr>
                <w:rFonts w:ascii="Times New Roman" w:eastAsia="Times New Roman" w:hAnsi="Times New Roman" w:cs="Times New Roman"/>
                <w:sz w:val="20"/>
                <w:szCs w:val="20"/>
                <w:lang w:eastAsia="cs-CZ"/>
              </w:rPr>
            </w:pPr>
          </w:p>
        </w:tc>
        <w:tc>
          <w:tcPr>
            <w:tcW w:w="737" w:type="dxa"/>
            <w:tcBorders>
              <w:top w:val="nil"/>
              <w:left w:val="nil"/>
              <w:bottom w:val="nil"/>
              <w:right w:val="nil"/>
            </w:tcBorders>
            <w:shd w:val="clear" w:color="auto" w:fill="auto"/>
            <w:noWrap/>
            <w:vAlign w:val="bottom"/>
            <w:hideMark/>
          </w:tcPr>
          <w:p w14:paraId="31F879C8" w14:textId="77777777" w:rsidR="00960E88" w:rsidRPr="00960E88" w:rsidRDefault="00960E88" w:rsidP="00960E88">
            <w:pPr>
              <w:spacing w:after="0" w:line="240" w:lineRule="auto"/>
              <w:rPr>
                <w:rFonts w:ascii="Times New Roman" w:eastAsia="Times New Roman" w:hAnsi="Times New Roman" w:cs="Times New Roman"/>
                <w:sz w:val="20"/>
                <w:szCs w:val="20"/>
                <w:lang w:eastAsia="cs-CZ"/>
              </w:rPr>
            </w:pPr>
          </w:p>
        </w:tc>
      </w:tr>
      <w:tr w:rsidR="00960E88" w:rsidRPr="00960E88" w14:paraId="5F8B99D9" w14:textId="77777777" w:rsidTr="00960E88">
        <w:trPr>
          <w:trHeight w:val="300"/>
        </w:trPr>
        <w:tc>
          <w:tcPr>
            <w:tcW w:w="826" w:type="dxa"/>
            <w:tcBorders>
              <w:top w:val="nil"/>
              <w:left w:val="nil"/>
              <w:bottom w:val="nil"/>
              <w:right w:val="nil"/>
            </w:tcBorders>
            <w:shd w:val="clear" w:color="auto" w:fill="auto"/>
            <w:noWrap/>
            <w:vAlign w:val="bottom"/>
            <w:hideMark/>
          </w:tcPr>
          <w:p w14:paraId="49B08006" w14:textId="77777777" w:rsidR="00960E88" w:rsidRPr="00960E88" w:rsidRDefault="00960E88" w:rsidP="00960E88">
            <w:pPr>
              <w:spacing w:after="0" w:line="240" w:lineRule="auto"/>
              <w:jc w:val="right"/>
              <w:rPr>
                <w:rFonts w:ascii="Times New Roman" w:eastAsia="Times New Roman" w:hAnsi="Times New Roman" w:cs="Times New Roman"/>
                <w:sz w:val="20"/>
                <w:szCs w:val="20"/>
                <w:lang w:eastAsia="cs-CZ"/>
              </w:rPr>
            </w:pPr>
          </w:p>
        </w:tc>
        <w:tc>
          <w:tcPr>
            <w:tcW w:w="3994" w:type="dxa"/>
            <w:tcBorders>
              <w:top w:val="nil"/>
              <w:left w:val="nil"/>
              <w:bottom w:val="nil"/>
              <w:right w:val="nil"/>
            </w:tcBorders>
            <w:shd w:val="clear" w:color="auto" w:fill="auto"/>
            <w:noWrap/>
            <w:vAlign w:val="bottom"/>
            <w:hideMark/>
          </w:tcPr>
          <w:p w14:paraId="132C408C" w14:textId="77777777" w:rsidR="00960E88" w:rsidRPr="00960E88" w:rsidRDefault="00960E88" w:rsidP="00960E88">
            <w:pPr>
              <w:spacing w:after="0" w:line="240" w:lineRule="auto"/>
              <w:rPr>
                <w:rFonts w:ascii="Calibri" w:eastAsia="Times New Roman" w:hAnsi="Calibri" w:cs="Arial"/>
                <w:b/>
                <w:bCs/>
                <w:lang w:eastAsia="cs-CZ"/>
              </w:rPr>
            </w:pPr>
            <w:r w:rsidRPr="00960E88">
              <w:rPr>
                <w:rFonts w:ascii="Calibri" w:eastAsia="Times New Roman" w:hAnsi="Calibri" w:cs="Arial"/>
                <w:b/>
                <w:bCs/>
                <w:lang w:eastAsia="cs-CZ"/>
              </w:rPr>
              <w:t>Fondy</w:t>
            </w:r>
          </w:p>
        </w:tc>
        <w:tc>
          <w:tcPr>
            <w:tcW w:w="1276" w:type="dxa"/>
            <w:tcBorders>
              <w:top w:val="nil"/>
              <w:left w:val="nil"/>
              <w:bottom w:val="nil"/>
              <w:right w:val="nil"/>
            </w:tcBorders>
            <w:shd w:val="clear" w:color="auto" w:fill="auto"/>
            <w:noWrap/>
            <w:vAlign w:val="bottom"/>
            <w:hideMark/>
          </w:tcPr>
          <w:p w14:paraId="23B4F096" w14:textId="77777777" w:rsidR="00960E88" w:rsidRPr="00960E88" w:rsidRDefault="00960E88" w:rsidP="00960E88">
            <w:pPr>
              <w:spacing w:after="0" w:line="240" w:lineRule="auto"/>
              <w:rPr>
                <w:rFonts w:ascii="Calibri" w:eastAsia="Times New Roman" w:hAnsi="Calibri" w:cs="Arial"/>
                <w:b/>
                <w:bCs/>
                <w:lang w:eastAsia="cs-CZ"/>
              </w:rPr>
            </w:pPr>
          </w:p>
        </w:tc>
        <w:tc>
          <w:tcPr>
            <w:tcW w:w="1559" w:type="dxa"/>
            <w:tcBorders>
              <w:top w:val="nil"/>
              <w:left w:val="nil"/>
              <w:bottom w:val="nil"/>
              <w:right w:val="nil"/>
            </w:tcBorders>
            <w:shd w:val="clear" w:color="auto" w:fill="auto"/>
            <w:noWrap/>
            <w:vAlign w:val="bottom"/>
            <w:hideMark/>
          </w:tcPr>
          <w:p w14:paraId="6F7E6708" w14:textId="77777777" w:rsidR="00960E88" w:rsidRPr="00960E88" w:rsidRDefault="00960E88" w:rsidP="00960E88">
            <w:pPr>
              <w:spacing w:after="0" w:line="240" w:lineRule="auto"/>
              <w:jc w:val="right"/>
              <w:rPr>
                <w:rFonts w:ascii="Times New Roman" w:eastAsia="Times New Roman" w:hAnsi="Times New Roman" w:cs="Times New Roman"/>
                <w:sz w:val="20"/>
                <w:szCs w:val="20"/>
                <w:lang w:eastAsia="cs-CZ"/>
              </w:rPr>
            </w:pPr>
          </w:p>
        </w:tc>
        <w:tc>
          <w:tcPr>
            <w:tcW w:w="1559" w:type="dxa"/>
            <w:tcBorders>
              <w:top w:val="nil"/>
              <w:left w:val="nil"/>
              <w:bottom w:val="nil"/>
              <w:right w:val="nil"/>
            </w:tcBorders>
            <w:shd w:val="clear" w:color="auto" w:fill="auto"/>
            <w:noWrap/>
            <w:vAlign w:val="bottom"/>
            <w:hideMark/>
          </w:tcPr>
          <w:p w14:paraId="5F43951E" w14:textId="77777777" w:rsidR="00960E88" w:rsidRPr="00960E88" w:rsidRDefault="00960E88" w:rsidP="00960E88">
            <w:pPr>
              <w:spacing w:after="0" w:line="240" w:lineRule="auto"/>
              <w:jc w:val="right"/>
              <w:rPr>
                <w:rFonts w:ascii="Times New Roman" w:eastAsia="Times New Roman" w:hAnsi="Times New Roman" w:cs="Times New Roman"/>
                <w:sz w:val="20"/>
                <w:szCs w:val="20"/>
                <w:lang w:eastAsia="cs-CZ"/>
              </w:rPr>
            </w:pPr>
          </w:p>
        </w:tc>
        <w:tc>
          <w:tcPr>
            <w:tcW w:w="737" w:type="dxa"/>
            <w:tcBorders>
              <w:top w:val="nil"/>
              <w:left w:val="nil"/>
              <w:bottom w:val="nil"/>
              <w:right w:val="nil"/>
            </w:tcBorders>
            <w:shd w:val="clear" w:color="auto" w:fill="auto"/>
            <w:noWrap/>
            <w:vAlign w:val="bottom"/>
            <w:hideMark/>
          </w:tcPr>
          <w:p w14:paraId="3EBC7970" w14:textId="77777777" w:rsidR="00960E88" w:rsidRPr="00960E88" w:rsidRDefault="00960E88" w:rsidP="00960E88">
            <w:pPr>
              <w:spacing w:after="0" w:line="240" w:lineRule="auto"/>
              <w:jc w:val="right"/>
              <w:rPr>
                <w:rFonts w:ascii="Times New Roman" w:eastAsia="Times New Roman" w:hAnsi="Times New Roman" w:cs="Times New Roman"/>
                <w:sz w:val="20"/>
                <w:szCs w:val="20"/>
                <w:lang w:eastAsia="cs-CZ"/>
              </w:rPr>
            </w:pPr>
          </w:p>
        </w:tc>
      </w:tr>
      <w:tr w:rsidR="00960E88" w:rsidRPr="00960E88" w14:paraId="40DE450A" w14:textId="77777777" w:rsidTr="00960E88">
        <w:trPr>
          <w:trHeight w:val="290"/>
        </w:trPr>
        <w:tc>
          <w:tcPr>
            <w:tcW w:w="826"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99A03B6" w14:textId="77777777" w:rsidR="00960E88" w:rsidRPr="00960E88" w:rsidRDefault="00960E88" w:rsidP="00960E88">
            <w:pPr>
              <w:spacing w:after="0" w:line="240" w:lineRule="auto"/>
              <w:jc w:val="center"/>
              <w:rPr>
                <w:rFonts w:ascii="Calibri" w:eastAsia="Times New Roman" w:hAnsi="Calibri" w:cs="Arial"/>
                <w:sz w:val="20"/>
                <w:szCs w:val="20"/>
                <w:lang w:eastAsia="cs-CZ"/>
              </w:rPr>
            </w:pPr>
            <w:r w:rsidRPr="00960E88">
              <w:rPr>
                <w:rFonts w:ascii="Calibri" w:eastAsia="Times New Roman" w:hAnsi="Calibri" w:cs="Arial"/>
                <w:sz w:val="20"/>
                <w:szCs w:val="20"/>
                <w:lang w:eastAsia="cs-CZ"/>
              </w:rPr>
              <w:t> </w:t>
            </w:r>
          </w:p>
        </w:tc>
        <w:tc>
          <w:tcPr>
            <w:tcW w:w="3994" w:type="dxa"/>
            <w:tcBorders>
              <w:top w:val="single" w:sz="8" w:space="0" w:color="auto"/>
              <w:left w:val="nil"/>
              <w:bottom w:val="single" w:sz="4" w:space="0" w:color="auto"/>
              <w:right w:val="single" w:sz="4" w:space="0" w:color="auto"/>
            </w:tcBorders>
            <w:shd w:val="clear" w:color="auto" w:fill="auto"/>
            <w:vAlign w:val="bottom"/>
            <w:hideMark/>
          </w:tcPr>
          <w:p w14:paraId="748D037A" w14:textId="77777777" w:rsidR="00960E88" w:rsidRPr="00960E88" w:rsidRDefault="00960E88" w:rsidP="00960E88">
            <w:pPr>
              <w:spacing w:after="0" w:line="240" w:lineRule="auto"/>
              <w:rPr>
                <w:rFonts w:ascii="Calibri" w:eastAsia="Times New Roman" w:hAnsi="Calibri" w:cs="Arial"/>
                <w:color w:val="000000"/>
                <w:sz w:val="20"/>
                <w:szCs w:val="20"/>
                <w:lang w:eastAsia="cs-CZ"/>
              </w:rPr>
            </w:pPr>
            <w:r w:rsidRPr="00960E88">
              <w:rPr>
                <w:rFonts w:ascii="Calibri" w:eastAsia="Times New Roman" w:hAnsi="Calibri" w:cs="Arial"/>
                <w:color w:val="000000"/>
                <w:sz w:val="20"/>
                <w:szCs w:val="20"/>
                <w:lang w:eastAsia="cs-CZ"/>
              </w:rPr>
              <w:t xml:space="preserve">Středočeský Fond životního prostředí a zemědělství </w:t>
            </w:r>
          </w:p>
        </w:tc>
        <w:tc>
          <w:tcPr>
            <w:tcW w:w="1276" w:type="dxa"/>
            <w:tcBorders>
              <w:top w:val="single" w:sz="8" w:space="0" w:color="auto"/>
              <w:left w:val="nil"/>
              <w:bottom w:val="single" w:sz="4" w:space="0" w:color="auto"/>
              <w:right w:val="single" w:sz="4" w:space="0" w:color="auto"/>
            </w:tcBorders>
            <w:shd w:val="clear" w:color="auto" w:fill="auto"/>
            <w:noWrap/>
            <w:vAlign w:val="bottom"/>
            <w:hideMark/>
          </w:tcPr>
          <w:p w14:paraId="60CB5F85"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0</w:t>
            </w:r>
          </w:p>
        </w:tc>
        <w:tc>
          <w:tcPr>
            <w:tcW w:w="1559" w:type="dxa"/>
            <w:tcBorders>
              <w:top w:val="single" w:sz="8" w:space="0" w:color="auto"/>
              <w:left w:val="nil"/>
              <w:bottom w:val="single" w:sz="4" w:space="0" w:color="auto"/>
              <w:right w:val="single" w:sz="4" w:space="0" w:color="auto"/>
            </w:tcBorders>
            <w:shd w:val="clear" w:color="auto" w:fill="auto"/>
            <w:noWrap/>
            <w:vAlign w:val="bottom"/>
            <w:hideMark/>
          </w:tcPr>
          <w:p w14:paraId="751C696C"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45 652 915,20</w:t>
            </w:r>
          </w:p>
        </w:tc>
        <w:tc>
          <w:tcPr>
            <w:tcW w:w="1559" w:type="dxa"/>
            <w:tcBorders>
              <w:top w:val="single" w:sz="8" w:space="0" w:color="auto"/>
              <w:left w:val="nil"/>
              <w:bottom w:val="single" w:sz="4" w:space="0" w:color="auto"/>
              <w:right w:val="single" w:sz="4" w:space="0" w:color="auto"/>
            </w:tcBorders>
            <w:shd w:val="clear" w:color="auto" w:fill="auto"/>
            <w:noWrap/>
            <w:vAlign w:val="bottom"/>
            <w:hideMark/>
          </w:tcPr>
          <w:p w14:paraId="5E055AF4"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29 520 579,00</w:t>
            </w:r>
          </w:p>
        </w:tc>
        <w:tc>
          <w:tcPr>
            <w:tcW w:w="737" w:type="dxa"/>
            <w:tcBorders>
              <w:top w:val="single" w:sz="8" w:space="0" w:color="auto"/>
              <w:left w:val="nil"/>
              <w:bottom w:val="single" w:sz="4" w:space="0" w:color="auto"/>
              <w:right w:val="single" w:sz="8" w:space="0" w:color="auto"/>
            </w:tcBorders>
            <w:shd w:val="clear" w:color="auto" w:fill="auto"/>
            <w:noWrap/>
            <w:vAlign w:val="bottom"/>
            <w:hideMark/>
          </w:tcPr>
          <w:p w14:paraId="0E7F3343"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64,7</w:t>
            </w:r>
          </w:p>
        </w:tc>
      </w:tr>
      <w:tr w:rsidR="00960E88" w:rsidRPr="00960E88" w14:paraId="06175853" w14:textId="77777777" w:rsidTr="00960E88">
        <w:trPr>
          <w:trHeight w:val="52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2A0B7736" w14:textId="77777777" w:rsidR="00960E88" w:rsidRPr="00960E88" w:rsidRDefault="00960E88" w:rsidP="00960E88">
            <w:pPr>
              <w:spacing w:after="0" w:line="240" w:lineRule="auto"/>
              <w:jc w:val="center"/>
              <w:rPr>
                <w:rFonts w:ascii="Calibri" w:eastAsia="Times New Roman" w:hAnsi="Calibri" w:cs="Arial"/>
                <w:sz w:val="20"/>
                <w:szCs w:val="20"/>
                <w:lang w:eastAsia="cs-CZ"/>
              </w:rPr>
            </w:pPr>
            <w:r w:rsidRPr="00960E88">
              <w:rPr>
                <w:rFonts w:ascii="Calibri" w:eastAsia="Times New Roman" w:hAnsi="Calibri" w:cs="Arial"/>
                <w:sz w:val="20"/>
                <w:szCs w:val="20"/>
                <w:lang w:eastAsia="cs-CZ"/>
              </w:rPr>
              <w:t> </w:t>
            </w:r>
          </w:p>
        </w:tc>
        <w:tc>
          <w:tcPr>
            <w:tcW w:w="3994" w:type="dxa"/>
            <w:tcBorders>
              <w:top w:val="nil"/>
              <w:left w:val="nil"/>
              <w:bottom w:val="single" w:sz="4" w:space="0" w:color="auto"/>
              <w:right w:val="single" w:sz="4" w:space="0" w:color="auto"/>
            </w:tcBorders>
            <w:shd w:val="clear" w:color="auto" w:fill="auto"/>
            <w:vAlign w:val="center"/>
            <w:hideMark/>
          </w:tcPr>
          <w:p w14:paraId="14E91FA5" w14:textId="77777777" w:rsidR="00960E88" w:rsidRPr="00960E88" w:rsidRDefault="00960E88" w:rsidP="00960E88">
            <w:pPr>
              <w:spacing w:after="0" w:line="240" w:lineRule="auto"/>
              <w:rPr>
                <w:rFonts w:ascii="Calibri" w:eastAsia="Times New Roman" w:hAnsi="Calibri" w:cs="Arial"/>
                <w:color w:val="000000"/>
                <w:sz w:val="20"/>
                <w:szCs w:val="20"/>
                <w:lang w:eastAsia="cs-CZ"/>
              </w:rPr>
            </w:pPr>
            <w:r w:rsidRPr="00960E88">
              <w:rPr>
                <w:rFonts w:ascii="Calibri" w:eastAsia="Times New Roman" w:hAnsi="Calibri" w:cs="Arial"/>
                <w:color w:val="000000"/>
                <w:sz w:val="20"/>
                <w:szCs w:val="20"/>
                <w:lang w:eastAsia="cs-CZ"/>
              </w:rPr>
              <w:t>Středočeský Infrastrukturní fond: Tematické zadání Životní prostředí</w:t>
            </w:r>
          </w:p>
        </w:tc>
        <w:tc>
          <w:tcPr>
            <w:tcW w:w="1276" w:type="dxa"/>
            <w:tcBorders>
              <w:top w:val="nil"/>
              <w:left w:val="nil"/>
              <w:bottom w:val="single" w:sz="4" w:space="0" w:color="auto"/>
              <w:right w:val="single" w:sz="4" w:space="0" w:color="auto"/>
            </w:tcBorders>
            <w:shd w:val="clear" w:color="auto" w:fill="auto"/>
            <w:noWrap/>
            <w:vAlign w:val="bottom"/>
            <w:hideMark/>
          </w:tcPr>
          <w:p w14:paraId="4E6FCC4A"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50 000 000</w:t>
            </w:r>
          </w:p>
        </w:tc>
        <w:tc>
          <w:tcPr>
            <w:tcW w:w="1559" w:type="dxa"/>
            <w:tcBorders>
              <w:top w:val="nil"/>
              <w:left w:val="nil"/>
              <w:bottom w:val="single" w:sz="4" w:space="0" w:color="auto"/>
              <w:right w:val="single" w:sz="4" w:space="0" w:color="auto"/>
            </w:tcBorders>
            <w:shd w:val="clear" w:color="auto" w:fill="auto"/>
            <w:noWrap/>
            <w:vAlign w:val="bottom"/>
            <w:hideMark/>
          </w:tcPr>
          <w:p w14:paraId="31FD1A6F"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164 415 975,50</w:t>
            </w:r>
          </w:p>
        </w:tc>
        <w:tc>
          <w:tcPr>
            <w:tcW w:w="1559" w:type="dxa"/>
            <w:tcBorders>
              <w:top w:val="nil"/>
              <w:left w:val="nil"/>
              <w:bottom w:val="single" w:sz="4" w:space="0" w:color="auto"/>
              <w:right w:val="single" w:sz="4" w:space="0" w:color="auto"/>
            </w:tcBorders>
            <w:shd w:val="clear" w:color="auto" w:fill="auto"/>
            <w:noWrap/>
            <w:vAlign w:val="bottom"/>
            <w:hideMark/>
          </w:tcPr>
          <w:p w14:paraId="55EBEF36"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69 488 777,25</w:t>
            </w:r>
          </w:p>
        </w:tc>
        <w:tc>
          <w:tcPr>
            <w:tcW w:w="737" w:type="dxa"/>
            <w:tcBorders>
              <w:top w:val="nil"/>
              <w:left w:val="nil"/>
              <w:bottom w:val="single" w:sz="4" w:space="0" w:color="auto"/>
              <w:right w:val="single" w:sz="8" w:space="0" w:color="auto"/>
            </w:tcBorders>
            <w:shd w:val="clear" w:color="auto" w:fill="auto"/>
            <w:noWrap/>
            <w:vAlign w:val="bottom"/>
            <w:hideMark/>
          </w:tcPr>
          <w:p w14:paraId="5744D11E"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42,3</w:t>
            </w:r>
          </w:p>
        </w:tc>
      </w:tr>
      <w:tr w:rsidR="00960E88" w:rsidRPr="00960E88" w14:paraId="630DBDD6" w14:textId="77777777" w:rsidTr="00960E88">
        <w:trPr>
          <w:trHeight w:val="106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48A41542" w14:textId="77777777" w:rsidR="00960E88" w:rsidRPr="00960E88" w:rsidRDefault="00960E88" w:rsidP="00960E88">
            <w:pPr>
              <w:spacing w:after="0" w:line="240" w:lineRule="auto"/>
              <w:jc w:val="center"/>
              <w:rPr>
                <w:rFonts w:ascii="Calibri" w:eastAsia="Times New Roman" w:hAnsi="Calibri" w:cs="Arial"/>
                <w:sz w:val="20"/>
                <w:szCs w:val="20"/>
                <w:lang w:eastAsia="cs-CZ"/>
              </w:rPr>
            </w:pPr>
            <w:r w:rsidRPr="00960E88">
              <w:rPr>
                <w:rFonts w:ascii="Calibri" w:eastAsia="Times New Roman" w:hAnsi="Calibri" w:cs="Arial"/>
                <w:sz w:val="20"/>
                <w:szCs w:val="20"/>
                <w:lang w:eastAsia="cs-CZ"/>
              </w:rPr>
              <w:t> </w:t>
            </w:r>
          </w:p>
        </w:tc>
        <w:tc>
          <w:tcPr>
            <w:tcW w:w="3994" w:type="dxa"/>
            <w:tcBorders>
              <w:top w:val="nil"/>
              <w:left w:val="nil"/>
              <w:bottom w:val="single" w:sz="4" w:space="0" w:color="auto"/>
              <w:right w:val="single" w:sz="4" w:space="0" w:color="auto"/>
            </w:tcBorders>
            <w:shd w:val="clear" w:color="auto" w:fill="auto"/>
            <w:vAlign w:val="bottom"/>
            <w:hideMark/>
          </w:tcPr>
          <w:p w14:paraId="59D06C27" w14:textId="77777777" w:rsidR="00960E88" w:rsidRPr="00960E88" w:rsidRDefault="00960E88" w:rsidP="00960E88">
            <w:pPr>
              <w:spacing w:after="0" w:line="240" w:lineRule="auto"/>
              <w:rPr>
                <w:rFonts w:ascii="Calibri" w:eastAsia="Times New Roman" w:hAnsi="Calibri" w:cs="Arial"/>
                <w:color w:val="000000"/>
                <w:sz w:val="20"/>
                <w:szCs w:val="20"/>
                <w:lang w:eastAsia="cs-CZ"/>
              </w:rPr>
            </w:pPr>
            <w:r w:rsidRPr="00960E88">
              <w:rPr>
                <w:rFonts w:ascii="Calibri" w:eastAsia="Times New Roman" w:hAnsi="Calibri" w:cs="Arial"/>
                <w:color w:val="000000"/>
                <w:sz w:val="20"/>
                <w:szCs w:val="20"/>
                <w:lang w:eastAsia="cs-CZ"/>
              </w:rPr>
              <w:t xml:space="preserve">Zesmluvněné dotace na vodohospodářskou infrastrukturu vyplácené prostřednictvím Středočeského Fondu životního prostředí a zemědělství - financované z vybraných poplatků za odebrané množství podzemní vody </w:t>
            </w:r>
          </w:p>
        </w:tc>
        <w:tc>
          <w:tcPr>
            <w:tcW w:w="1276" w:type="dxa"/>
            <w:tcBorders>
              <w:top w:val="nil"/>
              <w:left w:val="nil"/>
              <w:bottom w:val="single" w:sz="4" w:space="0" w:color="auto"/>
              <w:right w:val="single" w:sz="4" w:space="0" w:color="auto"/>
            </w:tcBorders>
            <w:shd w:val="clear" w:color="auto" w:fill="auto"/>
            <w:noWrap/>
            <w:vAlign w:val="bottom"/>
            <w:hideMark/>
          </w:tcPr>
          <w:p w14:paraId="2BD1F294"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0</w:t>
            </w:r>
          </w:p>
        </w:tc>
        <w:tc>
          <w:tcPr>
            <w:tcW w:w="1559" w:type="dxa"/>
            <w:tcBorders>
              <w:top w:val="nil"/>
              <w:left w:val="nil"/>
              <w:bottom w:val="single" w:sz="4" w:space="0" w:color="auto"/>
              <w:right w:val="single" w:sz="4" w:space="0" w:color="auto"/>
            </w:tcBorders>
            <w:shd w:val="clear" w:color="auto" w:fill="auto"/>
            <w:noWrap/>
            <w:vAlign w:val="bottom"/>
            <w:hideMark/>
          </w:tcPr>
          <w:p w14:paraId="3053EC83"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7 897 500,00</w:t>
            </w:r>
          </w:p>
        </w:tc>
        <w:tc>
          <w:tcPr>
            <w:tcW w:w="1559" w:type="dxa"/>
            <w:tcBorders>
              <w:top w:val="nil"/>
              <w:left w:val="nil"/>
              <w:bottom w:val="single" w:sz="4" w:space="0" w:color="auto"/>
              <w:right w:val="single" w:sz="4" w:space="0" w:color="auto"/>
            </w:tcBorders>
            <w:shd w:val="clear" w:color="auto" w:fill="auto"/>
            <w:noWrap/>
            <w:vAlign w:val="bottom"/>
            <w:hideMark/>
          </w:tcPr>
          <w:p w14:paraId="1EA521C7"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6 458 134,00</w:t>
            </w:r>
          </w:p>
        </w:tc>
        <w:tc>
          <w:tcPr>
            <w:tcW w:w="737" w:type="dxa"/>
            <w:tcBorders>
              <w:top w:val="nil"/>
              <w:left w:val="nil"/>
              <w:bottom w:val="single" w:sz="4" w:space="0" w:color="auto"/>
              <w:right w:val="single" w:sz="8" w:space="0" w:color="auto"/>
            </w:tcBorders>
            <w:shd w:val="clear" w:color="000000" w:fill="FFFFFF"/>
            <w:noWrap/>
            <w:vAlign w:val="bottom"/>
            <w:hideMark/>
          </w:tcPr>
          <w:p w14:paraId="400D8E02"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81,8</w:t>
            </w:r>
          </w:p>
        </w:tc>
      </w:tr>
      <w:tr w:rsidR="00960E88" w:rsidRPr="00960E88" w14:paraId="34CBE025" w14:textId="77777777" w:rsidTr="00960E88">
        <w:trPr>
          <w:trHeight w:val="300"/>
        </w:trPr>
        <w:tc>
          <w:tcPr>
            <w:tcW w:w="826"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2138B627" w14:textId="77777777" w:rsidR="00960E88" w:rsidRPr="00960E88" w:rsidRDefault="00960E88" w:rsidP="00960E88">
            <w:pPr>
              <w:spacing w:after="0" w:line="240" w:lineRule="auto"/>
              <w:rPr>
                <w:rFonts w:ascii="Calibri" w:eastAsia="Times New Roman" w:hAnsi="Calibri" w:cs="Arial"/>
                <w:b/>
                <w:bCs/>
                <w:lang w:eastAsia="cs-CZ"/>
              </w:rPr>
            </w:pPr>
            <w:r w:rsidRPr="00960E88">
              <w:rPr>
                <w:rFonts w:ascii="Calibri" w:eastAsia="Times New Roman" w:hAnsi="Calibri" w:cs="Arial"/>
                <w:b/>
                <w:bCs/>
                <w:lang w:eastAsia="cs-CZ"/>
              </w:rPr>
              <w:t> </w:t>
            </w:r>
          </w:p>
        </w:tc>
        <w:tc>
          <w:tcPr>
            <w:tcW w:w="3994" w:type="dxa"/>
            <w:tcBorders>
              <w:top w:val="single" w:sz="8" w:space="0" w:color="auto"/>
              <w:left w:val="nil"/>
              <w:bottom w:val="single" w:sz="8" w:space="0" w:color="auto"/>
              <w:right w:val="single" w:sz="4" w:space="0" w:color="auto"/>
            </w:tcBorders>
            <w:shd w:val="clear" w:color="auto" w:fill="auto"/>
            <w:noWrap/>
            <w:vAlign w:val="bottom"/>
            <w:hideMark/>
          </w:tcPr>
          <w:p w14:paraId="17B0AFDE" w14:textId="77777777" w:rsidR="00960E88" w:rsidRPr="00960E88" w:rsidRDefault="00960E88" w:rsidP="00960E88">
            <w:pPr>
              <w:spacing w:after="0" w:line="240" w:lineRule="auto"/>
              <w:rPr>
                <w:rFonts w:ascii="Calibri" w:eastAsia="Times New Roman" w:hAnsi="Calibri" w:cs="Arial"/>
                <w:b/>
                <w:bCs/>
                <w:lang w:eastAsia="cs-CZ"/>
              </w:rPr>
            </w:pPr>
            <w:r w:rsidRPr="00960E88">
              <w:rPr>
                <w:rFonts w:ascii="Calibri" w:eastAsia="Times New Roman" w:hAnsi="Calibri" w:cs="Arial"/>
                <w:b/>
                <w:bCs/>
                <w:lang w:eastAsia="cs-CZ"/>
              </w:rPr>
              <w:t>Celkem</w:t>
            </w:r>
          </w:p>
        </w:tc>
        <w:tc>
          <w:tcPr>
            <w:tcW w:w="1276" w:type="dxa"/>
            <w:tcBorders>
              <w:top w:val="single" w:sz="8" w:space="0" w:color="auto"/>
              <w:left w:val="nil"/>
              <w:bottom w:val="single" w:sz="8" w:space="0" w:color="auto"/>
              <w:right w:val="single" w:sz="4" w:space="0" w:color="auto"/>
            </w:tcBorders>
            <w:shd w:val="clear" w:color="auto" w:fill="auto"/>
            <w:noWrap/>
            <w:vAlign w:val="bottom"/>
            <w:hideMark/>
          </w:tcPr>
          <w:p w14:paraId="705785E0" w14:textId="77777777" w:rsidR="00960E88" w:rsidRPr="00960E88" w:rsidRDefault="00960E88" w:rsidP="00960E88">
            <w:pPr>
              <w:spacing w:after="0" w:line="240" w:lineRule="auto"/>
              <w:jc w:val="right"/>
              <w:rPr>
                <w:rFonts w:ascii="Calibri" w:eastAsia="Times New Roman" w:hAnsi="Calibri" w:cs="Arial"/>
                <w:b/>
                <w:bCs/>
                <w:lang w:eastAsia="cs-CZ"/>
              </w:rPr>
            </w:pPr>
            <w:r w:rsidRPr="00960E88">
              <w:rPr>
                <w:rFonts w:ascii="Calibri" w:eastAsia="Times New Roman" w:hAnsi="Calibri" w:cs="Arial"/>
                <w:b/>
                <w:bCs/>
                <w:lang w:eastAsia="cs-CZ"/>
              </w:rPr>
              <w:t>50 000 000</w:t>
            </w:r>
          </w:p>
        </w:tc>
        <w:tc>
          <w:tcPr>
            <w:tcW w:w="1559" w:type="dxa"/>
            <w:tcBorders>
              <w:top w:val="single" w:sz="8" w:space="0" w:color="auto"/>
              <w:left w:val="nil"/>
              <w:bottom w:val="single" w:sz="8" w:space="0" w:color="auto"/>
              <w:right w:val="single" w:sz="4" w:space="0" w:color="auto"/>
            </w:tcBorders>
            <w:shd w:val="clear" w:color="auto" w:fill="auto"/>
            <w:noWrap/>
            <w:vAlign w:val="bottom"/>
            <w:hideMark/>
          </w:tcPr>
          <w:p w14:paraId="68B7E559" w14:textId="77777777" w:rsidR="00960E88" w:rsidRPr="00960E88" w:rsidRDefault="00960E88" w:rsidP="00960E88">
            <w:pPr>
              <w:spacing w:after="0" w:line="240" w:lineRule="auto"/>
              <w:jc w:val="right"/>
              <w:rPr>
                <w:rFonts w:ascii="Calibri" w:eastAsia="Times New Roman" w:hAnsi="Calibri" w:cs="Arial"/>
                <w:b/>
                <w:bCs/>
                <w:lang w:eastAsia="cs-CZ"/>
              </w:rPr>
            </w:pPr>
            <w:r w:rsidRPr="00960E88">
              <w:rPr>
                <w:rFonts w:ascii="Calibri" w:eastAsia="Times New Roman" w:hAnsi="Calibri" w:cs="Arial"/>
                <w:b/>
                <w:bCs/>
                <w:lang w:eastAsia="cs-CZ"/>
              </w:rPr>
              <w:t>217 966 390,70</w:t>
            </w:r>
          </w:p>
        </w:tc>
        <w:tc>
          <w:tcPr>
            <w:tcW w:w="1559" w:type="dxa"/>
            <w:tcBorders>
              <w:top w:val="single" w:sz="8" w:space="0" w:color="auto"/>
              <w:left w:val="nil"/>
              <w:bottom w:val="single" w:sz="8" w:space="0" w:color="auto"/>
              <w:right w:val="single" w:sz="4" w:space="0" w:color="auto"/>
            </w:tcBorders>
            <w:shd w:val="clear" w:color="auto" w:fill="auto"/>
            <w:noWrap/>
            <w:vAlign w:val="bottom"/>
            <w:hideMark/>
          </w:tcPr>
          <w:p w14:paraId="71E674A6" w14:textId="77777777" w:rsidR="00960E88" w:rsidRPr="00960E88" w:rsidRDefault="00960E88" w:rsidP="00960E88">
            <w:pPr>
              <w:spacing w:after="0" w:line="240" w:lineRule="auto"/>
              <w:jc w:val="right"/>
              <w:rPr>
                <w:rFonts w:ascii="Calibri" w:eastAsia="Times New Roman" w:hAnsi="Calibri" w:cs="Arial"/>
                <w:b/>
                <w:bCs/>
                <w:lang w:eastAsia="cs-CZ"/>
              </w:rPr>
            </w:pPr>
            <w:r w:rsidRPr="00960E88">
              <w:rPr>
                <w:rFonts w:ascii="Calibri" w:eastAsia="Times New Roman" w:hAnsi="Calibri" w:cs="Arial"/>
                <w:b/>
                <w:bCs/>
                <w:lang w:eastAsia="cs-CZ"/>
              </w:rPr>
              <w:t>105 467 490,25</w:t>
            </w:r>
          </w:p>
        </w:tc>
        <w:tc>
          <w:tcPr>
            <w:tcW w:w="737" w:type="dxa"/>
            <w:tcBorders>
              <w:top w:val="single" w:sz="8" w:space="0" w:color="auto"/>
              <w:left w:val="nil"/>
              <w:bottom w:val="single" w:sz="8" w:space="0" w:color="auto"/>
              <w:right w:val="single" w:sz="8" w:space="0" w:color="auto"/>
            </w:tcBorders>
            <w:shd w:val="clear" w:color="000000" w:fill="FFFFFF"/>
            <w:noWrap/>
            <w:vAlign w:val="bottom"/>
            <w:hideMark/>
          </w:tcPr>
          <w:p w14:paraId="31160508" w14:textId="77777777" w:rsidR="00960E88" w:rsidRPr="00960E88" w:rsidRDefault="00960E88" w:rsidP="00960E88">
            <w:pPr>
              <w:spacing w:after="0" w:line="240" w:lineRule="auto"/>
              <w:jc w:val="right"/>
              <w:rPr>
                <w:rFonts w:ascii="Calibri" w:eastAsia="Times New Roman" w:hAnsi="Calibri" w:cs="Arial"/>
                <w:b/>
                <w:bCs/>
                <w:lang w:eastAsia="cs-CZ"/>
              </w:rPr>
            </w:pPr>
            <w:r w:rsidRPr="00960E88">
              <w:rPr>
                <w:rFonts w:ascii="Calibri" w:eastAsia="Times New Roman" w:hAnsi="Calibri" w:cs="Arial"/>
                <w:b/>
                <w:bCs/>
                <w:lang w:eastAsia="cs-CZ"/>
              </w:rPr>
              <w:t>48,4</w:t>
            </w:r>
          </w:p>
        </w:tc>
      </w:tr>
      <w:tr w:rsidR="00960E88" w:rsidRPr="00960E88" w14:paraId="708CEC9C" w14:textId="77777777" w:rsidTr="00960E88">
        <w:trPr>
          <w:trHeight w:val="290"/>
        </w:trPr>
        <w:tc>
          <w:tcPr>
            <w:tcW w:w="826" w:type="dxa"/>
            <w:tcBorders>
              <w:top w:val="nil"/>
              <w:left w:val="nil"/>
              <w:bottom w:val="nil"/>
              <w:right w:val="nil"/>
            </w:tcBorders>
            <w:shd w:val="clear" w:color="auto" w:fill="auto"/>
            <w:noWrap/>
            <w:vAlign w:val="center"/>
            <w:hideMark/>
          </w:tcPr>
          <w:p w14:paraId="0C62B5EC" w14:textId="77777777" w:rsidR="00960E88" w:rsidRPr="00960E88" w:rsidRDefault="00960E88" w:rsidP="00960E88">
            <w:pPr>
              <w:spacing w:after="0" w:line="240" w:lineRule="auto"/>
              <w:jc w:val="center"/>
              <w:rPr>
                <w:rFonts w:ascii="Calibri" w:eastAsia="Times New Roman" w:hAnsi="Calibri" w:cs="Arial"/>
                <w:lang w:eastAsia="cs-CZ"/>
              </w:rPr>
            </w:pPr>
            <w:r w:rsidRPr="00960E88">
              <w:rPr>
                <w:rFonts w:ascii="Calibri" w:eastAsia="Times New Roman" w:hAnsi="Calibri" w:cs="Arial"/>
                <w:lang w:eastAsia="cs-CZ"/>
              </w:rPr>
              <w:t> </w:t>
            </w:r>
          </w:p>
        </w:tc>
        <w:tc>
          <w:tcPr>
            <w:tcW w:w="3994" w:type="dxa"/>
            <w:tcBorders>
              <w:top w:val="nil"/>
              <w:left w:val="nil"/>
              <w:bottom w:val="nil"/>
              <w:right w:val="nil"/>
            </w:tcBorders>
            <w:shd w:val="clear" w:color="auto" w:fill="auto"/>
            <w:noWrap/>
            <w:vAlign w:val="bottom"/>
            <w:hideMark/>
          </w:tcPr>
          <w:p w14:paraId="41E9E757" w14:textId="77777777" w:rsidR="00960E88" w:rsidRPr="00960E88" w:rsidRDefault="00960E88" w:rsidP="00960E88">
            <w:pPr>
              <w:spacing w:after="0" w:line="240" w:lineRule="auto"/>
              <w:rPr>
                <w:rFonts w:ascii="Calibri" w:eastAsia="Times New Roman" w:hAnsi="Calibri" w:cs="Arial"/>
                <w:b/>
                <w:bCs/>
                <w:lang w:eastAsia="cs-CZ"/>
              </w:rPr>
            </w:pPr>
            <w:r w:rsidRPr="00960E88">
              <w:rPr>
                <w:rFonts w:ascii="Calibri" w:eastAsia="Times New Roman" w:hAnsi="Calibri" w:cs="Arial"/>
                <w:b/>
                <w:bCs/>
                <w:lang w:eastAsia="cs-CZ"/>
              </w:rPr>
              <w:t> </w:t>
            </w:r>
          </w:p>
        </w:tc>
        <w:tc>
          <w:tcPr>
            <w:tcW w:w="1276" w:type="dxa"/>
            <w:tcBorders>
              <w:top w:val="nil"/>
              <w:left w:val="nil"/>
              <w:bottom w:val="nil"/>
              <w:right w:val="nil"/>
            </w:tcBorders>
            <w:shd w:val="clear" w:color="auto" w:fill="auto"/>
            <w:noWrap/>
            <w:vAlign w:val="bottom"/>
            <w:hideMark/>
          </w:tcPr>
          <w:p w14:paraId="455CCED2" w14:textId="77777777" w:rsidR="00960E88" w:rsidRPr="00960E88" w:rsidRDefault="00960E88" w:rsidP="00960E88">
            <w:pPr>
              <w:spacing w:after="0" w:line="240" w:lineRule="auto"/>
              <w:jc w:val="right"/>
              <w:rPr>
                <w:rFonts w:ascii="Calibri" w:eastAsia="Times New Roman" w:hAnsi="Calibri" w:cs="Arial"/>
                <w:b/>
                <w:bCs/>
                <w:lang w:eastAsia="cs-CZ"/>
              </w:rPr>
            </w:pPr>
            <w:r w:rsidRPr="00960E88">
              <w:rPr>
                <w:rFonts w:ascii="Calibri" w:eastAsia="Times New Roman" w:hAnsi="Calibri" w:cs="Arial"/>
                <w:b/>
                <w:bCs/>
                <w:lang w:eastAsia="cs-CZ"/>
              </w:rPr>
              <w:t> </w:t>
            </w:r>
          </w:p>
        </w:tc>
        <w:tc>
          <w:tcPr>
            <w:tcW w:w="1559" w:type="dxa"/>
            <w:tcBorders>
              <w:top w:val="nil"/>
              <w:left w:val="nil"/>
              <w:bottom w:val="nil"/>
              <w:right w:val="nil"/>
            </w:tcBorders>
            <w:shd w:val="clear" w:color="auto" w:fill="auto"/>
            <w:noWrap/>
            <w:vAlign w:val="bottom"/>
            <w:hideMark/>
          </w:tcPr>
          <w:p w14:paraId="14771C71" w14:textId="77777777" w:rsidR="00960E88" w:rsidRPr="00960E88" w:rsidRDefault="00960E88" w:rsidP="00960E88">
            <w:pPr>
              <w:spacing w:after="0" w:line="240" w:lineRule="auto"/>
              <w:jc w:val="right"/>
              <w:rPr>
                <w:rFonts w:ascii="Calibri" w:eastAsia="Times New Roman" w:hAnsi="Calibri" w:cs="Arial"/>
                <w:b/>
                <w:bCs/>
                <w:lang w:eastAsia="cs-CZ"/>
              </w:rPr>
            </w:pPr>
            <w:r w:rsidRPr="00960E88">
              <w:rPr>
                <w:rFonts w:ascii="Calibri" w:eastAsia="Times New Roman" w:hAnsi="Calibri" w:cs="Arial"/>
                <w:b/>
                <w:bCs/>
                <w:lang w:eastAsia="cs-CZ"/>
              </w:rPr>
              <w:t> </w:t>
            </w:r>
          </w:p>
        </w:tc>
        <w:tc>
          <w:tcPr>
            <w:tcW w:w="1559" w:type="dxa"/>
            <w:tcBorders>
              <w:top w:val="nil"/>
              <w:left w:val="nil"/>
              <w:bottom w:val="nil"/>
              <w:right w:val="nil"/>
            </w:tcBorders>
            <w:shd w:val="clear" w:color="auto" w:fill="auto"/>
            <w:noWrap/>
            <w:vAlign w:val="bottom"/>
            <w:hideMark/>
          </w:tcPr>
          <w:p w14:paraId="388ADFD6" w14:textId="77777777" w:rsidR="00960E88" w:rsidRPr="00960E88" w:rsidRDefault="00960E88" w:rsidP="00960E88">
            <w:pPr>
              <w:spacing w:after="0" w:line="240" w:lineRule="auto"/>
              <w:jc w:val="right"/>
              <w:rPr>
                <w:rFonts w:ascii="Calibri" w:eastAsia="Times New Roman" w:hAnsi="Calibri" w:cs="Arial"/>
                <w:b/>
                <w:bCs/>
                <w:lang w:eastAsia="cs-CZ"/>
              </w:rPr>
            </w:pPr>
            <w:r w:rsidRPr="00960E88">
              <w:rPr>
                <w:rFonts w:ascii="Calibri" w:eastAsia="Times New Roman" w:hAnsi="Calibri" w:cs="Arial"/>
                <w:b/>
                <w:bCs/>
                <w:lang w:eastAsia="cs-CZ"/>
              </w:rPr>
              <w:t> </w:t>
            </w:r>
          </w:p>
        </w:tc>
        <w:tc>
          <w:tcPr>
            <w:tcW w:w="737" w:type="dxa"/>
            <w:tcBorders>
              <w:top w:val="nil"/>
              <w:left w:val="nil"/>
              <w:bottom w:val="nil"/>
              <w:right w:val="nil"/>
            </w:tcBorders>
            <w:shd w:val="clear" w:color="auto" w:fill="auto"/>
            <w:noWrap/>
            <w:vAlign w:val="bottom"/>
            <w:hideMark/>
          </w:tcPr>
          <w:p w14:paraId="42B9E4D7" w14:textId="77777777" w:rsidR="00960E88" w:rsidRPr="00960E88" w:rsidRDefault="00960E88" w:rsidP="00960E88">
            <w:pPr>
              <w:spacing w:after="0" w:line="240" w:lineRule="auto"/>
              <w:jc w:val="right"/>
              <w:rPr>
                <w:rFonts w:ascii="Calibri" w:eastAsia="Times New Roman" w:hAnsi="Calibri" w:cs="Arial"/>
                <w:b/>
                <w:bCs/>
                <w:lang w:eastAsia="cs-CZ"/>
              </w:rPr>
            </w:pPr>
            <w:r w:rsidRPr="00960E88">
              <w:rPr>
                <w:rFonts w:ascii="Calibri" w:eastAsia="Times New Roman" w:hAnsi="Calibri" w:cs="Arial"/>
                <w:b/>
                <w:bCs/>
                <w:lang w:eastAsia="cs-CZ"/>
              </w:rPr>
              <w:t> </w:t>
            </w:r>
          </w:p>
        </w:tc>
      </w:tr>
      <w:tr w:rsidR="00960E88" w:rsidRPr="00960E88" w14:paraId="2C4E1966" w14:textId="77777777" w:rsidTr="00960E88">
        <w:trPr>
          <w:trHeight w:val="300"/>
        </w:trPr>
        <w:tc>
          <w:tcPr>
            <w:tcW w:w="826" w:type="dxa"/>
            <w:tcBorders>
              <w:top w:val="nil"/>
              <w:left w:val="nil"/>
              <w:bottom w:val="nil"/>
              <w:right w:val="nil"/>
            </w:tcBorders>
            <w:shd w:val="clear" w:color="auto" w:fill="auto"/>
            <w:noWrap/>
            <w:vAlign w:val="bottom"/>
            <w:hideMark/>
          </w:tcPr>
          <w:p w14:paraId="695E1B13" w14:textId="77777777" w:rsidR="00960E88" w:rsidRPr="00960E88" w:rsidRDefault="00960E88" w:rsidP="00960E88">
            <w:pPr>
              <w:spacing w:after="0" w:line="240" w:lineRule="auto"/>
              <w:jc w:val="right"/>
              <w:rPr>
                <w:rFonts w:ascii="Calibri" w:eastAsia="Times New Roman" w:hAnsi="Calibri" w:cs="Arial"/>
                <w:b/>
                <w:bCs/>
                <w:lang w:eastAsia="cs-CZ"/>
              </w:rPr>
            </w:pPr>
          </w:p>
        </w:tc>
        <w:tc>
          <w:tcPr>
            <w:tcW w:w="3994" w:type="dxa"/>
            <w:tcBorders>
              <w:top w:val="nil"/>
              <w:left w:val="nil"/>
              <w:bottom w:val="nil"/>
              <w:right w:val="nil"/>
            </w:tcBorders>
            <w:shd w:val="clear" w:color="auto" w:fill="auto"/>
            <w:noWrap/>
            <w:vAlign w:val="bottom"/>
            <w:hideMark/>
          </w:tcPr>
          <w:p w14:paraId="5A419239" w14:textId="77777777" w:rsidR="00960E88" w:rsidRPr="00960E88" w:rsidRDefault="00960E88" w:rsidP="00960E88">
            <w:pPr>
              <w:spacing w:after="0" w:line="240" w:lineRule="auto"/>
              <w:rPr>
                <w:rFonts w:ascii="Calibri" w:eastAsia="Times New Roman" w:hAnsi="Calibri" w:cs="Arial"/>
                <w:b/>
                <w:bCs/>
                <w:lang w:eastAsia="cs-CZ"/>
              </w:rPr>
            </w:pPr>
            <w:r w:rsidRPr="00960E88">
              <w:rPr>
                <w:rFonts w:ascii="Calibri" w:eastAsia="Times New Roman" w:hAnsi="Calibri" w:cs="Arial"/>
                <w:b/>
                <w:bCs/>
                <w:lang w:eastAsia="cs-CZ"/>
              </w:rPr>
              <w:t>Havarijní fond pro ochranu jakosti vod SK</w:t>
            </w:r>
          </w:p>
        </w:tc>
        <w:tc>
          <w:tcPr>
            <w:tcW w:w="1276" w:type="dxa"/>
            <w:tcBorders>
              <w:top w:val="nil"/>
              <w:left w:val="nil"/>
              <w:bottom w:val="nil"/>
              <w:right w:val="nil"/>
            </w:tcBorders>
            <w:shd w:val="clear" w:color="auto" w:fill="auto"/>
            <w:noWrap/>
            <w:vAlign w:val="bottom"/>
            <w:hideMark/>
          </w:tcPr>
          <w:p w14:paraId="20938B3F" w14:textId="77777777" w:rsidR="00960E88" w:rsidRPr="00960E88" w:rsidRDefault="00960E88" w:rsidP="00960E88">
            <w:pPr>
              <w:spacing w:after="0" w:line="240" w:lineRule="auto"/>
              <w:rPr>
                <w:rFonts w:ascii="Calibri" w:eastAsia="Times New Roman" w:hAnsi="Calibri" w:cs="Arial"/>
                <w:b/>
                <w:bCs/>
                <w:lang w:eastAsia="cs-CZ"/>
              </w:rPr>
            </w:pPr>
          </w:p>
        </w:tc>
        <w:tc>
          <w:tcPr>
            <w:tcW w:w="1559" w:type="dxa"/>
            <w:tcBorders>
              <w:top w:val="nil"/>
              <w:left w:val="nil"/>
              <w:bottom w:val="nil"/>
              <w:right w:val="nil"/>
            </w:tcBorders>
            <w:shd w:val="clear" w:color="auto" w:fill="auto"/>
            <w:noWrap/>
            <w:vAlign w:val="bottom"/>
            <w:hideMark/>
          </w:tcPr>
          <w:p w14:paraId="5751B100" w14:textId="77777777" w:rsidR="00960E88" w:rsidRPr="00960E88" w:rsidRDefault="00960E88" w:rsidP="00960E88">
            <w:pPr>
              <w:spacing w:after="0" w:line="240" w:lineRule="auto"/>
              <w:jc w:val="right"/>
              <w:rPr>
                <w:rFonts w:ascii="Times New Roman" w:eastAsia="Times New Roman" w:hAnsi="Times New Roman" w:cs="Times New Roman"/>
                <w:sz w:val="20"/>
                <w:szCs w:val="20"/>
                <w:lang w:eastAsia="cs-CZ"/>
              </w:rPr>
            </w:pPr>
          </w:p>
        </w:tc>
        <w:tc>
          <w:tcPr>
            <w:tcW w:w="1559" w:type="dxa"/>
            <w:tcBorders>
              <w:top w:val="nil"/>
              <w:left w:val="nil"/>
              <w:bottom w:val="nil"/>
              <w:right w:val="nil"/>
            </w:tcBorders>
            <w:shd w:val="clear" w:color="auto" w:fill="auto"/>
            <w:noWrap/>
            <w:vAlign w:val="bottom"/>
            <w:hideMark/>
          </w:tcPr>
          <w:p w14:paraId="740020EB" w14:textId="77777777" w:rsidR="00960E88" w:rsidRPr="00960E88" w:rsidRDefault="00960E88" w:rsidP="00960E88">
            <w:pPr>
              <w:spacing w:after="0" w:line="240" w:lineRule="auto"/>
              <w:jc w:val="right"/>
              <w:rPr>
                <w:rFonts w:ascii="Times New Roman" w:eastAsia="Times New Roman" w:hAnsi="Times New Roman" w:cs="Times New Roman"/>
                <w:sz w:val="20"/>
                <w:szCs w:val="20"/>
                <w:lang w:eastAsia="cs-CZ"/>
              </w:rPr>
            </w:pPr>
          </w:p>
        </w:tc>
        <w:tc>
          <w:tcPr>
            <w:tcW w:w="737" w:type="dxa"/>
            <w:tcBorders>
              <w:top w:val="nil"/>
              <w:left w:val="nil"/>
              <w:bottom w:val="nil"/>
              <w:right w:val="nil"/>
            </w:tcBorders>
            <w:shd w:val="clear" w:color="auto" w:fill="auto"/>
            <w:noWrap/>
            <w:vAlign w:val="bottom"/>
            <w:hideMark/>
          </w:tcPr>
          <w:p w14:paraId="43FBC1FF" w14:textId="77777777" w:rsidR="00960E88" w:rsidRPr="00960E88" w:rsidRDefault="00960E88" w:rsidP="00960E88">
            <w:pPr>
              <w:spacing w:after="0" w:line="240" w:lineRule="auto"/>
              <w:jc w:val="right"/>
              <w:rPr>
                <w:rFonts w:ascii="Times New Roman" w:eastAsia="Times New Roman" w:hAnsi="Times New Roman" w:cs="Times New Roman"/>
                <w:sz w:val="20"/>
                <w:szCs w:val="20"/>
                <w:lang w:eastAsia="cs-CZ"/>
              </w:rPr>
            </w:pPr>
          </w:p>
        </w:tc>
      </w:tr>
      <w:tr w:rsidR="00960E88" w:rsidRPr="00960E88" w14:paraId="4EF98705" w14:textId="77777777" w:rsidTr="00960E88">
        <w:trPr>
          <w:trHeight w:val="300"/>
        </w:trPr>
        <w:tc>
          <w:tcPr>
            <w:tcW w:w="826"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4B3115A7" w14:textId="77777777" w:rsidR="00960E88" w:rsidRPr="00960E88" w:rsidRDefault="00960E88" w:rsidP="00960E88">
            <w:pPr>
              <w:spacing w:after="0" w:line="240" w:lineRule="auto"/>
              <w:jc w:val="center"/>
              <w:rPr>
                <w:rFonts w:ascii="Calibri" w:eastAsia="Times New Roman" w:hAnsi="Calibri" w:cs="Arial"/>
                <w:sz w:val="20"/>
                <w:szCs w:val="20"/>
                <w:lang w:eastAsia="cs-CZ"/>
              </w:rPr>
            </w:pPr>
            <w:r w:rsidRPr="00960E88">
              <w:rPr>
                <w:rFonts w:ascii="Calibri" w:eastAsia="Times New Roman" w:hAnsi="Calibri" w:cs="Arial"/>
                <w:sz w:val="20"/>
                <w:szCs w:val="20"/>
                <w:lang w:eastAsia="cs-CZ"/>
              </w:rPr>
              <w:t>2310</w:t>
            </w:r>
          </w:p>
        </w:tc>
        <w:tc>
          <w:tcPr>
            <w:tcW w:w="3994" w:type="dxa"/>
            <w:tcBorders>
              <w:top w:val="single" w:sz="8" w:space="0" w:color="auto"/>
              <w:left w:val="nil"/>
              <w:bottom w:val="single" w:sz="4" w:space="0" w:color="auto"/>
              <w:right w:val="single" w:sz="4" w:space="0" w:color="auto"/>
            </w:tcBorders>
            <w:shd w:val="clear" w:color="auto" w:fill="auto"/>
            <w:noWrap/>
            <w:vAlign w:val="bottom"/>
            <w:hideMark/>
          </w:tcPr>
          <w:p w14:paraId="351878F7" w14:textId="77777777" w:rsidR="00960E88" w:rsidRPr="00960E88" w:rsidRDefault="00960E88" w:rsidP="00960E88">
            <w:pPr>
              <w:spacing w:after="0" w:line="240" w:lineRule="auto"/>
              <w:rPr>
                <w:rFonts w:ascii="Calibri" w:eastAsia="Times New Roman" w:hAnsi="Calibri" w:cs="Arial"/>
                <w:sz w:val="20"/>
                <w:szCs w:val="20"/>
                <w:lang w:eastAsia="cs-CZ"/>
              </w:rPr>
            </w:pPr>
            <w:r w:rsidRPr="00960E88">
              <w:rPr>
                <w:rFonts w:ascii="Calibri" w:eastAsia="Times New Roman" w:hAnsi="Calibri" w:cs="Arial"/>
                <w:sz w:val="20"/>
                <w:szCs w:val="20"/>
                <w:lang w:eastAsia="cs-CZ"/>
              </w:rPr>
              <w:t xml:space="preserve">Havarijní fond pro ochranu jakosti vod SK </w:t>
            </w:r>
          </w:p>
        </w:tc>
        <w:tc>
          <w:tcPr>
            <w:tcW w:w="1276" w:type="dxa"/>
            <w:tcBorders>
              <w:top w:val="single" w:sz="8" w:space="0" w:color="auto"/>
              <w:left w:val="nil"/>
              <w:bottom w:val="single" w:sz="4" w:space="0" w:color="auto"/>
              <w:right w:val="single" w:sz="4" w:space="0" w:color="auto"/>
            </w:tcBorders>
            <w:shd w:val="clear" w:color="auto" w:fill="auto"/>
            <w:noWrap/>
            <w:vAlign w:val="bottom"/>
            <w:hideMark/>
          </w:tcPr>
          <w:p w14:paraId="06E578A5"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0</w:t>
            </w:r>
          </w:p>
        </w:tc>
        <w:tc>
          <w:tcPr>
            <w:tcW w:w="1559" w:type="dxa"/>
            <w:tcBorders>
              <w:top w:val="single" w:sz="8" w:space="0" w:color="auto"/>
              <w:left w:val="nil"/>
              <w:bottom w:val="single" w:sz="4" w:space="0" w:color="auto"/>
              <w:right w:val="single" w:sz="4" w:space="0" w:color="auto"/>
            </w:tcBorders>
            <w:shd w:val="clear" w:color="auto" w:fill="auto"/>
            <w:noWrap/>
            <w:vAlign w:val="bottom"/>
            <w:hideMark/>
          </w:tcPr>
          <w:p w14:paraId="2C520E69"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25 549 936,66</w:t>
            </w:r>
          </w:p>
        </w:tc>
        <w:tc>
          <w:tcPr>
            <w:tcW w:w="1559" w:type="dxa"/>
            <w:tcBorders>
              <w:top w:val="single" w:sz="8" w:space="0" w:color="auto"/>
              <w:left w:val="nil"/>
              <w:bottom w:val="single" w:sz="4" w:space="0" w:color="auto"/>
              <w:right w:val="single" w:sz="4" w:space="0" w:color="auto"/>
            </w:tcBorders>
            <w:shd w:val="clear" w:color="auto" w:fill="auto"/>
            <w:noWrap/>
            <w:vAlign w:val="bottom"/>
            <w:hideMark/>
          </w:tcPr>
          <w:p w14:paraId="62FF9C06"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14 622 558,25</w:t>
            </w:r>
          </w:p>
        </w:tc>
        <w:tc>
          <w:tcPr>
            <w:tcW w:w="737" w:type="dxa"/>
            <w:tcBorders>
              <w:top w:val="single" w:sz="8" w:space="0" w:color="auto"/>
              <w:left w:val="nil"/>
              <w:bottom w:val="single" w:sz="8" w:space="0" w:color="auto"/>
              <w:right w:val="single" w:sz="8" w:space="0" w:color="auto"/>
            </w:tcBorders>
            <w:shd w:val="clear" w:color="000000" w:fill="FFFFFF"/>
            <w:noWrap/>
            <w:vAlign w:val="bottom"/>
            <w:hideMark/>
          </w:tcPr>
          <w:p w14:paraId="03116FC5"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57,2</w:t>
            </w:r>
          </w:p>
        </w:tc>
      </w:tr>
      <w:tr w:rsidR="00960E88" w:rsidRPr="00960E88" w14:paraId="3AEE73A1" w14:textId="77777777" w:rsidTr="00960E88">
        <w:trPr>
          <w:trHeight w:val="300"/>
        </w:trPr>
        <w:tc>
          <w:tcPr>
            <w:tcW w:w="826"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55BDBC56" w14:textId="77777777" w:rsidR="00960E88" w:rsidRPr="00960E88" w:rsidRDefault="00960E88" w:rsidP="00960E88">
            <w:pPr>
              <w:spacing w:after="0" w:line="240" w:lineRule="auto"/>
              <w:rPr>
                <w:rFonts w:ascii="Calibri" w:eastAsia="Times New Roman" w:hAnsi="Calibri" w:cs="Arial"/>
                <w:b/>
                <w:bCs/>
                <w:lang w:eastAsia="cs-CZ"/>
              </w:rPr>
            </w:pPr>
            <w:r w:rsidRPr="00960E88">
              <w:rPr>
                <w:rFonts w:ascii="Calibri" w:eastAsia="Times New Roman" w:hAnsi="Calibri" w:cs="Arial"/>
                <w:b/>
                <w:bCs/>
                <w:lang w:eastAsia="cs-CZ"/>
              </w:rPr>
              <w:t> </w:t>
            </w:r>
          </w:p>
        </w:tc>
        <w:tc>
          <w:tcPr>
            <w:tcW w:w="3994" w:type="dxa"/>
            <w:tcBorders>
              <w:top w:val="single" w:sz="8" w:space="0" w:color="auto"/>
              <w:left w:val="nil"/>
              <w:bottom w:val="single" w:sz="8" w:space="0" w:color="auto"/>
              <w:right w:val="single" w:sz="4" w:space="0" w:color="auto"/>
            </w:tcBorders>
            <w:shd w:val="clear" w:color="auto" w:fill="auto"/>
            <w:noWrap/>
            <w:vAlign w:val="bottom"/>
            <w:hideMark/>
          </w:tcPr>
          <w:p w14:paraId="6AEF00D6" w14:textId="77777777" w:rsidR="00960E88" w:rsidRPr="00960E88" w:rsidRDefault="00960E88" w:rsidP="00960E88">
            <w:pPr>
              <w:spacing w:after="0" w:line="240" w:lineRule="auto"/>
              <w:rPr>
                <w:rFonts w:ascii="Calibri" w:eastAsia="Times New Roman" w:hAnsi="Calibri" w:cs="Arial"/>
                <w:b/>
                <w:bCs/>
                <w:lang w:eastAsia="cs-CZ"/>
              </w:rPr>
            </w:pPr>
            <w:r w:rsidRPr="00960E88">
              <w:rPr>
                <w:rFonts w:ascii="Calibri" w:eastAsia="Times New Roman" w:hAnsi="Calibri" w:cs="Arial"/>
                <w:b/>
                <w:bCs/>
                <w:lang w:eastAsia="cs-CZ"/>
              </w:rPr>
              <w:t>Celkem</w:t>
            </w:r>
          </w:p>
        </w:tc>
        <w:tc>
          <w:tcPr>
            <w:tcW w:w="1276" w:type="dxa"/>
            <w:tcBorders>
              <w:top w:val="single" w:sz="8" w:space="0" w:color="auto"/>
              <w:left w:val="nil"/>
              <w:bottom w:val="single" w:sz="8" w:space="0" w:color="auto"/>
              <w:right w:val="single" w:sz="4" w:space="0" w:color="auto"/>
            </w:tcBorders>
            <w:shd w:val="clear" w:color="auto" w:fill="auto"/>
            <w:noWrap/>
            <w:vAlign w:val="bottom"/>
            <w:hideMark/>
          </w:tcPr>
          <w:p w14:paraId="6E000A86" w14:textId="77777777" w:rsidR="00960E88" w:rsidRPr="00960E88" w:rsidRDefault="00960E88" w:rsidP="00960E88">
            <w:pPr>
              <w:spacing w:after="0" w:line="240" w:lineRule="auto"/>
              <w:jc w:val="right"/>
              <w:rPr>
                <w:rFonts w:ascii="Calibri" w:eastAsia="Times New Roman" w:hAnsi="Calibri" w:cs="Arial"/>
                <w:b/>
                <w:bCs/>
                <w:sz w:val="20"/>
                <w:szCs w:val="20"/>
                <w:lang w:eastAsia="cs-CZ"/>
              </w:rPr>
            </w:pPr>
            <w:r w:rsidRPr="00960E88">
              <w:rPr>
                <w:rFonts w:ascii="Calibri" w:eastAsia="Times New Roman" w:hAnsi="Calibri" w:cs="Arial"/>
                <w:b/>
                <w:bCs/>
                <w:sz w:val="20"/>
                <w:szCs w:val="20"/>
                <w:lang w:eastAsia="cs-CZ"/>
              </w:rPr>
              <w:t>0</w:t>
            </w:r>
          </w:p>
        </w:tc>
        <w:tc>
          <w:tcPr>
            <w:tcW w:w="1559" w:type="dxa"/>
            <w:tcBorders>
              <w:top w:val="single" w:sz="8" w:space="0" w:color="auto"/>
              <w:left w:val="nil"/>
              <w:bottom w:val="single" w:sz="8" w:space="0" w:color="auto"/>
              <w:right w:val="single" w:sz="4" w:space="0" w:color="auto"/>
            </w:tcBorders>
            <w:shd w:val="clear" w:color="auto" w:fill="auto"/>
            <w:noWrap/>
            <w:vAlign w:val="bottom"/>
            <w:hideMark/>
          </w:tcPr>
          <w:p w14:paraId="12A0AF64" w14:textId="77777777" w:rsidR="00960E88" w:rsidRPr="00960E88" w:rsidRDefault="00960E88" w:rsidP="00960E88">
            <w:pPr>
              <w:spacing w:after="0" w:line="240" w:lineRule="auto"/>
              <w:jc w:val="right"/>
              <w:rPr>
                <w:rFonts w:ascii="Calibri" w:eastAsia="Times New Roman" w:hAnsi="Calibri" w:cs="Arial"/>
                <w:b/>
                <w:bCs/>
                <w:lang w:eastAsia="cs-CZ"/>
              </w:rPr>
            </w:pPr>
            <w:r w:rsidRPr="00960E88">
              <w:rPr>
                <w:rFonts w:ascii="Calibri" w:eastAsia="Times New Roman" w:hAnsi="Calibri" w:cs="Arial"/>
                <w:b/>
                <w:bCs/>
                <w:lang w:eastAsia="cs-CZ"/>
              </w:rPr>
              <w:t>25 549 936,66</w:t>
            </w:r>
          </w:p>
        </w:tc>
        <w:tc>
          <w:tcPr>
            <w:tcW w:w="1559" w:type="dxa"/>
            <w:tcBorders>
              <w:top w:val="single" w:sz="8" w:space="0" w:color="auto"/>
              <w:left w:val="nil"/>
              <w:bottom w:val="single" w:sz="8" w:space="0" w:color="auto"/>
              <w:right w:val="single" w:sz="4" w:space="0" w:color="auto"/>
            </w:tcBorders>
            <w:shd w:val="clear" w:color="auto" w:fill="auto"/>
            <w:noWrap/>
            <w:vAlign w:val="bottom"/>
            <w:hideMark/>
          </w:tcPr>
          <w:p w14:paraId="39755AC8" w14:textId="77777777" w:rsidR="00960E88" w:rsidRPr="00960E88" w:rsidRDefault="00960E88" w:rsidP="00960E88">
            <w:pPr>
              <w:spacing w:after="0" w:line="240" w:lineRule="auto"/>
              <w:jc w:val="right"/>
              <w:rPr>
                <w:rFonts w:ascii="Calibri" w:eastAsia="Times New Roman" w:hAnsi="Calibri" w:cs="Arial"/>
                <w:b/>
                <w:bCs/>
                <w:lang w:eastAsia="cs-CZ"/>
              </w:rPr>
            </w:pPr>
            <w:r w:rsidRPr="00960E88">
              <w:rPr>
                <w:rFonts w:ascii="Calibri" w:eastAsia="Times New Roman" w:hAnsi="Calibri" w:cs="Arial"/>
                <w:b/>
                <w:bCs/>
                <w:lang w:eastAsia="cs-CZ"/>
              </w:rPr>
              <w:t>14 622 558,25</w:t>
            </w:r>
          </w:p>
        </w:tc>
        <w:tc>
          <w:tcPr>
            <w:tcW w:w="737" w:type="dxa"/>
            <w:tcBorders>
              <w:top w:val="nil"/>
              <w:left w:val="nil"/>
              <w:bottom w:val="single" w:sz="8" w:space="0" w:color="auto"/>
              <w:right w:val="single" w:sz="8" w:space="0" w:color="auto"/>
            </w:tcBorders>
            <w:shd w:val="clear" w:color="000000" w:fill="FFFFFF"/>
            <w:noWrap/>
            <w:vAlign w:val="bottom"/>
            <w:hideMark/>
          </w:tcPr>
          <w:p w14:paraId="6628811F" w14:textId="77777777" w:rsidR="00960E88" w:rsidRPr="00960E88" w:rsidRDefault="00960E88" w:rsidP="00960E88">
            <w:pPr>
              <w:spacing w:after="0" w:line="240" w:lineRule="auto"/>
              <w:jc w:val="right"/>
              <w:rPr>
                <w:rFonts w:ascii="Calibri" w:eastAsia="Times New Roman" w:hAnsi="Calibri" w:cs="Arial"/>
                <w:b/>
                <w:bCs/>
                <w:lang w:eastAsia="cs-CZ"/>
              </w:rPr>
            </w:pPr>
            <w:r w:rsidRPr="00960E88">
              <w:rPr>
                <w:rFonts w:ascii="Calibri" w:eastAsia="Times New Roman" w:hAnsi="Calibri" w:cs="Arial"/>
                <w:b/>
                <w:bCs/>
                <w:lang w:eastAsia="cs-CZ"/>
              </w:rPr>
              <w:t>57,2</w:t>
            </w:r>
          </w:p>
        </w:tc>
      </w:tr>
      <w:tr w:rsidR="00960E88" w:rsidRPr="00960E88" w14:paraId="0623DB79" w14:textId="77777777" w:rsidTr="00960E88">
        <w:trPr>
          <w:trHeight w:val="260"/>
        </w:trPr>
        <w:tc>
          <w:tcPr>
            <w:tcW w:w="826" w:type="dxa"/>
            <w:tcBorders>
              <w:top w:val="nil"/>
              <w:left w:val="nil"/>
              <w:bottom w:val="nil"/>
              <w:right w:val="nil"/>
            </w:tcBorders>
            <w:shd w:val="clear" w:color="auto" w:fill="auto"/>
            <w:noWrap/>
            <w:vAlign w:val="bottom"/>
            <w:hideMark/>
          </w:tcPr>
          <w:p w14:paraId="68D6BA82" w14:textId="77777777" w:rsidR="00960E88" w:rsidRPr="00960E88" w:rsidRDefault="00960E88" w:rsidP="00960E88">
            <w:pPr>
              <w:spacing w:after="0" w:line="240" w:lineRule="auto"/>
              <w:jc w:val="right"/>
              <w:rPr>
                <w:rFonts w:ascii="Calibri" w:eastAsia="Times New Roman" w:hAnsi="Calibri" w:cs="Arial"/>
                <w:b/>
                <w:bCs/>
                <w:lang w:eastAsia="cs-CZ"/>
              </w:rPr>
            </w:pPr>
          </w:p>
        </w:tc>
        <w:tc>
          <w:tcPr>
            <w:tcW w:w="3994" w:type="dxa"/>
            <w:tcBorders>
              <w:top w:val="nil"/>
              <w:left w:val="nil"/>
              <w:bottom w:val="nil"/>
              <w:right w:val="nil"/>
            </w:tcBorders>
            <w:shd w:val="clear" w:color="auto" w:fill="auto"/>
            <w:noWrap/>
            <w:vAlign w:val="bottom"/>
            <w:hideMark/>
          </w:tcPr>
          <w:p w14:paraId="10BDF0F6" w14:textId="77777777" w:rsidR="00960E88" w:rsidRPr="00960E88" w:rsidRDefault="00960E88" w:rsidP="00960E88">
            <w:pPr>
              <w:spacing w:after="0" w:line="240" w:lineRule="auto"/>
              <w:rPr>
                <w:rFonts w:ascii="Times New Roman" w:eastAsia="Times New Roman" w:hAnsi="Times New Roman" w:cs="Times New Roman"/>
                <w:sz w:val="20"/>
                <w:szCs w:val="20"/>
                <w:lang w:eastAsia="cs-CZ"/>
              </w:rPr>
            </w:pPr>
          </w:p>
        </w:tc>
        <w:tc>
          <w:tcPr>
            <w:tcW w:w="1276" w:type="dxa"/>
            <w:tcBorders>
              <w:top w:val="nil"/>
              <w:left w:val="nil"/>
              <w:bottom w:val="nil"/>
              <w:right w:val="nil"/>
            </w:tcBorders>
            <w:shd w:val="clear" w:color="auto" w:fill="auto"/>
            <w:noWrap/>
            <w:vAlign w:val="bottom"/>
            <w:hideMark/>
          </w:tcPr>
          <w:p w14:paraId="61D1B7C6" w14:textId="77777777" w:rsidR="00960E88" w:rsidRPr="00960E88" w:rsidRDefault="00960E88" w:rsidP="00960E88">
            <w:pPr>
              <w:spacing w:after="0" w:line="240" w:lineRule="auto"/>
              <w:rPr>
                <w:rFonts w:ascii="Times New Roman" w:eastAsia="Times New Roman" w:hAnsi="Times New Roman" w:cs="Times New Roman"/>
                <w:sz w:val="20"/>
                <w:szCs w:val="20"/>
                <w:lang w:eastAsia="cs-CZ"/>
              </w:rPr>
            </w:pPr>
          </w:p>
        </w:tc>
        <w:tc>
          <w:tcPr>
            <w:tcW w:w="1559" w:type="dxa"/>
            <w:tcBorders>
              <w:top w:val="nil"/>
              <w:left w:val="nil"/>
              <w:bottom w:val="nil"/>
              <w:right w:val="nil"/>
            </w:tcBorders>
            <w:shd w:val="clear" w:color="auto" w:fill="auto"/>
            <w:noWrap/>
            <w:vAlign w:val="bottom"/>
            <w:hideMark/>
          </w:tcPr>
          <w:p w14:paraId="45841FCA" w14:textId="77777777" w:rsidR="00960E88" w:rsidRPr="00960E88" w:rsidRDefault="00960E88" w:rsidP="00960E88">
            <w:pPr>
              <w:spacing w:after="0" w:line="240" w:lineRule="auto"/>
              <w:rPr>
                <w:rFonts w:ascii="Times New Roman" w:eastAsia="Times New Roman" w:hAnsi="Times New Roman" w:cs="Times New Roman"/>
                <w:sz w:val="20"/>
                <w:szCs w:val="20"/>
                <w:lang w:eastAsia="cs-CZ"/>
              </w:rPr>
            </w:pPr>
          </w:p>
        </w:tc>
        <w:tc>
          <w:tcPr>
            <w:tcW w:w="1559" w:type="dxa"/>
            <w:tcBorders>
              <w:top w:val="nil"/>
              <w:left w:val="nil"/>
              <w:bottom w:val="nil"/>
              <w:right w:val="nil"/>
            </w:tcBorders>
            <w:shd w:val="clear" w:color="auto" w:fill="auto"/>
            <w:noWrap/>
            <w:vAlign w:val="bottom"/>
            <w:hideMark/>
          </w:tcPr>
          <w:p w14:paraId="78C461B2" w14:textId="77777777" w:rsidR="00960E88" w:rsidRPr="00960E88" w:rsidRDefault="00960E88" w:rsidP="00960E88">
            <w:pPr>
              <w:spacing w:after="0" w:line="240" w:lineRule="auto"/>
              <w:rPr>
                <w:rFonts w:ascii="Times New Roman" w:eastAsia="Times New Roman" w:hAnsi="Times New Roman" w:cs="Times New Roman"/>
                <w:sz w:val="20"/>
                <w:szCs w:val="20"/>
                <w:lang w:eastAsia="cs-CZ"/>
              </w:rPr>
            </w:pPr>
          </w:p>
        </w:tc>
        <w:tc>
          <w:tcPr>
            <w:tcW w:w="737" w:type="dxa"/>
            <w:tcBorders>
              <w:top w:val="nil"/>
              <w:left w:val="nil"/>
              <w:bottom w:val="nil"/>
              <w:right w:val="nil"/>
            </w:tcBorders>
            <w:shd w:val="clear" w:color="auto" w:fill="auto"/>
            <w:noWrap/>
            <w:vAlign w:val="bottom"/>
            <w:hideMark/>
          </w:tcPr>
          <w:p w14:paraId="20E4D749" w14:textId="77777777" w:rsidR="00960E88" w:rsidRPr="00960E88" w:rsidRDefault="00960E88" w:rsidP="00960E88">
            <w:pPr>
              <w:spacing w:after="0" w:line="240" w:lineRule="auto"/>
              <w:rPr>
                <w:rFonts w:ascii="Times New Roman" w:eastAsia="Times New Roman" w:hAnsi="Times New Roman" w:cs="Times New Roman"/>
                <w:sz w:val="20"/>
                <w:szCs w:val="20"/>
                <w:lang w:eastAsia="cs-CZ"/>
              </w:rPr>
            </w:pPr>
          </w:p>
        </w:tc>
      </w:tr>
      <w:tr w:rsidR="00960E88" w:rsidRPr="00960E88" w14:paraId="2494381B" w14:textId="77777777" w:rsidTr="00960E88">
        <w:trPr>
          <w:trHeight w:val="300"/>
        </w:trPr>
        <w:tc>
          <w:tcPr>
            <w:tcW w:w="826" w:type="dxa"/>
            <w:tcBorders>
              <w:top w:val="nil"/>
              <w:left w:val="nil"/>
              <w:bottom w:val="nil"/>
              <w:right w:val="nil"/>
            </w:tcBorders>
            <w:shd w:val="clear" w:color="auto" w:fill="auto"/>
            <w:noWrap/>
            <w:vAlign w:val="bottom"/>
            <w:hideMark/>
          </w:tcPr>
          <w:p w14:paraId="28A75D2B" w14:textId="77777777" w:rsidR="00960E88" w:rsidRPr="00960E88" w:rsidRDefault="00960E88" w:rsidP="00960E88">
            <w:pPr>
              <w:spacing w:after="0" w:line="240" w:lineRule="auto"/>
              <w:rPr>
                <w:rFonts w:ascii="Times New Roman" w:eastAsia="Times New Roman" w:hAnsi="Times New Roman" w:cs="Times New Roman"/>
                <w:sz w:val="20"/>
                <w:szCs w:val="20"/>
                <w:lang w:eastAsia="cs-CZ"/>
              </w:rPr>
            </w:pPr>
          </w:p>
        </w:tc>
        <w:tc>
          <w:tcPr>
            <w:tcW w:w="3994" w:type="dxa"/>
            <w:tcBorders>
              <w:top w:val="nil"/>
              <w:left w:val="nil"/>
              <w:bottom w:val="nil"/>
              <w:right w:val="nil"/>
            </w:tcBorders>
            <w:shd w:val="clear" w:color="auto" w:fill="auto"/>
            <w:noWrap/>
            <w:vAlign w:val="bottom"/>
            <w:hideMark/>
          </w:tcPr>
          <w:p w14:paraId="37ADF48B" w14:textId="77777777" w:rsidR="00960E88" w:rsidRPr="00960E88" w:rsidRDefault="00960E88" w:rsidP="00960E88">
            <w:pPr>
              <w:spacing w:after="0" w:line="240" w:lineRule="auto"/>
              <w:rPr>
                <w:rFonts w:ascii="Calibri" w:eastAsia="Times New Roman" w:hAnsi="Calibri" w:cs="Arial"/>
                <w:b/>
                <w:bCs/>
                <w:lang w:eastAsia="cs-CZ"/>
              </w:rPr>
            </w:pPr>
            <w:r w:rsidRPr="00960E88">
              <w:rPr>
                <w:rFonts w:ascii="Calibri" w:eastAsia="Times New Roman" w:hAnsi="Calibri" w:cs="Arial"/>
                <w:b/>
                <w:bCs/>
                <w:lang w:eastAsia="cs-CZ"/>
              </w:rPr>
              <w:t>Kapitálové výdaje</w:t>
            </w:r>
          </w:p>
        </w:tc>
        <w:tc>
          <w:tcPr>
            <w:tcW w:w="1276" w:type="dxa"/>
            <w:tcBorders>
              <w:top w:val="nil"/>
              <w:left w:val="nil"/>
              <w:bottom w:val="nil"/>
              <w:right w:val="nil"/>
            </w:tcBorders>
            <w:shd w:val="clear" w:color="auto" w:fill="auto"/>
            <w:noWrap/>
            <w:vAlign w:val="bottom"/>
            <w:hideMark/>
          </w:tcPr>
          <w:p w14:paraId="278B3BA2" w14:textId="77777777" w:rsidR="00960E88" w:rsidRPr="00960E88" w:rsidRDefault="00960E88" w:rsidP="00960E88">
            <w:pPr>
              <w:spacing w:after="0" w:line="240" w:lineRule="auto"/>
              <w:rPr>
                <w:rFonts w:ascii="Calibri" w:eastAsia="Times New Roman" w:hAnsi="Calibri" w:cs="Arial"/>
                <w:b/>
                <w:bCs/>
                <w:lang w:eastAsia="cs-CZ"/>
              </w:rPr>
            </w:pPr>
          </w:p>
        </w:tc>
        <w:tc>
          <w:tcPr>
            <w:tcW w:w="1559" w:type="dxa"/>
            <w:tcBorders>
              <w:top w:val="nil"/>
              <w:left w:val="nil"/>
              <w:bottom w:val="nil"/>
              <w:right w:val="nil"/>
            </w:tcBorders>
            <w:shd w:val="clear" w:color="auto" w:fill="auto"/>
            <w:noWrap/>
            <w:vAlign w:val="bottom"/>
            <w:hideMark/>
          </w:tcPr>
          <w:p w14:paraId="237B861A" w14:textId="77777777" w:rsidR="00960E88" w:rsidRPr="00960E88" w:rsidRDefault="00960E88" w:rsidP="00960E88">
            <w:pPr>
              <w:spacing w:after="0" w:line="240" w:lineRule="auto"/>
              <w:rPr>
                <w:rFonts w:ascii="Times New Roman" w:eastAsia="Times New Roman" w:hAnsi="Times New Roman" w:cs="Times New Roman"/>
                <w:sz w:val="20"/>
                <w:szCs w:val="20"/>
                <w:lang w:eastAsia="cs-CZ"/>
              </w:rPr>
            </w:pPr>
          </w:p>
        </w:tc>
        <w:tc>
          <w:tcPr>
            <w:tcW w:w="1559" w:type="dxa"/>
            <w:tcBorders>
              <w:top w:val="nil"/>
              <w:left w:val="nil"/>
              <w:bottom w:val="nil"/>
              <w:right w:val="nil"/>
            </w:tcBorders>
            <w:shd w:val="clear" w:color="auto" w:fill="auto"/>
            <w:noWrap/>
            <w:vAlign w:val="bottom"/>
            <w:hideMark/>
          </w:tcPr>
          <w:p w14:paraId="54D45B86" w14:textId="77777777" w:rsidR="00960E88" w:rsidRPr="00960E88" w:rsidRDefault="00960E88" w:rsidP="00960E88">
            <w:pPr>
              <w:spacing w:after="0" w:line="240" w:lineRule="auto"/>
              <w:rPr>
                <w:rFonts w:ascii="Times New Roman" w:eastAsia="Times New Roman" w:hAnsi="Times New Roman" w:cs="Times New Roman"/>
                <w:sz w:val="20"/>
                <w:szCs w:val="20"/>
                <w:lang w:eastAsia="cs-CZ"/>
              </w:rPr>
            </w:pPr>
          </w:p>
        </w:tc>
        <w:tc>
          <w:tcPr>
            <w:tcW w:w="737" w:type="dxa"/>
            <w:tcBorders>
              <w:top w:val="nil"/>
              <w:left w:val="nil"/>
              <w:bottom w:val="nil"/>
              <w:right w:val="nil"/>
            </w:tcBorders>
            <w:shd w:val="clear" w:color="auto" w:fill="auto"/>
            <w:noWrap/>
            <w:vAlign w:val="bottom"/>
            <w:hideMark/>
          </w:tcPr>
          <w:p w14:paraId="71C819D7" w14:textId="77777777" w:rsidR="00960E88" w:rsidRPr="00960E88" w:rsidRDefault="00960E88" w:rsidP="00960E88">
            <w:pPr>
              <w:spacing w:after="0" w:line="240" w:lineRule="auto"/>
              <w:jc w:val="right"/>
              <w:rPr>
                <w:rFonts w:ascii="Times New Roman" w:eastAsia="Times New Roman" w:hAnsi="Times New Roman" w:cs="Times New Roman"/>
                <w:sz w:val="20"/>
                <w:szCs w:val="20"/>
                <w:lang w:eastAsia="cs-CZ"/>
              </w:rPr>
            </w:pPr>
          </w:p>
        </w:tc>
      </w:tr>
      <w:tr w:rsidR="00960E88" w:rsidRPr="00960E88" w14:paraId="7221BCA5" w14:textId="77777777" w:rsidTr="00960E88">
        <w:trPr>
          <w:trHeight w:val="520"/>
        </w:trPr>
        <w:tc>
          <w:tcPr>
            <w:tcW w:w="826" w:type="dxa"/>
            <w:tcBorders>
              <w:top w:val="single" w:sz="8" w:space="0" w:color="auto"/>
              <w:left w:val="single" w:sz="8" w:space="0" w:color="auto"/>
              <w:bottom w:val="single" w:sz="4" w:space="0" w:color="auto"/>
              <w:right w:val="single" w:sz="4" w:space="0" w:color="auto"/>
            </w:tcBorders>
            <w:shd w:val="clear" w:color="000000" w:fill="FFFFFF"/>
            <w:vAlign w:val="bottom"/>
            <w:hideMark/>
          </w:tcPr>
          <w:p w14:paraId="653925F8" w14:textId="77777777" w:rsidR="00960E88" w:rsidRPr="00960E88" w:rsidRDefault="00960E88" w:rsidP="00960E88">
            <w:pPr>
              <w:spacing w:after="0" w:line="240" w:lineRule="auto"/>
              <w:jc w:val="center"/>
              <w:rPr>
                <w:rFonts w:ascii="Calibri" w:eastAsia="Times New Roman" w:hAnsi="Calibri" w:cs="Arial"/>
                <w:sz w:val="20"/>
                <w:szCs w:val="20"/>
                <w:lang w:eastAsia="cs-CZ"/>
              </w:rPr>
            </w:pPr>
            <w:r w:rsidRPr="00960E88">
              <w:rPr>
                <w:rFonts w:ascii="Calibri" w:eastAsia="Times New Roman" w:hAnsi="Calibri" w:cs="Arial"/>
                <w:sz w:val="20"/>
                <w:szCs w:val="20"/>
                <w:lang w:eastAsia="cs-CZ"/>
              </w:rPr>
              <w:t>2321</w:t>
            </w:r>
          </w:p>
        </w:tc>
        <w:tc>
          <w:tcPr>
            <w:tcW w:w="3994" w:type="dxa"/>
            <w:tcBorders>
              <w:top w:val="single" w:sz="8" w:space="0" w:color="auto"/>
              <w:left w:val="nil"/>
              <w:bottom w:val="single" w:sz="4" w:space="0" w:color="auto"/>
              <w:right w:val="single" w:sz="4" w:space="0" w:color="auto"/>
            </w:tcBorders>
            <w:shd w:val="clear" w:color="000000" w:fill="FFFFFF"/>
            <w:vAlign w:val="bottom"/>
            <w:hideMark/>
          </w:tcPr>
          <w:p w14:paraId="5C7283D8" w14:textId="77777777" w:rsidR="00960E88" w:rsidRPr="00960E88" w:rsidRDefault="00960E88" w:rsidP="00960E88">
            <w:pPr>
              <w:spacing w:after="0" w:line="240" w:lineRule="auto"/>
              <w:rPr>
                <w:rFonts w:ascii="Calibri" w:eastAsia="Times New Roman" w:hAnsi="Calibri" w:cs="Arial"/>
                <w:sz w:val="20"/>
                <w:szCs w:val="20"/>
                <w:lang w:eastAsia="cs-CZ"/>
              </w:rPr>
            </w:pPr>
            <w:r w:rsidRPr="00960E88">
              <w:rPr>
                <w:rFonts w:ascii="Calibri" w:eastAsia="Times New Roman" w:hAnsi="Calibri" w:cs="Arial"/>
                <w:sz w:val="20"/>
                <w:szCs w:val="20"/>
                <w:lang w:eastAsia="cs-CZ"/>
              </w:rPr>
              <w:t>Dotace obcím a městům na vodohospodářskou infrastrukturu</w:t>
            </w:r>
          </w:p>
        </w:tc>
        <w:tc>
          <w:tcPr>
            <w:tcW w:w="1276" w:type="dxa"/>
            <w:tcBorders>
              <w:top w:val="single" w:sz="8" w:space="0" w:color="auto"/>
              <w:left w:val="nil"/>
              <w:bottom w:val="single" w:sz="4" w:space="0" w:color="auto"/>
              <w:right w:val="single" w:sz="4" w:space="0" w:color="auto"/>
            </w:tcBorders>
            <w:shd w:val="clear" w:color="000000" w:fill="FFFFFF"/>
            <w:vAlign w:val="bottom"/>
            <w:hideMark/>
          </w:tcPr>
          <w:p w14:paraId="3038CCC3"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0</w:t>
            </w:r>
          </w:p>
        </w:tc>
        <w:tc>
          <w:tcPr>
            <w:tcW w:w="1559" w:type="dxa"/>
            <w:tcBorders>
              <w:top w:val="single" w:sz="8" w:space="0" w:color="auto"/>
              <w:left w:val="nil"/>
              <w:bottom w:val="single" w:sz="4" w:space="0" w:color="auto"/>
              <w:right w:val="single" w:sz="4" w:space="0" w:color="auto"/>
            </w:tcBorders>
            <w:shd w:val="clear" w:color="auto" w:fill="auto"/>
            <w:noWrap/>
            <w:vAlign w:val="bottom"/>
            <w:hideMark/>
          </w:tcPr>
          <w:p w14:paraId="0E141FC6"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3 000 000,00</w:t>
            </w:r>
          </w:p>
        </w:tc>
        <w:tc>
          <w:tcPr>
            <w:tcW w:w="1559" w:type="dxa"/>
            <w:tcBorders>
              <w:top w:val="single" w:sz="8" w:space="0" w:color="auto"/>
              <w:left w:val="nil"/>
              <w:bottom w:val="single" w:sz="4" w:space="0" w:color="auto"/>
              <w:right w:val="single" w:sz="4" w:space="0" w:color="auto"/>
            </w:tcBorders>
            <w:shd w:val="clear" w:color="auto" w:fill="auto"/>
            <w:noWrap/>
            <w:vAlign w:val="bottom"/>
            <w:hideMark/>
          </w:tcPr>
          <w:p w14:paraId="3513949F"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1 019 772,00</w:t>
            </w:r>
          </w:p>
        </w:tc>
        <w:tc>
          <w:tcPr>
            <w:tcW w:w="737" w:type="dxa"/>
            <w:tcBorders>
              <w:top w:val="single" w:sz="8" w:space="0" w:color="auto"/>
              <w:left w:val="nil"/>
              <w:bottom w:val="single" w:sz="4" w:space="0" w:color="auto"/>
              <w:right w:val="single" w:sz="8" w:space="0" w:color="auto"/>
            </w:tcBorders>
            <w:shd w:val="clear" w:color="auto" w:fill="auto"/>
            <w:noWrap/>
            <w:vAlign w:val="bottom"/>
            <w:hideMark/>
          </w:tcPr>
          <w:p w14:paraId="4B395940"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34,0</w:t>
            </w:r>
          </w:p>
        </w:tc>
      </w:tr>
      <w:tr w:rsidR="00960E88" w:rsidRPr="00960E88" w14:paraId="6B9F69FB" w14:textId="77777777" w:rsidTr="00960E88">
        <w:trPr>
          <w:trHeight w:val="270"/>
        </w:trPr>
        <w:tc>
          <w:tcPr>
            <w:tcW w:w="826" w:type="dxa"/>
            <w:tcBorders>
              <w:top w:val="nil"/>
              <w:left w:val="single" w:sz="8" w:space="0" w:color="auto"/>
              <w:bottom w:val="nil"/>
              <w:right w:val="single" w:sz="4" w:space="0" w:color="auto"/>
            </w:tcBorders>
            <w:shd w:val="clear" w:color="000000" w:fill="FFFFFF"/>
            <w:vAlign w:val="bottom"/>
            <w:hideMark/>
          </w:tcPr>
          <w:p w14:paraId="134F0253" w14:textId="77777777" w:rsidR="00960E88" w:rsidRPr="00960E88" w:rsidRDefault="00960E88" w:rsidP="00960E88">
            <w:pPr>
              <w:spacing w:after="0" w:line="240" w:lineRule="auto"/>
              <w:jc w:val="center"/>
              <w:rPr>
                <w:rFonts w:ascii="Calibri" w:eastAsia="Times New Roman" w:hAnsi="Calibri" w:cs="Arial"/>
                <w:sz w:val="20"/>
                <w:szCs w:val="20"/>
                <w:lang w:eastAsia="cs-CZ"/>
              </w:rPr>
            </w:pPr>
            <w:r w:rsidRPr="00960E88">
              <w:rPr>
                <w:rFonts w:ascii="Calibri" w:eastAsia="Times New Roman" w:hAnsi="Calibri" w:cs="Arial"/>
                <w:sz w:val="20"/>
                <w:szCs w:val="20"/>
                <w:lang w:eastAsia="cs-CZ"/>
              </w:rPr>
              <w:t>3792</w:t>
            </w:r>
          </w:p>
        </w:tc>
        <w:tc>
          <w:tcPr>
            <w:tcW w:w="3994" w:type="dxa"/>
            <w:tcBorders>
              <w:top w:val="nil"/>
              <w:left w:val="nil"/>
              <w:bottom w:val="single" w:sz="4" w:space="0" w:color="auto"/>
              <w:right w:val="single" w:sz="4" w:space="0" w:color="auto"/>
            </w:tcBorders>
            <w:shd w:val="clear" w:color="auto" w:fill="auto"/>
            <w:noWrap/>
            <w:vAlign w:val="bottom"/>
            <w:hideMark/>
          </w:tcPr>
          <w:p w14:paraId="5918F1B5" w14:textId="77777777" w:rsidR="00960E88" w:rsidRPr="00960E88" w:rsidRDefault="00960E88" w:rsidP="00960E88">
            <w:pPr>
              <w:spacing w:after="0" w:line="240" w:lineRule="auto"/>
              <w:rPr>
                <w:rFonts w:ascii="Calibri" w:eastAsia="Times New Roman" w:hAnsi="Calibri" w:cs="Arial"/>
                <w:sz w:val="20"/>
                <w:szCs w:val="20"/>
                <w:lang w:eastAsia="cs-CZ"/>
              </w:rPr>
            </w:pPr>
            <w:r w:rsidRPr="00960E88">
              <w:rPr>
                <w:rFonts w:ascii="Calibri" w:eastAsia="Times New Roman" w:hAnsi="Calibri" w:cs="Arial"/>
                <w:sz w:val="20"/>
                <w:szCs w:val="20"/>
                <w:lang w:eastAsia="cs-CZ"/>
              </w:rPr>
              <w:t>Ekologická výchova a osvěta</w:t>
            </w:r>
          </w:p>
        </w:tc>
        <w:tc>
          <w:tcPr>
            <w:tcW w:w="1276" w:type="dxa"/>
            <w:tcBorders>
              <w:top w:val="nil"/>
              <w:left w:val="nil"/>
              <w:bottom w:val="nil"/>
              <w:right w:val="single" w:sz="4" w:space="0" w:color="auto"/>
            </w:tcBorders>
            <w:shd w:val="clear" w:color="000000" w:fill="FFFFFF"/>
            <w:vAlign w:val="bottom"/>
            <w:hideMark/>
          </w:tcPr>
          <w:p w14:paraId="2CFD9881"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0</w:t>
            </w:r>
          </w:p>
        </w:tc>
        <w:tc>
          <w:tcPr>
            <w:tcW w:w="1559" w:type="dxa"/>
            <w:tcBorders>
              <w:top w:val="nil"/>
              <w:left w:val="nil"/>
              <w:bottom w:val="nil"/>
              <w:right w:val="single" w:sz="4" w:space="0" w:color="auto"/>
            </w:tcBorders>
            <w:shd w:val="clear" w:color="auto" w:fill="auto"/>
            <w:noWrap/>
            <w:vAlign w:val="bottom"/>
            <w:hideMark/>
          </w:tcPr>
          <w:p w14:paraId="17D047FC"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1 321 970,00</w:t>
            </w:r>
          </w:p>
        </w:tc>
        <w:tc>
          <w:tcPr>
            <w:tcW w:w="1559" w:type="dxa"/>
            <w:tcBorders>
              <w:top w:val="nil"/>
              <w:left w:val="nil"/>
              <w:bottom w:val="nil"/>
              <w:right w:val="single" w:sz="4" w:space="0" w:color="auto"/>
            </w:tcBorders>
            <w:shd w:val="clear" w:color="auto" w:fill="auto"/>
            <w:noWrap/>
            <w:vAlign w:val="bottom"/>
            <w:hideMark/>
          </w:tcPr>
          <w:p w14:paraId="2C664E16"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1 321 970,00</w:t>
            </w:r>
          </w:p>
        </w:tc>
        <w:tc>
          <w:tcPr>
            <w:tcW w:w="737" w:type="dxa"/>
            <w:tcBorders>
              <w:top w:val="nil"/>
              <w:left w:val="nil"/>
              <w:bottom w:val="nil"/>
              <w:right w:val="single" w:sz="8" w:space="0" w:color="auto"/>
            </w:tcBorders>
            <w:shd w:val="clear" w:color="auto" w:fill="auto"/>
            <w:noWrap/>
            <w:vAlign w:val="bottom"/>
            <w:hideMark/>
          </w:tcPr>
          <w:p w14:paraId="6BCE7D07"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100,0</w:t>
            </w:r>
          </w:p>
        </w:tc>
      </w:tr>
      <w:tr w:rsidR="00960E88" w:rsidRPr="00960E88" w14:paraId="4E3E79CC" w14:textId="77777777" w:rsidTr="00960E88">
        <w:trPr>
          <w:trHeight w:val="300"/>
        </w:trPr>
        <w:tc>
          <w:tcPr>
            <w:tcW w:w="826"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5DB1A683" w14:textId="77777777" w:rsidR="00960E88" w:rsidRPr="00960E88" w:rsidRDefault="00960E88" w:rsidP="00960E88">
            <w:pPr>
              <w:spacing w:after="0" w:line="240" w:lineRule="auto"/>
              <w:rPr>
                <w:rFonts w:ascii="Calibri" w:eastAsia="Times New Roman" w:hAnsi="Calibri" w:cs="Arial"/>
                <w:lang w:eastAsia="cs-CZ"/>
              </w:rPr>
            </w:pPr>
            <w:r w:rsidRPr="00960E88">
              <w:rPr>
                <w:rFonts w:ascii="Calibri" w:eastAsia="Times New Roman" w:hAnsi="Calibri" w:cs="Arial"/>
                <w:lang w:eastAsia="cs-CZ"/>
              </w:rPr>
              <w:t> </w:t>
            </w:r>
          </w:p>
        </w:tc>
        <w:tc>
          <w:tcPr>
            <w:tcW w:w="3994" w:type="dxa"/>
            <w:tcBorders>
              <w:top w:val="single" w:sz="8" w:space="0" w:color="auto"/>
              <w:left w:val="nil"/>
              <w:bottom w:val="single" w:sz="8" w:space="0" w:color="auto"/>
              <w:right w:val="single" w:sz="4" w:space="0" w:color="auto"/>
            </w:tcBorders>
            <w:shd w:val="clear" w:color="auto" w:fill="auto"/>
            <w:noWrap/>
            <w:vAlign w:val="bottom"/>
            <w:hideMark/>
          </w:tcPr>
          <w:p w14:paraId="034DD1D3" w14:textId="77777777" w:rsidR="00960E88" w:rsidRPr="00960E88" w:rsidRDefault="00960E88" w:rsidP="00960E88">
            <w:pPr>
              <w:spacing w:after="0" w:line="240" w:lineRule="auto"/>
              <w:rPr>
                <w:rFonts w:ascii="Calibri" w:eastAsia="Times New Roman" w:hAnsi="Calibri" w:cs="Arial"/>
                <w:b/>
                <w:bCs/>
                <w:lang w:eastAsia="cs-CZ"/>
              </w:rPr>
            </w:pPr>
            <w:r w:rsidRPr="00960E88">
              <w:rPr>
                <w:rFonts w:ascii="Calibri" w:eastAsia="Times New Roman" w:hAnsi="Calibri" w:cs="Arial"/>
                <w:b/>
                <w:bCs/>
                <w:lang w:eastAsia="cs-CZ"/>
              </w:rPr>
              <w:t>Celkem</w:t>
            </w:r>
          </w:p>
        </w:tc>
        <w:tc>
          <w:tcPr>
            <w:tcW w:w="1276" w:type="dxa"/>
            <w:tcBorders>
              <w:top w:val="single" w:sz="8" w:space="0" w:color="auto"/>
              <w:left w:val="nil"/>
              <w:bottom w:val="single" w:sz="8" w:space="0" w:color="auto"/>
              <w:right w:val="single" w:sz="4" w:space="0" w:color="auto"/>
            </w:tcBorders>
            <w:shd w:val="clear" w:color="auto" w:fill="auto"/>
            <w:noWrap/>
            <w:vAlign w:val="bottom"/>
            <w:hideMark/>
          </w:tcPr>
          <w:p w14:paraId="5B774426" w14:textId="77777777" w:rsidR="00960E88" w:rsidRPr="00960E88" w:rsidRDefault="00960E88" w:rsidP="00960E88">
            <w:pPr>
              <w:spacing w:after="0" w:line="240" w:lineRule="auto"/>
              <w:jc w:val="right"/>
              <w:rPr>
                <w:rFonts w:ascii="Calibri" w:eastAsia="Times New Roman" w:hAnsi="Calibri" w:cs="Arial"/>
                <w:b/>
                <w:bCs/>
                <w:lang w:eastAsia="cs-CZ"/>
              </w:rPr>
            </w:pPr>
            <w:r w:rsidRPr="00960E88">
              <w:rPr>
                <w:rFonts w:ascii="Calibri" w:eastAsia="Times New Roman" w:hAnsi="Calibri" w:cs="Arial"/>
                <w:b/>
                <w:bCs/>
                <w:lang w:eastAsia="cs-CZ"/>
              </w:rPr>
              <w:t>0</w:t>
            </w:r>
          </w:p>
        </w:tc>
        <w:tc>
          <w:tcPr>
            <w:tcW w:w="1559" w:type="dxa"/>
            <w:tcBorders>
              <w:top w:val="single" w:sz="8" w:space="0" w:color="auto"/>
              <w:left w:val="nil"/>
              <w:bottom w:val="single" w:sz="8" w:space="0" w:color="auto"/>
              <w:right w:val="single" w:sz="4" w:space="0" w:color="auto"/>
            </w:tcBorders>
            <w:shd w:val="clear" w:color="auto" w:fill="auto"/>
            <w:noWrap/>
            <w:vAlign w:val="bottom"/>
            <w:hideMark/>
          </w:tcPr>
          <w:p w14:paraId="097E3E00" w14:textId="77777777" w:rsidR="00960E88" w:rsidRPr="00960E88" w:rsidRDefault="00960E88" w:rsidP="00960E88">
            <w:pPr>
              <w:spacing w:after="0" w:line="240" w:lineRule="auto"/>
              <w:jc w:val="right"/>
              <w:rPr>
                <w:rFonts w:ascii="Calibri" w:eastAsia="Times New Roman" w:hAnsi="Calibri" w:cs="Arial"/>
                <w:b/>
                <w:bCs/>
                <w:lang w:eastAsia="cs-CZ"/>
              </w:rPr>
            </w:pPr>
            <w:r w:rsidRPr="00960E88">
              <w:rPr>
                <w:rFonts w:ascii="Calibri" w:eastAsia="Times New Roman" w:hAnsi="Calibri" w:cs="Arial"/>
                <w:b/>
                <w:bCs/>
                <w:lang w:eastAsia="cs-CZ"/>
              </w:rPr>
              <w:t>4 321 970,00</w:t>
            </w:r>
          </w:p>
        </w:tc>
        <w:tc>
          <w:tcPr>
            <w:tcW w:w="1559" w:type="dxa"/>
            <w:tcBorders>
              <w:top w:val="single" w:sz="8" w:space="0" w:color="auto"/>
              <w:left w:val="nil"/>
              <w:bottom w:val="single" w:sz="8" w:space="0" w:color="auto"/>
              <w:right w:val="single" w:sz="4" w:space="0" w:color="auto"/>
            </w:tcBorders>
            <w:shd w:val="clear" w:color="auto" w:fill="auto"/>
            <w:noWrap/>
            <w:vAlign w:val="bottom"/>
            <w:hideMark/>
          </w:tcPr>
          <w:p w14:paraId="4B1D4876" w14:textId="77777777" w:rsidR="00960E88" w:rsidRPr="00960E88" w:rsidRDefault="00960E88" w:rsidP="00960E88">
            <w:pPr>
              <w:spacing w:after="0" w:line="240" w:lineRule="auto"/>
              <w:jc w:val="right"/>
              <w:rPr>
                <w:rFonts w:ascii="Calibri" w:eastAsia="Times New Roman" w:hAnsi="Calibri" w:cs="Arial"/>
                <w:b/>
                <w:bCs/>
                <w:lang w:eastAsia="cs-CZ"/>
              </w:rPr>
            </w:pPr>
            <w:r w:rsidRPr="00960E88">
              <w:rPr>
                <w:rFonts w:ascii="Calibri" w:eastAsia="Times New Roman" w:hAnsi="Calibri" w:cs="Arial"/>
                <w:b/>
                <w:bCs/>
                <w:lang w:eastAsia="cs-CZ"/>
              </w:rPr>
              <w:t>2 341 742,00</w:t>
            </w:r>
          </w:p>
        </w:tc>
        <w:tc>
          <w:tcPr>
            <w:tcW w:w="737" w:type="dxa"/>
            <w:tcBorders>
              <w:top w:val="single" w:sz="8" w:space="0" w:color="auto"/>
              <w:left w:val="nil"/>
              <w:bottom w:val="single" w:sz="8" w:space="0" w:color="auto"/>
              <w:right w:val="single" w:sz="8" w:space="0" w:color="auto"/>
            </w:tcBorders>
            <w:shd w:val="clear" w:color="auto" w:fill="auto"/>
            <w:noWrap/>
            <w:vAlign w:val="bottom"/>
            <w:hideMark/>
          </w:tcPr>
          <w:p w14:paraId="3D71B521" w14:textId="77777777" w:rsidR="00960E88" w:rsidRPr="00960E88" w:rsidRDefault="00960E88" w:rsidP="00960E88">
            <w:pPr>
              <w:spacing w:after="0" w:line="240" w:lineRule="auto"/>
              <w:jc w:val="right"/>
              <w:rPr>
                <w:rFonts w:ascii="Calibri" w:eastAsia="Times New Roman" w:hAnsi="Calibri" w:cs="Arial"/>
                <w:b/>
                <w:bCs/>
                <w:lang w:eastAsia="cs-CZ"/>
              </w:rPr>
            </w:pPr>
            <w:r w:rsidRPr="00960E88">
              <w:rPr>
                <w:rFonts w:ascii="Calibri" w:eastAsia="Times New Roman" w:hAnsi="Calibri" w:cs="Arial"/>
                <w:b/>
                <w:bCs/>
                <w:lang w:eastAsia="cs-CZ"/>
              </w:rPr>
              <w:t>54,2</w:t>
            </w:r>
          </w:p>
        </w:tc>
      </w:tr>
      <w:tr w:rsidR="00960E88" w:rsidRPr="00960E88" w14:paraId="6542DE2A" w14:textId="77777777" w:rsidTr="00960E88">
        <w:trPr>
          <w:trHeight w:val="310"/>
        </w:trPr>
        <w:tc>
          <w:tcPr>
            <w:tcW w:w="826" w:type="dxa"/>
            <w:tcBorders>
              <w:top w:val="nil"/>
              <w:left w:val="nil"/>
              <w:bottom w:val="nil"/>
              <w:right w:val="nil"/>
            </w:tcBorders>
            <w:shd w:val="clear" w:color="auto" w:fill="auto"/>
            <w:noWrap/>
            <w:vAlign w:val="bottom"/>
            <w:hideMark/>
          </w:tcPr>
          <w:p w14:paraId="4DD35389" w14:textId="77777777" w:rsidR="00960E88" w:rsidRPr="00960E88" w:rsidRDefault="00960E88" w:rsidP="00960E88">
            <w:pPr>
              <w:spacing w:after="0" w:line="240" w:lineRule="auto"/>
              <w:jc w:val="right"/>
              <w:rPr>
                <w:rFonts w:ascii="Calibri" w:eastAsia="Times New Roman" w:hAnsi="Calibri" w:cs="Arial"/>
                <w:b/>
                <w:bCs/>
                <w:lang w:eastAsia="cs-CZ"/>
              </w:rPr>
            </w:pPr>
          </w:p>
        </w:tc>
        <w:tc>
          <w:tcPr>
            <w:tcW w:w="3994" w:type="dxa"/>
            <w:tcBorders>
              <w:top w:val="nil"/>
              <w:left w:val="nil"/>
              <w:bottom w:val="nil"/>
              <w:right w:val="nil"/>
            </w:tcBorders>
            <w:shd w:val="clear" w:color="auto" w:fill="auto"/>
            <w:noWrap/>
            <w:vAlign w:val="bottom"/>
            <w:hideMark/>
          </w:tcPr>
          <w:p w14:paraId="3F389319" w14:textId="77777777" w:rsidR="00960E88" w:rsidRPr="00960E88" w:rsidRDefault="00960E88" w:rsidP="00960E88">
            <w:pPr>
              <w:spacing w:after="0" w:line="240" w:lineRule="auto"/>
              <w:rPr>
                <w:rFonts w:ascii="Times New Roman" w:eastAsia="Times New Roman" w:hAnsi="Times New Roman" w:cs="Times New Roman"/>
                <w:sz w:val="20"/>
                <w:szCs w:val="20"/>
                <w:lang w:eastAsia="cs-CZ"/>
              </w:rPr>
            </w:pPr>
          </w:p>
        </w:tc>
        <w:tc>
          <w:tcPr>
            <w:tcW w:w="1276" w:type="dxa"/>
            <w:tcBorders>
              <w:top w:val="nil"/>
              <w:left w:val="nil"/>
              <w:bottom w:val="nil"/>
              <w:right w:val="nil"/>
            </w:tcBorders>
            <w:shd w:val="clear" w:color="auto" w:fill="auto"/>
            <w:noWrap/>
            <w:vAlign w:val="bottom"/>
            <w:hideMark/>
          </w:tcPr>
          <w:p w14:paraId="7870083C" w14:textId="77777777" w:rsidR="00960E88" w:rsidRPr="00960E88" w:rsidRDefault="00960E88" w:rsidP="00960E88">
            <w:pPr>
              <w:spacing w:after="0" w:line="240" w:lineRule="auto"/>
              <w:rPr>
                <w:rFonts w:ascii="Times New Roman" w:eastAsia="Times New Roman" w:hAnsi="Times New Roman" w:cs="Times New Roman"/>
                <w:sz w:val="20"/>
                <w:szCs w:val="20"/>
                <w:lang w:eastAsia="cs-CZ"/>
              </w:rPr>
            </w:pPr>
          </w:p>
        </w:tc>
        <w:tc>
          <w:tcPr>
            <w:tcW w:w="1559" w:type="dxa"/>
            <w:tcBorders>
              <w:top w:val="nil"/>
              <w:left w:val="nil"/>
              <w:bottom w:val="nil"/>
              <w:right w:val="nil"/>
            </w:tcBorders>
            <w:shd w:val="clear" w:color="auto" w:fill="auto"/>
            <w:noWrap/>
            <w:vAlign w:val="bottom"/>
            <w:hideMark/>
          </w:tcPr>
          <w:p w14:paraId="7CF8E40C" w14:textId="77777777" w:rsidR="00960E88" w:rsidRPr="00960E88" w:rsidRDefault="00960E88" w:rsidP="00960E88">
            <w:pPr>
              <w:spacing w:after="0" w:line="240" w:lineRule="auto"/>
              <w:jc w:val="right"/>
              <w:rPr>
                <w:rFonts w:ascii="Times New Roman" w:eastAsia="Times New Roman" w:hAnsi="Times New Roman" w:cs="Times New Roman"/>
                <w:sz w:val="20"/>
                <w:szCs w:val="20"/>
                <w:lang w:eastAsia="cs-CZ"/>
              </w:rPr>
            </w:pPr>
          </w:p>
        </w:tc>
        <w:tc>
          <w:tcPr>
            <w:tcW w:w="1559" w:type="dxa"/>
            <w:tcBorders>
              <w:top w:val="nil"/>
              <w:left w:val="nil"/>
              <w:bottom w:val="nil"/>
              <w:right w:val="nil"/>
            </w:tcBorders>
            <w:shd w:val="clear" w:color="auto" w:fill="auto"/>
            <w:noWrap/>
            <w:vAlign w:val="bottom"/>
            <w:hideMark/>
          </w:tcPr>
          <w:p w14:paraId="7351A31B" w14:textId="77777777" w:rsidR="00960E88" w:rsidRPr="00960E88" w:rsidRDefault="00960E88" w:rsidP="00960E88">
            <w:pPr>
              <w:spacing w:after="0" w:line="240" w:lineRule="auto"/>
              <w:jc w:val="right"/>
              <w:rPr>
                <w:rFonts w:ascii="Times New Roman" w:eastAsia="Times New Roman" w:hAnsi="Times New Roman" w:cs="Times New Roman"/>
                <w:sz w:val="20"/>
                <w:szCs w:val="20"/>
                <w:lang w:eastAsia="cs-CZ"/>
              </w:rPr>
            </w:pPr>
          </w:p>
        </w:tc>
        <w:tc>
          <w:tcPr>
            <w:tcW w:w="737" w:type="dxa"/>
            <w:tcBorders>
              <w:top w:val="nil"/>
              <w:left w:val="nil"/>
              <w:bottom w:val="nil"/>
              <w:right w:val="nil"/>
            </w:tcBorders>
            <w:shd w:val="clear" w:color="auto" w:fill="auto"/>
            <w:noWrap/>
            <w:vAlign w:val="bottom"/>
            <w:hideMark/>
          </w:tcPr>
          <w:p w14:paraId="1DEB41AA" w14:textId="77777777" w:rsidR="00960E88" w:rsidRPr="00960E88" w:rsidRDefault="00960E88" w:rsidP="00960E88">
            <w:pPr>
              <w:spacing w:after="0" w:line="240" w:lineRule="auto"/>
              <w:jc w:val="right"/>
              <w:rPr>
                <w:rFonts w:ascii="Times New Roman" w:eastAsia="Times New Roman" w:hAnsi="Times New Roman" w:cs="Times New Roman"/>
                <w:sz w:val="20"/>
                <w:szCs w:val="20"/>
                <w:lang w:eastAsia="cs-CZ"/>
              </w:rPr>
            </w:pPr>
          </w:p>
        </w:tc>
      </w:tr>
      <w:tr w:rsidR="00960E88" w:rsidRPr="00960E88" w14:paraId="6B3964B5" w14:textId="77777777" w:rsidTr="00960E88">
        <w:trPr>
          <w:trHeight w:val="300"/>
        </w:trPr>
        <w:tc>
          <w:tcPr>
            <w:tcW w:w="826" w:type="dxa"/>
            <w:tcBorders>
              <w:top w:val="nil"/>
              <w:left w:val="nil"/>
              <w:bottom w:val="single" w:sz="8" w:space="0" w:color="auto"/>
              <w:right w:val="nil"/>
            </w:tcBorders>
            <w:shd w:val="clear" w:color="auto" w:fill="auto"/>
            <w:noWrap/>
            <w:vAlign w:val="bottom"/>
            <w:hideMark/>
          </w:tcPr>
          <w:p w14:paraId="5151CF11" w14:textId="77777777" w:rsidR="00960E88" w:rsidRPr="00960E88" w:rsidRDefault="00960E88" w:rsidP="00960E88">
            <w:pPr>
              <w:spacing w:after="0" w:line="240" w:lineRule="auto"/>
              <w:jc w:val="center"/>
              <w:rPr>
                <w:rFonts w:ascii="Calibri" w:eastAsia="Times New Roman" w:hAnsi="Calibri" w:cs="Arial"/>
                <w:b/>
                <w:bCs/>
                <w:sz w:val="20"/>
                <w:szCs w:val="20"/>
                <w:lang w:eastAsia="cs-CZ"/>
              </w:rPr>
            </w:pPr>
            <w:r w:rsidRPr="00960E88">
              <w:rPr>
                <w:rFonts w:ascii="Calibri" w:eastAsia="Times New Roman" w:hAnsi="Calibri" w:cs="Arial"/>
                <w:b/>
                <w:bCs/>
                <w:sz w:val="20"/>
                <w:szCs w:val="20"/>
                <w:lang w:eastAsia="cs-CZ"/>
              </w:rPr>
              <w:t> </w:t>
            </w:r>
          </w:p>
        </w:tc>
        <w:tc>
          <w:tcPr>
            <w:tcW w:w="9125" w:type="dxa"/>
            <w:gridSpan w:val="5"/>
            <w:tcBorders>
              <w:top w:val="nil"/>
              <w:left w:val="nil"/>
              <w:bottom w:val="single" w:sz="8" w:space="0" w:color="auto"/>
              <w:right w:val="nil"/>
            </w:tcBorders>
            <w:shd w:val="clear" w:color="auto" w:fill="auto"/>
            <w:vAlign w:val="center"/>
            <w:hideMark/>
          </w:tcPr>
          <w:p w14:paraId="4A81A8E6" w14:textId="77777777" w:rsidR="00960E88" w:rsidRPr="00960E88" w:rsidRDefault="00960E88" w:rsidP="00960E88">
            <w:pPr>
              <w:spacing w:after="0" w:line="240" w:lineRule="auto"/>
              <w:rPr>
                <w:rFonts w:ascii="Calibri" w:eastAsia="Times New Roman" w:hAnsi="Calibri" w:cs="Arial"/>
                <w:b/>
                <w:bCs/>
                <w:lang w:eastAsia="cs-CZ"/>
              </w:rPr>
            </w:pPr>
            <w:r w:rsidRPr="00960E88">
              <w:rPr>
                <w:rFonts w:ascii="Calibri" w:eastAsia="Times New Roman" w:hAnsi="Calibri" w:cs="Arial"/>
                <w:b/>
                <w:bCs/>
                <w:lang w:eastAsia="cs-CZ"/>
              </w:rPr>
              <w:t>Předfinancování a kofinancování projektů spolufinancovaných z EU/EHP a ostatní související výdaje s projekty EU/EHP</w:t>
            </w:r>
          </w:p>
        </w:tc>
      </w:tr>
      <w:tr w:rsidR="00960E88" w:rsidRPr="00960E88" w14:paraId="4665AFBA" w14:textId="77777777" w:rsidTr="00960E88">
        <w:trPr>
          <w:trHeight w:val="260"/>
        </w:trPr>
        <w:tc>
          <w:tcPr>
            <w:tcW w:w="826" w:type="dxa"/>
            <w:tcBorders>
              <w:top w:val="single" w:sz="4" w:space="0" w:color="auto"/>
              <w:left w:val="single" w:sz="8" w:space="0" w:color="auto"/>
              <w:bottom w:val="single" w:sz="4" w:space="0" w:color="auto"/>
              <w:right w:val="single" w:sz="4" w:space="0" w:color="auto"/>
            </w:tcBorders>
            <w:shd w:val="clear" w:color="auto" w:fill="auto"/>
            <w:vAlign w:val="bottom"/>
            <w:hideMark/>
          </w:tcPr>
          <w:p w14:paraId="13D955D7" w14:textId="77777777" w:rsidR="00960E88" w:rsidRPr="00960E88" w:rsidRDefault="00960E88" w:rsidP="00960E88">
            <w:pPr>
              <w:spacing w:after="0" w:line="240" w:lineRule="auto"/>
              <w:jc w:val="center"/>
              <w:rPr>
                <w:rFonts w:ascii="Calibri" w:eastAsia="Times New Roman" w:hAnsi="Calibri" w:cs="Arial"/>
                <w:sz w:val="20"/>
                <w:szCs w:val="20"/>
                <w:lang w:eastAsia="cs-CZ"/>
              </w:rPr>
            </w:pPr>
            <w:r w:rsidRPr="00960E88">
              <w:rPr>
                <w:rFonts w:ascii="Calibri" w:eastAsia="Times New Roman" w:hAnsi="Calibri" w:cs="Arial"/>
                <w:sz w:val="20"/>
                <w:szCs w:val="20"/>
                <w:lang w:eastAsia="cs-CZ"/>
              </w:rPr>
              <w:t>3742</w:t>
            </w:r>
          </w:p>
        </w:tc>
        <w:tc>
          <w:tcPr>
            <w:tcW w:w="3994" w:type="dxa"/>
            <w:tcBorders>
              <w:top w:val="single" w:sz="4" w:space="0" w:color="auto"/>
              <w:left w:val="nil"/>
              <w:bottom w:val="single" w:sz="4" w:space="0" w:color="auto"/>
              <w:right w:val="single" w:sz="4" w:space="0" w:color="auto"/>
            </w:tcBorders>
            <w:shd w:val="clear" w:color="auto" w:fill="auto"/>
            <w:vAlign w:val="bottom"/>
            <w:hideMark/>
          </w:tcPr>
          <w:p w14:paraId="13BEC3BE" w14:textId="77777777" w:rsidR="00960E88" w:rsidRPr="00960E88" w:rsidRDefault="00960E88" w:rsidP="00960E88">
            <w:pPr>
              <w:spacing w:after="0" w:line="240" w:lineRule="auto"/>
              <w:rPr>
                <w:rFonts w:ascii="Calibri" w:eastAsia="Times New Roman" w:hAnsi="Calibri" w:cs="Arial"/>
                <w:color w:val="000000"/>
                <w:sz w:val="20"/>
                <w:szCs w:val="20"/>
                <w:lang w:eastAsia="cs-CZ"/>
              </w:rPr>
            </w:pPr>
            <w:r w:rsidRPr="00960E88">
              <w:rPr>
                <w:rFonts w:ascii="Calibri" w:eastAsia="Times New Roman" w:hAnsi="Calibri" w:cs="Arial"/>
                <w:color w:val="000000"/>
                <w:sz w:val="20"/>
                <w:szCs w:val="20"/>
                <w:lang w:eastAsia="cs-CZ"/>
              </w:rPr>
              <w:t>Odbahnění mokřadu (předfinancování)</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14:paraId="18681110"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0</w:t>
            </w:r>
          </w:p>
        </w:tc>
        <w:tc>
          <w:tcPr>
            <w:tcW w:w="1559" w:type="dxa"/>
            <w:tcBorders>
              <w:top w:val="single" w:sz="4" w:space="0" w:color="auto"/>
              <w:left w:val="nil"/>
              <w:bottom w:val="nil"/>
              <w:right w:val="single" w:sz="4" w:space="0" w:color="auto"/>
            </w:tcBorders>
            <w:shd w:val="clear" w:color="auto" w:fill="auto"/>
            <w:vAlign w:val="bottom"/>
            <w:hideMark/>
          </w:tcPr>
          <w:p w14:paraId="6B635FC3"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 xml:space="preserve"> 5 112 588,59    </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14:paraId="5E5DAA95"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5 112 588,59</w:t>
            </w:r>
          </w:p>
        </w:tc>
        <w:tc>
          <w:tcPr>
            <w:tcW w:w="737" w:type="dxa"/>
            <w:tcBorders>
              <w:top w:val="single" w:sz="4" w:space="0" w:color="auto"/>
              <w:left w:val="nil"/>
              <w:bottom w:val="nil"/>
              <w:right w:val="single" w:sz="8" w:space="0" w:color="auto"/>
            </w:tcBorders>
            <w:shd w:val="clear" w:color="auto" w:fill="auto"/>
            <w:vAlign w:val="bottom"/>
            <w:hideMark/>
          </w:tcPr>
          <w:p w14:paraId="4A6601F3"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100,0</w:t>
            </w:r>
          </w:p>
        </w:tc>
      </w:tr>
      <w:tr w:rsidR="00960E88" w:rsidRPr="00960E88" w14:paraId="0A3BAF27" w14:textId="77777777" w:rsidTr="00960E88">
        <w:trPr>
          <w:trHeight w:val="520"/>
        </w:trPr>
        <w:tc>
          <w:tcPr>
            <w:tcW w:w="826" w:type="dxa"/>
            <w:tcBorders>
              <w:top w:val="nil"/>
              <w:left w:val="single" w:sz="8" w:space="0" w:color="auto"/>
              <w:bottom w:val="nil"/>
              <w:right w:val="single" w:sz="4" w:space="0" w:color="auto"/>
            </w:tcBorders>
            <w:shd w:val="clear" w:color="auto" w:fill="auto"/>
            <w:vAlign w:val="bottom"/>
            <w:hideMark/>
          </w:tcPr>
          <w:p w14:paraId="4613545A" w14:textId="77777777" w:rsidR="00960E88" w:rsidRPr="00960E88" w:rsidRDefault="00960E88" w:rsidP="00960E88">
            <w:pPr>
              <w:spacing w:after="0" w:line="240" w:lineRule="auto"/>
              <w:jc w:val="center"/>
              <w:rPr>
                <w:rFonts w:ascii="Calibri" w:eastAsia="Times New Roman" w:hAnsi="Calibri" w:cs="Arial"/>
                <w:sz w:val="20"/>
                <w:szCs w:val="20"/>
                <w:lang w:eastAsia="cs-CZ"/>
              </w:rPr>
            </w:pPr>
            <w:r w:rsidRPr="00960E88">
              <w:rPr>
                <w:rFonts w:ascii="Calibri" w:eastAsia="Times New Roman" w:hAnsi="Calibri" w:cs="Arial"/>
                <w:sz w:val="20"/>
                <w:szCs w:val="20"/>
                <w:lang w:eastAsia="cs-CZ"/>
              </w:rPr>
              <w:t>3742</w:t>
            </w:r>
          </w:p>
        </w:tc>
        <w:tc>
          <w:tcPr>
            <w:tcW w:w="3994" w:type="dxa"/>
            <w:tcBorders>
              <w:top w:val="nil"/>
              <w:left w:val="nil"/>
              <w:bottom w:val="nil"/>
              <w:right w:val="single" w:sz="4" w:space="0" w:color="auto"/>
            </w:tcBorders>
            <w:shd w:val="clear" w:color="auto" w:fill="auto"/>
            <w:vAlign w:val="bottom"/>
            <w:hideMark/>
          </w:tcPr>
          <w:p w14:paraId="6E97DC1B" w14:textId="77777777" w:rsidR="00960E88" w:rsidRPr="00960E88" w:rsidRDefault="00960E88" w:rsidP="00960E88">
            <w:pPr>
              <w:spacing w:after="0" w:line="240" w:lineRule="auto"/>
              <w:rPr>
                <w:rFonts w:ascii="Calibri" w:eastAsia="Times New Roman" w:hAnsi="Calibri" w:cs="Arial"/>
                <w:color w:val="000000"/>
                <w:sz w:val="20"/>
                <w:szCs w:val="20"/>
                <w:lang w:eastAsia="cs-CZ"/>
              </w:rPr>
            </w:pPr>
            <w:r w:rsidRPr="00960E88">
              <w:rPr>
                <w:rFonts w:ascii="Calibri" w:eastAsia="Times New Roman" w:hAnsi="Calibri" w:cs="Arial"/>
                <w:color w:val="000000"/>
                <w:sz w:val="20"/>
                <w:szCs w:val="20"/>
                <w:lang w:eastAsia="cs-CZ"/>
              </w:rPr>
              <w:t>Management 4 lokalit soustavy Natura 2000 (předfinancování)</w:t>
            </w:r>
          </w:p>
        </w:tc>
        <w:tc>
          <w:tcPr>
            <w:tcW w:w="1276" w:type="dxa"/>
            <w:tcBorders>
              <w:top w:val="nil"/>
              <w:left w:val="nil"/>
              <w:bottom w:val="nil"/>
              <w:right w:val="single" w:sz="4" w:space="0" w:color="auto"/>
            </w:tcBorders>
            <w:shd w:val="clear" w:color="auto" w:fill="auto"/>
            <w:vAlign w:val="bottom"/>
            <w:hideMark/>
          </w:tcPr>
          <w:p w14:paraId="52E3E8BA"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0</w:t>
            </w:r>
          </w:p>
        </w:tc>
        <w:tc>
          <w:tcPr>
            <w:tcW w:w="1559" w:type="dxa"/>
            <w:tcBorders>
              <w:top w:val="single" w:sz="4" w:space="0" w:color="auto"/>
              <w:left w:val="nil"/>
              <w:bottom w:val="nil"/>
              <w:right w:val="single" w:sz="4" w:space="0" w:color="auto"/>
            </w:tcBorders>
            <w:shd w:val="clear" w:color="auto" w:fill="auto"/>
            <w:vAlign w:val="bottom"/>
            <w:hideMark/>
          </w:tcPr>
          <w:p w14:paraId="0C63F739"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 xml:space="preserve"> 1 378 281,46    </w:t>
            </w:r>
          </w:p>
        </w:tc>
        <w:tc>
          <w:tcPr>
            <w:tcW w:w="1559" w:type="dxa"/>
            <w:tcBorders>
              <w:top w:val="nil"/>
              <w:left w:val="nil"/>
              <w:bottom w:val="nil"/>
              <w:right w:val="single" w:sz="4" w:space="0" w:color="auto"/>
            </w:tcBorders>
            <w:shd w:val="clear" w:color="auto" w:fill="auto"/>
            <w:vAlign w:val="bottom"/>
            <w:hideMark/>
          </w:tcPr>
          <w:p w14:paraId="720FFC67"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1 127 232,48</w:t>
            </w:r>
          </w:p>
        </w:tc>
        <w:tc>
          <w:tcPr>
            <w:tcW w:w="737" w:type="dxa"/>
            <w:tcBorders>
              <w:top w:val="single" w:sz="4" w:space="0" w:color="auto"/>
              <w:left w:val="nil"/>
              <w:bottom w:val="nil"/>
              <w:right w:val="single" w:sz="8" w:space="0" w:color="auto"/>
            </w:tcBorders>
            <w:shd w:val="clear" w:color="auto" w:fill="auto"/>
            <w:vAlign w:val="bottom"/>
            <w:hideMark/>
          </w:tcPr>
          <w:p w14:paraId="6A52EC2F"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81,8</w:t>
            </w:r>
          </w:p>
        </w:tc>
      </w:tr>
      <w:tr w:rsidR="00960E88" w:rsidRPr="00960E88" w14:paraId="3C1EEDFE" w14:textId="77777777" w:rsidTr="00960E88">
        <w:trPr>
          <w:trHeight w:val="530"/>
        </w:trPr>
        <w:tc>
          <w:tcPr>
            <w:tcW w:w="826" w:type="dxa"/>
            <w:tcBorders>
              <w:top w:val="single" w:sz="4" w:space="0" w:color="auto"/>
              <w:left w:val="single" w:sz="8" w:space="0" w:color="auto"/>
              <w:bottom w:val="single" w:sz="8" w:space="0" w:color="auto"/>
              <w:right w:val="single" w:sz="4" w:space="0" w:color="auto"/>
            </w:tcBorders>
            <w:shd w:val="clear" w:color="auto" w:fill="auto"/>
            <w:vAlign w:val="bottom"/>
            <w:hideMark/>
          </w:tcPr>
          <w:p w14:paraId="2EBB2A1C" w14:textId="77777777" w:rsidR="00960E88" w:rsidRPr="00960E88" w:rsidRDefault="00960E88" w:rsidP="00960E88">
            <w:pPr>
              <w:spacing w:after="0" w:line="240" w:lineRule="auto"/>
              <w:jc w:val="center"/>
              <w:rPr>
                <w:rFonts w:ascii="Calibri" w:eastAsia="Times New Roman" w:hAnsi="Calibri" w:cs="Arial"/>
                <w:sz w:val="20"/>
                <w:szCs w:val="20"/>
                <w:lang w:eastAsia="cs-CZ"/>
              </w:rPr>
            </w:pPr>
            <w:r w:rsidRPr="00960E88">
              <w:rPr>
                <w:rFonts w:ascii="Calibri" w:eastAsia="Times New Roman" w:hAnsi="Calibri" w:cs="Arial"/>
                <w:sz w:val="20"/>
                <w:szCs w:val="20"/>
                <w:lang w:eastAsia="cs-CZ"/>
              </w:rPr>
              <w:t>3742</w:t>
            </w:r>
          </w:p>
        </w:tc>
        <w:tc>
          <w:tcPr>
            <w:tcW w:w="3994" w:type="dxa"/>
            <w:tcBorders>
              <w:top w:val="single" w:sz="4" w:space="0" w:color="auto"/>
              <w:left w:val="nil"/>
              <w:bottom w:val="single" w:sz="8" w:space="0" w:color="auto"/>
              <w:right w:val="single" w:sz="4" w:space="0" w:color="auto"/>
            </w:tcBorders>
            <w:shd w:val="clear" w:color="auto" w:fill="auto"/>
            <w:vAlign w:val="center"/>
            <w:hideMark/>
          </w:tcPr>
          <w:p w14:paraId="5D4B3DD3" w14:textId="77777777" w:rsidR="00960E88" w:rsidRPr="00960E88" w:rsidRDefault="00960E88" w:rsidP="00960E88">
            <w:pPr>
              <w:spacing w:after="0" w:line="240" w:lineRule="auto"/>
              <w:rPr>
                <w:rFonts w:ascii="Calibri" w:eastAsia="Times New Roman" w:hAnsi="Calibri" w:cs="Arial"/>
                <w:color w:val="000000"/>
                <w:sz w:val="20"/>
                <w:szCs w:val="20"/>
                <w:lang w:eastAsia="cs-CZ"/>
              </w:rPr>
            </w:pPr>
            <w:r w:rsidRPr="00960E88">
              <w:rPr>
                <w:rFonts w:ascii="Calibri" w:eastAsia="Times New Roman" w:hAnsi="Calibri" w:cs="Arial"/>
                <w:color w:val="000000"/>
                <w:sz w:val="20"/>
                <w:szCs w:val="20"/>
                <w:lang w:eastAsia="cs-CZ"/>
              </w:rPr>
              <w:t>Zlepšení stavu ZCHÚ - Vršky pod Špičákem (kofinancování a předfinancování)</w:t>
            </w:r>
          </w:p>
        </w:tc>
        <w:tc>
          <w:tcPr>
            <w:tcW w:w="1276" w:type="dxa"/>
            <w:tcBorders>
              <w:top w:val="single" w:sz="4" w:space="0" w:color="auto"/>
              <w:left w:val="nil"/>
              <w:bottom w:val="single" w:sz="8" w:space="0" w:color="auto"/>
              <w:right w:val="single" w:sz="4" w:space="0" w:color="auto"/>
            </w:tcBorders>
            <w:shd w:val="clear" w:color="auto" w:fill="auto"/>
            <w:vAlign w:val="bottom"/>
            <w:hideMark/>
          </w:tcPr>
          <w:p w14:paraId="2A8FB6B3"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0</w:t>
            </w:r>
          </w:p>
        </w:tc>
        <w:tc>
          <w:tcPr>
            <w:tcW w:w="1559" w:type="dxa"/>
            <w:tcBorders>
              <w:top w:val="single" w:sz="4" w:space="0" w:color="auto"/>
              <w:left w:val="nil"/>
              <w:bottom w:val="single" w:sz="8" w:space="0" w:color="auto"/>
              <w:right w:val="single" w:sz="4" w:space="0" w:color="auto"/>
            </w:tcBorders>
            <w:shd w:val="clear" w:color="auto" w:fill="auto"/>
            <w:vAlign w:val="bottom"/>
            <w:hideMark/>
          </w:tcPr>
          <w:p w14:paraId="6660ABD8"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 xml:space="preserve"> 117 200,00    </w:t>
            </w:r>
          </w:p>
        </w:tc>
        <w:tc>
          <w:tcPr>
            <w:tcW w:w="1559" w:type="dxa"/>
            <w:tcBorders>
              <w:top w:val="single" w:sz="4" w:space="0" w:color="auto"/>
              <w:left w:val="nil"/>
              <w:bottom w:val="single" w:sz="8" w:space="0" w:color="auto"/>
              <w:right w:val="single" w:sz="4" w:space="0" w:color="auto"/>
            </w:tcBorders>
            <w:shd w:val="clear" w:color="auto" w:fill="auto"/>
            <w:vAlign w:val="bottom"/>
            <w:hideMark/>
          </w:tcPr>
          <w:p w14:paraId="25AD6DDD"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117 200,00</w:t>
            </w:r>
          </w:p>
        </w:tc>
        <w:tc>
          <w:tcPr>
            <w:tcW w:w="737" w:type="dxa"/>
            <w:tcBorders>
              <w:top w:val="single" w:sz="4" w:space="0" w:color="auto"/>
              <w:left w:val="nil"/>
              <w:bottom w:val="nil"/>
              <w:right w:val="single" w:sz="8" w:space="0" w:color="auto"/>
            </w:tcBorders>
            <w:shd w:val="clear" w:color="auto" w:fill="auto"/>
            <w:vAlign w:val="bottom"/>
            <w:hideMark/>
          </w:tcPr>
          <w:p w14:paraId="095C7C73"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100,0</w:t>
            </w:r>
          </w:p>
        </w:tc>
      </w:tr>
      <w:tr w:rsidR="00960E88" w:rsidRPr="00960E88" w14:paraId="7BAD4958" w14:textId="77777777" w:rsidTr="00960E88">
        <w:trPr>
          <w:trHeight w:val="300"/>
        </w:trPr>
        <w:tc>
          <w:tcPr>
            <w:tcW w:w="826" w:type="dxa"/>
            <w:tcBorders>
              <w:top w:val="nil"/>
              <w:left w:val="single" w:sz="8" w:space="0" w:color="auto"/>
              <w:bottom w:val="single" w:sz="8" w:space="0" w:color="auto"/>
              <w:right w:val="single" w:sz="4" w:space="0" w:color="auto"/>
            </w:tcBorders>
            <w:shd w:val="clear" w:color="auto" w:fill="auto"/>
            <w:noWrap/>
            <w:vAlign w:val="center"/>
            <w:hideMark/>
          </w:tcPr>
          <w:p w14:paraId="099CF52E" w14:textId="77777777" w:rsidR="00960E88" w:rsidRPr="00960E88" w:rsidRDefault="00960E88" w:rsidP="00960E88">
            <w:pPr>
              <w:spacing w:after="0" w:line="240" w:lineRule="auto"/>
              <w:jc w:val="center"/>
              <w:rPr>
                <w:rFonts w:ascii="Calibri" w:eastAsia="Times New Roman" w:hAnsi="Calibri" w:cs="Arial"/>
                <w:lang w:eastAsia="cs-CZ"/>
              </w:rPr>
            </w:pPr>
            <w:r w:rsidRPr="00960E88">
              <w:rPr>
                <w:rFonts w:ascii="Calibri" w:eastAsia="Times New Roman" w:hAnsi="Calibri" w:cs="Arial"/>
                <w:lang w:eastAsia="cs-CZ"/>
              </w:rPr>
              <w:t> </w:t>
            </w:r>
          </w:p>
        </w:tc>
        <w:tc>
          <w:tcPr>
            <w:tcW w:w="3994" w:type="dxa"/>
            <w:tcBorders>
              <w:top w:val="nil"/>
              <w:left w:val="nil"/>
              <w:bottom w:val="single" w:sz="8" w:space="0" w:color="auto"/>
              <w:right w:val="single" w:sz="4" w:space="0" w:color="auto"/>
            </w:tcBorders>
            <w:shd w:val="clear" w:color="auto" w:fill="auto"/>
            <w:noWrap/>
            <w:vAlign w:val="bottom"/>
            <w:hideMark/>
          </w:tcPr>
          <w:p w14:paraId="65769942" w14:textId="77777777" w:rsidR="00960E88" w:rsidRPr="00960E88" w:rsidRDefault="00960E88" w:rsidP="00960E88">
            <w:pPr>
              <w:spacing w:after="0" w:line="240" w:lineRule="auto"/>
              <w:rPr>
                <w:rFonts w:ascii="Calibri" w:eastAsia="Times New Roman" w:hAnsi="Calibri" w:cs="Arial"/>
                <w:b/>
                <w:bCs/>
                <w:lang w:eastAsia="cs-CZ"/>
              </w:rPr>
            </w:pPr>
            <w:r w:rsidRPr="00960E88">
              <w:rPr>
                <w:rFonts w:ascii="Calibri" w:eastAsia="Times New Roman" w:hAnsi="Calibri" w:cs="Arial"/>
                <w:b/>
                <w:bCs/>
                <w:lang w:eastAsia="cs-CZ"/>
              </w:rPr>
              <w:t>Celkem</w:t>
            </w:r>
          </w:p>
        </w:tc>
        <w:tc>
          <w:tcPr>
            <w:tcW w:w="1276" w:type="dxa"/>
            <w:tcBorders>
              <w:top w:val="nil"/>
              <w:left w:val="nil"/>
              <w:bottom w:val="single" w:sz="8" w:space="0" w:color="auto"/>
              <w:right w:val="single" w:sz="4" w:space="0" w:color="auto"/>
            </w:tcBorders>
            <w:shd w:val="clear" w:color="auto" w:fill="auto"/>
            <w:noWrap/>
            <w:vAlign w:val="bottom"/>
            <w:hideMark/>
          </w:tcPr>
          <w:p w14:paraId="11E277FC" w14:textId="77777777" w:rsidR="00960E88" w:rsidRPr="00960E88" w:rsidRDefault="00960E88" w:rsidP="00960E88">
            <w:pPr>
              <w:spacing w:after="0" w:line="240" w:lineRule="auto"/>
              <w:jc w:val="right"/>
              <w:rPr>
                <w:rFonts w:ascii="Calibri" w:eastAsia="Times New Roman" w:hAnsi="Calibri" w:cs="Arial"/>
                <w:b/>
                <w:bCs/>
                <w:lang w:eastAsia="cs-CZ"/>
              </w:rPr>
            </w:pPr>
            <w:r w:rsidRPr="00960E88">
              <w:rPr>
                <w:rFonts w:ascii="Calibri" w:eastAsia="Times New Roman" w:hAnsi="Calibri" w:cs="Arial"/>
                <w:b/>
                <w:bCs/>
                <w:lang w:eastAsia="cs-CZ"/>
              </w:rPr>
              <w:t>0</w:t>
            </w:r>
          </w:p>
        </w:tc>
        <w:tc>
          <w:tcPr>
            <w:tcW w:w="1559" w:type="dxa"/>
            <w:tcBorders>
              <w:top w:val="nil"/>
              <w:left w:val="nil"/>
              <w:bottom w:val="single" w:sz="8" w:space="0" w:color="auto"/>
              <w:right w:val="single" w:sz="4" w:space="0" w:color="auto"/>
            </w:tcBorders>
            <w:shd w:val="clear" w:color="auto" w:fill="auto"/>
            <w:noWrap/>
            <w:vAlign w:val="bottom"/>
            <w:hideMark/>
          </w:tcPr>
          <w:p w14:paraId="3821AD74" w14:textId="77777777" w:rsidR="00960E88" w:rsidRPr="00960E88" w:rsidRDefault="00960E88" w:rsidP="00960E88">
            <w:pPr>
              <w:spacing w:after="0" w:line="240" w:lineRule="auto"/>
              <w:jc w:val="right"/>
              <w:rPr>
                <w:rFonts w:ascii="Calibri" w:eastAsia="Times New Roman" w:hAnsi="Calibri" w:cs="Arial"/>
                <w:b/>
                <w:bCs/>
                <w:lang w:eastAsia="cs-CZ"/>
              </w:rPr>
            </w:pPr>
            <w:r w:rsidRPr="00960E88">
              <w:rPr>
                <w:rFonts w:ascii="Calibri" w:eastAsia="Times New Roman" w:hAnsi="Calibri" w:cs="Arial"/>
                <w:b/>
                <w:bCs/>
                <w:lang w:eastAsia="cs-CZ"/>
              </w:rPr>
              <w:t>6 608 070,05</w:t>
            </w:r>
          </w:p>
        </w:tc>
        <w:tc>
          <w:tcPr>
            <w:tcW w:w="1559" w:type="dxa"/>
            <w:tcBorders>
              <w:top w:val="nil"/>
              <w:left w:val="nil"/>
              <w:bottom w:val="single" w:sz="8" w:space="0" w:color="auto"/>
              <w:right w:val="single" w:sz="4" w:space="0" w:color="auto"/>
            </w:tcBorders>
            <w:shd w:val="clear" w:color="auto" w:fill="auto"/>
            <w:noWrap/>
            <w:vAlign w:val="bottom"/>
            <w:hideMark/>
          </w:tcPr>
          <w:p w14:paraId="7F0809BD" w14:textId="77777777" w:rsidR="00960E88" w:rsidRPr="00960E88" w:rsidRDefault="00960E88" w:rsidP="00960E88">
            <w:pPr>
              <w:spacing w:after="0" w:line="240" w:lineRule="auto"/>
              <w:jc w:val="right"/>
              <w:rPr>
                <w:rFonts w:ascii="Calibri" w:eastAsia="Times New Roman" w:hAnsi="Calibri" w:cs="Arial"/>
                <w:b/>
                <w:bCs/>
                <w:lang w:eastAsia="cs-CZ"/>
              </w:rPr>
            </w:pPr>
            <w:r w:rsidRPr="00960E88">
              <w:rPr>
                <w:rFonts w:ascii="Calibri" w:eastAsia="Times New Roman" w:hAnsi="Calibri" w:cs="Arial"/>
                <w:b/>
                <w:bCs/>
                <w:lang w:eastAsia="cs-CZ"/>
              </w:rPr>
              <w:t>6 357 021,07</w:t>
            </w:r>
          </w:p>
        </w:tc>
        <w:tc>
          <w:tcPr>
            <w:tcW w:w="737" w:type="dxa"/>
            <w:tcBorders>
              <w:top w:val="single" w:sz="8" w:space="0" w:color="auto"/>
              <w:left w:val="nil"/>
              <w:bottom w:val="single" w:sz="8" w:space="0" w:color="auto"/>
              <w:right w:val="single" w:sz="8" w:space="0" w:color="auto"/>
            </w:tcBorders>
            <w:shd w:val="clear" w:color="auto" w:fill="auto"/>
            <w:noWrap/>
            <w:vAlign w:val="bottom"/>
            <w:hideMark/>
          </w:tcPr>
          <w:p w14:paraId="726A8640" w14:textId="77777777" w:rsidR="00960E88" w:rsidRPr="00960E88" w:rsidRDefault="00960E88" w:rsidP="00960E88">
            <w:pPr>
              <w:spacing w:after="0" w:line="240" w:lineRule="auto"/>
              <w:jc w:val="right"/>
              <w:rPr>
                <w:rFonts w:ascii="Calibri" w:eastAsia="Times New Roman" w:hAnsi="Calibri" w:cs="Arial"/>
                <w:b/>
                <w:bCs/>
                <w:lang w:eastAsia="cs-CZ"/>
              </w:rPr>
            </w:pPr>
            <w:r w:rsidRPr="00960E88">
              <w:rPr>
                <w:rFonts w:ascii="Calibri" w:eastAsia="Times New Roman" w:hAnsi="Calibri" w:cs="Arial"/>
                <w:b/>
                <w:bCs/>
                <w:lang w:eastAsia="cs-CZ"/>
              </w:rPr>
              <w:t>96,2</w:t>
            </w:r>
          </w:p>
        </w:tc>
      </w:tr>
      <w:tr w:rsidR="00960E88" w:rsidRPr="00960E88" w14:paraId="483FCEFC" w14:textId="77777777" w:rsidTr="00960E88">
        <w:trPr>
          <w:trHeight w:val="290"/>
        </w:trPr>
        <w:tc>
          <w:tcPr>
            <w:tcW w:w="826" w:type="dxa"/>
            <w:tcBorders>
              <w:top w:val="nil"/>
              <w:left w:val="nil"/>
              <w:bottom w:val="nil"/>
              <w:right w:val="nil"/>
            </w:tcBorders>
            <w:shd w:val="clear" w:color="auto" w:fill="auto"/>
            <w:noWrap/>
            <w:vAlign w:val="center"/>
            <w:hideMark/>
          </w:tcPr>
          <w:p w14:paraId="41E3BE2A" w14:textId="77777777" w:rsidR="00960E88" w:rsidRPr="00960E88" w:rsidRDefault="00960E88" w:rsidP="00960E88">
            <w:pPr>
              <w:spacing w:after="0" w:line="240" w:lineRule="auto"/>
              <w:jc w:val="right"/>
              <w:rPr>
                <w:rFonts w:ascii="Calibri" w:eastAsia="Times New Roman" w:hAnsi="Calibri" w:cs="Arial"/>
                <w:b/>
                <w:bCs/>
                <w:lang w:eastAsia="cs-CZ"/>
              </w:rPr>
            </w:pPr>
          </w:p>
        </w:tc>
        <w:tc>
          <w:tcPr>
            <w:tcW w:w="3994" w:type="dxa"/>
            <w:tcBorders>
              <w:top w:val="nil"/>
              <w:left w:val="nil"/>
              <w:bottom w:val="nil"/>
              <w:right w:val="nil"/>
            </w:tcBorders>
            <w:shd w:val="clear" w:color="auto" w:fill="auto"/>
            <w:noWrap/>
            <w:vAlign w:val="bottom"/>
            <w:hideMark/>
          </w:tcPr>
          <w:p w14:paraId="59031B36" w14:textId="77777777" w:rsidR="00960E88" w:rsidRPr="00960E88" w:rsidRDefault="00960E88" w:rsidP="00960E88">
            <w:pPr>
              <w:spacing w:after="0" w:line="240" w:lineRule="auto"/>
              <w:jc w:val="center"/>
              <w:rPr>
                <w:rFonts w:ascii="Times New Roman" w:eastAsia="Times New Roman" w:hAnsi="Times New Roman" w:cs="Times New Roman"/>
                <w:sz w:val="20"/>
                <w:szCs w:val="20"/>
                <w:lang w:eastAsia="cs-CZ"/>
              </w:rPr>
            </w:pPr>
          </w:p>
        </w:tc>
        <w:tc>
          <w:tcPr>
            <w:tcW w:w="1276" w:type="dxa"/>
            <w:tcBorders>
              <w:top w:val="nil"/>
              <w:left w:val="nil"/>
              <w:bottom w:val="nil"/>
              <w:right w:val="nil"/>
            </w:tcBorders>
            <w:shd w:val="clear" w:color="auto" w:fill="auto"/>
            <w:noWrap/>
            <w:vAlign w:val="bottom"/>
            <w:hideMark/>
          </w:tcPr>
          <w:p w14:paraId="6737CB2B" w14:textId="77777777" w:rsidR="00960E88" w:rsidRPr="00960E88" w:rsidRDefault="00960E88" w:rsidP="00960E88">
            <w:pPr>
              <w:spacing w:after="0" w:line="240" w:lineRule="auto"/>
              <w:rPr>
                <w:rFonts w:ascii="Times New Roman" w:eastAsia="Times New Roman" w:hAnsi="Times New Roman" w:cs="Times New Roman"/>
                <w:sz w:val="20"/>
                <w:szCs w:val="20"/>
                <w:lang w:eastAsia="cs-CZ"/>
              </w:rPr>
            </w:pPr>
          </w:p>
        </w:tc>
        <w:tc>
          <w:tcPr>
            <w:tcW w:w="1559" w:type="dxa"/>
            <w:tcBorders>
              <w:top w:val="nil"/>
              <w:left w:val="nil"/>
              <w:bottom w:val="nil"/>
              <w:right w:val="nil"/>
            </w:tcBorders>
            <w:shd w:val="clear" w:color="auto" w:fill="auto"/>
            <w:noWrap/>
            <w:vAlign w:val="bottom"/>
            <w:hideMark/>
          </w:tcPr>
          <w:p w14:paraId="627A27AE" w14:textId="77777777" w:rsidR="00960E88" w:rsidRPr="00960E88" w:rsidRDefault="00960E88" w:rsidP="00960E88">
            <w:pPr>
              <w:spacing w:after="0" w:line="240" w:lineRule="auto"/>
              <w:jc w:val="right"/>
              <w:rPr>
                <w:rFonts w:ascii="Times New Roman" w:eastAsia="Times New Roman" w:hAnsi="Times New Roman" w:cs="Times New Roman"/>
                <w:sz w:val="20"/>
                <w:szCs w:val="20"/>
                <w:lang w:eastAsia="cs-CZ"/>
              </w:rPr>
            </w:pPr>
          </w:p>
        </w:tc>
        <w:tc>
          <w:tcPr>
            <w:tcW w:w="1559" w:type="dxa"/>
            <w:tcBorders>
              <w:top w:val="nil"/>
              <w:left w:val="nil"/>
              <w:bottom w:val="nil"/>
              <w:right w:val="nil"/>
            </w:tcBorders>
            <w:shd w:val="clear" w:color="auto" w:fill="auto"/>
            <w:noWrap/>
            <w:vAlign w:val="bottom"/>
            <w:hideMark/>
          </w:tcPr>
          <w:p w14:paraId="0351301B" w14:textId="77777777" w:rsidR="00960E88" w:rsidRPr="00960E88" w:rsidRDefault="00960E88" w:rsidP="00960E88">
            <w:pPr>
              <w:spacing w:after="0" w:line="240" w:lineRule="auto"/>
              <w:jc w:val="right"/>
              <w:rPr>
                <w:rFonts w:ascii="Times New Roman" w:eastAsia="Times New Roman" w:hAnsi="Times New Roman" w:cs="Times New Roman"/>
                <w:sz w:val="20"/>
                <w:szCs w:val="20"/>
                <w:lang w:eastAsia="cs-CZ"/>
              </w:rPr>
            </w:pPr>
          </w:p>
        </w:tc>
        <w:tc>
          <w:tcPr>
            <w:tcW w:w="737" w:type="dxa"/>
            <w:tcBorders>
              <w:top w:val="nil"/>
              <w:left w:val="nil"/>
              <w:bottom w:val="nil"/>
              <w:right w:val="nil"/>
            </w:tcBorders>
            <w:shd w:val="clear" w:color="auto" w:fill="auto"/>
            <w:noWrap/>
            <w:vAlign w:val="bottom"/>
            <w:hideMark/>
          </w:tcPr>
          <w:p w14:paraId="5CAF32E1" w14:textId="77777777" w:rsidR="00960E88" w:rsidRPr="00960E88" w:rsidRDefault="00960E88" w:rsidP="00960E88">
            <w:pPr>
              <w:spacing w:after="0" w:line="240" w:lineRule="auto"/>
              <w:jc w:val="right"/>
              <w:rPr>
                <w:rFonts w:ascii="Times New Roman" w:eastAsia="Times New Roman" w:hAnsi="Times New Roman" w:cs="Times New Roman"/>
                <w:sz w:val="20"/>
                <w:szCs w:val="20"/>
                <w:lang w:eastAsia="cs-CZ"/>
              </w:rPr>
            </w:pPr>
          </w:p>
        </w:tc>
      </w:tr>
      <w:tr w:rsidR="00960E88" w:rsidRPr="00960E88" w14:paraId="530D4412" w14:textId="77777777" w:rsidTr="00960E88">
        <w:trPr>
          <w:trHeight w:val="300"/>
        </w:trPr>
        <w:tc>
          <w:tcPr>
            <w:tcW w:w="826" w:type="dxa"/>
            <w:tcBorders>
              <w:top w:val="nil"/>
              <w:left w:val="nil"/>
              <w:bottom w:val="nil"/>
              <w:right w:val="nil"/>
            </w:tcBorders>
            <w:shd w:val="clear" w:color="auto" w:fill="auto"/>
            <w:noWrap/>
            <w:vAlign w:val="bottom"/>
            <w:hideMark/>
          </w:tcPr>
          <w:p w14:paraId="52F483F2" w14:textId="77777777" w:rsidR="00960E88" w:rsidRPr="00960E88" w:rsidRDefault="00960E88" w:rsidP="00960E88">
            <w:pPr>
              <w:spacing w:after="0" w:line="240" w:lineRule="auto"/>
              <w:jc w:val="right"/>
              <w:rPr>
                <w:rFonts w:ascii="Times New Roman" w:eastAsia="Times New Roman" w:hAnsi="Times New Roman" w:cs="Times New Roman"/>
                <w:sz w:val="20"/>
                <w:szCs w:val="20"/>
                <w:lang w:eastAsia="cs-CZ"/>
              </w:rPr>
            </w:pPr>
          </w:p>
        </w:tc>
        <w:tc>
          <w:tcPr>
            <w:tcW w:w="6829" w:type="dxa"/>
            <w:gridSpan w:val="3"/>
            <w:tcBorders>
              <w:top w:val="nil"/>
              <w:left w:val="nil"/>
              <w:bottom w:val="nil"/>
              <w:right w:val="nil"/>
            </w:tcBorders>
            <w:shd w:val="clear" w:color="auto" w:fill="auto"/>
            <w:noWrap/>
            <w:vAlign w:val="bottom"/>
            <w:hideMark/>
          </w:tcPr>
          <w:p w14:paraId="0976B20F" w14:textId="77777777" w:rsidR="00960E88" w:rsidRPr="00960E88" w:rsidRDefault="00960E88" w:rsidP="00960E88">
            <w:pPr>
              <w:spacing w:after="0" w:line="240" w:lineRule="auto"/>
              <w:rPr>
                <w:rFonts w:ascii="Calibri" w:eastAsia="Times New Roman" w:hAnsi="Calibri" w:cs="Arial"/>
                <w:b/>
                <w:bCs/>
                <w:lang w:eastAsia="cs-CZ"/>
              </w:rPr>
            </w:pPr>
            <w:r w:rsidRPr="00960E88">
              <w:rPr>
                <w:rFonts w:ascii="Calibri" w:eastAsia="Times New Roman" w:hAnsi="Calibri" w:cs="Arial"/>
                <w:b/>
                <w:bCs/>
                <w:lang w:eastAsia="cs-CZ"/>
              </w:rPr>
              <w:t>Dotace ze státního rozpočtu a ostatních veřejných rozpočtů</w:t>
            </w:r>
          </w:p>
        </w:tc>
        <w:tc>
          <w:tcPr>
            <w:tcW w:w="1559" w:type="dxa"/>
            <w:tcBorders>
              <w:top w:val="nil"/>
              <w:left w:val="nil"/>
              <w:bottom w:val="nil"/>
              <w:right w:val="nil"/>
            </w:tcBorders>
            <w:shd w:val="clear" w:color="auto" w:fill="auto"/>
            <w:noWrap/>
            <w:vAlign w:val="bottom"/>
            <w:hideMark/>
          </w:tcPr>
          <w:p w14:paraId="2999A671" w14:textId="77777777" w:rsidR="00960E88" w:rsidRPr="00960E88" w:rsidRDefault="00960E88" w:rsidP="00960E88">
            <w:pPr>
              <w:spacing w:after="0" w:line="240" w:lineRule="auto"/>
              <w:rPr>
                <w:rFonts w:ascii="Calibri" w:eastAsia="Times New Roman" w:hAnsi="Calibri" w:cs="Arial"/>
                <w:b/>
                <w:bCs/>
                <w:lang w:eastAsia="cs-CZ"/>
              </w:rPr>
            </w:pPr>
          </w:p>
        </w:tc>
        <w:tc>
          <w:tcPr>
            <w:tcW w:w="737" w:type="dxa"/>
            <w:tcBorders>
              <w:top w:val="nil"/>
              <w:left w:val="nil"/>
              <w:bottom w:val="nil"/>
              <w:right w:val="nil"/>
            </w:tcBorders>
            <w:shd w:val="clear" w:color="auto" w:fill="auto"/>
            <w:noWrap/>
            <w:vAlign w:val="bottom"/>
            <w:hideMark/>
          </w:tcPr>
          <w:p w14:paraId="06931159" w14:textId="77777777" w:rsidR="00960E88" w:rsidRPr="00960E88" w:rsidRDefault="00960E88" w:rsidP="00960E88">
            <w:pPr>
              <w:spacing w:after="0" w:line="240" w:lineRule="auto"/>
              <w:rPr>
                <w:rFonts w:ascii="Times New Roman" w:eastAsia="Times New Roman" w:hAnsi="Times New Roman" w:cs="Times New Roman"/>
                <w:sz w:val="20"/>
                <w:szCs w:val="20"/>
                <w:lang w:eastAsia="cs-CZ"/>
              </w:rPr>
            </w:pPr>
          </w:p>
        </w:tc>
      </w:tr>
      <w:tr w:rsidR="00960E88" w:rsidRPr="00960E88" w14:paraId="23DBB6BE" w14:textId="77777777" w:rsidTr="00960E88">
        <w:trPr>
          <w:trHeight w:val="270"/>
        </w:trPr>
        <w:tc>
          <w:tcPr>
            <w:tcW w:w="826"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3EF93DFB" w14:textId="77777777" w:rsidR="00960E88" w:rsidRPr="00960E88" w:rsidRDefault="00960E88" w:rsidP="00960E88">
            <w:pPr>
              <w:spacing w:after="0" w:line="240" w:lineRule="auto"/>
              <w:jc w:val="center"/>
              <w:rPr>
                <w:rFonts w:ascii="Calibri" w:eastAsia="Times New Roman" w:hAnsi="Calibri" w:cs="Arial"/>
                <w:sz w:val="20"/>
                <w:szCs w:val="20"/>
                <w:lang w:eastAsia="cs-CZ"/>
              </w:rPr>
            </w:pPr>
            <w:r w:rsidRPr="00960E88">
              <w:rPr>
                <w:rFonts w:ascii="Calibri" w:eastAsia="Times New Roman" w:hAnsi="Calibri" w:cs="Arial"/>
                <w:sz w:val="20"/>
                <w:szCs w:val="20"/>
                <w:lang w:eastAsia="cs-CZ"/>
              </w:rPr>
              <w:t>3741</w:t>
            </w:r>
          </w:p>
        </w:tc>
        <w:tc>
          <w:tcPr>
            <w:tcW w:w="3994" w:type="dxa"/>
            <w:tcBorders>
              <w:top w:val="single" w:sz="8" w:space="0" w:color="auto"/>
              <w:left w:val="nil"/>
              <w:bottom w:val="single" w:sz="8" w:space="0" w:color="auto"/>
              <w:right w:val="single" w:sz="4" w:space="0" w:color="auto"/>
            </w:tcBorders>
            <w:shd w:val="clear" w:color="auto" w:fill="auto"/>
            <w:vAlign w:val="bottom"/>
            <w:hideMark/>
          </w:tcPr>
          <w:p w14:paraId="7ACB9F0C" w14:textId="77777777" w:rsidR="00960E88" w:rsidRPr="00960E88" w:rsidRDefault="00960E88" w:rsidP="00960E88">
            <w:pPr>
              <w:spacing w:after="0" w:line="240" w:lineRule="auto"/>
              <w:rPr>
                <w:rFonts w:ascii="Calibri" w:eastAsia="Times New Roman" w:hAnsi="Calibri" w:cs="Arial"/>
                <w:sz w:val="20"/>
                <w:szCs w:val="20"/>
                <w:lang w:eastAsia="cs-CZ"/>
              </w:rPr>
            </w:pPr>
            <w:r w:rsidRPr="00960E88">
              <w:rPr>
                <w:rFonts w:ascii="Calibri" w:eastAsia="Times New Roman" w:hAnsi="Calibri" w:cs="Arial"/>
                <w:sz w:val="20"/>
                <w:szCs w:val="20"/>
                <w:lang w:eastAsia="cs-CZ"/>
              </w:rPr>
              <w:t>MF ČR - neinv., náhrada škod, ÚZ 98278</w:t>
            </w:r>
          </w:p>
        </w:tc>
        <w:tc>
          <w:tcPr>
            <w:tcW w:w="1276" w:type="dxa"/>
            <w:tcBorders>
              <w:top w:val="single" w:sz="8" w:space="0" w:color="auto"/>
              <w:left w:val="nil"/>
              <w:bottom w:val="single" w:sz="8" w:space="0" w:color="auto"/>
              <w:right w:val="single" w:sz="4" w:space="0" w:color="auto"/>
            </w:tcBorders>
            <w:shd w:val="clear" w:color="auto" w:fill="auto"/>
            <w:noWrap/>
            <w:vAlign w:val="bottom"/>
            <w:hideMark/>
          </w:tcPr>
          <w:p w14:paraId="70A17988"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0</w:t>
            </w:r>
          </w:p>
        </w:tc>
        <w:tc>
          <w:tcPr>
            <w:tcW w:w="1559" w:type="dxa"/>
            <w:tcBorders>
              <w:top w:val="single" w:sz="8" w:space="0" w:color="auto"/>
              <w:left w:val="nil"/>
              <w:bottom w:val="nil"/>
              <w:right w:val="single" w:sz="4" w:space="0" w:color="auto"/>
            </w:tcBorders>
            <w:shd w:val="clear" w:color="auto" w:fill="auto"/>
            <w:noWrap/>
            <w:vAlign w:val="bottom"/>
            <w:hideMark/>
          </w:tcPr>
          <w:p w14:paraId="7DC03F14"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2 196 608,00</w:t>
            </w:r>
          </w:p>
        </w:tc>
        <w:tc>
          <w:tcPr>
            <w:tcW w:w="1559" w:type="dxa"/>
            <w:tcBorders>
              <w:top w:val="single" w:sz="8" w:space="0" w:color="auto"/>
              <w:left w:val="nil"/>
              <w:bottom w:val="nil"/>
              <w:right w:val="single" w:sz="4" w:space="0" w:color="auto"/>
            </w:tcBorders>
            <w:shd w:val="clear" w:color="auto" w:fill="auto"/>
            <w:noWrap/>
            <w:vAlign w:val="bottom"/>
            <w:hideMark/>
          </w:tcPr>
          <w:p w14:paraId="5340D907"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2 196 608,00</w:t>
            </w:r>
          </w:p>
        </w:tc>
        <w:tc>
          <w:tcPr>
            <w:tcW w:w="737" w:type="dxa"/>
            <w:tcBorders>
              <w:top w:val="single" w:sz="8" w:space="0" w:color="auto"/>
              <w:left w:val="nil"/>
              <w:bottom w:val="nil"/>
              <w:right w:val="single" w:sz="8" w:space="0" w:color="auto"/>
            </w:tcBorders>
            <w:shd w:val="clear" w:color="auto" w:fill="auto"/>
            <w:noWrap/>
            <w:vAlign w:val="bottom"/>
            <w:hideMark/>
          </w:tcPr>
          <w:p w14:paraId="79D2B7A2" w14:textId="77777777" w:rsidR="00960E88" w:rsidRPr="00960E88" w:rsidRDefault="00960E88" w:rsidP="00960E88">
            <w:pPr>
              <w:spacing w:after="0" w:line="240" w:lineRule="auto"/>
              <w:jc w:val="right"/>
              <w:rPr>
                <w:rFonts w:ascii="Calibri" w:eastAsia="Times New Roman" w:hAnsi="Calibri" w:cs="Arial"/>
                <w:sz w:val="20"/>
                <w:szCs w:val="20"/>
                <w:lang w:eastAsia="cs-CZ"/>
              </w:rPr>
            </w:pPr>
            <w:r w:rsidRPr="00960E88">
              <w:rPr>
                <w:rFonts w:ascii="Calibri" w:eastAsia="Times New Roman" w:hAnsi="Calibri" w:cs="Arial"/>
                <w:sz w:val="20"/>
                <w:szCs w:val="20"/>
                <w:lang w:eastAsia="cs-CZ"/>
              </w:rPr>
              <w:t>100,0</w:t>
            </w:r>
          </w:p>
        </w:tc>
      </w:tr>
      <w:tr w:rsidR="00960E88" w:rsidRPr="00960E88" w14:paraId="1A9A822C" w14:textId="77777777" w:rsidTr="00960E88">
        <w:trPr>
          <w:trHeight w:val="300"/>
        </w:trPr>
        <w:tc>
          <w:tcPr>
            <w:tcW w:w="826" w:type="dxa"/>
            <w:tcBorders>
              <w:top w:val="nil"/>
              <w:left w:val="single" w:sz="8" w:space="0" w:color="auto"/>
              <w:bottom w:val="single" w:sz="8" w:space="0" w:color="auto"/>
              <w:right w:val="single" w:sz="4" w:space="0" w:color="auto"/>
            </w:tcBorders>
            <w:shd w:val="clear" w:color="auto" w:fill="auto"/>
            <w:noWrap/>
            <w:vAlign w:val="bottom"/>
            <w:hideMark/>
          </w:tcPr>
          <w:p w14:paraId="3EFE5849" w14:textId="77777777" w:rsidR="00960E88" w:rsidRPr="00960E88" w:rsidRDefault="00960E88" w:rsidP="00960E88">
            <w:pPr>
              <w:spacing w:after="0" w:line="240" w:lineRule="auto"/>
              <w:jc w:val="center"/>
              <w:rPr>
                <w:rFonts w:ascii="Calibri" w:eastAsia="Times New Roman" w:hAnsi="Calibri" w:cs="Arial"/>
                <w:lang w:eastAsia="cs-CZ"/>
              </w:rPr>
            </w:pPr>
            <w:r w:rsidRPr="00960E88">
              <w:rPr>
                <w:rFonts w:ascii="Calibri" w:eastAsia="Times New Roman" w:hAnsi="Calibri" w:cs="Arial"/>
                <w:lang w:eastAsia="cs-CZ"/>
              </w:rPr>
              <w:t> </w:t>
            </w:r>
          </w:p>
        </w:tc>
        <w:tc>
          <w:tcPr>
            <w:tcW w:w="3994" w:type="dxa"/>
            <w:tcBorders>
              <w:top w:val="nil"/>
              <w:left w:val="nil"/>
              <w:bottom w:val="single" w:sz="8" w:space="0" w:color="auto"/>
              <w:right w:val="single" w:sz="4" w:space="0" w:color="auto"/>
            </w:tcBorders>
            <w:shd w:val="clear" w:color="auto" w:fill="auto"/>
            <w:noWrap/>
            <w:vAlign w:val="bottom"/>
            <w:hideMark/>
          </w:tcPr>
          <w:p w14:paraId="3E8DCA60" w14:textId="77777777" w:rsidR="00960E88" w:rsidRPr="00960E88" w:rsidRDefault="00960E88" w:rsidP="00960E88">
            <w:pPr>
              <w:spacing w:after="0" w:line="240" w:lineRule="auto"/>
              <w:rPr>
                <w:rFonts w:ascii="Calibri" w:eastAsia="Times New Roman" w:hAnsi="Calibri" w:cs="Arial"/>
                <w:b/>
                <w:bCs/>
                <w:lang w:eastAsia="cs-CZ"/>
              </w:rPr>
            </w:pPr>
            <w:r w:rsidRPr="00960E88">
              <w:rPr>
                <w:rFonts w:ascii="Calibri" w:eastAsia="Times New Roman" w:hAnsi="Calibri" w:cs="Arial"/>
                <w:b/>
                <w:bCs/>
                <w:lang w:eastAsia="cs-CZ"/>
              </w:rPr>
              <w:t>Celkem</w:t>
            </w:r>
          </w:p>
        </w:tc>
        <w:tc>
          <w:tcPr>
            <w:tcW w:w="1276" w:type="dxa"/>
            <w:tcBorders>
              <w:top w:val="nil"/>
              <w:left w:val="nil"/>
              <w:bottom w:val="single" w:sz="8" w:space="0" w:color="auto"/>
              <w:right w:val="single" w:sz="4" w:space="0" w:color="auto"/>
            </w:tcBorders>
            <w:shd w:val="clear" w:color="auto" w:fill="auto"/>
            <w:noWrap/>
            <w:vAlign w:val="bottom"/>
            <w:hideMark/>
          </w:tcPr>
          <w:p w14:paraId="6099A741" w14:textId="77777777" w:rsidR="00960E88" w:rsidRPr="00960E88" w:rsidRDefault="00960E88" w:rsidP="00960E88">
            <w:pPr>
              <w:spacing w:after="0" w:line="240" w:lineRule="auto"/>
              <w:jc w:val="right"/>
              <w:rPr>
                <w:rFonts w:ascii="Calibri" w:eastAsia="Times New Roman" w:hAnsi="Calibri" w:cs="Arial"/>
                <w:b/>
                <w:bCs/>
                <w:lang w:eastAsia="cs-CZ"/>
              </w:rPr>
            </w:pPr>
            <w:r w:rsidRPr="00960E88">
              <w:rPr>
                <w:rFonts w:ascii="Calibri" w:eastAsia="Times New Roman" w:hAnsi="Calibri" w:cs="Arial"/>
                <w:b/>
                <w:bCs/>
                <w:lang w:eastAsia="cs-CZ"/>
              </w:rPr>
              <w:t>0</w:t>
            </w:r>
          </w:p>
        </w:tc>
        <w:tc>
          <w:tcPr>
            <w:tcW w:w="1559" w:type="dxa"/>
            <w:tcBorders>
              <w:top w:val="single" w:sz="8" w:space="0" w:color="auto"/>
              <w:left w:val="nil"/>
              <w:bottom w:val="single" w:sz="8" w:space="0" w:color="auto"/>
              <w:right w:val="single" w:sz="4" w:space="0" w:color="auto"/>
            </w:tcBorders>
            <w:shd w:val="clear" w:color="auto" w:fill="auto"/>
            <w:noWrap/>
            <w:vAlign w:val="bottom"/>
            <w:hideMark/>
          </w:tcPr>
          <w:p w14:paraId="01B2556A" w14:textId="77777777" w:rsidR="00960E88" w:rsidRPr="00960E88" w:rsidRDefault="00960E88" w:rsidP="00960E88">
            <w:pPr>
              <w:spacing w:after="0" w:line="240" w:lineRule="auto"/>
              <w:jc w:val="right"/>
              <w:rPr>
                <w:rFonts w:ascii="Calibri" w:eastAsia="Times New Roman" w:hAnsi="Calibri" w:cs="Arial"/>
                <w:b/>
                <w:bCs/>
                <w:lang w:eastAsia="cs-CZ"/>
              </w:rPr>
            </w:pPr>
            <w:r w:rsidRPr="00960E88">
              <w:rPr>
                <w:rFonts w:ascii="Calibri" w:eastAsia="Times New Roman" w:hAnsi="Calibri" w:cs="Arial"/>
                <w:b/>
                <w:bCs/>
                <w:lang w:eastAsia="cs-CZ"/>
              </w:rPr>
              <w:t>2 196 608,00</w:t>
            </w:r>
          </w:p>
        </w:tc>
        <w:tc>
          <w:tcPr>
            <w:tcW w:w="1559" w:type="dxa"/>
            <w:tcBorders>
              <w:top w:val="single" w:sz="8" w:space="0" w:color="auto"/>
              <w:left w:val="nil"/>
              <w:bottom w:val="single" w:sz="8" w:space="0" w:color="auto"/>
              <w:right w:val="single" w:sz="4" w:space="0" w:color="auto"/>
            </w:tcBorders>
            <w:shd w:val="clear" w:color="auto" w:fill="auto"/>
            <w:noWrap/>
            <w:vAlign w:val="bottom"/>
            <w:hideMark/>
          </w:tcPr>
          <w:p w14:paraId="31836D18" w14:textId="77777777" w:rsidR="00960E88" w:rsidRPr="00960E88" w:rsidRDefault="00960E88" w:rsidP="00960E88">
            <w:pPr>
              <w:spacing w:after="0" w:line="240" w:lineRule="auto"/>
              <w:jc w:val="right"/>
              <w:rPr>
                <w:rFonts w:ascii="Calibri" w:eastAsia="Times New Roman" w:hAnsi="Calibri" w:cs="Arial"/>
                <w:b/>
                <w:bCs/>
                <w:lang w:eastAsia="cs-CZ"/>
              </w:rPr>
            </w:pPr>
            <w:r w:rsidRPr="00960E88">
              <w:rPr>
                <w:rFonts w:ascii="Calibri" w:eastAsia="Times New Roman" w:hAnsi="Calibri" w:cs="Arial"/>
                <w:b/>
                <w:bCs/>
                <w:lang w:eastAsia="cs-CZ"/>
              </w:rPr>
              <w:t>2 196 608,00</w:t>
            </w:r>
          </w:p>
        </w:tc>
        <w:tc>
          <w:tcPr>
            <w:tcW w:w="737" w:type="dxa"/>
            <w:tcBorders>
              <w:top w:val="single" w:sz="8" w:space="0" w:color="auto"/>
              <w:left w:val="nil"/>
              <w:bottom w:val="single" w:sz="8" w:space="0" w:color="auto"/>
              <w:right w:val="single" w:sz="8" w:space="0" w:color="auto"/>
            </w:tcBorders>
            <w:shd w:val="clear" w:color="auto" w:fill="auto"/>
            <w:noWrap/>
            <w:vAlign w:val="bottom"/>
            <w:hideMark/>
          </w:tcPr>
          <w:p w14:paraId="19FD044B" w14:textId="77777777" w:rsidR="00960E88" w:rsidRPr="00960E88" w:rsidRDefault="00960E88" w:rsidP="00960E88">
            <w:pPr>
              <w:spacing w:after="0" w:line="240" w:lineRule="auto"/>
              <w:jc w:val="right"/>
              <w:rPr>
                <w:rFonts w:ascii="Calibri" w:eastAsia="Times New Roman" w:hAnsi="Calibri" w:cs="Arial"/>
                <w:b/>
                <w:bCs/>
                <w:lang w:eastAsia="cs-CZ"/>
              </w:rPr>
            </w:pPr>
            <w:r w:rsidRPr="00960E88">
              <w:rPr>
                <w:rFonts w:ascii="Calibri" w:eastAsia="Times New Roman" w:hAnsi="Calibri" w:cs="Arial"/>
                <w:b/>
                <w:bCs/>
                <w:lang w:eastAsia="cs-CZ"/>
              </w:rPr>
              <w:t>100,0</w:t>
            </w:r>
          </w:p>
        </w:tc>
      </w:tr>
      <w:tr w:rsidR="00960E88" w:rsidRPr="00960E88" w14:paraId="6642DE4E" w14:textId="77777777" w:rsidTr="00960E88">
        <w:trPr>
          <w:trHeight w:val="300"/>
        </w:trPr>
        <w:tc>
          <w:tcPr>
            <w:tcW w:w="826" w:type="dxa"/>
            <w:tcBorders>
              <w:top w:val="nil"/>
              <w:left w:val="nil"/>
              <w:bottom w:val="nil"/>
              <w:right w:val="nil"/>
            </w:tcBorders>
            <w:shd w:val="clear" w:color="auto" w:fill="auto"/>
            <w:noWrap/>
            <w:vAlign w:val="bottom"/>
            <w:hideMark/>
          </w:tcPr>
          <w:p w14:paraId="34808C0E" w14:textId="77777777" w:rsidR="00960E88" w:rsidRPr="00960E88" w:rsidRDefault="00960E88" w:rsidP="00960E88">
            <w:pPr>
              <w:spacing w:after="0" w:line="240" w:lineRule="auto"/>
              <w:jc w:val="right"/>
              <w:rPr>
                <w:rFonts w:ascii="Calibri" w:eastAsia="Times New Roman" w:hAnsi="Calibri" w:cs="Arial"/>
                <w:b/>
                <w:bCs/>
                <w:lang w:eastAsia="cs-CZ"/>
              </w:rPr>
            </w:pPr>
          </w:p>
        </w:tc>
        <w:tc>
          <w:tcPr>
            <w:tcW w:w="3994" w:type="dxa"/>
            <w:tcBorders>
              <w:top w:val="nil"/>
              <w:left w:val="nil"/>
              <w:bottom w:val="nil"/>
              <w:right w:val="nil"/>
            </w:tcBorders>
            <w:shd w:val="clear" w:color="auto" w:fill="auto"/>
            <w:noWrap/>
            <w:vAlign w:val="bottom"/>
            <w:hideMark/>
          </w:tcPr>
          <w:p w14:paraId="4289C629" w14:textId="77777777" w:rsidR="00960E88" w:rsidRPr="00960E88" w:rsidRDefault="00960E88" w:rsidP="00960E88">
            <w:pPr>
              <w:spacing w:after="0" w:line="240" w:lineRule="auto"/>
              <w:jc w:val="center"/>
              <w:rPr>
                <w:rFonts w:ascii="Times New Roman" w:eastAsia="Times New Roman" w:hAnsi="Times New Roman" w:cs="Times New Roman"/>
                <w:sz w:val="20"/>
                <w:szCs w:val="20"/>
                <w:lang w:eastAsia="cs-CZ"/>
              </w:rPr>
            </w:pPr>
          </w:p>
        </w:tc>
        <w:tc>
          <w:tcPr>
            <w:tcW w:w="1276" w:type="dxa"/>
            <w:tcBorders>
              <w:top w:val="nil"/>
              <w:left w:val="nil"/>
              <w:bottom w:val="nil"/>
              <w:right w:val="nil"/>
            </w:tcBorders>
            <w:shd w:val="clear" w:color="auto" w:fill="auto"/>
            <w:noWrap/>
            <w:vAlign w:val="bottom"/>
            <w:hideMark/>
          </w:tcPr>
          <w:p w14:paraId="3A83DAE7" w14:textId="77777777" w:rsidR="00960E88" w:rsidRPr="00960E88" w:rsidRDefault="00960E88" w:rsidP="00960E88">
            <w:pPr>
              <w:spacing w:after="0" w:line="240" w:lineRule="auto"/>
              <w:rPr>
                <w:rFonts w:ascii="Times New Roman" w:eastAsia="Times New Roman" w:hAnsi="Times New Roman" w:cs="Times New Roman"/>
                <w:sz w:val="20"/>
                <w:szCs w:val="20"/>
                <w:lang w:eastAsia="cs-CZ"/>
              </w:rPr>
            </w:pPr>
          </w:p>
        </w:tc>
        <w:tc>
          <w:tcPr>
            <w:tcW w:w="1559" w:type="dxa"/>
            <w:tcBorders>
              <w:top w:val="nil"/>
              <w:left w:val="nil"/>
              <w:bottom w:val="nil"/>
              <w:right w:val="nil"/>
            </w:tcBorders>
            <w:shd w:val="clear" w:color="auto" w:fill="auto"/>
            <w:noWrap/>
            <w:vAlign w:val="bottom"/>
            <w:hideMark/>
          </w:tcPr>
          <w:p w14:paraId="6F7198BF" w14:textId="77777777" w:rsidR="00960E88" w:rsidRPr="00960E88" w:rsidRDefault="00960E88" w:rsidP="00960E88">
            <w:pPr>
              <w:spacing w:after="0" w:line="240" w:lineRule="auto"/>
              <w:jc w:val="right"/>
              <w:rPr>
                <w:rFonts w:ascii="Times New Roman" w:eastAsia="Times New Roman" w:hAnsi="Times New Roman" w:cs="Times New Roman"/>
                <w:sz w:val="20"/>
                <w:szCs w:val="20"/>
                <w:lang w:eastAsia="cs-CZ"/>
              </w:rPr>
            </w:pPr>
          </w:p>
        </w:tc>
        <w:tc>
          <w:tcPr>
            <w:tcW w:w="1559" w:type="dxa"/>
            <w:tcBorders>
              <w:top w:val="nil"/>
              <w:left w:val="nil"/>
              <w:bottom w:val="nil"/>
              <w:right w:val="nil"/>
            </w:tcBorders>
            <w:shd w:val="clear" w:color="auto" w:fill="auto"/>
            <w:noWrap/>
            <w:vAlign w:val="bottom"/>
            <w:hideMark/>
          </w:tcPr>
          <w:p w14:paraId="73FDC681" w14:textId="77777777" w:rsidR="00960E88" w:rsidRPr="00960E88" w:rsidRDefault="00960E88" w:rsidP="00960E88">
            <w:pPr>
              <w:spacing w:after="0" w:line="240" w:lineRule="auto"/>
              <w:jc w:val="right"/>
              <w:rPr>
                <w:rFonts w:ascii="Times New Roman" w:eastAsia="Times New Roman" w:hAnsi="Times New Roman" w:cs="Times New Roman"/>
                <w:sz w:val="20"/>
                <w:szCs w:val="20"/>
                <w:lang w:eastAsia="cs-CZ"/>
              </w:rPr>
            </w:pPr>
          </w:p>
        </w:tc>
        <w:tc>
          <w:tcPr>
            <w:tcW w:w="737" w:type="dxa"/>
            <w:tcBorders>
              <w:top w:val="nil"/>
              <w:left w:val="nil"/>
              <w:bottom w:val="nil"/>
              <w:right w:val="nil"/>
            </w:tcBorders>
            <w:shd w:val="clear" w:color="auto" w:fill="auto"/>
            <w:noWrap/>
            <w:vAlign w:val="bottom"/>
            <w:hideMark/>
          </w:tcPr>
          <w:p w14:paraId="69B52B16" w14:textId="77777777" w:rsidR="00960E88" w:rsidRPr="00960E88" w:rsidRDefault="00960E88" w:rsidP="00960E88">
            <w:pPr>
              <w:spacing w:after="0" w:line="240" w:lineRule="auto"/>
              <w:jc w:val="right"/>
              <w:rPr>
                <w:rFonts w:ascii="Times New Roman" w:eastAsia="Times New Roman" w:hAnsi="Times New Roman" w:cs="Times New Roman"/>
                <w:sz w:val="20"/>
                <w:szCs w:val="20"/>
                <w:lang w:eastAsia="cs-CZ"/>
              </w:rPr>
            </w:pPr>
          </w:p>
        </w:tc>
      </w:tr>
      <w:tr w:rsidR="00960E88" w:rsidRPr="00960E88" w14:paraId="5E7D858F" w14:textId="77777777" w:rsidTr="00960E88">
        <w:trPr>
          <w:trHeight w:val="320"/>
        </w:trPr>
        <w:tc>
          <w:tcPr>
            <w:tcW w:w="482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2E574515" w14:textId="77777777" w:rsidR="00960E88" w:rsidRPr="00960E88" w:rsidRDefault="00960E88" w:rsidP="00960E88">
            <w:pPr>
              <w:spacing w:after="0" w:line="240" w:lineRule="auto"/>
              <w:rPr>
                <w:rFonts w:ascii="Calibri" w:eastAsia="Times New Roman" w:hAnsi="Calibri" w:cs="Arial"/>
                <w:b/>
                <w:bCs/>
                <w:sz w:val="24"/>
                <w:szCs w:val="24"/>
                <w:lang w:eastAsia="cs-CZ"/>
              </w:rPr>
            </w:pPr>
            <w:r w:rsidRPr="00960E88">
              <w:rPr>
                <w:rFonts w:ascii="Calibri" w:eastAsia="Times New Roman" w:hAnsi="Calibri" w:cs="Arial"/>
                <w:b/>
                <w:bCs/>
                <w:sz w:val="24"/>
                <w:szCs w:val="24"/>
                <w:lang w:eastAsia="cs-CZ"/>
              </w:rPr>
              <w:t>Celkem výdaje</w:t>
            </w:r>
          </w:p>
        </w:tc>
        <w:tc>
          <w:tcPr>
            <w:tcW w:w="1276" w:type="dxa"/>
            <w:tcBorders>
              <w:top w:val="single" w:sz="8" w:space="0" w:color="auto"/>
              <w:left w:val="nil"/>
              <w:bottom w:val="single" w:sz="8" w:space="0" w:color="auto"/>
              <w:right w:val="single" w:sz="8" w:space="0" w:color="auto"/>
            </w:tcBorders>
            <w:shd w:val="clear" w:color="auto" w:fill="auto"/>
            <w:noWrap/>
            <w:vAlign w:val="bottom"/>
            <w:hideMark/>
          </w:tcPr>
          <w:p w14:paraId="6501FBF0" w14:textId="77777777" w:rsidR="00960E88" w:rsidRPr="00960E88" w:rsidRDefault="00960E88" w:rsidP="00960E88">
            <w:pPr>
              <w:spacing w:after="0" w:line="240" w:lineRule="auto"/>
              <w:jc w:val="right"/>
              <w:rPr>
                <w:rFonts w:ascii="Calibri" w:eastAsia="Times New Roman" w:hAnsi="Calibri" w:cs="Arial"/>
                <w:b/>
                <w:bCs/>
                <w:lang w:eastAsia="cs-CZ"/>
              </w:rPr>
            </w:pPr>
            <w:r w:rsidRPr="00960E88">
              <w:rPr>
                <w:rFonts w:ascii="Calibri" w:eastAsia="Times New Roman" w:hAnsi="Calibri" w:cs="Arial"/>
                <w:b/>
                <w:bCs/>
                <w:lang w:eastAsia="cs-CZ"/>
              </w:rPr>
              <w:t>92 575 000</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14:paraId="182B00B4" w14:textId="77777777" w:rsidR="00960E88" w:rsidRPr="00960E88" w:rsidRDefault="00960E88" w:rsidP="00960E88">
            <w:pPr>
              <w:spacing w:after="0" w:line="240" w:lineRule="auto"/>
              <w:jc w:val="right"/>
              <w:rPr>
                <w:rFonts w:ascii="Calibri" w:eastAsia="Times New Roman" w:hAnsi="Calibri" w:cs="Arial"/>
                <w:b/>
                <w:bCs/>
                <w:lang w:eastAsia="cs-CZ"/>
              </w:rPr>
            </w:pPr>
            <w:r w:rsidRPr="00960E88">
              <w:rPr>
                <w:rFonts w:ascii="Calibri" w:eastAsia="Times New Roman" w:hAnsi="Calibri" w:cs="Arial"/>
                <w:b/>
                <w:bCs/>
                <w:lang w:eastAsia="cs-CZ"/>
              </w:rPr>
              <w:t>318 290 713,41</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14:paraId="44C6BD0D" w14:textId="77777777" w:rsidR="00960E88" w:rsidRPr="00960E88" w:rsidRDefault="00960E88" w:rsidP="00960E88">
            <w:pPr>
              <w:spacing w:after="0" w:line="240" w:lineRule="auto"/>
              <w:jc w:val="right"/>
              <w:rPr>
                <w:rFonts w:ascii="Calibri" w:eastAsia="Times New Roman" w:hAnsi="Calibri" w:cs="Arial"/>
                <w:b/>
                <w:bCs/>
                <w:lang w:eastAsia="cs-CZ"/>
              </w:rPr>
            </w:pPr>
            <w:r w:rsidRPr="00960E88">
              <w:rPr>
                <w:rFonts w:ascii="Calibri" w:eastAsia="Times New Roman" w:hAnsi="Calibri" w:cs="Arial"/>
                <w:b/>
                <w:bCs/>
                <w:lang w:eastAsia="cs-CZ"/>
              </w:rPr>
              <w:t>179 328 147,41</w:t>
            </w:r>
          </w:p>
        </w:tc>
        <w:tc>
          <w:tcPr>
            <w:tcW w:w="737"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14:paraId="174F7664" w14:textId="77777777" w:rsidR="00960E88" w:rsidRPr="00960E88" w:rsidRDefault="00960E88" w:rsidP="00960E88">
            <w:pPr>
              <w:spacing w:after="0" w:line="240" w:lineRule="auto"/>
              <w:jc w:val="right"/>
              <w:rPr>
                <w:rFonts w:ascii="Calibri" w:eastAsia="Times New Roman" w:hAnsi="Calibri" w:cs="Arial"/>
                <w:b/>
                <w:bCs/>
                <w:lang w:eastAsia="cs-CZ"/>
              </w:rPr>
            </w:pPr>
            <w:r w:rsidRPr="00960E88">
              <w:rPr>
                <w:rFonts w:ascii="Calibri" w:eastAsia="Times New Roman" w:hAnsi="Calibri" w:cs="Arial"/>
                <w:b/>
                <w:bCs/>
                <w:lang w:eastAsia="cs-CZ"/>
              </w:rPr>
              <w:t>56,3</w:t>
            </w:r>
          </w:p>
        </w:tc>
      </w:tr>
    </w:tbl>
    <w:p w14:paraId="0553D363" w14:textId="77777777" w:rsidR="0072554E" w:rsidRDefault="0072554E" w:rsidP="0072554E">
      <w:pPr>
        <w:pStyle w:val="Normln10"/>
        <w:jc w:val="both"/>
        <w:rPr>
          <w:rFonts w:asciiTheme="minorHAnsi" w:hAnsiTheme="minorHAnsi" w:cstheme="minorHAnsi"/>
          <w:color w:val="auto"/>
          <w:sz w:val="22"/>
          <w:szCs w:val="22"/>
        </w:rPr>
      </w:pPr>
    </w:p>
    <w:p w14:paraId="7BE13C5A" w14:textId="77777777" w:rsidR="0072554E" w:rsidRDefault="0072554E" w:rsidP="0072554E">
      <w:pPr>
        <w:pStyle w:val="Normln10"/>
        <w:jc w:val="both"/>
        <w:rPr>
          <w:rFonts w:asciiTheme="minorHAnsi" w:hAnsiTheme="minorHAnsi" w:cstheme="minorHAnsi"/>
          <w:color w:val="auto"/>
          <w:sz w:val="22"/>
          <w:szCs w:val="22"/>
        </w:rPr>
      </w:pPr>
    </w:p>
    <w:p w14:paraId="0AD53C2A" w14:textId="77777777" w:rsidR="0072554E" w:rsidRDefault="0072554E" w:rsidP="0072554E">
      <w:pPr>
        <w:pStyle w:val="Normln10"/>
        <w:jc w:val="both"/>
        <w:rPr>
          <w:rFonts w:asciiTheme="minorHAnsi" w:hAnsiTheme="minorHAnsi" w:cstheme="minorHAnsi"/>
          <w:color w:val="auto"/>
          <w:sz w:val="22"/>
          <w:szCs w:val="22"/>
        </w:rPr>
      </w:pPr>
    </w:p>
    <w:p w14:paraId="3171C74A" w14:textId="77777777" w:rsidR="0072554E" w:rsidRDefault="0072554E" w:rsidP="0072554E">
      <w:pPr>
        <w:pStyle w:val="Normln10"/>
        <w:jc w:val="both"/>
        <w:rPr>
          <w:rFonts w:asciiTheme="minorHAnsi" w:hAnsiTheme="minorHAnsi" w:cstheme="minorHAnsi"/>
          <w:color w:val="auto"/>
          <w:sz w:val="22"/>
          <w:szCs w:val="22"/>
        </w:rPr>
      </w:pPr>
    </w:p>
    <w:p w14:paraId="74F725EA" w14:textId="77777777" w:rsidR="0072554E" w:rsidRDefault="0072554E" w:rsidP="0072554E">
      <w:pPr>
        <w:pStyle w:val="Normln10"/>
        <w:jc w:val="both"/>
        <w:rPr>
          <w:rFonts w:asciiTheme="minorHAnsi" w:hAnsiTheme="minorHAnsi" w:cstheme="minorHAnsi"/>
          <w:color w:val="auto"/>
          <w:sz w:val="22"/>
          <w:szCs w:val="22"/>
        </w:rPr>
      </w:pPr>
    </w:p>
    <w:p w14:paraId="48767F83" w14:textId="77777777" w:rsidR="0072554E" w:rsidRDefault="0072554E" w:rsidP="0072554E">
      <w:pPr>
        <w:pStyle w:val="Normln10"/>
        <w:jc w:val="both"/>
        <w:rPr>
          <w:rFonts w:asciiTheme="minorHAnsi" w:hAnsiTheme="minorHAnsi" w:cstheme="minorHAnsi"/>
          <w:color w:val="auto"/>
          <w:sz w:val="22"/>
          <w:szCs w:val="22"/>
        </w:rPr>
      </w:pPr>
    </w:p>
    <w:p w14:paraId="0506A806" w14:textId="77777777" w:rsidR="0072554E" w:rsidRDefault="0072554E" w:rsidP="0072554E">
      <w:pPr>
        <w:pStyle w:val="Normln10"/>
        <w:jc w:val="both"/>
        <w:rPr>
          <w:rFonts w:asciiTheme="minorHAnsi" w:hAnsiTheme="minorHAnsi" w:cstheme="minorHAnsi"/>
          <w:color w:val="auto"/>
          <w:sz w:val="22"/>
          <w:szCs w:val="22"/>
        </w:rPr>
      </w:pPr>
    </w:p>
    <w:p w14:paraId="6B68A314" w14:textId="77777777" w:rsidR="0072554E" w:rsidRDefault="0072554E" w:rsidP="0072554E">
      <w:pPr>
        <w:pStyle w:val="Normln10"/>
        <w:jc w:val="both"/>
        <w:rPr>
          <w:rFonts w:asciiTheme="minorHAnsi" w:hAnsiTheme="minorHAnsi" w:cstheme="minorHAnsi"/>
          <w:color w:val="auto"/>
          <w:sz w:val="22"/>
          <w:szCs w:val="22"/>
        </w:rPr>
      </w:pPr>
    </w:p>
    <w:p w14:paraId="2845193F" w14:textId="77777777" w:rsidR="0072554E" w:rsidRPr="0003094C" w:rsidRDefault="0072554E" w:rsidP="0072554E">
      <w:pPr>
        <w:pStyle w:val="Normln10"/>
        <w:jc w:val="both"/>
        <w:rPr>
          <w:rFonts w:asciiTheme="minorHAnsi" w:hAnsiTheme="minorHAnsi" w:cstheme="minorHAnsi"/>
          <w:color w:val="auto"/>
          <w:sz w:val="22"/>
          <w:szCs w:val="22"/>
        </w:rPr>
      </w:pPr>
    </w:p>
    <w:p w14:paraId="7DE65DC6" w14:textId="77777777" w:rsidR="0072554E" w:rsidRDefault="0072554E" w:rsidP="0072554E">
      <w:pPr>
        <w:spacing w:after="0" w:line="240" w:lineRule="auto"/>
        <w:jc w:val="both"/>
        <w:rPr>
          <w:rFonts w:cstheme="minorHAnsi"/>
        </w:rPr>
      </w:pPr>
    </w:p>
    <w:p w14:paraId="09A8779C" w14:textId="77777777" w:rsidR="0072554E" w:rsidRDefault="0072554E" w:rsidP="0072554E">
      <w:pPr>
        <w:spacing w:after="0" w:line="240" w:lineRule="auto"/>
        <w:jc w:val="both"/>
        <w:rPr>
          <w:rFonts w:cstheme="minorHAnsi"/>
        </w:rPr>
      </w:pPr>
    </w:p>
    <w:p w14:paraId="1F0146C2" w14:textId="77777777" w:rsidR="0072554E" w:rsidRDefault="0072554E" w:rsidP="0072554E">
      <w:pPr>
        <w:spacing w:after="0" w:line="240" w:lineRule="auto"/>
        <w:jc w:val="both"/>
        <w:rPr>
          <w:rFonts w:cstheme="minorHAnsi"/>
        </w:rPr>
      </w:pPr>
    </w:p>
    <w:p w14:paraId="0F0444F7" w14:textId="34CABBD0" w:rsidR="0072554E" w:rsidRDefault="0072554E" w:rsidP="0072554E">
      <w:pPr>
        <w:spacing w:after="0" w:line="240" w:lineRule="auto"/>
        <w:jc w:val="both"/>
        <w:rPr>
          <w:rFonts w:cstheme="minorHAnsi"/>
        </w:rPr>
      </w:pPr>
    </w:p>
    <w:p w14:paraId="6093E4F7" w14:textId="24C3BFBC" w:rsidR="00B83477" w:rsidRDefault="00B83477" w:rsidP="0072554E">
      <w:pPr>
        <w:spacing w:after="0" w:line="240" w:lineRule="auto"/>
        <w:jc w:val="both"/>
        <w:rPr>
          <w:rFonts w:cstheme="minorHAnsi"/>
        </w:rPr>
      </w:pPr>
    </w:p>
    <w:p w14:paraId="049F4746" w14:textId="6D7DEFD7" w:rsidR="00B83477" w:rsidRDefault="00B83477" w:rsidP="0072554E">
      <w:pPr>
        <w:spacing w:after="0" w:line="240" w:lineRule="auto"/>
        <w:jc w:val="both"/>
        <w:rPr>
          <w:rFonts w:cstheme="minorHAnsi"/>
        </w:rPr>
      </w:pPr>
    </w:p>
    <w:p w14:paraId="1366F9C7" w14:textId="708905B5" w:rsidR="00B83477" w:rsidRDefault="00B83477" w:rsidP="0072554E">
      <w:pPr>
        <w:spacing w:after="0" w:line="240" w:lineRule="auto"/>
        <w:jc w:val="both"/>
        <w:rPr>
          <w:rFonts w:cstheme="minorHAnsi"/>
        </w:rPr>
      </w:pPr>
    </w:p>
    <w:p w14:paraId="53ACD65B" w14:textId="28A84697" w:rsidR="00B83477" w:rsidRDefault="00B83477" w:rsidP="0072554E">
      <w:pPr>
        <w:spacing w:after="0" w:line="240" w:lineRule="auto"/>
        <w:jc w:val="both"/>
        <w:rPr>
          <w:rFonts w:cstheme="minorHAnsi"/>
        </w:rPr>
      </w:pPr>
    </w:p>
    <w:p w14:paraId="5AA8C70D" w14:textId="17E92068" w:rsidR="00B83477" w:rsidRDefault="00B83477" w:rsidP="0072554E">
      <w:pPr>
        <w:spacing w:after="0" w:line="240" w:lineRule="auto"/>
        <w:jc w:val="both"/>
        <w:rPr>
          <w:rFonts w:cstheme="minorHAnsi"/>
        </w:rPr>
      </w:pPr>
    </w:p>
    <w:p w14:paraId="658CF1B9" w14:textId="6B222C08" w:rsidR="00B83477" w:rsidRDefault="00B83477" w:rsidP="0072554E">
      <w:pPr>
        <w:spacing w:after="0" w:line="240" w:lineRule="auto"/>
        <w:jc w:val="both"/>
        <w:rPr>
          <w:rFonts w:cstheme="minorHAnsi"/>
        </w:rPr>
      </w:pPr>
    </w:p>
    <w:p w14:paraId="19002957" w14:textId="363EC0F4" w:rsidR="00B83477" w:rsidRDefault="00B83477" w:rsidP="0072554E">
      <w:pPr>
        <w:spacing w:after="0" w:line="240" w:lineRule="auto"/>
        <w:jc w:val="both"/>
        <w:rPr>
          <w:rFonts w:cstheme="minorHAnsi"/>
        </w:rPr>
      </w:pPr>
    </w:p>
    <w:p w14:paraId="207D1C05" w14:textId="7AA8BB50" w:rsidR="00B83477" w:rsidRDefault="00B83477" w:rsidP="0072554E">
      <w:pPr>
        <w:spacing w:after="0" w:line="240" w:lineRule="auto"/>
        <w:jc w:val="both"/>
        <w:rPr>
          <w:rFonts w:cstheme="minorHAnsi"/>
        </w:rPr>
      </w:pPr>
    </w:p>
    <w:p w14:paraId="3626E18D" w14:textId="0CA7B0DF" w:rsidR="00B83477" w:rsidRDefault="00B83477" w:rsidP="0072554E">
      <w:pPr>
        <w:spacing w:after="0" w:line="240" w:lineRule="auto"/>
        <w:jc w:val="both"/>
        <w:rPr>
          <w:rFonts w:cstheme="minorHAnsi"/>
        </w:rPr>
      </w:pPr>
    </w:p>
    <w:p w14:paraId="18391BE7" w14:textId="61F02BEE" w:rsidR="00B83477" w:rsidRDefault="00B83477" w:rsidP="0072554E">
      <w:pPr>
        <w:spacing w:after="0" w:line="240" w:lineRule="auto"/>
        <w:jc w:val="both"/>
        <w:rPr>
          <w:rFonts w:cstheme="minorHAnsi"/>
        </w:rPr>
      </w:pPr>
    </w:p>
    <w:p w14:paraId="55D24072" w14:textId="7DFF4055" w:rsidR="00B83477" w:rsidRDefault="00B83477" w:rsidP="0072554E">
      <w:pPr>
        <w:spacing w:after="0" w:line="240" w:lineRule="auto"/>
        <w:jc w:val="both"/>
        <w:rPr>
          <w:rFonts w:cstheme="minorHAnsi"/>
        </w:rPr>
      </w:pPr>
    </w:p>
    <w:p w14:paraId="445404CD" w14:textId="6648F321" w:rsidR="00B83477" w:rsidRDefault="00B83477" w:rsidP="0072554E">
      <w:pPr>
        <w:spacing w:after="0" w:line="240" w:lineRule="auto"/>
        <w:jc w:val="both"/>
        <w:rPr>
          <w:rFonts w:cstheme="minorHAnsi"/>
        </w:rPr>
      </w:pPr>
    </w:p>
    <w:p w14:paraId="17A41DD8" w14:textId="0E19ADAE" w:rsidR="00B83477" w:rsidRDefault="00B83477" w:rsidP="0072554E">
      <w:pPr>
        <w:spacing w:after="0" w:line="240" w:lineRule="auto"/>
        <w:jc w:val="both"/>
        <w:rPr>
          <w:rFonts w:cstheme="minorHAnsi"/>
        </w:rPr>
      </w:pPr>
    </w:p>
    <w:p w14:paraId="0A28A742" w14:textId="54A5478C" w:rsidR="00B83477" w:rsidRDefault="00B83477" w:rsidP="0072554E">
      <w:pPr>
        <w:spacing w:after="0" w:line="240" w:lineRule="auto"/>
        <w:jc w:val="both"/>
        <w:rPr>
          <w:rFonts w:cstheme="minorHAnsi"/>
        </w:rPr>
      </w:pPr>
    </w:p>
    <w:p w14:paraId="63B6A504" w14:textId="70E57E84" w:rsidR="00B83477" w:rsidRDefault="00B83477" w:rsidP="0072554E">
      <w:pPr>
        <w:spacing w:after="0" w:line="240" w:lineRule="auto"/>
        <w:jc w:val="both"/>
        <w:rPr>
          <w:rFonts w:cstheme="minorHAnsi"/>
        </w:rPr>
      </w:pPr>
    </w:p>
    <w:p w14:paraId="2F3375A8" w14:textId="6435707E" w:rsidR="00B83477" w:rsidRDefault="00B83477" w:rsidP="0072554E">
      <w:pPr>
        <w:spacing w:after="0" w:line="240" w:lineRule="auto"/>
        <w:jc w:val="both"/>
        <w:rPr>
          <w:rFonts w:cstheme="minorHAnsi"/>
        </w:rPr>
      </w:pPr>
    </w:p>
    <w:p w14:paraId="71297008" w14:textId="5DBBD013" w:rsidR="00B83477" w:rsidRDefault="00B83477" w:rsidP="0072554E">
      <w:pPr>
        <w:spacing w:after="0" w:line="240" w:lineRule="auto"/>
        <w:jc w:val="both"/>
        <w:rPr>
          <w:rFonts w:cstheme="minorHAnsi"/>
        </w:rPr>
      </w:pPr>
    </w:p>
    <w:p w14:paraId="092A5BC5" w14:textId="390F5980" w:rsidR="00B83477" w:rsidRDefault="00B83477" w:rsidP="0072554E">
      <w:pPr>
        <w:spacing w:after="0" w:line="240" w:lineRule="auto"/>
        <w:jc w:val="both"/>
        <w:rPr>
          <w:rFonts w:cstheme="minorHAnsi"/>
        </w:rPr>
      </w:pPr>
    </w:p>
    <w:p w14:paraId="1CE9618A" w14:textId="404F9D09" w:rsidR="00B83477" w:rsidRDefault="00B83477" w:rsidP="0072554E">
      <w:pPr>
        <w:spacing w:after="0" w:line="240" w:lineRule="auto"/>
        <w:jc w:val="both"/>
        <w:rPr>
          <w:rFonts w:cstheme="minorHAnsi"/>
        </w:rPr>
      </w:pPr>
    </w:p>
    <w:p w14:paraId="49483B0F" w14:textId="730E91A7" w:rsidR="00B83477" w:rsidRDefault="00B83477" w:rsidP="0072554E">
      <w:pPr>
        <w:spacing w:after="0" w:line="240" w:lineRule="auto"/>
        <w:jc w:val="both"/>
        <w:rPr>
          <w:rFonts w:cstheme="minorHAnsi"/>
        </w:rPr>
      </w:pPr>
    </w:p>
    <w:p w14:paraId="10F6A064" w14:textId="6073E562" w:rsidR="00B83477" w:rsidRDefault="00B83477" w:rsidP="0072554E">
      <w:pPr>
        <w:spacing w:after="0" w:line="240" w:lineRule="auto"/>
        <w:jc w:val="both"/>
        <w:rPr>
          <w:rFonts w:cstheme="minorHAnsi"/>
        </w:rPr>
      </w:pPr>
    </w:p>
    <w:p w14:paraId="5933BE43" w14:textId="3116EC21" w:rsidR="00B83477" w:rsidRDefault="00B83477" w:rsidP="0072554E">
      <w:pPr>
        <w:spacing w:after="0" w:line="240" w:lineRule="auto"/>
        <w:jc w:val="both"/>
        <w:rPr>
          <w:rFonts w:cstheme="minorHAnsi"/>
        </w:rPr>
      </w:pPr>
    </w:p>
    <w:p w14:paraId="576D7505" w14:textId="1D2F2227" w:rsidR="00B83477" w:rsidRDefault="00B83477" w:rsidP="0072554E">
      <w:pPr>
        <w:spacing w:after="0" w:line="240" w:lineRule="auto"/>
        <w:jc w:val="both"/>
        <w:rPr>
          <w:rFonts w:cstheme="minorHAnsi"/>
        </w:rPr>
      </w:pPr>
    </w:p>
    <w:p w14:paraId="343DE3C6" w14:textId="6183BFBE" w:rsidR="00B83477" w:rsidRDefault="00B83477" w:rsidP="0072554E">
      <w:pPr>
        <w:spacing w:after="0" w:line="240" w:lineRule="auto"/>
        <w:jc w:val="both"/>
        <w:rPr>
          <w:rFonts w:cstheme="minorHAnsi"/>
        </w:rPr>
      </w:pPr>
    </w:p>
    <w:p w14:paraId="165FB9D6" w14:textId="71690A1A" w:rsidR="007E7613" w:rsidRDefault="007E7613" w:rsidP="0072554E">
      <w:pPr>
        <w:spacing w:after="0" w:line="240" w:lineRule="auto"/>
        <w:jc w:val="both"/>
        <w:rPr>
          <w:rFonts w:cstheme="minorHAnsi"/>
        </w:rPr>
      </w:pPr>
    </w:p>
    <w:p w14:paraId="65B56C99" w14:textId="7C140BCF" w:rsidR="007E7613" w:rsidRDefault="007E7613" w:rsidP="0072554E">
      <w:pPr>
        <w:spacing w:after="0" w:line="240" w:lineRule="auto"/>
        <w:jc w:val="both"/>
        <w:rPr>
          <w:rFonts w:cstheme="minorHAnsi"/>
        </w:rPr>
      </w:pPr>
    </w:p>
    <w:p w14:paraId="2816096C" w14:textId="70744C92" w:rsidR="007E7613" w:rsidRDefault="007E7613" w:rsidP="0072554E">
      <w:pPr>
        <w:spacing w:after="0" w:line="240" w:lineRule="auto"/>
        <w:jc w:val="both"/>
        <w:rPr>
          <w:rFonts w:cstheme="minorHAnsi"/>
        </w:rPr>
      </w:pPr>
    </w:p>
    <w:p w14:paraId="38AA8329" w14:textId="00769B22" w:rsidR="007E7613" w:rsidRDefault="007E7613" w:rsidP="0072554E">
      <w:pPr>
        <w:spacing w:after="0" w:line="240" w:lineRule="auto"/>
        <w:jc w:val="both"/>
        <w:rPr>
          <w:rFonts w:cstheme="minorHAnsi"/>
        </w:rPr>
      </w:pPr>
    </w:p>
    <w:p w14:paraId="612A15A8" w14:textId="77777777" w:rsidR="007E7613" w:rsidRDefault="007E7613" w:rsidP="0072554E">
      <w:pPr>
        <w:spacing w:after="0" w:line="240" w:lineRule="auto"/>
        <w:jc w:val="both"/>
        <w:rPr>
          <w:rFonts w:cstheme="minorHAnsi"/>
        </w:rPr>
      </w:pPr>
    </w:p>
    <w:p w14:paraId="57335528" w14:textId="6756CAC0" w:rsidR="00B83477" w:rsidRDefault="00B83477" w:rsidP="0072554E">
      <w:pPr>
        <w:spacing w:after="0" w:line="240" w:lineRule="auto"/>
        <w:jc w:val="both"/>
        <w:rPr>
          <w:rFonts w:cstheme="minorHAnsi"/>
        </w:rPr>
      </w:pPr>
    </w:p>
    <w:p w14:paraId="7A696F3E" w14:textId="5626C17F" w:rsidR="00960E88" w:rsidRDefault="00960E88" w:rsidP="00B83477">
      <w:pPr>
        <w:rPr>
          <w:rFonts w:ascii="Calibri" w:hAnsi="Calibri" w:cs="Calibri"/>
          <w:b/>
          <w:sz w:val="28"/>
          <w:szCs w:val="28"/>
          <w:u w:val="single"/>
        </w:rPr>
      </w:pPr>
      <w:r w:rsidRPr="003D68EF">
        <w:rPr>
          <w:rFonts w:ascii="Calibri" w:hAnsi="Calibri" w:cs="Calibri"/>
          <w:b/>
          <w:sz w:val="28"/>
          <w:szCs w:val="28"/>
          <w:u w:val="single"/>
        </w:rPr>
        <w:t>Kapitola 10 – Životní prostředí a zemědělství</w:t>
      </w:r>
    </w:p>
    <w:p w14:paraId="27DA0BDD" w14:textId="77777777" w:rsidR="00B83477" w:rsidRPr="003D68EF" w:rsidRDefault="00B83477" w:rsidP="00B83477">
      <w:pPr>
        <w:rPr>
          <w:rFonts w:ascii="Calibri" w:hAnsi="Calibri" w:cs="Calibri"/>
          <w:b/>
          <w:sz w:val="28"/>
          <w:szCs w:val="28"/>
          <w:u w:val="single"/>
        </w:rPr>
      </w:pPr>
    </w:p>
    <w:p w14:paraId="4711765B" w14:textId="7AE417D1" w:rsidR="00B83477" w:rsidRPr="00B83477" w:rsidRDefault="00960E88" w:rsidP="00960E88">
      <w:pPr>
        <w:jc w:val="both"/>
        <w:rPr>
          <w:rFonts w:ascii="Calibri" w:hAnsi="Calibri" w:cs="Calibri"/>
          <w:b/>
          <w:sz w:val="24"/>
          <w:szCs w:val="24"/>
          <w:u w:val="single"/>
        </w:rPr>
      </w:pPr>
      <w:r w:rsidRPr="00B83477">
        <w:rPr>
          <w:rFonts w:ascii="Calibri" w:hAnsi="Calibri" w:cs="Calibri"/>
          <w:b/>
          <w:sz w:val="24"/>
          <w:szCs w:val="24"/>
          <w:u w:val="single"/>
        </w:rPr>
        <w:t>Běžné výdaje</w:t>
      </w:r>
    </w:p>
    <w:p w14:paraId="32ADB61D" w14:textId="77777777" w:rsidR="00960E88" w:rsidRPr="00A97F00" w:rsidRDefault="00960E88" w:rsidP="00A97F00">
      <w:pPr>
        <w:spacing w:after="0"/>
        <w:jc w:val="both"/>
        <w:rPr>
          <w:rFonts w:cs="Calibri"/>
          <w:b/>
        </w:rPr>
      </w:pPr>
      <w:r w:rsidRPr="00A97F00">
        <w:rPr>
          <w:rFonts w:cs="Calibri"/>
          <w:b/>
        </w:rPr>
        <w:t>§</w:t>
      </w:r>
      <w:smartTag w:uri="urn:schemas-microsoft-com:office:smarttags" w:element="PersonName">
        <w:r w:rsidRPr="00A97F00">
          <w:rPr>
            <w:rFonts w:cs="Calibri"/>
            <w:b/>
          </w:rPr>
          <w:t xml:space="preserve"> </w:t>
        </w:r>
      </w:smartTag>
      <w:r w:rsidRPr="00A97F00">
        <w:rPr>
          <w:rFonts w:cs="Calibri"/>
          <w:b/>
        </w:rPr>
        <w:t>1019 –</w:t>
      </w:r>
      <w:r w:rsidRPr="00A97F00">
        <w:rPr>
          <w:rFonts w:cs="Calibri"/>
        </w:rPr>
        <w:t xml:space="preserve"> </w:t>
      </w:r>
      <w:r w:rsidRPr="00A97F00">
        <w:rPr>
          <w:rFonts w:cs="Calibri"/>
          <w:b/>
        </w:rPr>
        <w:t>Ostatní</w:t>
      </w:r>
      <w:smartTag w:uri="urn:schemas-microsoft-com:office:smarttags" w:element="PersonName">
        <w:r w:rsidRPr="00A97F00">
          <w:rPr>
            <w:rFonts w:cs="Calibri"/>
            <w:b/>
          </w:rPr>
          <w:t xml:space="preserve"> </w:t>
        </w:r>
      </w:smartTag>
      <w:r w:rsidRPr="00A97F00">
        <w:rPr>
          <w:rFonts w:cs="Calibri"/>
          <w:b/>
        </w:rPr>
        <w:t>zemědělská</w:t>
      </w:r>
      <w:smartTag w:uri="urn:schemas-microsoft-com:office:smarttags" w:element="PersonName">
        <w:r w:rsidRPr="00A97F00">
          <w:rPr>
            <w:rFonts w:cs="Calibri"/>
            <w:b/>
          </w:rPr>
          <w:t xml:space="preserve"> </w:t>
        </w:r>
      </w:smartTag>
      <w:r w:rsidRPr="00A97F00">
        <w:rPr>
          <w:rFonts w:cs="Calibri"/>
          <w:b/>
        </w:rPr>
        <w:t>a</w:t>
      </w:r>
      <w:smartTag w:uri="urn:schemas-microsoft-com:office:smarttags" w:element="PersonName">
        <w:r w:rsidRPr="00A97F00">
          <w:rPr>
            <w:rFonts w:cs="Calibri"/>
            <w:b/>
          </w:rPr>
          <w:t xml:space="preserve"> </w:t>
        </w:r>
      </w:smartTag>
      <w:r w:rsidRPr="00A97F00">
        <w:rPr>
          <w:rFonts w:cs="Calibri"/>
          <w:b/>
        </w:rPr>
        <w:t>potravinářská</w:t>
      </w:r>
      <w:smartTag w:uri="urn:schemas-microsoft-com:office:smarttags" w:element="PersonName">
        <w:r w:rsidRPr="00A97F00">
          <w:rPr>
            <w:rFonts w:cs="Calibri"/>
            <w:b/>
          </w:rPr>
          <w:t xml:space="preserve"> </w:t>
        </w:r>
      </w:smartTag>
      <w:r w:rsidRPr="00A97F00">
        <w:rPr>
          <w:rFonts w:cs="Calibri"/>
          <w:b/>
        </w:rPr>
        <w:t>činnost</w:t>
      </w:r>
      <w:smartTag w:uri="urn:schemas-microsoft-com:office:smarttags" w:element="PersonName">
        <w:r w:rsidRPr="00A97F00">
          <w:rPr>
            <w:rFonts w:cs="Calibri"/>
            <w:b/>
          </w:rPr>
          <w:t xml:space="preserve"> </w:t>
        </w:r>
      </w:smartTag>
      <w:r w:rsidRPr="00A97F00">
        <w:rPr>
          <w:rFonts w:cs="Calibri"/>
          <w:b/>
        </w:rPr>
        <w:t>a</w:t>
      </w:r>
      <w:smartTag w:uri="urn:schemas-microsoft-com:office:smarttags" w:element="PersonName">
        <w:r w:rsidRPr="00A97F00">
          <w:rPr>
            <w:rFonts w:cs="Calibri"/>
            <w:b/>
          </w:rPr>
          <w:t xml:space="preserve"> </w:t>
        </w:r>
      </w:smartTag>
      <w:r w:rsidRPr="00A97F00">
        <w:rPr>
          <w:rFonts w:cs="Calibri"/>
          <w:b/>
        </w:rPr>
        <w:t xml:space="preserve">rozvoj </w:t>
      </w:r>
    </w:p>
    <w:p w14:paraId="4D304F40" w14:textId="77777777" w:rsidR="00960E88" w:rsidRPr="00A97F00" w:rsidRDefault="00960E88" w:rsidP="00A97F00">
      <w:pPr>
        <w:spacing w:after="0"/>
        <w:jc w:val="both"/>
        <w:rPr>
          <w:rFonts w:cs="Calibri"/>
        </w:rPr>
      </w:pPr>
      <w:r w:rsidRPr="00A97F00">
        <w:rPr>
          <w:rFonts w:cs="Calibri"/>
        </w:rPr>
        <w:t>▪ výdaje spojené s akcí „Středočeské dožínky 2021“ (353 879,00 Kč) - Výstaviště Lysá nad Labem, spol. s r. o., Rückl Crystal a. s., Štěpán Kraml</w:t>
      </w:r>
    </w:p>
    <w:p w14:paraId="515D267C" w14:textId="77777777" w:rsidR="00960E88" w:rsidRPr="00A97F00" w:rsidRDefault="00960E88" w:rsidP="00A97F00">
      <w:pPr>
        <w:spacing w:after="0"/>
        <w:jc w:val="both"/>
        <w:rPr>
          <w:rFonts w:cs="Calibri"/>
        </w:rPr>
      </w:pPr>
      <w:r w:rsidRPr="00A97F00">
        <w:rPr>
          <w:rFonts w:cs="Calibri"/>
        </w:rPr>
        <w:t>▪ zajištění akce „Pivní a vinné slavnosti 2021“ (235 000,00 Kč) - Výstaviště Lysá nad Labem, spol. s r. o.</w:t>
      </w:r>
    </w:p>
    <w:p w14:paraId="7D9A53E3" w14:textId="77777777" w:rsidR="00960E88" w:rsidRPr="00A97F00" w:rsidRDefault="00960E88" w:rsidP="00A97F00">
      <w:pPr>
        <w:spacing w:after="0"/>
        <w:jc w:val="both"/>
        <w:rPr>
          <w:rFonts w:cs="Calibri"/>
        </w:rPr>
      </w:pPr>
      <w:r w:rsidRPr="00A97F00">
        <w:rPr>
          <w:rFonts w:cs="Calibri"/>
        </w:rPr>
        <w:t xml:space="preserve">V rámci rozdělení zůstatku hospodaření Středočeského kraje z roku 2020 byly do rozpočtu v oblasti zemědělské a potravinářské činnosti zapojeny finanční prostředky v objemu 800 000,00 Kč (usnesení č. 007-6/2021/ZK ze dne 26. 4. 2021). </w:t>
      </w:r>
    </w:p>
    <w:p w14:paraId="24911A70" w14:textId="77777777" w:rsidR="00960E88" w:rsidRPr="00A97F00" w:rsidRDefault="00960E88" w:rsidP="00A97F00">
      <w:pPr>
        <w:spacing w:after="0"/>
        <w:jc w:val="both"/>
        <w:rPr>
          <w:rFonts w:cs="Calibri"/>
        </w:rPr>
      </w:pPr>
      <w:r w:rsidRPr="00A97F00">
        <w:rPr>
          <w:rFonts w:cs="Calibri"/>
        </w:rPr>
        <w:t xml:space="preserve">Na nižší čerpání rozpočtu má vliv omezení a zákaz konání hromadných akcí z důvodu koronavirové epidemie. I ve složitých podmínkách se konala soutěž Potravinářský výrobek Středočeského kraje, která je zaměřena na podporu propagace malých a středních potravinářských výrobců v regionu. Vzhledem k situaci výrobci odmítli na výstavišti v Lysé nad Labem zajištění prodejních stánků. </w:t>
      </w:r>
    </w:p>
    <w:p w14:paraId="1161D228" w14:textId="77777777" w:rsidR="00960E88" w:rsidRPr="00A97F00" w:rsidRDefault="00960E88" w:rsidP="00A97F00">
      <w:pPr>
        <w:spacing w:after="0"/>
        <w:jc w:val="both"/>
        <w:rPr>
          <w:rFonts w:cs="Calibri"/>
        </w:rPr>
      </w:pPr>
    </w:p>
    <w:p w14:paraId="70C80931" w14:textId="77777777" w:rsidR="00960E88" w:rsidRPr="00A97F00" w:rsidRDefault="00960E88" w:rsidP="00A97F00">
      <w:pPr>
        <w:spacing w:after="0"/>
        <w:jc w:val="both"/>
        <w:rPr>
          <w:rFonts w:cs="Calibri"/>
          <w:b/>
        </w:rPr>
      </w:pPr>
      <w:r w:rsidRPr="00A97F00">
        <w:rPr>
          <w:rFonts w:cs="Calibri"/>
          <w:b/>
        </w:rPr>
        <w:t>§</w:t>
      </w:r>
      <w:smartTag w:uri="urn:schemas-microsoft-com:office:smarttags" w:element="PersonName">
        <w:r w:rsidRPr="00A97F00">
          <w:rPr>
            <w:rFonts w:cs="Calibri"/>
            <w:b/>
          </w:rPr>
          <w:t xml:space="preserve"> </w:t>
        </w:r>
      </w:smartTag>
      <w:r w:rsidRPr="00A97F00">
        <w:rPr>
          <w:rFonts w:cs="Calibri"/>
          <w:b/>
        </w:rPr>
        <w:t>1031 – Pěstební</w:t>
      </w:r>
      <w:smartTag w:uri="urn:schemas-microsoft-com:office:smarttags" w:element="PersonName">
        <w:r w:rsidRPr="00A97F00">
          <w:rPr>
            <w:rFonts w:cs="Calibri"/>
            <w:b/>
          </w:rPr>
          <w:t xml:space="preserve"> </w:t>
        </w:r>
      </w:smartTag>
      <w:r w:rsidRPr="00A97F00">
        <w:rPr>
          <w:rFonts w:cs="Calibri"/>
          <w:b/>
        </w:rPr>
        <w:t xml:space="preserve">činnost </w:t>
      </w:r>
    </w:p>
    <w:p w14:paraId="451593A3" w14:textId="7ECBA724" w:rsidR="00960E88" w:rsidRPr="00A97F00" w:rsidRDefault="00960E88" w:rsidP="00A97F00">
      <w:pPr>
        <w:spacing w:after="0"/>
        <w:jc w:val="both"/>
        <w:rPr>
          <w:rFonts w:cs="Calibri"/>
        </w:rPr>
      </w:pPr>
      <w:r w:rsidRPr="00A97F00">
        <w:rPr>
          <w:rFonts w:cs="Calibri"/>
        </w:rPr>
        <w:t>Do rozpočtu oblasti pěstební činnosti byl zahrnut usnesením č. 046-05/2021/RK ze dne 4. 2. 2021 převod nevyčerpaných účelových finančních prostředků z roku 2020 ve výši 7 999 128,00 Kč na úhradu příspěvků na hospodaření v lesích z roku 2020. Na základě toho byla částka zapojena do rozdělení zůstatku hospodaření Středočeského kraje z roku 2020 (usnesení č. 007-6/2021/ZK ze dne 26. 4. 2021). Příspěvky na zřizování nových oplocenek při obnově melioračních a zpevňujících dřevin (dotační titul dle písmene P) byly schváleny usnesením č. 074-87/2020/RK ze dne 17. 12. 2020 a usnesením č. 027-03/2021/ZK ze dne 25. 1. 2021. Na základě uzavřených veřejnoprávních smluv bylo ke dni 31. 12. 2021 proplaceno 7 988 289,00 Kč, veřejnoprávní smlouva se společností Kolařík Hluboš, spol.      s r. o. ve výši 10 839,00 Kč nebyla uzavřena ze strany žadatele.</w:t>
      </w:r>
    </w:p>
    <w:p w14:paraId="67CDB159" w14:textId="77777777" w:rsidR="00960E88" w:rsidRPr="00A97F00" w:rsidRDefault="00960E88" w:rsidP="00A97F00">
      <w:pPr>
        <w:spacing w:after="0"/>
        <w:jc w:val="both"/>
        <w:rPr>
          <w:rFonts w:cs="Calibri"/>
        </w:rPr>
      </w:pPr>
      <w:r w:rsidRPr="00A97F00">
        <w:rPr>
          <w:rFonts w:cs="Calibri"/>
        </w:rPr>
        <w:t>Vzhledem k novelizaci nařízení vlády č. 30/2014 Sb., kdy byl dotační titul na zřizování oplocenek zahrnut pod dotační program Ministerstva zemědělství ČR, není již možné s ohledem na duplicitní charakter podpory administrovat požadavky dle schválených Zásad pro poskytování finančních příspěvků na hospodaření v lesích z rozpočtu Středočeského kraje a způsobu kontroly jejich využití. Středočeský kraj pozastavil proplácení a administraci registrací a žádostí podaných od 1. 7. 2020 na základě usnesení č. 010-64/2020/RK ze dne 31. 8. 2020.</w:t>
      </w:r>
    </w:p>
    <w:p w14:paraId="465EBF0E" w14:textId="77777777" w:rsidR="00960E88" w:rsidRPr="00A97F00" w:rsidRDefault="00960E88" w:rsidP="00A97F00">
      <w:pPr>
        <w:spacing w:after="0"/>
        <w:jc w:val="both"/>
        <w:rPr>
          <w:rFonts w:cs="Calibri"/>
        </w:rPr>
      </w:pPr>
    </w:p>
    <w:p w14:paraId="3BD45ACC" w14:textId="77777777" w:rsidR="00960E88" w:rsidRPr="00A97F00" w:rsidRDefault="00960E88" w:rsidP="00A97F00">
      <w:pPr>
        <w:spacing w:after="0"/>
        <w:jc w:val="both"/>
        <w:rPr>
          <w:rFonts w:cs="Calibri"/>
          <w:b/>
        </w:rPr>
      </w:pPr>
      <w:r w:rsidRPr="00A97F00">
        <w:rPr>
          <w:rFonts w:cs="Calibri"/>
          <w:b/>
        </w:rPr>
        <w:t>§</w:t>
      </w:r>
      <w:smartTag w:uri="urn:schemas-microsoft-com:office:smarttags" w:element="PersonName">
        <w:r w:rsidRPr="00A97F00">
          <w:rPr>
            <w:rFonts w:cs="Calibri"/>
            <w:b/>
          </w:rPr>
          <w:t xml:space="preserve"> </w:t>
        </w:r>
      </w:smartTag>
      <w:r w:rsidRPr="00A97F00">
        <w:rPr>
          <w:rFonts w:cs="Calibri"/>
          <w:b/>
        </w:rPr>
        <w:t xml:space="preserve">1070 – Rybářství </w:t>
      </w:r>
    </w:p>
    <w:p w14:paraId="5CAC0E5D" w14:textId="77777777" w:rsidR="00960E88" w:rsidRPr="00A97F00" w:rsidRDefault="00960E88" w:rsidP="00A97F00">
      <w:pPr>
        <w:spacing w:after="0"/>
        <w:jc w:val="both"/>
        <w:rPr>
          <w:rFonts w:cs="Calibri"/>
        </w:rPr>
      </w:pPr>
      <w:r w:rsidRPr="00A97F00">
        <w:rPr>
          <w:rFonts w:cs="Calibri"/>
        </w:rPr>
        <w:t>▪ individuální dotace na záchranu a podporu reofilních a ohrožených druhů ryb v revírech Středočeského kraje schválená usnesením č. 025-14/2021/RK ze dne 25. 3. 2021 (150 000,00 Kč) - Český rybářský svaz, z. s., Středočeský územní svaz</w:t>
      </w:r>
    </w:p>
    <w:p w14:paraId="4FAFDFD9" w14:textId="77777777" w:rsidR="00960E88" w:rsidRPr="00A97F00" w:rsidRDefault="00960E88" w:rsidP="00A97F00">
      <w:pPr>
        <w:spacing w:after="0"/>
        <w:jc w:val="both"/>
        <w:rPr>
          <w:rFonts w:cs="Calibri"/>
          <w:b/>
        </w:rPr>
      </w:pPr>
      <w:r w:rsidRPr="00A97F00">
        <w:rPr>
          <w:rFonts w:cs="Calibri"/>
        </w:rPr>
        <w:t>▪ ocenění 3 výherců soutěže Středočeský šupináč 2021 rybářským sortimentem (30 000,00 Kč) - Pavel Melinger</w:t>
      </w:r>
    </w:p>
    <w:p w14:paraId="02377F2D" w14:textId="77777777" w:rsidR="00960E88" w:rsidRPr="00A97F00" w:rsidRDefault="00960E88" w:rsidP="00A97F00">
      <w:pPr>
        <w:spacing w:after="0"/>
        <w:jc w:val="both"/>
        <w:rPr>
          <w:rFonts w:cs="Calibri"/>
        </w:rPr>
      </w:pPr>
    </w:p>
    <w:p w14:paraId="26168A56" w14:textId="77777777" w:rsidR="00960E88" w:rsidRPr="00A97F00" w:rsidRDefault="00960E88" w:rsidP="00A97F00">
      <w:pPr>
        <w:spacing w:after="0"/>
        <w:jc w:val="both"/>
        <w:rPr>
          <w:rFonts w:cs="Calibri"/>
          <w:b/>
        </w:rPr>
      </w:pPr>
      <w:r w:rsidRPr="00A97F00">
        <w:rPr>
          <w:rFonts w:cs="Calibri"/>
          <w:b/>
        </w:rPr>
        <w:t xml:space="preserve">§ 2310 – Pitná voda </w:t>
      </w:r>
    </w:p>
    <w:p w14:paraId="49C5C66F" w14:textId="77777777" w:rsidR="00960E88" w:rsidRPr="00A97F00" w:rsidRDefault="00960E88" w:rsidP="00A97F00">
      <w:pPr>
        <w:spacing w:after="0"/>
        <w:jc w:val="both"/>
        <w:rPr>
          <w:b/>
        </w:rPr>
      </w:pPr>
      <w:r w:rsidRPr="00A97F00">
        <w:t xml:space="preserve">▪ </w:t>
      </w:r>
      <w:r w:rsidRPr="00A97F00">
        <w:rPr>
          <w:rFonts w:cs="Calibri"/>
        </w:rPr>
        <w:t>aktualizace Plánu rozvoje vodovodů a kanalizací Středočeského kraje pro rok 2021 (1 430 220,00 Kč) - Vodohospodářský rozvoj a výstavba a. s.</w:t>
      </w:r>
      <w:r w:rsidRPr="00A97F00">
        <w:rPr>
          <w:b/>
        </w:rPr>
        <w:t xml:space="preserve"> </w:t>
      </w:r>
    </w:p>
    <w:p w14:paraId="435A5BDA" w14:textId="65D81C6B" w:rsidR="00960E88" w:rsidRPr="00A97F00" w:rsidRDefault="00960E88" w:rsidP="00A97F00">
      <w:pPr>
        <w:spacing w:after="0"/>
        <w:jc w:val="both"/>
        <w:rPr>
          <w:rFonts w:cs="Calibri"/>
        </w:rPr>
      </w:pPr>
      <w:r w:rsidRPr="00A97F00">
        <w:rPr>
          <w:rFonts w:cs="Calibri"/>
        </w:rPr>
        <w:t>Do schváleného rozpočtu byla usnesením č. 007-4/2021/ZK ze dne 22. 2. 2021 zapojena částka 5 000 000,00 Kč. Jedná se o navýšení rozpočtu Středočeského kraje o prostředky ze sdílených daní a nevyčerpané prostředky z roku 2020 na zpracování Plánu pro zvládání sucha a nedostatku vody ve Středočeském kraji. Povinnost zpracování plánu vyplývá z novely vodního zákona. Smlouva o dílo S-8037/OŽP/2021 ve výši 4 797 408,00 Kč byla uzavřena   21. 12. 2021, finanční prostředky na provedení díla budou převedeny do rozpočtu 2022.</w:t>
      </w:r>
    </w:p>
    <w:p w14:paraId="38FFE8BC" w14:textId="77777777" w:rsidR="00960E88" w:rsidRPr="00A97F00" w:rsidRDefault="00960E88" w:rsidP="00A97F00">
      <w:pPr>
        <w:spacing w:after="0"/>
        <w:jc w:val="both"/>
        <w:rPr>
          <w:rFonts w:cs="Calibri"/>
        </w:rPr>
      </w:pPr>
    </w:p>
    <w:p w14:paraId="4C9047D7" w14:textId="77777777" w:rsidR="00960E88" w:rsidRPr="00A97F00" w:rsidRDefault="00960E88" w:rsidP="00A97F00">
      <w:pPr>
        <w:spacing w:after="0"/>
        <w:jc w:val="both"/>
        <w:rPr>
          <w:rFonts w:cs="Calibri"/>
          <w:b/>
        </w:rPr>
      </w:pPr>
      <w:r w:rsidRPr="00A97F00">
        <w:rPr>
          <w:rFonts w:cs="Calibri"/>
          <w:b/>
        </w:rPr>
        <w:t>§ 2339 – Záležitosti vodních toků a vodohospodářských děl jinde nezařazené</w:t>
      </w:r>
    </w:p>
    <w:p w14:paraId="5620F140" w14:textId="77777777" w:rsidR="00960E88" w:rsidRPr="00A97F00" w:rsidRDefault="00960E88" w:rsidP="00A97F00">
      <w:pPr>
        <w:spacing w:after="0"/>
        <w:jc w:val="both"/>
        <w:rPr>
          <w:rFonts w:cs="Calibri"/>
        </w:rPr>
      </w:pPr>
      <w:r w:rsidRPr="00A97F00">
        <w:rPr>
          <w:rFonts w:cs="Calibri"/>
        </w:rPr>
        <w:t>▪ individuální účelová dotace na „Dokončení prací na Studii odtokových poměrů na Výrovce -opatření SO 01a - Revitalizace Výrovky ř.km 4,390 - 10,700“ schválená usnesením č. 032-05/2021/ZK ze dne 29. 3. 2021 (600 000,00 Kč) - Dobrovolný svazek obcí Pečecký region</w:t>
      </w:r>
    </w:p>
    <w:p w14:paraId="48D3FE8A" w14:textId="77777777" w:rsidR="00960E88" w:rsidRPr="00A97F00" w:rsidRDefault="00960E88" w:rsidP="00A97F00">
      <w:pPr>
        <w:spacing w:after="0"/>
        <w:jc w:val="both"/>
        <w:rPr>
          <w:rFonts w:cs="Calibri"/>
        </w:rPr>
      </w:pPr>
      <w:r w:rsidRPr="00A97F00">
        <w:rPr>
          <w:rFonts w:cs="Calibri"/>
        </w:rPr>
        <w:t>▪ aktualizace Povodňového plánu Středočeského kraje pro rok 2021 (237 875,00 Kč) - Hydrosoft Veleslavín s. r. o.</w:t>
      </w:r>
    </w:p>
    <w:p w14:paraId="07D8C941" w14:textId="77777777" w:rsidR="00960E88" w:rsidRPr="00A97F00" w:rsidRDefault="00960E88" w:rsidP="00A97F00">
      <w:pPr>
        <w:spacing w:after="0"/>
        <w:jc w:val="both"/>
        <w:rPr>
          <w:rFonts w:cs="Calibri"/>
        </w:rPr>
      </w:pPr>
      <w:r w:rsidRPr="00A97F00">
        <w:rPr>
          <w:rFonts w:cs="Calibri"/>
        </w:rPr>
        <w:t>Usnesením č. 046-05/2021/RK ze dne 4. 2. 2021 byl schválen převod účelových finančních prostředků z roku 2020 na dokončení prací na Studii odtokových poměrů na Výrovce ve výši 600 000,00 Kč. Na základě toho byla částka zapojena do rozdělení zůstatku hospodaření Středočeského kraje z roku 2020 (usnesení č. 007-6/2021/ZK ze dne 26. 4. 2020). Neinvestiční dotace je určena na dopracování konceptu DUR – úprava technického řešení na základě projednání s vlastníky dotčených pozemků a zpracování geometrického plánu.</w:t>
      </w:r>
    </w:p>
    <w:p w14:paraId="75920B43" w14:textId="77777777" w:rsidR="00960E88" w:rsidRPr="00A97F00" w:rsidRDefault="00960E88" w:rsidP="00A97F00">
      <w:pPr>
        <w:spacing w:after="0"/>
        <w:jc w:val="both"/>
        <w:rPr>
          <w:rFonts w:cs="Calibri"/>
        </w:rPr>
      </w:pPr>
    </w:p>
    <w:p w14:paraId="7EC70CB0" w14:textId="77777777" w:rsidR="00960E88" w:rsidRPr="00A97F00" w:rsidRDefault="00960E88" w:rsidP="00A97F00">
      <w:pPr>
        <w:spacing w:after="0"/>
        <w:jc w:val="both"/>
        <w:rPr>
          <w:rFonts w:cs="Calibri"/>
          <w:b/>
        </w:rPr>
      </w:pPr>
      <w:r w:rsidRPr="00A97F00">
        <w:rPr>
          <w:rFonts w:cs="Calibri"/>
          <w:b/>
        </w:rPr>
        <w:t>§</w:t>
      </w:r>
      <w:smartTag w:uri="urn:schemas-microsoft-com:office:smarttags" w:element="PersonName">
        <w:r w:rsidRPr="00A97F00">
          <w:rPr>
            <w:rFonts w:cs="Calibri"/>
            <w:b/>
          </w:rPr>
          <w:t xml:space="preserve"> </w:t>
        </w:r>
      </w:smartTag>
      <w:r w:rsidRPr="00A97F00">
        <w:rPr>
          <w:rFonts w:cs="Calibri"/>
          <w:b/>
        </w:rPr>
        <w:t>3716 – Monitoring</w:t>
      </w:r>
      <w:smartTag w:uri="urn:schemas-microsoft-com:office:smarttags" w:element="PersonName">
        <w:r w:rsidRPr="00A97F00">
          <w:rPr>
            <w:rFonts w:cs="Calibri"/>
            <w:b/>
          </w:rPr>
          <w:t xml:space="preserve"> </w:t>
        </w:r>
      </w:smartTag>
      <w:r w:rsidRPr="00A97F00">
        <w:rPr>
          <w:rFonts w:cs="Calibri"/>
          <w:b/>
        </w:rPr>
        <w:t>ochrany</w:t>
      </w:r>
      <w:smartTag w:uri="urn:schemas-microsoft-com:office:smarttags" w:element="PersonName">
        <w:r w:rsidRPr="00A97F00">
          <w:rPr>
            <w:rFonts w:cs="Calibri"/>
            <w:b/>
          </w:rPr>
          <w:t xml:space="preserve"> </w:t>
        </w:r>
      </w:smartTag>
      <w:r w:rsidRPr="00A97F00">
        <w:rPr>
          <w:rFonts w:cs="Calibri"/>
          <w:b/>
        </w:rPr>
        <w:t>ovzduší</w:t>
      </w:r>
      <w:smartTag w:uri="urn:schemas-microsoft-com:office:smarttags" w:element="PersonName">
        <w:r w:rsidRPr="00A97F00">
          <w:rPr>
            <w:rFonts w:cs="Calibri"/>
            <w:b/>
          </w:rPr>
          <w:t xml:space="preserve"> </w:t>
        </w:r>
      </w:smartTag>
    </w:p>
    <w:p w14:paraId="353EA5D0" w14:textId="77777777" w:rsidR="00960E88" w:rsidRPr="00A97F00" w:rsidRDefault="00960E88" w:rsidP="00A97F00">
      <w:pPr>
        <w:spacing w:after="0"/>
        <w:jc w:val="both"/>
        <w:rPr>
          <w:rFonts w:cs="Calibri"/>
        </w:rPr>
      </w:pPr>
      <w:r w:rsidRPr="00A97F00">
        <w:rPr>
          <w:rFonts w:cs="Calibri"/>
        </w:rPr>
        <w:t>▪ monitorování čistoty ovzduší v lokalitách Beroun, Mladá Boleslav, Kladno (845 500,00 Kč) - Český hydrometeorologický ústav Praha, Zdravotní ústav Ústí nad Labem</w:t>
      </w:r>
    </w:p>
    <w:p w14:paraId="3F6BE95D" w14:textId="77777777" w:rsidR="00960E88" w:rsidRPr="00A97F00" w:rsidRDefault="00960E88" w:rsidP="00A97F00">
      <w:pPr>
        <w:spacing w:after="0"/>
        <w:jc w:val="both"/>
      </w:pPr>
      <w:r w:rsidRPr="00A97F00">
        <w:t xml:space="preserve">▪ </w:t>
      </w:r>
      <w:r w:rsidRPr="00A97F00">
        <w:rPr>
          <w:rFonts w:cs="Calibri"/>
        </w:rPr>
        <w:t>celoroční autorizované měření kvality ovzduší na mobilní monitorovací stanici v Úžicích (268 988,40 Kč) - Český hydrometeorologický ústav Praha</w:t>
      </w:r>
    </w:p>
    <w:p w14:paraId="3C8015C5" w14:textId="77777777" w:rsidR="00960E88" w:rsidRPr="00A97F00" w:rsidRDefault="00960E88" w:rsidP="00A97F00">
      <w:pPr>
        <w:spacing w:after="0"/>
        <w:jc w:val="both"/>
        <w:rPr>
          <w:rFonts w:cs="Calibri"/>
          <w:b/>
        </w:rPr>
      </w:pPr>
    </w:p>
    <w:p w14:paraId="18D00055" w14:textId="77777777" w:rsidR="00960E88" w:rsidRPr="00A97F00" w:rsidRDefault="00960E88" w:rsidP="00A97F00">
      <w:pPr>
        <w:spacing w:after="0"/>
        <w:jc w:val="both"/>
        <w:rPr>
          <w:rFonts w:cs="Calibri"/>
          <w:b/>
        </w:rPr>
      </w:pPr>
      <w:r w:rsidRPr="00A97F00">
        <w:rPr>
          <w:rFonts w:cs="Calibri"/>
          <w:b/>
        </w:rPr>
        <w:t>§</w:t>
      </w:r>
      <w:smartTag w:uri="urn:schemas-microsoft-com:office:smarttags" w:element="PersonName">
        <w:r w:rsidRPr="00A97F00">
          <w:rPr>
            <w:rFonts w:cs="Calibri"/>
            <w:b/>
          </w:rPr>
          <w:t xml:space="preserve"> </w:t>
        </w:r>
      </w:smartTag>
      <w:r w:rsidRPr="00A97F00">
        <w:rPr>
          <w:rFonts w:cs="Calibri"/>
          <w:b/>
        </w:rPr>
        <w:t>3727 – Prevence vzniku odpadů</w:t>
      </w:r>
    </w:p>
    <w:p w14:paraId="7EA98794" w14:textId="77777777" w:rsidR="00960E88" w:rsidRPr="00A97F00" w:rsidRDefault="00960E88" w:rsidP="00A97F00">
      <w:pPr>
        <w:spacing w:after="0"/>
        <w:jc w:val="both"/>
        <w:rPr>
          <w:rFonts w:cs="Calibri"/>
        </w:rPr>
      </w:pPr>
      <w:r w:rsidRPr="00A97F00">
        <w:t xml:space="preserve">▪ </w:t>
      </w:r>
      <w:r w:rsidRPr="00A97F00">
        <w:rPr>
          <w:rFonts w:cs="Calibri"/>
        </w:rPr>
        <w:t>organizování soutěží škol</w:t>
      </w:r>
      <w:r w:rsidRPr="00A97F00">
        <w:t xml:space="preserve"> </w:t>
      </w:r>
      <w:r w:rsidRPr="00A97F00">
        <w:rPr>
          <w:rFonts w:cs="Calibri"/>
        </w:rPr>
        <w:t>odpadiády 2021 (358 160,00 Kč) – Omnia Olomouc a. s.</w:t>
      </w:r>
    </w:p>
    <w:p w14:paraId="48C33CA4" w14:textId="77777777" w:rsidR="00960E88" w:rsidRPr="00A97F00" w:rsidRDefault="00960E88" w:rsidP="00A97F00">
      <w:pPr>
        <w:spacing w:after="0"/>
        <w:jc w:val="both"/>
        <w:rPr>
          <w:rFonts w:cs="Calibri"/>
        </w:rPr>
      </w:pPr>
      <w:r w:rsidRPr="00A97F00">
        <w:rPr>
          <w:rFonts w:cs="Calibri"/>
        </w:rPr>
        <w:t>▪ finanční dary soutěže My třídíme nejlépe 2020 pro obce Středočeského kraje (440 000,00 Kč)</w:t>
      </w:r>
    </w:p>
    <w:p w14:paraId="04FA2D6F" w14:textId="77777777" w:rsidR="00960E88" w:rsidRPr="00A97F00" w:rsidRDefault="00960E88" w:rsidP="00A97F00">
      <w:pPr>
        <w:spacing w:after="0"/>
        <w:jc w:val="both"/>
        <w:rPr>
          <w:rFonts w:cs="Calibri"/>
        </w:rPr>
      </w:pPr>
      <w:r w:rsidRPr="00A97F00">
        <w:rPr>
          <w:rFonts w:cs="Calibri"/>
        </w:rPr>
        <w:t xml:space="preserve">Usnesením č. 046-05/2021/RK ze dne 4. 2. 2021 byl schválen převod účelových finančních prostředků z roku 2020 na podprojekt Aktivity na podporu realizace opatření k plnění cílů Plánu odpadového hospodářství Středočeského kraje ve výši 484 000,00 Kč. Na základě toho byla částka zapojena do rozdělení zůstatku hospodaření Středočeského kraje z roku 2020 (usnesení č. 007-6/2021/ZK ze dne 26. 4. 2021). Dále do rozdělení zůstatku hospodaření z roku 2020 byla zahrnuta částka 480 000,00 Kč na vyhodnocení soutěže pro obce Středočeského kraje My třídíme nejlépe. Jedná se rovněž o podprojekt, který financuje Středočeský kraj v rámci Dohody o spolupráci při řešení projektu „Podpora recyklace a využití odpadů z obcí Středočeského kraje 2019-2020“ se společností EKO-KOM a. s. </w:t>
      </w:r>
    </w:p>
    <w:p w14:paraId="0CADA43D" w14:textId="77777777" w:rsidR="00960E88" w:rsidRPr="00A97F00" w:rsidRDefault="00960E88" w:rsidP="00A97F00">
      <w:pPr>
        <w:spacing w:after="0"/>
        <w:jc w:val="both"/>
        <w:rPr>
          <w:rFonts w:cs="Calibri"/>
        </w:rPr>
      </w:pPr>
      <w:r w:rsidRPr="00A97F00">
        <w:rPr>
          <w:rFonts w:cs="Calibri"/>
        </w:rPr>
        <w:t>V rámci projektu byla uzavřena smlouva na zhotovení studie překládacích stanic na podporu opatření k zajištění stabilní sítě zařízení k nakládání s komunálním odpadem ve výši 453 508,00 Kč, plnění bude realizováno v 1. čtvrtletí roku 2022. Dále nebyly ke dni 31. 12. 2021 uzavřeny smlouvy s obcemi Samopše a Horní Bezděkov k poskytnutí finančních darů soutěže My třídíme nejlépe 2020 v celkové výši 40 000,00 Kč. Rovněž tato částka bude převedena do rozpočtu roku 2022.</w:t>
      </w:r>
    </w:p>
    <w:p w14:paraId="7C827260" w14:textId="77777777" w:rsidR="00960E88" w:rsidRPr="00A97F00" w:rsidRDefault="00960E88" w:rsidP="00A97F00">
      <w:pPr>
        <w:spacing w:after="0"/>
        <w:jc w:val="both"/>
        <w:rPr>
          <w:rFonts w:cs="Calibri"/>
        </w:rPr>
      </w:pPr>
      <w:r w:rsidRPr="00A97F00">
        <w:rPr>
          <w:rFonts w:cs="Calibri"/>
        </w:rPr>
        <w:t>Mezi Středočeským krajem a společností EKO-KOM, a. s. byla dne 9. 8. 2021 uzavřena Dohoda o spolupráci při řešení projektu „Intenzifikace odděleného sběru a zajištění využití komunálních odpadů včetně jejich obalové složky na území Středočeského kraje“. Z uzavřené Dohody budou převedeny finanční prostředky ve výši 480 000,00 Kč do následujícího roku na pokračování soutěže My třídíme nejlépe pro obce Středočeského kraje se zaměřením na zvýšení motivace v oblasti odděleného sběru využitelných odpadů. Závěrečné vyhodnocení podprojektu je do 28. 2. 2022.</w:t>
      </w:r>
    </w:p>
    <w:p w14:paraId="2410A104" w14:textId="77777777" w:rsidR="00960E88" w:rsidRPr="00A97F00" w:rsidRDefault="00960E88" w:rsidP="00A97F00">
      <w:pPr>
        <w:spacing w:after="0"/>
        <w:jc w:val="both"/>
        <w:rPr>
          <w:rFonts w:cs="Calibri"/>
          <w:color w:val="FF0000"/>
        </w:rPr>
      </w:pPr>
    </w:p>
    <w:p w14:paraId="2CFDE009" w14:textId="77777777" w:rsidR="00960E88" w:rsidRPr="00A97F00" w:rsidRDefault="00960E88" w:rsidP="00A97F00">
      <w:pPr>
        <w:spacing w:after="0"/>
        <w:jc w:val="both"/>
        <w:rPr>
          <w:rFonts w:cs="Calibri"/>
          <w:b/>
        </w:rPr>
      </w:pPr>
      <w:r w:rsidRPr="00A97F00">
        <w:rPr>
          <w:rFonts w:cs="Calibri"/>
          <w:b/>
        </w:rPr>
        <w:t>§</w:t>
      </w:r>
      <w:smartTag w:uri="urn:schemas-microsoft-com:office:smarttags" w:element="PersonName">
        <w:r w:rsidRPr="00A97F00">
          <w:rPr>
            <w:rFonts w:cs="Calibri"/>
            <w:b/>
          </w:rPr>
          <w:t xml:space="preserve"> </w:t>
        </w:r>
      </w:smartTag>
      <w:r w:rsidRPr="00A97F00">
        <w:rPr>
          <w:rFonts w:cs="Calibri"/>
          <w:b/>
        </w:rPr>
        <w:t>3729 – Ostatní nakládání s odpady</w:t>
      </w:r>
    </w:p>
    <w:p w14:paraId="22887AFC" w14:textId="77777777" w:rsidR="00960E88" w:rsidRPr="00A97F00" w:rsidRDefault="00960E88" w:rsidP="00A97F00">
      <w:pPr>
        <w:spacing w:after="0"/>
        <w:jc w:val="both"/>
        <w:rPr>
          <w:rFonts w:cs="Calibri"/>
        </w:rPr>
      </w:pPr>
      <w:r w:rsidRPr="00A97F00">
        <w:rPr>
          <w:rFonts w:cs="Calibri"/>
        </w:rPr>
        <w:t>▪ zpráva o plnění cílů Plánu odpadového hospodářství Středočeského kraje 2018-2019 (44 770,00 Kč) - FITE a. s.</w:t>
      </w:r>
    </w:p>
    <w:p w14:paraId="68E2D47C" w14:textId="77777777" w:rsidR="00960E88" w:rsidRPr="00A97F00" w:rsidRDefault="00960E88" w:rsidP="00A97F00">
      <w:pPr>
        <w:spacing w:after="0"/>
        <w:jc w:val="both"/>
        <w:rPr>
          <w:rFonts w:cs="Calibri"/>
        </w:rPr>
      </w:pPr>
      <w:r w:rsidRPr="00A97F00">
        <w:rPr>
          <w:rFonts w:cs="Calibri"/>
        </w:rPr>
        <w:t>Usnesením č. 046-05/2021/RK ze dne 4. 2. 2021 byl schválen převod účelových finančních prostředků z roku 2020 na vázaný výdaj dle smlouvy o dílo na vyhodnocení plnění cílů Plánu</w:t>
      </w:r>
      <w:r w:rsidRPr="00A97F00">
        <w:t xml:space="preserve"> </w:t>
      </w:r>
      <w:r w:rsidRPr="00A97F00">
        <w:rPr>
          <w:rFonts w:cs="Calibri"/>
        </w:rPr>
        <w:t>odpadového hospodářství Středočeského kraje ve výši 44 770,00 Kč. Na základě toho byla částka zapojena do rozdělení zůstatku hospodaření Středočeského kraje z roku 2020 (usnesení č. 007-6/2021/ZK ze dne 26. 4. 2021). Dále do rozdělení zůstatku hospodaření z roku 2020 byla zahrnuta částka 200 000,00 Kč na podporu meziobecní spolupráce v odpadovém hospodářství. Plánovaná podpora je určena na úhradu nákladů spojených s právní pomocí, kterou města/obce (Český Brod, Nymburk, Pečky, Poděbrady a Radim) musely objednat v souvislosti se zřízením obchodní korporace jako vhodné právní formy společnosti zajišťující meziobecní spolupráci v odpadovém hospodářství. Žádost o poskytnutí individuální dotace na úhradu nákladů spojených s ustavením družstva byla zaslána koncem roku 2021 a nestihla se zadministrovat. Schválení poskytnutí dotace bude předmětem jednání Rady Středočeského kraje v roce 2022.</w:t>
      </w:r>
    </w:p>
    <w:p w14:paraId="60FE8910" w14:textId="029F1607" w:rsidR="00960E88" w:rsidRPr="00A97F00" w:rsidRDefault="00960E88" w:rsidP="00A97F00">
      <w:pPr>
        <w:spacing w:after="0"/>
        <w:jc w:val="both"/>
        <w:rPr>
          <w:b/>
        </w:rPr>
      </w:pPr>
      <w:r w:rsidRPr="00A97F00">
        <w:rPr>
          <w:rFonts w:cs="Calibri"/>
        </w:rPr>
        <w:t>Další projekty k naplnění Plánu odpadového hospodářství Středočeského kraje nebyly k 31. 12. 2021 realizovány</w:t>
      </w:r>
      <w:r w:rsidRPr="00A97F00">
        <w:t>.</w:t>
      </w:r>
    </w:p>
    <w:p w14:paraId="0035C7BF" w14:textId="77777777" w:rsidR="00960E88" w:rsidRPr="00A97F00" w:rsidRDefault="00960E88" w:rsidP="00A97F00">
      <w:pPr>
        <w:spacing w:after="0"/>
        <w:jc w:val="both"/>
        <w:rPr>
          <w:rFonts w:cs="Calibri"/>
          <w:b/>
        </w:rPr>
      </w:pPr>
    </w:p>
    <w:p w14:paraId="2A3C8E0E" w14:textId="77777777" w:rsidR="00960E88" w:rsidRPr="00A97F00" w:rsidRDefault="00960E88" w:rsidP="00A97F00">
      <w:pPr>
        <w:spacing w:after="0"/>
        <w:jc w:val="both"/>
        <w:rPr>
          <w:rFonts w:cs="Calibri"/>
          <w:b/>
        </w:rPr>
      </w:pPr>
      <w:r w:rsidRPr="00A97F00">
        <w:rPr>
          <w:rFonts w:cs="Calibri"/>
          <w:b/>
        </w:rPr>
        <w:t>§ 3741 – Ochrana</w:t>
      </w:r>
      <w:smartTag w:uri="urn:schemas-microsoft-com:office:smarttags" w:element="PersonName">
        <w:r w:rsidRPr="00A97F00">
          <w:rPr>
            <w:rFonts w:cs="Calibri"/>
            <w:b/>
          </w:rPr>
          <w:t xml:space="preserve"> </w:t>
        </w:r>
      </w:smartTag>
      <w:r w:rsidRPr="00A97F00">
        <w:rPr>
          <w:rFonts w:cs="Calibri"/>
          <w:b/>
        </w:rPr>
        <w:t>druhů</w:t>
      </w:r>
      <w:smartTag w:uri="urn:schemas-microsoft-com:office:smarttags" w:element="PersonName">
        <w:r w:rsidRPr="00A97F00">
          <w:rPr>
            <w:rFonts w:cs="Calibri"/>
            <w:b/>
          </w:rPr>
          <w:t xml:space="preserve"> </w:t>
        </w:r>
      </w:smartTag>
      <w:r w:rsidRPr="00A97F00">
        <w:rPr>
          <w:rFonts w:cs="Calibri"/>
          <w:b/>
        </w:rPr>
        <w:t>a</w:t>
      </w:r>
      <w:smartTag w:uri="urn:schemas-microsoft-com:office:smarttags" w:element="PersonName">
        <w:r w:rsidRPr="00A97F00">
          <w:rPr>
            <w:rFonts w:cs="Calibri"/>
            <w:b/>
          </w:rPr>
          <w:t xml:space="preserve"> </w:t>
        </w:r>
      </w:smartTag>
      <w:r w:rsidRPr="00A97F00">
        <w:rPr>
          <w:rFonts w:cs="Calibri"/>
          <w:b/>
        </w:rPr>
        <w:t>stanovišť</w:t>
      </w:r>
      <w:smartTag w:uri="urn:schemas-microsoft-com:office:smarttags" w:element="PersonName">
        <w:r w:rsidRPr="00A97F00">
          <w:rPr>
            <w:rFonts w:cs="Calibri"/>
            <w:b/>
          </w:rPr>
          <w:t xml:space="preserve"> </w:t>
        </w:r>
      </w:smartTag>
    </w:p>
    <w:p w14:paraId="7022743E" w14:textId="77777777" w:rsidR="00960E88" w:rsidRPr="00A97F00" w:rsidRDefault="00960E88" w:rsidP="00A97F00">
      <w:pPr>
        <w:spacing w:after="0"/>
        <w:jc w:val="both"/>
        <w:rPr>
          <w:rFonts w:cs="Calibri"/>
        </w:rPr>
      </w:pPr>
      <w:r w:rsidRPr="00A97F00">
        <w:rPr>
          <w:rFonts w:cs="Calibri"/>
        </w:rPr>
        <w:t>▪</w:t>
      </w:r>
      <w:smartTag w:uri="urn:schemas-microsoft-com:office:smarttags" w:element="PersonName">
        <w:r w:rsidRPr="00A97F00">
          <w:rPr>
            <w:rFonts w:cs="Calibri"/>
          </w:rPr>
          <w:t xml:space="preserve"> </w:t>
        </w:r>
      </w:smartTag>
      <w:r w:rsidRPr="00A97F00">
        <w:rPr>
          <w:rFonts w:cs="Calibri"/>
        </w:rPr>
        <w:t>péče</w:t>
      </w:r>
      <w:smartTag w:uri="urn:schemas-microsoft-com:office:smarttags" w:element="PersonName">
        <w:r w:rsidRPr="00A97F00">
          <w:rPr>
            <w:rFonts w:cs="Calibri"/>
          </w:rPr>
          <w:t xml:space="preserve"> </w:t>
        </w:r>
      </w:smartTag>
      <w:r w:rsidRPr="00A97F00">
        <w:rPr>
          <w:rFonts w:cs="Calibri"/>
        </w:rPr>
        <w:t>o</w:t>
      </w:r>
      <w:smartTag w:uri="urn:schemas-microsoft-com:office:smarttags" w:element="PersonName">
        <w:r w:rsidRPr="00A97F00">
          <w:rPr>
            <w:rFonts w:cs="Calibri"/>
          </w:rPr>
          <w:t xml:space="preserve"> </w:t>
        </w:r>
      </w:smartTag>
      <w:r w:rsidRPr="00A97F00">
        <w:rPr>
          <w:rFonts w:cs="Calibri"/>
        </w:rPr>
        <w:t>zraněné druhy volně žijících živočichů</w:t>
      </w:r>
      <w:smartTag w:uri="urn:schemas-microsoft-com:office:smarttags" w:element="PersonName">
        <w:r w:rsidRPr="00A97F00">
          <w:rPr>
            <w:rFonts w:cs="Calibri"/>
          </w:rPr>
          <w:t xml:space="preserve"> </w:t>
        </w:r>
      </w:smartTag>
      <w:r w:rsidRPr="00A97F00">
        <w:rPr>
          <w:rFonts w:cs="Calibri"/>
        </w:rPr>
        <w:t>v záchranných</w:t>
      </w:r>
      <w:smartTag w:uri="urn:schemas-microsoft-com:office:smarttags" w:element="PersonName">
        <w:r w:rsidRPr="00A97F00">
          <w:rPr>
            <w:rFonts w:cs="Calibri"/>
          </w:rPr>
          <w:t xml:space="preserve"> </w:t>
        </w:r>
      </w:smartTag>
      <w:r w:rsidRPr="00A97F00">
        <w:rPr>
          <w:rFonts w:cs="Calibri"/>
        </w:rPr>
        <w:t>stanicích</w:t>
      </w:r>
      <w:smartTag w:uri="urn:schemas-microsoft-com:office:smarttags" w:element="PersonName">
        <w:r w:rsidRPr="00A97F00">
          <w:rPr>
            <w:rFonts w:cs="Calibri"/>
          </w:rPr>
          <w:t xml:space="preserve"> </w:t>
        </w:r>
      </w:smartTag>
      <w:r w:rsidRPr="00A97F00">
        <w:rPr>
          <w:rFonts w:cs="Calibri"/>
        </w:rPr>
        <w:t>(2 004 000,00 Kč) - ZO ČSOP</w:t>
      </w:r>
      <w:smartTag w:uri="urn:schemas-microsoft-com:office:smarttags" w:element="PersonName">
        <w:r w:rsidRPr="00A97F00">
          <w:rPr>
            <w:rFonts w:cs="Calibri"/>
          </w:rPr>
          <w:t xml:space="preserve"> </w:t>
        </w:r>
      </w:smartTag>
      <w:r w:rsidRPr="00A97F00">
        <w:rPr>
          <w:rFonts w:cs="Calibri"/>
        </w:rPr>
        <w:t>Pátek, ZO ČSOP</w:t>
      </w:r>
      <w:smartTag w:uri="urn:schemas-microsoft-com:office:smarttags" w:element="PersonName">
        <w:r w:rsidRPr="00A97F00">
          <w:rPr>
            <w:rFonts w:cs="Calibri"/>
          </w:rPr>
          <w:t xml:space="preserve"> </w:t>
        </w:r>
      </w:smartTag>
      <w:r w:rsidRPr="00A97F00">
        <w:rPr>
          <w:rFonts w:cs="Calibri"/>
        </w:rPr>
        <w:t>Rokycany, ZO ČSOP</w:t>
      </w:r>
      <w:smartTag w:uri="urn:schemas-microsoft-com:office:smarttags" w:element="PersonName">
        <w:r w:rsidRPr="00A97F00">
          <w:rPr>
            <w:rFonts w:cs="Calibri"/>
          </w:rPr>
          <w:t xml:space="preserve"> </w:t>
        </w:r>
      </w:smartTag>
      <w:r w:rsidRPr="00A97F00">
        <w:rPr>
          <w:rFonts w:cs="Calibri"/>
        </w:rPr>
        <w:t>Vlašim,</w:t>
      </w:r>
      <w:smartTag w:uri="urn:schemas-microsoft-com:office:smarttags" w:element="PersonName">
        <w:r w:rsidRPr="00A97F00">
          <w:rPr>
            <w:rFonts w:cs="Calibri"/>
          </w:rPr>
          <w:t xml:space="preserve"> </w:t>
        </w:r>
      </w:smartTag>
      <w:r w:rsidRPr="00A97F00">
        <w:rPr>
          <w:rFonts w:cs="Calibri"/>
        </w:rPr>
        <w:t>AVES</w:t>
      </w:r>
      <w:smartTag w:uri="urn:schemas-microsoft-com:office:smarttags" w:element="PersonName">
        <w:r w:rsidRPr="00A97F00">
          <w:rPr>
            <w:rFonts w:cs="Calibri"/>
          </w:rPr>
          <w:t xml:space="preserve"> </w:t>
        </w:r>
      </w:smartTag>
      <w:r w:rsidRPr="00A97F00">
        <w:rPr>
          <w:rFonts w:cs="Calibri"/>
        </w:rPr>
        <w:t>Kladno, Ochrana fauny ČR o. p. s.</w:t>
      </w:r>
    </w:p>
    <w:p w14:paraId="74D26FD9" w14:textId="77777777" w:rsidR="00960E88" w:rsidRPr="00A97F00" w:rsidRDefault="00960E88" w:rsidP="00A97F00">
      <w:pPr>
        <w:spacing w:after="0"/>
        <w:jc w:val="both"/>
        <w:rPr>
          <w:rFonts w:cs="Calibri"/>
        </w:rPr>
      </w:pPr>
    </w:p>
    <w:p w14:paraId="1FB8C317" w14:textId="77777777" w:rsidR="00960E88" w:rsidRPr="00A97F00" w:rsidRDefault="00960E88" w:rsidP="00A97F00">
      <w:pPr>
        <w:spacing w:after="0"/>
        <w:jc w:val="both"/>
        <w:rPr>
          <w:rFonts w:cs="Calibri"/>
          <w:b/>
        </w:rPr>
      </w:pPr>
      <w:r w:rsidRPr="00A97F00">
        <w:rPr>
          <w:rFonts w:cs="Calibri"/>
          <w:b/>
        </w:rPr>
        <w:t xml:space="preserve">§ 3742 – Chráněné části přírody </w:t>
      </w:r>
    </w:p>
    <w:p w14:paraId="0E211BEE" w14:textId="77777777" w:rsidR="00960E88" w:rsidRPr="00A97F00" w:rsidRDefault="00960E88" w:rsidP="00A97F00">
      <w:pPr>
        <w:spacing w:after="0"/>
        <w:jc w:val="both"/>
        <w:rPr>
          <w:rFonts w:cs="Calibri"/>
        </w:rPr>
      </w:pPr>
      <w:r w:rsidRPr="00A97F00">
        <w:rPr>
          <w:rFonts w:cs="Calibri"/>
        </w:rPr>
        <w:t>▪ individuální účelová dotace na akci Revitalizace Jizbické pískovny dle usnesení č. 024-10/2021/ZK ze dne 25.10.2021 (2 160 000,00 Kč) - obec Jizbice</w:t>
      </w:r>
    </w:p>
    <w:p w14:paraId="27393362" w14:textId="77777777" w:rsidR="00960E88" w:rsidRPr="00A97F00" w:rsidRDefault="00960E88" w:rsidP="00A97F00">
      <w:pPr>
        <w:spacing w:after="0"/>
        <w:jc w:val="both"/>
        <w:rPr>
          <w:rFonts w:cs="Calibri"/>
        </w:rPr>
      </w:pPr>
      <w:r w:rsidRPr="00A97F00">
        <w:rPr>
          <w:rFonts w:cs="Calibri"/>
        </w:rPr>
        <w:t>▪ individuální účelová dotace na akci Budování a obnova tůní na Podblanicku dle usnesení č. 024-10/2021/ZK ze dne 25.10.2021 (805 600,00 Kč) – ZO ČSOP Vlašim</w:t>
      </w:r>
    </w:p>
    <w:p w14:paraId="5874F9BC" w14:textId="77777777" w:rsidR="00960E88" w:rsidRPr="00A97F00" w:rsidRDefault="00960E88" w:rsidP="00A97F00">
      <w:pPr>
        <w:spacing w:after="0"/>
        <w:jc w:val="both"/>
        <w:rPr>
          <w:rFonts w:cs="Calibri"/>
        </w:rPr>
      </w:pPr>
      <w:r w:rsidRPr="00A97F00">
        <w:rPr>
          <w:rFonts w:cs="Calibri"/>
        </w:rPr>
        <w:t>▪ kofinancování 4 projektů v rámci Operačního programu Životní prostředí (528 222,00 Kč) - ZO ČSOP</w:t>
      </w:r>
      <w:smartTag w:uri="urn:schemas-microsoft-com:office:smarttags" w:element="PersonName">
        <w:r w:rsidRPr="00A97F00">
          <w:rPr>
            <w:rFonts w:cs="Calibri"/>
          </w:rPr>
          <w:t xml:space="preserve"> </w:t>
        </w:r>
      </w:smartTag>
      <w:r w:rsidRPr="00A97F00">
        <w:rPr>
          <w:rFonts w:cs="Calibri"/>
        </w:rPr>
        <w:t>Vlašim</w:t>
      </w:r>
    </w:p>
    <w:p w14:paraId="1A9D97E9" w14:textId="77777777" w:rsidR="00960E88" w:rsidRPr="00A97F00" w:rsidRDefault="00960E88" w:rsidP="00A97F00">
      <w:pPr>
        <w:spacing w:after="0"/>
        <w:jc w:val="both"/>
        <w:rPr>
          <w:rFonts w:cs="Calibri"/>
        </w:rPr>
      </w:pPr>
      <w:r w:rsidRPr="00A97F00">
        <w:rPr>
          <w:rFonts w:cs="Calibri"/>
        </w:rPr>
        <w:t>▪ činnosti spojené s ochranou přírody a krajiny (přírodní rezervace, přírodní památky, evropsky významné lokality) - celkové výdaje 13 036 382,04 Kč</w:t>
      </w:r>
    </w:p>
    <w:p w14:paraId="2AD98DBA" w14:textId="77777777" w:rsidR="00960E88" w:rsidRPr="00A97F00" w:rsidRDefault="00960E88" w:rsidP="00A97F00">
      <w:pPr>
        <w:spacing w:after="0"/>
        <w:jc w:val="both"/>
        <w:rPr>
          <w:rFonts w:cs="Calibri"/>
        </w:rPr>
      </w:pPr>
      <w:r w:rsidRPr="00A97F00">
        <w:rPr>
          <w:rFonts w:cs="Calibri"/>
        </w:rPr>
        <w:t xml:space="preserve">Jedná se o zajištění managementu v chráněných územích ve správě kraje, zpracování plánů péče na evropsky významné lokality a zvláště chráněná území, geometrická zaměření, přírodovědné průzkumy, vytvoření hraničního značení apod. </w:t>
      </w:r>
    </w:p>
    <w:p w14:paraId="771EE85E" w14:textId="5B588F79" w:rsidR="00960E88" w:rsidRPr="00A97F00" w:rsidRDefault="00960E88" w:rsidP="00A97F00">
      <w:pPr>
        <w:spacing w:after="0"/>
        <w:jc w:val="both"/>
        <w:rPr>
          <w:rFonts w:cs="Calibri"/>
        </w:rPr>
      </w:pPr>
      <w:r w:rsidRPr="00A97F00">
        <w:rPr>
          <w:rFonts w:cs="Calibri"/>
        </w:rPr>
        <w:t>Do rozdělení zůstatku hospodaření z roku 2020 byla začleněna a schválena částka 3 000 000,00 Kč na kofinancování projektů Operačního programu Životní prostředí, které zároveň budou kopírovat zákonné zájmy krajského orgánu ochrany přírody (usnesení č. 007-6/2021/ZK ze dne 26. 4. 2021). Informace o vyhlášení výzvy na kofinancování projektů z OPŽP v období 2014-2020 byla projednána usnesením č. 097-30/2021/RK ze dne 29. 7. 2021 a usnesením č. 024-10/2021/ZK ze dne 25. 10. 2021 byly schváleny individuální dotace (obec Jizbice, ZO ČSOP Vlašim).</w:t>
      </w:r>
    </w:p>
    <w:p w14:paraId="77C54925" w14:textId="77777777" w:rsidR="00960E88" w:rsidRPr="00A97F00" w:rsidRDefault="00960E88" w:rsidP="00A97F00">
      <w:pPr>
        <w:spacing w:after="0"/>
        <w:jc w:val="both"/>
        <w:rPr>
          <w:rFonts w:cs="Calibri"/>
        </w:rPr>
      </w:pPr>
      <w:r w:rsidRPr="00A97F00">
        <w:rPr>
          <w:rFonts w:cs="Calibri"/>
        </w:rPr>
        <w:t>Plánovaný rozpočet v oblasti chráněné části přírody nebyl zcela čerpán z důvodu vysoutěžení veřejných zakázek s nižšími částkami a nárůstu odstoupení od smluv pro neprovedení sjednaných služeb od dodavatelů. Nevyčerpané finanční prostředky ve výši 2 469 795,00 Kč budou převedeny do rozpočtu 2022 k zajištění splnění zákonných povinností Středočeského kraje v oblasti péče o zvláště chráněná území, lokality soustavy Natura 2000 a související činnosti dle ust. § 77a odst. 2, odst. 4 písm. f), m), n) a odst. 5 písm. l) zákona č. 114/1992 Sb.</w:t>
      </w:r>
    </w:p>
    <w:p w14:paraId="6693F8F7" w14:textId="77777777" w:rsidR="00960E88" w:rsidRPr="00A97F00" w:rsidRDefault="00960E88" w:rsidP="00A97F00">
      <w:pPr>
        <w:spacing w:after="0"/>
        <w:jc w:val="both"/>
        <w:rPr>
          <w:rFonts w:cs="Calibri"/>
        </w:rPr>
      </w:pPr>
      <w:r w:rsidRPr="00A97F00">
        <w:rPr>
          <w:rFonts w:cs="Calibri"/>
        </w:rPr>
        <w:t>Ve skutečnosti bylo vykázáno na opravy a údržbu majetku 32 600,00 Kč.</w:t>
      </w:r>
    </w:p>
    <w:p w14:paraId="359299D9" w14:textId="77777777" w:rsidR="00960E88" w:rsidRPr="00A97F00" w:rsidRDefault="00960E88" w:rsidP="00A97F00">
      <w:pPr>
        <w:spacing w:after="0"/>
        <w:jc w:val="both"/>
        <w:rPr>
          <w:rFonts w:cs="Calibri"/>
        </w:rPr>
      </w:pPr>
    </w:p>
    <w:p w14:paraId="5424E0A3" w14:textId="77777777" w:rsidR="00960E88" w:rsidRPr="00A97F00" w:rsidRDefault="00960E88" w:rsidP="00A97F00">
      <w:pPr>
        <w:spacing w:after="0"/>
        <w:jc w:val="both"/>
        <w:rPr>
          <w:rFonts w:cs="Calibri"/>
          <w:b/>
        </w:rPr>
      </w:pPr>
      <w:r w:rsidRPr="00A97F00">
        <w:rPr>
          <w:rFonts w:cs="Calibri"/>
          <w:b/>
        </w:rPr>
        <w:t>§</w:t>
      </w:r>
      <w:smartTag w:uri="urn:schemas-microsoft-com:office:smarttags" w:element="PersonName">
        <w:r w:rsidRPr="00A97F00">
          <w:rPr>
            <w:rFonts w:cs="Calibri"/>
            <w:b/>
          </w:rPr>
          <w:t xml:space="preserve"> </w:t>
        </w:r>
      </w:smartTag>
      <w:r w:rsidRPr="00A97F00">
        <w:rPr>
          <w:rFonts w:cs="Calibri"/>
          <w:b/>
        </w:rPr>
        <w:t>3769 – Ostatní správa v ochraně životního prostředí</w:t>
      </w:r>
      <w:smartTag w:uri="urn:schemas-microsoft-com:office:smarttags" w:element="PersonName">
        <w:r w:rsidRPr="00A97F00">
          <w:rPr>
            <w:rFonts w:cs="Calibri"/>
            <w:b/>
          </w:rPr>
          <w:t xml:space="preserve"> </w:t>
        </w:r>
      </w:smartTag>
    </w:p>
    <w:p w14:paraId="25CAC002" w14:textId="77777777" w:rsidR="00960E88" w:rsidRPr="00A97F00" w:rsidRDefault="00960E88" w:rsidP="00A97F00">
      <w:pPr>
        <w:spacing w:after="0"/>
        <w:jc w:val="both"/>
        <w:rPr>
          <w:rFonts w:cs="Calibri"/>
        </w:rPr>
      </w:pPr>
      <w:r w:rsidRPr="00A97F00">
        <w:rPr>
          <w:rFonts w:cs="Calibri"/>
        </w:rPr>
        <w:t>Oblast zahrnuje výdaje na zpracování posudků na posuzování vlivů na životní prostředí k projednávaným záměrům, vyúčtované částky jsou následně přefakturovány oznamovateli záměru podle zákona č. 100/2001 Sb., o posuzování vlivů na životní prostředí. Úhradu nákladů na vypracování posudku provádí oznamovatel záměru. Usnesením č. 007-6/2021/ZK ze dne 26. 4. 2021 bylo schváleno rozdělení zůstatku hospodaření z roku 2020, rozpočet byl navýšen o 134 310,00 Kč z důvodu zajištění dostatečného finančního krytí v souvislosti s rezervací prostředků v systému GINIS (usnesení č. 046-05/2021/RK ze dne 4. 2. 2021).</w:t>
      </w:r>
    </w:p>
    <w:p w14:paraId="6E34CAB1" w14:textId="77777777" w:rsidR="00960E88" w:rsidRPr="00A97F00" w:rsidRDefault="00960E88" w:rsidP="00A97F00">
      <w:pPr>
        <w:spacing w:after="0"/>
        <w:jc w:val="both"/>
        <w:rPr>
          <w:rFonts w:cs="Calibri"/>
        </w:rPr>
      </w:pPr>
      <w:r w:rsidRPr="00A97F00">
        <w:rPr>
          <w:rFonts w:cs="Calibri"/>
        </w:rPr>
        <w:t xml:space="preserve">Ke dni 31. 12. 2021 Středočeský kraj uhradil za zpracování posudků na posuzování vlivů na životní prostředí k projednávaným záměrům celkem 665 645,00 Kč, částky byly následně přefakturovány oznamovateli. </w:t>
      </w:r>
    </w:p>
    <w:p w14:paraId="0873C28C" w14:textId="77777777" w:rsidR="00960E88" w:rsidRPr="00A97F00" w:rsidRDefault="00960E88" w:rsidP="00A97F00">
      <w:pPr>
        <w:spacing w:after="0"/>
        <w:jc w:val="both"/>
        <w:rPr>
          <w:rFonts w:cs="Calibri"/>
          <w:b/>
        </w:rPr>
      </w:pPr>
    </w:p>
    <w:p w14:paraId="5BFB38D1" w14:textId="77777777" w:rsidR="00960E88" w:rsidRPr="00A97F00" w:rsidRDefault="00960E88" w:rsidP="00A97F00">
      <w:pPr>
        <w:spacing w:after="0"/>
        <w:jc w:val="both"/>
        <w:rPr>
          <w:rFonts w:cs="Calibri"/>
          <w:b/>
        </w:rPr>
      </w:pPr>
      <w:r w:rsidRPr="00A97F00">
        <w:rPr>
          <w:rFonts w:cs="Calibri"/>
          <w:b/>
        </w:rPr>
        <w:t>§ 3792 – Ekologická</w:t>
      </w:r>
      <w:smartTag w:uri="urn:schemas-microsoft-com:office:smarttags" w:element="PersonName">
        <w:r w:rsidRPr="00A97F00">
          <w:rPr>
            <w:rFonts w:cs="Calibri"/>
            <w:b/>
          </w:rPr>
          <w:t xml:space="preserve"> </w:t>
        </w:r>
      </w:smartTag>
      <w:r w:rsidRPr="00A97F00">
        <w:rPr>
          <w:rFonts w:cs="Calibri"/>
          <w:b/>
        </w:rPr>
        <w:t>výchova</w:t>
      </w:r>
      <w:smartTag w:uri="urn:schemas-microsoft-com:office:smarttags" w:element="PersonName">
        <w:r w:rsidRPr="00A97F00">
          <w:rPr>
            <w:rFonts w:cs="Calibri"/>
            <w:b/>
          </w:rPr>
          <w:t xml:space="preserve"> </w:t>
        </w:r>
      </w:smartTag>
      <w:r w:rsidRPr="00A97F00">
        <w:rPr>
          <w:rFonts w:cs="Calibri"/>
          <w:b/>
        </w:rPr>
        <w:t>a</w:t>
      </w:r>
      <w:smartTag w:uri="urn:schemas-microsoft-com:office:smarttags" w:element="PersonName">
        <w:r w:rsidRPr="00A97F00">
          <w:rPr>
            <w:rFonts w:cs="Calibri"/>
            <w:b/>
          </w:rPr>
          <w:t xml:space="preserve"> </w:t>
        </w:r>
      </w:smartTag>
      <w:r w:rsidRPr="00A97F00">
        <w:rPr>
          <w:rFonts w:cs="Calibri"/>
          <w:b/>
        </w:rPr>
        <w:t xml:space="preserve">osvěta </w:t>
      </w:r>
    </w:p>
    <w:p w14:paraId="4FBFA076" w14:textId="77777777" w:rsidR="00960E88" w:rsidRPr="00A97F00" w:rsidRDefault="00960E88" w:rsidP="00A97F00">
      <w:pPr>
        <w:pStyle w:val="Zkladntext"/>
        <w:spacing w:after="0"/>
        <w:jc w:val="both"/>
        <w:rPr>
          <w:rFonts w:asciiTheme="minorHAnsi" w:hAnsiTheme="minorHAnsi" w:cs="Calibri"/>
          <w:sz w:val="22"/>
          <w:szCs w:val="22"/>
        </w:rPr>
      </w:pPr>
      <w:r w:rsidRPr="00A97F00">
        <w:rPr>
          <w:rFonts w:asciiTheme="minorHAnsi" w:hAnsiTheme="minorHAnsi" w:cs="Calibri"/>
        </w:rPr>
        <w:t xml:space="preserve">▪ </w:t>
      </w:r>
      <w:r w:rsidRPr="00A97F00">
        <w:rPr>
          <w:rFonts w:asciiTheme="minorHAnsi" w:hAnsiTheme="minorHAnsi" w:cs="Calibri"/>
          <w:sz w:val="22"/>
          <w:szCs w:val="22"/>
        </w:rPr>
        <w:t xml:space="preserve">zajištění činností a základního provozu krajských středisek ekologické výchovy na základě schválené Koncepce environmentálního vzdělávání, výchovy a osvěty Středočeského kraje v letech 2021-2026 (10 000 000,00 Kč) </w:t>
      </w:r>
      <w:r w:rsidRPr="00A97F00">
        <w:rPr>
          <w:rFonts w:asciiTheme="minorHAnsi" w:hAnsiTheme="minorHAnsi" w:cs="Calibri"/>
          <w:sz w:val="22"/>
          <w:szCs w:val="22"/>
          <w:lang w:eastAsia="cs-CZ"/>
        </w:rPr>
        <w:t xml:space="preserve">dle usnesení č. 041-02/2020/ZK ze dne 14. 12. 2020 </w:t>
      </w:r>
      <w:r w:rsidRPr="00A97F00">
        <w:rPr>
          <w:rFonts w:asciiTheme="minorHAnsi" w:hAnsiTheme="minorHAnsi" w:cs="Calibri"/>
          <w:sz w:val="22"/>
          <w:szCs w:val="22"/>
        </w:rPr>
        <w:t>-</w:t>
      </w:r>
      <w:r w:rsidRPr="00A97F00">
        <w:rPr>
          <w:rFonts w:asciiTheme="minorHAnsi" w:hAnsiTheme="minorHAnsi"/>
          <w:sz w:val="22"/>
          <w:szCs w:val="22"/>
        </w:rPr>
        <w:t xml:space="preserve"> </w:t>
      </w:r>
      <w:r w:rsidRPr="00A97F00">
        <w:rPr>
          <w:rFonts w:asciiTheme="minorHAnsi" w:hAnsiTheme="minorHAnsi" w:cs="Calibri"/>
          <w:sz w:val="22"/>
          <w:szCs w:val="22"/>
        </w:rPr>
        <w:t>Ekologické centrum Orlov o. p. s., ZO ČSOP Vlašim, NSEV Kladno Čabárna, o. p. s., Ochrana fauny ČR, o. p. s., ZO ČSOP Polabí</w:t>
      </w:r>
    </w:p>
    <w:p w14:paraId="057BB659" w14:textId="77777777" w:rsidR="00960E88" w:rsidRPr="00A97F00" w:rsidRDefault="00960E88" w:rsidP="00A97F00">
      <w:pPr>
        <w:pStyle w:val="Zkladntext"/>
        <w:spacing w:after="0"/>
        <w:jc w:val="both"/>
        <w:rPr>
          <w:rFonts w:asciiTheme="minorHAnsi" w:hAnsiTheme="minorHAnsi" w:cs="Calibri"/>
          <w:sz w:val="22"/>
          <w:szCs w:val="22"/>
        </w:rPr>
      </w:pPr>
      <w:r w:rsidRPr="00A97F00">
        <w:rPr>
          <w:rFonts w:asciiTheme="minorHAnsi" w:hAnsiTheme="minorHAnsi" w:cs="Calibri"/>
          <w:sz w:val="22"/>
          <w:szCs w:val="22"/>
        </w:rPr>
        <w:t>▪ časopis NIKA (88 262,00 Kč) - Centrum environmentálních studií, o. s.</w:t>
      </w:r>
    </w:p>
    <w:p w14:paraId="760F21E3" w14:textId="77777777" w:rsidR="00960E88" w:rsidRPr="00A97F00" w:rsidRDefault="00960E88" w:rsidP="00A97F00">
      <w:pPr>
        <w:pStyle w:val="Zkladntext"/>
        <w:spacing w:after="0"/>
        <w:jc w:val="both"/>
        <w:rPr>
          <w:rFonts w:asciiTheme="minorHAnsi" w:hAnsiTheme="minorHAnsi" w:cs="Calibri"/>
          <w:sz w:val="22"/>
          <w:szCs w:val="22"/>
        </w:rPr>
      </w:pPr>
      <w:r w:rsidRPr="00A97F00">
        <w:rPr>
          <w:rFonts w:asciiTheme="minorHAnsi" w:hAnsiTheme="minorHAnsi" w:cs="Calibri"/>
          <w:sz w:val="22"/>
          <w:szCs w:val="22"/>
        </w:rPr>
        <w:t>▪ správa a údržba webových stránek EVVO (18 300,00 Kč) - Mgr. Renata Šťovíčková, Ondřej Kalivoda</w:t>
      </w:r>
    </w:p>
    <w:p w14:paraId="3D93EC17" w14:textId="77777777" w:rsidR="00960E88" w:rsidRPr="00A97F00" w:rsidRDefault="00960E88" w:rsidP="00A97F00">
      <w:pPr>
        <w:pStyle w:val="Zkladntext"/>
        <w:spacing w:after="0"/>
        <w:jc w:val="both"/>
        <w:rPr>
          <w:rFonts w:asciiTheme="minorHAnsi" w:hAnsiTheme="minorHAnsi" w:cs="Calibri"/>
          <w:sz w:val="22"/>
          <w:szCs w:val="22"/>
        </w:rPr>
      </w:pPr>
      <w:r w:rsidRPr="00A97F00">
        <w:rPr>
          <w:rFonts w:asciiTheme="minorHAnsi" w:hAnsiTheme="minorHAnsi" w:cs="Calibri"/>
          <w:sz w:val="22"/>
          <w:szCs w:val="22"/>
        </w:rPr>
        <w:t>▪ dotace v rámci vyhlášeného Programu 2021 na Environmentální vzdělávání, výchovu a osvětu schválené dle usnesení č. 027-07/2021/ZK ze dne 31. 5. 2021 (5 678 030,00 Kč)</w:t>
      </w:r>
    </w:p>
    <w:p w14:paraId="6ED4F41C" w14:textId="77777777" w:rsidR="00960E88" w:rsidRPr="00A97F00" w:rsidRDefault="00960E88" w:rsidP="00A97F00">
      <w:pPr>
        <w:pStyle w:val="Zkladntext"/>
        <w:spacing w:after="0"/>
        <w:jc w:val="both"/>
        <w:rPr>
          <w:rFonts w:asciiTheme="minorHAnsi" w:hAnsiTheme="minorHAnsi" w:cs="Calibri"/>
          <w:sz w:val="22"/>
          <w:szCs w:val="22"/>
        </w:rPr>
      </w:pPr>
      <w:r w:rsidRPr="00A97F00">
        <w:rPr>
          <w:rFonts w:asciiTheme="minorHAnsi" w:hAnsiTheme="minorHAnsi" w:cs="Calibri"/>
          <w:sz w:val="22"/>
          <w:szCs w:val="22"/>
        </w:rPr>
        <w:t>V rámci rozdělení zůstatku hospodaření Středočeského kraje z roku 2020 byly do oblasti ekologické výchovy a osvěty zapojeny nevyčerpané prostředky v celkovém objemu 900 000,00 Kč (usnesení č. 007-6/2021/ZK ze dne 26. 4. 2021).</w:t>
      </w:r>
    </w:p>
    <w:p w14:paraId="7AA5DA7E" w14:textId="77777777" w:rsidR="00960E88" w:rsidRPr="00A97F00" w:rsidRDefault="00960E88" w:rsidP="00A97F00">
      <w:pPr>
        <w:spacing w:after="0"/>
        <w:jc w:val="both"/>
        <w:rPr>
          <w:rFonts w:cs="Calibri"/>
        </w:rPr>
      </w:pPr>
      <w:r w:rsidRPr="00A97F00">
        <w:rPr>
          <w:rFonts w:cs="Calibri"/>
        </w:rPr>
        <w:t xml:space="preserve">Dále byl rozpočet usnesením č. 032-18/2021/RK ze dne 22. 4. 2021, usnesením 065-40/2021/RK ze dne 21. 10. 2021 a usnesením č. 082-47/2021/RK ze dne 16. 12. 2021 navýšen celkem o 692 500,00 Kč o účelové prostředky dle zákona o integrované prevenci. Jedná se o doplňování poloviny příjmů z pokut dle zákona č. 76/2002 Sb., o integrované prevenci a omezování znečištění, o integrovaném registru znečišťování a o změně některých zákonů. Příjem z pokut uložených inspekcí a krajskou hygienickou stanicí je z 50 % příjmem Státního fondu životního prostředí České republiky a z 50 % příjmem rozpočtu kraje. Polovina příjmu z těchto pokut, který je příjmem rozpočtu kraje, je účelově určena k ochraně životního prostředí (§ 38 odst. 3 zákona o integrované prevenci). Prostředky jsou podle rozpočtových pravidel zapojovány do oblasti pro ekologickou výchovu, vzdělání a osvětu. </w:t>
      </w:r>
    </w:p>
    <w:p w14:paraId="47BC0B95" w14:textId="77777777" w:rsidR="00960E88" w:rsidRPr="00A97F00" w:rsidRDefault="00960E88" w:rsidP="00A97F00">
      <w:pPr>
        <w:spacing w:after="0"/>
        <w:jc w:val="both"/>
        <w:rPr>
          <w:rFonts w:cs="Calibri"/>
          <w:lang w:eastAsia="cs-CZ"/>
        </w:rPr>
      </w:pPr>
      <w:r w:rsidRPr="00A97F00">
        <w:rPr>
          <w:rFonts w:cs="Calibri"/>
          <w:lang w:eastAsia="cs-CZ"/>
        </w:rPr>
        <w:t>Rozpočtovou úpravou č. 307/10/2021 byly dotace z Programu 2020 podle žádostí rozepsány do neinvestičních a investičních položek. Na investiční položky byla převedena částka     1 321 970,00 Kč.</w:t>
      </w:r>
    </w:p>
    <w:p w14:paraId="14153E0E" w14:textId="20C1DA82" w:rsidR="00960E88" w:rsidRPr="00A97F00" w:rsidRDefault="00960E88" w:rsidP="00A97F00">
      <w:pPr>
        <w:spacing w:after="0"/>
        <w:jc w:val="both"/>
        <w:rPr>
          <w:b/>
        </w:rPr>
      </w:pPr>
      <w:r w:rsidRPr="00A97F00">
        <w:rPr>
          <w:rFonts w:cs="Calibri"/>
          <w:lang w:eastAsia="cs-CZ"/>
        </w:rPr>
        <w:t>Usnesením č</w:t>
      </w:r>
      <w:r w:rsidRPr="00A97F00">
        <w:t xml:space="preserve">. </w:t>
      </w:r>
      <w:r w:rsidRPr="00A97F00">
        <w:rPr>
          <w:rFonts w:cs="Calibri"/>
        </w:rPr>
        <w:t xml:space="preserve">009-11/2021/ZK ze dne 29. 11. 2021 </w:t>
      </w:r>
      <w:r w:rsidRPr="00A97F00">
        <w:rPr>
          <w:rFonts w:cs="Calibri"/>
          <w:lang w:eastAsia="cs-CZ"/>
        </w:rPr>
        <w:t>bylo schváleno poskytnutí individuální účelové dotace z rozpočtu Středočeského kraje Českému svazu včelařů, z. s., Okresní organizaci Kladno na "Kampaň prevence moru včelího plodu ve Středočeském kraji Hrr na mor 2022“ ve výši 1 355 000,00 Kč. Dále byla schválena neinvestiční účelová dotace Ekologickému centru Orlov, o. p. s. ve výši 450 000,00 Kč na podporu moderních vzdělávacích projektů EVVO usnesením č. 036-12/2022/ZK ze dne 14. 2. 2022.</w:t>
      </w:r>
      <w:r w:rsidRPr="00A97F00">
        <w:rPr>
          <w:bCs/>
        </w:rPr>
        <w:t xml:space="preserve"> </w:t>
      </w:r>
      <w:r w:rsidR="0085496C">
        <w:rPr>
          <w:rFonts w:cs="Calibri"/>
          <w:lang w:eastAsia="cs-CZ"/>
        </w:rPr>
        <w:t>Bude čerpáno v roce</w:t>
      </w:r>
      <w:r w:rsidRPr="00A97F00">
        <w:rPr>
          <w:rFonts w:cs="Calibri"/>
          <w:lang w:eastAsia="cs-CZ"/>
        </w:rPr>
        <w:t xml:space="preserve"> 2022.</w:t>
      </w:r>
    </w:p>
    <w:p w14:paraId="586642AA" w14:textId="77777777" w:rsidR="00960E88" w:rsidRPr="00A97F00" w:rsidRDefault="00960E88" w:rsidP="00A97F00">
      <w:pPr>
        <w:spacing w:after="0"/>
        <w:jc w:val="both"/>
        <w:rPr>
          <w:rFonts w:cs="Calibri"/>
        </w:rPr>
      </w:pPr>
    </w:p>
    <w:p w14:paraId="66184AAC" w14:textId="77777777" w:rsidR="00960E88" w:rsidRPr="00A97F00" w:rsidRDefault="00960E88" w:rsidP="00A97F00">
      <w:pPr>
        <w:spacing w:after="0"/>
        <w:jc w:val="both"/>
        <w:rPr>
          <w:rFonts w:cs="Calibri"/>
          <w:b/>
        </w:rPr>
      </w:pPr>
      <w:r w:rsidRPr="00A97F00">
        <w:rPr>
          <w:rFonts w:cs="Calibri"/>
          <w:b/>
        </w:rPr>
        <w:t>§</w:t>
      </w:r>
      <w:smartTag w:uri="urn:schemas-microsoft-com:office:smarttags" w:element="PersonName">
        <w:r w:rsidRPr="00A97F00">
          <w:rPr>
            <w:rFonts w:cs="Calibri"/>
            <w:b/>
          </w:rPr>
          <w:t xml:space="preserve"> </w:t>
        </w:r>
      </w:smartTag>
      <w:r w:rsidRPr="00A97F00">
        <w:rPr>
          <w:rFonts w:cs="Calibri"/>
          <w:b/>
        </w:rPr>
        <w:t>3799 – Ostatní</w:t>
      </w:r>
      <w:smartTag w:uri="urn:schemas-microsoft-com:office:smarttags" w:element="PersonName">
        <w:r w:rsidRPr="00A97F00">
          <w:rPr>
            <w:rFonts w:cs="Calibri"/>
            <w:b/>
          </w:rPr>
          <w:t xml:space="preserve"> </w:t>
        </w:r>
      </w:smartTag>
      <w:r w:rsidRPr="00A97F00">
        <w:rPr>
          <w:rFonts w:cs="Calibri"/>
          <w:b/>
        </w:rPr>
        <w:t>ekologické</w:t>
      </w:r>
      <w:smartTag w:uri="urn:schemas-microsoft-com:office:smarttags" w:element="PersonName">
        <w:r w:rsidRPr="00A97F00">
          <w:rPr>
            <w:rFonts w:cs="Calibri"/>
            <w:b/>
          </w:rPr>
          <w:t xml:space="preserve"> </w:t>
        </w:r>
      </w:smartTag>
      <w:r w:rsidRPr="00A97F00">
        <w:rPr>
          <w:rFonts w:cs="Calibri"/>
          <w:b/>
        </w:rPr>
        <w:t>záležitosti</w:t>
      </w:r>
      <w:smartTag w:uri="urn:schemas-microsoft-com:office:smarttags" w:element="PersonName">
        <w:r w:rsidRPr="00A97F00">
          <w:rPr>
            <w:rFonts w:cs="Calibri"/>
            <w:b/>
            <w:color w:val="FF0000"/>
          </w:rPr>
          <w:t xml:space="preserve"> </w:t>
        </w:r>
      </w:smartTag>
    </w:p>
    <w:p w14:paraId="4CF59D4C" w14:textId="77777777" w:rsidR="00960E88" w:rsidRPr="00A97F00" w:rsidRDefault="00960E88" w:rsidP="00A97F00">
      <w:pPr>
        <w:spacing w:after="0"/>
        <w:jc w:val="both"/>
        <w:rPr>
          <w:rFonts w:cs="Calibri"/>
        </w:rPr>
      </w:pPr>
      <w:r w:rsidRPr="00A97F00">
        <w:rPr>
          <w:rFonts w:cs="Calibri"/>
        </w:rPr>
        <w:t>▪ servisní odborná podpora k softwarovým produktům (96 800,00 Kč) - INISOFT s. r. o.</w:t>
      </w:r>
    </w:p>
    <w:p w14:paraId="05A04D45" w14:textId="77777777" w:rsidR="00960E88" w:rsidRPr="00A97F00" w:rsidRDefault="00960E88" w:rsidP="00A97F00">
      <w:pPr>
        <w:spacing w:after="0"/>
        <w:jc w:val="both"/>
        <w:rPr>
          <w:rFonts w:cs="Calibri"/>
        </w:rPr>
      </w:pPr>
      <w:r w:rsidRPr="00A97F00">
        <w:rPr>
          <w:rFonts w:cs="Calibri"/>
        </w:rPr>
        <w:t>▪ posouzení bezpečnostní dokumentace provozovatele (75 000,00 Kč) - Výzkumný ústav bezpečnosti práce, v. v. i.</w:t>
      </w:r>
    </w:p>
    <w:p w14:paraId="71C10FAE" w14:textId="77777777" w:rsidR="00960E88" w:rsidRPr="00A97F00" w:rsidRDefault="00960E88" w:rsidP="00A97F00">
      <w:pPr>
        <w:spacing w:after="0"/>
        <w:jc w:val="both"/>
        <w:rPr>
          <w:rFonts w:cs="Calibri"/>
        </w:rPr>
      </w:pPr>
      <w:r w:rsidRPr="00A97F00">
        <w:rPr>
          <w:rFonts w:cs="Calibri"/>
        </w:rPr>
        <w:t>▪ ozvučení a pořízení audiozáznamu veřejného projednání EIA k záměru (12 580,37 Kč) - ROMAX agentura-Roman Minařík</w:t>
      </w:r>
    </w:p>
    <w:p w14:paraId="16836838" w14:textId="77777777" w:rsidR="00960E88" w:rsidRPr="00A97F00" w:rsidRDefault="00960E88" w:rsidP="00A97F00">
      <w:pPr>
        <w:spacing w:after="0"/>
        <w:jc w:val="both"/>
        <w:rPr>
          <w:rFonts w:cs="Calibri"/>
        </w:rPr>
      </w:pPr>
      <w:r w:rsidRPr="00A97F00">
        <w:rPr>
          <w:rFonts w:cs="Calibri"/>
        </w:rPr>
        <w:t>▪ občerstvení a servis na poradě pracovníků ORP na úseku ochrany ovzduší (5 250,03 Kč) - Gastro Bistro s. r. o.</w:t>
      </w:r>
    </w:p>
    <w:p w14:paraId="4A41F64C" w14:textId="77777777" w:rsidR="00960E88" w:rsidRPr="00A97F00" w:rsidRDefault="00960E88" w:rsidP="00A97F00">
      <w:pPr>
        <w:spacing w:after="0"/>
        <w:jc w:val="both"/>
        <w:rPr>
          <w:rFonts w:cs="Calibri"/>
        </w:rPr>
      </w:pPr>
      <w:r w:rsidRPr="00A97F00">
        <w:t xml:space="preserve">▪ </w:t>
      </w:r>
      <w:r w:rsidRPr="00A97F00">
        <w:rPr>
          <w:rFonts w:cs="Calibri"/>
        </w:rPr>
        <w:t>publikace Půda a život civilizací (851 620,00 Kč) - Dokořán s.r.o.</w:t>
      </w:r>
    </w:p>
    <w:p w14:paraId="5F92A629" w14:textId="77777777" w:rsidR="00960E88" w:rsidRPr="00A97F00" w:rsidRDefault="00960E88" w:rsidP="00A97F00">
      <w:pPr>
        <w:spacing w:after="0"/>
        <w:jc w:val="both"/>
        <w:rPr>
          <w:rFonts w:cs="Calibri"/>
        </w:rPr>
      </w:pPr>
      <w:r w:rsidRPr="00A97F00">
        <w:rPr>
          <w:rFonts w:cs="Calibri"/>
        </w:rPr>
        <w:t xml:space="preserve">V rámci rozdělení zůstatku hospodaření Středočeského kraje z roku 2020 byly do rozpočtu oblasti ostatní ekologické záležitosti zapojeny finanční prostředky ve výši 60 000,00 Kč na vázaný výdaj na posouzení bezpečnostních zpráv a bezpečnostních programů u objektů zařazených podle zákona č. 224/2015 Sb., o prevenci závažných havárií (usnesení č. 007-6/2021/ZK ze dne 26. 4. 2021).  </w:t>
      </w:r>
    </w:p>
    <w:p w14:paraId="17FD69F5" w14:textId="1399CE81" w:rsidR="00960E88" w:rsidRDefault="00960E88" w:rsidP="00A97F00">
      <w:pPr>
        <w:spacing w:after="0"/>
        <w:jc w:val="both"/>
        <w:rPr>
          <w:rFonts w:cs="Calibri"/>
        </w:rPr>
      </w:pPr>
      <w:r w:rsidRPr="00A97F00">
        <w:rPr>
          <w:rFonts w:cs="Calibri"/>
        </w:rPr>
        <w:t xml:space="preserve">Na nižší čerpání má vliv omezení a zákazy z důvodu koronavirové epidemie. Nebyly uskutečněny plánované semináře, nekonaly se další porady kraje a obcí organizované na úsecích státní správy v gesci odboru, nerealizovaly se další výdaje potřebné pro činnosti vyplývající ze zajištění výkonu přenesené a samostatné působnosti v oblasti životního prostředí. Nevyčerpané prostředky byly využity na financování neinvestiční účelové dotace nadačnímu fondu Sedmikráska ve výši </w:t>
      </w:r>
      <w:r w:rsidRPr="000910EA">
        <w:rPr>
          <w:rFonts w:cs="Calibri"/>
        </w:rPr>
        <w:t>444 000,00 Kč</w:t>
      </w:r>
      <w:r w:rsidR="0085496C">
        <w:rPr>
          <w:rFonts w:cs="Calibri"/>
        </w:rPr>
        <w:t xml:space="preserve"> </w:t>
      </w:r>
      <w:r w:rsidRPr="00A97F00">
        <w:rPr>
          <w:rFonts w:cs="Calibri"/>
        </w:rPr>
        <w:t xml:space="preserve"> na podporu moderních vzdělávacích projektů EVVO. Schválení dotace bylo projednáno v orgánech kraje usnesením č. 086-47/2021/RK ze dne 16. 12. 2021 a usnesením č. 036-12/2022/ZK ze dne 14. 2. 2022</w:t>
      </w:r>
      <w:r w:rsidR="0085496C">
        <w:rPr>
          <w:rFonts w:cs="Calibri"/>
        </w:rPr>
        <w:t>, čerpáno bude v roce</w:t>
      </w:r>
      <w:r w:rsidRPr="00A97F00">
        <w:rPr>
          <w:rFonts w:cs="Calibri"/>
        </w:rPr>
        <w:t xml:space="preserve"> 2022.</w:t>
      </w:r>
      <w:r w:rsidR="0085496C">
        <w:rPr>
          <w:rFonts w:cs="Calibri"/>
        </w:rPr>
        <w:t xml:space="preserve"> </w:t>
      </w:r>
    </w:p>
    <w:p w14:paraId="4E8A91F6" w14:textId="77777777" w:rsidR="00960E88" w:rsidRPr="00A97F00" w:rsidRDefault="00960E88" w:rsidP="00A97F00">
      <w:pPr>
        <w:spacing w:after="0"/>
        <w:jc w:val="both"/>
        <w:rPr>
          <w:rFonts w:cs="Calibri"/>
          <w:color w:val="FF0000"/>
        </w:rPr>
      </w:pPr>
    </w:p>
    <w:p w14:paraId="350E6674" w14:textId="77777777" w:rsidR="00960E88" w:rsidRPr="003A456C" w:rsidRDefault="00960E88" w:rsidP="00A97F00">
      <w:pPr>
        <w:spacing w:after="0"/>
        <w:jc w:val="both"/>
        <w:rPr>
          <w:rFonts w:cs="Calibri"/>
          <w:b/>
          <w:sz w:val="24"/>
          <w:szCs w:val="24"/>
          <w:u w:val="single"/>
        </w:rPr>
      </w:pPr>
      <w:r w:rsidRPr="003A456C">
        <w:rPr>
          <w:rFonts w:cs="Calibri"/>
          <w:b/>
          <w:sz w:val="24"/>
          <w:szCs w:val="24"/>
          <w:u w:val="single"/>
        </w:rPr>
        <w:t>Fondy</w:t>
      </w:r>
    </w:p>
    <w:p w14:paraId="56E7C435" w14:textId="77777777" w:rsidR="00960E88" w:rsidRPr="00A97F00" w:rsidRDefault="00960E88" w:rsidP="00A97F00">
      <w:pPr>
        <w:spacing w:after="0"/>
        <w:jc w:val="both"/>
        <w:rPr>
          <w:rFonts w:cs="Calibri"/>
        </w:rPr>
      </w:pPr>
    </w:p>
    <w:p w14:paraId="145EFEB9" w14:textId="77456D7E" w:rsidR="00960E88" w:rsidRPr="00A97F00" w:rsidRDefault="00960E88" w:rsidP="00A97F00">
      <w:pPr>
        <w:spacing w:after="0"/>
        <w:jc w:val="both"/>
        <w:rPr>
          <w:rFonts w:cs="Calibri"/>
          <w:b/>
        </w:rPr>
      </w:pPr>
      <w:r w:rsidRPr="00A97F00">
        <w:rPr>
          <w:rFonts w:cs="Calibri"/>
          <w:b/>
        </w:rPr>
        <w:t>Středočeský Fond životního prostředí a zemědělství</w:t>
      </w:r>
    </w:p>
    <w:p w14:paraId="1B5EAE0A" w14:textId="77777777" w:rsidR="00960E88" w:rsidRPr="00A97F00" w:rsidRDefault="00960E88" w:rsidP="00A97F00">
      <w:pPr>
        <w:spacing w:after="0"/>
        <w:jc w:val="both"/>
        <w:rPr>
          <w:rFonts w:cs="Calibri"/>
          <w:lang w:eastAsia="cs-CZ"/>
        </w:rPr>
      </w:pPr>
      <w:r w:rsidRPr="00A97F00">
        <w:rPr>
          <w:rFonts w:cs="Calibri"/>
          <w:lang w:eastAsia="cs-CZ"/>
        </w:rPr>
        <w:t>Do rozpočtu Středočeského Fondu životního prostředí a zemědělství byly zapojeny vázané prostředky z roku 2020 ve výši 22 332 109,00 Kč na základě usnesení č. 045-05/2021/RK ze dne 4. 2. 2021. Tato částka byla zahrnuta do rozdělení zůstatku hospodaření Středočeského kraje z roku 2020 (usnesení č. 007-6/2021/ZK ze dne 26. 4. 2021). Dále byly začleněny v rámci rozdělení zůstatku hospodaření z roku 2020 do rozpočtu fondu volné účelové prostředky z poplatků za znečišťování ovzduší ve výši 2 822 512,88 Kč (</w:t>
      </w:r>
      <w:r w:rsidRPr="00A97F00">
        <w:rPr>
          <w:rFonts w:cs="Calibri"/>
        </w:rPr>
        <w:t>výnos z poplatků za znečišťování ovzduší podle § 15 odst. 14 zákona č. 201/2012 Sb., o ochraně ovzduší)</w:t>
      </w:r>
      <w:r w:rsidRPr="00A97F00">
        <w:rPr>
          <w:rFonts w:cs="Calibri"/>
          <w:lang w:eastAsia="cs-CZ"/>
        </w:rPr>
        <w:t>. Usnesením č. 007-4/2021/ZK ze dne 22. 2. 2021 bylo schváleno navýšení rozpočtu</w:t>
      </w:r>
      <w:r w:rsidRPr="00A97F00">
        <w:rPr>
          <w:lang w:eastAsia="cs-CZ"/>
        </w:rPr>
        <w:t xml:space="preserve"> </w:t>
      </w:r>
      <w:r w:rsidRPr="00A97F00">
        <w:rPr>
          <w:rFonts w:cs="Calibri"/>
          <w:lang w:eastAsia="cs-CZ"/>
        </w:rPr>
        <w:t>Středočeského kraje o prostředky ze sdílených daní a nevyčerpané prostředky z roku 2020 a do Středočeského Fondu životního prostředí a zemědělství byla alokována částka 20 000 000,00 Kč. Navýšení rozpočtu fondu o účelové prostředky v rámci finančního vypořádání dotací bylo schváleno usnesením č. 025-22/2021/RK ze dne 20. 5. 2021 ve výši 275 225,71 Kč a usnesením č. 083-47/2021/RK ze dne 16. 12. 2021 v částce 223 067,61 Kč.</w:t>
      </w:r>
    </w:p>
    <w:p w14:paraId="1A477D44" w14:textId="1E1119AC" w:rsidR="00960E88" w:rsidRPr="00A97F00" w:rsidRDefault="00960E88" w:rsidP="00A97F00">
      <w:pPr>
        <w:pStyle w:val="Zkladntext"/>
        <w:spacing w:after="0"/>
        <w:jc w:val="both"/>
        <w:rPr>
          <w:rFonts w:asciiTheme="minorHAnsi" w:hAnsiTheme="minorHAnsi" w:cs="Calibri"/>
          <w:sz w:val="22"/>
          <w:szCs w:val="22"/>
        </w:rPr>
      </w:pPr>
      <w:r w:rsidRPr="00A97F00">
        <w:rPr>
          <w:rFonts w:asciiTheme="minorHAnsi" w:hAnsiTheme="minorHAnsi" w:cs="Calibri"/>
          <w:sz w:val="22"/>
          <w:szCs w:val="22"/>
        </w:rPr>
        <w:t xml:space="preserve">Čerpání dotací se týká schválených projektů dle usnesení č. 023-15/2018/ZK ze dne 27. 8. 2018, usnesení č. 013-18/2019/ZK ze dne 29. 4. 2019, usnesení č. 009-23/2020/ZK ze dne 20. 4. 2020 a usnesení č. 045-08/2021/ZK ze dne 28. 6. 2021. Úhrady se realizují průběžně podle podmínek uzavřených smluv. </w:t>
      </w:r>
    </w:p>
    <w:p w14:paraId="439D660E" w14:textId="77777777" w:rsidR="00960E88" w:rsidRPr="00A97F00" w:rsidRDefault="00960E88" w:rsidP="00A97F00">
      <w:pPr>
        <w:pStyle w:val="Zkladntext"/>
        <w:spacing w:after="0"/>
        <w:jc w:val="both"/>
        <w:rPr>
          <w:rFonts w:asciiTheme="minorHAnsi" w:hAnsiTheme="minorHAnsi" w:cs="Calibri"/>
          <w:sz w:val="22"/>
          <w:szCs w:val="22"/>
        </w:rPr>
      </w:pPr>
      <w:r w:rsidRPr="00A97F00">
        <w:rPr>
          <w:rFonts w:asciiTheme="minorHAnsi" w:hAnsiTheme="minorHAnsi" w:cs="Calibri"/>
          <w:sz w:val="22"/>
          <w:szCs w:val="22"/>
        </w:rPr>
        <w:t xml:space="preserve">Ke dni 31. 12. 2021 bylo vykázáno čerpání fondu v rozsahu 64,7 %, což představuje skutečnost ve výši 29 520 579,00 Kč. </w:t>
      </w:r>
    </w:p>
    <w:p w14:paraId="0CF46FB2" w14:textId="77777777" w:rsidR="00960E88" w:rsidRPr="00A97F00" w:rsidRDefault="00960E88" w:rsidP="00A97F00">
      <w:pPr>
        <w:pStyle w:val="Zkladntext"/>
        <w:spacing w:after="0"/>
        <w:jc w:val="both"/>
        <w:rPr>
          <w:rFonts w:asciiTheme="minorHAnsi" w:hAnsiTheme="minorHAnsi" w:cs="Calibri"/>
        </w:rPr>
      </w:pPr>
    </w:p>
    <w:p w14:paraId="186DB0D2" w14:textId="5A44ED14" w:rsidR="00960E88" w:rsidRPr="00A97F00" w:rsidRDefault="00960E88" w:rsidP="00A97F00">
      <w:pPr>
        <w:pStyle w:val="Zkladntext"/>
        <w:spacing w:after="0"/>
        <w:jc w:val="both"/>
        <w:rPr>
          <w:rFonts w:asciiTheme="minorHAnsi" w:hAnsiTheme="minorHAnsi" w:cs="Calibri"/>
          <w:b/>
        </w:rPr>
      </w:pPr>
      <w:r w:rsidRPr="00A97F00">
        <w:rPr>
          <w:rFonts w:asciiTheme="minorHAnsi" w:hAnsiTheme="minorHAnsi" w:cs="Calibri"/>
          <w:b/>
        </w:rPr>
        <w:t xml:space="preserve">Středočeský Infrastrukturní fond: Tematické zadání Životní prostředí </w:t>
      </w:r>
    </w:p>
    <w:p w14:paraId="432521C2" w14:textId="77777777" w:rsidR="00960E88" w:rsidRPr="00A97F00" w:rsidRDefault="00960E88" w:rsidP="00A97F00">
      <w:pPr>
        <w:pStyle w:val="Odstavec"/>
        <w:spacing w:line="240" w:lineRule="auto"/>
        <w:ind w:firstLine="0"/>
        <w:rPr>
          <w:rFonts w:asciiTheme="minorHAnsi" w:hAnsiTheme="minorHAnsi" w:cs="Calibri"/>
          <w:sz w:val="22"/>
          <w:szCs w:val="22"/>
        </w:rPr>
      </w:pPr>
      <w:r w:rsidRPr="00A97F00">
        <w:rPr>
          <w:rFonts w:asciiTheme="minorHAnsi" w:hAnsiTheme="minorHAnsi" w:cs="Calibri"/>
          <w:sz w:val="22"/>
          <w:szCs w:val="22"/>
        </w:rPr>
        <w:t>Fond je zaměřen na výstavbu a zkvalitnění vodohospodářské infrastruktury a dotace jsou poskytovány na kofinancování projektů, které jsou již podpořeny ze státního rozpočtu a Operačního programu Životní prostředí.</w:t>
      </w:r>
    </w:p>
    <w:p w14:paraId="028CF588" w14:textId="7A4196F6" w:rsidR="00960E88" w:rsidRPr="00A97F00" w:rsidRDefault="00960E88" w:rsidP="00A97F00">
      <w:pPr>
        <w:pStyle w:val="Odstavec"/>
        <w:spacing w:line="240" w:lineRule="auto"/>
        <w:ind w:firstLine="0"/>
        <w:rPr>
          <w:rFonts w:asciiTheme="minorHAnsi" w:hAnsiTheme="minorHAnsi" w:cs="Calibri"/>
          <w:sz w:val="22"/>
          <w:szCs w:val="22"/>
        </w:rPr>
      </w:pPr>
      <w:r w:rsidRPr="00A97F00">
        <w:rPr>
          <w:rFonts w:asciiTheme="minorHAnsi" w:hAnsiTheme="minorHAnsi" w:cs="Calibri"/>
          <w:sz w:val="22"/>
          <w:szCs w:val="22"/>
        </w:rPr>
        <w:t xml:space="preserve">Pro rok 2021 </w:t>
      </w:r>
      <w:r w:rsidR="0085496C">
        <w:rPr>
          <w:rFonts w:asciiTheme="minorHAnsi" w:hAnsiTheme="minorHAnsi" w:cs="Calibri"/>
          <w:sz w:val="22"/>
          <w:szCs w:val="22"/>
        </w:rPr>
        <w:t>byl</w:t>
      </w:r>
      <w:r w:rsidRPr="00A97F00">
        <w:rPr>
          <w:rFonts w:asciiTheme="minorHAnsi" w:hAnsiTheme="minorHAnsi" w:cs="Calibri"/>
          <w:sz w:val="22"/>
          <w:szCs w:val="22"/>
        </w:rPr>
        <w:t xml:space="preserve"> schválený rozpočet Středočeského Infrastrukturního fondu v gesci Odboru životního prostředí a zemědělství ve výši 50 000 000,00 Kč z poplatků za odebrané množství podzemní vody (výnos z poplatku za odebrané množství podzemní vody dle § 88g zákona č. 254/2001 Sb., o vodách). Do rozpočtu byly zapojeny vázané prostředky z roku 2020 ve výši 64 124 289,00 Kč na základě usnesení č. 045-05/2021/RK ze dne 4. 2. 2021. Tato částka byla zahrnuta do rozdělení zůstatku hospodaření Středočeského kraje z roku 2020 (usnesení č. 007-6/2021/ZK ze dne 26. 4. 2021). Dále byly začleněny v rámci rozdělení zůstatku hospodaření z roku 2020 do rozpočtu fondu volné účelové prostředky z poplatků za odebrané množství podzemní vody ve výši 291 686,50 Kč. Usnesením č. 007-4/2021/ZK ze dne 22. 2. 2021 bylo schváleno navýšení rozpočtu Středočeského kraje o prostředky ze sdílených daní a nevyčerpané prostředky z roku 2020 a do Středočeského Infrastrukturního fondu: Tematické zadání Životní prostředí byla alokována částka 50 000 000,00 Kč.</w:t>
      </w:r>
    </w:p>
    <w:p w14:paraId="74B42504" w14:textId="77777777" w:rsidR="00960E88" w:rsidRPr="00A97F00" w:rsidRDefault="00960E88" w:rsidP="00A97F00">
      <w:pPr>
        <w:pStyle w:val="Zkladntext"/>
        <w:spacing w:after="0"/>
        <w:jc w:val="both"/>
        <w:rPr>
          <w:rFonts w:asciiTheme="minorHAnsi" w:hAnsiTheme="minorHAnsi" w:cs="Calibri"/>
          <w:sz w:val="22"/>
          <w:szCs w:val="22"/>
        </w:rPr>
      </w:pPr>
      <w:r w:rsidRPr="00A97F00">
        <w:rPr>
          <w:rFonts w:asciiTheme="minorHAnsi" w:hAnsiTheme="minorHAnsi" w:cs="Calibri"/>
          <w:sz w:val="22"/>
          <w:szCs w:val="22"/>
        </w:rPr>
        <w:t>Čerpání fondu závisí na platebních podmínkách smlouvy o poskytnutí dotace. Platby dotací z fondu se realizují průběžně podle podmínek k převodu finančních prostředků příjemci dotace podle smlouvy o poskytnutí dotace (žádosti o převod, zádržné při ukončení projektu). Dotace z předchozích let byly schváleny usnesením č. 024-07/2017/ZK ze dne 27. 6. 2017, usnesením č. 008-20/2019/ZK ze dne 26. 8. 2019 a usnesením č. 009-23/2020/ZK ze dne    20. 4. 2020. Usnesením č. 048-09/2021/ZK ze dne 13.9.2021 byly schváleny dotace z Programu 2021 pro poskytování dotací z rozpočtu Středočeského kraje ze Středočeského Infrastrukturního fondu.</w:t>
      </w:r>
    </w:p>
    <w:p w14:paraId="3DFCF6A7" w14:textId="77777777" w:rsidR="00960E88" w:rsidRPr="00A97F00" w:rsidRDefault="00960E88" w:rsidP="00A97F00">
      <w:pPr>
        <w:pStyle w:val="Zkladntext"/>
        <w:spacing w:after="0"/>
        <w:jc w:val="both"/>
        <w:rPr>
          <w:rFonts w:asciiTheme="minorHAnsi" w:hAnsiTheme="minorHAnsi" w:cs="Calibri"/>
          <w:sz w:val="22"/>
          <w:szCs w:val="22"/>
        </w:rPr>
      </w:pPr>
      <w:r w:rsidRPr="00A97F00">
        <w:rPr>
          <w:rFonts w:asciiTheme="minorHAnsi" w:hAnsiTheme="minorHAnsi" w:cs="Calibri"/>
          <w:sz w:val="22"/>
          <w:szCs w:val="22"/>
        </w:rPr>
        <w:t>Ke dni 31. 12. 2021 bylo vykázáno čerpání fondu v rozsahu 42,3 %, což představuje skutečnost ve výši 69 488 777,25 Kč.</w:t>
      </w:r>
    </w:p>
    <w:p w14:paraId="2C8F3A50" w14:textId="77777777" w:rsidR="00960E88" w:rsidRPr="00A97F00" w:rsidRDefault="00960E88" w:rsidP="00A97F00">
      <w:pPr>
        <w:pStyle w:val="Odstavec"/>
        <w:spacing w:line="240" w:lineRule="auto"/>
        <w:ind w:firstLine="0"/>
        <w:rPr>
          <w:rFonts w:asciiTheme="minorHAnsi" w:hAnsiTheme="minorHAnsi" w:cs="Calibri"/>
        </w:rPr>
      </w:pPr>
    </w:p>
    <w:p w14:paraId="0DBCDA25" w14:textId="77777777" w:rsidR="00960E88" w:rsidRPr="00A97F00" w:rsidRDefault="00960E88" w:rsidP="00A97F00">
      <w:pPr>
        <w:pStyle w:val="Odstavec"/>
        <w:spacing w:line="240" w:lineRule="auto"/>
        <w:ind w:firstLine="0"/>
        <w:rPr>
          <w:rFonts w:asciiTheme="minorHAnsi" w:hAnsiTheme="minorHAnsi" w:cs="Calibri"/>
        </w:rPr>
      </w:pPr>
    </w:p>
    <w:p w14:paraId="21097112" w14:textId="1D887EAC" w:rsidR="00960E88" w:rsidRPr="00A97F00" w:rsidRDefault="00960E88" w:rsidP="00A97F00">
      <w:pPr>
        <w:spacing w:after="0"/>
        <w:jc w:val="both"/>
        <w:rPr>
          <w:rFonts w:cs="Calibri"/>
          <w:b/>
        </w:rPr>
      </w:pPr>
      <w:r w:rsidRPr="00A97F00">
        <w:rPr>
          <w:rFonts w:cs="Calibri"/>
          <w:b/>
        </w:rPr>
        <w:t xml:space="preserve">Zesmluvněné dotace na vodohospodářskou infrastrukturu vyplácené prostřednictvím Středočeského Fondu životního prostředí a zemědělství - financované z vybraných poplatků za odebrané množství podzemní vody </w:t>
      </w:r>
    </w:p>
    <w:p w14:paraId="024378CA" w14:textId="55D5FAE0" w:rsidR="00960E88" w:rsidRPr="00A97F00" w:rsidRDefault="00960E88" w:rsidP="00A97F00">
      <w:pPr>
        <w:spacing w:after="0"/>
        <w:jc w:val="both"/>
        <w:rPr>
          <w:rFonts w:cs="Calibri"/>
        </w:rPr>
      </w:pPr>
      <w:r w:rsidRPr="00A97F00">
        <w:rPr>
          <w:rFonts w:cs="Calibri"/>
        </w:rPr>
        <w:t>Do rozpočtu fondu pro dotace financované z vybraných poplatků za odebrané množství podzemní vody na vodohospodářskou infrastrukturu jsou zapojeny nevyčerpané prostředky z roku 2020 ve výši 7 897 500,00 Kč na základě usnesení č. 045-05/2021/RK ze dne 4. 2. 2021. Tato částka byla zahrnuta do rozdělení zůstatku hospodaření Středočeského kraje z roku 2020 (usnesení č. 007-6/2021/ZK ze dne 26. 4. 2021).</w:t>
      </w:r>
    </w:p>
    <w:p w14:paraId="717D882A" w14:textId="77777777" w:rsidR="00960E88" w:rsidRPr="00A97F00" w:rsidRDefault="00960E88" w:rsidP="00A97F00">
      <w:pPr>
        <w:pStyle w:val="Zkladntext"/>
        <w:spacing w:after="0"/>
        <w:jc w:val="both"/>
        <w:rPr>
          <w:rFonts w:asciiTheme="minorHAnsi" w:hAnsiTheme="minorHAnsi" w:cs="Calibri"/>
          <w:sz w:val="22"/>
          <w:szCs w:val="22"/>
        </w:rPr>
      </w:pPr>
      <w:r w:rsidRPr="00A97F00">
        <w:rPr>
          <w:rFonts w:asciiTheme="minorHAnsi" w:hAnsiTheme="minorHAnsi" w:cs="Calibri"/>
          <w:sz w:val="22"/>
          <w:szCs w:val="22"/>
        </w:rPr>
        <w:t xml:space="preserve">Čerpání dotací se týká schválených projektů financovaných z poplatků za odběr podzemní vody v pořadí dle usnesení č. 117-22/2016/ZK ze dne 25. 4. 2016, platby dotací se realizují průběžně dle podmínek k převodu finančních prostředků příjemci dotace na základě smlouvy o poskytnutí dotace (žádosti o převod do výše 75 % dotace, zádržné). </w:t>
      </w:r>
    </w:p>
    <w:p w14:paraId="77DDA898" w14:textId="77777777" w:rsidR="00960E88" w:rsidRPr="00A97F00" w:rsidRDefault="00960E88" w:rsidP="00A97F00">
      <w:pPr>
        <w:pStyle w:val="Zkladntext"/>
        <w:spacing w:after="0"/>
        <w:jc w:val="both"/>
        <w:rPr>
          <w:rFonts w:asciiTheme="minorHAnsi" w:hAnsiTheme="minorHAnsi" w:cs="Calibri"/>
          <w:sz w:val="22"/>
          <w:szCs w:val="22"/>
        </w:rPr>
      </w:pPr>
      <w:r w:rsidRPr="00A97F00">
        <w:rPr>
          <w:rFonts w:asciiTheme="minorHAnsi" w:hAnsiTheme="minorHAnsi" w:cs="Calibri"/>
          <w:sz w:val="22"/>
          <w:szCs w:val="22"/>
        </w:rPr>
        <w:t>K 31. 12. 2021 bylo vykázáno čerpání rozpočtu v rozsahu 81,8 %, což představuje částku 6 458 134,00 Kč vyplacenou příjemcům dotací.</w:t>
      </w:r>
    </w:p>
    <w:p w14:paraId="0D99D15F" w14:textId="77777777" w:rsidR="00960E88" w:rsidRPr="00A97F00" w:rsidRDefault="00960E88" w:rsidP="00A97F00">
      <w:pPr>
        <w:pStyle w:val="Zkladntext"/>
        <w:spacing w:after="0"/>
        <w:jc w:val="both"/>
        <w:rPr>
          <w:rFonts w:asciiTheme="minorHAnsi" w:hAnsiTheme="minorHAnsi" w:cs="Calibri"/>
          <w:sz w:val="22"/>
          <w:szCs w:val="22"/>
        </w:rPr>
      </w:pPr>
    </w:p>
    <w:p w14:paraId="0E4537E0" w14:textId="77777777" w:rsidR="00960E88" w:rsidRPr="00A97F00" w:rsidRDefault="00960E88" w:rsidP="00A97F00">
      <w:pPr>
        <w:pStyle w:val="Zkladntext"/>
        <w:spacing w:after="0"/>
        <w:jc w:val="both"/>
        <w:rPr>
          <w:rFonts w:asciiTheme="minorHAnsi" w:hAnsiTheme="minorHAnsi" w:cs="Calibri"/>
        </w:rPr>
      </w:pPr>
    </w:p>
    <w:p w14:paraId="107D49AB" w14:textId="77777777" w:rsidR="00960E88" w:rsidRPr="003A456C" w:rsidRDefault="00960E88" w:rsidP="00A97F00">
      <w:pPr>
        <w:spacing w:after="0"/>
        <w:jc w:val="both"/>
        <w:rPr>
          <w:rFonts w:cs="Calibri"/>
          <w:b/>
          <w:sz w:val="24"/>
          <w:szCs w:val="24"/>
          <w:u w:val="single"/>
        </w:rPr>
      </w:pPr>
      <w:r w:rsidRPr="003A456C">
        <w:rPr>
          <w:rFonts w:cs="Calibri"/>
          <w:b/>
          <w:sz w:val="24"/>
          <w:szCs w:val="24"/>
          <w:u w:val="single"/>
        </w:rPr>
        <w:t xml:space="preserve">Havarijní fond pro ochranu jakosti vod SK </w:t>
      </w:r>
    </w:p>
    <w:p w14:paraId="13FDD0B8" w14:textId="77777777" w:rsidR="00960E88" w:rsidRPr="00A97F00" w:rsidRDefault="00960E88" w:rsidP="00A97F00">
      <w:pPr>
        <w:spacing w:after="0"/>
        <w:jc w:val="both"/>
        <w:rPr>
          <w:rFonts w:cs="Calibri"/>
          <w:b/>
          <w:sz w:val="28"/>
          <w:szCs w:val="28"/>
          <w:u w:val="single"/>
        </w:rPr>
      </w:pPr>
    </w:p>
    <w:p w14:paraId="0B3CD56D" w14:textId="14AADA8F" w:rsidR="00960E88" w:rsidRPr="00A97F00" w:rsidRDefault="00960E88" w:rsidP="00A97F00">
      <w:pPr>
        <w:spacing w:after="0"/>
        <w:jc w:val="both"/>
        <w:rPr>
          <w:rFonts w:cs="Calibri"/>
          <w:b/>
          <w:sz w:val="28"/>
          <w:szCs w:val="28"/>
          <w:u w:val="single"/>
        </w:rPr>
      </w:pPr>
      <w:r w:rsidRPr="00A97F00">
        <w:rPr>
          <w:rFonts w:cs="Calibri"/>
          <w:b/>
        </w:rPr>
        <w:t xml:space="preserve">§ 2310 – Havarijní fond pro ochranu jakosti vod SK </w:t>
      </w:r>
    </w:p>
    <w:p w14:paraId="37D45B03" w14:textId="77777777" w:rsidR="00960E88" w:rsidRPr="00A97F00" w:rsidRDefault="00960E88" w:rsidP="00A97F00">
      <w:pPr>
        <w:spacing w:after="0"/>
        <w:jc w:val="both"/>
        <w:rPr>
          <w:rFonts w:cs="Calibri"/>
        </w:rPr>
      </w:pPr>
      <w:r w:rsidRPr="00A97F00">
        <w:rPr>
          <w:rFonts w:cs="Calibri"/>
        </w:rPr>
        <w:t>Fond byl zřízen v roce 2004 v souladu se zákonem č.</w:t>
      </w:r>
      <w:smartTag w:uri="urn:schemas-microsoft-com:office:smarttags" w:element="PersonName">
        <w:r w:rsidRPr="00A97F00">
          <w:rPr>
            <w:rFonts w:cs="Calibri"/>
          </w:rPr>
          <w:t xml:space="preserve"> </w:t>
        </w:r>
      </w:smartTag>
      <w:r w:rsidRPr="00A97F00">
        <w:rPr>
          <w:rFonts w:cs="Calibri"/>
        </w:rPr>
        <w:t>254/2001</w:t>
      </w:r>
      <w:smartTag w:uri="urn:schemas-microsoft-com:office:smarttags" w:element="PersonName">
        <w:r w:rsidRPr="00A97F00">
          <w:rPr>
            <w:rFonts w:cs="Calibri"/>
          </w:rPr>
          <w:t xml:space="preserve"> </w:t>
        </w:r>
      </w:smartTag>
      <w:r w:rsidRPr="00A97F00">
        <w:rPr>
          <w:rFonts w:cs="Calibri"/>
        </w:rPr>
        <w:t>Sb.,</w:t>
      </w:r>
      <w:smartTag w:uri="urn:schemas-microsoft-com:office:smarttags" w:element="PersonName">
        <w:r w:rsidRPr="00A97F00">
          <w:rPr>
            <w:rFonts w:cs="Calibri"/>
          </w:rPr>
          <w:t xml:space="preserve"> </w:t>
        </w:r>
      </w:smartTag>
      <w:r w:rsidRPr="00A97F00">
        <w:rPr>
          <w:rFonts w:cs="Calibri"/>
        </w:rPr>
        <w:t>o</w:t>
      </w:r>
      <w:smartTag w:uri="urn:schemas-microsoft-com:office:smarttags" w:element="PersonName">
        <w:r w:rsidRPr="00A97F00">
          <w:rPr>
            <w:rFonts w:cs="Calibri"/>
          </w:rPr>
          <w:t xml:space="preserve"> </w:t>
        </w:r>
      </w:smartTag>
      <w:r w:rsidRPr="00A97F00">
        <w:rPr>
          <w:rFonts w:cs="Calibri"/>
        </w:rPr>
        <w:t>vodách</w:t>
      </w:r>
      <w:smartTag w:uri="urn:schemas-microsoft-com:office:smarttags" w:element="PersonName">
        <w:r w:rsidRPr="00A97F00">
          <w:rPr>
            <w:rFonts w:cs="Calibri"/>
          </w:rPr>
          <w:t xml:space="preserve"> </w:t>
        </w:r>
      </w:smartTag>
      <w:r w:rsidRPr="00A97F00">
        <w:rPr>
          <w:rFonts w:cs="Calibri"/>
        </w:rPr>
        <w:t>ve</w:t>
      </w:r>
      <w:smartTag w:uri="urn:schemas-microsoft-com:office:smarttags" w:element="PersonName">
        <w:r w:rsidRPr="00A97F00">
          <w:rPr>
            <w:rFonts w:cs="Calibri"/>
          </w:rPr>
          <w:t xml:space="preserve"> </w:t>
        </w:r>
      </w:smartTag>
      <w:r w:rsidRPr="00A97F00">
        <w:rPr>
          <w:rFonts w:cs="Calibri"/>
        </w:rPr>
        <w:t>znění</w:t>
      </w:r>
      <w:smartTag w:uri="urn:schemas-microsoft-com:office:smarttags" w:element="PersonName">
        <w:r w:rsidRPr="00A97F00">
          <w:rPr>
            <w:rFonts w:cs="Calibri"/>
          </w:rPr>
          <w:t xml:space="preserve"> </w:t>
        </w:r>
      </w:smartTag>
      <w:r w:rsidRPr="00A97F00">
        <w:rPr>
          <w:rFonts w:cs="Calibri"/>
        </w:rPr>
        <w:t>pozdějších</w:t>
      </w:r>
      <w:smartTag w:uri="urn:schemas-microsoft-com:office:smarttags" w:element="PersonName">
        <w:r w:rsidRPr="00A97F00">
          <w:rPr>
            <w:rFonts w:cs="Calibri"/>
          </w:rPr>
          <w:t xml:space="preserve"> </w:t>
        </w:r>
      </w:smartTag>
      <w:r w:rsidRPr="00A97F00">
        <w:rPr>
          <w:rFonts w:cs="Calibri"/>
        </w:rPr>
        <w:t>předpisů, za účelem úhrady nutných nákladů potřebných na opatření k nápravě při havarijních stavech na povrchových a podzemních vodách. Dále lze kofinancovat vypracování analýzy rizik řešení vlivu starých ekologických zátěží v rámci Operačního programu Životní prostředí. Zdrojem fondu</w:t>
      </w:r>
      <w:smartTag w:uri="urn:schemas-microsoft-com:office:smarttags" w:element="PersonName">
        <w:r w:rsidRPr="00A97F00">
          <w:rPr>
            <w:rFonts w:cs="Calibri"/>
          </w:rPr>
          <w:t xml:space="preserve"> </w:t>
        </w:r>
      </w:smartTag>
      <w:r w:rsidRPr="00A97F00">
        <w:rPr>
          <w:rFonts w:cs="Calibri"/>
        </w:rPr>
        <w:t>jsou pouze příjmy</w:t>
      </w:r>
      <w:smartTag w:uri="urn:schemas-microsoft-com:office:smarttags" w:element="PersonName">
        <w:r w:rsidRPr="00A97F00">
          <w:rPr>
            <w:rFonts w:cs="Calibri"/>
          </w:rPr>
          <w:t xml:space="preserve"> </w:t>
        </w:r>
      </w:smartTag>
      <w:r w:rsidRPr="00A97F00">
        <w:rPr>
          <w:rFonts w:cs="Calibri"/>
        </w:rPr>
        <w:t>poplatků</w:t>
      </w:r>
      <w:smartTag w:uri="urn:schemas-microsoft-com:office:smarttags" w:element="PersonName">
        <w:r w:rsidRPr="00A97F00">
          <w:rPr>
            <w:rFonts w:cs="Calibri"/>
          </w:rPr>
          <w:t xml:space="preserve"> </w:t>
        </w:r>
      </w:smartTag>
      <w:r w:rsidRPr="00A97F00">
        <w:rPr>
          <w:rFonts w:cs="Calibri"/>
        </w:rPr>
        <w:t>za</w:t>
      </w:r>
      <w:smartTag w:uri="urn:schemas-microsoft-com:office:smarttags" w:element="PersonName">
        <w:r w:rsidRPr="00A97F00">
          <w:rPr>
            <w:rFonts w:cs="Calibri"/>
          </w:rPr>
          <w:t xml:space="preserve"> </w:t>
        </w:r>
      </w:smartTag>
      <w:r w:rsidRPr="00A97F00">
        <w:rPr>
          <w:rFonts w:cs="Calibri"/>
        </w:rPr>
        <w:t>odběr</w:t>
      </w:r>
      <w:smartTag w:uri="urn:schemas-microsoft-com:office:smarttags" w:element="PersonName">
        <w:r w:rsidRPr="00A97F00">
          <w:rPr>
            <w:rFonts w:cs="Calibri"/>
          </w:rPr>
          <w:t xml:space="preserve"> </w:t>
        </w:r>
      </w:smartTag>
      <w:r w:rsidRPr="00A97F00">
        <w:rPr>
          <w:rFonts w:cs="Calibri"/>
        </w:rPr>
        <w:t>podzemní</w:t>
      </w:r>
      <w:smartTag w:uri="urn:schemas-microsoft-com:office:smarttags" w:element="PersonName">
        <w:r w:rsidRPr="00A97F00">
          <w:rPr>
            <w:rFonts w:cs="Calibri"/>
          </w:rPr>
          <w:t xml:space="preserve"> </w:t>
        </w:r>
      </w:smartTag>
      <w:r w:rsidRPr="00A97F00">
        <w:rPr>
          <w:rFonts w:cs="Calibri"/>
        </w:rPr>
        <w:t>vody</w:t>
      </w:r>
      <w:smartTag w:uri="urn:schemas-microsoft-com:office:smarttags" w:element="PersonName">
        <w:r w:rsidRPr="00A97F00">
          <w:rPr>
            <w:rFonts w:cs="Calibri"/>
          </w:rPr>
          <w:t xml:space="preserve"> </w:t>
        </w:r>
      </w:smartTag>
      <w:r w:rsidRPr="00A97F00">
        <w:rPr>
          <w:rFonts w:cs="Calibri"/>
        </w:rPr>
        <w:t>dle</w:t>
      </w:r>
      <w:smartTag w:uri="urn:schemas-microsoft-com:office:smarttags" w:element="PersonName">
        <w:r w:rsidRPr="00A97F00">
          <w:rPr>
            <w:rFonts w:cs="Calibri"/>
          </w:rPr>
          <w:t xml:space="preserve"> </w:t>
        </w:r>
      </w:smartTag>
      <w:r w:rsidRPr="00A97F00">
        <w:rPr>
          <w:rFonts w:cs="Calibri"/>
        </w:rPr>
        <w:t>vodního</w:t>
      </w:r>
      <w:smartTag w:uri="urn:schemas-microsoft-com:office:smarttags" w:element="PersonName">
        <w:r w:rsidRPr="00A97F00">
          <w:rPr>
            <w:rFonts w:cs="Calibri"/>
          </w:rPr>
          <w:t xml:space="preserve"> </w:t>
        </w:r>
      </w:smartTag>
      <w:r w:rsidRPr="00A97F00">
        <w:rPr>
          <w:rFonts w:cs="Calibri"/>
        </w:rPr>
        <w:t xml:space="preserve">zákona a případné vratky účelových nevyužitých dotací poskytnutých z tohoto fondu. </w:t>
      </w:r>
    </w:p>
    <w:p w14:paraId="68B46691" w14:textId="77777777" w:rsidR="00960E88" w:rsidRPr="00A97F00" w:rsidRDefault="00960E88" w:rsidP="00A97F00">
      <w:pPr>
        <w:spacing w:after="0"/>
        <w:jc w:val="both"/>
        <w:rPr>
          <w:rFonts w:cs="Calibri"/>
        </w:rPr>
      </w:pPr>
      <w:r w:rsidRPr="00A97F00">
        <w:rPr>
          <w:rFonts w:cs="Calibri"/>
        </w:rPr>
        <w:t>Usnesením č. 045-05/2021/RK ze dne 4. 2. 2021 byl schválen převod vázaných prostředků z roku 2020 ve výši 6 493 336,61 Kč. Na základě toho byla částka zapojena do rozdělení zůstatku hospodaření Středočeského kraje z roku 2020 (usnesení č. 007-6/2021/ZK ze dne 26. 4. 2021). Dále byl doplněn rozpočet fondu z příjmů z poplatků za odběr podzemní vody usnesením č. 032-18/2021/RK ze dne 22. 4. 2021 ve výši 8 247 875,64 Kč, usnesením č. 065-40/2021/RK ze dne 21. 10. 2021 ve výši 10 691 134,41 Kč a usnesením č. 082-47/2021/RK ze dne 16. 12. 2021 ve výši 117 590,00 Kč.</w:t>
      </w:r>
    </w:p>
    <w:p w14:paraId="6BCFB8C4" w14:textId="77777777" w:rsidR="00960E88" w:rsidRPr="00A97F00" w:rsidRDefault="00960E88" w:rsidP="00A97F00">
      <w:pPr>
        <w:spacing w:after="0"/>
        <w:jc w:val="both"/>
        <w:rPr>
          <w:rFonts w:cs="Calibri"/>
        </w:rPr>
      </w:pPr>
      <w:r w:rsidRPr="00A97F00">
        <w:rPr>
          <w:rFonts w:cs="Calibri"/>
        </w:rPr>
        <w:t>Čerpání havarijního fondu v roce 2021 bylo vykázáno následující:</w:t>
      </w:r>
    </w:p>
    <w:p w14:paraId="1AF02D38" w14:textId="77777777" w:rsidR="00960E88" w:rsidRPr="00A97F00" w:rsidRDefault="00960E88" w:rsidP="00A97F00">
      <w:pPr>
        <w:spacing w:after="0"/>
        <w:jc w:val="both"/>
        <w:rPr>
          <w:rFonts w:cs="Calibri"/>
        </w:rPr>
      </w:pPr>
      <w:r w:rsidRPr="00A97F00">
        <w:rPr>
          <w:rFonts w:cs="Calibri"/>
        </w:rPr>
        <w:t>▪ Obec Vitice ve výši 1 917 353,00 Kč na spolufinancování projektu „Vitice, likvidace nelegální skládky nebezpečného odpadu - tavírenských solí“ (usnesení č. 021-18/2019/ZK ze dne       29. 4. 2019)</w:t>
      </w:r>
    </w:p>
    <w:p w14:paraId="0B03741F" w14:textId="77777777" w:rsidR="00960E88" w:rsidRPr="00A97F00" w:rsidRDefault="00960E88" w:rsidP="00A97F00">
      <w:pPr>
        <w:spacing w:after="0"/>
        <w:jc w:val="both"/>
        <w:rPr>
          <w:rFonts w:cs="Calibri"/>
        </w:rPr>
      </w:pPr>
      <w:r w:rsidRPr="00A97F00">
        <w:rPr>
          <w:rFonts w:cs="Calibri"/>
        </w:rPr>
        <w:t>▪ Obec Dubno ve výši 12 200 000,00 Kč na spolufinancování projektu „Sanace bývalé deponie Dubno“ (usnesení č. 017-20/2019/ZK ze dne 26. 8. 2019)</w:t>
      </w:r>
    </w:p>
    <w:p w14:paraId="1E8A7446" w14:textId="77777777" w:rsidR="00960E88" w:rsidRPr="00A97F00" w:rsidRDefault="00960E88" w:rsidP="00A97F00">
      <w:pPr>
        <w:spacing w:after="0"/>
        <w:jc w:val="both"/>
        <w:rPr>
          <w:rFonts w:cs="Calibri"/>
        </w:rPr>
      </w:pPr>
      <w:r w:rsidRPr="00A97F00">
        <w:rPr>
          <w:rFonts w:cs="Calibri"/>
        </w:rPr>
        <w:t>▪ Město Kutná Hora ve výši 505 205,25 Kč na úhradu nákladů vynaložených na sanaci ropnými uhlovodíky znečistěné obecní studny v Ledečku (usnesení č. 025-6/2021/ZK ze dne 26. 4. 2021).</w:t>
      </w:r>
    </w:p>
    <w:p w14:paraId="409B5EF2" w14:textId="77777777" w:rsidR="00960E88" w:rsidRPr="00A97F00" w:rsidRDefault="00960E88" w:rsidP="00A97F00">
      <w:pPr>
        <w:spacing w:after="0"/>
        <w:jc w:val="both"/>
        <w:rPr>
          <w:rFonts w:cs="Calibri"/>
        </w:rPr>
      </w:pPr>
      <w:r w:rsidRPr="00A97F00">
        <w:rPr>
          <w:rFonts w:cs="Calibri"/>
        </w:rPr>
        <w:t xml:space="preserve"> </w:t>
      </w:r>
    </w:p>
    <w:p w14:paraId="08B51F4E" w14:textId="77777777" w:rsidR="00960E88" w:rsidRPr="00A97F00" w:rsidRDefault="00960E88" w:rsidP="00A97F00">
      <w:pPr>
        <w:spacing w:after="0"/>
        <w:jc w:val="both"/>
        <w:rPr>
          <w:rFonts w:cs="Calibri"/>
        </w:rPr>
      </w:pPr>
    </w:p>
    <w:p w14:paraId="42BAF540" w14:textId="0D063DAB" w:rsidR="00960E88" w:rsidRPr="003A456C" w:rsidRDefault="00960E88" w:rsidP="00A97F00">
      <w:pPr>
        <w:spacing w:after="0"/>
        <w:jc w:val="both"/>
        <w:rPr>
          <w:rFonts w:cs="Calibri"/>
          <w:b/>
          <w:sz w:val="24"/>
          <w:szCs w:val="24"/>
          <w:u w:val="single"/>
        </w:rPr>
      </w:pPr>
      <w:r w:rsidRPr="003A456C">
        <w:rPr>
          <w:rFonts w:cs="Calibri"/>
          <w:b/>
          <w:sz w:val="24"/>
          <w:szCs w:val="24"/>
          <w:u w:val="single"/>
        </w:rPr>
        <w:t>Kapitálové výdaje</w:t>
      </w:r>
    </w:p>
    <w:p w14:paraId="195F679A" w14:textId="77777777" w:rsidR="00960E88" w:rsidRPr="00A97F00" w:rsidRDefault="00960E88" w:rsidP="00A97F00">
      <w:pPr>
        <w:spacing w:after="0"/>
        <w:jc w:val="both"/>
        <w:rPr>
          <w:rFonts w:cs="Calibri"/>
        </w:rPr>
      </w:pPr>
    </w:p>
    <w:p w14:paraId="7C164021" w14:textId="77777777" w:rsidR="00960E88" w:rsidRPr="00A97F00" w:rsidRDefault="00960E88" w:rsidP="00A97F00">
      <w:pPr>
        <w:spacing w:after="0"/>
        <w:jc w:val="both"/>
        <w:rPr>
          <w:rFonts w:cs="Calibri"/>
          <w:b/>
        </w:rPr>
      </w:pPr>
      <w:r w:rsidRPr="00A97F00">
        <w:rPr>
          <w:rFonts w:cs="Calibri"/>
          <w:b/>
        </w:rPr>
        <w:t>§ 2321 – Dotace obcím a městům na vodohospodářskou infrastrukturu</w:t>
      </w:r>
    </w:p>
    <w:p w14:paraId="7CA7333C" w14:textId="77777777" w:rsidR="00960E88" w:rsidRPr="00A97F00" w:rsidRDefault="00960E88" w:rsidP="00A97F00">
      <w:pPr>
        <w:spacing w:after="0"/>
        <w:jc w:val="both"/>
        <w:rPr>
          <w:rFonts w:cs="Calibri"/>
        </w:rPr>
      </w:pPr>
      <w:r w:rsidRPr="00A97F00">
        <w:rPr>
          <w:rFonts w:cs="Calibri"/>
        </w:rPr>
        <w:t>Usnesením č. 046-05/2021/RK ze dne 4. 2. 2021 byl schválen převod nevyčerpaných účelových finančních prostředků z roku 2020 na individuální účelovou dotaci městu Novému</w:t>
      </w:r>
      <w:r w:rsidRPr="00A97F00">
        <w:t xml:space="preserve"> </w:t>
      </w:r>
      <w:r w:rsidRPr="00A97F00">
        <w:rPr>
          <w:rFonts w:cs="Calibri"/>
        </w:rPr>
        <w:t xml:space="preserve">Strašecímu ve výši 3 000 000,00 Kč na realizaci projektu „Nové Strašecí - dostavba kanalizace a ČOV“.  Na základě toho byla částka zapojena do rozdělení zůstatku hospodaření Středočeského kraje z roku 2020 (usnesení č. 007-6/2021/ZK ze dne 26. 4. 2021). </w:t>
      </w:r>
    </w:p>
    <w:p w14:paraId="356591BD" w14:textId="0CE77299" w:rsidR="00960E88" w:rsidRPr="00A97F00" w:rsidRDefault="00960E88" w:rsidP="00A97F00">
      <w:pPr>
        <w:pStyle w:val="Zkladntext"/>
        <w:spacing w:after="0"/>
        <w:rPr>
          <w:rFonts w:asciiTheme="minorHAnsi" w:hAnsiTheme="minorHAnsi" w:cs="Calibri"/>
          <w:sz w:val="22"/>
          <w:szCs w:val="22"/>
        </w:rPr>
      </w:pPr>
      <w:r w:rsidRPr="00A97F00">
        <w:rPr>
          <w:rFonts w:asciiTheme="minorHAnsi" w:hAnsiTheme="minorHAnsi" w:cs="Calibri"/>
          <w:sz w:val="22"/>
          <w:szCs w:val="22"/>
        </w:rPr>
        <w:t>Dotace schválená usnesením č. 114-23/2016/ZK ze dne 28. 6. 2016 byla proplacena z důvodu nižších nákladů ve výši 34</w:t>
      </w:r>
      <w:r w:rsidR="0085496C">
        <w:rPr>
          <w:rFonts w:asciiTheme="minorHAnsi" w:hAnsiTheme="minorHAnsi" w:cs="Calibri"/>
          <w:sz w:val="22"/>
          <w:szCs w:val="22"/>
        </w:rPr>
        <w:t>,0</w:t>
      </w:r>
      <w:r w:rsidRPr="00A97F00">
        <w:rPr>
          <w:rFonts w:asciiTheme="minorHAnsi" w:hAnsiTheme="minorHAnsi" w:cs="Calibri"/>
          <w:sz w:val="22"/>
          <w:szCs w:val="22"/>
        </w:rPr>
        <w:t xml:space="preserve"> %.</w:t>
      </w:r>
    </w:p>
    <w:p w14:paraId="2B802B29" w14:textId="77777777" w:rsidR="00960E88" w:rsidRPr="00A97F00" w:rsidRDefault="00960E88" w:rsidP="00A97F00">
      <w:pPr>
        <w:pStyle w:val="Zkladntext"/>
        <w:spacing w:after="0"/>
        <w:jc w:val="both"/>
        <w:rPr>
          <w:rFonts w:asciiTheme="minorHAnsi" w:hAnsiTheme="minorHAnsi" w:cs="Calibri"/>
        </w:rPr>
      </w:pPr>
    </w:p>
    <w:p w14:paraId="6F0480F5" w14:textId="77777777" w:rsidR="00960E88" w:rsidRPr="00A97F00" w:rsidRDefault="00960E88" w:rsidP="00A97F00">
      <w:pPr>
        <w:spacing w:after="0"/>
        <w:rPr>
          <w:rFonts w:cs="Calibri"/>
          <w:b/>
        </w:rPr>
      </w:pPr>
      <w:r w:rsidRPr="00A97F00">
        <w:rPr>
          <w:rFonts w:cs="Calibri"/>
          <w:b/>
        </w:rPr>
        <w:t>§ 3792 – Ekologická výchova a osvěta</w:t>
      </w:r>
    </w:p>
    <w:p w14:paraId="1AD438A2" w14:textId="77777777" w:rsidR="00960E88" w:rsidRPr="0085496C" w:rsidRDefault="00960E88" w:rsidP="00A97F00">
      <w:pPr>
        <w:pStyle w:val="Zkladntext"/>
        <w:spacing w:after="0"/>
        <w:jc w:val="both"/>
        <w:rPr>
          <w:rFonts w:asciiTheme="minorHAnsi" w:hAnsiTheme="minorHAnsi" w:cs="Calibri"/>
          <w:sz w:val="22"/>
          <w:szCs w:val="22"/>
        </w:rPr>
      </w:pPr>
      <w:r w:rsidRPr="0085496C">
        <w:rPr>
          <w:rFonts w:asciiTheme="minorHAnsi" w:hAnsiTheme="minorHAnsi" w:cs="Calibri"/>
          <w:sz w:val="22"/>
          <w:szCs w:val="22"/>
        </w:rPr>
        <w:t>▪ dotace v rámci vyhlášeného Programu 2021 na Environmentální vzdělávání, výchovu a osvětu schválené dle usnesení č. 027-07/2021/ZK ze dne 31. 5. 2021 (1 321 970,00 Kč)</w:t>
      </w:r>
    </w:p>
    <w:p w14:paraId="5A8D5B9E" w14:textId="77777777" w:rsidR="00960E88" w:rsidRPr="00A97F00" w:rsidRDefault="00960E88" w:rsidP="00A97F00">
      <w:pPr>
        <w:spacing w:after="0"/>
        <w:jc w:val="both"/>
        <w:rPr>
          <w:rFonts w:cs="Calibri"/>
          <w:lang w:eastAsia="cs-CZ"/>
        </w:rPr>
      </w:pPr>
      <w:r w:rsidRPr="00A97F00">
        <w:rPr>
          <w:rFonts w:cs="Calibri"/>
          <w:lang w:eastAsia="cs-CZ"/>
        </w:rPr>
        <w:t xml:space="preserve">V rámci rozpočtové úpravy č. 307/10/2021 byly dotace z Programu 2021 na Environmentální vzdělávání, výchovu a osvětu podle žádostí rozepsány do neinvestičních a investičních položek. Na investiční položky byla převedena částka 1 321 970,00 Kč. </w:t>
      </w:r>
    </w:p>
    <w:p w14:paraId="67745075" w14:textId="77777777" w:rsidR="00960E88" w:rsidRPr="00A97F00" w:rsidRDefault="00960E88" w:rsidP="00A97F00">
      <w:pPr>
        <w:spacing w:after="0"/>
        <w:jc w:val="both"/>
        <w:rPr>
          <w:rFonts w:cs="Calibri"/>
        </w:rPr>
      </w:pPr>
    </w:p>
    <w:p w14:paraId="743F82E6" w14:textId="77777777" w:rsidR="00960E88" w:rsidRPr="00A97F00" w:rsidRDefault="00960E88" w:rsidP="00A97F00">
      <w:pPr>
        <w:spacing w:after="0"/>
        <w:jc w:val="both"/>
        <w:rPr>
          <w:rFonts w:cs="Calibri"/>
        </w:rPr>
      </w:pPr>
    </w:p>
    <w:p w14:paraId="438DAF0F" w14:textId="77777777" w:rsidR="00960E88" w:rsidRPr="00A97F00" w:rsidRDefault="00960E88" w:rsidP="00A97F00">
      <w:pPr>
        <w:pStyle w:val="Zkladntext"/>
        <w:spacing w:after="0"/>
        <w:jc w:val="both"/>
        <w:rPr>
          <w:rFonts w:asciiTheme="minorHAnsi" w:hAnsiTheme="minorHAnsi" w:cs="Calibri"/>
          <w:b/>
          <w:u w:val="single"/>
        </w:rPr>
      </w:pPr>
      <w:r w:rsidRPr="00A97F00">
        <w:rPr>
          <w:rFonts w:asciiTheme="minorHAnsi" w:hAnsiTheme="minorHAnsi" w:cs="Calibri"/>
          <w:b/>
          <w:u w:val="single"/>
        </w:rPr>
        <w:t>Předfinancování a kofinancování projektů spolufinancovaných z EU/EHP a ostatní související výdaje s projekty EU/EHP</w:t>
      </w:r>
    </w:p>
    <w:p w14:paraId="642B5400" w14:textId="77777777" w:rsidR="00960E88" w:rsidRPr="00A97F00" w:rsidRDefault="00960E88" w:rsidP="00A97F00">
      <w:pPr>
        <w:pStyle w:val="Zkladntext"/>
        <w:spacing w:after="0"/>
        <w:jc w:val="both"/>
        <w:rPr>
          <w:rFonts w:asciiTheme="minorHAnsi" w:hAnsiTheme="minorHAnsi" w:cs="Calibri"/>
          <w:b/>
        </w:rPr>
      </w:pPr>
    </w:p>
    <w:p w14:paraId="6D4266FA" w14:textId="77777777" w:rsidR="00960E88" w:rsidRPr="00A97F00" w:rsidRDefault="00960E88" w:rsidP="00A97F00">
      <w:pPr>
        <w:pStyle w:val="Zkladntext"/>
        <w:spacing w:after="0"/>
        <w:jc w:val="both"/>
        <w:rPr>
          <w:rFonts w:asciiTheme="minorHAnsi" w:hAnsiTheme="minorHAnsi" w:cs="Calibri"/>
          <w:b/>
          <w:sz w:val="22"/>
          <w:szCs w:val="22"/>
        </w:rPr>
      </w:pPr>
      <w:r w:rsidRPr="00A97F00">
        <w:rPr>
          <w:rFonts w:asciiTheme="minorHAnsi" w:hAnsiTheme="minorHAnsi" w:cs="Calibri"/>
          <w:b/>
          <w:sz w:val="22"/>
          <w:szCs w:val="22"/>
        </w:rPr>
        <w:t>§ 3742 – Odbahnění mokřadu (předfinancování)</w:t>
      </w:r>
    </w:p>
    <w:p w14:paraId="27758300" w14:textId="77777777" w:rsidR="00960E88" w:rsidRPr="00A97F00" w:rsidRDefault="00960E88" w:rsidP="00A97F00">
      <w:pPr>
        <w:pStyle w:val="Zkladntext"/>
        <w:spacing w:after="0"/>
        <w:jc w:val="both"/>
        <w:rPr>
          <w:rFonts w:asciiTheme="minorHAnsi" w:hAnsiTheme="minorHAnsi" w:cs="Calibri"/>
          <w:bCs/>
          <w:sz w:val="22"/>
          <w:szCs w:val="22"/>
        </w:rPr>
      </w:pPr>
      <w:r w:rsidRPr="00A97F00">
        <w:rPr>
          <w:rFonts w:asciiTheme="minorHAnsi" w:hAnsiTheme="minorHAnsi" w:cs="Calibri"/>
          <w:sz w:val="22"/>
          <w:szCs w:val="22"/>
        </w:rPr>
        <w:t xml:space="preserve">Usnesením č. </w:t>
      </w:r>
      <w:r w:rsidRPr="00A97F00">
        <w:rPr>
          <w:rFonts w:asciiTheme="minorHAnsi" w:hAnsiTheme="minorHAnsi" w:cs="Calibri"/>
          <w:bCs/>
          <w:sz w:val="22"/>
          <w:szCs w:val="22"/>
        </w:rPr>
        <w:t xml:space="preserve">034-03/2021/RK ze dne 21. 1. 2021 </w:t>
      </w:r>
      <w:r w:rsidRPr="00A97F00">
        <w:rPr>
          <w:rFonts w:asciiTheme="minorHAnsi" w:hAnsiTheme="minorHAnsi" w:cs="Calibri"/>
          <w:sz w:val="22"/>
          <w:szCs w:val="22"/>
        </w:rPr>
        <w:t xml:space="preserve">byl schválen převod nevyčerpaných účelových finančních prostředků z roku 2020 ve výši 3 259 530,87 Kč. Na základě toho byla částka zapojena do rozdělení zůstatku hospodaření Středočeského kraje z roku 2020 (usnesení č. 007-6/2021/ZK ze dne 26. 4. 2021). </w:t>
      </w:r>
      <w:r w:rsidRPr="00A97F00">
        <w:rPr>
          <w:rFonts w:asciiTheme="minorHAnsi" w:hAnsiTheme="minorHAnsi" w:cs="Calibri"/>
          <w:bCs/>
          <w:sz w:val="22"/>
          <w:szCs w:val="22"/>
        </w:rPr>
        <w:t xml:space="preserve">Usnesením č. 026-22/2021/RK ze dne        20. 5. 2021 byl schválen převod finančních prostředků ve výši </w:t>
      </w:r>
      <w:r w:rsidRPr="00A97F00">
        <w:rPr>
          <w:rFonts w:asciiTheme="minorHAnsi" w:hAnsiTheme="minorHAnsi" w:cs="Calibri"/>
          <w:sz w:val="22"/>
          <w:szCs w:val="22"/>
        </w:rPr>
        <w:t xml:space="preserve">1 853 057,72 Kč z prostředků na předfinancování a kofinancování projektů EU a ostatní související výdaje na projekt „Odbahnění mokřadu v evropsky významné lokalitě a přírodní památce Jablonná-mokřad“ z Operačního programu Životní prostředí. Předmětem podpory je odbahnění mokřadu a s tím spojené činnosti (technický dozor, biologický dozor, deponace kuňky obecné). </w:t>
      </w:r>
      <w:r w:rsidRPr="00A97F00">
        <w:rPr>
          <w:rFonts w:asciiTheme="minorHAnsi" w:hAnsiTheme="minorHAnsi" w:cs="Calibri"/>
          <w:bCs/>
          <w:sz w:val="22"/>
          <w:szCs w:val="22"/>
        </w:rPr>
        <w:t>Čerpání rozpočtu projektu je vykázáno v plném rozsahu.</w:t>
      </w:r>
    </w:p>
    <w:p w14:paraId="505C4189" w14:textId="77777777" w:rsidR="00960E88" w:rsidRPr="00A97F00" w:rsidRDefault="00960E88" w:rsidP="00A97F00">
      <w:pPr>
        <w:pStyle w:val="Zkladntext"/>
        <w:spacing w:after="0"/>
        <w:jc w:val="both"/>
        <w:rPr>
          <w:rFonts w:asciiTheme="minorHAnsi" w:hAnsiTheme="minorHAnsi" w:cs="Calibri"/>
          <w:sz w:val="22"/>
          <w:szCs w:val="22"/>
        </w:rPr>
      </w:pPr>
    </w:p>
    <w:p w14:paraId="7E4B0F3D" w14:textId="77777777" w:rsidR="00960E88" w:rsidRPr="00A97F00" w:rsidRDefault="00960E88" w:rsidP="00A97F00">
      <w:pPr>
        <w:pStyle w:val="Zkladntext"/>
        <w:spacing w:after="0"/>
        <w:jc w:val="both"/>
        <w:rPr>
          <w:rFonts w:asciiTheme="minorHAnsi" w:hAnsiTheme="minorHAnsi" w:cs="Calibri"/>
          <w:b/>
          <w:sz w:val="22"/>
          <w:szCs w:val="22"/>
        </w:rPr>
      </w:pPr>
      <w:r w:rsidRPr="00A97F00">
        <w:rPr>
          <w:rFonts w:asciiTheme="minorHAnsi" w:hAnsiTheme="minorHAnsi" w:cs="Calibri"/>
          <w:b/>
          <w:sz w:val="22"/>
          <w:szCs w:val="22"/>
        </w:rPr>
        <w:t>§ 3742 – Management 4 lokalit soustavy Natura 2000 (předfinancování)</w:t>
      </w:r>
    </w:p>
    <w:p w14:paraId="20949BA3" w14:textId="77777777" w:rsidR="00960E88" w:rsidRPr="00A97F00" w:rsidRDefault="00960E88" w:rsidP="00A97F00">
      <w:pPr>
        <w:pStyle w:val="Zkladntext"/>
        <w:spacing w:after="0"/>
        <w:jc w:val="both"/>
        <w:rPr>
          <w:rFonts w:asciiTheme="minorHAnsi" w:hAnsiTheme="minorHAnsi" w:cs="Calibri"/>
          <w:sz w:val="22"/>
          <w:szCs w:val="22"/>
        </w:rPr>
      </w:pPr>
      <w:r w:rsidRPr="00A97F00">
        <w:rPr>
          <w:rFonts w:asciiTheme="minorHAnsi" w:hAnsiTheme="minorHAnsi" w:cs="Calibri"/>
          <w:bCs/>
          <w:sz w:val="22"/>
          <w:szCs w:val="22"/>
        </w:rPr>
        <w:t xml:space="preserve">Usnesením č. 034-03/2021/RK ze dne 21. 1. 2021 byl schválen převod </w:t>
      </w:r>
      <w:r w:rsidRPr="00A97F00">
        <w:rPr>
          <w:rFonts w:asciiTheme="minorHAnsi" w:hAnsiTheme="minorHAnsi" w:cs="Calibri"/>
          <w:sz w:val="22"/>
          <w:szCs w:val="22"/>
        </w:rPr>
        <w:t xml:space="preserve">nevyčerpaných účelových finančních prostředků z roku 2020 ve výši 486 480,50 Kč na projekt „Management 4 lokalit soustavy Natura 2000 ve Středočeském kraji“ v rámci Operačního programu Životní prostředí. Na základě toho byla částka zapojena do rozdělení zůstatku hospodaření Středočeského kraje z roku 2020 (usnesení č. 007-6/2021/ZK ze dne 26. 4. 2021). Na projekt byl usnesením č. 015-36/2021/RK ze dne 23. 9. 2021 schválen </w:t>
      </w:r>
      <w:r w:rsidRPr="00A97F00">
        <w:rPr>
          <w:rFonts w:asciiTheme="minorHAnsi" w:hAnsiTheme="minorHAnsi" w:cs="Calibri"/>
          <w:bCs/>
          <w:sz w:val="22"/>
          <w:szCs w:val="22"/>
        </w:rPr>
        <w:t xml:space="preserve">převod finančních prostředků ve výši 891 800,96 Kč z prostředků na předfinancování a kofinancování projektů EU a ostatní související výdaje. Předmětem podpory je odstranění náletu, kosení travin a odstraňování výmladků na lokalitách přírodní památky Chlum u Nepřevázky, Polabské hůry, Žehuňsko-Báň a Žerka. Rozpočet projektu je čerpán v rozsahu 81,8 %. </w:t>
      </w:r>
      <w:r w:rsidRPr="00A97F00">
        <w:rPr>
          <w:rFonts w:asciiTheme="minorHAnsi" w:hAnsiTheme="minorHAnsi" w:cs="Calibri"/>
          <w:sz w:val="22"/>
          <w:szCs w:val="22"/>
        </w:rPr>
        <w:t xml:space="preserve"> Důvodem je vyúčtování prací z roku 2020 s uplatněním pokuty z porušení smluvního plnění u zajištění péče u zvláště chráněných území Žerka a Žehuňsko-Báň a uzavření nové smlouvy o dílo o zajištění péče u lokality Žerka.</w:t>
      </w:r>
    </w:p>
    <w:p w14:paraId="6B4FA1A9" w14:textId="77777777" w:rsidR="00960E88" w:rsidRPr="00A97F00" w:rsidRDefault="00960E88" w:rsidP="00A97F00">
      <w:pPr>
        <w:pStyle w:val="Zkladntext"/>
        <w:spacing w:after="0"/>
        <w:jc w:val="both"/>
        <w:rPr>
          <w:rFonts w:asciiTheme="minorHAnsi" w:hAnsiTheme="minorHAnsi"/>
          <w:b/>
          <w:sz w:val="22"/>
          <w:szCs w:val="22"/>
        </w:rPr>
      </w:pPr>
    </w:p>
    <w:p w14:paraId="68F9B3F9" w14:textId="77777777" w:rsidR="00960E88" w:rsidRPr="00A97F00" w:rsidRDefault="00960E88" w:rsidP="00A97F00">
      <w:pPr>
        <w:pStyle w:val="Zkladntext"/>
        <w:spacing w:after="0"/>
        <w:jc w:val="both"/>
        <w:rPr>
          <w:rFonts w:asciiTheme="minorHAnsi" w:hAnsiTheme="minorHAnsi"/>
          <w:sz w:val="22"/>
          <w:szCs w:val="22"/>
        </w:rPr>
      </w:pPr>
      <w:r w:rsidRPr="00A97F00">
        <w:rPr>
          <w:rFonts w:asciiTheme="minorHAnsi" w:hAnsiTheme="minorHAnsi" w:cs="Calibri"/>
          <w:b/>
          <w:sz w:val="22"/>
          <w:szCs w:val="22"/>
        </w:rPr>
        <w:t>§ 3742 – Zlepšení stavu ZCHÚ – Vršky pod Špičákem (kofinancování a předfinancování)</w:t>
      </w:r>
    </w:p>
    <w:p w14:paraId="4E7A4F1E" w14:textId="77777777" w:rsidR="00960E88" w:rsidRPr="00A97F00" w:rsidRDefault="00960E88" w:rsidP="00A97F00">
      <w:pPr>
        <w:pStyle w:val="Zkladntext"/>
        <w:spacing w:after="0"/>
        <w:jc w:val="both"/>
        <w:rPr>
          <w:rFonts w:asciiTheme="minorHAnsi" w:hAnsiTheme="minorHAnsi" w:cs="Calibri"/>
          <w:bCs/>
          <w:sz w:val="22"/>
          <w:szCs w:val="22"/>
        </w:rPr>
      </w:pPr>
      <w:r w:rsidRPr="00A97F00">
        <w:rPr>
          <w:rFonts w:asciiTheme="minorHAnsi" w:hAnsiTheme="minorHAnsi" w:cs="Calibri"/>
          <w:bCs/>
          <w:sz w:val="22"/>
          <w:szCs w:val="22"/>
        </w:rPr>
        <w:t>Usnesením č. 066-40/2020/RK ze dne 21. 10. 2021 byl schválen převod finančních prostředků ve výši 117 200,00 Kč z prostředků na předfinancování a kofinancování projektů EU a ostatní související výdaje na projekt „Zlepšení stavu ZCHÚ – Vršky pod Špičákem“ v rámci Operačního programu Životní prostředí. Předmětem podpory je zajištění péče o maloplošné zvláště chráněné území Vršky pod Špičákem. Čerpání rozpočtu projektu je vykázáno v plném rozsahu.</w:t>
      </w:r>
    </w:p>
    <w:p w14:paraId="453A0ECF" w14:textId="77777777" w:rsidR="00960E88" w:rsidRPr="00A97F00" w:rsidRDefault="00960E88" w:rsidP="00A97F00">
      <w:pPr>
        <w:pStyle w:val="Zkladntext"/>
        <w:spacing w:after="0"/>
        <w:jc w:val="both"/>
        <w:rPr>
          <w:rFonts w:asciiTheme="minorHAnsi" w:hAnsiTheme="minorHAnsi"/>
        </w:rPr>
      </w:pPr>
    </w:p>
    <w:p w14:paraId="1D536D21" w14:textId="77777777" w:rsidR="00960E88" w:rsidRPr="00A97F00" w:rsidRDefault="00960E88" w:rsidP="00A97F00">
      <w:pPr>
        <w:spacing w:after="0"/>
        <w:jc w:val="both"/>
        <w:rPr>
          <w:rFonts w:cs="Calibri"/>
          <w:b/>
          <w:sz w:val="24"/>
          <w:szCs w:val="24"/>
          <w:u w:val="single"/>
        </w:rPr>
      </w:pPr>
      <w:r w:rsidRPr="00A97F00">
        <w:rPr>
          <w:rFonts w:cs="Calibri"/>
          <w:b/>
          <w:sz w:val="24"/>
          <w:szCs w:val="24"/>
          <w:u w:val="single"/>
        </w:rPr>
        <w:t>Dotace ze státního rozpočtu a ostatních veřejných rozpočtů</w:t>
      </w:r>
    </w:p>
    <w:p w14:paraId="248E5625" w14:textId="77777777" w:rsidR="00960E88" w:rsidRPr="00A97F00" w:rsidRDefault="00960E88" w:rsidP="00A97F00">
      <w:pPr>
        <w:spacing w:after="0"/>
        <w:jc w:val="both"/>
        <w:rPr>
          <w:rFonts w:cs="Calibri"/>
          <w:b/>
          <w:sz w:val="24"/>
          <w:szCs w:val="24"/>
          <w:u w:val="single"/>
        </w:rPr>
      </w:pPr>
    </w:p>
    <w:p w14:paraId="1A5528C2" w14:textId="77777777" w:rsidR="00960E88" w:rsidRPr="00A97F00" w:rsidRDefault="00960E88" w:rsidP="00A97F00">
      <w:pPr>
        <w:spacing w:after="0"/>
        <w:jc w:val="both"/>
        <w:rPr>
          <w:rFonts w:cs="Calibri"/>
          <w:b/>
          <w:bCs/>
        </w:rPr>
      </w:pPr>
      <w:r w:rsidRPr="00A97F00">
        <w:rPr>
          <w:rFonts w:cs="Calibri"/>
          <w:b/>
          <w:bCs/>
        </w:rPr>
        <w:t xml:space="preserve">§ 3741 </w:t>
      </w:r>
      <w:r w:rsidRPr="00A97F00">
        <w:rPr>
          <w:rFonts w:cs="Calibri"/>
          <w:b/>
        </w:rPr>
        <w:t xml:space="preserve">– </w:t>
      </w:r>
      <w:r w:rsidRPr="00A97F00">
        <w:rPr>
          <w:rFonts w:cs="Calibri"/>
          <w:b/>
          <w:bCs/>
        </w:rPr>
        <w:t>MF ČR - neinv., náhrada</w:t>
      </w:r>
      <w:smartTag w:uri="urn:schemas-microsoft-com:office:smarttags" w:element="PersonName">
        <w:r w:rsidRPr="00A97F00">
          <w:rPr>
            <w:rFonts w:cs="Calibri"/>
            <w:b/>
            <w:bCs/>
          </w:rPr>
          <w:t xml:space="preserve"> </w:t>
        </w:r>
      </w:smartTag>
      <w:r w:rsidRPr="00A97F00">
        <w:rPr>
          <w:rFonts w:cs="Calibri"/>
          <w:b/>
          <w:bCs/>
        </w:rPr>
        <w:t>škod,</w:t>
      </w:r>
      <w:smartTag w:uri="urn:schemas-microsoft-com:office:smarttags" w:element="PersonName">
        <w:r w:rsidRPr="00A97F00">
          <w:rPr>
            <w:rFonts w:cs="Calibri"/>
            <w:b/>
            <w:bCs/>
          </w:rPr>
          <w:t xml:space="preserve"> </w:t>
        </w:r>
      </w:smartTag>
      <w:r w:rsidRPr="00A97F00">
        <w:rPr>
          <w:rFonts w:cs="Calibri"/>
          <w:b/>
          <w:bCs/>
        </w:rPr>
        <w:t>ÚZ</w:t>
      </w:r>
      <w:smartTag w:uri="urn:schemas-microsoft-com:office:smarttags" w:element="PersonName">
        <w:r w:rsidRPr="00A97F00">
          <w:rPr>
            <w:rFonts w:cs="Calibri"/>
            <w:b/>
            <w:bCs/>
          </w:rPr>
          <w:t xml:space="preserve"> </w:t>
        </w:r>
      </w:smartTag>
      <w:r w:rsidRPr="00A97F00">
        <w:rPr>
          <w:rFonts w:cs="Calibri"/>
          <w:b/>
          <w:bCs/>
        </w:rPr>
        <w:t>98278</w:t>
      </w:r>
    </w:p>
    <w:p w14:paraId="50096BFF" w14:textId="77777777" w:rsidR="00960E88" w:rsidRPr="00A97F00" w:rsidRDefault="00960E88" w:rsidP="00A97F00">
      <w:pPr>
        <w:spacing w:after="0"/>
        <w:jc w:val="both"/>
        <w:rPr>
          <w:rFonts w:cs="Calibri"/>
        </w:rPr>
      </w:pPr>
      <w:r w:rsidRPr="00A97F00">
        <w:rPr>
          <w:rFonts w:cs="Calibri"/>
        </w:rPr>
        <w:t>Poskytnutí</w:t>
      </w:r>
      <w:smartTag w:uri="urn:schemas-microsoft-com:office:smarttags" w:element="PersonName">
        <w:r w:rsidRPr="00A97F00">
          <w:rPr>
            <w:rFonts w:cs="Calibri"/>
          </w:rPr>
          <w:t xml:space="preserve"> </w:t>
        </w:r>
      </w:smartTag>
      <w:r w:rsidRPr="00A97F00">
        <w:rPr>
          <w:rFonts w:cs="Calibri"/>
        </w:rPr>
        <w:t>náhrady</w:t>
      </w:r>
      <w:smartTag w:uri="urn:schemas-microsoft-com:office:smarttags" w:element="PersonName">
        <w:r w:rsidRPr="00A97F00">
          <w:rPr>
            <w:rFonts w:cs="Calibri"/>
          </w:rPr>
          <w:t xml:space="preserve"> </w:t>
        </w:r>
      </w:smartTag>
      <w:r w:rsidRPr="00A97F00">
        <w:rPr>
          <w:rFonts w:cs="Calibri"/>
        </w:rPr>
        <w:t>škod</w:t>
      </w:r>
      <w:smartTag w:uri="urn:schemas-microsoft-com:office:smarttags" w:element="PersonName">
        <w:r w:rsidRPr="00A97F00">
          <w:rPr>
            <w:rFonts w:cs="Calibri"/>
          </w:rPr>
          <w:t xml:space="preserve"> </w:t>
        </w:r>
      </w:smartTag>
      <w:r w:rsidRPr="00A97F00">
        <w:rPr>
          <w:rFonts w:cs="Calibri"/>
        </w:rPr>
        <w:t>způsobených</w:t>
      </w:r>
      <w:smartTag w:uri="urn:schemas-microsoft-com:office:smarttags" w:element="PersonName">
        <w:r w:rsidRPr="00A97F00">
          <w:rPr>
            <w:rFonts w:cs="Calibri"/>
          </w:rPr>
          <w:t xml:space="preserve"> </w:t>
        </w:r>
      </w:smartTag>
      <w:r w:rsidRPr="00A97F00">
        <w:rPr>
          <w:rFonts w:cs="Calibri"/>
        </w:rPr>
        <w:t>vybraným</w:t>
      </w:r>
      <w:smartTag w:uri="urn:schemas-microsoft-com:office:smarttags" w:element="PersonName">
        <w:r w:rsidRPr="00A97F00">
          <w:rPr>
            <w:rFonts w:cs="Calibri"/>
          </w:rPr>
          <w:t xml:space="preserve"> </w:t>
        </w:r>
      </w:smartTag>
      <w:r w:rsidRPr="00A97F00">
        <w:rPr>
          <w:rFonts w:cs="Calibri"/>
        </w:rPr>
        <w:t>zvláště</w:t>
      </w:r>
      <w:smartTag w:uri="urn:schemas-microsoft-com:office:smarttags" w:element="PersonName">
        <w:r w:rsidRPr="00A97F00">
          <w:rPr>
            <w:rFonts w:cs="Calibri"/>
          </w:rPr>
          <w:t xml:space="preserve"> </w:t>
        </w:r>
      </w:smartTag>
      <w:r w:rsidRPr="00A97F00">
        <w:rPr>
          <w:rFonts w:cs="Calibri"/>
        </w:rPr>
        <w:t>chráněným</w:t>
      </w:r>
      <w:smartTag w:uri="urn:schemas-microsoft-com:office:smarttags" w:element="PersonName">
        <w:r w:rsidRPr="00A97F00">
          <w:rPr>
            <w:rFonts w:cs="Calibri"/>
          </w:rPr>
          <w:t xml:space="preserve"> </w:t>
        </w:r>
      </w:smartTag>
      <w:r w:rsidRPr="00A97F00">
        <w:rPr>
          <w:rFonts w:cs="Calibri"/>
        </w:rPr>
        <w:t>živočichem dle</w:t>
      </w:r>
      <w:smartTag w:uri="urn:schemas-microsoft-com:office:smarttags" w:element="PersonName">
        <w:r w:rsidRPr="00A97F00">
          <w:rPr>
            <w:rFonts w:cs="Calibri"/>
          </w:rPr>
          <w:t xml:space="preserve"> </w:t>
        </w:r>
      </w:smartTag>
      <w:r w:rsidRPr="00A97F00">
        <w:rPr>
          <w:rFonts w:cs="Calibri"/>
        </w:rPr>
        <w:t>zákona</w:t>
      </w:r>
      <w:smartTag w:uri="urn:schemas-microsoft-com:office:smarttags" w:element="PersonName">
        <w:r w:rsidRPr="00A97F00">
          <w:rPr>
            <w:rFonts w:cs="Calibri"/>
          </w:rPr>
          <w:t xml:space="preserve"> </w:t>
        </w:r>
      </w:smartTag>
      <w:r w:rsidRPr="00A97F00">
        <w:rPr>
          <w:rFonts w:cs="Calibri"/>
        </w:rPr>
        <w:t>č.</w:t>
      </w:r>
      <w:smartTag w:uri="urn:schemas-microsoft-com:office:smarttags" w:element="PersonName">
        <w:r w:rsidRPr="00A97F00">
          <w:rPr>
            <w:rFonts w:cs="Calibri"/>
          </w:rPr>
          <w:t xml:space="preserve"> </w:t>
        </w:r>
      </w:smartTag>
      <w:r w:rsidRPr="00A97F00">
        <w:rPr>
          <w:rFonts w:cs="Calibri"/>
        </w:rPr>
        <w:t>115/2000</w:t>
      </w:r>
      <w:smartTag w:uri="urn:schemas-microsoft-com:office:smarttags" w:element="PersonName">
        <w:r w:rsidRPr="00A97F00">
          <w:rPr>
            <w:rFonts w:cs="Calibri"/>
          </w:rPr>
          <w:t xml:space="preserve"> </w:t>
        </w:r>
      </w:smartTag>
      <w:r w:rsidRPr="00A97F00">
        <w:rPr>
          <w:rFonts w:cs="Calibri"/>
        </w:rPr>
        <w:t>Sb., celkem bylo vyplaceno 2 196 608,00 Kč</w:t>
      </w:r>
      <w:smartTag w:uri="urn:schemas-microsoft-com:office:smarttags" w:element="PersonName">
        <w:r w:rsidRPr="00A97F00">
          <w:rPr>
            <w:rFonts w:cs="Calibri"/>
          </w:rPr>
          <w:t xml:space="preserve"> </w:t>
        </w:r>
      </w:smartTag>
      <w:r w:rsidRPr="00A97F00">
        <w:rPr>
          <w:rFonts w:cs="Calibri"/>
        </w:rPr>
        <w:t>na</w:t>
      </w:r>
      <w:smartTag w:uri="urn:schemas-microsoft-com:office:smarttags" w:element="PersonName">
        <w:r w:rsidRPr="00A97F00">
          <w:rPr>
            <w:rFonts w:cs="Calibri"/>
          </w:rPr>
          <w:t xml:space="preserve"> </w:t>
        </w:r>
      </w:smartTag>
      <w:r w:rsidRPr="00A97F00">
        <w:rPr>
          <w:rFonts w:cs="Calibri"/>
        </w:rPr>
        <w:t>škody</w:t>
      </w:r>
      <w:smartTag w:uri="urn:schemas-microsoft-com:office:smarttags" w:element="PersonName">
        <w:r w:rsidRPr="00A97F00">
          <w:rPr>
            <w:rFonts w:cs="Calibri"/>
          </w:rPr>
          <w:t xml:space="preserve"> </w:t>
        </w:r>
      </w:smartTag>
      <w:r w:rsidRPr="00A97F00">
        <w:rPr>
          <w:rFonts w:cs="Calibri"/>
        </w:rPr>
        <w:t>způsobené</w:t>
      </w:r>
      <w:smartTag w:uri="urn:schemas-microsoft-com:office:smarttags" w:element="PersonName">
        <w:r w:rsidRPr="00A97F00">
          <w:rPr>
            <w:rFonts w:cs="Calibri"/>
          </w:rPr>
          <w:t xml:space="preserve"> </w:t>
        </w:r>
      </w:smartTag>
      <w:r w:rsidRPr="00A97F00">
        <w:rPr>
          <w:rFonts w:cs="Calibri"/>
        </w:rPr>
        <w:t>zvláště</w:t>
      </w:r>
      <w:smartTag w:uri="urn:schemas-microsoft-com:office:smarttags" w:element="PersonName">
        <w:r w:rsidRPr="00A97F00">
          <w:rPr>
            <w:rFonts w:cs="Calibri"/>
          </w:rPr>
          <w:t xml:space="preserve"> </w:t>
        </w:r>
      </w:smartTag>
      <w:r w:rsidRPr="00A97F00">
        <w:rPr>
          <w:rFonts w:cs="Calibri"/>
        </w:rPr>
        <w:t>chráněným</w:t>
      </w:r>
      <w:smartTag w:uri="urn:schemas-microsoft-com:office:smarttags" w:element="PersonName">
        <w:r w:rsidRPr="00A97F00">
          <w:rPr>
            <w:rFonts w:cs="Calibri"/>
          </w:rPr>
          <w:t xml:space="preserve"> </w:t>
        </w:r>
      </w:smartTag>
      <w:r w:rsidRPr="00A97F00">
        <w:rPr>
          <w:rFonts w:cs="Calibri"/>
        </w:rPr>
        <w:t>živočichem vydrou</w:t>
      </w:r>
      <w:smartTag w:uri="urn:schemas-microsoft-com:office:smarttags" w:element="PersonName">
        <w:r w:rsidRPr="00A97F00">
          <w:rPr>
            <w:rFonts w:cs="Calibri"/>
          </w:rPr>
          <w:t xml:space="preserve"> </w:t>
        </w:r>
      </w:smartTag>
      <w:r w:rsidRPr="00A97F00">
        <w:rPr>
          <w:rFonts w:cs="Calibri"/>
        </w:rPr>
        <w:t>říční, kormoránem velkým, bobrem evropským a vlkem.</w:t>
      </w:r>
    </w:p>
    <w:p w14:paraId="14810775" w14:textId="77777777" w:rsidR="00960E88" w:rsidRPr="00A97F00" w:rsidRDefault="00960E88" w:rsidP="00A97F00">
      <w:pPr>
        <w:spacing w:after="0"/>
        <w:jc w:val="both"/>
        <w:rPr>
          <w:rFonts w:cs="Calibri"/>
        </w:rPr>
      </w:pPr>
    </w:p>
    <w:p w14:paraId="3507C39C" w14:textId="77777777" w:rsidR="00960E88" w:rsidRPr="00A97F00" w:rsidRDefault="00960E88" w:rsidP="00A97F00">
      <w:pPr>
        <w:spacing w:after="0"/>
        <w:jc w:val="both"/>
        <w:rPr>
          <w:rFonts w:cs="Calibri"/>
        </w:rPr>
      </w:pPr>
    </w:p>
    <w:p w14:paraId="05E802AE" w14:textId="77777777" w:rsidR="00960E88" w:rsidRPr="00A97F00" w:rsidRDefault="00960E88" w:rsidP="00A97F00">
      <w:pPr>
        <w:spacing w:after="0"/>
        <w:jc w:val="both"/>
      </w:pPr>
    </w:p>
    <w:p w14:paraId="30BB79DF" w14:textId="77777777" w:rsidR="00960E88" w:rsidRPr="00A97F00" w:rsidRDefault="00960E88" w:rsidP="00A97F00">
      <w:pPr>
        <w:spacing w:after="0"/>
        <w:jc w:val="both"/>
      </w:pPr>
    </w:p>
    <w:p w14:paraId="233F1D61" w14:textId="77777777" w:rsidR="00960E88" w:rsidRPr="00A97F00" w:rsidRDefault="00960E88" w:rsidP="00A97F00">
      <w:pPr>
        <w:spacing w:after="0"/>
        <w:jc w:val="both"/>
      </w:pPr>
    </w:p>
    <w:p w14:paraId="16B7EF1F" w14:textId="0BCDD9DD" w:rsidR="00960E88" w:rsidRDefault="00960E88" w:rsidP="00A97F00">
      <w:pPr>
        <w:spacing w:after="0"/>
        <w:jc w:val="both"/>
        <w:rPr>
          <w:rFonts w:cs="Calibri"/>
        </w:rPr>
      </w:pPr>
    </w:p>
    <w:p w14:paraId="732BBD89" w14:textId="70133132" w:rsidR="00E363C7" w:rsidRDefault="00E363C7" w:rsidP="00A97F00">
      <w:pPr>
        <w:spacing w:after="0"/>
        <w:jc w:val="both"/>
        <w:rPr>
          <w:rFonts w:cs="Calibri"/>
        </w:rPr>
      </w:pPr>
    </w:p>
    <w:p w14:paraId="2B5331E4" w14:textId="31ADD2DE" w:rsidR="00E363C7" w:rsidRDefault="00E363C7" w:rsidP="00A97F00">
      <w:pPr>
        <w:spacing w:after="0"/>
        <w:jc w:val="both"/>
        <w:rPr>
          <w:rFonts w:cs="Calibri"/>
        </w:rPr>
      </w:pPr>
    </w:p>
    <w:p w14:paraId="747F5CB9" w14:textId="55150963" w:rsidR="00E363C7" w:rsidRDefault="00E363C7" w:rsidP="00A97F00">
      <w:pPr>
        <w:spacing w:after="0"/>
        <w:jc w:val="both"/>
        <w:rPr>
          <w:rFonts w:cs="Calibri"/>
        </w:rPr>
      </w:pPr>
    </w:p>
    <w:p w14:paraId="2315EF43" w14:textId="1B889E15" w:rsidR="00E363C7" w:rsidRDefault="00E363C7" w:rsidP="00A97F00">
      <w:pPr>
        <w:spacing w:after="0"/>
        <w:jc w:val="both"/>
        <w:rPr>
          <w:rFonts w:cs="Calibri"/>
        </w:rPr>
      </w:pPr>
    </w:p>
    <w:p w14:paraId="63253CB5" w14:textId="2696C49F" w:rsidR="00E363C7" w:rsidRDefault="00E363C7" w:rsidP="00A97F00">
      <w:pPr>
        <w:spacing w:after="0"/>
        <w:jc w:val="both"/>
        <w:rPr>
          <w:rFonts w:cs="Calibri"/>
        </w:rPr>
      </w:pPr>
    </w:p>
    <w:p w14:paraId="0101CB93" w14:textId="3CEB88A4" w:rsidR="00E363C7" w:rsidRDefault="00E363C7" w:rsidP="00A97F00">
      <w:pPr>
        <w:spacing w:after="0"/>
        <w:jc w:val="both"/>
        <w:rPr>
          <w:rFonts w:cs="Calibri"/>
        </w:rPr>
      </w:pPr>
    </w:p>
    <w:p w14:paraId="32E5C4EF" w14:textId="33C0E376" w:rsidR="00E363C7" w:rsidRDefault="00E363C7" w:rsidP="00A97F00">
      <w:pPr>
        <w:spacing w:after="0"/>
        <w:jc w:val="both"/>
        <w:rPr>
          <w:rFonts w:cs="Calibri"/>
        </w:rPr>
      </w:pPr>
    </w:p>
    <w:p w14:paraId="09E2E928" w14:textId="61175B5A" w:rsidR="00E363C7" w:rsidRDefault="00E363C7" w:rsidP="00A97F00">
      <w:pPr>
        <w:spacing w:after="0"/>
        <w:jc w:val="both"/>
        <w:rPr>
          <w:rFonts w:cs="Calibri"/>
        </w:rPr>
      </w:pPr>
    </w:p>
    <w:p w14:paraId="581871E5" w14:textId="3CD6551A" w:rsidR="00E363C7" w:rsidRDefault="00E363C7" w:rsidP="00A97F00">
      <w:pPr>
        <w:spacing w:after="0"/>
        <w:jc w:val="both"/>
        <w:rPr>
          <w:rFonts w:cs="Calibri"/>
        </w:rPr>
      </w:pPr>
    </w:p>
    <w:p w14:paraId="058BAA67" w14:textId="5A14F0BB" w:rsidR="00E363C7" w:rsidRDefault="00E363C7" w:rsidP="00A97F00">
      <w:pPr>
        <w:spacing w:after="0"/>
        <w:jc w:val="both"/>
        <w:rPr>
          <w:rFonts w:cs="Calibri"/>
        </w:rPr>
      </w:pPr>
    </w:p>
    <w:p w14:paraId="7064226D" w14:textId="4C89B066" w:rsidR="00E363C7" w:rsidRDefault="00E363C7" w:rsidP="00A97F00">
      <w:pPr>
        <w:spacing w:after="0"/>
        <w:jc w:val="both"/>
        <w:rPr>
          <w:rFonts w:cs="Calibri"/>
        </w:rPr>
      </w:pPr>
    </w:p>
    <w:p w14:paraId="59411C2F" w14:textId="31E31CD4" w:rsidR="00E363C7" w:rsidRDefault="00E363C7" w:rsidP="00A97F00">
      <w:pPr>
        <w:spacing w:after="0"/>
        <w:jc w:val="both"/>
        <w:rPr>
          <w:rFonts w:cs="Calibri"/>
        </w:rPr>
      </w:pPr>
    </w:p>
    <w:p w14:paraId="70D5BE1D" w14:textId="52EB5B37" w:rsidR="00E363C7" w:rsidRDefault="00E363C7" w:rsidP="00A97F00">
      <w:pPr>
        <w:spacing w:after="0"/>
        <w:jc w:val="both"/>
        <w:rPr>
          <w:rFonts w:cs="Calibri"/>
        </w:rPr>
      </w:pPr>
    </w:p>
    <w:p w14:paraId="2A173069" w14:textId="77777777" w:rsidR="00E363C7" w:rsidRPr="00A97F00" w:rsidRDefault="00E363C7" w:rsidP="00A97F00">
      <w:pPr>
        <w:spacing w:after="0"/>
        <w:jc w:val="both"/>
        <w:rPr>
          <w:rFonts w:cs="Calibri"/>
        </w:rPr>
      </w:pPr>
    </w:p>
    <w:p w14:paraId="295D4331" w14:textId="77777777" w:rsidR="00960E88" w:rsidRPr="00A97F00" w:rsidRDefault="00960E88" w:rsidP="00A97F00">
      <w:pPr>
        <w:spacing w:after="0"/>
        <w:jc w:val="both"/>
        <w:rPr>
          <w:rFonts w:cs="Calibri"/>
        </w:rPr>
      </w:pPr>
    </w:p>
    <w:p w14:paraId="79E77ADA" w14:textId="77777777" w:rsidR="00960E88" w:rsidRPr="00A97F00" w:rsidRDefault="00960E88" w:rsidP="00A97F00">
      <w:pPr>
        <w:spacing w:after="0"/>
        <w:jc w:val="both"/>
        <w:rPr>
          <w:rFonts w:cs="Calibri"/>
        </w:rPr>
      </w:pPr>
    </w:p>
    <w:p w14:paraId="4060E50C" w14:textId="77777777" w:rsidR="00960E88" w:rsidRPr="00A97F00" w:rsidRDefault="00960E88" w:rsidP="00A97F00">
      <w:pPr>
        <w:spacing w:after="0"/>
        <w:jc w:val="both"/>
        <w:rPr>
          <w:rFonts w:cs="Calibri"/>
        </w:rPr>
      </w:pPr>
    </w:p>
    <w:p w14:paraId="603FCDE8" w14:textId="77777777" w:rsidR="00960E88" w:rsidRPr="003D68EF" w:rsidRDefault="00960E88" w:rsidP="00960E88">
      <w:pPr>
        <w:jc w:val="both"/>
        <w:rPr>
          <w:rFonts w:ascii="Calibri" w:hAnsi="Calibri" w:cs="Calibri"/>
        </w:rPr>
      </w:pPr>
    </w:p>
    <w:p w14:paraId="76003293" w14:textId="0E93D9EC" w:rsidR="00960E88" w:rsidRDefault="00960E88" w:rsidP="003A456C">
      <w:pPr>
        <w:jc w:val="both"/>
      </w:pPr>
    </w:p>
    <w:p w14:paraId="591BE8E8" w14:textId="1EC2F2A3" w:rsidR="000910EA" w:rsidRDefault="000910EA" w:rsidP="003A456C">
      <w:pPr>
        <w:jc w:val="both"/>
      </w:pPr>
    </w:p>
    <w:p w14:paraId="37E30F56" w14:textId="1CD031F5" w:rsidR="000910EA" w:rsidRDefault="000910EA" w:rsidP="003A456C">
      <w:pPr>
        <w:jc w:val="both"/>
      </w:pPr>
    </w:p>
    <w:p w14:paraId="7A194410" w14:textId="77777777" w:rsidR="000910EA" w:rsidRDefault="000910EA" w:rsidP="003A456C">
      <w:pPr>
        <w:jc w:val="both"/>
      </w:pPr>
    </w:p>
    <w:tbl>
      <w:tblPr>
        <w:tblW w:w="10094" w:type="dxa"/>
        <w:tblCellMar>
          <w:left w:w="70" w:type="dxa"/>
          <w:right w:w="70" w:type="dxa"/>
        </w:tblCellMar>
        <w:tblLook w:val="04A0" w:firstRow="1" w:lastRow="0" w:firstColumn="1" w:lastColumn="0" w:noHBand="0" w:noVBand="1"/>
      </w:tblPr>
      <w:tblGrid>
        <w:gridCol w:w="826"/>
        <w:gridCol w:w="3960"/>
        <w:gridCol w:w="1451"/>
        <w:gridCol w:w="1560"/>
        <w:gridCol w:w="1559"/>
        <w:gridCol w:w="738"/>
      </w:tblGrid>
      <w:tr w:rsidR="003A456C" w:rsidRPr="00CD2482" w14:paraId="590D7B40" w14:textId="77777777" w:rsidTr="008B26DF">
        <w:trPr>
          <w:trHeight w:val="403"/>
        </w:trPr>
        <w:tc>
          <w:tcPr>
            <w:tcW w:w="10094" w:type="dxa"/>
            <w:gridSpan w:val="6"/>
            <w:tcBorders>
              <w:top w:val="nil"/>
              <w:left w:val="nil"/>
              <w:bottom w:val="nil"/>
            </w:tcBorders>
            <w:shd w:val="clear" w:color="auto" w:fill="auto"/>
            <w:noWrap/>
            <w:vAlign w:val="bottom"/>
            <w:hideMark/>
          </w:tcPr>
          <w:p w14:paraId="376C83EA" w14:textId="50382EFC" w:rsidR="003A456C" w:rsidRPr="00CD2482" w:rsidRDefault="003A456C" w:rsidP="00CD2482">
            <w:pPr>
              <w:spacing w:after="0" w:line="240" w:lineRule="auto"/>
              <w:rPr>
                <w:rFonts w:ascii="Times New Roman" w:eastAsia="Times New Roman" w:hAnsi="Times New Roman" w:cs="Times New Roman"/>
                <w:sz w:val="20"/>
                <w:szCs w:val="20"/>
                <w:lang w:eastAsia="cs-CZ"/>
              </w:rPr>
            </w:pPr>
            <w:r w:rsidRPr="00CD2482">
              <w:rPr>
                <w:rFonts w:ascii="Calibri" w:eastAsia="Times New Roman" w:hAnsi="Calibri" w:cs="Arial"/>
                <w:b/>
                <w:bCs/>
                <w:sz w:val="28"/>
                <w:szCs w:val="28"/>
                <w:lang w:eastAsia="cs-CZ"/>
              </w:rPr>
              <w:t xml:space="preserve">        Čerpání rozpočtu kapitoly 11 - Správa majetku - období 1. - 12. 2021</w:t>
            </w:r>
          </w:p>
        </w:tc>
      </w:tr>
      <w:tr w:rsidR="00CD2482" w:rsidRPr="00CD2482" w14:paraId="3D27818C" w14:textId="77777777" w:rsidTr="00CD2482">
        <w:trPr>
          <w:trHeight w:val="360"/>
        </w:trPr>
        <w:tc>
          <w:tcPr>
            <w:tcW w:w="826" w:type="dxa"/>
            <w:tcBorders>
              <w:top w:val="nil"/>
              <w:left w:val="nil"/>
              <w:bottom w:val="nil"/>
              <w:right w:val="nil"/>
            </w:tcBorders>
            <w:shd w:val="clear" w:color="auto" w:fill="auto"/>
            <w:noWrap/>
            <w:vAlign w:val="bottom"/>
            <w:hideMark/>
          </w:tcPr>
          <w:p w14:paraId="753E3EE2" w14:textId="77777777" w:rsidR="00CD2482" w:rsidRPr="00CD2482" w:rsidRDefault="00CD2482" w:rsidP="00CD2482">
            <w:pPr>
              <w:spacing w:after="0" w:line="240" w:lineRule="auto"/>
              <w:jc w:val="center"/>
              <w:rPr>
                <w:rFonts w:ascii="Times New Roman" w:eastAsia="Times New Roman" w:hAnsi="Times New Roman" w:cs="Times New Roman"/>
                <w:sz w:val="20"/>
                <w:szCs w:val="20"/>
                <w:lang w:eastAsia="cs-CZ"/>
              </w:rPr>
            </w:pPr>
          </w:p>
        </w:tc>
        <w:tc>
          <w:tcPr>
            <w:tcW w:w="3960" w:type="dxa"/>
            <w:tcBorders>
              <w:top w:val="nil"/>
              <w:left w:val="nil"/>
              <w:bottom w:val="nil"/>
              <w:right w:val="nil"/>
            </w:tcBorders>
            <w:shd w:val="clear" w:color="auto" w:fill="auto"/>
            <w:noWrap/>
            <w:vAlign w:val="bottom"/>
            <w:hideMark/>
          </w:tcPr>
          <w:p w14:paraId="6FFF4EDF" w14:textId="77777777" w:rsidR="00CD2482" w:rsidRPr="00CD2482" w:rsidRDefault="00CD2482" w:rsidP="00CD2482">
            <w:pPr>
              <w:spacing w:after="0" w:line="240" w:lineRule="auto"/>
              <w:jc w:val="center"/>
              <w:rPr>
                <w:rFonts w:ascii="Times New Roman" w:eastAsia="Times New Roman" w:hAnsi="Times New Roman" w:cs="Times New Roman"/>
                <w:sz w:val="20"/>
                <w:szCs w:val="20"/>
                <w:lang w:eastAsia="cs-CZ"/>
              </w:rPr>
            </w:pPr>
          </w:p>
        </w:tc>
        <w:tc>
          <w:tcPr>
            <w:tcW w:w="1451" w:type="dxa"/>
            <w:tcBorders>
              <w:top w:val="nil"/>
              <w:left w:val="nil"/>
              <w:bottom w:val="nil"/>
              <w:right w:val="nil"/>
            </w:tcBorders>
            <w:shd w:val="clear" w:color="auto" w:fill="auto"/>
            <w:noWrap/>
            <w:vAlign w:val="bottom"/>
            <w:hideMark/>
          </w:tcPr>
          <w:p w14:paraId="3081BB12" w14:textId="77777777" w:rsidR="00CD2482" w:rsidRPr="00CD2482" w:rsidRDefault="00CD2482" w:rsidP="00CD2482">
            <w:pPr>
              <w:spacing w:after="0" w:line="240" w:lineRule="auto"/>
              <w:jc w:val="center"/>
              <w:rPr>
                <w:rFonts w:ascii="Times New Roman" w:eastAsia="Times New Roman" w:hAnsi="Times New Roman" w:cs="Times New Roman"/>
                <w:sz w:val="20"/>
                <w:szCs w:val="20"/>
                <w:lang w:eastAsia="cs-CZ"/>
              </w:rPr>
            </w:pPr>
          </w:p>
        </w:tc>
        <w:tc>
          <w:tcPr>
            <w:tcW w:w="1560" w:type="dxa"/>
            <w:tcBorders>
              <w:top w:val="nil"/>
              <w:left w:val="nil"/>
              <w:bottom w:val="nil"/>
              <w:right w:val="nil"/>
            </w:tcBorders>
            <w:shd w:val="clear" w:color="auto" w:fill="auto"/>
            <w:noWrap/>
            <w:vAlign w:val="bottom"/>
            <w:hideMark/>
          </w:tcPr>
          <w:p w14:paraId="7BF27754" w14:textId="77777777" w:rsidR="00CD2482" w:rsidRPr="00CD2482" w:rsidRDefault="00CD2482" w:rsidP="00CD2482">
            <w:pPr>
              <w:spacing w:after="0" w:line="240" w:lineRule="auto"/>
              <w:jc w:val="center"/>
              <w:rPr>
                <w:rFonts w:ascii="Times New Roman" w:eastAsia="Times New Roman" w:hAnsi="Times New Roman" w:cs="Times New Roman"/>
                <w:sz w:val="20"/>
                <w:szCs w:val="20"/>
                <w:lang w:eastAsia="cs-CZ"/>
              </w:rPr>
            </w:pPr>
          </w:p>
        </w:tc>
        <w:tc>
          <w:tcPr>
            <w:tcW w:w="1559" w:type="dxa"/>
            <w:tcBorders>
              <w:top w:val="nil"/>
              <w:left w:val="nil"/>
              <w:bottom w:val="nil"/>
              <w:right w:val="nil"/>
            </w:tcBorders>
            <w:shd w:val="clear" w:color="auto" w:fill="auto"/>
            <w:noWrap/>
            <w:vAlign w:val="bottom"/>
            <w:hideMark/>
          </w:tcPr>
          <w:p w14:paraId="1FD8D0E5" w14:textId="77777777" w:rsidR="00CD2482" w:rsidRPr="00CD2482" w:rsidRDefault="00CD2482" w:rsidP="00CD2482">
            <w:pPr>
              <w:spacing w:after="0" w:line="240" w:lineRule="auto"/>
              <w:jc w:val="center"/>
              <w:rPr>
                <w:rFonts w:ascii="Times New Roman" w:eastAsia="Times New Roman" w:hAnsi="Times New Roman" w:cs="Times New Roman"/>
                <w:sz w:val="20"/>
                <w:szCs w:val="20"/>
                <w:lang w:eastAsia="cs-CZ"/>
              </w:rPr>
            </w:pPr>
          </w:p>
        </w:tc>
        <w:tc>
          <w:tcPr>
            <w:tcW w:w="738" w:type="dxa"/>
            <w:tcBorders>
              <w:top w:val="nil"/>
              <w:left w:val="nil"/>
              <w:bottom w:val="nil"/>
              <w:right w:val="nil"/>
            </w:tcBorders>
            <w:shd w:val="clear" w:color="auto" w:fill="auto"/>
            <w:noWrap/>
            <w:vAlign w:val="bottom"/>
            <w:hideMark/>
          </w:tcPr>
          <w:p w14:paraId="5BD2B2F0" w14:textId="77777777" w:rsidR="00CD2482" w:rsidRPr="00CD2482" w:rsidRDefault="00CD2482" w:rsidP="00CD2482">
            <w:pPr>
              <w:spacing w:after="0" w:line="240" w:lineRule="auto"/>
              <w:jc w:val="right"/>
              <w:rPr>
                <w:rFonts w:ascii="Calibri" w:eastAsia="Times New Roman" w:hAnsi="Calibri" w:cs="Arial"/>
                <w:lang w:eastAsia="cs-CZ"/>
              </w:rPr>
            </w:pPr>
            <w:r w:rsidRPr="00CD2482">
              <w:rPr>
                <w:rFonts w:ascii="Calibri" w:eastAsia="Times New Roman" w:hAnsi="Calibri" w:cs="Arial"/>
                <w:lang w:eastAsia="cs-CZ"/>
              </w:rPr>
              <w:t>v Kč</w:t>
            </w:r>
          </w:p>
        </w:tc>
      </w:tr>
      <w:tr w:rsidR="00CD2482" w:rsidRPr="00CD2482" w14:paraId="31F8324B" w14:textId="77777777" w:rsidTr="00CD2482">
        <w:trPr>
          <w:trHeight w:val="705"/>
        </w:trPr>
        <w:tc>
          <w:tcPr>
            <w:tcW w:w="826" w:type="dxa"/>
            <w:tcBorders>
              <w:top w:val="single" w:sz="8" w:space="0" w:color="auto"/>
              <w:left w:val="single" w:sz="8" w:space="0" w:color="auto"/>
              <w:bottom w:val="single" w:sz="8" w:space="0" w:color="auto"/>
              <w:right w:val="single" w:sz="8" w:space="0" w:color="auto"/>
            </w:tcBorders>
            <w:shd w:val="clear" w:color="CCFFFF" w:fill="CCFFCC"/>
            <w:vAlign w:val="center"/>
            <w:hideMark/>
          </w:tcPr>
          <w:p w14:paraId="2FA1A1F7"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Paragraf</w:t>
            </w:r>
          </w:p>
        </w:tc>
        <w:tc>
          <w:tcPr>
            <w:tcW w:w="3960" w:type="dxa"/>
            <w:tcBorders>
              <w:top w:val="single" w:sz="8" w:space="0" w:color="auto"/>
              <w:left w:val="nil"/>
              <w:bottom w:val="single" w:sz="8" w:space="0" w:color="auto"/>
              <w:right w:val="single" w:sz="8" w:space="0" w:color="auto"/>
            </w:tcBorders>
            <w:shd w:val="clear" w:color="CCFFFF" w:fill="CCFFCC"/>
            <w:vAlign w:val="center"/>
            <w:hideMark/>
          </w:tcPr>
          <w:p w14:paraId="66CF4CDB"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Oblast rozpočtu</w:t>
            </w:r>
          </w:p>
        </w:tc>
        <w:tc>
          <w:tcPr>
            <w:tcW w:w="1451" w:type="dxa"/>
            <w:tcBorders>
              <w:top w:val="single" w:sz="8" w:space="0" w:color="auto"/>
              <w:left w:val="nil"/>
              <w:bottom w:val="single" w:sz="8" w:space="0" w:color="auto"/>
              <w:right w:val="single" w:sz="8" w:space="0" w:color="auto"/>
            </w:tcBorders>
            <w:shd w:val="clear" w:color="CCFFFF" w:fill="CCFFCC"/>
            <w:vAlign w:val="center"/>
            <w:hideMark/>
          </w:tcPr>
          <w:p w14:paraId="39C45C61" w14:textId="77777777" w:rsidR="00CD2482" w:rsidRPr="00CD2482" w:rsidRDefault="00CD2482" w:rsidP="00CD2482">
            <w:pPr>
              <w:spacing w:after="0" w:line="240" w:lineRule="auto"/>
              <w:jc w:val="center"/>
              <w:rPr>
                <w:rFonts w:ascii="Calibri" w:eastAsia="Times New Roman" w:hAnsi="Calibri" w:cs="Arial"/>
                <w:sz w:val="18"/>
                <w:szCs w:val="18"/>
                <w:lang w:eastAsia="cs-CZ"/>
              </w:rPr>
            </w:pPr>
            <w:r w:rsidRPr="00CD2482">
              <w:rPr>
                <w:rFonts w:ascii="Calibri" w:eastAsia="Times New Roman" w:hAnsi="Calibri" w:cs="Arial"/>
                <w:sz w:val="18"/>
                <w:szCs w:val="18"/>
                <w:lang w:eastAsia="cs-CZ"/>
              </w:rPr>
              <w:t>Schválený rozpočet</w:t>
            </w:r>
          </w:p>
        </w:tc>
        <w:tc>
          <w:tcPr>
            <w:tcW w:w="1560" w:type="dxa"/>
            <w:tcBorders>
              <w:top w:val="single" w:sz="8" w:space="0" w:color="auto"/>
              <w:left w:val="nil"/>
              <w:bottom w:val="single" w:sz="8" w:space="0" w:color="auto"/>
              <w:right w:val="single" w:sz="8" w:space="0" w:color="auto"/>
            </w:tcBorders>
            <w:shd w:val="clear" w:color="CCFFFF" w:fill="CCFFCC"/>
            <w:vAlign w:val="center"/>
            <w:hideMark/>
          </w:tcPr>
          <w:p w14:paraId="3D18C184"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Rozpočet po úpravě</w:t>
            </w:r>
          </w:p>
        </w:tc>
        <w:tc>
          <w:tcPr>
            <w:tcW w:w="1559" w:type="dxa"/>
            <w:tcBorders>
              <w:top w:val="single" w:sz="8" w:space="0" w:color="auto"/>
              <w:left w:val="nil"/>
              <w:bottom w:val="single" w:sz="8" w:space="0" w:color="auto"/>
              <w:right w:val="single" w:sz="8" w:space="0" w:color="auto"/>
            </w:tcBorders>
            <w:shd w:val="clear" w:color="CCFFFF" w:fill="CCFFCC"/>
            <w:vAlign w:val="center"/>
            <w:hideMark/>
          </w:tcPr>
          <w:p w14:paraId="79C4BB58"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Skutečnost</w:t>
            </w:r>
          </w:p>
        </w:tc>
        <w:tc>
          <w:tcPr>
            <w:tcW w:w="738" w:type="dxa"/>
            <w:tcBorders>
              <w:top w:val="single" w:sz="8" w:space="0" w:color="auto"/>
              <w:left w:val="nil"/>
              <w:bottom w:val="single" w:sz="8" w:space="0" w:color="auto"/>
              <w:right w:val="single" w:sz="8" w:space="0" w:color="auto"/>
            </w:tcBorders>
            <w:shd w:val="clear" w:color="CCFFFF" w:fill="CCFFCC"/>
            <w:vAlign w:val="center"/>
            <w:hideMark/>
          </w:tcPr>
          <w:p w14:paraId="0B54095F"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 plnění</w:t>
            </w:r>
          </w:p>
        </w:tc>
      </w:tr>
      <w:tr w:rsidR="00CD2482" w:rsidRPr="00CD2482" w14:paraId="00F24802" w14:textId="77777777" w:rsidTr="00CD2482">
        <w:trPr>
          <w:trHeight w:val="360"/>
        </w:trPr>
        <w:tc>
          <w:tcPr>
            <w:tcW w:w="826" w:type="dxa"/>
            <w:tcBorders>
              <w:top w:val="nil"/>
              <w:left w:val="nil"/>
              <w:bottom w:val="nil"/>
              <w:right w:val="nil"/>
            </w:tcBorders>
            <w:shd w:val="clear" w:color="auto" w:fill="auto"/>
            <w:noWrap/>
            <w:vAlign w:val="bottom"/>
            <w:hideMark/>
          </w:tcPr>
          <w:p w14:paraId="19AE243E" w14:textId="77777777" w:rsidR="00CD2482" w:rsidRPr="00CD2482" w:rsidRDefault="00CD2482" w:rsidP="00CD2482">
            <w:pPr>
              <w:spacing w:after="0" w:line="240" w:lineRule="auto"/>
              <w:jc w:val="right"/>
              <w:rPr>
                <w:rFonts w:ascii="Calibri" w:eastAsia="Times New Roman" w:hAnsi="Calibri" w:cs="Arial"/>
                <w:color w:val="FFFFFF"/>
                <w:sz w:val="20"/>
                <w:szCs w:val="20"/>
                <w:lang w:eastAsia="cs-CZ"/>
              </w:rPr>
            </w:pPr>
            <w:r w:rsidRPr="00CD2482">
              <w:rPr>
                <w:rFonts w:ascii="Calibri" w:eastAsia="Times New Roman" w:hAnsi="Calibri" w:cs="Arial"/>
                <w:color w:val="FFFFFF"/>
                <w:sz w:val="20"/>
                <w:szCs w:val="20"/>
                <w:lang w:eastAsia="cs-CZ"/>
              </w:rPr>
              <w:t>5</w:t>
            </w:r>
          </w:p>
        </w:tc>
        <w:tc>
          <w:tcPr>
            <w:tcW w:w="3960" w:type="dxa"/>
            <w:tcBorders>
              <w:top w:val="nil"/>
              <w:left w:val="nil"/>
              <w:bottom w:val="nil"/>
              <w:right w:val="nil"/>
            </w:tcBorders>
            <w:shd w:val="clear" w:color="auto" w:fill="auto"/>
            <w:noWrap/>
            <w:vAlign w:val="bottom"/>
            <w:hideMark/>
          </w:tcPr>
          <w:p w14:paraId="48B10C74" w14:textId="77777777" w:rsidR="00CD2482" w:rsidRPr="00CD2482" w:rsidRDefault="00CD2482" w:rsidP="00CD2482">
            <w:pPr>
              <w:spacing w:after="0" w:line="240" w:lineRule="auto"/>
              <w:rPr>
                <w:rFonts w:ascii="Calibri" w:eastAsia="Times New Roman" w:hAnsi="Calibri" w:cs="Arial"/>
                <w:b/>
                <w:bCs/>
                <w:lang w:eastAsia="cs-CZ"/>
              </w:rPr>
            </w:pPr>
            <w:r w:rsidRPr="00CD2482">
              <w:rPr>
                <w:rFonts w:ascii="Calibri" w:eastAsia="Times New Roman" w:hAnsi="Calibri" w:cs="Arial"/>
                <w:b/>
                <w:bCs/>
                <w:lang w:eastAsia="cs-CZ"/>
              </w:rPr>
              <w:t>Běžné výdaje</w:t>
            </w:r>
          </w:p>
        </w:tc>
        <w:tc>
          <w:tcPr>
            <w:tcW w:w="1451" w:type="dxa"/>
            <w:tcBorders>
              <w:top w:val="nil"/>
              <w:left w:val="nil"/>
              <w:bottom w:val="nil"/>
              <w:right w:val="nil"/>
            </w:tcBorders>
            <w:shd w:val="clear" w:color="auto" w:fill="auto"/>
            <w:noWrap/>
            <w:vAlign w:val="bottom"/>
            <w:hideMark/>
          </w:tcPr>
          <w:p w14:paraId="4B37A53E" w14:textId="77777777" w:rsidR="00CD2482" w:rsidRPr="00CD2482" w:rsidRDefault="00CD2482" w:rsidP="00CD2482">
            <w:pPr>
              <w:spacing w:after="0" w:line="240" w:lineRule="auto"/>
              <w:rPr>
                <w:rFonts w:ascii="Calibri" w:eastAsia="Times New Roman" w:hAnsi="Calibri" w:cs="Arial"/>
                <w:b/>
                <w:bCs/>
                <w:lang w:eastAsia="cs-CZ"/>
              </w:rPr>
            </w:pPr>
          </w:p>
        </w:tc>
        <w:tc>
          <w:tcPr>
            <w:tcW w:w="1560" w:type="dxa"/>
            <w:tcBorders>
              <w:top w:val="nil"/>
              <w:left w:val="nil"/>
              <w:bottom w:val="nil"/>
              <w:right w:val="nil"/>
            </w:tcBorders>
            <w:shd w:val="clear" w:color="auto" w:fill="auto"/>
            <w:noWrap/>
            <w:vAlign w:val="bottom"/>
            <w:hideMark/>
          </w:tcPr>
          <w:p w14:paraId="30CB12F7" w14:textId="77777777" w:rsidR="00CD2482" w:rsidRPr="00CD2482" w:rsidRDefault="00CD2482" w:rsidP="00CD2482">
            <w:pPr>
              <w:spacing w:after="0" w:line="240" w:lineRule="auto"/>
              <w:rPr>
                <w:rFonts w:ascii="Times New Roman" w:eastAsia="Times New Roman" w:hAnsi="Times New Roman" w:cs="Times New Roman"/>
                <w:sz w:val="20"/>
                <w:szCs w:val="20"/>
                <w:lang w:eastAsia="cs-CZ"/>
              </w:rPr>
            </w:pPr>
          </w:p>
        </w:tc>
        <w:tc>
          <w:tcPr>
            <w:tcW w:w="1559" w:type="dxa"/>
            <w:tcBorders>
              <w:top w:val="nil"/>
              <w:left w:val="nil"/>
              <w:bottom w:val="nil"/>
              <w:right w:val="nil"/>
            </w:tcBorders>
            <w:shd w:val="clear" w:color="auto" w:fill="auto"/>
            <w:noWrap/>
            <w:vAlign w:val="bottom"/>
            <w:hideMark/>
          </w:tcPr>
          <w:p w14:paraId="79A36698" w14:textId="77777777" w:rsidR="00CD2482" w:rsidRPr="00CD2482" w:rsidRDefault="00CD2482" w:rsidP="00CD2482">
            <w:pPr>
              <w:spacing w:after="0" w:line="240" w:lineRule="auto"/>
              <w:rPr>
                <w:rFonts w:ascii="Times New Roman" w:eastAsia="Times New Roman" w:hAnsi="Times New Roman" w:cs="Times New Roman"/>
                <w:sz w:val="20"/>
                <w:szCs w:val="20"/>
                <w:lang w:eastAsia="cs-CZ"/>
              </w:rPr>
            </w:pPr>
          </w:p>
        </w:tc>
        <w:tc>
          <w:tcPr>
            <w:tcW w:w="738" w:type="dxa"/>
            <w:tcBorders>
              <w:top w:val="nil"/>
              <w:left w:val="nil"/>
              <w:bottom w:val="nil"/>
              <w:right w:val="nil"/>
            </w:tcBorders>
            <w:shd w:val="clear" w:color="auto" w:fill="auto"/>
            <w:noWrap/>
            <w:vAlign w:val="bottom"/>
            <w:hideMark/>
          </w:tcPr>
          <w:p w14:paraId="0CA3BF65" w14:textId="77777777" w:rsidR="00CD2482" w:rsidRPr="00CD2482" w:rsidRDefault="00CD2482" w:rsidP="00CD2482">
            <w:pPr>
              <w:spacing w:after="0" w:line="240" w:lineRule="auto"/>
              <w:rPr>
                <w:rFonts w:ascii="Times New Roman" w:eastAsia="Times New Roman" w:hAnsi="Times New Roman" w:cs="Times New Roman"/>
                <w:sz w:val="20"/>
                <w:szCs w:val="20"/>
                <w:lang w:eastAsia="cs-CZ"/>
              </w:rPr>
            </w:pPr>
          </w:p>
        </w:tc>
      </w:tr>
      <w:tr w:rsidR="00CD2482" w:rsidRPr="00CD2482" w14:paraId="2A33992A" w14:textId="77777777" w:rsidTr="00CD2482">
        <w:trPr>
          <w:trHeight w:val="300"/>
        </w:trPr>
        <w:tc>
          <w:tcPr>
            <w:tcW w:w="826"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69C11EAF"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3612</w:t>
            </w:r>
          </w:p>
        </w:tc>
        <w:tc>
          <w:tcPr>
            <w:tcW w:w="3960" w:type="dxa"/>
            <w:tcBorders>
              <w:top w:val="single" w:sz="8" w:space="0" w:color="auto"/>
              <w:left w:val="nil"/>
              <w:bottom w:val="single" w:sz="4" w:space="0" w:color="auto"/>
              <w:right w:val="single" w:sz="4" w:space="0" w:color="auto"/>
            </w:tcBorders>
            <w:shd w:val="clear" w:color="auto" w:fill="auto"/>
            <w:vAlign w:val="bottom"/>
            <w:hideMark/>
          </w:tcPr>
          <w:p w14:paraId="30C314FD" w14:textId="77777777" w:rsidR="00CD2482" w:rsidRPr="00CD2482" w:rsidRDefault="00CD2482" w:rsidP="00CD2482">
            <w:pPr>
              <w:spacing w:after="0" w:line="240" w:lineRule="auto"/>
              <w:rPr>
                <w:rFonts w:ascii="Calibri" w:eastAsia="Times New Roman" w:hAnsi="Calibri" w:cs="Arial"/>
                <w:sz w:val="20"/>
                <w:szCs w:val="20"/>
                <w:lang w:eastAsia="cs-CZ"/>
              </w:rPr>
            </w:pPr>
            <w:r w:rsidRPr="00CD2482">
              <w:rPr>
                <w:rFonts w:ascii="Calibri" w:eastAsia="Times New Roman" w:hAnsi="Calibri" w:cs="Arial"/>
                <w:sz w:val="20"/>
                <w:szCs w:val="20"/>
                <w:lang w:eastAsia="cs-CZ"/>
              </w:rPr>
              <w:t>Bytové hospodářství</w:t>
            </w:r>
          </w:p>
        </w:tc>
        <w:tc>
          <w:tcPr>
            <w:tcW w:w="1451" w:type="dxa"/>
            <w:tcBorders>
              <w:top w:val="single" w:sz="8" w:space="0" w:color="auto"/>
              <w:left w:val="nil"/>
              <w:bottom w:val="single" w:sz="4" w:space="0" w:color="auto"/>
              <w:right w:val="single" w:sz="4" w:space="0" w:color="auto"/>
            </w:tcBorders>
            <w:shd w:val="clear" w:color="FFFFCC" w:fill="FFFFFF"/>
            <w:noWrap/>
            <w:vAlign w:val="bottom"/>
            <w:hideMark/>
          </w:tcPr>
          <w:p w14:paraId="4709050D"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1 507 000</w:t>
            </w:r>
          </w:p>
        </w:tc>
        <w:tc>
          <w:tcPr>
            <w:tcW w:w="1560" w:type="dxa"/>
            <w:tcBorders>
              <w:top w:val="single" w:sz="8" w:space="0" w:color="auto"/>
              <w:left w:val="nil"/>
              <w:bottom w:val="single" w:sz="4" w:space="0" w:color="auto"/>
              <w:right w:val="single" w:sz="4" w:space="0" w:color="auto"/>
            </w:tcBorders>
            <w:shd w:val="clear" w:color="FFFFCC" w:fill="FFFFFF"/>
            <w:noWrap/>
            <w:vAlign w:val="bottom"/>
            <w:hideMark/>
          </w:tcPr>
          <w:p w14:paraId="4013A714"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3 733 256,00</w:t>
            </w:r>
          </w:p>
        </w:tc>
        <w:tc>
          <w:tcPr>
            <w:tcW w:w="1559" w:type="dxa"/>
            <w:tcBorders>
              <w:top w:val="single" w:sz="8" w:space="0" w:color="auto"/>
              <w:left w:val="nil"/>
              <w:bottom w:val="single" w:sz="4" w:space="0" w:color="auto"/>
              <w:right w:val="single" w:sz="4" w:space="0" w:color="auto"/>
            </w:tcBorders>
            <w:shd w:val="clear" w:color="FFFFCC" w:fill="FFFFFF"/>
            <w:noWrap/>
            <w:vAlign w:val="bottom"/>
            <w:hideMark/>
          </w:tcPr>
          <w:p w14:paraId="4CFD7E8F"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916 159,16</w:t>
            </w:r>
          </w:p>
        </w:tc>
        <w:tc>
          <w:tcPr>
            <w:tcW w:w="738" w:type="dxa"/>
            <w:tcBorders>
              <w:top w:val="single" w:sz="8" w:space="0" w:color="auto"/>
              <w:left w:val="nil"/>
              <w:bottom w:val="single" w:sz="4" w:space="0" w:color="auto"/>
              <w:right w:val="single" w:sz="8" w:space="0" w:color="auto"/>
            </w:tcBorders>
            <w:shd w:val="clear" w:color="auto" w:fill="auto"/>
            <w:noWrap/>
            <w:vAlign w:val="bottom"/>
            <w:hideMark/>
          </w:tcPr>
          <w:p w14:paraId="33ED1B0D"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24,5</w:t>
            </w:r>
          </w:p>
        </w:tc>
      </w:tr>
      <w:tr w:rsidR="00CD2482" w:rsidRPr="00CD2482" w14:paraId="08DDBEEE" w14:textId="77777777" w:rsidTr="00CD2482">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1887B920"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 </w:t>
            </w:r>
          </w:p>
        </w:tc>
        <w:tc>
          <w:tcPr>
            <w:tcW w:w="9268" w:type="dxa"/>
            <w:gridSpan w:val="5"/>
            <w:tcBorders>
              <w:top w:val="single" w:sz="4" w:space="0" w:color="auto"/>
              <w:left w:val="nil"/>
              <w:bottom w:val="single" w:sz="4" w:space="0" w:color="auto"/>
              <w:right w:val="single" w:sz="8" w:space="0" w:color="auto"/>
            </w:tcBorders>
            <w:shd w:val="clear" w:color="auto" w:fill="auto"/>
            <w:noWrap/>
            <w:vAlign w:val="bottom"/>
            <w:hideMark/>
          </w:tcPr>
          <w:p w14:paraId="29D5C470" w14:textId="77777777" w:rsidR="00CD2482" w:rsidRPr="007B0EE2" w:rsidRDefault="00CD2482" w:rsidP="00CD2482">
            <w:pPr>
              <w:spacing w:after="0" w:line="240" w:lineRule="auto"/>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z toho:</w:t>
            </w:r>
          </w:p>
        </w:tc>
      </w:tr>
      <w:tr w:rsidR="00CD2482" w:rsidRPr="00CD2482" w14:paraId="0F8CA8DB" w14:textId="77777777" w:rsidTr="00CD2482">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3DF25374"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 </w:t>
            </w:r>
          </w:p>
        </w:tc>
        <w:tc>
          <w:tcPr>
            <w:tcW w:w="3960" w:type="dxa"/>
            <w:tcBorders>
              <w:top w:val="nil"/>
              <w:left w:val="nil"/>
              <w:bottom w:val="single" w:sz="4" w:space="0" w:color="auto"/>
              <w:right w:val="single" w:sz="4" w:space="0" w:color="auto"/>
            </w:tcBorders>
            <w:shd w:val="clear" w:color="auto" w:fill="auto"/>
            <w:vAlign w:val="bottom"/>
            <w:hideMark/>
          </w:tcPr>
          <w:p w14:paraId="14785C50" w14:textId="77777777" w:rsidR="00CD2482" w:rsidRPr="007B0EE2" w:rsidRDefault="00CD2482" w:rsidP="00CD2482">
            <w:pPr>
              <w:spacing w:after="0" w:line="240" w:lineRule="auto"/>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5137  Drobný hmotný dlouhodobý majetek</w:t>
            </w:r>
          </w:p>
        </w:tc>
        <w:tc>
          <w:tcPr>
            <w:tcW w:w="1451" w:type="dxa"/>
            <w:tcBorders>
              <w:top w:val="nil"/>
              <w:left w:val="nil"/>
              <w:bottom w:val="single" w:sz="4" w:space="0" w:color="auto"/>
              <w:right w:val="single" w:sz="4" w:space="0" w:color="auto"/>
            </w:tcBorders>
            <w:shd w:val="clear" w:color="FFFFCC" w:fill="FFFFFF"/>
            <w:noWrap/>
            <w:vAlign w:val="bottom"/>
            <w:hideMark/>
          </w:tcPr>
          <w:p w14:paraId="687A345D"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30 000</w:t>
            </w:r>
          </w:p>
        </w:tc>
        <w:tc>
          <w:tcPr>
            <w:tcW w:w="1560" w:type="dxa"/>
            <w:tcBorders>
              <w:top w:val="nil"/>
              <w:left w:val="nil"/>
              <w:bottom w:val="single" w:sz="4" w:space="0" w:color="auto"/>
              <w:right w:val="single" w:sz="4" w:space="0" w:color="auto"/>
            </w:tcBorders>
            <w:shd w:val="clear" w:color="auto" w:fill="auto"/>
            <w:noWrap/>
            <w:vAlign w:val="bottom"/>
            <w:hideMark/>
          </w:tcPr>
          <w:p w14:paraId="3337C2AE"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28 040,00</w:t>
            </w:r>
          </w:p>
        </w:tc>
        <w:tc>
          <w:tcPr>
            <w:tcW w:w="1559" w:type="dxa"/>
            <w:tcBorders>
              <w:top w:val="nil"/>
              <w:left w:val="nil"/>
              <w:bottom w:val="single" w:sz="4" w:space="0" w:color="auto"/>
              <w:right w:val="single" w:sz="4" w:space="0" w:color="auto"/>
            </w:tcBorders>
            <w:shd w:val="clear" w:color="auto" w:fill="auto"/>
            <w:noWrap/>
            <w:vAlign w:val="bottom"/>
            <w:hideMark/>
          </w:tcPr>
          <w:p w14:paraId="7D346074"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0,00</w:t>
            </w:r>
          </w:p>
        </w:tc>
        <w:tc>
          <w:tcPr>
            <w:tcW w:w="738" w:type="dxa"/>
            <w:tcBorders>
              <w:top w:val="nil"/>
              <w:left w:val="nil"/>
              <w:bottom w:val="single" w:sz="4" w:space="0" w:color="auto"/>
              <w:right w:val="single" w:sz="8" w:space="0" w:color="auto"/>
            </w:tcBorders>
            <w:shd w:val="clear" w:color="auto" w:fill="auto"/>
            <w:noWrap/>
            <w:vAlign w:val="bottom"/>
            <w:hideMark/>
          </w:tcPr>
          <w:p w14:paraId="5D653AC6"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0,0</w:t>
            </w:r>
          </w:p>
        </w:tc>
      </w:tr>
      <w:tr w:rsidR="00CD2482" w:rsidRPr="00CD2482" w14:paraId="4CC46E08" w14:textId="77777777" w:rsidTr="00CD2482">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223694C1"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 </w:t>
            </w:r>
          </w:p>
        </w:tc>
        <w:tc>
          <w:tcPr>
            <w:tcW w:w="3960" w:type="dxa"/>
            <w:tcBorders>
              <w:top w:val="nil"/>
              <w:left w:val="nil"/>
              <w:bottom w:val="single" w:sz="4" w:space="0" w:color="auto"/>
              <w:right w:val="single" w:sz="4" w:space="0" w:color="auto"/>
            </w:tcBorders>
            <w:shd w:val="clear" w:color="auto" w:fill="auto"/>
            <w:vAlign w:val="bottom"/>
            <w:hideMark/>
          </w:tcPr>
          <w:p w14:paraId="22F5769F" w14:textId="77777777" w:rsidR="00CD2482" w:rsidRPr="007B0EE2" w:rsidRDefault="00CD2482" w:rsidP="00CD2482">
            <w:pPr>
              <w:spacing w:after="0" w:line="240" w:lineRule="auto"/>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5139  Nákup materiálu</w:t>
            </w:r>
          </w:p>
        </w:tc>
        <w:tc>
          <w:tcPr>
            <w:tcW w:w="1451" w:type="dxa"/>
            <w:tcBorders>
              <w:top w:val="nil"/>
              <w:left w:val="nil"/>
              <w:bottom w:val="single" w:sz="4" w:space="0" w:color="auto"/>
              <w:right w:val="single" w:sz="4" w:space="0" w:color="auto"/>
            </w:tcBorders>
            <w:shd w:val="clear" w:color="FFFFCC" w:fill="FFFFFF"/>
            <w:noWrap/>
            <w:vAlign w:val="bottom"/>
            <w:hideMark/>
          </w:tcPr>
          <w:p w14:paraId="3DD488AE"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20 000</w:t>
            </w:r>
          </w:p>
        </w:tc>
        <w:tc>
          <w:tcPr>
            <w:tcW w:w="1560" w:type="dxa"/>
            <w:tcBorders>
              <w:top w:val="nil"/>
              <w:left w:val="nil"/>
              <w:bottom w:val="single" w:sz="4" w:space="0" w:color="auto"/>
              <w:right w:val="single" w:sz="4" w:space="0" w:color="auto"/>
            </w:tcBorders>
            <w:shd w:val="clear" w:color="auto" w:fill="auto"/>
            <w:noWrap/>
            <w:vAlign w:val="bottom"/>
            <w:hideMark/>
          </w:tcPr>
          <w:p w14:paraId="1D8C49AA"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20 000,00</w:t>
            </w:r>
          </w:p>
        </w:tc>
        <w:tc>
          <w:tcPr>
            <w:tcW w:w="1559" w:type="dxa"/>
            <w:tcBorders>
              <w:top w:val="nil"/>
              <w:left w:val="nil"/>
              <w:bottom w:val="single" w:sz="4" w:space="0" w:color="auto"/>
              <w:right w:val="single" w:sz="4" w:space="0" w:color="auto"/>
            </w:tcBorders>
            <w:shd w:val="clear" w:color="auto" w:fill="auto"/>
            <w:noWrap/>
            <w:vAlign w:val="bottom"/>
            <w:hideMark/>
          </w:tcPr>
          <w:p w14:paraId="29F2B90E"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0,00</w:t>
            </w:r>
          </w:p>
        </w:tc>
        <w:tc>
          <w:tcPr>
            <w:tcW w:w="738" w:type="dxa"/>
            <w:tcBorders>
              <w:top w:val="nil"/>
              <w:left w:val="nil"/>
              <w:bottom w:val="single" w:sz="4" w:space="0" w:color="auto"/>
              <w:right w:val="single" w:sz="8" w:space="0" w:color="auto"/>
            </w:tcBorders>
            <w:shd w:val="clear" w:color="auto" w:fill="auto"/>
            <w:noWrap/>
            <w:vAlign w:val="bottom"/>
            <w:hideMark/>
          </w:tcPr>
          <w:p w14:paraId="5FB20DB3"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0,0</w:t>
            </w:r>
          </w:p>
        </w:tc>
      </w:tr>
      <w:tr w:rsidR="00CD2482" w:rsidRPr="00CD2482" w14:paraId="3428AB3C" w14:textId="77777777" w:rsidTr="00CD2482">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26BE193A"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 </w:t>
            </w:r>
          </w:p>
        </w:tc>
        <w:tc>
          <w:tcPr>
            <w:tcW w:w="3960" w:type="dxa"/>
            <w:tcBorders>
              <w:top w:val="nil"/>
              <w:left w:val="nil"/>
              <w:bottom w:val="single" w:sz="4" w:space="0" w:color="auto"/>
              <w:right w:val="single" w:sz="4" w:space="0" w:color="auto"/>
            </w:tcBorders>
            <w:shd w:val="clear" w:color="auto" w:fill="auto"/>
            <w:vAlign w:val="bottom"/>
            <w:hideMark/>
          </w:tcPr>
          <w:p w14:paraId="65DA8442" w14:textId="77777777" w:rsidR="00CD2482" w:rsidRPr="007B0EE2" w:rsidRDefault="00CD2482" w:rsidP="00CD2482">
            <w:pPr>
              <w:spacing w:after="0" w:line="240" w:lineRule="auto"/>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5151  Studená voda</w:t>
            </w:r>
          </w:p>
        </w:tc>
        <w:tc>
          <w:tcPr>
            <w:tcW w:w="1451" w:type="dxa"/>
            <w:tcBorders>
              <w:top w:val="nil"/>
              <w:left w:val="nil"/>
              <w:bottom w:val="single" w:sz="4" w:space="0" w:color="auto"/>
              <w:right w:val="single" w:sz="4" w:space="0" w:color="auto"/>
            </w:tcBorders>
            <w:shd w:val="clear" w:color="FFFFCC" w:fill="FFFFFF"/>
            <w:noWrap/>
            <w:vAlign w:val="bottom"/>
            <w:hideMark/>
          </w:tcPr>
          <w:p w14:paraId="0B10CF0B"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50 000</w:t>
            </w:r>
          </w:p>
        </w:tc>
        <w:tc>
          <w:tcPr>
            <w:tcW w:w="1560" w:type="dxa"/>
            <w:tcBorders>
              <w:top w:val="nil"/>
              <w:left w:val="nil"/>
              <w:bottom w:val="single" w:sz="4" w:space="0" w:color="auto"/>
              <w:right w:val="single" w:sz="4" w:space="0" w:color="auto"/>
            </w:tcBorders>
            <w:shd w:val="clear" w:color="auto" w:fill="auto"/>
            <w:noWrap/>
            <w:vAlign w:val="bottom"/>
            <w:hideMark/>
          </w:tcPr>
          <w:p w14:paraId="1EE37E2A"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410 000,00</w:t>
            </w:r>
          </w:p>
        </w:tc>
        <w:tc>
          <w:tcPr>
            <w:tcW w:w="1559" w:type="dxa"/>
            <w:tcBorders>
              <w:top w:val="nil"/>
              <w:left w:val="nil"/>
              <w:bottom w:val="single" w:sz="4" w:space="0" w:color="auto"/>
              <w:right w:val="single" w:sz="4" w:space="0" w:color="auto"/>
            </w:tcBorders>
            <w:shd w:val="clear" w:color="auto" w:fill="auto"/>
            <w:noWrap/>
            <w:vAlign w:val="bottom"/>
            <w:hideMark/>
          </w:tcPr>
          <w:p w14:paraId="186BC855"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152 740,00</w:t>
            </w:r>
          </w:p>
        </w:tc>
        <w:tc>
          <w:tcPr>
            <w:tcW w:w="738" w:type="dxa"/>
            <w:tcBorders>
              <w:top w:val="nil"/>
              <w:left w:val="nil"/>
              <w:bottom w:val="single" w:sz="4" w:space="0" w:color="auto"/>
              <w:right w:val="single" w:sz="8" w:space="0" w:color="auto"/>
            </w:tcBorders>
            <w:shd w:val="clear" w:color="auto" w:fill="auto"/>
            <w:noWrap/>
            <w:vAlign w:val="bottom"/>
            <w:hideMark/>
          </w:tcPr>
          <w:p w14:paraId="79F12BC2"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37,3</w:t>
            </w:r>
          </w:p>
        </w:tc>
      </w:tr>
      <w:tr w:rsidR="00CD2482" w:rsidRPr="00CD2482" w14:paraId="28EC1B73" w14:textId="77777777" w:rsidTr="00CD2482">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173DFD15"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 </w:t>
            </w:r>
          </w:p>
        </w:tc>
        <w:tc>
          <w:tcPr>
            <w:tcW w:w="3960" w:type="dxa"/>
            <w:tcBorders>
              <w:top w:val="nil"/>
              <w:left w:val="nil"/>
              <w:bottom w:val="single" w:sz="4" w:space="0" w:color="auto"/>
              <w:right w:val="single" w:sz="4" w:space="0" w:color="auto"/>
            </w:tcBorders>
            <w:shd w:val="clear" w:color="auto" w:fill="auto"/>
            <w:vAlign w:val="bottom"/>
            <w:hideMark/>
          </w:tcPr>
          <w:p w14:paraId="4022D1C4" w14:textId="77777777" w:rsidR="00CD2482" w:rsidRPr="007B0EE2" w:rsidRDefault="00CD2482" w:rsidP="00CD2482">
            <w:pPr>
              <w:spacing w:after="0" w:line="240" w:lineRule="auto"/>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5152  Teplo</w:t>
            </w:r>
          </w:p>
        </w:tc>
        <w:tc>
          <w:tcPr>
            <w:tcW w:w="1451" w:type="dxa"/>
            <w:tcBorders>
              <w:top w:val="nil"/>
              <w:left w:val="nil"/>
              <w:bottom w:val="single" w:sz="4" w:space="0" w:color="auto"/>
              <w:right w:val="single" w:sz="4" w:space="0" w:color="auto"/>
            </w:tcBorders>
            <w:shd w:val="clear" w:color="FFFFCC" w:fill="FFFFFF"/>
            <w:noWrap/>
            <w:vAlign w:val="bottom"/>
            <w:hideMark/>
          </w:tcPr>
          <w:p w14:paraId="12D61C74"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310 000</w:t>
            </w:r>
          </w:p>
        </w:tc>
        <w:tc>
          <w:tcPr>
            <w:tcW w:w="1560" w:type="dxa"/>
            <w:tcBorders>
              <w:top w:val="nil"/>
              <w:left w:val="nil"/>
              <w:bottom w:val="single" w:sz="4" w:space="0" w:color="auto"/>
              <w:right w:val="single" w:sz="4" w:space="0" w:color="auto"/>
            </w:tcBorders>
            <w:shd w:val="clear" w:color="auto" w:fill="auto"/>
            <w:noWrap/>
            <w:vAlign w:val="bottom"/>
            <w:hideMark/>
          </w:tcPr>
          <w:p w14:paraId="3B0E5639"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330 000,00</w:t>
            </w:r>
          </w:p>
        </w:tc>
        <w:tc>
          <w:tcPr>
            <w:tcW w:w="1559" w:type="dxa"/>
            <w:tcBorders>
              <w:top w:val="nil"/>
              <w:left w:val="nil"/>
              <w:bottom w:val="single" w:sz="4" w:space="0" w:color="auto"/>
              <w:right w:val="single" w:sz="4" w:space="0" w:color="auto"/>
            </w:tcBorders>
            <w:shd w:val="clear" w:color="auto" w:fill="auto"/>
            <w:noWrap/>
            <w:vAlign w:val="bottom"/>
            <w:hideMark/>
          </w:tcPr>
          <w:p w14:paraId="300E9882"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329 005,52</w:t>
            </w:r>
          </w:p>
        </w:tc>
        <w:tc>
          <w:tcPr>
            <w:tcW w:w="738" w:type="dxa"/>
            <w:tcBorders>
              <w:top w:val="nil"/>
              <w:left w:val="nil"/>
              <w:bottom w:val="single" w:sz="4" w:space="0" w:color="auto"/>
              <w:right w:val="single" w:sz="8" w:space="0" w:color="auto"/>
            </w:tcBorders>
            <w:shd w:val="clear" w:color="auto" w:fill="auto"/>
            <w:noWrap/>
            <w:vAlign w:val="bottom"/>
            <w:hideMark/>
          </w:tcPr>
          <w:p w14:paraId="3AFD77DD"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99,7</w:t>
            </w:r>
          </w:p>
        </w:tc>
      </w:tr>
      <w:tr w:rsidR="00CD2482" w:rsidRPr="00CD2482" w14:paraId="21BDCB55" w14:textId="77777777" w:rsidTr="00CD2482">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04E5CD2B"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 </w:t>
            </w:r>
          </w:p>
        </w:tc>
        <w:tc>
          <w:tcPr>
            <w:tcW w:w="3960" w:type="dxa"/>
            <w:tcBorders>
              <w:top w:val="nil"/>
              <w:left w:val="nil"/>
              <w:bottom w:val="single" w:sz="4" w:space="0" w:color="auto"/>
              <w:right w:val="single" w:sz="4" w:space="0" w:color="auto"/>
            </w:tcBorders>
            <w:shd w:val="clear" w:color="auto" w:fill="auto"/>
            <w:vAlign w:val="bottom"/>
            <w:hideMark/>
          </w:tcPr>
          <w:p w14:paraId="7EFC9B8C" w14:textId="77777777" w:rsidR="00CD2482" w:rsidRPr="007B0EE2" w:rsidRDefault="00CD2482" w:rsidP="00CD2482">
            <w:pPr>
              <w:spacing w:after="0" w:line="240" w:lineRule="auto"/>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5154  Elektrická energie</w:t>
            </w:r>
          </w:p>
        </w:tc>
        <w:tc>
          <w:tcPr>
            <w:tcW w:w="1451" w:type="dxa"/>
            <w:tcBorders>
              <w:top w:val="nil"/>
              <w:left w:val="nil"/>
              <w:bottom w:val="single" w:sz="4" w:space="0" w:color="auto"/>
              <w:right w:val="single" w:sz="4" w:space="0" w:color="auto"/>
            </w:tcBorders>
            <w:shd w:val="clear" w:color="FFFFCC" w:fill="FFFFFF"/>
            <w:noWrap/>
            <w:vAlign w:val="bottom"/>
            <w:hideMark/>
          </w:tcPr>
          <w:p w14:paraId="3BE83B27"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40 000</w:t>
            </w:r>
          </w:p>
        </w:tc>
        <w:tc>
          <w:tcPr>
            <w:tcW w:w="1560" w:type="dxa"/>
            <w:tcBorders>
              <w:top w:val="nil"/>
              <w:left w:val="nil"/>
              <w:bottom w:val="single" w:sz="4" w:space="0" w:color="auto"/>
              <w:right w:val="single" w:sz="4" w:space="0" w:color="auto"/>
            </w:tcBorders>
            <w:shd w:val="clear" w:color="auto" w:fill="auto"/>
            <w:noWrap/>
            <w:vAlign w:val="bottom"/>
            <w:hideMark/>
          </w:tcPr>
          <w:p w14:paraId="57321338"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100 000,00</w:t>
            </w:r>
          </w:p>
        </w:tc>
        <w:tc>
          <w:tcPr>
            <w:tcW w:w="1559" w:type="dxa"/>
            <w:tcBorders>
              <w:top w:val="nil"/>
              <w:left w:val="nil"/>
              <w:bottom w:val="single" w:sz="4" w:space="0" w:color="auto"/>
              <w:right w:val="single" w:sz="4" w:space="0" w:color="auto"/>
            </w:tcBorders>
            <w:shd w:val="clear" w:color="auto" w:fill="auto"/>
            <w:noWrap/>
            <w:vAlign w:val="bottom"/>
            <w:hideMark/>
          </w:tcPr>
          <w:p w14:paraId="37183332"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65 427,35</w:t>
            </w:r>
          </w:p>
        </w:tc>
        <w:tc>
          <w:tcPr>
            <w:tcW w:w="738" w:type="dxa"/>
            <w:tcBorders>
              <w:top w:val="nil"/>
              <w:left w:val="nil"/>
              <w:bottom w:val="single" w:sz="4" w:space="0" w:color="auto"/>
              <w:right w:val="single" w:sz="8" w:space="0" w:color="auto"/>
            </w:tcBorders>
            <w:shd w:val="clear" w:color="auto" w:fill="auto"/>
            <w:noWrap/>
            <w:vAlign w:val="bottom"/>
            <w:hideMark/>
          </w:tcPr>
          <w:p w14:paraId="3670D590"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65,4</w:t>
            </w:r>
          </w:p>
        </w:tc>
      </w:tr>
      <w:tr w:rsidR="00CD2482" w:rsidRPr="00CD2482" w14:paraId="0FCFC188" w14:textId="77777777" w:rsidTr="00CD2482">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092E4370"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 </w:t>
            </w:r>
          </w:p>
        </w:tc>
        <w:tc>
          <w:tcPr>
            <w:tcW w:w="3960" w:type="dxa"/>
            <w:tcBorders>
              <w:top w:val="nil"/>
              <w:left w:val="nil"/>
              <w:bottom w:val="single" w:sz="4" w:space="0" w:color="auto"/>
              <w:right w:val="single" w:sz="4" w:space="0" w:color="auto"/>
            </w:tcBorders>
            <w:shd w:val="clear" w:color="auto" w:fill="auto"/>
            <w:vAlign w:val="bottom"/>
            <w:hideMark/>
          </w:tcPr>
          <w:p w14:paraId="4EDDE512" w14:textId="77777777" w:rsidR="00CD2482" w:rsidRPr="007B0EE2" w:rsidRDefault="00CD2482" w:rsidP="00CD2482">
            <w:pPr>
              <w:spacing w:after="0" w:line="240" w:lineRule="auto"/>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5169  Nákup ostatních služeb</w:t>
            </w:r>
          </w:p>
        </w:tc>
        <w:tc>
          <w:tcPr>
            <w:tcW w:w="1451" w:type="dxa"/>
            <w:tcBorders>
              <w:top w:val="nil"/>
              <w:left w:val="nil"/>
              <w:bottom w:val="single" w:sz="4" w:space="0" w:color="auto"/>
              <w:right w:val="single" w:sz="4" w:space="0" w:color="auto"/>
            </w:tcBorders>
            <w:shd w:val="clear" w:color="FFFFCC" w:fill="FFFFFF"/>
            <w:noWrap/>
            <w:vAlign w:val="bottom"/>
            <w:hideMark/>
          </w:tcPr>
          <w:p w14:paraId="31A9C506"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220 000</w:t>
            </w:r>
          </w:p>
        </w:tc>
        <w:tc>
          <w:tcPr>
            <w:tcW w:w="1560" w:type="dxa"/>
            <w:tcBorders>
              <w:top w:val="nil"/>
              <w:left w:val="nil"/>
              <w:bottom w:val="single" w:sz="4" w:space="0" w:color="auto"/>
              <w:right w:val="single" w:sz="4" w:space="0" w:color="auto"/>
            </w:tcBorders>
            <w:shd w:val="clear" w:color="auto" w:fill="auto"/>
            <w:noWrap/>
            <w:vAlign w:val="bottom"/>
            <w:hideMark/>
          </w:tcPr>
          <w:p w14:paraId="58F836B8"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2 254 420,00</w:t>
            </w:r>
          </w:p>
        </w:tc>
        <w:tc>
          <w:tcPr>
            <w:tcW w:w="1559" w:type="dxa"/>
            <w:tcBorders>
              <w:top w:val="nil"/>
              <w:left w:val="nil"/>
              <w:bottom w:val="single" w:sz="4" w:space="0" w:color="auto"/>
              <w:right w:val="single" w:sz="4" w:space="0" w:color="auto"/>
            </w:tcBorders>
            <w:shd w:val="clear" w:color="auto" w:fill="auto"/>
            <w:noWrap/>
            <w:vAlign w:val="bottom"/>
            <w:hideMark/>
          </w:tcPr>
          <w:p w14:paraId="45580BE2"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127 398,29</w:t>
            </w:r>
          </w:p>
        </w:tc>
        <w:tc>
          <w:tcPr>
            <w:tcW w:w="738" w:type="dxa"/>
            <w:tcBorders>
              <w:top w:val="nil"/>
              <w:left w:val="nil"/>
              <w:bottom w:val="single" w:sz="4" w:space="0" w:color="auto"/>
              <w:right w:val="single" w:sz="8" w:space="0" w:color="auto"/>
            </w:tcBorders>
            <w:shd w:val="clear" w:color="auto" w:fill="auto"/>
            <w:noWrap/>
            <w:vAlign w:val="bottom"/>
            <w:hideMark/>
          </w:tcPr>
          <w:p w14:paraId="5DCCAB2D"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5,7</w:t>
            </w:r>
          </w:p>
        </w:tc>
      </w:tr>
      <w:tr w:rsidR="00CD2482" w:rsidRPr="00CD2482" w14:paraId="6C3BA59F" w14:textId="77777777" w:rsidTr="00CD2482">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30402C43"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 </w:t>
            </w:r>
          </w:p>
        </w:tc>
        <w:tc>
          <w:tcPr>
            <w:tcW w:w="3960" w:type="dxa"/>
            <w:tcBorders>
              <w:top w:val="nil"/>
              <w:left w:val="nil"/>
              <w:bottom w:val="single" w:sz="4" w:space="0" w:color="auto"/>
              <w:right w:val="single" w:sz="4" w:space="0" w:color="auto"/>
            </w:tcBorders>
            <w:shd w:val="clear" w:color="auto" w:fill="auto"/>
            <w:vAlign w:val="bottom"/>
            <w:hideMark/>
          </w:tcPr>
          <w:p w14:paraId="28EEE679" w14:textId="77777777" w:rsidR="00CD2482" w:rsidRPr="007B0EE2" w:rsidRDefault="00CD2482" w:rsidP="00CD2482">
            <w:pPr>
              <w:spacing w:after="0" w:line="240" w:lineRule="auto"/>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5171  Opravy a udržování</w:t>
            </w:r>
          </w:p>
        </w:tc>
        <w:tc>
          <w:tcPr>
            <w:tcW w:w="1451" w:type="dxa"/>
            <w:tcBorders>
              <w:top w:val="nil"/>
              <w:left w:val="nil"/>
              <w:bottom w:val="single" w:sz="4" w:space="0" w:color="auto"/>
              <w:right w:val="single" w:sz="4" w:space="0" w:color="auto"/>
            </w:tcBorders>
            <w:shd w:val="clear" w:color="FFFFCC" w:fill="FFFFFF"/>
            <w:noWrap/>
            <w:vAlign w:val="bottom"/>
            <w:hideMark/>
          </w:tcPr>
          <w:p w14:paraId="700C8B84"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837 000</w:t>
            </w:r>
          </w:p>
        </w:tc>
        <w:tc>
          <w:tcPr>
            <w:tcW w:w="1560" w:type="dxa"/>
            <w:tcBorders>
              <w:top w:val="nil"/>
              <w:left w:val="nil"/>
              <w:bottom w:val="single" w:sz="4" w:space="0" w:color="auto"/>
              <w:right w:val="single" w:sz="4" w:space="0" w:color="auto"/>
            </w:tcBorders>
            <w:shd w:val="clear" w:color="auto" w:fill="auto"/>
            <w:noWrap/>
            <w:vAlign w:val="bottom"/>
            <w:hideMark/>
          </w:tcPr>
          <w:p w14:paraId="2C5145CF"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588 836,00</w:t>
            </w:r>
          </w:p>
        </w:tc>
        <w:tc>
          <w:tcPr>
            <w:tcW w:w="1559" w:type="dxa"/>
            <w:tcBorders>
              <w:top w:val="nil"/>
              <w:left w:val="nil"/>
              <w:bottom w:val="single" w:sz="4" w:space="0" w:color="auto"/>
              <w:right w:val="single" w:sz="4" w:space="0" w:color="auto"/>
            </w:tcBorders>
            <w:shd w:val="clear" w:color="auto" w:fill="auto"/>
            <w:noWrap/>
            <w:vAlign w:val="bottom"/>
            <w:hideMark/>
          </w:tcPr>
          <w:p w14:paraId="44EFDD9B"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239 628,00</w:t>
            </w:r>
          </w:p>
        </w:tc>
        <w:tc>
          <w:tcPr>
            <w:tcW w:w="738" w:type="dxa"/>
            <w:tcBorders>
              <w:top w:val="nil"/>
              <w:left w:val="nil"/>
              <w:bottom w:val="single" w:sz="4" w:space="0" w:color="auto"/>
              <w:right w:val="single" w:sz="8" w:space="0" w:color="auto"/>
            </w:tcBorders>
            <w:shd w:val="clear" w:color="auto" w:fill="auto"/>
            <w:noWrap/>
            <w:vAlign w:val="bottom"/>
            <w:hideMark/>
          </w:tcPr>
          <w:p w14:paraId="4115611E"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40,7</w:t>
            </w:r>
          </w:p>
        </w:tc>
      </w:tr>
      <w:tr w:rsidR="00CD2482" w:rsidRPr="00CD2482" w14:paraId="7EC2FAB7" w14:textId="77777777" w:rsidTr="00CD2482">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474DA9EA"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 </w:t>
            </w:r>
          </w:p>
        </w:tc>
        <w:tc>
          <w:tcPr>
            <w:tcW w:w="3960" w:type="dxa"/>
            <w:tcBorders>
              <w:top w:val="nil"/>
              <w:left w:val="nil"/>
              <w:bottom w:val="single" w:sz="4" w:space="0" w:color="auto"/>
              <w:right w:val="single" w:sz="4" w:space="0" w:color="auto"/>
            </w:tcBorders>
            <w:shd w:val="clear" w:color="auto" w:fill="auto"/>
            <w:vAlign w:val="bottom"/>
            <w:hideMark/>
          </w:tcPr>
          <w:p w14:paraId="097C583E" w14:textId="77777777" w:rsidR="00CD2482" w:rsidRPr="007B0EE2" w:rsidRDefault="00CD2482" w:rsidP="00CD2482">
            <w:pPr>
              <w:spacing w:after="0" w:line="240" w:lineRule="auto"/>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5909 Ostatní neinvestiční výdaje</w:t>
            </w:r>
          </w:p>
        </w:tc>
        <w:tc>
          <w:tcPr>
            <w:tcW w:w="1451" w:type="dxa"/>
            <w:tcBorders>
              <w:top w:val="nil"/>
              <w:left w:val="nil"/>
              <w:bottom w:val="single" w:sz="4" w:space="0" w:color="auto"/>
              <w:right w:val="single" w:sz="4" w:space="0" w:color="auto"/>
            </w:tcBorders>
            <w:shd w:val="clear" w:color="FFFFCC" w:fill="FFFFFF"/>
            <w:noWrap/>
            <w:vAlign w:val="bottom"/>
            <w:hideMark/>
          </w:tcPr>
          <w:p w14:paraId="0251FB06"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0</w:t>
            </w:r>
          </w:p>
        </w:tc>
        <w:tc>
          <w:tcPr>
            <w:tcW w:w="1560" w:type="dxa"/>
            <w:tcBorders>
              <w:top w:val="nil"/>
              <w:left w:val="nil"/>
              <w:bottom w:val="single" w:sz="4" w:space="0" w:color="auto"/>
              <w:right w:val="single" w:sz="4" w:space="0" w:color="auto"/>
            </w:tcBorders>
            <w:shd w:val="clear" w:color="auto" w:fill="auto"/>
            <w:noWrap/>
            <w:vAlign w:val="bottom"/>
            <w:hideMark/>
          </w:tcPr>
          <w:p w14:paraId="1E17C702"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1 960,00</w:t>
            </w:r>
          </w:p>
        </w:tc>
        <w:tc>
          <w:tcPr>
            <w:tcW w:w="1559" w:type="dxa"/>
            <w:tcBorders>
              <w:top w:val="nil"/>
              <w:left w:val="nil"/>
              <w:bottom w:val="single" w:sz="4" w:space="0" w:color="auto"/>
              <w:right w:val="single" w:sz="4" w:space="0" w:color="auto"/>
            </w:tcBorders>
            <w:shd w:val="clear" w:color="auto" w:fill="auto"/>
            <w:noWrap/>
            <w:vAlign w:val="bottom"/>
            <w:hideMark/>
          </w:tcPr>
          <w:p w14:paraId="113A698E"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1 960,00</w:t>
            </w:r>
          </w:p>
        </w:tc>
        <w:tc>
          <w:tcPr>
            <w:tcW w:w="738" w:type="dxa"/>
            <w:tcBorders>
              <w:top w:val="nil"/>
              <w:left w:val="nil"/>
              <w:bottom w:val="single" w:sz="4" w:space="0" w:color="auto"/>
              <w:right w:val="single" w:sz="8" w:space="0" w:color="auto"/>
            </w:tcBorders>
            <w:shd w:val="clear" w:color="auto" w:fill="auto"/>
            <w:noWrap/>
            <w:vAlign w:val="bottom"/>
            <w:hideMark/>
          </w:tcPr>
          <w:p w14:paraId="08F01E31"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100,0</w:t>
            </w:r>
          </w:p>
        </w:tc>
      </w:tr>
      <w:tr w:rsidR="00CD2482" w:rsidRPr="00CD2482" w14:paraId="517907D6" w14:textId="77777777" w:rsidTr="00CD2482">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1919322C"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3613</w:t>
            </w:r>
          </w:p>
        </w:tc>
        <w:tc>
          <w:tcPr>
            <w:tcW w:w="3960" w:type="dxa"/>
            <w:tcBorders>
              <w:top w:val="nil"/>
              <w:left w:val="nil"/>
              <w:bottom w:val="single" w:sz="4" w:space="0" w:color="auto"/>
              <w:right w:val="single" w:sz="4" w:space="0" w:color="auto"/>
            </w:tcBorders>
            <w:shd w:val="clear" w:color="auto" w:fill="auto"/>
            <w:vAlign w:val="bottom"/>
            <w:hideMark/>
          </w:tcPr>
          <w:p w14:paraId="76A686D7" w14:textId="77777777" w:rsidR="00CD2482" w:rsidRPr="00CD2482" w:rsidRDefault="00CD2482" w:rsidP="00CD2482">
            <w:pPr>
              <w:spacing w:after="0" w:line="240" w:lineRule="auto"/>
              <w:rPr>
                <w:rFonts w:ascii="Calibri" w:eastAsia="Times New Roman" w:hAnsi="Calibri" w:cs="Arial"/>
                <w:sz w:val="20"/>
                <w:szCs w:val="20"/>
                <w:lang w:eastAsia="cs-CZ"/>
              </w:rPr>
            </w:pPr>
            <w:r w:rsidRPr="00CD2482">
              <w:rPr>
                <w:rFonts w:ascii="Calibri" w:eastAsia="Times New Roman" w:hAnsi="Calibri" w:cs="Arial"/>
                <w:sz w:val="20"/>
                <w:szCs w:val="20"/>
                <w:lang w:eastAsia="cs-CZ"/>
              </w:rPr>
              <w:t>Nebytové hospodářství</w:t>
            </w:r>
          </w:p>
        </w:tc>
        <w:tc>
          <w:tcPr>
            <w:tcW w:w="1451" w:type="dxa"/>
            <w:tcBorders>
              <w:top w:val="nil"/>
              <w:left w:val="nil"/>
              <w:bottom w:val="single" w:sz="4" w:space="0" w:color="auto"/>
              <w:right w:val="single" w:sz="4" w:space="0" w:color="auto"/>
            </w:tcBorders>
            <w:shd w:val="clear" w:color="FFFFCC" w:fill="FFFFFF"/>
            <w:noWrap/>
            <w:vAlign w:val="bottom"/>
            <w:hideMark/>
          </w:tcPr>
          <w:p w14:paraId="6D8FE388"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7 000 000</w:t>
            </w:r>
          </w:p>
        </w:tc>
        <w:tc>
          <w:tcPr>
            <w:tcW w:w="1560" w:type="dxa"/>
            <w:tcBorders>
              <w:top w:val="nil"/>
              <w:left w:val="nil"/>
              <w:bottom w:val="single" w:sz="4" w:space="0" w:color="auto"/>
              <w:right w:val="single" w:sz="4" w:space="0" w:color="auto"/>
            </w:tcBorders>
            <w:shd w:val="clear" w:color="FFFFCC" w:fill="FFFFFF"/>
            <w:noWrap/>
            <w:vAlign w:val="bottom"/>
            <w:hideMark/>
          </w:tcPr>
          <w:p w14:paraId="4418DB4E"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110 230 071,28</w:t>
            </w:r>
          </w:p>
        </w:tc>
        <w:tc>
          <w:tcPr>
            <w:tcW w:w="1559" w:type="dxa"/>
            <w:tcBorders>
              <w:top w:val="nil"/>
              <w:left w:val="nil"/>
              <w:bottom w:val="single" w:sz="4" w:space="0" w:color="auto"/>
              <w:right w:val="single" w:sz="4" w:space="0" w:color="auto"/>
            </w:tcBorders>
            <w:shd w:val="clear" w:color="FFFFCC" w:fill="FFFFFF"/>
            <w:noWrap/>
            <w:vAlign w:val="bottom"/>
            <w:hideMark/>
          </w:tcPr>
          <w:p w14:paraId="08A225C4"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90 822 992,54</w:t>
            </w:r>
          </w:p>
        </w:tc>
        <w:tc>
          <w:tcPr>
            <w:tcW w:w="738" w:type="dxa"/>
            <w:tcBorders>
              <w:top w:val="nil"/>
              <w:left w:val="nil"/>
              <w:bottom w:val="single" w:sz="4" w:space="0" w:color="auto"/>
              <w:right w:val="single" w:sz="8" w:space="0" w:color="auto"/>
            </w:tcBorders>
            <w:shd w:val="clear" w:color="auto" w:fill="auto"/>
            <w:noWrap/>
            <w:vAlign w:val="bottom"/>
            <w:hideMark/>
          </w:tcPr>
          <w:p w14:paraId="4F8F8F4B"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82,4</w:t>
            </w:r>
          </w:p>
        </w:tc>
      </w:tr>
      <w:tr w:rsidR="00CD2482" w:rsidRPr="00CD2482" w14:paraId="729C37F2" w14:textId="77777777" w:rsidTr="00CD2482">
        <w:trPr>
          <w:trHeight w:val="300"/>
        </w:trPr>
        <w:tc>
          <w:tcPr>
            <w:tcW w:w="826" w:type="dxa"/>
            <w:tcBorders>
              <w:top w:val="nil"/>
              <w:left w:val="single" w:sz="8" w:space="0" w:color="auto"/>
              <w:bottom w:val="nil"/>
              <w:right w:val="single" w:sz="4" w:space="0" w:color="auto"/>
            </w:tcBorders>
            <w:shd w:val="clear" w:color="auto" w:fill="auto"/>
            <w:noWrap/>
            <w:vAlign w:val="center"/>
            <w:hideMark/>
          </w:tcPr>
          <w:p w14:paraId="2B2E838C"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 </w:t>
            </w:r>
          </w:p>
        </w:tc>
        <w:tc>
          <w:tcPr>
            <w:tcW w:w="9268" w:type="dxa"/>
            <w:gridSpan w:val="5"/>
            <w:tcBorders>
              <w:top w:val="single" w:sz="4" w:space="0" w:color="auto"/>
              <w:left w:val="nil"/>
              <w:bottom w:val="single" w:sz="4" w:space="0" w:color="auto"/>
              <w:right w:val="single" w:sz="8" w:space="0" w:color="auto"/>
            </w:tcBorders>
            <w:shd w:val="clear" w:color="auto" w:fill="auto"/>
            <w:noWrap/>
            <w:vAlign w:val="bottom"/>
            <w:hideMark/>
          </w:tcPr>
          <w:p w14:paraId="32794D6E" w14:textId="77777777" w:rsidR="00CD2482" w:rsidRPr="007B0EE2" w:rsidRDefault="00CD2482" w:rsidP="00CD2482">
            <w:pPr>
              <w:spacing w:after="0" w:line="240" w:lineRule="auto"/>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z toho:</w:t>
            </w:r>
          </w:p>
        </w:tc>
      </w:tr>
      <w:tr w:rsidR="00CD2482" w:rsidRPr="00CD2482" w14:paraId="19EDFBF4" w14:textId="77777777" w:rsidTr="00CD2482">
        <w:trPr>
          <w:trHeight w:val="300"/>
        </w:trPr>
        <w:tc>
          <w:tcPr>
            <w:tcW w:w="826"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E1B2796"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 </w:t>
            </w:r>
          </w:p>
        </w:tc>
        <w:tc>
          <w:tcPr>
            <w:tcW w:w="3960" w:type="dxa"/>
            <w:tcBorders>
              <w:top w:val="nil"/>
              <w:left w:val="nil"/>
              <w:bottom w:val="single" w:sz="4" w:space="0" w:color="auto"/>
              <w:right w:val="single" w:sz="4" w:space="0" w:color="auto"/>
            </w:tcBorders>
            <w:shd w:val="clear" w:color="auto" w:fill="auto"/>
            <w:vAlign w:val="bottom"/>
            <w:hideMark/>
          </w:tcPr>
          <w:p w14:paraId="22CA9C41" w14:textId="77777777" w:rsidR="00CD2482" w:rsidRPr="007B0EE2" w:rsidRDefault="00CD2482" w:rsidP="00CD2482">
            <w:pPr>
              <w:spacing w:after="0" w:line="240" w:lineRule="auto"/>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5139  Nákup materiálu</w:t>
            </w:r>
          </w:p>
        </w:tc>
        <w:tc>
          <w:tcPr>
            <w:tcW w:w="1451" w:type="dxa"/>
            <w:tcBorders>
              <w:top w:val="nil"/>
              <w:left w:val="nil"/>
              <w:bottom w:val="single" w:sz="4" w:space="0" w:color="auto"/>
              <w:right w:val="single" w:sz="4" w:space="0" w:color="auto"/>
            </w:tcBorders>
            <w:shd w:val="clear" w:color="FFFFCC" w:fill="FFFFFF"/>
            <w:noWrap/>
            <w:vAlign w:val="bottom"/>
            <w:hideMark/>
          </w:tcPr>
          <w:p w14:paraId="51D93FB5"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30 000</w:t>
            </w:r>
          </w:p>
        </w:tc>
        <w:tc>
          <w:tcPr>
            <w:tcW w:w="1560" w:type="dxa"/>
            <w:tcBorders>
              <w:top w:val="nil"/>
              <w:left w:val="nil"/>
              <w:bottom w:val="single" w:sz="4" w:space="0" w:color="auto"/>
              <w:right w:val="single" w:sz="4" w:space="0" w:color="auto"/>
            </w:tcBorders>
            <w:shd w:val="clear" w:color="auto" w:fill="auto"/>
            <w:noWrap/>
            <w:vAlign w:val="bottom"/>
            <w:hideMark/>
          </w:tcPr>
          <w:p w14:paraId="166DD148"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80 000,00</w:t>
            </w:r>
          </w:p>
        </w:tc>
        <w:tc>
          <w:tcPr>
            <w:tcW w:w="1559" w:type="dxa"/>
            <w:tcBorders>
              <w:top w:val="nil"/>
              <w:left w:val="nil"/>
              <w:bottom w:val="single" w:sz="4" w:space="0" w:color="auto"/>
              <w:right w:val="single" w:sz="4" w:space="0" w:color="auto"/>
            </w:tcBorders>
            <w:shd w:val="clear" w:color="auto" w:fill="auto"/>
            <w:noWrap/>
            <w:vAlign w:val="bottom"/>
            <w:hideMark/>
          </w:tcPr>
          <w:p w14:paraId="0E02786C"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45 374,00</w:t>
            </w:r>
          </w:p>
        </w:tc>
        <w:tc>
          <w:tcPr>
            <w:tcW w:w="738" w:type="dxa"/>
            <w:tcBorders>
              <w:top w:val="nil"/>
              <w:left w:val="nil"/>
              <w:bottom w:val="single" w:sz="4" w:space="0" w:color="auto"/>
              <w:right w:val="single" w:sz="8" w:space="0" w:color="auto"/>
            </w:tcBorders>
            <w:shd w:val="clear" w:color="auto" w:fill="auto"/>
            <w:noWrap/>
            <w:vAlign w:val="bottom"/>
            <w:hideMark/>
          </w:tcPr>
          <w:p w14:paraId="0FD282BB"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56,7</w:t>
            </w:r>
          </w:p>
        </w:tc>
      </w:tr>
      <w:tr w:rsidR="00CD2482" w:rsidRPr="00CD2482" w14:paraId="5B0D8D54" w14:textId="77777777" w:rsidTr="00CD2482">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59E78612"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 </w:t>
            </w:r>
          </w:p>
        </w:tc>
        <w:tc>
          <w:tcPr>
            <w:tcW w:w="3960" w:type="dxa"/>
            <w:tcBorders>
              <w:top w:val="nil"/>
              <w:left w:val="nil"/>
              <w:bottom w:val="single" w:sz="4" w:space="0" w:color="auto"/>
              <w:right w:val="single" w:sz="4" w:space="0" w:color="auto"/>
            </w:tcBorders>
            <w:shd w:val="clear" w:color="auto" w:fill="auto"/>
            <w:vAlign w:val="bottom"/>
            <w:hideMark/>
          </w:tcPr>
          <w:p w14:paraId="220F56DA" w14:textId="77777777" w:rsidR="00CD2482" w:rsidRPr="007B0EE2" w:rsidRDefault="00CD2482" w:rsidP="00CD2482">
            <w:pPr>
              <w:spacing w:after="0" w:line="240" w:lineRule="auto"/>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5151  Studená voda</w:t>
            </w:r>
          </w:p>
        </w:tc>
        <w:tc>
          <w:tcPr>
            <w:tcW w:w="1451" w:type="dxa"/>
            <w:tcBorders>
              <w:top w:val="nil"/>
              <w:left w:val="nil"/>
              <w:bottom w:val="single" w:sz="4" w:space="0" w:color="auto"/>
              <w:right w:val="single" w:sz="4" w:space="0" w:color="auto"/>
            </w:tcBorders>
            <w:shd w:val="clear" w:color="FFFFCC" w:fill="FFFFFF"/>
            <w:noWrap/>
            <w:vAlign w:val="bottom"/>
            <w:hideMark/>
          </w:tcPr>
          <w:p w14:paraId="4183BBC4"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100 000</w:t>
            </w:r>
          </w:p>
        </w:tc>
        <w:tc>
          <w:tcPr>
            <w:tcW w:w="1560" w:type="dxa"/>
            <w:tcBorders>
              <w:top w:val="nil"/>
              <w:left w:val="nil"/>
              <w:bottom w:val="single" w:sz="4" w:space="0" w:color="auto"/>
              <w:right w:val="single" w:sz="4" w:space="0" w:color="auto"/>
            </w:tcBorders>
            <w:shd w:val="clear" w:color="auto" w:fill="auto"/>
            <w:noWrap/>
            <w:vAlign w:val="bottom"/>
            <w:hideMark/>
          </w:tcPr>
          <w:p w14:paraId="75C72E7C"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280 000,00</w:t>
            </w:r>
          </w:p>
        </w:tc>
        <w:tc>
          <w:tcPr>
            <w:tcW w:w="1559" w:type="dxa"/>
            <w:tcBorders>
              <w:top w:val="nil"/>
              <w:left w:val="nil"/>
              <w:bottom w:val="single" w:sz="4" w:space="0" w:color="auto"/>
              <w:right w:val="single" w:sz="4" w:space="0" w:color="auto"/>
            </w:tcBorders>
            <w:shd w:val="clear" w:color="auto" w:fill="auto"/>
            <w:noWrap/>
            <w:vAlign w:val="bottom"/>
            <w:hideMark/>
          </w:tcPr>
          <w:p w14:paraId="754F348B"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209 575,38</w:t>
            </w:r>
          </w:p>
        </w:tc>
        <w:tc>
          <w:tcPr>
            <w:tcW w:w="738" w:type="dxa"/>
            <w:tcBorders>
              <w:top w:val="nil"/>
              <w:left w:val="nil"/>
              <w:bottom w:val="single" w:sz="4" w:space="0" w:color="auto"/>
              <w:right w:val="single" w:sz="8" w:space="0" w:color="auto"/>
            </w:tcBorders>
            <w:shd w:val="clear" w:color="auto" w:fill="auto"/>
            <w:noWrap/>
            <w:vAlign w:val="bottom"/>
            <w:hideMark/>
          </w:tcPr>
          <w:p w14:paraId="7A9FAF1B"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74,8</w:t>
            </w:r>
          </w:p>
        </w:tc>
      </w:tr>
      <w:tr w:rsidR="00CD2482" w:rsidRPr="00CD2482" w14:paraId="4E8DE329" w14:textId="77777777" w:rsidTr="00CD2482">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31F3A65C"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 </w:t>
            </w:r>
          </w:p>
        </w:tc>
        <w:tc>
          <w:tcPr>
            <w:tcW w:w="3960" w:type="dxa"/>
            <w:tcBorders>
              <w:top w:val="nil"/>
              <w:left w:val="nil"/>
              <w:bottom w:val="single" w:sz="4" w:space="0" w:color="auto"/>
              <w:right w:val="single" w:sz="4" w:space="0" w:color="auto"/>
            </w:tcBorders>
            <w:shd w:val="clear" w:color="auto" w:fill="auto"/>
            <w:vAlign w:val="bottom"/>
            <w:hideMark/>
          </w:tcPr>
          <w:p w14:paraId="6B41DEE7" w14:textId="77777777" w:rsidR="00CD2482" w:rsidRPr="007B0EE2" w:rsidRDefault="00CD2482" w:rsidP="00CD2482">
            <w:pPr>
              <w:spacing w:after="0" w:line="240" w:lineRule="auto"/>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5152  Teplo</w:t>
            </w:r>
          </w:p>
        </w:tc>
        <w:tc>
          <w:tcPr>
            <w:tcW w:w="1451" w:type="dxa"/>
            <w:tcBorders>
              <w:top w:val="nil"/>
              <w:left w:val="nil"/>
              <w:bottom w:val="single" w:sz="4" w:space="0" w:color="auto"/>
              <w:right w:val="single" w:sz="4" w:space="0" w:color="auto"/>
            </w:tcBorders>
            <w:shd w:val="clear" w:color="FFFFCC" w:fill="FFFFFF"/>
            <w:noWrap/>
            <w:vAlign w:val="bottom"/>
            <w:hideMark/>
          </w:tcPr>
          <w:p w14:paraId="591128B2"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200 000</w:t>
            </w:r>
          </w:p>
        </w:tc>
        <w:tc>
          <w:tcPr>
            <w:tcW w:w="1560" w:type="dxa"/>
            <w:tcBorders>
              <w:top w:val="nil"/>
              <w:left w:val="nil"/>
              <w:bottom w:val="single" w:sz="4" w:space="0" w:color="auto"/>
              <w:right w:val="single" w:sz="4" w:space="0" w:color="auto"/>
            </w:tcBorders>
            <w:shd w:val="clear" w:color="auto" w:fill="auto"/>
            <w:noWrap/>
            <w:vAlign w:val="bottom"/>
            <w:hideMark/>
          </w:tcPr>
          <w:p w14:paraId="02531A59"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892 627,00</w:t>
            </w:r>
          </w:p>
        </w:tc>
        <w:tc>
          <w:tcPr>
            <w:tcW w:w="1559" w:type="dxa"/>
            <w:tcBorders>
              <w:top w:val="nil"/>
              <w:left w:val="nil"/>
              <w:bottom w:val="single" w:sz="4" w:space="0" w:color="auto"/>
              <w:right w:val="single" w:sz="4" w:space="0" w:color="auto"/>
            </w:tcBorders>
            <w:shd w:val="clear" w:color="auto" w:fill="auto"/>
            <w:noWrap/>
            <w:vAlign w:val="bottom"/>
            <w:hideMark/>
          </w:tcPr>
          <w:p w14:paraId="4926681A"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575 838,47</w:t>
            </w:r>
          </w:p>
        </w:tc>
        <w:tc>
          <w:tcPr>
            <w:tcW w:w="738" w:type="dxa"/>
            <w:tcBorders>
              <w:top w:val="nil"/>
              <w:left w:val="nil"/>
              <w:bottom w:val="single" w:sz="4" w:space="0" w:color="auto"/>
              <w:right w:val="single" w:sz="8" w:space="0" w:color="auto"/>
            </w:tcBorders>
            <w:shd w:val="clear" w:color="auto" w:fill="auto"/>
            <w:noWrap/>
            <w:vAlign w:val="bottom"/>
            <w:hideMark/>
          </w:tcPr>
          <w:p w14:paraId="617487E2"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64,5</w:t>
            </w:r>
          </w:p>
        </w:tc>
      </w:tr>
      <w:tr w:rsidR="00CD2482" w:rsidRPr="00CD2482" w14:paraId="308DFF30" w14:textId="77777777" w:rsidTr="00CD2482">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3450719D"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 </w:t>
            </w:r>
          </w:p>
        </w:tc>
        <w:tc>
          <w:tcPr>
            <w:tcW w:w="3960" w:type="dxa"/>
            <w:tcBorders>
              <w:top w:val="nil"/>
              <w:left w:val="nil"/>
              <w:bottom w:val="single" w:sz="4" w:space="0" w:color="auto"/>
              <w:right w:val="single" w:sz="4" w:space="0" w:color="auto"/>
            </w:tcBorders>
            <w:shd w:val="clear" w:color="auto" w:fill="auto"/>
            <w:vAlign w:val="bottom"/>
            <w:hideMark/>
          </w:tcPr>
          <w:p w14:paraId="0D236616" w14:textId="77777777" w:rsidR="00CD2482" w:rsidRPr="007B0EE2" w:rsidRDefault="00CD2482" w:rsidP="00CD2482">
            <w:pPr>
              <w:spacing w:after="0" w:line="240" w:lineRule="auto"/>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5153  Plyn</w:t>
            </w:r>
          </w:p>
        </w:tc>
        <w:tc>
          <w:tcPr>
            <w:tcW w:w="1451" w:type="dxa"/>
            <w:tcBorders>
              <w:top w:val="nil"/>
              <w:left w:val="nil"/>
              <w:bottom w:val="single" w:sz="4" w:space="0" w:color="auto"/>
              <w:right w:val="single" w:sz="4" w:space="0" w:color="auto"/>
            </w:tcBorders>
            <w:shd w:val="clear" w:color="FFFFCC" w:fill="FFFFFF"/>
            <w:noWrap/>
            <w:vAlign w:val="bottom"/>
            <w:hideMark/>
          </w:tcPr>
          <w:p w14:paraId="22100980"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800 000</w:t>
            </w:r>
          </w:p>
        </w:tc>
        <w:tc>
          <w:tcPr>
            <w:tcW w:w="1560" w:type="dxa"/>
            <w:tcBorders>
              <w:top w:val="nil"/>
              <w:left w:val="nil"/>
              <w:bottom w:val="single" w:sz="4" w:space="0" w:color="auto"/>
              <w:right w:val="single" w:sz="4" w:space="0" w:color="auto"/>
            </w:tcBorders>
            <w:shd w:val="clear" w:color="auto" w:fill="auto"/>
            <w:noWrap/>
            <w:vAlign w:val="bottom"/>
            <w:hideMark/>
          </w:tcPr>
          <w:p w14:paraId="5C492D1E"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800 000,00</w:t>
            </w:r>
          </w:p>
        </w:tc>
        <w:tc>
          <w:tcPr>
            <w:tcW w:w="1559" w:type="dxa"/>
            <w:tcBorders>
              <w:top w:val="nil"/>
              <w:left w:val="nil"/>
              <w:bottom w:val="single" w:sz="4" w:space="0" w:color="auto"/>
              <w:right w:val="single" w:sz="4" w:space="0" w:color="auto"/>
            </w:tcBorders>
            <w:shd w:val="clear" w:color="auto" w:fill="auto"/>
            <w:noWrap/>
            <w:vAlign w:val="bottom"/>
            <w:hideMark/>
          </w:tcPr>
          <w:p w14:paraId="7E54CBE2"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577 882,01</w:t>
            </w:r>
          </w:p>
        </w:tc>
        <w:tc>
          <w:tcPr>
            <w:tcW w:w="738" w:type="dxa"/>
            <w:tcBorders>
              <w:top w:val="nil"/>
              <w:left w:val="nil"/>
              <w:bottom w:val="single" w:sz="4" w:space="0" w:color="auto"/>
              <w:right w:val="single" w:sz="8" w:space="0" w:color="auto"/>
            </w:tcBorders>
            <w:shd w:val="clear" w:color="auto" w:fill="auto"/>
            <w:noWrap/>
            <w:vAlign w:val="bottom"/>
            <w:hideMark/>
          </w:tcPr>
          <w:p w14:paraId="161EA433"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72,2</w:t>
            </w:r>
          </w:p>
        </w:tc>
      </w:tr>
      <w:tr w:rsidR="00CD2482" w:rsidRPr="00CD2482" w14:paraId="5A95C4CD" w14:textId="77777777" w:rsidTr="00CD2482">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528392ED"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 </w:t>
            </w:r>
          </w:p>
        </w:tc>
        <w:tc>
          <w:tcPr>
            <w:tcW w:w="3960" w:type="dxa"/>
            <w:tcBorders>
              <w:top w:val="nil"/>
              <w:left w:val="nil"/>
              <w:bottom w:val="single" w:sz="4" w:space="0" w:color="auto"/>
              <w:right w:val="single" w:sz="4" w:space="0" w:color="auto"/>
            </w:tcBorders>
            <w:shd w:val="clear" w:color="auto" w:fill="auto"/>
            <w:vAlign w:val="bottom"/>
            <w:hideMark/>
          </w:tcPr>
          <w:p w14:paraId="1CA87AAC" w14:textId="77777777" w:rsidR="00CD2482" w:rsidRPr="007B0EE2" w:rsidRDefault="00CD2482" w:rsidP="00CD2482">
            <w:pPr>
              <w:spacing w:after="0" w:line="240" w:lineRule="auto"/>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5154  Elektrická energie</w:t>
            </w:r>
          </w:p>
        </w:tc>
        <w:tc>
          <w:tcPr>
            <w:tcW w:w="1451" w:type="dxa"/>
            <w:tcBorders>
              <w:top w:val="nil"/>
              <w:left w:val="nil"/>
              <w:bottom w:val="single" w:sz="4" w:space="0" w:color="auto"/>
              <w:right w:val="single" w:sz="4" w:space="0" w:color="auto"/>
            </w:tcBorders>
            <w:shd w:val="clear" w:color="FFFFCC" w:fill="FFFFFF"/>
            <w:noWrap/>
            <w:vAlign w:val="bottom"/>
            <w:hideMark/>
          </w:tcPr>
          <w:p w14:paraId="0676D388"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1 000 000</w:t>
            </w:r>
          </w:p>
        </w:tc>
        <w:tc>
          <w:tcPr>
            <w:tcW w:w="1560" w:type="dxa"/>
            <w:tcBorders>
              <w:top w:val="nil"/>
              <w:left w:val="nil"/>
              <w:bottom w:val="single" w:sz="4" w:space="0" w:color="auto"/>
              <w:right w:val="single" w:sz="4" w:space="0" w:color="auto"/>
            </w:tcBorders>
            <w:shd w:val="clear" w:color="auto" w:fill="auto"/>
            <w:noWrap/>
            <w:vAlign w:val="bottom"/>
            <w:hideMark/>
          </w:tcPr>
          <w:p w14:paraId="179DC0FB"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1 560 000,00</w:t>
            </w:r>
          </w:p>
        </w:tc>
        <w:tc>
          <w:tcPr>
            <w:tcW w:w="1559" w:type="dxa"/>
            <w:tcBorders>
              <w:top w:val="nil"/>
              <w:left w:val="nil"/>
              <w:bottom w:val="single" w:sz="4" w:space="0" w:color="auto"/>
              <w:right w:val="single" w:sz="4" w:space="0" w:color="auto"/>
            </w:tcBorders>
            <w:shd w:val="clear" w:color="auto" w:fill="auto"/>
            <w:noWrap/>
            <w:vAlign w:val="bottom"/>
            <w:hideMark/>
          </w:tcPr>
          <w:p w14:paraId="1A0115FB"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1 484 197,20</w:t>
            </w:r>
          </w:p>
        </w:tc>
        <w:tc>
          <w:tcPr>
            <w:tcW w:w="738" w:type="dxa"/>
            <w:tcBorders>
              <w:top w:val="nil"/>
              <w:left w:val="nil"/>
              <w:bottom w:val="single" w:sz="4" w:space="0" w:color="auto"/>
              <w:right w:val="single" w:sz="8" w:space="0" w:color="auto"/>
            </w:tcBorders>
            <w:shd w:val="clear" w:color="auto" w:fill="auto"/>
            <w:noWrap/>
            <w:vAlign w:val="bottom"/>
            <w:hideMark/>
          </w:tcPr>
          <w:p w14:paraId="36B50BE3"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95,1</w:t>
            </w:r>
          </w:p>
        </w:tc>
      </w:tr>
      <w:tr w:rsidR="00CD2482" w:rsidRPr="00CD2482" w14:paraId="4B8084F3" w14:textId="77777777" w:rsidTr="00CD2482">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3EABD54C"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 </w:t>
            </w:r>
          </w:p>
        </w:tc>
        <w:tc>
          <w:tcPr>
            <w:tcW w:w="3960" w:type="dxa"/>
            <w:tcBorders>
              <w:top w:val="nil"/>
              <w:left w:val="nil"/>
              <w:bottom w:val="single" w:sz="4" w:space="0" w:color="auto"/>
              <w:right w:val="single" w:sz="4" w:space="0" w:color="auto"/>
            </w:tcBorders>
            <w:shd w:val="clear" w:color="auto" w:fill="auto"/>
            <w:vAlign w:val="bottom"/>
            <w:hideMark/>
          </w:tcPr>
          <w:p w14:paraId="6122A2DE" w14:textId="77777777" w:rsidR="00CD2482" w:rsidRPr="007B0EE2" w:rsidRDefault="00CD2482" w:rsidP="00CD2482">
            <w:pPr>
              <w:spacing w:after="0" w:line="240" w:lineRule="auto"/>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5162 Služby elektronických komunikací</w:t>
            </w:r>
          </w:p>
        </w:tc>
        <w:tc>
          <w:tcPr>
            <w:tcW w:w="1451" w:type="dxa"/>
            <w:tcBorders>
              <w:top w:val="nil"/>
              <w:left w:val="nil"/>
              <w:bottom w:val="single" w:sz="4" w:space="0" w:color="auto"/>
              <w:right w:val="single" w:sz="4" w:space="0" w:color="auto"/>
            </w:tcBorders>
            <w:shd w:val="clear" w:color="FFFFCC" w:fill="FFFFFF"/>
            <w:noWrap/>
            <w:vAlign w:val="bottom"/>
            <w:hideMark/>
          </w:tcPr>
          <w:p w14:paraId="08CF0BD3"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0</w:t>
            </w:r>
          </w:p>
        </w:tc>
        <w:tc>
          <w:tcPr>
            <w:tcW w:w="1560" w:type="dxa"/>
            <w:tcBorders>
              <w:top w:val="nil"/>
              <w:left w:val="nil"/>
              <w:bottom w:val="single" w:sz="4" w:space="0" w:color="auto"/>
              <w:right w:val="single" w:sz="4" w:space="0" w:color="auto"/>
            </w:tcBorders>
            <w:shd w:val="clear" w:color="auto" w:fill="auto"/>
            <w:noWrap/>
            <w:vAlign w:val="bottom"/>
            <w:hideMark/>
          </w:tcPr>
          <w:p w14:paraId="0A0543B8"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35 000,00</w:t>
            </w:r>
          </w:p>
        </w:tc>
        <w:tc>
          <w:tcPr>
            <w:tcW w:w="1559" w:type="dxa"/>
            <w:tcBorders>
              <w:top w:val="nil"/>
              <w:left w:val="nil"/>
              <w:bottom w:val="single" w:sz="4" w:space="0" w:color="auto"/>
              <w:right w:val="single" w:sz="4" w:space="0" w:color="auto"/>
            </w:tcBorders>
            <w:shd w:val="clear" w:color="auto" w:fill="auto"/>
            <w:noWrap/>
            <w:vAlign w:val="bottom"/>
            <w:hideMark/>
          </w:tcPr>
          <w:p w14:paraId="0703A7D0"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31 304,00</w:t>
            </w:r>
          </w:p>
        </w:tc>
        <w:tc>
          <w:tcPr>
            <w:tcW w:w="738" w:type="dxa"/>
            <w:tcBorders>
              <w:top w:val="nil"/>
              <w:left w:val="nil"/>
              <w:bottom w:val="single" w:sz="4" w:space="0" w:color="auto"/>
              <w:right w:val="single" w:sz="8" w:space="0" w:color="auto"/>
            </w:tcBorders>
            <w:shd w:val="clear" w:color="auto" w:fill="auto"/>
            <w:noWrap/>
            <w:vAlign w:val="bottom"/>
            <w:hideMark/>
          </w:tcPr>
          <w:p w14:paraId="3249925B"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89,4</w:t>
            </w:r>
          </w:p>
        </w:tc>
      </w:tr>
      <w:tr w:rsidR="00CD2482" w:rsidRPr="00CD2482" w14:paraId="651D48AD" w14:textId="77777777" w:rsidTr="00CD2482">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1C793A97"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 </w:t>
            </w:r>
          </w:p>
        </w:tc>
        <w:tc>
          <w:tcPr>
            <w:tcW w:w="3960" w:type="dxa"/>
            <w:tcBorders>
              <w:top w:val="nil"/>
              <w:left w:val="nil"/>
              <w:bottom w:val="single" w:sz="4" w:space="0" w:color="auto"/>
              <w:right w:val="single" w:sz="4" w:space="0" w:color="auto"/>
            </w:tcBorders>
            <w:shd w:val="clear" w:color="auto" w:fill="auto"/>
            <w:vAlign w:val="bottom"/>
            <w:hideMark/>
          </w:tcPr>
          <w:p w14:paraId="71C9844D" w14:textId="77777777" w:rsidR="00CD2482" w:rsidRPr="007B0EE2" w:rsidRDefault="00CD2482" w:rsidP="00CD2482">
            <w:pPr>
              <w:spacing w:after="0" w:line="240" w:lineRule="auto"/>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5164 Nájemné</w:t>
            </w:r>
          </w:p>
        </w:tc>
        <w:tc>
          <w:tcPr>
            <w:tcW w:w="1451" w:type="dxa"/>
            <w:tcBorders>
              <w:top w:val="nil"/>
              <w:left w:val="nil"/>
              <w:bottom w:val="single" w:sz="4" w:space="0" w:color="auto"/>
              <w:right w:val="single" w:sz="4" w:space="0" w:color="auto"/>
            </w:tcBorders>
            <w:shd w:val="clear" w:color="FFFFCC" w:fill="FFFFFF"/>
            <w:noWrap/>
            <w:vAlign w:val="bottom"/>
            <w:hideMark/>
          </w:tcPr>
          <w:p w14:paraId="5AE568D2"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0</w:t>
            </w:r>
          </w:p>
        </w:tc>
        <w:tc>
          <w:tcPr>
            <w:tcW w:w="1560" w:type="dxa"/>
            <w:tcBorders>
              <w:top w:val="nil"/>
              <w:left w:val="nil"/>
              <w:bottom w:val="single" w:sz="4" w:space="0" w:color="auto"/>
              <w:right w:val="single" w:sz="4" w:space="0" w:color="auto"/>
            </w:tcBorders>
            <w:shd w:val="clear" w:color="auto" w:fill="auto"/>
            <w:noWrap/>
            <w:vAlign w:val="bottom"/>
            <w:hideMark/>
          </w:tcPr>
          <w:p w14:paraId="2DF31B07"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36 251,00</w:t>
            </w:r>
          </w:p>
        </w:tc>
        <w:tc>
          <w:tcPr>
            <w:tcW w:w="1559" w:type="dxa"/>
            <w:tcBorders>
              <w:top w:val="nil"/>
              <w:left w:val="nil"/>
              <w:bottom w:val="single" w:sz="4" w:space="0" w:color="auto"/>
              <w:right w:val="single" w:sz="4" w:space="0" w:color="auto"/>
            </w:tcBorders>
            <w:shd w:val="clear" w:color="auto" w:fill="auto"/>
            <w:noWrap/>
            <w:vAlign w:val="bottom"/>
            <w:hideMark/>
          </w:tcPr>
          <w:p w14:paraId="6260B41B"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24 597,00</w:t>
            </w:r>
          </w:p>
        </w:tc>
        <w:tc>
          <w:tcPr>
            <w:tcW w:w="738" w:type="dxa"/>
            <w:tcBorders>
              <w:top w:val="nil"/>
              <w:left w:val="nil"/>
              <w:bottom w:val="single" w:sz="4" w:space="0" w:color="auto"/>
              <w:right w:val="single" w:sz="8" w:space="0" w:color="auto"/>
            </w:tcBorders>
            <w:shd w:val="clear" w:color="auto" w:fill="auto"/>
            <w:noWrap/>
            <w:vAlign w:val="bottom"/>
            <w:hideMark/>
          </w:tcPr>
          <w:p w14:paraId="32EA6479"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67,9</w:t>
            </w:r>
          </w:p>
        </w:tc>
      </w:tr>
      <w:tr w:rsidR="00CD2482" w:rsidRPr="00CD2482" w14:paraId="6B72E8A6" w14:textId="77777777" w:rsidTr="00CD2482">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2F7A0312"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 </w:t>
            </w:r>
          </w:p>
        </w:tc>
        <w:tc>
          <w:tcPr>
            <w:tcW w:w="3960" w:type="dxa"/>
            <w:tcBorders>
              <w:top w:val="nil"/>
              <w:left w:val="nil"/>
              <w:bottom w:val="single" w:sz="4" w:space="0" w:color="auto"/>
              <w:right w:val="single" w:sz="4" w:space="0" w:color="auto"/>
            </w:tcBorders>
            <w:shd w:val="clear" w:color="auto" w:fill="auto"/>
            <w:vAlign w:val="bottom"/>
            <w:hideMark/>
          </w:tcPr>
          <w:p w14:paraId="76D4846E" w14:textId="77777777" w:rsidR="00CD2482" w:rsidRPr="007B0EE2" w:rsidRDefault="00CD2482" w:rsidP="00CD2482">
            <w:pPr>
              <w:spacing w:after="0" w:line="240" w:lineRule="auto"/>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5166 Konzultační, poradenské a právní služby</w:t>
            </w:r>
          </w:p>
        </w:tc>
        <w:tc>
          <w:tcPr>
            <w:tcW w:w="1451" w:type="dxa"/>
            <w:tcBorders>
              <w:top w:val="nil"/>
              <w:left w:val="nil"/>
              <w:bottom w:val="single" w:sz="4" w:space="0" w:color="auto"/>
              <w:right w:val="single" w:sz="4" w:space="0" w:color="auto"/>
            </w:tcBorders>
            <w:shd w:val="clear" w:color="FFFFCC" w:fill="FFFFFF"/>
            <w:noWrap/>
            <w:vAlign w:val="bottom"/>
            <w:hideMark/>
          </w:tcPr>
          <w:p w14:paraId="51E96752"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0</w:t>
            </w:r>
          </w:p>
        </w:tc>
        <w:tc>
          <w:tcPr>
            <w:tcW w:w="1560" w:type="dxa"/>
            <w:tcBorders>
              <w:top w:val="nil"/>
              <w:left w:val="nil"/>
              <w:bottom w:val="single" w:sz="4" w:space="0" w:color="auto"/>
              <w:right w:val="single" w:sz="4" w:space="0" w:color="auto"/>
            </w:tcBorders>
            <w:shd w:val="clear" w:color="auto" w:fill="auto"/>
            <w:noWrap/>
            <w:vAlign w:val="bottom"/>
            <w:hideMark/>
          </w:tcPr>
          <w:p w14:paraId="022D9C45"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330 500,00</w:t>
            </w:r>
          </w:p>
        </w:tc>
        <w:tc>
          <w:tcPr>
            <w:tcW w:w="1559" w:type="dxa"/>
            <w:tcBorders>
              <w:top w:val="nil"/>
              <w:left w:val="nil"/>
              <w:bottom w:val="single" w:sz="4" w:space="0" w:color="auto"/>
              <w:right w:val="single" w:sz="4" w:space="0" w:color="auto"/>
            </w:tcBorders>
            <w:shd w:val="clear" w:color="auto" w:fill="auto"/>
            <w:noWrap/>
            <w:vAlign w:val="bottom"/>
            <w:hideMark/>
          </w:tcPr>
          <w:p w14:paraId="2AD0B0A0"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60 317,30</w:t>
            </w:r>
          </w:p>
        </w:tc>
        <w:tc>
          <w:tcPr>
            <w:tcW w:w="738" w:type="dxa"/>
            <w:tcBorders>
              <w:top w:val="nil"/>
              <w:left w:val="nil"/>
              <w:bottom w:val="single" w:sz="4" w:space="0" w:color="auto"/>
              <w:right w:val="single" w:sz="8" w:space="0" w:color="auto"/>
            </w:tcBorders>
            <w:shd w:val="clear" w:color="auto" w:fill="auto"/>
            <w:noWrap/>
            <w:vAlign w:val="bottom"/>
            <w:hideMark/>
          </w:tcPr>
          <w:p w14:paraId="2314AE64"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18,3</w:t>
            </w:r>
          </w:p>
        </w:tc>
      </w:tr>
      <w:tr w:rsidR="00CD2482" w:rsidRPr="00CD2482" w14:paraId="289B52D8" w14:textId="77777777" w:rsidTr="00CD2482">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32541C98"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 </w:t>
            </w:r>
          </w:p>
        </w:tc>
        <w:tc>
          <w:tcPr>
            <w:tcW w:w="3960" w:type="dxa"/>
            <w:tcBorders>
              <w:top w:val="nil"/>
              <w:left w:val="nil"/>
              <w:bottom w:val="single" w:sz="4" w:space="0" w:color="auto"/>
              <w:right w:val="single" w:sz="4" w:space="0" w:color="auto"/>
            </w:tcBorders>
            <w:shd w:val="clear" w:color="auto" w:fill="auto"/>
            <w:vAlign w:val="bottom"/>
            <w:hideMark/>
          </w:tcPr>
          <w:p w14:paraId="5FD9C976" w14:textId="77777777" w:rsidR="00CD2482" w:rsidRPr="007B0EE2" w:rsidRDefault="00CD2482" w:rsidP="00CD2482">
            <w:pPr>
              <w:spacing w:after="0" w:line="240" w:lineRule="auto"/>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5169  Nákup ostatních služeb</w:t>
            </w:r>
          </w:p>
        </w:tc>
        <w:tc>
          <w:tcPr>
            <w:tcW w:w="1451" w:type="dxa"/>
            <w:tcBorders>
              <w:top w:val="nil"/>
              <w:left w:val="nil"/>
              <w:bottom w:val="single" w:sz="4" w:space="0" w:color="auto"/>
              <w:right w:val="single" w:sz="4" w:space="0" w:color="auto"/>
            </w:tcBorders>
            <w:shd w:val="clear" w:color="FFFFCC" w:fill="FFFFFF"/>
            <w:noWrap/>
            <w:vAlign w:val="bottom"/>
            <w:hideMark/>
          </w:tcPr>
          <w:p w14:paraId="41129054"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677 000</w:t>
            </w:r>
          </w:p>
        </w:tc>
        <w:tc>
          <w:tcPr>
            <w:tcW w:w="1560" w:type="dxa"/>
            <w:tcBorders>
              <w:top w:val="nil"/>
              <w:left w:val="nil"/>
              <w:bottom w:val="single" w:sz="4" w:space="0" w:color="auto"/>
              <w:right w:val="single" w:sz="4" w:space="0" w:color="auto"/>
            </w:tcBorders>
            <w:shd w:val="clear" w:color="auto" w:fill="auto"/>
            <w:noWrap/>
            <w:vAlign w:val="bottom"/>
            <w:hideMark/>
          </w:tcPr>
          <w:p w14:paraId="0037C5E7"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8 619 683,18</w:t>
            </w:r>
          </w:p>
        </w:tc>
        <w:tc>
          <w:tcPr>
            <w:tcW w:w="1559" w:type="dxa"/>
            <w:tcBorders>
              <w:top w:val="nil"/>
              <w:left w:val="nil"/>
              <w:bottom w:val="single" w:sz="4" w:space="0" w:color="auto"/>
              <w:right w:val="single" w:sz="4" w:space="0" w:color="auto"/>
            </w:tcBorders>
            <w:shd w:val="clear" w:color="auto" w:fill="auto"/>
            <w:noWrap/>
            <w:vAlign w:val="bottom"/>
            <w:hideMark/>
          </w:tcPr>
          <w:p w14:paraId="76AFEB28"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2 729 512,74</w:t>
            </w:r>
          </w:p>
        </w:tc>
        <w:tc>
          <w:tcPr>
            <w:tcW w:w="738" w:type="dxa"/>
            <w:tcBorders>
              <w:top w:val="nil"/>
              <w:left w:val="nil"/>
              <w:bottom w:val="single" w:sz="4" w:space="0" w:color="auto"/>
              <w:right w:val="single" w:sz="8" w:space="0" w:color="auto"/>
            </w:tcBorders>
            <w:shd w:val="clear" w:color="auto" w:fill="auto"/>
            <w:noWrap/>
            <w:vAlign w:val="bottom"/>
            <w:hideMark/>
          </w:tcPr>
          <w:p w14:paraId="55DD5F3C"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31,7</w:t>
            </w:r>
          </w:p>
        </w:tc>
      </w:tr>
      <w:tr w:rsidR="00CD2482" w:rsidRPr="00CD2482" w14:paraId="0F81B7EC" w14:textId="77777777" w:rsidTr="00CD2482">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69C5FE56"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 </w:t>
            </w:r>
          </w:p>
        </w:tc>
        <w:tc>
          <w:tcPr>
            <w:tcW w:w="3960" w:type="dxa"/>
            <w:tcBorders>
              <w:top w:val="nil"/>
              <w:left w:val="nil"/>
              <w:bottom w:val="single" w:sz="4" w:space="0" w:color="auto"/>
              <w:right w:val="single" w:sz="4" w:space="0" w:color="auto"/>
            </w:tcBorders>
            <w:shd w:val="clear" w:color="auto" w:fill="auto"/>
            <w:vAlign w:val="bottom"/>
            <w:hideMark/>
          </w:tcPr>
          <w:p w14:paraId="6BBB0939" w14:textId="77777777" w:rsidR="00CD2482" w:rsidRPr="007B0EE2" w:rsidRDefault="00CD2482" w:rsidP="00CD2482">
            <w:pPr>
              <w:spacing w:after="0" w:line="240" w:lineRule="auto"/>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5171  Opravy a udržování</w:t>
            </w:r>
          </w:p>
        </w:tc>
        <w:tc>
          <w:tcPr>
            <w:tcW w:w="1451" w:type="dxa"/>
            <w:tcBorders>
              <w:top w:val="nil"/>
              <w:left w:val="nil"/>
              <w:bottom w:val="single" w:sz="4" w:space="0" w:color="auto"/>
              <w:right w:val="single" w:sz="4" w:space="0" w:color="auto"/>
            </w:tcBorders>
            <w:shd w:val="clear" w:color="FFFFCC" w:fill="FFFFFF"/>
            <w:noWrap/>
            <w:vAlign w:val="bottom"/>
            <w:hideMark/>
          </w:tcPr>
          <w:p w14:paraId="015DC3B3"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4 193 000</w:t>
            </w:r>
          </w:p>
        </w:tc>
        <w:tc>
          <w:tcPr>
            <w:tcW w:w="1560" w:type="dxa"/>
            <w:tcBorders>
              <w:top w:val="nil"/>
              <w:left w:val="nil"/>
              <w:bottom w:val="single" w:sz="4" w:space="0" w:color="auto"/>
              <w:right w:val="single" w:sz="4" w:space="0" w:color="auto"/>
            </w:tcBorders>
            <w:shd w:val="clear" w:color="auto" w:fill="auto"/>
            <w:noWrap/>
            <w:vAlign w:val="bottom"/>
            <w:hideMark/>
          </w:tcPr>
          <w:p w14:paraId="05296467"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3 448 063,00</w:t>
            </w:r>
          </w:p>
        </w:tc>
        <w:tc>
          <w:tcPr>
            <w:tcW w:w="1559" w:type="dxa"/>
            <w:tcBorders>
              <w:top w:val="nil"/>
              <w:left w:val="nil"/>
              <w:bottom w:val="single" w:sz="4" w:space="0" w:color="auto"/>
              <w:right w:val="single" w:sz="4" w:space="0" w:color="auto"/>
            </w:tcBorders>
            <w:shd w:val="clear" w:color="auto" w:fill="auto"/>
            <w:noWrap/>
            <w:vAlign w:val="bottom"/>
            <w:hideMark/>
          </w:tcPr>
          <w:p w14:paraId="1FFD63A4"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1 052 509,44</w:t>
            </w:r>
          </w:p>
        </w:tc>
        <w:tc>
          <w:tcPr>
            <w:tcW w:w="738" w:type="dxa"/>
            <w:tcBorders>
              <w:top w:val="nil"/>
              <w:left w:val="nil"/>
              <w:bottom w:val="single" w:sz="4" w:space="0" w:color="auto"/>
              <w:right w:val="single" w:sz="8" w:space="0" w:color="auto"/>
            </w:tcBorders>
            <w:shd w:val="clear" w:color="auto" w:fill="auto"/>
            <w:noWrap/>
            <w:vAlign w:val="bottom"/>
            <w:hideMark/>
          </w:tcPr>
          <w:p w14:paraId="56E44D99"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30,5</w:t>
            </w:r>
          </w:p>
        </w:tc>
      </w:tr>
      <w:tr w:rsidR="00CD2482" w:rsidRPr="00CD2482" w14:paraId="6D9996C8" w14:textId="77777777" w:rsidTr="00CD2482">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7E797F8B"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 </w:t>
            </w:r>
          </w:p>
        </w:tc>
        <w:tc>
          <w:tcPr>
            <w:tcW w:w="3960" w:type="dxa"/>
            <w:tcBorders>
              <w:top w:val="nil"/>
              <w:left w:val="nil"/>
              <w:bottom w:val="single" w:sz="4" w:space="0" w:color="auto"/>
              <w:right w:val="single" w:sz="4" w:space="0" w:color="auto"/>
            </w:tcBorders>
            <w:shd w:val="clear" w:color="auto" w:fill="auto"/>
            <w:vAlign w:val="bottom"/>
            <w:hideMark/>
          </w:tcPr>
          <w:p w14:paraId="161EFB26" w14:textId="77777777" w:rsidR="00CD2482" w:rsidRPr="007B0EE2" w:rsidRDefault="00CD2482" w:rsidP="00CD2482">
            <w:pPr>
              <w:spacing w:after="0" w:line="240" w:lineRule="auto"/>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5175 Pohoštění</w:t>
            </w:r>
          </w:p>
        </w:tc>
        <w:tc>
          <w:tcPr>
            <w:tcW w:w="1451" w:type="dxa"/>
            <w:tcBorders>
              <w:top w:val="nil"/>
              <w:left w:val="nil"/>
              <w:bottom w:val="single" w:sz="4" w:space="0" w:color="auto"/>
              <w:right w:val="single" w:sz="4" w:space="0" w:color="auto"/>
            </w:tcBorders>
            <w:shd w:val="clear" w:color="FFFFCC" w:fill="FFFFFF"/>
            <w:noWrap/>
            <w:vAlign w:val="bottom"/>
            <w:hideMark/>
          </w:tcPr>
          <w:p w14:paraId="3D9599D3"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0</w:t>
            </w:r>
          </w:p>
        </w:tc>
        <w:tc>
          <w:tcPr>
            <w:tcW w:w="1560" w:type="dxa"/>
            <w:tcBorders>
              <w:top w:val="nil"/>
              <w:left w:val="nil"/>
              <w:bottom w:val="single" w:sz="4" w:space="0" w:color="auto"/>
              <w:right w:val="single" w:sz="4" w:space="0" w:color="auto"/>
            </w:tcBorders>
            <w:shd w:val="clear" w:color="auto" w:fill="auto"/>
            <w:noWrap/>
            <w:vAlign w:val="bottom"/>
            <w:hideMark/>
          </w:tcPr>
          <w:p w14:paraId="2F3B1642"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20 000,00</w:t>
            </w:r>
          </w:p>
        </w:tc>
        <w:tc>
          <w:tcPr>
            <w:tcW w:w="1559" w:type="dxa"/>
            <w:tcBorders>
              <w:top w:val="nil"/>
              <w:left w:val="nil"/>
              <w:bottom w:val="single" w:sz="4" w:space="0" w:color="auto"/>
              <w:right w:val="single" w:sz="4" w:space="0" w:color="auto"/>
            </w:tcBorders>
            <w:shd w:val="clear" w:color="auto" w:fill="auto"/>
            <w:noWrap/>
            <w:vAlign w:val="bottom"/>
            <w:hideMark/>
          </w:tcPr>
          <w:p w14:paraId="08D1BD51"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1 063,00</w:t>
            </w:r>
          </w:p>
        </w:tc>
        <w:tc>
          <w:tcPr>
            <w:tcW w:w="738" w:type="dxa"/>
            <w:tcBorders>
              <w:top w:val="nil"/>
              <w:left w:val="nil"/>
              <w:bottom w:val="single" w:sz="4" w:space="0" w:color="auto"/>
              <w:right w:val="single" w:sz="8" w:space="0" w:color="auto"/>
            </w:tcBorders>
            <w:shd w:val="clear" w:color="auto" w:fill="auto"/>
            <w:noWrap/>
            <w:vAlign w:val="bottom"/>
            <w:hideMark/>
          </w:tcPr>
          <w:p w14:paraId="71589002"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5,3</w:t>
            </w:r>
          </w:p>
        </w:tc>
      </w:tr>
      <w:tr w:rsidR="00CD2482" w:rsidRPr="00CD2482" w14:paraId="0C6D1E4D" w14:textId="77777777" w:rsidTr="00CD2482">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383A72D0"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 </w:t>
            </w:r>
          </w:p>
        </w:tc>
        <w:tc>
          <w:tcPr>
            <w:tcW w:w="3960" w:type="dxa"/>
            <w:tcBorders>
              <w:top w:val="nil"/>
              <w:left w:val="nil"/>
              <w:bottom w:val="single" w:sz="4" w:space="0" w:color="auto"/>
              <w:right w:val="single" w:sz="4" w:space="0" w:color="auto"/>
            </w:tcBorders>
            <w:shd w:val="clear" w:color="auto" w:fill="auto"/>
            <w:vAlign w:val="bottom"/>
            <w:hideMark/>
          </w:tcPr>
          <w:p w14:paraId="35536EA7" w14:textId="77777777" w:rsidR="00CD2482" w:rsidRPr="007B0EE2" w:rsidRDefault="00CD2482" w:rsidP="00CD2482">
            <w:pPr>
              <w:spacing w:after="0" w:line="240" w:lineRule="auto"/>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5909  Ostatní neinvestiční výdaje j.n.</w:t>
            </w:r>
          </w:p>
        </w:tc>
        <w:tc>
          <w:tcPr>
            <w:tcW w:w="1451" w:type="dxa"/>
            <w:tcBorders>
              <w:top w:val="nil"/>
              <w:left w:val="nil"/>
              <w:bottom w:val="single" w:sz="4" w:space="0" w:color="auto"/>
              <w:right w:val="single" w:sz="4" w:space="0" w:color="auto"/>
            </w:tcBorders>
            <w:shd w:val="clear" w:color="FFFFCC" w:fill="FFFFFF"/>
            <w:noWrap/>
            <w:vAlign w:val="bottom"/>
            <w:hideMark/>
          </w:tcPr>
          <w:p w14:paraId="5CC8D562"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0</w:t>
            </w:r>
          </w:p>
        </w:tc>
        <w:tc>
          <w:tcPr>
            <w:tcW w:w="1560" w:type="dxa"/>
            <w:tcBorders>
              <w:top w:val="nil"/>
              <w:left w:val="nil"/>
              <w:bottom w:val="single" w:sz="4" w:space="0" w:color="auto"/>
              <w:right w:val="single" w:sz="4" w:space="0" w:color="auto"/>
            </w:tcBorders>
            <w:shd w:val="clear" w:color="auto" w:fill="auto"/>
            <w:noWrap/>
            <w:vAlign w:val="bottom"/>
            <w:hideMark/>
          </w:tcPr>
          <w:p w14:paraId="1FAEECD7"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94 127 947,10</w:t>
            </w:r>
          </w:p>
        </w:tc>
        <w:tc>
          <w:tcPr>
            <w:tcW w:w="1559" w:type="dxa"/>
            <w:tcBorders>
              <w:top w:val="nil"/>
              <w:left w:val="nil"/>
              <w:bottom w:val="single" w:sz="4" w:space="0" w:color="auto"/>
              <w:right w:val="single" w:sz="4" w:space="0" w:color="auto"/>
            </w:tcBorders>
            <w:shd w:val="clear" w:color="auto" w:fill="auto"/>
            <w:noWrap/>
            <w:vAlign w:val="bottom"/>
            <w:hideMark/>
          </w:tcPr>
          <w:p w14:paraId="14C0BE96"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84 030 822,00</w:t>
            </w:r>
          </w:p>
        </w:tc>
        <w:tc>
          <w:tcPr>
            <w:tcW w:w="738" w:type="dxa"/>
            <w:tcBorders>
              <w:top w:val="nil"/>
              <w:left w:val="nil"/>
              <w:bottom w:val="single" w:sz="4" w:space="0" w:color="auto"/>
              <w:right w:val="single" w:sz="8" w:space="0" w:color="auto"/>
            </w:tcBorders>
            <w:shd w:val="clear" w:color="auto" w:fill="auto"/>
            <w:noWrap/>
            <w:vAlign w:val="bottom"/>
            <w:hideMark/>
          </w:tcPr>
          <w:p w14:paraId="415C4919" w14:textId="77777777" w:rsidR="00CD2482" w:rsidRPr="007B0EE2" w:rsidRDefault="00CD2482" w:rsidP="00CD2482">
            <w:pPr>
              <w:spacing w:after="0" w:line="240" w:lineRule="auto"/>
              <w:jc w:val="right"/>
              <w:rPr>
                <w:rFonts w:ascii="Calibri" w:eastAsia="Times New Roman" w:hAnsi="Calibri" w:cs="Arial"/>
                <w:i/>
                <w:iCs/>
                <w:sz w:val="20"/>
                <w:szCs w:val="20"/>
                <w:lang w:eastAsia="cs-CZ"/>
              </w:rPr>
            </w:pPr>
            <w:r w:rsidRPr="007B0EE2">
              <w:rPr>
                <w:rFonts w:ascii="Calibri" w:eastAsia="Times New Roman" w:hAnsi="Calibri" w:cs="Arial"/>
                <w:i/>
                <w:iCs/>
                <w:sz w:val="20"/>
                <w:szCs w:val="20"/>
                <w:lang w:eastAsia="cs-CZ"/>
              </w:rPr>
              <w:t>89,3</w:t>
            </w:r>
          </w:p>
        </w:tc>
      </w:tr>
      <w:tr w:rsidR="00CD2482" w:rsidRPr="00CD2482" w14:paraId="446DD661" w14:textId="77777777" w:rsidTr="00CD2482">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513017C2"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 </w:t>
            </w:r>
          </w:p>
        </w:tc>
        <w:tc>
          <w:tcPr>
            <w:tcW w:w="3960" w:type="dxa"/>
            <w:tcBorders>
              <w:top w:val="nil"/>
              <w:left w:val="nil"/>
              <w:bottom w:val="single" w:sz="4" w:space="0" w:color="auto"/>
              <w:right w:val="single" w:sz="4" w:space="0" w:color="auto"/>
            </w:tcBorders>
            <w:shd w:val="clear" w:color="auto" w:fill="auto"/>
            <w:vAlign w:val="bottom"/>
            <w:hideMark/>
          </w:tcPr>
          <w:p w14:paraId="3D0C58A0" w14:textId="77777777" w:rsidR="00CD2482" w:rsidRPr="00CD2482" w:rsidRDefault="00CD2482" w:rsidP="00CD2482">
            <w:pPr>
              <w:spacing w:after="0" w:line="240" w:lineRule="auto"/>
              <w:rPr>
                <w:rFonts w:ascii="Calibri" w:eastAsia="Times New Roman" w:hAnsi="Calibri" w:cs="Arial"/>
                <w:sz w:val="20"/>
                <w:szCs w:val="20"/>
                <w:lang w:eastAsia="cs-CZ"/>
              </w:rPr>
            </w:pPr>
            <w:r w:rsidRPr="00CD2482">
              <w:rPr>
                <w:rFonts w:ascii="Calibri" w:eastAsia="Times New Roman" w:hAnsi="Calibri" w:cs="Arial"/>
                <w:sz w:val="20"/>
                <w:szCs w:val="20"/>
                <w:lang w:eastAsia="cs-CZ"/>
              </w:rPr>
              <w:t>Participativní rozpočet</w:t>
            </w:r>
          </w:p>
        </w:tc>
        <w:tc>
          <w:tcPr>
            <w:tcW w:w="1451" w:type="dxa"/>
            <w:tcBorders>
              <w:top w:val="nil"/>
              <w:left w:val="nil"/>
              <w:bottom w:val="single" w:sz="4" w:space="0" w:color="auto"/>
              <w:right w:val="single" w:sz="4" w:space="0" w:color="auto"/>
            </w:tcBorders>
            <w:shd w:val="clear" w:color="FFFFCC" w:fill="FFFFFF"/>
            <w:noWrap/>
            <w:vAlign w:val="bottom"/>
            <w:hideMark/>
          </w:tcPr>
          <w:p w14:paraId="1DB0C23A"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0</w:t>
            </w:r>
          </w:p>
        </w:tc>
        <w:tc>
          <w:tcPr>
            <w:tcW w:w="1560" w:type="dxa"/>
            <w:tcBorders>
              <w:top w:val="nil"/>
              <w:left w:val="nil"/>
              <w:bottom w:val="single" w:sz="4" w:space="0" w:color="auto"/>
              <w:right w:val="single" w:sz="4" w:space="0" w:color="auto"/>
            </w:tcBorders>
            <w:shd w:val="clear" w:color="auto" w:fill="auto"/>
            <w:noWrap/>
            <w:vAlign w:val="bottom"/>
            <w:hideMark/>
          </w:tcPr>
          <w:p w14:paraId="2117E538"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932 088,57</w:t>
            </w:r>
          </w:p>
        </w:tc>
        <w:tc>
          <w:tcPr>
            <w:tcW w:w="1559" w:type="dxa"/>
            <w:tcBorders>
              <w:top w:val="nil"/>
              <w:left w:val="nil"/>
              <w:bottom w:val="single" w:sz="4" w:space="0" w:color="auto"/>
              <w:right w:val="single" w:sz="4" w:space="0" w:color="auto"/>
            </w:tcBorders>
            <w:shd w:val="clear" w:color="auto" w:fill="auto"/>
            <w:noWrap/>
            <w:vAlign w:val="bottom"/>
            <w:hideMark/>
          </w:tcPr>
          <w:p w14:paraId="2CC14706"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747 088,57</w:t>
            </w:r>
          </w:p>
        </w:tc>
        <w:tc>
          <w:tcPr>
            <w:tcW w:w="738" w:type="dxa"/>
            <w:tcBorders>
              <w:top w:val="nil"/>
              <w:left w:val="nil"/>
              <w:bottom w:val="single" w:sz="4" w:space="0" w:color="auto"/>
              <w:right w:val="single" w:sz="8" w:space="0" w:color="auto"/>
            </w:tcBorders>
            <w:shd w:val="clear" w:color="auto" w:fill="auto"/>
            <w:noWrap/>
            <w:vAlign w:val="bottom"/>
            <w:hideMark/>
          </w:tcPr>
          <w:p w14:paraId="0DCE7511"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80,2</w:t>
            </w:r>
          </w:p>
        </w:tc>
      </w:tr>
      <w:tr w:rsidR="00CD2482" w:rsidRPr="00CD2482" w14:paraId="2E17643D" w14:textId="77777777" w:rsidTr="00CD2482">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44C632D6" w14:textId="77777777" w:rsidR="00CD2482" w:rsidRPr="00CD2482" w:rsidRDefault="00CD2482" w:rsidP="00CD2482">
            <w:pPr>
              <w:spacing w:after="0" w:line="240" w:lineRule="auto"/>
              <w:jc w:val="center"/>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 </w:t>
            </w:r>
          </w:p>
        </w:tc>
        <w:tc>
          <w:tcPr>
            <w:tcW w:w="3960" w:type="dxa"/>
            <w:tcBorders>
              <w:top w:val="nil"/>
              <w:left w:val="nil"/>
              <w:bottom w:val="single" w:sz="4" w:space="0" w:color="auto"/>
              <w:right w:val="single" w:sz="4" w:space="0" w:color="auto"/>
            </w:tcBorders>
            <w:shd w:val="clear" w:color="auto" w:fill="auto"/>
            <w:vAlign w:val="bottom"/>
            <w:hideMark/>
          </w:tcPr>
          <w:p w14:paraId="02990F4B" w14:textId="77777777" w:rsidR="00CD2482" w:rsidRPr="00CD2482" w:rsidRDefault="00CD2482" w:rsidP="00CD2482">
            <w:pPr>
              <w:spacing w:after="0" w:line="240" w:lineRule="auto"/>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z toho:</w:t>
            </w:r>
          </w:p>
        </w:tc>
        <w:tc>
          <w:tcPr>
            <w:tcW w:w="1451" w:type="dxa"/>
            <w:tcBorders>
              <w:top w:val="nil"/>
              <w:left w:val="nil"/>
              <w:bottom w:val="single" w:sz="4" w:space="0" w:color="auto"/>
              <w:right w:val="single" w:sz="4" w:space="0" w:color="auto"/>
            </w:tcBorders>
            <w:shd w:val="clear" w:color="FFFFCC" w:fill="FFFFFF"/>
            <w:noWrap/>
            <w:vAlign w:val="bottom"/>
            <w:hideMark/>
          </w:tcPr>
          <w:p w14:paraId="44EC51AA"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 </w:t>
            </w:r>
          </w:p>
        </w:tc>
        <w:tc>
          <w:tcPr>
            <w:tcW w:w="1560" w:type="dxa"/>
            <w:tcBorders>
              <w:top w:val="nil"/>
              <w:left w:val="nil"/>
              <w:bottom w:val="single" w:sz="4" w:space="0" w:color="auto"/>
              <w:right w:val="single" w:sz="4" w:space="0" w:color="auto"/>
            </w:tcBorders>
            <w:shd w:val="clear" w:color="auto" w:fill="auto"/>
            <w:noWrap/>
            <w:vAlign w:val="bottom"/>
            <w:hideMark/>
          </w:tcPr>
          <w:p w14:paraId="3905C10D"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 </w:t>
            </w:r>
          </w:p>
        </w:tc>
        <w:tc>
          <w:tcPr>
            <w:tcW w:w="1559" w:type="dxa"/>
            <w:tcBorders>
              <w:top w:val="nil"/>
              <w:left w:val="nil"/>
              <w:bottom w:val="single" w:sz="4" w:space="0" w:color="auto"/>
              <w:right w:val="single" w:sz="4" w:space="0" w:color="auto"/>
            </w:tcBorders>
            <w:shd w:val="clear" w:color="auto" w:fill="auto"/>
            <w:noWrap/>
            <w:vAlign w:val="bottom"/>
            <w:hideMark/>
          </w:tcPr>
          <w:p w14:paraId="2CCBD57B"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 </w:t>
            </w:r>
          </w:p>
        </w:tc>
        <w:tc>
          <w:tcPr>
            <w:tcW w:w="738" w:type="dxa"/>
            <w:tcBorders>
              <w:top w:val="nil"/>
              <w:left w:val="nil"/>
              <w:bottom w:val="single" w:sz="4" w:space="0" w:color="auto"/>
              <w:right w:val="single" w:sz="8" w:space="0" w:color="auto"/>
            </w:tcBorders>
            <w:shd w:val="clear" w:color="auto" w:fill="auto"/>
            <w:noWrap/>
            <w:vAlign w:val="bottom"/>
            <w:hideMark/>
          </w:tcPr>
          <w:p w14:paraId="22C9ADA5" w14:textId="77777777" w:rsidR="00CD2482" w:rsidRPr="00CD2482" w:rsidRDefault="00CD2482" w:rsidP="00CD2482">
            <w:pPr>
              <w:spacing w:after="0" w:line="240" w:lineRule="auto"/>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 </w:t>
            </w:r>
          </w:p>
        </w:tc>
      </w:tr>
      <w:tr w:rsidR="00CD2482" w:rsidRPr="00CD2482" w14:paraId="5B72D094" w14:textId="77777777" w:rsidTr="00CD2482">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526D5512" w14:textId="77777777" w:rsidR="00CD2482" w:rsidRPr="00CD2482" w:rsidRDefault="00CD2482" w:rsidP="00CD2482">
            <w:pPr>
              <w:spacing w:after="0" w:line="240" w:lineRule="auto"/>
              <w:jc w:val="center"/>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2143</w:t>
            </w:r>
          </w:p>
        </w:tc>
        <w:tc>
          <w:tcPr>
            <w:tcW w:w="3960" w:type="dxa"/>
            <w:tcBorders>
              <w:top w:val="nil"/>
              <w:left w:val="nil"/>
              <w:bottom w:val="single" w:sz="4" w:space="0" w:color="auto"/>
              <w:right w:val="single" w:sz="4" w:space="0" w:color="auto"/>
            </w:tcBorders>
            <w:shd w:val="clear" w:color="auto" w:fill="auto"/>
            <w:vAlign w:val="bottom"/>
            <w:hideMark/>
          </w:tcPr>
          <w:p w14:paraId="4765765F" w14:textId="77777777" w:rsidR="00CD2482" w:rsidRPr="00CD2482" w:rsidRDefault="00CD2482" w:rsidP="00CD2482">
            <w:pPr>
              <w:spacing w:after="0" w:line="240" w:lineRule="auto"/>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Cestovní ruch</w:t>
            </w:r>
          </w:p>
        </w:tc>
        <w:tc>
          <w:tcPr>
            <w:tcW w:w="1451" w:type="dxa"/>
            <w:tcBorders>
              <w:top w:val="nil"/>
              <w:left w:val="nil"/>
              <w:bottom w:val="single" w:sz="4" w:space="0" w:color="auto"/>
              <w:right w:val="single" w:sz="4" w:space="0" w:color="auto"/>
            </w:tcBorders>
            <w:shd w:val="clear" w:color="FFFFCC" w:fill="FFFFFF"/>
            <w:noWrap/>
            <w:vAlign w:val="bottom"/>
            <w:hideMark/>
          </w:tcPr>
          <w:p w14:paraId="1A7AE465"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0</w:t>
            </w:r>
          </w:p>
        </w:tc>
        <w:tc>
          <w:tcPr>
            <w:tcW w:w="1560" w:type="dxa"/>
            <w:tcBorders>
              <w:top w:val="nil"/>
              <w:left w:val="nil"/>
              <w:bottom w:val="single" w:sz="4" w:space="0" w:color="auto"/>
              <w:right w:val="single" w:sz="4" w:space="0" w:color="auto"/>
            </w:tcBorders>
            <w:shd w:val="clear" w:color="auto" w:fill="auto"/>
            <w:noWrap/>
            <w:vAlign w:val="bottom"/>
            <w:hideMark/>
          </w:tcPr>
          <w:p w14:paraId="7798ADE9"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8 093,00</w:t>
            </w:r>
          </w:p>
        </w:tc>
        <w:tc>
          <w:tcPr>
            <w:tcW w:w="1559" w:type="dxa"/>
            <w:tcBorders>
              <w:top w:val="nil"/>
              <w:left w:val="nil"/>
              <w:bottom w:val="single" w:sz="4" w:space="0" w:color="auto"/>
              <w:right w:val="single" w:sz="4" w:space="0" w:color="auto"/>
            </w:tcBorders>
            <w:shd w:val="clear" w:color="auto" w:fill="auto"/>
            <w:noWrap/>
            <w:vAlign w:val="bottom"/>
            <w:hideMark/>
          </w:tcPr>
          <w:p w14:paraId="3754BED4"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8 093,00</w:t>
            </w:r>
          </w:p>
        </w:tc>
        <w:tc>
          <w:tcPr>
            <w:tcW w:w="738" w:type="dxa"/>
            <w:tcBorders>
              <w:top w:val="nil"/>
              <w:left w:val="nil"/>
              <w:bottom w:val="single" w:sz="4" w:space="0" w:color="auto"/>
              <w:right w:val="single" w:sz="8" w:space="0" w:color="auto"/>
            </w:tcBorders>
            <w:shd w:val="clear" w:color="auto" w:fill="auto"/>
            <w:noWrap/>
            <w:vAlign w:val="bottom"/>
            <w:hideMark/>
          </w:tcPr>
          <w:p w14:paraId="4929962B" w14:textId="77777777" w:rsidR="00CD2482" w:rsidRPr="00CD2482" w:rsidRDefault="00CD2482" w:rsidP="00CD2482">
            <w:pPr>
              <w:spacing w:after="0" w:line="240" w:lineRule="auto"/>
              <w:jc w:val="right"/>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100,0</w:t>
            </w:r>
          </w:p>
        </w:tc>
      </w:tr>
      <w:tr w:rsidR="00CD2482" w:rsidRPr="00CD2482" w14:paraId="45A399FC" w14:textId="77777777" w:rsidTr="00CD2482">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5EB89940" w14:textId="77777777" w:rsidR="00CD2482" w:rsidRPr="00CD2482" w:rsidRDefault="00CD2482" w:rsidP="00CD2482">
            <w:pPr>
              <w:spacing w:after="0" w:line="240" w:lineRule="auto"/>
              <w:jc w:val="center"/>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3314</w:t>
            </w:r>
          </w:p>
        </w:tc>
        <w:tc>
          <w:tcPr>
            <w:tcW w:w="3960" w:type="dxa"/>
            <w:tcBorders>
              <w:top w:val="nil"/>
              <w:left w:val="nil"/>
              <w:bottom w:val="single" w:sz="4" w:space="0" w:color="auto"/>
              <w:right w:val="single" w:sz="4" w:space="0" w:color="auto"/>
            </w:tcBorders>
            <w:shd w:val="clear" w:color="auto" w:fill="auto"/>
            <w:vAlign w:val="bottom"/>
            <w:hideMark/>
          </w:tcPr>
          <w:p w14:paraId="6ADC2422" w14:textId="77777777" w:rsidR="00CD2482" w:rsidRPr="00CD2482" w:rsidRDefault="00CD2482" w:rsidP="00CD2482">
            <w:pPr>
              <w:spacing w:after="0" w:line="240" w:lineRule="auto"/>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Činnosti knihovnické</w:t>
            </w:r>
          </w:p>
        </w:tc>
        <w:tc>
          <w:tcPr>
            <w:tcW w:w="1451" w:type="dxa"/>
            <w:tcBorders>
              <w:top w:val="nil"/>
              <w:left w:val="nil"/>
              <w:bottom w:val="single" w:sz="4" w:space="0" w:color="auto"/>
              <w:right w:val="single" w:sz="4" w:space="0" w:color="auto"/>
            </w:tcBorders>
            <w:shd w:val="clear" w:color="FFFFCC" w:fill="FFFFFF"/>
            <w:noWrap/>
            <w:vAlign w:val="bottom"/>
            <w:hideMark/>
          </w:tcPr>
          <w:p w14:paraId="1A631E2C"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0</w:t>
            </w:r>
          </w:p>
        </w:tc>
        <w:tc>
          <w:tcPr>
            <w:tcW w:w="1560" w:type="dxa"/>
            <w:tcBorders>
              <w:top w:val="nil"/>
              <w:left w:val="nil"/>
              <w:bottom w:val="single" w:sz="4" w:space="0" w:color="auto"/>
              <w:right w:val="single" w:sz="4" w:space="0" w:color="auto"/>
            </w:tcBorders>
            <w:shd w:val="clear" w:color="auto" w:fill="auto"/>
            <w:noWrap/>
            <w:vAlign w:val="bottom"/>
            <w:hideMark/>
          </w:tcPr>
          <w:p w14:paraId="67892E29"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104 000,00</w:t>
            </w:r>
          </w:p>
        </w:tc>
        <w:tc>
          <w:tcPr>
            <w:tcW w:w="1559" w:type="dxa"/>
            <w:tcBorders>
              <w:top w:val="nil"/>
              <w:left w:val="nil"/>
              <w:bottom w:val="single" w:sz="4" w:space="0" w:color="auto"/>
              <w:right w:val="single" w:sz="4" w:space="0" w:color="auto"/>
            </w:tcBorders>
            <w:shd w:val="clear" w:color="auto" w:fill="auto"/>
            <w:noWrap/>
            <w:vAlign w:val="bottom"/>
            <w:hideMark/>
          </w:tcPr>
          <w:p w14:paraId="14BCD33B"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0,00</w:t>
            </w:r>
          </w:p>
        </w:tc>
        <w:tc>
          <w:tcPr>
            <w:tcW w:w="738" w:type="dxa"/>
            <w:tcBorders>
              <w:top w:val="nil"/>
              <w:left w:val="nil"/>
              <w:bottom w:val="single" w:sz="4" w:space="0" w:color="auto"/>
              <w:right w:val="single" w:sz="8" w:space="0" w:color="auto"/>
            </w:tcBorders>
            <w:shd w:val="clear" w:color="auto" w:fill="auto"/>
            <w:noWrap/>
            <w:vAlign w:val="bottom"/>
            <w:hideMark/>
          </w:tcPr>
          <w:p w14:paraId="2B004D56" w14:textId="77777777" w:rsidR="00CD2482" w:rsidRPr="00CD2482" w:rsidRDefault="00CD2482" w:rsidP="00CD2482">
            <w:pPr>
              <w:spacing w:after="0" w:line="240" w:lineRule="auto"/>
              <w:jc w:val="right"/>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0,0</w:t>
            </w:r>
          </w:p>
        </w:tc>
      </w:tr>
      <w:tr w:rsidR="00CD2482" w:rsidRPr="00CD2482" w14:paraId="091849F8" w14:textId="77777777" w:rsidTr="00CD2482">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305725CD" w14:textId="77777777" w:rsidR="00CD2482" w:rsidRPr="00CD2482" w:rsidRDefault="00CD2482" w:rsidP="00CD2482">
            <w:pPr>
              <w:spacing w:after="0" w:line="240" w:lineRule="auto"/>
              <w:jc w:val="center"/>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3315</w:t>
            </w:r>
          </w:p>
        </w:tc>
        <w:tc>
          <w:tcPr>
            <w:tcW w:w="3960" w:type="dxa"/>
            <w:tcBorders>
              <w:top w:val="nil"/>
              <w:left w:val="nil"/>
              <w:bottom w:val="single" w:sz="4" w:space="0" w:color="auto"/>
              <w:right w:val="single" w:sz="4" w:space="0" w:color="auto"/>
            </w:tcBorders>
            <w:shd w:val="clear" w:color="auto" w:fill="auto"/>
            <w:vAlign w:val="bottom"/>
            <w:hideMark/>
          </w:tcPr>
          <w:p w14:paraId="1A51E75E" w14:textId="77777777" w:rsidR="00CD2482" w:rsidRPr="00CD2482" w:rsidRDefault="00CD2482" w:rsidP="00CD2482">
            <w:pPr>
              <w:spacing w:after="0" w:line="240" w:lineRule="auto"/>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Činnosti muzeí a galerií</w:t>
            </w:r>
          </w:p>
        </w:tc>
        <w:tc>
          <w:tcPr>
            <w:tcW w:w="1451" w:type="dxa"/>
            <w:tcBorders>
              <w:top w:val="nil"/>
              <w:left w:val="nil"/>
              <w:bottom w:val="single" w:sz="4" w:space="0" w:color="auto"/>
              <w:right w:val="single" w:sz="4" w:space="0" w:color="auto"/>
            </w:tcBorders>
            <w:shd w:val="clear" w:color="FFFFCC" w:fill="FFFFFF"/>
            <w:noWrap/>
            <w:vAlign w:val="bottom"/>
            <w:hideMark/>
          </w:tcPr>
          <w:p w14:paraId="5325B5F9"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0</w:t>
            </w:r>
          </w:p>
        </w:tc>
        <w:tc>
          <w:tcPr>
            <w:tcW w:w="1560" w:type="dxa"/>
            <w:tcBorders>
              <w:top w:val="nil"/>
              <w:left w:val="nil"/>
              <w:bottom w:val="single" w:sz="4" w:space="0" w:color="auto"/>
              <w:right w:val="single" w:sz="4" w:space="0" w:color="auto"/>
            </w:tcBorders>
            <w:shd w:val="clear" w:color="auto" w:fill="auto"/>
            <w:noWrap/>
            <w:vAlign w:val="bottom"/>
            <w:hideMark/>
          </w:tcPr>
          <w:p w14:paraId="68C2ED78"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81 000,00</w:t>
            </w:r>
          </w:p>
        </w:tc>
        <w:tc>
          <w:tcPr>
            <w:tcW w:w="1559" w:type="dxa"/>
            <w:tcBorders>
              <w:top w:val="nil"/>
              <w:left w:val="nil"/>
              <w:bottom w:val="single" w:sz="4" w:space="0" w:color="auto"/>
              <w:right w:val="single" w:sz="4" w:space="0" w:color="auto"/>
            </w:tcBorders>
            <w:shd w:val="clear" w:color="auto" w:fill="auto"/>
            <w:noWrap/>
            <w:vAlign w:val="bottom"/>
            <w:hideMark/>
          </w:tcPr>
          <w:p w14:paraId="191CF089"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0,00</w:t>
            </w:r>
          </w:p>
        </w:tc>
        <w:tc>
          <w:tcPr>
            <w:tcW w:w="738" w:type="dxa"/>
            <w:tcBorders>
              <w:top w:val="nil"/>
              <w:left w:val="nil"/>
              <w:bottom w:val="single" w:sz="4" w:space="0" w:color="auto"/>
              <w:right w:val="single" w:sz="8" w:space="0" w:color="auto"/>
            </w:tcBorders>
            <w:shd w:val="clear" w:color="auto" w:fill="auto"/>
            <w:noWrap/>
            <w:vAlign w:val="bottom"/>
            <w:hideMark/>
          </w:tcPr>
          <w:p w14:paraId="06446661" w14:textId="77777777" w:rsidR="00CD2482" w:rsidRPr="00CD2482" w:rsidRDefault="00CD2482" w:rsidP="00CD2482">
            <w:pPr>
              <w:spacing w:after="0" w:line="240" w:lineRule="auto"/>
              <w:jc w:val="right"/>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0,0</w:t>
            </w:r>
          </w:p>
        </w:tc>
      </w:tr>
      <w:tr w:rsidR="00CD2482" w:rsidRPr="00CD2482" w14:paraId="5A7E6655" w14:textId="77777777" w:rsidTr="00CD2482">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03DA6173" w14:textId="77777777" w:rsidR="00CD2482" w:rsidRPr="00CD2482" w:rsidRDefault="00CD2482" w:rsidP="00CD2482">
            <w:pPr>
              <w:spacing w:after="0" w:line="240" w:lineRule="auto"/>
              <w:jc w:val="center"/>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3319</w:t>
            </w:r>
          </w:p>
        </w:tc>
        <w:tc>
          <w:tcPr>
            <w:tcW w:w="3960" w:type="dxa"/>
            <w:tcBorders>
              <w:top w:val="nil"/>
              <w:left w:val="nil"/>
              <w:bottom w:val="single" w:sz="4" w:space="0" w:color="auto"/>
              <w:right w:val="single" w:sz="4" w:space="0" w:color="auto"/>
            </w:tcBorders>
            <w:shd w:val="clear" w:color="auto" w:fill="auto"/>
            <w:vAlign w:val="bottom"/>
            <w:hideMark/>
          </w:tcPr>
          <w:p w14:paraId="6BD92EA6" w14:textId="77777777" w:rsidR="00CD2482" w:rsidRPr="00CD2482" w:rsidRDefault="00CD2482" w:rsidP="00CD2482">
            <w:pPr>
              <w:spacing w:after="0" w:line="240" w:lineRule="auto"/>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Ostatní záležitosti kultury</w:t>
            </w:r>
          </w:p>
        </w:tc>
        <w:tc>
          <w:tcPr>
            <w:tcW w:w="1451" w:type="dxa"/>
            <w:tcBorders>
              <w:top w:val="nil"/>
              <w:left w:val="nil"/>
              <w:bottom w:val="single" w:sz="4" w:space="0" w:color="auto"/>
              <w:right w:val="single" w:sz="4" w:space="0" w:color="auto"/>
            </w:tcBorders>
            <w:shd w:val="clear" w:color="FFFFCC" w:fill="FFFFFF"/>
            <w:noWrap/>
            <w:vAlign w:val="bottom"/>
            <w:hideMark/>
          </w:tcPr>
          <w:p w14:paraId="05DF8727"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0</w:t>
            </w:r>
          </w:p>
        </w:tc>
        <w:tc>
          <w:tcPr>
            <w:tcW w:w="1560" w:type="dxa"/>
            <w:tcBorders>
              <w:top w:val="nil"/>
              <w:left w:val="nil"/>
              <w:bottom w:val="single" w:sz="4" w:space="0" w:color="auto"/>
              <w:right w:val="single" w:sz="4" w:space="0" w:color="auto"/>
            </w:tcBorders>
            <w:shd w:val="clear" w:color="auto" w:fill="auto"/>
            <w:noWrap/>
            <w:vAlign w:val="bottom"/>
            <w:hideMark/>
          </w:tcPr>
          <w:p w14:paraId="6B50858F"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106 588,00</w:t>
            </w:r>
          </w:p>
        </w:tc>
        <w:tc>
          <w:tcPr>
            <w:tcW w:w="1559" w:type="dxa"/>
            <w:tcBorders>
              <w:top w:val="nil"/>
              <w:left w:val="nil"/>
              <w:bottom w:val="single" w:sz="4" w:space="0" w:color="auto"/>
              <w:right w:val="single" w:sz="4" w:space="0" w:color="auto"/>
            </w:tcBorders>
            <w:shd w:val="clear" w:color="auto" w:fill="auto"/>
            <w:noWrap/>
            <w:vAlign w:val="bottom"/>
            <w:hideMark/>
          </w:tcPr>
          <w:p w14:paraId="0B20A71A"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106 588,00</w:t>
            </w:r>
          </w:p>
        </w:tc>
        <w:tc>
          <w:tcPr>
            <w:tcW w:w="738" w:type="dxa"/>
            <w:tcBorders>
              <w:top w:val="nil"/>
              <w:left w:val="nil"/>
              <w:bottom w:val="single" w:sz="4" w:space="0" w:color="auto"/>
              <w:right w:val="single" w:sz="8" w:space="0" w:color="auto"/>
            </w:tcBorders>
            <w:shd w:val="clear" w:color="auto" w:fill="auto"/>
            <w:noWrap/>
            <w:vAlign w:val="bottom"/>
            <w:hideMark/>
          </w:tcPr>
          <w:p w14:paraId="7EB75680" w14:textId="77777777" w:rsidR="00CD2482" w:rsidRPr="00CD2482" w:rsidRDefault="00CD2482" w:rsidP="00CD2482">
            <w:pPr>
              <w:spacing w:after="0" w:line="240" w:lineRule="auto"/>
              <w:jc w:val="right"/>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100,0</w:t>
            </w:r>
          </w:p>
        </w:tc>
      </w:tr>
      <w:tr w:rsidR="00CD2482" w:rsidRPr="00CD2482" w14:paraId="01CFD106" w14:textId="77777777" w:rsidTr="00CD2482">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3E28B235" w14:textId="77777777" w:rsidR="00CD2482" w:rsidRPr="00CD2482" w:rsidRDefault="00CD2482" w:rsidP="00CD2482">
            <w:pPr>
              <w:spacing w:after="0" w:line="240" w:lineRule="auto"/>
              <w:jc w:val="center"/>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3421</w:t>
            </w:r>
          </w:p>
        </w:tc>
        <w:tc>
          <w:tcPr>
            <w:tcW w:w="3960" w:type="dxa"/>
            <w:tcBorders>
              <w:top w:val="nil"/>
              <w:left w:val="nil"/>
              <w:bottom w:val="single" w:sz="4" w:space="0" w:color="auto"/>
              <w:right w:val="single" w:sz="4" w:space="0" w:color="auto"/>
            </w:tcBorders>
            <w:shd w:val="clear" w:color="auto" w:fill="auto"/>
            <w:vAlign w:val="bottom"/>
            <w:hideMark/>
          </w:tcPr>
          <w:p w14:paraId="3A49613D" w14:textId="77777777" w:rsidR="00CD2482" w:rsidRPr="00CD2482" w:rsidRDefault="00CD2482" w:rsidP="00CD2482">
            <w:pPr>
              <w:spacing w:after="0" w:line="240" w:lineRule="auto"/>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Využití volného času dětí a mládeže</w:t>
            </w:r>
          </w:p>
        </w:tc>
        <w:tc>
          <w:tcPr>
            <w:tcW w:w="1451" w:type="dxa"/>
            <w:tcBorders>
              <w:top w:val="nil"/>
              <w:left w:val="nil"/>
              <w:bottom w:val="single" w:sz="4" w:space="0" w:color="auto"/>
              <w:right w:val="single" w:sz="4" w:space="0" w:color="auto"/>
            </w:tcBorders>
            <w:shd w:val="clear" w:color="FFFFCC" w:fill="FFFFFF"/>
            <w:noWrap/>
            <w:vAlign w:val="bottom"/>
            <w:hideMark/>
          </w:tcPr>
          <w:p w14:paraId="2C242DAA"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0</w:t>
            </w:r>
          </w:p>
        </w:tc>
        <w:tc>
          <w:tcPr>
            <w:tcW w:w="1560" w:type="dxa"/>
            <w:tcBorders>
              <w:top w:val="nil"/>
              <w:left w:val="nil"/>
              <w:bottom w:val="single" w:sz="4" w:space="0" w:color="auto"/>
              <w:right w:val="single" w:sz="4" w:space="0" w:color="auto"/>
            </w:tcBorders>
            <w:shd w:val="clear" w:color="auto" w:fill="auto"/>
            <w:noWrap/>
            <w:vAlign w:val="bottom"/>
            <w:hideMark/>
          </w:tcPr>
          <w:p w14:paraId="02F897B2"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210 443,60</w:t>
            </w:r>
          </w:p>
        </w:tc>
        <w:tc>
          <w:tcPr>
            <w:tcW w:w="1559" w:type="dxa"/>
            <w:tcBorders>
              <w:top w:val="nil"/>
              <w:left w:val="nil"/>
              <w:bottom w:val="single" w:sz="4" w:space="0" w:color="auto"/>
              <w:right w:val="single" w:sz="4" w:space="0" w:color="auto"/>
            </w:tcBorders>
            <w:shd w:val="clear" w:color="auto" w:fill="auto"/>
            <w:noWrap/>
            <w:vAlign w:val="bottom"/>
            <w:hideMark/>
          </w:tcPr>
          <w:p w14:paraId="15E03F57"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210 443,60</w:t>
            </w:r>
          </w:p>
        </w:tc>
        <w:tc>
          <w:tcPr>
            <w:tcW w:w="738" w:type="dxa"/>
            <w:tcBorders>
              <w:top w:val="nil"/>
              <w:left w:val="nil"/>
              <w:bottom w:val="single" w:sz="4" w:space="0" w:color="auto"/>
              <w:right w:val="single" w:sz="8" w:space="0" w:color="auto"/>
            </w:tcBorders>
            <w:shd w:val="clear" w:color="auto" w:fill="auto"/>
            <w:noWrap/>
            <w:vAlign w:val="bottom"/>
            <w:hideMark/>
          </w:tcPr>
          <w:p w14:paraId="56EA9E82" w14:textId="77777777" w:rsidR="00CD2482" w:rsidRPr="00CD2482" w:rsidRDefault="00CD2482" w:rsidP="00CD2482">
            <w:pPr>
              <w:spacing w:after="0" w:line="240" w:lineRule="auto"/>
              <w:jc w:val="right"/>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100,0</w:t>
            </w:r>
          </w:p>
        </w:tc>
      </w:tr>
      <w:tr w:rsidR="00CD2482" w:rsidRPr="00CD2482" w14:paraId="3807F58D" w14:textId="77777777" w:rsidTr="00CD2482">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1C9286F5" w14:textId="77777777" w:rsidR="00CD2482" w:rsidRPr="00CD2482" w:rsidRDefault="00CD2482" w:rsidP="00CD2482">
            <w:pPr>
              <w:spacing w:after="0" w:line="240" w:lineRule="auto"/>
              <w:jc w:val="center"/>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3429</w:t>
            </w:r>
          </w:p>
        </w:tc>
        <w:tc>
          <w:tcPr>
            <w:tcW w:w="3960" w:type="dxa"/>
            <w:tcBorders>
              <w:top w:val="nil"/>
              <w:left w:val="nil"/>
              <w:bottom w:val="single" w:sz="4" w:space="0" w:color="auto"/>
              <w:right w:val="single" w:sz="4" w:space="0" w:color="auto"/>
            </w:tcBorders>
            <w:shd w:val="clear" w:color="auto" w:fill="auto"/>
            <w:vAlign w:val="bottom"/>
            <w:hideMark/>
          </w:tcPr>
          <w:p w14:paraId="3C502C30" w14:textId="77777777" w:rsidR="00CD2482" w:rsidRPr="00CD2482" w:rsidRDefault="00CD2482" w:rsidP="00CD2482">
            <w:pPr>
              <w:spacing w:after="0" w:line="240" w:lineRule="auto"/>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Ostatní zájmová činnost a rekreace</w:t>
            </w:r>
          </w:p>
        </w:tc>
        <w:tc>
          <w:tcPr>
            <w:tcW w:w="1451" w:type="dxa"/>
            <w:tcBorders>
              <w:top w:val="nil"/>
              <w:left w:val="nil"/>
              <w:bottom w:val="single" w:sz="4" w:space="0" w:color="auto"/>
              <w:right w:val="single" w:sz="4" w:space="0" w:color="auto"/>
            </w:tcBorders>
            <w:shd w:val="clear" w:color="FFFFCC" w:fill="FFFFFF"/>
            <w:noWrap/>
            <w:vAlign w:val="bottom"/>
            <w:hideMark/>
          </w:tcPr>
          <w:p w14:paraId="6ABC0D58"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0</w:t>
            </w:r>
          </w:p>
        </w:tc>
        <w:tc>
          <w:tcPr>
            <w:tcW w:w="1560" w:type="dxa"/>
            <w:tcBorders>
              <w:top w:val="nil"/>
              <w:left w:val="nil"/>
              <w:bottom w:val="single" w:sz="4" w:space="0" w:color="auto"/>
              <w:right w:val="single" w:sz="4" w:space="0" w:color="auto"/>
            </w:tcBorders>
            <w:shd w:val="clear" w:color="auto" w:fill="auto"/>
            <w:noWrap/>
            <w:vAlign w:val="bottom"/>
            <w:hideMark/>
          </w:tcPr>
          <w:p w14:paraId="4B58D5FD"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133 783,97</w:t>
            </w:r>
          </w:p>
        </w:tc>
        <w:tc>
          <w:tcPr>
            <w:tcW w:w="1559" w:type="dxa"/>
            <w:tcBorders>
              <w:top w:val="nil"/>
              <w:left w:val="nil"/>
              <w:bottom w:val="single" w:sz="4" w:space="0" w:color="auto"/>
              <w:right w:val="single" w:sz="4" w:space="0" w:color="auto"/>
            </w:tcBorders>
            <w:shd w:val="clear" w:color="auto" w:fill="auto"/>
            <w:noWrap/>
            <w:vAlign w:val="bottom"/>
            <w:hideMark/>
          </w:tcPr>
          <w:p w14:paraId="2A162FC4"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133 783,97</w:t>
            </w:r>
          </w:p>
        </w:tc>
        <w:tc>
          <w:tcPr>
            <w:tcW w:w="738" w:type="dxa"/>
            <w:tcBorders>
              <w:top w:val="nil"/>
              <w:left w:val="nil"/>
              <w:bottom w:val="single" w:sz="4" w:space="0" w:color="auto"/>
              <w:right w:val="single" w:sz="8" w:space="0" w:color="auto"/>
            </w:tcBorders>
            <w:shd w:val="clear" w:color="auto" w:fill="auto"/>
            <w:noWrap/>
            <w:vAlign w:val="bottom"/>
            <w:hideMark/>
          </w:tcPr>
          <w:p w14:paraId="3033386A" w14:textId="77777777" w:rsidR="00CD2482" w:rsidRPr="00CD2482" w:rsidRDefault="00CD2482" w:rsidP="00CD2482">
            <w:pPr>
              <w:spacing w:after="0" w:line="240" w:lineRule="auto"/>
              <w:jc w:val="right"/>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100,0</w:t>
            </w:r>
          </w:p>
        </w:tc>
      </w:tr>
      <w:tr w:rsidR="00CD2482" w:rsidRPr="00CD2482" w14:paraId="5C36B04F" w14:textId="77777777" w:rsidTr="00CD2482">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24640129" w14:textId="77777777" w:rsidR="00CD2482" w:rsidRPr="00CD2482" w:rsidRDefault="00CD2482" w:rsidP="00CD2482">
            <w:pPr>
              <w:spacing w:after="0" w:line="240" w:lineRule="auto"/>
              <w:jc w:val="center"/>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3745</w:t>
            </w:r>
          </w:p>
        </w:tc>
        <w:tc>
          <w:tcPr>
            <w:tcW w:w="3960" w:type="dxa"/>
            <w:tcBorders>
              <w:top w:val="nil"/>
              <w:left w:val="nil"/>
              <w:bottom w:val="single" w:sz="4" w:space="0" w:color="auto"/>
              <w:right w:val="single" w:sz="4" w:space="0" w:color="auto"/>
            </w:tcBorders>
            <w:shd w:val="clear" w:color="auto" w:fill="auto"/>
            <w:vAlign w:val="bottom"/>
            <w:hideMark/>
          </w:tcPr>
          <w:p w14:paraId="2B8D3AB1" w14:textId="77777777" w:rsidR="00CD2482" w:rsidRPr="00CD2482" w:rsidRDefault="00CD2482" w:rsidP="00CD2482">
            <w:pPr>
              <w:spacing w:after="0" w:line="240" w:lineRule="auto"/>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Péče o vzhled obcí a veřejnou zeleň</w:t>
            </w:r>
          </w:p>
        </w:tc>
        <w:tc>
          <w:tcPr>
            <w:tcW w:w="1451" w:type="dxa"/>
            <w:tcBorders>
              <w:top w:val="nil"/>
              <w:left w:val="nil"/>
              <w:bottom w:val="single" w:sz="4" w:space="0" w:color="auto"/>
              <w:right w:val="single" w:sz="4" w:space="0" w:color="auto"/>
            </w:tcBorders>
            <w:shd w:val="clear" w:color="FFFFCC" w:fill="FFFFFF"/>
            <w:noWrap/>
            <w:vAlign w:val="bottom"/>
            <w:hideMark/>
          </w:tcPr>
          <w:p w14:paraId="64116600"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0</w:t>
            </w:r>
          </w:p>
        </w:tc>
        <w:tc>
          <w:tcPr>
            <w:tcW w:w="1560" w:type="dxa"/>
            <w:tcBorders>
              <w:top w:val="nil"/>
              <w:left w:val="nil"/>
              <w:bottom w:val="single" w:sz="4" w:space="0" w:color="auto"/>
              <w:right w:val="single" w:sz="4" w:space="0" w:color="auto"/>
            </w:tcBorders>
            <w:shd w:val="clear" w:color="auto" w:fill="auto"/>
            <w:noWrap/>
            <w:vAlign w:val="bottom"/>
            <w:hideMark/>
          </w:tcPr>
          <w:p w14:paraId="0A82F5B4"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148 000,00</w:t>
            </w:r>
          </w:p>
        </w:tc>
        <w:tc>
          <w:tcPr>
            <w:tcW w:w="1559" w:type="dxa"/>
            <w:tcBorders>
              <w:top w:val="nil"/>
              <w:left w:val="nil"/>
              <w:bottom w:val="single" w:sz="4" w:space="0" w:color="auto"/>
              <w:right w:val="single" w:sz="4" w:space="0" w:color="auto"/>
            </w:tcBorders>
            <w:shd w:val="clear" w:color="auto" w:fill="auto"/>
            <w:noWrap/>
            <w:vAlign w:val="bottom"/>
            <w:hideMark/>
          </w:tcPr>
          <w:p w14:paraId="5D18BCDA"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148 000,00</w:t>
            </w:r>
          </w:p>
        </w:tc>
        <w:tc>
          <w:tcPr>
            <w:tcW w:w="738" w:type="dxa"/>
            <w:tcBorders>
              <w:top w:val="nil"/>
              <w:left w:val="nil"/>
              <w:bottom w:val="single" w:sz="4" w:space="0" w:color="auto"/>
              <w:right w:val="single" w:sz="8" w:space="0" w:color="auto"/>
            </w:tcBorders>
            <w:shd w:val="clear" w:color="auto" w:fill="auto"/>
            <w:noWrap/>
            <w:vAlign w:val="bottom"/>
            <w:hideMark/>
          </w:tcPr>
          <w:p w14:paraId="1911D575" w14:textId="77777777" w:rsidR="00CD2482" w:rsidRPr="00CD2482" w:rsidRDefault="00CD2482" w:rsidP="00CD2482">
            <w:pPr>
              <w:spacing w:after="0" w:line="240" w:lineRule="auto"/>
              <w:jc w:val="right"/>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100,0</w:t>
            </w:r>
          </w:p>
        </w:tc>
      </w:tr>
      <w:tr w:rsidR="00CD2482" w:rsidRPr="00CD2482" w14:paraId="1B28C929" w14:textId="77777777" w:rsidTr="00CD2482">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3916B97D" w14:textId="77777777" w:rsidR="00CD2482" w:rsidRPr="00CD2482" w:rsidRDefault="00CD2482" w:rsidP="00CD2482">
            <w:pPr>
              <w:spacing w:after="0" w:line="240" w:lineRule="auto"/>
              <w:jc w:val="center"/>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4350</w:t>
            </w:r>
          </w:p>
        </w:tc>
        <w:tc>
          <w:tcPr>
            <w:tcW w:w="3960" w:type="dxa"/>
            <w:tcBorders>
              <w:top w:val="nil"/>
              <w:left w:val="nil"/>
              <w:bottom w:val="single" w:sz="4" w:space="0" w:color="auto"/>
              <w:right w:val="single" w:sz="4" w:space="0" w:color="auto"/>
            </w:tcBorders>
            <w:shd w:val="clear" w:color="auto" w:fill="auto"/>
            <w:vAlign w:val="bottom"/>
            <w:hideMark/>
          </w:tcPr>
          <w:p w14:paraId="37D6D4BD" w14:textId="77777777" w:rsidR="00CD2482" w:rsidRPr="00CD2482" w:rsidRDefault="00CD2482" w:rsidP="00CD2482">
            <w:pPr>
              <w:spacing w:after="0" w:line="240" w:lineRule="auto"/>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Domovy pro seniory</w:t>
            </w:r>
          </w:p>
        </w:tc>
        <w:tc>
          <w:tcPr>
            <w:tcW w:w="1451" w:type="dxa"/>
            <w:tcBorders>
              <w:top w:val="nil"/>
              <w:left w:val="nil"/>
              <w:bottom w:val="single" w:sz="4" w:space="0" w:color="auto"/>
              <w:right w:val="single" w:sz="4" w:space="0" w:color="auto"/>
            </w:tcBorders>
            <w:shd w:val="clear" w:color="FFFFCC" w:fill="FFFFFF"/>
            <w:noWrap/>
            <w:vAlign w:val="bottom"/>
            <w:hideMark/>
          </w:tcPr>
          <w:p w14:paraId="47AC38D1"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0</w:t>
            </w:r>
          </w:p>
        </w:tc>
        <w:tc>
          <w:tcPr>
            <w:tcW w:w="1560" w:type="dxa"/>
            <w:tcBorders>
              <w:top w:val="nil"/>
              <w:left w:val="nil"/>
              <w:bottom w:val="single" w:sz="4" w:space="0" w:color="auto"/>
              <w:right w:val="single" w:sz="4" w:space="0" w:color="auto"/>
            </w:tcBorders>
            <w:shd w:val="clear" w:color="auto" w:fill="auto"/>
            <w:noWrap/>
            <w:vAlign w:val="bottom"/>
            <w:hideMark/>
          </w:tcPr>
          <w:p w14:paraId="350C81D1"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140 180,00</w:t>
            </w:r>
          </w:p>
        </w:tc>
        <w:tc>
          <w:tcPr>
            <w:tcW w:w="1559" w:type="dxa"/>
            <w:tcBorders>
              <w:top w:val="nil"/>
              <w:left w:val="nil"/>
              <w:bottom w:val="single" w:sz="4" w:space="0" w:color="auto"/>
              <w:right w:val="single" w:sz="4" w:space="0" w:color="auto"/>
            </w:tcBorders>
            <w:shd w:val="clear" w:color="auto" w:fill="auto"/>
            <w:noWrap/>
            <w:vAlign w:val="bottom"/>
            <w:hideMark/>
          </w:tcPr>
          <w:p w14:paraId="3BDD0B3D"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140 180,00</w:t>
            </w:r>
          </w:p>
        </w:tc>
        <w:tc>
          <w:tcPr>
            <w:tcW w:w="738" w:type="dxa"/>
            <w:tcBorders>
              <w:top w:val="nil"/>
              <w:left w:val="nil"/>
              <w:bottom w:val="single" w:sz="4" w:space="0" w:color="auto"/>
              <w:right w:val="single" w:sz="8" w:space="0" w:color="auto"/>
            </w:tcBorders>
            <w:shd w:val="clear" w:color="auto" w:fill="auto"/>
            <w:noWrap/>
            <w:vAlign w:val="bottom"/>
            <w:hideMark/>
          </w:tcPr>
          <w:p w14:paraId="2A04F49C" w14:textId="77777777" w:rsidR="00CD2482" w:rsidRPr="00CD2482" w:rsidRDefault="00CD2482" w:rsidP="00CD2482">
            <w:pPr>
              <w:spacing w:after="0" w:line="240" w:lineRule="auto"/>
              <w:jc w:val="right"/>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100,0</w:t>
            </w:r>
          </w:p>
        </w:tc>
      </w:tr>
      <w:tr w:rsidR="00CD2482" w:rsidRPr="00CD2482" w14:paraId="5D015811" w14:textId="77777777" w:rsidTr="00CD2482">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06B9DE20"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6172</w:t>
            </w:r>
          </w:p>
        </w:tc>
        <w:tc>
          <w:tcPr>
            <w:tcW w:w="3960" w:type="dxa"/>
            <w:tcBorders>
              <w:top w:val="nil"/>
              <w:left w:val="nil"/>
              <w:bottom w:val="single" w:sz="4" w:space="0" w:color="auto"/>
              <w:right w:val="single" w:sz="4" w:space="0" w:color="auto"/>
            </w:tcBorders>
            <w:shd w:val="clear" w:color="auto" w:fill="auto"/>
            <w:vAlign w:val="bottom"/>
            <w:hideMark/>
          </w:tcPr>
          <w:p w14:paraId="238B15E4" w14:textId="77777777" w:rsidR="00CD2482" w:rsidRPr="00CD2482" w:rsidRDefault="00CD2482" w:rsidP="00CD2482">
            <w:pPr>
              <w:spacing w:after="0" w:line="240" w:lineRule="auto"/>
              <w:rPr>
                <w:rFonts w:ascii="Calibri" w:eastAsia="Times New Roman" w:hAnsi="Calibri" w:cs="Arial"/>
                <w:sz w:val="20"/>
                <w:szCs w:val="20"/>
                <w:lang w:eastAsia="cs-CZ"/>
              </w:rPr>
            </w:pPr>
            <w:r w:rsidRPr="00CD2482">
              <w:rPr>
                <w:rFonts w:ascii="Calibri" w:eastAsia="Times New Roman" w:hAnsi="Calibri" w:cs="Arial"/>
                <w:sz w:val="20"/>
                <w:szCs w:val="20"/>
                <w:lang w:eastAsia="cs-CZ"/>
              </w:rPr>
              <w:t>Činnost regionální správy</w:t>
            </w:r>
          </w:p>
        </w:tc>
        <w:tc>
          <w:tcPr>
            <w:tcW w:w="1451" w:type="dxa"/>
            <w:tcBorders>
              <w:top w:val="nil"/>
              <w:left w:val="nil"/>
              <w:bottom w:val="single" w:sz="4" w:space="0" w:color="auto"/>
              <w:right w:val="single" w:sz="4" w:space="0" w:color="auto"/>
            </w:tcBorders>
            <w:shd w:val="clear" w:color="FFFFCC" w:fill="FFFFFF"/>
            <w:noWrap/>
            <w:vAlign w:val="bottom"/>
            <w:hideMark/>
          </w:tcPr>
          <w:p w14:paraId="29D3A25F"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4 100 000</w:t>
            </w:r>
          </w:p>
        </w:tc>
        <w:tc>
          <w:tcPr>
            <w:tcW w:w="1560" w:type="dxa"/>
            <w:tcBorders>
              <w:top w:val="nil"/>
              <w:left w:val="nil"/>
              <w:bottom w:val="single" w:sz="4" w:space="0" w:color="auto"/>
              <w:right w:val="single" w:sz="4" w:space="0" w:color="auto"/>
            </w:tcBorders>
            <w:shd w:val="clear" w:color="FFFFCC" w:fill="FFFFFF"/>
            <w:noWrap/>
            <w:vAlign w:val="bottom"/>
            <w:hideMark/>
          </w:tcPr>
          <w:p w14:paraId="3708E87C"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29 014 903,63</w:t>
            </w:r>
          </w:p>
        </w:tc>
        <w:tc>
          <w:tcPr>
            <w:tcW w:w="1559" w:type="dxa"/>
            <w:tcBorders>
              <w:top w:val="nil"/>
              <w:left w:val="nil"/>
              <w:bottom w:val="single" w:sz="4" w:space="0" w:color="auto"/>
              <w:right w:val="single" w:sz="4" w:space="0" w:color="auto"/>
            </w:tcBorders>
            <w:shd w:val="clear" w:color="FFFFCC" w:fill="FFFFFF"/>
            <w:noWrap/>
            <w:vAlign w:val="bottom"/>
            <w:hideMark/>
          </w:tcPr>
          <w:p w14:paraId="6BCBABF2"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18 544 023,00</w:t>
            </w:r>
          </w:p>
        </w:tc>
        <w:tc>
          <w:tcPr>
            <w:tcW w:w="738" w:type="dxa"/>
            <w:tcBorders>
              <w:top w:val="nil"/>
              <w:left w:val="nil"/>
              <w:bottom w:val="single" w:sz="4" w:space="0" w:color="auto"/>
              <w:right w:val="single" w:sz="8" w:space="0" w:color="auto"/>
            </w:tcBorders>
            <w:shd w:val="clear" w:color="auto" w:fill="auto"/>
            <w:noWrap/>
            <w:vAlign w:val="bottom"/>
            <w:hideMark/>
          </w:tcPr>
          <w:p w14:paraId="7F904704"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63,9</w:t>
            </w:r>
          </w:p>
        </w:tc>
      </w:tr>
      <w:tr w:rsidR="00CD2482" w:rsidRPr="00CD2482" w14:paraId="58813AB5" w14:textId="77777777" w:rsidTr="00CD2482">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179C6882"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 </w:t>
            </w:r>
          </w:p>
        </w:tc>
        <w:tc>
          <w:tcPr>
            <w:tcW w:w="9268" w:type="dxa"/>
            <w:gridSpan w:val="5"/>
            <w:tcBorders>
              <w:top w:val="single" w:sz="4" w:space="0" w:color="auto"/>
              <w:left w:val="nil"/>
              <w:bottom w:val="single" w:sz="4" w:space="0" w:color="auto"/>
              <w:right w:val="single" w:sz="8" w:space="0" w:color="auto"/>
            </w:tcBorders>
            <w:shd w:val="clear" w:color="auto" w:fill="auto"/>
            <w:noWrap/>
            <w:vAlign w:val="bottom"/>
            <w:hideMark/>
          </w:tcPr>
          <w:p w14:paraId="6661FF04" w14:textId="77777777" w:rsidR="00CD2482" w:rsidRPr="00A216BD" w:rsidRDefault="00CD2482" w:rsidP="00CD2482">
            <w:pPr>
              <w:spacing w:after="0" w:line="240" w:lineRule="auto"/>
              <w:rPr>
                <w:rFonts w:ascii="Calibri" w:eastAsia="Times New Roman" w:hAnsi="Calibri" w:cs="Arial"/>
                <w:i/>
                <w:iCs/>
                <w:sz w:val="20"/>
                <w:szCs w:val="20"/>
                <w:lang w:eastAsia="cs-CZ"/>
              </w:rPr>
            </w:pPr>
            <w:r w:rsidRPr="00A216BD">
              <w:rPr>
                <w:rFonts w:ascii="Calibri" w:eastAsia="Times New Roman" w:hAnsi="Calibri" w:cs="Arial"/>
                <w:i/>
                <w:iCs/>
                <w:sz w:val="20"/>
                <w:szCs w:val="20"/>
                <w:lang w:eastAsia="cs-CZ"/>
              </w:rPr>
              <w:t>z toho:</w:t>
            </w:r>
          </w:p>
        </w:tc>
      </w:tr>
      <w:tr w:rsidR="00CD2482" w:rsidRPr="00CD2482" w14:paraId="214B468F" w14:textId="77777777" w:rsidTr="00CD2482">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70B60E10"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 </w:t>
            </w:r>
          </w:p>
        </w:tc>
        <w:tc>
          <w:tcPr>
            <w:tcW w:w="3960" w:type="dxa"/>
            <w:tcBorders>
              <w:top w:val="nil"/>
              <w:left w:val="nil"/>
              <w:bottom w:val="single" w:sz="4" w:space="0" w:color="auto"/>
              <w:right w:val="single" w:sz="4" w:space="0" w:color="auto"/>
            </w:tcBorders>
            <w:shd w:val="clear" w:color="auto" w:fill="auto"/>
            <w:vAlign w:val="bottom"/>
            <w:hideMark/>
          </w:tcPr>
          <w:p w14:paraId="134673A0" w14:textId="77777777" w:rsidR="00CD2482" w:rsidRPr="00A216BD" w:rsidRDefault="00CD2482" w:rsidP="00CD2482">
            <w:pPr>
              <w:spacing w:after="0" w:line="240" w:lineRule="auto"/>
              <w:rPr>
                <w:rFonts w:ascii="Calibri" w:eastAsia="Times New Roman" w:hAnsi="Calibri" w:cs="Arial"/>
                <w:i/>
                <w:iCs/>
                <w:sz w:val="20"/>
                <w:szCs w:val="20"/>
                <w:lang w:eastAsia="cs-CZ"/>
              </w:rPr>
            </w:pPr>
            <w:r w:rsidRPr="00A216BD">
              <w:rPr>
                <w:rFonts w:ascii="Calibri" w:eastAsia="Times New Roman" w:hAnsi="Calibri" w:cs="Arial"/>
                <w:i/>
                <w:iCs/>
                <w:sz w:val="20"/>
                <w:szCs w:val="20"/>
                <w:lang w:eastAsia="cs-CZ"/>
              </w:rPr>
              <w:t>5163  Služby peněžních ústavů</w:t>
            </w:r>
          </w:p>
        </w:tc>
        <w:tc>
          <w:tcPr>
            <w:tcW w:w="1451" w:type="dxa"/>
            <w:tcBorders>
              <w:top w:val="nil"/>
              <w:left w:val="nil"/>
              <w:bottom w:val="single" w:sz="4" w:space="0" w:color="auto"/>
              <w:right w:val="single" w:sz="4" w:space="0" w:color="auto"/>
            </w:tcBorders>
            <w:shd w:val="clear" w:color="FFFFCC" w:fill="FFFFFF"/>
            <w:noWrap/>
            <w:vAlign w:val="bottom"/>
            <w:hideMark/>
          </w:tcPr>
          <w:p w14:paraId="10CE85B0" w14:textId="77777777" w:rsidR="00CD2482" w:rsidRPr="00A216BD" w:rsidRDefault="00CD2482" w:rsidP="00CD2482">
            <w:pPr>
              <w:spacing w:after="0" w:line="240" w:lineRule="auto"/>
              <w:jc w:val="right"/>
              <w:rPr>
                <w:rFonts w:ascii="Calibri" w:eastAsia="Times New Roman" w:hAnsi="Calibri" w:cs="Arial"/>
                <w:i/>
                <w:iCs/>
                <w:sz w:val="20"/>
                <w:szCs w:val="20"/>
                <w:lang w:eastAsia="cs-CZ"/>
              </w:rPr>
            </w:pPr>
            <w:r w:rsidRPr="00A216BD">
              <w:rPr>
                <w:rFonts w:ascii="Calibri" w:eastAsia="Times New Roman" w:hAnsi="Calibri" w:cs="Arial"/>
                <w:i/>
                <w:iCs/>
                <w:sz w:val="20"/>
                <w:szCs w:val="20"/>
                <w:lang w:eastAsia="cs-CZ"/>
              </w:rPr>
              <w:t>0</w:t>
            </w:r>
          </w:p>
        </w:tc>
        <w:tc>
          <w:tcPr>
            <w:tcW w:w="1560" w:type="dxa"/>
            <w:tcBorders>
              <w:top w:val="nil"/>
              <w:left w:val="nil"/>
              <w:bottom w:val="single" w:sz="4" w:space="0" w:color="auto"/>
              <w:right w:val="single" w:sz="4" w:space="0" w:color="auto"/>
            </w:tcBorders>
            <w:shd w:val="clear" w:color="auto" w:fill="auto"/>
            <w:noWrap/>
            <w:vAlign w:val="bottom"/>
            <w:hideMark/>
          </w:tcPr>
          <w:p w14:paraId="5DEB6C21" w14:textId="77777777" w:rsidR="00CD2482" w:rsidRPr="00A216BD" w:rsidRDefault="00CD2482" w:rsidP="00CD2482">
            <w:pPr>
              <w:spacing w:after="0" w:line="240" w:lineRule="auto"/>
              <w:jc w:val="right"/>
              <w:rPr>
                <w:rFonts w:ascii="Calibri" w:eastAsia="Times New Roman" w:hAnsi="Calibri" w:cs="Arial"/>
                <w:i/>
                <w:iCs/>
                <w:sz w:val="20"/>
                <w:szCs w:val="20"/>
                <w:lang w:eastAsia="cs-CZ"/>
              </w:rPr>
            </w:pPr>
            <w:r w:rsidRPr="00A216BD">
              <w:rPr>
                <w:rFonts w:ascii="Calibri" w:eastAsia="Times New Roman" w:hAnsi="Calibri" w:cs="Arial"/>
                <w:i/>
                <w:iCs/>
                <w:sz w:val="20"/>
                <w:szCs w:val="20"/>
                <w:lang w:eastAsia="cs-CZ"/>
              </w:rPr>
              <w:t>24 465 101,00</w:t>
            </w:r>
          </w:p>
        </w:tc>
        <w:tc>
          <w:tcPr>
            <w:tcW w:w="1559" w:type="dxa"/>
            <w:tcBorders>
              <w:top w:val="nil"/>
              <w:left w:val="nil"/>
              <w:bottom w:val="single" w:sz="4" w:space="0" w:color="auto"/>
              <w:right w:val="single" w:sz="4" w:space="0" w:color="auto"/>
            </w:tcBorders>
            <w:shd w:val="clear" w:color="auto" w:fill="auto"/>
            <w:noWrap/>
            <w:vAlign w:val="bottom"/>
            <w:hideMark/>
          </w:tcPr>
          <w:p w14:paraId="2BA01ADC" w14:textId="77777777" w:rsidR="00CD2482" w:rsidRPr="00A216BD" w:rsidRDefault="00CD2482" w:rsidP="00CD2482">
            <w:pPr>
              <w:spacing w:after="0" w:line="240" w:lineRule="auto"/>
              <w:jc w:val="right"/>
              <w:rPr>
                <w:rFonts w:ascii="Calibri" w:eastAsia="Times New Roman" w:hAnsi="Calibri" w:cs="Arial"/>
                <w:i/>
                <w:iCs/>
                <w:sz w:val="20"/>
                <w:szCs w:val="20"/>
                <w:lang w:eastAsia="cs-CZ"/>
              </w:rPr>
            </w:pPr>
            <w:r w:rsidRPr="00A216BD">
              <w:rPr>
                <w:rFonts w:ascii="Calibri" w:eastAsia="Times New Roman" w:hAnsi="Calibri" w:cs="Arial"/>
                <w:i/>
                <w:iCs/>
                <w:sz w:val="20"/>
                <w:szCs w:val="20"/>
                <w:lang w:eastAsia="cs-CZ"/>
              </w:rPr>
              <w:t>14 238 311,00</w:t>
            </w:r>
          </w:p>
        </w:tc>
        <w:tc>
          <w:tcPr>
            <w:tcW w:w="738" w:type="dxa"/>
            <w:tcBorders>
              <w:top w:val="nil"/>
              <w:left w:val="nil"/>
              <w:bottom w:val="single" w:sz="4" w:space="0" w:color="auto"/>
              <w:right w:val="single" w:sz="8" w:space="0" w:color="auto"/>
            </w:tcBorders>
            <w:shd w:val="clear" w:color="auto" w:fill="auto"/>
            <w:noWrap/>
            <w:vAlign w:val="bottom"/>
            <w:hideMark/>
          </w:tcPr>
          <w:p w14:paraId="383340D7" w14:textId="77777777" w:rsidR="00CD2482" w:rsidRPr="00A216BD" w:rsidRDefault="00CD2482" w:rsidP="00CD2482">
            <w:pPr>
              <w:spacing w:after="0" w:line="240" w:lineRule="auto"/>
              <w:jc w:val="right"/>
              <w:rPr>
                <w:rFonts w:ascii="Calibri" w:eastAsia="Times New Roman" w:hAnsi="Calibri" w:cs="Arial"/>
                <w:i/>
                <w:iCs/>
                <w:sz w:val="20"/>
                <w:szCs w:val="20"/>
                <w:lang w:eastAsia="cs-CZ"/>
              </w:rPr>
            </w:pPr>
            <w:r w:rsidRPr="00A216BD">
              <w:rPr>
                <w:rFonts w:ascii="Calibri" w:eastAsia="Times New Roman" w:hAnsi="Calibri" w:cs="Arial"/>
                <w:i/>
                <w:iCs/>
                <w:sz w:val="20"/>
                <w:szCs w:val="20"/>
                <w:lang w:eastAsia="cs-CZ"/>
              </w:rPr>
              <w:t>58,2</w:t>
            </w:r>
          </w:p>
        </w:tc>
      </w:tr>
      <w:tr w:rsidR="00CD2482" w:rsidRPr="00CD2482" w14:paraId="7D18E7F1" w14:textId="77777777" w:rsidTr="00CD2482">
        <w:trPr>
          <w:trHeight w:val="5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5FDE963E"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 </w:t>
            </w:r>
          </w:p>
        </w:tc>
        <w:tc>
          <w:tcPr>
            <w:tcW w:w="3960" w:type="dxa"/>
            <w:tcBorders>
              <w:top w:val="nil"/>
              <w:left w:val="nil"/>
              <w:bottom w:val="single" w:sz="4" w:space="0" w:color="auto"/>
              <w:right w:val="single" w:sz="4" w:space="0" w:color="auto"/>
            </w:tcBorders>
            <w:shd w:val="clear" w:color="auto" w:fill="auto"/>
            <w:vAlign w:val="bottom"/>
            <w:hideMark/>
          </w:tcPr>
          <w:p w14:paraId="7936AE7F" w14:textId="77777777" w:rsidR="00CD2482" w:rsidRPr="00A216BD" w:rsidRDefault="00CD2482" w:rsidP="00CD2482">
            <w:pPr>
              <w:spacing w:after="0" w:line="240" w:lineRule="auto"/>
              <w:rPr>
                <w:rFonts w:ascii="Calibri" w:eastAsia="Times New Roman" w:hAnsi="Calibri" w:cs="Arial"/>
                <w:i/>
                <w:iCs/>
                <w:sz w:val="20"/>
                <w:szCs w:val="20"/>
                <w:lang w:eastAsia="cs-CZ"/>
              </w:rPr>
            </w:pPr>
            <w:r w:rsidRPr="00A216BD">
              <w:rPr>
                <w:rFonts w:ascii="Calibri" w:eastAsia="Times New Roman" w:hAnsi="Calibri" w:cs="Arial"/>
                <w:i/>
                <w:iCs/>
                <w:sz w:val="20"/>
                <w:szCs w:val="20"/>
                <w:lang w:eastAsia="cs-CZ"/>
              </w:rPr>
              <w:t>5168 Zpracování dat a služby souv.s informačními a komunikačními technologiemi</w:t>
            </w:r>
          </w:p>
        </w:tc>
        <w:tc>
          <w:tcPr>
            <w:tcW w:w="1451" w:type="dxa"/>
            <w:tcBorders>
              <w:top w:val="nil"/>
              <w:left w:val="nil"/>
              <w:bottom w:val="single" w:sz="4" w:space="0" w:color="auto"/>
              <w:right w:val="single" w:sz="4" w:space="0" w:color="auto"/>
            </w:tcBorders>
            <w:shd w:val="clear" w:color="FFFFCC" w:fill="FFFFFF"/>
            <w:noWrap/>
            <w:vAlign w:val="bottom"/>
            <w:hideMark/>
          </w:tcPr>
          <w:p w14:paraId="41D14682" w14:textId="77777777" w:rsidR="00CD2482" w:rsidRPr="00A216BD" w:rsidRDefault="00CD2482" w:rsidP="00CD2482">
            <w:pPr>
              <w:spacing w:after="0" w:line="240" w:lineRule="auto"/>
              <w:jc w:val="right"/>
              <w:rPr>
                <w:rFonts w:ascii="Calibri" w:eastAsia="Times New Roman" w:hAnsi="Calibri" w:cs="Arial"/>
                <w:i/>
                <w:iCs/>
                <w:sz w:val="20"/>
                <w:szCs w:val="20"/>
                <w:lang w:eastAsia="cs-CZ"/>
              </w:rPr>
            </w:pPr>
            <w:r w:rsidRPr="00A216BD">
              <w:rPr>
                <w:rFonts w:ascii="Calibri" w:eastAsia="Times New Roman" w:hAnsi="Calibri" w:cs="Arial"/>
                <w:i/>
                <w:iCs/>
                <w:sz w:val="20"/>
                <w:szCs w:val="20"/>
                <w:lang w:eastAsia="cs-CZ"/>
              </w:rPr>
              <w:t>0</w:t>
            </w:r>
          </w:p>
        </w:tc>
        <w:tc>
          <w:tcPr>
            <w:tcW w:w="1560" w:type="dxa"/>
            <w:tcBorders>
              <w:top w:val="nil"/>
              <w:left w:val="nil"/>
              <w:bottom w:val="single" w:sz="4" w:space="0" w:color="auto"/>
              <w:right w:val="single" w:sz="4" w:space="0" w:color="auto"/>
            </w:tcBorders>
            <w:shd w:val="clear" w:color="auto" w:fill="auto"/>
            <w:noWrap/>
            <w:vAlign w:val="bottom"/>
            <w:hideMark/>
          </w:tcPr>
          <w:p w14:paraId="148AB32F" w14:textId="77777777" w:rsidR="00CD2482" w:rsidRPr="00A216BD" w:rsidRDefault="00CD2482" w:rsidP="00CD2482">
            <w:pPr>
              <w:spacing w:after="0" w:line="240" w:lineRule="auto"/>
              <w:jc w:val="right"/>
              <w:rPr>
                <w:rFonts w:ascii="Calibri" w:eastAsia="Times New Roman" w:hAnsi="Calibri" w:cs="Arial"/>
                <w:i/>
                <w:iCs/>
                <w:sz w:val="20"/>
                <w:szCs w:val="20"/>
                <w:lang w:eastAsia="cs-CZ"/>
              </w:rPr>
            </w:pPr>
            <w:r w:rsidRPr="00A216BD">
              <w:rPr>
                <w:rFonts w:ascii="Calibri" w:eastAsia="Times New Roman" w:hAnsi="Calibri" w:cs="Arial"/>
                <w:i/>
                <w:iCs/>
                <w:sz w:val="20"/>
                <w:szCs w:val="20"/>
                <w:lang w:eastAsia="cs-CZ"/>
              </w:rPr>
              <w:t>282 952,63</w:t>
            </w:r>
          </w:p>
        </w:tc>
        <w:tc>
          <w:tcPr>
            <w:tcW w:w="1559" w:type="dxa"/>
            <w:tcBorders>
              <w:top w:val="nil"/>
              <w:left w:val="nil"/>
              <w:bottom w:val="single" w:sz="4" w:space="0" w:color="auto"/>
              <w:right w:val="single" w:sz="4" w:space="0" w:color="auto"/>
            </w:tcBorders>
            <w:shd w:val="clear" w:color="auto" w:fill="auto"/>
            <w:noWrap/>
            <w:vAlign w:val="bottom"/>
            <w:hideMark/>
          </w:tcPr>
          <w:p w14:paraId="2808D044" w14:textId="77777777" w:rsidR="00CD2482" w:rsidRPr="00A216BD" w:rsidRDefault="00CD2482" w:rsidP="00CD2482">
            <w:pPr>
              <w:spacing w:after="0" w:line="240" w:lineRule="auto"/>
              <w:jc w:val="right"/>
              <w:rPr>
                <w:rFonts w:ascii="Calibri" w:eastAsia="Times New Roman" w:hAnsi="Calibri" w:cs="Arial"/>
                <w:i/>
                <w:iCs/>
                <w:sz w:val="20"/>
                <w:szCs w:val="20"/>
                <w:lang w:eastAsia="cs-CZ"/>
              </w:rPr>
            </w:pPr>
            <w:r w:rsidRPr="00A216BD">
              <w:rPr>
                <w:rFonts w:ascii="Calibri" w:eastAsia="Times New Roman" w:hAnsi="Calibri" w:cs="Arial"/>
                <w:i/>
                <w:iCs/>
                <w:sz w:val="20"/>
                <w:szCs w:val="20"/>
                <w:lang w:eastAsia="cs-CZ"/>
              </w:rPr>
              <w:t>87 120,00</w:t>
            </w:r>
          </w:p>
        </w:tc>
        <w:tc>
          <w:tcPr>
            <w:tcW w:w="738" w:type="dxa"/>
            <w:tcBorders>
              <w:top w:val="nil"/>
              <w:left w:val="nil"/>
              <w:bottom w:val="single" w:sz="4" w:space="0" w:color="auto"/>
              <w:right w:val="single" w:sz="8" w:space="0" w:color="auto"/>
            </w:tcBorders>
            <w:shd w:val="clear" w:color="auto" w:fill="auto"/>
            <w:noWrap/>
            <w:vAlign w:val="bottom"/>
            <w:hideMark/>
          </w:tcPr>
          <w:p w14:paraId="752A9166" w14:textId="77777777" w:rsidR="00CD2482" w:rsidRPr="00A216BD" w:rsidRDefault="00CD2482" w:rsidP="00CD2482">
            <w:pPr>
              <w:spacing w:after="0" w:line="240" w:lineRule="auto"/>
              <w:jc w:val="right"/>
              <w:rPr>
                <w:rFonts w:ascii="Calibri" w:eastAsia="Times New Roman" w:hAnsi="Calibri" w:cs="Arial"/>
                <w:i/>
                <w:iCs/>
                <w:sz w:val="20"/>
                <w:szCs w:val="20"/>
                <w:lang w:eastAsia="cs-CZ"/>
              </w:rPr>
            </w:pPr>
            <w:r w:rsidRPr="00A216BD">
              <w:rPr>
                <w:rFonts w:ascii="Calibri" w:eastAsia="Times New Roman" w:hAnsi="Calibri" w:cs="Arial"/>
                <w:i/>
                <w:iCs/>
                <w:sz w:val="20"/>
                <w:szCs w:val="20"/>
                <w:lang w:eastAsia="cs-CZ"/>
              </w:rPr>
              <w:t>30,8</w:t>
            </w:r>
          </w:p>
        </w:tc>
      </w:tr>
      <w:tr w:rsidR="00CD2482" w:rsidRPr="00CD2482" w14:paraId="4BAEFD6A" w14:textId="77777777" w:rsidTr="00CD2482">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3F870C5A"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 </w:t>
            </w:r>
          </w:p>
        </w:tc>
        <w:tc>
          <w:tcPr>
            <w:tcW w:w="3960" w:type="dxa"/>
            <w:tcBorders>
              <w:top w:val="nil"/>
              <w:left w:val="nil"/>
              <w:bottom w:val="single" w:sz="4" w:space="0" w:color="auto"/>
              <w:right w:val="single" w:sz="4" w:space="0" w:color="auto"/>
            </w:tcBorders>
            <w:shd w:val="clear" w:color="auto" w:fill="auto"/>
            <w:vAlign w:val="bottom"/>
            <w:hideMark/>
          </w:tcPr>
          <w:p w14:paraId="3AF19FA7" w14:textId="77777777" w:rsidR="00CD2482" w:rsidRPr="00A216BD" w:rsidRDefault="00CD2482" w:rsidP="00CD2482">
            <w:pPr>
              <w:spacing w:after="0" w:line="240" w:lineRule="auto"/>
              <w:rPr>
                <w:rFonts w:ascii="Calibri" w:eastAsia="Times New Roman" w:hAnsi="Calibri" w:cs="Arial"/>
                <w:i/>
                <w:iCs/>
                <w:sz w:val="20"/>
                <w:szCs w:val="20"/>
                <w:lang w:eastAsia="cs-CZ"/>
              </w:rPr>
            </w:pPr>
            <w:r w:rsidRPr="00A216BD">
              <w:rPr>
                <w:rFonts w:ascii="Calibri" w:eastAsia="Times New Roman" w:hAnsi="Calibri" w:cs="Arial"/>
                <w:i/>
                <w:iCs/>
                <w:sz w:val="20"/>
                <w:szCs w:val="20"/>
                <w:lang w:eastAsia="cs-CZ"/>
              </w:rPr>
              <w:t>5169  Nákup ostatních služeb</w:t>
            </w:r>
          </w:p>
        </w:tc>
        <w:tc>
          <w:tcPr>
            <w:tcW w:w="1451" w:type="dxa"/>
            <w:tcBorders>
              <w:top w:val="nil"/>
              <w:left w:val="nil"/>
              <w:bottom w:val="single" w:sz="4" w:space="0" w:color="auto"/>
              <w:right w:val="single" w:sz="4" w:space="0" w:color="auto"/>
            </w:tcBorders>
            <w:shd w:val="clear" w:color="FFFFCC" w:fill="FFFFFF"/>
            <w:noWrap/>
            <w:vAlign w:val="bottom"/>
            <w:hideMark/>
          </w:tcPr>
          <w:p w14:paraId="6286A408" w14:textId="77777777" w:rsidR="00CD2482" w:rsidRPr="00A216BD" w:rsidRDefault="00CD2482" w:rsidP="00CD2482">
            <w:pPr>
              <w:spacing w:after="0" w:line="240" w:lineRule="auto"/>
              <w:jc w:val="right"/>
              <w:rPr>
                <w:rFonts w:ascii="Calibri" w:eastAsia="Times New Roman" w:hAnsi="Calibri" w:cs="Arial"/>
                <w:i/>
                <w:iCs/>
                <w:sz w:val="20"/>
                <w:szCs w:val="20"/>
                <w:lang w:eastAsia="cs-CZ"/>
              </w:rPr>
            </w:pPr>
            <w:r w:rsidRPr="00A216BD">
              <w:rPr>
                <w:rFonts w:ascii="Calibri" w:eastAsia="Times New Roman" w:hAnsi="Calibri" w:cs="Arial"/>
                <w:i/>
                <w:iCs/>
                <w:sz w:val="20"/>
                <w:szCs w:val="20"/>
                <w:lang w:eastAsia="cs-CZ"/>
              </w:rPr>
              <w:t>0</w:t>
            </w:r>
          </w:p>
        </w:tc>
        <w:tc>
          <w:tcPr>
            <w:tcW w:w="1560" w:type="dxa"/>
            <w:tcBorders>
              <w:top w:val="nil"/>
              <w:left w:val="nil"/>
              <w:bottom w:val="single" w:sz="4" w:space="0" w:color="auto"/>
              <w:right w:val="single" w:sz="4" w:space="0" w:color="auto"/>
            </w:tcBorders>
            <w:shd w:val="clear" w:color="auto" w:fill="auto"/>
            <w:noWrap/>
            <w:vAlign w:val="bottom"/>
            <w:hideMark/>
          </w:tcPr>
          <w:p w14:paraId="624FA2FE" w14:textId="77777777" w:rsidR="00CD2482" w:rsidRPr="00A216BD" w:rsidRDefault="00CD2482" w:rsidP="00CD2482">
            <w:pPr>
              <w:spacing w:after="0" w:line="240" w:lineRule="auto"/>
              <w:jc w:val="right"/>
              <w:rPr>
                <w:rFonts w:ascii="Calibri" w:eastAsia="Times New Roman" w:hAnsi="Calibri" w:cs="Arial"/>
                <w:i/>
                <w:iCs/>
                <w:sz w:val="20"/>
                <w:szCs w:val="20"/>
                <w:lang w:eastAsia="cs-CZ"/>
              </w:rPr>
            </w:pPr>
            <w:r w:rsidRPr="00A216BD">
              <w:rPr>
                <w:rFonts w:ascii="Calibri" w:eastAsia="Times New Roman" w:hAnsi="Calibri" w:cs="Arial"/>
                <w:i/>
                <w:iCs/>
                <w:sz w:val="20"/>
                <w:szCs w:val="20"/>
                <w:lang w:eastAsia="cs-CZ"/>
              </w:rPr>
              <w:t>48 231,00</w:t>
            </w:r>
          </w:p>
        </w:tc>
        <w:tc>
          <w:tcPr>
            <w:tcW w:w="1559" w:type="dxa"/>
            <w:tcBorders>
              <w:top w:val="nil"/>
              <w:left w:val="nil"/>
              <w:bottom w:val="single" w:sz="4" w:space="0" w:color="auto"/>
              <w:right w:val="single" w:sz="4" w:space="0" w:color="auto"/>
            </w:tcBorders>
            <w:shd w:val="clear" w:color="auto" w:fill="auto"/>
            <w:noWrap/>
            <w:vAlign w:val="bottom"/>
            <w:hideMark/>
          </w:tcPr>
          <w:p w14:paraId="242CCD2E" w14:textId="77777777" w:rsidR="00CD2482" w:rsidRPr="00A216BD" w:rsidRDefault="00CD2482" w:rsidP="00CD2482">
            <w:pPr>
              <w:spacing w:after="0" w:line="240" w:lineRule="auto"/>
              <w:jc w:val="right"/>
              <w:rPr>
                <w:rFonts w:ascii="Calibri" w:eastAsia="Times New Roman" w:hAnsi="Calibri" w:cs="Arial"/>
                <w:i/>
                <w:iCs/>
                <w:sz w:val="20"/>
                <w:szCs w:val="20"/>
                <w:lang w:eastAsia="cs-CZ"/>
              </w:rPr>
            </w:pPr>
            <w:r w:rsidRPr="00A216BD">
              <w:rPr>
                <w:rFonts w:ascii="Calibri" w:eastAsia="Times New Roman" w:hAnsi="Calibri" w:cs="Arial"/>
                <w:i/>
                <w:iCs/>
                <w:sz w:val="20"/>
                <w:szCs w:val="20"/>
                <w:lang w:eastAsia="cs-CZ"/>
              </w:rPr>
              <w:t>0,00</w:t>
            </w:r>
          </w:p>
        </w:tc>
        <w:tc>
          <w:tcPr>
            <w:tcW w:w="738" w:type="dxa"/>
            <w:tcBorders>
              <w:top w:val="nil"/>
              <w:left w:val="nil"/>
              <w:bottom w:val="single" w:sz="4" w:space="0" w:color="auto"/>
              <w:right w:val="single" w:sz="8" w:space="0" w:color="auto"/>
            </w:tcBorders>
            <w:shd w:val="clear" w:color="auto" w:fill="auto"/>
            <w:noWrap/>
            <w:vAlign w:val="bottom"/>
            <w:hideMark/>
          </w:tcPr>
          <w:p w14:paraId="65C82E8E" w14:textId="77777777" w:rsidR="00CD2482" w:rsidRPr="00A216BD" w:rsidRDefault="00CD2482" w:rsidP="00CD2482">
            <w:pPr>
              <w:spacing w:after="0" w:line="240" w:lineRule="auto"/>
              <w:jc w:val="right"/>
              <w:rPr>
                <w:rFonts w:ascii="Calibri" w:eastAsia="Times New Roman" w:hAnsi="Calibri" w:cs="Arial"/>
                <w:i/>
                <w:iCs/>
                <w:sz w:val="20"/>
                <w:szCs w:val="20"/>
                <w:lang w:eastAsia="cs-CZ"/>
              </w:rPr>
            </w:pPr>
            <w:r w:rsidRPr="00A216BD">
              <w:rPr>
                <w:rFonts w:ascii="Calibri" w:eastAsia="Times New Roman" w:hAnsi="Calibri" w:cs="Arial"/>
                <w:i/>
                <w:iCs/>
                <w:sz w:val="20"/>
                <w:szCs w:val="20"/>
                <w:lang w:eastAsia="cs-CZ"/>
              </w:rPr>
              <w:t>0,0</w:t>
            </w:r>
          </w:p>
        </w:tc>
      </w:tr>
      <w:tr w:rsidR="00CD2482" w:rsidRPr="00CD2482" w14:paraId="574DF45C" w14:textId="77777777" w:rsidTr="00CD2482">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133CA0B4"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 </w:t>
            </w:r>
          </w:p>
        </w:tc>
        <w:tc>
          <w:tcPr>
            <w:tcW w:w="3960" w:type="dxa"/>
            <w:tcBorders>
              <w:top w:val="nil"/>
              <w:left w:val="nil"/>
              <w:bottom w:val="single" w:sz="4" w:space="0" w:color="auto"/>
              <w:right w:val="single" w:sz="4" w:space="0" w:color="auto"/>
            </w:tcBorders>
            <w:shd w:val="clear" w:color="auto" w:fill="auto"/>
            <w:vAlign w:val="bottom"/>
            <w:hideMark/>
          </w:tcPr>
          <w:p w14:paraId="17EDE106" w14:textId="77777777" w:rsidR="00CD2482" w:rsidRPr="00A216BD" w:rsidRDefault="00CD2482" w:rsidP="00CD2482">
            <w:pPr>
              <w:spacing w:after="0" w:line="240" w:lineRule="auto"/>
              <w:rPr>
                <w:rFonts w:ascii="Calibri" w:eastAsia="Times New Roman" w:hAnsi="Calibri" w:cs="Arial"/>
                <w:i/>
                <w:iCs/>
                <w:sz w:val="20"/>
                <w:szCs w:val="20"/>
                <w:lang w:eastAsia="cs-CZ"/>
              </w:rPr>
            </w:pPr>
            <w:r w:rsidRPr="00A216BD">
              <w:rPr>
                <w:rFonts w:ascii="Calibri" w:eastAsia="Times New Roman" w:hAnsi="Calibri" w:cs="Arial"/>
                <w:i/>
                <w:iCs/>
                <w:sz w:val="20"/>
                <w:szCs w:val="20"/>
                <w:lang w:eastAsia="cs-CZ"/>
              </w:rPr>
              <w:t>5362  Platby daní a poplatků</w:t>
            </w:r>
          </w:p>
        </w:tc>
        <w:tc>
          <w:tcPr>
            <w:tcW w:w="1451" w:type="dxa"/>
            <w:tcBorders>
              <w:top w:val="nil"/>
              <w:left w:val="nil"/>
              <w:bottom w:val="single" w:sz="4" w:space="0" w:color="auto"/>
              <w:right w:val="single" w:sz="4" w:space="0" w:color="auto"/>
            </w:tcBorders>
            <w:shd w:val="clear" w:color="FFFFCC" w:fill="FFFFFF"/>
            <w:noWrap/>
            <w:vAlign w:val="bottom"/>
            <w:hideMark/>
          </w:tcPr>
          <w:p w14:paraId="1BDE6F89" w14:textId="77777777" w:rsidR="00CD2482" w:rsidRPr="00A216BD" w:rsidRDefault="00CD2482" w:rsidP="00CD2482">
            <w:pPr>
              <w:spacing w:after="0" w:line="240" w:lineRule="auto"/>
              <w:jc w:val="right"/>
              <w:rPr>
                <w:rFonts w:ascii="Calibri" w:eastAsia="Times New Roman" w:hAnsi="Calibri" w:cs="Arial"/>
                <w:i/>
                <w:iCs/>
                <w:sz w:val="20"/>
                <w:szCs w:val="20"/>
                <w:lang w:eastAsia="cs-CZ"/>
              </w:rPr>
            </w:pPr>
            <w:r w:rsidRPr="00A216BD">
              <w:rPr>
                <w:rFonts w:ascii="Calibri" w:eastAsia="Times New Roman" w:hAnsi="Calibri" w:cs="Arial"/>
                <w:i/>
                <w:iCs/>
                <w:sz w:val="20"/>
                <w:szCs w:val="20"/>
                <w:lang w:eastAsia="cs-CZ"/>
              </w:rPr>
              <w:t>4 100 000</w:t>
            </w:r>
          </w:p>
        </w:tc>
        <w:tc>
          <w:tcPr>
            <w:tcW w:w="1560" w:type="dxa"/>
            <w:tcBorders>
              <w:top w:val="nil"/>
              <w:left w:val="nil"/>
              <w:bottom w:val="single" w:sz="4" w:space="0" w:color="auto"/>
              <w:right w:val="single" w:sz="4" w:space="0" w:color="auto"/>
            </w:tcBorders>
            <w:shd w:val="clear" w:color="auto" w:fill="auto"/>
            <w:noWrap/>
            <w:vAlign w:val="bottom"/>
            <w:hideMark/>
          </w:tcPr>
          <w:p w14:paraId="3F6991C4" w14:textId="77777777" w:rsidR="00CD2482" w:rsidRPr="00A216BD" w:rsidRDefault="00CD2482" w:rsidP="00CD2482">
            <w:pPr>
              <w:spacing w:after="0" w:line="240" w:lineRule="auto"/>
              <w:jc w:val="right"/>
              <w:rPr>
                <w:rFonts w:ascii="Calibri" w:eastAsia="Times New Roman" w:hAnsi="Calibri" w:cs="Arial"/>
                <w:i/>
                <w:iCs/>
                <w:sz w:val="20"/>
                <w:szCs w:val="20"/>
                <w:lang w:eastAsia="cs-CZ"/>
              </w:rPr>
            </w:pPr>
            <w:r w:rsidRPr="00A216BD">
              <w:rPr>
                <w:rFonts w:ascii="Calibri" w:eastAsia="Times New Roman" w:hAnsi="Calibri" w:cs="Arial"/>
                <w:i/>
                <w:iCs/>
                <w:sz w:val="20"/>
                <w:szCs w:val="20"/>
                <w:lang w:eastAsia="cs-CZ"/>
              </w:rPr>
              <w:t>4 218 619,00</w:t>
            </w:r>
          </w:p>
        </w:tc>
        <w:tc>
          <w:tcPr>
            <w:tcW w:w="1559" w:type="dxa"/>
            <w:tcBorders>
              <w:top w:val="nil"/>
              <w:left w:val="nil"/>
              <w:bottom w:val="single" w:sz="4" w:space="0" w:color="auto"/>
              <w:right w:val="single" w:sz="4" w:space="0" w:color="auto"/>
            </w:tcBorders>
            <w:shd w:val="clear" w:color="auto" w:fill="auto"/>
            <w:noWrap/>
            <w:vAlign w:val="bottom"/>
            <w:hideMark/>
          </w:tcPr>
          <w:p w14:paraId="5009F27B" w14:textId="77777777" w:rsidR="00CD2482" w:rsidRPr="00A216BD" w:rsidRDefault="00CD2482" w:rsidP="00CD2482">
            <w:pPr>
              <w:spacing w:after="0" w:line="240" w:lineRule="auto"/>
              <w:jc w:val="right"/>
              <w:rPr>
                <w:rFonts w:ascii="Calibri" w:eastAsia="Times New Roman" w:hAnsi="Calibri" w:cs="Arial"/>
                <w:i/>
                <w:iCs/>
                <w:sz w:val="20"/>
                <w:szCs w:val="20"/>
                <w:lang w:eastAsia="cs-CZ"/>
              </w:rPr>
            </w:pPr>
            <w:r w:rsidRPr="00A216BD">
              <w:rPr>
                <w:rFonts w:ascii="Calibri" w:eastAsia="Times New Roman" w:hAnsi="Calibri" w:cs="Arial"/>
                <w:i/>
                <w:iCs/>
                <w:sz w:val="20"/>
                <w:szCs w:val="20"/>
                <w:lang w:eastAsia="cs-CZ"/>
              </w:rPr>
              <w:t>4 218 592,00</w:t>
            </w:r>
          </w:p>
        </w:tc>
        <w:tc>
          <w:tcPr>
            <w:tcW w:w="738" w:type="dxa"/>
            <w:tcBorders>
              <w:top w:val="nil"/>
              <w:left w:val="nil"/>
              <w:bottom w:val="single" w:sz="4" w:space="0" w:color="auto"/>
              <w:right w:val="single" w:sz="8" w:space="0" w:color="auto"/>
            </w:tcBorders>
            <w:shd w:val="clear" w:color="auto" w:fill="auto"/>
            <w:noWrap/>
            <w:vAlign w:val="bottom"/>
            <w:hideMark/>
          </w:tcPr>
          <w:p w14:paraId="28A83034" w14:textId="77777777" w:rsidR="00CD2482" w:rsidRPr="00A216BD" w:rsidRDefault="00CD2482" w:rsidP="00CD2482">
            <w:pPr>
              <w:spacing w:after="0" w:line="240" w:lineRule="auto"/>
              <w:jc w:val="right"/>
              <w:rPr>
                <w:rFonts w:ascii="Calibri" w:eastAsia="Times New Roman" w:hAnsi="Calibri" w:cs="Arial"/>
                <w:i/>
                <w:iCs/>
                <w:sz w:val="20"/>
                <w:szCs w:val="20"/>
                <w:lang w:eastAsia="cs-CZ"/>
              </w:rPr>
            </w:pPr>
            <w:r w:rsidRPr="00A216BD">
              <w:rPr>
                <w:rFonts w:ascii="Calibri" w:eastAsia="Times New Roman" w:hAnsi="Calibri" w:cs="Arial"/>
                <w:i/>
                <w:iCs/>
                <w:sz w:val="20"/>
                <w:szCs w:val="20"/>
                <w:lang w:eastAsia="cs-CZ"/>
              </w:rPr>
              <w:t>100,0</w:t>
            </w:r>
          </w:p>
        </w:tc>
      </w:tr>
      <w:tr w:rsidR="00CD2482" w:rsidRPr="00CD2482" w14:paraId="41C9C70A" w14:textId="77777777" w:rsidTr="00CD2482">
        <w:trPr>
          <w:trHeight w:val="300"/>
        </w:trPr>
        <w:tc>
          <w:tcPr>
            <w:tcW w:w="826"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4A45379" w14:textId="77777777" w:rsidR="00CD2482" w:rsidRPr="00CD2482" w:rsidRDefault="00CD2482" w:rsidP="00CD2482">
            <w:pPr>
              <w:spacing w:after="0" w:line="240" w:lineRule="auto"/>
              <w:rPr>
                <w:rFonts w:ascii="Calibri" w:eastAsia="Times New Roman" w:hAnsi="Calibri" w:cs="Arial"/>
                <w:b/>
                <w:bCs/>
                <w:sz w:val="20"/>
                <w:szCs w:val="20"/>
                <w:lang w:eastAsia="cs-CZ"/>
              </w:rPr>
            </w:pPr>
            <w:r w:rsidRPr="00CD2482">
              <w:rPr>
                <w:rFonts w:ascii="Calibri" w:eastAsia="Times New Roman" w:hAnsi="Calibri" w:cs="Arial"/>
                <w:b/>
                <w:bCs/>
                <w:sz w:val="20"/>
                <w:szCs w:val="20"/>
                <w:lang w:eastAsia="cs-CZ"/>
              </w:rPr>
              <w:t> </w:t>
            </w:r>
          </w:p>
        </w:tc>
        <w:tc>
          <w:tcPr>
            <w:tcW w:w="3960" w:type="dxa"/>
            <w:tcBorders>
              <w:top w:val="single" w:sz="8" w:space="0" w:color="auto"/>
              <w:left w:val="nil"/>
              <w:bottom w:val="single" w:sz="8" w:space="0" w:color="auto"/>
              <w:right w:val="single" w:sz="4" w:space="0" w:color="auto"/>
            </w:tcBorders>
            <w:shd w:val="clear" w:color="auto" w:fill="auto"/>
            <w:noWrap/>
            <w:vAlign w:val="bottom"/>
            <w:hideMark/>
          </w:tcPr>
          <w:p w14:paraId="0F2331EF" w14:textId="77777777" w:rsidR="00CD2482" w:rsidRPr="00CD2482" w:rsidRDefault="00CD2482" w:rsidP="00CD2482">
            <w:pPr>
              <w:spacing w:after="0" w:line="240" w:lineRule="auto"/>
              <w:rPr>
                <w:rFonts w:ascii="Calibri" w:eastAsia="Times New Roman" w:hAnsi="Calibri" w:cs="Arial"/>
                <w:b/>
                <w:bCs/>
                <w:lang w:eastAsia="cs-CZ"/>
              </w:rPr>
            </w:pPr>
            <w:r w:rsidRPr="00CD2482">
              <w:rPr>
                <w:rFonts w:ascii="Calibri" w:eastAsia="Times New Roman" w:hAnsi="Calibri" w:cs="Arial"/>
                <w:b/>
                <w:bCs/>
                <w:lang w:eastAsia="cs-CZ"/>
              </w:rPr>
              <w:t>Celkem</w:t>
            </w:r>
          </w:p>
        </w:tc>
        <w:tc>
          <w:tcPr>
            <w:tcW w:w="1451" w:type="dxa"/>
            <w:tcBorders>
              <w:top w:val="single" w:sz="8" w:space="0" w:color="auto"/>
              <w:left w:val="nil"/>
              <w:bottom w:val="single" w:sz="8" w:space="0" w:color="auto"/>
              <w:right w:val="single" w:sz="4" w:space="0" w:color="auto"/>
            </w:tcBorders>
            <w:shd w:val="clear" w:color="auto" w:fill="auto"/>
            <w:noWrap/>
            <w:vAlign w:val="bottom"/>
            <w:hideMark/>
          </w:tcPr>
          <w:p w14:paraId="543F63A8" w14:textId="77777777" w:rsidR="00CD2482" w:rsidRPr="00CD2482" w:rsidRDefault="00CD2482" w:rsidP="00CD2482">
            <w:pPr>
              <w:spacing w:after="0" w:line="240" w:lineRule="auto"/>
              <w:jc w:val="right"/>
              <w:rPr>
                <w:rFonts w:ascii="Calibri" w:eastAsia="Times New Roman" w:hAnsi="Calibri" w:cs="Arial"/>
                <w:b/>
                <w:bCs/>
                <w:lang w:eastAsia="cs-CZ"/>
              </w:rPr>
            </w:pPr>
            <w:r w:rsidRPr="00CD2482">
              <w:rPr>
                <w:rFonts w:ascii="Calibri" w:eastAsia="Times New Roman" w:hAnsi="Calibri" w:cs="Arial"/>
                <w:b/>
                <w:bCs/>
                <w:lang w:eastAsia="cs-CZ"/>
              </w:rPr>
              <w:t>12 607 000</w:t>
            </w:r>
          </w:p>
        </w:tc>
        <w:tc>
          <w:tcPr>
            <w:tcW w:w="1560" w:type="dxa"/>
            <w:tcBorders>
              <w:top w:val="single" w:sz="8" w:space="0" w:color="auto"/>
              <w:left w:val="nil"/>
              <w:bottom w:val="single" w:sz="8" w:space="0" w:color="auto"/>
              <w:right w:val="single" w:sz="4" w:space="0" w:color="auto"/>
            </w:tcBorders>
            <w:shd w:val="clear" w:color="auto" w:fill="auto"/>
            <w:noWrap/>
            <w:vAlign w:val="bottom"/>
            <w:hideMark/>
          </w:tcPr>
          <w:p w14:paraId="1EDF08F6" w14:textId="77777777" w:rsidR="00CD2482" w:rsidRPr="00CD2482" w:rsidRDefault="00CD2482" w:rsidP="00CD2482">
            <w:pPr>
              <w:spacing w:after="0" w:line="240" w:lineRule="auto"/>
              <w:jc w:val="right"/>
              <w:rPr>
                <w:rFonts w:ascii="Calibri" w:eastAsia="Times New Roman" w:hAnsi="Calibri" w:cs="Arial"/>
                <w:b/>
                <w:bCs/>
                <w:lang w:eastAsia="cs-CZ"/>
              </w:rPr>
            </w:pPr>
            <w:r w:rsidRPr="00CD2482">
              <w:rPr>
                <w:rFonts w:ascii="Calibri" w:eastAsia="Times New Roman" w:hAnsi="Calibri" w:cs="Arial"/>
                <w:b/>
                <w:bCs/>
                <w:lang w:eastAsia="cs-CZ"/>
              </w:rPr>
              <w:t>143 910 319,48</w:t>
            </w:r>
          </w:p>
        </w:tc>
        <w:tc>
          <w:tcPr>
            <w:tcW w:w="1559" w:type="dxa"/>
            <w:tcBorders>
              <w:top w:val="single" w:sz="8" w:space="0" w:color="auto"/>
              <w:left w:val="nil"/>
              <w:bottom w:val="single" w:sz="8" w:space="0" w:color="auto"/>
              <w:right w:val="single" w:sz="4" w:space="0" w:color="auto"/>
            </w:tcBorders>
            <w:shd w:val="clear" w:color="auto" w:fill="auto"/>
            <w:noWrap/>
            <w:vAlign w:val="bottom"/>
            <w:hideMark/>
          </w:tcPr>
          <w:p w14:paraId="6D67928A" w14:textId="77777777" w:rsidR="00CD2482" w:rsidRPr="00CD2482" w:rsidRDefault="00CD2482" w:rsidP="00CD2482">
            <w:pPr>
              <w:spacing w:after="0" w:line="240" w:lineRule="auto"/>
              <w:jc w:val="right"/>
              <w:rPr>
                <w:rFonts w:ascii="Calibri" w:eastAsia="Times New Roman" w:hAnsi="Calibri" w:cs="Arial"/>
                <w:b/>
                <w:bCs/>
                <w:lang w:eastAsia="cs-CZ"/>
              </w:rPr>
            </w:pPr>
            <w:r w:rsidRPr="00CD2482">
              <w:rPr>
                <w:rFonts w:ascii="Calibri" w:eastAsia="Times New Roman" w:hAnsi="Calibri" w:cs="Arial"/>
                <w:b/>
                <w:bCs/>
                <w:lang w:eastAsia="cs-CZ"/>
              </w:rPr>
              <w:t>111 030 263,27</w:t>
            </w:r>
          </w:p>
        </w:tc>
        <w:tc>
          <w:tcPr>
            <w:tcW w:w="738" w:type="dxa"/>
            <w:tcBorders>
              <w:top w:val="single" w:sz="8" w:space="0" w:color="auto"/>
              <w:left w:val="nil"/>
              <w:bottom w:val="single" w:sz="8" w:space="0" w:color="auto"/>
              <w:right w:val="single" w:sz="8" w:space="0" w:color="auto"/>
            </w:tcBorders>
            <w:shd w:val="clear" w:color="auto" w:fill="auto"/>
            <w:noWrap/>
            <w:vAlign w:val="bottom"/>
            <w:hideMark/>
          </w:tcPr>
          <w:p w14:paraId="396DBBC8" w14:textId="77777777" w:rsidR="00CD2482" w:rsidRPr="00CD2482" w:rsidRDefault="00CD2482" w:rsidP="00CD2482">
            <w:pPr>
              <w:spacing w:after="0" w:line="240" w:lineRule="auto"/>
              <w:jc w:val="right"/>
              <w:rPr>
                <w:rFonts w:ascii="Calibri" w:eastAsia="Times New Roman" w:hAnsi="Calibri" w:cs="Arial"/>
                <w:b/>
                <w:bCs/>
                <w:lang w:eastAsia="cs-CZ"/>
              </w:rPr>
            </w:pPr>
            <w:r w:rsidRPr="00CD2482">
              <w:rPr>
                <w:rFonts w:ascii="Calibri" w:eastAsia="Times New Roman" w:hAnsi="Calibri" w:cs="Arial"/>
                <w:b/>
                <w:bCs/>
                <w:lang w:eastAsia="cs-CZ"/>
              </w:rPr>
              <w:t>77,2</w:t>
            </w:r>
          </w:p>
        </w:tc>
      </w:tr>
      <w:tr w:rsidR="00CD2482" w:rsidRPr="00CD2482" w14:paraId="51DC1180" w14:textId="77777777" w:rsidTr="00CD2482">
        <w:trPr>
          <w:trHeight w:val="300"/>
        </w:trPr>
        <w:tc>
          <w:tcPr>
            <w:tcW w:w="826" w:type="dxa"/>
            <w:tcBorders>
              <w:top w:val="nil"/>
              <w:left w:val="nil"/>
              <w:bottom w:val="nil"/>
              <w:right w:val="nil"/>
            </w:tcBorders>
            <w:shd w:val="clear" w:color="auto" w:fill="auto"/>
            <w:noWrap/>
            <w:vAlign w:val="bottom"/>
            <w:hideMark/>
          </w:tcPr>
          <w:p w14:paraId="74E5AD3C" w14:textId="77777777" w:rsidR="00CD2482" w:rsidRPr="00CD2482" w:rsidRDefault="00CD2482" w:rsidP="00CD2482">
            <w:pPr>
              <w:spacing w:after="0" w:line="240" w:lineRule="auto"/>
              <w:jc w:val="right"/>
              <w:rPr>
                <w:rFonts w:ascii="Calibri" w:eastAsia="Times New Roman" w:hAnsi="Calibri" w:cs="Arial"/>
                <w:b/>
                <w:bCs/>
                <w:lang w:eastAsia="cs-CZ"/>
              </w:rPr>
            </w:pPr>
          </w:p>
        </w:tc>
        <w:tc>
          <w:tcPr>
            <w:tcW w:w="3960" w:type="dxa"/>
            <w:tcBorders>
              <w:top w:val="nil"/>
              <w:left w:val="nil"/>
              <w:bottom w:val="nil"/>
              <w:right w:val="nil"/>
            </w:tcBorders>
            <w:shd w:val="clear" w:color="auto" w:fill="auto"/>
            <w:noWrap/>
            <w:vAlign w:val="bottom"/>
            <w:hideMark/>
          </w:tcPr>
          <w:p w14:paraId="2A33D880" w14:textId="77777777" w:rsidR="00CD2482" w:rsidRPr="00CD2482" w:rsidRDefault="00CD2482" w:rsidP="00CD2482">
            <w:pPr>
              <w:spacing w:after="0" w:line="240" w:lineRule="auto"/>
              <w:rPr>
                <w:rFonts w:ascii="Times New Roman" w:eastAsia="Times New Roman" w:hAnsi="Times New Roman" w:cs="Times New Roman"/>
                <w:sz w:val="20"/>
                <w:szCs w:val="20"/>
                <w:lang w:eastAsia="cs-CZ"/>
              </w:rPr>
            </w:pPr>
          </w:p>
        </w:tc>
        <w:tc>
          <w:tcPr>
            <w:tcW w:w="1451" w:type="dxa"/>
            <w:tcBorders>
              <w:top w:val="nil"/>
              <w:left w:val="nil"/>
              <w:bottom w:val="nil"/>
              <w:right w:val="nil"/>
            </w:tcBorders>
            <w:shd w:val="clear" w:color="auto" w:fill="auto"/>
            <w:noWrap/>
            <w:vAlign w:val="bottom"/>
            <w:hideMark/>
          </w:tcPr>
          <w:p w14:paraId="22056A2A" w14:textId="77777777" w:rsidR="00CD2482" w:rsidRPr="00CD2482" w:rsidRDefault="00CD2482" w:rsidP="00CD2482">
            <w:pPr>
              <w:spacing w:after="0" w:line="240" w:lineRule="auto"/>
              <w:rPr>
                <w:rFonts w:ascii="Times New Roman" w:eastAsia="Times New Roman" w:hAnsi="Times New Roman" w:cs="Times New Roman"/>
                <w:sz w:val="20"/>
                <w:szCs w:val="20"/>
                <w:lang w:eastAsia="cs-CZ"/>
              </w:rPr>
            </w:pPr>
          </w:p>
        </w:tc>
        <w:tc>
          <w:tcPr>
            <w:tcW w:w="1560" w:type="dxa"/>
            <w:tcBorders>
              <w:top w:val="nil"/>
              <w:left w:val="nil"/>
              <w:bottom w:val="nil"/>
              <w:right w:val="nil"/>
            </w:tcBorders>
            <w:shd w:val="clear" w:color="auto" w:fill="auto"/>
            <w:noWrap/>
            <w:vAlign w:val="bottom"/>
            <w:hideMark/>
          </w:tcPr>
          <w:p w14:paraId="44C6818F" w14:textId="77777777" w:rsidR="00CD2482" w:rsidRPr="00CD2482" w:rsidRDefault="00CD2482" w:rsidP="00CD2482">
            <w:pPr>
              <w:spacing w:after="0" w:line="240" w:lineRule="auto"/>
              <w:jc w:val="right"/>
              <w:rPr>
                <w:rFonts w:ascii="Times New Roman" w:eastAsia="Times New Roman" w:hAnsi="Times New Roman" w:cs="Times New Roman"/>
                <w:sz w:val="20"/>
                <w:szCs w:val="20"/>
                <w:lang w:eastAsia="cs-CZ"/>
              </w:rPr>
            </w:pPr>
          </w:p>
        </w:tc>
        <w:tc>
          <w:tcPr>
            <w:tcW w:w="1559" w:type="dxa"/>
            <w:tcBorders>
              <w:top w:val="nil"/>
              <w:left w:val="nil"/>
              <w:bottom w:val="nil"/>
              <w:right w:val="nil"/>
            </w:tcBorders>
            <w:shd w:val="clear" w:color="auto" w:fill="auto"/>
            <w:noWrap/>
            <w:vAlign w:val="bottom"/>
            <w:hideMark/>
          </w:tcPr>
          <w:p w14:paraId="0E651C8D" w14:textId="77777777" w:rsidR="00CD2482" w:rsidRPr="00CD2482" w:rsidRDefault="00CD2482" w:rsidP="00CD2482">
            <w:pPr>
              <w:spacing w:after="0" w:line="240" w:lineRule="auto"/>
              <w:rPr>
                <w:rFonts w:ascii="Times New Roman" w:eastAsia="Times New Roman" w:hAnsi="Times New Roman" w:cs="Times New Roman"/>
                <w:sz w:val="20"/>
                <w:szCs w:val="20"/>
                <w:lang w:eastAsia="cs-CZ"/>
              </w:rPr>
            </w:pPr>
          </w:p>
        </w:tc>
        <w:tc>
          <w:tcPr>
            <w:tcW w:w="738" w:type="dxa"/>
            <w:tcBorders>
              <w:top w:val="nil"/>
              <w:left w:val="nil"/>
              <w:bottom w:val="nil"/>
              <w:right w:val="nil"/>
            </w:tcBorders>
            <w:shd w:val="clear" w:color="auto" w:fill="auto"/>
            <w:noWrap/>
            <w:vAlign w:val="bottom"/>
            <w:hideMark/>
          </w:tcPr>
          <w:p w14:paraId="5804F948" w14:textId="77777777" w:rsidR="00CD2482" w:rsidRPr="00CD2482" w:rsidRDefault="00CD2482" w:rsidP="00CD2482">
            <w:pPr>
              <w:spacing w:after="0" w:line="240" w:lineRule="auto"/>
              <w:rPr>
                <w:rFonts w:ascii="Times New Roman" w:eastAsia="Times New Roman" w:hAnsi="Times New Roman" w:cs="Times New Roman"/>
                <w:sz w:val="20"/>
                <w:szCs w:val="20"/>
                <w:lang w:eastAsia="cs-CZ"/>
              </w:rPr>
            </w:pPr>
          </w:p>
        </w:tc>
      </w:tr>
      <w:tr w:rsidR="00CD2482" w:rsidRPr="00CD2482" w14:paraId="759C6D21" w14:textId="77777777" w:rsidTr="00CD2482">
        <w:trPr>
          <w:trHeight w:val="360"/>
        </w:trPr>
        <w:tc>
          <w:tcPr>
            <w:tcW w:w="826" w:type="dxa"/>
            <w:tcBorders>
              <w:top w:val="nil"/>
              <w:left w:val="nil"/>
              <w:bottom w:val="nil"/>
              <w:right w:val="nil"/>
            </w:tcBorders>
            <w:shd w:val="clear" w:color="auto" w:fill="auto"/>
            <w:noWrap/>
            <w:vAlign w:val="bottom"/>
            <w:hideMark/>
          </w:tcPr>
          <w:p w14:paraId="02984D3F" w14:textId="77777777" w:rsidR="00CD2482" w:rsidRPr="00CD2482" w:rsidRDefault="00CD2482" w:rsidP="00CD2482">
            <w:pPr>
              <w:spacing w:after="0" w:line="240" w:lineRule="auto"/>
              <w:jc w:val="right"/>
              <w:rPr>
                <w:rFonts w:ascii="Calibri" w:eastAsia="Times New Roman" w:hAnsi="Calibri" w:cs="Arial"/>
                <w:color w:val="FFFFFF"/>
                <w:sz w:val="20"/>
                <w:szCs w:val="20"/>
                <w:lang w:eastAsia="cs-CZ"/>
              </w:rPr>
            </w:pPr>
            <w:r w:rsidRPr="00CD2482">
              <w:rPr>
                <w:rFonts w:ascii="Calibri" w:eastAsia="Times New Roman" w:hAnsi="Calibri" w:cs="Arial"/>
                <w:color w:val="FFFFFF"/>
                <w:sz w:val="20"/>
                <w:szCs w:val="20"/>
                <w:lang w:eastAsia="cs-CZ"/>
              </w:rPr>
              <w:t>6</w:t>
            </w:r>
          </w:p>
        </w:tc>
        <w:tc>
          <w:tcPr>
            <w:tcW w:w="3960" w:type="dxa"/>
            <w:tcBorders>
              <w:top w:val="nil"/>
              <w:left w:val="nil"/>
              <w:bottom w:val="nil"/>
              <w:right w:val="nil"/>
            </w:tcBorders>
            <w:shd w:val="clear" w:color="auto" w:fill="auto"/>
            <w:noWrap/>
            <w:vAlign w:val="bottom"/>
            <w:hideMark/>
          </w:tcPr>
          <w:p w14:paraId="27D81306" w14:textId="77777777" w:rsidR="00CD2482" w:rsidRPr="00CD2482" w:rsidRDefault="00CD2482" w:rsidP="00CD2482">
            <w:pPr>
              <w:spacing w:after="0" w:line="240" w:lineRule="auto"/>
              <w:rPr>
                <w:rFonts w:ascii="Calibri" w:eastAsia="Times New Roman" w:hAnsi="Calibri" w:cs="Arial"/>
                <w:b/>
                <w:bCs/>
                <w:lang w:eastAsia="cs-CZ"/>
              </w:rPr>
            </w:pPr>
            <w:r w:rsidRPr="00CD2482">
              <w:rPr>
                <w:rFonts w:ascii="Calibri" w:eastAsia="Times New Roman" w:hAnsi="Calibri" w:cs="Arial"/>
                <w:b/>
                <w:bCs/>
                <w:lang w:eastAsia="cs-CZ"/>
              </w:rPr>
              <w:t>Kapitálové výdaje</w:t>
            </w:r>
          </w:p>
        </w:tc>
        <w:tc>
          <w:tcPr>
            <w:tcW w:w="1451" w:type="dxa"/>
            <w:tcBorders>
              <w:top w:val="nil"/>
              <w:left w:val="nil"/>
              <w:bottom w:val="nil"/>
              <w:right w:val="nil"/>
            </w:tcBorders>
            <w:shd w:val="clear" w:color="auto" w:fill="auto"/>
            <w:noWrap/>
            <w:vAlign w:val="bottom"/>
            <w:hideMark/>
          </w:tcPr>
          <w:p w14:paraId="275E9C4F" w14:textId="77777777" w:rsidR="00CD2482" w:rsidRPr="00CD2482" w:rsidRDefault="00CD2482" w:rsidP="00CD2482">
            <w:pPr>
              <w:spacing w:after="0" w:line="240" w:lineRule="auto"/>
              <w:rPr>
                <w:rFonts w:ascii="Calibri" w:eastAsia="Times New Roman" w:hAnsi="Calibri" w:cs="Arial"/>
                <w:b/>
                <w:bCs/>
                <w:lang w:eastAsia="cs-CZ"/>
              </w:rPr>
            </w:pPr>
          </w:p>
        </w:tc>
        <w:tc>
          <w:tcPr>
            <w:tcW w:w="1560" w:type="dxa"/>
            <w:tcBorders>
              <w:top w:val="nil"/>
              <w:left w:val="nil"/>
              <w:bottom w:val="nil"/>
              <w:right w:val="nil"/>
            </w:tcBorders>
            <w:shd w:val="clear" w:color="auto" w:fill="auto"/>
            <w:noWrap/>
            <w:vAlign w:val="bottom"/>
            <w:hideMark/>
          </w:tcPr>
          <w:p w14:paraId="739F45FB" w14:textId="77777777" w:rsidR="00CD2482" w:rsidRPr="00CD2482" w:rsidRDefault="00CD2482" w:rsidP="00CD2482">
            <w:pPr>
              <w:spacing w:after="0" w:line="240" w:lineRule="auto"/>
              <w:jc w:val="right"/>
              <w:rPr>
                <w:rFonts w:ascii="Times New Roman" w:eastAsia="Times New Roman" w:hAnsi="Times New Roman" w:cs="Times New Roman"/>
                <w:sz w:val="20"/>
                <w:szCs w:val="20"/>
                <w:lang w:eastAsia="cs-CZ"/>
              </w:rPr>
            </w:pPr>
          </w:p>
        </w:tc>
        <w:tc>
          <w:tcPr>
            <w:tcW w:w="1559" w:type="dxa"/>
            <w:tcBorders>
              <w:top w:val="nil"/>
              <w:left w:val="nil"/>
              <w:bottom w:val="nil"/>
              <w:right w:val="nil"/>
            </w:tcBorders>
            <w:shd w:val="clear" w:color="auto" w:fill="auto"/>
            <w:noWrap/>
            <w:vAlign w:val="bottom"/>
            <w:hideMark/>
          </w:tcPr>
          <w:p w14:paraId="404CB2BB" w14:textId="77777777" w:rsidR="00CD2482" w:rsidRPr="00CD2482" w:rsidRDefault="00CD2482" w:rsidP="00CD2482">
            <w:pPr>
              <w:spacing w:after="0" w:line="240" w:lineRule="auto"/>
              <w:jc w:val="right"/>
              <w:rPr>
                <w:rFonts w:ascii="Times New Roman" w:eastAsia="Times New Roman" w:hAnsi="Times New Roman" w:cs="Times New Roman"/>
                <w:sz w:val="20"/>
                <w:szCs w:val="20"/>
                <w:lang w:eastAsia="cs-CZ"/>
              </w:rPr>
            </w:pPr>
          </w:p>
        </w:tc>
        <w:tc>
          <w:tcPr>
            <w:tcW w:w="738" w:type="dxa"/>
            <w:tcBorders>
              <w:top w:val="nil"/>
              <w:left w:val="nil"/>
              <w:bottom w:val="nil"/>
              <w:right w:val="nil"/>
            </w:tcBorders>
            <w:shd w:val="clear" w:color="auto" w:fill="auto"/>
            <w:noWrap/>
            <w:vAlign w:val="bottom"/>
            <w:hideMark/>
          </w:tcPr>
          <w:p w14:paraId="59719636" w14:textId="77777777" w:rsidR="00CD2482" w:rsidRPr="00CD2482" w:rsidRDefault="00CD2482" w:rsidP="00CD2482">
            <w:pPr>
              <w:spacing w:after="0" w:line="240" w:lineRule="auto"/>
              <w:jc w:val="right"/>
              <w:rPr>
                <w:rFonts w:ascii="Times New Roman" w:eastAsia="Times New Roman" w:hAnsi="Times New Roman" w:cs="Times New Roman"/>
                <w:sz w:val="20"/>
                <w:szCs w:val="20"/>
                <w:lang w:eastAsia="cs-CZ"/>
              </w:rPr>
            </w:pPr>
          </w:p>
        </w:tc>
      </w:tr>
      <w:tr w:rsidR="00CD2482" w:rsidRPr="00CD2482" w14:paraId="6F2ABF4B" w14:textId="77777777" w:rsidTr="00CD2482">
        <w:trPr>
          <w:trHeight w:val="360"/>
        </w:trPr>
        <w:tc>
          <w:tcPr>
            <w:tcW w:w="826"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0D139130"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3613</w:t>
            </w:r>
          </w:p>
        </w:tc>
        <w:tc>
          <w:tcPr>
            <w:tcW w:w="3960" w:type="dxa"/>
            <w:tcBorders>
              <w:top w:val="single" w:sz="8" w:space="0" w:color="auto"/>
              <w:left w:val="nil"/>
              <w:bottom w:val="single" w:sz="4" w:space="0" w:color="auto"/>
              <w:right w:val="single" w:sz="4" w:space="0" w:color="auto"/>
            </w:tcBorders>
            <w:shd w:val="clear" w:color="auto" w:fill="auto"/>
            <w:noWrap/>
            <w:vAlign w:val="bottom"/>
            <w:hideMark/>
          </w:tcPr>
          <w:p w14:paraId="42B59E34" w14:textId="77777777" w:rsidR="00CD2482" w:rsidRPr="00CD2482" w:rsidRDefault="00CD2482" w:rsidP="00CD2482">
            <w:pPr>
              <w:spacing w:after="0" w:line="240" w:lineRule="auto"/>
              <w:rPr>
                <w:rFonts w:ascii="Calibri" w:eastAsia="Times New Roman" w:hAnsi="Calibri" w:cs="Arial"/>
                <w:sz w:val="20"/>
                <w:szCs w:val="20"/>
                <w:lang w:eastAsia="cs-CZ"/>
              </w:rPr>
            </w:pPr>
            <w:r w:rsidRPr="00CD2482">
              <w:rPr>
                <w:rFonts w:ascii="Calibri" w:eastAsia="Times New Roman" w:hAnsi="Calibri" w:cs="Arial"/>
                <w:sz w:val="20"/>
                <w:szCs w:val="20"/>
                <w:lang w:eastAsia="cs-CZ"/>
              </w:rPr>
              <w:t>Nebytové hospodářství</w:t>
            </w:r>
          </w:p>
        </w:tc>
        <w:tc>
          <w:tcPr>
            <w:tcW w:w="1451" w:type="dxa"/>
            <w:tcBorders>
              <w:top w:val="single" w:sz="8" w:space="0" w:color="auto"/>
              <w:left w:val="nil"/>
              <w:bottom w:val="single" w:sz="4" w:space="0" w:color="auto"/>
              <w:right w:val="single" w:sz="4" w:space="0" w:color="auto"/>
            </w:tcBorders>
            <w:shd w:val="clear" w:color="auto" w:fill="auto"/>
            <w:noWrap/>
            <w:vAlign w:val="bottom"/>
            <w:hideMark/>
          </w:tcPr>
          <w:p w14:paraId="4C82FA78"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0</w:t>
            </w:r>
          </w:p>
        </w:tc>
        <w:tc>
          <w:tcPr>
            <w:tcW w:w="1560" w:type="dxa"/>
            <w:tcBorders>
              <w:top w:val="single" w:sz="8" w:space="0" w:color="auto"/>
              <w:left w:val="nil"/>
              <w:bottom w:val="single" w:sz="4" w:space="0" w:color="auto"/>
              <w:right w:val="single" w:sz="4" w:space="0" w:color="auto"/>
            </w:tcBorders>
            <w:shd w:val="clear" w:color="auto" w:fill="auto"/>
            <w:noWrap/>
            <w:vAlign w:val="bottom"/>
            <w:hideMark/>
          </w:tcPr>
          <w:p w14:paraId="57CFB5AB"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184 709,00</w:t>
            </w:r>
          </w:p>
        </w:tc>
        <w:tc>
          <w:tcPr>
            <w:tcW w:w="1559" w:type="dxa"/>
            <w:tcBorders>
              <w:top w:val="single" w:sz="8" w:space="0" w:color="auto"/>
              <w:left w:val="nil"/>
              <w:bottom w:val="single" w:sz="4" w:space="0" w:color="auto"/>
              <w:right w:val="single" w:sz="4" w:space="0" w:color="auto"/>
            </w:tcBorders>
            <w:shd w:val="clear" w:color="auto" w:fill="auto"/>
            <w:noWrap/>
            <w:vAlign w:val="bottom"/>
            <w:hideMark/>
          </w:tcPr>
          <w:p w14:paraId="5679466C"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36 015,44</w:t>
            </w:r>
          </w:p>
        </w:tc>
        <w:tc>
          <w:tcPr>
            <w:tcW w:w="738" w:type="dxa"/>
            <w:tcBorders>
              <w:top w:val="single" w:sz="8" w:space="0" w:color="auto"/>
              <w:left w:val="nil"/>
              <w:bottom w:val="single" w:sz="4" w:space="0" w:color="auto"/>
              <w:right w:val="single" w:sz="8" w:space="0" w:color="auto"/>
            </w:tcBorders>
            <w:shd w:val="clear" w:color="auto" w:fill="auto"/>
            <w:noWrap/>
            <w:vAlign w:val="bottom"/>
            <w:hideMark/>
          </w:tcPr>
          <w:p w14:paraId="058F8D42"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19,5</w:t>
            </w:r>
          </w:p>
        </w:tc>
      </w:tr>
      <w:tr w:rsidR="00CD2482" w:rsidRPr="00CD2482" w14:paraId="2027A671" w14:textId="77777777" w:rsidTr="00CD2482">
        <w:trPr>
          <w:trHeight w:val="30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55F9816D"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 </w:t>
            </w:r>
          </w:p>
        </w:tc>
        <w:tc>
          <w:tcPr>
            <w:tcW w:w="3960" w:type="dxa"/>
            <w:tcBorders>
              <w:top w:val="nil"/>
              <w:left w:val="nil"/>
              <w:bottom w:val="single" w:sz="4" w:space="0" w:color="auto"/>
              <w:right w:val="single" w:sz="4" w:space="0" w:color="auto"/>
            </w:tcBorders>
            <w:shd w:val="clear" w:color="auto" w:fill="auto"/>
            <w:noWrap/>
            <w:vAlign w:val="bottom"/>
            <w:hideMark/>
          </w:tcPr>
          <w:p w14:paraId="5FE72310" w14:textId="77777777" w:rsidR="00CD2482" w:rsidRPr="00CD2482" w:rsidRDefault="00CD2482" w:rsidP="00CD2482">
            <w:pPr>
              <w:spacing w:after="0" w:line="240" w:lineRule="auto"/>
              <w:rPr>
                <w:rFonts w:ascii="Calibri" w:eastAsia="Times New Roman" w:hAnsi="Calibri" w:cs="Arial"/>
                <w:sz w:val="20"/>
                <w:szCs w:val="20"/>
                <w:lang w:eastAsia="cs-CZ"/>
              </w:rPr>
            </w:pPr>
            <w:r w:rsidRPr="00CD2482">
              <w:rPr>
                <w:rFonts w:ascii="Calibri" w:eastAsia="Times New Roman" w:hAnsi="Calibri" w:cs="Arial"/>
                <w:sz w:val="20"/>
                <w:szCs w:val="20"/>
                <w:lang w:eastAsia="cs-CZ"/>
              </w:rPr>
              <w:t>Participativní rozpočet</w:t>
            </w:r>
          </w:p>
        </w:tc>
        <w:tc>
          <w:tcPr>
            <w:tcW w:w="1451" w:type="dxa"/>
            <w:tcBorders>
              <w:top w:val="nil"/>
              <w:left w:val="nil"/>
              <w:bottom w:val="single" w:sz="4" w:space="0" w:color="auto"/>
              <w:right w:val="single" w:sz="4" w:space="0" w:color="auto"/>
            </w:tcBorders>
            <w:shd w:val="clear" w:color="auto" w:fill="auto"/>
            <w:noWrap/>
            <w:vAlign w:val="bottom"/>
            <w:hideMark/>
          </w:tcPr>
          <w:p w14:paraId="41390F4E"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0</w:t>
            </w:r>
          </w:p>
        </w:tc>
        <w:tc>
          <w:tcPr>
            <w:tcW w:w="1560" w:type="dxa"/>
            <w:tcBorders>
              <w:top w:val="nil"/>
              <w:left w:val="nil"/>
              <w:bottom w:val="single" w:sz="4" w:space="0" w:color="auto"/>
              <w:right w:val="single" w:sz="4" w:space="0" w:color="auto"/>
            </w:tcBorders>
            <w:shd w:val="clear" w:color="auto" w:fill="auto"/>
            <w:noWrap/>
            <w:vAlign w:val="bottom"/>
            <w:hideMark/>
          </w:tcPr>
          <w:p w14:paraId="450CEBCB"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29 470 699,43</w:t>
            </w:r>
          </w:p>
        </w:tc>
        <w:tc>
          <w:tcPr>
            <w:tcW w:w="1559" w:type="dxa"/>
            <w:tcBorders>
              <w:top w:val="nil"/>
              <w:left w:val="nil"/>
              <w:bottom w:val="single" w:sz="4" w:space="0" w:color="auto"/>
              <w:right w:val="single" w:sz="4" w:space="0" w:color="auto"/>
            </w:tcBorders>
            <w:shd w:val="clear" w:color="auto" w:fill="auto"/>
            <w:noWrap/>
            <w:vAlign w:val="bottom"/>
            <w:hideMark/>
          </w:tcPr>
          <w:p w14:paraId="1BBE9707"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24 577 926,33</w:t>
            </w:r>
          </w:p>
        </w:tc>
        <w:tc>
          <w:tcPr>
            <w:tcW w:w="738" w:type="dxa"/>
            <w:tcBorders>
              <w:top w:val="nil"/>
              <w:left w:val="nil"/>
              <w:bottom w:val="single" w:sz="4" w:space="0" w:color="auto"/>
              <w:right w:val="single" w:sz="8" w:space="0" w:color="auto"/>
            </w:tcBorders>
            <w:shd w:val="clear" w:color="auto" w:fill="auto"/>
            <w:noWrap/>
            <w:vAlign w:val="bottom"/>
            <w:hideMark/>
          </w:tcPr>
          <w:p w14:paraId="79B49792"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83,4</w:t>
            </w:r>
          </w:p>
        </w:tc>
      </w:tr>
      <w:tr w:rsidR="00CD2482" w:rsidRPr="00CD2482" w14:paraId="7A782FDE" w14:textId="77777777" w:rsidTr="00CD2482">
        <w:trPr>
          <w:trHeight w:val="30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2C28EDD5" w14:textId="77777777" w:rsidR="00CD2482" w:rsidRPr="00CD2482" w:rsidRDefault="00CD2482" w:rsidP="00CD2482">
            <w:pPr>
              <w:spacing w:after="0" w:line="240" w:lineRule="auto"/>
              <w:jc w:val="center"/>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 </w:t>
            </w:r>
          </w:p>
        </w:tc>
        <w:tc>
          <w:tcPr>
            <w:tcW w:w="3960" w:type="dxa"/>
            <w:tcBorders>
              <w:top w:val="nil"/>
              <w:left w:val="nil"/>
              <w:bottom w:val="single" w:sz="4" w:space="0" w:color="auto"/>
              <w:right w:val="single" w:sz="4" w:space="0" w:color="auto"/>
            </w:tcBorders>
            <w:shd w:val="clear" w:color="auto" w:fill="auto"/>
            <w:noWrap/>
            <w:vAlign w:val="bottom"/>
            <w:hideMark/>
          </w:tcPr>
          <w:p w14:paraId="3938C15F" w14:textId="77777777" w:rsidR="00CD2482" w:rsidRPr="00CD2482" w:rsidRDefault="00CD2482" w:rsidP="00CD2482">
            <w:pPr>
              <w:spacing w:after="0" w:line="240" w:lineRule="auto"/>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z toho:</w:t>
            </w:r>
          </w:p>
        </w:tc>
        <w:tc>
          <w:tcPr>
            <w:tcW w:w="1451" w:type="dxa"/>
            <w:tcBorders>
              <w:top w:val="nil"/>
              <w:left w:val="nil"/>
              <w:bottom w:val="single" w:sz="4" w:space="0" w:color="auto"/>
              <w:right w:val="single" w:sz="4" w:space="0" w:color="auto"/>
            </w:tcBorders>
            <w:shd w:val="clear" w:color="auto" w:fill="auto"/>
            <w:noWrap/>
            <w:vAlign w:val="bottom"/>
            <w:hideMark/>
          </w:tcPr>
          <w:p w14:paraId="515F2DCE" w14:textId="77777777" w:rsidR="00CD2482" w:rsidRPr="00CD2482" w:rsidRDefault="00CD2482" w:rsidP="00CD2482">
            <w:pPr>
              <w:spacing w:after="0" w:line="240" w:lineRule="auto"/>
              <w:rPr>
                <w:rFonts w:ascii="Calibri" w:eastAsia="Times New Roman" w:hAnsi="Calibri" w:cs="Arial"/>
                <w:sz w:val="20"/>
                <w:szCs w:val="20"/>
                <w:lang w:eastAsia="cs-CZ"/>
              </w:rPr>
            </w:pPr>
            <w:r w:rsidRPr="00CD2482">
              <w:rPr>
                <w:rFonts w:ascii="Calibri" w:eastAsia="Times New Roman" w:hAnsi="Calibri" w:cs="Arial"/>
                <w:sz w:val="20"/>
                <w:szCs w:val="20"/>
                <w:lang w:eastAsia="cs-CZ"/>
              </w:rPr>
              <w:t> </w:t>
            </w:r>
          </w:p>
        </w:tc>
        <w:tc>
          <w:tcPr>
            <w:tcW w:w="1560" w:type="dxa"/>
            <w:tcBorders>
              <w:top w:val="nil"/>
              <w:left w:val="nil"/>
              <w:bottom w:val="single" w:sz="4" w:space="0" w:color="auto"/>
              <w:right w:val="single" w:sz="4" w:space="0" w:color="auto"/>
            </w:tcBorders>
            <w:shd w:val="clear" w:color="auto" w:fill="auto"/>
            <w:noWrap/>
            <w:vAlign w:val="bottom"/>
            <w:hideMark/>
          </w:tcPr>
          <w:p w14:paraId="4B6D1EF0" w14:textId="77777777" w:rsidR="00CD2482" w:rsidRPr="00CD2482" w:rsidRDefault="00CD2482" w:rsidP="00CD2482">
            <w:pPr>
              <w:spacing w:after="0" w:line="240" w:lineRule="auto"/>
              <w:rPr>
                <w:rFonts w:ascii="Calibri" w:eastAsia="Times New Roman" w:hAnsi="Calibri" w:cs="Arial"/>
                <w:sz w:val="20"/>
                <w:szCs w:val="20"/>
                <w:lang w:eastAsia="cs-CZ"/>
              </w:rPr>
            </w:pPr>
            <w:r w:rsidRPr="00CD2482">
              <w:rPr>
                <w:rFonts w:ascii="Calibri" w:eastAsia="Times New Roman" w:hAnsi="Calibri" w:cs="Arial"/>
                <w:sz w:val="20"/>
                <w:szCs w:val="20"/>
                <w:lang w:eastAsia="cs-CZ"/>
              </w:rPr>
              <w:t> </w:t>
            </w:r>
          </w:p>
        </w:tc>
        <w:tc>
          <w:tcPr>
            <w:tcW w:w="1559" w:type="dxa"/>
            <w:tcBorders>
              <w:top w:val="nil"/>
              <w:left w:val="nil"/>
              <w:bottom w:val="single" w:sz="4" w:space="0" w:color="auto"/>
              <w:right w:val="single" w:sz="4" w:space="0" w:color="auto"/>
            </w:tcBorders>
            <w:shd w:val="clear" w:color="auto" w:fill="auto"/>
            <w:noWrap/>
            <w:vAlign w:val="bottom"/>
            <w:hideMark/>
          </w:tcPr>
          <w:p w14:paraId="3448B4A1" w14:textId="77777777" w:rsidR="00CD2482" w:rsidRPr="00CD2482" w:rsidRDefault="00CD2482" w:rsidP="00CD2482">
            <w:pPr>
              <w:spacing w:after="0" w:line="240" w:lineRule="auto"/>
              <w:rPr>
                <w:rFonts w:ascii="Calibri" w:eastAsia="Times New Roman" w:hAnsi="Calibri" w:cs="Arial"/>
                <w:sz w:val="20"/>
                <w:szCs w:val="20"/>
                <w:lang w:eastAsia="cs-CZ"/>
              </w:rPr>
            </w:pPr>
            <w:r w:rsidRPr="00CD2482">
              <w:rPr>
                <w:rFonts w:ascii="Calibri" w:eastAsia="Times New Roman" w:hAnsi="Calibri" w:cs="Arial"/>
                <w:sz w:val="20"/>
                <w:szCs w:val="20"/>
                <w:lang w:eastAsia="cs-CZ"/>
              </w:rPr>
              <w:t> </w:t>
            </w:r>
          </w:p>
        </w:tc>
        <w:tc>
          <w:tcPr>
            <w:tcW w:w="738" w:type="dxa"/>
            <w:tcBorders>
              <w:top w:val="nil"/>
              <w:left w:val="nil"/>
              <w:bottom w:val="single" w:sz="4" w:space="0" w:color="auto"/>
              <w:right w:val="single" w:sz="8" w:space="0" w:color="auto"/>
            </w:tcBorders>
            <w:shd w:val="clear" w:color="auto" w:fill="auto"/>
            <w:noWrap/>
            <w:vAlign w:val="bottom"/>
            <w:hideMark/>
          </w:tcPr>
          <w:p w14:paraId="64465D5A" w14:textId="77777777" w:rsidR="00CD2482" w:rsidRPr="00CD2482" w:rsidRDefault="00CD2482" w:rsidP="00CD2482">
            <w:pPr>
              <w:spacing w:after="0" w:line="240" w:lineRule="auto"/>
              <w:rPr>
                <w:rFonts w:ascii="Calibri" w:eastAsia="Times New Roman" w:hAnsi="Calibri" w:cs="Arial"/>
                <w:sz w:val="20"/>
                <w:szCs w:val="20"/>
                <w:lang w:eastAsia="cs-CZ"/>
              </w:rPr>
            </w:pPr>
            <w:r w:rsidRPr="00CD2482">
              <w:rPr>
                <w:rFonts w:ascii="Calibri" w:eastAsia="Times New Roman" w:hAnsi="Calibri" w:cs="Arial"/>
                <w:sz w:val="20"/>
                <w:szCs w:val="20"/>
                <w:lang w:eastAsia="cs-CZ"/>
              </w:rPr>
              <w:t> </w:t>
            </w:r>
          </w:p>
        </w:tc>
      </w:tr>
      <w:tr w:rsidR="00CD2482" w:rsidRPr="00CD2482" w14:paraId="1F002341" w14:textId="77777777" w:rsidTr="00CD2482">
        <w:trPr>
          <w:trHeight w:val="30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6FD1403F" w14:textId="77777777" w:rsidR="00CD2482" w:rsidRPr="00CD2482" w:rsidRDefault="00CD2482" w:rsidP="00CD2482">
            <w:pPr>
              <w:spacing w:after="0" w:line="240" w:lineRule="auto"/>
              <w:jc w:val="center"/>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2143</w:t>
            </w:r>
          </w:p>
        </w:tc>
        <w:tc>
          <w:tcPr>
            <w:tcW w:w="3960" w:type="dxa"/>
            <w:tcBorders>
              <w:top w:val="nil"/>
              <w:left w:val="nil"/>
              <w:bottom w:val="single" w:sz="4" w:space="0" w:color="auto"/>
              <w:right w:val="single" w:sz="4" w:space="0" w:color="auto"/>
            </w:tcBorders>
            <w:shd w:val="clear" w:color="auto" w:fill="auto"/>
            <w:noWrap/>
            <w:vAlign w:val="bottom"/>
            <w:hideMark/>
          </w:tcPr>
          <w:p w14:paraId="499AA09B" w14:textId="77777777" w:rsidR="00CD2482" w:rsidRPr="00CD2482" w:rsidRDefault="00CD2482" w:rsidP="00CD2482">
            <w:pPr>
              <w:spacing w:after="0" w:line="240" w:lineRule="auto"/>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Cestovní ruch</w:t>
            </w:r>
          </w:p>
        </w:tc>
        <w:tc>
          <w:tcPr>
            <w:tcW w:w="1451" w:type="dxa"/>
            <w:tcBorders>
              <w:top w:val="nil"/>
              <w:left w:val="nil"/>
              <w:bottom w:val="single" w:sz="4" w:space="0" w:color="auto"/>
              <w:right w:val="single" w:sz="4" w:space="0" w:color="auto"/>
            </w:tcBorders>
            <w:shd w:val="clear" w:color="auto" w:fill="auto"/>
            <w:noWrap/>
            <w:vAlign w:val="bottom"/>
            <w:hideMark/>
          </w:tcPr>
          <w:p w14:paraId="4C102D8E"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0</w:t>
            </w:r>
          </w:p>
        </w:tc>
        <w:tc>
          <w:tcPr>
            <w:tcW w:w="1560" w:type="dxa"/>
            <w:tcBorders>
              <w:top w:val="nil"/>
              <w:left w:val="nil"/>
              <w:bottom w:val="single" w:sz="4" w:space="0" w:color="auto"/>
              <w:right w:val="single" w:sz="4" w:space="0" w:color="auto"/>
            </w:tcBorders>
            <w:shd w:val="clear" w:color="auto" w:fill="auto"/>
            <w:noWrap/>
            <w:vAlign w:val="bottom"/>
            <w:hideMark/>
          </w:tcPr>
          <w:p w14:paraId="23B072DC"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879 566,00</w:t>
            </w:r>
          </w:p>
        </w:tc>
        <w:tc>
          <w:tcPr>
            <w:tcW w:w="1559" w:type="dxa"/>
            <w:tcBorders>
              <w:top w:val="nil"/>
              <w:left w:val="nil"/>
              <w:bottom w:val="single" w:sz="4" w:space="0" w:color="auto"/>
              <w:right w:val="single" w:sz="4" w:space="0" w:color="auto"/>
            </w:tcBorders>
            <w:shd w:val="clear" w:color="auto" w:fill="auto"/>
            <w:noWrap/>
            <w:vAlign w:val="bottom"/>
            <w:hideMark/>
          </w:tcPr>
          <w:p w14:paraId="43332655"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879 566,00</w:t>
            </w:r>
          </w:p>
        </w:tc>
        <w:tc>
          <w:tcPr>
            <w:tcW w:w="738" w:type="dxa"/>
            <w:tcBorders>
              <w:top w:val="nil"/>
              <w:left w:val="nil"/>
              <w:bottom w:val="single" w:sz="4" w:space="0" w:color="auto"/>
              <w:right w:val="single" w:sz="8" w:space="0" w:color="auto"/>
            </w:tcBorders>
            <w:shd w:val="clear" w:color="auto" w:fill="auto"/>
            <w:noWrap/>
            <w:vAlign w:val="bottom"/>
            <w:hideMark/>
          </w:tcPr>
          <w:p w14:paraId="1C525E80"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100,0</w:t>
            </w:r>
          </w:p>
        </w:tc>
      </w:tr>
      <w:tr w:rsidR="00CD2482" w:rsidRPr="00CD2482" w14:paraId="16F744F7" w14:textId="77777777" w:rsidTr="00CD2482">
        <w:trPr>
          <w:trHeight w:val="30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6355246A" w14:textId="77777777" w:rsidR="00CD2482" w:rsidRPr="00CD2482" w:rsidRDefault="00CD2482" w:rsidP="00CD2482">
            <w:pPr>
              <w:spacing w:after="0" w:line="240" w:lineRule="auto"/>
              <w:jc w:val="center"/>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2219</w:t>
            </w:r>
          </w:p>
        </w:tc>
        <w:tc>
          <w:tcPr>
            <w:tcW w:w="3960" w:type="dxa"/>
            <w:tcBorders>
              <w:top w:val="nil"/>
              <w:left w:val="nil"/>
              <w:bottom w:val="single" w:sz="4" w:space="0" w:color="auto"/>
              <w:right w:val="single" w:sz="4" w:space="0" w:color="auto"/>
            </w:tcBorders>
            <w:shd w:val="clear" w:color="auto" w:fill="auto"/>
            <w:noWrap/>
            <w:vAlign w:val="bottom"/>
            <w:hideMark/>
          </w:tcPr>
          <w:p w14:paraId="5462F25D" w14:textId="77777777" w:rsidR="00CD2482" w:rsidRPr="00CD2482" w:rsidRDefault="00CD2482" w:rsidP="00CD2482">
            <w:pPr>
              <w:spacing w:after="0" w:line="240" w:lineRule="auto"/>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Ostatní záležitosti pozemních komunikací</w:t>
            </w:r>
          </w:p>
        </w:tc>
        <w:tc>
          <w:tcPr>
            <w:tcW w:w="1451" w:type="dxa"/>
            <w:tcBorders>
              <w:top w:val="nil"/>
              <w:left w:val="nil"/>
              <w:bottom w:val="single" w:sz="4" w:space="0" w:color="auto"/>
              <w:right w:val="single" w:sz="4" w:space="0" w:color="auto"/>
            </w:tcBorders>
            <w:shd w:val="clear" w:color="auto" w:fill="auto"/>
            <w:noWrap/>
            <w:vAlign w:val="bottom"/>
            <w:hideMark/>
          </w:tcPr>
          <w:p w14:paraId="72F8BD4A"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0</w:t>
            </w:r>
          </w:p>
        </w:tc>
        <w:tc>
          <w:tcPr>
            <w:tcW w:w="1560" w:type="dxa"/>
            <w:tcBorders>
              <w:top w:val="nil"/>
              <w:left w:val="nil"/>
              <w:bottom w:val="single" w:sz="4" w:space="0" w:color="auto"/>
              <w:right w:val="single" w:sz="4" w:space="0" w:color="auto"/>
            </w:tcBorders>
            <w:shd w:val="clear" w:color="auto" w:fill="auto"/>
            <w:noWrap/>
            <w:vAlign w:val="bottom"/>
            <w:hideMark/>
          </w:tcPr>
          <w:p w14:paraId="4B82A21D"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2 048 016,00</w:t>
            </w:r>
          </w:p>
        </w:tc>
        <w:tc>
          <w:tcPr>
            <w:tcW w:w="1559" w:type="dxa"/>
            <w:tcBorders>
              <w:top w:val="nil"/>
              <w:left w:val="nil"/>
              <w:bottom w:val="single" w:sz="4" w:space="0" w:color="auto"/>
              <w:right w:val="single" w:sz="4" w:space="0" w:color="auto"/>
            </w:tcBorders>
            <w:shd w:val="clear" w:color="auto" w:fill="auto"/>
            <w:noWrap/>
            <w:vAlign w:val="bottom"/>
            <w:hideMark/>
          </w:tcPr>
          <w:p w14:paraId="6D921178"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2 048 016,00</w:t>
            </w:r>
          </w:p>
        </w:tc>
        <w:tc>
          <w:tcPr>
            <w:tcW w:w="738" w:type="dxa"/>
            <w:tcBorders>
              <w:top w:val="nil"/>
              <w:left w:val="nil"/>
              <w:bottom w:val="single" w:sz="4" w:space="0" w:color="auto"/>
              <w:right w:val="single" w:sz="8" w:space="0" w:color="auto"/>
            </w:tcBorders>
            <w:shd w:val="clear" w:color="auto" w:fill="auto"/>
            <w:noWrap/>
            <w:vAlign w:val="bottom"/>
            <w:hideMark/>
          </w:tcPr>
          <w:p w14:paraId="17B507C1"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100,0</w:t>
            </w:r>
          </w:p>
        </w:tc>
      </w:tr>
      <w:tr w:rsidR="00CD2482" w:rsidRPr="00CD2482" w14:paraId="326909CD" w14:textId="77777777" w:rsidTr="00CD2482">
        <w:trPr>
          <w:trHeight w:val="30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271D8702" w14:textId="77777777" w:rsidR="00CD2482" w:rsidRPr="00CD2482" w:rsidRDefault="00CD2482" w:rsidP="00CD2482">
            <w:pPr>
              <w:spacing w:after="0" w:line="240" w:lineRule="auto"/>
              <w:jc w:val="center"/>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2221</w:t>
            </w:r>
          </w:p>
        </w:tc>
        <w:tc>
          <w:tcPr>
            <w:tcW w:w="3960" w:type="dxa"/>
            <w:tcBorders>
              <w:top w:val="nil"/>
              <w:left w:val="nil"/>
              <w:bottom w:val="single" w:sz="4" w:space="0" w:color="auto"/>
              <w:right w:val="single" w:sz="4" w:space="0" w:color="auto"/>
            </w:tcBorders>
            <w:shd w:val="clear" w:color="auto" w:fill="auto"/>
            <w:noWrap/>
            <w:vAlign w:val="bottom"/>
            <w:hideMark/>
          </w:tcPr>
          <w:p w14:paraId="32D111F2" w14:textId="77777777" w:rsidR="00CD2482" w:rsidRPr="00CD2482" w:rsidRDefault="00CD2482" w:rsidP="00CD2482">
            <w:pPr>
              <w:spacing w:after="0" w:line="240" w:lineRule="auto"/>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Provoz veřejné silniční dopravy</w:t>
            </w:r>
          </w:p>
        </w:tc>
        <w:tc>
          <w:tcPr>
            <w:tcW w:w="1451" w:type="dxa"/>
            <w:tcBorders>
              <w:top w:val="nil"/>
              <w:left w:val="nil"/>
              <w:bottom w:val="single" w:sz="4" w:space="0" w:color="auto"/>
              <w:right w:val="single" w:sz="4" w:space="0" w:color="auto"/>
            </w:tcBorders>
            <w:shd w:val="clear" w:color="auto" w:fill="auto"/>
            <w:noWrap/>
            <w:vAlign w:val="bottom"/>
            <w:hideMark/>
          </w:tcPr>
          <w:p w14:paraId="19AA4FED"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0</w:t>
            </w:r>
          </w:p>
        </w:tc>
        <w:tc>
          <w:tcPr>
            <w:tcW w:w="1560" w:type="dxa"/>
            <w:tcBorders>
              <w:top w:val="nil"/>
              <w:left w:val="nil"/>
              <w:bottom w:val="single" w:sz="4" w:space="0" w:color="auto"/>
              <w:right w:val="single" w:sz="4" w:space="0" w:color="auto"/>
            </w:tcBorders>
            <w:shd w:val="clear" w:color="auto" w:fill="auto"/>
            <w:noWrap/>
            <w:vAlign w:val="bottom"/>
            <w:hideMark/>
          </w:tcPr>
          <w:p w14:paraId="35C8F6DD"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184 000,00</w:t>
            </w:r>
          </w:p>
        </w:tc>
        <w:tc>
          <w:tcPr>
            <w:tcW w:w="1559" w:type="dxa"/>
            <w:tcBorders>
              <w:top w:val="nil"/>
              <w:left w:val="nil"/>
              <w:bottom w:val="single" w:sz="4" w:space="0" w:color="auto"/>
              <w:right w:val="single" w:sz="4" w:space="0" w:color="auto"/>
            </w:tcBorders>
            <w:shd w:val="clear" w:color="auto" w:fill="auto"/>
            <w:noWrap/>
            <w:vAlign w:val="bottom"/>
            <w:hideMark/>
          </w:tcPr>
          <w:p w14:paraId="79B345DD"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184 000,00</w:t>
            </w:r>
          </w:p>
        </w:tc>
        <w:tc>
          <w:tcPr>
            <w:tcW w:w="738" w:type="dxa"/>
            <w:tcBorders>
              <w:top w:val="nil"/>
              <w:left w:val="nil"/>
              <w:bottom w:val="single" w:sz="4" w:space="0" w:color="auto"/>
              <w:right w:val="single" w:sz="8" w:space="0" w:color="auto"/>
            </w:tcBorders>
            <w:shd w:val="clear" w:color="auto" w:fill="auto"/>
            <w:noWrap/>
            <w:vAlign w:val="bottom"/>
            <w:hideMark/>
          </w:tcPr>
          <w:p w14:paraId="6D8C175C"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100,0</w:t>
            </w:r>
          </w:p>
        </w:tc>
      </w:tr>
      <w:tr w:rsidR="00CD2482" w:rsidRPr="00CD2482" w14:paraId="44D1145B" w14:textId="77777777" w:rsidTr="00CD2482">
        <w:trPr>
          <w:trHeight w:val="30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02A9CE2D" w14:textId="77777777" w:rsidR="00CD2482" w:rsidRPr="00CD2482" w:rsidRDefault="00CD2482" w:rsidP="00CD2482">
            <w:pPr>
              <w:spacing w:after="0" w:line="240" w:lineRule="auto"/>
              <w:jc w:val="center"/>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2223</w:t>
            </w:r>
          </w:p>
        </w:tc>
        <w:tc>
          <w:tcPr>
            <w:tcW w:w="3960" w:type="dxa"/>
            <w:tcBorders>
              <w:top w:val="nil"/>
              <w:left w:val="nil"/>
              <w:bottom w:val="single" w:sz="4" w:space="0" w:color="auto"/>
              <w:right w:val="single" w:sz="4" w:space="0" w:color="auto"/>
            </w:tcBorders>
            <w:shd w:val="clear" w:color="auto" w:fill="auto"/>
            <w:noWrap/>
            <w:vAlign w:val="bottom"/>
            <w:hideMark/>
          </w:tcPr>
          <w:p w14:paraId="47573983" w14:textId="77777777" w:rsidR="00CD2482" w:rsidRPr="00CD2482" w:rsidRDefault="00CD2482" w:rsidP="00CD2482">
            <w:pPr>
              <w:spacing w:after="0" w:line="240" w:lineRule="auto"/>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Bezpečnost silničního provozu</w:t>
            </w:r>
          </w:p>
        </w:tc>
        <w:tc>
          <w:tcPr>
            <w:tcW w:w="1451" w:type="dxa"/>
            <w:tcBorders>
              <w:top w:val="nil"/>
              <w:left w:val="nil"/>
              <w:bottom w:val="single" w:sz="4" w:space="0" w:color="auto"/>
              <w:right w:val="single" w:sz="4" w:space="0" w:color="auto"/>
            </w:tcBorders>
            <w:shd w:val="clear" w:color="auto" w:fill="auto"/>
            <w:noWrap/>
            <w:vAlign w:val="bottom"/>
            <w:hideMark/>
          </w:tcPr>
          <w:p w14:paraId="78463406"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0</w:t>
            </w:r>
          </w:p>
        </w:tc>
        <w:tc>
          <w:tcPr>
            <w:tcW w:w="1560" w:type="dxa"/>
            <w:tcBorders>
              <w:top w:val="nil"/>
              <w:left w:val="nil"/>
              <w:bottom w:val="single" w:sz="4" w:space="0" w:color="auto"/>
              <w:right w:val="single" w:sz="4" w:space="0" w:color="auto"/>
            </w:tcBorders>
            <w:shd w:val="clear" w:color="auto" w:fill="auto"/>
            <w:noWrap/>
            <w:vAlign w:val="bottom"/>
            <w:hideMark/>
          </w:tcPr>
          <w:p w14:paraId="3846CE6E"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400 000,00</w:t>
            </w:r>
          </w:p>
        </w:tc>
        <w:tc>
          <w:tcPr>
            <w:tcW w:w="1559" w:type="dxa"/>
            <w:tcBorders>
              <w:top w:val="nil"/>
              <w:left w:val="nil"/>
              <w:bottom w:val="single" w:sz="4" w:space="0" w:color="auto"/>
              <w:right w:val="single" w:sz="4" w:space="0" w:color="auto"/>
            </w:tcBorders>
            <w:shd w:val="clear" w:color="auto" w:fill="auto"/>
            <w:noWrap/>
            <w:vAlign w:val="bottom"/>
            <w:hideMark/>
          </w:tcPr>
          <w:p w14:paraId="0F6A1C5E"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400 000,00</w:t>
            </w:r>
          </w:p>
        </w:tc>
        <w:tc>
          <w:tcPr>
            <w:tcW w:w="738" w:type="dxa"/>
            <w:tcBorders>
              <w:top w:val="nil"/>
              <w:left w:val="nil"/>
              <w:bottom w:val="single" w:sz="4" w:space="0" w:color="auto"/>
              <w:right w:val="single" w:sz="8" w:space="0" w:color="auto"/>
            </w:tcBorders>
            <w:shd w:val="clear" w:color="auto" w:fill="auto"/>
            <w:noWrap/>
            <w:vAlign w:val="bottom"/>
            <w:hideMark/>
          </w:tcPr>
          <w:p w14:paraId="74CF03C8"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100,0</w:t>
            </w:r>
          </w:p>
        </w:tc>
      </w:tr>
      <w:tr w:rsidR="00CD2482" w:rsidRPr="00CD2482" w14:paraId="3FBCA5FE" w14:textId="77777777" w:rsidTr="00CD2482">
        <w:trPr>
          <w:trHeight w:val="30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2406B4E9" w14:textId="77777777" w:rsidR="00CD2482" w:rsidRPr="00CD2482" w:rsidRDefault="00CD2482" w:rsidP="00CD2482">
            <w:pPr>
              <w:spacing w:after="0" w:line="240" w:lineRule="auto"/>
              <w:jc w:val="center"/>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2341</w:t>
            </w:r>
          </w:p>
        </w:tc>
        <w:tc>
          <w:tcPr>
            <w:tcW w:w="3960" w:type="dxa"/>
            <w:tcBorders>
              <w:top w:val="nil"/>
              <w:left w:val="nil"/>
              <w:bottom w:val="single" w:sz="4" w:space="0" w:color="auto"/>
              <w:right w:val="single" w:sz="4" w:space="0" w:color="auto"/>
            </w:tcBorders>
            <w:shd w:val="clear" w:color="auto" w:fill="auto"/>
            <w:noWrap/>
            <w:vAlign w:val="bottom"/>
            <w:hideMark/>
          </w:tcPr>
          <w:p w14:paraId="30571DEC" w14:textId="77777777" w:rsidR="00CD2482" w:rsidRPr="00CD2482" w:rsidRDefault="00CD2482" w:rsidP="00CD2482">
            <w:pPr>
              <w:spacing w:after="0" w:line="240" w:lineRule="auto"/>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Vodní díla v zemědělské krajině</w:t>
            </w:r>
          </w:p>
        </w:tc>
        <w:tc>
          <w:tcPr>
            <w:tcW w:w="1451" w:type="dxa"/>
            <w:tcBorders>
              <w:top w:val="nil"/>
              <w:left w:val="nil"/>
              <w:bottom w:val="single" w:sz="4" w:space="0" w:color="auto"/>
              <w:right w:val="single" w:sz="4" w:space="0" w:color="auto"/>
            </w:tcBorders>
            <w:shd w:val="clear" w:color="auto" w:fill="auto"/>
            <w:noWrap/>
            <w:vAlign w:val="bottom"/>
            <w:hideMark/>
          </w:tcPr>
          <w:p w14:paraId="1923A0F5"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0</w:t>
            </w:r>
          </w:p>
        </w:tc>
        <w:tc>
          <w:tcPr>
            <w:tcW w:w="1560" w:type="dxa"/>
            <w:tcBorders>
              <w:top w:val="nil"/>
              <w:left w:val="nil"/>
              <w:bottom w:val="single" w:sz="4" w:space="0" w:color="auto"/>
              <w:right w:val="single" w:sz="4" w:space="0" w:color="auto"/>
            </w:tcBorders>
            <w:shd w:val="clear" w:color="auto" w:fill="auto"/>
            <w:noWrap/>
            <w:vAlign w:val="bottom"/>
            <w:hideMark/>
          </w:tcPr>
          <w:p w14:paraId="06E28FA7"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377 000,00</w:t>
            </w:r>
          </w:p>
        </w:tc>
        <w:tc>
          <w:tcPr>
            <w:tcW w:w="1559" w:type="dxa"/>
            <w:tcBorders>
              <w:top w:val="nil"/>
              <w:left w:val="nil"/>
              <w:bottom w:val="single" w:sz="4" w:space="0" w:color="auto"/>
              <w:right w:val="single" w:sz="4" w:space="0" w:color="auto"/>
            </w:tcBorders>
            <w:shd w:val="clear" w:color="auto" w:fill="auto"/>
            <w:noWrap/>
            <w:vAlign w:val="bottom"/>
            <w:hideMark/>
          </w:tcPr>
          <w:p w14:paraId="3CADB96F"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377 000,00</w:t>
            </w:r>
          </w:p>
        </w:tc>
        <w:tc>
          <w:tcPr>
            <w:tcW w:w="738" w:type="dxa"/>
            <w:tcBorders>
              <w:top w:val="nil"/>
              <w:left w:val="nil"/>
              <w:bottom w:val="single" w:sz="4" w:space="0" w:color="auto"/>
              <w:right w:val="single" w:sz="8" w:space="0" w:color="auto"/>
            </w:tcBorders>
            <w:shd w:val="clear" w:color="auto" w:fill="auto"/>
            <w:noWrap/>
            <w:vAlign w:val="bottom"/>
            <w:hideMark/>
          </w:tcPr>
          <w:p w14:paraId="6FAFA0E7"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100,0</w:t>
            </w:r>
          </w:p>
        </w:tc>
      </w:tr>
      <w:tr w:rsidR="00CD2482" w:rsidRPr="00CD2482" w14:paraId="5C8766F3" w14:textId="77777777" w:rsidTr="00CD2482">
        <w:trPr>
          <w:trHeight w:val="30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4338E6A7" w14:textId="77777777" w:rsidR="00CD2482" w:rsidRPr="00CD2482" w:rsidRDefault="00CD2482" w:rsidP="00CD2482">
            <w:pPr>
              <w:spacing w:after="0" w:line="240" w:lineRule="auto"/>
              <w:jc w:val="center"/>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3111</w:t>
            </w:r>
          </w:p>
        </w:tc>
        <w:tc>
          <w:tcPr>
            <w:tcW w:w="3960" w:type="dxa"/>
            <w:tcBorders>
              <w:top w:val="nil"/>
              <w:left w:val="nil"/>
              <w:bottom w:val="single" w:sz="4" w:space="0" w:color="auto"/>
              <w:right w:val="single" w:sz="4" w:space="0" w:color="auto"/>
            </w:tcBorders>
            <w:shd w:val="clear" w:color="auto" w:fill="auto"/>
            <w:noWrap/>
            <w:vAlign w:val="bottom"/>
            <w:hideMark/>
          </w:tcPr>
          <w:p w14:paraId="78F5654A" w14:textId="77777777" w:rsidR="00CD2482" w:rsidRPr="00CD2482" w:rsidRDefault="00CD2482" w:rsidP="00CD2482">
            <w:pPr>
              <w:spacing w:after="0" w:line="240" w:lineRule="auto"/>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Mateřské školy</w:t>
            </w:r>
          </w:p>
        </w:tc>
        <w:tc>
          <w:tcPr>
            <w:tcW w:w="1451" w:type="dxa"/>
            <w:tcBorders>
              <w:top w:val="nil"/>
              <w:left w:val="nil"/>
              <w:bottom w:val="single" w:sz="4" w:space="0" w:color="auto"/>
              <w:right w:val="single" w:sz="4" w:space="0" w:color="auto"/>
            </w:tcBorders>
            <w:shd w:val="clear" w:color="auto" w:fill="auto"/>
            <w:noWrap/>
            <w:vAlign w:val="bottom"/>
            <w:hideMark/>
          </w:tcPr>
          <w:p w14:paraId="793BB2CD"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0</w:t>
            </w:r>
          </w:p>
        </w:tc>
        <w:tc>
          <w:tcPr>
            <w:tcW w:w="1560" w:type="dxa"/>
            <w:tcBorders>
              <w:top w:val="nil"/>
              <w:left w:val="nil"/>
              <w:bottom w:val="single" w:sz="4" w:space="0" w:color="auto"/>
              <w:right w:val="single" w:sz="4" w:space="0" w:color="auto"/>
            </w:tcBorders>
            <w:shd w:val="clear" w:color="auto" w:fill="auto"/>
            <w:noWrap/>
            <w:vAlign w:val="bottom"/>
            <w:hideMark/>
          </w:tcPr>
          <w:p w14:paraId="02476A79"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400 000,00</w:t>
            </w:r>
          </w:p>
        </w:tc>
        <w:tc>
          <w:tcPr>
            <w:tcW w:w="1559" w:type="dxa"/>
            <w:tcBorders>
              <w:top w:val="nil"/>
              <w:left w:val="nil"/>
              <w:bottom w:val="single" w:sz="4" w:space="0" w:color="auto"/>
              <w:right w:val="single" w:sz="4" w:space="0" w:color="auto"/>
            </w:tcBorders>
            <w:shd w:val="clear" w:color="auto" w:fill="auto"/>
            <w:noWrap/>
            <w:vAlign w:val="bottom"/>
            <w:hideMark/>
          </w:tcPr>
          <w:p w14:paraId="08CC4B26"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400 000,00</w:t>
            </w:r>
          </w:p>
        </w:tc>
        <w:tc>
          <w:tcPr>
            <w:tcW w:w="738" w:type="dxa"/>
            <w:tcBorders>
              <w:top w:val="nil"/>
              <w:left w:val="nil"/>
              <w:bottom w:val="single" w:sz="4" w:space="0" w:color="auto"/>
              <w:right w:val="single" w:sz="8" w:space="0" w:color="auto"/>
            </w:tcBorders>
            <w:shd w:val="clear" w:color="auto" w:fill="auto"/>
            <w:noWrap/>
            <w:vAlign w:val="bottom"/>
            <w:hideMark/>
          </w:tcPr>
          <w:p w14:paraId="206BA436"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100,0</w:t>
            </w:r>
          </w:p>
        </w:tc>
      </w:tr>
      <w:tr w:rsidR="00CD2482" w:rsidRPr="00CD2482" w14:paraId="732BA408" w14:textId="77777777" w:rsidTr="00CD2482">
        <w:trPr>
          <w:trHeight w:val="30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518563D6" w14:textId="77777777" w:rsidR="00CD2482" w:rsidRPr="00CD2482" w:rsidRDefault="00CD2482" w:rsidP="00CD2482">
            <w:pPr>
              <w:spacing w:after="0" w:line="240" w:lineRule="auto"/>
              <w:jc w:val="center"/>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3313</w:t>
            </w:r>
          </w:p>
        </w:tc>
        <w:tc>
          <w:tcPr>
            <w:tcW w:w="3960" w:type="dxa"/>
            <w:tcBorders>
              <w:top w:val="nil"/>
              <w:left w:val="nil"/>
              <w:bottom w:val="single" w:sz="4" w:space="0" w:color="auto"/>
              <w:right w:val="single" w:sz="4" w:space="0" w:color="auto"/>
            </w:tcBorders>
            <w:shd w:val="clear" w:color="auto" w:fill="auto"/>
            <w:noWrap/>
            <w:vAlign w:val="bottom"/>
            <w:hideMark/>
          </w:tcPr>
          <w:p w14:paraId="0553EBF3" w14:textId="63B1B45A" w:rsidR="00CD2482" w:rsidRPr="00CD2482" w:rsidRDefault="00CD2482" w:rsidP="00CD2482">
            <w:pPr>
              <w:spacing w:after="0" w:line="240" w:lineRule="auto"/>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Film</w:t>
            </w:r>
            <w:r w:rsidR="00C43260">
              <w:rPr>
                <w:rFonts w:ascii="Calibri" w:eastAsia="Times New Roman" w:hAnsi="Calibri" w:cs="Arial"/>
                <w:i/>
                <w:iCs/>
                <w:sz w:val="20"/>
                <w:szCs w:val="20"/>
                <w:lang w:eastAsia="cs-CZ"/>
              </w:rPr>
              <w:t xml:space="preserve">ová </w:t>
            </w:r>
            <w:r w:rsidRPr="00CD2482">
              <w:rPr>
                <w:rFonts w:ascii="Calibri" w:eastAsia="Times New Roman" w:hAnsi="Calibri" w:cs="Arial"/>
                <w:i/>
                <w:iCs/>
                <w:sz w:val="20"/>
                <w:szCs w:val="20"/>
                <w:lang w:eastAsia="cs-CZ"/>
              </w:rPr>
              <w:t>tvorba,</w:t>
            </w:r>
            <w:r w:rsidR="00C43260">
              <w:rPr>
                <w:rFonts w:ascii="Calibri" w:eastAsia="Times New Roman" w:hAnsi="Calibri" w:cs="Arial"/>
                <w:i/>
                <w:iCs/>
                <w:sz w:val="20"/>
                <w:szCs w:val="20"/>
                <w:lang w:eastAsia="cs-CZ"/>
              </w:rPr>
              <w:t xml:space="preserve"> </w:t>
            </w:r>
            <w:r w:rsidRPr="00CD2482">
              <w:rPr>
                <w:rFonts w:ascii="Calibri" w:eastAsia="Times New Roman" w:hAnsi="Calibri" w:cs="Arial"/>
                <w:i/>
                <w:iCs/>
                <w:sz w:val="20"/>
                <w:szCs w:val="20"/>
                <w:lang w:eastAsia="cs-CZ"/>
              </w:rPr>
              <w:t xml:space="preserve">distribuce, kina </w:t>
            </w:r>
          </w:p>
        </w:tc>
        <w:tc>
          <w:tcPr>
            <w:tcW w:w="1451" w:type="dxa"/>
            <w:tcBorders>
              <w:top w:val="nil"/>
              <w:left w:val="nil"/>
              <w:bottom w:val="single" w:sz="4" w:space="0" w:color="auto"/>
              <w:right w:val="single" w:sz="4" w:space="0" w:color="auto"/>
            </w:tcBorders>
            <w:shd w:val="clear" w:color="auto" w:fill="auto"/>
            <w:noWrap/>
            <w:vAlign w:val="bottom"/>
            <w:hideMark/>
          </w:tcPr>
          <w:p w14:paraId="7F8F8FA2"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0</w:t>
            </w:r>
          </w:p>
        </w:tc>
        <w:tc>
          <w:tcPr>
            <w:tcW w:w="1560" w:type="dxa"/>
            <w:tcBorders>
              <w:top w:val="nil"/>
              <w:left w:val="nil"/>
              <w:bottom w:val="single" w:sz="4" w:space="0" w:color="auto"/>
              <w:right w:val="single" w:sz="4" w:space="0" w:color="auto"/>
            </w:tcBorders>
            <w:shd w:val="clear" w:color="auto" w:fill="auto"/>
            <w:noWrap/>
            <w:vAlign w:val="bottom"/>
            <w:hideMark/>
          </w:tcPr>
          <w:p w14:paraId="41862932"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400 000,00</w:t>
            </w:r>
          </w:p>
        </w:tc>
        <w:tc>
          <w:tcPr>
            <w:tcW w:w="1559" w:type="dxa"/>
            <w:tcBorders>
              <w:top w:val="nil"/>
              <w:left w:val="nil"/>
              <w:bottom w:val="single" w:sz="4" w:space="0" w:color="auto"/>
              <w:right w:val="single" w:sz="4" w:space="0" w:color="auto"/>
            </w:tcBorders>
            <w:shd w:val="clear" w:color="auto" w:fill="auto"/>
            <w:noWrap/>
            <w:vAlign w:val="bottom"/>
            <w:hideMark/>
          </w:tcPr>
          <w:p w14:paraId="52E73A01"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400 000,00</w:t>
            </w:r>
          </w:p>
        </w:tc>
        <w:tc>
          <w:tcPr>
            <w:tcW w:w="738" w:type="dxa"/>
            <w:tcBorders>
              <w:top w:val="nil"/>
              <w:left w:val="nil"/>
              <w:bottom w:val="single" w:sz="4" w:space="0" w:color="auto"/>
              <w:right w:val="single" w:sz="8" w:space="0" w:color="auto"/>
            </w:tcBorders>
            <w:shd w:val="clear" w:color="auto" w:fill="auto"/>
            <w:noWrap/>
            <w:vAlign w:val="bottom"/>
            <w:hideMark/>
          </w:tcPr>
          <w:p w14:paraId="0BA92636"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100,0</w:t>
            </w:r>
          </w:p>
        </w:tc>
      </w:tr>
      <w:tr w:rsidR="00CD2482" w:rsidRPr="00CD2482" w14:paraId="7A539A83" w14:textId="77777777" w:rsidTr="00CD2482">
        <w:trPr>
          <w:trHeight w:val="30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6C40AC82" w14:textId="77777777" w:rsidR="00CD2482" w:rsidRPr="00CD2482" w:rsidRDefault="00CD2482" w:rsidP="00CD2482">
            <w:pPr>
              <w:spacing w:after="0" w:line="240" w:lineRule="auto"/>
              <w:jc w:val="center"/>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3314</w:t>
            </w:r>
          </w:p>
        </w:tc>
        <w:tc>
          <w:tcPr>
            <w:tcW w:w="3960" w:type="dxa"/>
            <w:tcBorders>
              <w:top w:val="nil"/>
              <w:left w:val="nil"/>
              <w:bottom w:val="single" w:sz="4" w:space="0" w:color="auto"/>
              <w:right w:val="single" w:sz="4" w:space="0" w:color="auto"/>
            </w:tcBorders>
            <w:shd w:val="clear" w:color="auto" w:fill="auto"/>
            <w:noWrap/>
            <w:vAlign w:val="bottom"/>
            <w:hideMark/>
          </w:tcPr>
          <w:p w14:paraId="0826DCC2" w14:textId="77777777" w:rsidR="00CD2482" w:rsidRPr="00CD2482" w:rsidRDefault="00CD2482" w:rsidP="00CD2482">
            <w:pPr>
              <w:spacing w:after="0" w:line="240" w:lineRule="auto"/>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Činnosti knihovnické</w:t>
            </w:r>
          </w:p>
        </w:tc>
        <w:tc>
          <w:tcPr>
            <w:tcW w:w="1451" w:type="dxa"/>
            <w:tcBorders>
              <w:top w:val="nil"/>
              <w:left w:val="nil"/>
              <w:bottom w:val="single" w:sz="4" w:space="0" w:color="auto"/>
              <w:right w:val="single" w:sz="4" w:space="0" w:color="auto"/>
            </w:tcBorders>
            <w:shd w:val="clear" w:color="auto" w:fill="auto"/>
            <w:noWrap/>
            <w:vAlign w:val="bottom"/>
            <w:hideMark/>
          </w:tcPr>
          <w:p w14:paraId="55EFB6BF"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0</w:t>
            </w:r>
          </w:p>
        </w:tc>
        <w:tc>
          <w:tcPr>
            <w:tcW w:w="1560" w:type="dxa"/>
            <w:tcBorders>
              <w:top w:val="nil"/>
              <w:left w:val="nil"/>
              <w:bottom w:val="single" w:sz="4" w:space="0" w:color="auto"/>
              <w:right w:val="single" w:sz="4" w:space="0" w:color="auto"/>
            </w:tcBorders>
            <w:shd w:val="clear" w:color="auto" w:fill="auto"/>
            <w:noWrap/>
            <w:vAlign w:val="bottom"/>
            <w:hideMark/>
          </w:tcPr>
          <w:p w14:paraId="6842A709"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1 084 690,00</w:t>
            </w:r>
          </w:p>
        </w:tc>
        <w:tc>
          <w:tcPr>
            <w:tcW w:w="1559" w:type="dxa"/>
            <w:tcBorders>
              <w:top w:val="nil"/>
              <w:left w:val="nil"/>
              <w:bottom w:val="single" w:sz="4" w:space="0" w:color="auto"/>
              <w:right w:val="single" w:sz="4" w:space="0" w:color="auto"/>
            </w:tcBorders>
            <w:shd w:val="clear" w:color="auto" w:fill="auto"/>
            <w:noWrap/>
            <w:vAlign w:val="bottom"/>
            <w:hideMark/>
          </w:tcPr>
          <w:p w14:paraId="600EE274"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799 690,00</w:t>
            </w:r>
          </w:p>
        </w:tc>
        <w:tc>
          <w:tcPr>
            <w:tcW w:w="738" w:type="dxa"/>
            <w:tcBorders>
              <w:top w:val="nil"/>
              <w:left w:val="nil"/>
              <w:bottom w:val="single" w:sz="4" w:space="0" w:color="auto"/>
              <w:right w:val="single" w:sz="8" w:space="0" w:color="auto"/>
            </w:tcBorders>
            <w:shd w:val="clear" w:color="auto" w:fill="auto"/>
            <w:noWrap/>
            <w:vAlign w:val="bottom"/>
            <w:hideMark/>
          </w:tcPr>
          <w:p w14:paraId="36126258"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73,7</w:t>
            </w:r>
          </w:p>
        </w:tc>
      </w:tr>
      <w:tr w:rsidR="00CD2482" w:rsidRPr="00CD2482" w14:paraId="7FFB694D" w14:textId="77777777" w:rsidTr="00CD2482">
        <w:trPr>
          <w:trHeight w:val="30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745B9DE8" w14:textId="77777777" w:rsidR="00CD2482" w:rsidRPr="00CD2482" w:rsidRDefault="00CD2482" w:rsidP="00CD2482">
            <w:pPr>
              <w:spacing w:after="0" w:line="240" w:lineRule="auto"/>
              <w:jc w:val="center"/>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3315</w:t>
            </w:r>
          </w:p>
        </w:tc>
        <w:tc>
          <w:tcPr>
            <w:tcW w:w="3960" w:type="dxa"/>
            <w:tcBorders>
              <w:top w:val="nil"/>
              <w:left w:val="nil"/>
              <w:bottom w:val="single" w:sz="4" w:space="0" w:color="auto"/>
              <w:right w:val="single" w:sz="4" w:space="0" w:color="auto"/>
            </w:tcBorders>
            <w:shd w:val="clear" w:color="auto" w:fill="auto"/>
            <w:noWrap/>
            <w:vAlign w:val="bottom"/>
            <w:hideMark/>
          </w:tcPr>
          <w:p w14:paraId="79C5B31B" w14:textId="77777777" w:rsidR="00CD2482" w:rsidRPr="00CD2482" w:rsidRDefault="00CD2482" w:rsidP="00CD2482">
            <w:pPr>
              <w:spacing w:after="0" w:line="240" w:lineRule="auto"/>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Činnosti muzeí a galerií</w:t>
            </w:r>
          </w:p>
        </w:tc>
        <w:tc>
          <w:tcPr>
            <w:tcW w:w="1451" w:type="dxa"/>
            <w:tcBorders>
              <w:top w:val="nil"/>
              <w:left w:val="nil"/>
              <w:bottom w:val="single" w:sz="4" w:space="0" w:color="auto"/>
              <w:right w:val="single" w:sz="4" w:space="0" w:color="auto"/>
            </w:tcBorders>
            <w:shd w:val="clear" w:color="auto" w:fill="auto"/>
            <w:noWrap/>
            <w:vAlign w:val="bottom"/>
            <w:hideMark/>
          </w:tcPr>
          <w:p w14:paraId="30750D51"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0</w:t>
            </w:r>
          </w:p>
        </w:tc>
        <w:tc>
          <w:tcPr>
            <w:tcW w:w="1560" w:type="dxa"/>
            <w:tcBorders>
              <w:top w:val="nil"/>
              <w:left w:val="nil"/>
              <w:bottom w:val="single" w:sz="4" w:space="0" w:color="auto"/>
              <w:right w:val="single" w:sz="4" w:space="0" w:color="auto"/>
            </w:tcBorders>
            <w:shd w:val="clear" w:color="auto" w:fill="auto"/>
            <w:noWrap/>
            <w:vAlign w:val="bottom"/>
            <w:hideMark/>
          </w:tcPr>
          <w:p w14:paraId="158CB5AB"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917 853,00</w:t>
            </w:r>
          </w:p>
        </w:tc>
        <w:tc>
          <w:tcPr>
            <w:tcW w:w="1559" w:type="dxa"/>
            <w:tcBorders>
              <w:top w:val="nil"/>
              <w:left w:val="nil"/>
              <w:bottom w:val="single" w:sz="4" w:space="0" w:color="auto"/>
              <w:right w:val="single" w:sz="4" w:space="0" w:color="auto"/>
            </w:tcBorders>
            <w:shd w:val="clear" w:color="auto" w:fill="auto"/>
            <w:noWrap/>
            <w:vAlign w:val="bottom"/>
            <w:hideMark/>
          </w:tcPr>
          <w:p w14:paraId="52222169"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803 852,90</w:t>
            </w:r>
          </w:p>
        </w:tc>
        <w:tc>
          <w:tcPr>
            <w:tcW w:w="738" w:type="dxa"/>
            <w:tcBorders>
              <w:top w:val="nil"/>
              <w:left w:val="nil"/>
              <w:bottom w:val="single" w:sz="4" w:space="0" w:color="auto"/>
              <w:right w:val="single" w:sz="8" w:space="0" w:color="auto"/>
            </w:tcBorders>
            <w:shd w:val="clear" w:color="auto" w:fill="auto"/>
            <w:noWrap/>
            <w:vAlign w:val="bottom"/>
            <w:hideMark/>
          </w:tcPr>
          <w:p w14:paraId="02688D25"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87,6</w:t>
            </w:r>
          </w:p>
        </w:tc>
      </w:tr>
      <w:tr w:rsidR="00CD2482" w:rsidRPr="00CD2482" w14:paraId="3867C445" w14:textId="77777777" w:rsidTr="00CD2482">
        <w:trPr>
          <w:trHeight w:val="30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6B03BD43" w14:textId="77777777" w:rsidR="00CD2482" w:rsidRPr="00CD2482" w:rsidRDefault="00CD2482" w:rsidP="00CD2482">
            <w:pPr>
              <w:spacing w:after="0" w:line="240" w:lineRule="auto"/>
              <w:jc w:val="center"/>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3319</w:t>
            </w:r>
          </w:p>
        </w:tc>
        <w:tc>
          <w:tcPr>
            <w:tcW w:w="3960" w:type="dxa"/>
            <w:tcBorders>
              <w:top w:val="nil"/>
              <w:left w:val="nil"/>
              <w:bottom w:val="single" w:sz="4" w:space="0" w:color="auto"/>
              <w:right w:val="single" w:sz="4" w:space="0" w:color="auto"/>
            </w:tcBorders>
            <w:shd w:val="clear" w:color="auto" w:fill="auto"/>
            <w:noWrap/>
            <w:vAlign w:val="bottom"/>
            <w:hideMark/>
          </w:tcPr>
          <w:p w14:paraId="0980A1B6" w14:textId="77777777" w:rsidR="00CD2482" w:rsidRPr="00CD2482" w:rsidRDefault="00CD2482" w:rsidP="00CD2482">
            <w:pPr>
              <w:spacing w:after="0" w:line="240" w:lineRule="auto"/>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Ostatní záležitosti kultury</w:t>
            </w:r>
          </w:p>
        </w:tc>
        <w:tc>
          <w:tcPr>
            <w:tcW w:w="1451" w:type="dxa"/>
            <w:tcBorders>
              <w:top w:val="nil"/>
              <w:left w:val="nil"/>
              <w:bottom w:val="single" w:sz="4" w:space="0" w:color="auto"/>
              <w:right w:val="single" w:sz="4" w:space="0" w:color="auto"/>
            </w:tcBorders>
            <w:shd w:val="clear" w:color="auto" w:fill="auto"/>
            <w:noWrap/>
            <w:vAlign w:val="bottom"/>
            <w:hideMark/>
          </w:tcPr>
          <w:p w14:paraId="26C88C06"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0</w:t>
            </w:r>
          </w:p>
        </w:tc>
        <w:tc>
          <w:tcPr>
            <w:tcW w:w="1560" w:type="dxa"/>
            <w:tcBorders>
              <w:top w:val="nil"/>
              <w:left w:val="nil"/>
              <w:bottom w:val="single" w:sz="4" w:space="0" w:color="auto"/>
              <w:right w:val="single" w:sz="4" w:space="0" w:color="auto"/>
            </w:tcBorders>
            <w:shd w:val="clear" w:color="auto" w:fill="auto"/>
            <w:noWrap/>
            <w:vAlign w:val="bottom"/>
            <w:hideMark/>
          </w:tcPr>
          <w:p w14:paraId="76B091E6"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588 399,00</w:t>
            </w:r>
          </w:p>
        </w:tc>
        <w:tc>
          <w:tcPr>
            <w:tcW w:w="1559" w:type="dxa"/>
            <w:tcBorders>
              <w:top w:val="nil"/>
              <w:left w:val="nil"/>
              <w:bottom w:val="single" w:sz="4" w:space="0" w:color="auto"/>
              <w:right w:val="single" w:sz="4" w:space="0" w:color="auto"/>
            </w:tcBorders>
            <w:shd w:val="clear" w:color="auto" w:fill="auto"/>
            <w:noWrap/>
            <w:vAlign w:val="bottom"/>
            <w:hideMark/>
          </w:tcPr>
          <w:p w14:paraId="6EDA2EF2"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588 399,00</w:t>
            </w:r>
          </w:p>
        </w:tc>
        <w:tc>
          <w:tcPr>
            <w:tcW w:w="738" w:type="dxa"/>
            <w:tcBorders>
              <w:top w:val="nil"/>
              <w:left w:val="nil"/>
              <w:bottom w:val="single" w:sz="4" w:space="0" w:color="auto"/>
              <w:right w:val="single" w:sz="8" w:space="0" w:color="auto"/>
            </w:tcBorders>
            <w:shd w:val="clear" w:color="auto" w:fill="auto"/>
            <w:noWrap/>
            <w:vAlign w:val="bottom"/>
            <w:hideMark/>
          </w:tcPr>
          <w:p w14:paraId="4347E6A3"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100,0</w:t>
            </w:r>
          </w:p>
        </w:tc>
      </w:tr>
      <w:tr w:rsidR="00CD2482" w:rsidRPr="00CD2482" w14:paraId="231D8226" w14:textId="77777777" w:rsidTr="00CD2482">
        <w:trPr>
          <w:trHeight w:val="30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7FE168B9" w14:textId="77777777" w:rsidR="00CD2482" w:rsidRPr="00CD2482" w:rsidRDefault="00CD2482" w:rsidP="00CD2482">
            <w:pPr>
              <w:spacing w:after="0" w:line="240" w:lineRule="auto"/>
              <w:jc w:val="center"/>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3326</w:t>
            </w:r>
          </w:p>
        </w:tc>
        <w:tc>
          <w:tcPr>
            <w:tcW w:w="3960" w:type="dxa"/>
            <w:tcBorders>
              <w:top w:val="nil"/>
              <w:left w:val="nil"/>
              <w:bottom w:val="single" w:sz="4" w:space="0" w:color="auto"/>
              <w:right w:val="single" w:sz="4" w:space="0" w:color="auto"/>
            </w:tcBorders>
            <w:shd w:val="clear" w:color="auto" w:fill="auto"/>
            <w:noWrap/>
            <w:vAlign w:val="bottom"/>
            <w:hideMark/>
          </w:tcPr>
          <w:p w14:paraId="057B835D" w14:textId="52F478CC" w:rsidR="00CD2482" w:rsidRPr="00CD2482" w:rsidRDefault="00CD2482" w:rsidP="00CD2482">
            <w:pPr>
              <w:spacing w:after="0" w:line="240" w:lineRule="auto"/>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Pořízení,</w:t>
            </w:r>
            <w:r w:rsidR="00C43260">
              <w:rPr>
                <w:rFonts w:ascii="Calibri" w:eastAsia="Times New Roman" w:hAnsi="Calibri" w:cs="Arial"/>
                <w:i/>
                <w:iCs/>
                <w:sz w:val="20"/>
                <w:szCs w:val="20"/>
                <w:lang w:eastAsia="cs-CZ"/>
              </w:rPr>
              <w:t xml:space="preserve"> </w:t>
            </w:r>
            <w:r w:rsidRPr="00CD2482">
              <w:rPr>
                <w:rFonts w:ascii="Calibri" w:eastAsia="Times New Roman" w:hAnsi="Calibri" w:cs="Arial"/>
                <w:i/>
                <w:iCs/>
                <w:sz w:val="20"/>
                <w:szCs w:val="20"/>
                <w:lang w:eastAsia="cs-CZ"/>
              </w:rPr>
              <w:t>zachování a obnova hodnot nár</w:t>
            </w:r>
            <w:r w:rsidR="00C43260">
              <w:rPr>
                <w:rFonts w:ascii="Calibri" w:eastAsia="Times New Roman" w:hAnsi="Calibri" w:cs="Arial"/>
                <w:i/>
                <w:iCs/>
                <w:sz w:val="20"/>
                <w:szCs w:val="20"/>
                <w:lang w:eastAsia="cs-CZ"/>
              </w:rPr>
              <w:t>odního</w:t>
            </w:r>
            <w:r w:rsidRPr="00CD2482">
              <w:rPr>
                <w:rFonts w:ascii="Calibri" w:eastAsia="Times New Roman" w:hAnsi="Calibri" w:cs="Arial"/>
                <w:i/>
                <w:iCs/>
                <w:sz w:val="20"/>
                <w:szCs w:val="20"/>
                <w:lang w:eastAsia="cs-CZ"/>
              </w:rPr>
              <w:t xml:space="preserve"> hist</w:t>
            </w:r>
            <w:r w:rsidR="00C43260">
              <w:rPr>
                <w:rFonts w:ascii="Calibri" w:eastAsia="Times New Roman" w:hAnsi="Calibri" w:cs="Arial"/>
                <w:i/>
                <w:iCs/>
                <w:sz w:val="20"/>
                <w:szCs w:val="20"/>
                <w:lang w:eastAsia="cs-CZ"/>
              </w:rPr>
              <w:t xml:space="preserve">orického </w:t>
            </w:r>
            <w:r w:rsidRPr="00CD2482">
              <w:rPr>
                <w:rFonts w:ascii="Calibri" w:eastAsia="Times New Roman" w:hAnsi="Calibri" w:cs="Arial"/>
                <w:i/>
                <w:iCs/>
                <w:sz w:val="20"/>
                <w:szCs w:val="20"/>
                <w:lang w:eastAsia="cs-CZ"/>
              </w:rPr>
              <w:t>povědomí</w:t>
            </w:r>
          </w:p>
        </w:tc>
        <w:tc>
          <w:tcPr>
            <w:tcW w:w="1451" w:type="dxa"/>
            <w:tcBorders>
              <w:top w:val="nil"/>
              <w:left w:val="nil"/>
              <w:bottom w:val="single" w:sz="4" w:space="0" w:color="auto"/>
              <w:right w:val="single" w:sz="4" w:space="0" w:color="auto"/>
            </w:tcBorders>
            <w:shd w:val="clear" w:color="auto" w:fill="auto"/>
            <w:noWrap/>
            <w:vAlign w:val="bottom"/>
            <w:hideMark/>
          </w:tcPr>
          <w:p w14:paraId="6E6B2787"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0</w:t>
            </w:r>
          </w:p>
        </w:tc>
        <w:tc>
          <w:tcPr>
            <w:tcW w:w="1560" w:type="dxa"/>
            <w:tcBorders>
              <w:top w:val="nil"/>
              <w:left w:val="nil"/>
              <w:bottom w:val="single" w:sz="4" w:space="0" w:color="auto"/>
              <w:right w:val="single" w:sz="4" w:space="0" w:color="auto"/>
            </w:tcBorders>
            <w:shd w:val="clear" w:color="auto" w:fill="auto"/>
            <w:noWrap/>
            <w:vAlign w:val="bottom"/>
            <w:hideMark/>
          </w:tcPr>
          <w:p w14:paraId="1FD84E58"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940 000,00</w:t>
            </w:r>
          </w:p>
        </w:tc>
        <w:tc>
          <w:tcPr>
            <w:tcW w:w="1559" w:type="dxa"/>
            <w:tcBorders>
              <w:top w:val="nil"/>
              <w:left w:val="nil"/>
              <w:bottom w:val="single" w:sz="4" w:space="0" w:color="auto"/>
              <w:right w:val="single" w:sz="4" w:space="0" w:color="auto"/>
            </w:tcBorders>
            <w:shd w:val="clear" w:color="auto" w:fill="auto"/>
            <w:noWrap/>
            <w:vAlign w:val="bottom"/>
            <w:hideMark/>
          </w:tcPr>
          <w:p w14:paraId="484259D0"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940 000,00</w:t>
            </w:r>
          </w:p>
        </w:tc>
        <w:tc>
          <w:tcPr>
            <w:tcW w:w="738" w:type="dxa"/>
            <w:tcBorders>
              <w:top w:val="nil"/>
              <w:left w:val="nil"/>
              <w:bottom w:val="single" w:sz="4" w:space="0" w:color="auto"/>
              <w:right w:val="single" w:sz="8" w:space="0" w:color="auto"/>
            </w:tcBorders>
            <w:shd w:val="clear" w:color="auto" w:fill="auto"/>
            <w:noWrap/>
            <w:vAlign w:val="bottom"/>
            <w:hideMark/>
          </w:tcPr>
          <w:p w14:paraId="347C6438"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100,0</w:t>
            </w:r>
          </w:p>
        </w:tc>
      </w:tr>
      <w:tr w:rsidR="00CD2482" w:rsidRPr="00CD2482" w14:paraId="3ADF1EB8" w14:textId="77777777" w:rsidTr="00CD2482">
        <w:trPr>
          <w:trHeight w:val="30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3E16C26C" w14:textId="77777777" w:rsidR="00CD2482" w:rsidRPr="00CD2482" w:rsidRDefault="00CD2482" w:rsidP="00CD2482">
            <w:pPr>
              <w:spacing w:after="0" w:line="240" w:lineRule="auto"/>
              <w:jc w:val="center"/>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3412</w:t>
            </w:r>
          </w:p>
        </w:tc>
        <w:tc>
          <w:tcPr>
            <w:tcW w:w="3960" w:type="dxa"/>
            <w:tcBorders>
              <w:top w:val="nil"/>
              <w:left w:val="nil"/>
              <w:bottom w:val="single" w:sz="4" w:space="0" w:color="auto"/>
              <w:right w:val="single" w:sz="4" w:space="0" w:color="auto"/>
            </w:tcBorders>
            <w:shd w:val="clear" w:color="auto" w:fill="auto"/>
            <w:noWrap/>
            <w:vAlign w:val="bottom"/>
            <w:hideMark/>
          </w:tcPr>
          <w:p w14:paraId="0A2D822E" w14:textId="77777777" w:rsidR="00CD2482" w:rsidRPr="00CD2482" w:rsidRDefault="00CD2482" w:rsidP="00CD2482">
            <w:pPr>
              <w:spacing w:after="0" w:line="240" w:lineRule="auto"/>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Sportovní zařízení ve vlastnictví obce</w:t>
            </w:r>
          </w:p>
        </w:tc>
        <w:tc>
          <w:tcPr>
            <w:tcW w:w="1451" w:type="dxa"/>
            <w:tcBorders>
              <w:top w:val="nil"/>
              <w:left w:val="nil"/>
              <w:bottom w:val="single" w:sz="4" w:space="0" w:color="auto"/>
              <w:right w:val="single" w:sz="4" w:space="0" w:color="auto"/>
            </w:tcBorders>
            <w:shd w:val="clear" w:color="auto" w:fill="auto"/>
            <w:noWrap/>
            <w:vAlign w:val="bottom"/>
            <w:hideMark/>
          </w:tcPr>
          <w:p w14:paraId="0EE7C321"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0</w:t>
            </w:r>
          </w:p>
        </w:tc>
        <w:tc>
          <w:tcPr>
            <w:tcW w:w="1560" w:type="dxa"/>
            <w:tcBorders>
              <w:top w:val="nil"/>
              <w:left w:val="nil"/>
              <w:bottom w:val="single" w:sz="4" w:space="0" w:color="auto"/>
              <w:right w:val="single" w:sz="4" w:space="0" w:color="auto"/>
            </w:tcBorders>
            <w:shd w:val="clear" w:color="auto" w:fill="auto"/>
            <w:noWrap/>
            <w:vAlign w:val="bottom"/>
            <w:hideMark/>
          </w:tcPr>
          <w:p w14:paraId="6C35871A"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1 992 921,00</w:t>
            </w:r>
          </w:p>
        </w:tc>
        <w:tc>
          <w:tcPr>
            <w:tcW w:w="1559" w:type="dxa"/>
            <w:tcBorders>
              <w:top w:val="nil"/>
              <w:left w:val="nil"/>
              <w:bottom w:val="single" w:sz="4" w:space="0" w:color="auto"/>
              <w:right w:val="single" w:sz="4" w:space="0" w:color="auto"/>
            </w:tcBorders>
            <w:shd w:val="clear" w:color="auto" w:fill="auto"/>
            <w:noWrap/>
            <w:vAlign w:val="bottom"/>
            <w:hideMark/>
          </w:tcPr>
          <w:p w14:paraId="5C8CE089"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1 992 921,00</w:t>
            </w:r>
          </w:p>
        </w:tc>
        <w:tc>
          <w:tcPr>
            <w:tcW w:w="738" w:type="dxa"/>
            <w:tcBorders>
              <w:top w:val="nil"/>
              <w:left w:val="nil"/>
              <w:bottom w:val="single" w:sz="4" w:space="0" w:color="auto"/>
              <w:right w:val="single" w:sz="8" w:space="0" w:color="auto"/>
            </w:tcBorders>
            <w:shd w:val="clear" w:color="auto" w:fill="auto"/>
            <w:noWrap/>
            <w:vAlign w:val="bottom"/>
            <w:hideMark/>
          </w:tcPr>
          <w:p w14:paraId="238EDDC9"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100,0</w:t>
            </w:r>
          </w:p>
        </w:tc>
      </w:tr>
      <w:tr w:rsidR="00CD2482" w:rsidRPr="00CD2482" w14:paraId="16687F4D" w14:textId="77777777" w:rsidTr="00CD2482">
        <w:trPr>
          <w:trHeight w:val="30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1CAA4340" w14:textId="77777777" w:rsidR="00CD2482" w:rsidRPr="00CD2482" w:rsidRDefault="00CD2482" w:rsidP="00CD2482">
            <w:pPr>
              <w:spacing w:after="0" w:line="240" w:lineRule="auto"/>
              <w:jc w:val="center"/>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3421</w:t>
            </w:r>
          </w:p>
        </w:tc>
        <w:tc>
          <w:tcPr>
            <w:tcW w:w="3960" w:type="dxa"/>
            <w:tcBorders>
              <w:top w:val="nil"/>
              <w:left w:val="nil"/>
              <w:bottom w:val="single" w:sz="4" w:space="0" w:color="auto"/>
              <w:right w:val="single" w:sz="4" w:space="0" w:color="auto"/>
            </w:tcBorders>
            <w:shd w:val="clear" w:color="auto" w:fill="auto"/>
            <w:noWrap/>
            <w:vAlign w:val="bottom"/>
            <w:hideMark/>
          </w:tcPr>
          <w:p w14:paraId="4AE2AFE3" w14:textId="77777777" w:rsidR="00CD2482" w:rsidRPr="00CD2482" w:rsidRDefault="00CD2482" w:rsidP="00CD2482">
            <w:pPr>
              <w:spacing w:after="0" w:line="240" w:lineRule="auto"/>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Využití volného času dětí a mládeže</w:t>
            </w:r>
          </w:p>
        </w:tc>
        <w:tc>
          <w:tcPr>
            <w:tcW w:w="1451" w:type="dxa"/>
            <w:tcBorders>
              <w:top w:val="nil"/>
              <w:left w:val="nil"/>
              <w:bottom w:val="single" w:sz="4" w:space="0" w:color="auto"/>
              <w:right w:val="single" w:sz="4" w:space="0" w:color="auto"/>
            </w:tcBorders>
            <w:shd w:val="clear" w:color="auto" w:fill="auto"/>
            <w:noWrap/>
            <w:vAlign w:val="bottom"/>
            <w:hideMark/>
          </w:tcPr>
          <w:p w14:paraId="758275CC"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0</w:t>
            </w:r>
          </w:p>
        </w:tc>
        <w:tc>
          <w:tcPr>
            <w:tcW w:w="1560" w:type="dxa"/>
            <w:tcBorders>
              <w:top w:val="nil"/>
              <w:left w:val="nil"/>
              <w:bottom w:val="single" w:sz="4" w:space="0" w:color="auto"/>
              <w:right w:val="single" w:sz="4" w:space="0" w:color="auto"/>
            </w:tcBorders>
            <w:shd w:val="clear" w:color="auto" w:fill="auto"/>
            <w:noWrap/>
            <w:vAlign w:val="bottom"/>
            <w:hideMark/>
          </w:tcPr>
          <w:p w14:paraId="28EE0740"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1 971 867,40</w:t>
            </w:r>
          </w:p>
        </w:tc>
        <w:tc>
          <w:tcPr>
            <w:tcW w:w="1559" w:type="dxa"/>
            <w:tcBorders>
              <w:top w:val="nil"/>
              <w:left w:val="nil"/>
              <w:bottom w:val="single" w:sz="4" w:space="0" w:color="auto"/>
              <w:right w:val="single" w:sz="4" w:space="0" w:color="auto"/>
            </w:tcBorders>
            <w:shd w:val="clear" w:color="auto" w:fill="auto"/>
            <w:noWrap/>
            <w:vAlign w:val="bottom"/>
            <w:hideMark/>
          </w:tcPr>
          <w:p w14:paraId="4E98EAB5"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1 971 867,40</w:t>
            </w:r>
          </w:p>
        </w:tc>
        <w:tc>
          <w:tcPr>
            <w:tcW w:w="738" w:type="dxa"/>
            <w:tcBorders>
              <w:top w:val="nil"/>
              <w:left w:val="nil"/>
              <w:bottom w:val="single" w:sz="4" w:space="0" w:color="auto"/>
              <w:right w:val="single" w:sz="8" w:space="0" w:color="auto"/>
            </w:tcBorders>
            <w:shd w:val="clear" w:color="auto" w:fill="auto"/>
            <w:noWrap/>
            <w:vAlign w:val="bottom"/>
            <w:hideMark/>
          </w:tcPr>
          <w:p w14:paraId="5B70EE08"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100,0</w:t>
            </w:r>
          </w:p>
        </w:tc>
      </w:tr>
      <w:tr w:rsidR="00CD2482" w:rsidRPr="00CD2482" w14:paraId="6A8AC59C" w14:textId="77777777" w:rsidTr="00CD2482">
        <w:trPr>
          <w:trHeight w:val="30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41E87102" w14:textId="77777777" w:rsidR="00CD2482" w:rsidRPr="00CD2482" w:rsidRDefault="00CD2482" w:rsidP="00CD2482">
            <w:pPr>
              <w:spacing w:after="0" w:line="240" w:lineRule="auto"/>
              <w:jc w:val="center"/>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3429</w:t>
            </w:r>
          </w:p>
        </w:tc>
        <w:tc>
          <w:tcPr>
            <w:tcW w:w="3960" w:type="dxa"/>
            <w:tcBorders>
              <w:top w:val="nil"/>
              <w:left w:val="nil"/>
              <w:bottom w:val="single" w:sz="4" w:space="0" w:color="auto"/>
              <w:right w:val="single" w:sz="4" w:space="0" w:color="auto"/>
            </w:tcBorders>
            <w:shd w:val="clear" w:color="auto" w:fill="auto"/>
            <w:noWrap/>
            <w:vAlign w:val="bottom"/>
            <w:hideMark/>
          </w:tcPr>
          <w:p w14:paraId="0D4430DF" w14:textId="77777777" w:rsidR="00CD2482" w:rsidRPr="00CD2482" w:rsidRDefault="00CD2482" w:rsidP="00CD2482">
            <w:pPr>
              <w:spacing w:after="0" w:line="240" w:lineRule="auto"/>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Ostatní zájmová činnost a rekreace</w:t>
            </w:r>
          </w:p>
        </w:tc>
        <w:tc>
          <w:tcPr>
            <w:tcW w:w="1451" w:type="dxa"/>
            <w:tcBorders>
              <w:top w:val="nil"/>
              <w:left w:val="nil"/>
              <w:bottom w:val="single" w:sz="4" w:space="0" w:color="auto"/>
              <w:right w:val="single" w:sz="4" w:space="0" w:color="auto"/>
            </w:tcBorders>
            <w:shd w:val="clear" w:color="auto" w:fill="auto"/>
            <w:noWrap/>
            <w:vAlign w:val="bottom"/>
            <w:hideMark/>
          </w:tcPr>
          <w:p w14:paraId="0C139802"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0</w:t>
            </w:r>
          </w:p>
        </w:tc>
        <w:tc>
          <w:tcPr>
            <w:tcW w:w="1560" w:type="dxa"/>
            <w:tcBorders>
              <w:top w:val="nil"/>
              <w:left w:val="nil"/>
              <w:bottom w:val="single" w:sz="4" w:space="0" w:color="auto"/>
              <w:right w:val="single" w:sz="4" w:space="0" w:color="auto"/>
            </w:tcBorders>
            <w:shd w:val="clear" w:color="auto" w:fill="auto"/>
            <w:noWrap/>
            <w:vAlign w:val="bottom"/>
            <w:hideMark/>
          </w:tcPr>
          <w:p w14:paraId="66BB32A8"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6 234 471,03</w:t>
            </w:r>
          </w:p>
        </w:tc>
        <w:tc>
          <w:tcPr>
            <w:tcW w:w="1559" w:type="dxa"/>
            <w:tcBorders>
              <w:top w:val="nil"/>
              <w:left w:val="nil"/>
              <w:bottom w:val="single" w:sz="4" w:space="0" w:color="auto"/>
              <w:right w:val="single" w:sz="4" w:space="0" w:color="auto"/>
            </w:tcBorders>
            <w:shd w:val="clear" w:color="auto" w:fill="auto"/>
            <w:noWrap/>
            <w:vAlign w:val="bottom"/>
            <w:hideMark/>
          </w:tcPr>
          <w:p w14:paraId="36933E22"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6 234 471,03</w:t>
            </w:r>
          </w:p>
        </w:tc>
        <w:tc>
          <w:tcPr>
            <w:tcW w:w="738" w:type="dxa"/>
            <w:tcBorders>
              <w:top w:val="nil"/>
              <w:left w:val="nil"/>
              <w:bottom w:val="single" w:sz="4" w:space="0" w:color="auto"/>
              <w:right w:val="single" w:sz="8" w:space="0" w:color="auto"/>
            </w:tcBorders>
            <w:shd w:val="clear" w:color="auto" w:fill="auto"/>
            <w:noWrap/>
            <w:vAlign w:val="bottom"/>
            <w:hideMark/>
          </w:tcPr>
          <w:p w14:paraId="49C375CB"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100,0</w:t>
            </w:r>
          </w:p>
        </w:tc>
      </w:tr>
      <w:tr w:rsidR="00CD2482" w:rsidRPr="00CD2482" w14:paraId="6F1B49E9" w14:textId="77777777" w:rsidTr="00CD2482">
        <w:trPr>
          <w:trHeight w:val="30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68CBDBD8" w14:textId="77777777" w:rsidR="00CD2482" w:rsidRPr="00CD2482" w:rsidRDefault="00CD2482" w:rsidP="00CD2482">
            <w:pPr>
              <w:spacing w:after="0" w:line="240" w:lineRule="auto"/>
              <w:jc w:val="center"/>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3519</w:t>
            </w:r>
          </w:p>
        </w:tc>
        <w:tc>
          <w:tcPr>
            <w:tcW w:w="3960" w:type="dxa"/>
            <w:tcBorders>
              <w:top w:val="nil"/>
              <w:left w:val="nil"/>
              <w:bottom w:val="single" w:sz="4" w:space="0" w:color="auto"/>
              <w:right w:val="single" w:sz="4" w:space="0" w:color="auto"/>
            </w:tcBorders>
            <w:shd w:val="clear" w:color="auto" w:fill="auto"/>
            <w:noWrap/>
            <w:vAlign w:val="bottom"/>
            <w:hideMark/>
          </w:tcPr>
          <w:p w14:paraId="6FBDD611" w14:textId="77777777" w:rsidR="00CD2482" w:rsidRPr="00CD2482" w:rsidRDefault="00CD2482" w:rsidP="00CD2482">
            <w:pPr>
              <w:spacing w:after="0" w:line="240" w:lineRule="auto"/>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Ostatní ambulantní péče</w:t>
            </w:r>
          </w:p>
        </w:tc>
        <w:tc>
          <w:tcPr>
            <w:tcW w:w="1451" w:type="dxa"/>
            <w:tcBorders>
              <w:top w:val="nil"/>
              <w:left w:val="nil"/>
              <w:bottom w:val="single" w:sz="4" w:space="0" w:color="auto"/>
              <w:right w:val="single" w:sz="4" w:space="0" w:color="auto"/>
            </w:tcBorders>
            <w:shd w:val="clear" w:color="auto" w:fill="auto"/>
            <w:noWrap/>
            <w:vAlign w:val="bottom"/>
            <w:hideMark/>
          </w:tcPr>
          <w:p w14:paraId="60CA39E4"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0</w:t>
            </w:r>
          </w:p>
        </w:tc>
        <w:tc>
          <w:tcPr>
            <w:tcW w:w="1560" w:type="dxa"/>
            <w:tcBorders>
              <w:top w:val="nil"/>
              <w:left w:val="nil"/>
              <w:bottom w:val="single" w:sz="4" w:space="0" w:color="auto"/>
              <w:right w:val="single" w:sz="4" w:space="0" w:color="auto"/>
            </w:tcBorders>
            <w:shd w:val="clear" w:color="auto" w:fill="auto"/>
            <w:noWrap/>
            <w:vAlign w:val="bottom"/>
            <w:hideMark/>
          </w:tcPr>
          <w:p w14:paraId="491BD970"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399 711,00</w:t>
            </w:r>
          </w:p>
        </w:tc>
        <w:tc>
          <w:tcPr>
            <w:tcW w:w="1559" w:type="dxa"/>
            <w:tcBorders>
              <w:top w:val="nil"/>
              <w:left w:val="nil"/>
              <w:bottom w:val="single" w:sz="4" w:space="0" w:color="auto"/>
              <w:right w:val="single" w:sz="4" w:space="0" w:color="auto"/>
            </w:tcBorders>
            <w:shd w:val="clear" w:color="auto" w:fill="auto"/>
            <w:noWrap/>
            <w:vAlign w:val="bottom"/>
            <w:hideMark/>
          </w:tcPr>
          <w:p w14:paraId="4C716FF5"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399 711,00</w:t>
            </w:r>
          </w:p>
        </w:tc>
        <w:tc>
          <w:tcPr>
            <w:tcW w:w="738" w:type="dxa"/>
            <w:tcBorders>
              <w:top w:val="nil"/>
              <w:left w:val="nil"/>
              <w:bottom w:val="single" w:sz="4" w:space="0" w:color="auto"/>
              <w:right w:val="single" w:sz="8" w:space="0" w:color="auto"/>
            </w:tcBorders>
            <w:shd w:val="clear" w:color="auto" w:fill="auto"/>
            <w:noWrap/>
            <w:vAlign w:val="bottom"/>
            <w:hideMark/>
          </w:tcPr>
          <w:p w14:paraId="36E0F4C7"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100,0</w:t>
            </w:r>
          </w:p>
        </w:tc>
      </w:tr>
      <w:tr w:rsidR="00CD2482" w:rsidRPr="00CD2482" w14:paraId="60D210F6" w14:textId="77777777" w:rsidTr="00CD2482">
        <w:trPr>
          <w:trHeight w:val="30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04EF64C3" w14:textId="77777777" w:rsidR="00CD2482" w:rsidRPr="00CD2482" w:rsidRDefault="00CD2482" w:rsidP="00CD2482">
            <w:pPr>
              <w:spacing w:after="0" w:line="240" w:lineRule="auto"/>
              <w:jc w:val="center"/>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3631</w:t>
            </w:r>
          </w:p>
        </w:tc>
        <w:tc>
          <w:tcPr>
            <w:tcW w:w="3960" w:type="dxa"/>
            <w:tcBorders>
              <w:top w:val="nil"/>
              <w:left w:val="nil"/>
              <w:bottom w:val="single" w:sz="4" w:space="0" w:color="auto"/>
              <w:right w:val="single" w:sz="4" w:space="0" w:color="auto"/>
            </w:tcBorders>
            <w:shd w:val="clear" w:color="auto" w:fill="auto"/>
            <w:noWrap/>
            <w:vAlign w:val="bottom"/>
            <w:hideMark/>
          </w:tcPr>
          <w:p w14:paraId="6EF93CB7" w14:textId="77777777" w:rsidR="00CD2482" w:rsidRPr="00CD2482" w:rsidRDefault="00CD2482" w:rsidP="00CD2482">
            <w:pPr>
              <w:spacing w:after="0" w:line="240" w:lineRule="auto"/>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Veřejné osvětlení</w:t>
            </w:r>
          </w:p>
        </w:tc>
        <w:tc>
          <w:tcPr>
            <w:tcW w:w="1451" w:type="dxa"/>
            <w:tcBorders>
              <w:top w:val="nil"/>
              <w:left w:val="nil"/>
              <w:bottom w:val="single" w:sz="4" w:space="0" w:color="auto"/>
              <w:right w:val="single" w:sz="4" w:space="0" w:color="auto"/>
            </w:tcBorders>
            <w:shd w:val="clear" w:color="auto" w:fill="auto"/>
            <w:noWrap/>
            <w:vAlign w:val="bottom"/>
            <w:hideMark/>
          </w:tcPr>
          <w:p w14:paraId="6A9B3B4E"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0</w:t>
            </w:r>
          </w:p>
        </w:tc>
        <w:tc>
          <w:tcPr>
            <w:tcW w:w="1560" w:type="dxa"/>
            <w:tcBorders>
              <w:top w:val="nil"/>
              <w:left w:val="nil"/>
              <w:bottom w:val="single" w:sz="4" w:space="0" w:color="auto"/>
              <w:right w:val="single" w:sz="4" w:space="0" w:color="auto"/>
            </w:tcBorders>
            <w:shd w:val="clear" w:color="auto" w:fill="auto"/>
            <w:noWrap/>
            <w:vAlign w:val="bottom"/>
            <w:hideMark/>
          </w:tcPr>
          <w:p w14:paraId="603EFEDE"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800 000,00</w:t>
            </w:r>
          </w:p>
        </w:tc>
        <w:tc>
          <w:tcPr>
            <w:tcW w:w="1559" w:type="dxa"/>
            <w:tcBorders>
              <w:top w:val="nil"/>
              <w:left w:val="nil"/>
              <w:bottom w:val="single" w:sz="4" w:space="0" w:color="auto"/>
              <w:right w:val="single" w:sz="4" w:space="0" w:color="auto"/>
            </w:tcBorders>
            <w:shd w:val="clear" w:color="auto" w:fill="auto"/>
            <w:noWrap/>
            <w:vAlign w:val="bottom"/>
            <w:hideMark/>
          </w:tcPr>
          <w:p w14:paraId="6BC47B30"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800 000,00</w:t>
            </w:r>
          </w:p>
        </w:tc>
        <w:tc>
          <w:tcPr>
            <w:tcW w:w="738" w:type="dxa"/>
            <w:tcBorders>
              <w:top w:val="nil"/>
              <w:left w:val="nil"/>
              <w:bottom w:val="single" w:sz="4" w:space="0" w:color="auto"/>
              <w:right w:val="single" w:sz="8" w:space="0" w:color="auto"/>
            </w:tcBorders>
            <w:shd w:val="clear" w:color="auto" w:fill="auto"/>
            <w:noWrap/>
            <w:vAlign w:val="bottom"/>
            <w:hideMark/>
          </w:tcPr>
          <w:p w14:paraId="6BB6D9E5"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100,0</w:t>
            </w:r>
          </w:p>
        </w:tc>
      </w:tr>
      <w:tr w:rsidR="00CD2482" w:rsidRPr="00CD2482" w14:paraId="27645F0B" w14:textId="77777777" w:rsidTr="00CD2482">
        <w:trPr>
          <w:trHeight w:val="30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75E1A76C" w14:textId="77777777" w:rsidR="00CD2482" w:rsidRPr="00CD2482" w:rsidRDefault="00CD2482" w:rsidP="00CD2482">
            <w:pPr>
              <w:spacing w:after="0" w:line="240" w:lineRule="auto"/>
              <w:jc w:val="center"/>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3639</w:t>
            </w:r>
          </w:p>
        </w:tc>
        <w:tc>
          <w:tcPr>
            <w:tcW w:w="3960" w:type="dxa"/>
            <w:tcBorders>
              <w:top w:val="nil"/>
              <w:left w:val="nil"/>
              <w:bottom w:val="single" w:sz="4" w:space="0" w:color="auto"/>
              <w:right w:val="single" w:sz="4" w:space="0" w:color="auto"/>
            </w:tcBorders>
            <w:shd w:val="clear" w:color="auto" w:fill="auto"/>
            <w:noWrap/>
            <w:vAlign w:val="bottom"/>
            <w:hideMark/>
          </w:tcPr>
          <w:p w14:paraId="6CE0D650" w14:textId="77777777" w:rsidR="00CD2482" w:rsidRPr="00CD2482" w:rsidRDefault="00CD2482" w:rsidP="00CD2482">
            <w:pPr>
              <w:spacing w:after="0" w:line="240" w:lineRule="auto"/>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Komunální služby a územní rozvoj j.n.</w:t>
            </w:r>
          </w:p>
        </w:tc>
        <w:tc>
          <w:tcPr>
            <w:tcW w:w="1451" w:type="dxa"/>
            <w:tcBorders>
              <w:top w:val="nil"/>
              <w:left w:val="nil"/>
              <w:bottom w:val="single" w:sz="4" w:space="0" w:color="auto"/>
              <w:right w:val="single" w:sz="4" w:space="0" w:color="auto"/>
            </w:tcBorders>
            <w:shd w:val="clear" w:color="auto" w:fill="auto"/>
            <w:noWrap/>
            <w:vAlign w:val="bottom"/>
            <w:hideMark/>
          </w:tcPr>
          <w:p w14:paraId="088AB37A"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0</w:t>
            </w:r>
          </w:p>
        </w:tc>
        <w:tc>
          <w:tcPr>
            <w:tcW w:w="1560" w:type="dxa"/>
            <w:tcBorders>
              <w:top w:val="nil"/>
              <w:left w:val="nil"/>
              <w:bottom w:val="single" w:sz="4" w:space="0" w:color="auto"/>
              <w:right w:val="single" w:sz="4" w:space="0" w:color="auto"/>
            </w:tcBorders>
            <w:shd w:val="clear" w:color="auto" w:fill="auto"/>
            <w:noWrap/>
            <w:vAlign w:val="bottom"/>
            <w:hideMark/>
          </w:tcPr>
          <w:p w14:paraId="4C13FEE6"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343 447,00</w:t>
            </w:r>
          </w:p>
        </w:tc>
        <w:tc>
          <w:tcPr>
            <w:tcW w:w="1559" w:type="dxa"/>
            <w:tcBorders>
              <w:top w:val="nil"/>
              <w:left w:val="nil"/>
              <w:bottom w:val="single" w:sz="4" w:space="0" w:color="auto"/>
              <w:right w:val="single" w:sz="4" w:space="0" w:color="auto"/>
            </w:tcBorders>
            <w:shd w:val="clear" w:color="auto" w:fill="auto"/>
            <w:noWrap/>
            <w:vAlign w:val="bottom"/>
            <w:hideMark/>
          </w:tcPr>
          <w:p w14:paraId="3626A482"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343 447,00</w:t>
            </w:r>
          </w:p>
        </w:tc>
        <w:tc>
          <w:tcPr>
            <w:tcW w:w="738" w:type="dxa"/>
            <w:tcBorders>
              <w:top w:val="nil"/>
              <w:left w:val="nil"/>
              <w:bottom w:val="single" w:sz="4" w:space="0" w:color="auto"/>
              <w:right w:val="single" w:sz="8" w:space="0" w:color="auto"/>
            </w:tcBorders>
            <w:shd w:val="clear" w:color="auto" w:fill="auto"/>
            <w:noWrap/>
            <w:vAlign w:val="bottom"/>
            <w:hideMark/>
          </w:tcPr>
          <w:p w14:paraId="0381D8BC"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100,0</w:t>
            </w:r>
          </w:p>
        </w:tc>
      </w:tr>
      <w:tr w:rsidR="00CD2482" w:rsidRPr="00CD2482" w14:paraId="197E5065" w14:textId="77777777" w:rsidTr="00CD2482">
        <w:trPr>
          <w:trHeight w:val="30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509EEC0E" w14:textId="77777777" w:rsidR="00CD2482" w:rsidRPr="00CD2482" w:rsidRDefault="00CD2482" w:rsidP="00CD2482">
            <w:pPr>
              <w:spacing w:after="0" w:line="240" w:lineRule="auto"/>
              <w:jc w:val="center"/>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3699</w:t>
            </w:r>
          </w:p>
        </w:tc>
        <w:tc>
          <w:tcPr>
            <w:tcW w:w="3960" w:type="dxa"/>
            <w:tcBorders>
              <w:top w:val="nil"/>
              <w:left w:val="nil"/>
              <w:bottom w:val="single" w:sz="4" w:space="0" w:color="auto"/>
              <w:right w:val="single" w:sz="4" w:space="0" w:color="auto"/>
            </w:tcBorders>
            <w:shd w:val="clear" w:color="auto" w:fill="auto"/>
            <w:noWrap/>
            <w:vAlign w:val="bottom"/>
            <w:hideMark/>
          </w:tcPr>
          <w:p w14:paraId="7BD2C4BA" w14:textId="1968AAE9" w:rsidR="00CD2482" w:rsidRPr="00CD2482" w:rsidRDefault="00CD2482" w:rsidP="00CD2482">
            <w:pPr>
              <w:spacing w:after="0" w:line="240" w:lineRule="auto"/>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Ost</w:t>
            </w:r>
            <w:r w:rsidR="00C43260">
              <w:rPr>
                <w:rFonts w:ascii="Calibri" w:eastAsia="Times New Roman" w:hAnsi="Calibri" w:cs="Arial"/>
                <w:i/>
                <w:iCs/>
                <w:sz w:val="20"/>
                <w:szCs w:val="20"/>
                <w:lang w:eastAsia="cs-CZ"/>
              </w:rPr>
              <w:t xml:space="preserve">atní </w:t>
            </w:r>
            <w:r w:rsidRPr="00CD2482">
              <w:rPr>
                <w:rFonts w:ascii="Calibri" w:eastAsia="Times New Roman" w:hAnsi="Calibri" w:cs="Arial"/>
                <w:i/>
                <w:iCs/>
                <w:sz w:val="20"/>
                <w:szCs w:val="20"/>
                <w:lang w:eastAsia="cs-CZ"/>
              </w:rPr>
              <w:t>záležitosti bydlení, kom</w:t>
            </w:r>
            <w:r w:rsidR="00C43260">
              <w:rPr>
                <w:rFonts w:ascii="Calibri" w:eastAsia="Times New Roman" w:hAnsi="Calibri" w:cs="Arial"/>
                <w:i/>
                <w:iCs/>
                <w:sz w:val="20"/>
                <w:szCs w:val="20"/>
                <w:lang w:eastAsia="cs-CZ"/>
              </w:rPr>
              <w:t xml:space="preserve">unitních </w:t>
            </w:r>
            <w:r w:rsidRPr="00CD2482">
              <w:rPr>
                <w:rFonts w:ascii="Calibri" w:eastAsia="Times New Roman" w:hAnsi="Calibri" w:cs="Arial"/>
                <w:i/>
                <w:iCs/>
                <w:sz w:val="20"/>
                <w:szCs w:val="20"/>
                <w:lang w:eastAsia="cs-CZ"/>
              </w:rPr>
              <w:t>služeb a územ</w:t>
            </w:r>
            <w:r w:rsidR="00C43260">
              <w:rPr>
                <w:rFonts w:ascii="Calibri" w:eastAsia="Times New Roman" w:hAnsi="Calibri" w:cs="Arial"/>
                <w:i/>
                <w:iCs/>
                <w:sz w:val="20"/>
                <w:szCs w:val="20"/>
                <w:lang w:eastAsia="cs-CZ"/>
              </w:rPr>
              <w:t xml:space="preserve">ního </w:t>
            </w:r>
            <w:r w:rsidRPr="00CD2482">
              <w:rPr>
                <w:rFonts w:ascii="Calibri" w:eastAsia="Times New Roman" w:hAnsi="Calibri" w:cs="Arial"/>
                <w:i/>
                <w:iCs/>
                <w:sz w:val="20"/>
                <w:szCs w:val="20"/>
                <w:lang w:eastAsia="cs-CZ"/>
              </w:rPr>
              <w:t>rozvoje</w:t>
            </w:r>
          </w:p>
        </w:tc>
        <w:tc>
          <w:tcPr>
            <w:tcW w:w="1451" w:type="dxa"/>
            <w:tcBorders>
              <w:top w:val="nil"/>
              <w:left w:val="nil"/>
              <w:bottom w:val="single" w:sz="4" w:space="0" w:color="auto"/>
              <w:right w:val="single" w:sz="4" w:space="0" w:color="auto"/>
            </w:tcBorders>
            <w:shd w:val="clear" w:color="auto" w:fill="auto"/>
            <w:noWrap/>
            <w:vAlign w:val="bottom"/>
            <w:hideMark/>
          </w:tcPr>
          <w:p w14:paraId="5FD20622"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0</w:t>
            </w:r>
          </w:p>
        </w:tc>
        <w:tc>
          <w:tcPr>
            <w:tcW w:w="1560" w:type="dxa"/>
            <w:tcBorders>
              <w:top w:val="nil"/>
              <w:left w:val="nil"/>
              <w:bottom w:val="single" w:sz="4" w:space="0" w:color="auto"/>
              <w:right w:val="single" w:sz="4" w:space="0" w:color="auto"/>
            </w:tcBorders>
            <w:shd w:val="clear" w:color="auto" w:fill="auto"/>
            <w:noWrap/>
            <w:vAlign w:val="bottom"/>
            <w:hideMark/>
          </w:tcPr>
          <w:p w14:paraId="17423C37"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756 000,00</w:t>
            </w:r>
          </w:p>
        </w:tc>
        <w:tc>
          <w:tcPr>
            <w:tcW w:w="1559" w:type="dxa"/>
            <w:tcBorders>
              <w:top w:val="nil"/>
              <w:left w:val="nil"/>
              <w:bottom w:val="single" w:sz="4" w:space="0" w:color="auto"/>
              <w:right w:val="single" w:sz="4" w:space="0" w:color="auto"/>
            </w:tcBorders>
            <w:shd w:val="clear" w:color="auto" w:fill="auto"/>
            <w:noWrap/>
            <w:vAlign w:val="bottom"/>
            <w:hideMark/>
          </w:tcPr>
          <w:p w14:paraId="630CD91A"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756 000,00</w:t>
            </w:r>
          </w:p>
        </w:tc>
        <w:tc>
          <w:tcPr>
            <w:tcW w:w="738" w:type="dxa"/>
            <w:tcBorders>
              <w:top w:val="nil"/>
              <w:left w:val="nil"/>
              <w:bottom w:val="single" w:sz="4" w:space="0" w:color="auto"/>
              <w:right w:val="single" w:sz="8" w:space="0" w:color="auto"/>
            </w:tcBorders>
            <w:shd w:val="clear" w:color="auto" w:fill="auto"/>
            <w:noWrap/>
            <w:vAlign w:val="bottom"/>
            <w:hideMark/>
          </w:tcPr>
          <w:p w14:paraId="7EF1B373"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100,0</w:t>
            </w:r>
          </w:p>
        </w:tc>
      </w:tr>
      <w:tr w:rsidR="00CD2482" w:rsidRPr="00CD2482" w14:paraId="0A968A8B" w14:textId="77777777" w:rsidTr="00CD2482">
        <w:trPr>
          <w:trHeight w:val="30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1DDEF1DC" w14:textId="77777777" w:rsidR="00CD2482" w:rsidRPr="00CD2482" w:rsidRDefault="00CD2482" w:rsidP="00CD2482">
            <w:pPr>
              <w:spacing w:after="0" w:line="240" w:lineRule="auto"/>
              <w:jc w:val="center"/>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3742</w:t>
            </w:r>
          </w:p>
        </w:tc>
        <w:tc>
          <w:tcPr>
            <w:tcW w:w="3960" w:type="dxa"/>
            <w:tcBorders>
              <w:top w:val="nil"/>
              <w:left w:val="nil"/>
              <w:bottom w:val="single" w:sz="4" w:space="0" w:color="auto"/>
              <w:right w:val="single" w:sz="4" w:space="0" w:color="auto"/>
            </w:tcBorders>
            <w:shd w:val="clear" w:color="auto" w:fill="auto"/>
            <w:noWrap/>
            <w:vAlign w:val="bottom"/>
            <w:hideMark/>
          </w:tcPr>
          <w:p w14:paraId="0CF13D1F" w14:textId="77777777" w:rsidR="00CD2482" w:rsidRPr="00CD2482" w:rsidRDefault="00CD2482" w:rsidP="00CD2482">
            <w:pPr>
              <w:spacing w:after="0" w:line="240" w:lineRule="auto"/>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Chráněné části přírody</w:t>
            </w:r>
          </w:p>
        </w:tc>
        <w:tc>
          <w:tcPr>
            <w:tcW w:w="1451" w:type="dxa"/>
            <w:tcBorders>
              <w:top w:val="nil"/>
              <w:left w:val="nil"/>
              <w:bottom w:val="single" w:sz="4" w:space="0" w:color="auto"/>
              <w:right w:val="single" w:sz="4" w:space="0" w:color="auto"/>
            </w:tcBorders>
            <w:shd w:val="clear" w:color="auto" w:fill="auto"/>
            <w:noWrap/>
            <w:vAlign w:val="bottom"/>
            <w:hideMark/>
          </w:tcPr>
          <w:p w14:paraId="1DC28A95"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0</w:t>
            </w:r>
          </w:p>
        </w:tc>
        <w:tc>
          <w:tcPr>
            <w:tcW w:w="1560" w:type="dxa"/>
            <w:tcBorders>
              <w:top w:val="nil"/>
              <w:left w:val="nil"/>
              <w:bottom w:val="single" w:sz="4" w:space="0" w:color="auto"/>
              <w:right w:val="single" w:sz="4" w:space="0" w:color="auto"/>
            </w:tcBorders>
            <w:shd w:val="clear" w:color="auto" w:fill="auto"/>
            <w:noWrap/>
            <w:vAlign w:val="bottom"/>
            <w:hideMark/>
          </w:tcPr>
          <w:p w14:paraId="4B4B3212"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397 100,00</w:t>
            </w:r>
          </w:p>
        </w:tc>
        <w:tc>
          <w:tcPr>
            <w:tcW w:w="1559" w:type="dxa"/>
            <w:tcBorders>
              <w:top w:val="nil"/>
              <w:left w:val="nil"/>
              <w:bottom w:val="single" w:sz="4" w:space="0" w:color="auto"/>
              <w:right w:val="single" w:sz="4" w:space="0" w:color="auto"/>
            </w:tcBorders>
            <w:shd w:val="clear" w:color="auto" w:fill="auto"/>
            <w:noWrap/>
            <w:vAlign w:val="bottom"/>
            <w:hideMark/>
          </w:tcPr>
          <w:p w14:paraId="1ECCC25E"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397 100,00</w:t>
            </w:r>
          </w:p>
        </w:tc>
        <w:tc>
          <w:tcPr>
            <w:tcW w:w="738" w:type="dxa"/>
            <w:tcBorders>
              <w:top w:val="nil"/>
              <w:left w:val="nil"/>
              <w:bottom w:val="single" w:sz="4" w:space="0" w:color="auto"/>
              <w:right w:val="single" w:sz="8" w:space="0" w:color="auto"/>
            </w:tcBorders>
            <w:shd w:val="clear" w:color="auto" w:fill="auto"/>
            <w:noWrap/>
            <w:vAlign w:val="bottom"/>
            <w:hideMark/>
          </w:tcPr>
          <w:p w14:paraId="30496438"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100,0</w:t>
            </w:r>
          </w:p>
        </w:tc>
      </w:tr>
      <w:tr w:rsidR="00CD2482" w:rsidRPr="00CD2482" w14:paraId="65A7C61A" w14:textId="77777777" w:rsidTr="00CD2482">
        <w:trPr>
          <w:trHeight w:val="30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4C4DB3F0" w14:textId="77777777" w:rsidR="00CD2482" w:rsidRPr="00CD2482" w:rsidRDefault="00CD2482" w:rsidP="00CD2482">
            <w:pPr>
              <w:spacing w:after="0" w:line="240" w:lineRule="auto"/>
              <w:jc w:val="center"/>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3745</w:t>
            </w:r>
          </w:p>
        </w:tc>
        <w:tc>
          <w:tcPr>
            <w:tcW w:w="3960" w:type="dxa"/>
            <w:tcBorders>
              <w:top w:val="nil"/>
              <w:left w:val="nil"/>
              <w:bottom w:val="single" w:sz="4" w:space="0" w:color="auto"/>
              <w:right w:val="single" w:sz="4" w:space="0" w:color="auto"/>
            </w:tcBorders>
            <w:shd w:val="clear" w:color="auto" w:fill="auto"/>
            <w:noWrap/>
            <w:vAlign w:val="bottom"/>
            <w:hideMark/>
          </w:tcPr>
          <w:p w14:paraId="5BFCD5ED" w14:textId="77777777" w:rsidR="00CD2482" w:rsidRPr="00CD2482" w:rsidRDefault="00CD2482" w:rsidP="00CD2482">
            <w:pPr>
              <w:spacing w:after="0" w:line="240" w:lineRule="auto"/>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Péče o vzhled obcí a veřejnou zeleň</w:t>
            </w:r>
          </w:p>
        </w:tc>
        <w:tc>
          <w:tcPr>
            <w:tcW w:w="1451" w:type="dxa"/>
            <w:tcBorders>
              <w:top w:val="nil"/>
              <w:left w:val="nil"/>
              <w:bottom w:val="single" w:sz="4" w:space="0" w:color="auto"/>
              <w:right w:val="single" w:sz="4" w:space="0" w:color="auto"/>
            </w:tcBorders>
            <w:shd w:val="clear" w:color="auto" w:fill="auto"/>
            <w:noWrap/>
            <w:vAlign w:val="bottom"/>
            <w:hideMark/>
          </w:tcPr>
          <w:p w14:paraId="0DA7D9D7"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0</w:t>
            </w:r>
          </w:p>
        </w:tc>
        <w:tc>
          <w:tcPr>
            <w:tcW w:w="1560" w:type="dxa"/>
            <w:tcBorders>
              <w:top w:val="nil"/>
              <w:left w:val="nil"/>
              <w:bottom w:val="single" w:sz="4" w:space="0" w:color="auto"/>
              <w:right w:val="single" w:sz="4" w:space="0" w:color="auto"/>
            </w:tcBorders>
            <w:shd w:val="clear" w:color="auto" w:fill="auto"/>
            <w:noWrap/>
            <w:vAlign w:val="bottom"/>
            <w:hideMark/>
          </w:tcPr>
          <w:p w14:paraId="7B5CC06E"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3 486 985,00</w:t>
            </w:r>
          </w:p>
        </w:tc>
        <w:tc>
          <w:tcPr>
            <w:tcW w:w="1559" w:type="dxa"/>
            <w:tcBorders>
              <w:top w:val="nil"/>
              <w:left w:val="nil"/>
              <w:bottom w:val="single" w:sz="4" w:space="0" w:color="auto"/>
              <w:right w:val="single" w:sz="4" w:space="0" w:color="auto"/>
            </w:tcBorders>
            <w:shd w:val="clear" w:color="auto" w:fill="auto"/>
            <w:noWrap/>
            <w:vAlign w:val="bottom"/>
            <w:hideMark/>
          </w:tcPr>
          <w:p w14:paraId="304F2610"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3 486 985,00</w:t>
            </w:r>
          </w:p>
        </w:tc>
        <w:tc>
          <w:tcPr>
            <w:tcW w:w="738" w:type="dxa"/>
            <w:tcBorders>
              <w:top w:val="nil"/>
              <w:left w:val="nil"/>
              <w:bottom w:val="single" w:sz="4" w:space="0" w:color="auto"/>
              <w:right w:val="single" w:sz="8" w:space="0" w:color="auto"/>
            </w:tcBorders>
            <w:shd w:val="clear" w:color="auto" w:fill="auto"/>
            <w:noWrap/>
            <w:vAlign w:val="bottom"/>
            <w:hideMark/>
          </w:tcPr>
          <w:p w14:paraId="6773EF14"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100,0</w:t>
            </w:r>
          </w:p>
        </w:tc>
      </w:tr>
      <w:tr w:rsidR="00CD2482" w:rsidRPr="00CD2482" w14:paraId="0D8D04F1" w14:textId="77777777" w:rsidTr="00CD2482">
        <w:trPr>
          <w:trHeight w:val="30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7067CC9A" w14:textId="77777777" w:rsidR="00CD2482" w:rsidRPr="00CD2482" w:rsidRDefault="00CD2482" w:rsidP="00CD2482">
            <w:pPr>
              <w:spacing w:after="0" w:line="240" w:lineRule="auto"/>
              <w:jc w:val="center"/>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4350</w:t>
            </w:r>
          </w:p>
        </w:tc>
        <w:tc>
          <w:tcPr>
            <w:tcW w:w="3960" w:type="dxa"/>
            <w:tcBorders>
              <w:top w:val="nil"/>
              <w:left w:val="nil"/>
              <w:bottom w:val="single" w:sz="4" w:space="0" w:color="auto"/>
              <w:right w:val="single" w:sz="4" w:space="0" w:color="auto"/>
            </w:tcBorders>
            <w:shd w:val="clear" w:color="auto" w:fill="auto"/>
            <w:noWrap/>
            <w:vAlign w:val="bottom"/>
            <w:hideMark/>
          </w:tcPr>
          <w:p w14:paraId="59212522" w14:textId="77777777" w:rsidR="00CD2482" w:rsidRPr="00CD2482" w:rsidRDefault="00CD2482" w:rsidP="00CD2482">
            <w:pPr>
              <w:spacing w:after="0" w:line="240" w:lineRule="auto"/>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Domovy pro seniory</w:t>
            </w:r>
          </w:p>
        </w:tc>
        <w:tc>
          <w:tcPr>
            <w:tcW w:w="1451" w:type="dxa"/>
            <w:tcBorders>
              <w:top w:val="nil"/>
              <w:left w:val="nil"/>
              <w:bottom w:val="single" w:sz="4" w:space="0" w:color="auto"/>
              <w:right w:val="single" w:sz="4" w:space="0" w:color="auto"/>
            </w:tcBorders>
            <w:shd w:val="clear" w:color="auto" w:fill="auto"/>
            <w:noWrap/>
            <w:vAlign w:val="bottom"/>
            <w:hideMark/>
          </w:tcPr>
          <w:p w14:paraId="679A667C"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0</w:t>
            </w:r>
          </w:p>
        </w:tc>
        <w:tc>
          <w:tcPr>
            <w:tcW w:w="1560" w:type="dxa"/>
            <w:tcBorders>
              <w:top w:val="nil"/>
              <w:left w:val="nil"/>
              <w:bottom w:val="single" w:sz="4" w:space="0" w:color="auto"/>
              <w:right w:val="single" w:sz="4" w:space="0" w:color="auto"/>
            </w:tcBorders>
            <w:shd w:val="clear" w:color="auto" w:fill="auto"/>
            <w:noWrap/>
            <w:vAlign w:val="bottom"/>
            <w:hideMark/>
          </w:tcPr>
          <w:p w14:paraId="295A9AC9"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196 900,00</w:t>
            </w:r>
          </w:p>
        </w:tc>
        <w:tc>
          <w:tcPr>
            <w:tcW w:w="1559" w:type="dxa"/>
            <w:tcBorders>
              <w:top w:val="nil"/>
              <w:left w:val="nil"/>
              <w:bottom w:val="single" w:sz="4" w:space="0" w:color="auto"/>
              <w:right w:val="single" w:sz="4" w:space="0" w:color="auto"/>
            </w:tcBorders>
            <w:shd w:val="clear" w:color="auto" w:fill="auto"/>
            <w:noWrap/>
            <w:vAlign w:val="bottom"/>
            <w:hideMark/>
          </w:tcPr>
          <w:p w14:paraId="13F0CE8A"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196 900,00</w:t>
            </w:r>
          </w:p>
        </w:tc>
        <w:tc>
          <w:tcPr>
            <w:tcW w:w="738" w:type="dxa"/>
            <w:tcBorders>
              <w:top w:val="nil"/>
              <w:left w:val="nil"/>
              <w:bottom w:val="single" w:sz="4" w:space="0" w:color="auto"/>
              <w:right w:val="single" w:sz="8" w:space="0" w:color="auto"/>
            </w:tcBorders>
            <w:shd w:val="clear" w:color="auto" w:fill="auto"/>
            <w:noWrap/>
            <w:vAlign w:val="bottom"/>
            <w:hideMark/>
          </w:tcPr>
          <w:p w14:paraId="18303C7B"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100,0</w:t>
            </w:r>
          </w:p>
        </w:tc>
      </w:tr>
      <w:tr w:rsidR="00CD2482" w:rsidRPr="00CD2482" w14:paraId="4608DDF7" w14:textId="77777777" w:rsidTr="00CD2482">
        <w:trPr>
          <w:trHeight w:val="300"/>
        </w:trPr>
        <w:tc>
          <w:tcPr>
            <w:tcW w:w="826" w:type="dxa"/>
            <w:tcBorders>
              <w:top w:val="nil"/>
              <w:left w:val="single" w:sz="8" w:space="0" w:color="auto"/>
              <w:bottom w:val="nil"/>
              <w:right w:val="single" w:sz="4" w:space="0" w:color="auto"/>
            </w:tcBorders>
            <w:shd w:val="clear" w:color="auto" w:fill="auto"/>
            <w:noWrap/>
            <w:vAlign w:val="bottom"/>
            <w:hideMark/>
          </w:tcPr>
          <w:p w14:paraId="76034540" w14:textId="77777777" w:rsidR="00CD2482" w:rsidRPr="00CD2482" w:rsidRDefault="00CD2482" w:rsidP="00CD2482">
            <w:pPr>
              <w:spacing w:after="0" w:line="240" w:lineRule="auto"/>
              <w:jc w:val="center"/>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6171</w:t>
            </w:r>
          </w:p>
        </w:tc>
        <w:tc>
          <w:tcPr>
            <w:tcW w:w="3960" w:type="dxa"/>
            <w:tcBorders>
              <w:top w:val="nil"/>
              <w:left w:val="nil"/>
              <w:bottom w:val="nil"/>
              <w:right w:val="single" w:sz="4" w:space="0" w:color="auto"/>
            </w:tcBorders>
            <w:shd w:val="clear" w:color="auto" w:fill="auto"/>
            <w:noWrap/>
            <w:vAlign w:val="bottom"/>
            <w:hideMark/>
          </w:tcPr>
          <w:p w14:paraId="76848ED3" w14:textId="77777777" w:rsidR="00CD2482" w:rsidRPr="00CD2482" w:rsidRDefault="00CD2482" w:rsidP="00CD2482">
            <w:pPr>
              <w:spacing w:after="0" w:line="240" w:lineRule="auto"/>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Činnost místní správy</w:t>
            </w:r>
          </w:p>
        </w:tc>
        <w:tc>
          <w:tcPr>
            <w:tcW w:w="1451" w:type="dxa"/>
            <w:tcBorders>
              <w:top w:val="nil"/>
              <w:left w:val="nil"/>
              <w:bottom w:val="nil"/>
              <w:right w:val="single" w:sz="4" w:space="0" w:color="auto"/>
            </w:tcBorders>
            <w:shd w:val="clear" w:color="auto" w:fill="auto"/>
            <w:noWrap/>
            <w:vAlign w:val="bottom"/>
            <w:hideMark/>
          </w:tcPr>
          <w:p w14:paraId="5668281E"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0</w:t>
            </w:r>
          </w:p>
        </w:tc>
        <w:tc>
          <w:tcPr>
            <w:tcW w:w="1560" w:type="dxa"/>
            <w:tcBorders>
              <w:top w:val="nil"/>
              <w:left w:val="nil"/>
              <w:bottom w:val="single" w:sz="4" w:space="0" w:color="auto"/>
              <w:right w:val="single" w:sz="4" w:space="0" w:color="auto"/>
            </w:tcBorders>
            <w:shd w:val="clear" w:color="auto" w:fill="auto"/>
            <w:noWrap/>
            <w:vAlign w:val="bottom"/>
            <w:hideMark/>
          </w:tcPr>
          <w:p w14:paraId="74D7DD4A"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178 000,00</w:t>
            </w:r>
          </w:p>
        </w:tc>
        <w:tc>
          <w:tcPr>
            <w:tcW w:w="1559" w:type="dxa"/>
            <w:tcBorders>
              <w:top w:val="nil"/>
              <w:left w:val="nil"/>
              <w:bottom w:val="single" w:sz="4" w:space="0" w:color="auto"/>
              <w:right w:val="single" w:sz="4" w:space="0" w:color="auto"/>
            </w:tcBorders>
            <w:shd w:val="clear" w:color="auto" w:fill="auto"/>
            <w:noWrap/>
            <w:vAlign w:val="bottom"/>
            <w:hideMark/>
          </w:tcPr>
          <w:p w14:paraId="18514A49"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178 000,00</w:t>
            </w:r>
          </w:p>
        </w:tc>
        <w:tc>
          <w:tcPr>
            <w:tcW w:w="738" w:type="dxa"/>
            <w:tcBorders>
              <w:top w:val="nil"/>
              <w:left w:val="nil"/>
              <w:bottom w:val="nil"/>
              <w:right w:val="single" w:sz="8" w:space="0" w:color="auto"/>
            </w:tcBorders>
            <w:shd w:val="clear" w:color="auto" w:fill="auto"/>
            <w:noWrap/>
            <w:vAlign w:val="bottom"/>
            <w:hideMark/>
          </w:tcPr>
          <w:p w14:paraId="019B834D"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100,0</w:t>
            </w:r>
          </w:p>
        </w:tc>
      </w:tr>
      <w:tr w:rsidR="00CD2482" w:rsidRPr="00CD2482" w14:paraId="789DDDC1" w14:textId="77777777" w:rsidTr="00CD2482">
        <w:trPr>
          <w:trHeight w:val="300"/>
        </w:trPr>
        <w:tc>
          <w:tcPr>
            <w:tcW w:w="826"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5D382106" w14:textId="77777777" w:rsidR="00CD2482" w:rsidRPr="00CD2482" w:rsidRDefault="00CD2482" w:rsidP="00CD2482">
            <w:pPr>
              <w:spacing w:after="0" w:line="240" w:lineRule="auto"/>
              <w:jc w:val="center"/>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6172</w:t>
            </w:r>
          </w:p>
        </w:tc>
        <w:tc>
          <w:tcPr>
            <w:tcW w:w="3960" w:type="dxa"/>
            <w:tcBorders>
              <w:top w:val="single" w:sz="4" w:space="0" w:color="auto"/>
              <w:left w:val="nil"/>
              <w:bottom w:val="single" w:sz="8" w:space="0" w:color="auto"/>
              <w:right w:val="single" w:sz="4" w:space="0" w:color="auto"/>
            </w:tcBorders>
            <w:shd w:val="clear" w:color="auto" w:fill="auto"/>
            <w:vAlign w:val="bottom"/>
            <w:hideMark/>
          </w:tcPr>
          <w:p w14:paraId="4D57D5BF" w14:textId="77777777" w:rsidR="00CD2482" w:rsidRPr="00CD2482" w:rsidRDefault="00CD2482" w:rsidP="00CD2482">
            <w:pPr>
              <w:spacing w:after="0" w:line="240" w:lineRule="auto"/>
              <w:rPr>
                <w:rFonts w:ascii="Calibri" w:eastAsia="Times New Roman" w:hAnsi="Calibri" w:cs="Arial"/>
                <w:i/>
                <w:iCs/>
                <w:sz w:val="20"/>
                <w:szCs w:val="20"/>
                <w:lang w:eastAsia="cs-CZ"/>
              </w:rPr>
            </w:pPr>
            <w:r w:rsidRPr="00CD2482">
              <w:rPr>
                <w:rFonts w:ascii="Calibri" w:eastAsia="Times New Roman" w:hAnsi="Calibri" w:cs="Arial"/>
                <w:i/>
                <w:iCs/>
                <w:sz w:val="20"/>
                <w:szCs w:val="20"/>
                <w:lang w:eastAsia="cs-CZ"/>
              </w:rPr>
              <w:t>Činnost regionální správy</w:t>
            </w:r>
          </w:p>
        </w:tc>
        <w:tc>
          <w:tcPr>
            <w:tcW w:w="1451" w:type="dxa"/>
            <w:tcBorders>
              <w:top w:val="single" w:sz="4" w:space="0" w:color="auto"/>
              <w:left w:val="nil"/>
              <w:bottom w:val="single" w:sz="8" w:space="0" w:color="auto"/>
              <w:right w:val="single" w:sz="4" w:space="0" w:color="auto"/>
            </w:tcBorders>
            <w:shd w:val="clear" w:color="auto" w:fill="auto"/>
            <w:noWrap/>
            <w:vAlign w:val="bottom"/>
            <w:hideMark/>
          </w:tcPr>
          <w:p w14:paraId="3DAFCFD0"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0</w:t>
            </w:r>
          </w:p>
        </w:tc>
        <w:tc>
          <w:tcPr>
            <w:tcW w:w="1560" w:type="dxa"/>
            <w:tcBorders>
              <w:top w:val="nil"/>
              <w:left w:val="nil"/>
              <w:bottom w:val="single" w:sz="8" w:space="0" w:color="auto"/>
              <w:right w:val="single" w:sz="4" w:space="0" w:color="auto"/>
            </w:tcBorders>
            <w:shd w:val="clear" w:color="auto" w:fill="auto"/>
            <w:noWrap/>
            <w:vAlign w:val="bottom"/>
            <w:hideMark/>
          </w:tcPr>
          <w:p w14:paraId="1CC426B9"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4 493 773,00</w:t>
            </w:r>
          </w:p>
        </w:tc>
        <w:tc>
          <w:tcPr>
            <w:tcW w:w="1559" w:type="dxa"/>
            <w:tcBorders>
              <w:top w:val="nil"/>
              <w:left w:val="nil"/>
              <w:bottom w:val="single" w:sz="8" w:space="0" w:color="auto"/>
              <w:right w:val="single" w:sz="4" w:space="0" w:color="auto"/>
            </w:tcBorders>
            <w:shd w:val="clear" w:color="auto" w:fill="auto"/>
            <w:noWrap/>
            <w:vAlign w:val="bottom"/>
            <w:hideMark/>
          </w:tcPr>
          <w:p w14:paraId="2C0E379D"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0,00</w:t>
            </w:r>
          </w:p>
        </w:tc>
        <w:tc>
          <w:tcPr>
            <w:tcW w:w="738" w:type="dxa"/>
            <w:tcBorders>
              <w:top w:val="single" w:sz="4" w:space="0" w:color="auto"/>
              <w:left w:val="nil"/>
              <w:bottom w:val="single" w:sz="8" w:space="0" w:color="auto"/>
              <w:right w:val="single" w:sz="8" w:space="0" w:color="auto"/>
            </w:tcBorders>
            <w:shd w:val="clear" w:color="auto" w:fill="auto"/>
            <w:noWrap/>
            <w:vAlign w:val="bottom"/>
            <w:hideMark/>
          </w:tcPr>
          <w:p w14:paraId="3878428D"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0,0</w:t>
            </w:r>
          </w:p>
        </w:tc>
      </w:tr>
      <w:tr w:rsidR="00CD2482" w:rsidRPr="00CD2482" w14:paraId="2DE0678B" w14:textId="77777777" w:rsidTr="00CD2482">
        <w:trPr>
          <w:trHeight w:val="300"/>
        </w:trPr>
        <w:tc>
          <w:tcPr>
            <w:tcW w:w="826" w:type="dxa"/>
            <w:tcBorders>
              <w:top w:val="nil"/>
              <w:left w:val="single" w:sz="8" w:space="0" w:color="auto"/>
              <w:bottom w:val="single" w:sz="8" w:space="0" w:color="auto"/>
              <w:right w:val="single" w:sz="4" w:space="0" w:color="auto"/>
            </w:tcBorders>
            <w:shd w:val="clear" w:color="auto" w:fill="auto"/>
            <w:noWrap/>
            <w:vAlign w:val="bottom"/>
            <w:hideMark/>
          </w:tcPr>
          <w:p w14:paraId="5B5140B4" w14:textId="77777777" w:rsidR="00CD2482" w:rsidRPr="00CD2482" w:rsidRDefault="00CD2482" w:rsidP="00CD2482">
            <w:pPr>
              <w:spacing w:after="0" w:line="240" w:lineRule="auto"/>
              <w:rPr>
                <w:rFonts w:ascii="Calibri" w:eastAsia="Times New Roman" w:hAnsi="Calibri" w:cs="Arial"/>
                <w:sz w:val="20"/>
                <w:szCs w:val="20"/>
                <w:lang w:eastAsia="cs-CZ"/>
              </w:rPr>
            </w:pPr>
            <w:r w:rsidRPr="00CD2482">
              <w:rPr>
                <w:rFonts w:ascii="Calibri" w:eastAsia="Times New Roman" w:hAnsi="Calibri" w:cs="Arial"/>
                <w:sz w:val="20"/>
                <w:szCs w:val="20"/>
                <w:lang w:eastAsia="cs-CZ"/>
              </w:rPr>
              <w:t> </w:t>
            </w:r>
          </w:p>
        </w:tc>
        <w:tc>
          <w:tcPr>
            <w:tcW w:w="3960" w:type="dxa"/>
            <w:tcBorders>
              <w:top w:val="nil"/>
              <w:left w:val="nil"/>
              <w:bottom w:val="single" w:sz="8" w:space="0" w:color="auto"/>
              <w:right w:val="single" w:sz="4" w:space="0" w:color="auto"/>
            </w:tcBorders>
            <w:shd w:val="clear" w:color="auto" w:fill="auto"/>
            <w:noWrap/>
            <w:vAlign w:val="bottom"/>
            <w:hideMark/>
          </w:tcPr>
          <w:p w14:paraId="572C2284" w14:textId="77777777" w:rsidR="00CD2482" w:rsidRPr="00CD2482" w:rsidRDefault="00CD2482" w:rsidP="00CD2482">
            <w:pPr>
              <w:spacing w:after="0" w:line="240" w:lineRule="auto"/>
              <w:rPr>
                <w:rFonts w:ascii="Calibri" w:eastAsia="Times New Roman" w:hAnsi="Calibri" w:cs="Arial"/>
                <w:b/>
                <w:bCs/>
                <w:lang w:eastAsia="cs-CZ"/>
              </w:rPr>
            </w:pPr>
            <w:r w:rsidRPr="00CD2482">
              <w:rPr>
                <w:rFonts w:ascii="Calibri" w:eastAsia="Times New Roman" w:hAnsi="Calibri" w:cs="Arial"/>
                <w:b/>
                <w:bCs/>
                <w:lang w:eastAsia="cs-CZ"/>
              </w:rPr>
              <w:t xml:space="preserve">Celkem </w:t>
            </w:r>
          </w:p>
        </w:tc>
        <w:tc>
          <w:tcPr>
            <w:tcW w:w="1451" w:type="dxa"/>
            <w:tcBorders>
              <w:top w:val="nil"/>
              <w:left w:val="nil"/>
              <w:bottom w:val="single" w:sz="8" w:space="0" w:color="auto"/>
              <w:right w:val="single" w:sz="4" w:space="0" w:color="auto"/>
            </w:tcBorders>
            <w:shd w:val="clear" w:color="auto" w:fill="auto"/>
            <w:noWrap/>
            <w:vAlign w:val="bottom"/>
            <w:hideMark/>
          </w:tcPr>
          <w:p w14:paraId="5334F5B9" w14:textId="77777777" w:rsidR="00CD2482" w:rsidRPr="00CD2482" w:rsidRDefault="00CD2482" w:rsidP="00CD2482">
            <w:pPr>
              <w:spacing w:after="0" w:line="240" w:lineRule="auto"/>
              <w:jc w:val="right"/>
              <w:rPr>
                <w:rFonts w:ascii="Calibri" w:eastAsia="Times New Roman" w:hAnsi="Calibri" w:cs="Arial"/>
                <w:b/>
                <w:bCs/>
                <w:lang w:eastAsia="cs-CZ"/>
              </w:rPr>
            </w:pPr>
            <w:r w:rsidRPr="00CD2482">
              <w:rPr>
                <w:rFonts w:ascii="Calibri" w:eastAsia="Times New Roman" w:hAnsi="Calibri" w:cs="Arial"/>
                <w:b/>
                <w:bCs/>
                <w:lang w:eastAsia="cs-CZ"/>
              </w:rPr>
              <w:t>0</w:t>
            </w:r>
          </w:p>
        </w:tc>
        <w:tc>
          <w:tcPr>
            <w:tcW w:w="1560" w:type="dxa"/>
            <w:tcBorders>
              <w:top w:val="nil"/>
              <w:left w:val="nil"/>
              <w:bottom w:val="single" w:sz="8" w:space="0" w:color="auto"/>
              <w:right w:val="single" w:sz="4" w:space="0" w:color="auto"/>
            </w:tcBorders>
            <w:shd w:val="clear" w:color="auto" w:fill="auto"/>
            <w:noWrap/>
            <w:vAlign w:val="bottom"/>
            <w:hideMark/>
          </w:tcPr>
          <w:p w14:paraId="31C396E5" w14:textId="77777777" w:rsidR="00CD2482" w:rsidRPr="00CD2482" w:rsidRDefault="00CD2482" w:rsidP="00CD2482">
            <w:pPr>
              <w:spacing w:after="0" w:line="240" w:lineRule="auto"/>
              <w:jc w:val="right"/>
              <w:rPr>
                <w:rFonts w:ascii="Calibri" w:eastAsia="Times New Roman" w:hAnsi="Calibri" w:cs="Arial"/>
                <w:b/>
                <w:bCs/>
                <w:lang w:eastAsia="cs-CZ"/>
              </w:rPr>
            </w:pPr>
            <w:r w:rsidRPr="00CD2482">
              <w:rPr>
                <w:rFonts w:ascii="Calibri" w:eastAsia="Times New Roman" w:hAnsi="Calibri" w:cs="Arial"/>
                <w:b/>
                <w:bCs/>
                <w:lang w:eastAsia="cs-CZ"/>
              </w:rPr>
              <w:t>29 655 408,43</w:t>
            </w:r>
          </w:p>
        </w:tc>
        <w:tc>
          <w:tcPr>
            <w:tcW w:w="1559" w:type="dxa"/>
            <w:tcBorders>
              <w:top w:val="nil"/>
              <w:left w:val="nil"/>
              <w:bottom w:val="single" w:sz="8" w:space="0" w:color="auto"/>
              <w:right w:val="single" w:sz="4" w:space="0" w:color="auto"/>
            </w:tcBorders>
            <w:shd w:val="clear" w:color="auto" w:fill="auto"/>
            <w:noWrap/>
            <w:vAlign w:val="bottom"/>
            <w:hideMark/>
          </w:tcPr>
          <w:p w14:paraId="37809D1E" w14:textId="77777777" w:rsidR="00CD2482" w:rsidRPr="00CD2482" w:rsidRDefault="00CD2482" w:rsidP="00CD2482">
            <w:pPr>
              <w:spacing w:after="0" w:line="240" w:lineRule="auto"/>
              <w:jc w:val="right"/>
              <w:rPr>
                <w:rFonts w:ascii="Calibri" w:eastAsia="Times New Roman" w:hAnsi="Calibri" w:cs="Arial"/>
                <w:b/>
                <w:bCs/>
                <w:lang w:eastAsia="cs-CZ"/>
              </w:rPr>
            </w:pPr>
            <w:r w:rsidRPr="00CD2482">
              <w:rPr>
                <w:rFonts w:ascii="Calibri" w:eastAsia="Times New Roman" w:hAnsi="Calibri" w:cs="Arial"/>
                <w:b/>
                <w:bCs/>
                <w:lang w:eastAsia="cs-CZ"/>
              </w:rPr>
              <w:t>24 613 941,77</w:t>
            </w:r>
          </w:p>
        </w:tc>
        <w:tc>
          <w:tcPr>
            <w:tcW w:w="738" w:type="dxa"/>
            <w:tcBorders>
              <w:top w:val="nil"/>
              <w:left w:val="nil"/>
              <w:bottom w:val="single" w:sz="8" w:space="0" w:color="auto"/>
              <w:right w:val="single" w:sz="8" w:space="0" w:color="auto"/>
            </w:tcBorders>
            <w:shd w:val="clear" w:color="auto" w:fill="auto"/>
            <w:noWrap/>
            <w:vAlign w:val="bottom"/>
            <w:hideMark/>
          </w:tcPr>
          <w:p w14:paraId="5C185E24" w14:textId="77777777" w:rsidR="00CD2482" w:rsidRPr="00CD2482" w:rsidRDefault="00CD2482" w:rsidP="00CD2482">
            <w:pPr>
              <w:spacing w:after="0" w:line="240" w:lineRule="auto"/>
              <w:jc w:val="right"/>
              <w:rPr>
                <w:rFonts w:ascii="Calibri" w:eastAsia="Times New Roman" w:hAnsi="Calibri" w:cs="Arial"/>
                <w:b/>
                <w:bCs/>
                <w:lang w:eastAsia="cs-CZ"/>
              </w:rPr>
            </w:pPr>
            <w:r w:rsidRPr="00CD2482">
              <w:rPr>
                <w:rFonts w:ascii="Calibri" w:eastAsia="Times New Roman" w:hAnsi="Calibri" w:cs="Arial"/>
                <w:b/>
                <w:bCs/>
                <w:lang w:eastAsia="cs-CZ"/>
              </w:rPr>
              <w:t>83,0</w:t>
            </w:r>
          </w:p>
        </w:tc>
      </w:tr>
      <w:tr w:rsidR="00CD2482" w:rsidRPr="00CD2482" w14:paraId="3B6DEE32" w14:textId="77777777" w:rsidTr="00CD2482">
        <w:trPr>
          <w:trHeight w:val="300"/>
        </w:trPr>
        <w:tc>
          <w:tcPr>
            <w:tcW w:w="826" w:type="dxa"/>
            <w:tcBorders>
              <w:top w:val="nil"/>
              <w:left w:val="nil"/>
              <w:bottom w:val="nil"/>
              <w:right w:val="nil"/>
            </w:tcBorders>
            <w:shd w:val="clear" w:color="auto" w:fill="auto"/>
            <w:noWrap/>
            <w:vAlign w:val="bottom"/>
            <w:hideMark/>
          </w:tcPr>
          <w:p w14:paraId="14F0F885" w14:textId="77777777" w:rsidR="00CD2482" w:rsidRPr="00CD2482" w:rsidRDefault="00CD2482" w:rsidP="00CD2482">
            <w:pPr>
              <w:spacing w:after="0" w:line="240" w:lineRule="auto"/>
              <w:jc w:val="right"/>
              <w:rPr>
                <w:rFonts w:ascii="Calibri" w:eastAsia="Times New Roman" w:hAnsi="Calibri" w:cs="Arial"/>
                <w:b/>
                <w:bCs/>
                <w:lang w:eastAsia="cs-CZ"/>
              </w:rPr>
            </w:pPr>
          </w:p>
        </w:tc>
        <w:tc>
          <w:tcPr>
            <w:tcW w:w="3960" w:type="dxa"/>
            <w:tcBorders>
              <w:top w:val="nil"/>
              <w:left w:val="nil"/>
              <w:bottom w:val="nil"/>
              <w:right w:val="nil"/>
            </w:tcBorders>
            <w:shd w:val="clear" w:color="auto" w:fill="auto"/>
            <w:noWrap/>
            <w:vAlign w:val="bottom"/>
            <w:hideMark/>
          </w:tcPr>
          <w:p w14:paraId="7B7AC28E" w14:textId="77777777" w:rsidR="00CD2482" w:rsidRPr="00CD2482" w:rsidRDefault="00CD2482" w:rsidP="00CD2482">
            <w:pPr>
              <w:spacing w:after="0" w:line="240" w:lineRule="auto"/>
              <w:rPr>
                <w:rFonts w:ascii="Times New Roman" w:eastAsia="Times New Roman" w:hAnsi="Times New Roman" w:cs="Times New Roman"/>
                <w:sz w:val="20"/>
                <w:szCs w:val="20"/>
                <w:lang w:eastAsia="cs-CZ"/>
              </w:rPr>
            </w:pPr>
          </w:p>
        </w:tc>
        <w:tc>
          <w:tcPr>
            <w:tcW w:w="1451" w:type="dxa"/>
            <w:tcBorders>
              <w:top w:val="nil"/>
              <w:left w:val="nil"/>
              <w:bottom w:val="nil"/>
              <w:right w:val="nil"/>
            </w:tcBorders>
            <w:shd w:val="clear" w:color="auto" w:fill="auto"/>
            <w:noWrap/>
            <w:vAlign w:val="bottom"/>
            <w:hideMark/>
          </w:tcPr>
          <w:p w14:paraId="2F86C34A" w14:textId="77777777" w:rsidR="00CD2482" w:rsidRPr="00CD2482" w:rsidRDefault="00CD2482" w:rsidP="00CD2482">
            <w:pPr>
              <w:spacing w:after="0" w:line="240" w:lineRule="auto"/>
              <w:rPr>
                <w:rFonts w:ascii="Times New Roman" w:eastAsia="Times New Roman" w:hAnsi="Times New Roman" w:cs="Times New Roman"/>
                <w:sz w:val="20"/>
                <w:szCs w:val="20"/>
                <w:lang w:eastAsia="cs-CZ"/>
              </w:rPr>
            </w:pPr>
          </w:p>
        </w:tc>
        <w:tc>
          <w:tcPr>
            <w:tcW w:w="1560" w:type="dxa"/>
            <w:tcBorders>
              <w:top w:val="nil"/>
              <w:left w:val="nil"/>
              <w:bottom w:val="nil"/>
              <w:right w:val="nil"/>
            </w:tcBorders>
            <w:shd w:val="clear" w:color="auto" w:fill="auto"/>
            <w:noWrap/>
            <w:vAlign w:val="bottom"/>
            <w:hideMark/>
          </w:tcPr>
          <w:p w14:paraId="5FFEB18B" w14:textId="77777777" w:rsidR="00CD2482" w:rsidRPr="00CD2482" w:rsidRDefault="00CD2482" w:rsidP="00CD2482">
            <w:pPr>
              <w:spacing w:after="0" w:line="240" w:lineRule="auto"/>
              <w:jc w:val="right"/>
              <w:rPr>
                <w:rFonts w:ascii="Times New Roman" w:eastAsia="Times New Roman" w:hAnsi="Times New Roman" w:cs="Times New Roman"/>
                <w:sz w:val="20"/>
                <w:szCs w:val="20"/>
                <w:lang w:eastAsia="cs-CZ"/>
              </w:rPr>
            </w:pPr>
          </w:p>
        </w:tc>
        <w:tc>
          <w:tcPr>
            <w:tcW w:w="1559" w:type="dxa"/>
            <w:tcBorders>
              <w:top w:val="nil"/>
              <w:left w:val="nil"/>
              <w:bottom w:val="nil"/>
              <w:right w:val="nil"/>
            </w:tcBorders>
            <w:shd w:val="clear" w:color="auto" w:fill="auto"/>
            <w:noWrap/>
            <w:vAlign w:val="bottom"/>
            <w:hideMark/>
          </w:tcPr>
          <w:p w14:paraId="48EDFC29" w14:textId="77777777" w:rsidR="00CD2482" w:rsidRPr="00CD2482" w:rsidRDefault="00CD2482" w:rsidP="00CD2482">
            <w:pPr>
              <w:spacing w:after="0" w:line="240" w:lineRule="auto"/>
              <w:rPr>
                <w:rFonts w:ascii="Times New Roman" w:eastAsia="Times New Roman" w:hAnsi="Times New Roman" w:cs="Times New Roman"/>
                <w:sz w:val="20"/>
                <w:szCs w:val="20"/>
                <w:lang w:eastAsia="cs-CZ"/>
              </w:rPr>
            </w:pPr>
          </w:p>
        </w:tc>
        <w:tc>
          <w:tcPr>
            <w:tcW w:w="738" w:type="dxa"/>
            <w:tcBorders>
              <w:top w:val="nil"/>
              <w:left w:val="nil"/>
              <w:bottom w:val="nil"/>
              <w:right w:val="nil"/>
            </w:tcBorders>
            <w:shd w:val="clear" w:color="auto" w:fill="auto"/>
            <w:noWrap/>
            <w:vAlign w:val="bottom"/>
            <w:hideMark/>
          </w:tcPr>
          <w:p w14:paraId="6CEF827D" w14:textId="77777777" w:rsidR="00CD2482" w:rsidRPr="00CD2482" w:rsidRDefault="00CD2482" w:rsidP="00CD2482">
            <w:pPr>
              <w:spacing w:after="0" w:line="240" w:lineRule="auto"/>
              <w:rPr>
                <w:rFonts w:ascii="Times New Roman" w:eastAsia="Times New Roman" w:hAnsi="Times New Roman" w:cs="Times New Roman"/>
                <w:sz w:val="20"/>
                <w:szCs w:val="20"/>
                <w:lang w:eastAsia="cs-CZ"/>
              </w:rPr>
            </w:pPr>
          </w:p>
        </w:tc>
      </w:tr>
      <w:tr w:rsidR="00CD2482" w:rsidRPr="00CD2482" w14:paraId="6EAA4549" w14:textId="77777777" w:rsidTr="00CD2482">
        <w:trPr>
          <w:trHeight w:val="360"/>
        </w:trPr>
        <w:tc>
          <w:tcPr>
            <w:tcW w:w="4786" w:type="dxa"/>
            <w:gridSpan w:val="2"/>
            <w:tcBorders>
              <w:top w:val="single" w:sz="8" w:space="0" w:color="auto"/>
              <w:left w:val="single" w:sz="8" w:space="0" w:color="auto"/>
              <w:bottom w:val="single" w:sz="8" w:space="0" w:color="auto"/>
              <w:right w:val="nil"/>
            </w:tcBorders>
            <w:shd w:val="clear" w:color="auto" w:fill="auto"/>
            <w:noWrap/>
            <w:vAlign w:val="bottom"/>
            <w:hideMark/>
          </w:tcPr>
          <w:p w14:paraId="0357C684" w14:textId="77777777" w:rsidR="00CD2482" w:rsidRPr="00CD2482" w:rsidRDefault="00CD2482" w:rsidP="00CD2482">
            <w:pPr>
              <w:spacing w:after="0" w:line="240" w:lineRule="auto"/>
              <w:rPr>
                <w:rFonts w:ascii="Calibri" w:eastAsia="Times New Roman" w:hAnsi="Calibri" w:cs="Arial"/>
                <w:b/>
                <w:bCs/>
                <w:sz w:val="24"/>
                <w:szCs w:val="24"/>
                <w:lang w:eastAsia="cs-CZ"/>
              </w:rPr>
            </w:pPr>
            <w:r w:rsidRPr="00CD2482">
              <w:rPr>
                <w:rFonts w:ascii="Calibri" w:eastAsia="Times New Roman" w:hAnsi="Calibri" w:cs="Arial"/>
                <w:b/>
                <w:bCs/>
                <w:sz w:val="24"/>
                <w:szCs w:val="24"/>
                <w:lang w:eastAsia="cs-CZ"/>
              </w:rPr>
              <w:t xml:space="preserve">Celkem výdaje </w:t>
            </w:r>
          </w:p>
        </w:tc>
        <w:tc>
          <w:tcPr>
            <w:tcW w:w="14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9675AF7" w14:textId="77777777" w:rsidR="00CD2482" w:rsidRPr="00CD2482" w:rsidRDefault="00CD2482" w:rsidP="00CD2482">
            <w:pPr>
              <w:spacing w:after="0" w:line="240" w:lineRule="auto"/>
              <w:jc w:val="right"/>
              <w:rPr>
                <w:rFonts w:ascii="Calibri" w:eastAsia="Times New Roman" w:hAnsi="Calibri" w:cs="Arial"/>
                <w:b/>
                <w:bCs/>
                <w:lang w:eastAsia="cs-CZ"/>
              </w:rPr>
            </w:pPr>
            <w:r w:rsidRPr="00CD2482">
              <w:rPr>
                <w:rFonts w:ascii="Calibri" w:eastAsia="Times New Roman" w:hAnsi="Calibri" w:cs="Arial"/>
                <w:b/>
                <w:bCs/>
                <w:lang w:eastAsia="cs-CZ"/>
              </w:rPr>
              <w:t>12 607 000</w:t>
            </w:r>
          </w:p>
        </w:tc>
        <w:tc>
          <w:tcPr>
            <w:tcW w:w="1560" w:type="dxa"/>
            <w:tcBorders>
              <w:top w:val="single" w:sz="8" w:space="0" w:color="auto"/>
              <w:left w:val="nil"/>
              <w:bottom w:val="single" w:sz="8" w:space="0" w:color="auto"/>
              <w:right w:val="single" w:sz="8" w:space="0" w:color="auto"/>
            </w:tcBorders>
            <w:shd w:val="clear" w:color="auto" w:fill="auto"/>
            <w:noWrap/>
            <w:vAlign w:val="bottom"/>
            <w:hideMark/>
          </w:tcPr>
          <w:p w14:paraId="6D19AB97" w14:textId="77777777" w:rsidR="00CD2482" w:rsidRPr="00CD2482" w:rsidRDefault="00CD2482" w:rsidP="00CD2482">
            <w:pPr>
              <w:spacing w:after="0" w:line="240" w:lineRule="auto"/>
              <w:jc w:val="right"/>
              <w:rPr>
                <w:rFonts w:ascii="Calibri" w:eastAsia="Times New Roman" w:hAnsi="Calibri" w:cs="Arial"/>
                <w:b/>
                <w:bCs/>
                <w:lang w:eastAsia="cs-CZ"/>
              </w:rPr>
            </w:pPr>
            <w:r w:rsidRPr="00CD2482">
              <w:rPr>
                <w:rFonts w:ascii="Calibri" w:eastAsia="Times New Roman" w:hAnsi="Calibri" w:cs="Arial"/>
                <w:b/>
                <w:bCs/>
                <w:lang w:eastAsia="cs-CZ"/>
              </w:rPr>
              <w:t>173 565 727,91</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14:paraId="0CD8B559" w14:textId="77777777" w:rsidR="00CD2482" w:rsidRPr="00CD2482" w:rsidRDefault="00CD2482" w:rsidP="00CD2482">
            <w:pPr>
              <w:spacing w:after="0" w:line="240" w:lineRule="auto"/>
              <w:jc w:val="right"/>
              <w:rPr>
                <w:rFonts w:ascii="Calibri" w:eastAsia="Times New Roman" w:hAnsi="Calibri" w:cs="Arial"/>
                <w:b/>
                <w:bCs/>
                <w:lang w:eastAsia="cs-CZ"/>
              </w:rPr>
            </w:pPr>
            <w:r w:rsidRPr="00CD2482">
              <w:rPr>
                <w:rFonts w:ascii="Calibri" w:eastAsia="Times New Roman" w:hAnsi="Calibri" w:cs="Arial"/>
                <w:b/>
                <w:bCs/>
                <w:lang w:eastAsia="cs-CZ"/>
              </w:rPr>
              <w:t>135 644 205,04</w:t>
            </w:r>
          </w:p>
        </w:tc>
        <w:tc>
          <w:tcPr>
            <w:tcW w:w="738" w:type="dxa"/>
            <w:tcBorders>
              <w:top w:val="single" w:sz="8" w:space="0" w:color="auto"/>
              <w:left w:val="nil"/>
              <w:bottom w:val="single" w:sz="8" w:space="0" w:color="auto"/>
              <w:right w:val="single" w:sz="8" w:space="0" w:color="auto"/>
            </w:tcBorders>
            <w:shd w:val="clear" w:color="auto" w:fill="auto"/>
            <w:noWrap/>
            <w:vAlign w:val="bottom"/>
            <w:hideMark/>
          </w:tcPr>
          <w:p w14:paraId="70B1C39D" w14:textId="77777777" w:rsidR="00CD2482" w:rsidRPr="00CD2482" w:rsidRDefault="00CD2482" w:rsidP="00CD2482">
            <w:pPr>
              <w:spacing w:after="0" w:line="240" w:lineRule="auto"/>
              <w:jc w:val="right"/>
              <w:rPr>
                <w:rFonts w:ascii="Calibri" w:eastAsia="Times New Roman" w:hAnsi="Calibri" w:cs="Arial"/>
                <w:b/>
                <w:bCs/>
                <w:lang w:eastAsia="cs-CZ"/>
              </w:rPr>
            </w:pPr>
            <w:r w:rsidRPr="00CD2482">
              <w:rPr>
                <w:rFonts w:ascii="Calibri" w:eastAsia="Times New Roman" w:hAnsi="Calibri" w:cs="Arial"/>
                <w:b/>
                <w:bCs/>
                <w:lang w:eastAsia="cs-CZ"/>
              </w:rPr>
              <w:t>78,2</w:t>
            </w:r>
          </w:p>
        </w:tc>
      </w:tr>
    </w:tbl>
    <w:p w14:paraId="09F860A3" w14:textId="77777777" w:rsidR="0072554E" w:rsidRDefault="0072554E" w:rsidP="0072554E">
      <w:pPr>
        <w:spacing w:after="0" w:line="240" w:lineRule="auto"/>
        <w:jc w:val="both"/>
        <w:rPr>
          <w:rFonts w:cstheme="minorHAnsi"/>
        </w:rPr>
      </w:pPr>
    </w:p>
    <w:p w14:paraId="189FFD65" w14:textId="56A90768" w:rsidR="0072554E" w:rsidRDefault="0072554E" w:rsidP="0072554E">
      <w:pPr>
        <w:spacing w:after="0" w:line="240" w:lineRule="auto"/>
        <w:jc w:val="both"/>
        <w:rPr>
          <w:rFonts w:cstheme="minorHAnsi"/>
        </w:rPr>
      </w:pPr>
    </w:p>
    <w:p w14:paraId="2D8E03C3" w14:textId="3C3327A8" w:rsidR="00E363C7" w:rsidRDefault="00E363C7" w:rsidP="0072554E">
      <w:pPr>
        <w:spacing w:after="0" w:line="240" w:lineRule="auto"/>
        <w:jc w:val="both"/>
        <w:rPr>
          <w:rFonts w:cstheme="minorHAnsi"/>
        </w:rPr>
      </w:pPr>
    </w:p>
    <w:p w14:paraId="11852D61" w14:textId="3D2A9172" w:rsidR="00E363C7" w:rsidRDefault="00E363C7" w:rsidP="0072554E">
      <w:pPr>
        <w:spacing w:after="0" w:line="240" w:lineRule="auto"/>
        <w:jc w:val="both"/>
        <w:rPr>
          <w:rFonts w:cstheme="minorHAnsi"/>
        </w:rPr>
      </w:pPr>
    </w:p>
    <w:p w14:paraId="251A8687" w14:textId="05A7A0CB" w:rsidR="00E363C7" w:rsidRDefault="00E363C7" w:rsidP="0072554E">
      <w:pPr>
        <w:spacing w:after="0" w:line="240" w:lineRule="auto"/>
        <w:jc w:val="both"/>
        <w:rPr>
          <w:rFonts w:cstheme="minorHAnsi"/>
        </w:rPr>
      </w:pPr>
    </w:p>
    <w:p w14:paraId="0AD0449F" w14:textId="72E53611" w:rsidR="00E363C7" w:rsidRDefault="00E363C7" w:rsidP="0072554E">
      <w:pPr>
        <w:spacing w:after="0" w:line="240" w:lineRule="auto"/>
        <w:jc w:val="both"/>
        <w:rPr>
          <w:rFonts w:cstheme="minorHAnsi"/>
        </w:rPr>
      </w:pPr>
    </w:p>
    <w:p w14:paraId="5E580DC1" w14:textId="73148E62" w:rsidR="00E363C7" w:rsidRDefault="00E363C7" w:rsidP="0072554E">
      <w:pPr>
        <w:spacing w:after="0" w:line="240" w:lineRule="auto"/>
        <w:jc w:val="both"/>
        <w:rPr>
          <w:rFonts w:cstheme="minorHAnsi"/>
        </w:rPr>
      </w:pPr>
    </w:p>
    <w:p w14:paraId="76A74DAB" w14:textId="77777777" w:rsidR="00E363C7" w:rsidRPr="0003094C" w:rsidRDefault="00E363C7" w:rsidP="0072554E">
      <w:pPr>
        <w:spacing w:after="0" w:line="240" w:lineRule="auto"/>
        <w:jc w:val="both"/>
        <w:rPr>
          <w:rFonts w:cstheme="minorHAnsi"/>
        </w:rPr>
      </w:pPr>
    </w:p>
    <w:p w14:paraId="4CC8DDAA" w14:textId="77777777" w:rsidR="0072554E" w:rsidRDefault="0072554E" w:rsidP="0072554E">
      <w:pPr>
        <w:spacing w:after="0" w:line="240" w:lineRule="auto"/>
        <w:jc w:val="both"/>
        <w:rPr>
          <w:rFonts w:cstheme="minorHAnsi"/>
        </w:rPr>
      </w:pPr>
    </w:p>
    <w:p w14:paraId="130C9C8A" w14:textId="0B5B93EF" w:rsidR="00CD2482" w:rsidRDefault="00CD2482" w:rsidP="00CD2482">
      <w:pPr>
        <w:jc w:val="both"/>
        <w:rPr>
          <w:rFonts w:ascii="Calibri" w:hAnsi="Calibri" w:cs="Calibri"/>
          <w:b/>
          <w:sz w:val="28"/>
          <w:szCs w:val="28"/>
          <w:u w:val="single"/>
        </w:rPr>
      </w:pPr>
    </w:p>
    <w:p w14:paraId="5346E036" w14:textId="77777777" w:rsidR="00E363C7" w:rsidRDefault="00E363C7" w:rsidP="00CD2482">
      <w:pPr>
        <w:jc w:val="both"/>
        <w:rPr>
          <w:rFonts w:ascii="Calibri" w:hAnsi="Calibri" w:cs="Calibri"/>
          <w:b/>
          <w:sz w:val="28"/>
          <w:szCs w:val="28"/>
          <w:u w:val="single"/>
        </w:rPr>
      </w:pPr>
    </w:p>
    <w:p w14:paraId="65DE0D62" w14:textId="77777777" w:rsidR="00CD2482" w:rsidRDefault="00CD2482" w:rsidP="00CD2482">
      <w:pPr>
        <w:jc w:val="both"/>
        <w:rPr>
          <w:rFonts w:ascii="Calibri" w:hAnsi="Calibri" w:cs="Calibri"/>
          <w:sz w:val="28"/>
          <w:szCs w:val="28"/>
        </w:rPr>
      </w:pPr>
      <w:r>
        <w:rPr>
          <w:rFonts w:ascii="Calibri" w:hAnsi="Calibri" w:cs="Calibri"/>
          <w:b/>
          <w:sz w:val="28"/>
          <w:szCs w:val="28"/>
          <w:u w:val="single"/>
        </w:rPr>
        <w:t>Kapitola 11 – Správa majetku</w:t>
      </w:r>
    </w:p>
    <w:p w14:paraId="12B44BBC" w14:textId="77777777" w:rsidR="00CD2482" w:rsidRDefault="00CD2482" w:rsidP="00CD2482">
      <w:pPr>
        <w:suppressAutoHyphens/>
        <w:spacing w:after="0" w:line="240" w:lineRule="auto"/>
        <w:jc w:val="both"/>
        <w:rPr>
          <w:rFonts w:eastAsia="Times New Roman" w:cs="Times New Roman"/>
          <w:b/>
          <w:bCs/>
          <w:sz w:val="24"/>
          <w:szCs w:val="24"/>
          <w:u w:val="single"/>
          <w:lang w:eastAsia="ar-SA"/>
        </w:rPr>
      </w:pPr>
    </w:p>
    <w:p w14:paraId="29CA2AB0" w14:textId="77777777" w:rsidR="00CD2482" w:rsidRPr="00AA4429" w:rsidRDefault="00CD2482" w:rsidP="00CD2482">
      <w:pPr>
        <w:suppressAutoHyphens/>
        <w:spacing w:after="0" w:line="240" w:lineRule="auto"/>
        <w:jc w:val="both"/>
        <w:rPr>
          <w:rFonts w:eastAsia="Times New Roman" w:cs="Times New Roman"/>
          <w:sz w:val="24"/>
          <w:szCs w:val="24"/>
          <w:u w:val="single"/>
          <w:lang w:eastAsia="ar-SA"/>
        </w:rPr>
      </w:pPr>
      <w:r w:rsidRPr="00AA4429">
        <w:rPr>
          <w:rFonts w:eastAsia="Times New Roman" w:cs="Times New Roman"/>
          <w:b/>
          <w:bCs/>
          <w:sz w:val="24"/>
          <w:szCs w:val="24"/>
          <w:u w:val="single"/>
          <w:lang w:eastAsia="ar-SA"/>
        </w:rPr>
        <w:t xml:space="preserve">Běžné výdaje </w:t>
      </w:r>
    </w:p>
    <w:p w14:paraId="4BD46F0A" w14:textId="77777777" w:rsidR="00CD2482" w:rsidRPr="00AA4429" w:rsidRDefault="00CD2482" w:rsidP="00CD2482">
      <w:pPr>
        <w:suppressAutoHyphens/>
        <w:spacing w:after="0" w:line="240" w:lineRule="auto"/>
        <w:jc w:val="both"/>
        <w:rPr>
          <w:rFonts w:eastAsia="Times New Roman" w:cs="Times New Roman"/>
          <w:b/>
          <w:bCs/>
          <w:lang w:eastAsia="ar-SA"/>
        </w:rPr>
      </w:pPr>
    </w:p>
    <w:p w14:paraId="2FB4A8F4" w14:textId="77777777" w:rsidR="00CD2482" w:rsidRPr="00AA4429" w:rsidRDefault="00CD2482" w:rsidP="00CD2482">
      <w:pPr>
        <w:suppressAutoHyphens/>
        <w:spacing w:after="0" w:line="240" w:lineRule="auto"/>
        <w:jc w:val="both"/>
        <w:rPr>
          <w:rFonts w:eastAsia="Times New Roman" w:cs="Times New Roman"/>
          <w:lang w:eastAsia="ar-SA"/>
        </w:rPr>
      </w:pPr>
      <w:r w:rsidRPr="00AA4429">
        <w:rPr>
          <w:rFonts w:eastAsia="Times New Roman" w:cs="Times New Roman"/>
          <w:b/>
          <w:bCs/>
          <w:lang w:eastAsia="ar-SA"/>
        </w:rPr>
        <w:t xml:space="preserve">§ 3612 – Bytové hospodářství a § 3613 - Nebytové hospodářství </w:t>
      </w:r>
    </w:p>
    <w:p w14:paraId="40C255B5" w14:textId="77777777" w:rsidR="00CD2482" w:rsidRPr="00AA4429" w:rsidRDefault="00CD2482" w:rsidP="00CD2482">
      <w:pPr>
        <w:suppressAutoHyphens/>
        <w:spacing w:after="0" w:line="240" w:lineRule="auto"/>
        <w:jc w:val="both"/>
        <w:rPr>
          <w:rFonts w:eastAsia="Times New Roman" w:cs="Times New Roman"/>
          <w:lang w:eastAsia="ar-SA"/>
        </w:rPr>
      </w:pPr>
      <w:r w:rsidRPr="00AA4429">
        <w:rPr>
          <w:rFonts w:eastAsia="Times New Roman" w:cs="Times New Roman"/>
          <w:lang w:eastAsia="ar-SA"/>
        </w:rPr>
        <w:t xml:space="preserve">Z kapitoly 11 – Správa majetku jsou hrazeny náklady za zbytný majetek ve vlastnictví Středočeského kraje, který nebyl předán k hospodaření žádné příspěvkové organizaci. Výdaje za spotřebu energií jsou kalkulovány pouze na objekty ve vlastnictví Středočeského kraje, u kterých správu vykonává Odbor majetku a hospodářské správy, a u těchto objektů je nezbytně nutné zachovat odběrná místa, tj. pravidelně zajišťovat úhradu těchto komodit a zároveň zajišťovat opravu a údržbu předaných objektů. </w:t>
      </w:r>
    </w:p>
    <w:p w14:paraId="7A5EDC03" w14:textId="77777777" w:rsidR="00CD2482" w:rsidRDefault="00CD2482" w:rsidP="00CD2482">
      <w:pPr>
        <w:suppressAutoHyphens/>
        <w:spacing w:after="0" w:line="240" w:lineRule="auto"/>
        <w:jc w:val="both"/>
        <w:rPr>
          <w:rFonts w:eastAsia="Times New Roman" w:cs="Times New Roman"/>
          <w:lang w:eastAsia="ar-SA"/>
        </w:rPr>
      </w:pPr>
      <w:r w:rsidRPr="00AA4429">
        <w:rPr>
          <w:rFonts w:eastAsia="Times New Roman" w:cs="Times New Roman"/>
          <w:lang w:eastAsia="ar-SA"/>
        </w:rPr>
        <w:t>Kapitola 11 – Správa majetku zabezpečuje za úřad správu nemovitého majetku kraj</w:t>
      </w:r>
      <w:r>
        <w:rPr>
          <w:rFonts w:eastAsia="Times New Roman" w:cs="Times New Roman"/>
          <w:lang w:eastAsia="ar-SA"/>
        </w:rPr>
        <w:t>e, který na základě rozhodnutí rady, příp. zastupitelstva kraje</w:t>
      </w:r>
      <w:r w:rsidRPr="00AA4429">
        <w:rPr>
          <w:rFonts w:eastAsia="Times New Roman" w:cs="Times New Roman"/>
          <w:lang w:eastAsia="ar-SA"/>
        </w:rPr>
        <w:t xml:space="preserve"> byl kapitole předán do správy, a který nemá ve správě žádná příspěvková organizace. </w:t>
      </w:r>
    </w:p>
    <w:p w14:paraId="242B686F" w14:textId="77777777" w:rsidR="00CD2482" w:rsidRPr="00AA4429" w:rsidRDefault="00CD2482" w:rsidP="00CD2482">
      <w:pPr>
        <w:suppressAutoHyphens/>
        <w:spacing w:after="0" w:line="240" w:lineRule="auto"/>
        <w:jc w:val="both"/>
        <w:rPr>
          <w:rFonts w:eastAsia="Times New Roman" w:cs="Times New Roman"/>
          <w:lang w:eastAsia="ar-SA"/>
        </w:rPr>
      </w:pPr>
    </w:p>
    <w:p w14:paraId="30524237" w14:textId="77777777" w:rsidR="00CD2482" w:rsidRPr="00A80C32" w:rsidRDefault="00CD2482" w:rsidP="00CD2482">
      <w:pPr>
        <w:suppressAutoHyphens/>
        <w:spacing w:after="0" w:line="240" w:lineRule="auto"/>
        <w:jc w:val="both"/>
        <w:rPr>
          <w:rFonts w:eastAsia="Times New Roman" w:cs="Times New Roman"/>
          <w:lang w:eastAsia="ar-SA"/>
        </w:rPr>
      </w:pPr>
      <w:r w:rsidRPr="00A80C32">
        <w:rPr>
          <w:rFonts w:eastAsia="Times New Roman" w:cs="Times New Roman"/>
          <w:b/>
          <w:bCs/>
          <w:lang w:eastAsia="ar-SA"/>
        </w:rPr>
        <w:t xml:space="preserve">§ 3612 – Bytové hospodářství </w:t>
      </w:r>
    </w:p>
    <w:p w14:paraId="5EC3144A" w14:textId="77777777" w:rsidR="00CD2482" w:rsidRDefault="00CD2482" w:rsidP="00CD2482">
      <w:pPr>
        <w:suppressAutoHyphens/>
        <w:spacing w:after="0" w:line="240" w:lineRule="auto"/>
        <w:jc w:val="both"/>
        <w:rPr>
          <w:rFonts w:eastAsia="Times New Roman" w:cs="Times New Roman"/>
          <w:lang w:eastAsia="ar-SA"/>
        </w:rPr>
      </w:pPr>
      <w:r w:rsidRPr="00AA4429">
        <w:rPr>
          <w:rFonts w:eastAsia="Times New Roman" w:cs="Times New Roman"/>
          <w:lang w:eastAsia="ar-SA"/>
        </w:rPr>
        <w:t>Na základě rozdělení zůstatku hospodaření Středočeského kraje z roku 20</w:t>
      </w:r>
      <w:r>
        <w:rPr>
          <w:rFonts w:eastAsia="Times New Roman" w:cs="Times New Roman"/>
          <w:lang w:eastAsia="ar-SA"/>
        </w:rPr>
        <w:t>20</w:t>
      </w:r>
      <w:r w:rsidRPr="00AA4429">
        <w:rPr>
          <w:rFonts w:eastAsia="Times New Roman" w:cs="Times New Roman"/>
          <w:lang w:eastAsia="ar-SA"/>
        </w:rPr>
        <w:t xml:space="preserve"> (usnesení č. 0</w:t>
      </w:r>
      <w:r>
        <w:rPr>
          <w:rFonts w:eastAsia="Times New Roman" w:cs="Times New Roman"/>
          <w:lang w:eastAsia="ar-SA"/>
        </w:rPr>
        <w:t>07</w:t>
      </w:r>
      <w:r w:rsidRPr="00AA4429">
        <w:rPr>
          <w:rFonts w:eastAsia="Times New Roman" w:cs="Times New Roman"/>
          <w:lang w:eastAsia="ar-SA"/>
        </w:rPr>
        <w:t>-</w:t>
      </w:r>
      <w:r>
        <w:rPr>
          <w:rFonts w:eastAsia="Times New Roman" w:cs="Times New Roman"/>
          <w:lang w:eastAsia="ar-SA"/>
        </w:rPr>
        <w:t>06</w:t>
      </w:r>
      <w:r w:rsidRPr="00AA4429">
        <w:rPr>
          <w:rFonts w:eastAsia="Times New Roman" w:cs="Times New Roman"/>
          <w:lang w:eastAsia="ar-SA"/>
        </w:rPr>
        <w:t>/202</w:t>
      </w:r>
      <w:r>
        <w:rPr>
          <w:rFonts w:eastAsia="Times New Roman" w:cs="Times New Roman"/>
          <w:lang w:eastAsia="ar-SA"/>
        </w:rPr>
        <w:t>1</w:t>
      </w:r>
      <w:r w:rsidRPr="00AA4429">
        <w:rPr>
          <w:rFonts w:eastAsia="Times New Roman" w:cs="Times New Roman"/>
          <w:lang w:eastAsia="ar-SA"/>
        </w:rPr>
        <w:t xml:space="preserve">/ZK ze dne </w:t>
      </w:r>
      <w:r>
        <w:rPr>
          <w:rFonts w:eastAsia="Times New Roman" w:cs="Times New Roman"/>
          <w:lang w:eastAsia="ar-SA"/>
        </w:rPr>
        <w:t>26</w:t>
      </w:r>
      <w:r w:rsidRPr="00AA4429">
        <w:rPr>
          <w:rFonts w:eastAsia="Times New Roman" w:cs="Times New Roman"/>
          <w:lang w:eastAsia="ar-SA"/>
        </w:rPr>
        <w:t xml:space="preserve">. </w:t>
      </w:r>
      <w:r>
        <w:rPr>
          <w:rFonts w:eastAsia="Times New Roman" w:cs="Times New Roman"/>
          <w:lang w:eastAsia="ar-SA"/>
        </w:rPr>
        <w:t>4</w:t>
      </w:r>
      <w:r w:rsidRPr="00AA4429">
        <w:rPr>
          <w:rFonts w:eastAsia="Times New Roman" w:cs="Times New Roman"/>
          <w:lang w:eastAsia="ar-SA"/>
        </w:rPr>
        <w:t>. 202</w:t>
      </w:r>
      <w:r>
        <w:rPr>
          <w:rFonts w:eastAsia="Times New Roman" w:cs="Times New Roman"/>
          <w:lang w:eastAsia="ar-SA"/>
        </w:rPr>
        <w:t>1</w:t>
      </w:r>
      <w:r w:rsidRPr="00AA4429">
        <w:rPr>
          <w:rFonts w:eastAsia="Times New Roman" w:cs="Times New Roman"/>
          <w:lang w:eastAsia="ar-SA"/>
        </w:rPr>
        <w:t xml:space="preserve">) byl schválený rozpočet na tomto paragrafu ve výši 1 </w:t>
      </w:r>
      <w:r>
        <w:rPr>
          <w:rFonts w:eastAsia="Times New Roman" w:cs="Times New Roman"/>
          <w:lang w:eastAsia="ar-SA"/>
        </w:rPr>
        <w:t>507</w:t>
      </w:r>
      <w:r w:rsidRPr="00AA4429">
        <w:rPr>
          <w:rFonts w:eastAsia="Times New Roman" w:cs="Times New Roman"/>
          <w:lang w:eastAsia="ar-SA"/>
        </w:rPr>
        <w:t xml:space="preserve"> 000,00 Kč nav</w:t>
      </w:r>
      <w:r>
        <w:rPr>
          <w:rFonts w:eastAsia="Times New Roman" w:cs="Times New Roman"/>
          <w:lang w:eastAsia="ar-SA"/>
        </w:rPr>
        <w:t xml:space="preserve">ýšen na částku 3 733 </w:t>
      </w:r>
      <w:r w:rsidRPr="00BC3EF4">
        <w:rPr>
          <w:rFonts w:eastAsia="Times New Roman" w:cs="Times New Roman"/>
          <w:lang w:eastAsia="ar-SA"/>
        </w:rPr>
        <w:t>256,00 Kč. Celkem byly čerpány finanční prostředky ve výši 916 159,16 Kč, což je 24,5 % rozpočtované částky. V</w:t>
      </w:r>
      <w:r w:rsidRPr="00AA4429">
        <w:rPr>
          <w:rFonts w:eastAsia="Times New Roman" w:cs="Times New Roman"/>
          <w:lang w:eastAsia="ar-SA"/>
        </w:rPr>
        <w:t xml:space="preserve"> rámci paragrafu byly čerpány výdaje na následující položky: </w:t>
      </w:r>
    </w:p>
    <w:p w14:paraId="7CEE52B1" w14:textId="77777777" w:rsidR="00CD2482" w:rsidRPr="00AA4429" w:rsidRDefault="00CD2482" w:rsidP="00CD2482">
      <w:pPr>
        <w:suppressAutoHyphens/>
        <w:spacing w:after="0" w:line="240" w:lineRule="auto"/>
        <w:jc w:val="both"/>
        <w:rPr>
          <w:rFonts w:eastAsia="Times New Roman" w:cs="Times New Roman"/>
          <w:lang w:eastAsia="ar-SA"/>
        </w:rPr>
      </w:pPr>
    </w:p>
    <w:p w14:paraId="5DE73B26" w14:textId="77777777" w:rsidR="00CD2482" w:rsidRPr="00AA4429" w:rsidRDefault="00CD2482" w:rsidP="00CD2482">
      <w:pPr>
        <w:suppressAutoHyphens/>
        <w:spacing w:after="0" w:line="240" w:lineRule="auto"/>
        <w:jc w:val="both"/>
        <w:rPr>
          <w:rFonts w:eastAsia="Times New Roman" w:cs="Times New Roman"/>
          <w:lang w:eastAsia="ar-SA"/>
        </w:rPr>
      </w:pPr>
      <w:r>
        <w:rPr>
          <w:rFonts w:eastAsia="Times New Roman" w:cs="Times New Roman"/>
          <w:b/>
          <w:bCs/>
          <w:lang w:eastAsia="ar-SA"/>
        </w:rPr>
        <w:t>5137 – d</w:t>
      </w:r>
      <w:r w:rsidRPr="00AA4429">
        <w:rPr>
          <w:rFonts w:eastAsia="Times New Roman" w:cs="Times New Roman"/>
          <w:b/>
          <w:bCs/>
          <w:lang w:eastAsia="ar-SA"/>
        </w:rPr>
        <w:t xml:space="preserve">robný hmotný dlouhodobý majetek </w:t>
      </w:r>
    </w:p>
    <w:p w14:paraId="0AD4FB8C" w14:textId="08D21E92" w:rsidR="00CD2482" w:rsidRDefault="00CD2482" w:rsidP="00CD2482">
      <w:pPr>
        <w:suppressAutoHyphens/>
        <w:spacing w:after="0" w:line="240" w:lineRule="auto"/>
        <w:jc w:val="both"/>
        <w:rPr>
          <w:rFonts w:eastAsia="Times New Roman" w:cs="Times New Roman"/>
          <w:lang w:eastAsia="ar-SA"/>
        </w:rPr>
      </w:pPr>
      <w:r>
        <w:rPr>
          <w:rFonts w:eastAsia="Times New Roman" w:cs="Times New Roman"/>
          <w:lang w:eastAsia="ar-SA"/>
        </w:rPr>
        <w:t>Upravený</w:t>
      </w:r>
      <w:r w:rsidRPr="00AA4429">
        <w:rPr>
          <w:rFonts w:eastAsia="Times New Roman" w:cs="Times New Roman"/>
          <w:lang w:eastAsia="ar-SA"/>
        </w:rPr>
        <w:t xml:space="preserve"> rozpočet ve výši </w:t>
      </w:r>
      <w:r>
        <w:rPr>
          <w:rFonts w:eastAsia="Times New Roman" w:cs="Times New Roman"/>
          <w:lang w:eastAsia="ar-SA"/>
        </w:rPr>
        <w:t>28 040,00 Kč. Finanční prostředky na této položce byly</w:t>
      </w:r>
      <w:r w:rsidRPr="00AA4429">
        <w:rPr>
          <w:rFonts w:eastAsia="Times New Roman" w:cs="Times New Roman"/>
          <w:lang w:eastAsia="ar-SA"/>
        </w:rPr>
        <w:t xml:space="preserve"> určeny na nákup drobného hmotného dlouhodobého majetku do objektů bytového hospodářství. Z položky nebylo čerpáno. </w:t>
      </w:r>
    </w:p>
    <w:p w14:paraId="27C2DC10" w14:textId="77777777" w:rsidR="00CD2482" w:rsidRPr="00AA4429" w:rsidRDefault="00CD2482" w:rsidP="00CD2482">
      <w:pPr>
        <w:suppressAutoHyphens/>
        <w:spacing w:after="0" w:line="240" w:lineRule="auto"/>
        <w:jc w:val="both"/>
        <w:rPr>
          <w:rFonts w:eastAsia="Times New Roman" w:cs="Times New Roman"/>
          <w:lang w:eastAsia="ar-SA"/>
        </w:rPr>
      </w:pPr>
    </w:p>
    <w:p w14:paraId="7981201C" w14:textId="77777777" w:rsidR="00CD2482" w:rsidRPr="00AA4429" w:rsidRDefault="00CD2482" w:rsidP="00CD2482">
      <w:pPr>
        <w:suppressAutoHyphens/>
        <w:spacing w:after="0" w:line="240" w:lineRule="auto"/>
        <w:jc w:val="both"/>
        <w:rPr>
          <w:rFonts w:eastAsia="Times New Roman" w:cs="Times New Roman"/>
          <w:lang w:eastAsia="ar-SA"/>
        </w:rPr>
      </w:pPr>
      <w:r>
        <w:rPr>
          <w:rFonts w:eastAsia="Times New Roman" w:cs="Times New Roman"/>
          <w:b/>
          <w:bCs/>
          <w:lang w:eastAsia="ar-SA"/>
        </w:rPr>
        <w:t>5139 – n</w:t>
      </w:r>
      <w:r w:rsidRPr="00AA4429">
        <w:rPr>
          <w:rFonts w:eastAsia="Times New Roman" w:cs="Times New Roman"/>
          <w:b/>
          <w:bCs/>
          <w:lang w:eastAsia="ar-SA"/>
        </w:rPr>
        <w:t xml:space="preserve">ákup materiálu </w:t>
      </w:r>
    </w:p>
    <w:p w14:paraId="69B9CB41" w14:textId="7FEB6A2D" w:rsidR="00CD2482" w:rsidRDefault="00CD2482" w:rsidP="00CD2482">
      <w:pPr>
        <w:suppressAutoHyphens/>
        <w:spacing w:after="0" w:line="240" w:lineRule="auto"/>
        <w:jc w:val="both"/>
        <w:rPr>
          <w:rFonts w:eastAsia="Times New Roman" w:cs="Times New Roman"/>
          <w:lang w:eastAsia="ar-SA"/>
        </w:rPr>
      </w:pPr>
      <w:r w:rsidRPr="00AA4429">
        <w:rPr>
          <w:rFonts w:eastAsia="Times New Roman" w:cs="Times New Roman"/>
          <w:lang w:eastAsia="ar-SA"/>
        </w:rPr>
        <w:t xml:space="preserve">Prostředky na této položce </w:t>
      </w:r>
      <w:r>
        <w:rPr>
          <w:rFonts w:eastAsia="Times New Roman" w:cs="Times New Roman"/>
          <w:lang w:eastAsia="ar-SA"/>
        </w:rPr>
        <w:t>byly</w:t>
      </w:r>
      <w:r w:rsidRPr="00AA4429">
        <w:rPr>
          <w:rFonts w:eastAsia="Times New Roman" w:cs="Times New Roman"/>
          <w:lang w:eastAsia="ar-SA"/>
        </w:rPr>
        <w:t xml:space="preserve"> určeny na nákup materiálu pro přímou spotřebu souvisejícího se správou nemovitostí bytového hospodářství. </w:t>
      </w:r>
      <w:r>
        <w:rPr>
          <w:rFonts w:eastAsia="Times New Roman" w:cs="Times New Roman"/>
          <w:lang w:eastAsia="ar-SA"/>
        </w:rPr>
        <w:t>Ze schváleného</w:t>
      </w:r>
      <w:r w:rsidRPr="00AA4429">
        <w:rPr>
          <w:rFonts w:eastAsia="Times New Roman" w:cs="Times New Roman"/>
          <w:lang w:eastAsia="ar-SA"/>
        </w:rPr>
        <w:t xml:space="preserve"> rozpoč</w:t>
      </w:r>
      <w:r>
        <w:rPr>
          <w:rFonts w:eastAsia="Times New Roman" w:cs="Times New Roman"/>
          <w:lang w:eastAsia="ar-SA"/>
        </w:rPr>
        <w:t>tu</w:t>
      </w:r>
      <w:r w:rsidRPr="00AA4429">
        <w:rPr>
          <w:rFonts w:eastAsia="Times New Roman" w:cs="Times New Roman"/>
          <w:lang w:eastAsia="ar-SA"/>
        </w:rPr>
        <w:t xml:space="preserve"> ve výši 20 000,00 Kč </w:t>
      </w:r>
      <w:r>
        <w:rPr>
          <w:rFonts w:eastAsia="Times New Roman" w:cs="Times New Roman"/>
          <w:lang w:eastAsia="ar-SA"/>
        </w:rPr>
        <w:t xml:space="preserve">nebylo </w:t>
      </w:r>
      <w:r w:rsidRPr="00AA4429">
        <w:rPr>
          <w:rFonts w:eastAsia="Times New Roman" w:cs="Times New Roman"/>
          <w:lang w:eastAsia="ar-SA"/>
        </w:rPr>
        <w:t>čerpáno.</w:t>
      </w:r>
    </w:p>
    <w:p w14:paraId="17B76AD6" w14:textId="77777777" w:rsidR="00CD2482" w:rsidRPr="00AA4429" w:rsidRDefault="00CD2482" w:rsidP="00CD2482">
      <w:pPr>
        <w:suppressAutoHyphens/>
        <w:spacing w:after="0" w:line="240" w:lineRule="auto"/>
        <w:jc w:val="both"/>
        <w:rPr>
          <w:rFonts w:eastAsia="Times New Roman" w:cs="Times New Roman"/>
          <w:lang w:eastAsia="ar-SA"/>
        </w:rPr>
      </w:pPr>
    </w:p>
    <w:p w14:paraId="728A4EA2" w14:textId="77777777" w:rsidR="00CD2482" w:rsidRPr="00AA4429" w:rsidRDefault="00CD2482" w:rsidP="00CD2482">
      <w:pPr>
        <w:suppressAutoHyphens/>
        <w:spacing w:after="0" w:line="240" w:lineRule="auto"/>
        <w:jc w:val="both"/>
        <w:rPr>
          <w:rFonts w:eastAsia="Times New Roman" w:cs="Times New Roman"/>
          <w:lang w:eastAsia="ar-SA"/>
        </w:rPr>
      </w:pPr>
      <w:r>
        <w:rPr>
          <w:rFonts w:eastAsia="Times New Roman" w:cs="Times New Roman"/>
          <w:b/>
          <w:bCs/>
          <w:lang w:eastAsia="ar-SA"/>
        </w:rPr>
        <w:t>5151 – s</w:t>
      </w:r>
      <w:r w:rsidRPr="00AA4429">
        <w:rPr>
          <w:rFonts w:eastAsia="Times New Roman" w:cs="Times New Roman"/>
          <w:b/>
          <w:bCs/>
          <w:lang w:eastAsia="ar-SA"/>
        </w:rPr>
        <w:t xml:space="preserve">tudená voda </w:t>
      </w:r>
    </w:p>
    <w:p w14:paraId="3EF79436" w14:textId="122CEB83" w:rsidR="00CD2482" w:rsidRDefault="00CD2482" w:rsidP="00CD2482">
      <w:pPr>
        <w:suppressAutoHyphens/>
        <w:spacing w:after="0" w:line="240" w:lineRule="auto"/>
        <w:jc w:val="both"/>
        <w:rPr>
          <w:rFonts w:eastAsia="Times New Roman" w:cs="Times New Roman"/>
          <w:lang w:eastAsia="ar-SA"/>
        </w:rPr>
      </w:pPr>
      <w:r w:rsidRPr="00AA4429">
        <w:rPr>
          <w:rFonts w:eastAsia="Times New Roman" w:cs="Times New Roman"/>
          <w:lang w:eastAsia="ar-SA"/>
        </w:rPr>
        <w:t>Z položky jsou hrazeny faktury za vodu</w:t>
      </w:r>
      <w:r w:rsidR="00A216BD">
        <w:rPr>
          <w:rFonts w:eastAsia="Times New Roman" w:cs="Times New Roman"/>
          <w:lang w:eastAsia="ar-SA"/>
        </w:rPr>
        <w:t>.</w:t>
      </w:r>
      <w:r w:rsidRPr="00AA4429">
        <w:rPr>
          <w:rFonts w:eastAsia="Times New Roman" w:cs="Times New Roman"/>
          <w:lang w:eastAsia="ar-SA"/>
        </w:rPr>
        <w:t xml:space="preserve"> </w:t>
      </w:r>
      <w:r>
        <w:rPr>
          <w:rFonts w:eastAsia="Times New Roman" w:cs="Times New Roman"/>
          <w:lang w:eastAsia="ar-SA"/>
        </w:rPr>
        <w:t>Schválený rozpočet ve výši 5</w:t>
      </w:r>
      <w:r w:rsidRPr="00AA4429">
        <w:rPr>
          <w:rFonts w:eastAsia="Times New Roman" w:cs="Times New Roman"/>
          <w:lang w:eastAsia="ar-SA"/>
        </w:rPr>
        <w:t xml:space="preserve">0 000,00 Kč byl navýšen </w:t>
      </w:r>
      <w:r>
        <w:rPr>
          <w:rFonts w:eastAsia="Times New Roman" w:cs="Times New Roman"/>
          <w:lang w:eastAsia="ar-SA"/>
        </w:rPr>
        <w:t xml:space="preserve">vnitřními </w:t>
      </w:r>
      <w:r w:rsidRPr="00AA4429">
        <w:rPr>
          <w:rFonts w:eastAsia="Times New Roman" w:cs="Times New Roman"/>
          <w:lang w:eastAsia="ar-SA"/>
        </w:rPr>
        <w:t xml:space="preserve">rozpočtovými úpravami v rámci kapitoly projednanými s příslušným členem </w:t>
      </w:r>
      <w:r>
        <w:rPr>
          <w:rFonts w:eastAsia="Times New Roman" w:cs="Times New Roman"/>
          <w:lang w:eastAsia="ar-SA"/>
        </w:rPr>
        <w:t>rady kraje</w:t>
      </w:r>
      <w:r w:rsidRPr="00AA4429">
        <w:rPr>
          <w:rFonts w:eastAsia="Times New Roman" w:cs="Times New Roman"/>
          <w:lang w:eastAsia="ar-SA"/>
        </w:rPr>
        <w:t xml:space="preserve"> na částku </w:t>
      </w:r>
      <w:r>
        <w:rPr>
          <w:rFonts w:eastAsia="Times New Roman" w:cs="Times New Roman"/>
          <w:lang w:eastAsia="ar-SA"/>
        </w:rPr>
        <w:t>410 000</w:t>
      </w:r>
      <w:r w:rsidRPr="00AA4429">
        <w:rPr>
          <w:rFonts w:eastAsia="Times New Roman" w:cs="Times New Roman"/>
          <w:lang w:eastAsia="ar-SA"/>
        </w:rPr>
        <w:t xml:space="preserve">,00 Kč. Z upraveného rozpočtu bylo za odběr vody v bytových objektech vyčerpáno </w:t>
      </w:r>
      <w:r>
        <w:rPr>
          <w:rFonts w:eastAsia="Times New Roman" w:cs="Times New Roman"/>
          <w:lang w:eastAsia="ar-SA"/>
        </w:rPr>
        <w:t>152 740,00</w:t>
      </w:r>
      <w:r w:rsidRPr="00AA4429">
        <w:rPr>
          <w:rFonts w:eastAsia="Times New Roman" w:cs="Times New Roman"/>
          <w:lang w:eastAsia="ar-SA"/>
        </w:rPr>
        <w:t xml:space="preserve"> Kč. </w:t>
      </w:r>
    </w:p>
    <w:p w14:paraId="3AFDC318" w14:textId="77777777" w:rsidR="00CD2482" w:rsidRPr="00AA4429" w:rsidRDefault="00CD2482" w:rsidP="00CD2482">
      <w:pPr>
        <w:suppressAutoHyphens/>
        <w:spacing w:after="0" w:line="240" w:lineRule="auto"/>
        <w:jc w:val="both"/>
        <w:rPr>
          <w:rFonts w:eastAsia="Times New Roman" w:cs="Times New Roman"/>
          <w:lang w:eastAsia="ar-SA"/>
        </w:rPr>
      </w:pPr>
    </w:p>
    <w:p w14:paraId="343243A4" w14:textId="77777777" w:rsidR="00CD2482" w:rsidRPr="00AA4429" w:rsidRDefault="00CD2482" w:rsidP="00CD2482">
      <w:pPr>
        <w:suppressAutoHyphens/>
        <w:spacing w:after="0" w:line="240" w:lineRule="auto"/>
        <w:jc w:val="both"/>
        <w:rPr>
          <w:rFonts w:eastAsia="Times New Roman" w:cs="Times New Roman"/>
          <w:lang w:eastAsia="ar-SA"/>
        </w:rPr>
      </w:pPr>
      <w:r>
        <w:rPr>
          <w:rFonts w:eastAsia="Times New Roman" w:cs="Times New Roman"/>
          <w:b/>
          <w:bCs/>
          <w:lang w:eastAsia="ar-SA"/>
        </w:rPr>
        <w:t>5152 – t</w:t>
      </w:r>
      <w:r w:rsidRPr="00AA4429">
        <w:rPr>
          <w:rFonts w:eastAsia="Times New Roman" w:cs="Times New Roman"/>
          <w:b/>
          <w:bCs/>
          <w:lang w:eastAsia="ar-SA"/>
        </w:rPr>
        <w:t xml:space="preserve">eplo </w:t>
      </w:r>
    </w:p>
    <w:p w14:paraId="0759AED7" w14:textId="07D92EB6" w:rsidR="00CD2482" w:rsidRDefault="00CD2482" w:rsidP="00CD2482">
      <w:pPr>
        <w:suppressAutoHyphens/>
        <w:spacing w:after="0" w:line="240" w:lineRule="auto"/>
        <w:jc w:val="both"/>
        <w:rPr>
          <w:rFonts w:eastAsia="Times New Roman" w:cs="Times New Roman"/>
          <w:lang w:eastAsia="ar-SA"/>
        </w:rPr>
      </w:pPr>
      <w:r w:rsidRPr="00AA4429">
        <w:rPr>
          <w:rFonts w:eastAsia="Times New Roman" w:cs="Times New Roman"/>
          <w:lang w:eastAsia="ar-SA"/>
        </w:rPr>
        <w:t xml:space="preserve">Z položky jsou hrazeny faktury za teplo. </w:t>
      </w:r>
      <w:r>
        <w:rPr>
          <w:rFonts w:eastAsia="Times New Roman" w:cs="Times New Roman"/>
          <w:lang w:eastAsia="ar-SA"/>
        </w:rPr>
        <w:t>Z upraveného</w:t>
      </w:r>
      <w:r w:rsidRPr="00AA4429">
        <w:rPr>
          <w:rFonts w:eastAsia="Times New Roman" w:cs="Times New Roman"/>
          <w:lang w:eastAsia="ar-SA"/>
        </w:rPr>
        <w:t xml:space="preserve"> rozpoč</w:t>
      </w:r>
      <w:r>
        <w:rPr>
          <w:rFonts w:eastAsia="Times New Roman" w:cs="Times New Roman"/>
          <w:lang w:eastAsia="ar-SA"/>
        </w:rPr>
        <w:t>tu</w:t>
      </w:r>
      <w:r w:rsidRPr="00AA4429">
        <w:rPr>
          <w:rFonts w:eastAsia="Times New Roman" w:cs="Times New Roman"/>
          <w:lang w:eastAsia="ar-SA"/>
        </w:rPr>
        <w:t xml:space="preserve"> ve výši </w:t>
      </w:r>
      <w:r>
        <w:rPr>
          <w:rFonts w:eastAsia="Times New Roman" w:cs="Times New Roman"/>
          <w:lang w:eastAsia="ar-SA"/>
        </w:rPr>
        <w:t>330 000</w:t>
      </w:r>
      <w:r w:rsidRPr="00AA4429">
        <w:rPr>
          <w:rFonts w:eastAsia="Times New Roman" w:cs="Times New Roman"/>
          <w:lang w:eastAsia="ar-SA"/>
        </w:rPr>
        <w:t>,00 Kč byl</w:t>
      </w:r>
      <w:r>
        <w:rPr>
          <w:rFonts w:eastAsia="Times New Roman" w:cs="Times New Roman"/>
          <w:lang w:eastAsia="ar-SA"/>
        </w:rPr>
        <w:t>o</w:t>
      </w:r>
      <w:r w:rsidRPr="00AA4429">
        <w:rPr>
          <w:rFonts w:eastAsia="Times New Roman" w:cs="Times New Roman"/>
          <w:lang w:eastAsia="ar-SA"/>
        </w:rPr>
        <w:t xml:space="preserve"> za teplo vyčerpáno </w:t>
      </w:r>
      <w:r>
        <w:rPr>
          <w:rFonts w:eastAsia="Times New Roman" w:cs="Times New Roman"/>
          <w:lang w:eastAsia="ar-SA"/>
        </w:rPr>
        <w:t>329 005,52</w:t>
      </w:r>
      <w:r w:rsidRPr="00AA4429">
        <w:rPr>
          <w:rFonts w:eastAsia="Times New Roman" w:cs="Times New Roman"/>
          <w:lang w:eastAsia="ar-SA"/>
        </w:rPr>
        <w:t xml:space="preserve"> Kč. </w:t>
      </w:r>
    </w:p>
    <w:p w14:paraId="169533CB" w14:textId="77777777" w:rsidR="00CD2482" w:rsidRPr="00AA4429" w:rsidRDefault="00CD2482" w:rsidP="00CD2482">
      <w:pPr>
        <w:suppressAutoHyphens/>
        <w:spacing w:after="0" w:line="240" w:lineRule="auto"/>
        <w:jc w:val="both"/>
        <w:rPr>
          <w:rFonts w:eastAsia="Times New Roman" w:cs="Times New Roman"/>
          <w:lang w:eastAsia="ar-SA"/>
        </w:rPr>
      </w:pPr>
    </w:p>
    <w:p w14:paraId="74F0A35F" w14:textId="77777777" w:rsidR="00CD2482" w:rsidRPr="00AA4429" w:rsidRDefault="00CD2482" w:rsidP="00CD2482">
      <w:pPr>
        <w:suppressAutoHyphens/>
        <w:spacing w:after="0" w:line="240" w:lineRule="auto"/>
        <w:jc w:val="both"/>
        <w:rPr>
          <w:rFonts w:eastAsia="Times New Roman" w:cs="Times New Roman"/>
          <w:lang w:eastAsia="ar-SA"/>
        </w:rPr>
      </w:pPr>
      <w:r>
        <w:rPr>
          <w:rFonts w:eastAsia="Times New Roman" w:cs="Times New Roman"/>
          <w:b/>
          <w:bCs/>
          <w:lang w:eastAsia="ar-SA"/>
        </w:rPr>
        <w:t>5</w:t>
      </w:r>
      <w:r w:rsidRPr="00AA4429">
        <w:rPr>
          <w:rFonts w:eastAsia="Times New Roman" w:cs="Times New Roman"/>
          <w:b/>
          <w:bCs/>
          <w:lang w:eastAsia="ar-SA"/>
        </w:rPr>
        <w:t>154</w:t>
      </w:r>
      <w:r>
        <w:rPr>
          <w:rFonts w:eastAsia="Times New Roman" w:cs="Times New Roman"/>
          <w:b/>
          <w:bCs/>
          <w:lang w:eastAsia="ar-SA"/>
        </w:rPr>
        <w:t xml:space="preserve"> – e</w:t>
      </w:r>
      <w:r w:rsidRPr="00AA4429">
        <w:rPr>
          <w:rFonts w:eastAsia="Times New Roman" w:cs="Times New Roman"/>
          <w:b/>
          <w:bCs/>
          <w:lang w:eastAsia="ar-SA"/>
        </w:rPr>
        <w:t xml:space="preserve">lektrická energie </w:t>
      </w:r>
    </w:p>
    <w:p w14:paraId="4EB86F4B" w14:textId="3A9E65F1" w:rsidR="00CD2482" w:rsidRDefault="00CD2482" w:rsidP="00CD2482">
      <w:pPr>
        <w:suppressAutoHyphens/>
        <w:spacing w:after="0" w:line="240" w:lineRule="auto"/>
        <w:jc w:val="both"/>
        <w:rPr>
          <w:rFonts w:eastAsia="Times New Roman" w:cs="Times New Roman"/>
          <w:lang w:eastAsia="ar-SA"/>
        </w:rPr>
      </w:pPr>
      <w:r w:rsidRPr="00AA4429">
        <w:rPr>
          <w:rFonts w:eastAsia="Times New Roman" w:cs="Times New Roman"/>
          <w:lang w:eastAsia="ar-SA"/>
        </w:rPr>
        <w:t>Z položky jsou hrazeny faktury za elektrickou energii</w:t>
      </w:r>
      <w:r w:rsidR="00A216BD">
        <w:rPr>
          <w:rFonts w:eastAsia="Times New Roman" w:cs="Times New Roman"/>
          <w:lang w:eastAsia="ar-SA"/>
        </w:rPr>
        <w:t>.</w:t>
      </w:r>
      <w:r w:rsidRPr="00AA4429">
        <w:rPr>
          <w:rFonts w:eastAsia="Times New Roman" w:cs="Times New Roman"/>
          <w:lang w:eastAsia="ar-SA"/>
        </w:rPr>
        <w:t xml:space="preserve"> Schválený rozpočet ve výši </w:t>
      </w:r>
      <w:r>
        <w:rPr>
          <w:rFonts w:eastAsia="Times New Roman" w:cs="Times New Roman"/>
          <w:lang w:eastAsia="ar-SA"/>
        </w:rPr>
        <w:t>40</w:t>
      </w:r>
      <w:r w:rsidRPr="00AA4429">
        <w:rPr>
          <w:rFonts w:eastAsia="Times New Roman" w:cs="Times New Roman"/>
          <w:lang w:eastAsia="ar-SA"/>
        </w:rPr>
        <w:t xml:space="preserve"> 000,00 Kč byl upraven rozpočtovou úpravou </w:t>
      </w:r>
      <w:r>
        <w:rPr>
          <w:rFonts w:eastAsia="Times New Roman" w:cs="Times New Roman"/>
          <w:lang w:eastAsia="ar-SA"/>
        </w:rPr>
        <w:t xml:space="preserve">č. 309/11/2021 </w:t>
      </w:r>
      <w:r w:rsidRPr="00AA4429">
        <w:rPr>
          <w:rFonts w:eastAsia="Times New Roman" w:cs="Times New Roman"/>
          <w:lang w:eastAsia="ar-SA"/>
        </w:rPr>
        <w:t xml:space="preserve">v rámci kapitoly projednanou s příslušným členem </w:t>
      </w:r>
      <w:r>
        <w:rPr>
          <w:rFonts w:eastAsia="Times New Roman" w:cs="Times New Roman"/>
          <w:lang w:eastAsia="ar-SA"/>
        </w:rPr>
        <w:t>rady kraje</w:t>
      </w:r>
      <w:r w:rsidRPr="00AA4429">
        <w:rPr>
          <w:rFonts w:eastAsia="Times New Roman" w:cs="Times New Roman"/>
          <w:lang w:eastAsia="ar-SA"/>
        </w:rPr>
        <w:t xml:space="preserve"> na částku </w:t>
      </w:r>
      <w:r>
        <w:rPr>
          <w:rFonts w:eastAsia="Times New Roman" w:cs="Times New Roman"/>
          <w:lang w:eastAsia="ar-SA"/>
        </w:rPr>
        <w:t>10</w:t>
      </w:r>
      <w:r w:rsidRPr="00AA4429">
        <w:rPr>
          <w:rFonts w:eastAsia="Times New Roman" w:cs="Times New Roman"/>
          <w:lang w:eastAsia="ar-SA"/>
        </w:rPr>
        <w:t xml:space="preserve">0 000,00 Kč a bylo vyčerpáno </w:t>
      </w:r>
      <w:r>
        <w:rPr>
          <w:rFonts w:eastAsia="Times New Roman" w:cs="Times New Roman"/>
          <w:lang w:eastAsia="ar-SA"/>
        </w:rPr>
        <w:t>65 427,35</w:t>
      </w:r>
      <w:r w:rsidRPr="00AA4429">
        <w:rPr>
          <w:rFonts w:eastAsia="Times New Roman" w:cs="Times New Roman"/>
          <w:lang w:eastAsia="ar-SA"/>
        </w:rPr>
        <w:t xml:space="preserve"> Kč. </w:t>
      </w:r>
    </w:p>
    <w:p w14:paraId="14926CC9" w14:textId="77777777" w:rsidR="00CD2482" w:rsidRDefault="00CD2482" w:rsidP="00CD2482">
      <w:pPr>
        <w:suppressAutoHyphens/>
        <w:spacing w:after="0" w:line="240" w:lineRule="auto"/>
        <w:jc w:val="both"/>
        <w:rPr>
          <w:rFonts w:eastAsia="Times New Roman" w:cs="Times New Roman"/>
          <w:lang w:eastAsia="ar-SA"/>
        </w:rPr>
      </w:pPr>
    </w:p>
    <w:p w14:paraId="50641B02" w14:textId="77777777" w:rsidR="00CD2482" w:rsidRPr="00AA4429" w:rsidRDefault="00CD2482" w:rsidP="00CD2482">
      <w:pPr>
        <w:suppressAutoHyphens/>
        <w:spacing w:after="0" w:line="240" w:lineRule="auto"/>
        <w:jc w:val="both"/>
        <w:rPr>
          <w:rFonts w:eastAsia="Times New Roman" w:cs="Times New Roman"/>
          <w:lang w:eastAsia="ar-SA"/>
        </w:rPr>
      </w:pPr>
      <w:r>
        <w:rPr>
          <w:rFonts w:eastAsia="Times New Roman" w:cs="Times New Roman"/>
          <w:b/>
          <w:bCs/>
          <w:lang w:eastAsia="ar-SA"/>
        </w:rPr>
        <w:t>5169 – n</w:t>
      </w:r>
      <w:r w:rsidRPr="00AA4429">
        <w:rPr>
          <w:rFonts w:eastAsia="Times New Roman" w:cs="Times New Roman"/>
          <w:b/>
          <w:bCs/>
          <w:lang w:eastAsia="ar-SA"/>
        </w:rPr>
        <w:t xml:space="preserve">ákup ostatních služeb </w:t>
      </w:r>
    </w:p>
    <w:p w14:paraId="2B6CFA36" w14:textId="77777777" w:rsidR="00CD2482" w:rsidRDefault="00CD2482" w:rsidP="00CD2482">
      <w:pPr>
        <w:suppressAutoHyphens/>
        <w:spacing w:after="0" w:line="240" w:lineRule="auto"/>
        <w:jc w:val="both"/>
        <w:rPr>
          <w:rFonts w:eastAsia="Times New Roman" w:cs="Times New Roman"/>
          <w:lang w:eastAsia="ar-SA"/>
        </w:rPr>
      </w:pPr>
      <w:r w:rsidRPr="00AA4429">
        <w:rPr>
          <w:rFonts w:eastAsia="Times New Roman" w:cs="Times New Roman"/>
          <w:lang w:eastAsia="ar-SA"/>
        </w:rPr>
        <w:t xml:space="preserve">Z položky jsou hrazeny služby související s agendou zbytného majetku v rámci bytového hospodářství (znalecké posudky, geometrické plány apod.) a faktury za služby dodavatelů. To vše vždy na základě uzavřených smluv či objednávek. Tyto služby vždy souvisí se správou nemovitého majetku ve vlastnictví Středočeského kraje, který nebyl předán k hospodaření žádné příspěvkové organizaci s tím, že správu u nich vykonává Odbor majetku a hospodářské správy. Schválený rozpočet ve výši </w:t>
      </w:r>
      <w:r>
        <w:rPr>
          <w:rFonts w:eastAsia="Times New Roman" w:cs="Times New Roman"/>
          <w:lang w:eastAsia="ar-SA"/>
        </w:rPr>
        <w:t>220 000</w:t>
      </w:r>
      <w:r w:rsidRPr="00AA4429">
        <w:rPr>
          <w:rFonts w:eastAsia="Times New Roman" w:cs="Times New Roman"/>
          <w:lang w:eastAsia="ar-SA"/>
        </w:rPr>
        <w:t>,00 Kč byl navýšen na základě rozdělení zůstatku hospodaření Středočeského kraje z roku 20</w:t>
      </w:r>
      <w:r>
        <w:rPr>
          <w:rFonts w:eastAsia="Times New Roman" w:cs="Times New Roman"/>
          <w:lang w:eastAsia="ar-SA"/>
        </w:rPr>
        <w:t>20</w:t>
      </w:r>
      <w:r w:rsidRPr="00AA4429">
        <w:rPr>
          <w:rFonts w:eastAsia="Times New Roman" w:cs="Times New Roman"/>
          <w:lang w:eastAsia="ar-SA"/>
        </w:rPr>
        <w:t xml:space="preserve"> schváleným usnesením č. 0</w:t>
      </w:r>
      <w:r>
        <w:rPr>
          <w:rFonts w:eastAsia="Times New Roman" w:cs="Times New Roman"/>
          <w:lang w:eastAsia="ar-SA"/>
        </w:rPr>
        <w:t>07</w:t>
      </w:r>
      <w:r w:rsidRPr="00AA4429">
        <w:rPr>
          <w:rFonts w:eastAsia="Times New Roman" w:cs="Times New Roman"/>
          <w:lang w:eastAsia="ar-SA"/>
        </w:rPr>
        <w:t>-</w:t>
      </w:r>
      <w:r>
        <w:rPr>
          <w:rFonts w:eastAsia="Times New Roman" w:cs="Times New Roman"/>
          <w:lang w:eastAsia="ar-SA"/>
        </w:rPr>
        <w:t>06</w:t>
      </w:r>
      <w:r w:rsidRPr="00AA4429">
        <w:rPr>
          <w:rFonts w:eastAsia="Times New Roman" w:cs="Times New Roman"/>
          <w:lang w:eastAsia="ar-SA"/>
        </w:rPr>
        <w:t>/202</w:t>
      </w:r>
      <w:r>
        <w:rPr>
          <w:rFonts w:eastAsia="Times New Roman" w:cs="Times New Roman"/>
          <w:lang w:eastAsia="ar-SA"/>
        </w:rPr>
        <w:t>1</w:t>
      </w:r>
      <w:r w:rsidRPr="00AA4429">
        <w:rPr>
          <w:rFonts w:eastAsia="Times New Roman" w:cs="Times New Roman"/>
          <w:lang w:eastAsia="ar-SA"/>
        </w:rPr>
        <w:t xml:space="preserve">/ZK ze dne </w:t>
      </w:r>
      <w:r>
        <w:rPr>
          <w:rFonts w:eastAsia="Times New Roman" w:cs="Times New Roman"/>
          <w:lang w:eastAsia="ar-SA"/>
        </w:rPr>
        <w:t>26</w:t>
      </w:r>
      <w:r w:rsidRPr="00AA4429">
        <w:rPr>
          <w:rFonts w:eastAsia="Times New Roman" w:cs="Times New Roman"/>
          <w:lang w:eastAsia="ar-SA"/>
        </w:rPr>
        <w:t xml:space="preserve">. </w:t>
      </w:r>
      <w:r>
        <w:rPr>
          <w:rFonts w:eastAsia="Times New Roman" w:cs="Times New Roman"/>
          <w:lang w:eastAsia="ar-SA"/>
        </w:rPr>
        <w:t>4.</w:t>
      </w:r>
      <w:r w:rsidRPr="00AA4429">
        <w:rPr>
          <w:rFonts w:eastAsia="Times New Roman" w:cs="Times New Roman"/>
          <w:lang w:eastAsia="ar-SA"/>
        </w:rPr>
        <w:t xml:space="preserve"> 202</w:t>
      </w:r>
      <w:r>
        <w:rPr>
          <w:rFonts w:eastAsia="Times New Roman" w:cs="Times New Roman"/>
          <w:lang w:eastAsia="ar-SA"/>
        </w:rPr>
        <w:t>1</w:t>
      </w:r>
      <w:r w:rsidRPr="00AA4429">
        <w:rPr>
          <w:rFonts w:eastAsia="Times New Roman" w:cs="Times New Roman"/>
          <w:lang w:eastAsia="ar-SA"/>
        </w:rPr>
        <w:t xml:space="preserve"> o částku </w:t>
      </w:r>
      <w:r>
        <w:rPr>
          <w:rFonts w:eastAsia="Times New Roman" w:cs="Times New Roman"/>
          <w:lang w:eastAsia="ar-SA"/>
        </w:rPr>
        <w:t>2 054 420</w:t>
      </w:r>
      <w:r w:rsidRPr="00AA4429">
        <w:rPr>
          <w:rFonts w:eastAsia="Times New Roman" w:cs="Times New Roman"/>
          <w:lang w:eastAsia="ar-SA"/>
        </w:rPr>
        <w:t>,00 Kč</w:t>
      </w:r>
      <w:r>
        <w:rPr>
          <w:rFonts w:eastAsia="Times New Roman" w:cs="Times New Roman"/>
          <w:lang w:eastAsia="ar-SA"/>
        </w:rPr>
        <w:t xml:space="preserve"> na výši upraveného rozpočtu 2 274 420,00 Kč. Následně byl rozpočet na této položce vnitřní rozpočtovou úpravou upraven na částku 2 254 420,00 Kč, ze kterého bylo z</w:t>
      </w:r>
      <w:r w:rsidRPr="00AA4429">
        <w:rPr>
          <w:rFonts w:eastAsia="Times New Roman" w:cs="Times New Roman"/>
          <w:lang w:eastAsia="ar-SA"/>
        </w:rPr>
        <w:t xml:space="preserve">a služby související s bytovým hospodářstvím v bytových domech vyčerpáno </w:t>
      </w:r>
      <w:r>
        <w:rPr>
          <w:rFonts w:eastAsia="Times New Roman" w:cs="Times New Roman"/>
          <w:lang w:eastAsia="ar-SA"/>
        </w:rPr>
        <w:t>127 398,29</w:t>
      </w:r>
      <w:r w:rsidRPr="00AA4429">
        <w:rPr>
          <w:rFonts w:eastAsia="Times New Roman" w:cs="Times New Roman"/>
          <w:lang w:eastAsia="ar-SA"/>
        </w:rPr>
        <w:t xml:space="preserve"> Kč. </w:t>
      </w:r>
    </w:p>
    <w:p w14:paraId="0EC7C555" w14:textId="77777777" w:rsidR="00CD2482" w:rsidRPr="00AA4429" w:rsidRDefault="00CD2482" w:rsidP="00CD2482">
      <w:pPr>
        <w:suppressAutoHyphens/>
        <w:spacing w:after="0" w:line="240" w:lineRule="auto"/>
        <w:jc w:val="both"/>
        <w:rPr>
          <w:rFonts w:eastAsia="Times New Roman" w:cs="Times New Roman"/>
          <w:lang w:eastAsia="ar-SA"/>
        </w:rPr>
      </w:pPr>
    </w:p>
    <w:p w14:paraId="20EA0DF2" w14:textId="77777777" w:rsidR="00CD2482" w:rsidRPr="00AA4429" w:rsidRDefault="00CD2482" w:rsidP="00CD2482">
      <w:pPr>
        <w:suppressAutoHyphens/>
        <w:spacing w:after="0" w:line="240" w:lineRule="auto"/>
        <w:jc w:val="both"/>
        <w:rPr>
          <w:rFonts w:eastAsia="Times New Roman" w:cs="Times New Roman"/>
          <w:lang w:eastAsia="ar-SA"/>
        </w:rPr>
      </w:pPr>
      <w:r>
        <w:rPr>
          <w:rFonts w:eastAsia="Times New Roman" w:cs="Times New Roman"/>
          <w:b/>
          <w:bCs/>
          <w:lang w:eastAsia="ar-SA"/>
        </w:rPr>
        <w:t>5171 – o</w:t>
      </w:r>
      <w:r w:rsidRPr="00AA4429">
        <w:rPr>
          <w:rFonts w:eastAsia="Times New Roman" w:cs="Times New Roman"/>
          <w:b/>
          <w:bCs/>
          <w:lang w:eastAsia="ar-SA"/>
        </w:rPr>
        <w:t xml:space="preserve">pravy a udržování </w:t>
      </w:r>
    </w:p>
    <w:p w14:paraId="4E25BC01" w14:textId="18D0A001" w:rsidR="00CD2482" w:rsidRDefault="00CD2482" w:rsidP="00CD2482">
      <w:pPr>
        <w:suppressAutoHyphens/>
        <w:spacing w:after="0" w:line="240" w:lineRule="auto"/>
        <w:jc w:val="both"/>
        <w:rPr>
          <w:rFonts w:eastAsia="Times New Roman" w:cs="Times New Roman"/>
          <w:lang w:eastAsia="ar-SA"/>
        </w:rPr>
      </w:pPr>
      <w:r w:rsidRPr="00AA4429">
        <w:rPr>
          <w:rFonts w:eastAsia="Times New Roman" w:cs="Times New Roman"/>
          <w:lang w:eastAsia="ar-SA"/>
        </w:rPr>
        <w:t>Z položky jsou hrazeny faktury za opravu a údržbu nemovitého majetku</w:t>
      </w:r>
      <w:r w:rsidR="00A216BD">
        <w:rPr>
          <w:rFonts w:eastAsia="Times New Roman" w:cs="Times New Roman"/>
          <w:lang w:eastAsia="ar-SA"/>
        </w:rPr>
        <w:t>.</w:t>
      </w:r>
      <w:r w:rsidRPr="00AA4429">
        <w:rPr>
          <w:rFonts w:eastAsia="Times New Roman" w:cs="Times New Roman"/>
          <w:lang w:eastAsia="ar-SA"/>
        </w:rPr>
        <w:t xml:space="preserve"> Schválený rozpočet ve výši </w:t>
      </w:r>
      <w:r>
        <w:rPr>
          <w:rFonts w:eastAsia="Times New Roman" w:cs="Times New Roman"/>
          <w:lang w:eastAsia="ar-SA"/>
        </w:rPr>
        <w:t>837 000</w:t>
      </w:r>
      <w:r w:rsidRPr="00AA4429">
        <w:rPr>
          <w:rFonts w:eastAsia="Times New Roman" w:cs="Times New Roman"/>
          <w:lang w:eastAsia="ar-SA"/>
        </w:rPr>
        <w:t xml:space="preserve">,00 Kč byl </w:t>
      </w:r>
      <w:r w:rsidRPr="009F5137">
        <w:rPr>
          <w:rFonts w:eastAsia="Times New Roman" w:cs="Times New Roman"/>
          <w:lang w:eastAsia="ar-SA"/>
        </w:rPr>
        <w:t>navýšen na základě rozdělení zůstatku hospodaření Středočeského kraje z roku 2020 schváleným usnesením č. 007-06/2021/ZK ze dne 26. 4. 2021</w:t>
      </w:r>
      <w:r>
        <w:rPr>
          <w:rFonts w:eastAsia="Times New Roman" w:cs="Times New Roman"/>
          <w:lang w:eastAsia="ar-SA"/>
        </w:rPr>
        <w:t xml:space="preserve"> o</w:t>
      </w:r>
      <w:r w:rsidRPr="009F5137">
        <w:rPr>
          <w:rFonts w:eastAsia="Times New Roman" w:cs="Times New Roman"/>
          <w:lang w:eastAsia="ar-SA"/>
        </w:rPr>
        <w:t xml:space="preserve"> částku </w:t>
      </w:r>
      <w:r>
        <w:rPr>
          <w:rFonts w:eastAsia="Times New Roman" w:cs="Times New Roman"/>
          <w:lang w:eastAsia="ar-SA"/>
        </w:rPr>
        <w:t>171 836,00 Kč. R</w:t>
      </w:r>
      <w:r w:rsidRPr="00AA4429">
        <w:rPr>
          <w:rFonts w:eastAsia="Times New Roman" w:cs="Times New Roman"/>
          <w:lang w:eastAsia="ar-SA"/>
        </w:rPr>
        <w:t>ozpočtovými úpravami v rámci kapitoly</w:t>
      </w:r>
      <w:r>
        <w:rPr>
          <w:rFonts w:eastAsia="Times New Roman" w:cs="Times New Roman"/>
          <w:lang w:eastAsia="ar-SA"/>
        </w:rPr>
        <w:t>,</w:t>
      </w:r>
      <w:r w:rsidRPr="00AA4429">
        <w:rPr>
          <w:rFonts w:eastAsia="Times New Roman" w:cs="Times New Roman"/>
          <w:lang w:eastAsia="ar-SA"/>
        </w:rPr>
        <w:t xml:space="preserve"> projednanými s příslušným členem </w:t>
      </w:r>
      <w:r>
        <w:rPr>
          <w:rFonts w:eastAsia="Times New Roman" w:cs="Times New Roman"/>
          <w:lang w:eastAsia="ar-SA"/>
        </w:rPr>
        <w:t>rady kraje, byl</w:t>
      </w:r>
      <w:r w:rsidRPr="00AA4429">
        <w:rPr>
          <w:rFonts w:eastAsia="Times New Roman" w:cs="Times New Roman"/>
          <w:lang w:eastAsia="ar-SA"/>
        </w:rPr>
        <w:t xml:space="preserve"> </w:t>
      </w:r>
      <w:r>
        <w:rPr>
          <w:rFonts w:eastAsia="Times New Roman" w:cs="Times New Roman"/>
          <w:lang w:eastAsia="ar-SA"/>
        </w:rPr>
        <w:t>rozpočet upraven</w:t>
      </w:r>
      <w:r w:rsidRPr="00AA4429">
        <w:rPr>
          <w:rFonts w:eastAsia="Times New Roman" w:cs="Times New Roman"/>
          <w:lang w:eastAsia="ar-SA"/>
        </w:rPr>
        <w:t xml:space="preserve"> na částku </w:t>
      </w:r>
      <w:r>
        <w:rPr>
          <w:rFonts w:eastAsia="Times New Roman" w:cs="Times New Roman"/>
          <w:lang w:eastAsia="ar-SA"/>
        </w:rPr>
        <w:t>588 836,00</w:t>
      </w:r>
      <w:r w:rsidRPr="00AA4429">
        <w:rPr>
          <w:rFonts w:eastAsia="Times New Roman" w:cs="Times New Roman"/>
          <w:lang w:eastAsia="ar-SA"/>
        </w:rPr>
        <w:t xml:space="preserve">,00 Kč ze které bylo za opravy a udržování bytových domů vyčerpáno </w:t>
      </w:r>
      <w:r>
        <w:rPr>
          <w:rFonts w:eastAsia="Times New Roman" w:cs="Times New Roman"/>
          <w:lang w:eastAsia="ar-SA"/>
        </w:rPr>
        <w:t>239 628,00</w:t>
      </w:r>
      <w:r w:rsidRPr="00AA4429">
        <w:rPr>
          <w:rFonts w:eastAsia="Times New Roman" w:cs="Times New Roman"/>
          <w:lang w:eastAsia="ar-SA"/>
        </w:rPr>
        <w:t xml:space="preserve"> Kč. </w:t>
      </w:r>
    </w:p>
    <w:p w14:paraId="18AA49F5" w14:textId="77777777" w:rsidR="00CD2482" w:rsidRDefault="00CD2482" w:rsidP="00CD2482">
      <w:pPr>
        <w:suppressAutoHyphens/>
        <w:spacing w:after="0" w:line="240" w:lineRule="auto"/>
        <w:jc w:val="both"/>
        <w:rPr>
          <w:rFonts w:eastAsia="Times New Roman" w:cs="Times New Roman"/>
          <w:lang w:eastAsia="ar-SA"/>
        </w:rPr>
      </w:pPr>
    </w:p>
    <w:p w14:paraId="57E3FC71" w14:textId="77777777" w:rsidR="00CD2482" w:rsidRPr="00AA4429" w:rsidRDefault="00CD2482" w:rsidP="00CD2482">
      <w:pPr>
        <w:suppressAutoHyphens/>
        <w:spacing w:after="0" w:line="240" w:lineRule="auto"/>
        <w:jc w:val="both"/>
        <w:rPr>
          <w:rFonts w:eastAsia="Times New Roman" w:cs="Times New Roman"/>
          <w:lang w:eastAsia="ar-SA"/>
        </w:rPr>
      </w:pPr>
      <w:r>
        <w:rPr>
          <w:rFonts w:eastAsia="Times New Roman" w:cs="Times New Roman"/>
          <w:b/>
          <w:bCs/>
          <w:lang w:eastAsia="ar-SA"/>
        </w:rPr>
        <w:t>5909 – ostatní neinvestiční výdaje</w:t>
      </w:r>
    </w:p>
    <w:p w14:paraId="60585CFB" w14:textId="3A0B228F" w:rsidR="00CD2482" w:rsidRDefault="00CD2482" w:rsidP="00CD2482">
      <w:pPr>
        <w:suppressAutoHyphens/>
        <w:spacing w:after="0" w:line="240" w:lineRule="auto"/>
        <w:jc w:val="both"/>
        <w:rPr>
          <w:rFonts w:eastAsia="Times New Roman" w:cs="Times New Roman"/>
          <w:lang w:eastAsia="ar-SA"/>
        </w:rPr>
      </w:pPr>
      <w:r w:rsidRPr="00AA4429">
        <w:rPr>
          <w:rFonts w:eastAsia="Times New Roman" w:cs="Times New Roman"/>
          <w:lang w:eastAsia="ar-SA"/>
        </w:rPr>
        <w:t xml:space="preserve">Z položky </w:t>
      </w:r>
      <w:r>
        <w:rPr>
          <w:rFonts w:eastAsia="Times New Roman" w:cs="Times New Roman"/>
          <w:lang w:eastAsia="ar-SA"/>
        </w:rPr>
        <w:t>byly</w:t>
      </w:r>
      <w:r w:rsidRPr="00AA4429">
        <w:rPr>
          <w:rFonts w:eastAsia="Times New Roman" w:cs="Times New Roman"/>
          <w:lang w:eastAsia="ar-SA"/>
        </w:rPr>
        <w:t xml:space="preserve"> hrazeny</w:t>
      </w:r>
      <w:r>
        <w:rPr>
          <w:rFonts w:eastAsia="Times New Roman" w:cs="Times New Roman"/>
          <w:lang w:eastAsia="ar-SA"/>
        </w:rPr>
        <w:t xml:space="preserve"> přeplatky </w:t>
      </w:r>
      <w:r w:rsidRPr="00BD6BF4">
        <w:rPr>
          <w:rFonts w:eastAsia="Times New Roman" w:cs="Times New Roman"/>
          <w:lang w:eastAsia="ar-SA"/>
        </w:rPr>
        <w:t>vyúčtování služeb, medií a energií za období 01.01.2020 - 31.12.202</w:t>
      </w:r>
      <w:r>
        <w:rPr>
          <w:rFonts w:eastAsia="Times New Roman" w:cs="Times New Roman"/>
          <w:lang w:eastAsia="ar-SA"/>
        </w:rPr>
        <w:t>0</w:t>
      </w:r>
      <w:r w:rsidRPr="00AA4429">
        <w:rPr>
          <w:rFonts w:eastAsia="Times New Roman" w:cs="Times New Roman"/>
          <w:lang w:eastAsia="ar-SA"/>
        </w:rPr>
        <w:t xml:space="preserve">. </w:t>
      </w:r>
      <w:r>
        <w:rPr>
          <w:rFonts w:eastAsia="Times New Roman" w:cs="Times New Roman"/>
          <w:lang w:eastAsia="ar-SA"/>
        </w:rPr>
        <w:t>Upravený</w:t>
      </w:r>
      <w:r w:rsidRPr="00AA4429">
        <w:rPr>
          <w:rFonts w:eastAsia="Times New Roman" w:cs="Times New Roman"/>
          <w:lang w:eastAsia="ar-SA"/>
        </w:rPr>
        <w:t xml:space="preserve"> rozpočet ve výši </w:t>
      </w:r>
      <w:r>
        <w:rPr>
          <w:rFonts w:eastAsia="Times New Roman" w:cs="Times New Roman"/>
          <w:lang w:eastAsia="ar-SA"/>
        </w:rPr>
        <w:t>1 960</w:t>
      </w:r>
      <w:r w:rsidRPr="00AA4429">
        <w:rPr>
          <w:rFonts w:eastAsia="Times New Roman" w:cs="Times New Roman"/>
          <w:lang w:eastAsia="ar-SA"/>
        </w:rPr>
        <w:t>,00 Kč byl vyčerpán</w:t>
      </w:r>
      <w:r>
        <w:rPr>
          <w:rFonts w:eastAsia="Times New Roman" w:cs="Times New Roman"/>
          <w:lang w:eastAsia="ar-SA"/>
        </w:rPr>
        <w:t xml:space="preserve">. </w:t>
      </w:r>
    </w:p>
    <w:p w14:paraId="01AC3416" w14:textId="77777777" w:rsidR="00CD2482" w:rsidRDefault="00CD2482" w:rsidP="00CD2482">
      <w:pPr>
        <w:suppressAutoHyphens/>
        <w:spacing w:after="0" w:line="240" w:lineRule="auto"/>
        <w:jc w:val="both"/>
        <w:rPr>
          <w:rFonts w:eastAsia="Times New Roman" w:cs="Times New Roman"/>
          <w:lang w:eastAsia="ar-SA"/>
        </w:rPr>
      </w:pPr>
    </w:p>
    <w:p w14:paraId="4656D9F4" w14:textId="77777777" w:rsidR="00CD2482" w:rsidRPr="00A80C32" w:rsidRDefault="00CD2482" w:rsidP="00CD2482">
      <w:pPr>
        <w:suppressAutoHyphens/>
        <w:spacing w:after="0" w:line="240" w:lineRule="auto"/>
        <w:jc w:val="both"/>
        <w:rPr>
          <w:rFonts w:eastAsia="Times New Roman" w:cs="Times New Roman"/>
          <w:lang w:eastAsia="ar-SA"/>
        </w:rPr>
      </w:pPr>
      <w:r w:rsidRPr="002A0AFE">
        <w:rPr>
          <w:rFonts w:eastAsia="Times New Roman" w:cs="Times New Roman"/>
          <w:b/>
          <w:bCs/>
          <w:lang w:eastAsia="ar-SA"/>
        </w:rPr>
        <w:t>§ 3613 – Nebytové hospodářství</w:t>
      </w:r>
      <w:r w:rsidRPr="00A80C32">
        <w:rPr>
          <w:rFonts w:eastAsia="Times New Roman" w:cs="Times New Roman"/>
          <w:b/>
          <w:bCs/>
          <w:lang w:eastAsia="ar-SA"/>
        </w:rPr>
        <w:t xml:space="preserve"> </w:t>
      </w:r>
    </w:p>
    <w:p w14:paraId="0CF434B2" w14:textId="77777777" w:rsidR="00CD2482" w:rsidRDefault="00CD2482" w:rsidP="00CD2482">
      <w:pPr>
        <w:suppressAutoHyphens/>
        <w:spacing w:after="0" w:line="240" w:lineRule="auto"/>
        <w:jc w:val="both"/>
        <w:rPr>
          <w:rFonts w:eastAsia="Times New Roman" w:cs="Times New Roman"/>
          <w:lang w:eastAsia="ar-SA"/>
        </w:rPr>
      </w:pPr>
      <w:r w:rsidRPr="00AA4429">
        <w:rPr>
          <w:rFonts w:eastAsia="Times New Roman" w:cs="Times New Roman"/>
          <w:lang w:eastAsia="ar-SA"/>
        </w:rPr>
        <w:t>Na základě usnesení č. 0</w:t>
      </w:r>
      <w:r>
        <w:rPr>
          <w:rFonts w:eastAsia="Times New Roman" w:cs="Times New Roman"/>
          <w:lang w:eastAsia="ar-SA"/>
        </w:rPr>
        <w:t>78</w:t>
      </w:r>
      <w:r w:rsidRPr="00AA4429">
        <w:rPr>
          <w:rFonts w:eastAsia="Times New Roman" w:cs="Times New Roman"/>
          <w:lang w:eastAsia="ar-SA"/>
        </w:rPr>
        <w:t>-03/2020/RK ze dne 2</w:t>
      </w:r>
      <w:r>
        <w:rPr>
          <w:rFonts w:eastAsia="Times New Roman" w:cs="Times New Roman"/>
          <w:lang w:eastAsia="ar-SA"/>
        </w:rPr>
        <w:t>8</w:t>
      </w:r>
      <w:r w:rsidRPr="00AA4429">
        <w:rPr>
          <w:rFonts w:eastAsia="Times New Roman" w:cs="Times New Roman"/>
          <w:lang w:eastAsia="ar-SA"/>
        </w:rPr>
        <w:t>. 1. 202</w:t>
      </w:r>
      <w:r>
        <w:rPr>
          <w:rFonts w:eastAsia="Times New Roman" w:cs="Times New Roman"/>
          <w:lang w:eastAsia="ar-SA"/>
        </w:rPr>
        <w:t>1</w:t>
      </w:r>
      <w:r w:rsidRPr="00AA4429">
        <w:rPr>
          <w:rFonts w:eastAsia="Times New Roman" w:cs="Times New Roman"/>
          <w:lang w:eastAsia="ar-SA"/>
        </w:rPr>
        <w:t xml:space="preserve"> byl uskutečněn převod nevyčerpaných účelových finančních prostředků ve výši </w:t>
      </w:r>
      <w:r>
        <w:rPr>
          <w:rFonts w:eastAsia="Times New Roman" w:cs="Times New Roman"/>
          <w:lang w:eastAsia="ar-SA"/>
        </w:rPr>
        <w:t>116 175 970,10</w:t>
      </w:r>
      <w:r w:rsidRPr="00AA4429">
        <w:rPr>
          <w:rFonts w:eastAsia="Times New Roman" w:cs="Times New Roman"/>
          <w:lang w:eastAsia="ar-SA"/>
        </w:rPr>
        <w:t xml:space="preserve"> Kč určených na vypořádání se společností Mladá RP (bylo zapojeno do zůstatku hospodaření SK z roku 20</w:t>
      </w:r>
      <w:r>
        <w:rPr>
          <w:rFonts w:eastAsia="Times New Roman" w:cs="Times New Roman"/>
          <w:lang w:eastAsia="ar-SA"/>
        </w:rPr>
        <w:t>20</w:t>
      </w:r>
      <w:r w:rsidRPr="00AA4429">
        <w:rPr>
          <w:rFonts w:eastAsia="Times New Roman" w:cs="Times New Roman"/>
          <w:lang w:eastAsia="ar-SA"/>
        </w:rPr>
        <w:t xml:space="preserve"> schváleného usnesením č. 0</w:t>
      </w:r>
      <w:r>
        <w:rPr>
          <w:rFonts w:eastAsia="Times New Roman" w:cs="Times New Roman"/>
          <w:lang w:eastAsia="ar-SA"/>
        </w:rPr>
        <w:t>07</w:t>
      </w:r>
      <w:r w:rsidRPr="00AA4429">
        <w:rPr>
          <w:rFonts w:eastAsia="Times New Roman" w:cs="Times New Roman"/>
          <w:lang w:eastAsia="ar-SA"/>
        </w:rPr>
        <w:t>-</w:t>
      </w:r>
      <w:r>
        <w:rPr>
          <w:rFonts w:eastAsia="Times New Roman" w:cs="Times New Roman"/>
          <w:lang w:eastAsia="ar-SA"/>
        </w:rPr>
        <w:t>06</w:t>
      </w:r>
      <w:r w:rsidRPr="00AA4429">
        <w:rPr>
          <w:rFonts w:eastAsia="Times New Roman" w:cs="Times New Roman"/>
          <w:lang w:eastAsia="ar-SA"/>
        </w:rPr>
        <w:t>/202</w:t>
      </w:r>
      <w:r>
        <w:rPr>
          <w:rFonts w:eastAsia="Times New Roman" w:cs="Times New Roman"/>
          <w:lang w:eastAsia="ar-SA"/>
        </w:rPr>
        <w:t>1</w:t>
      </w:r>
      <w:r w:rsidRPr="00AA4429">
        <w:rPr>
          <w:rFonts w:eastAsia="Times New Roman" w:cs="Times New Roman"/>
          <w:lang w:eastAsia="ar-SA"/>
        </w:rPr>
        <w:t xml:space="preserve">/ZK ze dne </w:t>
      </w:r>
      <w:r>
        <w:rPr>
          <w:rFonts w:eastAsia="Times New Roman" w:cs="Times New Roman"/>
          <w:lang w:eastAsia="ar-SA"/>
        </w:rPr>
        <w:t>26</w:t>
      </w:r>
      <w:r w:rsidRPr="00AA4429">
        <w:rPr>
          <w:rFonts w:eastAsia="Times New Roman" w:cs="Times New Roman"/>
          <w:lang w:eastAsia="ar-SA"/>
        </w:rPr>
        <w:t xml:space="preserve">. </w:t>
      </w:r>
      <w:r>
        <w:rPr>
          <w:rFonts w:eastAsia="Times New Roman" w:cs="Times New Roman"/>
          <w:lang w:eastAsia="ar-SA"/>
        </w:rPr>
        <w:t>4</w:t>
      </w:r>
      <w:r w:rsidRPr="00AA4429">
        <w:rPr>
          <w:rFonts w:eastAsia="Times New Roman" w:cs="Times New Roman"/>
          <w:lang w:eastAsia="ar-SA"/>
        </w:rPr>
        <w:t>. 202</w:t>
      </w:r>
      <w:r>
        <w:rPr>
          <w:rFonts w:eastAsia="Times New Roman" w:cs="Times New Roman"/>
          <w:lang w:eastAsia="ar-SA"/>
        </w:rPr>
        <w:t>1</w:t>
      </w:r>
      <w:r w:rsidRPr="00AA4429">
        <w:rPr>
          <w:rFonts w:eastAsia="Times New Roman" w:cs="Times New Roman"/>
          <w:lang w:eastAsia="ar-SA"/>
        </w:rPr>
        <w:t xml:space="preserve">). Schválený rozpočet ve výši </w:t>
      </w:r>
      <w:r>
        <w:rPr>
          <w:rFonts w:eastAsia="Times New Roman" w:cs="Times New Roman"/>
          <w:lang w:eastAsia="ar-SA"/>
        </w:rPr>
        <w:t>7 000 000</w:t>
      </w:r>
      <w:r w:rsidRPr="00AA4429">
        <w:rPr>
          <w:rFonts w:eastAsia="Times New Roman" w:cs="Times New Roman"/>
          <w:lang w:eastAsia="ar-SA"/>
        </w:rPr>
        <w:t xml:space="preserve">,00 Kč byl o tuto částku navýšen. Upravený rozpočet byl dále </w:t>
      </w:r>
      <w:r>
        <w:rPr>
          <w:rFonts w:eastAsia="Times New Roman" w:cs="Times New Roman"/>
          <w:lang w:eastAsia="ar-SA"/>
        </w:rPr>
        <w:t>navýšen</w:t>
      </w:r>
      <w:r w:rsidRPr="00AA4429">
        <w:rPr>
          <w:rFonts w:eastAsia="Times New Roman" w:cs="Times New Roman"/>
          <w:lang w:eastAsia="ar-SA"/>
        </w:rPr>
        <w:t xml:space="preserve"> </w:t>
      </w:r>
      <w:r>
        <w:rPr>
          <w:rFonts w:eastAsia="Times New Roman" w:cs="Times New Roman"/>
          <w:lang w:eastAsia="ar-SA"/>
        </w:rPr>
        <w:t xml:space="preserve">na základě rozdělení zůstatku hospodaření, rozpočtovým opatřením č. 79/23/2021, schváleným Usnesením č. 007-06/2021/ZK ze dne 26. 4. 2021 o částku 3 595 183,18 Kč a dále rozpočtovým opatřením č. 035/23/2021 schváleným usnesením č. 007-04/2021/ZK ze dne 22.2.2021 – navýšení rozpočtu Středočeského kraje o prostředky ze sdílených daní o </w:t>
      </w:r>
      <w:r w:rsidRPr="00AA4429">
        <w:rPr>
          <w:rFonts w:eastAsia="Times New Roman" w:cs="Times New Roman"/>
          <w:lang w:eastAsia="ar-SA"/>
        </w:rPr>
        <w:t xml:space="preserve">částku </w:t>
      </w:r>
      <w:r>
        <w:rPr>
          <w:rFonts w:eastAsia="Times New Roman" w:cs="Times New Roman"/>
          <w:lang w:eastAsia="ar-SA"/>
        </w:rPr>
        <w:t>6 000 000,00 Kč</w:t>
      </w:r>
      <w:r w:rsidRPr="00AA4429">
        <w:rPr>
          <w:rFonts w:eastAsia="Times New Roman" w:cs="Times New Roman"/>
          <w:lang w:eastAsia="ar-SA"/>
        </w:rPr>
        <w:t xml:space="preserve">. </w:t>
      </w:r>
      <w:r>
        <w:rPr>
          <w:rFonts w:eastAsia="Times New Roman" w:cs="Times New Roman"/>
          <w:lang w:eastAsia="ar-SA"/>
        </w:rPr>
        <w:t xml:space="preserve"> Rozpočtovou úpravou č. 577/23/2021, schválenou Usnesením č. 017-40/2021/RK ze dne 21.10.2021 a rozpočtovou úpravou č. 664/23/2021, schválenou Usnesením č. 041-44/2021/RK ze dne 25.11.2021 byl rozpočet na této položce upraven spolu s d</w:t>
      </w:r>
      <w:r w:rsidRPr="00AA4429">
        <w:rPr>
          <w:rFonts w:eastAsia="Times New Roman" w:cs="Times New Roman"/>
          <w:lang w:eastAsia="ar-SA"/>
        </w:rPr>
        <w:t>alšími rozpočtovými úpravami</w:t>
      </w:r>
      <w:r>
        <w:rPr>
          <w:rFonts w:eastAsia="Times New Roman" w:cs="Times New Roman"/>
          <w:lang w:eastAsia="ar-SA"/>
        </w:rPr>
        <w:t xml:space="preserve"> v rámci kapitoly</w:t>
      </w:r>
      <w:r w:rsidRPr="00AA4429">
        <w:rPr>
          <w:rFonts w:eastAsia="Times New Roman" w:cs="Times New Roman"/>
          <w:lang w:eastAsia="ar-SA"/>
        </w:rPr>
        <w:t xml:space="preserve"> byl rozpočet </w:t>
      </w:r>
      <w:r>
        <w:rPr>
          <w:rFonts w:eastAsia="Times New Roman" w:cs="Times New Roman"/>
          <w:lang w:eastAsia="ar-SA"/>
        </w:rPr>
        <w:t>upraven</w:t>
      </w:r>
      <w:r w:rsidRPr="00AA4429">
        <w:rPr>
          <w:rFonts w:eastAsia="Times New Roman" w:cs="Times New Roman"/>
          <w:lang w:eastAsia="ar-SA"/>
        </w:rPr>
        <w:t xml:space="preserve"> až na částku </w:t>
      </w:r>
      <w:r>
        <w:rPr>
          <w:rFonts w:eastAsia="Times New Roman" w:cs="Times New Roman"/>
          <w:lang w:eastAsia="ar-SA"/>
        </w:rPr>
        <w:t xml:space="preserve">110 230 071,28 Kč a bylo vyčerpáno 90 822 992,54 Kč, tj. 82,4 % rozpočtované částky. </w:t>
      </w:r>
      <w:r w:rsidRPr="00AA4429">
        <w:rPr>
          <w:rFonts w:eastAsia="Times New Roman" w:cs="Times New Roman"/>
          <w:lang w:eastAsia="ar-SA"/>
        </w:rPr>
        <w:t xml:space="preserve">V rámci paragrafu byly čerpány výdaje na následující položky: </w:t>
      </w:r>
    </w:p>
    <w:p w14:paraId="0F964CFC" w14:textId="77777777" w:rsidR="00CD2482" w:rsidRPr="00AA4429" w:rsidRDefault="00CD2482" w:rsidP="00CD2482">
      <w:pPr>
        <w:suppressAutoHyphens/>
        <w:spacing w:after="0" w:line="240" w:lineRule="auto"/>
        <w:jc w:val="both"/>
        <w:rPr>
          <w:rFonts w:eastAsia="Times New Roman" w:cs="Times New Roman"/>
          <w:lang w:eastAsia="ar-SA"/>
        </w:rPr>
      </w:pPr>
    </w:p>
    <w:p w14:paraId="14141B7E" w14:textId="77777777" w:rsidR="00CD2482" w:rsidRPr="00AA4429" w:rsidRDefault="00CD2482" w:rsidP="00CD2482">
      <w:pPr>
        <w:suppressAutoHyphens/>
        <w:spacing w:after="0" w:line="240" w:lineRule="auto"/>
        <w:jc w:val="both"/>
        <w:rPr>
          <w:rFonts w:eastAsia="Times New Roman" w:cs="Times New Roman"/>
          <w:lang w:eastAsia="ar-SA"/>
        </w:rPr>
      </w:pPr>
      <w:r>
        <w:rPr>
          <w:rFonts w:eastAsia="Times New Roman" w:cs="Times New Roman"/>
          <w:b/>
          <w:bCs/>
          <w:lang w:eastAsia="ar-SA"/>
        </w:rPr>
        <w:t>5139 – n</w:t>
      </w:r>
      <w:r w:rsidRPr="00AA4429">
        <w:rPr>
          <w:rFonts w:eastAsia="Times New Roman" w:cs="Times New Roman"/>
          <w:b/>
          <w:bCs/>
          <w:lang w:eastAsia="ar-SA"/>
        </w:rPr>
        <w:t xml:space="preserve">ákup materiálu </w:t>
      </w:r>
    </w:p>
    <w:p w14:paraId="626F703C" w14:textId="10D9D8AA" w:rsidR="00CD2482" w:rsidRDefault="00CD2482" w:rsidP="00CD2482">
      <w:pPr>
        <w:suppressAutoHyphens/>
        <w:spacing w:after="0" w:line="240" w:lineRule="auto"/>
        <w:jc w:val="both"/>
        <w:rPr>
          <w:rFonts w:eastAsia="Times New Roman" w:cs="Times New Roman"/>
          <w:lang w:eastAsia="ar-SA"/>
        </w:rPr>
      </w:pPr>
      <w:r w:rsidRPr="00AA4429">
        <w:rPr>
          <w:rFonts w:eastAsia="Times New Roman" w:cs="Times New Roman"/>
          <w:lang w:eastAsia="ar-SA"/>
        </w:rPr>
        <w:t xml:space="preserve">Z upraveného rozpočtu </w:t>
      </w:r>
      <w:r>
        <w:rPr>
          <w:rFonts w:eastAsia="Times New Roman" w:cs="Times New Roman"/>
          <w:lang w:eastAsia="ar-SA"/>
        </w:rPr>
        <w:t>v rámci kapitoly projednaným</w:t>
      </w:r>
      <w:r w:rsidRPr="00AA4429">
        <w:rPr>
          <w:rFonts w:eastAsia="Times New Roman" w:cs="Times New Roman"/>
          <w:lang w:eastAsia="ar-SA"/>
        </w:rPr>
        <w:t xml:space="preserve"> s příslušným členem </w:t>
      </w:r>
      <w:r>
        <w:rPr>
          <w:rFonts w:eastAsia="Times New Roman" w:cs="Times New Roman"/>
          <w:lang w:eastAsia="ar-SA"/>
        </w:rPr>
        <w:t>rady</w:t>
      </w:r>
      <w:r w:rsidRPr="00AA4429">
        <w:rPr>
          <w:rFonts w:eastAsia="Times New Roman" w:cs="Times New Roman"/>
          <w:lang w:eastAsia="ar-SA"/>
        </w:rPr>
        <w:t xml:space="preserve"> ve výši </w:t>
      </w:r>
      <w:r>
        <w:rPr>
          <w:rFonts w:eastAsia="Times New Roman" w:cs="Times New Roman"/>
          <w:lang w:eastAsia="ar-SA"/>
        </w:rPr>
        <w:t>8</w:t>
      </w:r>
      <w:r w:rsidRPr="00AA4429">
        <w:rPr>
          <w:rFonts w:eastAsia="Times New Roman" w:cs="Times New Roman"/>
          <w:lang w:eastAsia="ar-SA"/>
        </w:rPr>
        <w:t xml:space="preserve">0 000,00 Kč bylo vyčerpáno </w:t>
      </w:r>
      <w:r>
        <w:rPr>
          <w:rFonts w:eastAsia="Times New Roman" w:cs="Times New Roman"/>
          <w:lang w:eastAsia="ar-SA"/>
        </w:rPr>
        <w:t xml:space="preserve">45 </w:t>
      </w:r>
      <w:r w:rsidRPr="00033602">
        <w:rPr>
          <w:rFonts w:eastAsia="Times New Roman" w:cs="Times New Roman"/>
          <w:lang w:eastAsia="ar-SA"/>
        </w:rPr>
        <w:t>374,</w:t>
      </w:r>
      <w:r>
        <w:rPr>
          <w:rFonts w:eastAsia="Times New Roman" w:cs="Times New Roman"/>
          <w:lang w:eastAsia="ar-SA"/>
        </w:rPr>
        <w:t>00</w:t>
      </w:r>
      <w:r w:rsidRPr="00AA4429">
        <w:rPr>
          <w:rFonts w:eastAsia="Times New Roman" w:cs="Times New Roman"/>
          <w:lang w:eastAsia="ar-SA"/>
        </w:rPr>
        <w:t xml:space="preserve"> Kč. Tyto prostředky </w:t>
      </w:r>
      <w:r>
        <w:rPr>
          <w:rFonts w:eastAsia="Times New Roman" w:cs="Times New Roman"/>
          <w:lang w:eastAsia="ar-SA"/>
        </w:rPr>
        <w:t>byly</w:t>
      </w:r>
      <w:r w:rsidRPr="00AA4429">
        <w:rPr>
          <w:rFonts w:eastAsia="Times New Roman" w:cs="Times New Roman"/>
          <w:lang w:eastAsia="ar-SA"/>
        </w:rPr>
        <w:t xml:space="preserve"> určeny všeobecně na nákup materiálu souvisejícího se správou majetku ve vlastnictví Středočeského kraje</w:t>
      </w:r>
      <w:r w:rsidR="00A216BD">
        <w:rPr>
          <w:rFonts w:eastAsia="Times New Roman" w:cs="Times New Roman"/>
          <w:lang w:eastAsia="ar-SA"/>
        </w:rPr>
        <w:t>.</w:t>
      </w:r>
      <w:r w:rsidRPr="00AA4429">
        <w:rPr>
          <w:rFonts w:eastAsia="Times New Roman" w:cs="Times New Roman"/>
          <w:lang w:eastAsia="ar-SA"/>
        </w:rPr>
        <w:t xml:space="preserve">  </w:t>
      </w:r>
    </w:p>
    <w:p w14:paraId="6831A83A" w14:textId="77777777" w:rsidR="00CD2482" w:rsidRPr="00AA4429" w:rsidRDefault="00CD2482" w:rsidP="00CD2482">
      <w:pPr>
        <w:suppressAutoHyphens/>
        <w:spacing w:after="0" w:line="240" w:lineRule="auto"/>
        <w:jc w:val="both"/>
        <w:rPr>
          <w:rFonts w:eastAsia="Times New Roman" w:cs="Times New Roman"/>
          <w:lang w:eastAsia="ar-SA"/>
        </w:rPr>
      </w:pPr>
    </w:p>
    <w:p w14:paraId="540FB1A1" w14:textId="77777777" w:rsidR="00CD2482" w:rsidRPr="00AA4429" w:rsidRDefault="00CD2482" w:rsidP="00CD2482">
      <w:pPr>
        <w:suppressAutoHyphens/>
        <w:spacing w:after="0" w:line="240" w:lineRule="auto"/>
        <w:jc w:val="both"/>
        <w:rPr>
          <w:rFonts w:eastAsia="Times New Roman" w:cs="Times New Roman"/>
          <w:lang w:eastAsia="ar-SA"/>
        </w:rPr>
      </w:pPr>
      <w:r>
        <w:rPr>
          <w:rFonts w:eastAsia="Times New Roman" w:cs="Times New Roman"/>
          <w:b/>
          <w:bCs/>
          <w:lang w:eastAsia="ar-SA"/>
        </w:rPr>
        <w:t>5151 – s</w:t>
      </w:r>
      <w:r w:rsidRPr="00AA4429">
        <w:rPr>
          <w:rFonts w:eastAsia="Times New Roman" w:cs="Times New Roman"/>
          <w:b/>
          <w:bCs/>
          <w:lang w:eastAsia="ar-SA"/>
        </w:rPr>
        <w:t xml:space="preserve">tudená voda </w:t>
      </w:r>
    </w:p>
    <w:p w14:paraId="791E514A" w14:textId="0B4B5DA4" w:rsidR="00CD2482" w:rsidRDefault="00CD2482" w:rsidP="00CD2482">
      <w:pPr>
        <w:suppressAutoHyphens/>
        <w:spacing w:after="0" w:line="240" w:lineRule="auto"/>
        <w:jc w:val="both"/>
        <w:rPr>
          <w:rFonts w:eastAsia="Times New Roman" w:cs="Times New Roman"/>
          <w:lang w:eastAsia="ar-SA"/>
        </w:rPr>
      </w:pPr>
      <w:r w:rsidRPr="00AA4429">
        <w:rPr>
          <w:rFonts w:eastAsia="Times New Roman" w:cs="Times New Roman"/>
          <w:lang w:eastAsia="ar-SA"/>
        </w:rPr>
        <w:t>Z této položky byly hrazeny faktury za vodu</w:t>
      </w:r>
      <w:r w:rsidR="00A216BD">
        <w:rPr>
          <w:rFonts w:eastAsia="Times New Roman" w:cs="Times New Roman"/>
          <w:lang w:eastAsia="ar-SA"/>
        </w:rPr>
        <w:t xml:space="preserve">. </w:t>
      </w:r>
      <w:r w:rsidRPr="00AA4429">
        <w:rPr>
          <w:rFonts w:eastAsia="Times New Roman" w:cs="Times New Roman"/>
          <w:lang w:eastAsia="ar-SA"/>
        </w:rPr>
        <w:t xml:space="preserve">Z upraveného </w:t>
      </w:r>
      <w:r>
        <w:rPr>
          <w:rFonts w:eastAsia="Times New Roman" w:cs="Times New Roman"/>
          <w:lang w:eastAsia="ar-SA"/>
        </w:rPr>
        <w:t xml:space="preserve">rozpočtu </w:t>
      </w:r>
      <w:r w:rsidRPr="00AA4429">
        <w:rPr>
          <w:rFonts w:eastAsia="Times New Roman" w:cs="Times New Roman"/>
          <w:lang w:eastAsia="ar-SA"/>
        </w:rPr>
        <w:t>ve výši 2</w:t>
      </w:r>
      <w:r>
        <w:rPr>
          <w:rFonts w:eastAsia="Times New Roman" w:cs="Times New Roman"/>
          <w:lang w:eastAsia="ar-SA"/>
        </w:rPr>
        <w:t>8</w:t>
      </w:r>
      <w:r w:rsidRPr="00AA4429">
        <w:rPr>
          <w:rFonts w:eastAsia="Times New Roman" w:cs="Times New Roman"/>
          <w:lang w:eastAsia="ar-SA"/>
        </w:rPr>
        <w:t>0 000,00 Kč</w:t>
      </w:r>
      <w:r>
        <w:rPr>
          <w:rFonts w:eastAsia="Times New Roman" w:cs="Times New Roman"/>
          <w:lang w:eastAsia="ar-SA"/>
        </w:rPr>
        <w:t xml:space="preserve">, </w:t>
      </w:r>
      <w:r w:rsidRPr="00AA4429">
        <w:rPr>
          <w:rFonts w:eastAsia="Times New Roman" w:cs="Times New Roman"/>
          <w:lang w:eastAsia="ar-SA"/>
        </w:rPr>
        <w:t xml:space="preserve">v rámci kapitoly projednaným s příslušným členem </w:t>
      </w:r>
      <w:r>
        <w:rPr>
          <w:rFonts w:eastAsia="Times New Roman" w:cs="Times New Roman"/>
          <w:lang w:eastAsia="ar-SA"/>
        </w:rPr>
        <w:t>rady</w:t>
      </w:r>
      <w:r w:rsidRPr="00AA4429">
        <w:rPr>
          <w:rFonts w:eastAsia="Times New Roman" w:cs="Times New Roman"/>
          <w:lang w:eastAsia="ar-SA"/>
        </w:rPr>
        <w:t xml:space="preserve"> </w:t>
      </w:r>
      <w:r>
        <w:rPr>
          <w:rFonts w:eastAsia="Times New Roman" w:cs="Times New Roman"/>
          <w:lang w:eastAsia="ar-SA"/>
        </w:rPr>
        <w:t xml:space="preserve">(074/11/2021, 317/11/2021 a 439/11/2021), </w:t>
      </w:r>
      <w:r w:rsidRPr="00AA4429">
        <w:rPr>
          <w:rFonts w:eastAsia="Times New Roman" w:cs="Times New Roman"/>
          <w:lang w:eastAsia="ar-SA"/>
        </w:rPr>
        <w:t xml:space="preserve">bylo vyčerpáno </w:t>
      </w:r>
      <w:r>
        <w:rPr>
          <w:rFonts w:eastAsia="Times New Roman" w:cs="Times New Roman"/>
          <w:lang w:eastAsia="ar-SA"/>
        </w:rPr>
        <w:t>209 575,38</w:t>
      </w:r>
      <w:r w:rsidRPr="00AA4429">
        <w:rPr>
          <w:rFonts w:eastAsia="Times New Roman" w:cs="Times New Roman"/>
          <w:lang w:eastAsia="ar-SA"/>
        </w:rPr>
        <w:t xml:space="preserve"> Kč. </w:t>
      </w:r>
    </w:p>
    <w:p w14:paraId="1B2181FD" w14:textId="77777777" w:rsidR="00CD2482" w:rsidRDefault="00CD2482" w:rsidP="00CD2482">
      <w:pPr>
        <w:suppressAutoHyphens/>
        <w:spacing w:after="0" w:line="240" w:lineRule="auto"/>
        <w:jc w:val="both"/>
        <w:rPr>
          <w:rFonts w:eastAsia="Times New Roman" w:cs="Times New Roman"/>
          <w:lang w:eastAsia="ar-SA"/>
        </w:rPr>
      </w:pPr>
    </w:p>
    <w:p w14:paraId="6F84955C" w14:textId="77777777" w:rsidR="00CD2482" w:rsidRPr="00AA4429" w:rsidRDefault="00CD2482" w:rsidP="00CD2482">
      <w:pPr>
        <w:suppressAutoHyphens/>
        <w:spacing w:after="0" w:line="240" w:lineRule="auto"/>
        <w:jc w:val="both"/>
        <w:rPr>
          <w:rFonts w:eastAsia="Times New Roman" w:cs="Times New Roman"/>
          <w:lang w:eastAsia="ar-SA"/>
        </w:rPr>
      </w:pPr>
      <w:r>
        <w:rPr>
          <w:rFonts w:eastAsia="Times New Roman" w:cs="Times New Roman"/>
          <w:b/>
          <w:bCs/>
          <w:lang w:eastAsia="ar-SA"/>
        </w:rPr>
        <w:t>5152 – t</w:t>
      </w:r>
      <w:r w:rsidRPr="00AA4429">
        <w:rPr>
          <w:rFonts w:eastAsia="Times New Roman" w:cs="Times New Roman"/>
          <w:b/>
          <w:bCs/>
          <w:lang w:eastAsia="ar-SA"/>
        </w:rPr>
        <w:t xml:space="preserve">eplo </w:t>
      </w:r>
    </w:p>
    <w:p w14:paraId="4C62CB14" w14:textId="73344E41" w:rsidR="00CD2482" w:rsidRDefault="00CD2482" w:rsidP="00CD2482">
      <w:pPr>
        <w:suppressAutoHyphens/>
        <w:spacing w:after="0" w:line="240" w:lineRule="auto"/>
        <w:jc w:val="both"/>
        <w:rPr>
          <w:rFonts w:eastAsia="Times New Roman" w:cs="Times New Roman"/>
          <w:lang w:eastAsia="ar-SA"/>
        </w:rPr>
      </w:pPr>
      <w:r w:rsidRPr="00AA4429">
        <w:rPr>
          <w:rFonts w:eastAsia="Times New Roman" w:cs="Times New Roman"/>
          <w:lang w:eastAsia="ar-SA"/>
        </w:rPr>
        <w:t>Z této položky jsou hrazeny faktury za teplo</w:t>
      </w:r>
      <w:r w:rsidR="00A216BD">
        <w:rPr>
          <w:rFonts w:eastAsia="Times New Roman" w:cs="Times New Roman"/>
          <w:lang w:eastAsia="ar-SA"/>
        </w:rPr>
        <w:t>.</w:t>
      </w:r>
      <w:r w:rsidRPr="00AA4429">
        <w:rPr>
          <w:rFonts w:eastAsia="Times New Roman" w:cs="Times New Roman"/>
          <w:lang w:eastAsia="ar-SA"/>
        </w:rPr>
        <w:t xml:space="preserve"> Schválený rozpočet ve výši </w:t>
      </w:r>
      <w:r>
        <w:rPr>
          <w:rFonts w:eastAsia="Times New Roman" w:cs="Times New Roman"/>
          <w:lang w:eastAsia="ar-SA"/>
        </w:rPr>
        <w:t>200</w:t>
      </w:r>
      <w:r w:rsidRPr="00AA4429">
        <w:rPr>
          <w:rFonts w:eastAsia="Times New Roman" w:cs="Times New Roman"/>
          <w:lang w:eastAsia="ar-SA"/>
        </w:rPr>
        <w:t xml:space="preserve"> 000,00 Kč byl upraven rozpočtov</w:t>
      </w:r>
      <w:r>
        <w:rPr>
          <w:rFonts w:eastAsia="Times New Roman" w:cs="Times New Roman"/>
          <w:lang w:eastAsia="ar-SA"/>
        </w:rPr>
        <w:t>ými</w:t>
      </w:r>
      <w:r w:rsidRPr="00AA4429">
        <w:rPr>
          <w:rFonts w:eastAsia="Times New Roman" w:cs="Times New Roman"/>
          <w:lang w:eastAsia="ar-SA"/>
        </w:rPr>
        <w:t xml:space="preserve"> úprav</w:t>
      </w:r>
      <w:r>
        <w:rPr>
          <w:rFonts w:eastAsia="Times New Roman" w:cs="Times New Roman"/>
          <w:lang w:eastAsia="ar-SA"/>
        </w:rPr>
        <w:t>ami</w:t>
      </w:r>
      <w:r w:rsidRPr="00AA4429">
        <w:rPr>
          <w:rFonts w:eastAsia="Times New Roman" w:cs="Times New Roman"/>
          <w:lang w:eastAsia="ar-SA"/>
        </w:rPr>
        <w:t xml:space="preserve"> v rámci kapitoly </w:t>
      </w:r>
      <w:r>
        <w:rPr>
          <w:rFonts w:eastAsia="Times New Roman" w:cs="Times New Roman"/>
          <w:lang w:eastAsia="ar-SA"/>
        </w:rPr>
        <w:t>(</w:t>
      </w:r>
      <w:r w:rsidR="00A216BD">
        <w:rPr>
          <w:rFonts w:eastAsia="Times New Roman" w:cs="Times New Roman"/>
          <w:lang w:eastAsia="ar-SA"/>
        </w:rPr>
        <w:t xml:space="preserve">RÚ č. </w:t>
      </w:r>
      <w:r>
        <w:rPr>
          <w:rFonts w:eastAsia="Times New Roman" w:cs="Times New Roman"/>
          <w:lang w:eastAsia="ar-SA"/>
        </w:rPr>
        <w:t xml:space="preserve">037/11/2021, 043/11/2021 a 317/11/2021), </w:t>
      </w:r>
      <w:r w:rsidRPr="00AA4429">
        <w:rPr>
          <w:rFonts w:eastAsia="Times New Roman" w:cs="Times New Roman"/>
          <w:lang w:eastAsia="ar-SA"/>
        </w:rPr>
        <w:t>projednan</w:t>
      </w:r>
      <w:r>
        <w:rPr>
          <w:rFonts w:eastAsia="Times New Roman" w:cs="Times New Roman"/>
          <w:lang w:eastAsia="ar-SA"/>
        </w:rPr>
        <w:t>ými</w:t>
      </w:r>
      <w:r w:rsidRPr="00AA4429">
        <w:rPr>
          <w:rFonts w:eastAsia="Times New Roman" w:cs="Times New Roman"/>
          <w:lang w:eastAsia="ar-SA"/>
        </w:rPr>
        <w:t xml:space="preserve"> s příslušným členem </w:t>
      </w:r>
      <w:r>
        <w:rPr>
          <w:rFonts w:eastAsia="Times New Roman" w:cs="Times New Roman"/>
          <w:lang w:eastAsia="ar-SA"/>
        </w:rPr>
        <w:t>rady kraje</w:t>
      </w:r>
      <w:r w:rsidRPr="00AA4429">
        <w:rPr>
          <w:rFonts w:eastAsia="Times New Roman" w:cs="Times New Roman"/>
          <w:lang w:eastAsia="ar-SA"/>
        </w:rPr>
        <w:t xml:space="preserve"> na částku </w:t>
      </w:r>
      <w:r>
        <w:rPr>
          <w:rFonts w:eastAsia="Times New Roman" w:cs="Times New Roman"/>
          <w:lang w:eastAsia="ar-SA"/>
        </w:rPr>
        <w:t>892 627</w:t>
      </w:r>
      <w:r w:rsidRPr="00AA4429">
        <w:rPr>
          <w:rFonts w:eastAsia="Times New Roman" w:cs="Times New Roman"/>
          <w:lang w:eastAsia="ar-SA"/>
        </w:rPr>
        <w:t xml:space="preserve">,00 Kč, bylo vyčerpáno </w:t>
      </w:r>
      <w:r>
        <w:rPr>
          <w:rFonts w:eastAsia="Times New Roman" w:cs="Times New Roman"/>
          <w:lang w:eastAsia="ar-SA"/>
        </w:rPr>
        <w:t>575 838,47</w:t>
      </w:r>
      <w:r w:rsidRPr="00AA4429">
        <w:rPr>
          <w:rFonts w:eastAsia="Times New Roman" w:cs="Times New Roman"/>
          <w:lang w:eastAsia="ar-SA"/>
        </w:rPr>
        <w:t xml:space="preserve"> Kč. </w:t>
      </w:r>
    </w:p>
    <w:p w14:paraId="0515A466" w14:textId="77777777" w:rsidR="00CD2482" w:rsidRDefault="00CD2482" w:rsidP="00CD2482">
      <w:pPr>
        <w:suppressAutoHyphens/>
        <w:spacing w:after="0" w:line="240" w:lineRule="auto"/>
        <w:jc w:val="both"/>
        <w:rPr>
          <w:rFonts w:eastAsia="Times New Roman" w:cs="Times New Roman"/>
          <w:lang w:eastAsia="ar-SA"/>
        </w:rPr>
      </w:pPr>
    </w:p>
    <w:p w14:paraId="2A508046" w14:textId="77777777" w:rsidR="00CD2482" w:rsidRPr="00AA4429" w:rsidRDefault="00CD2482" w:rsidP="00CD2482">
      <w:pPr>
        <w:suppressAutoHyphens/>
        <w:spacing w:after="0" w:line="240" w:lineRule="auto"/>
        <w:jc w:val="both"/>
        <w:rPr>
          <w:rFonts w:eastAsia="Times New Roman" w:cs="Times New Roman"/>
          <w:lang w:eastAsia="ar-SA"/>
        </w:rPr>
      </w:pPr>
      <w:r>
        <w:rPr>
          <w:rFonts w:eastAsia="Times New Roman" w:cs="Times New Roman"/>
          <w:b/>
          <w:bCs/>
          <w:lang w:eastAsia="ar-SA"/>
        </w:rPr>
        <w:t>5153 – p</w:t>
      </w:r>
      <w:r w:rsidRPr="00AA4429">
        <w:rPr>
          <w:rFonts w:eastAsia="Times New Roman" w:cs="Times New Roman"/>
          <w:b/>
          <w:bCs/>
          <w:lang w:eastAsia="ar-SA"/>
        </w:rPr>
        <w:t xml:space="preserve">lyn </w:t>
      </w:r>
    </w:p>
    <w:p w14:paraId="6D55BF24" w14:textId="14B9DAF8" w:rsidR="00CD2482" w:rsidRDefault="00CD2482" w:rsidP="00CD2482">
      <w:pPr>
        <w:suppressAutoHyphens/>
        <w:spacing w:after="0" w:line="240" w:lineRule="auto"/>
        <w:jc w:val="both"/>
        <w:rPr>
          <w:rFonts w:eastAsia="Times New Roman" w:cs="Times New Roman"/>
          <w:lang w:eastAsia="ar-SA"/>
        </w:rPr>
      </w:pPr>
      <w:r w:rsidRPr="00AA4429">
        <w:rPr>
          <w:rFonts w:eastAsia="Times New Roman" w:cs="Times New Roman"/>
          <w:lang w:eastAsia="ar-SA"/>
        </w:rPr>
        <w:t>Z této položky jsou hrazeny faktury za plyn</w:t>
      </w:r>
      <w:r w:rsidR="00A216BD">
        <w:rPr>
          <w:rFonts w:eastAsia="Times New Roman" w:cs="Times New Roman"/>
          <w:lang w:eastAsia="ar-SA"/>
        </w:rPr>
        <w:t>.</w:t>
      </w:r>
      <w:r w:rsidRPr="00AA4429">
        <w:rPr>
          <w:rFonts w:eastAsia="Times New Roman" w:cs="Times New Roman"/>
          <w:lang w:eastAsia="ar-SA"/>
        </w:rPr>
        <w:t xml:space="preserve"> </w:t>
      </w:r>
      <w:r>
        <w:rPr>
          <w:rFonts w:eastAsia="Times New Roman" w:cs="Times New Roman"/>
          <w:lang w:eastAsia="ar-SA"/>
        </w:rPr>
        <w:t>Ze s</w:t>
      </w:r>
      <w:r w:rsidRPr="00AA4429">
        <w:rPr>
          <w:rFonts w:eastAsia="Times New Roman" w:cs="Times New Roman"/>
          <w:lang w:eastAsia="ar-SA"/>
        </w:rPr>
        <w:t>chválen</w:t>
      </w:r>
      <w:r>
        <w:rPr>
          <w:rFonts w:eastAsia="Times New Roman" w:cs="Times New Roman"/>
          <w:lang w:eastAsia="ar-SA"/>
        </w:rPr>
        <w:t>ého</w:t>
      </w:r>
      <w:r w:rsidRPr="00AA4429">
        <w:rPr>
          <w:rFonts w:eastAsia="Times New Roman" w:cs="Times New Roman"/>
          <w:lang w:eastAsia="ar-SA"/>
        </w:rPr>
        <w:t xml:space="preserve"> rozpoč</w:t>
      </w:r>
      <w:r>
        <w:rPr>
          <w:rFonts w:eastAsia="Times New Roman" w:cs="Times New Roman"/>
          <w:lang w:eastAsia="ar-SA"/>
        </w:rPr>
        <w:t xml:space="preserve">tu </w:t>
      </w:r>
      <w:r w:rsidRPr="00AA4429">
        <w:rPr>
          <w:rFonts w:eastAsia="Times New Roman" w:cs="Times New Roman"/>
          <w:lang w:eastAsia="ar-SA"/>
        </w:rPr>
        <w:t xml:space="preserve">ve výši </w:t>
      </w:r>
      <w:r>
        <w:rPr>
          <w:rFonts w:eastAsia="Times New Roman" w:cs="Times New Roman"/>
          <w:lang w:eastAsia="ar-SA"/>
        </w:rPr>
        <w:t>800</w:t>
      </w:r>
      <w:r w:rsidRPr="00AA4429">
        <w:rPr>
          <w:rFonts w:eastAsia="Times New Roman" w:cs="Times New Roman"/>
          <w:lang w:eastAsia="ar-SA"/>
        </w:rPr>
        <w:t xml:space="preserve"> 000,00 Kč bylo vyčerpáno </w:t>
      </w:r>
      <w:r>
        <w:rPr>
          <w:rFonts w:eastAsia="Times New Roman" w:cs="Times New Roman"/>
          <w:lang w:eastAsia="ar-SA"/>
        </w:rPr>
        <w:t>577 882,01</w:t>
      </w:r>
      <w:r w:rsidRPr="00AA4429">
        <w:rPr>
          <w:rFonts w:eastAsia="Times New Roman" w:cs="Times New Roman"/>
          <w:lang w:eastAsia="ar-SA"/>
        </w:rPr>
        <w:t xml:space="preserve"> Kč. </w:t>
      </w:r>
    </w:p>
    <w:p w14:paraId="0D92AD62" w14:textId="77777777" w:rsidR="00CD2482" w:rsidRPr="00AA4429" w:rsidRDefault="00CD2482" w:rsidP="00CD2482">
      <w:pPr>
        <w:suppressAutoHyphens/>
        <w:spacing w:after="0" w:line="240" w:lineRule="auto"/>
        <w:jc w:val="both"/>
        <w:rPr>
          <w:rFonts w:eastAsia="Times New Roman" w:cs="Times New Roman"/>
          <w:lang w:eastAsia="ar-SA"/>
        </w:rPr>
      </w:pPr>
    </w:p>
    <w:p w14:paraId="4F125241" w14:textId="77777777" w:rsidR="00CD2482" w:rsidRPr="00AA4429" w:rsidRDefault="00CD2482" w:rsidP="00CD2482">
      <w:pPr>
        <w:suppressAutoHyphens/>
        <w:spacing w:after="0" w:line="240" w:lineRule="auto"/>
        <w:jc w:val="both"/>
        <w:rPr>
          <w:rFonts w:eastAsia="Times New Roman" w:cs="Times New Roman"/>
          <w:lang w:eastAsia="ar-SA"/>
        </w:rPr>
      </w:pPr>
      <w:r>
        <w:rPr>
          <w:rFonts w:eastAsia="Times New Roman" w:cs="Times New Roman"/>
          <w:b/>
          <w:bCs/>
          <w:lang w:eastAsia="ar-SA"/>
        </w:rPr>
        <w:t>5154 – e</w:t>
      </w:r>
      <w:r w:rsidRPr="00AA4429">
        <w:rPr>
          <w:rFonts w:eastAsia="Times New Roman" w:cs="Times New Roman"/>
          <w:b/>
          <w:bCs/>
          <w:lang w:eastAsia="ar-SA"/>
        </w:rPr>
        <w:t xml:space="preserve">lektrická energie </w:t>
      </w:r>
    </w:p>
    <w:p w14:paraId="0CEA76A9" w14:textId="4AA608D2" w:rsidR="00CD2482" w:rsidRDefault="00CD2482" w:rsidP="00CD2482">
      <w:pPr>
        <w:suppressAutoHyphens/>
        <w:spacing w:after="0" w:line="240" w:lineRule="auto"/>
        <w:jc w:val="both"/>
        <w:rPr>
          <w:rFonts w:eastAsia="Times New Roman" w:cs="Times New Roman"/>
          <w:lang w:eastAsia="ar-SA"/>
        </w:rPr>
      </w:pPr>
      <w:r w:rsidRPr="00AA4429">
        <w:rPr>
          <w:rFonts w:eastAsia="Times New Roman" w:cs="Times New Roman"/>
          <w:lang w:eastAsia="ar-SA"/>
        </w:rPr>
        <w:t xml:space="preserve">Z této položky jsou hrazeny faktury za elektrickou energii. Schválený rozpočet ve výši </w:t>
      </w:r>
      <w:r>
        <w:rPr>
          <w:rFonts w:eastAsia="Times New Roman" w:cs="Times New Roman"/>
          <w:lang w:eastAsia="ar-SA"/>
        </w:rPr>
        <w:t>1 000 000</w:t>
      </w:r>
      <w:r w:rsidRPr="00AA4429">
        <w:rPr>
          <w:rFonts w:eastAsia="Times New Roman" w:cs="Times New Roman"/>
          <w:lang w:eastAsia="ar-SA"/>
        </w:rPr>
        <w:t>,00 Kč byl navýšen rozpočtov</w:t>
      </w:r>
      <w:r>
        <w:rPr>
          <w:rFonts w:eastAsia="Times New Roman" w:cs="Times New Roman"/>
          <w:lang w:eastAsia="ar-SA"/>
        </w:rPr>
        <w:t>ou</w:t>
      </w:r>
      <w:r w:rsidRPr="00AA4429">
        <w:rPr>
          <w:rFonts w:eastAsia="Times New Roman" w:cs="Times New Roman"/>
          <w:lang w:eastAsia="ar-SA"/>
        </w:rPr>
        <w:t xml:space="preserve"> úprav</w:t>
      </w:r>
      <w:r>
        <w:rPr>
          <w:rFonts w:eastAsia="Times New Roman" w:cs="Times New Roman"/>
          <w:lang w:eastAsia="ar-SA"/>
        </w:rPr>
        <w:t>ou č. 309/11/2021</w:t>
      </w:r>
      <w:r w:rsidRPr="00AA4429">
        <w:rPr>
          <w:rFonts w:eastAsia="Times New Roman" w:cs="Times New Roman"/>
          <w:lang w:eastAsia="ar-SA"/>
        </w:rPr>
        <w:t xml:space="preserve"> v rámci kapitoly projednan</w:t>
      </w:r>
      <w:r>
        <w:rPr>
          <w:rFonts w:eastAsia="Times New Roman" w:cs="Times New Roman"/>
          <w:lang w:eastAsia="ar-SA"/>
        </w:rPr>
        <w:t>ou</w:t>
      </w:r>
      <w:r w:rsidRPr="00AA4429">
        <w:rPr>
          <w:rFonts w:eastAsia="Times New Roman" w:cs="Times New Roman"/>
          <w:lang w:eastAsia="ar-SA"/>
        </w:rPr>
        <w:t xml:space="preserve"> s příslušným členem </w:t>
      </w:r>
      <w:r>
        <w:rPr>
          <w:rFonts w:eastAsia="Times New Roman" w:cs="Times New Roman"/>
          <w:lang w:eastAsia="ar-SA"/>
        </w:rPr>
        <w:t>rady kraje</w:t>
      </w:r>
      <w:r w:rsidRPr="00AA4429">
        <w:rPr>
          <w:rFonts w:eastAsia="Times New Roman" w:cs="Times New Roman"/>
          <w:lang w:eastAsia="ar-SA"/>
        </w:rPr>
        <w:t xml:space="preserve"> na částku 1 </w:t>
      </w:r>
      <w:r>
        <w:rPr>
          <w:rFonts w:eastAsia="Times New Roman" w:cs="Times New Roman"/>
          <w:lang w:eastAsia="ar-SA"/>
        </w:rPr>
        <w:t>250</w:t>
      </w:r>
      <w:r w:rsidRPr="00AA4429">
        <w:rPr>
          <w:rFonts w:eastAsia="Times New Roman" w:cs="Times New Roman"/>
          <w:lang w:eastAsia="ar-SA"/>
        </w:rPr>
        <w:t xml:space="preserve"> 000,00 Kč a </w:t>
      </w:r>
      <w:r>
        <w:rPr>
          <w:rFonts w:eastAsia="Times New Roman" w:cs="Times New Roman"/>
          <w:lang w:eastAsia="ar-SA"/>
        </w:rPr>
        <w:t xml:space="preserve">dále rozpočtovými úpravami </w:t>
      </w:r>
      <w:r w:rsidR="00A216BD">
        <w:rPr>
          <w:rFonts w:eastAsia="Times New Roman" w:cs="Times New Roman"/>
          <w:lang w:eastAsia="ar-SA"/>
        </w:rPr>
        <w:t xml:space="preserve">č. </w:t>
      </w:r>
      <w:r>
        <w:rPr>
          <w:rFonts w:eastAsia="Times New Roman" w:cs="Times New Roman"/>
          <w:lang w:eastAsia="ar-SA"/>
        </w:rPr>
        <w:t>361/11/2021 a 560/11/2021 navýšen na částku 1 560 000,00 Kč. B</w:t>
      </w:r>
      <w:r w:rsidRPr="00AA4429">
        <w:rPr>
          <w:rFonts w:eastAsia="Times New Roman" w:cs="Times New Roman"/>
          <w:lang w:eastAsia="ar-SA"/>
        </w:rPr>
        <w:t xml:space="preserve">ylo vyčerpáno </w:t>
      </w:r>
      <w:r>
        <w:rPr>
          <w:rFonts w:eastAsia="Times New Roman" w:cs="Times New Roman"/>
          <w:lang w:eastAsia="ar-SA"/>
        </w:rPr>
        <w:t>1 484 197,20</w:t>
      </w:r>
      <w:r w:rsidRPr="00AA4429">
        <w:rPr>
          <w:rFonts w:eastAsia="Times New Roman" w:cs="Times New Roman"/>
          <w:lang w:eastAsia="ar-SA"/>
        </w:rPr>
        <w:t xml:space="preserve"> Kč. </w:t>
      </w:r>
    </w:p>
    <w:p w14:paraId="19D6EC37" w14:textId="77777777" w:rsidR="00CD2482" w:rsidRPr="00AA4429" w:rsidRDefault="00CD2482" w:rsidP="00CD2482">
      <w:pPr>
        <w:suppressAutoHyphens/>
        <w:spacing w:after="0" w:line="240" w:lineRule="auto"/>
        <w:jc w:val="both"/>
        <w:rPr>
          <w:rFonts w:eastAsia="Times New Roman" w:cs="Times New Roman"/>
          <w:lang w:eastAsia="ar-SA"/>
        </w:rPr>
      </w:pPr>
    </w:p>
    <w:p w14:paraId="6530C402" w14:textId="77777777" w:rsidR="00CD2482" w:rsidRPr="00AA4429" w:rsidRDefault="00CD2482" w:rsidP="00CD2482">
      <w:pPr>
        <w:suppressAutoHyphens/>
        <w:spacing w:after="0" w:line="240" w:lineRule="auto"/>
        <w:jc w:val="both"/>
        <w:rPr>
          <w:rFonts w:eastAsia="Times New Roman" w:cs="Times New Roman"/>
          <w:b/>
          <w:bCs/>
          <w:lang w:eastAsia="ar-SA"/>
        </w:rPr>
      </w:pPr>
      <w:r>
        <w:rPr>
          <w:rFonts w:eastAsia="Times New Roman" w:cs="Times New Roman"/>
          <w:b/>
          <w:bCs/>
          <w:lang w:eastAsia="ar-SA"/>
        </w:rPr>
        <w:t>5162 – s</w:t>
      </w:r>
      <w:r w:rsidRPr="00AA4429">
        <w:rPr>
          <w:rFonts w:eastAsia="Times New Roman" w:cs="Times New Roman"/>
          <w:b/>
          <w:bCs/>
          <w:lang w:eastAsia="ar-SA"/>
        </w:rPr>
        <w:t>lužby elektronických komunikací</w:t>
      </w:r>
    </w:p>
    <w:p w14:paraId="1ADC6C40" w14:textId="2B6BCBFE" w:rsidR="00CD2482" w:rsidRDefault="00CD2482" w:rsidP="00CD2482">
      <w:pPr>
        <w:suppressAutoHyphens/>
        <w:spacing w:after="0" w:line="240" w:lineRule="auto"/>
        <w:jc w:val="both"/>
        <w:rPr>
          <w:rFonts w:eastAsia="Times New Roman" w:cs="Times New Roman"/>
          <w:lang w:eastAsia="ar-SA"/>
        </w:rPr>
      </w:pPr>
      <w:r w:rsidRPr="00AA4429">
        <w:rPr>
          <w:rFonts w:eastAsia="Times New Roman" w:cs="Times New Roman"/>
          <w:lang w:eastAsia="ar-SA"/>
        </w:rPr>
        <w:t>Z této položky byly hrazeny faktury za dodávky služeb elektronických komunikací (internet</w:t>
      </w:r>
      <w:r w:rsidR="00A216BD">
        <w:rPr>
          <w:rFonts w:eastAsia="Times New Roman" w:cs="Times New Roman"/>
          <w:lang w:eastAsia="ar-SA"/>
        </w:rPr>
        <w:t>).</w:t>
      </w:r>
      <w:r w:rsidRPr="00AA4429">
        <w:rPr>
          <w:rFonts w:eastAsia="Times New Roman" w:cs="Times New Roman"/>
          <w:lang w:eastAsia="ar-SA"/>
        </w:rPr>
        <w:t xml:space="preserve"> Z upraveného rozpočtu ve výši </w:t>
      </w:r>
      <w:r>
        <w:rPr>
          <w:rFonts w:eastAsia="Times New Roman" w:cs="Times New Roman"/>
          <w:lang w:eastAsia="ar-SA"/>
        </w:rPr>
        <w:t>35 000</w:t>
      </w:r>
      <w:r w:rsidRPr="00AA4429">
        <w:rPr>
          <w:rFonts w:eastAsia="Times New Roman" w:cs="Times New Roman"/>
          <w:lang w:eastAsia="ar-SA"/>
        </w:rPr>
        <w:t>,00 Kč (upraveno rozpočtov</w:t>
      </w:r>
      <w:r>
        <w:rPr>
          <w:rFonts w:eastAsia="Times New Roman" w:cs="Times New Roman"/>
          <w:lang w:eastAsia="ar-SA"/>
        </w:rPr>
        <w:t>ou</w:t>
      </w:r>
      <w:r w:rsidRPr="00AA4429">
        <w:rPr>
          <w:rFonts w:eastAsia="Times New Roman" w:cs="Times New Roman"/>
          <w:lang w:eastAsia="ar-SA"/>
        </w:rPr>
        <w:t xml:space="preserve"> úprav</w:t>
      </w:r>
      <w:r>
        <w:rPr>
          <w:rFonts w:eastAsia="Times New Roman" w:cs="Times New Roman"/>
          <w:lang w:eastAsia="ar-SA"/>
        </w:rPr>
        <w:t>ou č.079/11/2021 a 361/11/2021</w:t>
      </w:r>
      <w:r w:rsidRPr="00AA4429">
        <w:rPr>
          <w:rFonts w:eastAsia="Times New Roman" w:cs="Times New Roman"/>
          <w:lang w:eastAsia="ar-SA"/>
        </w:rPr>
        <w:t xml:space="preserve"> v rámci kapitoly projednan</w:t>
      </w:r>
      <w:r>
        <w:rPr>
          <w:rFonts w:eastAsia="Times New Roman" w:cs="Times New Roman"/>
          <w:lang w:eastAsia="ar-SA"/>
        </w:rPr>
        <w:t>ou</w:t>
      </w:r>
      <w:r w:rsidRPr="00AA4429">
        <w:rPr>
          <w:rFonts w:eastAsia="Times New Roman" w:cs="Times New Roman"/>
          <w:lang w:eastAsia="ar-SA"/>
        </w:rPr>
        <w:t xml:space="preserve"> s</w:t>
      </w:r>
      <w:r>
        <w:rPr>
          <w:rFonts w:eastAsia="Times New Roman" w:cs="Times New Roman"/>
          <w:lang w:eastAsia="ar-SA"/>
        </w:rPr>
        <w:t xml:space="preserve"> příslušným členem rady kraje) bylo vyčerpáno 31 304,00 Kč</w:t>
      </w:r>
      <w:r w:rsidRPr="00AA4429">
        <w:rPr>
          <w:rFonts w:eastAsia="Times New Roman" w:cs="Times New Roman"/>
          <w:lang w:eastAsia="ar-SA"/>
        </w:rPr>
        <w:t xml:space="preserve">. </w:t>
      </w:r>
    </w:p>
    <w:p w14:paraId="15319FD4" w14:textId="77777777" w:rsidR="00CD2482" w:rsidRDefault="00CD2482" w:rsidP="00CD2482">
      <w:pPr>
        <w:suppressAutoHyphens/>
        <w:spacing w:after="0" w:line="240" w:lineRule="auto"/>
        <w:jc w:val="both"/>
        <w:rPr>
          <w:rFonts w:eastAsia="Times New Roman" w:cs="Times New Roman"/>
          <w:lang w:eastAsia="ar-SA"/>
        </w:rPr>
      </w:pPr>
    </w:p>
    <w:p w14:paraId="2BCD53EB" w14:textId="77777777" w:rsidR="00CD2482" w:rsidRPr="00AA4429" w:rsidRDefault="00CD2482" w:rsidP="00CD2482">
      <w:pPr>
        <w:suppressAutoHyphens/>
        <w:spacing w:after="0" w:line="240" w:lineRule="auto"/>
        <w:jc w:val="both"/>
        <w:rPr>
          <w:rFonts w:eastAsia="Times New Roman" w:cs="Times New Roman"/>
          <w:lang w:eastAsia="ar-SA"/>
        </w:rPr>
      </w:pPr>
      <w:r>
        <w:rPr>
          <w:rFonts w:eastAsia="Times New Roman" w:cs="Times New Roman"/>
          <w:b/>
          <w:bCs/>
          <w:lang w:eastAsia="ar-SA"/>
        </w:rPr>
        <w:t>5164 – nájemné</w:t>
      </w:r>
    </w:p>
    <w:p w14:paraId="7F193848" w14:textId="08AF345C" w:rsidR="00CD2482" w:rsidRDefault="00CD2482" w:rsidP="00CD2482">
      <w:pPr>
        <w:suppressAutoHyphens/>
        <w:spacing w:after="0" w:line="240" w:lineRule="auto"/>
        <w:jc w:val="both"/>
        <w:rPr>
          <w:rFonts w:eastAsia="Times New Roman" w:cs="Times New Roman"/>
          <w:lang w:eastAsia="ar-SA"/>
        </w:rPr>
      </w:pPr>
      <w:r w:rsidRPr="00AA4429">
        <w:rPr>
          <w:rFonts w:eastAsia="Times New Roman" w:cs="Times New Roman"/>
          <w:lang w:eastAsia="ar-SA"/>
        </w:rPr>
        <w:t xml:space="preserve">Z této položky jsou hrazeny faktury za </w:t>
      </w:r>
      <w:r>
        <w:rPr>
          <w:rFonts w:eastAsia="Times New Roman" w:cs="Times New Roman"/>
          <w:lang w:eastAsia="ar-SA"/>
        </w:rPr>
        <w:t xml:space="preserve">nájemné dopravního značení, </w:t>
      </w:r>
      <w:r w:rsidRPr="00AA4429">
        <w:rPr>
          <w:rFonts w:eastAsia="Times New Roman" w:cs="Times New Roman"/>
          <w:lang w:eastAsia="ar-SA"/>
        </w:rPr>
        <w:t>doručené Středočeskému kraji jako vlastníku nemovitostí, které nebyly předány k hospodaření</w:t>
      </w:r>
      <w:r>
        <w:rPr>
          <w:rFonts w:eastAsia="Times New Roman" w:cs="Times New Roman"/>
          <w:lang w:eastAsia="ar-SA"/>
        </w:rPr>
        <w:t xml:space="preserve"> žádné příspěvkové organizaci. Z upraveného rozpočtu ve výši 36 251,00 Kč </w:t>
      </w:r>
      <w:r w:rsidRPr="00AA4429">
        <w:rPr>
          <w:rFonts w:eastAsia="Times New Roman" w:cs="Times New Roman"/>
          <w:lang w:eastAsia="ar-SA"/>
        </w:rPr>
        <w:t>(upraveno rozpočtov</w:t>
      </w:r>
      <w:r>
        <w:rPr>
          <w:rFonts w:eastAsia="Times New Roman" w:cs="Times New Roman"/>
          <w:lang w:eastAsia="ar-SA"/>
        </w:rPr>
        <w:t>ými</w:t>
      </w:r>
      <w:r w:rsidRPr="00AA4429">
        <w:rPr>
          <w:rFonts w:eastAsia="Times New Roman" w:cs="Times New Roman"/>
          <w:lang w:eastAsia="ar-SA"/>
        </w:rPr>
        <w:t xml:space="preserve"> úprav</w:t>
      </w:r>
      <w:r>
        <w:rPr>
          <w:rFonts w:eastAsia="Times New Roman" w:cs="Times New Roman"/>
          <w:lang w:eastAsia="ar-SA"/>
        </w:rPr>
        <w:t xml:space="preserve">ami č. 125/11/2021, č. 181/11/2021 a 467/11/2021 </w:t>
      </w:r>
      <w:r w:rsidRPr="00AA4429">
        <w:rPr>
          <w:rFonts w:eastAsia="Times New Roman" w:cs="Times New Roman"/>
          <w:lang w:eastAsia="ar-SA"/>
        </w:rPr>
        <w:t>v rámci kapitoly projednan</w:t>
      </w:r>
      <w:r>
        <w:rPr>
          <w:rFonts w:eastAsia="Times New Roman" w:cs="Times New Roman"/>
          <w:lang w:eastAsia="ar-SA"/>
        </w:rPr>
        <w:t>ými</w:t>
      </w:r>
      <w:r w:rsidRPr="00AA4429">
        <w:rPr>
          <w:rFonts w:eastAsia="Times New Roman" w:cs="Times New Roman"/>
          <w:lang w:eastAsia="ar-SA"/>
        </w:rPr>
        <w:t xml:space="preserve"> s</w:t>
      </w:r>
      <w:r>
        <w:rPr>
          <w:rFonts w:eastAsia="Times New Roman" w:cs="Times New Roman"/>
          <w:lang w:eastAsia="ar-SA"/>
        </w:rPr>
        <w:t xml:space="preserve"> příslušným členem rady kraje) bylo vyčerpáno 24 597,00 Kč.  </w:t>
      </w:r>
    </w:p>
    <w:p w14:paraId="0591212A" w14:textId="77777777" w:rsidR="00CD2482" w:rsidRDefault="00CD2482" w:rsidP="00CD2482">
      <w:pPr>
        <w:suppressAutoHyphens/>
        <w:spacing w:after="0" w:line="240" w:lineRule="auto"/>
        <w:jc w:val="both"/>
        <w:rPr>
          <w:rFonts w:eastAsia="Times New Roman" w:cs="Times New Roman"/>
          <w:lang w:eastAsia="ar-SA"/>
        </w:rPr>
      </w:pPr>
    </w:p>
    <w:p w14:paraId="2BB1F73D" w14:textId="77777777" w:rsidR="00CD2482" w:rsidRPr="00AA4429" w:rsidRDefault="00CD2482" w:rsidP="00CD2482">
      <w:pPr>
        <w:suppressAutoHyphens/>
        <w:spacing w:after="0" w:line="240" w:lineRule="auto"/>
        <w:jc w:val="both"/>
        <w:rPr>
          <w:rFonts w:eastAsia="Times New Roman" w:cs="Times New Roman"/>
          <w:lang w:eastAsia="ar-SA"/>
        </w:rPr>
      </w:pPr>
      <w:r>
        <w:rPr>
          <w:rFonts w:eastAsia="Times New Roman" w:cs="Times New Roman"/>
          <w:b/>
          <w:bCs/>
          <w:lang w:eastAsia="ar-SA"/>
        </w:rPr>
        <w:t>5166 – konzultační, poradenské a právní služby</w:t>
      </w:r>
      <w:r w:rsidRPr="00AA4429">
        <w:rPr>
          <w:rFonts w:eastAsia="Times New Roman" w:cs="Times New Roman"/>
          <w:b/>
          <w:bCs/>
          <w:lang w:eastAsia="ar-SA"/>
        </w:rPr>
        <w:t xml:space="preserve"> </w:t>
      </w:r>
    </w:p>
    <w:p w14:paraId="6566B4BA" w14:textId="3770E03C" w:rsidR="00CD2482" w:rsidRDefault="00CD2482" w:rsidP="00CD2482">
      <w:pPr>
        <w:suppressAutoHyphens/>
        <w:spacing w:after="0" w:line="240" w:lineRule="auto"/>
        <w:jc w:val="both"/>
        <w:rPr>
          <w:rFonts w:eastAsia="Times New Roman" w:cs="Times New Roman"/>
          <w:lang w:eastAsia="ar-SA"/>
        </w:rPr>
      </w:pPr>
      <w:r w:rsidRPr="00AA4429">
        <w:rPr>
          <w:rFonts w:eastAsia="Times New Roman" w:cs="Times New Roman"/>
          <w:lang w:eastAsia="ar-SA"/>
        </w:rPr>
        <w:t xml:space="preserve">Z této položky jsou hrazeny faktury za </w:t>
      </w:r>
      <w:r>
        <w:rPr>
          <w:rFonts w:eastAsia="Times New Roman" w:cs="Times New Roman"/>
          <w:lang w:eastAsia="ar-SA"/>
        </w:rPr>
        <w:t>konzultační, poradenské a právní služby</w:t>
      </w:r>
      <w:r w:rsidR="00A216BD">
        <w:rPr>
          <w:rFonts w:eastAsia="Times New Roman" w:cs="Times New Roman"/>
          <w:lang w:eastAsia="ar-SA"/>
        </w:rPr>
        <w:t xml:space="preserve">. </w:t>
      </w:r>
      <w:r>
        <w:rPr>
          <w:rFonts w:eastAsia="Times New Roman" w:cs="Times New Roman"/>
          <w:lang w:eastAsia="ar-SA"/>
        </w:rPr>
        <w:t xml:space="preserve">Z upraveného rozpočtu </w:t>
      </w:r>
      <w:r w:rsidRPr="00AA4429">
        <w:rPr>
          <w:rFonts w:eastAsia="Times New Roman" w:cs="Times New Roman"/>
          <w:lang w:eastAsia="ar-SA"/>
        </w:rPr>
        <w:t>(upraveno rozpočtov</w:t>
      </w:r>
      <w:r>
        <w:rPr>
          <w:rFonts w:eastAsia="Times New Roman" w:cs="Times New Roman"/>
          <w:lang w:eastAsia="ar-SA"/>
        </w:rPr>
        <w:t>ou</w:t>
      </w:r>
      <w:r w:rsidRPr="00AA4429">
        <w:rPr>
          <w:rFonts w:eastAsia="Times New Roman" w:cs="Times New Roman"/>
          <w:lang w:eastAsia="ar-SA"/>
        </w:rPr>
        <w:t xml:space="preserve"> úprav</w:t>
      </w:r>
      <w:r>
        <w:rPr>
          <w:rFonts w:eastAsia="Times New Roman" w:cs="Times New Roman"/>
          <w:lang w:eastAsia="ar-SA"/>
        </w:rPr>
        <w:t>ou č. 050/11/2021</w:t>
      </w:r>
      <w:r w:rsidRPr="00AA4429">
        <w:rPr>
          <w:rFonts w:eastAsia="Times New Roman" w:cs="Times New Roman"/>
          <w:lang w:eastAsia="ar-SA"/>
        </w:rPr>
        <w:t xml:space="preserve"> v rámci kapitoly projednan</w:t>
      </w:r>
      <w:r>
        <w:rPr>
          <w:rFonts w:eastAsia="Times New Roman" w:cs="Times New Roman"/>
          <w:lang w:eastAsia="ar-SA"/>
        </w:rPr>
        <w:t>ou</w:t>
      </w:r>
      <w:r w:rsidRPr="00AA4429">
        <w:rPr>
          <w:rFonts w:eastAsia="Times New Roman" w:cs="Times New Roman"/>
          <w:lang w:eastAsia="ar-SA"/>
        </w:rPr>
        <w:t xml:space="preserve"> s</w:t>
      </w:r>
      <w:r>
        <w:rPr>
          <w:rFonts w:eastAsia="Times New Roman" w:cs="Times New Roman"/>
          <w:lang w:eastAsia="ar-SA"/>
        </w:rPr>
        <w:t xml:space="preserve"> příslušným členem rady kraje) ve výši 330 500,00 Kč bylo vyčerpáno za právní služby 60 317,30 Kč.</w:t>
      </w:r>
    </w:p>
    <w:p w14:paraId="43633A1B" w14:textId="77777777" w:rsidR="00CD2482" w:rsidRDefault="00CD2482" w:rsidP="00CD2482">
      <w:pPr>
        <w:suppressAutoHyphens/>
        <w:spacing w:after="0" w:line="240" w:lineRule="auto"/>
        <w:jc w:val="both"/>
        <w:rPr>
          <w:rFonts w:eastAsia="Times New Roman" w:cs="Times New Roman"/>
          <w:b/>
          <w:bCs/>
          <w:lang w:eastAsia="ar-SA"/>
        </w:rPr>
      </w:pPr>
    </w:p>
    <w:p w14:paraId="50B8FD0B" w14:textId="77777777" w:rsidR="00CD2482" w:rsidRPr="00AA4429" w:rsidRDefault="00CD2482" w:rsidP="00CD2482">
      <w:pPr>
        <w:suppressAutoHyphens/>
        <w:spacing w:after="0" w:line="240" w:lineRule="auto"/>
        <w:jc w:val="both"/>
        <w:rPr>
          <w:rFonts w:eastAsia="Times New Roman" w:cs="Times New Roman"/>
          <w:lang w:eastAsia="ar-SA"/>
        </w:rPr>
      </w:pPr>
      <w:r w:rsidRPr="00727DC4">
        <w:rPr>
          <w:rFonts w:eastAsia="Times New Roman" w:cs="Times New Roman"/>
          <w:b/>
          <w:bCs/>
          <w:lang w:eastAsia="ar-SA"/>
        </w:rPr>
        <w:t>5169 – nákup ostatních služeb</w:t>
      </w:r>
      <w:r w:rsidRPr="00AA4429">
        <w:rPr>
          <w:rFonts w:eastAsia="Times New Roman" w:cs="Times New Roman"/>
          <w:b/>
          <w:bCs/>
          <w:lang w:eastAsia="ar-SA"/>
        </w:rPr>
        <w:t xml:space="preserve"> </w:t>
      </w:r>
    </w:p>
    <w:p w14:paraId="63D063AA" w14:textId="61B365E2" w:rsidR="00CD2482" w:rsidRDefault="00CD2482" w:rsidP="00CD2482">
      <w:pPr>
        <w:suppressAutoHyphens/>
        <w:spacing w:after="0" w:line="240" w:lineRule="auto"/>
        <w:jc w:val="both"/>
        <w:rPr>
          <w:rFonts w:eastAsia="Times New Roman" w:cs="Times New Roman"/>
          <w:lang w:eastAsia="ar-SA"/>
        </w:rPr>
      </w:pPr>
      <w:r w:rsidRPr="00AA4429">
        <w:rPr>
          <w:rFonts w:eastAsia="Times New Roman" w:cs="Times New Roman"/>
          <w:lang w:eastAsia="ar-SA"/>
        </w:rPr>
        <w:t xml:space="preserve">Z položky jsou hrazeny služby související s agendou Odboru majetku a hospodářské správy (znalecké posudky, geometrické plány apod.) a dále faktury za služby dodavatelů, a to vždy na základě uzavřených smluv či objednávek. Vše nezbytně nutné na správu nemovitého majetku ve vlastnictví Středočeského kraje, který nebyl předán k hospodaření žádné příspěvkové organizaci. Schválený rozpočet ve výši </w:t>
      </w:r>
      <w:r>
        <w:rPr>
          <w:rFonts w:eastAsia="Times New Roman" w:cs="Times New Roman"/>
          <w:lang w:eastAsia="ar-SA"/>
        </w:rPr>
        <w:t>677 000,00 Kč</w:t>
      </w:r>
      <w:r w:rsidRPr="00AA4429">
        <w:rPr>
          <w:rFonts w:eastAsia="Times New Roman" w:cs="Times New Roman"/>
          <w:lang w:eastAsia="ar-SA"/>
        </w:rPr>
        <w:t xml:space="preserve"> byl navýšen </w:t>
      </w:r>
      <w:r>
        <w:rPr>
          <w:rFonts w:eastAsia="Times New Roman" w:cs="Times New Roman"/>
          <w:lang w:eastAsia="ar-SA"/>
        </w:rPr>
        <w:t xml:space="preserve">rozpočtovým opatřením č. 79/23/2021, </w:t>
      </w:r>
      <w:r w:rsidRPr="00AA4429">
        <w:rPr>
          <w:rFonts w:eastAsia="Times New Roman" w:cs="Times New Roman"/>
          <w:lang w:eastAsia="ar-SA"/>
        </w:rPr>
        <w:t>schváleným usnesením č. 0</w:t>
      </w:r>
      <w:r>
        <w:rPr>
          <w:rFonts w:eastAsia="Times New Roman" w:cs="Times New Roman"/>
          <w:lang w:eastAsia="ar-SA"/>
        </w:rPr>
        <w:t>07-06</w:t>
      </w:r>
      <w:r w:rsidRPr="00AA4429">
        <w:rPr>
          <w:rFonts w:eastAsia="Times New Roman" w:cs="Times New Roman"/>
          <w:lang w:eastAsia="ar-SA"/>
        </w:rPr>
        <w:t>/202</w:t>
      </w:r>
      <w:r>
        <w:rPr>
          <w:rFonts w:eastAsia="Times New Roman" w:cs="Times New Roman"/>
          <w:lang w:eastAsia="ar-SA"/>
        </w:rPr>
        <w:t>1</w:t>
      </w:r>
      <w:r w:rsidRPr="00AA4429">
        <w:rPr>
          <w:rFonts w:eastAsia="Times New Roman" w:cs="Times New Roman"/>
          <w:lang w:eastAsia="ar-SA"/>
        </w:rPr>
        <w:t xml:space="preserve">/ZK ze dne </w:t>
      </w:r>
      <w:r>
        <w:rPr>
          <w:rFonts w:eastAsia="Times New Roman" w:cs="Times New Roman"/>
          <w:lang w:eastAsia="ar-SA"/>
        </w:rPr>
        <w:t>26</w:t>
      </w:r>
      <w:r w:rsidRPr="00AA4429">
        <w:rPr>
          <w:rFonts w:eastAsia="Times New Roman" w:cs="Times New Roman"/>
          <w:lang w:eastAsia="ar-SA"/>
        </w:rPr>
        <w:t xml:space="preserve">. </w:t>
      </w:r>
      <w:r>
        <w:rPr>
          <w:rFonts w:eastAsia="Times New Roman" w:cs="Times New Roman"/>
          <w:lang w:eastAsia="ar-SA"/>
        </w:rPr>
        <w:t>4</w:t>
      </w:r>
      <w:r w:rsidRPr="00AA4429">
        <w:rPr>
          <w:rFonts w:eastAsia="Times New Roman" w:cs="Times New Roman"/>
          <w:lang w:eastAsia="ar-SA"/>
        </w:rPr>
        <w:t>. 202</w:t>
      </w:r>
      <w:r>
        <w:rPr>
          <w:rFonts w:eastAsia="Times New Roman" w:cs="Times New Roman"/>
          <w:lang w:eastAsia="ar-SA"/>
        </w:rPr>
        <w:t>1</w:t>
      </w:r>
      <w:r w:rsidRPr="00AA4429">
        <w:rPr>
          <w:rFonts w:eastAsia="Times New Roman" w:cs="Times New Roman"/>
          <w:lang w:eastAsia="ar-SA"/>
        </w:rPr>
        <w:t xml:space="preserve"> (rozdělení zůstatku hospodaření z roku 20</w:t>
      </w:r>
      <w:r>
        <w:rPr>
          <w:rFonts w:eastAsia="Times New Roman" w:cs="Times New Roman"/>
          <w:lang w:eastAsia="ar-SA"/>
        </w:rPr>
        <w:t>20</w:t>
      </w:r>
      <w:r w:rsidRPr="00AA4429">
        <w:rPr>
          <w:rFonts w:eastAsia="Times New Roman" w:cs="Times New Roman"/>
          <w:lang w:eastAsia="ar-SA"/>
        </w:rPr>
        <w:t xml:space="preserve">) o částku </w:t>
      </w:r>
      <w:r>
        <w:rPr>
          <w:rFonts w:eastAsia="Times New Roman" w:cs="Times New Roman"/>
          <w:lang w:eastAsia="ar-SA"/>
        </w:rPr>
        <w:t>3 292 683,18</w:t>
      </w:r>
      <w:r w:rsidRPr="00AA4429">
        <w:rPr>
          <w:rFonts w:eastAsia="Times New Roman" w:cs="Times New Roman"/>
          <w:lang w:eastAsia="ar-SA"/>
        </w:rPr>
        <w:t xml:space="preserve"> Kč. Dále byl </w:t>
      </w:r>
      <w:r>
        <w:rPr>
          <w:rFonts w:eastAsia="Times New Roman" w:cs="Times New Roman"/>
          <w:lang w:eastAsia="ar-SA"/>
        </w:rPr>
        <w:t>navýšen</w:t>
      </w:r>
      <w:r w:rsidRPr="00AA4429">
        <w:rPr>
          <w:rFonts w:eastAsia="Times New Roman" w:cs="Times New Roman"/>
          <w:lang w:eastAsia="ar-SA"/>
        </w:rPr>
        <w:t xml:space="preserve"> o částku </w:t>
      </w:r>
      <w:r>
        <w:rPr>
          <w:rFonts w:eastAsia="Times New Roman" w:cs="Times New Roman"/>
          <w:lang w:eastAsia="ar-SA"/>
        </w:rPr>
        <w:t>5 000 000,00 Kč</w:t>
      </w:r>
      <w:r w:rsidRPr="00AA4429">
        <w:rPr>
          <w:rFonts w:eastAsia="Times New Roman" w:cs="Times New Roman"/>
          <w:lang w:eastAsia="ar-SA"/>
        </w:rPr>
        <w:t xml:space="preserve"> na základě usnesení č. 0</w:t>
      </w:r>
      <w:r>
        <w:rPr>
          <w:rFonts w:eastAsia="Times New Roman" w:cs="Times New Roman"/>
          <w:lang w:eastAsia="ar-SA"/>
        </w:rPr>
        <w:t>07</w:t>
      </w:r>
      <w:r w:rsidRPr="00AA4429">
        <w:rPr>
          <w:rFonts w:eastAsia="Times New Roman" w:cs="Times New Roman"/>
          <w:lang w:eastAsia="ar-SA"/>
        </w:rPr>
        <w:t>-</w:t>
      </w:r>
      <w:r>
        <w:rPr>
          <w:rFonts w:eastAsia="Times New Roman" w:cs="Times New Roman"/>
          <w:lang w:eastAsia="ar-SA"/>
        </w:rPr>
        <w:t>04</w:t>
      </w:r>
      <w:r w:rsidRPr="00AA4429">
        <w:rPr>
          <w:rFonts w:eastAsia="Times New Roman" w:cs="Times New Roman"/>
          <w:lang w:eastAsia="ar-SA"/>
        </w:rPr>
        <w:t>/202</w:t>
      </w:r>
      <w:r>
        <w:rPr>
          <w:rFonts w:eastAsia="Times New Roman" w:cs="Times New Roman"/>
          <w:lang w:eastAsia="ar-SA"/>
        </w:rPr>
        <w:t>1</w:t>
      </w:r>
      <w:r w:rsidRPr="00AA4429">
        <w:rPr>
          <w:rFonts w:eastAsia="Times New Roman" w:cs="Times New Roman"/>
          <w:lang w:eastAsia="ar-SA"/>
        </w:rPr>
        <w:t>/</w:t>
      </w:r>
      <w:r>
        <w:rPr>
          <w:rFonts w:eastAsia="Times New Roman" w:cs="Times New Roman"/>
          <w:lang w:eastAsia="ar-SA"/>
        </w:rPr>
        <w:t>Z</w:t>
      </w:r>
      <w:r w:rsidRPr="00AA4429">
        <w:rPr>
          <w:rFonts w:eastAsia="Times New Roman" w:cs="Times New Roman"/>
          <w:lang w:eastAsia="ar-SA"/>
        </w:rPr>
        <w:t xml:space="preserve">K ze dne </w:t>
      </w:r>
      <w:r>
        <w:rPr>
          <w:rFonts w:eastAsia="Times New Roman" w:cs="Times New Roman"/>
          <w:lang w:eastAsia="ar-SA"/>
        </w:rPr>
        <w:t>22</w:t>
      </w:r>
      <w:r w:rsidRPr="00AA4429">
        <w:rPr>
          <w:rFonts w:eastAsia="Times New Roman" w:cs="Times New Roman"/>
          <w:lang w:eastAsia="ar-SA"/>
        </w:rPr>
        <w:t xml:space="preserve">. </w:t>
      </w:r>
      <w:r>
        <w:rPr>
          <w:rFonts w:eastAsia="Times New Roman" w:cs="Times New Roman"/>
          <w:lang w:eastAsia="ar-SA"/>
        </w:rPr>
        <w:t>2</w:t>
      </w:r>
      <w:r w:rsidRPr="00AA4429">
        <w:rPr>
          <w:rFonts w:eastAsia="Times New Roman" w:cs="Times New Roman"/>
          <w:lang w:eastAsia="ar-SA"/>
        </w:rPr>
        <w:t>. 202</w:t>
      </w:r>
      <w:r>
        <w:rPr>
          <w:rFonts w:eastAsia="Times New Roman" w:cs="Times New Roman"/>
          <w:lang w:eastAsia="ar-SA"/>
        </w:rPr>
        <w:t xml:space="preserve">1 </w:t>
      </w:r>
      <w:r w:rsidR="007E0010">
        <w:rPr>
          <w:rFonts w:eastAsia="Times New Roman" w:cs="Times New Roman"/>
          <w:lang w:eastAsia="ar-SA"/>
        </w:rPr>
        <w:t>(</w:t>
      </w:r>
      <w:r>
        <w:rPr>
          <w:rFonts w:eastAsia="Times New Roman" w:cs="Times New Roman"/>
          <w:lang w:eastAsia="ar-SA"/>
        </w:rPr>
        <w:t>rozpočtové opatření č</w:t>
      </w:r>
      <w:r w:rsidR="007E0010">
        <w:rPr>
          <w:rFonts w:eastAsia="Times New Roman" w:cs="Times New Roman"/>
          <w:lang w:eastAsia="ar-SA"/>
        </w:rPr>
        <w:t>.</w:t>
      </w:r>
      <w:r>
        <w:rPr>
          <w:rFonts w:eastAsia="Times New Roman" w:cs="Times New Roman"/>
          <w:lang w:eastAsia="ar-SA"/>
        </w:rPr>
        <w:t xml:space="preserve"> 035/23/2021</w:t>
      </w:r>
      <w:r w:rsidR="007E0010">
        <w:rPr>
          <w:rFonts w:eastAsia="Times New Roman" w:cs="Times New Roman"/>
          <w:lang w:eastAsia="ar-SA"/>
        </w:rPr>
        <w:t>)</w:t>
      </w:r>
      <w:r>
        <w:rPr>
          <w:rFonts w:eastAsia="Times New Roman" w:cs="Times New Roman"/>
          <w:lang w:eastAsia="ar-SA"/>
        </w:rPr>
        <w:t>, navýšení rozpočtu Středočeského kraje o prostředky ze sdílených daní a nevyčerpané prostředky z roku 2020.</w:t>
      </w:r>
      <w:r w:rsidRPr="00AA4429">
        <w:rPr>
          <w:rFonts w:eastAsia="Times New Roman" w:cs="Times New Roman"/>
          <w:lang w:eastAsia="ar-SA"/>
        </w:rPr>
        <w:t xml:space="preserve"> Dalšími rozpočtovými úpravami v rámci kapitoly projednanými s příslušným členem </w:t>
      </w:r>
      <w:r>
        <w:rPr>
          <w:rFonts w:eastAsia="Times New Roman" w:cs="Times New Roman"/>
          <w:lang w:eastAsia="ar-SA"/>
        </w:rPr>
        <w:t>rady kraje</w:t>
      </w:r>
      <w:r w:rsidRPr="00AA4429">
        <w:rPr>
          <w:rFonts w:eastAsia="Times New Roman" w:cs="Times New Roman"/>
          <w:lang w:eastAsia="ar-SA"/>
        </w:rPr>
        <w:t xml:space="preserve"> byl rozpočet upraven na částku </w:t>
      </w:r>
      <w:r>
        <w:rPr>
          <w:rFonts w:eastAsia="Times New Roman" w:cs="Times New Roman"/>
          <w:lang w:eastAsia="ar-SA"/>
        </w:rPr>
        <w:t>8 619 683,18</w:t>
      </w:r>
      <w:r w:rsidRPr="00AA4429">
        <w:rPr>
          <w:rFonts w:eastAsia="Times New Roman" w:cs="Times New Roman"/>
          <w:lang w:eastAsia="ar-SA"/>
        </w:rPr>
        <w:t xml:space="preserve"> Kč a bylo z něj vyčerpáno </w:t>
      </w:r>
      <w:r>
        <w:rPr>
          <w:rFonts w:eastAsia="Times New Roman" w:cs="Times New Roman"/>
          <w:lang w:eastAsia="ar-SA"/>
        </w:rPr>
        <w:t>2 729 512,74 Kč</w:t>
      </w:r>
      <w:r w:rsidRPr="00AA4429">
        <w:rPr>
          <w:rFonts w:eastAsia="Times New Roman" w:cs="Times New Roman"/>
          <w:lang w:eastAsia="ar-SA"/>
        </w:rPr>
        <w:t xml:space="preserve">. </w:t>
      </w:r>
    </w:p>
    <w:p w14:paraId="4C8C5456" w14:textId="77777777" w:rsidR="00CD2482" w:rsidRPr="00AA4429" w:rsidRDefault="00CD2482" w:rsidP="00CD2482">
      <w:pPr>
        <w:suppressAutoHyphens/>
        <w:spacing w:after="0" w:line="240" w:lineRule="auto"/>
        <w:jc w:val="both"/>
        <w:rPr>
          <w:rFonts w:eastAsia="Times New Roman" w:cs="Times New Roman"/>
          <w:lang w:eastAsia="ar-SA"/>
        </w:rPr>
      </w:pPr>
    </w:p>
    <w:p w14:paraId="3E8C5071" w14:textId="77777777" w:rsidR="00CD2482" w:rsidRPr="00AA4429" w:rsidRDefault="00CD2482" w:rsidP="00CD2482">
      <w:pPr>
        <w:suppressAutoHyphens/>
        <w:spacing w:after="0" w:line="240" w:lineRule="auto"/>
        <w:jc w:val="both"/>
        <w:rPr>
          <w:rFonts w:eastAsia="Times New Roman" w:cs="Times New Roman"/>
          <w:lang w:eastAsia="ar-SA"/>
        </w:rPr>
      </w:pPr>
      <w:r>
        <w:rPr>
          <w:rFonts w:eastAsia="Times New Roman" w:cs="Times New Roman"/>
          <w:b/>
          <w:bCs/>
          <w:lang w:eastAsia="ar-SA"/>
        </w:rPr>
        <w:t>5171 – o</w:t>
      </w:r>
      <w:r w:rsidRPr="00AA4429">
        <w:rPr>
          <w:rFonts w:eastAsia="Times New Roman" w:cs="Times New Roman"/>
          <w:b/>
          <w:bCs/>
          <w:lang w:eastAsia="ar-SA"/>
        </w:rPr>
        <w:t xml:space="preserve">pravy a udržování </w:t>
      </w:r>
    </w:p>
    <w:p w14:paraId="27F6D9CA" w14:textId="0BA2FF04" w:rsidR="00CD2482" w:rsidRDefault="00CD2482" w:rsidP="00CD2482">
      <w:pPr>
        <w:suppressAutoHyphens/>
        <w:spacing w:after="0" w:line="240" w:lineRule="auto"/>
        <w:jc w:val="both"/>
        <w:rPr>
          <w:rFonts w:eastAsia="Times New Roman" w:cs="Times New Roman"/>
          <w:lang w:eastAsia="ar-SA"/>
        </w:rPr>
      </w:pPr>
      <w:r w:rsidRPr="00AA4429">
        <w:rPr>
          <w:rFonts w:eastAsia="Times New Roman" w:cs="Times New Roman"/>
          <w:lang w:eastAsia="ar-SA"/>
        </w:rPr>
        <w:t>Z této položky jsou hrazeny faktury za opravu a údržbu nemovitého majetku</w:t>
      </w:r>
      <w:r w:rsidR="00A216BD">
        <w:rPr>
          <w:rFonts w:eastAsia="Times New Roman" w:cs="Times New Roman"/>
          <w:lang w:eastAsia="ar-SA"/>
        </w:rPr>
        <w:t>.</w:t>
      </w:r>
      <w:r w:rsidRPr="00AA4429">
        <w:rPr>
          <w:rFonts w:eastAsia="Times New Roman" w:cs="Times New Roman"/>
          <w:lang w:eastAsia="ar-SA"/>
        </w:rPr>
        <w:t xml:space="preserve"> Schválený rozpočet ve výši </w:t>
      </w:r>
      <w:r>
        <w:rPr>
          <w:rFonts w:eastAsia="Times New Roman" w:cs="Times New Roman"/>
          <w:lang w:eastAsia="ar-SA"/>
        </w:rPr>
        <w:t>4 193 000,00</w:t>
      </w:r>
      <w:r w:rsidRPr="00AA4429">
        <w:rPr>
          <w:rFonts w:eastAsia="Times New Roman" w:cs="Times New Roman"/>
          <w:lang w:eastAsia="ar-SA"/>
        </w:rPr>
        <w:t xml:space="preserve"> Kč byl navýšen na základě rozdělení zůstatku hospodaření Středočeského kraje z roku 20</w:t>
      </w:r>
      <w:r>
        <w:rPr>
          <w:rFonts w:eastAsia="Times New Roman" w:cs="Times New Roman"/>
          <w:lang w:eastAsia="ar-SA"/>
        </w:rPr>
        <w:t>20</w:t>
      </w:r>
      <w:r w:rsidRPr="00AA4429">
        <w:rPr>
          <w:rFonts w:eastAsia="Times New Roman" w:cs="Times New Roman"/>
          <w:lang w:eastAsia="ar-SA"/>
        </w:rPr>
        <w:t xml:space="preserve"> schváleným usnesením č. 0</w:t>
      </w:r>
      <w:r>
        <w:rPr>
          <w:rFonts w:eastAsia="Times New Roman" w:cs="Times New Roman"/>
          <w:lang w:eastAsia="ar-SA"/>
        </w:rPr>
        <w:t>07</w:t>
      </w:r>
      <w:r w:rsidRPr="00AA4429">
        <w:rPr>
          <w:rFonts w:eastAsia="Times New Roman" w:cs="Times New Roman"/>
          <w:lang w:eastAsia="ar-SA"/>
        </w:rPr>
        <w:t>-</w:t>
      </w:r>
      <w:r>
        <w:rPr>
          <w:rFonts w:eastAsia="Times New Roman" w:cs="Times New Roman"/>
          <w:lang w:eastAsia="ar-SA"/>
        </w:rPr>
        <w:t>06</w:t>
      </w:r>
      <w:r w:rsidRPr="00AA4429">
        <w:rPr>
          <w:rFonts w:eastAsia="Times New Roman" w:cs="Times New Roman"/>
          <w:lang w:eastAsia="ar-SA"/>
        </w:rPr>
        <w:t>/202</w:t>
      </w:r>
      <w:r>
        <w:rPr>
          <w:rFonts w:eastAsia="Times New Roman" w:cs="Times New Roman"/>
          <w:lang w:eastAsia="ar-SA"/>
        </w:rPr>
        <w:t>1</w:t>
      </w:r>
      <w:r w:rsidRPr="00AA4429">
        <w:rPr>
          <w:rFonts w:eastAsia="Times New Roman" w:cs="Times New Roman"/>
          <w:lang w:eastAsia="ar-SA"/>
        </w:rPr>
        <w:t xml:space="preserve">/ZK ze dne </w:t>
      </w:r>
      <w:r>
        <w:rPr>
          <w:rFonts w:eastAsia="Times New Roman" w:cs="Times New Roman"/>
          <w:lang w:eastAsia="ar-SA"/>
        </w:rPr>
        <w:t>26</w:t>
      </w:r>
      <w:r w:rsidRPr="00AA4429">
        <w:rPr>
          <w:rFonts w:eastAsia="Times New Roman" w:cs="Times New Roman"/>
          <w:lang w:eastAsia="ar-SA"/>
        </w:rPr>
        <w:t xml:space="preserve">. </w:t>
      </w:r>
      <w:r>
        <w:rPr>
          <w:rFonts w:eastAsia="Times New Roman" w:cs="Times New Roman"/>
          <w:lang w:eastAsia="ar-SA"/>
        </w:rPr>
        <w:t>4</w:t>
      </w:r>
      <w:r w:rsidRPr="00AA4429">
        <w:rPr>
          <w:rFonts w:eastAsia="Times New Roman" w:cs="Times New Roman"/>
          <w:lang w:eastAsia="ar-SA"/>
        </w:rPr>
        <w:t>. 202</w:t>
      </w:r>
      <w:r>
        <w:rPr>
          <w:rFonts w:eastAsia="Times New Roman" w:cs="Times New Roman"/>
          <w:lang w:eastAsia="ar-SA"/>
        </w:rPr>
        <w:t>1</w:t>
      </w:r>
      <w:r w:rsidRPr="00AA4429">
        <w:rPr>
          <w:rFonts w:eastAsia="Times New Roman" w:cs="Times New Roman"/>
          <w:lang w:eastAsia="ar-SA"/>
        </w:rPr>
        <w:t xml:space="preserve"> o částku </w:t>
      </w:r>
      <w:r>
        <w:rPr>
          <w:rFonts w:eastAsia="Times New Roman" w:cs="Times New Roman"/>
          <w:lang w:eastAsia="ar-SA"/>
        </w:rPr>
        <w:t>302 500,00</w:t>
      </w:r>
      <w:r w:rsidRPr="00AA4429">
        <w:rPr>
          <w:rFonts w:eastAsia="Times New Roman" w:cs="Times New Roman"/>
          <w:lang w:eastAsia="ar-SA"/>
        </w:rPr>
        <w:t xml:space="preserve"> Kč. Na základě usnesení č. 0</w:t>
      </w:r>
      <w:r>
        <w:rPr>
          <w:rFonts w:eastAsia="Times New Roman" w:cs="Times New Roman"/>
          <w:lang w:eastAsia="ar-SA"/>
        </w:rPr>
        <w:t>07-04</w:t>
      </w:r>
      <w:r w:rsidRPr="00AA4429">
        <w:rPr>
          <w:rFonts w:eastAsia="Times New Roman" w:cs="Times New Roman"/>
          <w:lang w:eastAsia="ar-SA"/>
        </w:rPr>
        <w:t>/202</w:t>
      </w:r>
      <w:r>
        <w:rPr>
          <w:rFonts w:eastAsia="Times New Roman" w:cs="Times New Roman"/>
          <w:lang w:eastAsia="ar-SA"/>
        </w:rPr>
        <w:t>1</w:t>
      </w:r>
      <w:r w:rsidRPr="00AA4429">
        <w:rPr>
          <w:rFonts w:eastAsia="Times New Roman" w:cs="Times New Roman"/>
          <w:lang w:eastAsia="ar-SA"/>
        </w:rPr>
        <w:t>/</w:t>
      </w:r>
      <w:r>
        <w:rPr>
          <w:rFonts w:eastAsia="Times New Roman" w:cs="Times New Roman"/>
          <w:lang w:eastAsia="ar-SA"/>
        </w:rPr>
        <w:t>Z</w:t>
      </w:r>
      <w:r w:rsidRPr="00AA4429">
        <w:rPr>
          <w:rFonts w:eastAsia="Times New Roman" w:cs="Times New Roman"/>
          <w:lang w:eastAsia="ar-SA"/>
        </w:rPr>
        <w:t xml:space="preserve">K ze dne </w:t>
      </w:r>
      <w:r>
        <w:rPr>
          <w:rFonts w:eastAsia="Times New Roman" w:cs="Times New Roman"/>
          <w:lang w:eastAsia="ar-SA"/>
        </w:rPr>
        <w:t>22</w:t>
      </w:r>
      <w:r w:rsidRPr="00AA4429">
        <w:rPr>
          <w:rFonts w:eastAsia="Times New Roman" w:cs="Times New Roman"/>
          <w:lang w:eastAsia="ar-SA"/>
        </w:rPr>
        <w:t xml:space="preserve">. </w:t>
      </w:r>
      <w:r>
        <w:rPr>
          <w:rFonts w:eastAsia="Times New Roman" w:cs="Times New Roman"/>
          <w:lang w:eastAsia="ar-SA"/>
        </w:rPr>
        <w:t>2</w:t>
      </w:r>
      <w:r w:rsidRPr="00AA4429">
        <w:rPr>
          <w:rFonts w:eastAsia="Times New Roman" w:cs="Times New Roman"/>
          <w:lang w:eastAsia="ar-SA"/>
        </w:rPr>
        <w:t>. 202</w:t>
      </w:r>
      <w:r>
        <w:rPr>
          <w:rFonts w:eastAsia="Times New Roman" w:cs="Times New Roman"/>
          <w:lang w:eastAsia="ar-SA"/>
        </w:rPr>
        <w:t>1</w:t>
      </w:r>
      <w:r w:rsidR="007E0010">
        <w:rPr>
          <w:rFonts w:eastAsia="Times New Roman" w:cs="Times New Roman"/>
          <w:lang w:eastAsia="ar-SA"/>
        </w:rPr>
        <w:t>(</w:t>
      </w:r>
      <w:r>
        <w:rPr>
          <w:rFonts w:eastAsia="Times New Roman" w:cs="Times New Roman"/>
          <w:lang w:eastAsia="ar-SA"/>
        </w:rPr>
        <w:t>rozpočtové opatření č</w:t>
      </w:r>
      <w:r w:rsidR="007E0010">
        <w:rPr>
          <w:rFonts w:eastAsia="Times New Roman" w:cs="Times New Roman"/>
          <w:lang w:eastAsia="ar-SA"/>
        </w:rPr>
        <w:t>.</w:t>
      </w:r>
      <w:r>
        <w:rPr>
          <w:rFonts w:eastAsia="Times New Roman" w:cs="Times New Roman"/>
          <w:lang w:eastAsia="ar-SA"/>
        </w:rPr>
        <w:t xml:space="preserve"> 035/23/2021</w:t>
      </w:r>
      <w:r w:rsidR="007E0010">
        <w:rPr>
          <w:rFonts w:eastAsia="Times New Roman" w:cs="Times New Roman"/>
          <w:lang w:eastAsia="ar-SA"/>
        </w:rPr>
        <w:t>)</w:t>
      </w:r>
      <w:r>
        <w:rPr>
          <w:rFonts w:eastAsia="Times New Roman" w:cs="Times New Roman"/>
          <w:lang w:eastAsia="ar-SA"/>
        </w:rPr>
        <w:t>, navýšení rozpočtu Středočeského kraje o prostředky ze sdílených daní a nevyčerpané prostředky z roku 2020</w:t>
      </w:r>
      <w:r w:rsidRPr="00AA4429">
        <w:rPr>
          <w:rFonts w:eastAsia="Times New Roman" w:cs="Times New Roman"/>
          <w:lang w:eastAsia="ar-SA"/>
        </w:rPr>
        <w:t xml:space="preserve"> byl </w:t>
      </w:r>
      <w:r>
        <w:rPr>
          <w:rFonts w:eastAsia="Times New Roman" w:cs="Times New Roman"/>
          <w:lang w:eastAsia="ar-SA"/>
        </w:rPr>
        <w:t xml:space="preserve">rozpočet navýšen ještě o 1 000 000,00 Kč. </w:t>
      </w:r>
      <w:r w:rsidRPr="00AA4429">
        <w:rPr>
          <w:rFonts w:eastAsia="Times New Roman" w:cs="Times New Roman"/>
          <w:lang w:eastAsia="ar-SA"/>
        </w:rPr>
        <w:t xml:space="preserve">Další úpravy rozpočtu byly řešeny rozpočtovými úpravami v rámci kapitoly projednanými s příslušným členem </w:t>
      </w:r>
      <w:r>
        <w:rPr>
          <w:rFonts w:eastAsia="Times New Roman" w:cs="Times New Roman"/>
          <w:lang w:eastAsia="ar-SA"/>
        </w:rPr>
        <w:t>rady kraje</w:t>
      </w:r>
      <w:r w:rsidRPr="00AA4429">
        <w:rPr>
          <w:rFonts w:eastAsia="Times New Roman" w:cs="Times New Roman"/>
          <w:lang w:eastAsia="ar-SA"/>
        </w:rPr>
        <w:t xml:space="preserve"> až na částku </w:t>
      </w:r>
      <w:r>
        <w:rPr>
          <w:rFonts w:eastAsia="Times New Roman" w:cs="Times New Roman"/>
          <w:lang w:eastAsia="ar-SA"/>
        </w:rPr>
        <w:t>3 448 063,00 Kč</w:t>
      </w:r>
      <w:r w:rsidRPr="00AA4429">
        <w:rPr>
          <w:rFonts w:eastAsia="Times New Roman" w:cs="Times New Roman"/>
          <w:lang w:eastAsia="ar-SA"/>
        </w:rPr>
        <w:t xml:space="preserve">. Z upraveného rozpočtu bylo vyčerpáno </w:t>
      </w:r>
      <w:r>
        <w:rPr>
          <w:rFonts w:eastAsia="Times New Roman" w:cs="Times New Roman"/>
          <w:lang w:eastAsia="ar-SA"/>
        </w:rPr>
        <w:t>1 052 509,44 Kč</w:t>
      </w:r>
      <w:r w:rsidRPr="00AA4429">
        <w:rPr>
          <w:rFonts w:eastAsia="Times New Roman" w:cs="Times New Roman"/>
          <w:lang w:eastAsia="ar-SA"/>
        </w:rPr>
        <w:t xml:space="preserve">. </w:t>
      </w:r>
    </w:p>
    <w:p w14:paraId="440DF2F3" w14:textId="77777777" w:rsidR="00CD2482" w:rsidRPr="00AA4429" w:rsidRDefault="00CD2482" w:rsidP="00CD2482">
      <w:pPr>
        <w:suppressAutoHyphens/>
        <w:spacing w:after="0" w:line="240" w:lineRule="auto"/>
        <w:jc w:val="both"/>
        <w:rPr>
          <w:rFonts w:eastAsia="Times New Roman" w:cs="Times New Roman"/>
          <w:lang w:eastAsia="ar-SA"/>
        </w:rPr>
      </w:pPr>
    </w:p>
    <w:p w14:paraId="662E2293" w14:textId="77777777" w:rsidR="00CD2482" w:rsidRPr="00AA4429" w:rsidRDefault="00CD2482" w:rsidP="00CD2482">
      <w:pPr>
        <w:suppressAutoHyphens/>
        <w:spacing w:after="0" w:line="240" w:lineRule="auto"/>
        <w:jc w:val="both"/>
        <w:rPr>
          <w:rFonts w:eastAsia="Times New Roman" w:cs="Times New Roman"/>
          <w:lang w:eastAsia="ar-SA"/>
        </w:rPr>
      </w:pPr>
      <w:r w:rsidRPr="00AA4429">
        <w:rPr>
          <w:rFonts w:eastAsia="Times New Roman" w:cs="Times New Roman"/>
          <w:b/>
          <w:bCs/>
          <w:lang w:eastAsia="ar-SA"/>
        </w:rPr>
        <w:t>51</w:t>
      </w:r>
      <w:r>
        <w:rPr>
          <w:rFonts w:eastAsia="Times New Roman" w:cs="Times New Roman"/>
          <w:b/>
          <w:bCs/>
          <w:lang w:eastAsia="ar-SA"/>
        </w:rPr>
        <w:t>75</w:t>
      </w:r>
      <w:r w:rsidRPr="00AA4429">
        <w:rPr>
          <w:rFonts w:eastAsia="Times New Roman" w:cs="Times New Roman"/>
          <w:b/>
          <w:bCs/>
          <w:lang w:eastAsia="ar-SA"/>
        </w:rPr>
        <w:t xml:space="preserve"> –</w:t>
      </w:r>
      <w:r>
        <w:rPr>
          <w:rFonts w:eastAsia="Times New Roman" w:cs="Times New Roman"/>
          <w:b/>
          <w:bCs/>
          <w:lang w:eastAsia="ar-SA"/>
        </w:rPr>
        <w:t xml:space="preserve"> pohoštění</w:t>
      </w:r>
      <w:r w:rsidRPr="00AA4429">
        <w:rPr>
          <w:rFonts w:eastAsia="Times New Roman" w:cs="Times New Roman"/>
          <w:b/>
          <w:bCs/>
          <w:lang w:eastAsia="ar-SA"/>
        </w:rPr>
        <w:t xml:space="preserve"> </w:t>
      </w:r>
    </w:p>
    <w:p w14:paraId="12F15A7D" w14:textId="77777777" w:rsidR="00CD2482" w:rsidRPr="00B407B7" w:rsidRDefault="00CD2482" w:rsidP="00CD2482">
      <w:pPr>
        <w:suppressAutoHyphens/>
        <w:spacing w:after="0" w:line="240" w:lineRule="auto"/>
        <w:jc w:val="both"/>
        <w:rPr>
          <w:rFonts w:eastAsia="Times New Roman" w:cs="Times New Roman"/>
          <w:lang w:eastAsia="ar-SA"/>
        </w:rPr>
      </w:pPr>
      <w:r w:rsidRPr="00B407B7">
        <w:rPr>
          <w:rFonts w:eastAsia="Times New Roman" w:cs="Times New Roman"/>
          <w:lang w:eastAsia="ar-SA"/>
        </w:rPr>
        <w:t xml:space="preserve">Z této položky </w:t>
      </w:r>
      <w:r>
        <w:rPr>
          <w:rFonts w:eastAsia="Times New Roman" w:cs="Times New Roman"/>
          <w:lang w:eastAsia="ar-SA"/>
        </w:rPr>
        <w:t>byly</w:t>
      </w:r>
      <w:r w:rsidRPr="00B407B7">
        <w:rPr>
          <w:rFonts w:eastAsia="Times New Roman" w:cs="Times New Roman"/>
          <w:lang w:eastAsia="ar-SA"/>
        </w:rPr>
        <w:t xml:space="preserve"> hrazeny faktury za </w:t>
      </w:r>
      <w:r>
        <w:rPr>
          <w:rFonts w:eastAsia="Times New Roman" w:cs="Times New Roman"/>
          <w:lang w:eastAsia="ar-SA"/>
        </w:rPr>
        <w:t>pohoštění.</w:t>
      </w:r>
      <w:r w:rsidRPr="00B407B7">
        <w:rPr>
          <w:rFonts w:eastAsia="Times New Roman" w:cs="Times New Roman"/>
          <w:lang w:eastAsia="ar-SA"/>
        </w:rPr>
        <w:t xml:space="preserve"> Z upraveného rozpočtu ve výši </w:t>
      </w:r>
      <w:r>
        <w:rPr>
          <w:rFonts w:eastAsia="Times New Roman" w:cs="Times New Roman"/>
          <w:lang w:eastAsia="ar-SA"/>
        </w:rPr>
        <w:t>20 000,00 Kč</w:t>
      </w:r>
      <w:r w:rsidRPr="00B407B7">
        <w:rPr>
          <w:rFonts w:eastAsia="Times New Roman" w:cs="Times New Roman"/>
          <w:lang w:eastAsia="ar-SA"/>
        </w:rPr>
        <w:t xml:space="preserve"> (upraveno rozpočtovou úpravou č. 050/11/2021 v rámci kapitoly projednanou s příslušným členem rady kraje) </w:t>
      </w:r>
      <w:r w:rsidRPr="00060E89">
        <w:rPr>
          <w:rFonts w:eastAsia="Times New Roman" w:cs="Times New Roman"/>
          <w:lang w:eastAsia="ar-SA"/>
        </w:rPr>
        <w:t xml:space="preserve">bylo </w:t>
      </w:r>
      <w:r>
        <w:rPr>
          <w:rFonts w:eastAsia="Times New Roman" w:cs="Times New Roman"/>
          <w:lang w:eastAsia="ar-SA"/>
        </w:rPr>
        <w:t>vy</w:t>
      </w:r>
      <w:r w:rsidRPr="00060E89">
        <w:rPr>
          <w:rFonts w:eastAsia="Times New Roman" w:cs="Times New Roman"/>
          <w:lang w:eastAsia="ar-SA"/>
        </w:rPr>
        <w:t>čerpáno</w:t>
      </w:r>
      <w:r>
        <w:rPr>
          <w:rFonts w:eastAsia="Times New Roman" w:cs="Times New Roman"/>
          <w:lang w:eastAsia="ar-SA"/>
        </w:rPr>
        <w:t xml:space="preserve"> 1 063,00 Kč.</w:t>
      </w:r>
    </w:p>
    <w:p w14:paraId="50293544" w14:textId="77777777" w:rsidR="00CD2482" w:rsidRDefault="00CD2482" w:rsidP="00CD2482">
      <w:pPr>
        <w:suppressAutoHyphens/>
        <w:spacing w:after="0" w:line="240" w:lineRule="auto"/>
        <w:jc w:val="both"/>
        <w:rPr>
          <w:rFonts w:eastAsia="Times New Roman" w:cs="Times New Roman"/>
          <w:b/>
          <w:bCs/>
          <w:lang w:eastAsia="ar-SA"/>
        </w:rPr>
      </w:pPr>
    </w:p>
    <w:p w14:paraId="57ED52F5" w14:textId="77777777" w:rsidR="00CD2482" w:rsidRPr="00E00840" w:rsidRDefault="00CD2482" w:rsidP="00CD2482">
      <w:pPr>
        <w:suppressAutoHyphens/>
        <w:spacing w:after="0" w:line="240" w:lineRule="auto"/>
        <w:jc w:val="both"/>
        <w:rPr>
          <w:rFonts w:eastAsia="Times New Roman" w:cs="Times New Roman"/>
          <w:lang w:eastAsia="ar-SA"/>
        </w:rPr>
      </w:pPr>
      <w:bookmarkStart w:id="53" w:name="_Hlk98855447"/>
      <w:r w:rsidRPr="00E00840">
        <w:rPr>
          <w:rFonts w:eastAsia="Times New Roman" w:cs="Times New Roman"/>
          <w:b/>
          <w:bCs/>
          <w:lang w:eastAsia="ar-SA"/>
        </w:rPr>
        <w:t xml:space="preserve">5909 – ostatní neinvestiční výdaje j. n. </w:t>
      </w:r>
    </w:p>
    <w:p w14:paraId="5D69FE6A" w14:textId="2DDB6DDD" w:rsidR="00E00840" w:rsidRPr="00E00840" w:rsidRDefault="00CD2482" w:rsidP="00E00840">
      <w:pPr>
        <w:suppressAutoHyphens/>
        <w:spacing w:after="0" w:line="240" w:lineRule="auto"/>
        <w:jc w:val="both"/>
        <w:rPr>
          <w:rFonts w:eastAsia="Times New Roman" w:cs="Times New Roman"/>
          <w:lang w:eastAsia="ar-SA"/>
        </w:rPr>
      </w:pPr>
      <w:r w:rsidRPr="00E00840">
        <w:rPr>
          <w:rFonts w:eastAsia="Times New Roman" w:cs="Times New Roman"/>
          <w:lang w:eastAsia="ar-SA"/>
        </w:rPr>
        <w:t xml:space="preserve">Na základě převodu nevyčerpaných účelových finančních prostředků z roku 2020 usnesením č. 078-04/2021/RK ze dne 28. 1. 2021 (bylo zapojeno do zůstatku hospodaření SK z roku 2020 schváleného usnesením č. 007-06/2021/ZK ze dne 26. 4. 2021) bylo na položku převedeno 116 175 970,10 Kč určených na vypořádání bezdůvodného obohacení se společností Mladá RP, s.r.o. Rozpočtovou úpravou č. 577/23/2021, schválenou </w:t>
      </w:r>
      <w:r w:rsidR="007E5F36">
        <w:rPr>
          <w:rFonts w:eastAsia="Times New Roman" w:cs="Times New Roman"/>
          <w:lang w:eastAsia="ar-SA"/>
        </w:rPr>
        <w:t>u</w:t>
      </w:r>
      <w:r w:rsidRPr="00E00840">
        <w:rPr>
          <w:rFonts w:eastAsia="Times New Roman" w:cs="Times New Roman"/>
          <w:lang w:eastAsia="ar-SA"/>
        </w:rPr>
        <w:t xml:space="preserve">snesením č. 017-40/2021/RK ze dne 21.10.2021 a rozpočtovou úpravou č. 664/23/2021, schválenou </w:t>
      </w:r>
      <w:r w:rsidR="007E5F36">
        <w:rPr>
          <w:rFonts w:eastAsia="Times New Roman" w:cs="Times New Roman"/>
          <w:lang w:eastAsia="ar-SA"/>
        </w:rPr>
        <w:t>u</w:t>
      </w:r>
      <w:r w:rsidRPr="00E00840">
        <w:rPr>
          <w:rFonts w:eastAsia="Times New Roman" w:cs="Times New Roman"/>
          <w:lang w:eastAsia="ar-SA"/>
        </w:rPr>
        <w:t xml:space="preserve">snesením č. 041-44/2021/RK ze dne 25.11.2021 byl rozpočet na této položce upraven na částku 94 127 947,10 Kč. </w:t>
      </w:r>
      <w:bookmarkEnd w:id="53"/>
      <w:r w:rsidR="00E00840" w:rsidRPr="00E00840">
        <w:rPr>
          <w:lang w:eastAsia="ar-SA"/>
        </w:rPr>
        <w:t>Z upraveného rozpočtu bylo vyčerpáno 84 030 822,0</w:t>
      </w:r>
      <w:r w:rsidR="00E00840">
        <w:rPr>
          <w:lang w:eastAsia="ar-SA"/>
        </w:rPr>
        <w:t>0 Kč na vypořádání bezdůvodného obohacení se společností Mladá RP, s.r.o. (z toho činí 19 366 937,00 Kč úhrada DPH finančnímu úřadu za společnost Mladá RP, s.r.o.).</w:t>
      </w:r>
    </w:p>
    <w:p w14:paraId="48DA6F30" w14:textId="77777777" w:rsidR="00CD2482" w:rsidRDefault="00CD2482" w:rsidP="00CD2482">
      <w:pPr>
        <w:suppressAutoHyphens/>
        <w:spacing w:after="0" w:line="240" w:lineRule="auto"/>
        <w:jc w:val="both"/>
        <w:rPr>
          <w:rFonts w:eastAsia="Times New Roman" w:cs="Times New Roman"/>
          <w:lang w:eastAsia="ar-SA"/>
        </w:rPr>
      </w:pPr>
    </w:p>
    <w:p w14:paraId="318731B6" w14:textId="77777777" w:rsidR="00CD2482" w:rsidRPr="00AA4429" w:rsidRDefault="00CD2482" w:rsidP="00CD2482">
      <w:pPr>
        <w:suppressAutoHyphens/>
        <w:spacing w:after="0" w:line="240" w:lineRule="auto"/>
        <w:jc w:val="both"/>
        <w:rPr>
          <w:rFonts w:eastAsia="Times New Roman" w:cs="Times New Roman"/>
          <w:lang w:eastAsia="ar-SA"/>
        </w:rPr>
      </w:pPr>
      <w:r w:rsidRPr="00AA4429">
        <w:rPr>
          <w:rFonts w:eastAsia="Times New Roman" w:cs="Times New Roman"/>
          <w:b/>
          <w:bCs/>
          <w:lang w:eastAsia="ar-SA"/>
        </w:rPr>
        <w:t xml:space="preserve">Participativní rozpočet </w:t>
      </w:r>
    </w:p>
    <w:p w14:paraId="2A8AD894" w14:textId="77777777" w:rsidR="00CD2482" w:rsidRDefault="00CD2482" w:rsidP="00CD2482">
      <w:pPr>
        <w:suppressAutoHyphens/>
        <w:spacing w:after="0" w:line="240" w:lineRule="auto"/>
        <w:jc w:val="both"/>
        <w:rPr>
          <w:rFonts w:eastAsia="Times New Roman" w:cs="Times New Roman"/>
          <w:bCs/>
          <w:lang w:eastAsia="ar-SA"/>
        </w:rPr>
      </w:pPr>
      <w:r w:rsidRPr="00AA4429">
        <w:rPr>
          <w:rFonts w:eastAsia="Times New Roman" w:cs="Times New Roman"/>
          <w:bCs/>
          <w:lang w:eastAsia="ar-SA"/>
        </w:rPr>
        <w:t xml:space="preserve">Rozpočtovou úpravou č. </w:t>
      </w:r>
      <w:r>
        <w:rPr>
          <w:rFonts w:eastAsia="Times New Roman" w:cs="Times New Roman"/>
          <w:bCs/>
          <w:lang w:eastAsia="ar-SA"/>
        </w:rPr>
        <w:t>013</w:t>
      </w:r>
      <w:r w:rsidRPr="00AA4429">
        <w:rPr>
          <w:rFonts w:eastAsia="Times New Roman" w:cs="Times New Roman"/>
          <w:bCs/>
          <w:lang w:eastAsia="ar-SA"/>
        </w:rPr>
        <w:t>/11/202</w:t>
      </w:r>
      <w:r>
        <w:rPr>
          <w:rFonts w:eastAsia="Times New Roman" w:cs="Times New Roman"/>
          <w:bCs/>
          <w:lang w:eastAsia="ar-SA"/>
        </w:rPr>
        <w:t>1</w:t>
      </w:r>
      <w:r w:rsidRPr="00AA4429">
        <w:rPr>
          <w:rFonts w:eastAsia="Times New Roman" w:cs="Times New Roman"/>
          <w:bCs/>
          <w:lang w:eastAsia="ar-SA"/>
        </w:rPr>
        <w:t>, usnesením č.</w:t>
      </w:r>
      <w:r>
        <w:rPr>
          <w:rFonts w:eastAsia="Times New Roman" w:cs="Times New Roman"/>
          <w:bCs/>
          <w:lang w:eastAsia="ar-SA"/>
        </w:rPr>
        <w:t xml:space="preserve"> </w:t>
      </w:r>
      <w:r w:rsidRPr="00AA4429">
        <w:rPr>
          <w:rFonts w:eastAsia="Times New Roman" w:cs="Times New Roman"/>
          <w:bCs/>
          <w:lang w:eastAsia="ar-SA"/>
        </w:rPr>
        <w:t>0</w:t>
      </w:r>
      <w:r>
        <w:rPr>
          <w:rFonts w:eastAsia="Times New Roman" w:cs="Times New Roman"/>
          <w:bCs/>
          <w:lang w:eastAsia="ar-SA"/>
        </w:rPr>
        <w:t>41</w:t>
      </w:r>
      <w:r w:rsidRPr="00AA4429">
        <w:rPr>
          <w:rFonts w:eastAsia="Times New Roman" w:cs="Times New Roman"/>
          <w:bCs/>
          <w:lang w:eastAsia="ar-SA"/>
        </w:rPr>
        <w:t>-</w:t>
      </w:r>
      <w:r>
        <w:rPr>
          <w:rFonts w:eastAsia="Times New Roman" w:cs="Times New Roman"/>
          <w:bCs/>
          <w:lang w:eastAsia="ar-SA"/>
        </w:rPr>
        <w:t>02</w:t>
      </w:r>
      <w:r w:rsidRPr="00AA4429">
        <w:rPr>
          <w:rFonts w:eastAsia="Times New Roman" w:cs="Times New Roman"/>
          <w:bCs/>
          <w:lang w:eastAsia="ar-SA"/>
        </w:rPr>
        <w:t>/202</w:t>
      </w:r>
      <w:r>
        <w:rPr>
          <w:rFonts w:eastAsia="Times New Roman" w:cs="Times New Roman"/>
          <w:bCs/>
          <w:lang w:eastAsia="ar-SA"/>
        </w:rPr>
        <w:t>1/RK</w:t>
      </w:r>
      <w:r w:rsidRPr="00AA4429">
        <w:rPr>
          <w:rFonts w:eastAsia="Times New Roman" w:cs="Times New Roman"/>
          <w:bCs/>
          <w:lang w:eastAsia="ar-SA"/>
        </w:rPr>
        <w:t xml:space="preserve"> ze dne </w:t>
      </w:r>
      <w:r>
        <w:rPr>
          <w:rFonts w:eastAsia="Times New Roman" w:cs="Times New Roman"/>
          <w:bCs/>
          <w:lang w:eastAsia="ar-SA"/>
        </w:rPr>
        <w:t>14</w:t>
      </w:r>
      <w:r w:rsidRPr="00AA4429">
        <w:rPr>
          <w:rFonts w:eastAsia="Times New Roman" w:cs="Times New Roman"/>
          <w:bCs/>
          <w:lang w:eastAsia="ar-SA"/>
        </w:rPr>
        <w:t>.</w:t>
      </w:r>
      <w:r>
        <w:rPr>
          <w:rFonts w:eastAsia="Times New Roman" w:cs="Times New Roman"/>
          <w:bCs/>
          <w:lang w:eastAsia="ar-SA"/>
        </w:rPr>
        <w:t xml:space="preserve"> 1</w:t>
      </w:r>
      <w:r w:rsidRPr="00AA4429">
        <w:rPr>
          <w:rFonts w:eastAsia="Times New Roman" w:cs="Times New Roman"/>
          <w:bCs/>
          <w:lang w:eastAsia="ar-SA"/>
        </w:rPr>
        <w:t>.</w:t>
      </w:r>
      <w:r>
        <w:rPr>
          <w:rFonts w:eastAsia="Times New Roman" w:cs="Times New Roman"/>
          <w:bCs/>
          <w:lang w:eastAsia="ar-SA"/>
        </w:rPr>
        <w:t xml:space="preserve"> 2021</w:t>
      </w:r>
      <w:r w:rsidRPr="00AA4429">
        <w:rPr>
          <w:rFonts w:eastAsia="Times New Roman" w:cs="Times New Roman"/>
          <w:bCs/>
          <w:lang w:eastAsia="ar-SA"/>
        </w:rPr>
        <w:t xml:space="preserve"> byly převedeny </w:t>
      </w:r>
      <w:r>
        <w:rPr>
          <w:rFonts w:eastAsia="Times New Roman" w:cs="Times New Roman"/>
          <w:bCs/>
          <w:lang w:eastAsia="ar-SA"/>
        </w:rPr>
        <w:t xml:space="preserve">nevyčerpané účelové finanční prostředky </w:t>
      </w:r>
      <w:r w:rsidRPr="00AA4429">
        <w:rPr>
          <w:rFonts w:eastAsia="Times New Roman" w:cs="Times New Roman"/>
          <w:bCs/>
          <w:lang w:eastAsia="ar-SA"/>
        </w:rPr>
        <w:t>ve výši</w:t>
      </w:r>
      <w:r>
        <w:rPr>
          <w:rFonts w:eastAsia="Times New Roman" w:cs="Times New Roman"/>
          <w:bCs/>
          <w:lang w:eastAsia="ar-SA"/>
        </w:rPr>
        <w:t xml:space="preserve"> 30 402 788,00</w:t>
      </w:r>
      <w:r w:rsidRPr="00AA4429">
        <w:rPr>
          <w:rFonts w:eastAsia="Times New Roman" w:cs="Times New Roman"/>
          <w:bCs/>
          <w:lang w:eastAsia="ar-SA"/>
        </w:rPr>
        <w:t xml:space="preserve"> Kč</w:t>
      </w:r>
      <w:r>
        <w:rPr>
          <w:rFonts w:eastAsia="Times New Roman" w:cs="Times New Roman"/>
          <w:bCs/>
          <w:lang w:eastAsia="ar-SA"/>
        </w:rPr>
        <w:t xml:space="preserve"> účelově vázané z roku 2020 do rozpočtu roku 2021. Prostředky (běžné neinvestiční výdaje ve výši 932 088,57 Kč)</w:t>
      </w:r>
      <w:r w:rsidRPr="00AA4429">
        <w:rPr>
          <w:rFonts w:eastAsia="Times New Roman" w:cs="Times New Roman"/>
          <w:bCs/>
          <w:lang w:eastAsia="ar-SA"/>
        </w:rPr>
        <w:t xml:space="preserve"> z participativního rozpočtu </w:t>
      </w:r>
      <w:r>
        <w:rPr>
          <w:rFonts w:eastAsia="Times New Roman" w:cs="Times New Roman"/>
          <w:bCs/>
          <w:lang w:eastAsia="ar-SA"/>
        </w:rPr>
        <w:t xml:space="preserve">jsou </w:t>
      </w:r>
      <w:r w:rsidRPr="00AA4429">
        <w:rPr>
          <w:rFonts w:eastAsia="Times New Roman" w:cs="Times New Roman"/>
          <w:bCs/>
          <w:lang w:eastAsia="ar-SA"/>
        </w:rPr>
        <w:t>v roce 202</w:t>
      </w:r>
      <w:r>
        <w:rPr>
          <w:rFonts w:eastAsia="Times New Roman" w:cs="Times New Roman"/>
          <w:bCs/>
          <w:lang w:eastAsia="ar-SA"/>
        </w:rPr>
        <w:t>1</w:t>
      </w:r>
      <w:r w:rsidRPr="00AA4429">
        <w:rPr>
          <w:rFonts w:eastAsia="Times New Roman" w:cs="Times New Roman"/>
          <w:bCs/>
          <w:lang w:eastAsia="ar-SA"/>
        </w:rPr>
        <w:t xml:space="preserve"> čerpány na následující činnosti:</w:t>
      </w:r>
    </w:p>
    <w:p w14:paraId="2BA367DB" w14:textId="77777777" w:rsidR="00CD2482" w:rsidRDefault="00CD2482" w:rsidP="00CD2482">
      <w:pPr>
        <w:suppressAutoHyphens/>
        <w:spacing w:after="0" w:line="240" w:lineRule="auto"/>
        <w:jc w:val="both"/>
        <w:rPr>
          <w:rFonts w:eastAsia="Times New Roman" w:cs="Times New Roman"/>
          <w:bCs/>
          <w:lang w:eastAsia="ar-SA"/>
        </w:rPr>
      </w:pPr>
    </w:p>
    <w:p w14:paraId="36D3F7FA" w14:textId="77777777" w:rsidR="00CD2482" w:rsidRDefault="00CD2482" w:rsidP="00CD2482">
      <w:pPr>
        <w:suppressAutoHyphens/>
        <w:spacing w:after="0" w:line="240" w:lineRule="auto"/>
        <w:jc w:val="both"/>
        <w:rPr>
          <w:rFonts w:eastAsia="Times New Roman" w:cs="Times New Roman"/>
          <w:b/>
          <w:bCs/>
          <w:lang w:eastAsia="ar-SA"/>
        </w:rPr>
      </w:pPr>
      <w:r w:rsidRPr="0081099D">
        <w:rPr>
          <w:rFonts w:eastAsia="Times New Roman" w:cs="Times New Roman"/>
          <w:b/>
          <w:bCs/>
          <w:lang w:eastAsia="ar-SA"/>
        </w:rPr>
        <w:t xml:space="preserve">§ </w:t>
      </w:r>
      <w:r>
        <w:rPr>
          <w:rFonts w:eastAsia="Times New Roman" w:cs="Times New Roman"/>
          <w:b/>
          <w:bCs/>
          <w:lang w:eastAsia="ar-SA"/>
        </w:rPr>
        <w:t>2143</w:t>
      </w:r>
      <w:r w:rsidRPr="00AA4429">
        <w:rPr>
          <w:rFonts w:eastAsia="Times New Roman" w:cs="Times New Roman"/>
          <w:b/>
          <w:bCs/>
          <w:lang w:eastAsia="ar-SA"/>
        </w:rPr>
        <w:t xml:space="preserve"> – </w:t>
      </w:r>
      <w:r>
        <w:rPr>
          <w:rFonts w:eastAsia="Times New Roman" w:cs="Times New Roman"/>
          <w:b/>
          <w:bCs/>
          <w:lang w:eastAsia="ar-SA"/>
        </w:rPr>
        <w:t>Cestovní ruch</w:t>
      </w:r>
    </w:p>
    <w:p w14:paraId="7CDD0D3B" w14:textId="4489A902" w:rsidR="00CD2482" w:rsidRDefault="00CD2482" w:rsidP="00CD2482">
      <w:pPr>
        <w:suppressAutoHyphens/>
        <w:spacing w:after="0" w:line="240" w:lineRule="auto"/>
        <w:jc w:val="both"/>
        <w:rPr>
          <w:rFonts w:eastAsia="Times New Roman" w:cs="Times New Roman"/>
          <w:bCs/>
          <w:lang w:eastAsia="ar-SA"/>
        </w:rPr>
      </w:pPr>
      <w:r w:rsidRPr="00AA4429">
        <w:rPr>
          <w:rFonts w:eastAsia="Times New Roman" w:cs="Times New Roman"/>
          <w:bCs/>
          <w:lang w:eastAsia="ar-SA"/>
        </w:rPr>
        <w:t>Z tohoto paragrafu jsou hrazeny neinvestiční výdaje na projekty v </w:t>
      </w:r>
      <w:r>
        <w:rPr>
          <w:rFonts w:eastAsia="Times New Roman" w:cs="Times New Roman"/>
          <w:bCs/>
          <w:lang w:eastAsia="ar-SA"/>
        </w:rPr>
        <w:t xml:space="preserve">rámci participativního rozpočtu </w:t>
      </w:r>
      <w:r w:rsidRPr="00AA4429">
        <w:rPr>
          <w:rFonts w:eastAsia="Times New Roman" w:cs="Times New Roman"/>
          <w:bCs/>
          <w:lang w:eastAsia="ar-SA"/>
        </w:rPr>
        <w:t>Středočeského kraje, které slouží k</w:t>
      </w:r>
      <w:r>
        <w:rPr>
          <w:rFonts w:eastAsia="Times New Roman" w:cs="Times New Roman"/>
          <w:bCs/>
          <w:lang w:eastAsia="ar-SA"/>
        </w:rPr>
        <w:t> vytváření prostředí pro cestovní ruch, např. značení turistických cest nebo pořádání jarmarků</w:t>
      </w:r>
      <w:r w:rsidRPr="00AA4429">
        <w:rPr>
          <w:rFonts w:eastAsia="Times New Roman" w:cs="Times New Roman"/>
          <w:bCs/>
          <w:lang w:eastAsia="ar-SA"/>
        </w:rPr>
        <w:t xml:space="preserve">. Z upraveného rozpočtu ve výši </w:t>
      </w:r>
      <w:r>
        <w:rPr>
          <w:rFonts w:eastAsia="Times New Roman" w:cs="Times New Roman"/>
          <w:bCs/>
          <w:lang w:eastAsia="ar-SA"/>
        </w:rPr>
        <w:t xml:space="preserve">8 093,00 Kč </w:t>
      </w:r>
      <w:r w:rsidRPr="00AA4429">
        <w:rPr>
          <w:rFonts w:eastAsia="Times New Roman" w:cs="Times New Roman"/>
          <w:bCs/>
          <w:lang w:eastAsia="ar-SA"/>
        </w:rPr>
        <w:t xml:space="preserve">(upraveno rozpočtovými úpravami v rámci kapitoly projednanými </w:t>
      </w:r>
      <w:r>
        <w:rPr>
          <w:rFonts w:eastAsia="Times New Roman" w:cs="Times New Roman"/>
          <w:bCs/>
          <w:lang w:eastAsia="ar-SA"/>
        </w:rPr>
        <w:t>radou kraje</w:t>
      </w:r>
      <w:r w:rsidRPr="00AA4429">
        <w:rPr>
          <w:rFonts w:eastAsia="Times New Roman" w:cs="Times New Roman"/>
          <w:bCs/>
          <w:lang w:eastAsia="ar-SA"/>
        </w:rPr>
        <w:t xml:space="preserve">) bylo </w:t>
      </w:r>
      <w:r>
        <w:rPr>
          <w:rFonts w:eastAsia="Times New Roman" w:cs="Times New Roman"/>
          <w:bCs/>
          <w:lang w:eastAsia="ar-SA"/>
        </w:rPr>
        <w:t>vy</w:t>
      </w:r>
      <w:r w:rsidRPr="00AA4429">
        <w:rPr>
          <w:rFonts w:eastAsia="Times New Roman" w:cs="Times New Roman"/>
          <w:bCs/>
          <w:lang w:eastAsia="ar-SA"/>
        </w:rPr>
        <w:t>čerpáno</w:t>
      </w:r>
      <w:r>
        <w:rPr>
          <w:rFonts w:eastAsia="Times New Roman" w:cs="Times New Roman"/>
          <w:bCs/>
          <w:lang w:eastAsia="ar-SA"/>
        </w:rPr>
        <w:t xml:space="preserve"> 8 093,00, tj. 100</w:t>
      </w:r>
      <w:r w:rsidR="00F244F2">
        <w:rPr>
          <w:rFonts w:eastAsia="Times New Roman" w:cs="Times New Roman"/>
          <w:bCs/>
          <w:lang w:eastAsia="ar-SA"/>
        </w:rPr>
        <w:t>,0</w:t>
      </w:r>
      <w:r>
        <w:rPr>
          <w:rFonts w:eastAsia="Times New Roman" w:cs="Times New Roman"/>
          <w:bCs/>
          <w:lang w:eastAsia="ar-SA"/>
        </w:rPr>
        <w:t xml:space="preserve"> %.</w:t>
      </w:r>
    </w:p>
    <w:p w14:paraId="4751815A" w14:textId="77777777" w:rsidR="00CD2482" w:rsidRDefault="00CD2482" w:rsidP="00CD2482">
      <w:pPr>
        <w:suppressAutoHyphens/>
        <w:spacing w:after="0" w:line="240" w:lineRule="auto"/>
        <w:jc w:val="both"/>
        <w:rPr>
          <w:rFonts w:eastAsia="Times New Roman" w:cs="Times New Roman"/>
          <w:bCs/>
          <w:lang w:eastAsia="ar-SA"/>
        </w:rPr>
      </w:pPr>
    </w:p>
    <w:p w14:paraId="1CDC2959" w14:textId="77777777" w:rsidR="00CD2482" w:rsidRDefault="00CD2482" w:rsidP="00CD2482">
      <w:pPr>
        <w:suppressAutoHyphens/>
        <w:spacing w:after="0" w:line="240" w:lineRule="auto"/>
        <w:jc w:val="both"/>
        <w:rPr>
          <w:rFonts w:eastAsia="Times New Roman" w:cs="Times New Roman"/>
          <w:b/>
          <w:bCs/>
          <w:lang w:eastAsia="ar-SA"/>
        </w:rPr>
      </w:pPr>
      <w:r w:rsidRPr="0081099D">
        <w:rPr>
          <w:rFonts w:eastAsia="Times New Roman" w:cs="Times New Roman"/>
          <w:b/>
          <w:bCs/>
          <w:lang w:eastAsia="ar-SA"/>
        </w:rPr>
        <w:t xml:space="preserve">§ </w:t>
      </w:r>
      <w:r>
        <w:rPr>
          <w:rFonts w:eastAsia="Times New Roman" w:cs="Times New Roman"/>
          <w:b/>
          <w:bCs/>
          <w:lang w:eastAsia="ar-SA"/>
        </w:rPr>
        <w:t>3314</w:t>
      </w:r>
      <w:r w:rsidRPr="00AA4429">
        <w:rPr>
          <w:rFonts w:eastAsia="Times New Roman" w:cs="Times New Roman"/>
          <w:b/>
          <w:bCs/>
          <w:lang w:eastAsia="ar-SA"/>
        </w:rPr>
        <w:t xml:space="preserve"> – </w:t>
      </w:r>
      <w:r>
        <w:rPr>
          <w:rFonts w:eastAsia="Times New Roman" w:cs="Times New Roman"/>
          <w:b/>
          <w:bCs/>
          <w:lang w:eastAsia="ar-SA"/>
        </w:rPr>
        <w:t>Činnosti knihovnické</w:t>
      </w:r>
    </w:p>
    <w:p w14:paraId="452AF208" w14:textId="77777777" w:rsidR="00CD2482" w:rsidRDefault="00CD2482" w:rsidP="00CD2482">
      <w:pPr>
        <w:suppressAutoHyphens/>
        <w:spacing w:after="0" w:line="240" w:lineRule="auto"/>
        <w:jc w:val="both"/>
        <w:rPr>
          <w:rFonts w:eastAsia="Times New Roman" w:cs="Times New Roman"/>
          <w:bCs/>
          <w:lang w:eastAsia="ar-SA"/>
        </w:rPr>
      </w:pPr>
      <w:r w:rsidRPr="00AA4429">
        <w:rPr>
          <w:rFonts w:eastAsia="Times New Roman" w:cs="Times New Roman"/>
          <w:bCs/>
          <w:lang w:eastAsia="ar-SA"/>
        </w:rPr>
        <w:t>Z tohoto paragrafu jsou hrazeny neinvestiční výdaje na projekty v </w:t>
      </w:r>
      <w:r>
        <w:rPr>
          <w:rFonts w:eastAsia="Times New Roman" w:cs="Times New Roman"/>
          <w:bCs/>
          <w:lang w:eastAsia="ar-SA"/>
        </w:rPr>
        <w:t xml:space="preserve">rámci participativního rozpočtu </w:t>
      </w:r>
      <w:r w:rsidRPr="00AA4429">
        <w:rPr>
          <w:rFonts w:eastAsia="Times New Roman" w:cs="Times New Roman"/>
          <w:bCs/>
          <w:lang w:eastAsia="ar-SA"/>
        </w:rPr>
        <w:t>Středočeského kraje, které slouží k</w:t>
      </w:r>
      <w:r>
        <w:rPr>
          <w:rFonts w:eastAsia="Times New Roman" w:cs="Times New Roman"/>
          <w:bCs/>
          <w:lang w:eastAsia="ar-SA"/>
        </w:rPr>
        <w:t> činnosti knihovnické</w:t>
      </w:r>
      <w:r w:rsidRPr="00AA4429">
        <w:rPr>
          <w:rFonts w:eastAsia="Times New Roman" w:cs="Times New Roman"/>
          <w:bCs/>
          <w:lang w:eastAsia="ar-SA"/>
        </w:rPr>
        <w:t xml:space="preserve">. Z upraveného rozpočtu ve výši </w:t>
      </w:r>
      <w:r>
        <w:rPr>
          <w:rFonts w:eastAsia="Times New Roman" w:cs="Times New Roman"/>
          <w:bCs/>
          <w:lang w:eastAsia="ar-SA"/>
        </w:rPr>
        <w:t xml:space="preserve">104 000,00 Kč </w:t>
      </w:r>
      <w:r w:rsidRPr="00AA4429">
        <w:rPr>
          <w:rFonts w:eastAsia="Times New Roman" w:cs="Times New Roman"/>
          <w:bCs/>
          <w:lang w:eastAsia="ar-SA"/>
        </w:rPr>
        <w:t xml:space="preserve">(upraveno rozpočtovými úpravami v rámci kapitoly projednanými </w:t>
      </w:r>
      <w:r>
        <w:rPr>
          <w:rFonts w:eastAsia="Times New Roman" w:cs="Times New Roman"/>
          <w:bCs/>
          <w:lang w:eastAsia="ar-SA"/>
        </w:rPr>
        <w:t>radou kraje</w:t>
      </w:r>
      <w:r w:rsidRPr="00AA4429">
        <w:rPr>
          <w:rFonts w:eastAsia="Times New Roman" w:cs="Times New Roman"/>
          <w:bCs/>
          <w:lang w:eastAsia="ar-SA"/>
        </w:rPr>
        <w:t xml:space="preserve">) </w:t>
      </w:r>
      <w:r>
        <w:rPr>
          <w:rFonts w:eastAsia="Times New Roman" w:cs="Times New Roman"/>
          <w:bCs/>
          <w:lang w:eastAsia="ar-SA"/>
        </w:rPr>
        <w:t>ne</w:t>
      </w:r>
      <w:r w:rsidRPr="00AA4429">
        <w:rPr>
          <w:rFonts w:eastAsia="Times New Roman" w:cs="Times New Roman"/>
          <w:bCs/>
          <w:lang w:eastAsia="ar-SA"/>
        </w:rPr>
        <w:t>bylo čerpáno</w:t>
      </w:r>
      <w:r>
        <w:rPr>
          <w:rFonts w:eastAsia="Times New Roman" w:cs="Times New Roman"/>
          <w:bCs/>
          <w:lang w:eastAsia="ar-SA"/>
        </w:rPr>
        <w:t>.</w:t>
      </w:r>
    </w:p>
    <w:p w14:paraId="1B93E750" w14:textId="77777777" w:rsidR="00CD2482" w:rsidRDefault="00CD2482" w:rsidP="00CD2482">
      <w:pPr>
        <w:suppressAutoHyphens/>
        <w:spacing w:after="0" w:line="240" w:lineRule="auto"/>
        <w:jc w:val="both"/>
        <w:rPr>
          <w:rFonts w:eastAsia="Times New Roman" w:cs="Times New Roman"/>
          <w:bCs/>
          <w:lang w:eastAsia="ar-SA"/>
        </w:rPr>
      </w:pPr>
    </w:p>
    <w:p w14:paraId="141DA9B4" w14:textId="77777777" w:rsidR="00CD2482" w:rsidRDefault="00CD2482" w:rsidP="00CD2482">
      <w:pPr>
        <w:suppressAutoHyphens/>
        <w:spacing w:after="0" w:line="240" w:lineRule="auto"/>
        <w:jc w:val="both"/>
        <w:rPr>
          <w:rFonts w:eastAsia="Times New Roman" w:cs="Times New Roman"/>
          <w:b/>
          <w:bCs/>
          <w:lang w:eastAsia="ar-SA"/>
        </w:rPr>
      </w:pPr>
      <w:r w:rsidRPr="0081099D">
        <w:rPr>
          <w:rFonts w:eastAsia="Times New Roman" w:cs="Times New Roman"/>
          <w:b/>
          <w:bCs/>
          <w:lang w:eastAsia="ar-SA"/>
        </w:rPr>
        <w:t xml:space="preserve">§ </w:t>
      </w:r>
      <w:r>
        <w:rPr>
          <w:rFonts w:eastAsia="Times New Roman" w:cs="Times New Roman"/>
          <w:b/>
          <w:bCs/>
          <w:lang w:eastAsia="ar-SA"/>
        </w:rPr>
        <w:t>3315</w:t>
      </w:r>
      <w:r w:rsidRPr="00AA4429">
        <w:rPr>
          <w:rFonts w:eastAsia="Times New Roman" w:cs="Times New Roman"/>
          <w:b/>
          <w:bCs/>
          <w:lang w:eastAsia="ar-SA"/>
        </w:rPr>
        <w:t xml:space="preserve"> – </w:t>
      </w:r>
      <w:r>
        <w:rPr>
          <w:rFonts w:eastAsia="Times New Roman" w:cs="Times New Roman"/>
          <w:b/>
          <w:bCs/>
          <w:lang w:eastAsia="ar-SA"/>
        </w:rPr>
        <w:t>Činnosti muzeí a galerií</w:t>
      </w:r>
    </w:p>
    <w:p w14:paraId="5104165D" w14:textId="77777777" w:rsidR="00CD2482" w:rsidRDefault="00CD2482" w:rsidP="00CD2482">
      <w:pPr>
        <w:suppressAutoHyphens/>
        <w:spacing w:after="0" w:line="240" w:lineRule="auto"/>
        <w:jc w:val="both"/>
        <w:rPr>
          <w:rFonts w:eastAsia="Times New Roman" w:cs="Times New Roman"/>
          <w:bCs/>
          <w:lang w:eastAsia="ar-SA"/>
        </w:rPr>
      </w:pPr>
      <w:r w:rsidRPr="00AA4429">
        <w:rPr>
          <w:rFonts w:eastAsia="Times New Roman" w:cs="Times New Roman"/>
          <w:bCs/>
          <w:lang w:eastAsia="ar-SA"/>
        </w:rPr>
        <w:t>Z tohoto paragrafu jsou hrazeny neinvestiční výdaje na projekty v </w:t>
      </w:r>
      <w:r>
        <w:rPr>
          <w:rFonts w:eastAsia="Times New Roman" w:cs="Times New Roman"/>
          <w:bCs/>
          <w:lang w:eastAsia="ar-SA"/>
        </w:rPr>
        <w:t xml:space="preserve">rámci participativního rozpočtu </w:t>
      </w:r>
      <w:r w:rsidRPr="00AA4429">
        <w:rPr>
          <w:rFonts w:eastAsia="Times New Roman" w:cs="Times New Roman"/>
          <w:bCs/>
          <w:lang w:eastAsia="ar-SA"/>
        </w:rPr>
        <w:t>Středočeského kraje, které slouží k</w:t>
      </w:r>
      <w:r>
        <w:rPr>
          <w:rFonts w:eastAsia="Times New Roman" w:cs="Times New Roman"/>
          <w:bCs/>
          <w:lang w:eastAsia="ar-SA"/>
        </w:rPr>
        <w:t> činnosti muzeí a galerií</w:t>
      </w:r>
      <w:r w:rsidRPr="00AA4429">
        <w:rPr>
          <w:rFonts w:eastAsia="Times New Roman" w:cs="Times New Roman"/>
          <w:bCs/>
          <w:lang w:eastAsia="ar-SA"/>
        </w:rPr>
        <w:t xml:space="preserve">. Z upraveného rozpočtu ve výši </w:t>
      </w:r>
      <w:r>
        <w:rPr>
          <w:rFonts w:eastAsia="Times New Roman" w:cs="Times New Roman"/>
          <w:bCs/>
          <w:lang w:eastAsia="ar-SA"/>
        </w:rPr>
        <w:t>81 000,00 Kč</w:t>
      </w:r>
      <w:r w:rsidRPr="00AA4429">
        <w:rPr>
          <w:rFonts w:eastAsia="Times New Roman" w:cs="Times New Roman"/>
          <w:bCs/>
          <w:lang w:eastAsia="ar-SA"/>
        </w:rPr>
        <w:t xml:space="preserve"> (upraveno rozpočtovými úpravami v rámci kapitoly projednanými </w:t>
      </w:r>
      <w:r>
        <w:rPr>
          <w:rFonts w:eastAsia="Times New Roman" w:cs="Times New Roman"/>
          <w:bCs/>
          <w:lang w:eastAsia="ar-SA"/>
        </w:rPr>
        <w:t>radou kraje</w:t>
      </w:r>
      <w:r w:rsidRPr="00AA4429">
        <w:rPr>
          <w:rFonts w:eastAsia="Times New Roman" w:cs="Times New Roman"/>
          <w:bCs/>
          <w:lang w:eastAsia="ar-SA"/>
        </w:rPr>
        <w:t xml:space="preserve">) </w:t>
      </w:r>
      <w:r>
        <w:rPr>
          <w:rFonts w:eastAsia="Times New Roman" w:cs="Times New Roman"/>
          <w:bCs/>
          <w:lang w:eastAsia="ar-SA"/>
        </w:rPr>
        <w:t>ne</w:t>
      </w:r>
      <w:r w:rsidRPr="00AA4429">
        <w:rPr>
          <w:rFonts w:eastAsia="Times New Roman" w:cs="Times New Roman"/>
          <w:bCs/>
          <w:lang w:eastAsia="ar-SA"/>
        </w:rPr>
        <w:t>bylo čerpáno</w:t>
      </w:r>
      <w:r>
        <w:rPr>
          <w:rFonts w:eastAsia="Times New Roman" w:cs="Times New Roman"/>
          <w:bCs/>
          <w:lang w:eastAsia="ar-SA"/>
        </w:rPr>
        <w:t>.</w:t>
      </w:r>
      <w:r w:rsidRPr="00AA4429">
        <w:rPr>
          <w:rFonts w:eastAsia="Times New Roman" w:cs="Times New Roman"/>
          <w:bCs/>
          <w:lang w:eastAsia="ar-SA"/>
        </w:rPr>
        <w:t xml:space="preserve"> </w:t>
      </w:r>
    </w:p>
    <w:p w14:paraId="24DABB90" w14:textId="77777777" w:rsidR="00CD2482" w:rsidRDefault="00CD2482" w:rsidP="00CD2482">
      <w:pPr>
        <w:suppressAutoHyphens/>
        <w:spacing w:after="0" w:line="240" w:lineRule="auto"/>
        <w:jc w:val="both"/>
        <w:rPr>
          <w:rFonts w:eastAsia="Times New Roman" w:cs="Times New Roman"/>
          <w:bCs/>
          <w:lang w:eastAsia="ar-SA"/>
        </w:rPr>
      </w:pPr>
    </w:p>
    <w:p w14:paraId="765A4B9E" w14:textId="77777777" w:rsidR="00CD2482" w:rsidRPr="00E77E38" w:rsidRDefault="00CD2482" w:rsidP="00CD2482">
      <w:pPr>
        <w:suppressAutoHyphens/>
        <w:spacing w:after="0" w:line="240" w:lineRule="auto"/>
        <w:jc w:val="both"/>
        <w:rPr>
          <w:rFonts w:eastAsia="Times New Roman" w:cs="Times New Roman"/>
          <w:b/>
          <w:bCs/>
          <w:lang w:eastAsia="ar-SA"/>
        </w:rPr>
      </w:pPr>
      <w:r w:rsidRPr="00AA4429">
        <w:rPr>
          <w:rFonts w:eastAsia="Times New Roman" w:cs="Times New Roman"/>
          <w:bCs/>
          <w:lang w:eastAsia="ar-SA"/>
        </w:rPr>
        <w:t xml:space="preserve"> </w:t>
      </w:r>
      <w:r w:rsidRPr="00E77E38">
        <w:rPr>
          <w:rFonts w:eastAsia="Times New Roman" w:cs="Times New Roman"/>
          <w:b/>
          <w:bCs/>
          <w:lang w:eastAsia="ar-SA"/>
        </w:rPr>
        <w:t>§ 3319 – Ostatní záležitosti kultury</w:t>
      </w:r>
    </w:p>
    <w:p w14:paraId="0113D11B" w14:textId="77777777" w:rsidR="00CD2482" w:rsidRPr="00E77E38" w:rsidRDefault="00CD2482" w:rsidP="00CD2482">
      <w:pPr>
        <w:suppressAutoHyphens/>
        <w:spacing w:after="0" w:line="240" w:lineRule="auto"/>
        <w:jc w:val="both"/>
        <w:rPr>
          <w:rFonts w:eastAsia="Times New Roman" w:cs="Times New Roman"/>
          <w:bCs/>
          <w:lang w:eastAsia="ar-SA"/>
        </w:rPr>
      </w:pPr>
      <w:r w:rsidRPr="00E77E38">
        <w:rPr>
          <w:rFonts w:eastAsia="Times New Roman" w:cs="Times New Roman"/>
          <w:bCs/>
          <w:lang w:eastAsia="ar-SA"/>
        </w:rPr>
        <w:t xml:space="preserve">Z tohoto paragrafu jsou hrazeny </w:t>
      </w:r>
      <w:r>
        <w:rPr>
          <w:rFonts w:eastAsia="Times New Roman" w:cs="Times New Roman"/>
          <w:bCs/>
          <w:lang w:eastAsia="ar-SA"/>
        </w:rPr>
        <w:t>ne</w:t>
      </w:r>
      <w:r w:rsidRPr="00E77E38">
        <w:rPr>
          <w:rFonts w:eastAsia="Times New Roman" w:cs="Times New Roman"/>
          <w:bCs/>
          <w:lang w:eastAsia="ar-SA"/>
        </w:rPr>
        <w:t xml:space="preserve">investiční výdaje na projekty v rámci participativního rozpočtu Středočeského kraje, které jsou určeny pro ostatní záležitosti v oblasti kultury. Z upraveného rozpočtu ve výši </w:t>
      </w:r>
      <w:r>
        <w:rPr>
          <w:rFonts w:eastAsia="Times New Roman" w:cs="Times New Roman"/>
          <w:bCs/>
          <w:lang w:eastAsia="ar-SA"/>
        </w:rPr>
        <w:t>106 588</w:t>
      </w:r>
      <w:r w:rsidRPr="00E77E38">
        <w:rPr>
          <w:rFonts w:eastAsia="Times New Roman" w:cs="Times New Roman"/>
          <w:bCs/>
          <w:lang w:eastAsia="ar-SA"/>
        </w:rPr>
        <w:t xml:space="preserve">,00 Kč (upraveno rozpočtovými úpravami v rámci kapitoly projednanými radou kraje) bylo vyčerpáno </w:t>
      </w:r>
      <w:r>
        <w:rPr>
          <w:rFonts w:eastAsia="Times New Roman" w:cs="Times New Roman"/>
          <w:bCs/>
          <w:lang w:eastAsia="ar-SA"/>
        </w:rPr>
        <w:t>106 588</w:t>
      </w:r>
      <w:r w:rsidRPr="00E77E38">
        <w:rPr>
          <w:rFonts w:eastAsia="Times New Roman" w:cs="Times New Roman"/>
          <w:bCs/>
          <w:lang w:eastAsia="ar-SA"/>
        </w:rPr>
        <w:t>,00 Kč, tj. 100 %.</w:t>
      </w:r>
    </w:p>
    <w:p w14:paraId="7049B114" w14:textId="77777777" w:rsidR="00CD2482" w:rsidRDefault="00CD2482" w:rsidP="00CD2482">
      <w:pPr>
        <w:suppressAutoHyphens/>
        <w:spacing w:after="0" w:line="240" w:lineRule="auto"/>
        <w:jc w:val="both"/>
        <w:rPr>
          <w:rFonts w:eastAsia="Times New Roman" w:cs="Times New Roman"/>
          <w:bCs/>
          <w:lang w:eastAsia="ar-SA"/>
        </w:rPr>
      </w:pPr>
    </w:p>
    <w:p w14:paraId="561B35EA" w14:textId="77777777" w:rsidR="00CD2482" w:rsidRDefault="00CD2482" w:rsidP="00CD2482">
      <w:pPr>
        <w:suppressAutoHyphens/>
        <w:spacing w:after="0" w:line="240" w:lineRule="auto"/>
        <w:jc w:val="both"/>
        <w:rPr>
          <w:rFonts w:eastAsia="Times New Roman" w:cs="Times New Roman"/>
          <w:b/>
          <w:bCs/>
          <w:lang w:eastAsia="ar-SA"/>
        </w:rPr>
      </w:pPr>
      <w:r w:rsidRPr="0081099D">
        <w:rPr>
          <w:rFonts w:eastAsia="Times New Roman" w:cs="Times New Roman"/>
          <w:b/>
          <w:bCs/>
          <w:lang w:eastAsia="ar-SA"/>
        </w:rPr>
        <w:t xml:space="preserve">§ </w:t>
      </w:r>
      <w:r w:rsidRPr="00AA4429">
        <w:rPr>
          <w:rFonts w:eastAsia="Times New Roman" w:cs="Times New Roman"/>
          <w:b/>
          <w:bCs/>
          <w:lang w:eastAsia="ar-SA"/>
        </w:rPr>
        <w:t>3421 – Využití volného času dětí a mládeže</w:t>
      </w:r>
    </w:p>
    <w:p w14:paraId="6CF03BBB" w14:textId="6D847308" w:rsidR="00CD2482" w:rsidRDefault="00CD2482" w:rsidP="00CD2482">
      <w:pPr>
        <w:suppressAutoHyphens/>
        <w:spacing w:after="0" w:line="240" w:lineRule="auto"/>
        <w:jc w:val="both"/>
        <w:rPr>
          <w:rFonts w:eastAsia="Times New Roman" w:cs="Times New Roman"/>
          <w:bCs/>
          <w:lang w:eastAsia="ar-SA"/>
        </w:rPr>
      </w:pPr>
      <w:r w:rsidRPr="00AA4429">
        <w:rPr>
          <w:rFonts w:eastAsia="Times New Roman" w:cs="Times New Roman"/>
          <w:bCs/>
          <w:lang w:eastAsia="ar-SA"/>
        </w:rPr>
        <w:t>Z tohoto paragrafu jsou hrazeny neinvestiční výdaje na projekty v </w:t>
      </w:r>
      <w:r>
        <w:rPr>
          <w:rFonts w:eastAsia="Times New Roman" w:cs="Times New Roman"/>
          <w:bCs/>
          <w:lang w:eastAsia="ar-SA"/>
        </w:rPr>
        <w:t xml:space="preserve">rámci participativního rozpočtu </w:t>
      </w:r>
      <w:r w:rsidRPr="00AA4429">
        <w:rPr>
          <w:rFonts w:eastAsia="Times New Roman" w:cs="Times New Roman"/>
          <w:bCs/>
          <w:lang w:eastAsia="ar-SA"/>
        </w:rPr>
        <w:t xml:space="preserve">Středočeského kraje, které slouží k pořízení a vybudování prostor či zařízení pro využití volného času dětí a mládeže. Z upraveného rozpočtu ve výši </w:t>
      </w:r>
      <w:r>
        <w:rPr>
          <w:rFonts w:eastAsia="Times New Roman" w:cs="Times New Roman"/>
          <w:bCs/>
          <w:lang w:eastAsia="ar-SA"/>
        </w:rPr>
        <w:t>210 443,60</w:t>
      </w:r>
      <w:r w:rsidRPr="00AA4429">
        <w:rPr>
          <w:rFonts w:eastAsia="Times New Roman" w:cs="Times New Roman"/>
          <w:bCs/>
          <w:lang w:eastAsia="ar-SA"/>
        </w:rPr>
        <w:t xml:space="preserve"> Kč (upraveno rozpočtovými úpravami v rámci kapitoly projednanými </w:t>
      </w:r>
      <w:r>
        <w:rPr>
          <w:rFonts w:eastAsia="Times New Roman" w:cs="Times New Roman"/>
          <w:bCs/>
          <w:lang w:eastAsia="ar-SA"/>
        </w:rPr>
        <w:t>radou kraje</w:t>
      </w:r>
      <w:r w:rsidRPr="00AA4429">
        <w:rPr>
          <w:rFonts w:eastAsia="Times New Roman" w:cs="Times New Roman"/>
          <w:bCs/>
          <w:lang w:eastAsia="ar-SA"/>
        </w:rPr>
        <w:t xml:space="preserve">) bylo vyčerpáno </w:t>
      </w:r>
      <w:r>
        <w:rPr>
          <w:rFonts w:eastAsia="Times New Roman" w:cs="Times New Roman"/>
          <w:bCs/>
          <w:lang w:eastAsia="ar-SA"/>
        </w:rPr>
        <w:t>210 443,60</w:t>
      </w:r>
      <w:r w:rsidRPr="00AA4429">
        <w:rPr>
          <w:rFonts w:eastAsia="Times New Roman" w:cs="Times New Roman"/>
          <w:bCs/>
          <w:lang w:eastAsia="ar-SA"/>
        </w:rPr>
        <w:t xml:space="preserve"> Kč, tj. 100</w:t>
      </w:r>
      <w:r w:rsidR="00F244F2">
        <w:rPr>
          <w:rFonts w:eastAsia="Times New Roman" w:cs="Times New Roman"/>
          <w:bCs/>
          <w:lang w:eastAsia="ar-SA"/>
        </w:rPr>
        <w:t>,0</w:t>
      </w:r>
      <w:r w:rsidRPr="00AA4429">
        <w:rPr>
          <w:rFonts w:eastAsia="Times New Roman" w:cs="Times New Roman"/>
          <w:bCs/>
          <w:lang w:eastAsia="ar-SA"/>
        </w:rPr>
        <w:t xml:space="preserve"> %.</w:t>
      </w:r>
    </w:p>
    <w:p w14:paraId="57305A16" w14:textId="77777777" w:rsidR="00CD2482" w:rsidRDefault="00CD2482" w:rsidP="00CD2482">
      <w:pPr>
        <w:suppressAutoHyphens/>
        <w:spacing w:after="0" w:line="240" w:lineRule="auto"/>
        <w:jc w:val="both"/>
        <w:rPr>
          <w:rFonts w:eastAsia="Times New Roman" w:cs="Times New Roman"/>
          <w:bCs/>
          <w:lang w:eastAsia="ar-SA"/>
        </w:rPr>
      </w:pPr>
    </w:p>
    <w:p w14:paraId="74FCE038" w14:textId="77777777" w:rsidR="00CD2482" w:rsidRDefault="00CD2482" w:rsidP="00CD2482">
      <w:pPr>
        <w:suppressAutoHyphens/>
        <w:spacing w:after="0" w:line="240" w:lineRule="auto"/>
        <w:jc w:val="both"/>
        <w:rPr>
          <w:rFonts w:eastAsia="Times New Roman" w:cs="Times New Roman"/>
          <w:b/>
          <w:bCs/>
          <w:lang w:eastAsia="ar-SA"/>
        </w:rPr>
      </w:pPr>
      <w:r w:rsidRPr="0081099D">
        <w:rPr>
          <w:rFonts w:eastAsia="Times New Roman" w:cs="Times New Roman"/>
          <w:b/>
          <w:bCs/>
          <w:lang w:eastAsia="ar-SA"/>
        </w:rPr>
        <w:t xml:space="preserve">§ </w:t>
      </w:r>
      <w:r w:rsidRPr="00AA4429">
        <w:rPr>
          <w:rFonts w:eastAsia="Times New Roman" w:cs="Times New Roman"/>
          <w:b/>
          <w:bCs/>
          <w:lang w:eastAsia="ar-SA"/>
        </w:rPr>
        <w:t>3429 – Ostatní zájmová činnost a rekreace</w:t>
      </w:r>
    </w:p>
    <w:p w14:paraId="2432C991" w14:textId="1C85E35F" w:rsidR="00CD2482" w:rsidRDefault="00CD2482" w:rsidP="00CD2482">
      <w:pPr>
        <w:suppressAutoHyphens/>
        <w:spacing w:after="0" w:line="240" w:lineRule="auto"/>
        <w:jc w:val="both"/>
        <w:rPr>
          <w:rFonts w:eastAsia="Times New Roman" w:cs="Times New Roman"/>
          <w:bCs/>
          <w:lang w:eastAsia="ar-SA"/>
        </w:rPr>
      </w:pPr>
      <w:r w:rsidRPr="00AA4429">
        <w:rPr>
          <w:rFonts w:eastAsia="Times New Roman" w:cs="Times New Roman"/>
          <w:bCs/>
          <w:lang w:eastAsia="ar-SA"/>
        </w:rPr>
        <w:t xml:space="preserve">Z tohoto paragrafu jsou hrazeny neinvestiční výdaje na projekty v rámci participativního rozpočtu Středočeského kraje, které slouží k realizaci zájmové činnosti v obci. Z upraveného rozpočtu ve výši </w:t>
      </w:r>
      <w:r>
        <w:rPr>
          <w:rFonts w:eastAsia="Times New Roman" w:cs="Times New Roman"/>
          <w:bCs/>
          <w:lang w:eastAsia="ar-SA"/>
        </w:rPr>
        <w:t>133 783,97</w:t>
      </w:r>
      <w:r w:rsidRPr="00AA4429">
        <w:rPr>
          <w:rFonts w:eastAsia="Times New Roman" w:cs="Times New Roman"/>
          <w:bCs/>
          <w:lang w:eastAsia="ar-SA"/>
        </w:rPr>
        <w:t xml:space="preserve"> Kč (upraveno rozpočtovými úpravami v rámci kapitoly proj</w:t>
      </w:r>
      <w:r>
        <w:rPr>
          <w:rFonts w:eastAsia="Times New Roman" w:cs="Times New Roman"/>
          <w:bCs/>
          <w:lang w:eastAsia="ar-SA"/>
        </w:rPr>
        <w:t>ednanými radou kraje) bylo vyčerpáno 133 783,97</w:t>
      </w:r>
      <w:r w:rsidRPr="00AA4429">
        <w:rPr>
          <w:rFonts w:eastAsia="Times New Roman" w:cs="Times New Roman"/>
          <w:bCs/>
          <w:lang w:eastAsia="ar-SA"/>
        </w:rPr>
        <w:t xml:space="preserve"> Kč, tj. </w:t>
      </w:r>
      <w:r>
        <w:rPr>
          <w:rFonts w:eastAsia="Times New Roman" w:cs="Times New Roman"/>
          <w:bCs/>
          <w:lang w:eastAsia="ar-SA"/>
        </w:rPr>
        <w:t>10</w:t>
      </w:r>
      <w:r w:rsidRPr="00AA4429">
        <w:rPr>
          <w:rFonts w:eastAsia="Times New Roman" w:cs="Times New Roman"/>
          <w:bCs/>
          <w:lang w:eastAsia="ar-SA"/>
        </w:rPr>
        <w:t>0</w:t>
      </w:r>
      <w:r w:rsidR="00F244F2">
        <w:rPr>
          <w:rFonts w:eastAsia="Times New Roman" w:cs="Times New Roman"/>
          <w:bCs/>
          <w:lang w:eastAsia="ar-SA"/>
        </w:rPr>
        <w:t>,0</w:t>
      </w:r>
      <w:r w:rsidRPr="00AA4429">
        <w:rPr>
          <w:rFonts w:eastAsia="Times New Roman" w:cs="Times New Roman"/>
          <w:bCs/>
          <w:lang w:eastAsia="ar-SA"/>
        </w:rPr>
        <w:t xml:space="preserve"> %.</w:t>
      </w:r>
    </w:p>
    <w:p w14:paraId="4B6B9804" w14:textId="77777777" w:rsidR="00CD2482" w:rsidRDefault="00CD2482" w:rsidP="00CD2482">
      <w:pPr>
        <w:suppressAutoHyphens/>
        <w:spacing w:after="0" w:line="240" w:lineRule="auto"/>
        <w:jc w:val="both"/>
        <w:rPr>
          <w:rFonts w:eastAsia="Times New Roman" w:cs="Times New Roman"/>
          <w:bCs/>
          <w:lang w:eastAsia="ar-SA"/>
        </w:rPr>
      </w:pPr>
    </w:p>
    <w:p w14:paraId="79B3B135" w14:textId="77777777" w:rsidR="00CD2482" w:rsidRDefault="00CD2482" w:rsidP="00CD2482">
      <w:pPr>
        <w:suppressAutoHyphens/>
        <w:spacing w:after="0" w:line="240" w:lineRule="auto"/>
        <w:jc w:val="both"/>
        <w:rPr>
          <w:rFonts w:eastAsia="Times New Roman" w:cs="Times New Roman"/>
          <w:b/>
          <w:bCs/>
          <w:lang w:eastAsia="ar-SA"/>
        </w:rPr>
      </w:pPr>
      <w:r w:rsidRPr="0081099D">
        <w:rPr>
          <w:rFonts w:eastAsia="Times New Roman" w:cs="Times New Roman"/>
          <w:b/>
          <w:bCs/>
          <w:lang w:eastAsia="ar-SA"/>
        </w:rPr>
        <w:t xml:space="preserve">§ </w:t>
      </w:r>
      <w:r w:rsidRPr="00AA4429">
        <w:rPr>
          <w:rFonts w:eastAsia="Times New Roman" w:cs="Times New Roman"/>
          <w:b/>
          <w:bCs/>
          <w:lang w:eastAsia="ar-SA"/>
        </w:rPr>
        <w:t>3745 – Péče o vzhled obcí a veřejnou zeleň</w:t>
      </w:r>
    </w:p>
    <w:p w14:paraId="7DA243B3" w14:textId="594F0370" w:rsidR="00CD2482" w:rsidRDefault="00CD2482" w:rsidP="00CD2482">
      <w:pPr>
        <w:suppressAutoHyphens/>
        <w:spacing w:after="0" w:line="240" w:lineRule="auto"/>
        <w:jc w:val="both"/>
        <w:rPr>
          <w:rFonts w:eastAsia="Times New Roman" w:cs="Times New Roman"/>
          <w:bCs/>
          <w:lang w:eastAsia="ar-SA"/>
        </w:rPr>
      </w:pPr>
      <w:r w:rsidRPr="00AA4429">
        <w:rPr>
          <w:rFonts w:eastAsia="Times New Roman" w:cs="Times New Roman"/>
          <w:bCs/>
          <w:lang w:eastAsia="ar-SA"/>
        </w:rPr>
        <w:t>Z tohoto paragrafu jsou hrazeny neinvestiční výdaje na projekty v rámci participativního rozpočtu</w:t>
      </w:r>
      <w:r>
        <w:rPr>
          <w:rFonts w:eastAsia="Times New Roman" w:cs="Times New Roman"/>
          <w:bCs/>
          <w:lang w:eastAsia="ar-SA"/>
        </w:rPr>
        <w:t xml:space="preserve"> </w:t>
      </w:r>
      <w:r w:rsidRPr="00AA4429">
        <w:rPr>
          <w:rFonts w:eastAsia="Times New Roman" w:cs="Times New Roman"/>
          <w:bCs/>
          <w:lang w:eastAsia="ar-SA"/>
        </w:rPr>
        <w:t>Středočeského kraje, které slouží k péči o veřejnou zelení a vzhled obcí obecně. Z upraveného rozpočtu ve výši 1</w:t>
      </w:r>
      <w:r>
        <w:rPr>
          <w:rFonts w:eastAsia="Times New Roman" w:cs="Times New Roman"/>
          <w:bCs/>
          <w:lang w:eastAsia="ar-SA"/>
        </w:rPr>
        <w:t>48 </w:t>
      </w:r>
      <w:r w:rsidRPr="00AA4429">
        <w:rPr>
          <w:rFonts w:eastAsia="Times New Roman" w:cs="Times New Roman"/>
          <w:bCs/>
          <w:lang w:eastAsia="ar-SA"/>
        </w:rPr>
        <w:t>000</w:t>
      </w:r>
      <w:r>
        <w:rPr>
          <w:rFonts w:eastAsia="Times New Roman" w:cs="Times New Roman"/>
          <w:bCs/>
          <w:lang w:eastAsia="ar-SA"/>
        </w:rPr>
        <w:t>,00</w:t>
      </w:r>
      <w:r w:rsidRPr="00AA4429">
        <w:rPr>
          <w:rFonts w:eastAsia="Times New Roman" w:cs="Times New Roman"/>
          <w:bCs/>
          <w:lang w:eastAsia="ar-SA"/>
        </w:rPr>
        <w:t xml:space="preserve"> Kč (upraveno rozpočtovými úpravam</w:t>
      </w:r>
      <w:r>
        <w:rPr>
          <w:rFonts w:eastAsia="Times New Roman" w:cs="Times New Roman"/>
          <w:bCs/>
          <w:lang w:eastAsia="ar-SA"/>
        </w:rPr>
        <w:t>i v rámci kapitoly projednanými radou kraje</w:t>
      </w:r>
      <w:r w:rsidRPr="00AA4429">
        <w:rPr>
          <w:rFonts w:eastAsia="Times New Roman" w:cs="Times New Roman"/>
          <w:bCs/>
          <w:lang w:eastAsia="ar-SA"/>
        </w:rPr>
        <w:t>)</w:t>
      </w:r>
      <w:r>
        <w:rPr>
          <w:rFonts w:eastAsia="Times New Roman" w:cs="Times New Roman"/>
          <w:bCs/>
          <w:lang w:eastAsia="ar-SA"/>
        </w:rPr>
        <w:t xml:space="preserve"> </w:t>
      </w:r>
      <w:r w:rsidRPr="00AA4429">
        <w:rPr>
          <w:rFonts w:eastAsia="Times New Roman" w:cs="Times New Roman"/>
          <w:bCs/>
          <w:lang w:eastAsia="ar-SA"/>
        </w:rPr>
        <w:t>bylo vyčerpáno 1</w:t>
      </w:r>
      <w:r>
        <w:rPr>
          <w:rFonts w:eastAsia="Times New Roman" w:cs="Times New Roman"/>
          <w:bCs/>
          <w:lang w:eastAsia="ar-SA"/>
        </w:rPr>
        <w:t>48 </w:t>
      </w:r>
      <w:r w:rsidRPr="00AA4429">
        <w:rPr>
          <w:rFonts w:eastAsia="Times New Roman" w:cs="Times New Roman"/>
          <w:bCs/>
          <w:lang w:eastAsia="ar-SA"/>
        </w:rPr>
        <w:t>000</w:t>
      </w:r>
      <w:r>
        <w:rPr>
          <w:rFonts w:eastAsia="Times New Roman" w:cs="Times New Roman"/>
          <w:bCs/>
          <w:lang w:eastAsia="ar-SA"/>
        </w:rPr>
        <w:t>,00</w:t>
      </w:r>
      <w:r w:rsidRPr="00AA4429">
        <w:rPr>
          <w:rFonts w:eastAsia="Times New Roman" w:cs="Times New Roman"/>
          <w:bCs/>
          <w:lang w:eastAsia="ar-SA"/>
        </w:rPr>
        <w:t xml:space="preserve"> Kč, tj. 100</w:t>
      </w:r>
      <w:r w:rsidR="00F244F2">
        <w:rPr>
          <w:rFonts w:eastAsia="Times New Roman" w:cs="Times New Roman"/>
          <w:bCs/>
          <w:lang w:eastAsia="ar-SA"/>
        </w:rPr>
        <w:t xml:space="preserve">,0 </w:t>
      </w:r>
      <w:r w:rsidRPr="00AA4429">
        <w:rPr>
          <w:rFonts w:eastAsia="Times New Roman" w:cs="Times New Roman"/>
          <w:bCs/>
          <w:lang w:eastAsia="ar-SA"/>
        </w:rPr>
        <w:t>%.</w:t>
      </w:r>
    </w:p>
    <w:p w14:paraId="550C1732" w14:textId="77777777" w:rsidR="00CD2482" w:rsidRDefault="00CD2482" w:rsidP="00CD2482">
      <w:pPr>
        <w:suppressAutoHyphens/>
        <w:spacing w:after="0" w:line="240" w:lineRule="auto"/>
        <w:jc w:val="both"/>
        <w:rPr>
          <w:rFonts w:eastAsia="Times New Roman" w:cs="Times New Roman"/>
          <w:bCs/>
          <w:lang w:eastAsia="ar-SA"/>
        </w:rPr>
      </w:pPr>
    </w:p>
    <w:p w14:paraId="4BE2CC07" w14:textId="77777777" w:rsidR="00CD2482" w:rsidRDefault="00CD2482" w:rsidP="00CD2482">
      <w:pPr>
        <w:suppressAutoHyphens/>
        <w:spacing w:after="0" w:line="240" w:lineRule="auto"/>
        <w:jc w:val="both"/>
        <w:rPr>
          <w:rFonts w:eastAsia="Times New Roman" w:cs="Times New Roman"/>
          <w:b/>
          <w:bCs/>
          <w:lang w:eastAsia="ar-SA"/>
        </w:rPr>
      </w:pPr>
      <w:r>
        <w:rPr>
          <w:rFonts w:eastAsia="Times New Roman" w:cs="Times New Roman"/>
          <w:b/>
          <w:bCs/>
          <w:lang w:eastAsia="ar-SA"/>
        </w:rPr>
        <w:t>§ 4350 – Domovy pro seniory</w:t>
      </w:r>
    </w:p>
    <w:p w14:paraId="56BA13D7" w14:textId="1022D2F4" w:rsidR="00CD2482" w:rsidRDefault="00CD2482" w:rsidP="00CD2482">
      <w:pPr>
        <w:suppressAutoHyphens/>
        <w:spacing w:after="0" w:line="240" w:lineRule="auto"/>
        <w:jc w:val="both"/>
        <w:rPr>
          <w:rFonts w:eastAsia="Times New Roman" w:cs="Times New Roman"/>
          <w:bCs/>
          <w:lang w:eastAsia="ar-SA"/>
        </w:rPr>
      </w:pPr>
      <w:r>
        <w:rPr>
          <w:rFonts w:eastAsia="Times New Roman" w:cs="Times New Roman"/>
          <w:bCs/>
          <w:lang w:eastAsia="ar-SA"/>
        </w:rPr>
        <w:t>Z tohoto paragrafu jsou hrazeny neinvestiční výdaje na projekty v rámci participativního rozpočtu Středočeského kraje, které slouží k výdajům domovů pro seniory na území kraje. Z upraveného rozpočtu ve výši 140 180,00 Kč (upraveno rozpočtovými úpravami v rámci kapitoly projednanými radou kraje) bylo vyčerpáno 140 180,00 Kč, tj. 100</w:t>
      </w:r>
      <w:r w:rsidR="00F244F2">
        <w:rPr>
          <w:rFonts w:eastAsia="Times New Roman" w:cs="Times New Roman"/>
          <w:bCs/>
          <w:lang w:eastAsia="ar-SA"/>
        </w:rPr>
        <w:t>,0</w:t>
      </w:r>
      <w:r>
        <w:rPr>
          <w:rFonts w:eastAsia="Times New Roman" w:cs="Times New Roman"/>
          <w:bCs/>
          <w:lang w:eastAsia="ar-SA"/>
        </w:rPr>
        <w:t xml:space="preserve"> %.</w:t>
      </w:r>
    </w:p>
    <w:p w14:paraId="3B97FD24" w14:textId="77777777" w:rsidR="00CD2482" w:rsidRDefault="00CD2482" w:rsidP="00CD2482">
      <w:pPr>
        <w:suppressAutoHyphens/>
        <w:spacing w:after="0" w:line="240" w:lineRule="auto"/>
        <w:jc w:val="both"/>
        <w:rPr>
          <w:rFonts w:eastAsia="Times New Roman" w:cs="Times New Roman"/>
          <w:bCs/>
          <w:lang w:eastAsia="ar-SA"/>
        </w:rPr>
      </w:pPr>
    </w:p>
    <w:p w14:paraId="50D72658" w14:textId="77777777" w:rsidR="00CD2482" w:rsidRPr="0081099D" w:rsidRDefault="00CD2482" w:rsidP="00CD2482">
      <w:pPr>
        <w:suppressAutoHyphens/>
        <w:spacing w:after="0" w:line="240" w:lineRule="auto"/>
        <w:jc w:val="both"/>
        <w:rPr>
          <w:rFonts w:eastAsia="Times New Roman" w:cs="Times New Roman"/>
          <w:lang w:eastAsia="ar-SA"/>
        </w:rPr>
      </w:pPr>
      <w:r w:rsidRPr="0081099D">
        <w:rPr>
          <w:rFonts w:eastAsia="Times New Roman" w:cs="Times New Roman"/>
          <w:b/>
          <w:bCs/>
          <w:lang w:eastAsia="ar-SA"/>
        </w:rPr>
        <w:t xml:space="preserve">§ 6172 – Činnost regionální správy </w:t>
      </w:r>
    </w:p>
    <w:p w14:paraId="68E6D6C2" w14:textId="0927E8B5" w:rsidR="00CD2482" w:rsidRDefault="00CD2482" w:rsidP="00CD2482">
      <w:pPr>
        <w:suppressAutoHyphens/>
        <w:spacing w:after="0" w:line="240" w:lineRule="auto"/>
        <w:jc w:val="both"/>
        <w:rPr>
          <w:rFonts w:eastAsia="Times New Roman" w:cs="Times New Roman"/>
          <w:lang w:eastAsia="ar-SA"/>
        </w:rPr>
      </w:pPr>
      <w:r w:rsidRPr="00AA4429">
        <w:rPr>
          <w:rFonts w:eastAsia="Times New Roman" w:cs="Times New Roman"/>
          <w:lang w:eastAsia="ar-SA"/>
        </w:rPr>
        <w:t xml:space="preserve">Schválený rozpočet ve výši </w:t>
      </w:r>
      <w:r>
        <w:rPr>
          <w:rFonts w:eastAsia="Times New Roman" w:cs="Times New Roman"/>
          <w:lang w:eastAsia="ar-SA"/>
        </w:rPr>
        <w:t>4 100 000,00</w:t>
      </w:r>
      <w:r w:rsidRPr="00AA4429">
        <w:rPr>
          <w:rFonts w:eastAsia="Times New Roman" w:cs="Times New Roman"/>
          <w:lang w:eastAsia="ar-SA"/>
        </w:rPr>
        <w:t xml:space="preserve"> Kč byl</w:t>
      </w:r>
      <w:r>
        <w:rPr>
          <w:rFonts w:eastAsia="Times New Roman" w:cs="Times New Roman"/>
          <w:lang w:eastAsia="ar-SA"/>
        </w:rPr>
        <w:t xml:space="preserve"> navýšen rozpočtovou úpravou č. 009/11/2021, schválenou usnesením č. 017-06/2021/RK ze dne 11.2.2021 o 24 465 101,00 Kč </w:t>
      </w:r>
      <w:r w:rsidRPr="00BC3EF4">
        <w:rPr>
          <w:rFonts w:eastAsia="Times New Roman" w:cs="Times New Roman"/>
          <w:lang w:eastAsia="ar-SA"/>
        </w:rPr>
        <w:t>a dalšími rozpočtovými úpravami (RO č. 079/23/2021, usn. č. 007-06/2021/ZK ze dne 26.4.2021 o 141 452,63 Kč a RÚ č. 468/11/2021, usn</w:t>
      </w:r>
      <w:r w:rsidR="00F244F2">
        <w:rPr>
          <w:rFonts w:eastAsia="Times New Roman" w:cs="Times New Roman"/>
          <w:lang w:eastAsia="ar-SA"/>
        </w:rPr>
        <w:t>esení</w:t>
      </w:r>
      <w:r w:rsidRPr="00BC3EF4">
        <w:rPr>
          <w:rFonts w:eastAsia="Times New Roman" w:cs="Times New Roman"/>
          <w:lang w:eastAsia="ar-SA"/>
        </w:rPr>
        <w:t xml:space="preserve"> č. 007-34/2021/RK ze dne 9. 9. 2021 o 308 350,00 Kč) na 29 014 903,63 Kč.  Celkem byly čerpány finanční prostředky ve výši 18 544 023,00 Kč, což je 63,9 % rozpočtovaných prostředků.</w:t>
      </w:r>
      <w:r>
        <w:rPr>
          <w:rFonts w:eastAsia="Times New Roman" w:cs="Times New Roman"/>
          <w:lang w:eastAsia="ar-SA"/>
        </w:rPr>
        <w:t xml:space="preserve"> </w:t>
      </w:r>
      <w:r w:rsidRPr="00AA4429">
        <w:rPr>
          <w:rFonts w:eastAsia="Times New Roman" w:cs="Times New Roman"/>
          <w:lang w:eastAsia="ar-SA"/>
        </w:rPr>
        <w:t xml:space="preserve">V rámci paragrafu byly čerpány výdaje na následující položky: </w:t>
      </w:r>
    </w:p>
    <w:p w14:paraId="7AC9B3AE" w14:textId="77777777" w:rsidR="00CD2482" w:rsidRPr="00AA4429" w:rsidRDefault="00CD2482" w:rsidP="00CD2482">
      <w:pPr>
        <w:suppressAutoHyphens/>
        <w:spacing w:after="0" w:line="240" w:lineRule="auto"/>
        <w:jc w:val="both"/>
        <w:rPr>
          <w:rFonts w:eastAsia="Times New Roman" w:cs="Times New Roman"/>
          <w:lang w:eastAsia="ar-SA"/>
        </w:rPr>
      </w:pPr>
    </w:p>
    <w:p w14:paraId="26FF06EF" w14:textId="77777777" w:rsidR="00CD2482" w:rsidRPr="00AA4429" w:rsidRDefault="00CD2482" w:rsidP="00CD2482">
      <w:pPr>
        <w:suppressAutoHyphens/>
        <w:spacing w:after="0" w:line="240" w:lineRule="auto"/>
        <w:jc w:val="both"/>
        <w:rPr>
          <w:rFonts w:eastAsia="Times New Roman" w:cs="Times New Roman"/>
          <w:lang w:eastAsia="ar-SA"/>
        </w:rPr>
      </w:pPr>
      <w:bookmarkStart w:id="54" w:name="_Hlk98855611"/>
      <w:r>
        <w:rPr>
          <w:rFonts w:eastAsia="Times New Roman" w:cs="Times New Roman"/>
          <w:b/>
          <w:bCs/>
          <w:lang w:eastAsia="ar-SA"/>
        </w:rPr>
        <w:t>5163 – s</w:t>
      </w:r>
      <w:r w:rsidRPr="00AA4429">
        <w:rPr>
          <w:rFonts w:eastAsia="Times New Roman" w:cs="Times New Roman"/>
          <w:b/>
          <w:bCs/>
          <w:lang w:eastAsia="ar-SA"/>
        </w:rPr>
        <w:t xml:space="preserve">lužby peněžních ústavů </w:t>
      </w:r>
    </w:p>
    <w:p w14:paraId="20B9C7E2" w14:textId="080BC86D" w:rsidR="00CD2482" w:rsidRDefault="00CD2482" w:rsidP="003421C2">
      <w:pPr>
        <w:suppressAutoHyphens/>
        <w:spacing w:after="0" w:line="240" w:lineRule="auto"/>
        <w:jc w:val="both"/>
        <w:rPr>
          <w:rFonts w:eastAsia="Times New Roman" w:cs="Times New Roman"/>
          <w:lang w:eastAsia="ar-SA"/>
        </w:rPr>
      </w:pPr>
      <w:r>
        <w:rPr>
          <w:rFonts w:eastAsia="Times New Roman" w:cs="Times New Roman"/>
          <w:lang w:eastAsia="ar-SA"/>
        </w:rPr>
        <w:t>Upravený rozpočet ve výši 24 465 101,00 Kč určený na úhradu pojištění majetku byl použit d</w:t>
      </w:r>
      <w:r w:rsidRPr="00AA4429">
        <w:rPr>
          <w:rFonts w:eastAsia="Times New Roman" w:cs="Times New Roman"/>
          <w:lang w:eastAsia="ar-SA"/>
        </w:rPr>
        <w:t>ne 1</w:t>
      </w:r>
      <w:r>
        <w:rPr>
          <w:rFonts w:eastAsia="Times New Roman" w:cs="Times New Roman"/>
          <w:lang w:eastAsia="ar-SA"/>
        </w:rPr>
        <w:t>9</w:t>
      </w:r>
      <w:r w:rsidRPr="00AA4429">
        <w:rPr>
          <w:rFonts w:eastAsia="Times New Roman" w:cs="Times New Roman"/>
          <w:lang w:eastAsia="ar-SA"/>
        </w:rPr>
        <w:t>. 2. 202</w:t>
      </w:r>
      <w:r>
        <w:rPr>
          <w:rFonts w:eastAsia="Times New Roman" w:cs="Times New Roman"/>
          <w:lang w:eastAsia="ar-SA"/>
        </w:rPr>
        <w:t>1</w:t>
      </w:r>
      <w:r w:rsidR="00CE7CE3">
        <w:rPr>
          <w:rFonts w:eastAsia="Times New Roman" w:cs="Times New Roman"/>
          <w:lang w:eastAsia="ar-SA"/>
        </w:rPr>
        <w:t xml:space="preserve"> </w:t>
      </w:r>
      <w:r>
        <w:rPr>
          <w:rFonts w:eastAsia="Times New Roman" w:cs="Times New Roman"/>
          <w:lang w:eastAsia="ar-SA"/>
        </w:rPr>
        <w:t>na úhradu faktury</w:t>
      </w:r>
      <w:r w:rsidRPr="00AA4429">
        <w:rPr>
          <w:rFonts w:eastAsia="Times New Roman" w:cs="Times New Roman"/>
          <w:lang w:eastAsia="ar-SA"/>
        </w:rPr>
        <w:t xml:space="preserve"> z kapitoly </w:t>
      </w:r>
      <w:r>
        <w:rPr>
          <w:rFonts w:eastAsia="Times New Roman" w:cs="Times New Roman"/>
          <w:lang w:eastAsia="ar-SA"/>
        </w:rPr>
        <w:t>11</w:t>
      </w:r>
      <w:r w:rsidR="00F244F2">
        <w:rPr>
          <w:rFonts w:eastAsia="Times New Roman" w:cs="Times New Roman"/>
          <w:lang w:eastAsia="ar-SA"/>
        </w:rPr>
        <w:t xml:space="preserve"> – Správa majetku</w:t>
      </w:r>
      <w:r w:rsidRPr="00AA4429">
        <w:rPr>
          <w:rFonts w:eastAsia="Times New Roman" w:cs="Times New Roman"/>
          <w:lang w:eastAsia="ar-SA"/>
        </w:rPr>
        <w:t xml:space="preserve"> za pojištění majetku týkající se pojištění majetku příspěvkových organizací Středočeského kraje a jeho akciových společností. Současně byly vystaveny faktury k refundaci všem příspěvkovým organizacím a akciovým společnostem Středočeského kraje</w:t>
      </w:r>
      <w:r>
        <w:rPr>
          <w:rFonts w:eastAsia="Times New Roman" w:cs="Times New Roman"/>
          <w:lang w:eastAsia="ar-SA"/>
        </w:rPr>
        <w:t xml:space="preserve">, za které kraj pojištění majetku uhradil. Příspěvková organizace Galerie Středočeského kraje svoji pohledávku ve výši 490 765 Kč, coby doplatek pojištění majetku, dosud neuhradila. </w:t>
      </w:r>
    </w:p>
    <w:p w14:paraId="5FC11928" w14:textId="77777777" w:rsidR="00CE7CE3" w:rsidRDefault="00CE7CE3" w:rsidP="003421C2">
      <w:pPr>
        <w:spacing w:after="0" w:line="240" w:lineRule="auto"/>
        <w:jc w:val="both"/>
        <w:rPr>
          <w:lang w:eastAsia="ar-SA"/>
        </w:rPr>
      </w:pPr>
      <w:r>
        <w:rPr>
          <w:lang w:eastAsia="ar-SA"/>
        </w:rPr>
        <w:t>Dále bylo z této položky uhrazeno pojištění vozidel a povinné ručení ve výši 13 747 546,00 Kč týkající se vozidel příspěvkových organizací Středočeského kraje a jeho akciových společností. Pojištění bylo na tyto organizace přefakturováno s tím, že úhrady přefakturací ve výši 13 741 786,00 Kč nebyly zaúčtovány kompenzačně v rámci položky 5163, ale jsou vykázány v příjmech na položce 2329. Společnost Středočeské vodní cesty, z. s. svoji pohledávku ve výši 5 760 Kč dosud neuhradila.</w:t>
      </w:r>
    </w:p>
    <w:bookmarkEnd w:id="54"/>
    <w:p w14:paraId="37EE84D8" w14:textId="77777777" w:rsidR="00CD2482" w:rsidRPr="00AA4429" w:rsidRDefault="00CD2482" w:rsidP="00CD2482">
      <w:pPr>
        <w:suppressAutoHyphens/>
        <w:spacing w:after="0" w:line="240" w:lineRule="auto"/>
        <w:jc w:val="both"/>
        <w:rPr>
          <w:rFonts w:eastAsia="Times New Roman" w:cs="Times New Roman"/>
          <w:lang w:eastAsia="ar-SA"/>
        </w:rPr>
      </w:pPr>
    </w:p>
    <w:p w14:paraId="546B1980" w14:textId="77777777" w:rsidR="00CD2482" w:rsidRPr="00AA4429" w:rsidRDefault="00CD2482" w:rsidP="00CD2482">
      <w:pPr>
        <w:suppressAutoHyphens/>
        <w:spacing w:after="0" w:line="240" w:lineRule="auto"/>
        <w:jc w:val="both"/>
        <w:rPr>
          <w:rFonts w:eastAsia="Times New Roman" w:cs="Times New Roman"/>
          <w:b/>
          <w:bCs/>
          <w:lang w:eastAsia="ar-SA"/>
        </w:rPr>
      </w:pPr>
      <w:r>
        <w:rPr>
          <w:rFonts w:eastAsia="Times New Roman" w:cs="Times New Roman"/>
          <w:b/>
          <w:bCs/>
          <w:lang w:eastAsia="ar-SA"/>
        </w:rPr>
        <w:t>5168 – z</w:t>
      </w:r>
      <w:r w:rsidRPr="00AA4429">
        <w:rPr>
          <w:rFonts w:eastAsia="Times New Roman" w:cs="Times New Roman"/>
          <w:b/>
          <w:bCs/>
          <w:lang w:eastAsia="ar-SA"/>
        </w:rPr>
        <w:t xml:space="preserve">pracování dat a služby související s informačními a komunikačními technologiemi </w:t>
      </w:r>
    </w:p>
    <w:p w14:paraId="2BBE24D5" w14:textId="77777777" w:rsidR="00CD2482" w:rsidRDefault="00CD2482" w:rsidP="00CD2482">
      <w:pPr>
        <w:suppressAutoHyphens/>
        <w:spacing w:after="0" w:line="240" w:lineRule="auto"/>
        <w:jc w:val="both"/>
        <w:rPr>
          <w:rFonts w:eastAsia="Times New Roman" w:cs="Times New Roman"/>
          <w:lang w:eastAsia="ar-SA"/>
        </w:rPr>
      </w:pPr>
      <w:r w:rsidRPr="00AA4429">
        <w:rPr>
          <w:rFonts w:eastAsia="Times New Roman" w:cs="Times New Roman"/>
          <w:lang w:eastAsia="ar-SA"/>
        </w:rPr>
        <w:t xml:space="preserve">Z této položky </w:t>
      </w:r>
      <w:r>
        <w:rPr>
          <w:rFonts w:eastAsia="Times New Roman" w:cs="Times New Roman"/>
          <w:lang w:eastAsia="ar-SA"/>
        </w:rPr>
        <w:t xml:space="preserve">byly </w:t>
      </w:r>
      <w:r w:rsidRPr="00AA4429">
        <w:rPr>
          <w:rFonts w:eastAsia="Times New Roman" w:cs="Times New Roman"/>
          <w:lang w:eastAsia="ar-SA"/>
        </w:rPr>
        <w:t>hrazena servisní podpora na provoz a rozšiřování informačního systému Participativního rozpočtu od společnosti InQool a.</w:t>
      </w:r>
      <w:r>
        <w:rPr>
          <w:rFonts w:eastAsia="Times New Roman" w:cs="Times New Roman"/>
          <w:lang w:eastAsia="ar-SA"/>
        </w:rPr>
        <w:t xml:space="preserve"> </w:t>
      </w:r>
      <w:r w:rsidRPr="00AA4429">
        <w:rPr>
          <w:rFonts w:eastAsia="Times New Roman" w:cs="Times New Roman"/>
          <w:lang w:eastAsia="ar-SA"/>
        </w:rPr>
        <w:t xml:space="preserve">s. Z upraveného rozpočtu ve výši </w:t>
      </w:r>
      <w:r>
        <w:rPr>
          <w:rFonts w:eastAsia="Times New Roman" w:cs="Times New Roman"/>
          <w:lang w:eastAsia="ar-SA"/>
        </w:rPr>
        <w:t>282 952,63 Kč</w:t>
      </w:r>
      <w:r w:rsidRPr="00AA4429">
        <w:rPr>
          <w:rFonts w:eastAsia="Times New Roman" w:cs="Times New Roman"/>
          <w:lang w:eastAsia="ar-SA"/>
        </w:rPr>
        <w:t xml:space="preserve"> bylo vyčerpáno </w:t>
      </w:r>
      <w:r>
        <w:rPr>
          <w:rFonts w:eastAsia="Times New Roman" w:cs="Times New Roman"/>
          <w:lang w:eastAsia="ar-SA"/>
        </w:rPr>
        <w:t>87 120,00</w:t>
      </w:r>
      <w:r w:rsidRPr="00AA4429">
        <w:rPr>
          <w:rFonts w:eastAsia="Times New Roman" w:cs="Times New Roman"/>
          <w:lang w:eastAsia="ar-SA"/>
        </w:rPr>
        <w:t xml:space="preserve"> Kč.</w:t>
      </w:r>
    </w:p>
    <w:p w14:paraId="3897D758" w14:textId="77777777" w:rsidR="00CD2482" w:rsidRPr="00AA4429" w:rsidRDefault="00CD2482" w:rsidP="00CD2482">
      <w:pPr>
        <w:suppressAutoHyphens/>
        <w:spacing w:after="0" w:line="240" w:lineRule="auto"/>
        <w:jc w:val="both"/>
        <w:rPr>
          <w:rFonts w:eastAsia="Times New Roman" w:cs="Times New Roman"/>
          <w:lang w:eastAsia="ar-SA"/>
        </w:rPr>
      </w:pPr>
    </w:p>
    <w:p w14:paraId="342D2E40" w14:textId="77777777" w:rsidR="00CD2482" w:rsidRPr="00AA4429" w:rsidRDefault="00CD2482" w:rsidP="00CD2482">
      <w:pPr>
        <w:suppressAutoHyphens/>
        <w:spacing w:after="0" w:line="240" w:lineRule="auto"/>
        <w:jc w:val="both"/>
        <w:rPr>
          <w:rFonts w:eastAsia="Times New Roman" w:cs="Times New Roman"/>
          <w:lang w:eastAsia="ar-SA"/>
        </w:rPr>
      </w:pPr>
      <w:r>
        <w:rPr>
          <w:rFonts w:eastAsia="Times New Roman" w:cs="Times New Roman"/>
          <w:b/>
          <w:bCs/>
          <w:lang w:eastAsia="ar-SA"/>
        </w:rPr>
        <w:t>5169 – n</w:t>
      </w:r>
      <w:r w:rsidRPr="00AA4429">
        <w:rPr>
          <w:rFonts w:eastAsia="Times New Roman" w:cs="Times New Roman"/>
          <w:b/>
          <w:bCs/>
          <w:lang w:eastAsia="ar-SA"/>
        </w:rPr>
        <w:t xml:space="preserve">ákup ostatních služeb </w:t>
      </w:r>
    </w:p>
    <w:p w14:paraId="44541A93" w14:textId="77777777" w:rsidR="00CD2482" w:rsidRDefault="00CD2482" w:rsidP="00CD2482">
      <w:pPr>
        <w:suppressAutoHyphens/>
        <w:spacing w:after="0" w:line="240" w:lineRule="auto"/>
        <w:jc w:val="both"/>
        <w:rPr>
          <w:rFonts w:eastAsia="Times New Roman" w:cs="Times New Roman"/>
          <w:lang w:eastAsia="ar-SA"/>
        </w:rPr>
      </w:pPr>
      <w:r w:rsidRPr="00AA4429">
        <w:rPr>
          <w:rFonts w:eastAsia="Times New Roman" w:cs="Times New Roman"/>
          <w:lang w:eastAsia="ar-SA"/>
        </w:rPr>
        <w:t xml:space="preserve">Tato položka </w:t>
      </w:r>
      <w:r>
        <w:rPr>
          <w:rFonts w:eastAsia="Times New Roman" w:cs="Times New Roman"/>
          <w:lang w:eastAsia="ar-SA"/>
        </w:rPr>
        <w:t>byla</w:t>
      </w:r>
      <w:r w:rsidRPr="00AA4429">
        <w:rPr>
          <w:rFonts w:eastAsia="Times New Roman" w:cs="Times New Roman"/>
          <w:lang w:eastAsia="ar-SA"/>
        </w:rPr>
        <w:t xml:space="preserve"> určena na úhradu služeb souvisejících s agendou Odboru majetku a hospodářské správy (znalecké posudky, geometrické plány apod.), a to vždy na základě uzavřených smluv o dílo či objednávek souvisejících pouze s regionální správou – vlastní správní činnost kraje. </w:t>
      </w:r>
      <w:r>
        <w:rPr>
          <w:rFonts w:eastAsia="Times New Roman" w:cs="Times New Roman"/>
          <w:lang w:eastAsia="ar-SA"/>
        </w:rPr>
        <w:t>Z upraveného rozpočtu rozpočtovou úpravou č. 037/11/2021</w:t>
      </w:r>
      <w:r w:rsidRPr="00185C15">
        <w:rPr>
          <w:rFonts w:eastAsia="Times New Roman" w:cs="Times New Roman"/>
          <w:lang w:eastAsia="ar-SA"/>
        </w:rPr>
        <w:t xml:space="preserve"> </w:t>
      </w:r>
      <w:r>
        <w:rPr>
          <w:rFonts w:eastAsia="Times New Roman" w:cs="Times New Roman"/>
          <w:lang w:eastAsia="ar-SA"/>
        </w:rPr>
        <w:t xml:space="preserve">ve výši 48 231,00 Kč, </w:t>
      </w:r>
      <w:r w:rsidRPr="00AA4429">
        <w:rPr>
          <w:rFonts w:eastAsia="Times New Roman" w:cs="Times New Roman"/>
          <w:lang w:eastAsia="ar-SA"/>
        </w:rPr>
        <w:t>v rámci kapitoly projednan</w:t>
      </w:r>
      <w:r>
        <w:rPr>
          <w:rFonts w:eastAsia="Times New Roman" w:cs="Times New Roman"/>
          <w:lang w:eastAsia="ar-SA"/>
        </w:rPr>
        <w:t>ou</w:t>
      </w:r>
      <w:r w:rsidRPr="00AA4429">
        <w:rPr>
          <w:rFonts w:eastAsia="Times New Roman" w:cs="Times New Roman"/>
          <w:lang w:eastAsia="ar-SA"/>
        </w:rPr>
        <w:t xml:space="preserve"> s příslušným členem </w:t>
      </w:r>
      <w:r>
        <w:rPr>
          <w:rFonts w:eastAsia="Times New Roman" w:cs="Times New Roman"/>
          <w:lang w:eastAsia="ar-SA"/>
        </w:rPr>
        <w:t>rady kraje,</w:t>
      </w:r>
      <w:r w:rsidRPr="00AA4429">
        <w:rPr>
          <w:rFonts w:eastAsia="Times New Roman" w:cs="Times New Roman"/>
          <w:lang w:eastAsia="ar-SA"/>
        </w:rPr>
        <w:t xml:space="preserve"> </w:t>
      </w:r>
      <w:r>
        <w:rPr>
          <w:rFonts w:eastAsia="Times New Roman" w:cs="Times New Roman"/>
          <w:lang w:eastAsia="ar-SA"/>
        </w:rPr>
        <w:t xml:space="preserve">nebylo čerpáno. </w:t>
      </w:r>
    </w:p>
    <w:p w14:paraId="0835FADB" w14:textId="77777777" w:rsidR="00CD2482" w:rsidRPr="00AA4429" w:rsidRDefault="00CD2482" w:rsidP="00CD2482">
      <w:pPr>
        <w:suppressAutoHyphens/>
        <w:spacing w:after="0" w:line="240" w:lineRule="auto"/>
        <w:jc w:val="both"/>
        <w:rPr>
          <w:rFonts w:eastAsia="Times New Roman" w:cs="Times New Roman"/>
          <w:lang w:eastAsia="ar-SA"/>
        </w:rPr>
      </w:pPr>
    </w:p>
    <w:p w14:paraId="19E563ED" w14:textId="77777777" w:rsidR="00CD2482" w:rsidRDefault="00CD2482" w:rsidP="00CD2482">
      <w:pPr>
        <w:suppressAutoHyphens/>
        <w:spacing w:after="0" w:line="240" w:lineRule="auto"/>
        <w:jc w:val="both"/>
        <w:rPr>
          <w:rFonts w:eastAsia="Times New Roman" w:cs="Times New Roman"/>
          <w:b/>
          <w:bCs/>
          <w:lang w:eastAsia="ar-SA"/>
        </w:rPr>
      </w:pPr>
      <w:r>
        <w:rPr>
          <w:rFonts w:eastAsia="Times New Roman" w:cs="Times New Roman"/>
          <w:b/>
          <w:bCs/>
          <w:lang w:eastAsia="ar-SA"/>
        </w:rPr>
        <w:t>5362 – p</w:t>
      </w:r>
      <w:r w:rsidRPr="00AA4429">
        <w:rPr>
          <w:rFonts w:eastAsia="Times New Roman" w:cs="Times New Roman"/>
          <w:b/>
          <w:bCs/>
          <w:lang w:eastAsia="ar-SA"/>
        </w:rPr>
        <w:t>latby daní a poplatků</w:t>
      </w:r>
    </w:p>
    <w:p w14:paraId="10372FB3" w14:textId="4888270D" w:rsidR="00CD2482" w:rsidRPr="00DD317A" w:rsidRDefault="00CD2482" w:rsidP="00CD2482">
      <w:pPr>
        <w:suppressAutoHyphens/>
        <w:spacing w:after="0" w:line="240" w:lineRule="auto"/>
        <w:jc w:val="both"/>
        <w:rPr>
          <w:rFonts w:eastAsia="Times New Roman" w:cs="Times New Roman"/>
          <w:bCs/>
          <w:lang w:eastAsia="ar-SA"/>
        </w:rPr>
      </w:pPr>
      <w:r w:rsidRPr="00DD317A">
        <w:rPr>
          <w:rFonts w:eastAsia="Times New Roman" w:cs="Times New Roman"/>
          <w:bCs/>
          <w:lang w:eastAsia="ar-SA"/>
        </w:rPr>
        <w:t xml:space="preserve">Z upraveného rozpočtu ve výši </w:t>
      </w:r>
      <w:r>
        <w:rPr>
          <w:rFonts w:eastAsia="Times New Roman" w:cs="Times New Roman"/>
          <w:bCs/>
          <w:lang w:eastAsia="ar-SA"/>
        </w:rPr>
        <w:t>4 218 619</w:t>
      </w:r>
      <w:r w:rsidRPr="00DD317A">
        <w:rPr>
          <w:rFonts w:eastAsia="Times New Roman" w:cs="Times New Roman"/>
          <w:bCs/>
          <w:lang w:eastAsia="ar-SA"/>
        </w:rPr>
        <w:t>,00 Kč byla uhrazena da</w:t>
      </w:r>
      <w:r>
        <w:rPr>
          <w:rFonts w:eastAsia="Times New Roman" w:cs="Times New Roman"/>
          <w:bCs/>
          <w:lang w:eastAsia="ar-SA"/>
        </w:rPr>
        <w:t>ň</w:t>
      </w:r>
      <w:r w:rsidRPr="00DD317A">
        <w:rPr>
          <w:rFonts w:eastAsia="Times New Roman" w:cs="Times New Roman"/>
          <w:bCs/>
          <w:lang w:eastAsia="ar-SA"/>
        </w:rPr>
        <w:t xml:space="preserve"> z</w:t>
      </w:r>
      <w:r>
        <w:rPr>
          <w:rFonts w:eastAsia="Times New Roman" w:cs="Times New Roman"/>
          <w:bCs/>
          <w:lang w:eastAsia="ar-SA"/>
        </w:rPr>
        <w:t> </w:t>
      </w:r>
      <w:r w:rsidRPr="00DD317A">
        <w:rPr>
          <w:rFonts w:eastAsia="Times New Roman" w:cs="Times New Roman"/>
          <w:bCs/>
          <w:lang w:eastAsia="ar-SA"/>
        </w:rPr>
        <w:t>nemovitostí</w:t>
      </w:r>
      <w:r>
        <w:rPr>
          <w:rFonts w:eastAsia="Times New Roman" w:cs="Times New Roman"/>
          <w:bCs/>
          <w:lang w:eastAsia="ar-SA"/>
        </w:rPr>
        <w:t xml:space="preserve"> Středočeského kraje ve výši 4 218 592,00</w:t>
      </w:r>
      <w:r w:rsidR="00F244F2">
        <w:rPr>
          <w:rFonts w:eastAsia="Times New Roman" w:cs="Times New Roman"/>
          <w:bCs/>
          <w:lang w:eastAsia="ar-SA"/>
        </w:rPr>
        <w:t xml:space="preserve"> Kč.</w:t>
      </w:r>
    </w:p>
    <w:p w14:paraId="302DAD23" w14:textId="77777777" w:rsidR="00CD2482" w:rsidRDefault="00CD2482" w:rsidP="00CD2482">
      <w:pPr>
        <w:suppressAutoHyphens/>
        <w:spacing w:after="0" w:line="240" w:lineRule="auto"/>
        <w:jc w:val="both"/>
        <w:rPr>
          <w:rFonts w:eastAsia="Times New Roman" w:cs="Times New Roman"/>
          <w:b/>
          <w:bCs/>
          <w:lang w:eastAsia="ar-SA"/>
        </w:rPr>
      </w:pPr>
    </w:p>
    <w:p w14:paraId="6357D9A6" w14:textId="77777777" w:rsidR="00CD2482" w:rsidRDefault="00CD2482" w:rsidP="00CD2482">
      <w:pPr>
        <w:suppressAutoHyphens/>
        <w:spacing w:after="0" w:line="240" w:lineRule="auto"/>
        <w:jc w:val="both"/>
        <w:rPr>
          <w:rFonts w:eastAsia="Times New Roman" w:cs="Times New Roman"/>
          <w:b/>
          <w:bCs/>
          <w:lang w:eastAsia="ar-SA"/>
        </w:rPr>
      </w:pPr>
    </w:p>
    <w:p w14:paraId="3C45AF83" w14:textId="77777777" w:rsidR="00CD2482" w:rsidRPr="00CE418B" w:rsidRDefault="00CD2482" w:rsidP="00CD2482">
      <w:pPr>
        <w:suppressAutoHyphens/>
        <w:spacing w:after="0" w:line="240" w:lineRule="auto"/>
        <w:jc w:val="both"/>
        <w:rPr>
          <w:rFonts w:eastAsia="Times New Roman" w:cs="Times New Roman"/>
          <w:b/>
          <w:bCs/>
          <w:sz w:val="24"/>
          <w:szCs w:val="24"/>
          <w:u w:val="single"/>
          <w:lang w:eastAsia="ar-SA"/>
        </w:rPr>
      </w:pPr>
      <w:r w:rsidRPr="00CE418B">
        <w:rPr>
          <w:rFonts w:eastAsia="Times New Roman" w:cs="Times New Roman"/>
          <w:b/>
          <w:bCs/>
          <w:sz w:val="24"/>
          <w:szCs w:val="24"/>
          <w:u w:val="single"/>
          <w:lang w:eastAsia="ar-SA"/>
        </w:rPr>
        <w:t xml:space="preserve">Kapitálové výdaje </w:t>
      </w:r>
    </w:p>
    <w:p w14:paraId="586B183E" w14:textId="77777777" w:rsidR="00CD2482" w:rsidRPr="00CE418B" w:rsidRDefault="00CD2482" w:rsidP="00CD2482">
      <w:pPr>
        <w:suppressAutoHyphens/>
        <w:spacing w:after="0" w:line="240" w:lineRule="auto"/>
        <w:jc w:val="both"/>
        <w:rPr>
          <w:rFonts w:eastAsia="Times New Roman" w:cs="Times New Roman"/>
          <w:sz w:val="24"/>
          <w:szCs w:val="24"/>
          <w:u w:val="single"/>
          <w:lang w:eastAsia="ar-SA"/>
        </w:rPr>
      </w:pPr>
    </w:p>
    <w:p w14:paraId="1F8DF2B2" w14:textId="77777777" w:rsidR="00CD2482" w:rsidRDefault="00CD2482" w:rsidP="00CD2482">
      <w:pPr>
        <w:suppressAutoHyphens/>
        <w:spacing w:after="0" w:line="240" w:lineRule="auto"/>
        <w:jc w:val="both"/>
        <w:rPr>
          <w:rFonts w:eastAsia="Times New Roman" w:cs="Times New Roman"/>
          <w:b/>
          <w:bCs/>
          <w:lang w:eastAsia="ar-SA"/>
        </w:rPr>
      </w:pPr>
      <w:r w:rsidRPr="00CE418B">
        <w:rPr>
          <w:rFonts w:eastAsia="Times New Roman" w:cs="Times New Roman"/>
          <w:b/>
          <w:bCs/>
          <w:lang w:eastAsia="ar-SA"/>
        </w:rPr>
        <w:t xml:space="preserve">§ 3613 – Nebytové hospodářství </w:t>
      </w:r>
    </w:p>
    <w:p w14:paraId="23A446EC" w14:textId="77777777" w:rsidR="00CD2482" w:rsidRDefault="00CD2482" w:rsidP="00CD2482">
      <w:pPr>
        <w:suppressAutoHyphens/>
        <w:spacing w:after="0" w:line="240" w:lineRule="auto"/>
        <w:jc w:val="both"/>
        <w:rPr>
          <w:rFonts w:eastAsia="Times New Roman" w:cs="Times New Roman"/>
          <w:lang w:eastAsia="ar-SA"/>
        </w:rPr>
      </w:pPr>
      <w:r w:rsidRPr="00BC3EF4">
        <w:rPr>
          <w:rFonts w:eastAsia="Times New Roman" w:cs="Times New Roman"/>
          <w:bCs/>
          <w:lang w:eastAsia="ar-SA"/>
        </w:rPr>
        <w:t xml:space="preserve">Schválený rozpočet byl navýšen o finanční prostředky ve výši 36 058,00 Kč (na základě RÚ č. 229/11/2021) na financování </w:t>
      </w:r>
      <w:r w:rsidRPr="00BC3EF4">
        <w:rPr>
          <w:rFonts w:eastAsia="Times New Roman" w:cs="Times New Roman"/>
          <w:lang w:eastAsia="ar-SA"/>
        </w:rPr>
        <w:t>výstavby vodovodní přípojky v areálu Libice nad Cidlinou; z položky 6121 bylo uhrazeno 36 014,44 Kč. Dále byl rozpočet navýšen (rozpočtovou úpravou č. 309/11/2021</w:t>
      </w:r>
      <w:r w:rsidRPr="00BC3EF4">
        <w:rPr>
          <w:rFonts w:eastAsia="Times New Roman" w:cs="Times New Roman"/>
          <w:bCs/>
          <w:lang w:eastAsia="ar-SA"/>
        </w:rPr>
        <w:t xml:space="preserve"> v rámci kapitoly projednanou s příslušným členem rady kraje) o</w:t>
      </w:r>
      <w:r w:rsidRPr="00BC3EF4">
        <w:rPr>
          <w:rFonts w:eastAsia="Times New Roman" w:cs="Times New Roman"/>
          <w:lang w:eastAsia="ar-SA"/>
        </w:rPr>
        <w:t xml:space="preserve"> finanční prostředky ve výši 457 001,00 Kč, které byly určeny na nákup pozemku pod krajskou stavbou mělnického cukrovaru ve výši 457 000,00 Kč a nebyly čerpány, a na využití předkupního práva k pozemku v k. ú. Rožďalovice ve výši 1,00 Kč, které byly vyčerpány. Finanční prostředky ve výši 308 350,00 Kč byly na základě RÚ č. 468/11/2021, usn. č. 007-34/2021/RK ze dne 9. 9. 2021 převedeny na § 6172 na platbu daní a poplatků. Z upraveného rozpočtu ve výši 184 709,00 Kč bylo vyčerpáno 36 015,44 Kč, což je 19,5 % rozpočtované částky.</w:t>
      </w:r>
    </w:p>
    <w:p w14:paraId="70417E4F" w14:textId="77777777" w:rsidR="00CD2482" w:rsidRPr="00AA4429" w:rsidRDefault="00CD2482" w:rsidP="00CD2482">
      <w:pPr>
        <w:suppressAutoHyphens/>
        <w:spacing w:after="0" w:line="240" w:lineRule="auto"/>
        <w:jc w:val="both"/>
        <w:rPr>
          <w:rFonts w:eastAsia="Times New Roman" w:cs="Times New Roman"/>
          <w:lang w:eastAsia="ar-SA"/>
        </w:rPr>
      </w:pPr>
    </w:p>
    <w:p w14:paraId="1B978DD8" w14:textId="77777777" w:rsidR="00CD2482" w:rsidRDefault="00CD2482" w:rsidP="00CD2482">
      <w:pPr>
        <w:suppressAutoHyphens/>
        <w:spacing w:after="0" w:line="240" w:lineRule="auto"/>
        <w:jc w:val="both"/>
        <w:rPr>
          <w:rFonts w:eastAsia="Times New Roman" w:cs="Times New Roman"/>
          <w:b/>
          <w:bCs/>
          <w:lang w:eastAsia="ar-SA"/>
        </w:rPr>
      </w:pPr>
      <w:r w:rsidRPr="00AA4429">
        <w:rPr>
          <w:rFonts w:eastAsia="Times New Roman" w:cs="Times New Roman"/>
          <w:b/>
          <w:bCs/>
          <w:lang w:eastAsia="ar-SA"/>
        </w:rPr>
        <w:t>Participativní rozpočet</w:t>
      </w:r>
    </w:p>
    <w:p w14:paraId="202955BD" w14:textId="77777777" w:rsidR="00CD2482" w:rsidRPr="00AA4429" w:rsidRDefault="00CD2482" w:rsidP="00CD2482">
      <w:pPr>
        <w:suppressAutoHyphens/>
        <w:spacing w:after="0" w:line="240" w:lineRule="auto"/>
        <w:jc w:val="both"/>
        <w:rPr>
          <w:rFonts w:eastAsia="Times New Roman" w:cs="Times New Roman"/>
          <w:b/>
          <w:bCs/>
          <w:lang w:eastAsia="ar-SA"/>
        </w:rPr>
      </w:pPr>
      <w:r w:rsidRPr="00AA4429">
        <w:rPr>
          <w:rFonts w:eastAsia="Times New Roman" w:cs="Times New Roman"/>
          <w:bCs/>
          <w:lang w:eastAsia="ar-SA"/>
        </w:rPr>
        <w:t xml:space="preserve">Rozpočtovou úpravou č. </w:t>
      </w:r>
      <w:r>
        <w:rPr>
          <w:rFonts w:eastAsia="Times New Roman" w:cs="Times New Roman"/>
          <w:bCs/>
          <w:lang w:eastAsia="ar-SA"/>
        </w:rPr>
        <w:t>013</w:t>
      </w:r>
      <w:r w:rsidRPr="00AA4429">
        <w:rPr>
          <w:rFonts w:eastAsia="Times New Roman" w:cs="Times New Roman"/>
          <w:bCs/>
          <w:lang w:eastAsia="ar-SA"/>
        </w:rPr>
        <w:t>/11/202</w:t>
      </w:r>
      <w:r>
        <w:rPr>
          <w:rFonts w:eastAsia="Times New Roman" w:cs="Times New Roman"/>
          <w:bCs/>
          <w:lang w:eastAsia="ar-SA"/>
        </w:rPr>
        <w:t>1</w:t>
      </w:r>
      <w:r w:rsidRPr="00AA4429">
        <w:rPr>
          <w:rFonts w:eastAsia="Times New Roman" w:cs="Times New Roman"/>
          <w:bCs/>
          <w:lang w:eastAsia="ar-SA"/>
        </w:rPr>
        <w:t>, usnesením č.</w:t>
      </w:r>
      <w:r>
        <w:rPr>
          <w:rFonts w:eastAsia="Times New Roman" w:cs="Times New Roman"/>
          <w:bCs/>
          <w:lang w:eastAsia="ar-SA"/>
        </w:rPr>
        <w:t xml:space="preserve"> </w:t>
      </w:r>
      <w:r w:rsidRPr="00AA4429">
        <w:rPr>
          <w:rFonts w:eastAsia="Times New Roman" w:cs="Times New Roman"/>
          <w:bCs/>
          <w:lang w:eastAsia="ar-SA"/>
        </w:rPr>
        <w:t>0</w:t>
      </w:r>
      <w:r>
        <w:rPr>
          <w:rFonts w:eastAsia="Times New Roman" w:cs="Times New Roman"/>
          <w:bCs/>
          <w:lang w:eastAsia="ar-SA"/>
        </w:rPr>
        <w:t>41</w:t>
      </w:r>
      <w:r w:rsidRPr="00AA4429">
        <w:rPr>
          <w:rFonts w:eastAsia="Times New Roman" w:cs="Times New Roman"/>
          <w:bCs/>
          <w:lang w:eastAsia="ar-SA"/>
        </w:rPr>
        <w:t>-</w:t>
      </w:r>
      <w:r>
        <w:rPr>
          <w:rFonts w:eastAsia="Times New Roman" w:cs="Times New Roman"/>
          <w:bCs/>
          <w:lang w:eastAsia="ar-SA"/>
        </w:rPr>
        <w:t>02</w:t>
      </w:r>
      <w:r w:rsidRPr="00AA4429">
        <w:rPr>
          <w:rFonts w:eastAsia="Times New Roman" w:cs="Times New Roman"/>
          <w:bCs/>
          <w:lang w:eastAsia="ar-SA"/>
        </w:rPr>
        <w:t>/202</w:t>
      </w:r>
      <w:r>
        <w:rPr>
          <w:rFonts w:eastAsia="Times New Roman" w:cs="Times New Roman"/>
          <w:bCs/>
          <w:lang w:eastAsia="ar-SA"/>
        </w:rPr>
        <w:t>1/RK</w:t>
      </w:r>
      <w:r w:rsidRPr="00AA4429">
        <w:rPr>
          <w:rFonts w:eastAsia="Times New Roman" w:cs="Times New Roman"/>
          <w:bCs/>
          <w:lang w:eastAsia="ar-SA"/>
        </w:rPr>
        <w:t xml:space="preserve"> ze dne </w:t>
      </w:r>
      <w:r>
        <w:rPr>
          <w:rFonts w:eastAsia="Times New Roman" w:cs="Times New Roman"/>
          <w:bCs/>
          <w:lang w:eastAsia="ar-SA"/>
        </w:rPr>
        <w:t>14</w:t>
      </w:r>
      <w:r w:rsidRPr="00AA4429">
        <w:rPr>
          <w:rFonts w:eastAsia="Times New Roman" w:cs="Times New Roman"/>
          <w:bCs/>
          <w:lang w:eastAsia="ar-SA"/>
        </w:rPr>
        <w:t>.</w:t>
      </w:r>
      <w:r>
        <w:rPr>
          <w:rFonts w:eastAsia="Times New Roman" w:cs="Times New Roman"/>
          <w:bCs/>
          <w:lang w:eastAsia="ar-SA"/>
        </w:rPr>
        <w:t xml:space="preserve"> 1</w:t>
      </w:r>
      <w:r w:rsidRPr="00AA4429">
        <w:rPr>
          <w:rFonts w:eastAsia="Times New Roman" w:cs="Times New Roman"/>
          <w:bCs/>
          <w:lang w:eastAsia="ar-SA"/>
        </w:rPr>
        <w:t>.</w:t>
      </w:r>
      <w:r>
        <w:rPr>
          <w:rFonts w:eastAsia="Times New Roman" w:cs="Times New Roman"/>
          <w:bCs/>
          <w:lang w:eastAsia="ar-SA"/>
        </w:rPr>
        <w:t xml:space="preserve"> 2021</w:t>
      </w:r>
      <w:r w:rsidRPr="00AA4429">
        <w:rPr>
          <w:rFonts w:eastAsia="Times New Roman" w:cs="Times New Roman"/>
          <w:bCs/>
          <w:lang w:eastAsia="ar-SA"/>
        </w:rPr>
        <w:t xml:space="preserve"> byly převedeny </w:t>
      </w:r>
      <w:r>
        <w:rPr>
          <w:rFonts w:eastAsia="Times New Roman" w:cs="Times New Roman"/>
          <w:bCs/>
          <w:lang w:eastAsia="ar-SA"/>
        </w:rPr>
        <w:t xml:space="preserve">nevyčerpané účelové finanční prostředky </w:t>
      </w:r>
      <w:r w:rsidRPr="00AA4429">
        <w:rPr>
          <w:rFonts w:eastAsia="Times New Roman" w:cs="Times New Roman"/>
          <w:bCs/>
          <w:lang w:eastAsia="ar-SA"/>
        </w:rPr>
        <w:t>ve výši</w:t>
      </w:r>
      <w:r>
        <w:rPr>
          <w:rFonts w:eastAsia="Times New Roman" w:cs="Times New Roman"/>
          <w:bCs/>
          <w:lang w:eastAsia="ar-SA"/>
        </w:rPr>
        <w:t xml:space="preserve"> 30 402 788,00</w:t>
      </w:r>
      <w:r w:rsidRPr="00AA4429">
        <w:rPr>
          <w:rFonts w:eastAsia="Times New Roman" w:cs="Times New Roman"/>
          <w:bCs/>
          <w:lang w:eastAsia="ar-SA"/>
        </w:rPr>
        <w:t xml:space="preserve"> Kč</w:t>
      </w:r>
      <w:r>
        <w:rPr>
          <w:rFonts w:eastAsia="Times New Roman" w:cs="Times New Roman"/>
          <w:bCs/>
          <w:lang w:eastAsia="ar-SA"/>
        </w:rPr>
        <w:t xml:space="preserve"> účelově vázané z roku 2020 do rozpočtu roku 2021. Finanční prostředky (kapitálové výdaje ve výši 29 470 699,43 Kč)</w:t>
      </w:r>
      <w:r w:rsidRPr="00AA4429">
        <w:rPr>
          <w:rFonts w:eastAsia="Times New Roman" w:cs="Times New Roman"/>
          <w:bCs/>
          <w:lang w:eastAsia="ar-SA"/>
        </w:rPr>
        <w:t xml:space="preserve"> z participativního rozpočtu </w:t>
      </w:r>
      <w:r>
        <w:rPr>
          <w:rFonts w:eastAsia="Times New Roman" w:cs="Times New Roman"/>
          <w:bCs/>
          <w:lang w:eastAsia="ar-SA"/>
        </w:rPr>
        <w:t xml:space="preserve">jsou </w:t>
      </w:r>
      <w:r w:rsidRPr="00AA4429">
        <w:rPr>
          <w:rFonts w:eastAsia="Times New Roman" w:cs="Times New Roman"/>
          <w:bCs/>
          <w:lang w:eastAsia="ar-SA"/>
        </w:rPr>
        <w:t>v roce 202</w:t>
      </w:r>
      <w:r>
        <w:rPr>
          <w:rFonts w:eastAsia="Times New Roman" w:cs="Times New Roman"/>
          <w:bCs/>
          <w:lang w:eastAsia="ar-SA"/>
        </w:rPr>
        <w:t>1</w:t>
      </w:r>
      <w:r w:rsidRPr="00AA4429">
        <w:rPr>
          <w:rFonts w:eastAsia="Times New Roman" w:cs="Times New Roman"/>
          <w:bCs/>
          <w:lang w:eastAsia="ar-SA"/>
        </w:rPr>
        <w:t xml:space="preserve"> čerpány na následující </w:t>
      </w:r>
      <w:r>
        <w:rPr>
          <w:rFonts w:eastAsia="Times New Roman" w:cs="Times New Roman"/>
          <w:bCs/>
          <w:lang w:eastAsia="ar-SA"/>
        </w:rPr>
        <w:t>výdaje:</w:t>
      </w:r>
    </w:p>
    <w:p w14:paraId="6CCAE4F6" w14:textId="77777777" w:rsidR="00CD2482" w:rsidRPr="00AA4429" w:rsidRDefault="00CD2482" w:rsidP="00CD2482">
      <w:pPr>
        <w:suppressAutoHyphens/>
        <w:spacing w:after="0" w:line="240" w:lineRule="auto"/>
        <w:jc w:val="both"/>
        <w:rPr>
          <w:rFonts w:eastAsia="Times New Roman" w:cs="Times New Roman"/>
          <w:bCs/>
          <w:lang w:eastAsia="ar-SA"/>
        </w:rPr>
      </w:pPr>
    </w:p>
    <w:p w14:paraId="3EBE9F23" w14:textId="77777777" w:rsidR="00CD2482" w:rsidRPr="00AA4429" w:rsidRDefault="00CD2482" w:rsidP="00CD2482">
      <w:pPr>
        <w:suppressAutoHyphens/>
        <w:spacing w:after="0" w:line="240" w:lineRule="auto"/>
        <w:jc w:val="both"/>
        <w:rPr>
          <w:rFonts w:eastAsia="Times New Roman" w:cs="Times New Roman"/>
          <w:b/>
          <w:bCs/>
          <w:lang w:eastAsia="ar-SA"/>
        </w:rPr>
      </w:pPr>
      <w:r w:rsidRPr="00CE418B">
        <w:rPr>
          <w:rFonts w:eastAsia="Times New Roman" w:cs="Times New Roman"/>
          <w:b/>
          <w:bCs/>
          <w:lang w:eastAsia="ar-SA"/>
        </w:rPr>
        <w:t xml:space="preserve">§ </w:t>
      </w:r>
      <w:r w:rsidRPr="00AA4429">
        <w:rPr>
          <w:rFonts w:eastAsia="Times New Roman" w:cs="Times New Roman"/>
          <w:b/>
          <w:bCs/>
          <w:lang w:eastAsia="ar-SA"/>
        </w:rPr>
        <w:t>2143 – Cestovní ruch</w:t>
      </w:r>
    </w:p>
    <w:p w14:paraId="31EBDF9A" w14:textId="338D34B3" w:rsidR="00CD2482" w:rsidRDefault="00CD2482" w:rsidP="00CD2482">
      <w:pPr>
        <w:suppressAutoHyphens/>
        <w:spacing w:after="0" w:line="240" w:lineRule="auto"/>
        <w:jc w:val="both"/>
        <w:rPr>
          <w:rFonts w:eastAsia="Times New Roman" w:cs="Times New Roman"/>
          <w:bCs/>
          <w:lang w:eastAsia="ar-SA"/>
        </w:rPr>
      </w:pPr>
      <w:r w:rsidRPr="00AA4429">
        <w:rPr>
          <w:rFonts w:eastAsia="Times New Roman" w:cs="Times New Roman"/>
          <w:bCs/>
          <w:lang w:eastAsia="ar-SA"/>
        </w:rPr>
        <w:t xml:space="preserve">Z tohoto paragrafu jsou hrazeny investiční výdaje na projekty v rámci participativního rozpočtu Středočeského kraje, které slouží jako prostředky na cestovních ruch. Z upraveného rozpočtu ve výši </w:t>
      </w:r>
      <w:r>
        <w:rPr>
          <w:rFonts w:eastAsia="Times New Roman" w:cs="Times New Roman"/>
          <w:bCs/>
          <w:lang w:eastAsia="ar-SA"/>
        </w:rPr>
        <w:t>879 566,00</w:t>
      </w:r>
      <w:r w:rsidRPr="00AA4429">
        <w:rPr>
          <w:rFonts w:eastAsia="Times New Roman" w:cs="Times New Roman"/>
          <w:bCs/>
          <w:lang w:eastAsia="ar-SA"/>
        </w:rPr>
        <w:t xml:space="preserve"> Kč (upraveno rozpočtovými úpravami v rámci kapitoly projednanými </w:t>
      </w:r>
      <w:r>
        <w:rPr>
          <w:rFonts w:eastAsia="Times New Roman" w:cs="Times New Roman"/>
          <w:bCs/>
          <w:lang w:eastAsia="ar-SA"/>
        </w:rPr>
        <w:t>radou kraje</w:t>
      </w:r>
      <w:r w:rsidRPr="00AA4429">
        <w:rPr>
          <w:rFonts w:eastAsia="Times New Roman" w:cs="Times New Roman"/>
          <w:bCs/>
          <w:lang w:eastAsia="ar-SA"/>
        </w:rPr>
        <w:t xml:space="preserve">) </w:t>
      </w:r>
      <w:r w:rsidRPr="003F5F6A">
        <w:rPr>
          <w:rFonts w:eastAsia="Times New Roman" w:cs="Times New Roman"/>
          <w:bCs/>
          <w:lang w:eastAsia="ar-SA"/>
        </w:rPr>
        <w:t xml:space="preserve">bylo vyčerpáno </w:t>
      </w:r>
      <w:r>
        <w:rPr>
          <w:rFonts w:eastAsia="Times New Roman" w:cs="Times New Roman"/>
          <w:bCs/>
          <w:lang w:eastAsia="ar-SA"/>
        </w:rPr>
        <w:t>879 566</w:t>
      </w:r>
      <w:r w:rsidRPr="003F5F6A">
        <w:rPr>
          <w:rFonts w:eastAsia="Times New Roman" w:cs="Times New Roman"/>
          <w:bCs/>
          <w:lang w:eastAsia="ar-SA"/>
        </w:rPr>
        <w:t xml:space="preserve">,00 Kč, tj. </w:t>
      </w:r>
      <w:r>
        <w:rPr>
          <w:rFonts w:eastAsia="Times New Roman" w:cs="Times New Roman"/>
          <w:bCs/>
          <w:lang w:eastAsia="ar-SA"/>
        </w:rPr>
        <w:t>10</w:t>
      </w:r>
      <w:r w:rsidRPr="003F5F6A">
        <w:rPr>
          <w:rFonts w:eastAsia="Times New Roman" w:cs="Times New Roman"/>
          <w:bCs/>
          <w:lang w:eastAsia="ar-SA"/>
        </w:rPr>
        <w:t>0</w:t>
      </w:r>
      <w:r w:rsidR="00F244F2">
        <w:rPr>
          <w:rFonts w:eastAsia="Times New Roman" w:cs="Times New Roman"/>
          <w:bCs/>
          <w:lang w:eastAsia="ar-SA"/>
        </w:rPr>
        <w:t>,0</w:t>
      </w:r>
      <w:r w:rsidRPr="003F5F6A">
        <w:rPr>
          <w:rFonts w:eastAsia="Times New Roman" w:cs="Times New Roman"/>
          <w:bCs/>
          <w:lang w:eastAsia="ar-SA"/>
        </w:rPr>
        <w:t xml:space="preserve"> %.</w:t>
      </w:r>
    </w:p>
    <w:p w14:paraId="40EDE146" w14:textId="77777777" w:rsidR="00CD2482" w:rsidRDefault="00CD2482" w:rsidP="00CD2482">
      <w:pPr>
        <w:suppressAutoHyphens/>
        <w:spacing w:after="0" w:line="240" w:lineRule="auto"/>
        <w:jc w:val="both"/>
        <w:rPr>
          <w:rFonts w:eastAsia="Times New Roman" w:cs="Times New Roman"/>
          <w:bCs/>
          <w:lang w:eastAsia="ar-SA"/>
        </w:rPr>
      </w:pPr>
    </w:p>
    <w:p w14:paraId="00E81B77" w14:textId="77777777" w:rsidR="00CD2482" w:rsidRPr="00AA4429" w:rsidRDefault="00CD2482" w:rsidP="00CD2482">
      <w:pPr>
        <w:suppressAutoHyphens/>
        <w:spacing w:after="0" w:line="240" w:lineRule="auto"/>
        <w:jc w:val="both"/>
        <w:rPr>
          <w:rFonts w:eastAsia="Times New Roman" w:cs="Times New Roman"/>
          <w:b/>
          <w:bCs/>
          <w:lang w:eastAsia="ar-SA"/>
        </w:rPr>
      </w:pPr>
      <w:r w:rsidRPr="00CE418B">
        <w:rPr>
          <w:rFonts w:eastAsia="Times New Roman" w:cs="Times New Roman"/>
          <w:b/>
          <w:bCs/>
          <w:lang w:eastAsia="ar-SA"/>
        </w:rPr>
        <w:t xml:space="preserve">§ </w:t>
      </w:r>
      <w:r w:rsidRPr="00AA4429">
        <w:rPr>
          <w:rFonts w:eastAsia="Times New Roman" w:cs="Times New Roman"/>
          <w:b/>
          <w:bCs/>
          <w:lang w:eastAsia="ar-SA"/>
        </w:rPr>
        <w:t>22</w:t>
      </w:r>
      <w:r>
        <w:rPr>
          <w:rFonts w:eastAsia="Times New Roman" w:cs="Times New Roman"/>
          <w:b/>
          <w:bCs/>
          <w:lang w:eastAsia="ar-SA"/>
        </w:rPr>
        <w:t>19</w:t>
      </w:r>
      <w:r w:rsidRPr="00AA4429">
        <w:rPr>
          <w:rFonts w:eastAsia="Times New Roman" w:cs="Times New Roman"/>
          <w:b/>
          <w:bCs/>
          <w:lang w:eastAsia="ar-SA"/>
        </w:rPr>
        <w:t xml:space="preserve"> – </w:t>
      </w:r>
      <w:r>
        <w:rPr>
          <w:rFonts w:eastAsia="Times New Roman" w:cs="Times New Roman"/>
          <w:b/>
          <w:bCs/>
          <w:lang w:eastAsia="ar-SA"/>
        </w:rPr>
        <w:t>Ostatní záležitosti pozemních komunikací</w:t>
      </w:r>
    </w:p>
    <w:p w14:paraId="63726052" w14:textId="602254AC" w:rsidR="00CD2482" w:rsidRDefault="00CD2482" w:rsidP="00CD2482">
      <w:pPr>
        <w:suppressAutoHyphens/>
        <w:spacing w:after="0" w:line="240" w:lineRule="auto"/>
        <w:jc w:val="both"/>
        <w:rPr>
          <w:rFonts w:eastAsia="Times New Roman" w:cs="Times New Roman"/>
          <w:bCs/>
          <w:lang w:eastAsia="ar-SA"/>
        </w:rPr>
      </w:pPr>
      <w:r w:rsidRPr="00AA4429">
        <w:rPr>
          <w:rFonts w:eastAsia="Times New Roman" w:cs="Times New Roman"/>
          <w:bCs/>
          <w:lang w:eastAsia="ar-SA"/>
        </w:rPr>
        <w:t xml:space="preserve">Z tohoto paragrafu jsou hrazeny investiční výdaje na projekty v rámci participativního rozpočtu Středočeského kraje, které </w:t>
      </w:r>
      <w:r>
        <w:rPr>
          <w:rFonts w:eastAsia="Times New Roman" w:cs="Times New Roman"/>
          <w:bCs/>
          <w:lang w:eastAsia="ar-SA"/>
        </w:rPr>
        <w:t xml:space="preserve">jsou spojeny se správou, údržbou a výstavbou chodníků, odstavných ploch, parkovišť a cyklistických stezek </w:t>
      </w:r>
      <w:r w:rsidRPr="00AA4429">
        <w:rPr>
          <w:rFonts w:eastAsia="Times New Roman" w:cs="Times New Roman"/>
          <w:bCs/>
          <w:lang w:eastAsia="ar-SA"/>
        </w:rPr>
        <w:t xml:space="preserve">na územní </w:t>
      </w:r>
      <w:r>
        <w:rPr>
          <w:rFonts w:eastAsia="Times New Roman" w:cs="Times New Roman"/>
          <w:bCs/>
          <w:lang w:eastAsia="ar-SA"/>
        </w:rPr>
        <w:t>Středočeského kraje</w:t>
      </w:r>
      <w:r w:rsidRPr="00AA4429">
        <w:rPr>
          <w:rFonts w:eastAsia="Times New Roman" w:cs="Times New Roman"/>
          <w:bCs/>
          <w:lang w:eastAsia="ar-SA"/>
        </w:rPr>
        <w:t xml:space="preserve">. Z upraveného rozpočtu ve výši </w:t>
      </w:r>
      <w:r>
        <w:rPr>
          <w:rFonts w:eastAsia="Times New Roman" w:cs="Times New Roman"/>
          <w:bCs/>
          <w:lang w:eastAsia="ar-SA"/>
        </w:rPr>
        <w:t>2 048 016,00 Kč</w:t>
      </w:r>
      <w:r w:rsidRPr="00AA4429">
        <w:rPr>
          <w:rFonts w:eastAsia="Times New Roman" w:cs="Times New Roman"/>
          <w:bCs/>
          <w:lang w:eastAsia="ar-SA"/>
        </w:rPr>
        <w:t xml:space="preserve"> (upraveno rozpočtovými úpravami v rámci kapitoly projednanými </w:t>
      </w:r>
      <w:r>
        <w:rPr>
          <w:rFonts w:eastAsia="Times New Roman" w:cs="Times New Roman"/>
          <w:bCs/>
          <w:lang w:eastAsia="ar-SA"/>
        </w:rPr>
        <w:t>radou kraje</w:t>
      </w:r>
      <w:r w:rsidRPr="00AA4429">
        <w:rPr>
          <w:rFonts w:eastAsia="Times New Roman" w:cs="Times New Roman"/>
          <w:bCs/>
          <w:lang w:eastAsia="ar-SA"/>
        </w:rPr>
        <w:t xml:space="preserve">) bylo vyčerpáno </w:t>
      </w:r>
      <w:r>
        <w:rPr>
          <w:rFonts w:eastAsia="Times New Roman" w:cs="Times New Roman"/>
          <w:bCs/>
          <w:lang w:eastAsia="ar-SA"/>
        </w:rPr>
        <w:t xml:space="preserve">2 048 016 </w:t>
      </w:r>
      <w:r w:rsidRPr="00AA4429">
        <w:rPr>
          <w:rFonts w:eastAsia="Times New Roman" w:cs="Times New Roman"/>
          <w:bCs/>
          <w:lang w:eastAsia="ar-SA"/>
        </w:rPr>
        <w:t xml:space="preserve">Kč, tj. </w:t>
      </w:r>
      <w:r>
        <w:rPr>
          <w:rFonts w:eastAsia="Times New Roman" w:cs="Times New Roman"/>
          <w:bCs/>
          <w:lang w:eastAsia="ar-SA"/>
        </w:rPr>
        <w:t>100</w:t>
      </w:r>
      <w:r w:rsidR="00F244F2">
        <w:rPr>
          <w:rFonts w:eastAsia="Times New Roman" w:cs="Times New Roman"/>
          <w:bCs/>
          <w:lang w:eastAsia="ar-SA"/>
        </w:rPr>
        <w:t>,0</w:t>
      </w:r>
      <w:r w:rsidRPr="00AA4429">
        <w:rPr>
          <w:rFonts w:eastAsia="Times New Roman" w:cs="Times New Roman"/>
          <w:bCs/>
          <w:lang w:eastAsia="ar-SA"/>
        </w:rPr>
        <w:t xml:space="preserve"> %.</w:t>
      </w:r>
    </w:p>
    <w:p w14:paraId="35E61D8E" w14:textId="77777777" w:rsidR="00CD2482" w:rsidRDefault="00CD2482" w:rsidP="00CD2482">
      <w:pPr>
        <w:suppressAutoHyphens/>
        <w:spacing w:after="0" w:line="240" w:lineRule="auto"/>
        <w:jc w:val="both"/>
        <w:rPr>
          <w:rFonts w:eastAsia="Times New Roman" w:cs="Times New Roman"/>
          <w:bCs/>
          <w:lang w:eastAsia="ar-SA"/>
        </w:rPr>
      </w:pPr>
    </w:p>
    <w:p w14:paraId="5808A7E0" w14:textId="77777777" w:rsidR="00CD2482" w:rsidRPr="00AA4429" w:rsidRDefault="00CD2482" w:rsidP="00CD2482">
      <w:pPr>
        <w:suppressAutoHyphens/>
        <w:spacing w:after="0" w:line="240" w:lineRule="auto"/>
        <w:jc w:val="both"/>
        <w:rPr>
          <w:rFonts w:eastAsia="Times New Roman" w:cs="Times New Roman"/>
          <w:b/>
          <w:bCs/>
          <w:lang w:eastAsia="ar-SA"/>
        </w:rPr>
      </w:pPr>
      <w:r w:rsidRPr="00CE418B">
        <w:rPr>
          <w:rFonts w:eastAsia="Times New Roman" w:cs="Times New Roman"/>
          <w:b/>
          <w:bCs/>
          <w:lang w:eastAsia="ar-SA"/>
        </w:rPr>
        <w:t xml:space="preserve">§ </w:t>
      </w:r>
      <w:r w:rsidRPr="00AA4429">
        <w:rPr>
          <w:rFonts w:eastAsia="Times New Roman" w:cs="Times New Roman"/>
          <w:b/>
          <w:bCs/>
          <w:lang w:eastAsia="ar-SA"/>
        </w:rPr>
        <w:t>222</w:t>
      </w:r>
      <w:r>
        <w:rPr>
          <w:rFonts w:eastAsia="Times New Roman" w:cs="Times New Roman"/>
          <w:b/>
          <w:bCs/>
          <w:lang w:eastAsia="ar-SA"/>
        </w:rPr>
        <w:t>1</w:t>
      </w:r>
      <w:r w:rsidRPr="00AA4429">
        <w:rPr>
          <w:rFonts w:eastAsia="Times New Roman" w:cs="Times New Roman"/>
          <w:b/>
          <w:bCs/>
          <w:lang w:eastAsia="ar-SA"/>
        </w:rPr>
        <w:t xml:space="preserve"> – </w:t>
      </w:r>
      <w:r>
        <w:rPr>
          <w:rFonts w:eastAsia="Times New Roman" w:cs="Times New Roman"/>
          <w:b/>
          <w:bCs/>
          <w:lang w:eastAsia="ar-SA"/>
        </w:rPr>
        <w:t>Provoz veřejné silniční dopravy</w:t>
      </w:r>
    </w:p>
    <w:p w14:paraId="5F1D2DAA" w14:textId="3817B96E" w:rsidR="00CD2482" w:rsidRDefault="00CD2482" w:rsidP="00CD2482">
      <w:pPr>
        <w:suppressAutoHyphens/>
        <w:spacing w:after="0" w:line="240" w:lineRule="auto"/>
        <w:jc w:val="both"/>
        <w:rPr>
          <w:rFonts w:eastAsia="Times New Roman" w:cs="Times New Roman"/>
          <w:bCs/>
          <w:lang w:eastAsia="ar-SA"/>
        </w:rPr>
      </w:pPr>
      <w:r w:rsidRPr="00AA4429">
        <w:rPr>
          <w:rFonts w:eastAsia="Times New Roman" w:cs="Times New Roman"/>
          <w:bCs/>
          <w:lang w:eastAsia="ar-SA"/>
        </w:rPr>
        <w:t xml:space="preserve">Z tohoto paragrafu jsou hrazeny investiční výdaje na projekty v rámci participativního rozpočtu Středočeského kraje, které slouží pro </w:t>
      </w:r>
      <w:r>
        <w:rPr>
          <w:rFonts w:eastAsia="Times New Roman" w:cs="Times New Roman"/>
          <w:bCs/>
          <w:lang w:eastAsia="ar-SA"/>
        </w:rPr>
        <w:t xml:space="preserve">účely veřejné silniční dopravy </w:t>
      </w:r>
      <w:r w:rsidRPr="00AA4429">
        <w:rPr>
          <w:rFonts w:eastAsia="Times New Roman" w:cs="Times New Roman"/>
          <w:bCs/>
          <w:lang w:eastAsia="ar-SA"/>
        </w:rPr>
        <w:t xml:space="preserve">na územní </w:t>
      </w:r>
      <w:r>
        <w:rPr>
          <w:rFonts w:eastAsia="Times New Roman" w:cs="Times New Roman"/>
          <w:bCs/>
          <w:lang w:eastAsia="ar-SA"/>
        </w:rPr>
        <w:t>Středočeského kraje</w:t>
      </w:r>
      <w:r w:rsidRPr="00AA4429">
        <w:rPr>
          <w:rFonts w:eastAsia="Times New Roman" w:cs="Times New Roman"/>
          <w:bCs/>
          <w:lang w:eastAsia="ar-SA"/>
        </w:rPr>
        <w:t xml:space="preserve">. Z upraveného rozpočtu ve výši </w:t>
      </w:r>
      <w:r>
        <w:rPr>
          <w:rFonts w:eastAsia="Times New Roman" w:cs="Times New Roman"/>
          <w:bCs/>
          <w:lang w:eastAsia="ar-SA"/>
        </w:rPr>
        <w:t>184 000</w:t>
      </w:r>
      <w:r w:rsidRPr="00AA4429">
        <w:rPr>
          <w:rFonts w:eastAsia="Times New Roman" w:cs="Times New Roman"/>
          <w:bCs/>
          <w:lang w:eastAsia="ar-SA"/>
        </w:rPr>
        <w:t xml:space="preserve">,00 Kč (upraveno rozpočtovými úpravami v rámci kapitoly projednanými </w:t>
      </w:r>
      <w:r>
        <w:rPr>
          <w:rFonts w:eastAsia="Times New Roman" w:cs="Times New Roman"/>
          <w:bCs/>
          <w:lang w:eastAsia="ar-SA"/>
        </w:rPr>
        <w:t>radou kraje</w:t>
      </w:r>
      <w:r w:rsidRPr="00AA4429">
        <w:rPr>
          <w:rFonts w:eastAsia="Times New Roman" w:cs="Times New Roman"/>
          <w:bCs/>
          <w:lang w:eastAsia="ar-SA"/>
        </w:rPr>
        <w:t xml:space="preserve">) bylo vyčerpáno </w:t>
      </w:r>
      <w:r>
        <w:rPr>
          <w:rFonts w:eastAsia="Times New Roman" w:cs="Times New Roman"/>
          <w:bCs/>
          <w:lang w:eastAsia="ar-SA"/>
        </w:rPr>
        <w:t>184 000</w:t>
      </w:r>
      <w:r w:rsidRPr="00AA4429">
        <w:rPr>
          <w:rFonts w:eastAsia="Times New Roman" w:cs="Times New Roman"/>
          <w:bCs/>
          <w:lang w:eastAsia="ar-SA"/>
        </w:rPr>
        <w:t>,00 Kč, tj. 100</w:t>
      </w:r>
      <w:r w:rsidR="00F244F2">
        <w:rPr>
          <w:rFonts w:eastAsia="Times New Roman" w:cs="Times New Roman"/>
          <w:bCs/>
          <w:lang w:eastAsia="ar-SA"/>
        </w:rPr>
        <w:t>,0</w:t>
      </w:r>
      <w:r w:rsidRPr="00AA4429">
        <w:rPr>
          <w:rFonts w:eastAsia="Times New Roman" w:cs="Times New Roman"/>
          <w:bCs/>
          <w:lang w:eastAsia="ar-SA"/>
        </w:rPr>
        <w:t xml:space="preserve"> %.</w:t>
      </w:r>
    </w:p>
    <w:p w14:paraId="7D6DC52B" w14:textId="77777777" w:rsidR="00CD2482" w:rsidRDefault="00CD2482" w:rsidP="00CD2482">
      <w:pPr>
        <w:suppressAutoHyphens/>
        <w:spacing w:after="0" w:line="240" w:lineRule="auto"/>
        <w:jc w:val="both"/>
        <w:rPr>
          <w:rFonts w:eastAsia="Times New Roman" w:cs="Times New Roman"/>
          <w:bCs/>
          <w:lang w:eastAsia="ar-SA"/>
        </w:rPr>
      </w:pPr>
    </w:p>
    <w:p w14:paraId="773210D5" w14:textId="77777777" w:rsidR="00CD2482" w:rsidRPr="00AA4429" w:rsidRDefault="00CD2482" w:rsidP="00CD2482">
      <w:pPr>
        <w:suppressAutoHyphens/>
        <w:spacing w:after="0" w:line="240" w:lineRule="auto"/>
        <w:jc w:val="both"/>
        <w:rPr>
          <w:rFonts w:eastAsia="Times New Roman" w:cs="Times New Roman"/>
          <w:b/>
          <w:bCs/>
          <w:lang w:eastAsia="ar-SA"/>
        </w:rPr>
      </w:pPr>
      <w:r w:rsidRPr="00CE418B">
        <w:rPr>
          <w:rFonts w:eastAsia="Times New Roman" w:cs="Times New Roman"/>
          <w:b/>
          <w:bCs/>
          <w:lang w:eastAsia="ar-SA"/>
        </w:rPr>
        <w:t xml:space="preserve">§ </w:t>
      </w:r>
      <w:r w:rsidRPr="00AA4429">
        <w:rPr>
          <w:rFonts w:eastAsia="Times New Roman" w:cs="Times New Roman"/>
          <w:b/>
          <w:bCs/>
          <w:lang w:eastAsia="ar-SA"/>
        </w:rPr>
        <w:t>222</w:t>
      </w:r>
      <w:r>
        <w:rPr>
          <w:rFonts w:eastAsia="Times New Roman" w:cs="Times New Roman"/>
          <w:b/>
          <w:bCs/>
          <w:lang w:eastAsia="ar-SA"/>
        </w:rPr>
        <w:t>3</w:t>
      </w:r>
      <w:r w:rsidRPr="00AA4429">
        <w:rPr>
          <w:rFonts w:eastAsia="Times New Roman" w:cs="Times New Roman"/>
          <w:b/>
          <w:bCs/>
          <w:lang w:eastAsia="ar-SA"/>
        </w:rPr>
        <w:t xml:space="preserve"> – </w:t>
      </w:r>
      <w:r>
        <w:rPr>
          <w:rFonts w:eastAsia="Times New Roman" w:cs="Times New Roman"/>
          <w:b/>
          <w:bCs/>
          <w:lang w:eastAsia="ar-SA"/>
        </w:rPr>
        <w:t>Bezpečnost silničního provozu</w:t>
      </w:r>
    </w:p>
    <w:p w14:paraId="56BCB24A" w14:textId="63A117E9" w:rsidR="00CD2482" w:rsidRDefault="00CD2482" w:rsidP="00CD2482">
      <w:pPr>
        <w:suppressAutoHyphens/>
        <w:spacing w:after="0" w:line="240" w:lineRule="auto"/>
        <w:jc w:val="both"/>
        <w:rPr>
          <w:rFonts w:eastAsia="Times New Roman" w:cs="Times New Roman"/>
          <w:bCs/>
          <w:lang w:eastAsia="ar-SA"/>
        </w:rPr>
      </w:pPr>
      <w:r w:rsidRPr="00AA4429">
        <w:rPr>
          <w:rFonts w:eastAsia="Times New Roman" w:cs="Times New Roman"/>
          <w:bCs/>
          <w:lang w:eastAsia="ar-SA"/>
        </w:rPr>
        <w:t xml:space="preserve">Z tohoto paragrafu jsou hrazeny investiční výdaje na projekty v rámci participativního rozpočtu Středočeského kraje, které slouží pro </w:t>
      </w:r>
      <w:r>
        <w:rPr>
          <w:rFonts w:eastAsia="Times New Roman" w:cs="Times New Roman"/>
          <w:bCs/>
          <w:lang w:eastAsia="ar-SA"/>
        </w:rPr>
        <w:t xml:space="preserve">bezpečnost provozu na pozemních komunikacích </w:t>
      </w:r>
      <w:r w:rsidRPr="00AA4429">
        <w:rPr>
          <w:rFonts w:eastAsia="Times New Roman" w:cs="Times New Roman"/>
          <w:bCs/>
          <w:lang w:eastAsia="ar-SA"/>
        </w:rPr>
        <w:t xml:space="preserve">na územní </w:t>
      </w:r>
      <w:r>
        <w:rPr>
          <w:rFonts w:eastAsia="Times New Roman" w:cs="Times New Roman"/>
          <w:bCs/>
          <w:lang w:eastAsia="ar-SA"/>
        </w:rPr>
        <w:t>Středočeského kraje</w:t>
      </w:r>
      <w:r w:rsidRPr="00AA4429">
        <w:rPr>
          <w:rFonts w:eastAsia="Times New Roman" w:cs="Times New Roman"/>
          <w:bCs/>
          <w:lang w:eastAsia="ar-SA"/>
        </w:rPr>
        <w:t xml:space="preserve">. Z upraveného rozpočtu ve výši </w:t>
      </w:r>
      <w:r>
        <w:rPr>
          <w:rFonts w:eastAsia="Times New Roman" w:cs="Times New Roman"/>
          <w:bCs/>
          <w:lang w:eastAsia="ar-SA"/>
        </w:rPr>
        <w:t>400 000</w:t>
      </w:r>
      <w:r w:rsidRPr="00AA4429">
        <w:rPr>
          <w:rFonts w:eastAsia="Times New Roman" w:cs="Times New Roman"/>
          <w:bCs/>
          <w:lang w:eastAsia="ar-SA"/>
        </w:rPr>
        <w:t xml:space="preserve">,00 Kč (upraveno rozpočtovými úpravami v rámci kapitoly projednanými </w:t>
      </w:r>
      <w:r>
        <w:rPr>
          <w:rFonts w:eastAsia="Times New Roman" w:cs="Times New Roman"/>
          <w:bCs/>
          <w:lang w:eastAsia="ar-SA"/>
        </w:rPr>
        <w:t>radou kraje</w:t>
      </w:r>
      <w:r w:rsidRPr="00AA4429">
        <w:rPr>
          <w:rFonts w:eastAsia="Times New Roman" w:cs="Times New Roman"/>
          <w:bCs/>
          <w:lang w:eastAsia="ar-SA"/>
        </w:rPr>
        <w:t xml:space="preserve">) bylo vyčerpáno </w:t>
      </w:r>
      <w:r>
        <w:rPr>
          <w:rFonts w:eastAsia="Times New Roman" w:cs="Times New Roman"/>
          <w:bCs/>
          <w:lang w:eastAsia="ar-SA"/>
        </w:rPr>
        <w:t>400 000</w:t>
      </w:r>
      <w:r w:rsidRPr="00AA4429">
        <w:rPr>
          <w:rFonts w:eastAsia="Times New Roman" w:cs="Times New Roman"/>
          <w:bCs/>
          <w:lang w:eastAsia="ar-SA"/>
        </w:rPr>
        <w:t>,00 Kč, tj. 100</w:t>
      </w:r>
      <w:r w:rsidR="00F244F2">
        <w:rPr>
          <w:rFonts w:eastAsia="Times New Roman" w:cs="Times New Roman"/>
          <w:bCs/>
          <w:lang w:eastAsia="ar-SA"/>
        </w:rPr>
        <w:t>,0</w:t>
      </w:r>
      <w:r w:rsidRPr="00AA4429">
        <w:rPr>
          <w:rFonts w:eastAsia="Times New Roman" w:cs="Times New Roman"/>
          <w:bCs/>
          <w:lang w:eastAsia="ar-SA"/>
        </w:rPr>
        <w:t xml:space="preserve"> %.</w:t>
      </w:r>
    </w:p>
    <w:p w14:paraId="2010A4EA" w14:textId="77777777" w:rsidR="00CD2482" w:rsidRDefault="00CD2482" w:rsidP="00CD2482">
      <w:pPr>
        <w:suppressAutoHyphens/>
        <w:spacing w:after="0" w:line="240" w:lineRule="auto"/>
        <w:jc w:val="both"/>
        <w:rPr>
          <w:rFonts w:eastAsia="Times New Roman" w:cs="Times New Roman"/>
          <w:bCs/>
          <w:lang w:eastAsia="ar-SA"/>
        </w:rPr>
      </w:pPr>
    </w:p>
    <w:p w14:paraId="39936B4B" w14:textId="77777777" w:rsidR="00CD2482" w:rsidRPr="00AA4429" w:rsidRDefault="00CD2482" w:rsidP="00CD2482">
      <w:pPr>
        <w:suppressAutoHyphens/>
        <w:spacing w:after="0" w:line="240" w:lineRule="auto"/>
        <w:jc w:val="both"/>
        <w:rPr>
          <w:rFonts w:eastAsia="Times New Roman" w:cs="Times New Roman"/>
          <w:b/>
          <w:bCs/>
          <w:lang w:eastAsia="ar-SA"/>
        </w:rPr>
      </w:pPr>
      <w:r w:rsidRPr="00CE418B">
        <w:rPr>
          <w:rFonts w:eastAsia="Times New Roman" w:cs="Times New Roman"/>
          <w:b/>
          <w:bCs/>
          <w:lang w:eastAsia="ar-SA"/>
        </w:rPr>
        <w:t xml:space="preserve">§ </w:t>
      </w:r>
      <w:r>
        <w:rPr>
          <w:rFonts w:eastAsia="Times New Roman" w:cs="Times New Roman"/>
          <w:b/>
          <w:bCs/>
          <w:lang w:eastAsia="ar-SA"/>
        </w:rPr>
        <w:t>2341</w:t>
      </w:r>
      <w:r w:rsidRPr="00AA4429">
        <w:rPr>
          <w:rFonts w:eastAsia="Times New Roman" w:cs="Times New Roman"/>
          <w:b/>
          <w:bCs/>
          <w:lang w:eastAsia="ar-SA"/>
        </w:rPr>
        <w:t xml:space="preserve"> – </w:t>
      </w:r>
      <w:r>
        <w:rPr>
          <w:rFonts w:eastAsia="Times New Roman" w:cs="Times New Roman"/>
          <w:b/>
          <w:bCs/>
          <w:lang w:eastAsia="ar-SA"/>
        </w:rPr>
        <w:t>Vodní díla v zemědělské krajině</w:t>
      </w:r>
    </w:p>
    <w:p w14:paraId="6787DE41" w14:textId="676BA29D" w:rsidR="00CD2482" w:rsidRDefault="00CD2482" w:rsidP="00CD2482">
      <w:pPr>
        <w:suppressAutoHyphens/>
        <w:spacing w:after="0" w:line="240" w:lineRule="auto"/>
        <w:jc w:val="both"/>
        <w:rPr>
          <w:rFonts w:eastAsia="Times New Roman" w:cs="Times New Roman"/>
          <w:bCs/>
          <w:lang w:eastAsia="ar-SA"/>
        </w:rPr>
      </w:pPr>
      <w:r w:rsidRPr="00AA4429">
        <w:rPr>
          <w:rFonts w:eastAsia="Times New Roman" w:cs="Times New Roman"/>
          <w:bCs/>
          <w:lang w:eastAsia="ar-SA"/>
        </w:rPr>
        <w:t xml:space="preserve">Z tohoto paragrafu jsou hrazeny investiční výdaje na projekty v rámci participativního rozpočtu Středočeského kraje, které slouží </w:t>
      </w:r>
      <w:r>
        <w:rPr>
          <w:rFonts w:eastAsia="Times New Roman" w:cs="Times New Roman"/>
          <w:bCs/>
          <w:lang w:eastAsia="ar-SA"/>
        </w:rPr>
        <w:t xml:space="preserve">k činnosti spojené s neprůtočnými nádržemi, rybníky, náhony, odvodňovacími a závlahovými zařízeními </w:t>
      </w:r>
      <w:r w:rsidRPr="00AA4429">
        <w:rPr>
          <w:rFonts w:eastAsia="Times New Roman" w:cs="Times New Roman"/>
          <w:bCs/>
          <w:lang w:eastAsia="ar-SA"/>
        </w:rPr>
        <w:t xml:space="preserve">na územní </w:t>
      </w:r>
      <w:r>
        <w:rPr>
          <w:rFonts w:eastAsia="Times New Roman" w:cs="Times New Roman"/>
          <w:bCs/>
          <w:lang w:eastAsia="ar-SA"/>
        </w:rPr>
        <w:t>Středočeského kraje</w:t>
      </w:r>
      <w:r w:rsidRPr="00AA4429">
        <w:rPr>
          <w:rFonts w:eastAsia="Times New Roman" w:cs="Times New Roman"/>
          <w:bCs/>
          <w:lang w:eastAsia="ar-SA"/>
        </w:rPr>
        <w:t xml:space="preserve">. Z upraveného rozpočtu ve výši </w:t>
      </w:r>
      <w:r>
        <w:rPr>
          <w:rFonts w:eastAsia="Times New Roman" w:cs="Times New Roman"/>
          <w:bCs/>
          <w:lang w:eastAsia="ar-SA"/>
        </w:rPr>
        <w:t>377 000</w:t>
      </w:r>
      <w:r w:rsidRPr="00AA4429">
        <w:rPr>
          <w:rFonts w:eastAsia="Times New Roman" w:cs="Times New Roman"/>
          <w:bCs/>
          <w:lang w:eastAsia="ar-SA"/>
        </w:rPr>
        <w:t xml:space="preserve">,00 Kč (upraveno rozpočtovými úpravami v rámci kapitoly projednanými </w:t>
      </w:r>
      <w:r>
        <w:rPr>
          <w:rFonts w:eastAsia="Times New Roman" w:cs="Times New Roman"/>
          <w:bCs/>
          <w:lang w:eastAsia="ar-SA"/>
        </w:rPr>
        <w:t>radou kraje</w:t>
      </w:r>
      <w:r w:rsidRPr="00AA4429">
        <w:rPr>
          <w:rFonts w:eastAsia="Times New Roman" w:cs="Times New Roman"/>
          <w:bCs/>
          <w:lang w:eastAsia="ar-SA"/>
        </w:rPr>
        <w:t xml:space="preserve">) bylo vyčerpáno </w:t>
      </w:r>
      <w:r>
        <w:rPr>
          <w:rFonts w:eastAsia="Times New Roman" w:cs="Times New Roman"/>
          <w:bCs/>
          <w:lang w:eastAsia="ar-SA"/>
        </w:rPr>
        <w:t>377 000</w:t>
      </w:r>
      <w:r w:rsidRPr="00AA4429">
        <w:rPr>
          <w:rFonts w:eastAsia="Times New Roman" w:cs="Times New Roman"/>
          <w:bCs/>
          <w:lang w:eastAsia="ar-SA"/>
        </w:rPr>
        <w:t>,00 Kč, tj. 100</w:t>
      </w:r>
      <w:r w:rsidR="00F244F2">
        <w:rPr>
          <w:rFonts w:eastAsia="Times New Roman" w:cs="Times New Roman"/>
          <w:bCs/>
          <w:lang w:eastAsia="ar-SA"/>
        </w:rPr>
        <w:t>,0</w:t>
      </w:r>
      <w:r w:rsidRPr="00AA4429">
        <w:rPr>
          <w:rFonts w:eastAsia="Times New Roman" w:cs="Times New Roman"/>
          <w:bCs/>
          <w:lang w:eastAsia="ar-SA"/>
        </w:rPr>
        <w:t xml:space="preserve"> %.</w:t>
      </w:r>
    </w:p>
    <w:p w14:paraId="626664CA" w14:textId="77777777" w:rsidR="00CD2482" w:rsidRDefault="00CD2482" w:rsidP="00CD2482">
      <w:pPr>
        <w:suppressAutoHyphens/>
        <w:spacing w:after="0" w:line="240" w:lineRule="auto"/>
        <w:jc w:val="both"/>
        <w:rPr>
          <w:rFonts w:eastAsia="Times New Roman" w:cs="Times New Roman"/>
          <w:bCs/>
          <w:lang w:eastAsia="ar-SA"/>
        </w:rPr>
      </w:pPr>
    </w:p>
    <w:p w14:paraId="0D3578EB" w14:textId="77777777" w:rsidR="00CD2482" w:rsidRPr="00AA4429" w:rsidRDefault="00CD2482" w:rsidP="00CD2482">
      <w:pPr>
        <w:suppressAutoHyphens/>
        <w:spacing w:after="0" w:line="240" w:lineRule="auto"/>
        <w:jc w:val="both"/>
        <w:rPr>
          <w:rFonts w:eastAsia="Times New Roman" w:cs="Times New Roman"/>
          <w:b/>
          <w:bCs/>
          <w:lang w:eastAsia="ar-SA"/>
        </w:rPr>
      </w:pPr>
      <w:r w:rsidRPr="00CE418B">
        <w:rPr>
          <w:rFonts w:eastAsia="Times New Roman" w:cs="Times New Roman"/>
          <w:b/>
          <w:bCs/>
          <w:lang w:eastAsia="ar-SA"/>
        </w:rPr>
        <w:t xml:space="preserve">§ </w:t>
      </w:r>
      <w:r>
        <w:rPr>
          <w:rFonts w:eastAsia="Times New Roman" w:cs="Times New Roman"/>
          <w:b/>
          <w:bCs/>
          <w:lang w:eastAsia="ar-SA"/>
        </w:rPr>
        <w:t>3111</w:t>
      </w:r>
      <w:r w:rsidRPr="00AA4429">
        <w:rPr>
          <w:rFonts w:eastAsia="Times New Roman" w:cs="Times New Roman"/>
          <w:b/>
          <w:bCs/>
          <w:lang w:eastAsia="ar-SA"/>
        </w:rPr>
        <w:t xml:space="preserve"> – </w:t>
      </w:r>
      <w:r>
        <w:rPr>
          <w:rFonts w:eastAsia="Times New Roman" w:cs="Times New Roman"/>
          <w:b/>
          <w:bCs/>
          <w:lang w:eastAsia="ar-SA"/>
        </w:rPr>
        <w:t>Mateřské školy</w:t>
      </w:r>
    </w:p>
    <w:p w14:paraId="576C998D" w14:textId="6A398193" w:rsidR="00CD2482" w:rsidRDefault="00CD2482" w:rsidP="00CD2482">
      <w:pPr>
        <w:suppressAutoHyphens/>
        <w:spacing w:after="0" w:line="240" w:lineRule="auto"/>
        <w:jc w:val="both"/>
        <w:rPr>
          <w:rFonts w:eastAsia="Times New Roman" w:cs="Times New Roman"/>
          <w:bCs/>
          <w:lang w:eastAsia="ar-SA"/>
        </w:rPr>
      </w:pPr>
      <w:r w:rsidRPr="00AA4429">
        <w:rPr>
          <w:rFonts w:eastAsia="Times New Roman" w:cs="Times New Roman"/>
          <w:bCs/>
          <w:lang w:eastAsia="ar-SA"/>
        </w:rPr>
        <w:t xml:space="preserve">Z tohoto paragrafu jsou hrazeny investiční výdaje na projekty v rámci participativního rozpočtu Středočeského kraje, které slouží </w:t>
      </w:r>
      <w:r>
        <w:rPr>
          <w:rFonts w:eastAsia="Times New Roman" w:cs="Times New Roman"/>
          <w:bCs/>
          <w:lang w:eastAsia="ar-SA"/>
        </w:rPr>
        <w:t xml:space="preserve">k činnosti mateřských škol </w:t>
      </w:r>
      <w:r w:rsidRPr="00AA4429">
        <w:rPr>
          <w:rFonts w:eastAsia="Times New Roman" w:cs="Times New Roman"/>
          <w:bCs/>
          <w:lang w:eastAsia="ar-SA"/>
        </w:rPr>
        <w:t xml:space="preserve">na územní </w:t>
      </w:r>
      <w:r>
        <w:rPr>
          <w:rFonts w:eastAsia="Times New Roman" w:cs="Times New Roman"/>
          <w:bCs/>
          <w:lang w:eastAsia="ar-SA"/>
        </w:rPr>
        <w:t>Středočeského kraje</w:t>
      </w:r>
      <w:r w:rsidRPr="00AA4429">
        <w:rPr>
          <w:rFonts w:eastAsia="Times New Roman" w:cs="Times New Roman"/>
          <w:bCs/>
          <w:lang w:eastAsia="ar-SA"/>
        </w:rPr>
        <w:t xml:space="preserve">. Z upraveného rozpočtu ve výši </w:t>
      </w:r>
      <w:r>
        <w:rPr>
          <w:rFonts w:eastAsia="Times New Roman" w:cs="Times New Roman"/>
          <w:bCs/>
          <w:lang w:eastAsia="ar-SA"/>
        </w:rPr>
        <w:t>400 000</w:t>
      </w:r>
      <w:r w:rsidRPr="00AA4429">
        <w:rPr>
          <w:rFonts w:eastAsia="Times New Roman" w:cs="Times New Roman"/>
          <w:bCs/>
          <w:lang w:eastAsia="ar-SA"/>
        </w:rPr>
        <w:t xml:space="preserve">,00 Kč (upraveno rozpočtovými úpravami v rámci kapitoly projednanými </w:t>
      </w:r>
      <w:r>
        <w:rPr>
          <w:rFonts w:eastAsia="Times New Roman" w:cs="Times New Roman"/>
          <w:bCs/>
          <w:lang w:eastAsia="ar-SA"/>
        </w:rPr>
        <w:t>radou kraje</w:t>
      </w:r>
      <w:r w:rsidRPr="00AA4429">
        <w:rPr>
          <w:rFonts w:eastAsia="Times New Roman" w:cs="Times New Roman"/>
          <w:bCs/>
          <w:lang w:eastAsia="ar-SA"/>
        </w:rPr>
        <w:t xml:space="preserve">) bylo vyčerpáno </w:t>
      </w:r>
      <w:r>
        <w:rPr>
          <w:rFonts w:eastAsia="Times New Roman" w:cs="Times New Roman"/>
          <w:bCs/>
          <w:lang w:eastAsia="ar-SA"/>
        </w:rPr>
        <w:t>400 000</w:t>
      </w:r>
      <w:r w:rsidRPr="00AA4429">
        <w:rPr>
          <w:rFonts w:eastAsia="Times New Roman" w:cs="Times New Roman"/>
          <w:bCs/>
          <w:lang w:eastAsia="ar-SA"/>
        </w:rPr>
        <w:t>,00 Kč, tj. 100</w:t>
      </w:r>
      <w:r w:rsidR="00F244F2">
        <w:rPr>
          <w:rFonts w:eastAsia="Times New Roman" w:cs="Times New Roman"/>
          <w:bCs/>
          <w:lang w:eastAsia="ar-SA"/>
        </w:rPr>
        <w:t>,0</w:t>
      </w:r>
      <w:r w:rsidRPr="00AA4429">
        <w:rPr>
          <w:rFonts w:eastAsia="Times New Roman" w:cs="Times New Roman"/>
          <w:bCs/>
          <w:lang w:eastAsia="ar-SA"/>
        </w:rPr>
        <w:t xml:space="preserve"> %.</w:t>
      </w:r>
    </w:p>
    <w:p w14:paraId="7C4B8951" w14:textId="77777777" w:rsidR="00CD2482" w:rsidRPr="00AA4429" w:rsidRDefault="00CD2482" w:rsidP="00CD2482">
      <w:pPr>
        <w:suppressAutoHyphens/>
        <w:spacing w:after="0" w:line="240" w:lineRule="auto"/>
        <w:jc w:val="both"/>
        <w:rPr>
          <w:rFonts w:eastAsia="Times New Roman" w:cs="Times New Roman"/>
          <w:bCs/>
          <w:lang w:eastAsia="ar-SA"/>
        </w:rPr>
      </w:pPr>
    </w:p>
    <w:p w14:paraId="78DFD31F" w14:textId="16D6FEAF" w:rsidR="00CD2482" w:rsidRPr="00AA4429" w:rsidRDefault="00CD2482" w:rsidP="00CD2482">
      <w:pPr>
        <w:suppressAutoHyphens/>
        <w:spacing w:after="0" w:line="240" w:lineRule="auto"/>
        <w:jc w:val="both"/>
        <w:rPr>
          <w:rFonts w:eastAsia="Times New Roman" w:cs="Times New Roman"/>
          <w:b/>
          <w:bCs/>
          <w:lang w:eastAsia="ar-SA"/>
        </w:rPr>
      </w:pPr>
      <w:r w:rsidRPr="00CE418B">
        <w:rPr>
          <w:rFonts w:eastAsia="Times New Roman" w:cs="Times New Roman"/>
          <w:b/>
          <w:bCs/>
          <w:lang w:eastAsia="ar-SA"/>
        </w:rPr>
        <w:t xml:space="preserve">§ </w:t>
      </w:r>
      <w:r>
        <w:rPr>
          <w:rFonts w:eastAsia="Times New Roman" w:cs="Times New Roman"/>
          <w:b/>
          <w:bCs/>
          <w:lang w:eastAsia="ar-SA"/>
        </w:rPr>
        <w:t>3313 – Filmová</w:t>
      </w:r>
      <w:r w:rsidRPr="00AA4429">
        <w:rPr>
          <w:rFonts w:eastAsia="Times New Roman" w:cs="Times New Roman"/>
          <w:b/>
          <w:bCs/>
          <w:lang w:eastAsia="ar-SA"/>
        </w:rPr>
        <w:t xml:space="preserve"> tvorba, distribuce</w:t>
      </w:r>
      <w:r w:rsidR="00C43260">
        <w:rPr>
          <w:rFonts w:eastAsia="Times New Roman" w:cs="Times New Roman"/>
          <w:b/>
          <w:bCs/>
          <w:lang w:eastAsia="ar-SA"/>
        </w:rPr>
        <w:t>,</w:t>
      </w:r>
      <w:r w:rsidRPr="00AA4429">
        <w:rPr>
          <w:rFonts w:eastAsia="Times New Roman" w:cs="Times New Roman"/>
          <w:b/>
          <w:bCs/>
          <w:lang w:eastAsia="ar-SA"/>
        </w:rPr>
        <w:t xml:space="preserve"> kina</w:t>
      </w:r>
    </w:p>
    <w:p w14:paraId="3DB33F47" w14:textId="3FE412AD" w:rsidR="00CD2482" w:rsidRDefault="00CD2482" w:rsidP="00CD2482">
      <w:pPr>
        <w:suppressAutoHyphens/>
        <w:spacing w:after="0" w:line="240" w:lineRule="auto"/>
        <w:jc w:val="both"/>
        <w:rPr>
          <w:rFonts w:eastAsia="Times New Roman" w:cs="Times New Roman"/>
          <w:bCs/>
          <w:lang w:eastAsia="ar-SA"/>
        </w:rPr>
      </w:pPr>
      <w:r w:rsidRPr="00AA4429">
        <w:rPr>
          <w:rFonts w:eastAsia="Times New Roman" w:cs="Times New Roman"/>
          <w:bCs/>
          <w:lang w:eastAsia="ar-SA"/>
        </w:rPr>
        <w:t xml:space="preserve">Z tohoto paragrafu jsou hrazeny investiční výdaje na projekty v rámci participativního rozpočtu Středočeského kraje, které jsou určeny na filmovou tvorbu, distribuce a kina. Z upraveného rozpočtu ve výši </w:t>
      </w:r>
      <w:r>
        <w:rPr>
          <w:rFonts w:eastAsia="Times New Roman" w:cs="Times New Roman"/>
          <w:bCs/>
          <w:lang w:eastAsia="ar-SA"/>
        </w:rPr>
        <w:t>400 000</w:t>
      </w:r>
      <w:r w:rsidRPr="00AA4429">
        <w:rPr>
          <w:rFonts w:eastAsia="Times New Roman" w:cs="Times New Roman"/>
          <w:bCs/>
          <w:lang w:eastAsia="ar-SA"/>
        </w:rPr>
        <w:t xml:space="preserve">,00 Kč (upraveno rozpočtovými úpravami v rámci kapitoly projednanými </w:t>
      </w:r>
      <w:r>
        <w:rPr>
          <w:rFonts w:eastAsia="Times New Roman" w:cs="Times New Roman"/>
          <w:bCs/>
          <w:lang w:eastAsia="ar-SA"/>
        </w:rPr>
        <w:t>radou kraje</w:t>
      </w:r>
      <w:r w:rsidRPr="00AA4429">
        <w:rPr>
          <w:rFonts w:eastAsia="Times New Roman" w:cs="Times New Roman"/>
          <w:bCs/>
          <w:lang w:eastAsia="ar-SA"/>
        </w:rPr>
        <w:t xml:space="preserve">) </w:t>
      </w:r>
      <w:r>
        <w:rPr>
          <w:rFonts w:eastAsia="Times New Roman" w:cs="Times New Roman"/>
          <w:bCs/>
          <w:lang w:eastAsia="ar-SA"/>
        </w:rPr>
        <w:t>byl</w:t>
      </w:r>
      <w:r w:rsidRPr="00AA4429">
        <w:rPr>
          <w:rFonts w:eastAsia="Times New Roman" w:cs="Times New Roman"/>
          <w:bCs/>
          <w:lang w:eastAsia="ar-SA"/>
        </w:rPr>
        <w:t xml:space="preserve">o vyčerpáno </w:t>
      </w:r>
      <w:r>
        <w:rPr>
          <w:rFonts w:eastAsia="Times New Roman" w:cs="Times New Roman"/>
          <w:bCs/>
          <w:lang w:eastAsia="ar-SA"/>
        </w:rPr>
        <w:t>400 000</w:t>
      </w:r>
      <w:r w:rsidRPr="00AA4429">
        <w:rPr>
          <w:rFonts w:eastAsia="Times New Roman" w:cs="Times New Roman"/>
          <w:bCs/>
          <w:lang w:eastAsia="ar-SA"/>
        </w:rPr>
        <w:t xml:space="preserve">,00 Kč, tj. </w:t>
      </w:r>
      <w:r>
        <w:rPr>
          <w:rFonts w:eastAsia="Times New Roman" w:cs="Times New Roman"/>
          <w:bCs/>
          <w:lang w:eastAsia="ar-SA"/>
        </w:rPr>
        <w:t>10</w:t>
      </w:r>
      <w:r w:rsidRPr="00AA4429">
        <w:rPr>
          <w:rFonts w:eastAsia="Times New Roman" w:cs="Times New Roman"/>
          <w:bCs/>
          <w:lang w:eastAsia="ar-SA"/>
        </w:rPr>
        <w:t>0</w:t>
      </w:r>
      <w:r w:rsidR="00F244F2">
        <w:rPr>
          <w:rFonts w:eastAsia="Times New Roman" w:cs="Times New Roman"/>
          <w:bCs/>
          <w:lang w:eastAsia="ar-SA"/>
        </w:rPr>
        <w:t>,0</w:t>
      </w:r>
      <w:r w:rsidRPr="00AA4429">
        <w:rPr>
          <w:rFonts w:eastAsia="Times New Roman" w:cs="Times New Roman"/>
          <w:bCs/>
          <w:lang w:eastAsia="ar-SA"/>
        </w:rPr>
        <w:t xml:space="preserve"> %.</w:t>
      </w:r>
    </w:p>
    <w:p w14:paraId="208F59BE" w14:textId="77777777" w:rsidR="00CD2482" w:rsidRDefault="00CD2482" w:rsidP="00CD2482">
      <w:pPr>
        <w:suppressAutoHyphens/>
        <w:spacing w:after="0" w:line="240" w:lineRule="auto"/>
        <w:jc w:val="both"/>
        <w:rPr>
          <w:rFonts w:eastAsia="Times New Roman" w:cs="Times New Roman"/>
          <w:bCs/>
          <w:lang w:eastAsia="ar-SA"/>
        </w:rPr>
      </w:pPr>
    </w:p>
    <w:p w14:paraId="3672846C" w14:textId="77777777" w:rsidR="00CD2482" w:rsidRPr="00AA4429" w:rsidRDefault="00CD2482" w:rsidP="00CD2482">
      <w:pPr>
        <w:suppressAutoHyphens/>
        <w:spacing w:after="0" w:line="240" w:lineRule="auto"/>
        <w:jc w:val="both"/>
        <w:rPr>
          <w:rFonts w:eastAsia="Times New Roman" w:cs="Times New Roman"/>
          <w:b/>
          <w:bCs/>
          <w:lang w:eastAsia="ar-SA"/>
        </w:rPr>
      </w:pPr>
      <w:r w:rsidRPr="00CE418B">
        <w:rPr>
          <w:rFonts w:eastAsia="Times New Roman" w:cs="Times New Roman"/>
          <w:b/>
          <w:bCs/>
          <w:lang w:eastAsia="ar-SA"/>
        </w:rPr>
        <w:t xml:space="preserve">§ </w:t>
      </w:r>
      <w:r>
        <w:rPr>
          <w:rFonts w:eastAsia="Times New Roman" w:cs="Times New Roman"/>
          <w:b/>
          <w:bCs/>
          <w:lang w:eastAsia="ar-SA"/>
        </w:rPr>
        <w:t>3314</w:t>
      </w:r>
      <w:r w:rsidRPr="00AA4429">
        <w:rPr>
          <w:rFonts w:eastAsia="Times New Roman" w:cs="Times New Roman"/>
          <w:b/>
          <w:bCs/>
          <w:lang w:eastAsia="ar-SA"/>
        </w:rPr>
        <w:t xml:space="preserve"> – </w:t>
      </w:r>
      <w:r>
        <w:rPr>
          <w:rFonts w:eastAsia="Times New Roman" w:cs="Times New Roman"/>
          <w:b/>
          <w:bCs/>
          <w:lang w:eastAsia="ar-SA"/>
        </w:rPr>
        <w:t>Činnosti knihovnické</w:t>
      </w:r>
    </w:p>
    <w:p w14:paraId="624EF820" w14:textId="77777777" w:rsidR="00CD2482" w:rsidRDefault="00CD2482" w:rsidP="00CD2482">
      <w:pPr>
        <w:suppressAutoHyphens/>
        <w:spacing w:after="0" w:line="240" w:lineRule="auto"/>
        <w:jc w:val="both"/>
        <w:rPr>
          <w:rFonts w:eastAsia="Times New Roman" w:cs="Times New Roman"/>
          <w:bCs/>
          <w:lang w:eastAsia="ar-SA"/>
        </w:rPr>
      </w:pPr>
      <w:r w:rsidRPr="00AA4429">
        <w:rPr>
          <w:rFonts w:eastAsia="Times New Roman" w:cs="Times New Roman"/>
          <w:bCs/>
          <w:lang w:eastAsia="ar-SA"/>
        </w:rPr>
        <w:t xml:space="preserve">Z tohoto paragrafu jsou hrazeny investiční výdaje na projekty v rámci participativního rozpočtu Středočeského kraje, které </w:t>
      </w:r>
      <w:r>
        <w:rPr>
          <w:rFonts w:eastAsia="Times New Roman" w:cs="Times New Roman"/>
          <w:bCs/>
          <w:lang w:eastAsia="ar-SA"/>
        </w:rPr>
        <w:t xml:space="preserve">jsou určeny na práci se čtenářem, péči o knihovní fondy, katalogy, kartotéky a databáze </w:t>
      </w:r>
      <w:r w:rsidRPr="00AA4429">
        <w:rPr>
          <w:rFonts w:eastAsia="Times New Roman" w:cs="Times New Roman"/>
          <w:bCs/>
          <w:lang w:eastAsia="ar-SA"/>
        </w:rPr>
        <w:t xml:space="preserve">na územní </w:t>
      </w:r>
      <w:r>
        <w:rPr>
          <w:rFonts w:eastAsia="Times New Roman" w:cs="Times New Roman"/>
          <w:bCs/>
          <w:lang w:eastAsia="ar-SA"/>
        </w:rPr>
        <w:t>Středočeského kraje</w:t>
      </w:r>
      <w:r w:rsidRPr="00AA4429">
        <w:rPr>
          <w:rFonts w:eastAsia="Times New Roman" w:cs="Times New Roman"/>
          <w:bCs/>
          <w:lang w:eastAsia="ar-SA"/>
        </w:rPr>
        <w:t xml:space="preserve">. Z upraveného rozpočtu ve výši </w:t>
      </w:r>
      <w:r>
        <w:rPr>
          <w:rFonts w:eastAsia="Times New Roman" w:cs="Times New Roman"/>
          <w:bCs/>
          <w:lang w:eastAsia="ar-SA"/>
        </w:rPr>
        <w:t>1 084 690</w:t>
      </w:r>
      <w:r w:rsidRPr="00AA4429">
        <w:rPr>
          <w:rFonts w:eastAsia="Times New Roman" w:cs="Times New Roman"/>
          <w:bCs/>
          <w:lang w:eastAsia="ar-SA"/>
        </w:rPr>
        <w:t xml:space="preserve">,00 Kč (upraveno rozpočtovými úpravami v rámci kapitoly projednanými </w:t>
      </w:r>
      <w:r>
        <w:rPr>
          <w:rFonts w:eastAsia="Times New Roman" w:cs="Times New Roman"/>
          <w:bCs/>
          <w:lang w:eastAsia="ar-SA"/>
        </w:rPr>
        <w:t>radou kraje</w:t>
      </w:r>
      <w:r w:rsidRPr="00AA4429">
        <w:rPr>
          <w:rFonts w:eastAsia="Times New Roman" w:cs="Times New Roman"/>
          <w:bCs/>
          <w:lang w:eastAsia="ar-SA"/>
        </w:rPr>
        <w:t xml:space="preserve">) bylo vyčerpáno </w:t>
      </w:r>
      <w:r>
        <w:rPr>
          <w:rFonts w:eastAsia="Times New Roman" w:cs="Times New Roman"/>
          <w:bCs/>
          <w:lang w:eastAsia="ar-SA"/>
        </w:rPr>
        <w:t>799 690</w:t>
      </w:r>
      <w:r w:rsidRPr="00AA4429">
        <w:rPr>
          <w:rFonts w:eastAsia="Times New Roman" w:cs="Times New Roman"/>
          <w:bCs/>
          <w:lang w:eastAsia="ar-SA"/>
        </w:rPr>
        <w:t xml:space="preserve">,00 Kč, tj. </w:t>
      </w:r>
      <w:r>
        <w:rPr>
          <w:rFonts w:eastAsia="Times New Roman" w:cs="Times New Roman"/>
          <w:bCs/>
          <w:lang w:eastAsia="ar-SA"/>
        </w:rPr>
        <w:t>73,7</w:t>
      </w:r>
      <w:r w:rsidRPr="00AA4429">
        <w:rPr>
          <w:rFonts w:eastAsia="Times New Roman" w:cs="Times New Roman"/>
          <w:bCs/>
          <w:lang w:eastAsia="ar-SA"/>
        </w:rPr>
        <w:t xml:space="preserve"> %.</w:t>
      </w:r>
    </w:p>
    <w:p w14:paraId="0A91DC1D" w14:textId="77777777" w:rsidR="00CD2482" w:rsidRDefault="00CD2482" w:rsidP="00CD2482">
      <w:pPr>
        <w:suppressAutoHyphens/>
        <w:spacing w:after="0" w:line="240" w:lineRule="auto"/>
        <w:jc w:val="both"/>
        <w:rPr>
          <w:rFonts w:eastAsia="Times New Roman" w:cs="Times New Roman"/>
          <w:bCs/>
          <w:lang w:eastAsia="ar-SA"/>
        </w:rPr>
      </w:pPr>
    </w:p>
    <w:p w14:paraId="18B5FB03" w14:textId="77777777" w:rsidR="00CD2482" w:rsidRPr="003F5F6A" w:rsidRDefault="00CD2482" w:rsidP="00CD2482">
      <w:pPr>
        <w:suppressAutoHyphens/>
        <w:spacing w:after="0" w:line="240" w:lineRule="auto"/>
        <w:jc w:val="both"/>
        <w:rPr>
          <w:rFonts w:eastAsia="Times New Roman" w:cs="Times New Roman"/>
          <w:b/>
          <w:bCs/>
          <w:lang w:eastAsia="ar-SA"/>
        </w:rPr>
      </w:pPr>
      <w:r w:rsidRPr="003F5F6A">
        <w:rPr>
          <w:rFonts w:eastAsia="Times New Roman" w:cs="Times New Roman"/>
          <w:b/>
          <w:bCs/>
          <w:lang w:eastAsia="ar-SA"/>
        </w:rPr>
        <w:t xml:space="preserve">§ </w:t>
      </w:r>
      <w:r>
        <w:rPr>
          <w:rFonts w:eastAsia="Times New Roman" w:cs="Times New Roman"/>
          <w:b/>
          <w:bCs/>
          <w:lang w:eastAsia="ar-SA"/>
        </w:rPr>
        <w:t xml:space="preserve">3315 </w:t>
      </w:r>
      <w:r w:rsidRPr="003F5F6A">
        <w:rPr>
          <w:rFonts w:eastAsia="Times New Roman" w:cs="Times New Roman"/>
          <w:b/>
          <w:bCs/>
          <w:lang w:eastAsia="ar-SA"/>
        </w:rPr>
        <w:t xml:space="preserve">– </w:t>
      </w:r>
      <w:r>
        <w:rPr>
          <w:rFonts w:eastAsia="Times New Roman" w:cs="Times New Roman"/>
          <w:b/>
          <w:bCs/>
          <w:lang w:eastAsia="ar-SA"/>
        </w:rPr>
        <w:t>Činnost muzeí a galerií</w:t>
      </w:r>
    </w:p>
    <w:p w14:paraId="186B5797" w14:textId="77777777" w:rsidR="00CD2482" w:rsidRPr="003F5F6A" w:rsidRDefault="00CD2482" w:rsidP="00CD2482">
      <w:pPr>
        <w:suppressAutoHyphens/>
        <w:spacing w:after="0" w:line="240" w:lineRule="auto"/>
        <w:jc w:val="both"/>
        <w:rPr>
          <w:rFonts w:eastAsia="Times New Roman" w:cs="Times New Roman"/>
          <w:bCs/>
          <w:lang w:eastAsia="ar-SA"/>
        </w:rPr>
      </w:pPr>
      <w:r w:rsidRPr="003F5F6A">
        <w:rPr>
          <w:rFonts w:eastAsia="Times New Roman" w:cs="Times New Roman"/>
          <w:bCs/>
          <w:lang w:eastAsia="ar-SA"/>
        </w:rPr>
        <w:t>Z tohoto paragrafu jsou hrazeny investiční výdaje na projekty v rámci participativního rozpočtu Středočeského kraje, které slouží k</w:t>
      </w:r>
      <w:r>
        <w:rPr>
          <w:rFonts w:eastAsia="Times New Roman" w:cs="Times New Roman"/>
          <w:bCs/>
          <w:lang w:eastAsia="ar-SA"/>
        </w:rPr>
        <w:t xml:space="preserve"> systematické a koncepční </w:t>
      </w:r>
      <w:r w:rsidRPr="003F5F6A">
        <w:rPr>
          <w:rFonts w:eastAsia="Times New Roman" w:cs="Times New Roman"/>
          <w:bCs/>
          <w:lang w:eastAsia="ar-SA"/>
        </w:rPr>
        <w:t xml:space="preserve">činnosti </w:t>
      </w:r>
      <w:r>
        <w:rPr>
          <w:rFonts w:eastAsia="Times New Roman" w:cs="Times New Roman"/>
          <w:bCs/>
          <w:lang w:eastAsia="ar-SA"/>
        </w:rPr>
        <w:t>muzeí a galerií</w:t>
      </w:r>
      <w:r w:rsidRPr="003F5F6A">
        <w:rPr>
          <w:rFonts w:eastAsia="Times New Roman" w:cs="Times New Roman"/>
          <w:bCs/>
          <w:lang w:eastAsia="ar-SA"/>
        </w:rPr>
        <w:t xml:space="preserve"> na územní Středočeského kraje. Z upraveného rozpočtu ve výši </w:t>
      </w:r>
      <w:r>
        <w:rPr>
          <w:rFonts w:eastAsia="Times New Roman" w:cs="Times New Roman"/>
          <w:bCs/>
          <w:lang w:eastAsia="ar-SA"/>
        </w:rPr>
        <w:t>917 853</w:t>
      </w:r>
      <w:r w:rsidRPr="003F5F6A">
        <w:rPr>
          <w:rFonts w:eastAsia="Times New Roman" w:cs="Times New Roman"/>
          <w:bCs/>
          <w:lang w:eastAsia="ar-SA"/>
        </w:rPr>
        <w:t xml:space="preserve">,00 Kč (upraveno rozpočtovými úpravami v rámci kapitoly projednanými radou kraje) bylo vyčerpáno </w:t>
      </w:r>
      <w:r>
        <w:rPr>
          <w:rFonts w:eastAsia="Times New Roman" w:cs="Times New Roman"/>
          <w:bCs/>
          <w:lang w:eastAsia="ar-SA"/>
        </w:rPr>
        <w:t>803 852,90</w:t>
      </w:r>
      <w:r w:rsidRPr="003F5F6A">
        <w:rPr>
          <w:rFonts w:eastAsia="Times New Roman" w:cs="Times New Roman"/>
          <w:bCs/>
          <w:lang w:eastAsia="ar-SA"/>
        </w:rPr>
        <w:t xml:space="preserve"> Kč, tj. </w:t>
      </w:r>
      <w:r>
        <w:rPr>
          <w:rFonts w:eastAsia="Times New Roman" w:cs="Times New Roman"/>
          <w:bCs/>
          <w:lang w:eastAsia="ar-SA"/>
        </w:rPr>
        <w:t>87,6</w:t>
      </w:r>
      <w:r w:rsidRPr="003F5F6A">
        <w:rPr>
          <w:rFonts w:eastAsia="Times New Roman" w:cs="Times New Roman"/>
          <w:bCs/>
          <w:lang w:eastAsia="ar-SA"/>
        </w:rPr>
        <w:t xml:space="preserve"> %.</w:t>
      </w:r>
    </w:p>
    <w:p w14:paraId="690C09DB" w14:textId="77777777" w:rsidR="00CD2482" w:rsidRDefault="00CD2482" w:rsidP="00CD2482">
      <w:pPr>
        <w:suppressAutoHyphens/>
        <w:spacing w:after="0" w:line="240" w:lineRule="auto"/>
        <w:jc w:val="both"/>
        <w:rPr>
          <w:rFonts w:eastAsia="Times New Roman" w:cs="Times New Roman"/>
          <w:bCs/>
          <w:lang w:eastAsia="ar-SA"/>
        </w:rPr>
      </w:pPr>
    </w:p>
    <w:p w14:paraId="0DE2F3C6" w14:textId="77777777" w:rsidR="00CD2482" w:rsidRPr="00AA4429" w:rsidRDefault="00CD2482" w:rsidP="00CD2482">
      <w:pPr>
        <w:suppressAutoHyphens/>
        <w:spacing w:after="0" w:line="240" w:lineRule="auto"/>
        <w:jc w:val="both"/>
        <w:rPr>
          <w:rFonts w:eastAsia="Times New Roman" w:cs="Times New Roman"/>
          <w:b/>
          <w:bCs/>
          <w:lang w:eastAsia="ar-SA"/>
        </w:rPr>
      </w:pPr>
      <w:bookmarkStart w:id="55" w:name="_Hlk96602021"/>
      <w:r w:rsidRPr="00CE418B">
        <w:rPr>
          <w:rFonts w:eastAsia="Times New Roman" w:cs="Times New Roman"/>
          <w:b/>
          <w:bCs/>
          <w:lang w:eastAsia="ar-SA"/>
        </w:rPr>
        <w:t xml:space="preserve">§ </w:t>
      </w:r>
      <w:r w:rsidRPr="00AA4429">
        <w:rPr>
          <w:rFonts w:eastAsia="Times New Roman" w:cs="Times New Roman"/>
          <w:b/>
          <w:bCs/>
          <w:lang w:eastAsia="ar-SA"/>
        </w:rPr>
        <w:t>3319 – Ostatní záležitosti kultury</w:t>
      </w:r>
    </w:p>
    <w:p w14:paraId="56AEA4E8" w14:textId="338CFB25" w:rsidR="00CD2482" w:rsidRDefault="00CD2482" w:rsidP="00CD2482">
      <w:pPr>
        <w:suppressAutoHyphens/>
        <w:spacing w:after="0" w:line="240" w:lineRule="auto"/>
        <w:jc w:val="both"/>
        <w:rPr>
          <w:rFonts w:eastAsia="Times New Roman" w:cs="Times New Roman"/>
          <w:bCs/>
          <w:lang w:eastAsia="ar-SA"/>
        </w:rPr>
      </w:pPr>
      <w:r w:rsidRPr="00AA4429">
        <w:rPr>
          <w:rFonts w:eastAsia="Times New Roman" w:cs="Times New Roman"/>
          <w:bCs/>
          <w:lang w:eastAsia="ar-SA"/>
        </w:rPr>
        <w:t xml:space="preserve">Z tohoto paragrafu jsou hrazeny investiční výdaje na projekty v rámci participativního rozpočtu Středočeského kraje, které jsou určeny pro ostatní záležitosti v oblasti kultury. Z upraveného rozpočtu ve výši </w:t>
      </w:r>
      <w:r>
        <w:rPr>
          <w:rFonts w:eastAsia="Times New Roman" w:cs="Times New Roman"/>
          <w:bCs/>
          <w:lang w:eastAsia="ar-SA"/>
        </w:rPr>
        <w:t>588 399</w:t>
      </w:r>
      <w:r w:rsidRPr="00AA4429">
        <w:rPr>
          <w:rFonts w:eastAsia="Times New Roman" w:cs="Times New Roman"/>
          <w:bCs/>
          <w:lang w:eastAsia="ar-SA"/>
        </w:rPr>
        <w:t xml:space="preserve">,00 Kč (upraveno rozpočtovými úpravami v rámci kapitoly projednanými </w:t>
      </w:r>
      <w:r>
        <w:rPr>
          <w:rFonts w:eastAsia="Times New Roman" w:cs="Times New Roman"/>
          <w:bCs/>
          <w:lang w:eastAsia="ar-SA"/>
        </w:rPr>
        <w:t>radou kraje</w:t>
      </w:r>
      <w:r w:rsidRPr="00AA4429">
        <w:rPr>
          <w:rFonts w:eastAsia="Times New Roman" w:cs="Times New Roman"/>
          <w:bCs/>
          <w:lang w:eastAsia="ar-SA"/>
        </w:rPr>
        <w:t xml:space="preserve">) bylo vyčerpáno </w:t>
      </w:r>
      <w:r>
        <w:rPr>
          <w:rFonts w:eastAsia="Times New Roman" w:cs="Times New Roman"/>
          <w:bCs/>
          <w:lang w:eastAsia="ar-SA"/>
        </w:rPr>
        <w:t>588 399</w:t>
      </w:r>
      <w:r w:rsidRPr="00AA4429">
        <w:rPr>
          <w:rFonts w:eastAsia="Times New Roman" w:cs="Times New Roman"/>
          <w:bCs/>
          <w:lang w:eastAsia="ar-SA"/>
        </w:rPr>
        <w:t>,00</w:t>
      </w:r>
      <w:r>
        <w:rPr>
          <w:rFonts w:eastAsia="Times New Roman" w:cs="Times New Roman"/>
          <w:bCs/>
          <w:lang w:eastAsia="ar-SA"/>
        </w:rPr>
        <w:t xml:space="preserve"> Kč,</w:t>
      </w:r>
      <w:r w:rsidRPr="00AA4429">
        <w:rPr>
          <w:rFonts w:eastAsia="Times New Roman" w:cs="Times New Roman"/>
          <w:bCs/>
          <w:lang w:eastAsia="ar-SA"/>
        </w:rPr>
        <w:t xml:space="preserve"> tj. </w:t>
      </w:r>
      <w:r>
        <w:rPr>
          <w:rFonts w:eastAsia="Times New Roman" w:cs="Times New Roman"/>
          <w:bCs/>
          <w:lang w:eastAsia="ar-SA"/>
        </w:rPr>
        <w:t>100</w:t>
      </w:r>
      <w:r w:rsidR="00F244F2">
        <w:rPr>
          <w:rFonts w:eastAsia="Times New Roman" w:cs="Times New Roman"/>
          <w:bCs/>
          <w:lang w:eastAsia="ar-SA"/>
        </w:rPr>
        <w:t>,0</w:t>
      </w:r>
      <w:r w:rsidRPr="00AA4429">
        <w:rPr>
          <w:rFonts w:eastAsia="Times New Roman" w:cs="Times New Roman"/>
          <w:bCs/>
          <w:lang w:eastAsia="ar-SA"/>
        </w:rPr>
        <w:t xml:space="preserve"> %.</w:t>
      </w:r>
    </w:p>
    <w:bookmarkEnd w:id="55"/>
    <w:p w14:paraId="04F9380B" w14:textId="77777777" w:rsidR="00CD2482" w:rsidRPr="00AA4429" w:rsidRDefault="00CD2482" w:rsidP="00CD2482">
      <w:pPr>
        <w:suppressAutoHyphens/>
        <w:spacing w:after="0" w:line="240" w:lineRule="auto"/>
        <w:jc w:val="both"/>
        <w:rPr>
          <w:rFonts w:eastAsia="Times New Roman" w:cs="Times New Roman"/>
          <w:bCs/>
          <w:lang w:eastAsia="ar-SA"/>
        </w:rPr>
      </w:pPr>
    </w:p>
    <w:p w14:paraId="67E7B6B7" w14:textId="77777777" w:rsidR="00CD2482" w:rsidRPr="00AA4429" w:rsidRDefault="00CD2482" w:rsidP="00CD2482">
      <w:pPr>
        <w:suppressAutoHyphens/>
        <w:spacing w:after="0" w:line="240" w:lineRule="auto"/>
        <w:jc w:val="both"/>
        <w:rPr>
          <w:rFonts w:eastAsia="Times New Roman" w:cs="Times New Roman"/>
          <w:b/>
          <w:bCs/>
          <w:lang w:eastAsia="ar-SA"/>
        </w:rPr>
      </w:pPr>
      <w:r w:rsidRPr="00CE418B">
        <w:rPr>
          <w:rFonts w:eastAsia="Times New Roman" w:cs="Times New Roman"/>
          <w:b/>
          <w:bCs/>
          <w:lang w:eastAsia="ar-SA"/>
        </w:rPr>
        <w:t xml:space="preserve">§ </w:t>
      </w:r>
      <w:r w:rsidRPr="00AA4429">
        <w:rPr>
          <w:rFonts w:eastAsia="Times New Roman" w:cs="Times New Roman"/>
          <w:b/>
          <w:bCs/>
          <w:lang w:eastAsia="ar-SA"/>
        </w:rPr>
        <w:t>3326 – Pořízení</w:t>
      </w:r>
      <w:r>
        <w:rPr>
          <w:rFonts w:eastAsia="Times New Roman" w:cs="Times New Roman"/>
          <w:b/>
          <w:bCs/>
          <w:lang w:eastAsia="ar-SA"/>
        </w:rPr>
        <w:t>, zachování a obnova hodnot národního historického</w:t>
      </w:r>
      <w:r w:rsidRPr="00AA4429">
        <w:rPr>
          <w:rFonts w:eastAsia="Times New Roman" w:cs="Times New Roman"/>
          <w:b/>
          <w:bCs/>
          <w:lang w:eastAsia="ar-SA"/>
        </w:rPr>
        <w:t xml:space="preserve"> povědomí</w:t>
      </w:r>
    </w:p>
    <w:p w14:paraId="3F597794" w14:textId="7D90F92C" w:rsidR="00CD2482" w:rsidRDefault="00CD2482" w:rsidP="00CD2482">
      <w:pPr>
        <w:suppressAutoHyphens/>
        <w:spacing w:after="0" w:line="240" w:lineRule="auto"/>
        <w:jc w:val="both"/>
        <w:rPr>
          <w:rFonts w:eastAsia="Times New Roman" w:cs="Times New Roman"/>
          <w:bCs/>
          <w:lang w:eastAsia="ar-SA"/>
        </w:rPr>
      </w:pPr>
      <w:r w:rsidRPr="00AA4429">
        <w:rPr>
          <w:rFonts w:eastAsia="Times New Roman" w:cs="Times New Roman"/>
          <w:bCs/>
          <w:lang w:eastAsia="ar-SA"/>
        </w:rPr>
        <w:t xml:space="preserve">Z tohoto paragrafu jsou hrazeny investiční výdaje na projekty v rámci participativního rozpočtu Středočeského kraje, které slouží k pořízení, zachování a obnově hodnot národního historického povědomí. Z upraveného rozpočtu ve výši </w:t>
      </w:r>
      <w:r>
        <w:rPr>
          <w:rFonts w:eastAsia="Times New Roman" w:cs="Times New Roman"/>
          <w:bCs/>
          <w:lang w:eastAsia="ar-SA"/>
        </w:rPr>
        <w:t>940 000</w:t>
      </w:r>
      <w:r w:rsidRPr="00AA4429">
        <w:rPr>
          <w:rFonts w:eastAsia="Times New Roman" w:cs="Times New Roman"/>
          <w:bCs/>
          <w:lang w:eastAsia="ar-SA"/>
        </w:rPr>
        <w:t xml:space="preserve">,00 Kč (upraveno rozpočtovými úpravami v rámci kapitoly projednanými </w:t>
      </w:r>
      <w:r>
        <w:rPr>
          <w:rFonts w:eastAsia="Times New Roman" w:cs="Times New Roman"/>
          <w:bCs/>
          <w:lang w:eastAsia="ar-SA"/>
        </w:rPr>
        <w:t>radou kraje</w:t>
      </w:r>
      <w:r w:rsidRPr="00AA4429">
        <w:rPr>
          <w:rFonts w:eastAsia="Times New Roman" w:cs="Times New Roman"/>
          <w:bCs/>
          <w:lang w:eastAsia="ar-SA"/>
        </w:rPr>
        <w:t xml:space="preserve">) bylo vyčerpáno </w:t>
      </w:r>
      <w:r>
        <w:rPr>
          <w:rFonts w:eastAsia="Times New Roman" w:cs="Times New Roman"/>
          <w:bCs/>
          <w:lang w:eastAsia="ar-SA"/>
        </w:rPr>
        <w:t>940 000</w:t>
      </w:r>
      <w:r w:rsidRPr="00AA4429">
        <w:rPr>
          <w:rFonts w:eastAsia="Times New Roman" w:cs="Times New Roman"/>
          <w:bCs/>
          <w:lang w:eastAsia="ar-SA"/>
        </w:rPr>
        <w:t>,00 Kč, tj. 100</w:t>
      </w:r>
      <w:r w:rsidR="00F244F2">
        <w:rPr>
          <w:rFonts w:eastAsia="Times New Roman" w:cs="Times New Roman"/>
          <w:bCs/>
          <w:lang w:eastAsia="ar-SA"/>
        </w:rPr>
        <w:t>,0</w:t>
      </w:r>
      <w:r w:rsidRPr="00AA4429">
        <w:rPr>
          <w:rFonts w:eastAsia="Times New Roman" w:cs="Times New Roman"/>
          <w:bCs/>
          <w:lang w:eastAsia="ar-SA"/>
        </w:rPr>
        <w:t xml:space="preserve"> %.</w:t>
      </w:r>
    </w:p>
    <w:p w14:paraId="664D2E39" w14:textId="77777777" w:rsidR="00CD2482" w:rsidRPr="00AA4429" w:rsidRDefault="00CD2482" w:rsidP="00CD2482">
      <w:pPr>
        <w:suppressAutoHyphens/>
        <w:spacing w:after="0" w:line="240" w:lineRule="auto"/>
        <w:jc w:val="both"/>
        <w:rPr>
          <w:rFonts w:eastAsia="Times New Roman" w:cs="Times New Roman"/>
          <w:bCs/>
          <w:lang w:eastAsia="ar-SA"/>
        </w:rPr>
      </w:pPr>
    </w:p>
    <w:p w14:paraId="39F32928" w14:textId="77777777" w:rsidR="00CD2482" w:rsidRPr="00AA4429" w:rsidRDefault="00CD2482" w:rsidP="00CD2482">
      <w:pPr>
        <w:suppressAutoHyphens/>
        <w:spacing w:after="0" w:line="240" w:lineRule="auto"/>
        <w:jc w:val="both"/>
        <w:rPr>
          <w:rFonts w:eastAsia="Times New Roman" w:cs="Times New Roman"/>
          <w:b/>
          <w:bCs/>
          <w:lang w:eastAsia="ar-SA"/>
        </w:rPr>
      </w:pPr>
      <w:r w:rsidRPr="00CE418B">
        <w:rPr>
          <w:rFonts w:eastAsia="Times New Roman" w:cs="Times New Roman"/>
          <w:b/>
          <w:bCs/>
          <w:lang w:eastAsia="ar-SA"/>
        </w:rPr>
        <w:t xml:space="preserve">§ </w:t>
      </w:r>
      <w:r w:rsidRPr="00AA4429">
        <w:rPr>
          <w:rFonts w:eastAsia="Times New Roman" w:cs="Times New Roman"/>
          <w:b/>
          <w:bCs/>
          <w:lang w:eastAsia="ar-SA"/>
        </w:rPr>
        <w:t>3412 – Sportovní zařízení ve vlastnictví obce</w:t>
      </w:r>
    </w:p>
    <w:p w14:paraId="407EC550" w14:textId="3FA9F957" w:rsidR="00CD2482" w:rsidRDefault="00CD2482" w:rsidP="00CD2482">
      <w:pPr>
        <w:suppressAutoHyphens/>
        <w:spacing w:after="0" w:line="240" w:lineRule="auto"/>
        <w:jc w:val="both"/>
        <w:rPr>
          <w:rFonts w:eastAsia="Times New Roman" w:cs="Times New Roman"/>
          <w:bCs/>
          <w:lang w:eastAsia="ar-SA"/>
        </w:rPr>
      </w:pPr>
      <w:r w:rsidRPr="00AA4429">
        <w:rPr>
          <w:rFonts w:eastAsia="Times New Roman" w:cs="Times New Roman"/>
          <w:bCs/>
          <w:lang w:eastAsia="ar-SA"/>
        </w:rPr>
        <w:t xml:space="preserve">Z tohoto paragrafu jsou hrazeny investiční výdaje na projekty v rámci participativního rozpočtu Středočeského kraje, které slouží na sportovní zařízení ve vlastnictví obce. Z upraveného rozpočtu ve výši </w:t>
      </w:r>
      <w:r>
        <w:rPr>
          <w:rFonts w:eastAsia="Times New Roman" w:cs="Times New Roman"/>
          <w:bCs/>
          <w:lang w:eastAsia="ar-SA"/>
        </w:rPr>
        <w:t>1 992 921</w:t>
      </w:r>
      <w:r w:rsidRPr="00AA4429">
        <w:rPr>
          <w:rFonts w:eastAsia="Times New Roman" w:cs="Times New Roman"/>
          <w:bCs/>
          <w:lang w:eastAsia="ar-SA"/>
        </w:rPr>
        <w:t xml:space="preserve">,00 Kč (upraveno rozpočtovými úpravami v rámci kapitoly projednanými </w:t>
      </w:r>
      <w:r>
        <w:rPr>
          <w:rFonts w:eastAsia="Times New Roman" w:cs="Times New Roman"/>
          <w:bCs/>
          <w:lang w:eastAsia="ar-SA"/>
        </w:rPr>
        <w:t>radou kraje</w:t>
      </w:r>
      <w:r w:rsidRPr="00AA4429">
        <w:rPr>
          <w:rFonts w:eastAsia="Times New Roman" w:cs="Times New Roman"/>
          <w:bCs/>
          <w:lang w:eastAsia="ar-SA"/>
        </w:rPr>
        <w:t xml:space="preserve">) bylo vyčerpáno </w:t>
      </w:r>
      <w:r>
        <w:rPr>
          <w:rFonts w:eastAsia="Times New Roman" w:cs="Times New Roman"/>
          <w:bCs/>
          <w:lang w:eastAsia="ar-SA"/>
        </w:rPr>
        <w:t>1 992 921</w:t>
      </w:r>
      <w:r w:rsidRPr="00AA4429">
        <w:rPr>
          <w:rFonts w:eastAsia="Times New Roman" w:cs="Times New Roman"/>
          <w:bCs/>
          <w:lang w:eastAsia="ar-SA"/>
        </w:rPr>
        <w:t xml:space="preserve">,00 Kč, tj. </w:t>
      </w:r>
      <w:r>
        <w:rPr>
          <w:rFonts w:eastAsia="Times New Roman" w:cs="Times New Roman"/>
          <w:bCs/>
          <w:lang w:eastAsia="ar-SA"/>
        </w:rPr>
        <w:t>100</w:t>
      </w:r>
      <w:r w:rsidR="00F244F2">
        <w:rPr>
          <w:rFonts w:eastAsia="Times New Roman" w:cs="Times New Roman"/>
          <w:bCs/>
          <w:lang w:eastAsia="ar-SA"/>
        </w:rPr>
        <w:t>,0</w:t>
      </w:r>
      <w:r w:rsidRPr="00AA4429">
        <w:rPr>
          <w:rFonts w:eastAsia="Times New Roman" w:cs="Times New Roman"/>
          <w:bCs/>
          <w:lang w:eastAsia="ar-SA"/>
        </w:rPr>
        <w:t xml:space="preserve"> %.</w:t>
      </w:r>
    </w:p>
    <w:p w14:paraId="5A646979" w14:textId="77777777" w:rsidR="00CD2482" w:rsidRPr="00AA4429" w:rsidRDefault="00CD2482" w:rsidP="00CD2482">
      <w:pPr>
        <w:suppressAutoHyphens/>
        <w:spacing w:after="0" w:line="240" w:lineRule="auto"/>
        <w:jc w:val="both"/>
        <w:rPr>
          <w:rFonts w:eastAsia="Times New Roman" w:cs="Times New Roman"/>
          <w:bCs/>
          <w:lang w:eastAsia="ar-SA"/>
        </w:rPr>
      </w:pPr>
    </w:p>
    <w:p w14:paraId="592F37DF" w14:textId="77777777" w:rsidR="00CD2482" w:rsidRPr="00AA4429" w:rsidRDefault="00CD2482" w:rsidP="00CD2482">
      <w:pPr>
        <w:suppressAutoHyphens/>
        <w:spacing w:after="0" w:line="240" w:lineRule="auto"/>
        <w:jc w:val="both"/>
        <w:rPr>
          <w:rFonts w:eastAsia="Times New Roman" w:cs="Times New Roman"/>
          <w:b/>
          <w:bCs/>
          <w:lang w:eastAsia="ar-SA"/>
        </w:rPr>
      </w:pPr>
      <w:r w:rsidRPr="00CE418B">
        <w:rPr>
          <w:rFonts w:eastAsia="Times New Roman" w:cs="Times New Roman"/>
          <w:b/>
          <w:bCs/>
          <w:lang w:eastAsia="ar-SA"/>
        </w:rPr>
        <w:t xml:space="preserve">§ </w:t>
      </w:r>
      <w:r w:rsidRPr="00AA4429">
        <w:rPr>
          <w:rFonts w:eastAsia="Times New Roman" w:cs="Times New Roman"/>
          <w:b/>
          <w:bCs/>
          <w:lang w:eastAsia="ar-SA"/>
        </w:rPr>
        <w:t>3421 – Využití volného času dětí a mládeže</w:t>
      </w:r>
    </w:p>
    <w:p w14:paraId="037F5BF4" w14:textId="0A644BE5" w:rsidR="00CD2482" w:rsidRDefault="00CD2482" w:rsidP="00CD2482">
      <w:pPr>
        <w:suppressAutoHyphens/>
        <w:spacing w:after="0" w:line="240" w:lineRule="auto"/>
        <w:jc w:val="both"/>
        <w:rPr>
          <w:rFonts w:eastAsia="Times New Roman" w:cs="Times New Roman"/>
          <w:bCs/>
          <w:lang w:eastAsia="ar-SA"/>
        </w:rPr>
      </w:pPr>
      <w:r w:rsidRPr="00AA4429">
        <w:rPr>
          <w:rFonts w:eastAsia="Times New Roman" w:cs="Times New Roman"/>
          <w:bCs/>
          <w:lang w:eastAsia="ar-SA"/>
        </w:rPr>
        <w:t xml:space="preserve">Z tohoto paragrafu jsou hrazeny investiční výdaje na projekty v rámci participativního rozpočtu Středočeského kraje, které slouží na využití volného času dětí a mládeže. Z upraveného rozpočtu ve výši </w:t>
      </w:r>
      <w:r>
        <w:rPr>
          <w:rFonts w:eastAsia="Times New Roman" w:cs="Times New Roman"/>
          <w:bCs/>
          <w:lang w:eastAsia="ar-SA"/>
        </w:rPr>
        <w:t>1 971 867,40</w:t>
      </w:r>
      <w:r w:rsidRPr="00AA4429">
        <w:rPr>
          <w:rFonts w:eastAsia="Times New Roman" w:cs="Times New Roman"/>
          <w:bCs/>
          <w:lang w:eastAsia="ar-SA"/>
        </w:rPr>
        <w:t xml:space="preserve"> Kč (upraveno rozpočtovými úpravami v rámci kapitoly projednanými </w:t>
      </w:r>
      <w:r>
        <w:rPr>
          <w:rFonts w:eastAsia="Times New Roman" w:cs="Times New Roman"/>
          <w:bCs/>
          <w:lang w:eastAsia="ar-SA"/>
        </w:rPr>
        <w:t>radou kraje</w:t>
      </w:r>
      <w:r w:rsidRPr="00AA4429">
        <w:rPr>
          <w:rFonts w:eastAsia="Times New Roman" w:cs="Times New Roman"/>
          <w:bCs/>
          <w:lang w:eastAsia="ar-SA"/>
        </w:rPr>
        <w:t xml:space="preserve">) bylo vyčerpáno </w:t>
      </w:r>
      <w:r>
        <w:rPr>
          <w:rFonts w:eastAsia="Times New Roman" w:cs="Times New Roman"/>
          <w:bCs/>
          <w:lang w:eastAsia="ar-SA"/>
        </w:rPr>
        <w:t>1 971 867,40</w:t>
      </w:r>
      <w:r w:rsidRPr="00AA4429">
        <w:rPr>
          <w:rFonts w:eastAsia="Times New Roman" w:cs="Times New Roman"/>
          <w:bCs/>
          <w:lang w:eastAsia="ar-SA"/>
        </w:rPr>
        <w:t xml:space="preserve"> Kč, tj. </w:t>
      </w:r>
      <w:r>
        <w:rPr>
          <w:rFonts w:eastAsia="Times New Roman" w:cs="Times New Roman"/>
          <w:bCs/>
          <w:lang w:eastAsia="ar-SA"/>
        </w:rPr>
        <w:t>100</w:t>
      </w:r>
      <w:r w:rsidR="00F244F2">
        <w:rPr>
          <w:rFonts w:eastAsia="Times New Roman" w:cs="Times New Roman"/>
          <w:bCs/>
          <w:lang w:eastAsia="ar-SA"/>
        </w:rPr>
        <w:t>,0</w:t>
      </w:r>
      <w:r w:rsidRPr="00AA4429">
        <w:rPr>
          <w:rFonts w:eastAsia="Times New Roman" w:cs="Times New Roman"/>
          <w:bCs/>
          <w:lang w:eastAsia="ar-SA"/>
        </w:rPr>
        <w:t xml:space="preserve"> %.</w:t>
      </w:r>
    </w:p>
    <w:p w14:paraId="47F74F5F" w14:textId="77777777" w:rsidR="00CD2482" w:rsidRDefault="00CD2482" w:rsidP="00CD2482">
      <w:pPr>
        <w:suppressAutoHyphens/>
        <w:spacing w:after="0" w:line="240" w:lineRule="auto"/>
        <w:jc w:val="both"/>
        <w:rPr>
          <w:rFonts w:eastAsia="Times New Roman" w:cs="Times New Roman"/>
          <w:bCs/>
          <w:lang w:eastAsia="ar-SA"/>
        </w:rPr>
      </w:pPr>
    </w:p>
    <w:p w14:paraId="75ACBE09" w14:textId="77777777" w:rsidR="00CD2482" w:rsidRPr="00AA4429" w:rsidRDefault="00CD2482" w:rsidP="00CD2482">
      <w:pPr>
        <w:suppressAutoHyphens/>
        <w:spacing w:after="0" w:line="240" w:lineRule="auto"/>
        <w:jc w:val="both"/>
        <w:rPr>
          <w:rFonts w:eastAsia="Times New Roman" w:cs="Times New Roman"/>
          <w:b/>
          <w:bCs/>
          <w:lang w:eastAsia="ar-SA"/>
        </w:rPr>
      </w:pPr>
      <w:r w:rsidRPr="00CE418B">
        <w:rPr>
          <w:rFonts w:eastAsia="Times New Roman" w:cs="Times New Roman"/>
          <w:b/>
          <w:bCs/>
          <w:lang w:eastAsia="ar-SA"/>
        </w:rPr>
        <w:t xml:space="preserve">§ </w:t>
      </w:r>
      <w:r w:rsidRPr="00AA4429">
        <w:rPr>
          <w:rFonts w:eastAsia="Times New Roman" w:cs="Times New Roman"/>
          <w:b/>
          <w:bCs/>
          <w:lang w:eastAsia="ar-SA"/>
        </w:rPr>
        <w:t>3429 – Ostatní zájmová činnost a rekreace</w:t>
      </w:r>
    </w:p>
    <w:p w14:paraId="7F0346E4" w14:textId="1CC8E1A0" w:rsidR="00CD2482" w:rsidRDefault="00CD2482" w:rsidP="00CD2482">
      <w:pPr>
        <w:suppressAutoHyphens/>
        <w:spacing w:after="0" w:line="240" w:lineRule="auto"/>
        <w:jc w:val="both"/>
        <w:rPr>
          <w:rFonts w:eastAsia="Times New Roman" w:cs="Times New Roman"/>
          <w:bCs/>
          <w:lang w:eastAsia="ar-SA"/>
        </w:rPr>
      </w:pPr>
      <w:r w:rsidRPr="00AA4429">
        <w:rPr>
          <w:rFonts w:eastAsia="Times New Roman" w:cs="Times New Roman"/>
          <w:bCs/>
          <w:lang w:eastAsia="ar-SA"/>
        </w:rPr>
        <w:t xml:space="preserve">Z tohoto paragrafu jsou hrazeny investiční výdaje na projekty v rámci participativního rozpočtu Středočeského kraje, které slouží k uhrazení ostatních zájmových činností a rekreací. Z upraveného rozpočtu ve výši </w:t>
      </w:r>
      <w:r>
        <w:rPr>
          <w:rFonts w:eastAsia="Times New Roman" w:cs="Times New Roman"/>
          <w:bCs/>
          <w:lang w:eastAsia="ar-SA"/>
        </w:rPr>
        <w:t>6 234 471,03</w:t>
      </w:r>
      <w:r w:rsidRPr="00AA4429">
        <w:rPr>
          <w:rFonts w:eastAsia="Times New Roman" w:cs="Times New Roman"/>
          <w:bCs/>
          <w:lang w:eastAsia="ar-SA"/>
        </w:rPr>
        <w:t xml:space="preserve"> Kč (upraveno rozpočtovými úpravami v rámci kapitoly projednanými </w:t>
      </w:r>
      <w:r>
        <w:rPr>
          <w:rFonts w:eastAsia="Times New Roman" w:cs="Times New Roman"/>
          <w:bCs/>
          <w:lang w:eastAsia="ar-SA"/>
        </w:rPr>
        <w:t>radou kraje</w:t>
      </w:r>
      <w:r w:rsidRPr="00AA4429">
        <w:rPr>
          <w:rFonts w:eastAsia="Times New Roman" w:cs="Times New Roman"/>
          <w:bCs/>
          <w:lang w:eastAsia="ar-SA"/>
        </w:rPr>
        <w:t xml:space="preserve">) bylo vyčerpáno </w:t>
      </w:r>
      <w:r>
        <w:rPr>
          <w:rFonts w:eastAsia="Times New Roman" w:cs="Times New Roman"/>
          <w:bCs/>
          <w:lang w:eastAsia="ar-SA"/>
        </w:rPr>
        <w:t>6 234 471,03</w:t>
      </w:r>
      <w:r w:rsidRPr="00AA4429">
        <w:rPr>
          <w:rFonts w:eastAsia="Times New Roman" w:cs="Times New Roman"/>
          <w:bCs/>
          <w:lang w:eastAsia="ar-SA"/>
        </w:rPr>
        <w:t xml:space="preserve"> Kč, tj. </w:t>
      </w:r>
      <w:r>
        <w:rPr>
          <w:rFonts w:eastAsia="Times New Roman" w:cs="Times New Roman"/>
          <w:bCs/>
          <w:lang w:eastAsia="ar-SA"/>
        </w:rPr>
        <w:t>100</w:t>
      </w:r>
      <w:r w:rsidR="00F244F2">
        <w:rPr>
          <w:rFonts w:eastAsia="Times New Roman" w:cs="Times New Roman"/>
          <w:bCs/>
          <w:lang w:eastAsia="ar-SA"/>
        </w:rPr>
        <w:t>,0</w:t>
      </w:r>
      <w:r w:rsidRPr="00AA4429">
        <w:rPr>
          <w:rFonts w:eastAsia="Times New Roman" w:cs="Times New Roman"/>
          <w:bCs/>
          <w:lang w:eastAsia="ar-SA"/>
        </w:rPr>
        <w:t xml:space="preserve"> %.</w:t>
      </w:r>
    </w:p>
    <w:p w14:paraId="3BC3A120" w14:textId="77777777" w:rsidR="00CD2482" w:rsidRDefault="00CD2482" w:rsidP="00CD2482">
      <w:pPr>
        <w:suppressAutoHyphens/>
        <w:spacing w:after="0" w:line="240" w:lineRule="auto"/>
        <w:jc w:val="both"/>
        <w:rPr>
          <w:rFonts w:eastAsia="Times New Roman" w:cs="Times New Roman"/>
          <w:bCs/>
          <w:lang w:eastAsia="ar-SA"/>
        </w:rPr>
      </w:pPr>
    </w:p>
    <w:p w14:paraId="5B090BAF" w14:textId="77777777" w:rsidR="00CD2482" w:rsidRPr="00AA4429" w:rsidRDefault="00CD2482" w:rsidP="00CD2482">
      <w:pPr>
        <w:suppressAutoHyphens/>
        <w:spacing w:after="0" w:line="240" w:lineRule="auto"/>
        <w:jc w:val="both"/>
        <w:rPr>
          <w:rFonts w:eastAsia="Times New Roman" w:cs="Times New Roman"/>
          <w:b/>
          <w:bCs/>
          <w:lang w:eastAsia="ar-SA"/>
        </w:rPr>
      </w:pPr>
      <w:r w:rsidRPr="00CE418B">
        <w:rPr>
          <w:rFonts w:eastAsia="Times New Roman" w:cs="Times New Roman"/>
          <w:b/>
          <w:bCs/>
          <w:lang w:eastAsia="ar-SA"/>
        </w:rPr>
        <w:t xml:space="preserve">§ </w:t>
      </w:r>
      <w:r>
        <w:rPr>
          <w:rFonts w:eastAsia="Times New Roman" w:cs="Times New Roman"/>
          <w:b/>
          <w:bCs/>
          <w:lang w:eastAsia="ar-SA"/>
        </w:rPr>
        <w:t>3519</w:t>
      </w:r>
      <w:r w:rsidRPr="00AA4429">
        <w:rPr>
          <w:rFonts w:eastAsia="Times New Roman" w:cs="Times New Roman"/>
          <w:b/>
          <w:bCs/>
          <w:lang w:eastAsia="ar-SA"/>
        </w:rPr>
        <w:t xml:space="preserve"> – </w:t>
      </w:r>
      <w:r>
        <w:rPr>
          <w:rFonts w:eastAsia="Times New Roman" w:cs="Times New Roman"/>
          <w:b/>
          <w:bCs/>
          <w:lang w:eastAsia="ar-SA"/>
        </w:rPr>
        <w:t>Ostatní ambulantní péče</w:t>
      </w:r>
    </w:p>
    <w:p w14:paraId="05122839" w14:textId="3380FF03" w:rsidR="00CD2482" w:rsidRDefault="00CD2482" w:rsidP="00CD2482">
      <w:pPr>
        <w:suppressAutoHyphens/>
        <w:spacing w:after="0" w:line="240" w:lineRule="auto"/>
        <w:jc w:val="both"/>
        <w:rPr>
          <w:rFonts w:eastAsia="Times New Roman" w:cs="Times New Roman"/>
          <w:bCs/>
          <w:lang w:eastAsia="ar-SA"/>
        </w:rPr>
      </w:pPr>
      <w:r w:rsidRPr="00AA4429">
        <w:rPr>
          <w:rFonts w:eastAsia="Times New Roman" w:cs="Times New Roman"/>
          <w:bCs/>
          <w:lang w:eastAsia="ar-SA"/>
        </w:rPr>
        <w:t xml:space="preserve">Z tohoto paragrafu jsou hrazeny investiční výdaje na projekty v rámci participativního rozpočtu Středočeského kraje, které slouží </w:t>
      </w:r>
      <w:r>
        <w:rPr>
          <w:rFonts w:eastAsia="Times New Roman" w:cs="Times New Roman"/>
          <w:bCs/>
          <w:lang w:eastAsia="ar-SA"/>
        </w:rPr>
        <w:t xml:space="preserve">k rekonstrukci a provozu poliklinik </w:t>
      </w:r>
      <w:r w:rsidRPr="00AA4429">
        <w:rPr>
          <w:rFonts w:eastAsia="Times New Roman" w:cs="Times New Roman"/>
          <w:bCs/>
          <w:lang w:eastAsia="ar-SA"/>
        </w:rPr>
        <w:t xml:space="preserve">na územní </w:t>
      </w:r>
      <w:r>
        <w:rPr>
          <w:rFonts w:eastAsia="Times New Roman" w:cs="Times New Roman"/>
          <w:bCs/>
          <w:lang w:eastAsia="ar-SA"/>
        </w:rPr>
        <w:t>Středočeského kraje</w:t>
      </w:r>
      <w:r w:rsidRPr="00AA4429">
        <w:rPr>
          <w:rFonts w:eastAsia="Times New Roman" w:cs="Times New Roman"/>
          <w:bCs/>
          <w:lang w:eastAsia="ar-SA"/>
        </w:rPr>
        <w:t xml:space="preserve">. Z upraveného rozpočtu ve výši </w:t>
      </w:r>
      <w:r>
        <w:rPr>
          <w:rFonts w:eastAsia="Times New Roman" w:cs="Times New Roman"/>
          <w:bCs/>
          <w:lang w:eastAsia="ar-SA"/>
        </w:rPr>
        <w:t>399 711</w:t>
      </w:r>
      <w:r w:rsidRPr="00AA4429">
        <w:rPr>
          <w:rFonts w:eastAsia="Times New Roman" w:cs="Times New Roman"/>
          <w:bCs/>
          <w:lang w:eastAsia="ar-SA"/>
        </w:rPr>
        <w:t xml:space="preserve">,00 Kč (upraveno rozpočtovými úpravami v rámci kapitoly projednanými </w:t>
      </w:r>
      <w:r>
        <w:rPr>
          <w:rFonts w:eastAsia="Times New Roman" w:cs="Times New Roman"/>
          <w:bCs/>
          <w:lang w:eastAsia="ar-SA"/>
        </w:rPr>
        <w:t>radou kraje</w:t>
      </w:r>
      <w:r w:rsidRPr="00AA4429">
        <w:rPr>
          <w:rFonts w:eastAsia="Times New Roman" w:cs="Times New Roman"/>
          <w:bCs/>
          <w:lang w:eastAsia="ar-SA"/>
        </w:rPr>
        <w:t xml:space="preserve">) bylo vyčerpáno </w:t>
      </w:r>
      <w:r>
        <w:rPr>
          <w:rFonts w:eastAsia="Times New Roman" w:cs="Times New Roman"/>
          <w:bCs/>
          <w:lang w:eastAsia="ar-SA"/>
        </w:rPr>
        <w:t>399 711</w:t>
      </w:r>
      <w:r w:rsidRPr="00AA4429">
        <w:rPr>
          <w:rFonts w:eastAsia="Times New Roman" w:cs="Times New Roman"/>
          <w:bCs/>
          <w:lang w:eastAsia="ar-SA"/>
        </w:rPr>
        <w:t>,00 Kč, tj. 100</w:t>
      </w:r>
      <w:r w:rsidR="00F244F2">
        <w:rPr>
          <w:rFonts w:eastAsia="Times New Roman" w:cs="Times New Roman"/>
          <w:bCs/>
          <w:lang w:eastAsia="ar-SA"/>
        </w:rPr>
        <w:t>,0</w:t>
      </w:r>
      <w:r w:rsidRPr="00AA4429">
        <w:rPr>
          <w:rFonts w:eastAsia="Times New Roman" w:cs="Times New Roman"/>
          <w:bCs/>
          <w:lang w:eastAsia="ar-SA"/>
        </w:rPr>
        <w:t xml:space="preserve"> %.</w:t>
      </w:r>
    </w:p>
    <w:p w14:paraId="249DB88C" w14:textId="77777777" w:rsidR="00CD2482" w:rsidRDefault="00CD2482" w:rsidP="00CD2482">
      <w:pPr>
        <w:suppressAutoHyphens/>
        <w:spacing w:after="0" w:line="240" w:lineRule="auto"/>
        <w:jc w:val="both"/>
        <w:rPr>
          <w:rFonts w:eastAsia="Times New Roman" w:cs="Times New Roman"/>
          <w:bCs/>
          <w:lang w:eastAsia="ar-SA"/>
        </w:rPr>
      </w:pPr>
    </w:p>
    <w:p w14:paraId="51BDA248" w14:textId="77777777" w:rsidR="00CD2482" w:rsidRPr="00AA4429" w:rsidRDefault="00CD2482" w:rsidP="00CD2482">
      <w:pPr>
        <w:suppressAutoHyphens/>
        <w:spacing w:after="0" w:line="240" w:lineRule="auto"/>
        <w:jc w:val="both"/>
        <w:rPr>
          <w:rFonts w:eastAsia="Times New Roman" w:cs="Times New Roman"/>
          <w:b/>
          <w:bCs/>
          <w:lang w:eastAsia="ar-SA"/>
        </w:rPr>
      </w:pPr>
      <w:r w:rsidRPr="00CE418B">
        <w:rPr>
          <w:rFonts w:eastAsia="Times New Roman" w:cs="Times New Roman"/>
          <w:b/>
          <w:bCs/>
          <w:lang w:eastAsia="ar-SA"/>
        </w:rPr>
        <w:t xml:space="preserve">§ </w:t>
      </w:r>
      <w:r w:rsidRPr="00AA4429">
        <w:rPr>
          <w:rFonts w:eastAsia="Times New Roman" w:cs="Times New Roman"/>
          <w:b/>
          <w:bCs/>
          <w:lang w:eastAsia="ar-SA"/>
        </w:rPr>
        <w:t>3631 – Veřejné osvětlení</w:t>
      </w:r>
    </w:p>
    <w:p w14:paraId="730792AC" w14:textId="51940047" w:rsidR="00CD2482" w:rsidRDefault="00CD2482" w:rsidP="00CD2482">
      <w:pPr>
        <w:suppressAutoHyphens/>
        <w:spacing w:after="0" w:line="240" w:lineRule="auto"/>
        <w:jc w:val="both"/>
        <w:rPr>
          <w:rFonts w:eastAsia="Times New Roman" w:cs="Times New Roman"/>
          <w:bCs/>
          <w:lang w:eastAsia="ar-SA"/>
        </w:rPr>
      </w:pPr>
      <w:r w:rsidRPr="00AA4429">
        <w:rPr>
          <w:rFonts w:eastAsia="Times New Roman" w:cs="Times New Roman"/>
          <w:bCs/>
          <w:lang w:eastAsia="ar-SA"/>
        </w:rPr>
        <w:t>Z tohoto paragrafu jsou hrazeny investiční výdaje na projekty v rámci participativního rozpočtu Středočeského kraje, které slouží na pořízení či údržbu veřejného osvětlení</w:t>
      </w:r>
      <w:r>
        <w:rPr>
          <w:rFonts w:eastAsia="Times New Roman" w:cs="Times New Roman"/>
          <w:bCs/>
          <w:lang w:eastAsia="ar-SA"/>
        </w:rPr>
        <w:t xml:space="preserve"> </w:t>
      </w:r>
      <w:r w:rsidRPr="00AA4429">
        <w:rPr>
          <w:rFonts w:eastAsia="Times New Roman" w:cs="Times New Roman"/>
          <w:bCs/>
          <w:lang w:eastAsia="ar-SA"/>
        </w:rPr>
        <w:t xml:space="preserve">na územní </w:t>
      </w:r>
      <w:r>
        <w:rPr>
          <w:rFonts w:eastAsia="Times New Roman" w:cs="Times New Roman"/>
          <w:bCs/>
          <w:lang w:eastAsia="ar-SA"/>
        </w:rPr>
        <w:t>Středočeského kraje</w:t>
      </w:r>
      <w:r w:rsidRPr="00AA4429">
        <w:rPr>
          <w:rFonts w:eastAsia="Times New Roman" w:cs="Times New Roman"/>
          <w:bCs/>
          <w:lang w:eastAsia="ar-SA"/>
        </w:rPr>
        <w:t xml:space="preserve">. Z upraveného rozpočtu ve výši </w:t>
      </w:r>
      <w:r>
        <w:rPr>
          <w:rFonts w:eastAsia="Times New Roman" w:cs="Times New Roman"/>
          <w:bCs/>
          <w:lang w:eastAsia="ar-SA"/>
        </w:rPr>
        <w:t>800 000</w:t>
      </w:r>
      <w:r w:rsidRPr="00AA4429">
        <w:rPr>
          <w:rFonts w:eastAsia="Times New Roman" w:cs="Times New Roman"/>
          <w:bCs/>
          <w:lang w:eastAsia="ar-SA"/>
        </w:rPr>
        <w:t xml:space="preserve">,00 Kč (upraveno rozpočtovými úpravami v rámci kapitoly projednanými </w:t>
      </w:r>
      <w:r>
        <w:rPr>
          <w:rFonts w:eastAsia="Times New Roman" w:cs="Times New Roman"/>
          <w:bCs/>
          <w:lang w:eastAsia="ar-SA"/>
        </w:rPr>
        <w:t>radou kraje</w:t>
      </w:r>
      <w:r w:rsidRPr="00AA4429">
        <w:rPr>
          <w:rFonts w:eastAsia="Times New Roman" w:cs="Times New Roman"/>
          <w:bCs/>
          <w:lang w:eastAsia="ar-SA"/>
        </w:rPr>
        <w:t xml:space="preserve">) bylo vyčerpáno </w:t>
      </w:r>
      <w:r>
        <w:rPr>
          <w:rFonts w:eastAsia="Times New Roman" w:cs="Times New Roman"/>
          <w:bCs/>
          <w:lang w:eastAsia="ar-SA"/>
        </w:rPr>
        <w:t xml:space="preserve">800 000,00 Kč, </w:t>
      </w:r>
      <w:r w:rsidRPr="00AA4429">
        <w:rPr>
          <w:rFonts w:eastAsia="Times New Roman" w:cs="Times New Roman"/>
          <w:bCs/>
          <w:lang w:eastAsia="ar-SA"/>
        </w:rPr>
        <w:t xml:space="preserve">tj. </w:t>
      </w:r>
      <w:r>
        <w:rPr>
          <w:rFonts w:eastAsia="Times New Roman" w:cs="Times New Roman"/>
          <w:bCs/>
          <w:lang w:eastAsia="ar-SA"/>
        </w:rPr>
        <w:t>100</w:t>
      </w:r>
      <w:r w:rsidR="00F244F2">
        <w:rPr>
          <w:rFonts w:eastAsia="Times New Roman" w:cs="Times New Roman"/>
          <w:bCs/>
          <w:lang w:eastAsia="ar-SA"/>
        </w:rPr>
        <w:t>,0</w:t>
      </w:r>
      <w:r w:rsidRPr="00AA4429">
        <w:rPr>
          <w:rFonts w:eastAsia="Times New Roman" w:cs="Times New Roman"/>
          <w:bCs/>
          <w:lang w:eastAsia="ar-SA"/>
        </w:rPr>
        <w:t xml:space="preserve"> %.</w:t>
      </w:r>
    </w:p>
    <w:p w14:paraId="0492CD9E" w14:textId="77777777" w:rsidR="00CD2482" w:rsidRDefault="00CD2482" w:rsidP="00CD2482">
      <w:pPr>
        <w:suppressAutoHyphens/>
        <w:spacing w:after="0" w:line="240" w:lineRule="auto"/>
        <w:jc w:val="both"/>
        <w:rPr>
          <w:rFonts w:eastAsia="Times New Roman" w:cs="Times New Roman"/>
          <w:bCs/>
          <w:lang w:eastAsia="ar-SA"/>
        </w:rPr>
      </w:pPr>
    </w:p>
    <w:p w14:paraId="0EE6E711" w14:textId="21014A89" w:rsidR="00CD2482" w:rsidRPr="00AA4429" w:rsidRDefault="00CD2482" w:rsidP="00CD2482">
      <w:pPr>
        <w:suppressAutoHyphens/>
        <w:spacing w:after="0" w:line="240" w:lineRule="auto"/>
        <w:jc w:val="both"/>
        <w:rPr>
          <w:rFonts w:eastAsia="Times New Roman" w:cs="Times New Roman"/>
          <w:b/>
          <w:bCs/>
          <w:lang w:eastAsia="ar-SA"/>
        </w:rPr>
      </w:pPr>
      <w:r w:rsidRPr="00CE418B">
        <w:rPr>
          <w:rFonts w:eastAsia="Times New Roman" w:cs="Times New Roman"/>
          <w:b/>
          <w:bCs/>
          <w:lang w:eastAsia="ar-SA"/>
        </w:rPr>
        <w:t xml:space="preserve">§ </w:t>
      </w:r>
      <w:r w:rsidRPr="00AA4429">
        <w:rPr>
          <w:rFonts w:eastAsia="Times New Roman" w:cs="Times New Roman"/>
          <w:b/>
          <w:bCs/>
          <w:lang w:eastAsia="ar-SA"/>
        </w:rPr>
        <w:t>363</w:t>
      </w:r>
      <w:r>
        <w:rPr>
          <w:rFonts w:eastAsia="Times New Roman" w:cs="Times New Roman"/>
          <w:b/>
          <w:bCs/>
          <w:lang w:eastAsia="ar-SA"/>
        </w:rPr>
        <w:t xml:space="preserve">9 </w:t>
      </w:r>
      <w:r w:rsidR="00F244F2" w:rsidRPr="00AA4429">
        <w:rPr>
          <w:rFonts w:eastAsia="Times New Roman" w:cs="Times New Roman"/>
          <w:b/>
          <w:bCs/>
          <w:lang w:eastAsia="ar-SA"/>
        </w:rPr>
        <w:t>–</w:t>
      </w:r>
      <w:r>
        <w:rPr>
          <w:rFonts w:eastAsia="Times New Roman" w:cs="Times New Roman"/>
          <w:b/>
          <w:bCs/>
          <w:lang w:eastAsia="ar-SA"/>
        </w:rPr>
        <w:t xml:space="preserve"> Komunální služby a územní rozvoj j.n.</w:t>
      </w:r>
      <w:r w:rsidRPr="00AA4429">
        <w:rPr>
          <w:rFonts w:eastAsia="Times New Roman" w:cs="Times New Roman"/>
          <w:b/>
          <w:bCs/>
          <w:lang w:eastAsia="ar-SA"/>
        </w:rPr>
        <w:t xml:space="preserve"> </w:t>
      </w:r>
    </w:p>
    <w:p w14:paraId="4B3B2149" w14:textId="3F5B8DF0" w:rsidR="00CD2482" w:rsidRDefault="00CD2482" w:rsidP="00CD2482">
      <w:pPr>
        <w:suppressAutoHyphens/>
        <w:spacing w:after="0" w:line="240" w:lineRule="auto"/>
        <w:jc w:val="both"/>
        <w:rPr>
          <w:rFonts w:eastAsia="Times New Roman" w:cs="Times New Roman"/>
          <w:bCs/>
          <w:lang w:eastAsia="ar-SA"/>
        </w:rPr>
      </w:pPr>
      <w:r w:rsidRPr="00AA4429">
        <w:rPr>
          <w:rFonts w:eastAsia="Times New Roman" w:cs="Times New Roman"/>
          <w:bCs/>
          <w:lang w:eastAsia="ar-SA"/>
        </w:rPr>
        <w:t>Z tohoto paragrafu jsou hrazeny investiční výdaje na projekty v rámci participativního rozpočtu Středočeského kraje, které slouží na</w:t>
      </w:r>
      <w:r>
        <w:rPr>
          <w:rFonts w:eastAsia="Times New Roman" w:cs="Times New Roman"/>
          <w:bCs/>
          <w:lang w:eastAsia="ar-SA"/>
        </w:rPr>
        <w:t xml:space="preserve"> revitalizaci a sanaci veřejných prostranství a areálů</w:t>
      </w:r>
      <w:r w:rsidRPr="00AA4429">
        <w:rPr>
          <w:rFonts w:eastAsia="Times New Roman" w:cs="Times New Roman"/>
          <w:bCs/>
          <w:lang w:eastAsia="ar-SA"/>
        </w:rPr>
        <w:t xml:space="preserve"> na územní </w:t>
      </w:r>
      <w:r>
        <w:rPr>
          <w:rFonts w:eastAsia="Times New Roman" w:cs="Times New Roman"/>
          <w:bCs/>
          <w:lang w:eastAsia="ar-SA"/>
        </w:rPr>
        <w:t>Středočeského kraje</w:t>
      </w:r>
      <w:r w:rsidRPr="00AA4429">
        <w:rPr>
          <w:rFonts w:eastAsia="Times New Roman" w:cs="Times New Roman"/>
          <w:bCs/>
          <w:lang w:eastAsia="ar-SA"/>
        </w:rPr>
        <w:t xml:space="preserve">. Z upraveného rozpočtu ve výši </w:t>
      </w:r>
      <w:r>
        <w:rPr>
          <w:rFonts w:eastAsia="Times New Roman" w:cs="Times New Roman"/>
          <w:bCs/>
          <w:lang w:eastAsia="ar-SA"/>
        </w:rPr>
        <w:t>343 447</w:t>
      </w:r>
      <w:r w:rsidRPr="00AA4429">
        <w:rPr>
          <w:rFonts w:eastAsia="Times New Roman" w:cs="Times New Roman"/>
          <w:bCs/>
          <w:lang w:eastAsia="ar-SA"/>
        </w:rPr>
        <w:t xml:space="preserve">,00 Kč (upraveno rozpočtovými úpravami v rámci kapitoly projednanými </w:t>
      </w:r>
      <w:r>
        <w:rPr>
          <w:rFonts w:eastAsia="Times New Roman" w:cs="Times New Roman"/>
          <w:bCs/>
          <w:lang w:eastAsia="ar-SA"/>
        </w:rPr>
        <w:t>radou kraje</w:t>
      </w:r>
      <w:r w:rsidRPr="00AA4429">
        <w:rPr>
          <w:rFonts w:eastAsia="Times New Roman" w:cs="Times New Roman"/>
          <w:bCs/>
          <w:lang w:eastAsia="ar-SA"/>
        </w:rPr>
        <w:t xml:space="preserve">) bylo vyčerpáno </w:t>
      </w:r>
      <w:r>
        <w:rPr>
          <w:rFonts w:eastAsia="Times New Roman" w:cs="Times New Roman"/>
          <w:bCs/>
          <w:lang w:eastAsia="ar-SA"/>
        </w:rPr>
        <w:t xml:space="preserve">343 447,00 Kč, </w:t>
      </w:r>
      <w:r w:rsidRPr="00AA4429">
        <w:rPr>
          <w:rFonts w:eastAsia="Times New Roman" w:cs="Times New Roman"/>
          <w:bCs/>
          <w:lang w:eastAsia="ar-SA"/>
        </w:rPr>
        <w:t xml:space="preserve">tj. </w:t>
      </w:r>
      <w:r>
        <w:rPr>
          <w:rFonts w:eastAsia="Times New Roman" w:cs="Times New Roman"/>
          <w:bCs/>
          <w:lang w:eastAsia="ar-SA"/>
        </w:rPr>
        <w:t>100</w:t>
      </w:r>
      <w:r w:rsidR="00F244F2">
        <w:rPr>
          <w:rFonts w:eastAsia="Times New Roman" w:cs="Times New Roman"/>
          <w:bCs/>
          <w:lang w:eastAsia="ar-SA"/>
        </w:rPr>
        <w:t>,0</w:t>
      </w:r>
      <w:r w:rsidRPr="00AA4429">
        <w:rPr>
          <w:rFonts w:eastAsia="Times New Roman" w:cs="Times New Roman"/>
          <w:bCs/>
          <w:lang w:eastAsia="ar-SA"/>
        </w:rPr>
        <w:t xml:space="preserve"> %.</w:t>
      </w:r>
    </w:p>
    <w:p w14:paraId="3678CA82" w14:textId="77777777" w:rsidR="00CD2482" w:rsidRPr="00AA4429" w:rsidRDefault="00CD2482" w:rsidP="00CD2482">
      <w:pPr>
        <w:suppressAutoHyphens/>
        <w:spacing w:after="0" w:line="240" w:lineRule="auto"/>
        <w:jc w:val="both"/>
        <w:rPr>
          <w:rFonts w:eastAsia="Times New Roman" w:cs="Times New Roman"/>
          <w:bCs/>
          <w:lang w:eastAsia="ar-SA"/>
        </w:rPr>
      </w:pPr>
    </w:p>
    <w:p w14:paraId="52FDA0A9" w14:textId="77777777" w:rsidR="00CD2482" w:rsidRPr="00AA4429" w:rsidRDefault="00CD2482" w:rsidP="00CD2482">
      <w:pPr>
        <w:suppressAutoHyphens/>
        <w:spacing w:after="0" w:line="240" w:lineRule="auto"/>
        <w:jc w:val="both"/>
        <w:rPr>
          <w:rFonts w:eastAsia="Times New Roman" w:cs="Times New Roman"/>
          <w:b/>
          <w:bCs/>
          <w:lang w:eastAsia="ar-SA"/>
        </w:rPr>
      </w:pPr>
      <w:r w:rsidRPr="00CE418B">
        <w:rPr>
          <w:rFonts w:eastAsia="Times New Roman" w:cs="Times New Roman"/>
          <w:b/>
          <w:bCs/>
          <w:lang w:eastAsia="ar-SA"/>
        </w:rPr>
        <w:t xml:space="preserve">§ </w:t>
      </w:r>
      <w:r w:rsidRPr="00AA4429">
        <w:rPr>
          <w:rFonts w:eastAsia="Times New Roman" w:cs="Times New Roman"/>
          <w:b/>
          <w:bCs/>
          <w:lang w:eastAsia="ar-SA"/>
        </w:rPr>
        <w:t>3699 – Os</w:t>
      </w:r>
      <w:r>
        <w:rPr>
          <w:rFonts w:eastAsia="Times New Roman" w:cs="Times New Roman"/>
          <w:b/>
          <w:bCs/>
          <w:lang w:eastAsia="ar-SA"/>
        </w:rPr>
        <w:t xml:space="preserve">tatní záležitosti bydlení, komunitních </w:t>
      </w:r>
      <w:r w:rsidRPr="00AA4429">
        <w:rPr>
          <w:rFonts w:eastAsia="Times New Roman" w:cs="Times New Roman"/>
          <w:b/>
          <w:bCs/>
          <w:lang w:eastAsia="ar-SA"/>
        </w:rPr>
        <w:t>služeb a územního rozvoje</w:t>
      </w:r>
    </w:p>
    <w:p w14:paraId="67095F84" w14:textId="79B7DE3C" w:rsidR="00CD2482" w:rsidRDefault="00CD2482" w:rsidP="00CD2482">
      <w:pPr>
        <w:suppressAutoHyphens/>
        <w:spacing w:after="0" w:line="240" w:lineRule="auto"/>
        <w:jc w:val="both"/>
        <w:rPr>
          <w:rFonts w:eastAsia="Times New Roman" w:cs="Times New Roman"/>
          <w:bCs/>
          <w:lang w:eastAsia="ar-SA"/>
        </w:rPr>
      </w:pPr>
      <w:r w:rsidRPr="00AA4429">
        <w:rPr>
          <w:rFonts w:eastAsia="Times New Roman" w:cs="Times New Roman"/>
          <w:bCs/>
          <w:lang w:eastAsia="ar-SA"/>
        </w:rPr>
        <w:t xml:space="preserve">Z tohoto paragrafu jsou hrazeny investiční výdaje na projekty v rámci participativního rozpočtu Středočeského kraje, které slouží k záležitostem týkající se bydlení, komunitních služeb a územního rozvoje. Z upraveného rozpočtu ve výši </w:t>
      </w:r>
      <w:r>
        <w:rPr>
          <w:rFonts w:eastAsia="Times New Roman" w:cs="Times New Roman"/>
          <w:bCs/>
          <w:lang w:eastAsia="ar-SA"/>
        </w:rPr>
        <w:t>756 000</w:t>
      </w:r>
      <w:r w:rsidRPr="00AA4429">
        <w:rPr>
          <w:rFonts w:eastAsia="Times New Roman" w:cs="Times New Roman"/>
          <w:bCs/>
          <w:lang w:eastAsia="ar-SA"/>
        </w:rPr>
        <w:t xml:space="preserve">,00 Kč (upraveno rozpočtovými úpravami v rámci kapitoly projednanými </w:t>
      </w:r>
      <w:r>
        <w:rPr>
          <w:rFonts w:eastAsia="Times New Roman" w:cs="Times New Roman"/>
          <w:bCs/>
          <w:lang w:eastAsia="ar-SA"/>
        </w:rPr>
        <w:t>radou kraje</w:t>
      </w:r>
      <w:r w:rsidRPr="00AA4429">
        <w:rPr>
          <w:rFonts w:eastAsia="Times New Roman" w:cs="Times New Roman"/>
          <w:bCs/>
          <w:lang w:eastAsia="ar-SA"/>
        </w:rPr>
        <w:t xml:space="preserve">) bylo vyčerpáno </w:t>
      </w:r>
      <w:r>
        <w:rPr>
          <w:rFonts w:eastAsia="Times New Roman" w:cs="Times New Roman"/>
          <w:bCs/>
          <w:lang w:eastAsia="ar-SA"/>
        </w:rPr>
        <w:t>756 000</w:t>
      </w:r>
      <w:r w:rsidRPr="00AA4429">
        <w:rPr>
          <w:rFonts w:eastAsia="Times New Roman" w:cs="Times New Roman"/>
          <w:bCs/>
          <w:lang w:eastAsia="ar-SA"/>
        </w:rPr>
        <w:t xml:space="preserve">,00 Kč, tj. </w:t>
      </w:r>
      <w:r>
        <w:rPr>
          <w:rFonts w:eastAsia="Times New Roman" w:cs="Times New Roman"/>
          <w:bCs/>
          <w:lang w:eastAsia="ar-SA"/>
        </w:rPr>
        <w:t>100</w:t>
      </w:r>
      <w:r w:rsidR="00F244F2">
        <w:rPr>
          <w:rFonts w:eastAsia="Times New Roman" w:cs="Times New Roman"/>
          <w:bCs/>
          <w:lang w:eastAsia="ar-SA"/>
        </w:rPr>
        <w:t>,0</w:t>
      </w:r>
      <w:r w:rsidRPr="00AA4429">
        <w:rPr>
          <w:rFonts w:eastAsia="Times New Roman" w:cs="Times New Roman"/>
          <w:bCs/>
          <w:lang w:eastAsia="ar-SA"/>
        </w:rPr>
        <w:t xml:space="preserve"> %.</w:t>
      </w:r>
    </w:p>
    <w:p w14:paraId="6DA228E9" w14:textId="77777777" w:rsidR="00CD2482" w:rsidRDefault="00CD2482" w:rsidP="00CD2482">
      <w:pPr>
        <w:suppressAutoHyphens/>
        <w:spacing w:after="0" w:line="240" w:lineRule="auto"/>
        <w:jc w:val="both"/>
        <w:rPr>
          <w:rFonts w:eastAsia="Times New Roman" w:cs="Times New Roman"/>
          <w:bCs/>
          <w:lang w:eastAsia="ar-SA"/>
        </w:rPr>
      </w:pPr>
    </w:p>
    <w:p w14:paraId="01086A4F" w14:textId="77777777" w:rsidR="00CD2482" w:rsidRPr="00AA4429" w:rsidRDefault="00CD2482" w:rsidP="00CD2482">
      <w:pPr>
        <w:suppressAutoHyphens/>
        <w:spacing w:after="0" w:line="240" w:lineRule="auto"/>
        <w:jc w:val="both"/>
        <w:rPr>
          <w:rFonts w:eastAsia="Times New Roman" w:cs="Times New Roman"/>
          <w:b/>
          <w:bCs/>
          <w:lang w:eastAsia="ar-SA"/>
        </w:rPr>
      </w:pPr>
      <w:r w:rsidRPr="00CE418B">
        <w:rPr>
          <w:rFonts w:eastAsia="Times New Roman" w:cs="Times New Roman"/>
          <w:b/>
          <w:bCs/>
          <w:lang w:eastAsia="ar-SA"/>
        </w:rPr>
        <w:t xml:space="preserve">§ </w:t>
      </w:r>
      <w:r w:rsidRPr="00AA4429">
        <w:rPr>
          <w:rFonts w:eastAsia="Times New Roman" w:cs="Times New Roman"/>
          <w:b/>
          <w:bCs/>
          <w:lang w:eastAsia="ar-SA"/>
        </w:rPr>
        <w:t>374</w:t>
      </w:r>
      <w:r>
        <w:rPr>
          <w:rFonts w:eastAsia="Times New Roman" w:cs="Times New Roman"/>
          <w:b/>
          <w:bCs/>
          <w:lang w:eastAsia="ar-SA"/>
        </w:rPr>
        <w:t>2</w:t>
      </w:r>
      <w:r w:rsidRPr="00AA4429">
        <w:rPr>
          <w:rFonts w:eastAsia="Times New Roman" w:cs="Times New Roman"/>
          <w:b/>
          <w:bCs/>
          <w:lang w:eastAsia="ar-SA"/>
        </w:rPr>
        <w:t xml:space="preserve"> – </w:t>
      </w:r>
      <w:r>
        <w:rPr>
          <w:rFonts w:eastAsia="Times New Roman" w:cs="Times New Roman"/>
          <w:b/>
          <w:bCs/>
          <w:lang w:eastAsia="ar-SA"/>
        </w:rPr>
        <w:t>Chráněné části přírody</w:t>
      </w:r>
    </w:p>
    <w:p w14:paraId="3AE30F53" w14:textId="27914AB8" w:rsidR="00CD2482" w:rsidRDefault="00CD2482" w:rsidP="00CD2482">
      <w:pPr>
        <w:suppressAutoHyphens/>
        <w:spacing w:after="0" w:line="240" w:lineRule="auto"/>
        <w:jc w:val="both"/>
        <w:rPr>
          <w:rFonts w:eastAsia="Times New Roman" w:cs="Times New Roman"/>
          <w:bCs/>
          <w:lang w:eastAsia="ar-SA"/>
        </w:rPr>
      </w:pPr>
      <w:r w:rsidRPr="00AA4429">
        <w:rPr>
          <w:rFonts w:eastAsia="Times New Roman" w:cs="Times New Roman"/>
          <w:bCs/>
          <w:lang w:eastAsia="ar-SA"/>
        </w:rPr>
        <w:t xml:space="preserve">Z tohoto paragrafu jsou hrazeny investiční výdaje na projekty v rámci participativního rozpočtu Středočeského kraje, které slouží k péči o </w:t>
      </w:r>
      <w:r>
        <w:rPr>
          <w:rFonts w:eastAsia="Times New Roman" w:cs="Times New Roman"/>
          <w:bCs/>
          <w:lang w:eastAsia="ar-SA"/>
        </w:rPr>
        <w:t xml:space="preserve">ochranu přírody význačných krajinných oblastí na území Středočeského kraje. </w:t>
      </w:r>
      <w:r w:rsidRPr="00AA4429">
        <w:rPr>
          <w:rFonts w:eastAsia="Times New Roman" w:cs="Times New Roman"/>
          <w:bCs/>
          <w:lang w:eastAsia="ar-SA"/>
        </w:rPr>
        <w:t xml:space="preserve">Z upraveného rozpočtu ve výši </w:t>
      </w:r>
      <w:r>
        <w:rPr>
          <w:rFonts w:eastAsia="Times New Roman" w:cs="Times New Roman"/>
          <w:bCs/>
          <w:lang w:eastAsia="ar-SA"/>
        </w:rPr>
        <w:t>397 100</w:t>
      </w:r>
      <w:r w:rsidRPr="00AA4429">
        <w:rPr>
          <w:rFonts w:eastAsia="Times New Roman" w:cs="Times New Roman"/>
          <w:bCs/>
          <w:lang w:eastAsia="ar-SA"/>
        </w:rPr>
        <w:t xml:space="preserve">,00 Kč (upraveno rozpočtovými úpravami v rámci kapitoly projednanými </w:t>
      </w:r>
      <w:r>
        <w:rPr>
          <w:rFonts w:eastAsia="Times New Roman" w:cs="Times New Roman"/>
          <w:bCs/>
          <w:lang w:eastAsia="ar-SA"/>
        </w:rPr>
        <w:t>radou kraje</w:t>
      </w:r>
      <w:r w:rsidRPr="00AA4429">
        <w:rPr>
          <w:rFonts w:eastAsia="Times New Roman" w:cs="Times New Roman"/>
          <w:bCs/>
          <w:lang w:eastAsia="ar-SA"/>
        </w:rPr>
        <w:t xml:space="preserve">) bylo vyčerpáno </w:t>
      </w:r>
      <w:r>
        <w:rPr>
          <w:rFonts w:eastAsia="Times New Roman" w:cs="Times New Roman"/>
          <w:bCs/>
          <w:lang w:eastAsia="ar-SA"/>
        </w:rPr>
        <w:t>397 100</w:t>
      </w:r>
      <w:r w:rsidRPr="00AA4429">
        <w:rPr>
          <w:rFonts w:eastAsia="Times New Roman" w:cs="Times New Roman"/>
          <w:bCs/>
          <w:lang w:eastAsia="ar-SA"/>
        </w:rPr>
        <w:t xml:space="preserve">,00 Kč, tj. </w:t>
      </w:r>
      <w:r>
        <w:rPr>
          <w:rFonts w:eastAsia="Times New Roman" w:cs="Times New Roman"/>
          <w:bCs/>
          <w:lang w:eastAsia="ar-SA"/>
        </w:rPr>
        <w:t>10</w:t>
      </w:r>
      <w:r w:rsidRPr="00AA4429">
        <w:rPr>
          <w:rFonts w:eastAsia="Times New Roman" w:cs="Times New Roman"/>
          <w:bCs/>
          <w:lang w:eastAsia="ar-SA"/>
        </w:rPr>
        <w:t>0</w:t>
      </w:r>
      <w:r w:rsidR="00F244F2">
        <w:rPr>
          <w:rFonts w:eastAsia="Times New Roman" w:cs="Times New Roman"/>
          <w:bCs/>
          <w:lang w:eastAsia="ar-SA"/>
        </w:rPr>
        <w:t>,0</w:t>
      </w:r>
      <w:r w:rsidRPr="00AA4429">
        <w:rPr>
          <w:rFonts w:eastAsia="Times New Roman" w:cs="Times New Roman"/>
          <w:bCs/>
          <w:lang w:eastAsia="ar-SA"/>
        </w:rPr>
        <w:t xml:space="preserve"> %.</w:t>
      </w:r>
    </w:p>
    <w:p w14:paraId="33CFA697" w14:textId="77777777" w:rsidR="00CD2482" w:rsidRDefault="00CD2482" w:rsidP="00CD2482">
      <w:pPr>
        <w:suppressAutoHyphens/>
        <w:spacing w:after="0" w:line="240" w:lineRule="auto"/>
        <w:jc w:val="both"/>
        <w:rPr>
          <w:rFonts w:eastAsia="Times New Roman" w:cs="Times New Roman"/>
          <w:bCs/>
          <w:lang w:eastAsia="ar-SA"/>
        </w:rPr>
      </w:pPr>
    </w:p>
    <w:p w14:paraId="4036C014" w14:textId="77777777" w:rsidR="00CD2482" w:rsidRPr="00AA4429" w:rsidRDefault="00CD2482" w:rsidP="00CD2482">
      <w:pPr>
        <w:suppressAutoHyphens/>
        <w:spacing w:after="0" w:line="240" w:lineRule="auto"/>
        <w:jc w:val="both"/>
        <w:rPr>
          <w:rFonts w:eastAsia="Times New Roman" w:cs="Times New Roman"/>
          <w:b/>
          <w:bCs/>
          <w:lang w:eastAsia="ar-SA"/>
        </w:rPr>
      </w:pPr>
      <w:r w:rsidRPr="00CE418B">
        <w:rPr>
          <w:rFonts w:eastAsia="Times New Roman" w:cs="Times New Roman"/>
          <w:b/>
          <w:bCs/>
          <w:lang w:eastAsia="ar-SA"/>
        </w:rPr>
        <w:t xml:space="preserve">§ </w:t>
      </w:r>
      <w:r w:rsidRPr="00AA4429">
        <w:rPr>
          <w:rFonts w:eastAsia="Times New Roman" w:cs="Times New Roman"/>
          <w:b/>
          <w:bCs/>
          <w:lang w:eastAsia="ar-SA"/>
        </w:rPr>
        <w:t>3745 – Péče o vzhled obcí a veřejnou zeleň</w:t>
      </w:r>
    </w:p>
    <w:p w14:paraId="0F739536" w14:textId="7ED937B0" w:rsidR="00CD2482" w:rsidRDefault="00CD2482" w:rsidP="00CD2482">
      <w:pPr>
        <w:suppressAutoHyphens/>
        <w:spacing w:after="0" w:line="240" w:lineRule="auto"/>
        <w:jc w:val="both"/>
        <w:rPr>
          <w:rFonts w:eastAsia="Times New Roman" w:cs="Times New Roman"/>
          <w:bCs/>
          <w:lang w:eastAsia="ar-SA"/>
        </w:rPr>
      </w:pPr>
      <w:r w:rsidRPr="00AA4429">
        <w:rPr>
          <w:rFonts w:eastAsia="Times New Roman" w:cs="Times New Roman"/>
          <w:bCs/>
          <w:lang w:eastAsia="ar-SA"/>
        </w:rPr>
        <w:t xml:space="preserve">Z tohoto paragrafu jsou hrazeny investiční výdaje na projekty v rámci participativního rozpočtu Středočeského kraje, které slouží k péči o vzhled obcí a veřejnou zeleň. Z upraveného rozpočtu ve výši </w:t>
      </w:r>
      <w:r>
        <w:rPr>
          <w:rFonts w:eastAsia="Times New Roman" w:cs="Times New Roman"/>
          <w:bCs/>
          <w:lang w:eastAsia="ar-SA"/>
        </w:rPr>
        <w:t>3 486 985</w:t>
      </w:r>
      <w:r w:rsidRPr="00AA4429">
        <w:rPr>
          <w:rFonts w:eastAsia="Times New Roman" w:cs="Times New Roman"/>
          <w:bCs/>
          <w:lang w:eastAsia="ar-SA"/>
        </w:rPr>
        <w:t xml:space="preserve">,00 Kč (upraveno rozpočtovými úpravami v rámci kapitoly projednanými </w:t>
      </w:r>
      <w:r>
        <w:rPr>
          <w:rFonts w:eastAsia="Times New Roman" w:cs="Times New Roman"/>
          <w:bCs/>
          <w:lang w:eastAsia="ar-SA"/>
        </w:rPr>
        <w:t>radou kraje</w:t>
      </w:r>
      <w:r w:rsidRPr="00AA4429">
        <w:rPr>
          <w:rFonts w:eastAsia="Times New Roman" w:cs="Times New Roman"/>
          <w:bCs/>
          <w:lang w:eastAsia="ar-SA"/>
        </w:rPr>
        <w:t xml:space="preserve">) bylo vyčerpáno </w:t>
      </w:r>
      <w:r>
        <w:rPr>
          <w:rFonts w:eastAsia="Times New Roman" w:cs="Times New Roman"/>
          <w:bCs/>
          <w:lang w:eastAsia="ar-SA"/>
        </w:rPr>
        <w:t>3 486 985</w:t>
      </w:r>
      <w:r w:rsidRPr="00AA4429">
        <w:rPr>
          <w:rFonts w:eastAsia="Times New Roman" w:cs="Times New Roman"/>
          <w:bCs/>
          <w:lang w:eastAsia="ar-SA"/>
        </w:rPr>
        <w:t xml:space="preserve">,00 Kč, tj. </w:t>
      </w:r>
      <w:r>
        <w:rPr>
          <w:rFonts w:eastAsia="Times New Roman" w:cs="Times New Roman"/>
          <w:bCs/>
          <w:lang w:eastAsia="ar-SA"/>
        </w:rPr>
        <w:t>100</w:t>
      </w:r>
      <w:r w:rsidR="00F244F2">
        <w:rPr>
          <w:rFonts w:eastAsia="Times New Roman" w:cs="Times New Roman"/>
          <w:bCs/>
          <w:lang w:eastAsia="ar-SA"/>
        </w:rPr>
        <w:t>,0</w:t>
      </w:r>
      <w:r w:rsidRPr="00AA4429">
        <w:rPr>
          <w:rFonts w:eastAsia="Times New Roman" w:cs="Times New Roman"/>
          <w:bCs/>
          <w:lang w:eastAsia="ar-SA"/>
        </w:rPr>
        <w:t xml:space="preserve"> %.</w:t>
      </w:r>
    </w:p>
    <w:p w14:paraId="602FF934" w14:textId="77777777" w:rsidR="00CD2482" w:rsidRDefault="00CD2482" w:rsidP="00CD2482">
      <w:pPr>
        <w:suppressAutoHyphens/>
        <w:spacing w:after="0" w:line="240" w:lineRule="auto"/>
        <w:jc w:val="both"/>
        <w:rPr>
          <w:rFonts w:eastAsia="Times New Roman" w:cs="Times New Roman"/>
          <w:bCs/>
          <w:lang w:eastAsia="ar-SA"/>
        </w:rPr>
      </w:pPr>
    </w:p>
    <w:p w14:paraId="2B782FC3" w14:textId="77777777" w:rsidR="00CD2482" w:rsidRPr="00AA4429" w:rsidRDefault="00CD2482" w:rsidP="00CD2482">
      <w:pPr>
        <w:suppressAutoHyphens/>
        <w:spacing w:after="0" w:line="240" w:lineRule="auto"/>
        <w:jc w:val="both"/>
        <w:rPr>
          <w:rFonts w:eastAsia="Times New Roman" w:cs="Times New Roman"/>
          <w:b/>
          <w:bCs/>
          <w:lang w:eastAsia="ar-SA"/>
        </w:rPr>
      </w:pPr>
      <w:r w:rsidRPr="00CE418B">
        <w:rPr>
          <w:rFonts w:eastAsia="Times New Roman" w:cs="Times New Roman"/>
          <w:b/>
          <w:bCs/>
          <w:lang w:eastAsia="ar-SA"/>
        </w:rPr>
        <w:t xml:space="preserve">§ </w:t>
      </w:r>
      <w:r w:rsidRPr="00AA4429">
        <w:rPr>
          <w:rFonts w:eastAsia="Times New Roman" w:cs="Times New Roman"/>
          <w:b/>
          <w:bCs/>
          <w:lang w:eastAsia="ar-SA"/>
        </w:rPr>
        <w:t>43</w:t>
      </w:r>
      <w:r>
        <w:rPr>
          <w:rFonts w:eastAsia="Times New Roman" w:cs="Times New Roman"/>
          <w:b/>
          <w:bCs/>
          <w:lang w:eastAsia="ar-SA"/>
        </w:rPr>
        <w:t>50</w:t>
      </w:r>
      <w:r w:rsidRPr="00AA4429">
        <w:rPr>
          <w:rFonts w:eastAsia="Times New Roman" w:cs="Times New Roman"/>
          <w:b/>
          <w:bCs/>
          <w:lang w:eastAsia="ar-SA"/>
        </w:rPr>
        <w:t xml:space="preserve"> – </w:t>
      </w:r>
      <w:r>
        <w:rPr>
          <w:rFonts w:eastAsia="Times New Roman" w:cs="Times New Roman"/>
          <w:b/>
          <w:bCs/>
          <w:lang w:eastAsia="ar-SA"/>
        </w:rPr>
        <w:t>Domovy pro seniory</w:t>
      </w:r>
    </w:p>
    <w:p w14:paraId="3CCD0696" w14:textId="510097A7" w:rsidR="00CD2482" w:rsidRDefault="00CD2482" w:rsidP="00CD2482">
      <w:pPr>
        <w:suppressAutoHyphens/>
        <w:spacing w:after="0" w:line="240" w:lineRule="auto"/>
        <w:jc w:val="both"/>
        <w:rPr>
          <w:rFonts w:eastAsia="Times New Roman" w:cs="Times New Roman"/>
          <w:bCs/>
          <w:lang w:eastAsia="ar-SA"/>
        </w:rPr>
      </w:pPr>
      <w:r w:rsidRPr="00AA4429">
        <w:rPr>
          <w:rFonts w:eastAsia="Times New Roman" w:cs="Times New Roman"/>
          <w:bCs/>
          <w:lang w:eastAsia="ar-SA"/>
        </w:rPr>
        <w:t xml:space="preserve">Z tohoto paragrafu jsou hrazeny investiční výdaje na projekty v rámci participativního rozpočtu Středočeského kraje, které slouží </w:t>
      </w:r>
      <w:r>
        <w:rPr>
          <w:rFonts w:eastAsia="Times New Roman" w:cs="Times New Roman"/>
          <w:bCs/>
          <w:lang w:eastAsia="ar-SA"/>
        </w:rPr>
        <w:t xml:space="preserve">k provozním investicím domovů pro seniory </w:t>
      </w:r>
      <w:r w:rsidRPr="00AA4429">
        <w:rPr>
          <w:rFonts w:eastAsia="Times New Roman" w:cs="Times New Roman"/>
          <w:bCs/>
          <w:lang w:eastAsia="ar-SA"/>
        </w:rPr>
        <w:t xml:space="preserve">na území kraje. Z upraveného rozpočtu ve výši </w:t>
      </w:r>
      <w:r>
        <w:rPr>
          <w:rFonts w:eastAsia="Times New Roman" w:cs="Times New Roman"/>
          <w:bCs/>
          <w:lang w:eastAsia="ar-SA"/>
        </w:rPr>
        <w:t>196 900</w:t>
      </w:r>
      <w:r w:rsidRPr="00AA4429">
        <w:rPr>
          <w:rFonts w:eastAsia="Times New Roman" w:cs="Times New Roman"/>
          <w:bCs/>
          <w:lang w:eastAsia="ar-SA"/>
        </w:rPr>
        <w:t xml:space="preserve">,00 Kč (upraveno rozpočtovými úpravami v rámci kapitoly projednanými </w:t>
      </w:r>
      <w:r>
        <w:rPr>
          <w:rFonts w:eastAsia="Times New Roman" w:cs="Times New Roman"/>
          <w:bCs/>
          <w:lang w:eastAsia="ar-SA"/>
        </w:rPr>
        <w:t>radou kraje</w:t>
      </w:r>
      <w:r w:rsidRPr="00AA4429">
        <w:rPr>
          <w:rFonts w:eastAsia="Times New Roman" w:cs="Times New Roman"/>
          <w:bCs/>
          <w:lang w:eastAsia="ar-SA"/>
        </w:rPr>
        <w:t xml:space="preserve">) bylo vyčerpáno </w:t>
      </w:r>
      <w:r>
        <w:rPr>
          <w:rFonts w:eastAsia="Times New Roman" w:cs="Times New Roman"/>
          <w:bCs/>
          <w:lang w:eastAsia="ar-SA"/>
        </w:rPr>
        <w:t>196 900</w:t>
      </w:r>
      <w:r w:rsidRPr="00AA4429">
        <w:rPr>
          <w:rFonts w:eastAsia="Times New Roman" w:cs="Times New Roman"/>
          <w:bCs/>
          <w:lang w:eastAsia="ar-SA"/>
        </w:rPr>
        <w:t>,00 Kč, tj. 100</w:t>
      </w:r>
      <w:r w:rsidR="00F244F2">
        <w:rPr>
          <w:rFonts w:eastAsia="Times New Roman" w:cs="Times New Roman"/>
          <w:bCs/>
          <w:lang w:eastAsia="ar-SA"/>
        </w:rPr>
        <w:t>,0</w:t>
      </w:r>
      <w:r w:rsidRPr="00AA4429">
        <w:rPr>
          <w:rFonts w:eastAsia="Times New Roman" w:cs="Times New Roman"/>
          <w:bCs/>
          <w:lang w:eastAsia="ar-SA"/>
        </w:rPr>
        <w:t xml:space="preserve"> %.</w:t>
      </w:r>
    </w:p>
    <w:p w14:paraId="20826B8E" w14:textId="77777777" w:rsidR="00CD2482" w:rsidRDefault="00CD2482" w:rsidP="00CD2482">
      <w:pPr>
        <w:suppressAutoHyphens/>
        <w:spacing w:after="0" w:line="240" w:lineRule="auto"/>
        <w:jc w:val="both"/>
        <w:rPr>
          <w:rFonts w:eastAsia="Times New Roman" w:cs="Times New Roman"/>
          <w:bCs/>
          <w:lang w:eastAsia="ar-SA"/>
        </w:rPr>
      </w:pPr>
    </w:p>
    <w:p w14:paraId="4664EFDE" w14:textId="77777777" w:rsidR="00CD2482" w:rsidRPr="00AA4429" w:rsidRDefault="00CD2482" w:rsidP="00CD2482">
      <w:pPr>
        <w:suppressAutoHyphens/>
        <w:spacing w:after="0" w:line="240" w:lineRule="auto"/>
        <w:jc w:val="both"/>
        <w:rPr>
          <w:rFonts w:eastAsia="Times New Roman" w:cs="Times New Roman"/>
          <w:b/>
          <w:bCs/>
          <w:lang w:eastAsia="ar-SA"/>
        </w:rPr>
      </w:pPr>
      <w:r w:rsidRPr="00CE418B">
        <w:rPr>
          <w:rFonts w:eastAsia="Times New Roman" w:cs="Times New Roman"/>
          <w:b/>
          <w:bCs/>
          <w:lang w:eastAsia="ar-SA"/>
        </w:rPr>
        <w:t xml:space="preserve">§ </w:t>
      </w:r>
      <w:r>
        <w:rPr>
          <w:rFonts w:eastAsia="Times New Roman" w:cs="Times New Roman"/>
          <w:b/>
          <w:bCs/>
          <w:lang w:eastAsia="ar-SA"/>
        </w:rPr>
        <w:t>6171</w:t>
      </w:r>
      <w:r w:rsidRPr="00AA4429">
        <w:rPr>
          <w:rFonts w:eastAsia="Times New Roman" w:cs="Times New Roman"/>
          <w:b/>
          <w:bCs/>
          <w:lang w:eastAsia="ar-SA"/>
        </w:rPr>
        <w:t xml:space="preserve"> – </w:t>
      </w:r>
      <w:r>
        <w:rPr>
          <w:rFonts w:eastAsia="Times New Roman" w:cs="Times New Roman"/>
          <w:b/>
          <w:bCs/>
          <w:lang w:eastAsia="ar-SA"/>
        </w:rPr>
        <w:t>Činnost místní správy</w:t>
      </w:r>
    </w:p>
    <w:p w14:paraId="2952E3DA" w14:textId="4AB22946" w:rsidR="00CD2482" w:rsidRDefault="00CD2482" w:rsidP="00CD2482">
      <w:pPr>
        <w:suppressAutoHyphens/>
        <w:spacing w:after="0" w:line="240" w:lineRule="auto"/>
        <w:jc w:val="both"/>
        <w:rPr>
          <w:rFonts w:eastAsia="Times New Roman" w:cs="Times New Roman"/>
          <w:bCs/>
          <w:lang w:eastAsia="ar-SA"/>
        </w:rPr>
      </w:pPr>
      <w:r w:rsidRPr="00AA4429">
        <w:rPr>
          <w:rFonts w:eastAsia="Times New Roman" w:cs="Times New Roman"/>
          <w:bCs/>
          <w:lang w:eastAsia="ar-SA"/>
        </w:rPr>
        <w:t xml:space="preserve">Z tohoto paragrafu jsou hrazeny investiční výdaje na projekty v rámci participativního rozpočtu Středočeského kraje, které slouží </w:t>
      </w:r>
      <w:r>
        <w:rPr>
          <w:rFonts w:eastAsia="Times New Roman" w:cs="Times New Roman"/>
          <w:bCs/>
          <w:lang w:eastAsia="ar-SA"/>
        </w:rPr>
        <w:t>místní správě</w:t>
      </w:r>
      <w:r w:rsidRPr="00AA4429">
        <w:rPr>
          <w:rFonts w:eastAsia="Times New Roman" w:cs="Times New Roman"/>
          <w:bCs/>
          <w:lang w:eastAsia="ar-SA"/>
        </w:rPr>
        <w:t xml:space="preserve"> na území kraje. Z upraveného rozpočtu ve výši </w:t>
      </w:r>
      <w:r>
        <w:rPr>
          <w:rFonts w:eastAsia="Times New Roman" w:cs="Times New Roman"/>
          <w:bCs/>
          <w:lang w:eastAsia="ar-SA"/>
        </w:rPr>
        <w:t>178 000</w:t>
      </w:r>
      <w:r w:rsidRPr="00AA4429">
        <w:rPr>
          <w:rFonts w:eastAsia="Times New Roman" w:cs="Times New Roman"/>
          <w:bCs/>
          <w:lang w:eastAsia="ar-SA"/>
        </w:rPr>
        <w:t xml:space="preserve">,00 Kč (upraveno rozpočtovými úpravami v rámci kapitoly projednanými </w:t>
      </w:r>
      <w:r>
        <w:rPr>
          <w:rFonts w:eastAsia="Times New Roman" w:cs="Times New Roman"/>
          <w:bCs/>
          <w:lang w:eastAsia="ar-SA"/>
        </w:rPr>
        <w:t>radou kraje</w:t>
      </w:r>
      <w:r w:rsidRPr="00AA4429">
        <w:rPr>
          <w:rFonts w:eastAsia="Times New Roman" w:cs="Times New Roman"/>
          <w:bCs/>
          <w:lang w:eastAsia="ar-SA"/>
        </w:rPr>
        <w:t xml:space="preserve">) bylo vyčerpáno </w:t>
      </w:r>
      <w:r>
        <w:rPr>
          <w:rFonts w:eastAsia="Times New Roman" w:cs="Times New Roman"/>
          <w:bCs/>
          <w:lang w:eastAsia="ar-SA"/>
        </w:rPr>
        <w:t>178 000</w:t>
      </w:r>
      <w:r w:rsidRPr="00AA4429">
        <w:rPr>
          <w:rFonts w:eastAsia="Times New Roman" w:cs="Times New Roman"/>
          <w:bCs/>
          <w:lang w:eastAsia="ar-SA"/>
        </w:rPr>
        <w:t>,00 Kč, tj. 100</w:t>
      </w:r>
      <w:r w:rsidR="00F244F2">
        <w:rPr>
          <w:rFonts w:eastAsia="Times New Roman" w:cs="Times New Roman"/>
          <w:bCs/>
          <w:lang w:eastAsia="ar-SA"/>
        </w:rPr>
        <w:t>,0</w:t>
      </w:r>
      <w:r w:rsidRPr="00AA4429">
        <w:rPr>
          <w:rFonts w:eastAsia="Times New Roman" w:cs="Times New Roman"/>
          <w:bCs/>
          <w:lang w:eastAsia="ar-SA"/>
        </w:rPr>
        <w:t xml:space="preserve"> %.</w:t>
      </w:r>
    </w:p>
    <w:p w14:paraId="6BFBF19E" w14:textId="77777777" w:rsidR="00CD2482" w:rsidRDefault="00CD2482" w:rsidP="00CD2482">
      <w:pPr>
        <w:suppressAutoHyphens/>
        <w:spacing w:after="0" w:line="240" w:lineRule="auto"/>
        <w:jc w:val="both"/>
        <w:rPr>
          <w:rFonts w:eastAsia="Times New Roman" w:cs="Times New Roman"/>
          <w:bCs/>
          <w:lang w:eastAsia="ar-SA"/>
        </w:rPr>
      </w:pPr>
    </w:p>
    <w:p w14:paraId="3B7128EB" w14:textId="77777777" w:rsidR="00CD2482" w:rsidRDefault="00CD2482" w:rsidP="00CD2482">
      <w:pPr>
        <w:suppressAutoHyphens/>
        <w:spacing w:after="0" w:line="240" w:lineRule="auto"/>
        <w:jc w:val="both"/>
        <w:rPr>
          <w:rFonts w:eastAsia="Times New Roman" w:cs="Times New Roman"/>
          <w:b/>
          <w:bCs/>
          <w:lang w:eastAsia="ar-SA"/>
        </w:rPr>
      </w:pPr>
      <w:r w:rsidRPr="00811481">
        <w:rPr>
          <w:rFonts w:eastAsia="Times New Roman" w:cs="Times New Roman"/>
          <w:b/>
          <w:bCs/>
          <w:lang w:eastAsia="ar-SA"/>
        </w:rPr>
        <w:t>§</w:t>
      </w:r>
      <w:r>
        <w:rPr>
          <w:rFonts w:eastAsia="Times New Roman" w:cs="Times New Roman"/>
          <w:b/>
          <w:bCs/>
          <w:lang w:eastAsia="ar-SA"/>
        </w:rPr>
        <w:t xml:space="preserve"> </w:t>
      </w:r>
      <w:r w:rsidRPr="00811481">
        <w:rPr>
          <w:rFonts w:eastAsia="Times New Roman" w:cs="Times New Roman"/>
          <w:b/>
          <w:bCs/>
          <w:lang w:eastAsia="ar-SA"/>
        </w:rPr>
        <w:t>6172 – Činnosti regionální správy</w:t>
      </w:r>
      <w:r w:rsidRPr="00AA4429">
        <w:rPr>
          <w:rFonts w:eastAsia="Times New Roman" w:cs="Times New Roman"/>
          <w:b/>
          <w:bCs/>
          <w:lang w:eastAsia="ar-SA"/>
        </w:rPr>
        <w:t xml:space="preserve"> </w:t>
      </w:r>
    </w:p>
    <w:p w14:paraId="7F3B9636" w14:textId="61144DC8" w:rsidR="00CD2482" w:rsidRDefault="00CD2482" w:rsidP="00CD2482">
      <w:pPr>
        <w:suppressAutoHyphens/>
        <w:spacing w:after="0" w:line="240" w:lineRule="auto"/>
        <w:jc w:val="both"/>
        <w:rPr>
          <w:rFonts w:eastAsia="Times New Roman" w:cs="Times New Roman"/>
          <w:bCs/>
          <w:lang w:eastAsia="ar-SA"/>
        </w:rPr>
      </w:pPr>
      <w:r>
        <w:rPr>
          <w:rFonts w:eastAsia="Times New Roman" w:cs="Times New Roman"/>
          <w:bCs/>
          <w:lang w:eastAsia="ar-SA"/>
        </w:rPr>
        <w:t>Tento</w:t>
      </w:r>
      <w:r w:rsidRPr="00AA4429">
        <w:rPr>
          <w:rFonts w:eastAsia="Times New Roman" w:cs="Times New Roman"/>
          <w:bCs/>
          <w:lang w:eastAsia="ar-SA"/>
        </w:rPr>
        <w:t xml:space="preserve"> paragraf</w:t>
      </w:r>
      <w:r>
        <w:rPr>
          <w:rFonts w:eastAsia="Times New Roman" w:cs="Times New Roman"/>
          <w:bCs/>
          <w:lang w:eastAsia="ar-SA"/>
        </w:rPr>
        <w:t xml:space="preserve"> byl určen na ú</w:t>
      </w:r>
      <w:r w:rsidRPr="00AA4429">
        <w:rPr>
          <w:rFonts w:eastAsia="Times New Roman" w:cs="Times New Roman"/>
          <w:bCs/>
          <w:lang w:eastAsia="ar-SA"/>
        </w:rPr>
        <w:t>hra</w:t>
      </w:r>
      <w:r>
        <w:rPr>
          <w:rFonts w:eastAsia="Times New Roman" w:cs="Times New Roman"/>
          <w:bCs/>
          <w:lang w:eastAsia="ar-SA"/>
        </w:rPr>
        <w:t>du</w:t>
      </w:r>
      <w:r w:rsidRPr="00AA4429">
        <w:rPr>
          <w:rFonts w:eastAsia="Times New Roman" w:cs="Times New Roman"/>
          <w:bCs/>
          <w:lang w:eastAsia="ar-SA"/>
        </w:rPr>
        <w:t xml:space="preserve"> výdaj</w:t>
      </w:r>
      <w:r>
        <w:rPr>
          <w:rFonts w:eastAsia="Times New Roman" w:cs="Times New Roman"/>
          <w:bCs/>
          <w:lang w:eastAsia="ar-SA"/>
        </w:rPr>
        <w:t>ů</w:t>
      </w:r>
      <w:r w:rsidRPr="00AA4429">
        <w:rPr>
          <w:rFonts w:eastAsia="Times New Roman" w:cs="Times New Roman"/>
          <w:bCs/>
          <w:lang w:eastAsia="ar-SA"/>
        </w:rPr>
        <w:t xml:space="preserve"> na projekty v rámci participativního rozpočtu Středočeského kraje</w:t>
      </w:r>
      <w:r>
        <w:rPr>
          <w:rFonts w:eastAsia="Times New Roman" w:cs="Times New Roman"/>
          <w:bCs/>
          <w:lang w:eastAsia="ar-SA"/>
        </w:rPr>
        <w:t xml:space="preserve">. Upravený rozpočet ve výši 4 493 773,00 Kč je rezervou finančních prostředků, ze které mohly být dále čerpány výdaje participativního rozpočtu na úspěšné projekty Středočeského kraje. </w:t>
      </w:r>
    </w:p>
    <w:p w14:paraId="62F8ED83" w14:textId="02BC9E19" w:rsidR="00E363C7" w:rsidRDefault="00E363C7" w:rsidP="00CD2482">
      <w:pPr>
        <w:suppressAutoHyphens/>
        <w:spacing w:after="0" w:line="240" w:lineRule="auto"/>
        <w:jc w:val="both"/>
        <w:rPr>
          <w:rFonts w:eastAsia="Times New Roman" w:cs="Times New Roman"/>
          <w:bCs/>
          <w:lang w:eastAsia="ar-SA"/>
        </w:rPr>
      </w:pPr>
    </w:p>
    <w:p w14:paraId="1909E0F4" w14:textId="2B07A924" w:rsidR="00E363C7" w:rsidRDefault="00E363C7" w:rsidP="00CD2482">
      <w:pPr>
        <w:suppressAutoHyphens/>
        <w:spacing w:after="0" w:line="240" w:lineRule="auto"/>
        <w:jc w:val="both"/>
        <w:rPr>
          <w:rFonts w:eastAsia="Times New Roman" w:cs="Times New Roman"/>
          <w:bCs/>
          <w:lang w:eastAsia="ar-SA"/>
        </w:rPr>
      </w:pPr>
    </w:p>
    <w:p w14:paraId="5FF092E8" w14:textId="2B40BD67" w:rsidR="00E363C7" w:rsidRDefault="00E363C7" w:rsidP="00CD2482">
      <w:pPr>
        <w:suppressAutoHyphens/>
        <w:spacing w:after="0" w:line="240" w:lineRule="auto"/>
        <w:jc w:val="both"/>
        <w:rPr>
          <w:rFonts w:eastAsia="Times New Roman" w:cs="Times New Roman"/>
          <w:bCs/>
          <w:lang w:eastAsia="ar-SA"/>
        </w:rPr>
      </w:pPr>
    </w:p>
    <w:p w14:paraId="6DAEDA34" w14:textId="67F5E929" w:rsidR="00E363C7" w:rsidRDefault="00E363C7" w:rsidP="00CD2482">
      <w:pPr>
        <w:suppressAutoHyphens/>
        <w:spacing w:after="0" w:line="240" w:lineRule="auto"/>
        <w:jc w:val="both"/>
        <w:rPr>
          <w:rFonts w:eastAsia="Times New Roman" w:cs="Times New Roman"/>
          <w:bCs/>
          <w:lang w:eastAsia="ar-SA"/>
        </w:rPr>
      </w:pPr>
    </w:p>
    <w:p w14:paraId="5FFEB5DD" w14:textId="4993D5AC" w:rsidR="00E363C7" w:rsidRDefault="00E363C7" w:rsidP="00CD2482">
      <w:pPr>
        <w:suppressAutoHyphens/>
        <w:spacing w:after="0" w:line="240" w:lineRule="auto"/>
        <w:jc w:val="both"/>
        <w:rPr>
          <w:rFonts w:eastAsia="Times New Roman" w:cs="Times New Roman"/>
          <w:bCs/>
          <w:lang w:eastAsia="ar-SA"/>
        </w:rPr>
      </w:pPr>
    </w:p>
    <w:p w14:paraId="47790106" w14:textId="08291F58" w:rsidR="00E363C7" w:rsidRDefault="00E363C7" w:rsidP="00CD2482">
      <w:pPr>
        <w:suppressAutoHyphens/>
        <w:spacing w:after="0" w:line="240" w:lineRule="auto"/>
        <w:jc w:val="both"/>
        <w:rPr>
          <w:rFonts w:eastAsia="Times New Roman" w:cs="Times New Roman"/>
          <w:bCs/>
          <w:lang w:eastAsia="ar-SA"/>
        </w:rPr>
      </w:pPr>
    </w:p>
    <w:p w14:paraId="2CA4367B" w14:textId="32CAD969" w:rsidR="00E363C7" w:rsidRDefault="00E363C7" w:rsidP="00CD2482">
      <w:pPr>
        <w:suppressAutoHyphens/>
        <w:spacing w:after="0" w:line="240" w:lineRule="auto"/>
        <w:jc w:val="both"/>
        <w:rPr>
          <w:rFonts w:eastAsia="Times New Roman" w:cs="Times New Roman"/>
          <w:bCs/>
          <w:lang w:eastAsia="ar-SA"/>
        </w:rPr>
      </w:pPr>
    </w:p>
    <w:p w14:paraId="2B036AFC" w14:textId="3D2C1738" w:rsidR="00E363C7" w:rsidRDefault="00E363C7" w:rsidP="00CD2482">
      <w:pPr>
        <w:suppressAutoHyphens/>
        <w:spacing w:after="0" w:line="240" w:lineRule="auto"/>
        <w:jc w:val="both"/>
        <w:rPr>
          <w:rFonts w:eastAsia="Times New Roman" w:cs="Times New Roman"/>
          <w:bCs/>
          <w:lang w:eastAsia="ar-SA"/>
        </w:rPr>
      </w:pPr>
    </w:p>
    <w:p w14:paraId="5F8398BB" w14:textId="166F49B9" w:rsidR="00E363C7" w:rsidRDefault="00E363C7" w:rsidP="00CD2482">
      <w:pPr>
        <w:suppressAutoHyphens/>
        <w:spacing w:after="0" w:line="240" w:lineRule="auto"/>
        <w:jc w:val="both"/>
        <w:rPr>
          <w:rFonts w:eastAsia="Times New Roman" w:cs="Times New Roman"/>
          <w:bCs/>
          <w:lang w:eastAsia="ar-SA"/>
        </w:rPr>
      </w:pPr>
    </w:p>
    <w:p w14:paraId="466BFF52" w14:textId="382EC0B6" w:rsidR="003A456C" w:rsidRDefault="003A456C" w:rsidP="00CD2482">
      <w:pPr>
        <w:suppressAutoHyphens/>
        <w:spacing w:after="0" w:line="240" w:lineRule="auto"/>
        <w:jc w:val="both"/>
        <w:rPr>
          <w:rFonts w:eastAsia="Times New Roman" w:cs="Times New Roman"/>
          <w:bCs/>
          <w:lang w:eastAsia="ar-SA"/>
        </w:rPr>
      </w:pPr>
    </w:p>
    <w:p w14:paraId="74A3CA60" w14:textId="4A97B0EC" w:rsidR="003A456C" w:rsidRDefault="003A456C" w:rsidP="00CD2482">
      <w:pPr>
        <w:suppressAutoHyphens/>
        <w:spacing w:after="0" w:line="240" w:lineRule="auto"/>
        <w:jc w:val="both"/>
        <w:rPr>
          <w:rFonts w:eastAsia="Times New Roman" w:cs="Times New Roman"/>
          <w:bCs/>
          <w:lang w:eastAsia="ar-SA"/>
        </w:rPr>
      </w:pPr>
    </w:p>
    <w:p w14:paraId="386B24E0" w14:textId="017288BC" w:rsidR="003A456C" w:rsidRDefault="003A456C" w:rsidP="00CD2482">
      <w:pPr>
        <w:suppressAutoHyphens/>
        <w:spacing w:after="0" w:line="240" w:lineRule="auto"/>
        <w:jc w:val="both"/>
        <w:rPr>
          <w:rFonts w:eastAsia="Times New Roman" w:cs="Times New Roman"/>
          <w:bCs/>
          <w:lang w:eastAsia="ar-SA"/>
        </w:rPr>
      </w:pPr>
    </w:p>
    <w:p w14:paraId="21F4423B" w14:textId="329D922D" w:rsidR="003A456C" w:rsidRDefault="003A456C" w:rsidP="00CD2482">
      <w:pPr>
        <w:suppressAutoHyphens/>
        <w:spacing w:after="0" w:line="240" w:lineRule="auto"/>
        <w:jc w:val="both"/>
        <w:rPr>
          <w:rFonts w:eastAsia="Times New Roman" w:cs="Times New Roman"/>
          <w:bCs/>
          <w:lang w:eastAsia="ar-SA"/>
        </w:rPr>
      </w:pPr>
    </w:p>
    <w:p w14:paraId="61FD84ED" w14:textId="55E15F9C" w:rsidR="003A456C" w:rsidRDefault="003A456C" w:rsidP="00CD2482">
      <w:pPr>
        <w:suppressAutoHyphens/>
        <w:spacing w:after="0" w:line="240" w:lineRule="auto"/>
        <w:jc w:val="both"/>
        <w:rPr>
          <w:rFonts w:eastAsia="Times New Roman" w:cs="Times New Roman"/>
          <w:bCs/>
          <w:lang w:eastAsia="ar-SA"/>
        </w:rPr>
      </w:pPr>
    </w:p>
    <w:p w14:paraId="421DCE38" w14:textId="0C7D1F6D" w:rsidR="003A456C" w:rsidRDefault="003A456C" w:rsidP="00CD2482">
      <w:pPr>
        <w:suppressAutoHyphens/>
        <w:spacing w:after="0" w:line="240" w:lineRule="auto"/>
        <w:jc w:val="both"/>
        <w:rPr>
          <w:rFonts w:eastAsia="Times New Roman" w:cs="Times New Roman"/>
          <w:bCs/>
          <w:lang w:eastAsia="ar-SA"/>
        </w:rPr>
      </w:pPr>
    </w:p>
    <w:p w14:paraId="372B4D59" w14:textId="13432461" w:rsidR="003A456C" w:rsidRDefault="003A456C" w:rsidP="00CD2482">
      <w:pPr>
        <w:suppressAutoHyphens/>
        <w:spacing w:after="0" w:line="240" w:lineRule="auto"/>
        <w:jc w:val="both"/>
        <w:rPr>
          <w:rFonts w:eastAsia="Times New Roman" w:cs="Times New Roman"/>
          <w:bCs/>
          <w:lang w:eastAsia="ar-SA"/>
        </w:rPr>
      </w:pPr>
    </w:p>
    <w:p w14:paraId="11D756F0" w14:textId="0D2EE36C" w:rsidR="003A456C" w:rsidRDefault="003A456C" w:rsidP="00CD2482">
      <w:pPr>
        <w:suppressAutoHyphens/>
        <w:spacing w:after="0" w:line="240" w:lineRule="auto"/>
        <w:jc w:val="both"/>
        <w:rPr>
          <w:rFonts w:eastAsia="Times New Roman" w:cs="Times New Roman"/>
          <w:bCs/>
          <w:lang w:eastAsia="ar-SA"/>
        </w:rPr>
      </w:pPr>
    </w:p>
    <w:p w14:paraId="5AD75C7B" w14:textId="1303C802" w:rsidR="003A456C" w:rsidRDefault="003A456C" w:rsidP="00CD2482">
      <w:pPr>
        <w:suppressAutoHyphens/>
        <w:spacing w:after="0" w:line="240" w:lineRule="auto"/>
        <w:jc w:val="both"/>
        <w:rPr>
          <w:rFonts w:eastAsia="Times New Roman" w:cs="Times New Roman"/>
          <w:bCs/>
          <w:lang w:eastAsia="ar-SA"/>
        </w:rPr>
      </w:pPr>
    </w:p>
    <w:p w14:paraId="131CA8BB" w14:textId="4D81C3A8" w:rsidR="003A456C" w:rsidRDefault="003A456C" w:rsidP="00CD2482">
      <w:pPr>
        <w:suppressAutoHyphens/>
        <w:spacing w:after="0" w:line="240" w:lineRule="auto"/>
        <w:jc w:val="both"/>
        <w:rPr>
          <w:rFonts w:eastAsia="Times New Roman" w:cs="Times New Roman"/>
          <w:bCs/>
          <w:lang w:eastAsia="ar-SA"/>
        </w:rPr>
      </w:pPr>
    </w:p>
    <w:p w14:paraId="063BE6F1" w14:textId="43175609" w:rsidR="003A456C" w:rsidRDefault="003A456C" w:rsidP="00CD2482">
      <w:pPr>
        <w:suppressAutoHyphens/>
        <w:spacing w:after="0" w:line="240" w:lineRule="auto"/>
        <w:jc w:val="both"/>
        <w:rPr>
          <w:rFonts w:eastAsia="Times New Roman" w:cs="Times New Roman"/>
          <w:bCs/>
          <w:lang w:eastAsia="ar-SA"/>
        </w:rPr>
      </w:pPr>
    </w:p>
    <w:p w14:paraId="714C70BB" w14:textId="77777777" w:rsidR="003A456C" w:rsidRDefault="003A456C" w:rsidP="00CD2482">
      <w:pPr>
        <w:suppressAutoHyphens/>
        <w:spacing w:after="0" w:line="240" w:lineRule="auto"/>
        <w:jc w:val="both"/>
        <w:rPr>
          <w:rFonts w:eastAsia="Times New Roman" w:cs="Times New Roman"/>
          <w:bCs/>
          <w:lang w:eastAsia="ar-SA"/>
        </w:rPr>
      </w:pPr>
    </w:p>
    <w:p w14:paraId="1BAA0A6F" w14:textId="655F104D" w:rsidR="00E363C7" w:rsidRDefault="00E363C7" w:rsidP="00CD2482">
      <w:pPr>
        <w:suppressAutoHyphens/>
        <w:spacing w:after="0" w:line="240" w:lineRule="auto"/>
        <w:jc w:val="both"/>
        <w:rPr>
          <w:rFonts w:eastAsia="Times New Roman" w:cs="Times New Roman"/>
          <w:bCs/>
          <w:lang w:eastAsia="ar-SA"/>
        </w:rPr>
      </w:pPr>
    </w:p>
    <w:p w14:paraId="0B013ADC" w14:textId="493BB814" w:rsidR="00E363C7" w:rsidRDefault="00E363C7" w:rsidP="00CD2482">
      <w:pPr>
        <w:suppressAutoHyphens/>
        <w:spacing w:after="0" w:line="240" w:lineRule="auto"/>
        <w:jc w:val="both"/>
        <w:rPr>
          <w:rFonts w:eastAsia="Times New Roman" w:cs="Times New Roman"/>
          <w:bCs/>
          <w:lang w:eastAsia="ar-SA"/>
        </w:rPr>
      </w:pPr>
    </w:p>
    <w:p w14:paraId="1311ACE9" w14:textId="282331B9" w:rsidR="00E363C7" w:rsidRDefault="00E363C7" w:rsidP="00CD2482">
      <w:pPr>
        <w:suppressAutoHyphens/>
        <w:spacing w:after="0" w:line="240" w:lineRule="auto"/>
        <w:jc w:val="both"/>
        <w:rPr>
          <w:rFonts w:eastAsia="Times New Roman" w:cs="Times New Roman"/>
          <w:bCs/>
          <w:lang w:eastAsia="ar-SA"/>
        </w:rPr>
      </w:pPr>
    </w:p>
    <w:p w14:paraId="69376032" w14:textId="0C723DC7" w:rsidR="00E363C7" w:rsidRDefault="00E363C7" w:rsidP="00CD2482">
      <w:pPr>
        <w:suppressAutoHyphens/>
        <w:spacing w:after="0" w:line="240" w:lineRule="auto"/>
        <w:jc w:val="both"/>
        <w:rPr>
          <w:rFonts w:eastAsia="Times New Roman" w:cs="Times New Roman"/>
          <w:bCs/>
          <w:lang w:eastAsia="ar-SA"/>
        </w:rPr>
      </w:pPr>
    </w:p>
    <w:p w14:paraId="15B8A614" w14:textId="67C81C3D" w:rsidR="00E363C7" w:rsidRDefault="00E363C7" w:rsidP="00CD2482">
      <w:pPr>
        <w:suppressAutoHyphens/>
        <w:spacing w:after="0" w:line="240" w:lineRule="auto"/>
        <w:jc w:val="both"/>
        <w:rPr>
          <w:rFonts w:eastAsia="Times New Roman" w:cs="Times New Roman"/>
          <w:bCs/>
          <w:lang w:eastAsia="ar-SA"/>
        </w:rPr>
      </w:pPr>
    </w:p>
    <w:p w14:paraId="02F03B3D" w14:textId="551D35ED" w:rsidR="00E363C7" w:rsidRDefault="00E363C7" w:rsidP="00CD2482">
      <w:pPr>
        <w:suppressAutoHyphens/>
        <w:spacing w:after="0" w:line="240" w:lineRule="auto"/>
        <w:jc w:val="both"/>
        <w:rPr>
          <w:rFonts w:eastAsia="Times New Roman" w:cs="Times New Roman"/>
          <w:bCs/>
          <w:lang w:eastAsia="ar-SA"/>
        </w:rPr>
      </w:pPr>
    </w:p>
    <w:p w14:paraId="5CAAA9BA" w14:textId="1A3E333E" w:rsidR="00E363C7" w:rsidRDefault="00E363C7" w:rsidP="00CD2482">
      <w:pPr>
        <w:suppressAutoHyphens/>
        <w:spacing w:after="0" w:line="240" w:lineRule="auto"/>
        <w:jc w:val="both"/>
        <w:rPr>
          <w:rFonts w:eastAsia="Times New Roman" w:cs="Times New Roman"/>
          <w:bCs/>
          <w:lang w:eastAsia="ar-SA"/>
        </w:rPr>
      </w:pPr>
    </w:p>
    <w:p w14:paraId="5F408FDD" w14:textId="4ADBEFEB" w:rsidR="00E363C7" w:rsidRDefault="00E363C7" w:rsidP="00CD2482">
      <w:pPr>
        <w:suppressAutoHyphens/>
        <w:spacing w:after="0" w:line="240" w:lineRule="auto"/>
        <w:jc w:val="both"/>
        <w:rPr>
          <w:rFonts w:eastAsia="Times New Roman" w:cs="Times New Roman"/>
          <w:bCs/>
          <w:lang w:eastAsia="ar-SA"/>
        </w:rPr>
      </w:pPr>
    </w:p>
    <w:p w14:paraId="728FF404" w14:textId="17914201" w:rsidR="00E363C7" w:rsidRDefault="00E363C7" w:rsidP="00CD2482">
      <w:pPr>
        <w:suppressAutoHyphens/>
        <w:spacing w:after="0" w:line="240" w:lineRule="auto"/>
        <w:jc w:val="both"/>
        <w:rPr>
          <w:rFonts w:eastAsia="Times New Roman" w:cs="Times New Roman"/>
          <w:bCs/>
          <w:lang w:eastAsia="ar-SA"/>
        </w:rPr>
      </w:pPr>
    </w:p>
    <w:p w14:paraId="3A9DE047" w14:textId="77F43E2A" w:rsidR="00E363C7" w:rsidRDefault="00E363C7" w:rsidP="00CD2482">
      <w:pPr>
        <w:suppressAutoHyphens/>
        <w:spacing w:after="0" w:line="240" w:lineRule="auto"/>
        <w:jc w:val="both"/>
        <w:rPr>
          <w:rFonts w:eastAsia="Times New Roman" w:cs="Times New Roman"/>
          <w:bCs/>
          <w:lang w:eastAsia="ar-SA"/>
        </w:rPr>
      </w:pPr>
    </w:p>
    <w:p w14:paraId="7001B6B5" w14:textId="61405E2B" w:rsidR="003421C2" w:rsidRDefault="003421C2" w:rsidP="00CD2482">
      <w:pPr>
        <w:suppressAutoHyphens/>
        <w:spacing w:after="0" w:line="240" w:lineRule="auto"/>
        <w:jc w:val="both"/>
        <w:rPr>
          <w:rFonts w:eastAsia="Times New Roman" w:cs="Times New Roman"/>
          <w:bCs/>
          <w:lang w:eastAsia="ar-SA"/>
        </w:rPr>
      </w:pPr>
    </w:p>
    <w:p w14:paraId="7D697DBF" w14:textId="5309F854" w:rsidR="003421C2" w:rsidRDefault="003421C2" w:rsidP="00CD2482">
      <w:pPr>
        <w:suppressAutoHyphens/>
        <w:spacing w:after="0" w:line="240" w:lineRule="auto"/>
        <w:jc w:val="both"/>
        <w:rPr>
          <w:rFonts w:eastAsia="Times New Roman" w:cs="Times New Roman"/>
          <w:bCs/>
          <w:lang w:eastAsia="ar-SA"/>
        </w:rPr>
      </w:pPr>
    </w:p>
    <w:p w14:paraId="408896BE" w14:textId="530BC3E6" w:rsidR="003421C2" w:rsidRDefault="003421C2" w:rsidP="00CD2482">
      <w:pPr>
        <w:suppressAutoHyphens/>
        <w:spacing w:after="0" w:line="240" w:lineRule="auto"/>
        <w:jc w:val="both"/>
        <w:rPr>
          <w:rFonts w:eastAsia="Times New Roman" w:cs="Times New Roman"/>
          <w:bCs/>
          <w:lang w:eastAsia="ar-SA"/>
        </w:rPr>
      </w:pPr>
    </w:p>
    <w:p w14:paraId="05673656" w14:textId="639C244F" w:rsidR="003421C2" w:rsidRDefault="003421C2" w:rsidP="00CD2482">
      <w:pPr>
        <w:suppressAutoHyphens/>
        <w:spacing w:after="0" w:line="240" w:lineRule="auto"/>
        <w:jc w:val="both"/>
        <w:rPr>
          <w:rFonts w:eastAsia="Times New Roman" w:cs="Times New Roman"/>
          <w:bCs/>
          <w:lang w:eastAsia="ar-SA"/>
        </w:rPr>
      </w:pPr>
    </w:p>
    <w:p w14:paraId="7829C4D6" w14:textId="75713349" w:rsidR="003421C2" w:rsidRDefault="003421C2" w:rsidP="00CD2482">
      <w:pPr>
        <w:suppressAutoHyphens/>
        <w:spacing w:after="0" w:line="240" w:lineRule="auto"/>
        <w:jc w:val="both"/>
        <w:rPr>
          <w:rFonts w:eastAsia="Times New Roman" w:cs="Times New Roman"/>
          <w:bCs/>
          <w:lang w:eastAsia="ar-SA"/>
        </w:rPr>
      </w:pPr>
    </w:p>
    <w:p w14:paraId="12C966F1" w14:textId="537EE2EC" w:rsidR="003421C2" w:rsidRDefault="003421C2" w:rsidP="00CD2482">
      <w:pPr>
        <w:suppressAutoHyphens/>
        <w:spacing w:after="0" w:line="240" w:lineRule="auto"/>
        <w:jc w:val="both"/>
        <w:rPr>
          <w:rFonts w:eastAsia="Times New Roman" w:cs="Times New Roman"/>
          <w:bCs/>
          <w:lang w:eastAsia="ar-SA"/>
        </w:rPr>
      </w:pPr>
    </w:p>
    <w:p w14:paraId="45D45A7D" w14:textId="77777777" w:rsidR="003421C2" w:rsidRDefault="003421C2" w:rsidP="00CD2482">
      <w:pPr>
        <w:suppressAutoHyphens/>
        <w:spacing w:after="0" w:line="240" w:lineRule="auto"/>
        <w:jc w:val="both"/>
        <w:rPr>
          <w:rFonts w:eastAsia="Times New Roman" w:cs="Times New Roman"/>
          <w:bCs/>
          <w:lang w:eastAsia="ar-SA"/>
        </w:rPr>
      </w:pPr>
    </w:p>
    <w:p w14:paraId="23374589" w14:textId="77777777" w:rsidR="00E363C7" w:rsidRPr="00AA4429" w:rsidRDefault="00E363C7" w:rsidP="00CD2482">
      <w:pPr>
        <w:suppressAutoHyphens/>
        <w:spacing w:after="0" w:line="240" w:lineRule="auto"/>
        <w:jc w:val="both"/>
        <w:rPr>
          <w:rFonts w:eastAsia="Times New Roman" w:cs="Times New Roman"/>
          <w:bCs/>
          <w:lang w:eastAsia="ar-SA"/>
        </w:rPr>
      </w:pPr>
    </w:p>
    <w:p w14:paraId="2BFE8377" w14:textId="77777777" w:rsidR="00CD2482" w:rsidRDefault="00CD2482" w:rsidP="00CD2482">
      <w:pPr>
        <w:suppressAutoHyphens/>
        <w:spacing w:after="0" w:line="240" w:lineRule="auto"/>
        <w:jc w:val="both"/>
        <w:rPr>
          <w:rFonts w:ascii="Times New Roman" w:eastAsia="Times New Roman" w:hAnsi="Times New Roman" w:cs="Times New Roman"/>
          <w:sz w:val="24"/>
          <w:szCs w:val="24"/>
          <w:lang w:eastAsia="ar-SA"/>
        </w:rPr>
      </w:pPr>
    </w:p>
    <w:p w14:paraId="251F7BF3" w14:textId="266A0C4B" w:rsidR="00CD2482" w:rsidRPr="00CD2482" w:rsidRDefault="00CD2482" w:rsidP="00CD2482">
      <w:pPr>
        <w:spacing w:after="0" w:line="240" w:lineRule="auto"/>
        <w:rPr>
          <w:rFonts w:ascii="Calibri" w:eastAsia="Times New Roman" w:hAnsi="Calibri" w:cs="Arial"/>
          <w:sz w:val="20"/>
          <w:szCs w:val="20"/>
          <w:lang w:eastAsia="cs-CZ"/>
        </w:rPr>
      </w:pPr>
    </w:p>
    <w:tbl>
      <w:tblPr>
        <w:tblW w:w="9619" w:type="dxa"/>
        <w:tblCellMar>
          <w:left w:w="70" w:type="dxa"/>
          <w:right w:w="70" w:type="dxa"/>
        </w:tblCellMar>
        <w:tblLook w:val="04A0" w:firstRow="1" w:lastRow="0" w:firstColumn="1" w:lastColumn="0" w:noHBand="0" w:noVBand="1"/>
      </w:tblPr>
      <w:tblGrid>
        <w:gridCol w:w="826"/>
        <w:gridCol w:w="2785"/>
        <w:gridCol w:w="1416"/>
        <w:gridCol w:w="2040"/>
        <w:gridCol w:w="1830"/>
        <w:gridCol w:w="722"/>
      </w:tblGrid>
      <w:tr w:rsidR="00CD2482" w:rsidRPr="00CD2482" w14:paraId="1E9DA20F" w14:textId="77777777" w:rsidTr="00955D47">
        <w:trPr>
          <w:trHeight w:val="403"/>
        </w:trPr>
        <w:tc>
          <w:tcPr>
            <w:tcW w:w="9619" w:type="dxa"/>
            <w:gridSpan w:val="6"/>
            <w:tcBorders>
              <w:top w:val="nil"/>
              <w:left w:val="nil"/>
              <w:bottom w:val="nil"/>
              <w:right w:val="nil"/>
            </w:tcBorders>
            <w:shd w:val="clear" w:color="auto" w:fill="auto"/>
            <w:noWrap/>
            <w:vAlign w:val="center"/>
            <w:hideMark/>
          </w:tcPr>
          <w:p w14:paraId="3BB15F31" w14:textId="77777777" w:rsidR="00CD2482" w:rsidRPr="00CD2482" w:rsidRDefault="00CD2482" w:rsidP="00CD2482">
            <w:pPr>
              <w:spacing w:after="0" w:line="240" w:lineRule="auto"/>
              <w:jc w:val="center"/>
              <w:rPr>
                <w:rFonts w:ascii="Calibri" w:eastAsia="Times New Roman" w:hAnsi="Calibri" w:cs="Arial"/>
                <w:b/>
                <w:bCs/>
                <w:sz w:val="28"/>
                <w:szCs w:val="28"/>
                <w:lang w:eastAsia="cs-CZ"/>
              </w:rPr>
            </w:pPr>
            <w:r w:rsidRPr="00CD2482">
              <w:rPr>
                <w:rFonts w:ascii="Calibri" w:eastAsia="Times New Roman" w:hAnsi="Calibri" w:cs="Arial"/>
                <w:b/>
                <w:bCs/>
                <w:sz w:val="28"/>
                <w:szCs w:val="28"/>
                <w:lang w:eastAsia="cs-CZ"/>
              </w:rPr>
              <w:t>Čerpání rozpočtu kapitoly 12 - Investiční výdaje - období: 1. - 12. 2021</w:t>
            </w:r>
          </w:p>
        </w:tc>
      </w:tr>
      <w:tr w:rsidR="00CD2482" w:rsidRPr="00CD2482" w14:paraId="6674D5AB" w14:textId="77777777" w:rsidTr="00955D47">
        <w:trPr>
          <w:trHeight w:val="360"/>
        </w:trPr>
        <w:tc>
          <w:tcPr>
            <w:tcW w:w="826" w:type="dxa"/>
            <w:tcBorders>
              <w:top w:val="nil"/>
              <w:left w:val="nil"/>
              <w:bottom w:val="nil"/>
              <w:right w:val="nil"/>
            </w:tcBorders>
            <w:shd w:val="clear" w:color="auto" w:fill="auto"/>
            <w:noWrap/>
            <w:vAlign w:val="bottom"/>
            <w:hideMark/>
          </w:tcPr>
          <w:p w14:paraId="205EE953" w14:textId="77777777" w:rsidR="00CD2482" w:rsidRPr="00CD2482" w:rsidRDefault="00CD2482" w:rsidP="00CD2482">
            <w:pPr>
              <w:spacing w:after="0" w:line="240" w:lineRule="auto"/>
              <w:jc w:val="center"/>
              <w:rPr>
                <w:rFonts w:ascii="Calibri" w:eastAsia="Times New Roman" w:hAnsi="Calibri" w:cs="Arial"/>
                <w:b/>
                <w:bCs/>
                <w:sz w:val="28"/>
                <w:szCs w:val="28"/>
                <w:lang w:eastAsia="cs-CZ"/>
              </w:rPr>
            </w:pPr>
          </w:p>
        </w:tc>
        <w:tc>
          <w:tcPr>
            <w:tcW w:w="2785" w:type="dxa"/>
            <w:tcBorders>
              <w:top w:val="nil"/>
              <w:left w:val="nil"/>
              <w:bottom w:val="nil"/>
              <w:right w:val="nil"/>
            </w:tcBorders>
            <w:shd w:val="clear" w:color="auto" w:fill="auto"/>
            <w:noWrap/>
            <w:vAlign w:val="bottom"/>
            <w:hideMark/>
          </w:tcPr>
          <w:p w14:paraId="7429E0C1" w14:textId="77777777" w:rsidR="00CD2482" w:rsidRPr="00CD2482" w:rsidRDefault="00CD2482" w:rsidP="00CD2482">
            <w:pPr>
              <w:spacing w:after="0" w:line="240" w:lineRule="auto"/>
              <w:rPr>
                <w:rFonts w:ascii="Times New Roman" w:eastAsia="Times New Roman" w:hAnsi="Times New Roman" w:cs="Times New Roman"/>
                <w:sz w:val="20"/>
                <w:szCs w:val="20"/>
                <w:lang w:eastAsia="cs-CZ"/>
              </w:rPr>
            </w:pPr>
          </w:p>
        </w:tc>
        <w:tc>
          <w:tcPr>
            <w:tcW w:w="1416" w:type="dxa"/>
            <w:tcBorders>
              <w:top w:val="nil"/>
              <w:left w:val="nil"/>
              <w:bottom w:val="nil"/>
              <w:right w:val="nil"/>
            </w:tcBorders>
            <w:shd w:val="clear" w:color="auto" w:fill="auto"/>
            <w:noWrap/>
            <w:vAlign w:val="bottom"/>
            <w:hideMark/>
          </w:tcPr>
          <w:p w14:paraId="05A03085" w14:textId="77777777" w:rsidR="00CD2482" w:rsidRPr="00CD2482" w:rsidRDefault="00CD2482" w:rsidP="00CD2482">
            <w:pPr>
              <w:spacing w:after="0" w:line="240" w:lineRule="auto"/>
              <w:rPr>
                <w:rFonts w:ascii="Times New Roman" w:eastAsia="Times New Roman" w:hAnsi="Times New Roman" w:cs="Times New Roman"/>
                <w:sz w:val="20"/>
                <w:szCs w:val="20"/>
                <w:lang w:eastAsia="cs-CZ"/>
              </w:rPr>
            </w:pPr>
          </w:p>
        </w:tc>
        <w:tc>
          <w:tcPr>
            <w:tcW w:w="2040" w:type="dxa"/>
            <w:tcBorders>
              <w:top w:val="nil"/>
              <w:left w:val="nil"/>
              <w:bottom w:val="nil"/>
              <w:right w:val="nil"/>
            </w:tcBorders>
            <w:shd w:val="clear" w:color="auto" w:fill="auto"/>
            <w:noWrap/>
            <w:vAlign w:val="bottom"/>
            <w:hideMark/>
          </w:tcPr>
          <w:p w14:paraId="6D722113" w14:textId="77777777" w:rsidR="00CD2482" w:rsidRPr="00CD2482" w:rsidRDefault="00CD2482" w:rsidP="00CD2482">
            <w:pPr>
              <w:spacing w:after="0" w:line="240" w:lineRule="auto"/>
              <w:rPr>
                <w:rFonts w:ascii="Times New Roman" w:eastAsia="Times New Roman" w:hAnsi="Times New Roman" w:cs="Times New Roman"/>
                <w:sz w:val="20"/>
                <w:szCs w:val="20"/>
                <w:lang w:eastAsia="cs-CZ"/>
              </w:rPr>
            </w:pPr>
          </w:p>
        </w:tc>
        <w:tc>
          <w:tcPr>
            <w:tcW w:w="1830" w:type="dxa"/>
            <w:tcBorders>
              <w:top w:val="nil"/>
              <w:left w:val="nil"/>
              <w:bottom w:val="nil"/>
              <w:right w:val="nil"/>
            </w:tcBorders>
            <w:shd w:val="clear" w:color="auto" w:fill="auto"/>
            <w:noWrap/>
            <w:vAlign w:val="bottom"/>
            <w:hideMark/>
          </w:tcPr>
          <w:p w14:paraId="4E6BD009" w14:textId="77777777" w:rsidR="00CD2482" w:rsidRPr="00CD2482" w:rsidRDefault="00CD2482" w:rsidP="00CD2482">
            <w:pPr>
              <w:spacing w:after="0" w:line="240" w:lineRule="auto"/>
              <w:rPr>
                <w:rFonts w:ascii="Times New Roman" w:eastAsia="Times New Roman" w:hAnsi="Times New Roman" w:cs="Times New Roman"/>
                <w:sz w:val="20"/>
                <w:szCs w:val="20"/>
                <w:lang w:eastAsia="cs-CZ"/>
              </w:rPr>
            </w:pPr>
          </w:p>
        </w:tc>
        <w:tc>
          <w:tcPr>
            <w:tcW w:w="722" w:type="dxa"/>
            <w:tcBorders>
              <w:top w:val="nil"/>
              <w:left w:val="nil"/>
              <w:bottom w:val="nil"/>
              <w:right w:val="nil"/>
            </w:tcBorders>
            <w:shd w:val="clear" w:color="auto" w:fill="auto"/>
            <w:noWrap/>
            <w:vAlign w:val="bottom"/>
            <w:hideMark/>
          </w:tcPr>
          <w:p w14:paraId="1918C61C" w14:textId="77777777" w:rsidR="00CD2482" w:rsidRPr="00CD2482" w:rsidRDefault="00CD2482" w:rsidP="00CD2482">
            <w:pPr>
              <w:spacing w:after="0" w:line="240" w:lineRule="auto"/>
              <w:jc w:val="right"/>
              <w:rPr>
                <w:rFonts w:ascii="Calibri" w:eastAsia="Times New Roman" w:hAnsi="Calibri" w:cs="Arial"/>
                <w:lang w:eastAsia="cs-CZ"/>
              </w:rPr>
            </w:pPr>
            <w:r w:rsidRPr="00CD2482">
              <w:rPr>
                <w:rFonts w:ascii="Calibri" w:eastAsia="Times New Roman" w:hAnsi="Calibri" w:cs="Arial"/>
                <w:lang w:eastAsia="cs-CZ"/>
              </w:rPr>
              <w:t xml:space="preserve"> v Kč</w:t>
            </w:r>
          </w:p>
        </w:tc>
      </w:tr>
      <w:tr w:rsidR="00CD2482" w:rsidRPr="00CD2482" w14:paraId="227D00F3" w14:textId="77777777" w:rsidTr="00955D47">
        <w:trPr>
          <w:trHeight w:val="705"/>
        </w:trPr>
        <w:tc>
          <w:tcPr>
            <w:tcW w:w="826" w:type="dxa"/>
            <w:tcBorders>
              <w:top w:val="single" w:sz="8" w:space="0" w:color="auto"/>
              <w:left w:val="single" w:sz="8" w:space="0" w:color="auto"/>
              <w:bottom w:val="single" w:sz="8" w:space="0" w:color="auto"/>
              <w:right w:val="single" w:sz="8" w:space="0" w:color="auto"/>
            </w:tcBorders>
            <w:shd w:val="clear" w:color="000000" w:fill="CCFFCC"/>
            <w:noWrap/>
            <w:vAlign w:val="center"/>
            <w:hideMark/>
          </w:tcPr>
          <w:p w14:paraId="2B35F57C"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Paragraf</w:t>
            </w:r>
          </w:p>
        </w:tc>
        <w:tc>
          <w:tcPr>
            <w:tcW w:w="2785" w:type="dxa"/>
            <w:tcBorders>
              <w:top w:val="single" w:sz="8" w:space="0" w:color="auto"/>
              <w:left w:val="nil"/>
              <w:bottom w:val="single" w:sz="8" w:space="0" w:color="auto"/>
              <w:right w:val="single" w:sz="8" w:space="0" w:color="auto"/>
            </w:tcBorders>
            <w:shd w:val="clear" w:color="000000" w:fill="CCFFCC"/>
            <w:noWrap/>
            <w:vAlign w:val="center"/>
            <w:hideMark/>
          </w:tcPr>
          <w:p w14:paraId="50177342"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Oblast rozpočtu</w:t>
            </w:r>
          </w:p>
        </w:tc>
        <w:tc>
          <w:tcPr>
            <w:tcW w:w="1416" w:type="dxa"/>
            <w:tcBorders>
              <w:top w:val="single" w:sz="8" w:space="0" w:color="auto"/>
              <w:left w:val="nil"/>
              <w:bottom w:val="single" w:sz="8" w:space="0" w:color="auto"/>
              <w:right w:val="single" w:sz="8" w:space="0" w:color="auto"/>
            </w:tcBorders>
            <w:shd w:val="clear" w:color="000000" w:fill="CCFFCC"/>
            <w:vAlign w:val="center"/>
            <w:hideMark/>
          </w:tcPr>
          <w:p w14:paraId="2EAD8352"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Schválený rozpočet</w:t>
            </w:r>
          </w:p>
        </w:tc>
        <w:tc>
          <w:tcPr>
            <w:tcW w:w="2040" w:type="dxa"/>
            <w:tcBorders>
              <w:top w:val="single" w:sz="8" w:space="0" w:color="auto"/>
              <w:left w:val="nil"/>
              <w:bottom w:val="single" w:sz="8" w:space="0" w:color="auto"/>
              <w:right w:val="single" w:sz="8" w:space="0" w:color="auto"/>
            </w:tcBorders>
            <w:shd w:val="clear" w:color="000000" w:fill="CCFFCC"/>
            <w:vAlign w:val="center"/>
            <w:hideMark/>
          </w:tcPr>
          <w:p w14:paraId="51939A2F"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Rozpočet po úpravě</w:t>
            </w:r>
          </w:p>
        </w:tc>
        <w:tc>
          <w:tcPr>
            <w:tcW w:w="1830" w:type="dxa"/>
            <w:tcBorders>
              <w:top w:val="single" w:sz="8" w:space="0" w:color="auto"/>
              <w:left w:val="nil"/>
              <w:bottom w:val="single" w:sz="8" w:space="0" w:color="auto"/>
              <w:right w:val="single" w:sz="8" w:space="0" w:color="auto"/>
            </w:tcBorders>
            <w:shd w:val="clear" w:color="000000" w:fill="CCFFCC"/>
            <w:vAlign w:val="center"/>
            <w:hideMark/>
          </w:tcPr>
          <w:p w14:paraId="268EDC29"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 xml:space="preserve">Skutečnost </w:t>
            </w:r>
          </w:p>
        </w:tc>
        <w:tc>
          <w:tcPr>
            <w:tcW w:w="722" w:type="dxa"/>
            <w:tcBorders>
              <w:top w:val="single" w:sz="8" w:space="0" w:color="auto"/>
              <w:left w:val="nil"/>
              <w:bottom w:val="single" w:sz="8" w:space="0" w:color="auto"/>
              <w:right w:val="single" w:sz="8" w:space="0" w:color="auto"/>
            </w:tcBorders>
            <w:shd w:val="clear" w:color="000000" w:fill="CCFFCC"/>
            <w:vAlign w:val="center"/>
            <w:hideMark/>
          </w:tcPr>
          <w:p w14:paraId="51A0D7A0"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 plnění</w:t>
            </w:r>
          </w:p>
        </w:tc>
      </w:tr>
      <w:tr w:rsidR="00CD2482" w:rsidRPr="00CD2482" w14:paraId="0D434D39" w14:textId="77777777" w:rsidTr="00955D47">
        <w:trPr>
          <w:trHeight w:val="360"/>
        </w:trPr>
        <w:tc>
          <w:tcPr>
            <w:tcW w:w="826" w:type="dxa"/>
            <w:tcBorders>
              <w:top w:val="nil"/>
              <w:left w:val="nil"/>
              <w:bottom w:val="nil"/>
              <w:right w:val="nil"/>
            </w:tcBorders>
            <w:shd w:val="clear" w:color="auto" w:fill="auto"/>
            <w:noWrap/>
            <w:vAlign w:val="center"/>
            <w:hideMark/>
          </w:tcPr>
          <w:p w14:paraId="309A2C5E" w14:textId="77777777" w:rsidR="00CD2482" w:rsidRPr="00CD2482" w:rsidRDefault="00CD2482" w:rsidP="00CD2482">
            <w:pPr>
              <w:spacing w:after="0" w:line="240" w:lineRule="auto"/>
              <w:jc w:val="center"/>
              <w:rPr>
                <w:rFonts w:ascii="Calibri" w:eastAsia="Times New Roman" w:hAnsi="Calibri" w:cs="Arial"/>
                <w:sz w:val="20"/>
                <w:szCs w:val="20"/>
                <w:lang w:eastAsia="cs-CZ"/>
              </w:rPr>
            </w:pPr>
          </w:p>
        </w:tc>
        <w:tc>
          <w:tcPr>
            <w:tcW w:w="6241" w:type="dxa"/>
            <w:gridSpan w:val="3"/>
            <w:tcBorders>
              <w:top w:val="nil"/>
              <w:left w:val="nil"/>
              <w:bottom w:val="nil"/>
              <w:right w:val="nil"/>
            </w:tcBorders>
            <w:shd w:val="clear" w:color="auto" w:fill="auto"/>
            <w:noWrap/>
            <w:vAlign w:val="bottom"/>
            <w:hideMark/>
          </w:tcPr>
          <w:p w14:paraId="25A4CD92" w14:textId="77777777" w:rsidR="00CD2482" w:rsidRPr="00CD2482" w:rsidRDefault="00CD2482" w:rsidP="00CD2482">
            <w:pPr>
              <w:spacing w:after="0" w:line="240" w:lineRule="auto"/>
              <w:rPr>
                <w:rFonts w:ascii="Calibri" w:eastAsia="Times New Roman" w:hAnsi="Calibri" w:cs="Arial"/>
                <w:b/>
                <w:bCs/>
                <w:lang w:eastAsia="cs-CZ"/>
              </w:rPr>
            </w:pPr>
            <w:r w:rsidRPr="00CD2482">
              <w:rPr>
                <w:rFonts w:ascii="Calibri" w:eastAsia="Times New Roman" w:hAnsi="Calibri" w:cs="Arial"/>
                <w:b/>
                <w:bCs/>
                <w:lang w:eastAsia="cs-CZ"/>
              </w:rPr>
              <w:t>Kapitálové (investiční) výdaje - čerpání dle kapitol</w:t>
            </w:r>
          </w:p>
        </w:tc>
        <w:tc>
          <w:tcPr>
            <w:tcW w:w="1830" w:type="dxa"/>
            <w:tcBorders>
              <w:top w:val="nil"/>
              <w:left w:val="nil"/>
              <w:bottom w:val="nil"/>
              <w:right w:val="nil"/>
            </w:tcBorders>
            <w:shd w:val="clear" w:color="auto" w:fill="auto"/>
            <w:noWrap/>
            <w:vAlign w:val="center"/>
            <w:hideMark/>
          </w:tcPr>
          <w:p w14:paraId="3E6F0F17" w14:textId="77777777" w:rsidR="00CD2482" w:rsidRPr="00CD2482" w:rsidRDefault="00CD2482" w:rsidP="00CD2482">
            <w:pPr>
              <w:spacing w:after="0" w:line="240" w:lineRule="auto"/>
              <w:rPr>
                <w:rFonts w:ascii="Calibri" w:eastAsia="Times New Roman" w:hAnsi="Calibri" w:cs="Arial"/>
                <w:b/>
                <w:bCs/>
                <w:lang w:eastAsia="cs-CZ"/>
              </w:rPr>
            </w:pPr>
          </w:p>
        </w:tc>
        <w:tc>
          <w:tcPr>
            <w:tcW w:w="722" w:type="dxa"/>
            <w:tcBorders>
              <w:top w:val="nil"/>
              <w:left w:val="nil"/>
              <w:bottom w:val="nil"/>
              <w:right w:val="nil"/>
            </w:tcBorders>
            <w:shd w:val="clear" w:color="auto" w:fill="auto"/>
            <w:noWrap/>
            <w:vAlign w:val="center"/>
            <w:hideMark/>
          </w:tcPr>
          <w:p w14:paraId="45A2AFE9" w14:textId="77777777" w:rsidR="00CD2482" w:rsidRPr="00CD2482" w:rsidRDefault="00CD2482" w:rsidP="00CD2482">
            <w:pPr>
              <w:spacing w:after="0" w:line="240" w:lineRule="auto"/>
              <w:jc w:val="right"/>
              <w:rPr>
                <w:rFonts w:ascii="Times New Roman" w:eastAsia="Times New Roman" w:hAnsi="Times New Roman" w:cs="Times New Roman"/>
                <w:sz w:val="20"/>
                <w:szCs w:val="20"/>
                <w:lang w:eastAsia="cs-CZ"/>
              </w:rPr>
            </w:pPr>
          </w:p>
        </w:tc>
      </w:tr>
      <w:tr w:rsidR="00CD2482" w:rsidRPr="00CD2482" w14:paraId="2712141D" w14:textId="77777777" w:rsidTr="00955D47">
        <w:trPr>
          <w:trHeight w:val="300"/>
        </w:trPr>
        <w:tc>
          <w:tcPr>
            <w:tcW w:w="826"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69F6336F"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1201</w:t>
            </w:r>
          </w:p>
        </w:tc>
        <w:tc>
          <w:tcPr>
            <w:tcW w:w="2785" w:type="dxa"/>
            <w:tcBorders>
              <w:top w:val="single" w:sz="8" w:space="0" w:color="auto"/>
              <w:left w:val="nil"/>
              <w:bottom w:val="single" w:sz="4" w:space="0" w:color="auto"/>
              <w:right w:val="single" w:sz="4" w:space="0" w:color="auto"/>
            </w:tcBorders>
            <w:shd w:val="clear" w:color="auto" w:fill="auto"/>
            <w:vAlign w:val="bottom"/>
            <w:hideMark/>
          </w:tcPr>
          <w:p w14:paraId="25201E37" w14:textId="77777777" w:rsidR="00CD2482" w:rsidRPr="00CD2482" w:rsidRDefault="00CD2482" w:rsidP="00CD2482">
            <w:pPr>
              <w:spacing w:after="0" w:line="240" w:lineRule="auto"/>
              <w:rPr>
                <w:rFonts w:ascii="Calibri" w:eastAsia="Times New Roman" w:hAnsi="Calibri" w:cs="Arial"/>
                <w:sz w:val="20"/>
                <w:szCs w:val="20"/>
                <w:lang w:eastAsia="cs-CZ"/>
              </w:rPr>
            </w:pPr>
            <w:r w:rsidRPr="00CD2482">
              <w:rPr>
                <w:rFonts w:ascii="Calibri" w:eastAsia="Times New Roman" w:hAnsi="Calibri" w:cs="Arial"/>
                <w:sz w:val="20"/>
                <w:szCs w:val="20"/>
                <w:lang w:eastAsia="cs-CZ"/>
              </w:rPr>
              <w:t>Činnost Zastupitelstva</w:t>
            </w:r>
          </w:p>
        </w:tc>
        <w:tc>
          <w:tcPr>
            <w:tcW w:w="1416" w:type="dxa"/>
            <w:tcBorders>
              <w:top w:val="single" w:sz="8" w:space="0" w:color="auto"/>
              <w:left w:val="nil"/>
              <w:bottom w:val="single" w:sz="4" w:space="0" w:color="auto"/>
              <w:right w:val="single" w:sz="4" w:space="0" w:color="auto"/>
            </w:tcBorders>
            <w:shd w:val="clear" w:color="auto" w:fill="auto"/>
            <w:noWrap/>
            <w:vAlign w:val="bottom"/>
            <w:hideMark/>
          </w:tcPr>
          <w:p w14:paraId="5C33E53E"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10 000 000</w:t>
            </w:r>
          </w:p>
        </w:tc>
        <w:tc>
          <w:tcPr>
            <w:tcW w:w="2040" w:type="dxa"/>
            <w:tcBorders>
              <w:top w:val="single" w:sz="8" w:space="0" w:color="auto"/>
              <w:left w:val="nil"/>
              <w:bottom w:val="single" w:sz="4" w:space="0" w:color="auto"/>
              <w:right w:val="single" w:sz="4" w:space="0" w:color="auto"/>
            </w:tcBorders>
            <w:shd w:val="clear" w:color="auto" w:fill="auto"/>
            <w:noWrap/>
            <w:vAlign w:val="bottom"/>
            <w:hideMark/>
          </w:tcPr>
          <w:p w14:paraId="4DEE5D61"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459 800,00</w:t>
            </w:r>
          </w:p>
        </w:tc>
        <w:tc>
          <w:tcPr>
            <w:tcW w:w="1830" w:type="dxa"/>
            <w:tcBorders>
              <w:top w:val="single" w:sz="8" w:space="0" w:color="auto"/>
              <w:left w:val="nil"/>
              <w:bottom w:val="single" w:sz="4" w:space="0" w:color="auto"/>
              <w:right w:val="single" w:sz="4" w:space="0" w:color="auto"/>
            </w:tcBorders>
            <w:shd w:val="clear" w:color="auto" w:fill="auto"/>
            <w:noWrap/>
            <w:vAlign w:val="bottom"/>
            <w:hideMark/>
          </w:tcPr>
          <w:p w14:paraId="4C81349E"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459 800,00</w:t>
            </w:r>
          </w:p>
        </w:tc>
        <w:tc>
          <w:tcPr>
            <w:tcW w:w="722" w:type="dxa"/>
            <w:tcBorders>
              <w:top w:val="single" w:sz="8" w:space="0" w:color="auto"/>
              <w:left w:val="nil"/>
              <w:bottom w:val="nil"/>
              <w:right w:val="single" w:sz="8" w:space="0" w:color="auto"/>
            </w:tcBorders>
            <w:shd w:val="clear" w:color="auto" w:fill="auto"/>
            <w:noWrap/>
            <w:vAlign w:val="bottom"/>
            <w:hideMark/>
          </w:tcPr>
          <w:p w14:paraId="13CC7E33"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100,0</w:t>
            </w:r>
          </w:p>
        </w:tc>
      </w:tr>
      <w:tr w:rsidR="00CD2482" w:rsidRPr="00CD2482" w14:paraId="2506F036" w14:textId="77777777" w:rsidTr="00955D47">
        <w:trPr>
          <w:trHeight w:val="30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7B9A6F1A"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1202</w:t>
            </w:r>
          </w:p>
        </w:tc>
        <w:tc>
          <w:tcPr>
            <w:tcW w:w="2785" w:type="dxa"/>
            <w:tcBorders>
              <w:top w:val="nil"/>
              <w:left w:val="nil"/>
              <w:bottom w:val="single" w:sz="4" w:space="0" w:color="auto"/>
              <w:right w:val="single" w:sz="4" w:space="0" w:color="auto"/>
            </w:tcBorders>
            <w:shd w:val="clear" w:color="auto" w:fill="auto"/>
            <w:vAlign w:val="bottom"/>
            <w:hideMark/>
          </w:tcPr>
          <w:p w14:paraId="6EA53F17" w14:textId="77777777" w:rsidR="00CD2482" w:rsidRPr="00CD2482" w:rsidRDefault="00CD2482" w:rsidP="00CD2482">
            <w:pPr>
              <w:spacing w:after="0" w:line="240" w:lineRule="auto"/>
              <w:rPr>
                <w:rFonts w:ascii="Calibri" w:eastAsia="Times New Roman" w:hAnsi="Calibri" w:cs="Arial"/>
                <w:sz w:val="20"/>
                <w:szCs w:val="20"/>
                <w:lang w:eastAsia="cs-CZ"/>
              </w:rPr>
            </w:pPr>
            <w:r w:rsidRPr="00CD2482">
              <w:rPr>
                <w:rFonts w:ascii="Calibri" w:eastAsia="Times New Roman" w:hAnsi="Calibri" w:cs="Arial"/>
                <w:sz w:val="20"/>
                <w:szCs w:val="20"/>
                <w:lang w:eastAsia="cs-CZ"/>
              </w:rPr>
              <w:t>Činnost Krajského úřadu</w:t>
            </w:r>
          </w:p>
        </w:tc>
        <w:tc>
          <w:tcPr>
            <w:tcW w:w="1416" w:type="dxa"/>
            <w:tcBorders>
              <w:top w:val="nil"/>
              <w:left w:val="nil"/>
              <w:bottom w:val="single" w:sz="4" w:space="0" w:color="auto"/>
              <w:right w:val="single" w:sz="4" w:space="0" w:color="auto"/>
            </w:tcBorders>
            <w:shd w:val="clear" w:color="auto" w:fill="auto"/>
            <w:noWrap/>
            <w:vAlign w:val="bottom"/>
            <w:hideMark/>
          </w:tcPr>
          <w:p w14:paraId="54723EEE"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5 000 000</w:t>
            </w:r>
          </w:p>
        </w:tc>
        <w:tc>
          <w:tcPr>
            <w:tcW w:w="2040" w:type="dxa"/>
            <w:tcBorders>
              <w:top w:val="nil"/>
              <w:left w:val="nil"/>
              <w:bottom w:val="single" w:sz="4" w:space="0" w:color="auto"/>
              <w:right w:val="single" w:sz="4" w:space="0" w:color="auto"/>
            </w:tcBorders>
            <w:shd w:val="clear" w:color="auto" w:fill="auto"/>
            <w:noWrap/>
            <w:vAlign w:val="bottom"/>
            <w:hideMark/>
          </w:tcPr>
          <w:p w14:paraId="3DE507C1"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21 580 000,00</w:t>
            </w:r>
          </w:p>
        </w:tc>
        <w:tc>
          <w:tcPr>
            <w:tcW w:w="1830" w:type="dxa"/>
            <w:tcBorders>
              <w:top w:val="nil"/>
              <w:left w:val="nil"/>
              <w:bottom w:val="single" w:sz="4" w:space="0" w:color="auto"/>
              <w:right w:val="single" w:sz="4" w:space="0" w:color="auto"/>
            </w:tcBorders>
            <w:shd w:val="clear" w:color="auto" w:fill="auto"/>
            <w:noWrap/>
            <w:vAlign w:val="bottom"/>
            <w:hideMark/>
          </w:tcPr>
          <w:p w14:paraId="1667420B"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9 425 252,69</w:t>
            </w:r>
          </w:p>
        </w:tc>
        <w:tc>
          <w:tcPr>
            <w:tcW w:w="722" w:type="dxa"/>
            <w:tcBorders>
              <w:top w:val="single" w:sz="4" w:space="0" w:color="auto"/>
              <w:left w:val="nil"/>
              <w:bottom w:val="single" w:sz="4" w:space="0" w:color="auto"/>
              <w:right w:val="single" w:sz="8" w:space="0" w:color="auto"/>
            </w:tcBorders>
            <w:shd w:val="clear" w:color="auto" w:fill="auto"/>
            <w:noWrap/>
            <w:vAlign w:val="bottom"/>
            <w:hideMark/>
          </w:tcPr>
          <w:p w14:paraId="125D6C0D"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43,7</w:t>
            </w:r>
          </w:p>
        </w:tc>
      </w:tr>
      <w:tr w:rsidR="00CD2482" w:rsidRPr="00CD2482" w14:paraId="1C41C936" w14:textId="77777777" w:rsidTr="00955D47">
        <w:trPr>
          <w:trHeight w:val="30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163A1805"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1203</w:t>
            </w:r>
          </w:p>
        </w:tc>
        <w:tc>
          <w:tcPr>
            <w:tcW w:w="2785" w:type="dxa"/>
            <w:tcBorders>
              <w:top w:val="nil"/>
              <w:left w:val="nil"/>
              <w:bottom w:val="single" w:sz="4" w:space="0" w:color="auto"/>
              <w:right w:val="single" w:sz="4" w:space="0" w:color="auto"/>
            </w:tcBorders>
            <w:shd w:val="clear" w:color="auto" w:fill="auto"/>
            <w:vAlign w:val="bottom"/>
            <w:hideMark/>
          </w:tcPr>
          <w:p w14:paraId="4DB82778" w14:textId="77777777" w:rsidR="00CD2482" w:rsidRPr="00CD2482" w:rsidRDefault="00CD2482" w:rsidP="00CD2482">
            <w:pPr>
              <w:spacing w:after="0" w:line="240" w:lineRule="auto"/>
              <w:rPr>
                <w:rFonts w:ascii="Calibri" w:eastAsia="Times New Roman" w:hAnsi="Calibri" w:cs="Arial"/>
                <w:sz w:val="20"/>
                <w:szCs w:val="20"/>
                <w:lang w:eastAsia="cs-CZ"/>
              </w:rPr>
            </w:pPr>
            <w:r w:rsidRPr="00CD2482">
              <w:rPr>
                <w:rFonts w:ascii="Calibri" w:eastAsia="Times New Roman" w:hAnsi="Calibri" w:cs="Arial"/>
                <w:sz w:val="20"/>
                <w:szCs w:val="20"/>
                <w:lang w:eastAsia="cs-CZ"/>
              </w:rPr>
              <w:t>Informatika</w:t>
            </w:r>
          </w:p>
        </w:tc>
        <w:tc>
          <w:tcPr>
            <w:tcW w:w="1416" w:type="dxa"/>
            <w:tcBorders>
              <w:top w:val="nil"/>
              <w:left w:val="nil"/>
              <w:bottom w:val="single" w:sz="4" w:space="0" w:color="auto"/>
              <w:right w:val="single" w:sz="4" w:space="0" w:color="auto"/>
            </w:tcBorders>
            <w:shd w:val="clear" w:color="auto" w:fill="auto"/>
            <w:noWrap/>
            <w:vAlign w:val="bottom"/>
            <w:hideMark/>
          </w:tcPr>
          <w:p w14:paraId="2CCF1484"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8 500 000</w:t>
            </w:r>
          </w:p>
        </w:tc>
        <w:tc>
          <w:tcPr>
            <w:tcW w:w="2040" w:type="dxa"/>
            <w:tcBorders>
              <w:top w:val="nil"/>
              <w:left w:val="nil"/>
              <w:bottom w:val="single" w:sz="4" w:space="0" w:color="auto"/>
              <w:right w:val="single" w:sz="4" w:space="0" w:color="auto"/>
            </w:tcBorders>
            <w:shd w:val="clear" w:color="auto" w:fill="auto"/>
            <w:noWrap/>
            <w:vAlign w:val="bottom"/>
            <w:hideMark/>
          </w:tcPr>
          <w:p w14:paraId="1F52D157"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20 400 000,00</w:t>
            </w:r>
          </w:p>
        </w:tc>
        <w:tc>
          <w:tcPr>
            <w:tcW w:w="1830" w:type="dxa"/>
            <w:tcBorders>
              <w:top w:val="nil"/>
              <w:left w:val="nil"/>
              <w:bottom w:val="single" w:sz="4" w:space="0" w:color="auto"/>
              <w:right w:val="single" w:sz="4" w:space="0" w:color="auto"/>
            </w:tcBorders>
            <w:shd w:val="clear" w:color="auto" w:fill="auto"/>
            <w:noWrap/>
            <w:vAlign w:val="bottom"/>
            <w:hideMark/>
          </w:tcPr>
          <w:p w14:paraId="4735B1B9"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20 205 539,58</w:t>
            </w:r>
          </w:p>
        </w:tc>
        <w:tc>
          <w:tcPr>
            <w:tcW w:w="722" w:type="dxa"/>
            <w:tcBorders>
              <w:top w:val="nil"/>
              <w:left w:val="nil"/>
              <w:bottom w:val="single" w:sz="4" w:space="0" w:color="auto"/>
              <w:right w:val="single" w:sz="8" w:space="0" w:color="auto"/>
            </w:tcBorders>
            <w:shd w:val="clear" w:color="auto" w:fill="auto"/>
            <w:noWrap/>
            <w:vAlign w:val="bottom"/>
            <w:hideMark/>
          </w:tcPr>
          <w:p w14:paraId="71EFEC1B"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99,0</w:t>
            </w:r>
          </w:p>
        </w:tc>
      </w:tr>
      <w:tr w:rsidR="00CD2482" w:rsidRPr="00CD2482" w14:paraId="209E1194" w14:textId="77777777" w:rsidTr="00955D47">
        <w:trPr>
          <w:trHeight w:val="30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22D0EAC5"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1204</w:t>
            </w:r>
          </w:p>
        </w:tc>
        <w:tc>
          <w:tcPr>
            <w:tcW w:w="2785" w:type="dxa"/>
            <w:tcBorders>
              <w:top w:val="nil"/>
              <w:left w:val="nil"/>
              <w:bottom w:val="single" w:sz="4" w:space="0" w:color="auto"/>
              <w:right w:val="single" w:sz="4" w:space="0" w:color="auto"/>
            </w:tcBorders>
            <w:shd w:val="clear" w:color="auto" w:fill="auto"/>
            <w:vAlign w:val="bottom"/>
            <w:hideMark/>
          </w:tcPr>
          <w:p w14:paraId="43CB4C5A" w14:textId="77777777" w:rsidR="00CD2482" w:rsidRPr="00CD2482" w:rsidRDefault="00CD2482" w:rsidP="00CD2482">
            <w:pPr>
              <w:spacing w:after="0" w:line="240" w:lineRule="auto"/>
              <w:rPr>
                <w:rFonts w:ascii="Calibri" w:eastAsia="Times New Roman" w:hAnsi="Calibri" w:cs="Arial"/>
                <w:sz w:val="20"/>
                <w:szCs w:val="20"/>
                <w:lang w:eastAsia="cs-CZ"/>
              </w:rPr>
            </w:pPr>
            <w:r w:rsidRPr="00CD2482">
              <w:rPr>
                <w:rFonts w:ascii="Calibri" w:eastAsia="Times New Roman" w:hAnsi="Calibri" w:cs="Arial"/>
                <w:sz w:val="20"/>
                <w:szCs w:val="20"/>
                <w:lang w:eastAsia="cs-CZ"/>
              </w:rPr>
              <w:t>Doprava</w:t>
            </w:r>
          </w:p>
        </w:tc>
        <w:tc>
          <w:tcPr>
            <w:tcW w:w="1416" w:type="dxa"/>
            <w:tcBorders>
              <w:top w:val="nil"/>
              <w:left w:val="nil"/>
              <w:bottom w:val="single" w:sz="4" w:space="0" w:color="auto"/>
              <w:right w:val="single" w:sz="4" w:space="0" w:color="auto"/>
            </w:tcBorders>
            <w:shd w:val="clear" w:color="auto" w:fill="auto"/>
            <w:noWrap/>
            <w:vAlign w:val="bottom"/>
            <w:hideMark/>
          </w:tcPr>
          <w:p w14:paraId="693CE8CB"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120 000 000</w:t>
            </w:r>
          </w:p>
        </w:tc>
        <w:tc>
          <w:tcPr>
            <w:tcW w:w="2040" w:type="dxa"/>
            <w:tcBorders>
              <w:top w:val="nil"/>
              <w:left w:val="nil"/>
              <w:bottom w:val="single" w:sz="4" w:space="0" w:color="auto"/>
              <w:right w:val="single" w:sz="4" w:space="0" w:color="auto"/>
            </w:tcBorders>
            <w:shd w:val="clear" w:color="auto" w:fill="auto"/>
            <w:noWrap/>
            <w:vAlign w:val="bottom"/>
            <w:hideMark/>
          </w:tcPr>
          <w:p w14:paraId="60BB9441"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301 927 527,49</w:t>
            </w:r>
          </w:p>
        </w:tc>
        <w:tc>
          <w:tcPr>
            <w:tcW w:w="1830" w:type="dxa"/>
            <w:tcBorders>
              <w:top w:val="nil"/>
              <w:left w:val="nil"/>
              <w:bottom w:val="single" w:sz="4" w:space="0" w:color="auto"/>
              <w:right w:val="single" w:sz="4" w:space="0" w:color="auto"/>
            </w:tcBorders>
            <w:shd w:val="clear" w:color="auto" w:fill="auto"/>
            <w:noWrap/>
            <w:vAlign w:val="bottom"/>
            <w:hideMark/>
          </w:tcPr>
          <w:p w14:paraId="173359A8"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220 555 066,67</w:t>
            </w:r>
          </w:p>
        </w:tc>
        <w:tc>
          <w:tcPr>
            <w:tcW w:w="722" w:type="dxa"/>
            <w:tcBorders>
              <w:top w:val="nil"/>
              <w:left w:val="nil"/>
              <w:bottom w:val="single" w:sz="4" w:space="0" w:color="auto"/>
              <w:right w:val="single" w:sz="8" w:space="0" w:color="auto"/>
            </w:tcBorders>
            <w:shd w:val="clear" w:color="auto" w:fill="auto"/>
            <w:noWrap/>
            <w:vAlign w:val="bottom"/>
            <w:hideMark/>
          </w:tcPr>
          <w:p w14:paraId="280345EB"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73,0</w:t>
            </w:r>
          </w:p>
        </w:tc>
      </w:tr>
      <w:tr w:rsidR="00CD2482" w:rsidRPr="00CD2482" w14:paraId="03808848" w14:textId="77777777" w:rsidTr="00955D47">
        <w:trPr>
          <w:trHeight w:val="30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6B151FFF"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1205</w:t>
            </w:r>
          </w:p>
        </w:tc>
        <w:tc>
          <w:tcPr>
            <w:tcW w:w="2785" w:type="dxa"/>
            <w:tcBorders>
              <w:top w:val="nil"/>
              <w:left w:val="nil"/>
              <w:bottom w:val="single" w:sz="4" w:space="0" w:color="auto"/>
              <w:right w:val="single" w:sz="4" w:space="0" w:color="auto"/>
            </w:tcBorders>
            <w:shd w:val="clear" w:color="auto" w:fill="auto"/>
            <w:vAlign w:val="bottom"/>
            <w:hideMark/>
          </w:tcPr>
          <w:p w14:paraId="2479738C" w14:textId="77777777" w:rsidR="00CD2482" w:rsidRPr="00CD2482" w:rsidRDefault="00CD2482" w:rsidP="00CD2482">
            <w:pPr>
              <w:spacing w:after="0" w:line="240" w:lineRule="auto"/>
              <w:rPr>
                <w:rFonts w:ascii="Calibri" w:eastAsia="Times New Roman" w:hAnsi="Calibri" w:cs="Arial"/>
                <w:sz w:val="20"/>
                <w:szCs w:val="20"/>
                <w:lang w:eastAsia="cs-CZ"/>
              </w:rPr>
            </w:pPr>
            <w:r w:rsidRPr="00CD2482">
              <w:rPr>
                <w:rFonts w:ascii="Calibri" w:eastAsia="Times New Roman" w:hAnsi="Calibri" w:cs="Arial"/>
                <w:sz w:val="20"/>
                <w:szCs w:val="20"/>
                <w:lang w:eastAsia="cs-CZ"/>
              </w:rPr>
              <w:t>Školství</w:t>
            </w:r>
          </w:p>
        </w:tc>
        <w:tc>
          <w:tcPr>
            <w:tcW w:w="1416" w:type="dxa"/>
            <w:tcBorders>
              <w:top w:val="nil"/>
              <w:left w:val="nil"/>
              <w:bottom w:val="single" w:sz="4" w:space="0" w:color="auto"/>
              <w:right w:val="single" w:sz="4" w:space="0" w:color="auto"/>
            </w:tcBorders>
            <w:shd w:val="clear" w:color="auto" w:fill="auto"/>
            <w:noWrap/>
            <w:vAlign w:val="bottom"/>
            <w:hideMark/>
          </w:tcPr>
          <w:p w14:paraId="625289B7"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15 000 000</w:t>
            </w:r>
          </w:p>
        </w:tc>
        <w:tc>
          <w:tcPr>
            <w:tcW w:w="2040" w:type="dxa"/>
            <w:tcBorders>
              <w:top w:val="nil"/>
              <w:left w:val="nil"/>
              <w:bottom w:val="single" w:sz="4" w:space="0" w:color="auto"/>
              <w:right w:val="single" w:sz="4" w:space="0" w:color="auto"/>
            </w:tcBorders>
            <w:shd w:val="clear" w:color="auto" w:fill="auto"/>
            <w:noWrap/>
            <w:vAlign w:val="bottom"/>
            <w:hideMark/>
          </w:tcPr>
          <w:p w14:paraId="137A12BE"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85 000 000,00</w:t>
            </w:r>
          </w:p>
        </w:tc>
        <w:tc>
          <w:tcPr>
            <w:tcW w:w="1830" w:type="dxa"/>
            <w:tcBorders>
              <w:top w:val="nil"/>
              <w:left w:val="nil"/>
              <w:bottom w:val="single" w:sz="4" w:space="0" w:color="auto"/>
              <w:right w:val="single" w:sz="4" w:space="0" w:color="auto"/>
            </w:tcBorders>
            <w:shd w:val="clear" w:color="auto" w:fill="auto"/>
            <w:noWrap/>
            <w:vAlign w:val="bottom"/>
            <w:hideMark/>
          </w:tcPr>
          <w:p w14:paraId="4D2DADA8"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59 398 928,97</w:t>
            </w:r>
          </w:p>
        </w:tc>
        <w:tc>
          <w:tcPr>
            <w:tcW w:w="722" w:type="dxa"/>
            <w:tcBorders>
              <w:top w:val="nil"/>
              <w:left w:val="nil"/>
              <w:bottom w:val="single" w:sz="4" w:space="0" w:color="auto"/>
              <w:right w:val="single" w:sz="8" w:space="0" w:color="auto"/>
            </w:tcBorders>
            <w:shd w:val="clear" w:color="auto" w:fill="auto"/>
            <w:noWrap/>
            <w:vAlign w:val="bottom"/>
            <w:hideMark/>
          </w:tcPr>
          <w:p w14:paraId="6C6BED6E"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69,9</w:t>
            </w:r>
          </w:p>
        </w:tc>
      </w:tr>
      <w:tr w:rsidR="00CD2482" w:rsidRPr="00CD2482" w14:paraId="16E253A0" w14:textId="77777777" w:rsidTr="00955D47">
        <w:trPr>
          <w:trHeight w:val="30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74F8D43F"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1206</w:t>
            </w:r>
          </w:p>
        </w:tc>
        <w:tc>
          <w:tcPr>
            <w:tcW w:w="2785" w:type="dxa"/>
            <w:tcBorders>
              <w:top w:val="nil"/>
              <w:left w:val="nil"/>
              <w:bottom w:val="single" w:sz="4" w:space="0" w:color="auto"/>
              <w:right w:val="single" w:sz="4" w:space="0" w:color="auto"/>
            </w:tcBorders>
            <w:shd w:val="clear" w:color="auto" w:fill="auto"/>
            <w:vAlign w:val="bottom"/>
            <w:hideMark/>
          </w:tcPr>
          <w:p w14:paraId="08F36788" w14:textId="77777777" w:rsidR="00CD2482" w:rsidRPr="00CD2482" w:rsidRDefault="00CD2482" w:rsidP="00CD2482">
            <w:pPr>
              <w:spacing w:after="0" w:line="240" w:lineRule="auto"/>
              <w:rPr>
                <w:rFonts w:ascii="Calibri" w:eastAsia="Times New Roman" w:hAnsi="Calibri" w:cs="Arial"/>
                <w:sz w:val="20"/>
                <w:szCs w:val="20"/>
                <w:lang w:eastAsia="cs-CZ"/>
              </w:rPr>
            </w:pPr>
            <w:r w:rsidRPr="00CD2482">
              <w:rPr>
                <w:rFonts w:ascii="Calibri" w:eastAsia="Times New Roman" w:hAnsi="Calibri" w:cs="Arial"/>
                <w:sz w:val="20"/>
                <w:szCs w:val="20"/>
                <w:lang w:eastAsia="cs-CZ"/>
              </w:rPr>
              <w:t>Kultura a památkové péče</w:t>
            </w:r>
          </w:p>
        </w:tc>
        <w:tc>
          <w:tcPr>
            <w:tcW w:w="1416" w:type="dxa"/>
            <w:tcBorders>
              <w:top w:val="nil"/>
              <w:left w:val="nil"/>
              <w:bottom w:val="single" w:sz="4" w:space="0" w:color="auto"/>
              <w:right w:val="single" w:sz="4" w:space="0" w:color="auto"/>
            </w:tcBorders>
            <w:shd w:val="clear" w:color="auto" w:fill="auto"/>
            <w:noWrap/>
            <w:vAlign w:val="bottom"/>
            <w:hideMark/>
          </w:tcPr>
          <w:p w14:paraId="7CD77C95"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12 000 000</w:t>
            </w:r>
          </w:p>
        </w:tc>
        <w:tc>
          <w:tcPr>
            <w:tcW w:w="2040" w:type="dxa"/>
            <w:tcBorders>
              <w:top w:val="nil"/>
              <w:left w:val="nil"/>
              <w:bottom w:val="single" w:sz="4" w:space="0" w:color="auto"/>
              <w:right w:val="single" w:sz="4" w:space="0" w:color="auto"/>
            </w:tcBorders>
            <w:shd w:val="clear" w:color="auto" w:fill="auto"/>
            <w:noWrap/>
            <w:vAlign w:val="bottom"/>
            <w:hideMark/>
          </w:tcPr>
          <w:p w14:paraId="71D35876"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40 000 000,00</w:t>
            </w:r>
          </w:p>
        </w:tc>
        <w:tc>
          <w:tcPr>
            <w:tcW w:w="1830" w:type="dxa"/>
            <w:tcBorders>
              <w:top w:val="nil"/>
              <w:left w:val="nil"/>
              <w:bottom w:val="single" w:sz="4" w:space="0" w:color="auto"/>
              <w:right w:val="single" w:sz="4" w:space="0" w:color="auto"/>
            </w:tcBorders>
            <w:shd w:val="clear" w:color="auto" w:fill="auto"/>
            <w:noWrap/>
            <w:vAlign w:val="bottom"/>
            <w:hideMark/>
          </w:tcPr>
          <w:p w14:paraId="53F59C47"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33 134 512,80</w:t>
            </w:r>
          </w:p>
        </w:tc>
        <w:tc>
          <w:tcPr>
            <w:tcW w:w="722" w:type="dxa"/>
            <w:tcBorders>
              <w:top w:val="nil"/>
              <w:left w:val="nil"/>
              <w:bottom w:val="single" w:sz="4" w:space="0" w:color="auto"/>
              <w:right w:val="single" w:sz="8" w:space="0" w:color="auto"/>
            </w:tcBorders>
            <w:shd w:val="clear" w:color="auto" w:fill="auto"/>
            <w:noWrap/>
            <w:vAlign w:val="bottom"/>
            <w:hideMark/>
          </w:tcPr>
          <w:p w14:paraId="107941E9"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82,8</w:t>
            </w:r>
          </w:p>
        </w:tc>
      </w:tr>
      <w:tr w:rsidR="00CD2482" w:rsidRPr="00CD2482" w14:paraId="4ED04D96" w14:textId="77777777" w:rsidTr="00955D47">
        <w:trPr>
          <w:trHeight w:val="30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03AEDBA6"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1207</w:t>
            </w:r>
          </w:p>
        </w:tc>
        <w:tc>
          <w:tcPr>
            <w:tcW w:w="2785" w:type="dxa"/>
            <w:tcBorders>
              <w:top w:val="nil"/>
              <w:left w:val="nil"/>
              <w:bottom w:val="single" w:sz="4" w:space="0" w:color="auto"/>
              <w:right w:val="single" w:sz="4" w:space="0" w:color="auto"/>
            </w:tcBorders>
            <w:shd w:val="clear" w:color="auto" w:fill="auto"/>
            <w:vAlign w:val="bottom"/>
            <w:hideMark/>
          </w:tcPr>
          <w:p w14:paraId="662D1D75" w14:textId="77777777" w:rsidR="00CD2482" w:rsidRPr="00CD2482" w:rsidRDefault="00CD2482" w:rsidP="00CD2482">
            <w:pPr>
              <w:spacing w:after="0" w:line="240" w:lineRule="auto"/>
              <w:rPr>
                <w:rFonts w:ascii="Calibri" w:eastAsia="Times New Roman" w:hAnsi="Calibri" w:cs="Arial"/>
                <w:sz w:val="20"/>
                <w:szCs w:val="20"/>
                <w:lang w:eastAsia="cs-CZ"/>
              </w:rPr>
            </w:pPr>
            <w:r w:rsidRPr="00CD2482">
              <w:rPr>
                <w:rFonts w:ascii="Calibri" w:eastAsia="Times New Roman" w:hAnsi="Calibri" w:cs="Arial"/>
                <w:sz w:val="20"/>
                <w:szCs w:val="20"/>
                <w:lang w:eastAsia="cs-CZ"/>
              </w:rPr>
              <w:t>Zdravotnictví</w:t>
            </w:r>
          </w:p>
        </w:tc>
        <w:tc>
          <w:tcPr>
            <w:tcW w:w="1416" w:type="dxa"/>
            <w:tcBorders>
              <w:top w:val="nil"/>
              <w:left w:val="nil"/>
              <w:bottom w:val="single" w:sz="4" w:space="0" w:color="auto"/>
              <w:right w:val="single" w:sz="4" w:space="0" w:color="auto"/>
            </w:tcBorders>
            <w:shd w:val="clear" w:color="auto" w:fill="auto"/>
            <w:noWrap/>
            <w:vAlign w:val="bottom"/>
            <w:hideMark/>
          </w:tcPr>
          <w:p w14:paraId="6BD00D82"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0</w:t>
            </w:r>
          </w:p>
        </w:tc>
        <w:tc>
          <w:tcPr>
            <w:tcW w:w="2040" w:type="dxa"/>
            <w:tcBorders>
              <w:top w:val="nil"/>
              <w:left w:val="nil"/>
              <w:bottom w:val="single" w:sz="4" w:space="0" w:color="auto"/>
              <w:right w:val="single" w:sz="4" w:space="0" w:color="auto"/>
            </w:tcBorders>
            <w:shd w:val="clear" w:color="auto" w:fill="auto"/>
            <w:noWrap/>
            <w:vAlign w:val="bottom"/>
            <w:hideMark/>
          </w:tcPr>
          <w:p w14:paraId="27A325AB"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8 000 000,00</w:t>
            </w:r>
          </w:p>
        </w:tc>
        <w:tc>
          <w:tcPr>
            <w:tcW w:w="1830" w:type="dxa"/>
            <w:tcBorders>
              <w:top w:val="nil"/>
              <w:left w:val="nil"/>
              <w:bottom w:val="single" w:sz="4" w:space="0" w:color="auto"/>
              <w:right w:val="single" w:sz="4" w:space="0" w:color="auto"/>
            </w:tcBorders>
            <w:shd w:val="clear" w:color="auto" w:fill="auto"/>
            <w:noWrap/>
            <w:vAlign w:val="bottom"/>
            <w:hideMark/>
          </w:tcPr>
          <w:p w14:paraId="38E8EB43"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7 630 610,00</w:t>
            </w:r>
          </w:p>
        </w:tc>
        <w:tc>
          <w:tcPr>
            <w:tcW w:w="722" w:type="dxa"/>
            <w:tcBorders>
              <w:top w:val="nil"/>
              <w:left w:val="nil"/>
              <w:bottom w:val="single" w:sz="4" w:space="0" w:color="auto"/>
              <w:right w:val="single" w:sz="8" w:space="0" w:color="auto"/>
            </w:tcBorders>
            <w:shd w:val="clear" w:color="auto" w:fill="auto"/>
            <w:noWrap/>
            <w:vAlign w:val="bottom"/>
            <w:hideMark/>
          </w:tcPr>
          <w:p w14:paraId="5A963085"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95,4</w:t>
            </w:r>
          </w:p>
        </w:tc>
      </w:tr>
      <w:tr w:rsidR="00CD2482" w:rsidRPr="00CD2482" w14:paraId="69DC50C4" w14:textId="77777777" w:rsidTr="00955D47">
        <w:trPr>
          <w:trHeight w:val="30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283D4338"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1208</w:t>
            </w:r>
          </w:p>
        </w:tc>
        <w:tc>
          <w:tcPr>
            <w:tcW w:w="2785" w:type="dxa"/>
            <w:tcBorders>
              <w:top w:val="nil"/>
              <w:left w:val="nil"/>
              <w:bottom w:val="single" w:sz="4" w:space="0" w:color="auto"/>
              <w:right w:val="single" w:sz="4" w:space="0" w:color="auto"/>
            </w:tcBorders>
            <w:shd w:val="clear" w:color="auto" w:fill="auto"/>
            <w:vAlign w:val="bottom"/>
            <w:hideMark/>
          </w:tcPr>
          <w:p w14:paraId="51487902" w14:textId="77777777" w:rsidR="00CD2482" w:rsidRPr="00CD2482" w:rsidRDefault="00CD2482" w:rsidP="00CD2482">
            <w:pPr>
              <w:spacing w:after="0" w:line="240" w:lineRule="auto"/>
              <w:rPr>
                <w:rFonts w:ascii="Calibri" w:eastAsia="Times New Roman" w:hAnsi="Calibri" w:cs="Arial"/>
                <w:sz w:val="20"/>
                <w:szCs w:val="20"/>
                <w:lang w:eastAsia="cs-CZ"/>
              </w:rPr>
            </w:pPr>
            <w:r w:rsidRPr="00CD2482">
              <w:rPr>
                <w:rFonts w:ascii="Calibri" w:eastAsia="Times New Roman" w:hAnsi="Calibri" w:cs="Arial"/>
                <w:sz w:val="20"/>
                <w:szCs w:val="20"/>
                <w:lang w:eastAsia="cs-CZ"/>
              </w:rPr>
              <w:t>Regionální rozvoj</w:t>
            </w:r>
          </w:p>
        </w:tc>
        <w:tc>
          <w:tcPr>
            <w:tcW w:w="1416" w:type="dxa"/>
            <w:tcBorders>
              <w:top w:val="nil"/>
              <w:left w:val="nil"/>
              <w:bottom w:val="single" w:sz="4" w:space="0" w:color="auto"/>
              <w:right w:val="single" w:sz="4" w:space="0" w:color="auto"/>
            </w:tcBorders>
            <w:shd w:val="clear" w:color="auto" w:fill="auto"/>
            <w:noWrap/>
            <w:vAlign w:val="bottom"/>
            <w:hideMark/>
          </w:tcPr>
          <w:p w14:paraId="64572E5F"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2 000 000</w:t>
            </w:r>
          </w:p>
        </w:tc>
        <w:tc>
          <w:tcPr>
            <w:tcW w:w="2040" w:type="dxa"/>
            <w:tcBorders>
              <w:top w:val="nil"/>
              <w:left w:val="nil"/>
              <w:bottom w:val="single" w:sz="4" w:space="0" w:color="auto"/>
              <w:right w:val="single" w:sz="4" w:space="0" w:color="auto"/>
            </w:tcBorders>
            <w:shd w:val="clear" w:color="auto" w:fill="auto"/>
            <w:noWrap/>
            <w:vAlign w:val="bottom"/>
            <w:hideMark/>
          </w:tcPr>
          <w:p w14:paraId="7F9ADAE2"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0,00</w:t>
            </w:r>
          </w:p>
        </w:tc>
        <w:tc>
          <w:tcPr>
            <w:tcW w:w="1830" w:type="dxa"/>
            <w:tcBorders>
              <w:top w:val="nil"/>
              <w:left w:val="nil"/>
              <w:bottom w:val="single" w:sz="4" w:space="0" w:color="auto"/>
              <w:right w:val="single" w:sz="4" w:space="0" w:color="auto"/>
            </w:tcBorders>
            <w:shd w:val="clear" w:color="auto" w:fill="auto"/>
            <w:noWrap/>
            <w:vAlign w:val="bottom"/>
            <w:hideMark/>
          </w:tcPr>
          <w:p w14:paraId="72CC1146"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0,00</w:t>
            </w:r>
          </w:p>
        </w:tc>
        <w:tc>
          <w:tcPr>
            <w:tcW w:w="722" w:type="dxa"/>
            <w:tcBorders>
              <w:top w:val="nil"/>
              <w:left w:val="nil"/>
              <w:bottom w:val="single" w:sz="4" w:space="0" w:color="auto"/>
              <w:right w:val="single" w:sz="8" w:space="0" w:color="auto"/>
            </w:tcBorders>
            <w:shd w:val="clear" w:color="auto" w:fill="auto"/>
            <w:noWrap/>
            <w:vAlign w:val="bottom"/>
            <w:hideMark/>
          </w:tcPr>
          <w:p w14:paraId="19BFB054"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w:t>
            </w:r>
          </w:p>
        </w:tc>
      </w:tr>
      <w:tr w:rsidR="00CD2482" w:rsidRPr="00CD2482" w14:paraId="4E83A9F1" w14:textId="77777777" w:rsidTr="00955D47">
        <w:trPr>
          <w:trHeight w:val="30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44136FA1"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1209</w:t>
            </w:r>
          </w:p>
        </w:tc>
        <w:tc>
          <w:tcPr>
            <w:tcW w:w="2785" w:type="dxa"/>
            <w:tcBorders>
              <w:top w:val="nil"/>
              <w:left w:val="nil"/>
              <w:bottom w:val="single" w:sz="4" w:space="0" w:color="auto"/>
              <w:right w:val="single" w:sz="4" w:space="0" w:color="auto"/>
            </w:tcBorders>
            <w:shd w:val="clear" w:color="auto" w:fill="auto"/>
            <w:vAlign w:val="bottom"/>
            <w:hideMark/>
          </w:tcPr>
          <w:p w14:paraId="38AE5A11" w14:textId="77777777" w:rsidR="00CD2482" w:rsidRPr="00CD2482" w:rsidRDefault="00CD2482" w:rsidP="00CD2482">
            <w:pPr>
              <w:spacing w:after="0" w:line="240" w:lineRule="auto"/>
              <w:rPr>
                <w:rFonts w:ascii="Calibri" w:eastAsia="Times New Roman" w:hAnsi="Calibri" w:cs="Arial"/>
                <w:sz w:val="20"/>
                <w:szCs w:val="20"/>
                <w:lang w:eastAsia="cs-CZ"/>
              </w:rPr>
            </w:pPr>
            <w:r w:rsidRPr="00CD2482">
              <w:rPr>
                <w:rFonts w:ascii="Calibri" w:eastAsia="Times New Roman" w:hAnsi="Calibri" w:cs="Arial"/>
                <w:sz w:val="20"/>
                <w:szCs w:val="20"/>
                <w:lang w:eastAsia="cs-CZ"/>
              </w:rPr>
              <w:t>Evropská integrace</w:t>
            </w:r>
          </w:p>
        </w:tc>
        <w:tc>
          <w:tcPr>
            <w:tcW w:w="1416" w:type="dxa"/>
            <w:tcBorders>
              <w:top w:val="nil"/>
              <w:left w:val="nil"/>
              <w:bottom w:val="single" w:sz="4" w:space="0" w:color="auto"/>
              <w:right w:val="single" w:sz="4" w:space="0" w:color="auto"/>
            </w:tcBorders>
            <w:shd w:val="clear" w:color="auto" w:fill="auto"/>
            <w:noWrap/>
            <w:vAlign w:val="bottom"/>
            <w:hideMark/>
          </w:tcPr>
          <w:p w14:paraId="13C20B35"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1 000 000</w:t>
            </w:r>
          </w:p>
        </w:tc>
        <w:tc>
          <w:tcPr>
            <w:tcW w:w="2040" w:type="dxa"/>
            <w:tcBorders>
              <w:top w:val="nil"/>
              <w:left w:val="nil"/>
              <w:bottom w:val="single" w:sz="4" w:space="0" w:color="auto"/>
              <w:right w:val="single" w:sz="4" w:space="0" w:color="auto"/>
            </w:tcBorders>
            <w:shd w:val="clear" w:color="auto" w:fill="auto"/>
            <w:noWrap/>
            <w:vAlign w:val="bottom"/>
            <w:hideMark/>
          </w:tcPr>
          <w:p w14:paraId="1634993E"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0,00</w:t>
            </w:r>
          </w:p>
        </w:tc>
        <w:tc>
          <w:tcPr>
            <w:tcW w:w="1830" w:type="dxa"/>
            <w:tcBorders>
              <w:top w:val="nil"/>
              <w:left w:val="nil"/>
              <w:bottom w:val="single" w:sz="4" w:space="0" w:color="auto"/>
              <w:right w:val="single" w:sz="4" w:space="0" w:color="auto"/>
            </w:tcBorders>
            <w:shd w:val="clear" w:color="auto" w:fill="auto"/>
            <w:noWrap/>
            <w:vAlign w:val="bottom"/>
            <w:hideMark/>
          </w:tcPr>
          <w:p w14:paraId="7AE7A0B5"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0,00</w:t>
            </w:r>
          </w:p>
        </w:tc>
        <w:tc>
          <w:tcPr>
            <w:tcW w:w="722" w:type="dxa"/>
            <w:tcBorders>
              <w:top w:val="nil"/>
              <w:left w:val="nil"/>
              <w:bottom w:val="single" w:sz="4" w:space="0" w:color="auto"/>
              <w:right w:val="single" w:sz="8" w:space="0" w:color="auto"/>
            </w:tcBorders>
            <w:shd w:val="clear" w:color="auto" w:fill="auto"/>
            <w:noWrap/>
            <w:vAlign w:val="bottom"/>
            <w:hideMark/>
          </w:tcPr>
          <w:p w14:paraId="230D4102"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w:t>
            </w:r>
          </w:p>
        </w:tc>
      </w:tr>
      <w:tr w:rsidR="00CD2482" w:rsidRPr="00CD2482" w14:paraId="2EA7F39A" w14:textId="77777777" w:rsidTr="00955D47">
        <w:trPr>
          <w:trHeight w:val="30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2C1B4F94"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1210</w:t>
            </w:r>
          </w:p>
        </w:tc>
        <w:tc>
          <w:tcPr>
            <w:tcW w:w="2785" w:type="dxa"/>
            <w:tcBorders>
              <w:top w:val="nil"/>
              <w:left w:val="nil"/>
              <w:bottom w:val="single" w:sz="4" w:space="0" w:color="auto"/>
              <w:right w:val="single" w:sz="4" w:space="0" w:color="auto"/>
            </w:tcBorders>
            <w:shd w:val="clear" w:color="auto" w:fill="auto"/>
            <w:vAlign w:val="bottom"/>
            <w:hideMark/>
          </w:tcPr>
          <w:p w14:paraId="2EC8B01E" w14:textId="77777777" w:rsidR="00CD2482" w:rsidRPr="00CD2482" w:rsidRDefault="00CD2482" w:rsidP="00CD2482">
            <w:pPr>
              <w:spacing w:after="0" w:line="240" w:lineRule="auto"/>
              <w:rPr>
                <w:rFonts w:ascii="Calibri" w:eastAsia="Times New Roman" w:hAnsi="Calibri" w:cs="Arial"/>
                <w:sz w:val="20"/>
                <w:szCs w:val="20"/>
                <w:lang w:eastAsia="cs-CZ"/>
              </w:rPr>
            </w:pPr>
            <w:r w:rsidRPr="00CD2482">
              <w:rPr>
                <w:rFonts w:ascii="Calibri" w:eastAsia="Times New Roman" w:hAnsi="Calibri" w:cs="Arial"/>
                <w:sz w:val="20"/>
                <w:szCs w:val="20"/>
                <w:lang w:eastAsia="cs-CZ"/>
              </w:rPr>
              <w:t>Životní prostředí a zemědělství</w:t>
            </w:r>
          </w:p>
        </w:tc>
        <w:tc>
          <w:tcPr>
            <w:tcW w:w="1416" w:type="dxa"/>
            <w:tcBorders>
              <w:top w:val="nil"/>
              <w:left w:val="nil"/>
              <w:bottom w:val="single" w:sz="4" w:space="0" w:color="auto"/>
              <w:right w:val="single" w:sz="4" w:space="0" w:color="auto"/>
            </w:tcBorders>
            <w:shd w:val="clear" w:color="auto" w:fill="auto"/>
            <w:noWrap/>
            <w:vAlign w:val="bottom"/>
            <w:hideMark/>
          </w:tcPr>
          <w:p w14:paraId="64193016"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11 000 000</w:t>
            </w:r>
          </w:p>
        </w:tc>
        <w:tc>
          <w:tcPr>
            <w:tcW w:w="2040" w:type="dxa"/>
            <w:tcBorders>
              <w:top w:val="nil"/>
              <w:left w:val="nil"/>
              <w:bottom w:val="single" w:sz="4" w:space="0" w:color="auto"/>
              <w:right w:val="single" w:sz="4" w:space="0" w:color="auto"/>
            </w:tcBorders>
            <w:shd w:val="clear" w:color="auto" w:fill="auto"/>
            <w:noWrap/>
            <w:vAlign w:val="bottom"/>
            <w:hideMark/>
          </w:tcPr>
          <w:p w14:paraId="355696E2"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9 300 000,00</w:t>
            </w:r>
          </w:p>
        </w:tc>
        <w:tc>
          <w:tcPr>
            <w:tcW w:w="1830" w:type="dxa"/>
            <w:tcBorders>
              <w:top w:val="nil"/>
              <w:left w:val="nil"/>
              <w:bottom w:val="single" w:sz="4" w:space="0" w:color="auto"/>
              <w:right w:val="single" w:sz="4" w:space="0" w:color="auto"/>
            </w:tcBorders>
            <w:shd w:val="clear" w:color="auto" w:fill="auto"/>
            <w:noWrap/>
            <w:vAlign w:val="bottom"/>
            <w:hideMark/>
          </w:tcPr>
          <w:p w14:paraId="55E71C3D"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9 292 800,00</w:t>
            </w:r>
          </w:p>
        </w:tc>
        <w:tc>
          <w:tcPr>
            <w:tcW w:w="722" w:type="dxa"/>
            <w:tcBorders>
              <w:top w:val="nil"/>
              <w:left w:val="nil"/>
              <w:bottom w:val="single" w:sz="4" w:space="0" w:color="auto"/>
              <w:right w:val="single" w:sz="8" w:space="0" w:color="auto"/>
            </w:tcBorders>
            <w:shd w:val="clear" w:color="auto" w:fill="auto"/>
            <w:noWrap/>
            <w:vAlign w:val="bottom"/>
            <w:hideMark/>
          </w:tcPr>
          <w:p w14:paraId="1E333C95"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99,9</w:t>
            </w:r>
          </w:p>
        </w:tc>
      </w:tr>
      <w:tr w:rsidR="00CD2482" w:rsidRPr="00CD2482" w14:paraId="4BA6CC49" w14:textId="77777777" w:rsidTr="00955D47">
        <w:trPr>
          <w:trHeight w:val="30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7C391BC1"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1217</w:t>
            </w:r>
          </w:p>
        </w:tc>
        <w:tc>
          <w:tcPr>
            <w:tcW w:w="2785" w:type="dxa"/>
            <w:tcBorders>
              <w:top w:val="nil"/>
              <w:left w:val="nil"/>
              <w:bottom w:val="single" w:sz="4" w:space="0" w:color="auto"/>
              <w:right w:val="single" w:sz="4" w:space="0" w:color="auto"/>
            </w:tcBorders>
            <w:shd w:val="clear" w:color="auto" w:fill="auto"/>
            <w:vAlign w:val="bottom"/>
            <w:hideMark/>
          </w:tcPr>
          <w:p w14:paraId="35EABFE3" w14:textId="77777777" w:rsidR="00CD2482" w:rsidRPr="00CD2482" w:rsidRDefault="00CD2482" w:rsidP="00CD2482">
            <w:pPr>
              <w:spacing w:after="0" w:line="240" w:lineRule="auto"/>
              <w:rPr>
                <w:rFonts w:ascii="Calibri" w:eastAsia="Times New Roman" w:hAnsi="Calibri" w:cs="Arial"/>
                <w:sz w:val="20"/>
                <w:szCs w:val="20"/>
                <w:lang w:eastAsia="cs-CZ"/>
              </w:rPr>
            </w:pPr>
            <w:r w:rsidRPr="00CD2482">
              <w:rPr>
                <w:rFonts w:ascii="Calibri" w:eastAsia="Times New Roman" w:hAnsi="Calibri" w:cs="Arial"/>
                <w:sz w:val="20"/>
                <w:szCs w:val="20"/>
                <w:lang w:eastAsia="cs-CZ"/>
              </w:rPr>
              <w:t>Sociální věci</w:t>
            </w:r>
          </w:p>
        </w:tc>
        <w:tc>
          <w:tcPr>
            <w:tcW w:w="1416" w:type="dxa"/>
            <w:tcBorders>
              <w:top w:val="nil"/>
              <w:left w:val="nil"/>
              <w:bottom w:val="single" w:sz="4" w:space="0" w:color="auto"/>
              <w:right w:val="single" w:sz="4" w:space="0" w:color="auto"/>
            </w:tcBorders>
            <w:shd w:val="clear" w:color="auto" w:fill="auto"/>
            <w:noWrap/>
            <w:vAlign w:val="bottom"/>
            <w:hideMark/>
          </w:tcPr>
          <w:p w14:paraId="09D03C36"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20 000 000</w:t>
            </w:r>
          </w:p>
        </w:tc>
        <w:tc>
          <w:tcPr>
            <w:tcW w:w="2040" w:type="dxa"/>
            <w:tcBorders>
              <w:top w:val="nil"/>
              <w:left w:val="nil"/>
              <w:bottom w:val="single" w:sz="4" w:space="0" w:color="auto"/>
              <w:right w:val="single" w:sz="4" w:space="0" w:color="auto"/>
            </w:tcBorders>
            <w:shd w:val="clear" w:color="auto" w:fill="auto"/>
            <w:noWrap/>
            <w:vAlign w:val="bottom"/>
            <w:hideMark/>
          </w:tcPr>
          <w:p w14:paraId="14A2A7CE"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58 000 000,00</w:t>
            </w:r>
          </w:p>
        </w:tc>
        <w:tc>
          <w:tcPr>
            <w:tcW w:w="1830" w:type="dxa"/>
            <w:tcBorders>
              <w:top w:val="nil"/>
              <w:left w:val="nil"/>
              <w:bottom w:val="single" w:sz="4" w:space="0" w:color="auto"/>
              <w:right w:val="single" w:sz="4" w:space="0" w:color="auto"/>
            </w:tcBorders>
            <w:shd w:val="clear" w:color="auto" w:fill="auto"/>
            <w:noWrap/>
            <w:vAlign w:val="bottom"/>
            <w:hideMark/>
          </w:tcPr>
          <w:p w14:paraId="3F0C488D"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36 576 931,52</w:t>
            </w:r>
          </w:p>
        </w:tc>
        <w:tc>
          <w:tcPr>
            <w:tcW w:w="722" w:type="dxa"/>
            <w:tcBorders>
              <w:top w:val="nil"/>
              <w:left w:val="nil"/>
              <w:bottom w:val="single" w:sz="4" w:space="0" w:color="auto"/>
              <w:right w:val="single" w:sz="8" w:space="0" w:color="auto"/>
            </w:tcBorders>
            <w:shd w:val="clear" w:color="auto" w:fill="auto"/>
            <w:noWrap/>
            <w:vAlign w:val="bottom"/>
            <w:hideMark/>
          </w:tcPr>
          <w:p w14:paraId="55482456"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63,1</w:t>
            </w:r>
          </w:p>
        </w:tc>
      </w:tr>
      <w:tr w:rsidR="00CD2482" w:rsidRPr="00CD2482" w14:paraId="2CBF53CB" w14:textId="77777777" w:rsidTr="00955D47">
        <w:trPr>
          <w:trHeight w:val="30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58F7EC94"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1225</w:t>
            </w:r>
          </w:p>
        </w:tc>
        <w:tc>
          <w:tcPr>
            <w:tcW w:w="2785" w:type="dxa"/>
            <w:tcBorders>
              <w:top w:val="nil"/>
              <w:left w:val="nil"/>
              <w:bottom w:val="single" w:sz="4" w:space="0" w:color="auto"/>
              <w:right w:val="single" w:sz="4" w:space="0" w:color="auto"/>
            </w:tcBorders>
            <w:shd w:val="clear" w:color="auto" w:fill="auto"/>
            <w:vAlign w:val="bottom"/>
            <w:hideMark/>
          </w:tcPr>
          <w:p w14:paraId="3A3BBE5C" w14:textId="77777777" w:rsidR="00CD2482" w:rsidRPr="00CD2482" w:rsidRDefault="00CD2482" w:rsidP="00CD2482">
            <w:pPr>
              <w:spacing w:after="0" w:line="240" w:lineRule="auto"/>
              <w:rPr>
                <w:rFonts w:ascii="Calibri" w:eastAsia="Times New Roman" w:hAnsi="Calibri" w:cs="Arial"/>
                <w:sz w:val="20"/>
                <w:szCs w:val="20"/>
                <w:lang w:eastAsia="cs-CZ"/>
              </w:rPr>
            </w:pPr>
            <w:r w:rsidRPr="00CD2482">
              <w:rPr>
                <w:rFonts w:ascii="Calibri" w:eastAsia="Times New Roman" w:hAnsi="Calibri" w:cs="Arial"/>
                <w:sz w:val="20"/>
                <w:szCs w:val="20"/>
                <w:lang w:eastAsia="cs-CZ"/>
              </w:rPr>
              <w:t>Bezpečnost a prevence</w:t>
            </w:r>
          </w:p>
        </w:tc>
        <w:tc>
          <w:tcPr>
            <w:tcW w:w="1416" w:type="dxa"/>
            <w:tcBorders>
              <w:top w:val="nil"/>
              <w:left w:val="nil"/>
              <w:bottom w:val="single" w:sz="4" w:space="0" w:color="auto"/>
              <w:right w:val="single" w:sz="4" w:space="0" w:color="auto"/>
            </w:tcBorders>
            <w:shd w:val="clear" w:color="auto" w:fill="auto"/>
            <w:noWrap/>
            <w:vAlign w:val="bottom"/>
            <w:hideMark/>
          </w:tcPr>
          <w:p w14:paraId="2102AC09"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5 000 000</w:t>
            </w:r>
          </w:p>
        </w:tc>
        <w:tc>
          <w:tcPr>
            <w:tcW w:w="2040" w:type="dxa"/>
            <w:tcBorders>
              <w:top w:val="nil"/>
              <w:left w:val="nil"/>
              <w:bottom w:val="single" w:sz="4" w:space="0" w:color="auto"/>
              <w:right w:val="single" w:sz="4" w:space="0" w:color="auto"/>
            </w:tcBorders>
            <w:shd w:val="clear" w:color="auto" w:fill="auto"/>
            <w:noWrap/>
            <w:vAlign w:val="bottom"/>
            <w:hideMark/>
          </w:tcPr>
          <w:p w14:paraId="7E8E9C39"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4 560 200,00</w:t>
            </w:r>
          </w:p>
        </w:tc>
        <w:tc>
          <w:tcPr>
            <w:tcW w:w="1830" w:type="dxa"/>
            <w:tcBorders>
              <w:top w:val="nil"/>
              <w:left w:val="nil"/>
              <w:bottom w:val="single" w:sz="4" w:space="0" w:color="auto"/>
              <w:right w:val="single" w:sz="4" w:space="0" w:color="auto"/>
            </w:tcBorders>
            <w:shd w:val="clear" w:color="auto" w:fill="auto"/>
            <w:noWrap/>
            <w:vAlign w:val="bottom"/>
            <w:hideMark/>
          </w:tcPr>
          <w:p w14:paraId="400C376F"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4 309 446,06</w:t>
            </w:r>
          </w:p>
        </w:tc>
        <w:tc>
          <w:tcPr>
            <w:tcW w:w="722" w:type="dxa"/>
            <w:tcBorders>
              <w:top w:val="nil"/>
              <w:left w:val="nil"/>
              <w:bottom w:val="single" w:sz="4" w:space="0" w:color="auto"/>
              <w:right w:val="single" w:sz="8" w:space="0" w:color="auto"/>
            </w:tcBorders>
            <w:shd w:val="clear" w:color="auto" w:fill="auto"/>
            <w:noWrap/>
            <w:vAlign w:val="bottom"/>
            <w:hideMark/>
          </w:tcPr>
          <w:p w14:paraId="2FB77990"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94,5</w:t>
            </w:r>
          </w:p>
        </w:tc>
      </w:tr>
      <w:tr w:rsidR="00CD2482" w:rsidRPr="00CD2482" w14:paraId="4C31BF3D" w14:textId="77777777" w:rsidTr="00955D47">
        <w:trPr>
          <w:trHeight w:val="323"/>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42FE5B5A"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1226</w:t>
            </w:r>
          </w:p>
        </w:tc>
        <w:tc>
          <w:tcPr>
            <w:tcW w:w="2785" w:type="dxa"/>
            <w:tcBorders>
              <w:top w:val="nil"/>
              <w:left w:val="nil"/>
              <w:bottom w:val="single" w:sz="4" w:space="0" w:color="auto"/>
              <w:right w:val="single" w:sz="4" w:space="0" w:color="auto"/>
            </w:tcBorders>
            <w:shd w:val="clear" w:color="auto" w:fill="auto"/>
            <w:vAlign w:val="bottom"/>
            <w:hideMark/>
          </w:tcPr>
          <w:p w14:paraId="330365E9" w14:textId="77777777" w:rsidR="00CD2482" w:rsidRPr="00CD2482" w:rsidRDefault="00CD2482" w:rsidP="00CD2482">
            <w:pPr>
              <w:spacing w:after="0" w:line="240" w:lineRule="auto"/>
              <w:rPr>
                <w:rFonts w:ascii="Calibri" w:eastAsia="Times New Roman" w:hAnsi="Calibri" w:cs="Arial"/>
                <w:sz w:val="20"/>
                <w:szCs w:val="20"/>
                <w:lang w:eastAsia="cs-CZ"/>
              </w:rPr>
            </w:pPr>
            <w:r w:rsidRPr="00CD2482">
              <w:rPr>
                <w:rFonts w:ascii="Calibri" w:eastAsia="Times New Roman" w:hAnsi="Calibri" w:cs="Arial"/>
                <w:sz w:val="20"/>
                <w:szCs w:val="20"/>
                <w:lang w:eastAsia="cs-CZ"/>
              </w:rPr>
              <w:t>Veřejná mobilita</w:t>
            </w:r>
          </w:p>
        </w:tc>
        <w:tc>
          <w:tcPr>
            <w:tcW w:w="1416" w:type="dxa"/>
            <w:tcBorders>
              <w:top w:val="nil"/>
              <w:left w:val="nil"/>
              <w:bottom w:val="single" w:sz="4" w:space="0" w:color="auto"/>
              <w:right w:val="single" w:sz="4" w:space="0" w:color="auto"/>
            </w:tcBorders>
            <w:shd w:val="clear" w:color="auto" w:fill="auto"/>
            <w:noWrap/>
            <w:vAlign w:val="bottom"/>
            <w:hideMark/>
          </w:tcPr>
          <w:p w14:paraId="246969CC"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0</w:t>
            </w:r>
          </w:p>
        </w:tc>
        <w:tc>
          <w:tcPr>
            <w:tcW w:w="2040" w:type="dxa"/>
            <w:tcBorders>
              <w:top w:val="nil"/>
              <w:left w:val="nil"/>
              <w:bottom w:val="single" w:sz="4" w:space="0" w:color="auto"/>
              <w:right w:val="single" w:sz="4" w:space="0" w:color="auto"/>
            </w:tcBorders>
            <w:shd w:val="clear" w:color="auto" w:fill="auto"/>
            <w:noWrap/>
            <w:vAlign w:val="bottom"/>
            <w:hideMark/>
          </w:tcPr>
          <w:p w14:paraId="7B0C7BE4"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1 504 370,00</w:t>
            </w:r>
          </w:p>
        </w:tc>
        <w:tc>
          <w:tcPr>
            <w:tcW w:w="1830" w:type="dxa"/>
            <w:tcBorders>
              <w:top w:val="nil"/>
              <w:left w:val="nil"/>
              <w:bottom w:val="single" w:sz="4" w:space="0" w:color="auto"/>
              <w:right w:val="single" w:sz="4" w:space="0" w:color="auto"/>
            </w:tcBorders>
            <w:shd w:val="clear" w:color="auto" w:fill="auto"/>
            <w:noWrap/>
            <w:vAlign w:val="bottom"/>
            <w:hideMark/>
          </w:tcPr>
          <w:p w14:paraId="28F9D04B"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0,00</w:t>
            </w:r>
          </w:p>
        </w:tc>
        <w:tc>
          <w:tcPr>
            <w:tcW w:w="722" w:type="dxa"/>
            <w:tcBorders>
              <w:top w:val="nil"/>
              <w:left w:val="nil"/>
              <w:bottom w:val="single" w:sz="4" w:space="0" w:color="auto"/>
              <w:right w:val="single" w:sz="8" w:space="0" w:color="auto"/>
            </w:tcBorders>
            <w:shd w:val="clear" w:color="auto" w:fill="auto"/>
            <w:noWrap/>
            <w:vAlign w:val="bottom"/>
            <w:hideMark/>
          </w:tcPr>
          <w:p w14:paraId="12B88778"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0,0</w:t>
            </w:r>
          </w:p>
        </w:tc>
      </w:tr>
      <w:tr w:rsidR="00CD2482" w:rsidRPr="00CD2482" w14:paraId="18A99ABB" w14:textId="77777777" w:rsidTr="00955D47">
        <w:trPr>
          <w:trHeight w:val="320"/>
        </w:trPr>
        <w:tc>
          <w:tcPr>
            <w:tcW w:w="826"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2B826D4A" w14:textId="77777777" w:rsidR="00CD2482" w:rsidRPr="00CD2482" w:rsidRDefault="00CD2482" w:rsidP="00CD2482">
            <w:pPr>
              <w:spacing w:after="0" w:line="240" w:lineRule="auto"/>
              <w:jc w:val="center"/>
              <w:rPr>
                <w:rFonts w:ascii="Calibri" w:eastAsia="Times New Roman" w:hAnsi="Calibri" w:cs="Arial"/>
                <w:lang w:eastAsia="cs-CZ"/>
              </w:rPr>
            </w:pPr>
            <w:r w:rsidRPr="00CD2482">
              <w:rPr>
                <w:rFonts w:ascii="Calibri" w:eastAsia="Times New Roman" w:hAnsi="Calibri" w:cs="Arial"/>
                <w:lang w:eastAsia="cs-CZ"/>
              </w:rPr>
              <w:t> </w:t>
            </w:r>
          </w:p>
        </w:tc>
        <w:tc>
          <w:tcPr>
            <w:tcW w:w="2785" w:type="dxa"/>
            <w:tcBorders>
              <w:top w:val="single" w:sz="8" w:space="0" w:color="auto"/>
              <w:left w:val="nil"/>
              <w:bottom w:val="single" w:sz="8" w:space="0" w:color="auto"/>
              <w:right w:val="single" w:sz="4" w:space="0" w:color="auto"/>
            </w:tcBorders>
            <w:shd w:val="clear" w:color="auto" w:fill="auto"/>
            <w:noWrap/>
            <w:vAlign w:val="bottom"/>
            <w:hideMark/>
          </w:tcPr>
          <w:p w14:paraId="45A77976" w14:textId="77777777" w:rsidR="00CD2482" w:rsidRPr="00CD2482" w:rsidRDefault="00CD2482" w:rsidP="00CD2482">
            <w:pPr>
              <w:spacing w:after="0" w:line="240" w:lineRule="auto"/>
              <w:rPr>
                <w:rFonts w:ascii="Calibri" w:eastAsia="Times New Roman" w:hAnsi="Calibri" w:cs="Arial"/>
                <w:b/>
                <w:bCs/>
                <w:lang w:eastAsia="cs-CZ"/>
              </w:rPr>
            </w:pPr>
            <w:r w:rsidRPr="00CD2482">
              <w:rPr>
                <w:rFonts w:ascii="Calibri" w:eastAsia="Times New Roman" w:hAnsi="Calibri" w:cs="Arial"/>
                <w:b/>
                <w:bCs/>
                <w:lang w:eastAsia="cs-CZ"/>
              </w:rPr>
              <w:t>Celkem</w:t>
            </w:r>
          </w:p>
        </w:tc>
        <w:tc>
          <w:tcPr>
            <w:tcW w:w="1416" w:type="dxa"/>
            <w:tcBorders>
              <w:top w:val="single" w:sz="8" w:space="0" w:color="auto"/>
              <w:left w:val="nil"/>
              <w:bottom w:val="single" w:sz="8" w:space="0" w:color="auto"/>
              <w:right w:val="single" w:sz="4" w:space="0" w:color="auto"/>
            </w:tcBorders>
            <w:shd w:val="clear" w:color="auto" w:fill="auto"/>
            <w:noWrap/>
            <w:vAlign w:val="bottom"/>
            <w:hideMark/>
          </w:tcPr>
          <w:p w14:paraId="44EB8BF1" w14:textId="77777777" w:rsidR="00CD2482" w:rsidRPr="00CD2482" w:rsidRDefault="00CD2482" w:rsidP="00CD2482">
            <w:pPr>
              <w:spacing w:after="0" w:line="240" w:lineRule="auto"/>
              <w:jc w:val="right"/>
              <w:rPr>
                <w:rFonts w:ascii="Calibri" w:eastAsia="Times New Roman" w:hAnsi="Calibri" w:cs="Arial"/>
                <w:b/>
                <w:bCs/>
                <w:lang w:eastAsia="cs-CZ"/>
              </w:rPr>
            </w:pPr>
            <w:r w:rsidRPr="00CD2482">
              <w:rPr>
                <w:rFonts w:ascii="Calibri" w:eastAsia="Times New Roman" w:hAnsi="Calibri" w:cs="Arial"/>
                <w:b/>
                <w:bCs/>
                <w:lang w:eastAsia="cs-CZ"/>
              </w:rPr>
              <w:t>209 500 000</w:t>
            </w:r>
          </w:p>
        </w:tc>
        <w:tc>
          <w:tcPr>
            <w:tcW w:w="2040" w:type="dxa"/>
            <w:tcBorders>
              <w:top w:val="single" w:sz="8" w:space="0" w:color="auto"/>
              <w:left w:val="nil"/>
              <w:bottom w:val="single" w:sz="8" w:space="0" w:color="auto"/>
              <w:right w:val="single" w:sz="4" w:space="0" w:color="auto"/>
            </w:tcBorders>
            <w:shd w:val="clear" w:color="auto" w:fill="auto"/>
            <w:noWrap/>
            <w:vAlign w:val="bottom"/>
            <w:hideMark/>
          </w:tcPr>
          <w:p w14:paraId="1B6481DB" w14:textId="77777777" w:rsidR="00CD2482" w:rsidRPr="00CD2482" w:rsidRDefault="00CD2482" w:rsidP="00CD2482">
            <w:pPr>
              <w:spacing w:after="0" w:line="240" w:lineRule="auto"/>
              <w:jc w:val="right"/>
              <w:rPr>
                <w:rFonts w:ascii="Calibri" w:eastAsia="Times New Roman" w:hAnsi="Calibri" w:cs="Arial"/>
                <w:b/>
                <w:bCs/>
                <w:lang w:eastAsia="cs-CZ"/>
              </w:rPr>
            </w:pPr>
            <w:r w:rsidRPr="00CD2482">
              <w:rPr>
                <w:rFonts w:ascii="Calibri" w:eastAsia="Times New Roman" w:hAnsi="Calibri" w:cs="Arial"/>
                <w:b/>
                <w:bCs/>
                <w:lang w:eastAsia="cs-CZ"/>
              </w:rPr>
              <w:t>550 731 897,49</w:t>
            </w:r>
          </w:p>
        </w:tc>
        <w:tc>
          <w:tcPr>
            <w:tcW w:w="1830" w:type="dxa"/>
            <w:tcBorders>
              <w:top w:val="single" w:sz="8" w:space="0" w:color="auto"/>
              <w:left w:val="nil"/>
              <w:bottom w:val="single" w:sz="8" w:space="0" w:color="auto"/>
              <w:right w:val="single" w:sz="4" w:space="0" w:color="auto"/>
            </w:tcBorders>
            <w:shd w:val="clear" w:color="auto" w:fill="auto"/>
            <w:noWrap/>
            <w:vAlign w:val="bottom"/>
            <w:hideMark/>
          </w:tcPr>
          <w:p w14:paraId="79D67836" w14:textId="77777777" w:rsidR="00CD2482" w:rsidRPr="00CD2482" w:rsidRDefault="00CD2482" w:rsidP="00CD2482">
            <w:pPr>
              <w:spacing w:after="0" w:line="240" w:lineRule="auto"/>
              <w:jc w:val="right"/>
              <w:rPr>
                <w:rFonts w:ascii="Calibri" w:eastAsia="Times New Roman" w:hAnsi="Calibri" w:cs="Arial"/>
                <w:b/>
                <w:bCs/>
                <w:lang w:eastAsia="cs-CZ"/>
              </w:rPr>
            </w:pPr>
            <w:r w:rsidRPr="00CD2482">
              <w:rPr>
                <w:rFonts w:ascii="Calibri" w:eastAsia="Times New Roman" w:hAnsi="Calibri" w:cs="Arial"/>
                <w:b/>
                <w:bCs/>
                <w:lang w:eastAsia="cs-CZ"/>
              </w:rPr>
              <w:t>400 988 888,29</w:t>
            </w:r>
          </w:p>
        </w:tc>
        <w:tc>
          <w:tcPr>
            <w:tcW w:w="722" w:type="dxa"/>
            <w:tcBorders>
              <w:top w:val="single" w:sz="8" w:space="0" w:color="auto"/>
              <w:left w:val="nil"/>
              <w:bottom w:val="single" w:sz="8" w:space="0" w:color="auto"/>
              <w:right w:val="single" w:sz="8" w:space="0" w:color="auto"/>
            </w:tcBorders>
            <w:shd w:val="clear" w:color="auto" w:fill="auto"/>
            <w:noWrap/>
            <w:vAlign w:val="bottom"/>
            <w:hideMark/>
          </w:tcPr>
          <w:p w14:paraId="33CE9EA9" w14:textId="77777777" w:rsidR="00CD2482" w:rsidRPr="00CD2482" w:rsidRDefault="00CD2482" w:rsidP="00CD2482">
            <w:pPr>
              <w:spacing w:after="0" w:line="240" w:lineRule="auto"/>
              <w:jc w:val="right"/>
              <w:rPr>
                <w:rFonts w:ascii="Calibri" w:eastAsia="Times New Roman" w:hAnsi="Calibri" w:cs="Arial"/>
                <w:b/>
                <w:bCs/>
                <w:lang w:eastAsia="cs-CZ"/>
              </w:rPr>
            </w:pPr>
            <w:r w:rsidRPr="00CD2482">
              <w:rPr>
                <w:rFonts w:ascii="Calibri" w:eastAsia="Times New Roman" w:hAnsi="Calibri" w:cs="Arial"/>
                <w:b/>
                <w:bCs/>
                <w:lang w:eastAsia="cs-CZ"/>
              </w:rPr>
              <w:t>72,8</w:t>
            </w:r>
          </w:p>
        </w:tc>
      </w:tr>
      <w:tr w:rsidR="00CD2482" w:rsidRPr="00CD2482" w14:paraId="406851A3" w14:textId="77777777" w:rsidTr="00955D47">
        <w:trPr>
          <w:trHeight w:val="300"/>
        </w:trPr>
        <w:tc>
          <w:tcPr>
            <w:tcW w:w="826" w:type="dxa"/>
            <w:tcBorders>
              <w:top w:val="nil"/>
              <w:left w:val="nil"/>
              <w:bottom w:val="nil"/>
              <w:right w:val="nil"/>
            </w:tcBorders>
            <w:shd w:val="clear" w:color="auto" w:fill="auto"/>
            <w:noWrap/>
            <w:vAlign w:val="center"/>
            <w:hideMark/>
          </w:tcPr>
          <w:p w14:paraId="3DA1A989" w14:textId="77777777" w:rsidR="00CD2482" w:rsidRPr="00CD2482" w:rsidRDefault="00CD2482" w:rsidP="00CD2482">
            <w:pPr>
              <w:spacing w:after="0" w:line="240" w:lineRule="auto"/>
              <w:jc w:val="center"/>
              <w:rPr>
                <w:rFonts w:ascii="Calibri" w:eastAsia="Times New Roman" w:hAnsi="Calibri" w:cs="Arial"/>
                <w:lang w:eastAsia="cs-CZ"/>
              </w:rPr>
            </w:pPr>
            <w:r w:rsidRPr="00CD2482">
              <w:rPr>
                <w:rFonts w:ascii="Calibri" w:eastAsia="Times New Roman" w:hAnsi="Calibri" w:cs="Arial"/>
                <w:lang w:eastAsia="cs-CZ"/>
              </w:rPr>
              <w:t> </w:t>
            </w:r>
          </w:p>
        </w:tc>
        <w:tc>
          <w:tcPr>
            <w:tcW w:w="2785" w:type="dxa"/>
            <w:tcBorders>
              <w:top w:val="nil"/>
              <w:left w:val="nil"/>
              <w:bottom w:val="nil"/>
              <w:right w:val="nil"/>
            </w:tcBorders>
            <w:shd w:val="clear" w:color="auto" w:fill="auto"/>
            <w:noWrap/>
            <w:vAlign w:val="center"/>
            <w:hideMark/>
          </w:tcPr>
          <w:p w14:paraId="7DF1D00C" w14:textId="77777777" w:rsidR="00CD2482" w:rsidRPr="00CD2482" w:rsidRDefault="00CD2482" w:rsidP="00CD2482">
            <w:pPr>
              <w:spacing w:after="0" w:line="240" w:lineRule="auto"/>
              <w:rPr>
                <w:rFonts w:ascii="Calibri" w:eastAsia="Times New Roman" w:hAnsi="Calibri" w:cs="Arial"/>
                <w:b/>
                <w:bCs/>
                <w:lang w:eastAsia="cs-CZ"/>
              </w:rPr>
            </w:pPr>
            <w:r w:rsidRPr="00CD2482">
              <w:rPr>
                <w:rFonts w:ascii="Calibri" w:eastAsia="Times New Roman" w:hAnsi="Calibri" w:cs="Arial"/>
                <w:b/>
                <w:bCs/>
                <w:lang w:eastAsia="cs-CZ"/>
              </w:rPr>
              <w:t> </w:t>
            </w:r>
          </w:p>
        </w:tc>
        <w:tc>
          <w:tcPr>
            <w:tcW w:w="1416" w:type="dxa"/>
            <w:tcBorders>
              <w:top w:val="nil"/>
              <w:left w:val="nil"/>
              <w:bottom w:val="nil"/>
              <w:right w:val="nil"/>
            </w:tcBorders>
            <w:shd w:val="clear" w:color="auto" w:fill="auto"/>
            <w:noWrap/>
            <w:vAlign w:val="center"/>
            <w:hideMark/>
          </w:tcPr>
          <w:p w14:paraId="40C7500D" w14:textId="77777777" w:rsidR="00CD2482" w:rsidRPr="00CD2482" w:rsidRDefault="00CD2482" w:rsidP="00CD2482">
            <w:pPr>
              <w:spacing w:after="0" w:line="240" w:lineRule="auto"/>
              <w:jc w:val="right"/>
              <w:rPr>
                <w:rFonts w:ascii="Calibri" w:eastAsia="Times New Roman" w:hAnsi="Calibri" w:cs="Arial"/>
                <w:b/>
                <w:bCs/>
                <w:lang w:eastAsia="cs-CZ"/>
              </w:rPr>
            </w:pPr>
            <w:r w:rsidRPr="00CD2482">
              <w:rPr>
                <w:rFonts w:ascii="Calibri" w:eastAsia="Times New Roman" w:hAnsi="Calibri" w:cs="Arial"/>
                <w:b/>
                <w:bCs/>
                <w:lang w:eastAsia="cs-CZ"/>
              </w:rPr>
              <w:t> </w:t>
            </w:r>
          </w:p>
        </w:tc>
        <w:tc>
          <w:tcPr>
            <w:tcW w:w="2040" w:type="dxa"/>
            <w:tcBorders>
              <w:top w:val="nil"/>
              <w:left w:val="nil"/>
              <w:bottom w:val="nil"/>
              <w:right w:val="nil"/>
            </w:tcBorders>
            <w:shd w:val="clear" w:color="auto" w:fill="auto"/>
            <w:noWrap/>
            <w:vAlign w:val="center"/>
            <w:hideMark/>
          </w:tcPr>
          <w:p w14:paraId="3956C795" w14:textId="77777777" w:rsidR="00CD2482" w:rsidRPr="00CD2482" w:rsidRDefault="00CD2482" w:rsidP="00CD2482">
            <w:pPr>
              <w:spacing w:after="0" w:line="240" w:lineRule="auto"/>
              <w:jc w:val="right"/>
              <w:rPr>
                <w:rFonts w:ascii="Calibri" w:eastAsia="Times New Roman" w:hAnsi="Calibri" w:cs="Arial"/>
                <w:b/>
                <w:bCs/>
                <w:lang w:eastAsia="cs-CZ"/>
              </w:rPr>
            </w:pPr>
            <w:r w:rsidRPr="00CD2482">
              <w:rPr>
                <w:rFonts w:ascii="Calibri" w:eastAsia="Times New Roman" w:hAnsi="Calibri" w:cs="Arial"/>
                <w:b/>
                <w:bCs/>
                <w:lang w:eastAsia="cs-CZ"/>
              </w:rPr>
              <w:t> </w:t>
            </w:r>
          </w:p>
        </w:tc>
        <w:tc>
          <w:tcPr>
            <w:tcW w:w="1830" w:type="dxa"/>
            <w:tcBorders>
              <w:top w:val="nil"/>
              <w:left w:val="nil"/>
              <w:bottom w:val="nil"/>
              <w:right w:val="nil"/>
            </w:tcBorders>
            <w:shd w:val="clear" w:color="auto" w:fill="auto"/>
            <w:noWrap/>
            <w:vAlign w:val="center"/>
            <w:hideMark/>
          </w:tcPr>
          <w:p w14:paraId="51337632" w14:textId="77777777" w:rsidR="00CD2482" w:rsidRPr="00CD2482" w:rsidRDefault="00CD2482" w:rsidP="00CD2482">
            <w:pPr>
              <w:spacing w:after="0" w:line="240" w:lineRule="auto"/>
              <w:jc w:val="right"/>
              <w:rPr>
                <w:rFonts w:ascii="Calibri" w:eastAsia="Times New Roman" w:hAnsi="Calibri" w:cs="Arial"/>
                <w:b/>
                <w:bCs/>
                <w:lang w:eastAsia="cs-CZ"/>
              </w:rPr>
            </w:pPr>
            <w:r w:rsidRPr="00CD2482">
              <w:rPr>
                <w:rFonts w:ascii="Calibri" w:eastAsia="Times New Roman" w:hAnsi="Calibri" w:cs="Arial"/>
                <w:b/>
                <w:bCs/>
                <w:lang w:eastAsia="cs-CZ"/>
              </w:rPr>
              <w:t> </w:t>
            </w:r>
          </w:p>
        </w:tc>
        <w:tc>
          <w:tcPr>
            <w:tcW w:w="722" w:type="dxa"/>
            <w:tcBorders>
              <w:top w:val="nil"/>
              <w:left w:val="nil"/>
              <w:bottom w:val="nil"/>
              <w:right w:val="nil"/>
            </w:tcBorders>
            <w:shd w:val="clear" w:color="auto" w:fill="auto"/>
            <w:noWrap/>
            <w:vAlign w:val="center"/>
            <w:hideMark/>
          </w:tcPr>
          <w:p w14:paraId="3E4A388D" w14:textId="77777777" w:rsidR="00CD2482" w:rsidRPr="00CD2482" w:rsidRDefault="00CD2482" w:rsidP="00CD2482">
            <w:pPr>
              <w:spacing w:after="0" w:line="240" w:lineRule="auto"/>
              <w:jc w:val="right"/>
              <w:rPr>
                <w:rFonts w:ascii="Calibri" w:eastAsia="Times New Roman" w:hAnsi="Calibri" w:cs="Arial"/>
                <w:b/>
                <w:bCs/>
                <w:lang w:eastAsia="cs-CZ"/>
              </w:rPr>
            </w:pPr>
            <w:r w:rsidRPr="00CD2482">
              <w:rPr>
                <w:rFonts w:ascii="Calibri" w:eastAsia="Times New Roman" w:hAnsi="Calibri" w:cs="Arial"/>
                <w:b/>
                <w:bCs/>
                <w:lang w:eastAsia="cs-CZ"/>
              </w:rPr>
              <w:t> </w:t>
            </w:r>
          </w:p>
        </w:tc>
      </w:tr>
      <w:tr w:rsidR="00CD2482" w:rsidRPr="00CD2482" w14:paraId="10A16737" w14:textId="77777777" w:rsidTr="00955D47">
        <w:trPr>
          <w:trHeight w:val="360"/>
        </w:trPr>
        <w:tc>
          <w:tcPr>
            <w:tcW w:w="826" w:type="dxa"/>
            <w:tcBorders>
              <w:top w:val="nil"/>
              <w:left w:val="nil"/>
              <w:bottom w:val="nil"/>
              <w:right w:val="nil"/>
            </w:tcBorders>
            <w:shd w:val="clear" w:color="auto" w:fill="auto"/>
            <w:noWrap/>
            <w:vAlign w:val="center"/>
            <w:hideMark/>
          </w:tcPr>
          <w:p w14:paraId="7D10C0F0" w14:textId="77777777" w:rsidR="00CD2482" w:rsidRPr="00CD2482" w:rsidRDefault="00CD2482" w:rsidP="00CD2482">
            <w:pPr>
              <w:spacing w:after="0" w:line="240" w:lineRule="auto"/>
              <w:jc w:val="right"/>
              <w:rPr>
                <w:rFonts w:ascii="Calibri" w:eastAsia="Times New Roman" w:hAnsi="Calibri" w:cs="Arial"/>
                <w:b/>
                <w:bCs/>
                <w:lang w:eastAsia="cs-CZ"/>
              </w:rPr>
            </w:pPr>
          </w:p>
        </w:tc>
        <w:tc>
          <w:tcPr>
            <w:tcW w:w="8793" w:type="dxa"/>
            <w:gridSpan w:val="5"/>
            <w:tcBorders>
              <w:top w:val="nil"/>
              <w:left w:val="nil"/>
              <w:bottom w:val="nil"/>
              <w:right w:val="nil"/>
            </w:tcBorders>
            <w:shd w:val="clear" w:color="auto" w:fill="auto"/>
            <w:noWrap/>
            <w:vAlign w:val="bottom"/>
            <w:hideMark/>
          </w:tcPr>
          <w:p w14:paraId="06C6B884" w14:textId="77777777" w:rsidR="00CD2482" w:rsidRPr="00CD2482" w:rsidRDefault="00CD2482" w:rsidP="00CD2482">
            <w:pPr>
              <w:spacing w:after="0" w:line="240" w:lineRule="auto"/>
              <w:rPr>
                <w:rFonts w:ascii="Calibri" w:eastAsia="Times New Roman" w:hAnsi="Calibri" w:cs="Arial"/>
                <w:b/>
                <w:bCs/>
                <w:lang w:eastAsia="cs-CZ"/>
              </w:rPr>
            </w:pPr>
            <w:r w:rsidRPr="00CD2482">
              <w:rPr>
                <w:rFonts w:ascii="Calibri" w:eastAsia="Times New Roman" w:hAnsi="Calibri" w:cs="Arial"/>
                <w:b/>
                <w:bCs/>
                <w:lang w:eastAsia="cs-CZ"/>
              </w:rPr>
              <w:t>Kapitálové (investiční) výdaje zařazené v Zásobníku investic hrazené z úvěru přijatého od EIB - čerpání dle kapitol</w:t>
            </w:r>
          </w:p>
        </w:tc>
      </w:tr>
      <w:tr w:rsidR="00CD2482" w:rsidRPr="00CD2482" w14:paraId="3D154B21" w14:textId="77777777" w:rsidTr="00955D47">
        <w:trPr>
          <w:trHeight w:val="300"/>
        </w:trPr>
        <w:tc>
          <w:tcPr>
            <w:tcW w:w="826"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1B01527E"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1200</w:t>
            </w:r>
          </w:p>
        </w:tc>
        <w:tc>
          <w:tcPr>
            <w:tcW w:w="2785" w:type="dxa"/>
            <w:tcBorders>
              <w:top w:val="single" w:sz="8" w:space="0" w:color="auto"/>
              <w:left w:val="nil"/>
              <w:bottom w:val="single" w:sz="4" w:space="0" w:color="auto"/>
              <w:right w:val="single" w:sz="4" w:space="0" w:color="auto"/>
            </w:tcBorders>
            <w:shd w:val="clear" w:color="auto" w:fill="auto"/>
            <w:vAlign w:val="bottom"/>
            <w:hideMark/>
          </w:tcPr>
          <w:p w14:paraId="1CC67761" w14:textId="77777777" w:rsidR="00CD2482" w:rsidRPr="00CD2482" w:rsidRDefault="00CD2482" w:rsidP="00CD2482">
            <w:pPr>
              <w:spacing w:after="0" w:line="240" w:lineRule="auto"/>
              <w:rPr>
                <w:rFonts w:ascii="Calibri" w:eastAsia="Times New Roman" w:hAnsi="Calibri" w:cs="Arial"/>
                <w:sz w:val="20"/>
                <w:szCs w:val="20"/>
                <w:lang w:eastAsia="cs-CZ"/>
              </w:rPr>
            </w:pPr>
            <w:r w:rsidRPr="00CD2482">
              <w:rPr>
                <w:rFonts w:ascii="Calibri" w:eastAsia="Times New Roman" w:hAnsi="Calibri" w:cs="Arial"/>
                <w:sz w:val="20"/>
                <w:szCs w:val="20"/>
                <w:lang w:eastAsia="cs-CZ"/>
              </w:rPr>
              <w:t xml:space="preserve">Investiční výdaje </w:t>
            </w:r>
          </w:p>
        </w:tc>
        <w:tc>
          <w:tcPr>
            <w:tcW w:w="1416" w:type="dxa"/>
            <w:tcBorders>
              <w:top w:val="single" w:sz="8" w:space="0" w:color="auto"/>
              <w:left w:val="nil"/>
              <w:bottom w:val="single" w:sz="4" w:space="0" w:color="auto"/>
              <w:right w:val="single" w:sz="4" w:space="0" w:color="auto"/>
            </w:tcBorders>
            <w:shd w:val="clear" w:color="auto" w:fill="auto"/>
            <w:noWrap/>
            <w:vAlign w:val="bottom"/>
            <w:hideMark/>
          </w:tcPr>
          <w:p w14:paraId="04DE8248"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300 000 000</w:t>
            </w:r>
          </w:p>
        </w:tc>
        <w:tc>
          <w:tcPr>
            <w:tcW w:w="2040" w:type="dxa"/>
            <w:tcBorders>
              <w:top w:val="single" w:sz="8" w:space="0" w:color="auto"/>
              <w:left w:val="nil"/>
              <w:bottom w:val="single" w:sz="4" w:space="0" w:color="auto"/>
              <w:right w:val="single" w:sz="4" w:space="0" w:color="auto"/>
            </w:tcBorders>
            <w:shd w:val="clear" w:color="auto" w:fill="auto"/>
            <w:noWrap/>
            <w:vAlign w:val="bottom"/>
            <w:hideMark/>
          </w:tcPr>
          <w:p w14:paraId="6738C6EA"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31 098 556,06</w:t>
            </w:r>
          </w:p>
        </w:tc>
        <w:tc>
          <w:tcPr>
            <w:tcW w:w="1830" w:type="dxa"/>
            <w:tcBorders>
              <w:top w:val="single" w:sz="8" w:space="0" w:color="auto"/>
              <w:left w:val="nil"/>
              <w:bottom w:val="single" w:sz="4" w:space="0" w:color="auto"/>
              <w:right w:val="single" w:sz="4" w:space="0" w:color="auto"/>
            </w:tcBorders>
            <w:shd w:val="clear" w:color="auto" w:fill="auto"/>
            <w:noWrap/>
            <w:vAlign w:val="bottom"/>
            <w:hideMark/>
          </w:tcPr>
          <w:p w14:paraId="0833F925"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0,00</w:t>
            </w:r>
          </w:p>
        </w:tc>
        <w:tc>
          <w:tcPr>
            <w:tcW w:w="722" w:type="dxa"/>
            <w:tcBorders>
              <w:top w:val="single" w:sz="8" w:space="0" w:color="auto"/>
              <w:left w:val="nil"/>
              <w:bottom w:val="single" w:sz="4" w:space="0" w:color="auto"/>
              <w:right w:val="single" w:sz="8" w:space="0" w:color="auto"/>
            </w:tcBorders>
            <w:shd w:val="clear" w:color="auto" w:fill="auto"/>
            <w:noWrap/>
            <w:vAlign w:val="bottom"/>
            <w:hideMark/>
          </w:tcPr>
          <w:p w14:paraId="4CE9B6C4"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0,0</w:t>
            </w:r>
          </w:p>
        </w:tc>
      </w:tr>
      <w:tr w:rsidR="00CD2482" w:rsidRPr="00CD2482" w14:paraId="2991FE46" w14:textId="77777777" w:rsidTr="00955D47">
        <w:trPr>
          <w:trHeight w:val="30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74F0073A"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1204</w:t>
            </w:r>
          </w:p>
        </w:tc>
        <w:tc>
          <w:tcPr>
            <w:tcW w:w="2785" w:type="dxa"/>
            <w:tcBorders>
              <w:top w:val="nil"/>
              <w:left w:val="nil"/>
              <w:bottom w:val="single" w:sz="4" w:space="0" w:color="auto"/>
              <w:right w:val="single" w:sz="4" w:space="0" w:color="auto"/>
            </w:tcBorders>
            <w:shd w:val="clear" w:color="auto" w:fill="auto"/>
            <w:vAlign w:val="bottom"/>
            <w:hideMark/>
          </w:tcPr>
          <w:p w14:paraId="37523EE5" w14:textId="77777777" w:rsidR="00CD2482" w:rsidRPr="00CD2482" w:rsidRDefault="00CD2482" w:rsidP="00CD2482">
            <w:pPr>
              <w:spacing w:after="0" w:line="240" w:lineRule="auto"/>
              <w:rPr>
                <w:rFonts w:ascii="Calibri" w:eastAsia="Times New Roman" w:hAnsi="Calibri" w:cs="Arial"/>
                <w:sz w:val="20"/>
                <w:szCs w:val="20"/>
                <w:lang w:eastAsia="cs-CZ"/>
              </w:rPr>
            </w:pPr>
            <w:r w:rsidRPr="00CD2482">
              <w:rPr>
                <w:rFonts w:ascii="Calibri" w:eastAsia="Times New Roman" w:hAnsi="Calibri" w:cs="Arial"/>
                <w:sz w:val="20"/>
                <w:szCs w:val="20"/>
                <w:lang w:eastAsia="cs-CZ"/>
              </w:rPr>
              <w:t>Doprava</w:t>
            </w:r>
          </w:p>
        </w:tc>
        <w:tc>
          <w:tcPr>
            <w:tcW w:w="1416" w:type="dxa"/>
            <w:tcBorders>
              <w:top w:val="nil"/>
              <w:left w:val="nil"/>
              <w:bottom w:val="single" w:sz="4" w:space="0" w:color="auto"/>
              <w:right w:val="single" w:sz="4" w:space="0" w:color="auto"/>
            </w:tcBorders>
            <w:shd w:val="clear" w:color="auto" w:fill="auto"/>
            <w:noWrap/>
            <w:vAlign w:val="bottom"/>
            <w:hideMark/>
          </w:tcPr>
          <w:p w14:paraId="6943B6B9"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0</w:t>
            </w:r>
          </w:p>
        </w:tc>
        <w:tc>
          <w:tcPr>
            <w:tcW w:w="2040" w:type="dxa"/>
            <w:tcBorders>
              <w:top w:val="nil"/>
              <w:left w:val="nil"/>
              <w:bottom w:val="single" w:sz="4" w:space="0" w:color="auto"/>
              <w:right w:val="single" w:sz="4" w:space="0" w:color="auto"/>
            </w:tcBorders>
            <w:shd w:val="clear" w:color="auto" w:fill="auto"/>
            <w:noWrap/>
            <w:vAlign w:val="bottom"/>
            <w:hideMark/>
          </w:tcPr>
          <w:p w14:paraId="65C5C7BF"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20 789 978,94</w:t>
            </w:r>
          </w:p>
        </w:tc>
        <w:tc>
          <w:tcPr>
            <w:tcW w:w="1830" w:type="dxa"/>
            <w:tcBorders>
              <w:top w:val="nil"/>
              <w:left w:val="nil"/>
              <w:bottom w:val="single" w:sz="4" w:space="0" w:color="auto"/>
              <w:right w:val="single" w:sz="4" w:space="0" w:color="auto"/>
            </w:tcBorders>
            <w:shd w:val="clear" w:color="auto" w:fill="auto"/>
            <w:noWrap/>
            <w:vAlign w:val="bottom"/>
            <w:hideMark/>
          </w:tcPr>
          <w:p w14:paraId="6F8CE3D8"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20 789 978,94</w:t>
            </w:r>
          </w:p>
        </w:tc>
        <w:tc>
          <w:tcPr>
            <w:tcW w:w="722" w:type="dxa"/>
            <w:tcBorders>
              <w:top w:val="nil"/>
              <w:left w:val="nil"/>
              <w:bottom w:val="single" w:sz="4" w:space="0" w:color="auto"/>
              <w:right w:val="single" w:sz="8" w:space="0" w:color="auto"/>
            </w:tcBorders>
            <w:shd w:val="clear" w:color="auto" w:fill="auto"/>
            <w:noWrap/>
            <w:vAlign w:val="bottom"/>
            <w:hideMark/>
          </w:tcPr>
          <w:p w14:paraId="0B0DC02C"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100,0</w:t>
            </w:r>
          </w:p>
        </w:tc>
      </w:tr>
      <w:tr w:rsidR="00CD2482" w:rsidRPr="00CD2482" w14:paraId="48F6EF61" w14:textId="77777777" w:rsidTr="00955D47">
        <w:trPr>
          <w:trHeight w:val="30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60D4964C"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1205</w:t>
            </w:r>
          </w:p>
        </w:tc>
        <w:tc>
          <w:tcPr>
            <w:tcW w:w="2785" w:type="dxa"/>
            <w:tcBorders>
              <w:top w:val="nil"/>
              <w:left w:val="nil"/>
              <w:bottom w:val="single" w:sz="4" w:space="0" w:color="auto"/>
              <w:right w:val="single" w:sz="4" w:space="0" w:color="auto"/>
            </w:tcBorders>
            <w:shd w:val="clear" w:color="auto" w:fill="auto"/>
            <w:vAlign w:val="bottom"/>
            <w:hideMark/>
          </w:tcPr>
          <w:p w14:paraId="5696DDC4" w14:textId="77777777" w:rsidR="00CD2482" w:rsidRPr="00CD2482" w:rsidRDefault="00CD2482" w:rsidP="00CD2482">
            <w:pPr>
              <w:spacing w:after="0" w:line="240" w:lineRule="auto"/>
              <w:rPr>
                <w:rFonts w:ascii="Calibri" w:eastAsia="Times New Roman" w:hAnsi="Calibri" w:cs="Arial"/>
                <w:sz w:val="20"/>
                <w:szCs w:val="20"/>
                <w:lang w:eastAsia="cs-CZ"/>
              </w:rPr>
            </w:pPr>
            <w:r w:rsidRPr="00CD2482">
              <w:rPr>
                <w:rFonts w:ascii="Calibri" w:eastAsia="Times New Roman" w:hAnsi="Calibri" w:cs="Arial"/>
                <w:sz w:val="20"/>
                <w:szCs w:val="20"/>
                <w:lang w:eastAsia="cs-CZ"/>
              </w:rPr>
              <w:t>Školství</w:t>
            </w:r>
          </w:p>
        </w:tc>
        <w:tc>
          <w:tcPr>
            <w:tcW w:w="1416" w:type="dxa"/>
            <w:tcBorders>
              <w:top w:val="nil"/>
              <w:left w:val="nil"/>
              <w:bottom w:val="single" w:sz="4" w:space="0" w:color="auto"/>
              <w:right w:val="single" w:sz="4" w:space="0" w:color="auto"/>
            </w:tcBorders>
            <w:shd w:val="clear" w:color="auto" w:fill="auto"/>
            <w:noWrap/>
            <w:vAlign w:val="bottom"/>
            <w:hideMark/>
          </w:tcPr>
          <w:p w14:paraId="74C68137"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0</w:t>
            </w:r>
          </w:p>
        </w:tc>
        <w:tc>
          <w:tcPr>
            <w:tcW w:w="2040" w:type="dxa"/>
            <w:tcBorders>
              <w:top w:val="nil"/>
              <w:left w:val="nil"/>
              <w:bottom w:val="single" w:sz="4" w:space="0" w:color="auto"/>
              <w:right w:val="single" w:sz="4" w:space="0" w:color="auto"/>
            </w:tcBorders>
            <w:shd w:val="clear" w:color="auto" w:fill="auto"/>
            <w:noWrap/>
            <w:vAlign w:val="bottom"/>
            <w:hideMark/>
          </w:tcPr>
          <w:p w14:paraId="7E581316"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123 456 465,00</w:t>
            </w:r>
          </w:p>
        </w:tc>
        <w:tc>
          <w:tcPr>
            <w:tcW w:w="1830" w:type="dxa"/>
            <w:tcBorders>
              <w:top w:val="nil"/>
              <w:left w:val="nil"/>
              <w:bottom w:val="single" w:sz="4" w:space="0" w:color="auto"/>
              <w:right w:val="single" w:sz="4" w:space="0" w:color="auto"/>
            </w:tcBorders>
            <w:shd w:val="clear" w:color="auto" w:fill="auto"/>
            <w:noWrap/>
            <w:vAlign w:val="bottom"/>
            <w:hideMark/>
          </w:tcPr>
          <w:p w14:paraId="13E139CB"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51 506 352,46</w:t>
            </w:r>
          </w:p>
        </w:tc>
        <w:tc>
          <w:tcPr>
            <w:tcW w:w="722" w:type="dxa"/>
            <w:tcBorders>
              <w:top w:val="nil"/>
              <w:left w:val="nil"/>
              <w:bottom w:val="nil"/>
              <w:right w:val="single" w:sz="8" w:space="0" w:color="auto"/>
            </w:tcBorders>
            <w:shd w:val="clear" w:color="auto" w:fill="auto"/>
            <w:noWrap/>
            <w:vAlign w:val="bottom"/>
            <w:hideMark/>
          </w:tcPr>
          <w:p w14:paraId="4272CB88"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41,7</w:t>
            </w:r>
          </w:p>
        </w:tc>
      </w:tr>
      <w:tr w:rsidR="00CD2482" w:rsidRPr="00CD2482" w14:paraId="435783ED" w14:textId="77777777" w:rsidTr="00955D47">
        <w:trPr>
          <w:trHeight w:val="323"/>
        </w:trPr>
        <w:tc>
          <w:tcPr>
            <w:tcW w:w="826" w:type="dxa"/>
            <w:tcBorders>
              <w:top w:val="nil"/>
              <w:left w:val="single" w:sz="8" w:space="0" w:color="auto"/>
              <w:bottom w:val="single" w:sz="8" w:space="0" w:color="auto"/>
              <w:right w:val="single" w:sz="4" w:space="0" w:color="auto"/>
            </w:tcBorders>
            <w:shd w:val="clear" w:color="auto" w:fill="auto"/>
            <w:noWrap/>
            <w:vAlign w:val="bottom"/>
            <w:hideMark/>
          </w:tcPr>
          <w:p w14:paraId="444A4750"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1207</w:t>
            </w:r>
          </w:p>
        </w:tc>
        <w:tc>
          <w:tcPr>
            <w:tcW w:w="2785" w:type="dxa"/>
            <w:tcBorders>
              <w:top w:val="nil"/>
              <w:left w:val="nil"/>
              <w:bottom w:val="single" w:sz="8" w:space="0" w:color="auto"/>
              <w:right w:val="single" w:sz="4" w:space="0" w:color="auto"/>
            </w:tcBorders>
            <w:shd w:val="clear" w:color="auto" w:fill="auto"/>
            <w:vAlign w:val="bottom"/>
            <w:hideMark/>
          </w:tcPr>
          <w:p w14:paraId="709E9131" w14:textId="77777777" w:rsidR="00CD2482" w:rsidRPr="00CD2482" w:rsidRDefault="00CD2482" w:rsidP="00CD2482">
            <w:pPr>
              <w:spacing w:after="0" w:line="240" w:lineRule="auto"/>
              <w:rPr>
                <w:rFonts w:ascii="Calibri" w:eastAsia="Times New Roman" w:hAnsi="Calibri" w:cs="Arial"/>
                <w:sz w:val="20"/>
                <w:szCs w:val="20"/>
                <w:lang w:eastAsia="cs-CZ"/>
              </w:rPr>
            </w:pPr>
            <w:r w:rsidRPr="00CD2482">
              <w:rPr>
                <w:rFonts w:ascii="Calibri" w:eastAsia="Times New Roman" w:hAnsi="Calibri" w:cs="Arial"/>
                <w:sz w:val="20"/>
                <w:szCs w:val="20"/>
                <w:lang w:eastAsia="cs-CZ"/>
              </w:rPr>
              <w:t>Zdravotnictví</w:t>
            </w:r>
          </w:p>
        </w:tc>
        <w:tc>
          <w:tcPr>
            <w:tcW w:w="1416" w:type="dxa"/>
            <w:tcBorders>
              <w:top w:val="nil"/>
              <w:left w:val="nil"/>
              <w:bottom w:val="single" w:sz="8" w:space="0" w:color="auto"/>
              <w:right w:val="single" w:sz="4" w:space="0" w:color="auto"/>
            </w:tcBorders>
            <w:shd w:val="clear" w:color="auto" w:fill="auto"/>
            <w:noWrap/>
            <w:vAlign w:val="bottom"/>
            <w:hideMark/>
          </w:tcPr>
          <w:p w14:paraId="0E34E96F"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0</w:t>
            </w:r>
          </w:p>
        </w:tc>
        <w:tc>
          <w:tcPr>
            <w:tcW w:w="2040" w:type="dxa"/>
            <w:tcBorders>
              <w:top w:val="nil"/>
              <w:left w:val="nil"/>
              <w:bottom w:val="single" w:sz="8" w:space="0" w:color="auto"/>
              <w:right w:val="single" w:sz="4" w:space="0" w:color="auto"/>
            </w:tcBorders>
            <w:shd w:val="clear" w:color="auto" w:fill="auto"/>
            <w:noWrap/>
            <w:vAlign w:val="bottom"/>
            <w:hideMark/>
          </w:tcPr>
          <w:p w14:paraId="1EEBF8B4"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324 655 000,00</w:t>
            </w:r>
          </w:p>
        </w:tc>
        <w:tc>
          <w:tcPr>
            <w:tcW w:w="1830" w:type="dxa"/>
            <w:tcBorders>
              <w:top w:val="nil"/>
              <w:left w:val="nil"/>
              <w:bottom w:val="single" w:sz="8" w:space="0" w:color="auto"/>
              <w:right w:val="single" w:sz="4" w:space="0" w:color="auto"/>
            </w:tcBorders>
            <w:shd w:val="clear" w:color="auto" w:fill="auto"/>
            <w:noWrap/>
            <w:vAlign w:val="bottom"/>
            <w:hideMark/>
          </w:tcPr>
          <w:p w14:paraId="5DB0DFC4"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244 743 846,22</w:t>
            </w:r>
          </w:p>
        </w:tc>
        <w:tc>
          <w:tcPr>
            <w:tcW w:w="722" w:type="dxa"/>
            <w:tcBorders>
              <w:top w:val="single" w:sz="4" w:space="0" w:color="auto"/>
              <w:left w:val="nil"/>
              <w:bottom w:val="single" w:sz="8" w:space="0" w:color="auto"/>
              <w:right w:val="single" w:sz="8" w:space="0" w:color="auto"/>
            </w:tcBorders>
            <w:shd w:val="clear" w:color="auto" w:fill="auto"/>
            <w:noWrap/>
            <w:vAlign w:val="bottom"/>
            <w:hideMark/>
          </w:tcPr>
          <w:p w14:paraId="65853BE4"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75,4</w:t>
            </w:r>
          </w:p>
        </w:tc>
      </w:tr>
      <w:tr w:rsidR="00CD2482" w:rsidRPr="00CD2482" w14:paraId="359803BF" w14:textId="77777777" w:rsidTr="00955D47">
        <w:trPr>
          <w:trHeight w:val="320"/>
        </w:trPr>
        <w:tc>
          <w:tcPr>
            <w:tcW w:w="826" w:type="dxa"/>
            <w:tcBorders>
              <w:top w:val="nil"/>
              <w:left w:val="single" w:sz="8" w:space="0" w:color="auto"/>
              <w:bottom w:val="single" w:sz="8" w:space="0" w:color="auto"/>
              <w:right w:val="single" w:sz="4" w:space="0" w:color="auto"/>
            </w:tcBorders>
            <w:shd w:val="clear" w:color="auto" w:fill="auto"/>
            <w:noWrap/>
            <w:vAlign w:val="bottom"/>
            <w:hideMark/>
          </w:tcPr>
          <w:p w14:paraId="0F6CFCBC" w14:textId="77777777" w:rsidR="00CD2482" w:rsidRPr="00CD2482" w:rsidRDefault="00CD2482" w:rsidP="00CD2482">
            <w:pPr>
              <w:spacing w:after="0" w:line="240" w:lineRule="auto"/>
              <w:jc w:val="center"/>
              <w:rPr>
                <w:rFonts w:ascii="Calibri" w:eastAsia="Times New Roman" w:hAnsi="Calibri" w:cs="Arial"/>
                <w:lang w:eastAsia="cs-CZ"/>
              </w:rPr>
            </w:pPr>
            <w:r w:rsidRPr="00CD2482">
              <w:rPr>
                <w:rFonts w:ascii="Calibri" w:eastAsia="Times New Roman" w:hAnsi="Calibri" w:cs="Arial"/>
                <w:lang w:eastAsia="cs-CZ"/>
              </w:rPr>
              <w:t> </w:t>
            </w:r>
          </w:p>
        </w:tc>
        <w:tc>
          <w:tcPr>
            <w:tcW w:w="2785" w:type="dxa"/>
            <w:tcBorders>
              <w:top w:val="nil"/>
              <w:left w:val="nil"/>
              <w:bottom w:val="single" w:sz="8" w:space="0" w:color="auto"/>
              <w:right w:val="single" w:sz="4" w:space="0" w:color="auto"/>
            </w:tcBorders>
            <w:shd w:val="clear" w:color="auto" w:fill="auto"/>
            <w:noWrap/>
            <w:vAlign w:val="bottom"/>
            <w:hideMark/>
          </w:tcPr>
          <w:p w14:paraId="63285F68" w14:textId="77777777" w:rsidR="00CD2482" w:rsidRPr="00CD2482" w:rsidRDefault="00CD2482" w:rsidP="00CD2482">
            <w:pPr>
              <w:spacing w:after="0" w:line="240" w:lineRule="auto"/>
              <w:rPr>
                <w:rFonts w:ascii="Calibri" w:eastAsia="Times New Roman" w:hAnsi="Calibri" w:cs="Arial"/>
                <w:b/>
                <w:bCs/>
                <w:lang w:eastAsia="cs-CZ"/>
              </w:rPr>
            </w:pPr>
            <w:r w:rsidRPr="00CD2482">
              <w:rPr>
                <w:rFonts w:ascii="Calibri" w:eastAsia="Times New Roman" w:hAnsi="Calibri" w:cs="Arial"/>
                <w:b/>
                <w:bCs/>
                <w:lang w:eastAsia="cs-CZ"/>
              </w:rPr>
              <w:t>Celkem</w:t>
            </w:r>
          </w:p>
        </w:tc>
        <w:tc>
          <w:tcPr>
            <w:tcW w:w="1416" w:type="dxa"/>
            <w:tcBorders>
              <w:top w:val="nil"/>
              <w:left w:val="nil"/>
              <w:bottom w:val="single" w:sz="8" w:space="0" w:color="auto"/>
              <w:right w:val="single" w:sz="4" w:space="0" w:color="auto"/>
            </w:tcBorders>
            <w:shd w:val="clear" w:color="auto" w:fill="auto"/>
            <w:noWrap/>
            <w:vAlign w:val="bottom"/>
            <w:hideMark/>
          </w:tcPr>
          <w:p w14:paraId="1EE111F1" w14:textId="77777777" w:rsidR="00CD2482" w:rsidRPr="00CD2482" w:rsidRDefault="00CD2482" w:rsidP="00CD2482">
            <w:pPr>
              <w:spacing w:after="0" w:line="240" w:lineRule="auto"/>
              <w:jc w:val="right"/>
              <w:rPr>
                <w:rFonts w:ascii="Calibri" w:eastAsia="Times New Roman" w:hAnsi="Calibri" w:cs="Arial"/>
                <w:b/>
                <w:bCs/>
                <w:lang w:eastAsia="cs-CZ"/>
              </w:rPr>
            </w:pPr>
            <w:r w:rsidRPr="00CD2482">
              <w:rPr>
                <w:rFonts w:ascii="Calibri" w:eastAsia="Times New Roman" w:hAnsi="Calibri" w:cs="Arial"/>
                <w:b/>
                <w:bCs/>
                <w:lang w:eastAsia="cs-CZ"/>
              </w:rPr>
              <w:t>300 000 000</w:t>
            </w:r>
          </w:p>
        </w:tc>
        <w:tc>
          <w:tcPr>
            <w:tcW w:w="2040" w:type="dxa"/>
            <w:tcBorders>
              <w:top w:val="nil"/>
              <w:left w:val="nil"/>
              <w:bottom w:val="single" w:sz="8" w:space="0" w:color="auto"/>
              <w:right w:val="single" w:sz="4" w:space="0" w:color="auto"/>
            </w:tcBorders>
            <w:shd w:val="clear" w:color="auto" w:fill="auto"/>
            <w:noWrap/>
            <w:vAlign w:val="bottom"/>
            <w:hideMark/>
          </w:tcPr>
          <w:p w14:paraId="3B7A1960" w14:textId="77777777" w:rsidR="00CD2482" w:rsidRPr="00CD2482" w:rsidRDefault="00CD2482" w:rsidP="00CD2482">
            <w:pPr>
              <w:spacing w:after="0" w:line="240" w:lineRule="auto"/>
              <w:jc w:val="right"/>
              <w:rPr>
                <w:rFonts w:ascii="Calibri" w:eastAsia="Times New Roman" w:hAnsi="Calibri" w:cs="Arial"/>
                <w:b/>
                <w:bCs/>
                <w:lang w:eastAsia="cs-CZ"/>
              </w:rPr>
            </w:pPr>
            <w:r w:rsidRPr="00CD2482">
              <w:rPr>
                <w:rFonts w:ascii="Calibri" w:eastAsia="Times New Roman" w:hAnsi="Calibri" w:cs="Arial"/>
                <w:b/>
                <w:bCs/>
                <w:lang w:eastAsia="cs-CZ"/>
              </w:rPr>
              <w:t>500 000 000,00</w:t>
            </w:r>
          </w:p>
        </w:tc>
        <w:tc>
          <w:tcPr>
            <w:tcW w:w="1830" w:type="dxa"/>
            <w:tcBorders>
              <w:top w:val="nil"/>
              <w:left w:val="nil"/>
              <w:bottom w:val="single" w:sz="8" w:space="0" w:color="auto"/>
              <w:right w:val="single" w:sz="4" w:space="0" w:color="auto"/>
            </w:tcBorders>
            <w:shd w:val="clear" w:color="auto" w:fill="auto"/>
            <w:noWrap/>
            <w:vAlign w:val="bottom"/>
            <w:hideMark/>
          </w:tcPr>
          <w:p w14:paraId="562C5503" w14:textId="77777777" w:rsidR="00CD2482" w:rsidRPr="00CD2482" w:rsidRDefault="00CD2482" w:rsidP="00CD2482">
            <w:pPr>
              <w:spacing w:after="0" w:line="240" w:lineRule="auto"/>
              <w:jc w:val="right"/>
              <w:rPr>
                <w:rFonts w:ascii="Calibri" w:eastAsia="Times New Roman" w:hAnsi="Calibri" w:cs="Arial"/>
                <w:b/>
                <w:bCs/>
                <w:lang w:eastAsia="cs-CZ"/>
              </w:rPr>
            </w:pPr>
            <w:r w:rsidRPr="00CD2482">
              <w:rPr>
                <w:rFonts w:ascii="Calibri" w:eastAsia="Times New Roman" w:hAnsi="Calibri" w:cs="Arial"/>
                <w:b/>
                <w:bCs/>
                <w:lang w:eastAsia="cs-CZ"/>
              </w:rPr>
              <w:t>317 040 177,62</w:t>
            </w:r>
          </w:p>
        </w:tc>
        <w:tc>
          <w:tcPr>
            <w:tcW w:w="722" w:type="dxa"/>
            <w:tcBorders>
              <w:top w:val="nil"/>
              <w:left w:val="nil"/>
              <w:bottom w:val="single" w:sz="8" w:space="0" w:color="auto"/>
              <w:right w:val="single" w:sz="8" w:space="0" w:color="auto"/>
            </w:tcBorders>
            <w:shd w:val="clear" w:color="auto" w:fill="auto"/>
            <w:noWrap/>
            <w:vAlign w:val="bottom"/>
            <w:hideMark/>
          </w:tcPr>
          <w:p w14:paraId="7DC62575" w14:textId="77777777" w:rsidR="00CD2482" w:rsidRPr="00CD2482" w:rsidRDefault="00CD2482" w:rsidP="00CD2482">
            <w:pPr>
              <w:spacing w:after="0" w:line="240" w:lineRule="auto"/>
              <w:jc w:val="right"/>
              <w:rPr>
                <w:rFonts w:ascii="Calibri" w:eastAsia="Times New Roman" w:hAnsi="Calibri" w:cs="Arial"/>
                <w:b/>
                <w:bCs/>
                <w:lang w:eastAsia="cs-CZ"/>
              </w:rPr>
            </w:pPr>
            <w:r w:rsidRPr="00CD2482">
              <w:rPr>
                <w:rFonts w:ascii="Calibri" w:eastAsia="Times New Roman" w:hAnsi="Calibri" w:cs="Arial"/>
                <w:b/>
                <w:bCs/>
                <w:lang w:eastAsia="cs-CZ"/>
              </w:rPr>
              <w:t>63,4</w:t>
            </w:r>
          </w:p>
        </w:tc>
      </w:tr>
      <w:tr w:rsidR="00CD2482" w:rsidRPr="00CD2482" w14:paraId="423FC81B" w14:textId="77777777" w:rsidTr="00955D47">
        <w:trPr>
          <w:trHeight w:val="300"/>
        </w:trPr>
        <w:tc>
          <w:tcPr>
            <w:tcW w:w="826" w:type="dxa"/>
            <w:tcBorders>
              <w:top w:val="nil"/>
              <w:left w:val="nil"/>
              <w:bottom w:val="nil"/>
              <w:right w:val="nil"/>
            </w:tcBorders>
            <w:shd w:val="clear" w:color="auto" w:fill="auto"/>
            <w:noWrap/>
            <w:vAlign w:val="center"/>
            <w:hideMark/>
          </w:tcPr>
          <w:p w14:paraId="23D4952C" w14:textId="77777777" w:rsidR="00CD2482" w:rsidRPr="00CD2482" w:rsidRDefault="00CD2482" w:rsidP="00CD2482">
            <w:pPr>
              <w:spacing w:after="0" w:line="240" w:lineRule="auto"/>
              <w:jc w:val="right"/>
              <w:rPr>
                <w:rFonts w:ascii="Calibri" w:eastAsia="Times New Roman" w:hAnsi="Calibri" w:cs="Arial"/>
                <w:b/>
                <w:bCs/>
                <w:lang w:eastAsia="cs-CZ"/>
              </w:rPr>
            </w:pPr>
          </w:p>
        </w:tc>
        <w:tc>
          <w:tcPr>
            <w:tcW w:w="2785" w:type="dxa"/>
            <w:tcBorders>
              <w:top w:val="nil"/>
              <w:left w:val="nil"/>
              <w:bottom w:val="nil"/>
              <w:right w:val="nil"/>
            </w:tcBorders>
            <w:shd w:val="clear" w:color="auto" w:fill="auto"/>
            <w:noWrap/>
            <w:vAlign w:val="center"/>
            <w:hideMark/>
          </w:tcPr>
          <w:p w14:paraId="2D6B8A35" w14:textId="77777777" w:rsidR="00CD2482" w:rsidRPr="00CD2482" w:rsidRDefault="00CD2482" w:rsidP="00CD2482">
            <w:pPr>
              <w:spacing w:after="0" w:line="240" w:lineRule="auto"/>
              <w:jc w:val="center"/>
              <w:rPr>
                <w:rFonts w:ascii="Times New Roman" w:eastAsia="Times New Roman" w:hAnsi="Times New Roman" w:cs="Times New Roman"/>
                <w:sz w:val="20"/>
                <w:szCs w:val="20"/>
                <w:lang w:eastAsia="cs-CZ"/>
              </w:rPr>
            </w:pPr>
          </w:p>
        </w:tc>
        <w:tc>
          <w:tcPr>
            <w:tcW w:w="1416" w:type="dxa"/>
            <w:tcBorders>
              <w:top w:val="nil"/>
              <w:left w:val="nil"/>
              <w:bottom w:val="nil"/>
              <w:right w:val="nil"/>
            </w:tcBorders>
            <w:shd w:val="clear" w:color="auto" w:fill="auto"/>
            <w:noWrap/>
            <w:vAlign w:val="center"/>
            <w:hideMark/>
          </w:tcPr>
          <w:p w14:paraId="11A1E933" w14:textId="77777777" w:rsidR="00CD2482" w:rsidRPr="00CD2482" w:rsidRDefault="00CD2482" w:rsidP="00CD2482">
            <w:pPr>
              <w:spacing w:after="0" w:line="240" w:lineRule="auto"/>
              <w:rPr>
                <w:rFonts w:ascii="Times New Roman" w:eastAsia="Times New Roman" w:hAnsi="Times New Roman" w:cs="Times New Roman"/>
                <w:sz w:val="20"/>
                <w:szCs w:val="20"/>
                <w:lang w:eastAsia="cs-CZ"/>
              </w:rPr>
            </w:pPr>
          </w:p>
        </w:tc>
        <w:tc>
          <w:tcPr>
            <w:tcW w:w="2040" w:type="dxa"/>
            <w:tcBorders>
              <w:top w:val="nil"/>
              <w:left w:val="nil"/>
              <w:bottom w:val="nil"/>
              <w:right w:val="nil"/>
            </w:tcBorders>
            <w:shd w:val="clear" w:color="auto" w:fill="auto"/>
            <w:noWrap/>
            <w:vAlign w:val="center"/>
            <w:hideMark/>
          </w:tcPr>
          <w:p w14:paraId="0B7C0A1E" w14:textId="77777777" w:rsidR="00CD2482" w:rsidRPr="00CD2482" w:rsidRDefault="00CD2482" w:rsidP="00CD2482">
            <w:pPr>
              <w:spacing w:after="0" w:line="240" w:lineRule="auto"/>
              <w:jc w:val="right"/>
              <w:rPr>
                <w:rFonts w:ascii="Times New Roman" w:eastAsia="Times New Roman" w:hAnsi="Times New Roman" w:cs="Times New Roman"/>
                <w:sz w:val="20"/>
                <w:szCs w:val="20"/>
                <w:lang w:eastAsia="cs-CZ"/>
              </w:rPr>
            </w:pPr>
          </w:p>
        </w:tc>
        <w:tc>
          <w:tcPr>
            <w:tcW w:w="1830" w:type="dxa"/>
            <w:tcBorders>
              <w:top w:val="nil"/>
              <w:left w:val="nil"/>
              <w:bottom w:val="nil"/>
              <w:right w:val="nil"/>
            </w:tcBorders>
            <w:shd w:val="clear" w:color="auto" w:fill="auto"/>
            <w:noWrap/>
            <w:vAlign w:val="center"/>
            <w:hideMark/>
          </w:tcPr>
          <w:p w14:paraId="309CEA68" w14:textId="77777777" w:rsidR="00CD2482" w:rsidRPr="00CD2482" w:rsidRDefault="00CD2482" w:rsidP="00CD2482">
            <w:pPr>
              <w:spacing w:after="0" w:line="240" w:lineRule="auto"/>
              <w:jc w:val="right"/>
              <w:rPr>
                <w:rFonts w:ascii="Times New Roman" w:eastAsia="Times New Roman" w:hAnsi="Times New Roman" w:cs="Times New Roman"/>
                <w:sz w:val="20"/>
                <w:szCs w:val="20"/>
                <w:lang w:eastAsia="cs-CZ"/>
              </w:rPr>
            </w:pPr>
          </w:p>
        </w:tc>
        <w:tc>
          <w:tcPr>
            <w:tcW w:w="722" w:type="dxa"/>
            <w:tcBorders>
              <w:top w:val="nil"/>
              <w:left w:val="nil"/>
              <w:bottom w:val="nil"/>
              <w:right w:val="nil"/>
            </w:tcBorders>
            <w:shd w:val="clear" w:color="auto" w:fill="auto"/>
            <w:noWrap/>
            <w:vAlign w:val="center"/>
            <w:hideMark/>
          </w:tcPr>
          <w:p w14:paraId="0ED95287" w14:textId="77777777" w:rsidR="00CD2482" w:rsidRPr="00CD2482" w:rsidRDefault="00CD2482" w:rsidP="00CD2482">
            <w:pPr>
              <w:spacing w:after="0" w:line="240" w:lineRule="auto"/>
              <w:jc w:val="right"/>
              <w:rPr>
                <w:rFonts w:ascii="Times New Roman" w:eastAsia="Times New Roman" w:hAnsi="Times New Roman" w:cs="Times New Roman"/>
                <w:sz w:val="20"/>
                <w:szCs w:val="20"/>
                <w:lang w:eastAsia="cs-CZ"/>
              </w:rPr>
            </w:pPr>
          </w:p>
        </w:tc>
      </w:tr>
      <w:tr w:rsidR="00CD2482" w:rsidRPr="00CD2482" w14:paraId="6933E85F" w14:textId="77777777" w:rsidTr="00955D47">
        <w:trPr>
          <w:trHeight w:val="360"/>
        </w:trPr>
        <w:tc>
          <w:tcPr>
            <w:tcW w:w="826" w:type="dxa"/>
            <w:tcBorders>
              <w:top w:val="nil"/>
              <w:left w:val="nil"/>
              <w:bottom w:val="nil"/>
              <w:right w:val="nil"/>
            </w:tcBorders>
            <w:shd w:val="clear" w:color="auto" w:fill="auto"/>
            <w:noWrap/>
            <w:vAlign w:val="center"/>
            <w:hideMark/>
          </w:tcPr>
          <w:p w14:paraId="23EC7D17" w14:textId="77777777" w:rsidR="00CD2482" w:rsidRPr="00CD2482" w:rsidRDefault="00CD2482" w:rsidP="00CD2482">
            <w:pPr>
              <w:spacing w:after="0" w:line="240" w:lineRule="auto"/>
              <w:jc w:val="right"/>
              <w:rPr>
                <w:rFonts w:ascii="Times New Roman" w:eastAsia="Times New Roman" w:hAnsi="Times New Roman" w:cs="Times New Roman"/>
                <w:sz w:val="20"/>
                <w:szCs w:val="20"/>
                <w:lang w:eastAsia="cs-CZ"/>
              </w:rPr>
            </w:pPr>
          </w:p>
        </w:tc>
        <w:tc>
          <w:tcPr>
            <w:tcW w:w="8793" w:type="dxa"/>
            <w:gridSpan w:val="5"/>
            <w:tcBorders>
              <w:top w:val="nil"/>
              <w:left w:val="nil"/>
              <w:bottom w:val="nil"/>
              <w:right w:val="nil"/>
            </w:tcBorders>
            <w:shd w:val="clear" w:color="auto" w:fill="auto"/>
            <w:noWrap/>
            <w:vAlign w:val="bottom"/>
            <w:hideMark/>
          </w:tcPr>
          <w:p w14:paraId="4287A78F" w14:textId="77777777" w:rsidR="00CD2482" w:rsidRPr="00CD2482" w:rsidRDefault="00CD2482" w:rsidP="00CD2482">
            <w:pPr>
              <w:spacing w:after="0" w:line="240" w:lineRule="auto"/>
              <w:rPr>
                <w:rFonts w:ascii="Calibri" w:eastAsia="Times New Roman" w:hAnsi="Calibri" w:cs="Arial"/>
                <w:b/>
                <w:bCs/>
                <w:lang w:eastAsia="cs-CZ"/>
              </w:rPr>
            </w:pPr>
            <w:r w:rsidRPr="00CD2482">
              <w:rPr>
                <w:rFonts w:ascii="Calibri" w:eastAsia="Times New Roman" w:hAnsi="Calibri" w:cs="Arial"/>
                <w:b/>
                <w:bCs/>
                <w:lang w:eastAsia="cs-CZ"/>
              </w:rPr>
              <w:t>Kapitálové (investiční) výdaje nezařazené v Zásobníku investic hrazené z úvěru přijatého od EIB</w:t>
            </w:r>
          </w:p>
        </w:tc>
      </w:tr>
      <w:tr w:rsidR="00CD2482" w:rsidRPr="00CD2482" w14:paraId="356ED48B" w14:textId="77777777" w:rsidTr="00955D47">
        <w:trPr>
          <w:trHeight w:val="300"/>
        </w:trPr>
        <w:tc>
          <w:tcPr>
            <w:tcW w:w="826"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07667309" w14:textId="77777777" w:rsidR="00CD2482" w:rsidRPr="00CD2482" w:rsidRDefault="00CD2482" w:rsidP="00CD2482">
            <w:pPr>
              <w:spacing w:after="0" w:line="240" w:lineRule="auto"/>
              <w:jc w:val="center"/>
              <w:rPr>
                <w:rFonts w:ascii="Calibri" w:eastAsia="Times New Roman" w:hAnsi="Calibri" w:cs="Arial"/>
                <w:sz w:val="20"/>
                <w:szCs w:val="20"/>
                <w:lang w:eastAsia="cs-CZ"/>
              </w:rPr>
            </w:pPr>
            <w:r w:rsidRPr="00CD2482">
              <w:rPr>
                <w:rFonts w:ascii="Calibri" w:eastAsia="Times New Roman" w:hAnsi="Calibri" w:cs="Arial"/>
                <w:sz w:val="20"/>
                <w:szCs w:val="20"/>
                <w:lang w:eastAsia="cs-CZ"/>
              </w:rPr>
              <w:t>1200</w:t>
            </w:r>
          </w:p>
        </w:tc>
        <w:tc>
          <w:tcPr>
            <w:tcW w:w="2785" w:type="dxa"/>
            <w:tcBorders>
              <w:top w:val="single" w:sz="8" w:space="0" w:color="auto"/>
              <w:left w:val="nil"/>
              <w:bottom w:val="single" w:sz="4" w:space="0" w:color="auto"/>
              <w:right w:val="single" w:sz="4" w:space="0" w:color="auto"/>
            </w:tcBorders>
            <w:shd w:val="clear" w:color="auto" w:fill="auto"/>
            <w:vAlign w:val="bottom"/>
            <w:hideMark/>
          </w:tcPr>
          <w:p w14:paraId="0057D0AD" w14:textId="77777777" w:rsidR="00CD2482" w:rsidRPr="00CD2482" w:rsidRDefault="00CD2482" w:rsidP="00CD2482">
            <w:pPr>
              <w:spacing w:after="0" w:line="240" w:lineRule="auto"/>
              <w:rPr>
                <w:rFonts w:ascii="Calibri" w:eastAsia="Times New Roman" w:hAnsi="Calibri" w:cs="Arial"/>
                <w:sz w:val="20"/>
                <w:szCs w:val="20"/>
                <w:lang w:eastAsia="cs-CZ"/>
              </w:rPr>
            </w:pPr>
            <w:r w:rsidRPr="00CD2482">
              <w:rPr>
                <w:rFonts w:ascii="Calibri" w:eastAsia="Times New Roman" w:hAnsi="Calibri" w:cs="Arial"/>
                <w:sz w:val="20"/>
                <w:szCs w:val="20"/>
                <w:lang w:eastAsia="cs-CZ"/>
              </w:rPr>
              <w:t xml:space="preserve">Investiční výdaje </w:t>
            </w:r>
          </w:p>
        </w:tc>
        <w:tc>
          <w:tcPr>
            <w:tcW w:w="1416" w:type="dxa"/>
            <w:tcBorders>
              <w:top w:val="single" w:sz="8" w:space="0" w:color="auto"/>
              <w:left w:val="nil"/>
              <w:bottom w:val="single" w:sz="4" w:space="0" w:color="auto"/>
              <w:right w:val="single" w:sz="4" w:space="0" w:color="auto"/>
            </w:tcBorders>
            <w:shd w:val="clear" w:color="auto" w:fill="auto"/>
            <w:noWrap/>
            <w:vAlign w:val="bottom"/>
            <w:hideMark/>
          </w:tcPr>
          <w:p w14:paraId="43ED3D5C"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200 000 000</w:t>
            </w:r>
          </w:p>
        </w:tc>
        <w:tc>
          <w:tcPr>
            <w:tcW w:w="2040" w:type="dxa"/>
            <w:tcBorders>
              <w:top w:val="single" w:sz="8" w:space="0" w:color="auto"/>
              <w:left w:val="nil"/>
              <w:bottom w:val="single" w:sz="4" w:space="0" w:color="auto"/>
              <w:right w:val="single" w:sz="4" w:space="0" w:color="auto"/>
            </w:tcBorders>
            <w:shd w:val="clear" w:color="auto" w:fill="auto"/>
            <w:noWrap/>
            <w:vAlign w:val="bottom"/>
            <w:hideMark/>
          </w:tcPr>
          <w:p w14:paraId="7F57DB52"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0,00</w:t>
            </w:r>
          </w:p>
        </w:tc>
        <w:tc>
          <w:tcPr>
            <w:tcW w:w="1830" w:type="dxa"/>
            <w:tcBorders>
              <w:top w:val="single" w:sz="8" w:space="0" w:color="auto"/>
              <w:left w:val="nil"/>
              <w:bottom w:val="single" w:sz="4" w:space="0" w:color="auto"/>
              <w:right w:val="single" w:sz="4" w:space="0" w:color="auto"/>
            </w:tcBorders>
            <w:shd w:val="clear" w:color="auto" w:fill="auto"/>
            <w:noWrap/>
            <w:vAlign w:val="bottom"/>
            <w:hideMark/>
          </w:tcPr>
          <w:p w14:paraId="6885CC67"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0,00</w:t>
            </w:r>
          </w:p>
        </w:tc>
        <w:tc>
          <w:tcPr>
            <w:tcW w:w="722" w:type="dxa"/>
            <w:tcBorders>
              <w:top w:val="single" w:sz="8" w:space="0" w:color="auto"/>
              <w:left w:val="nil"/>
              <w:bottom w:val="single" w:sz="4" w:space="0" w:color="auto"/>
              <w:right w:val="single" w:sz="8" w:space="0" w:color="auto"/>
            </w:tcBorders>
            <w:shd w:val="clear" w:color="auto" w:fill="auto"/>
            <w:noWrap/>
            <w:vAlign w:val="bottom"/>
            <w:hideMark/>
          </w:tcPr>
          <w:p w14:paraId="6FFF6FBF" w14:textId="77777777" w:rsidR="00CD2482" w:rsidRPr="00CD2482" w:rsidRDefault="00CD2482" w:rsidP="00CD2482">
            <w:pPr>
              <w:spacing w:after="0" w:line="240" w:lineRule="auto"/>
              <w:jc w:val="right"/>
              <w:rPr>
                <w:rFonts w:ascii="Calibri" w:eastAsia="Times New Roman" w:hAnsi="Calibri" w:cs="Arial"/>
                <w:sz w:val="20"/>
                <w:szCs w:val="20"/>
                <w:lang w:eastAsia="cs-CZ"/>
              </w:rPr>
            </w:pPr>
            <w:r w:rsidRPr="00CD2482">
              <w:rPr>
                <w:rFonts w:ascii="Calibri" w:eastAsia="Times New Roman" w:hAnsi="Calibri" w:cs="Arial"/>
                <w:sz w:val="20"/>
                <w:szCs w:val="20"/>
                <w:lang w:eastAsia="cs-CZ"/>
              </w:rPr>
              <w:t>-</w:t>
            </w:r>
          </w:p>
        </w:tc>
      </w:tr>
      <w:tr w:rsidR="00CD2482" w:rsidRPr="00CD2482" w14:paraId="6343FDAC" w14:textId="77777777" w:rsidTr="00955D47">
        <w:trPr>
          <w:trHeight w:val="320"/>
        </w:trPr>
        <w:tc>
          <w:tcPr>
            <w:tcW w:w="826"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77DCB089" w14:textId="77777777" w:rsidR="00CD2482" w:rsidRPr="00CD2482" w:rsidRDefault="00CD2482" w:rsidP="00CD2482">
            <w:pPr>
              <w:spacing w:after="0" w:line="240" w:lineRule="auto"/>
              <w:jc w:val="center"/>
              <w:rPr>
                <w:rFonts w:ascii="Calibri" w:eastAsia="Times New Roman" w:hAnsi="Calibri" w:cs="Arial"/>
                <w:lang w:eastAsia="cs-CZ"/>
              </w:rPr>
            </w:pPr>
            <w:r w:rsidRPr="00CD2482">
              <w:rPr>
                <w:rFonts w:ascii="Calibri" w:eastAsia="Times New Roman" w:hAnsi="Calibri" w:cs="Arial"/>
                <w:lang w:eastAsia="cs-CZ"/>
              </w:rPr>
              <w:t> </w:t>
            </w:r>
          </w:p>
        </w:tc>
        <w:tc>
          <w:tcPr>
            <w:tcW w:w="2785" w:type="dxa"/>
            <w:tcBorders>
              <w:top w:val="single" w:sz="8" w:space="0" w:color="auto"/>
              <w:left w:val="nil"/>
              <w:bottom w:val="single" w:sz="8" w:space="0" w:color="auto"/>
              <w:right w:val="single" w:sz="4" w:space="0" w:color="auto"/>
            </w:tcBorders>
            <w:shd w:val="clear" w:color="auto" w:fill="auto"/>
            <w:noWrap/>
            <w:vAlign w:val="bottom"/>
            <w:hideMark/>
          </w:tcPr>
          <w:p w14:paraId="686D6204" w14:textId="77777777" w:rsidR="00CD2482" w:rsidRPr="00CD2482" w:rsidRDefault="00CD2482" w:rsidP="00CD2482">
            <w:pPr>
              <w:spacing w:after="0" w:line="240" w:lineRule="auto"/>
              <w:rPr>
                <w:rFonts w:ascii="Calibri" w:eastAsia="Times New Roman" w:hAnsi="Calibri" w:cs="Arial"/>
                <w:b/>
                <w:bCs/>
                <w:lang w:eastAsia="cs-CZ"/>
              </w:rPr>
            </w:pPr>
            <w:r w:rsidRPr="00CD2482">
              <w:rPr>
                <w:rFonts w:ascii="Calibri" w:eastAsia="Times New Roman" w:hAnsi="Calibri" w:cs="Arial"/>
                <w:b/>
                <w:bCs/>
                <w:lang w:eastAsia="cs-CZ"/>
              </w:rPr>
              <w:t>Celkem</w:t>
            </w:r>
          </w:p>
        </w:tc>
        <w:tc>
          <w:tcPr>
            <w:tcW w:w="1416" w:type="dxa"/>
            <w:tcBorders>
              <w:top w:val="single" w:sz="8" w:space="0" w:color="auto"/>
              <w:left w:val="nil"/>
              <w:bottom w:val="single" w:sz="8" w:space="0" w:color="auto"/>
              <w:right w:val="single" w:sz="4" w:space="0" w:color="auto"/>
            </w:tcBorders>
            <w:shd w:val="clear" w:color="auto" w:fill="auto"/>
            <w:noWrap/>
            <w:vAlign w:val="bottom"/>
            <w:hideMark/>
          </w:tcPr>
          <w:p w14:paraId="4756232C" w14:textId="77777777" w:rsidR="00CD2482" w:rsidRPr="00CD2482" w:rsidRDefault="00CD2482" w:rsidP="00CD2482">
            <w:pPr>
              <w:spacing w:after="0" w:line="240" w:lineRule="auto"/>
              <w:jc w:val="right"/>
              <w:rPr>
                <w:rFonts w:ascii="Calibri" w:eastAsia="Times New Roman" w:hAnsi="Calibri" w:cs="Arial"/>
                <w:b/>
                <w:bCs/>
                <w:lang w:eastAsia="cs-CZ"/>
              </w:rPr>
            </w:pPr>
            <w:r w:rsidRPr="00CD2482">
              <w:rPr>
                <w:rFonts w:ascii="Calibri" w:eastAsia="Times New Roman" w:hAnsi="Calibri" w:cs="Arial"/>
                <w:b/>
                <w:bCs/>
                <w:lang w:eastAsia="cs-CZ"/>
              </w:rPr>
              <w:t>200 000 000</w:t>
            </w:r>
          </w:p>
        </w:tc>
        <w:tc>
          <w:tcPr>
            <w:tcW w:w="2040" w:type="dxa"/>
            <w:tcBorders>
              <w:top w:val="single" w:sz="8" w:space="0" w:color="auto"/>
              <w:left w:val="nil"/>
              <w:bottom w:val="single" w:sz="8" w:space="0" w:color="auto"/>
              <w:right w:val="single" w:sz="4" w:space="0" w:color="auto"/>
            </w:tcBorders>
            <w:shd w:val="clear" w:color="auto" w:fill="auto"/>
            <w:noWrap/>
            <w:vAlign w:val="bottom"/>
            <w:hideMark/>
          </w:tcPr>
          <w:p w14:paraId="4E902227" w14:textId="77777777" w:rsidR="00CD2482" w:rsidRPr="00CD2482" w:rsidRDefault="00CD2482" w:rsidP="00CD2482">
            <w:pPr>
              <w:spacing w:after="0" w:line="240" w:lineRule="auto"/>
              <w:jc w:val="right"/>
              <w:rPr>
                <w:rFonts w:ascii="Calibri" w:eastAsia="Times New Roman" w:hAnsi="Calibri" w:cs="Arial"/>
                <w:b/>
                <w:bCs/>
                <w:lang w:eastAsia="cs-CZ"/>
              </w:rPr>
            </w:pPr>
            <w:r w:rsidRPr="00CD2482">
              <w:rPr>
                <w:rFonts w:ascii="Calibri" w:eastAsia="Times New Roman" w:hAnsi="Calibri" w:cs="Arial"/>
                <w:b/>
                <w:bCs/>
                <w:lang w:eastAsia="cs-CZ"/>
              </w:rPr>
              <w:t>0,00</w:t>
            </w:r>
          </w:p>
        </w:tc>
        <w:tc>
          <w:tcPr>
            <w:tcW w:w="1830" w:type="dxa"/>
            <w:tcBorders>
              <w:top w:val="single" w:sz="8" w:space="0" w:color="auto"/>
              <w:left w:val="nil"/>
              <w:bottom w:val="single" w:sz="8" w:space="0" w:color="auto"/>
              <w:right w:val="single" w:sz="4" w:space="0" w:color="auto"/>
            </w:tcBorders>
            <w:shd w:val="clear" w:color="auto" w:fill="auto"/>
            <w:noWrap/>
            <w:vAlign w:val="bottom"/>
            <w:hideMark/>
          </w:tcPr>
          <w:p w14:paraId="0A7B23D6" w14:textId="77777777" w:rsidR="00CD2482" w:rsidRPr="00CD2482" w:rsidRDefault="00CD2482" w:rsidP="00CD2482">
            <w:pPr>
              <w:spacing w:after="0" w:line="240" w:lineRule="auto"/>
              <w:jc w:val="right"/>
              <w:rPr>
                <w:rFonts w:ascii="Calibri" w:eastAsia="Times New Roman" w:hAnsi="Calibri" w:cs="Arial"/>
                <w:b/>
                <w:bCs/>
                <w:lang w:eastAsia="cs-CZ"/>
              </w:rPr>
            </w:pPr>
            <w:r w:rsidRPr="00CD2482">
              <w:rPr>
                <w:rFonts w:ascii="Calibri" w:eastAsia="Times New Roman" w:hAnsi="Calibri" w:cs="Arial"/>
                <w:b/>
                <w:bCs/>
                <w:lang w:eastAsia="cs-CZ"/>
              </w:rPr>
              <w:t>0,00</w:t>
            </w:r>
          </w:p>
        </w:tc>
        <w:tc>
          <w:tcPr>
            <w:tcW w:w="722" w:type="dxa"/>
            <w:tcBorders>
              <w:top w:val="single" w:sz="8" w:space="0" w:color="auto"/>
              <w:left w:val="nil"/>
              <w:bottom w:val="single" w:sz="8" w:space="0" w:color="auto"/>
              <w:right w:val="single" w:sz="8" w:space="0" w:color="auto"/>
            </w:tcBorders>
            <w:shd w:val="clear" w:color="auto" w:fill="auto"/>
            <w:noWrap/>
            <w:vAlign w:val="bottom"/>
            <w:hideMark/>
          </w:tcPr>
          <w:p w14:paraId="311A9146" w14:textId="77777777" w:rsidR="00CD2482" w:rsidRPr="00CD2482" w:rsidRDefault="00CD2482" w:rsidP="00CD2482">
            <w:pPr>
              <w:spacing w:after="0" w:line="240" w:lineRule="auto"/>
              <w:jc w:val="right"/>
              <w:rPr>
                <w:rFonts w:ascii="Calibri" w:eastAsia="Times New Roman" w:hAnsi="Calibri" w:cs="Arial"/>
                <w:b/>
                <w:bCs/>
                <w:lang w:eastAsia="cs-CZ"/>
              </w:rPr>
            </w:pPr>
            <w:r w:rsidRPr="00CD2482">
              <w:rPr>
                <w:rFonts w:ascii="Calibri" w:eastAsia="Times New Roman" w:hAnsi="Calibri" w:cs="Arial"/>
                <w:b/>
                <w:bCs/>
                <w:lang w:eastAsia="cs-CZ"/>
              </w:rPr>
              <w:t>-</w:t>
            </w:r>
          </w:p>
        </w:tc>
      </w:tr>
      <w:tr w:rsidR="00CD2482" w:rsidRPr="00CD2482" w14:paraId="5DF260D5" w14:textId="77777777" w:rsidTr="00955D47">
        <w:trPr>
          <w:trHeight w:val="300"/>
        </w:trPr>
        <w:tc>
          <w:tcPr>
            <w:tcW w:w="826" w:type="dxa"/>
            <w:tcBorders>
              <w:top w:val="nil"/>
              <w:left w:val="nil"/>
              <w:bottom w:val="nil"/>
              <w:right w:val="nil"/>
            </w:tcBorders>
            <w:shd w:val="clear" w:color="auto" w:fill="auto"/>
            <w:noWrap/>
            <w:vAlign w:val="center"/>
            <w:hideMark/>
          </w:tcPr>
          <w:p w14:paraId="4267A81E" w14:textId="77777777" w:rsidR="00CD2482" w:rsidRPr="00CD2482" w:rsidRDefault="00CD2482" w:rsidP="00CD2482">
            <w:pPr>
              <w:spacing w:after="0" w:line="240" w:lineRule="auto"/>
              <w:jc w:val="center"/>
              <w:rPr>
                <w:rFonts w:ascii="Calibri" w:eastAsia="Times New Roman" w:hAnsi="Calibri" w:cs="Arial"/>
                <w:sz w:val="18"/>
                <w:szCs w:val="18"/>
                <w:lang w:eastAsia="cs-CZ"/>
              </w:rPr>
            </w:pPr>
            <w:r w:rsidRPr="00CD2482">
              <w:rPr>
                <w:rFonts w:ascii="Calibri" w:eastAsia="Times New Roman" w:hAnsi="Calibri" w:cs="Arial"/>
                <w:sz w:val="18"/>
                <w:szCs w:val="18"/>
                <w:lang w:eastAsia="cs-CZ"/>
              </w:rPr>
              <w:t> </w:t>
            </w:r>
          </w:p>
        </w:tc>
        <w:tc>
          <w:tcPr>
            <w:tcW w:w="2785" w:type="dxa"/>
            <w:tcBorders>
              <w:top w:val="nil"/>
              <w:left w:val="nil"/>
              <w:bottom w:val="nil"/>
              <w:right w:val="nil"/>
            </w:tcBorders>
            <w:shd w:val="clear" w:color="auto" w:fill="auto"/>
            <w:noWrap/>
            <w:vAlign w:val="center"/>
            <w:hideMark/>
          </w:tcPr>
          <w:p w14:paraId="1DA971AC" w14:textId="77777777" w:rsidR="00CD2482" w:rsidRPr="00CD2482" w:rsidRDefault="00CD2482" w:rsidP="00CD2482">
            <w:pPr>
              <w:spacing w:after="0" w:line="240" w:lineRule="auto"/>
              <w:rPr>
                <w:rFonts w:ascii="Calibri" w:eastAsia="Times New Roman" w:hAnsi="Calibri" w:cs="Arial"/>
                <w:b/>
                <w:bCs/>
                <w:sz w:val="20"/>
                <w:szCs w:val="20"/>
                <w:lang w:eastAsia="cs-CZ"/>
              </w:rPr>
            </w:pPr>
            <w:r w:rsidRPr="00CD2482">
              <w:rPr>
                <w:rFonts w:ascii="Calibri" w:eastAsia="Times New Roman" w:hAnsi="Calibri" w:cs="Arial"/>
                <w:b/>
                <w:bCs/>
                <w:sz w:val="20"/>
                <w:szCs w:val="20"/>
                <w:lang w:eastAsia="cs-CZ"/>
              </w:rPr>
              <w:t> </w:t>
            </w:r>
          </w:p>
        </w:tc>
        <w:tc>
          <w:tcPr>
            <w:tcW w:w="1416" w:type="dxa"/>
            <w:tcBorders>
              <w:top w:val="nil"/>
              <w:left w:val="nil"/>
              <w:bottom w:val="nil"/>
              <w:right w:val="nil"/>
            </w:tcBorders>
            <w:shd w:val="clear" w:color="auto" w:fill="auto"/>
            <w:noWrap/>
            <w:vAlign w:val="center"/>
            <w:hideMark/>
          </w:tcPr>
          <w:p w14:paraId="087AA71C" w14:textId="77777777" w:rsidR="00CD2482" w:rsidRPr="00CD2482" w:rsidRDefault="00CD2482" w:rsidP="00CD2482">
            <w:pPr>
              <w:spacing w:after="0" w:line="240" w:lineRule="auto"/>
              <w:jc w:val="right"/>
              <w:rPr>
                <w:rFonts w:ascii="Calibri" w:eastAsia="Times New Roman" w:hAnsi="Calibri" w:cs="Arial"/>
                <w:b/>
                <w:bCs/>
                <w:lang w:eastAsia="cs-CZ"/>
              </w:rPr>
            </w:pPr>
            <w:r w:rsidRPr="00CD2482">
              <w:rPr>
                <w:rFonts w:ascii="Calibri" w:eastAsia="Times New Roman" w:hAnsi="Calibri" w:cs="Arial"/>
                <w:b/>
                <w:bCs/>
                <w:lang w:eastAsia="cs-CZ"/>
              </w:rPr>
              <w:t> </w:t>
            </w:r>
          </w:p>
        </w:tc>
        <w:tc>
          <w:tcPr>
            <w:tcW w:w="2040" w:type="dxa"/>
            <w:tcBorders>
              <w:top w:val="nil"/>
              <w:left w:val="nil"/>
              <w:bottom w:val="nil"/>
              <w:right w:val="nil"/>
            </w:tcBorders>
            <w:shd w:val="clear" w:color="auto" w:fill="auto"/>
            <w:noWrap/>
            <w:vAlign w:val="center"/>
            <w:hideMark/>
          </w:tcPr>
          <w:p w14:paraId="6469858E" w14:textId="77777777" w:rsidR="00CD2482" w:rsidRPr="00CD2482" w:rsidRDefault="00CD2482" w:rsidP="00CD2482">
            <w:pPr>
              <w:spacing w:after="0" w:line="240" w:lineRule="auto"/>
              <w:jc w:val="right"/>
              <w:rPr>
                <w:rFonts w:ascii="Calibri" w:eastAsia="Times New Roman" w:hAnsi="Calibri" w:cs="Arial"/>
                <w:b/>
                <w:bCs/>
                <w:lang w:eastAsia="cs-CZ"/>
              </w:rPr>
            </w:pPr>
            <w:r w:rsidRPr="00CD2482">
              <w:rPr>
                <w:rFonts w:ascii="Calibri" w:eastAsia="Times New Roman" w:hAnsi="Calibri" w:cs="Arial"/>
                <w:b/>
                <w:bCs/>
                <w:lang w:eastAsia="cs-CZ"/>
              </w:rPr>
              <w:t> </w:t>
            </w:r>
          </w:p>
        </w:tc>
        <w:tc>
          <w:tcPr>
            <w:tcW w:w="1830" w:type="dxa"/>
            <w:tcBorders>
              <w:top w:val="nil"/>
              <w:left w:val="nil"/>
              <w:bottom w:val="nil"/>
              <w:right w:val="nil"/>
            </w:tcBorders>
            <w:shd w:val="clear" w:color="auto" w:fill="auto"/>
            <w:noWrap/>
            <w:vAlign w:val="center"/>
            <w:hideMark/>
          </w:tcPr>
          <w:p w14:paraId="3F35951E" w14:textId="77777777" w:rsidR="00CD2482" w:rsidRPr="00CD2482" w:rsidRDefault="00CD2482" w:rsidP="00CD2482">
            <w:pPr>
              <w:spacing w:after="0" w:line="240" w:lineRule="auto"/>
              <w:jc w:val="right"/>
              <w:rPr>
                <w:rFonts w:ascii="Calibri" w:eastAsia="Times New Roman" w:hAnsi="Calibri" w:cs="Arial"/>
                <w:b/>
                <w:bCs/>
                <w:lang w:eastAsia="cs-CZ"/>
              </w:rPr>
            </w:pPr>
            <w:r w:rsidRPr="00CD2482">
              <w:rPr>
                <w:rFonts w:ascii="Calibri" w:eastAsia="Times New Roman" w:hAnsi="Calibri" w:cs="Arial"/>
                <w:b/>
                <w:bCs/>
                <w:lang w:eastAsia="cs-CZ"/>
              </w:rPr>
              <w:t> </w:t>
            </w:r>
          </w:p>
        </w:tc>
        <w:tc>
          <w:tcPr>
            <w:tcW w:w="722" w:type="dxa"/>
            <w:tcBorders>
              <w:top w:val="nil"/>
              <w:left w:val="nil"/>
              <w:bottom w:val="nil"/>
              <w:right w:val="nil"/>
            </w:tcBorders>
            <w:shd w:val="clear" w:color="auto" w:fill="auto"/>
            <w:noWrap/>
            <w:vAlign w:val="center"/>
            <w:hideMark/>
          </w:tcPr>
          <w:p w14:paraId="05A67565" w14:textId="77777777" w:rsidR="00CD2482" w:rsidRPr="00CD2482" w:rsidRDefault="00CD2482" w:rsidP="00CD2482">
            <w:pPr>
              <w:spacing w:after="0" w:line="240" w:lineRule="auto"/>
              <w:jc w:val="right"/>
              <w:rPr>
                <w:rFonts w:ascii="Calibri" w:eastAsia="Times New Roman" w:hAnsi="Calibri" w:cs="Arial"/>
                <w:b/>
                <w:bCs/>
                <w:lang w:eastAsia="cs-CZ"/>
              </w:rPr>
            </w:pPr>
            <w:r w:rsidRPr="00CD2482">
              <w:rPr>
                <w:rFonts w:ascii="Calibri" w:eastAsia="Times New Roman" w:hAnsi="Calibri" w:cs="Arial"/>
                <w:b/>
                <w:bCs/>
                <w:lang w:eastAsia="cs-CZ"/>
              </w:rPr>
              <w:t> </w:t>
            </w:r>
          </w:p>
        </w:tc>
      </w:tr>
      <w:tr w:rsidR="00CD2482" w:rsidRPr="00CD2482" w14:paraId="4062B943" w14:textId="77777777" w:rsidTr="00955D47">
        <w:trPr>
          <w:trHeight w:val="360"/>
        </w:trPr>
        <w:tc>
          <w:tcPr>
            <w:tcW w:w="3611"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3679AD9C" w14:textId="77777777" w:rsidR="00CD2482" w:rsidRPr="00CD2482" w:rsidRDefault="00CD2482" w:rsidP="00CD2482">
            <w:pPr>
              <w:spacing w:after="0" w:line="240" w:lineRule="auto"/>
              <w:rPr>
                <w:rFonts w:ascii="Calibri" w:eastAsia="Times New Roman" w:hAnsi="Calibri" w:cs="Arial"/>
                <w:b/>
                <w:bCs/>
                <w:sz w:val="24"/>
                <w:szCs w:val="24"/>
                <w:lang w:eastAsia="cs-CZ"/>
              </w:rPr>
            </w:pPr>
            <w:r w:rsidRPr="00CD2482">
              <w:rPr>
                <w:rFonts w:ascii="Calibri" w:eastAsia="Times New Roman" w:hAnsi="Calibri" w:cs="Arial"/>
                <w:b/>
                <w:bCs/>
                <w:sz w:val="24"/>
                <w:szCs w:val="24"/>
                <w:lang w:eastAsia="cs-CZ"/>
              </w:rPr>
              <w:t>Celkem výdaje</w:t>
            </w:r>
          </w:p>
        </w:tc>
        <w:tc>
          <w:tcPr>
            <w:tcW w:w="1416" w:type="dxa"/>
            <w:tcBorders>
              <w:top w:val="single" w:sz="8" w:space="0" w:color="auto"/>
              <w:left w:val="nil"/>
              <w:bottom w:val="single" w:sz="8" w:space="0" w:color="auto"/>
              <w:right w:val="single" w:sz="8" w:space="0" w:color="auto"/>
            </w:tcBorders>
            <w:shd w:val="clear" w:color="auto" w:fill="auto"/>
            <w:noWrap/>
            <w:vAlign w:val="bottom"/>
            <w:hideMark/>
          </w:tcPr>
          <w:p w14:paraId="75061887" w14:textId="77777777" w:rsidR="00CD2482" w:rsidRPr="00CD2482" w:rsidRDefault="00CD2482" w:rsidP="00CD2482">
            <w:pPr>
              <w:spacing w:after="0" w:line="240" w:lineRule="auto"/>
              <w:jc w:val="right"/>
              <w:rPr>
                <w:rFonts w:ascii="Calibri" w:eastAsia="Times New Roman" w:hAnsi="Calibri" w:cs="Arial"/>
                <w:b/>
                <w:bCs/>
                <w:lang w:eastAsia="cs-CZ"/>
              </w:rPr>
            </w:pPr>
            <w:r w:rsidRPr="00CD2482">
              <w:rPr>
                <w:rFonts w:ascii="Calibri" w:eastAsia="Times New Roman" w:hAnsi="Calibri" w:cs="Arial"/>
                <w:b/>
                <w:bCs/>
                <w:lang w:eastAsia="cs-CZ"/>
              </w:rPr>
              <w:t>709 500 000</w:t>
            </w:r>
          </w:p>
        </w:tc>
        <w:tc>
          <w:tcPr>
            <w:tcW w:w="2040" w:type="dxa"/>
            <w:tcBorders>
              <w:top w:val="single" w:sz="8" w:space="0" w:color="auto"/>
              <w:left w:val="nil"/>
              <w:bottom w:val="single" w:sz="8" w:space="0" w:color="auto"/>
              <w:right w:val="single" w:sz="8" w:space="0" w:color="auto"/>
            </w:tcBorders>
            <w:shd w:val="clear" w:color="auto" w:fill="auto"/>
            <w:noWrap/>
            <w:vAlign w:val="bottom"/>
            <w:hideMark/>
          </w:tcPr>
          <w:p w14:paraId="05E7F19A" w14:textId="77777777" w:rsidR="00CD2482" w:rsidRPr="00CD2482" w:rsidRDefault="00CD2482" w:rsidP="00CD2482">
            <w:pPr>
              <w:spacing w:after="0" w:line="240" w:lineRule="auto"/>
              <w:jc w:val="right"/>
              <w:rPr>
                <w:rFonts w:ascii="Calibri" w:eastAsia="Times New Roman" w:hAnsi="Calibri" w:cs="Arial"/>
                <w:b/>
                <w:bCs/>
                <w:lang w:eastAsia="cs-CZ"/>
              </w:rPr>
            </w:pPr>
            <w:r w:rsidRPr="00CD2482">
              <w:rPr>
                <w:rFonts w:ascii="Calibri" w:eastAsia="Times New Roman" w:hAnsi="Calibri" w:cs="Arial"/>
                <w:b/>
                <w:bCs/>
                <w:lang w:eastAsia="cs-CZ"/>
              </w:rPr>
              <w:t>1 050 731 897,49</w:t>
            </w:r>
          </w:p>
        </w:tc>
        <w:tc>
          <w:tcPr>
            <w:tcW w:w="1830" w:type="dxa"/>
            <w:tcBorders>
              <w:top w:val="single" w:sz="8" w:space="0" w:color="auto"/>
              <w:left w:val="nil"/>
              <w:bottom w:val="single" w:sz="8" w:space="0" w:color="auto"/>
              <w:right w:val="single" w:sz="8" w:space="0" w:color="auto"/>
            </w:tcBorders>
            <w:shd w:val="clear" w:color="auto" w:fill="auto"/>
            <w:noWrap/>
            <w:vAlign w:val="bottom"/>
            <w:hideMark/>
          </w:tcPr>
          <w:p w14:paraId="2E2C4C7B" w14:textId="77777777" w:rsidR="00CD2482" w:rsidRPr="00CD2482" w:rsidRDefault="00CD2482" w:rsidP="00CD2482">
            <w:pPr>
              <w:spacing w:after="0" w:line="240" w:lineRule="auto"/>
              <w:jc w:val="right"/>
              <w:rPr>
                <w:rFonts w:ascii="Calibri" w:eastAsia="Times New Roman" w:hAnsi="Calibri" w:cs="Arial"/>
                <w:b/>
                <w:bCs/>
                <w:lang w:eastAsia="cs-CZ"/>
              </w:rPr>
            </w:pPr>
            <w:r w:rsidRPr="00CD2482">
              <w:rPr>
                <w:rFonts w:ascii="Calibri" w:eastAsia="Times New Roman" w:hAnsi="Calibri" w:cs="Arial"/>
                <w:b/>
                <w:bCs/>
                <w:lang w:eastAsia="cs-CZ"/>
              </w:rPr>
              <w:t>718 029 065,91</w:t>
            </w:r>
          </w:p>
        </w:tc>
        <w:tc>
          <w:tcPr>
            <w:tcW w:w="722"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14:paraId="747ED29D" w14:textId="77777777" w:rsidR="00CD2482" w:rsidRPr="00CD2482" w:rsidRDefault="00CD2482" w:rsidP="00CD2482">
            <w:pPr>
              <w:spacing w:after="0" w:line="240" w:lineRule="auto"/>
              <w:jc w:val="right"/>
              <w:rPr>
                <w:rFonts w:ascii="Calibri" w:eastAsia="Times New Roman" w:hAnsi="Calibri" w:cs="Arial"/>
                <w:b/>
                <w:bCs/>
                <w:lang w:eastAsia="cs-CZ"/>
              </w:rPr>
            </w:pPr>
            <w:r w:rsidRPr="00CD2482">
              <w:rPr>
                <w:rFonts w:ascii="Calibri" w:eastAsia="Times New Roman" w:hAnsi="Calibri" w:cs="Arial"/>
                <w:b/>
                <w:bCs/>
                <w:lang w:eastAsia="cs-CZ"/>
              </w:rPr>
              <w:t>68,3</w:t>
            </w:r>
          </w:p>
        </w:tc>
      </w:tr>
    </w:tbl>
    <w:p w14:paraId="1C59906A" w14:textId="1A735876" w:rsidR="00955D47" w:rsidRDefault="00955D47" w:rsidP="00955D47">
      <w:pPr>
        <w:jc w:val="center"/>
        <w:rPr>
          <w:rFonts w:ascii="Calibri" w:hAnsi="Calibri"/>
          <w:b/>
          <w:sz w:val="16"/>
          <w:szCs w:val="16"/>
          <w:u w:val="single"/>
        </w:rPr>
      </w:pPr>
    </w:p>
    <w:p w14:paraId="5615697A" w14:textId="0E7C5985" w:rsidR="00E363C7" w:rsidRDefault="00E363C7" w:rsidP="00955D47">
      <w:pPr>
        <w:jc w:val="center"/>
        <w:rPr>
          <w:rFonts w:ascii="Calibri" w:hAnsi="Calibri"/>
          <w:b/>
          <w:sz w:val="16"/>
          <w:szCs w:val="16"/>
          <w:u w:val="single"/>
        </w:rPr>
      </w:pPr>
    </w:p>
    <w:p w14:paraId="538301E1" w14:textId="63EC0847" w:rsidR="00E363C7" w:rsidRDefault="00E363C7" w:rsidP="00955D47">
      <w:pPr>
        <w:jc w:val="center"/>
        <w:rPr>
          <w:rFonts w:ascii="Calibri" w:hAnsi="Calibri"/>
          <w:b/>
          <w:sz w:val="16"/>
          <w:szCs w:val="16"/>
          <w:u w:val="single"/>
        </w:rPr>
      </w:pPr>
    </w:p>
    <w:p w14:paraId="71066913" w14:textId="1DFA0394" w:rsidR="00E363C7" w:rsidRDefault="00E363C7" w:rsidP="00955D47">
      <w:pPr>
        <w:jc w:val="center"/>
        <w:rPr>
          <w:rFonts w:ascii="Calibri" w:hAnsi="Calibri"/>
          <w:b/>
          <w:sz w:val="16"/>
          <w:szCs w:val="16"/>
          <w:u w:val="single"/>
        </w:rPr>
      </w:pPr>
    </w:p>
    <w:p w14:paraId="1B67FA0B" w14:textId="7EF03117" w:rsidR="00E363C7" w:rsidRDefault="00E363C7" w:rsidP="00955D47">
      <w:pPr>
        <w:jc w:val="center"/>
        <w:rPr>
          <w:rFonts w:ascii="Calibri" w:hAnsi="Calibri"/>
          <w:b/>
          <w:sz w:val="16"/>
          <w:szCs w:val="16"/>
          <w:u w:val="single"/>
        </w:rPr>
      </w:pPr>
    </w:p>
    <w:p w14:paraId="5F9828EE" w14:textId="6B6709C0" w:rsidR="00E363C7" w:rsidRDefault="00E363C7" w:rsidP="00955D47">
      <w:pPr>
        <w:jc w:val="center"/>
        <w:rPr>
          <w:rFonts w:ascii="Calibri" w:hAnsi="Calibri"/>
          <w:b/>
          <w:sz w:val="16"/>
          <w:szCs w:val="16"/>
          <w:u w:val="single"/>
        </w:rPr>
      </w:pPr>
    </w:p>
    <w:p w14:paraId="6AEDFC0A" w14:textId="77777777" w:rsidR="00E363C7" w:rsidRPr="005C1C24" w:rsidRDefault="00E363C7" w:rsidP="00955D47">
      <w:pPr>
        <w:jc w:val="center"/>
        <w:rPr>
          <w:rFonts w:ascii="Calibri" w:hAnsi="Calibri"/>
          <w:b/>
          <w:sz w:val="16"/>
          <w:szCs w:val="16"/>
          <w:u w:val="single"/>
        </w:rPr>
      </w:pPr>
    </w:p>
    <w:p w14:paraId="3305ED07" w14:textId="77777777" w:rsidR="00955D47" w:rsidRPr="005C1C24" w:rsidRDefault="00955D47" w:rsidP="00955D47">
      <w:pPr>
        <w:jc w:val="center"/>
        <w:rPr>
          <w:rFonts w:ascii="Calibri" w:hAnsi="Calibri"/>
          <w:b/>
          <w:sz w:val="32"/>
          <w:szCs w:val="32"/>
          <w:u w:val="single"/>
        </w:rPr>
      </w:pPr>
    </w:p>
    <w:p w14:paraId="0562FA11" w14:textId="77777777" w:rsidR="00955D47" w:rsidRPr="005C1C24" w:rsidRDefault="00955D47" w:rsidP="00955D47">
      <w:pPr>
        <w:jc w:val="both"/>
        <w:outlineLvl w:val="0"/>
        <w:rPr>
          <w:rFonts w:ascii="Calibri" w:hAnsi="Calibri"/>
        </w:rPr>
      </w:pPr>
      <w:r w:rsidRPr="005C1C24">
        <w:rPr>
          <w:rFonts w:ascii="Calibri" w:hAnsi="Calibri"/>
          <w:b/>
          <w:sz w:val="28"/>
          <w:szCs w:val="28"/>
          <w:u w:val="single"/>
        </w:rPr>
        <w:t xml:space="preserve">Kapitola 12 – Investiční výdaje </w:t>
      </w:r>
    </w:p>
    <w:p w14:paraId="05B10C96" w14:textId="37795E50" w:rsidR="00955D47" w:rsidRPr="006504CE" w:rsidRDefault="00955D47" w:rsidP="006504CE">
      <w:pPr>
        <w:tabs>
          <w:tab w:val="left" w:pos="3990"/>
        </w:tabs>
        <w:jc w:val="both"/>
        <w:rPr>
          <w:rFonts w:ascii="Calibri" w:hAnsi="Calibri"/>
        </w:rPr>
      </w:pPr>
      <w:r w:rsidRPr="005C1C24">
        <w:rPr>
          <w:rFonts w:ascii="Calibri" w:hAnsi="Calibri"/>
        </w:rPr>
        <w:tab/>
      </w:r>
      <w:r w:rsidRPr="005C1C24">
        <w:rPr>
          <w:rFonts w:ascii="Calibri" w:hAnsi="Calibri"/>
        </w:rPr>
        <w:tab/>
      </w:r>
    </w:p>
    <w:p w14:paraId="518B8082" w14:textId="2F06D8FC" w:rsidR="00955D47" w:rsidRDefault="00955D47" w:rsidP="006504CE">
      <w:pPr>
        <w:spacing w:after="0" w:line="240" w:lineRule="auto"/>
        <w:jc w:val="both"/>
        <w:rPr>
          <w:rFonts w:ascii="Calibri" w:hAnsi="Calibri"/>
          <w:b/>
          <w:sz w:val="24"/>
          <w:szCs w:val="24"/>
          <w:u w:val="single"/>
        </w:rPr>
      </w:pPr>
      <w:r w:rsidRPr="006504CE">
        <w:rPr>
          <w:rFonts w:ascii="Calibri" w:hAnsi="Calibri"/>
          <w:b/>
          <w:sz w:val="24"/>
          <w:szCs w:val="24"/>
          <w:u w:val="single"/>
        </w:rPr>
        <w:t>Kapitálové (investiční) výdaje – čerpání dle kapitol</w:t>
      </w:r>
    </w:p>
    <w:p w14:paraId="34BF0B1F" w14:textId="77777777" w:rsidR="006504CE" w:rsidRPr="006504CE" w:rsidRDefault="006504CE" w:rsidP="006504CE">
      <w:pPr>
        <w:spacing w:after="0" w:line="240" w:lineRule="auto"/>
        <w:jc w:val="both"/>
        <w:rPr>
          <w:rFonts w:ascii="Calibri" w:hAnsi="Calibri"/>
          <w:b/>
          <w:sz w:val="24"/>
          <w:szCs w:val="24"/>
          <w:u w:val="single"/>
        </w:rPr>
      </w:pPr>
    </w:p>
    <w:p w14:paraId="6FCDCC5F" w14:textId="77777777" w:rsidR="00955D47" w:rsidRPr="005C1C24" w:rsidRDefault="00955D47" w:rsidP="006504CE">
      <w:pPr>
        <w:spacing w:after="0" w:line="240" w:lineRule="auto"/>
        <w:jc w:val="both"/>
        <w:rPr>
          <w:rFonts w:ascii="Calibri" w:hAnsi="Calibri"/>
        </w:rPr>
      </w:pPr>
      <w:r w:rsidRPr="005C1C24">
        <w:rPr>
          <w:rFonts w:ascii="Calibri" w:hAnsi="Calibri"/>
        </w:rPr>
        <w:t>Finanční prostředky vedené na kapitole 12 – Investiční výdaje jsou čerpány na základě Zastupitelstvem Středočeského kraje schváleného Zásobníku investic, který obsahuje seznam investičních akcí kraje včetně výše finančních prostředků. Zásobník investic je průběžně doplňován – aktualizován na základě požadavků věcně příslušných odborů.</w:t>
      </w:r>
    </w:p>
    <w:p w14:paraId="45264DD9" w14:textId="77777777" w:rsidR="00955D47" w:rsidRPr="005C1C24" w:rsidRDefault="00955D47" w:rsidP="006504CE">
      <w:pPr>
        <w:spacing w:after="0" w:line="240" w:lineRule="auto"/>
        <w:jc w:val="both"/>
        <w:rPr>
          <w:rFonts w:ascii="Calibri" w:hAnsi="Calibri"/>
        </w:rPr>
      </w:pPr>
    </w:p>
    <w:p w14:paraId="6985690D" w14:textId="77777777" w:rsidR="00955D47" w:rsidRPr="005C1C24" w:rsidRDefault="00955D47" w:rsidP="00955D47">
      <w:pPr>
        <w:jc w:val="both"/>
        <w:rPr>
          <w:rFonts w:ascii="Calibri" w:hAnsi="Calibri"/>
        </w:rPr>
      </w:pPr>
      <w:r w:rsidRPr="005C1C24">
        <w:rPr>
          <w:rFonts w:ascii="Calibri" w:hAnsi="Calibri"/>
        </w:rPr>
        <w:t xml:space="preserve">Na rok 2021 byly usnesením č. 033-87/2020/RK ze dne 17. 12. 2020 schváleny limity pro čerpání investičních prostředků kapitoly 12 – Investiční výdaje jednotlivým kapitolám takto:  </w:t>
      </w:r>
    </w:p>
    <w:p w14:paraId="3E1C1527" w14:textId="77777777" w:rsidR="00955D47" w:rsidRPr="005C1C24" w:rsidRDefault="00955D47" w:rsidP="00955D47">
      <w:pPr>
        <w:jc w:val="both"/>
        <w:rPr>
          <w:rFonts w:ascii="Calibri" w:hAnsi="Calibri"/>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2835"/>
      </w:tblGrid>
      <w:tr w:rsidR="00955D47" w:rsidRPr="005C1C24" w14:paraId="59BA43BA" w14:textId="77777777" w:rsidTr="00FE4BEF">
        <w:trPr>
          <w:trHeight w:val="532"/>
        </w:trPr>
        <w:tc>
          <w:tcPr>
            <w:tcW w:w="4395" w:type="dxa"/>
            <w:shd w:val="clear" w:color="auto" w:fill="auto"/>
            <w:vAlign w:val="center"/>
          </w:tcPr>
          <w:p w14:paraId="5664558E" w14:textId="77777777" w:rsidR="00955D47" w:rsidRPr="005C1C24" w:rsidRDefault="00955D47" w:rsidP="00FE4BEF">
            <w:pPr>
              <w:jc w:val="center"/>
              <w:rPr>
                <w:rFonts w:ascii="Calibri" w:hAnsi="Calibri"/>
                <w:b/>
                <w:bCs/>
              </w:rPr>
            </w:pPr>
            <w:r w:rsidRPr="005C1C24">
              <w:rPr>
                <w:rFonts w:ascii="Calibri" w:hAnsi="Calibri"/>
                <w:b/>
                <w:bCs/>
              </w:rPr>
              <w:t>Rozpočtová kapitola</w:t>
            </w:r>
          </w:p>
        </w:tc>
        <w:tc>
          <w:tcPr>
            <w:tcW w:w="2835" w:type="dxa"/>
            <w:shd w:val="clear" w:color="auto" w:fill="auto"/>
            <w:vAlign w:val="center"/>
          </w:tcPr>
          <w:p w14:paraId="62330100" w14:textId="77777777" w:rsidR="00955D47" w:rsidRPr="005C1C24" w:rsidRDefault="00955D47" w:rsidP="00FE4BEF">
            <w:pPr>
              <w:jc w:val="center"/>
              <w:rPr>
                <w:rFonts w:ascii="Calibri" w:hAnsi="Calibri"/>
                <w:b/>
                <w:bCs/>
              </w:rPr>
            </w:pPr>
            <w:r w:rsidRPr="005C1C24">
              <w:rPr>
                <w:rFonts w:ascii="Calibri" w:hAnsi="Calibri"/>
                <w:b/>
                <w:bCs/>
              </w:rPr>
              <w:t>Limit čerpání v tis. Kč</w:t>
            </w:r>
          </w:p>
        </w:tc>
      </w:tr>
      <w:tr w:rsidR="00955D47" w:rsidRPr="005C1C24" w14:paraId="102328AE" w14:textId="77777777" w:rsidTr="00FE4BEF">
        <w:trPr>
          <w:trHeight w:val="283"/>
        </w:trPr>
        <w:tc>
          <w:tcPr>
            <w:tcW w:w="4395" w:type="dxa"/>
            <w:shd w:val="clear" w:color="auto" w:fill="auto"/>
          </w:tcPr>
          <w:p w14:paraId="59C51188" w14:textId="77777777" w:rsidR="00955D47" w:rsidRPr="005C1C24" w:rsidRDefault="00955D47" w:rsidP="00FE4BEF">
            <w:pPr>
              <w:jc w:val="both"/>
              <w:rPr>
                <w:rFonts w:ascii="Calibri" w:hAnsi="Calibri"/>
              </w:rPr>
            </w:pPr>
            <w:r w:rsidRPr="005C1C24">
              <w:rPr>
                <w:rFonts w:ascii="Calibri" w:hAnsi="Calibri"/>
              </w:rPr>
              <w:t>1201 - Činnost Zastupitelstva</w:t>
            </w:r>
          </w:p>
        </w:tc>
        <w:tc>
          <w:tcPr>
            <w:tcW w:w="2835" w:type="dxa"/>
            <w:shd w:val="clear" w:color="auto" w:fill="auto"/>
          </w:tcPr>
          <w:p w14:paraId="783E7BE0" w14:textId="77777777" w:rsidR="00955D47" w:rsidRPr="005C1C24" w:rsidRDefault="00955D47" w:rsidP="00FE4BEF">
            <w:pPr>
              <w:jc w:val="right"/>
              <w:rPr>
                <w:rFonts w:ascii="Calibri" w:hAnsi="Calibri"/>
              </w:rPr>
            </w:pPr>
            <w:r w:rsidRPr="005C1C24">
              <w:rPr>
                <w:rFonts w:ascii="Calibri" w:hAnsi="Calibri"/>
              </w:rPr>
              <w:t>10 000</w:t>
            </w:r>
          </w:p>
        </w:tc>
      </w:tr>
      <w:tr w:rsidR="00955D47" w:rsidRPr="005C1C24" w14:paraId="3F352DCF" w14:textId="77777777" w:rsidTr="00FE4BEF">
        <w:trPr>
          <w:trHeight w:val="283"/>
        </w:trPr>
        <w:tc>
          <w:tcPr>
            <w:tcW w:w="4395" w:type="dxa"/>
            <w:shd w:val="clear" w:color="auto" w:fill="auto"/>
          </w:tcPr>
          <w:p w14:paraId="2FDC48B2" w14:textId="77777777" w:rsidR="00955D47" w:rsidRPr="005C1C24" w:rsidRDefault="00955D47" w:rsidP="00FE4BEF">
            <w:pPr>
              <w:jc w:val="both"/>
              <w:rPr>
                <w:rFonts w:ascii="Calibri" w:hAnsi="Calibri"/>
              </w:rPr>
            </w:pPr>
            <w:r w:rsidRPr="005C1C24">
              <w:rPr>
                <w:rFonts w:ascii="Calibri" w:hAnsi="Calibri"/>
              </w:rPr>
              <w:t>1202 - Činnost Krajského úřadu</w:t>
            </w:r>
          </w:p>
        </w:tc>
        <w:tc>
          <w:tcPr>
            <w:tcW w:w="2835" w:type="dxa"/>
            <w:shd w:val="clear" w:color="auto" w:fill="auto"/>
          </w:tcPr>
          <w:p w14:paraId="30DD91F5" w14:textId="77777777" w:rsidR="00955D47" w:rsidRPr="005C1C24" w:rsidRDefault="00955D47" w:rsidP="00FE4BEF">
            <w:pPr>
              <w:jc w:val="right"/>
              <w:rPr>
                <w:rFonts w:ascii="Calibri" w:hAnsi="Calibri"/>
              </w:rPr>
            </w:pPr>
            <w:r w:rsidRPr="005C1C24">
              <w:rPr>
                <w:rFonts w:ascii="Calibri" w:hAnsi="Calibri"/>
              </w:rPr>
              <w:t xml:space="preserve">5 000 </w:t>
            </w:r>
          </w:p>
        </w:tc>
      </w:tr>
      <w:tr w:rsidR="00955D47" w:rsidRPr="005C1C24" w14:paraId="01C52582" w14:textId="77777777" w:rsidTr="00FE4BEF">
        <w:trPr>
          <w:trHeight w:val="283"/>
        </w:trPr>
        <w:tc>
          <w:tcPr>
            <w:tcW w:w="4395" w:type="dxa"/>
            <w:shd w:val="clear" w:color="auto" w:fill="auto"/>
          </w:tcPr>
          <w:p w14:paraId="762B34D0" w14:textId="77777777" w:rsidR="00955D47" w:rsidRPr="005C1C24" w:rsidRDefault="00955D47" w:rsidP="00FE4BEF">
            <w:pPr>
              <w:jc w:val="both"/>
              <w:rPr>
                <w:rFonts w:ascii="Calibri" w:hAnsi="Calibri"/>
              </w:rPr>
            </w:pPr>
            <w:r w:rsidRPr="005C1C24">
              <w:rPr>
                <w:rFonts w:ascii="Calibri" w:hAnsi="Calibri"/>
              </w:rPr>
              <w:t>1203 - Informatika</w:t>
            </w:r>
          </w:p>
        </w:tc>
        <w:tc>
          <w:tcPr>
            <w:tcW w:w="2835" w:type="dxa"/>
            <w:shd w:val="clear" w:color="auto" w:fill="auto"/>
          </w:tcPr>
          <w:p w14:paraId="72960EDD" w14:textId="77777777" w:rsidR="00955D47" w:rsidRPr="005C1C24" w:rsidRDefault="00955D47" w:rsidP="00FE4BEF">
            <w:pPr>
              <w:jc w:val="right"/>
              <w:rPr>
                <w:rFonts w:ascii="Calibri" w:hAnsi="Calibri"/>
              </w:rPr>
            </w:pPr>
            <w:r w:rsidRPr="005C1C24">
              <w:rPr>
                <w:rFonts w:ascii="Calibri" w:hAnsi="Calibri"/>
              </w:rPr>
              <w:t xml:space="preserve">8 500 </w:t>
            </w:r>
          </w:p>
        </w:tc>
      </w:tr>
      <w:tr w:rsidR="00955D47" w:rsidRPr="005C1C24" w14:paraId="69B7C260" w14:textId="77777777" w:rsidTr="00FE4BEF">
        <w:trPr>
          <w:trHeight w:val="283"/>
        </w:trPr>
        <w:tc>
          <w:tcPr>
            <w:tcW w:w="4395" w:type="dxa"/>
            <w:shd w:val="clear" w:color="auto" w:fill="auto"/>
          </w:tcPr>
          <w:p w14:paraId="033C8B07" w14:textId="77777777" w:rsidR="00955D47" w:rsidRPr="005C1C24" w:rsidRDefault="00955D47" w:rsidP="00FE4BEF">
            <w:pPr>
              <w:jc w:val="both"/>
              <w:rPr>
                <w:rFonts w:ascii="Calibri" w:hAnsi="Calibri"/>
              </w:rPr>
            </w:pPr>
            <w:r w:rsidRPr="005C1C24">
              <w:rPr>
                <w:rFonts w:ascii="Calibri" w:hAnsi="Calibri"/>
              </w:rPr>
              <w:t>1204 - Doprava</w:t>
            </w:r>
          </w:p>
        </w:tc>
        <w:tc>
          <w:tcPr>
            <w:tcW w:w="2835" w:type="dxa"/>
            <w:shd w:val="clear" w:color="auto" w:fill="auto"/>
          </w:tcPr>
          <w:p w14:paraId="44AE31C2" w14:textId="77777777" w:rsidR="00955D47" w:rsidRPr="005C1C24" w:rsidRDefault="00955D47" w:rsidP="00FE4BEF">
            <w:pPr>
              <w:jc w:val="right"/>
              <w:rPr>
                <w:rFonts w:ascii="Calibri" w:hAnsi="Calibri"/>
              </w:rPr>
            </w:pPr>
            <w:r w:rsidRPr="005C1C24">
              <w:rPr>
                <w:rFonts w:ascii="Calibri" w:hAnsi="Calibri"/>
              </w:rPr>
              <w:t>120 000</w:t>
            </w:r>
          </w:p>
        </w:tc>
      </w:tr>
      <w:tr w:rsidR="00955D47" w:rsidRPr="005C1C24" w14:paraId="0B7E11DA" w14:textId="77777777" w:rsidTr="00FE4BEF">
        <w:trPr>
          <w:trHeight w:val="283"/>
        </w:trPr>
        <w:tc>
          <w:tcPr>
            <w:tcW w:w="4395" w:type="dxa"/>
            <w:shd w:val="clear" w:color="auto" w:fill="auto"/>
          </w:tcPr>
          <w:p w14:paraId="49A8CC71" w14:textId="77777777" w:rsidR="00955D47" w:rsidRPr="005C1C24" w:rsidRDefault="00955D47" w:rsidP="00FE4BEF">
            <w:pPr>
              <w:jc w:val="both"/>
              <w:rPr>
                <w:rFonts w:ascii="Calibri" w:hAnsi="Calibri"/>
              </w:rPr>
            </w:pPr>
            <w:r w:rsidRPr="005C1C24">
              <w:rPr>
                <w:rFonts w:ascii="Calibri" w:hAnsi="Calibri"/>
              </w:rPr>
              <w:t>1205 - Školství</w:t>
            </w:r>
          </w:p>
        </w:tc>
        <w:tc>
          <w:tcPr>
            <w:tcW w:w="2835" w:type="dxa"/>
            <w:shd w:val="clear" w:color="auto" w:fill="auto"/>
          </w:tcPr>
          <w:p w14:paraId="6BB7F6A5" w14:textId="77777777" w:rsidR="00955D47" w:rsidRPr="005C1C24" w:rsidRDefault="00955D47" w:rsidP="00FE4BEF">
            <w:pPr>
              <w:jc w:val="right"/>
              <w:rPr>
                <w:rFonts w:ascii="Calibri" w:hAnsi="Calibri"/>
              </w:rPr>
            </w:pPr>
            <w:r w:rsidRPr="005C1C24">
              <w:rPr>
                <w:rFonts w:ascii="Calibri" w:hAnsi="Calibri"/>
              </w:rPr>
              <w:t>15 000</w:t>
            </w:r>
          </w:p>
        </w:tc>
      </w:tr>
      <w:tr w:rsidR="00955D47" w:rsidRPr="005C1C24" w14:paraId="0E3BB556" w14:textId="77777777" w:rsidTr="00FE4BEF">
        <w:trPr>
          <w:trHeight w:val="283"/>
        </w:trPr>
        <w:tc>
          <w:tcPr>
            <w:tcW w:w="4395" w:type="dxa"/>
            <w:shd w:val="clear" w:color="auto" w:fill="auto"/>
          </w:tcPr>
          <w:p w14:paraId="7E7FA00C" w14:textId="77777777" w:rsidR="00955D47" w:rsidRPr="005C1C24" w:rsidRDefault="00955D47" w:rsidP="00FE4BEF">
            <w:pPr>
              <w:jc w:val="both"/>
              <w:rPr>
                <w:rFonts w:ascii="Calibri" w:hAnsi="Calibri"/>
              </w:rPr>
            </w:pPr>
            <w:r w:rsidRPr="005C1C24">
              <w:rPr>
                <w:rFonts w:ascii="Calibri" w:hAnsi="Calibri"/>
              </w:rPr>
              <w:t>1206 - Kultura a památková péče</w:t>
            </w:r>
          </w:p>
        </w:tc>
        <w:tc>
          <w:tcPr>
            <w:tcW w:w="2835" w:type="dxa"/>
            <w:shd w:val="clear" w:color="auto" w:fill="auto"/>
          </w:tcPr>
          <w:p w14:paraId="012BF3FC" w14:textId="77777777" w:rsidR="00955D47" w:rsidRPr="005C1C24" w:rsidRDefault="00955D47" w:rsidP="00FE4BEF">
            <w:pPr>
              <w:jc w:val="right"/>
              <w:rPr>
                <w:rFonts w:ascii="Calibri" w:hAnsi="Calibri"/>
              </w:rPr>
            </w:pPr>
            <w:r w:rsidRPr="005C1C24">
              <w:rPr>
                <w:rFonts w:ascii="Calibri" w:hAnsi="Calibri"/>
              </w:rPr>
              <w:t>12 000</w:t>
            </w:r>
          </w:p>
        </w:tc>
      </w:tr>
      <w:tr w:rsidR="00955D47" w:rsidRPr="005C1C24" w14:paraId="33E38659" w14:textId="77777777" w:rsidTr="00FE4BEF">
        <w:trPr>
          <w:trHeight w:val="283"/>
        </w:trPr>
        <w:tc>
          <w:tcPr>
            <w:tcW w:w="4395" w:type="dxa"/>
            <w:shd w:val="clear" w:color="auto" w:fill="auto"/>
          </w:tcPr>
          <w:p w14:paraId="23A84CDB" w14:textId="77777777" w:rsidR="00955D47" w:rsidRPr="005C1C24" w:rsidRDefault="00955D47" w:rsidP="00FE4BEF">
            <w:pPr>
              <w:jc w:val="both"/>
              <w:rPr>
                <w:rFonts w:ascii="Calibri" w:hAnsi="Calibri"/>
              </w:rPr>
            </w:pPr>
            <w:r w:rsidRPr="005C1C24">
              <w:rPr>
                <w:rFonts w:ascii="Calibri" w:hAnsi="Calibri"/>
              </w:rPr>
              <w:t>1208 - Regionální rozvoj</w:t>
            </w:r>
          </w:p>
        </w:tc>
        <w:tc>
          <w:tcPr>
            <w:tcW w:w="2835" w:type="dxa"/>
            <w:shd w:val="clear" w:color="auto" w:fill="auto"/>
          </w:tcPr>
          <w:p w14:paraId="0A993DC6" w14:textId="77777777" w:rsidR="00955D47" w:rsidRPr="005C1C24" w:rsidRDefault="00955D47" w:rsidP="00FE4BEF">
            <w:pPr>
              <w:jc w:val="right"/>
              <w:rPr>
                <w:rFonts w:ascii="Calibri" w:hAnsi="Calibri"/>
              </w:rPr>
            </w:pPr>
            <w:r w:rsidRPr="005C1C24">
              <w:rPr>
                <w:rFonts w:ascii="Calibri" w:hAnsi="Calibri"/>
              </w:rPr>
              <w:t>2 000</w:t>
            </w:r>
          </w:p>
        </w:tc>
      </w:tr>
      <w:tr w:rsidR="00955D47" w:rsidRPr="005C1C24" w14:paraId="4F358804" w14:textId="77777777" w:rsidTr="00FE4BEF">
        <w:trPr>
          <w:trHeight w:val="283"/>
        </w:trPr>
        <w:tc>
          <w:tcPr>
            <w:tcW w:w="4395" w:type="dxa"/>
            <w:shd w:val="clear" w:color="auto" w:fill="auto"/>
          </w:tcPr>
          <w:p w14:paraId="3AA5C303" w14:textId="77777777" w:rsidR="00955D47" w:rsidRPr="005C1C24" w:rsidRDefault="00955D47" w:rsidP="00FE4BEF">
            <w:pPr>
              <w:jc w:val="both"/>
              <w:rPr>
                <w:rFonts w:ascii="Calibri" w:hAnsi="Calibri"/>
              </w:rPr>
            </w:pPr>
            <w:r w:rsidRPr="005C1C24">
              <w:rPr>
                <w:rFonts w:ascii="Calibri" w:hAnsi="Calibri"/>
              </w:rPr>
              <w:t>1209 - Evropská integrace</w:t>
            </w:r>
          </w:p>
        </w:tc>
        <w:tc>
          <w:tcPr>
            <w:tcW w:w="2835" w:type="dxa"/>
            <w:shd w:val="clear" w:color="auto" w:fill="auto"/>
          </w:tcPr>
          <w:p w14:paraId="04370E8A" w14:textId="77777777" w:rsidR="00955D47" w:rsidRPr="005C1C24" w:rsidRDefault="00955D47" w:rsidP="00FE4BEF">
            <w:pPr>
              <w:jc w:val="right"/>
              <w:rPr>
                <w:rFonts w:ascii="Calibri" w:hAnsi="Calibri"/>
              </w:rPr>
            </w:pPr>
            <w:r w:rsidRPr="005C1C24">
              <w:rPr>
                <w:rFonts w:ascii="Calibri" w:hAnsi="Calibri"/>
              </w:rPr>
              <w:t>1 000</w:t>
            </w:r>
          </w:p>
        </w:tc>
      </w:tr>
      <w:tr w:rsidR="00955D47" w:rsidRPr="005C1C24" w14:paraId="5F870E0D" w14:textId="77777777" w:rsidTr="00FE4BEF">
        <w:trPr>
          <w:trHeight w:val="283"/>
        </w:trPr>
        <w:tc>
          <w:tcPr>
            <w:tcW w:w="4395" w:type="dxa"/>
            <w:shd w:val="clear" w:color="auto" w:fill="auto"/>
          </w:tcPr>
          <w:p w14:paraId="53AFF105" w14:textId="77777777" w:rsidR="00955D47" w:rsidRPr="005C1C24" w:rsidRDefault="00955D47" w:rsidP="00FE4BEF">
            <w:pPr>
              <w:jc w:val="both"/>
              <w:rPr>
                <w:rFonts w:ascii="Calibri" w:hAnsi="Calibri"/>
              </w:rPr>
            </w:pPr>
            <w:r w:rsidRPr="005C1C24">
              <w:rPr>
                <w:rFonts w:ascii="Calibri" w:hAnsi="Calibri"/>
              </w:rPr>
              <w:t>1210 - Životního prostředí a zemědělství</w:t>
            </w:r>
          </w:p>
        </w:tc>
        <w:tc>
          <w:tcPr>
            <w:tcW w:w="2835" w:type="dxa"/>
            <w:shd w:val="clear" w:color="auto" w:fill="auto"/>
          </w:tcPr>
          <w:p w14:paraId="1FBE386A" w14:textId="77777777" w:rsidR="00955D47" w:rsidRPr="005C1C24" w:rsidRDefault="00955D47" w:rsidP="00FE4BEF">
            <w:pPr>
              <w:jc w:val="right"/>
              <w:rPr>
                <w:rFonts w:ascii="Calibri" w:hAnsi="Calibri"/>
              </w:rPr>
            </w:pPr>
            <w:r w:rsidRPr="005C1C24">
              <w:rPr>
                <w:rFonts w:ascii="Calibri" w:hAnsi="Calibri"/>
              </w:rPr>
              <w:t>11 000</w:t>
            </w:r>
          </w:p>
        </w:tc>
      </w:tr>
      <w:tr w:rsidR="00955D47" w:rsidRPr="005C1C24" w14:paraId="1806D84F" w14:textId="77777777" w:rsidTr="00FE4BEF">
        <w:trPr>
          <w:trHeight w:val="283"/>
        </w:trPr>
        <w:tc>
          <w:tcPr>
            <w:tcW w:w="4395" w:type="dxa"/>
            <w:shd w:val="clear" w:color="auto" w:fill="auto"/>
          </w:tcPr>
          <w:p w14:paraId="5B32F6DE" w14:textId="77777777" w:rsidR="00955D47" w:rsidRPr="005C1C24" w:rsidRDefault="00955D47" w:rsidP="00FE4BEF">
            <w:pPr>
              <w:jc w:val="both"/>
              <w:rPr>
                <w:rFonts w:ascii="Calibri" w:hAnsi="Calibri"/>
              </w:rPr>
            </w:pPr>
            <w:r w:rsidRPr="005C1C24">
              <w:rPr>
                <w:rFonts w:ascii="Calibri" w:hAnsi="Calibri"/>
              </w:rPr>
              <w:t>1217 - Sociální věci</w:t>
            </w:r>
          </w:p>
        </w:tc>
        <w:tc>
          <w:tcPr>
            <w:tcW w:w="2835" w:type="dxa"/>
            <w:shd w:val="clear" w:color="auto" w:fill="auto"/>
          </w:tcPr>
          <w:p w14:paraId="4D357CF0" w14:textId="77777777" w:rsidR="00955D47" w:rsidRPr="005C1C24" w:rsidRDefault="00955D47" w:rsidP="00FE4BEF">
            <w:pPr>
              <w:jc w:val="right"/>
              <w:rPr>
                <w:rFonts w:ascii="Calibri" w:hAnsi="Calibri"/>
              </w:rPr>
            </w:pPr>
            <w:r w:rsidRPr="005C1C24">
              <w:rPr>
                <w:rFonts w:ascii="Calibri" w:hAnsi="Calibri"/>
              </w:rPr>
              <w:t>20 000</w:t>
            </w:r>
          </w:p>
        </w:tc>
      </w:tr>
      <w:tr w:rsidR="00955D47" w:rsidRPr="005C1C24" w14:paraId="5BFA47F6" w14:textId="77777777" w:rsidTr="00FE4BEF">
        <w:trPr>
          <w:trHeight w:val="283"/>
        </w:trPr>
        <w:tc>
          <w:tcPr>
            <w:tcW w:w="4395" w:type="dxa"/>
            <w:shd w:val="clear" w:color="auto" w:fill="auto"/>
          </w:tcPr>
          <w:p w14:paraId="59A50F5C" w14:textId="77777777" w:rsidR="00955D47" w:rsidRPr="005C1C24" w:rsidRDefault="00955D47" w:rsidP="00FE4BEF">
            <w:pPr>
              <w:jc w:val="both"/>
              <w:rPr>
                <w:rFonts w:ascii="Calibri" w:hAnsi="Calibri"/>
              </w:rPr>
            </w:pPr>
            <w:r w:rsidRPr="005C1C24">
              <w:rPr>
                <w:rFonts w:ascii="Calibri" w:hAnsi="Calibri"/>
              </w:rPr>
              <w:t>1225 - Bezpečnost a prevence</w:t>
            </w:r>
          </w:p>
        </w:tc>
        <w:tc>
          <w:tcPr>
            <w:tcW w:w="2835" w:type="dxa"/>
            <w:shd w:val="clear" w:color="auto" w:fill="auto"/>
          </w:tcPr>
          <w:p w14:paraId="2C4B3342" w14:textId="77777777" w:rsidR="00955D47" w:rsidRPr="005C1C24" w:rsidRDefault="00955D47" w:rsidP="00FE4BEF">
            <w:pPr>
              <w:jc w:val="right"/>
              <w:rPr>
                <w:rFonts w:ascii="Calibri" w:hAnsi="Calibri"/>
              </w:rPr>
            </w:pPr>
            <w:r w:rsidRPr="005C1C24">
              <w:rPr>
                <w:rFonts w:ascii="Calibri" w:hAnsi="Calibri"/>
              </w:rPr>
              <w:t>5 000</w:t>
            </w:r>
          </w:p>
        </w:tc>
      </w:tr>
      <w:tr w:rsidR="00955D47" w:rsidRPr="005C1C24" w14:paraId="369C0433" w14:textId="77777777" w:rsidTr="00FE4BEF">
        <w:trPr>
          <w:trHeight w:val="283"/>
        </w:trPr>
        <w:tc>
          <w:tcPr>
            <w:tcW w:w="4395" w:type="dxa"/>
            <w:shd w:val="clear" w:color="auto" w:fill="auto"/>
          </w:tcPr>
          <w:p w14:paraId="2BA7922B" w14:textId="77777777" w:rsidR="00955D47" w:rsidRPr="005C1C24" w:rsidRDefault="00955D47" w:rsidP="00FE4BEF">
            <w:pPr>
              <w:jc w:val="both"/>
              <w:rPr>
                <w:rFonts w:ascii="Calibri" w:hAnsi="Calibri"/>
                <w:b/>
                <w:bCs/>
              </w:rPr>
            </w:pPr>
            <w:r w:rsidRPr="005C1C24">
              <w:rPr>
                <w:rFonts w:ascii="Calibri" w:hAnsi="Calibri"/>
                <w:b/>
                <w:bCs/>
              </w:rPr>
              <w:t>Celkem</w:t>
            </w:r>
          </w:p>
        </w:tc>
        <w:tc>
          <w:tcPr>
            <w:tcW w:w="2835" w:type="dxa"/>
            <w:shd w:val="clear" w:color="auto" w:fill="auto"/>
          </w:tcPr>
          <w:p w14:paraId="569F4161" w14:textId="77777777" w:rsidR="00955D47" w:rsidRPr="005C1C24" w:rsidRDefault="00955D47" w:rsidP="00FE4BEF">
            <w:pPr>
              <w:jc w:val="right"/>
              <w:rPr>
                <w:rFonts w:ascii="Calibri" w:hAnsi="Calibri"/>
                <w:b/>
                <w:bCs/>
              </w:rPr>
            </w:pPr>
            <w:r w:rsidRPr="005C1C24">
              <w:rPr>
                <w:rFonts w:ascii="Calibri" w:hAnsi="Calibri"/>
                <w:b/>
                <w:bCs/>
              </w:rPr>
              <w:t xml:space="preserve">209 500 </w:t>
            </w:r>
          </w:p>
        </w:tc>
      </w:tr>
    </w:tbl>
    <w:p w14:paraId="1A59E9D4" w14:textId="77777777" w:rsidR="00955D47" w:rsidRPr="005C1C24" w:rsidRDefault="00955D47" w:rsidP="00955D47">
      <w:pPr>
        <w:jc w:val="both"/>
        <w:rPr>
          <w:rFonts w:ascii="Calibri" w:hAnsi="Calibri"/>
          <w:highlight w:val="yellow"/>
        </w:rPr>
      </w:pPr>
    </w:p>
    <w:p w14:paraId="066C2091" w14:textId="33FF20E3" w:rsidR="00955D47" w:rsidRPr="005C1C24" w:rsidRDefault="00955D47" w:rsidP="006504CE">
      <w:pPr>
        <w:spacing w:after="0" w:line="240" w:lineRule="auto"/>
        <w:jc w:val="both"/>
        <w:rPr>
          <w:rFonts w:ascii="Calibri" w:hAnsi="Calibri"/>
        </w:rPr>
      </w:pPr>
      <w:r w:rsidRPr="005C1C24">
        <w:rPr>
          <w:rFonts w:ascii="Calibri" w:hAnsi="Calibri"/>
        </w:rPr>
        <w:t>Schválený rozpočet kapitoly 12 – Investiční výdaje ve výši 209 500 000,00 Kč (usnesení č. 006-02/2020/ZK ze dne 14.</w:t>
      </w:r>
      <w:r w:rsidR="006504CE">
        <w:rPr>
          <w:rFonts w:ascii="Calibri" w:hAnsi="Calibri"/>
        </w:rPr>
        <w:t> </w:t>
      </w:r>
      <w:r w:rsidRPr="005C1C24">
        <w:rPr>
          <w:rFonts w:ascii="Calibri" w:hAnsi="Calibri"/>
        </w:rPr>
        <w:t>12.</w:t>
      </w:r>
      <w:r w:rsidR="006504CE">
        <w:rPr>
          <w:rFonts w:ascii="Calibri" w:hAnsi="Calibri"/>
        </w:rPr>
        <w:t> </w:t>
      </w:r>
      <w:r w:rsidRPr="005C1C24">
        <w:rPr>
          <w:rFonts w:ascii="Calibri" w:hAnsi="Calibri"/>
        </w:rPr>
        <w:t xml:space="preserve">2020) byl v průběhu roku 2021 upravován takto: </w:t>
      </w:r>
    </w:p>
    <w:p w14:paraId="7D2A1724" w14:textId="77777777" w:rsidR="00955D47" w:rsidRPr="005C1C24" w:rsidRDefault="00955D47" w:rsidP="006504CE">
      <w:pPr>
        <w:spacing w:after="0" w:line="240" w:lineRule="auto"/>
        <w:jc w:val="both"/>
        <w:rPr>
          <w:rFonts w:ascii="Calibri" w:hAnsi="Calibri"/>
        </w:rPr>
      </w:pPr>
    </w:p>
    <w:p w14:paraId="52C6B052" w14:textId="5D9D6799" w:rsidR="00955D47" w:rsidRPr="005C1C24" w:rsidRDefault="00955D47" w:rsidP="006504CE">
      <w:pPr>
        <w:numPr>
          <w:ilvl w:val="0"/>
          <w:numId w:val="3"/>
        </w:numPr>
        <w:spacing w:after="0" w:line="240" w:lineRule="auto"/>
        <w:jc w:val="both"/>
        <w:rPr>
          <w:rFonts w:ascii="Calibri" w:hAnsi="Calibri"/>
        </w:rPr>
      </w:pPr>
      <w:r w:rsidRPr="005C1C24">
        <w:rPr>
          <w:rFonts w:ascii="Calibri" w:hAnsi="Calibri"/>
        </w:rPr>
        <w:t>navýšení o 225 000 000,00 Kč - navýšení rozpočtu Středočeského kraje o prostředky ze sdílených daní a nevyčerpané prostředky z roku 2020 schválené usnesením č. 007-04/2021/ZK ze dne 22. 2. 2021.</w:t>
      </w:r>
    </w:p>
    <w:p w14:paraId="2B671787" w14:textId="77777777" w:rsidR="00955D47" w:rsidRPr="005C1C24" w:rsidRDefault="00955D47" w:rsidP="006504CE">
      <w:pPr>
        <w:spacing w:after="0" w:line="240" w:lineRule="auto"/>
        <w:jc w:val="both"/>
        <w:rPr>
          <w:rFonts w:ascii="Calibri" w:hAnsi="Calibri"/>
        </w:rPr>
      </w:pPr>
    </w:p>
    <w:p w14:paraId="2CFE5270" w14:textId="5996F93E" w:rsidR="00955D47" w:rsidRPr="005C1C24" w:rsidRDefault="00955D47" w:rsidP="006504CE">
      <w:pPr>
        <w:numPr>
          <w:ilvl w:val="0"/>
          <w:numId w:val="3"/>
        </w:numPr>
        <w:spacing w:after="0" w:line="240" w:lineRule="auto"/>
        <w:jc w:val="both"/>
        <w:rPr>
          <w:rFonts w:ascii="Calibri" w:hAnsi="Calibri"/>
        </w:rPr>
      </w:pPr>
      <w:r w:rsidRPr="005C1C24">
        <w:rPr>
          <w:rFonts w:ascii="Calibri" w:hAnsi="Calibri"/>
        </w:rPr>
        <w:t xml:space="preserve">navýšení o 81 831 897,49 Kč - převod nevyčerpaných účelových finančních prostředků z roku 2020 na základě usnesení č. 038-04/2021/RK ze dne 28. 1. 2021 a usnesení č. 031-06/2021/RK ze dne 11. 2. 2021 (bylo zapojeno do zůstatku hospodaření Středočeského kraje z roku 2020 schváleného usnesením č. 007-06/2021/ZK ze dne 26. 04. 2021). </w:t>
      </w:r>
    </w:p>
    <w:p w14:paraId="33AD5599" w14:textId="77777777" w:rsidR="00955D47" w:rsidRPr="005C1C24" w:rsidRDefault="00955D47" w:rsidP="006504CE">
      <w:pPr>
        <w:spacing w:after="0" w:line="240" w:lineRule="auto"/>
        <w:jc w:val="both"/>
        <w:rPr>
          <w:rFonts w:ascii="Calibri" w:hAnsi="Calibri"/>
        </w:rPr>
      </w:pPr>
    </w:p>
    <w:p w14:paraId="1BB9B04B" w14:textId="77777777" w:rsidR="00955D47" w:rsidRPr="005C1C24" w:rsidRDefault="00955D47" w:rsidP="006504CE">
      <w:pPr>
        <w:numPr>
          <w:ilvl w:val="0"/>
          <w:numId w:val="3"/>
        </w:numPr>
        <w:spacing w:after="0" w:line="240" w:lineRule="auto"/>
        <w:jc w:val="both"/>
        <w:rPr>
          <w:rFonts w:ascii="Calibri" w:hAnsi="Calibri"/>
        </w:rPr>
      </w:pPr>
      <w:r w:rsidRPr="005C1C24">
        <w:rPr>
          <w:rFonts w:ascii="Calibri" w:hAnsi="Calibri"/>
        </w:rPr>
        <w:t>navýšení o 20 000 000,00 Kč - zůstatek hospodaření Středočeského kraje z roku 2020 schválený usnesením č. 007-06/2021/ZK ze dne 26. 04. 2021 (navýšení limitu kapitoly 1205 – Školství na akci Gymnázia Dr. Josefa Pekaře Mladá Boleslav - Rekonstrukce elektrických rozvodů a svítidel).</w:t>
      </w:r>
    </w:p>
    <w:p w14:paraId="3DACDB54" w14:textId="77777777" w:rsidR="00955D47" w:rsidRPr="005C1C24" w:rsidRDefault="00955D47" w:rsidP="006504CE">
      <w:pPr>
        <w:pStyle w:val="Odstavecseseznamem"/>
        <w:rPr>
          <w:rFonts w:ascii="Calibri" w:hAnsi="Calibri"/>
        </w:rPr>
      </w:pPr>
    </w:p>
    <w:p w14:paraId="2B66F431" w14:textId="77777777" w:rsidR="00955D47" w:rsidRPr="005C1C24" w:rsidRDefault="00955D47" w:rsidP="006504CE">
      <w:pPr>
        <w:numPr>
          <w:ilvl w:val="0"/>
          <w:numId w:val="3"/>
        </w:numPr>
        <w:spacing w:after="0" w:line="240" w:lineRule="auto"/>
        <w:jc w:val="both"/>
        <w:rPr>
          <w:rFonts w:ascii="Calibri" w:hAnsi="Calibri"/>
        </w:rPr>
      </w:pPr>
      <w:r w:rsidRPr="005C1C24">
        <w:rPr>
          <w:rFonts w:ascii="Calibri" w:hAnsi="Calibri"/>
        </w:rPr>
        <w:t>navýšení o 15 000 000,00 Kč - převod finančních prostředků z kapitoly 04 – Doprava z prostředků Středočeského Fondu homogenizace krajské dopravní infrastruktury (navýšení limitu kapitoly 1204 - Doprava na krytí investičních akcí zařazených ve schváleném Zásobníku investic) schválený usnesením č. 063-41/2021/RK ze dne 4. 11. 2021.</w:t>
      </w:r>
    </w:p>
    <w:p w14:paraId="27B2CB00" w14:textId="77777777" w:rsidR="00955D47" w:rsidRPr="005C1C24" w:rsidRDefault="00955D47" w:rsidP="006504CE">
      <w:pPr>
        <w:pStyle w:val="Odstavecseseznamem"/>
        <w:ind w:left="0"/>
        <w:rPr>
          <w:rFonts w:ascii="Calibri" w:hAnsi="Calibri"/>
        </w:rPr>
      </w:pPr>
    </w:p>
    <w:p w14:paraId="1122989E" w14:textId="77777777" w:rsidR="00955D47" w:rsidRPr="005C1C24" w:rsidRDefault="00955D47" w:rsidP="006504CE">
      <w:pPr>
        <w:numPr>
          <w:ilvl w:val="0"/>
          <w:numId w:val="3"/>
        </w:numPr>
        <w:spacing w:after="0" w:line="240" w:lineRule="auto"/>
        <w:jc w:val="both"/>
        <w:rPr>
          <w:rFonts w:ascii="Calibri" w:hAnsi="Calibri"/>
        </w:rPr>
      </w:pPr>
      <w:r w:rsidRPr="005C1C24">
        <w:rPr>
          <w:rFonts w:ascii="Calibri" w:hAnsi="Calibri"/>
        </w:rPr>
        <w:t>navýšení o 24 100 000,00 Kč - převod finančních prostředků z kapitoly 23 – Ostatní, z prostředků na předfinancování a kofinancování projektů EU/EHP a ostatních souvisejících výdajů s projekty EU/EHP (navýšení limitu kapitoly 1204 - Doprava o 23 000 000,00 Kč na investiční akci „Příprava a zabezpečení staveb silnic II. a III. třídy a drážní stavby pro lehká kolejová vozidla – tramvaje“ a navýšení limitu kapitoly 1226 - Veřejná mobilita o 1 100 000,00 Kč na krytí investičních akcí zařazených ve schváleném Zásobníku investic) schválený usnesením č. 045-42/2021/RK ze dne 11. 11. 2021.</w:t>
      </w:r>
    </w:p>
    <w:p w14:paraId="7745A22A" w14:textId="77777777" w:rsidR="00955D47" w:rsidRPr="005C1C24" w:rsidRDefault="00955D47" w:rsidP="006504CE">
      <w:pPr>
        <w:pStyle w:val="Odstavecseseznamem"/>
        <w:ind w:left="0"/>
        <w:rPr>
          <w:rFonts w:ascii="Calibri" w:hAnsi="Calibri"/>
        </w:rPr>
      </w:pPr>
    </w:p>
    <w:p w14:paraId="456B0B03" w14:textId="77777777" w:rsidR="00955D47" w:rsidRPr="005C1C24" w:rsidRDefault="00955D47" w:rsidP="006504CE">
      <w:pPr>
        <w:numPr>
          <w:ilvl w:val="0"/>
          <w:numId w:val="3"/>
        </w:numPr>
        <w:spacing w:after="0" w:line="240" w:lineRule="auto"/>
        <w:jc w:val="both"/>
        <w:rPr>
          <w:rFonts w:ascii="Calibri" w:hAnsi="Calibri"/>
        </w:rPr>
      </w:pPr>
      <w:r w:rsidRPr="005C1C24">
        <w:rPr>
          <w:rFonts w:ascii="Calibri" w:hAnsi="Calibri"/>
        </w:rPr>
        <w:t>snížení o 24 700 000,00 Kč – převod finančních prostředků do kapitoly 23 – Ostatní, Rezerva Středočeského kraje (snížení limitů kapitol 1202 - Činnost Krajského úřadu, 1203 - Informatika, 1208 - Regionální rozvoj, 1209 - Evropská integrace, 1210 - Životní prostředí a zemědělství, 1225 - Bezpečnost a prevence) schválený usnesením č. 046-42/2021/RK ze dne 11. 11. 2021.</w:t>
      </w:r>
    </w:p>
    <w:p w14:paraId="36923F58" w14:textId="77777777" w:rsidR="00955D47" w:rsidRPr="005C1C24" w:rsidRDefault="00955D47" w:rsidP="006504CE">
      <w:pPr>
        <w:spacing w:after="0" w:line="240" w:lineRule="auto"/>
        <w:jc w:val="both"/>
        <w:rPr>
          <w:rFonts w:ascii="Calibri" w:hAnsi="Calibri"/>
        </w:rPr>
      </w:pPr>
    </w:p>
    <w:p w14:paraId="2394D0DD" w14:textId="1A43EF93" w:rsidR="00955D47" w:rsidRPr="005C1C24" w:rsidRDefault="00955D47" w:rsidP="006504CE">
      <w:pPr>
        <w:spacing w:after="0" w:line="240" w:lineRule="auto"/>
        <w:jc w:val="both"/>
        <w:rPr>
          <w:rFonts w:ascii="Calibri" w:hAnsi="Calibri"/>
        </w:rPr>
      </w:pPr>
      <w:r w:rsidRPr="005C1C24">
        <w:rPr>
          <w:rFonts w:ascii="Calibri" w:hAnsi="Calibri"/>
        </w:rPr>
        <w:t>Limity pro čerpání finančních prostředků z kapitoly 12 – Investiční výdaje byly během roku 2021 průběžně schvalovány Radou kraje - usnesení č. 017-19/2021/RK ze dne 29. 4. 2021 (1. aktualizace), usnesení č. 011-30/2021/RK ze dne 29.</w:t>
      </w:r>
      <w:r w:rsidR="006504CE">
        <w:rPr>
          <w:rFonts w:ascii="Calibri" w:hAnsi="Calibri"/>
        </w:rPr>
        <w:t> </w:t>
      </w:r>
      <w:r w:rsidRPr="005C1C24">
        <w:rPr>
          <w:rFonts w:ascii="Calibri" w:hAnsi="Calibri"/>
        </w:rPr>
        <w:t>7.</w:t>
      </w:r>
      <w:r w:rsidR="006504CE">
        <w:rPr>
          <w:rFonts w:ascii="Calibri" w:hAnsi="Calibri"/>
        </w:rPr>
        <w:t> </w:t>
      </w:r>
      <w:r w:rsidRPr="005C1C24">
        <w:rPr>
          <w:rFonts w:ascii="Calibri" w:hAnsi="Calibri"/>
        </w:rPr>
        <w:t>2021 (2. aktualizace), usnesení č. 029-32/2021/RK ze dne 26. 8. 2021 (3. aktualizace), usnesení č. 013-41/2021/RK ze dne 4. 11. 2021 (4. aktualizace). Finální limity na základě aktualizace č. 4 a usnesení č. 046-45/2021/RK ze dne 2. 12. 2021 (převod finančních prostředků v rámci kapitoly 12 – Investiční výdaje – z kapitoly 1202 - Činnost Krajského úřadu do kapitoly 1225 - Bezpečnost a prevence ve výši 520 000,00 Kč) byly schváleny v následující podobě:</w:t>
      </w:r>
    </w:p>
    <w:p w14:paraId="4570052F" w14:textId="77777777" w:rsidR="00955D47" w:rsidRPr="005C1C24" w:rsidRDefault="00955D47" w:rsidP="006504CE">
      <w:pPr>
        <w:spacing w:after="0" w:line="240" w:lineRule="auto"/>
        <w:jc w:val="both"/>
        <w:rPr>
          <w:rFonts w:ascii="Calibri" w:hAnsi="Calibri"/>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2835"/>
      </w:tblGrid>
      <w:tr w:rsidR="00955D47" w:rsidRPr="005C1C24" w14:paraId="32D5B8B1" w14:textId="77777777" w:rsidTr="00FE4BEF">
        <w:trPr>
          <w:trHeight w:val="532"/>
        </w:trPr>
        <w:tc>
          <w:tcPr>
            <w:tcW w:w="4395" w:type="dxa"/>
            <w:shd w:val="clear" w:color="auto" w:fill="auto"/>
            <w:vAlign w:val="center"/>
          </w:tcPr>
          <w:p w14:paraId="7583B802" w14:textId="77777777" w:rsidR="00955D47" w:rsidRPr="005C1C24" w:rsidRDefault="00955D47" w:rsidP="00FE4BEF">
            <w:pPr>
              <w:jc w:val="center"/>
              <w:rPr>
                <w:rFonts w:ascii="Calibri" w:hAnsi="Calibri"/>
                <w:b/>
                <w:bCs/>
              </w:rPr>
            </w:pPr>
            <w:r w:rsidRPr="005C1C24">
              <w:rPr>
                <w:rFonts w:ascii="Calibri" w:hAnsi="Calibri"/>
                <w:b/>
                <w:bCs/>
              </w:rPr>
              <w:t>Rozpočtová kapitola</w:t>
            </w:r>
          </w:p>
        </w:tc>
        <w:tc>
          <w:tcPr>
            <w:tcW w:w="2835" w:type="dxa"/>
            <w:shd w:val="clear" w:color="auto" w:fill="auto"/>
            <w:vAlign w:val="center"/>
          </w:tcPr>
          <w:p w14:paraId="5937200F" w14:textId="77777777" w:rsidR="00955D47" w:rsidRPr="005C1C24" w:rsidRDefault="00955D47" w:rsidP="00FE4BEF">
            <w:pPr>
              <w:jc w:val="center"/>
              <w:rPr>
                <w:rFonts w:ascii="Calibri" w:hAnsi="Calibri"/>
                <w:b/>
                <w:bCs/>
              </w:rPr>
            </w:pPr>
            <w:r w:rsidRPr="005C1C24">
              <w:rPr>
                <w:rFonts w:ascii="Calibri" w:hAnsi="Calibri"/>
                <w:b/>
                <w:bCs/>
              </w:rPr>
              <w:t>Limit čerpání v tis. Kč</w:t>
            </w:r>
          </w:p>
        </w:tc>
      </w:tr>
      <w:tr w:rsidR="00955D47" w:rsidRPr="005C1C24" w14:paraId="62B7286C" w14:textId="77777777" w:rsidTr="00FE4BEF">
        <w:trPr>
          <w:trHeight w:val="283"/>
        </w:trPr>
        <w:tc>
          <w:tcPr>
            <w:tcW w:w="4395" w:type="dxa"/>
            <w:shd w:val="clear" w:color="auto" w:fill="auto"/>
          </w:tcPr>
          <w:p w14:paraId="4C1B1E97" w14:textId="77777777" w:rsidR="00955D47" w:rsidRPr="005C1C24" w:rsidRDefault="00955D47" w:rsidP="00FE4BEF">
            <w:pPr>
              <w:jc w:val="both"/>
              <w:rPr>
                <w:rFonts w:ascii="Calibri" w:hAnsi="Calibri"/>
              </w:rPr>
            </w:pPr>
            <w:r w:rsidRPr="005C1C24">
              <w:rPr>
                <w:rFonts w:ascii="Calibri" w:hAnsi="Calibri"/>
              </w:rPr>
              <w:t>1201 - Činnost Zastupitelstva</w:t>
            </w:r>
          </w:p>
        </w:tc>
        <w:tc>
          <w:tcPr>
            <w:tcW w:w="2835" w:type="dxa"/>
            <w:shd w:val="clear" w:color="auto" w:fill="auto"/>
          </w:tcPr>
          <w:p w14:paraId="47715ADA" w14:textId="77777777" w:rsidR="00955D47" w:rsidRPr="005C1C24" w:rsidRDefault="00955D47" w:rsidP="00FE4BEF">
            <w:pPr>
              <w:jc w:val="right"/>
              <w:rPr>
                <w:rFonts w:ascii="Calibri" w:hAnsi="Calibri"/>
              </w:rPr>
            </w:pPr>
            <w:r w:rsidRPr="005C1C24">
              <w:rPr>
                <w:rFonts w:ascii="Calibri" w:hAnsi="Calibri"/>
              </w:rPr>
              <w:t>460</w:t>
            </w:r>
          </w:p>
        </w:tc>
      </w:tr>
      <w:tr w:rsidR="00955D47" w:rsidRPr="005C1C24" w14:paraId="2C0A3F3D" w14:textId="77777777" w:rsidTr="00FE4BEF">
        <w:trPr>
          <w:trHeight w:val="283"/>
        </w:trPr>
        <w:tc>
          <w:tcPr>
            <w:tcW w:w="4395" w:type="dxa"/>
            <w:shd w:val="clear" w:color="auto" w:fill="auto"/>
          </w:tcPr>
          <w:p w14:paraId="27969F29" w14:textId="77777777" w:rsidR="00955D47" w:rsidRPr="005C1C24" w:rsidRDefault="00955D47" w:rsidP="00FE4BEF">
            <w:pPr>
              <w:jc w:val="both"/>
              <w:rPr>
                <w:rFonts w:ascii="Calibri" w:hAnsi="Calibri"/>
              </w:rPr>
            </w:pPr>
            <w:r w:rsidRPr="005C1C24">
              <w:rPr>
                <w:rFonts w:ascii="Calibri" w:hAnsi="Calibri"/>
              </w:rPr>
              <w:t>1202 - Činnost Krajského úřadu</w:t>
            </w:r>
          </w:p>
        </w:tc>
        <w:tc>
          <w:tcPr>
            <w:tcW w:w="2835" w:type="dxa"/>
            <w:shd w:val="clear" w:color="auto" w:fill="auto"/>
          </w:tcPr>
          <w:p w14:paraId="5864BF42" w14:textId="77777777" w:rsidR="00955D47" w:rsidRPr="005C1C24" w:rsidRDefault="00955D47" w:rsidP="00FE4BEF">
            <w:pPr>
              <w:jc w:val="right"/>
              <w:rPr>
                <w:rFonts w:ascii="Calibri" w:hAnsi="Calibri"/>
              </w:rPr>
            </w:pPr>
            <w:r w:rsidRPr="005C1C24">
              <w:rPr>
                <w:rFonts w:ascii="Calibri" w:hAnsi="Calibri"/>
              </w:rPr>
              <w:t xml:space="preserve">21 580 </w:t>
            </w:r>
          </w:p>
        </w:tc>
      </w:tr>
      <w:tr w:rsidR="00955D47" w:rsidRPr="005C1C24" w14:paraId="2F4D5A02" w14:textId="77777777" w:rsidTr="00FE4BEF">
        <w:trPr>
          <w:trHeight w:val="283"/>
        </w:trPr>
        <w:tc>
          <w:tcPr>
            <w:tcW w:w="4395" w:type="dxa"/>
            <w:shd w:val="clear" w:color="auto" w:fill="auto"/>
          </w:tcPr>
          <w:p w14:paraId="2028CF18" w14:textId="77777777" w:rsidR="00955D47" w:rsidRPr="005C1C24" w:rsidRDefault="00955D47" w:rsidP="00FE4BEF">
            <w:pPr>
              <w:jc w:val="both"/>
              <w:rPr>
                <w:rFonts w:ascii="Calibri" w:hAnsi="Calibri"/>
              </w:rPr>
            </w:pPr>
            <w:r w:rsidRPr="005C1C24">
              <w:rPr>
                <w:rFonts w:ascii="Calibri" w:hAnsi="Calibri"/>
              </w:rPr>
              <w:t>1203 - Informatika</w:t>
            </w:r>
          </w:p>
        </w:tc>
        <w:tc>
          <w:tcPr>
            <w:tcW w:w="2835" w:type="dxa"/>
            <w:shd w:val="clear" w:color="auto" w:fill="auto"/>
          </w:tcPr>
          <w:p w14:paraId="589D8D94" w14:textId="77777777" w:rsidR="00955D47" w:rsidRPr="005C1C24" w:rsidRDefault="00955D47" w:rsidP="00FE4BEF">
            <w:pPr>
              <w:jc w:val="right"/>
              <w:rPr>
                <w:rFonts w:ascii="Calibri" w:hAnsi="Calibri"/>
              </w:rPr>
            </w:pPr>
            <w:r w:rsidRPr="005C1C24">
              <w:rPr>
                <w:rFonts w:ascii="Calibri" w:hAnsi="Calibri"/>
              </w:rPr>
              <w:t xml:space="preserve">20 400 </w:t>
            </w:r>
          </w:p>
        </w:tc>
      </w:tr>
      <w:tr w:rsidR="00955D47" w:rsidRPr="005C1C24" w14:paraId="7EF7CB5D" w14:textId="77777777" w:rsidTr="00FE4BEF">
        <w:trPr>
          <w:trHeight w:val="283"/>
        </w:trPr>
        <w:tc>
          <w:tcPr>
            <w:tcW w:w="4395" w:type="dxa"/>
            <w:shd w:val="clear" w:color="auto" w:fill="auto"/>
          </w:tcPr>
          <w:p w14:paraId="4582C024" w14:textId="77777777" w:rsidR="00955D47" w:rsidRPr="005C1C24" w:rsidRDefault="00955D47" w:rsidP="00FE4BEF">
            <w:pPr>
              <w:jc w:val="both"/>
              <w:rPr>
                <w:rFonts w:ascii="Calibri" w:hAnsi="Calibri"/>
              </w:rPr>
            </w:pPr>
            <w:r w:rsidRPr="005C1C24">
              <w:rPr>
                <w:rFonts w:ascii="Calibri" w:hAnsi="Calibri"/>
              </w:rPr>
              <w:t>1204 - Doprava</w:t>
            </w:r>
          </w:p>
        </w:tc>
        <w:tc>
          <w:tcPr>
            <w:tcW w:w="2835" w:type="dxa"/>
            <w:shd w:val="clear" w:color="auto" w:fill="auto"/>
          </w:tcPr>
          <w:p w14:paraId="4411EE82" w14:textId="77777777" w:rsidR="00955D47" w:rsidRPr="005C1C24" w:rsidRDefault="00955D47" w:rsidP="00FE4BEF">
            <w:pPr>
              <w:jc w:val="right"/>
              <w:rPr>
                <w:rFonts w:ascii="Calibri" w:hAnsi="Calibri"/>
              </w:rPr>
            </w:pPr>
            <w:r w:rsidRPr="005C1C24">
              <w:rPr>
                <w:rFonts w:ascii="Calibri" w:hAnsi="Calibri"/>
              </w:rPr>
              <w:t>301 927</w:t>
            </w:r>
          </w:p>
        </w:tc>
      </w:tr>
      <w:tr w:rsidR="00955D47" w:rsidRPr="005C1C24" w14:paraId="1FE37B7D" w14:textId="77777777" w:rsidTr="00FE4BEF">
        <w:trPr>
          <w:trHeight w:val="283"/>
        </w:trPr>
        <w:tc>
          <w:tcPr>
            <w:tcW w:w="4395" w:type="dxa"/>
            <w:shd w:val="clear" w:color="auto" w:fill="auto"/>
          </w:tcPr>
          <w:p w14:paraId="03419C56" w14:textId="77777777" w:rsidR="00955D47" w:rsidRPr="005C1C24" w:rsidRDefault="00955D47" w:rsidP="00FE4BEF">
            <w:pPr>
              <w:jc w:val="both"/>
              <w:rPr>
                <w:rFonts w:ascii="Calibri" w:hAnsi="Calibri"/>
              </w:rPr>
            </w:pPr>
            <w:r w:rsidRPr="005C1C24">
              <w:rPr>
                <w:rFonts w:ascii="Calibri" w:hAnsi="Calibri"/>
              </w:rPr>
              <w:t>1205 - Školství</w:t>
            </w:r>
          </w:p>
        </w:tc>
        <w:tc>
          <w:tcPr>
            <w:tcW w:w="2835" w:type="dxa"/>
            <w:shd w:val="clear" w:color="auto" w:fill="auto"/>
          </w:tcPr>
          <w:p w14:paraId="071731F0" w14:textId="77777777" w:rsidR="00955D47" w:rsidRPr="005C1C24" w:rsidRDefault="00955D47" w:rsidP="00FE4BEF">
            <w:pPr>
              <w:jc w:val="right"/>
              <w:rPr>
                <w:rFonts w:ascii="Calibri" w:hAnsi="Calibri"/>
              </w:rPr>
            </w:pPr>
            <w:r w:rsidRPr="005C1C24">
              <w:rPr>
                <w:rFonts w:ascii="Calibri" w:hAnsi="Calibri"/>
              </w:rPr>
              <w:t>85 000</w:t>
            </w:r>
          </w:p>
        </w:tc>
      </w:tr>
      <w:tr w:rsidR="00955D47" w:rsidRPr="005C1C24" w14:paraId="1D15E77C" w14:textId="77777777" w:rsidTr="00FE4BEF">
        <w:trPr>
          <w:trHeight w:val="283"/>
        </w:trPr>
        <w:tc>
          <w:tcPr>
            <w:tcW w:w="4395" w:type="dxa"/>
            <w:shd w:val="clear" w:color="auto" w:fill="auto"/>
          </w:tcPr>
          <w:p w14:paraId="750536D3" w14:textId="77777777" w:rsidR="00955D47" w:rsidRPr="005C1C24" w:rsidRDefault="00955D47" w:rsidP="00FE4BEF">
            <w:pPr>
              <w:jc w:val="both"/>
              <w:rPr>
                <w:rFonts w:ascii="Calibri" w:hAnsi="Calibri"/>
              </w:rPr>
            </w:pPr>
            <w:r w:rsidRPr="005C1C24">
              <w:rPr>
                <w:rFonts w:ascii="Calibri" w:hAnsi="Calibri"/>
              </w:rPr>
              <w:t>1206 - Kultura a památková péče</w:t>
            </w:r>
          </w:p>
        </w:tc>
        <w:tc>
          <w:tcPr>
            <w:tcW w:w="2835" w:type="dxa"/>
            <w:shd w:val="clear" w:color="auto" w:fill="auto"/>
          </w:tcPr>
          <w:p w14:paraId="64153818" w14:textId="77777777" w:rsidR="00955D47" w:rsidRPr="005C1C24" w:rsidRDefault="00955D47" w:rsidP="00FE4BEF">
            <w:pPr>
              <w:jc w:val="right"/>
              <w:rPr>
                <w:rFonts w:ascii="Calibri" w:hAnsi="Calibri"/>
              </w:rPr>
            </w:pPr>
            <w:r w:rsidRPr="005C1C24">
              <w:rPr>
                <w:rFonts w:ascii="Calibri" w:hAnsi="Calibri"/>
              </w:rPr>
              <w:t>40 000</w:t>
            </w:r>
          </w:p>
        </w:tc>
      </w:tr>
      <w:tr w:rsidR="00955D47" w:rsidRPr="005C1C24" w14:paraId="0EC7D6BD" w14:textId="77777777" w:rsidTr="00FE4BEF">
        <w:trPr>
          <w:trHeight w:val="283"/>
        </w:trPr>
        <w:tc>
          <w:tcPr>
            <w:tcW w:w="4395" w:type="dxa"/>
            <w:shd w:val="clear" w:color="auto" w:fill="auto"/>
          </w:tcPr>
          <w:p w14:paraId="6C5E2FB3" w14:textId="77777777" w:rsidR="00955D47" w:rsidRPr="005C1C24" w:rsidRDefault="00955D47" w:rsidP="00FE4BEF">
            <w:pPr>
              <w:jc w:val="both"/>
              <w:rPr>
                <w:rFonts w:ascii="Calibri" w:hAnsi="Calibri"/>
              </w:rPr>
            </w:pPr>
            <w:r w:rsidRPr="005C1C24">
              <w:rPr>
                <w:rFonts w:ascii="Calibri" w:hAnsi="Calibri"/>
              </w:rPr>
              <w:t>1207 - Zdravotnictví</w:t>
            </w:r>
          </w:p>
        </w:tc>
        <w:tc>
          <w:tcPr>
            <w:tcW w:w="2835" w:type="dxa"/>
            <w:shd w:val="clear" w:color="auto" w:fill="auto"/>
          </w:tcPr>
          <w:p w14:paraId="7458D3F2" w14:textId="77777777" w:rsidR="00955D47" w:rsidRPr="005C1C24" w:rsidRDefault="00955D47" w:rsidP="00FE4BEF">
            <w:pPr>
              <w:jc w:val="right"/>
              <w:rPr>
                <w:rFonts w:ascii="Calibri" w:hAnsi="Calibri"/>
              </w:rPr>
            </w:pPr>
            <w:r w:rsidRPr="005C1C24">
              <w:rPr>
                <w:rFonts w:ascii="Calibri" w:hAnsi="Calibri"/>
              </w:rPr>
              <w:t>8 000</w:t>
            </w:r>
          </w:p>
        </w:tc>
      </w:tr>
      <w:tr w:rsidR="00955D47" w:rsidRPr="005C1C24" w14:paraId="6EAF75EC" w14:textId="77777777" w:rsidTr="00FE4BEF">
        <w:trPr>
          <w:trHeight w:val="283"/>
        </w:trPr>
        <w:tc>
          <w:tcPr>
            <w:tcW w:w="4395" w:type="dxa"/>
            <w:shd w:val="clear" w:color="auto" w:fill="auto"/>
          </w:tcPr>
          <w:p w14:paraId="2385D2D3" w14:textId="77777777" w:rsidR="00955D47" w:rsidRPr="005C1C24" w:rsidRDefault="00955D47" w:rsidP="00FE4BEF">
            <w:pPr>
              <w:jc w:val="both"/>
              <w:rPr>
                <w:rFonts w:ascii="Calibri" w:hAnsi="Calibri"/>
              </w:rPr>
            </w:pPr>
            <w:r w:rsidRPr="005C1C24">
              <w:rPr>
                <w:rFonts w:ascii="Calibri" w:hAnsi="Calibri"/>
              </w:rPr>
              <w:t>1210 - Životního prostředí a zemědělství</w:t>
            </w:r>
          </w:p>
        </w:tc>
        <w:tc>
          <w:tcPr>
            <w:tcW w:w="2835" w:type="dxa"/>
            <w:shd w:val="clear" w:color="auto" w:fill="auto"/>
          </w:tcPr>
          <w:p w14:paraId="5FF5AB0A" w14:textId="77777777" w:rsidR="00955D47" w:rsidRPr="005C1C24" w:rsidRDefault="00955D47" w:rsidP="00FE4BEF">
            <w:pPr>
              <w:jc w:val="right"/>
              <w:rPr>
                <w:rFonts w:ascii="Calibri" w:hAnsi="Calibri"/>
              </w:rPr>
            </w:pPr>
            <w:r w:rsidRPr="005C1C24">
              <w:rPr>
                <w:rFonts w:ascii="Calibri" w:hAnsi="Calibri"/>
              </w:rPr>
              <w:t>9 300</w:t>
            </w:r>
          </w:p>
        </w:tc>
      </w:tr>
      <w:tr w:rsidR="00955D47" w:rsidRPr="005C1C24" w14:paraId="1D517712" w14:textId="77777777" w:rsidTr="00FE4BEF">
        <w:trPr>
          <w:trHeight w:val="283"/>
        </w:trPr>
        <w:tc>
          <w:tcPr>
            <w:tcW w:w="4395" w:type="dxa"/>
            <w:shd w:val="clear" w:color="auto" w:fill="auto"/>
          </w:tcPr>
          <w:p w14:paraId="5C4BD006" w14:textId="77777777" w:rsidR="00955D47" w:rsidRPr="005C1C24" w:rsidRDefault="00955D47" w:rsidP="00FE4BEF">
            <w:pPr>
              <w:jc w:val="both"/>
              <w:rPr>
                <w:rFonts w:ascii="Calibri" w:hAnsi="Calibri"/>
              </w:rPr>
            </w:pPr>
            <w:r w:rsidRPr="005C1C24">
              <w:rPr>
                <w:rFonts w:ascii="Calibri" w:hAnsi="Calibri"/>
              </w:rPr>
              <w:t>1217 - Sociální věci</w:t>
            </w:r>
          </w:p>
        </w:tc>
        <w:tc>
          <w:tcPr>
            <w:tcW w:w="2835" w:type="dxa"/>
            <w:shd w:val="clear" w:color="auto" w:fill="auto"/>
          </w:tcPr>
          <w:p w14:paraId="63786898" w14:textId="77777777" w:rsidR="00955D47" w:rsidRPr="005C1C24" w:rsidRDefault="00955D47" w:rsidP="00FE4BEF">
            <w:pPr>
              <w:jc w:val="right"/>
              <w:rPr>
                <w:rFonts w:ascii="Calibri" w:hAnsi="Calibri"/>
              </w:rPr>
            </w:pPr>
            <w:r w:rsidRPr="005C1C24">
              <w:rPr>
                <w:rFonts w:ascii="Calibri" w:hAnsi="Calibri"/>
              </w:rPr>
              <w:t>58 000</w:t>
            </w:r>
          </w:p>
        </w:tc>
      </w:tr>
      <w:tr w:rsidR="00955D47" w:rsidRPr="005C1C24" w14:paraId="36F396D0" w14:textId="77777777" w:rsidTr="00FE4BEF">
        <w:trPr>
          <w:trHeight w:val="283"/>
        </w:trPr>
        <w:tc>
          <w:tcPr>
            <w:tcW w:w="4395" w:type="dxa"/>
            <w:shd w:val="clear" w:color="auto" w:fill="auto"/>
          </w:tcPr>
          <w:p w14:paraId="5951BDF0" w14:textId="77777777" w:rsidR="00955D47" w:rsidRPr="005C1C24" w:rsidRDefault="00955D47" w:rsidP="00FE4BEF">
            <w:pPr>
              <w:jc w:val="both"/>
              <w:rPr>
                <w:rFonts w:ascii="Calibri" w:hAnsi="Calibri"/>
              </w:rPr>
            </w:pPr>
            <w:r w:rsidRPr="005C1C24">
              <w:rPr>
                <w:rFonts w:ascii="Calibri" w:hAnsi="Calibri"/>
              </w:rPr>
              <w:t>1225 - Bezpečnost a prevence</w:t>
            </w:r>
          </w:p>
        </w:tc>
        <w:tc>
          <w:tcPr>
            <w:tcW w:w="2835" w:type="dxa"/>
            <w:shd w:val="clear" w:color="auto" w:fill="auto"/>
          </w:tcPr>
          <w:p w14:paraId="2FF07635" w14:textId="77777777" w:rsidR="00955D47" w:rsidRPr="005C1C24" w:rsidRDefault="00955D47" w:rsidP="00FE4BEF">
            <w:pPr>
              <w:jc w:val="right"/>
              <w:rPr>
                <w:rFonts w:ascii="Calibri" w:hAnsi="Calibri"/>
              </w:rPr>
            </w:pPr>
            <w:r w:rsidRPr="005C1C24">
              <w:rPr>
                <w:rFonts w:ascii="Calibri" w:hAnsi="Calibri"/>
              </w:rPr>
              <w:t>4 560</w:t>
            </w:r>
          </w:p>
        </w:tc>
      </w:tr>
      <w:tr w:rsidR="00955D47" w:rsidRPr="005C1C24" w14:paraId="1F15D799" w14:textId="77777777" w:rsidTr="00FE4BEF">
        <w:trPr>
          <w:trHeight w:val="283"/>
        </w:trPr>
        <w:tc>
          <w:tcPr>
            <w:tcW w:w="4395" w:type="dxa"/>
            <w:shd w:val="clear" w:color="auto" w:fill="auto"/>
          </w:tcPr>
          <w:p w14:paraId="39ED6EF2" w14:textId="77777777" w:rsidR="00955D47" w:rsidRPr="005C1C24" w:rsidRDefault="00955D47" w:rsidP="00FE4BEF">
            <w:pPr>
              <w:jc w:val="both"/>
              <w:rPr>
                <w:rFonts w:ascii="Calibri" w:hAnsi="Calibri"/>
              </w:rPr>
            </w:pPr>
            <w:r w:rsidRPr="005C1C24">
              <w:rPr>
                <w:rFonts w:ascii="Calibri" w:hAnsi="Calibri"/>
              </w:rPr>
              <w:t>1226 - Veřejná mobilita</w:t>
            </w:r>
          </w:p>
        </w:tc>
        <w:tc>
          <w:tcPr>
            <w:tcW w:w="2835" w:type="dxa"/>
            <w:shd w:val="clear" w:color="auto" w:fill="auto"/>
          </w:tcPr>
          <w:p w14:paraId="64C61B65" w14:textId="77777777" w:rsidR="00955D47" w:rsidRPr="005C1C24" w:rsidRDefault="00955D47" w:rsidP="00FE4BEF">
            <w:pPr>
              <w:jc w:val="right"/>
              <w:rPr>
                <w:rFonts w:ascii="Calibri" w:hAnsi="Calibri"/>
              </w:rPr>
            </w:pPr>
            <w:r w:rsidRPr="005C1C24">
              <w:rPr>
                <w:rFonts w:ascii="Calibri" w:hAnsi="Calibri"/>
              </w:rPr>
              <w:t>1 504</w:t>
            </w:r>
          </w:p>
        </w:tc>
      </w:tr>
      <w:tr w:rsidR="00955D47" w:rsidRPr="005C1C24" w14:paraId="2CB2E5E7" w14:textId="77777777" w:rsidTr="00FE4BEF">
        <w:trPr>
          <w:trHeight w:val="283"/>
        </w:trPr>
        <w:tc>
          <w:tcPr>
            <w:tcW w:w="4395" w:type="dxa"/>
            <w:shd w:val="clear" w:color="auto" w:fill="auto"/>
          </w:tcPr>
          <w:p w14:paraId="23FCBD42" w14:textId="77777777" w:rsidR="00955D47" w:rsidRPr="005C1C24" w:rsidRDefault="00955D47" w:rsidP="00FE4BEF">
            <w:pPr>
              <w:jc w:val="both"/>
              <w:rPr>
                <w:rFonts w:ascii="Calibri" w:hAnsi="Calibri"/>
                <w:b/>
                <w:bCs/>
              </w:rPr>
            </w:pPr>
            <w:r w:rsidRPr="005C1C24">
              <w:rPr>
                <w:rFonts w:ascii="Calibri" w:hAnsi="Calibri"/>
                <w:b/>
                <w:bCs/>
              </w:rPr>
              <w:t>Celkem</w:t>
            </w:r>
          </w:p>
        </w:tc>
        <w:tc>
          <w:tcPr>
            <w:tcW w:w="2835" w:type="dxa"/>
            <w:shd w:val="clear" w:color="auto" w:fill="auto"/>
          </w:tcPr>
          <w:p w14:paraId="31F55B0E" w14:textId="77777777" w:rsidR="00955D47" w:rsidRPr="005C1C24" w:rsidRDefault="00955D47" w:rsidP="00FE4BEF">
            <w:pPr>
              <w:jc w:val="right"/>
              <w:rPr>
                <w:rFonts w:ascii="Calibri" w:hAnsi="Calibri"/>
                <w:b/>
                <w:bCs/>
              </w:rPr>
            </w:pPr>
            <w:r w:rsidRPr="005C1C24">
              <w:rPr>
                <w:rFonts w:ascii="Calibri" w:hAnsi="Calibri"/>
                <w:b/>
                <w:bCs/>
              </w:rPr>
              <w:t xml:space="preserve">550 731 </w:t>
            </w:r>
          </w:p>
        </w:tc>
      </w:tr>
    </w:tbl>
    <w:p w14:paraId="0CC155DA" w14:textId="77777777" w:rsidR="00955D47" w:rsidRPr="005C1C24" w:rsidRDefault="00955D47" w:rsidP="00955D47">
      <w:pPr>
        <w:jc w:val="both"/>
        <w:rPr>
          <w:rFonts w:ascii="Calibri" w:hAnsi="Calibri"/>
        </w:rPr>
      </w:pPr>
    </w:p>
    <w:p w14:paraId="70074164" w14:textId="77777777" w:rsidR="00955D47" w:rsidRPr="005C1C24" w:rsidRDefault="00955D47" w:rsidP="006504CE">
      <w:pPr>
        <w:spacing w:after="0" w:line="240" w:lineRule="auto"/>
        <w:jc w:val="both"/>
        <w:rPr>
          <w:rFonts w:ascii="Calibri" w:hAnsi="Calibri"/>
        </w:rPr>
      </w:pPr>
      <w:r w:rsidRPr="005C1C24">
        <w:rPr>
          <w:rFonts w:ascii="Calibri" w:hAnsi="Calibri"/>
        </w:rPr>
        <w:t xml:space="preserve">Z celkové částky kapitálových (investičních) prostředků ve výši 550 731 897,49 Kč bylo v </w:t>
      </w:r>
      <w:r w:rsidRPr="005C1C24">
        <w:rPr>
          <w:rFonts w:ascii="Calibri" w:hAnsi="Calibri"/>
        </w:rPr>
        <w:br/>
        <w:t>roce 2021 vyčerpáno 400 988 888,29 Kč, tj. 72,8 % upraveného rozpočtu.</w:t>
      </w:r>
    </w:p>
    <w:p w14:paraId="6B2F0A7B" w14:textId="77777777" w:rsidR="00955D47" w:rsidRPr="005C1C24" w:rsidRDefault="00955D47" w:rsidP="006504CE">
      <w:pPr>
        <w:spacing w:after="0" w:line="240" w:lineRule="auto"/>
        <w:jc w:val="both"/>
        <w:rPr>
          <w:rFonts w:ascii="Calibri" w:hAnsi="Calibri"/>
          <w:highlight w:val="yellow"/>
        </w:rPr>
      </w:pPr>
    </w:p>
    <w:p w14:paraId="06B1EE7F" w14:textId="77777777" w:rsidR="00955D47" w:rsidRPr="005C1C24" w:rsidRDefault="00955D47" w:rsidP="006504CE">
      <w:pPr>
        <w:spacing w:after="0" w:line="240" w:lineRule="auto"/>
        <w:jc w:val="both"/>
        <w:rPr>
          <w:rFonts w:ascii="Calibri" w:hAnsi="Calibri"/>
          <w:bCs/>
        </w:rPr>
      </w:pPr>
      <w:r w:rsidRPr="005C1C24">
        <w:rPr>
          <w:rFonts w:ascii="Calibri" w:hAnsi="Calibri"/>
          <w:bCs/>
        </w:rPr>
        <w:t>Na celkové vyčerpané částce kapitálových (investičních) výdajů měly podíl kapitoly:</w:t>
      </w:r>
    </w:p>
    <w:p w14:paraId="7317417F" w14:textId="77777777" w:rsidR="00955D47" w:rsidRPr="005C1C24" w:rsidRDefault="00955D47" w:rsidP="006504CE">
      <w:pPr>
        <w:spacing w:after="0" w:line="240" w:lineRule="auto"/>
        <w:jc w:val="both"/>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3222"/>
        <w:gridCol w:w="2303"/>
        <w:gridCol w:w="2303"/>
      </w:tblGrid>
      <w:tr w:rsidR="00955D47" w:rsidRPr="005C1C24" w14:paraId="034237ED" w14:textId="77777777" w:rsidTr="00FE4BEF">
        <w:tc>
          <w:tcPr>
            <w:tcW w:w="1384" w:type="dxa"/>
            <w:tcBorders>
              <w:top w:val="nil"/>
              <w:left w:val="nil"/>
              <w:bottom w:val="nil"/>
              <w:right w:val="nil"/>
            </w:tcBorders>
            <w:shd w:val="clear" w:color="auto" w:fill="auto"/>
          </w:tcPr>
          <w:p w14:paraId="5E388A4A" w14:textId="77777777" w:rsidR="00955D47" w:rsidRPr="005C1C24" w:rsidRDefault="00955D47" w:rsidP="00FE4BEF">
            <w:pPr>
              <w:jc w:val="right"/>
              <w:rPr>
                <w:rFonts w:ascii="Calibri" w:hAnsi="Calibri" w:cs="Calibri"/>
              </w:rPr>
            </w:pPr>
            <w:r w:rsidRPr="005C1C24">
              <w:rPr>
                <w:rFonts w:ascii="Calibri" w:hAnsi="Calibri" w:cs="Calibri"/>
              </w:rPr>
              <w:t>1201</w:t>
            </w:r>
          </w:p>
        </w:tc>
        <w:tc>
          <w:tcPr>
            <w:tcW w:w="3222" w:type="dxa"/>
            <w:tcBorders>
              <w:top w:val="nil"/>
              <w:left w:val="nil"/>
              <w:bottom w:val="nil"/>
              <w:right w:val="nil"/>
            </w:tcBorders>
            <w:shd w:val="clear" w:color="auto" w:fill="auto"/>
          </w:tcPr>
          <w:p w14:paraId="3A1E1B1D" w14:textId="77777777" w:rsidR="00955D47" w:rsidRPr="005C1C24" w:rsidRDefault="00955D47" w:rsidP="00FE4BEF">
            <w:pPr>
              <w:jc w:val="both"/>
              <w:rPr>
                <w:rFonts w:ascii="Calibri" w:hAnsi="Calibri" w:cs="Calibri"/>
              </w:rPr>
            </w:pPr>
            <w:r w:rsidRPr="005C1C24">
              <w:rPr>
                <w:rFonts w:ascii="Calibri" w:hAnsi="Calibri" w:cs="Calibri"/>
              </w:rPr>
              <w:t>Činnost Zastupitelstva</w:t>
            </w:r>
          </w:p>
        </w:tc>
        <w:tc>
          <w:tcPr>
            <w:tcW w:w="2303" w:type="dxa"/>
            <w:tcBorders>
              <w:top w:val="nil"/>
              <w:left w:val="nil"/>
              <w:bottom w:val="nil"/>
              <w:right w:val="nil"/>
            </w:tcBorders>
            <w:shd w:val="clear" w:color="auto" w:fill="auto"/>
            <w:vAlign w:val="bottom"/>
          </w:tcPr>
          <w:p w14:paraId="30030665" w14:textId="77777777" w:rsidR="00955D47" w:rsidRPr="005C1C24" w:rsidRDefault="00955D47" w:rsidP="00FE4BEF">
            <w:pPr>
              <w:jc w:val="right"/>
              <w:rPr>
                <w:rFonts w:ascii="Calibri" w:hAnsi="Calibri" w:cs="Calibri"/>
              </w:rPr>
            </w:pPr>
            <w:r w:rsidRPr="005C1C24">
              <w:rPr>
                <w:rFonts w:ascii="Calibri" w:hAnsi="Calibri" w:cs="Calibri"/>
              </w:rPr>
              <w:t>459 800,00 Kč</w:t>
            </w:r>
          </w:p>
        </w:tc>
        <w:tc>
          <w:tcPr>
            <w:tcW w:w="2303" w:type="dxa"/>
            <w:tcBorders>
              <w:top w:val="nil"/>
              <w:left w:val="nil"/>
              <w:bottom w:val="nil"/>
              <w:right w:val="nil"/>
            </w:tcBorders>
            <w:shd w:val="clear" w:color="auto" w:fill="auto"/>
            <w:vAlign w:val="bottom"/>
          </w:tcPr>
          <w:p w14:paraId="7F1928E1" w14:textId="77777777" w:rsidR="00955D47" w:rsidRPr="005C1C24" w:rsidRDefault="00955D47" w:rsidP="00FE4BEF">
            <w:pPr>
              <w:jc w:val="right"/>
              <w:rPr>
                <w:rFonts w:ascii="Calibri" w:hAnsi="Calibri" w:cs="Calibri"/>
              </w:rPr>
            </w:pPr>
            <w:r w:rsidRPr="005C1C24">
              <w:rPr>
                <w:rFonts w:ascii="Calibri" w:hAnsi="Calibri" w:cs="Calibri"/>
              </w:rPr>
              <w:t>0,1 %</w:t>
            </w:r>
          </w:p>
        </w:tc>
      </w:tr>
      <w:tr w:rsidR="00955D47" w:rsidRPr="005C1C24" w14:paraId="2B272890" w14:textId="77777777" w:rsidTr="00FE4BEF">
        <w:tc>
          <w:tcPr>
            <w:tcW w:w="1384" w:type="dxa"/>
            <w:tcBorders>
              <w:top w:val="nil"/>
              <w:left w:val="nil"/>
              <w:bottom w:val="nil"/>
              <w:right w:val="nil"/>
            </w:tcBorders>
            <w:shd w:val="clear" w:color="auto" w:fill="auto"/>
          </w:tcPr>
          <w:p w14:paraId="1E684010" w14:textId="77777777" w:rsidR="00955D47" w:rsidRPr="005C1C24" w:rsidRDefault="00955D47" w:rsidP="00FE4BEF">
            <w:pPr>
              <w:jc w:val="right"/>
              <w:rPr>
                <w:rFonts w:ascii="Calibri" w:hAnsi="Calibri" w:cs="Calibri"/>
              </w:rPr>
            </w:pPr>
            <w:r w:rsidRPr="005C1C24">
              <w:rPr>
                <w:rFonts w:ascii="Calibri" w:hAnsi="Calibri" w:cs="Calibri"/>
              </w:rPr>
              <w:t>1202</w:t>
            </w:r>
          </w:p>
        </w:tc>
        <w:tc>
          <w:tcPr>
            <w:tcW w:w="3222" w:type="dxa"/>
            <w:tcBorders>
              <w:top w:val="nil"/>
              <w:left w:val="nil"/>
              <w:bottom w:val="nil"/>
              <w:right w:val="nil"/>
            </w:tcBorders>
            <w:shd w:val="clear" w:color="auto" w:fill="auto"/>
          </w:tcPr>
          <w:p w14:paraId="206E6BCD" w14:textId="77777777" w:rsidR="00955D47" w:rsidRPr="005C1C24" w:rsidRDefault="00955D47" w:rsidP="00FE4BEF">
            <w:pPr>
              <w:jc w:val="both"/>
              <w:rPr>
                <w:rFonts w:ascii="Calibri" w:hAnsi="Calibri" w:cs="Calibri"/>
              </w:rPr>
            </w:pPr>
            <w:r w:rsidRPr="005C1C24">
              <w:rPr>
                <w:rFonts w:ascii="Calibri" w:hAnsi="Calibri" w:cs="Calibri"/>
              </w:rPr>
              <w:t>Činnost Krajského úřadu</w:t>
            </w:r>
          </w:p>
        </w:tc>
        <w:tc>
          <w:tcPr>
            <w:tcW w:w="2303" w:type="dxa"/>
            <w:tcBorders>
              <w:top w:val="nil"/>
              <w:left w:val="nil"/>
              <w:bottom w:val="nil"/>
              <w:right w:val="nil"/>
            </w:tcBorders>
            <w:shd w:val="clear" w:color="auto" w:fill="auto"/>
            <w:vAlign w:val="bottom"/>
          </w:tcPr>
          <w:p w14:paraId="472A549D" w14:textId="77777777" w:rsidR="00955D47" w:rsidRPr="005C1C24" w:rsidRDefault="00955D47" w:rsidP="00FE4BEF">
            <w:pPr>
              <w:jc w:val="right"/>
              <w:rPr>
                <w:rFonts w:ascii="Calibri" w:hAnsi="Calibri" w:cs="Calibri"/>
              </w:rPr>
            </w:pPr>
            <w:r w:rsidRPr="005C1C24">
              <w:rPr>
                <w:rFonts w:ascii="Calibri" w:hAnsi="Calibri" w:cs="Calibri"/>
              </w:rPr>
              <w:t>9 425 252,69 Kč</w:t>
            </w:r>
          </w:p>
        </w:tc>
        <w:tc>
          <w:tcPr>
            <w:tcW w:w="2303" w:type="dxa"/>
            <w:tcBorders>
              <w:top w:val="nil"/>
              <w:left w:val="nil"/>
              <w:bottom w:val="nil"/>
              <w:right w:val="nil"/>
            </w:tcBorders>
            <w:shd w:val="clear" w:color="auto" w:fill="auto"/>
            <w:vAlign w:val="bottom"/>
          </w:tcPr>
          <w:p w14:paraId="3DFCED44" w14:textId="77777777" w:rsidR="00955D47" w:rsidRPr="005C1C24" w:rsidRDefault="00955D47" w:rsidP="00FE4BEF">
            <w:pPr>
              <w:jc w:val="right"/>
              <w:rPr>
                <w:rFonts w:ascii="Calibri" w:hAnsi="Calibri" w:cs="Calibri"/>
              </w:rPr>
            </w:pPr>
            <w:r w:rsidRPr="005C1C24">
              <w:rPr>
                <w:rFonts w:ascii="Calibri" w:hAnsi="Calibri" w:cs="Calibri"/>
              </w:rPr>
              <w:t>2,4 %</w:t>
            </w:r>
          </w:p>
        </w:tc>
      </w:tr>
      <w:tr w:rsidR="00955D47" w:rsidRPr="005C1C24" w14:paraId="74EF7391" w14:textId="77777777" w:rsidTr="00FE4BEF">
        <w:tc>
          <w:tcPr>
            <w:tcW w:w="1384" w:type="dxa"/>
            <w:tcBorders>
              <w:top w:val="nil"/>
              <w:left w:val="nil"/>
              <w:bottom w:val="nil"/>
              <w:right w:val="nil"/>
            </w:tcBorders>
            <w:shd w:val="clear" w:color="auto" w:fill="auto"/>
          </w:tcPr>
          <w:p w14:paraId="184BF481" w14:textId="77777777" w:rsidR="00955D47" w:rsidRPr="005C1C24" w:rsidRDefault="00955D47" w:rsidP="00FE4BEF">
            <w:pPr>
              <w:jc w:val="right"/>
              <w:rPr>
                <w:rFonts w:ascii="Calibri" w:hAnsi="Calibri" w:cs="Calibri"/>
              </w:rPr>
            </w:pPr>
            <w:r w:rsidRPr="005C1C24">
              <w:rPr>
                <w:rFonts w:ascii="Calibri" w:hAnsi="Calibri" w:cs="Calibri"/>
              </w:rPr>
              <w:t>1203</w:t>
            </w:r>
          </w:p>
        </w:tc>
        <w:tc>
          <w:tcPr>
            <w:tcW w:w="3222" w:type="dxa"/>
            <w:tcBorders>
              <w:top w:val="nil"/>
              <w:left w:val="nil"/>
              <w:bottom w:val="nil"/>
              <w:right w:val="nil"/>
            </w:tcBorders>
            <w:shd w:val="clear" w:color="auto" w:fill="auto"/>
          </w:tcPr>
          <w:p w14:paraId="34EFCAB0" w14:textId="77777777" w:rsidR="00955D47" w:rsidRPr="005C1C24" w:rsidRDefault="00955D47" w:rsidP="00FE4BEF">
            <w:pPr>
              <w:jc w:val="both"/>
              <w:rPr>
                <w:rFonts w:ascii="Calibri" w:hAnsi="Calibri" w:cs="Calibri"/>
              </w:rPr>
            </w:pPr>
            <w:r w:rsidRPr="005C1C24">
              <w:rPr>
                <w:rFonts w:ascii="Calibri" w:hAnsi="Calibri" w:cs="Calibri"/>
              </w:rPr>
              <w:t>Informatika</w:t>
            </w:r>
          </w:p>
        </w:tc>
        <w:tc>
          <w:tcPr>
            <w:tcW w:w="2303" w:type="dxa"/>
            <w:tcBorders>
              <w:top w:val="nil"/>
              <w:left w:val="nil"/>
              <w:bottom w:val="nil"/>
              <w:right w:val="nil"/>
            </w:tcBorders>
            <w:shd w:val="clear" w:color="auto" w:fill="auto"/>
            <w:vAlign w:val="bottom"/>
          </w:tcPr>
          <w:p w14:paraId="6E3F82E6" w14:textId="77777777" w:rsidR="00955D47" w:rsidRPr="005C1C24" w:rsidRDefault="00955D47" w:rsidP="00FE4BEF">
            <w:pPr>
              <w:jc w:val="right"/>
              <w:rPr>
                <w:rFonts w:ascii="Calibri" w:hAnsi="Calibri" w:cs="Calibri"/>
              </w:rPr>
            </w:pPr>
            <w:r w:rsidRPr="005C1C24">
              <w:rPr>
                <w:rFonts w:ascii="Calibri" w:hAnsi="Calibri" w:cs="Calibri"/>
              </w:rPr>
              <w:t>20 205 539,58 Kč</w:t>
            </w:r>
          </w:p>
        </w:tc>
        <w:tc>
          <w:tcPr>
            <w:tcW w:w="2303" w:type="dxa"/>
            <w:tcBorders>
              <w:top w:val="nil"/>
              <w:left w:val="nil"/>
              <w:bottom w:val="nil"/>
              <w:right w:val="nil"/>
            </w:tcBorders>
            <w:shd w:val="clear" w:color="auto" w:fill="auto"/>
            <w:vAlign w:val="bottom"/>
          </w:tcPr>
          <w:p w14:paraId="158D9DE7" w14:textId="77777777" w:rsidR="00955D47" w:rsidRPr="005C1C24" w:rsidRDefault="00955D47" w:rsidP="00FE4BEF">
            <w:pPr>
              <w:jc w:val="right"/>
              <w:rPr>
                <w:rFonts w:ascii="Calibri" w:hAnsi="Calibri" w:cs="Calibri"/>
              </w:rPr>
            </w:pPr>
            <w:r w:rsidRPr="005C1C24">
              <w:rPr>
                <w:rFonts w:ascii="Calibri" w:hAnsi="Calibri" w:cs="Calibri"/>
              </w:rPr>
              <w:t>5,0 %</w:t>
            </w:r>
          </w:p>
        </w:tc>
      </w:tr>
      <w:tr w:rsidR="00955D47" w:rsidRPr="005C1C24" w14:paraId="07CB587C" w14:textId="77777777" w:rsidTr="00FE4BEF">
        <w:tc>
          <w:tcPr>
            <w:tcW w:w="1384" w:type="dxa"/>
            <w:tcBorders>
              <w:top w:val="nil"/>
              <w:left w:val="nil"/>
              <w:bottom w:val="nil"/>
              <w:right w:val="nil"/>
            </w:tcBorders>
            <w:shd w:val="clear" w:color="auto" w:fill="auto"/>
          </w:tcPr>
          <w:p w14:paraId="21317AE9" w14:textId="77777777" w:rsidR="00955D47" w:rsidRPr="005C1C24" w:rsidRDefault="00955D47" w:rsidP="00FE4BEF">
            <w:pPr>
              <w:jc w:val="right"/>
              <w:rPr>
                <w:rFonts w:ascii="Calibri" w:hAnsi="Calibri" w:cs="Calibri"/>
              </w:rPr>
            </w:pPr>
            <w:r w:rsidRPr="005C1C24">
              <w:rPr>
                <w:rFonts w:ascii="Calibri" w:hAnsi="Calibri" w:cs="Calibri"/>
              </w:rPr>
              <w:t>1204</w:t>
            </w:r>
          </w:p>
        </w:tc>
        <w:tc>
          <w:tcPr>
            <w:tcW w:w="3222" w:type="dxa"/>
            <w:tcBorders>
              <w:top w:val="nil"/>
              <w:left w:val="nil"/>
              <w:bottom w:val="nil"/>
              <w:right w:val="nil"/>
            </w:tcBorders>
            <w:shd w:val="clear" w:color="auto" w:fill="auto"/>
          </w:tcPr>
          <w:p w14:paraId="02451297" w14:textId="77777777" w:rsidR="00955D47" w:rsidRPr="005C1C24" w:rsidRDefault="00955D47" w:rsidP="00FE4BEF">
            <w:pPr>
              <w:jc w:val="both"/>
              <w:rPr>
                <w:rFonts w:ascii="Calibri" w:hAnsi="Calibri" w:cs="Calibri"/>
              </w:rPr>
            </w:pPr>
            <w:r w:rsidRPr="005C1C24">
              <w:rPr>
                <w:rFonts w:ascii="Calibri" w:hAnsi="Calibri" w:cs="Calibri"/>
              </w:rPr>
              <w:t>Doprava</w:t>
            </w:r>
          </w:p>
        </w:tc>
        <w:tc>
          <w:tcPr>
            <w:tcW w:w="2303" w:type="dxa"/>
            <w:tcBorders>
              <w:top w:val="nil"/>
              <w:left w:val="nil"/>
              <w:bottom w:val="nil"/>
              <w:right w:val="nil"/>
            </w:tcBorders>
            <w:shd w:val="clear" w:color="auto" w:fill="auto"/>
            <w:vAlign w:val="bottom"/>
          </w:tcPr>
          <w:p w14:paraId="2EE6EB72" w14:textId="77777777" w:rsidR="00955D47" w:rsidRPr="005C1C24" w:rsidRDefault="00955D47" w:rsidP="00FE4BEF">
            <w:pPr>
              <w:jc w:val="right"/>
              <w:rPr>
                <w:rFonts w:ascii="Calibri" w:hAnsi="Calibri" w:cs="Calibri"/>
              </w:rPr>
            </w:pPr>
            <w:r w:rsidRPr="005C1C24">
              <w:rPr>
                <w:rFonts w:ascii="Calibri" w:hAnsi="Calibri" w:cs="Calibri"/>
              </w:rPr>
              <w:t>220 555 066,67 Kč</w:t>
            </w:r>
          </w:p>
        </w:tc>
        <w:tc>
          <w:tcPr>
            <w:tcW w:w="2303" w:type="dxa"/>
            <w:tcBorders>
              <w:top w:val="nil"/>
              <w:left w:val="nil"/>
              <w:bottom w:val="nil"/>
              <w:right w:val="nil"/>
            </w:tcBorders>
            <w:shd w:val="clear" w:color="auto" w:fill="auto"/>
            <w:vAlign w:val="bottom"/>
          </w:tcPr>
          <w:p w14:paraId="6BE33DEB" w14:textId="77777777" w:rsidR="00955D47" w:rsidRPr="005C1C24" w:rsidRDefault="00955D47" w:rsidP="00FE4BEF">
            <w:pPr>
              <w:jc w:val="right"/>
              <w:rPr>
                <w:rFonts w:ascii="Calibri" w:hAnsi="Calibri" w:cs="Calibri"/>
              </w:rPr>
            </w:pPr>
            <w:r w:rsidRPr="005C1C24">
              <w:rPr>
                <w:rFonts w:ascii="Calibri" w:hAnsi="Calibri" w:cs="Calibri"/>
              </w:rPr>
              <w:t>55,0 %</w:t>
            </w:r>
          </w:p>
        </w:tc>
      </w:tr>
      <w:tr w:rsidR="00955D47" w:rsidRPr="005C1C24" w14:paraId="61F70592" w14:textId="77777777" w:rsidTr="00FE4BEF">
        <w:tc>
          <w:tcPr>
            <w:tcW w:w="1384" w:type="dxa"/>
            <w:tcBorders>
              <w:top w:val="nil"/>
              <w:left w:val="nil"/>
              <w:bottom w:val="nil"/>
              <w:right w:val="nil"/>
            </w:tcBorders>
            <w:shd w:val="clear" w:color="auto" w:fill="auto"/>
          </w:tcPr>
          <w:p w14:paraId="1F0E471E" w14:textId="77777777" w:rsidR="00955D47" w:rsidRPr="005C1C24" w:rsidRDefault="00955D47" w:rsidP="00FE4BEF">
            <w:pPr>
              <w:jc w:val="right"/>
              <w:rPr>
                <w:rFonts w:ascii="Calibri" w:hAnsi="Calibri" w:cs="Calibri"/>
              </w:rPr>
            </w:pPr>
            <w:r w:rsidRPr="005C1C24">
              <w:rPr>
                <w:rFonts w:ascii="Calibri" w:hAnsi="Calibri" w:cs="Calibri"/>
              </w:rPr>
              <w:t>1205</w:t>
            </w:r>
          </w:p>
        </w:tc>
        <w:tc>
          <w:tcPr>
            <w:tcW w:w="3222" w:type="dxa"/>
            <w:tcBorders>
              <w:top w:val="nil"/>
              <w:left w:val="nil"/>
              <w:bottom w:val="nil"/>
              <w:right w:val="nil"/>
            </w:tcBorders>
            <w:shd w:val="clear" w:color="auto" w:fill="auto"/>
          </w:tcPr>
          <w:p w14:paraId="01CB1AFA" w14:textId="77777777" w:rsidR="00955D47" w:rsidRPr="005C1C24" w:rsidRDefault="00955D47" w:rsidP="00FE4BEF">
            <w:pPr>
              <w:jc w:val="both"/>
              <w:rPr>
                <w:rFonts w:ascii="Calibri" w:hAnsi="Calibri" w:cs="Calibri"/>
              </w:rPr>
            </w:pPr>
            <w:r w:rsidRPr="005C1C24">
              <w:rPr>
                <w:rFonts w:ascii="Calibri" w:hAnsi="Calibri" w:cs="Calibri"/>
              </w:rPr>
              <w:t>Školství</w:t>
            </w:r>
          </w:p>
        </w:tc>
        <w:tc>
          <w:tcPr>
            <w:tcW w:w="2303" w:type="dxa"/>
            <w:tcBorders>
              <w:top w:val="nil"/>
              <w:left w:val="nil"/>
              <w:bottom w:val="nil"/>
              <w:right w:val="nil"/>
            </w:tcBorders>
            <w:shd w:val="clear" w:color="auto" w:fill="auto"/>
            <w:vAlign w:val="bottom"/>
          </w:tcPr>
          <w:p w14:paraId="67D68A76" w14:textId="77777777" w:rsidR="00955D47" w:rsidRPr="005C1C24" w:rsidRDefault="00955D47" w:rsidP="00FE4BEF">
            <w:pPr>
              <w:jc w:val="right"/>
              <w:rPr>
                <w:rFonts w:ascii="Calibri" w:hAnsi="Calibri" w:cs="Calibri"/>
              </w:rPr>
            </w:pPr>
            <w:r w:rsidRPr="005C1C24">
              <w:rPr>
                <w:rFonts w:ascii="Calibri" w:hAnsi="Calibri" w:cs="Calibri"/>
              </w:rPr>
              <w:t>59 398 928,97 Kč</w:t>
            </w:r>
          </w:p>
        </w:tc>
        <w:tc>
          <w:tcPr>
            <w:tcW w:w="2303" w:type="dxa"/>
            <w:tcBorders>
              <w:top w:val="nil"/>
              <w:left w:val="nil"/>
              <w:bottom w:val="nil"/>
              <w:right w:val="nil"/>
            </w:tcBorders>
            <w:shd w:val="clear" w:color="auto" w:fill="auto"/>
            <w:vAlign w:val="bottom"/>
          </w:tcPr>
          <w:p w14:paraId="2C8AC011" w14:textId="77777777" w:rsidR="00955D47" w:rsidRPr="005C1C24" w:rsidRDefault="00955D47" w:rsidP="00FE4BEF">
            <w:pPr>
              <w:jc w:val="right"/>
              <w:rPr>
                <w:rFonts w:ascii="Calibri" w:hAnsi="Calibri" w:cs="Calibri"/>
              </w:rPr>
            </w:pPr>
            <w:r w:rsidRPr="005C1C24">
              <w:rPr>
                <w:rFonts w:ascii="Calibri" w:hAnsi="Calibri" w:cs="Calibri"/>
              </w:rPr>
              <w:t>14,8 %</w:t>
            </w:r>
          </w:p>
        </w:tc>
      </w:tr>
      <w:tr w:rsidR="00955D47" w:rsidRPr="005C1C24" w14:paraId="74D5EC37" w14:textId="77777777" w:rsidTr="00FE4BEF">
        <w:tc>
          <w:tcPr>
            <w:tcW w:w="1384" w:type="dxa"/>
            <w:tcBorders>
              <w:top w:val="nil"/>
              <w:left w:val="nil"/>
              <w:bottom w:val="nil"/>
              <w:right w:val="nil"/>
            </w:tcBorders>
            <w:shd w:val="clear" w:color="auto" w:fill="auto"/>
          </w:tcPr>
          <w:p w14:paraId="5C9D911F" w14:textId="77777777" w:rsidR="00955D47" w:rsidRPr="005C1C24" w:rsidRDefault="00955D47" w:rsidP="00FE4BEF">
            <w:pPr>
              <w:jc w:val="right"/>
              <w:rPr>
                <w:rFonts w:ascii="Calibri" w:hAnsi="Calibri" w:cs="Calibri"/>
              </w:rPr>
            </w:pPr>
            <w:r w:rsidRPr="005C1C24">
              <w:rPr>
                <w:rFonts w:ascii="Calibri" w:hAnsi="Calibri" w:cs="Calibri"/>
              </w:rPr>
              <w:t>1206</w:t>
            </w:r>
          </w:p>
        </w:tc>
        <w:tc>
          <w:tcPr>
            <w:tcW w:w="3222" w:type="dxa"/>
            <w:tcBorders>
              <w:top w:val="nil"/>
              <w:left w:val="nil"/>
              <w:bottom w:val="nil"/>
              <w:right w:val="nil"/>
            </w:tcBorders>
            <w:shd w:val="clear" w:color="auto" w:fill="auto"/>
          </w:tcPr>
          <w:p w14:paraId="23D53F5C" w14:textId="77777777" w:rsidR="00955D47" w:rsidRPr="005C1C24" w:rsidRDefault="00955D47" w:rsidP="00FE4BEF">
            <w:pPr>
              <w:jc w:val="both"/>
              <w:rPr>
                <w:rFonts w:ascii="Calibri" w:hAnsi="Calibri" w:cs="Calibri"/>
              </w:rPr>
            </w:pPr>
            <w:r w:rsidRPr="005C1C24">
              <w:rPr>
                <w:rFonts w:ascii="Calibri" w:hAnsi="Calibri" w:cs="Calibri"/>
              </w:rPr>
              <w:t>Kultura a památková péče</w:t>
            </w:r>
          </w:p>
        </w:tc>
        <w:tc>
          <w:tcPr>
            <w:tcW w:w="2303" w:type="dxa"/>
            <w:tcBorders>
              <w:top w:val="nil"/>
              <w:left w:val="nil"/>
              <w:bottom w:val="nil"/>
              <w:right w:val="nil"/>
            </w:tcBorders>
            <w:shd w:val="clear" w:color="auto" w:fill="auto"/>
            <w:vAlign w:val="bottom"/>
          </w:tcPr>
          <w:p w14:paraId="46EC71E1" w14:textId="77777777" w:rsidR="00955D47" w:rsidRPr="005C1C24" w:rsidRDefault="00955D47" w:rsidP="00FE4BEF">
            <w:pPr>
              <w:jc w:val="right"/>
              <w:rPr>
                <w:rFonts w:ascii="Calibri" w:hAnsi="Calibri" w:cs="Calibri"/>
              </w:rPr>
            </w:pPr>
            <w:r w:rsidRPr="005C1C24">
              <w:rPr>
                <w:rFonts w:ascii="Calibri" w:hAnsi="Calibri" w:cs="Calibri"/>
              </w:rPr>
              <w:t>33 134 512,80 Kč</w:t>
            </w:r>
          </w:p>
        </w:tc>
        <w:tc>
          <w:tcPr>
            <w:tcW w:w="2303" w:type="dxa"/>
            <w:tcBorders>
              <w:top w:val="nil"/>
              <w:left w:val="nil"/>
              <w:bottom w:val="nil"/>
              <w:right w:val="nil"/>
            </w:tcBorders>
            <w:shd w:val="clear" w:color="auto" w:fill="auto"/>
            <w:vAlign w:val="bottom"/>
          </w:tcPr>
          <w:p w14:paraId="77D9AD2F" w14:textId="77777777" w:rsidR="00955D47" w:rsidRPr="005C1C24" w:rsidRDefault="00955D47" w:rsidP="00FE4BEF">
            <w:pPr>
              <w:jc w:val="right"/>
              <w:rPr>
                <w:rFonts w:ascii="Calibri" w:hAnsi="Calibri" w:cs="Calibri"/>
              </w:rPr>
            </w:pPr>
            <w:r w:rsidRPr="005C1C24">
              <w:rPr>
                <w:rFonts w:ascii="Calibri" w:hAnsi="Calibri" w:cs="Calibri"/>
              </w:rPr>
              <w:t>8,3 %</w:t>
            </w:r>
          </w:p>
        </w:tc>
      </w:tr>
      <w:tr w:rsidR="00955D47" w:rsidRPr="005C1C24" w14:paraId="4E8B4A77" w14:textId="77777777" w:rsidTr="00FE4BEF">
        <w:tc>
          <w:tcPr>
            <w:tcW w:w="1384" w:type="dxa"/>
            <w:tcBorders>
              <w:top w:val="nil"/>
              <w:left w:val="nil"/>
              <w:bottom w:val="nil"/>
              <w:right w:val="nil"/>
            </w:tcBorders>
            <w:shd w:val="clear" w:color="auto" w:fill="auto"/>
          </w:tcPr>
          <w:p w14:paraId="4DD3FBD5" w14:textId="77777777" w:rsidR="00955D47" w:rsidRPr="005C1C24" w:rsidRDefault="00955D47" w:rsidP="00FE4BEF">
            <w:pPr>
              <w:jc w:val="right"/>
              <w:rPr>
                <w:rFonts w:ascii="Calibri" w:hAnsi="Calibri" w:cs="Calibri"/>
              </w:rPr>
            </w:pPr>
            <w:r w:rsidRPr="005C1C24">
              <w:rPr>
                <w:rFonts w:ascii="Calibri" w:hAnsi="Calibri" w:cs="Calibri"/>
              </w:rPr>
              <w:t>1207</w:t>
            </w:r>
          </w:p>
        </w:tc>
        <w:tc>
          <w:tcPr>
            <w:tcW w:w="3222" w:type="dxa"/>
            <w:tcBorders>
              <w:top w:val="nil"/>
              <w:left w:val="nil"/>
              <w:bottom w:val="nil"/>
              <w:right w:val="nil"/>
            </w:tcBorders>
            <w:shd w:val="clear" w:color="auto" w:fill="auto"/>
          </w:tcPr>
          <w:p w14:paraId="5870EBFA" w14:textId="77777777" w:rsidR="00955D47" w:rsidRPr="005C1C24" w:rsidRDefault="00955D47" w:rsidP="00FE4BEF">
            <w:pPr>
              <w:jc w:val="both"/>
              <w:rPr>
                <w:rFonts w:ascii="Calibri" w:hAnsi="Calibri" w:cs="Calibri"/>
              </w:rPr>
            </w:pPr>
            <w:r w:rsidRPr="005C1C24">
              <w:rPr>
                <w:rFonts w:ascii="Calibri" w:hAnsi="Calibri" w:cs="Calibri"/>
              </w:rPr>
              <w:t>Zdravotnictví</w:t>
            </w:r>
          </w:p>
        </w:tc>
        <w:tc>
          <w:tcPr>
            <w:tcW w:w="2303" w:type="dxa"/>
            <w:tcBorders>
              <w:top w:val="nil"/>
              <w:left w:val="nil"/>
              <w:bottom w:val="nil"/>
              <w:right w:val="nil"/>
            </w:tcBorders>
            <w:shd w:val="clear" w:color="auto" w:fill="auto"/>
            <w:vAlign w:val="bottom"/>
          </w:tcPr>
          <w:p w14:paraId="7F19A83D" w14:textId="77777777" w:rsidR="00955D47" w:rsidRPr="005C1C24" w:rsidRDefault="00955D47" w:rsidP="00FE4BEF">
            <w:pPr>
              <w:jc w:val="right"/>
              <w:rPr>
                <w:rFonts w:ascii="Calibri" w:hAnsi="Calibri" w:cs="Calibri"/>
              </w:rPr>
            </w:pPr>
            <w:r w:rsidRPr="005C1C24">
              <w:rPr>
                <w:rFonts w:ascii="Calibri" w:hAnsi="Calibri" w:cs="Calibri"/>
              </w:rPr>
              <w:t>7 630 610,00 Kč</w:t>
            </w:r>
          </w:p>
        </w:tc>
        <w:tc>
          <w:tcPr>
            <w:tcW w:w="2303" w:type="dxa"/>
            <w:tcBorders>
              <w:top w:val="nil"/>
              <w:left w:val="nil"/>
              <w:bottom w:val="nil"/>
              <w:right w:val="nil"/>
            </w:tcBorders>
            <w:shd w:val="clear" w:color="auto" w:fill="auto"/>
            <w:vAlign w:val="bottom"/>
          </w:tcPr>
          <w:p w14:paraId="165824DF" w14:textId="77777777" w:rsidR="00955D47" w:rsidRPr="005C1C24" w:rsidRDefault="00955D47" w:rsidP="00FE4BEF">
            <w:pPr>
              <w:jc w:val="right"/>
              <w:rPr>
                <w:rFonts w:ascii="Calibri" w:hAnsi="Calibri" w:cs="Calibri"/>
              </w:rPr>
            </w:pPr>
            <w:r w:rsidRPr="005C1C24">
              <w:rPr>
                <w:rFonts w:ascii="Calibri" w:hAnsi="Calibri" w:cs="Calibri"/>
              </w:rPr>
              <w:t>1,9 %</w:t>
            </w:r>
          </w:p>
        </w:tc>
      </w:tr>
      <w:tr w:rsidR="00955D47" w:rsidRPr="005C1C24" w14:paraId="5B1720C9" w14:textId="77777777" w:rsidTr="00FE4BEF">
        <w:tc>
          <w:tcPr>
            <w:tcW w:w="1384" w:type="dxa"/>
            <w:tcBorders>
              <w:top w:val="nil"/>
              <w:left w:val="nil"/>
              <w:bottom w:val="nil"/>
              <w:right w:val="nil"/>
            </w:tcBorders>
            <w:shd w:val="clear" w:color="auto" w:fill="auto"/>
          </w:tcPr>
          <w:p w14:paraId="50B48DB2" w14:textId="77777777" w:rsidR="00955D47" w:rsidRPr="005C1C24" w:rsidRDefault="00955D47" w:rsidP="00FE4BEF">
            <w:pPr>
              <w:jc w:val="right"/>
              <w:rPr>
                <w:rFonts w:ascii="Calibri" w:hAnsi="Calibri" w:cs="Calibri"/>
              </w:rPr>
            </w:pPr>
            <w:r w:rsidRPr="005C1C24">
              <w:rPr>
                <w:rFonts w:ascii="Calibri" w:hAnsi="Calibri" w:cs="Calibri"/>
              </w:rPr>
              <w:t>1210</w:t>
            </w:r>
          </w:p>
        </w:tc>
        <w:tc>
          <w:tcPr>
            <w:tcW w:w="3222" w:type="dxa"/>
            <w:tcBorders>
              <w:top w:val="nil"/>
              <w:left w:val="nil"/>
              <w:bottom w:val="nil"/>
              <w:right w:val="nil"/>
            </w:tcBorders>
            <w:shd w:val="clear" w:color="auto" w:fill="auto"/>
          </w:tcPr>
          <w:p w14:paraId="39ACD708" w14:textId="77777777" w:rsidR="00955D47" w:rsidRPr="005C1C24" w:rsidRDefault="00955D47" w:rsidP="00FE4BEF">
            <w:pPr>
              <w:jc w:val="both"/>
              <w:rPr>
                <w:rFonts w:ascii="Calibri" w:hAnsi="Calibri" w:cs="Calibri"/>
              </w:rPr>
            </w:pPr>
            <w:r w:rsidRPr="005C1C24">
              <w:rPr>
                <w:rFonts w:ascii="Calibri" w:hAnsi="Calibri" w:cs="Calibri"/>
              </w:rPr>
              <w:t>Životní prostředí a zemědělství</w:t>
            </w:r>
          </w:p>
        </w:tc>
        <w:tc>
          <w:tcPr>
            <w:tcW w:w="2303" w:type="dxa"/>
            <w:tcBorders>
              <w:top w:val="nil"/>
              <w:left w:val="nil"/>
              <w:bottom w:val="nil"/>
              <w:right w:val="nil"/>
            </w:tcBorders>
            <w:shd w:val="clear" w:color="auto" w:fill="auto"/>
            <w:vAlign w:val="bottom"/>
          </w:tcPr>
          <w:p w14:paraId="36C220ED" w14:textId="77777777" w:rsidR="00955D47" w:rsidRPr="005C1C24" w:rsidRDefault="00955D47" w:rsidP="00FE4BEF">
            <w:pPr>
              <w:jc w:val="right"/>
              <w:rPr>
                <w:rFonts w:ascii="Calibri" w:hAnsi="Calibri" w:cs="Calibri"/>
              </w:rPr>
            </w:pPr>
            <w:r w:rsidRPr="005C1C24">
              <w:rPr>
                <w:rFonts w:ascii="Calibri" w:hAnsi="Calibri" w:cs="Calibri"/>
              </w:rPr>
              <w:t>9 292 800,00 Kč</w:t>
            </w:r>
          </w:p>
        </w:tc>
        <w:tc>
          <w:tcPr>
            <w:tcW w:w="2303" w:type="dxa"/>
            <w:tcBorders>
              <w:top w:val="nil"/>
              <w:left w:val="nil"/>
              <w:bottom w:val="nil"/>
              <w:right w:val="nil"/>
            </w:tcBorders>
            <w:shd w:val="clear" w:color="auto" w:fill="auto"/>
            <w:vAlign w:val="bottom"/>
          </w:tcPr>
          <w:p w14:paraId="507607D4" w14:textId="77777777" w:rsidR="00955D47" w:rsidRPr="005C1C24" w:rsidRDefault="00955D47" w:rsidP="00FE4BEF">
            <w:pPr>
              <w:jc w:val="right"/>
              <w:rPr>
                <w:rFonts w:ascii="Calibri" w:hAnsi="Calibri" w:cs="Calibri"/>
              </w:rPr>
            </w:pPr>
            <w:r w:rsidRPr="005C1C24">
              <w:rPr>
                <w:rFonts w:ascii="Calibri" w:hAnsi="Calibri" w:cs="Calibri"/>
              </w:rPr>
              <w:t>2,3 %</w:t>
            </w:r>
          </w:p>
        </w:tc>
      </w:tr>
      <w:tr w:rsidR="00955D47" w:rsidRPr="005C1C24" w14:paraId="0A0EE913" w14:textId="77777777" w:rsidTr="00FE4BEF">
        <w:tc>
          <w:tcPr>
            <w:tcW w:w="1384" w:type="dxa"/>
            <w:tcBorders>
              <w:top w:val="nil"/>
              <w:left w:val="nil"/>
              <w:bottom w:val="nil"/>
              <w:right w:val="nil"/>
            </w:tcBorders>
            <w:shd w:val="clear" w:color="auto" w:fill="auto"/>
          </w:tcPr>
          <w:p w14:paraId="2151B7E2" w14:textId="77777777" w:rsidR="00955D47" w:rsidRPr="005C1C24" w:rsidRDefault="00955D47" w:rsidP="00FE4BEF">
            <w:pPr>
              <w:jc w:val="right"/>
              <w:rPr>
                <w:rFonts w:ascii="Calibri" w:hAnsi="Calibri" w:cs="Calibri"/>
              </w:rPr>
            </w:pPr>
            <w:r w:rsidRPr="005C1C24">
              <w:rPr>
                <w:rFonts w:ascii="Calibri" w:hAnsi="Calibri" w:cs="Calibri"/>
              </w:rPr>
              <w:t>1217</w:t>
            </w:r>
          </w:p>
        </w:tc>
        <w:tc>
          <w:tcPr>
            <w:tcW w:w="3222" w:type="dxa"/>
            <w:tcBorders>
              <w:top w:val="nil"/>
              <w:left w:val="nil"/>
              <w:bottom w:val="nil"/>
              <w:right w:val="nil"/>
            </w:tcBorders>
            <w:shd w:val="clear" w:color="auto" w:fill="auto"/>
          </w:tcPr>
          <w:p w14:paraId="57080C0D" w14:textId="77777777" w:rsidR="00955D47" w:rsidRPr="005C1C24" w:rsidRDefault="00955D47" w:rsidP="00FE4BEF">
            <w:pPr>
              <w:jc w:val="both"/>
              <w:rPr>
                <w:rFonts w:ascii="Calibri" w:hAnsi="Calibri" w:cs="Calibri"/>
              </w:rPr>
            </w:pPr>
            <w:r w:rsidRPr="005C1C24">
              <w:rPr>
                <w:rFonts w:ascii="Calibri" w:hAnsi="Calibri" w:cs="Calibri"/>
              </w:rPr>
              <w:t>Sociální věci</w:t>
            </w:r>
          </w:p>
        </w:tc>
        <w:tc>
          <w:tcPr>
            <w:tcW w:w="2303" w:type="dxa"/>
            <w:tcBorders>
              <w:top w:val="nil"/>
              <w:left w:val="nil"/>
              <w:bottom w:val="nil"/>
              <w:right w:val="nil"/>
            </w:tcBorders>
            <w:shd w:val="clear" w:color="auto" w:fill="auto"/>
            <w:vAlign w:val="bottom"/>
          </w:tcPr>
          <w:p w14:paraId="6AC33C57" w14:textId="77777777" w:rsidR="00955D47" w:rsidRPr="005C1C24" w:rsidRDefault="00955D47" w:rsidP="00FE4BEF">
            <w:pPr>
              <w:jc w:val="right"/>
              <w:rPr>
                <w:rFonts w:ascii="Calibri" w:hAnsi="Calibri" w:cs="Calibri"/>
              </w:rPr>
            </w:pPr>
            <w:r w:rsidRPr="005C1C24">
              <w:rPr>
                <w:rFonts w:ascii="Calibri" w:hAnsi="Calibri" w:cs="Calibri"/>
              </w:rPr>
              <w:t>36 576 931,52 Kč</w:t>
            </w:r>
          </w:p>
        </w:tc>
        <w:tc>
          <w:tcPr>
            <w:tcW w:w="2303" w:type="dxa"/>
            <w:tcBorders>
              <w:top w:val="nil"/>
              <w:left w:val="nil"/>
              <w:bottom w:val="nil"/>
              <w:right w:val="nil"/>
            </w:tcBorders>
            <w:shd w:val="clear" w:color="auto" w:fill="auto"/>
            <w:vAlign w:val="bottom"/>
          </w:tcPr>
          <w:p w14:paraId="5EEECBD7" w14:textId="77777777" w:rsidR="00955D47" w:rsidRPr="005C1C24" w:rsidRDefault="00955D47" w:rsidP="00FE4BEF">
            <w:pPr>
              <w:jc w:val="right"/>
              <w:rPr>
                <w:rFonts w:ascii="Calibri" w:hAnsi="Calibri" w:cs="Calibri"/>
              </w:rPr>
            </w:pPr>
            <w:r w:rsidRPr="005C1C24">
              <w:rPr>
                <w:rFonts w:ascii="Calibri" w:hAnsi="Calibri" w:cs="Calibri"/>
              </w:rPr>
              <w:t>9,1 %</w:t>
            </w:r>
          </w:p>
        </w:tc>
      </w:tr>
      <w:tr w:rsidR="00955D47" w:rsidRPr="005C1C24" w14:paraId="03EA8EAF" w14:textId="77777777" w:rsidTr="00FE4BEF">
        <w:tc>
          <w:tcPr>
            <w:tcW w:w="1384" w:type="dxa"/>
            <w:tcBorders>
              <w:top w:val="nil"/>
              <w:left w:val="nil"/>
              <w:bottom w:val="nil"/>
              <w:right w:val="nil"/>
            </w:tcBorders>
            <w:shd w:val="clear" w:color="auto" w:fill="auto"/>
          </w:tcPr>
          <w:p w14:paraId="79103BF1" w14:textId="77777777" w:rsidR="00955D47" w:rsidRPr="005C1C24" w:rsidRDefault="00955D47" w:rsidP="00FE4BEF">
            <w:pPr>
              <w:jc w:val="right"/>
              <w:rPr>
                <w:rFonts w:ascii="Calibri" w:hAnsi="Calibri" w:cs="Calibri"/>
              </w:rPr>
            </w:pPr>
            <w:r w:rsidRPr="005C1C24">
              <w:rPr>
                <w:rFonts w:ascii="Calibri" w:hAnsi="Calibri" w:cs="Calibri"/>
              </w:rPr>
              <w:t>1225</w:t>
            </w:r>
          </w:p>
        </w:tc>
        <w:tc>
          <w:tcPr>
            <w:tcW w:w="3222" w:type="dxa"/>
            <w:tcBorders>
              <w:top w:val="nil"/>
              <w:left w:val="nil"/>
              <w:bottom w:val="nil"/>
              <w:right w:val="nil"/>
            </w:tcBorders>
            <w:shd w:val="clear" w:color="auto" w:fill="auto"/>
          </w:tcPr>
          <w:p w14:paraId="7ED875AC" w14:textId="77777777" w:rsidR="00955D47" w:rsidRPr="005C1C24" w:rsidRDefault="00955D47" w:rsidP="00FE4BEF">
            <w:pPr>
              <w:jc w:val="both"/>
              <w:rPr>
                <w:rFonts w:ascii="Calibri" w:hAnsi="Calibri" w:cs="Calibri"/>
              </w:rPr>
            </w:pPr>
            <w:r w:rsidRPr="005C1C24">
              <w:rPr>
                <w:rFonts w:ascii="Calibri" w:hAnsi="Calibri" w:cs="Calibri"/>
              </w:rPr>
              <w:t>Bezpečnost a prevence</w:t>
            </w:r>
          </w:p>
        </w:tc>
        <w:tc>
          <w:tcPr>
            <w:tcW w:w="2303" w:type="dxa"/>
            <w:tcBorders>
              <w:top w:val="nil"/>
              <w:left w:val="nil"/>
              <w:bottom w:val="nil"/>
              <w:right w:val="nil"/>
            </w:tcBorders>
            <w:shd w:val="clear" w:color="auto" w:fill="auto"/>
            <w:vAlign w:val="bottom"/>
          </w:tcPr>
          <w:p w14:paraId="512741B1" w14:textId="77777777" w:rsidR="00955D47" w:rsidRPr="005C1C24" w:rsidRDefault="00955D47" w:rsidP="00FE4BEF">
            <w:pPr>
              <w:jc w:val="right"/>
              <w:rPr>
                <w:rFonts w:ascii="Calibri" w:hAnsi="Calibri" w:cs="Calibri"/>
              </w:rPr>
            </w:pPr>
            <w:r w:rsidRPr="005C1C24">
              <w:rPr>
                <w:rFonts w:ascii="Calibri" w:hAnsi="Calibri" w:cs="Calibri"/>
              </w:rPr>
              <w:t>4 309 446,06 Kč</w:t>
            </w:r>
          </w:p>
        </w:tc>
        <w:tc>
          <w:tcPr>
            <w:tcW w:w="2303" w:type="dxa"/>
            <w:tcBorders>
              <w:top w:val="nil"/>
              <w:left w:val="nil"/>
              <w:bottom w:val="nil"/>
              <w:right w:val="nil"/>
            </w:tcBorders>
            <w:shd w:val="clear" w:color="auto" w:fill="auto"/>
            <w:vAlign w:val="bottom"/>
          </w:tcPr>
          <w:p w14:paraId="6A100707" w14:textId="77777777" w:rsidR="00955D47" w:rsidRPr="005C1C24" w:rsidRDefault="00955D47" w:rsidP="00FE4BEF">
            <w:pPr>
              <w:jc w:val="right"/>
              <w:rPr>
                <w:rFonts w:ascii="Calibri" w:hAnsi="Calibri" w:cs="Calibri"/>
              </w:rPr>
            </w:pPr>
            <w:r w:rsidRPr="005C1C24">
              <w:rPr>
                <w:rFonts w:ascii="Calibri" w:hAnsi="Calibri" w:cs="Calibri"/>
              </w:rPr>
              <w:t>1,1 %</w:t>
            </w:r>
          </w:p>
        </w:tc>
      </w:tr>
      <w:tr w:rsidR="00955D47" w:rsidRPr="005C1C24" w14:paraId="53423F0F" w14:textId="77777777" w:rsidTr="00FE4BEF">
        <w:tc>
          <w:tcPr>
            <w:tcW w:w="4606" w:type="dxa"/>
            <w:gridSpan w:val="2"/>
            <w:tcBorders>
              <w:top w:val="nil"/>
              <w:left w:val="nil"/>
              <w:bottom w:val="nil"/>
              <w:right w:val="nil"/>
            </w:tcBorders>
            <w:shd w:val="clear" w:color="auto" w:fill="auto"/>
          </w:tcPr>
          <w:p w14:paraId="58707BB5" w14:textId="77777777" w:rsidR="00955D47" w:rsidRPr="005C1C24" w:rsidRDefault="00955D47" w:rsidP="00FE4BEF">
            <w:pPr>
              <w:jc w:val="right"/>
              <w:rPr>
                <w:rFonts w:ascii="Calibri" w:hAnsi="Calibri" w:cs="Calibri"/>
              </w:rPr>
            </w:pPr>
            <w:r w:rsidRPr="005C1C24">
              <w:rPr>
                <w:rFonts w:ascii="Calibri" w:hAnsi="Calibri" w:cs="Calibri"/>
              </w:rPr>
              <w:t>Celkem</w:t>
            </w:r>
          </w:p>
        </w:tc>
        <w:tc>
          <w:tcPr>
            <w:tcW w:w="2303" w:type="dxa"/>
            <w:tcBorders>
              <w:top w:val="nil"/>
              <w:left w:val="nil"/>
              <w:bottom w:val="nil"/>
              <w:right w:val="nil"/>
            </w:tcBorders>
            <w:shd w:val="clear" w:color="auto" w:fill="auto"/>
          </w:tcPr>
          <w:p w14:paraId="6E46A811" w14:textId="77777777" w:rsidR="00955D47" w:rsidRPr="005C1C24" w:rsidRDefault="00955D47" w:rsidP="00FE4BEF">
            <w:pPr>
              <w:jc w:val="right"/>
              <w:rPr>
                <w:rFonts w:ascii="Calibri" w:hAnsi="Calibri" w:cs="Calibri"/>
              </w:rPr>
            </w:pPr>
            <w:r w:rsidRPr="005C1C24">
              <w:rPr>
                <w:rFonts w:ascii="Calibri" w:hAnsi="Calibri" w:cs="Calibri"/>
              </w:rPr>
              <w:t>400 988 888,29 Kč</w:t>
            </w:r>
          </w:p>
        </w:tc>
        <w:tc>
          <w:tcPr>
            <w:tcW w:w="2303" w:type="dxa"/>
            <w:tcBorders>
              <w:top w:val="nil"/>
              <w:left w:val="nil"/>
              <w:bottom w:val="nil"/>
              <w:right w:val="nil"/>
            </w:tcBorders>
            <w:shd w:val="clear" w:color="auto" w:fill="auto"/>
          </w:tcPr>
          <w:p w14:paraId="27AA81CC" w14:textId="77777777" w:rsidR="00955D47" w:rsidRPr="005C1C24" w:rsidRDefault="00955D47" w:rsidP="00FE4BEF">
            <w:pPr>
              <w:jc w:val="right"/>
              <w:rPr>
                <w:rFonts w:ascii="Calibri" w:hAnsi="Calibri" w:cs="Calibri"/>
              </w:rPr>
            </w:pPr>
            <w:r w:rsidRPr="005C1C24">
              <w:rPr>
                <w:rFonts w:ascii="Calibri" w:hAnsi="Calibri" w:cs="Calibri"/>
              </w:rPr>
              <w:t>100,0 %</w:t>
            </w:r>
          </w:p>
        </w:tc>
      </w:tr>
    </w:tbl>
    <w:p w14:paraId="2F79F506" w14:textId="77777777" w:rsidR="00955D47" w:rsidRPr="005C1C24" w:rsidRDefault="00955D47" w:rsidP="00955D47">
      <w:pPr>
        <w:tabs>
          <w:tab w:val="left" w:pos="3990"/>
        </w:tabs>
        <w:jc w:val="both"/>
        <w:rPr>
          <w:rFonts w:ascii="Calibri" w:hAnsi="Calibri"/>
        </w:rPr>
      </w:pPr>
    </w:p>
    <w:p w14:paraId="74B9A119" w14:textId="77777777" w:rsidR="00955D47" w:rsidRPr="00ED119C" w:rsidRDefault="00955D47" w:rsidP="00ED119C">
      <w:pPr>
        <w:tabs>
          <w:tab w:val="left" w:pos="3990"/>
        </w:tabs>
        <w:spacing w:after="0" w:line="240" w:lineRule="auto"/>
        <w:jc w:val="both"/>
        <w:rPr>
          <w:rFonts w:ascii="Calibri" w:hAnsi="Calibri"/>
          <w:b/>
          <w:sz w:val="24"/>
          <w:szCs w:val="24"/>
          <w:u w:val="single"/>
        </w:rPr>
      </w:pPr>
      <w:r w:rsidRPr="00ED119C">
        <w:rPr>
          <w:rFonts w:ascii="Calibri" w:hAnsi="Calibri"/>
          <w:b/>
          <w:sz w:val="24"/>
          <w:szCs w:val="24"/>
          <w:u w:val="single"/>
        </w:rPr>
        <w:t>Kapitálové (investiční) výdaje zařazené v Zásobníku investic hrazené z úvěru přijatého od EIB – čerpání dle kapitol</w:t>
      </w:r>
    </w:p>
    <w:p w14:paraId="10662596" w14:textId="77777777" w:rsidR="00955D47" w:rsidRPr="005C1C24" w:rsidRDefault="00955D47" w:rsidP="00ED119C">
      <w:pPr>
        <w:spacing w:after="0" w:line="240" w:lineRule="auto"/>
        <w:jc w:val="both"/>
        <w:rPr>
          <w:rFonts w:ascii="Calibri" w:hAnsi="Calibri"/>
        </w:rPr>
      </w:pPr>
    </w:p>
    <w:p w14:paraId="39BC9561" w14:textId="77777777" w:rsidR="00955D47" w:rsidRPr="005C1C24" w:rsidRDefault="00955D47" w:rsidP="00ED119C">
      <w:pPr>
        <w:spacing w:after="0" w:line="240" w:lineRule="auto"/>
        <w:jc w:val="both"/>
        <w:rPr>
          <w:rFonts w:ascii="Calibri" w:hAnsi="Calibri"/>
        </w:rPr>
      </w:pPr>
      <w:r w:rsidRPr="005C1C24">
        <w:rPr>
          <w:rFonts w:ascii="Calibri" w:hAnsi="Calibri"/>
        </w:rPr>
        <w:t>Schválený rozpočet byl navýšen o 200 000 000,00 Kč převodem v rámci kapitoly 12 – Investiční výdaje na základě rozpočtové úpravy č. 346/12/2021 ze dne 24. 6. 2021. Z upraveného rozpočtu ve výši 500 000 000,00 Kč bylo v roce 2021 vyčerpáno 317 040 177,62 Kč, tj. 63,4 %.</w:t>
      </w:r>
    </w:p>
    <w:p w14:paraId="12BB7253" w14:textId="77777777" w:rsidR="00955D47" w:rsidRPr="005C1C24" w:rsidRDefault="00955D47" w:rsidP="00ED119C">
      <w:pPr>
        <w:spacing w:after="0" w:line="240" w:lineRule="auto"/>
        <w:jc w:val="both"/>
        <w:rPr>
          <w:rFonts w:ascii="Calibri" w:hAnsi="Calibri"/>
        </w:rPr>
      </w:pPr>
    </w:p>
    <w:p w14:paraId="3C1D8397" w14:textId="77777777" w:rsidR="00955D47" w:rsidRPr="005C1C24" w:rsidRDefault="00955D47" w:rsidP="00ED119C">
      <w:pPr>
        <w:spacing w:after="0" w:line="240" w:lineRule="auto"/>
        <w:jc w:val="both"/>
        <w:rPr>
          <w:rFonts w:ascii="Calibri" w:hAnsi="Calibri"/>
          <w:bCs/>
          <w:sz w:val="28"/>
          <w:szCs w:val="28"/>
          <w:u w:val="single"/>
        </w:rPr>
      </w:pPr>
      <w:r w:rsidRPr="005C1C24">
        <w:rPr>
          <w:rFonts w:ascii="Calibri" w:hAnsi="Calibri"/>
          <w:bCs/>
        </w:rPr>
        <w:t>Na celkové vyčerpané částce kapitálových (investičních) výdajů zařazených v Zásobníku investic hrazených z úvěru přijatého od Evropské investiční banky měly podíl kapitoly:</w:t>
      </w:r>
    </w:p>
    <w:p w14:paraId="534DFC7D" w14:textId="77777777" w:rsidR="00955D47" w:rsidRPr="005C1C24" w:rsidRDefault="00955D47" w:rsidP="00ED119C">
      <w:pPr>
        <w:spacing w:after="0" w:line="240" w:lineRule="auto"/>
        <w:jc w:val="both"/>
        <w:rPr>
          <w:rFonts w:ascii="Calibri" w:hAnsi="Calibri"/>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3222"/>
        <w:gridCol w:w="2303"/>
        <w:gridCol w:w="2303"/>
      </w:tblGrid>
      <w:tr w:rsidR="00955D47" w:rsidRPr="005C1C24" w14:paraId="5E1DEC0D" w14:textId="77777777" w:rsidTr="00FE4BEF">
        <w:tc>
          <w:tcPr>
            <w:tcW w:w="1384" w:type="dxa"/>
            <w:tcBorders>
              <w:top w:val="nil"/>
              <w:left w:val="nil"/>
              <w:bottom w:val="nil"/>
              <w:right w:val="nil"/>
            </w:tcBorders>
            <w:shd w:val="clear" w:color="auto" w:fill="auto"/>
          </w:tcPr>
          <w:p w14:paraId="71DC2FEF" w14:textId="77777777" w:rsidR="00955D47" w:rsidRPr="005C1C24" w:rsidRDefault="00955D47" w:rsidP="00FE4BEF">
            <w:pPr>
              <w:jc w:val="right"/>
              <w:rPr>
                <w:rFonts w:ascii="Calibri" w:hAnsi="Calibri" w:cs="Calibri"/>
                <w:bCs/>
              </w:rPr>
            </w:pPr>
            <w:r w:rsidRPr="005C1C24">
              <w:rPr>
                <w:rFonts w:ascii="Calibri" w:hAnsi="Calibri" w:cs="Calibri"/>
                <w:bCs/>
              </w:rPr>
              <w:t>1204</w:t>
            </w:r>
          </w:p>
        </w:tc>
        <w:tc>
          <w:tcPr>
            <w:tcW w:w="3222" w:type="dxa"/>
            <w:tcBorders>
              <w:top w:val="nil"/>
              <w:left w:val="nil"/>
              <w:bottom w:val="nil"/>
              <w:right w:val="nil"/>
            </w:tcBorders>
            <w:shd w:val="clear" w:color="auto" w:fill="auto"/>
          </w:tcPr>
          <w:p w14:paraId="2727CC93" w14:textId="77777777" w:rsidR="00955D47" w:rsidRPr="005C1C24" w:rsidRDefault="00955D47" w:rsidP="00FE4BEF">
            <w:pPr>
              <w:jc w:val="both"/>
              <w:rPr>
                <w:rFonts w:ascii="Calibri" w:hAnsi="Calibri" w:cs="Calibri"/>
                <w:bCs/>
              </w:rPr>
            </w:pPr>
            <w:r w:rsidRPr="005C1C24">
              <w:rPr>
                <w:rFonts w:ascii="Calibri" w:hAnsi="Calibri" w:cs="Calibri"/>
                <w:bCs/>
              </w:rPr>
              <w:t>Doprava</w:t>
            </w:r>
          </w:p>
        </w:tc>
        <w:tc>
          <w:tcPr>
            <w:tcW w:w="2303" w:type="dxa"/>
            <w:tcBorders>
              <w:top w:val="nil"/>
              <w:left w:val="nil"/>
              <w:bottom w:val="nil"/>
              <w:right w:val="nil"/>
            </w:tcBorders>
            <w:shd w:val="clear" w:color="auto" w:fill="auto"/>
            <w:vAlign w:val="bottom"/>
          </w:tcPr>
          <w:p w14:paraId="3CDFFAD8" w14:textId="77777777" w:rsidR="00955D47" w:rsidRPr="005C1C24" w:rsidRDefault="00955D47" w:rsidP="00FE4BEF">
            <w:pPr>
              <w:jc w:val="right"/>
              <w:rPr>
                <w:rFonts w:ascii="Calibri" w:hAnsi="Calibri" w:cs="Calibri"/>
                <w:bCs/>
              </w:rPr>
            </w:pPr>
            <w:r w:rsidRPr="005C1C24">
              <w:rPr>
                <w:rFonts w:ascii="Calibri" w:hAnsi="Calibri" w:cs="Calibri"/>
                <w:bCs/>
              </w:rPr>
              <w:t>20 789 978,94 Kč</w:t>
            </w:r>
          </w:p>
        </w:tc>
        <w:tc>
          <w:tcPr>
            <w:tcW w:w="2303" w:type="dxa"/>
            <w:tcBorders>
              <w:top w:val="nil"/>
              <w:left w:val="nil"/>
              <w:bottom w:val="nil"/>
              <w:right w:val="nil"/>
            </w:tcBorders>
            <w:shd w:val="clear" w:color="auto" w:fill="auto"/>
            <w:vAlign w:val="bottom"/>
          </w:tcPr>
          <w:p w14:paraId="77A70955" w14:textId="77777777" w:rsidR="00955D47" w:rsidRPr="005C1C24" w:rsidRDefault="00955D47" w:rsidP="00FE4BEF">
            <w:pPr>
              <w:jc w:val="right"/>
              <w:rPr>
                <w:rFonts w:ascii="Calibri" w:hAnsi="Calibri" w:cs="Calibri"/>
                <w:bCs/>
              </w:rPr>
            </w:pPr>
            <w:r w:rsidRPr="005C1C24">
              <w:rPr>
                <w:rFonts w:ascii="Calibri" w:hAnsi="Calibri" w:cs="Calibri"/>
                <w:bCs/>
              </w:rPr>
              <w:t>6,6 %</w:t>
            </w:r>
          </w:p>
        </w:tc>
      </w:tr>
      <w:tr w:rsidR="00955D47" w:rsidRPr="005C1C24" w14:paraId="29214F79" w14:textId="77777777" w:rsidTr="00FE4BEF">
        <w:tc>
          <w:tcPr>
            <w:tcW w:w="1384" w:type="dxa"/>
            <w:tcBorders>
              <w:top w:val="nil"/>
              <w:left w:val="nil"/>
              <w:bottom w:val="nil"/>
              <w:right w:val="nil"/>
            </w:tcBorders>
            <w:shd w:val="clear" w:color="auto" w:fill="auto"/>
          </w:tcPr>
          <w:p w14:paraId="3CF59766" w14:textId="77777777" w:rsidR="00955D47" w:rsidRPr="005C1C24" w:rsidRDefault="00955D47" w:rsidP="00FE4BEF">
            <w:pPr>
              <w:jc w:val="right"/>
              <w:rPr>
                <w:rFonts w:ascii="Calibri" w:hAnsi="Calibri" w:cs="Calibri"/>
                <w:bCs/>
              </w:rPr>
            </w:pPr>
            <w:r w:rsidRPr="005C1C24">
              <w:rPr>
                <w:rFonts w:ascii="Calibri" w:hAnsi="Calibri" w:cs="Calibri"/>
                <w:bCs/>
              </w:rPr>
              <w:t>1205</w:t>
            </w:r>
          </w:p>
        </w:tc>
        <w:tc>
          <w:tcPr>
            <w:tcW w:w="3222" w:type="dxa"/>
            <w:tcBorders>
              <w:top w:val="nil"/>
              <w:left w:val="nil"/>
              <w:bottom w:val="nil"/>
              <w:right w:val="nil"/>
            </w:tcBorders>
            <w:shd w:val="clear" w:color="auto" w:fill="auto"/>
          </w:tcPr>
          <w:p w14:paraId="34BDF461" w14:textId="77777777" w:rsidR="00955D47" w:rsidRPr="005C1C24" w:rsidRDefault="00955D47" w:rsidP="00FE4BEF">
            <w:pPr>
              <w:jc w:val="both"/>
              <w:rPr>
                <w:rFonts w:ascii="Calibri" w:hAnsi="Calibri" w:cs="Calibri"/>
                <w:bCs/>
              </w:rPr>
            </w:pPr>
            <w:r w:rsidRPr="005C1C24">
              <w:rPr>
                <w:rFonts w:ascii="Calibri" w:hAnsi="Calibri" w:cs="Calibri"/>
                <w:bCs/>
              </w:rPr>
              <w:t>Školství</w:t>
            </w:r>
          </w:p>
        </w:tc>
        <w:tc>
          <w:tcPr>
            <w:tcW w:w="2303" w:type="dxa"/>
            <w:tcBorders>
              <w:top w:val="nil"/>
              <w:left w:val="nil"/>
              <w:bottom w:val="nil"/>
              <w:right w:val="nil"/>
            </w:tcBorders>
            <w:shd w:val="clear" w:color="auto" w:fill="auto"/>
            <w:vAlign w:val="bottom"/>
          </w:tcPr>
          <w:p w14:paraId="7654FC49" w14:textId="77777777" w:rsidR="00955D47" w:rsidRPr="005C1C24" w:rsidRDefault="00955D47" w:rsidP="00FE4BEF">
            <w:pPr>
              <w:jc w:val="right"/>
              <w:rPr>
                <w:rFonts w:ascii="Calibri" w:hAnsi="Calibri" w:cs="Calibri"/>
                <w:bCs/>
              </w:rPr>
            </w:pPr>
            <w:r w:rsidRPr="005C1C24">
              <w:rPr>
                <w:rFonts w:ascii="Calibri" w:hAnsi="Calibri" w:cs="Calibri"/>
                <w:bCs/>
              </w:rPr>
              <w:t>51 506 352,46 Kč</w:t>
            </w:r>
          </w:p>
        </w:tc>
        <w:tc>
          <w:tcPr>
            <w:tcW w:w="2303" w:type="dxa"/>
            <w:tcBorders>
              <w:top w:val="nil"/>
              <w:left w:val="nil"/>
              <w:bottom w:val="nil"/>
              <w:right w:val="nil"/>
            </w:tcBorders>
            <w:shd w:val="clear" w:color="auto" w:fill="auto"/>
            <w:vAlign w:val="bottom"/>
          </w:tcPr>
          <w:p w14:paraId="355F6E90" w14:textId="77777777" w:rsidR="00955D47" w:rsidRPr="005C1C24" w:rsidRDefault="00955D47" w:rsidP="00FE4BEF">
            <w:pPr>
              <w:jc w:val="right"/>
              <w:rPr>
                <w:rFonts w:ascii="Calibri" w:hAnsi="Calibri" w:cs="Calibri"/>
                <w:bCs/>
              </w:rPr>
            </w:pPr>
            <w:r w:rsidRPr="005C1C24">
              <w:rPr>
                <w:rFonts w:ascii="Calibri" w:hAnsi="Calibri" w:cs="Calibri"/>
                <w:bCs/>
              </w:rPr>
              <w:t>16,2 %</w:t>
            </w:r>
          </w:p>
        </w:tc>
      </w:tr>
      <w:tr w:rsidR="00955D47" w:rsidRPr="005C1C24" w14:paraId="505A98D3" w14:textId="77777777" w:rsidTr="00FE4BEF">
        <w:tc>
          <w:tcPr>
            <w:tcW w:w="1384" w:type="dxa"/>
            <w:tcBorders>
              <w:top w:val="nil"/>
              <w:left w:val="nil"/>
              <w:bottom w:val="nil"/>
              <w:right w:val="nil"/>
            </w:tcBorders>
            <w:shd w:val="clear" w:color="auto" w:fill="auto"/>
          </w:tcPr>
          <w:p w14:paraId="7DF2A188" w14:textId="77777777" w:rsidR="00955D47" w:rsidRPr="005C1C24" w:rsidRDefault="00955D47" w:rsidP="00FE4BEF">
            <w:pPr>
              <w:jc w:val="right"/>
              <w:rPr>
                <w:rFonts w:ascii="Calibri" w:hAnsi="Calibri" w:cs="Calibri"/>
                <w:bCs/>
              </w:rPr>
            </w:pPr>
            <w:r w:rsidRPr="005C1C24">
              <w:rPr>
                <w:rFonts w:ascii="Calibri" w:hAnsi="Calibri" w:cs="Calibri"/>
                <w:bCs/>
              </w:rPr>
              <w:t>1207</w:t>
            </w:r>
          </w:p>
        </w:tc>
        <w:tc>
          <w:tcPr>
            <w:tcW w:w="3222" w:type="dxa"/>
            <w:tcBorders>
              <w:top w:val="nil"/>
              <w:left w:val="nil"/>
              <w:bottom w:val="nil"/>
              <w:right w:val="nil"/>
            </w:tcBorders>
            <w:shd w:val="clear" w:color="auto" w:fill="auto"/>
          </w:tcPr>
          <w:p w14:paraId="602BD0AC" w14:textId="77777777" w:rsidR="00955D47" w:rsidRPr="005C1C24" w:rsidRDefault="00955D47" w:rsidP="00FE4BEF">
            <w:pPr>
              <w:jc w:val="both"/>
              <w:rPr>
                <w:rFonts w:ascii="Calibri" w:hAnsi="Calibri" w:cs="Calibri"/>
                <w:bCs/>
              </w:rPr>
            </w:pPr>
            <w:r w:rsidRPr="005C1C24">
              <w:rPr>
                <w:rFonts w:ascii="Calibri" w:hAnsi="Calibri" w:cs="Calibri"/>
                <w:bCs/>
              </w:rPr>
              <w:t>Zdravotnictví</w:t>
            </w:r>
          </w:p>
        </w:tc>
        <w:tc>
          <w:tcPr>
            <w:tcW w:w="2303" w:type="dxa"/>
            <w:tcBorders>
              <w:top w:val="nil"/>
              <w:left w:val="nil"/>
              <w:bottom w:val="nil"/>
              <w:right w:val="nil"/>
            </w:tcBorders>
            <w:shd w:val="clear" w:color="auto" w:fill="auto"/>
            <w:vAlign w:val="bottom"/>
          </w:tcPr>
          <w:p w14:paraId="0BF1307A" w14:textId="77777777" w:rsidR="00955D47" w:rsidRPr="005C1C24" w:rsidRDefault="00955D47" w:rsidP="00FE4BEF">
            <w:pPr>
              <w:jc w:val="right"/>
              <w:rPr>
                <w:rFonts w:ascii="Calibri" w:hAnsi="Calibri" w:cs="Calibri"/>
                <w:bCs/>
              </w:rPr>
            </w:pPr>
            <w:r w:rsidRPr="005C1C24">
              <w:rPr>
                <w:rFonts w:ascii="Calibri" w:hAnsi="Calibri" w:cs="Calibri"/>
                <w:bCs/>
              </w:rPr>
              <w:t>244 743 846,22 Kč</w:t>
            </w:r>
          </w:p>
        </w:tc>
        <w:tc>
          <w:tcPr>
            <w:tcW w:w="2303" w:type="dxa"/>
            <w:tcBorders>
              <w:top w:val="nil"/>
              <w:left w:val="nil"/>
              <w:bottom w:val="nil"/>
              <w:right w:val="nil"/>
            </w:tcBorders>
            <w:shd w:val="clear" w:color="auto" w:fill="auto"/>
            <w:vAlign w:val="bottom"/>
          </w:tcPr>
          <w:p w14:paraId="3EDD7191" w14:textId="77777777" w:rsidR="00955D47" w:rsidRPr="005C1C24" w:rsidRDefault="00955D47" w:rsidP="00FE4BEF">
            <w:pPr>
              <w:jc w:val="right"/>
              <w:rPr>
                <w:rFonts w:ascii="Calibri" w:hAnsi="Calibri" w:cs="Calibri"/>
                <w:bCs/>
              </w:rPr>
            </w:pPr>
            <w:r w:rsidRPr="005C1C24">
              <w:rPr>
                <w:rFonts w:ascii="Calibri" w:hAnsi="Calibri" w:cs="Calibri"/>
                <w:bCs/>
              </w:rPr>
              <w:t>77,2 %</w:t>
            </w:r>
          </w:p>
        </w:tc>
      </w:tr>
      <w:tr w:rsidR="00955D47" w:rsidRPr="005C1C24" w14:paraId="02ECB0AA" w14:textId="77777777" w:rsidTr="00FE4BEF">
        <w:tc>
          <w:tcPr>
            <w:tcW w:w="4606" w:type="dxa"/>
            <w:gridSpan w:val="2"/>
            <w:tcBorders>
              <w:top w:val="nil"/>
              <w:left w:val="nil"/>
              <w:bottom w:val="nil"/>
              <w:right w:val="nil"/>
            </w:tcBorders>
            <w:shd w:val="clear" w:color="auto" w:fill="auto"/>
          </w:tcPr>
          <w:p w14:paraId="3EA5A5A1" w14:textId="77777777" w:rsidR="00955D47" w:rsidRPr="005C1C24" w:rsidRDefault="00955D47" w:rsidP="00FE4BEF">
            <w:pPr>
              <w:jc w:val="right"/>
              <w:rPr>
                <w:rFonts w:ascii="Calibri" w:hAnsi="Calibri" w:cs="Calibri"/>
                <w:bCs/>
              </w:rPr>
            </w:pPr>
            <w:r w:rsidRPr="005C1C24">
              <w:rPr>
                <w:rFonts w:ascii="Calibri" w:hAnsi="Calibri" w:cs="Calibri"/>
                <w:bCs/>
              </w:rPr>
              <w:t>Celkem</w:t>
            </w:r>
          </w:p>
        </w:tc>
        <w:tc>
          <w:tcPr>
            <w:tcW w:w="2303" w:type="dxa"/>
            <w:tcBorders>
              <w:top w:val="nil"/>
              <w:left w:val="nil"/>
              <w:bottom w:val="nil"/>
              <w:right w:val="nil"/>
            </w:tcBorders>
            <w:shd w:val="clear" w:color="auto" w:fill="auto"/>
          </w:tcPr>
          <w:p w14:paraId="73CFD632" w14:textId="77777777" w:rsidR="00955D47" w:rsidRPr="005C1C24" w:rsidRDefault="00955D47" w:rsidP="00FE4BEF">
            <w:pPr>
              <w:jc w:val="right"/>
              <w:rPr>
                <w:rFonts w:ascii="Calibri" w:hAnsi="Calibri" w:cs="Calibri"/>
                <w:bCs/>
              </w:rPr>
            </w:pPr>
            <w:r w:rsidRPr="005C1C24">
              <w:rPr>
                <w:rFonts w:ascii="Calibri" w:hAnsi="Calibri" w:cs="Calibri"/>
                <w:bCs/>
              </w:rPr>
              <w:t>317 040 177,62 Kč</w:t>
            </w:r>
          </w:p>
        </w:tc>
        <w:tc>
          <w:tcPr>
            <w:tcW w:w="2303" w:type="dxa"/>
            <w:tcBorders>
              <w:top w:val="nil"/>
              <w:left w:val="nil"/>
              <w:bottom w:val="nil"/>
              <w:right w:val="nil"/>
            </w:tcBorders>
            <w:shd w:val="clear" w:color="auto" w:fill="auto"/>
          </w:tcPr>
          <w:p w14:paraId="07592BA9" w14:textId="77777777" w:rsidR="00955D47" w:rsidRPr="005C1C24" w:rsidRDefault="00955D47" w:rsidP="00FE4BEF">
            <w:pPr>
              <w:jc w:val="right"/>
              <w:rPr>
                <w:rFonts w:ascii="Calibri" w:hAnsi="Calibri" w:cs="Calibri"/>
                <w:bCs/>
              </w:rPr>
            </w:pPr>
            <w:r w:rsidRPr="005C1C24">
              <w:rPr>
                <w:rFonts w:ascii="Calibri" w:hAnsi="Calibri" w:cs="Calibri"/>
                <w:bCs/>
              </w:rPr>
              <w:t>100,0 %</w:t>
            </w:r>
          </w:p>
        </w:tc>
      </w:tr>
    </w:tbl>
    <w:p w14:paraId="4D421B0F" w14:textId="77777777" w:rsidR="00955D47" w:rsidRPr="005C1C24" w:rsidRDefault="00955D47" w:rsidP="00ED119C">
      <w:pPr>
        <w:spacing w:after="0" w:line="240" w:lineRule="auto"/>
        <w:jc w:val="both"/>
        <w:rPr>
          <w:rFonts w:ascii="Calibri" w:hAnsi="Calibri"/>
          <w:b/>
        </w:rPr>
      </w:pPr>
    </w:p>
    <w:p w14:paraId="7C14FC38" w14:textId="77777777" w:rsidR="00955D47" w:rsidRPr="00ED119C" w:rsidRDefault="00955D47" w:rsidP="00ED119C">
      <w:pPr>
        <w:tabs>
          <w:tab w:val="left" w:pos="3990"/>
        </w:tabs>
        <w:spacing w:after="0" w:line="240" w:lineRule="auto"/>
        <w:jc w:val="both"/>
        <w:rPr>
          <w:rFonts w:ascii="Calibri" w:hAnsi="Calibri"/>
          <w:b/>
          <w:sz w:val="24"/>
          <w:szCs w:val="24"/>
          <w:u w:val="single"/>
        </w:rPr>
      </w:pPr>
      <w:r w:rsidRPr="00ED119C">
        <w:rPr>
          <w:rFonts w:ascii="Calibri" w:hAnsi="Calibri"/>
          <w:b/>
          <w:sz w:val="24"/>
          <w:szCs w:val="24"/>
          <w:u w:val="single"/>
        </w:rPr>
        <w:t>Kapitálové (investiční) výdaje nezařazené v Zásobníku investic hrazené z úvěru přijatého od EIB</w:t>
      </w:r>
    </w:p>
    <w:p w14:paraId="4C1CE528" w14:textId="77777777" w:rsidR="00955D47" w:rsidRPr="005C1C24" w:rsidRDefault="00955D47" w:rsidP="00ED119C">
      <w:pPr>
        <w:spacing w:after="0" w:line="240" w:lineRule="auto"/>
        <w:jc w:val="both"/>
        <w:rPr>
          <w:rFonts w:ascii="Calibri" w:hAnsi="Calibri"/>
        </w:rPr>
      </w:pPr>
    </w:p>
    <w:p w14:paraId="0B901044" w14:textId="77777777" w:rsidR="00955D47" w:rsidRPr="005C1C24" w:rsidRDefault="00955D47" w:rsidP="00ED119C">
      <w:pPr>
        <w:spacing w:after="0" w:line="240" w:lineRule="auto"/>
        <w:jc w:val="both"/>
        <w:rPr>
          <w:rFonts w:ascii="Calibri" w:hAnsi="Calibri"/>
        </w:rPr>
      </w:pPr>
      <w:r w:rsidRPr="005C1C24">
        <w:rPr>
          <w:rFonts w:ascii="Calibri" w:hAnsi="Calibri"/>
        </w:rPr>
        <w:t>Všechny investiční akce dle seznamu registrovaných projektů schváleného Evropskou investiční bankou byly v průběhu I. pololetí roku 2021 zařazeny do Zásobníku investic, proto byl schválený rozpočet ve výši 200 000 000,00 Kč převeden v rámci kapitoly 12 – Investiční výdaje na základě rozpočtové úpravy č. 346/12/2021 ze dne 24. 6. 2021 do kapitálových (investičních) výdajů zařazených v Zásobníku investic hrazených z úvěru přijatého od Evropské investiční banky.</w:t>
      </w:r>
    </w:p>
    <w:p w14:paraId="30CCC749" w14:textId="77777777" w:rsidR="00955D47" w:rsidRPr="005C1C24" w:rsidRDefault="00955D47" w:rsidP="00ED119C">
      <w:pPr>
        <w:spacing w:after="0" w:line="240" w:lineRule="auto"/>
        <w:jc w:val="both"/>
        <w:rPr>
          <w:rFonts w:ascii="Calibri" w:hAnsi="Calibri"/>
        </w:rPr>
      </w:pPr>
    </w:p>
    <w:p w14:paraId="3B061968" w14:textId="77777777" w:rsidR="00955D47" w:rsidRPr="005C1C24" w:rsidRDefault="00955D47" w:rsidP="00955D47">
      <w:pPr>
        <w:spacing w:line="276" w:lineRule="auto"/>
        <w:jc w:val="both"/>
        <w:rPr>
          <w:rFonts w:ascii="Calibri" w:hAnsi="Calibri"/>
        </w:rPr>
      </w:pPr>
    </w:p>
    <w:p w14:paraId="7409751B" w14:textId="77777777" w:rsidR="00955D47" w:rsidRPr="005C1C24" w:rsidRDefault="00955D47" w:rsidP="00955D47">
      <w:pPr>
        <w:rPr>
          <w:rFonts w:ascii="Calibri" w:hAnsi="Calibri"/>
        </w:rPr>
      </w:pPr>
    </w:p>
    <w:p w14:paraId="29DE9435" w14:textId="46EAFE0C" w:rsidR="00955D47" w:rsidRDefault="00955D47" w:rsidP="00955D47">
      <w:pPr>
        <w:rPr>
          <w:rFonts w:ascii="Calibri" w:hAnsi="Calibri"/>
        </w:rPr>
      </w:pPr>
    </w:p>
    <w:p w14:paraId="4020FA49" w14:textId="4C2E99E3" w:rsidR="00E363C7" w:rsidRDefault="00E363C7" w:rsidP="00955D47">
      <w:pPr>
        <w:rPr>
          <w:rFonts w:ascii="Calibri" w:hAnsi="Calibri"/>
        </w:rPr>
      </w:pPr>
    </w:p>
    <w:p w14:paraId="32D26B5D" w14:textId="4D6D96B7" w:rsidR="00E363C7" w:rsidRDefault="00E363C7" w:rsidP="00955D47">
      <w:pPr>
        <w:rPr>
          <w:rFonts w:ascii="Calibri" w:hAnsi="Calibri"/>
        </w:rPr>
      </w:pPr>
    </w:p>
    <w:tbl>
      <w:tblPr>
        <w:tblW w:w="9917" w:type="dxa"/>
        <w:tblCellMar>
          <w:left w:w="70" w:type="dxa"/>
          <w:right w:w="70" w:type="dxa"/>
        </w:tblCellMar>
        <w:tblLook w:val="04A0" w:firstRow="1" w:lastRow="0" w:firstColumn="1" w:lastColumn="0" w:noHBand="0" w:noVBand="1"/>
      </w:tblPr>
      <w:tblGrid>
        <w:gridCol w:w="826"/>
        <w:gridCol w:w="4160"/>
        <w:gridCol w:w="1300"/>
        <w:gridCol w:w="1584"/>
        <w:gridCol w:w="1400"/>
        <w:gridCol w:w="647"/>
      </w:tblGrid>
      <w:tr w:rsidR="00D158B8" w:rsidRPr="00D158B8" w14:paraId="54658DE5" w14:textId="77777777" w:rsidTr="00ED119C">
        <w:trPr>
          <w:trHeight w:val="402"/>
        </w:trPr>
        <w:tc>
          <w:tcPr>
            <w:tcW w:w="9917" w:type="dxa"/>
            <w:gridSpan w:val="6"/>
            <w:tcBorders>
              <w:top w:val="nil"/>
              <w:left w:val="nil"/>
              <w:bottom w:val="nil"/>
              <w:right w:val="nil"/>
            </w:tcBorders>
            <w:shd w:val="clear" w:color="auto" w:fill="auto"/>
            <w:noWrap/>
            <w:vAlign w:val="center"/>
            <w:hideMark/>
          </w:tcPr>
          <w:p w14:paraId="7E7472D0" w14:textId="77777777" w:rsidR="00D158B8" w:rsidRPr="00D158B8" w:rsidRDefault="00D158B8" w:rsidP="00D158B8">
            <w:pPr>
              <w:spacing w:after="0" w:line="240" w:lineRule="auto"/>
              <w:jc w:val="center"/>
              <w:rPr>
                <w:rFonts w:ascii="Calibri" w:eastAsia="Times New Roman" w:hAnsi="Calibri" w:cs="Calibri"/>
                <w:b/>
                <w:bCs/>
                <w:sz w:val="28"/>
                <w:szCs w:val="28"/>
                <w:lang w:eastAsia="cs-CZ"/>
              </w:rPr>
            </w:pPr>
            <w:r w:rsidRPr="00D158B8">
              <w:rPr>
                <w:rFonts w:ascii="Calibri" w:eastAsia="Times New Roman" w:hAnsi="Calibri" w:cs="Calibri"/>
                <w:b/>
                <w:bCs/>
                <w:sz w:val="28"/>
                <w:szCs w:val="28"/>
                <w:lang w:eastAsia="cs-CZ"/>
              </w:rPr>
              <w:t>Čerpání rozpočtu kapitoly 13 - Krajský investor - období: 1. - 12. 2021</w:t>
            </w:r>
          </w:p>
        </w:tc>
      </w:tr>
      <w:tr w:rsidR="00D158B8" w:rsidRPr="00D158B8" w14:paraId="03CB3FF7" w14:textId="77777777" w:rsidTr="00ED119C">
        <w:trPr>
          <w:trHeight w:val="360"/>
        </w:trPr>
        <w:tc>
          <w:tcPr>
            <w:tcW w:w="826" w:type="dxa"/>
            <w:tcBorders>
              <w:top w:val="nil"/>
              <w:left w:val="nil"/>
              <w:bottom w:val="nil"/>
              <w:right w:val="nil"/>
            </w:tcBorders>
            <w:shd w:val="clear" w:color="auto" w:fill="auto"/>
            <w:noWrap/>
            <w:vAlign w:val="bottom"/>
            <w:hideMark/>
          </w:tcPr>
          <w:p w14:paraId="57017F9A" w14:textId="77777777" w:rsidR="00D158B8" w:rsidRPr="00D158B8" w:rsidRDefault="00D158B8" w:rsidP="00D158B8">
            <w:pPr>
              <w:spacing w:after="0" w:line="240" w:lineRule="auto"/>
              <w:jc w:val="center"/>
              <w:rPr>
                <w:rFonts w:ascii="Calibri" w:eastAsia="Times New Roman" w:hAnsi="Calibri" w:cs="Calibri"/>
                <w:b/>
                <w:bCs/>
                <w:sz w:val="28"/>
                <w:szCs w:val="28"/>
                <w:lang w:eastAsia="cs-CZ"/>
              </w:rPr>
            </w:pPr>
          </w:p>
        </w:tc>
        <w:tc>
          <w:tcPr>
            <w:tcW w:w="4160" w:type="dxa"/>
            <w:tcBorders>
              <w:top w:val="nil"/>
              <w:left w:val="nil"/>
              <w:bottom w:val="nil"/>
              <w:right w:val="nil"/>
            </w:tcBorders>
            <w:shd w:val="clear" w:color="auto" w:fill="auto"/>
            <w:noWrap/>
            <w:vAlign w:val="bottom"/>
            <w:hideMark/>
          </w:tcPr>
          <w:p w14:paraId="6F8928FC" w14:textId="77777777" w:rsidR="00D158B8" w:rsidRPr="00D158B8" w:rsidRDefault="00D158B8" w:rsidP="00D158B8">
            <w:pPr>
              <w:spacing w:after="0" w:line="240" w:lineRule="auto"/>
              <w:rPr>
                <w:rFonts w:ascii="Times New Roman" w:eastAsia="Times New Roman" w:hAnsi="Times New Roman" w:cs="Times New Roman"/>
                <w:sz w:val="20"/>
                <w:szCs w:val="20"/>
                <w:lang w:eastAsia="cs-CZ"/>
              </w:rPr>
            </w:pPr>
          </w:p>
        </w:tc>
        <w:tc>
          <w:tcPr>
            <w:tcW w:w="1300" w:type="dxa"/>
            <w:tcBorders>
              <w:top w:val="nil"/>
              <w:left w:val="nil"/>
              <w:bottom w:val="nil"/>
              <w:right w:val="nil"/>
            </w:tcBorders>
            <w:shd w:val="clear" w:color="auto" w:fill="auto"/>
            <w:noWrap/>
            <w:vAlign w:val="bottom"/>
            <w:hideMark/>
          </w:tcPr>
          <w:p w14:paraId="7BF636EA" w14:textId="77777777" w:rsidR="00D158B8" w:rsidRPr="00D158B8" w:rsidRDefault="00D158B8" w:rsidP="00D158B8">
            <w:pPr>
              <w:spacing w:after="0" w:line="240" w:lineRule="auto"/>
              <w:rPr>
                <w:rFonts w:ascii="Times New Roman" w:eastAsia="Times New Roman" w:hAnsi="Times New Roman" w:cs="Times New Roman"/>
                <w:sz w:val="20"/>
                <w:szCs w:val="20"/>
                <w:lang w:eastAsia="cs-CZ"/>
              </w:rPr>
            </w:pPr>
          </w:p>
        </w:tc>
        <w:tc>
          <w:tcPr>
            <w:tcW w:w="1584" w:type="dxa"/>
            <w:tcBorders>
              <w:top w:val="nil"/>
              <w:left w:val="nil"/>
              <w:bottom w:val="nil"/>
              <w:right w:val="nil"/>
            </w:tcBorders>
            <w:shd w:val="clear" w:color="auto" w:fill="auto"/>
            <w:noWrap/>
            <w:vAlign w:val="bottom"/>
            <w:hideMark/>
          </w:tcPr>
          <w:p w14:paraId="2FA5BA73" w14:textId="77777777" w:rsidR="00D158B8" w:rsidRPr="00D158B8" w:rsidRDefault="00D158B8" w:rsidP="00D158B8">
            <w:pPr>
              <w:spacing w:after="0" w:line="240" w:lineRule="auto"/>
              <w:rPr>
                <w:rFonts w:ascii="Times New Roman" w:eastAsia="Times New Roman" w:hAnsi="Times New Roman" w:cs="Times New Roman"/>
                <w:sz w:val="20"/>
                <w:szCs w:val="20"/>
                <w:lang w:eastAsia="cs-CZ"/>
              </w:rPr>
            </w:pPr>
          </w:p>
        </w:tc>
        <w:tc>
          <w:tcPr>
            <w:tcW w:w="1400" w:type="dxa"/>
            <w:tcBorders>
              <w:top w:val="nil"/>
              <w:left w:val="nil"/>
              <w:bottom w:val="nil"/>
              <w:right w:val="nil"/>
            </w:tcBorders>
            <w:shd w:val="clear" w:color="auto" w:fill="auto"/>
            <w:noWrap/>
            <w:vAlign w:val="bottom"/>
            <w:hideMark/>
          </w:tcPr>
          <w:p w14:paraId="03EEA8F8" w14:textId="77777777" w:rsidR="00D158B8" w:rsidRPr="00D158B8" w:rsidRDefault="00D158B8" w:rsidP="00D158B8">
            <w:pPr>
              <w:spacing w:after="0" w:line="240" w:lineRule="auto"/>
              <w:rPr>
                <w:rFonts w:ascii="Times New Roman" w:eastAsia="Times New Roman" w:hAnsi="Times New Roman" w:cs="Times New Roman"/>
                <w:sz w:val="20"/>
                <w:szCs w:val="20"/>
                <w:lang w:eastAsia="cs-CZ"/>
              </w:rPr>
            </w:pPr>
          </w:p>
        </w:tc>
        <w:tc>
          <w:tcPr>
            <w:tcW w:w="647" w:type="dxa"/>
            <w:tcBorders>
              <w:top w:val="nil"/>
              <w:left w:val="nil"/>
              <w:bottom w:val="nil"/>
              <w:right w:val="nil"/>
            </w:tcBorders>
            <w:shd w:val="clear" w:color="auto" w:fill="auto"/>
            <w:noWrap/>
            <w:vAlign w:val="bottom"/>
            <w:hideMark/>
          </w:tcPr>
          <w:p w14:paraId="75D4E7BD" w14:textId="77777777" w:rsidR="00D158B8" w:rsidRPr="00D158B8" w:rsidRDefault="00D158B8" w:rsidP="00D158B8">
            <w:pPr>
              <w:spacing w:after="0" w:line="240" w:lineRule="auto"/>
              <w:jc w:val="right"/>
              <w:rPr>
                <w:rFonts w:ascii="Calibri" w:eastAsia="Times New Roman" w:hAnsi="Calibri" w:cs="Calibri"/>
                <w:lang w:eastAsia="cs-CZ"/>
              </w:rPr>
            </w:pPr>
            <w:r w:rsidRPr="00D158B8">
              <w:rPr>
                <w:rFonts w:ascii="Calibri" w:eastAsia="Times New Roman" w:hAnsi="Calibri" w:cs="Calibri"/>
                <w:lang w:eastAsia="cs-CZ"/>
              </w:rPr>
              <w:t xml:space="preserve"> v Kč</w:t>
            </w:r>
          </w:p>
        </w:tc>
      </w:tr>
      <w:tr w:rsidR="00D158B8" w:rsidRPr="00D158B8" w14:paraId="65FF1D89" w14:textId="77777777" w:rsidTr="00ED119C">
        <w:trPr>
          <w:trHeight w:val="705"/>
        </w:trPr>
        <w:tc>
          <w:tcPr>
            <w:tcW w:w="826" w:type="dxa"/>
            <w:tcBorders>
              <w:top w:val="single" w:sz="8" w:space="0" w:color="auto"/>
              <w:left w:val="single" w:sz="8" w:space="0" w:color="auto"/>
              <w:bottom w:val="single" w:sz="8" w:space="0" w:color="auto"/>
              <w:right w:val="single" w:sz="8" w:space="0" w:color="auto"/>
            </w:tcBorders>
            <w:shd w:val="clear" w:color="000000" w:fill="CCFFCC"/>
            <w:noWrap/>
            <w:vAlign w:val="center"/>
            <w:hideMark/>
          </w:tcPr>
          <w:p w14:paraId="2761956A" w14:textId="77777777" w:rsidR="00D158B8" w:rsidRPr="00D158B8" w:rsidRDefault="00D158B8" w:rsidP="00D158B8">
            <w:pPr>
              <w:spacing w:after="0" w:line="240" w:lineRule="auto"/>
              <w:jc w:val="center"/>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Paragraf</w:t>
            </w:r>
          </w:p>
        </w:tc>
        <w:tc>
          <w:tcPr>
            <w:tcW w:w="4160" w:type="dxa"/>
            <w:tcBorders>
              <w:top w:val="single" w:sz="8" w:space="0" w:color="auto"/>
              <w:left w:val="nil"/>
              <w:bottom w:val="single" w:sz="8" w:space="0" w:color="auto"/>
              <w:right w:val="single" w:sz="8" w:space="0" w:color="auto"/>
            </w:tcBorders>
            <w:shd w:val="clear" w:color="000000" w:fill="CCFFCC"/>
            <w:noWrap/>
            <w:vAlign w:val="center"/>
            <w:hideMark/>
          </w:tcPr>
          <w:p w14:paraId="65ADBD33" w14:textId="77777777" w:rsidR="00D158B8" w:rsidRPr="00D158B8" w:rsidRDefault="00D158B8" w:rsidP="00D158B8">
            <w:pPr>
              <w:spacing w:after="0" w:line="240" w:lineRule="auto"/>
              <w:jc w:val="center"/>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Oblast rozpočtu</w:t>
            </w:r>
          </w:p>
        </w:tc>
        <w:tc>
          <w:tcPr>
            <w:tcW w:w="1300" w:type="dxa"/>
            <w:tcBorders>
              <w:top w:val="single" w:sz="8" w:space="0" w:color="auto"/>
              <w:left w:val="nil"/>
              <w:bottom w:val="single" w:sz="8" w:space="0" w:color="auto"/>
              <w:right w:val="single" w:sz="8" w:space="0" w:color="auto"/>
            </w:tcBorders>
            <w:shd w:val="clear" w:color="000000" w:fill="CCFFCC"/>
            <w:vAlign w:val="center"/>
            <w:hideMark/>
          </w:tcPr>
          <w:p w14:paraId="5540487C" w14:textId="77777777" w:rsidR="00D158B8" w:rsidRPr="00D158B8" w:rsidRDefault="00D158B8" w:rsidP="00D158B8">
            <w:pPr>
              <w:spacing w:after="0" w:line="240" w:lineRule="auto"/>
              <w:jc w:val="center"/>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Schválený rozpočet</w:t>
            </w:r>
          </w:p>
        </w:tc>
        <w:tc>
          <w:tcPr>
            <w:tcW w:w="1584" w:type="dxa"/>
            <w:tcBorders>
              <w:top w:val="single" w:sz="8" w:space="0" w:color="auto"/>
              <w:left w:val="nil"/>
              <w:bottom w:val="single" w:sz="8" w:space="0" w:color="auto"/>
              <w:right w:val="single" w:sz="8" w:space="0" w:color="auto"/>
            </w:tcBorders>
            <w:shd w:val="clear" w:color="000000" w:fill="CCFFCC"/>
            <w:vAlign w:val="center"/>
            <w:hideMark/>
          </w:tcPr>
          <w:p w14:paraId="1E2999A9" w14:textId="77777777" w:rsidR="00D158B8" w:rsidRPr="00D158B8" w:rsidRDefault="00D158B8" w:rsidP="00D158B8">
            <w:pPr>
              <w:spacing w:after="0" w:line="240" w:lineRule="auto"/>
              <w:jc w:val="center"/>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Rozpočet po úpravě</w:t>
            </w:r>
          </w:p>
        </w:tc>
        <w:tc>
          <w:tcPr>
            <w:tcW w:w="1400" w:type="dxa"/>
            <w:tcBorders>
              <w:top w:val="single" w:sz="8" w:space="0" w:color="auto"/>
              <w:left w:val="nil"/>
              <w:bottom w:val="single" w:sz="8" w:space="0" w:color="auto"/>
              <w:right w:val="single" w:sz="8" w:space="0" w:color="auto"/>
            </w:tcBorders>
            <w:shd w:val="clear" w:color="000000" w:fill="CCFFCC"/>
            <w:vAlign w:val="center"/>
            <w:hideMark/>
          </w:tcPr>
          <w:p w14:paraId="3CF8AF5A" w14:textId="77777777" w:rsidR="00D158B8" w:rsidRPr="00D158B8" w:rsidRDefault="00D158B8" w:rsidP="00D158B8">
            <w:pPr>
              <w:spacing w:after="0" w:line="240" w:lineRule="auto"/>
              <w:jc w:val="center"/>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 xml:space="preserve">Skutečnost </w:t>
            </w:r>
          </w:p>
        </w:tc>
        <w:tc>
          <w:tcPr>
            <w:tcW w:w="647" w:type="dxa"/>
            <w:tcBorders>
              <w:top w:val="single" w:sz="8" w:space="0" w:color="auto"/>
              <w:left w:val="nil"/>
              <w:bottom w:val="single" w:sz="8" w:space="0" w:color="auto"/>
              <w:right w:val="single" w:sz="8" w:space="0" w:color="auto"/>
            </w:tcBorders>
            <w:shd w:val="clear" w:color="000000" w:fill="CCFFCC"/>
            <w:vAlign w:val="center"/>
            <w:hideMark/>
          </w:tcPr>
          <w:p w14:paraId="2B6BEA0F" w14:textId="77777777" w:rsidR="00D158B8" w:rsidRPr="00D158B8" w:rsidRDefault="00D158B8" w:rsidP="00D158B8">
            <w:pPr>
              <w:spacing w:after="0" w:line="240" w:lineRule="auto"/>
              <w:jc w:val="center"/>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 plnění</w:t>
            </w:r>
          </w:p>
        </w:tc>
      </w:tr>
      <w:tr w:rsidR="00D158B8" w:rsidRPr="00D158B8" w14:paraId="30FE8E9E" w14:textId="77777777" w:rsidTr="00ED119C">
        <w:trPr>
          <w:trHeight w:val="360"/>
        </w:trPr>
        <w:tc>
          <w:tcPr>
            <w:tcW w:w="826" w:type="dxa"/>
            <w:tcBorders>
              <w:top w:val="nil"/>
              <w:left w:val="nil"/>
              <w:bottom w:val="nil"/>
              <w:right w:val="nil"/>
            </w:tcBorders>
            <w:shd w:val="clear" w:color="auto" w:fill="auto"/>
            <w:noWrap/>
            <w:vAlign w:val="center"/>
            <w:hideMark/>
          </w:tcPr>
          <w:p w14:paraId="071CF3AE" w14:textId="77777777" w:rsidR="00D158B8" w:rsidRPr="00D158B8" w:rsidRDefault="00D158B8" w:rsidP="00D158B8">
            <w:pPr>
              <w:spacing w:after="0" w:line="240" w:lineRule="auto"/>
              <w:jc w:val="center"/>
              <w:rPr>
                <w:rFonts w:ascii="Calibri" w:eastAsia="Times New Roman" w:hAnsi="Calibri" w:cs="Calibri"/>
                <w:sz w:val="20"/>
                <w:szCs w:val="20"/>
                <w:lang w:eastAsia="cs-CZ"/>
              </w:rPr>
            </w:pPr>
          </w:p>
        </w:tc>
        <w:tc>
          <w:tcPr>
            <w:tcW w:w="4160" w:type="dxa"/>
            <w:tcBorders>
              <w:top w:val="nil"/>
              <w:left w:val="nil"/>
              <w:bottom w:val="nil"/>
              <w:right w:val="nil"/>
            </w:tcBorders>
            <w:shd w:val="clear" w:color="auto" w:fill="auto"/>
            <w:noWrap/>
            <w:vAlign w:val="center"/>
            <w:hideMark/>
          </w:tcPr>
          <w:p w14:paraId="7CBD04B1" w14:textId="77777777" w:rsidR="00D158B8" w:rsidRPr="00D158B8" w:rsidRDefault="00D158B8" w:rsidP="00D158B8">
            <w:pPr>
              <w:spacing w:after="0" w:line="240" w:lineRule="auto"/>
              <w:rPr>
                <w:rFonts w:ascii="Calibri" w:eastAsia="Times New Roman" w:hAnsi="Calibri" w:cs="Calibri"/>
                <w:b/>
                <w:bCs/>
                <w:lang w:eastAsia="cs-CZ"/>
              </w:rPr>
            </w:pPr>
            <w:r w:rsidRPr="00D158B8">
              <w:rPr>
                <w:rFonts w:ascii="Calibri" w:eastAsia="Times New Roman" w:hAnsi="Calibri" w:cs="Calibri"/>
                <w:b/>
                <w:bCs/>
                <w:lang w:eastAsia="cs-CZ"/>
              </w:rPr>
              <w:t>Běžné výdaje</w:t>
            </w:r>
          </w:p>
        </w:tc>
        <w:tc>
          <w:tcPr>
            <w:tcW w:w="1300" w:type="dxa"/>
            <w:tcBorders>
              <w:top w:val="nil"/>
              <w:left w:val="nil"/>
              <w:bottom w:val="nil"/>
              <w:right w:val="nil"/>
            </w:tcBorders>
            <w:shd w:val="clear" w:color="auto" w:fill="auto"/>
            <w:noWrap/>
            <w:vAlign w:val="center"/>
            <w:hideMark/>
          </w:tcPr>
          <w:p w14:paraId="7A69FA20" w14:textId="77777777" w:rsidR="00D158B8" w:rsidRPr="00D158B8" w:rsidRDefault="00D158B8" w:rsidP="00D158B8">
            <w:pPr>
              <w:spacing w:after="0" w:line="240" w:lineRule="auto"/>
              <w:rPr>
                <w:rFonts w:ascii="Calibri" w:eastAsia="Times New Roman" w:hAnsi="Calibri" w:cs="Calibri"/>
                <w:b/>
                <w:bCs/>
                <w:lang w:eastAsia="cs-CZ"/>
              </w:rPr>
            </w:pPr>
          </w:p>
        </w:tc>
        <w:tc>
          <w:tcPr>
            <w:tcW w:w="1584" w:type="dxa"/>
            <w:tcBorders>
              <w:top w:val="nil"/>
              <w:left w:val="nil"/>
              <w:bottom w:val="single" w:sz="8" w:space="0" w:color="auto"/>
              <w:right w:val="nil"/>
            </w:tcBorders>
            <w:shd w:val="clear" w:color="auto" w:fill="auto"/>
            <w:noWrap/>
            <w:vAlign w:val="center"/>
            <w:hideMark/>
          </w:tcPr>
          <w:p w14:paraId="4EAD9955"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 </w:t>
            </w:r>
          </w:p>
        </w:tc>
        <w:tc>
          <w:tcPr>
            <w:tcW w:w="1400" w:type="dxa"/>
            <w:tcBorders>
              <w:top w:val="nil"/>
              <w:left w:val="nil"/>
              <w:bottom w:val="nil"/>
              <w:right w:val="nil"/>
            </w:tcBorders>
            <w:shd w:val="clear" w:color="auto" w:fill="auto"/>
            <w:noWrap/>
            <w:vAlign w:val="center"/>
            <w:hideMark/>
          </w:tcPr>
          <w:p w14:paraId="74E02785" w14:textId="77777777" w:rsidR="00D158B8" w:rsidRPr="00D158B8" w:rsidRDefault="00D158B8" w:rsidP="00D158B8">
            <w:pPr>
              <w:spacing w:after="0" w:line="240" w:lineRule="auto"/>
              <w:jc w:val="right"/>
              <w:rPr>
                <w:rFonts w:ascii="Calibri" w:eastAsia="Times New Roman" w:hAnsi="Calibri" w:cs="Calibri"/>
                <w:sz w:val="20"/>
                <w:szCs w:val="20"/>
                <w:lang w:eastAsia="cs-CZ"/>
              </w:rPr>
            </w:pPr>
          </w:p>
        </w:tc>
        <w:tc>
          <w:tcPr>
            <w:tcW w:w="647" w:type="dxa"/>
            <w:tcBorders>
              <w:top w:val="nil"/>
              <w:left w:val="nil"/>
              <w:bottom w:val="nil"/>
              <w:right w:val="nil"/>
            </w:tcBorders>
            <w:shd w:val="clear" w:color="auto" w:fill="auto"/>
            <w:noWrap/>
            <w:vAlign w:val="center"/>
            <w:hideMark/>
          </w:tcPr>
          <w:p w14:paraId="56590AC2" w14:textId="77777777" w:rsidR="00D158B8" w:rsidRPr="00D158B8" w:rsidRDefault="00D158B8" w:rsidP="00D158B8">
            <w:pPr>
              <w:spacing w:after="0" w:line="240" w:lineRule="auto"/>
              <w:jc w:val="right"/>
              <w:rPr>
                <w:rFonts w:ascii="Times New Roman" w:eastAsia="Times New Roman" w:hAnsi="Times New Roman" w:cs="Times New Roman"/>
                <w:sz w:val="20"/>
                <w:szCs w:val="20"/>
                <w:lang w:eastAsia="cs-CZ"/>
              </w:rPr>
            </w:pPr>
          </w:p>
        </w:tc>
      </w:tr>
      <w:tr w:rsidR="00D158B8" w:rsidRPr="00D158B8" w14:paraId="3A7B8CBE" w14:textId="77777777" w:rsidTr="00ED119C">
        <w:trPr>
          <w:trHeight w:val="300"/>
        </w:trPr>
        <w:tc>
          <w:tcPr>
            <w:tcW w:w="826"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0B20A95" w14:textId="77777777" w:rsidR="00D158B8" w:rsidRPr="00D158B8" w:rsidRDefault="00D158B8" w:rsidP="00D158B8">
            <w:pPr>
              <w:spacing w:after="0" w:line="240" w:lineRule="auto"/>
              <w:jc w:val="center"/>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2212</w:t>
            </w:r>
          </w:p>
        </w:tc>
        <w:tc>
          <w:tcPr>
            <w:tcW w:w="4160" w:type="dxa"/>
            <w:tcBorders>
              <w:top w:val="single" w:sz="8" w:space="0" w:color="auto"/>
              <w:left w:val="nil"/>
              <w:bottom w:val="single" w:sz="4" w:space="0" w:color="auto"/>
              <w:right w:val="nil"/>
            </w:tcBorders>
            <w:shd w:val="clear" w:color="000000" w:fill="FFFFFF"/>
            <w:vAlign w:val="bottom"/>
            <w:hideMark/>
          </w:tcPr>
          <w:p w14:paraId="394CBF09" w14:textId="77777777" w:rsidR="00D158B8" w:rsidRPr="00D158B8" w:rsidRDefault="00D158B8" w:rsidP="00D158B8">
            <w:pPr>
              <w:spacing w:after="0" w:line="240" w:lineRule="auto"/>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Silnice</w:t>
            </w:r>
          </w:p>
        </w:tc>
        <w:tc>
          <w:tcPr>
            <w:tcW w:w="1300" w:type="dxa"/>
            <w:tcBorders>
              <w:top w:val="single" w:sz="8" w:space="0" w:color="auto"/>
              <w:left w:val="single" w:sz="4" w:space="0" w:color="auto"/>
              <w:bottom w:val="single" w:sz="4" w:space="0" w:color="auto"/>
              <w:right w:val="single" w:sz="4" w:space="0" w:color="auto"/>
            </w:tcBorders>
            <w:shd w:val="clear" w:color="000000" w:fill="FFFFFF"/>
            <w:noWrap/>
            <w:vAlign w:val="bottom"/>
            <w:hideMark/>
          </w:tcPr>
          <w:p w14:paraId="50498BFE"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1 010 000</w:t>
            </w:r>
          </w:p>
        </w:tc>
        <w:tc>
          <w:tcPr>
            <w:tcW w:w="1584" w:type="dxa"/>
            <w:tcBorders>
              <w:top w:val="nil"/>
              <w:left w:val="nil"/>
              <w:bottom w:val="single" w:sz="4" w:space="0" w:color="auto"/>
              <w:right w:val="single" w:sz="4" w:space="0" w:color="auto"/>
            </w:tcBorders>
            <w:shd w:val="clear" w:color="000000" w:fill="FFFFFF"/>
            <w:noWrap/>
            <w:vAlign w:val="bottom"/>
            <w:hideMark/>
          </w:tcPr>
          <w:p w14:paraId="308C734E"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547 859,51</w:t>
            </w:r>
          </w:p>
        </w:tc>
        <w:tc>
          <w:tcPr>
            <w:tcW w:w="1400" w:type="dxa"/>
            <w:tcBorders>
              <w:top w:val="single" w:sz="8" w:space="0" w:color="auto"/>
              <w:left w:val="nil"/>
              <w:bottom w:val="single" w:sz="4" w:space="0" w:color="auto"/>
              <w:right w:val="single" w:sz="4" w:space="0" w:color="auto"/>
            </w:tcBorders>
            <w:shd w:val="clear" w:color="000000" w:fill="FFFFFF"/>
            <w:noWrap/>
            <w:vAlign w:val="bottom"/>
            <w:hideMark/>
          </w:tcPr>
          <w:p w14:paraId="17303D9F"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197 166,05</w:t>
            </w:r>
          </w:p>
        </w:tc>
        <w:tc>
          <w:tcPr>
            <w:tcW w:w="647" w:type="dxa"/>
            <w:tcBorders>
              <w:top w:val="single" w:sz="8" w:space="0" w:color="auto"/>
              <w:left w:val="nil"/>
              <w:bottom w:val="single" w:sz="4" w:space="0" w:color="auto"/>
              <w:right w:val="single" w:sz="8" w:space="0" w:color="auto"/>
            </w:tcBorders>
            <w:shd w:val="clear" w:color="000000" w:fill="FFFFFF"/>
            <w:noWrap/>
            <w:vAlign w:val="bottom"/>
            <w:hideMark/>
          </w:tcPr>
          <w:p w14:paraId="30B8BEC6"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36,0</w:t>
            </w:r>
          </w:p>
        </w:tc>
      </w:tr>
      <w:tr w:rsidR="00D158B8" w:rsidRPr="00D158B8" w14:paraId="058037B8" w14:textId="77777777" w:rsidTr="00ED119C">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30D3348F" w14:textId="77777777" w:rsidR="00D158B8" w:rsidRPr="00D158B8" w:rsidRDefault="00D158B8" w:rsidP="00D158B8">
            <w:pPr>
              <w:spacing w:after="0" w:line="240" w:lineRule="auto"/>
              <w:jc w:val="center"/>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2219</w:t>
            </w:r>
          </w:p>
        </w:tc>
        <w:tc>
          <w:tcPr>
            <w:tcW w:w="4160" w:type="dxa"/>
            <w:tcBorders>
              <w:top w:val="nil"/>
              <w:left w:val="nil"/>
              <w:bottom w:val="single" w:sz="4" w:space="0" w:color="auto"/>
              <w:right w:val="nil"/>
            </w:tcBorders>
            <w:shd w:val="clear" w:color="000000" w:fill="FFFFFF"/>
            <w:vAlign w:val="bottom"/>
            <w:hideMark/>
          </w:tcPr>
          <w:p w14:paraId="31941C21" w14:textId="77777777" w:rsidR="00D158B8" w:rsidRPr="00D158B8" w:rsidRDefault="00D158B8" w:rsidP="00D158B8">
            <w:pPr>
              <w:spacing w:after="0" w:line="240" w:lineRule="auto"/>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Ostatní záležitosti pozemních komunikací</w:t>
            </w:r>
          </w:p>
        </w:tc>
        <w:tc>
          <w:tcPr>
            <w:tcW w:w="1300" w:type="dxa"/>
            <w:tcBorders>
              <w:top w:val="nil"/>
              <w:left w:val="single" w:sz="4" w:space="0" w:color="auto"/>
              <w:bottom w:val="single" w:sz="4" w:space="0" w:color="auto"/>
              <w:right w:val="single" w:sz="4" w:space="0" w:color="auto"/>
            </w:tcBorders>
            <w:shd w:val="clear" w:color="000000" w:fill="FFFFFF"/>
            <w:noWrap/>
            <w:vAlign w:val="bottom"/>
            <w:hideMark/>
          </w:tcPr>
          <w:p w14:paraId="1A07F116"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23 000</w:t>
            </w:r>
          </w:p>
        </w:tc>
        <w:tc>
          <w:tcPr>
            <w:tcW w:w="1584" w:type="dxa"/>
            <w:tcBorders>
              <w:top w:val="nil"/>
              <w:left w:val="nil"/>
              <w:bottom w:val="single" w:sz="4" w:space="0" w:color="auto"/>
              <w:right w:val="single" w:sz="4" w:space="0" w:color="auto"/>
            </w:tcBorders>
            <w:shd w:val="clear" w:color="000000" w:fill="FFFFFF"/>
            <w:noWrap/>
            <w:vAlign w:val="bottom"/>
            <w:hideMark/>
          </w:tcPr>
          <w:p w14:paraId="3DB89D54"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21 790,00</w:t>
            </w:r>
          </w:p>
        </w:tc>
        <w:tc>
          <w:tcPr>
            <w:tcW w:w="1400" w:type="dxa"/>
            <w:tcBorders>
              <w:top w:val="nil"/>
              <w:left w:val="nil"/>
              <w:bottom w:val="single" w:sz="4" w:space="0" w:color="auto"/>
              <w:right w:val="single" w:sz="4" w:space="0" w:color="auto"/>
            </w:tcBorders>
            <w:shd w:val="clear" w:color="000000" w:fill="FFFFFF"/>
            <w:noWrap/>
            <w:vAlign w:val="bottom"/>
            <w:hideMark/>
          </w:tcPr>
          <w:p w14:paraId="6E786C2A"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0,00</w:t>
            </w:r>
          </w:p>
        </w:tc>
        <w:tc>
          <w:tcPr>
            <w:tcW w:w="647" w:type="dxa"/>
            <w:tcBorders>
              <w:top w:val="nil"/>
              <w:left w:val="nil"/>
              <w:bottom w:val="single" w:sz="4" w:space="0" w:color="auto"/>
              <w:right w:val="single" w:sz="8" w:space="0" w:color="auto"/>
            </w:tcBorders>
            <w:shd w:val="clear" w:color="000000" w:fill="FFFFFF"/>
            <w:noWrap/>
            <w:vAlign w:val="bottom"/>
            <w:hideMark/>
          </w:tcPr>
          <w:p w14:paraId="1CDA807F"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0,0</w:t>
            </w:r>
          </w:p>
        </w:tc>
      </w:tr>
      <w:tr w:rsidR="00D158B8" w:rsidRPr="00D158B8" w14:paraId="0271CE2E" w14:textId="77777777" w:rsidTr="00ED119C">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22E64E6F" w14:textId="77777777" w:rsidR="00D158B8" w:rsidRPr="00D158B8" w:rsidRDefault="00D158B8" w:rsidP="00D158B8">
            <w:pPr>
              <w:spacing w:after="0" w:line="240" w:lineRule="auto"/>
              <w:jc w:val="center"/>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2223</w:t>
            </w:r>
          </w:p>
        </w:tc>
        <w:tc>
          <w:tcPr>
            <w:tcW w:w="4160" w:type="dxa"/>
            <w:tcBorders>
              <w:top w:val="nil"/>
              <w:left w:val="nil"/>
              <w:bottom w:val="single" w:sz="4" w:space="0" w:color="auto"/>
              <w:right w:val="nil"/>
            </w:tcBorders>
            <w:shd w:val="clear" w:color="000000" w:fill="FFFFFF"/>
            <w:vAlign w:val="bottom"/>
            <w:hideMark/>
          </w:tcPr>
          <w:p w14:paraId="785BC1D3" w14:textId="77777777" w:rsidR="00D158B8" w:rsidRPr="00D158B8" w:rsidRDefault="00D158B8" w:rsidP="00D158B8">
            <w:pPr>
              <w:spacing w:after="0" w:line="240" w:lineRule="auto"/>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Bezpečnost silničního provozu</w:t>
            </w:r>
          </w:p>
        </w:tc>
        <w:tc>
          <w:tcPr>
            <w:tcW w:w="1300" w:type="dxa"/>
            <w:tcBorders>
              <w:top w:val="nil"/>
              <w:left w:val="single" w:sz="4" w:space="0" w:color="auto"/>
              <w:bottom w:val="single" w:sz="4" w:space="0" w:color="auto"/>
              <w:right w:val="single" w:sz="4" w:space="0" w:color="auto"/>
            </w:tcBorders>
            <w:shd w:val="clear" w:color="000000" w:fill="FFFFFF"/>
            <w:noWrap/>
            <w:vAlign w:val="bottom"/>
            <w:hideMark/>
          </w:tcPr>
          <w:p w14:paraId="7327C31F"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3 000</w:t>
            </w:r>
          </w:p>
        </w:tc>
        <w:tc>
          <w:tcPr>
            <w:tcW w:w="1584" w:type="dxa"/>
            <w:tcBorders>
              <w:top w:val="nil"/>
              <w:left w:val="nil"/>
              <w:bottom w:val="single" w:sz="4" w:space="0" w:color="auto"/>
              <w:right w:val="single" w:sz="4" w:space="0" w:color="auto"/>
            </w:tcBorders>
            <w:shd w:val="clear" w:color="000000" w:fill="FFFFFF"/>
            <w:noWrap/>
            <w:vAlign w:val="bottom"/>
            <w:hideMark/>
          </w:tcPr>
          <w:p w14:paraId="577565AF"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3 000,00</w:t>
            </w:r>
          </w:p>
        </w:tc>
        <w:tc>
          <w:tcPr>
            <w:tcW w:w="1400" w:type="dxa"/>
            <w:tcBorders>
              <w:top w:val="nil"/>
              <w:left w:val="nil"/>
              <w:bottom w:val="single" w:sz="4" w:space="0" w:color="auto"/>
              <w:right w:val="single" w:sz="4" w:space="0" w:color="auto"/>
            </w:tcBorders>
            <w:shd w:val="clear" w:color="000000" w:fill="FFFFFF"/>
            <w:noWrap/>
            <w:vAlign w:val="bottom"/>
            <w:hideMark/>
          </w:tcPr>
          <w:p w14:paraId="4DCADA4B"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0,00</w:t>
            </w:r>
          </w:p>
        </w:tc>
        <w:tc>
          <w:tcPr>
            <w:tcW w:w="647" w:type="dxa"/>
            <w:tcBorders>
              <w:top w:val="nil"/>
              <w:left w:val="nil"/>
              <w:bottom w:val="single" w:sz="4" w:space="0" w:color="auto"/>
              <w:right w:val="single" w:sz="8" w:space="0" w:color="auto"/>
            </w:tcBorders>
            <w:shd w:val="clear" w:color="000000" w:fill="FFFFFF"/>
            <w:noWrap/>
            <w:vAlign w:val="bottom"/>
            <w:hideMark/>
          </w:tcPr>
          <w:p w14:paraId="7A25426A"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0,0</w:t>
            </w:r>
          </w:p>
        </w:tc>
      </w:tr>
      <w:tr w:rsidR="00D158B8" w:rsidRPr="00D158B8" w14:paraId="4417CDD6" w14:textId="77777777" w:rsidTr="00ED119C">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62FF5CF4" w14:textId="77777777" w:rsidR="00D158B8" w:rsidRPr="00D158B8" w:rsidRDefault="00D158B8" w:rsidP="00D158B8">
            <w:pPr>
              <w:spacing w:after="0" w:line="240" w:lineRule="auto"/>
              <w:jc w:val="center"/>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2292</w:t>
            </w:r>
          </w:p>
        </w:tc>
        <w:tc>
          <w:tcPr>
            <w:tcW w:w="4160" w:type="dxa"/>
            <w:tcBorders>
              <w:top w:val="nil"/>
              <w:left w:val="nil"/>
              <w:bottom w:val="single" w:sz="4" w:space="0" w:color="auto"/>
              <w:right w:val="nil"/>
            </w:tcBorders>
            <w:shd w:val="clear" w:color="000000" w:fill="FFFFFF"/>
            <w:vAlign w:val="bottom"/>
            <w:hideMark/>
          </w:tcPr>
          <w:p w14:paraId="799DD6DA" w14:textId="77777777" w:rsidR="00D158B8" w:rsidRPr="00D158B8" w:rsidRDefault="00D158B8" w:rsidP="00D158B8">
            <w:pPr>
              <w:spacing w:after="0" w:line="240" w:lineRule="auto"/>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Dopravní obslužnost veřejnými službami - linková</w:t>
            </w:r>
          </w:p>
        </w:tc>
        <w:tc>
          <w:tcPr>
            <w:tcW w:w="1300" w:type="dxa"/>
            <w:tcBorders>
              <w:top w:val="nil"/>
              <w:left w:val="single" w:sz="4" w:space="0" w:color="auto"/>
              <w:bottom w:val="single" w:sz="4" w:space="0" w:color="auto"/>
              <w:right w:val="single" w:sz="4" w:space="0" w:color="auto"/>
            </w:tcBorders>
            <w:shd w:val="clear" w:color="000000" w:fill="FFFFFF"/>
            <w:noWrap/>
            <w:vAlign w:val="bottom"/>
            <w:hideMark/>
          </w:tcPr>
          <w:p w14:paraId="374874B6"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1 000</w:t>
            </w:r>
          </w:p>
        </w:tc>
        <w:tc>
          <w:tcPr>
            <w:tcW w:w="1584" w:type="dxa"/>
            <w:tcBorders>
              <w:top w:val="nil"/>
              <w:left w:val="nil"/>
              <w:bottom w:val="single" w:sz="4" w:space="0" w:color="auto"/>
              <w:right w:val="single" w:sz="4" w:space="0" w:color="auto"/>
            </w:tcBorders>
            <w:shd w:val="clear" w:color="000000" w:fill="FFFFFF"/>
            <w:noWrap/>
            <w:vAlign w:val="bottom"/>
            <w:hideMark/>
          </w:tcPr>
          <w:p w14:paraId="71B24C58"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1 000,00</w:t>
            </w:r>
          </w:p>
        </w:tc>
        <w:tc>
          <w:tcPr>
            <w:tcW w:w="1400" w:type="dxa"/>
            <w:tcBorders>
              <w:top w:val="nil"/>
              <w:left w:val="nil"/>
              <w:bottom w:val="single" w:sz="4" w:space="0" w:color="auto"/>
              <w:right w:val="single" w:sz="4" w:space="0" w:color="auto"/>
            </w:tcBorders>
            <w:shd w:val="clear" w:color="000000" w:fill="FFFFFF"/>
            <w:noWrap/>
            <w:vAlign w:val="bottom"/>
            <w:hideMark/>
          </w:tcPr>
          <w:p w14:paraId="6027D131"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0,00</w:t>
            </w:r>
          </w:p>
        </w:tc>
        <w:tc>
          <w:tcPr>
            <w:tcW w:w="647" w:type="dxa"/>
            <w:tcBorders>
              <w:top w:val="nil"/>
              <w:left w:val="nil"/>
              <w:bottom w:val="single" w:sz="4" w:space="0" w:color="auto"/>
              <w:right w:val="single" w:sz="8" w:space="0" w:color="auto"/>
            </w:tcBorders>
            <w:shd w:val="clear" w:color="000000" w:fill="FFFFFF"/>
            <w:noWrap/>
            <w:vAlign w:val="bottom"/>
            <w:hideMark/>
          </w:tcPr>
          <w:p w14:paraId="72911D23"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0,0</w:t>
            </w:r>
          </w:p>
        </w:tc>
      </w:tr>
      <w:tr w:rsidR="00D158B8" w:rsidRPr="00D158B8" w14:paraId="7F14F5EA" w14:textId="77777777" w:rsidTr="00ED119C">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604069F9" w14:textId="77777777" w:rsidR="00D158B8" w:rsidRPr="00D158B8" w:rsidRDefault="00D158B8" w:rsidP="00D158B8">
            <w:pPr>
              <w:spacing w:after="0" w:line="240" w:lineRule="auto"/>
              <w:jc w:val="center"/>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2299</w:t>
            </w:r>
          </w:p>
        </w:tc>
        <w:tc>
          <w:tcPr>
            <w:tcW w:w="4160" w:type="dxa"/>
            <w:tcBorders>
              <w:top w:val="nil"/>
              <w:left w:val="nil"/>
              <w:bottom w:val="single" w:sz="4" w:space="0" w:color="auto"/>
              <w:right w:val="nil"/>
            </w:tcBorders>
            <w:shd w:val="clear" w:color="000000" w:fill="FFFFFF"/>
            <w:vAlign w:val="bottom"/>
            <w:hideMark/>
          </w:tcPr>
          <w:p w14:paraId="222E707E" w14:textId="77777777" w:rsidR="00D158B8" w:rsidRPr="00D158B8" w:rsidRDefault="00D158B8" w:rsidP="00D158B8">
            <w:pPr>
              <w:spacing w:after="0" w:line="240" w:lineRule="auto"/>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Ostatní záležitosti v dopravě</w:t>
            </w:r>
          </w:p>
        </w:tc>
        <w:tc>
          <w:tcPr>
            <w:tcW w:w="1300" w:type="dxa"/>
            <w:tcBorders>
              <w:top w:val="nil"/>
              <w:left w:val="single" w:sz="4" w:space="0" w:color="auto"/>
              <w:bottom w:val="single" w:sz="4" w:space="0" w:color="auto"/>
              <w:right w:val="single" w:sz="4" w:space="0" w:color="auto"/>
            </w:tcBorders>
            <w:shd w:val="clear" w:color="000000" w:fill="FFFFFF"/>
            <w:noWrap/>
            <w:vAlign w:val="bottom"/>
            <w:hideMark/>
          </w:tcPr>
          <w:p w14:paraId="6A9E4EFD"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3 000</w:t>
            </w:r>
          </w:p>
        </w:tc>
        <w:tc>
          <w:tcPr>
            <w:tcW w:w="1584" w:type="dxa"/>
            <w:tcBorders>
              <w:top w:val="nil"/>
              <w:left w:val="nil"/>
              <w:bottom w:val="single" w:sz="4" w:space="0" w:color="auto"/>
              <w:right w:val="single" w:sz="4" w:space="0" w:color="auto"/>
            </w:tcBorders>
            <w:shd w:val="clear" w:color="000000" w:fill="FFFFFF"/>
            <w:noWrap/>
            <w:vAlign w:val="bottom"/>
            <w:hideMark/>
          </w:tcPr>
          <w:p w14:paraId="5649291C"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3 000,00</w:t>
            </w:r>
          </w:p>
        </w:tc>
        <w:tc>
          <w:tcPr>
            <w:tcW w:w="1400" w:type="dxa"/>
            <w:tcBorders>
              <w:top w:val="nil"/>
              <w:left w:val="nil"/>
              <w:bottom w:val="single" w:sz="4" w:space="0" w:color="auto"/>
              <w:right w:val="single" w:sz="4" w:space="0" w:color="auto"/>
            </w:tcBorders>
            <w:shd w:val="clear" w:color="000000" w:fill="FFFFFF"/>
            <w:noWrap/>
            <w:vAlign w:val="bottom"/>
            <w:hideMark/>
          </w:tcPr>
          <w:p w14:paraId="4FBAF1E9"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0,00</w:t>
            </w:r>
          </w:p>
        </w:tc>
        <w:tc>
          <w:tcPr>
            <w:tcW w:w="647" w:type="dxa"/>
            <w:tcBorders>
              <w:top w:val="nil"/>
              <w:left w:val="nil"/>
              <w:bottom w:val="single" w:sz="4" w:space="0" w:color="auto"/>
              <w:right w:val="single" w:sz="8" w:space="0" w:color="auto"/>
            </w:tcBorders>
            <w:shd w:val="clear" w:color="000000" w:fill="FFFFFF"/>
            <w:noWrap/>
            <w:vAlign w:val="bottom"/>
            <w:hideMark/>
          </w:tcPr>
          <w:p w14:paraId="51DF5036"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0,0</w:t>
            </w:r>
          </w:p>
        </w:tc>
      </w:tr>
      <w:tr w:rsidR="00D158B8" w:rsidRPr="00D158B8" w14:paraId="0074CABE" w14:textId="77777777" w:rsidTr="00ED119C">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622B0B17" w14:textId="77777777" w:rsidR="00D158B8" w:rsidRPr="00D158B8" w:rsidRDefault="00D158B8" w:rsidP="00D158B8">
            <w:pPr>
              <w:spacing w:after="0" w:line="240" w:lineRule="auto"/>
              <w:jc w:val="center"/>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2310</w:t>
            </w:r>
          </w:p>
        </w:tc>
        <w:tc>
          <w:tcPr>
            <w:tcW w:w="4160" w:type="dxa"/>
            <w:tcBorders>
              <w:top w:val="nil"/>
              <w:left w:val="nil"/>
              <w:bottom w:val="single" w:sz="4" w:space="0" w:color="auto"/>
              <w:right w:val="nil"/>
            </w:tcBorders>
            <w:shd w:val="clear" w:color="000000" w:fill="FFFFFF"/>
            <w:vAlign w:val="bottom"/>
            <w:hideMark/>
          </w:tcPr>
          <w:p w14:paraId="28555F94" w14:textId="77777777" w:rsidR="00D158B8" w:rsidRPr="00D158B8" w:rsidRDefault="00D158B8" w:rsidP="00D158B8">
            <w:pPr>
              <w:spacing w:after="0" w:line="240" w:lineRule="auto"/>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Pitná voda</w:t>
            </w:r>
          </w:p>
        </w:tc>
        <w:tc>
          <w:tcPr>
            <w:tcW w:w="1300" w:type="dxa"/>
            <w:tcBorders>
              <w:top w:val="nil"/>
              <w:left w:val="single" w:sz="4" w:space="0" w:color="auto"/>
              <w:bottom w:val="single" w:sz="4" w:space="0" w:color="auto"/>
              <w:right w:val="single" w:sz="4" w:space="0" w:color="auto"/>
            </w:tcBorders>
            <w:shd w:val="clear" w:color="000000" w:fill="FFFFFF"/>
            <w:noWrap/>
            <w:vAlign w:val="bottom"/>
            <w:hideMark/>
          </w:tcPr>
          <w:p w14:paraId="6E406BA8"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22 000</w:t>
            </w:r>
          </w:p>
        </w:tc>
        <w:tc>
          <w:tcPr>
            <w:tcW w:w="1584" w:type="dxa"/>
            <w:tcBorders>
              <w:top w:val="nil"/>
              <w:left w:val="nil"/>
              <w:bottom w:val="single" w:sz="4" w:space="0" w:color="auto"/>
              <w:right w:val="single" w:sz="4" w:space="0" w:color="auto"/>
            </w:tcBorders>
            <w:shd w:val="clear" w:color="000000" w:fill="FFFFFF"/>
            <w:noWrap/>
            <w:vAlign w:val="bottom"/>
            <w:hideMark/>
          </w:tcPr>
          <w:p w14:paraId="386F0365"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22 000,00</w:t>
            </w:r>
          </w:p>
        </w:tc>
        <w:tc>
          <w:tcPr>
            <w:tcW w:w="1400" w:type="dxa"/>
            <w:tcBorders>
              <w:top w:val="nil"/>
              <w:left w:val="nil"/>
              <w:bottom w:val="single" w:sz="4" w:space="0" w:color="auto"/>
              <w:right w:val="single" w:sz="4" w:space="0" w:color="auto"/>
            </w:tcBorders>
            <w:shd w:val="clear" w:color="000000" w:fill="FFFFFF"/>
            <w:noWrap/>
            <w:vAlign w:val="bottom"/>
            <w:hideMark/>
          </w:tcPr>
          <w:p w14:paraId="15E1FACF"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0,00</w:t>
            </w:r>
          </w:p>
        </w:tc>
        <w:tc>
          <w:tcPr>
            <w:tcW w:w="647" w:type="dxa"/>
            <w:tcBorders>
              <w:top w:val="nil"/>
              <w:left w:val="nil"/>
              <w:bottom w:val="single" w:sz="4" w:space="0" w:color="auto"/>
              <w:right w:val="single" w:sz="8" w:space="0" w:color="auto"/>
            </w:tcBorders>
            <w:shd w:val="clear" w:color="000000" w:fill="FFFFFF"/>
            <w:noWrap/>
            <w:vAlign w:val="bottom"/>
            <w:hideMark/>
          </w:tcPr>
          <w:p w14:paraId="195F84C2"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0,0</w:t>
            </w:r>
          </w:p>
        </w:tc>
      </w:tr>
      <w:tr w:rsidR="00D158B8" w:rsidRPr="00D158B8" w14:paraId="5C68043C" w14:textId="77777777" w:rsidTr="00ED119C">
        <w:trPr>
          <w:trHeight w:val="48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1B927A59" w14:textId="77777777" w:rsidR="00D158B8" w:rsidRPr="00D158B8" w:rsidRDefault="00D158B8" w:rsidP="00D158B8">
            <w:pPr>
              <w:spacing w:after="0" w:line="240" w:lineRule="auto"/>
              <w:jc w:val="center"/>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3114</w:t>
            </w:r>
          </w:p>
        </w:tc>
        <w:tc>
          <w:tcPr>
            <w:tcW w:w="4160" w:type="dxa"/>
            <w:tcBorders>
              <w:top w:val="nil"/>
              <w:left w:val="nil"/>
              <w:bottom w:val="single" w:sz="4" w:space="0" w:color="auto"/>
              <w:right w:val="nil"/>
            </w:tcBorders>
            <w:shd w:val="clear" w:color="000000" w:fill="FFFFFF"/>
            <w:vAlign w:val="bottom"/>
            <w:hideMark/>
          </w:tcPr>
          <w:p w14:paraId="5D6C58F6" w14:textId="77777777" w:rsidR="00D158B8" w:rsidRPr="00D158B8" w:rsidRDefault="00D158B8" w:rsidP="00D158B8">
            <w:pPr>
              <w:spacing w:after="0" w:line="240" w:lineRule="auto"/>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Základní školy pro žáky se speciálními vzdělávacími potřebami</w:t>
            </w:r>
          </w:p>
        </w:tc>
        <w:tc>
          <w:tcPr>
            <w:tcW w:w="1300" w:type="dxa"/>
            <w:tcBorders>
              <w:top w:val="nil"/>
              <w:left w:val="single" w:sz="4" w:space="0" w:color="auto"/>
              <w:bottom w:val="single" w:sz="4" w:space="0" w:color="auto"/>
              <w:right w:val="single" w:sz="4" w:space="0" w:color="auto"/>
            </w:tcBorders>
            <w:shd w:val="clear" w:color="000000" w:fill="FFFFFF"/>
            <w:noWrap/>
            <w:vAlign w:val="bottom"/>
            <w:hideMark/>
          </w:tcPr>
          <w:p w14:paraId="209DB64A"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3 000</w:t>
            </w:r>
          </w:p>
        </w:tc>
        <w:tc>
          <w:tcPr>
            <w:tcW w:w="1584" w:type="dxa"/>
            <w:tcBorders>
              <w:top w:val="nil"/>
              <w:left w:val="nil"/>
              <w:bottom w:val="single" w:sz="4" w:space="0" w:color="auto"/>
              <w:right w:val="single" w:sz="4" w:space="0" w:color="auto"/>
            </w:tcBorders>
            <w:shd w:val="clear" w:color="000000" w:fill="FFFFFF"/>
            <w:noWrap/>
            <w:vAlign w:val="bottom"/>
            <w:hideMark/>
          </w:tcPr>
          <w:p w14:paraId="5D66F9AA"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3 000,00</w:t>
            </w:r>
          </w:p>
        </w:tc>
        <w:tc>
          <w:tcPr>
            <w:tcW w:w="1400" w:type="dxa"/>
            <w:tcBorders>
              <w:top w:val="nil"/>
              <w:left w:val="nil"/>
              <w:bottom w:val="single" w:sz="4" w:space="0" w:color="auto"/>
              <w:right w:val="single" w:sz="4" w:space="0" w:color="auto"/>
            </w:tcBorders>
            <w:shd w:val="clear" w:color="000000" w:fill="FFFFFF"/>
            <w:noWrap/>
            <w:vAlign w:val="bottom"/>
            <w:hideMark/>
          </w:tcPr>
          <w:p w14:paraId="5284E538"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0,00</w:t>
            </w:r>
          </w:p>
        </w:tc>
        <w:tc>
          <w:tcPr>
            <w:tcW w:w="647" w:type="dxa"/>
            <w:tcBorders>
              <w:top w:val="nil"/>
              <w:left w:val="nil"/>
              <w:bottom w:val="single" w:sz="4" w:space="0" w:color="auto"/>
              <w:right w:val="single" w:sz="8" w:space="0" w:color="auto"/>
            </w:tcBorders>
            <w:shd w:val="clear" w:color="000000" w:fill="FFFFFF"/>
            <w:noWrap/>
            <w:vAlign w:val="bottom"/>
            <w:hideMark/>
          </w:tcPr>
          <w:p w14:paraId="4F5A75DA"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0,0</w:t>
            </w:r>
          </w:p>
        </w:tc>
      </w:tr>
      <w:tr w:rsidR="00D158B8" w:rsidRPr="00D158B8" w14:paraId="62A3A6E1" w14:textId="77777777" w:rsidTr="00ED119C">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1D775C0C" w14:textId="77777777" w:rsidR="00D158B8" w:rsidRPr="00D158B8" w:rsidRDefault="00D158B8" w:rsidP="00D158B8">
            <w:pPr>
              <w:spacing w:after="0" w:line="240" w:lineRule="auto"/>
              <w:jc w:val="center"/>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3121</w:t>
            </w:r>
          </w:p>
        </w:tc>
        <w:tc>
          <w:tcPr>
            <w:tcW w:w="4160" w:type="dxa"/>
            <w:tcBorders>
              <w:top w:val="nil"/>
              <w:left w:val="nil"/>
              <w:bottom w:val="single" w:sz="4" w:space="0" w:color="auto"/>
              <w:right w:val="nil"/>
            </w:tcBorders>
            <w:shd w:val="clear" w:color="000000" w:fill="FFFFFF"/>
            <w:vAlign w:val="bottom"/>
            <w:hideMark/>
          </w:tcPr>
          <w:p w14:paraId="07130191" w14:textId="77777777" w:rsidR="00D158B8" w:rsidRPr="00D158B8" w:rsidRDefault="00D158B8" w:rsidP="00D158B8">
            <w:pPr>
              <w:spacing w:after="0" w:line="240" w:lineRule="auto"/>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Gymnázia</w:t>
            </w:r>
          </w:p>
        </w:tc>
        <w:tc>
          <w:tcPr>
            <w:tcW w:w="1300" w:type="dxa"/>
            <w:tcBorders>
              <w:top w:val="nil"/>
              <w:left w:val="single" w:sz="4" w:space="0" w:color="auto"/>
              <w:bottom w:val="single" w:sz="4" w:space="0" w:color="auto"/>
              <w:right w:val="single" w:sz="4" w:space="0" w:color="auto"/>
            </w:tcBorders>
            <w:shd w:val="clear" w:color="000000" w:fill="FFFFFF"/>
            <w:noWrap/>
            <w:vAlign w:val="bottom"/>
            <w:hideMark/>
          </w:tcPr>
          <w:p w14:paraId="7F2FDCE8"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305 000</w:t>
            </w:r>
          </w:p>
        </w:tc>
        <w:tc>
          <w:tcPr>
            <w:tcW w:w="1584" w:type="dxa"/>
            <w:tcBorders>
              <w:top w:val="nil"/>
              <w:left w:val="nil"/>
              <w:bottom w:val="single" w:sz="4" w:space="0" w:color="auto"/>
              <w:right w:val="single" w:sz="4" w:space="0" w:color="auto"/>
            </w:tcBorders>
            <w:shd w:val="clear" w:color="000000" w:fill="FFFFFF"/>
            <w:noWrap/>
            <w:vAlign w:val="bottom"/>
            <w:hideMark/>
          </w:tcPr>
          <w:p w14:paraId="6A3AAA30"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191 068,25</w:t>
            </w:r>
          </w:p>
        </w:tc>
        <w:tc>
          <w:tcPr>
            <w:tcW w:w="1400" w:type="dxa"/>
            <w:tcBorders>
              <w:top w:val="nil"/>
              <w:left w:val="nil"/>
              <w:bottom w:val="single" w:sz="4" w:space="0" w:color="auto"/>
              <w:right w:val="single" w:sz="4" w:space="0" w:color="auto"/>
            </w:tcBorders>
            <w:shd w:val="clear" w:color="000000" w:fill="FFFFFF"/>
            <w:noWrap/>
            <w:vAlign w:val="bottom"/>
            <w:hideMark/>
          </w:tcPr>
          <w:p w14:paraId="679FE1A8"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86 575,32</w:t>
            </w:r>
          </w:p>
        </w:tc>
        <w:tc>
          <w:tcPr>
            <w:tcW w:w="647" w:type="dxa"/>
            <w:tcBorders>
              <w:top w:val="nil"/>
              <w:left w:val="nil"/>
              <w:bottom w:val="single" w:sz="4" w:space="0" w:color="auto"/>
              <w:right w:val="single" w:sz="8" w:space="0" w:color="auto"/>
            </w:tcBorders>
            <w:shd w:val="clear" w:color="000000" w:fill="FFFFFF"/>
            <w:noWrap/>
            <w:vAlign w:val="bottom"/>
            <w:hideMark/>
          </w:tcPr>
          <w:p w14:paraId="7BA0CB49"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45,3</w:t>
            </w:r>
          </w:p>
        </w:tc>
      </w:tr>
      <w:tr w:rsidR="00D158B8" w:rsidRPr="00D158B8" w14:paraId="53F2B9CF" w14:textId="77777777" w:rsidTr="00ED119C">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3B45ED37" w14:textId="77777777" w:rsidR="00D158B8" w:rsidRPr="00D158B8" w:rsidRDefault="00D158B8" w:rsidP="00D158B8">
            <w:pPr>
              <w:spacing w:after="0" w:line="240" w:lineRule="auto"/>
              <w:jc w:val="center"/>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3122</w:t>
            </w:r>
          </w:p>
        </w:tc>
        <w:tc>
          <w:tcPr>
            <w:tcW w:w="4160" w:type="dxa"/>
            <w:tcBorders>
              <w:top w:val="nil"/>
              <w:left w:val="nil"/>
              <w:bottom w:val="single" w:sz="4" w:space="0" w:color="auto"/>
              <w:right w:val="nil"/>
            </w:tcBorders>
            <w:shd w:val="clear" w:color="000000" w:fill="FFFFFF"/>
            <w:vAlign w:val="bottom"/>
            <w:hideMark/>
          </w:tcPr>
          <w:p w14:paraId="04AA2AE7" w14:textId="77777777" w:rsidR="00D158B8" w:rsidRPr="00D158B8" w:rsidRDefault="00D158B8" w:rsidP="00D158B8">
            <w:pPr>
              <w:spacing w:after="0" w:line="240" w:lineRule="auto"/>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Střední odborné školy</w:t>
            </w:r>
          </w:p>
        </w:tc>
        <w:tc>
          <w:tcPr>
            <w:tcW w:w="1300" w:type="dxa"/>
            <w:tcBorders>
              <w:top w:val="nil"/>
              <w:left w:val="single" w:sz="4" w:space="0" w:color="auto"/>
              <w:bottom w:val="single" w:sz="4" w:space="0" w:color="auto"/>
              <w:right w:val="single" w:sz="4" w:space="0" w:color="auto"/>
            </w:tcBorders>
            <w:shd w:val="clear" w:color="000000" w:fill="FFFFFF"/>
            <w:noWrap/>
            <w:vAlign w:val="bottom"/>
            <w:hideMark/>
          </w:tcPr>
          <w:p w14:paraId="0F3CA42E"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408 000</w:t>
            </w:r>
          </w:p>
        </w:tc>
        <w:tc>
          <w:tcPr>
            <w:tcW w:w="1584" w:type="dxa"/>
            <w:tcBorders>
              <w:top w:val="nil"/>
              <w:left w:val="nil"/>
              <w:bottom w:val="single" w:sz="4" w:space="0" w:color="auto"/>
              <w:right w:val="single" w:sz="4" w:space="0" w:color="auto"/>
            </w:tcBorders>
            <w:shd w:val="clear" w:color="000000" w:fill="FFFFFF"/>
            <w:noWrap/>
            <w:vAlign w:val="bottom"/>
            <w:hideMark/>
          </w:tcPr>
          <w:p w14:paraId="24733E65"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166 447,59</w:t>
            </w:r>
          </w:p>
        </w:tc>
        <w:tc>
          <w:tcPr>
            <w:tcW w:w="1400" w:type="dxa"/>
            <w:tcBorders>
              <w:top w:val="nil"/>
              <w:left w:val="nil"/>
              <w:bottom w:val="single" w:sz="4" w:space="0" w:color="auto"/>
              <w:right w:val="single" w:sz="4" w:space="0" w:color="auto"/>
            </w:tcBorders>
            <w:shd w:val="clear" w:color="000000" w:fill="FFFFFF"/>
            <w:noWrap/>
            <w:vAlign w:val="bottom"/>
            <w:hideMark/>
          </w:tcPr>
          <w:p w14:paraId="742D7FAE"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28 406,99</w:t>
            </w:r>
          </w:p>
        </w:tc>
        <w:tc>
          <w:tcPr>
            <w:tcW w:w="647" w:type="dxa"/>
            <w:tcBorders>
              <w:top w:val="nil"/>
              <w:left w:val="nil"/>
              <w:bottom w:val="single" w:sz="4" w:space="0" w:color="auto"/>
              <w:right w:val="single" w:sz="8" w:space="0" w:color="auto"/>
            </w:tcBorders>
            <w:shd w:val="clear" w:color="000000" w:fill="FFFFFF"/>
            <w:noWrap/>
            <w:vAlign w:val="bottom"/>
            <w:hideMark/>
          </w:tcPr>
          <w:p w14:paraId="108831FF"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17,1</w:t>
            </w:r>
          </w:p>
        </w:tc>
      </w:tr>
      <w:tr w:rsidR="00D158B8" w:rsidRPr="00D158B8" w14:paraId="650F7704" w14:textId="77777777" w:rsidTr="00ED119C">
        <w:trPr>
          <w:trHeight w:val="525"/>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21CF208E" w14:textId="77777777" w:rsidR="00D158B8" w:rsidRPr="00D158B8" w:rsidRDefault="00D158B8" w:rsidP="00D158B8">
            <w:pPr>
              <w:spacing w:after="0" w:line="240" w:lineRule="auto"/>
              <w:jc w:val="center"/>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3123</w:t>
            </w:r>
          </w:p>
        </w:tc>
        <w:tc>
          <w:tcPr>
            <w:tcW w:w="4160" w:type="dxa"/>
            <w:tcBorders>
              <w:top w:val="nil"/>
              <w:left w:val="nil"/>
              <w:bottom w:val="single" w:sz="4" w:space="0" w:color="auto"/>
              <w:right w:val="nil"/>
            </w:tcBorders>
            <w:shd w:val="clear" w:color="000000" w:fill="FFFFFF"/>
            <w:vAlign w:val="bottom"/>
            <w:hideMark/>
          </w:tcPr>
          <w:p w14:paraId="22209FB6" w14:textId="77777777" w:rsidR="00D158B8" w:rsidRPr="00D158B8" w:rsidRDefault="00D158B8" w:rsidP="00D158B8">
            <w:pPr>
              <w:spacing w:after="0" w:line="240" w:lineRule="auto"/>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Střední školy poskytující střední vzdělání s výučním listem</w:t>
            </w:r>
          </w:p>
        </w:tc>
        <w:tc>
          <w:tcPr>
            <w:tcW w:w="1300" w:type="dxa"/>
            <w:tcBorders>
              <w:top w:val="nil"/>
              <w:left w:val="single" w:sz="4" w:space="0" w:color="auto"/>
              <w:bottom w:val="single" w:sz="4" w:space="0" w:color="auto"/>
              <w:right w:val="single" w:sz="4" w:space="0" w:color="auto"/>
            </w:tcBorders>
            <w:shd w:val="clear" w:color="000000" w:fill="FFFFFF"/>
            <w:noWrap/>
            <w:vAlign w:val="bottom"/>
            <w:hideMark/>
          </w:tcPr>
          <w:p w14:paraId="589BBE77"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408 000</w:t>
            </w:r>
          </w:p>
        </w:tc>
        <w:tc>
          <w:tcPr>
            <w:tcW w:w="1584" w:type="dxa"/>
            <w:tcBorders>
              <w:top w:val="nil"/>
              <w:left w:val="nil"/>
              <w:bottom w:val="single" w:sz="4" w:space="0" w:color="auto"/>
              <w:right w:val="single" w:sz="4" w:space="0" w:color="auto"/>
            </w:tcBorders>
            <w:shd w:val="clear" w:color="000000" w:fill="FFFFFF"/>
            <w:noWrap/>
            <w:vAlign w:val="bottom"/>
            <w:hideMark/>
          </w:tcPr>
          <w:p w14:paraId="69E6C1A8"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141 044,44</w:t>
            </w:r>
          </w:p>
        </w:tc>
        <w:tc>
          <w:tcPr>
            <w:tcW w:w="1400" w:type="dxa"/>
            <w:tcBorders>
              <w:top w:val="nil"/>
              <w:left w:val="nil"/>
              <w:bottom w:val="single" w:sz="4" w:space="0" w:color="auto"/>
              <w:right w:val="single" w:sz="4" w:space="0" w:color="auto"/>
            </w:tcBorders>
            <w:shd w:val="clear" w:color="000000" w:fill="FFFFFF"/>
            <w:noWrap/>
            <w:vAlign w:val="bottom"/>
            <w:hideMark/>
          </w:tcPr>
          <w:p w14:paraId="54A02F7C"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1 210,00</w:t>
            </w:r>
          </w:p>
        </w:tc>
        <w:tc>
          <w:tcPr>
            <w:tcW w:w="647" w:type="dxa"/>
            <w:tcBorders>
              <w:top w:val="nil"/>
              <w:left w:val="nil"/>
              <w:bottom w:val="single" w:sz="4" w:space="0" w:color="auto"/>
              <w:right w:val="single" w:sz="8" w:space="0" w:color="auto"/>
            </w:tcBorders>
            <w:shd w:val="clear" w:color="000000" w:fill="FFFFFF"/>
            <w:noWrap/>
            <w:vAlign w:val="bottom"/>
            <w:hideMark/>
          </w:tcPr>
          <w:p w14:paraId="204A7FA4"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0,9</w:t>
            </w:r>
          </w:p>
        </w:tc>
      </w:tr>
      <w:tr w:rsidR="00D158B8" w:rsidRPr="00D158B8" w14:paraId="67D25E74" w14:textId="77777777" w:rsidTr="00ED119C">
        <w:trPr>
          <w:trHeight w:val="33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1D55B663" w14:textId="77777777" w:rsidR="00D158B8" w:rsidRPr="00D158B8" w:rsidRDefault="00D158B8" w:rsidP="00D158B8">
            <w:pPr>
              <w:spacing w:after="0" w:line="240" w:lineRule="auto"/>
              <w:jc w:val="center"/>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3125</w:t>
            </w:r>
          </w:p>
        </w:tc>
        <w:tc>
          <w:tcPr>
            <w:tcW w:w="4160" w:type="dxa"/>
            <w:tcBorders>
              <w:top w:val="nil"/>
              <w:left w:val="nil"/>
              <w:bottom w:val="single" w:sz="4" w:space="0" w:color="auto"/>
              <w:right w:val="nil"/>
            </w:tcBorders>
            <w:shd w:val="clear" w:color="000000" w:fill="FFFFFF"/>
            <w:vAlign w:val="bottom"/>
            <w:hideMark/>
          </w:tcPr>
          <w:p w14:paraId="7C42B6F3" w14:textId="77777777" w:rsidR="00D158B8" w:rsidRPr="00D158B8" w:rsidRDefault="00D158B8" w:rsidP="00D158B8">
            <w:pPr>
              <w:spacing w:after="0" w:line="240" w:lineRule="auto"/>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Střediska praktického vyučování a školní hospodářství</w:t>
            </w:r>
          </w:p>
        </w:tc>
        <w:tc>
          <w:tcPr>
            <w:tcW w:w="1300" w:type="dxa"/>
            <w:tcBorders>
              <w:top w:val="nil"/>
              <w:left w:val="single" w:sz="4" w:space="0" w:color="auto"/>
              <w:bottom w:val="single" w:sz="4" w:space="0" w:color="auto"/>
              <w:right w:val="single" w:sz="4" w:space="0" w:color="auto"/>
            </w:tcBorders>
            <w:shd w:val="clear" w:color="000000" w:fill="FFFFFF"/>
            <w:noWrap/>
            <w:vAlign w:val="bottom"/>
            <w:hideMark/>
          </w:tcPr>
          <w:p w14:paraId="267170F4"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22 000</w:t>
            </w:r>
          </w:p>
        </w:tc>
        <w:tc>
          <w:tcPr>
            <w:tcW w:w="1584" w:type="dxa"/>
            <w:tcBorders>
              <w:top w:val="nil"/>
              <w:left w:val="nil"/>
              <w:bottom w:val="single" w:sz="4" w:space="0" w:color="auto"/>
              <w:right w:val="single" w:sz="4" w:space="0" w:color="auto"/>
            </w:tcBorders>
            <w:shd w:val="clear" w:color="000000" w:fill="FFFFFF"/>
            <w:noWrap/>
            <w:vAlign w:val="bottom"/>
            <w:hideMark/>
          </w:tcPr>
          <w:p w14:paraId="69071109"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22 000,00</w:t>
            </w:r>
          </w:p>
        </w:tc>
        <w:tc>
          <w:tcPr>
            <w:tcW w:w="1400" w:type="dxa"/>
            <w:tcBorders>
              <w:top w:val="nil"/>
              <w:left w:val="nil"/>
              <w:bottom w:val="single" w:sz="4" w:space="0" w:color="auto"/>
              <w:right w:val="single" w:sz="4" w:space="0" w:color="auto"/>
            </w:tcBorders>
            <w:shd w:val="clear" w:color="000000" w:fill="FFFFFF"/>
            <w:noWrap/>
            <w:vAlign w:val="bottom"/>
            <w:hideMark/>
          </w:tcPr>
          <w:p w14:paraId="4F2582A6"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0,00</w:t>
            </w:r>
          </w:p>
        </w:tc>
        <w:tc>
          <w:tcPr>
            <w:tcW w:w="647" w:type="dxa"/>
            <w:tcBorders>
              <w:top w:val="nil"/>
              <w:left w:val="nil"/>
              <w:bottom w:val="single" w:sz="4" w:space="0" w:color="auto"/>
              <w:right w:val="single" w:sz="8" w:space="0" w:color="auto"/>
            </w:tcBorders>
            <w:shd w:val="clear" w:color="000000" w:fill="FFFFFF"/>
            <w:noWrap/>
            <w:vAlign w:val="bottom"/>
            <w:hideMark/>
          </w:tcPr>
          <w:p w14:paraId="6D120839"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0,0</w:t>
            </w:r>
          </w:p>
        </w:tc>
      </w:tr>
      <w:tr w:rsidR="00D158B8" w:rsidRPr="00D158B8" w14:paraId="7F9B99D1" w14:textId="77777777" w:rsidTr="00ED119C">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0C7E69C7" w14:textId="77777777" w:rsidR="00D158B8" w:rsidRPr="00D158B8" w:rsidRDefault="00D158B8" w:rsidP="00D158B8">
            <w:pPr>
              <w:spacing w:after="0" w:line="240" w:lineRule="auto"/>
              <w:jc w:val="center"/>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3133</w:t>
            </w:r>
          </w:p>
        </w:tc>
        <w:tc>
          <w:tcPr>
            <w:tcW w:w="4160" w:type="dxa"/>
            <w:tcBorders>
              <w:top w:val="nil"/>
              <w:left w:val="nil"/>
              <w:bottom w:val="single" w:sz="4" w:space="0" w:color="auto"/>
              <w:right w:val="nil"/>
            </w:tcBorders>
            <w:shd w:val="clear" w:color="000000" w:fill="FFFFFF"/>
            <w:vAlign w:val="bottom"/>
            <w:hideMark/>
          </w:tcPr>
          <w:p w14:paraId="68AC9E67" w14:textId="77777777" w:rsidR="00D158B8" w:rsidRPr="00D158B8" w:rsidRDefault="00D158B8" w:rsidP="00D158B8">
            <w:pPr>
              <w:spacing w:after="0" w:line="240" w:lineRule="auto"/>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Dětské domovy</w:t>
            </w:r>
          </w:p>
        </w:tc>
        <w:tc>
          <w:tcPr>
            <w:tcW w:w="1300" w:type="dxa"/>
            <w:tcBorders>
              <w:top w:val="nil"/>
              <w:left w:val="single" w:sz="4" w:space="0" w:color="auto"/>
              <w:bottom w:val="single" w:sz="4" w:space="0" w:color="auto"/>
              <w:right w:val="single" w:sz="4" w:space="0" w:color="auto"/>
            </w:tcBorders>
            <w:shd w:val="clear" w:color="000000" w:fill="FFFFFF"/>
            <w:noWrap/>
            <w:vAlign w:val="bottom"/>
            <w:hideMark/>
          </w:tcPr>
          <w:p w14:paraId="4145CE94"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22 000</w:t>
            </w:r>
          </w:p>
        </w:tc>
        <w:tc>
          <w:tcPr>
            <w:tcW w:w="1584" w:type="dxa"/>
            <w:tcBorders>
              <w:top w:val="nil"/>
              <w:left w:val="nil"/>
              <w:bottom w:val="single" w:sz="4" w:space="0" w:color="auto"/>
              <w:right w:val="single" w:sz="4" w:space="0" w:color="auto"/>
            </w:tcBorders>
            <w:shd w:val="clear" w:color="000000" w:fill="FFFFFF"/>
            <w:noWrap/>
            <w:vAlign w:val="bottom"/>
            <w:hideMark/>
          </w:tcPr>
          <w:p w14:paraId="2E12D297"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22 000,00</w:t>
            </w:r>
          </w:p>
        </w:tc>
        <w:tc>
          <w:tcPr>
            <w:tcW w:w="1400" w:type="dxa"/>
            <w:tcBorders>
              <w:top w:val="nil"/>
              <w:left w:val="nil"/>
              <w:bottom w:val="single" w:sz="4" w:space="0" w:color="auto"/>
              <w:right w:val="single" w:sz="4" w:space="0" w:color="auto"/>
            </w:tcBorders>
            <w:shd w:val="clear" w:color="000000" w:fill="FFFFFF"/>
            <w:noWrap/>
            <w:vAlign w:val="bottom"/>
            <w:hideMark/>
          </w:tcPr>
          <w:p w14:paraId="2325C7FE"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0,00</w:t>
            </w:r>
          </w:p>
        </w:tc>
        <w:tc>
          <w:tcPr>
            <w:tcW w:w="647" w:type="dxa"/>
            <w:tcBorders>
              <w:top w:val="nil"/>
              <w:left w:val="nil"/>
              <w:bottom w:val="single" w:sz="4" w:space="0" w:color="auto"/>
              <w:right w:val="single" w:sz="8" w:space="0" w:color="auto"/>
            </w:tcBorders>
            <w:shd w:val="clear" w:color="000000" w:fill="FFFFFF"/>
            <w:noWrap/>
            <w:vAlign w:val="bottom"/>
            <w:hideMark/>
          </w:tcPr>
          <w:p w14:paraId="7B762CA4"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0,0</w:t>
            </w:r>
          </w:p>
        </w:tc>
      </w:tr>
      <w:tr w:rsidR="00D158B8" w:rsidRPr="00D158B8" w14:paraId="4CC6F74F" w14:textId="77777777" w:rsidTr="00ED119C">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0F68EC14" w14:textId="77777777" w:rsidR="00D158B8" w:rsidRPr="00D158B8" w:rsidRDefault="00D158B8" w:rsidP="00D158B8">
            <w:pPr>
              <w:spacing w:after="0" w:line="240" w:lineRule="auto"/>
              <w:jc w:val="center"/>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3231</w:t>
            </w:r>
          </w:p>
        </w:tc>
        <w:tc>
          <w:tcPr>
            <w:tcW w:w="4160" w:type="dxa"/>
            <w:tcBorders>
              <w:top w:val="nil"/>
              <w:left w:val="nil"/>
              <w:bottom w:val="single" w:sz="4" w:space="0" w:color="auto"/>
              <w:right w:val="nil"/>
            </w:tcBorders>
            <w:shd w:val="clear" w:color="000000" w:fill="FFFFFF"/>
            <w:vAlign w:val="bottom"/>
            <w:hideMark/>
          </w:tcPr>
          <w:p w14:paraId="47356633" w14:textId="77777777" w:rsidR="00D158B8" w:rsidRPr="00D158B8" w:rsidRDefault="00D158B8" w:rsidP="00D158B8">
            <w:pPr>
              <w:spacing w:after="0" w:line="240" w:lineRule="auto"/>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Základní umělecké školy</w:t>
            </w:r>
          </w:p>
        </w:tc>
        <w:tc>
          <w:tcPr>
            <w:tcW w:w="1300" w:type="dxa"/>
            <w:tcBorders>
              <w:top w:val="nil"/>
              <w:left w:val="single" w:sz="4" w:space="0" w:color="auto"/>
              <w:bottom w:val="single" w:sz="4" w:space="0" w:color="auto"/>
              <w:right w:val="single" w:sz="4" w:space="0" w:color="auto"/>
            </w:tcBorders>
            <w:shd w:val="clear" w:color="000000" w:fill="FFFFFF"/>
            <w:noWrap/>
            <w:vAlign w:val="bottom"/>
            <w:hideMark/>
          </w:tcPr>
          <w:p w14:paraId="669E8F70"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2 000</w:t>
            </w:r>
          </w:p>
        </w:tc>
        <w:tc>
          <w:tcPr>
            <w:tcW w:w="1584" w:type="dxa"/>
            <w:tcBorders>
              <w:top w:val="nil"/>
              <w:left w:val="nil"/>
              <w:bottom w:val="single" w:sz="4" w:space="0" w:color="auto"/>
              <w:right w:val="single" w:sz="4" w:space="0" w:color="auto"/>
            </w:tcBorders>
            <w:shd w:val="clear" w:color="000000" w:fill="FFFFFF"/>
            <w:noWrap/>
            <w:vAlign w:val="bottom"/>
            <w:hideMark/>
          </w:tcPr>
          <w:p w14:paraId="6BF19E84"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1 697,50</w:t>
            </w:r>
          </w:p>
        </w:tc>
        <w:tc>
          <w:tcPr>
            <w:tcW w:w="1400" w:type="dxa"/>
            <w:tcBorders>
              <w:top w:val="nil"/>
              <w:left w:val="nil"/>
              <w:bottom w:val="single" w:sz="4" w:space="0" w:color="auto"/>
              <w:right w:val="single" w:sz="4" w:space="0" w:color="auto"/>
            </w:tcBorders>
            <w:shd w:val="clear" w:color="000000" w:fill="FFFFFF"/>
            <w:noWrap/>
            <w:vAlign w:val="bottom"/>
            <w:hideMark/>
          </w:tcPr>
          <w:p w14:paraId="2F5B1E32"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0,00</w:t>
            </w:r>
          </w:p>
        </w:tc>
        <w:tc>
          <w:tcPr>
            <w:tcW w:w="647" w:type="dxa"/>
            <w:tcBorders>
              <w:top w:val="nil"/>
              <w:left w:val="nil"/>
              <w:bottom w:val="single" w:sz="4" w:space="0" w:color="auto"/>
              <w:right w:val="single" w:sz="8" w:space="0" w:color="auto"/>
            </w:tcBorders>
            <w:shd w:val="clear" w:color="000000" w:fill="FFFFFF"/>
            <w:noWrap/>
            <w:vAlign w:val="bottom"/>
            <w:hideMark/>
          </w:tcPr>
          <w:p w14:paraId="55A241E6"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0,0</w:t>
            </w:r>
          </w:p>
        </w:tc>
      </w:tr>
      <w:tr w:rsidR="00D158B8" w:rsidRPr="00D158B8" w14:paraId="510EC0D6" w14:textId="77777777" w:rsidTr="00ED119C">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080A7AFA" w14:textId="77777777" w:rsidR="00D158B8" w:rsidRPr="00D158B8" w:rsidRDefault="00D158B8" w:rsidP="00D158B8">
            <w:pPr>
              <w:spacing w:after="0" w:line="240" w:lineRule="auto"/>
              <w:jc w:val="center"/>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3269</w:t>
            </w:r>
          </w:p>
        </w:tc>
        <w:tc>
          <w:tcPr>
            <w:tcW w:w="4160" w:type="dxa"/>
            <w:tcBorders>
              <w:top w:val="nil"/>
              <w:left w:val="nil"/>
              <w:bottom w:val="single" w:sz="4" w:space="0" w:color="auto"/>
              <w:right w:val="nil"/>
            </w:tcBorders>
            <w:shd w:val="clear" w:color="000000" w:fill="FFFFFF"/>
            <w:vAlign w:val="bottom"/>
            <w:hideMark/>
          </w:tcPr>
          <w:p w14:paraId="151C842B" w14:textId="77777777" w:rsidR="00D158B8" w:rsidRPr="00D158B8" w:rsidRDefault="00D158B8" w:rsidP="00D158B8">
            <w:pPr>
              <w:spacing w:after="0" w:line="240" w:lineRule="auto"/>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Ostatní správa ve vzdělávání jinde nezařazená</w:t>
            </w:r>
          </w:p>
        </w:tc>
        <w:tc>
          <w:tcPr>
            <w:tcW w:w="1300" w:type="dxa"/>
            <w:tcBorders>
              <w:top w:val="nil"/>
              <w:left w:val="single" w:sz="4" w:space="0" w:color="auto"/>
              <w:bottom w:val="single" w:sz="4" w:space="0" w:color="auto"/>
              <w:right w:val="single" w:sz="4" w:space="0" w:color="auto"/>
            </w:tcBorders>
            <w:shd w:val="clear" w:color="000000" w:fill="FFFFFF"/>
            <w:noWrap/>
            <w:vAlign w:val="bottom"/>
            <w:hideMark/>
          </w:tcPr>
          <w:p w14:paraId="020713B5"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23 000</w:t>
            </w:r>
          </w:p>
        </w:tc>
        <w:tc>
          <w:tcPr>
            <w:tcW w:w="1584" w:type="dxa"/>
            <w:tcBorders>
              <w:top w:val="nil"/>
              <w:left w:val="nil"/>
              <w:bottom w:val="single" w:sz="4" w:space="0" w:color="auto"/>
              <w:right w:val="single" w:sz="4" w:space="0" w:color="auto"/>
            </w:tcBorders>
            <w:shd w:val="clear" w:color="000000" w:fill="FFFFFF"/>
            <w:noWrap/>
            <w:vAlign w:val="bottom"/>
            <w:hideMark/>
          </w:tcPr>
          <w:p w14:paraId="648BAF10"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63 000,00</w:t>
            </w:r>
          </w:p>
        </w:tc>
        <w:tc>
          <w:tcPr>
            <w:tcW w:w="1400" w:type="dxa"/>
            <w:tcBorders>
              <w:top w:val="nil"/>
              <w:left w:val="nil"/>
              <w:bottom w:val="single" w:sz="4" w:space="0" w:color="auto"/>
              <w:right w:val="single" w:sz="4" w:space="0" w:color="auto"/>
            </w:tcBorders>
            <w:shd w:val="clear" w:color="000000" w:fill="FFFFFF"/>
            <w:noWrap/>
            <w:vAlign w:val="bottom"/>
            <w:hideMark/>
          </w:tcPr>
          <w:p w14:paraId="5DC7EE60"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44 095,71</w:t>
            </w:r>
          </w:p>
        </w:tc>
        <w:tc>
          <w:tcPr>
            <w:tcW w:w="647" w:type="dxa"/>
            <w:tcBorders>
              <w:top w:val="nil"/>
              <w:left w:val="nil"/>
              <w:bottom w:val="single" w:sz="4" w:space="0" w:color="auto"/>
              <w:right w:val="single" w:sz="8" w:space="0" w:color="auto"/>
            </w:tcBorders>
            <w:shd w:val="clear" w:color="000000" w:fill="FFFFFF"/>
            <w:noWrap/>
            <w:vAlign w:val="bottom"/>
            <w:hideMark/>
          </w:tcPr>
          <w:p w14:paraId="5A10C97E"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70,0</w:t>
            </w:r>
          </w:p>
        </w:tc>
      </w:tr>
      <w:tr w:rsidR="00D158B8" w:rsidRPr="00D158B8" w14:paraId="659783FF" w14:textId="77777777" w:rsidTr="00ED119C">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3E08B852" w14:textId="77777777" w:rsidR="00D158B8" w:rsidRPr="00D158B8" w:rsidRDefault="00D158B8" w:rsidP="00D158B8">
            <w:pPr>
              <w:spacing w:after="0" w:line="240" w:lineRule="auto"/>
              <w:jc w:val="center"/>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3314</w:t>
            </w:r>
          </w:p>
        </w:tc>
        <w:tc>
          <w:tcPr>
            <w:tcW w:w="4160" w:type="dxa"/>
            <w:tcBorders>
              <w:top w:val="nil"/>
              <w:left w:val="nil"/>
              <w:bottom w:val="single" w:sz="4" w:space="0" w:color="auto"/>
              <w:right w:val="nil"/>
            </w:tcBorders>
            <w:shd w:val="clear" w:color="000000" w:fill="FFFFFF"/>
            <w:vAlign w:val="bottom"/>
            <w:hideMark/>
          </w:tcPr>
          <w:p w14:paraId="6F93EED0" w14:textId="77777777" w:rsidR="00D158B8" w:rsidRPr="00D158B8" w:rsidRDefault="00D158B8" w:rsidP="00D158B8">
            <w:pPr>
              <w:spacing w:after="0" w:line="240" w:lineRule="auto"/>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Činnosti knihovnické</w:t>
            </w:r>
          </w:p>
        </w:tc>
        <w:tc>
          <w:tcPr>
            <w:tcW w:w="1300" w:type="dxa"/>
            <w:tcBorders>
              <w:top w:val="nil"/>
              <w:left w:val="single" w:sz="4" w:space="0" w:color="auto"/>
              <w:bottom w:val="single" w:sz="4" w:space="0" w:color="auto"/>
              <w:right w:val="single" w:sz="4" w:space="0" w:color="auto"/>
            </w:tcBorders>
            <w:shd w:val="clear" w:color="000000" w:fill="FFFFFF"/>
            <w:noWrap/>
            <w:vAlign w:val="bottom"/>
            <w:hideMark/>
          </w:tcPr>
          <w:p w14:paraId="193D9747"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3 000</w:t>
            </w:r>
          </w:p>
        </w:tc>
        <w:tc>
          <w:tcPr>
            <w:tcW w:w="1584" w:type="dxa"/>
            <w:tcBorders>
              <w:top w:val="nil"/>
              <w:left w:val="nil"/>
              <w:bottom w:val="single" w:sz="4" w:space="0" w:color="auto"/>
              <w:right w:val="single" w:sz="4" w:space="0" w:color="auto"/>
            </w:tcBorders>
            <w:shd w:val="clear" w:color="000000" w:fill="FFFFFF"/>
            <w:noWrap/>
            <w:vAlign w:val="bottom"/>
            <w:hideMark/>
          </w:tcPr>
          <w:p w14:paraId="6AE1400E"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2 697,50</w:t>
            </w:r>
          </w:p>
        </w:tc>
        <w:tc>
          <w:tcPr>
            <w:tcW w:w="1400" w:type="dxa"/>
            <w:tcBorders>
              <w:top w:val="nil"/>
              <w:left w:val="nil"/>
              <w:bottom w:val="single" w:sz="4" w:space="0" w:color="auto"/>
              <w:right w:val="single" w:sz="4" w:space="0" w:color="auto"/>
            </w:tcBorders>
            <w:shd w:val="clear" w:color="000000" w:fill="FFFFFF"/>
            <w:noWrap/>
            <w:vAlign w:val="bottom"/>
            <w:hideMark/>
          </w:tcPr>
          <w:p w14:paraId="5E633AF1"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0,00</w:t>
            </w:r>
          </w:p>
        </w:tc>
        <w:tc>
          <w:tcPr>
            <w:tcW w:w="647" w:type="dxa"/>
            <w:tcBorders>
              <w:top w:val="nil"/>
              <w:left w:val="nil"/>
              <w:bottom w:val="single" w:sz="4" w:space="0" w:color="auto"/>
              <w:right w:val="single" w:sz="8" w:space="0" w:color="auto"/>
            </w:tcBorders>
            <w:shd w:val="clear" w:color="000000" w:fill="FFFFFF"/>
            <w:noWrap/>
            <w:vAlign w:val="bottom"/>
            <w:hideMark/>
          </w:tcPr>
          <w:p w14:paraId="1FD91215"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0,0</w:t>
            </w:r>
          </w:p>
        </w:tc>
      </w:tr>
      <w:tr w:rsidR="00D158B8" w:rsidRPr="00D158B8" w14:paraId="7E86BC5D" w14:textId="77777777" w:rsidTr="00ED119C">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00AFBBB6" w14:textId="77777777" w:rsidR="00D158B8" w:rsidRPr="00D158B8" w:rsidRDefault="00D158B8" w:rsidP="00D158B8">
            <w:pPr>
              <w:spacing w:after="0" w:line="240" w:lineRule="auto"/>
              <w:jc w:val="center"/>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3315</w:t>
            </w:r>
          </w:p>
        </w:tc>
        <w:tc>
          <w:tcPr>
            <w:tcW w:w="4160" w:type="dxa"/>
            <w:tcBorders>
              <w:top w:val="nil"/>
              <w:left w:val="nil"/>
              <w:bottom w:val="single" w:sz="4" w:space="0" w:color="auto"/>
              <w:right w:val="nil"/>
            </w:tcBorders>
            <w:shd w:val="clear" w:color="000000" w:fill="FFFFFF"/>
            <w:vAlign w:val="bottom"/>
            <w:hideMark/>
          </w:tcPr>
          <w:p w14:paraId="70C0E212" w14:textId="77777777" w:rsidR="00D158B8" w:rsidRPr="00D158B8" w:rsidRDefault="00D158B8" w:rsidP="00D158B8">
            <w:pPr>
              <w:spacing w:after="0" w:line="240" w:lineRule="auto"/>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Činnosti muzeí a galerií</w:t>
            </w:r>
          </w:p>
        </w:tc>
        <w:tc>
          <w:tcPr>
            <w:tcW w:w="1300" w:type="dxa"/>
            <w:tcBorders>
              <w:top w:val="nil"/>
              <w:left w:val="single" w:sz="4" w:space="0" w:color="auto"/>
              <w:bottom w:val="single" w:sz="4" w:space="0" w:color="auto"/>
              <w:right w:val="single" w:sz="4" w:space="0" w:color="auto"/>
            </w:tcBorders>
            <w:shd w:val="clear" w:color="000000" w:fill="FFFFFF"/>
            <w:noWrap/>
            <w:vAlign w:val="bottom"/>
            <w:hideMark/>
          </w:tcPr>
          <w:p w14:paraId="32ADCC25"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105 000</w:t>
            </w:r>
          </w:p>
        </w:tc>
        <w:tc>
          <w:tcPr>
            <w:tcW w:w="1584" w:type="dxa"/>
            <w:tcBorders>
              <w:top w:val="nil"/>
              <w:left w:val="nil"/>
              <w:bottom w:val="single" w:sz="4" w:space="0" w:color="auto"/>
              <w:right w:val="single" w:sz="4" w:space="0" w:color="auto"/>
            </w:tcBorders>
            <w:shd w:val="clear" w:color="000000" w:fill="FFFFFF"/>
            <w:noWrap/>
            <w:vAlign w:val="bottom"/>
            <w:hideMark/>
          </w:tcPr>
          <w:p w14:paraId="507D7358"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30 920,45</w:t>
            </w:r>
          </w:p>
        </w:tc>
        <w:tc>
          <w:tcPr>
            <w:tcW w:w="1400" w:type="dxa"/>
            <w:tcBorders>
              <w:top w:val="nil"/>
              <w:left w:val="nil"/>
              <w:bottom w:val="single" w:sz="4" w:space="0" w:color="auto"/>
              <w:right w:val="single" w:sz="4" w:space="0" w:color="auto"/>
            </w:tcBorders>
            <w:shd w:val="clear" w:color="000000" w:fill="FFFFFF"/>
            <w:noWrap/>
            <w:vAlign w:val="bottom"/>
            <w:hideMark/>
          </w:tcPr>
          <w:p w14:paraId="77BED0E1"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0,00</w:t>
            </w:r>
          </w:p>
        </w:tc>
        <w:tc>
          <w:tcPr>
            <w:tcW w:w="647" w:type="dxa"/>
            <w:tcBorders>
              <w:top w:val="nil"/>
              <w:left w:val="nil"/>
              <w:bottom w:val="single" w:sz="4" w:space="0" w:color="auto"/>
              <w:right w:val="single" w:sz="8" w:space="0" w:color="auto"/>
            </w:tcBorders>
            <w:shd w:val="clear" w:color="000000" w:fill="FFFFFF"/>
            <w:noWrap/>
            <w:vAlign w:val="bottom"/>
            <w:hideMark/>
          </w:tcPr>
          <w:p w14:paraId="6E6046BD"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0,0</w:t>
            </w:r>
          </w:p>
        </w:tc>
      </w:tr>
      <w:tr w:rsidR="00D158B8" w:rsidRPr="00D158B8" w14:paraId="4FD0AE35" w14:textId="77777777" w:rsidTr="00ED119C">
        <w:trPr>
          <w:trHeight w:val="30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11F537CB" w14:textId="77777777" w:rsidR="00D158B8" w:rsidRPr="00D158B8" w:rsidRDefault="00D158B8" w:rsidP="00D158B8">
            <w:pPr>
              <w:spacing w:after="0" w:line="240" w:lineRule="auto"/>
              <w:jc w:val="center"/>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3529</w:t>
            </w:r>
          </w:p>
        </w:tc>
        <w:tc>
          <w:tcPr>
            <w:tcW w:w="4160" w:type="dxa"/>
            <w:tcBorders>
              <w:top w:val="nil"/>
              <w:left w:val="nil"/>
              <w:bottom w:val="single" w:sz="4" w:space="0" w:color="auto"/>
              <w:right w:val="nil"/>
            </w:tcBorders>
            <w:shd w:val="clear" w:color="000000" w:fill="FFFFFF"/>
            <w:vAlign w:val="bottom"/>
            <w:hideMark/>
          </w:tcPr>
          <w:p w14:paraId="076A31E7" w14:textId="77777777" w:rsidR="00D158B8" w:rsidRPr="00D158B8" w:rsidRDefault="00D158B8" w:rsidP="00D158B8">
            <w:pPr>
              <w:spacing w:after="0" w:line="240" w:lineRule="auto"/>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Ostatní ústavní péče</w:t>
            </w:r>
          </w:p>
        </w:tc>
        <w:tc>
          <w:tcPr>
            <w:tcW w:w="1300" w:type="dxa"/>
            <w:tcBorders>
              <w:top w:val="nil"/>
              <w:left w:val="single" w:sz="4" w:space="0" w:color="auto"/>
              <w:bottom w:val="single" w:sz="4" w:space="0" w:color="auto"/>
              <w:right w:val="single" w:sz="4" w:space="0" w:color="auto"/>
            </w:tcBorders>
            <w:shd w:val="clear" w:color="000000" w:fill="FFFFFF"/>
            <w:noWrap/>
            <w:vAlign w:val="bottom"/>
            <w:hideMark/>
          </w:tcPr>
          <w:p w14:paraId="10092584"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13 000</w:t>
            </w:r>
          </w:p>
        </w:tc>
        <w:tc>
          <w:tcPr>
            <w:tcW w:w="1584" w:type="dxa"/>
            <w:tcBorders>
              <w:top w:val="nil"/>
              <w:left w:val="nil"/>
              <w:bottom w:val="single" w:sz="4" w:space="0" w:color="auto"/>
              <w:right w:val="single" w:sz="4" w:space="0" w:color="auto"/>
            </w:tcBorders>
            <w:shd w:val="clear" w:color="000000" w:fill="FFFFFF"/>
            <w:noWrap/>
            <w:vAlign w:val="bottom"/>
            <w:hideMark/>
          </w:tcPr>
          <w:p w14:paraId="49F0EE14"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13 000,00</w:t>
            </w:r>
          </w:p>
        </w:tc>
        <w:tc>
          <w:tcPr>
            <w:tcW w:w="1400" w:type="dxa"/>
            <w:tcBorders>
              <w:top w:val="nil"/>
              <w:left w:val="nil"/>
              <w:bottom w:val="single" w:sz="4" w:space="0" w:color="auto"/>
              <w:right w:val="single" w:sz="4" w:space="0" w:color="auto"/>
            </w:tcBorders>
            <w:shd w:val="clear" w:color="000000" w:fill="FFFFFF"/>
            <w:noWrap/>
            <w:vAlign w:val="bottom"/>
            <w:hideMark/>
          </w:tcPr>
          <w:p w14:paraId="3AEA46CA"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0,00</w:t>
            </w:r>
          </w:p>
        </w:tc>
        <w:tc>
          <w:tcPr>
            <w:tcW w:w="647" w:type="dxa"/>
            <w:tcBorders>
              <w:top w:val="nil"/>
              <w:left w:val="nil"/>
              <w:bottom w:val="single" w:sz="4" w:space="0" w:color="auto"/>
              <w:right w:val="single" w:sz="8" w:space="0" w:color="auto"/>
            </w:tcBorders>
            <w:shd w:val="clear" w:color="000000" w:fill="FFFFFF"/>
            <w:noWrap/>
            <w:vAlign w:val="bottom"/>
            <w:hideMark/>
          </w:tcPr>
          <w:p w14:paraId="48AA7ED6"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0,0</w:t>
            </w:r>
          </w:p>
        </w:tc>
      </w:tr>
      <w:tr w:rsidR="00D158B8" w:rsidRPr="00D158B8" w14:paraId="429A5417" w14:textId="77777777" w:rsidTr="00ED119C">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13B818A0" w14:textId="77777777" w:rsidR="00D158B8" w:rsidRPr="00D158B8" w:rsidRDefault="00D158B8" w:rsidP="00D158B8">
            <w:pPr>
              <w:spacing w:after="0" w:line="240" w:lineRule="auto"/>
              <w:jc w:val="center"/>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3533</w:t>
            </w:r>
          </w:p>
        </w:tc>
        <w:tc>
          <w:tcPr>
            <w:tcW w:w="4160" w:type="dxa"/>
            <w:tcBorders>
              <w:top w:val="nil"/>
              <w:left w:val="nil"/>
              <w:bottom w:val="single" w:sz="4" w:space="0" w:color="auto"/>
              <w:right w:val="nil"/>
            </w:tcBorders>
            <w:shd w:val="clear" w:color="000000" w:fill="FFFFFF"/>
            <w:vAlign w:val="bottom"/>
            <w:hideMark/>
          </w:tcPr>
          <w:p w14:paraId="18955EC9" w14:textId="77777777" w:rsidR="00D158B8" w:rsidRPr="00D158B8" w:rsidRDefault="00D158B8" w:rsidP="00D158B8">
            <w:pPr>
              <w:spacing w:after="0" w:line="240" w:lineRule="auto"/>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Zdravotnická záchranná služba</w:t>
            </w:r>
          </w:p>
        </w:tc>
        <w:tc>
          <w:tcPr>
            <w:tcW w:w="1300" w:type="dxa"/>
            <w:tcBorders>
              <w:top w:val="nil"/>
              <w:left w:val="single" w:sz="4" w:space="0" w:color="auto"/>
              <w:bottom w:val="single" w:sz="4" w:space="0" w:color="auto"/>
              <w:right w:val="single" w:sz="4" w:space="0" w:color="auto"/>
            </w:tcBorders>
            <w:shd w:val="clear" w:color="000000" w:fill="FFFFFF"/>
            <w:noWrap/>
            <w:vAlign w:val="bottom"/>
            <w:hideMark/>
          </w:tcPr>
          <w:p w14:paraId="35620263"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53 000</w:t>
            </w:r>
          </w:p>
        </w:tc>
        <w:tc>
          <w:tcPr>
            <w:tcW w:w="1584" w:type="dxa"/>
            <w:tcBorders>
              <w:top w:val="nil"/>
              <w:left w:val="nil"/>
              <w:bottom w:val="single" w:sz="4" w:space="0" w:color="auto"/>
              <w:right w:val="single" w:sz="4" w:space="0" w:color="auto"/>
            </w:tcBorders>
            <w:shd w:val="clear" w:color="000000" w:fill="FFFFFF"/>
            <w:noWrap/>
            <w:vAlign w:val="bottom"/>
            <w:hideMark/>
          </w:tcPr>
          <w:p w14:paraId="0C0260BE"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51 377,39</w:t>
            </w:r>
          </w:p>
        </w:tc>
        <w:tc>
          <w:tcPr>
            <w:tcW w:w="1400" w:type="dxa"/>
            <w:tcBorders>
              <w:top w:val="nil"/>
              <w:left w:val="nil"/>
              <w:bottom w:val="single" w:sz="4" w:space="0" w:color="auto"/>
              <w:right w:val="single" w:sz="4" w:space="0" w:color="auto"/>
            </w:tcBorders>
            <w:shd w:val="clear" w:color="000000" w:fill="FFFFFF"/>
            <w:noWrap/>
            <w:vAlign w:val="bottom"/>
            <w:hideMark/>
          </w:tcPr>
          <w:p w14:paraId="52460528"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605,00</w:t>
            </w:r>
          </w:p>
        </w:tc>
        <w:tc>
          <w:tcPr>
            <w:tcW w:w="647" w:type="dxa"/>
            <w:tcBorders>
              <w:top w:val="nil"/>
              <w:left w:val="nil"/>
              <w:bottom w:val="single" w:sz="4" w:space="0" w:color="auto"/>
              <w:right w:val="single" w:sz="8" w:space="0" w:color="auto"/>
            </w:tcBorders>
            <w:shd w:val="clear" w:color="000000" w:fill="FFFFFF"/>
            <w:noWrap/>
            <w:vAlign w:val="bottom"/>
            <w:hideMark/>
          </w:tcPr>
          <w:p w14:paraId="6340A8D8"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1,2</w:t>
            </w:r>
          </w:p>
        </w:tc>
      </w:tr>
      <w:tr w:rsidR="00D158B8" w:rsidRPr="00D158B8" w14:paraId="211FE854" w14:textId="77777777" w:rsidTr="00ED119C">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3598C63B" w14:textId="77777777" w:rsidR="00D158B8" w:rsidRPr="00D158B8" w:rsidRDefault="00D158B8" w:rsidP="00D158B8">
            <w:pPr>
              <w:spacing w:after="0" w:line="240" w:lineRule="auto"/>
              <w:jc w:val="center"/>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3599</w:t>
            </w:r>
          </w:p>
        </w:tc>
        <w:tc>
          <w:tcPr>
            <w:tcW w:w="4160" w:type="dxa"/>
            <w:tcBorders>
              <w:top w:val="nil"/>
              <w:left w:val="nil"/>
              <w:bottom w:val="single" w:sz="4" w:space="0" w:color="auto"/>
              <w:right w:val="nil"/>
            </w:tcBorders>
            <w:shd w:val="clear" w:color="000000" w:fill="FFFFFF"/>
            <w:vAlign w:val="bottom"/>
            <w:hideMark/>
          </w:tcPr>
          <w:p w14:paraId="40F99109" w14:textId="77777777" w:rsidR="00D158B8" w:rsidRPr="00D158B8" w:rsidRDefault="00D158B8" w:rsidP="00D158B8">
            <w:pPr>
              <w:spacing w:after="0" w:line="240" w:lineRule="auto"/>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Ostatní činnost ve zdravotnictví</w:t>
            </w:r>
          </w:p>
        </w:tc>
        <w:tc>
          <w:tcPr>
            <w:tcW w:w="1300" w:type="dxa"/>
            <w:tcBorders>
              <w:top w:val="nil"/>
              <w:left w:val="single" w:sz="4" w:space="0" w:color="auto"/>
              <w:bottom w:val="single" w:sz="4" w:space="0" w:color="auto"/>
              <w:right w:val="single" w:sz="4" w:space="0" w:color="auto"/>
            </w:tcBorders>
            <w:shd w:val="clear" w:color="000000" w:fill="FFFFFF"/>
            <w:noWrap/>
            <w:vAlign w:val="bottom"/>
            <w:hideMark/>
          </w:tcPr>
          <w:p w14:paraId="413DEAAC"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0</w:t>
            </w:r>
          </w:p>
        </w:tc>
        <w:tc>
          <w:tcPr>
            <w:tcW w:w="1584" w:type="dxa"/>
            <w:tcBorders>
              <w:top w:val="nil"/>
              <w:left w:val="nil"/>
              <w:bottom w:val="single" w:sz="4" w:space="0" w:color="auto"/>
              <w:right w:val="single" w:sz="4" w:space="0" w:color="auto"/>
            </w:tcBorders>
            <w:shd w:val="clear" w:color="000000" w:fill="FFFFFF"/>
            <w:noWrap/>
            <w:vAlign w:val="bottom"/>
            <w:hideMark/>
          </w:tcPr>
          <w:p w14:paraId="7F60B19B"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2 000,00</w:t>
            </w:r>
          </w:p>
        </w:tc>
        <w:tc>
          <w:tcPr>
            <w:tcW w:w="1400" w:type="dxa"/>
            <w:tcBorders>
              <w:top w:val="nil"/>
              <w:left w:val="nil"/>
              <w:bottom w:val="single" w:sz="4" w:space="0" w:color="auto"/>
              <w:right w:val="single" w:sz="4" w:space="0" w:color="auto"/>
            </w:tcBorders>
            <w:shd w:val="clear" w:color="000000" w:fill="FFFFFF"/>
            <w:noWrap/>
            <w:vAlign w:val="bottom"/>
            <w:hideMark/>
          </w:tcPr>
          <w:p w14:paraId="3B8A8171"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302,50</w:t>
            </w:r>
          </w:p>
        </w:tc>
        <w:tc>
          <w:tcPr>
            <w:tcW w:w="647" w:type="dxa"/>
            <w:tcBorders>
              <w:top w:val="nil"/>
              <w:left w:val="nil"/>
              <w:bottom w:val="single" w:sz="4" w:space="0" w:color="auto"/>
              <w:right w:val="single" w:sz="8" w:space="0" w:color="auto"/>
            </w:tcBorders>
            <w:shd w:val="clear" w:color="000000" w:fill="FFFFFF"/>
            <w:noWrap/>
            <w:vAlign w:val="bottom"/>
            <w:hideMark/>
          </w:tcPr>
          <w:p w14:paraId="4B94A8E3"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15,1</w:t>
            </w:r>
          </w:p>
        </w:tc>
      </w:tr>
      <w:tr w:rsidR="00D158B8" w:rsidRPr="00D158B8" w14:paraId="794A40AC" w14:textId="77777777" w:rsidTr="00ED119C">
        <w:trPr>
          <w:trHeight w:val="255"/>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6020AC84" w14:textId="77777777" w:rsidR="00D158B8" w:rsidRPr="00D158B8" w:rsidRDefault="00D158B8" w:rsidP="00D158B8">
            <w:pPr>
              <w:spacing w:after="0" w:line="240" w:lineRule="auto"/>
              <w:jc w:val="center"/>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3742</w:t>
            </w:r>
          </w:p>
        </w:tc>
        <w:tc>
          <w:tcPr>
            <w:tcW w:w="4160" w:type="dxa"/>
            <w:tcBorders>
              <w:top w:val="nil"/>
              <w:left w:val="nil"/>
              <w:bottom w:val="single" w:sz="4" w:space="0" w:color="auto"/>
              <w:right w:val="nil"/>
            </w:tcBorders>
            <w:shd w:val="clear" w:color="000000" w:fill="FFFFFF"/>
            <w:vAlign w:val="bottom"/>
            <w:hideMark/>
          </w:tcPr>
          <w:p w14:paraId="6087212A" w14:textId="77777777" w:rsidR="00D158B8" w:rsidRPr="00D158B8" w:rsidRDefault="00D158B8" w:rsidP="00D158B8">
            <w:pPr>
              <w:spacing w:after="0" w:line="240" w:lineRule="auto"/>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Chráněné části přírody</w:t>
            </w:r>
          </w:p>
        </w:tc>
        <w:tc>
          <w:tcPr>
            <w:tcW w:w="1300" w:type="dxa"/>
            <w:tcBorders>
              <w:top w:val="nil"/>
              <w:left w:val="single" w:sz="4" w:space="0" w:color="auto"/>
              <w:bottom w:val="single" w:sz="4" w:space="0" w:color="auto"/>
              <w:right w:val="single" w:sz="4" w:space="0" w:color="auto"/>
            </w:tcBorders>
            <w:shd w:val="clear" w:color="000000" w:fill="FFFFFF"/>
            <w:noWrap/>
            <w:vAlign w:val="bottom"/>
            <w:hideMark/>
          </w:tcPr>
          <w:p w14:paraId="3B102099"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2 000</w:t>
            </w:r>
          </w:p>
        </w:tc>
        <w:tc>
          <w:tcPr>
            <w:tcW w:w="1584" w:type="dxa"/>
            <w:tcBorders>
              <w:top w:val="nil"/>
              <w:left w:val="nil"/>
              <w:bottom w:val="single" w:sz="4" w:space="0" w:color="auto"/>
              <w:right w:val="single" w:sz="4" w:space="0" w:color="auto"/>
            </w:tcBorders>
            <w:shd w:val="clear" w:color="000000" w:fill="FFFFFF"/>
            <w:noWrap/>
            <w:vAlign w:val="bottom"/>
            <w:hideMark/>
          </w:tcPr>
          <w:p w14:paraId="74BF6D56"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2 000,00</w:t>
            </w:r>
          </w:p>
        </w:tc>
        <w:tc>
          <w:tcPr>
            <w:tcW w:w="1400" w:type="dxa"/>
            <w:tcBorders>
              <w:top w:val="nil"/>
              <w:left w:val="nil"/>
              <w:bottom w:val="single" w:sz="4" w:space="0" w:color="auto"/>
              <w:right w:val="single" w:sz="4" w:space="0" w:color="auto"/>
            </w:tcBorders>
            <w:shd w:val="clear" w:color="000000" w:fill="FFFFFF"/>
            <w:noWrap/>
            <w:vAlign w:val="bottom"/>
            <w:hideMark/>
          </w:tcPr>
          <w:p w14:paraId="6ED281B0"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0,00</w:t>
            </w:r>
          </w:p>
        </w:tc>
        <w:tc>
          <w:tcPr>
            <w:tcW w:w="647" w:type="dxa"/>
            <w:tcBorders>
              <w:top w:val="nil"/>
              <w:left w:val="nil"/>
              <w:bottom w:val="single" w:sz="4" w:space="0" w:color="auto"/>
              <w:right w:val="single" w:sz="8" w:space="0" w:color="auto"/>
            </w:tcBorders>
            <w:shd w:val="clear" w:color="000000" w:fill="FFFFFF"/>
            <w:noWrap/>
            <w:vAlign w:val="bottom"/>
            <w:hideMark/>
          </w:tcPr>
          <w:p w14:paraId="1CC62A1C"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0,0</w:t>
            </w:r>
          </w:p>
        </w:tc>
      </w:tr>
      <w:tr w:rsidR="00D158B8" w:rsidRPr="00D158B8" w14:paraId="452920A5" w14:textId="77777777" w:rsidTr="00ED119C">
        <w:trPr>
          <w:trHeight w:val="30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309FF1C8" w14:textId="77777777" w:rsidR="00D158B8" w:rsidRPr="00D158B8" w:rsidRDefault="00D158B8" w:rsidP="00D158B8">
            <w:pPr>
              <w:spacing w:after="0" w:line="240" w:lineRule="auto"/>
              <w:jc w:val="center"/>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4350</w:t>
            </w:r>
          </w:p>
        </w:tc>
        <w:tc>
          <w:tcPr>
            <w:tcW w:w="4160" w:type="dxa"/>
            <w:tcBorders>
              <w:top w:val="nil"/>
              <w:left w:val="nil"/>
              <w:bottom w:val="single" w:sz="4" w:space="0" w:color="auto"/>
              <w:right w:val="nil"/>
            </w:tcBorders>
            <w:shd w:val="clear" w:color="000000" w:fill="FFFFFF"/>
            <w:vAlign w:val="bottom"/>
            <w:hideMark/>
          </w:tcPr>
          <w:p w14:paraId="030B63B2" w14:textId="77777777" w:rsidR="00D158B8" w:rsidRPr="00D158B8" w:rsidRDefault="00D158B8" w:rsidP="00D158B8">
            <w:pPr>
              <w:spacing w:after="0" w:line="240" w:lineRule="auto"/>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Domovy pro seniory</w:t>
            </w:r>
          </w:p>
        </w:tc>
        <w:tc>
          <w:tcPr>
            <w:tcW w:w="1300" w:type="dxa"/>
            <w:tcBorders>
              <w:top w:val="nil"/>
              <w:left w:val="single" w:sz="4" w:space="0" w:color="auto"/>
              <w:bottom w:val="single" w:sz="4" w:space="0" w:color="auto"/>
              <w:right w:val="single" w:sz="4" w:space="0" w:color="auto"/>
            </w:tcBorders>
            <w:shd w:val="clear" w:color="000000" w:fill="FFFFFF"/>
            <w:noWrap/>
            <w:vAlign w:val="bottom"/>
            <w:hideMark/>
          </w:tcPr>
          <w:p w14:paraId="66FC5590"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305 000</w:t>
            </w:r>
          </w:p>
        </w:tc>
        <w:tc>
          <w:tcPr>
            <w:tcW w:w="1584" w:type="dxa"/>
            <w:tcBorders>
              <w:top w:val="nil"/>
              <w:left w:val="nil"/>
              <w:bottom w:val="single" w:sz="4" w:space="0" w:color="auto"/>
              <w:right w:val="single" w:sz="4" w:space="0" w:color="auto"/>
            </w:tcBorders>
            <w:shd w:val="clear" w:color="000000" w:fill="FFFFFF"/>
            <w:noWrap/>
            <w:vAlign w:val="bottom"/>
            <w:hideMark/>
          </w:tcPr>
          <w:p w14:paraId="796B7477"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135 013,75</w:t>
            </w:r>
          </w:p>
        </w:tc>
        <w:tc>
          <w:tcPr>
            <w:tcW w:w="1400" w:type="dxa"/>
            <w:tcBorders>
              <w:top w:val="nil"/>
              <w:left w:val="nil"/>
              <w:bottom w:val="single" w:sz="4" w:space="0" w:color="auto"/>
              <w:right w:val="single" w:sz="4" w:space="0" w:color="auto"/>
            </w:tcBorders>
            <w:shd w:val="clear" w:color="000000" w:fill="FFFFFF"/>
            <w:noWrap/>
            <w:vAlign w:val="bottom"/>
            <w:hideMark/>
          </w:tcPr>
          <w:p w14:paraId="2A5FF371"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0,00</w:t>
            </w:r>
          </w:p>
        </w:tc>
        <w:tc>
          <w:tcPr>
            <w:tcW w:w="647" w:type="dxa"/>
            <w:tcBorders>
              <w:top w:val="nil"/>
              <w:left w:val="nil"/>
              <w:bottom w:val="single" w:sz="4" w:space="0" w:color="auto"/>
              <w:right w:val="single" w:sz="8" w:space="0" w:color="auto"/>
            </w:tcBorders>
            <w:shd w:val="clear" w:color="000000" w:fill="FFFFFF"/>
            <w:noWrap/>
            <w:vAlign w:val="bottom"/>
            <w:hideMark/>
          </w:tcPr>
          <w:p w14:paraId="3E0AF36B"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0,0</w:t>
            </w:r>
          </w:p>
        </w:tc>
      </w:tr>
      <w:tr w:rsidR="00D158B8" w:rsidRPr="00D158B8" w14:paraId="40C707A4" w14:textId="77777777" w:rsidTr="00ED119C">
        <w:trPr>
          <w:trHeight w:val="510"/>
        </w:trPr>
        <w:tc>
          <w:tcPr>
            <w:tcW w:w="826" w:type="dxa"/>
            <w:tcBorders>
              <w:top w:val="nil"/>
              <w:left w:val="single" w:sz="8" w:space="0" w:color="auto"/>
              <w:bottom w:val="nil"/>
              <w:right w:val="single" w:sz="4" w:space="0" w:color="auto"/>
            </w:tcBorders>
            <w:shd w:val="clear" w:color="auto" w:fill="auto"/>
            <w:noWrap/>
            <w:vAlign w:val="bottom"/>
            <w:hideMark/>
          </w:tcPr>
          <w:p w14:paraId="55D62C70" w14:textId="77777777" w:rsidR="00D158B8" w:rsidRPr="00D158B8" w:rsidRDefault="00D158B8" w:rsidP="00D158B8">
            <w:pPr>
              <w:spacing w:after="0" w:line="240" w:lineRule="auto"/>
              <w:jc w:val="center"/>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4357</w:t>
            </w:r>
          </w:p>
        </w:tc>
        <w:tc>
          <w:tcPr>
            <w:tcW w:w="4160" w:type="dxa"/>
            <w:tcBorders>
              <w:top w:val="nil"/>
              <w:left w:val="nil"/>
              <w:bottom w:val="nil"/>
              <w:right w:val="nil"/>
            </w:tcBorders>
            <w:shd w:val="clear" w:color="000000" w:fill="FFFFFF"/>
            <w:vAlign w:val="bottom"/>
            <w:hideMark/>
          </w:tcPr>
          <w:p w14:paraId="14739E01" w14:textId="77777777" w:rsidR="00D158B8" w:rsidRPr="00D158B8" w:rsidRDefault="00D158B8" w:rsidP="00D158B8">
            <w:pPr>
              <w:spacing w:after="0" w:line="240" w:lineRule="auto"/>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Domovy pro osoby se zdravotním postižením a domovy se zvláštním režimem</w:t>
            </w:r>
          </w:p>
        </w:tc>
        <w:tc>
          <w:tcPr>
            <w:tcW w:w="1300" w:type="dxa"/>
            <w:tcBorders>
              <w:top w:val="nil"/>
              <w:left w:val="single" w:sz="4" w:space="0" w:color="auto"/>
              <w:bottom w:val="single" w:sz="4" w:space="0" w:color="auto"/>
              <w:right w:val="single" w:sz="4" w:space="0" w:color="auto"/>
            </w:tcBorders>
            <w:shd w:val="clear" w:color="000000" w:fill="FFFFFF"/>
            <w:noWrap/>
            <w:vAlign w:val="bottom"/>
            <w:hideMark/>
          </w:tcPr>
          <w:p w14:paraId="3281539F"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3 000</w:t>
            </w:r>
          </w:p>
        </w:tc>
        <w:tc>
          <w:tcPr>
            <w:tcW w:w="1584" w:type="dxa"/>
            <w:tcBorders>
              <w:top w:val="nil"/>
              <w:left w:val="nil"/>
              <w:bottom w:val="single" w:sz="4" w:space="0" w:color="auto"/>
              <w:right w:val="single" w:sz="4" w:space="0" w:color="auto"/>
            </w:tcBorders>
            <w:shd w:val="clear" w:color="000000" w:fill="FFFFFF"/>
            <w:noWrap/>
            <w:vAlign w:val="bottom"/>
            <w:hideMark/>
          </w:tcPr>
          <w:p w14:paraId="2671CAA3"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3 000,00</w:t>
            </w:r>
          </w:p>
        </w:tc>
        <w:tc>
          <w:tcPr>
            <w:tcW w:w="1400" w:type="dxa"/>
            <w:tcBorders>
              <w:top w:val="nil"/>
              <w:left w:val="nil"/>
              <w:bottom w:val="nil"/>
              <w:right w:val="single" w:sz="4" w:space="0" w:color="auto"/>
            </w:tcBorders>
            <w:shd w:val="clear" w:color="000000" w:fill="FFFFFF"/>
            <w:noWrap/>
            <w:vAlign w:val="bottom"/>
            <w:hideMark/>
          </w:tcPr>
          <w:p w14:paraId="76779AD1"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0,00</w:t>
            </w:r>
          </w:p>
        </w:tc>
        <w:tc>
          <w:tcPr>
            <w:tcW w:w="647" w:type="dxa"/>
            <w:tcBorders>
              <w:top w:val="nil"/>
              <w:left w:val="nil"/>
              <w:bottom w:val="single" w:sz="4" w:space="0" w:color="auto"/>
              <w:right w:val="single" w:sz="8" w:space="0" w:color="auto"/>
            </w:tcBorders>
            <w:shd w:val="clear" w:color="000000" w:fill="FFFFFF"/>
            <w:noWrap/>
            <w:vAlign w:val="bottom"/>
            <w:hideMark/>
          </w:tcPr>
          <w:p w14:paraId="657B2854"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0,0</w:t>
            </w:r>
          </w:p>
        </w:tc>
      </w:tr>
      <w:tr w:rsidR="00D158B8" w:rsidRPr="00D158B8" w14:paraId="21E46E30" w14:textId="77777777" w:rsidTr="00ED119C">
        <w:trPr>
          <w:trHeight w:val="510"/>
        </w:trPr>
        <w:tc>
          <w:tcPr>
            <w:tcW w:w="826" w:type="dxa"/>
            <w:tcBorders>
              <w:top w:val="single" w:sz="4" w:space="0" w:color="auto"/>
              <w:left w:val="single" w:sz="8" w:space="0" w:color="auto"/>
              <w:bottom w:val="nil"/>
              <w:right w:val="single" w:sz="4" w:space="0" w:color="auto"/>
            </w:tcBorders>
            <w:shd w:val="clear" w:color="auto" w:fill="auto"/>
            <w:noWrap/>
            <w:vAlign w:val="bottom"/>
            <w:hideMark/>
          </w:tcPr>
          <w:p w14:paraId="2E7CF259" w14:textId="77777777" w:rsidR="00D158B8" w:rsidRPr="00D158B8" w:rsidRDefault="00D158B8" w:rsidP="00D158B8">
            <w:pPr>
              <w:spacing w:after="0" w:line="240" w:lineRule="auto"/>
              <w:jc w:val="center"/>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4399</w:t>
            </w:r>
          </w:p>
        </w:tc>
        <w:tc>
          <w:tcPr>
            <w:tcW w:w="4160" w:type="dxa"/>
            <w:tcBorders>
              <w:top w:val="single" w:sz="4" w:space="0" w:color="auto"/>
              <w:left w:val="nil"/>
              <w:bottom w:val="nil"/>
              <w:right w:val="nil"/>
            </w:tcBorders>
            <w:shd w:val="clear" w:color="000000" w:fill="FFFFFF"/>
            <w:vAlign w:val="center"/>
            <w:hideMark/>
          </w:tcPr>
          <w:p w14:paraId="0A6A1D06" w14:textId="77777777" w:rsidR="00D158B8" w:rsidRPr="00D158B8" w:rsidRDefault="00D158B8" w:rsidP="00D158B8">
            <w:pPr>
              <w:spacing w:after="0" w:line="240" w:lineRule="auto"/>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Ostatní záležitosti sociálních věcí a politiky zaměstnanosti</w:t>
            </w:r>
          </w:p>
        </w:tc>
        <w:tc>
          <w:tcPr>
            <w:tcW w:w="1300" w:type="dxa"/>
            <w:tcBorders>
              <w:top w:val="nil"/>
              <w:left w:val="single" w:sz="4" w:space="0" w:color="auto"/>
              <w:bottom w:val="single" w:sz="4" w:space="0" w:color="auto"/>
              <w:right w:val="single" w:sz="4" w:space="0" w:color="auto"/>
            </w:tcBorders>
            <w:shd w:val="clear" w:color="000000" w:fill="FFFFFF"/>
            <w:noWrap/>
            <w:vAlign w:val="bottom"/>
            <w:hideMark/>
          </w:tcPr>
          <w:p w14:paraId="23E816BE"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3 000</w:t>
            </w:r>
          </w:p>
        </w:tc>
        <w:tc>
          <w:tcPr>
            <w:tcW w:w="1584" w:type="dxa"/>
            <w:tcBorders>
              <w:top w:val="nil"/>
              <w:left w:val="nil"/>
              <w:bottom w:val="single" w:sz="4" w:space="0" w:color="auto"/>
              <w:right w:val="single" w:sz="4" w:space="0" w:color="auto"/>
            </w:tcBorders>
            <w:shd w:val="clear" w:color="000000" w:fill="FFFFFF"/>
            <w:noWrap/>
            <w:vAlign w:val="bottom"/>
            <w:hideMark/>
          </w:tcPr>
          <w:p w14:paraId="19BD4D45"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93 000,00</w:t>
            </w:r>
          </w:p>
        </w:tc>
        <w:tc>
          <w:tcPr>
            <w:tcW w:w="1400" w:type="dxa"/>
            <w:tcBorders>
              <w:top w:val="single" w:sz="4" w:space="0" w:color="auto"/>
              <w:left w:val="nil"/>
              <w:bottom w:val="nil"/>
              <w:right w:val="single" w:sz="4" w:space="0" w:color="auto"/>
            </w:tcBorders>
            <w:shd w:val="clear" w:color="000000" w:fill="FFFFFF"/>
            <w:noWrap/>
            <w:vAlign w:val="bottom"/>
            <w:hideMark/>
          </w:tcPr>
          <w:p w14:paraId="0E4A062B"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48 051,01</w:t>
            </w:r>
          </w:p>
        </w:tc>
        <w:tc>
          <w:tcPr>
            <w:tcW w:w="647" w:type="dxa"/>
            <w:tcBorders>
              <w:top w:val="nil"/>
              <w:left w:val="nil"/>
              <w:bottom w:val="single" w:sz="4" w:space="0" w:color="auto"/>
              <w:right w:val="single" w:sz="8" w:space="0" w:color="auto"/>
            </w:tcBorders>
            <w:shd w:val="clear" w:color="000000" w:fill="FFFFFF"/>
            <w:noWrap/>
            <w:vAlign w:val="bottom"/>
            <w:hideMark/>
          </w:tcPr>
          <w:p w14:paraId="48DB58A4"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51,7</w:t>
            </w:r>
          </w:p>
        </w:tc>
      </w:tr>
      <w:tr w:rsidR="00D158B8" w:rsidRPr="00D158B8" w14:paraId="43A28C30" w14:textId="77777777" w:rsidTr="00ED119C">
        <w:trPr>
          <w:trHeight w:val="510"/>
        </w:trPr>
        <w:tc>
          <w:tcPr>
            <w:tcW w:w="826" w:type="dxa"/>
            <w:tcBorders>
              <w:top w:val="single" w:sz="4" w:space="0" w:color="auto"/>
              <w:left w:val="single" w:sz="8" w:space="0" w:color="auto"/>
              <w:bottom w:val="nil"/>
              <w:right w:val="single" w:sz="4" w:space="0" w:color="auto"/>
            </w:tcBorders>
            <w:shd w:val="clear" w:color="auto" w:fill="auto"/>
            <w:noWrap/>
            <w:vAlign w:val="bottom"/>
            <w:hideMark/>
          </w:tcPr>
          <w:p w14:paraId="5363DC69" w14:textId="77777777" w:rsidR="00D158B8" w:rsidRPr="00D158B8" w:rsidRDefault="00D158B8" w:rsidP="00D158B8">
            <w:pPr>
              <w:spacing w:after="0" w:line="240" w:lineRule="auto"/>
              <w:jc w:val="center"/>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5599</w:t>
            </w:r>
          </w:p>
        </w:tc>
        <w:tc>
          <w:tcPr>
            <w:tcW w:w="4160" w:type="dxa"/>
            <w:tcBorders>
              <w:top w:val="single" w:sz="4" w:space="0" w:color="auto"/>
              <w:left w:val="nil"/>
              <w:bottom w:val="nil"/>
              <w:right w:val="nil"/>
            </w:tcBorders>
            <w:shd w:val="clear" w:color="000000" w:fill="FFFFFF"/>
            <w:vAlign w:val="center"/>
            <w:hideMark/>
          </w:tcPr>
          <w:p w14:paraId="390B9218" w14:textId="77777777" w:rsidR="00D158B8" w:rsidRPr="00D158B8" w:rsidRDefault="00D158B8" w:rsidP="00D158B8">
            <w:pPr>
              <w:spacing w:after="0" w:line="240" w:lineRule="auto"/>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Ostatní záležitosti požární ochrany a integrovaného záchranného systému</w:t>
            </w:r>
          </w:p>
        </w:tc>
        <w:tc>
          <w:tcPr>
            <w:tcW w:w="1300" w:type="dxa"/>
            <w:tcBorders>
              <w:top w:val="nil"/>
              <w:left w:val="single" w:sz="4" w:space="0" w:color="auto"/>
              <w:bottom w:val="single" w:sz="4" w:space="0" w:color="auto"/>
              <w:right w:val="single" w:sz="4" w:space="0" w:color="auto"/>
            </w:tcBorders>
            <w:shd w:val="clear" w:color="000000" w:fill="FFFFFF"/>
            <w:noWrap/>
            <w:vAlign w:val="bottom"/>
            <w:hideMark/>
          </w:tcPr>
          <w:p w14:paraId="0BF0766B"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3 000</w:t>
            </w:r>
          </w:p>
        </w:tc>
        <w:tc>
          <w:tcPr>
            <w:tcW w:w="1584" w:type="dxa"/>
            <w:tcBorders>
              <w:top w:val="nil"/>
              <w:left w:val="nil"/>
              <w:bottom w:val="single" w:sz="4" w:space="0" w:color="auto"/>
              <w:right w:val="single" w:sz="4" w:space="0" w:color="auto"/>
            </w:tcBorders>
            <w:shd w:val="clear" w:color="000000" w:fill="FFFFFF"/>
            <w:noWrap/>
            <w:vAlign w:val="bottom"/>
            <w:hideMark/>
          </w:tcPr>
          <w:p w14:paraId="22FB963A"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3 000,00</w:t>
            </w:r>
          </w:p>
        </w:tc>
        <w:tc>
          <w:tcPr>
            <w:tcW w:w="1400" w:type="dxa"/>
            <w:tcBorders>
              <w:top w:val="single" w:sz="4" w:space="0" w:color="auto"/>
              <w:left w:val="nil"/>
              <w:bottom w:val="nil"/>
              <w:right w:val="single" w:sz="4" w:space="0" w:color="auto"/>
            </w:tcBorders>
            <w:shd w:val="clear" w:color="000000" w:fill="FFFFFF"/>
            <w:noWrap/>
            <w:vAlign w:val="bottom"/>
            <w:hideMark/>
          </w:tcPr>
          <w:p w14:paraId="28BF011E"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0,00</w:t>
            </w:r>
          </w:p>
        </w:tc>
        <w:tc>
          <w:tcPr>
            <w:tcW w:w="647" w:type="dxa"/>
            <w:tcBorders>
              <w:top w:val="nil"/>
              <w:left w:val="nil"/>
              <w:bottom w:val="single" w:sz="4" w:space="0" w:color="auto"/>
              <w:right w:val="single" w:sz="8" w:space="0" w:color="auto"/>
            </w:tcBorders>
            <w:shd w:val="clear" w:color="000000" w:fill="FFFFFF"/>
            <w:noWrap/>
            <w:vAlign w:val="bottom"/>
            <w:hideMark/>
          </w:tcPr>
          <w:p w14:paraId="429AB1C4"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0,0</w:t>
            </w:r>
          </w:p>
        </w:tc>
      </w:tr>
      <w:tr w:rsidR="00D158B8" w:rsidRPr="00D158B8" w14:paraId="67C0957B" w14:textId="77777777" w:rsidTr="00ED119C">
        <w:trPr>
          <w:trHeight w:val="300"/>
        </w:trPr>
        <w:tc>
          <w:tcPr>
            <w:tcW w:w="826" w:type="dxa"/>
            <w:tcBorders>
              <w:top w:val="single" w:sz="4" w:space="0" w:color="auto"/>
              <w:left w:val="single" w:sz="8" w:space="0" w:color="auto"/>
              <w:bottom w:val="nil"/>
              <w:right w:val="single" w:sz="4" w:space="0" w:color="auto"/>
            </w:tcBorders>
            <w:shd w:val="clear" w:color="auto" w:fill="auto"/>
            <w:noWrap/>
            <w:vAlign w:val="center"/>
            <w:hideMark/>
          </w:tcPr>
          <w:p w14:paraId="4DE8DB10" w14:textId="77777777" w:rsidR="00D158B8" w:rsidRPr="00D158B8" w:rsidRDefault="00D158B8" w:rsidP="00D158B8">
            <w:pPr>
              <w:spacing w:after="0" w:line="240" w:lineRule="auto"/>
              <w:jc w:val="center"/>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6172</w:t>
            </w:r>
          </w:p>
        </w:tc>
        <w:tc>
          <w:tcPr>
            <w:tcW w:w="4160" w:type="dxa"/>
            <w:tcBorders>
              <w:top w:val="single" w:sz="4" w:space="0" w:color="auto"/>
              <w:left w:val="nil"/>
              <w:bottom w:val="nil"/>
              <w:right w:val="single" w:sz="4" w:space="0" w:color="auto"/>
            </w:tcBorders>
            <w:shd w:val="clear" w:color="000000" w:fill="FFFFFF"/>
            <w:vAlign w:val="bottom"/>
            <w:hideMark/>
          </w:tcPr>
          <w:p w14:paraId="7928D58B" w14:textId="77777777" w:rsidR="00D158B8" w:rsidRPr="00D158B8" w:rsidRDefault="00D158B8" w:rsidP="00D158B8">
            <w:pPr>
              <w:spacing w:after="0" w:line="240" w:lineRule="auto"/>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Činnost regionální správy</w:t>
            </w:r>
          </w:p>
        </w:tc>
        <w:tc>
          <w:tcPr>
            <w:tcW w:w="1300" w:type="dxa"/>
            <w:tcBorders>
              <w:top w:val="nil"/>
              <w:left w:val="nil"/>
              <w:bottom w:val="single" w:sz="4" w:space="0" w:color="auto"/>
              <w:right w:val="single" w:sz="4" w:space="0" w:color="auto"/>
            </w:tcBorders>
            <w:shd w:val="clear" w:color="000000" w:fill="FFFFFF"/>
            <w:noWrap/>
            <w:vAlign w:val="bottom"/>
            <w:hideMark/>
          </w:tcPr>
          <w:p w14:paraId="2E952271"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2 135 000,00</w:t>
            </w:r>
          </w:p>
        </w:tc>
        <w:tc>
          <w:tcPr>
            <w:tcW w:w="1584" w:type="dxa"/>
            <w:tcBorders>
              <w:top w:val="nil"/>
              <w:left w:val="nil"/>
              <w:bottom w:val="single" w:sz="4" w:space="0" w:color="auto"/>
              <w:right w:val="single" w:sz="4" w:space="0" w:color="auto"/>
            </w:tcBorders>
            <w:shd w:val="clear" w:color="000000" w:fill="FFFFFF"/>
            <w:noWrap/>
            <w:vAlign w:val="bottom"/>
            <w:hideMark/>
          </w:tcPr>
          <w:p w14:paraId="2A572716"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3 173 701,00</w:t>
            </w:r>
          </w:p>
        </w:tc>
        <w:tc>
          <w:tcPr>
            <w:tcW w:w="1400" w:type="dxa"/>
            <w:tcBorders>
              <w:top w:val="single" w:sz="4" w:space="0" w:color="auto"/>
              <w:left w:val="nil"/>
              <w:bottom w:val="nil"/>
              <w:right w:val="single" w:sz="4" w:space="0" w:color="auto"/>
            </w:tcBorders>
            <w:shd w:val="clear" w:color="000000" w:fill="FFFFFF"/>
            <w:noWrap/>
            <w:vAlign w:val="bottom"/>
            <w:hideMark/>
          </w:tcPr>
          <w:p w14:paraId="6C834F41"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1 638 220,19</w:t>
            </w:r>
          </w:p>
        </w:tc>
        <w:tc>
          <w:tcPr>
            <w:tcW w:w="647" w:type="dxa"/>
            <w:tcBorders>
              <w:top w:val="nil"/>
              <w:left w:val="nil"/>
              <w:bottom w:val="single" w:sz="4" w:space="0" w:color="auto"/>
              <w:right w:val="single" w:sz="8" w:space="0" w:color="auto"/>
            </w:tcBorders>
            <w:shd w:val="clear" w:color="000000" w:fill="FFFFFF"/>
            <w:noWrap/>
            <w:vAlign w:val="bottom"/>
            <w:hideMark/>
          </w:tcPr>
          <w:p w14:paraId="04846FC5"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51,6</w:t>
            </w:r>
          </w:p>
        </w:tc>
      </w:tr>
      <w:tr w:rsidR="00D158B8" w:rsidRPr="00D158B8" w14:paraId="5AF9095D" w14:textId="77777777" w:rsidTr="00ED119C">
        <w:trPr>
          <w:trHeight w:val="300"/>
        </w:trPr>
        <w:tc>
          <w:tcPr>
            <w:tcW w:w="826"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233835F" w14:textId="77777777" w:rsidR="00D158B8" w:rsidRPr="00D158B8" w:rsidRDefault="00D158B8" w:rsidP="00D158B8">
            <w:pPr>
              <w:spacing w:after="0" w:line="240" w:lineRule="auto"/>
              <w:jc w:val="center"/>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 </w:t>
            </w:r>
          </w:p>
        </w:tc>
        <w:tc>
          <w:tcPr>
            <w:tcW w:w="9091" w:type="dxa"/>
            <w:gridSpan w:val="5"/>
            <w:tcBorders>
              <w:top w:val="single" w:sz="4" w:space="0" w:color="auto"/>
              <w:left w:val="nil"/>
              <w:bottom w:val="single" w:sz="4" w:space="0" w:color="auto"/>
              <w:right w:val="single" w:sz="8" w:space="0" w:color="000000"/>
            </w:tcBorders>
            <w:shd w:val="clear" w:color="000000" w:fill="FFFFFF"/>
            <w:noWrap/>
            <w:vAlign w:val="bottom"/>
            <w:hideMark/>
          </w:tcPr>
          <w:p w14:paraId="6D43BEBB" w14:textId="77777777" w:rsidR="00D158B8" w:rsidRPr="00D158B8" w:rsidRDefault="00D158B8" w:rsidP="00D158B8">
            <w:pPr>
              <w:spacing w:after="0" w:line="240" w:lineRule="auto"/>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z toho:</w:t>
            </w:r>
          </w:p>
        </w:tc>
      </w:tr>
      <w:tr w:rsidR="00D158B8" w:rsidRPr="00D158B8" w14:paraId="77CECBA1" w14:textId="77777777" w:rsidTr="00ED119C">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1EE91153" w14:textId="77777777" w:rsidR="00D158B8" w:rsidRPr="00D158B8" w:rsidRDefault="00D158B8" w:rsidP="00D158B8">
            <w:pPr>
              <w:spacing w:after="0" w:line="240" w:lineRule="auto"/>
              <w:jc w:val="center"/>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 </w:t>
            </w:r>
          </w:p>
        </w:tc>
        <w:tc>
          <w:tcPr>
            <w:tcW w:w="4160" w:type="dxa"/>
            <w:tcBorders>
              <w:top w:val="nil"/>
              <w:left w:val="nil"/>
              <w:bottom w:val="single" w:sz="4" w:space="0" w:color="auto"/>
              <w:right w:val="single" w:sz="4" w:space="0" w:color="auto"/>
            </w:tcBorders>
            <w:shd w:val="clear" w:color="000000" w:fill="FFFFFF"/>
            <w:vAlign w:val="bottom"/>
            <w:hideMark/>
          </w:tcPr>
          <w:p w14:paraId="6E4A5D23" w14:textId="73097B8C" w:rsidR="00D158B8" w:rsidRPr="00D158B8" w:rsidRDefault="00D158B8" w:rsidP="00D158B8">
            <w:pPr>
              <w:spacing w:after="0" w:line="240" w:lineRule="auto"/>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 xml:space="preserve">5042 </w:t>
            </w:r>
            <w:r w:rsidR="00DB1D72">
              <w:rPr>
                <w:rFonts w:ascii="Calibri" w:eastAsia="Times New Roman" w:hAnsi="Calibri" w:cs="Calibri"/>
                <w:i/>
                <w:iCs/>
                <w:sz w:val="20"/>
                <w:szCs w:val="20"/>
                <w:lang w:eastAsia="cs-CZ"/>
              </w:rPr>
              <w:t>o</w:t>
            </w:r>
            <w:r w:rsidRPr="00D158B8">
              <w:rPr>
                <w:rFonts w:ascii="Calibri" w:eastAsia="Times New Roman" w:hAnsi="Calibri" w:cs="Calibri"/>
                <w:i/>
                <w:iCs/>
                <w:sz w:val="20"/>
                <w:szCs w:val="20"/>
                <w:lang w:eastAsia="cs-CZ"/>
              </w:rPr>
              <w:t>dměny za užití počítačových programů</w:t>
            </w:r>
          </w:p>
        </w:tc>
        <w:tc>
          <w:tcPr>
            <w:tcW w:w="1300" w:type="dxa"/>
            <w:tcBorders>
              <w:top w:val="nil"/>
              <w:left w:val="nil"/>
              <w:bottom w:val="single" w:sz="4" w:space="0" w:color="auto"/>
              <w:right w:val="single" w:sz="4" w:space="0" w:color="auto"/>
            </w:tcBorders>
            <w:shd w:val="clear" w:color="000000" w:fill="FFFFFF"/>
            <w:noWrap/>
            <w:vAlign w:val="bottom"/>
            <w:hideMark/>
          </w:tcPr>
          <w:p w14:paraId="35E40C90"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625 570</w:t>
            </w:r>
          </w:p>
        </w:tc>
        <w:tc>
          <w:tcPr>
            <w:tcW w:w="1584" w:type="dxa"/>
            <w:tcBorders>
              <w:top w:val="nil"/>
              <w:left w:val="nil"/>
              <w:bottom w:val="single" w:sz="4" w:space="0" w:color="auto"/>
              <w:right w:val="single" w:sz="4" w:space="0" w:color="auto"/>
            </w:tcBorders>
            <w:shd w:val="clear" w:color="000000" w:fill="FFFFFF"/>
            <w:noWrap/>
            <w:vAlign w:val="bottom"/>
            <w:hideMark/>
          </w:tcPr>
          <w:p w14:paraId="08C2CC1A"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1 000 670,00</w:t>
            </w:r>
          </w:p>
        </w:tc>
        <w:tc>
          <w:tcPr>
            <w:tcW w:w="1400" w:type="dxa"/>
            <w:tcBorders>
              <w:top w:val="nil"/>
              <w:left w:val="nil"/>
              <w:bottom w:val="single" w:sz="4" w:space="0" w:color="auto"/>
              <w:right w:val="single" w:sz="4" w:space="0" w:color="auto"/>
            </w:tcBorders>
            <w:shd w:val="clear" w:color="000000" w:fill="FFFFFF"/>
            <w:noWrap/>
            <w:vAlign w:val="bottom"/>
            <w:hideMark/>
          </w:tcPr>
          <w:p w14:paraId="341CC87A"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739 310,00</w:t>
            </w:r>
          </w:p>
        </w:tc>
        <w:tc>
          <w:tcPr>
            <w:tcW w:w="647" w:type="dxa"/>
            <w:tcBorders>
              <w:top w:val="nil"/>
              <w:left w:val="nil"/>
              <w:bottom w:val="single" w:sz="4" w:space="0" w:color="auto"/>
              <w:right w:val="single" w:sz="8" w:space="0" w:color="auto"/>
            </w:tcBorders>
            <w:shd w:val="clear" w:color="000000" w:fill="FFFFFF"/>
            <w:noWrap/>
            <w:vAlign w:val="bottom"/>
            <w:hideMark/>
          </w:tcPr>
          <w:p w14:paraId="4F43D1A7"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73,9</w:t>
            </w:r>
          </w:p>
        </w:tc>
      </w:tr>
      <w:tr w:rsidR="00D158B8" w:rsidRPr="00D158B8" w14:paraId="063086E7" w14:textId="77777777" w:rsidTr="00ED119C">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5366E921" w14:textId="77777777" w:rsidR="00D158B8" w:rsidRPr="00D158B8" w:rsidRDefault="00D158B8" w:rsidP="00D158B8">
            <w:pPr>
              <w:spacing w:after="0" w:line="240" w:lineRule="auto"/>
              <w:jc w:val="center"/>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 </w:t>
            </w:r>
          </w:p>
        </w:tc>
        <w:tc>
          <w:tcPr>
            <w:tcW w:w="4160" w:type="dxa"/>
            <w:tcBorders>
              <w:top w:val="nil"/>
              <w:left w:val="nil"/>
              <w:bottom w:val="single" w:sz="4" w:space="0" w:color="auto"/>
              <w:right w:val="single" w:sz="4" w:space="0" w:color="auto"/>
            </w:tcBorders>
            <w:shd w:val="clear" w:color="000000" w:fill="FFFFFF"/>
            <w:vAlign w:val="bottom"/>
            <w:hideMark/>
          </w:tcPr>
          <w:p w14:paraId="2E0A8AC1" w14:textId="1990B210" w:rsidR="00D158B8" w:rsidRPr="00D158B8" w:rsidRDefault="00D158B8" w:rsidP="00D158B8">
            <w:pPr>
              <w:spacing w:after="0" w:line="240" w:lineRule="auto"/>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 xml:space="preserve">5166 </w:t>
            </w:r>
            <w:r w:rsidR="00DB1D72">
              <w:rPr>
                <w:rFonts w:ascii="Calibri" w:eastAsia="Times New Roman" w:hAnsi="Calibri" w:cs="Calibri"/>
                <w:i/>
                <w:iCs/>
                <w:sz w:val="20"/>
                <w:szCs w:val="20"/>
                <w:lang w:eastAsia="cs-CZ"/>
              </w:rPr>
              <w:t>k</w:t>
            </w:r>
            <w:r w:rsidRPr="00D158B8">
              <w:rPr>
                <w:rFonts w:ascii="Calibri" w:eastAsia="Times New Roman" w:hAnsi="Calibri" w:cs="Calibri"/>
                <w:i/>
                <w:iCs/>
                <w:sz w:val="20"/>
                <w:szCs w:val="20"/>
                <w:lang w:eastAsia="cs-CZ"/>
              </w:rPr>
              <w:t>onzultační, poradenské a právní služby</w:t>
            </w:r>
          </w:p>
        </w:tc>
        <w:tc>
          <w:tcPr>
            <w:tcW w:w="1300" w:type="dxa"/>
            <w:tcBorders>
              <w:top w:val="nil"/>
              <w:left w:val="nil"/>
              <w:bottom w:val="single" w:sz="4" w:space="0" w:color="auto"/>
              <w:right w:val="single" w:sz="4" w:space="0" w:color="auto"/>
            </w:tcBorders>
            <w:shd w:val="clear" w:color="000000" w:fill="FFFFFF"/>
            <w:noWrap/>
            <w:vAlign w:val="bottom"/>
            <w:hideMark/>
          </w:tcPr>
          <w:p w14:paraId="6579D9F0"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100 000</w:t>
            </w:r>
          </w:p>
        </w:tc>
        <w:tc>
          <w:tcPr>
            <w:tcW w:w="1584" w:type="dxa"/>
            <w:tcBorders>
              <w:top w:val="nil"/>
              <w:left w:val="nil"/>
              <w:bottom w:val="single" w:sz="4" w:space="0" w:color="auto"/>
              <w:right w:val="single" w:sz="4" w:space="0" w:color="auto"/>
            </w:tcBorders>
            <w:shd w:val="clear" w:color="000000" w:fill="FFFFFF"/>
            <w:noWrap/>
            <w:vAlign w:val="bottom"/>
            <w:hideMark/>
          </w:tcPr>
          <w:p w14:paraId="0EAAC580"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645 514,23</w:t>
            </w:r>
          </w:p>
        </w:tc>
        <w:tc>
          <w:tcPr>
            <w:tcW w:w="1400" w:type="dxa"/>
            <w:tcBorders>
              <w:top w:val="nil"/>
              <w:left w:val="nil"/>
              <w:bottom w:val="single" w:sz="4" w:space="0" w:color="auto"/>
              <w:right w:val="single" w:sz="4" w:space="0" w:color="auto"/>
            </w:tcBorders>
            <w:shd w:val="clear" w:color="000000" w:fill="FFFFFF"/>
            <w:noWrap/>
            <w:vAlign w:val="bottom"/>
            <w:hideMark/>
          </w:tcPr>
          <w:p w14:paraId="486775E6"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552 063,69</w:t>
            </w:r>
          </w:p>
        </w:tc>
        <w:tc>
          <w:tcPr>
            <w:tcW w:w="647" w:type="dxa"/>
            <w:tcBorders>
              <w:top w:val="nil"/>
              <w:left w:val="nil"/>
              <w:bottom w:val="single" w:sz="4" w:space="0" w:color="auto"/>
              <w:right w:val="single" w:sz="8" w:space="0" w:color="auto"/>
            </w:tcBorders>
            <w:shd w:val="clear" w:color="000000" w:fill="FFFFFF"/>
            <w:noWrap/>
            <w:vAlign w:val="bottom"/>
            <w:hideMark/>
          </w:tcPr>
          <w:p w14:paraId="4422CD73"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85,5</w:t>
            </w:r>
          </w:p>
        </w:tc>
      </w:tr>
      <w:tr w:rsidR="00D158B8" w:rsidRPr="00D158B8" w14:paraId="41A2EF28" w14:textId="77777777" w:rsidTr="00ED119C">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0EB40265" w14:textId="77777777" w:rsidR="00D158B8" w:rsidRPr="00D158B8" w:rsidRDefault="00D158B8" w:rsidP="00D158B8">
            <w:pPr>
              <w:spacing w:after="0" w:line="240" w:lineRule="auto"/>
              <w:jc w:val="center"/>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 </w:t>
            </w:r>
          </w:p>
        </w:tc>
        <w:tc>
          <w:tcPr>
            <w:tcW w:w="4160" w:type="dxa"/>
            <w:tcBorders>
              <w:top w:val="nil"/>
              <w:left w:val="nil"/>
              <w:bottom w:val="single" w:sz="4" w:space="0" w:color="auto"/>
              <w:right w:val="single" w:sz="4" w:space="0" w:color="auto"/>
            </w:tcBorders>
            <w:shd w:val="clear" w:color="000000" w:fill="FFFFFF"/>
            <w:vAlign w:val="bottom"/>
            <w:hideMark/>
          </w:tcPr>
          <w:p w14:paraId="2ACC9231" w14:textId="60F6A390" w:rsidR="00D158B8" w:rsidRPr="00D158B8" w:rsidRDefault="00D158B8" w:rsidP="00D158B8">
            <w:pPr>
              <w:spacing w:after="0" w:line="240" w:lineRule="auto"/>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 xml:space="preserve">5167 </w:t>
            </w:r>
            <w:r w:rsidR="00DB1D72">
              <w:rPr>
                <w:rFonts w:ascii="Calibri" w:eastAsia="Times New Roman" w:hAnsi="Calibri" w:cs="Calibri"/>
                <w:i/>
                <w:iCs/>
                <w:sz w:val="20"/>
                <w:szCs w:val="20"/>
                <w:lang w:eastAsia="cs-CZ"/>
              </w:rPr>
              <w:t>s</w:t>
            </w:r>
            <w:r w:rsidRPr="00D158B8">
              <w:rPr>
                <w:rFonts w:ascii="Calibri" w:eastAsia="Times New Roman" w:hAnsi="Calibri" w:cs="Calibri"/>
                <w:i/>
                <w:iCs/>
                <w:sz w:val="20"/>
                <w:szCs w:val="20"/>
                <w:lang w:eastAsia="cs-CZ"/>
              </w:rPr>
              <w:t>lužby školení a vzdělávání</w:t>
            </w:r>
          </w:p>
        </w:tc>
        <w:tc>
          <w:tcPr>
            <w:tcW w:w="1300" w:type="dxa"/>
            <w:tcBorders>
              <w:top w:val="nil"/>
              <w:left w:val="nil"/>
              <w:bottom w:val="single" w:sz="4" w:space="0" w:color="auto"/>
              <w:right w:val="single" w:sz="4" w:space="0" w:color="auto"/>
            </w:tcBorders>
            <w:shd w:val="clear" w:color="000000" w:fill="FFFFFF"/>
            <w:noWrap/>
            <w:vAlign w:val="bottom"/>
            <w:hideMark/>
          </w:tcPr>
          <w:p w14:paraId="05112FCE"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0</w:t>
            </w:r>
          </w:p>
        </w:tc>
        <w:tc>
          <w:tcPr>
            <w:tcW w:w="1584" w:type="dxa"/>
            <w:tcBorders>
              <w:top w:val="nil"/>
              <w:left w:val="nil"/>
              <w:bottom w:val="single" w:sz="4" w:space="0" w:color="auto"/>
              <w:right w:val="single" w:sz="4" w:space="0" w:color="auto"/>
            </w:tcBorders>
            <w:shd w:val="clear" w:color="000000" w:fill="FFFFFF"/>
            <w:noWrap/>
            <w:vAlign w:val="bottom"/>
            <w:hideMark/>
          </w:tcPr>
          <w:p w14:paraId="7F63A8AE"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1 090,00</w:t>
            </w:r>
          </w:p>
        </w:tc>
        <w:tc>
          <w:tcPr>
            <w:tcW w:w="1400" w:type="dxa"/>
            <w:tcBorders>
              <w:top w:val="nil"/>
              <w:left w:val="nil"/>
              <w:bottom w:val="single" w:sz="4" w:space="0" w:color="auto"/>
              <w:right w:val="single" w:sz="4" w:space="0" w:color="auto"/>
            </w:tcBorders>
            <w:shd w:val="clear" w:color="000000" w:fill="FFFFFF"/>
            <w:noWrap/>
            <w:vAlign w:val="bottom"/>
            <w:hideMark/>
          </w:tcPr>
          <w:p w14:paraId="2D4B19EB"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0,00</w:t>
            </w:r>
          </w:p>
        </w:tc>
        <w:tc>
          <w:tcPr>
            <w:tcW w:w="647" w:type="dxa"/>
            <w:tcBorders>
              <w:top w:val="nil"/>
              <w:left w:val="nil"/>
              <w:bottom w:val="single" w:sz="4" w:space="0" w:color="auto"/>
              <w:right w:val="single" w:sz="8" w:space="0" w:color="auto"/>
            </w:tcBorders>
            <w:shd w:val="clear" w:color="000000" w:fill="FFFFFF"/>
            <w:noWrap/>
            <w:vAlign w:val="bottom"/>
            <w:hideMark/>
          </w:tcPr>
          <w:p w14:paraId="352E05D8"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0,0</w:t>
            </w:r>
          </w:p>
        </w:tc>
      </w:tr>
      <w:tr w:rsidR="00D158B8" w:rsidRPr="00D158B8" w14:paraId="06537399" w14:textId="77777777" w:rsidTr="00ED119C">
        <w:trPr>
          <w:trHeight w:val="51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22BDBA82" w14:textId="77777777" w:rsidR="00D158B8" w:rsidRPr="00D158B8" w:rsidRDefault="00D158B8" w:rsidP="00D158B8">
            <w:pPr>
              <w:spacing w:after="0" w:line="240" w:lineRule="auto"/>
              <w:jc w:val="center"/>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 </w:t>
            </w:r>
          </w:p>
        </w:tc>
        <w:tc>
          <w:tcPr>
            <w:tcW w:w="4160" w:type="dxa"/>
            <w:tcBorders>
              <w:top w:val="nil"/>
              <w:left w:val="nil"/>
              <w:bottom w:val="single" w:sz="4" w:space="0" w:color="auto"/>
              <w:right w:val="single" w:sz="4" w:space="0" w:color="auto"/>
            </w:tcBorders>
            <w:shd w:val="clear" w:color="000000" w:fill="FFFFFF"/>
            <w:vAlign w:val="center"/>
            <w:hideMark/>
          </w:tcPr>
          <w:p w14:paraId="63A8D30F" w14:textId="69BA25C2" w:rsidR="00D158B8" w:rsidRPr="00D158B8" w:rsidRDefault="00D158B8" w:rsidP="00D158B8">
            <w:pPr>
              <w:spacing w:after="0" w:line="240" w:lineRule="auto"/>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 xml:space="preserve">5168 </w:t>
            </w:r>
            <w:r w:rsidR="00DB1D72">
              <w:rPr>
                <w:rFonts w:ascii="Calibri" w:eastAsia="Times New Roman" w:hAnsi="Calibri" w:cs="Calibri"/>
                <w:i/>
                <w:iCs/>
                <w:sz w:val="20"/>
                <w:szCs w:val="20"/>
                <w:lang w:eastAsia="cs-CZ"/>
              </w:rPr>
              <w:t>z</w:t>
            </w:r>
            <w:r w:rsidRPr="00D158B8">
              <w:rPr>
                <w:rFonts w:ascii="Calibri" w:eastAsia="Times New Roman" w:hAnsi="Calibri" w:cs="Calibri"/>
                <w:i/>
                <w:iCs/>
                <w:sz w:val="20"/>
                <w:szCs w:val="20"/>
                <w:lang w:eastAsia="cs-CZ"/>
              </w:rPr>
              <w:t>pracování dat a služby související s informačními a komunikačními technologiemi</w:t>
            </w:r>
          </w:p>
        </w:tc>
        <w:tc>
          <w:tcPr>
            <w:tcW w:w="1300" w:type="dxa"/>
            <w:tcBorders>
              <w:top w:val="nil"/>
              <w:left w:val="nil"/>
              <w:bottom w:val="single" w:sz="4" w:space="0" w:color="auto"/>
              <w:right w:val="single" w:sz="4" w:space="0" w:color="auto"/>
            </w:tcBorders>
            <w:shd w:val="clear" w:color="000000" w:fill="FFFFFF"/>
            <w:noWrap/>
            <w:vAlign w:val="bottom"/>
            <w:hideMark/>
          </w:tcPr>
          <w:p w14:paraId="5EB5CB60"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188 760</w:t>
            </w:r>
          </w:p>
        </w:tc>
        <w:tc>
          <w:tcPr>
            <w:tcW w:w="1584" w:type="dxa"/>
            <w:tcBorders>
              <w:top w:val="nil"/>
              <w:left w:val="nil"/>
              <w:bottom w:val="single" w:sz="4" w:space="0" w:color="auto"/>
              <w:right w:val="single" w:sz="4" w:space="0" w:color="auto"/>
            </w:tcBorders>
            <w:shd w:val="clear" w:color="000000" w:fill="FFFFFF"/>
            <w:noWrap/>
            <w:vAlign w:val="bottom"/>
            <w:hideMark/>
          </w:tcPr>
          <w:p w14:paraId="7F481569"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188 760,00</w:t>
            </w:r>
          </w:p>
        </w:tc>
        <w:tc>
          <w:tcPr>
            <w:tcW w:w="1400" w:type="dxa"/>
            <w:tcBorders>
              <w:top w:val="nil"/>
              <w:left w:val="nil"/>
              <w:bottom w:val="single" w:sz="4" w:space="0" w:color="auto"/>
              <w:right w:val="single" w:sz="4" w:space="0" w:color="auto"/>
            </w:tcBorders>
            <w:shd w:val="clear" w:color="000000" w:fill="FFFFFF"/>
            <w:noWrap/>
            <w:vAlign w:val="bottom"/>
            <w:hideMark/>
          </w:tcPr>
          <w:p w14:paraId="0B6A60CC"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188 760,00</w:t>
            </w:r>
          </w:p>
        </w:tc>
        <w:tc>
          <w:tcPr>
            <w:tcW w:w="647" w:type="dxa"/>
            <w:tcBorders>
              <w:top w:val="nil"/>
              <w:left w:val="nil"/>
              <w:bottom w:val="single" w:sz="4" w:space="0" w:color="auto"/>
              <w:right w:val="single" w:sz="8" w:space="0" w:color="auto"/>
            </w:tcBorders>
            <w:shd w:val="clear" w:color="000000" w:fill="FFFFFF"/>
            <w:noWrap/>
            <w:vAlign w:val="bottom"/>
            <w:hideMark/>
          </w:tcPr>
          <w:p w14:paraId="0B102B22"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100,0</w:t>
            </w:r>
          </w:p>
        </w:tc>
      </w:tr>
      <w:tr w:rsidR="00D158B8" w:rsidRPr="00D158B8" w14:paraId="48E964CD" w14:textId="77777777" w:rsidTr="00ED119C">
        <w:trPr>
          <w:trHeight w:val="300"/>
        </w:trPr>
        <w:tc>
          <w:tcPr>
            <w:tcW w:w="826" w:type="dxa"/>
            <w:tcBorders>
              <w:top w:val="nil"/>
              <w:left w:val="single" w:sz="8" w:space="0" w:color="auto"/>
              <w:bottom w:val="nil"/>
              <w:right w:val="single" w:sz="4" w:space="0" w:color="auto"/>
            </w:tcBorders>
            <w:shd w:val="clear" w:color="auto" w:fill="auto"/>
            <w:noWrap/>
            <w:vAlign w:val="center"/>
            <w:hideMark/>
          </w:tcPr>
          <w:p w14:paraId="4A86698E" w14:textId="77777777" w:rsidR="00D158B8" w:rsidRPr="00D158B8" w:rsidRDefault="00D158B8" w:rsidP="00D158B8">
            <w:pPr>
              <w:spacing w:after="0" w:line="240" w:lineRule="auto"/>
              <w:jc w:val="center"/>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 </w:t>
            </w:r>
          </w:p>
        </w:tc>
        <w:tc>
          <w:tcPr>
            <w:tcW w:w="4160" w:type="dxa"/>
            <w:tcBorders>
              <w:top w:val="nil"/>
              <w:left w:val="nil"/>
              <w:bottom w:val="single" w:sz="4" w:space="0" w:color="auto"/>
              <w:right w:val="single" w:sz="4" w:space="0" w:color="auto"/>
            </w:tcBorders>
            <w:shd w:val="clear" w:color="000000" w:fill="FFFFFF"/>
            <w:vAlign w:val="bottom"/>
            <w:hideMark/>
          </w:tcPr>
          <w:p w14:paraId="218C5689" w14:textId="4096DE49" w:rsidR="00D158B8" w:rsidRPr="00D158B8" w:rsidRDefault="00D158B8" w:rsidP="00D158B8">
            <w:pPr>
              <w:spacing w:after="0" w:line="240" w:lineRule="auto"/>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 xml:space="preserve">5169 </w:t>
            </w:r>
            <w:r w:rsidR="00DB1D72">
              <w:rPr>
                <w:rFonts w:ascii="Calibri" w:eastAsia="Times New Roman" w:hAnsi="Calibri" w:cs="Calibri"/>
                <w:i/>
                <w:iCs/>
                <w:sz w:val="20"/>
                <w:szCs w:val="20"/>
                <w:lang w:eastAsia="cs-CZ"/>
              </w:rPr>
              <w:t>n</w:t>
            </w:r>
            <w:r w:rsidRPr="00D158B8">
              <w:rPr>
                <w:rFonts w:ascii="Calibri" w:eastAsia="Times New Roman" w:hAnsi="Calibri" w:cs="Calibri"/>
                <w:i/>
                <w:iCs/>
                <w:sz w:val="20"/>
                <w:szCs w:val="20"/>
                <w:lang w:eastAsia="cs-CZ"/>
              </w:rPr>
              <w:t>ákup ostatních služeb</w:t>
            </w:r>
          </w:p>
        </w:tc>
        <w:tc>
          <w:tcPr>
            <w:tcW w:w="1300" w:type="dxa"/>
            <w:tcBorders>
              <w:top w:val="nil"/>
              <w:left w:val="nil"/>
              <w:bottom w:val="single" w:sz="4" w:space="0" w:color="auto"/>
              <w:right w:val="single" w:sz="4" w:space="0" w:color="auto"/>
            </w:tcBorders>
            <w:shd w:val="clear" w:color="000000" w:fill="FFFFFF"/>
            <w:noWrap/>
            <w:vAlign w:val="bottom"/>
            <w:hideMark/>
          </w:tcPr>
          <w:p w14:paraId="1FE09977"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720 670</w:t>
            </w:r>
          </w:p>
        </w:tc>
        <w:tc>
          <w:tcPr>
            <w:tcW w:w="1584" w:type="dxa"/>
            <w:tcBorders>
              <w:top w:val="nil"/>
              <w:left w:val="nil"/>
              <w:bottom w:val="single" w:sz="4" w:space="0" w:color="auto"/>
              <w:right w:val="single" w:sz="4" w:space="0" w:color="auto"/>
            </w:tcBorders>
            <w:shd w:val="clear" w:color="000000" w:fill="FFFFFF"/>
            <w:noWrap/>
            <w:vAlign w:val="bottom"/>
            <w:hideMark/>
          </w:tcPr>
          <w:p w14:paraId="066C3FF4"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807 666,77</w:t>
            </w:r>
          </w:p>
        </w:tc>
        <w:tc>
          <w:tcPr>
            <w:tcW w:w="1400" w:type="dxa"/>
            <w:tcBorders>
              <w:top w:val="nil"/>
              <w:left w:val="nil"/>
              <w:bottom w:val="single" w:sz="4" w:space="0" w:color="auto"/>
              <w:right w:val="single" w:sz="4" w:space="0" w:color="auto"/>
            </w:tcBorders>
            <w:shd w:val="clear" w:color="000000" w:fill="FFFFFF"/>
            <w:noWrap/>
            <w:vAlign w:val="bottom"/>
            <w:hideMark/>
          </w:tcPr>
          <w:p w14:paraId="01DE1F54"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6 352,50</w:t>
            </w:r>
          </w:p>
        </w:tc>
        <w:tc>
          <w:tcPr>
            <w:tcW w:w="647" w:type="dxa"/>
            <w:tcBorders>
              <w:top w:val="nil"/>
              <w:left w:val="nil"/>
              <w:bottom w:val="single" w:sz="4" w:space="0" w:color="auto"/>
              <w:right w:val="single" w:sz="8" w:space="0" w:color="auto"/>
            </w:tcBorders>
            <w:shd w:val="clear" w:color="000000" w:fill="FFFFFF"/>
            <w:noWrap/>
            <w:vAlign w:val="bottom"/>
            <w:hideMark/>
          </w:tcPr>
          <w:p w14:paraId="41648905"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0,8</w:t>
            </w:r>
          </w:p>
        </w:tc>
      </w:tr>
      <w:tr w:rsidR="00D158B8" w:rsidRPr="00D158B8" w14:paraId="3A329C4D" w14:textId="77777777" w:rsidTr="00ED119C">
        <w:trPr>
          <w:trHeight w:val="300"/>
        </w:trPr>
        <w:tc>
          <w:tcPr>
            <w:tcW w:w="826"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CCCF11A" w14:textId="77777777" w:rsidR="00D158B8" w:rsidRPr="00D158B8" w:rsidRDefault="00D158B8" w:rsidP="00D158B8">
            <w:pPr>
              <w:spacing w:after="0" w:line="240" w:lineRule="auto"/>
              <w:jc w:val="center"/>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 </w:t>
            </w:r>
          </w:p>
        </w:tc>
        <w:tc>
          <w:tcPr>
            <w:tcW w:w="4160" w:type="dxa"/>
            <w:tcBorders>
              <w:top w:val="nil"/>
              <w:left w:val="nil"/>
              <w:bottom w:val="single" w:sz="4" w:space="0" w:color="auto"/>
              <w:right w:val="single" w:sz="4" w:space="0" w:color="auto"/>
            </w:tcBorders>
            <w:shd w:val="clear" w:color="000000" w:fill="FFFFFF"/>
            <w:vAlign w:val="bottom"/>
            <w:hideMark/>
          </w:tcPr>
          <w:p w14:paraId="1D4A4A1D" w14:textId="32916810" w:rsidR="00D158B8" w:rsidRPr="00D158B8" w:rsidRDefault="00D158B8" w:rsidP="00D158B8">
            <w:pPr>
              <w:spacing w:after="0" w:line="240" w:lineRule="auto"/>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 xml:space="preserve">5179 </w:t>
            </w:r>
            <w:r w:rsidR="00DB1D72">
              <w:rPr>
                <w:rFonts w:ascii="Calibri" w:eastAsia="Times New Roman" w:hAnsi="Calibri" w:cs="Calibri"/>
                <w:i/>
                <w:iCs/>
                <w:sz w:val="20"/>
                <w:szCs w:val="20"/>
                <w:lang w:eastAsia="cs-CZ"/>
              </w:rPr>
              <w:t>o</w:t>
            </w:r>
            <w:r w:rsidRPr="00D158B8">
              <w:rPr>
                <w:rFonts w:ascii="Calibri" w:eastAsia="Times New Roman" w:hAnsi="Calibri" w:cs="Calibri"/>
                <w:i/>
                <w:iCs/>
                <w:sz w:val="20"/>
                <w:szCs w:val="20"/>
                <w:lang w:eastAsia="cs-CZ"/>
              </w:rPr>
              <w:t>statní nákupy jinde nezařazené</w:t>
            </w:r>
          </w:p>
        </w:tc>
        <w:tc>
          <w:tcPr>
            <w:tcW w:w="1300" w:type="dxa"/>
            <w:tcBorders>
              <w:top w:val="nil"/>
              <w:left w:val="nil"/>
              <w:bottom w:val="single" w:sz="4" w:space="0" w:color="auto"/>
              <w:right w:val="single" w:sz="4" w:space="0" w:color="auto"/>
            </w:tcBorders>
            <w:shd w:val="clear" w:color="000000" w:fill="FFFFFF"/>
            <w:noWrap/>
            <w:vAlign w:val="bottom"/>
            <w:hideMark/>
          </w:tcPr>
          <w:p w14:paraId="460A01F1"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500 000</w:t>
            </w:r>
          </w:p>
        </w:tc>
        <w:tc>
          <w:tcPr>
            <w:tcW w:w="1584" w:type="dxa"/>
            <w:tcBorders>
              <w:top w:val="nil"/>
              <w:left w:val="nil"/>
              <w:bottom w:val="single" w:sz="4" w:space="0" w:color="auto"/>
              <w:right w:val="single" w:sz="4" w:space="0" w:color="auto"/>
            </w:tcBorders>
            <w:shd w:val="clear" w:color="000000" w:fill="FFFFFF"/>
            <w:noWrap/>
            <w:vAlign w:val="bottom"/>
            <w:hideMark/>
          </w:tcPr>
          <w:p w14:paraId="08F9585D"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500 000,00</w:t>
            </w:r>
          </w:p>
        </w:tc>
        <w:tc>
          <w:tcPr>
            <w:tcW w:w="1400" w:type="dxa"/>
            <w:tcBorders>
              <w:top w:val="nil"/>
              <w:left w:val="nil"/>
              <w:bottom w:val="single" w:sz="4" w:space="0" w:color="auto"/>
              <w:right w:val="single" w:sz="4" w:space="0" w:color="auto"/>
            </w:tcBorders>
            <w:shd w:val="clear" w:color="000000" w:fill="FFFFFF"/>
            <w:noWrap/>
            <w:vAlign w:val="bottom"/>
            <w:hideMark/>
          </w:tcPr>
          <w:p w14:paraId="60BFAB25"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151 734,00</w:t>
            </w:r>
          </w:p>
        </w:tc>
        <w:tc>
          <w:tcPr>
            <w:tcW w:w="647" w:type="dxa"/>
            <w:tcBorders>
              <w:top w:val="nil"/>
              <w:left w:val="nil"/>
              <w:bottom w:val="single" w:sz="4" w:space="0" w:color="auto"/>
              <w:right w:val="single" w:sz="8" w:space="0" w:color="auto"/>
            </w:tcBorders>
            <w:shd w:val="clear" w:color="000000" w:fill="FFFFFF"/>
            <w:noWrap/>
            <w:vAlign w:val="bottom"/>
            <w:hideMark/>
          </w:tcPr>
          <w:p w14:paraId="34158F98"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30,3</w:t>
            </w:r>
          </w:p>
        </w:tc>
      </w:tr>
      <w:tr w:rsidR="00D158B8" w:rsidRPr="00D158B8" w14:paraId="29743DC3" w14:textId="77777777" w:rsidTr="00ED119C">
        <w:trPr>
          <w:trHeight w:val="300"/>
        </w:trPr>
        <w:tc>
          <w:tcPr>
            <w:tcW w:w="826" w:type="dxa"/>
            <w:tcBorders>
              <w:top w:val="nil"/>
              <w:left w:val="single" w:sz="8" w:space="0" w:color="auto"/>
              <w:bottom w:val="single" w:sz="8" w:space="0" w:color="auto"/>
              <w:right w:val="single" w:sz="4" w:space="0" w:color="auto"/>
            </w:tcBorders>
            <w:shd w:val="clear" w:color="auto" w:fill="auto"/>
            <w:noWrap/>
            <w:vAlign w:val="center"/>
            <w:hideMark/>
          </w:tcPr>
          <w:p w14:paraId="42A306E5" w14:textId="77777777" w:rsidR="00D158B8" w:rsidRPr="00D158B8" w:rsidRDefault="00D158B8" w:rsidP="00D158B8">
            <w:pPr>
              <w:spacing w:after="0" w:line="240" w:lineRule="auto"/>
              <w:jc w:val="center"/>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 </w:t>
            </w:r>
          </w:p>
        </w:tc>
        <w:tc>
          <w:tcPr>
            <w:tcW w:w="4160" w:type="dxa"/>
            <w:tcBorders>
              <w:top w:val="nil"/>
              <w:left w:val="nil"/>
              <w:bottom w:val="nil"/>
              <w:right w:val="single" w:sz="4" w:space="0" w:color="auto"/>
            </w:tcBorders>
            <w:shd w:val="clear" w:color="000000" w:fill="FFFFFF"/>
            <w:vAlign w:val="bottom"/>
            <w:hideMark/>
          </w:tcPr>
          <w:p w14:paraId="034C5FA1" w14:textId="594CDFB8" w:rsidR="00D158B8" w:rsidRPr="00D158B8" w:rsidRDefault="00D158B8" w:rsidP="00D158B8">
            <w:pPr>
              <w:spacing w:after="0" w:line="240" w:lineRule="auto"/>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 xml:space="preserve">5192 </w:t>
            </w:r>
            <w:r w:rsidR="00DB1D72">
              <w:rPr>
                <w:rFonts w:ascii="Calibri" w:eastAsia="Times New Roman" w:hAnsi="Calibri" w:cs="Calibri"/>
                <w:i/>
                <w:iCs/>
                <w:sz w:val="20"/>
                <w:szCs w:val="20"/>
                <w:lang w:eastAsia="cs-CZ"/>
              </w:rPr>
              <w:t>p</w:t>
            </w:r>
            <w:r w:rsidRPr="00D158B8">
              <w:rPr>
                <w:rFonts w:ascii="Calibri" w:eastAsia="Times New Roman" w:hAnsi="Calibri" w:cs="Calibri"/>
                <w:i/>
                <w:iCs/>
                <w:sz w:val="20"/>
                <w:szCs w:val="20"/>
                <w:lang w:eastAsia="cs-CZ"/>
              </w:rPr>
              <w:t>oskytnuté náhrady</w:t>
            </w:r>
          </w:p>
        </w:tc>
        <w:tc>
          <w:tcPr>
            <w:tcW w:w="1300" w:type="dxa"/>
            <w:tcBorders>
              <w:top w:val="nil"/>
              <w:left w:val="nil"/>
              <w:bottom w:val="nil"/>
              <w:right w:val="single" w:sz="4" w:space="0" w:color="auto"/>
            </w:tcBorders>
            <w:shd w:val="clear" w:color="000000" w:fill="FFFFFF"/>
            <w:noWrap/>
            <w:vAlign w:val="bottom"/>
            <w:hideMark/>
          </w:tcPr>
          <w:p w14:paraId="23FD4E33"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0</w:t>
            </w:r>
          </w:p>
        </w:tc>
        <w:tc>
          <w:tcPr>
            <w:tcW w:w="1584" w:type="dxa"/>
            <w:tcBorders>
              <w:top w:val="nil"/>
              <w:left w:val="nil"/>
              <w:bottom w:val="nil"/>
              <w:right w:val="single" w:sz="4" w:space="0" w:color="auto"/>
            </w:tcBorders>
            <w:shd w:val="clear" w:color="000000" w:fill="FFFFFF"/>
            <w:noWrap/>
            <w:vAlign w:val="bottom"/>
            <w:hideMark/>
          </w:tcPr>
          <w:p w14:paraId="47ADC289"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30 000,00</w:t>
            </w:r>
          </w:p>
        </w:tc>
        <w:tc>
          <w:tcPr>
            <w:tcW w:w="1400" w:type="dxa"/>
            <w:tcBorders>
              <w:top w:val="nil"/>
              <w:left w:val="nil"/>
              <w:bottom w:val="nil"/>
              <w:right w:val="single" w:sz="4" w:space="0" w:color="auto"/>
            </w:tcBorders>
            <w:shd w:val="clear" w:color="000000" w:fill="FFFFFF"/>
            <w:noWrap/>
            <w:vAlign w:val="bottom"/>
            <w:hideMark/>
          </w:tcPr>
          <w:p w14:paraId="700CE19A"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0,00</w:t>
            </w:r>
          </w:p>
        </w:tc>
        <w:tc>
          <w:tcPr>
            <w:tcW w:w="647" w:type="dxa"/>
            <w:tcBorders>
              <w:top w:val="nil"/>
              <w:left w:val="nil"/>
              <w:bottom w:val="nil"/>
              <w:right w:val="single" w:sz="8" w:space="0" w:color="auto"/>
            </w:tcBorders>
            <w:shd w:val="clear" w:color="000000" w:fill="FFFFFF"/>
            <w:noWrap/>
            <w:vAlign w:val="bottom"/>
            <w:hideMark/>
          </w:tcPr>
          <w:p w14:paraId="3937B700"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0,0</w:t>
            </w:r>
          </w:p>
        </w:tc>
      </w:tr>
      <w:tr w:rsidR="00D158B8" w:rsidRPr="00D158B8" w14:paraId="38F126F8" w14:textId="77777777" w:rsidTr="00ED119C">
        <w:trPr>
          <w:trHeight w:val="319"/>
        </w:trPr>
        <w:tc>
          <w:tcPr>
            <w:tcW w:w="826" w:type="dxa"/>
            <w:tcBorders>
              <w:top w:val="nil"/>
              <w:left w:val="single" w:sz="8" w:space="0" w:color="auto"/>
              <w:bottom w:val="single" w:sz="8" w:space="0" w:color="auto"/>
              <w:right w:val="single" w:sz="4" w:space="0" w:color="auto"/>
            </w:tcBorders>
            <w:shd w:val="clear" w:color="auto" w:fill="auto"/>
            <w:noWrap/>
            <w:vAlign w:val="bottom"/>
            <w:hideMark/>
          </w:tcPr>
          <w:p w14:paraId="6B72359B" w14:textId="77777777" w:rsidR="00D158B8" w:rsidRPr="00D158B8" w:rsidRDefault="00D158B8" w:rsidP="00D158B8">
            <w:pPr>
              <w:spacing w:after="0" w:line="240" w:lineRule="auto"/>
              <w:rPr>
                <w:rFonts w:ascii="Calibri" w:eastAsia="Times New Roman" w:hAnsi="Calibri" w:cs="Calibri"/>
                <w:b/>
                <w:bCs/>
                <w:sz w:val="24"/>
                <w:szCs w:val="24"/>
                <w:lang w:eastAsia="cs-CZ"/>
              </w:rPr>
            </w:pPr>
            <w:r w:rsidRPr="00D158B8">
              <w:rPr>
                <w:rFonts w:ascii="Calibri" w:eastAsia="Times New Roman" w:hAnsi="Calibri" w:cs="Calibri"/>
                <w:b/>
                <w:bCs/>
                <w:sz w:val="24"/>
                <w:szCs w:val="24"/>
                <w:lang w:eastAsia="cs-CZ"/>
              </w:rPr>
              <w:t> </w:t>
            </w:r>
          </w:p>
        </w:tc>
        <w:tc>
          <w:tcPr>
            <w:tcW w:w="4160" w:type="dxa"/>
            <w:tcBorders>
              <w:top w:val="single" w:sz="8" w:space="0" w:color="auto"/>
              <w:left w:val="nil"/>
              <w:bottom w:val="single" w:sz="8" w:space="0" w:color="auto"/>
              <w:right w:val="single" w:sz="4" w:space="0" w:color="auto"/>
            </w:tcBorders>
            <w:shd w:val="clear" w:color="000000" w:fill="FFFFFF"/>
            <w:noWrap/>
            <w:vAlign w:val="bottom"/>
            <w:hideMark/>
          </w:tcPr>
          <w:p w14:paraId="177F7E5C" w14:textId="77777777" w:rsidR="00D158B8" w:rsidRPr="00D158B8" w:rsidRDefault="00D158B8" w:rsidP="00D158B8">
            <w:pPr>
              <w:spacing w:after="0" w:line="240" w:lineRule="auto"/>
              <w:rPr>
                <w:rFonts w:ascii="Calibri" w:eastAsia="Times New Roman" w:hAnsi="Calibri" w:cs="Calibri"/>
                <w:b/>
                <w:bCs/>
                <w:lang w:eastAsia="cs-CZ"/>
              </w:rPr>
            </w:pPr>
            <w:r w:rsidRPr="00D158B8">
              <w:rPr>
                <w:rFonts w:ascii="Calibri" w:eastAsia="Times New Roman" w:hAnsi="Calibri" w:cs="Calibri"/>
                <w:b/>
                <w:bCs/>
                <w:lang w:eastAsia="cs-CZ"/>
              </w:rPr>
              <w:t>Celkem</w:t>
            </w:r>
          </w:p>
        </w:tc>
        <w:tc>
          <w:tcPr>
            <w:tcW w:w="1300" w:type="dxa"/>
            <w:tcBorders>
              <w:top w:val="single" w:sz="8" w:space="0" w:color="auto"/>
              <w:left w:val="nil"/>
              <w:bottom w:val="single" w:sz="8" w:space="0" w:color="auto"/>
              <w:right w:val="single" w:sz="4" w:space="0" w:color="auto"/>
            </w:tcBorders>
            <w:shd w:val="clear" w:color="000000" w:fill="FFFFFF"/>
            <w:noWrap/>
            <w:vAlign w:val="bottom"/>
            <w:hideMark/>
          </w:tcPr>
          <w:p w14:paraId="111F5D6D" w14:textId="77777777" w:rsidR="00D158B8" w:rsidRPr="00D158B8" w:rsidRDefault="00D158B8" w:rsidP="00D158B8">
            <w:pPr>
              <w:spacing w:after="0" w:line="240" w:lineRule="auto"/>
              <w:jc w:val="right"/>
              <w:rPr>
                <w:rFonts w:ascii="Calibri" w:eastAsia="Times New Roman" w:hAnsi="Calibri" w:cs="Calibri"/>
                <w:b/>
                <w:bCs/>
                <w:lang w:eastAsia="cs-CZ"/>
              </w:rPr>
            </w:pPr>
            <w:r w:rsidRPr="00D158B8">
              <w:rPr>
                <w:rFonts w:ascii="Calibri" w:eastAsia="Times New Roman" w:hAnsi="Calibri" w:cs="Calibri"/>
                <w:b/>
                <w:bCs/>
                <w:lang w:eastAsia="cs-CZ"/>
              </w:rPr>
              <w:t>4 880 000</w:t>
            </w:r>
          </w:p>
        </w:tc>
        <w:tc>
          <w:tcPr>
            <w:tcW w:w="1584" w:type="dxa"/>
            <w:tcBorders>
              <w:top w:val="single" w:sz="8" w:space="0" w:color="auto"/>
              <w:left w:val="nil"/>
              <w:bottom w:val="single" w:sz="8" w:space="0" w:color="auto"/>
              <w:right w:val="single" w:sz="4" w:space="0" w:color="auto"/>
            </w:tcBorders>
            <w:shd w:val="clear" w:color="000000" w:fill="FFFFFF"/>
            <w:noWrap/>
            <w:vAlign w:val="bottom"/>
            <w:hideMark/>
          </w:tcPr>
          <w:p w14:paraId="7B4FD571" w14:textId="77777777" w:rsidR="00D158B8" w:rsidRPr="00D158B8" w:rsidRDefault="00D158B8" w:rsidP="00D158B8">
            <w:pPr>
              <w:spacing w:after="0" w:line="240" w:lineRule="auto"/>
              <w:jc w:val="right"/>
              <w:rPr>
                <w:rFonts w:ascii="Calibri" w:eastAsia="Times New Roman" w:hAnsi="Calibri" w:cs="Calibri"/>
                <w:b/>
                <w:bCs/>
                <w:lang w:eastAsia="cs-CZ"/>
              </w:rPr>
            </w:pPr>
            <w:r w:rsidRPr="00D158B8">
              <w:rPr>
                <w:rFonts w:ascii="Calibri" w:eastAsia="Times New Roman" w:hAnsi="Calibri" w:cs="Calibri"/>
                <w:b/>
                <w:bCs/>
                <w:lang w:eastAsia="cs-CZ"/>
              </w:rPr>
              <w:t>4 718 617,38</w:t>
            </w:r>
          </w:p>
        </w:tc>
        <w:tc>
          <w:tcPr>
            <w:tcW w:w="1400" w:type="dxa"/>
            <w:tcBorders>
              <w:top w:val="single" w:sz="8" w:space="0" w:color="auto"/>
              <w:left w:val="nil"/>
              <w:bottom w:val="single" w:sz="8" w:space="0" w:color="auto"/>
              <w:right w:val="single" w:sz="4" w:space="0" w:color="auto"/>
            </w:tcBorders>
            <w:shd w:val="clear" w:color="000000" w:fill="FFFFFF"/>
            <w:noWrap/>
            <w:vAlign w:val="bottom"/>
            <w:hideMark/>
          </w:tcPr>
          <w:p w14:paraId="40BC4EC1" w14:textId="77777777" w:rsidR="00D158B8" w:rsidRPr="00D158B8" w:rsidRDefault="00D158B8" w:rsidP="00D158B8">
            <w:pPr>
              <w:spacing w:after="0" w:line="240" w:lineRule="auto"/>
              <w:jc w:val="right"/>
              <w:rPr>
                <w:rFonts w:ascii="Calibri" w:eastAsia="Times New Roman" w:hAnsi="Calibri" w:cs="Calibri"/>
                <w:b/>
                <w:bCs/>
                <w:lang w:eastAsia="cs-CZ"/>
              </w:rPr>
            </w:pPr>
            <w:r w:rsidRPr="00D158B8">
              <w:rPr>
                <w:rFonts w:ascii="Calibri" w:eastAsia="Times New Roman" w:hAnsi="Calibri" w:cs="Calibri"/>
                <w:b/>
                <w:bCs/>
                <w:lang w:eastAsia="cs-CZ"/>
              </w:rPr>
              <w:t>2 044 632,77</w:t>
            </w:r>
          </w:p>
        </w:tc>
        <w:tc>
          <w:tcPr>
            <w:tcW w:w="647" w:type="dxa"/>
            <w:tcBorders>
              <w:top w:val="single" w:sz="8" w:space="0" w:color="auto"/>
              <w:left w:val="nil"/>
              <w:bottom w:val="single" w:sz="8" w:space="0" w:color="auto"/>
              <w:right w:val="single" w:sz="8" w:space="0" w:color="auto"/>
            </w:tcBorders>
            <w:shd w:val="clear" w:color="000000" w:fill="FFFFFF"/>
            <w:noWrap/>
            <w:vAlign w:val="bottom"/>
            <w:hideMark/>
          </w:tcPr>
          <w:p w14:paraId="132621F3" w14:textId="77777777" w:rsidR="00D158B8" w:rsidRPr="00D158B8" w:rsidRDefault="00D158B8" w:rsidP="00D158B8">
            <w:pPr>
              <w:spacing w:after="0" w:line="240" w:lineRule="auto"/>
              <w:jc w:val="right"/>
              <w:rPr>
                <w:rFonts w:ascii="Calibri" w:eastAsia="Times New Roman" w:hAnsi="Calibri" w:cs="Calibri"/>
                <w:b/>
                <w:bCs/>
                <w:lang w:eastAsia="cs-CZ"/>
              </w:rPr>
            </w:pPr>
            <w:r w:rsidRPr="00D158B8">
              <w:rPr>
                <w:rFonts w:ascii="Calibri" w:eastAsia="Times New Roman" w:hAnsi="Calibri" w:cs="Calibri"/>
                <w:b/>
                <w:bCs/>
                <w:lang w:eastAsia="cs-CZ"/>
              </w:rPr>
              <w:t>43,3</w:t>
            </w:r>
          </w:p>
        </w:tc>
      </w:tr>
      <w:tr w:rsidR="00D158B8" w:rsidRPr="00D158B8" w14:paraId="0832D135" w14:textId="77777777" w:rsidTr="00ED119C">
        <w:trPr>
          <w:trHeight w:val="300"/>
        </w:trPr>
        <w:tc>
          <w:tcPr>
            <w:tcW w:w="826" w:type="dxa"/>
            <w:tcBorders>
              <w:top w:val="nil"/>
              <w:left w:val="nil"/>
              <w:bottom w:val="nil"/>
              <w:right w:val="nil"/>
            </w:tcBorders>
            <w:shd w:val="clear" w:color="auto" w:fill="auto"/>
            <w:noWrap/>
            <w:vAlign w:val="bottom"/>
            <w:hideMark/>
          </w:tcPr>
          <w:p w14:paraId="1670BAB5" w14:textId="77777777" w:rsidR="00D158B8" w:rsidRPr="00D158B8" w:rsidRDefault="00D158B8" w:rsidP="00D158B8">
            <w:pPr>
              <w:spacing w:after="0" w:line="240" w:lineRule="auto"/>
              <w:jc w:val="right"/>
              <w:rPr>
                <w:rFonts w:ascii="Calibri" w:eastAsia="Times New Roman" w:hAnsi="Calibri" w:cs="Calibri"/>
                <w:b/>
                <w:bCs/>
                <w:lang w:eastAsia="cs-CZ"/>
              </w:rPr>
            </w:pPr>
          </w:p>
        </w:tc>
        <w:tc>
          <w:tcPr>
            <w:tcW w:w="4160" w:type="dxa"/>
            <w:tcBorders>
              <w:top w:val="nil"/>
              <w:left w:val="nil"/>
              <w:bottom w:val="nil"/>
              <w:right w:val="nil"/>
            </w:tcBorders>
            <w:shd w:val="clear" w:color="000000" w:fill="FFFFFF"/>
            <w:noWrap/>
            <w:vAlign w:val="bottom"/>
            <w:hideMark/>
          </w:tcPr>
          <w:p w14:paraId="7DB77795" w14:textId="77777777" w:rsidR="00D158B8" w:rsidRPr="00D158B8" w:rsidRDefault="00D158B8" w:rsidP="00D158B8">
            <w:pPr>
              <w:spacing w:after="0" w:line="240" w:lineRule="auto"/>
              <w:rPr>
                <w:rFonts w:ascii="Calibri" w:eastAsia="Times New Roman" w:hAnsi="Calibri" w:cs="Calibri"/>
                <w:b/>
                <w:bCs/>
                <w:sz w:val="24"/>
                <w:szCs w:val="24"/>
                <w:lang w:eastAsia="cs-CZ"/>
              </w:rPr>
            </w:pPr>
            <w:r w:rsidRPr="00D158B8">
              <w:rPr>
                <w:rFonts w:ascii="Calibri" w:eastAsia="Times New Roman" w:hAnsi="Calibri" w:cs="Calibri"/>
                <w:b/>
                <w:bCs/>
                <w:sz w:val="24"/>
                <w:szCs w:val="24"/>
                <w:lang w:eastAsia="cs-CZ"/>
              </w:rPr>
              <w:t> </w:t>
            </w:r>
          </w:p>
        </w:tc>
        <w:tc>
          <w:tcPr>
            <w:tcW w:w="1300" w:type="dxa"/>
            <w:tcBorders>
              <w:top w:val="nil"/>
              <w:left w:val="nil"/>
              <w:bottom w:val="nil"/>
              <w:right w:val="nil"/>
            </w:tcBorders>
            <w:shd w:val="clear" w:color="000000" w:fill="FFFFFF"/>
            <w:noWrap/>
            <w:vAlign w:val="bottom"/>
            <w:hideMark/>
          </w:tcPr>
          <w:p w14:paraId="02739A6D" w14:textId="77777777" w:rsidR="00D158B8" w:rsidRPr="00D158B8" w:rsidRDefault="00D158B8" w:rsidP="00D158B8">
            <w:pPr>
              <w:spacing w:after="0" w:line="240" w:lineRule="auto"/>
              <w:jc w:val="right"/>
              <w:rPr>
                <w:rFonts w:ascii="Calibri" w:eastAsia="Times New Roman" w:hAnsi="Calibri" w:cs="Calibri"/>
                <w:b/>
                <w:bCs/>
                <w:sz w:val="20"/>
                <w:szCs w:val="20"/>
                <w:lang w:eastAsia="cs-CZ"/>
              </w:rPr>
            </w:pPr>
            <w:r w:rsidRPr="00D158B8">
              <w:rPr>
                <w:rFonts w:ascii="Calibri" w:eastAsia="Times New Roman" w:hAnsi="Calibri" w:cs="Calibri"/>
                <w:b/>
                <w:bCs/>
                <w:sz w:val="20"/>
                <w:szCs w:val="20"/>
                <w:lang w:eastAsia="cs-CZ"/>
              </w:rPr>
              <w:t> </w:t>
            </w:r>
          </w:p>
        </w:tc>
        <w:tc>
          <w:tcPr>
            <w:tcW w:w="1584" w:type="dxa"/>
            <w:tcBorders>
              <w:top w:val="nil"/>
              <w:left w:val="nil"/>
              <w:bottom w:val="nil"/>
              <w:right w:val="nil"/>
            </w:tcBorders>
            <w:shd w:val="clear" w:color="000000" w:fill="FFFFFF"/>
            <w:noWrap/>
            <w:vAlign w:val="bottom"/>
            <w:hideMark/>
          </w:tcPr>
          <w:p w14:paraId="27F7EE7D" w14:textId="77777777" w:rsidR="00D158B8" w:rsidRPr="00D158B8" w:rsidRDefault="00D158B8" w:rsidP="00D158B8">
            <w:pPr>
              <w:spacing w:after="0" w:line="240" w:lineRule="auto"/>
              <w:jc w:val="right"/>
              <w:rPr>
                <w:rFonts w:ascii="Calibri" w:eastAsia="Times New Roman" w:hAnsi="Calibri" w:cs="Calibri"/>
                <w:b/>
                <w:bCs/>
                <w:sz w:val="20"/>
                <w:szCs w:val="20"/>
                <w:lang w:eastAsia="cs-CZ"/>
              </w:rPr>
            </w:pPr>
            <w:r w:rsidRPr="00D158B8">
              <w:rPr>
                <w:rFonts w:ascii="Calibri" w:eastAsia="Times New Roman" w:hAnsi="Calibri" w:cs="Calibri"/>
                <w:b/>
                <w:bCs/>
                <w:sz w:val="20"/>
                <w:szCs w:val="20"/>
                <w:lang w:eastAsia="cs-CZ"/>
              </w:rPr>
              <w:t> </w:t>
            </w:r>
          </w:p>
        </w:tc>
        <w:tc>
          <w:tcPr>
            <w:tcW w:w="1400" w:type="dxa"/>
            <w:tcBorders>
              <w:top w:val="nil"/>
              <w:left w:val="nil"/>
              <w:bottom w:val="nil"/>
              <w:right w:val="nil"/>
            </w:tcBorders>
            <w:shd w:val="clear" w:color="000000" w:fill="FFFFFF"/>
            <w:noWrap/>
            <w:vAlign w:val="bottom"/>
            <w:hideMark/>
          </w:tcPr>
          <w:p w14:paraId="6D84EF4D" w14:textId="77777777" w:rsidR="00D158B8" w:rsidRPr="00D158B8" w:rsidRDefault="00D158B8" w:rsidP="00D158B8">
            <w:pPr>
              <w:spacing w:after="0" w:line="240" w:lineRule="auto"/>
              <w:jc w:val="right"/>
              <w:rPr>
                <w:rFonts w:ascii="Calibri" w:eastAsia="Times New Roman" w:hAnsi="Calibri" w:cs="Calibri"/>
                <w:b/>
                <w:bCs/>
                <w:sz w:val="20"/>
                <w:szCs w:val="20"/>
                <w:lang w:eastAsia="cs-CZ"/>
              </w:rPr>
            </w:pPr>
            <w:r w:rsidRPr="00D158B8">
              <w:rPr>
                <w:rFonts w:ascii="Calibri" w:eastAsia="Times New Roman" w:hAnsi="Calibri" w:cs="Calibri"/>
                <w:b/>
                <w:bCs/>
                <w:sz w:val="20"/>
                <w:szCs w:val="20"/>
                <w:lang w:eastAsia="cs-CZ"/>
              </w:rPr>
              <w:t> </w:t>
            </w:r>
          </w:p>
        </w:tc>
        <w:tc>
          <w:tcPr>
            <w:tcW w:w="647" w:type="dxa"/>
            <w:tcBorders>
              <w:top w:val="nil"/>
              <w:left w:val="nil"/>
              <w:bottom w:val="nil"/>
              <w:right w:val="nil"/>
            </w:tcBorders>
            <w:shd w:val="clear" w:color="000000" w:fill="FFFFFF"/>
            <w:noWrap/>
            <w:vAlign w:val="bottom"/>
            <w:hideMark/>
          </w:tcPr>
          <w:p w14:paraId="1FDD4F2A"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 </w:t>
            </w:r>
          </w:p>
        </w:tc>
      </w:tr>
      <w:tr w:rsidR="00D158B8" w:rsidRPr="00D158B8" w14:paraId="4AA97988" w14:textId="77777777" w:rsidTr="00ED119C">
        <w:trPr>
          <w:trHeight w:val="360"/>
        </w:trPr>
        <w:tc>
          <w:tcPr>
            <w:tcW w:w="826" w:type="dxa"/>
            <w:tcBorders>
              <w:top w:val="nil"/>
              <w:left w:val="nil"/>
              <w:bottom w:val="nil"/>
              <w:right w:val="nil"/>
            </w:tcBorders>
            <w:shd w:val="clear" w:color="auto" w:fill="auto"/>
            <w:noWrap/>
            <w:vAlign w:val="center"/>
            <w:hideMark/>
          </w:tcPr>
          <w:p w14:paraId="209094A7" w14:textId="77777777" w:rsidR="00D158B8" w:rsidRPr="00D158B8" w:rsidRDefault="00D158B8" w:rsidP="00D158B8">
            <w:pPr>
              <w:spacing w:after="0" w:line="240" w:lineRule="auto"/>
              <w:jc w:val="right"/>
              <w:rPr>
                <w:rFonts w:ascii="Calibri" w:eastAsia="Times New Roman" w:hAnsi="Calibri" w:cs="Calibri"/>
                <w:sz w:val="20"/>
                <w:szCs w:val="20"/>
                <w:lang w:eastAsia="cs-CZ"/>
              </w:rPr>
            </w:pPr>
          </w:p>
        </w:tc>
        <w:tc>
          <w:tcPr>
            <w:tcW w:w="4160" w:type="dxa"/>
            <w:tcBorders>
              <w:top w:val="nil"/>
              <w:left w:val="nil"/>
              <w:bottom w:val="single" w:sz="8" w:space="0" w:color="auto"/>
              <w:right w:val="nil"/>
            </w:tcBorders>
            <w:shd w:val="clear" w:color="000000" w:fill="FFFFFF"/>
            <w:noWrap/>
            <w:vAlign w:val="center"/>
            <w:hideMark/>
          </w:tcPr>
          <w:p w14:paraId="65A39F8F" w14:textId="77777777" w:rsidR="00D158B8" w:rsidRPr="00D158B8" w:rsidRDefault="00D158B8" w:rsidP="00D158B8">
            <w:pPr>
              <w:spacing w:after="0" w:line="240" w:lineRule="auto"/>
              <w:rPr>
                <w:rFonts w:ascii="Calibri" w:eastAsia="Times New Roman" w:hAnsi="Calibri" w:cs="Calibri"/>
                <w:b/>
                <w:bCs/>
                <w:lang w:eastAsia="cs-CZ"/>
              </w:rPr>
            </w:pPr>
            <w:r w:rsidRPr="00D158B8">
              <w:rPr>
                <w:rFonts w:ascii="Calibri" w:eastAsia="Times New Roman" w:hAnsi="Calibri" w:cs="Calibri"/>
                <w:b/>
                <w:bCs/>
                <w:lang w:eastAsia="cs-CZ"/>
              </w:rPr>
              <w:t>Kapitálové výdaje</w:t>
            </w:r>
          </w:p>
        </w:tc>
        <w:tc>
          <w:tcPr>
            <w:tcW w:w="1300" w:type="dxa"/>
            <w:tcBorders>
              <w:top w:val="nil"/>
              <w:left w:val="nil"/>
              <w:bottom w:val="nil"/>
              <w:right w:val="nil"/>
            </w:tcBorders>
            <w:shd w:val="clear" w:color="000000" w:fill="FFFFFF"/>
            <w:noWrap/>
            <w:vAlign w:val="center"/>
            <w:hideMark/>
          </w:tcPr>
          <w:p w14:paraId="512D296F"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 </w:t>
            </w:r>
          </w:p>
        </w:tc>
        <w:tc>
          <w:tcPr>
            <w:tcW w:w="1584" w:type="dxa"/>
            <w:tcBorders>
              <w:top w:val="nil"/>
              <w:left w:val="nil"/>
              <w:bottom w:val="nil"/>
              <w:right w:val="nil"/>
            </w:tcBorders>
            <w:shd w:val="clear" w:color="000000" w:fill="FFFFFF"/>
            <w:noWrap/>
            <w:vAlign w:val="center"/>
            <w:hideMark/>
          </w:tcPr>
          <w:p w14:paraId="4C9B6429"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 </w:t>
            </w:r>
          </w:p>
        </w:tc>
        <w:tc>
          <w:tcPr>
            <w:tcW w:w="1400" w:type="dxa"/>
            <w:tcBorders>
              <w:top w:val="nil"/>
              <w:left w:val="nil"/>
              <w:bottom w:val="nil"/>
              <w:right w:val="nil"/>
            </w:tcBorders>
            <w:shd w:val="clear" w:color="000000" w:fill="FFFFFF"/>
            <w:noWrap/>
            <w:vAlign w:val="center"/>
            <w:hideMark/>
          </w:tcPr>
          <w:p w14:paraId="005E54C3"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 </w:t>
            </w:r>
          </w:p>
        </w:tc>
        <w:tc>
          <w:tcPr>
            <w:tcW w:w="647" w:type="dxa"/>
            <w:tcBorders>
              <w:top w:val="nil"/>
              <w:left w:val="nil"/>
              <w:bottom w:val="single" w:sz="8" w:space="0" w:color="auto"/>
              <w:right w:val="nil"/>
            </w:tcBorders>
            <w:shd w:val="clear" w:color="000000" w:fill="FFFFFF"/>
            <w:noWrap/>
            <w:vAlign w:val="center"/>
            <w:hideMark/>
          </w:tcPr>
          <w:p w14:paraId="3DE6647A"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 </w:t>
            </w:r>
          </w:p>
        </w:tc>
      </w:tr>
      <w:tr w:rsidR="00D158B8" w:rsidRPr="00D158B8" w14:paraId="6F6B592A" w14:textId="77777777" w:rsidTr="00ED119C">
        <w:trPr>
          <w:trHeight w:val="300"/>
        </w:trPr>
        <w:tc>
          <w:tcPr>
            <w:tcW w:w="826"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62A83D22" w14:textId="77777777" w:rsidR="00D158B8" w:rsidRPr="00D158B8" w:rsidRDefault="00D158B8" w:rsidP="00D158B8">
            <w:pPr>
              <w:spacing w:after="0" w:line="240" w:lineRule="auto"/>
              <w:jc w:val="center"/>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2212</w:t>
            </w:r>
          </w:p>
        </w:tc>
        <w:tc>
          <w:tcPr>
            <w:tcW w:w="4160" w:type="dxa"/>
            <w:tcBorders>
              <w:top w:val="single" w:sz="4" w:space="0" w:color="auto"/>
              <w:left w:val="nil"/>
              <w:bottom w:val="single" w:sz="4" w:space="0" w:color="auto"/>
              <w:right w:val="single" w:sz="4" w:space="0" w:color="auto"/>
            </w:tcBorders>
            <w:shd w:val="clear" w:color="000000" w:fill="FFFFFF"/>
            <w:noWrap/>
            <w:vAlign w:val="bottom"/>
            <w:hideMark/>
          </w:tcPr>
          <w:p w14:paraId="6B3E1C50" w14:textId="77777777" w:rsidR="00D158B8" w:rsidRPr="00D158B8" w:rsidRDefault="00D158B8" w:rsidP="00D158B8">
            <w:pPr>
              <w:spacing w:after="0" w:line="240" w:lineRule="auto"/>
              <w:rPr>
                <w:rFonts w:ascii="Calibri" w:eastAsia="Times New Roman" w:hAnsi="Calibri" w:cs="Calibri"/>
                <w:color w:val="000000"/>
                <w:sz w:val="20"/>
                <w:szCs w:val="20"/>
                <w:lang w:eastAsia="cs-CZ"/>
              </w:rPr>
            </w:pPr>
            <w:r w:rsidRPr="00D158B8">
              <w:rPr>
                <w:rFonts w:ascii="Calibri" w:eastAsia="Times New Roman" w:hAnsi="Calibri" w:cs="Calibri"/>
                <w:color w:val="000000"/>
                <w:sz w:val="20"/>
                <w:szCs w:val="20"/>
                <w:lang w:eastAsia="cs-CZ"/>
              </w:rPr>
              <w:t>Silnice</w:t>
            </w:r>
          </w:p>
        </w:tc>
        <w:tc>
          <w:tcPr>
            <w:tcW w:w="1300" w:type="dxa"/>
            <w:tcBorders>
              <w:top w:val="single" w:sz="8" w:space="0" w:color="auto"/>
              <w:left w:val="nil"/>
              <w:bottom w:val="single" w:sz="4" w:space="0" w:color="auto"/>
              <w:right w:val="single" w:sz="4" w:space="0" w:color="auto"/>
            </w:tcBorders>
            <w:shd w:val="clear" w:color="000000" w:fill="FFFFFF"/>
            <w:noWrap/>
            <w:vAlign w:val="bottom"/>
            <w:hideMark/>
          </w:tcPr>
          <w:p w14:paraId="48D11688"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0</w:t>
            </w:r>
          </w:p>
        </w:tc>
        <w:tc>
          <w:tcPr>
            <w:tcW w:w="1584" w:type="dxa"/>
            <w:tcBorders>
              <w:top w:val="single" w:sz="8" w:space="0" w:color="auto"/>
              <w:left w:val="nil"/>
              <w:bottom w:val="single" w:sz="4" w:space="0" w:color="auto"/>
              <w:right w:val="single" w:sz="4" w:space="0" w:color="auto"/>
            </w:tcBorders>
            <w:shd w:val="clear" w:color="000000" w:fill="FFFFFF"/>
            <w:noWrap/>
            <w:vAlign w:val="bottom"/>
            <w:hideMark/>
          </w:tcPr>
          <w:p w14:paraId="185A47C9"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60 140,49</w:t>
            </w:r>
          </w:p>
        </w:tc>
        <w:tc>
          <w:tcPr>
            <w:tcW w:w="1400" w:type="dxa"/>
            <w:tcBorders>
              <w:top w:val="single" w:sz="8" w:space="0" w:color="auto"/>
              <w:left w:val="nil"/>
              <w:bottom w:val="single" w:sz="4" w:space="0" w:color="auto"/>
              <w:right w:val="single" w:sz="4" w:space="0" w:color="auto"/>
            </w:tcBorders>
            <w:shd w:val="clear" w:color="000000" w:fill="FFFFFF"/>
            <w:noWrap/>
            <w:vAlign w:val="bottom"/>
            <w:hideMark/>
          </w:tcPr>
          <w:p w14:paraId="5A809E78"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33 040,49</w:t>
            </w:r>
          </w:p>
        </w:tc>
        <w:tc>
          <w:tcPr>
            <w:tcW w:w="647" w:type="dxa"/>
            <w:tcBorders>
              <w:top w:val="nil"/>
              <w:left w:val="nil"/>
              <w:bottom w:val="single" w:sz="4" w:space="0" w:color="auto"/>
              <w:right w:val="single" w:sz="8" w:space="0" w:color="auto"/>
            </w:tcBorders>
            <w:shd w:val="clear" w:color="000000" w:fill="FFFFFF"/>
            <w:noWrap/>
            <w:vAlign w:val="bottom"/>
            <w:hideMark/>
          </w:tcPr>
          <w:p w14:paraId="134C4121"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54,9</w:t>
            </w:r>
          </w:p>
        </w:tc>
      </w:tr>
      <w:tr w:rsidR="00D158B8" w:rsidRPr="00D158B8" w14:paraId="01B348C7" w14:textId="77777777" w:rsidTr="00ED119C">
        <w:trPr>
          <w:trHeight w:val="30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044899B8" w14:textId="77777777" w:rsidR="00D158B8" w:rsidRPr="00D158B8" w:rsidRDefault="00D158B8" w:rsidP="00D158B8">
            <w:pPr>
              <w:spacing w:after="0" w:line="240" w:lineRule="auto"/>
              <w:jc w:val="center"/>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2219</w:t>
            </w:r>
          </w:p>
        </w:tc>
        <w:tc>
          <w:tcPr>
            <w:tcW w:w="4160" w:type="dxa"/>
            <w:tcBorders>
              <w:top w:val="nil"/>
              <w:left w:val="nil"/>
              <w:bottom w:val="single" w:sz="4" w:space="0" w:color="auto"/>
              <w:right w:val="nil"/>
            </w:tcBorders>
            <w:shd w:val="clear" w:color="000000" w:fill="FFFFFF"/>
            <w:noWrap/>
            <w:vAlign w:val="bottom"/>
            <w:hideMark/>
          </w:tcPr>
          <w:p w14:paraId="703DEC40" w14:textId="77777777" w:rsidR="00D158B8" w:rsidRPr="00D158B8" w:rsidRDefault="00D158B8" w:rsidP="00D158B8">
            <w:pPr>
              <w:spacing w:after="0" w:line="240" w:lineRule="auto"/>
              <w:rPr>
                <w:rFonts w:ascii="Calibri" w:eastAsia="Times New Roman" w:hAnsi="Calibri" w:cs="Calibri"/>
                <w:color w:val="000000"/>
                <w:sz w:val="20"/>
                <w:szCs w:val="20"/>
                <w:lang w:eastAsia="cs-CZ"/>
              </w:rPr>
            </w:pPr>
            <w:r w:rsidRPr="00D158B8">
              <w:rPr>
                <w:rFonts w:ascii="Calibri" w:eastAsia="Times New Roman" w:hAnsi="Calibri" w:cs="Calibri"/>
                <w:color w:val="000000"/>
                <w:sz w:val="20"/>
                <w:szCs w:val="20"/>
                <w:lang w:eastAsia="cs-CZ"/>
              </w:rPr>
              <w:t>Ostatní záležitosti pozemních komunikací</w:t>
            </w:r>
          </w:p>
        </w:tc>
        <w:tc>
          <w:tcPr>
            <w:tcW w:w="1300" w:type="dxa"/>
            <w:tcBorders>
              <w:top w:val="nil"/>
              <w:left w:val="single" w:sz="4" w:space="0" w:color="auto"/>
              <w:bottom w:val="single" w:sz="4" w:space="0" w:color="auto"/>
              <w:right w:val="single" w:sz="4" w:space="0" w:color="auto"/>
            </w:tcBorders>
            <w:shd w:val="clear" w:color="000000" w:fill="FFFFFF"/>
            <w:noWrap/>
            <w:vAlign w:val="bottom"/>
            <w:hideMark/>
          </w:tcPr>
          <w:p w14:paraId="129D4D3D"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0</w:t>
            </w:r>
          </w:p>
        </w:tc>
        <w:tc>
          <w:tcPr>
            <w:tcW w:w="1584" w:type="dxa"/>
            <w:tcBorders>
              <w:top w:val="nil"/>
              <w:left w:val="nil"/>
              <w:bottom w:val="single" w:sz="4" w:space="0" w:color="auto"/>
              <w:right w:val="single" w:sz="4" w:space="0" w:color="auto"/>
            </w:tcBorders>
            <w:shd w:val="clear" w:color="000000" w:fill="FFFFFF"/>
            <w:noWrap/>
            <w:vAlign w:val="bottom"/>
            <w:hideMark/>
          </w:tcPr>
          <w:p w14:paraId="37A8C58C"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1 210,00</w:t>
            </w:r>
          </w:p>
        </w:tc>
        <w:tc>
          <w:tcPr>
            <w:tcW w:w="1400" w:type="dxa"/>
            <w:tcBorders>
              <w:top w:val="nil"/>
              <w:left w:val="nil"/>
              <w:bottom w:val="single" w:sz="4" w:space="0" w:color="auto"/>
              <w:right w:val="single" w:sz="4" w:space="0" w:color="auto"/>
            </w:tcBorders>
            <w:shd w:val="clear" w:color="000000" w:fill="FFFFFF"/>
            <w:noWrap/>
            <w:vAlign w:val="bottom"/>
            <w:hideMark/>
          </w:tcPr>
          <w:p w14:paraId="60AF6206"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1 210,00</w:t>
            </w:r>
          </w:p>
        </w:tc>
        <w:tc>
          <w:tcPr>
            <w:tcW w:w="647" w:type="dxa"/>
            <w:tcBorders>
              <w:top w:val="nil"/>
              <w:left w:val="nil"/>
              <w:bottom w:val="single" w:sz="4" w:space="0" w:color="auto"/>
              <w:right w:val="single" w:sz="8" w:space="0" w:color="auto"/>
            </w:tcBorders>
            <w:shd w:val="clear" w:color="000000" w:fill="FFFFFF"/>
            <w:noWrap/>
            <w:vAlign w:val="bottom"/>
            <w:hideMark/>
          </w:tcPr>
          <w:p w14:paraId="43507C09"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100,0</w:t>
            </w:r>
          </w:p>
        </w:tc>
      </w:tr>
      <w:tr w:rsidR="00D158B8" w:rsidRPr="00D158B8" w14:paraId="1DE66811" w14:textId="77777777" w:rsidTr="00ED119C">
        <w:trPr>
          <w:trHeight w:val="30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55FBB629" w14:textId="77777777" w:rsidR="00D158B8" w:rsidRPr="00D158B8" w:rsidRDefault="00D158B8" w:rsidP="00D158B8">
            <w:pPr>
              <w:spacing w:after="0" w:line="240" w:lineRule="auto"/>
              <w:jc w:val="center"/>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3121</w:t>
            </w:r>
          </w:p>
        </w:tc>
        <w:tc>
          <w:tcPr>
            <w:tcW w:w="4160" w:type="dxa"/>
            <w:tcBorders>
              <w:top w:val="nil"/>
              <w:left w:val="nil"/>
              <w:bottom w:val="single" w:sz="4" w:space="0" w:color="auto"/>
              <w:right w:val="nil"/>
            </w:tcBorders>
            <w:shd w:val="clear" w:color="000000" w:fill="FFFFFF"/>
            <w:noWrap/>
            <w:vAlign w:val="bottom"/>
            <w:hideMark/>
          </w:tcPr>
          <w:p w14:paraId="348821C2" w14:textId="77777777" w:rsidR="00D158B8" w:rsidRPr="00D158B8" w:rsidRDefault="00D158B8" w:rsidP="00D158B8">
            <w:pPr>
              <w:spacing w:after="0" w:line="240" w:lineRule="auto"/>
              <w:rPr>
                <w:rFonts w:ascii="Calibri" w:eastAsia="Times New Roman" w:hAnsi="Calibri" w:cs="Calibri"/>
                <w:color w:val="000000"/>
                <w:sz w:val="20"/>
                <w:szCs w:val="20"/>
                <w:lang w:eastAsia="cs-CZ"/>
              </w:rPr>
            </w:pPr>
            <w:r w:rsidRPr="00D158B8">
              <w:rPr>
                <w:rFonts w:ascii="Calibri" w:eastAsia="Times New Roman" w:hAnsi="Calibri" w:cs="Calibri"/>
                <w:color w:val="000000"/>
                <w:sz w:val="20"/>
                <w:szCs w:val="20"/>
                <w:lang w:eastAsia="cs-CZ"/>
              </w:rPr>
              <w:t>Gymnázia</w:t>
            </w:r>
          </w:p>
        </w:tc>
        <w:tc>
          <w:tcPr>
            <w:tcW w:w="1300" w:type="dxa"/>
            <w:tcBorders>
              <w:top w:val="nil"/>
              <w:left w:val="single" w:sz="4" w:space="0" w:color="auto"/>
              <w:bottom w:val="single" w:sz="4" w:space="0" w:color="auto"/>
              <w:right w:val="single" w:sz="4" w:space="0" w:color="auto"/>
            </w:tcBorders>
            <w:shd w:val="clear" w:color="000000" w:fill="FFFFFF"/>
            <w:noWrap/>
            <w:vAlign w:val="bottom"/>
            <w:hideMark/>
          </w:tcPr>
          <w:p w14:paraId="6583D84E"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0</w:t>
            </w:r>
          </w:p>
        </w:tc>
        <w:tc>
          <w:tcPr>
            <w:tcW w:w="1584" w:type="dxa"/>
            <w:tcBorders>
              <w:top w:val="nil"/>
              <w:left w:val="nil"/>
              <w:bottom w:val="single" w:sz="4" w:space="0" w:color="auto"/>
              <w:right w:val="single" w:sz="4" w:space="0" w:color="auto"/>
            </w:tcBorders>
            <w:shd w:val="clear" w:color="000000" w:fill="FFFFFF"/>
            <w:noWrap/>
            <w:vAlign w:val="bottom"/>
            <w:hideMark/>
          </w:tcPr>
          <w:p w14:paraId="0E0E1775"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13 931,75</w:t>
            </w:r>
          </w:p>
        </w:tc>
        <w:tc>
          <w:tcPr>
            <w:tcW w:w="1400" w:type="dxa"/>
            <w:tcBorders>
              <w:top w:val="nil"/>
              <w:left w:val="nil"/>
              <w:bottom w:val="single" w:sz="4" w:space="0" w:color="auto"/>
              <w:right w:val="single" w:sz="4" w:space="0" w:color="auto"/>
            </w:tcBorders>
            <w:shd w:val="clear" w:color="000000" w:fill="FFFFFF"/>
            <w:noWrap/>
            <w:vAlign w:val="bottom"/>
            <w:hideMark/>
          </w:tcPr>
          <w:p w14:paraId="4DA6A54A"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13 931,75</w:t>
            </w:r>
          </w:p>
        </w:tc>
        <w:tc>
          <w:tcPr>
            <w:tcW w:w="647" w:type="dxa"/>
            <w:tcBorders>
              <w:top w:val="nil"/>
              <w:left w:val="nil"/>
              <w:bottom w:val="single" w:sz="4" w:space="0" w:color="auto"/>
              <w:right w:val="single" w:sz="8" w:space="0" w:color="auto"/>
            </w:tcBorders>
            <w:shd w:val="clear" w:color="000000" w:fill="FFFFFF"/>
            <w:noWrap/>
            <w:vAlign w:val="bottom"/>
            <w:hideMark/>
          </w:tcPr>
          <w:p w14:paraId="0D1FF428"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100,0</w:t>
            </w:r>
          </w:p>
        </w:tc>
      </w:tr>
      <w:tr w:rsidR="00D158B8" w:rsidRPr="00D158B8" w14:paraId="5F21A409" w14:textId="77777777" w:rsidTr="00ED119C">
        <w:trPr>
          <w:trHeight w:val="255"/>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2B331D3C" w14:textId="77777777" w:rsidR="00D158B8" w:rsidRPr="00D158B8" w:rsidRDefault="00D158B8" w:rsidP="00D158B8">
            <w:pPr>
              <w:spacing w:after="0" w:line="240" w:lineRule="auto"/>
              <w:jc w:val="center"/>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3122</w:t>
            </w:r>
          </w:p>
        </w:tc>
        <w:tc>
          <w:tcPr>
            <w:tcW w:w="4160" w:type="dxa"/>
            <w:tcBorders>
              <w:top w:val="nil"/>
              <w:left w:val="nil"/>
              <w:bottom w:val="single" w:sz="4" w:space="0" w:color="auto"/>
              <w:right w:val="nil"/>
            </w:tcBorders>
            <w:shd w:val="clear" w:color="000000" w:fill="FFFFFF"/>
            <w:noWrap/>
            <w:vAlign w:val="bottom"/>
            <w:hideMark/>
          </w:tcPr>
          <w:p w14:paraId="62F53E18" w14:textId="77777777" w:rsidR="00D158B8" w:rsidRPr="00D158B8" w:rsidRDefault="00D158B8" w:rsidP="00D158B8">
            <w:pPr>
              <w:spacing w:after="0" w:line="240" w:lineRule="auto"/>
              <w:rPr>
                <w:rFonts w:ascii="Calibri" w:eastAsia="Times New Roman" w:hAnsi="Calibri" w:cs="Calibri"/>
                <w:color w:val="000000"/>
                <w:sz w:val="20"/>
                <w:szCs w:val="20"/>
                <w:lang w:eastAsia="cs-CZ"/>
              </w:rPr>
            </w:pPr>
            <w:r w:rsidRPr="00D158B8">
              <w:rPr>
                <w:rFonts w:ascii="Calibri" w:eastAsia="Times New Roman" w:hAnsi="Calibri" w:cs="Calibri"/>
                <w:color w:val="000000"/>
                <w:sz w:val="20"/>
                <w:szCs w:val="20"/>
                <w:lang w:eastAsia="cs-CZ"/>
              </w:rPr>
              <w:t>Střední odborné školy</w:t>
            </w:r>
          </w:p>
        </w:tc>
        <w:tc>
          <w:tcPr>
            <w:tcW w:w="1300" w:type="dxa"/>
            <w:tcBorders>
              <w:top w:val="nil"/>
              <w:left w:val="single" w:sz="4" w:space="0" w:color="auto"/>
              <w:bottom w:val="single" w:sz="4" w:space="0" w:color="auto"/>
              <w:right w:val="single" w:sz="4" w:space="0" w:color="auto"/>
            </w:tcBorders>
            <w:shd w:val="clear" w:color="000000" w:fill="FFFFFF"/>
            <w:noWrap/>
            <w:vAlign w:val="bottom"/>
            <w:hideMark/>
          </w:tcPr>
          <w:p w14:paraId="755BFA81"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0</w:t>
            </w:r>
          </w:p>
        </w:tc>
        <w:tc>
          <w:tcPr>
            <w:tcW w:w="1584" w:type="dxa"/>
            <w:tcBorders>
              <w:top w:val="nil"/>
              <w:left w:val="nil"/>
              <w:bottom w:val="single" w:sz="4" w:space="0" w:color="auto"/>
              <w:right w:val="single" w:sz="4" w:space="0" w:color="auto"/>
            </w:tcBorders>
            <w:shd w:val="clear" w:color="000000" w:fill="FFFFFF"/>
            <w:noWrap/>
            <w:vAlign w:val="bottom"/>
            <w:hideMark/>
          </w:tcPr>
          <w:p w14:paraId="64A61442"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41 552,41</w:t>
            </w:r>
          </w:p>
        </w:tc>
        <w:tc>
          <w:tcPr>
            <w:tcW w:w="1400" w:type="dxa"/>
            <w:tcBorders>
              <w:top w:val="nil"/>
              <w:left w:val="nil"/>
              <w:bottom w:val="single" w:sz="4" w:space="0" w:color="auto"/>
              <w:right w:val="single" w:sz="4" w:space="0" w:color="auto"/>
            </w:tcBorders>
            <w:shd w:val="clear" w:color="000000" w:fill="FFFFFF"/>
            <w:noWrap/>
            <w:vAlign w:val="bottom"/>
            <w:hideMark/>
          </w:tcPr>
          <w:p w14:paraId="5264094F"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41 552,41</w:t>
            </w:r>
          </w:p>
        </w:tc>
        <w:tc>
          <w:tcPr>
            <w:tcW w:w="647" w:type="dxa"/>
            <w:tcBorders>
              <w:top w:val="nil"/>
              <w:left w:val="nil"/>
              <w:bottom w:val="single" w:sz="4" w:space="0" w:color="auto"/>
              <w:right w:val="single" w:sz="8" w:space="0" w:color="auto"/>
            </w:tcBorders>
            <w:shd w:val="clear" w:color="000000" w:fill="FFFFFF"/>
            <w:noWrap/>
            <w:vAlign w:val="bottom"/>
            <w:hideMark/>
          </w:tcPr>
          <w:p w14:paraId="62C5F3AA"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100,0</w:t>
            </w:r>
          </w:p>
        </w:tc>
      </w:tr>
      <w:tr w:rsidR="00D158B8" w:rsidRPr="00D158B8" w14:paraId="4C36CFAC" w14:textId="77777777" w:rsidTr="00ED119C">
        <w:trPr>
          <w:trHeight w:val="51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289EE0F6" w14:textId="77777777" w:rsidR="00D158B8" w:rsidRPr="00D158B8" w:rsidRDefault="00D158B8" w:rsidP="00D158B8">
            <w:pPr>
              <w:spacing w:after="0" w:line="240" w:lineRule="auto"/>
              <w:jc w:val="center"/>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3123</w:t>
            </w:r>
          </w:p>
        </w:tc>
        <w:tc>
          <w:tcPr>
            <w:tcW w:w="4160" w:type="dxa"/>
            <w:tcBorders>
              <w:top w:val="nil"/>
              <w:left w:val="nil"/>
              <w:bottom w:val="single" w:sz="4" w:space="0" w:color="auto"/>
              <w:right w:val="nil"/>
            </w:tcBorders>
            <w:shd w:val="clear" w:color="000000" w:fill="FFFFFF"/>
            <w:vAlign w:val="bottom"/>
            <w:hideMark/>
          </w:tcPr>
          <w:p w14:paraId="72290239" w14:textId="77777777" w:rsidR="00D158B8" w:rsidRPr="00D158B8" w:rsidRDefault="00D158B8" w:rsidP="00D158B8">
            <w:pPr>
              <w:spacing w:after="0" w:line="240" w:lineRule="auto"/>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Střední školy poskytující střední vzdělání s výučním listem</w:t>
            </w:r>
          </w:p>
        </w:tc>
        <w:tc>
          <w:tcPr>
            <w:tcW w:w="1300" w:type="dxa"/>
            <w:tcBorders>
              <w:top w:val="nil"/>
              <w:left w:val="single" w:sz="4" w:space="0" w:color="auto"/>
              <w:bottom w:val="single" w:sz="4" w:space="0" w:color="auto"/>
              <w:right w:val="single" w:sz="4" w:space="0" w:color="auto"/>
            </w:tcBorders>
            <w:shd w:val="clear" w:color="000000" w:fill="FFFFFF"/>
            <w:noWrap/>
            <w:vAlign w:val="bottom"/>
            <w:hideMark/>
          </w:tcPr>
          <w:p w14:paraId="2A474223"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0</w:t>
            </w:r>
          </w:p>
        </w:tc>
        <w:tc>
          <w:tcPr>
            <w:tcW w:w="1584" w:type="dxa"/>
            <w:tcBorders>
              <w:top w:val="nil"/>
              <w:left w:val="nil"/>
              <w:bottom w:val="single" w:sz="4" w:space="0" w:color="auto"/>
              <w:right w:val="single" w:sz="4" w:space="0" w:color="auto"/>
            </w:tcBorders>
            <w:shd w:val="clear" w:color="000000" w:fill="FFFFFF"/>
            <w:noWrap/>
            <w:vAlign w:val="bottom"/>
            <w:hideMark/>
          </w:tcPr>
          <w:p w14:paraId="0AC11541"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66 955,56</w:t>
            </w:r>
          </w:p>
        </w:tc>
        <w:tc>
          <w:tcPr>
            <w:tcW w:w="1400" w:type="dxa"/>
            <w:tcBorders>
              <w:top w:val="nil"/>
              <w:left w:val="nil"/>
              <w:bottom w:val="single" w:sz="4" w:space="0" w:color="auto"/>
              <w:right w:val="single" w:sz="4" w:space="0" w:color="auto"/>
            </w:tcBorders>
            <w:shd w:val="clear" w:color="000000" w:fill="FFFFFF"/>
            <w:noWrap/>
            <w:vAlign w:val="bottom"/>
            <w:hideMark/>
          </w:tcPr>
          <w:p w14:paraId="2C591E9B"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66 955,56</w:t>
            </w:r>
          </w:p>
        </w:tc>
        <w:tc>
          <w:tcPr>
            <w:tcW w:w="647" w:type="dxa"/>
            <w:tcBorders>
              <w:top w:val="nil"/>
              <w:left w:val="nil"/>
              <w:bottom w:val="single" w:sz="4" w:space="0" w:color="auto"/>
              <w:right w:val="single" w:sz="8" w:space="0" w:color="auto"/>
            </w:tcBorders>
            <w:shd w:val="clear" w:color="000000" w:fill="FFFFFF"/>
            <w:noWrap/>
            <w:vAlign w:val="bottom"/>
            <w:hideMark/>
          </w:tcPr>
          <w:p w14:paraId="71F7D86D"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100,0</w:t>
            </w:r>
          </w:p>
        </w:tc>
      </w:tr>
      <w:tr w:rsidR="00D158B8" w:rsidRPr="00D158B8" w14:paraId="2487343E" w14:textId="77777777" w:rsidTr="00ED119C">
        <w:trPr>
          <w:trHeight w:val="255"/>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6DC9DFE9" w14:textId="77777777" w:rsidR="00D158B8" w:rsidRPr="00D158B8" w:rsidRDefault="00D158B8" w:rsidP="00D158B8">
            <w:pPr>
              <w:spacing w:after="0" w:line="240" w:lineRule="auto"/>
              <w:jc w:val="center"/>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3231</w:t>
            </w:r>
          </w:p>
        </w:tc>
        <w:tc>
          <w:tcPr>
            <w:tcW w:w="4160" w:type="dxa"/>
            <w:tcBorders>
              <w:top w:val="nil"/>
              <w:left w:val="nil"/>
              <w:bottom w:val="single" w:sz="4" w:space="0" w:color="auto"/>
              <w:right w:val="nil"/>
            </w:tcBorders>
            <w:shd w:val="clear" w:color="000000" w:fill="FFFFFF"/>
            <w:vAlign w:val="bottom"/>
            <w:hideMark/>
          </w:tcPr>
          <w:p w14:paraId="749FD318" w14:textId="77777777" w:rsidR="00D158B8" w:rsidRPr="00D158B8" w:rsidRDefault="00D158B8" w:rsidP="00D158B8">
            <w:pPr>
              <w:spacing w:after="0" w:line="240" w:lineRule="auto"/>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Základní umělecké školy</w:t>
            </w:r>
          </w:p>
        </w:tc>
        <w:tc>
          <w:tcPr>
            <w:tcW w:w="1300" w:type="dxa"/>
            <w:tcBorders>
              <w:top w:val="nil"/>
              <w:left w:val="single" w:sz="4" w:space="0" w:color="auto"/>
              <w:bottom w:val="single" w:sz="4" w:space="0" w:color="auto"/>
              <w:right w:val="single" w:sz="4" w:space="0" w:color="auto"/>
            </w:tcBorders>
            <w:shd w:val="clear" w:color="000000" w:fill="FFFFFF"/>
            <w:noWrap/>
            <w:vAlign w:val="bottom"/>
            <w:hideMark/>
          </w:tcPr>
          <w:p w14:paraId="32723DD3"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0</w:t>
            </w:r>
          </w:p>
        </w:tc>
        <w:tc>
          <w:tcPr>
            <w:tcW w:w="1584" w:type="dxa"/>
            <w:tcBorders>
              <w:top w:val="nil"/>
              <w:left w:val="nil"/>
              <w:bottom w:val="single" w:sz="4" w:space="0" w:color="auto"/>
              <w:right w:val="single" w:sz="4" w:space="0" w:color="auto"/>
            </w:tcBorders>
            <w:shd w:val="clear" w:color="000000" w:fill="FFFFFF"/>
            <w:noWrap/>
            <w:vAlign w:val="bottom"/>
            <w:hideMark/>
          </w:tcPr>
          <w:p w14:paraId="63BA961A"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302,50</w:t>
            </w:r>
          </w:p>
        </w:tc>
        <w:tc>
          <w:tcPr>
            <w:tcW w:w="1400" w:type="dxa"/>
            <w:tcBorders>
              <w:top w:val="nil"/>
              <w:left w:val="nil"/>
              <w:bottom w:val="single" w:sz="4" w:space="0" w:color="auto"/>
              <w:right w:val="single" w:sz="4" w:space="0" w:color="auto"/>
            </w:tcBorders>
            <w:shd w:val="clear" w:color="000000" w:fill="FFFFFF"/>
            <w:noWrap/>
            <w:vAlign w:val="bottom"/>
            <w:hideMark/>
          </w:tcPr>
          <w:p w14:paraId="081D441B"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302,50</w:t>
            </w:r>
          </w:p>
        </w:tc>
        <w:tc>
          <w:tcPr>
            <w:tcW w:w="647" w:type="dxa"/>
            <w:tcBorders>
              <w:top w:val="nil"/>
              <w:left w:val="nil"/>
              <w:bottom w:val="single" w:sz="4" w:space="0" w:color="auto"/>
              <w:right w:val="single" w:sz="8" w:space="0" w:color="auto"/>
            </w:tcBorders>
            <w:shd w:val="clear" w:color="000000" w:fill="FFFFFF"/>
            <w:noWrap/>
            <w:vAlign w:val="bottom"/>
            <w:hideMark/>
          </w:tcPr>
          <w:p w14:paraId="65CA7F6C"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100,0</w:t>
            </w:r>
          </w:p>
        </w:tc>
      </w:tr>
      <w:tr w:rsidR="00D158B8" w:rsidRPr="00D158B8" w14:paraId="2711D745" w14:textId="77777777" w:rsidTr="00ED119C">
        <w:trPr>
          <w:trHeight w:val="30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71EBF87A" w14:textId="77777777" w:rsidR="00D158B8" w:rsidRPr="00D158B8" w:rsidRDefault="00D158B8" w:rsidP="00D158B8">
            <w:pPr>
              <w:spacing w:after="0" w:line="240" w:lineRule="auto"/>
              <w:jc w:val="center"/>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3314</w:t>
            </w:r>
          </w:p>
        </w:tc>
        <w:tc>
          <w:tcPr>
            <w:tcW w:w="4160" w:type="dxa"/>
            <w:tcBorders>
              <w:top w:val="nil"/>
              <w:left w:val="nil"/>
              <w:bottom w:val="single" w:sz="4" w:space="0" w:color="auto"/>
              <w:right w:val="nil"/>
            </w:tcBorders>
            <w:shd w:val="clear" w:color="000000" w:fill="FFFFFF"/>
            <w:vAlign w:val="bottom"/>
            <w:hideMark/>
          </w:tcPr>
          <w:p w14:paraId="04A844E1" w14:textId="77777777" w:rsidR="00D158B8" w:rsidRPr="00D158B8" w:rsidRDefault="00D158B8" w:rsidP="00D158B8">
            <w:pPr>
              <w:spacing w:after="0" w:line="240" w:lineRule="auto"/>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Činnosti knihovnické</w:t>
            </w:r>
          </w:p>
        </w:tc>
        <w:tc>
          <w:tcPr>
            <w:tcW w:w="1300" w:type="dxa"/>
            <w:tcBorders>
              <w:top w:val="nil"/>
              <w:left w:val="single" w:sz="4" w:space="0" w:color="auto"/>
              <w:bottom w:val="single" w:sz="4" w:space="0" w:color="auto"/>
              <w:right w:val="single" w:sz="4" w:space="0" w:color="auto"/>
            </w:tcBorders>
            <w:shd w:val="clear" w:color="000000" w:fill="FFFFFF"/>
            <w:noWrap/>
            <w:vAlign w:val="bottom"/>
            <w:hideMark/>
          </w:tcPr>
          <w:p w14:paraId="46671639"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0</w:t>
            </w:r>
          </w:p>
        </w:tc>
        <w:tc>
          <w:tcPr>
            <w:tcW w:w="1584" w:type="dxa"/>
            <w:tcBorders>
              <w:top w:val="nil"/>
              <w:left w:val="nil"/>
              <w:bottom w:val="single" w:sz="4" w:space="0" w:color="auto"/>
              <w:right w:val="single" w:sz="4" w:space="0" w:color="auto"/>
            </w:tcBorders>
            <w:shd w:val="clear" w:color="000000" w:fill="FFFFFF"/>
            <w:noWrap/>
            <w:vAlign w:val="bottom"/>
            <w:hideMark/>
          </w:tcPr>
          <w:p w14:paraId="7BCC622B"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302,50</w:t>
            </w:r>
          </w:p>
        </w:tc>
        <w:tc>
          <w:tcPr>
            <w:tcW w:w="1400" w:type="dxa"/>
            <w:tcBorders>
              <w:top w:val="nil"/>
              <w:left w:val="nil"/>
              <w:bottom w:val="single" w:sz="4" w:space="0" w:color="auto"/>
              <w:right w:val="single" w:sz="4" w:space="0" w:color="auto"/>
            </w:tcBorders>
            <w:shd w:val="clear" w:color="000000" w:fill="FFFFFF"/>
            <w:noWrap/>
            <w:vAlign w:val="bottom"/>
            <w:hideMark/>
          </w:tcPr>
          <w:p w14:paraId="6ADF072D"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302,50</w:t>
            </w:r>
          </w:p>
        </w:tc>
        <w:tc>
          <w:tcPr>
            <w:tcW w:w="647" w:type="dxa"/>
            <w:tcBorders>
              <w:top w:val="nil"/>
              <w:left w:val="nil"/>
              <w:bottom w:val="single" w:sz="4" w:space="0" w:color="auto"/>
              <w:right w:val="single" w:sz="8" w:space="0" w:color="auto"/>
            </w:tcBorders>
            <w:shd w:val="clear" w:color="000000" w:fill="FFFFFF"/>
            <w:noWrap/>
            <w:vAlign w:val="bottom"/>
            <w:hideMark/>
          </w:tcPr>
          <w:p w14:paraId="0923376C"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100,0</w:t>
            </w:r>
          </w:p>
        </w:tc>
      </w:tr>
      <w:tr w:rsidR="00D158B8" w:rsidRPr="00D158B8" w14:paraId="622F4751" w14:textId="77777777" w:rsidTr="00ED119C">
        <w:trPr>
          <w:trHeight w:val="30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727C2BE9" w14:textId="77777777" w:rsidR="00D158B8" w:rsidRPr="00D158B8" w:rsidRDefault="00D158B8" w:rsidP="00D158B8">
            <w:pPr>
              <w:spacing w:after="0" w:line="240" w:lineRule="auto"/>
              <w:jc w:val="center"/>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3315</w:t>
            </w:r>
          </w:p>
        </w:tc>
        <w:tc>
          <w:tcPr>
            <w:tcW w:w="4160" w:type="dxa"/>
            <w:tcBorders>
              <w:top w:val="nil"/>
              <w:left w:val="nil"/>
              <w:bottom w:val="single" w:sz="4" w:space="0" w:color="auto"/>
              <w:right w:val="nil"/>
            </w:tcBorders>
            <w:shd w:val="clear" w:color="000000" w:fill="FFFFFF"/>
            <w:vAlign w:val="bottom"/>
            <w:hideMark/>
          </w:tcPr>
          <w:p w14:paraId="20AD6C2D" w14:textId="77777777" w:rsidR="00D158B8" w:rsidRPr="00D158B8" w:rsidRDefault="00D158B8" w:rsidP="00D158B8">
            <w:pPr>
              <w:spacing w:after="0" w:line="240" w:lineRule="auto"/>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Činnosti muzeí a galerií</w:t>
            </w:r>
          </w:p>
        </w:tc>
        <w:tc>
          <w:tcPr>
            <w:tcW w:w="1300" w:type="dxa"/>
            <w:tcBorders>
              <w:top w:val="nil"/>
              <w:left w:val="single" w:sz="4" w:space="0" w:color="auto"/>
              <w:bottom w:val="single" w:sz="4" w:space="0" w:color="auto"/>
              <w:right w:val="single" w:sz="4" w:space="0" w:color="auto"/>
            </w:tcBorders>
            <w:shd w:val="clear" w:color="000000" w:fill="FFFFFF"/>
            <w:noWrap/>
            <w:vAlign w:val="bottom"/>
            <w:hideMark/>
          </w:tcPr>
          <w:p w14:paraId="381BCECB"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0</w:t>
            </w:r>
          </w:p>
        </w:tc>
        <w:tc>
          <w:tcPr>
            <w:tcW w:w="1584" w:type="dxa"/>
            <w:tcBorders>
              <w:top w:val="nil"/>
              <w:left w:val="nil"/>
              <w:bottom w:val="single" w:sz="4" w:space="0" w:color="auto"/>
              <w:right w:val="single" w:sz="4" w:space="0" w:color="auto"/>
            </w:tcBorders>
            <w:shd w:val="clear" w:color="000000" w:fill="FFFFFF"/>
            <w:noWrap/>
            <w:vAlign w:val="bottom"/>
            <w:hideMark/>
          </w:tcPr>
          <w:p w14:paraId="1DD9106C"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74 079,55</w:t>
            </w:r>
          </w:p>
        </w:tc>
        <w:tc>
          <w:tcPr>
            <w:tcW w:w="1400" w:type="dxa"/>
            <w:tcBorders>
              <w:top w:val="nil"/>
              <w:left w:val="nil"/>
              <w:bottom w:val="single" w:sz="4" w:space="0" w:color="auto"/>
              <w:right w:val="single" w:sz="4" w:space="0" w:color="auto"/>
            </w:tcBorders>
            <w:shd w:val="clear" w:color="000000" w:fill="FFFFFF"/>
            <w:noWrap/>
            <w:vAlign w:val="bottom"/>
            <w:hideMark/>
          </w:tcPr>
          <w:p w14:paraId="2B57CE6F"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74 079,55</w:t>
            </w:r>
          </w:p>
        </w:tc>
        <w:tc>
          <w:tcPr>
            <w:tcW w:w="647" w:type="dxa"/>
            <w:tcBorders>
              <w:top w:val="nil"/>
              <w:left w:val="nil"/>
              <w:bottom w:val="single" w:sz="4" w:space="0" w:color="auto"/>
              <w:right w:val="single" w:sz="8" w:space="0" w:color="auto"/>
            </w:tcBorders>
            <w:shd w:val="clear" w:color="000000" w:fill="FFFFFF"/>
            <w:noWrap/>
            <w:vAlign w:val="bottom"/>
            <w:hideMark/>
          </w:tcPr>
          <w:p w14:paraId="629751F0"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100,0</w:t>
            </w:r>
          </w:p>
        </w:tc>
      </w:tr>
      <w:tr w:rsidR="00D158B8" w:rsidRPr="00D158B8" w14:paraId="7A11EF42" w14:textId="77777777" w:rsidTr="00ED119C">
        <w:trPr>
          <w:trHeight w:val="315"/>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4ACFD42E" w14:textId="77777777" w:rsidR="00D158B8" w:rsidRPr="00D158B8" w:rsidRDefault="00D158B8" w:rsidP="00D158B8">
            <w:pPr>
              <w:spacing w:after="0" w:line="240" w:lineRule="auto"/>
              <w:jc w:val="center"/>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3533</w:t>
            </w:r>
          </w:p>
        </w:tc>
        <w:tc>
          <w:tcPr>
            <w:tcW w:w="4160" w:type="dxa"/>
            <w:tcBorders>
              <w:top w:val="nil"/>
              <w:left w:val="nil"/>
              <w:bottom w:val="single" w:sz="4" w:space="0" w:color="auto"/>
              <w:right w:val="nil"/>
            </w:tcBorders>
            <w:shd w:val="clear" w:color="000000" w:fill="FFFFFF"/>
            <w:vAlign w:val="bottom"/>
            <w:hideMark/>
          </w:tcPr>
          <w:p w14:paraId="220BB5D0" w14:textId="77777777" w:rsidR="00D158B8" w:rsidRPr="00D158B8" w:rsidRDefault="00D158B8" w:rsidP="00D158B8">
            <w:pPr>
              <w:spacing w:after="0" w:line="240" w:lineRule="auto"/>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Zdravotnická záchranná služba</w:t>
            </w:r>
          </w:p>
        </w:tc>
        <w:tc>
          <w:tcPr>
            <w:tcW w:w="1300" w:type="dxa"/>
            <w:tcBorders>
              <w:top w:val="nil"/>
              <w:left w:val="single" w:sz="4" w:space="0" w:color="auto"/>
              <w:bottom w:val="single" w:sz="4" w:space="0" w:color="auto"/>
              <w:right w:val="single" w:sz="4" w:space="0" w:color="auto"/>
            </w:tcBorders>
            <w:shd w:val="clear" w:color="000000" w:fill="FFFFFF"/>
            <w:noWrap/>
            <w:vAlign w:val="bottom"/>
            <w:hideMark/>
          </w:tcPr>
          <w:p w14:paraId="364AC2E1"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0</w:t>
            </w:r>
          </w:p>
        </w:tc>
        <w:tc>
          <w:tcPr>
            <w:tcW w:w="1584" w:type="dxa"/>
            <w:tcBorders>
              <w:top w:val="nil"/>
              <w:left w:val="nil"/>
              <w:bottom w:val="single" w:sz="4" w:space="0" w:color="auto"/>
              <w:right w:val="single" w:sz="4" w:space="0" w:color="auto"/>
            </w:tcBorders>
            <w:shd w:val="clear" w:color="000000" w:fill="FFFFFF"/>
            <w:noWrap/>
            <w:vAlign w:val="bottom"/>
            <w:hideMark/>
          </w:tcPr>
          <w:p w14:paraId="6D23152A"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1 622,61</w:t>
            </w:r>
          </w:p>
        </w:tc>
        <w:tc>
          <w:tcPr>
            <w:tcW w:w="1400" w:type="dxa"/>
            <w:tcBorders>
              <w:top w:val="nil"/>
              <w:left w:val="nil"/>
              <w:bottom w:val="single" w:sz="4" w:space="0" w:color="auto"/>
              <w:right w:val="single" w:sz="4" w:space="0" w:color="auto"/>
            </w:tcBorders>
            <w:shd w:val="clear" w:color="000000" w:fill="FFFFFF"/>
            <w:noWrap/>
            <w:vAlign w:val="bottom"/>
            <w:hideMark/>
          </w:tcPr>
          <w:p w14:paraId="75EFEDE1"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1 622,61</w:t>
            </w:r>
          </w:p>
        </w:tc>
        <w:tc>
          <w:tcPr>
            <w:tcW w:w="647" w:type="dxa"/>
            <w:tcBorders>
              <w:top w:val="nil"/>
              <w:left w:val="nil"/>
              <w:bottom w:val="single" w:sz="4" w:space="0" w:color="auto"/>
              <w:right w:val="single" w:sz="8" w:space="0" w:color="auto"/>
            </w:tcBorders>
            <w:shd w:val="clear" w:color="000000" w:fill="FFFFFF"/>
            <w:noWrap/>
            <w:vAlign w:val="bottom"/>
            <w:hideMark/>
          </w:tcPr>
          <w:p w14:paraId="1085DA3C"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100,0</w:t>
            </w:r>
          </w:p>
        </w:tc>
      </w:tr>
      <w:tr w:rsidR="00D158B8" w:rsidRPr="00D158B8" w14:paraId="362305A9" w14:textId="77777777" w:rsidTr="00ED119C">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1D14B169" w14:textId="77777777" w:rsidR="00D158B8" w:rsidRPr="00D158B8" w:rsidRDefault="00D158B8" w:rsidP="00D158B8">
            <w:pPr>
              <w:spacing w:after="0" w:line="240" w:lineRule="auto"/>
              <w:jc w:val="center"/>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4350</w:t>
            </w:r>
          </w:p>
        </w:tc>
        <w:tc>
          <w:tcPr>
            <w:tcW w:w="4160" w:type="dxa"/>
            <w:tcBorders>
              <w:top w:val="nil"/>
              <w:left w:val="nil"/>
              <w:bottom w:val="single" w:sz="4" w:space="0" w:color="auto"/>
              <w:right w:val="nil"/>
            </w:tcBorders>
            <w:shd w:val="clear" w:color="000000" w:fill="FFFFFF"/>
            <w:vAlign w:val="bottom"/>
            <w:hideMark/>
          </w:tcPr>
          <w:p w14:paraId="3DE6DB7E" w14:textId="77777777" w:rsidR="00D158B8" w:rsidRPr="00D158B8" w:rsidRDefault="00D158B8" w:rsidP="00D158B8">
            <w:pPr>
              <w:spacing w:after="0" w:line="240" w:lineRule="auto"/>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Domovy pro seniory</w:t>
            </w:r>
          </w:p>
        </w:tc>
        <w:tc>
          <w:tcPr>
            <w:tcW w:w="1300" w:type="dxa"/>
            <w:tcBorders>
              <w:top w:val="nil"/>
              <w:left w:val="single" w:sz="4" w:space="0" w:color="auto"/>
              <w:bottom w:val="single" w:sz="4" w:space="0" w:color="auto"/>
              <w:right w:val="single" w:sz="4" w:space="0" w:color="auto"/>
            </w:tcBorders>
            <w:shd w:val="clear" w:color="000000" w:fill="FFFFFF"/>
            <w:noWrap/>
            <w:vAlign w:val="bottom"/>
            <w:hideMark/>
          </w:tcPr>
          <w:p w14:paraId="5C7F3C26"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0</w:t>
            </w:r>
          </w:p>
        </w:tc>
        <w:tc>
          <w:tcPr>
            <w:tcW w:w="1584" w:type="dxa"/>
            <w:tcBorders>
              <w:top w:val="nil"/>
              <w:left w:val="nil"/>
              <w:bottom w:val="single" w:sz="4" w:space="0" w:color="auto"/>
              <w:right w:val="single" w:sz="4" w:space="0" w:color="auto"/>
            </w:tcBorders>
            <w:shd w:val="clear" w:color="000000" w:fill="FFFFFF"/>
            <w:noWrap/>
            <w:vAlign w:val="bottom"/>
            <w:hideMark/>
          </w:tcPr>
          <w:p w14:paraId="183373AB"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19 986,25</w:t>
            </w:r>
          </w:p>
        </w:tc>
        <w:tc>
          <w:tcPr>
            <w:tcW w:w="1400" w:type="dxa"/>
            <w:tcBorders>
              <w:top w:val="nil"/>
              <w:left w:val="nil"/>
              <w:bottom w:val="single" w:sz="4" w:space="0" w:color="auto"/>
              <w:right w:val="single" w:sz="4" w:space="0" w:color="auto"/>
            </w:tcBorders>
            <w:shd w:val="clear" w:color="000000" w:fill="FFFFFF"/>
            <w:noWrap/>
            <w:vAlign w:val="bottom"/>
            <w:hideMark/>
          </w:tcPr>
          <w:p w14:paraId="08E93640"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19 986,25</w:t>
            </w:r>
          </w:p>
        </w:tc>
        <w:tc>
          <w:tcPr>
            <w:tcW w:w="647" w:type="dxa"/>
            <w:tcBorders>
              <w:top w:val="nil"/>
              <w:left w:val="nil"/>
              <w:bottom w:val="single" w:sz="4" w:space="0" w:color="auto"/>
              <w:right w:val="single" w:sz="8" w:space="0" w:color="auto"/>
            </w:tcBorders>
            <w:shd w:val="clear" w:color="000000" w:fill="FFFFFF"/>
            <w:noWrap/>
            <w:vAlign w:val="bottom"/>
            <w:hideMark/>
          </w:tcPr>
          <w:p w14:paraId="75D2E188"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100,0</w:t>
            </w:r>
          </w:p>
        </w:tc>
      </w:tr>
      <w:tr w:rsidR="00D158B8" w:rsidRPr="00D158B8" w14:paraId="27D7E7CA" w14:textId="77777777" w:rsidTr="00ED119C">
        <w:trPr>
          <w:trHeight w:val="319"/>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789CE38E" w14:textId="77777777" w:rsidR="00D158B8" w:rsidRPr="00D158B8" w:rsidRDefault="00D158B8" w:rsidP="00D158B8">
            <w:pPr>
              <w:spacing w:after="0" w:line="240" w:lineRule="auto"/>
              <w:jc w:val="center"/>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6172</w:t>
            </w:r>
          </w:p>
        </w:tc>
        <w:tc>
          <w:tcPr>
            <w:tcW w:w="4160" w:type="dxa"/>
            <w:tcBorders>
              <w:top w:val="nil"/>
              <w:left w:val="nil"/>
              <w:bottom w:val="single" w:sz="4" w:space="0" w:color="auto"/>
              <w:right w:val="nil"/>
            </w:tcBorders>
            <w:shd w:val="clear" w:color="auto" w:fill="auto"/>
            <w:vAlign w:val="bottom"/>
            <w:hideMark/>
          </w:tcPr>
          <w:p w14:paraId="35D2C382" w14:textId="77777777" w:rsidR="00D158B8" w:rsidRPr="00D158B8" w:rsidRDefault="00D158B8" w:rsidP="00D158B8">
            <w:pPr>
              <w:spacing w:after="0" w:line="240" w:lineRule="auto"/>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Činnost regionální správy</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71A3350E"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0</w:t>
            </w:r>
          </w:p>
        </w:tc>
        <w:tc>
          <w:tcPr>
            <w:tcW w:w="1584" w:type="dxa"/>
            <w:tcBorders>
              <w:top w:val="nil"/>
              <w:left w:val="nil"/>
              <w:bottom w:val="single" w:sz="4" w:space="0" w:color="auto"/>
              <w:right w:val="single" w:sz="4" w:space="0" w:color="auto"/>
            </w:tcBorders>
            <w:shd w:val="clear" w:color="auto" w:fill="auto"/>
            <w:noWrap/>
            <w:vAlign w:val="bottom"/>
            <w:hideMark/>
          </w:tcPr>
          <w:p w14:paraId="1D374A55"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605,00</w:t>
            </w:r>
          </w:p>
        </w:tc>
        <w:tc>
          <w:tcPr>
            <w:tcW w:w="1400" w:type="dxa"/>
            <w:tcBorders>
              <w:top w:val="nil"/>
              <w:left w:val="nil"/>
              <w:bottom w:val="single" w:sz="4" w:space="0" w:color="auto"/>
              <w:right w:val="single" w:sz="4" w:space="0" w:color="auto"/>
            </w:tcBorders>
            <w:shd w:val="clear" w:color="auto" w:fill="auto"/>
            <w:noWrap/>
            <w:vAlign w:val="bottom"/>
            <w:hideMark/>
          </w:tcPr>
          <w:p w14:paraId="6D2B5640"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605,00</w:t>
            </w:r>
          </w:p>
        </w:tc>
        <w:tc>
          <w:tcPr>
            <w:tcW w:w="647" w:type="dxa"/>
            <w:tcBorders>
              <w:top w:val="nil"/>
              <w:left w:val="nil"/>
              <w:bottom w:val="single" w:sz="4" w:space="0" w:color="auto"/>
              <w:right w:val="single" w:sz="8" w:space="0" w:color="auto"/>
            </w:tcBorders>
            <w:shd w:val="clear" w:color="auto" w:fill="auto"/>
            <w:noWrap/>
            <w:vAlign w:val="bottom"/>
            <w:hideMark/>
          </w:tcPr>
          <w:p w14:paraId="3298B802"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100,0</w:t>
            </w:r>
          </w:p>
        </w:tc>
      </w:tr>
      <w:tr w:rsidR="00D158B8" w:rsidRPr="00D158B8" w14:paraId="251975AE" w14:textId="77777777" w:rsidTr="00ED119C">
        <w:trPr>
          <w:trHeight w:val="319"/>
        </w:trPr>
        <w:tc>
          <w:tcPr>
            <w:tcW w:w="826"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0E3F9AA" w14:textId="77777777" w:rsidR="00D158B8" w:rsidRPr="00D158B8" w:rsidRDefault="00D158B8" w:rsidP="00D158B8">
            <w:pPr>
              <w:spacing w:after="0" w:line="240" w:lineRule="auto"/>
              <w:jc w:val="center"/>
              <w:rPr>
                <w:rFonts w:ascii="Calibri" w:eastAsia="Times New Roman" w:hAnsi="Calibri" w:cs="Calibri"/>
                <w:lang w:eastAsia="cs-CZ"/>
              </w:rPr>
            </w:pPr>
            <w:r w:rsidRPr="00D158B8">
              <w:rPr>
                <w:rFonts w:ascii="Calibri" w:eastAsia="Times New Roman" w:hAnsi="Calibri" w:cs="Calibri"/>
                <w:lang w:eastAsia="cs-CZ"/>
              </w:rPr>
              <w:t> </w:t>
            </w:r>
          </w:p>
        </w:tc>
        <w:tc>
          <w:tcPr>
            <w:tcW w:w="4160" w:type="dxa"/>
            <w:tcBorders>
              <w:top w:val="single" w:sz="8" w:space="0" w:color="auto"/>
              <w:left w:val="nil"/>
              <w:bottom w:val="single" w:sz="8" w:space="0" w:color="auto"/>
              <w:right w:val="single" w:sz="4" w:space="0" w:color="auto"/>
            </w:tcBorders>
            <w:shd w:val="clear" w:color="auto" w:fill="auto"/>
            <w:noWrap/>
            <w:vAlign w:val="center"/>
            <w:hideMark/>
          </w:tcPr>
          <w:p w14:paraId="64EDBAF5" w14:textId="77777777" w:rsidR="00D158B8" w:rsidRPr="00D158B8" w:rsidRDefault="00D158B8" w:rsidP="00D158B8">
            <w:pPr>
              <w:spacing w:after="0" w:line="240" w:lineRule="auto"/>
              <w:rPr>
                <w:rFonts w:ascii="Calibri" w:eastAsia="Times New Roman" w:hAnsi="Calibri" w:cs="Calibri"/>
                <w:b/>
                <w:bCs/>
                <w:lang w:eastAsia="cs-CZ"/>
              </w:rPr>
            </w:pPr>
            <w:r w:rsidRPr="00D158B8">
              <w:rPr>
                <w:rFonts w:ascii="Calibri" w:eastAsia="Times New Roman" w:hAnsi="Calibri" w:cs="Calibri"/>
                <w:b/>
                <w:bCs/>
                <w:lang w:eastAsia="cs-CZ"/>
              </w:rPr>
              <w:t>Celkem</w:t>
            </w:r>
          </w:p>
        </w:tc>
        <w:tc>
          <w:tcPr>
            <w:tcW w:w="1300" w:type="dxa"/>
            <w:tcBorders>
              <w:top w:val="single" w:sz="8" w:space="0" w:color="auto"/>
              <w:left w:val="nil"/>
              <w:bottom w:val="single" w:sz="8" w:space="0" w:color="auto"/>
              <w:right w:val="single" w:sz="4" w:space="0" w:color="auto"/>
            </w:tcBorders>
            <w:shd w:val="clear" w:color="auto" w:fill="auto"/>
            <w:noWrap/>
            <w:vAlign w:val="center"/>
            <w:hideMark/>
          </w:tcPr>
          <w:p w14:paraId="0F2A3ECB" w14:textId="77777777" w:rsidR="00D158B8" w:rsidRPr="00D158B8" w:rsidRDefault="00D158B8" w:rsidP="00D158B8">
            <w:pPr>
              <w:spacing w:after="0" w:line="240" w:lineRule="auto"/>
              <w:jc w:val="right"/>
              <w:rPr>
                <w:rFonts w:ascii="Calibri" w:eastAsia="Times New Roman" w:hAnsi="Calibri" w:cs="Calibri"/>
                <w:b/>
                <w:bCs/>
                <w:lang w:eastAsia="cs-CZ"/>
              </w:rPr>
            </w:pPr>
            <w:r w:rsidRPr="00D158B8">
              <w:rPr>
                <w:rFonts w:ascii="Calibri" w:eastAsia="Times New Roman" w:hAnsi="Calibri" w:cs="Calibri"/>
                <w:b/>
                <w:bCs/>
                <w:lang w:eastAsia="cs-CZ"/>
              </w:rPr>
              <w:t>0</w:t>
            </w:r>
          </w:p>
        </w:tc>
        <w:tc>
          <w:tcPr>
            <w:tcW w:w="1584" w:type="dxa"/>
            <w:tcBorders>
              <w:top w:val="single" w:sz="8" w:space="0" w:color="auto"/>
              <w:left w:val="nil"/>
              <w:bottom w:val="single" w:sz="8" w:space="0" w:color="auto"/>
              <w:right w:val="single" w:sz="4" w:space="0" w:color="auto"/>
            </w:tcBorders>
            <w:shd w:val="clear" w:color="auto" w:fill="auto"/>
            <w:noWrap/>
            <w:vAlign w:val="center"/>
            <w:hideMark/>
          </w:tcPr>
          <w:p w14:paraId="62B7B9E6" w14:textId="77777777" w:rsidR="00D158B8" w:rsidRPr="00D158B8" w:rsidRDefault="00D158B8" w:rsidP="00D158B8">
            <w:pPr>
              <w:spacing w:after="0" w:line="240" w:lineRule="auto"/>
              <w:jc w:val="right"/>
              <w:rPr>
                <w:rFonts w:ascii="Calibri" w:eastAsia="Times New Roman" w:hAnsi="Calibri" w:cs="Calibri"/>
                <w:b/>
                <w:bCs/>
                <w:lang w:eastAsia="cs-CZ"/>
              </w:rPr>
            </w:pPr>
            <w:r w:rsidRPr="00D158B8">
              <w:rPr>
                <w:rFonts w:ascii="Calibri" w:eastAsia="Times New Roman" w:hAnsi="Calibri" w:cs="Calibri"/>
                <w:b/>
                <w:bCs/>
                <w:lang w:eastAsia="cs-CZ"/>
              </w:rPr>
              <w:t>280 688,62</w:t>
            </w:r>
          </w:p>
        </w:tc>
        <w:tc>
          <w:tcPr>
            <w:tcW w:w="1400" w:type="dxa"/>
            <w:tcBorders>
              <w:top w:val="single" w:sz="8" w:space="0" w:color="auto"/>
              <w:left w:val="nil"/>
              <w:bottom w:val="single" w:sz="8" w:space="0" w:color="auto"/>
              <w:right w:val="single" w:sz="4" w:space="0" w:color="auto"/>
            </w:tcBorders>
            <w:shd w:val="clear" w:color="auto" w:fill="auto"/>
            <w:noWrap/>
            <w:vAlign w:val="center"/>
            <w:hideMark/>
          </w:tcPr>
          <w:p w14:paraId="3D63A9AF" w14:textId="77777777" w:rsidR="00D158B8" w:rsidRPr="00D158B8" w:rsidRDefault="00D158B8" w:rsidP="00D158B8">
            <w:pPr>
              <w:spacing w:after="0" w:line="240" w:lineRule="auto"/>
              <w:jc w:val="right"/>
              <w:rPr>
                <w:rFonts w:ascii="Calibri" w:eastAsia="Times New Roman" w:hAnsi="Calibri" w:cs="Calibri"/>
                <w:b/>
                <w:bCs/>
                <w:lang w:eastAsia="cs-CZ"/>
              </w:rPr>
            </w:pPr>
            <w:r w:rsidRPr="00D158B8">
              <w:rPr>
                <w:rFonts w:ascii="Calibri" w:eastAsia="Times New Roman" w:hAnsi="Calibri" w:cs="Calibri"/>
                <w:b/>
                <w:bCs/>
                <w:lang w:eastAsia="cs-CZ"/>
              </w:rPr>
              <w:t>253 588,62</w:t>
            </w:r>
          </w:p>
        </w:tc>
        <w:tc>
          <w:tcPr>
            <w:tcW w:w="647" w:type="dxa"/>
            <w:tcBorders>
              <w:top w:val="single" w:sz="8" w:space="0" w:color="auto"/>
              <w:left w:val="nil"/>
              <w:bottom w:val="single" w:sz="8" w:space="0" w:color="auto"/>
              <w:right w:val="single" w:sz="8" w:space="0" w:color="auto"/>
            </w:tcBorders>
            <w:shd w:val="clear" w:color="auto" w:fill="auto"/>
            <w:noWrap/>
            <w:vAlign w:val="bottom"/>
            <w:hideMark/>
          </w:tcPr>
          <w:p w14:paraId="33718574" w14:textId="77777777" w:rsidR="00D158B8" w:rsidRPr="00D158B8" w:rsidRDefault="00D158B8" w:rsidP="00D158B8">
            <w:pPr>
              <w:spacing w:after="0" w:line="240" w:lineRule="auto"/>
              <w:jc w:val="right"/>
              <w:rPr>
                <w:rFonts w:ascii="Calibri" w:eastAsia="Times New Roman" w:hAnsi="Calibri" w:cs="Calibri"/>
                <w:b/>
                <w:bCs/>
                <w:lang w:eastAsia="cs-CZ"/>
              </w:rPr>
            </w:pPr>
            <w:r w:rsidRPr="00D158B8">
              <w:rPr>
                <w:rFonts w:ascii="Calibri" w:eastAsia="Times New Roman" w:hAnsi="Calibri" w:cs="Calibri"/>
                <w:b/>
                <w:bCs/>
                <w:lang w:eastAsia="cs-CZ"/>
              </w:rPr>
              <w:t>90,3</w:t>
            </w:r>
          </w:p>
        </w:tc>
      </w:tr>
      <w:tr w:rsidR="00D158B8" w:rsidRPr="00D158B8" w14:paraId="3991DA01" w14:textId="77777777" w:rsidTr="00ED119C">
        <w:trPr>
          <w:trHeight w:val="300"/>
        </w:trPr>
        <w:tc>
          <w:tcPr>
            <w:tcW w:w="826" w:type="dxa"/>
            <w:tcBorders>
              <w:top w:val="nil"/>
              <w:left w:val="nil"/>
              <w:bottom w:val="nil"/>
              <w:right w:val="nil"/>
            </w:tcBorders>
            <w:shd w:val="clear" w:color="auto" w:fill="auto"/>
            <w:noWrap/>
            <w:vAlign w:val="bottom"/>
            <w:hideMark/>
          </w:tcPr>
          <w:p w14:paraId="5CC45313" w14:textId="77777777" w:rsidR="00D158B8" w:rsidRPr="00D158B8" w:rsidRDefault="00D158B8" w:rsidP="00D158B8">
            <w:pPr>
              <w:spacing w:after="0" w:line="240" w:lineRule="auto"/>
              <w:jc w:val="right"/>
              <w:rPr>
                <w:rFonts w:ascii="Calibri" w:eastAsia="Times New Roman" w:hAnsi="Calibri" w:cs="Calibri"/>
                <w:b/>
                <w:bCs/>
                <w:lang w:eastAsia="cs-CZ"/>
              </w:rPr>
            </w:pPr>
          </w:p>
        </w:tc>
        <w:tc>
          <w:tcPr>
            <w:tcW w:w="4160" w:type="dxa"/>
            <w:tcBorders>
              <w:top w:val="nil"/>
              <w:left w:val="nil"/>
              <w:bottom w:val="nil"/>
              <w:right w:val="nil"/>
            </w:tcBorders>
            <w:shd w:val="clear" w:color="auto" w:fill="auto"/>
            <w:noWrap/>
            <w:vAlign w:val="bottom"/>
            <w:hideMark/>
          </w:tcPr>
          <w:p w14:paraId="72B3E8F3" w14:textId="77777777" w:rsidR="00D158B8" w:rsidRPr="00D158B8" w:rsidRDefault="00D158B8" w:rsidP="00D158B8">
            <w:pPr>
              <w:spacing w:after="0" w:line="240" w:lineRule="auto"/>
              <w:rPr>
                <w:rFonts w:ascii="Times New Roman" w:eastAsia="Times New Roman" w:hAnsi="Times New Roman" w:cs="Times New Roman"/>
                <w:sz w:val="20"/>
                <w:szCs w:val="20"/>
                <w:lang w:eastAsia="cs-CZ"/>
              </w:rPr>
            </w:pPr>
          </w:p>
        </w:tc>
        <w:tc>
          <w:tcPr>
            <w:tcW w:w="1300" w:type="dxa"/>
            <w:tcBorders>
              <w:top w:val="nil"/>
              <w:left w:val="nil"/>
              <w:bottom w:val="nil"/>
              <w:right w:val="nil"/>
            </w:tcBorders>
            <w:shd w:val="clear" w:color="auto" w:fill="auto"/>
            <w:noWrap/>
            <w:vAlign w:val="bottom"/>
            <w:hideMark/>
          </w:tcPr>
          <w:p w14:paraId="7AFCA570" w14:textId="77777777" w:rsidR="00D158B8" w:rsidRPr="00D158B8" w:rsidRDefault="00D158B8" w:rsidP="00D158B8">
            <w:pPr>
              <w:spacing w:after="0" w:line="240" w:lineRule="auto"/>
              <w:rPr>
                <w:rFonts w:ascii="Times New Roman" w:eastAsia="Times New Roman" w:hAnsi="Times New Roman" w:cs="Times New Roman"/>
                <w:sz w:val="20"/>
                <w:szCs w:val="20"/>
                <w:lang w:eastAsia="cs-CZ"/>
              </w:rPr>
            </w:pPr>
          </w:p>
        </w:tc>
        <w:tc>
          <w:tcPr>
            <w:tcW w:w="1584" w:type="dxa"/>
            <w:tcBorders>
              <w:top w:val="nil"/>
              <w:left w:val="nil"/>
              <w:bottom w:val="nil"/>
              <w:right w:val="nil"/>
            </w:tcBorders>
            <w:shd w:val="clear" w:color="auto" w:fill="auto"/>
            <w:noWrap/>
            <w:vAlign w:val="bottom"/>
            <w:hideMark/>
          </w:tcPr>
          <w:p w14:paraId="4963C0EF" w14:textId="77777777" w:rsidR="00D158B8" w:rsidRPr="00D158B8" w:rsidRDefault="00D158B8" w:rsidP="00D158B8">
            <w:pPr>
              <w:spacing w:after="0" w:line="240" w:lineRule="auto"/>
              <w:jc w:val="right"/>
              <w:rPr>
                <w:rFonts w:ascii="Times New Roman" w:eastAsia="Times New Roman" w:hAnsi="Times New Roman" w:cs="Times New Roman"/>
                <w:sz w:val="20"/>
                <w:szCs w:val="20"/>
                <w:lang w:eastAsia="cs-CZ"/>
              </w:rPr>
            </w:pPr>
          </w:p>
        </w:tc>
        <w:tc>
          <w:tcPr>
            <w:tcW w:w="1400" w:type="dxa"/>
            <w:tcBorders>
              <w:top w:val="nil"/>
              <w:left w:val="nil"/>
              <w:bottom w:val="nil"/>
              <w:right w:val="nil"/>
            </w:tcBorders>
            <w:shd w:val="clear" w:color="auto" w:fill="auto"/>
            <w:noWrap/>
            <w:vAlign w:val="bottom"/>
            <w:hideMark/>
          </w:tcPr>
          <w:p w14:paraId="12ED656C" w14:textId="77777777" w:rsidR="00D158B8" w:rsidRPr="00D158B8" w:rsidRDefault="00D158B8" w:rsidP="00D158B8">
            <w:pPr>
              <w:spacing w:after="0" w:line="240" w:lineRule="auto"/>
              <w:jc w:val="right"/>
              <w:rPr>
                <w:rFonts w:ascii="Times New Roman" w:eastAsia="Times New Roman" w:hAnsi="Times New Roman" w:cs="Times New Roman"/>
                <w:sz w:val="20"/>
                <w:szCs w:val="20"/>
                <w:lang w:eastAsia="cs-CZ"/>
              </w:rPr>
            </w:pPr>
          </w:p>
        </w:tc>
        <w:tc>
          <w:tcPr>
            <w:tcW w:w="647" w:type="dxa"/>
            <w:tcBorders>
              <w:top w:val="nil"/>
              <w:left w:val="nil"/>
              <w:bottom w:val="nil"/>
              <w:right w:val="nil"/>
            </w:tcBorders>
            <w:shd w:val="clear" w:color="auto" w:fill="auto"/>
            <w:noWrap/>
            <w:vAlign w:val="bottom"/>
            <w:hideMark/>
          </w:tcPr>
          <w:p w14:paraId="3858967C" w14:textId="77777777" w:rsidR="00D158B8" w:rsidRPr="00D158B8" w:rsidRDefault="00D158B8" w:rsidP="00D158B8">
            <w:pPr>
              <w:spacing w:after="0" w:line="240" w:lineRule="auto"/>
              <w:jc w:val="right"/>
              <w:rPr>
                <w:rFonts w:ascii="Times New Roman" w:eastAsia="Times New Roman" w:hAnsi="Times New Roman" w:cs="Times New Roman"/>
                <w:sz w:val="20"/>
                <w:szCs w:val="20"/>
                <w:lang w:eastAsia="cs-CZ"/>
              </w:rPr>
            </w:pPr>
          </w:p>
        </w:tc>
      </w:tr>
      <w:tr w:rsidR="00D158B8" w:rsidRPr="00D158B8" w14:paraId="290D737E" w14:textId="77777777" w:rsidTr="00ED119C">
        <w:trPr>
          <w:trHeight w:val="360"/>
        </w:trPr>
        <w:tc>
          <w:tcPr>
            <w:tcW w:w="4986"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2B6532BA" w14:textId="77777777" w:rsidR="00D158B8" w:rsidRPr="00D158B8" w:rsidRDefault="00D158B8" w:rsidP="00D158B8">
            <w:pPr>
              <w:spacing w:after="0" w:line="240" w:lineRule="auto"/>
              <w:rPr>
                <w:rFonts w:ascii="Calibri" w:eastAsia="Times New Roman" w:hAnsi="Calibri" w:cs="Calibri"/>
                <w:b/>
                <w:bCs/>
                <w:sz w:val="24"/>
                <w:szCs w:val="24"/>
                <w:lang w:eastAsia="cs-CZ"/>
              </w:rPr>
            </w:pPr>
            <w:r w:rsidRPr="00D158B8">
              <w:rPr>
                <w:rFonts w:ascii="Calibri" w:eastAsia="Times New Roman" w:hAnsi="Calibri" w:cs="Calibri"/>
                <w:b/>
                <w:bCs/>
                <w:sz w:val="24"/>
                <w:szCs w:val="24"/>
                <w:lang w:eastAsia="cs-CZ"/>
              </w:rPr>
              <w:t>Celkem výdaje</w:t>
            </w:r>
          </w:p>
        </w:tc>
        <w:tc>
          <w:tcPr>
            <w:tcW w:w="1300" w:type="dxa"/>
            <w:tcBorders>
              <w:top w:val="single" w:sz="8" w:space="0" w:color="auto"/>
              <w:left w:val="nil"/>
              <w:bottom w:val="single" w:sz="8" w:space="0" w:color="auto"/>
              <w:right w:val="single" w:sz="8" w:space="0" w:color="auto"/>
            </w:tcBorders>
            <w:shd w:val="clear" w:color="auto" w:fill="auto"/>
            <w:noWrap/>
            <w:vAlign w:val="bottom"/>
            <w:hideMark/>
          </w:tcPr>
          <w:p w14:paraId="6457E5A8" w14:textId="77777777" w:rsidR="00D158B8" w:rsidRPr="00D158B8" w:rsidRDefault="00D158B8" w:rsidP="00D158B8">
            <w:pPr>
              <w:spacing w:after="0" w:line="240" w:lineRule="auto"/>
              <w:jc w:val="right"/>
              <w:rPr>
                <w:rFonts w:ascii="Calibri" w:eastAsia="Times New Roman" w:hAnsi="Calibri" w:cs="Calibri"/>
                <w:b/>
                <w:bCs/>
                <w:lang w:eastAsia="cs-CZ"/>
              </w:rPr>
            </w:pPr>
            <w:r w:rsidRPr="00D158B8">
              <w:rPr>
                <w:rFonts w:ascii="Calibri" w:eastAsia="Times New Roman" w:hAnsi="Calibri" w:cs="Calibri"/>
                <w:b/>
                <w:bCs/>
                <w:lang w:eastAsia="cs-CZ"/>
              </w:rPr>
              <w:t>4 880 000</w:t>
            </w:r>
          </w:p>
        </w:tc>
        <w:tc>
          <w:tcPr>
            <w:tcW w:w="1584" w:type="dxa"/>
            <w:tcBorders>
              <w:top w:val="single" w:sz="8" w:space="0" w:color="auto"/>
              <w:left w:val="nil"/>
              <w:bottom w:val="single" w:sz="8" w:space="0" w:color="auto"/>
              <w:right w:val="single" w:sz="8" w:space="0" w:color="auto"/>
            </w:tcBorders>
            <w:shd w:val="clear" w:color="auto" w:fill="auto"/>
            <w:noWrap/>
            <w:vAlign w:val="bottom"/>
            <w:hideMark/>
          </w:tcPr>
          <w:p w14:paraId="1B1240F0" w14:textId="77777777" w:rsidR="00D158B8" w:rsidRPr="00D158B8" w:rsidRDefault="00D158B8" w:rsidP="00D158B8">
            <w:pPr>
              <w:spacing w:after="0" w:line="240" w:lineRule="auto"/>
              <w:jc w:val="right"/>
              <w:rPr>
                <w:rFonts w:ascii="Calibri" w:eastAsia="Times New Roman" w:hAnsi="Calibri" w:cs="Calibri"/>
                <w:b/>
                <w:bCs/>
                <w:lang w:eastAsia="cs-CZ"/>
              </w:rPr>
            </w:pPr>
            <w:r w:rsidRPr="00D158B8">
              <w:rPr>
                <w:rFonts w:ascii="Calibri" w:eastAsia="Times New Roman" w:hAnsi="Calibri" w:cs="Calibri"/>
                <w:b/>
                <w:bCs/>
                <w:lang w:eastAsia="cs-CZ"/>
              </w:rPr>
              <w:t>4 999 306,00</w:t>
            </w:r>
          </w:p>
        </w:tc>
        <w:tc>
          <w:tcPr>
            <w:tcW w:w="1400" w:type="dxa"/>
            <w:tcBorders>
              <w:top w:val="single" w:sz="8" w:space="0" w:color="auto"/>
              <w:left w:val="nil"/>
              <w:bottom w:val="single" w:sz="8" w:space="0" w:color="auto"/>
              <w:right w:val="single" w:sz="8" w:space="0" w:color="auto"/>
            </w:tcBorders>
            <w:shd w:val="clear" w:color="auto" w:fill="auto"/>
            <w:noWrap/>
            <w:vAlign w:val="bottom"/>
            <w:hideMark/>
          </w:tcPr>
          <w:p w14:paraId="26520809" w14:textId="77777777" w:rsidR="00D158B8" w:rsidRPr="00D158B8" w:rsidRDefault="00D158B8" w:rsidP="00D158B8">
            <w:pPr>
              <w:spacing w:after="0" w:line="240" w:lineRule="auto"/>
              <w:jc w:val="right"/>
              <w:rPr>
                <w:rFonts w:ascii="Calibri" w:eastAsia="Times New Roman" w:hAnsi="Calibri" w:cs="Calibri"/>
                <w:b/>
                <w:bCs/>
                <w:lang w:eastAsia="cs-CZ"/>
              </w:rPr>
            </w:pPr>
            <w:r w:rsidRPr="00D158B8">
              <w:rPr>
                <w:rFonts w:ascii="Calibri" w:eastAsia="Times New Roman" w:hAnsi="Calibri" w:cs="Calibri"/>
                <w:b/>
                <w:bCs/>
                <w:lang w:eastAsia="cs-CZ"/>
              </w:rPr>
              <w:t>2 298 221,39</w:t>
            </w:r>
          </w:p>
        </w:tc>
        <w:tc>
          <w:tcPr>
            <w:tcW w:w="647"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14:paraId="340B1ABC" w14:textId="77777777" w:rsidR="00D158B8" w:rsidRPr="00D158B8" w:rsidRDefault="00D158B8" w:rsidP="00D158B8">
            <w:pPr>
              <w:spacing w:after="0" w:line="240" w:lineRule="auto"/>
              <w:jc w:val="right"/>
              <w:rPr>
                <w:rFonts w:ascii="Calibri" w:eastAsia="Times New Roman" w:hAnsi="Calibri" w:cs="Calibri"/>
                <w:b/>
                <w:bCs/>
                <w:lang w:eastAsia="cs-CZ"/>
              </w:rPr>
            </w:pPr>
            <w:r w:rsidRPr="00D158B8">
              <w:rPr>
                <w:rFonts w:ascii="Calibri" w:eastAsia="Times New Roman" w:hAnsi="Calibri" w:cs="Calibri"/>
                <w:b/>
                <w:bCs/>
                <w:lang w:eastAsia="cs-CZ"/>
              </w:rPr>
              <w:t>46,0</w:t>
            </w:r>
          </w:p>
        </w:tc>
      </w:tr>
    </w:tbl>
    <w:p w14:paraId="2DBCFC1B" w14:textId="04147069" w:rsidR="0072554E" w:rsidRDefault="0072554E" w:rsidP="0013179B">
      <w:pPr>
        <w:rPr>
          <w:rFonts w:cs="Calibri"/>
        </w:rPr>
      </w:pPr>
    </w:p>
    <w:p w14:paraId="1F291223" w14:textId="05A97FB7" w:rsidR="00D158B8" w:rsidRDefault="00D158B8" w:rsidP="0013179B">
      <w:pPr>
        <w:rPr>
          <w:rFonts w:cs="Calibri"/>
        </w:rPr>
      </w:pPr>
    </w:p>
    <w:p w14:paraId="7D0358B2" w14:textId="632C38BF" w:rsidR="00D158B8" w:rsidRDefault="00D158B8" w:rsidP="00D158B8">
      <w:pPr>
        <w:jc w:val="center"/>
        <w:rPr>
          <w:rFonts w:ascii="Calibri" w:hAnsi="Calibri" w:cs="Calibri"/>
          <w:b/>
          <w:sz w:val="32"/>
          <w:szCs w:val="32"/>
          <w:u w:val="single"/>
        </w:rPr>
      </w:pPr>
    </w:p>
    <w:p w14:paraId="3289EA07" w14:textId="6FE3E4EF" w:rsidR="00312CF1" w:rsidRDefault="00312CF1" w:rsidP="00D158B8">
      <w:pPr>
        <w:jc w:val="center"/>
        <w:rPr>
          <w:rFonts w:ascii="Calibri" w:hAnsi="Calibri" w:cs="Calibri"/>
          <w:b/>
          <w:sz w:val="32"/>
          <w:szCs w:val="32"/>
          <w:u w:val="single"/>
        </w:rPr>
      </w:pPr>
    </w:p>
    <w:p w14:paraId="14D28F3A" w14:textId="6CCD54D9" w:rsidR="00312CF1" w:rsidRDefault="00312CF1" w:rsidP="00D158B8">
      <w:pPr>
        <w:jc w:val="center"/>
        <w:rPr>
          <w:rFonts w:ascii="Calibri" w:hAnsi="Calibri" w:cs="Calibri"/>
          <w:b/>
          <w:sz w:val="32"/>
          <w:szCs w:val="32"/>
          <w:u w:val="single"/>
        </w:rPr>
      </w:pPr>
    </w:p>
    <w:p w14:paraId="1C3CEC31" w14:textId="683DC1E1" w:rsidR="00312CF1" w:rsidRDefault="00312CF1" w:rsidP="00D158B8">
      <w:pPr>
        <w:jc w:val="center"/>
        <w:rPr>
          <w:rFonts w:ascii="Calibri" w:hAnsi="Calibri" w:cs="Calibri"/>
          <w:b/>
          <w:sz w:val="32"/>
          <w:szCs w:val="32"/>
          <w:u w:val="single"/>
        </w:rPr>
      </w:pPr>
    </w:p>
    <w:p w14:paraId="2443C9C7" w14:textId="57A0A67E" w:rsidR="00312CF1" w:rsidRDefault="00312CF1" w:rsidP="00D158B8">
      <w:pPr>
        <w:jc w:val="center"/>
        <w:rPr>
          <w:rFonts w:ascii="Calibri" w:hAnsi="Calibri" w:cs="Calibri"/>
          <w:b/>
          <w:sz w:val="32"/>
          <w:szCs w:val="32"/>
          <w:u w:val="single"/>
        </w:rPr>
      </w:pPr>
    </w:p>
    <w:p w14:paraId="49200963" w14:textId="6D14FE18" w:rsidR="00312CF1" w:rsidRDefault="00312CF1" w:rsidP="00D158B8">
      <w:pPr>
        <w:jc w:val="center"/>
        <w:rPr>
          <w:rFonts w:ascii="Calibri" w:hAnsi="Calibri" w:cs="Calibri"/>
          <w:b/>
          <w:sz w:val="32"/>
          <w:szCs w:val="32"/>
          <w:u w:val="single"/>
        </w:rPr>
      </w:pPr>
    </w:p>
    <w:p w14:paraId="5964C478" w14:textId="09D22336" w:rsidR="00312CF1" w:rsidRDefault="00312CF1" w:rsidP="00D158B8">
      <w:pPr>
        <w:jc w:val="center"/>
        <w:rPr>
          <w:rFonts w:ascii="Calibri" w:hAnsi="Calibri" w:cs="Calibri"/>
          <w:b/>
          <w:sz w:val="32"/>
          <w:szCs w:val="32"/>
          <w:u w:val="single"/>
        </w:rPr>
      </w:pPr>
    </w:p>
    <w:p w14:paraId="5D9D8C82" w14:textId="0024326B" w:rsidR="00312CF1" w:rsidRDefault="00312CF1" w:rsidP="00D158B8">
      <w:pPr>
        <w:jc w:val="center"/>
        <w:rPr>
          <w:rFonts w:ascii="Calibri" w:hAnsi="Calibri" w:cs="Calibri"/>
          <w:b/>
          <w:sz w:val="32"/>
          <w:szCs w:val="32"/>
          <w:u w:val="single"/>
        </w:rPr>
      </w:pPr>
    </w:p>
    <w:p w14:paraId="07AEE886" w14:textId="5C1B1241" w:rsidR="00312CF1" w:rsidRDefault="00312CF1" w:rsidP="00D158B8">
      <w:pPr>
        <w:jc w:val="center"/>
        <w:rPr>
          <w:rFonts w:ascii="Calibri" w:hAnsi="Calibri" w:cs="Calibri"/>
          <w:b/>
          <w:sz w:val="32"/>
          <w:szCs w:val="32"/>
          <w:u w:val="single"/>
        </w:rPr>
      </w:pPr>
    </w:p>
    <w:p w14:paraId="15982AF6" w14:textId="60ADF4E4" w:rsidR="00312CF1" w:rsidRDefault="00312CF1" w:rsidP="00D158B8">
      <w:pPr>
        <w:jc w:val="center"/>
        <w:rPr>
          <w:rFonts w:ascii="Calibri" w:hAnsi="Calibri" w:cs="Calibri"/>
          <w:b/>
          <w:sz w:val="32"/>
          <w:szCs w:val="32"/>
          <w:u w:val="single"/>
        </w:rPr>
      </w:pPr>
    </w:p>
    <w:p w14:paraId="0C98C31F" w14:textId="5B822C24" w:rsidR="00E363C7" w:rsidRDefault="00E363C7" w:rsidP="00D158B8">
      <w:pPr>
        <w:jc w:val="center"/>
        <w:rPr>
          <w:rFonts w:ascii="Calibri" w:hAnsi="Calibri" w:cs="Calibri"/>
          <w:b/>
          <w:sz w:val="32"/>
          <w:szCs w:val="32"/>
          <w:u w:val="single"/>
        </w:rPr>
      </w:pPr>
    </w:p>
    <w:p w14:paraId="2BE43D8B" w14:textId="6E19B684" w:rsidR="00E363C7" w:rsidRDefault="00E363C7" w:rsidP="00D158B8">
      <w:pPr>
        <w:jc w:val="center"/>
        <w:rPr>
          <w:rFonts w:ascii="Calibri" w:hAnsi="Calibri" w:cs="Calibri"/>
          <w:b/>
          <w:sz w:val="32"/>
          <w:szCs w:val="32"/>
          <w:u w:val="single"/>
        </w:rPr>
      </w:pPr>
    </w:p>
    <w:p w14:paraId="6B7BC88E" w14:textId="06C9F14A" w:rsidR="00E363C7" w:rsidRDefault="00E363C7" w:rsidP="00D158B8">
      <w:pPr>
        <w:jc w:val="center"/>
        <w:rPr>
          <w:rFonts w:ascii="Calibri" w:hAnsi="Calibri" w:cs="Calibri"/>
          <w:b/>
          <w:sz w:val="32"/>
          <w:szCs w:val="32"/>
          <w:u w:val="single"/>
        </w:rPr>
      </w:pPr>
    </w:p>
    <w:p w14:paraId="0C3A678C" w14:textId="77777777" w:rsidR="00E363C7" w:rsidRDefault="00E363C7" w:rsidP="00D158B8">
      <w:pPr>
        <w:jc w:val="center"/>
        <w:rPr>
          <w:rFonts w:ascii="Calibri" w:hAnsi="Calibri" w:cs="Calibri"/>
          <w:b/>
          <w:sz w:val="32"/>
          <w:szCs w:val="32"/>
          <w:u w:val="single"/>
        </w:rPr>
      </w:pPr>
    </w:p>
    <w:p w14:paraId="672958F8" w14:textId="77777777" w:rsidR="00312CF1" w:rsidRPr="00BE10E2" w:rsidRDefault="00312CF1" w:rsidP="00312CF1">
      <w:pPr>
        <w:rPr>
          <w:rFonts w:ascii="Calibri" w:hAnsi="Calibri" w:cs="Calibri"/>
          <w:b/>
          <w:sz w:val="32"/>
          <w:szCs w:val="32"/>
          <w:u w:val="single"/>
        </w:rPr>
      </w:pPr>
    </w:p>
    <w:p w14:paraId="046EA565" w14:textId="77777777" w:rsidR="00D158B8" w:rsidRPr="00BE10E2" w:rsidRDefault="00D158B8" w:rsidP="00D158B8">
      <w:pPr>
        <w:jc w:val="both"/>
        <w:rPr>
          <w:rFonts w:ascii="Calibri" w:hAnsi="Calibri" w:cs="Calibri"/>
          <w:sz w:val="28"/>
          <w:szCs w:val="28"/>
        </w:rPr>
      </w:pPr>
      <w:r w:rsidRPr="00BE10E2">
        <w:rPr>
          <w:rFonts w:ascii="Calibri" w:hAnsi="Calibri" w:cs="Calibri"/>
          <w:b/>
          <w:sz w:val="28"/>
          <w:szCs w:val="28"/>
          <w:u w:val="single"/>
        </w:rPr>
        <w:t xml:space="preserve">Kapitola </w:t>
      </w:r>
      <w:r>
        <w:rPr>
          <w:rFonts w:ascii="Calibri" w:hAnsi="Calibri" w:cs="Calibri"/>
          <w:b/>
          <w:sz w:val="28"/>
          <w:szCs w:val="28"/>
          <w:u w:val="single"/>
        </w:rPr>
        <w:t>13</w:t>
      </w:r>
      <w:r w:rsidRPr="00BE10E2">
        <w:rPr>
          <w:rFonts w:ascii="Calibri" w:hAnsi="Calibri" w:cs="Calibri"/>
          <w:b/>
          <w:sz w:val="28"/>
          <w:szCs w:val="28"/>
          <w:u w:val="single"/>
        </w:rPr>
        <w:t xml:space="preserve"> – </w:t>
      </w:r>
      <w:r>
        <w:rPr>
          <w:rFonts w:ascii="Calibri" w:hAnsi="Calibri" w:cs="Calibri"/>
          <w:b/>
          <w:sz w:val="28"/>
          <w:szCs w:val="28"/>
          <w:u w:val="single"/>
        </w:rPr>
        <w:t>Krajský investor</w:t>
      </w:r>
    </w:p>
    <w:p w14:paraId="5C008A27" w14:textId="37A31A29" w:rsidR="00D158B8" w:rsidRPr="00BE10E2" w:rsidRDefault="00D158B8" w:rsidP="00D158B8">
      <w:pPr>
        <w:jc w:val="both"/>
        <w:rPr>
          <w:rFonts w:ascii="Calibri" w:hAnsi="Calibri" w:cs="Calibri"/>
          <w:sz w:val="18"/>
          <w:szCs w:val="18"/>
        </w:rPr>
      </w:pPr>
    </w:p>
    <w:p w14:paraId="52BCBDED" w14:textId="072F687F" w:rsidR="00D158B8" w:rsidRPr="00E363C7" w:rsidRDefault="00D158B8" w:rsidP="00E363C7">
      <w:pPr>
        <w:jc w:val="both"/>
        <w:rPr>
          <w:rFonts w:ascii="Calibri" w:hAnsi="Calibri" w:cs="Calibri"/>
          <w:b/>
          <w:sz w:val="24"/>
          <w:szCs w:val="24"/>
          <w:u w:val="single"/>
        </w:rPr>
      </w:pPr>
      <w:r w:rsidRPr="00312CF1">
        <w:rPr>
          <w:rFonts w:ascii="Calibri" w:hAnsi="Calibri" w:cs="Calibri"/>
          <w:b/>
          <w:sz w:val="24"/>
          <w:szCs w:val="24"/>
          <w:u w:val="single"/>
        </w:rPr>
        <w:t>Běžné výdaje</w:t>
      </w:r>
    </w:p>
    <w:p w14:paraId="2DCF219D" w14:textId="77777777" w:rsidR="00D158B8" w:rsidRPr="00F52040" w:rsidRDefault="00D158B8" w:rsidP="00312CF1">
      <w:pPr>
        <w:spacing w:after="0"/>
        <w:jc w:val="both"/>
        <w:rPr>
          <w:rFonts w:ascii="Calibri" w:hAnsi="Calibri" w:cs="Calibri"/>
          <w:b/>
        </w:rPr>
      </w:pPr>
      <w:r w:rsidRPr="00F52040">
        <w:rPr>
          <w:rFonts w:ascii="Calibri" w:hAnsi="Calibri" w:cs="Calibri"/>
          <w:b/>
        </w:rPr>
        <w:t>§ 2212 – Silnice</w:t>
      </w:r>
    </w:p>
    <w:p w14:paraId="7E4948D1" w14:textId="77777777" w:rsidR="00D158B8" w:rsidRDefault="00D158B8" w:rsidP="00312CF1">
      <w:pPr>
        <w:spacing w:after="0"/>
        <w:jc w:val="both"/>
        <w:rPr>
          <w:rFonts w:ascii="Calibri" w:hAnsi="Calibri" w:cs="Calibri"/>
          <w:b/>
        </w:rPr>
      </w:pPr>
      <w:r w:rsidRPr="00F52040">
        <w:rPr>
          <w:rFonts w:ascii="Calibri" w:hAnsi="Calibri" w:cs="Calibri"/>
          <w:b/>
        </w:rPr>
        <w:t>§ 2219 – Ostatní záležitosti pozemních komunikací</w:t>
      </w:r>
    </w:p>
    <w:p w14:paraId="5C7B7063" w14:textId="77777777" w:rsidR="00D158B8" w:rsidRPr="00F52040" w:rsidRDefault="00D158B8" w:rsidP="00312CF1">
      <w:pPr>
        <w:spacing w:after="0"/>
        <w:jc w:val="both"/>
        <w:rPr>
          <w:rFonts w:ascii="Calibri" w:hAnsi="Calibri" w:cs="Calibri"/>
          <w:b/>
        </w:rPr>
      </w:pPr>
      <w:r>
        <w:rPr>
          <w:rFonts w:ascii="Calibri" w:hAnsi="Calibri" w:cs="Calibri"/>
          <w:b/>
        </w:rPr>
        <w:t>§ 2223 – Bezpečnost silničního provozu</w:t>
      </w:r>
    </w:p>
    <w:p w14:paraId="0693668D" w14:textId="30C6C85F" w:rsidR="00D158B8" w:rsidRPr="00F52040" w:rsidRDefault="00D158B8" w:rsidP="00312CF1">
      <w:pPr>
        <w:spacing w:after="0"/>
        <w:jc w:val="both"/>
        <w:rPr>
          <w:rFonts w:ascii="Calibri" w:hAnsi="Calibri" w:cs="Calibri"/>
          <w:b/>
        </w:rPr>
      </w:pPr>
      <w:r w:rsidRPr="00F52040">
        <w:rPr>
          <w:rFonts w:ascii="Calibri" w:hAnsi="Calibri" w:cs="Calibri"/>
          <w:b/>
        </w:rPr>
        <w:t xml:space="preserve">§ 2292 </w:t>
      </w:r>
      <w:r w:rsidRPr="00F52040">
        <w:rPr>
          <w:rFonts w:ascii="Calibri" w:hAnsi="Calibri" w:cs="Calibri"/>
          <w:b/>
          <w:bCs/>
        </w:rPr>
        <w:t>–</w:t>
      </w:r>
      <w:r w:rsidRPr="00F52040">
        <w:rPr>
          <w:rFonts w:ascii="Calibri" w:hAnsi="Calibri" w:cs="Calibri"/>
          <w:b/>
        </w:rPr>
        <w:t xml:space="preserve"> Dopravní obslužnost veřejnými službami</w:t>
      </w:r>
      <w:r w:rsidR="00DB1D72">
        <w:rPr>
          <w:rFonts w:ascii="Calibri" w:hAnsi="Calibri" w:cs="Calibri"/>
          <w:b/>
        </w:rPr>
        <w:t xml:space="preserve"> - linková</w:t>
      </w:r>
    </w:p>
    <w:p w14:paraId="5FD1E7DE" w14:textId="77777777" w:rsidR="00D158B8" w:rsidRPr="00F52040" w:rsidRDefault="00D158B8" w:rsidP="00312CF1">
      <w:pPr>
        <w:spacing w:after="0"/>
        <w:jc w:val="both"/>
        <w:rPr>
          <w:rFonts w:ascii="Calibri" w:hAnsi="Calibri" w:cs="Calibri"/>
          <w:b/>
          <w:bCs/>
        </w:rPr>
      </w:pPr>
      <w:r w:rsidRPr="00F52040">
        <w:rPr>
          <w:rFonts w:ascii="Calibri" w:hAnsi="Calibri" w:cs="Calibri"/>
          <w:b/>
        </w:rPr>
        <w:t xml:space="preserve">§ 2299 </w:t>
      </w:r>
      <w:r w:rsidRPr="00F52040">
        <w:rPr>
          <w:rFonts w:ascii="Calibri" w:hAnsi="Calibri" w:cs="Calibri"/>
          <w:b/>
          <w:bCs/>
        </w:rPr>
        <w:t>– Ostatní záležitosti v dopravě</w:t>
      </w:r>
    </w:p>
    <w:p w14:paraId="12B915C7" w14:textId="77777777" w:rsidR="00D158B8" w:rsidRDefault="00D158B8" w:rsidP="00312CF1">
      <w:pPr>
        <w:spacing w:after="0"/>
        <w:jc w:val="both"/>
        <w:rPr>
          <w:rFonts w:ascii="Calibri" w:hAnsi="Calibri" w:cs="Calibri"/>
          <w:b/>
          <w:bCs/>
        </w:rPr>
      </w:pPr>
      <w:r w:rsidRPr="00F52040">
        <w:rPr>
          <w:rFonts w:ascii="Calibri" w:hAnsi="Calibri" w:cs="Calibri"/>
          <w:b/>
        </w:rPr>
        <w:t xml:space="preserve">§ 2310 </w:t>
      </w:r>
      <w:r w:rsidRPr="00F52040">
        <w:rPr>
          <w:rFonts w:ascii="Calibri" w:hAnsi="Calibri" w:cs="Calibri"/>
          <w:b/>
          <w:bCs/>
        </w:rPr>
        <w:t>– Pitná voda</w:t>
      </w:r>
    </w:p>
    <w:p w14:paraId="61853CDF" w14:textId="77777777" w:rsidR="00D158B8" w:rsidRPr="00F52040" w:rsidRDefault="00D158B8" w:rsidP="00312CF1">
      <w:pPr>
        <w:spacing w:after="0"/>
        <w:jc w:val="both"/>
        <w:rPr>
          <w:rFonts w:ascii="Calibri" w:hAnsi="Calibri" w:cs="Calibri"/>
          <w:b/>
          <w:bCs/>
        </w:rPr>
      </w:pPr>
      <w:r>
        <w:rPr>
          <w:rFonts w:ascii="Calibri" w:hAnsi="Calibri" w:cs="Calibri"/>
          <w:b/>
          <w:bCs/>
        </w:rPr>
        <w:t>§ 3114 – Základní školy pro žáky se speciálními vzdělávacími potřebami</w:t>
      </w:r>
    </w:p>
    <w:p w14:paraId="4F7D1F16" w14:textId="77777777" w:rsidR="00D158B8" w:rsidRPr="00F52040" w:rsidRDefault="00D158B8" w:rsidP="00312CF1">
      <w:pPr>
        <w:spacing w:after="0"/>
        <w:jc w:val="both"/>
        <w:rPr>
          <w:rFonts w:ascii="Calibri" w:hAnsi="Calibri" w:cs="Calibri"/>
        </w:rPr>
      </w:pPr>
      <w:r w:rsidRPr="00F52040">
        <w:rPr>
          <w:rFonts w:ascii="Calibri" w:hAnsi="Calibri" w:cs="Calibri"/>
          <w:b/>
        </w:rPr>
        <w:t xml:space="preserve">§ 3121 </w:t>
      </w:r>
      <w:r w:rsidRPr="00F52040">
        <w:rPr>
          <w:rFonts w:ascii="Calibri" w:hAnsi="Calibri" w:cs="Calibri"/>
          <w:b/>
          <w:bCs/>
        </w:rPr>
        <w:t>–</w:t>
      </w:r>
      <w:r w:rsidRPr="00F52040">
        <w:rPr>
          <w:rFonts w:ascii="Calibri" w:hAnsi="Calibri" w:cs="Calibri"/>
          <w:b/>
        </w:rPr>
        <w:t xml:space="preserve"> Gymnázia</w:t>
      </w:r>
    </w:p>
    <w:p w14:paraId="0E1E744C" w14:textId="77777777" w:rsidR="00D158B8" w:rsidRPr="00F52040" w:rsidRDefault="00D158B8" w:rsidP="00312CF1">
      <w:pPr>
        <w:spacing w:after="0"/>
        <w:jc w:val="both"/>
        <w:rPr>
          <w:rFonts w:ascii="Calibri" w:hAnsi="Calibri" w:cs="Calibri"/>
        </w:rPr>
      </w:pPr>
      <w:r w:rsidRPr="00F52040">
        <w:rPr>
          <w:rFonts w:ascii="Calibri" w:hAnsi="Calibri" w:cs="Calibri"/>
          <w:b/>
        </w:rPr>
        <w:t xml:space="preserve">§ 3122 </w:t>
      </w:r>
      <w:r w:rsidRPr="00F52040">
        <w:rPr>
          <w:rFonts w:ascii="Calibri" w:hAnsi="Calibri" w:cs="Calibri"/>
          <w:b/>
          <w:bCs/>
        </w:rPr>
        <w:t>–</w:t>
      </w:r>
      <w:r w:rsidRPr="00F52040">
        <w:rPr>
          <w:rFonts w:ascii="Calibri" w:hAnsi="Calibri" w:cs="Calibri"/>
          <w:b/>
        </w:rPr>
        <w:t xml:space="preserve"> Střední odborné školy</w:t>
      </w:r>
    </w:p>
    <w:p w14:paraId="41605144" w14:textId="77777777" w:rsidR="00D158B8" w:rsidRDefault="00D158B8" w:rsidP="00312CF1">
      <w:pPr>
        <w:spacing w:after="0"/>
        <w:jc w:val="both"/>
        <w:rPr>
          <w:rFonts w:ascii="Calibri" w:hAnsi="Calibri" w:cs="Calibri"/>
          <w:b/>
        </w:rPr>
      </w:pPr>
      <w:r w:rsidRPr="00F52040">
        <w:rPr>
          <w:rFonts w:ascii="Calibri" w:hAnsi="Calibri" w:cs="Calibri"/>
          <w:b/>
        </w:rPr>
        <w:t xml:space="preserve">§ 3123 </w:t>
      </w:r>
      <w:r w:rsidRPr="00F52040">
        <w:rPr>
          <w:rFonts w:ascii="Calibri" w:hAnsi="Calibri" w:cs="Calibri"/>
          <w:b/>
          <w:bCs/>
        </w:rPr>
        <w:t>–</w:t>
      </w:r>
      <w:r w:rsidRPr="00F52040">
        <w:rPr>
          <w:rFonts w:ascii="Calibri" w:hAnsi="Calibri" w:cs="Calibri"/>
          <w:b/>
        </w:rPr>
        <w:t xml:space="preserve"> Střední školy poskytující střední vzdělání s výučním listem</w:t>
      </w:r>
    </w:p>
    <w:p w14:paraId="271A6663" w14:textId="77777777" w:rsidR="00D158B8" w:rsidRPr="00F52040" w:rsidRDefault="00D158B8" w:rsidP="00312CF1">
      <w:pPr>
        <w:spacing w:after="0"/>
        <w:jc w:val="both"/>
        <w:rPr>
          <w:rFonts w:ascii="Calibri" w:hAnsi="Calibri" w:cs="Calibri"/>
          <w:b/>
        </w:rPr>
      </w:pPr>
      <w:r>
        <w:rPr>
          <w:rFonts w:ascii="Calibri" w:hAnsi="Calibri" w:cs="Calibri"/>
          <w:b/>
        </w:rPr>
        <w:t>§ 3125 – Střediska praktického vyučování a školní hospodářství</w:t>
      </w:r>
    </w:p>
    <w:p w14:paraId="3AD69EC9" w14:textId="77777777" w:rsidR="00D158B8" w:rsidRDefault="00D158B8" w:rsidP="00312CF1">
      <w:pPr>
        <w:spacing w:after="0"/>
        <w:jc w:val="both"/>
        <w:rPr>
          <w:rFonts w:ascii="Calibri" w:hAnsi="Calibri" w:cs="Calibri"/>
          <w:b/>
          <w:bCs/>
        </w:rPr>
      </w:pPr>
      <w:r w:rsidRPr="00F52040">
        <w:rPr>
          <w:rFonts w:ascii="Calibri" w:hAnsi="Calibri" w:cs="Calibri"/>
          <w:b/>
        </w:rPr>
        <w:t xml:space="preserve">§ 3133 </w:t>
      </w:r>
      <w:r w:rsidRPr="00F52040">
        <w:rPr>
          <w:rFonts w:ascii="Calibri" w:hAnsi="Calibri" w:cs="Calibri"/>
          <w:b/>
          <w:bCs/>
        </w:rPr>
        <w:t>– Dětské domovy</w:t>
      </w:r>
    </w:p>
    <w:p w14:paraId="56964F0C" w14:textId="77777777" w:rsidR="00D158B8" w:rsidRPr="00F52040" w:rsidRDefault="00D158B8" w:rsidP="00312CF1">
      <w:pPr>
        <w:spacing w:after="0"/>
        <w:jc w:val="both"/>
        <w:rPr>
          <w:rFonts w:ascii="Calibri" w:hAnsi="Calibri" w:cs="Calibri"/>
        </w:rPr>
      </w:pPr>
      <w:r>
        <w:rPr>
          <w:rFonts w:ascii="Calibri" w:hAnsi="Calibri" w:cs="Calibri"/>
          <w:b/>
          <w:bCs/>
        </w:rPr>
        <w:t>§ 3231 – Základní umělecké školy</w:t>
      </w:r>
    </w:p>
    <w:p w14:paraId="5F636AE1" w14:textId="77777777" w:rsidR="00D158B8" w:rsidRPr="00F52040" w:rsidRDefault="00D158B8" w:rsidP="00312CF1">
      <w:pPr>
        <w:spacing w:after="0"/>
        <w:jc w:val="both"/>
        <w:rPr>
          <w:rFonts w:ascii="Calibri" w:hAnsi="Calibri" w:cs="Calibri"/>
          <w:b/>
        </w:rPr>
      </w:pPr>
      <w:r w:rsidRPr="00F52040">
        <w:rPr>
          <w:rFonts w:ascii="Calibri" w:hAnsi="Calibri" w:cs="Calibri"/>
          <w:b/>
        </w:rPr>
        <w:t xml:space="preserve">§ 3269 </w:t>
      </w:r>
      <w:r w:rsidRPr="00F52040">
        <w:rPr>
          <w:rFonts w:ascii="Calibri" w:hAnsi="Calibri" w:cs="Calibri"/>
          <w:b/>
          <w:bCs/>
        </w:rPr>
        <w:t>–</w:t>
      </w:r>
      <w:r w:rsidRPr="00F52040">
        <w:rPr>
          <w:rFonts w:ascii="Calibri" w:hAnsi="Calibri" w:cs="Calibri"/>
          <w:b/>
        </w:rPr>
        <w:t xml:space="preserve"> Ostatní správa ve vzdělávání jinde nezařazená</w:t>
      </w:r>
    </w:p>
    <w:p w14:paraId="04082CAF" w14:textId="77777777" w:rsidR="00D158B8" w:rsidRPr="00F52040" w:rsidRDefault="00D158B8" w:rsidP="00312CF1">
      <w:pPr>
        <w:spacing w:after="0"/>
        <w:jc w:val="both"/>
        <w:rPr>
          <w:rFonts w:ascii="Calibri" w:hAnsi="Calibri" w:cs="Calibri"/>
        </w:rPr>
      </w:pPr>
      <w:r w:rsidRPr="00F52040">
        <w:rPr>
          <w:rFonts w:ascii="Calibri" w:hAnsi="Calibri" w:cs="Calibri"/>
          <w:b/>
        </w:rPr>
        <w:t xml:space="preserve">§ 3314 </w:t>
      </w:r>
      <w:r w:rsidRPr="00F52040">
        <w:rPr>
          <w:rFonts w:ascii="Calibri" w:hAnsi="Calibri" w:cs="Calibri"/>
          <w:b/>
          <w:bCs/>
        </w:rPr>
        <w:t>– Činnosti knihovnické</w:t>
      </w:r>
    </w:p>
    <w:p w14:paraId="48A6DB1D" w14:textId="77777777" w:rsidR="00D158B8" w:rsidRPr="00F52040" w:rsidRDefault="00D158B8" w:rsidP="00312CF1">
      <w:pPr>
        <w:spacing w:after="0"/>
        <w:jc w:val="both"/>
        <w:rPr>
          <w:rFonts w:ascii="Calibri" w:hAnsi="Calibri" w:cs="Calibri"/>
          <w:b/>
        </w:rPr>
      </w:pPr>
      <w:r w:rsidRPr="00F52040">
        <w:rPr>
          <w:rFonts w:ascii="Calibri" w:hAnsi="Calibri" w:cs="Calibri"/>
          <w:b/>
        </w:rPr>
        <w:t xml:space="preserve">§ 3315 </w:t>
      </w:r>
      <w:r w:rsidRPr="00F52040">
        <w:rPr>
          <w:rFonts w:ascii="Calibri" w:hAnsi="Calibri" w:cs="Calibri"/>
          <w:b/>
          <w:bCs/>
        </w:rPr>
        <w:t>–</w:t>
      </w:r>
      <w:r w:rsidRPr="00F52040">
        <w:rPr>
          <w:rFonts w:ascii="Calibri" w:hAnsi="Calibri" w:cs="Calibri"/>
          <w:b/>
        </w:rPr>
        <w:t xml:space="preserve"> Činnost muzeí a galerií</w:t>
      </w:r>
    </w:p>
    <w:p w14:paraId="4430C173" w14:textId="77777777" w:rsidR="00D158B8" w:rsidRPr="00F52040" w:rsidRDefault="00D158B8" w:rsidP="00312CF1">
      <w:pPr>
        <w:spacing w:after="0"/>
        <w:jc w:val="both"/>
        <w:rPr>
          <w:rFonts w:ascii="Calibri" w:hAnsi="Calibri" w:cs="Calibri"/>
        </w:rPr>
      </w:pPr>
      <w:r w:rsidRPr="00F52040">
        <w:rPr>
          <w:rFonts w:ascii="Calibri" w:hAnsi="Calibri" w:cs="Calibri"/>
          <w:b/>
        </w:rPr>
        <w:t xml:space="preserve">§ 3529 </w:t>
      </w:r>
      <w:r w:rsidRPr="00F52040">
        <w:rPr>
          <w:rFonts w:ascii="Calibri" w:hAnsi="Calibri" w:cs="Calibri"/>
          <w:b/>
          <w:bCs/>
        </w:rPr>
        <w:t>– Ostatní ústavní péče</w:t>
      </w:r>
    </w:p>
    <w:p w14:paraId="1D7A316C" w14:textId="77777777" w:rsidR="00D158B8" w:rsidRDefault="00D158B8" w:rsidP="00312CF1">
      <w:pPr>
        <w:spacing w:after="0"/>
        <w:jc w:val="both"/>
        <w:rPr>
          <w:rFonts w:ascii="Calibri" w:hAnsi="Calibri" w:cs="Calibri"/>
          <w:b/>
        </w:rPr>
      </w:pPr>
      <w:r w:rsidRPr="00F52040">
        <w:rPr>
          <w:rFonts w:ascii="Calibri" w:hAnsi="Calibri" w:cs="Calibri"/>
          <w:b/>
        </w:rPr>
        <w:t xml:space="preserve">§ 3533 </w:t>
      </w:r>
      <w:r w:rsidRPr="00F52040">
        <w:rPr>
          <w:rFonts w:ascii="Calibri" w:hAnsi="Calibri" w:cs="Calibri"/>
          <w:b/>
          <w:bCs/>
        </w:rPr>
        <w:t>–</w:t>
      </w:r>
      <w:r w:rsidRPr="00F52040">
        <w:rPr>
          <w:rFonts w:ascii="Calibri" w:hAnsi="Calibri" w:cs="Calibri"/>
          <w:b/>
        </w:rPr>
        <w:t xml:space="preserve"> Zdravotnická záchranná služba</w:t>
      </w:r>
    </w:p>
    <w:p w14:paraId="73C6AB23" w14:textId="77777777" w:rsidR="00D158B8" w:rsidRPr="00F52040" w:rsidRDefault="00D158B8" w:rsidP="00312CF1">
      <w:pPr>
        <w:spacing w:after="0"/>
        <w:jc w:val="both"/>
        <w:rPr>
          <w:rFonts w:ascii="Calibri" w:hAnsi="Calibri" w:cs="Calibri"/>
          <w:b/>
        </w:rPr>
      </w:pPr>
      <w:r>
        <w:rPr>
          <w:rFonts w:ascii="Calibri" w:hAnsi="Calibri" w:cs="Calibri"/>
          <w:b/>
        </w:rPr>
        <w:t>§ 3599 – Ostatní činnosti ve zdravotnictví</w:t>
      </w:r>
    </w:p>
    <w:p w14:paraId="27A052AE" w14:textId="77777777" w:rsidR="00D158B8" w:rsidRPr="00F52040" w:rsidRDefault="00D158B8" w:rsidP="00312CF1">
      <w:pPr>
        <w:spacing w:after="0"/>
        <w:jc w:val="both"/>
        <w:rPr>
          <w:rFonts w:ascii="Calibri" w:hAnsi="Calibri" w:cs="Calibri"/>
          <w:b/>
        </w:rPr>
      </w:pPr>
      <w:r w:rsidRPr="00F52040">
        <w:rPr>
          <w:rFonts w:ascii="Calibri" w:hAnsi="Calibri" w:cs="Calibri"/>
          <w:b/>
        </w:rPr>
        <w:t xml:space="preserve">§ 3742 </w:t>
      </w:r>
      <w:r w:rsidRPr="00F52040">
        <w:rPr>
          <w:rFonts w:ascii="Calibri" w:hAnsi="Calibri" w:cs="Calibri"/>
          <w:b/>
          <w:bCs/>
        </w:rPr>
        <w:t>–</w:t>
      </w:r>
      <w:r w:rsidRPr="00F52040">
        <w:rPr>
          <w:rFonts w:ascii="Calibri" w:hAnsi="Calibri" w:cs="Calibri"/>
          <w:b/>
        </w:rPr>
        <w:t xml:space="preserve"> Chráněné části přírody</w:t>
      </w:r>
    </w:p>
    <w:p w14:paraId="4C90A584" w14:textId="77777777" w:rsidR="00D158B8" w:rsidRDefault="00D158B8" w:rsidP="00312CF1">
      <w:pPr>
        <w:spacing w:after="0"/>
        <w:jc w:val="both"/>
        <w:rPr>
          <w:rFonts w:ascii="Calibri" w:hAnsi="Calibri" w:cs="Calibri"/>
          <w:b/>
        </w:rPr>
      </w:pPr>
      <w:r w:rsidRPr="00F52040">
        <w:rPr>
          <w:rFonts w:ascii="Calibri" w:hAnsi="Calibri" w:cs="Calibri"/>
          <w:b/>
        </w:rPr>
        <w:t xml:space="preserve">§ 4350 </w:t>
      </w:r>
      <w:r w:rsidRPr="00F52040">
        <w:rPr>
          <w:rFonts w:ascii="Calibri" w:hAnsi="Calibri" w:cs="Calibri"/>
          <w:b/>
          <w:bCs/>
        </w:rPr>
        <w:t>–</w:t>
      </w:r>
      <w:r w:rsidRPr="00F52040">
        <w:rPr>
          <w:rFonts w:ascii="Calibri" w:hAnsi="Calibri" w:cs="Calibri"/>
          <w:b/>
        </w:rPr>
        <w:t xml:space="preserve"> Domovy pro seniory</w:t>
      </w:r>
    </w:p>
    <w:p w14:paraId="642A9DA8" w14:textId="77777777" w:rsidR="00D158B8" w:rsidRPr="00F52040" w:rsidRDefault="00D158B8" w:rsidP="00312CF1">
      <w:pPr>
        <w:spacing w:after="0"/>
        <w:jc w:val="both"/>
        <w:rPr>
          <w:rFonts w:ascii="Calibri" w:hAnsi="Calibri" w:cs="Calibri"/>
          <w:b/>
        </w:rPr>
      </w:pPr>
      <w:r>
        <w:rPr>
          <w:rFonts w:ascii="Calibri" w:hAnsi="Calibri" w:cs="Calibri"/>
          <w:b/>
        </w:rPr>
        <w:t>§ 4357 – Domovy pro osoby se zdravotním postižením a domovy se zvláštním režimem</w:t>
      </w:r>
    </w:p>
    <w:p w14:paraId="51EF14AA" w14:textId="77777777" w:rsidR="00D158B8" w:rsidRDefault="00D158B8" w:rsidP="00312CF1">
      <w:pPr>
        <w:spacing w:after="0"/>
        <w:jc w:val="both"/>
        <w:rPr>
          <w:rFonts w:ascii="Calibri" w:hAnsi="Calibri" w:cs="Calibri"/>
          <w:b/>
        </w:rPr>
      </w:pPr>
      <w:r w:rsidRPr="00F52040">
        <w:rPr>
          <w:rFonts w:ascii="Calibri" w:hAnsi="Calibri" w:cs="Calibri"/>
          <w:b/>
        </w:rPr>
        <w:t xml:space="preserve">§ 4399 </w:t>
      </w:r>
      <w:r w:rsidRPr="00F52040">
        <w:rPr>
          <w:rFonts w:ascii="Calibri" w:hAnsi="Calibri" w:cs="Calibri"/>
          <w:b/>
          <w:bCs/>
        </w:rPr>
        <w:t>–</w:t>
      </w:r>
      <w:r w:rsidRPr="00F52040">
        <w:rPr>
          <w:rFonts w:ascii="Calibri" w:hAnsi="Calibri" w:cs="Calibri"/>
          <w:b/>
        </w:rPr>
        <w:t xml:space="preserve"> Ostatní záležitosti sociálních věcí a politiky zaměstnanosti</w:t>
      </w:r>
    </w:p>
    <w:p w14:paraId="5BF8A768" w14:textId="77777777" w:rsidR="00D158B8" w:rsidRPr="00F52040" w:rsidRDefault="00D158B8" w:rsidP="00312CF1">
      <w:pPr>
        <w:spacing w:after="0"/>
        <w:jc w:val="both"/>
        <w:rPr>
          <w:rFonts w:ascii="Calibri" w:hAnsi="Calibri" w:cs="Calibri"/>
          <w:b/>
        </w:rPr>
      </w:pPr>
      <w:r>
        <w:rPr>
          <w:rFonts w:ascii="Calibri" w:hAnsi="Calibri" w:cs="Calibri"/>
          <w:b/>
        </w:rPr>
        <w:t>§ 5599 – Ostatní záležitosti požární ochrany a integrovaného záchranného systému</w:t>
      </w:r>
    </w:p>
    <w:p w14:paraId="6D3B1EF7" w14:textId="77777777" w:rsidR="00D158B8" w:rsidRDefault="00D158B8" w:rsidP="00312CF1">
      <w:pPr>
        <w:spacing w:after="0"/>
        <w:jc w:val="both"/>
        <w:rPr>
          <w:rFonts w:ascii="Calibri" w:hAnsi="Calibri" w:cs="Calibri"/>
          <w:b/>
          <w:u w:val="single"/>
        </w:rPr>
      </w:pPr>
    </w:p>
    <w:p w14:paraId="3CA2BAD5" w14:textId="6CF3C667" w:rsidR="00DB1D72" w:rsidRPr="000C5DA8" w:rsidRDefault="00D158B8" w:rsidP="0002153C">
      <w:pPr>
        <w:spacing w:after="0" w:line="240" w:lineRule="auto"/>
        <w:jc w:val="both"/>
        <w:rPr>
          <w:rFonts w:cstheme="minorHAnsi"/>
        </w:rPr>
      </w:pPr>
      <w:r w:rsidRPr="00F52040">
        <w:rPr>
          <w:rFonts w:ascii="Calibri" w:hAnsi="Calibri" w:cs="Calibri"/>
        </w:rPr>
        <w:t xml:space="preserve">Běžné výdaje kapitoly 13 – Krajský investor rozpočtované na výše uvedené paragrafy slouží k úhradě poplatků za uveřejnění formulářů veřejných zakázek na portálu MMR ČR a dále na metodické a právní služby, úhrady odborných posudků a stanovisek k zajištění krajských projektů. </w:t>
      </w:r>
      <w:r w:rsidR="00DB1D72">
        <w:rPr>
          <w:rFonts w:ascii="Calibri" w:hAnsi="Calibri" w:cs="Calibri"/>
        </w:rPr>
        <w:t xml:space="preserve">Tyto výdaje je třeba členit </w:t>
      </w:r>
      <w:r w:rsidR="00DB1D72" w:rsidRPr="000C5DA8">
        <w:rPr>
          <w:rFonts w:cstheme="minorHAnsi"/>
        </w:rPr>
        <w:t>dle odvětvového členění (paragrafů) rozpočtové skladby</w:t>
      </w:r>
      <w:r w:rsidR="0002153C">
        <w:rPr>
          <w:rFonts w:cstheme="minorHAnsi"/>
        </w:rPr>
        <w:t>.</w:t>
      </w:r>
    </w:p>
    <w:p w14:paraId="101FCFF0" w14:textId="75D926A1" w:rsidR="00D158B8" w:rsidRPr="00F52040" w:rsidRDefault="00D158B8" w:rsidP="0002153C">
      <w:pPr>
        <w:spacing w:after="0" w:line="240" w:lineRule="auto"/>
        <w:jc w:val="both"/>
        <w:rPr>
          <w:rFonts w:ascii="Calibri" w:hAnsi="Calibri" w:cs="Calibri"/>
          <w:b/>
          <w:u w:val="single"/>
        </w:rPr>
      </w:pPr>
      <w:r w:rsidRPr="00F52040">
        <w:rPr>
          <w:rFonts w:ascii="Calibri" w:hAnsi="Calibri" w:cs="Calibri"/>
        </w:rPr>
        <w:t>V rámci rozpočtu byly průběžně dle aktuální potřeby přesouvány finanční prostředky v rámci běžných a kapitálových výdajů na základě rozpočtov</w:t>
      </w:r>
      <w:r>
        <w:rPr>
          <w:rFonts w:ascii="Calibri" w:hAnsi="Calibri" w:cs="Calibri"/>
        </w:rPr>
        <w:t>ých</w:t>
      </w:r>
      <w:r w:rsidRPr="00F52040">
        <w:rPr>
          <w:rFonts w:ascii="Calibri" w:hAnsi="Calibri" w:cs="Calibri"/>
        </w:rPr>
        <w:t xml:space="preserve"> úprav schválen</w:t>
      </w:r>
      <w:r>
        <w:rPr>
          <w:rFonts w:ascii="Calibri" w:hAnsi="Calibri" w:cs="Calibri"/>
        </w:rPr>
        <w:t>ých</w:t>
      </w:r>
      <w:r w:rsidRPr="00F52040">
        <w:rPr>
          <w:rFonts w:ascii="Calibri" w:hAnsi="Calibri" w:cs="Calibri"/>
        </w:rPr>
        <w:t xml:space="preserve"> </w:t>
      </w:r>
      <w:r w:rsidR="0002153C">
        <w:rPr>
          <w:rFonts w:ascii="Calibri" w:hAnsi="Calibri" w:cs="Calibri"/>
        </w:rPr>
        <w:t>r</w:t>
      </w:r>
      <w:r w:rsidRPr="00F52040">
        <w:rPr>
          <w:rFonts w:ascii="Calibri" w:hAnsi="Calibri" w:cs="Calibri"/>
        </w:rPr>
        <w:t xml:space="preserve">adou kraje </w:t>
      </w:r>
      <w:r>
        <w:rPr>
          <w:rFonts w:ascii="Calibri" w:hAnsi="Calibri" w:cs="Calibri"/>
        </w:rPr>
        <w:t>(</w:t>
      </w:r>
      <w:r w:rsidRPr="00F52040">
        <w:rPr>
          <w:rFonts w:ascii="Calibri" w:hAnsi="Calibri" w:cs="Calibri"/>
        </w:rPr>
        <w:t>usnesení č. 015-09/2021/RK ze dne 25. 2. 2021, usnesení č. 062-41/2021/RK ze dne 4.</w:t>
      </w:r>
      <w:r w:rsidR="00312CF1">
        <w:rPr>
          <w:rFonts w:ascii="Calibri" w:hAnsi="Calibri" w:cs="Calibri"/>
        </w:rPr>
        <w:t xml:space="preserve"> </w:t>
      </w:r>
      <w:r w:rsidRPr="00F52040">
        <w:rPr>
          <w:rFonts w:ascii="Calibri" w:hAnsi="Calibri" w:cs="Calibri"/>
        </w:rPr>
        <w:t>11.</w:t>
      </w:r>
      <w:r w:rsidR="00312CF1">
        <w:rPr>
          <w:rFonts w:ascii="Calibri" w:hAnsi="Calibri" w:cs="Calibri"/>
        </w:rPr>
        <w:t xml:space="preserve"> </w:t>
      </w:r>
      <w:r w:rsidRPr="00F52040">
        <w:rPr>
          <w:rFonts w:ascii="Calibri" w:hAnsi="Calibri" w:cs="Calibri"/>
        </w:rPr>
        <w:t>2021, usnesení č. 018-44/2021/RK ze dne 25.</w:t>
      </w:r>
      <w:r w:rsidR="00312CF1">
        <w:rPr>
          <w:rFonts w:ascii="Calibri" w:hAnsi="Calibri" w:cs="Calibri"/>
        </w:rPr>
        <w:t xml:space="preserve"> </w:t>
      </w:r>
      <w:r w:rsidRPr="00F52040">
        <w:rPr>
          <w:rFonts w:ascii="Calibri" w:hAnsi="Calibri" w:cs="Calibri"/>
        </w:rPr>
        <w:t>11.</w:t>
      </w:r>
      <w:r w:rsidR="00312CF1">
        <w:rPr>
          <w:rFonts w:ascii="Calibri" w:hAnsi="Calibri" w:cs="Calibri"/>
        </w:rPr>
        <w:t xml:space="preserve"> </w:t>
      </w:r>
      <w:r w:rsidRPr="00F52040">
        <w:rPr>
          <w:rFonts w:ascii="Calibri" w:hAnsi="Calibri" w:cs="Calibri"/>
        </w:rPr>
        <w:t>2021</w:t>
      </w:r>
      <w:r>
        <w:rPr>
          <w:rFonts w:ascii="Calibri" w:hAnsi="Calibri" w:cs="Calibri"/>
        </w:rPr>
        <w:t>),</w:t>
      </w:r>
      <w:r w:rsidRPr="00F52040">
        <w:rPr>
          <w:rFonts w:ascii="Calibri" w:hAnsi="Calibri" w:cs="Calibri"/>
        </w:rPr>
        <w:t xml:space="preserve"> a dále rozpočtovými úpravami</w:t>
      </w:r>
      <w:r>
        <w:rPr>
          <w:rFonts w:ascii="Calibri" w:hAnsi="Calibri" w:cs="Calibri"/>
        </w:rPr>
        <w:t xml:space="preserve"> schválených příslušným členem </w:t>
      </w:r>
      <w:r w:rsidR="0002153C">
        <w:rPr>
          <w:rFonts w:ascii="Calibri" w:hAnsi="Calibri" w:cs="Calibri"/>
        </w:rPr>
        <w:t>rady kraje</w:t>
      </w:r>
      <w:r w:rsidRPr="00F52040">
        <w:rPr>
          <w:rFonts w:ascii="Calibri" w:hAnsi="Calibri" w:cs="Calibri"/>
        </w:rPr>
        <w:t xml:space="preserve"> v rámci kapitoly 13 – Krajský investor. </w:t>
      </w:r>
      <w:r>
        <w:rPr>
          <w:rFonts w:ascii="Calibri" w:hAnsi="Calibri" w:cs="Calibri"/>
        </w:rPr>
        <w:t>Finanční prostředky byly čerpány ve výši 406 412,58 Kč</w:t>
      </w:r>
      <w:r w:rsidRPr="00E574D3">
        <w:rPr>
          <w:rFonts w:ascii="Calibri" w:hAnsi="Calibri" w:cs="Calibri"/>
        </w:rPr>
        <w:t xml:space="preserve">, tj. </w:t>
      </w:r>
      <w:r>
        <w:rPr>
          <w:rFonts w:ascii="Calibri" w:hAnsi="Calibri" w:cs="Calibri"/>
        </w:rPr>
        <w:t>26,3</w:t>
      </w:r>
      <w:r w:rsidRPr="00E574D3">
        <w:rPr>
          <w:rFonts w:ascii="Calibri" w:hAnsi="Calibri" w:cs="Calibri"/>
        </w:rPr>
        <w:t xml:space="preserve"> %.</w:t>
      </w:r>
    </w:p>
    <w:p w14:paraId="2F78D460" w14:textId="77777777" w:rsidR="00D158B8" w:rsidRPr="00BE10E2" w:rsidRDefault="00D158B8" w:rsidP="00312CF1">
      <w:pPr>
        <w:spacing w:after="0"/>
        <w:jc w:val="both"/>
        <w:rPr>
          <w:rFonts w:ascii="Calibri" w:hAnsi="Calibri" w:cs="Calibri"/>
          <w:b/>
          <w:u w:val="single"/>
        </w:rPr>
      </w:pPr>
    </w:p>
    <w:p w14:paraId="126CFB7D" w14:textId="77777777" w:rsidR="00A27FE0" w:rsidRDefault="00A27FE0" w:rsidP="003835D9">
      <w:pPr>
        <w:spacing w:after="0" w:line="240" w:lineRule="auto"/>
        <w:jc w:val="both"/>
        <w:rPr>
          <w:b/>
          <w:bCs/>
        </w:rPr>
      </w:pPr>
      <w:r>
        <w:rPr>
          <w:b/>
          <w:bCs/>
        </w:rPr>
        <w:t xml:space="preserve">§ 6172 – Činnost regionální správy </w:t>
      </w:r>
    </w:p>
    <w:p w14:paraId="79F8B69C" w14:textId="77777777" w:rsidR="00A27FE0" w:rsidRPr="003835D9" w:rsidRDefault="00A27FE0" w:rsidP="003835D9">
      <w:pPr>
        <w:spacing w:after="0" w:line="240" w:lineRule="auto"/>
        <w:jc w:val="both"/>
      </w:pPr>
      <w:r w:rsidRPr="003835D9">
        <w:t>Schválený rozpočet byl na základě usnesení č. 015-09/2021/RK ze dne 25. 2. 2021 navýšen o částku 1 050 000,00 Kč. Jednalo se převod finančních prostředků mezi paragrafy v rámci kapitoly. Usnesením č. 007-06/2021/ZK ze dne 26. 4. 2021 (rozdělení zůstatku hospodaření z roku 2020) došlo k navýšení tohoto paragrafu o 119 306,00 Kč. Na základě usnesení č. 062-41/2021/RK ze dne 4. 11. 2021 došlo ke snížení o 50 000,00 Kč. Usnesením č. 018-44/2021/RK ze dne 25. 11. 2021 byla částka snížena o dalších 80 000,00 Kč. Mezi položkami docházelo k přesunům finančních prostředků v rámci kapitoly na základě rozpočtových úprav schválených příslušným členem rady kraje. Rozpočtovými úpravami č. 024/13/2021 a 772/13/2021 došlo k přesunu běžných prostředků do kapitálových v celkové výši 605,00 Kč. Finanční prostředky byly čerpány ve výši 1 638 220,19 Kč, tj. 51,6 %.</w:t>
      </w:r>
    </w:p>
    <w:p w14:paraId="4602A5B6" w14:textId="6E9C06C3" w:rsidR="003835D9" w:rsidRPr="003835D9" w:rsidRDefault="003835D9" w:rsidP="003835D9">
      <w:pPr>
        <w:jc w:val="both"/>
      </w:pPr>
      <w:r>
        <w:t>J</w:t>
      </w:r>
      <w:r w:rsidR="00A27FE0" w:rsidRPr="003835D9">
        <w:t>de o výdaje spadající do následujících polože</w:t>
      </w:r>
      <w:r>
        <w:t>k:</w:t>
      </w:r>
    </w:p>
    <w:p w14:paraId="550D9AFD" w14:textId="52927C40" w:rsidR="00D158B8" w:rsidRPr="00F52040" w:rsidRDefault="00D158B8" w:rsidP="003835D9">
      <w:pPr>
        <w:spacing w:after="0" w:line="240" w:lineRule="auto"/>
        <w:jc w:val="both"/>
        <w:rPr>
          <w:rFonts w:ascii="Calibri" w:hAnsi="Calibri" w:cs="Calibri"/>
          <w:b/>
        </w:rPr>
      </w:pPr>
      <w:r w:rsidRPr="00F52040">
        <w:rPr>
          <w:rFonts w:ascii="Calibri" w:hAnsi="Calibri" w:cs="Calibri"/>
          <w:b/>
        </w:rPr>
        <w:t xml:space="preserve">5042 </w:t>
      </w:r>
      <w:r w:rsidRPr="00F52040">
        <w:rPr>
          <w:rFonts w:ascii="Calibri" w:hAnsi="Calibri" w:cs="Calibri"/>
          <w:b/>
          <w:bCs/>
        </w:rPr>
        <w:t>–</w:t>
      </w:r>
      <w:r w:rsidRPr="00F52040">
        <w:rPr>
          <w:rFonts w:ascii="Calibri" w:hAnsi="Calibri" w:cs="Calibri"/>
          <w:b/>
        </w:rPr>
        <w:t xml:space="preserve"> </w:t>
      </w:r>
      <w:r w:rsidR="0002153C">
        <w:rPr>
          <w:rFonts w:ascii="Calibri" w:hAnsi="Calibri" w:cs="Calibri"/>
          <w:b/>
        </w:rPr>
        <w:t>o</w:t>
      </w:r>
      <w:r w:rsidRPr="00F52040">
        <w:rPr>
          <w:rFonts w:ascii="Calibri" w:hAnsi="Calibri" w:cs="Calibri"/>
          <w:b/>
        </w:rPr>
        <w:t>dměny za užití počítačových programů</w:t>
      </w:r>
    </w:p>
    <w:p w14:paraId="05FFBAB3" w14:textId="77777777" w:rsidR="00D158B8" w:rsidRPr="00F52040" w:rsidRDefault="00D158B8" w:rsidP="003835D9">
      <w:pPr>
        <w:spacing w:after="0" w:line="240" w:lineRule="auto"/>
        <w:jc w:val="both"/>
        <w:rPr>
          <w:rFonts w:ascii="Calibri" w:hAnsi="Calibri" w:cs="Calibri"/>
        </w:rPr>
      </w:pPr>
      <w:r w:rsidRPr="00F52040">
        <w:rPr>
          <w:rFonts w:ascii="Calibri" w:hAnsi="Calibri" w:cs="Calibri"/>
        </w:rPr>
        <w:t xml:space="preserve">Z této položky jsou hrazeny náklady za nájem datového úložiště k certifikovanému elektronickému nástroji E-ZAK. „E-ZAK“ je počítačový program ve smyslu ustanovení § 2, odst. 2 Autorského zákona, který je elektronickým nástrojem pro administrování veřejných zakázek. </w:t>
      </w:r>
      <w:r>
        <w:rPr>
          <w:rFonts w:ascii="Calibri" w:hAnsi="Calibri" w:cs="Calibri"/>
        </w:rPr>
        <w:t>Finanční prostředky byly čerpány ve výši 739 310,00 Kč</w:t>
      </w:r>
      <w:r w:rsidRPr="00E574D3">
        <w:rPr>
          <w:rFonts w:ascii="Calibri" w:hAnsi="Calibri" w:cs="Calibri"/>
        </w:rPr>
        <w:t xml:space="preserve">, tj. </w:t>
      </w:r>
      <w:r>
        <w:rPr>
          <w:rFonts w:ascii="Calibri" w:hAnsi="Calibri" w:cs="Calibri"/>
        </w:rPr>
        <w:t>73,9</w:t>
      </w:r>
      <w:r w:rsidRPr="00E574D3">
        <w:rPr>
          <w:rFonts w:ascii="Calibri" w:hAnsi="Calibri" w:cs="Calibri"/>
        </w:rPr>
        <w:t xml:space="preserve"> %.</w:t>
      </w:r>
    </w:p>
    <w:p w14:paraId="3EAA0FE3" w14:textId="77777777" w:rsidR="00D158B8" w:rsidRDefault="00D158B8" w:rsidP="003835D9">
      <w:pPr>
        <w:spacing w:after="0" w:line="240" w:lineRule="auto"/>
        <w:jc w:val="both"/>
        <w:rPr>
          <w:rFonts w:ascii="Calibri" w:hAnsi="Calibri" w:cs="Calibri"/>
          <w:b/>
          <w:u w:val="single"/>
        </w:rPr>
      </w:pPr>
    </w:p>
    <w:p w14:paraId="1D304D69" w14:textId="448718CC" w:rsidR="00D158B8" w:rsidRPr="00F52040" w:rsidRDefault="00D158B8" w:rsidP="003835D9">
      <w:pPr>
        <w:spacing w:after="0" w:line="240" w:lineRule="auto"/>
        <w:jc w:val="both"/>
        <w:rPr>
          <w:rFonts w:ascii="Calibri" w:hAnsi="Calibri" w:cs="Calibri"/>
          <w:b/>
        </w:rPr>
      </w:pPr>
      <w:r w:rsidRPr="00F52040">
        <w:rPr>
          <w:rFonts w:ascii="Calibri" w:hAnsi="Calibri" w:cs="Calibri"/>
          <w:b/>
        </w:rPr>
        <w:t xml:space="preserve">5166 </w:t>
      </w:r>
      <w:r w:rsidRPr="00F52040">
        <w:rPr>
          <w:rFonts w:ascii="Calibri" w:hAnsi="Calibri" w:cs="Calibri"/>
          <w:b/>
          <w:bCs/>
        </w:rPr>
        <w:t>–</w:t>
      </w:r>
      <w:r w:rsidRPr="00F52040">
        <w:rPr>
          <w:rFonts w:ascii="Calibri" w:hAnsi="Calibri" w:cs="Calibri"/>
          <w:b/>
        </w:rPr>
        <w:t xml:space="preserve"> </w:t>
      </w:r>
      <w:r w:rsidR="0002153C">
        <w:rPr>
          <w:rFonts w:ascii="Calibri" w:hAnsi="Calibri" w:cs="Calibri"/>
          <w:b/>
        </w:rPr>
        <w:t>k</w:t>
      </w:r>
      <w:r w:rsidRPr="00F52040">
        <w:rPr>
          <w:rFonts w:ascii="Calibri" w:hAnsi="Calibri" w:cs="Calibri"/>
          <w:b/>
        </w:rPr>
        <w:t>onzultační, poradenské a právní služby</w:t>
      </w:r>
    </w:p>
    <w:p w14:paraId="611675BB" w14:textId="77777777" w:rsidR="00D158B8" w:rsidRDefault="00D158B8" w:rsidP="003835D9">
      <w:pPr>
        <w:spacing w:after="0" w:line="240" w:lineRule="auto"/>
        <w:jc w:val="both"/>
        <w:rPr>
          <w:rFonts w:ascii="Calibri" w:hAnsi="Calibri" w:cs="Calibri"/>
        </w:rPr>
      </w:pPr>
      <w:r w:rsidRPr="00F52040">
        <w:rPr>
          <w:rFonts w:ascii="Calibri" w:hAnsi="Calibri" w:cs="Calibri"/>
        </w:rPr>
        <w:t xml:space="preserve">Z této položky jsou hrazeny metodické a právní služby, úhrada odborných posudků, stanovisek a příprava vzorových podkladů k veřejným zakázkám. </w:t>
      </w:r>
      <w:r>
        <w:rPr>
          <w:rFonts w:ascii="Calibri" w:hAnsi="Calibri" w:cs="Calibri"/>
        </w:rPr>
        <w:t xml:space="preserve">Finanční prostředky byly čerpány ve výši </w:t>
      </w:r>
      <w:r w:rsidRPr="00F52040">
        <w:rPr>
          <w:rFonts w:ascii="Calibri" w:hAnsi="Calibri" w:cs="Calibri"/>
        </w:rPr>
        <w:t xml:space="preserve">552 063,69 </w:t>
      </w:r>
      <w:r>
        <w:rPr>
          <w:rFonts w:ascii="Calibri" w:hAnsi="Calibri" w:cs="Calibri"/>
        </w:rPr>
        <w:t>Kč</w:t>
      </w:r>
      <w:r w:rsidRPr="00E574D3">
        <w:rPr>
          <w:rFonts w:ascii="Calibri" w:hAnsi="Calibri" w:cs="Calibri"/>
        </w:rPr>
        <w:t xml:space="preserve">, tj. </w:t>
      </w:r>
      <w:r>
        <w:rPr>
          <w:rFonts w:ascii="Calibri" w:hAnsi="Calibri" w:cs="Calibri"/>
        </w:rPr>
        <w:t>85,5</w:t>
      </w:r>
      <w:r w:rsidRPr="00E574D3">
        <w:rPr>
          <w:rFonts w:ascii="Calibri" w:hAnsi="Calibri" w:cs="Calibri"/>
        </w:rPr>
        <w:t xml:space="preserve"> %.</w:t>
      </w:r>
    </w:p>
    <w:p w14:paraId="35AF76CD" w14:textId="77777777" w:rsidR="00D158B8" w:rsidRDefault="00D158B8" w:rsidP="003835D9">
      <w:pPr>
        <w:spacing w:after="0" w:line="240" w:lineRule="auto"/>
        <w:jc w:val="both"/>
        <w:rPr>
          <w:rFonts w:ascii="Calibri" w:hAnsi="Calibri" w:cs="Calibri"/>
        </w:rPr>
      </w:pPr>
    </w:p>
    <w:p w14:paraId="276D7795" w14:textId="5D472299" w:rsidR="00D158B8" w:rsidRPr="00F52040" w:rsidRDefault="00D158B8" w:rsidP="003835D9">
      <w:pPr>
        <w:spacing w:after="0" w:line="240" w:lineRule="auto"/>
        <w:jc w:val="both"/>
        <w:rPr>
          <w:rFonts w:ascii="Calibri" w:hAnsi="Calibri" w:cs="Calibri"/>
          <w:b/>
        </w:rPr>
      </w:pPr>
      <w:r w:rsidRPr="00F52040">
        <w:rPr>
          <w:rFonts w:ascii="Calibri" w:hAnsi="Calibri" w:cs="Calibri"/>
          <w:b/>
        </w:rPr>
        <w:t>516</w:t>
      </w:r>
      <w:r>
        <w:rPr>
          <w:rFonts w:ascii="Calibri" w:hAnsi="Calibri" w:cs="Calibri"/>
          <w:b/>
        </w:rPr>
        <w:t>7</w:t>
      </w:r>
      <w:r w:rsidRPr="00F52040">
        <w:rPr>
          <w:rFonts w:ascii="Calibri" w:hAnsi="Calibri" w:cs="Calibri"/>
          <w:b/>
        </w:rPr>
        <w:t xml:space="preserve"> </w:t>
      </w:r>
      <w:r w:rsidRPr="00F52040">
        <w:rPr>
          <w:rFonts w:ascii="Calibri" w:hAnsi="Calibri" w:cs="Calibri"/>
          <w:b/>
          <w:bCs/>
        </w:rPr>
        <w:t>–</w:t>
      </w:r>
      <w:r w:rsidRPr="00F52040">
        <w:rPr>
          <w:rFonts w:ascii="Calibri" w:hAnsi="Calibri" w:cs="Calibri"/>
          <w:b/>
        </w:rPr>
        <w:t xml:space="preserve"> </w:t>
      </w:r>
      <w:r w:rsidR="0002153C">
        <w:rPr>
          <w:rFonts w:ascii="Calibri" w:hAnsi="Calibri" w:cs="Calibri"/>
          <w:b/>
        </w:rPr>
        <w:t>s</w:t>
      </w:r>
      <w:r>
        <w:rPr>
          <w:rFonts w:ascii="Calibri" w:hAnsi="Calibri" w:cs="Calibri"/>
          <w:b/>
        </w:rPr>
        <w:t>lužby školení a vzdělávání</w:t>
      </w:r>
    </w:p>
    <w:p w14:paraId="2D915231" w14:textId="00190270" w:rsidR="00D158B8" w:rsidRPr="00F52040" w:rsidRDefault="00D158B8" w:rsidP="003835D9">
      <w:pPr>
        <w:spacing w:after="0" w:line="240" w:lineRule="auto"/>
        <w:jc w:val="both"/>
        <w:rPr>
          <w:rFonts w:ascii="Calibri" w:hAnsi="Calibri" w:cs="Calibri"/>
        </w:rPr>
      </w:pPr>
      <w:r w:rsidRPr="00F52040">
        <w:rPr>
          <w:rFonts w:ascii="Calibri" w:hAnsi="Calibri" w:cs="Calibri"/>
        </w:rPr>
        <w:t xml:space="preserve">Z této položky jsou hrazeny </w:t>
      </w:r>
      <w:r>
        <w:rPr>
          <w:rFonts w:ascii="Calibri" w:hAnsi="Calibri" w:cs="Calibri"/>
        </w:rPr>
        <w:t>výdaje na vzdělávání a zvyšování kvalifikace v oblasti veřejných zakázek</w:t>
      </w:r>
      <w:r w:rsidRPr="00F52040">
        <w:rPr>
          <w:rFonts w:ascii="Calibri" w:hAnsi="Calibri" w:cs="Calibri"/>
        </w:rPr>
        <w:t xml:space="preserve">. </w:t>
      </w:r>
      <w:r w:rsidRPr="002930D2">
        <w:rPr>
          <w:rFonts w:ascii="Calibri" w:hAnsi="Calibri" w:cs="Calibri"/>
          <w:lang w:eastAsia="ar-SA"/>
        </w:rPr>
        <w:t>V roce 202</w:t>
      </w:r>
      <w:r>
        <w:rPr>
          <w:rFonts w:ascii="Calibri" w:hAnsi="Calibri" w:cs="Calibri"/>
          <w:lang w:eastAsia="ar-SA"/>
        </w:rPr>
        <w:t>1</w:t>
      </w:r>
      <w:r w:rsidRPr="002930D2">
        <w:rPr>
          <w:rFonts w:ascii="Calibri" w:hAnsi="Calibri" w:cs="Calibri"/>
          <w:lang w:eastAsia="ar-SA"/>
        </w:rPr>
        <w:t xml:space="preserve"> nebylo čerpáno</w:t>
      </w:r>
      <w:r w:rsidR="00D12B8F">
        <w:rPr>
          <w:rFonts w:ascii="Calibri" w:hAnsi="Calibri" w:cs="Calibri"/>
          <w:lang w:eastAsia="ar-SA"/>
        </w:rPr>
        <w:t>.</w:t>
      </w:r>
    </w:p>
    <w:p w14:paraId="3B0AEB15" w14:textId="77777777" w:rsidR="00D158B8" w:rsidRPr="00F52040" w:rsidRDefault="00D158B8" w:rsidP="003835D9">
      <w:pPr>
        <w:spacing w:after="0" w:line="240" w:lineRule="auto"/>
        <w:jc w:val="both"/>
        <w:rPr>
          <w:rFonts w:ascii="Calibri" w:hAnsi="Calibri" w:cs="Calibri"/>
          <w:b/>
          <w:u w:val="single"/>
        </w:rPr>
      </w:pPr>
    </w:p>
    <w:p w14:paraId="2CE950D5" w14:textId="6585DECF" w:rsidR="00D158B8" w:rsidRPr="00F52040" w:rsidRDefault="00D158B8" w:rsidP="003835D9">
      <w:pPr>
        <w:tabs>
          <w:tab w:val="left" w:pos="851"/>
        </w:tabs>
        <w:spacing w:after="0" w:line="240" w:lineRule="auto"/>
        <w:jc w:val="both"/>
        <w:rPr>
          <w:rFonts w:ascii="Calibri" w:hAnsi="Calibri" w:cs="Calibri"/>
          <w:b/>
        </w:rPr>
      </w:pPr>
      <w:r w:rsidRPr="00F52040">
        <w:rPr>
          <w:rFonts w:ascii="Calibri" w:hAnsi="Calibri" w:cs="Calibri"/>
          <w:b/>
        </w:rPr>
        <w:t xml:space="preserve">5168 </w:t>
      </w:r>
      <w:r w:rsidRPr="00F52040">
        <w:rPr>
          <w:rFonts w:ascii="Calibri" w:hAnsi="Calibri" w:cs="Calibri"/>
          <w:b/>
          <w:bCs/>
        </w:rPr>
        <w:t>–</w:t>
      </w:r>
      <w:r w:rsidRPr="00F52040">
        <w:rPr>
          <w:rFonts w:ascii="Calibri" w:hAnsi="Calibri" w:cs="Calibri"/>
          <w:b/>
        </w:rPr>
        <w:t xml:space="preserve"> </w:t>
      </w:r>
      <w:r w:rsidR="0002153C">
        <w:rPr>
          <w:rFonts w:ascii="Calibri" w:hAnsi="Calibri" w:cs="Calibri"/>
          <w:b/>
        </w:rPr>
        <w:t>z</w:t>
      </w:r>
      <w:r w:rsidRPr="00F52040">
        <w:rPr>
          <w:rFonts w:ascii="Calibri" w:hAnsi="Calibri" w:cs="Calibri"/>
          <w:b/>
        </w:rPr>
        <w:t>pracování dat a služby související s informačními a komunikačními technologiemi</w:t>
      </w:r>
    </w:p>
    <w:p w14:paraId="0DCECACE" w14:textId="5B5F7F49" w:rsidR="00D158B8" w:rsidRPr="0002153C" w:rsidRDefault="00D158B8" w:rsidP="003835D9">
      <w:pPr>
        <w:pStyle w:val="Default"/>
        <w:jc w:val="both"/>
        <w:rPr>
          <w:rFonts w:ascii="Calibri" w:hAnsi="Calibri" w:cs="Calibri"/>
          <w:color w:val="auto"/>
          <w:sz w:val="22"/>
          <w:szCs w:val="22"/>
        </w:rPr>
      </w:pPr>
      <w:r w:rsidRPr="0002153C">
        <w:rPr>
          <w:rFonts w:ascii="Calibri" w:hAnsi="Calibri" w:cs="Calibri"/>
          <w:color w:val="auto"/>
          <w:sz w:val="22"/>
          <w:szCs w:val="22"/>
        </w:rPr>
        <w:t xml:space="preserve">Z této položky je hrazen provoz a podpora systému e-Zakázky, elektronický nástroj E-ZAK. </w:t>
      </w:r>
      <w:r w:rsidRPr="0002153C">
        <w:rPr>
          <w:rFonts w:ascii="Calibri" w:hAnsi="Calibri" w:cs="Calibri"/>
          <w:sz w:val="22"/>
          <w:szCs w:val="22"/>
        </w:rPr>
        <w:t>Finanční prostředky byly čerpány ve výši 188 760,00 Kč, tj. 100</w:t>
      </w:r>
      <w:r w:rsidR="0002153C">
        <w:rPr>
          <w:rFonts w:ascii="Calibri" w:hAnsi="Calibri" w:cs="Calibri"/>
          <w:sz w:val="22"/>
          <w:szCs w:val="22"/>
        </w:rPr>
        <w:t>,0</w:t>
      </w:r>
      <w:r w:rsidRPr="0002153C">
        <w:rPr>
          <w:rFonts w:ascii="Calibri" w:hAnsi="Calibri" w:cs="Calibri"/>
          <w:sz w:val="22"/>
          <w:szCs w:val="22"/>
        </w:rPr>
        <w:t xml:space="preserve"> %</w:t>
      </w:r>
    </w:p>
    <w:p w14:paraId="514708FE" w14:textId="77777777" w:rsidR="00D158B8" w:rsidRPr="0002153C" w:rsidRDefault="00D158B8" w:rsidP="003835D9">
      <w:pPr>
        <w:pStyle w:val="Default"/>
        <w:jc w:val="both"/>
        <w:rPr>
          <w:rFonts w:ascii="Calibri" w:hAnsi="Calibri" w:cs="Calibri"/>
          <w:color w:val="auto"/>
          <w:sz w:val="22"/>
          <w:szCs w:val="22"/>
        </w:rPr>
      </w:pPr>
    </w:p>
    <w:p w14:paraId="2D30CF0B" w14:textId="2E5B114B" w:rsidR="00D158B8" w:rsidRPr="00F52040" w:rsidRDefault="00D158B8" w:rsidP="003835D9">
      <w:pPr>
        <w:spacing w:after="0" w:line="240" w:lineRule="auto"/>
        <w:jc w:val="both"/>
        <w:rPr>
          <w:rFonts w:ascii="Calibri" w:hAnsi="Calibri" w:cs="Calibri"/>
          <w:b/>
        </w:rPr>
      </w:pPr>
      <w:r w:rsidRPr="00F52040">
        <w:rPr>
          <w:rFonts w:ascii="Calibri" w:hAnsi="Calibri" w:cs="Calibri"/>
          <w:b/>
        </w:rPr>
        <w:t xml:space="preserve">5169 </w:t>
      </w:r>
      <w:r w:rsidRPr="00F52040">
        <w:rPr>
          <w:rFonts w:ascii="Calibri" w:hAnsi="Calibri" w:cs="Calibri"/>
          <w:b/>
          <w:bCs/>
        </w:rPr>
        <w:t>–</w:t>
      </w:r>
      <w:r w:rsidRPr="00F52040">
        <w:rPr>
          <w:rFonts w:ascii="Calibri" w:hAnsi="Calibri" w:cs="Calibri"/>
          <w:b/>
        </w:rPr>
        <w:t xml:space="preserve"> </w:t>
      </w:r>
      <w:r w:rsidR="0002153C">
        <w:rPr>
          <w:rFonts w:ascii="Calibri" w:hAnsi="Calibri" w:cs="Calibri"/>
          <w:b/>
        </w:rPr>
        <w:t>n</w:t>
      </w:r>
      <w:r w:rsidRPr="00F52040">
        <w:rPr>
          <w:rFonts w:ascii="Calibri" w:hAnsi="Calibri" w:cs="Calibri"/>
          <w:b/>
        </w:rPr>
        <w:t>ákup ostatních služeb</w:t>
      </w:r>
    </w:p>
    <w:p w14:paraId="44839982" w14:textId="77777777" w:rsidR="00D158B8" w:rsidRPr="00F52040" w:rsidRDefault="00D158B8" w:rsidP="003835D9">
      <w:pPr>
        <w:spacing w:after="0" w:line="240" w:lineRule="auto"/>
        <w:jc w:val="both"/>
        <w:rPr>
          <w:rFonts w:ascii="Calibri" w:hAnsi="Calibri" w:cs="Calibri"/>
        </w:rPr>
      </w:pPr>
      <w:r w:rsidRPr="00F52040">
        <w:rPr>
          <w:rFonts w:ascii="Calibri" w:hAnsi="Calibri" w:cs="Calibri"/>
        </w:rPr>
        <w:t>Z této položky jsou hrazeny poplatky za uveřejnění formuláře veřejné zakázky na portálu MMR ČR a poplatky spojené s c</w:t>
      </w:r>
      <w:r w:rsidRPr="00F52040">
        <w:rPr>
          <w:rFonts w:ascii="Calibri" w:hAnsi="Calibri" w:cs="Calibri"/>
          <w:bCs/>
        </w:rPr>
        <w:t>entralizovaným nákupem energií pro příspěvkové organizace Středočeského kraje a Krajský úřad Středočeského kraje.</w:t>
      </w:r>
      <w:r w:rsidRPr="00F52040">
        <w:rPr>
          <w:rFonts w:ascii="Calibri" w:hAnsi="Calibri" w:cs="Calibri"/>
        </w:rPr>
        <w:t xml:space="preserve"> </w:t>
      </w:r>
      <w:r>
        <w:rPr>
          <w:rFonts w:ascii="Calibri" w:hAnsi="Calibri" w:cs="Calibri"/>
        </w:rPr>
        <w:t xml:space="preserve">Finanční prostředky byly čerpány ve výši </w:t>
      </w:r>
      <w:r w:rsidRPr="00F52040">
        <w:rPr>
          <w:rFonts w:ascii="Calibri" w:hAnsi="Calibri" w:cs="Calibri"/>
        </w:rPr>
        <w:t xml:space="preserve">6 352,50 </w:t>
      </w:r>
      <w:r>
        <w:rPr>
          <w:rFonts w:ascii="Calibri" w:hAnsi="Calibri" w:cs="Calibri"/>
        </w:rPr>
        <w:t>Kč</w:t>
      </w:r>
      <w:r w:rsidRPr="00E574D3">
        <w:rPr>
          <w:rFonts w:ascii="Calibri" w:hAnsi="Calibri" w:cs="Calibri"/>
        </w:rPr>
        <w:t xml:space="preserve">, tj. </w:t>
      </w:r>
      <w:r>
        <w:rPr>
          <w:rFonts w:ascii="Calibri" w:hAnsi="Calibri" w:cs="Calibri"/>
        </w:rPr>
        <w:t>0,8</w:t>
      </w:r>
      <w:r w:rsidRPr="00E574D3">
        <w:rPr>
          <w:rFonts w:ascii="Calibri" w:hAnsi="Calibri" w:cs="Calibri"/>
        </w:rPr>
        <w:t xml:space="preserve"> %.</w:t>
      </w:r>
    </w:p>
    <w:p w14:paraId="07A4F921" w14:textId="77777777" w:rsidR="00D158B8" w:rsidRPr="00F52040" w:rsidRDefault="00D158B8" w:rsidP="003835D9">
      <w:pPr>
        <w:pStyle w:val="Default"/>
        <w:jc w:val="both"/>
        <w:rPr>
          <w:rFonts w:ascii="Calibri" w:hAnsi="Calibri" w:cs="Calibri"/>
        </w:rPr>
      </w:pPr>
    </w:p>
    <w:p w14:paraId="5EF625DA" w14:textId="521D61A5" w:rsidR="00D158B8" w:rsidRPr="00F52040" w:rsidRDefault="00D158B8" w:rsidP="003835D9">
      <w:pPr>
        <w:spacing w:after="0" w:line="240" w:lineRule="auto"/>
        <w:jc w:val="both"/>
        <w:rPr>
          <w:rFonts w:ascii="Calibri" w:hAnsi="Calibri" w:cs="Calibri"/>
          <w:b/>
        </w:rPr>
      </w:pPr>
      <w:r w:rsidRPr="00F52040">
        <w:rPr>
          <w:rFonts w:ascii="Calibri" w:hAnsi="Calibri" w:cs="Calibri"/>
          <w:b/>
        </w:rPr>
        <w:t xml:space="preserve">5179 </w:t>
      </w:r>
      <w:r w:rsidRPr="00F52040">
        <w:rPr>
          <w:rFonts w:ascii="Calibri" w:hAnsi="Calibri" w:cs="Calibri"/>
          <w:b/>
          <w:bCs/>
        </w:rPr>
        <w:t>–</w:t>
      </w:r>
      <w:r w:rsidRPr="00F52040">
        <w:rPr>
          <w:rFonts w:ascii="Calibri" w:hAnsi="Calibri" w:cs="Calibri"/>
          <w:b/>
        </w:rPr>
        <w:t xml:space="preserve"> </w:t>
      </w:r>
      <w:r w:rsidR="0002153C">
        <w:rPr>
          <w:rFonts w:ascii="Calibri" w:hAnsi="Calibri" w:cs="Calibri"/>
          <w:b/>
        </w:rPr>
        <w:t>o</w:t>
      </w:r>
      <w:r w:rsidRPr="00F52040">
        <w:rPr>
          <w:rFonts w:ascii="Calibri" w:hAnsi="Calibri" w:cs="Calibri"/>
          <w:b/>
        </w:rPr>
        <w:t>statní nákupy jinde nezařazené</w:t>
      </w:r>
    </w:p>
    <w:p w14:paraId="2417053F" w14:textId="77777777" w:rsidR="00D158B8" w:rsidRDefault="00D158B8" w:rsidP="003835D9">
      <w:pPr>
        <w:spacing w:after="0" w:line="240" w:lineRule="auto"/>
        <w:jc w:val="both"/>
        <w:rPr>
          <w:rFonts w:ascii="Calibri" w:hAnsi="Calibri" w:cs="Calibri"/>
        </w:rPr>
      </w:pPr>
      <w:r w:rsidRPr="00F52040">
        <w:rPr>
          <w:rFonts w:ascii="Calibri" w:hAnsi="Calibri" w:cs="Calibri"/>
        </w:rPr>
        <w:t>Z této položky jsou hrazeny poplatky spojené s c</w:t>
      </w:r>
      <w:r w:rsidRPr="00F52040">
        <w:rPr>
          <w:rFonts w:ascii="Calibri" w:hAnsi="Calibri" w:cs="Calibri"/>
          <w:bCs/>
        </w:rPr>
        <w:t>entralizovaným nákupem energií pro příspěvkové organizace Středočeského kraje a Krajský úřad Středočeského kraje.</w:t>
      </w:r>
      <w:r w:rsidRPr="00F52040">
        <w:rPr>
          <w:rFonts w:ascii="Calibri" w:hAnsi="Calibri" w:cs="Calibri"/>
        </w:rPr>
        <w:t xml:space="preserve"> </w:t>
      </w:r>
      <w:r>
        <w:rPr>
          <w:rFonts w:ascii="Calibri" w:hAnsi="Calibri" w:cs="Calibri"/>
        </w:rPr>
        <w:t xml:space="preserve">Finanční prostředky byly čerpány ve výši </w:t>
      </w:r>
      <w:r w:rsidRPr="00F52040">
        <w:rPr>
          <w:rFonts w:ascii="Calibri" w:hAnsi="Calibri" w:cs="Calibri"/>
        </w:rPr>
        <w:t xml:space="preserve">151 734,00 </w:t>
      </w:r>
      <w:r>
        <w:rPr>
          <w:rFonts w:ascii="Calibri" w:hAnsi="Calibri" w:cs="Calibri"/>
        </w:rPr>
        <w:t>Kč</w:t>
      </w:r>
      <w:r w:rsidRPr="00E574D3">
        <w:rPr>
          <w:rFonts w:ascii="Calibri" w:hAnsi="Calibri" w:cs="Calibri"/>
        </w:rPr>
        <w:t xml:space="preserve">, tj. </w:t>
      </w:r>
      <w:r>
        <w:rPr>
          <w:rFonts w:ascii="Calibri" w:hAnsi="Calibri" w:cs="Calibri"/>
        </w:rPr>
        <w:t>30,3</w:t>
      </w:r>
      <w:r w:rsidRPr="00E574D3">
        <w:rPr>
          <w:rFonts w:ascii="Calibri" w:hAnsi="Calibri" w:cs="Calibri"/>
        </w:rPr>
        <w:t xml:space="preserve"> %.</w:t>
      </w:r>
    </w:p>
    <w:p w14:paraId="0F816559" w14:textId="77777777" w:rsidR="00D158B8" w:rsidRDefault="00D158B8" w:rsidP="003835D9">
      <w:pPr>
        <w:suppressAutoHyphens/>
        <w:spacing w:after="0" w:line="240" w:lineRule="auto"/>
        <w:jc w:val="both"/>
        <w:rPr>
          <w:rFonts w:ascii="Calibri" w:hAnsi="Calibri" w:cs="Calibri"/>
          <w:b/>
          <w:lang w:eastAsia="ar-SA"/>
        </w:rPr>
      </w:pPr>
    </w:p>
    <w:p w14:paraId="7219BE7A" w14:textId="136B64AD" w:rsidR="00D158B8" w:rsidRPr="002930D2" w:rsidRDefault="00D158B8" w:rsidP="003835D9">
      <w:pPr>
        <w:suppressAutoHyphens/>
        <w:spacing w:after="0" w:line="240" w:lineRule="auto"/>
        <w:jc w:val="both"/>
        <w:rPr>
          <w:rFonts w:ascii="Calibri" w:hAnsi="Calibri" w:cs="Calibri"/>
          <w:b/>
          <w:lang w:eastAsia="ar-SA"/>
        </w:rPr>
      </w:pPr>
      <w:r w:rsidRPr="002930D2">
        <w:rPr>
          <w:rFonts w:ascii="Calibri" w:hAnsi="Calibri" w:cs="Calibri"/>
          <w:b/>
          <w:lang w:eastAsia="ar-SA"/>
        </w:rPr>
        <w:t xml:space="preserve">5192 </w:t>
      </w:r>
      <w:r w:rsidRPr="002930D2">
        <w:rPr>
          <w:rFonts w:ascii="Calibri" w:hAnsi="Calibri" w:cs="Calibri"/>
          <w:b/>
          <w:bCs/>
          <w:lang w:eastAsia="ar-SA"/>
        </w:rPr>
        <w:t>–</w:t>
      </w:r>
      <w:r w:rsidRPr="002930D2">
        <w:rPr>
          <w:rFonts w:ascii="Calibri" w:hAnsi="Calibri" w:cs="Calibri"/>
          <w:b/>
          <w:lang w:eastAsia="ar-SA"/>
        </w:rPr>
        <w:t xml:space="preserve"> </w:t>
      </w:r>
      <w:r w:rsidR="0002153C">
        <w:rPr>
          <w:rFonts w:ascii="Calibri" w:hAnsi="Calibri" w:cs="Calibri"/>
          <w:b/>
          <w:lang w:eastAsia="ar-SA"/>
        </w:rPr>
        <w:t>p</w:t>
      </w:r>
      <w:r w:rsidRPr="002930D2">
        <w:rPr>
          <w:rFonts w:ascii="Calibri" w:hAnsi="Calibri" w:cs="Calibri"/>
          <w:b/>
          <w:lang w:eastAsia="ar-SA"/>
        </w:rPr>
        <w:t>oskytnuté náhrady</w:t>
      </w:r>
    </w:p>
    <w:p w14:paraId="60AD4288" w14:textId="77777777" w:rsidR="00D158B8" w:rsidRPr="002930D2" w:rsidRDefault="00D158B8" w:rsidP="003835D9">
      <w:pPr>
        <w:spacing w:after="0" w:line="240" w:lineRule="auto"/>
        <w:jc w:val="both"/>
        <w:rPr>
          <w:rFonts w:ascii="Calibri" w:hAnsi="Calibri" w:cs="Calibri"/>
        </w:rPr>
      </w:pPr>
      <w:r w:rsidRPr="002930D2">
        <w:rPr>
          <w:rFonts w:ascii="Calibri" w:hAnsi="Calibri" w:cs="Calibri"/>
          <w:lang w:eastAsia="ar-SA"/>
        </w:rPr>
        <w:t>Z této položky jsou hrazeny náklady řízení Úřadu pro ochranu hospodářské soutěže. V roce 202</w:t>
      </w:r>
      <w:r>
        <w:rPr>
          <w:rFonts w:ascii="Calibri" w:hAnsi="Calibri" w:cs="Calibri"/>
          <w:lang w:eastAsia="ar-SA"/>
        </w:rPr>
        <w:t>1</w:t>
      </w:r>
      <w:r w:rsidRPr="002930D2">
        <w:rPr>
          <w:rFonts w:ascii="Calibri" w:hAnsi="Calibri" w:cs="Calibri"/>
          <w:lang w:eastAsia="ar-SA"/>
        </w:rPr>
        <w:t xml:space="preserve"> nebylo čerpáno.</w:t>
      </w:r>
    </w:p>
    <w:p w14:paraId="71DE511E" w14:textId="77777777" w:rsidR="00D158B8" w:rsidRPr="00F52040" w:rsidRDefault="00D158B8" w:rsidP="003835D9">
      <w:pPr>
        <w:pStyle w:val="Default"/>
        <w:jc w:val="both"/>
        <w:rPr>
          <w:rFonts w:ascii="Calibri" w:hAnsi="Calibri" w:cs="Calibri"/>
        </w:rPr>
      </w:pPr>
    </w:p>
    <w:p w14:paraId="78DAD372" w14:textId="77777777" w:rsidR="00D158B8" w:rsidRPr="00BE10E2" w:rsidRDefault="00D158B8" w:rsidP="00312CF1">
      <w:pPr>
        <w:spacing w:after="0"/>
        <w:jc w:val="both"/>
        <w:rPr>
          <w:rFonts w:ascii="Calibri" w:hAnsi="Calibri" w:cs="Calibri"/>
          <w:b/>
          <w:u w:val="single"/>
        </w:rPr>
      </w:pPr>
    </w:p>
    <w:p w14:paraId="7DEEBDD0" w14:textId="77777777" w:rsidR="00D158B8" w:rsidRPr="00E363C7" w:rsidRDefault="00D158B8" w:rsidP="00312CF1">
      <w:pPr>
        <w:spacing w:after="0"/>
        <w:jc w:val="both"/>
        <w:rPr>
          <w:rFonts w:ascii="Calibri" w:hAnsi="Calibri" w:cs="Calibri"/>
          <w:b/>
          <w:sz w:val="24"/>
          <w:szCs w:val="24"/>
          <w:u w:val="single"/>
        </w:rPr>
      </w:pPr>
      <w:r w:rsidRPr="00E363C7">
        <w:rPr>
          <w:rFonts w:ascii="Calibri" w:hAnsi="Calibri" w:cs="Calibri"/>
          <w:b/>
          <w:sz w:val="24"/>
          <w:szCs w:val="24"/>
          <w:u w:val="single"/>
        </w:rPr>
        <w:t>Kapitálové výdaje</w:t>
      </w:r>
    </w:p>
    <w:p w14:paraId="4AF4C913" w14:textId="77777777" w:rsidR="00D158B8" w:rsidRDefault="00D158B8" w:rsidP="00312CF1">
      <w:pPr>
        <w:spacing w:after="0"/>
        <w:jc w:val="both"/>
        <w:rPr>
          <w:rFonts w:ascii="Calibri" w:hAnsi="Calibri" w:cs="Calibri"/>
          <w:b/>
          <w:u w:val="single"/>
        </w:rPr>
      </w:pPr>
    </w:p>
    <w:p w14:paraId="2BD2C920" w14:textId="77777777" w:rsidR="00D158B8" w:rsidRPr="00F52040" w:rsidRDefault="00D158B8" w:rsidP="00312CF1">
      <w:pPr>
        <w:spacing w:after="0"/>
        <w:jc w:val="both"/>
        <w:rPr>
          <w:rFonts w:ascii="Calibri" w:hAnsi="Calibri" w:cs="Calibri"/>
        </w:rPr>
      </w:pPr>
      <w:r w:rsidRPr="00F52040">
        <w:rPr>
          <w:rFonts w:ascii="Calibri" w:hAnsi="Calibri" w:cs="Calibri"/>
          <w:b/>
        </w:rPr>
        <w:t xml:space="preserve">§ 2212 </w:t>
      </w:r>
      <w:r w:rsidRPr="00F52040">
        <w:rPr>
          <w:rFonts w:ascii="Calibri" w:hAnsi="Calibri" w:cs="Calibri"/>
          <w:b/>
          <w:bCs/>
        </w:rPr>
        <w:t>–</w:t>
      </w:r>
      <w:r w:rsidRPr="00F52040">
        <w:rPr>
          <w:rFonts w:ascii="Calibri" w:hAnsi="Calibri" w:cs="Calibri"/>
          <w:b/>
        </w:rPr>
        <w:t xml:space="preserve"> Silnice</w:t>
      </w:r>
    </w:p>
    <w:p w14:paraId="507AA7B1" w14:textId="77777777" w:rsidR="00D158B8" w:rsidRPr="00F52040" w:rsidRDefault="00D158B8" w:rsidP="00312CF1">
      <w:pPr>
        <w:spacing w:after="0"/>
        <w:jc w:val="both"/>
        <w:rPr>
          <w:rFonts w:ascii="Calibri" w:hAnsi="Calibri" w:cs="Calibri"/>
          <w:b/>
        </w:rPr>
      </w:pPr>
      <w:r w:rsidRPr="00F52040">
        <w:rPr>
          <w:rFonts w:ascii="Calibri" w:hAnsi="Calibri" w:cs="Calibri"/>
          <w:b/>
        </w:rPr>
        <w:t xml:space="preserve">§ 2219 </w:t>
      </w:r>
      <w:r w:rsidRPr="00F52040">
        <w:rPr>
          <w:rFonts w:ascii="Calibri" w:hAnsi="Calibri" w:cs="Calibri"/>
          <w:b/>
          <w:bCs/>
        </w:rPr>
        <w:t>–</w:t>
      </w:r>
      <w:r w:rsidRPr="00F52040">
        <w:rPr>
          <w:rFonts w:ascii="Calibri" w:hAnsi="Calibri" w:cs="Calibri"/>
          <w:b/>
        </w:rPr>
        <w:t xml:space="preserve"> Ostatní záležitosti pozemních komunikací</w:t>
      </w:r>
    </w:p>
    <w:p w14:paraId="0C800DB1" w14:textId="77777777" w:rsidR="00D158B8" w:rsidRPr="00F52040" w:rsidRDefault="00D158B8" w:rsidP="00312CF1">
      <w:pPr>
        <w:spacing w:after="0"/>
        <w:jc w:val="both"/>
        <w:rPr>
          <w:rFonts w:ascii="Calibri" w:hAnsi="Calibri" w:cs="Calibri"/>
        </w:rPr>
      </w:pPr>
      <w:r w:rsidRPr="00F52040">
        <w:rPr>
          <w:rFonts w:ascii="Calibri" w:hAnsi="Calibri" w:cs="Calibri"/>
          <w:b/>
        </w:rPr>
        <w:t xml:space="preserve">§ 3121 </w:t>
      </w:r>
      <w:r w:rsidRPr="00F52040">
        <w:rPr>
          <w:rFonts w:ascii="Calibri" w:hAnsi="Calibri" w:cs="Calibri"/>
          <w:b/>
          <w:bCs/>
        </w:rPr>
        <w:t>–</w:t>
      </w:r>
      <w:r w:rsidRPr="00F52040">
        <w:rPr>
          <w:rFonts w:ascii="Calibri" w:hAnsi="Calibri" w:cs="Calibri"/>
          <w:b/>
        </w:rPr>
        <w:t xml:space="preserve"> Gymnázia</w:t>
      </w:r>
    </w:p>
    <w:p w14:paraId="2799F15B" w14:textId="77777777" w:rsidR="00D158B8" w:rsidRPr="00F52040" w:rsidRDefault="00D158B8" w:rsidP="00312CF1">
      <w:pPr>
        <w:spacing w:after="0"/>
        <w:jc w:val="both"/>
        <w:rPr>
          <w:rFonts w:ascii="Calibri" w:hAnsi="Calibri" w:cs="Calibri"/>
          <w:b/>
        </w:rPr>
      </w:pPr>
      <w:r w:rsidRPr="00F52040">
        <w:rPr>
          <w:rFonts w:ascii="Calibri" w:hAnsi="Calibri" w:cs="Calibri"/>
          <w:b/>
        </w:rPr>
        <w:t xml:space="preserve">§ 3122 </w:t>
      </w:r>
      <w:r w:rsidRPr="00F52040">
        <w:rPr>
          <w:rFonts w:ascii="Calibri" w:hAnsi="Calibri" w:cs="Calibri"/>
          <w:b/>
          <w:bCs/>
        </w:rPr>
        <w:t>–</w:t>
      </w:r>
      <w:r w:rsidRPr="00F52040">
        <w:rPr>
          <w:rFonts w:ascii="Calibri" w:hAnsi="Calibri" w:cs="Calibri"/>
          <w:b/>
        </w:rPr>
        <w:t xml:space="preserve"> Střední odborné školy</w:t>
      </w:r>
    </w:p>
    <w:p w14:paraId="57CCF06C" w14:textId="77777777" w:rsidR="00D158B8" w:rsidRDefault="00D158B8" w:rsidP="00312CF1">
      <w:pPr>
        <w:spacing w:after="0"/>
        <w:jc w:val="both"/>
        <w:rPr>
          <w:rFonts w:ascii="Calibri" w:hAnsi="Calibri" w:cs="Calibri"/>
          <w:b/>
        </w:rPr>
      </w:pPr>
      <w:r w:rsidRPr="00F52040">
        <w:rPr>
          <w:rFonts w:ascii="Calibri" w:hAnsi="Calibri" w:cs="Calibri"/>
          <w:b/>
        </w:rPr>
        <w:t xml:space="preserve">§ 3123 </w:t>
      </w:r>
      <w:r w:rsidRPr="00F52040">
        <w:rPr>
          <w:rFonts w:ascii="Calibri" w:hAnsi="Calibri" w:cs="Calibri"/>
          <w:b/>
          <w:bCs/>
        </w:rPr>
        <w:t>–</w:t>
      </w:r>
      <w:r w:rsidRPr="00F52040">
        <w:rPr>
          <w:rFonts w:ascii="Calibri" w:hAnsi="Calibri" w:cs="Calibri"/>
          <w:b/>
        </w:rPr>
        <w:t xml:space="preserve"> Střední školy poskytující střední vzdělání s výučním listem</w:t>
      </w:r>
    </w:p>
    <w:p w14:paraId="6C303A32" w14:textId="77777777" w:rsidR="00D158B8" w:rsidRPr="00F52040" w:rsidRDefault="00D158B8" w:rsidP="00312CF1">
      <w:pPr>
        <w:spacing w:after="0"/>
        <w:jc w:val="both"/>
        <w:rPr>
          <w:rFonts w:ascii="Calibri" w:hAnsi="Calibri" w:cs="Calibri"/>
          <w:b/>
        </w:rPr>
      </w:pPr>
      <w:r>
        <w:rPr>
          <w:rFonts w:ascii="Calibri" w:hAnsi="Calibri" w:cs="Calibri"/>
          <w:b/>
        </w:rPr>
        <w:t>§ 3231 – Základní umělecké školy</w:t>
      </w:r>
    </w:p>
    <w:p w14:paraId="11357DA3" w14:textId="77777777" w:rsidR="00D158B8" w:rsidRPr="00F52040" w:rsidRDefault="00D158B8" w:rsidP="00312CF1">
      <w:pPr>
        <w:spacing w:after="0"/>
        <w:jc w:val="both"/>
        <w:rPr>
          <w:rFonts w:ascii="Calibri" w:hAnsi="Calibri" w:cs="Calibri"/>
          <w:b/>
        </w:rPr>
      </w:pPr>
      <w:r w:rsidRPr="00F52040">
        <w:rPr>
          <w:rFonts w:ascii="Calibri" w:hAnsi="Calibri" w:cs="Calibri"/>
          <w:b/>
        </w:rPr>
        <w:t>§ 3314 – Činnosti knihovnické</w:t>
      </w:r>
    </w:p>
    <w:p w14:paraId="4C21983A" w14:textId="77777777" w:rsidR="00D158B8" w:rsidRPr="00F52040" w:rsidRDefault="00D158B8" w:rsidP="00312CF1">
      <w:pPr>
        <w:spacing w:after="0"/>
        <w:jc w:val="both"/>
        <w:rPr>
          <w:rFonts w:ascii="Calibri" w:hAnsi="Calibri" w:cs="Calibri"/>
        </w:rPr>
      </w:pPr>
      <w:r w:rsidRPr="00F52040">
        <w:rPr>
          <w:rFonts w:ascii="Calibri" w:hAnsi="Calibri" w:cs="Calibri"/>
          <w:b/>
        </w:rPr>
        <w:t>§ 3315 – Činnost muzeí a galerií</w:t>
      </w:r>
    </w:p>
    <w:p w14:paraId="3FD9C3E2" w14:textId="77777777" w:rsidR="00D158B8" w:rsidRPr="00F52040" w:rsidRDefault="00D158B8" w:rsidP="00312CF1">
      <w:pPr>
        <w:spacing w:after="0"/>
        <w:jc w:val="both"/>
        <w:rPr>
          <w:rFonts w:ascii="Calibri" w:hAnsi="Calibri" w:cs="Calibri"/>
          <w:b/>
        </w:rPr>
      </w:pPr>
      <w:r w:rsidRPr="00F52040">
        <w:rPr>
          <w:rFonts w:ascii="Calibri" w:hAnsi="Calibri" w:cs="Calibri"/>
          <w:b/>
        </w:rPr>
        <w:t>§ 3533 – Zdravotnická záchranná služba</w:t>
      </w:r>
    </w:p>
    <w:p w14:paraId="203C94A3" w14:textId="77777777" w:rsidR="00D158B8" w:rsidRPr="00F52040" w:rsidRDefault="00D158B8" w:rsidP="00312CF1">
      <w:pPr>
        <w:spacing w:after="0"/>
        <w:jc w:val="both"/>
        <w:rPr>
          <w:rFonts w:ascii="Calibri" w:hAnsi="Calibri" w:cs="Calibri"/>
          <w:b/>
        </w:rPr>
      </w:pPr>
      <w:r w:rsidRPr="00F52040">
        <w:rPr>
          <w:rFonts w:ascii="Calibri" w:hAnsi="Calibri" w:cs="Calibri"/>
          <w:b/>
        </w:rPr>
        <w:t>§ 4350 – Domovy pro seniory</w:t>
      </w:r>
    </w:p>
    <w:p w14:paraId="4F1EFB65" w14:textId="77777777" w:rsidR="00D158B8" w:rsidRPr="00F52040" w:rsidRDefault="00D158B8" w:rsidP="00D13957">
      <w:pPr>
        <w:spacing w:after="0" w:line="240" w:lineRule="auto"/>
        <w:jc w:val="both"/>
        <w:rPr>
          <w:rFonts w:ascii="Calibri" w:hAnsi="Calibri" w:cs="Calibri"/>
          <w:b/>
        </w:rPr>
      </w:pPr>
      <w:r w:rsidRPr="00F52040">
        <w:rPr>
          <w:rFonts w:ascii="Calibri" w:hAnsi="Calibri" w:cs="Calibri"/>
          <w:b/>
        </w:rPr>
        <w:t xml:space="preserve">§ 6172 – Činnost regionální správy </w:t>
      </w:r>
    </w:p>
    <w:p w14:paraId="5E531DB7" w14:textId="77777777" w:rsidR="00D158B8" w:rsidRPr="00856FDE" w:rsidRDefault="00D158B8" w:rsidP="00D13957">
      <w:pPr>
        <w:suppressAutoHyphens/>
        <w:spacing w:after="0" w:line="240" w:lineRule="auto"/>
        <w:jc w:val="both"/>
        <w:rPr>
          <w:rFonts w:ascii="Calibri" w:hAnsi="Calibri" w:cs="Calibri"/>
          <w:color w:val="000000"/>
          <w:lang w:eastAsia="ar-SA"/>
        </w:rPr>
      </w:pPr>
      <w:r w:rsidRPr="00856FDE">
        <w:rPr>
          <w:rFonts w:ascii="Calibri" w:hAnsi="Calibri" w:cs="Calibri"/>
          <w:color w:val="000000"/>
          <w:lang w:eastAsia="ar-SA"/>
        </w:rPr>
        <w:t>Upravený rozpočet kapitálových výdajů byl vytvořen prostřednictvím rozpočtových úprav projednaných s příslušným členem rady kraje (převody z běžných výdajů v rámci kapitoly 13 – Krajský investor).</w:t>
      </w:r>
    </w:p>
    <w:p w14:paraId="35A7E87F" w14:textId="77777777" w:rsidR="00D158B8" w:rsidRPr="00856FDE" w:rsidRDefault="00D158B8" w:rsidP="00D13957">
      <w:pPr>
        <w:spacing w:after="0" w:line="240" w:lineRule="auto"/>
        <w:jc w:val="both"/>
        <w:rPr>
          <w:rFonts w:ascii="Calibri" w:hAnsi="Calibri" w:cs="Calibri"/>
          <w:color w:val="000000"/>
          <w:lang w:eastAsia="ar-SA"/>
        </w:rPr>
      </w:pPr>
      <w:r w:rsidRPr="00856FDE">
        <w:rPr>
          <w:rFonts w:ascii="Calibri" w:hAnsi="Calibri" w:cs="Calibri"/>
          <w:color w:val="000000"/>
          <w:lang w:eastAsia="ar-SA"/>
        </w:rPr>
        <w:t>Z této položky byly hrazeny poplatky k investičním akcím za uveřejnění formuláře veřejné zakázky na portálu MMR ČR v dané oblasti a dále výdaje na metodické a právní služby, úhrady odborných posudků a stanovisek k zajištění krajských projektů při investiční výstavbě.</w:t>
      </w:r>
    </w:p>
    <w:p w14:paraId="058F2303" w14:textId="77777777" w:rsidR="00D158B8" w:rsidRPr="00856FDE" w:rsidRDefault="00D158B8" w:rsidP="00312CF1">
      <w:pPr>
        <w:spacing w:after="0"/>
        <w:jc w:val="both"/>
        <w:rPr>
          <w:rFonts w:ascii="Calibri" w:hAnsi="Calibri" w:cs="Calibri"/>
          <w:b/>
        </w:rPr>
      </w:pPr>
    </w:p>
    <w:p w14:paraId="5F3ED985" w14:textId="77777777" w:rsidR="00D158B8" w:rsidRDefault="00D158B8" w:rsidP="00312CF1">
      <w:pPr>
        <w:spacing w:after="0"/>
        <w:jc w:val="both"/>
        <w:rPr>
          <w:rFonts w:ascii="Calibri" w:hAnsi="Calibri" w:cs="Calibri"/>
          <w:b/>
          <w:u w:val="single"/>
        </w:rPr>
      </w:pPr>
    </w:p>
    <w:p w14:paraId="2B26EA67" w14:textId="0EFB4BEF" w:rsidR="00D158B8" w:rsidRDefault="00D158B8" w:rsidP="00D158B8">
      <w:pPr>
        <w:rPr>
          <w:rFonts w:ascii="Calibri" w:hAnsi="Calibri" w:cs="Calibri"/>
        </w:rPr>
      </w:pPr>
    </w:p>
    <w:tbl>
      <w:tblPr>
        <w:tblW w:w="10632" w:type="dxa"/>
        <w:tblLayout w:type="fixed"/>
        <w:tblCellMar>
          <w:left w:w="70" w:type="dxa"/>
          <w:right w:w="70" w:type="dxa"/>
        </w:tblCellMar>
        <w:tblLook w:val="04A0" w:firstRow="1" w:lastRow="0" w:firstColumn="1" w:lastColumn="0" w:noHBand="0" w:noVBand="1"/>
      </w:tblPr>
      <w:tblGrid>
        <w:gridCol w:w="826"/>
        <w:gridCol w:w="4673"/>
        <w:gridCol w:w="1305"/>
        <w:gridCol w:w="1560"/>
        <w:gridCol w:w="1559"/>
        <w:gridCol w:w="709"/>
      </w:tblGrid>
      <w:tr w:rsidR="00D158B8" w:rsidRPr="00D158B8" w14:paraId="1A5736B2" w14:textId="77777777" w:rsidTr="00B67595">
        <w:trPr>
          <w:trHeight w:val="375"/>
        </w:trPr>
        <w:tc>
          <w:tcPr>
            <w:tcW w:w="10632" w:type="dxa"/>
            <w:gridSpan w:val="6"/>
            <w:tcBorders>
              <w:top w:val="nil"/>
              <w:left w:val="nil"/>
              <w:bottom w:val="nil"/>
              <w:right w:val="nil"/>
            </w:tcBorders>
            <w:shd w:val="clear" w:color="auto" w:fill="auto"/>
            <w:vAlign w:val="bottom"/>
            <w:hideMark/>
          </w:tcPr>
          <w:p w14:paraId="332B2C82" w14:textId="77777777" w:rsidR="00D158B8" w:rsidRPr="00D158B8" w:rsidRDefault="00D158B8" w:rsidP="00D158B8">
            <w:pPr>
              <w:spacing w:after="0" w:line="240" w:lineRule="auto"/>
              <w:jc w:val="center"/>
              <w:rPr>
                <w:rFonts w:ascii="Calibri" w:eastAsia="Times New Roman" w:hAnsi="Calibri" w:cs="Calibri"/>
                <w:b/>
                <w:bCs/>
                <w:sz w:val="28"/>
                <w:szCs w:val="28"/>
                <w:lang w:eastAsia="cs-CZ"/>
              </w:rPr>
            </w:pPr>
            <w:r w:rsidRPr="00D158B8">
              <w:rPr>
                <w:rFonts w:ascii="Calibri" w:eastAsia="Times New Roman" w:hAnsi="Calibri" w:cs="Calibri"/>
                <w:b/>
                <w:bCs/>
                <w:sz w:val="28"/>
                <w:szCs w:val="28"/>
                <w:lang w:eastAsia="cs-CZ"/>
              </w:rPr>
              <w:t xml:space="preserve">     Čerpání rozpočtu kapitoly 14 - Řízení lidských zdrojů - období: 1. - 12. 2021</w:t>
            </w:r>
          </w:p>
        </w:tc>
      </w:tr>
      <w:tr w:rsidR="00D158B8" w:rsidRPr="00D158B8" w14:paraId="1D848C8A" w14:textId="77777777" w:rsidTr="00B67595">
        <w:trPr>
          <w:trHeight w:val="315"/>
        </w:trPr>
        <w:tc>
          <w:tcPr>
            <w:tcW w:w="826" w:type="dxa"/>
            <w:tcBorders>
              <w:top w:val="nil"/>
              <w:left w:val="nil"/>
              <w:bottom w:val="nil"/>
              <w:right w:val="nil"/>
            </w:tcBorders>
            <w:shd w:val="clear" w:color="auto" w:fill="auto"/>
            <w:noWrap/>
            <w:vAlign w:val="bottom"/>
            <w:hideMark/>
          </w:tcPr>
          <w:p w14:paraId="1ED9F85F" w14:textId="77777777" w:rsidR="00D158B8" w:rsidRPr="00D158B8" w:rsidRDefault="00D158B8" w:rsidP="00D158B8">
            <w:pPr>
              <w:spacing w:after="0" w:line="240" w:lineRule="auto"/>
              <w:jc w:val="center"/>
              <w:rPr>
                <w:rFonts w:ascii="Calibri" w:eastAsia="Times New Roman" w:hAnsi="Calibri" w:cs="Calibri"/>
                <w:b/>
                <w:bCs/>
                <w:sz w:val="28"/>
                <w:szCs w:val="28"/>
                <w:lang w:eastAsia="cs-CZ"/>
              </w:rPr>
            </w:pPr>
          </w:p>
        </w:tc>
        <w:tc>
          <w:tcPr>
            <w:tcW w:w="4673" w:type="dxa"/>
            <w:tcBorders>
              <w:top w:val="nil"/>
              <w:left w:val="nil"/>
              <w:bottom w:val="nil"/>
              <w:right w:val="nil"/>
            </w:tcBorders>
            <w:shd w:val="clear" w:color="auto" w:fill="auto"/>
            <w:noWrap/>
            <w:vAlign w:val="bottom"/>
            <w:hideMark/>
          </w:tcPr>
          <w:p w14:paraId="2B1A26B6" w14:textId="77777777" w:rsidR="00D158B8" w:rsidRPr="00D158B8" w:rsidRDefault="00D158B8" w:rsidP="00D158B8">
            <w:pPr>
              <w:spacing w:after="0" w:line="240" w:lineRule="auto"/>
              <w:rPr>
                <w:rFonts w:ascii="Times New Roman" w:eastAsia="Times New Roman" w:hAnsi="Times New Roman" w:cs="Times New Roman"/>
                <w:sz w:val="20"/>
                <w:szCs w:val="20"/>
                <w:lang w:eastAsia="cs-CZ"/>
              </w:rPr>
            </w:pPr>
          </w:p>
        </w:tc>
        <w:tc>
          <w:tcPr>
            <w:tcW w:w="1305" w:type="dxa"/>
            <w:tcBorders>
              <w:top w:val="nil"/>
              <w:left w:val="nil"/>
              <w:bottom w:val="nil"/>
              <w:right w:val="nil"/>
            </w:tcBorders>
            <w:shd w:val="clear" w:color="auto" w:fill="auto"/>
            <w:noWrap/>
            <w:vAlign w:val="bottom"/>
            <w:hideMark/>
          </w:tcPr>
          <w:p w14:paraId="254BD18F" w14:textId="77777777" w:rsidR="00D158B8" w:rsidRPr="00D158B8" w:rsidRDefault="00D158B8" w:rsidP="00D158B8">
            <w:pPr>
              <w:spacing w:after="0" w:line="240" w:lineRule="auto"/>
              <w:rPr>
                <w:rFonts w:ascii="Times New Roman" w:eastAsia="Times New Roman" w:hAnsi="Times New Roman" w:cs="Times New Roman"/>
                <w:sz w:val="20"/>
                <w:szCs w:val="20"/>
                <w:lang w:eastAsia="cs-CZ"/>
              </w:rPr>
            </w:pPr>
          </w:p>
        </w:tc>
        <w:tc>
          <w:tcPr>
            <w:tcW w:w="1560" w:type="dxa"/>
            <w:tcBorders>
              <w:top w:val="nil"/>
              <w:left w:val="nil"/>
              <w:bottom w:val="nil"/>
              <w:right w:val="nil"/>
            </w:tcBorders>
            <w:shd w:val="clear" w:color="auto" w:fill="auto"/>
            <w:noWrap/>
            <w:vAlign w:val="bottom"/>
            <w:hideMark/>
          </w:tcPr>
          <w:p w14:paraId="68B332B0" w14:textId="77777777" w:rsidR="00D158B8" w:rsidRPr="00D158B8" w:rsidRDefault="00D158B8" w:rsidP="00D158B8">
            <w:pPr>
              <w:spacing w:after="0" w:line="240" w:lineRule="auto"/>
              <w:rPr>
                <w:rFonts w:ascii="Times New Roman" w:eastAsia="Times New Roman" w:hAnsi="Times New Roman" w:cs="Times New Roman"/>
                <w:sz w:val="20"/>
                <w:szCs w:val="20"/>
                <w:lang w:eastAsia="cs-CZ"/>
              </w:rPr>
            </w:pPr>
          </w:p>
        </w:tc>
        <w:tc>
          <w:tcPr>
            <w:tcW w:w="2268" w:type="dxa"/>
            <w:gridSpan w:val="2"/>
            <w:tcBorders>
              <w:top w:val="nil"/>
              <w:left w:val="nil"/>
              <w:bottom w:val="nil"/>
              <w:right w:val="nil"/>
            </w:tcBorders>
            <w:shd w:val="clear" w:color="auto" w:fill="auto"/>
            <w:noWrap/>
            <w:vAlign w:val="bottom"/>
            <w:hideMark/>
          </w:tcPr>
          <w:p w14:paraId="3DAC7EAD" w14:textId="77777777" w:rsidR="00D158B8" w:rsidRPr="00D158B8" w:rsidRDefault="00D158B8" w:rsidP="00D158B8">
            <w:pPr>
              <w:spacing w:after="0" w:line="240" w:lineRule="auto"/>
              <w:jc w:val="right"/>
              <w:rPr>
                <w:rFonts w:ascii="Calibri" w:eastAsia="Times New Roman" w:hAnsi="Calibri" w:cs="Calibri"/>
                <w:lang w:eastAsia="cs-CZ"/>
              </w:rPr>
            </w:pPr>
            <w:r w:rsidRPr="00D158B8">
              <w:rPr>
                <w:rFonts w:ascii="Calibri" w:eastAsia="Times New Roman" w:hAnsi="Calibri" w:cs="Calibri"/>
                <w:lang w:eastAsia="cs-CZ"/>
              </w:rPr>
              <w:t>v Kč</w:t>
            </w:r>
          </w:p>
        </w:tc>
      </w:tr>
      <w:tr w:rsidR="00D158B8" w:rsidRPr="00D158B8" w14:paraId="17B97CE5" w14:textId="77777777" w:rsidTr="00B67595">
        <w:trPr>
          <w:trHeight w:val="525"/>
        </w:trPr>
        <w:tc>
          <w:tcPr>
            <w:tcW w:w="826" w:type="dxa"/>
            <w:tcBorders>
              <w:top w:val="single" w:sz="8" w:space="0" w:color="auto"/>
              <w:left w:val="single" w:sz="8" w:space="0" w:color="auto"/>
              <w:bottom w:val="single" w:sz="8" w:space="0" w:color="auto"/>
              <w:right w:val="nil"/>
            </w:tcBorders>
            <w:shd w:val="clear" w:color="CCFFFF" w:fill="CCFFCC"/>
            <w:noWrap/>
            <w:vAlign w:val="center"/>
            <w:hideMark/>
          </w:tcPr>
          <w:p w14:paraId="01104DDF" w14:textId="77777777" w:rsidR="00D158B8" w:rsidRPr="00D158B8" w:rsidRDefault="00D158B8" w:rsidP="00D158B8">
            <w:pPr>
              <w:spacing w:after="0" w:line="240" w:lineRule="auto"/>
              <w:jc w:val="center"/>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Paragraf</w:t>
            </w:r>
          </w:p>
        </w:tc>
        <w:tc>
          <w:tcPr>
            <w:tcW w:w="4673" w:type="dxa"/>
            <w:tcBorders>
              <w:top w:val="single" w:sz="8" w:space="0" w:color="auto"/>
              <w:left w:val="single" w:sz="8" w:space="0" w:color="auto"/>
              <w:bottom w:val="single" w:sz="8" w:space="0" w:color="auto"/>
              <w:right w:val="single" w:sz="8" w:space="0" w:color="auto"/>
            </w:tcBorders>
            <w:shd w:val="clear" w:color="CCFFFF" w:fill="CCFFCC"/>
            <w:noWrap/>
            <w:vAlign w:val="center"/>
            <w:hideMark/>
          </w:tcPr>
          <w:p w14:paraId="69881F47" w14:textId="77777777" w:rsidR="00D158B8" w:rsidRPr="00D158B8" w:rsidRDefault="00D158B8" w:rsidP="00D158B8">
            <w:pPr>
              <w:spacing w:after="0" w:line="240" w:lineRule="auto"/>
              <w:jc w:val="center"/>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Oblast rozpočtu</w:t>
            </w:r>
          </w:p>
        </w:tc>
        <w:tc>
          <w:tcPr>
            <w:tcW w:w="1305" w:type="dxa"/>
            <w:tcBorders>
              <w:top w:val="single" w:sz="8" w:space="0" w:color="auto"/>
              <w:left w:val="nil"/>
              <w:bottom w:val="single" w:sz="8" w:space="0" w:color="auto"/>
              <w:right w:val="single" w:sz="8" w:space="0" w:color="auto"/>
            </w:tcBorders>
            <w:shd w:val="clear" w:color="CCFFFF" w:fill="CCFFCC"/>
            <w:vAlign w:val="center"/>
            <w:hideMark/>
          </w:tcPr>
          <w:p w14:paraId="2624DAA3" w14:textId="77777777" w:rsidR="00D158B8" w:rsidRPr="00D158B8" w:rsidRDefault="00D158B8" w:rsidP="00D158B8">
            <w:pPr>
              <w:spacing w:after="0" w:line="240" w:lineRule="auto"/>
              <w:jc w:val="center"/>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Schválený rozpočet</w:t>
            </w:r>
          </w:p>
        </w:tc>
        <w:tc>
          <w:tcPr>
            <w:tcW w:w="1560" w:type="dxa"/>
            <w:tcBorders>
              <w:top w:val="single" w:sz="8" w:space="0" w:color="auto"/>
              <w:left w:val="nil"/>
              <w:bottom w:val="single" w:sz="8" w:space="0" w:color="auto"/>
              <w:right w:val="single" w:sz="8" w:space="0" w:color="auto"/>
            </w:tcBorders>
            <w:shd w:val="clear" w:color="CCFFFF" w:fill="CCFFCC"/>
            <w:vAlign w:val="center"/>
            <w:hideMark/>
          </w:tcPr>
          <w:p w14:paraId="6EE4571C" w14:textId="77777777" w:rsidR="00D158B8" w:rsidRPr="00D158B8" w:rsidRDefault="00D158B8" w:rsidP="00D158B8">
            <w:pPr>
              <w:spacing w:after="0" w:line="240" w:lineRule="auto"/>
              <w:jc w:val="center"/>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Rozpočet po úpravě</w:t>
            </w:r>
          </w:p>
        </w:tc>
        <w:tc>
          <w:tcPr>
            <w:tcW w:w="1559" w:type="dxa"/>
            <w:tcBorders>
              <w:top w:val="single" w:sz="8" w:space="0" w:color="auto"/>
              <w:left w:val="nil"/>
              <w:bottom w:val="single" w:sz="8" w:space="0" w:color="auto"/>
              <w:right w:val="single" w:sz="8" w:space="0" w:color="auto"/>
            </w:tcBorders>
            <w:shd w:val="clear" w:color="CCFFFF" w:fill="CCFFCC"/>
            <w:noWrap/>
            <w:vAlign w:val="center"/>
            <w:hideMark/>
          </w:tcPr>
          <w:p w14:paraId="48EEBA58" w14:textId="77777777" w:rsidR="00D158B8" w:rsidRPr="00D158B8" w:rsidRDefault="00D158B8" w:rsidP="00D158B8">
            <w:pPr>
              <w:spacing w:after="0" w:line="240" w:lineRule="auto"/>
              <w:jc w:val="center"/>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Skutečnost</w:t>
            </w:r>
          </w:p>
        </w:tc>
        <w:tc>
          <w:tcPr>
            <w:tcW w:w="709" w:type="dxa"/>
            <w:tcBorders>
              <w:top w:val="single" w:sz="8" w:space="0" w:color="auto"/>
              <w:left w:val="nil"/>
              <w:bottom w:val="single" w:sz="8" w:space="0" w:color="auto"/>
              <w:right w:val="single" w:sz="8" w:space="0" w:color="auto"/>
            </w:tcBorders>
            <w:shd w:val="clear" w:color="CCFFFF" w:fill="CCFFCC"/>
            <w:vAlign w:val="center"/>
            <w:hideMark/>
          </w:tcPr>
          <w:p w14:paraId="096F8E79" w14:textId="77777777" w:rsidR="00D158B8" w:rsidRPr="00D158B8" w:rsidRDefault="00D158B8" w:rsidP="00D158B8">
            <w:pPr>
              <w:spacing w:after="0" w:line="240" w:lineRule="auto"/>
              <w:jc w:val="center"/>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 plnění</w:t>
            </w:r>
          </w:p>
        </w:tc>
      </w:tr>
      <w:tr w:rsidR="00D158B8" w:rsidRPr="00D158B8" w14:paraId="5411A198" w14:textId="77777777" w:rsidTr="00B67595">
        <w:trPr>
          <w:trHeight w:val="315"/>
        </w:trPr>
        <w:tc>
          <w:tcPr>
            <w:tcW w:w="826" w:type="dxa"/>
            <w:tcBorders>
              <w:top w:val="nil"/>
              <w:left w:val="single" w:sz="8" w:space="0" w:color="auto"/>
              <w:bottom w:val="nil"/>
              <w:right w:val="nil"/>
            </w:tcBorders>
            <w:shd w:val="clear" w:color="auto" w:fill="auto"/>
            <w:noWrap/>
            <w:vAlign w:val="bottom"/>
            <w:hideMark/>
          </w:tcPr>
          <w:p w14:paraId="41F914DD" w14:textId="77777777" w:rsidR="00D158B8" w:rsidRPr="00D158B8" w:rsidRDefault="00D158B8" w:rsidP="00D158B8">
            <w:pPr>
              <w:spacing w:after="0" w:line="240" w:lineRule="auto"/>
              <w:rPr>
                <w:rFonts w:ascii="Arial" w:eastAsia="Times New Roman" w:hAnsi="Arial" w:cs="Arial"/>
                <w:sz w:val="20"/>
                <w:szCs w:val="20"/>
                <w:lang w:eastAsia="cs-CZ"/>
              </w:rPr>
            </w:pPr>
            <w:r w:rsidRPr="00D158B8">
              <w:rPr>
                <w:rFonts w:ascii="Arial" w:eastAsia="Times New Roman" w:hAnsi="Arial" w:cs="Arial"/>
                <w:sz w:val="20"/>
                <w:szCs w:val="20"/>
                <w:lang w:eastAsia="cs-CZ"/>
              </w:rPr>
              <w:t> </w:t>
            </w:r>
          </w:p>
        </w:tc>
        <w:tc>
          <w:tcPr>
            <w:tcW w:w="4673" w:type="dxa"/>
            <w:tcBorders>
              <w:top w:val="nil"/>
              <w:left w:val="nil"/>
              <w:bottom w:val="nil"/>
              <w:right w:val="nil"/>
            </w:tcBorders>
            <w:shd w:val="clear" w:color="auto" w:fill="auto"/>
            <w:noWrap/>
            <w:vAlign w:val="bottom"/>
            <w:hideMark/>
          </w:tcPr>
          <w:p w14:paraId="0BA23A8E" w14:textId="77777777" w:rsidR="00D158B8" w:rsidRPr="00D158B8" w:rsidRDefault="00D158B8" w:rsidP="00D158B8">
            <w:pPr>
              <w:spacing w:after="0" w:line="240" w:lineRule="auto"/>
              <w:rPr>
                <w:rFonts w:ascii="Calibri" w:eastAsia="Times New Roman" w:hAnsi="Calibri" w:cs="Calibri"/>
                <w:b/>
                <w:bCs/>
                <w:lang w:eastAsia="cs-CZ"/>
              </w:rPr>
            </w:pPr>
            <w:r w:rsidRPr="00D158B8">
              <w:rPr>
                <w:rFonts w:ascii="Calibri" w:eastAsia="Times New Roman" w:hAnsi="Calibri" w:cs="Calibri"/>
                <w:b/>
                <w:bCs/>
                <w:lang w:eastAsia="cs-CZ"/>
              </w:rPr>
              <w:t>Běžné výdaje</w:t>
            </w:r>
          </w:p>
        </w:tc>
        <w:tc>
          <w:tcPr>
            <w:tcW w:w="1305" w:type="dxa"/>
            <w:tcBorders>
              <w:top w:val="nil"/>
              <w:left w:val="nil"/>
              <w:bottom w:val="nil"/>
              <w:right w:val="nil"/>
            </w:tcBorders>
            <w:shd w:val="clear" w:color="auto" w:fill="auto"/>
            <w:vAlign w:val="bottom"/>
            <w:hideMark/>
          </w:tcPr>
          <w:p w14:paraId="69AD0C03" w14:textId="77777777" w:rsidR="00D158B8" w:rsidRPr="00D158B8" w:rsidRDefault="00D158B8" w:rsidP="00D158B8">
            <w:pPr>
              <w:spacing w:after="0" w:line="240" w:lineRule="auto"/>
              <w:jc w:val="center"/>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 </w:t>
            </w:r>
          </w:p>
        </w:tc>
        <w:tc>
          <w:tcPr>
            <w:tcW w:w="1560" w:type="dxa"/>
            <w:tcBorders>
              <w:top w:val="nil"/>
              <w:left w:val="nil"/>
              <w:bottom w:val="nil"/>
              <w:right w:val="nil"/>
            </w:tcBorders>
            <w:shd w:val="clear" w:color="auto" w:fill="auto"/>
            <w:vAlign w:val="bottom"/>
            <w:hideMark/>
          </w:tcPr>
          <w:p w14:paraId="2EB2B24C" w14:textId="77777777" w:rsidR="00D158B8" w:rsidRPr="00D158B8" w:rsidRDefault="00D158B8" w:rsidP="00D158B8">
            <w:pPr>
              <w:spacing w:after="0" w:line="240" w:lineRule="auto"/>
              <w:jc w:val="center"/>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 </w:t>
            </w:r>
          </w:p>
        </w:tc>
        <w:tc>
          <w:tcPr>
            <w:tcW w:w="1559" w:type="dxa"/>
            <w:tcBorders>
              <w:top w:val="nil"/>
              <w:left w:val="nil"/>
              <w:bottom w:val="nil"/>
              <w:right w:val="nil"/>
            </w:tcBorders>
            <w:shd w:val="clear" w:color="auto" w:fill="auto"/>
            <w:noWrap/>
            <w:vAlign w:val="bottom"/>
            <w:hideMark/>
          </w:tcPr>
          <w:p w14:paraId="186ED3F8" w14:textId="77777777" w:rsidR="00D158B8" w:rsidRPr="00D158B8" w:rsidRDefault="00D158B8" w:rsidP="00D158B8">
            <w:pPr>
              <w:spacing w:after="0" w:line="240" w:lineRule="auto"/>
              <w:jc w:val="center"/>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 </w:t>
            </w:r>
          </w:p>
        </w:tc>
        <w:tc>
          <w:tcPr>
            <w:tcW w:w="709" w:type="dxa"/>
            <w:tcBorders>
              <w:top w:val="nil"/>
              <w:left w:val="nil"/>
              <w:bottom w:val="nil"/>
              <w:right w:val="nil"/>
            </w:tcBorders>
            <w:shd w:val="clear" w:color="auto" w:fill="auto"/>
            <w:noWrap/>
            <w:vAlign w:val="bottom"/>
            <w:hideMark/>
          </w:tcPr>
          <w:p w14:paraId="6EC69A12" w14:textId="77777777" w:rsidR="00D158B8" w:rsidRPr="00D158B8" w:rsidRDefault="00D158B8" w:rsidP="00D158B8">
            <w:pPr>
              <w:spacing w:after="0" w:line="240" w:lineRule="auto"/>
              <w:jc w:val="center"/>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 </w:t>
            </w:r>
          </w:p>
        </w:tc>
      </w:tr>
      <w:tr w:rsidR="00D158B8" w:rsidRPr="00D158B8" w14:paraId="28BBB461" w14:textId="77777777" w:rsidTr="00B67595">
        <w:trPr>
          <w:trHeight w:val="255"/>
        </w:trPr>
        <w:tc>
          <w:tcPr>
            <w:tcW w:w="826"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3712434" w14:textId="77777777" w:rsidR="00D158B8" w:rsidRPr="00D158B8" w:rsidRDefault="00D158B8" w:rsidP="00D158B8">
            <w:pPr>
              <w:spacing w:after="0" w:line="240" w:lineRule="auto"/>
              <w:jc w:val="center"/>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6172</w:t>
            </w:r>
          </w:p>
        </w:tc>
        <w:tc>
          <w:tcPr>
            <w:tcW w:w="4673" w:type="dxa"/>
            <w:tcBorders>
              <w:top w:val="single" w:sz="8" w:space="0" w:color="auto"/>
              <w:left w:val="nil"/>
              <w:bottom w:val="single" w:sz="4" w:space="0" w:color="auto"/>
              <w:right w:val="single" w:sz="4" w:space="0" w:color="auto"/>
            </w:tcBorders>
            <w:shd w:val="clear" w:color="auto" w:fill="auto"/>
            <w:noWrap/>
            <w:vAlign w:val="bottom"/>
            <w:hideMark/>
          </w:tcPr>
          <w:p w14:paraId="6686AC84" w14:textId="77777777" w:rsidR="00D158B8" w:rsidRPr="00D158B8" w:rsidRDefault="00D158B8" w:rsidP="00D158B8">
            <w:pPr>
              <w:spacing w:after="0" w:line="240" w:lineRule="auto"/>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Činnost regionální správy</w:t>
            </w:r>
          </w:p>
        </w:tc>
        <w:tc>
          <w:tcPr>
            <w:tcW w:w="1305" w:type="dxa"/>
            <w:tcBorders>
              <w:top w:val="single" w:sz="8" w:space="0" w:color="auto"/>
              <w:left w:val="nil"/>
              <w:bottom w:val="single" w:sz="4" w:space="0" w:color="auto"/>
              <w:right w:val="single" w:sz="4" w:space="0" w:color="auto"/>
            </w:tcBorders>
            <w:shd w:val="clear" w:color="auto" w:fill="auto"/>
            <w:vAlign w:val="bottom"/>
            <w:hideMark/>
          </w:tcPr>
          <w:p w14:paraId="579524AF"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534 924 000</w:t>
            </w:r>
          </w:p>
        </w:tc>
        <w:tc>
          <w:tcPr>
            <w:tcW w:w="1560" w:type="dxa"/>
            <w:tcBorders>
              <w:top w:val="single" w:sz="8" w:space="0" w:color="auto"/>
              <w:left w:val="nil"/>
              <w:bottom w:val="single" w:sz="4" w:space="0" w:color="auto"/>
              <w:right w:val="single" w:sz="4" w:space="0" w:color="auto"/>
            </w:tcBorders>
            <w:shd w:val="clear" w:color="auto" w:fill="auto"/>
            <w:vAlign w:val="bottom"/>
            <w:hideMark/>
          </w:tcPr>
          <w:p w14:paraId="0FAD3A86"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544 990 000,00</w:t>
            </w:r>
          </w:p>
        </w:tc>
        <w:tc>
          <w:tcPr>
            <w:tcW w:w="1559" w:type="dxa"/>
            <w:tcBorders>
              <w:top w:val="single" w:sz="8" w:space="0" w:color="auto"/>
              <w:left w:val="nil"/>
              <w:bottom w:val="single" w:sz="4" w:space="0" w:color="auto"/>
              <w:right w:val="single" w:sz="4" w:space="0" w:color="auto"/>
            </w:tcBorders>
            <w:shd w:val="clear" w:color="auto" w:fill="auto"/>
            <w:vAlign w:val="bottom"/>
            <w:hideMark/>
          </w:tcPr>
          <w:p w14:paraId="03AADE35"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526 736 609,24</w:t>
            </w:r>
          </w:p>
        </w:tc>
        <w:tc>
          <w:tcPr>
            <w:tcW w:w="709" w:type="dxa"/>
            <w:tcBorders>
              <w:top w:val="single" w:sz="8" w:space="0" w:color="auto"/>
              <w:left w:val="nil"/>
              <w:bottom w:val="single" w:sz="4" w:space="0" w:color="auto"/>
              <w:right w:val="single" w:sz="8" w:space="0" w:color="auto"/>
            </w:tcBorders>
            <w:shd w:val="clear" w:color="auto" w:fill="auto"/>
            <w:noWrap/>
            <w:vAlign w:val="bottom"/>
            <w:hideMark/>
          </w:tcPr>
          <w:p w14:paraId="4D1B3B38"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96,7</w:t>
            </w:r>
          </w:p>
        </w:tc>
      </w:tr>
      <w:tr w:rsidR="00D158B8" w:rsidRPr="00D158B8" w14:paraId="6F7F68FB" w14:textId="77777777" w:rsidTr="00B67595">
        <w:trPr>
          <w:trHeight w:val="255"/>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4403A955" w14:textId="77777777" w:rsidR="00D158B8" w:rsidRPr="00D158B8" w:rsidRDefault="00D158B8" w:rsidP="00D158B8">
            <w:pPr>
              <w:spacing w:after="0" w:line="240" w:lineRule="auto"/>
              <w:jc w:val="center"/>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 </w:t>
            </w:r>
          </w:p>
        </w:tc>
        <w:tc>
          <w:tcPr>
            <w:tcW w:w="9806" w:type="dxa"/>
            <w:gridSpan w:val="5"/>
            <w:tcBorders>
              <w:top w:val="single" w:sz="4" w:space="0" w:color="auto"/>
              <w:left w:val="nil"/>
              <w:bottom w:val="single" w:sz="4" w:space="0" w:color="auto"/>
              <w:right w:val="single" w:sz="8" w:space="0" w:color="000000"/>
            </w:tcBorders>
            <w:shd w:val="clear" w:color="auto" w:fill="auto"/>
            <w:noWrap/>
            <w:vAlign w:val="center"/>
            <w:hideMark/>
          </w:tcPr>
          <w:p w14:paraId="5B83EF47" w14:textId="77777777" w:rsidR="00D158B8" w:rsidRPr="00D158B8" w:rsidRDefault="00D158B8" w:rsidP="00D158B8">
            <w:pPr>
              <w:spacing w:after="0" w:line="240" w:lineRule="auto"/>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z toho:</w:t>
            </w:r>
          </w:p>
        </w:tc>
      </w:tr>
      <w:tr w:rsidR="00D158B8" w:rsidRPr="00D158B8" w14:paraId="1F9093B0" w14:textId="77777777" w:rsidTr="00B67595">
        <w:trPr>
          <w:trHeight w:val="255"/>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05EB5E7F" w14:textId="77777777" w:rsidR="00D158B8" w:rsidRPr="00D158B8" w:rsidRDefault="00D158B8" w:rsidP="00D158B8">
            <w:pPr>
              <w:spacing w:after="0" w:line="240" w:lineRule="auto"/>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 </w:t>
            </w:r>
          </w:p>
        </w:tc>
        <w:tc>
          <w:tcPr>
            <w:tcW w:w="4673" w:type="dxa"/>
            <w:tcBorders>
              <w:top w:val="nil"/>
              <w:left w:val="nil"/>
              <w:bottom w:val="single" w:sz="4" w:space="0" w:color="auto"/>
              <w:right w:val="single" w:sz="4" w:space="0" w:color="auto"/>
            </w:tcBorders>
            <w:shd w:val="clear" w:color="auto" w:fill="auto"/>
            <w:noWrap/>
            <w:vAlign w:val="center"/>
            <w:hideMark/>
          </w:tcPr>
          <w:p w14:paraId="3194E49C" w14:textId="77777777" w:rsidR="00D158B8" w:rsidRPr="00D158B8" w:rsidRDefault="00D158B8" w:rsidP="00D158B8">
            <w:pPr>
              <w:spacing w:after="0" w:line="240" w:lineRule="auto"/>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5011 platy zaměstnanců v pracovním poměru</w:t>
            </w:r>
          </w:p>
        </w:tc>
        <w:tc>
          <w:tcPr>
            <w:tcW w:w="1305" w:type="dxa"/>
            <w:tcBorders>
              <w:top w:val="nil"/>
              <w:left w:val="nil"/>
              <w:bottom w:val="single" w:sz="4" w:space="0" w:color="auto"/>
              <w:right w:val="single" w:sz="4" w:space="0" w:color="auto"/>
            </w:tcBorders>
            <w:shd w:val="clear" w:color="auto" w:fill="auto"/>
            <w:noWrap/>
            <w:vAlign w:val="center"/>
            <w:hideMark/>
          </w:tcPr>
          <w:p w14:paraId="38131089"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379 056 000</w:t>
            </w:r>
          </w:p>
        </w:tc>
        <w:tc>
          <w:tcPr>
            <w:tcW w:w="1560" w:type="dxa"/>
            <w:tcBorders>
              <w:top w:val="nil"/>
              <w:left w:val="nil"/>
              <w:bottom w:val="single" w:sz="4" w:space="0" w:color="auto"/>
              <w:right w:val="single" w:sz="4" w:space="0" w:color="auto"/>
            </w:tcBorders>
            <w:shd w:val="clear" w:color="auto" w:fill="auto"/>
            <w:noWrap/>
            <w:vAlign w:val="center"/>
            <w:hideMark/>
          </w:tcPr>
          <w:p w14:paraId="4E6E25C5"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389 406 000,00</w:t>
            </w:r>
          </w:p>
        </w:tc>
        <w:tc>
          <w:tcPr>
            <w:tcW w:w="1559" w:type="dxa"/>
            <w:tcBorders>
              <w:top w:val="nil"/>
              <w:left w:val="nil"/>
              <w:bottom w:val="single" w:sz="4" w:space="0" w:color="auto"/>
              <w:right w:val="single" w:sz="4" w:space="0" w:color="auto"/>
            </w:tcBorders>
            <w:shd w:val="clear" w:color="FFFFCC" w:fill="FFFFFF"/>
            <w:noWrap/>
            <w:vAlign w:val="bottom"/>
            <w:hideMark/>
          </w:tcPr>
          <w:p w14:paraId="72ABD3C6"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383 254 945,94</w:t>
            </w:r>
          </w:p>
        </w:tc>
        <w:tc>
          <w:tcPr>
            <w:tcW w:w="709" w:type="dxa"/>
            <w:tcBorders>
              <w:top w:val="nil"/>
              <w:left w:val="nil"/>
              <w:bottom w:val="single" w:sz="4" w:space="0" w:color="auto"/>
              <w:right w:val="single" w:sz="8" w:space="0" w:color="auto"/>
            </w:tcBorders>
            <w:shd w:val="clear" w:color="auto" w:fill="auto"/>
            <w:noWrap/>
            <w:vAlign w:val="bottom"/>
            <w:hideMark/>
          </w:tcPr>
          <w:p w14:paraId="44E851A2"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98,4</w:t>
            </w:r>
          </w:p>
        </w:tc>
      </w:tr>
      <w:tr w:rsidR="00D158B8" w:rsidRPr="00D158B8" w14:paraId="2131DFAB" w14:textId="77777777" w:rsidTr="00B67595">
        <w:trPr>
          <w:trHeight w:val="255"/>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087E86A1" w14:textId="77777777" w:rsidR="00D158B8" w:rsidRPr="00D158B8" w:rsidRDefault="00D158B8" w:rsidP="00D158B8">
            <w:pPr>
              <w:spacing w:after="0" w:line="240" w:lineRule="auto"/>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 </w:t>
            </w:r>
          </w:p>
        </w:tc>
        <w:tc>
          <w:tcPr>
            <w:tcW w:w="4673" w:type="dxa"/>
            <w:tcBorders>
              <w:top w:val="nil"/>
              <w:left w:val="nil"/>
              <w:bottom w:val="single" w:sz="4" w:space="0" w:color="auto"/>
              <w:right w:val="single" w:sz="4" w:space="0" w:color="auto"/>
            </w:tcBorders>
            <w:shd w:val="clear" w:color="auto" w:fill="auto"/>
            <w:noWrap/>
            <w:vAlign w:val="bottom"/>
            <w:hideMark/>
          </w:tcPr>
          <w:p w14:paraId="78FF9119" w14:textId="77777777" w:rsidR="00D158B8" w:rsidRPr="00D158B8" w:rsidRDefault="00D158B8" w:rsidP="00D158B8">
            <w:pPr>
              <w:spacing w:after="0" w:line="240" w:lineRule="auto"/>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5021 ostatní osobní výdaje</w:t>
            </w:r>
          </w:p>
        </w:tc>
        <w:tc>
          <w:tcPr>
            <w:tcW w:w="1305" w:type="dxa"/>
            <w:tcBorders>
              <w:top w:val="nil"/>
              <w:left w:val="nil"/>
              <w:bottom w:val="single" w:sz="4" w:space="0" w:color="auto"/>
              <w:right w:val="single" w:sz="4" w:space="0" w:color="auto"/>
            </w:tcBorders>
            <w:shd w:val="clear" w:color="auto" w:fill="auto"/>
            <w:noWrap/>
            <w:vAlign w:val="bottom"/>
            <w:hideMark/>
          </w:tcPr>
          <w:p w14:paraId="7F6E5846"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11 300 000</w:t>
            </w:r>
          </w:p>
        </w:tc>
        <w:tc>
          <w:tcPr>
            <w:tcW w:w="1560" w:type="dxa"/>
            <w:tcBorders>
              <w:top w:val="nil"/>
              <w:left w:val="nil"/>
              <w:bottom w:val="single" w:sz="4" w:space="0" w:color="auto"/>
              <w:right w:val="single" w:sz="4" w:space="0" w:color="auto"/>
            </w:tcBorders>
            <w:shd w:val="clear" w:color="auto" w:fill="auto"/>
            <w:noWrap/>
            <w:vAlign w:val="bottom"/>
            <w:hideMark/>
          </w:tcPr>
          <w:p w14:paraId="473D80B9"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7 666 000,00</w:t>
            </w:r>
          </w:p>
        </w:tc>
        <w:tc>
          <w:tcPr>
            <w:tcW w:w="1559" w:type="dxa"/>
            <w:tcBorders>
              <w:top w:val="nil"/>
              <w:left w:val="nil"/>
              <w:bottom w:val="single" w:sz="4" w:space="0" w:color="auto"/>
              <w:right w:val="single" w:sz="4" w:space="0" w:color="auto"/>
            </w:tcBorders>
            <w:shd w:val="clear" w:color="auto" w:fill="auto"/>
            <w:noWrap/>
            <w:vAlign w:val="bottom"/>
            <w:hideMark/>
          </w:tcPr>
          <w:p w14:paraId="1D800676"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5 722 601,00</w:t>
            </w:r>
          </w:p>
        </w:tc>
        <w:tc>
          <w:tcPr>
            <w:tcW w:w="709" w:type="dxa"/>
            <w:tcBorders>
              <w:top w:val="nil"/>
              <w:left w:val="nil"/>
              <w:bottom w:val="single" w:sz="4" w:space="0" w:color="auto"/>
              <w:right w:val="single" w:sz="8" w:space="0" w:color="auto"/>
            </w:tcBorders>
            <w:shd w:val="clear" w:color="auto" w:fill="auto"/>
            <w:noWrap/>
            <w:vAlign w:val="bottom"/>
            <w:hideMark/>
          </w:tcPr>
          <w:p w14:paraId="53849AC2"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74,6</w:t>
            </w:r>
          </w:p>
        </w:tc>
      </w:tr>
      <w:tr w:rsidR="00D158B8" w:rsidRPr="00D158B8" w14:paraId="65D53225" w14:textId="77777777" w:rsidTr="00B67595">
        <w:trPr>
          <w:trHeight w:val="255"/>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115E58C6" w14:textId="77777777" w:rsidR="00D158B8" w:rsidRPr="00D158B8" w:rsidRDefault="00D158B8" w:rsidP="00D158B8">
            <w:pPr>
              <w:spacing w:after="0" w:line="240" w:lineRule="auto"/>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 </w:t>
            </w:r>
          </w:p>
        </w:tc>
        <w:tc>
          <w:tcPr>
            <w:tcW w:w="4673" w:type="dxa"/>
            <w:tcBorders>
              <w:top w:val="nil"/>
              <w:left w:val="nil"/>
              <w:bottom w:val="single" w:sz="4" w:space="0" w:color="auto"/>
              <w:right w:val="single" w:sz="4" w:space="0" w:color="auto"/>
            </w:tcBorders>
            <w:shd w:val="clear" w:color="auto" w:fill="auto"/>
            <w:noWrap/>
            <w:vAlign w:val="bottom"/>
            <w:hideMark/>
          </w:tcPr>
          <w:p w14:paraId="6B805980" w14:textId="2B529EA5" w:rsidR="00D158B8" w:rsidRPr="00D158B8" w:rsidRDefault="00D158B8" w:rsidP="00D158B8">
            <w:pPr>
              <w:spacing w:after="0" w:line="240" w:lineRule="auto"/>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 xml:space="preserve">5024 </w:t>
            </w:r>
            <w:r w:rsidR="00210CF3">
              <w:rPr>
                <w:rFonts w:ascii="Calibri" w:eastAsia="Times New Roman" w:hAnsi="Calibri" w:cs="Calibri"/>
                <w:i/>
                <w:iCs/>
                <w:sz w:val="20"/>
                <w:szCs w:val="20"/>
                <w:lang w:eastAsia="cs-CZ"/>
              </w:rPr>
              <w:t>o</w:t>
            </w:r>
            <w:r w:rsidRPr="00D158B8">
              <w:rPr>
                <w:rFonts w:ascii="Calibri" w:eastAsia="Times New Roman" w:hAnsi="Calibri" w:cs="Calibri"/>
                <w:i/>
                <w:iCs/>
                <w:sz w:val="20"/>
                <w:szCs w:val="20"/>
                <w:lang w:eastAsia="cs-CZ"/>
              </w:rPr>
              <w:t>dstupné</w:t>
            </w:r>
          </w:p>
        </w:tc>
        <w:tc>
          <w:tcPr>
            <w:tcW w:w="1305" w:type="dxa"/>
            <w:tcBorders>
              <w:top w:val="nil"/>
              <w:left w:val="nil"/>
              <w:bottom w:val="single" w:sz="4" w:space="0" w:color="auto"/>
              <w:right w:val="single" w:sz="4" w:space="0" w:color="auto"/>
            </w:tcBorders>
            <w:shd w:val="clear" w:color="auto" w:fill="auto"/>
            <w:noWrap/>
            <w:vAlign w:val="bottom"/>
            <w:hideMark/>
          </w:tcPr>
          <w:p w14:paraId="35F67ED5"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0</w:t>
            </w:r>
          </w:p>
        </w:tc>
        <w:tc>
          <w:tcPr>
            <w:tcW w:w="1560" w:type="dxa"/>
            <w:tcBorders>
              <w:top w:val="nil"/>
              <w:left w:val="nil"/>
              <w:bottom w:val="single" w:sz="4" w:space="0" w:color="auto"/>
              <w:right w:val="single" w:sz="4" w:space="0" w:color="auto"/>
            </w:tcBorders>
            <w:shd w:val="clear" w:color="auto" w:fill="auto"/>
            <w:noWrap/>
            <w:vAlign w:val="bottom"/>
            <w:hideMark/>
          </w:tcPr>
          <w:p w14:paraId="4C6C8A9E"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600 821,00</w:t>
            </w:r>
          </w:p>
        </w:tc>
        <w:tc>
          <w:tcPr>
            <w:tcW w:w="1559" w:type="dxa"/>
            <w:tcBorders>
              <w:top w:val="nil"/>
              <w:left w:val="nil"/>
              <w:bottom w:val="single" w:sz="4" w:space="0" w:color="auto"/>
              <w:right w:val="single" w:sz="4" w:space="0" w:color="auto"/>
            </w:tcBorders>
            <w:shd w:val="clear" w:color="auto" w:fill="auto"/>
            <w:noWrap/>
            <w:vAlign w:val="bottom"/>
            <w:hideMark/>
          </w:tcPr>
          <w:p w14:paraId="7B0EB60C"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600 821,00</w:t>
            </w:r>
          </w:p>
        </w:tc>
        <w:tc>
          <w:tcPr>
            <w:tcW w:w="709" w:type="dxa"/>
            <w:tcBorders>
              <w:top w:val="nil"/>
              <w:left w:val="nil"/>
              <w:bottom w:val="single" w:sz="4" w:space="0" w:color="auto"/>
              <w:right w:val="single" w:sz="8" w:space="0" w:color="auto"/>
            </w:tcBorders>
            <w:shd w:val="clear" w:color="auto" w:fill="auto"/>
            <w:noWrap/>
            <w:vAlign w:val="bottom"/>
            <w:hideMark/>
          </w:tcPr>
          <w:p w14:paraId="7E6AE4B7"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100,0</w:t>
            </w:r>
          </w:p>
        </w:tc>
      </w:tr>
      <w:tr w:rsidR="00D158B8" w:rsidRPr="00D158B8" w14:paraId="7B1831D5" w14:textId="77777777" w:rsidTr="00B67595">
        <w:trPr>
          <w:trHeight w:val="255"/>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3EF1A469" w14:textId="77777777" w:rsidR="00D158B8" w:rsidRPr="00D158B8" w:rsidRDefault="00D158B8" w:rsidP="00D158B8">
            <w:pPr>
              <w:spacing w:after="0" w:line="240" w:lineRule="auto"/>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 </w:t>
            </w:r>
          </w:p>
        </w:tc>
        <w:tc>
          <w:tcPr>
            <w:tcW w:w="4673" w:type="dxa"/>
            <w:tcBorders>
              <w:top w:val="nil"/>
              <w:left w:val="nil"/>
              <w:bottom w:val="single" w:sz="4" w:space="0" w:color="auto"/>
              <w:right w:val="single" w:sz="4" w:space="0" w:color="auto"/>
            </w:tcBorders>
            <w:shd w:val="clear" w:color="auto" w:fill="auto"/>
            <w:noWrap/>
            <w:vAlign w:val="bottom"/>
            <w:hideMark/>
          </w:tcPr>
          <w:p w14:paraId="573D2A5B" w14:textId="77777777" w:rsidR="00D158B8" w:rsidRPr="00D158B8" w:rsidRDefault="00D158B8" w:rsidP="00D158B8">
            <w:pPr>
              <w:spacing w:after="0" w:line="240" w:lineRule="auto"/>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5031 povinné pojistné na sociální zabezpečení</w:t>
            </w:r>
          </w:p>
        </w:tc>
        <w:tc>
          <w:tcPr>
            <w:tcW w:w="1305" w:type="dxa"/>
            <w:tcBorders>
              <w:top w:val="nil"/>
              <w:left w:val="nil"/>
              <w:bottom w:val="single" w:sz="4" w:space="0" w:color="auto"/>
              <w:right w:val="single" w:sz="4" w:space="0" w:color="auto"/>
            </w:tcBorders>
            <w:shd w:val="clear" w:color="auto" w:fill="auto"/>
            <w:noWrap/>
            <w:vAlign w:val="bottom"/>
            <w:hideMark/>
          </w:tcPr>
          <w:p w14:paraId="608ED992"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101 189 000</w:t>
            </w:r>
          </w:p>
        </w:tc>
        <w:tc>
          <w:tcPr>
            <w:tcW w:w="1560" w:type="dxa"/>
            <w:tcBorders>
              <w:top w:val="nil"/>
              <w:left w:val="nil"/>
              <w:bottom w:val="single" w:sz="4" w:space="0" w:color="auto"/>
              <w:right w:val="single" w:sz="4" w:space="0" w:color="auto"/>
            </w:tcBorders>
            <w:shd w:val="clear" w:color="auto" w:fill="auto"/>
            <w:noWrap/>
            <w:vAlign w:val="bottom"/>
            <w:hideMark/>
          </w:tcPr>
          <w:p w14:paraId="633DA12F"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103 821 000,00</w:t>
            </w:r>
          </w:p>
        </w:tc>
        <w:tc>
          <w:tcPr>
            <w:tcW w:w="1559" w:type="dxa"/>
            <w:tcBorders>
              <w:top w:val="nil"/>
              <w:left w:val="nil"/>
              <w:bottom w:val="single" w:sz="4" w:space="0" w:color="auto"/>
              <w:right w:val="single" w:sz="4" w:space="0" w:color="auto"/>
            </w:tcBorders>
            <w:shd w:val="clear" w:color="auto" w:fill="auto"/>
            <w:noWrap/>
            <w:vAlign w:val="bottom"/>
            <w:hideMark/>
          </w:tcPr>
          <w:p w14:paraId="4E5D7E89"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96 003 341,91</w:t>
            </w:r>
          </w:p>
        </w:tc>
        <w:tc>
          <w:tcPr>
            <w:tcW w:w="709" w:type="dxa"/>
            <w:tcBorders>
              <w:top w:val="nil"/>
              <w:left w:val="nil"/>
              <w:bottom w:val="single" w:sz="4" w:space="0" w:color="auto"/>
              <w:right w:val="single" w:sz="8" w:space="0" w:color="auto"/>
            </w:tcBorders>
            <w:shd w:val="clear" w:color="auto" w:fill="auto"/>
            <w:noWrap/>
            <w:vAlign w:val="bottom"/>
            <w:hideMark/>
          </w:tcPr>
          <w:p w14:paraId="73CC2E46"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92,5</w:t>
            </w:r>
          </w:p>
        </w:tc>
      </w:tr>
      <w:tr w:rsidR="00D158B8" w:rsidRPr="00D158B8" w14:paraId="56249E7E" w14:textId="77777777" w:rsidTr="00B67595">
        <w:trPr>
          <w:trHeight w:val="255"/>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6A3CA2B3" w14:textId="77777777" w:rsidR="00D158B8" w:rsidRPr="00D158B8" w:rsidRDefault="00D158B8" w:rsidP="00D158B8">
            <w:pPr>
              <w:spacing w:after="0" w:line="240" w:lineRule="auto"/>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 </w:t>
            </w:r>
          </w:p>
        </w:tc>
        <w:tc>
          <w:tcPr>
            <w:tcW w:w="4673" w:type="dxa"/>
            <w:tcBorders>
              <w:top w:val="nil"/>
              <w:left w:val="nil"/>
              <w:bottom w:val="single" w:sz="4" w:space="0" w:color="auto"/>
              <w:right w:val="single" w:sz="4" w:space="0" w:color="auto"/>
            </w:tcBorders>
            <w:shd w:val="clear" w:color="auto" w:fill="auto"/>
            <w:noWrap/>
            <w:vAlign w:val="bottom"/>
            <w:hideMark/>
          </w:tcPr>
          <w:p w14:paraId="333AA3A4" w14:textId="77777777" w:rsidR="00D158B8" w:rsidRPr="00D158B8" w:rsidRDefault="00D158B8" w:rsidP="00D158B8">
            <w:pPr>
              <w:spacing w:after="0" w:line="240" w:lineRule="auto"/>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5032 povinné pojistné na zdravotní zabezpečení</w:t>
            </w:r>
          </w:p>
        </w:tc>
        <w:tc>
          <w:tcPr>
            <w:tcW w:w="1305" w:type="dxa"/>
            <w:tcBorders>
              <w:top w:val="nil"/>
              <w:left w:val="nil"/>
              <w:bottom w:val="single" w:sz="4" w:space="0" w:color="auto"/>
              <w:right w:val="single" w:sz="4" w:space="0" w:color="auto"/>
            </w:tcBorders>
            <w:shd w:val="clear" w:color="auto" w:fill="auto"/>
            <w:noWrap/>
            <w:vAlign w:val="bottom"/>
            <w:hideMark/>
          </w:tcPr>
          <w:p w14:paraId="6BA492A8"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35 168 000</w:t>
            </w:r>
          </w:p>
        </w:tc>
        <w:tc>
          <w:tcPr>
            <w:tcW w:w="1560" w:type="dxa"/>
            <w:tcBorders>
              <w:top w:val="nil"/>
              <w:left w:val="nil"/>
              <w:bottom w:val="single" w:sz="4" w:space="0" w:color="auto"/>
              <w:right w:val="single" w:sz="4" w:space="0" w:color="auto"/>
            </w:tcBorders>
            <w:shd w:val="clear" w:color="auto" w:fill="auto"/>
            <w:noWrap/>
            <w:vAlign w:val="bottom"/>
            <w:hideMark/>
          </w:tcPr>
          <w:p w14:paraId="239B2D32"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36 141 000,00</w:t>
            </w:r>
          </w:p>
        </w:tc>
        <w:tc>
          <w:tcPr>
            <w:tcW w:w="1559" w:type="dxa"/>
            <w:tcBorders>
              <w:top w:val="nil"/>
              <w:left w:val="nil"/>
              <w:bottom w:val="single" w:sz="4" w:space="0" w:color="auto"/>
              <w:right w:val="single" w:sz="4" w:space="0" w:color="auto"/>
            </w:tcBorders>
            <w:shd w:val="clear" w:color="auto" w:fill="auto"/>
            <w:noWrap/>
            <w:vAlign w:val="bottom"/>
            <w:hideMark/>
          </w:tcPr>
          <w:p w14:paraId="13219BE0"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35 042 342,18</w:t>
            </w:r>
          </w:p>
        </w:tc>
        <w:tc>
          <w:tcPr>
            <w:tcW w:w="709" w:type="dxa"/>
            <w:tcBorders>
              <w:top w:val="nil"/>
              <w:left w:val="nil"/>
              <w:bottom w:val="single" w:sz="4" w:space="0" w:color="auto"/>
              <w:right w:val="single" w:sz="8" w:space="0" w:color="auto"/>
            </w:tcBorders>
            <w:shd w:val="clear" w:color="auto" w:fill="auto"/>
            <w:noWrap/>
            <w:vAlign w:val="bottom"/>
            <w:hideMark/>
          </w:tcPr>
          <w:p w14:paraId="0B65A982"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97,0</w:t>
            </w:r>
          </w:p>
        </w:tc>
      </w:tr>
      <w:tr w:rsidR="00D158B8" w:rsidRPr="00D158B8" w14:paraId="1B561C1A" w14:textId="77777777" w:rsidTr="00B67595">
        <w:trPr>
          <w:trHeight w:val="255"/>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55E11F70" w14:textId="77777777" w:rsidR="00D158B8" w:rsidRPr="00D158B8" w:rsidRDefault="00D158B8" w:rsidP="00D158B8">
            <w:pPr>
              <w:spacing w:after="0" w:line="240" w:lineRule="auto"/>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 </w:t>
            </w:r>
          </w:p>
        </w:tc>
        <w:tc>
          <w:tcPr>
            <w:tcW w:w="4673" w:type="dxa"/>
            <w:tcBorders>
              <w:top w:val="nil"/>
              <w:left w:val="nil"/>
              <w:bottom w:val="single" w:sz="4" w:space="0" w:color="auto"/>
              <w:right w:val="single" w:sz="4" w:space="0" w:color="auto"/>
            </w:tcBorders>
            <w:shd w:val="clear" w:color="auto" w:fill="auto"/>
            <w:noWrap/>
            <w:vAlign w:val="bottom"/>
            <w:hideMark/>
          </w:tcPr>
          <w:p w14:paraId="387FF975" w14:textId="77777777" w:rsidR="00D158B8" w:rsidRPr="00D158B8" w:rsidRDefault="00D158B8" w:rsidP="00D158B8">
            <w:pPr>
              <w:spacing w:after="0" w:line="240" w:lineRule="auto"/>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5038 povinné pojistné na úrazové pojištění</w:t>
            </w:r>
          </w:p>
        </w:tc>
        <w:tc>
          <w:tcPr>
            <w:tcW w:w="1305" w:type="dxa"/>
            <w:tcBorders>
              <w:top w:val="nil"/>
              <w:left w:val="nil"/>
              <w:bottom w:val="single" w:sz="4" w:space="0" w:color="auto"/>
              <w:right w:val="single" w:sz="4" w:space="0" w:color="auto"/>
            </w:tcBorders>
            <w:shd w:val="clear" w:color="auto" w:fill="auto"/>
            <w:noWrap/>
            <w:vAlign w:val="bottom"/>
            <w:hideMark/>
          </w:tcPr>
          <w:p w14:paraId="2091DB51"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1 641 000</w:t>
            </w:r>
          </w:p>
        </w:tc>
        <w:tc>
          <w:tcPr>
            <w:tcW w:w="1560" w:type="dxa"/>
            <w:tcBorders>
              <w:top w:val="nil"/>
              <w:left w:val="nil"/>
              <w:bottom w:val="single" w:sz="4" w:space="0" w:color="auto"/>
              <w:right w:val="single" w:sz="4" w:space="0" w:color="auto"/>
            </w:tcBorders>
            <w:shd w:val="clear" w:color="auto" w:fill="auto"/>
            <w:noWrap/>
            <w:vAlign w:val="bottom"/>
            <w:hideMark/>
          </w:tcPr>
          <w:p w14:paraId="169775CA"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1 716 000,00</w:t>
            </w:r>
          </w:p>
        </w:tc>
        <w:tc>
          <w:tcPr>
            <w:tcW w:w="1559" w:type="dxa"/>
            <w:tcBorders>
              <w:top w:val="nil"/>
              <w:left w:val="nil"/>
              <w:bottom w:val="single" w:sz="4" w:space="0" w:color="auto"/>
              <w:right w:val="single" w:sz="4" w:space="0" w:color="auto"/>
            </w:tcBorders>
            <w:shd w:val="clear" w:color="auto" w:fill="auto"/>
            <w:noWrap/>
            <w:vAlign w:val="bottom"/>
            <w:hideMark/>
          </w:tcPr>
          <w:p w14:paraId="4B8E852C"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1 713 587,99</w:t>
            </w:r>
          </w:p>
        </w:tc>
        <w:tc>
          <w:tcPr>
            <w:tcW w:w="709" w:type="dxa"/>
            <w:tcBorders>
              <w:top w:val="nil"/>
              <w:left w:val="nil"/>
              <w:bottom w:val="single" w:sz="4" w:space="0" w:color="auto"/>
              <w:right w:val="single" w:sz="8" w:space="0" w:color="auto"/>
            </w:tcBorders>
            <w:shd w:val="clear" w:color="auto" w:fill="auto"/>
            <w:noWrap/>
            <w:vAlign w:val="bottom"/>
            <w:hideMark/>
          </w:tcPr>
          <w:p w14:paraId="3597CB11"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99,9</w:t>
            </w:r>
          </w:p>
        </w:tc>
      </w:tr>
      <w:tr w:rsidR="00D158B8" w:rsidRPr="00D158B8" w14:paraId="6F241108" w14:textId="77777777" w:rsidTr="00B67595">
        <w:trPr>
          <w:trHeight w:val="255"/>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5180CB84" w14:textId="77777777" w:rsidR="00D158B8" w:rsidRPr="00D158B8" w:rsidRDefault="00D158B8" w:rsidP="00D158B8">
            <w:pPr>
              <w:spacing w:after="0" w:line="240" w:lineRule="auto"/>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 </w:t>
            </w:r>
          </w:p>
        </w:tc>
        <w:tc>
          <w:tcPr>
            <w:tcW w:w="4673" w:type="dxa"/>
            <w:tcBorders>
              <w:top w:val="nil"/>
              <w:left w:val="nil"/>
              <w:bottom w:val="single" w:sz="4" w:space="0" w:color="auto"/>
              <w:right w:val="single" w:sz="4" w:space="0" w:color="auto"/>
            </w:tcBorders>
            <w:shd w:val="clear" w:color="auto" w:fill="auto"/>
            <w:noWrap/>
            <w:vAlign w:val="bottom"/>
            <w:hideMark/>
          </w:tcPr>
          <w:p w14:paraId="550C5806" w14:textId="6DABFBE8" w:rsidR="00D158B8" w:rsidRPr="00D158B8" w:rsidRDefault="00D158B8" w:rsidP="00D158B8">
            <w:pPr>
              <w:spacing w:after="0" w:line="240" w:lineRule="auto"/>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 xml:space="preserve">5042 </w:t>
            </w:r>
            <w:r w:rsidR="00210CF3">
              <w:rPr>
                <w:rFonts w:ascii="Calibri" w:eastAsia="Times New Roman" w:hAnsi="Calibri" w:cs="Calibri"/>
                <w:i/>
                <w:iCs/>
                <w:sz w:val="20"/>
                <w:szCs w:val="20"/>
                <w:lang w:eastAsia="cs-CZ"/>
              </w:rPr>
              <w:t>o</w:t>
            </w:r>
            <w:r w:rsidRPr="00D158B8">
              <w:rPr>
                <w:rFonts w:ascii="Calibri" w:eastAsia="Times New Roman" w:hAnsi="Calibri" w:cs="Calibri"/>
                <w:i/>
                <w:iCs/>
                <w:sz w:val="20"/>
                <w:szCs w:val="20"/>
                <w:lang w:eastAsia="cs-CZ"/>
              </w:rPr>
              <w:t>dměny za užití počítačových programů</w:t>
            </w:r>
          </w:p>
        </w:tc>
        <w:tc>
          <w:tcPr>
            <w:tcW w:w="1305" w:type="dxa"/>
            <w:tcBorders>
              <w:top w:val="nil"/>
              <w:left w:val="nil"/>
              <w:bottom w:val="single" w:sz="4" w:space="0" w:color="auto"/>
              <w:right w:val="single" w:sz="4" w:space="0" w:color="auto"/>
            </w:tcBorders>
            <w:shd w:val="clear" w:color="auto" w:fill="auto"/>
            <w:noWrap/>
            <w:vAlign w:val="bottom"/>
            <w:hideMark/>
          </w:tcPr>
          <w:p w14:paraId="5599CC8C"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0</w:t>
            </w:r>
          </w:p>
        </w:tc>
        <w:tc>
          <w:tcPr>
            <w:tcW w:w="1560" w:type="dxa"/>
            <w:tcBorders>
              <w:top w:val="nil"/>
              <w:left w:val="nil"/>
              <w:bottom w:val="single" w:sz="4" w:space="0" w:color="auto"/>
              <w:right w:val="single" w:sz="4" w:space="0" w:color="auto"/>
            </w:tcBorders>
            <w:shd w:val="clear" w:color="auto" w:fill="auto"/>
            <w:noWrap/>
            <w:vAlign w:val="bottom"/>
            <w:hideMark/>
          </w:tcPr>
          <w:p w14:paraId="0849060F"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15 000,00</w:t>
            </w:r>
          </w:p>
        </w:tc>
        <w:tc>
          <w:tcPr>
            <w:tcW w:w="1559" w:type="dxa"/>
            <w:tcBorders>
              <w:top w:val="nil"/>
              <w:left w:val="nil"/>
              <w:bottom w:val="single" w:sz="4" w:space="0" w:color="auto"/>
              <w:right w:val="single" w:sz="4" w:space="0" w:color="auto"/>
            </w:tcBorders>
            <w:shd w:val="clear" w:color="auto" w:fill="auto"/>
            <w:noWrap/>
            <w:vAlign w:val="bottom"/>
            <w:hideMark/>
          </w:tcPr>
          <w:p w14:paraId="747A0FD7"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5 000,00</w:t>
            </w:r>
          </w:p>
        </w:tc>
        <w:tc>
          <w:tcPr>
            <w:tcW w:w="709" w:type="dxa"/>
            <w:tcBorders>
              <w:top w:val="nil"/>
              <w:left w:val="nil"/>
              <w:bottom w:val="single" w:sz="4" w:space="0" w:color="auto"/>
              <w:right w:val="single" w:sz="8" w:space="0" w:color="auto"/>
            </w:tcBorders>
            <w:shd w:val="clear" w:color="auto" w:fill="auto"/>
            <w:noWrap/>
            <w:vAlign w:val="bottom"/>
            <w:hideMark/>
          </w:tcPr>
          <w:p w14:paraId="09BE9342"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33,3</w:t>
            </w:r>
          </w:p>
        </w:tc>
      </w:tr>
      <w:tr w:rsidR="00D158B8" w:rsidRPr="00D158B8" w14:paraId="17AC4D8F" w14:textId="77777777" w:rsidTr="00B67595">
        <w:trPr>
          <w:trHeight w:val="255"/>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55AE59BD" w14:textId="77777777" w:rsidR="00D158B8" w:rsidRPr="00D158B8" w:rsidRDefault="00D158B8" w:rsidP="00D158B8">
            <w:pPr>
              <w:spacing w:after="0" w:line="240" w:lineRule="auto"/>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 </w:t>
            </w:r>
          </w:p>
        </w:tc>
        <w:tc>
          <w:tcPr>
            <w:tcW w:w="4673" w:type="dxa"/>
            <w:tcBorders>
              <w:top w:val="nil"/>
              <w:left w:val="nil"/>
              <w:bottom w:val="single" w:sz="4" w:space="0" w:color="auto"/>
              <w:right w:val="single" w:sz="4" w:space="0" w:color="auto"/>
            </w:tcBorders>
            <w:shd w:val="clear" w:color="auto" w:fill="auto"/>
            <w:noWrap/>
            <w:vAlign w:val="bottom"/>
            <w:hideMark/>
          </w:tcPr>
          <w:p w14:paraId="1CB58EFD" w14:textId="77777777" w:rsidR="00D158B8" w:rsidRPr="00D158B8" w:rsidRDefault="00D158B8" w:rsidP="00D158B8">
            <w:pPr>
              <w:spacing w:after="0" w:line="240" w:lineRule="auto"/>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5136 knihy, učební pomůcky a tisk</w:t>
            </w:r>
          </w:p>
        </w:tc>
        <w:tc>
          <w:tcPr>
            <w:tcW w:w="1305" w:type="dxa"/>
            <w:tcBorders>
              <w:top w:val="nil"/>
              <w:left w:val="nil"/>
              <w:bottom w:val="single" w:sz="4" w:space="0" w:color="auto"/>
              <w:right w:val="single" w:sz="4" w:space="0" w:color="auto"/>
            </w:tcBorders>
            <w:shd w:val="clear" w:color="auto" w:fill="auto"/>
            <w:noWrap/>
            <w:vAlign w:val="bottom"/>
            <w:hideMark/>
          </w:tcPr>
          <w:p w14:paraId="7C3B45E4"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150 000</w:t>
            </w:r>
          </w:p>
        </w:tc>
        <w:tc>
          <w:tcPr>
            <w:tcW w:w="1560" w:type="dxa"/>
            <w:tcBorders>
              <w:top w:val="nil"/>
              <w:left w:val="nil"/>
              <w:bottom w:val="single" w:sz="4" w:space="0" w:color="auto"/>
              <w:right w:val="single" w:sz="4" w:space="0" w:color="auto"/>
            </w:tcBorders>
            <w:shd w:val="clear" w:color="auto" w:fill="auto"/>
            <w:noWrap/>
            <w:vAlign w:val="bottom"/>
            <w:hideMark/>
          </w:tcPr>
          <w:p w14:paraId="08F52EB2"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150 000,00</w:t>
            </w:r>
          </w:p>
        </w:tc>
        <w:tc>
          <w:tcPr>
            <w:tcW w:w="1559" w:type="dxa"/>
            <w:tcBorders>
              <w:top w:val="nil"/>
              <w:left w:val="nil"/>
              <w:bottom w:val="single" w:sz="4" w:space="0" w:color="auto"/>
              <w:right w:val="single" w:sz="4" w:space="0" w:color="auto"/>
            </w:tcBorders>
            <w:shd w:val="clear" w:color="auto" w:fill="auto"/>
            <w:noWrap/>
            <w:vAlign w:val="bottom"/>
            <w:hideMark/>
          </w:tcPr>
          <w:p w14:paraId="410D27AC"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89 091,00</w:t>
            </w:r>
          </w:p>
        </w:tc>
        <w:tc>
          <w:tcPr>
            <w:tcW w:w="709" w:type="dxa"/>
            <w:tcBorders>
              <w:top w:val="nil"/>
              <w:left w:val="nil"/>
              <w:bottom w:val="single" w:sz="4" w:space="0" w:color="auto"/>
              <w:right w:val="single" w:sz="8" w:space="0" w:color="auto"/>
            </w:tcBorders>
            <w:shd w:val="clear" w:color="auto" w:fill="auto"/>
            <w:noWrap/>
            <w:vAlign w:val="bottom"/>
            <w:hideMark/>
          </w:tcPr>
          <w:p w14:paraId="30B7D67D"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59,4</w:t>
            </w:r>
          </w:p>
        </w:tc>
      </w:tr>
      <w:tr w:rsidR="00D158B8" w:rsidRPr="00D158B8" w14:paraId="101C6B81" w14:textId="77777777" w:rsidTr="00B67595">
        <w:trPr>
          <w:trHeight w:val="255"/>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482819C0" w14:textId="77777777" w:rsidR="00D158B8" w:rsidRPr="00D158B8" w:rsidRDefault="00D158B8" w:rsidP="00D158B8">
            <w:pPr>
              <w:spacing w:after="0" w:line="240" w:lineRule="auto"/>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 </w:t>
            </w:r>
          </w:p>
        </w:tc>
        <w:tc>
          <w:tcPr>
            <w:tcW w:w="4673" w:type="dxa"/>
            <w:tcBorders>
              <w:top w:val="nil"/>
              <w:left w:val="nil"/>
              <w:bottom w:val="single" w:sz="4" w:space="0" w:color="auto"/>
              <w:right w:val="single" w:sz="4" w:space="0" w:color="auto"/>
            </w:tcBorders>
            <w:shd w:val="clear" w:color="auto" w:fill="auto"/>
            <w:noWrap/>
            <w:vAlign w:val="bottom"/>
            <w:hideMark/>
          </w:tcPr>
          <w:p w14:paraId="4570BA6F" w14:textId="77777777" w:rsidR="00D158B8" w:rsidRPr="00D158B8" w:rsidRDefault="00D158B8" w:rsidP="00D158B8">
            <w:pPr>
              <w:spacing w:after="0" w:line="240" w:lineRule="auto"/>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5167 služby školení a vzdělávání</w:t>
            </w:r>
          </w:p>
        </w:tc>
        <w:tc>
          <w:tcPr>
            <w:tcW w:w="1305" w:type="dxa"/>
            <w:tcBorders>
              <w:top w:val="nil"/>
              <w:left w:val="nil"/>
              <w:bottom w:val="single" w:sz="4" w:space="0" w:color="auto"/>
              <w:right w:val="single" w:sz="4" w:space="0" w:color="auto"/>
            </w:tcBorders>
            <w:shd w:val="clear" w:color="auto" w:fill="auto"/>
            <w:noWrap/>
            <w:vAlign w:val="bottom"/>
            <w:hideMark/>
          </w:tcPr>
          <w:p w14:paraId="10AD0C71"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3 000 000</w:t>
            </w:r>
          </w:p>
        </w:tc>
        <w:tc>
          <w:tcPr>
            <w:tcW w:w="1560" w:type="dxa"/>
            <w:tcBorders>
              <w:top w:val="nil"/>
              <w:left w:val="nil"/>
              <w:bottom w:val="single" w:sz="4" w:space="0" w:color="auto"/>
              <w:right w:val="single" w:sz="4" w:space="0" w:color="auto"/>
            </w:tcBorders>
            <w:shd w:val="clear" w:color="auto" w:fill="auto"/>
            <w:noWrap/>
            <w:vAlign w:val="bottom"/>
            <w:hideMark/>
          </w:tcPr>
          <w:p w14:paraId="59C315E7"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2 054 179,00</w:t>
            </w:r>
          </w:p>
        </w:tc>
        <w:tc>
          <w:tcPr>
            <w:tcW w:w="1559" w:type="dxa"/>
            <w:tcBorders>
              <w:top w:val="nil"/>
              <w:left w:val="nil"/>
              <w:bottom w:val="single" w:sz="4" w:space="0" w:color="auto"/>
              <w:right w:val="single" w:sz="4" w:space="0" w:color="auto"/>
            </w:tcBorders>
            <w:shd w:val="clear" w:color="auto" w:fill="auto"/>
            <w:noWrap/>
            <w:vAlign w:val="bottom"/>
            <w:hideMark/>
          </w:tcPr>
          <w:p w14:paraId="2C2C2A5E"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1 357 930,02</w:t>
            </w:r>
          </w:p>
        </w:tc>
        <w:tc>
          <w:tcPr>
            <w:tcW w:w="709" w:type="dxa"/>
            <w:tcBorders>
              <w:top w:val="nil"/>
              <w:left w:val="nil"/>
              <w:bottom w:val="single" w:sz="4" w:space="0" w:color="auto"/>
              <w:right w:val="single" w:sz="8" w:space="0" w:color="auto"/>
            </w:tcBorders>
            <w:shd w:val="clear" w:color="auto" w:fill="auto"/>
            <w:noWrap/>
            <w:vAlign w:val="bottom"/>
            <w:hideMark/>
          </w:tcPr>
          <w:p w14:paraId="35621DC2"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66,1</w:t>
            </w:r>
          </w:p>
        </w:tc>
      </w:tr>
      <w:tr w:rsidR="00D158B8" w:rsidRPr="00D158B8" w14:paraId="2CF44F46" w14:textId="77777777" w:rsidTr="00B67595">
        <w:trPr>
          <w:trHeight w:val="51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2D54E70A" w14:textId="77777777" w:rsidR="00D158B8" w:rsidRPr="00D158B8" w:rsidRDefault="00D158B8" w:rsidP="00D158B8">
            <w:pPr>
              <w:spacing w:after="0" w:line="240" w:lineRule="auto"/>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 </w:t>
            </w:r>
          </w:p>
        </w:tc>
        <w:tc>
          <w:tcPr>
            <w:tcW w:w="4673" w:type="dxa"/>
            <w:tcBorders>
              <w:top w:val="nil"/>
              <w:left w:val="nil"/>
              <w:bottom w:val="single" w:sz="4" w:space="0" w:color="auto"/>
              <w:right w:val="single" w:sz="4" w:space="0" w:color="auto"/>
            </w:tcBorders>
            <w:shd w:val="clear" w:color="auto" w:fill="auto"/>
            <w:vAlign w:val="bottom"/>
            <w:hideMark/>
          </w:tcPr>
          <w:p w14:paraId="2D3046CC" w14:textId="555EE4AC" w:rsidR="00D158B8" w:rsidRPr="00D158B8" w:rsidRDefault="00D158B8" w:rsidP="00D158B8">
            <w:pPr>
              <w:spacing w:after="0" w:line="240" w:lineRule="auto"/>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5168 zpracování dat a služby souv</w:t>
            </w:r>
            <w:r w:rsidR="00E73885">
              <w:rPr>
                <w:rFonts w:ascii="Calibri" w:eastAsia="Times New Roman" w:hAnsi="Calibri" w:cs="Calibri"/>
                <w:i/>
                <w:iCs/>
                <w:sz w:val="20"/>
                <w:szCs w:val="20"/>
                <w:lang w:eastAsia="cs-CZ"/>
              </w:rPr>
              <w:t>isející</w:t>
            </w:r>
            <w:r w:rsidRPr="00D158B8">
              <w:rPr>
                <w:rFonts w:ascii="Calibri" w:eastAsia="Times New Roman" w:hAnsi="Calibri" w:cs="Calibri"/>
                <w:i/>
                <w:iCs/>
                <w:sz w:val="20"/>
                <w:szCs w:val="20"/>
                <w:lang w:eastAsia="cs-CZ"/>
              </w:rPr>
              <w:t xml:space="preserve"> s informačními a komunikačními technologiemi</w:t>
            </w:r>
          </w:p>
        </w:tc>
        <w:tc>
          <w:tcPr>
            <w:tcW w:w="1305" w:type="dxa"/>
            <w:tcBorders>
              <w:top w:val="nil"/>
              <w:left w:val="nil"/>
              <w:bottom w:val="single" w:sz="4" w:space="0" w:color="auto"/>
              <w:right w:val="single" w:sz="4" w:space="0" w:color="auto"/>
            </w:tcBorders>
            <w:shd w:val="clear" w:color="auto" w:fill="auto"/>
            <w:noWrap/>
            <w:vAlign w:val="bottom"/>
            <w:hideMark/>
          </w:tcPr>
          <w:p w14:paraId="3018C39F"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0</w:t>
            </w:r>
          </w:p>
        </w:tc>
        <w:tc>
          <w:tcPr>
            <w:tcW w:w="1560" w:type="dxa"/>
            <w:tcBorders>
              <w:top w:val="nil"/>
              <w:left w:val="nil"/>
              <w:bottom w:val="single" w:sz="4" w:space="0" w:color="auto"/>
              <w:right w:val="single" w:sz="4" w:space="0" w:color="auto"/>
            </w:tcBorders>
            <w:shd w:val="clear" w:color="auto" w:fill="auto"/>
            <w:noWrap/>
            <w:vAlign w:val="bottom"/>
            <w:hideMark/>
          </w:tcPr>
          <w:p w14:paraId="4115777D"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100 000,00</w:t>
            </w:r>
          </w:p>
        </w:tc>
        <w:tc>
          <w:tcPr>
            <w:tcW w:w="1559" w:type="dxa"/>
            <w:tcBorders>
              <w:top w:val="nil"/>
              <w:left w:val="nil"/>
              <w:bottom w:val="single" w:sz="4" w:space="0" w:color="auto"/>
              <w:right w:val="single" w:sz="4" w:space="0" w:color="auto"/>
            </w:tcBorders>
            <w:shd w:val="clear" w:color="auto" w:fill="auto"/>
            <w:noWrap/>
            <w:vAlign w:val="bottom"/>
            <w:hideMark/>
          </w:tcPr>
          <w:p w14:paraId="6F95D03F"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33 900,00</w:t>
            </w:r>
          </w:p>
        </w:tc>
        <w:tc>
          <w:tcPr>
            <w:tcW w:w="709" w:type="dxa"/>
            <w:tcBorders>
              <w:top w:val="nil"/>
              <w:left w:val="nil"/>
              <w:bottom w:val="single" w:sz="4" w:space="0" w:color="auto"/>
              <w:right w:val="single" w:sz="8" w:space="0" w:color="auto"/>
            </w:tcBorders>
            <w:shd w:val="clear" w:color="auto" w:fill="auto"/>
            <w:noWrap/>
            <w:vAlign w:val="bottom"/>
            <w:hideMark/>
          </w:tcPr>
          <w:p w14:paraId="6162F8EC"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33,9</w:t>
            </w:r>
          </w:p>
        </w:tc>
      </w:tr>
      <w:tr w:rsidR="00D158B8" w:rsidRPr="00D158B8" w14:paraId="1A3C7A19" w14:textId="77777777" w:rsidTr="00B67595">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33920C98" w14:textId="77777777" w:rsidR="00D158B8" w:rsidRPr="00D158B8" w:rsidRDefault="00D158B8" w:rsidP="00D158B8">
            <w:pPr>
              <w:spacing w:after="0" w:line="240" w:lineRule="auto"/>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 </w:t>
            </w:r>
          </w:p>
        </w:tc>
        <w:tc>
          <w:tcPr>
            <w:tcW w:w="4673" w:type="dxa"/>
            <w:tcBorders>
              <w:top w:val="nil"/>
              <w:left w:val="nil"/>
              <w:bottom w:val="single" w:sz="4" w:space="0" w:color="auto"/>
              <w:right w:val="single" w:sz="4" w:space="0" w:color="auto"/>
            </w:tcBorders>
            <w:shd w:val="clear" w:color="auto" w:fill="auto"/>
            <w:noWrap/>
            <w:vAlign w:val="bottom"/>
            <w:hideMark/>
          </w:tcPr>
          <w:p w14:paraId="04F9E6BC" w14:textId="77777777" w:rsidR="00D158B8" w:rsidRPr="00D158B8" w:rsidRDefault="00D158B8" w:rsidP="00D158B8">
            <w:pPr>
              <w:spacing w:after="0" w:line="240" w:lineRule="auto"/>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5169 nákup ostatních služeb</w:t>
            </w:r>
          </w:p>
        </w:tc>
        <w:tc>
          <w:tcPr>
            <w:tcW w:w="1305" w:type="dxa"/>
            <w:tcBorders>
              <w:top w:val="nil"/>
              <w:left w:val="nil"/>
              <w:bottom w:val="single" w:sz="4" w:space="0" w:color="auto"/>
              <w:right w:val="single" w:sz="4" w:space="0" w:color="auto"/>
            </w:tcBorders>
            <w:shd w:val="clear" w:color="auto" w:fill="auto"/>
            <w:noWrap/>
            <w:vAlign w:val="bottom"/>
            <w:hideMark/>
          </w:tcPr>
          <w:p w14:paraId="021560AA"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140 000</w:t>
            </w:r>
          </w:p>
        </w:tc>
        <w:tc>
          <w:tcPr>
            <w:tcW w:w="1560" w:type="dxa"/>
            <w:tcBorders>
              <w:top w:val="nil"/>
              <w:left w:val="nil"/>
              <w:bottom w:val="single" w:sz="4" w:space="0" w:color="auto"/>
              <w:right w:val="single" w:sz="4" w:space="0" w:color="auto"/>
            </w:tcBorders>
            <w:shd w:val="clear" w:color="auto" w:fill="auto"/>
            <w:noWrap/>
            <w:vAlign w:val="bottom"/>
            <w:hideMark/>
          </w:tcPr>
          <w:p w14:paraId="092A0D3D"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340 000,00</w:t>
            </w:r>
          </w:p>
        </w:tc>
        <w:tc>
          <w:tcPr>
            <w:tcW w:w="1559" w:type="dxa"/>
            <w:tcBorders>
              <w:top w:val="nil"/>
              <w:left w:val="nil"/>
              <w:bottom w:val="single" w:sz="4" w:space="0" w:color="auto"/>
              <w:right w:val="single" w:sz="4" w:space="0" w:color="auto"/>
            </w:tcBorders>
            <w:shd w:val="clear" w:color="auto" w:fill="auto"/>
            <w:noWrap/>
            <w:vAlign w:val="bottom"/>
            <w:hideMark/>
          </w:tcPr>
          <w:p w14:paraId="2D4A8879"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331 166,60</w:t>
            </w:r>
          </w:p>
        </w:tc>
        <w:tc>
          <w:tcPr>
            <w:tcW w:w="709" w:type="dxa"/>
            <w:tcBorders>
              <w:top w:val="nil"/>
              <w:left w:val="nil"/>
              <w:bottom w:val="single" w:sz="4" w:space="0" w:color="auto"/>
              <w:right w:val="single" w:sz="8" w:space="0" w:color="auto"/>
            </w:tcBorders>
            <w:shd w:val="clear" w:color="auto" w:fill="auto"/>
            <w:noWrap/>
            <w:vAlign w:val="bottom"/>
            <w:hideMark/>
          </w:tcPr>
          <w:p w14:paraId="1F6253FB"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97,4</w:t>
            </w:r>
          </w:p>
        </w:tc>
      </w:tr>
      <w:tr w:rsidR="00D158B8" w:rsidRPr="00D158B8" w14:paraId="1FAD6467" w14:textId="77777777" w:rsidTr="00B67595">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1D24CBDE" w14:textId="77777777" w:rsidR="00D158B8" w:rsidRPr="00D158B8" w:rsidRDefault="00D158B8" w:rsidP="00D158B8">
            <w:pPr>
              <w:spacing w:after="0" w:line="240" w:lineRule="auto"/>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 </w:t>
            </w:r>
          </w:p>
        </w:tc>
        <w:tc>
          <w:tcPr>
            <w:tcW w:w="4673" w:type="dxa"/>
            <w:tcBorders>
              <w:top w:val="nil"/>
              <w:left w:val="nil"/>
              <w:bottom w:val="single" w:sz="4" w:space="0" w:color="auto"/>
              <w:right w:val="single" w:sz="4" w:space="0" w:color="auto"/>
            </w:tcBorders>
            <w:shd w:val="clear" w:color="auto" w:fill="auto"/>
            <w:noWrap/>
            <w:vAlign w:val="bottom"/>
            <w:hideMark/>
          </w:tcPr>
          <w:p w14:paraId="27ADB703" w14:textId="77777777" w:rsidR="00D158B8" w:rsidRPr="00D158B8" w:rsidRDefault="00D158B8" w:rsidP="00D158B8">
            <w:pPr>
              <w:spacing w:after="0" w:line="240" w:lineRule="auto"/>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5176 účastnické poplatky na konference</w:t>
            </w:r>
          </w:p>
        </w:tc>
        <w:tc>
          <w:tcPr>
            <w:tcW w:w="1305" w:type="dxa"/>
            <w:tcBorders>
              <w:top w:val="nil"/>
              <w:left w:val="nil"/>
              <w:bottom w:val="single" w:sz="4" w:space="0" w:color="auto"/>
              <w:right w:val="single" w:sz="4" w:space="0" w:color="auto"/>
            </w:tcBorders>
            <w:shd w:val="clear" w:color="auto" w:fill="auto"/>
            <w:noWrap/>
            <w:vAlign w:val="bottom"/>
            <w:hideMark/>
          </w:tcPr>
          <w:p w14:paraId="4E52C87E"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200 000</w:t>
            </w:r>
          </w:p>
        </w:tc>
        <w:tc>
          <w:tcPr>
            <w:tcW w:w="1560" w:type="dxa"/>
            <w:tcBorders>
              <w:top w:val="nil"/>
              <w:left w:val="nil"/>
              <w:bottom w:val="single" w:sz="4" w:space="0" w:color="auto"/>
              <w:right w:val="single" w:sz="4" w:space="0" w:color="auto"/>
            </w:tcBorders>
            <w:shd w:val="clear" w:color="auto" w:fill="auto"/>
            <w:noWrap/>
            <w:vAlign w:val="bottom"/>
            <w:hideMark/>
          </w:tcPr>
          <w:p w14:paraId="58E25629"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200 000,00</w:t>
            </w:r>
          </w:p>
        </w:tc>
        <w:tc>
          <w:tcPr>
            <w:tcW w:w="1559" w:type="dxa"/>
            <w:tcBorders>
              <w:top w:val="nil"/>
              <w:left w:val="nil"/>
              <w:bottom w:val="single" w:sz="4" w:space="0" w:color="auto"/>
              <w:right w:val="single" w:sz="4" w:space="0" w:color="auto"/>
            </w:tcBorders>
            <w:shd w:val="clear" w:color="auto" w:fill="auto"/>
            <w:noWrap/>
            <w:vAlign w:val="bottom"/>
            <w:hideMark/>
          </w:tcPr>
          <w:p w14:paraId="7E1056E1"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28 566,00</w:t>
            </w:r>
          </w:p>
        </w:tc>
        <w:tc>
          <w:tcPr>
            <w:tcW w:w="709" w:type="dxa"/>
            <w:tcBorders>
              <w:top w:val="nil"/>
              <w:left w:val="nil"/>
              <w:bottom w:val="single" w:sz="4" w:space="0" w:color="auto"/>
              <w:right w:val="single" w:sz="8" w:space="0" w:color="auto"/>
            </w:tcBorders>
            <w:shd w:val="clear" w:color="auto" w:fill="auto"/>
            <w:noWrap/>
            <w:vAlign w:val="bottom"/>
            <w:hideMark/>
          </w:tcPr>
          <w:p w14:paraId="53E1FCD5"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14,3</w:t>
            </w:r>
          </w:p>
        </w:tc>
      </w:tr>
      <w:tr w:rsidR="00D158B8" w:rsidRPr="00D158B8" w14:paraId="12E50B51" w14:textId="77777777" w:rsidTr="00B67595">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59F181E8" w14:textId="77777777" w:rsidR="00D158B8" w:rsidRPr="00D158B8" w:rsidRDefault="00D158B8" w:rsidP="00D158B8">
            <w:pPr>
              <w:spacing w:after="0" w:line="240" w:lineRule="auto"/>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 </w:t>
            </w:r>
          </w:p>
        </w:tc>
        <w:tc>
          <w:tcPr>
            <w:tcW w:w="4673" w:type="dxa"/>
            <w:tcBorders>
              <w:top w:val="nil"/>
              <w:left w:val="nil"/>
              <w:bottom w:val="single" w:sz="4" w:space="0" w:color="auto"/>
              <w:right w:val="single" w:sz="4" w:space="0" w:color="auto"/>
            </w:tcBorders>
            <w:shd w:val="clear" w:color="auto" w:fill="auto"/>
            <w:noWrap/>
            <w:vAlign w:val="bottom"/>
            <w:hideMark/>
          </w:tcPr>
          <w:p w14:paraId="21118DDB" w14:textId="77777777" w:rsidR="00D158B8" w:rsidRPr="00D158B8" w:rsidRDefault="00D158B8" w:rsidP="00D158B8">
            <w:pPr>
              <w:spacing w:after="0" w:line="240" w:lineRule="auto"/>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5424 náhrady mezd v době nemoci</w:t>
            </w:r>
          </w:p>
        </w:tc>
        <w:tc>
          <w:tcPr>
            <w:tcW w:w="1305" w:type="dxa"/>
            <w:tcBorders>
              <w:top w:val="nil"/>
              <w:left w:val="nil"/>
              <w:bottom w:val="single" w:sz="4" w:space="0" w:color="auto"/>
              <w:right w:val="single" w:sz="4" w:space="0" w:color="auto"/>
            </w:tcBorders>
            <w:shd w:val="clear" w:color="auto" w:fill="auto"/>
            <w:noWrap/>
            <w:vAlign w:val="bottom"/>
            <w:hideMark/>
          </w:tcPr>
          <w:p w14:paraId="397BC59A"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3 000 000</w:t>
            </w:r>
          </w:p>
        </w:tc>
        <w:tc>
          <w:tcPr>
            <w:tcW w:w="1560" w:type="dxa"/>
            <w:tcBorders>
              <w:top w:val="nil"/>
              <w:left w:val="nil"/>
              <w:bottom w:val="single" w:sz="4" w:space="0" w:color="auto"/>
              <w:right w:val="single" w:sz="4" w:space="0" w:color="auto"/>
            </w:tcBorders>
            <w:shd w:val="clear" w:color="auto" w:fill="auto"/>
            <w:noWrap/>
            <w:vAlign w:val="bottom"/>
            <w:hideMark/>
          </w:tcPr>
          <w:p w14:paraId="5C5883E1"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2 700 000,00</w:t>
            </w:r>
          </w:p>
        </w:tc>
        <w:tc>
          <w:tcPr>
            <w:tcW w:w="1559" w:type="dxa"/>
            <w:tcBorders>
              <w:top w:val="nil"/>
              <w:left w:val="nil"/>
              <w:bottom w:val="single" w:sz="4" w:space="0" w:color="auto"/>
              <w:right w:val="single" w:sz="4" w:space="0" w:color="auto"/>
            </w:tcBorders>
            <w:shd w:val="clear" w:color="auto" w:fill="auto"/>
            <w:noWrap/>
            <w:vAlign w:val="bottom"/>
            <w:hideMark/>
          </w:tcPr>
          <w:p w14:paraId="4AC82DE6"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2 498 605,60</w:t>
            </w:r>
          </w:p>
        </w:tc>
        <w:tc>
          <w:tcPr>
            <w:tcW w:w="709" w:type="dxa"/>
            <w:tcBorders>
              <w:top w:val="nil"/>
              <w:left w:val="nil"/>
              <w:bottom w:val="single" w:sz="4" w:space="0" w:color="auto"/>
              <w:right w:val="single" w:sz="8" w:space="0" w:color="auto"/>
            </w:tcBorders>
            <w:shd w:val="clear" w:color="auto" w:fill="auto"/>
            <w:noWrap/>
            <w:vAlign w:val="bottom"/>
            <w:hideMark/>
          </w:tcPr>
          <w:p w14:paraId="7C959E41"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92,5</w:t>
            </w:r>
          </w:p>
        </w:tc>
      </w:tr>
      <w:tr w:rsidR="00D158B8" w:rsidRPr="00D158B8" w14:paraId="2A85696F" w14:textId="77777777" w:rsidTr="00B67595">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77EFE4E2" w14:textId="77777777" w:rsidR="00D158B8" w:rsidRPr="00D158B8" w:rsidRDefault="00D158B8" w:rsidP="00D158B8">
            <w:pPr>
              <w:spacing w:after="0" w:line="240" w:lineRule="auto"/>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 </w:t>
            </w:r>
          </w:p>
        </w:tc>
        <w:tc>
          <w:tcPr>
            <w:tcW w:w="4673" w:type="dxa"/>
            <w:tcBorders>
              <w:top w:val="nil"/>
              <w:left w:val="nil"/>
              <w:bottom w:val="single" w:sz="4" w:space="0" w:color="auto"/>
              <w:right w:val="single" w:sz="4" w:space="0" w:color="auto"/>
            </w:tcBorders>
            <w:shd w:val="clear" w:color="auto" w:fill="auto"/>
            <w:noWrap/>
            <w:vAlign w:val="bottom"/>
            <w:hideMark/>
          </w:tcPr>
          <w:p w14:paraId="492CB6B9" w14:textId="77777777" w:rsidR="00D158B8" w:rsidRPr="00D158B8" w:rsidRDefault="00D158B8" w:rsidP="00D158B8">
            <w:pPr>
              <w:spacing w:after="0" w:line="240" w:lineRule="auto"/>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5811 výdaje na náhrady za nezpůsobenou újmu</w:t>
            </w:r>
          </w:p>
        </w:tc>
        <w:tc>
          <w:tcPr>
            <w:tcW w:w="1305" w:type="dxa"/>
            <w:tcBorders>
              <w:top w:val="nil"/>
              <w:left w:val="nil"/>
              <w:bottom w:val="single" w:sz="4" w:space="0" w:color="auto"/>
              <w:right w:val="single" w:sz="4" w:space="0" w:color="auto"/>
            </w:tcBorders>
            <w:shd w:val="clear" w:color="auto" w:fill="auto"/>
            <w:noWrap/>
            <w:vAlign w:val="bottom"/>
            <w:hideMark/>
          </w:tcPr>
          <w:p w14:paraId="536AC487"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80 000</w:t>
            </w:r>
          </w:p>
        </w:tc>
        <w:tc>
          <w:tcPr>
            <w:tcW w:w="1560" w:type="dxa"/>
            <w:tcBorders>
              <w:top w:val="nil"/>
              <w:left w:val="nil"/>
              <w:bottom w:val="single" w:sz="4" w:space="0" w:color="auto"/>
              <w:right w:val="single" w:sz="4" w:space="0" w:color="auto"/>
            </w:tcBorders>
            <w:shd w:val="clear" w:color="auto" w:fill="auto"/>
            <w:noWrap/>
            <w:vAlign w:val="bottom"/>
            <w:hideMark/>
          </w:tcPr>
          <w:p w14:paraId="42024968"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80 000,00</w:t>
            </w:r>
          </w:p>
        </w:tc>
        <w:tc>
          <w:tcPr>
            <w:tcW w:w="1559" w:type="dxa"/>
            <w:tcBorders>
              <w:top w:val="nil"/>
              <w:left w:val="nil"/>
              <w:bottom w:val="single" w:sz="4" w:space="0" w:color="auto"/>
              <w:right w:val="single" w:sz="4" w:space="0" w:color="auto"/>
            </w:tcBorders>
            <w:shd w:val="clear" w:color="auto" w:fill="auto"/>
            <w:noWrap/>
            <w:vAlign w:val="bottom"/>
            <w:hideMark/>
          </w:tcPr>
          <w:p w14:paraId="6CC6F6DE"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54 710,00</w:t>
            </w:r>
          </w:p>
        </w:tc>
        <w:tc>
          <w:tcPr>
            <w:tcW w:w="709" w:type="dxa"/>
            <w:tcBorders>
              <w:top w:val="nil"/>
              <w:left w:val="nil"/>
              <w:bottom w:val="single" w:sz="4" w:space="0" w:color="auto"/>
              <w:right w:val="single" w:sz="8" w:space="0" w:color="auto"/>
            </w:tcBorders>
            <w:shd w:val="clear" w:color="auto" w:fill="auto"/>
            <w:noWrap/>
            <w:vAlign w:val="bottom"/>
            <w:hideMark/>
          </w:tcPr>
          <w:p w14:paraId="27F9858E"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68,4</w:t>
            </w:r>
          </w:p>
        </w:tc>
      </w:tr>
      <w:tr w:rsidR="00D158B8" w:rsidRPr="00D158B8" w14:paraId="01592494" w14:textId="77777777" w:rsidTr="00B67595">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5B2AA0CA" w14:textId="77777777" w:rsidR="00D158B8" w:rsidRPr="00D158B8" w:rsidRDefault="00D158B8" w:rsidP="00D158B8">
            <w:pPr>
              <w:spacing w:after="0" w:line="240" w:lineRule="auto"/>
              <w:jc w:val="center"/>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6330</w:t>
            </w:r>
          </w:p>
        </w:tc>
        <w:tc>
          <w:tcPr>
            <w:tcW w:w="4673" w:type="dxa"/>
            <w:tcBorders>
              <w:top w:val="nil"/>
              <w:left w:val="nil"/>
              <w:bottom w:val="single" w:sz="4" w:space="0" w:color="auto"/>
              <w:right w:val="single" w:sz="4" w:space="0" w:color="auto"/>
            </w:tcBorders>
            <w:shd w:val="clear" w:color="auto" w:fill="auto"/>
            <w:noWrap/>
            <w:vAlign w:val="bottom"/>
            <w:hideMark/>
          </w:tcPr>
          <w:p w14:paraId="0D673A94" w14:textId="77777777" w:rsidR="00D158B8" w:rsidRPr="00D158B8" w:rsidRDefault="00D158B8" w:rsidP="00D158B8">
            <w:pPr>
              <w:spacing w:after="0" w:line="240" w:lineRule="auto"/>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Převody vlastním fondům v rozpočtech územní úrovně</w:t>
            </w:r>
          </w:p>
        </w:tc>
        <w:tc>
          <w:tcPr>
            <w:tcW w:w="1305" w:type="dxa"/>
            <w:tcBorders>
              <w:top w:val="nil"/>
              <w:left w:val="nil"/>
              <w:bottom w:val="single" w:sz="4" w:space="0" w:color="auto"/>
              <w:right w:val="single" w:sz="4" w:space="0" w:color="auto"/>
            </w:tcBorders>
            <w:shd w:val="clear" w:color="auto" w:fill="auto"/>
            <w:noWrap/>
            <w:vAlign w:val="bottom"/>
            <w:hideMark/>
          </w:tcPr>
          <w:p w14:paraId="4C3F0766"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0</w:t>
            </w:r>
          </w:p>
        </w:tc>
        <w:tc>
          <w:tcPr>
            <w:tcW w:w="1560" w:type="dxa"/>
            <w:tcBorders>
              <w:top w:val="nil"/>
              <w:left w:val="nil"/>
              <w:bottom w:val="single" w:sz="4" w:space="0" w:color="auto"/>
              <w:right w:val="single" w:sz="4" w:space="0" w:color="auto"/>
            </w:tcBorders>
            <w:shd w:val="clear" w:color="auto" w:fill="auto"/>
            <w:noWrap/>
            <w:vAlign w:val="bottom"/>
            <w:hideMark/>
          </w:tcPr>
          <w:p w14:paraId="290BA069"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15 576 000,00</w:t>
            </w:r>
          </w:p>
        </w:tc>
        <w:tc>
          <w:tcPr>
            <w:tcW w:w="1559" w:type="dxa"/>
            <w:tcBorders>
              <w:top w:val="nil"/>
              <w:left w:val="nil"/>
              <w:bottom w:val="single" w:sz="4" w:space="0" w:color="auto"/>
              <w:right w:val="single" w:sz="4" w:space="0" w:color="auto"/>
            </w:tcBorders>
            <w:shd w:val="clear" w:color="auto" w:fill="auto"/>
            <w:noWrap/>
            <w:vAlign w:val="bottom"/>
            <w:hideMark/>
          </w:tcPr>
          <w:p w14:paraId="3E159324"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15 576 000,00</w:t>
            </w:r>
          </w:p>
        </w:tc>
        <w:tc>
          <w:tcPr>
            <w:tcW w:w="709" w:type="dxa"/>
            <w:tcBorders>
              <w:top w:val="nil"/>
              <w:left w:val="nil"/>
              <w:bottom w:val="single" w:sz="4" w:space="0" w:color="auto"/>
              <w:right w:val="single" w:sz="8" w:space="0" w:color="auto"/>
            </w:tcBorders>
            <w:shd w:val="clear" w:color="auto" w:fill="auto"/>
            <w:noWrap/>
            <w:vAlign w:val="bottom"/>
            <w:hideMark/>
          </w:tcPr>
          <w:p w14:paraId="5CBAB25B"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100,0</w:t>
            </w:r>
          </w:p>
        </w:tc>
      </w:tr>
      <w:tr w:rsidR="00D158B8" w:rsidRPr="00D158B8" w14:paraId="74A30345" w14:textId="77777777" w:rsidTr="00B67595">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53DCFB3C" w14:textId="77777777" w:rsidR="00D158B8" w:rsidRPr="00D158B8" w:rsidRDefault="00D158B8" w:rsidP="00D158B8">
            <w:pPr>
              <w:spacing w:after="0" w:line="240" w:lineRule="auto"/>
              <w:jc w:val="center"/>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 </w:t>
            </w:r>
          </w:p>
        </w:tc>
        <w:tc>
          <w:tcPr>
            <w:tcW w:w="9806" w:type="dxa"/>
            <w:gridSpan w:val="5"/>
            <w:tcBorders>
              <w:top w:val="single" w:sz="4" w:space="0" w:color="auto"/>
              <w:left w:val="nil"/>
              <w:bottom w:val="single" w:sz="4" w:space="0" w:color="auto"/>
              <w:right w:val="single" w:sz="8" w:space="0" w:color="000000"/>
            </w:tcBorders>
            <w:shd w:val="clear" w:color="auto" w:fill="auto"/>
            <w:noWrap/>
            <w:vAlign w:val="center"/>
            <w:hideMark/>
          </w:tcPr>
          <w:p w14:paraId="5F9F12D9" w14:textId="77777777" w:rsidR="00D158B8" w:rsidRPr="00D158B8" w:rsidRDefault="00D158B8" w:rsidP="00D158B8">
            <w:pPr>
              <w:spacing w:after="0" w:line="240" w:lineRule="auto"/>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z toho:</w:t>
            </w:r>
          </w:p>
        </w:tc>
      </w:tr>
      <w:tr w:rsidR="00D158B8" w:rsidRPr="00D158B8" w14:paraId="723D661F" w14:textId="77777777" w:rsidTr="00544B11">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2CC1523F" w14:textId="77777777" w:rsidR="00D158B8" w:rsidRPr="00D158B8" w:rsidRDefault="00D158B8" w:rsidP="00D158B8">
            <w:pPr>
              <w:spacing w:after="0" w:line="240" w:lineRule="auto"/>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 </w:t>
            </w:r>
          </w:p>
        </w:tc>
        <w:tc>
          <w:tcPr>
            <w:tcW w:w="4673" w:type="dxa"/>
            <w:tcBorders>
              <w:top w:val="nil"/>
              <w:left w:val="nil"/>
              <w:bottom w:val="single" w:sz="4" w:space="0" w:color="auto"/>
              <w:right w:val="single" w:sz="4" w:space="0" w:color="auto"/>
            </w:tcBorders>
            <w:shd w:val="clear" w:color="auto" w:fill="auto"/>
            <w:noWrap/>
            <w:vAlign w:val="center"/>
            <w:hideMark/>
          </w:tcPr>
          <w:p w14:paraId="0F7D0F2F" w14:textId="77777777" w:rsidR="00D158B8" w:rsidRPr="00D158B8" w:rsidRDefault="00D158B8" w:rsidP="00D158B8">
            <w:pPr>
              <w:spacing w:after="0" w:line="240" w:lineRule="auto"/>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5342 základní příděl FKSP a Sociálnímu fondu obcí a krajů</w:t>
            </w:r>
          </w:p>
        </w:tc>
        <w:tc>
          <w:tcPr>
            <w:tcW w:w="1305" w:type="dxa"/>
            <w:tcBorders>
              <w:top w:val="nil"/>
              <w:left w:val="nil"/>
              <w:bottom w:val="single" w:sz="4" w:space="0" w:color="auto"/>
              <w:right w:val="single" w:sz="4" w:space="0" w:color="auto"/>
            </w:tcBorders>
            <w:shd w:val="clear" w:color="auto" w:fill="auto"/>
            <w:noWrap/>
            <w:vAlign w:val="center"/>
            <w:hideMark/>
          </w:tcPr>
          <w:p w14:paraId="4BBC3ED0"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0</w:t>
            </w:r>
          </w:p>
        </w:tc>
        <w:tc>
          <w:tcPr>
            <w:tcW w:w="1560" w:type="dxa"/>
            <w:tcBorders>
              <w:top w:val="nil"/>
              <w:left w:val="nil"/>
              <w:bottom w:val="single" w:sz="4" w:space="0" w:color="auto"/>
              <w:right w:val="single" w:sz="4" w:space="0" w:color="auto"/>
            </w:tcBorders>
            <w:shd w:val="clear" w:color="auto" w:fill="auto"/>
            <w:noWrap/>
            <w:vAlign w:val="bottom"/>
            <w:hideMark/>
          </w:tcPr>
          <w:p w14:paraId="0FC28902"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15 576 000,00</w:t>
            </w:r>
          </w:p>
        </w:tc>
        <w:tc>
          <w:tcPr>
            <w:tcW w:w="1559" w:type="dxa"/>
            <w:tcBorders>
              <w:top w:val="nil"/>
              <w:left w:val="nil"/>
              <w:bottom w:val="single" w:sz="4" w:space="0" w:color="auto"/>
              <w:right w:val="single" w:sz="4" w:space="0" w:color="auto"/>
            </w:tcBorders>
            <w:shd w:val="clear" w:color="FFFFCC" w:fill="FFFFFF"/>
            <w:noWrap/>
            <w:vAlign w:val="bottom"/>
            <w:hideMark/>
          </w:tcPr>
          <w:p w14:paraId="350EC43B"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15 576 000,00</w:t>
            </w:r>
          </w:p>
        </w:tc>
        <w:tc>
          <w:tcPr>
            <w:tcW w:w="709" w:type="dxa"/>
            <w:tcBorders>
              <w:top w:val="nil"/>
              <w:left w:val="nil"/>
              <w:bottom w:val="single" w:sz="4" w:space="0" w:color="auto"/>
              <w:right w:val="single" w:sz="8" w:space="0" w:color="auto"/>
            </w:tcBorders>
            <w:shd w:val="clear" w:color="auto" w:fill="auto"/>
            <w:noWrap/>
            <w:vAlign w:val="bottom"/>
            <w:hideMark/>
          </w:tcPr>
          <w:p w14:paraId="128ACF3F"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100,0</w:t>
            </w:r>
          </w:p>
        </w:tc>
      </w:tr>
      <w:tr w:rsidR="00D158B8" w:rsidRPr="00D158B8" w14:paraId="45E45FCB" w14:textId="77777777" w:rsidTr="00B67595">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3883A2FB" w14:textId="77777777" w:rsidR="00D158B8" w:rsidRPr="00D158B8" w:rsidRDefault="00D158B8" w:rsidP="00D158B8">
            <w:pPr>
              <w:spacing w:after="0" w:line="240" w:lineRule="auto"/>
              <w:jc w:val="center"/>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6409</w:t>
            </w:r>
          </w:p>
        </w:tc>
        <w:tc>
          <w:tcPr>
            <w:tcW w:w="4673" w:type="dxa"/>
            <w:tcBorders>
              <w:top w:val="nil"/>
              <w:left w:val="nil"/>
              <w:bottom w:val="single" w:sz="4" w:space="0" w:color="auto"/>
              <w:right w:val="single" w:sz="4" w:space="0" w:color="auto"/>
            </w:tcBorders>
            <w:shd w:val="clear" w:color="auto" w:fill="auto"/>
            <w:noWrap/>
            <w:vAlign w:val="center"/>
            <w:hideMark/>
          </w:tcPr>
          <w:p w14:paraId="2D104A6E" w14:textId="77777777" w:rsidR="00D158B8" w:rsidRPr="00D158B8" w:rsidRDefault="00D158B8" w:rsidP="00D158B8">
            <w:pPr>
              <w:spacing w:after="0" w:line="240" w:lineRule="auto"/>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Ostatní činnosti jinde nezařazené</w:t>
            </w:r>
          </w:p>
        </w:tc>
        <w:tc>
          <w:tcPr>
            <w:tcW w:w="1305" w:type="dxa"/>
            <w:tcBorders>
              <w:top w:val="nil"/>
              <w:left w:val="nil"/>
              <w:bottom w:val="single" w:sz="4" w:space="0" w:color="auto"/>
              <w:right w:val="single" w:sz="4" w:space="0" w:color="auto"/>
            </w:tcBorders>
            <w:shd w:val="clear" w:color="auto" w:fill="auto"/>
            <w:noWrap/>
            <w:vAlign w:val="center"/>
            <w:hideMark/>
          </w:tcPr>
          <w:p w14:paraId="6504303B"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15 162 000</w:t>
            </w:r>
          </w:p>
        </w:tc>
        <w:tc>
          <w:tcPr>
            <w:tcW w:w="1560" w:type="dxa"/>
            <w:tcBorders>
              <w:top w:val="nil"/>
              <w:left w:val="nil"/>
              <w:bottom w:val="single" w:sz="4" w:space="0" w:color="auto"/>
              <w:right w:val="single" w:sz="4" w:space="0" w:color="auto"/>
            </w:tcBorders>
            <w:shd w:val="clear" w:color="auto" w:fill="auto"/>
            <w:noWrap/>
            <w:vAlign w:val="center"/>
            <w:hideMark/>
          </w:tcPr>
          <w:p w14:paraId="6CBB3234"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0,00</w:t>
            </w:r>
          </w:p>
        </w:tc>
        <w:tc>
          <w:tcPr>
            <w:tcW w:w="1559" w:type="dxa"/>
            <w:tcBorders>
              <w:top w:val="nil"/>
              <w:left w:val="nil"/>
              <w:bottom w:val="single" w:sz="4" w:space="0" w:color="auto"/>
              <w:right w:val="single" w:sz="4" w:space="0" w:color="auto"/>
            </w:tcBorders>
            <w:shd w:val="clear" w:color="auto" w:fill="auto"/>
            <w:noWrap/>
            <w:vAlign w:val="center"/>
            <w:hideMark/>
          </w:tcPr>
          <w:p w14:paraId="6481EEDF"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0,00</w:t>
            </w:r>
          </w:p>
        </w:tc>
        <w:tc>
          <w:tcPr>
            <w:tcW w:w="709" w:type="dxa"/>
            <w:tcBorders>
              <w:top w:val="nil"/>
              <w:left w:val="nil"/>
              <w:bottom w:val="single" w:sz="4" w:space="0" w:color="auto"/>
              <w:right w:val="single" w:sz="8" w:space="0" w:color="auto"/>
            </w:tcBorders>
            <w:shd w:val="clear" w:color="auto" w:fill="auto"/>
            <w:noWrap/>
            <w:vAlign w:val="bottom"/>
            <w:hideMark/>
          </w:tcPr>
          <w:p w14:paraId="67B5D61F"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w:t>
            </w:r>
          </w:p>
        </w:tc>
      </w:tr>
      <w:tr w:rsidR="00D158B8" w:rsidRPr="00D158B8" w14:paraId="0ED1CAFE" w14:textId="77777777" w:rsidTr="00B67595">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653BC43D" w14:textId="77777777" w:rsidR="00D158B8" w:rsidRPr="00D158B8" w:rsidRDefault="00D158B8" w:rsidP="00D158B8">
            <w:pPr>
              <w:spacing w:after="0" w:line="240" w:lineRule="auto"/>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 </w:t>
            </w:r>
          </w:p>
        </w:tc>
        <w:tc>
          <w:tcPr>
            <w:tcW w:w="9806" w:type="dxa"/>
            <w:gridSpan w:val="5"/>
            <w:tcBorders>
              <w:top w:val="single" w:sz="4" w:space="0" w:color="auto"/>
              <w:left w:val="nil"/>
              <w:bottom w:val="single" w:sz="4" w:space="0" w:color="auto"/>
              <w:right w:val="single" w:sz="8" w:space="0" w:color="000000"/>
            </w:tcBorders>
            <w:shd w:val="clear" w:color="auto" w:fill="auto"/>
            <w:noWrap/>
            <w:vAlign w:val="center"/>
            <w:hideMark/>
          </w:tcPr>
          <w:p w14:paraId="40E43BAA" w14:textId="77777777" w:rsidR="00D158B8" w:rsidRPr="00D158B8" w:rsidRDefault="00D158B8" w:rsidP="00D158B8">
            <w:pPr>
              <w:spacing w:after="0" w:line="240" w:lineRule="auto"/>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z toho:</w:t>
            </w:r>
          </w:p>
        </w:tc>
      </w:tr>
      <w:tr w:rsidR="00D158B8" w:rsidRPr="00D158B8" w14:paraId="74035A82" w14:textId="77777777" w:rsidTr="00B67595">
        <w:trPr>
          <w:trHeight w:val="300"/>
        </w:trPr>
        <w:tc>
          <w:tcPr>
            <w:tcW w:w="826" w:type="dxa"/>
            <w:tcBorders>
              <w:top w:val="nil"/>
              <w:left w:val="single" w:sz="8" w:space="0" w:color="auto"/>
              <w:bottom w:val="nil"/>
              <w:right w:val="single" w:sz="4" w:space="0" w:color="auto"/>
            </w:tcBorders>
            <w:shd w:val="clear" w:color="auto" w:fill="auto"/>
            <w:noWrap/>
            <w:vAlign w:val="center"/>
            <w:hideMark/>
          </w:tcPr>
          <w:p w14:paraId="21652AC6" w14:textId="77777777" w:rsidR="00D158B8" w:rsidRPr="00D158B8" w:rsidRDefault="00D158B8" w:rsidP="00D158B8">
            <w:pPr>
              <w:spacing w:after="0" w:line="240" w:lineRule="auto"/>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 </w:t>
            </w:r>
          </w:p>
        </w:tc>
        <w:tc>
          <w:tcPr>
            <w:tcW w:w="4673" w:type="dxa"/>
            <w:tcBorders>
              <w:top w:val="nil"/>
              <w:left w:val="nil"/>
              <w:bottom w:val="nil"/>
              <w:right w:val="single" w:sz="4" w:space="0" w:color="auto"/>
            </w:tcBorders>
            <w:shd w:val="clear" w:color="auto" w:fill="auto"/>
            <w:noWrap/>
            <w:vAlign w:val="center"/>
            <w:hideMark/>
          </w:tcPr>
          <w:p w14:paraId="41269FC2" w14:textId="77777777" w:rsidR="00D158B8" w:rsidRPr="00D158B8" w:rsidRDefault="00D158B8" w:rsidP="00D158B8">
            <w:pPr>
              <w:spacing w:after="0" w:line="240" w:lineRule="auto"/>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5909 ostatní neinvestiční výdaje jinde nezařazené</w:t>
            </w:r>
          </w:p>
        </w:tc>
        <w:tc>
          <w:tcPr>
            <w:tcW w:w="1305" w:type="dxa"/>
            <w:tcBorders>
              <w:top w:val="nil"/>
              <w:left w:val="nil"/>
              <w:bottom w:val="nil"/>
              <w:right w:val="single" w:sz="4" w:space="0" w:color="auto"/>
            </w:tcBorders>
            <w:shd w:val="clear" w:color="auto" w:fill="auto"/>
            <w:noWrap/>
            <w:vAlign w:val="center"/>
            <w:hideMark/>
          </w:tcPr>
          <w:p w14:paraId="01CBA74D"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15 162 000</w:t>
            </w:r>
          </w:p>
        </w:tc>
        <w:tc>
          <w:tcPr>
            <w:tcW w:w="1560" w:type="dxa"/>
            <w:tcBorders>
              <w:top w:val="nil"/>
              <w:left w:val="nil"/>
              <w:bottom w:val="nil"/>
              <w:right w:val="single" w:sz="4" w:space="0" w:color="auto"/>
            </w:tcBorders>
            <w:shd w:val="clear" w:color="auto" w:fill="auto"/>
            <w:noWrap/>
            <w:vAlign w:val="center"/>
            <w:hideMark/>
          </w:tcPr>
          <w:p w14:paraId="7CDDF5EF"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0,00</w:t>
            </w:r>
          </w:p>
        </w:tc>
        <w:tc>
          <w:tcPr>
            <w:tcW w:w="1559" w:type="dxa"/>
            <w:tcBorders>
              <w:top w:val="nil"/>
              <w:left w:val="nil"/>
              <w:bottom w:val="nil"/>
              <w:right w:val="single" w:sz="4" w:space="0" w:color="auto"/>
            </w:tcBorders>
            <w:shd w:val="clear" w:color="FFFFCC" w:fill="FFFFFF"/>
            <w:noWrap/>
            <w:vAlign w:val="bottom"/>
            <w:hideMark/>
          </w:tcPr>
          <w:p w14:paraId="6A30BE2C" w14:textId="77777777" w:rsidR="00D158B8" w:rsidRPr="00D158B8" w:rsidRDefault="00D158B8" w:rsidP="00D158B8">
            <w:pPr>
              <w:spacing w:after="0" w:line="240" w:lineRule="auto"/>
              <w:jc w:val="right"/>
              <w:rPr>
                <w:rFonts w:ascii="Calibri" w:eastAsia="Times New Roman" w:hAnsi="Calibri" w:cs="Calibri"/>
                <w:i/>
                <w:iCs/>
                <w:sz w:val="20"/>
                <w:szCs w:val="20"/>
                <w:lang w:eastAsia="cs-CZ"/>
              </w:rPr>
            </w:pPr>
            <w:r w:rsidRPr="00D158B8">
              <w:rPr>
                <w:rFonts w:ascii="Calibri" w:eastAsia="Times New Roman" w:hAnsi="Calibri" w:cs="Calibri"/>
                <w:i/>
                <w:iCs/>
                <w:sz w:val="20"/>
                <w:szCs w:val="20"/>
                <w:lang w:eastAsia="cs-CZ"/>
              </w:rPr>
              <w:t>0,00</w:t>
            </w:r>
          </w:p>
        </w:tc>
        <w:tc>
          <w:tcPr>
            <w:tcW w:w="709" w:type="dxa"/>
            <w:tcBorders>
              <w:top w:val="nil"/>
              <w:left w:val="nil"/>
              <w:bottom w:val="single" w:sz="4" w:space="0" w:color="auto"/>
              <w:right w:val="single" w:sz="8" w:space="0" w:color="auto"/>
            </w:tcBorders>
            <w:shd w:val="clear" w:color="auto" w:fill="auto"/>
            <w:noWrap/>
            <w:vAlign w:val="bottom"/>
            <w:hideMark/>
          </w:tcPr>
          <w:p w14:paraId="6AFC8190" w14:textId="77777777" w:rsidR="00D158B8" w:rsidRPr="00D158B8" w:rsidRDefault="00D158B8" w:rsidP="00D158B8">
            <w:pPr>
              <w:spacing w:after="0" w:line="240" w:lineRule="auto"/>
              <w:jc w:val="right"/>
              <w:rPr>
                <w:rFonts w:ascii="Calibri" w:eastAsia="Times New Roman" w:hAnsi="Calibri" w:cs="Calibri"/>
                <w:sz w:val="20"/>
                <w:szCs w:val="20"/>
                <w:lang w:eastAsia="cs-CZ"/>
              </w:rPr>
            </w:pPr>
            <w:r w:rsidRPr="00D158B8">
              <w:rPr>
                <w:rFonts w:ascii="Calibri" w:eastAsia="Times New Roman" w:hAnsi="Calibri" w:cs="Calibri"/>
                <w:sz w:val="20"/>
                <w:szCs w:val="20"/>
                <w:lang w:eastAsia="cs-CZ"/>
              </w:rPr>
              <w:t>-</w:t>
            </w:r>
          </w:p>
        </w:tc>
      </w:tr>
      <w:tr w:rsidR="00D158B8" w:rsidRPr="00D158B8" w14:paraId="1F72BD28" w14:textId="77777777" w:rsidTr="00B67595">
        <w:trPr>
          <w:trHeight w:val="323"/>
        </w:trPr>
        <w:tc>
          <w:tcPr>
            <w:tcW w:w="826"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3FB42E54" w14:textId="77777777" w:rsidR="00D158B8" w:rsidRPr="00D158B8" w:rsidRDefault="00D158B8" w:rsidP="00D158B8">
            <w:pPr>
              <w:spacing w:after="0" w:line="240" w:lineRule="auto"/>
              <w:rPr>
                <w:rFonts w:ascii="Calibri" w:eastAsia="Times New Roman" w:hAnsi="Calibri" w:cs="Calibri"/>
                <w:b/>
                <w:bCs/>
                <w:sz w:val="20"/>
                <w:szCs w:val="20"/>
                <w:lang w:eastAsia="cs-CZ"/>
              </w:rPr>
            </w:pPr>
            <w:r w:rsidRPr="00D158B8">
              <w:rPr>
                <w:rFonts w:ascii="Calibri" w:eastAsia="Times New Roman" w:hAnsi="Calibri" w:cs="Calibri"/>
                <w:b/>
                <w:bCs/>
                <w:sz w:val="20"/>
                <w:szCs w:val="20"/>
                <w:lang w:eastAsia="cs-CZ"/>
              </w:rPr>
              <w:t> </w:t>
            </w:r>
          </w:p>
        </w:tc>
        <w:tc>
          <w:tcPr>
            <w:tcW w:w="4673" w:type="dxa"/>
            <w:tcBorders>
              <w:top w:val="single" w:sz="8" w:space="0" w:color="auto"/>
              <w:left w:val="nil"/>
              <w:bottom w:val="single" w:sz="8" w:space="0" w:color="auto"/>
              <w:right w:val="single" w:sz="4" w:space="0" w:color="auto"/>
            </w:tcBorders>
            <w:shd w:val="clear" w:color="auto" w:fill="auto"/>
            <w:noWrap/>
            <w:vAlign w:val="center"/>
            <w:hideMark/>
          </w:tcPr>
          <w:p w14:paraId="7E622527" w14:textId="77777777" w:rsidR="00D158B8" w:rsidRPr="00D158B8" w:rsidRDefault="00D158B8" w:rsidP="00D158B8">
            <w:pPr>
              <w:spacing w:after="0" w:line="240" w:lineRule="auto"/>
              <w:rPr>
                <w:rFonts w:ascii="Calibri" w:eastAsia="Times New Roman" w:hAnsi="Calibri" w:cs="Calibri"/>
                <w:b/>
                <w:bCs/>
                <w:lang w:eastAsia="cs-CZ"/>
              </w:rPr>
            </w:pPr>
            <w:r w:rsidRPr="00D158B8">
              <w:rPr>
                <w:rFonts w:ascii="Calibri" w:eastAsia="Times New Roman" w:hAnsi="Calibri" w:cs="Calibri"/>
                <w:b/>
                <w:bCs/>
                <w:lang w:eastAsia="cs-CZ"/>
              </w:rPr>
              <w:t>Celkem</w:t>
            </w:r>
          </w:p>
        </w:tc>
        <w:tc>
          <w:tcPr>
            <w:tcW w:w="1305" w:type="dxa"/>
            <w:tcBorders>
              <w:top w:val="single" w:sz="8" w:space="0" w:color="auto"/>
              <w:left w:val="nil"/>
              <w:bottom w:val="single" w:sz="8" w:space="0" w:color="auto"/>
              <w:right w:val="single" w:sz="4" w:space="0" w:color="auto"/>
            </w:tcBorders>
            <w:shd w:val="clear" w:color="auto" w:fill="auto"/>
            <w:noWrap/>
            <w:vAlign w:val="center"/>
            <w:hideMark/>
          </w:tcPr>
          <w:p w14:paraId="163844CD" w14:textId="77777777" w:rsidR="00D158B8" w:rsidRPr="00D158B8" w:rsidRDefault="00D158B8" w:rsidP="00D158B8">
            <w:pPr>
              <w:spacing w:after="0" w:line="240" w:lineRule="auto"/>
              <w:jc w:val="right"/>
              <w:rPr>
                <w:rFonts w:ascii="Calibri" w:eastAsia="Times New Roman" w:hAnsi="Calibri" w:cs="Calibri"/>
                <w:b/>
                <w:bCs/>
                <w:lang w:eastAsia="cs-CZ"/>
              </w:rPr>
            </w:pPr>
            <w:r w:rsidRPr="00D158B8">
              <w:rPr>
                <w:rFonts w:ascii="Calibri" w:eastAsia="Times New Roman" w:hAnsi="Calibri" w:cs="Calibri"/>
                <w:b/>
                <w:bCs/>
                <w:lang w:eastAsia="cs-CZ"/>
              </w:rPr>
              <w:t>550 086 000</w:t>
            </w:r>
          </w:p>
        </w:tc>
        <w:tc>
          <w:tcPr>
            <w:tcW w:w="1560" w:type="dxa"/>
            <w:tcBorders>
              <w:top w:val="single" w:sz="8" w:space="0" w:color="auto"/>
              <w:left w:val="nil"/>
              <w:bottom w:val="single" w:sz="8" w:space="0" w:color="auto"/>
              <w:right w:val="single" w:sz="4" w:space="0" w:color="auto"/>
            </w:tcBorders>
            <w:shd w:val="clear" w:color="auto" w:fill="auto"/>
            <w:noWrap/>
            <w:vAlign w:val="center"/>
            <w:hideMark/>
          </w:tcPr>
          <w:p w14:paraId="07B43B3A" w14:textId="77777777" w:rsidR="00D158B8" w:rsidRPr="00D158B8" w:rsidRDefault="00D158B8" w:rsidP="00D158B8">
            <w:pPr>
              <w:spacing w:after="0" w:line="240" w:lineRule="auto"/>
              <w:jc w:val="right"/>
              <w:rPr>
                <w:rFonts w:ascii="Calibri" w:eastAsia="Times New Roman" w:hAnsi="Calibri" w:cs="Calibri"/>
                <w:b/>
                <w:bCs/>
                <w:lang w:eastAsia="cs-CZ"/>
              </w:rPr>
            </w:pPr>
            <w:r w:rsidRPr="00D158B8">
              <w:rPr>
                <w:rFonts w:ascii="Calibri" w:eastAsia="Times New Roman" w:hAnsi="Calibri" w:cs="Calibri"/>
                <w:b/>
                <w:bCs/>
                <w:lang w:eastAsia="cs-CZ"/>
              </w:rPr>
              <w:t>560 566 000,00</w:t>
            </w:r>
          </w:p>
        </w:tc>
        <w:tc>
          <w:tcPr>
            <w:tcW w:w="1559" w:type="dxa"/>
            <w:tcBorders>
              <w:top w:val="single" w:sz="8" w:space="0" w:color="auto"/>
              <w:left w:val="nil"/>
              <w:bottom w:val="single" w:sz="8" w:space="0" w:color="auto"/>
              <w:right w:val="single" w:sz="4" w:space="0" w:color="auto"/>
            </w:tcBorders>
            <w:shd w:val="clear" w:color="auto" w:fill="auto"/>
            <w:noWrap/>
            <w:vAlign w:val="center"/>
            <w:hideMark/>
          </w:tcPr>
          <w:p w14:paraId="2850CFE0" w14:textId="77777777" w:rsidR="00D158B8" w:rsidRPr="00D158B8" w:rsidRDefault="00D158B8" w:rsidP="00D158B8">
            <w:pPr>
              <w:spacing w:after="0" w:line="240" w:lineRule="auto"/>
              <w:jc w:val="right"/>
              <w:rPr>
                <w:rFonts w:ascii="Calibri" w:eastAsia="Times New Roman" w:hAnsi="Calibri" w:cs="Calibri"/>
                <w:b/>
                <w:bCs/>
                <w:lang w:eastAsia="cs-CZ"/>
              </w:rPr>
            </w:pPr>
            <w:r w:rsidRPr="00D158B8">
              <w:rPr>
                <w:rFonts w:ascii="Calibri" w:eastAsia="Times New Roman" w:hAnsi="Calibri" w:cs="Calibri"/>
                <w:b/>
                <w:bCs/>
                <w:lang w:eastAsia="cs-CZ"/>
              </w:rPr>
              <w:t>542 312 609,24</w:t>
            </w:r>
          </w:p>
        </w:tc>
        <w:tc>
          <w:tcPr>
            <w:tcW w:w="709" w:type="dxa"/>
            <w:tcBorders>
              <w:top w:val="single" w:sz="8" w:space="0" w:color="auto"/>
              <w:left w:val="nil"/>
              <w:bottom w:val="single" w:sz="8" w:space="0" w:color="auto"/>
              <w:right w:val="single" w:sz="8" w:space="0" w:color="auto"/>
            </w:tcBorders>
            <w:shd w:val="clear" w:color="auto" w:fill="auto"/>
            <w:noWrap/>
            <w:vAlign w:val="bottom"/>
            <w:hideMark/>
          </w:tcPr>
          <w:p w14:paraId="3F4399DE" w14:textId="77777777" w:rsidR="00D158B8" w:rsidRPr="00D158B8" w:rsidRDefault="00D158B8" w:rsidP="00D158B8">
            <w:pPr>
              <w:spacing w:after="0" w:line="240" w:lineRule="auto"/>
              <w:jc w:val="right"/>
              <w:rPr>
                <w:rFonts w:ascii="Calibri" w:eastAsia="Times New Roman" w:hAnsi="Calibri" w:cs="Calibri"/>
                <w:b/>
                <w:bCs/>
                <w:lang w:eastAsia="cs-CZ"/>
              </w:rPr>
            </w:pPr>
            <w:r w:rsidRPr="00D158B8">
              <w:rPr>
                <w:rFonts w:ascii="Calibri" w:eastAsia="Times New Roman" w:hAnsi="Calibri" w:cs="Calibri"/>
                <w:b/>
                <w:bCs/>
                <w:lang w:eastAsia="cs-CZ"/>
              </w:rPr>
              <w:t>96,7</w:t>
            </w:r>
          </w:p>
        </w:tc>
      </w:tr>
      <w:tr w:rsidR="00D158B8" w:rsidRPr="00D158B8" w14:paraId="6A229CE3" w14:textId="77777777" w:rsidTr="00B67595">
        <w:trPr>
          <w:trHeight w:val="300"/>
        </w:trPr>
        <w:tc>
          <w:tcPr>
            <w:tcW w:w="826" w:type="dxa"/>
            <w:tcBorders>
              <w:top w:val="nil"/>
              <w:left w:val="nil"/>
              <w:bottom w:val="nil"/>
              <w:right w:val="nil"/>
            </w:tcBorders>
            <w:shd w:val="clear" w:color="auto" w:fill="auto"/>
            <w:noWrap/>
            <w:vAlign w:val="bottom"/>
            <w:hideMark/>
          </w:tcPr>
          <w:p w14:paraId="0FCF6367" w14:textId="77777777" w:rsidR="00D158B8" w:rsidRPr="00D158B8" w:rsidRDefault="00D158B8" w:rsidP="00D158B8">
            <w:pPr>
              <w:spacing w:after="0" w:line="240" w:lineRule="auto"/>
              <w:jc w:val="right"/>
              <w:rPr>
                <w:rFonts w:ascii="Calibri" w:eastAsia="Times New Roman" w:hAnsi="Calibri" w:cs="Calibri"/>
                <w:b/>
                <w:bCs/>
                <w:lang w:eastAsia="cs-CZ"/>
              </w:rPr>
            </w:pPr>
          </w:p>
        </w:tc>
        <w:tc>
          <w:tcPr>
            <w:tcW w:w="4673" w:type="dxa"/>
            <w:tcBorders>
              <w:top w:val="nil"/>
              <w:left w:val="nil"/>
              <w:bottom w:val="nil"/>
              <w:right w:val="nil"/>
            </w:tcBorders>
            <w:shd w:val="clear" w:color="auto" w:fill="auto"/>
            <w:noWrap/>
            <w:vAlign w:val="bottom"/>
            <w:hideMark/>
          </w:tcPr>
          <w:p w14:paraId="22251EEB" w14:textId="77777777" w:rsidR="00D158B8" w:rsidRPr="00D158B8" w:rsidRDefault="00D158B8" w:rsidP="00D158B8">
            <w:pPr>
              <w:spacing w:after="0" w:line="240" w:lineRule="auto"/>
              <w:rPr>
                <w:rFonts w:ascii="Times New Roman" w:eastAsia="Times New Roman" w:hAnsi="Times New Roman" w:cs="Times New Roman"/>
                <w:sz w:val="20"/>
                <w:szCs w:val="20"/>
                <w:lang w:eastAsia="cs-CZ"/>
              </w:rPr>
            </w:pPr>
          </w:p>
        </w:tc>
        <w:tc>
          <w:tcPr>
            <w:tcW w:w="1305" w:type="dxa"/>
            <w:tcBorders>
              <w:top w:val="nil"/>
              <w:left w:val="nil"/>
              <w:bottom w:val="nil"/>
              <w:right w:val="nil"/>
            </w:tcBorders>
            <w:shd w:val="clear" w:color="auto" w:fill="auto"/>
            <w:noWrap/>
            <w:vAlign w:val="bottom"/>
            <w:hideMark/>
          </w:tcPr>
          <w:p w14:paraId="051FCF34" w14:textId="77777777" w:rsidR="00D158B8" w:rsidRPr="00D158B8" w:rsidRDefault="00D158B8" w:rsidP="00D158B8">
            <w:pPr>
              <w:spacing w:after="0" w:line="240" w:lineRule="auto"/>
              <w:jc w:val="center"/>
              <w:rPr>
                <w:rFonts w:ascii="Times New Roman" w:eastAsia="Times New Roman" w:hAnsi="Times New Roman" w:cs="Times New Roman"/>
                <w:sz w:val="20"/>
                <w:szCs w:val="20"/>
                <w:lang w:eastAsia="cs-CZ"/>
              </w:rPr>
            </w:pPr>
          </w:p>
        </w:tc>
        <w:tc>
          <w:tcPr>
            <w:tcW w:w="1560" w:type="dxa"/>
            <w:tcBorders>
              <w:top w:val="nil"/>
              <w:left w:val="nil"/>
              <w:bottom w:val="nil"/>
              <w:right w:val="nil"/>
            </w:tcBorders>
            <w:shd w:val="clear" w:color="auto" w:fill="auto"/>
            <w:noWrap/>
            <w:vAlign w:val="bottom"/>
            <w:hideMark/>
          </w:tcPr>
          <w:p w14:paraId="305CA95A" w14:textId="77777777" w:rsidR="00D158B8" w:rsidRPr="00D158B8" w:rsidRDefault="00D158B8" w:rsidP="00D158B8">
            <w:pPr>
              <w:spacing w:after="0" w:line="240" w:lineRule="auto"/>
              <w:rPr>
                <w:rFonts w:ascii="Times New Roman" w:eastAsia="Times New Roman" w:hAnsi="Times New Roman" w:cs="Times New Roman"/>
                <w:sz w:val="20"/>
                <w:szCs w:val="20"/>
                <w:lang w:eastAsia="cs-CZ"/>
              </w:rPr>
            </w:pPr>
          </w:p>
        </w:tc>
        <w:tc>
          <w:tcPr>
            <w:tcW w:w="1559" w:type="dxa"/>
            <w:tcBorders>
              <w:top w:val="nil"/>
              <w:left w:val="nil"/>
              <w:bottom w:val="nil"/>
              <w:right w:val="nil"/>
            </w:tcBorders>
            <w:shd w:val="clear" w:color="auto" w:fill="auto"/>
            <w:noWrap/>
            <w:vAlign w:val="bottom"/>
            <w:hideMark/>
          </w:tcPr>
          <w:p w14:paraId="6DD9A2A8" w14:textId="77777777" w:rsidR="00D158B8" w:rsidRPr="00D158B8" w:rsidRDefault="00D158B8" w:rsidP="00D158B8">
            <w:pPr>
              <w:spacing w:after="0" w:line="240" w:lineRule="auto"/>
              <w:rPr>
                <w:rFonts w:ascii="Times New Roman" w:eastAsia="Times New Roman" w:hAnsi="Times New Roman" w:cs="Times New Roman"/>
                <w:sz w:val="20"/>
                <w:szCs w:val="20"/>
                <w:lang w:eastAsia="cs-CZ"/>
              </w:rPr>
            </w:pPr>
          </w:p>
        </w:tc>
        <w:tc>
          <w:tcPr>
            <w:tcW w:w="709" w:type="dxa"/>
            <w:tcBorders>
              <w:top w:val="nil"/>
              <w:left w:val="nil"/>
              <w:bottom w:val="nil"/>
              <w:right w:val="nil"/>
            </w:tcBorders>
            <w:shd w:val="clear" w:color="auto" w:fill="auto"/>
            <w:noWrap/>
            <w:vAlign w:val="bottom"/>
            <w:hideMark/>
          </w:tcPr>
          <w:p w14:paraId="5141F360" w14:textId="77777777" w:rsidR="00D158B8" w:rsidRPr="00D158B8" w:rsidRDefault="00D158B8" w:rsidP="00D158B8">
            <w:pPr>
              <w:spacing w:after="0" w:line="240" w:lineRule="auto"/>
              <w:rPr>
                <w:rFonts w:ascii="Times New Roman" w:eastAsia="Times New Roman" w:hAnsi="Times New Roman" w:cs="Times New Roman"/>
                <w:sz w:val="20"/>
                <w:szCs w:val="20"/>
                <w:lang w:eastAsia="cs-CZ"/>
              </w:rPr>
            </w:pPr>
          </w:p>
        </w:tc>
      </w:tr>
      <w:tr w:rsidR="00D158B8" w:rsidRPr="00D158B8" w14:paraId="6185C903" w14:textId="77777777" w:rsidTr="00B67595">
        <w:trPr>
          <w:trHeight w:val="360"/>
        </w:trPr>
        <w:tc>
          <w:tcPr>
            <w:tcW w:w="5499" w:type="dxa"/>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CE9A9B3" w14:textId="77777777" w:rsidR="00D158B8" w:rsidRPr="00D158B8" w:rsidRDefault="00D158B8" w:rsidP="00D158B8">
            <w:pPr>
              <w:spacing w:after="0" w:line="240" w:lineRule="auto"/>
              <w:rPr>
                <w:rFonts w:ascii="Calibri" w:eastAsia="Times New Roman" w:hAnsi="Calibri" w:cs="Calibri"/>
                <w:b/>
                <w:bCs/>
                <w:sz w:val="24"/>
                <w:szCs w:val="24"/>
                <w:lang w:eastAsia="cs-CZ"/>
              </w:rPr>
            </w:pPr>
            <w:r w:rsidRPr="00D158B8">
              <w:rPr>
                <w:rFonts w:ascii="Calibri" w:eastAsia="Times New Roman" w:hAnsi="Calibri" w:cs="Calibri"/>
                <w:b/>
                <w:bCs/>
                <w:sz w:val="24"/>
                <w:szCs w:val="24"/>
                <w:lang w:eastAsia="cs-CZ"/>
              </w:rPr>
              <w:t>Celkem výdaje</w:t>
            </w:r>
          </w:p>
        </w:tc>
        <w:tc>
          <w:tcPr>
            <w:tcW w:w="1305" w:type="dxa"/>
            <w:tcBorders>
              <w:top w:val="single" w:sz="8" w:space="0" w:color="auto"/>
              <w:left w:val="nil"/>
              <w:bottom w:val="single" w:sz="8" w:space="0" w:color="auto"/>
              <w:right w:val="single" w:sz="8" w:space="0" w:color="auto"/>
            </w:tcBorders>
            <w:shd w:val="clear" w:color="auto" w:fill="auto"/>
            <w:noWrap/>
            <w:vAlign w:val="bottom"/>
            <w:hideMark/>
          </w:tcPr>
          <w:p w14:paraId="3B200DD2" w14:textId="77777777" w:rsidR="00D158B8" w:rsidRPr="00D158B8" w:rsidRDefault="00D158B8" w:rsidP="00D158B8">
            <w:pPr>
              <w:spacing w:after="0" w:line="240" w:lineRule="auto"/>
              <w:jc w:val="right"/>
              <w:rPr>
                <w:rFonts w:ascii="Calibri" w:eastAsia="Times New Roman" w:hAnsi="Calibri" w:cs="Calibri"/>
                <w:b/>
                <w:bCs/>
                <w:lang w:eastAsia="cs-CZ"/>
              </w:rPr>
            </w:pPr>
            <w:r w:rsidRPr="00D158B8">
              <w:rPr>
                <w:rFonts w:ascii="Calibri" w:eastAsia="Times New Roman" w:hAnsi="Calibri" w:cs="Calibri"/>
                <w:b/>
                <w:bCs/>
                <w:lang w:eastAsia="cs-CZ"/>
              </w:rPr>
              <w:t>550 086 000</w:t>
            </w:r>
          </w:p>
        </w:tc>
        <w:tc>
          <w:tcPr>
            <w:tcW w:w="1560" w:type="dxa"/>
            <w:tcBorders>
              <w:top w:val="single" w:sz="8" w:space="0" w:color="auto"/>
              <w:left w:val="nil"/>
              <w:bottom w:val="single" w:sz="8" w:space="0" w:color="auto"/>
              <w:right w:val="single" w:sz="8" w:space="0" w:color="auto"/>
            </w:tcBorders>
            <w:shd w:val="clear" w:color="auto" w:fill="auto"/>
            <w:noWrap/>
            <w:vAlign w:val="bottom"/>
            <w:hideMark/>
          </w:tcPr>
          <w:p w14:paraId="57BF0A4E" w14:textId="77777777" w:rsidR="00D158B8" w:rsidRPr="00D158B8" w:rsidRDefault="00D158B8" w:rsidP="00D158B8">
            <w:pPr>
              <w:spacing w:after="0" w:line="240" w:lineRule="auto"/>
              <w:jc w:val="right"/>
              <w:rPr>
                <w:rFonts w:ascii="Calibri" w:eastAsia="Times New Roman" w:hAnsi="Calibri" w:cs="Calibri"/>
                <w:b/>
                <w:bCs/>
                <w:lang w:eastAsia="cs-CZ"/>
              </w:rPr>
            </w:pPr>
            <w:r w:rsidRPr="00D158B8">
              <w:rPr>
                <w:rFonts w:ascii="Calibri" w:eastAsia="Times New Roman" w:hAnsi="Calibri" w:cs="Calibri"/>
                <w:b/>
                <w:bCs/>
                <w:lang w:eastAsia="cs-CZ"/>
              </w:rPr>
              <w:t>560 566 000,00</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14:paraId="56FB2415" w14:textId="77777777" w:rsidR="00D158B8" w:rsidRPr="00D158B8" w:rsidRDefault="00D158B8" w:rsidP="00D158B8">
            <w:pPr>
              <w:spacing w:after="0" w:line="240" w:lineRule="auto"/>
              <w:jc w:val="right"/>
              <w:rPr>
                <w:rFonts w:ascii="Calibri" w:eastAsia="Times New Roman" w:hAnsi="Calibri" w:cs="Calibri"/>
                <w:b/>
                <w:bCs/>
                <w:lang w:eastAsia="cs-CZ"/>
              </w:rPr>
            </w:pPr>
            <w:r w:rsidRPr="00D158B8">
              <w:rPr>
                <w:rFonts w:ascii="Calibri" w:eastAsia="Times New Roman" w:hAnsi="Calibri" w:cs="Calibri"/>
                <w:b/>
                <w:bCs/>
                <w:lang w:eastAsia="cs-CZ"/>
              </w:rPr>
              <w:t>542 312 609,24</w:t>
            </w:r>
          </w:p>
        </w:tc>
        <w:tc>
          <w:tcPr>
            <w:tcW w:w="709" w:type="dxa"/>
            <w:tcBorders>
              <w:top w:val="single" w:sz="8" w:space="0" w:color="auto"/>
              <w:left w:val="nil"/>
              <w:bottom w:val="single" w:sz="8" w:space="0" w:color="auto"/>
              <w:right w:val="single" w:sz="8" w:space="0" w:color="auto"/>
            </w:tcBorders>
            <w:shd w:val="clear" w:color="auto" w:fill="auto"/>
            <w:noWrap/>
            <w:vAlign w:val="bottom"/>
            <w:hideMark/>
          </w:tcPr>
          <w:p w14:paraId="7BA419FC" w14:textId="77777777" w:rsidR="00D158B8" w:rsidRPr="00D158B8" w:rsidRDefault="00D158B8" w:rsidP="00D158B8">
            <w:pPr>
              <w:spacing w:after="0" w:line="240" w:lineRule="auto"/>
              <w:jc w:val="right"/>
              <w:rPr>
                <w:rFonts w:ascii="Calibri" w:eastAsia="Times New Roman" w:hAnsi="Calibri" w:cs="Calibri"/>
                <w:b/>
                <w:bCs/>
                <w:lang w:eastAsia="cs-CZ"/>
              </w:rPr>
            </w:pPr>
            <w:r w:rsidRPr="00D158B8">
              <w:rPr>
                <w:rFonts w:ascii="Calibri" w:eastAsia="Times New Roman" w:hAnsi="Calibri" w:cs="Calibri"/>
                <w:b/>
                <w:bCs/>
                <w:lang w:eastAsia="cs-CZ"/>
              </w:rPr>
              <w:t>96,7</w:t>
            </w:r>
          </w:p>
        </w:tc>
      </w:tr>
    </w:tbl>
    <w:p w14:paraId="599CD37C" w14:textId="647D6AA7" w:rsidR="00D158B8" w:rsidRDefault="00D158B8" w:rsidP="00D158B8">
      <w:pPr>
        <w:rPr>
          <w:rFonts w:ascii="Calibri" w:hAnsi="Calibri" w:cs="Calibri"/>
        </w:rPr>
      </w:pPr>
    </w:p>
    <w:p w14:paraId="3A717E75" w14:textId="2F0D16A9" w:rsidR="00D158B8" w:rsidRDefault="00D158B8" w:rsidP="00D158B8">
      <w:pPr>
        <w:rPr>
          <w:rFonts w:ascii="Calibri" w:hAnsi="Calibri" w:cs="Calibri"/>
        </w:rPr>
      </w:pPr>
    </w:p>
    <w:p w14:paraId="242B282A" w14:textId="26B093C6" w:rsidR="00D158B8" w:rsidRDefault="00D158B8" w:rsidP="00D158B8">
      <w:pPr>
        <w:rPr>
          <w:rFonts w:ascii="Calibri" w:hAnsi="Calibri" w:cs="Calibri"/>
        </w:rPr>
      </w:pPr>
    </w:p>
    <w:p w14:paraId="13842A04" w14:textId="77777777" w:rsidR="00B67595" w:rsidRDefault="00B67595" w:rsidP="00D158B8">
      <w:pPr>
        <w:spacing w:after="0" w:line="240" w:lineRule="auto"/>
        <w:jc w:val="both"/>
        <w:rPr>
          <w:rFonts w:cstheme="minorHAnsi"/>
          <w:b/>
          <w:sz w:val="28"/>
          <w:szCs w:val="28"/>
          <w:u w:val="single"/>
        </w:rPr>
      </w:pPr>
    </w:p>
    <w:p w14:paraId="26B793BE" w14:textId="5C00779B" w:rsidR="00B67595" w:rsidRDefault="00B67595" w:rsidP="00D158B8">
      <w:pPr>
        <w:spacing w:after="0" w:line="240" w:lineRule="auto"/>
        <w:jc w:val="both"/>
        <w:rPr>
          <w:rFonts w:cstheme="minorHAnsi"/>
          <w:b/>
          <w:sz w:val="28"/>
          <w:szCs w:val="28"/>
          <w:u w:val="single"/>
        </w:rPr>
      </w:pPr>
    </w:p>
    <w:p w14:paraId="18F968DA" w14:textId="33382A1E" w:rsidR="00E363C7" w:rsidRDefault="00E363C7" w:rsidP="00D158B8">
      <w:pPr>
        <w:spacing w:after="0" w:line="240" w:lineRule="auto"/>
        <w:jc w:val="both"/>
        <w:rPr>
          <w:rFonts w:cstheme="minorHAnsi"/>
          <w:b/>
          <w:sz w:val="28"/>
          <w:szCs w:val="28"/>
          <w:u w:val="single"/>
        </w:rPr>
      </w:pPr>
    </w:p>
    <w:p w14:paraId="0CB4A036" w14:textId="0872ECE5" w:rsidR="00E363C7" w:rsidRDefault="00E363C7" w:rsidP="00D158B8">
      <w:pPr>
        <w:spacing w:after="0" w:line="240" w:lineRule="auto"/>
        <w:jc w:val="both"/>
        <w:rPr>
          <w:rFonts w:cstheme="minorHAnsi"/>
          <w:b/>
          <w:sz w:val="28"/>
          <w:szCs w:val="28"/>
          <w:u w:val="single"/>
        </w:rPr>
      </w:pPr>
    </w:p>
    <w:p w14:paraId="3BF6C64A" w14:textId="0521C819" w:rsidR="00E363C7" w:rsidRDefault="00E363C7" w:rsidP="00D158B8">
      <w:pPr>
        <w:spacing w:after="0" w:line="240" w:lineRule="auto"/>
        <w:jc w:val="both"/>
        <w:rPr>
          <w:rFonts w:cstheme="minorHAnsi"/>
          <w:b/>
          <w:sz w:val="28"/>
          <w:szCs w:val="28"/>
          <w:u w:val="single"/>
        </w:rPr>
      </w:pPr>
    </w:p>
    <w:p w14:paraId="7C0617EF" w14:textId="10D11627" w:rsidR="00E363C7" w:rsidRDefault="00E363C7" w:rsidP="00D158B8">
      <w:pPr>
        <w:spacing w:after="0" w:line="240" w:lineRule="auto"/>
        <w:jc w:val="both"/>
        <w:rPr>
          <w:rFonts w:cstheme="minorHAnsi"/>
          <w:b/>
          <w:sz w:val="28"/>
          <w:szCs w:val="28"/>
          <w:u w:val="single"/>
        </w:rPr>
      </w:pPr>
    </w:p>
    <w:p w14:paraId="404B800E" w14:textId="77777777" w:rsidR="00E363C7" w:rsidRDefault="00E363C7" w:rsidP="00D158B8">
      <w:pPr>
        <w:spacing w:after="0" w:line="240" w:lineRule="auto"/>
        <w:jc w:val="both"/>
        <w:rPr>
          <w:rFonts w:cstheme="minorHAnsi"/>
          <w:b/>
          <w:sz w:val="28"/>
          <w:szCs w:val="28"/>
          <w:u w:val="single"/>
        </w:rPr>
      </w:pPr>
    </w:p>
    <w:p w14:paraId="348D95E6" w14:textId="77777777" w:rsidR="00B67595" w:rsidRDefault="00B67595" w:rsidP="00D158B8">
      <w:pPr>
        <w:spacing w:after="0" w:line="240" w:lineRule="auto"/>
        <w:jc w:val="both"/>
        <w:rPr>
          <w:rFonts w:cstheme="minorHAnsi"/>
          <w:b/>
          <w:sz w:val="28"/>
          <w:szCs w:val="28"/>
          <w:u w:val="single"/>
        </w:rPr>
      </w:pPr>
    </w:p>
    <w:p w14:paraId="76D95A39" w14:textId="77777777" w:rsidR="00B67595" w:rsidRDefault="00B67595" w:rsidP="00D158B8">
      <w:pPr>
        <w:spacing w:after="0" w:line="240" w:lineRule="auto"/>
        <w:jc w:val="both"/>
        <w:rPr>
          <w:rFonts w:cstheme="minorHAnsi"/>
          <w:b/>
          <w:sz w:val="28"/>
          <w:szCs w:val="28"/>
          <w:u w:val="single"/>
        </w:rPr>
      </w:pPr>
    </w:p>
    <w:p w14:paraId="10036624" w14:textId="77777777" w:rsidR="00B67595" w:rsidRDefault="00B67595" w:rsidP="00D158B8">
      <w:pPr>
        <w:spacing w:after="0" w:line="240" w:lineRule="auto"/>
        <w:jc w:val="both"/>
        <w:rPr>
          <w:rFonts w:cstheme="minorHAnsi"/>
          <w:b/>
          <w:sz w:val="28"/>
          <w:szCs w:val="28"/>
          <w:u w:val="single"/>
        </w:rPr>
      </w:pPr>
    </w:p>
    <w:p w14:paraId="5BF75996" w14:textId="0B672BAE" w:rsidR="00D158B8" w:rsidRPr="00F72C8F" w:rsidRDefault="00D158B8" w:rsidP="00D158B8">
      <w:pPr>
        <w:spacing w:after="0" w:line="240" w:lineRule="auto"/>
        <w:jc w:val="both"/>
        <w:rPr>
          <w:rFonts w:cstheme="minorHAnsi"/>
          <w:sz w:val="28"/>
          <w:szCs w:val="28"/>
        </w:rPr>
      </w:pPr>
      <w:r w:rsidRPr="00F72C8F">
        <w:rPr>
          <w:rFonts w:cstheme="minorHAnsi"/>
          <w:b/>
          <w:sz w:val="28"/>
          <w:szCs w:val="28"/>
          <w:u w:val="single"/>
        </w:rPr>
        <w:t>Kapitola 14 – Řízení lidských zdrojů</w:t>
      </w:r>
    </w:p>
    <w:p w14:paraId="3B34B0C0" w14:textId="77777777" w:rsidR="00D158B8" w:rsidRPr="00F72C8F" w:rsidRDefault="00D158B8" w:rsidP="00D158B8">
      <w:pPr>
        <w:spacing w:after="0" w:line="240" w:lineRule="auto"/>
        <w:jc w:val="both"/>
        <w:rPr>
          <w:rFonts w:cstheme="minorHAnsi"/>
        </w:rPr>
      </w:pPr>
    </w:p>
    <w:p w14:paraId="6F6D86BF" w14:textId="77777777" w:rsidR="00D158B8" w:rsidRPr="00F72C8F" w:rsidRDefault="00D158B8" w:rsidP="00D158B8">
      <w:pPr>
        <w:spacing w:after="0" w:line="240" w:lineRule="auto"/>
        <w:jc w:val="both"/>
        <w:rPr>
          <w:rFonts w:cstheme="minorHAnsi"/>
          <w:sz w:val="24"/>
          <w:szCs w:val="24"/>
        </w:rPr>
      </w:pPr>
      <w:r w:rsidRPr="00F72C8F">
        <w:rPr>
          <w:rFonts w:cstheme="minorHAnsi"/>
          <w:b/>
          <w:sz w:val="24"/>
          <w:szCs w:val="24"/>
          <w:u w:val="single"/>
        </w:rPr>
        <w:t>Běžné výdaje</w:t>
      </w:r>
    </w:p>
    <w:p w14:paraId="57D734C9" w14:textId="77777777" w:rsidR="00D158B8" w:rsidRPr="00FA32E7" w:rsidRDefault="00D158B8" w:rsidP="00D158B8">
      <w:pPr>
        <w:spacing w:after="0" w:line="240" w:lineRule="auto"/>
        <w:jc w:val="both"/>
        <w:rPr>
          <w:rFonts w:cstheme="minorHAnsi"/>
          <w:color w:val="000000" w:themeColor="text1"/>
        </w:rPr>
      </w:pPr>
    </w:p>
    <w:p w14:paraId="7610F655" w14:textId="77777777" w:rsidR="00D158B8" w:rsidRPr="00FA32E7" w:rsidRDefault="00D158B8" w:rsidP="00D158B8">
      <w:pPr>
        <w:spacing w:after="0" w:line="240" w:lineRule="auto"/>
        <w:jc w:val="both"/>
        <w:rPr>
          <w:rFonts w:cstheme="minorHAnsi"/>
          <w:color w:val="000000" w:themeColor="text1"/>
        </w:rPr>
      </w:pPr>
      <w:r w:rsidRPr="00FA32E7">
        <w:rPr>
          <w:rFonts w:cstheme="minorHAnsi"/>
          <w:color w:val="000000" w:themeColor="text1"/>
        </w:rPr>
        <w:t>Rozpočet běžných výdajů kapitoly 14 – Řízení lidských zdrojů zahrnuje výdaje na zabezpečení komplexního výkonu personálních činností, tj. především platy zaměstnanců zařazených do krajského úřadu a související platové výdaje včetně povinných odvodů na sociální a zdravotní pojištění a ostatní osobní výdaje vyplývající z právních předpisů pro tuto oblast. Zajišťuje komplexní péči o zaměstnance, jejich vzdělávání a rozvoj. Schválený rozpočet byl navýšen na základě usnesení č. 007-04/2021/ZK ze dne 22. 2. 2021 (navýšení rozpočtu Středočeského kraje o prostředky ze sdílených daní a nevyčerpané prostředky z roku 2020) o částku 10 480 000,00 Kč. Z toho mzdové prostředky (položky 5011, 5021, 5031, 5032, 5038) celkem byly navýšeny o částku 9 500 000,00 Kč. Upravený rozpočet kapitoly 14 – Řízení lidských zdrojů ve výši 560 566 000,00 Kč byl čerpán ve výši 542 312 609,24 Kč, tj. na 96,7 %.</w:t>
      </w:r>
    </w:p>
    <w:p w14:paraId="03C709A0" w14:textId="77777777" w:rsidR="00D158B8" w:rsidRPr="00FA32E7" w:rsidRDefault="00D158B8" w:rsidP="00D158B8">
      <w:pPr>
        <w:spacing w:after="0" w:line="240" w:lineRule="auto"/>
        <w:jc w:val="both"/>
        <w:rPr>
          <w:rFonts w:cstheme="minorHAnsi"/>
          <w:color w:val="000000" w:themeColor="text1"/>
        </w:rPr>
      </w:pPr>
    </w:p>
    <w:p w14:paraId="05C90496" w14:textId="77777777" w:rsidR="00D158B8" w:rsidRPr="00FA32E7" w:rsidRDefault="00D158B8" w:rsidP="00D158B8">
      <w:pPr>
        <w:spacing w:after="0" w:line="240" w:lineRule="auto"/>
        <w:jc w:val="both"/>
        <w:rPr>
          <w:rFonts w:cstheme="minorHAnsi"/>
          <w:b/>
          <w:color w:val="000000" w:themeColor="text1"/>
        </w:rPr>
      </w:pPr>
      <w:r w:rsidRPr="00FA32E7">
        <w:rPr>
          <w:rFonts w:cstheme="minorHAnsi"/>
          <w:b/>
          <w:color w:val="000000" w:themeColor="text1"/>
        </w:rPr>
        <w:t>§ 6172 – Činnost regionální správy</w:t>
      </w:r>
    </w:p>
    <w:p w14:paraId="0BC1B095" w14:textId="77777777" w:rsidR="00D158B8" w:rsidRPr="00FA32E7" w:rsidRDefault="00D158B8" w:rsidP="00D158B8">
      <w:pPr>
        <w:spacing w:after="0" w:line="240" w:lineRule="auto"/>
        <w:jc w:val="both"/>
        <w:rPr>
          <w:rFonts w:cstheme="minorHAnsi"/>
          <w:b/>
          <w:color w:val="000000" w:themeColor="text1"/>
        </w:rPr>
      </w:pPr>
    </w:p>
    <w:p w14:paraId="209FFF8D" w14:textId="183E6310" w:rsidR="00D158B8" w:rsidRPr="00FA32E7" w:rsidRDefault="00D158B8" w:rsidP="00D158B8">
      <w:pPr>
        <w:spacing w:after="0" w:line="240" w:lineRule="auto"/>
        <w:jc w:val="both"/>
        <w:rPr>
          <w:rFonts w:cstheme="minorHAnsi"/>
          <w:b/>
          <w:color w:val="000000" w:themeColor="text1"/>
        </w:rPr>
      </w:pPr>
      <w:r w:rsidRPr="00FA32E7">
        <w:rPr>
          <w:rFonts w:cstheme="minorHAnsi"/>
          <w:b/>
          <w:color w:val="000000" w:themeColor="text1"/>
        </w:rPr>
        <w:t xml:space="preserve">5011 – </w:t>
      </w:r>
      <w:r w:rsidR="00544B11">
        <w:rPr>
          <w:rFonts w:cstheme="minorHAnsi"/>
          <w:b/>
          <w:color w:val="000000" w:themeColor="text1"/>
        </w:rPr>
        <w:t>p</w:t>
      </w:r>
      <w:r w:rsidRPr="00FA32E7">
        <w:rPr>
          <w:rFonts w:cstheme="minorHAnsi"/>
          <w:b/>
          <w:color w:val="000000" w:themeColor="text1"/>
        </w:rPr>
        <w:t xml:space="preserve">laty zaměstnanců v pracovním poměru </w:t>
      </w:r>
    </w:p>
    <w:p w14:paraId="351B7946" w14:textId="77777777" w:rsidR="00D158B8" w:rsidRPr="00FA32E7" w:rsidRDefault="00D158B8" w:rsidP="00D158B8">
      <w:pPr>
        <w:spacing w:after="0" w:line="240" w:lineRule="auto"/>
        <w:jc w:val="both"/>
        <w:rPr>
          <w:rFonts w:cstheme="minorHAnsi"/>
          <w:color w:val="000000" w:themeColor="text1"/>
        </w:rPr>
      </w:pPr>
      <w:r w:rsidRPr="00FA32E7">
        <w:rPr>
          <w:rFonts w:cstheme="minorHAnsi"/>
          <w:color w:val="000000" w:themeColor="text1"/>
        </w:rPr>
        <w:t xml:space="preserve">Jedná se o platy zaměstnanců v pracovním poměru. </w:t>
      </w:r>
      <w:r>
        <w:rPr>
          <w:rFonts w:cstheme="minorHAnsi"/>
          <w:color w:val="000000" w:themeColor="text1"/>
        </w:rPr>
        <w:t>Schválený rozpočet</w:t>
      </w:r>
      <w:r w:rsidRPr="00FA32E7">
        <w:rPr>
          <w:rFonts w:cstheme="minorHAnsi"/>
          <w:color w:val="000000" w:themeColor="text1"/>
        </w:rPr>
        <w:t xml:space="preserve"> byl navýšen usnesením č. 007-04/2021/ZK ze dne 22. 2. 2021 (navýšení rozpočtu SK o prostředky ze sdílených daní a nevyčerpané prostředky z roku 2020) o 7 000 000,00 Kč a o 3 350 000,00 Kč rozpočtovou úpravou č. 722/14/2021 ze dne 1. 12. 2021 projednanou s ředitelem KÚSK v rámci běžných výdajů kapitoly. Položka byla čerpána ve výši 383 254 945,94 Kč, tj. na 98,4 %. </w:t>
      </w:r>
    </w:p>
    <w:p w14:paraId="7A083CFB" w14:textId="77777777" w:rsidR="00D158B8" w:rsidRPr="00FA32E7" w:rsidRDefault="00D158B8" w:rsidP="00D158B8">
      <w:pPr>
        <w:spacing w:after="0" w:line="240" w:lineRule="auto"/>
        <w:jc w:val="both"/>
        <w:rPr>
          <w:rFonts w:cstheme="minorHAnsi"/>
          <w:color w:val="000000" w:themeColor="text1"/>
        </w:rPr>
      </w:pPr>
    </w:p>
    <w:p w14:paraId="29185F1F" w14:textId="24E65B54" w:rsidR="00D158B8" w:rsidRPr="00FA32E7" w:rsidRDefault="00D158B8" w:rsidP="00D158B8">
      <w:pPr>
        <w:spacing w:after="0" w:line="240" w:lineRule="auto"/>
        <w:jc w:val="both"/>
        <w:rPr>
          <w:rFonts w:cstheme="minorHAnsi"/>
          <w:b/>
          <w:color w:val="000000" w:themeColor="text1"/>
        </w:rPr>
      </w:pPr>
      <w:r w:rsidRPr="00FA32E7">
        <w:rPr>
          <w:rFonts w:cstheme="minorHAnsi"/>
          <w:b/>
          <w:color w:val="000000" w:themeColor="text1"/>
        </w:rPr>
        <w:t xml:space="preserve">5021 – </w:t>
      </w:r>
      <w:r w:rsidR="00544B11">
        <w:rPr>
          <w:rFonts w:cstheme="minorHAnsi"/>
          <w:b/>
          <w:color w:val="000000" w:themeColor="text1"/>
        </w:rPr>
        <w:t>o</w:t>
      </w:r>
      <w:r w:rsidRPr="00FA32E7">
        <w:rPr>
          <w:rFonts w:cstheme="minorHAnsi"/>
          <w:b/>
          <w:color w:val="000000" w:themeColor="text1"/>
        </w:rPr>
        <w:t xml:space="preserve">statní osobní výdaje  </w:t>
      </w:r>
    </w:p>
    <w:p w14:paraId="2705FE82" w14:textId="77777777" w:rsidR="00D158B8" w:rsidRPr="00FA32E7" w:rsidRDefault="00D158B8" w:rsidP="00D158B8">
      <w:pPr>
        <w:spacing w:after="0" w:line="240" w:lineRule="auto"/>
        <w:jc w:val="both"/>
        <w:rPr>
          <w:rFonts w:cstheme="minorHAnsi"/>
          <w:color w:val="000000" w:themeColor="text1"/>
        </w:rPr>
      </w:pPr>
      <w:r w:rsidRPr="00FA32E7">
        <w:rPr>
          <w:rFonts w:cstheme="minorHAnsi"/>
          <w:color w:val="000000" w:themeColor="text1"/>
        </w:rPr>
        <w:t xml:space="preserve">Jedná se především o výplaty odměn podle dohod o pracích konaných mimo pracovní poměr. Schválený rozpočet byl snížen rozpočtovými úpravami projednanými s ředitelem KÚSK v rámci běžných výdajů kapitoly v celkové výši o 3 634 000,00 Kč. Položka byla čerpána ve výši 5 722 601,00 Kč, tj. na 74,6 %. </w:t>
      </w:r>
    </w:p>
    <w:p w14:paraId="2C017754" w14:textId="77777777" w:rsidR="00D158B8" w:rsidRPr="00FA32E7" w:rsidRDefault="00D158B8" w:rsidP="00D158B8">
      <w:pPr>
        <w:spacing w:after="0" w:line="240" w:lineRule="auto"/>
        <w:jc w:val="both"/>
        <w:rPr>
          <w:rFonts w:cstheme="minorHAnsi"/>
          <w:color w:val="000000" w:themeColor="text1"/>
        </w:rPr>
      </w:pPr>
    </w:p>
    <w:p w14:paraId="4F4B8A89" w14:textId="275B2ADF" w:rsidR="00D158B8" w:rsidRPr="00FA32E7" w:rsidRDefault="00D158B8" w:rsidP="00D158B8">
      <w:pPr>
        <w:spacing w:after="0" w:line="240" w:lineRule="auto"/>
        <w:jc w:val="both"/>
        <w:rPr>
          <w:rFonts w:cstheme="minorHAnsi"/>
          <w:bCs/>
          <w:color w:val="000000" w:themeColor="text1"/>
        </w:rPr>
      </w:pPr>
      <w:r w:rsidRPr="00FA32E7">
        <w:rPr>
          <w:rFonts w:cstheme="minorHAnsi"/>
          <w:b/>
          <w:color w:val="000000" w:themeColor="text1"/>
        </w:rPr>
        <w:t xml:space="preserve">5024 – </w:t>
      </w:r>
      <w:r w:rsidR="00544B11">
        <w:rPr>
          <w:rFonts w:cstheme="minorHAnsi"/>
          <w:b/>
          <w:color w:val="000000" w:themeColor="text1"/>
        </w:rPr>
        <w:t>o</w:t>
      </w:r>
      <w:r w:rsidRPr="00FA32E7">
        <w:rPr>
          <w:rFonts w:cstheme="minorHAnsi"/>
          <w:b/>
          <w:color w:val="000000" w:themeColor="text1"/>
        </w:rPr>
        <w:t>dstupné</w:t>
      </w:r>
    </w:p>
    <w:p w14:paraId="200E8C61" w14:textId="54D25062" w:rsidR="00D158B8" w:rsidRPr="00FA32E7" w:rsidRDefault="00D158B8" w:rsidP="00D158B8">
      <w:pPr>
        <w:spacing w:after="0" w:line="240" w:lineRule="auto"/>
        <w:jc w:val="both"/>
        <w:rPr>
          <w:rFonts w:cstheme="minorHAnsi"/>
          <w:bCs/>
          <w:color w:val="000000" w:themeColor="text1"/>
        </w:rPr>
      </w:pPr>
      <w:r w:rsidRPr="00FA32E7">
        <w:rPr>
          <w:rFonts w:cstheme="minorHAnsi"/>
          <w:color w:val="000000" w:themeColor="text1"/>
        </w:rPr>
        <w:t>Upravený rozpočet 600 821,00 Kč byl vytvořen rozpočtovou úpravou projednanou s ředitelem KÚSK v rámci běžných výdajů kapitoly. Jedná se o odstupné vyplacené z důvodu organizačních změn na základě Opatření č. 7/2021, kterým se mění Organizační řád. Položka byla čerpána ve výši 100</w:t>
      </w:r>
      <w:r w:rsidR="00544B11">
        <w:rPr>
          <w:rFonts w:cstheme="minorHAnsi"/>
          <w:color w:val="000000" w:themeColor="text1"/>
        </w:rPr>
        <w:t>,0</w:t>
      </w:r>
      <w:r w:rsidRPr="00FA32E7">
        <w:rPr>
          <w:rFonts w:cstheme="minorHAnsi"/>
          <w:color w:val="000000" w:themeColor="text1"/>
        </w:rPr>
        <w:t> %.</w:t>
      </w:r>
    </w:p>
    <w:p w14:paraId="692C1A36" w14:textId="77777777" w:rsidR="00D158B8" w:rsidRPr="00FA32E7" w:rsidRDefault="00D158B8" w:rsidP="00D158B8">
      <w:pPr>
        <w:spacing w:after="0" w:line="240" w:lineRule="auto"/>
        <w:jc w:val="both"/>
        <w:rPr>
          <w:rFonts w:cstheme="minorHAnsi"/>
          <w:bCs/>
          <w:color w:val="000000" w:themeColor="text1"/>
        </w:rPr>
      </w:pPr>
    </w:p>
    <w:p w14:paraId="5BF67390" w14:textId="6303725E" w:rsidR="00D158B8" w:rsidRPr="00FA32E7" w:rsidRDefault="00D158B8" w:rsidP="00D158B8">
      <w:pPr>
        <w:spacing w:after="0" w:line="240" w:lineRule="auto"/>
        <w:jc w:val="both"/>
        <w:rPr>
          <w:rFonts w:cstheme="minorHAnsi"/>
          <w:b/>
          <w:color w:val="000000" w:themeColor="text1"/>
        </w:rPr>
      </w:pPr>
      <w:r w:rsidRPr="00FA32E7">
        <w:rPr>
          <w:rFonts w:cstheme="minorHAnsi"/>
          <w:b/>
          <w:color w:val="000000" w:themeColor="text1"/>
        </w:rPr>
        <w:t xml:space="preserve">5031 – </w:t>
      </w:r>
      <w:r w:rsidR="00544B11">
        <w:rPr>
          <w:rFonts w:cstheme="minorHAnsi"/>
          <w:b/>
          <w:color w:val="000000" w:themeColor="text1"/>
        </w:rPr>
        <w:t>p</w:t>
      </w:r>
      <w:r w:rsidRPr="00FA32E7">
        <w:rPr>
          <w:rFonts w:cstheme="minorHAnsi"/>
          <w:b/>
          <w:color w:val="000000" w:themeColor="text1"/>
        </w:rPr>
        <w:t xml:space="preserve">ovinné pojistné na sociální zabezpečení  </w:t>
      </w:r>
    </w:p>
    <w:p w14:paraId="18BC5560" w14:textId="77777777" w:rsidR="00D158B8" w:rsidRPr="00FA32E7" w:rsidRDefault="00D158B8" w:rsidP="00D158B8">
      <w:pPr>
        <w:spacing w:after="0" w:line="240" w:lineRule="auto"/>
        <w:jc w:val="both"/>
        <w:rPr>
          <w:rFonts w:cstheme="minorHAnsi"/>
          <w:color w:val="000000" w:themeColor="text1"/>
        </w:rPr>
      </w:pPr>
      <w:r w:rsidRPr="00FA32E7">
        <w:rPr>
          <w:rFonts w:cstheme="minorHAnsi"/>
          <w:color w:val="000000" w:themeColor="text1"/>
        </w:rPr>
        <w:t xml:space="preserve">Schválený rozpočet byl navýšen o 1 800 000,00 Kč usnesením č. 007-04/2021/ZK ze dne 22. 2. 2021 (navýšení rozpočtu Středočeského kraje o prostředky ze sdílených daní a nevyčerpané prostředky z roku 2020) a dále o 832 000,00 Kč rozpočtovou úpravou č. 722/14/2021 ze dne 1. 12. 2021 projednanou s ředitelem KÚSK v rámci běžných výdajů kapitoly. Tato položka byla čerpána ve výši 96 003 341,91 Kč, tj. 92,5 %. Čerpání navazuje procentuálně na rozpočet platů zaměstnanců - položka 5011. </w:t>
      </w:r>
    </w:p>
    <w:p w14:paraId="0C23F33C" w14:textId="77777777" w:rsidR="00D158B8" w:rsidRPr="00FA32E7" w:rsidRDefault="00D158B8" w:rsidP="00D158B8">
      <w:pPr>
        <w:spacing w:after="0" w:line="240" w:lineRule="auto"/>
        <w:jc w:val="both"/>
        <w:rPr>
          <w:rFonts w:cstheme="minorHAnsi"/>
          <w:b/>
          <w:color w:val="000000" w:themeColor="text1"/>
        </w:rPr>
      </w:pPr>
    </w:p>
    <w:p w14:paraId="5A36F07B" w14:textId="4B960219" w:rsidR="00D158B8" w:rsidRPr="00FA32E7" w:rsidRDefault="00D158B8" w:rsidP="00D158B8">
      <w:pPr>
        <w:spacing w:after="0" w:line="240" w:lineRule="auto"/>
        <w:jc w:val="both"/>
        <w:rPr>
          <w:rFonts w:cstheme="minorHAnsi"/>
          <w:b/>
          <w:color w:val="000000" w:themeColor="text1"/>
        </w:rPr>
      </w:pPr>
      <w:r w:rsidRPr="00FA32E7">
        <w:rPr>
          <w:rFonts w:cstheme="minorHAnsi"/>
          <w:b/>
          <w:color w:val="000000" w:themeColor="text1"/>
        </w:rPr>
        <w:t xml:space="preserve">5032 – </w:t>
      </w:r>
      <w:r w:rsidR="00544B11">
        <w:rPr>
          <w:rFonts w:cstheme="minorHAnsi"/>
          <w:b/>
          <w:color w:val="000000" w:themeColor="text1"/>
        </w:rPr>
        <w:t>p</w:t>
      </w:r>
      <w:r w:rsidRPr="00FA32E7">
        <w:rPr>
          <w:rFonts w:cstheme="minorHAnsi"/>
          <w:b/>
          <w:color w:val="000000" w:themeColor="text1"/>
        </w:rPr>
        <w:t xml:space="preserve">ovinné pojistné na zdravotní zabezpečení </w:t>
      </w:r>
    </w:p>
    <w:p w14:paraId="08B4748E" w14:textId="77777777" w:rsidR="00D158B8" w:rsidRPr="00FA32E7" w:rsidRDefault="00D158B8" w:rsidP="00D158B8">
      <w:pPr>
        <w:spacing w:after="0" w:line="240" w:lineRule="auto"/>
        <w:jc w:val="both"/>
        <w:rPr>
          <w:rFonts w:cstheme="minorHAnsi"/>
          <w:color w:val="000000" w:themeColor="text1"/>
        </w:rPr>
      </w:pPr>
      <w:r w:rsidRPr="00FA32E7">
        <w:rPr>
          <w:rFonts w:cstheme="minorHAnsi"/>
          <w:color w:val="000000" w:themeColor="text1"/>
        </w:rPr>
        <w:t xml:space="preserve">Schválený rozpočet byl navýšen o 670 000,00 Kč usnesením č. 007-04/2021/ZK ze dne 22. 2. 2021 (navýšení rozpočtu Středočeského kraje o prostředky ze sdílených daní a nevyčerpané prostředky z roku 2020) a o 303 000,00 Kč rozpočtovou úpravou č. 722/14/2021 ze dne 1. 12. 2021 projednanou s ředitelem KÚSK v rámci běžných výdajů kapitoly. Položka byla čerpána ve výši 35 042 342,18 Kč, tj. na 97,0 %. Čerpání navazuje procentuálně na rozpočet platů zaměstnanců - položka 5011. </w:t>
      </w:r>
    </w:p>
    <w:p w14:paraId="6F81AB78" w14:textId="77777777" w:rsidR="00D158B8" w:rsidRPr="00FA32E7" w:rsidRDefault="00D158B8" w:rsidP="00D158B8">
      <w:pPr>
        <w:spacing w:after="0" w:line="240" w:lineRule="auto"/>
        <w:jc w:val="both"/>
        <w:rPr>
          <w:rFonts w:cstheme="minorHAnsi"/>
          <w:b/>
          <w:color w:val="000000" w:themeColor="text1"/>
        </w:rPr>
      </w:pPr>
    </w:p>
    <w:p w14:paraId="5C9C078A" w14:textId="7CC9BC3F" w:rsidR="00D158B8" w:rsidRPr="00FA32E7" w:rsidRDefault="00D158B8" w:rsidP="00D158B8">
      <w:pPr>
        <w:spacing w:after="0" w:line="240" w:lineRule="auto"/>
        <w:jc w:val="both"/>
        <w:rPr>
          <w:rFonts w:cstheme="minorHAnsi"/>
          <w:b/>
          <w:color w:val="000000" w:themeColor="text1"/>
        </w:rPr>
      </w:pPr>
      <w:r w:rsidRPr="00FA32E7">
        <w:rPr>
          <w:rFonts w:cstheme="minorHAnsi"/>
          <w:b/>
          <w:color w:val="000000" w:themeColor="text1"/>
        </w:rPr>
        <w:t xml:space="preserve">5038 – </w:t>
      </w:r>
      <w:r w:rsidR="00544B11">
        <w:rPr>
          <w:rFonts w:cstheme="minorHAnsi"/>
          <w:b/>
          <w:color w:val="000000" w:themeColor="text1"/>
        </w:rPr>
        <w:t>p</w:t>
      </w:r>
      <w:r w:rsidRPr="00FA32E7">
        <w:rPr>
          <w:rFonts w:cstheme="minorHAnsi"/>
          <w:b/>
          <w:color w:val="000000" w:themeColor="text1"/>
        </w:rPr>
        <w:t xml:space="preserve">ovinné pojistné na úrazové pojištění </w:t>
      </w:r>
    </w:p>
    <w:p w14:paraId="68DA172A" w14:textId="6DA99C97" w:rsidR="00D158B8" w:rsidRPr="00FA32E7" w:rsidRDefault="00D158B8" w:rsidP="00D158B8">
      <w:pPr>
        <w:spacing w:after="0" w:line="240" w:lineRule="auto"/>
        <w:jc w:val="both"/>
        <w:rPr>
          <w:rFonts w:cstheme="minorHAnsi"/>
          <w:color w:val="000000" w:themeColor="text1"/>
        </w:rPr>
      </w:pPr>
      <w:r w:rsidRPr="00FA32E7">
        <w:rPr>
          <w:rFonts w:cstheme="minorHAnsi"/>
          <w:color w:val="000000" w:themeColor="text1"/>
        </w:rPr>
        <w:t>Schválený rozpočet byl navýšen o 30 000,00 Kč usnesením č. 007-04/2021/ZK ze dne 22. 2. 2021 (navýšení rozpočtu Středočeského kraje o prostředky ze sdílených daní a nevyčerpané prostředky z roku 2020), a rozpočtovými úpravami projednanými s ředitelem KÚSK v rámci kapitoly  v celkové výši 45 000,00 Kč. Položka byla čerpána ve výši 1 713 587,99 Kč, tj. na 99,9 %. Čerpání je čtvrtletní, týká se pojistného placeného z titulu odpovědnosti organizace za škodu při pracovním úrazu.</w:t>
      </w:r>
    </w:p>
    <w:p w14:paraId="11B7A4E4" w14:textId="77777777" w:rsidR="00D158B8" w:rsidRPr="00FA32E7" w:rsidRDefault="00D158B8" w:rsidP="00D158B8">
      <w:pPr>
        <w:spacing w:after="0" w:line="240" w:lineRule="auto"/>
        <w:jc w:val="both"/>
        <w:rPr>
          <w:rFonts w:cstheme="minorHAnsi"/>
          <w:color w:val="000000" w:themeColor="text1"/>
        </w:rPr>
      </w:pPr>
    </w:p>
    <w:p w14:paraId="4D3D7141" w14:textId="773355D2" w:rsidR="00D158B8" w:rsidRPr="00FA32E7" w:rsidRDefault="00D158B8" w:rsidP="00D158B8">
      <w:pPr>
        <w:spacing w:after="0" w:line="240" w:lineRule="auto"/>
        <w:jc w:val="both"/>
        <w:rPr>
          <w:rFonts w:cstheme="minorHAnsi"/>
          <w:bCs/>
          <w:color w:val="000000" w:themeColor="text1"/>
        </w:rPr>
      </w:pPr>
      <w:r w:rsidRPr="00FA32E7">
        <w:rPr>
          <w:rFonts w:cstheme="minorHAnsi"/>
          <w:b/>
          <w:color w:val="000000" w:themeColor="text1"/>
        </w:rPr>
        <w:t xml:space="preserve">5042 – </w:t>
      </w:r>
      <w:r w:rsidR="00544B11">
        <w:rPr>
          <w:rFonts w:cstheme="minorHAnsi"/>
          <w:b/>
          <w:color w:val="000000" w:themeColor="text1"/>
        </w:rPr>
        <w:t>o</w:t>
      </w:r>
      <w:r w:rsidRPr="00FA32E7">
        <w:rPr>
          <w:rFonts w:cstheme="minorHAnsi"/>
          <w:b/>
          <w:color w:val="000000" w:themeColor="text1"/>
        </w:rPr>
        <w:t>dměny za užití počítačových programů</w:t>
      </w:r>
    </w:p>
    <w:p w14:paraId="492EADD1" w14:textId="77777777" w:rsidR="00D158B8" w:rsidRPr="00FA32E7" w:rsidRDefault="00D158B8" w:rsidP="00D158B8">
      <w:pPr>
        <w:spacing w:after="0" w:line="240" w:lineRule="auto"/>
        <w:jc w:val="both"/>
        <w:rPr>
          <w:rFonts w:cstheme="minorHAnsi"/>
          <w:bCs/>
          <w:color w:val="000000" w:themeColor="text1"/>
        </w:rPr>
      </w:pPr>
      <w:r w:rsidRPr="00FA32E7">
        <w:rPr>
          <w:rFonts w:cstheme="minorHAnsi"/>
          <w:bCs/>
          <w:color w:val="000000" w:themeColor="text1"/>
        </w:rPr>
        <w:t>U</w:t>
      </w:r>
      <w:r w:rsidRPr="00FA32E7">
        <w:rPr>
          <w:rFonts w:cstheme="minorHAnsi"/>
          <w:color w:val="000000" w:themeColor="text1"/>
        </w:rPr>
        <w:t xml:space="preserve">pravený rozpočet byl vytvořen rozpočtovou úpravou projednanou s ředitelem KÚSK v rámci běžných výdajů kapitoly ve výši 15 000,00 Kč. Položka byla čerpána na registraci do on-line knihovny norem ČSN/ISO v celkové výši 5 000,00 Kč tj. 33,3 %. </w:t>
      </w:r>
    </w:p>
    <w:p w14:paraId="1ECF17A6" w14:textId="77777777" w:rsidR="00D158B8" w:rsidRPr="00FA32E7" w:rsidRDefault="00D158B8" w:rsidP="00D158B8">
      <w:pPr>
        <w:spacing w:after="0" w:line="240" w:lineRule="auto"/>
        <w:jc w:val="both"/>
        <w:rPr>
          <w:rFonts w:cstheme="minorHAnsi"/>
          <w:color w:val="000000" w:themeColor="text1"/>
        </w:rPr>
      </w:pPr>
    </w:p>
    <w:p w14:paraId="09CB044A" w14:textId="7B31B396" w:rsidR="00D158B8" w:rsidRPr="00FA32E7" w:rsidRDefault="00D158B8" w:rsidP="00D158B8">
      <w:pPr>
        <w:spacing w:after="0" w:line="240" w:lineRule="auto"/>
        <w:jc w:val="both"/>
        <w:rPr>
          <w:rFonts w:cstheme="minorHAnsi"/>
          <w:b/>
          <w:color w:val="000000" w:themeColor="text1"/>
        </w:rPr>
      </w:pPr>
      <w:r w:rsidRPr="00FA32E7">
        <w:rPr>
          <w:rFonts w:cstheme="minorHAnsi"/>
          <w:b/>
          <w:color w:val="000000" w:themeColor="text1"/>
        </w:rPr>
        <w:t xml:space="preserve">5136 – </w:t>
      </w:r>
      <w:r w:rsidR="00544B11">
        <w:rPr>
          <w:rFonts w:cstheme="minorHAnsi"/>
          <w:b/>
          <w:color w:val="000000" w:themeColor="text1"/>
        </w:rPr>
        <w:t>k</w:t>
      </w:r>
      <w:r w:rsidRPr="00FA32E7">
        <w:rPr>
          <w:rFonts w:cstheme="minorHAnsi"/>
          <w:b/>
          <w:color w:val="000000" w:themeColor="text1"/>
        </w:rPr>
        <w:t xml:space="preserve">nihy, učební pomůcky a tisk </w:t>
      </w:r>
    </w:p>
    <w:p w14:paraId="4C703B36" w14:textId="77777777" w:rsidR="00D158B8" w:rsidRPr="00FA32E7" w:rsidRDefault="00D158B8" w:rsidP="00D158B8">
      <w:pPr>
        <w:spacing w:after="0" w:line="240" w:lineRule="auto"/>
        <w:jc w:val="both"/>
        <w:rPr>
          <w:rFonts w:cstheme="minorHAnsi"/>
          <w:color w:val="000000" w:themeColor="text1"/>
        </w:rPr>
      </w:pPr>
      <w:r w:rsidRPr="00FA32E7">
        <w:rPr>
          <w:rFonts w:cstheme="minorHAnsi"/>
          <w:color w:val="000000" w:themeColor="text1"/>
        </w:rPr>
        <w:t xml:space="preserve">Při rozpočtu 150 000,00 Kč byla tato položka čerpána ve výši 89 091,00 Kč, tj. na 59,4 %. Položka zahrnuje pořizování učebních pomůcek a odborných knih pro jednotlivé odbory KÚSK. </w:t>
      </w:r>
    </w:p>
    <w:p w14:paraId="089C6687" w14:textId="77777777" w:rsidR="00D158B8" w:rsidRPr="00FA32E7" w:rsidRDefault="00D158B8" w:rsidP="00D158B8">
      <w:pPr>
        <w:spacing w:after="0" w:line="240" w:lineRule="auto"/>
        <w:jc w:val="both"/>
        <w:rPr>
          <w:rFonts w:cstheme="minorHAnsi"/>
          <w:color w:val="000000" w:themeColor="text1"/>
        </w:rPr>
      </w:pPr>
    </w:p>
    <w:p w14:paraId="73160FB3" w14:textId="30599DC2" w:rsidR="00D158B8" w:rsidRPr="00FA32E7" w:rsidRDefault="00D158B8" w:rsidP="00D158B8">
      <w:pPr>
        <w:spacing w:after="0" w:line="240" w:lineRule="auto"/>
        <w:jc w:val="both"/>
        <w:rPr>
          <w:rFonts w:cstheme="minorHAnsi"/>
          <w:color w:val="000000" w:themeColor="text1"/>
        </w:rPr>
      </w:pPr>
      <w:r w:rsidRPr="00FA32E7">
        <w:rPr>
          <w:rFonts w:cstheme="minorHAnsi"/>
          <w:b/>
          <w:color w:val="000000" w:themeColor="text1"/>
        </w:rPr>
        <w:t xml:space="preserve">5167 – </w:t>
      </w:r>
      <w:r w:rsidR="00544B11">
        <w:rPr>
          <w:rFonts w:cstheme="minorHAnsi"/>
          <w:b/>
          <w:color w:val="000000" w:themeColor="text1"/>
        </w:rPr>
        <w:t>s</w:t>
      </w:r>
      <w:r w:rsidRPr="00FA32E7">
        <w:rPr>
          <w:rFonts w:cstheme="minorHAnsi"/>
          <w:b/>
          <w:color w:val="000000" w:themeColor="text1"/>
        </w:rPr>
        <w:t>lužby školení a vzdělávání</w:t>
      </w:r>
      <w:r w:rsidRPr="00FA32E7">
        <w:rPr>
          <w:rFonts w:cstheme="minorHAnsi"/>
          <w:color w:val="000000" w:themeColor="text1"/>
        </w:rPr>
        <w:t xml:space="preserve"> </w:t>
      </w:r>
    </w:p>
    <w:p w14:paraId="30652AE2" w14:textId="77777777" w:rsidR="00D158B8" w:rsidRPr="00FA32E7" w:rsidRDefault="00D158B8" w:rsidP="00D158B8">
      <w:pPr>
        <w:spacing w:after="0" w:line="240" w:lineRule="auto"/>
        <w:jc w:val="both"/>
        <w:rPr>
          <w:rFonts w:cstheme="minorHAnsi"/>
          <w:color w:val="000000" w:themeColor="text1"/>
        </w:rPr>
      </w:pPr>
      <w:r w:rsidRPr="00FA32E7">
        <w:rPr>
          <w:rFonts w:cstheme="minorHAnsi"/>
          <w:color w:val="000000" w:themeColor="text1"/>
        </w:rPr>
        <w:t>Schválený rozpočet byl snížen rozpočtovými úpravami projednanými s ředitelem KÚSK v rámci běžných výdajů kapitoly celkově o 9</w:t>
      </w:r>
      <w:r>
        <w:rPr>
          <w:rFonts w:cstheme="minorHAnsi"/>
          <w:color w:val="000000" w:themeColor="text1"/>
        </w:rPr>
        <w:t>45</w:t>
      </w:r>
      <w:r w:rsidRPr="00FA32E7">
        <w:rPr>
          <w:rFonts w:cstheme="minorHAnsi"/>
          <w:color w:val="000000" w:themeColor="text1"/>
        </w:rPr>
        <w:t> 821,00 Kč. Položka zabezpečuje povinné vzdělávání úředníků na základě zákona č. 312/2002 Sb., o úřednících územních samosprávných celků, v platném znění - vstupní vzdělávání, vzdělávání vedoucích úředníků, zkoušky zvláštní odborné způsobilosti a průběžné vzdělávání. V rámci průběžného vzdělávání je to proškolování k novým právním předpisům, školení a semináře zaměřené na potřeby zaměstnanců jednotlivých odborů. Položka byla čerpána ve výši 1 357 930,02 Kč, tj. na 66,1 %.</w:t>
      </w:r>
    </w:p>
    <w:p w14:paraId="342AE676" w14:textId="77777777" w:rsidR="00D158B8" w:rsidRPr="00FA32E7" w:rsidRDefault="00D158B8" w:rsidP="00D158B8">
      <w:pPr>
        <w:spacing w:after="0" w:line="240" w:lineRule="auto"/>
        <w:jc w:val="both"/>
        <w:rPr>
          <w:rFonts w:cstheme="minorHAnsi"/>
          <w:color w:val="000000" w:themeColor="text1"/>
        </w:rPr>
      </w:pPr>
    </w:p>
    <w:p w14:paraId="6CD805D8" w14:textId="7395A21F" w:rsidR="00D158B8" w:rsidRPr="00FA32E7" w:rsidRDefault="00D158B8" w:rsidP="00D158B8">
      <w:pPr>
        <w:spacing w:after="0" w:line="240" w:lineRule="auto"/>
        <w:jc w:val="both"/>
        <w:rPr>
          <w:rFonts w:cstheme="minorHAnsi"/>
          <w:b/>
          <w:color w:val="000000" w:themeColor="text1"/>
        </w:rPr>
      </w:pPr>
      <w:r w:rsidRPr="00FA32E7">
        <w:rPr>
          <w:rFonts w:cstheme="minorHAnsi"/>
          <w:b/>
          <w:color w:val="000000" w:themeColor="text1"/>
        </w:rPr>
        <w:t xml:space="preserve">5168 – </w:t>
      </w:r>
      <w:r w:rsidR="00544B11">
        <w:rPr>
          <w:rFonts w:cstheme="minorHAnsi"/>
          <w:b/>
          <w:color w:val="000000" w:themeColor="text1"/>
        </w:rPr>
        <w:t>z</w:t>
      </w:r>
      <w:r w:rsidRPr="00FA32E7">
        <w:rPr>
          <w:rFonts w:cstheme="minorHAnsi"/>
          <w:b/>
          <w:color w:val="000000" w:themeColor="text1"/>
        </w:rPr>
        <w:t xml:space="preserve">pracování dat a služby související s informačními a komunikačními technologiemi </w:t>
      </w:r>
    </w:p>
    <w:p w14:paraId="36652C86" w14:textId="77777777" w:rsidR="00D158B8" w:rsidRPr="00FA32E7" w:rsidRDefault="00D158B8" w:rsidP="00D158B8">
      <w:pPr>
        <w:spacing w:after="0" w:line="240" w:lineRule="auto"/>
        <w:jc w:val="both"/>
        <w:rPr>
          <w:rFonts w:cstheme="minorHAnsi"/>
          <w:color w:val="000000" w:themeColor="text1"/>
        </w:rPr>
      </w:pPr>
      <w:r w:rsidRPr="00FA32E7">
        <w:rPr>
          <w:rFonts w:cstheme="minorHAnsi"/>
          <w:color w:val="000000" w:themeColor="text1"/>
        </w:rPr>
        <w:t>Upravený rozpočet 100 000,00 Kč byl vytvořen rozpočtovou úpravou v rámci kapitoly 14 – Řízení lidských zdrojů projednanou s ředitelem KÚSK. Finanční prostředky byly čerpány na softwarové zpracování interního školení pro portál na webu RENTEL a registrace na portálech Obecuctuje a POuctuje. Položka čerpána ve výši 33 900,00 Kč, tj. na 33,9 %.</w:t>
      </w:r>
    </w:p>
    <w:p w14:paraId="6269F0A9" w14:textId="77777777" w:rsidR="00D158B8" w:rsidRPr="00FA32E7" w:rsidRDefault="00D158B8" w:rsidP="00D158B8">
      <w:pPr>
        <w:spacing w:after="0" w:line="240" w:lineRule="auto"/>
        <w:jc w:val="both"/>
        <w:rPr>
          <w:rFonts w:cstheme="minorHAnsi"/>
          <w:color w:val="000000" w:themeColor="text1"/>
        </w:rPr>
      </w:pPr>
    </w:p>
    <w:p w14:paraId="15427763" w14:textId="25FF0B46" w:rsidR="00D158B8" w:rsidRPr="00FA32E7" w:rsidRDefault="00D158B8" w:rsidP="00D158B8">
      <w:pPr>
        <w:spacing w:after="0" w:line="240" w:lineRule="auto"/>
        <w:jc w:val="both"/>
        <w:rPr>
          <w:rFonts w:cstheme="minorHAnsi"/>
          <w:color w:val="000000" w:themeColor="text1"/>
        </w:rPr>
      </w:pPr>
      <w:r w:rsidRPr="00FA32E7">
        <w:rPr>
          <w:rFonts w:cstheme="minorHAnsi"/>
          <w:b/>
          <w:color w:val="000000" w:themeColor="text1"/>
        </w:rPr>
        <w:t xml:space="preserve">5169 – </w:t>
      </w:r>
      <w:r w:rsidR="00544B11">
        <w:rPr>
          <w:rFonts w:cstheme="minorHAnsi"/>
          <w:b/>
          <w:color w:val="000000" w:themeColor="text1"/>
        </w:rPr>
        <w:t>n</w:t>
      </w:r>
      <w:r w:rsidRPr="00FA32E7">
        <w:rPr>
          <w:rFonts w:cstheme="minorHAnsi"/>
          <w:b/>
          <w:color w:val="000000" w:themeColor="text1"/>
        </w:rPr>
        <w:t>ákup ostatních služeb</w:t>
      </w:r>
      <w:r w:rsidRPr="00FA32E7">
        <w:rPr>
          <w:rFonts w:cstheme="minorHAnsi"/>
          <w:color w:val="000000" w:themeColor="text1"/>
        </w:rPr>
        <w:t xml:space="preserve"> </w:t>
      </w:r>
    </w:p>
    <w:p w14:paraId="31EACB56" w14:textId="3F281257" w:rsidR="00D158B8" w:rsidRPr="00FA32E7" w:rsidRDefault="00D158B8" w:rsidP="00D158B8">
      <w:pPr>
        <w:spacing w:after="0" w:line="240" w:lineRule="auto"/>
        <w:jc w:val="both"/>
        <w:rPr>
          <w:rFonts w:cstheme="minorHAnsi"/>
          <w:color w:val="000000" w:themeColor="text1"/>
        </w:rPr>
      </w:pPr>
      <w:r w:rsidRPr="00FA32E7">
        <w:rPr>
          <w:rFonts w:cstheme="minorHAnsi"/>
          <w:color w:val="000000" w:themeColor="text1"/>
        </w:rPr>
        <w:t>Schválený rozpočet 140 000,00 Kč byl navýšen o 200 000,00 Kč rozpočtovými úpravami v</w:t>
      </w:r>
      <w:r w:rsidR="005D31AE">
        <w:rPr>
          <w:rFonts w:cstheme="minorHAnsi"/>
          <w:color w:val="000000" w:themeColor="text1"/>
        </w:rPr>
        <w:t> </w:t>
      </w:r>
      <w:r w:rsidRPr="00FA32E7">
        <w:rPr>
          <w:rFonts w:cstheme="minorHAnsi"/>
          <w:color w:val="000000" w:themeColor="text1"/>
        </w:rPr>
        <w:t>rámci</w:t>
      </w:r>
      <w:r>
        <w:rPr>
          <w:rFonts w:cstheme="minorHAnsi"/>
          <w:color w:val="000000" w:themeColor="text1"/>
        </w:rPr>
        <w:t xml:space="preserve"> běžných výdajů </w:t>
      </w:r>
      <w:r w:rsidRPr="00FA32E7">
        <w:rPr>
          <w:rFonts w:cstheme="minorHAnsi"/>
          <w:color w:val="000000" w:themeColor="text1"/>
        </w:rPr>
        <w:t xml:space="preserve">kapitoly 14 – Řízení lidských zdrojů projednanými s ředitelem KÚSK. Z rozpočtové položky je hrazena např. inzerce a hodnotící dotazník. Položka byla čerpána ve výši 331 166,60 Kč, tj. na 97,4 %. </w:t>
      </w:r>
    </w:p>
    <w:p w14:paraId="178768D4" w14:textId="77777777" w:rsidR="00D158B8" w:rsidRPr="00FA32E7" w:rsidRDefault="00D158B8" w:rsidP="00D158B8">
      <w:pPr>
        <w:spacing w:after="0" w:line="240" w:lineRule="auto"/>
        <w:jc w:val="both"/>
        <w:rPr>
          <w:rFonts w:cstheme="minorHAnsi"/>
          <w:color w:val="000000" w:themeColor="text1"/>
        </w:rPr>
      </w:pPr>
    </w:p>
    <w:p w14:paraId="40CD448A" w14:textId="3A81F8CA" w:rsidR="00D158B8" w:rsidRPr="00FA32E7" w:rsidRDefault="00D158B8" w:rsidP="00D158B8">
      <w:pPr>
        <w:spacing w:after="0" w:line="240" w:lineRule="auto"/>
        <w:jc w:val="both"/>
        <w:rPr>
          <w:rFonts w:cstheme="minorHAnsi"/>
          <w:color w:val="000000" w:themeColor="text1"/>
        </w:rPr>
      </w:pPr>
      <w:r w:rsidRPr="00FA32E7">
        <w:rPr>
          <w:rFonts w:cstheme="minorHAnsi"/>
          <w:b/>
          <w:color w:val="000000" w:themeColor="text1"/>
        </w:rPr>
        <w:t xml:space="preserve">5176 – </w:t>
      </w:r>
      <w:r w:rsidR="00544B11">
        <w:rPr>
          <w:rFonts w:cstheme="minorHAnsi"/>
          <w:b/>
          <w:color w:val="000000" w:themeColor="text1"/>
        </w:rPr>
        <w:t>ú</w:t>
      </w:r>
      <w:r w:rsidRPr="00FA32E7">
        <w:rPr>
          <w:rFonts w:cstheme="minorHAnsi"/>
          <w:b/>
          <w:color w:val="000000" w:themeColor="text1"/>
        </w:rPr>
        <w:t>častnické poplatky na konference</w:t>
      </w:r>
      <w:r w:rsidRPr="00FA32E7">
        <w:rPr>
          <w:rFonts w:cstheme="minorHAnsi"/>
          <w:color w:val="000000" w:themeColor="text1"/>
        </w:rPr>
        <w:t xml:space="preserve"> </w:t>
      </w:r>
    </w:p>
    <w:p w14:paraId="1DCB2C77" w14:textId="77777777" w:rsidR="00D158B8" w:rsidRPr="00FA32E7" w:rsidRDefault="00D158B8" w:rsidP="00D158B8">
      <w:pPr>
        <w:spacing w:after="0" w:line="240" w:lineRule="auto"/>
        <w:jc w:val="both"/>
        <w:rPr>
          <w:rFonts w:cstheme="minorHAnsi"/>
          <w:color w:val="000000" w:themeColor="text1"/>
        </w:rPr>
      </w:pPr>
      <w:r w:rsidRPr="00FA32E7">
        <w:rPr>
          <w:rFonts w:cstheme="minorHAnsi"/>
          <w:color w:val="000000" w:themeColor="text1"/>
        </w:rPr>
        <w:t xml:space="preserve">Při schváleném rozpočtu 200 000,00 Kč bylo čerpáno ve výši 28 566,00 Kč, tj. na 14,3 %. </w:t>
      </w:r>
    </w:p>
    <w:p w14:paraId="16758BE7" w14:textId="77777777" w:rsidR="00D158B8" w:rsidRPr="00FA32E7" w:rsidRDefault="00D158B8" w:rsidP="00D158B8">
      <w:pPr>
        <w:spacing w:after="0" w:line="240" w:lineRule="auto"/>
        <w:jc w:val="both"/>
        <w:rPr>
          <w:rFonts w:cstheme="minorHAnsi"/>
          <w:b/>
          <w:color w:val="000000" w:themeColor="text1"/>
        </w:rPr>
      </w:pPr>
    </w:p>
    <w:p w14:paraId="3684D903" w14:textId="49F6947A" w:rsidR="00D158B8" w:rsidRPr="00FA32E7" w:rsidRDefault="00D158B8" w:rsidP="00D158B8">
      <w:pPr>
        <w:spacing w:after="0" w:line="240" w:lineRule="auto"/>
        <w:jc w:val="both"/>
        <w:rPr>
          <w:rFonts w:cstheme="minorHAnsi"/>
          <w:color w:val="000000" w:themeColor="text1"/>
        </w:rPr>
      </w:pPr>
      <w:r w:rsidRPr="00FA32E7">
        <w:rPr>
          <w:rFonts w:cstheme="minorHAnsi"/>
          <w:b/>
          <w:color w:val="000000" w:themeColor="text1"/>
        </w:rPr>
        <w:t xml:space="preserve">5424 – </w:t>
      </w:r>
      <w:r w:rsidR="00544B11">
        <w:rPr>
          <w:rFonts w:cstheme="minorHAnsi"/>
          <w:b/>
          <w:color w:val="000000" w:themeColor="text1"/>
        </w:rPr>
        <w:t>n</w:t>
      </w:r>
      <w:r w:rsidRPr="00FA32E7">
        <w:rPr>
          <w:rFonts w:cstheme="minorHAnsi"/>
          <w:b/>
          <w:color w:val="000000" w:themeColor="text1"/>
        </w:rPr>
        <w:t>áhrady mezd v době nemoci</w:t>
      </w:r>
      <w:r w:rsidRPr="00FA32E7">
        <w:rPr>
          <w:rFonts w:cstheme="minorHAnsi"/>
          <w:color w:val="000000" w:themeColor="text1"/>
        </w:rPr>
        <w:t xml:space="preserve"> </w:t>
      </w:r>
    </w:p>
    <w:p w14:paraId="2186157E" w14:textId="77777777" w:rsidR="00D158B8" w:rsidRPr="00FA32E7" w:rsidRDefault="00D158B8" w:rsidP="00D158B8">
      <w:pPr>
        <w:spacing w:after="0" w:line="240" w:lineRule="auto"/>
        <w:jc w:val="both"/>
        <w:rPr>
          <w:rFonts w:cstheme="minorHAnsi"/>
          <w:color w:val="000000" w:themeColor="text1"/>
        </w:rPr>
      </w:pPr>
      <w:r w:rsidRPr="00FA32E7">
        <w:rPr>
          <w:rFonts w:cstheme="minorHAnsi"/>
          <w:color w:val="000000" w:themeColor="text1"/>
        </w:rPr>
        <w:t xml:space="preserve">Schválený rozpočet byl navýšen o 700 000,00 Kč usnesením č. 007-04/2021/ZK ze dne 22. 2. 2021 (navýšení rozpočtu SK o prostředky ze sdílených daní a nevyčerpané prostředky z roku 2020) a dále rozpočtovou úpravou projednanou s ředitelem KÚSK v rámci běžných výdajů kapitoly snížen o 1 000 000,00 Kč.  Položka byla čerpána ve výši 2 498 605,60 Kč, tj. na 92,5 %. </w:t>
      </w:r>
    </w:p>
    <w:p w14:paraId="2FF34E9A" w14:textId="77777777" w:rsidR="00D158B8" w:rsidRPr="00FA32E7" w:rsidRDefault="00D158B8" w:rsidP="00D158B8">
      <w:pPr>
        <w:spacing w:after="0" w:line="240" w:lineRule="auto"/>
        <w:jc w:val="both"/>
        <w:rPr>
          <w:rFonts w:cstheme="minorHAnsi"/>
          <w:b/>
          <w:color w:val="000000" w:themeColor="text1"/>
        </w:rPr>
      </w:pPr>
    </w:p>
    <w:p w14:paraId="241B3CE5" w14:textId="674422D3" w:rsidR="00D158B8" w:rsidRPr="00FA32E7" w:rsidRDefault="00D158B8" w:rsidP="00D158B8">
      <w:pPr>
        <w:spacing w:after="0" w:line="240" w:lineRule="auto"/>
        <w:jc w:val="both"/>
        <w:rPr>
          <w:rFonts w:cstheme="minorHAnsi"/>
          <w:b/>
          <w:color w:val="000000" w:themeColor="text1"/>
        </w:rPr>
      </w:pPr>
      <w:r w:rsidRPr="00FA32E7">
        <w:rPr>
          <w:rFonts w:cstheme="minorHAnsi"/>
          <w:b/>
          <w:color w:val="000000" w:themeColor="text1"/>
        </w:rPr>
        <w:t xml:space="preserve">5811 – </w:t>
      </w:r>
      <w:r w:rsidR="00544B11">
        <w:rPr>
          <w:rFonts w:cstheme="minorHAnsi"/>
          <w:b/>
          <w:color w:val="000000" w:themeColor="text1"/>
        </w:rPr>
        <w:t>v</w:t>
      </w:r>
      <w:r w:rsidRPr="00FA32E7">
        <w:rPr>
          <w:rFonts w:cstheme="minorHAnsi"/>
          <w:b/>
          <w:color w:val="000000" w:themeColor="text1"/>
        </w:rPr>
        <w:t xml:space="preserve">ýdaje na náhrady za nezpůsobenou újmu </w:t>
      </w:r>
    </w:p>
    <w:p w14:paraId="43FBD397" w14:textId="77777777" w:rsidR="00D158B8" w:rsidRPr="00FA32E7" w:rsidRDefault="00D158B8" w:rsidP="00D158B8">
      <w:pPr>
        <w:spacing w:after="0" w:line="240" w:lineRule="auto"/>
        <w:jc w:val="both"/>
        <w:rPr>
          <w:rFonts w:cstheme="minorHAnsi"/>
          <w:color w:val="000000" w:themeColor="text1"/>
        </w:rPr>
      </w:pPr>
      <w:r w:rsidRPr="00FA32E7">
        <w:rPr>
          <w:rFonts w:cstheme="minorHAnsi"/>
          <w:color w:val="000000" w:themeColor="text1"/>
        </w:rPr>
        <w:t>Jedná se o prostředky na výplatu rent, které přešly na kraj již při jeho zřízení z důvodu zrušení nemocnice v Příbrami. Položka byla čerpána ve výši 54 710,00 Kč, tj. na 68,4 %.</w:t>
      </w:r>
    </w:p>
    <w:p w14:paraId="72E8C3DE" w14:textId="77777777" w:rsidR="00D158B8" w:rsidRPr="00FA32E7" w:rsidRDefault="00D158B8" w:rsidP="00D158B8">
      <w:pPr>
        <w:spacing w:after="0" w:line="240" w:lineRule="auto"/>
        <w:jc w:val="both"/>
        <w:rPr>
          <w:rFonts w:cstheme="minorHAnsi"/>
          <w:b/>
          <w:color w:val="000000" w:themeColor="text1"/>
        </w:rPr>
      </w:pPr>
    </w:p>
    <w:p w14:paraId="66AF1ED9" w14:textId="77777777" w:rsidR="00D158B8" w:rsidRPr="00FA32E7" w:rsidRDefault="00D158B8" w:rsidP="00D158B8">
      <w:pPr>
        <w:spacing w:after="0" w:line="240" w:lineRule="auto"/>
        <w:jc w:val="both"/>
        <w:rPr>
          <w:rFonts w:cstheme="minorHAnsi"/>
          <w:b/>
          <w:color w:val="000000" w:themeColor="text1"/>
        </w:rPr>
      </w:pPr>
      <w:r w:rsidRPr="00FA32E7">
        <w:rPr>
          <w:rFonts w:cstheme="minorHAnsi"/>
          <w:b/>
          <w:color w:val="000000" w:themeColor="text1"/>
        </w:rPr>
        <w:t>§ 6330 – Převody vlastním fondům v rozpočtech územní úrovně</w:t>
      </w:r>
    </w:p>
    <w:p w14:paraId="673F46C4" w14:textId="77777777" w:rsidR="00D158B8" w:rsidRPr="00FA32E7" w:rsidRDefault="00D158B8" w:rsidP="00D158B8">
      <w:pPr>
        <w:spacing w:after="0" w:line="240" w:lineRule="auto"/>
        <w:jc w:val="both"/>
        <w:rPr>
          <w:rFonts w:cstheme="minorHAnsi"/>
          <w:b/>
          <w:color w:val="000000" w:themeColor="text1"/>
        </w:rPr>
      </w:pPr>
    </w:p>
    <w:p w14:paraId="018AC88A" w14:textId="19716C8B" w:rsidR="00D158B8" w:rsidRPr="00FA32E7" w:rsidRDefault="00D158B8" w:rsidP="00D158B8">
      <w:pPr>
        <w:spacing w:after="0" w:line="240" w:lineRule="auto"/>
        <w:jc w:val="both"/>
        <w:rPr>
          <w:rFonts w:cstheme="minorHAnsi"/>
          <w:color w:val="000000" w:themeColor="text1"/>
        </w:rPr>
      </w:pPr>
      <w:r w:rsidRPr="00FA32E7">
        <w:rPr>
          <w:rFonts w:cstheme="minorHAnsi"/>
          <w:b/>
          <w:color w:val="000000" w:themeColor="text1"/>
        </w:rPr>
        <w:t xml:space="preserve">5342 – </w:t>
      </w:r>
      <w:r w:rsidR="00544B11">
        <w:rPr>
          <w:rFonts w:cstheme="minorHAnsi"/>
          <w:b/>
          <w:color w:val="000000" w:themeColor="text1"/>
        </w:rPr>
        <w:t>z</w:t>
      </w:r>
      <w:r w:rsidRPr="00FA32E7">
        <w:rPr>
          <w:rFonts w:cstheme="minorHAnsi"/>
          <w:b/>
          <w:color w:val="000000" w:themeColor="text1"/>
        </w:rPr>
        <w:t>ákladní příděl FKSP a Sociálnímu fondu obcí a krajů</w:t>
      </w:r>
    </w:p>
    <w:p w14:paraId="443C08DC" w14:textId="2F5DD1D6" w:rsidR="00D158B8" w:rsidRPr="00FA32E7" w:rsidRDefault="00D158B8" w:rsidP="00D158B8">
      <w:pPr>
        <w:spacing w:after="0" w:line="240" w:lineRule="auto"/>
        <w:jc w:val="both"/>
        <w:rPr>
          <w:rFonts w:cstheme="minorHAnsi"/>
          <w:color w:val="000000" w:themeColor="text1"/>
        </w:rPr>
      </w:pPr>
      <w:r w:rsidRPr="00FA32E7">
        <w:rPr>
          <w:rFonts w:cstheme="minorHAnsi"/>
          <w:color w:val="000000" w:themeColor="text1"/>
        </w:rPr>
        <w:t>Základní příděl do Sociálního fondu. Upravený rozpočet je tvořen rozpočtovanou výší mzdových prostředků dle schválených pravidel tvorby Sociálního fondu, tj. 4,0 % objemu mzdových prostředků. Upravený rozpočet 15 576 000,00 Kč, který byl vytvořen usnesením č. 059-05/2021/RK ze dne 4. 2. 2021 (rozpočet Sociálního fondu Středočeského kraje na rok 2021 a převody Sociálnímu fondu za kapitolu 01 a kapitolu 14), usnesením č. 040-14/2021/RK ze dne 25. 3. 2021 (navýšení rozpočtu kapitoly 20 – Sociální fond z důvodu navýšení mzdových prostředků v kapitole 14 – Řízení lidských zdrojů) a usnesením č. 118-47/2021/RK ze dne 16. 12. 2021, byl čerpán ve výši přídělů na 1. - 4. čtvrtletí roku 2021 v částce 15 576 000,00 Kč, tj. 100,0 %.</w:t>
      </w:r>
    </w:p>
    <w:p w14:paraId="4E2CB8A3" w14:textId="77777777" w:rsidR="00D158B8" w:rsidRPr="00FA32E7" w:rsidRDefault="00D158B8" w:rsidP="00D158B8">
      <w:pPr>
        <w:spacing w:after="0" w:line="240" w:lineRule="auto"/>
        <w:jc w:val="both"/>
        <w:rPr>
          <w:rFonts w:cstheme="minorHAnsi"/>
          <w:color w:val="000000" w:themeColor="text1"/>
        </w:rPr>
      </w:pPr>
    </w:p>
    <w:p w14:paraId="24B42CEB" w14:textId="77777777" w:rsidR="00D158B8" w:rsidRPr="00FA32E7" w:rsidRDefault="00D158B8" w:rsidP="00D158B8">
      <w:pPr>
        <w:spacing w:after="0" w:line="240" w:lineRule="auto"/>
        <w:jc w:val="both"/>
        <w:rPr>
          <w:rFonts w:cstheme="minorHAnsi"/>
          <w:b/>
          <w:color w:val="000000" w:themeColor="text1"/>
        </w:rPr>
      </w:pPr>
      <w:r w:rsidRPr="00FA32E7">
        <w:rPr>
          <w:rFonts w:cstheme="minorHAnsi"/>
          <w:b/>
          <w:color w:val="000000" w:themeColor="text1"/>
        </w:rPr>
        <w:t>§ 6409 – Ostatní činnosti jinde nezařazené</w:t>
      </w:r>
    </w:p>
    <w:p w14:paraId="2F2BF5D5" w14:textId="77777777" w:rsidR="00D158B8" w:rsidRPr="00FA32E7" w:rsidRDefault="00D158B8" w:rsidP="00D158B8">
      <w:pPr>
        <w:spacing w:after="0" w:line="240" w:lineRule="auto"/>
        <w:jc w:val="both"/>
        <w:rPr>
          <w:rFonts w:cstheme="minorHAnsi"/>
          <w:b/>
          <w:color w:val="000000" w:themeColor="text1"/>
        </w:rPr>
      </w:pPr>
    </w:p>
    <w:p w14:paraId="4482CAA4" w14:textId="04CBC628" w:rsidR="00D158B8" w:rsidRPr="00FA32E7" w:rsidRDefault="00D158B8" w:rsidP="00D158B8">
      <w:pPr>
        <w:spacing w:after="0" w:line="240" w:lineRule="auto"/>
        <w:jc w:val="both"/>
        <w:rPr>
          <w:rFonts w:cstheme="minorHAnsi"/>
          <w:b/>
          <w:color w:val="000000" w:themeColor="text1"/>
        </w:rPr>
      </w:pPr>
      <w:r w:rsidRPr="00FA32E7">
        <w:rPr>
          <w:rFonts w:cstheme="minorHAnsi"/>
          <w:b/>
          <w:color w:val="000000" w:themeColor="text1"/>
        </w:rPr>
        <w:t xml:space="preserve">5909 – </w:t>
      </w:r>
      <w:r w:rsidR="00544B11">
        <w:rPr>
          <w:rFonts w:cstheme="minorHAnsi"/>
          <w:b/>
          <w:color w:val="000000" w:themeColor="text1"/>
        </w:rPr>
        <w:t>o</w:t>
      </w:r>
      <w:r w:rsidRPr="00FA32E7">
        <w:rPr>
          <w:rFonts w:cstheme="minorHAnsi"/>
          <w:b/>
          <w:color w:val="000000" w:themeColor="text1"/>
        </w:rPr>
        <w:t>statní neinvestiční výdaje jinde nezařazené</w:t>
      </w:r>
    </w:p>
    <w:p w14:paraId="68A4BC62" w14:textId="77777777" w:rsidR="00D158B8" w:rsidRPr="00FA32E7" w:rsidRDefault="00D158B8" w:rsidP="00D158B8">
      <w:pPr>
        <w:spacing w:after="0" w:line="240" w:lineRule="auto"/>
        <w:jc w:val="both"/>
        <w:rPr>
          <w:rFonts w:cstheme="minorHAnsi"/>
          <w:color w:val="000000" w:themeColor="text1"/>
        </w:rPr>
      </w:pPr>
      <w:r w:rsidRPr="00FA32E7">
        <w:rPr>
          <w:rFonts w:cstheme="minorHAnsi"/>
          <w:color w:val="000000" w:themeColor="text1"/>
        </w:rPr>
        <w:t>Schválený rozpočet byl na základě usnesení č. 059-05/2021/RK ze dne 4. 2. 2021 (rozpočet Sociálního fondu Středočeského kraje na rok 2021 a převody Sociálnímu fondu za kapitolu 01 a kapitolu 14) převeden do rozpočtu na paragraf 6330, ze kterého se provádí čtvrtletní odvody do Sociálního fondu.</w:t>
      </w:r>
    </w:p>
    <w:p w14:paraId="12DBEE65" w14:textId="77777777" w:rsidR="00D158B8" w:rsidRPr="00FA32E7" w:rsidRDefault="00D158B8" w:rsidP="00D158B8">
      <w:pPr>
        <w:spacing w:after="0" w:line="240" w:lineRule="auto"/>
        <w:jc w:val="both"/>
        <w:rPr>
          <w:rFonts w:cstheme="minorHAnsi"/>
          <w:color w:val="000000" w:themeColor="text1"/>
        </w:rPr>
      </w:pPr>
    </w:p>
    <w:p w14:paraId="1A5556A9" w14:textId="77777777" w:rsidR="00D158B8" w:rsidRPr="00FA32E7" w:rsidRDefault="00D158B8" w:rsidP="00D158B8">
      <w:pPr>
        <w:rPr>
          <w:color w:val="000000" w:themeColor="text1"/>
        </w:rPr>
      </w:pPr>
    </w:p>
    <w:p w14:paraId="1BB5408E" w14:textId="56EA4D30" w:rsidR="00D158B8" w:rsidRDefault="00D158B8" w:rsidP="00D158B8">
      <w:pPr>
        <w:rPr>
          <w:rFonts w:ascii="Calibri" w:hAnsi="Calibri" w:cs="Calibri"/>
        </w:rPr>
      </w:pPr>
    </w:p>
    <w:p w14:paraId="75A00253" w14:textId="16862CD5" w:rsidR="00D158B8" w:rsidRDefault="00D158B8" w:rsidP="00D158B8">
      <w:pPr>
        <w:rPr>
          <w:rFonts w:ascii="Calibri" w:hAnsi="Calibri" w:cs="Calibri"/>
        </w:rPr>
      </w:pPr>
    </w:p>
    <w:p w14:paraId="34729277" w14:textId="2A69A3B7" w:rsidR="00D158B8" w:rsidRDefault="00D158B8" w:rsidP="00D158B8">
      <w:pPr>
        <w:rPr>
          <w:rFonts w:ascii="Calibri" w:hAnsi="Calibri" w:cs="Calibri"/>
        </w:rPr>
      </w:pPr>
    </w:p>
    <w:p w14:paraId="31BA7E12" w14:textId="2B7C612B" w:rsidR="00D158B8" w:rsidRDefault="00D158B8" w:rsidP="00D158B8">
      <w:pPr>
        <w:rPr>
          <w:rFonts w:ascii="Calibri" w:hAnsi="Calibri" w:cs="Calibri"/>
        </w:rPr>
      </w:pPr>
    </w:p>
    <w:p w14:paraId="5DA87E6B" w14:textId="2406B9DF" w:rsidR="00E363C7" w:rsidRDefault="00E363C7" w:rsidP="00D158B8">
      <w:pPr>
        <w:rPr>
          <w:rFonts w:ascii="Calibri" w:hAnsi="Calibri" w:cs="Calibri"/>
        </w:rPr>
      </w:pPr>
    </w:p>
    <w:p w14:paraId="3115622D" w14:textId="1C641ABD" w:rsidR="00E363C7" w:rsidRDefault="00E363C7" w:rsidP="00D158B8">
      <w:pPr>
        <w:rPr>
          <w:rFonts w:ascii="Calibri" w:hAnsi="Calibri" w:cs="Calibri"/>
        </w:rPr>
      </w:pPr>
    </w:p>
    <w:p w14:paraId="47627597" w14:textId="2745ECC9" w:rsidR="00E363C7" w:rsidRDefault="00E363C7" w:rsidP="00D158B8">
      <w:pPr>
        <w:rPr>
          <w:rFonts w:ascii="Calibri" w:hAnsi="Calibri" w:cs="Calibri"/>
        </w:rPr>
      </w:pPr>
    </w:p>
    <w:p w14:paraId="4099A712" w14:textId="61AB4563" w:rsidR="00E363C7" w:rsidRDefault="00E363C7" w:rsidP="00D158B8">
      <w:pPr>
        <w:rPr>
          <w:rFonts w:ascii="Calibri" w:hAnsi="Calibri" w:cs="Calibri"/>
        </w:rPr>
      </w:pPr>
    </w:p>
    <w:p w14:paraId="0291DDBB" w14:textId="30F3FE97" w:rsidR="00E363C7" w:rsidRDefault="00E363C7" w:rsidP="00D158B8">
      <w:pPr>
        <w:rPr>
          <w:rFonts w:ascii="Calibri" w:hAnsi="Calibri" w:cs="Calibri"/>
        </w:rPr>
      </w:pPr>
    </w:p>
    <w:p w14:paraId="1B7AAE6B" w14:textId="4C81F4E5" w:rsidR="00E363C7" w:rsidRDefault="00E363C7" w:rsidP="00D158B8">
      <w:pPr>
        <w:rPr>
          <w:rFonts w:ascii="Calibri" w:hAnsi="Calibri" w:cs="Calibri"/>
        </w:rPr>
      </w:pPr>
    </w:p>
    <w:p w14:paraId="309CCD9C" w14:textId="0A889A0A" w:rsidR="00E363C7" w:rsidRDefault="00E363C7" w:rsidP="00D158B8">
      <w:pPr>
        <w:rPr>
          <w:rFonts w:ascii="Calibri" w:hAnsi="Calibri" w:cs="Calibri"/>
        </w:rPr>
      </w:pPr>
    </w:p>
    <w:p w14:paraId="358A263C" w14:textId="0FE992E8" w:rsidR="00E363C7" w:rsidRDefault="00E363C7" w:rsidP="00D158B8">
      <w:pPr>
        <w:rPr>
          <w:rFonts w:ascii="Calibri" w:hAnsi="Calibri" w:cs="Calibri"/>
        </w:rPr>
      </w:pPr>
    </w:p>
    <w:p w14:paraId="0EB59039" w14:textId="666A8830" w:rsidR="00E363C7" w:rsidRDefault="00E363C7" w:rsidP="00D158B8">
      <w:pPr>
        <w:rPr>
          <w:rFonts w:ascii="Calibri" w:hAnsi="Calibri" w:cs="Calibri"/>
        </w:rPr>
      </w:pPr>
    </w:p>
    <w:p w14:paraId="1FF77D18" w14:textId="7486CB85" w:rsidR="00E363C7" w:rsidRDefault="00E363C7" w:rsidP="00D158B8">
      <w:pPr>
        <w:rPr>
          <w:rFonts w:ascii="Calibri" w:hAnsi="Calibri" w:cs="Calibri"/>
        </w:rPr>
      </w:pPr>
    </w:p>
    <w:p w14:paraId="723AAA4B" w14:textId="4FA3FE8C" w:rsidR="00E363C7" w:rsidRDefault="00E363C7" w:rsidP="00D158B8">
      <w:pPr>
        <w:rPr>
          <w:rFonts w:ascii="Calibri" w:hAnsi="Calibri" w:cs="Calibri"/>
        </w:rPr>
      </w:pPr>
    </w:p>
    <w:p w14:paraId="61693213" w14:textId="1BB2EE5A" w:rsidR="00E363C7" w:rsidRDefault="00E363C7" w:rsidP="00D158B8">
      <w:pPr>
        <w:rPr>
          <w:rFonts w:ascii="Calibri" w:hAnsi="Calibri" w:cs="Calibri"/>
        </w:rPr>
      </w:pPr>
    </w:p>
    <w:p w14:paraId="3A6EB84E" w14:textId="44A1585C" w:rsidR="00E363C7" w:rsidRDefault="00E363C7" w:rsidP="00D158B8">
      <w:pPr>
        <w:rPr>
          <w:rFonts w:ascii="Calibri" w:hAnsi="Calibri" w:cs="Calibri"/>
        </w:rPr>
      </w:pPr>
    </w:p>
    <w:p w14:paraId="7CC79AF5" w14:textId="1090AB88" w:rsidR="00E363C7" w:rsidRDefault="00E363C7" w:rsidP="00D158B8">
      <w:pPr>
        <w:rPr>
          <w:rFonts w:ascii="Calibri" w:hAnsi="Calibri" w:cs="Calibri"/>
        </w:rPr>
      </w:pPr>
    </w:p>
    <w:p w14:paraId="19114412" w14:textId="466D1AD7" w:rsidR="00E363C7" w:rsidRDefault="00E363C7" w:rsidP="00D158B8">
      <w:pPr>
        <w:rPr>
          <w:rFonts w:ascii="Calibri" w:hAnsi="Calibri" w:cs="Calibri"/>
        </w:rPr>
      </w:pPr>
    </w:p>
    <w:p w14:paraId="62AB7BB3" w14:textId="67B57ACF" w:rsidR="00E363C7" w:rsidRDefault="00E363C7" w:rsidP="00D158B8">
      <w:pPr>
        <w:rPr>
          <w:rFonts w:ascii="Calibri" w:hAnsi="Calibri" w:cs="Calibri"/>
        </w:rPr>
      </w:pPr>
    </w:p>
    <w:p w14:paraId="38354FE9" w14:textId="70476905" w:rsidR="00E363C7" w:rsidRDefault="00E363C7" w:rsidP="00D158B8">
      <w:pPr>
        <w:rPr>
          <w:rFonts w:ascii="Calibri" w:hAnsi="Calibri" w:cs="Calibri"/>
        </w:rPr>
      </w:pPr>
    </w:p>
    <w:p w14:paraId="7E94DAAD" w14:textId="2F961469" w:rsidR="00E363C7" w:rsidRDefault="00E363C7" w:rsidP="00D158B8">
      <w:pPr>
        <w:rPr>
          <w:rFonts w:ascii="Calibri" w:hAnsi="Calibri" w:cs="Calibri"/>
        </w:rPr>
      </w:pPr>
    </w:p>
    <w:p w14:paraId="2B99D9D6" w14:textId="4846AA7A" w:rsidR="00E363C7" w:rsidRDefault="00E363C7" w:rsidP="00D158B8">
      <w:pPr>
        <w:rPr>
          <w:rFonts w:ascii="Calibri" w:hAnsi="Calibri" w:cs="Calibri"/>
        </w:rPr>
      </w:pPr>
    </w:p>
    <w:p w14:paraId="5A06EBF3" w14:textId="5696BD1E" w:rsidR="00E363C7" w:rsidRDefault="00E363C7" w:rsidP="00D158B8">
      <w:pPr>
        <w:rPr>
          <w:rFonts w:ascii="Calibri" w:hAnsi="Calibri" w:cs="Calibri"/>
        </w:rPr>
      </w:pPr>
    </w:p>
    <w:p w14:paraId="6FE1FAB1" w14:textId="4B5B4D7D" w:rsidR="00E363C7" w:rsidRDefault="00E363C7" w:rsidP="00D158B8">
      <w:pPr>
        <w:rPr>
          <w:rFonts w:ascii="Calibri" w:hAnsi="Calibri" w:cs="Calibri"/>
        </w:rPr>
      </w:pPr>
    </w:p>
    <w:p w14:paraId="08B8918D" w14:textId="77777777" w:rsidR="00E363C7" w:rsidRDefault="00E363C7" w:rsidP="00D158B8">
      <w:pPr>
        <w:rPr>
          <w:rFonts w:ascii="Calibri" w:hAnsi="Calibri" w:cs="Calibri"/>
        </w:rPr>
      </w:pPr>
    </w:p>
    <w:p w14:paraId="78B49F29" w14:textId="444AE03B" w:rsidR="00D158B8" w:rsidRDefault="00D158B8" w:rsidP="00D158B8">
      <w:pPr>
        <w:rPr>
          <w:rFonts w:ascii="Calibri" w:hAnsi="Calibri" w:cs="Calibri"/>
        </w:rPr>
      </w:pPr>
    </w:p>
    <w:p w14:paraId="0789067D" w14:textId="2ECA8EBA" w:rsidR="00D158B8" w:rsidRDefault="00D158B8" w:rsidP="00D158B8">
      <w:pPr>
        <w:rPr>
          <w:rFonts w:ascii="Calibri" w:hAnsi="Calibri" w:cs="Calibri"/>
        </w:rPr>
      </w:pPr>
    </w:p>
    <w:tbl>
      <w:tblPr>
        <w:tblW w:w="9781" w:type="dxa"/>
        <w:tblCellMar>
          <w:left w:w="70" w:type="dxa"/>
          <w:right w:w="70" w:type="dxa"/>
        </w:tblCellMar>
        <w:tblLook w:val="04A0" w:firstRow="1" w:lastRow="0" w:firstColumn="1" w:lastColumn="0" w:noHBand="0" w:noVBand="1"/>
      </w:tblPr>
      <w:tblGrid>
        <w:gridCol w:w="826"/>
        <w:gridCol w:w="4120"/>
        <w:gridCol w:w="1433"/>
        <w:gridCol w:w="1418"/>
        <w:gridCol w:w="1417"/>
        <w:gridCol w:w="647"/>
      </w:tblGrid>
      <w:tr w:rsidR="00FE4BEF" w:rsidRPr="00FE4BEF" w14:paraId="782884F2" w14:textId="77777777" w:rsidTr="00687021">
        <w:trPr>
          <w:trHeight w:val="402"/>
        </w:trPr>
        <w:tc>
          <w:tcPr>
            <w:tcW w:w="9781" w:type="dxa"/>
            <w:gridSpan w:val="6"/>
            <w:tcBorders>
              <w:top w:val="nil"/>
              <w:left w:val="nil"/>
              <w:bottom w:val="nil"/>
              <w:right w:val="nil"/>
            </w:tcBorders>
            <w:shd w:val="clear" w:color="auto" w:fill="auto"/>
            <w:noWrap/>
            <w:vAlign w:val="center"/>
            <w:hideMark/>
          </w:tcPr>
          <w:p w14:paraId="79276A5E" w14:textId="77777777" w:rsidR="00FE4BEF" w:rsidRPr="00FE4BEF" w:rsidRDefault="00FE4BEF" w:rsidP="00FE4BEF">
            <w:pPr>
              <w:spacing w:after="0" w:line="240" w:lineRule="auto"/>
              <w:jc w:val="center"/>
              <w:rPr>
                <w:rFonts w:ascii="Calibri" w:eastAsia="Times New Roman" w:hAnsi="Calibri" w:cs="Calibri"/>
                <w:b/>
                <w:bCs/>
                <w:sz w:val="28"/>
                <w:szCs w:val="28"/>
                <w:lang w:eastAsia="cs-CZ"/>
              </w:rPr>
            </w:pPr>
            <w:r w:rsidRPr="00FE4BEF">
              <w:rPr>
                <w:rFonts w:ascii="Calibri" w:eastAsia="Times New Roman" w:hAnsi="Calibri" w:cs="Calibri"/>
                <w:b/>
                <w:bCs/>
                <w:sz w:val="28"/>
                <w:szCs w:val="28"/>
                <w:lang w:eastAsia="cs-CZ"/>
              </w:rPr>
              <w:t>Čerpání rozpočtu kapitoly 15 - Územní a stavební řízení - období: 1. - 12. 2021</w:t>
            </w:r>
          </w:p>
        </w:tc>
      </w:tr>
      <w:tr w:rsidR="00FE4BEF" w:rsidRPr="00FE4BEF" w14:paraId="3FC9F22F" w14:textId="77777777" w:rsidTr="00687021">
        <w:trPr>
          <w:trHeight w:val="360"/>
        </w:trPr>
        <w:tc>
          <w:tcPr>
            <w:tcW w:w="826" w:type="dxa"/>
            <w:tcBorders>
              <w:top w:val="nil"/>
              <w:left w:val="nil"/>
              <w:bottom w:val="nil"/>
              <w:right w:val="nil"/>
            </w:tcBorders>
            <w:shd w:val="clear" w:color="auto" w:fill="auto"/>
            <w:noWrap/>
            <w:vAlign w:val="bottom"/>
            <w:hideMark/>
          </w:tcPr>
          <w:p w14:paraId="45811EF1" w14:textId="77777777" w:rsidR="00FE4BEF" w:rsidRPr="00FE4BEF" w:rsidRDefault="00FE4BEF" w:rsidP="00FE4BEF">
            <w:pPr>
              <w:spacing w:after="0" w:line="240" w:lineRule="auto"/>
              <w:jc w:val="center"/>
              <w:rPr>
                <w:rFonts w:ascii="Calibri" w:eastAsia="Times New Roman" w:hAnsi="Calibri" w:cs="Calibri"/>
                <w:b/>
                <w:bCs/>
                <w:sz w:val="28"/>
                <w:szCs w:val="28"/>
                <w:lang w:eastAsia="cs-CZ"/>
              </w:rPr>
            </w:pPr>
          </w:p>
        </w:tc>
        <w:tc>
          <w:tcPr>
            <w:tcW w:w="4120" w:type="dxa"/>
            <w:tcBorders>
              <w:top w:val="nil"/>
              <w:left w:val="nil"/>
              <w:bottom w:val="nil"/>
              <w:right w:val="nil"/>
            </w:tcBorders>
            <w:shd w:val="clear" w:color="auto" w:fill="auto"/>
            <w:noWrap/>
            <w:vAlign w:val="bottom"/>
            <w:hideMark/>
          </w:tcPr>
          <w:p w14:paraId="058CD41A" w14:textId="77777777" w:rsidR="00FE4BEF" w:rsidRPr="00FE4BEF" w:rsidRDefault="00FE4BEF" w:rsidP="00FE4BEF">
            <w:pPr>
              <w:spacing w:after="0" w:line="240" w:lineRule="auto"/>
              <w:rPr>
                <w:rFonts w:ascii="Times New Roman" w:eastAsia="Times New Roman" w:hAnsi="Times New Roman" w:cs="Times New Roman"/>
                <w:sz w:val="20"/>
                <w:szCs w:val="20"/>
                <w:lang w:eastAsia="cs-CZ"/>
              </w:rPr>
            </w:pPr>
          </w:p>
        </w:tc>
        <w:tc>
          <w:tcPr>
            <w:tcW w:w="1433" w:type="dxa"/>
            <w:tcBorders>
              <w:top w:val="nil"/>
              <w:left w:val="nil"/>
              <w:bottom w:val="nil"/>
              <w:right w:val="nil"/>
            </w:tcBorders>
            <w:shd w:val="clear" w:color="auto" w:fill="auto"/>
            <w:noWrap/>
            <w:vAlign w:val="bottom"/>
            <w:hideMark/>
          </w:tcPr>
          <w:p w14:paraId="06B1A70A" w14:textId="77777777" w:rsidR="00FE4BEF" w:rsidRPr="00FE4BEF" w:rsidRDefault="00FE4BEF" w:rsidP="00FE4BEF">
            <w:pPr>
              <w:spacing w:after="0" w:line="240" w:lineRule="auto"/>
              <w:rPr>
                <w:rFonts w:ascii="Times New Roman" w:eastAsia="Times New Roman" w:hAnsi="Times New Roman" w:cs="Times New Roman"/>
                <w:sz w:val="20"/>
                <w:szCs w:val="20"/>
                <w:lang w:eastAsia="cs-CZ"/>
              </w:rPr>
            </w:pPr>
          </w:p>
        </w:tc>
        <w:tc>
          <w:tcPr>
            <w:tcW w:w="1418" w:type="dxa"/>
            <w:tcBorders>
              <w:top w:val="nil"/>
              <w:left w:val="nil"/>
              <w:bottom w:val="nil"/>
              <w:right w:val="nil"/>
            </w:tcBorders>
            <w:shd w:val="clear" w:color="auto" w:fill="auto"/>
            <w:noWrap/>
            <w:vAlign w:val="bottom"/>
            <w:hideMark/>
          </w:tcPr>
          <w:p w14:paraId="6861E9F2" w14:textId="77777777" w:rsidR="00FE4BEF" w:rsidRPr="00FE4BEF" w:rsidRDefault="00FE4BEF" w:rsidP="00FE4BEF">
            <w:pPr>
              <w:spacing w:after="0" w:line="240" w:lineRule="auto"/>
              <w:rPr>
                <w:rFonts w:ascii="Times New Roman" w:eastAsia="Times New Roman" w:hAnsi="Times New Roman" w:cs="Times New Roman"/>
                <w:sz w:val="20"/>
                <w:szCs w:val="20"/>
                <w:lang w:eastAsia="cs-CZ"/>
              </w:rPr>
            </w:pPr>
          </w:p>
        </w:tc>
        <w:tc>
          <w:tcPr>
            <w:tcW w:w="1417" w:type="dxa"/>
            <w:tcBorders>
              <w:top w:val="nil"/>
              <w:left w:val="nil"/>
              <w:bottom w:val="nil"/>
              <w:right w:val="nil"/>
            </w:tcBorders>
            <w:shd w:val="clear" w:color="auto" w:fill="auto"/>
            <w:noWrap/>
            <w:vAlign w:val="bottom"/>
            <w:hideMark/>
          </w:tcPr>
          <w:p w14:paraId="0F58D56A" w14:textId="77777777" w:rsidR="00FE4BEF" w:rsidRPr="00FE4BEF" w:rsidRDefault="00FE4BEF" w:rsidP="00FE4BEF">
            <w:pPr>
              <w:spacing w:after="0" w:line="240" w:lineRule="auto"/>
              <w:rPr>
                <w:rFonts w:ascii="Times New Roman" w:eastAsia="Times New Roman" w:hAnsi="Times New Roman" w:cs="Times New Roman"/>
                <w:sz w:val="20"/>
                <w:szCs w:val="20"/>
                <w:lang w:eastAsia="cs-CZ"/>
              </w:rPr>
            </w:pPr>
          </w:p>
        </w:tc>
        <w:tc>
          <w:tcPr>
            <w:tcW w:w="567" w:type="dxa"/>
            <w:tcBorders>
              <w:top w:val="nil"/>
              <w:left w:val="nil"/>
              <w:bottom w:val="nil"/>
              <w:right w:val="nil"/>
            </w:tcBorders>
            <w:shd w:val="clear" w:color="auto" w:fill="auto"/>
            <w:noWrap/>
            <w:vAlign w:val="bottom"/>
            <w:hideMark/>
          </w:tcPr>
          <w:p w14:paraId="5DFFF795" w14:textId="77777777" w:rsidR="00FE4BEF" w:rsidRPr="00FE4BEF" w:rsidRDefault="00FE4BEF" w:rsidP="00FE4BEF">
            <w:pPr>
              <w:spacing w:after="0" w:line="240" w:lineRule="auto"/>
              <w:jc w:val="right"/>
              <w:rPr>
                <w:rFonts w:ascii="Calibri" w:eastAsia="Times New Roman" w:hAnsi="Calibri" w:cs="Calibri"/>
                <w:lang w:eastAsia="cs-CZ"/>
              </w:rPr>
            </w:pPr>
            <w:r w:rsidRPr="00FE4BEF">
              <w:rPr>
                <w:rFonts w:ascii="Calibri" w:eastAsia="Times New Roman" w:hAnsi="Calibri" w:cs="Calibri"/>
                <w:lang w:eastAsia="cs-CZ"/>
              </w:rPr>
              <w:t>v Kč</w:t>
            </w:r>
          </w:p>
        </w:tc>
      </w:tr>
      <w:tr w:rsidR="00FE4BEF" w:rsidRPr="00FE4BEF" w14:paraId="28EFC72A" w14:textId="77777777" w:rsidTr="00687021">
        <w:trPr>
          <w:trHeight w:val="705"/>
        </w:trPr>
        <w:tc>
          <w:tcPr>
            <w:tcW w:w="826" w:type="dxa"/>
            <w:tcBorders>
              <w:top w:val="single" w:sz="8" w:space="0" w:color="auto"/>
              <w:left w:val="single" w:sz="8" w:space="0" w:color="auto"/>
              <w:bottom w:val="single" w:sz="8" w:space="0" w:color="auto"/>
              <w:right w:val="single" w:sz="8" w:space="0" w:color="auto"/>
            </w:tcBorders>
            <w:shd w:val="clear" w:color="000000" w:fill="CCFFCC"/>
            <w:noWrap/>
            <w:vAlign w:val="center"/>
            <w:hideMark/>
          </w:tcPr>
          <w:p w14:paraId="415CD3DC" w14:textId="77777777" w:rsidR="00FE4BEF" w:rsidRPr="00FE4BEF" w:rsidRDefault="00FE4BEF" w:rsidP="00FE4BEF">
            <w:pPr>
              <w:spacing w:after="0" w:line="240" w:lineRule="auto"/>
              <w:jc w:val="center"/>
              <w:rPr>
                <w:rFonts w:ascii="Calibri" w:eastAsia="Times New Roman" w:hAnsi="Calibri" w:cs="Calibri"/>
                <w:sz w:val="20"/>
                <w:szCs w:val="20"/>
                <w:lang w:eastAsia="cs-CZ"/>
              </w:rPr>
            </w:pPr>
            <w:r w:rsidRPr="00FE4BEF">
              <w:rPr>
                <w:rFonts w:ascii="Calibri" w:eastAsia="Times New Roman" w:hAnsi="Calibri" w:cs="Calibri"/>
                <w:sz w:val="20"/>
                <w:szCs w:val="20"/>
                <w:lang w:eastAsia="cs-CZ"/>
              </w:rPr>
              <w:t>Paragraf</w:t>
            </w:r>
          </w:p>
        </w:tc>
        <w:tc>
          <w:tcPr>
            <w:tcW w:w="4120" w:type="dxa"/>
            <w:tcBorders>
              <w:top w:val="single" w:sz="8" w:space="0" w:color="auto"/>
              <w:left w:val="nil"/>
              <w:bottom w:val="single" w:sz="8" w:space="0" w:color="auto"/>
              <w:right w:val="single" w:sz="8" w:space="0" w:color="auto"/>
            </w:tcBorders>
            <w:shd w:val="clear" w:color="000000" w:fill="CCFFCC"/>
            <w:noWrap/>
            <w:vAlign w:val="center"/>
            <w:hideMark/>
          </w:tcPr>
          <w:p w14:paraId="21387025" w14:textId="77777777" w:rsidR="00FE4BEF" w:rsidRPr="00FE4BEF" w:rsidRDefault="00FE4BEF" w:rsidP="00FE4BEF">
            <w:pPr>
              <w:spacing w:after="0" w:line="240" w:lineRule="auto"/>
              <w:jc w:val="center"/>
              <w:rPr>
                <w:rFonts w:ascii="Calibri" w:eastAsia="Times New Roman" w:hAnsi="Calibri" w:cs="Calibri"/>
                <w:sz w:val="20"/>
                <w:szCs w:val="20"/>
                <w:lang w:eastAsia="cs-CZ"/>
              </w:rPr>
            </w:pPr>
            <w:r w:rsidRPr="00FE4BEF">
              <w:rPr>
                <w:rFonts w:ascii="Calibri" w:eastAsia="Times New Roman" w:hAnsi="Calibri" w:cs="Calibri"/>
                <w:sz w:val="20"/>
                <w:szCs w:val="20"/>
                <w:lang w:eastAsia="cs-CZ"/>
              </w:rPr>
              <w:t>Oblast rozpočtu</w:t>
            </w:r>
          </w:p>
        </w:tc>
        <w:tc>
          <w:tcPr>
            <w:tcW w:w="1433" w:type="dxa"/>
            <w:tcBorders>
              <w:top w:val="single" w:sz="8" w:space="0" w:color="auto"/>
              <w:left w:val="nil"/>
              <w:bottom w:val="single" w:sz="8" w:space="0" w:color="auto"/>
              <w:right w:val="single" w:sz="8" w:space="0" w:color="auto"/>
            </w:tcBorders>
            <w:shd w:val="clear" w:color="000000" w:fill="CCFFCC"/>
            <w:vAlign w:val="center"/>
            <w:hideMark/>
          </w:tcPr>
          <w:p w14:paraId="0D331163" w14:textId="77777777" w:rsidR="00FE4BEF" w:rsidRPr="00FE4BEF" w:rsidRDefault="00FE4BEF" w:rsidP="00FE4BEF">
            <w:pPr>
              <w:spacing w:after="0" w:line="240" w:lineRule="auto"/>
              <w:jc w:val="center"/>
              <w:rPr>
                <w:rFonts w:ascii="Calibri" w:eastAsia="Times New Roman" w:hAnsi="Calibri" w:cs="Calibri"/>
                <w:sz w:val="20"/>
                <w:szCs w:val="20"/>
                <w:lang w:eastAsia="cs-CZ"/>
              </w:rPr>
            </w:pPr>
            <w:r w:rsidRPr="00FE4BEF">
              <w:rPr>
                <w:rFonts w:ascii="Calibri" w:eastAsia="Times New Roman" w:hAnsi="Calibri" w:cs="Calibri"/>
                <w:sz w:val="20"/>
                <w:szCs w:val="20"/>
                <w:lang w:eastAsia="cs-CZ"/>
              </w:rPr>
              <w:t>Schválený rozpočet</w:t>
            </w:r>
          </w:p>
        </w:tc>
        <w:tc>
          <w:tcPr>
            <w:tcW w:w="1418" w:type="dxa"/>
            <w:tcBorders>
              <w:top w:val="single" w:sz="8" w:space="0" w:color="auto"/>
              <w:left w:val="nil"/>
              <w:bottom w:val="single" w:sz="8" w:space="0" w:color="auto"/>
              <w:right w:val="single" w:sz="8" w:space="0" w:color="auto"/>
            </w:tcBorders>
            <w:shd w:val="clear" w:color="000000" w:fill="CCFFCC"/>
            <w:vAlign w:val="center"/>
            <w:hideMark/>
          </w:tcPr>
          <w:p w14:paraId="7B2EC38D" w14:textId="77777777" w:rsidR="00FE4BEF" w:rsidRPr="00FE4BEF" w:rsidRDefault="00FE4BEF" w:rsidP="00FE4BEF">
            <w:pPr>
              <w:spacing w:after="0" w:line="240" w:lineRule="auto"/>
              <w:jc w:val="center"/>
              <w:rPr>
                <w:rFonts w:ascii="Calibri" w:eastAsia="Times New Roman" w:hAnsi="Calibri" w:cs="Calibri"/>
                <w:sz w:val="20"/>
                <w:szCs w:val="20"/>
                <w:lang w:eastAsia="cs-CZ"/>
              </w:rPr>
            </w:pPr>
            <w:r w:rsidRPr="00FE4BEF">
              <w:rPr>
                <w:rFonts w:ascii="Calibri" w:eastAsia="Times New Roman" w:hAnsi="Calibri" w:cs="Calibri"/>
                <w:sz w:val="20"/>
                <w:szCs w:val="20"/>
                <w:lang w:eastAsia="cs-CZ"/>
              </w:rPr>
              <w:t>Rozpočet po úpravě</w:t>
            </w:r>
          </w:p>
        </w:tc>
        <w:tc>
          <w:tcPr>
            <w:tcW w:w="1417" w:type="dxa"/>
            <w:tcBorders>
              <w:top w:val="single" w:sz="8" w:space="0" w:color="auto"/>
              <w:left w:val="nil"/>
              <w:bottom w:val="single" w:sz="8" w:space="0" w:color="auto"/>
              <w:right w:val="single" w:sz="8" w:space="0" w:color="auto"/>
            </w:tcBorders>
            <w:shd w:val="clear" w:color="000000" w:fill="CCFFCC"/>
            <w:vAlign w:val="center"/>
            <w:hideMark/>
          </w:tcPr>
          <w:p w14:paraId="4C10E817" w14:textId="77777777" w:rsidR="00FE4BEF" w:rsidRPr="00FE4BEF" w:rsidRDefault="00FE4BEF" w:rsidP="00FE4BEF">
            <w:pPr>
              <w:spacing w:after="0" w:line="240" w:lineRule="auto"/>
              <w:jc w:val="center"/>
              <w:rPr>
                <w:rFonts w:ascii="Calibri" w:eastAsia="Times New Roman" w:hAnsi="Calibri" w:cs="Calibri"/>
                <w:sz w:val="20"/>
                <w:szCs w:val="20"/>
                <w:lang w:eastAsia="cs-CZ"/>
              </w:rPr>
            </w:pPr>
            <w:r w:rsidRPr="00FE4BEF">
              <w:rPr>
                <w:rFonts w:ascii="Calibri" w:eastAsia="Times New Roman" w:hAnsi="Calibri" w:cs="Calibri"/>
                <w:sz w:val="20"/>
                <w:szCs w:val="20"/>
                <w:lang w:eastAsia="cs-CZ"/>
              </w:rPr>
              <w:t xml:space="preserve">Skutečnost </w:t>
            </w:r>
          </w:p>
        </w:tc>
        <w:tc>
          <w:tcPr>
            <w:tcW w:w="567" w:type="dxa"/>
            <w:tcBorders>
              <w:top w:val="single" w:sz="8" w:space="0" w:color="auto"/>
              <w:left w:val="nil"/>
              <w:bottom w:val="single" w:sz="8" w:space="0" w:color="auto"/>
              <w:right w:val="single" w:sz="8" w:space="0" w:color="auto"/>
            </w:tcBorders>
            <w:shd w:val="clear" w:color="000000" w:fill="CCFFCC"/>
            <w:vAlign w:val="center"/>
            <w:hideMark/>
          </w:tcPr>
          <w:p w14:paraId="3FA49B8A" w14:textId="77777777" w:rsidR="00FE4BEF" w:rsidRPr="00FE4BEF" w:rsidRDefault="00FE4BEF" w:rsidP="00FE4BEF">
            <w:pPr>
              <w:spacing w:after="0" w:line="240" w:lineRule="auto"/>
              <w:jc w:val="center"/>
              <w:rPr>
                <w:rFonts w:ascii="Calibri" w:eastAsia="Times New Roman" w:hAnsi="Calibri" w:cs="Calibri"/>
                <w:sz w:val="20"/>
                <w:szCs w:val="20"/>
                <w:lang w:eastAsia="cs-CZ"/>
              </w:rPr>
            </w:pPr>
            <w:r w:rsidRPr="00FE4BEF">
              <w:rPr>
                <w:rFonts w:ascii="Calibri" w:eastAsia="Times New Roman" w:hAnsi="Calibri" w:cs="Calibri"/>
                <w:sz w:val="20"/>
                <w:szCs w:val="20"/>
                <w:lang w:eastAsia="cs-CZ"/>
              </w:rPr>
              <w:t>% plnění</w:t>
            </w:r>
          </w:p>
        </w:tc>
      </w:tr>
      <w:tr w:rsidR="00FE4BEF" w:rsidRPr="00FE4BEF" w14:paraId="3888200F" w14:textId="77777777" w:rsidTr="00687021">
        <w:trPr>
          <w:trHeight w:val="360"/>
        </w:trPr>
        <w:tc>
          <w:tcPr>
            <w:tcW w:w="826" w:type="dxa"/>
            <w:tcBorders>
              <w:top w:val="nil"/>
              <w:left w:val="single" w:sz="8" w:space="0" w:color="auto"/>
              <w:bottom w:val="nil"/>
              <w:right w:val="nil"/>
            </w:tcBorders>
            <w:shd w:val="clear" w:color="auto" w:fill="auto"/>
            <w:noWrap/>
            <w:vAlign w:val="bottom"/>
            <w:hideMark/>
          </w:tcPr>
          <w:p w14:paraId="11B85B6B" w14:textId="77777777" w:rsidR="00FE4BEF" w:rsidRPr="00FE4BEF" w:rsidRDefault="00FE4BEF" w:rsidP="00FE4BEF">
            <w:pPr>
              <w:spacing w:after="0" w:line="240" w:lineRule="auto"/>
              <w:rPr>
                <w:rFonts w:ascii="Calibri" w:eastAsia="Times New Roman" w:hAnsi="Calibri" w:cs="Calibri"/>
                <w:sz w:val="24"/>
                <w:szCs w:val="24"/>
                <w:lang w:eastAsia="cs-CZ"/>
              </w:rPr>
            </w:pPr>
            <w:r w:rsidRPr="00FE4BEF">
              <w:rPr>
                <w:rFonts w:ascii="Calibri" w:eastAsia="Times New Roman" w:hAnsi="Calibri" w:cs="Calibri"/>
                <w:sz w:val="24"/>
                <w:szCs w:val="24"/>
                <w:lang w:eastAsia="cs-CZ"/>
              </w:rPr>
              <w:t> </w:t>
            </w:r>
          </w:p>
        </w:tc>
        <w:tc>
          <w:tcPr>
            <w:tcW w:w="4120" w:type="dxa"/>
            <w:tcBorders>
              <w:top w:val="nil"/>
              <w:left w:val="nil"/>
              <w:bottom w:val="nil"/>
              <w:right w:val="nil"/>
            </w:tcBorders>
            <w:shd w:val="clear" w:color="auto" w:fill="auto"/>
            <w:noWrap/>
            <w:vAlign w:val="bottom"/>
            <w:hideMark/>
          </w:tcPr>
          <w:p w14:paraId="6897E472" w14:textId="77777777" w:rsidR="00FE4BEF" w:rsidRPr="00FE4BEF" w:rsidRDefault="00FE4BEF" w:rsidP="00FE4BEF">
            <w:pPr>
              <w:spacing w:after="0" w:line="240" w:lineRule="auto"/>
              <w:rPr>
                <w:rFonts w:ascii="Calibri" w:eastAsia="Times New Roman" w:hAnsi="Calibri" w:cs="Calibri"/>
                <w:b/>
                <w:bCs/>
                <w:lang w:eastAsia="cs-CZ"/>
              </w:rPr>
            </w:pPr>
            <w:r w:rsidRPr="00FE4BEF">
              <w:rPr>
                <w:rFonts w:ascii="Calibri" w:eastAsia="Times New Roman" w:hAnsi="Calibri" w:cs="Calibri"/>
                <w:b/>
                <w:bCs/>
                <w:lang w:eastAsia="cs-CZ"/>
              </w:rPr>
              <w:t xml:space="preserve">Běžné výdaje </w:t>
            </w:r>
          </w:p>
        </w:tc>
        <w:tc>
          <w:tcPr>
            <w:tcW w:w="1433" w:type="dxa"/>
            <w:tcBorders>
              <w:top w:val="nil"/>
              <w:left w:val="nil"/>
              <w:bottom w:val="nil"/>
              <w:right w:val="nil"/>
            </w:tcBorders>
            <w:shd w:val="clear" w:color="auto" w:fill="auto"/>
            <w:noWrap/>
            <w:vAlign w:val="bottom"/>
            <w:hideMark/>
          </w:tcPr>
          <w:p w14:paraId="2623DBAE" w14:textId="77777777" w:rsidR="00FE4BEF" w:rsidRPr="00FE4BEF" w:rsidRDefault="00FE4BEF" w:rsidP="00FE4BEF">
            <w:pPr>
              <w:spacing w:after="0" w:line="240" w:lineRule="auto"/>
              <w:rPr>
                <w:rFonts w:ascii="Calibri" w:eastAsia="Times New Roman" w:hAnsi="Calibri" w:cs="Calibri"/>
                <w:b/>
                <w:bCs/>
                <w:lang w:eastAsia="cs-CZ"/>
              </w:rPr>
            </w:pPr>
          </w:p>
        </w:tc>
        <w:tc>
          <w:tcPr>
            <w:tcW w:w="1418" w:type="dxa"/>
            <w:tcBorders>
              <w:top w:val="nil"/>
              <w:left w:val="nil"/>
              <w:bottom w:val="nil"/>
              <w:right w:val="nil"/>
            </w:tcBorders>
            <w:shd w:val="clear" w:color="auto" w:fill="auto"/>
            <w:noWrap/>
            <w:vAlign w:val="bottom"/>
            <w:hideMark/>
          </w:tcPr>
          <w:p w14:paraId="48AF7C20" w14:textId="77777777" w:rsidR="00FE4BEF" w:rsidRPr="00FE4BEF" w:rsidRDefault="00FE4BEF" w:rsidP="00FE4BEF">
            <w:pPr>
              <w:spacing w:after="0" w:line="240" w:lineRule="auto"/>
              <w:rPr>
                <w:rFonts w:ascii="Times New Roman" w:eastAsia="Times New Roman" w:hAnsi="Times New Roman" w:cs="Times New Roman"/>
                <w:sz w:val="20"/>
                <w:szCs w:val="20"/>
                <w:lang w:eastAsia="cs-CZ"/>
              </w:rPr>
            </w:pPr>
          </w:p>
        </w:tc>
        <w:tc>
          <w:tcPr>
            <w:tcW w:w="1417" w:type="dxa"/>
            <w:tcBorders>
              <w:top w:val="nil"/>
              <w:left w:val="nil"/>
              <w:bottom w:val="nil"/>
              <w:right w:val="nil"/>
            </w:tcBorders>
            <w:shd w:val="clear" w:color="auto" w:fill="auto"/>
            <w:noWrap/>
            <w:vAlign w:val="bottom"/>
            <w:hideMark/>
          </w:tcPr>
          <w:p w14:paraId="0F39B045" w14:textId="77777777" w:rsidR="00FE4BEF" w:rsidRPr="00FE4BEF" w:rsidRDefault="00FE4BEF" w:rsidP="00FE4BEF">
            <w:pPr>
              <w:spacing w:after="0" w:line="240" w:lineRule="auto"/>
              <w:rPr>
                <w:rFonts w:ascii="Times New Roman" w:eastAsia="Times New Roman" w:hAnsi="Times New Roman" w:cs="Times New Roman"/>
                <w:sz w:val="20"/>
                <w:szCs w:val="20"/>
                <w:lang w:eastAsia="cs-CZ"/>
              </w:rPr>
            </w:pPr>
          </w:p>
        </w:tc>
        <w:tc>
          <w:tcPr>
            <w:tcW w:w="567" w:type="dxa"/>
            <w:tcBorders>
              <w:top w:val="nil"/>
              <w:left w:val="nil"/>
              <w:bottom w:val="nil"/>
              <w:right w:val="single" w:sz="8" w:space="0" w:color="auto"/>
            </w:tcBorders>
            <w:shd w:val="clear" w:color="auto" w:fill="auto"/>
            <w:noWrap/>
            <w:vAlign w:val="bottom"/>
            <w:hideMark/>
          </w:tcPr>
          <w:p w14:paraId="332BF5F9" w14:textId="77777777" w:rsidR="00FE4BEF" w:rsidRPr="00FE4BEF" w:rsidRDefault="00FE4BEF" w:rsidP="00FE4BEF">
            <w:pPr>
              <w:spacing w:after="0" w:line="240" w:lineRule="auto"/>
              <w:rPr>
                <w:rFonts w:ascii="Calibri" w:eastAsia="Times New Roman" w:hAnsi="Calibri" w:cs="Calibri"/>
                <w:sz w:val="24"/>
                <w:szCs w:val="24"/>
                <w:lang w:eastAsia="cs-CZ"/>
              </w:rPr>
            </w:pPr>
            <w:r w:rsidRPr="00FE4BEF">
              <w:rPr>
                <w:rFonts w:ascii="Calibri" w:eastAsia="Times New Roman" w:hAnsi="Calibri" w:cs="Calibri"/>
                <w:sz w:val="24"/>
                <w:szCs w:val="24"/>
                <w:lang w:eastAsia="cs-CZ"/>
              </w:rPr>
              <w:t> </w:t>
            </w:r>
          </w:p>
        </w:tc>
      </w:tr>
      <w:tr w:rsidR="00FE4BEF" w:rsidRPr="00FE4BEF" w14:paraId="5FE17C94" w14:textId="77777777" w:rsidTr="00687021">
        <w:trPr>
          <w:trHeight w:val="510"/>
        </w:trPr>
        <w:tc>
          <w:tcPr>
            <w:tcW w:w="826"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5942A7AE" w14:textId="77777777" w:rsidR="00FE4BEF" w:rsidRPr="00FE4BEF" w:rsidRDefault="00FE4BEF" w:rsidP="00FE4BEF">
            <w:pPr>
              <w:spacing w:after="0" w:line="240" w:lineRule="auto"/>
              <w:jc w:val="center"/>
              <w:rPr>
                <w:rFonts w:ascii="Calibri" w:eastAsia="Times New Roman" w:hAnsi="Calibri" w:cs="Calibri"/>
                <w:sz w:val="20"/>
                <w:szCs w:val="20"/>
                <w:lang w:eastAsia="cs-CZ"/>
              </w:rPr>
            </w:pPr>
            <w:r w:rsidRPr="00FE4BEF">
              <w:rPr>
                <w:rFonts w:ascii="Calibri" w:eastAsia="Times New Roman" w:hAnsi="Calibri" w:cs="Calibri"/>
                <w:sz w:val="20"/>
                <w:szCs w:val="20"/>
                <w:lang w:eastAsia="cs-CZ"/>
              </w:rPr>
              <w:t>3636</w:t>
            </w:r>
          </w:p>
        </w:tc>
        <w:tc>
          <w:tcPr>
            <w:tcW w:w="4120" w:type="dxa"/>
            <w:tcBorders>
              <w:top w:val="single" w:sz="8" w:space="0" w:color="auto"/>
              <w:left w:val="nil"/>
              <w:bottom w:val="single" w:sz="4" w:space="0" w:color="auto"/>
              <w:right w:val="single" w:sz="4" w:space="0" w:color="auto"/>
            </w:tcBorders>
            <w:shd w:val="clear" w:color="auto" w:fill="auto"/>
            <w:vAlign w:val="center"/>
            <w:hideMark/>
          </w:tcPr>
          <w:p w14:paraId="6D279BF2" w14:textId="77777777" w:rsidR="00FE4BEF" w:rsidRPr="00FE4BEF" w:rsidRDefault="00FE4BEF" w:rsidP="00FE4BEF">
            <w:pPr>
              <w:spacing w:after="0" w:line="240" w:lineRule="auto"/>
              <w:rPr>
                <w:rFonts w:ascii="Calibri" w:eastAsia="Times New Roman" w:hAnsi="Calibri" w:cs="Calibri"/>
                <w:sz w:val="20"/>
                <w:szCs w:val="20"/>
                <w:lang w:eastAsia="cs-CZ"/>
              </w:rPr>
            </w:pPr>
            <w:r w:rsidRPr="00FE4BEF">
              <w:rPr>
                <w:rFonts w:ascii="Calibri" w:eastAsia="Times New Roman" w:hAnsi="Calibri" w:cs="Calibri"/>
                <w:sz w:val="20"/>
                <w:szCs w:val="20"/>
                <w:lang w:eastAsia="cs-CZ"/>
              </w:rPr>
              <w:t>Aktualizace Zásad územního rozvoje Středočeského kraje (D3)</w:t>
            </w:r>
          </w:p>
        </w:tc>
        <w:tc>
          <w:tcPr>
            <w:tcW w:w="1433" w:type="dxa"/>
            <w:tcBorders>
              <w:top w:val="single" w:sz="8" w:space="0" w:color="auto"/>
              <w:left w:val="nil"/>
              <w:bottom w:val="single" w:sz="4" w:space="0" w:color="auto"/>
              <w:right w:val="single" w:sz="4" w:space="0" w:color="auto"/>
            </w:tcBorders>
            <w:shd w:val="clear" w:color="auto" w:fill="auto"/>
            <w:noWrap/>
            <w:vAlign w:val="bottom"/>
            <w:hideMark/>
          </w:tcPr>
          <w:p w14:paraId="239675AC" w14:textId="77777777" w:rsidR="00FE4BEF" w:rsidRPr="00FE4BEF" w:rsidRDefault="00FE4BEF" w:rsidP="00FE4BEF">
            <w:pPr>
              <w:spacing w:after="0" w:line="240" w:lineRule="auto"/>
              <w:jc w:val="right"/>
              <w:rPr>
                <w:rFonts w:ascii="Calibri" w:eastAsia="Times New Roman" w:hAnsi="Calibri" w:cs="Calibri"/>
                <w:sz w:val="20"/>
                <w:szCs w:val="20"/>
                <w:lang w:eastAsia="cs-CZ"/>
              </w:rPr>
            </w:pPr>
            <w:r w:rsidRPr="00FE4BEF">
              <w:rPr>
                <w:rFonts w:ascii="Calibri" w:eastAsia="Times New Roman" w:hAnsi="Calibri" w:cs="Calibri"/>
                <w:sz w:val="20"/>
                <w:szCs w:val="20"/>
                <w:lang w:eastAsia="cs-CZ"/>
              </w:rPr>
              <w:t>2 000 000</w:t>
            </w:r>
          </w:p>
        </w:tc>
        <w:tc>
          <w:tcPr>
            <w:tcW w:w="1418" w:type="dxa"/>
            <w:tcBorders>
              <w:top w:val="single" w:sz="8" w:space="0" w:color="auto"/>
              <w:left w:val="nil"/>
              <w:bottom w:val="single" w:sz="4" w:space="0" w:color="auto"/>
              <w:right w:val="single" w:sz="4" w:space="0" w:color="auto"/>
            </w:tcBorders>
            <w:shd w:val="clear" w:color="auto" w:fill="auto"/>
            <w:noWrap/>
            <w:vAlign w:val="bottom"/>
            <w:hideMark/>
          </w:tcPr>
          <w:p w14:paraId="5E2D0A8B" w14:textId="77777777" w:rsidR="00FE4BEF" w:rsidRPr="00FE4BEF" w:rsidRDefault="00FE4BEF" w:rsidP="00FE4BEF">
            <w:pPr>
              <w:spacing w:after="0" w:line="240" w:lineRule="auto"/>
              <w:jc w:val="right"/>
              <w:rPr>
                <w:rFonts w:ascii="Calibri" w:eastAsia="Times New Roman" w:hAnsi="Calibri" w:cs="Calibri"/>
                <w:sz w:val="20"/>
                <w:szCs w:val="20"/>
                <w:lang w:eastAsia="cs-CZ"/>
              </w:rPr>
            </w:pPr>
            <w:r w:rsidRPr="00FE4BEF">
              <w:rPr>
                <w:rFonts w:ascii="Calibri" w:eastAsia="Times New Roman" w:hAnsi="Calibri" w:cs="Calibri"/>
                <w:sz w:val="20"/>
                <w:szCs w:val="20"/>
                <w:lang w:eastAsia="cs-CZ"/>
              </w:rPr>
              <w:t>7 802 910,04</w:t>
            </w:r>
          </w:p>
        </w:tc>
        <w:tc>
          <w:tcPr>
            <w:tcW w:w="1417" w:type="dxa"/>
            <w:tcBorders>
              <w:top w:val="single" w:sz="8" w:space="0" w:color="auto"/>
              <w:left w:val="nil"/>
              <w:bottom w:val="single" w:sz="4" w:space="0" w:color="auto"/>
              <w:right w:val="single" w:sz="4" w:space="0" w:color="auto"/>
            </w:tcBorders>
            <w:shd w:val="clear" w:color="auto" w:fill="auto"/>
            <w:noWrap/>
            <w:vAlign w:val="bottom"/>
            <w:hideMark/>
          </w:tcPr>
          <w:p w14:paraId="00FA6625" w14:textId="77777777" w:rsidR="00FE4BEF" w:rsidRPr="00FE4BEF" w:rsidRDefault="00FE4BEF" w:rsidP="00FE4BEF">
            <w:pPr>
              <w:spacing w:after="0" w:line="240" w:lineRule="auto"/>
              <w:jc w:val="right"/>
              <w:rPr>
                <w:rFonts w:ascii="Calibri" w:eastAsia="Times New Roman" w:hAnsi="Calibri" w:cs="Calibri"/>
                <w:sz w:val="20"/>
                <w:szCs w:val="20"/>
                <w:lang w:eastAsia="cs-CZ"/>
              </w:rPr>
            </w:pPr>
            <w:r w:rsidRPr="00FE4BEF">
              <w:rPr>
                <w:rFonts w:ascii="Calibri" w:eastAsia="Times New Roman" w:hAnsi="Calibri" w:cs="Calibri"/>
                <w:sz w:val="20"/>
                <w:szCs w:val="20"/>
                <w:lang w:eastAsia="cs-CZ"/>
              </w:rPr>
              <w:t>1 920 522,80</w:t>
            </w:r>
          </w:p>
        </w:tc>
        <w:tc>
          <w:tcPr>
            <w:tcW w:w="567" w:type="dxa"/>
            <w:tcBorders>
              <w:top w:val="single" w:sz="8" w:space="0" w:color="auto"/>
              <w:left w:val="nil"/>
              <w:bottom w:val="single" w:sz="4" w:space="0" w:color="auto"/>
              <w:right w:val="single" w:sz="8" w:space="0" w:color="auto"/>
            </w:tcBorders>
            <w:shd w:val="clear" w:color="auto" w:fill="auto"/>
            <w:noWrap/>
            <w:vAlign w:val="bottom"/>
            <w:hideMark/>
          </w:tcPr>
          <w:p w14:paraId="212D3F48" w14:textId="77777777" w:rsidR="00FE4BEF" w:rsidRPr="00FE4BEF" w:rsidRDefault="00FE4BEF" w:rsidP="00FE4BEF">
            <w:pPr>
              <w:spacing w:after="0" w:line="240" w:lineRule="auto"/>
              <w:jc w:val="right"/>
              <w:rPr>
                <w:rFonts w:ascii="Calibri" w:eastAsia="Times New Roman" w:hAnsi="Calibri" w:cs="Calibri"/>
                <w:sz w:val="20"/>
                <w:szCs w:val="20"/>
                <w:lang w:eastAsia="cs-CZ"/>
              </w:rPr>
            </w:pPr>
            <w:r w:rsidRPr="00FE4BEF">
              <w:rPr>
                <w:rFonts w:ascii="Calibri" w:eastAsia="Times New Roman" w:hAnsi="Calibri" w:cs="Calibri"/>
                <w:sz w:val="20"/>
                <w:szCs w:val="20"/>
                <w:lang w:eastAsia="cs-CZ"/>
              </w:rPr>
              <w:t>24,6</w:t>
            </w:r>
          </w:p>
        </w:tc>
      </w:tr>
      <w:tr w:rsidR="00FE4BEF" w:rsidRPr="00FE4BEF" w14:paraId="7403788C" w14:textId="77777777" w:rsidTr="00687021">
        <w:trPr>
          <w:trHeight w:val="30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687533C9" w14:textId="77777777" w:rsidR="00FE4BEF" w:rsidRPr="00FE4BEF" w:rsidRDefault="00FE4BEF" w:rsidP="00FE4BEF">
            <w:pPr>
              <w:spacing w:after="0" w:line="240" w:lineRule="auto"/>
              <w:jc w:val="center"/>
              <w:rPr>
                <w:rFonts w:ascii="Calibri" w:eastAsia="Times New Roman" w:hAnsi="Calibri" w:cs="Calibri"/>
                <w:sz w:val="20"/>
                <w:szCs w:val="20"/>
                <w:lang w:eastAsia="cs-CZ"/>
              </w:rPr>
            </w:pPr>
            <w:r w:rsidRPr="00FE4BEF">
              <w:rPr>
                <w:rFonts w:ascii="Calibri" w:eastAsia="Times New Roman" w:hAnsi="Calibri" w:cs="Calibri"/>
                <w:sz w:val="20"/>
                <w:szCs w:val="20"/>
                <w:lang w:eastAsia="cs-CZ"/>
              </w:rPr>
              <w:t> </w:t>
            </w:r>
          </w:p>
        </w:tc>
        <w:tc>
          <w:tcPr>
            <w:tcW w:w="8955" w:type="dxa"/>
            <w:gridSpan w:val="5"/>
            <w:tcBorders>
              <w:top w:val="single" w:sz="4" w:space="0" w:color="auto"/>
              <w:left w:val="nil"/>
              <w:bottom w:val="single" w:sz="4" w:space="0" w:color="auto"/>
              <w:right w:val="single" w:sz="8" w:space="0" w:color="000000"/>
            </w:tcBorders>
            <w:shd w:val="clear" w:color="auto" w:fill="auto"/>
            <w:vAlign w:val="center"/>
            <w:hideMark/>
          </w:tcPr>
          <w:p w14:paraId="73508B78" w14:textId="77777777" w:rsidR="00FE4BEF" w:rsidRPr="00FE4BEF" w:rsidRDefault="00FE4BEF" w:rsidP="00FE4BEF">
            <w:pPr>
              <w:spacing w:after="0" w:line="240" w:lineRule="auto"/>
              <w:rPr>
                <w:rFonts w:ascii="Calibri" w:eastAsia="Times New Roman" w:hAnsi="Calibri" w:cs="Calibri"/>
                <w:sz w:val="20"/>
                <w:szCs w:val="20"/>
                <w:lang w:eastAsia="cs-CZ"/>
              </w:rPr>
            </w:pPr>
            <w:r w:rsidRPr="00FE4BEF">
              <w:rPr>
                <w:rFonts w:ascii="Calibri" w:eastAsia="Times New Roman" w:hAnsi="Calibri" w:cs="Calibri"/>
                <w:sz w:val="20"/>
                <w:szCs w:val="20"/>
                <w:lang w:eastAsia="cs-CZ"/>
              </w:rPr>
              <w:t>z toho:</w:t>
            </w:r>
          </w:p>
        </w:tc>
      </w:tr>
      <w:tr w:rsidR="00FE4BEF" w:rsidRPr="00FE4BEF" w14:paraId="7AC2F381" w14:textId="77777777" w:rsidTr="00687021">
        <w:trPr>
          <w:trHeight w:val="30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443479BC" w14:textId="77777777" w:rsidR="00FE4BEF" w:rsidRPr="00FE4BEF" w:rsidRDefault="00FE4BEF" w:rsidP="00FE4BEF">
            <w:pPr>
              <w:spacing w:after="0" w:line="240" w:lineRule="auto"/>
              <w:jc w:val="center"/>
              <w:rPr>
                <w:rFonts w:ascii="Calibri" w:eastAsia="Times New Roman" w:hAnsi="Calibri" w:cs="Calibri"/>
                <w:sz w:val="20"/>
                <w:szCs w:val="20"/>
                <w:lang w:eastAsia="cs-CZ"/>
              </w:rPr>
            </w:pPr>
            <w:r w:rsidRPr="00FE4BEF">
              <w:rPr>
                <w:rFonts w:ascii="Calibri" w:eastAsia="Times New Roman" w:hAnsi="Calibri" w:cs="Calibri"/>
                <w:sz w:val="20"/>
                <w:szCs w:val="20"/>
                <w:lang w:eastAsia="cs-CZ"/>
              </w:rPr>
              <w:t> </w:t>
            </w:r>
          </w:p>
        </w:tc>
        <w:tc>
          <w:tcPr>
            <w:tcW w:w="4120" w:type="dxa"/>
            <w:tcBorders>
              <w:top w:val="nil"/>
              <w:left w:val="nil"/>
              <w:bottom w:val="single" w:sz="4" w:space="0" w:color="auto"/>
              <w:right w:val="single" w:sz="4" w:space="0" w:color="auto"/>
            </w:tcBorders>
            <w:shd w:val="clear" w:color="auto" w:fill="auto"/>
            <w:vAlign w:val="center"/>
            <w:hideMark/>
          </w:tcPr>
          <w:p w14:paraId="2C2F0A46" w14:textId="77777777" w:rsidR="00FE4BEF" w:rsidRPr="00FE4BEF" w:rsidRDefault="00FE4BEF" w:rsidP="00FE4BEF">
            <w:pPr>
              <w:spacing w:after="0" w:line="240" w:lineRule="auto"/>
              <w:rPr>
                <w:rFonts w:ascii="Calibri" w:eastAsia="Times New Roman" w:hAnsi="Calibri" w:cs="Calibri"/>
                <w:sz w:val="20"/>
                <w:szCs w:val="20"/>
                <w:lang w:eastAsia="cs-CZ"/>
              </w:rPr>
            </w:pPr>
            <w:r w:rsidRPr="00FE4BEF">
              <w:rPr>
                <w:rFonts w:ascii="Calibri" w:eastAsia="Times New Roman" w:hAnsi="Calibri" w:cs="Calibri"/>
                <w:sz w:val="20"/>
                <w:szCs w:val="20"/>
                <w:lang w:eastAsia="cs-CZ"/>
              </w:rPr>
              <w:t>5164 nájemné</w:t>
            </w:r>
          </w:p>
        </w:tc>
        <w:tc>
          <w:tcPr>
            <w:tcW w:w="1433" w:type="dxa"/>
            <w:tcBorders>
              <w:top w:val="nil"/>
              <w:left w:val="nil"/>
              <w:bottom w:val="single" w:sz="4" w:space="0" w:color="auto"/>
              <w:right w:val="single" w:sz="4" w:space="0" w:color="auto"/>
            </w:tcBorders>
            <w:shd w:val="clear" w:color="auto" w:fill="auto"/>
            <w:noWrap/>
            <w:vAlign w:val="bottom"/>
            <w:hideMark/>
          </w:tcPr>
          <w:p w14:paraId="23A9E544" w14:textId="77777777" w:rsidR="00FE4BEF" w:rsidRPr="00FE4BEF" w:rsidRDefault="00FE4BEF" w:rsidP="00FE4BEF">
            <w:pPr>
              <w:spacing w:after="0" w:line="240" w:lineRule="auto"/>
              <w:jc w:val="right"/>
              <w:rPr>
                <w:rFonts w:ascii="Calibri" w:eastAsia="Times New Roman" w:hAnsi="Calibri" w:cs="Calibri"/>
                <w:i/>
                <w:iCs/>
                <w:sz w:val="20"/>
                <w:szCs w:val="20"/>
                <w:lang w:eastAsia="cs-CZ"/>
              </w:rPr>
            </w:pPr>
            <w:r w:rsidRPr="00FE4BEF">
              <w:rPr>
                <w:rFonts w:ascii="Calibri" w:eastAsia="Times New Roman" w:hAnsi="Calibri" w:cs="Calibri"/>
                <w:i/>
                <w:iCs/>
                <w:sz w:val="20"/>
                <w:szCs w:val="20"/>
                <w:lang w:eastAsia="cs-CZ"/>
              </w:rPr>
              <w:t>0</w:t>
            </w:r>
          </w:p>
        </w:tc>
        <w:tc>
          <w:tcPr>
            <w:tcW w:w="1418" w:type="dxa"/>
            <w:tcBorders>
              <w:top w:val="nil"/>
              <w:left w:val="nil"/>
              <w:bottom w:val="single" w:sz="4" w:space="0" w:color="auto"/>
              <w:right w:val="single" w:sz="4" w:space="0" w:color="auto"/>
            </w:tcBorders>
            <w:shd w:val="clear" w:color="auto" w:fill="auto"/>
            <w:noWrap/>
            <w:vAlign w:val="bottom"/>
            <w:hideMark/>
          </w:tcPr>
          <w:p w14:paraId="47CD2045" w14:textId="77777777" w:rsidR="00FE4BEF" w:rsidRPr="00FE4BEF" w:rsidRDefault="00FE4BEF" w:rsidP="00FE4BEF">
            <w:pPr>
              <w:spacing w:after="0" w:line="240" w:lineRule="auto"/>
              <w:jc w:val="right"/>
              <w:rPr>
                <w:rFonts w:ascii="Calibri" w:eastAsia="Times New Roman" w:hAnsi="Calibri" w:cs="Calibri"/>
                <w:i/>
                <w:iCs/>
                <w:sz w:val="20"/>
                <w:szCs w:val="20"/>
                <w:lang w:eastAsia="cs-CZ"/>
              </w:rPr>
            </w:pPr>
            <w:r w:rsidRPr="00FE4BEF">
              <w:rPr>
                <w:rFonts w:ascii="Calibri" w:eastAsia="Times New Roman" w:hAnsi="Calibri" w:cs="Calibri"/>
                <w:i/>
                <w:iCs/>
                <w:sz w:val="20"/>
                <w:szCs w:val="20"/>
                <w:lang w:eastAsia="cs-CZ"/>
              </w:rPr>
              <w:t>9 800,00</w:t>
            </w:r>
          </w:p>
        </w:tc>
        <w:tc>
          <w:tcPr>
            <w:tcW w:w="1417" w:type="dxa"/>
            <w:tcBorders>
              <w:top w:val="nil"/>
              <w:left w:val="nil"/>
              <w:bottom w:val="single" w:sz="4" w:space="0" w:color="auto"/>
              <w:right w:val="single" w:sz="4" w:space="0" w:color="auto"/>
            </w:tcBorders>
            <w:shd w:val="clear" w:color="auto" w:fill="auto"/>
            <w:noWrap/>
            <w:vAlign w:val="bottom"/>
            <w:hideMark/>
          </w:tcPr>
          <w:p w14:paraId="235BC43F" w14:textId="77777777" w:rsidR="00FE4BEF" w:rsidRPr="00FE4BEF" w:rsidRDefault="00FE4BEF" w:rsidP="00FE4BEF">
            <w:pPr>
              <w:spacing w:after="0" w:line="240" w:lineRule="auto"/>
              <w:jc w:val="right"/>
              <w:rPr>
                <w:rFonts w:ascii="Calibri" w:eastAsia="Times New Roman" w:hAnsi="Calibri" w:cs="Calibri"/>
                <w:i/>
                <w:iCs/>
                <w:sz w:val="20"/>
                <w:szCs w:val="20"/>
                <w:lang w:eastAsia="cs-CZ"/>
              </w:rPr>
            </w:pPr>
            <w:r w:rsidRPr="00FE4BEF">
              <w:rPr>
                <w:rFonts w:ascii="Calibri" w:eastAsia="Times New Roman" w:hAnsi="Calibri" w:cs="Calibri"/>
                <w:i/>
                <w:iCs/>
                <w:sz w:val="20"/>
                <w:szCs w:val="20"/>
                <w:lang w:eastAsia="cs-CZ"/>
              </w:rPr>
              <w:t>9 800,00</w:t>
            </w:r>
          </w:p>
        </w:tc>
        <w:tc>
          <w:tcPr>
            <w:tcW w:w="567" w:type="dxa"/>
            <w:tcBorders>
              <w:top w:val="nil"/>
              <w:left w:val="nil"/>
              <w:bottom w:val="single" w:sz="4" w:space="0" w:color="auto"/>
              <w:right w:val="single" w:sz="8" w:space="0" w:color="auto"/>
            </w:tcBorders>
            <w:shd w:val="clear" w:color="auto" w:fill="auto"/>
            <w:noWrap/>
            <w:vAlign w:val="bottom"/>
            <w:hideMark/>
          </w:tcPr>
          <w:p w14:paraId="12845BD0" w14:textId="77777777" w:rsidR="00FE4BEF" w:rsidRPr="00FE4BEF" w:rsidRDefault="00FE4BEF" w:rsidP="00FE4BEF">
            <w:pPr>
              <w:spacing w:after="0" w:line="240" w:lineRule="auto"/>
              <w:jc w:val="right"/>
              <w:rPr>
                <w:rFonts w:ascii="Calibri" w:eastAsia="Times New Roman" w:hAnsi="Calibri" w:cs="Calibri"/>
                <w:i/>
                <w:iCs/>
                <w:sz w:val="20"/>
                <w:szCs w:val="20"/>
                <w:lang w:eastAsia="cs-CZ"/>
              </w:rPr>
            </w:pPr>
            <w:r w:rsidRPr="00FE4BEF">
              <w:rPr>
                <w:rFonts w:ascii="Calibri" w:eastAsia="Times New Roman" w:hAnsi="Calibri" w:cs="Calibri"/>
                <w:i/>
                <w:iCs/>
                <w:sz w:val="20"/>
                <w:szCs w:val="20"/>
                <w:lang w:eastAsia="cs-CZ"/>
              </w:rPr>
              <w:t>100,0</w:t>
            </w:r>
          </w:p>
        </w:tc>
      </w:tr>
      <w:tr w:rsidR="00FE4BEF" w:rsidRPr="00FE4BEF" w14:paraId="62415C84" w14:textId="77777777" w:rsidTr="00687021">
        <w:trPr>
          <w:trHeight w:val="30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24049DDE" w14:textId="77777777" w:rsidR="00FE4BEF" w:rsidRPr="00FE4BEF" w:rsidRDefault="00FE4BEF" w:rsidP="00FE4BEF">
            <w:pPr>
              <w:spacing w:after="0" w:line="240" w:lineRule="auto"/>
              <w:jc w:val="center"/>
              <w:rPr>
                <w:rFonts w:ascii="Calibri" w:eastAsia="Times New Roman" w:hAnsi="Calibri" w:cs="Calibri"/>
                <w:sz w:val="20"/>
                <w:szCs w:val="20"/>
                <w:lang w:eastAsia="cs-CZ"/>
              </w:rPr>
            </w:pPr>
            <w:r w:rsidRPr="00FE4BEF">
              <w:rPr>
                <w:rFonts w:ascii="Calibri" w:eastAsia="Times New Roman" w:hAnsi="Calibri" w:cs="Calibri"/>
                <w:sz w:val="20"/>
                <w:szCs w:val="20"/>
                <w:lang w:eastAsia="cs-CZ"/>
              </w:rPr>
              <w:t> </w:t>
            </w:r>
          </w:p>
        </w:tc>
        <w:tc>
          <w:tcPr>
            <w:tcW w:w="4120" w:type="dxa"/>
            <w:tcBorders>
              <w:top w:val="nil"/>
              <w:left w:val="nil"/>
              <w:bottom w:val="single" w:sz="4" w:space="0" w:color="auto"/>
              <w:right w:val="single" w:sz="4" w:space="0" w:color="auto"/>
            </w:tcBorders>
            <w:shd w:val="clear" w:color="auto" w:fill="auto"/>
            <w:vAlign w:val="center"/>
            <w:hideMark/>
          </w:tcPr>
          <w:p w14:paraId="602906D1" w14:textId="6F73F5EC" w:rsidR="00FE4BEF" w:rsidRPr="00FE4BEF" w:rsidRDefault="00FE4BEF" w:rsidP="00FE4BEF">
            <w:pPr>
              <w:spacing w:after="0" w:line="240" w:lineRule="auto"/>
              <w:rPr>
                <w:rFonts w:ascii="Calibri" w:eastAsia="Times New Roman" w:hAnsi="Calibri" w:cs="Calibri"/>
                <w:i/>
                <w:iCs/>
                <w:sz w:val="20"/>
                <w:szCs w:val="20"/>
                <w:lang w:eastAsia="cs-CZ"/>
              </w:rPr>
            </w:pPr>
            <w:r w:rsidRPr="00FE4BEF">
              <w:rPr>
                <w:rFonts w:ascii="Calibri" w:eastAsia="Times New Roman" w:hAnsi="Calibri" w:cs="Calibri"/>
                <w:i/>
                <w:iCs/>
                <w:sz w:val="20"/>
                <w:szCs w:val="20"/>
                <w:lang w:eastAsia="cs-CZ"/>
              </w:rPr>
              <w:t xml:space="preserve">5168 </w:t>
            </w:r>
            <w:r w:rsidR="00E73885">
              <w:rPr>
                <w:rFonts w:ascii="Calibri" w:eastAsia="Times New Roman" w:hAnsi="Calibri" w:cs="Calibri"/>
                <w:i/>
                <w:iCs/>
                <w:sz w:val="20"/>
                <w:szCs w:val="20"/>
                <w:lang w:eastAsia="cs-CZ"/>
              </w:rPr>
              <w:t>z</w:t>
            </w:r>
            <w:r w:rsidRPr="00FE4BEF">
              <w:rPr>
                <w:rFonts w:ascii="Calibri" w:eastAsia="Times New Roman" w:hAnsi="Calibri" w:cs="Calibri"/>
                <w:i/>
                <w:iCs/>
                <w:sz w:val="20"/>
                <w:szCs w:val="20"/>
                <w:lang w:eastAsia="cs-CZ"/>
              </w:rPr>
              <w:t>pracování dat a služby souv</w:t>
            </w:r>
            <w:r w:rsidR="00E73885">
              <w:rPr>
                <w:rFonts w:ascii="Calibri" w:eastAsia="Times New Roman" w:hAnsi="Calibri" w:cs="Calibri"/>
                <w:i/>
                <w:iCs/>
                <w:sz w:val="20"/>
                <w:szCs w:val="20"/>
                <w:lang w:eastAsia="cs-CZ"/>
              </w:rPr>
              <w:t>isející</w:t>
            </w:r>
            <w:r w:rsidRPr="00FE4BEF">
              <w:rPr>
                <w:rFonts w:ascii="Calibri" w:eastAsia="Times New Roman" w:hAnsi="Calibri" w:cs="Calibri"/>
                <w:i/>
                <w:iCs/>
                <w:sz w:val="20"/>
                <w:szCs w:val="20"/>
                <w:lang w:eastAsia="cs-CZ"/>
              </w:rPr>
              <w:t xml:space="preserve"> s inf</w:t>
            </w:r>
            <w:r w:rsidR="00E73885">
              <w:rPr>
                <w:rFonts w:ascii="Calibri" w:eastAsia="Times New Roman" w:hAnsi="Calibri" w:cs="Calibri"/>
                <w:i/>
                <w:iCs/>
                <w:sz w:val="20"/>
                <w:szCs w:val="20"/>
                <w:lang w:eastAsia="cs-CZ"/>
              </w:rPr>
              <w:t>ormačními</w:t>
            </w:r>
            <w:r w:rsidRPr="00FE4BEF">
              <w:rPr>
                <w:rFonts w:ascii="Calibri" w:eastAsia="Times New Roman" w:hAnsi="Calibri" w:cs="Calibri"/>
                <w:i/>
                <w:iCs/>
                <w:sz w:val="20"/>
                <w:szCs w:val="20"/>
                <w:lang w:eastAsia="cs-CZ"/>
              </w:rPr>
              <w:t xml:space="preserve"> a kom</w:t>
            </w:r>
            <w:r w:rsidR="00E73885">
              <w:rPr>
                <w:rFonts w:ascii="Calibri" w:eastAsia="Times New Roman" w:hAnsi="Calibri" w:cs="Calibri"/>
                <w:i/>
                <w:iCs/>
                <w:sz w:val="20"/>
                <w:szCs w:val="20"/>
                <w:lang w:eastAsia="cs-CZ"/>
              </w:rPr>
              <w:t xml:space="preserve">unikačními </w:t>
            </w:r>
            <w:r w:rsidRPr="00FE4BEF">
              <w:rPr>
                <w:rFonts w:ascii="Calibri" w:eastAsia="Times New Roman" w:hAnsi="Calibri" w:cs="Calibri"/>
                <w:i/>
                <w:iCs/>
                <w:sz w:val="20"/>
                <w:szCs w:val="20"/>
                <w:lang w:eastAsia="cs-CZ"/>
              </w:rPr>
              <w:t>technol</w:t>
            </w:r>
            <w:r w:rsidR="00C47540">
              <w:rPr>
                <w:rFonts w:ascii="Calibri" w:eastAsia="Times New Roman" w:hAnsi="Calibri" w:cs="Calibri"/>
                <w:i/>
                <w:iCs/>
                <w:sz w:val="20"/>
                <w:szCs w:val="20"/>
                <w:lang w:eastAsia="cs-CZ"/>
              </w:rPr>
              <w:t>ogiemi</w:t>
            </w:r>
          </w:p>
        </w:tc>
        <w:tc>
          <w:tcPr>
            <w:tcW w:w="1433" w:type="dxa"/>
            <w:tcBorders>
              <w:top w:val="nil"/>
              <w:left w:val="nil"/>
              <w:bottom w:val="single" w:sz="4" w:space="0" w:color="auto"/>
              <w:right w:val="single" w:sz="4" w:space="0" w:color="auto"/>
            </w:tcBorders>
            <w:shd w:val="clear" w:color="auto" w:fill="auto"/>
            <w:noWrap/>
            <w:vAlign w:val="bottom"/>
            <w:hideMark/>
          </w:tcPr>
          <w:p w14:paraId="20F77078" w14:textId="77777777" w:rsidR="00FE4BEF" w:rsidRPr="00FE4BEF" w:rsidRDefault="00FE4BEF" w:rsidP="00FE4BEF">
            <w:pPr>
              <w:spacing w:after="0" w:line="240" w:lineRule="auto"/>
              <w:jc w:val="right"/>
              <w:rPr>
                <w:rFonts w:ascii="Calibri" w:eastAsia="Times New Roman" w:hAnsi="Calibri" w:cs="Calibri"/>
                <w:i/>
                <w:iCs/>
                <w:sz w:val="20"/>
                <w:szCs w:val="20"/>
                <w:lang w:eastAsia="cs-CZ"/>
              </w:rPr>
            </w:pPr>
            <w:r w:rsidRPr="00FE4BEF">
              <w:rPr>
                <w:rFonts w:ascii="Calibri" w:eastAsia="Times New Roman" w:hAnsi="Calibri" w:cs="Calibri"/>
                <w:i/>
                <w:iCs/>
                <w:sz w:val="20"/>
                <w:szCs w:val="20"/>
                <w:lang w:eastAsia="cs-CZ"/>
              </w:rPr>
              <w:t>0</w:t>
            </w:r>
          </w:p>
        </w:tc>
        <w:tc>
          <w:tcPr>
            <w:tcW w:w="1418" w:type="dxa"/>
            <w:tcBorders>
              <w:top w:val="nil"/>
              <w:left w:val="nil"/>
              <w:bottom w:val="single" w:sz="4" w:space="0" w:color="auto"/>
              <w:right w:val="single" w:sz="4" w:space="0" w:color="auto"/>
            </w:tcBorders>
            <w:shd w:val="clear" w:color="auto" w:fill="auto"/>
            <w:noWrap/>
            <w:vAlign w:val="bottom"/>
            <w:hideMark/>
          </w:tcPr>
          <w:p w14:paraId="4FA27EB0" w14:textId="77777777" w:rsidR="00FE4BEF" w:rsidRPr="00FE4BEF" w:rsidRDefault="00FE4BEF" w:rsidP="00FE4BEF">
            <w:pPr>
              <w:spacing w:after="0" w:line="240" w:lineRule="auto"/>
              <w:jc w:val="right"/>
              <w:rPr>
                <w:rFonts w:ascii="Calibri" w:eastAsia="Times New Roman" w:hAnsi="Calibri" w:cs="Calibri"/>
                <w:i/>
                <w:iCs/>
                <w:sz w:val="20"/>
                <w:szCs w:val="20"/>
                <w:lang w:eastAsia="cs-CZ"/>
              </w:rPr>
            </w:pPr>
            <w:r w:rsidRPr="00FE4BEF">
              <w:rPr>
                <w:rFonts w:ascii="Calibri" w:eastAsia="Times New Roman" w:hAnsi="Calibri" w:cs="Calibri"/>
                <w:i/>
                <w:iCs/>
                <w:sz w:val="20"/>
                <w:szCs w:val="20"/>
                <w:lang w:eastAsia="cs-CZ"/>
              </w:rPr>
              <w:t>211 750,00</w:t>
            </w:r>
          </w:p>
        </w:tc>
        <w:tc>
          <w:tcPr>
            <w:tcW w:w="1417" w:type="dxa"/>
            <w:tcBorders>
              <w:top w:val="nil"/>
              <w:left w:val="nil"/>
              <w:bottom w:val="single" w:sz="4" w:space="0" w:color="auto"/>
              <w:right w:val="single" w:sz="4" w:space="0" w:color="auto"/>
            </w:tcBorders>
            <w:shd w:val="clear" w:color="auto" w:fill="auto"/>
            <w:noWrap/>
            <w:vAlign w:val="bottom"/>
            <w:hideMark/>
          </w:tcPr>
          <w:p w14:paraId="27E310A3" w14:textId="77777777" w:rsidR="00FE4BEF" w:rsidRPr="00FE4BEF" w:rsidRDefault="00FE4BEF" w:rsidP="00FE4BEF">
            <w:pPr>
              <w:spacing w:after="0" w:line="240" w:lineRule="auto"/>
              <w:jc w:val="right"/>
              <w:rPr>
                <w:rFonts w:ascii="Calibri" w:eastAsia="Times New Roman" w:hAnsi="Calibri" w:cs="Calibri"/>
                <w:i/>
                <w:iCs/>
                <w:sz w:val="20"/>
                <w:szCs w:val="20"/>
                <w:lang w:eastAsia="cs-CZ"/>
              </w:rPr>
            </w:pPr>
            <w:r w:rsidRPr="00FE4BEF">
              <w:rPr>
                <w:rFonts w:ascii="Calibri" w:eastAsia="Times New Roman" w:hAnsi="Calibri" w:cs="Calibri"/>
                <w:i/>
                <w:iCs/>
                <w:sz w:val="20"/>
                <w:szCs w:val="20"/>
                <w:lang w:eastAsia="cs-CZ"/>
              </w:rPr>
              <w:t>211 750,00</w:t>
            </w:r>
          </w:p>
        </w:tc>
        <w:tc>
          <w:tcPr>
            <w:tcW w:w="567" w:type="dxa"/>
            <w:tcBorders>
              <w:top w:val="nil"/>
              <w:left w:val="nil"/>
              <w:bottom w:val="single" w:sz="4" w:space="0" w:color="auto"/>
              <w:right w:val="single" w:sz="8" w:space="0" w:color="auto"/>
            </w:tcBorders>
            <w:shd w:val="clear" w:color="auto" w:fill="auto"/>
            <w:noWrap/>
            <w:vAlign w:val="bottom"/>
            <w:hideMark/>
          </w:tcPr>
          <w:p w14:paraId="4D0209DE" w14:textId="77777777" w:rsidR="00FE4BEF" w:rsidRPr="00FE4BEF" w:rsidRDefault="00FE4BEF" w:rsidP="00FE4BEF">
            <w:pPr>
              <w:spacing w:after="0" w:line="240" w:lineRule="auto"/>
              <w:jc w:val="right"/>
              <w:rPr>
                <w:rFonts w:ascii="Calibri" w:eastAsia="Times New Roman" w:hAnsi="Calibri" w:cs="Calibri"/>
                <w:i/>
                <w:iCs/>
                <w:sz w:val="20"/>
                <w:szCs w:val="20"/>
                <w:lang w:eastAsia="cs-CZ"/>
              </w:rPr>
            </w:pPr>
            <w:r w:rsidRPr="00FE4BEF">
              <w:rPr>
                <w:rFonts w:ascii="Calibri" w:eastAsia="Times New Roman" w:hAnsi="Calibri" w:cs="Calibri"/>
                <w:i/>
                <w:iCs/>
                <w:sz w:val="20"/>
                <w:szCs w:val="20"/>
                <w:lang w:eastAsia="cs-CZ"/>
              </w:rPr>
              <w:t>100,0</w:t>
            </w:r>
          </w:p>
        </w:tc>
      </w:tr>
      <w:tr w:rsidR="00FE4BEF" w:rsidRPr="00FE4BEF" w14:paraId="10244306" w14:textId="77777777" w:rsidTr="00687021">
        <w:trPr>
          <w:trHeight w:val="30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0087301D" w14:textId="77777777" w:rsidR="00FE4BEF" w:rsidRPr="00FE4BEF" w:rsidRDefault="00FE4BEF" w:rsidP="00FE4BEF">
            <w:pPr>
              <w:spacing w:after="0" w:line="240" w:lineRule="auto"/>
              <w:jc w:val="center"/>
              <w:rPr>
                <w:rFonts w:ascii="Calibri" w:eastAsia="Times New Roman" w:hAnsi="Calibri" w:cs="Calibri"/>
                <w:sz w:val="20"/>
                <w:szCs w:val="20"/>
                <w:lang w:eastAsia="cs-CZ"/>
              </w:rPr>
            </w:pPr>
            <w:r w:rsidRPr="00FE4BEF">
              <w:rPr>
                <w:rFonts w:ascii="Calibri" w:eastAsia="Times New Roman" w:hAnsi="Calibri" w:cs="Calibri"/>
                <w:sz w:val="20"/>
                <w:szCs w:val="20"/>
                <w:lang w:eastAsia="cs-CZ"/>
              </w:rPr>
              <w:t> </w:t>
            </w:r>
          </w:p>
        </w:tc>
        <w:tc>
          <w:tcPr>
            <w:tcW w:w="4120" w:type="dxa"/>
            <w:tcBorders>
              <w:top w:val="nil"/>
              <w:left w:val="nil"/>
              <w:bottom w:val="single" w:sz="4" w:space="0" w:color="auto"/>
              <w:right w:val="single" w:sz="4" w:space="0" w:color="auto"/>
            </w:tcBorders>
            <w:shd w:val="clear" w:color="auto" w:fill="auto"/>
            <w:vAlign w:val="center"/>
            <w:hideMark/>
          </w:tcPr>
          <w:p w14:paraId="5D4D7B2F" w14:textId="77777777" w:rsidR="00FE4BEF" w:rsidRPr="00FE4BEF" w:rsidRDefault="00FE4BEF" w:rsidP="00FE4BEF">
            <w:pPr>
              <w:spacing w:after="0" w:line="240" w:lineRule="auto"/>
              <w:rPr>
                <w:rFonts w:ascii="Calibri" w:eastAsia="Times New Roman" w:hAnsi="Calibri" w:cs="Calibri"/>
                <w:i/>
                <w:iCs/>
                <w:sz w:val="20"/>
                <w:szCs w:val="20"/>
                <w:lang w:eastAsia="cs-CZ"/>
              </w:rPr>
            </w:pPr>
            <w:r w:rsidRPr="00FE4BEF">
              <w:rPr>
                <w:rFonts w:ascii="Calibri" w:eastAsia="Times New Roman" w:hAnsi="Calibri" w:cs="Calibri"/>
                <w:i/>
                <w:iCs/>
                <w:sz w:val="20"/>
                <w:szCs w:val="20"/>
                <w:lang w:eastAsia="cs-CZ"/>
              </w:rPr>
              <w:t>5169 nákup ostatních služeb</w:t>
            </w:r>
          </w:p>
        </w:tc>
        <w:tc>
          <w:tcPr>
            <w:tcW w:w="1433" w:type="dxa"/>
            <w:tcBorders>
              <w:top w:val="nil"/>
              <w:left w:val="nil"/>
              <w:bottom w:val="single" w:sz="4" w:space="0" w:color="auto"/>
              <w:right w:val="single" w:sz="4" w:space="0" w:color="auto"/>
            </w:tcBorders>
            <w:shd w:val="clear" w:color="auto" w:fill="auto"/>
            <w:noWrap/>
            <w:vAlign w:val="bottom"/>
            <w:hideMark/>
          </w:tcPr>
          <w:p w14:paraId="007BB231" w14:textId="77777777" w:rsidR="00FE4BEF" w:rsidRPr="00FE4BEF" w:rsidRDefault="00FE4BEF" w:rsidP="00FE4BEF">
            <w:pPr>
              <w:spacing w:after="0" w:line="240" w:lineRule="auto"/>
              <w:jc w:val="right"/>
              <w:rPr>
                <w:rFonts w:ascii="Calibri" w:eastAsia="Times New Roman" w:hAnsi="Calibri" w:cs="Calibri"/>
                <w:i/>
                <w:iCs/>
                <w:sz w:val="20"/>
                <w:szCs w:val="20"/>
                <w:lang w:eastAsia="cs-CZ"/>
              </w:rPr>
            </w:pPr>
            <w:r w:rsidRPr="00FE4BEF">
              <w:rPr>
                <w:rFonts w:ascii="Calibri" w:eastAsia="Times New Roman" w:hAnsi="Calibri" w:cs="Calibri"/>
                <w:i/>
                <w:iCs/>
                <w:sz w:val="20"/>
                <w:szCs w:val="20"/>
                <w:lang w:eastAsia="cs-CZ"/>
              </w:rPr>
              <w:t>2 000 000</w:t>
            </w:r>
          </w:p>
        </w:tc>
        <w:tc>
          <w:tcPr>
            <w:tcW w:w="1418" w:type="dxa"/>
            <w:tcBorders>
              <w:top w:val="nil"/>
              <w:left w:val="nil"/>
              <w:bottom w:val="single" w:sz="4" w:space="0" w:color="auto"/>
              <w:right w:val="single" w:sz="4" w:space="0" w:color="auto"/>
            </w:tcBorders>
            <w:shd w:val="clear" w:color="auto" w:fill="auto"/>
            <w:noWrap/>
            <w:vAlign w:val="bottom"/>
            <w:hideMark/>
          </w:tcPr>
          <w:p w14:paraId="246FA0E6" w14:textId="77777777" w:rsidR="00FE4BEF" w:rsidRPr="00FE4BEF" w:rsidRDefault="00FE4BEF" w:rsidP="00FE4BEF">
            <w:pPr>
              <w:spacing w:after="0" w:line="240" w:lineRule="auto"/>
              <w:jc w:val="right"/>
              <w:rPr>
                <w:rFonts w:ascii="Calibri" w:eastAsia="Times New Roman" w:hAnsi="Calibri" w:cs="Calibri"/>
                <w:i/>
                <w:iCs/>
                <w:sz w:val="20"/>
                <w:szCs w:val="20"/>
                <w:lang w:eastAsia="cs-CZ"/>
              </w:rPr>
            </w:pPr>
            <w:r w:rsidRPr="00FE4BEF">
              <w:rPr>
                <w:rFonts w:ascii="Calibri" w:eastAsia="Times New Roman" w:hAnsi="Calibri" w:cs="Calibri"/>
                <w:i/>
                <w:iCs/>
                <w:sz w:val="20"/>
                <w:szCs w:val="20"/>
                <w:lang w:eastAsia="cs-CZ"/>
              </w:rPr>
              <w:t>6 938 630,10</w:t>
            </w:r>
          </w:p>
        </w:tc>
        <w:tc>
          <w:tcPr>
            <w:tcW w:w="1417" w:type="dxa"/>
            <w:tcBorders>
              <w:top w:val="nil"/>
              <w:left w:val="nil"/>
              <w:bottom w:val="single" w:sz="4" w:space="0" w:color="auto"/>
              <w:right w:val="single" w:sz="4" w:space="0" w:color="auto"/>
            </w:tcBorders>
            <w:shd w:val="clear" w:color="auto" w:fill="auto"/>
            <w:noWrap/>
            <w:vAlign w:val="bottom"/>
            <w:hideMark/>
          </w:tcPr>
          <w:p w14:paraId="697C59A4" w14:textId="77777777" w:rsidR="00FE4BEF" w:rsidRPr="00FE4BEF" w:rsidRDefault="00FE4BEF" w:rsidP="00FE4BEF">
            <w:pPr>
              <w:spacing w:after="0" w:line="240" w:lineRule="auto"/>
              <w:jc w:val="right"/>
              <w:rPr>
                <w:rFonts w:ascii="Calibri" w:eastAsia="Times New Roman" w:hAnsi="Calibri" w:cs="Calibri"/>
                <w:i/>
                <w:iCs/>
                <w:sz w:val="20"/>
                <w:szCs w:val="20"/>
                <w:lang w:eastAsia="cs-CZ"/>
              </w:rPr>
            </w:pPr>
            <w:r w:rsidRPr="00FE4BEF">
              <w:rPr>
                <w:rFonts w:ascii="Calibri" w:eastAsia="Times New Roman" w:hAnsi="Calibri" w:cs="Calibri"/>
                <w:i/>
                <w:iCs/>
                <w:sz w:val="20"/>
                <w:szCs w:val="20"/>
                <w:lang w:eastAsia="cs-CZ"/>
              </w:rPr>
              <w:t>1 668 972,80</w:t>
            </w:r>
          </w:p>
        </w:tc>
        <w:tc>
          <w:tcPr>
            <w:tcW w:w="567" w:type="dxa"/>
            <w:tcBorders>
              <w:top w:val="nil"/>
              <w:left w:val="nil"/>
              <w:bottom w:val="single" w:sz="4" w:space="0" w:color="auto"/>
              <w:right w:val="single" w:sz="8" w:space="0" w:color="auto"/>
            </w:tcBorders>
            <w:shd w:val="clear" w:color="auto" w:fill="auto"/>
            <w:noWrap/>
            <w:vAlign w:val="bottom"/>
            <w:hideMark/>
          </w:tcPr>
          <w:p w14:paraId="6287D5DC" w14:textId="77777777" w:rsidR="00FE4BEF" w:rsidRPr="00FE4BEF" w:rsidRDefault="00FE4BEF" w:rsidP="00FE4BEF">
            <w:pPr>
              <w:spacing w:after="0" w:line="240" w:lineRule="auto"/>
              <w:jc w:val="right"/>
              <w:rPr>
                <w:rFonts w:ascii="Calibri" w:eastAsia="Times New Roman" w:hAnsi="Calibri" w:cs="Calibri"/>
                <w:i/>
                <w:iCs/>
                <w:sz w:val="20"/>
                <w:szCs w:val="20"/>
                <w:lang w:eastAsia="cs-CZ"/>
              </w:rPr>
            </w:pPr>
            <w:r w:rsidRPr="00FE4BEF">
              <w:rPr>
                <w:rFonts w:ascii="Calibri" w:eastAsia="Times New Roman" w:hAnsi="Calibri" w:cs="Calibri"/>
                <w:i/>
                <w:iCs/>
                <w:sz w:val="20"/>
                <w:szCs w:val="20"/>
                <w:lang w:eastAsia="cs-CZ"/>
              </w:rPr>
              <w:t>24,1</w:t>
            </w:r>
          </w:p>
        </w:tc>
      </w:tr>
      <w:tr w:rsidR="00FE4BEF" w:rsidRPr="00FE4BEF" w14:paraId="155EF897" w14:textId="77777777" w:rsidTr="00687021">
        <w:trPr>
          <w:trHeight w:val="30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5A2BF872" w14:textId="77777777" w:rsidR="00FE4BEF" w:rsidRPr="00FE4BEF" w:rsidRDefault="00FE4BEF" w:rsidP="00FE4BEF">
            <w:pPr>
              <w:spacing w:after="0" w:line="240" w:lineRule="auto"/>
              <w:jc w:val="center"/>
              <w:rPr>
                <w:rFonts w:ascii="Calibri" w:eastAsia="Times New Roman" w:hAnsi="Calibri" w:cs="Calibri"/>
                <w:sz w:val="20"/>
                <w:szCs w:val="20"/>
                <w:lang w:eastAsia="cs-CZ"/>
              </w:rPr>
            </w:pPr>
            <w:r w:rsidRPr="00FE4BEF">
              <w:rPr>
                <w:rFonts w:ascii="Calibri" w:eastAsia="Times New Roman" w:hAnsi="Calibri" w:cs="Calibri"/>
                <w:sz w:val="20"/>
                <w:szCs w:val="20"/>
                <w:lang w:eastAsia="cs-CZ"/>
              </w:rPr>
              <w:t> </w:t>
            </w:r>
          </w:p>
        </w:tc>
        <w:tc>
          <w:tcPr>
            <w:tcW w:w="4120" w:type="dxa"/>
            <w:tcBorders>
              <w:top w:val="nil"/>
              <w:left w:val="nil"/>
              <w:bottom w:val="single" w:sz="4" w:space="0" w:color="auto"/>
              <w:right w:val="single" w:sz="4" w:space="0" w:color="auto"/>
            </w:tcBorders>
            <w:shd w:val="clear" w:color="auto" w:fill="auto"/>
            <w:vAlign w:val="center"/>
            <w:hideMark/>
          </w:tcPr>
          <w:p w14:paraId="63E72140" w14:textId="77777777" w:rsidR="00FE4BEF" w:rsidRPr="00FE4BEF" w:rsidRDefault="00FE4BEF" w:rsidP="00FE4BEF">
            <w:pPr>
              <w:spacing w:after="0" w:line="240" w:lineRule="auto"/>
              <w:rPr>
                <w:rFonts w:ascii="Calibri" w:eastAsia="Times New Roman" w:hAnsi="Calibri" w:cs="Calibri"/>
                <w:i/>
                <w:iCs/>
                <w:sz w:val="20"/>
                <w:szCs w:val="20"/>
                <w:lang w:eastAsia="cs-CZ"/>
              </w:rPr>
            </w:pPr>
            <w:r w:rsidRPr="00FE4BEF">
              <w:rPr>
                <w:rFonts w:ascii="Calibri" w:eastAsia="Times New Roman" w:hAnsi="Calibri" w:cs="Calibri"/>
                <w:i/>
                <w:iCs/>
                <w:sz w:val="20"/>
                <w:szCs w:val="20"/>
                <w:lang w:eastAsia="cs-CZ"/>
              </w:rPr>
              <w:t>5175 pohoštění</w:t>
            </w:r>
          </w:p>
        </w:tc>
        <w:tc>
          <w:tcPr>
            <w:tcW w:w="1433" w:type="dxa"/>
            <w:tcBorders>
              <w:top w:val="nil"/>
              <w:left w:val="nil"/>
              <w:bottom w:val="single" w:sz="4" w:space="0" w:color="auto"/>
              <w:right w:val="single" w:sz="4" w:space="0" w:color="auto"/>
            </w:tcBorders>
            <w:shd w:val="clear" w:color="auto" w:fill="auto"/>
            <w:noWrap/>
            <w:vAlign w:val="bottom"/>
            <w:hideMark/>
          </w:tcPr>
          <w:p w14:paraId="34F38D69" w14:textId="77777777" w:rsidR="00FE4BEF" w:rsidRPr="00FE4BEF" w:rsidRDefault="00FE4BEF" w:rsidP="00FE4BEF">
            <w:pPr>
              <w:spacing w:after="0" w:line="240" w:lineRule="auto"/>
              <w:jc w:val="right"/>
              <w:rPr>
                <w:rFonts w:ascii="Calibri" w:eastAsia="Times New Roman" w:hAnsi="Calibri" w:cs="Calibri"/>
                <w:i/>
                <w:iCs/>
                <w:sz w:val="20"/>
                <w:szCs w:val="20"/>
                <w:lang w:eastAsia="cs-CZ"/>
              </w:rPr>
            </w:pPr>
            <w:r w:rsidRPr="00FE4BEF">
              <w:rPr>
                <w:rFonts w:ascii="Calibri" w:eastAsia="Times New Roman" w:hAnsi="Calibri" w:cs="Calibri"/>
                <w:i/>
                <w:iCs/>
                <w:sz w:val="20"/>
                <w:szCs w:val="20"/>
                <w:lang w:eastAsia="cs-CZ"/>
              </w:rPr>
              <w:t>0</w:t>
            </w:r>
          </w:p>
        </w:tc>
        <w:tc>
          <w:tcPr>
            <w:tcW w:w="1418" w:type="dxa"/>
            <w:tcBorders>
              <w:top w:val="nil"/>
              <w:left w:val="nil"/>
              <w:bottom w:val="single" w:sz="4" w:space="0" w:color="auto"/>
              <w:right w:val="single" w:sz="4" w:space="0" w:color="auto"/>
            </w:tcBorders>
            <w:shd w:val="clear" w:color="auto" w:fill="auto"/>
            <w:noWrap/>
            <w:vAlign w:val="bottom"/>
            <w:hideMark/>
          </w:tcPr>
          <w:p w14:paraId="7E84C3F7" w14:textId="77777777" w:rsidR="00FE4BEF" w:rsidRPr="00FE4BEF" w:rsidRDefault="00FE4BEF" w:rsidP="00FE4BEF">
            <w:pPr>
              <w:spacing w:after="0" w:line="240" w:lineRule="auto"/>
              <w:jc w:val="right"/>
              <w:rPr>
                <w:rFonts w:ascii="Calibri" w:eastAsia="Times New Roman" w:hAnsi="Calibri" w:cs="Calibri"/>
                <w:i/>
                <w:iCs/>
                <w:sz w:val="20"/>
                <w:szCs w:val="20"/>
                <w:lang w:eastAsia="cs-CZ"/>
              </w:rPr>
            </w:pPr>
            <w:r w:rsidRPr="00FE4BEF">
              <w:rPr>
                <w:rFonts w:ascii="Calibri" w:eastAsia="Times New Roman" w:hAnsi="Calibri" w:cs="Calibri"/>
                <w:i/>
                <w:iCs/>
                <w:sz w:val="20"/>
                <w:szCs w:val="20"/>
                <w:lang w:eastAsia="cs-CZ"/>
              </w:rPr>
              <w:t>37 509,94</w:t>
            </w:r>
          </w:p>
        </w:tc>
        <w:tc>
          <w:tcPr>
            <w:tcW w:w="1417" w:type="dxa"/>
            <w:tcBorders>
              <w:top w:val="nil"/>
              <w:left w:val="nil"/>
              <w:bottom w:val="single" w:sz="4" w:space="0" w:color="auto"/>
              <w:right w:val="single" w:sz="4" w:space="0" w:color="auto"/>
            </w:tcBorders>
            <w:shd w:val="clear" w:color="auto" w:fill="auto"/>
            <w:noWrap/>
            <w:vAlign w:val="bottom"/>
            <w:hideMark/>
          </w:tcPr>
          <w:p w14:paraId="465EDE3B" w14:textId="77777777" w:rsidR="00FE4BEF" w:rsidRPr="00FE4BEF" w:rsidRDefault="00FE4BEF" w:rsidP="00FE4BEF">
            <w:pPr>
              <w:spacing w:after="0" w:line="240" w:lineRule="auto"/>
              <w:jc w:val="right"/>
              <w:rPr>
                <w:rFonts w:ascii="Calibri" w:eastAsia="Times New Roman" w:hAnsi="Calibri" w:cs="Calibri"/>
                <w:i/>
                <w:iCs/>
                <w:sz w:val="20"/>
                <w:szCs w:val="20"/>
                <w:lang w:eastAsia="cs-CZ"/>
              </w:rPr>
            </w:pPr>
            <w:r w:rsidRPr="00FE4BEF">
              <w:rPr>
                <w:rFonts w:ascii="Calibri" w:eastAsia="Times New Roman" w:hAnsi="Calibri" w:cs="Calibri"/>
                <w:i/>
                <w:iCs/>
                <w:sz w:val="20"/>
                <w:szCs w:val="20"/>
                <w:lang w:eastAsia="cs-CZ"/>
              </w:rPr>
              <w:t>30 000,00</w:t>
            </w:r>
          </w:p>
        </w:tc>
        <w:tc>
          <w:tcPr>
            <w:tcW w:w="567" w:type="dxa"/>
            <w:tcBorders>
              <w:top w:val="nil"/>
              <w:left w:val="nil"/>
              <w:bottom w:val="single" w:sz="4" w:space="0" w:color="auto"/>
              <w:right w:val="single" w:sz="8" w:space="0" w:color="auto"/>
            </w:tcBorders>
            <w:shd w:val="clear" w:color="auto" w:fill="auto"/>
            <w:noWrap/>
            <w:vAlign w:val="bottom"/>
            <w:hideMark/>
          </w:tcPr>
          <w:p w14:paraId="40804EE2" w14:textId="77777777" w:rsidR="00FE4BEF" w:rsidRPr="00FE4BEF" w:rsidRDefault="00FE4BEF" w:rsidP="00FE4BEF">
            <w:pPr>
              <w:spacing w:after="0" w:line="240" w:lineRule="auto"/>
              <w:jc w:val="right"/>
              <w:rPr>
                <w:rFonts w:ascii="Calibri" w:eastAsia="Times New Roman" w:hAnsi="Calibri" w:cs="Calibri"/>
                <w:i/>
                <w:iCs/>
                <w:sz w:val="20"/>
                <w:szCs w:val="20"/>
                <w:lang w:eastAsia="cs-CZ"/>
              </w:rPr>
            </w:pPr>
            <w:r w:rsidRPr="00FE4BEF">
              <w:rPr>
                <w:rFonts w:ascii="Calibri" w:eastAsia="Times New Roman" w:hAnsi="Calibri" w:cs="Calibri"/>
                <w:i/>
                <w:iCs/>
                <w:sz w:val="20"/>
                <w:szCs w:val="20"/>
                <w:lang w:eastAsia="cs-CZ"/>
              </w:rPr>
              <w:t>80,0</w:t>
            </w:r>
          </w:p>
        </w:tc>
      </w:tr>
      <w:tr w:rsidR="00FE4BEF" w:rsidRPr="00FE4BEF" w14:paraId="71162E17" w14:textId="77777777" w:rsidTr="00687021">
        <w:trPr>
          <w:trHeight w:val="30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77736D14" w14:textId="77777777" w:rsidR="00FE4BEF" w:rsidRPr="00FE4BEF" w:rsidRDefault="00FE4BEF" w:rsidP="00FE4BEF">
            <w:pPr>
              <w:spacing w:after="0" w:line="240" w:lineRule="auto"/>
              <w:jc w:val="center"/>
              <w:rPr>
                <w:rFonts w:ascii="Calibri" w:eastAsia="Times New Roman" w:hAnsi="Calibri" w:cs="Calibri"/>
                <w:sz w:val="20"/>
                <w:szCs w:val="20"/>
                <w:lang w:eastAsia="cs-CZ"/>
              </w:rPr>
            </w:pPr>
            <w:r w:rsidRPr="00FE4BEF">
              <w:rPr>
                <w:rFonts w:ascii="Calibri" w:eastAsia="Times New Roman" w:hAnsi="Calibri" w:cs="Calibri"/>
                <w:sz w:val="20"/>
                <w:szCs w:val="20"/>
                <w:lang w:eastAsia="cs-CZ"/>
              </w:rPr>
              <w:t> </w:t>
            </w:r>
          </w:p>
        </w:tc>
        <w:tc>
          <w:tcPr>
            <w:tcW w:w="4120" w:type="dxa"/>
            <w:tcBorders>
              <w:top w:val="nil"/>
              <w:left w:val="nil"/>
              <w:bottom w:val="single" w:sz="4" w:space="0" w:color="auto"/>
              <w:right w:val="single" w:sz="4" w:space="0" w:color="auto"/>
            </w:tcBorders>
            <w:shd w:val="clear" w:color="auto" w:fill="auto"/>
            <w:vAlign w:val="center"/>
            <w:hideMark/>
          </w:tcPr>
          <w:p w14:paraId="222C8942" w14:textId="77777777" w:rsidR="00FE4BEF" w:rsidRPr="00FE4BEF" w:rsidRDefault="00FE4BEF" w:rsidP="00FE4BEF">
            <w:pPr>
              <w:spacing w:after="0" w:line="240" w:lineRule="auto"/>
              <w:rPr>
                <w:rFonts w:ascii="Calibri" w:eastAsia="Times New Roman" w:hAnsi="Calibri" w:cs="Calibri"/>
                <w:i/>
                <w:iCs/>
                <w:sz w:val="20"/>
                <w:szCs w:val="20"/>
                <w:lang w:eastAsia="cs-CZ"/>
              </w:rPr>
            </w:pPr>
            <w:r w:rsidRPr="00FE4BEF">
              <w:rPr>
                <w:rFonts w:ascii="Calibri" w:eastAsia="Times New Roman" w:hAnsi="Calibri" w:cs="Calibri"/>
                <w:i/>
                <w:iCs/>
                <w:sz w:val="20"/>
                <w:szCs w:val="20"/>
                <w:lang w:eastAsia="cs-CZ"/>
              </w:rPr>
              <w:t>5192 poskytnuté náhrady</w:t>
            </w:r>
          </w:p>
        </w:tc>
        <w:tc>
          <w:tcPr>
            <w:tcW w:w="1433" w:type="dxa"/>
            <w:tcBorders>
              <w:top w:val="nil"/>
              <w:left w:val="nil"/>
              <w:bottom w:val="single" w:sz="4" w:space="0" w:color="auto"/>
              <w:right w:val="single" w:sz="4" w:space="0" w:color="auto"/>
            </w:tcBorders>
            <w:shd w:val="clear" w:color="auto" w:fill="auto"/>
            <w:noWrap/>
            <w:vAlign w:val="bottom"/>
            <w:hideMark/>
          </w:tcPr>
          <w:p w14:paraId="219A7F85" w14:textId="77777777" w:rsidR="00FE4BEF" w:rsidRPr="00FE4BEF" w:rsidRDefault="00FE4BEF" w:rsidP="00FE4BEF">
            <w:pPr>
              <w:spacing w:after="0" w:line="240" w:lineRule="auto"/>
              <w:jc w:val="right"/>
              <w:rPr>
                <w:rFonts w:ascii="Calibri" w:eastAsia="Times New Roman" w:hAnsi="Calibri" w:cs="Calibri"/>
                <w:i/>
                <w:iCs/>
                <w:sz w:val="20"/>
                <w:szCs w:val="20"/>
                <w:lang w:eastAsia="cs-CZ"/>
              </w:rPr>
            </w:pPr>
            <w:r w:rsidRPr="00FE4BEF">
              <w:rPr>
                <w:rFonts w:ascii="Calibri" w:eastAsia="Times New Roman" w:hAnsi="Calibri" w:cs="Calibri"/>
                <w:i/>
                <w:iCs/>
                <w:sz w:val="20"/>
                <w:szCs w:val="20"/>
                <w:lang w:eastAsia="cs-CZ"/>
              </w:rPr>
              <w:t>0</w:t>
            </w:r>
          </w:p>
        </w:tc>
        <w:tc>
          <w:tcPr>
            <w:tcW w:w="1418" w:type="dxa"/>
            <w:tcBorders>
              <w:top w:val="nil"/>
              <w:left w:val="nil"/>
              <w:bottom w:val="single" w:sz="4" w:space="0" w:color="auto"/>
              <w:right w:val="single" w:sz="4" w:space="0" w:color="auto"/>
            </w:tcBorders>
            <w:shd w:val="clear" w:color="auto" w:fill="auto"/>
            <w:noWrap/>
            <w:vAlign w:val="bottom"/>
            <w:hideMark/>
          </w:tcPr>
          <w:p w14:paraId="3F1AE34A" w14:textId="77777777" w:rsidR="00FE4BEF" w:rsidRPr="00FE4BEF" w:rsidRDefault="00FE4BEF" w:rsidP="00FE4BEF">
            <w:pPr>
              <w:spacing w:after="0" w:line="240" w:lineRule="auto"/>
              <w:jc w:val="right"/>
              <w:rPr>
                <w:rFonts w:ascii="Calibri" w:eastAsia="Times New Roman" w:hAnsi="Calibri" w:cs="Calibri"/>
                <w:i/>
                <w:iCs/>
                <w:sz w:val="20"/>
                <w:szCs w:val="20"/>
                <w:lang w:eastAsia="cs-CZ"/>
              </w:rPr>
            </w:pPr>
            <w:r w:rsidRPr="00FE4BEF">
              <w:rPr>
                <w:rFonts w:ascii="Calibri" w:eastAsia="Times New Roman" w:hAnsi="Calibri" w:cs="Calibri"/>
                <w:i/>
                <w:iCs/>
                <w:sz w:val="20"/>
                <w:szCs w:val="20"/>
                <w:lang w:eastAsia="cs-CZ"/>
              </w:rPr>
              <w:t>605 220,00</w:t>
            </w:r>
          </w:p>
        </w:tc>
        <w:tc>
          <w:tcPr>
            <w:tcW w:w="1417" w:type="dxa"/>
            <w:tcBorders>
              <w:top w:val="nil"/>
              <w:left w:val="nil"/>
              <w:bottom w:val="single" w:sz="4" w:space="0" w:color="auto"/>
              <w:right w:val="single" w:sz="4" w:space="0" w:color="auto"/>
            </w:tcBorders>
            <w:shd w:val="clear" w:color="auto" w:fill="auto"/>
            <w:noWrap/>
            <w:vAlign w:val="bottom"/>
            <w:hideMark/>
          </w:tcPr>
          <w:p w14:paraId="058E5CC9" w14:textId="77777777" w:rsidR="00FE4BEF" w:rsidRPr="00FE4BEF" w:rsidRDefault="00FE4BEF" w:rsidP="00FE4BEF">
            <w:pPr>
              <w:spacing w:after="0" w:line="240" w:lineRule="auto"/>
              <w:jc w:val="right"/>
              <w:rPr>
                <w:rFonts w:ascii="Calibri" w:eastAsia="Times New Roman" w:hAnsi="Calibri" w:cs="Calibri"/>
                <w:i/>
                <w:iCs/>
                <w:sz w:val="20"/>
                <w:szCs w:val="20"/>
                <w:lang w:eastAsia="cs-CZ"/>
              </w:rPr>
            </w:pPr>
            <w:r w:rsidRPr="00FE4BEF">
              <w:rPr>
                <w:rFonts w:ascii="Calibri" w:eastAsia="Times New Roman" w:hAnsi="Calibri" w:cs="Calibri"/>
                <w:i/>
                <w:iCs/>
                <w:sz w:val="20"/>
                <w:szCs w:val="20"/>
                <w:lang w:eastAsia="cs-CZ"/>
              </w:rPr>
              <w:t>0,00</w:t>
            </w:r>
          </w:p>
        </w:tc>
        <w:tc>
          <w:tcPr>
            <w:tcW w:w="567" w:type="dxa"/>
            <w:tcBorders>
              <w:top w:val="nil"/>
              <w:left w:val="nil"/>
              <w:bottom w:val="single" w:sz="4" w:space="0" w:color="auto"/>
              <w:right w:val="single" w:sz="8" w:space="0" w:color="auto"/>
            </w:tcBorders>
            <w:shd w:val="clear" w:color="auto" w:fill="auto"/>
            <w:noWrap/>
            <w:vAlign w:val="bottom"/>
            <w:hideMark/>
          </w:tcPr>
          <w:p w14:paraId="418A48C3" w14:textId="77777777" w:rsidR="00FE4BEF" w:rsidRPr="00FE4BEF" w:rsidRDefault="00FE4BEF" w:rsidP="00FE4BEF">
            <w:pPr>
              <w:spacing w:after="0" w:line="240" w:lineRule="auto"/>
              <w:jc w:val="right"/>
              <w:rPr>
                <w:rFonts w:ascii="Calibri" w:eastAsia="Times New Roman" w:hAnsi="Calibri" w:cs="Calibri"/>
                <w:i/>
                <w:iCs/>
                <w:sz w:val="20"/>
                <w:szCs w:val="20"/>
                <w:lang w:eastAsia="cs-CZ"/>
              </w:rPr>
            </w:pPr>
            <w:r w:rsidRPr="00FE4BEF">
              <w:rPr>
                <w:rFonts w:ascii="Calibri" w:eastAsia="Times New Roman" w:hAnsi="Calibri" w:cs="Calibri"/>
                <w:i/>
                <w:iCs/>
                <w:sz w:val="20"/>
                <w:szCs w:val="20"/>
                <w:lang w:eastAsia="cs-CZ"/>
              </w:rPr>
              <w:t>0,0</w:t>
            </w:r>
          </w:p>
        </w:tc>
      </w:tr>
      <w:tr w:rsidR="00FE4BEF" w:rsidRPr="00FE4BEF" w14:paraId="070291C9" w14:textId="77777777" w:rsidTr="00687021">
        <w:trPr>
          <w:trHeight w:val="30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7AF30C9B" w14:textId="77777777" w:rsidR="00FE4BEF" w:rsidRPr="00FE4BEF" w:rsidRDefault="00FE4BEF" w:rsidP="00FE4BEF">
            <w:pPr>
              <w:spacing w:after="0" w:line="240" w:lineRule="auto"/>
              <w:jc w:val="center"/>
              <w:rPr>
                <w:rFonts w:ascii="Calibri" w:eastAsia="Times New Roman" w:hAnsi="Calibri" w:cs="Calibri"/>
                <w:sz w:val="20"/>
                <w:szCs w:val="20"/>
                <w:lang w:eastAsia="cs-CZ"/>
              </w:rPr>
            </w:pPr>
            <w:r w:rsidRPr="00FE4BEF">
              <w:rPr>
                <w:rFonts w:ascii="Calibri" w:eastAsia="Times New Roman" w:hAnsi="Calibri" w:cs="Calibri"/>
                <w:sz w:val="20"/>
                <w:szCs w:val="20"/>
                <w:lang w:eastAsia="cs-CZ"/>
              </w:rPr>
              <w:t>3636</w:t>
            </w:r>
          </w:p>
        </w:tc>
        <w:tc>
          <w:tcPr>
            <w:tcW w:w="4120" w:type="dxa"/>
            <w:tcBorders>
              <w:top w:val="nil"/>
              <w:left w:val="nil"/>
              <w:bottom w:val="nil"/>
              <w:right w:val="single" w:sz="4" w:space="0" w:color="auto"/>
            </w:tcBorders>
            <w:shd w:val="clear" w:color="auto" w:fill="auto"/>
            <w:vAlign w:val="center"/>
            <w:hideMark/>
          </w:tcPr>
          <w:p w14:paraId="59379802" w14:textId="77777777" w:rsidR="00FE4BEF" w:rsidRPr="00FE4BEF" w:rsidRDefault="00FE4BEF" w:rsidP="00FE4BEF">
            <w:pPr>
              <w:spacing w:after="0" w:line="240" w:lineRule="auto"/>
              <w:rPr>
                <w:rFonts w:ascii="Calibri" w:eastAsia="Times New Roman" w:hAnsi="Calibri" w:cs="Calibri"/>
                <w:sz w:val="20"/>
                <w:szCs w:val="20"/>
                <w:lang w:eastAsia="cs-CZ"/>
              </w:rPr>
            </w:pPr>
            <w:r w:rsidRPr="00FE4BEF">
              <w:rPr>
                <w:rFonts w:ascii="Calibri" w:eastAsia="Times New Roman" w:hAnsi="Calibri" w:cs="Calibri"/>
                <w:sz w:val="20"/>
                <w:szCs w:val="20"/>
                <w:lang w:eastAsia="cs-CZ"/>
              </w:rPr>
              <w:t>Územně analytické podklady SK</w:t>
            </w:r>
          </w:p>
        </w:tc>
        <w:tc>
          <w:tcPr>
            <w:tcW w:w="1433" w:type="dxa"/>
            <w:tcBorders>
              <w:top w:val="nil"/>
              <w:left w:val="nil"/>
              <w:bottom w:val="nil"/>
              <w:right w:val="single" w:sz="4" w:space="0" w:color="auto"/>
            </w:tcBorders>
            <w:shd w:val="clear" w:color="auto" w:fill="auto"/>
            <w:noWrap/>
            <w:vAlign w:val="bottom"/>
            <w:hideMark/>
          </w:tcPr>
          <w:p w14:paraId="44CF6EC0" w14:textId="77777777" w:rsidR="00FE4BEF" w:rsidRPr="00FE4BEF" w:rsidRDefault="00FE4BEF" w:rsidP="00FE4BEF">
            <w:pPr>
              <w:spacing w:after="0" w:line="240" w:lineRule="auto"/>
              <w:jc w:val="right"/>
              <w:rPr>
                <w:rFonts w:ascii="Calibri" w:eastAsia="Times New Roman" w:hAnsi="Calibri" w:cs="Calibri"/>
                <w:sz w:val="20"/>
                <w:szCs w:val="20"/>
                <w:lang w:eastAsia="cs-CZ"/>
              </w:rPr>
            </w:pPr>
            <w:r w:rsidRPr="00FE4BEF">
              <w:rPr>
                <w:rFonts w:ascii="Calibri" w:eastAsia="Times New Roman" w:hAnsi="Calibri" w:cs="Calibri"/>
                <w:sz w:val="20"/>
                <w:szCs w:val="20"/>
                <w:lang w:eastAsia="cs-CZ"/>
              </w:rPr>
              <w:t>0</w:t>
            </w:r>
          </w:p>
        </w:tc>
        <w:tc>
          <w:tcPr>
            <w:tcW w:w="1418" w:type="dxa"/>
            <w:tcBorders>
              <w:top w:val="nil"/>
              <w:left w:val="nil"/>
              <w:bottom w:val="nil"/>
              <w:right w:val="single" w:sz="4" w:space="0" w:color="auto"/>
            </w:tcBorders>
            <w:shd w:val="clear" w:color="auto" w:fill="auto"/>
            <w:noWrap/>
            <w:vAlign w:val="bottom"/>
            <w:hideMark/>
          </w:tcPr>
          <w:p w14:paraId="64D89669" w14:textId="77777777" w:rsidR="00FE4BEF" w:rsidRPr="00FE4BEF" w:rsidRDefault="00FE4BEF" w:rsidP="00FE4BEF">
            <w:pPr>
              <w:spacing w:after="0" w:line="240" w:lineRule="auto"/>
              <w:jc w:val="right"/>
              <w:rPr>
                <w:rFonts w:ascii="Calibri" w:eastAsia="Times New Roman" w:hAnsi="Calibri" w:cs="Calibri"/>
                <w:sz w:val="20"/>
                <w:szCs w:val="20"/>
                <w:lang w:eastAsia="cs-CZ"/>
              </w:rPr>
            </w:pPr>
            <w:r w:rsidRPr="00FE4BEF">
              <w:rPr>
                <w:rFonts w:ascii="Calibri" w:eastAsia="Times New Roman" w:hAnsi="Calibri" w:cs="Calibri"/>
                <w:sz w:val="20"/>
                <w:szCs w:val="20"/>
                <w:lang w:eastAsia="cs-CZ"/>
              </w:rPr>
              <w:t>1 113 200,00</w:t>
            </w:r>
          </w:p>
        </w:tc>
        <w:tc>
          <w:tcPr>
            <w:tcW w:w="1417" w:type="dxa"/>
            <w:tcBorders>
              <w:top w:val="nil"/>
              <w:left w:val="nil"/>
              <w:bottom w:val="nil"/>
              <w:right w:val="single" w:sz="4" w:space="0" w:color="auto"/>
            </w:tcBorders>
            <w:shd w:val="clear" w:color="auto" w:fill="auto"/>
            <w:noWrap/>
            <w:vAlign w:val="bottom"/>
            <w:hideMark/>
          </w:tcPr>
          <w:p w14:paraId="640F321A" w14:textId="77777777" w:rsidR="00FE4BEF" w:rsidRPr="00FE4BEF" w:rsidRDefault="00FE4BEF" w:rsidP="00FE4BEF">
            <w:pPr>
              <w:spacing w:after="0" w:line="240" w:lineRule="auto"/>
              <w:jc w:val="right"/>
              <w:rPr>
                <w:rFonts w:ascii="Calibri" w:eastAsia="Times New Roman" w:hAnsi="Calibri" w:cs="Calibri"/>
                <w:sz w:val="20"/>
                <w:szCs w:val="20"/>
                <w:lang w:eastAsia="cs-CZ"/>
              </w:rPr>
            </w:pPr>
            <w:r w:rsidRPr="00FE4BEF">
              <w:rPr>
                <w:rFonts w:ascii="Calibri" w:eastAsia="Times New Roman" w:hAnsi="Calibri" w:cs="Calibri"/>
                <w:sz w:val="20"/>
                <w:szCs w:val="20"/>
                <w:lang w:eastAsia="cs-CZ"/>
              </w:rPr>
              <w:t>1 113 200,00</w:t>
            </w:r>
          </w:p>
        </w:tc>
        <w:tc>
          <w:tcPr>
            <w:tcW w:w="567" w:type="dxa"/>
            <w:tcBorders>
              <w:top w:val="nil"/>
              <w:left w:val="nil"/>
              <w:bottom w:val="nil"/>
              <w:right w:val="single" w:sz="8" w:space="0" w:color="auto"/>
            </w:tcBorders>
            <w:shd w:val="clear" w:color="auto" w:fill="auto"/>
            <w:noWrap/>
            <w:vAlign w:val="bottom"/>
            <w:hideMark/>
          </w:tcPr>
          <w:p w14:paraId="3602083B" w14:textId="77777777" w:rsidR="00FE4BEF" w:rsidRPr="00FE4BEF" w:rsidRDefault="00FE4BEF" w:rsidP="00FE4BEF">
            <w:pPr>
              <w:spacing w:after="0" w:line="240" w:lineRule="auto"/>
              <w:jc w:val="right"/>
              <w:rPr>
                <w:rFonts w:ascii="Calibri" w:eastAsia="Times New Roman" w:hAnsi="Calibri" w:cs="Calibri"/>
                <w:i/>
                <w:iCs/>
                <w:sz w:val="20"/>
                <w:szCs w:val="20"/>
                <w:lang w:eastAsia="cs-CZ"/>
              </w:rPr>
            </w:pPr>
            <w:r w:rsidRPr="00FE4BEF">
              <w:rPr>
                <w:rFonts w:ascii="Calibri" w:eastAsia="Times New Roman" w:hAnsi="Calibri" w:cs="Calibri"/>
                <w:i/>
                <w:iCs/>
                <w:sz w:val="20"/>
                <w:szCs w:val="20"/>
                <w:lang w:eastAsia="cs-CZ"/>
              </w:rPr>
              <w:t>100,0</w:t>
            </w:r>
          </w:p>
        </w:tc>
      </w:tr>
      <w:tr w:rsidR="00FE4BEF" w:rsidRPr="00FE4BEF" w14:paraId="4153CDEA" w14:textId="77777777" w:rsidTr="00687021">
        <w:trPr>
          <w:trHeight w:val="300"/>
        </w:trPr>
        <w:tc>
          <w:tcPr>
            <w:tcW w:w="826" w:type="dxa"/>
            <w:tcBorders>
              <w:top w:val="nil"/>
              <w:left w:val="single" w:sz="8" w:space="0" w:color="auto"/>
              <w:bottom w:val="single" w:sz="4" w:space="0" w:color="auto"/>
              <w:right w:val="nil"/>
            </w:tcBorders>
            <w:shd w:val="clear" w:color="auto" w:fill="auto"/>
            <w:noWrap/>
            <w:vAlign w:val="bottom"/>
            <w:hideMark/>
          </w:tcPr>
          <w:p w14:paraId="089F710A" w14:textId="77777777" w:rsidR="00FE4BEF" w:rsidRPr="00FE4BEF" w:rsidRDefault="00FE4BEF" w:rsidP="00FE4BEF">
            <w:pPr>
              <w:spacing w:after="0" w:line="240" w:lineRule="auto"/>
              <w:jc w:val="center"/>
              <w:rPr>
                <w:rFonts w:ascii="Calibri" w:eastAsia="Times New Roman" w:hAnsi="Calibri" w:cs="Calibri"/>
                <w:sz w:val="20"/>
                <w:szCs w:val="20"/>
                <w:lang w:eastAsia="cs-CZ"/>
              </w:rPr>
            </w:pPr>
            <w:r w:rsidRPr="00FE4BEF">
              <w:rPr>
                <w:rFonts w:ascii="Calibri" w:eastAsia="Times New Roman" w:hAnsi="Calibri" w:cs="Calibri"/>
                <w:sz w:val="20"/>
                <w:szCs w:val="20"/>
                <w:lang w:eastAsia="cs-CZ"/>
              </w:rPr>
              <w:t> </w:t>
            </w:r>
          </w:p>
        </w:tc>
        <w:tc>
          <w:tcPr>
            <w:tcW w:w="4120" w:type="dxa"/>
            <w:tcBorders>
              <w:top w:val="single" w:sz="4" w:space="0" w:color="auto"/>
              <w:left w:val="single" w:sz="4" w:space="0" w:color="auto"/>
              <w:bottom w:val="single" w:sz="4" w:space="0" w:color="auto"/>
              <w:right w:val="nil"/>
            </w:tcBorders>
            <w:shd w:val="clear" w:color="auto" w:fill="auto"/>
            <w:vAlign w:val="center"/>
            <w:hideMark/>
          </w:tcPr>
          <w:p w14:paraId="67C035C4" w14:textId="77777777" w:rsidR="00FE4BEF" w:rsidRPr="00FE4BEF" w:rsidRDefault="00FE4BEF" w:rsidP="00FE4BEF">
            <w:pPr>
              <w:spacing w:after="0" w:line="240" w:lineRule="auto"/>
              <w:rPr>
                <w:rFonts w:ascii="Calibri" w:eastAsia="Times New Roman" w:hAnsi="Calibri" w:cs="Calibri"/>
                <w:sz w:val="20"/>
                <w:szCs w:val="20"/>
                <w:lang w:eastAsia="cs-CZ"/>
              </w:rPr>
            </w:pPr>
            <w:r w:rsidRPr="00FE4BEF">
              <w:rPr>
                <w:rFonts w:ascii="Calibri" w:eastAsia="Times New Roman" w:hAnsi="Calibri" w:cs="Calibri"/>
                <w:sz w:val="20"/>
                <w:szCs w:val="20"/>
                <w:lang w:eastAsia="cs-CZ"/>
              </w:rPr>
              <w:t>z toho:</w:t>
            </w:r>
          </w:p>
        </w:tc>
        <w:tc>
          <w:tcPr>
            <w:tcW w:w="1433" w:type="dxa"/>
            <w:tcBorders>
              <w:top w:val="single" w:sz="4" w:space="0" w:color="auto"/>
              <w:left w:val="nil"/>
              <w:bottom w:val="single" w:sz="4" w:space="0" w:color="auto"/>
              <w:right w:val="nil"/>
            </w:tcBorders>
            <w:shd w:val="clear" w:color="auto" w:fill="auto"/>
            <w:noWrap/>
            <w:vAlign w:val="bottom"/>
            <w:hideMark/>
          </w:tcPr>
          <w:p w14:paraId="53DB95B1" w14:textId="77777777" w:rsidR="00FE4BEF" w:rsidRPr="00FE4BEF" w:rsidRDefault="00FE4BEF" w:rsidP="00FE4BEF">
            <w:pPr>
              <w:spacing w:after="0" w:line="240" w:lineRule="auto"/>
              <w:jc w:val="right"/>
              <w:rPr>
                <w:rFonts w:ascii="Calibri" w:eastAsia="Times New Roman" w:hAnsi="Calibri" w:cs="Calibri"/>
                <w:i/>
                <w:iCs/>
                <w:sz w:val="20"/>
                <w:szCs w:val="20"/>
                <w:lang w:eastAsia="cs-CZ"/>
              </w:rPr>
            </w:pPr>
            <w:r w:rsidRPr="00FE4BEF">
              <w:rPr>
                <w:rFonts w:ascii="Calibri" w:eastAsia="Times New Roman" w:hAnsi="Calibri" w:cs="Calibri"/>
                <w:i/>
                <w:iCs/>
                <w:sz w:val="20"/>
                <w:szCs w:val="20"/>
                <w:lang w:eastAsia="cs-CZ"/>
              </w:rPr>
              <w:t> </w:t>
            </w:r>
          </w:p>
        </w:tc>
        <w:tc>
          <w:tcPr>
            <w:tcW w:w="1418" w:type="dxa"/>
            <w:tcBorders>
              <w:top w:val="single" w:sz="4" w:space="0" w:color="auto"/>
              <w:left w:val="nil"/>
              <w:bottom w:val="single" w:sz="4" w:space="0" w:color="auto"/>
              <w:right w:val="nil"/>
            </w:tcBorders>
            <w:shd w:val="clear" w:color="auto" w:fill="auto"/>
            <w:noWrap/>
            <w:vAlign w:val="bottom"/>
            <w:hideMark/>
          </w:tcPr>
          <w:p w14:paraId="2A0A79F3" w14:textId="77777777" w:rsidR="00FE4BEF" w:rsidRPr="00FE4BEF" w:rsidRDefault="00FE4BEF" w:rsidP="00FE4BEF">
            <w:pPr>
              <w:spacing w:after="0" w:line="240" w:lineRule="auto"/>
              <w:jc w:val="right"/>
              <w:rPr>
                <w:rFonts w:ascii="Calibri" w:eastAsia="Times New Roman" w:hAnsi="Calibri" w:cs="Calibri"/>
                <w:i/>
                <w:iCs/>
                <w:sz w:val="20"/>
                <w:szCs w:val="20"/>
                <w:lang w:eastAsia="cs-CZ"/>
              </w:rPr>
            </w:pPr>
            <w:r w:rsidRPr="00FE4BEF">
              <w:rPr>
                <w:rFonts w:ascii="Calibri" w:eastAsia="Times New Roman" w:hAnsi="Calibri" w:cs="Calibri"/>
                <w:i/>
                <w:iCs/>
                <w:sz w:val="20"/>
                <w:szCs w:val="20"/>
                <w:lang w:eastAsia="cs-CZ"/>
              </w:rPr>
              <w:t> </w:t>
            </w:r>
          </w:p>
        </w:tc>
        <w:tc>
          <w:tcPr>
            <w:tcW w:w="1417" w:type="dxa"/>
            <w:tcBorders>
              <w:top w:val="single" w:sz="4" w:space="0" w:color="auto"/>
              <w:left w:val="nil"/>
              <w:bottom w:val="single" w:sz="4" w:space="0" w:color="auto"/>
              <w:right w:val="nil"/>
            </w:tcBorders>
            <w:shd w:val="clear" w:color="auto" w:fill="auto"/>
            <w:noWrap/>
            <w:vAlign w:val="bottom"/>
            <w:hideMark/>
          </w:tcPr>
          <w:p w14:paraId="6EF5202A" w14:textId="77777777" w:rsidR="00FE4BEF" w:rsidRPr="00FE4BEF" w:rsidRDefault="00FE4BEF" w:rsidP="00FE4BEF">
            <w:pPr>
              <w:spacing w:after="0" w:line="240" w:lineRule="auto"/>
              <w:jc w:val="right"/>
              <w:rPr>
                <w:rFonts w:ascii="Calibri" w:eastAsia="Times New Roman" w:hAnsi="Calibri" w:cs="Calibri"/>
                <w:i/>
                <w:iCs/>
                <w:sz w:val="20"/>
                <w:szCs w:val="20"/>
                <w:lang w:eastAsia="cs-CZ"/>
              </w:rPr>
            </w:pPr>
            <w:r w:rsidRPr="00FE4BEF">
              <w:rPr>
                <w:rFonts w:ascii="Calibri" w:eastAsia="Times New Roman" w:hAnsi="Calibri" w:cs="Calibri"/>
                <w:i/>
                <w:iCs/>
                <w:sz w:val="20"/>
                <w:szCs w:val="20"/>
                <w:lang w:eastAsia="cs-CZ"/>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4CDFD0A3" w14:textId="77777777" w:rsidR="00FE4BEF" w:rsidRPr="00FE4BEF" w:rsidRDefault="00FE4BEF" w:rsidP="00FE4BEF">
            <w:pPr>
              <w:spacing w:after="0" w:line="240" w:lineRule="auto"/>
              <w:jc w:val="right"/>
              <w:rPr>
                <w:rFonts w:ascii="Calibri" w:eastAsia="Times New Roman" w:hAnsi="Calibri" w:cs="Calibri"/>
                <w:i/>
                <w:iCs/>
                <w:sz w:val="20"/>
                <w:szCs w:val="20"/>
                <w:lang w:eastAsia="cs-CZ"/>
              </w:rPr>
            </w:pPr>
            <w:r w:rsidRPr="00FE4BEF">
              <w:rPr>
                <w:rFonts w:ascii="Calibri" w:eastAsia="Times New Roman" w:hAnsi="Calibri" w:cs="Calibri"/>
                <w:i/>
                <w:iCs/>
                <w:sz w:val="20"/>
                <w:szCs w:val="20"/>
                <w:lang w:eastAsia="cs-CZ"/>
              </w:rPr>
              <w:t> </w:t>
            </w:r>
          </w:p>
        </w:tc>
      </w:tr>
      <w:tr w:rsidR="00FE4BEF" w:rsidRPr="00FE4BEF" w14:paraId="02FC24D5" w14:textId="77777777" w:rsidTr="00687021">
        <w:trPr>
          <w:trHeight w:val="30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470F5589" w14:textId="77777777" w:rsidR="00FE4BEF" w:rsidRPr="00FE4BEF" w:rsidRDefault="00FE4BEF" w:rsidP="00FE4BEF">
            <w:pPr>
              <w:spacing w:after="0" w:line="240" w:lineRule="auto"/>
              <w:jc w:val="center"/>
              <w:rPr>
                <w:rFonts w:ascii="Calibri" w:eastAsia="Times New Roman" w:hAnsi="Calibri" w:cs="Calibri"/>
                <w:sz w:val="20"/>
                <w:szCs w:val="20"/>
                <w:lang w:eastAsia="cs-CZ"/>
              </w:rPr>
            </w:pPr>
            <w:r w:rsidRPr="00FE4BEF">
              <w:rPr>
                <w:rFonts w:ascii="Calibri" w:eastAsia="Times New Roman" w:hAnsi="Calibri" w:cs="Calibri"/>
                <w:sz w:val="20"/>
                <w:szCs w:val="20"/>
                <w:lang w:eastAsia="cs-CZ"/>
              </w:rPr>
              <w:t> </w:t>
            </w:r>
          </w:p>
        </w:tc>
        <w:tc>
          <w:tcPr>
            <w:tcW w:w="4120" w:type="dxa"/>
            <w:tcBorders>
              <w:top w:val="nil"/>
              <w:left w:val="nil"/>
              <w:bottom w:val="single" w:sz="4" w:space="0" w:color="auto"/>
              <w:right w:val="single" w:sz="4" w:space="0" w:color="auto"/>
            </w:tcBorders>
            <w:shd w:val="clear" w:color="auto" w:fill="auto"/>
            <w:vAlign w:val="center"/>
            <w:hideMark/>
          </w:tcPr>
          <w:p w14:paraId="32514635" w14:textId="77777777" w:rsidR="00FE4BEF" w:rsidRPr="00FE4BEF" w:rsidRDefault="00FE4BEF" w:rsidP="00FE4BEF">
            <w:pPr>
              <w:spacing w:after="0" w:line="240" w:lineRule="auto"/>
              <w:rPr>
                <w:rFonts w:ascii="Calibri" w:eastAsia="Times New Roman" w:hAnsi="Calibri" w:cs="Calibri"/>
                <w:i/>
                <w:iCs/>
                <w:sz w:val="20"/>
                <w:szCs w:val="20"/>
                <w:lang w:eastAsia="cs-CZ"/>
              </w:rPr>
            </w:pPr>
            <w:r w:rsidRPr="00FE4BEF">
              <w:rPr>
                <w:rFonts w:ascii="Calibri" w:eastAsia="Times New Roman" w:hAnsi="Calibri" w:cs="Calibri"/>
                <w:i/>
                <w:iCs/>
                <w:sz w:val="20"/>
                <w:szCs w:val="20"/>
                <w:lang w:eastAsia="cs-CZ"/>
              </w:rPr>
              <w:t>5169 nákup ostatních služeb</w:t>
            </w:r>
          </w:p>
        </w:tc>
        <w:tc>
          <w:tcPr>
            <w:tcW w:w="1433" w:type="dxa"/>
            <w:tcBorders>
              <w:top w:val="nil"/>
              <w:left w:val="nil"/>
              <w:bottom w:val="single" w:sz="4" w:space="0" w:color="auto"/>
              <w:right w:val="single" w:sz="4" w:space="0" w:color="auto"/>
            </w:tcBorders>
            <w:shd w:val="clear" w:color="auto" w:fill="auto"/>
            <w:noWrap/>
            <w:vAlign w:val="bottom"/>
            <w:hideMark/>
          </w:tcPr>
          <w:p w14:paraId="72FF2622" w14:textId="77777777" w:rsidR="00FE4BEF" w:rsidRPr="00FE4BEF" w:rsidRDefault="00FE4BEF" w:rsidP="00FE4BEF">
            <w:pPr>
              <w:spacing w:after="0" w:line="240" w:lineRule="auto"/>
              <w:jc w:val="right"/>
              <w:rPr>
                <w:rFonts w:ascii="Calibri" w:eastAsia="Times New Roman" w:hAnsi="Calibri" w:cs="Calibri"/>
                <w:i/>
                <w:iCs/>
                <w:sz w:val="20"/>
                <w:szCs w:val="20"/>
                <w:lang w:eastAsia="cs-CZ"/>
              </w:rPr>
            </w:pPr>
            <w:r w:rsidRPr="00FE4BEF">
              <w:rPr>
                <w:rFonts w:ascii="Calibri" w:eastAsia="Times New Roman" w:hAnsi="Calibri" w:cs="Calibri"/>
                <w:i/>
                <w:iCs/>
                <w:sz w:val="20"/>
                <w:szCs w:val="20"/>
                <w:lang w:eastAsia="cs-CZ"/>
              </w:rPr>
              <w:t>0</w:t>
            </w:r>
          </w:p>
        </w:tc>
        <w:tc>
          <w:tcPr>
            <w:tcW w:w="1418" w:type="dxa"/>
            <w:tcBorders>
              <w:top w:val="nil"/>
              <w:left w:val="nil"/>
              <w:bottom w:val="single" w:sz="4" w:space="0" w:color="auto"/>
              <w:right w:val="single" w:sz="4" w:space="0" w:color="auto"/>
            </w:tcBorders>
            <w:shd w:val="clear" w:color="auto" w:fill="auto"/>
            <w:noWrap/>
            <w:vAlign w:val="bottom"/>
            <w:hideMark/>
          </w:tcPr>
          <w:p w14:paraId="4166E01C" w14:textId="77777777" w:rsidR="00FE4BEF" w:rsidRPr="00FE4BEF" w:rsidRDefault="00FE4BEF" w:rsidP="00FE4BEF">
            <w:pPr>
              <w:spacing w:after="0" w:line="240" w:lineRule="auto"/>
              <w:jc w:val="right"/>
              <w:rPr>
                <w:rFonts w:ascii="Calibri" w:eastAsia="Times New Roman" w:hAnsi="Calibri" w:cs="Calibri"/>
                <w:i/>
                <w:iCs/>
                <w:sz w:val="20"/>
                <w:szCs w:val="20"/>
                <w:lang w:eastAsia="cs-CZ"/>
              </w:rPr>
            </w:pPr>
            <w:r w:rsidRPr="00FE4BEF">
              <w:rPr>
                <w:rFonts w:ascii="Calibri" w:eastAsia="Times New Roman" w:hAnsi="Calibri" w:cs="Calibri"/>
                <w:i/>
                <w:iCs/>
                <w:sz w:val="20"/>
                <w:szCs w:val="20"/>
                <w:lang w:eastAsia="cs-CZ"/>
              </w:rPr>
              <w:t>1 113 200,00</w:t>
            </w:r>
          </w:p>
        </w:tc>
        <w:tc>
          <w:tcPr>
            <w:tcW w:w="1417" w:type="dxa"/>
            <w:tcBorders>
              <w:top w:val="nil"/>
              <w:left w:val="nil"/>
              <w:bottom w:val="single" w:sz="4" w:space="0" w:color="auto"/>
              <w:right w:val="single" w:sz="4" w:space="0" w:color="auto"/>
            </w:tcBorders>
            <w:shd w:val="clear" w:color="auto" w:fill="auto"/>
            <w:noWrap/>
            <w:vAlign w:val="bottom"/>
            <w:hideMark/>
          </w:tcPr>
          <w:p w14:paraId="22B07275" w14:textId="77777777" w:rsidR="00FE4BEF" w:rsidRPr="00FE4BEF" w:rsidRDefault="00FE4BEF" w:rsidP="00FE4BEF">
            <w:pPr>
              <w:spacing w:after="0" w:line="240" w:lineRule="auto"/>
              <w:jc w:val="right"/>
              <w:rPr>
                <w:rFonts w:ascii="Calibri" w:eastAsia="Times New Roman" w:hAnsi="Calibri" w:cs="Calibri"/>
                <w:i/>
                <w:iCs/>
                <w:sz w:val="20"/>
                <w:szCs w:val="20"/>
                <w:lang w:eastAsia="cs-CZ"/>
              </w:rPr>
            </w:pPr>
            <w:r w:rsidRPr="00FE4BEF">
              <w:rPr>
                <w:rFonts w:ascii="Calibri" w:eastAsia="Times New Roman" w:hAnsi="Calibri" w:cs="Calibri"/>
                <w:i/>
                <w:iCs/>
                <w:sz w:val="20"/>
                <w:szCs w:val="20"/>
                <w:lang w:eastAsia="cs-CZ"/>
              </w:rPr>
              <w:t>1 113 200,00</w:t>
            </w:r>
          </w:p>
        </w:tc>
        <w:tc>
          <w:tcPr>
            <w:tcW w:w="567" w:type="dxa"/>
            <w:tcBorders>
              <w:top w:val="nil"/>
              <w:left w:val="nil"/>
              <w:bottom w:val="single" w:sz="4" w:space="0" w:color="auto"/>
              <w:right w:val="single" w:sz="8" w:space="0" w:color="auto"/>
            </w:tcBorders>
            <w:shd w:val="clear" w:color="auto" w:fill="auto"/>
            <w:noWrap/>
            <w:vAlign w:val="bottom"/>
            <w:hideMark/>
          </w:tcPr>
          <w:p w14:paraId="6623B5A3" w14:textId="77777777" w:rsidR="00FE4BEF" w:rsidRPr="00FE4BEF" w:rsidRDefault="00FE4BEF" w:rsidP="00FE4BEF">
            <w:pPr>
              <w:spacing w:after="0" w:line="240" w:lineRule="auto"/>
              <w:jc w:val="right"/>
              <w:rPr>
                <w:rFonts w:ascii="Calibri" w:eastAsia="Times New Roman" w:hAnsi="Calibri" w:cs="Calibri"/>
                <w:i/>
                <w:iCs/>
                <w:sz w:val="20"/>
                <w:szCs w:val="20"/>
                <w:lang w:eastAsia="cs-CZ"/>
              </w:rPr>
            </w:pPr>
            <w:r w:rsidRPr="00FE4BEF">
              <w:rPr>
                <w:rFonts w:ascii="Calibri" w:eastAsia="Times New Roman" w:hAnsi="Calibri" w:cs="Calibri"/>
                <w:i/>
                <w:iCs/>
                <w:sz w:val="20"/>
                <w:szCs w:val="20"/>
                <w:lang w:eastAsia="cs-CZ"/>
              </w:rPr>
              <w:t>100,0</w:t>
            </w:r>
          </w:p>
        </w:tc>
      </w:tr>
      <w:tr w:rsidR="00FE4BEF" w:rsidRPr="00FE4BEF" w14:paraId="31CB2183" w14:textId="77777777" w:rsidTr="00687021">
        <w:trPr>
          <w:trHeight w:val="30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1E1DA119" w14:textId="77777777" w:rsidR="00FE4BEF" w:rsidRPr="00FE4BEF" w:rsidRDefault="00FE4BEF" w:rsidP="00FE4BEF">
            <w:pPr>
              <w:spacing w:after="0" w:line="240" w:lineRule="auto"/>
              <w:jc w:val="center"/>
              <w:rPr>
                <w:rFonts w:ascii="Calibri" w:eastAsia="Times New Roman" w:hAnsi="Calibri" w:cs="Calibri"/>
                <w:sz w:val="20"/>
                <w:szCs w:val="20"/>
                <w:lang w:eastAsia="cs-CZ"/>
              </w:rPr>
            </w:pPr>
            <w:r w:rsidRPr="00FE4BEF">
              <w:rPr>
                <w:rFonts w:ascii="Calibri" w:eastAsia="Times New Roman" w:hAnsi="Calibri" w:cs="Calibri"/>
                <w:sz w:val="20"/>
                <w:szCs w:val="20"/>
                <w:lang w:eastAsia="cs-CZ"/>
              </w:rPr>
              <w:t>3636</w:t>
            </w:r>
          </w:p>
        </w:tc>
        <w:tc>
          <w:tcPr>
            <w:tcW w:w="4120" w:type="dxa"/>
            <w:tcBorders>
              <w:top w:val="nil"/>
              <w:left w:val="nil"/>
              <w:bottom w:val="single" w:sz="4" w:space="0" w:color="auto"/>
              <w:right w:val="single" w:sz="4" w:space="0" w:color="auto"/>
            </w:tcBorders>
            <w:shd w:val="clear" w:color="auto" w:fill="auto"/>
            <w:vAlign w:val="center"/>
            <w:hideMark/>
          </w:tcPr>
          <w:p w14:paraId="71BA0BE1" w14:textId="77777777" w:rsidR="00FE4BEF" w:rsidRPr="00FE4BEF" w:rsidRDefault="00FE4BEF" w:rsidP="00FE4BEF">
            <w:pPr>
              <w:spacing w:after="0" w:line="240" w:lineRule="auto"/>
              <w:rPr>
                <w:rFonts w:ascii="Calibri" w:eastAsia="Times New Roman" w:hAnsi="Calibri" w:cs="Calibri"/>
                <w:sz w:val="20"/>
                <w:szCs w:val="20"/>
                <w:lang w:eastAsia="cs-CZ"/>
              </w:rPr>
            </w:pPr>
            <w:r w:rsidRPr="00FE4BEF">
              <w:rPr>
                <w:rFonts w:ascii="Calibri" w:eastAsia="Times New Roman" w:hAnsi="Calibri" w:cs="Calibri"/>
                <w:sz w:val="20"/>
                <w:szCs w:val="20"/>
                <w:lang w:eastAsia="cs-CZ"/>
              </w:rPr>
              <w:t>Územní rozvoj</w:t>
            </w:r>
          </w:p>
        </w:tc>
        <w:tc>
          <w:tcPr>
            <w:tcW w:w="1433" w:type="dxa"/>
            <w:tcBorders>
              <w:top w:val="nil"/>
              <w:left w:val="nil"/>
              <w:bottom w:val="single" w:sz="4" w:space="0" w:color="auto"/>
              <w:right w:val="single" w:sz="4" w:space="0" w:color="auto"/>
            </w:tcBorders>
            <w:shd w:val="clear" w:color="auto" w:fill="auto"/>
            <w:noWrap/>
            <w:vAlign w:val="bottom"/>
            <w:hideMark/>
          </w:tcPr>
          <w:p w14:paraId="0966B8BE" w14:textId="77777777" w:rsidR="00FE4BEF" w:rsidRPr="00FE4BEF" w:rsidRDefault="00FE4BEF" w:rsidP="00FE4BEF">
            <w:pPr>
              <w:spacing w:after="0" w:line="240" w:lineRule="auto"/>
              <w:jc w:val="right"/>
              <w:rPr>
                <w:rFonts w:ascii="Calibri" w:eastAsia="Times New Roman" w:hAnsi="Calibri" w:cs="Calibri"/>
                <w:sz w:val="20"/>
                <w:szCs w:val="20"/>
                <w:lang w:eastAsia="cs-CZ"/>
              </w:rPr>
            </w:pPr>
            <w:r w:rsidRPr="00FE4BEF">
              <w:rPr>
                <w:rFonts w:ascii="Calibri" w:eastAsia="Times New Roman" w:hAnsi="Calibri" w:cs="Calibri"/>
                <w:sz w:val="20"/>
                <w:szCs w:val="20"/>
                <w:lang w:eastAsia="cs-CZ"/>
              </w:rPr>
              <w:t>0</w:t>
            </w:r>
          </w:p>
        </w:tc>
        <w:tc>
          <w:tcPr>
            <w:tcW w:w="1418" w:type="dxa"/>
            <w:tcBorders>
              <w:top w:val="nil"/>
              <w:left w:val="nil"/>
              <w:bottom w:val="single" w:sz="4" w:space="0" w:color="auto"/>
              <w:right w:val="single" w:sz="4" w:space="0" w:color="auto"/>
            </w:tcBorders>
            <w:shd w:val="clear" w:color="auto" w:fill="auto"/>
            <w:noWrap/>
            <w:vAlign w:val="bottom"/>
            <w:hideMark/>
          </w:tcPr>
          <w:p w14:paraId="44CA0A32" w14:textId="77777777" w:rsidR="00FE4BEF" w:rsidRPr="00FE4BEF" w:rsidRDefault="00FE4BEF" w:rsidP="00FE4BEF">
            <w:pPr>
              <w:spacing w:after="0" w:line="240" w:lineRule="auto"/>
              <w:jc w:val="right"/>
              <w:rPr>
                <w:rFonts w:ascii="Calibri" w:eastAsia="Times New Roman" w:hAnsi="Calibri" w:cs="Calibri"/>
                <w:sz w:val="20"/>
                <w:szCs w:val="20"/>
                <w:lang w:eastAsia="cs-CZ"/>
              </w:rPr>
            </w:pPr>
            <w:r w:rsidRPr="00FE4BEF">
              <w:rPr>
                <w:rFonts w:ascii="Calibri" w:eastAsia="Times New Roman" w:hAnsi="Calibri" w:cs="Calibri"/>
                <w:sz w:val="20"/>
                <w:szCs w:val="20"/>
                <w:lang w:eastAsia="cs-CZ"/>
              </w:rPr>
              <w:t>8 628,00</w:t>
            </w:r>
          </w:p>
        </w:tc>
        <w:tc>
          <w:tcPr>
            <w:tcW w:w="1417" w:type="dxa"/>
            <w:tcBorders>
              <w:top w:val="nil"/>
              <w:left w:val="nil"/>
              <w:bottom w:val="single" w:sz="4" w:space="0" w:color="auto"/>
              <w:right w:val="single" w:sz="4" w:space="0" w:color="auto"/>
            </w:tcBorders>
            <w:shd w:val="clear" w:color="auto" w:fill="auto"/>
            <w:noWrap/>
            <w:vAlign w:val="bottom"/>
            <w:hideMark/>
          </w:tcPr>
          <w:p w14:paraId="15F5EA59" w14:textId="77777777" w:rsidR="00FE4BEF" w:rsidRPr="00FE4BEF" w:rsidRDefault="00FE4BEF" w:rsidP="00FE4BEF">
            <w:pPr>
              <w:spacing w:after="0" w:line="240" w:lineRule="auto"/>
              <w:jc w:val="right"/>
              <w:rPr>
                <w:rFonts w:ascii="Calibri" w:eastAsia="Times New Roman" w:hAnsi="Calibri" w:cs="Calibri"/>
                <w:sz w:val="20"/>
                <w:szCs w:val="20"/>
                <w:lang w:eastAsia="cs-CZ"/>
              </w:rPr>
            </w:pPr>
            <w:r w:rsidRPr="00FE4BEF">
              <w:rPr>
                <w:rFonts w:ascii="Calibri" w:eastAsia="Times New Roman" w:hAnsi="Calibri" w:cs="Calibri"/>
                <w:sz w:val="20"/>
                <w:szCs w:val="20"/>
                <w:lang w:eastAsia="cs-CZ"/>
              </w:rPr>
              <w:t>8 628,00</w:t>
            </w:r>
          </w:p>
        </w:tc>
        <w:tc>
          <w:tcPr>
            <w:tcW w:w="567" w:type="dxa"/>
            <w:tcBorders>
              <w:top w:val="nil"/>
              <w:left w:val="nil"/>
              <w:bottom w:val="single" w:sz="4" w:space="0" w:color="auto"/>
              <w:right w:val="single" w:sz="8" w:space="0" w:color="auto"/>
            </w:tcBorders>
            <w:shd w:val="clear" w:color="auto" w:fill="auto"/>
            <w:noWrap/>
            <w:vAlign w:val="bottom"/>
            <w:hideMark/>
          </w:tcPr>
          <w:p w14:paraId="162C0511" w14:textId="77777777" w:rsidR="00FE4BEF" w:rsidRPr="00FE4BEF" w:rsidRDefault="00FE4BEF" w:rsidP="00FE4BEF">
            <w:pPr>
              <w:spacing w:after="0" w:line="240" w:lineRule="auto"/>
              <w:jc w:val="right"/>
              <w:rPr>
                <w:rFonts w:ascii="Calibri" w:eastAsia="Times New Roman" w:hAnsi="Calibri" w:cs="Calibri"/>
                <w:sz w:val="20"/>
                <w:szCs w:val="20"/>
                <w:lang w:eastAsia="cs-CZ"/>
              </w:rPr>
            </w:pPr>
            <w:r w:rsidRPr="00FE4BEF">
              <w:rPr>
                <w:rFonts w:ascii="Calibri" w:eastAsia="Times New Roman" w:hAnsi="Calibri" w:cs="Calibri"/>
                <w:sz w:val="20"/>
                <w:szCs w:val="20"/>
                <w:lang w:eastAsia="cs-CZ"/>
              </w:rPr>
              <w:t>100,0</w:t>
            </w:r>
          </w:p>
        </w:tc>
      </w:tr>
      <w:tr w:rsidR="00FE4BEF" w:rsidRPr="00FE4BEF" w14:paraId="67DE847B" w14:textId="77777777" w:rsidTr="00687021">
        <w:trPr>
          <w:trHeight w:val="30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58D16B3E" w14:textId="77777777" w:rsidR="00FE4BEF" w:rsidRPr="00FE4BEF" w:rsidRDefault="00FE4BEF" w:rsidP="00FE4BEF">
            <w:pPr>
              <w:spacing w:after="0" w:line="240" w:lineRule="auto"/>
              <w:jc w:val="center"/>
              <w:rPr>
                <w:rFonts w:ascii="Calibri" w:eastAsia="Times New Roman" w:hAnsi="Calibri" w:cs="Calibri"/>
                <w:sz w:val="20"/>
                <w:szCs w:val="20"/>
                <w:lang w:eastAsia="cs-CZ"/>
              </w:rPr>
            </w:pPr>
            <w:r w:rsidRPr="00FE4BEF">
              <w:rPr>
                <w:rFonts w:ascii="Calibri" w:eastAsia="Times New Roman" w:hAnsi="Calibri" w:cs="Calibri"/>
                <w:sz w:val="20"/>
                <w:szCs w:val="20"/>
                <w:lang w:eastAsia="cs-CZ"/>
              </w:rPr>
              <w:t> </w:t>
            </w:r>
          </w:p>
        </w:tc>
        <w:tc>
          <w:tcPr>
            <w:tcW w:w="8955" w:type="dxa"/>
            <w:gridSpan w:val="5"/>
            <w:tcBorders>
              <w:top w:val="single" w:sz="4" w:space="0" w:color="auto"/>
              <w:left w:val="nil"/>
              <w:bottom w:val="single" w:sz="4" w:space="0" w:color="auto"/>
              <w:right w:val="single" w:sz="8" w:space="0" w:color="000000"/>
            </w:tcBorders>
            <w:shd w:val="clear" w:color="auto" w:fill="auto"/>
            <w:vAlign w:val="center"/>
            <w:hideMark/>
          </w:tcPr>
          <w:p w14:paraId="750BFC64" w14:textId="77777777" w:rsidR="00FE4BEF" w:rsidRPr="00FE4BEF" w:rsidRDefault="00FE4BEF" w:rsidP="00FE4BEF">
            <w:pPr>
              <w:spacing w:after="0" w:line="240" w:lineRule="auto"/>
              <w:rPr>
                <w:rFonts w:ascii="Calibri" w:eastAsia="Times New Roman" w:hAnsi="Calibri" w:cs="Calibri"/>
                <w:sz w:val="20"/>
                <w:szCs w:val="20"/>
                <w:lang w:eastAsia="cs-CZ"/>
              </w:rPr>
            </w:pPr>
            <w:r w:rsidRPr="00FE4BEF">
              <w:rPr>
                <w:rFonts w:ascii="Calibri" w:eastAsia="Times New Roman" w:hAnsi="Calibri" w:cs="Calibri"/>
                <w:sz w:val="20"/>
                <w:szCs w:val="20"/>
                <w:lang w:eastAsia="cs-CZ"/>
              </w:rPr>
              <w:t>z toho:</w:t>
            </w:r>
          </w:p>
        </w:tc>
      </w:tr>
      <w:tr w:rsidR="00FE4BEF" w:rsidRPr="00FE4BEF" w14:paraId="4065EF12" w14:textId="77777777" w:rsidTr="00687021">
        <w:trPr>
          <w:trHeight w:val="300"/>
        </w:trPr>
        <w:tc>
          <w:tcPr>
            <w:tcW w:w="826" w:type="dxa"/>
            <w:tcBorders>
              <w:top w:val="nil"/>
              <w:left w:val="single" w:sz="8" w:space="0" w:color="auto"/>
              <w:bottom w:val="single" w:sz="8" w:space="0" w:color="auto"/>
              <w:right w:val="single" w:sz="4" w:space="0" w:color="auto"/>
            </w:tcBorders>
            <w:shd w:val="clear" w:color="auto" w:fill="auto"/>
            <w:noWrap/>
            <w:vAlign w:val="bottom"/>
            <w:hideMark/>
          </w:tcPr>
          <w:p w14:paraId="5E8D6223" w14:textId="77777777" w:rsidR="00FE4BEF" w:rsidRPr="00FE4BEF" w:rsidRDefault="00FE4BEF" w:rsidP="00FE4BEF">
            <w:pPr>
              <w:spacing w:after="0" w:line="240" w:lineRule="auto"/>
              <w:jc w:val="center"/>
              <w:rPr>
                <w:rFonts w:ascii="Calibri" w:eastAsia="Times New Roman" w:hAnsi="Calibri" w:cs="Calibri"/>
                <w:sz w:val="20"/>
                <w:szCs w:val="20"/>
                <w:lang w:eastAsia="cs-CZ"/>
              </w:rPr>
            </w:pPr>
            <w:r w:rsidRPr="00FE4BEF">
              <w:rPr>
                <w:rFonts w:ascii="Calibri" w:eastAsia="Times New Roman" w:hAnsi="Calibri" w:cs="Calibri"/>
                <w:sz w:val="20"/>
                <w:szCs w:val="20"/>
                <w:lang w:eastAsia="cs-CZ"/>
              </w:rPr>
              <w:t> </w:t>
            </w:r>
          </w:p>
        </w:tc>
        <w:tc>
          <w:tcPr>
            <w:tcW w:w="4120" w:type="dxa"/>
            <w:tcBorders>
              <w:top w:val="nil"/>
              <w:left w:val="nil"/>
              <w:bottom w:val="single" w:sz="8" w:space="0" w:color="auto"/>
              <w:right w:val="single" w:sz="4" w:space="0" w:color="auto"/>
            </w:tcBorders>
            <w:shd w:val="clear" w:color="auto" w:fill="auto"/>
            <w:vAlign w:val="center"/>
            <w:hideMark/>
          </w:tcPr>
          <w:p w14:paraId="70FAB16D" w14:textId="77777777" w:rsidR="00FE4BEF" w:rsidRPr="00FE4BEF" w:rsidRDefault="00FE4BEF" w:rsidP="00FE4BEF">
            <w:pPr>
              <w:spacing w:after="0" w:line="240" w:lineRule="auto"/>
              <w:rPr>
                <w:rFonts w:ascii="Calibri" w:eastAsia="Times New Roman" w:hAnsi="Calibri" w:cs="Calibri"/>
                <w:i/>
                <w:iCs/>
                <w:sz w:val="20"/>
                <w:szCs w:val="20"/>
                <w:lang w:eastAsia="cs-CZ"/>
              </w:rPr>
            </w:pPr>
            <w:r w:rsidRPr="00FE4BEF">
              <w:rPr>
                <w:rFonts w:ascii="Calibri" w:eastAsia="Times New Roman" w:hAnsi="Calibri" w:cs="Calibri"/>
                <w:i/>
                <w:iCs/>
                <w:sz w:val="20"/>
                <w:szCs w:val="20"/>
                <w:lang w:eastAsia="cs-CZ"/>
              </w:rPr>
              <w:t>5139 nákup materiálu j. n.</w:t>
            </w:r>
          </w:p>
        </w:tc>
        <w:tc>
          <w:tcPr>
            <w:tcW w:w="1433" w:type="dxa"/>
            <w:tcBorders>
              <w:top w:val="nil"/>
              <w:left w:val="nil"/>
              <w:bottom w:val="single" w:sz="8" w:space="0" w:color="auto"/>
              <w:right w:val="single" w:sz="4" w:space="0" w:color="auto"/>
            </w:tcBorders>
            <w:shd w:val="clear" w:color="auto" w:fill="auto"/>
            <w:noWrap/>
            <w:vAlign w:val="bottom"/>
            <w:hideMark/>
          </w:tcPr>
          <w:p w14:paraId="5C75A532" w14:textId="77777777" w:rsidR="00FE4BEF" w:rsidRPr="00FE4BEF" w:rsidRDefault="00FE4BEF" w:rsidP="00FE4BEF">
            <w:pPr>
              <w:spacing w:after="0" w:line="240" w:lineRule="auto"/>
              <w:jc w:val="right"/>
              <w:rPr>
                <w:rFonts w:ascii="Calibri" w:eastAsia="Times New Roman" w:hAnsi="Calibri" w:cs="Calibri"/>
                <w:i/>
                <w:iCs/>
                <w:sz w:val="20"/>
                <w:szCs w:val="20"/>
                <w:lang w:eastAsia="cs-CZ"/>
              </w:rPr>
            </w:pPr>
            <w:r w:rsidRPr="00FE4BEF">
              <w:rPr>
                <w:rFonts w:ascii="Calibri" w:eastAsia="Times New Roman" w:hAnsi="Calibri" w:cs="Calibri"/>
                <w:i/>
                <w:iCs/>
                <w:sz w:val="20"/>
                <w:szCs w:val="20"/>
                <w:lang w:eastAsia="cs-CZ"/>
              </w:rPr>
              <w:t>0</w:t>
            </w:r>
          </w:p>
        </w:tc>
        <w:tc>
          <w:tcPr>
            <w:tcW w:w="1418" w:type="dxa"/>
            <w:tcBorders>
              <w:top w:val="nil"/>
              <w:left w:val="nil"/>
              <w:bottom w:val="single" w:sz="8" w:space="0" w:color="auto"/>
              <w:right w:val="single" w:sz="4" w:space="0" w:color="auto"/>
            </w:tcBorders>
            <w:shd w:val="clear" w:color="auto" w:fill="auto"/>
            <w:noWrap/>
            <w:vAlign w:val="bottom"/>
            <w:hideMark/>
          </w:tcPr>
          <w:p w14:paraId="284F6015" w14:textId="77777777" w:rsidR="00FE4BEF" w:rsidRPr="00FE4BEF" w:rsidRDefault="00FE4BEF" w:rsidP="00FE4BEF">
            <w:pPr>
              <w:spacing w:after="0" w:line="240" w:lineRule="auto"/>
              <w:jc w:val="right"/>
              <w:rPr>
                <w:rFonts w:ascii="Calibri" w:eastAsia="Times New Roman" w:hAnsi="Calibri" w:cs="Calibri"/>
                <w:i/>
                <w:iCs/>
                <w:sz w:val="20"/>
                <w:szCs w:val="20"/>
                <w:lang w:eastAsia="cs-CZ"/>
              </w:rPr>
            </w:pPr>
            <w:r w:rsidRPr="00FE4BEF">
              <w:rPr>
                <w:rFonts w:ascii="Calibri" w:eastAsia="Times New Roman" w:hAnsi="Calibri" w:cs="Calibri"/>
                <w:i/>
                <w:iCs/>
                <w:sz w:val="20"/>
                <w:szCs w:val="20"/>
                <w:lang w:eastAsia="cs-CZ"/>
              </w:rPr>
              <w:t>8 628,00</w:t>
            </w:r>
          </w:p>
        </w:tc>
        <w:tc>
          <w:tcPr>
            <w:tcW w:w="1417" w:type="dxa"/>
            <w:tcBorders>
              <w:top w:val="nil"/>
              <w:left w:val="nil"/>
              <w:bottom w:val="single" w:sz="8" w:space="0" w:color="auto"/>
              <w:right w:val="single" w:sz="4" w:space="0" w:color="auto"/>
            </w:tcBorders>
            <w:shd w:val="clear" w:color="auto" w:fill="auto"/>
            <w:noWrap/>
            <w:vAlign w:val="bottom"/>
            <w:hideMark/>
          </w:tcPr>
          <w:p w14:paraId="0825D535" w14:textId="77777777" w:rsidR="00FE4BEF" w:rsidRPr="00FE4BEF" w:rsidRDefault="00FE4BEF" w:rsidP="00FE4BEF">
            <w:pPr>
              <w:spacing w:after="0" w:line="240" w:lineRule="auto"/>
              <w:jc w:val="right"/>
              <w:rPr>
                <w:rFonts w:ascii="Calibri" w:eastAsia="Times New Roman" w:hAnsi="Calibri" w:cs="Calibri"/>
                <w:i/>
                <w:iCs/>
                <w:sz w:val="20"/>
                <w:szCs w:val="20"/>
                <w:lang w:eastAsia="cs-CZ"/>
              </w:rPr>
            </w:pPr>
            <w:r w:rsidRPr="00FE4BEF">
              <w:rPr>
                <w:rFonts w:ascii="Calibri" w:eastAsia="Times New Roman" w:hAnsi="Calibri" w:cs="Calibri"/>
                <w:i/>
                <w:iCs/>
                <w:sz w:val="20"/>
                <w:szCs w:val="20"/>
                <w:lang w:eastAsia="cs-CZ"/>
              </w:rPr>
              <w:t>8 628,00</w:t>
            </w:r>
          </w:p>
        </w:tc>
        <w:tc>
          <w:tcPr>
            <w:tcW w:w="567" w:type="dxa"/>
            <w:tcBorders>
              <w:top w:val="nil"/>
              <w:left w:val="nil"/>
              <w:bottom w:val="single" w:sz="8" w:space="0" w:color="auto"/>
              <w:right w:val="single" w:sz="8" w:space="0" w:color="auto"/>
            </w:tcBorders>
            <w:shd w:val="clear" w:color="auto" w:fill="auto"/>
            <w:noWrap/>
            <w:vAlign w:val="bottom"/>
            <w:hideMark/>
          </w:tcPr>
          <w:p w14:paraId="2E7101FC" w14:textId="77777777" w:rsidR="00FE4BEF" w:rsidRPr="00FE4BEF" w:rsidRDefault="00FE4BEF" w:rsidP="00FE4BEF">
            <w:pPr>
              <w:spacing w:after="0" w:line="240" w:lineRule="auto"/>
              <w:jc w:val="right"/>
              <w:rPr>
                <w:rFonts w:ascii="Calibri" w:eastAsia="Times New Roman" w:hAnsi="Calibri" w:cs="Calibri"/>
                <w:i/>
                <w:iCs/>
                <w:sz w:val="20"/>
                <w:szCs w:val="20"/>
                <w:lang w:eastAsia="cs-CZ"/>
              </w:rPr>
            </w:pPr>
            <w:r w:rsidRPr="00FE4BEF">
              <w:rPr>
                <w:rFonts w:ascii="Calibri" w:eastAsia="Times New Roman" w:hAnsi="Calibri" w:cs="Calibri"/>
                <w:i/>
                <w:iCs/>
                <w:sz w:val="20"/>
                <w:szCs w:val="20"/>
                <w:lang w:eastAsia="cs-CZ"/>
              </w:rPr>
              <w:t>100,0</w:t>
            </w:r>
          </w:p>
        </w:tc>
      </w:tr>
      <w:tr w:rsidR="00FE4BEF" w:rsidRPr="00FE4BEF" w14:paraId="60D34549" w14:textId="77777777" w:rsidTr="00687021">
        <w:trPr>
          <w:trHeight w:val="319"/>
        </w:trPr>
        <w:tc>
          <w:tcPr>
            <w:tcW w:w="826" w:type="dxa"/>
            <w:tcBorders>
              <w:top w:val="nil"/>
              <w:left w:val="single" w:sz="8" w:space="0" w:color="auto"/>
              <w:bottom w:val="single" w:sz="8" w:space="0" w:color="auto"/>
              <w:right w:val="single" w:sz="4" w:space="0" w:color="auto"/>
            </w:tcBorders>
            <w:shd w:val="clear" w:color="auto" w:fill="auto"/>
            <w:noWrap/>
            <w:vAlign w:val="bottom"/>
            <w:hideMark/>
          </w:tcPr>
          <w:p w14:paraId="21916D2B" w14:textId="77777777" w:rsidR="00FE4BEF" w:rsidRPr="00FE4BEF" w:rsidRDefault="00FE4BEF" w:rsidP="00FE4BEF">
            <w:pPr>
              <w:spacing w:after="0" w:line="240" w:lineRule="auto"/>
              <w:rPr>
                <w:rFonts w:ascii="Calibri" w:eastAsia="Times New Roman" w:hAnsi="Calibri" w:cs="Calibri"/>
                <w:b/>
                <w:bCs/>
                <w:lang w:eastAsia="cs-CZ"/>
              </w:rPr>
            </w:pPr>
            <w:r w:rsidRPr="00FE4BEF">
              <w:rPr>
                <w:rFonts w:ascii="Calibri" w:eastAsia="Times New Roman" w:hAnsi="Calibri" w:cs="Calibri"/>
                <w:b/>
                <w:bCs/>
                <w:lang w:eastAsia="cs-CZ"/>
              </w:rPr>
              <w:t> </w:t>
            </w:r>
          </w:p>
        </w:tc>
        <w:tc>
          <w:tcPr>
            <w:tcW w:w="4120" w:type="dxa"/>
            <w:tcBorders>
              <w:top w:val="nil"/>
              <w:left w:val="nil"/>
              <w:bottom w:val="single" w:sz="8" w:space="0" w:color="auto"/>
              <w:right w:val="single" w:sz="4" w:space="0" w:color="auto"/>
            </w:tcBorders>
            <w:shd w:val="clear" w:color="auto" w:fill="auto"/>
            <w:noWrap/>
            <w:vAlign w:val="bottom"/>
            <w:hideMark/>
          </w:tcPr>
          <w:p w14:paraId="6315C61D" w14:textId="77777777" w:rsidR="00FE4BEF" w:rsidRPr="00FE4BEF" w:rsidRDefault="00FE4BEF" w:rsidP="00FE4BEF">
            <w:pPr>
              <w:spacing w:after="0" w:line="240" w:lineRule="auto"/>
              <w:rPr>
                <w:rFonts w:ascii="Calibri" w:eastAsia="Times New Roman" w:hAnsi="Calibri" w:cs="Calibri"/>
                <w:b/>
                <w:bCs/>
                <w:lang w:eastAsia="cs-CZ"/>
              </w:rPr>
            </w:pPr>
            <w:r w:rsidRPr="00FE4BEF">
              <w:rPr>
                <w:rFonts w:ascii="Calibri" w:eastAsia="Times New Roman" w:hAnsi="Calibri" w:cs="Calibri"/>
                <w:b/>
                <w:bCs/>
                <w:lang w:eastAsia="cs-CZ"/>
              </w:rPr>
              <w:t>Celkem</w:t>
            </w:r>
          </w:p>
        </w:tc>
        <w:tc>
          <w:tcPr>
            <w:tcW w:w="1433" w:type="dxa"/>
            <w:tcBorders>
              <w:top w:val="nil"/>
              <w:left w:val="nil"/>
              <w:bottom w:val="single" w:sz="8" w:space="0" w:color="auto"/>
              <w:right w:val="single" w:sz="4" w:space="0" w:color="auto"/>
            </w:tcBorders>
            <w:shd w:val="clear" w:color="auto" w:fill="auto"/>
            <w:noWrap/>
            <w:vAlign w:val="bottom"/>
            <w:hideMark/>
          </w:tcPr>
          <w:p w14:paraId="555E28EA" w14:textId="77777777" w:rsidR="00FE4BEF" w:rsidRPr="00FE4BEF" w:rsidRDefault="00FE4BEF" w:rsidP="00FE4BEF">
            <w:pPr>
              <w:spacing w:after="0" w:line="240" w:lineRule="auto"/>
              <w:jc w:val="right"/>
              <w:rPr>
                <w:rFonts w:ascii="Calibri" w:eastAsia="Times New Roman" w:hAnsi="Calibri" w:cs="Calibri"/>
                <w:b/>
                <w:bCs/>
                <w:lang w:eastAsia="cs-CZ"/>
              </w:rPr>
            </w:pPr>
            <w:r w:rsidRPr="00FE4BEF">
              <w:rPr>
                <w:rFonts w:ascii="Calibri" w:eastAsia="Times New Roman" w:hAnsi="Calibri" w:cs="Calibri"/>
                <w:b/>
                <w:bCs/>
                <w:lang w:eastAsia="cs-CZ"/>
              </w:rPr>
              <w:t>2 000 000</w:t>
            </w:r>
          </w:p>
        </w:tc>
        <w:tc>
          <w:tcPr>
            <w:tcW w:w="1418" w:type="dxa"/>
            <w:tcBorders>
              <w:top w:val="nil"/>
              <w:left w:val="nil"/>
              <w:bottom w:val="single" w:sz="8" w:space="0" w:color="auto"/>
              <w:right w:val="single" w:sz="4" w:space="0" w:color="auto"/>
            </w:tcBorders>
            <w:shd w:val="clear" w:color="auto" w:fill="auto"/>
            <w:noWrap/>
            <w:vAlign w:val="bottom"/>
            <w:hideMark/>
          </w:tcPr>
          <w:p w14:paraId="185485CE" w14:textId="77777777" w:rsidR="00FE4BEF" w:rsidRPr="00FE4BEF" w:rsidRDefault="00FE4BEF" w:rsidP="00FE4BEF">
            <w:pPr>
              <w:spacing w:after="0" w:line="240" w:lineRule="auto"/>
              <w:jc w:val="right"/>
              <w:rPr>
                <w:rFonts w:ascii="Calibri" w:eastAsia="Times New Roman" w:hAnsi="Calibri" w:cs="Calibri"/>
                <w:b/>
                <w:bCs/>
                <w:lang w:eastAsia="cs-CZ"/>
              </w:rPr>
            </w:pPr>
            <w:r w:rsidRPr="00FE4BEF">
              <w:rPr>
                <w:rFonts w:ascii="Calibri" w:eastAsia="Times New Roman" w:hAnsi="Calibri" w:cs="Calibri"/>
                <w:b/>
                <w:bCs/>
                <w:lang w:eastAsia="cs-CZ"/>
              </w:rPr>
              <w:t>8 924 738,04</w:t>
            </w:r>
          </w:p>
        </w:tc>
        <w:tc>
          <w:tcPr>
            <w:tcW w:w="1417" w:type="dxa"/>
            <w:tcBorders>
              <w:top w:val="nil"/>
              <w:left w:val="nil"/>
              <w:bottom w:val="single" w:sz="8" w:space="0" w:color="auto"/>
              <w:right w:val="single" w:sz="4" w:space="0" w:color="auto"/>
            </w:tcBorders>
            <w:shd w:val="clear" w:color="auto" w:fill="auto"/>
            <w:noWrap/>
            <w:vAlign w:val="bottom"/>
            <w:hideMark/>
          </w:tcPr>
          <w:p w14:paraId="7D9DFFC8" w14:textId="77777777" w:rsidR="00FE4BEF" w:rsidRPr="00FE4BEF" w:rsidRDefault="00FE4BEF" w:rsidP="00FE4BEF">
            <w:pPr>
              <w:spacing w:after="0" w:line="240" w:lineRule="auto"/>
              <w:jc w:val="right"/>
              <w:rPr>
                <w:rFonts w:ascii="Calibri" w:eastAsia="Times New Roman" w:hAnsi="Calibri" w:cs="Calibri"/>
                <w:b/>
                <w:bCs/>
                <w:lang w:eastAsia="cs-CZ"/>
              </w:rPr>
            </w:pPr>
            <w:r w:rsidRPr="00FE4BEF">
              <w:rPr>
                <w:rFonts w:ascii="Calibri" w:eastAsia="Times New Roman" w:hAnsi="Calibri" w:cs="Calibri"/>
                <w:b/>
                <w:bCs/>
                <w:lang w:eastAsia="cs-CZ"/>
              </w:rPr>
              <w:t>3 042 350,80</w:t>
            </w:r>
          </w:p>
        </w:tc>
        <w:tc>
          <w:tcPr>
            <w:tcW w:w="567" w:type="dxa"/>
            <w:tcBorders>
              <w:top w:val="nil"/>
              <w:left w:val="nil"/>
              <w:bottom w:val="single" w:sz="8" w:space="0" w:color="auto"/>
              <w:right w:val="single" w:sz="8" w:space="0" w:color="auto"/>
            </w:tcBorders>
            <w:shd w:val="clear" w:color="auto" w:fill="auto"/>
            <w:noWrap/>
            <w:vAlign w:val="bottom"/>
            <w:hideMark/>
          </w:tcPr>
          <w:p w14:paraId="316A9497" w14:textId="77777777" w:rsidR="00FE4BEF" w:rsidRPr="00FE4BEF" w:rsidRDefault="00FE4BEF" w:rsidP="00FE4BEF">
            <w:pPr>
              <w:spacing w:after="0" w:line="240" w:lineRule="auto"/>
              <w:jc w:val="right"/>
              <w:rPr>
                <w:rFonts w:ascii="Calibri" w:eastAsia="Times New Roman" w:hAnsi="Calibri" w:cs="Calibri"/>
                <w:b/>
                <w:bCs/>
                <w:lang w:eastAsia="cs-CZ"/>
              </w:rPr>
            </w:pPr>
            <w:r w:rsidRPr="00FE4BEF">
              <w:rPr>
                <w:rFonts w:ascii="Calibri" w:eastAsia="Times New Roman" w:hAnsi="Calibri" w:cs="Calibri"/>
                <w:b/>
                <w:bCs/>
                <w:lang w:eastAsia="cs-CZ"/>
              </w:rPr>
              <w:t>34,1</w:t>
            </w:r>
          </w:p>
        </w:tc>
      </w:tr>
      <w:tr w:rsidR="00FE4BEF" w:rsidRPr="00FE4BEF" w14:paraId="2400B13E" w14:textId="77777777" w:rsidTr="00687021">
        <w:trPr>
          <w:trHeight w:val="319"/>
        </w:trPr>
        <w:tc>
          <w:tcPr>
            <w:tcW w:w="826" w:type="dxa"/>
            <w:tcBorders>
              <w:top w:val="nil"/>
              <w:left w:val="nil"/>
              <w:bottom w:val="nil"/>
              <w:right w:val="nil"/>
            </w:tcBorders>
            <w:shd w:val="clear" w:color="auto" w:fill="auto"/>
            <w:noWrap/>
            <w:vAlign w:val="bottom"/>
            <w:hideMark/>
          </w:tcPr>
          <w:p w14:paraId="2415F8F5" w14:textId="77777777" w:rsidR="00FE4BEF" w:rsidRPr="00FE4BEF" w:rsidRDefault="00FE4BEF" w:rsidP="00FE4BEF">
            <w:pPr>
              <w:spacing w:after="0" w:line="240" w:lineRule="auto"/>
              <w:jc w:val="right"/>
              <w:rPr>
                <w:rFonts w:ascii="Calibri" w:eastAsia="Times New Roman" w:hAnsi="Calibri" w:cs="Calibri"/>
                <w:b/>
                <w:bCs/>
                <w:lang w:eastAsia="cs-CZ"/>
              </w:rPr>
            </w:pPr>
          </w:p>
        </w:tc>
        <w:tc>
          <w:tcPr>
            <w:tcW w:w="4120" w:type="dxa"/>
            <w:tcBorders>
              <w:top w:val="nil"/>
              <w:left w:val="nil"/>
              <w:bottom w:val="nil"/>
              <w:right w:val="nil"/>
            </w:tcBorders>
            <w:shd w:val="clear" w:color="auto" w:fill="auto"/>
            <w:noWrap/>
            <w:vAlign w:val="bottom"/>
            <w:hideMark/>
          </w:tcPr>
          <w:p w14:paraId="79FC9702" w14:textId="77777777" w:rsidR="00FE4BEF" w:rsidRPr="00FE4BEF" w:rsidRDefault="00FE4BEF" w:rsidP="00FE4BEF">
            <w:pPr>
              <w:spacing w:after="0" w:line="240" w:lineRule="auto"/>
              <w:rPr>
                <w:rFonts w:ascii="Times New Roman" w:eastAsia="Times New Roman" w:hAnsi="Times New Roman" w:cs="Times New Roman"/>
                <w:sz w:val="20"/>
                <w:szCs w:val="20"/>
                <w:lang w:eastAsia="cs-CZ"/>
              </w:rPr>
            </w:pPr>
          </w:p>
        </w:tc>
        <w:tc>
          <w:tcPr>
            <w:tcW w:w="1433" w:type="dxa"/>
            <w:tcBorders>
              <w:top w:val="nil"/>
              <w:left w:val="nil"/>
              <w:bottom w:val="nil"/>
              <w:right w:val="nil"/>
            </w:tcBorders>
            <w:shd w:val="clear" w:color="auto" w:fill="auto"/>
            <w:noWrap/>
            <w:vAlign w:val="bottom"/>
            <w:hideMark/>
          </w:tcPr>
          <w:p w14:paraId="6A3A16EB" w14:textId="77777777" w:rsidR="00FE4BEF" w:rsidRPr="00FE4BEF" w:rsidRDefault="00FE4BEF" w:rsidP="00FE4BEF">
            <w:pPr>
              <w:spacing w:after="0" w:line="240" w:lineRule="auto"/>
              <w:rPr>
                <w:rFonts w:ascii="Times New Roman" w:eastAsia="Times New Roman" w:hAnsi="Times New Roman" w:cs="Times New Roman"/>
                <w:sz w:val="20"/>
                <w:szCs w:val="20"/>
                <w:lang w:eastAsia="cs-CZ"/>
              </w:rPr>
            </w:pPr>
          </w:p>
        </w:tc>
        <w:tc>
          <w:tcPr>
            <w:tcW w:w="1418" w:type="dxa"/>
            <w:tcBorders>
              <w:top w:val="nil"/>
              <w:left w:val="nil"/>
              <w:bottom w:val="nil"/>
              <w:right w:val="nil"/>
            </w:tcBorders>
            <w:shd w:val="clear" w:color="auto" w:fill="auto"/>
            <w:noWrap/>
            <w:vAlign w:val="bottom"/>
            <w:hideMark/>
          </w:tcPr>
          <w:p w14:paraId="518E247D" w14:textId="77777777" w:rsidR="00FE4BEF" w:rsidRPr="00FE4BEF" w:rsidRDefault="00FE4BEF" w:rsidP="00FE4BEF">
            <w:pPr>
              <w:spacing w:after="0" w:line="240" w:lineRule="auto"/>
              <w:jc w:val="right"/>
              <w:rPr>
                <w:rFonts w:ascii="Times New Roman" w:eastAsia="Times New Roman" w:hAnsi="Times New Roman" w:cs="Times New Roman"/>
                <w:sz w:val="20"/>
                <w:szCs w:val="20"/>
                <w:lang w:eastAsia="cs-CZ"/>
              </w:rPr>
            </w:pPr>
          </w:p>
        </w:tc>
        <w:tc>
          <w:tcPr>
            <w:tcW w:w="1417" w:type="dxa"/>
            <w:tcBorders>
              <w:top w:val="nil"/>
              <w:left w:val="nil"/>
              <w:bottom w:val="nil"/>
              <w:right w:val="nil"/>
            </w:tcBorders>
            <w:shd w:val="clear" w:color="auto" w:fill="auto"/>
            <w:noWrap/>
            <w:vAlign w:val="bottom"/>
            <w:hideMark/>
          </w:tcPr>
          <w:p w14:paraId="551AB78F" w14:textId="77777777" w:rsidR="00FE4BEF" w:rsidRPr="00FE4BEF" w:rsidRDefault="00FE4BEF" w:rsidP="00FE4BEF">
            <w:pPr>
              <w:spacing w:after="0" w:line="240" w:lineRule="auto"/>
              <w:jc w:val="right"/>
              <w:rPr>
                <w:rFonts w:ascii="Times New Roman" w:eastAsia="Times New Roman" w:hAnsi="Times New Roman" w:cs="Times New Roman"/>
                <w:sz w:val="20"/>
                <w:szCs w:val="20"/>
                <w:lang w:eastAsia="cs-CZ"/>
              </w:rPr>
            </w:pPr>
          </w:p>
        </w:tc>
        <w:tc>
          <w:tcPr>
            <w:tcW w:w="567" w:type="dxa"/>
            <w:tcBorders>
              <w:top w:val="nil"/>
              <w:left w:val="nil"/>
              <w:bottom w:val="nil"/>
              <w:right w:val="nil"/>
            </w:tcBorders>
            <w:shd w:val="clear" w:color="auto" w:fill="auto"/>
            <w:noWrap/>
            <w:vAlign w:val="bottom"/>
            <w:hideMark/>
          </w:tcPr>
          <w:p w14:paraId="7D00D538" w14:textId="77777777" w:rsidR="00FE4BEF" w:rsidRPr="00FE4BEF" w:rsidRDefault="00FE4BEF" w:rsidP="00FE4BEF">
            <w:pPr>
              <w:spacing w:after="0" w:line="240" w:lineRule="auto"/>
              <w:jc w:val="right"/>
              <w:rPr>
                <w:rFonts w:ascii="Times New Roman" w:eastAsia="Times New Roman" w:hAnsi="Times New Roman" w:cs="Times New Roman"/>
                <w:sz w:val="20"/>
                <w:szCs w:val="20"/>
                <w:lang w:eastAsia="cs-CZ"/>
              </w:rPr>
            </w:pPr>
          </w:p>
        </w:tc>
      </w:tr>
      <w:tr w:rsidR="00FE4BEF" w:rsidRPr="00FE4BEF" w14:paraId="09219063" w14:textId="77777777" w:rsidTr="00687021">
        <w:trPr>
          <w:trHeight w:val="360"/>
        </w:trPr>
        <w:tc>
          <w:tcPr>
            <w:tcW w:w="826" w:type="dxa"/>
            <w:tcBorders>
              <w:top w:val="nil"/>
              <w:left w:val="nil"/>
              <w:bottom w:val="nil"/>
              <w:right w:val="nil"/>
            </w:tcBorders>
            <w:shd w:val="clear" w:color="auto" w:fill="auto"/>
            <w:noWrap/>
            <w:vAlign w:val="bottom"/>
            <w:hideMark/>
          </w:tcPr>
          <w:p w14:paraId="499C6094" w14:textId="77777777" w:rsidR="00FE4BEF" w:rsidRPr="00FE4BEF" w:rsidRDefault="00FE4BEF" w:rsidP="00FE4BEF">
            <w:pPr>
              <w:spacing w:after="0" w:line="240" w:lineRule="auto"/>
              <w:jc w:val="right"/>
              <w:rPr>
                <w:rFonts w:ascii="Times New Roman" w:eastAsia="Times New Roman" w:hAnsi="Times New Roman" w:cs="Times New Roman"/>
                <w:sz w:val="20"/>
                <w:szCs w:val="20"/>
                <w:lang w:eastAsia="cs-CZ"/>
              </w:rPr>
            </w:pPr>
          </w:p>
        </w:tc>
        <w:tc>
          <w:tcPr>
            <w:tcW w:w="8955" w:type="dxa"/>
            <w:gridSpan w:val="5"/>
            <w:tcBorders>
              <w:top w:val="nil"/>
              <w:left w:val="nil"/>
              <w:bottom w:val="single" w:sz="8" w:space="0" w:color="auto"/>
              <w:right w:val="nil"/>
            </w:tcBorders>
            <w:shd w:val="clear" w:color="auto" w:fill="auto"/>
            <w:vAlign w:val="bottom"/>
            <w:hideMark/>
          </w:tcPr>
          <w:p w14:paraId="0F31EB6E" w14:textId="77777777" w:rsidR="00FE4BEF" w:rsidRPr="00FE4BEF" w:rsidRDefault="00FE4BEF" w:rsidP="00FE4BEF">
            <w:pPr>
              <w:spacing w:after="0" w:line="240" w:lineRule="auto"/>
              <w:rPr>
                <w:rFonts w:ascii="Calibri" w:eastAsia="Times New Roman" w:hAnsi="Calibri" w:cs="Calibri"/>
                <w:b/>
                <w:bCs/>
                <w:color w:val="000000"/>
                <w:lang w:eastAsia="cs-CZ"/>
              </w:rPr>
            </w:pPr>
            <w:r w:rsidRPr="00FE4BEF">
              <w:rPr>
                <w:rFonts w:ascii="Calibri" w:eastAsia="Times New Roman" w:hAnsi="Calibri" w:cs="Calibri"/>
                <w:b/>
                <w:bCs/>
                <w:color w:val="000000"/>
                <w:lang w:eastAsia="cs-CZ"/>
              </w:rPr>
              <w:t>Předfinancování a kofinancování projektů spolufinancovaných z EU/EHP a ostatní související výdaje s projekty EU/EHP</w:t>
            </w:r>
          </w:p>
        </w:tc>
      </w:tr>
      <w:tr w:rsidR="00FE4BEF" w:rsidRPr="00FE4BEF" w14:paraId="42D59D00" w14:textId="77777777" w:rsidTr="00687021">
        <w:trPr>
          <w:trHeight w:val="525"/>
        </w:trPr>
        <w:tc>
          <w:tcPr>
            <w:tcW w:w="826"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7ACECFF" w14:textId="77777777" w:rsidR="00FE4BEF" w:rsidRPr="00FE4BEF" w:rsidRDefault="00FE4BEF" w:rsidP="00FE4BEF">
            <w:pPr>
              <w:spacing w:after="0" w:line="240" w:lineRule="auto"/>
              <w:jc w:val="center"/>
              <w:rPr>
                <w:rFonts w:ascii="Calibri" w:eastAsia="Times New Roman" w:hAnsi="Calibri" w:cs="Calibri"/>
                <w:sz w:val="20"/>
                <w:szCs w:val="20"/>
                <w:lang w:eastAsia="cs-CZ"/>
              </w:rPr>
            </w:pPr>
            <w:r w:rsidRPr="00FE4BEF">
              <w:rPr>
                <w:rFonts w:ascii="Calibri" w:eastAsia="Times New Roman" w:hAnsi="Calibri" w:cs="Calibri"/>
                <w:sz w:val="20"/>
                <w:szCs w:val="20"/>
                <w:lang w:eastAsia="cs-CZ"/>
              </w:rPr>
              <w:t>3636</w:t>
            </w:r>
          </w:p>
        </w:tc>
        <w:tc>
          <w:tcPr>
            <w:tcW w:w="4120" w:type="dxa"/>
            <w:tcBorders>
              <w:top w:val="nil"/>
              <w:left w:val="nil"/>
              <w:bottom w:val="single" w:sz="4" w:space="0" w:color="auto"/>
              <w:right w:val="single" w:sz="4" w:space="0" w:color="auto"/>
            </w:tcBorders>
            <w:shd w:val="clear" w:color="auto" w:fill="auto"/>
            <w:vAlign w:val="center"/>
            <w:hideMark/>
          </w:tcPr>
          <w:p w14:paraId="700CD3F7" w14:textId="77777777" w:rsidR="00FE4BEF" w:rsidRPr="00FE4BEF" w:rsidRDefault="00FE4BEF" w:rsidP="00FE4BEF">
            <w:pPr>
              <w:spacing w:after="0" w:line="240" w:lineRule="auto"/>
              <w:rPr>
                <w:rFonts w:ascii="Calibri" w:eastAsia="Times New Roman" w:hAnsi="Calibri" w:cs="Calibri"/>
                <w:color w:val="000000"/>
                <w:sz w:val="20"/>
                <w:szCs w:val="20"/>
                <w:lang w:eastAsia="cs-CZ"/>
              </w:rPr>
            </w:pPr>
            <w:r w:rsidRPr="00FE4BEF">
              <w:rPr>
                <w:rFonts w:ascii="Calibri" w:eastAsia="Times New Roman" w:hAnsi="Calibri" w:cs="Calibri"/>
                <w:color w:val="000000"/>
                <w:sz w:val="20"/>
                <w:szCs w:val="20"/>
                <w:lang w:eastAsia="cs-CZ"/>
              </w:rPr>
              <w:t>Studie proveditelnosti Digitální technické mapy Středočeského kraje</w:t>
            </w:r>
          </w:p>
        </w:tc>
        <w:tc>
          <w:tcPr>
            <w:tcW w:w="1433" w:type="dxa"/>
            <w:tcBorders>
              <w:top w:val="nil"/>
              <w:left w:val="nil"/>
              <w:bottom w:val="single" w:sz="4" w:space="0" w:color="auto"/>
              <w:right w:val="single" w:sz="4" w:space="0" w:color="auto"/>
            </w:tcBorders>
            <w:shd w:val="clear" w:color="auto" w:fill="auto"/>
            <w:vAlign w:val="bottom"/>
            <w:hideMark/>
          </w:tcPr>
          <w:p w14:paraId="372CA90F" w14:textId="77777777" w:rsidR="00FE4BEF" w:rsidRPr="00FE4BEF" w:rsidRDefault="00FE4BEF" w:rsidP="00FE4BEF">
            <w:pPr>
              <w:spacing w:after="0" w:line="240" w:lineRule="auto"/>
              <w:jc w:val="right"/>
              <w:rPr>
                <w:rFonts w:ascii="Calibri" w:eastAsia="Times New Roman" w:hAnsi="Calibri" w:cs="Calibri"/>
                <w:color w:val="000000"/>
                <w:sz w:val="20"/>
                <w:szCs w:val="20"/>
                <w:lang w:eastAsia="cs-CZ"/>
              </w:rPr>
            </w:pPr>
            <w:r w:rsidRPr="00FE4BEF">
              <w:rPr>
                <w:rFonts w:ascii="Calibri" w:eastAsia="Times New Roman" w:hAnsi="Calibri" w:cs="Calibri"/>
                <w:color w:val="000000"/>
                <w:sz w:val="20"/>
                <w:szCs w:val="20"/>
                <w:lang w:eastAsia="cs-CZ"/>
              </w:rPr>
              <w:t>0</w:t>
            </w:r>
          </w:p>
        </w:tc>
        <w:tc>
          <w:tcPr>
            <w:tcW w:w="1418" w:type="dxa"/>
            <w:tcBorders>
              <w:top w:val="nil"/>
              <w:left w:val="nil"/>
              <w:bottom w:val="single" w:sz="4" w:space="0" w:color="auto"/>
              <w:right w:val="single" w:sz="4" w:space="0" w:color="auto"/>
            </w:tcBorders>
            <w:shd w:val="clear" w:color="auto" w:fill="auto"/>
            <w:vAlign w:val="bottom"/>
            <w:hideMark/>
          </w:tcPr>
          <w:p w14:paraId="475E87E1" w14:textId="77777777" w:rsidR="00FE4BEF" w:rsidRPr="00FE4BEF" w:rsidRDefault="00FE4BEF" w:rsidP="00FE4BEF">
            <w:pPr>
              <w:spacing w:after="0" w:line="240" w:lineRule="auto"/>
              <w:jc w:val="right"/>
              <w:rPr>
                <w:rFonts w:ascii="Calibri" w:eastAsia="Times New Roman" w:hAnsi="Calibri" w:cs="Calibri"/>
                <w:color w:val="000000"/>
                <w:sz w:val="20"/>
                <w:szCs w:val="20"/>
                <w:lang w:eastAsia="cs-CZ"/>
              </w:rPr>
            </w:pPr>
            <w:r w:rsidRPr="00FE4BEF">
              <w:rPr>
                <w:rFonts w:ascii="Calibri" w:eastAsia="Times New Roman" w:hAnsi="Calibri" w:cs="Calibri"/>
                <w:color w:val="000000"/>
                <w:sz w:val="20"/>
                <w:szCs w:val="20"/>
                <w:lang w:eastAsia="cs-CZ"/>
              </w:rPr>
              <w:t xml:space="preserve"> 41 987,00    </w:t>
            </w:r>
          </w:p>
        </w:tc>
        <w:tc>
          <w:tcPr>
            <w:tcW w:w="1417" w:type="dxa"/>
            <w:tcBorders>
              <w:top w:val="nil"/>
              <w:left w:val="nil"/>
              <w:bottom w:val="single" w:sz="4" w:space="0" w:color="auto"/>
              <w:right w:val="single" w:sz="4" w:space="0" w:color="auto"/>
            </w:tcBorders>
            <w:shd w:val="clear" w:color="auto" w:fill="auto"/>
            <w:vAlign w:val="bottom"/>
            <w:hideMark/>
          </w:tcPr>
          <w:p w14:paraId="108F9E01" w14:textId="77777777" w:rsidR="00FE4BEF" w:rsidRPr="00FE4BEF" w:rsidRDefault="00FE4BEF" w:rsidP="00FE4BEF">
            <w:pPr>
              <w:spacing w:after="0" w:line="240" w:lineRule="auto"/>
              <w:jc w:val="right"/>
              <w:rPr>
                <w:rFonts w:ascii="Calibri" w:eastAsia="Times New Roman" w:hAnsi="Calibri" w:cs="Calibri"/>
                <w:color w:val="000000"/>
                <w:sz w:val="20"/>
                <w:szCs w:val="20"/>
                <w:lang w:eastAsia="cs-CZ"/>
              </w:rPr>
            </w:pPr>
            <w:r w:rsidRPr="00FE4BEF">
              <w:rPr>
                <w:rFonts w:ascii="Calibri" w:eastAsia="Times New Roman" w:hAnsi="Calibri" w:cs="Calibri"/>
                <w:color w:val="000000"/>
                <w:sz w:val="20"/>
                <w:szCs w:val="20"/>
                <w:lang w:eastAsia="cs-CZ"/>
              </w:rPr>
              <w:t>41 987,00</w:t>
            </w:r>
          </w:p>
        </w:tc>
        <w:tc>
          <w:tcPr>
            <w:tcW w:w="567" w:type="dxa"/>
            <w:tcBorders>
              <w:top w:val="nil"/>
              <w:left w:val="nil"/>
              <w:bottom w:val="single" w:sz="4" w:space="0" w:color="auto"/>
              <w:right w:val="single" w:sz="8" w:space="0" w:color="auto"/>
            </w:tcBorders>
            <w:shd w:val="clear" w:color="auto" w:fill="auto"/>
            <w:vAlign w:val="bottom"/>
            <w:hideMark/>
          </w:tcPr>
          <w:p w14:paraId="70AD48FA" w14:textId="77777777" w:rsidR="00FE4BEF" w:rsidRPr="00FE4BEF" w:rsidRDefault="00FE4BEF" w:rsidP="00FE4BEF">
            <w:pPr>
              <w:spacing w:after="0" w:line="240" w:lineRule="auto"/>
              <w:jc w:val="right"/>
              <w:rPr>
                <w:rFonts w:ascii="Calibri" w:eastAsia="Times New Roman" w:hAnsi="Calibri" w:cs="Calibri"/>
                <w:color w:val="000000"/>
                <w:sz w:val="20"/>
                <w:szCs w:val="20"/>
                <w:lang w:eastAsia="cs-CZ"/>
              </w:rPr>
            </w:pPr>
            <w:r w:rsidRPr="00FE4BEF">
              <w:rPr>
                <w:rFonts w:ascii="Calibri" w:eastAsia="Times New Roman" w:hAnsi="Calibri" w:cs="Calibri"/>
                <w:color w:val="000000"/>
                <w:sz w:val="20"/>
                <w:szCs w:val="20"/>
                <w:lang w:eastAsia="cs-CZ"/>
              </w:rPr>
              <w:t>100,0</w:t>
            </w:r>
          </w:p>
        </w:tc>
      </w:tr>
      <w:tr w:rsidR="00FE4BEF" w:rsidRPr="00FE4BEF" w14:paraId="4FE1D5F9" w14:textId="77777777" w:rsidTr="00687021">
        <w:trPr>
          <w:trHeight w:val="319"/>
        </w:trPr>
        <w:tc>
          <w:tcPr>
            <w:tcW w:w="826"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7F4DE59" w14:textId="77777777" w:rsidR="00FE4BEF" w:rsidRPr="00FE4BEF" w:rsidRDefault="00FE4BEF" w:rsidP="00FE4BEF">
            <w:pPr>
              <w:spacing w:after="0" w:line="240" w:lineRule="auto"/>
              <w:jc w:val="center"/>
              <w:rPr>
                <w:rFonts w:ascii="Calibri" w:eastAsia="Times New Roman" w:hAnsi="Calibri" w:cs="Calibri"/>
                <w:lang w:eastAsia="cs-CZ"/>
              </w:rPr>
            </w:pPr>
            <w:r w:rsidRPr="00FE4BEF">
              <w:rPr>
                <w:rFonts w:ascii="Calibri" w:eastAsia="Times New Roman" w:hAnsi="Calibri" w:cs="Calibri"/>
                <w:lang w:eastAsia="cs-CZ"/>
              </w:rPr>
              <w:t> </w:t>
            </w:r>
          </w:p>
        </w:tc>
        <w:tc>
          <w:tcPr>
            <w:tcW w:w="4120" w:type="dxa"/>
            <w:tcBorders>
              <w:top w:val="single" w:sz="8" w:space="0" w:color="auto"/>
              <w:left w:val="nil"/>
              <w:bottom w:val="single" w:sz="8" w:space="0" w:color="auto"/>
              <w:right w:val="single" w:sz="4" w:space="0" w:color="auto"/>
            </w:tcBorders>
            <w:shd w:val="clear" w:color="auto" w:fill="auto"/>
            <w:noWrap/>
            <w:vAlign w:val="bottom"/>
            <w:hideMark/>
          </w:tcPr>
          <w:p w14:paraId="2802AB8A" w14:textId="77777777" w:rsidR="00FE4BEF" w:rsidRPr="00FE4BEF" w:rsidRDefault="00FE4BEF" w:rsidP="00FE4BEF">
            <w:pPr>
              <w:spacing w:after="0" w:line="240" w:lineRule="auto"/>
              <w:rPr>
                <w:rFonts w:ascii="Calibri" w:eastAsia="Times New Roman" w:hAnsi="Calibri" w:cs="Calibri"/>
                <w:b/>
                <w:bCs/>
                <w:color w:val="000000"/>
                <w:lang w:eastAsia="cs-CZ"/>
              </w:rPr>
            </w:pPr>
            <w:r w:rsidRPr="00FE4BEF">
              <w:rPr>
                <w:rFonts w:ascii="Calibri" w:eastAsia="Times New Roman" w:hAnsi="Calibri" w:cs="Calibri"/>
                <w:b/>
                <w:bCs/>
                <w:color w:val="000000"/>
                <w:lang w:eastAsia="cs-CZ"/>
              </w:rPr>
              <w:t>Celkem</w:t>
            </w:r>
          </w:p>
        </w:tc>
        <w:tc>
          <w:tcPr>
            <w:tcW w:w="1433" w:type="dxa"/>
            <w:tcBorders>
              <w:top w:val="single" w:sz="8" w:space="0" w:color="auto"/>
              <w:left w:val="nil"/>
              <w:bottom w:val="single" w:sz="8" w:space="0" w:color="auto"/>
              <w:right w:val="single" w:sz="4" w:space="0" w:color="auto"/>
            </w:tcBorders>
            <w:shd w:val="clear" w:color="auto" w:fill="auto"/>
            <w:noWrap/>
            <w:vAlign w:val="bottom"/>
            <w:hideMark/>
          </w:tcPr>
          <w:p w14:paraId="097B913F" w14:textId="77777777" w:rsidR="00FE4BEF" w:rsidRPr="00FE4BEF" w:rsidRDefault="00FE4BEF" w:rsidP="00FE4BEF">
            <w:pPr>
              <w:spacing w:after="0" w:line="240" w:lineRule="auto"/>
              <w:jc w:val="right"/>
              <w:rPr>
                <w:rFonts w:ascii="Calibri" w:eastAsia="Times New Roman" w:hAnsi="Calibri" w:cs="Calibri"/>
                <w:b/>
                <w:bCs/>
                <w:color w:val="000000"/>
                <w:lang w:eastAsia="cs-CZ"/>
              </w:rPr>
            </w:pPr>
            <w:r w:rsidRPr="00FE4BEF">
              <w:rPr>
                <w:rFonts w:ascii="Calibri" w:eastAsia="Times New Roman" w:hAnsi="Calibri" w:cs="Calibri"/>
                <w:b/>
                <w:bCs/>
                <w:color w:val="000000"/>
                <w:lang w:eastAsia="cs-CZ"/>
              </w:rPr>
              <w:t>0</w:t>
            </w:r>
          </w:p>
        </w:tc>
        <w:tc>
          <w:tcPr>
            <w:tcW w:w="1418" w:type="dxa"/>
            <w:tcBorders>
              <w:top w:val="single" w:sz="8" w:space="0" w:color="auto"/>
              <w:left w:val="nil"/>
              <w:bottom w:val="single" w:sz="8" w:space="0" w:color="auto"/>
              <w:right w:val="single" w:sz="4" w:space="0" w:color="auto"/>
            </w:tcBorders>
            <w:shd w:val="clear" w:color="auto" w:fill="auto"/>
            <w:noWrap/>
            <w:vAlign w:val="bottom"/>
            <w:hideMark/>
          </w:tcPr>
          <w:p w14:paraId="647FD5A2" w14:textId="77777777" w:rsidR="00FE4BEF" w:rsidRPr="00FE4BEF" w:rsidRDefault="00FE4BEF" w:rsidP="00FE4BEF">
            <w:pPr>
              <w:spacing w:after="0" w:line="240" w:lineRule="auto"/>
              <w:jc w:val="right"/>
              <w:rPr>
                <w:rFonts w:ascii="Calibri" w:eastAsia="Times New Roman" w:hAnsi="Calibri" w:cs="Calibri"/>
                <w:b/>
                <w:bCs/>
                <w:color w:val="000000"/>
                <w:lang w:eastAsia="cs-CZ"/>
              </w:rPr>
            </w:pPr>
            <w:r w:rsidRPr="00FE4BEF">
              <w:rPr>
                <w:rFonts w:ascii="Calibri" w:eastAsia="Times New Roman" w:hAnsi="Calibri" w:cs="Calibri"/>
                <w:b/>
                <w:bCs/>
                <w:color w:val="000000"/>
                <w:lang w:eastAsia="cs-CZ"/>
              </w:rPr>
              <w:t>41 987,00</w:t>
            </w:r>
          </w:p>
        </w:tc>
        <w:tc>
          <w:tcPr>
            <w:tcW w:w="1417" w:type="dxa"/>
            <w:tcBorders>
              <w:top w:val="single" w:sz="8" w:space="0" w:color="auto"/>
              <w:left w:val="nil"/>
              <w:bottom w:val="single" w:sz="8" w:space="0" w:color="auto"/>
              <w:right w:val="single" w:sz="4" w:space="0" w:color="auto"/>
            </w:tcBorders>
            <w:shd w:val="clear" w:color="auto" w:fill="auto"/>
            <w:noWrap/>
            <w:vAlign w:val="bottom"/>
            <w:hideMark/>
          </w:tcPr>
          <w:p w14:paraId="17338717" w14:textId="77777777" w:rsidR="00FE4BEF" w:rsidRPr="00FE4BEF" w:rsidRDefault="00FE4BEF" w:rsidP="00FE4BEF">
            <w:pPr>
              <w:spacing w:after="0" w:line="240" w:lineRule="auto"/>
              <w:jc w:val="right"/>
              <w:rPr>
                <w:rFonts w:ascii="Calibri" w:eastAsia="Times New Roman" w:hAnsi="Calibri" w:cs="Calibri"/>
                <w:b/>
                <w:bCs/>
                <w:color w:val="000000"/>
                <w:lang w:eastAsia="cs-CZ"/>
              </w:rPr>
            </w:pPr>
            <w:r w:rsidRPr="00FE4BEF">
              <w:rPr>
                <w:rFonts w:ascii="Calibri" w:eastAsia="Times New Roman" w:hAnsi="Calibri" w:cs="Calibri"/>
                <w:b/>
                <w:bCs/>
                <w:color w:val="000000"/>
                <w:lang w:eastAsia="cs-CZ"/>
              </w:rPr>
              <w:t>41 987,00</w:t>
            </w:r>
          </w:p>
        </w:tc>
        <w:tc>
          <w:tcPr>
            <w:tcW w:w="567" w:type="dxa"/>
            <w:tcBorders>
              <w:top w:val="single" w:sz="8" w:space="0" w:color="auto"/>
              <w:left w:val="nil"/>
              <w:bottom w:val="single" w:sz="8" w:space="0" w:color="auto"/>
              <w:right w:val="single" w:sz="8" w:space="0" w:color="auto"/>
            </w:tcBorders>
            <w:shd w:val="clear" w:color="auto" w:fill="auto"/>
            <w:noWrap/>
            <w:vAlign w:val="bottom"/>
            <w:hideMark/>
          </w:tcPr>
          <w:p w14:paraId="2ED22BAA" w14:textId="77777777" w:rsidR="00FE4BEF" w:rsidRPr="00FE4BEF" w:rsidRDefault="00FE4BEF" w:rsidP="00FE4BEF">
            <w:pPr>
              <w:spacing w:after="0" w:line="240" w:lineRule="auto"/>
              <w:jc w:val="right"/>
              <w:rPr>
                <w:rFonts w:ascii="Calibri" w:eastAsia="Times New Roman" w:hAnsi="Calibri" w:cs="Calibri"/>
                <w:b/>
                <w:bCs/>
                <w:color w:val="000000"/>
                <w:lang w:eastAsia="cs-CZ"/>
              </w:rPr>
            </w:pPr>
            <w:r w:rsidRPr="00FE4BEF">
              <w:rPr>
                <w:rFonts w:ascii="Calibri" w:eastAsia="Times New Roman" w:hAnsi="Calibri" w:cs="Calibri"/>
                <w:b/>
                <w:bCs/>
                <w:color w:val="000000"/>
                <w:lang w:eastAsia="cs-CZ"/>
              </w:rPr>
              <w:t>100,0</w:t>
            </w:r>
          </w:p>
        </w:tc>
      </w:tr>
      <w:tr w:rsidR="00FE4BEF" w:rsidRPr="00FE4BEF" w14:paraId="6D724267" w14:textId="77777777" w:rsidTr="00687021">
        <w:trPr>
          <w:trHeight w:val="319"/>
        </w:trPr>
        <w:tc>
          <w:tcPr>
            <w:tcW w:w="826" w:type="dxa"/>
            <w:tcBorders>
              <w:top w:val="nil"/>
              <w:left w:val="nil"/>
              <w:bottom w:val="nil"/>
              <w:right w:val="nil"/>
            </w:tcBorders>
            <w:shd w:val="clear" w:color="auto" w:fill="auto"/>
            <w:noWrap/>
            <w:vAlign w:val="bottom"/>
            <w:hideMark/>
          </w:tcPr>
          <w:p w14:paraId="25DA9AA9" w14:textId="77777777" w:rsidR="00FE4BEF" w:rsidRPr="00FE4BEF" w:rsidRDefault="00FE4BEF" w:rsidP="00FE4BEF">
            <w:pPr>
              <w:spacing w:after="0" w:line="240" w:lineRule="auto"/>
              <w:jc w:val="right"/>
              <w:rPr>
                <w:rFonts w:ascii="Calibri" w:eastAsia="Times New Roman" w:hAnsi="Calibri" w:cs="Calibri"/>
                <w:b/>
                <w:bCs/>
                <w:color w:val="000000"/>
                <w:lang w:eastAsia="cs-CZ"/>
              </w:rPr>
            </w:pPr>
          </w:p>
        </w:tc>
        <w:tc>
          <w:tcPr>
            <w:tcW w:w="4120" w:type="dxa"/>
            <w:tcBorders>
              <w:top w:val="nil"/>
              <w:left w:val="nil"/>
              <w:bottom w:val="nil"/>
              <w:right w:val="nil"/>
            </w:tcBorders>
            <w:shd w:val="clear" w:color="auto" w:fill="auto"/>
            <w:noWrap/>
            <w:vAlign w:val="bottom"/>
            <w:hideMark/>
          </w:tcPr>
          <w:p w14:paraId="4E6BF9C5" w14:textId="77777777" w:rsidR="00FE4BEF" w:rsidRPr="00FE4BEF" w:rsidRDefault="00FE4BEF" w:rsidP="00FE4BEF">
            <w:pPr>
              <w:spacing w:after="0" w:line="240" w:lineRule="auto"/>
              <w:rPr>
                <w:rFonts w:ascii="Times New Roman" w:eastAsia="Times New Roman" w:hAnsi="Times New Roman" w:cs="Times New Roman"/>
                <w:sz w:val="20"/>
                <w:szCs w:val="20"/>
                <w:lang w:eastAsia="cs-CZ"/>
              </w:rPr>
            </w:pPr>
          </w:p>
        </w:tc>
        <w:tc>
          <w:tcPr>
            <w:tcW w:w="1433" w:type="dxa"/>
            <w:tcBorders>
              <w:top w:val="nil"/>
              <w:left w:val="nil"/>
              <w:bottom w:val="nil"/>
              <w:right w:val="nil"/>
            </w:tcBorders>
            <w:shd w:val="clear" w:color="auto" w:fill="auto"/>
            <w:noWrap/>
            <w:vAlign w:val="bottom"/>
            <w:hideMark/>
          </w:tcPr>
          <w:p w14:paraId="1F59D322" w14:textId="77777777" w:rsidR="00FE4BEF" w:rsidRPr="00FE4BEF" w:rsidRDefault="00FE4BEF" w:rsidP="00FE4BEF">
            <w:pPr>
              <w:spacing w:after="0" w:line="240" w:lineRule="auto"/>
              <w:rPr>
                <w:rFonts w:ascii="Times New Roman" w:eastAsia="Times New Roman" w:hAnsi="Times New Roman" w:cs="Times New Roman"/>
                <w:sz w:val="20"/>
                <w:szCs w:val="20"/>
                <w:lang w:eastAsia="cs-CZ"/>
              </w:rPr>
            </w:pPr>
          </w:p>
        </w:tc>
        <w:tc>
          <w:tcPr>
            <w:tcW w:w="1418" w:type="dxa"/>
            <w:tcBorders>
              <w:top w:val="nil"/>
              <w:left w:val="nil"/>
              <w:bottom w:val="nil"/>
              <w:right w:val="nil"/>
            </w:tcBorders>
            <w:shd w:val="clear" w:color="auto" w:fill="auto"/>
            <w:noWrap/>
            <w:vAlign w:val="bottom"/>
            <w:hideMark/>
          </w:tcPr>
          <w:p w14:paraId="54058DA7" w14:textId="77777777" w:rsidR="00FE4BEF" w:rsidRPr="00FE4BEF" w:rsidRDefault="00FE4BEF" w:rsidP="00FE4BEF">
            <w:pPr>
              <w:spacing w:after="0" w:line="240" w:lineRule="auto"/>
              <w:jc w:val="right"/>
              <w:rPr>
                <w:rFonts w:ascii="Times New Roman" w:eastAsia="Times New Roman" w:hAnsi="Times New Roman" w:cs="Times New Roman"/>
                <w:sz w:val="20"/>
                <w:szCs w:val="20"/>
                <w:lang w:eastAsia="cs-CZ"/>
              </w:rPr>
            </w:pPr>
          </w:p>
        </w:tc>
        <w:tc>
          <w:tcPr>
            <w:tcW w:w="1417" w:type="dxa"/>
            <w:tcBorders>
              <w:top w:val="nil"/>
              <w:left w:val="nil"/>
              <w:bottom w:val="nil"/>
              <w:right w:val="nil"/>
            </w:tcBorders>
            <w:shd w:val="clear" w:color="auto" w:fill="auto"/>
            <w:noWrap/>
            <w:vAlign w:val="bottom"/>
            <w:hideMark/>
          </w:tcPr>
          <w:p w14:paraId="74181263" w14:textId="77777777" w:rsidR="00FE4BEF" w:rsidRPr="00FE4BEF" w:rsidRDefault="00FE4BEF" w:rsidP="00FE4BEF">
            <w:pPr>
              <w:spacing w:after="0" w:line="240" w:lineRule="auto"/>
              <w:jc w:val="right"/>
              <w:rPr>
                <w:rFonts w:ascii="Times New Roman" w:eastAsia="Times New Roman" w:hAnsi="Times New Roman" w:cs="Times New Roman"/>
                <w:sz w:val="20"/>
                <w:szCs w:val="20"/>
                <w:lang w:eastAsia="cs-CZ"/>
              </w:rPr>
            </w:pPr>
          </w:p>
        </w:tc>
        <w:tc>
          <w:tcPr>
            <w:tcW w:w="567" w:type="dxa"/>
            <w:tcBorders>
              <w:top w:val="nil"/>
              <w:left w:val="nil"/>
              <w:bottom w:val="nil"/>
              <w:right w:val="nil"/>
            </w:tcBorders>
            <w:shd w:val="clear" w:color="auto" w:fill="auto"/>
            <w:noWrap/>
            <w:vAlign w:val="bottom"/>
            <w:hideMark/>
          </w:tcPr>
          <w:p w14:paraId="5A864E2F" w14:textId="77777777" w:rsidR="00FE4BEF" w:rsidRPr="00FE4BEF" w:rsidRDefault="00FE4BEF" w:rsidP="00FE4BEF">
            <w:pPr>
              <w:spacing w:after="0" w:line="240" w:lineRule="auto"/>
              <w:jc w:val="right"/>
              <w:rPr>
                <w:rFonts w:ascii="Times New Roman" w:eastAsia="Times New Roman" w:hAnsi="Times New Roman" w:cs="Times New Roman"/>
                <w:sz w:val="20"/>
                <w:szCs w:val="20"/>
                <w:lang w:eastAsia="cs-CZ"/>
              </w:rPr>
            </w:pPr>
          </w:p>
        </w:tc>
      </w:tr>
      <w:tr w:rsidR="00FE4BEF" w:rsidRPr="00FE4BEF" w14:paraId="60C7A747" w14:textId="77777777" w:rsidTr="00687021">
        <w:trPr>
          <w:trHeight w:val="360"/>
        </w:trPr>
        <w:tc>
          <w:tcPr>
            <w:tcW w:w="4946"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536A67BF" w14:textId="77777777" w:rsidR="00FE4BEF" w:rsidRPr="00FE4BEF" w:rsidRDefault="00FE4BEF" w:rsidP="00FE4BEF">
            <w:pPr>
              <w:spacing w:after="0" w:line="240" w:lineRule="auto"/>
              <w:rPr>
                <w:rFonts w:ascii="Calibri" w:eastAsia="Times New Roman" w:hAnsi="Calibri" w:cs="Calibri"/>
                <w:b/>
                <w:bCs/>
                <w:sz w:val="24"/>
                <w:szCs w:val="24"/>
                <w:lang w:eastAsia="cs-CZ"/>
              </w:rPr>
            </w:pPr>
            <w:r w:rsidRPr="00FE4BEF">
              <w:rPr>
                <w:rFonts w:ascii="Calibri" w:eastAsia="Times New Roman" w:hAnsi="Calibri" w:cs="Calibri"/>
                <w:b/>
                <w:bCs/>
                <w:sz w:val="24"/>
                <w:szCs w:val="24"/>
                <w:lang w:eastAsia="cs-CZ"/>
              </w:rPr>
              <w:t xml:space="preserve">Celkem výdaje   </w:t>
            </w:r>
          </w:p>
        </w:tc>
        <w:tc>
          <w:tcPr>
            <w:tcW w:w="1433" w:type="dxa"/>
            <w:tcBorders>
              <w:top w:val="single" w:sz="8" w:space="0" w:color="auto"/>
              <w:left w:val="nil"/>
              <w:bottom w:val="single" w:sz="8" w:space="0" w:color="auto"/>
              <w:right w:val="single" w:sz="8" w:space="0" w:color="auto"/>
            </w:tcBorders>
            <w:shd w:val="clear" w:color="auto" w:fill="auto"/>
            <w:noWrap/>
            <w:vAlign w:val="bottom"/>
            <w:hideMark/>
          </w:tcPr>
          <w:p w14:paraId="341AEDD1" w14:textId="77777777" w:rsidR="00FE4BEF" w:rsidRPr="00FE4BEF" w:rsidRDefault="00FE4BEF" w:rsidP="00FE4BEF">
            <w:pPr>
              <w:spacing w:after="0" w:line="240" w:lineRule="auto"/>
              <w:jc w:val="right"/>
              <w:rPr>
                <w:rFonts w:ascii="Calibri" w:eastAsia="Times New Roman" w:hAnsi="Calibri" w:cs="Calibri"/>
                <w:b/>
                <w:bCs/>
                <w:lang w:eastAsia="cs-CZ"/>
              </w:rPr>
            </w:pPr>
            <w:r w:rsidRPr="00FE4BEF">
              <w:rPr>
                <w:rFonts w:ascii="Calibri" w:eastAsia="Times New Roman" w:hAnsi="Calibri" w:cs="Calibri"/>
                <w:b/>
                <w:bCs/>
                <w:lang w:eastAsia="cs-CZ"/>
              </w:rPr>
              <w:t>2 000 000</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14:paraId="08224631" w14:textId="77777777" w:rsidR="00FE4BEF" w:rsidRPr="00FE4BEF" w:rsidRDefault="00FE4BEF" w:rsidP="00FE4BEF">
            <w:pPr>
              <w:spacing w:after="0" w:line="240" w:lineRule="auto"/>
              <w:jc w:val="right"/>
              <w:rPr>
                <w:rFonts w:ascii="Calibri" w:eastAsia="Times New Roman" w:hAnsi="Calibri" w:cs="Calibri"/>
                <w:b/>
                <w:bCs/>
                <w:lang w:eastAsia="cs-CZ"/>
              </w:rPr>
            </w:pPr>
            <w:r w:rsidRPr="00FE4BEF">
              <w:rPr>
                <w:rFonts w:ascii="Calibri" w:eastAsia="Times New Roman" w:hAnsi="Calibri" w:cs="Calibri"/>
                <w:b/>
                <w:bCs/>
                <w:lang w:eastAsia="cs-CZ"/>
              </w:rPr>
              <w:t>8 966 725,04</w:t>
            </w:r>
          </w:p>
        </w:tc>
        <w:tc>
          <w:tcPr>
            <w:tcW w:w="1417" w:type="dxa"/>
            <w:tcBorders>
              <w:top w:val="single" w:sz="8" w:space="0" w:color="auto"/>
              <w:left w:val="nil"/>
              <w:bottom w:val="single" w:sz="8" w:space="0" w:color="auto"/>
              <w:right w:val="single" w:sz="8" w:space="0" w:color="auto"/>
            </w:tcBorders>
            <w:shd w:val="clear" w:color="auto" w:fill="auto"/>
            <w:noWrap/>
            <w:vAlign w:val="bottom"/>
            <w:hideMark/>
          </w:tcPr>
          <w:p w14:paraId="25EB826B" w14:textId="77777777" w:rsidR="00FE4BEF" w:rsidRPr="00FE4BEF" w:rsidRDefault="00FE4BEF" w:rsidP="00FE4BEF">
            <w:pPr>
              <w:spacing w:after="0" w:line="240" w:lineRule="auto"/>
              <w:jc w:val="right"/>
              <w:rPr>
                <w:rFonts w:ascii="Calibri" w:eastAsia="Times New Roman" w:hAnsi="Calibri" w:cs="Calibri"/>
                <w:b/>
                <w:bCs/>
                <w:lang w:eastAsia="cs-CZ"/>
              </w:rPr>
            </w:pPr>
            <w:r w:rsidRPr="00FE4BEF">
              <w:rPr>
                <w:rFonts w:ascii="Calibri" w:eastAsia="Times New Roman" w:hAnsi="Calibri" w:cs="Calibri"/>
                <w:b/>
                <w:bCs/>
                <w:lang w:eastAsia="cs-CZ"/>
              </w:rPr>
              <w:t>3 084 337,80</w:t>
            </w:r>
          </w:p>
        </w:tc>
        <w:tc>
          <w:tcPr>
            <w:tcW w:w="567"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14:paraId="56F71AB0" w14:textId="77777777" w:rsidR="00FE4BEF" w:rsidRPr="00FE4BEF" w:rsidRDefault="00FE4BEF" w:rsidP="00FE4BEF">
            <w:pPr>
              <w:spacing w:after="0" w:line="240" w:lineRule="auto"/>
              <w:jc w:val="right"/>
              <w:rPr>
                <w:rFonts w:ascii="Calibri" w:eastAsia="Times New Roman" w:hAnsi="Calibri" w:cs="Calibri"/>
                <w:b/>
                <w:bCs/>
                <w:lang w:eastAsia="cs-CZ"/>
              </w:rPr>
            </w:pPr>
            <w:r w:rsidRPr="00FE4BEF">
              <w:rPr>
                <w:rFonts w:ascii="Calibri" w:eastAsia="Times New Roman" w:hAnsi="Calibri" w:cs="Calibri"/>
                <w:b/>
                <w:bCs/>
                <w:lang w:eastAsia="cs-CZ"/>
              </w:rPr>
              <w:t>34,4</w:t>
            </w:r>
          </w:p>
        </w:tc>
      </w:tr>
    </w:tbl>
    <w:p w14:paraId="2BD23A95" w14:textId="77777777" w:rsidR="00D158B8" w:rsidRPr="00F52040" w:rsidRDefault="00D158B8" w:rsidP="00D158B8">
      <w:pPr>
        <w:rPr>
          <w:rFonts w:ascii="Calibri" w:hAnsi="Calibri" w:cs="Calibri"/>
        </w:rPr>
      </w:pPr>
    </w:p>
    <w:p w14:paraId="15F48C0A" w14:textId="2BB4793C" w:rsidR="00687021" w:rsidRDefault="00687021" w:rsidP="00E73885">
      <w:pPr>
        <w:rPr>
          <w:b/>
          <w:sz w:val="32"/>
          <w:szCs w:val="32"/>
          <w:u w:val="single"/>
        </w:rPr>
      </w:pPr>
    </w:p>
    <w:p w14:paraId="459BB050" w14:textId="00C7CBC7" w:rsidR="00E363C7" w:rsidRDefault="00E363C7" w:rsidP="00E73885">
      <w:pPr>
        <w:rPr>
          <w:b/>
          <w:sz w:val="32"/>
          <w:szCs w:val="32"/>
          <w:u w:val="single"/>
        </w:rPr>
      </w:pPr>
    </w:p>
    <w:p w14:paraId="0BE13530" w14:textId="59C22623" w:rsidR="00E363C7" w:rsidRDefault="00E363C7" w:rsidP="00E73885">
      <w:pPr>
        <w:rPr>
          <w:b/>
          <w:sz w:val="32"/>
          <w:szCs w:val="32"/>
          <w:u w:val="single"/>
        </w:rPr>
      </w:pPr>
    </w:p>
    <w:p w14:paraId="083DFECC" w14:textId="4D648D75" w:rsidR="00E363C7" w:rsidRDefault="00E363C7" w:rsidP="00E73885">
      <w:pPr>
        <w:rPr>
          <w:b/>
          <w:sz w:val="32"/>
          <w:szCs w:val="32"/>
          <w:u w:val="single"/>
        </w:rPr>
      </w:pPr>
    </w:p>
    <w:p w14:paraId="2593A7EF" w14:textId="2C9E3AEA" w:rsidR="00E363C7" w:rsidRDefault="00E363C7" w:rsidP="00E73885">
      <w:pPr>
        <w:rPr>
          <w:b/>
          <w:sz w:val="32"/>
          <w:szCs w:val="32"/>
          <w:u w:val="single"/>
        </w:rPr>
      </w:pPr>
    </w:p>
    <w:p w14:paraId="4D46FA99" w14:textId="3708A662" w:rsidR="00E363C7" w:rsidRDefault="00E363C7" w:rsidP="00E73885">
      <w:pPr>
        <w:rPr>
          <w:b/>
          <w:sz w:val="32"/>
          <w:szCs w:val="32"/>
          <w:u w:val="single"/>
        </w:rPr>
      </w:pPr>
    </w:p>
    <w:p w14:paraId="61E3DF88" w14:textId="7E034DC1" w:rsidR="00E363C7" w:rsidRDefault="00E363C7" w:rsidP="00E73885">
      <w:pPr>
        <w:rPr>
          <w:b/>
          <w:sz w:val="32"/>
          <w:szCs w:val="32"/>
          <w:u w:val="single"/>
        </w:rPr>
      </w:pPr>
    </w:p>
    <w:p w14:paraId="418364AD" w14:textId="77777777" w:rsidR="00E363C7" w:rsidRDefault="00E363C7" w:rsidP="00E73885">
      <w:pPr>
        <w:rPr>
          <w:b/>
          <w:sz w:val="32"/>
          <w:szCs w:val="32"/>
          <w:u w:val="single"/>
        </w:rPr>
      </w:pPr>
    </w:p>
    <w:p w14:paraId="0FBFB5F1" w14:textId="77777777" w:rsidR="00E73885" w:rsidRDefault="00687021" w:rsidP="00687021">
      <w:pPr>
        <w:jc w:val="both"/>
        <w:rPr>
          <w:sz w:val="28"/>
          <w:szCs w:val="28"/>
        </w:rPr>
      </w:pPr>
      <w:r>
        <w:rPr>
          <w:b/>
          <w:sz w:val="28"/>
          <w:szCs w:val="28"/>
          <w:u w:val="single"/>
        </w:rPr>
        <w:t>Kapitola 15 – Územní a stavební řízení</w:t>
      </w:r>
    </w:p>
    <w:p w14:paraId="0EF464FD" w14:textId="0EB9FA30" w:rsidR="00687021" w:rsidRPr="00E73885" w:rsidRDefault="00687021" w:rsidP="00687021">
      <w:pPr>
        <w:jc w:val="both"/>
        <w:rPr>
          <w:sz w:val="28"/>
          <w:szCs w:val="28"/>
        </w:rPr>
      </w:pPr>
      <w:r>
        <w:tab/>
      </w:r>
    </w:p>
    <w:p w14:paraId="7BD08B88" w14:textId="704D4AAC" w:rsidR="00E73885" w:rsidRDefault="00687021" w:rsidP="00E73885">
      <w:pPr>
        <w:spacing w:after="0"/>
        <w:jc w:val="both"/>
        <w:rPr>
          <w:b/>
          <w:sz w:val="24"/>
          <w:szCs w:val="24"/>
          <w:u w:val="single"/>
        </w:rPr>
      </w:pPr>
      <w:r w:rsidRPr="00E73885">
        <w:rPr>
          <w:b/>
          <w:sz w:val="24"/>
          <w:szCs w:val="24"/>
          <w:u w:val="single"/>
        </w:rPr>
        <w:t>Běžné výdaje</w:t>
      </w:r>
    </w:p>
    <w:p w14:paraId="60368CE3" w14:textId="77777777" w:rsidR="00DC493D" w:rsidRPr="00E73885" w:rsidRDefault="00DC493D" w:rsidP="00E73885">
      <w:pPr>
        <w:spacing w:after="0"/>
        <w:jc w:val="both"/>
        <w:rPr>
          <w:b/>
          <w:sz w:val="24"/>
          <w:szCs w:val="24"/>
          <w:u w:val="single"/>
        </w:rPr>
      </w:pPr>
    </w:p>
    <w:p w14:paraId="05E5992F" w14:textId="7F4469A6" w:rsidR="00687021" w:rsidRPr="009F7034" w:rsidRDefault="00687021" w:rsidP="00E73885">
      <w:pPr>
        <w:spacing w:after="0"/>
        <w:jc w:val="both"/>
        <w:rPr>
          <w:b/>
        </w:rPr>
      </w:pPr>
      <w:r w:rsidRPr="009F7034">
        <w:rPr>
          <w:b/>
        </w:rPr>
        <w:t>§ 3636 – Aktualizace Zásad územního rozvoje Středočeského kraje</w:t>
      </w:r>
      <w:r w:rsidR="00DC493D">
        <w:rPr>
          <w:b/>
        </w:rPr>
        <w:t xml:space="preserve"> (D3)</w:t>
      </w:r>
    </w:p>
    <w:p w14:paraId="54324337" w14:textId="0694150A" w:rsidR="00687021" w:rsidRPr="00E363C7" w:rsidRDefault="00687021" w:rsidP="00E73885">
      <w:pPr>
        <w:spacing w:after="0"/>
        <w:jc w:val="both"/>
      </w:pPr>
      <w:r w:rsidRPr="00E363C7">
        <w:t xml:space="preserve">Na základě usnesení č. 007-06/2021/ZK ze dne 26. 4. 2021 (rozdělení zůstatku hospodaření Středočeského kraje z roku 2020) byl schválený rozpočet navýšen o 6 924 738,04 Kč. Rozpočtovými úpravami projednanými s příslušným členem </w:t>
      </w:r>
      <w:r w:rsidR="00382991">
        <w:t>r</w:t>
      </w:r>
      <w:r w:rsidRPr="00E363C7">
        <w:t>ady kraje byl rozpočet snížen celkem o 1 121 828,00 Kč v rámci běžných výdajů kapitoly. Finanční prostředky byly čerpány na základě smlouvy č.</w:t>
      </w:r>
      <w:r w:rsidR="007632F4" w:rsidRPr="00E363C7">
        <w:t xml:space="preserve"> </w:t>
      </w:r>
      <w:r w:rsidRPr="00E363C7">
        <w:t>S-6078/ÚSŘ/2020 – 6. aktualizace ZÚR SK 1. etapa a smlouvy č.</w:t>
      </w:r>
      <w:r w:rsidR="007632F4" w:rsidRPr="00E363C7">
        <w:t xml:space="preserve"> </w:t>
      </w:r>
      <w:r w:rsidRPr="00E363C7">
        <w:t xml:space="preserve">S-0478/ÚSŘ/2021 – 8. aktualizace ZÚR SK 1. etapa ve výši 519 090,00 Kč. </w:t>
      </w:r>
      <w:r w:rsidR="007632F4" w:rsidRPr="00E363C7">
        <w:t>Dále</w:t>
      </w:r>
      <w:r w:rsidRPr="00E363C7">
        <w:t xml:space="preserve"> byly čerpány na smlouvy č. S-0479/ÚSŘ/2021 – Vyhodnocení 8. aktualizace ZÚR SK – dopravní koridor mezi MÚK Kosmonosy a MÚK Bezděčín ve výši 266 200,00 Kč, č.</w:t>
      </w:r>
      <w:r w:rsidR="007632F4" w:rsidRPr="00E363C7">
        <w:t xml:space="preserve"> </w:t>
      </w:r>
      <w:r w:rsidRPr="00E363C7">
        <w:t>S-6108/ÚSŘ/2020 ve výši 298 482,80 Kč – Vyhodnocení 6. aktualizace ZÚR SK, S-0924/ÚSŘ/20201 ve výši 242 000,00 Kč – 7. aktualizace ZÚR SK, S-6109/2020 ve výši 211 750,00 Kč – provoz služby UtilityReport, S-2915/ÚSŘ/2021 částku 343 200,00 Kč – 9. aktualizace ZÚR SK. V listopadu 2021 jsme pořádali poradu stavebních úřadů, na kterou byly čerpány finanční prostředky ve výši 39 800,00 Kč. Finanční prostředky byly čerpány v celkové výši 1 920 522,80 Kč, t.j  24,6%</w:t>
      </w:r>
      <w:r w:rsidR="00382991">
        <w:t>.</w:t>
      </w:r>
    </w:p>
    <w:p w14:paraId="76A9B926" w14:textId="77777777" w:rsidR="00687021" w:rsidRDefault="00687021" w:rsidP="00E73885">
      <w:pPr>
        <w:spacing w:after="0"/>
        <w:jc w:val="both"/>
        <w:rPr>
          <w:color w:val="FF0000"/>
        </w:rPr>
      </w:pPr>
    </w:p>
    <w:p w14:paraId="6830D95E" w14:textId="77777777" w:rsidR="00687021" w:rsidRPr="00E0727F" w:rsidRDefault="00687021" w:rsidP="00E73885">
      <w:pPr>
        <w:spacing w:after="0"/>
        <w:jc w:val="both"/>
        <w:rPr>
          <w:b/>
        </w:rPr>
      </w:pPr>
      <w:r w:rsidRPr="00E0727F">
        <w:rPr>
          <w:b/>
        </w:rPr>
        <w:t>§ 3636 – Územně analytické podklady SK</w:t>
      </w:r>
    </w:p>
    <w:p w14:paraId="350FE103" w14:textId="7A115919" w:rsidR="00687021" w:rsidRPr="004542C0" w:rsidRDefault="00687021" w:rsidP="00E73885">
      <w:pPr>
        <w:spacing w:after="0"/>
        <w:jc w:val="both"/>
        <w:rPr>
          <w:color w:val="FF0000"/>
        </w:rPr>
      </w:pPr>
      <w:r w:rsidRPr="00E0727F">
        <w:t xml:space="preserve">Upravený rozpočet byl vytvořen rozpočtovými úpravami projednanými s příslušným členem </w:t>
      </w:r>
      <w:r w:rsidR="00382991">
        <w:t>r</w:t>
      </w:r>
      <w:r w:rsidRPr="00E0727F">
        <w:t>ady kraje v celkové výši 1 113 200,00 Kč v rámci běžných výdajů kapitoly, z toho finanční prostředky ve výši 580 800,00 Kč byly fakturovány na základě smlouvy č.S-3874/ÚSŘ/2020 a částka 532 400,00 Kč na základě smlouvy č.</w:t>
      </w:r>
      <w:r w:rsidR="007632F4">
        <w:t xml:space="preserve"> </w:t>
      </w:r>
      <w:r w:rsidRPr="00E0727F">
        <w:t>S-3874/ÚSŘ/2020.</w:t>
      </w:r>
      <w:r w:rsidRPr="00547046">
        <w:rPr>
          <w:color w:val="000000"/>
        </w:rPr>
        <w:t xml:space="preserve"> </w:t>
      </w:r>
      <w:r>
        <w:rPr>
          <w:color w:val="000000"/>
        </w:rPr>
        <w:t>Finanční prostředky byly čerpány ve výši 100,0%.</w:t>
      </w:r>
    </w:p>
    <w:p w14:paraId="3D37FF37" w14:textId="77777777" w:rsidR="00687021" w:rsidRDefault="00687021" w:rsidP="00E73885">
      <w:pPr>
        <w:spacing w:after="0"/>
        <w:jc w:val="both"/>
        <w:rPr>
          <w:color w:val="000000"/>
        </w:rPr>
      </w:pPr>
    </w:p>
    <w:p w14:paraId="77FADE3C" w14:textId="77777777" w:rsidR="00687021" w:rsidRPr="00C9295D" w:rsidRDefault="00687021" w:rsidP="00E73885">
      <w:pPr>
        <w:spacing w:after="0"/>
        <w:jc w:val="both"/>
        <w:rPr>
          <w:b/>
          <w:color w:val="000000"/>
        </w:rPr>
      </w:pPr>
      <w:r w:rsidRPr="00C9295D">
        <w:rPr>
          <w:b/>
          <w:color w:val="000000"/>
        </w:rPr>
        <w:t xml:space="preserve">§ 3636 – </w:t>
      </w:r>
      <w:r>
        <w:rPr>
          <w:b/>
          <w:color w:val="000000"/>
        </w:rPr>
        <w:t>Územní rozvoj</w:t>
      </w:r>
    </w:p>
    <w:p w14:paraId="6E2C8EB8" w14:textId="314C61F8" w:rsidR="00687021" w:rsidRPr="00C9295D" w:rsidRDefault="00687021" w:rsidP="00E73885">
      <w:pPr>
        <w:spacing w:after="0"/>
        <w:jc w:val="both"/>
        <w:rPr>
          <w:color w:val="000000"/>
        </w:rPr>
      </w:pPr>
      <w:r>
        <w:rPr>
          <w:color w:val="000000"/>
        </w:rPr>
        <w:t xml:space="preserve">Upravený rozpočet byl vytvořen rozpočtovou úpravou projednanou s příslušným členem </w:t>
      </w:r>
      <w:r w:rsidR="00382991">
        <w:rPr>
          <w:color w:val="000000"/>
        </w:rPr>
        <w:t>r</w:t>
      </w:r>
      <w:r>
        <w:rPr>
          <w:color w:val="000000"/>
        </w:rPr>
        <w:t>ady kraje v celkové výši 8 628,00 Kč. Finanční prostředky byly čerpány na výrobu brožur „Obce a suburbanizace v procesu územního plánování“ dle objednávky O-0001/ÚSŘ/2021. Finanční prostředky byly čerpány ve výši 100,0%.</w:t>
      </w:r>
    </w:p>
    <w:p w14:paraId="259366EC" w14:textId="77777777" w:rsidR="00687021" w:rsidRPr="00C9295D" w:rsidRDefault="00687021" w:rsidP="00E73885">
      <w:pPr>
        <w:spacing w:after="0"/>
        <w:jc w:val="both"/>
        <w:rPr>
          <w:b/>
          <w:color w:val="000000"/>
          <w:sz w:val="28"/>
          <w:szCs w:val="28"/>
          <w:u w:val="single"/>
        </w:rPr>
      </w:pPr>
    </w:p>
    <w:p w14:paraId="22E02462" w14:textId="77777777" w:rsidR="00687021" w:rsidRPr="00EE5DBA" w:rsidRDefault="00687021" w:rsidP="00E73885">
      <w:pPr>
        <w:spacing w:after="0"/>
        <w:jc w:val="both"/>
        <w:rPr>
          <w:b/>
          <w:color w:val="000000"/>
          <w:sz w:val="24"/>
          <w:szCs w:val="24"/>
          <w:u w:val="single"/>
        </w:rPr>
      </w:pPr>
      <w:r w:rsidRPr="00EE5DBA">
        <w:rPr>
          <w:b/>
          <w:color w:val="000000"/>
          <w:sz w:val="24"/>
          <w:szCs w:val="24"/>
          <w:u w:val="single"/>
        </w:rPr>
        <w:t>Předfinancování a kofinancování projektů spolufinancovaných z EU/EHP a ostatní související výdaje s projekty EU/EHP</w:t>
      </w:r>
    </w:p>
    <w:p w14:paraId="0BE0835E" w14:textId="77777777" w:rsidR="00687021" w:rsidRPr="00EE5DBA" w:rsidRDefault="00687021" w:rsidP="00E73885">
      <w:pPr>
        <w:spacing w:after="0"/>
        <w:jc w:val="both"/>
        <w:rPr>
          <w:b/>
          <w:color w:val="000000"/>
          <w:sz w:val="24"/>
          <w:szCs w:val="24"/>
          <w:u w:val="single"/>
        </w:rPr>
      </w:pPr>
    </w:p>
    <w:p w14:paraId="3F1C76BA" w14:textId="4FE76118" w:rsidR="00687021" w:rsidRPr="00C9295D" w:rsidRDefault="00687021" w:rsidP="00E73885">
      <w:pPr>
        <w:spacing w:after="0"/>
        <w:jc w:val="both"/>
        <w:rPr>
          <w:b/>
          <w:color w:val="000000"/>
        </w:rPr>
      </w:pPr>
      <w:r w:rsidRPr="00C9295D">
        <w:rPr>
          <w:b/>
          <w:color w:val="000000"/>
        </w:rPr>
        <w:t xml:space="preserve">§ 3636 – </w:t>
      </w:r>
      <w:r w:rsidR="00EE5DBA">
        <w:rPr>
          <w:b/>
          <w:color w:val="000000"/>
        </w:rPr>
        <w:t>Studie proveditelnosti Digitální technické mapy Středočeského kraje</w:t>
      </w:r>
    </w:p>
    <w:p w14:paraId="4203A5A5" w14:textId="67541C17" w:rsidR="00687021" w:rsidRPr="00C9295D" w:rsidRDefault="00687021" w:rsidP="00E73885">
      <w:pPr>
        <w:spacing w:after="0"/>
        <w:jc w:val="both"/>
        <w:rPr>
          <w:bCs/>
          <w:color w:val="000000"/>
        </w:rPr>
      </w:pPr>
      <w:r w:rsidRPr="00C9295D">
        <w:rPr>
          <w:bCs/>
          <w:color w:val="000000"/>
        </w:rPr>
        <w:t xml:space="preserve">Upravený rozpočet byl vytvořen na základě usnesení č. </w:t>
      </w:r>
      <w:r>
        <w:rPr>
          <w:bCs/>
          <w:color w:val="000000"/>
        </w:rPr>
        <w:t>014-03/2021/RK ze dne 21.</w:t>
      </w:r>
      <w:r w:rsidR="00EE5DBA">
        <w:rPr>
          <w:bCs/>
          <w:color w:val="000000"/>
        </w:rPr>
        <w:t xml:space="preserve"> </w:t>
      </w:r>
      <w:r>
        <w:rPr>
          <w:bCs/>
          <w:color w:val="000000"/>
        </w:rPr>
        <w:t>1.</w:t>
      </w:r>
      <w:r w:rsidR="00EE5DBA">
        <w:rPr>
          <w:bCs/>
          <w:color w:val="000000"/>
        </w:rPr>
        <w:t xml:space="preserve"> </w:t>
      </w:r>
      <w:r>
        <w:rPr>
          <w:bCs/>
          <w:color w:val="000000"/>
        </w:rPr>
        <w:t>2021 (převod nevyčerpaných účelových finančních prostředků z roku 2020 do rozpočtu roku 2021). Tato částka byla zapojena do zůstatku hospodaření Středočeského kraje z roku 2020 schváleného usnesením č. 007-06/2021/RK ze dne 26.</w:t>
      </w:r>
      <w:r w:rsidR="00EE5DBA">
        <w:rPr>
          <w:bCs/>
          <w:color w:val="000000"/>
        </w:rPr>
        <w:t xml:space="preserve"> </w:t>
      </w:r>
      <w:r>
        <w:rPr>
          <w:bCs/>
          <w:color w:val="000000"/>
        </w:rPr>
        <w:t>4.</w:t>
      </w:r>
      <w:r w:rsidR="00EE5DBA">
        <w:rPr>
          <w:bCs/>
          <w:color w:val="000000"/>
        </w:rPr>
        <w:t xml:space="preserve"> </w:t>
      </w:r>
      <w:r>
        <w:rPr>
          <w:bCs/>
          <w:color w:val="000000"/>
        </w:rPr>
        <w:t>2021. Finanční prostředky byly čerpány ve výši 41 987,00 Kč na základě dodatku č.1 ke smlouvě S-4486/ÚSŘ/2020 o poskytování konzultačních služeb – studie proveditelnosti DTM Středočeského kraje. Finanční prostředky byly čerpány ve výši 100,0 %.</w:t>
      </w:r>
    </w:p>
    <w:p w14:paraId="20F6903F" w14:textId="77777777" w:rsidR="00687021" w:rsidRPr="009F7034" w:rsidRDefault="00687021" w:rsidP="00E73885">
      <w:pPr>
        <w:spacing w:after="0"/>
        <w:jc w:val="both"/>
        <w:rPr>
          <w:bCs/>
        </w:rPr>
      </w:pPr>
    </w:p>
    <w:p w14:paraId="2E088A8B" w14:textId="77777777" w:rsidR="00687021" w:rsidRPr="009F7034" w:rsidRDefault="00687021" w:rsidP="00E73885">
      <w:pPr>
        <w:spacing w:after="0"/>
        <w:jc w:val="both"/>
        <w:rPr>
          <w:bCs/>
        </w:rPr>
      </w:pPr>
    </w:p>
    <w:p w14:paraId="728C78B4" w14:textId="77777777" w:rsidR="00687021" w:rsidRPr="009F7034" w:rsidRDefault="00687021" w:rsidP="00E73885">
      <w:pPr>
        <w:spacing w:after="0"/>
        <w:jc w:val="both"/>
        <w:rPr>
          <w:bCs/>
        </w:rPr>
      </w:pPr>
    </w:p>
    <w:p w14:paraId="11FF81DC" w14:textId="77777777" w:rsidR="00687021" w:rsidRPr="009F7034" w:rsidRDefault="00687021" w:rsidP="00E73885">
      <w:pPr>
        <w:spacing w:after="0"/>
        <w:jc w:val="both"/>
        <w:rPr>
          <w:bCs/>
        </w:rPr>
      </w:pPr>
    </w:p>
    <w:p w14:paraId="1225A121" w14:textId="77777777" w:rsidR="00687021" w:rsidRPr="009F7034" w:rsidRDefault="00687021" w:rsidP="00E73885">
      <w:pPr>
        <w:spacing w:after="0"/>
        <w:jc w:val="both"/>
        <w:rPr>
          <w:bCs/>
        </w:rPr>
      </w:pPr>
    </w:p>
    <w:p w14:paraId="65EF53BD" w14:textId="77777777" w:rsidR="00687021" w:rsidRPr="009F7034" w:rsidRDefault="00687021" w:rsidP="00E73885">
      <w:pPr>
        <w:spacing w:after="0"/>
        <w:jc w:val="both"/>
        <w:rPr>
          <w:b/>
          <w:sz w:val="28"/>
          <w:szCs w:val="28"/>
          <w:u w:val="single"/>
        </w:rPr>
      </w:pPr>
    </w:p>
    <w:p w14:paraId="296C62A3" w14:textId="77777777" w:rsidR="00687021" w:rsidRPr="009F7034" w:rsidRDefault="00687021" w:rsidP="00E73885">
      <w:pPr>
        <w:spacing w:after="0"/>
        <w:jc w:val="both"/>
        <w:rPr>
          <w:b/>
          <w:sz w:val="28"/>
          <w:szCs w:val="28"/>
          <w:u w:val="single"/>
        </w:rPr>
      </w:pPr>
    </w:p>
    <w:p w14:paraId="3E10CD0C" w14:textId="77777777" w:rsidR="00687021" w:rsidRPr="009F7034" w:rsidRDefault="00687021" w:rsidP="00687021">
      <w:pPr>
        <w:jc w:val="both"/>
        <w:rPr>
          <w:b/>
          <w:sz w:val="28"/>
          <w:szCs w:val="28"/>
          <w:u w:val="single"/>
        </w:rPr>
      </w:pPr>
    </w:p>
    <w:tbl>
      <w:tblPr>
        <w:tblW w:w="10353" w:type="dxa"/>
        <w:tblCellMar>
          <w:left w:w="70" w:type="dxa"/>
          <w:right w:w="70" w:type="dxa"/>
        </w:tblCellMar>
        <w:tblLook w:val="04A0" w:firstRow="1" w:lastRow="0" w:firstColumn="1" w:lastColumn="0" w:noHBand="0" w:noVBand="1"/>
      </w:tblPr>
      <w:tblGrid>
        <w:gridCol w:w="929"/>
        <w:gridCol w:w="4093"/>
        <w:gridCol w:w="1349"/>
        <w:gridCol w:w="1681"/>
        <w:gridCol w:w="1550"/>
        <w:gridCol w:w="751"/>
      </w:tblGrid>
      <w:tr w:rsidR="00687021" w:rsidRPr="00687021" w14:paraId="7C614C1D" w14:textId="77777777" w:rsidTr="00687021">
        <w:trPr>
          <w:trHeight w:val="402"/>
        </w:trPr>
        <w:tc>
          <w:tcPr>
            <w:tcW w:w="10353" w:type="dxa"/>
            <w:gridSpan w:val="6"/>
            <w:tcBorders>
              <w:top w:val="nil"/>
              <w:left w:val="nil"/>
              <w:bottom w:val="nil"/>
              <w:right w:val="nil"/>
            </w:tcBorders>
            <w:shd w:val="clear" w:color="auto" w:fill="auto"/>
            <w:noWrap/>
            <w:vAlign w:val="center"/>
            <w:hideMark/>
          </w:tcPr>
          <w:p w14:paraId="1B2F306B" w14:textId="77777777" w:rsidR="00687021" w:rsidRPr="00687021" w:rsidRDefault="00687021" w:rsidP="00687021">
            <w:pPr>
              <w:spacing w:after="0" w:line="240" w:lineRule="auto"/>
              <w:jc w:val="center"/>
              <w:rPr>
                <w:rFonts w:ascii="Calibri" w:eastAsia="Times New Roman" w:hAnsi="Calibri" w:cs="Calibri"/>
                <w:b/>
                <w:bCs/>
                <w:sz w:val="28"/>
                <w:szCs w:val="28"/>
                <w:lang w:eastAsia="cs-CZ"/>
              </w:rPr>
            </w:pPr>
            <w:r w:rsidRPr="00687021">
              <w:rPr>
                <w:rFonts w:ascii="Calibri" w:eastAsia="Times New Roman" w:hAnsi="Calibri" w:cs="Calibri"/>
                <w:b/>
                <w:bCs/>
                <w:sz w:val="28"/>
                <w:szCs w:val="28"/>
                <w:lang w:eastAsia="cs-CZ"/>
              </w:rPr>
              <w:t>Čerpání rozpočtu kapitoly 16 - Správní agendy - období: 1. - 12. 2021</w:t>
            </w:r>
          </w:p>
        </w:tc>
      </w:tr>
      <w:tr w:rsidR="00687021" w:rsidRPr="00687021" w14:paraId="5ADB34EA" w14:textId="77777777" w:rsidTr="00687021">
        <w:trPr>
          <w:trHeight w:val="360"/>
        </w:trPr>
        <w:tc>
          <w:tcPr>
            <w:tcW w:w="929" w:type="dxa"/>
            <w:tcBorders>
              <w:top w:val="nil"/>
              <w:left w:val="nil"/>
              <w:bottom w:val="nil"/>
              <w:right w:val="nil"/>
            </w:tcBorders>
            <w:shd w:val="clear" w:color="auto" w:fill="auto"/>
            <w:noWrap/>
            <w:vAlign w:val="bottom"/>
            <w:hideMark/>
          </w:tcPr>
          <w:p w14:paraId="3BB1ED2C" w14:textId="77777777" w:rsidR="00687021" w:rsidRPr="00687021" w:rsidRDefault="00687021" w:rsidP="00687021">
            <w:pPr>
              <w:spacing w:after="0" w:line="240" w:lineRule="auto"/>
              <w:jc w:val="center"/>
              <w:rPr>
                <w:rFonts w:ascii="Calibri" w:eastAsia="Times New Roman" w:hAnsi="Calibri" w:cs="Calibri"/>
                <w:b/>
                <w:bCs/>
                <w:sz w:val="28"/>
                <w:szCs w:val="28"/>
                <w:lang w:eastAsia="cs-CZ"/>
              </w:rPr>
            </w:pPr>
          </w:p>
        </w:tc>
        <w:tc>
          <w:tcPr>
            <w:tcW w:w="4093" w:type="dxa"/>
            <w:tcBorders>
              <w:top w:val="nil"/>
              <w:left w:val="nil"/>
              <w:bottom w:val="nil"/>
              <w:right w:val="nil"/>
            </w:tcBorders>
            <w:shd w:val="clear" w:color="auto" w:fill="auto"/>
            <w:noWrap/>
            <w:vAlign w:val="bottom"/>
            <w:hideMark/>
          </w:tcPr>
          <w:p w14:paraId="33E4758B"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c>
          <w:tcPr>
            <w:tcW w:w="1349" w:type="dxa"/>
            <w:tcBorders>
              <w:top w:val="nil"/>
              <w:left w:val="nil"/>
              <w:bottom w:val="nil"/>
              <w:right w:val="nil"/>
            </w:tcBorders>
            <w:shd w:val="clear" w:color="auto" w:fill="auto"/>
            <w:noWrap/>
            <w:vAlign w:val="bottom"/>
            <w:hideMark/>
          </w:tcPr>
          <w:p w14:paraId="5E7E370D"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c>
          <w:tcPr>
            <w:tcW w:w="1681" w:type="dxa"/>
            <w:tcBorders>
              <w:top w:val="nil"/>
              <w:left w:val="nil"/>
              <w:bottom w:val="nil"/>
              <w:right w:val="nil"/>
            </w:tcBorders>
            <w:shd w:val="clear" w:color="auto" w:fill="auto"/>
            <w:noWrap/>
            <w:vAlign w:val="bottom"/>
            <w:hideMark/>
          </w:tcPr>
          <w:p w14:paraId="2B12DA98"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c>
          <w:tcPr>
            <w:tcW w:w="1550" w:type="dxa"/>
            <w:tcBorders>
              <w:top w:val="nil"/>
              <w:left w:val="nil"/>
              <w:bottom w:val="nil"/>
              <w:right w:val="nil"/>
            </w:tcBorders>
            <w:shd w:val="clear" w:color="auto" w:fill="auto"/>
            <w:noWrap/>
            <w:vAlign w:val="bottom"/>
            <w:hideMark/>
          </w:tcPr>
          <w:p w14:paraId="0D58D024"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c>
          <w:tcPr>
            <w:tcW w:w="751" w:type="dxa"/>
            <w:tcBorders>
              <w:top w:val="nil"/>
              <w:left w:val="nil"/>
              <w:bottom w:val="nil"/>
              <w:right w:val="nil"/>
            </w:tcBorders>
            <w:shd w:val="clear" w:color="auto" w:fill="auto"/>
            <w:noWrap/>
            <w:vAlign w:val="bottom"/>
            <w:hideMark/>
          </w:tcPr>
          <w:p w14:paraId="23359D2B" w14:textId="77777777" w:rsidR="00687021" w:rsidRPr="00687021" w:rsidRDefault="00687021" w:rsidP="00687021">
            <w:pPr>
              <w:spacing w:after="0" w:line="240" w:lineRule="auto"/>
              <w:jc w:val="right"/>
              <w:rPr>
                <w:rFonts w:ascii="Calibri" w:eastAsia="Times New Roman" w:hAnsi="Calibri" w:cs="Calibri"/>
                <w:lang w:eastAsia="cs-CZ"/>
              </w:rPr>
            </w:pPr>
            <w:r w:rsidRPr="00687021">
              <w:rPr>
                <w:rFonts w:ascii="Calibri" w:eastAsia="Times New Roman" w:hAnsi="Calibri" w:cs="Calibri"/>
                <w:lang w:eastAsia="cs-CZ"/>
              </w:rPr>
              <w:t>v Kč</w:t>
            </w:r>
          </w:p>
        </w:tc>
      </w:tr>
      <w:tr w:rsidR="00687021" w:rsidRPr="00687021" w14:paraId="2D3A0455" w14:textId="77777777" w:rsidTr="00687021">
        <w:trPr>
          <w:trHeight w:val="705"/>
        </w:trPr>
        <w:tc>
          <w:tcPr>
            <w:tcW w:w="929" w:type="dxa"/>
            <w:tcBorders>
              <w:top w:val="single" w:sz="8" w:space="0" w:color="auto"/>
              <w:left w:val="single" w:sz="8" w:space="0" w:color="auto"/>
              <w:bottom w:val="single" w:sz="8" w:space="0" w:color="auto"/>
              <w:right w:val="single" w:sz="8" w:space="0" w:color="auto"/>
            </w:tcBorders>
            <w:shd w:val="clear" w:color="000000" w:fill="CCFFCC"/>
            <w:noWrap/>
            <w:vAlign w:val="center"/>
            <w:hideMark/>
          </w:tcPr>
          <w:p w14:paraId="2689DAFD"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Paragraf</w:t>
            </w:r>
          </w:p>
        </w:tc>
        <w:tc>
          <w:tcPr>
            <w:tcW w:w="4093" w:type="dxa"/>
            <w:tcBorders>
              <w:top w:val="single" w:sz="8" w:space="0" w:color="auto"/>
              <w:left w:val="nil"/>
              <w:bottom w:val="single" w:sz="8" w:space="0" w:color="auto"/>
              <w:right w:val="single" w:sz="8" w:space="0" w:color="auto"/>
            </w:tcBorders>
            <w:shd w:val="clear" w:color="000000" w:fill="CCFFCC"/>
            <w:noWrap/>
            <w:vAlign w:val="center"/>
            <w:hideMark/>
          </w:tcPr>
          <w:p w14:paraId="11A2D78E"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Oblast rozpočtu</w:t>
            </w:r>
          </w:p>
        </w:tc>
        <w:tc>
          <w:tcPr>
            <w:tcW w:w="1349" w:type="dxa"/>
            <w:tcBorders>
              <w:top w:val="single" w:sz="8" w:space="0" w:color="auto"/>
              <w:left w:val="nil"/>
              <w:bottom w:val="single" w:sz="8" w:space="0" w:color="auto"/>
              <w:right w:val="single" w:sz="8" w:space="0" w:color="auto"/>
            </w:tcBorders>
            <w:shd w:val="clear" w:color="000000" w:fill="CCFFCC"/>
            <w:vAlign w:val="center"/>
            <w:hideMark/>
          </w:tcPr>
          <w:p w14:paraId="2F342C8B"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Schválený rozpočet</w:t>
            </w:r>
          </w:p>
        </w:tc>
        <w:tc>
          <w:tcPr>
            <w:tcW w:w="1681" w:type="dxa"/>
            <w:tcBorders>
              <w:top w:val="single" w:sz="8" w:space="0" w:color="auto"/>
              <w:left w:val="nil"/>
              <w:bottom w:val="single" w:sz="8" w:space="0" w:color="auto"/>
              <w:right w:val="single" w:sz="8" w:space="0" w:color="auto"/>
            </w:tcBorders>
            <w:shd w:val="clear" w:color="000000" w:fill="CCFFCC"/>
            <w:vAlign w:val="center"/>
            <w:hideMark/>
          </w:tcPr>
          <w:p w14:paraId="7F9D8EAF"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 xml:space="preserve">Rozpočet po úpravě </w:t>
            </w:r>
          </w:p>
        </w:tc>
        <w:tc>
          <w:tcPr>
            <w:tcW w:w="1550" w:type="dxa"/>
            <w:tcBorders>
              <w:top w:val="single" w:sz="8" w:space="0" w:color="auto"/>
              <w:left w:val="nil"/>
              <w:bottom w:val="single" w:sz="8" w:space="0" w:color="auto"/>
              <w:right w:val="single" w:sz="8" w:space="0" w:color="auto"/>
            </w:tcBorders>
            <w:shd w:val="clear" w:color="000000" w:fill="CCFFCC"/>
            <w:vAlign w:val="center"/>
            <w:hideMark/>
          </w:tcPr>
          <w:p w14:paraId="5A77C6A2"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 xml:space="preserve">Skutečnost </w:t>
            </w:r>
          </w:p>
        </w:tc>
        <w:tc>
          <w:tcPr>
            <w:tcW w:w="751" w:type="dxa"/>
            <w:tcBorders>
              <w:top w:val="single" w:sz="8" w:space="0" w:color="auto"/>
              <w:left w:val="nil"/>
              <w:bottom w:val="single" w:sz="8" w:space="0" w:color="auto"/>
              <w:right w:val="single" w:sz="8" w:space="0" w:color="auto"/>
            </w:tcBorders>
            <w:shd w:val="clear" w:color="000000" w:fill="CCFFCC"/>
            <w:vAlign w:val="center"/>
            <w:hideMark/>
          </w:tcPr>
          <w:p w14:paraId="400C26D1"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 plnění</w:t>
            </w:r>
          </w:p>
        </w:tc>
      </w:tr>
      <w:tr w:rsidR="00687021" w:rsidRPr="00687021" w14:paraId="1167701C" w14:textId="77777777" w:rsidTr="00687021">
        <w:trPr>
          <w:trHeight w:val="360"/>
        </w:trPr>
        <w:tc>
          <w:tcPr>
            <w:tcW w:w="929" w:type="dxa"/>
            <w:tcBorders>
              <w:top w:val="nil"/>
              <w:left w:val="nil"/>
              <w:bottom w:val="nil"/>
              <w:right w:val="nil"/>
            </w:tcBorders>
            <w:shd w:val="clear" w:color="auto" w:fill="auto"/>
            <w:noWrap/>
            <w:vAlign w:val="bottom"/>
            <w:hideMark/>
          </w:tcPr>
          <w:p w14:paraId="25C4F3A4"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p>
        </w:tc>
        <w:tc>
          <w:tcPr>
            <w:tcW w:w="4093" w:type="dxa"/>
            <w:tcBorders>
              <w:top w:val="nil"/>
              <w:left w:val="nil"/>
              <w:bottom w:val="nil"/>
              <w:right w:val="nil"/>
            </w:tcBorders>
            <w:shd w:val="clear" w:color="auto" w:fill="auto"/>
            <w:noWrap/>
            <w:vAlign w:val="bottom"/>
            <w:hideMark/>
          </w:tcPr>
          <w:p w14:paraId="0FC3AE5A" w14:textId="77777777" w:rsidR="00687021" w:rsidRPr="00687021" w:rsidRDefault="00687021" w:rsidP="00687021">
            <w:pPr>
              <w:spacing w:after="0" w:line="240" w:lineRule="auto"/>
              <w:rPr>
                <w:rFonts w:ascii="Calibri" w:eastAsia="Times New Roman" w:hAnsi="Calibri" w:cs="Calibri"/>
                <w:b/>
                <w:bCs/>
                <w:lang w:eastAsia="cs-CZ"/>
              </w:rPr>
            </w:pPr>
            <w:r w:rsidRPr="00687021">
              <w:rPr>
                <w:rFonts w:ascii="Calibri" w:eastAsia="Times New Roman" w:hAnsi="Calibri" w:cs="Calibri"/>
                <w:b/>
                <w:bCs/>
                <w:lang w:eastAsia="cs-CZ"/>
              </w:rPr>
              <w:t xml:space="preserve">Běžné výdaje </w:t>
            </w:r>
          </w:p>
        </w:tc>
        <w:tc>
          <w:tcPr>
            <w:tcW w:w="1349" w:type="dxa"/>
            <w:tcBorders>
              <w:top w:val="nil"/>
              <w:left w:val="nil"/>
              <w:bottom w:val="nil"/>
              <w:right w:val="nil"/>
            </w:tcBorders>
            <w:shd w:val="clear" w:color="auto" w:fill="auto"/>
            <w:noWrap/>
            <w:vAlign w:val="bottom"/>
            <w:hideMark/>
          </w:tcPr>
          <w:p w14:paraId="61046904" w14:textId="77777777" w:rsidR="00687021" w:rsidRPr="00687021" w:rsidRDefault="00687021" w:rsidP="00687021">
            <w:pPr>
              <w:spacing w:after="0" w:line="240" w:lineRule="auto"/>
              <w:rPr>
                <w:rFonts w:ascii="Calibri" w:eastAsia="Times New Roman" w:hAnsi="Calibri" w:cs="Calibri"/>
                <w:b/>
                <w:bCs/>
                <w:lang w:eastAsia="cs-CZ"/>
              </w:rPr>
            </w:pPr>
          </w:p>
        </w:tc>
        <w:tc>
          <w:tcPr>
            <w:tcW w:w="1681" w:type="dxa"/>
            <w:tcBorders>
              <w:top w:val="nil"/>
              <w:left w:val="nil"/>
              <w:bottom w:val="nil"/>
              <w:right w:val="nil"/>
            </w:tcBorders>
            <w:shd w:val="clear" w:color="auto" w:fill="auto"/>
            <w:noWrap/>
            <w:vAlign w:val="bottom"/>
            <w:hideMark/>
          </w:tcPr>
          <w:p w14:paraId="013DB2BF"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c>
          <w:tcPr>
            <w:tcW w:w="1550" w:type="dxa"/>
            <w:tcBorders>
              <w:top w:val="nil"/>
              <w:left w:val="nil"/>
              <w:bottom w:val="nil"/>
              <w:right w:val="nil"/>
            </w:tcBorders>
            <w:shd w:val="clear" w:color="auto" w:fill="auto"/>
            <w:noWrap/>
            <w:vAlign w:val="bottom"/>
            <w:hideMark/>
          </w:tcPr>
          <w:p w14:paraId="36FEF944"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c>
          <w:tcPr>
            <w:tcW w:w="751" w:type="dxa"/>
            <w:tcBorders>
              <w:top w:val="nil"/>
              <w:left w:val="nil"/>
              <w:bottom w:val="nil"/>
              <w:right w:val="nil"/>
            </w:tcBorders>
            <w:shd w:val="clear" w:color="auto" w:fill="auto"/>
            <w:noWrap/>
            <w:vAlign w:val="bottom"/>
            <w:hideMark/>
          </w:tcPr>
          <w:p w14:paraId="6EAD822A"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r>
      <w:tr w:rsidR="00687021" w:rsidRPr="00687021" w14:paraId="4053874F" w14:textId="77777777" w:rsidTr="00687021">
        <w:trPr>
          <w:trHeight w:val="300"/>
        </w:trPr>
        <w:tc>
          <w:tcPr>
            <w:tcW w:w="929"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844968C"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6115</w:t>
            </w:r>
          </w:p>
        </w:tc>
        <w:tc>
          <w:tcPr>
            <w:tcW w:w="4093" w:type="dxa"/>
            <w:tcBorders>
              <w:top w:val="single" w:sz="8" w:space="0" w:color="auto"/>
              <w:left w:val="nil"/>
              <w:bottom w:val="single" w:sz="4" w:space="0" w:color="auto"/>
              <w:right w:val="single" w:sz="4" w:space="0" w:color="auto"/>
            </w:tcBorders>
            <w:shd w:val="clear" w:color="auto" w:fill="auto"/>
            <w:vAlign w:val="center"/>
            <w:hideMark/>
          </w:tcPr>
          <w:p w14:paraId="0A50516E" w14:textId="77777777" w:rsidR="00687021" w:rsidRPr="00687021" w:rsidRDefault="00687021" w:rsidP="00687021">
            <w:pPr>
              <w:spacing w:after="0" w:line="240" w:lineRule="auto"/>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Volby do zastupitelstev územních samosprávných celků</w:t>
            </w:r>
          </w:p>
        </w:tc>
        <w:tc>
          <w:tcPr>
            <w:tcW w:w="1349" w:type="dxa"/>
            <w:tcBorders>
              <w:top w:val="single" w:sz="8" w:space="0" w:color="auto"/>
              <w:left w:val="nil"/>
              <w:bottom w:val="single" w:sz="4" w:space="0" w:color="auto"/>
              <w:right w:val="single" w:sz="4" w:space="0" w:color="auto"/>
            </w:tcBorders>
            <w:shd w:val="clear" w:color="auto" w:fill="auto"/>
            <w:noWrap/>
            <w:vAlign w:val="center"/>
            <w:hideMark/>
          </w:tcPr>
          <w:p w14:paraId="465090E6"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0</w:t>
            </w:r>
          </w:p>
        </w:tc>
        <w:tc>
          <w:tcPr>
            <w:tcW w:w="1681" w:type="dxa"/>
            <w:tcBorders>
              <w:top w:val="single" w:sz="8" w:space="0" w:color="auto"/>
              <w:left w:val="nil"/>
              <w:bottom w:val="single" w:sz="4" w:space="0" w:color="auto"/>
              <w:right w:val="single" w:sz="4" w:space="0" w:color="auto"/>
            </w:tcBorders>
            <w:shd w:val="clear" w:color="auto" w:fill="auto"/>
            <w:noWrap/>
            <w:vAlign w:val="center"/>
            <w:hideMark/>
          </w:tcPr>
          <w:p w14:paraId="1BD39A47"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4 517,15</w:t>
            </w:r>
          </w:p>
        </w:tc>
        <w:tc>
          <w:tcPr>
            <w:tcW w:w="1550" w:type="dxa"/>
            <w:tcBorders>
              <w:top w:val="single" w:sz="8" w:space="0" w:color="auto"/>
              <w:left w:val="nil"/>
              <w:bottom w:val="single" w:sz="4" w:space="0" w:color="auto"/>
              <w:right w:val="nil"/>
            </w:tcBorders>
            <w:shd w:val="clear" w:color="auto" w:fill="auto"/>
            <w:noWrap/>
            <w:vAlign w:val="center"/>
            <w:hideMark/>
          </w:tcPr>
          <w:p w14:paraId="1FD25DA7"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4 517,15</w:t>
            </w:r>
          </w:p>
        </w:tc>
        <w:tc>
          <w:tcPr>
            <w:tcW w:w="751" w:type="dxa"/>
            <w:tcBorders>
              <w:top w:val="single" w:sz="8" w:space="0" w:color="auto"/>
              <w:left w:val="single" w:sz="4" w:space="0" w:color="auto"/>
              <w:bottom w:val="single" w:sz="4" w:space="0" w:color="auto"/>
              <w:right w:val="single" w:sz="8" w:space="0" w:color="auto"/>
            </w:tcBorders>
            <w:shd w:val="clear" w:color="auto" w:fill="auto"/>
            <w:noWrap/>
            <w:vAlign w:val="center"/>
            <w:hideMark/>
          </w:tcPr>
          <w:p w14:paraId="645F8A8F"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100,0</w:t>
            </w:r>
          </w:p>
        </w:tc>
      </w:tr>
      <w:tr w:rsidR="00687021" w:rsidRPr="00687021" w14:paraId="11D69E71" w14:textId="77777777" w:rsidTr="00687021">
        <w:trPr>
          <w:trHeight w:val="300"/>
        </w:trPr>
        <w:tc>
          <w:tcPr>
            <w:tcW w:w="929" w:type="dxa"/>
            <w:tcBorders>
              <w:top w:val="nil"/>
              <w:left w:val="single" w:sz="8" w:space="0" w:color="auto"/>
              <w:bottom w:val="nil"/>
              <w:right w:val="single" w:sz="4" w:space="0" w:color="auto"/>
            </w:tcBorders>
            <w:shd w:val="clear" w:color="auto" w:fill="auto"/>
            <w:noWrap/>
            <w:vAlign w:val="center"/>
            <w:hideMark/>
          </w:tcPr>
          <w:p w14:paraId="5F7AC919"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6172</w:t>
            </w:r>
          </w:p>
        </w:tc>
        <w:tc>
          <w:tcPr>
            <w:tcW w:w="4093" w:type="dxa"/>
            <w:tcBorders>
              <w:top w:val="nil"/>
              <w:left w:val="nil"/>
              <w:bottom w:val="nil"/>
              <w:right w:val="single" w:sz="4" w:space="0" w:color="auto"/>
            </w:tcBorders>
            <w:shd w:val="clear" w:color="auto" w:fill="auto"/>
            <w:vAlign w:val="center"/>
            <w:hideMark/>
          </w:tcPr>
          <w:p w14:paraId="0481B767" w14:textId="77777777" w:rsidR="00687021" w:rsidRPr="00687021" w:rsidRDefault="00687021" w:rsidP="00687021">
            <w:pPr>
              <w:spacing w:after="0" w:line="240" w:lineRule="auto"/>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Činnost regionální správy</w:t>
            </w:r>
          </w:p>
        </w:tc>
        <w:tc>
          <w:tcPr>
            <w:tcW w:w="1349" w:type="dxa"/>
            <w:tcBorders>
              <w:top w:val="nil"/>
              <w:left w:val="nil"/>
              <w:bottom w:val="nil"/>
              <w:right w:val="single" w:sz="4" w:space="0" w:color="auto"/>
            </w:tcBorders>
            <w:shd w:val="clear" w:color="auto" w:fill="auto"/>
            <w:noWrap/>
            <w:vAlign w:val="center"/>
            <w:hideMark/>
          </w:tcPr>
          <w:p w14:paraId="7F658C6F"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0</w:t>
            </w:r>
          </w:p>
        </w:tc>
        <w:tc>
          <w:tcPr>
            <w:tcW w:w="1681" w:type="dxa"/>
            <w:tcBorders>
              <w:top w:val="nil"/>
              <w:left w:val="nil"/>
              <w:bottom w:val="nil"/>
              <w:right w:val="single" w:sz="4" w:space="0" w:color="auto"/>
            </w:tcBorders>
            <w:shd w:val="clear" w:color="auto" w:fill="auto"/>
            <w:noWrap/>
            <w:vAlign w:val="center"/>
            <w:hideMark/>
          </w:tcPr>
          <w:p w14:paraId="75C969FE"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42 000,00</w:t>
            </w:r>
          </w:p>
        </w:tc>
        <w:tc>
          <w:tcPr>
            <w:tcW w:w="1550" w:type="dxa"/>
            <w:tcBorders>
              <w:top w:val="nil"/>
              <w:left w:val="nil"/>
              <w:bottom w:val="nil"/>
              <w:right w:val="nil"/>
            </w:tcBorders>
            <w:shd w:val="clear" w:color="auto" w:fill="auto"/>
            <w:noWrap/>
            <w:vAlign w:val="center"/>
            <w:hideMark/>
          </w:tcPr>
          <w:p w14:paraId="4AF4363A"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0,00</w:t>
            </w:r>
          </w:p>
        </w:tc>
        <w:tc>
          <w:tcPr>
            <w:tcW w:w="751" w:type="dxa"/>
            <w:tcBorders>
              <w:top w:val="nil"/>
              <w:left w:val="single" w:sz="4" w:space="0" w:color="auto"/>
              <w:bottom w:val="single" w:sz="4" w:space="0" w:color="auto"/>
              <w:right w:val="single" w:sz="8" w:space="0" w:color="auto"/>
            </w:tcBorders>
            <w:shd w:val="clear" w:color="auto" w:fill="auto"/>
            <w:noWrap/>
            <w:vAlign w:val="center"/>
            <w:hideMark/>
          </w:tcPr>
          <w:p w14:paraId="15D119C7"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0,0</w:t>
            </w:r>
          </w:p>
        </w:tc>
      </w:tr>
      <w:tr w:rsidR="00687021" w:rsidRPr="00687021" w14:paraId="650F7E00" w14:textId="77777777" w:rsidTr="00687021">
        <w:trPr>
          <w:trHeight w:val="319"/>
        </w:trPr>
        <w:tc>
          <w:tcPr>
            <w:tcW w:w="929"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18922E6" w14:textId="77777777" w:rsidR="00687021" w:rsidRPr="00687021" w:rsidRDefault="00687021" w:rsidP="00687021">
            <w:pPr>
              <w:spacing w:after="0" w:line="240" w:lineRule="auto"/>
              <w:rPr>
                <w:rFonts w:ascii="Calibri" w:eastAsia="Times New Roman" w:hAnsi="Calibri" w:cs="Calibri"/>
                <w:b/>
                <w:bCs/>
                <w:sz w:val="24"/>
                <w:szCs w:val="24"/>
                <w:lang w:eastAsia="cs-CZ"/>
              </w:rPr>
            </w:pPr>
            <w:r w:rsidRPr="00687021">
              <w:rPr>
                <w:rFonts w:ascii="Calibri" w:eastAsia="Times New Roman" w:hAnsi="Calibri" w:cs="Calibri"/>
                <w:b/>
                <w:bCs/>
                <w:sz w:val="24"/>
                <w:szCs w:val="24"/>
                <w:lang w:eastAsia="cs-CZ"/>
              </w:rPr>
              <w:t> </w:t>
            </w:r>
          </w:p>
        </w:tc>
        <w:tc>
          <w:tcPr>
            <w:tcW w:w="4093" w:type="dxa"/>
            <w:tcBorders>
              <w:top w:val="single" w:sz="8" w:space="0" w:color="auto"/>
              <w:left w:val="nil"/>
              <w:bottom w:val="single" w:sz="8" w:space="0" w:color="auto"/>
              <w:right w:val="single" w:sz="4" w:space="0" w:color="auto"/>
            </w:tcBorders>
            <w:shd w:val="clear" w:color="auto" w:fill="auto"/>
            <w:noWrap/>
            <w:vAlign w:val="center"/>
            <w:hideMark/>
          </w:tcPr>
          <w:p w14:paraId="350CC731" w14:textId="77777777" w:rsidR="00687021" w:rsidRPr="00687021" w:rsidRDefault="00687021" w:rsidP="00687021">
            <w:pPr>
              <w:spacing w:after="0" w:line="240" w:lineRule="auto"/>
              <w:rPr>
                <w:rFonts w:ascii="Calibri" w:eastAsia="Times New Roman" w:hAnsi="Calibri" w:cs="Calibri"/>
                <w:b/>
                <w:bCs/>
                <w:lang w:eastAsia="cs-CZ"/>
              </w:rPr>
            </w:pPr>
            <w:r w:rsidRPr="00687021">
              <w:rPr>
                <w:rFonts w:ascii="Calibri" w:eastAsia="Times New Roman" w:hAnsi="Calibri" w:cs="Calibri"/>
                <w:b/>
                <w:bCs/>
                <w:lang w:eastAsia="cs-CZ"/>
              </w:rPr>
              <w:t>Celkem</w:t>
            </w:r>
          </w:p>
        </w:tc>
        <w:tc>
          <w:tcPr>
            <w:tcW w:w="1349" w:type="dxa"/>
            <w:tcBorders>
              <w:top w:val="single" w:sz="8" w:space="0" w:color="auto"/>
              <w:left w:val="nil"/>
              <w:bottom w:val="single" w:sz="8" w:space="0" w:color="auto"/>
              <w:right w:val="single" w:sz="4" w:space="0" w:color="auto"/>
            </w:tcBorders>
            <w:shd w:val="clear" w:color="auto" w:fill="auto"/>
            <w:noWrap/>
            <w:vAlign w:val="bottom"/>
            <w:hideMark/>
          </w:tcPr>
          <w:p w14:paraId="46428388" w14:textId="77777777" w:rsidR="00687021" w:rsidRPr="00687021" w:rsidRDefault="00687021" w:rsidP="00687021">
            <w:pPr>
              <w:spacing w:after="0" w:line="240" w:lineRule="auto"/>
              <w:jc w:val="right"/>
              <w:rPr>
                <w:rFonts w:ascii="Calibri" w:eastAsia="Times New Roman" w:hAnsi="Calibri" w:cs="Calibri"/>
                <w:b/>
                <w:bCs/>
                <w:lang w:eastAsia="cs-CZ"/>
              </w:rPr>
            </w:pPr>
            <w:r w:rsidRPr="00687021">
              <w:rPr>
                <w:rFonts w:ascii="Calibri" w:eastAsia="Times New Roman" w:hAnsi="Calibri" w:cs="Calibri"/>
                <w:b/>
                <w:bCs/>
                <w:lang w:eastAsia="cs-CZ"/>
              </w:rPr>
              <w:t>0</w:t>
            </w:r>
          </w:p>
        </w:tc>
        <w:tc>
          <w:tcPr>
            <w:tcW w:w="1681" w:type="dxa"/>
            <w:tcBorders>
              <w:top w:val="single" w:sz="8" w:space="0" w:color="auto"/>
              <w:left w:val="nil"/>
              <w:bottom w:val="single" w:sz="8" w:space="0" w:color="auto"/>
              <w:right w:val="single" w:sz="4" w:space="0" w:color="auto"/>
            </w:tcBorders>
            <w:shd w:val="clear" w:color="auto" w:fill="auto"/>
            <w:noWrap/>
            <w:vAlign w:val="center"/>
            <w:hideMark/>
          </w:tcPr>
          <w:p w14:paraId="00BCE55B" w14:textId="77777777" w:rsidR="00687021" w:rsidRPr="00687021" w:rsidRDefault="00687021" w:rsidP="00687021">
            <w:pPr>
              <w:spacing w:after="0" w:line="240" w:lineRule="auto"/>
              <w:jc w:val="right"/>
              <w:rPr>
                <w:rFonts w:ascii="Calibri" w:eastAsia="Times New Roman" w:hAnsi="Calibri" w:cs="Calibri"/>
                <w:b/>
                <w:bCs/>
                <w:lang w:eastAsia="cs-CZ"/>
              </w:rPr>
            </w:pPr>
            <w:r w:rsidRPr="00687021">
              <w:rPr>
                <w:rFonts w:ascii="Calibri" w:eastAsia="Times New Roman" w:hAnsi="Calibri" w:cs="Calibri"/>
                <w:b/>
                <w:bCs/>
                <w:lang w:eastAsia="cs-CZ"/>
              </w:rPr>
              <w:t>46 517,15</w:t>
            </w:r>
          </w:p>
        </w:tc>
        <w:tc>
          <w:tcPr>
            <w:tcW w:w="1550" w:type="dxa"/>
            <w:tcBorders>
              <w:top w:val="single" w:sz="8" w:space="0" w:color="auto"/>
              <w:left w:val="nil"/>
              <w:bottom w:val="single" w:sz="8" w:space="0" w:color="auto"/>
              <w:right w:val="single" w:sz="4" w:space="0" w:color="auto"/>
            </w:tcBorders>
            <w:shd w:val="clear" w:color="auto" w:fill="auto"/>
            <w:noWrap/>
            <w:vAlign w:val="center"/>
            <w:hideMark/>
          </w:tcPr>
          <w:p w14:paraId="69B78B94" w14:textId="77777777" w:rsidR="00687021" w:rsidRPr="00687021" w:rsidRDefault="00687021" w:rsidP="00687021">
            <w:pPr>
              <w:spacing w:after="0" w:line="240" w:lineRule="auto"/>
              <w:jc w:val="right"/>
              <w:rPr>
                <w:rFonts w:ascii="Calibri" w:eastAsia="Times New Roman" w:hAnsi="Calibri" w:cs="Calibri"/>
                <w:b/>
                <w:bCs/>
                <w:lang w:eastAsia="cs-CZ"/>
              </w:rPr>
            </w:pPr>
            <w:r w:rsidRPr="00687021">
              <w:rPr>
                <w:rFonts w:ascii="Calibri" w:eastAsia="Times New Roman" w:hAnsi="Calibri" w:cs="Calibri"/>
                <w:b/>
                <w:bCs/>
                <w:lang w:eastAsia="cs-CZ"/>
              </w:rPr>
              <w:t>4 517,15</w:t>
            </w:r>
          </w:p>
        </w:tc>
        <w:tc>
          <w:tcPr>
            <w:tcW w:w="751" w:type="dxa"/>
            <w:tcBorders>
              <w:top w:val="single" w:sz="8" w:space="0" w:color="auto"/>
              <w:left w:val="nil"/>
              <w:bottom w:val="single" w:sz="8" w:space="0" w:color="auto"/>
              <w:right w:val="single" w:sz="8" w:space="0" w:color="auto"/>
            </w:tcBorders>
            <w:shd w:val="clear" w:color="auto" w:fill="auto"/>
            <w:noWrap/>
            <w:vAlign w:val="center"/>
            <w:hideMark/>
          </w:tcPr>
          <w:p w14:paraId="41729D76" w14:textId="77777777" w:rsidR="00687021" w:rsidRPr="00687021" w:rsidRDefault="00687021" w:rsidP="00687021">
            <w:pPr>
              <w:spacing w:after="0" w:line="240" w:lineRule="auto"/>
              <w:jc w:val="right"/>
              <w:rPr>
                <w:rFonts w:ascii="Calibri" w:eastAsia="Times New Roman" w:hAnsi="Calibri" w:cs="Calibri"/>
                <w:b/>
                <w:bCs/>
                <w:lang w:eastAsia="cs-CZ"/>
              </w:rPr>
            </w:pPr>
            <w:r w:rsidRPr="00687021">
              <w:rPr>
                <w:rFonts w:ascii="Calibri" w:eastAsia="Times New Roman" w:hAnsi="Calibri" w:cs="Calibri"/>
                <w:b/>
                <w:bCs/>
                <w:lang w:eastAsia="cs-CZ"/>
              </w:rPr>
              <w:t>9,7</w:t>
            </w:r>
          </w:p>
        </w:tc>
      </w:tr>
      <w:tr w:rsidR="00687021" w:rsidRPr="00687021" w14:paraId="2C9355A1" w14:textId="77777777" w:rsidTr="00687021">
        <w:trPr>
          <w:trHeight w:val="300"/>
        </w:trPr>
        <w:tc>
          <w:tcPr>
            <w:tcW w:w="929" w:type="dxa"/>
            <w:tcBorders>
              <w:top w:val="nil"/>
              <w:left w:val="nil"/>
              <w:bottom w:val="nil"/>
              <w:right w:val="nil"/>
            </w:tcBorders>
            <w:shd w:val="clear" w:color="auto" w:fill="auto"/>
            <w:noWrap/>
            <w:vAlign w:val="bottom"/>
            <w:hideMark/>
          </w:tcPr>
          <w:p w14:paraId="1E61A071" w14:textId="77777777" w:rsidR="00687021" w:rsidRPr="00687021" w:rsidRDefault="00687021" w:rsidP="00687021">
            <w:pPr>
              <w:spacing w:after="0" w:line="240" w:lineRule="auto"/>
              <w:jc w:val="right"/>
              <w:rPr>
                <w:rFonts w:ascii="Calibri" w:eastAsia="Times New Roman" w:hAnsi="Calibri" w:cs="Calibri"/>
                <w:b/>
                <w:bCs/>
                <w:lang w:eastAsia="cs-CZ"/>
              </w:rPr>
            </w:pPr>
          </w:p>
        </w:tc>
        <w:tc>
          <w:tcPr>
            <w:tcW w:w="4093" w:type="dxa"/>
            <w:tcBorders>
              <w:top w:val="nil"/>
              <w:left w:val="nil"/>
              <w:bottom w:val="nil"/>
              <w:right w:val="nil"/>
            </w:tcBorders>
            <w:shd w:val="clear" w:color="auto" w:fill="auto"/>
            <w:noWrap/>
            <w:vAlign w:val="bottom"/>
            <w:hideMark/>
          </w:tcPr>
          <w:p w14:paraId="2254CBBF"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c>
          <w:tcPr>
            <w:tcW w:w="1349" w:type="dxa"/>
            <w:tcBorders>
              <w:top w:val="nil"/>
              <w:left w:val="nil"/>
              <w:bottom w:val="nil"/>
              <w:right w:val="nil"/>
            </w:tcBorders>
            <w:shd w:val="clear" w:color="auto" w:fill="auto"/>
            <w:noWrap/>
            <w:vAlign w:val="bottom"/>
            <w:hideMark/>
          </w:tcPr>
          <w:p w14:paraId="2A1916CF"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c>
          <w:tcPr>
            <w:tcW w:w="1681" w:type="dxa"/>
            <w:tcBorders>
              <w:top w:val="nil"/>
              <w:left w:val="nil"/>
              <w:bottom w:val="nil"/>
              <w:right w:val="nil"/>
            </w:tcBorders>
            <w:shd w:val="clear" w:color="auto" w:fill="auto"/>
            <w:noWrap/>
            <w:vAlign w:val="bottom"/>
            <w:hideMark/>
          </w:tcPr>
          <w:p w14:paraId="1F8CD46C"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c>
          <w:tcPr>
            <w:tcW w:w="1550" w:type="dxa"/>
            <w:tcBorders>
              <w:top w:val="nil"/>
              <w:left w:val="nil"/>
              <w:bottom w:val="nil"/>
              <w:right w:val="nil"/>
            </w:tcBorders>
            <w:shd w:val="clear" w:color="auto" w:fill="auto"/>
            <w:noWrap/>
            <w:vAlign w:val="bottom"/>
            <w:hideMark/>
          </w:tcPr>
          <w:p w14:paraId="78BE092D"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c>
          <w:tcPr>
            <w:tcW w:w="751" w:type="dxa"/>
            <w:tcBorders>
              <w:top w:val="nil"/>
              <w:left w:val="nil"/>
              <w:bottom w:val="nil"/>
              <w:right w:val="nil"/>
            </w:tcBorders>
            <w:shd w:val="clear" w:color="auto" w:fill="auto"/>
            <w:noWrap/>
            <w:vAlign w:val="bottom"/>
            <w:hideMark/>
          </w:tcPr>
          <w:p w14:paraId="2D72EA4D"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r>
      <w:tr w:rsidR="00687021" w:rsidRPr="00687021" w14:paraId="147ED833" w14:textId="77777777" w:rsidTr="00687021">
        <w:trPr>
          <w:trHeight w:val="360"/>
        </w:trPr>
        <w:tc>
          <w:tcPr>
            <w:tcW w:w="929" w:type="dxa"/>
            <w:tcBorders>
              <w:top w:val="nil"/>
              <w:left w:val="nil"/>
              <w:bottom w:val="nil"/>
              <w:right w:val="nil"/>
            </w:tcBorders>
            <w:shd w:val="clear" w:color="auto" w:fill="auto"/>
            <w:noWrap/>
            <w:vAlign w:val="bottom"/>
            <w:hideMark/>
          </w:tcPr>
          <w:p w14:paraId="2B48CA2C"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c>
          <w:tcPr>
            <w:tcW w:w="5442" w:type="dxa"/>
            <w:gridSpan w:val="2"/>
            <w:tcBorders>
              <w:top w:val="nil"/>
              <w:left w:val="nil"/>
              <w:bottom w:val="nil"/>
              <w:right w:val="nil"/>
            </w:tcBorders>
            <w:shd w:val="clear" w:color="auto" w:fill="auto"/>
            <w:noWrap/>
            <w:vAlign w:val="bottom"/>
            <w:hideMark/>
          </w:tcPr>
          <w:p w14:paraId="2280B4CE" w14:textId="77777777" w:rsidR="00687021" w:rsidRPr="00687021" w:rsidRDefault="00687021" w:rsidP="00687021">
            <w:pPr>
              <w:spacing w:after="0" w:line="240" w:lineRule="auto"/>
              <w:rPr>
                <w:rFonts w:ascii="Calibri" w:eastAsia="Times New Roman" w:hAnsi="Calibri" w:cs="Calibri"/>
                <w:b/>
                <w:bCs/>
                <w:lang w:eastAsia="cs-CZ"/>
              </w:rPr>
            </w:pPr>
            <w:r w:rsidRPr="00687021">
              <w:rPr>
                <w:rFonts w:ascii="Calibri" w:eastAsia="Times New Roman" w:hAnsi="Calibri" w:cs="Calibri"/>
                <w:b/>
                <w:bCs/>
                <w:lang w:eastAsia="cs-CZ"/>
              </w:rPr>
              <w:t>Dotace ze státního rozpočtu a ostatních veřejných rozpočtů</w:t>
            </w:r>
          </w:p>
        </w:tc>
        <w:tc>
          <w:tcPr>
            <w:tcW w:w="1681" w:type="dxa"/>
            <w:tcBorders>
              <w:top w:val="nil"/>
              <w:left w:val="nil"/>
              <w:bottom w:val="nil"/>
              <w:right w:val="nil"/>
            </w:tcBorders>
            <w:shd w:val="clear" w:color="auto" w:fill="auto"/>
            <w:noWrap/>
            <w:vAlign w:val="bottom"/>
            <w:hideMark/>
          </w:tcPr>
          <w:p w14:paraId="3EA50CDE" w14:textId="77777777" w:rsidR="00687021" w:rsidRPr="00687021" w:rsidRDefault="00687021" w:rsidP="00687021">
            <w:pPr>
              <w:spacing w:after="0" w:line="240" w:lineRule="auto"/>
              <w:rPr>
                <w:rFonts w:ascii="Calibri" w:eastAsia="Times New Roman" w:hAnsi="Calibri" w:cs="Calibri"/>
                <w:b/>
                <w:bCs/>
                <w:lang w:eastAsia="cs-CZ"/>
              </w:rPr>
            </w:pPr>
          </w:p>
        </w:tc>
        <w:tc>
          <w:tcPr>
            <w:tcW w:w="1550" w:type="dxa"/>
            <w:tcBorders>
              <w:top w:val="nil"/>
              <w:left w:val="nil"/>
              <w:bottom w:val="nil"/>
              <w:right w:val="nil"/>
            </w:tcBorders>
            <w:shd w:val="clear" w:color="auto" w:fill="auto"/>
            <w:noWrap/>
            <w:vAlign w:val="bottom"/>
            <w:hideMark/>
          </w:tcPr>
          <w:p w14:paraId="5CEB65CE"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c>
          <w:tcPr>
            <w:tcW w:w="751" w:type="dxa"/>
            <w:tcBorders>
              <w:top w:val="nil"/>
              <w:left w:val="nil"/>
              <w:bottom w:val="nil"/>
              <w:right w:val="nil"/>
            </w:tcBorders>
            <w:shd w:val="clear" w:color="auto" w:fill="auto"/>
            <w:noWrap/>
            <w:vAlign w:val="bottom"/>
            <w:hideMark/>
          </w:tcPr>
          <w:p w14:paraId="4DAD82C7"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r>
      <w:tr w:rsidR="00687021" w:rsidRPr="00687021" w14:paraId="2AF9E893" w14:textId="77777777" w:rsidTr="00687021">
        <w:trPr>
          <w:trHeight w:val="495"/>
        </w:trPr>
        <w:tc>
          <w:tcPr>
            <w:tcW w:w="929"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6138D014"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6114</w:t>
            </w:r>
          </w:p>
        </w:tc>
        <w:tc>
          <w:tcPr>
            <w:tcW w:w="4093" w:type="dxa"/>
            <w:tcBorders>
              <w:top w:val="single" w:sz="8" w:space="0" w:color="auto"/>
              <w:left w:val="nil"/>
              <w:bottom w:val="single" w:sz="4" w:space="0" w:color="auto"/>
              <w:right w:val="single" w:sz="4" w:space="0" w:color="auto"/>
            </w:tcBorders>
            <w:shd w:val="clear" w:color="auto" w:fill="auto"/>
            <w:vAlign w:val="center"/>
            <w:hideMark/>
          </w:tcPr>
          <w:p w14:paraId="5B9367E8" w14:textId="77777777" w:rsidR="00687021" w:rsidRPr="00687021" w:rsidRDefault="00687021" w:rsidP="00687021">
            <w:pPr>
              <w:spacing w:after="0" w:line="240" w:lineRule="auto"/>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Účelové dotace na výdaje spojené s volbami do Poslanecké sněmovny Parlamentu ČR (UZ 98071)</w:t>
            </w:r>
          </w:p>
        </w:tc>
        <w:tc>
          <w:tcPr>
            <w:tcW w:w="1349" w:type="dxa"/>
            <w:tcBorders>
              <w:top w:val="single" w:sz="8" w:space="0" w:color="auto"/>
              <w:left w:val="nil"/>
              <w:bottom w:val="single" w:sz="4" w:space="0" w:color="auto"/>
              <w:right w:val="single" w:sz="4" w:space="0" w:color="auto"/>
            </w:tcBorders>
            <w:shd w:val="clear" w:color="auto" w:fill="auto"/>
            <w:noWrap/>
            <w:vAlign w:val="center"/>
            <w:hideMark/>
          </w:tcPr>
          <w:p w14:paraId="4106048D"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0</w:t>
            </w:r>
          </w:p>
        </w:tc>
        <w:tc>
          <w:tcPr>
            <w:tcW w:w="1681" w:type="dxa"/>
            <w:tcBorders>
              <w:top w:val="single" w:sz="8" w:space="0" w:color="auto"/>
              <w:left w:val="nil"/>
              <w:bottom w:val="single" w:sz="4" w:space="0" w:color="auto"/>
              <w:right w:val="single" w:sz="4" w:space="0" w:color="auto"/>
            </w:tcBorders>
            <w:shd w:val="clear" w:color="auto" w:fill="auto"/>
            <w:noWrap/>
            <w:vAlign w:val="center"/>
            <w:hideMark/>
          </w:tcPr>
          <w:p w14:paraId="1EE963D3"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2 500 000,00</w:t>
            </w:r>
          </w:p>
        </w:tc>
        <w:tc>
          <w:tcPr>
            <w:tcW w:w="1550" w:type="dxa"/>
            <w:tcBorders>
              <w:top w:val="single" w:sz="8" w:space="0" w:color="auto"/>
              <w:left w:val="nil"/>
              <w:bottom w:val="single" w:sz="4" w:space="0" w:color="auto"/>
              <w:right w:val="nil"/>
            </w:tcBorders>
            <w:shd w:val="clear" w:color="auto" w:fill="auto"/>
            <w:noWrap/>
            <w:vAlign w:val="center"/>
            <w:hideMark/>
          </w:tcPr>
          <w:p w14:paraId="7AA75DE1"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753 124,35</w:t>
            </w:r>
          </w:p>
        </w:tc>
        <w:tc>
          <w:tcPr>
            <w:tcW w:w="751" w:type="dxa"/>
            <w:tcBorders>
              <w:top w:val="single" w:sz="8" w:space="0" w:color="auto"/>
              <w:left w:val="single" w:sz="4" w:space="0" w:color="auto"/>
              <w:bottom w:val="single" w:sz="4" w:space="0" w:color="auto"/>
              <w:right w:val="single" w:sz="8" w:space="0" w:color="auto"/>
            </w:tcBorders>
            <w:shd w:val="clear" w:color="auto" w:fill="auto"/>
            <w:noWrap/>
            <w:vAlign w:val="center"/>
            <w:hideMark/>
          </w:tcPr>
          <w:p w14:paraId="01C984D7"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30,1</w:t>
            </w:r>
          </w:p>
        </w:tc>
      </w:tr>
      <w:tr w:rsidR="00687021" w:rsidRPr="00687021" w14:paraId="29361AE2" w14:textId="77777777" w:rsidTr="00687021">
        <w:trPr>
          <w:trHeight w:val="495"/>
        </w:trPr>
        <w:tc>
          <w:tcPr>
            <w:tcW w:w="929" w:type="dxa"/>
            <w:tcBorders>
              <w:top w:val="nil"/>
              <w:left w:val="single" w:sz="8" w:space="0" w:color="auto"/>
              <w:bottom w:val="nil"/>
              <w:right w:val="single" w:sz="4" w:space="0" w:color="auto"/>
            </w:tcBorders>
            <w:shd w:val="clear" w:color="auto" w:fill="auto"/>
            <w:noWrap/>
            <w:vAlign w:val="center"/>
            <w:hideMark/>
          </w:tcPr>
          <w:p w14:paraId="505C1949"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6115</w:t>
            </w:r>
          </w:p>
        </w:tc>
        <w:tc>
          <w:tcPr>
            <w:tcW w:w="4093" w:type="dxa"/>
            <w:tcBorders>
              <w:top w:val="nil"/>
              <w:left w:val="nil"/>
              <w:bottom w:val="nil"/>
              <w:right w:val="single" w:sz="4" w:space="0" w:color="auto"/>
            </w:tcBorders>
            <w:shd w:val="clear" w:color="auto" w:fill="auto"/>
            <w:vAlign w:val="center"/>
            <w:hideMark/>
          </w:tcPr>
          <w:p w14:paraId="7842D3BE" w14:textId="77777777" w:rsidR="00687021" w:rsidRPr="00687021" w:rsidRDefault="00687021" w:rsidP="00687021">
            <w:pPr>
              <w:spacing w:after="0" w:line="240" w:lineRule="auto"/>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Účelové dotace na výdaje spojené s volbami do zastupitelstev obcí (UZ 98074)</w:t>
            </w:r>
          </w:p>
        </w:tc>
        <w:tc>
          <w:tcPr>
            <w:tcW w:w="1349" w:type="dxa"/>
            <w:tcBorders>
              <w:top w:val="nil"/>
              <w:left w:val="nil"/>
              <w:bottom w:val="nil"/>
              <w:right w:val="single" w:sz="4" w:space="0" w:color="auto"/>
            </w:tcBorders>
            <w:shd w:val="clear" w:color="auto" w:fill="auto"/>
            <w:noWrap/>
            <w:vAlign w:val="center"/>
            <w:hideMark/>
          </w:tcPr>
          <w:p w14:paraId="36C21224"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0</w:t>
            </w:r>
          </w:p>
        </w:tc>
        <w:tc>
          <w:tcPr>
            <w:tcW w:w="1681" w:type="dxa"/>
            <w:tcBorders>
              <w:top w:val="nil"/>
              <w:left w:val="nil"/>
              <w:bottom w:val="nil"/>
              <w:right w:val="single" w:sz="4" w:space="0" w:color="auto"/>
            </w:tcBorders>
            <w:shd w:val="clear" w:color="auto" w:fill="auto"/>
            <w:noWrap/>
            <w:vAlign w:val="center"/>
            <w:hideMark/>
          </w:tcPr>
          <w:p w14:paraId="4E3EBB21"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45 000,00</w:t>
            </w:r>
          </w:p>
        </w:tc>
        <w:tc>
          <w:tcPr>
            <w:tcW w:w="1550" w:type="dxa"/>
            <w:tcBorders>
              <w:top w:val="nil"/>
              <w:left w:val="nil"/>
              <w:bottom w:val="nil"/>
              <w:right w:val="nil"/>
            </w:tcBorders>
            <w:shd w:val="clear" w:color="auto" w:fill="auto"/>
            <w:noWrap/>
            <w:vAlign w:val="center"/>
            <w:hideMark/>
          </w:tcPr>
          <w:p w14:paraId="579DC8D6"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45 000,00</w:t>
            </w:r>
          </w:p>
        </w:tc>
        <w:tc>
          <w:tcPr>
            <w:tcW w:w="751" w:type="dxa"/>
            <w:tcBorders>
              <w:top w:val="nil"/>
              <w:left w:val="single" w:sz="4" w:space="0" w:color="auto"/>
              <w:bottom w:val="single" w:sz="4" w:space="0" w:color="auto"/>
              <w:right w:val="single" w:sz="8" w:space="0" w:color="auto"/>
            </w:tcBorders>
            <w:shd w:val="clear" w:color="auto" w:fill="auto"/>
            <w:noWrap/>
            <w:vAlign w:val="center"/>
            <w:hideMark/>
          </w:tcPr>
          <w:p w14:paraId="5B2EB081"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100,0</w:t>
            </w:r>
          </w:p>
        </w:tc>
      </w:tr>
      <w:tr w:rsidR="00687021" w:rsidRPr="00687021" w14:paraId="2C2D4364" w14:textId="77777777" w:rsidTr="00687021">
        <w:trPr>
          <w:trHeight w:val="319"/>
        </w:trPr>
        <w:tc>
          <w:tcPr>
            <w:tcW w:w="929"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1BB217A9" w14:textId="77777777" w:rsidR="00687021" w:rsidRPr="00687021" w:rsidRDefault="00687021" w:rsidP="00687021">
            <w:pPr>
              <w:spacing w:after="0" w:line="240" w:lineRule="auto"/>
              <w:jc w:val="center"/>
              <w:rPr>
                <w:rFonts w:ascii="Calibri" w:eastAsia="Times New Roman" w:hAnsi="Calibri" w:cs="Calibri"/>
                <w:lang w:eastAsia="cs-CZ"/>
              </w:rPr>
            </w:pPr>
            <w:r w:rsidRPr="00687021">
              <w:rPr>
                <w:rFonts w:ascii="Calibri" w:eastAsia="Times New Roman" w:hAnsi="Calibri" w:cs="Calibri"/>
                <w:lang w:eastAsia="cs-CZ"/>
              </w:rPr>
              <w:t> </w:t>
            </w:r>
          </w:p>
        </w:tc>
        <w:tc>
          <w:tcPr>
            <w:tcW w:w="4093" w:type="dxa"/>
            <w:tcBorders>
              <w:top w:val="single" w:sz="8" w:space="0" w:color="auto"/>
              <w:left w:val="nil"/>
              <w:bottom w:val="single" w:sz="8" w:space="0" w:color="auto"/>
              <w:right w:val="single" w:sz="4" w:space="0" w:color="auto"/>
            </w:tcBorders>
            <w:shd w:val="clear" w:color="auto" w:fill="auto"/>
            <w:noWrap/>
            <w:vAlign w:val="bottom"/>
            <w:hideMark/>
          </w:tcPr>
          <w:p w14:paraId="1A4273C8" w14:textId="77777777" w:rsidR="00687021" w:rsidRPr="00687021" w:rsidRDefault="00687021" w:rsidP="00687021">
            <w:pPr>
              <w:spacing w:after="0" w:line="240" w:lineRule="auto"/>
              <w:rPr>
                <w:rFonts w:ascii="Calibri" w:eastAsia="Times New Roman" w:hAnsi="Calibri" w:cs="Calibri"/>
                <w:b/>
                <w:bCs/>
                <w:lang w:eastAsia="cs-CZ"/>
              </w:rPr>
            </w:pPr>
            <w:r w:rsidRPr="00687021">
              <w:rPr>
                <w:rFonts w:ascii="Calibri" w:eastAsia="Times New Roman" w:hAnsi="Calibri" w:cs="Calibri"/>
                <w:b/>
                <w:bCs/>
                <w:lang w:eastAsia="cs-CZ"/>
              </w:rPr>
              <w:t>Celkem</w:t>
            </w:r>
          </w:p>
        </w:tc>
        <w:tc>
          <w:tcPr>
            <w:tcW w:w="1349" w:type="dxa"/>
            <w:tcBorders>
              <w:top w:val="single" w:sz="8" w:space="0" w:color="auto"/>
              <w:left w:val="nil"/>
              <w:bottom w:val="single" w:sz="8" w:space="0" w:color="auto"/>
              <w:right w:val="single" w:sz="4" w:space="0" w:color="auto"/>
            </w:tcBorders>
            <w:shd w:val="clear" w:color="auto" w:fill="auto"/>
            <w:noWrap/>
            <w:vAlign w:val="bottom"/>
            <w:hideMark/>
          </w:tcPr>
          <w:p w14:paraId="02607AC7" w14:textId="77777777" w:rsidR="00687021" w:rsidRPr="00687021" w:rsidRDefault="00687021" w:rsidP="00687021">
            <w:pPr>
              <w:spacing w:after="0" w:line="240" w:lineRule="auto"/>
              <w:jc w:val="right"/>
              <w:rPr>
                <w:rFonts w:ascii="Calibri" w:eastAsia="Times New Roman" w:hAnsi="Calibri" w:cs="Calibri"/>
                <w:b/>
                <w:bCs/>
                <w:lang w:eastAsia="cs-CZ"/>
              </w:rPr>
            </w:pPr>
            <w:r w:rsidRPr="00687021">
              <w:rPr>
                <w:rFonts w:ascii="Calibri" w:eastAsia="Times New Roman" w:hAnsi="Calibri" w:cs="Calibri"/>
                <w:b/>
                <w:bCs/>
                <w:lang w:eastAsia="cs-CZ"/>
              </w:rPr>
              <w:t>0</w:t>
            </w:r>
          </w:p>
        </w:tc>
        <w:tc>
          <w:tcPr>
            <w:tcW w:w="1681" w:type="dxa"/>
            <w:tcBorders>
              <w:top w:val="single" w:sz="8" w:space="0" w:color="auto"/>
              <w:left w:val="nil"/>
              <w:bottom w:val="single" w:sz="8" w:space="0" w:color="auto"/>
              <w:right w:val="single" w:sz="4" w:space="0" w:color="auto"/>
            </w:tcBorders>
            <w:shd w:val="clear" w:color="auto" w:fill="auto"/>
            <w:noWrap/>
            <w:vAlign w:val="bottom"/>
            <w:hideMark/>
          </w:tcPr>
          <w:p w14:paraId="4A52E3D5" w14:textId="77777777" w:rsidR="00687021" w:rsidRPr="00687021" w:rsidRDefault="00687021" w:rsidP="00687021">
            <w:pPr>
              <w:spacing w:after="0" w:line="240" w:lineRule="auto"/>
              <w:jc w:val="right"/>
              <w:rPr>
                <w:rFonts w:ascii="Calibri" w:eastAsia="Times New Roman" w:hAnsi="Calibri" w:cs="Calibri"/>
                <w:b/>
                <w:bCs/>
                <w:lang w:eastAsia="cs-CZ"/>
              </w:rPr>
            </w:pPr>
            <w:r w:rsidRPr="00687021">
              <w:rPr>
                <w:rFonts w:ascii="Calibri" w:eastAsia="Times New Roman" w:hAnsi="Calibri" w:cs="Calibri"/>
                <w:b/>
                <w:bCs/>
                <w:lang w:eastAsia="cs-CZ"/>
              </w:rPr>
              <w:t>2 545 000,00</w:t>
            </w:r>
          </w:p>
        </w:tc>
        <w:tc>
          <w:tcPr>
            <w:tcW w:w="1550" w:type="dxa"/>
            <w:tcBorders>
              <w:top w:val="single" w:sz="8" w:space="0" w:color="auto"/>
              <w:left w:val="nil"/>
              <w:bottom w:val="single" w:sz="8" w:space="0" w:color="auto"/>
              <w:right w:val="single" w:sz="4" w:space="0" w:color="auto"/>
            </w:tcBorders>
            <w:shd w:val="clear" w:color="auto" w:fill="auto"/>
            <w:noWrap/>
            <w:vAlign w:val="bottom"/>
            <w:hideMark/>
          </w:tcPr>
          <w:p w14:paraId="68FB3D6B" w14:textId="77777777" w:rsidR="00687021" w:rsidRPr="00687021" w:rsidRDefault="00687021" w:rsidP="00687021">
            <w:pPr>
              <w:spacing w:after="0" w:line="240" w:lineRule="auto"/>
              <w:jc w:val="right"/>
              <w:rPr>
                <w:rFonts w:ascii="Calibri" w:eastAsia="Times New Roman" w:hAnsi="Calibri" w:cs="Calibri"/>
                <w:b/>
                <w:bCs/>
                <w:lang w:eastAsia="cs-CZ"/>
              </w:rPr>
            </w:pPr>
            <w:r w:rsidRPr="00687021">
              <w:rPr>
                <w:rFonts w:ascii="Calibri" w:eastAsia="Times New Roman" w:hAnsi="Calibri" w:cs="Calibri"/>
                <w:b/>
                <w:bCs/>
                <w:lang w:eastAsia="cs-CZ"/>
              </w:rPr>
              <w:t>798 124,35</w:t>
            </w:r>
          </w:p>
        </w:tc>
        <w:tc>
          <w:tcPr>
            <w:tcW w:w="751" w:type="dxa"/>
            <w:tcBorders>
              <w:top w:val="single" w:sz="8" w:space="0" w:color="auto"/>
              <w:left w:val="nil"/>
              <w:bottom w:val="single" w:sz="8" w:space="0" w:color="auto"/>
              <w:right w:val="single" w:sz="8" w:space="0" w:color="auto"/>
            </w:tcBorders>
            <w:shd w:val="clear" w:color="auto" w:fill="auto"/>
            <w:noWrap/>
            <w:vAlign w:val="bottom"/>
            <w:hideMark/>
          </w:tcPr>
          <w:p w14:paraId="097016F4" w14:textId="77777777" w:rsidR="00687021" w:rsidRPr="00687021" w:rsidRDefault="00687021" w:rsidP="00687021">
            <w:pPr>
              <w:spacing w:after="0" w:line="240" w:lineRule="auto"/>
              <w:jc w:val="right"/>
              <w:rPr>
                <w:rFonts w:ascii="Calibri" w:eastAsia="Times New Roman" w:hAnsi="Calibri" w:cs="Calibri"/>
                <w:b/>
                <w:bCs/>
                <w:lang w:eastAsia="cs-CZ"/>
              </w:rPr>
            </w:pPr>
            <w:r w:rsidRPr="00687021">
              <w:rPr>
                <w:rFonts w:ascii="Calibri" w:eastAsia="Times New Roman" w:hAnsi="Calibri" w:cs="Calibri"/>
                <w:b/>
                <w:bCs/>
                <w:lang w:eastAsia="cs-CZ"/>
              </w:rPr>
              <w:t>31,4</w:t>
            </w:r>
          </w:p>
        </w:tc>
      </w:tr>
      <w:tr w:rsidR="00687021" w:rsidRPr="00687021" w14:paraId="4A1B376E" w14:textId="77777777" w:rsidTr="00687021">
        <w:trPr>
          <w:trHeight w:val="300"/>
        </w:trPr>
        <w:tc>
          <w:tcPr>
            <w:tcW w:w="929" w:type="dxa"/>
            <w:tcBorders>
              <w:top w:val="nil"/>
              <w:left w:val="nil"/>
              <w:bottom w:val="nil"/>
              <w:right w:val="nil"/>
            </w:tcBorders>
            <w:shd w:val="clear" w:color="auto" w:fill="auto"/>
            <w:noWrap/>
            <w:vAlign w:val="bottom"/>
            <w:hideMark/>
          </w:tcPr>
          <w:p w14:paraId="5F7F285F" w14:textId="77777777" w:rsidR="00687021" w:rsidRPr="00687021" w:rsidRDefault="00687021" w:rsidP="00687021">
            <w:pPr>
              <w:spacing w:after="0" w:line="240" w:lineRule="auto"/>
              <w:jc w:val="right"/>
              <w:rPr>
                <w:rFonts w:ascii="Calibri" w:eastAsia="Times New Roman" w:hAnsi="Calibri" w:cs="Calibri"/>
                <w:b/>
                <w:bCs/>
                <w:lang w:eastAsia="cs-CZ"/>
              </w:rPr>
            </w:pPr>
          </w:p>
        </w:tc>
        <w:tc>
          <w:tcPr>
            <w:tcW w:w="4093" w:type="dxa"/>
            <w:tcBorders>
              <w:top w:val="nil"/>
              <w:left w:val="nil"/>
              <w:bottom w:val="nil"/>
              <w:right w:val="nil"/>
            </w:tcBorders>
            <w:shd w:val="clear" w:color="auto" w:fill="auto"/>
            <w:noWrap/>
            <w:vAlign w:val="bottom"/>
            <w:hideMark/>
          </w:tcPr>
          <w:p w14:paraId="2C3CA492"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c>
          <w:tcPr>
            <w:tcW w:w="1349" w:type="dxa"/>
            <w:tcBorders>
              <w:top w:val="nil"/>
              <w:left w:val="nil"/>
              <w:bottom w:val="nil"/>
              <w:right w:val="nil"/>
            </w:tcBorders>
            <w:shd w:val="clear" w:color="auto" w:fill="auto"/>
            <w:noWrap/>
            <w:vAlign w:val="bottom"/>
            <w:hideMark/>
          </w:tcPr>
          <w:p w14:paraId="2D8249A2"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c>
          <w:tcPr>
            <w:tcW w:w="1681" w:type="dxa"/>
            <w:tcBorders>
              <w:top w:val="nil"/>
              <w:left w:val="nil"/>
              <w:bottom w:val="nil"/>
              <w:right w:val="nil"/>
            </w:tcBorders>
            <w:shd w:val="clear" w:color="auto" w:fill="auto"/>
            <w:noWrap/>
            <w:vAlign w:val="bottom"/>
            <w:hideMark/>
          </w:tcPr>
          <w:p w14:paraId="7A4FA876"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c>
          <w:tcPr>
            <w:tcW w:w="1550" w:type="dxa"/>
            <w:tcBorders>
              <w:top w:val="nil"/>
              <w:left w:val="nil"/>
              <w:bottom w:val="nil"/>
              <w:right w:val="nil"/>
            </w:tcBorders>
            <w:shd w:val="clear" w:color="auto" w:fill="auto"/>
            <w:noWrap/>
            <w:vAlign w:val="bottom"/>
            <w:hideMark/>
          </w:tcPr>
          <w:p w14:paraId="5CFEA430"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c>
          <w:tcPr>
            <w:tcW w:w="751" w:type="dxa"/>
            <w:tcBorders>
              <w:top w:val="nil"/>
              <w:left w:val="nil"/>
              <w:bottom w:val="nil"/>
              <w:right w:val="nil"/>
            </w:tcBorders>
            <w:shd w:val="clear" w:color="auto" w:fill="auto"/>
            <w:noWrap/>
            <w:vAlign w:val="bottom"/>
            <w:hideMark/>
          </w:tcPr>
          <w:p w14:paraId="2FED9FE1"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r>
      <w:tr w:rsidR="00687021" w:rsidRPr="00687021" w14:paraId="77928E9D" w14:textId="77777777" w:rsidTr="00687021">
        <w:trPr>
          <w:trHeight w:val="360"/>
        </w:trPr>
        <w:tc>
          <w:tcPr>
            <w:tcW w:w="5022" w:type="dxa"/>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12A55C0" w14:textId="77777777" w:rsidR="00687021" w:rsidRPr="00687021" w:rsidRDefault="00687021" w:rsidP="00687021">
            <w:pPr>
              <w:spacing w:after="0" w:line="240" w:lineRule="auto"/>
              <w:rPr>
                <w:rFonts w:ascii="Calibri" w:eastAsia="Times New Roman" w:hAnsi="Calibri" w:cs="Calibri"/>
                <w:b/>
                <w:bCs/>
                <w:sz w:val="24"/>
                <w:szCs w:val="24"/>
                <w:lang w:eastAsia="cs-CZ"/>
              </w:rPr>
            </w:pPr>
            <w:r w:rsidRPr="00687021">
              <w:rPr>
                <w:rFonts w:ascii="Calibri" w:eastAsia="Times New Roman" w:hAnsi="Calibri" w:cs="Calibri"/>
                <w:b/>
                <w:bCs/>
                <w:sz w:val="24"/>
                <w:szCs w:val="24"/>
                <w:lang w:eastAsia="cs-CZ"/>
              </w:rPr>
              <w:t>Celkem výdaje</w:t>
            </w:r>
          </w:p>
        </w:tc>
        <w:tc>
          <w:tcPr>
            <w:tcW w:w="1349" w:type="dxa"/>
            <w:tcBorders>
              <w:top w:val="single" w:sz="8" w:space="0" w:color="auto"/>
              <w:left w:val="nil"/>
              <w:bottom w:val="single" w:sz="8" w:space="0" w:color="auto"/>
              <w:right w:val="single" w:sz="8" w:space="0" w:color="auto"/>
            </w:tcBorders>
            <w:shd w:val="clear" w:color="auto" w:fill="auto"/>
            <w:noWrap/>
            <w:vAlign w:val="bottom"/>
            <w:hideMark/>
          </w:tcPr>
          <w:p w14:paraId="2028519C" w14:textId="77777777" w:rsidR="00687021" w:rsidRPr="00687021" w:rsidRDefault="00687021" w:rsidP="00687021">
            <w:pPr>
              <w:spacing w:after="0" w:line="240" w:lineRule="auto"/>
              <w:jc w:val="right"/>
              <w:rPr>
                <w:rFonts w:ascii="Calibri" w:eastAsia="Times New Roman" w:hAnsi="Calibri" w:cs="Calibri"/>
                <w:b/>
                <w:bCs/>
                <w:lang w:eastAsia="cs-CZ"/>
              </w:rPr>
            </w:pPr>
            <w:r w:rsidRPr="00687021">
              <w:rPr>
                <w:rFonts w:ascii="Calibri" w:eastAsia="Times New Roman" w:hAnsi="Calibri" w:cs="Calibri"/>
                <w:b/>
                <w:bCs/>
                <w:lang w:eastAsia="cs-CZ"/>
              </w:rPr>
              <w:t>0</w:t>
            </w:r>
          </w:p>
        </w:tc>
        <w:tc>
          <w:tcPr>
            <w:tcW w:w="1681" w:type="dxa"/>
            <w:tcBorders>
              <w:top w:val="single" w:sz="8" w:space="0" w:color="auto"/>
              <w:left w:val="nil"/>
              <w:bottom w:val="single" w:sz="8" w:space="0" w:color="auto"/>
              <w:right w:val="single" w:sz="8" w:space="0" w:color="auto"/>
            </w:tcBorders>
            <w:shd w:val="clear" w:color="auto" w:fill="auto"/>
            <w:noWrap/>
            <w:vAlign w:val="bottom"/>
            <w:hideMark/>
          </w:tcPr>
          <w:p w14:paraId="45CFA39D" w14:textId="77777777" w:rsidR="00687021" w:rsidRPr="00687021" w:rsidRDefault="00687021" w:rsidP="00687021">
            <w:pPr>
              <w:spacing w:after="0" w:line="240" w:lineRule="auto"/>
              <w:jc w:val="right"/>
              <w:rPr>
                <w:rFonts w:ascii="Calibri" w:eastAsia="Times New Roman" w:hAnsi="Calibri" w:cs="Calibri"/>
                <w:b/>
                <w:bCs/>
                <w:lang w:eastAsia="cs-CZ"/>
              </w:rPr>
            </w:pPr>
            <w:r w:rsidRPr="00687021">
              <w:rPr>
                <w:rFonts w:ascii="Calibri" w:eastAsia="Times New Roman" w:hAnsi="Calibri" w:cs="Calibri"/>
                <w:b/>
                <w:bCs/>
                <w:lang w:eastAsia="cs-CZ"/>
              </w:rPr>
              <w:t>2 591 517,15</w:t>
            </w:r>
          </w:p>
        </w:tc>
        <w:tc>
          <w:tcPr>
            <w:tcW w:w="1550" w:type="dxa"/>
            <w:tcBorders>
              <w:top w:val="single" w:sz="8" w:space="0" w:color="auto"/>
              <w:left w:val="nil"/>
              <w:bottom w:val="single" w:sz="8" w:space="0" w:color="auto"/>
              <w:right w:val="single" w:sz="8" w:space="0" w:color="auto"/>
            </w:tcBorders>
            <w:shd w:val="clear" w:color="auto" w:fill="auto"/>
            <w:noWrap/>
            <w:vAlign w:val="bottom"/>
            <w:hideMark/>
          </w:tcPr>
          <w:p w14:paraId="49C4A4FD" w14:textId="77777777" w:rsidR="00687021" w:rsidRPr="00687021" w:rsidRDefault="00687021" w:rsidP="00687021">
            <w:pPr>
              <w:spacing w:after="0" w:line="240" w:lineRule="auto"/>
              <w:jc w:val="right"/>
              <w:rPr>
                <w:rFonts w:ascii="Calibri" w:eastAsia="Times New Roman" w:hAnsi="Calibri" w:cs="Calibri"/>
                <w:b/>
                <w:bCs/>
                <w:lang w:eastAsia="cs-CZ"/>
              </w:rPr>
            </w:pPr>
            <w:r w:rsidRPr="00687021">
              <w:rPr>
                <w:rFonts w:ascii="Calibri" w:eastAsia="Times New Roman" w:hAnsi="Calibri" w:cs="Calibri"/>
                <w:b/>
                <w:bCs/>
                <w:lang w:eastAsia="cs-CZ"/>
              </w:rPr>
              <w:t>802 641,50</w:t>
            </w:r>
          </w:p>
        </w:tc>
        <w:tc>
          <w:tcPr>
            <w:tcW w:w="751" w:type="dxa"/>
            <w:tcBorders>
              <w:top w:val="single" w:sz="8" w:space="0" w:color="auto"/>
              <w:left w:val="nil"/>
              <w:bottom w:val="single" w:sz="8" w:space="0" w:color="auto"/>
              <w:right w:val="single" w:sz="8" w:space="0" w:color="auto"/>
            </w:tcBorders>
            <w:shd w:val="clear" w:color="auto" w:fill="auto"/>
            <w:noWrap/>
            <w:vAlign w:val="bottom"/>
            <w:hideMark/>
          </w:tcPr>
          <w:p w14:paraId="17FA476B" w14:textId="77777777" w:rsidR="00687021" w:rsidRPr="00687021" w:rsidRDefault="00687021" w:rsidP="00687021">
            <w:pPr>
              <w:spacing w:after="0" w:line="240" w:lineRule="auto"/>
              <w:jc w:val="right"/>
              <w:rPr>
                <w:rFonts w:ascii="Calibri" w:eastAsia="Times New Roman" w:hAnsi="Calibri" w:cs="Calibri"/>
                <w:b/>
                <w:bCs/>
                <w:lang w:eastAsia="cs-CZ"/>
              </w:rPr>
            </w:pPr>
            <w:r w:rsidRPr="00687021">
              <w:rPr>
                <w:rFonts w:ascii="Calibri" w:eastAsia="Times New Roman" w:hAnsi="Calibri" w:cs="Calibri"/>
                <w:b/>
                <w:bCs/>
                <w:lang w:eastAsia="cs-CZ"/>
              </w:rPr>
              <w:t>31,0</w:t>
            </w:r>
          </w:p>
        </w:tc>
      </w:tr>
    </w:tbl>
    <w:p w14:paraId="1EE8AA17" w14:textId="4C760675" w:rsidR="00D158B8" w:rsidRDefault="00D158B8" w:rsidP="0013179B">
      <w:pPr>
        <w:rPr>
          <w:rFonts w:cs="Calibri"/>
        </w:rPr>
      </w:pPr>
    </w:p>
    <w:p w14:paraId="563BB382" w14:textId="5237D099" w:rsidR="00687021" w:rsidRDefault="00687021" w:rsidP="0013179B">
      <w:pPr>
        <w:rPr>
          <w:rFonts w:cs="Calibri"/>
        </w:rPr>
      </w:pPr>
    </w:p>
    <w:p w14:paraId="424A6B0D" w14:textId="3BF9BA06" w:rsidR="00E363C7" w:rsidRDefault="00E363C7" w:rsidP="0013179B">
      <w:pPr>
        <w:rPr>
          <w:rFonts w:cs="Calibri"/>
        </w:rPr>
      </w:pPr>
    </w:p>
    <w:p w14:paraId="76624C05" w14:textId="340B65D6" w:rsidR="00E363C7" w:rsidRDefault="00E363C7" w:rsidP="0013179B">
      <w:pPr>
        <w:rPr>
          <w:rFonts w:cs="Calibri"/>
        </w:rPr>
      </w:pPr>
    </w:p>
    <w:p w14:paraId="344E8CB3" w14:textId="44786D38" w:rsidR="00E363C7" w:rsidRDefault="00E363C7" w:rsidP="0013179B">
      <w:pPr>
        <w:rPr>
          <w:rFonts w:cs="Calibri"/>
        </w:rPr>
      </w:pPr>
    </w:p>
    <w:p w14:paraId="5B02CE0A" w14:textId="15A74787" w:rsidR="00E363C7" w:rsidRDefault="00E363C7" w:rsidP="0013179B">
      <w:pPr>
        <w:rPr>
          <w:rFonts w:cs="Calibri"/>
        </w:rPr>
      </w:pPr>
    </w:p>
    <w:p w14:paraId="4D6FBD1D" w14:textId="52B6EEC8" w:rsidR="00E363C7" w:rsidRDefault="00E363C7" w:rsidP="0013179B">
      <w:pPr>
        <w:rPr>
          <w:rFonts w:cs="Calibri"/>
        </w:rPr>
      </w:pPr>
    </w:p>
    <w:p w14:paraId="4EF3420D" w14:textId="6539CCEE" w:rsidR="00E363C7" w:rsidRDefault="00E363C7" w:rsidP="0013179B">
      <w:pPr>
        <w:rPr>
          <w:rFonts w:cs="Calibri"/>
        </w:rPr>
      </w:pPr>
    </w:p>
    <w:p w14:paraId="7577A8FD" w14:textId="0A9AECA5" w:rsidR="00E363C7" w:rsidRDefault="00E363C7" w:rsidP="0013179B">
      <w:pPr>
        <w:rPr>
          <w:rFonts w:cs="Calibri"/>
        </w:rPr>
      </w:pPr>
    </w:p>
    <w:p w14:paraId="74753DCB" w14:textId="50D09C5E" w:rsidR="00E363C7" w:rsidRDefault="00E363C7" w:rsidP="0013179B">
      <w:pPr>
        <w:rPr>
          <w:rFonts w:cs="Calibri"/>
        </w:rPr>
      </w:pPr>
    </w:p>
    <w:p w14:paraId="6E0B934B" w14:textId="4D1E9995" w:rsidR="00E363C7" w:rsidRDefault="00E363C7" w:rsidP="0013179B">
      <w:pPr>
        <w:rPr>
          <w:rFonts w:cs="Calibri"/>
        </w:rPr>
      </w:pPr>
    </w:p>
    <w:p w14:paraId="29F6D45A" w14:textId="7D3D57C2" w:rsidR="00E363C7" w:rsidRDefault="00E363C7" w:rsidP="0013179B">
      <w:pPr>
        <w:rPr>
          <w:rFonts w:cs="Calibri"/>
        </w:rPr>
      </w:pPr>
    </w:p>
    <w:p w14:paraId="355CB03A" w14:textId="3FE17990" w:rsidR="00E363C7" w:rsidRDefault="00E363C7" w:rsidP="0013179B">
      <w:pPr>
        <w:rPr>
          <w:rFonts w:cs="Calibri"/>
        </w:rPr>
      </w:pPr>
    </w:p>
    <w:p w14:paraId="480150A5" w14:textId="757FA0C8" w:rsidR="00E363C7" w:rsidRDefault="00E363C7" w:rsidP="0013179B">
      <w:pPr>
        <w:rPr>
          <w:rFonts w:cs="Calibri"/>
        </w:rPr>
      </w:pPr>
    </w:p>
    <w:p w14:paraId="3C480680" w14:textId="322E416E" w:rsidR="00E363C7" w:rsidRDefault="00E363C7" w:rsidP="0013179B">
      <w:pPr>
        <w:rPr>
          <w:rFonts w:cs="Calibri"/>
        </w:rPr>
      </w:pPr>
    </w:p>
    <w:p w14:paraId="3390E623" w14:textId="58D9AA00" w:rsidR="00E363C7" w:rsidRDefault="00E363C7" w:rsidP="0013179B">
      <w:pPr>
        <w:rPr>
          <w:rFonts w:cs="Calibri"/>
        </w:rPr>
      </w:pPr>
    </w:p>
    <w:p w14:paraId="315BA14F" w14:textId="23482F57" w:rsidR="00E363C7" w:rsidRDefault="00E363C7" w:rsidP="0013179B">
      <w:pPr>
        <w:rPr>
          <w:rFonts w:cs="Calibri"/>
        </w:rPr>
      </w:pPr>
    </w:p>
    <w:p w14:paraId="234CD5B4" w14:textId="77777777" w:rsidR="00E363C7" w:rsidRDefault="00E363C7" w:rsidP="0013179B">
      <w:pPr>
        <w:rPr>
          <w:rFonts w:cs="Calibri"/>
        </w:rPr>
      </w:pPr>
    </w:p>
    <w:p w14:paraId="7FFA413E" w14:textId="55AF1D9A" w:rsidR="004F7242" w:rsidRPr="00E363C7" w:rsidRDefault="004F7242" w:rsidP="004F7242">
      <w:pPr>
        <w:jc w:val="both"/>
        <w:rPr>
          <w:rFonts w:ascii="Calibri" w:hAnsi="Calibri" w:cs="Calibri"/>
        </w:rPr>
      </w:pPr>
      <w:r w:rsidRPr="00851699">
        <w:rPr>
          <w:rFonts w:ascii="Calibri" w:hAnsi="Calibri" w:cs="Calibri"/>
          <w:b/>
          <w:sz w:val="28"/>
          <w:szCs w:val="28"/>
          <w:u w:val="single"/>
        </w:rPr>
        <w:t>Kapitola 16 – Správní agendy</w:t>
      </w:r>
      <w:r w:rsidRPr="00851699">
        <w:rPr>
          <w:rFonts w:ascii="Calibri" w:hAnsi="Calibri" w:cs="Calibri"/>
        </w:rPr>
        <w:tab/>
      </w:r>
    </w:p>
    <w:p w14:paraId="0A7E88FA" w14:textId="3A0F742A" w:rsidR="004F7242" w:rsidRPr="00382991" w:rsidRDefault="004F7242" w:rsidP="004F7242">
      <w:pPr>
        <w:jc w:val="both"/>
        <w:rPr>
          <w:rFonts w:ascii="Calibri" w:hAnsi="Calibri" w:cs="Calibri"/>
          <w:sz w:val="24"/>
          <w:szCs w:val="24"/>
        </w:rPr>
      </w:pPr>
      <w:r w:rsidRPr="00382991">
        <w:rPr>
          <w:rFonts w:ascii="Calibri" w:hAnsi="Calibri" w:cs="Calibri"/>
          <w:b/>
          <w:sz w:val="24"/>
          <w:szCs w:val="24"/>
          <w:u w:val="single"/>
        </w:rPr>
        <w:t>Běžné výdaje</w:t>
      </w:r>
    </w:p>
    <w:p w14:paraId="33599418" w14:textId="77777777" w:rsidR="004F7242" w:rsidRPr="00851699" w:rsidRDefault="004F7242" w:rsidP="00E363C7">
      <w:pPr>
        <w:spacing w:after="0"/>
        <w:jc w:val="both"/>
        <w:rPr>
          <w:rFonts w:ascii="Calibri" w:hAnsi="Calibri" w:cs="Calibri"/>
          <w:b/>
        </w:rPr>
      </w:pPr>
      <w:r w:rsidRPr="00851699">
        <w:rPr>
          <w:rFonts w:ascii="Calibri" w:hAnsi="Calibri" w:cs="Calibri"/>
          <w:b/>
        </w:rPr>
        <w:t xml:space="preserve">§ 6115 – Volby do zastupitelstev územních samosprávných celků </w:t>
      </w:r>
    </w:p>
    <w:p w14:paraId="0E933C2E" w14:textId="77777777" w:rsidR="004F7242" w:rsidRPr="00851699" w:rsidRDefault="004F7242" w:rsidP="00E363C7">
      <w:pPr>
        <w:spacing w:after="0"/>
        <w:jc w:val="both"/>
        <w:rPr>
          <w:rFonts w:ascii="Calibri" w:hAnsi="Calibri" w:cs="Calibri"/>
        </w:rPr>
      </w:pPr>
      <w:r w:rsidRPr="00851699">
        <w:rPr>
          <w:rFonts w:ascii="Calibri" w:hAnsi="Calibri" w:cs="Calibri"/>
        </w:rPr>
        <w:t>Prostředky jsou rozpočtovány na pokrytí výdajů, které Krajskému úřadu Středočeského kraje vzniknou v souvislosti s konáním voleb do zastupitelstev obcí nad rámec dotace Ministerstva financí ČR.</w:t>
      </w:r>
    </w:p>
    <w:p w14:paraId="417873EC" w14:textId="77777777" w:rsidR="004F7242" w:rsidRDefault="004F7242" w:rsidP="00E363C7">
      <w:pPr>
        <w:tabs>
          <w:tab w:val="left" w:pos="2552"/>
          <w:tab w:val="left" w:pos="5670"/>
        </w:tabs>
        <w:spacing w:after="0"/>
        <w:jc w:val="both"/>
        <w:rPr>
          <w:rFonts w:ascii="Calibri" w:hAnsi="Calibri" w:cs="Calibri"/>
        </w:rPr>
      </w:pPr>
      <w:r w:rsidRPr="004D31DF">
        <w:rPr>
          <w:rFonts w:ascii="Calibri" w:hAnsi="Calibri" w:cs="Calibri"/>
        </w:rPr>
        <w:t>V </w:t>
      </w:r>
      <w:r>
        <w:rPr>
          <w:rFonts w:ascii="Calibri" w:hAnsi="Calibri" w:cs="Calibri"/>
        </w:rPr>
        <w:t>roce</w:t>
      </w:r>
      <w:r w:rsidRPr="004D31DF">
        <w:rPr>
          <w:rFonts w:ascii="Calibri" w:hAnsi="Calibri" w:cs="Calibri"/>
        </w:rPr>
        <w:t xml:space="preserve"> 202</w:t>
      </w:r>
      <w:r>
        <w:rPr>
          <w:rFonts w:ascii="Calibri" w:hAnsi="Calibri" w:cs="Calibri"/>
        </w:rPr>
        <w:t>2</w:t>
      </w:r>
      <w:r w:rsidRPr="004D31DF">
        <w:rPr>
          <w:rFonts w:ascii="Calibri" w:hAnsi="Calibri" w:cs="Calibri"/>
        </w:rPr>
        <w:t xml:space="preserve"> byla čerpána částka </w:t>
      </w:r>
      <w:r>
        <w:rPr>
          <w:rFonts w:ascii="Calibri" w:hAnsi="Calibri" w:cs="Calibri"/>
        </w:rPr>
        <w:t>4 517,15</w:t>
      </w:r>
      <w:r w:rsidRPr="004D31DF">
        <w:rPr>
          <w:rFonts w:ascii="Calibri" w:hAnsi="Calibri" w:cs="Calibri"/>
        </w:rPr>
        <w:t xml:space="preserve"> Kč. Prostředky byly do kapitoly převedeny v souladu s rozpočtovými pravidly Středočeského kraje z kapitoly 23 – Ostatní, prostředků na očekávané výdaje, </w:t>
      </w:r>
      <w:r>
        <w:rPr>
          <w:rFonts w:ascii="Calibri" w:hAnsi="Calibri" w:cs="Calibri"/>
        </w:rPr>
        <w:t>a to ve výši:</w:t>
      </w:r>
    </w:p>
    <w:p w14:paraId="4503FBF3" w14:textId="77777777" w:rsidR="004F7242" w:rsidRDefault="004F7242" w:rsidP="00E363C7">
      <w:pPr>
        <w:tabs>
          <w:tab w:val="left" w:pos="2552"/>
          <w:tab w:val="left" w:pos="5670"/>
        </w:tabs>
        <w:spacing w:after="0"/>
        <w:jc w:val="both"/>
        <w:rPr>
          <w:rFonts w:ascii="Calibri" w:hAnsi="Calibri" w:cs="Calibri"/>
        </w:rPr>
      </w:pPr>
      <w:r>
        <w:rPr>
          <w:rFonts w:ascii="Calibri" w:hAnsi="Calibri" w:cs="Calibri"/>
        </w:rPr>
        <w:t>3 939,70 Kč na základě rozpočtové úpravy č. 188/16/2021 v souvislosti se zajištěním nových voleb do zastupitelstev obcí Hořešovičky, Petrovice I a Třeboc konaných dne 20. 03. 2021;</w:t>
      </w:r>
    </w:p>
    <w:p w14:paraId="44E5839A" w14:textId="77777777" w:rsidR="004F7242" w:rsidRDefault="004F7242" w:rsidP="00E363C7">
      <w:pPr>
        <w:tabs>
          <w:tab w:val="left" w:pos="2552"/>
          <w:tab w:val="left" w:pos="5670"/>
        </w:tabs>
        <w:spacing w:after="0"/>
        <w:jc w:val="both"/>
        <w:rPr>
          <w:rFonts w:ascii="Calibri" w:hAnsi="Calibri" w:cs="Calibri"/>
        </w:rPr>
      </w:pPr>
      <w:r>
        <w:rPr>
          <w:rFonts w:ascii="Calibri" w:hAnsi="Calibri" w:cs="Calibri"/>
        </w:rPr>
        <w:t>426,45 Kč na základě rozpočtové úpravy č. 388/16/2021 v souvislosti se zajištěním nových voleb do zastupitelstva obce Lužce konaných dne 19. 06. 2021;</w:t>
      </w:r>
    </w:p>
    <w:p w14:paraId="33F67B1F" w14:textId="77777777" w:rsidR="004F7242" w:rsidRDefault="004F7242" w:rsidP="00E363C7">
      <w:pPr>
        <w:tabs>
          <w:tab w:val="left" w:pos="2552"/>
          <w:tab w:val="left" w:pos="5670"/>
        </w:tabs>
        <w:spacing w:after="0"/>
        <w:jc w:val="both"/>
        <w:rPr>
          <w:rFonts w:ascii="Calibri" w:hAnsi="Calibri" w:cs="Calibri"/>
        </w:rPr>
      </w:pPr>
      <w:r>
        <w:rPr>
          <w:rFonts w:ascii="Calibri" w:hAnsi="Calibri" w:cs="Calibri"/>
        </w:rPr>
        <w:t>151,00 Kč na základě rozpočtové úpravy č. 574/16/2021 v souvislosti se zajištěním nových voleb do zastupitelstev obcí Kobylnice, Petrovice I, Kolešov, Mohelnice nad Jizerou a Pletený Újezd konaných dne 18. 09. 2021.</w:t>
      </w:r>
    </w:p>
    <w:p w14:paraId="11DE1561" w14:textId="77777777" w:rsidR="004F7242" w:rsidRPr="004D31DF" w:rsidRDefault="004F7242" w:rsidP="00E363C7">
      <w:pPr>
        <w:tabs>
          <w:tab w:val="left" w:pos="2552"/>
          <w:tab w:val="left" w:pos="5670"/>
        </w:tabs>
        <w:spacing w:after="0"/>
        <w:jc w:val="both"/>
        <w:rPr>
          <w:rFonts w:ascii="Calibri" w:hAnsi="Calibri" w:cs="Calibri"/>
        </w:rPr>
      </w:pPr>
      <w:r w:rsidRPr="004D31DF">
        <w:rPr>
          <w:rFonts w:ascii="Calibri" w:hAnsi="Calibri" w:cs="Calibri"/>
        </w:rPr>
        <w:t>Finanční prostředky budou nárokovány v rámci finančního vypořádání dotací se státním rozpočtem za rok 2021.</w:t>
      </w:r>
    </w:p>
    <w:p w14:paraId="0FE6D7CC" w14:textId="77777777" w:rsidR="004F7242" w:rsidRPr="004D31DF" w:rsidRDefault="004F7242" w:rsidP="00E363C7">
      <w:pPr>
        <w:spacing w:after="0"/>
        <w:jc w:val="both"/>
        <w:rPr>
          <w:rFonts w:ascii="Calibri" w:hAnsi="Calibri" w:cs="Calibri"/>
        </w:rPr>
      </w:pPr>
      <w:r w:rsidRPr="004D31DF">
        <w:rPr>
          <w:rFonts w:ascii="Calibri" w:hAnsi="Calibri" w:cs="Calibri"/>
        </w:rPr>
        <w:t>Prostředky byly čerpány ve výši 100,0 % upraveného rozpočtu.</w:t>
      </w:r>
    </w:p>
    <w:p w14:paraId="25F1715F" w14:textId="77777777" w:rsidR="004F7242" w:rsidRPr="004D31DF" w:rsidRDefault="004F7242" w:rsidP="00E363C7">
      <w:pPr>
        <w:spacing w:after="0"/>
        <w:jc w:val="both"/>
        <w:rPr>
          <w:rFonts w:ascii="Calibri" w:hAnsi="Calibri" w:cs="Calibri"/>
          <w:b/>
        </w:rPr>
      </w:pPr>
    </w:p>
    <w:p w14:paraId="3A970F32" w14:textId="77777777" w:rsidR="004F7242" w:rsidRPr="004D31DF" w:rsidRDefault="004F7242" w:rsidP="00E363C7">
      <w:pPr>
        <w:spacing w:after="0"/>
        <w:jc w:val="both"/>
        <w:rPr>
          <w:rFonts w:ascii="Calibri" w:hAnsi="Calibri" w:cs="Calibri"/>
          <w:b/>
        </w:rPr>
      </w:pPr>
      <w:r w:rsidRPr="004D31DF">
        <w:rPr>
          <w:rFonts w:ascii="Calibri" w:hAnsi="Calibri" w:cs="Calibri"/>
          <w:b/>
        </w:rPr>
        <w:t xml:space="preserve">§ 6172 – Činnost regionální správy </w:t>
      </w:r>
    </w:p>
    <w:p w14:paraId="3C9E1DF7" w14:textId="77777777" w:rsidR="00C47540" w:rsidRDefault="004F7242" w:rsidP="00E363C7">
      <w:pPr>
        <w:spacing w:after="0"/>
        <w:jc w:val="both"/>
        <w:rPr>
          <w:rFonts w:ascii="Calibri" w:hAnsi="Calibri" w:cs="Calibri"/>
        </w:rPr>
      </w:pPr>
      <w:r w:rsidRPr="004D31DF">
        <w:rPr>
          <w:rFonts w:ascii="Calibri" w:hAnsi="Calibri" w:cs="Calibri"/>
        </w:rPr>
        <w:t>Prostředky ve výši 42 000,- Kč jsou rozpočtovány na pokuty včetně uložených nákladů řízení – žaloba proti rozhodnutí odvolacího orgánu, o žalobě nebylo rozhodnuto (připsáno na účet Středočeského kraje v roce 2016 a 2017). Do rozpočtu byly zapojeny na základě usnesení č.</w:t>
      </w:r>
      <w:r>
        <w:rPr>
          <w:rFonts w:ascii="Calibri" w:hAnsi="Calibri" w:cs="Calibri"/>
        </w:rPr>
        <w:t> </w:t>
      </w:r>
      <w:r w:rsidRPr="004D31DF">
        <w:rPr>
          <w:rFonts w:ascii="Calibri" w:hAnsi="Calibri" w:cs="Calibri"/>
        </w:rPr>
        <w:t>007-06/2021/ZK ze dne 26.</w:t>
      </w:r>
      <w:r>
        <w:rPr>
          <w:rFonts w:ascii="Calibri" w:hAnsi="Calibri" w:cs="Calibri"/>
        </w:rPr>
        <w:t> 0</w:t>
      </w:r>
      <w:r w:rsidRPr="004D31DF">
        <w:rPr>
          <w:rFonts w:ascii="Calibri" w:hAnsi="Calibri" w:cs="Calibri"/>
        </w:rPr>
        <w:t>4.</w:t>
      </w:r>
      <w:r>
        <w:rPr>
          <w:rFonts w:ascii="Calibri" w:hAnsi="Calibri" w:cs="Calibri"/>
        </w:rPr>
        <w:t> </w:t>
      </w:r>
      <w:r w:rsidRPr="004D31DF">
        <w:rPr>
          <w:rFonts w:ascii="Calibri" w:hAnsi="Calibri" w:cs="Calibri"/>
        </w:rPr>
        <w:t>2021 (rozdělení zůstatku hospodaření Středočeského kraje z roku 2020)</w:t>
      </w:r>
      <w:r>
        <w:rPr>
          <w:rFonts w:ascii="Calibri" w:hAnsi="Calibri" w:cs="Calibri"/>
        </w:rPr>
        <w:t>.</w:t>
      </w:r>
      <w:r w:rsidR="00C47540">
        <w:rPr>
          <w:rFonts w:ascii="Calibri" w:hAnsi="Calibri" w:cs="Calibri"/>
        </w:rPr>
        <w:t xml:space="preserve"> </w:t>
      </w:r>
    </w:p>
    <w:p w14:paraId="2DC17BF3" w14:textId="6001B588" w:rsidR="004F7242" w:rsidRPr="00C47540" w:rsidRDefault="004F7242" w:rsidP="00E363C7">
      <w:pPr>
        <w:spacing w:after="0"/>
        <w:jc w:val="both"/>
        <w:rPr>
          <w:rFonts w:ascii="Calibri" w:hAnsi="Calibri" w:cs="Calibri"/>
        </w:rPr>
      </w:pPr>
      <w:r w:rsidRPr="004D31DF">
        <w:rPr>
          <w:rFonts w:ascii="Calibri" w:hAnsi="Calibri" w:cs="Calibri"/>
        </w:rPr>
        <w:t>V </w:t>
      </w:r>
      <w:r>
        <w:rPr>
          <w:rFonts w:ascii="Calibri" w:hAnsi="Calibri" w:cs="Calibri"/>
        </w:rPr>
        <w:t>r</w:t>
      </w:r>
      <w:r w:rsidRPr="004D31DF">
        <w:rPr>
          <w:rFonts w:ascii="Calibri" w:hAnsi="Calibri" w:cs="Calibri"/>
        </w:rPr>
        <w:t>o</w:t>
      </w:r>
      <w:r>
        <w:rPr>
          <w:rFonts w:ascii="Calibri" w:hAnsi="Calibri" w:cs="Calibri"/>
        </w:rPr>
        <w:t>ce</w:t>
      </w:r>
      <w:r w:rsidRPr="004D31DF">
        <w:rPr>
          <w:rFonts w:ascii="Calibri" w:hAnsi="Calibri" w:cs="Calibri"/>
        </w:rPr>
        <w:t xml:space="preserve"> 2021 nebyly prostředky čerpány.</w:t>
      </w:r>
    </w:p>
    <w:p w14:paraId="72BCF5D0" w14:textId="77777777" w:rsidR="004F7242" w:rsidRPr="004D31DF" w:rsidRDefault="004F7242" w:rsidP="00E363C7">
      <w:pPr>
        <w:spacing w:after="0"/>
        <w:jc w:val="both"/>
        <w:rPr>
          <w:rFonts w:ascii="Calibri" w:hAnsi="Calibri" w:cs="Calibri"/>
          <w:b/>
          <w:sz w:val="28"/>
          <w:szCs w:val="28"/>
          <w:u w:val="single"/>
        </w:rPr>
      </w:pPr>
    </w:p>
    <w:p w14:paraId="562F12EA" w14:textId="77777777" w:rsidR="004F7242" w:rsidRPr="004D31DF" w:rsidRDefault="004F7242" w:rsidP="00E363C7">
      <w:pPr>
        <w:spacing w:after="0"/>
        <w:jc w:val="both"/>
        <w:rPr>
          <w:rFonts w:ascii="Calibri" w:hAnsi="Calibri" w:cs="Calibri"/>
          <w:b/>
          <w:sz w:val="28"/>
          <w:szCs w:val="28"/>
          <w:u w:val="single"/>
        </w:rPr>
      </w:pPr>
    </w:p>
    <w:p w14:paraId="66F579A4" w14:textId="77777777" w:rsidR="004F7242" w:rsidRPr="00382991" w:rsidRDefault="004F7242" w:rsidP="00E363C7">
      <w:pPr>
        <w:spacing w:after="0"/>
        <w:jc w:val="both"/>
        <w:rPr>
          <w:rFonts w:ascii="Calibri" w:hAnsi="Calibri" w:cs="Calibri"/>
          <w:sz w:val="24"/>
          <w:szCs w:val="24"/>
        </w:rPr>
      </w:pPr>
      <w:r w:rsidRPr="00382991">
        <w:rPr>
          <w:rFonts w:ascii="Calibri" w:hAnsi="Calibri" w:cs="Calibri"/>
          <w:b/>
          <w:sz w:val="24"/>
          <w:szCs w:val="24"/>
          <w:u w:val="single"/>
        </w:rPr>
        <w:t>Dotace ze státního rozpočtu a ostatních veřejných rozpočtů</w:t>
      </w:r>
      <w:r w:rsidRPr="00382991">
        <w:rPr>
          <w:rFonts w:ascii="Calibri" w:hAnsi="Calibri" w:cs="Calibri"/>
          <w:sz w:val="24"/>
          <w:szCs w:val="24"/>
        </w:rPr>
        <w:tab/>
      </w:r>
    </w:p>
    <w:p w14:paraId="72487239" w14:textId="77777777" w:rsidR="004F7242" w:rsidRPr="004D31DF" w:rsidRDefault="004F7242" w:rsidP="00E363C7">
      <w:pPr>
        <w:spacing w:after="0"/>
        <w:jc w:val="both"/>
        <w:rPr>
          <w:rFonts w:ascii="Calibri" w:hAnsi="Calibri" w:cs="Calibri"/>
        </w:rPr>
      </w:pPr>
    </w:p>
    <w:p w14:paraId="6052F941" w14:textId="36705B3A" w:rsidR="004F7242" w:rsidRPr="004D31DF" w:rsidRDefault="004F7242" w:rsidP="00E363C7">
      <w:pPr>
        <w:spacing w:after="0"/>
        <w:jc w:val="both"/>
        <w:rPr>
          <w:rFonts w:ascii="Calibri" w:hAnsi="Calibri" w:cs="Calibri"/>
          <w:b/>
        </w:rPr>
      </w:pPr>
      <w:r>
        <w:rPr>
          <w:rFonts w:ascii="Calibri" w:hAnsi="Calibri" w:cs="Calibri"/>
          <w:b/>
        </w:rPr>
        <w:t xml:space="preserve">§ 6114 – Účelové dotace na výdaje spojené s volbami do Poslanecké sněmovny Parlamentu České republiky </w:t>
      </w:r>
      <w:r w:rsidR="00C47540">
        <w:rPr>
          <w:rFonts w:ascii="Calibri" w:hAnsi="Calibri" w:cs="Calibri"/>
          <w:b/>
        </w:rPr>
        <w:t>(</w:t>
      </w:r>
      <w:r w:rsidRPr="004D31DF">
        <w:rPr>
          <w:rFonts w:ascii="Calibri" w:hAnsi="Calibri" w:cs="Calibri"/>
          <w:b/>
        </w:rPr>
        <w:t>UZ 9807</w:t>
      </w:r>
      <w:r>
        <w:rPr>
          <w:rFonts w:ascii="Calibri" w:hAnsi="Calibri" w:cs="Calibri"/>
          <w:b/>
        </w:rPr>
        <w:t>1</w:t>
      </w:r>
      <w:r w:rsidR="00C47540">
        <w:rPr>
          <w:rFonts w:ascii="Calibri" w:hAnsi="Calibri" w:cs="Calibri"/>
          <w:b/>
        </w:rPr>
        <w:t>)</w:t>
      </w:r>
    </w:p>
    <w:p w14:paraId="6A3118E3" w14:textId="77777777" w:rsidR="004F7242" w:rsidRDefault="004F7242" w:rsidP="00E363C7">
      <w:pPr>
        <w:spacing w:after="0"/>
        <w:jc w:val="both"/>
        <w:rPr>
          <w:rFonts w:ascii="Calibri" w:hAnsi="Calibri" w:cs="Calibri"/>
        </w:rPr>
      </w:pPr>
      <w:r w:rsidRPr="004D31DF">
        <w:rPr>
          <w:rFonts w:ascii="Calibri" w:hAnsi="Calibri" w:cs="Calibri"/>
        </w:rPr>
        <w:t>Prostředky jsou rozpočtovány na pokrytí výdajů vzniklých Krajskému úřadu Středočeského</w:t>
      </w:r>
      <w:r w:rsidRPr="00851699">
        <w:rPr>
          <w:rFonts w:ascii="Calibri" w:hAnsi="Calibri" w:cs="Calibri"/>
        </w:rPr>
        <w:t xml:space="preserve"> kraje v souvislosti s konáním voleb do</w:t>
      </w:r>
      <w:r>
        <w:rPr>
          <w:rFonts w:ascii="Calibri" w:hAnsi="Calibri" w:cs="Calibri"/>
        </w:rPr>
        <w:t xml:space="preserve"> Poslanecké sněmovny Parlamentu České republiky konaných ve dnech 8. a 9. 10. 2021. </w:t>
      </w:r>
      <w:r w:rsidRPr="004D31DF">
        <w:rPr>
          <w:rFonts w:ascii="Calibri" w:hAnsi="Calibri" w:cs="Calibri"/>
        </w:rPr>
        <w:t xml:space="preserve">Prostředky byly čerpány ve výši </w:t>
      </w:r>
      <w:r w:rsidRPr="00625A08">
        <w:rPr>
          <w:rFonts w:ascii="Calibri" w:hAnsi="Calibri" w:cs="Calibri"/>
        </w:rPr>
        <w:t>30,1</w:t>
      </w:r>
      <w:r w:rsidRPr="004D31DF">
        <w:rPr>
          <w:rFonts w:ascii="Calibri" w:hAnsi="Calibri" w:cs="Calibri"/>
        </w:rPr>
        <w:t> % upraveného rozpočtu</w:t>
      </w:r>
      <w:r>
        <w:rPr>
          <w:rFonts w:ascii="Calibri" w:hAnsi="Calibri" w:cs="Calibri"/>
        </w:rPr>
        <w:t>.</w:t>
      </w:r>
    </w:p>
    <w:p w14:paraId="7894BA57" w14:textId="77777777" w:rsidR="004F7242" w:rsidRPr="004D31DF" w:rsidRDefault="004F7242" w:rsidP="00E363C7">
      <w:pPr>
        <w:spacing w:after="0"/>
        <w:jc w:val="both"/>
        <w:rPr>
          <w:rFonts w:ascii="Calibri" w:hAnsi="Calibri" w:cs="Calibri"/>
        </w:rPr>
      </w:pPr>
    </w:p>
    <w:p w14:paraId="7CBDA1CC" w14:textId="3BCB46F9" w:rsidR="004F7242" w:rsidRPr="004D31DF" w:rsidRDefault="004F7242" w:rsidP="00E363C7">
      <w:pPr>
        <w:spacing w:after="0"/>
        <w:jc w:val="both"/>
        <w:rPr>
          <w:rFonts w:ascii="Calibri" w:hAnsi="Calibri" w:cs="Calibri"/>
          <w:b/>
        </w:rPr>
      </w:pPr>
      <w:r>
        <w:rPr>
          <w:rFonts w:ascii="Calibri" w:hAnsi="Calibri" w:cs="Calibri"/>
          <w:b/>
        </w:rPr>
        <w:t xml:space="preserve">§ 6115 – Účelové dotace na výdaje spojené s volbami do zastupitelstev obcí </w:t>
      </w:r>
      <w:r w:rsidR="00C47540">
        <w:rPr>
          <w:rFonts w:ascii="Calibri" w:hAnsi="Calibri" w:cs="Calibri"/>
          <w:b/>
        </w:rPr>
        <w:t>(</w:t>
      </w:r>
      <w:r w:rsidRPr="004D31DF">
        <w:rPr>
          <w:rFonts w:ascii="Calibri" w:hAnsi="Calibri" w:cs="Calibri"/>
          <w:b/>
        </w:rPr>
        <w:t>UZ 98074</w:t>
      </w:r>
      <w:r w:rsidR="00C47540">
        <w:rPr>
          <w:rFonts w:ascii="Calibri" w:hAnsi="Calibri" w:cs="Calibri"/>
          <w:b/>
        </w:rPr>
        <w:t>)</w:t>
      </w:r>
    </w:p>
    <w:p w14:paraId="11F51B9A" w14:textId="18F0545D" w:rsidR="004F7242" w:rsidRPr="00851699" w:rsidRDefault="004F7242" w:rsidP="00E363C7">
      <w:pPr>
        <w:spacing w:after="0"/>
        <w:jc w:val="both"/>
        <w:rPr>
          <w:rFonts w:ascii="Calibri" w:hAnsi="Calibri" w:cs="Calibri"/>
        </w:rPr>
      </w:pPr>
      <w:r w:rsidRPr="004D31DF">
        <w:rPr>
          <w:rFonts w:ascii="Calibri" w:hAnsi="Calibri" w:cs="Calibri"/>
        </w:rPr>
        <w:t>Prostředky jsou rozpočtovány na pokrytí výdajů vzniklých Krajskému úřadu Středočeského</w:t>
      </w:r>
      <w:r w:rsidRPr="00851699">
        <w:rPr>
          <w:rFonts w:ascii="Calibri" w:hAnsi="Calibri" w:cs="Calibri"/>
        </w:rPr>
        <w:t xml:space="preserve"> kraje v souvislosti s konáním nových voleb do zastupitelstev obcí </w:t>
      </w:r>
      <w:r w:rsidRPr="00851699">
        <w:rPr>
          <w:rFonts w:ascii="Calibri" w:hAnsi="Calibri" w:cs="Calibri"/>
          <w:bCs/>
        </w:rPr>
        <w:t xml:space="preserve">Hořešovičky, Petrovice I a </w:t>
      </w:r>
      <w:r w:rsidRPr="004F7242">
        <w:rPr>
          <w:rFonts w:ascii="Calibri" w:hAnsi="Calibri" w:cs="Calibri"/>
          <w:bCs/>
        </w:rPr>
        <w:t>Třeboc</w:t>
      </w:r>
      <w:r w:rsidRPr="00851699">
        <w:rPr>
          <w:rFonts w:ascii="Calibri" w:hAnsi="Calibri" w:cs="Calibri"/>
        </w:rPr>
        <w:t>, konaných dne 20.</w:t>
      </w:r>
      <w:r>
        <w:rPr>
          <w:rFonts w:ascii="Calibri" w:hAnsi="Calibri" w:cs="Calibri"/>
        </w:rPr>
        <w:t> </w:t>
      </w:r>
      <w:r w:rsidRPr="00851699">
        <w:rPr>
          <w:rFonts w:ascii="Calibri" w:hAnsi="Calibri" w:cs="Calibri"/>
        </w:rPr>
        <w:t>03.</w:t>
      </w:r>
      <w:r>
        <w:rPr>
          <w:rFonts w:ascii="Calibri" w:hAnsi="Calibri" w:cs="Calibri"/>
        </w:rPr>
        <w:t> </w:t>
      </w:r>
      <w:r w:rsidRPr="00851699">
        <w:rPr>
          <w:rFonts w:ascii="Calibri" w:hAnsi="Calibri" w:cs="Calibri"/>
        </w:rPr>
        <w:t xml:space="preserve">2021, do zastupitelstva obce </w:t>
      </w:r>
      <w:r w:rsidRPr="00851699">
        <w:rPr>
          <w:rFonts w:ascii="Calibri" w:hAnsi="Calibri" w:cs="Calibri"/>
          <w:bCs/>
        </w:rPr>
        <w:t>Lužce,</w:t>
      </w:r>
      <w:r w:rsidRPr="00851699">
        <w:rPr>
          <w:rFonts w:ascii="Calibri" w:hAnsi="Calibri" w:cs="Calibri"/>
        </w:rPr>
        <w:t xml:space="preserve"> konaných </w:t>
      </w:r>
      <w:r>
        <w:rPr>
          <w:rFonts w:ascii="Calibri" w:hAnsi="Calibri" w:cs="Calibri"/>
        </w:rPr>
        <w:t xml:space="preserve">dne </w:t>
      </w:r>
      <w:r w:rsidRPr="00851699">
        <w:rPr>
          <w:rFonts w:ascii="Calibri" w:hAnsi="Calibri" w:cs="Calibri"/>
        </w:rPr>
        <w:t>19.</w:t>
      </w:r>
      <w:r>
        <w:rPr>
          <w:rFonts w:ascii="Calibri" w:hAnsi="Calibri" w:cs="Calibri"/>
        </w:rPr>
        <w:t> </w:t>
      </w:r>
      <w:r w:rsidRPr="00851699">
        <w:rPr>
          <w:rFonts w:ascii="Calibri" w:hAnsi="Calibri" w:cs="Calibri"/>
        </w:rPr>
        <w:t>06.</w:t>
      </w:r>
      <w:r>
        <w:rPr>
          <w:rFonts w:ascii="Calibri" w:hAnsi="Calibri" w:cs="Calibri"/>
        </w:rPr>
        <w:t> </w:t>
      </w:r>
      <w:r w:rsidRPr="00851699">
        <w:rPr>
          <w:rFonts w:ascii="Calibri" w:hAnsi="Calibri" w:cs="Calibri"/>
        </w:rPr>
        <w:t>2021</w:t>
      </w:r>
      <w:r>
        <w:rPr>
          <w:rFonts w:ascii="Calibri" w:hAnsi="Calibri" w:cs="Calibri"/>
        </w:rPr>
        <w:t xml:space="preserve"> a do zastupitelstev obcí Kobylnice, Petrovice I, Kolešov, Mohelnice nad Jizerou a Pletený Újezd konaných dne 18. 9</w:t>
      </w:r>
      <w:r w:rsidRPr="00851699">
        <w:rPr>
          <w:rFonts w:ascii="Calibri" w:hAnsi="Calibri" w:cs="Calibri"/>
        </w:rPr>
        <w:t>.</w:t>
      </w:r>
      <w:r>
        <w:rPr>
          <w:rFonts w:ascii="Calibri" w:hAnsi="Calibri" w:cs="Calibri"/>
        </w:rPr>
        <w:t> 2021.</w:t>
      </w:r>
      <w:r w:rsidRPr="00851699">
        <w:rPr>
          <w:rFonts w:ascii="Calibri" w:hAnsi="Calibri" w:cs="Calibri"/>
        </w:rPr>
        <w:t xml:space="preserve"> </w:t>
      </w:r>
    </w:p>
    <w:p w14:paraId="0330AC9B" w14:textId="77777777" w:rsidR="004F7242" w:rsidRDefault="004F7242" w:rsidP="00E363C7">
      <w:pPr>
        <w:spacing w:after="0"/>
        <w:jc w:val="both"/>
        <w:rPr>
          <w:rFonts w:ascii="Calibri" w:hAnsi="Calibri" w:cs="Calibri"/>
        </w:rPr>
      </w:pPr>
      <w:r w:rsidRPr="004D31DF">
        <w:rPr>
          <w:rFonts w:ascii="Calibri" w:hAnsi="Calibri" w:cs="Calibri"/>
        </w:rPr>
        <w:t xml:space="preserve">Prostředky byly čerpány ve výši </w:t>
      </w:r>
      <w:r>
        <w:rPr>
          <w:rFonts w:ascii="Calibri" w:hAnsi="Calibri" w:cs="Calibri"/>
        </w:rPr>
        <w:t>100</w:t>
      </w:r>
      <w:r w:rsidRPr="004D31DF">
        <w:rPr>
          <w:rFonts w:ascii="Calibri" w:hAnsi="Calibri" w:cs="Calibri"/>
        </w:rPr>
        <w:t>,0 % upraveného rozpočtu.</w:t>
      </w:r>
    </w:p>
    <w:p w14:paraId="7D5A589F" w14:textId="77777777" w:rsidR="004F7242" w:rsidRDefault="004F7242" w:rsidP="00E363C7">
      <w:pPr>
        <w:spacing w:after="0"/>
        <w:jc w:val="both"/>
        <w:rPr>
          <w:rFonts w:ascii="Calibri" w:hAnsi="Calibri" w:cs="Calibri"/>
        </w:rPr>
      </w:pPr>
    </w:p>
    <w:p w14:paraId="0E06D350" w14:textId="77777777" w:rsidR="004F7242" w:rsidRDefault="004F7242" w:rsidP="00E363C7">
      <w:pPr>
        <w:spacing w:after="0"/>
        <w:jc w:val="both"/>
        <w:rPr>
          <w:rFonts w:ascii="Calibri" w:hAnsi="Calibri" w:cs="Calibri"/>
          <w:sz w:val="18"/>
          <w:szCs w:val="18"/>
        </w:rPr>
      </w:pPr>
    </w:p>
    <w:p w14:paraId="36E55EBB" w14:textId="77777777" w:rsidR="004F7242" w:rsidRDefault="004F7242" w:rsidP="00E363C7">
      <w:pPr>
        <w:spacing w:after="0"/>
        <w:jc w:val="both"/>
        <w:rPr>
          <w:rFonts w:ascii="Calibri" w:hAnsi="Calibri" w:cs="Calibri"/>
          <w:sz w:val="18"/>
          <w:szCs w:val="18"/>
        </w:rPr>
      </w:pPr>
    </w:p>
    <w:p w14:paraId="18700E64" w14:textId="77777777" w:rsidR="004F7242" w:rsidRPr="00851699" w:rsidRDefault="004F7242" w:rsidP="00E363C7">
      <w:pPr>
        <w:spacing w:after="0"/>
        <w:jc w:val="both"/>
        <w:rPr>
          <w:rFonts w:ascii="Calibri" w:hAnsi="Calibri" w:cs="Calibri"/>
          <w:sz w:val="18"/>
          <w:szCs w:val="18"/>
        </w:rPr>
      </w:pPr>
    </w:p>
    <w:p w14:paraId="1DE4DFBB" w14:textId="77777777" w:rsidR="004F7242" w:rsidRPr="00851699" w:rsidRDefault="004F7242" w:rsidP="00E363C7">
      <w:pPr>
        <w:spacing w:after="0"/>
        <w:jc w:val="both"/>
        <w:rPr>
          <w:rFonts w:ascii="Calibri" w:hAnsi="Calibri" w:cs="Calibri"/>
          <w:b/>
        </w:rPr>
      </w:pPr>
    </w:p>
    <w:p w14:paraId="662E3478" w14:textId="238E1189" w:rsidR="00687021" w:rsidRDefault="00687021" w:rsidP="0013179B">
      <w:pPr>
        <w:rPr>
          <w:rFonts w:cs="Calibri"/>
        </w:rPr>
      </w:pPr>
    </w:p>
    <w:p w14:paraId="1C437908" w14:textId="6386ED96" w:rsidR="004F7242" w:rsidRDefault="004F7242" w:rsidP="0013179B">
      <w:pPr>
        <w:rPr>
          <w:rFonts w:cs="Calibri"/>
        </w:rPr>
      </w:pPr>
    </w:p>
    <w:p w14:paraId="3008DD54" w14:textId="5F1FA220" w:rsidR="00687021" w:rsidRDefault="00687021" w:rsidP="0013179B">
      <w:pPr>
        <w:rPr>
          <w:rFonts w:cs="Calibri"/>
        </w:rPr>
      </w:pPr>
    </w:p>
    <w:tbl>
      <w:tblPr>
        <w:tblW w:w="10787" w:type="dxa"/>
        <w:tblCellMar>
          <w:left w:w="70" w:type="dxa"/>
          <w:right w:w="70" w:type="dxa"/>
        </w:tblCellMar>
        <w:tblLook w:val="04A0" w:firstRow="1" w:lastRow="0" w:firstColumn="1" w:lastColumn="0" w:noHBand="0" w:noVBand="1"/>
      </w:tblPr>
      <w:tblGrid>
        <w:gridCol w:w="826"/>
        <w:gridCol w:w="4536"/>
        <w:gridCol w:w="1418"/>
        <w:gridCol w:w="1701"/>
        <w:gridCol w:w="1789"/>
        <w:gridCol w:w="659"/>
      </w:tblGrid>
      <w:tr w:rsidR="00687021" w:rsidRPr="00687021" w14:paraId="28E3E559" w14:textId="77777777" w:rsidTr="00956DE6">
        <w:trPr>
          <w:trHeight w:val="402"/>
        </w:trPr>
        <w:tc>
          <w:tcPr>
            <w:tcW w:w="10787" w:type="dxa"/>
            <w:gridSpan w:val="6"/>
            <w:tcBorders>
              <w:top w:val="nil"/>
              <w:left w:val="nil"/>
              <w:bottom w:val="nil"/>
              <w:right w:val="nil"/>
            </w:tcBorders>
            <w:shd w:val="clear" w:color="auto" w:fill="auto"/>
            <w:vAlign w:val="center"/>
            <w:hideMark/>
          </w:tcPr>
          <w:p w14:paraId="2E0C4C9D" w14:textId="77777777" w:rsidR="00687021" w:rsidRPr="00687021" w:rsidRDefault="00687021" w:rsidP="00687021">
            <w:pPr>
              <w:spacing w:after="0" w:line="240" w:lineRule="auto"/>
              <w:jc w:val="center"/>
              <w:rPr>
                <w:rFonts w:ascii="Calibri" w:eastAsia="Times New Roman" w:hAnsi="Calibri" w:cs="Calibri"/>
                <w:b/>
                <w:bCs/>
                <w:sz w:val="28"/>
                <w:szCs w:val="28"/>
                <w:lang w:eastAsia="cs-CZ"/>
              </w:rPr>
            </w:pPr>
            <w:r w:rsidRPr="00687021">
              <w:rPr>
                <w:rFonts w:ascii="Calibri" w:eastAsia="Times New Roman" w:hAnsi="Calibri" w:cs="Calibri"/>
                <w:b/>
                <w:bCs/>
                <w:sz w:val="28"/>
                <w:szCs w:val="28"/>
                <w:lang w:eastAsia="cs-CZ"/>
              </w:rPr>
              <w:t>Čerpání rozpočtu kapitoly 17 - Sociální věci - období: 1. - 12. 2021</w:t>
            </w:r>
          </w:p>
        </w:tc>
      </w:tr>
      <w:tr w:rsidR="00687021" w:rsidRPr="00687021" w14:paraId="4E72F1ED" w14:textId="77777777" w:rsidTr="00956DE6">
        <w:trPr>
          <w:trHeight w:val="360"/>
        </w:trPr>
        <w:tc>
          <w:tcPr>
            <w:tcW w:w="684" w:type="dxa"/>
            <w:tcBorders>
              <w:top w:val="nil"/>
              <w:left w:val="nil"/>
              <w:bottom w:val="nil"/>
              <w:right w:val="nil"/>
            </w:tcBorders>
            <w:shd w:val="clear" w:color="auto" w:fill="auto"/>
            <w:noWrap/>
            <w:vAlign w:val="bottom"/>
            <w:hideMark/>
          </w:tcPr>
          <w:p w14:paraId="49E257A8" w14:textId="77777777" w:rsidR="00687021" w:rsidRPr="00687021" w:rsidRDefault="00687021" w:rsidP="00687021">
            <w:pPr>
              <w:spacing w:after="0" w:line="240" w:lineRule="auto"/>
              <w:jc w:val="center"/>
              <w:rPr>
                <w:rFonts w:ascii="Calibri" w:eastAsia="Times New Roman" w:hAnsi="Calibri" w:cs="Calibri"/>
                <w:b/>
                <w:bCs/>
                <w:sz w:val="28"/>
                <w:szCs w:val="28"/>
                <w:lang w:eastAsia="cs-CZ"/>
              </w:rPr>
            </w:pPr>
          </w:p>
        </w:tc>
        <w:tc>
          <w:tcPr>
            <w:tcW w:w="4536" w:type="dxa"/>
            <w:tcBorders>
              <w:top w:val="nil"/>
              <w:left w:val="nil"/>
              <w:bottom w:val="nil"/>
              <w:right w:val="nil"/>
            </w:tcBorders>
            <w:shd w:val="clear" w:color="auto" w:fill="auto"/>
            <w:noWrap/>
            <w:vAlign w:val="bottom"/>
            <w:hideMark/>
          </w:tcPr>
          <w:p w14:paraId="0B499716"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c>
          <w:tcPr>
            <w:tcW w:w="1418" w:type="dxa"/>
            <w:tcBorders>
              <w:top w:val="nil"/>
              <w:left w:val="nil"/>
              <w:bottom w:val="nil"/>
              <w:right w:val="nil"/>
            </w:tcBorders>
            <w:shd w:val="clear" w:color="auto" w:fill="auto"/>
            <w:noWrap/>
            <w:vAlign w:val="bottom"/>
            <w:hideMark/>
          </w:tcPr>
          <w:p w14:paraId="2135CC4F"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27EBB7B6"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c>
          <w:tcPr>
            <w:tcW w:w="1789" w:type="dxa"/>
            <w:tcBorders>
              <w:top w:val="nil"/>
              <w:left w:val="nil"/>
              <w:bottom w:val="nil"/>
              <w:right w:val="nil"/>
            </w:tcBorders>
            <w:shd w:val="clear" w:color="auto" w:fill="auto"/>
            <w:noWrap/>
            <w:vAlign w:val="bottom"/>
            <w:hideMark/>
          </w:tcPr>
          <w:p w14:paraId="18F37FC3"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c>
          <w:tcPr>
            <w:tcW w:w="659" w:type="dxa"/>
            <w:tcBorders>
              <w:top w:val="nil"/>
              <w:left w:val="nil"/>
              <w:bottom w:val="nil"/>
              <w:right w:val="nil"/>
            </w:tcBorders>
            <w:shd w:val="clear" w:color="auto" w:fill="auto"/>
            <w:noWrap/>
            <w:vAlign w:val="bottom"/>
            <w:hideMark/>
          </w:tcPr>
          <w:p w14:paraId="5079099F" w14:textId="77777777" w:rsidR="00687021" w:rsidRPr="00687021" w:rsidRDefault="00687021" w:rsidP="00687021">
            <w:pPr>
              <w:spacing w:after="0" w:line="240" w:lineRule="auto"/>
              <w:jc w:val="right"/>
              <w:rPr>
                <w:rFonts w:ascii="Calibri" w:eastAsia="Times New Roman" w:hAnsi="Calibri" w:cs="Calibri"/>
                <w:lang w:eastAsia="cs-CZ"/>
              </w:rPr>
            </w:pPr>
            <w:r w:rsidRPr="00687021">
              <w:rPr>
                <w:rFonts w:ascii="Calibri" w:eastAsia="Times New Roman" w:hAnsi="Calibri" w:cs="Calibri"/>
                <w:lang w:eastAsia="cs-CZ"/>
              </w:rPr>
              <w:t>v Kč</w:t>
            </w:r>
          </w:p>
        </w:tc>
      </w:tr>
      <w:tr w:rsidR="00687021" w:rsidRPr="00687021" w14:paraId="18FAD5F0" w14:textId="77777777" w:rsidTr="00956DE6">
        <w:trPr>
          <w:trHeight w:val="705"/>
        </w:trPr>
        <w:tc>
          <w:tcPr>
            <w:tcW w:w="684" w:type="dxa"/>
            <w:tcBorders>
              <w:top w:val="single" w:sz="8" w:space="0" w:color="auto"/>
              <w:left w:val="single" w:sz="8" w:space="0" w:color="auto"/>
              <w:bottom w:val="single" w:sz="8" w:space="0" w:color="auto"/>
              <w:right w:val="single" w:sz="8" w:space="0" w:color="auto"/>
            </w:tcBorders>
            <w:shd w:val="clear" w:color="000000" w:fill="CCFFCC"/>
            <w:noWrap/>
            <w:vAlign w:val="center"/>
            <w:hideMark/>
          </w:tcPr>
          <w:p w14:paraId="2AB7F0C8"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Paragraf</w:t>
            </w:r>
          </w:p>
        </w:tc>
        <w:tc>
          <w:tcPr>
            <w:tcW w:w="4536" w:type="dxa"/>
            <w:tcBorders>
              <w:top w:val="single" w:sz="8" w:space="0" w:color="auto"/>
              <w:left w:val="nil"/>
              <w:bottom w:val="single" w:sz="8" w:space="0" w:color="auto"/>
              <w:right w:val="single" w:sz="8" w:space="0" w:color="auto"/>
            </w:tcBorders>
            <w:shd w:val="clear" w:color="000000" w:fill="CCFFCC"/>
            <w:noWrap/>
            <w:vAlign w:val="center"/>
            <w:hideMark/>
          </w:tcPr>
          <w:p w14:paraId="6D9D00C5"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Oblast rozpočtu</w:t>
            </w:r>
          </w:p>
        </w:tc>
        <w:tc>
          <w:tcPr>
            <w:tcW w:w="1418" w:type="dxa"/>
            <w:tcBorders>
              <w:top w:val="single" w:sz="8" w:space="0" w:color="auto"/>
              <w:left w:val="nil"/>
              <w:bottom w:val="single" w:sz="8" w:space="0" w:color="auto"/>
              <w:right w:val="single" w:sz="8" w:space="0" w:color="auto"/>
            </w:tcBorders>
            <w:shd w:val="clear" w:color="000000" w:fill="CCFFCC"/>
            <w:vAlign w:val="center"/>
            <w:hideMark/>
          </w:tcPr>
          <w:p w14:paraId="3B3376C9"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Schválený rozpočet</w:t>
            </w:r>
          </w:p>
        </w:tc>
        <w:tc>
          <w:tcPr>
            <w:tcW w:w="1701" w:type="dxa"/>
            <w:tcBorders>
              <w:top w:val="single" w:sz="8" w:space="0" w:color="auto"/>
              <w:left w:val="nil"/>
              <w:bottom w:val="single" w:sz="8" w:space="0" w:color="auto"/>
              <w:right w:val="single" w:sz="8" w:space="0" w:color="auto"/>
            </w:tcBorders>
            <w:shd w:val="clear" w:color="000000" w:fill="CCFFCC"/>
            <w:vAlign w:val="center"/>
            <w:hideMark/>
          </w:tcPr>
          <w:p w14:paraId="4060C22E"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 xml:space="preserve">Rozpočet po úpravě </w:t>
            </w:r>
          </w:p>
        </w:tc>
        <w:tc>
          <w:tcPr>
            <w:tcW w:w="1789" w:type="dxa"/>
            <w:tcBorders>
              <w:top w:val="single" w:sz="8" w:space="0" w:color="auto"/>
              <w:left w:val="nil"/>
              <w:bottom w:val="single" w:sz="8" w:space="0" w:color="auto"/>
              <w:right w:val="single" w:sz="8" w:space="0" w:color="auto"/>
            </w:tcBorders>
            <w:shd w:val="clear" w:color="000000" w:fill="CCFFCC"/>
            <w:vAlign w:val="center"/>
            <w:hideMark/>
          </w:tcPr>
          <w:p w14:paraId="5B062B49"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 xml:space="preserve">Skutečnost </w:t>
            </w:r>
          </w:p>
        </w:tc>
        <w:tc>
          <w:tcPr>
            <w:tcW w:w="659" w:type="dxa"/>
            <w:tcBorders>
              <w:top w:val="single" w:sz="8" w:space="0" w:color="auto"/>
              <w:left w:val="nil"/>
              <w:bottom w:val="single" w:sz="8" w:space="0" w:color="auto"/>
              <w:right w:val="single" w:sz="8" w:space="0" w:color="auto"/>
            </w:tcBorders>
            <w:shd w:val="clear" w:color="000000" w:fill="CCFFCC"/>
            <w:vAlign w:val="center"/>
            <w:hideMark/>
          </w:tcPr>
          <w:p w14:paraId="16B781CA"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 plnění</w:t>
            </w:r>
          </w:p>
        </w:tc>
      </w:tr>
      <w:tr w:rsidR="00687021" w:rsidRPr="00687021" w14:paraId="46DE9994" w14:textId="77777777" w:rsidTr="00956DE6">
        <w:trPr>
          <w:trHeight w:val="360"/>
        </w:trPr>
        <w:tc>
          <w:tcPr>
            <w:tcW w:w="684" w:type="dxa"/>
            <w:tcBorders>
              <w:top w:val="nil"/>
              <w:left w:val="nil"/>
              <w:bottom w:val="nil"/>
              <w:right w:val="nil"/>
            </w:tcBorders>
            <w:shd w:val="clear" w:color="auto" w:fill="auto"/>
            <w:noWrap/>
            <w:vAlign w:val="bottom"/>
            <w:hideMark/>
          </w:tcPr>
          <w:p w14:paraId="69EE0A76"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p>
        </w:tc>
        <w:tc>
          <w:tcPr>
            <w:tcW w:w="4536" w:type="dxa"/>
            <w:tcBorders>
              <w:top w:val="nil"/>
              <w:left w:val="nil"/>
              <w:bottom w:val="nil"/>
              <w:right w:val="nil"/>
            </w:tcBorders>
            <w:shd w:val="clear" w:color="auto" w:fill="auto"/>
            <w:noWrap/>
            <w:vAlign w:val="bottom"/>
            <w:hideMark/>
          </w:tcPr>
          <w:p w14:paraId="6C144C7F" w14:textId="77777777" w:rsidR="00687021" w:rsidRPr="00687021" w:rsidRDefault="00687021" w:rsidP="00687021">
            <w:pPr>
              <w:spacing w:after="0" w:line="240" w:lineRule="auto"/>
              <w:rPr>
                <w:rFonts w:ascii="Calibri" w:eastAsia="Times New Roman" w:hAnsi="Calibri" w:cs="Calibri"/>
                <w:b/>
                <w:bCs/>
                <w:lang w:eastAsia="cs-CZ"/>
              </w:rPr>
            </w:pPr>
            <w:r w:rsidRPr="00687021">
              <w:rPr>
                <w:rFonts w:ascii="Calibri" w:eastAsia="Times New Roman" w:hAnsi="Calibri" w:cs="Calibri"/>
                <w:b/>
                <w:bCs/>
                <w:lang w:eastAsia="cs-CZ"/>
              </w:rPr>
              <w:t xml:space="preserve">Běžné výdaje </w:t>
            </w:r>
          </w:p>
        </w:tc>
        <w:tc>
          <w:tcPr>
            <w:tcW w:w="1418" w:type="dxa"/>
            <w:tcBorders>
              <w:top w:val="nil"/>
              <w:left w:val="nil"/>
              <w:bottom w:val="nil"/>
              <w:right w:val="nil"/>
            </w:tcBorders>
            <w:shd w:val="clear" w:color="auto" w:fill="auto"/>
            <w:noWrap/>
            <w:vAlign w:val="bottom"/>
            <w:hideMark/>
          </w:tcPr>
          <w:p w14:paraId="61C79919" w14:textId="77777777" w:rsidR="00687021" w:rsidRPr="00687021" w:rsidRDefault="00687021" w:rsidP="00687021">
            <w:pPr>
              <w:spacing w:after="0" w:line="240" w:lineRule="auto"/>
              <w:rPr>
                <w:rFonts w:ascii="Calibri" w:eastAsia="Times New Roman" w:hAnsi="Calibri" w:cs="Calibri"/>
                <w:b/>
                <w:bCs/>
                <w:lang w:eastAsia="cs-CZ"/>
              </w:rPr>
            </w:pPr>
          </w:p>
        </w:tc>
        <w:tc>
          <w:tcPr>
            <w:tcW w:w="1701" w:type="dxa"/>
            <w:tcBorders>
              <w:top w:val="nil"/>
              <w:left w:val="nil"/>
              <w:bottom w:val="nil"/>
              <w:right w:val="nil"/>
            </w:tcBorders>
            <w:shd w:val="clear" w:color="auto" w:fill="auto"/>
            <w:noWrap/>
            <w:vAlign w:val="bottom"/>
            <w:hideMark/>
          </w:tcPr>
          <w:p w14:paraId="414942C0"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c>
          <w:tcPr>
            <w:tcW w:w="1789" w:type="dxa"/>
            <w:tcBorders>
              <w:top w:val="nil"/>
              <w:left w:val="nil"/>
              <w:bottom w:val="nil"/>
              <w:right w:val="nil"/>
            </w:tcBorders>
            <w:shd w:val="clear" w:color="auto" w:fill="auto"/>
            <w:noWrap/>
            <w:vAlign w:val="bottom"/>
            <w:hideMark/>
          </w:tcPr>
          <w:p w14:paraId="3292A474"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c>
          <w:tcPr>
            <w:tcW w:w="659" w:type="dxa"/>
            <w:tcBorders>
              <w:top w:val="nil"/>
              <w:left w:val="nil"/>
              <w:bottom w:val="nil"/>
              <w:right w:val="nil"/>
            </w:tcBorders>
            <w:shd w:val="clear" w:color="auto" w:fill="auto"/>
            <w:noWrap/>
            <w:vAlign w:val="bottom"/>
            <w:hideMark/>
          </w:tcPr>
          <w:p w14:paraId="3EBBD4C7"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r>
      <w:tr w:rsidR="00687021" w:rsidRPr="00687021" w14:paraId="2420CC58" w14:textId="77777777" w:rsidTr="00956DE6">
        <w:trPr>
          <w:trHeight w:val="510"/>
        </w:trPr>
        <w:tc>
          <w:tcPr>
            <w:tcW w:w="684"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64B6A0F3"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4312</w:t>
            </w:r>
          </w:p>
        </w:tc>
        <w:tc>
          <w:tcPr>
            <w:tcW w:w="4536" w:type="dxa"/>
            <w:tcBorders>
              <w:top w:val="single" w:sz="8" w:space="0" w:color="auto"/>
              <w:left w:val="nil"/>
              <w:bottom w:val="single" w:sz="4" w:space="0" w:color="auto"/>
              <w:right w:val="single" w:sz="4" w:space="0" w:color="auto"/>
            </w:tcBorders>
            <w:shd w:val="clear" w:color="auto" w:fill="auto"/>
            <w:vAlign w:val="bottom"/>
            <w:hideMark/>
          </w:tcPr>
          <w:p w14:paraId="4D49707B" w14:textId="77777777" w:rsidR="00687021" w:rsidRPr="00687021" w:rsidRDefault="00687021" w:rsidP="00687021">
            <w:pPr>
              <w:spacing w:after="0" w:line="240" w:lineRule="auto"/>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 xml:space="preserve">Odborné sociální poradenství - příspěvek příspěvkovým organizacím </w:t>
            </w:r>
          </w:p>
        </w:tc>
        <w:tc>
          <w:tcPr>
            <w:tcW w:w="1418" w:type="dxa"/>
            <w:tcBorders>
              <w:top w:val="single" w:sz="8" w:space="0" w:color="auto"/>
              <w:left w:val="nil"/>
              <w:bottom w:val="single" w:sz="4" w:space="0" w:color="auto"/>
              <w:right w:val="single" w:sz="4" w:space="0" w:color="auto"/>
            </w:tcBorders>
            <w:shd w:val="clear" w:color="auto" w:fill="auto"/>
            <w:noWrap/>
            <w:vAlign w:val="bottom"/>
            <w:hideMark/>
          </w:tcPr>
          <w:p w14:paraId="156CEF3C"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12 070 000</w:t>
            </w:r>
          </w:p>
        </w:tc>
        <w:tc>
          <w:tcPr>
            <w:tcW w:w="1701" w:type="dxa"/>
            <w:tcBorders>
              <w:top w:val="single" w:sz="8" w:space="0" w:color="auto"/>
              <w:left w:val="nil"/>
              <w:bottom w:val="single" w:sz="4" w:space="0" w:color="auto"/>
              <w:right w:val="single" w:sz="4" w:space="0" w:color="auto"/>
            </w:tcBorders>
            <w:shd w:val="clear" w:color="auto" w:fill="auto"/>
            <w:noWrap/>
            <w:vAlign w:val="bottom"/>
            <w:hideMark/>
          </w:tcPr>
          <w:p w14:paraId="0F228E64"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13 890 000,00</w:t>
            </w:r>
          </w:p>
        </w:tc>
        <w:tc>
          <w:tcPr>
            <w:tcW w:w="1789" w:type="dxa"/>
            <w:tcBorders>
              <w:top w:val="single" w:sz="8" w:space="0" w:color="auto"/>
              <w:left w:val="nil"/>
              <w:bottom w:val="single" w:sz="4" w:space="0" w:color="auto"/>
              <w:right w:val="single" w:sz="4" w:space="0" w:color="auto"/>
            </w:tcBorders>
            <w:shd w:val="clear" w:color="auto" w:fill="auto"/>
            <w:noWrap/>
            <w:vAlign w:val="bottom"/>
            <w:hideMark/>
          </w:tcPr>
          <w:p w14:paraId="3BBD51A5"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12 763 800,00</w:t>
            </w:r>
          </w:p>
        </w:tc>
        <w:tc>
          <w:tcPr>
            <w:tcW w:w="659" w:type="dxa"/>
            <w:tcBorders>
              <w:top w:val="single" w:sz="8" w:space="0" w:color="auto"/>
              <w:left w:val="nil"/>
              <w:bottom w:val="single" w:sz="4" w:space="0" w:color="auto"/>
              <w:right w:val="single" w:sz="8" w:space="0" w:color="auto"/>
            </w:tcBorders>
            <w:shd w:val="clear" w:color="auto" w:fill="auto"/>
            <w:noWrap/>
            <w:vAlign w:val="bottom"/>
            <w:hideMark/>
          </w:tcPr>
          <w:p w14:paraId="68F1ED12"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91,9</w:t>
            </w:r>
          </w:p>
        </w:tc>
      </w:tr>
      <w:tr w:rsidR="00687021" w:rsidRPr="00687021" w14:paraId="19FA27F0"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194C08AA" w14:textId="77777777" w:rsidR="00687021" w:rsidRPr="00687021" w:rsidRDefault="00687021" w:rsidP="00687021">
            <w:pPr>
              <w:spacing w:after="0" w:line="240" w:lineRule="auto"/>
              <w:jc w:val="center"/>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 </w:t>
            </w:r>
          </w:p>
        </w:tc>
        <w:tc>
          <w:tcPr>
            <w:tcW w:w="10103" w:type="dxa"/>
            <w:gridSpan w:val="5"/>
            <w:tcBorders>
              <w:top w:val="single" w:sz="4" w:space="0" w:color="auto"/>
              <w:left w:val="nil"/>
              <w:bottom w:val="single" w:sz="4" w:space="0" w:color="auto"/>
              <w:right w:val="single" w:sz="8" w:space="0" w:color="000000"/>
            </w:tcBorders>
            <w:shd w:val="clear" w:color="auto" w:fill="auto"/>
            <w:vAlign w:val="bottom"/>
            <w:hideMark/>
          </w:tcPr>
          <w:p w14:paraId="14F51A2F" w14:textId="77777777" w:rsidR="00687021" w:rsidRPr="00687021" w:rsidRDefault="00687021" w:rsidP="00687021">
            <w:pPr>
              <w:spacing w:after="0" w:line="240" w:lineRule="auto"/>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z toho:</w:t>
            </w:r>
          </w:p>
        </w:tc>
      </w:tr>
      <w:tr w:rsidR="00687021" w:rsidRPr="00687021" w14:paraId="53E6FDF7"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2CDAD1C5" w14:textId="77777777" w:rsidR="00687021" w:rsidRPr="00687021" w:rsidRDefault="00687021" w:rsidP="00687021">
            <w:pPr>
              <w:spacing w:after="0" w:line="240" w:lineRule="auto"/>
              <w:jc w:val="center"/>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 </w:t>
            </w:r>
          </w:p>
        </w:tc>
        <w:tc>
          <w:tcPr>
            <w:tcW w:w="4536" w:type="dxa"/>
            <w:tcBorders>
              <w:top w:val="nil"/>
              <w:left w:val="nil"/>
              <w:bottom w:val="single" w:sz="4" w:space="0" w:color="auto"/>
              <w:right w:val="single" w:sz="4" w:space="0" w:color="auto"/>
            </w:tcBorders>
            <w:shd w:val="clear" w:color="auto" w:fill="auto"/>
            <w:vAlign w:val="bottom"/>
            <w:hideMark/>
          </w:tcPr>
          <w:p w14:paraId="61AE3327" w14:textId="77777777" w:rsidR="00687021" w:rsidRPr="00687021" w:rsidRDefault="00687021" w:rsidP="00687021">
            <w:pPr>
              <w:spacing w:after="0" w:line="240" w:lineRule="auto"/>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příspěvek na provoz</w:t>
            </w:r>
          </w:p>
        </w:tc>
        <w:tc>
          <w:tcPr>
            <w:tcW w:w="1418" w:type="dxa"/>
            <w:tcBorders>
              <w:top w:val="nil"/>
              <w:left w:val="nil"/>
              <w:bottom w:val="single" w:sz="4" w:space="0" w:color="auto"/>
              <w:right w:val="single" w:sz="4" w:space="0" w:color="auto"/>
            </w:tcBorders>
            <w:shd w:val="clear" w:color="auto" w:fill="auto"/>
            <w:noWrap/>
            <w:vAlign w:val="bottom"/>
            <w:hideMark/>
          </w:tcPr>
          <w:p w14:paraId="72ED4F08"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3 000 000</w:t>
            </w:r>
          </w:p>
        </w:tc>
        <w:tc>
          <w:tcPr>
            <w:tcW w:w="1701" w:type="dxa"/>
            <w:tcBorders>
              <w:top w:val="nil"/>
              <w:left w:val="nil"/>
              <w:bottom w:val="single" w:sz="4" w:space="0" w:color="auto"/>
              <w:right w:val="single" w:sz="4" w:space="0" w:color="auto"/>
            </w:tcBorders>
            <w:shd w:val="clear" w:color="auto" w:fill="auto"/>
            <w:noWrap/>
            <w:vAlign w:val="bottom"/>
            <w:hideMark/>
          </w:tcPr>
          <w:p w14:paraId="14FDED61"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4 820 000,00</w:t>
            </w:r>
          </w:p>
        </w:tc>
        <w:tc>
          <w:tcPr>
            <w:tcW w:w="1789" w:type="dxa"/>
            <w:tcBorders>
              <w:top w:val="nil"/>
              <w:left w:val="nil"/>
              <w:bottom w:val="single" w:sz="4" w:space="0" w:color="auto"/>
              <w:right w:val="single" w:sz="4" w:space="0" w:color="auto"/>
            </w:tcBorders>
            <w:shd w:val="clear" w:color="auto" w:fill="auto"/>
            <w:noWrap/>
            <w:vAlign w:val="bottom"/>
            <w:hideMark/>
          </w:tcPr>
          <w:p w14:paraId="6C88654C"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4 820 000,00</w:t>
            </w:r>
          </w:p>
        </w:tc>
        <w:tc>
          <w:tcPr>
            <w:tcW w:w="659" w:type="dxa"/>
            <w:tcBorders>
              <w:top w:val="nil"/>
              <w:left w:val="nil"/>
              <w:bottom w:val="nil"/>
              <w:right w:val="single" w:sz="8" w:space="0" w:color="auto"/>
            </w:tcBorders>
            <w:shd w:val="clear" w:color="auto" w:fill="auto"/>
            <w:noWrap/>
            <w:vAlign w:val="bottom"/>
            <w:hideMark/>
          </w:tcPr>
          <w:p w14:paraId="47A30441"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100,0</w:t>
            </w:r>
          </w:p>
        </w:tc>
      </w:tr>
      <w:tr w:rsidR="00687021" w:rsidRPr="00687021" w14:paraId="0F6D1382"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5FA9CA17" w14:textId="77777777" w:rsidR="00687021" w:rsidRPr="00687021" w:rsidRDefault="00687021" w:rsidP="00687021">
            <w:pPr>
              <w:spacing w:after="0" w:line="240" w:lineRule="auto"/>
              <w:jc w:val="center"/>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 </w:t>
            </w:r>
          </w:p>
        </w:tc>
        <w:tc>
          <w:tcPr>
            <w:tcW w:w="4536" w:type="dxa"/>
            <w:tcBorders>
              <w:top w:val="nil"/>
              <w:left w:val="nil"/>
              <w:bottom w:val="single" w:sz="4" w:space="0" w:color="auto"/>
              <w:right w:val="single" w:sz="4" w:space="0" w:color="auto"/>
            </w:tcBorders>
            <w:shd w:val="clear" w:color="auto" w:fill="auto"/>
            <w:vAlign w:val="bottom"/>
            <w:hideMark/>
          </w:tcPr>
          <w:p w14:paraId="0FBABAA3" w14:textId="77777777" w:rsidR="00687021" w:rsidRPr="00687021" w:rsidRDefault="00687021" w:rsidP="00687021">
            <w:pPr>
              <w:spacing w:after="0" w:line="240" w:lineRule="auto"/>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příspěvek na mzdové výdaje</w:t>
            </w:r>
          </w:p>
        </w:tc>
        <w:tc>
          <w:tcPr>
            <w:tcW w:w="1418" w:type="dxa"/>
            <w:tcBorders>
              <w:top w:val="nil"/>
              <w:left w:val="nil"/>
              <w:bottom w:val="single" w:sz="4" w:space="0" w:color="auto"/>
              <w:right w:val="single" w:sz="4" w:space="0" w:color="auto"/>
            </w:tcBorders>
            <w:shd w:val="clear" w:color="auto" w:fill="auto"/>
            <w:vAlign w:val="bottom"/>
            <w:hideMark/>
          </w:tcPr>
          <w:p w14:paraId="0996B05F"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9 000 000</w:t>
            </w:r>
          </w:p>
        </w:tc>
        <w:tc>
          <w:tcPr>
            <w:tcW w:w="1701" w:type="dxa"/>
            <w:tcBorders>
              <w:top w:val="nil"/>
              <w:left w:val="nil"/>
              <w:bottom w:val="single" w:sz="4" w:space="0" w:color="auto"/>
              <w:right w:val="single" w:sz="4" w:space="0" w:color="auto"/>
            </w:tcBorders>
            <w:shd w:val="clear" w:color="auto" w:fill="auto"/>
            <w:vAlign w:val="bottom"/>
            <w:hideMark/>
          </w:tcPr>
          <w:p w14:paraId="74F8E5FB"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9 000 000,00</w:t>
            </w:r>
          </w:p>
        </w:tc>
        <w:tc>
          <w:tcPr>
            <w:tcW w:w="1789" w:type="dxa"/>
            <w:tcBorders>
              <w:top w:val="nil"/>
              <w:left w:val="nil"/>
              <w:bottom w:val="single" w:sz="4" w:space="0" w:color="auto"/>
              <w:right w:val="single" w:sz="4" w:space="0" w:color="auto"/>
            </w:tcBorders>
            <w:shd w:val="clear" w:color="auto" w:fill="auto"/>
            <w:vAlign w:val="bottom"/>
            <w:hideMark/>
          </w:tcPr>
          <w:p w14:paraId="0B9BB43D"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7 883 800,00</w:t>
            </w:r>
          </w:p>
        </w:tc>
        <w:tc>
          <w:tcPr>
            <w:tcW w:w="659" w:type="dxa"/>
            <w:tcBorders>
              <w:top w:val="single" w:sz="4" w:space="0" w:color="auto"/>
              <w:left w:val="nil"/>
              <w:bottom w:val="nil"/>
              <w:right w:val="single" w:sz="8" w:space="0" w:color="auto"/>
            </w:tcBorders>
            <w:shd w:val="clear" w:color="auto" w:fill="auto"/>
            <w:noWrap/>
            <w:vAlign w:val="bottom"/>
            <w:hideMark/>
          </w:tcPr>
          <w:p w14:paraId="6F5E4AEB"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87,6</w:t>
            </w:r>
          </w:p>
        </w:tc>
      </w:tr>
      <w:tr w:rsidR="00687021" w:rsidRPr="00687021" w14:paraId="537B6D00"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669218B3" w14:textId="77777777" w:rsidR="00687021" w:rsidRPr="00687021" w:rsidRDefault="00687021" w:rsidP="00687021">
            <w:pPr>
              <w:spacing w:after="0" w:line="240" w:lineRule="auto"/>
              <w:jc w:val="center"/>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 </w:t>
            </w:r>
          </w:p>
        </w:tc>
        <w:tc>
          <w:tcPr>
            <w:tcW w:w="4536" w:type="dxa"/>
            <w:tcBorders>
              <w:top w:val="nil"/>
              <w:left w:val="nil"/>
              <w:bottom w:val="single" w:sz="4" w:space="0" w:color="auto"/>
              <w:right w:val="single" w:sz="4" w:space="0" w:color="auto"/>
            </w:tcBorders>
            <w:shd w:val="clear" w:color="auto" w:fill="auto"/>
            <w:vAlign w:val="bottom"/>
            <w:hideMark/>
          </w:tcPr>
          <w:p w14:paraId="0DCA66E5" w14:textId="77777777" w:rsidR="00687021" w:rsidRPr="00687021" w:rsidRDefault="00687021" w:rsidP="00687021">
            <w:pPr>
              <w:spacing w:after="0" w:line="240" w:lineRule="auto"/>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příspěvek na běžné opravy a udržování</w:t>
            </w:r>
          </w:p>
        </w:tc>
        <w:tc>
          <w:tcPr>
            <w:tcW w:w="1418" w:type="dxa"/>
            <w:tcBorders>
              <w:top w:val="nil"/>
              <w:left w:val="nil"/>
              <w:bottom w:val="single" w:sz="4" w:space="0" w:color="auto"/>
              <w:right w:val="single" w:sz="4" w:space="0" w:color="auto"/>
            </w:tcBorders>
            <w:shd w:val="clear" w:color="auto" w:fill="auto"/>
            <w:vAlign w:val="bottom"/>
            <w:hideMark/>
          </w:tcPr>
          <w:p w14:paraId="28DA06D5"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70 000</w:t>
            </w:r>
          </w:p>
        </w:tc>
        <w:tc>
          <w:tcPr>
            <w:tcW w:w="1701" w:type="dxa"/>
            <w:tcBorders>
              <w:top w:val="nil"/>
              <w:left w:val="nil"/>
              <w:bottom w:val="single" w:sz="4" w:space="0" w:color="auto"/>
              <w:right w:val="single" w:sz="4" w:space="0" w:color="auto"/>
            </w:tcBorders>
            <w:shd w:val="clear" w:color="auto" w:fill="auto"/>
            <w:vAlign w:val="bottom"/>
            <w:hideMark/>
          </w:tcPr>
          <w:p w14:paraId="4F44D03A"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70 000,00</w:t>
            </w:r>
          </w:p>
        </w:tc>
        <w:tc>
          <w:tcPr>
            <w:tcW w:w="1789" w:type="dxa"/>
            <w:tcBorders>
              <w:top w:val="nil"/>
              <w:left w:val="nil"/>
              <w:bottom w:val="single" w:sz="4" w:space="0" w:color="auto"/>
              <w:right w:val="single" w:sz="4" w:space="0" w:color="auto"/>
            </w:tcBorders>
            <w:shd w:val="clear" w:color="auto" w:fill="auto"/>
            <w:vAlign w:val="bottom"/>
            <w:hideMark/>
          </w:tcPr>
          <w:p w14:paraId="1DF5196A"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60 000,00</w:t>
            </w:r>
          </w:p>
        </w:tc>
        <w:tc>
          <w:tcPr>
            <w:tcW w:w="659" w:type="dxa"/>
            <w:tcBorders>
              <w:top w:val="single" w:sz="4" w:space="0" w:color="auto"/>
              <w:left w:val="nil"/>
              <w:bottom w:val="nil"/>
              <w:right w:val="single" w:sz="8" w:space="0" w:color="auto"/>
            </w:tcBorders>
            <w:shd w:val="clear" w:color="auto" w:fill="auto"/>
            <w:noWrap/>
            <w:vAlign w:val="bottom"/>
            <w:hideMark/>
          </w:tcPr>
          <w:p w14:paraId="5EDCB0E7"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85,7</w:t>
            </w:r>
          </w:p>
        </w:tc>
      </w:tr>
      <w:tr w:rsidR="00687021" w:rsidRPr="00687021" w14:paraId="415DD6F0"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41118619"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4339</w:t>
            </w:r>
          </w:p>
        </w:tc>
        <w:tc>
          <w:tcPr>
            <w:tcW w:w="4536" w:type="dxa"/>
            <w:tcBorders>
              <w:top w:val="nil"/>
              <w:left w:val="nil"/>
              <w:bottom w:val="single" w:sz="4" w:space="0" w:color="auto"/>
              <w:right w:val="single" w:sz="4" w:space="0" w:color="auto"/>
            </w:tcBorders>
            <w:shd w:val="clear" w:color="auto" w:fill="auto"/>
            <w:vAlign w:val="bottom"/>
            <w:hideMark/>
          </w:tcPr>
          <w:p w14:paraId="5852328A" w14:textId="77777777" w:rsidR="00687021" w:rsidRPr="00687021" w:rsidRDefault="00687021" w:rsidP="00687021">
            <w:pPr>
              <w:spacing w:after="0" w:line="240" w:lineRule="auto"/>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Ostatní sociální péče a pomoc rodině a manželství</w:t>
            </w:r>
          </w:p>
        </w:tc>
        <w:tc>
          <w:tcPr>
            <w:tcW w:w="1418" w:type="dxa"/>
            <w:tcBorders>
              <w:top w:val="nil"/>
              <w:left w:val="nil"/>
              <w:bottom w:val="single" w:sz="4" w:space="0" w:color="auto"/>
              <w:right w:val="single" w:sz="4" w:space="0" w:color="auto"/>
            </w:tcBorders>
            <w:shd w:val="clear" w:color="auto" w:fill="auto"/>
            <w:vAlign w:val="bottom"/>
            <w:hideMark/>
          </w:tcPr>
          <w:p w14:paraId="6469C095"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400 000</w:t>
            </w:r>
          </w:p>
        </w:tc>
        <w:tc>
          <w:tcPr>
            <w:tcW w:w="1701" w:type="dxa"/>
            <w:tcBorders>
              <w:top w:val="nil"/>
              <w:left w:val="nil"/>
              <w:bottom w:val="single" w:sz="4" w:space="0" w:color="auto"/>
              <w:right w:val="single" w:sz="4" w:space="0" w:color="auto"/>
            </w:tcBorders>
            <w:shd w:val="clear" w:color="auto" w:fill="auto"/>
            <w:vAlign w:val="bottom"/>
            <w:hideMark/>
          </w:tcPr>
          <w:p w14:paraId="480DF5E9"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400 000,00</w:t>
            </w:r>
          </w:p>
        </w:tc>
        <w:tc>
          <w:tcPr>
            <w:tcW w:w="1789" w:type="dxa"/>
            <w:tcBorders>
              <w:top w:val="nil"/>
              <w:left w:val="nil"/>
              <w:bottom w:val="single" w:sz="4" w:space="0" w:color="auto"/>
              <w:right w:val="single" w:sz="4" w:space="0" w:color="auto"/>
            </w:tcBorders>
            <w:shd w:val="clear" w:color="auto" w:fill="auto"/>
            <w:vAlign w:val="bottom"/>
            <w:hideMark/>
          </w:tcPr>
          <w:p w14:paraId="5A9FC70E"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5 127,01</w:t>
            </w:r>
          </w:p>
        </w:tc>
        <w:tc>
          <w:tcPr>
            <w:tcW w:w="659" w:type="dxa"/>
            <w:tcBorders>
              <w:top w:val="single" w:sz="4" w:space="0" w:color="auto"/>
              <w:left w:val="nil"/>
              <w:bottom w:val="nil"/>
              <w:right w:val="single" w:sz="8" w:space="0" w:color="auto"/>
            </w:tcBorders>
            <w:shd w:val="clear" w:color="auto" w:fill="auto"/>
            <w:noWrap/>
            <w:vAlign w:val="bottom"/>
            <w:hideMark/>
          </w:tcPr>
          <w:p w14:paraId="3EA45501"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1,3</w:t>
            </w:r>
          </w:p>
        </w:tc>
      </w:tr>
      <w:tr w:rsidR="00687021" w:rsidRPr="00687021" w14:paraId="750B7868"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480B8B48"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4342</w:t>
            </w:r>
          </w:p>
        </w:tc>
        <w:tc>
          <w:tcPr>
            <w:tcW w:w="4536" w:type="dxa"/>
            <w:tcBorders>
              <w:top w:val="nil"/>
              <w:left w:val="nil"/>
              <w:bottom w:val="single" w:sz="4" w:space="0" w:color="auto"/>
              <w:right w:val="single" w:sz="4" w:space="0" w:color="auto"/>
            </w:tcBorders>
            <w:shd w:val="clear" w:color="auto" w:fill="auto"/>
            <w:noWrap/>
            <w:vAlign w:val="bottom"/>
            <w:hideMark/>
          </w:tcPr>
          <w:p w14:paraId="7DEB17AD" w14:textId="77777777" w:rsidR="00687021" w:rsidRPr="00687021" w:rsidRDefault="00687021" w:rsidP="00687021">
            <w:pPr>
              <w:spacing w:after="0" w:line="240" w:lineRule="auto"/>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Sociální péče a pomoc přistěhovalcům a vybraným etnikům</w:t>
            </w:r>
          </w:p>
        </w:tc>
        <w:tc>
          <w:tcPr>
            <w:tcW w:w="1418" w:type="dxa"/>
            <w:tcBorders>
              <w:top w:val="nil"/>
              <w:left w:val="nil"/>
              <w:bottom w:val="single" w:sz="4" w:space="0" w:color="auto"/>
              <w:right w:val="single" w:sz="4" w:space="0" w:color="auto"/>
            </w:tcBorders>
            <w:shd w:val="clear" w:color="auto" w:fill="auto"/>
            <w:vAlign w:val="bottom"/>
            <w:hideMark/>
          </w:tcPr>
          <w:p w14:paraId="3EF855D6"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100 000</w:t>
            </w:r>
          </w:p>
        </w:tc>
        <w:tc>
          <w:tcPr>
            <w:tcW w:w="1701" w:type="dxa"/>
            <w:tcBorders>
              <w:top w:val="nil"/>
              <w:left w:val="nil"/>
              <w:bottom w:val="single" w:sz="4" w:space="0" w:color="auto"/>
              <w:right w:val="single" w:sz="4" w:space="0" w:color="auto"/>
            </w:tcBorders>
            <w:shd w:val="clear" w:color="auto" w:fill="auto"/>
            <w:vAlign w:val="bottom"/>
            <w:hideMark/>
          </w:tcPr>
          <w:p w14:paraId="5801D4AC"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100 000,00</w:t>
            </w:r>
          </w:p>
        </w:tc>
        <w:tc>
          <w:tcPr>
            <w:tcW w:w="1789" w:type="dxa"/>
            <w:tcBorders>
              <w:top w:val="nil"/>
              <w:left w:val="nil"/>
              <w:bottom w:val="single" w:sz="4" w:space="0" w:color="auto"/>
              <w:right w:val="single" w:sz="4" w:space="0" w:color="auto"/>
            </w:tcBorders>
            <w:shd w:val="clear" w:color="auto" w:fill="auto"/>
            <w:vAlign w:val="bottom"/>
            <w:hideMark/>
          </w:tcPr>
          <w:p w14:paraId="5948B3D5"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59 730,00</w:t>
            </w:r>
          </w:p>
        </w:tc>
        <w:tc>
          <w:tcPr>
            <w:tcW w:w="659" w:type="dxa"/>
            <w:tcBorders>
              <w:top w:val="single" w:sz="4" w:space="0" w:color="auto"/>
              <w:left w:val="nil"/>
              <w:bottom w:val="nil"/>
              <w:right w:val="single" w:sz="8" w:space="0" w:color="auto"/>
            </w:tcBorders>
            <w:shd w:val="clear" w:color="auto" w:fill="auto"/>
            <w:noWrap/>
            <w:vAlign w:val="bottom"/>
            <w:hideMark/>
          </w:tcPr>
          <w:p w14:paraId="5527DB0E"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59,7</w:t>
            </w:r>
          </w:p>
        </w:tc>
      </w:tr>
      <w:tr w:rsidR="00687021" w:rsidRPr="00687021" w14:paraId="78197284" w14:textId="77777777" w:rsidTr="00956DE6">
        <w:trPr>
          <w:trHeight w:val="51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54172331"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4344</w:t>
            </w:r>
          </w:p>
        </w:tc>
        <w:tc>
          <w:tcPr>
            <w:tcW w:w="4536" w:type="dxa"/>
            <w:tcBorders>
              <w:top w:val="nil"/>
              <w:left w:val="nil"/>
              <w:bottom w:val="single" w:sz="4" w:space="0" w:color="auto"/>
              <w:right w:val="single" w:sz="4" w:space="0" w:color="auto"/>
            </w:tcBorders>
            <w:shd w:val="clear" w:color="auto" w:fill="auto"/>
            <w:vAlign w:val="bottom"/>
            <w:hideMark/>
          </w:tcPr>
          <w:p w14:paraId="16AE00EB" w14:textId="77777777" w:rsidR="00687021" w:rsidRPr="00687021" w:rsidRDefault="00687021" w:rsidP="00687021">
            <w:pPr>
              <w:spacing w:after="0" w:line="240" w:lineRule="auto"/>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 xml:space="preserve">Sociální rehabilitace - příspěvek příspěvkovým organizacím </w:t>
            </w:r>
          </w:p>
        </w:tc>
        <w:tc>
          <w:tcPr>
            <w:tcW w:w="1418" w:type="dxa"/>
            <w:tcBorders>
              <w:top w:val="nil"/>
              <w:left w:val="nil"/>
              <w:bottom w:val="single" w:sz="4" w:space="0" w:color="auto"/>
              <w:right w:val="single" w:sz="4" w:space="0" w:color="auto"/>
            </w:tcBorders>
            <w:shd w:val="clear" w:color="auto" w:fill="auto"/>
            <w:vAlign w:val="bottom"/>
            <w:hideMark/>
          </w:tcPr>
          <w:p w14:paraId="2C66035A"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100 000</w:t>
            </w:r>
          </w:p>
        </w:tc>
        <w:tc>
          <w:tcPr>
            <w:tcW w:w="1701" w:type="dxa"/>
            <w:tcBorders>
              <w:top w:val="nil"/>
              <w:left w:val="nil"/>
              <w:bottom w:val="single" w:sz="4" w:space="0" w:color="auto"/>
              <w:right w:val="single" w:sz="4" w:space="0" w:color="auto"/>
            </w:tcBorders>
            <w:shd w:val="clear" w:color="auto" w:fill="auto"/>
            <w:vAlign w:val="bottom"/>
            <w:hideMark/>
          </w:tcPr>
          <w:p w14:paraId="609B4E36"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100 000,00</w:t>
            </w:r>
          </w:p>
        </w:tc>
        <w:tc>
          <w:tcPr>
            <w:tcW w:w="1789" w:type="dxa"/>
            <w:tcBorders>
              <w:top w:val="nil"/>
              <w:left w:val="nil"/>
              <w:bottom w:val="single" w:sz="4" w:space="0" w:color="auto"/>
              <w:right w:val="single" w:sz="4" w:space="0" w:color="auto"/>
            </w:tcBorders>
            <w:shd w:val="clear" w:color="auto" w:fill="auto"/>
            <w:vAlign w:val="bottom"/>
            <w:hideMark/>
          </w:tcPr>
          <w:p w14:paraId="41146880"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100 000,00</w:t>
            </w:r>
          </w:p>
        </w:tc>
        <w:tc>
          <w:tcPr>
            <w:tcW w:w="659" w:type="dxa"/>
            <w:tcBorders>
              <w:top w:val="single" w:sz="4" w:space="0" w:color="auto"/>
              <w:left w:val="nil"/>
              <w:bottom w:val="nil"/>
              <w:right w:val="single" w:sz="8" w:space="0" w:color="auto"/>
            </w:tcBorders>
            <w:shd w:val="clear" w:color="auto" w:fill="auto"/>
            <w:noWrap/>
            <w:vAlign w:val="bottom"/>
            <w:hideMark/>
          </w:tcPr>
          <w:p w14:paraId="46F9CC25"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100,0</w:t>
            </w:r>
          </w:p>
        </w:tc>
      </w:tr>
      <w:tr w:rsidR="00687021" w:rsidRPr="00687021" w14:paraId="004E29F0"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034B324F" w14:textId="77777777" w:rsidR="00687021" w:rsidRPr="00687021" w:rsidRDefault="00687021" w:rsidP="00687021">
            <w:pPr>
              <w:spacing w:after="0" w:line="240" w:lineRule="auto"/>
              <w:jc w:val="center"/>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 </w:t>
            </w:r>
          </w:p>
        </w:tc>
        <w:tc>
          <w:tcPr>
            <w:tcW w:w="10103" w:type="dxa"/>
            <w:gridSpan w:val="5"/>
            <w:tcBorders>
              <w:top w:val="single" w:sz="4" w:space="0" w:color="auto"/>
              <w:left w:val="nil"/>
              <w:bottom w:val="single" w:sz="4" w:space="0" w:color="auto"/>
              <w:right w:val="single" w:sz="8" w:space="0" w:color="000000"/>
            </w:tcBorders>
            <w:shd w:val="clear" w:color="auto" w:fill="auto"/>
            <w:vAlign w:val="bottom"/>
            <w:hideMark/>
          </w:tcPr>
          <w:p w14:paraId="76D5BA04" w14:textId="77777777" w:rsidR="00687021" w:rsidRPr="00687021" w:rsidRDefault="00687021" w:rsidP="00687021">
            <w:pPr>
              <w:spacing w:after="0" w:line="240" w:lineRule="auto"/>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z toho:</w:t>
            </w:r>
          </w:p>
        </w:tc>
      </w:tr>
      <w:tr w:rsidR="00687021" w:rsidRPr="00687021" w14:paraId="0B02C761"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51AB97C1" w14:textId="77777777" w:rsidR="00687021" w:rsidRPr="00687021" w:rsidRDefault="00687021" w:rsidP="00687021">
            <w:pPr>
              <w:spacing w:after="0" w:line="240" w:lineRule="auto"/>
              <w:jc w:val="center"/>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 </w:t>
            </w:r>
          </w:p>
        </w:tc>
        <w:tc>
          <w:tcPr>
            <w:tcW w:w="4536" w:type="dxa"/>
            <w:tcBorders>
              <w:top w:val="nil"/>
              <w:left w:val="nil"/>
              <w:bottom w:val="single" w:sz="4" w:space="0" w:color="auto"/>
              <w:right w:val="single" w:sz="4" w:space="0" w:color="auto"/>
            </w:tcBorders>
            <w:shd w:val="clear" w:color="auto" w:fill="auto"/>
            <w:vAlign w:val="bottom"/>
            <w:hideMark/>
          </w:tcPr>
          <w:p w14:paraId="3EE9B077" w14:textId="77777777" w:rsidR="00687021" w:rsidRPr="00687021" w:rsidRDefault="00687021" w:rsidP="00687021">
            <w:pPr>
              <w:spacing w:after="0" w:line="240" w:lineRule="auto"/>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příspěvek na mzdové výdaje</w:t>
            </w:r>
          </w:p>
        </w:tc>
        <w:tc>
          <w:tcPr>
            <w:tcW w:w="1418" w:type="dxa"/>
            <w:tcBorders>
              <w:top w:val="nil"/>
              <w:left w:val="nil"/>
              <w:bottom w:val="single" w:sz="4" w:space="0" w:color="auto"/>
              <w:right w:val="single" w:sz="4" w:space="0" w:color="auto"/>
            </w:tcBorders>
            <w:shd w:val="clear" w:color="auto" w:fill="auto"/>
            <w:vAlign w:val="bottom"/>
            <w:hideMark/>
          </w:tcPr>
          <w:p w14:paraId="262395EE"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100 000</w:t>
            </w:r>
          </w:p>
        </w:tc>
        <w:tc>
          <w:tcPr>
            <w:tcW w:w="1701" w:type="dxa"/>
            <w:tcBorders>
              <w:top w:val="nil"/>
              <w:left w:val="nil"/>
              <w:bottom w:val="single" w:sz="4" w:space="0" w:color="auto"/>
              <w:right w:val="single" w:sz="4" w:space="0" w:color="auto"/>
            </w:tcBorders>
            <w:shd w:val="clear" w:color="auto" w:fill="auto"/>
            <w:vAlign w:val="bottom"/>
            <w:hideMark/>
          </w:tcPr>
          <w:p w14:paraId="3E3B96FD"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100 000,00</w:t>
            </w:r>
          </w:p>
        </w:tc>
        <w:tc>
          <w:tcPr>
            <w:tcW w:w="1789" w:type="dxa"/>
            <w:tcBorders>
              <w:top w:val="nil"/>
              <w:left w:val="nil"/>
              <w:bottom w:val="single" w:sz="4" w:space="0" w:color="auto"/>
              <w:right w:val="single" w:sz="4" w:space="0" w:color="auto"/>
            </w:tcBorders>
            <w:shd w:val="clear" w:color="auto" w:fill="auto"/>
            <w:vAlign w:val="bottom"/>
            <w:hideMark/>
          </w:tcPr>
          <w:p w14:paraId="0F1C4559"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100 000,00</w:t>
            </w:r>
          </w:p>
        </w:tc>
        <w:tc>
          <w:tcPr>
            <w:tcW w:w="659" w:type="dxa"/>
            <w:tcBorders>
              <w:top w:val="nil"/>
              <w:left w:val="nil"/>
              <w:bottom w:val="nil"/>
              <w:right w:val="single" w:sz="8" w:space="0" w:color="auto"/>
            </w:tcBorders>
            <w:shd w:val="clear" w:color="auto" w:fill="auto"/>
            <w:noWrap/>
            <w:vAlign w:val="bottom"/>
            <w:hideMark/>
          </w:tcPr>
          <w:p w14:paraId="4A9D2E37"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100,0</w:t>
            </w:r>
          </w:p>
        </w:tc>
      </w:tr>
      <w:tr w:rsidR="00687021" w:rsidRPr="00687021" w14:paraId="726AC63F" w14:textId="77777777" w:rsidTr="00956DE6">
        <w:trPr>
          <w:trHeight w:val="51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04A78E16"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4349</w:t>
            </w:r>
          </w:p>
        </w:tc>
        <w:tc>
          <w:tcPr>
            <w:tcW w:w="4536" w:type="dxa"/>
            <w:tcBorders>
              <w:top w:val="nil"/>
              <w:left w:val="nil"/>
              <w:bottom w:val="single" w:sz="4" w:space="0" w:color="auto"/>
              <w:right w:val="single" w:sz="4" w:space="0" w:color="auto"/>
            </w:tcBorders>
            <w:shd w:val="clear" w:color="auto" w:fill="auto"/>
            <w:vAlign w:val="center"/>
            <w:hideMark/>
          </w:tcPr>
          <w:p w14:paraId="2B029E29" w14:textId="77777777" w:rsidR="00687021" w:rsidRPr="00687021" w:rsidRDefault="00687021" w:rsidP="00687021">
            <w:pPr>
              <w:spacing w:after="0" w:line="240" w:lineRule="auto"/>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Ostatní sociální péče a pomoc ostatním skupinám obyvatelstva</w:t>
            </w:r>
          </w:p>
        </w:tc>
        <w:tc>
          <w:tcPr>
            <w:tcW w:w="1418" w:type="dxa"/>
            <w:tcBorders>
              <w:top w:val="nil"/>
              <w:left w:val="nil"/>
              <w:bottom w:val="single" w:sz="4" w:space="0" w:color="auto"/>
              <w:right w:val="single" w:sz="4" w:space="0" w:color="auto"/>
            </w:tcBorders>
            <w:shd w:val="clear" w:color="auto" w:fill="auto"/>
            <w:vAlign w:val="bottom"/>
            <w:hideMark/>
          </w:tcPr>
          <w:p w14:paraId="1E7A5F44"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300 000</w:t>
            </w:r>
          </w:p>
        </w:tc>
        <w:tc>
          <w:tcPr>
            <w:tcW w:w="1701" w:type="dxa"/>
            <w:tcBorders>
              <w:top w:val="nil"/>
              <w:left w:val="nil"/>
              <w:bottom w:val="single" w:sz="4" w:space="0" w:color="auto"/>
              <w:right w:val="single" w:sz="4" w:space="0" w:color="auto"/>
            </w:tcBorders>
            <w:shd w:val="clear" w:color="auto" w:fill="auto"/>
            <w:vAlign w:val="bottom"/>
            <w:hideMark/>
          </w:tcPr>
          <w:p w14:paraId="57A57B69"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300 000,00</w:t>
            </w:r>
          </w:p>
        </w:tc>
        <w:tc>
          <w:tcPr>
            <w:tcW w:w="1789" w:type="dxa"/>
            <w:tcBorders>
              <w:top w:val="nil"/>
              <w:left w:val="nil"/>
              <w:bottom w:val="single" w:sz="4" w:space="0" w:color="auto"/>
              <w:right w:val="single" w:sz="4" w:space="0" w:color="auto"/>
            </w:tcBorders>
            <w:shd w:val="clear" w:color="auto" w:fill="auto"/>
            <w:vAlign w:val="bottom"/>
            <w:hideMark/>
          </w:tcPr>
          <w:p w14:paraId="027C3E78"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0,00</w:t>
            </w:r>
          </w:p>
        </w:tc>
        <w:tc>
          <w:tcPr>
            <w:tcW w:w="659" w:type="dxa"/>
            <w:tcBorders>
              <w:top w:val="single" w:sz="4" w:space="0" w:color="auto"/>
              <w:left w:val="nil"/>
              <w:bottom w:val="nil"/>
              <w:right w:val="single" w:sz="8" w:space="0" w:color="auto"/>
            </w:tcBorders>
            <w:shd w:val="clear" w:color="auto" w:fill="auto"/>
            <w:noWrap/>
            <w:vAlign w:val="bottom"/>
            <w:hideMark/>
          </w:tcPr>
          <w:p w14:paraId="73753478"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0,0</w:t>
            </w:r>
          </w:p>
        </w:tc>
      </w:tr>
      <w:tr w:rsidR="00687021" w:rsidRPr="00687021" w14:paraId="2B4098D8"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054449F7"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4350</w:t>
            </w:r>
          </w:p>
        </w:tc>
        <w:tc>
          <w:tcPr>
            <w:tcW w:w="4536" w:type="dxa"/>
            <w:tcBorders>
              <w:top w:val="nil"/>
              <w:left w:val="nil"/>
              <w:bottom w:val="single" w:sz="4" w:space="0" w:color="auto"/>
              <w:right w:val="single" w:sz="4" w:space="0" w:color="auto"/>
            </w:tcBorders>
            <w:shd w:val="clear" w:color="auto" w:fill="auto"/>
            <w:vAlign w:val="bottom"/>
            <w:hideMark/>
          </w:tcPr>
          <w:p w14:paraId="27D62B93" w14:textId="77777777" w:rsidR="00687021" w:rsidRPr="00687021" w:rsidRDefault="00687021" w:rsidP="00687021">
            <w:pPr>
              <w:spacing w:after="0" w:line="240" w:lineRule="auto"/>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 xml:space="preserve">Domovy pro seniory - příspěvek příspěvkovým organizacím </w:t>
            </w:r>
          </w:p>
        </w:tc>
        <w:tc>
          <w:tcPr>
            <w:tcW w:w="1418" w:type="dxa"/>
            <w:tcBorders>
              <w:top w:val="nil"/>
              <w:left w:val="nil"/>
              <w:bottom w:val="single" w:sz="4" w:space="0" w:color="auto"/>
              <w:right w:val="single" w:sz="4" w:space="0" w:color="auto"/>
            </w:tcBorders>
            <w:shd w:val="clear" w:color="auto" w:fill="auto"/>
            <w:vAlign w:val="bottom"/>
            <w:hideMark/>
          </w:tcPr>
          <w:p w14:paraId="5E526BA2"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128 000 000</w:t>
            </w:r>
          </w:p>
        </w:tc>
        <w:tc>
          <w:tcPr>
            <w:tcW w:w="1701" w:type="dxa"/>
            <w:tcBorders>
              <w:top w:val="nil"/>
              <w:left w:val="nil"/>
              <w:bottom w:val="single" w:sz="4" w:space="0" w:color="auto"/>
              <w:right w:val="single" w:sz="4" w:space="0" w:color="auto"/>
            </w:tcBorders>
            <w:shd w:val="clear" w:color="auto" w:fill="auto"/>
            <w:vAlign w:val="bottom"/>
            <w:hideMark/>
          </w:tcPr>
          <w:p w14:paraId="1AF81FC3"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170 937 078,00</w:t>
            </w:r>
          </w:p>
        </w:tc>
        <w:tc>
          <w:tcPr>
            <w:tcW w:w="1789" w:type="dxa"/>
            <w:tcBorders>
              <w:top w:val="nil"/>
              <w:left w:val="nil"/>
              <w:bottom w:val="single" w:sz="4" w:space="0" w:color="auto"/>
              <w:right w:val="single" w:sz="4" w:space="0" w:color="auto"/>
            </w:tcBorders>
            <w:shd w:val="clear" w:color="auto" w:fill="auto"/>
            <w:vAlign w:val="bottom"/>
            <w:hideMark/>
          </w:tcPr>
          <w:p w14:paraId="3BE7439F"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168 211 367,00</w:t>
            </w:r>
          </w:p>
        </w:tc>
        <w:tc>
          <w:tcPr>
            <w:tcW w:w="659" w:type="dxa"/>
            <w:tcBorders>
              <w:top w:val="single" w:sz="4" w:space="0" w:color="auto"/>
              <w:left w:val="nil"/>
              <w:bottom w:val="nil"/>
              <w:right w:val="single" w:sz="8" w:space="0" w:color="auto"/>
            </w:tcBorders>
            <w:shd w:val="clear" w:color="auto" w:fill="auto"/>
            <w:noWrap/>
            <w:vAlign w:val="bottom"/>
            <w:hideMark/>
          </w:tcPr>
          <w:p w14:paraId="321A050D"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98,4</w:t>
            </w:r>
          </w:p>
        </w:tc>
      </w:tr>
      <w:tr w:rsidR="00687021" w:rsidRPr="00687021" w14:paraId="777112A3"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68345721" w14:textId="77777777" w:rsidR="00687021" w:rsidRPr="00687021" w:rsidRDefault="00687021" w:rsidP="00687021">
            <w:pPr>
              <w:spacing w:after="0" w:line="240" w:lineRule="auto"/>
              <w:jc w:val="center"/>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 </w:t>
            </w:r>
          </w:p>
        </w:tc>
        <w:tc>
          <w:tcPr>
            <w:tcW w:w="10103" w:type="dxa"/>
            <w:gridSpan w:val="5"/>
            <w:tcBorders>
              <w:top w:val="single" w:sz="4" w:space="0" w:color="auto"/>
              <w:left w:val="nil"/>
              <w:bottom w:val="single" w:sz="4" w:space="0" w:color="auto"/>
              <w:right w:val="single" w:sz="8" w:space="0" w:color="000000"/>
            </w:tcBorders>
            <w:shd w:val="clear" w:color="auto" w:fill="auto"/>
            <w:vAlign w:val="bottom"/>
            <w:hideMark/>
          </w:tcPr>
          <w:p w14:paraId="3AFF83D3" w14:textId="77777777" w:rsidR="00687021" w:rsidRPr="00687021" w:rsidRDefault="00687021" w:rsidP="00687021">
            <w:pPr>
              <w:spacing w:after="0" w:line="240" w:lineRule="auto"/>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z toho:</w:t>
            </w:r>
          </w:p>
        </w:tc>
      </w:tr>
      <w:tr w:rsidR="00687021" w:rsidRPr="00687021" w14:paraId="4790B383"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47E4E103" w14:textId="77777777" w:rsidR="00687021" w:rsidRPr="00687021" w:rsidRDefault="00687021" w:rsidP="00687021">
            <w:pPr>
              <w:spacing w:after="0" w:line="240" w:lineRule="auto"/>
              <w:jc w:val="center"/>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 </w:t>
            </w:r>
          </w:p>
        </w:tc>
        <w:tc>
          <w:tcPr>
            <w:tcW w:w="4536" w:type="dxa"/>
            <w:tcBorders>
              <w:top w:val="nil"/>
              <w:left w:val="nil"/>
              <w:bottom w:val="single" w:sz="4" w:space="0" w:color="auto"/>
              <w:right w:val="single" w:sz="4" w:space="0" w:color="auto"/>
            </w:tcBorders>
            <w:shd w:val="clear" w:color="auto" w:fill="auto"/>
            <w:vAlign w:val="bottom"/>
            <w:hideMark/>
          </w:tcPr>
          <w:p w14:paraId="32991C36" w14:textId="77777777" w:rsidR="00687021" w:rsidRPr="00687021" w:rsidRDefault="00687021" w:rsidP="00687021">
            <w:pPr>
              <w:spacing w:after="0" w:line="240" w:lineRule="auto"/>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příspěvek na provoz</w:t>
            </w:r>
          </w:p>
        </w:tc>
        <w:tc>
          <w:tcPr>
            <w:tcW w:w="1418" w:type="dxa"/>
            <w:tcBorders>
              <w:top w:val="nil"/>
              <w:left w:val="nil"/>
              <w:bottom w:val="single" w:sz="4" w:space="0" w:color="auto"/>
              <w:right w:val="single" w:sz="4" w:space="0" w:color="auto"/>
            </w:tcBorders>
            <w:shd w:val="clear" w:color="auto" w:fill="auto"/>
            <w:vAlign w:val="bottom"/>
            <w:hideMark/>
          </w:tcPr>
          <w:p w14:paraId="36DC2194"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44 000 000</w:t>
            </w:r>
          </w:p>
        </w:tc>
        <w:tc>
          <w:tcPr>
            <w:tcW w:w="1701" w:type="dxa"/>
            <w:tcBorders>
              <w:top w:val="nil"/>
              <w:left w:val="nil"/>
              <w:bottom w:val="single" w:sz="4" w:space="0" w:color="auto"/>
              <w:right w:val="single" w:sz="4" w:space="0" w:color="auto"/>
            </w:tcBorders>
            <w:shd w:val="clear" w:color="auto" w:fill="auto"/>
            <w:vAlign w:val="bottom"/>
            <w:hideMark/>
          </w:tcPr>
          <w:p w14:paraId="3600FC10"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54 770 700,00</w:t>
            </w:r>
          </w:p>
        </w:tc>
        <w:tc>
          <w:tcPr>
            <w:tcW w:w="1789" w:type="dxa"/>
            <w:tcBorders>
              <w:top w:val="nil"/>
              <w:left w:val="nil"/>
              <w:bottom w:val="single" w:sz="4" w:space="0" w:color="auto"/>
              <w:right w:val="single" w:sz="4" w:space="0" w:color="auto"/>
            </w:tcBorders>
            <w:shd w:val="clear" w:color="auto" w:fill="auto"/>
            <w:noWrap/>
            <w:vAlign w:val="bottom"/>
            <w:hideMark/>
          </w:tcPr>
          <w:p w14:paraId="5ED2CEB9"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52 966 852,00</w:t>
            </w:r>
          </w:p>
        </w:tc>
        <w:tc>
          <w:tcPr>
            <w:tcW w:w="659" w:type="dxa"/>
            <w:tcBorders>
              <w:top w:val="nil"/>
              <w:left w:val="nil"/>
              <w:bottom w:val="nil"/>
              <w:right w:val="single" w:sz="8" w:space="0" w:color="auto"/>
            </w:tcBorders>
            <w:shd w:val="clear" w:color="auto" w:fill="auto"/>
            <w:noWrap/>
            <w:vAlign w:val="bottom"/>
            <w:hideMark/>
          </w:tcPr>
          <w:p w14:paraId="58517209"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96,7</w:t>
            </w:r>
          </w:p>
        </w:tc>
      </w:tr>
      <w:tr w:rsidR="00687021" w:rsidRPr="00687021" w14:paraId="0E97ACB7"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1543862E" w14:textId="77777777" w:rsidR="00687021" w:rsidRPr="00687021" w:rsidRDefault="00687021" w:rsidP="00687021">
            <w:pPr>
              <w:spacing w:after="0" w:line="240" w:lineRule="auto"/>
              <w:jc w:val="center"/>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 </w:t>
            </w:r>
          </w:p>
        </w:tc>
        <w:tc>
          <w:tcPr>
            <w:tcW w:w="4536" w:type="dxa"/>
            <w:tcBorders>
              <w:top w:val="nil"/>
              <w:left w:val="nil"/>
              <w:bottom w:val="single" w:sz="4" w:space="0" w:color="auto"/>
              <w:right w:val="single" w:sz="4" w:space="0" w:color="auto"/>
            </w:tcBorders>
            <w:shd w:val="clear" w:color="auto" w:fill="auto"/>
            <w:vAlign w:val="bottom"/>
            <w:hideMark/>
          </w:tcPr>
          <w:p w14:paraId="5A7F412A" w14:textId="77777777" w:rsidR="00687021" w:rsidRPr="00687021" w:rsidRDefault="00687021" w:rsidP="00687021">
            <w:pPr>
              <w:spacing w:after="0" w:line="240" w:lineRule="auto"/>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příspěvek na mzdové výdaje</w:t>
            </w:r>
          </w:p>
        </w:tc>
        <w:tc>
          <w:tcPr>
            <w:tcW w:w="1418" w:type="dxa"/>
            <w:tcBorders>
              <w:top w:val="nil"/>
              <w:left w:val="nil"/>
              <w:bottom w:val="single" w:sz="4" w:space="0" w:color="auto"/>
              <w:right w:val="single" w:sz="4" w:space="0" w:color="auto"/>
            </w:tcBorders>
            <w:shd w:val="clear" w:color="auto" w:fill="auto"/>
            <w:vAlign w:val="bottom"/>
            <w:hideMark/>
          </w:tcPr>
          <w:p w14:paraId="5EF3D9C6"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74 000 000</w:t>
            </w:r>
          </w:p>
        </w:tc>
        <w:tc>
          <w:tcPr>
            <w:tcW w:w="1701" w:type="dxa"/>
            <w:tcBorders>
              <w:top w:val="nil"/>
              <w:left w:val="nil"/>
              <w:bottom w:val="single" w:sz="4" w:space="0" w:color="auto"/>
              <w:right w:val="single" w:sz="4" w:space="0" w:color="auto"/>
            </w:tcBorders>
            <w:shd w:val="clear" w:color="auto" w:fill="auto"/>
            <w:vAlign w:val="bottom"/>
            <w:hideMark/>
          </w:tcPr>
          <w:p w14:paraId="4BF661E3"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104 706 778,00</w:t>
            </w:r>
          </w:p>
        </w:tc>
        <w:tc>
          <w:tcPr>
            <w:tcW w:w="1789" w:type="dxa"/>
            <w:tcBorders>
              <w:top w:val="nil"/>
              <w:left w:val="nil"/>
              <w:bottom w:val="single" w:sz="4" w:space="0" w:color="auto"/>
              <w:right w:val="single" w:sz="4" w:space="0" w:color="auto"/>
            </w:tcBorders>
            <w:shd w:val="clear" w:color="auto" w:fill="auto"/>
            <w:vAlign w:val="bottom"/>
            <w:hideMark/>
          </w:tcPr>
          <w:p w14:paraId="46161CF4"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104 706 778,00</w:t>
            </w:r>
          </w:p>
        </w:tc>
        <w:tc>
          <w:tcPr>
            <w:tcW w:w="659" w:type="dxa"/>
            <w:tcBorders>
              <w:top w:val="single" w:sz="4" w:space="0" w:color="auto"/>
              <w:left w:val="nil"/>
              <w:bottom w:val="nil"/>
              <w:right w:val="single" w:sz="8" w:space="0" w:color="auto"/>
            </w:tcBorders>
            <w:shd w:val="clear" w:color="auto" w:fill="auto"/>
            <w:noWrap/>
            <w:vAlign w:val="bottom"/>
            <w:hideMark/>
          </w:tcPr>
          <w:p w14:paraId="59618E29"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100,0</w:t>
            </w:r>
          </w:p>
        </w:tc>
      </w:tr>
      <w:tr w:rsidR="00687021" w:rsidRPr="00687021" w14:paraId="277E63BE"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6BC99895"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 </w:t>
            </w:r>
          </w:p>
        </w:tc>
        <w:tc>
          <w:tcPr>
            <w:tcW w:w="4536" w:type="dxa"/>
            <w:tcBorders>
              <w:top w:val="nil"/>
              <w:left w:val="nil"/>
              <w:bottom w:val="single" w:sz="4" w:space="0" w:color="auto"/>
              <w:right w:val="single" w:sz="4" w:space="0" w:color="auto"/>
            </w:tcBorders>
            <w:shd w:val="clear" w:color="auto" w:fill="auto"/>
            <w:vAlign w:val="bottom"/>
            <w:hideMark/>
          </w:tcPr>
          <w:p w14:paraId="2FEF7D7F" w14:textId="77777777" w:rsidR="00687021" w:rsidRPr="00687021" w:rsidRDefault="00687021" w:rsidP="00687021">
            <w:pPr>
              <w:spacing w:after="0" w:line="240" w:lineRule="auto"/>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příspěvek na běžné opravy a udržování</w:t>
            </w:r>
          </w:p>
        </w:tc>
        <w:tc>
          <w:tcPr>
            <w:tcW w:w="1418" w:type="dxa"/>
            <w:tcBorders>
              <w:top w:val="nil"/>
              <w:left w:val="nil"/>
              <w:bottom w:val="single" w:sz="4" w:space="0" w:color="auto"/>
              <w:right w:val="single" w:sz="4" w:space="0" w:color="auto"/>
            </w:tcBorders>
            <w:shd w:val="clear" w:color="auto" w:fill="auto"/>
            <w:vAlign w:val="bottom"/>
            <w:hideMark/>
          </w:tcPr>
          <w:p w14:paraId="11AE443C"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10 000 000</w:t>
            </w:r>
          </w:p>
        </w:tc>
        <w:tc>
          <w:tcPr>
            <w:tcW w:w="1701" w:type="dxa"/>
            <w:tcBorders>
              <w:top w:val="nil"/>
              <w:left w:val="nil"/>
              <w:bottom w:val="single" w:sz="4" w:space="0" w:color="auto"/>
              <w:right w:val="single" w:sz="4" w:space="0" w:color="auto"/>
            </w:tcBorders>
            <w:shd w:val="clear" w:color="auto" w:fill="auto"/>
            <w:vAlign w:val="bottom"/>
            <w:hideMark/>
          </w:tcPr>
          <w:p w14:paraId="657C7621"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11 459 600,00</w:t>
            </w:r>
          </w:p>
        </w:tc>
        <w:tc>
          <w:tcPr>
            <w:tcW w:w="1789" w:type="dxa"/>
            <w:tcBorders>
              <w:top w:val="nil"/>
              <w:left w:val="nil"/>
              <w:bottom w:val="single" w:sz="4" w:space="0" w:color="auto"/>
              <w:right w:val="single" w:sz="4" w:space="0" w:color="auto"/>
            </w:tcBorders>
            <w:shd w:val="clear" w:color="auto" w:fill="auto"/>
            <w:vAlign w:val="bottom"/>
            <w:hideMark/>
          </w:tcPr>
          <w:p w14:paraId="72CCC300"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10 537 737,00</w:t>
            </w:r>
          </w:p>
        </w:tc>
        <w:tc>
          <w:tcPr>
            <w:tcW w:w="659" w:type="dxa"/>
            <w:tcBorders>
              <w:top w:val="single" w:sz="4" w:space="0" w:color="auto"/>
              <w:left w:val="nil"/>
              <w:bottom w:val="nil"/>
              <w:right w:val="single" w:sz="8" w:space="0" w:color="auto"/>
            </w:tcBorders>
            <w:shd w:val="clear" w:color="auto" w:fill="auto"/>
            <w:noWrap/>
            <w:vAlign w:val="bottom"/>
            <w:hideMark/>
          </w:tcPr>
          <w:p w14:paraId="3461D03C"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92,0</w:t>
            </w:r>
          </w:p>
        </w:tc>
      </w:tr>
      <w:tr w:rsidR="00687021" w:rsidRPr="00687021" w14:paraId="46A09A84" w14:textId="77777777" w:rsidTr="00956DE6">
        <w:trPr>
          <w:trHeight w:val="769"/>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36C5309D"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4351</w:t>
            </w:r>
          </w:p>
        </w:tc>
        <w:tc>
          <w:tcPr>
            <w:tcW w:w="4536" w:type="dxa"/>
            <w:tcBorders>
              <w:top w:val="nil"/>
              <w:left w:val="nil"/>
              <w:bottom w:val="single" w:sz="4" w:space="0" w:color="auto"/>
              <w:right w:val="single" w:sz="4" w:space="0" w:color="auto"/>
            </w:tcBorders>
            <w:shd w:val="clear" w:color="auto" w:fill="auto"/>
            <w:vAlign w:val="center"/>
            <w:hideMark/>
          </w:tcPr>
          <w:p w14:paraId="45E6C08A" w14:textId="77777777" w:rsidR="00687021" w:rsidRPr="00687021" w:rsidRDefault="00687021" w:rsidP="00687021">
            <w:pPr>
              <w:spacing w:after="0" w:line="240" w:lineRule="auto"/>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 xml:space="preserve">Osobní asistence, pečovatelská služba a podpora samostatného bydlení - příspěvek příspěvkovým organizacím </w:t>
            </w:r>
          </w:p>
        </w:tc>
        <w:tc>
          <w:tcPr>
            <w:tcW w:w="1418" w:type="dxa"/>
            <w:tcBorders>
              <w:top w:val="nil"/>
              <w:left w:val="nil"/>
              <w:bottom w:val="single" w:sz="4" w:space="0" w:color="auto"/>
              <w:right w:val="single" w:sz="4" w:space="0" w:color="auto"/>
            </w:tcBorders>
            <w:shd w:val="clear" w:color="auto" w:fill="auto"/>
            <w:vAlign w:val="bottom"/>
            <w:hideMark/>
          </w:tcPr>
          <w:p w14:paraId="40754F3D"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1 700 000</w:t>
            </w:r>
          </w:p>
        </w:tc>
        <w:tc>
          <w:tcPr>
            <w:tcW w:w="1701" w:type="dxa"/>
            <w:tcBorders>
              <w:top w:val="nil"/>
              <w:left w:val="nil"/>
              <w:bottom w:val="single" w:sz="4" w:space="0" w:color="auto"/>
              <w:right w:val="single" w:sz="4" w:space="0" w:color="auto"/>
            </w:tcBorders>
            <w:shd w:val="clear" w:color="auto" w:fill="auto"/>
            <w:vAlign w:val="bottom"/>
            <w:hideMark/>
          </w:tcPr>
          <w:p w14:paraId="6F6DC095"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1 934 500,00</w:t>
            </w:r>
          </w:p>
        </w:tc>
        <w:tc>
          <w:tcPr>
            <w:tcW w:w="1789" w:type="dxa"/>
            <w:tcBorders>
              <w:top w:val="nil"/>
              <w:left w:val="nil"/>
              <w:bottom w:val="single" w:sz="4" w:space="0" w:color="auto"/>
              <w:right w:val="single" w:sz="4" w:space="0" w:color="auto"/>
            </w:tcBorders>
            <w:shd w:val="clear" w:color="auto" w:fill="auto"/>
            <w:vAlign w:val="bottom"/>
            <w:hideMark/>
          </w:tcPr>
          <w:p w14:paraId="608203C5"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1 854 500,00</w:t>
            </w:r>
          </w:p>
        </w:tc>
        <w:tc>
          <w:tcPr>
            <w:tcW w:w="659" w:type="dxa"/>
            <w:tcBorders>
              <w:top w:val="single" w:sz="4" w:space="0" w:color="auto"/>
              <w:left w:val="nil"/>
              <w:bottom w:val="nil"/>
              <w:right w:val="single" w:sz="8" w:space="0" w:color="auto"/>
            </w:tcBorders>
            <w:shd w:val="clear" w:color="auto" w:fill="auto"/>
            <w:noWrap/>
            <w:vAlign w:val="bottom"/>
            <w:hideMark/>
          </w:tcPr>
          <w:p w14:paraId="76D78F47"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95,9</w:t>
            </w:r>
          </w:p>
        </w:tc>
      </w:tr>
      <w:tr w:rsidR="00687021" w:rsidRPr="00687021" w14:paraId="0D03F3E5"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1A54A062" w14:textId="77777777" w:rsidR="00687021" w:rsidRPr="00687021" w:rsidRDefault="00687021" w:rsidP="00687021">
            <w:pPr>
              <w:spacing w:after="0" w:line="240" w:lineRule="auto"/>
              <w:jc w:val="center"/>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 </w:t>
            </w:r>
          </w:p>
        </w:tc>
        <w:tc>
          <w:tcPr>
            <w:tcW w:w="10103" w:type="dxa"/>
            <w:gridSpan w:val="5"/>
            <w:tcBorders>
              <w:top w:val="single" w:sz="4" w:space="0" w:color="auto"/>
              <w:left w:val="nil"/>
              <w:bottom w:val="single" w:sz="4" w:space="0" w:color="auto"/>
              <w:right w:val="single" w:sz="8" w:space="0" w:color="000000"/>
            </w:tcBorders>
            <w:shd w:val="clear" w:color="auto" w:fill="auto"/>
            <w:vAlign w:val="bottom"/>
            <w:hideMark/>
          </w:tcPr>
          <w:p w14:paraId="3B998EB1" w14:textId="77777777" w:rsidR="00687021" w:rsidRPr="00687021" w:rsidRDefault="00687021" w:rsidP="00687021">
            <w:pPr>
              <w:spacing w:after="0" w:line="240" w:lineRule="auto"/>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z toho:</w:t>
            </w:r>
          </w:p>
        </w:tc>
      </w:tr>
      <w:tr w:rsidR="00687021" w:rsidRPr="00687021" w14:paraId="35030E09"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6BB058A1" w14:textId="77777777" w:rsidR="00687021" w:rsidRPr="00687021" w:rsidRDefault="00687021" w:rsidP="00687021">
            <w:pPr>
              <w:spacing w:after="0" w:line="240" w:lineRule="auto"/>
              <w:jc w:val="center"/>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 </w:t>
            </w:r>
          </w:p>
        </w:tc>
        <w:tc>
          <w:tcPr>
            <w:tcW w:w="4536" w:type="dxa"/>
            <w:tcBorders>
              <w:top w:val="nil"/>
              <w:left w:val="nil"/>
              <w:bottom w:val="single" w:sz="4" w:space="0" w:color="auto"/>
              <w:right w:val="single" w:sz="4" w:space="0" w:color="auto"/>
            </w:tcBorders>
            <w:shd w:val="clear" w:color="auto" w:fill="auto"/>
            <w:vAlign w:val="bottom"/>
            <w:hideMark/>
          </w:tcPr>
          <w:p w14:paraId="6744FA6B" w14:textId="77777777" w:rsidR="00687021" w:rsidRPr="00687021" w:rsidRDefault="00687021" w:rsidP="00687021">
            <w:pPr>
              <w:spacing w:after="0" w:line="240" w:lineRule="auto"/>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příspěvek na provoz</w:t>
            </w:r>
          </w:p>
        </w:tc>
        <w:tc>
          <w:tcPr>
            <w:tcW w:w="1418" w:type="dxa"/>
            <w:tcBorders>
              <w:top w:val="nil"/>
              <w:left w:val="nil"/>
              <w:bottom w:val="single" w:sz="4" w:space="0" w:color="auto"/>
              <w:right w:val="single" w:sz="4" w:space="0" w:color="auto"/>
            </w:tcBorders>
            <w:shd w:val="clear" w:color="auto" w:fill="auto"/>
            <w:vAlign w:val="bottom"/>
            <w:hideMark/>
          </w:tcPr>
          <w:p w14:paraId="5C47C44B"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300 000</w:t>
            </w:r>
          </w:p>
        </w:tc>
        <w:tc>
          <w:tcPr>
            <w:tcW w:w="1701" w:type="dxa"/>
            <w:tcBorders>
              <w:top w:val="nil"/>
              <w:left w:val="nil"/>
              <w:bottom w:val="single" w:sz="4" w:space="0" w:color="auto"/>
              <w:right w:val="single" w:sz="4" w:space="0" w:color="auto"/>
            </w:tcBorders>
            <w:shd w:val="clear" w:color="auto" w:fill="auto"/>
            <w:vAlign w:val="bottom"/>
            <w:hideMark/>
          </w:tcPr>
          <w:p w14:paraId="484260E4"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300 000,00</w:t>
            </w:r>
          </w:p>
        </w:tc>
        <w:tc>
          <w:tcPr>
            <w:tcW w:w="1789" w:type="dxa"/>
            <w:tcBorders>
              <w:top w:val="nil"/>
              <w:left w:val="nil"/>
              <w:bottom w:val="single" w:sz="4" w:space="0" w:color="auto"/>
              <w:right w:val="single" w:sz="4" w:space="0" w:color="auto"/>
            </w:tcBorders>
            <w:shd w:val="clear" w:color="auto" w:fill="auto"/>
            <w:noWrap/>
            <w:vAlign w:val="bottom"/>
            <w:hideMark/>
          </w:tcPr>
          <w:p w14:paraId="358BD708"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220 000,00</w:t>
            </w:r>
          </w:p>
        </w:tc>
        <w:tc>
          <w:tcPr>
            <w:tcW w:w="659" w:type="dxa"/>
            <w:tcBorders>
              <w:top w:val="nil"/>
              <w:left w:val="nil"/>
              <w:bottom w:val="nil"/>
              <w:right w:val="single" w:sz="8" w:space="0" w:color="auto"/>
            </w:tcBorders>
            <w:shd w:val="clear" w:color="auto" w:fill="auto"/>
            <w:noWrap/>
            <w:vAlign w:val="bottom"/>
            <w:hideMark/>
          </w:tcPr>
          <w:p w14:paraId="50C51D54"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73,3</w:t>
            </w:r>
          </w:p>
        </w:tc>
      </w:tr>
      <w:tr w:rsidR="00687021" w:rsidRPr="00687021" w14:paraId="4B8825A6"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513E4609" w14:textId="77777777" w:rsidR="00687021" w:rsidRPr="00687021" w:rsidRDefault="00687021" w:rsidP="00687021">
            <w:pPr>
              <w:spacing w:after="0" w:line="240" w:lineRule="auto"/>
              <w:jc w:val="center"/>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 </w:t>
            </w:r>
          </w:p>
        </w:tc>
        <w:tc>
          <w:tcPr>
            <w:tcW w:w="4536" w:type="dxa"/>
            <w:tcBorders>
              <w:top w:val="nil"/>
              <w:left w:val="nil"/>
              <w:bottom w:val="single" w:sz="4" w:space="0" w:color="auto"/>
              <w:right w:val="single" w:sz="4" w:space="0" w:color="auto"/>
            </w:tcBorders>
            <w:shd w:val="clear" w:color="auto" w:fill="auto"/>
            <w:vAlign w:val="bottom"/>
            <w:hideMark/>
          </w:tcPr>
          <w:p w14:paraId="5D11AE25" w14:textId="77777777" w:rsidR="00687021" w:rsidRPr="00687021" w:rsidRDefault="00687021" w:rsidP="00687021">
            <w:pPr>
              <w:spacing w:after="0" w:line="240" w:lineRule="auto"/>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příspěvek na mzdové výdaje</w:t>
            </w:r>
          </w:p>
        </w:tc>
        <w:tc>
          <w:tcPr>
            <w:tcW w:w="1418" w:type="dxa"/>
            <w:tcBorders>
              <w:top w:val="nil"/>
              <w:left w:val="nil"/>
              <w:bottom w:val="single" w:sz="4" w:space="0" w:color="auto"/>
              <w:right w:val="single" w:sz="4" w:space="0" w:color="auto"/>
            </w:tcBorders>
            <w:shd w:val="clear" w:color="auto" w:fill="auto"/>
            <w:vAlign w:val="bottom"/>
            <w:hideMark/>
          </w:tcPr>
          <w:p w14:paraId="0A52AA58"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1 400 000</w:t>
            </w:r>
          </w:p>
        </w:tc>
        <w:tc>
          <w:tcPr>
            <w:tcW w:w="1701" w:type="dxa"/>
            <w:tcBorders>
              <w:top w:val="nil"/>
              <w:left w:val="nil"/>
              <w:bottom w:val="single" w:sz="4" w:space="0" w:color="auto"/>
              <w:right w:val="single" w:sz="4" w:space="0" w:color="auto"/>
            </w:tcBorders>
            <w:shd w:val="clear" w:color="auto" w:fill="auto"/>
            <w:vAlign w:val="bottom"/>
            <w:hideMark/>
          </w:tcPr>
          <w:p w14:paraId="205DB0D6"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1 608 000,00</w:t>
            </w:r>
          </w:p>
        </w:tc>
        <w:tc>
          <w:tcPr>
            <w:tcW w:w="1789" w:type="dxa"/>
            <w:tcBorders>
              <w:top w:val="nil"/>
              <w:left w:val="nil"/>
              <w:bottom w:val="single" w:sz="4" w:space="0" w:color="auto"/>
              <w:right w:val="single" w:sz="4" w:space="0" w:color="auto"/>
            </w:tcBorders>
            <w:shd w:val="clear" w:color="auto" w:fill="auto"/>
            <w:vAlign w:val="bottom"/>
            <w:hideMark/>
          </w:tcPr>
          <w:p w14:paraId="4555C46E"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1 608 000,00</w:t>
            </w:r>
          </w:p>
        </w:tc>
        <w:tc>
          <w:tcPr>
            <w:tcW w:w="659" w:type="dxa"/>
            <w:tcBorders>
              <w:top w:val="single" w:sz="4" w:space="0" w:color="auto"/>
              <w:left w:val="nil"/>
              <w:bottom w:val="nil"/>
              <w:right w:val="single" w:sz="8" w:space="0" w:color="auto"/>
            </w:tcBorders>
            <w:shd w:val="clear" w:color="auto" w:fill="auto"/>
            <w:noWrap/>
            <w:vAlign w:val="bottom"/>
            <w:hideMark/>
          </w:tcPr>
          <w:p w14:paraId="065D7CC4"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100,0</w:t>
            </w:r>
          </w:p>
        </w:tc>
      </w:tr>
      <w:tr w:rsidR="00687021" w:rsidRPr="00687021" w14:paraId="0A9085BC"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41191EDB"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 </w:t>
            </w:r>
          </w:p>
        </w:tc>
        <w:tc>
          <w:tcPr>
            <w:tcW w:w="4536" w:type="dxa"/>
            <w:tcBorders>
              <w:top w:val="nil"/>
              <w:left w:val="nil"/>
              <w:bottom w:val="single" w:sz="4" w:space="0" w:color="auto"/>
              <w:right w:val="single" w:sz="4" w:space="0" w:color="auto"/>
            </w:tcBorders>
            <w:shd w:val="clear" w:color="auto" w:fill="auto"/>
            <w:vAlign w:val="bottom"/>
            <w:hideMark/>
          </w:tcPr>
          <w:p w14:paraId="7BC19152" w14:textId="77777777" w:rsidR="00687021" w:rsidRPr="00687021" w:rsidRDefault="00687021" w:rsidP="00687021">
            <w:pPr>
              <w:spacing w:after="0" w:line="240" w:lineRule="auto"/>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příspěvek na běžné opravy a udržování</w:t>
            </w:r>
          </w:p>
        </w:tc>
        <w:tc>
          <w:tcPr>
            <w:tcW w:w="1418" w:type="dxa"/>
            <w:tcBorders>
              <w:top w:val="nil"/>
              <w:left w:val="nil"/>
              <w:bottom w:val="single" w:sz="4" w:space="0" w:color="auto"/>
              <w:right w:val="single" w:sz="4" w:space="0" w:color="auto"/>
            </w:tcBorders>
            <w:shd w:val="clear" w:color="auto" w:fill="auto"/>
            <w:vAlign w:val="bottom"/>
            <w:hideMark/>
          </w:tcPr>
          <w:p w14:paraId="4BF0E7DB"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0</w:t>
            </w:r>
          </w:p>
        </w:tc>
        <w:tc>
          <w:tcPr>
            <w:tcW w:w="1701" w:type="dxa"/>
            <w:tcBorders>
              <w:top w:val="nil"/>
              <w:left w:val="nil"/>
              <w:bottom w:val="single" w:sz="4" w:space="0" w:color="auto"/>
              <w:right w:val="single" w:sz="4" w:space="0" w:color="auto"/>
            </w:tcBorders>
            <w:shd w:val="clear" w:color="auto" w:fill="auto"/>
            <w:vAlign w:val="bottom"/>
            <w:hideMark/>
          </w:tcPr>
          <w:p w14:paraId="73FB9A24"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26 500,00</w:t>
            </w:r>
          </w:p>
        </w:tc>
        <w:tc>
          <w:tcPr>
            <w:tcW w:w="1789" w:type="dxa"/>
            <w:tcBorders>
              <w:top w:val="nil"/>
              <w:left w:val="nil"/>
              <w:bottom w:val="single" w:sz="4" w:space="0" w:color="auto"/>
              <w:right w:val="single" w:sz="4" w:space="0" w:color="auto"/>
            </w:tcBorders>
            <w:shd w:val="clear" w:color="auto" w:fill="auto"/>
            <w:vAlign w:val="bottom"/>
            <w:hideMark/>
          </w:tcPr>
          <w:p w14:paraId="16555243"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26 500,00</w:t>
            </w:r>
          </w:p>
        </w:tc>
        <w:tc>
          <w:tcPr>
            <w:tcW w:w="659" w:type="dxa"/>
            <w:tcBorders>
              <w:top w:val="single" w:sz="4" w:space="0" w:color="auto"/>
              <w:left w:val="nil"/>
              <w:bottom w:val="nil"/>
              <w:right w:val="single" w:sz="8" w:space="0" w:color="auto"/>
            </w:tcBorders>
            <w:shd w:val="clear" w:color="auto" w:fill="auto"/>
            <w:noWrap/>
            <w:vAlign w:val="bottom"/>
            <w:hideMark/>
          </w:tcPr>
          <w:p w14:paraId="62419F7E"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100,0</w:t>
            </w:r>
          </w:p>
        </w:tc>
      </w:tr>
      <w:tr w:rsidR="00687021" w:rsidRPr="00687021" w14:paraId="1D2E2EFB" w14:textId="77777777" w:rsidTr="00956DE6">
        <w:trPr>
          <w:trHeight w:val="255"/>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6567326B"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4354</w:t>
            </w:r>
          </w:p>
        </w:tc>
        <w:tc>
          <w:tcPr>
            <w:tcW w:w="4536" w:type="dxa"/>
            <w:tcBorders>
              <w:top w:val="nil"/>
              <w:left w:val="nil"/>
              <w:bottom w:val="single" w:sz="4" w:space="0" w:color="auto"/>
              <w:right w:val="single" w:sz="4" w:space="0" w:color="auto"/>
            </w:tcBorders>
            <w:shd w:val="clear" w:color="auto" w:fill="auto"/>
            <w:vAlign w:val="bottom"/>
            <w:hideMark/>
          </w:tcPr>
          <w:p w14:paraId="43062AC2" w14:textId="77777777" w:rsidR="00687021" w:rsidRPr="00687021" w:rsidRDefault="00687021" w:rsidP="00687021">
            <w:pPr>
              <w:spacing w:after="0" w:line="240" w:lineRule="auto"/>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 xml:space="preserve">Chráněné bydlení - příspěvek příspěvkovým organizacím </w:t>
            </w:r>
          </w:p>
        </w:tc>
        <w:tc>
          <w:tcPr>
            <w:tcW w:w="1418" w:type="dxa"/>
            <w:tcBorders>
              <w:top w:val="nil"/>
              <w:left w:val="nil"/>
              <w:bottom w:val="single" w:sz="4" w:space="0" w:color="auto"/>
              <w:right w:val="single" w:sz="4" w:space="0" w:color="auto"/>
            </w:tcBorders>
            <w:shd w:val="clear" w:color="auto" w:fill="auto"/>
            <w:vAlign w:val="bottom"/>
            <w:hideMark/>
          </w:tcPr>
          <w:p w14:paraId="5EA31FEE"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10 400 000</w:t>
            </w:r>
          </w:p>
        </w:tc>
        <w:tc>
          <w:tcPr>
            <w:tcW w:w="1701" w:type="dxa"/>
            <w:tcBorders>
              <w:top w:val="nil"/>
              <w:left w:val="nil"/>
              <w:bottom w:val="single" w:sz="4" w:space="0" w:color="auto"/>
              <w:right w:val="single" w:sz="4" w:space="0" w:color="auto"/>
            </w:tcBorders>
            <w:shd w:val="clear" w:color="auto" w:fill="auto"/>
            <w:vAlign w:val="bottom"/>
            <w:hideMark/>
          </w:tcPr>
          <w:p w14:paraId="330CC3EE"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14 306 600,00</w:t>
            </w:r>
          </w:p>
        </w:tc>
        <w:tc>
          <w:tcPr>
            <w:tcW w:w="1789" w:type="dxa"/>
            <w:tcBorders>
              <w:top w:val="nil"/>
              <w:left w:val="nil"/>
              <w:bottom w:val="single" w:sz="4" w:space="0" w:color="auto"/>
              <w:right w:val="single" w:sz="4" w:space="0" w:color="auto"/>
            </w:tcBorders>
            <w:shd w:val="clear" w:color="auto" w:fill="auto"/>
            <w:vAlign w:val="bottom"/>
            <w:hideMark/>
          </w:tcPr>
          <w:p w14:paraId="0BC54C78"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14 306 600,00</w:t>
            </w:r>
          </w:p>
        </w:tc>
        <w:tc>
          <w:tcPr>
            <w:tcW w:w="659" w:type="dxa"/>
            <w:tcBorders>
              <w:top w:val="single" w:sz="4" w:space="0" w:color="auto"/>
              <w:left w:val="nil"/>
              <w:bottom w:val="nil"/>
              <w:right w:val="single" w:sz="8" w:space="0" w:color="auto"/>
            </w:tcBorders>
            <w:shd w:val="clear" w:color="auto" w:fill="auto"/>
            <w:noWrap/>
            <w:vAlign w:val="bottom"/>
            <w:hideMark/>
          </w:tcPr>
          <w:p w14:paraId="2B134441"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100,0</w:t>
            </w:r>
          </w:p>
        </w:tc>
      </w:tr>
      <w:tr w:rsidR="00687021" w:rsidRPr="00687021" w14:paraId="4E5C47D0"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0FCD23F6" w14:textId="77777777" w:rsidR="00687021" w:rsidRPr="00687021" w:rsidRDefault="00687021" w:rsidP="00687021">
            <w:pPr>
              <w:spacing w:after="0" w:line="240" w:lineRule="auto"/>
              <w:jc w:val="center"/>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 </w:t>
            </w:r>
          </w:p>
        </w:tc>
        <w:tc>
          <w:tcPr>
            <w:tcW w:w="10103" w:type="dxa"/>
            <w:gridSpan w:val="5"/>
            <w:tcBorders>
              <w:top w:val="single" w:sz="4" w:space="0" w:color="auto"/>
              <w:left w:val="nil"/>
              <w:bottom w:val="single" w:sz="4" w:space="0" w:color="auto"/>
              <w:right w:val="single" w:sz="8" w:space="0" w:color="000000"/>
            </w:tcBorders>
            <w:shd w:val="clear" w:color="auto" w:fill="auto"/>
            <w:vAlign w:val="bottom"/>
            <w:hideMark/>
          </w:tcPr>
          <w:p w14:paraId="4BE94080" w14:textId="77777777" w:rsidR="00687021" w:rsidRPr="00687021" w:rsidRDefault="00687021" w:rsidP="00687021">
            <w:pPr>
              <w:spacing w:after="0" w:line="240" w:lineRule="auto"/>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z toho:</w:t>
            </w:r>
          </w:p>
        </w:tc>
      </w:tr>
      <w:tr w:rsidR="00687021" w:rsidRPr="00687021" w14:paraId="4EE73B3B"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453BE42F" w14:textId="77777777" w:rsidR="00687021" w:rsidRPr="00687021" w:rsidRDefault="00687021" w:rsidP="00687021">
            <w:pPr>
              <w:spacing w:after="0" w:line="240" w:lineRule="auto"/>
              <w:jc w:val="center"/>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 </w:t>
            </w:r>
          </w:p>
        </w:tc>
        <w:tc>
          <w:tcPr>
            <w:tcW w:w="4536" w:type="dxa"/>
            <w:tcBorders>
              <w:top w:val="nil"/>
              <w:left w:val="nil"/>
              <w:bottom w:val="single" w:sz="4" w:space="0" w:color="auto"/>
              <w:right w:val="single" w:sz="4" w:space="0" w:color="auto"/>
            </w:tcBorders>
            <w:shd w:val="clear" w:color="auto" w:fill="auto"/>
            <w:vAlign w:val="bottom"/>
            <w:hideMark/>
          </w:tcPr>
          <w:p w14:paraId="25ADAEF3" w14:textId="77777777" w:rsidR="00687021" w:rsidRPr="00687021" w:rsidRDefault="00687021" w:rsidP="00687021">
            <w:pPr>
              <w:spacing w:after="0" w:line="240" w:lineRule="auto"/>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příspěvek na provoz</w:t>
            </w:r>
          </w:p>
        </w:tc>
        <w:tc>
          <w:tcPr>
            <w:tcW w:w="1418" w:type="dxa"/>
            <w:tcBorders>
              <w:top w:val="nil"/>
              <w:left w:val="nil"/>
              <w:bottom w:val="single" w:sz="4" w:space="0" w:color="auto"/>
              <w:right w:val="single" w:sz="4" w:space="0" w:color="auto"/>
            </w:tcBorders>
            <w:shd w:val="clear" w:color="auto" w:fill="auto"/>
            <w:vAlign w:val="bottom"/>
            <w:hideMark/>
          </w:tcPr>
          <w:p w14:paraId="131D6BE2"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2 000 000</w:t>
            </w:r>
          </w:p>
        </w:tc>
        <w:tc>
          <w:tcPr>
            <w:tcW w:w="1701" w:type="dxa"/>
            <w:tcBorders>
              <w:top w:val="nil"/>
              <w:left w:val="nil"/>
              <w:bottom w:val="single" w:sz="4" w:space="0" w:color="auto"/>
              <w:right w:val="single" w:sz="4" w:space="0" w:color="auto"/>
            </w:tcBorders>
            <w:shd w:val="clear" w:color="auto" w:fill="auto"/>
            <w:vAlign w:val="bottom"/>
            <w:hideMark/>
          </w:tcPr>
          <w:p w14:paraId="6AC07B24"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2 000 114,00</w:t>
            </w:r>
          </w:p>
        </w:tc>
        <w:tc>
          <w:tcPr>
            <w:tcW w:w="1789" w:type="dxa"/>
            <w:tcBorders>
              <w:top w:val="nil"/>
              <w:left w:val="nil"/>
              <w:bottom w:val="single" w:sz="4" w:space="0" w:color="auto"/>
              <w:right w:val="single" w:sz="4" w:space="0" w:color="auto"/>
            </w:tcBorders>
            <w:shd w:val="clear" w:color="auto" w:fill="auto"/>
            <w:noWrap/>
            <w:vAlign w:val="bottom"/>
            <w:hideMark/>
          </w:tcPr>
          <w:p w14:paraId="7540FD33"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2 000 114,00</w:t>
            </w:r>
          </w:p>
        </w:tc>
        <w:tc>
          <w:tcPr>
            <w:tcW w:w="659" w:type="dxa"/>
            <w:tcBorders>
              <w:top w:val="nil"/>
              <w:left w:val="nil"/>
              <w:bottom w:val="nil"/>
              <w:right w:val="single" w:sz="8" w:space="0" w:color="auto"/>
            </w:tcBorders>
            <w:shd w:val="clear" w:color="auto" w:fill="auto"/>
            <w:noWrap/>
            <w:vAlign w:val="bottom"/>
            <w:hideMark/>
          </w:tcPr>
          <w:p w14:paraId="593E87A9"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100,0</w:t>
            </w:r>
          </w:p>
        </w:tc>
      </w:tr>
      <w:tr w:rsidR="00687021" w:rsidRPr="00687021" w14:paraId="21B55354"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17D8224C" w14:textId="77777777" w:rsidR="00687021" w:rsidRPr="00687021" w:rsidRDefault="00687021" w:rsidP="00687021">
            <w:pPr>
              <w:spacing w:after="0" w:line="240" w:lineRule="auto"/>
              <w:jc w:val="center"/>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 </w:t>
            </w:r>
          </w:p>
        </w:tc>
        <w:tc>
          <w:tcPr>
            <w:tcW w:w="4536" w:type="dxa"/>
            <w:tcBorders>
              <w:top w:val="nil"/>
              <w:left w:val="nil"/>
              <w:bottom w:val="single" w:sz="4" w:space="0" w:color="auto"/>
              <w:right w:val="single" w:sz="4" w:space="0" w:color="auto"/>
            </w:tcBorders>
            <w:shd w:val="clear" w:color="auto" w:fill="auto"/>
            <w:vAlign w:val="bottom"/>
            <w:hideMark/>
          </w:tcPr>
          <w:p w14:paraId="59A88B9C" w14:textId="77777777" w:rsidR="00687021" w:rsidRPr="00687021" w:rsidRDefault="00687021" w:rsidP="00687021">
            <w:pPr>
              <w:spacing w:after="0" w:line="240" w:lineRule="auto"/>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příspěvek na mzdové výdaje</w:t>
            </w:r>
          </w:p>
        </w:tc>
        <w:tc>
          <w:tcPr>
            <w:tcW w:w="1418" w:type="dxa"/>
            <w:tcBorders>
              <w:top w:val="nil"/>
              <w:left w:val="nil"/>
              <w:bottom w:val="single" w:sz="4" w:space="0" w:color="auto"/>
              <w:right w:val="single" w:sz="4" w:space="0" w:color="auto"/>
            </w:tcBorders>
            <w:shd w:val="clear" w:color="auto" w:fill="auto"/>
            <w:vAlign w:val="bottom"/>
            <w:hideMark/>
          </w:tcPr>
          <w:p w14:paraId="3200BCE2"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8 000 000</w:t>
            </w:r>
          </w:p>
        </w:tc>
        <w:tc>
          <w:tcPr>
            <w:tcW w:w="1701" w:type="dxa"/>
            <w:tcBorders>
              <w:top w:val="nil"/>
              <w:left w:val="nil"/>
              <w:bottom w:val="single" w:sz="4" w:space="0" w:color="auto"/>
              <w:right w:val="single" w:sz="4" w:space="0" w:color="auto"/>
            </w:tcBorders>
            <w:shd w:val="clear" w:color="auto" w:fill="auto"/>
            <w:vAlign w:val="bottom"/>
            <w:hideMark/>
          </w:tcPr>
          <w:p w14:paraId="615B0271"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11 051 986,00</w:t>
            </w:r>
          </w:p>
        </w:tc>
        <w:tc>
          <w:tcPr>
            <w:tcW w:w="1789" w:type="dxa"/>
            <w:tcBorders>
              <w:top w:val="nil"/>
              <w:left w:val="nil"/>
              <w:bottom w:val="single" w:sz="4" w:space="0" w:color="auto"/>
              <w:right w:val="single" w:sz="4" w:space="0" w:color="auto"/>
            </w:tcBorders>
            <w:shd w:val="clear" w:color="auto" w:fill="auto"/>
            <w:vAlign w:val="bottom"/>
            <w:hideMark/>
          </w:tcPr>
          <w:p w14:paraId="7B7988CE"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11 051 986,00</w:t>
            </w:r>
          </w:p>
        </w:tc>
        <w:tc>
          <w:tcPr>
            <w:tcW w:w="659" w:type="dxa"/>
            <w:tcBorders>
              <w:top w:val="single" w:sz="4" w:space="0" w:color="auto"/>
              <w:left w:val="nil"/>
              <w:bottom w:val="nil"/>
              <w:right w:val="single" w:sz="8" w:space="0" w:color="auto"/>
            </w:tcBorders>
            <w:shd w:val="clear" w:color="auto" w:fill="auto"/>
            <w:noWrap/>
            <w:vAlign w:val="bottom"/>
            <w:hideMark/>
          </w:tcPr>
          <w:p w14:paraId="00824C4A"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100,0</w:t>
            </w:r>
          </w:p>
        </w:tc>
      </w:tr>
      <w:tr w:rsidR="00687021" w:rsidRPr="00687021" w14:paraId="7C148EB6"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444A89F2"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 </w:t>
            </w:r>
          </w:p>
        </w:tc>
        <w:tc>
          <w:tcPr>
            <w:tcW w:w="4536" w:type="dxa"/>
            <w:tcBorders>
              <w:top w:val="nil"/>
              <w:left w:val="nil"/>
              <w:bottom w:val="single" w:sz="4" w:space="0" w:color="auto"/>
              <w:right w:val="single" w:sz="4" w:space="0" w:color="auto"/>
            </w:tcBorders>
            <w:shd w:val="clear" w:color="auto" w:fill="auto"/>
            <w:vAlign w:val="bottom"/>
            <w:hideMark/>
          </w:tcPr>
          <w:p w14:paraId="7A9AD261" w14:textId="77777777" w:rsidR="00687021" w:rsidRPr="00687021" w:rsidRDefault="00687021" w:rsidP="00687021">
            <w:pPr>
              <w:spacing w:after="0" w:line="240" w:lineRule="auto"/>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příspěvek na běžné opravy a udržování</w:t>
            </w:r>
          </w:p>
        </w:tc>
        <w:tc>
          <w:tcPr>
            <w:tcW w:w="1418" w:type="dxa"/>
            <w:tcBorders>
              <w:top w:val="nil"/>
              <w:left w:val="nil"/>
              <w:bottom w:val="single" w:sz="4" w:space="0" w:color="auto"/>
              <w:right w:val="single" w:sz="4" w:space="0" w:color="auto"/>
            </w:tcBorders>
            <w:shd w:val="clear" w:color="auto" w:fill="auto"/>
            <w:vAlign w:val="bottom"/>
            <w:hideMark/>
          </w:tcPr>
          <w:p w14:paraId="2085C415"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400 000</w:t>
            </w:r>
          </w:p>
        </w:tc>
        <w:tc>
          <w:tcPr>
            <w:tcW w:w="1701" w:type="dxa"/>
            <w:tcBorders>
              <w:top w:val="nil"/>
              <w:left w:val="nil"/>
              <w:bottom w:val="single" w:sz="4" w:space="0" w:color="auto"/>
              <w:right w:val="single" w:sz="4" w:space="0" w:color="auto"/>
            </w:tcBorders>
            <w:shd w:val="clear" w:color="auto" w:fill="auto"/>
            <w:vAlign w:val="bottom"/>
            <w:hideMark/>
          </w:tcPr>
          <w:p w14:paraId="46C02262"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1 254 500,00</w:t>
            </w:r>
          </w:p>
        </w:tc>
        <w:tc>
          <w:tcPr>
            <w:tcW w:w="1789" w:type="dxa"/>
            <w:tcBorders>
              <w:top w:val="nil"/>
              <w:left w:val="nil"/>
              <w:bottom w:val="single" w:sz="4" w:space="0" w:color="auto"/>
              <w:right w:val="single" w:sz="4" w:space="0" w:color="auto"/>
            </w:tcBorders>
            <w:shd w:val="clear" w:color="auto" w:fill="auto"/>
            <w:vAlign w:val="bottom"/>
            <w:hideMark/>
          </w:tcPr>
          <w:p w14:paraId="53F3F1C0"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1 254 500,00</w:t>
            </w:r>
          </w:p>
        </w:tc>
        <w:tc>
          <w:tcPr>
            <w:tcW w:w="659" w:type="dxa"/>
            <w:tcBorders>
              <w:top w:val="single" w:sz="4" w:space="0" w:color="auto"/>
              <w:left w:val="nil"/>
              <w:bottom w:val="nil"/>
              <w:right w:val="single" w:sz="8" w:space="0" w:color="auto"/>
            </w:tcBorders>
            <w:shd w:val="clear" w:color="auto" w:fill="auto"/>
            <w:noWrap/>
            <w:vAlign w:val="bottom"/>
            <w:hideMark/>
          </w:tcPr>
          <w:p w14:paraId="508E3F05"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100,0</w:t>
            </w:r>
          </w:p>
        </w:tc>
      </w:tr>
      <w:tr w:rsidR="00687021" w:rsidRPr="00687021" w14:paraId="7D2036BA"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3BB3CB89"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4355</w:t>
            </w:r>
          </w:p>
        </w:tc>
        <w:tc>
          <w:tcPr>
            <w:tcW w:w="4536" w:type="dxa"/>
            <w:tcBorders>
              <w:top w:val="nil"/>
              <w:left w:val="nil"/>
              <w:bottom w:val="single" w:sz="4" w:space="0" w:color="auto"/>
              <w:right w:val="single" w:sz="4" w:space="0" w:color="auto"/>
            </w:tcBorders>
            <w:shd w:val="clear" w:color="auto" w:fill="auto"/>
            <w:vAlign w:val="bottom"/>
            <w:hideMark/>
          </w:tcPr>
          <w:p w14:paraId="7B942480" w14:textId="77777777" w:rsidR="00687021" w:rsidRPr="00687021" w:rsidRDefault="00687021" w:rsidP="00687021">
            <w:pPr>
              <w:spacing w:after="0" w:line="240" w:lineRule="auto"/>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 xml:space="preserve">Týdenní stacionáře - příspěvek příspěvkovým organizacím </w:t>
            </w:r>
          </w:p>
        </w:tc>
        <w:tc>
          <w:tcPr>
            <w:tcW w:w="1418" w:type="dxa"/>
            <w:tcBorders>
              <w:top w:val="nil"/>
              <w:left w:val="nil"/>
              <w:bottom w:val="single" w:sz="4" w:space="0" w:color="auto"/>
              <w:right w:val="single" w:sz="4" w:space="0" w:color="auto"/>
            </w:tcBorders>
            <w:shd w:val="clear" w:color="auto" w:fill="auto"/>
            <w:vAlign w:val="bottom"/>
            <w:hideMark/>
          </w:tcPr>
          <w:p w14:paraId="7D494B9E"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5 100 000</w:t>
            </w:r>
          </w:p>
        </w:tc>
        <w:tc>
          <w:tcPr>
            <w:tcW w:w="1701" w:type="dxa"/>
            <w:tcBorders>
              <w:top w:val="nil"/>
              <w:left w:val="nil"/>
              <w:bottom w:val="single" w:sz="4" w:space="0" w:color="auto"/>
              <w:right w:val="single" w:sz="4" w:space="0" w:color="auto"/>
            </w:tcBorders>
            <w:shd w:val="clear" w:color="auto" w:fill="auto"/>
            <w:vAlign w:val="bottom"/>
            <w:hideMark/>
          </w:tcPr>
          <w:p w14:paraId="7FE6D5D2"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5 100 000,00</w:t>
            </w:r>
          </w:p>
        </w:tc>
        <w:tc>
          <w:tcPr>
            <w:tcW w:w="1789" w:type="dxa"/>
            <w:tcBorders>
              <w:top w:val="nil"/>
              <w:left w:val="nil"/>
              <w:bottom w:val="single" w:sz="4" w:space="0" w:color="auto"/>
              <w:right w:val="single" w:sz="4" w:space="0" w:color="auto"/>
            </w:tcBorders>
            <w:shd w:val="clear" w:color="auto" w:fill="auto"/>
            <w:vAlign w:val="bottom"/>
            <w:hideMark/>
          </w:tcPr>
          <w:p w14:paraId="55A5C902"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4 639 600,00</w:t>
            </w:r>
          </w:p>
        </w:tc>
        <w:tc>
          <w:tcPr>
            <w:tcW w:w="659" w:type="dxa"/>
            <w:tcBorders>
              <w:top w:val="single" w:sz="4" w:space="0" w:color="auto"/>
              <w:left w:val="nil"/>
              <w:bottom w:val="nil"/>
              <w:right w:val="single" w:sz="8" w:space="0" w:color="auto"/>
            </w:tcBorders>
            <w:shd w:val="clear" w:color="auto" w:fill="auto"/>
            <w:noWrap/>
            <w:vAlign w:val="bottom"/>
            <w:hideMark/>
          </w:tcPr>
          <w:p w14:paraId="541D24F9"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91,0</w:t>
            </w:r>
          </w:p>
        </w:tc>
      </w:tr>
      <w:tr w:rsidR="00687021" w:rsidRPr="00687021" w14:paraId="14050E7B"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57E06858" w14:textId="77777777" w:rsidR="00687021" w:rsidRPr="00687021" w:rsidRDefault="00687021" w:rsidP="00687021">
            <w:pPr>
              <w:spacing w:after="0" w:line="240" w:lineRule="auto"/>
              <w:jc w:val="center"/>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 </w:t>
            </w:r>
          </w:p>
        </w:tc>
        <w:tc>
          <w:tcPr>
            <w:tcW w:w="10103" w:type="dxa"/>
            <w:gridSpan w:val="5"/>
            <w:tcBorders>
              <w:top w:val="single" w:sz="4" w:space="0" w:color="auto"/>
              <w:left w:val="nil"/>
              <w:bottom w:val="single" w:sz="4" w:space="0" w:color="auto"/>
              <w:right w:val="single" w:sz="8" w:space="0" w:color="000000"/>
            </w:tcBorders>
            <w:shd w:val="clear" w:color="auto" w:fill="auto"/>
            <w:vAlign w:val="bottom"/>
            <w:hideMark/>
          </w:tcPr>
          <w:p w14:paraId="570FCBAA" w14:textId="77777777" w:rsidR="00687021" w:rsidRPr="00687021" w:rsidRDefault="00687021" w:rsidP="00687021">
            <w:pPr>
              <w:spacing w:after="0" w:line="240" w:lineRule="auto"/>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z toho:</w:t>
            </w:r>
          </w:p>
        </w:tc>
      </w:tr>
      <w:tr w:rsidR="00687021" w:rsidRPr="00687021" w14:paraId="2DCC7E48"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2109305E" w14:textId="77777777" w:rsidR="00687021" w:rsidRPr="00687021" w:rsidRDefault="00687021" w:rsidP="00687021">
            <w:pPr>
              <w:spacing w:after="0" w:line="240" w:lineRule="auto"/>
              <w:jc w:val="center"/>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 </w:t>
            </w:r>
          </w:p>
        </w:tc>
        <w:tc>
          <w:tcPr>
            <w:tcW w:w="4536" w:type="dxa"/>
            <w:tcBorders>
              <w:top w:val="nil"/>
              <w:left w:val="nil"/>
              <w:bottom w:val="single" w:sz="4" w:space="0" w:color="auto"/>
              <w:right w:val="single" w:sz="4" w:space="0" w:color="auto"/>
            </w:tcBorders>
            <w:shd w:val="clear" w:color="auto" w:fill="auto"/>
            <w:vAlign w:val="bottom"/>
            <w:hideMark/>
          </w:tcPr>
          <w:p w14:paraId="78915C03" w14:textId="77777777" w:rsidR="00687021" w:rsidRPr="00687021" w:rsidRDefault="00687021" w:rsidP="00687021">
            <w:pPr>
              <w:spacing w:after="0" w:line="240" w:lineRule="auto"/>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příspěvek na provoz</w:t>
            </w:r>
          </w:p>
        </w:tc>
        <w:tc>
          <w:tcPr>
            <w:tcW w:w="1418" w:type="dxa"/>
            <w:tcBorders>
              <w:top w:val="nil"/>
              <w:left w:val="nil"/>
              <w:bottom w:val="single" w:sz="4" w:space="0" w:color="auto"/>
              <w:right w:val="single" w:sz="4" w:space="0" w:color="auto"/>
            </w:tcBorders>
            <w:shd w:val="clear" w:color="auto" w:fill="auto"/>
            <w:vAlign w:val="bottom"/>
            <w:hideMark/>
          </w:tcPr>
          <w:p w14:paraId="7B83E56F"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1 000 000</w:t>
            </w:r>
          </w:p>
        </w:tc>
        <w:tc>
          <w:tcPr>
            <w:tcW w:w="1701" w:type="dxa"/>
            <w:tcBorders>
              <w:top w:val="nil"/>
              <w:left w:val="nil"/>
              <w:bottom w:val="single" w:sz="4" w:space="0" w:color="auto"/>
              <w:right w:val="single" w:sz="4" w:space="0" w:color="auto"/>
            </w:tcBorders>
            <w:shd w:val="clear" w:color="auto" w:fill="auto"/>
            <w:vAlign w:val="bottom"/>
            <w:hideMark/>
          </w:tcPr>
          <w:p w14:paraId="0E05C764"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1 000 000,00</w:t>
            </w:r>
          </w:p>
        </w:tc>
        <w:tc>
          <w:tcPr>
            <w:tcW w:w="1789" w:type="dxa"/>
            <w:tcBorders>
              <w:top w:val="nil"/>
              <w:left w:val="nil"/>
              <w:bottom w:val="single" w:sz="4" w:space="0" w:color="auto"/>
              <w:right w:val="single" w:sz="4" w:space="0" w:color="auto"/>
            </w:tcBorders>
            <w:shd w:val="clear" w:color="auto" w:fill="auto"/>
            <w:noWrap/>
            <w:vAlign w:val="bottom"/>
            <w:hideMark/>
          </w:tcPr>
          <w:p w14:paraId="0EBF08BE"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866 430,00</w:t>
            </w:r>
          </w:p>
        </w:tc>
        <w:tc>
          <w:tcPr>
            <w:tcW w:w="659" w:type="dxa"/>
            <w:tcBorders>
              <w:top w:val="nil"/>
              <w:left w:val="nil"/>
              <w:bottom w:val="nil"/>
              <w:right w:val="single" w:sz="8" w:space="0" w:color="auto"/>
            </w:tcBorders>
            <w:shd w:val="clear" w:color="auto" w:fill="auto"/>
            <w:noWrap/>
            <w:vAlign w:val="bottom"/>
            <w:hideMark/>
          </w:tcPr>
          <w:p w14:paraId="51BF2A74"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86,6</w:t>
            </w:r>
          </w:p>
        </w:tc>
      </w:tr>
      <w:tr w:rsidR="00687021" w:rsidRPr="00687021" w14:paraId="1355ABC4"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19155757" w14:textId="77777777" w:rsidR="00687021" w:rsidRPr="00687021" w:rsidRDefault="00687021" w:rsidP="00687021">
            <w:pPr>
              <w:spacing w:after="0" w:line="240" w:lineRule="auto"/>
              <w:jc w:val="center"/>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 </w:t>
            </w:r>
          </w:p>
        </w:tc>
        <w:tc>
          <w:tcPr>
            <w:tcW w:w="4536" w:type="dxa"/>
            <w:tcBorders>
              <w:top w:val="nil"/>
              <w:left w:val="nil"/>
              <w:bottom w:val="single" w:sz="4" w:space="0" w:color="auto"/>
              <w:right w:val="single" w:sz="4" w:space="0" w:color="auto"/>
            </w:tcBorders>
            <w:shd w:val="clear" w:color="auto" w:fill="auto"/>
            <w:vAlign w:val="bottom"/>
            <w:hideMark/>
          </w:tcPr>
          <w:p w14:paraId="62C46D82" w14:textId="77777777" w:rsidR="00687021" w:rsidRPr="00687021" w:rsidRDefault="00687021" w:rsidP="00687021">
            <w:pPr>
              <w:spacing w:after="0" w:line="240" w:lineRule="auto"/>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příspěvek na mzdové výdaje</w:t>
            </w:r>
          </w:p>
        </w:tc>
        <w:tc>
          <w:tcPr>
            <w:tcW w:w="1418" w:type="dxa"/>
            <w:tcBorders>
              <w:top w:val="nil"/>
              <w:left w:val="nil"/>
              <w:bottom w:val="single" w:sz="4" w:space="0" w:color="auto"/>
              <w:right w:val="single" w:sz="4" w:space="0" w:color="auto"/>
            </w:tcBorders>
            <w:shd w:val="clear" w:color="auto" w:fill="auto"/>
            <w:vAlign w:val="bottom"/>
            <w:hideMark/>
          </w:tcPr>
          <w:p w14:paraId="24AA0A51"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4 000 000</w:t>
            </w:r>
          </w:p>
        </w:tc>
        <w:tc>
          <w:tcPr>
            <w:tcW w:w="1701" w:type="dxa"/>
            <w:tcBorders>
              <w:top w:val="nil"/>
              <w:left w:val="nil"/>
              <w:bottom w:val="single" w:sz="4" w:space="0" w:color="auto"/>
              <w:right w:val="single" w:sz="4" w:space="0" w:color="auto"/>
            </w:tcBorders>
            <w:shd w:val="clear" w:color="auto" w:fill="auto"/>
            <w:vAlign w:val="bottom"/>
            <w:hideMark/>
          </w:tcPr>
          <w:p w14:paraId="2A5A8318"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4 000 000,00</w:t>
            </w:r>
          </w:p>
        </w:tc>
        <w:tc>
          <w:tcPr>
            <w:tcW w:w="1789" w:type="dxa"/>
            <w:tcBorders>
              <w:top w:val="nil"/>
              <w:left w:val="nil"/>
              <w:bottom w:val="single" w:sz="4" w:space="0" w:color="auto"/>
              <w:right w:val="single" w:sz="4" w:space="0" w:color="auto"/>
            </w:tcBorders>
            <w:shd w:val="clear" w:color="auto" w:fill="auto"/>
            <w:vAlign w:val="bottom"/>
            <w:hideMark/>
          </w:tcPr>
          <w:p w14:paraId="6D63F600"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3 743 170,00</w:t>
            </w:r>
          </w:p>
        </w:tc>
        <w:tc>
          <w:tcPr>
            <w:tcW w:w="659" w:type="dxa"/>
            <w:tcBorders>
              <w:top w:val="single" w:sz="4" w:space="0" w:color="auto"/>
              <w:left w:val="nil"/>
              <w:bottom w:val="nil"/>
              <w:right w:val="single" w:sz="8" w:space="0" w:color="auto"/>
            </w:tcBorders>
            <w:shd w:val="clear" w:color="auto" w:fill="auto"/>
            <w:noWrap/>
            <w:vAlign w:val="bottom"/>
            <w:hideMark/>
          </w:tcPr>
          <w:p w14:paraId="2EE14660"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93,6</w:t>
            </w:r>
          </w:p>
        </w:tc>
      </w:tr>
      <w:tr w:rsidR="00687021" w:rsidRPr="00687021" w14:paraId="25011C58"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58AB3E57"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 </w:t>
            </w:r>
          </w:p>
        </w:tc>
        <w:tc>
          <w:tcPr>
            <w:tcW w:w="4536" w:type="dxa"/>
            <w:tcBorders>
              <w:top w:val="nil"/>
              <w:left w:val="nil"/>
              <w:bottom w:val="single" w:sz="4" w:space="0" w:color="auto"/>
              <w:right w:val="single" w:sz="4" w:space="0" w:color="auto"/>
            </w:tcBorders>
            <w:shd w:val="clear" w:color="auto" w:fill="auto"/>
            <w:vAlign w:val="bottom"/>
            <w:hideMark/>
          </w:tcPr>
          <w:p w14:paraId="3C837C07" w14:textId="77777777" w:rsidR="00687021" w:rsidRPr="00687021" w:rsidRDefault="00687021" w:rsidP="00687021">
            <w:pPr>
              <w:spacing w:after="0" w:line="240" w:lineRule="auto"/>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příspěvek na běžné opravy a udržování</w:t>
            </w:r>
          </w:p>
        </w:tc>
        <w:tc>
          <w:tcPr>
            <w:tcW w:w="1418" w:type="dxa"/>
            <w:tcBorders>
              <w:top w:val="nil"/>
              <w:left w:val="nil"/>
              <w:bottom w:val="single" w:sz="4" w:space="0" w:color="auto"/>
              <w:right w:val="single" w:sz="4" w:space="0" w:color="auto"/>
            </w:tcBorders>
            <w:shd w:val="clear" w:color="auto" w:fill="auto"/>
            <w:vAlign w:val="bottom"/>
            <w:hideMark/>
          </w:tcPr>
          <w:p w14:paraId="1B39EC04"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100 000</w:t>
            </w:r>
          </w:p>
        </w:tc>
        <w:tc>
          <w:tcPr>
            <w:tcW w:w="1701" w:type="dxa"/>
            <w:tcBorders>
              <w:top w:val="nil"/>
              <w:left w:val="nil"/>
              <w:bottom w:val="single" w:sz="4" w:space="0" w:color="auto"/>
              <w:right w:val="single" w:sz="4" w:space="0" w:color="auto"/>
            </w:tcBorders>
            <w:shd w:val="clear" w:color="auto" w:fill="auto"/>
            <w:vAlign w:val="bottom"/>
            <w:hideMark/>
          </w:tcPr>
          <w:p w14:paraId="18201645"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100 000,00</w:t>
            </w:r>
          </w:p>
        </w:tc>
        <w:tc>
          <w:tcPr>
            <w:tcW w:w="1789" w:type="dxa"/>
            <w:tcBorders>
              <w:top w:val="nil"/>
              <w:left w:val="nil"/>
              <w:bottom w:val="single" w:sz="4" w:space="0" w:color="auto"/>
              <w:right w:val="single" w:sz="4" w:space="0" w:color="auto"/>
            </w:tcBorders>
            <w:shd w:val="clear" w:color="auto" w:fill="auto"/>
            <w:vAlign w:val="bottom"/>
            <w:hideMark/>
          </w:tcPr>
          <w:p w14:paraId="22030D1D"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30 000,00</w:t>
            </w:r>
          </w:p>
        </w:tc>
        <w:tc>
          <w:tcPr>
            <w:tcW w:w="659" w:type="dxa"/>
            <w:tcBorders>
              <w:top w:val="single" w:sz="4" w:space="0" w:color="auto"/>
              <w:left w:val="nil"/>
              <w:bottom w:val="nil"/>
              <w:right w:val="single" w:sz="8" w:space="0" w:color="auto"/>
            </w:tcBorders>
            <w:shd w:val="clear" w:color="auto" w:fill="auto"/>
            <w:noWrap/>
            <w:vAlign w:val="bottom"/>
            <w:hideMark/>
          </w:tcPr>
          <w:p w14:paraId="6A1AE647"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30,0</w:t>
            </w:r>
          </w:p>
        </w:tc>
      </w:tr>
      <w:tr w:rsidR="00687021" w:rsidRPr="00687021" w14:paraId="37D47546" w14:textId="77777777" w:rsidTr="00956DE6">
        <w:trPr>
          <w:trHeight w:val="51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36A91AAF"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4356</w:t>
            </w:r>
          </w:p>
        </w:tc>
        <w:tc>
          <w:tcPr>
            <w:tcW w:w="4536" w:type="dxa"/>
            <w:tcBorders>
              <w:top w:val="nil"/>
              <w:left w:val="nil"/>
              <w:bottom w:val="single" w:sz="4" w:space="0" w:color="auto"/>
              <w:right w:val="single" w:sz="4" w:space="0" w:color="auto"/>
            </w:tcBorders>
            <w:shd w:val="clear" w:color="auto" w:fill="auto"/>
            <w:vAlign w:val="center"/>
            <w:hideMark/>
          </w:tcPr>
          <w:p w14:paraId="107186B1" w14:textId="77777777" w:rsidR="00687021" w:rsidRPr="00687021" w:rsidRDefault="00687021" w:rsidP="00687021">
            <w:pPr>
              <w:spacing w:after="0" w:line="240" w:lineRule="auto"/>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 xml:space="preserve">Denní stacionáře a centra denních služeb - příspěvek příspěvkovým organizacím </w:t>
            </w:r>
          </w:p>
        </w:tc>
        <w:tc>
          <w:tcPr>
            <w:tcW w:w="1418" w:type="dxa"/>
            <w:tcBorders>
              <w:top w:val="nil"/>
              <w:left w:val="nil"/>
              <w:bottom w:val="single" w:sz="4" w:space="0" w:color="auto"/>
              <w:right w:val="single" w:sz="4" w:space="0" w:color="auto"/>
            </w:tcBorders>
            <w:shd w:val="clear" w:color="auto" w:fill="auto"/>
            <w:vAlign w:val="bottom"/>
            <w:hideMark/>
          </w:tcPr>
          <w:p w14:paraId="6E48E2FB"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2 000 000</w:t>
            </w:r>
          </w:p>
        </w:tc>
        <w:tc>
          <w:tcPr>
            <w:tcW w:w="1701" w:type="dxa"/>
            <w:tcBorders>
              <w:top w:val="nil"/>
              <w:left w:val="nil"/>
              <w:bottom w:val="single" w:sz="4" w:space="0" w:color="auto"/>
              <w:right w:val="single" w:sz="4" w:space="0" w:color="auto"/>
            </w:tcBorders>
            <w:shd w:val="clear" w:color="auto" w:fill="auto"/>
            <w:vAlign w:val="bottom"/>
            <w:hideMark/>
          </w:tcPr>
          <w:p w14:paraId="7D38973D"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4 157 900,00</w:t>
            </w:r>
          </w:p>
        </w:tc>
        <w:tc>
          <w:tcPr>
            <w:tcW w:w="1789" w:type="dxa"/>
            <w:tcBorders>
              <w:top w:val="nil"/>
              <w:left w:val="nil"/>
              <w:bottom w:val="single" w:sz="4" w:space="0" w:color="auto"/>
              <w:right w:val="single" w:sz="4" w:space="0" w:color="auto"/>
            </w:tcBorders>
            <w:shd w:val="clear" w:color="auto" w:fill="auto"/>
            <w:vAlign w:val="bottom"/>
            <w:hideMark/>
          </w:tcPr>
          <w:p w14:paraId="7F0EFA44"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4 105 900,00</w:t>
            </w:r>
          </w:p>
        </w:tc>
        <w:tc>
          <w:tcPr>
            <w:tcW w:w="659" w:type="dxa"/>
            <w:tcBorders>
              <w:top w:val="single" w:sz="4" w:space="0" w:color="auto"/>
              <w:left w:val="nil"/>
              <w:bottom w:val="nil"/>
              <w:right w:val="single" w:sz="8" w:space="0" w:color="auto"/>
            </w:tcBorders>
            <w:shd w:val="clear" w:color="auto" w:fill="auto"/>
            <w:noWrap/>
            <w:vAlign w:val="bottom"/>
            <w:hideMark/>
          </w:tcPr>
          <w:p w14:paraId="7CA3ED53"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98,7</w:t>
            </w:r>
          </w:p>
        </w:tc>
      </w:tr>
      <w:tr w:rsidR="00687021" w:rsidRPr="00687021" w14:paraId="6D067613"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6CA3DC76" w14:textId="77777777" w:rsidR="00687021" w:rsidRPr="00687021" w:rsidRDefault="00687021" w:rsidP="00687021">
            <w:pPr>
              <w:spacing w:after="0" w:line="240" w:lineRule="auto"/>
              <w:jc w:val="center"/>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 </w:t>
            </w:r>
          </w:p>
        </w:tc>
        <w:tc>
          <w:tcPr>
            <w:tcW w:w="10103" w:type="dxa"/>
            <w:gridSpan w:val="5"/>
            <w:tcBorders>
              <w:top w:val="single" w:sz="4" w:space="0" w:color="auto"/>
              <w:left w:val="nil"/>
              <w:bottom w:val="single" w:sz="4" w:space="0" w:color="auto"/>
              <w:right w:val="single" w:sz="8" w:space="0" w:color="000000"/>
            </w:tcBorders>
            <w:shd w:val="clear" w:color="auto" w:fill="auto"/>
            <w:vAlign w:val="bottom"/>
            <w:hideMark/>
          </w:tcPr>
          <w:p w14:paraId="654D997E" w14:textId="77777777" w:rsidR="00687021" w:rsidRPr="00687021" w:rsidRDefault="00687021" w:rsidP="00687021">
            <w:pPr>
              <w:spacing w:after="0" w:line="240" w:lineRule="auto"/>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z toho:</w:t>
            </w:r>
          </w:p>
        </w:tc>
      </w:tr>
      <w:tr w:rsidR="00687021" w:rsidRPr="00687021" w14:paraId="5D3F80A6"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2BECA80C" w14:textId="77777777" w:rsidR="00687021" w:rsidRPr="00687021" w:rsidRDefault="00687021" w:rsidP="00687021">
            <w:pPr>
              <w:spacing w:after="0" w:line="240" w:lineRule="auto"/>
              <w:jc w:val="center"/>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 </w:t>
            </w:r>
          </w:p>
        </w:tc>
        <w:tc>
          <w:tcPr>
            <w:tcW w:w="4536" w:type="dxa"/>
            <w:tcBorders>
              <w:top w:val="nil"/>
              <w:left w:val="nil"/>
              <w:bottom w:val="single" w:sz="4" w:space="0" w:color="auto"/>
              <w:right w:val="single" w:sz="4" w:space="0" w:color="auto"/>
            </w:tcBorders>
            <w:shd w:val="clear" w:color="auto" w:fill="auto"/>
            <w:vAlign w:val="bottom"/>
            <w:hideMark/>
          </w:tcPr>
          <w:p w14:paraId="30F792A0" w14:textId="77777777" w:rsidR="00687021" w:rsidRPr="00687021" w:rsidRDefault="00687021" w:rsidP="00687021">
            <w:pPr>
              <w:spacing w:after="0" w:line="240" w:lineRule="auto"/>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příspěvek na provoz</w:t>
            </w:r>
          </w:p>
        </w:tc>
        <w:tc>
          <w:tcPr>
            <w:tcW w:w="1418" w:type="dxa"/>
            <w:tcBorders>
              <w:top w:val="nil"/>
              <w:left w:val="nil"/>
              <w:bottom w:val="single" w:sz="4" w:space="0" w:color="auto"/>
              <w:right w:val="single" w:sz="4" w:space="0" w:color="auto"/>
            </w:tcBorders>
            <w:shd w:val="clear" w:color="auto" w:fill="auto"/>
            <w:vAlign w:val="bottom"/>
            <w:hideMark/>
          </w:tcPr>
          <w:p w14:paraId="24C0DBCB"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300 000</w:t>
            </w:r>
          </w:p>
        </w:tc>
        <w:tc>
          <w:tcPr>
            <w:tcW w:w="1701" w:type="dxa"/>
            <w:tcBorders>
              <w:top w:val="nil"/>
              <w:left w:val="nil"/>
              <w:bottom w:val="single" w:sz="4" w:space="0" w:color="auto"/>
              <w:right w:val="single" w:sz="4" w:space="0" w:color="auto"/>
            </w:tcBorders>
            <w:shd w:val="clear" w:color="auto" w:fill="auto"/>
            <w:vAlign w:val="bottom"/>
            <w:hideMark/>
          </w:tcPr>
          <w:p w14:paraId="15BCC228"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360 700,00</w:t>
            </w:r>
          </w:p>
        </w:tc>
        <w:tc>
          <w:tcPr>
            <w:tcW w:w="1789" w:type="dxa"/>
            <w:tcBorders>
              <w:top w:val="nil"/>
              <w:left w:val="nil"/>
              <w:bottom w:val="single" w:sz="4" w:space="0" w:color="auto"/>
              <w:right w:val="single" w:sz="4" w:space="0" w:color="auto"/>
            </w:tcBorders>
            <w:shd w:val="clear" w:color="auto" w:fill="auto"/>
            <w:noWrap/>
            <w:vAlign w:val="bottom"/>
            <w:hideMark/>
          </w:tcPr>
          <w:p w14:paraId="05712FFB"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360 700,00</w:t>
            </w:r>
          </w:p>
        </w:tc>
        <w:tc>
          <w:tcPr>
            <w:tcW w:w="659" w:type="dxa"/>
            <w:tcBorders>
              <w:top w:val="nil"/>
              <w:left w:val="nil"/>
              <w:bottom w:val="nil"/>
              <w:right w:val="single" w:sz="8" w:space="0" w:color="auto"/>
            </w:tcBorders>
            <w:shd w:val="clear" w:color="auto" w:fill="auto"/>
            <w:noWrap/>
            <w:vAlign w:val="bottom"/>
            <w:hideMark/>
          </w:tcPr>
          <w:p w14:paraId="624A738B"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100,0</w:t>
            </w:r>
          </w:p>
        </w:tc>
      </w:tr>
      <w:tr w:rsidR="00687021" w:rsidRPr="00687021" w14:paraId="29262AA2"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68374262" w14:textId="77777777" w:rsidR="00687021" w:rsidRPr="00687021" w:rsidRDefault="00687021" w:rsidP="00687021">
            <w:pPr>
              <w:spacing w:after="0" w:line="240" w:lineRule="auto"/>
              <w:jc w:val="center"/>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 </w:t>
            </w:r>
          </w:p>
        </w:tc>
        <w:tc>
          <w:tcPr>
            <w:tcW w:w="4536" w:type="dxa"/>
            <w:tcBorders>
              <w:top w:val="nil"/>
              <w:left w:val="nil"/>
              <w:bottom w:val="single" w:sz="4" w:space="0" w:color="auto"/>
              <w:right w:val="single" w:sz="4" w:space="0" w:color="auto"/>
            </w:tcBorders>
            <w:shd w:val="clear" w:color="auto" w:fill="auto"/>
            <w:vAlign w:val="bottom"/>
            <w:hideMark/>
          </w:tcPr>
          <w:p w14:paraId="2AFAA0E4" w14:textId="77777777" w:rsidR="00687021" w:rsidRPr="00687021" w:rsidRDefault="00687021" w:rsidP="00687021">
            <w:pPr>
              <w:spacing w:after="0" w:line="240" w:lineRule="auto"/>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příspěvek na mzdové výdaje</w:t>
            </w:r>
          </w:p>
        </w:tc>
        <w:tc>
          <w:tcPr>
            <w:tcW w:w="1418" w:type="dxa"/>
            <w:tcBorders>
              <w:top w:val="nil"/>
              <w:left w:val="nil"/>
              <w:bottom w:val="single" w:sz="4" w:space="0" w:color="auto"/>
              <w:right w:val="single" w:sz="4" w:space="0" w:color="auto"/>
            </w:tcBorders>
            <w:shd w:val="clear" w:color="auto" w:fill="auto"/>
            <w:vAlign w:val="bottom"/>
            <w:hideMark/>
          </w:tcPr>
          <w:p w14:paraId="6BFB04E5"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1 600 000</w:t>
            </w:r>
          </w:p>
        </w:tc>
        <w:tc>
          <w:tcPr>
            <w:tcW w:w="1701" w:type="dxa"/>
            <w:tcBorders>
              <w:top w:val="nil"/>
              <w:left w:val="nil"/>
              <w:bottom w:val="single" w:sz="4" w:space="0" w:color="auto"/>
              <w:right w:val="single" w:sz="4" w:space="0" w:color="auto"/>
            </w:tcBorders>
            <w:shd w:val="clear" w:color="auto" w:fill="auto"/>
            <w:vAlign w:val="bottom"/>
            <w:hideMark/>
          </w:tcPr>
          <w:p w14:paraId="17F7BCA1"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3 697 200,00</w:t>
            </w:r>
          </w:p>
        </w:tc>
        <w:tc>
          <w:tcPr>
            <w:tcW w:w="1789" w:type="dxa"/>
            <w:tcBorders>
              <w:top w:val="nil"/>
              <w:left w:val="nil"/>
              <w:bottom w:val="single" w:sz="4" w:space="0" w:color="auto"/>
              <w:right w:val="single" w:sz="4" w:space="0" w:color="auto"/>
            </w:tcBorders>
            <w:shd w:val="clear" w:color="auto" w:fill="auto"/>
            <w:vAlign w:val="bottom"/>
            <w:hideMark/>
          </w:tcPr>
          <w:p w14:paraId="160C34A6"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3 697 200,00</w:t>
            </w:r>
          </w:p>
        </w:tc>
        <w:tc>
          <w:tcPr>
            <w:tcW w:w="659" w:type="dxa"/>
            <w:tcBorders>
              <w:top w:val="single" w:sz="4" w:space="0" w:color="auto"/>
              <w:left w:val="nil"/>
              <w:bottom w:val="nil"/>
              <w:right w:val="single" w:sz="8" w:space="0" w:color="auto"/>
            </w:tcBorders>
            <w:shd w:val="clear" w:color="auto" w:fill="auto"/>
            <w:noWrap/>
            <w:vAlign w:val="bottom"/>
            <w:hideMark/>
          </w:tcPr>
          <w:p w14:paraId="6D4C74B5"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100,0</w:t>
            </w:r>
          </w:p>
        </w:tc>
      </w:tr>
      <w:tr w:rsidR="00687021" w:rsidRPr="00687021" w14:paraId="20EECBA7"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383E4B77"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 </w:t>
            </w:r>
          </w:p>
        </w:tc>
        <w:tc>
          <w:tcPr>
            <w:tcW w:w="4536" w:type="dxa"/>
            <w:tcBorders>
              <w:top w:val="nil"/>
              <w:left w:val="nil"/>
              <w:bottom w:val="single" w:sz="4" w:space="0" w:color="auto"/>
              <w:right w:val="single" w:sz="4" w:space="0" w:color="auto"/>
            </w:tcBorders>
            <w:shd w:val="clear" w:color="auto" w:fill="auto"/>
            <w:vAlign w:val="bottom"/>
            <w:hideMark/>
          </w:tcPr>
          <w:p w14:paraId="48E1DA10" w14:textId="77777777" w:rsidR="00687021" w:rsidRPr="00687021" w:rsidRDefault="00687021" w:rsidP="00687021">
            <w:pPr>
              <w:spacing w:after="0" w:line="240" w:lineRule="auto"/>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příspěvek na běžné opravy a udržování</w:t>
            </w:r>
          </w:p>
        </w:tc>
        <w:tc>
          <w:tcPr>
            <w:tcW w:w="1418" w:type="dxa"/>
            <w:tcBorders>
              <w:top w:val="nil"/>
              <w:left w:val="nil"/>
              <w:bottom w:val="single" w:sz="4" w:space="0" w:color="auto"/>
              <w:right w:val="single" w:sz="4" w:space="0" w:color="auto"/>
            </w:tcBorders>
            <w:shd w:val="clear" w:color="auto" w:fill="auto"/>
            <w:vAlign w:val="bottom"/>
            <w:hideMark/>
          </w:tcPr>
          <w:p w14:paraId="1B777CBE"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100 000</w:t>
            </w:r>
          </w:p>
        </w:tc>
        <w:tc>
          <w:tcPr>
            <w:tcW w:w="1701" w:type="dxa"/>
            <w:tcBorders>
              <w:top w:val="nil"/>
              <w:left w:val="nil"/>
              <w:bottom w:val="single" w:sz="4" w:space="0" w:color="auto"/>
              <w:right w:val="single" w:sz="4" w:space="0" w:color="auto"/>
            </w:tcBorders>
            <w:shd w:val="clear" w:color="auto" w:fill="auto"/>
            <w:vAlign w:val="bottom"/>
            <w:hideMark/>
          </w:tcPr>
          <w:p w14:paraId="51F95233"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100 000,00</w:t>
            </w:r>
          </w:p>
        </w:tc>
        <w:tc>
          <w:tcPr>
            <w:tcW w:w="1789" w:type="dxa"/>
            <w:tcBorders>
              <w:top w:val="nil"/>
              <w:left w:val="nil"/>
              <w:bottom w:val="single" w:sz="4" w:space="0" w:color="auto"/>
              <w:right w:val="single" w:sz="4" w:space="0" w:color="auto"/>
            </w:tcBorders>
            <w:shd w:val="clear" w:color="auto" w:fill="auto"/>
            <w:vAlign w:val="bottom"/>
            <w:hideMark/>
          </w:tcPr>
          <w:p w14:paraId="64D34BD0"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48 000,00</w:t>
            </w:r>
          </w:p>
        </w:tc>
        <w:tc>
          <w:tcPr>
            <w:tcW w:w="659" w:type="dxa"/>
            <w:tcBorders>
              <w:top w:val="single" w:sz="4" w:space="0" w:color="auto"/>
              <w:left w:val="nil"/>
              <w:bottom w:val="nil"/>
              <w:right w:val="single" w:sz="8" w:space="0" w:color="auto"/>
            </w:tcBorders>
            <w:shd w:val="clear" w:color="auto" w:fill="auto"/>
            <w:noWrap/>
            <w:vAlign w:val="bottom"/>
            <w:hideMark/>
          </w:tcPr>
          <w:p w14:paraId="191049E0"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48,0</w:t>
            </w:r>
          </w:p>
        </w:tc>
      </w:tr>
      <w:tr w:rsidR="00687021" w:rsidRPr="00687021" w14:paraId="0C8FA256" w14:textId="77777777" w:rsidTr="00956DE6">
        <w:trPr>
          <w:trHeight w:val="51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04077EC4"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4357</w:t>
            </w:r>
          </w:p>
        </w:tc>
        <w:tc>
          <w:tcPr>
            <w:tcW w:w="4536" w:type="dxa"/>
            <w:tcBorders>
              <w:top w:val="nil"/>
              <w:left w:val="nil"/>
              <w:bottom w:val="single" w:sz="4" w:space="0" w:color="auto"/>
              <w:right w:val="single" w:sz="4" w:space="0" w:color="auto"/>
            </w:tcBorders>
            <w:shd w:val="clear" w:color="auto" w:fill="auto"/>
            <w:vAlign w:val="center"/>
            <w:hideMark/>
          </w:tcPr>
          <w:p w14:paraId="2E96E86A" w14:textId="77777777" w:rsidR="00687021" w:rsidRPr="00687021" w:rsidRDefault="00687021" w:rsidP="00687021">
            <w:pPr>
              <w:spacing w:after="0" w:line="240" w:lineRule="auto"/>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 xml:space="preserve">Domovy pro osoby se zdravotním postižením a domovy se zvláštním režimem - příspěvek příspěvkovým organizacím </w:t>
            </w:r>
          </w:p>
        </w:tc>
        <w:tc>
          <w:tcPr>
            <w:tcW w:w="1418" w:type="dxa"/>
            <w:tcBorders>
              <w:top w:val="nil"/>
              <w:left w:val="nil"/>
              <w:bottom w:val="single" w:sz="4" w:space="0" w:color="auto"/>
              <w:right w:val="single" w:sz="4" w:space="0" w:color="auto"/>
            </w:tcBorders>
            <w:shd w:val="clear" w:color="auto" w:fill="auto"/>
            <w:vAlign w:val="bottom"/>
            <w:hideMark/>
          </w:tcPr>
          <w:p w14:paraId="6E5F01B9"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94 348 000</w:t>
            </w:r>
          </w:p>
        </w:tc>
        <w:tc>
          <w:tcPr>
            <w:tcW w:w="1701" w:type="dxa"/>
            <w:tcBorders>
              <w:top w:val="nil"/>
              <w:left w:val="nil"/>
              <w:bottom w:val="single" w:sz="4" w:space="0" w:color="auto"/>
              <w:right w:val="single" w:sz="4" w:space="0" w:color="auto"/>
            </w:tcBorders>
            <w:shd w:val="clear" w:color="auto" w:fill="auto"/>
            <w:vAlign w:val="bottom"/>
            <w:hideMark/>
          </w:tcPr>
          <w:p w14:paraId="4DD20088"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125 290 355,00</w:t>
            </w:r>
          </w:p>
        </w:tc>
        <w:tc>
          <w:tcPr>
            <w:tcW w:w="1789" w:type="dxa"/>
            <w:tcBorders>
              <w:top w:val="nil"/>
              <w:left w:val="nil"/>
              <w:bottom w:val="single" w:sz="4" w:space="0" w:color="auto"/>
              <w:right w:val="single" w:sz="4" w:space="0" w:color="auto"/>
            </w:tcBorders>
            <w:shd w:val="clear" w:color="auto" w:fill="auto"/>
            <w:vAlign w:val="bottom"/>
            <w:hideMark/>
          </w:tcPr>
          <w:p w14:paraId="0C6B31A8"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119 734 895,00</w:t>
            </w:r>
          </w:p>
        </w:tc>
        <w:tc>
          <w:tcPr>
            <w:tcW w:w="659" w:type="dxa"/>
            <w:tcBorders>
              <w:top w:val="single" w:sz="4" w:space="0" w:color="auto"/>
              <w:left w:val="nil"/>
              <w:bottom w:val="nil"/>
              <w:right w:val="single" w:sz="8" w:space="0" w:color="auto"/>
            </w:tcBorders>
            <w:shd w:val="clear" w:color="auto" w:fill="auto"/>
            <w:noWrap/>
            <w:vAlign w:val="bottom"/>
            <w:hideMark/>
          </w:tcPr>
          <w:p w14:paraId="075CC21E"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95,6</w:t>
            </w:r>
          </w:p>
        </w:tc>
      </w:tr>
      <w:tr w:rsidR="00687021" w:rsidRPr="00687021" w14:paraId="2CD49E62"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7D5381E0" w14:textId="77777777" w:rsidR="00687021" w:rsidRPr="00687021" w:rsidRDefault="00687021" w:rsidP="00687021">
            <w:pPr>
              <w:spacing w:after="0" w:line="240" w:lineRule="auto"/>
              <w:jc w:val="center"/>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 </w:t>
            </w:r>
          </w:p>
        </w:tc>
        <w:tc>
          <w:tcPr>
            <w:tcW w:w="10103" w:type="dxa"/>
            <w:gridSpan w:val="5"/>
            <w:tcBorders>
              <w:top w:val="single" w:sz="4" w:space="0" w:color="auto"/>
              <w:left w:val="nil"/>
              <w:bottom w:val="single" w:sz="4" w:space="0" w:color="auto"/>
              <w:right w:val="single" w:sz="8" w:space="0" w:color="000000"/>
            </w:tcBorders>
            <w:shd w:val="clear" w:color="auto" w:fill="auto"/>
            <w:vAlign w:val="bottom"/>
            <w:hideMark/>
          </w:tcPr>
          <w:p w14:paraId="07AA56E7" w14:textId="77777777" w:rsidR="00687021" w:rsidRPr="00687021" w:rsidRDefault="00687021" w:rsidP="00687021">
            <w:pPr>
              <w:spacing w:after="0" w:line="240" w:lineRule="auto"/>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z toho:</w:t>
            </w:r>
          </w:p>
        </w:tc>
      </w:tr>
      <w:tr w:rsidR="00687021" w:rsidRPr="00687021" w14:paraId="2A000BAF"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73CCCD7F" w14:textId="77777777" w:rsidR="00687021" w:rsidRPr="00687021" w:rsidRDefault="00687021" w:rsidP="00687021">
            <w:pPr>
              <w:spacing w:after="0" w:line="240" w:lineRule="auto"/>
              <w:jc w:val="center"/>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 </w:t>
            </w:r>
          </w:p>
        </w:tc>
        <w:tc>
          <w:tcPr>
            <w:tcW w:w="4536" w:type="dxa"/>
            <w:tcBorders>
              <w:top w:val="nil"/>
              <w:left w:val="nil"/>
              <w:bottom w:val="single" w:sz="4" w:space="0" w:color="auto"/>
              <w:right w:val="single" w:sz="4" w:space="0" w:color="auto"/>
            </w:tcBorders>
            <w:shd w:val="clear" w:color="auto" w:fill="auto"/>
            <w:vAlign w:val="bottom"/>
            <w:hideMark/>
          </w:tcPr>
          <w:p w14:paraId="12F46E4F" w14:textId="77777777" w:rsidR="00687021" w:rsidRPr="00687021" w:rsidRDefault="00687021" w:rsidP="00687021">
            <w:pPr>
              <w:spacing w:after="0" w:line="240" w:lineRule="auto"/>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příspěvek na provoz</w:t>
            </w:r>
          </w:p>
        </w:tc>
        <w:tc>
          <w:tcPr>
            <w:tcW w:w="1418" w:type="dxa"/>
            <w:tcBorders>
              <w:top w:val="nil"/>
              <w:left w:val="nil"/>
              <w:bottom w:val="single" w:sz="4" w:space="0" w:color="auto"/>
              <w:right w:val="single" w:sz="4" w:space="0" w:color="auto"/>
            </w:tcBorders>
            <w:shd w:val="clear" w:color="auto" w:fill="auto"/>
            <w:vAlign w:val="bottom"/>
            <w:hideMark/>
          </w:tcPr>
          <w:p w14:paraId="46389933"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24 232 000</w:t>
            </w:r>
          </w:p>
        </w:tc>
        <w:tc>
          <w:tcPr>
            <w:tcW w:w="1701" w:type="dxa"/>
            <w:tcBorders>
              <w:top w:val="nil"/>
              <w:left w:val="nil"/>
              <w:bottom w:val="single" w:sz="4" w:space="0" w:color="auto"/>
              <w:right w:val="single" w:sz="4" w:space="0" w:color="auto"/>
            </w:tcBorders>
            <w:shd w:val="clear" w:color="auto" w:fill="auto"/>
            <w:vAlign w:val="bottom"/>
            <w:hideMark/>
          </w:tcPr>
          <w:p w14:paraId="045A24D4"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28 056 586,00</w:t>
            </w:r>
          </w:p>
        </w:tc>
        <w:tc>
          <w:tcPr>
            <w:tcW w:w="1789" w:type="dxa"/>
            <w:tcBorders>
              <w:top w:val="nil"/>
              <w:left w:val="nil"/>
              <w:bottom w:val="single" w:sz="4" w:space="0" w:color="auto"/>
              <w:right w:val="single" w:sz="4" w:space="0" w:color="auto"/>
            </w:tcBorders>
            <w:shd w:val="clear" w:color="auto" w:fill="auto"/>
            <w:noWrap/>
            <w:vAlign w:val="bottom"/>
            <w:hideMark/>
          </w:tcPr>
          <w:p w14:paraId="114390B1"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26 306 326,00</w:t>
            </w:r>
          </w:p>
        </w:tc>
        <w:tc>
          <w:tcPr>
            <w:tcW w:w="659" w:type="dxa"/>
            <w:tcBorders>
              <w:top w:val="nil"/>
              <w:left w:val="nil"/>
              <w:bottom w:val="nil"/>
              <w:right w:val="single" w:sz="8" w:space="0" w:color="auto"/>
            </w:tcBorders>
            <w:shd w:val="clear" w:color="auto" w:fill="auto"/>
            <w:noWrap/>
            <w:vAlign w:val="bottom"/>
            <w:hideMark/>
          </w:tcPr>
          <w:p w14:paraId="68128833"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93,8</w:t>
            </w:r>
          </w:p>
        </w:tc>
      </w:tr>
      <w:tr w:rsidR="00687021" w:rsidRPr="00687021" w14:paraId="0C1C194E"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5ECCF56A" w14:textId="77777777" w:rsidR="00687021" w:rsidRPr="00687021" w:rsidRDefault="00687021" w:rsidP="00687021">
            <w:pPr>
              <w:spacing w:after="0" w:line="240" w:lineRule="auto"/>
              <w:jc w:val="center"/>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 </w:t>
            </w:r>
          </w:p>
        </w:tc>
        <w:tc>
          <w:tcPr>
            <w:tcW w:w="4536" w:type="dxa"/>
            <w:tcBorders>
              <w:top w:val="nil"/>
              <w:left w:val="nil"/>
              <w:bottom w:val="single" w:sz="4" w:space="0" w:color="auto"/>
              <w:right w:val="single" w:sz="4" w:space="0" w:color="auto"/>
            </w:tcBorders>
            <w:shd w:val="clear" w:color="auto" w:fill="auto"/>
            <w:vAlign w:val="bottom"/>
            <w:hideMark/>
          </w:tcPr>
          <w:p w14:paraId="77EFD03A" w14:textId="77777777" w:rsidR="00687021" w:rsidRPr="00687021" w:rsidRDefault="00687021" w:rsidP="00687021">
            <w:pPr>
              <w:spacing w:after="0" w:line="240" w:lineRule="auto"/>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příspěvek na mzdové výdaje</w:t>
            </w:r>
          </w:p>
        </w:tc>
        <w:tc>
          <w:tcPr>
            <w:tcW w:w="1418" w:type="dxa"/>
            <w:tcBorders>
              <w:top w:val="nil"/>
              <w:left w:val="nil"/>
              <w:bottom w:val="single" w:sz="4" w:space="0" w:color="auto"/>
              <w:right w:val="single" w:sz="4" w:space="0" w:color="auto"/>
            </w:tcBorders>
            <w:shd w:val="clear" w:color="auto" w:fill="auto"/>
            <w:vAlign w:val="bottom"/>
            <w:hideMark/>
          </w:tcPr>
          <w:p w14:paraId="4614306A"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64 000 000</w:t>
            </w:r>
          </w:p>
        </w:tc>
        <w:tc>
          <w:tcPr>
            <w:tcW w:w="1701" w:type="dxa"/>
            <w:tcBorders>
              <w:top w:val="nil"/>
              <w:left w:val="nil"/>
              <w:bottom w:val="single" w:sz="4" w:space="0" w:color="auto"/>
              <w:right w:val="single" w:sz="4" w:space="0" w:color="auto"/>
            </w:tcBorders>
            <w:shd w:val="clear" w:color="auto" w:fill="auto"/>
            <w:vAlign w:val="bottom"/>
            <w:hideMark/>
          </w:tcPr>
          <w:p w14:paraId="0F92295A"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89 488 369,00</w:t>
            </w:r>
          </w:p>
        </w:tc>
        <w:tc>
          <w:tcPr>
            <w:tcW w:w="1789" w:type="dxa"/>
            <w:tcBorders>
              <w:top w:val="nil"/>
              <w:left w:val="nil"/>
              <w:bottom w:val="single" w:sz="4" w:space="0" w:color="auto"/>
              <w:right w:val="single" w:sz="4" w:space="0" w:color="auto"/>
            </w:tcBorders>
            <w:shd w:val="clear" w:color="auto" w:fill="auto"/>
            <w:vAlign w:val="bottom"/>
            <w:hideMark/>
          </w:tcPr>
          <w:p w14:paraId="7549292D"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89 488 369,00</w:t>
            </w:r>
          </w:p>
        </w:tc>
        <w:tc>
          <w:tcPr>
            <w:tcW w:w="659" w:type="dxa"/>
            <w:tcBorders>
              <w:top w:val="single" w:sz="4" w:space="0" w:color="auto"/>
              <w:left w:val="nil"/>
              <w:bottom w:val="nil"/>
              <w:right w:val="single" w:sz="8" w:space="0" w:color="auto"/>
            </w:tcBorders>
            <w:shd w:val="clear" w:color="auto" w:fill="auto"/>
            <w:noWrap/>
            <w:vAlign w:val="bottom"/>
            <w:hideMark/>
          </w:tcPr>
          <w:p w14:paraId="12BD8821"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100,0</w:t>
            </w:r>
          </w:p>
        </w:tc>
      </w:tr>
      <w:tr w:rsidR="00687021" w:rsidRPr="00687021" w14:paraId="25301B2B"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2D038B78"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 </w:t>
            </w:r>
          </w:p>
        </w:tc>
        <w:tc>
          <w:tcPr>
            <w:tcW w:w="4536" w:type="dxa"/>
            <w:tcBorders>
              <w:top w:val="nil"/>
              <w:left w:val="nil"/>
              <w:bottom w:val="single" w:sz="4" w:space="0" w:color="auto"/>
              <w:right w:val="single" w:sz="4" w:space="0" w:color="auto"/>
            </w:tcBorders>
            <w:shd w:val="clear" w:color="auto" w:fill="auto"/>
            <w:vAlign w:val="bottom"/>
            <w:hideMark/>
          </w:tcPr>
          <w:p w14:paraId="7C0A5507" w14:textId="77777777" w:rsidR="00687021" w:rsidRPr="00687021" w:rsidRDefault="00687021" w:rsidP="00687021">
            <w:pPr>
              <w:spacing w:after="0" w:line="240" w:lineRule="auto"/>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příspěvek na běžné opravy a udržování</w:t>
            </w:r>
          </w:p>
        </w:tc>
        <w:tc>
          <w:tcPr>
            <w:tcW w:w="1418" w:type="dxa"/>
            <w:tcBorders>
              <w:top w:val="nil"/>
              <w:left w:val="nil"/>
              <w:bottom w:val="single" w:sz="4" w:space="0" w:color="auto"/>
              <w:right w:val="single" w:sz="4" w:space="0" w:color="auto"/>
            </w:tcBorders>
            <w:shd w:val="clear" w:color="auto" w:fill="auto"/>
            <w:vAlign w:val="bottom"/>
            <w:hideMark/>
          </w:tcPr>
          <w:p w14:paraId="336CF6F6"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6 116 000</w:t>
            </w:r>
          </w:p>
        </w:tc>
        <w:tc>
          <w:tcPr>
            <w:tcW w:w="1701" w:type="dxa"/>
            <w:tcBorders>
              <w:top w:val="nil"/>
              <w:left w:val="nil"/>
              <w:bottom w:val="single" w:sz="4" w:space="0" w:color="auto"/>
              <w:right w:val="single" w:sz="4" w:space="0" w:color="auto"/>
            </w:tcBorders>
            <w:shd w:val="clear" w:color="auto" w:fill="auto"/>
            <w:vAlign w:val="bottom"/>
            <w:hideMark/>
          </w:tcPr>
          <w:p w14:paraId="764B1A4C"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7 745 400,00</w:t>
            </w:r>
          </w:p>
        </w:tc>
        <w:tc>
          <w:tcPr>
            <w:tcW w:w="1789" w:type="dxa"/>
            <w:tcBorders>
              <w:top w:val="nil"/>
              <w:left w:val="nil"/>
              <w:bottom w:val="single" w:sz="4" w:space="0" w:color="auto"/>
              <w:right w:val="single" w:sz="4" w:space="0" w:color="auto"/>
            </w:tcBorders>
            <w:shd w:val="clear" w:color="auto" w:fill="auto"/>
            <w:vAlign w:val="bottom"/>
            <w:hideMark/>
          </w:tcPr>
          <w:p w14:paraId="3A3CDB22"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3 940 200,00</w:t>
            </w:r>
          </w:p>
        </w:tc>
        <w:tc>
          <w:tcPr>
            <w:tcW w:w="659" w:type="dxa"/>
            <w:tcBorders>
              <w:top w:val="single" w:sz="4" w:space="0" w:color="auto"/>
              <w:left w:val="nil"/>
              <w:bottom w:val="single" w:sz="4" w:space="0" w:color="auto"/>
              <w:right w:val="single" w:sz="8" w:space="0" w:color="auto"/>
            </w:tcBorders>
            <w:shd w:val="clear" w:color="auto" w:fill="auto"/>
            <w:noWrap/>
            <w:vAlign w:val="bottom"/>
            <w:hideMark/>
          </w:tcPr>
          <w:p w14:paraId="4BAF7534"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50,9</w:t>
            </w:r>
          </w:p>
        </w:tc>
      </w:tr>
      <w:tr w:rsidR="00687021" w:rsidRPr="00687021" w14:paraId="3B65BC97" w14:textId="77777777" w:rsidTr="00956DE6">
        <w:trPr>
          <w:trHeight w:val="51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418EFAD7"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4359</w:t>
            </w:r>
          </w:p>
        </w:tc>
        <w:tc>
          <w:tcPr>
            <w:tcW w:w="4536" w:type="dxa"/>
            <w:tcBorders>
              <w:top w:val="nil"/>
              <w:left w:val="nil"/>
              <w:bottom w:val="single" w:sz="4" w:space="0" w:color="auto"/>
              <w:right w:val="single" w:sz="4" w:space="0" w:color="auto"/>
            </w:tcBorders>
            <w:shd w:val="clear" w:color="auto" w:fill="auto"/>
            <w:vAlign w:val="center"/>
            <w:hideMark/>
          </w:tcPr>
          <w:p w14:paraId="2539E91E" w14:textId="77777777" w:rsidR="00687021" w:rsidRPr="00687021" w:rsidRDefault="00687021" w:rsidP="00687021">
            <w:pPr>
              <w:spacing w:after="0" w:line="240" w:lineRule="auto"/>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 xml:space="preserve">Ostatní služby a činnosti v oblasti sociální péče - příspěvek příspěvkovým organizacím </w:t>
            </w:r>
          </w:p>
        </w:tc>
        <w:tc>
          <w:tcPr>
            <w:tcW w:w="1418" w:type="dxa"/>
            <w:tcBorders>
              <w:top w:val="nil"/>
              <w:left w:val="nil"/>
              <w:bottom w:val="single" w:sz="4" w:space="0" w:color="auto"/>
              <w:right w:val="single" w:sz="4" w:space="0" w:color="auto"/>
            </w:tcBorders>
            <w:shd w:val="clear" w:color="auto" w:fill="auto"/>
            <w:vAlign w:val="bottom"/>
            <w:hideMark/>
          </w:tcPr>
          <w:p w14:paraId="39B0E3AA"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2 270 000</w:t>
            </w:r>
          </w:p>
        </w:tc>
        <w:tc>
          <w:tcPr>
            <w:tcW w:w="1701" w:type="dxa"/>
            <w:tcBorders>
              <w:top w:val="nil"/>
              <w:left w:val="nil"/>
              <w:bottom w:val="single" w:sz="4" w:space="0" w:color="auto"/>
              <w:right w:val="single" w:sz="4" w:space="0" w:color="auto"/>
            </w:tcBorders>
            <w:shd w:val="clear" w:color="auto" w:fill="auto"/>
            <w:vAlign w:val="bottom"/>
            <w:hideMark/>
          </w:tcPr>
          <w:p w14:paraId="521ABA56"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3 680 200,00</w:t>
            </w:r>
          </w:p>
        </w:tc>
        <w:tc>
          <w:tcPr>
            <w:tcW w:w="1789" w:type="dxa"/>
            <w:tcBorders>
              <w:top w:val="nil"/>
              <w:left w:val="nil"/>
              <w:bottom w:val="single" w:sz="4" w:space="0" w:color="auto"/>
              <w:right w:val="single" w:sz="4" w:space="0" w:color="auto"/>
            </w:tcBorders>
            <w:shd w:val="clear" w:color="auto" w:fill="auto"/>
            <w:vAlign w:val="bottom"/>
            <w:hideMark/>
          </w:tcPr>
          <w:p w14:paraId="666B5D51"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3 680 200,00</w:t>
            </w:r>
          </w:p>
        </w:tc>
        <w:tc>
          <w:tcPr>
            <w:tcW w:w="659" w:type="dxa"/>
            <w:tcBorders>
              <w:top w:val="nil"/>
              <w:left w:val="nil"/>
              <w:bottom w:val="single" w:sz="4" w:space="0" w:color="auto"/>
              <w:right w:val="single" w:sz="8" w:space="0" w:color="auto"/>
            </w:tcBorders>
            <w:shd w:val="clear" w:color="auto" w:fill="auto"/>
            <w:noWrap/>
            <w:vAlign w:val="bottom"/>
            <w:hideMark/>
          </w:tcPr>
          <w:p w14:paraId="3FE7D1BB"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100,0</w:t>
            </w:r>
          </w:p>
        </w:tc>
      </w:tr>
      <w:tr w:rsidR="00687021" w:rsidRPr="00687021" w14:paraId="4DF33FAB"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4900B589" w14:textId="77777777" w:rsidR="00687021" w:rsidRPr="00687021" w:rsidRDefault="00687021" w:rsidP="00687021">
            <w:pPr>
              <w:spacing w:after="0" w:line="240" w:lineRule="auto"/>
              <w:jc w:val="center"/>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 </w:t>
            </w:r>
          </w:p>
        </w:tc>
        <w:tc>
          <w:tcPr>
            <w:tcW w:w="10103" w:type="dxa"/>
            <w:gridSpan w:val="5"/>
            <w:tcBorders>
              <w:top w:val="single" w:sz="4" w:space="0" w:color="auto"/>
              <w:left w:val="nil"/>
              <w:bottom w:val="single" w:sz="4" w:space="0" w:color="auto"/>
              <w:right w:val="single" w:sz="8" w:space="0" w:color="000000"/>
            </w:tcBorders>
            <w:shd w:val="clear" w:color="auto" w:fill="auto"/>
            <w:vAlign w:val="bottom"/>
            <w:hideMark/>
          </w:tcPr>
          <w:p w14:paraId="3B4129F4" w14:textId="77777777" w:rsidR="00687021" w:rsidRPr="00687021" w:rsidRDefault="00687021" w:rsidP="00687021">
            <w:pPr>
              <w:spacing w:after="0" w:line="240" w:lineRule="auto"/>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z toho:</w:t>
            </w:r>
          </w:p>
        </w:tc>
      </w:tr>
      <w:tr w:rsidR="00687021" w:rsidRPr="00687021" w14:paraId="6C053D22"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07DE6EA6" w14:textId="77777777" w:rsidR="00687021" w:rsidRPr="00687021" w:rsidRDefault="00687021" w:rsidP="00687021">
            <w:pPr>
              <w:spacing w:after="0" w:line="240" w:lineRule="auto"/>
              <w:jc w:val="center"/>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 </w:t>
            </w:r>
          </w:p>
        </w:tc>
        <w:tc>
          <w:tcPr>
            <w:tcW w:w="4536" w:type="dxa"/>
            <w:tcBorders>
              <w:top w:val="nil"/>
              <w:left w:val="nil"/>
              <w:bottom w:val="single" w:sz="4" w:space="0" w:color="auto"/>
              <w:right w:val="single" w:sz="4" w:space="0" w:color="auto"/>
            </w:tcBorders>
            <w:shd w:val="clear" w:color="auto" w:fill="auto"/>
            <w:vAlign w:val="bottom"/>
            <w:hideMark/>
          </w:tcPr>
          <w:p w14:paraId="7B477C84" w14:textId="77777777" w:rsidR="00687021" w:rsidRPr="00687021" w:rsidRDefault="00687021" w:rsidP="00687021">
            <w:pPr>
              <w:spacing w:after="0" w:line="240" w:lineRule="auto"/>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příspěvek na provoz</w:t>
            </w:r>
          </w:p>
        </w:tc>
        <w:tc>
          <w:tcPr>
            <w:tcW w:w="1418" w:type="dxa"/>
            <w:tcBorders>
              <w:top w:val="nil"/>
              <w:left w:val="nil"/>
              <w:bottom w:val="single" w:sz="4" w:space="0" w:color="auto"/>
              <w:right w:val="single" w:sz="4" w:space="0" w:color="auto"/>
            </w:tcBorders>
            <w:shd w:val="clear" w:color="auto" w:fill="auto"/>
            <w:vAlign w:val="bottom"/>
            <w:hideMark/>
          </w:tcPr>
          <w:p w14:paraId="0080C639"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500 000</w:t>
            </w:r>
          </w:p>
        </w:tc>
        <w:tc>
          <w:tcPr>
            <w:tcW w:w="1701" w:type="dxa"/>
            <w:tcBorders>
              <w:top w:val="nil"/>
              <w:left w:val="nil"/>
              <w:bottom w:val="single" w:sz="4" w:space="0" w:color="auto"/>
              <w:right w:val="single" w:sz="4" w:space="0" w:color="auto"/>
            </w:tcBorders>
            <w:shd w:val="clear" w:color="auto" w:fill="auto"/>
            <w:vAlign w:val="bottom"/>
            <w:hideMark/>
          </w:tcPr>
          <w:p w14:paraId="67412C55"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931 900,00</w:t>
            </w:r>
          </w:p>
        </w:tc>
        <w:tc>
          <w:tcPr>
            <w:tcW w:w="1789" w:type="dxa"/>
            <w:tcBorders>
              <w:top w:val="nil"/>
              <w:left w:val="nil"/>
              <w:bottom w:val="single" w:sz="4" w:space="0" w:color="auto"/>
              <w:right w:val="single" w:sz="4" w:space="0" w:color="auto"/>
            </w:tcBorders>
            <w:shd w:val="clear" w:color="auto" w:fill="auto"/>
            <w:noWrap/>
            <w:vAlign w:val="bottom"/>
            <w:hideMark/>
          </w:tcPr>
          <w:p w14:paraId="4A4E987D"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931 900,00</w:t>
            </w:r>
          </w:p>
        </w:tc>
        <w:tc>
          <w:tcPr>
            <w:tcW w:w="659" w:type="dxa"/>
            <w:tcBorders>
              <w:top w:val="nil"/>
              <w:left w:val="nil"/>
              <w:bottom w:val="nil"/>
              <w:right w:val="single" w:sz="8" w:space="0" w:color="auto"/>
            </w:tcBorders>
            <w:shd w:val="clear" w:color="auto" w:fill="auto"/>
            <w:noWrap/>
            <w:vAlign w:val="bottom"/>
            <w:hideMark/>
          </w:tcPr>
          <w:p w14:paraId="443CD006"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100,0</w:t>
            </w:r>
          </w:p>
        </w:tc>
      </w:tr>
      <w:tr w:rsidR="00687021" w:rsidRPr="00687021" w14:paraId="56EF9601"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20074215" w14:textId="77777777" w:rsidR="00687021" w:rsidRPr="00687021" w:rsidRDefault="00687021" w:rsidP="00687021">
            <w:pPr>
              <w:spacing w:after="0" w:line="240" w:lineRule="auto"/>
              <w:jc w:val="center"/>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 </w:t>
            </w:r>
          </w:p>
        </w:tc>
        <w:tc>
          <w:tcPr>
            <w:tcW w:w="4536" w:type="dxa"/>
            <w:tcBorders>
              <w:top w:val="nil"/>
              <w:left w:val="nil"/>
              <w:bottom w:val="single" w:sz="4" w:space="0" w:color="auto"/>
              <w:right w:val="single" w:sz="4" w:space="0" w:color="auto"/>
            </w:tcBorders>
            <w:shd w:val="clear" w:color="auto" w:fill="auto"/>
            <w:vAlign w:val="bottom"/>
            <w:hideMark/>
          </w:tcPr>
          <w:p w14:paraId="517ED580" w14:textId="77777777" w:rsidR="00687021" w:rsidRPr="00687021" w:rsidRDefault="00687021" w:rsidP="00687021">
            <w:pPr>
              <w:spacing w:after="0" w:line="240" w:lineRule="auto"/>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příspěvek na mzdové výdaje</w:t>
            </w:r>
          </w:p>
        </w:tc>
        <w:tc>
          <w:tcPr>
            <w:tcW w:w="1418" w:type="dxa"/>
            <w:tcBorders>
              <w:top w:val="nil"/>
              <w:left w:val="nil"/>
              <w:bottom w:val="single" w:sz="4" w:space="0" w:color="auto"/>
              <w:right w:val="single" w:sz="4" w:space="0" w:color="auto"/>
            </w:tcBorders>
            <w:shd w:val="clear" w:color="auto" w:fill="auto"/>
            <w:vAlign w:val="bottom"/>
            <w:hideMark/>
          </w:tcPr>
          <w:p w14:paraId="09D18058"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1 700 000</w:t>
            </w:r>
          </w:p>
        </w:tc>
        <w:tc>
          <w:tcPr>
            <w:tcW w:w="1701" w:type="dxa"/>
            <w:tcBorders>
              <w:top w:val="nil"/>
              <w:left w:val="nil"/>
              <w:bottom w:val="single" w:sz="4" w:space="0" w:color="auto"/>
              <w:right w:val="single" w:sz="4" w:space="0" w:color="auto"/>
            </w:tcBorders>
            <w:shd w:val="clear" w:color="auto" w:fill="auto"/>
            <w:vAlign w:val="bottom"/>
            <w:hideMark/>
          </w:tcPr>
          <w:p w14:paraId="45357893"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2 248 300,00</w:t>
            </w:r>
          </w:p>
        </w:tc>
        <w:tc>
          <w:tcPr>
            <w:tcW w:w="1789" w:type="dxa"/>
            <w:tcBorders>
              <w:top w:val="nil"/>
              <w:left w:val="nil"/>
              <w:bottom w:val="single" w:sz="4" w:space="0" w:color="auto"/>
              <w:right w:val="single" w:sz="4" w:space="0" w:color="auto"/>
            </w:tcBorders>
            <w:shd w:val="clear" w:color="auto" w:fill="auto"/>
            <w:vAlign w:val="bottom"/>
            <w:hideMark/>
          </w:tcPr>
          <w:p w14:paraId="2F5F799E"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2 248 300,00</w:t>
            </w:r>
          </w:p>
        </w:tc>
        <w:tc>
          <w:tcPr>
            <w:tcW w:w="659" w:type="dxa"/>
            <w:tcBorders>
              <w:top w:val="single" w:sz="4" w:space="0" w:color="auto"/>
              <w:left w:val="nil"/>
              <w:bottom w:val="nil"/>
              <w:right w:val="single" w:sz="8" w:space="0" w:color="auto"/>
            </w:tcBorders>
            <w:shd w:val="clear" w:color="auto" w:fill="auto"/>
            <w:noWrap/>
            <w:vAlign w:val="bottom"/>
            <w:hideMark/>
          </w:tcPr>
          <w:p w14:paraId="7CC9708C"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100,0</w:t>
            </w:r>
          </w:p>
        </w:tc>
      </w:tr>
      <w:tr w:rsidR="00687021" w:rsidRPr="00687021" w14:paraId="1EA426D7"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405A9AFA"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 </w:t>
            </w:r>
          </w:p>
        </w:tc>
        <w:tc>
          <w:tcPr>
            <w:tcW w:w="4536" w:type="dxa"/>
            <w:tcBorders>
              <w:top w:val="nil"/>
              <w:left w:val="nil"/>
              <w:bottom w:val="single" w:sz="4" w:space="0" w:color="auto"/>
              <w:right w:val="single" w:sz="4" w:space="0" w:color="auto"/>
            </w:tcBorders>
            <w:shd w:val="clear" w:color="auto" w:fill="auto"/>
            <w:vAlign w:val="bottom"/>
            <w:hideMark/>
          </w:tcPr>
          <w:p w14:paraId="6EF830E6" w14:textId="77777777" w:rsidR="00687021" w:rsidRPr="00687021" w:rsidRDefault="00687021" w:rsidP="00687021">
            <w:pPr>
              <w:spacing w:after="0" w:line="240" w:lineRule="auto"/>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příspěvek na běžné opravy a udržování</w:t>
            </w:r>
          </w:p>
        </w:tc>
        <w:tc>
          <w:tcPr>
            <w:tcW w:w="1418" w:type="dxa"/>
            <w:tcBorders>
              <w:top w:val="nil"/>
              <w:left w:val="nil"/>
              <w:bottom w:val="single" w:sz="4" w:space="0" w:color="auto"/>
              <w:right w:val="single" w:sz="4" w:space="0" w:color="auto"/>
            </w:tcBorders>
            <w:shd w:val="clear" w:color="auto" w:fill="auto"/>
            <w:vAlign w:val="bottom"/>
            <w:hideMark/>
          </w:tcPr>
          <w:p w14:paraId="4278DDB7"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70 000</w:t>
            </w:r>
          </w:p>
        </w:tc>
        <w:tc>
          <w:tcPr>
            <w:tcW w:w="1701" w:type="dxa"/>
            <w:tcBorders>
              <w:top w:val="nil"/>
              <w:left w:val="nil"/>
              <w:bottom w:val="single" w:sz="4" w:space="0" w:color="auto"/>
              <w:right w:val="single" w:sz="4" w:space="0" w:color="auto"/>
            </w:tcBorders>
            <w:shd w:val="clear" w:color="auto" w:fill="auto"/>
            <w:vAlign w:val="bottom"/>
            <w:hideMark/>
          </w:tcPr>
          <w:p w14:paraId="31DEA08E"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500 000,00</w:t>
            </w:r>
          </w:p>
        </w:tc>
        <w:tc>
          <w:tcPr>
            <w:tcW w:w="1789" w:type="dxa"/>
            <w:tcBorders>
              <w:top w:val="nil"/>
              <w:left w:val="nil"/>
              <w:bottom w:val="single" w:sz="4" w:space="0" w:color="auto"/>
              <w:right w:val="single" w:sz="4" w:space="0" w:color="auto"/>
            </w:tcBorders>
            <w:shd w:val="clear" w:color="auto" w:fill="auto"/>
            <w:vAlign w:val="bottom"/>
            <w:hideMark/>
          </w:tcPr>
          <w:p w14:paraId="44C230B7"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500 000,00</w:t>
            </w:r>
          </w:p>
        </w:tc>
        <w:tc>
          <w:tcPr>
            <w:tcW w:w="659" w:type="dxa"/>
            <w:tcBorders>
              <w:top w:val="single" w:sz="4" w:space="0" w:color="auto"/>
              <w:left w:val="nil"/>
              <w:bottom w:val="nil"/>
              <w:right w:val="single" w:sz="8" w:space="0" w:color="auto"/>
            </w:tcBorders>
            <w:shd w:val="clear" w:color="auto" w:fill="auto"/>
            <w:noWrap/>
            <w:vAlign w:val="bottom"/>
            <w:hideMark/>
          </w:tcPr>
          <w:p w14:paraId="68D3C11B"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100,0</w:t>
            </w:r>
          </w:p>
        </w:tc>
      </w:tr>
      <w:tr w:rsidR="00687021" w:rsidRPr="00687021" w14:paraId="01C8E0E3" w14:textId="77777777" w:rsidTr="00956DE6">
        <w:trPr>
          <w:trHeight w:val="51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1A72CD84"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4369</w:t>
            </w:r>
          </w:p>
        </w:tc>
        <w:tc>
          <w:tcPr>
            <w:tcW w:w="4536" w:type="dxa"/>
            <w:tcBorders>
              <w:top w:val="nil"/>
              <w:left w:val="nil"/>
              <w:bottom w:val="single" w:sz="4" w:space="0" w:color="auto"/>
              <w:right w:val="single" w:sz="4" w:space="0" w:color="auto"/>
            </w:tcBorders>
            <w:shd w:val="clear" w:color="auto" w:fill="auto"/>
            <w:vAlign w:val="center"/>
            <w:hideMark/>
          </w:tcPr>
          <w:p w14:paraId="4142F866" w14:textId="77777777" w:rsidR="00687021" w:rsidRPr="00687021" w:rsidRDefault="00687021" w:rsidP="00687021">
            <w:pPr>
              <w:spacing w:after="0" w:line="240" w:lineRule="auto"/>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Ostatní správa v sociálním zabezpečení a politice zaměstnanosti</w:t>
            </w:r>
          </w:p>
        </w:tc>
        <w:tc>
          <w:tcPr>
            <w:tcW w:w="1418" w:type="dxa"/>
            <w:tcBorders>
              <w:top w:val="nil"/>
              <w:left w:val="nil"/>
              <w:bottom w:val="single" w:sz="4" w:space="0" w:color="auto"/>
              <w:right w:val="single" w:sz="4" w:space="0" w:color="auto"/>
            </w:tcBorders>
            <w:shd w:val="clear" w:color="auto" w:fill="auto"/>
            <w:vAlign w:val="bottom"/>
            <w:hideMark/>
          </w:tcPr>
          <w:p w14:paraId="41404AC7"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200 000</w:t>
            </w:r>
          </w:p>
        </w:tc>
        <w:tc>
          <w:tcPr>
            <w:tcW w:w="1701" w:type="dxa"/>
            <w:tcBorders>
              <w:top w:val="nil"/>
              <w:left w:val="nil"/>
              <w:bottom w:val="single" w:sz="4" w:space="0" w:color="auto"/>
              <w:right w:val="single" w:sz="4" w:space="0" w:color="auto"/>
            </w:tcBorders>
            <w:shd w:val="clear" w:color="auto" w:fill="auto"/>
            <w:vAlign w:val="bottom"/>
            <w:hideMark/>
          </w:tcPr>
          <w:p w14:paraId="5A819972"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200 000,00</w:t>
            </w:r>
          </w:p>
        </w:tc>
        <w:tc>
          <w:tcPr>
            <w:tcW w:w="1789" w:type="dxa"/>
            <w:tcBorders>
              <w:top w:val="nil"/>
              <w:left w:val="nil"/>
              <w:bottom w:val="single" w:sz="4" w:space="0" w:color="auto"/>
              <w:right w:val="single" w:sz="4" w:space="0" w:color="auto"/>
            </w:tcBorders>
            <w:shd w:val="clear" w:color="auto" w:fill="auto"/>
            <w:vAlign w:val="bottom"/>
            <w:hideMark/>
          </w:tcPr>
          <w:p w14:paraId="38E88C7F"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0,00</w:t>
            </w:r>
          </w:p>
        </w:tc>
        <w:tc>
          <w:tcPr>
            <w:tcW w:w="659" w:type="dxa"/>
            <w:tcBorders>
              <w:top w:val="single" w:sz="4" w:space="0" w:color="auto"/>
              <w:left w:val="nil"/>
              <w:bottom w:val="nil"/>
              <w:right w:val="single" w:sz="8" w:space="0" w:color="auto"/>
            </w:tcBorders>
            <w:shd w:val="clear" w:color="auto" w:fill="auto"/>
            <w:noWrap/>
            <w:vAlign w:val="bottom"/>
            <w:hideMark/>
          </w:tcPr>
          <w:p w14:paraId="4C62B50F"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0,0</w:t>
            </w:r>
          </w:p>
        </w:tc>
      </w:tr>
      <w:tr w:rsidR="00687021" w:rsidRPr="00687021" w14:paraId="3A0CA2FE" w14:textId="77777777" w:rsidTr="00956DE6">
        <w:trPr>
          <w:trHeight w:val="51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12680F2D"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4374</w:t>
            </w:r>
          </w:p>
        </w:tc>
        <w:tc>
          <w:tcPr>
            <w:tcW w:w="4536" w:type="dxa"/>
            <w:tcBorders>
              <w:top w:val="nil"/>
              <w:left w:val="nil"/>
              <w:bottom w:val="single" w:sz="4" w:space="0" w:color="auto"/>
              <w:right w:val="single" w:sz="4" w:space="0" w:color="auto"/>
            </w:tcBorders>
            <w:shd w:val="clear" w:color="auto" w:fill="auto"/>
            <w:vAlign w:val="center"/>
            <w:hideMark/>
          </w:tcPr>
          <w:p w14:paraId="3D1AF95B" w14:textId="77777777" w:rsidR="00687021" w:rsidRPr="00687021" w:rsidRDefault="00687021" w:rsidP="00687021">
            <w:pPr>
              <w:spacing w:after="0" w:line="240" w:lineRule="auto"/>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 xml:space="preserve">Azylové domy, nízkoprahová denní centra a noclehárny - příspěvek příspěvkovým organizacím </w:t>
            </w:r>
          </w:p>
        </w:tc>
        <w:tc>
          <w:tcPr>
            <w:tcW w:w="1418" w:type="dxa"/>
            <w:tcBorders>
              <w:top w:val="nil"/>
              <w:left w:val="nil"/>
              <w:bottom w:val="single" w:sz="4" w:space="0" w:color="auto"/>
              <w:right w:val="single" w:sz="4" w:space="0" w:color="auto"/>
            </w:tcBorders>
            <w:shd w:val="clear" w:color="auto" w:fill="auto"/>
            <w:vAlign w:val="bottom"/>
            <w:hideMark/>
          </w:tcPr>
          <w:p w14:paraId="4EDCF7E4"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600 000</w:t>
            </w:r>
          </w:p>
        </w:tc>
        <w:tc>
          <w:tcPr>
            <w:tcW w:w="1701" w:type="dxa"/>
            <w:tcBorders>
              <w:top w:val="nil"/>
              <w:left w:val="nil"/>
              <w:bottom w:val="single" w:sz="4" w:space="0" w:color="auto"/>
              <w:right w:val="single" w:sz="4" w:space="0" w:color="auto"/>
            </w:tcBorders>
            <w:shd w:val="clear" w:color="auto" w:fill="auto"/>
            <w:vAlign w:val="bottom"/>
            <w:hideMark/>
          </w:tcPr>
          <w:p w14:paraId="0E1ECBE2"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673 000,00</w:t>
            </w:r>
          </w:p>
        </w:tc>
        <w:tc>
          <w:tcPr>
            <w:tcW w:w="1789" w:type="dxa"/>
            <w:tcBorders>
              <w:top w:val="nil"/>
              <w:left w:val="nil"/>
              <w:bottom w:val="single" w:sz="4" w:space="0" w:color="auto"/>
              <w:right w:val="single" w:sz="4" w:space="0" w:color="auto"/>
            </w:tcBorders>
            <w:shd w:val="clear" w:color="auto" w:fill="auto"/>
            <w:vAlign w:val="bottom"/>
            <w:hideMark/>
          </w:tcPr>
          <w:p w14:paraId="4E805FB6"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673 000,00</w:t>
            </w:r>
          </w:p>
        </w:tc>
        <w:tc>
          <w:tcPr>
            <w:tcW w:w="659" w:type="dxa"/>
            <w:tcBorders>
              <w:top w:val="single" w:sz="4" w:space="0" w:color="auto"/>
              <w:left w:val="nil"/>
              <w:bottom w:val="single" w:sz="4" w:space="0" w:color="auto"/>
              <w:right w:val="single" w:sz="8" w:space="0" w:color="auto"/>
            </w:tcBorders>
            <w:shd w:val="clear" w:color="auto" w:fill="auto"/>
            <w:noWrap/>
            <w:vAlign w:val="bottom"/>
            <w:hideMark/>
          </w:tcPr>
          <w:p w14:paraId="2DE4B551"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100,0</w:t>
            </w:r>
          </w:p>
        </w:tc>
      </w:tr>
      <w:tr w:rsidR="00687021" w:rsidRPr="00687021" w14:paraId="3E9C091F"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11D5B774" w14:textId="77777777" w:rsidR="00687021" w:rsidRPr="00687021" w:rsidRDefault="00687021" w:rsidP="00687021">
            <w:pPr>
              <w:spacing w:after="0" w:line="240" w:lineRule="auto"/>
              <w:jc w:val="center"/>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 </w:t>
            </w:r>
          </w:p>
        </w:tc>
        <w:tc>
          <w:tcPr>
            <w:tcW w:w="10103" w:type="dxa"/>
            <w:gridSpan w:val="5"/>
            <w:tcBorders>
              <w:top w:val="single" w:sz="4" w:space="0" w:color="auto"/>
              <w:left w:val="nil"/>
              <w:bottom w:val="single" w:sz="4" w:space="0" w:color="auto"/>
              <w:right w:val="single" w:sz="8" w:space="0" w:color="000000"/>
            </w:tcBorders>
            <w:shd w:val="clear" w:color="auto" w:fill="auto"/>
            <w:vAlign w:val="bottom"/>
            <w:hideMark/>
          </w:tcPr>
          <w:p w14:paraId="4EEB9410" w14:textId="77777777" w:rsidR="00687021" w:rsidRPr="00687021" w:rsidRDefault="00687021" w:rsidP="00687021">
            <w:pPr>
              <w:spacing w:after="0" w:line="240" w:lineRule="auto"/>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z toho:</w:t>
            </w:r>
          </w:p>
        </w:tc>
      </w:tr>
      <w:tr w:rsidR="00687021" w:rsidRPr="00687021" w14:paraId="105980D2"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0316C5E7" w14:textId="77777777" w:rsidR="00687021" w:rsidRPr="00687021" w:rsidRDefault="00687021" w:rsidP="00687021">
            <w:pPr>
              <w:spacing w:after="0" w:line="240" w:lineRule="auto"/>
              <w:jc w:val="center"/>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 </w:t>
            </w:r>
          </w:p>
        </w:tc>
        <w:tc>
          <w:tcPr>
            <w:tcW w:w="4536" w:type="dxa"/>
            <w:tcBorders>
              <w:top w:val="nil"/>
              <w:left w:val="nil"/>
              <w:bottom w:val="single" w:sz="4" w:space="0" w:color="auto"/>
              <w:right w:val="single" w:sz="4" w:space="0" w:color="auto"/>
            </w:tcBorders>
            <w:shd w:val="clear" w:color="auto" w:fill="auto"/>
            <w:vAlign w:val="bottom"/>
            <w:hideMark/>
          </w:tcPr>
          <w:p w14:paraId="1BB2E804" w14:textId="77777777" w:rsidR="00687021" w:rsidRPr="00687021" w:rsidRDefault="00687021" w:rsidP="00687021">
            <w:pPr>
              <w:spacing w:after="0" w:line="240" w:lineRule="auto"/>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příspěvek na provoz</w:t>
            </w:r>
          </w:p>
        </w:tc>
        <w:tc>
          <w:tcPr>
            <w:tcW w:w="1418" w:type="dxa"/>
            <w:tcBorders>
              <w:top w:val="nil"/>
              <w:left w:val="nil"/>
              <w:bottom w:val="single" w:sz="4" w:space="0" w:color="auto"/>
              <w:right w:val="single" w:sz="4" w:space="0" w:color="auto"/>
            </w:tcBorders>
            <w:shd w:val="clear" w:color="auto" w:fill="auto"/>
            <w:vAlign w:val="bottom"/>
            <w:hideMark/>
          </w:tcPr>
          <w:p w14:paraId="397BA4AB"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100 000</w:t>
            </w:r>
          </w:p>
        </w:tc>
        <w:tc>
          <w:tcPr>
            <w:tcW w:w="1701" w:type="dxa"/>
            <w:tcBorders>
              <w:top w:val="nil"/>
              <w:left w:val="nil"/>
              <w:bottom w:val="single" w:sz="4" w:space="0" w:color="auto"/>
              <w:right w:val="single" w:sz="4" w:space="0" w:color="auto"/>
            </w:tcBorders>
            <w:shd w:val="clear" w:color="auto" w:fill="auto"/>
            <w:vAlign w:val="bottom"/>
            <w:hideMark/>
          </w:tcPr>
          <w:p w14:paraId="5768FBFA"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100 000,00</w:t>
            </w:r>
          </w:p>
        </w:tc>
        <w:tc>
          <w:tcPr>
            <w:tcW w:w="1789" w:type="dxa"/>
            <w:tcBorders>
              <w:top w:val="nil"/>
              <w:left w:val="nil"/>
              <w:bottom w:val="single" w:sz="4" w:space="0" w:color="auto"/>
              <w:right w:val="single" w:sz="4" w:space="0" w:color="auto"/>
            </w:tcBorders>
            <w:shd w:val="clear" w:color="auto" w:fill="auto"/>
            <w:noWrap/>
            <w:vAlign w:val="bottom"/>
            <w:hideMark/>
          </w:tcPr>
          <w:p w14:paraId="71978713"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100 000,00</w:t>
            </w:r>
          </w:p>
        </w:tc>
        <w:tc>
          <w:tcPr>
            <w:tcW w:w="659" w:type="dxa"/>
            <w:tcBorders>
              <w:top w:val="nil"/>
              <w:left w:val="nil"/>
              <w:bottom w:val="nil"/>
              <w:right w:val="single" w:sz="8" w:space="0" w:color="auto"/>
            </w:tcBorders>
            <w:shd w:val="clear" w:color="auto" w:fill="auto"/>
            <w:noWrap/>
            <w:vAlign w:val="bottom"/>
            <w:hideMark/>
          </w:tcPr>
          <w:p w14:paraId="5D25DB43"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100,0</w:t>
            </w:r>
          </w:p>
        </w:tc>
      </w:tr>
      <w:tr w:rsidR="00687021" w:rsidRPr="00687021" w14:paraId="12D8AC5B"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54AFA5D8" w14:textId="77777777" w:rsidR="00687021" w:rsidRPr="00687021" w:rsidRDefault="00687021" w:rsidP="00687021">
            <w:pPr>
              <w:spacing w:after="0" w:line="240" w:lineRule="auto"/>
              <w:jc w:val="center"/>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 </w:t>
            </w:r>
          </w:p>
        </w:tc>
        <w:tc>
          <w:tcPr>
            <w:tcW w:w="4536" w:type="dxa"/>
            <w:tcBorders>
              <w:top w:val="nil"/>
              <w:left w:val="nil"/>
              <w:bottom w:val="single" w:sz="4" w:space="0" w:color="auto"/>
              <w:right w:val="single" w:sz="4" w:space="0" w:color="auto"/>
            </w:tcBorders>
            <w:shd w:val="clear" w:color="auto" w:fill="auto"/>
            <w:vAlign w:val="bottom"/>
            <w:hideMark/>
          </w:tcPr>
          <w:p w14:paraId="717A3A17" w14:textId="77777777" w:rsidR="00687021" w:rsidRPr="00687021" w:rsidRDefault="00687021" w:rsidP="00687021">
            <w:pPr>
              <w:spacing w:after="0" w:line="240" w:lineRule="auto"/>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příspěvek na mzdové výdaje</w:t>
            </w:r>
          </w:p>
        </w:tc>
        <w:tc>
          <w:tcPr>
            <w:tcW w:w="1418" w:type="dxa"/>
            <w:tcBorders>
              <w:top w:val="nil"/>
              <w:left w:val="nil"/>
              <w:bottom w:val="single" w:sz="4" w:space="0" w:color="auto"/>
              <w:right w:val="single" w:sz="4" w:space="0" w:color="auto"/>
            </w:tcBorders>
            <w:shd w:val="clear" w:color="auto" w:fill="auto"/>
            <w:vAlign w:val="bottom"/>
            <w:hideMark/>
          </w:tcPr>
          <w:p w14:paraId="79137066"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500 000</w:t>
            </w:r>
          </w:p>
        </w:tc>
        <w:tc>
          <w:tcPr>
            <w:tcW w:w="1701" w:type="dxa"/>
            <w:tcBorders>
              <w:top w:val="nil"/>
              <w:left w:val="nil"/>
              <w:bottom w:val="single" w:sz="4" w:space="0" w:color="auto"/>
              <w:right w:val="single" w:sz="4" w:space="0" w:color="auto"/>
            </w:tcBorders>
            <w:shd w:val="clear" w:color="auto" w:fill="auto"/>
            <w:vAlign w:val="bottom"/>
            <w:hideMark/>
          </w:tcPr>
          <w:p w14:paraId="79CBF68E"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573 000,00</w:t>
            </w:r>
          </w:p>
        </w:tc>
        <w:tc>
          <w:tcPr>
            <w:tcW w:w="1789" w:type="dxa"/>
            <w:tcBorders>
              <w:top w:val="nil"/>
              <w:left w:val="nil"/>
              <w:bottom w:val="single" w:sz="4" w:space="0" w:color="auto"/>
              <w:right w:val="single" w:sz="4" w:space="0" w:color="auto"/>
            </w:tcBorders>
            <w:shd w:val="clear" w:color="auto" w:fill="auto"/>
            <w:vAlign w:val="bottom"/>
            <w:hideMark/>
          </w:tcPr>
          <w:p w14:paraId="20BEAF62"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573 000,00</w:t>
            </w:r>
          </w:p>
        </w:tc>
        <w:tc>
          <w:tcPr>
            <w:tcW w:w="659" w:type="dxa"/>
            <w:tcBorders>
              <w:top w:val="single" w:sz="4" w:space="0" w:color="auto"/>
              <w:left w:val="nil"/>
              <w:bottom w:val="nil"/>
              <w:right w:val="single" w:sz="8" w:space="0" w:color="auto"/>
            </w:tcBorders>
            <w:shd w:val="clear" w:color="auto" w:fill="auto"/>
            <w:noWrap/>
            <w:vAlign w:val="bottom"/>
            <w:hideMark/>
          </w:tcPr>
          <w:p w14:paraId="4E5AF793"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100,0</w:t>
            </w:r>
          </w:p>
        </w:tc>
      </w:tr>
      <w:tr w:rsidR="00687021" w:rsidRPr="00687021" w14:paraId="5862AB29" w14:textId="77777777" w:rsidTr="00956DE6">
        <w:trPr>
          <w:trHeight w:val="51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1D58CC65"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4376</w:t>
            </w:r>
          </w:p>
        </w:tc>
        <w:tc>
          <w:tcPr>
            <w:tcW w:w="4536" w:type="dxa"/>
            <w:tcBorders>
              <w:top w:val="nil"/>
              <w:left w:val="nil"/>
              <w:bottom w:val="single" w:sz="4" w:space="0" w:color="auto"/>
              <w:right w:val="single" w:sz="4" w:space="0" w:color="auto"/>
            </w:tcBorders>
            <w:shd w:val="clear" w:color="auto" w:fill="auto"/>
            <w:vAlign w:val="center"/>
            <w:hideMark/>
          </w:tcPr>
          <w:p w14:paraId="72A5EE0B" w14:textId="77777777" w:rsidR="00687021" w:rsidRPr="00687021" w:rsidRDefault="00687021" w:rsidP="00687021">
            <w:pPr>
              <w:spacing w:after="0" w:line="240" w:lineRule="auto"/>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 xml:space="preserve">Služby následné péče, terapeutické komunity a kontaktní centra - příspěvek příspěvkovým organizacím </w:t>
            </w:r>
          </w:p>
        </w:tc>
        <w:tc>
          <w:tcPr>
            <w:tcW w:w="1418" w:type="dxa"/>
            <w:tcBorders>
              <w:top w:val="nil"/>
              <w:left w:val="nil"/>
              <w:bottom w:val="single" w:sz="4" w:space="0" w:color="auto"/>
              <w:right w:val="single" w:sz="4" w:space="0" w:color="auto"/>
            </w:tcBorders>
            <w:shd w:val="clear" w:color="auto" w:fill="auto"/>
            <w:vAlign w:val="bottom"/>
            <w:hideMark/>
          </w:tcPr>
          <w:p w14:paraId="62AA1467"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3 210 000</w:t>
            </w:r>
          </w:p>
        </w:tc>
        <w:tc>
          <w:tcPr>
            <w:tcW w:w="1701" w:type="dxa"/>
            <w:tcBorders>
              <w:top w:val="nil"/>
              <w:left w:val="nil"/>
              <w:bottom w:val="single" w:sz="4" w:space="0" w:color="auto"/>
              <w:right w:val="single" w:sz="4" w:space="0" w:color="auto"/>
            </w:tcBorders>
            <w:shd w:val="clear" w:color="auto" w:fill="auto"/>
            <w:vAlign w:val="bottom"/>
            <w:hideMark/>
          </w:tcPr>
          <w:p w14:paraId="31DDAFBA"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3 524 000,00</w:t>
            </w:r>
          </w:p>
        </w:tc>
        <w:tc>
          <w:tcPr>
            <w:tcW w:w="1789" w:type="dxa"/>
            <w:tcBorders>
              <w:top w:val="nil"/>
              <w:left w:val="nil"/>
              <w:bottom w:val="single" w:sz="4" w:space="0" w:color="auto"/>
              <w:right w:val="single" w:sz="4" w:space="0" w:color="auto"/>
            </w:tcBorders>
            <w:shd w:val="clear" w:color="auto" w:fill="auto"/>
            <w:vAlign w:val="bottom"/>
            <w:hideMark/>
          </w:tcPr>
          <w:p w14:paraId="20AB3329"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2 900 000,00</w:t>
            </w:r>
          </w:p>
        </w:tc>
        <w:tc>
          <w:tcPr>
            <w:tcW w:w="659" w:type="dxa"/>
            <w:tcBorders>
              <w:top w:val="single" w:sz="4" w:space="0" w:color="auto"/>
              <w:left w:val="nil"/>
              <w:bottom w:val="nil"/>
              <w:right w:val="single" w:sz="8" w:space="0" w:color="auto"/>
            </w:tcBorders>
            <w:shd w:val="clear" w:color="auto" w:fill="auto"/>
            <w:noWrap/>
            <w:vAlign w:val="bottom"/>
            <w:hideMark/>
          </w:tcPr>
          <w:p w14:paraId="62D67566"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82,3</w:t>
            </w:r>
          </w:p>
        </w:tc>
      </w:tr>
      <w:tr w:rsidR="00687021" w:rsidRPr="00687021" w14:paraId="31CEBABE"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5C4D2D51" w14:textId="77777777" w:rsidR="00687021" w:rsidRPr="00687021" w:rsidRDefault="00687021" w:rsidP="00687021">
            <w:pPr>
              <w:spacing w:after="0" w:line="240" w:lineRule="auto"/>
              <w:jc w:val="center"/>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 </w:t>
            </w:r>
          </w:p>
        </w:tc>
        <w:tc>
          <w:tcPr>
            <w:tcW w:w="10103" w:type="dxa"/>
            <w:gridSpan w:val="5"/>
            <w:tcBorders>
              <w:top w:val="single" w:sz="4" w:space="0" w:color="auto"/>
              <w:left w:val="nil"/>
              <w:bottom w:val="single" w:sz="4" w:space="0" w:color="auto"/>
              <w:right w:val="single" w:sz="8" w:space="0" w:color="000000"/>
            </w:tcBorders>
            <w:shd w:val="clear" w:color="auto" w:fill="auto"/>
            <w:vAlign w:val="bottom"/>
            <w:hideMark/>
          </w:tcPr>
          <w:p w14:paraId="17D06C12" w14:textId="77777777" w:rsidR="00687021" w:rsidRPr="00687021" w:rsidRDefault="00687021" w:rsidP="00687021">
            <w:pPr>
              <w:spacing w:after="0" w:line="240" w:lineRule="auto"/>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z toho:</w:t>
            </w:r>
          </w:p>
        </w:tc>
      </w:tr>
      <w:tr w:rsidR="00687021" w:rsidRPr="00687021" w14:paraId="1C179C5C"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62DEDA72" w14:textId="77777777" w:rsidR="00687021" w:rsidRPr="00687021" w:rsidRDefault="00687021" w:rsidP="00687021">
            <w:pPr>
              <w:spacing w:after="0" w:line="240" w:lineRule="auto"/>
              <w:jc w:val="center"/>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 </w:t>
            </w:r>
          </w:p>
        </w:tc>
        <w:tc>
          <w:tcPr>
            <w:tcW w:w="4536" w:type="dxa"/>
            <w:tcBorders>
              <w:top w:val="nil"/>
              <w:left w:val="nil"/>
              <w:bottom w:val="single" w:sz="4" w:space="0" w:color="auto"/>
              <w:right w:val="single" w:sz="4" w:space="0" w:color="auto"/>
            </w:tcBorders>
            <w:shd w:val="clear" w:color="auto" w:fill="auto"/>
            <w:vAlign w:val="bottom"/>
            <w:hideMark/>
          </w:tcPr>
          <w:p w14:paraId="1A6F35F0" w14:textId="77777777" w:rsidR="00687021" w:rsidRPr="00687021" w:rsidRDefault="00687021" w:rsidP="00687021">
            <w:pPr>
              <w:spacing w:after="0" w:line="240" w:lineRule="auto"/>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příspěvek na provoz</w:t>
            </w:r>
          </w:p>
        </w:tc>
        <w:tc>
          <w:tcPr>
            <w:tcW w:w="1418" w:type="dxa"/>
            <w:tcBorders>
              <w:top w:val="nil"/>
              <w:left w:val="nil"/>
              <w:bottom w:val="single" w:sz="4" w:space="0" w:color="auto"/>
              <w:right w:val="single" w:sz="4" w:space="0" w:color="auto"/>
            </w:tcBorders>
            <w:shd w:val="clear" w:color="auto" w:fill="auto"/>
            <w:vAlign w:val="bottom"/>
            <w:hideMark/>
          </w:tcPr>
          <w:p w14:paraId="3774E898"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600 000</w:t>
            </w:r>
          </w:p>
        </w:tc>
        <w:tc>
          <w:tcPr>
            <w:tcW w:w="1701" w:type="dxa"/>
            <w:tcBorders>
              <w:top w:val="nil"/>
              <w:left w:val="nil"/>
              <w:bottom w:val="single" w:sz="4" w:space="0" w:color="auto"/>
              <w:right w:val="single" w:sz="4" w:space="0" w:color="auto"/>
            </w:tcBorders>
            <w:shd w:val="clear" w:color="auto" w:fill="auto"/>
            <w:vAlign w:val="bottom"/>
            <w:hideMark/>
          </w:tcPr>
          <w:p w14:paraId="1B0BCFBC"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914 000,00</w:t>
            </w:r>
          </w:p>
        </w:tc>
        <w:tc>
          <w:tcPr>
            <w:tcW w:w="1789" w:type="dxa"/>
            <w:tcBorders>
              <w:top w:val="nil"/>
              <w:left w:val="nil"/>
              <w:bottom w:val="single" w:sz="4" w:space="0" w:color="auto"/>
              <w:right w:val="single" w:sz="4" w:space="0" w:color="auto"/>
            </w:tcBorders>
            <w:shd w:val="clear" w:color="auto" w:fill="auto"/>
            <w:noWrap/>
            <w:vAlign w:val="bottom"/>
            <w:hideMark/>
          </w:tcPr>
          <w:p w14:paraId="2F2D21D6"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914 000,00</w:t>
            </w:r>
          </w:p>
        </w:tc>
        <w:tc>
          <w:tcPr>
            <w:tcW w:w="659" w:type="dxa"/>
            <w:tcBorders>
              <w:top w:val="nil"/>
              <w:left w:val="nil"/>
              <w:bottom w:val="nil"/>
              <w:right w:val="single" w:sz="8" w:space="0" w:color="auto"/>
            </w:tcBorders>
            <w:shd w:val="clear" w:color="auto" w:fill="auto"/>
            <w:noWrap/>
            <w:vAlign w:val="bottom"/>
            <w:hideMark/>
          </w:tcPr>
          <w:p w14:paraId="7177CD9B"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100,0</w:t>
            </w:r>
          </w:p>
        </w:tc>
      </w:tr>
      <w:tr w:rsidR="00687021" w:rsidRPr="00687021" w14:paraId="11051B3A"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50D6425F" w14:textId="77777777" w:rsidR="00687021" w:rsidRPr="00687021" w:rsidRDefault="00687021" w:rsidP="00687021">
            <w:pPr>
              <w:spacing w:after="0" w:line="240" w:lineRule="auto"/>
              <w:jc w:val="center"/>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 </w:t>
            </w:r>
          </w:p>
        </w:tc>
        <w:tc>
          <w:tcPr>
            <w:tcW w:w="4536" w:type="dxa"/>
            <w:tcBorders>
              <w:top w:val="nil"/>
              <w:left w:val="nil"/>
              <w:bottom w:val="single" w:sz="4" w:space="0" w:color="auto"/>
              <w:right w:val="single" w:sz="4" w:space="0" w:color="auto"/>
            </w:tcBorders>
            <w:shd w:val="clear" w:color="auto" w:fill="auto"/>
            <w:vAlign w:val="bottom"/>
            <w:hideMark/>
          </w:tcPr>
          <w:p w14:paraId="46BD2541" w14:textId="77777777" w:rsidR="00687021" w:rsidRPr="00687021" w:rsidRDefault="00687021" w:rsidP="00687021">
            <w:pPr>
              <w:spacing w:after="0" w:line="240" w:lineRule="auto"/>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příspěvek na mzdové výdaje</w:t>
            </w:r>
          </w:p>
        </w:tc>
        <w:tc>
          <w:tcPr>
            <w:tcW w:w="1418" w:type="dxa"/>
            <w:tcBorders>
              <w:top w:val="nil"/>
              <w:left w:val="nil"/>
              <w:bottom w:val="single" w:sz="4" w:space="0" w:color="auto"/>
              <w:right w:val="single" w:sz="4" w:space="0" w:color="auto"/>
            </w:tcBorders>
            <w:shd w:val="clear" w:color="auto" w:fill="auto"/>
            <w:vAlign w:val="bottom"/>
            <w:hideMark/>
          </w:tcPr>
          <w:p w14:paraId="614B1A49"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2 600 000</w:t>
            </w:r>
          </w:p>
        </w:tc>
        <w:tc>
          <w:tcPr>
            <w:tcW w:w="1701" w:type="dxa"/>
            <w:tcBorders>
              <w:top w:val="nil"/>
              <w:left w:val="nil"/>
              <w:bottom w:val="single" w:sz="4" w:space="0" w:color="auto"/>
              <w:right w:val="single" w:sz="4" w:space="0" w:color="auto"/>
            </w:tcBorders>
            <w:shd w:val="clear" w:color="auto" w:fill="auto"/>
            <w:vAlign w:val="bottom"/>
            <w:hideMark/>
          </w:tcPr>
          <w:p w14:paraId="193C3D09"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2 600 000,00</w:t>
            </w:r>
          </w:p>
        </w:tc>
        <w:tc>
          <w:tcPr>
            <w:tcW w:w="1789" w:type="dxa"/>
            <w:tcBorders>
              <w:top w:val="nil"/>
              <w:left w:val="nil"/>
              <w:bottom w:val="single" w:sz="4" w:space="0" w:color="auto"/>
              <w:right w:val="single" w:sz="4" w:space="0" w:color="auto"/>
            </w:tcBorders>
            <w:shd w:val="clear" w:color="auto" w:fill="auto"/>
            <w:vAlign w:val="bottom"/>
            <w:hideMark/>
          </w:tcPr>
          <w:p w14:paraId="36FE45EE"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1 976 000,00</w:t>
            </w:r>
          </w:p>
        </w:tc>
        <w:tc>
          <w:tcPr>
            <w:tcW w:w="659" w:type="dxa"/>
            <w:tcBorders>
              <w:top w:val="single" w:sz="4" w:space="0" w:color="auto"/>
              <w:left w:val="nil"/>
              <w:bottom w:val="nil"/>
              <w:right w:val="single" w:sz="8" w:space="0" w:color="auto"/>
            </w:tcBorders>
            <w:shd w:val="clear" w:color="auto" w:fill="auto"/>
            <w:noWrap/>
            <w:vAlign w:val="bottom"/>
            <w:hideMark/>
          </w:tcPr>
          <w:p w14:paraId="53CD9620"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76,0</w:t>
            </w:r>
          </w:p>
        </w:tc>
      </w:tr>
      <w:tr w:rsidR="00687021" w:rsidRPr="00687021" w14:paraId="5F1181A0"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0BF22C22"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 </w:t>
            </w:r>
          </w:p>
        </w:tc>
        <w:tc>
          <w:tcPr>
            <w:tcW w:w="4536" w:type="dxa"/>
            <w:tcBorders>
              <w:top w:val="nil"/>
              <w:left w:val="nil"/>
              <w:bottom w:val="single" w:sz="4" w:space="0" w:color="auto"/>
              <w:right w:val="single" w:sz="4" w:space="0" w:color="auto"/>
            </w:tcBorders>
            <w:shd w:val="clear" w:color="auto" w:fill="auto"/>
            <w:vAlign w:val="bottom"/>
            <w:hideMark/>
          </w:tcPr>
          <w:p w14:paraId="6493C055" w14:textId="77777777" w:rsidR="00687021" w:rsidRPr="00687021" w:rsidRDefault="00687021" w:rsidP="00687021">
            <w:pPr>
              <w:spacing w:after="0" w:line="240" w:lineRule="auto"/>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příspěvek na běžné opravy a udržování</w:t>
            </w:r>
          </w:p>
        </w:tc>
        <w:tc>
          <w:tcPr>
            <w:tcW w:w="1418" w:type="dxa"/>
            <w:tcBorders>
              <w:top w:val="nil"/>
              <w:left w:val="nil"/>
              <w:bottom w:val="single" w:sz="4" w:space="0" w:color="auto"/>
              <w:right w:val="single" w:sz="4" w:space="0" w:color="auto"/>
            </w:tcBorders>
            <w:shd w:val="clear" w:color="auto" w:fill="auto"/>
            <w:vAlign w:val="bottom"/>
            <w:hideMark/>
          </w:tcPr>
          <w:p w14:paraId="13466EA0"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10 000</w:t>
            </w:r>
          </w:p>
        </w:tc>
        <w:tc>
          <w:tcPr>
            <w:tcW w:w="1701" w:type="dxa"/>
            <w:tcBorders>
              <w:top w:val="nil"/>
              <w:left w:val="nil"/>
              <w:bottom w:val="single" w:sz="4" w:space="0" w:color="auto"/>
              <w:right w:val="single" w:sz="4" w:space="0" w:color="auto"/>
            </w:tcBorders>
            <w:shd w:val="clear" w:color="auto" w:fill="auto"/>
            <w:vAlign w:val="bottom"/>
            <w:hideMark/>
          </w:tcPr>
          <w:p w14:paraId="100E9944"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10 000,00</w:t>
            </w:r>
          </w:p>
        </w:tc>
        <w:tc>
          <w:tcPr>
            <w:tcW w:w="1789" w:type="dxa"/>
            <w:tcBorders>
              <w:top w:val="nil"/>
              <w:left w:val="nil"/>
              <w:bottom w:val="single" w:sz="4" w:space="0" w:color="auto"/>
              <w:right w:val="single" w:sz="4" w:space="0" w:color="auto"/>
            </w:tcBorders>
            <w:shd w:val="clear" w:color="auto" w:fill="auto"/>
            <w:vAlign w:val="bottom"/>
            <w:hideMark/>
          </w:tcPr>
          <w:p w14:paraId="1B1A6E77"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10 000,00</w:t>
            </w:r>
          </w:p>
        </w:tc>
        <w:tc>
          <w:tcPr>
            <w:tcW w:w="659" w:type="dxa"/>
            <w:tcBorders>
              <w:top w:val="single" w:sz="4" w:space="0" w:color="auto"/>
              <w:left w:val="nil"/>
              <w:bottom w:val="nil"/>
              <w:right w:val="single" w:sz="8" w:space="0" w:color="auto"/>
            </w:tcBorders>
            <w:shd w:val="clear" w:color="auto" w:fill="auto"/>
            <w:noWrap/>
            <w:vAlign w:val="bottom"/>
            <w:hideMark/>
          </w:tcPr>
          <w:p w14:paraId="600C9DE0"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100,0</w:t>
            </w:r>
          </w:p>
        </w:tc>
      </w:tr>
      <w:tr w:rsidR="00687021" w:rsidRPr="00687021" w14:paraId="71C2805B" w14:textId="77777777" w:rsidTr="00956DE6">
        <w:trPr>
          <w:trHeight w:val="51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3DA6BC81"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4377</w:t>
            </w:r>
          </w:p>
        </w:tc>
        <w:tc>
          <w:tcPr>
            <w:tcW w:w="4536" w:type="dxa"/>
            <w:tcBorders>
              <w:top w:val="nil"/>
              <w:left w:val="nil"/>
              <w:bottom w:val="single" w:sz="4" w:space="0" w:color="auto"/>
              <w:right w:val="single" w:sz="4" w:space="0" w:color="auto"/>
            </w:tcBorders>
            <w:shd w:val="clear" w:color="auto" w:fill="auto"/>
            <w:vAlign w:val="center"/>
            <w:hideMark/>
          </w:tcPr>
          <w:p w14:paraId="409A717D" w14:textId="77777777" w:rsidR="00687021" w:rsidRPr="00687021" w:rsidRDefault="00687021" w:rsidP="00687021">
            <w:pPr>
              <w:spacing w:after="0" w:line="240" w:lineRule="auto"/>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 xml:space="preserve">Sociálně terapeutické dílny - příspěvek příspěvkovým organizacím </w:t>
            </w:r>
          </w:p>
        </w:tc>
        <w:tc>
          <w:tcPr>
            <w:tcW w:w="1418" w:type="dxa"/>
            <w:tcBorders>
              <w:top w:val="nil"/>
              <w:left w:val="nil"/>
              <w:bottom w:val="single" w:sz="4" w:space="0" w:color="auto"/>
              <w:right w:val="single" w:sz="4" w:space="0" w:color="auto"/>
            </w:tcBorders>
            <w:shd w:val="clear" w:color="auto" w:fill="auto"/>
            <w:vAlign w:val="bottom"/>
            <w:hideMark/>
          </w:tcPr>
          <w:p w14:paraId="00008CF9"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900 000</w:t>
            </w:r>
          </w:p>
        </w:tc>
        <w:tc>
          <w:tcPr>
            <w:tcW w:w="1701" w:type="dxa"/>
            <w:tcBorders>
              <w:top w:val="nil"/>
              <w:left w:val="nil"/>
              <w:bottom w:val="single" w:sz="4" w:space="0" w:color="auto"/>
              <w:right w:val="single" w:sz="4" w:space="0" w:color="auto"/>
            </w:tcBorders>
            <w:shd w:val="clear" w:color="auto" w:fill="auto"/>
            <w:vAlign w:val="bottom"/>
            <w:hideMark/>
          </w:tcPr>
          <w:p w14:paraId="302CE7A7"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1 274 000,00</w:t>
            </w:r>
          </w:p>
        </w:tc>
        <w:tc>
          <w:tcPr>
            <w:tcW w:w="1789" w:type="dxa"/>
            <w:tcBorders>
              <w:top w:val="nil"/>
              <w:left w:val="nil"/>
              <w:bottom w:val="single" w:sz="4" w:space="0" w:color="auto"/>
              <w:right w:val="single" w:sz="4" w:space="0" w:color="auto"/>
            </w:tcBorders>
            <w:shd w:val="clear" w:color="auto" w:fill="auto"/>
            <w:vAlign w:val="bottom"/>
            <w:hideMark/>
          </w:tcPr>
          <w:p w14:paraId="45BFB82D"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1 274 000,00</w:t>
            </w:r>
          </w:p>
        </w:tc>
        <w:tc>
          <w:tcPr>
            <w:tcW w:w="659" w:type="dxa"/>
            <w:tcBorders>
              <w:top w:val="single" w:sz="4" w:space="0" w:color="auto"/>
              <w:left w:val="nil"/>
              <w:bottom w:val="nil"/>
              <w:right w:val="single" w:sz="8" w:space="0" w:color="auto"/>
            </w:tcBorders>
            <w:shd w:val="clear" w:color="auto" w:fill="auto"/>
            <w:noWrap/>
            <w:vAlign w:val="bottom"/>
            <w:hideMark/>
          </w:tcPr>
          <w:p w14:paraId="67097B0D"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100,0</w:t>
            </w:r>
          </w:p>
        </w:tc>
      </w:tr>
      <w:tr w:rsidR="00687021" w:rsidRPr="00687021" w14:paraId="6A4BF221"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4DC30CB5" w14:textId="77777777" w:rsidR="00687021" w:rsidRPr="00687021" w:rsidRDefault="00687021" w:rsidP="00687021">
            <w:pPr>
              <w:spacing w:after="0" w:line="240" w:lineRule="auto"/>
              <w:jc w:val="center"/>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 </w:t>
            </w:r>
          </w:p>
        </w:tc>
        <w:tc>
          <w:tcPr>
            <w:tcW w:w="10103" w:type="dxa"/>
            <w:gridSpan w:val="5"/>
            <w:tcBorders>
              <w:top w:val="single" w:sz="4" w:space="0" w:color="auto"/>
              <w:left w:val="nil"/>
              <w:bottom w:val="single" w:sz="4" w:space="0" w:color="auto"/>
              <w:right w:val="single" w:sz="8" w:space="0" w:color="000000"/>
            </w:tcBorders>
            <w:shd w:val="clear" w:color="auto" w:fill="auto"/>
            <w:vAlign w:val="bottom"/>
            <w:hideMark/>
          </w:tcPr>
          <w:p w14:paraId="4ECB5A17" w14:textId="77777777" w:rsidR="00687021" w:rsidRPr="00687021" w:rsidRDefault="00687021" w:rsidP="00687021">
            <w:pPr>
              <w:spacing w:after="0" w:line="240" w:lineRule="auto"/>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z toho:</w:t>
            </w:r>
          </w:p>
        </w:tc>
      </w:tr>
      <w:tr w:rsidR="00687021" w:rsidRPr="00687021" w14:paraId="6BC1B4E3"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7E94CAA7" w14:textId="77777777" w:rsidR="00687021" w:rsidRPr="00687021" w:rsidRDefault="00687021" w:rsidP="00687021">
            <w:pPr>
              <w:spacing w:after="0" w:line="240" w:lineRule="auto"/>
              <w:jc w:val="center"/>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 </w:t>
            </w:r>
          </w:p>
        </w:tc>
        <w:tc>
          <w:tcPr>
            <w:tcW w:w="4536" w:type="dxa"/>
            <w:tcBorders>
              <w:top w:val="nil"/>
              <w:left w:val="nil"/>
              <w:bottom w:val="single" w:sz="4" w:space="0" w:color="auto"/>
              <w:right w:val="single" w:sz="4" w:space="0" w:color="auto"/>
            </w:tcBorders>
            <w:shd w:val="clear" w:color="auto" w:fill="auto"/>
            <w:vAlign w:val="bottom"/>
            <w:hideMark/>
          </w:tcPr>
          <w:p w14:paraId="2D2F73BD" w14:textId="77777777" w:rsidR="00687021" w:rsidRPr="00687021" w:rsidRDefault="00687021" w:rsidP="00687021">
            <w:pPr>
              <w:spacing w:after="0" w:line="240" w:lineRule="auto"/>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příspěvek na provoz</w:t>
            </w:r>
          </w:p>
        </w:tc>
        <w:tc>
          <w:tcPr>
            <w:tcW w:w="1418" w:type="dxa"/>
            <w:tcBorders>
              <w:top w:val="nil"/>
              <w:left w:val="nil"/>
              <w:bottom w:val="single" w:sz="4" w:space="0" w:color="auto"/>
              <w:right w:val="single" w:sz="4" w:space="0" w:color="auto"/>
            </w:tcBorders>
            <w:shd w:val="clear" w:color="auto" w:fill="auto"/>
            <w:vAlign w:val="bottom"/>
            <w:hideMark/>
          </w:tcPr>
          <w:p w14:paraId="1077D1EF"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100 000</w:t>
            </w:r>
          </w:p>
        </w:tc>
        <w:tc>
          <w:tcPr>
            <w:tcW w:w="1701" w:type="dxa"/>
            <w:tcBorders>
              <w:top w:val="nil"/>
              <w:left w:val="nil"/>
              <w:bottom w:val="single" w:sz="4" w:space="0" w:color="auto"/>
              <w:right w:val="single" w:sz="4" w:space="0" w:color="auto"/>
            </w:tcBorders>
            <w:shd w:val="clear" w:color="auto" w:fill="auto"/>
            <w:vAlign w:val="bottom"/>
            <w:hideMark/>
          </w:tcPr>
          <w:p w14:paraId="5FBD811C"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183 000,00</w:t>
            </w:r>
          </w:p>
        </w:tc>
        <w:tc>
          <w:tcPr>
            <w:tcW w:w="1789" w:type="dxa"/>
            <w:tcBorders>
              <w:top w:val="nil"/>
              <w:left w:val="nil"/>
              <w:bottom w:val="single" w:sz="4" w:space="0" w:color="auto"/>
              <w:right w:val="single" w:sz="4" w:space="0" w:color="auto"/>
            </w:tcBorders>
            <w:shd w:val="clear" w:color="auto" w:fill="auto"/>
            <w:noWrap/>
            <w:vAlign w:val="bottom"/>
            <w:hideMark/>
          </w:tcPr>
          <w:p w14:paraId="040EED5C"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183 000,00</w:t>
            </w:r>
          </w:p>
        </w:tc>
        <w:tc>
          <w:tcPr>
            <w:tcW w:w="659" w:type="dxa"/>
            <w:tcBorders>
              <w:top w:val="nil"/>
              <w:left w:val="nil"/>
              <w:bottom w:val="nil"/>
              <w:right w:val="single" w:sz="8" w:space="0" w:color="auto"/>
            </w:tcBorders>
            <w:shd w:val="clear" w:color="auto" w:fill="auto"/>
            <w:noWrap/>
            <w:vAlign w:val="bottom"/>
            <w:hideMark/>
          </w:tcPr>
          <w:p w14:paraId="4BB4A243"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100,0</w:t>
            </w:r>
          </w:p>
        </w:tc>
      </w:tr>
      <w:tr w:rsidR="00687021" w:rsidRPr="00687021" w14:paraId="1D55AB8E"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01454C6C" w14:textId="77777777" w:rsidR="00687021" w:rsidRPr="00687021" w:rsidRDefault="00687021" w:rsidP="00687021">
            <w:pPr>
              <w:spacing w:after="0" w:line="240" w:lineRule="auto"/>
              <w:jc w:val="center"/>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 </w:t>
            </w:r>
          </w:p>
        </w:tc>
        <w:tc>
          <w:tcPr>
            <w:tcW w:w="4536" w:type="dxa"/>
            <w:tcBorders>
              <w:top w:val="nil"/>
              <w:left w:val="nil"/>
              <w:bottom w:val="single" w:sz="4" w:space="0" w:color="auto"/>
              <w:right w:val="single" w:sz="4" w:space="0" w:color="auto"/>
            </w:tcBorders>
            <w:shd w:val="clear" w:color="auto" w:fill="auto"/>
            <w:vAlign w:val="bottom"/>
            <w:hideMark/>
          </w:tcPr>
          <w:p w14:paraId="5A918AB3" w14:textId="77777777" w:rsidR="00687021" w:rsidRPr="00687021" w:rsidRDefault="00687021" w:rsidP="00687021">
            <w:pPr>
              <w:spacing w:after="0" w:line="240" w:lineRule="auto"/>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příspěvek na mzdové výdaje</w:t>
            </w:r>
          </w:p>
        </w:tc>
        <w:tc>
          <w:tcPr>
            <w:tcW w:w="1418" w:type="dxa"/>
            <w:tcBorders>
              <w:top w:val="nil"/>
              <w:left w:val="nil"/>
              <w:bottom w:val="single" w:sz="4" w:space="0" w:color="auto"/>
              <w:right w:val="single" w:sz="4" w:space="0" w:color="auto"/>
            </w:tcBorders>
            <w:shd w:val="clear" w:color="auto" w:fill="auto"/>
            <w:vAlign w:val="bottom"/>
            <w:hideMark/>
          </w:tcPr>
          <w:p w14:paraId="1C82C91A"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800 000</w:t>
            </w:r>
          </w:p>
        </w:tc>
        <w:tc>
          <w:tcPr>
            <w:tcW w:w="1701" w:type="dxa"/>
            <w:tcBorders>
              <w:top w:val="nil"/>
              <w:left w:val="nil"/>
              <w:bottom w:val="single" w:sz="4" w:space="0" w:color="auto"/>
              <w:right w:val="single" w:sz="4" w:space="0" w:color="auto"/>
            </w:tcBorders>
            <w:shd w:val="clear" w:color="auto" w:fill="auto"/>
            <w:vAlign w:val="bottom"/>
            <w:hideMark/>
          </w:tcPr>
          <w:p w14:paraId="6069A1BE"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1 091 000,00</w:t>
            </w:r>
          </w:p>
        </w:tc>
        <w:tc>
          <w:tcPr>
            <w:tcW w:w="1789" w:type="dxa"/>
            <w:tcBorders>
              <w:top w:val="nil"/>
              <w:left w:val="nil"/>
              <w:bottom w:val="single" w:sz="4" w:space="0" w:color="auto"/>
              <w:right w:val="single" w:sz="4" w:space="0" w:color="auto"/>
            </w:tcBorders>
            <w:shd w:val="clear" w:color="auto" w:fill="auto"/>
            <w:vAlign w:val="bottom"/>
            <w:hideMark/>
          </w:tcPr>
          <w:p w14:paraId="4F6ED1CF"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1 091 000,00</w:t>
            </w:r>
          </w:p>
        </w:tc>
        <w:tc>
          <w:tcPr>
            <w:tcW w:w="659" w:type="dxa"/>
            <w:tcBorders>
              <w:top w:val="single" w:sz="4" w:space="0" w:color="auto"/>
              <w:left w:val="nil"/>
              <w:bottom w:val="nil"/>
              <w:right w:val="single" w:sz="8" w:space="0" w:color="auto"/>
            </w:tcBorders>
            <w:shd w:val="clear" w:color="auto" w:fill="auto"/>
            <w:noWrap/>
            <w:vAlign w:val="bottom"/>
            <w:hideMark/>
          </w:tcPr>
          <w:p w14:paraId="6973DF98"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100,0</w:t>
            </w:r>
          </w:p>
        </w:tc>
      </w:tr>
      <w:tr w:rsidR="00687021" w:rsidRPr="00687021" w14:paraId="76D7A776"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7AA3182F"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4378</w:t>
            </w:r>
          </w:p>
        </w:tc>
        <w:tc>
          <w:tcPr>
            <w:tcW w:w="4536" w:type="dxa"/>
            <w:tcBorders>
              <w:top w:val="nil"/>
              <w:left w:val="nil"/>
              <w:bottom w:val="single" w:sz="4" w:space="0" w:color="auto"/>
              <w:right w:val="single" w:sz="4" w:space="0" w:color="auto"/>
            </w:tcBorders>
            <w:shd w:val="clear" w:color="auto" w:fill="auto"/>
            <w:vAlign w:val="bottom"/>
            <w:hideMark/>
          </w:tcPr>
          <w:p w14:paraId="5DE3CCB7" w14:textId="77777777" w:rsidR="00687021" w:rsidRPr="00687021" w:rsidRDefault="00687021" w:rsidP="00687021">
            <w:pPr>
              <w:spacing w:after="0" w:line="240" w:lineRule="auto"/>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 xml:space="preserve">Terénní programy - příspěvek příspěvkovým organizacím </w:t>
            </w:r>
          </w:p>
        </w:tc>
        <w:tc>
          <w:tcPr>
            <w:tcW w:w="1418" w:type="dxa"/>
            <w:tcBorders>
              <w:top w:val="nil"/>
              <w:left w:val="nil"/>
              <w:bottom w:val="single" w:sz="4" w:space="0" w:color="auto"/>
              <w:right w:val="single" w:sz="4" w:space="0" w:color="auto"/>
            </w:tcBorders>
            <w:shd w:val="clear" w:color="auto" w:fill="auto"/>
            <w:vAlign w:val="bottom"/>
            <w:hideMark/>
          </w:tcPr>
          <w:p w14:paraId="07317C40"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580 000</w:t>
            </w:r>
          </w:p>
        </w:tc>
        <w:tc>
          <w:tcPr>
            <w:tcW w:w="1701" w:type="dxa"/>
            <w:tcBorders>
              <w:top w:val="nil"/>
              <w:left w:val="nil"/>
              <w:bottom w:val="single" w:sz="4" w:space="0" w:color="auto"/>
              <w:right w:val="single" w:sz="4" w:space="0" w:color="auto"/>
            </w:tcBorders>
            <w:shd w:val="clear" w:color="auto" w:fill="auto"/>
            <w:vAlign w:val="bottom"/>
            <w:hideMark/>
          </w:tcPr>
          <w:p w14:paraId="107848B8"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740 000,00</w:t>
            </w:r>
          </w:p>
        </w:tc>
        <w:tc>
          <w:tcPr>
            <w:tcW w:w="1789" w:type="dxa"/>
            <w:tcBorders>
              <w:top w:val="nil"/>
              <w:left w:val="nil"/>
              <w:bottom w:val="single" w:sz="4" w:space="0" w:color="auto"/>
              <w:right w:val="single" w:sz="4" w:space="0" w:color="auto"/>
            </w:tcBorders>
            <w:shd w:val="clear" w:color="auto" w:fill="auto"/>
            <w:vAlign w:val="bottom"/>
            <w:hideMark/>
          </w:tcPr>
          <w:p w14:paraId="718A676C"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475 000,00</w:t>
            </w:r>
          </w:p>
        </w:tc>
        <w:tc>
          <w:tcPr>
            <w:tcW w:w="659" w:type="dxa"/>
            <w:tcBorders>
              <w:top w:val="single" w:sz="4" w:space="0" w:color="auto"/>
              <w:left w:val="nil"/>
              <w:bottom w:val="nil"/>
              <w:right w:val="single" w:sz="8" w:space="0" w:color="auto"/>
            </w:tcBorders>
            <w:shd w:val="clear" w:color="auto" w:fill="auto"/>
            <w:noWrap/>
            <w:vAlign w:val="bottom"/>
            <w:hideMark/>
          </w:tcPr>
          <w:p w14:paraId="65AE9D5B"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64,2</w:t>
            </w:r>
          </w:p>
        </w:tc>
      </w:tr>
      <w:tr w:rsidR="00687021" w:rsidRPr="00687021" w14:paraId="7322A3AC"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4A40604A" w14:textId="77777777" w:rsidR="00687021" w:rsidRPr="00687021" w:rsidRDefault="00687021" w:rsidP="00687021">
            <w:pPr>
              <w:spacing w:after="0" w:line="240" w:lineRule="auto"/>
              <w:jc w:val="center"/>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 </w:t>
            </w:r>
          </w:p>
        </w:tc>
        <w:tc>
          <w:tcPr>
            <w:tcW w:w="10103" w:type="dxa"/>
            <w:gridSpan w:val="5"/>
            <w:tcBorders>
              <w:top w:val="single" w:sz="4" w:space="0" w:color="auto"/>
              <w:left w:val="nil"/>
              <w:bottom w:val="single" w:sz="4" w:space="0" w:color="auto"/>
              <w:right w:val="single" w:sz="8" w:space="0" w:color="000000"/>
            </w:tcBorders>
            <w:shd w:val="clear" w:color="auto" w:fill="auto"/>
            <w:vAlign w:val="bottom"/>
            <w:hideMark/>
          </w:tcPr>
          <w:p w14:paraId="22BACBA1" w14:textId="77777777" w:rsidR="00687021" w:rsidRPr="00687021" w:rsidRDefault="00687021" w:rsidP="00687021">
            <w:pPr>
              <w:spacing w:after="0" w:line="240" w:lineRule="auto"/>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z toho:</w:t>
            </w:r>
          </w:p>
        </w:tc>
      </w:tr>
      <w:tr w:rsidR="00687021" w:rsidRPr="00687021" w14:paraId="2CAE596D"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12EDE291" w14:textId="77777777" w:rsidR="00687021" w:rsidRPr="00687021" w:rsidRDefault="00687021" w:rsidP="00687021">
            <w:pPr>
              <w:spacing w:after="0" w:line="240" w:lineRule="auto"/>
              <w:jc w:val="center"/>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 </w:t>
            </w:r>
          </w:p>
        </w:tc>
        <w:tc>
          <w:tcPr>
            <w:tcW w:w="4536" w:type="dxa"/>
            <w:tcBorders>
              <w:top w:val="nil"/>
              <w:left w:val="nil"/>
              <w:bottom w:val="single" w:sz="4" w:space="0" w:color="auto"/>
              <w:right w:val="single" w:sz="4" w:space="0" w:color="auto"/>
            </w:tcBorders>
            <w:shd w:val="clear" w:color="auto" w:fill="auto"/>
            <w:vAlign w:val="bottom"/>
            <w:hideMark/>
          </w:tcPr>
          <w:p w14:paraId="4B198980" w14:textId="77777777" w:rsidR="00687021" w:rsidRPr="00687021" w:rsidRDefault="00687021" w:rsidP="00687021">
            <w:pPr>
              <w:spacing w:after="0" w:line="240" w:lineRule="auto"/>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příspěvek na provoz</w:t>
            </w:r>
          </w:p>
        </w:tc>
        <w:tc>
          <w:tcPr>
            <w:tcW w:w="1418" w:type="dxa"/>
            <w:tcBorders>
              <w:top w:val="nil"/>
              <w:left w:val="nil"/>
              <w:bottom w:val="single" w:sz="4" w:space="0" w:color="auto"/>
              <w:right w:val="single" w:sz="4" w:space="0" w:color="auto"/>
            </w:tcBorders>
            <w:shd w:val="clear" w:color="auto" w:fill="auto"/>
            <w:vAlign w:val="bottom"/>
            <w:hideMark/>
          </w:tcPr>
          <w:p w14:paraId="2DBCCF83"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150 000</w:t>
            </w:r>
          </w:p>
        </w:tc>
        <w:tc>
          <w:tcPr>
            <w:tcW w:w="1701" w:type="dxa"/>
            <w:tcBorders>
              <w:top w:val="nil"/>
              <w:left w:val="nil"/>
              <w:bottom w:val="single" w:sz="4" w:space="0" w:color="auto"/>
              <w:right w:val="single" w:sz="4" w:space="0" w:color="auto"/>
            </w:tcBorders>
            <w:shd w:val="clear" w:color="auto" w:fill="auto"/>
            <w:vAlign w:val="bottom"/>
            <w:hideMark/>
          </w:tcPr>
          <w:p w14:paraId="3F71B087"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310 000,00</w:t>
            </w:r>
          </w:p>
        </w:tc>
        <w:tc>
          <w:tcPr>
            <w:tcW w:w="1789" w:type="dxa"/>
            <w:tcBorders>
              <w:top w:val="nil"/>
              <w:left w:val="nil"/>
              <w:bottom w:val="single" w:sz="4" w:space="0" w:color="auto"/>
              <w:right w:val="single" w:sz="4" w:space="0" w:color="auto"/>
            </w:tcBorders>
            <w:shd w:val="clear" w:color="auto" w:fill="auto"/>
            <w:noWrap/>
            <w:vAlign w:val="bottom"/>
            <w:hideMark/>
          </w:tcPr>
          <w:p w14:paraId="078E0004"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310 000,00</w:t>
            </w:r>
          </w:p>
        </w:tc>
        <w:tc>
          <w:tcPr>
            <w:tcW w:w="659" w:type="dxa"/>
            <w:tcBorders>
              <w:top w:val="nil"/>
              <w:left w:val="nil"/>
              <w:bottom w:val="nil"/>
              <w:right w:val="single" w:sz="8" w:space="0" w:color="auto"/>
            </w:tcBorders>
            <w:shd w:val="clear" w:color="auto" w:fill="auto"/>
            <w:noWrap/>
            <w:vAlign w:val="bottom"/>
            <w:hideMark/>
          </w:tcPr>
          <w:p w14:paraId="6DA34C2D"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100,0</w:t>
            </w:r>
          </w:p>
        </w:tc>
      </w:tr>
      <w:tr w:rsidR="00687021" w:rsidRPr="00687021" w14:paraId="3956B638"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37A986D6" w14:textId="77777777" w:rsidR="00687021" w:rsidRPr="00687021" w:rsidRDefault="00687021" w:rsidP="00687021">
            <w:pPr>
              <w:spacing w:after="0" w:line="240" w:lineRule="auto"/>
              <w:jc w:val="center"/>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 </w:t>
            </w:r>
          </w:p>
        </w:tc>
        <w:tc>
          <w:tcPr>
            <w:tcW w:w="4536" w:type="dxa"/>
            <w:tcBorders>
              <w:top w:val="nil"/>
              <w:left w:val="nil"/>
              <w:bottom w:val="single" w:sz="4" w:space="0" w:color="auto"/>
              <w:right w:val="single" w:sz="4" w:space="0" w:color="auto"/>
            </w:tcBorders>
            <w:shd w:val="clear" w:color="auto" w:fill="auto"/>
            <w:vAlign w:val="bottom"/>
            <w:hideMark/>
          </w:tcPr>
          <w:p w14:paraId="7DA68A38" w14:textId="77777777" w:rsidR="00687021" w:rsidRPr="00687021" w:rsidRDefault="00687021" w:rsidP="00687021">
            <w:pPr>
              <w:spacing w:after="0" w:line="240" w:lineRule="auto"/>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příspěvek na mzdové výdaje</w:t>
            </w:r>
          </w:p>
        </w:tc>
        <w:tc>
          <w:tcPr>
            <w:tcW w:w="1418" w:type="dxa"/>
            <w:tcBorders>
              <w:top w:val="nil"/>
              <w:left w:val="nil"/>
              <w:bottom w:val="single" w:sz="4" w:space="0" w:color="auto"/>
              <w:right w:val="single" w:sz="4" w:space="0" w:color="auto"/>
            </w:tcBorders>
            <w:shd w:val="clear" w:color="auto" w:fill="auto"/>
            <w:vAlign w:val="bottom"/>
            <w:hideMark/>
          </w:tcPr>
          <w:p w14:paraId="7911754F"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400 000</w:t>
            </w:r>
          </w:p>
        </w:tc>
        <w:tc>
          <w:tcPr>
            <w:tcW w:w="1701" w:type="dxa"/>
            <w:tcBorders>
              <w:top w:val="nil"/>
              <w:left w:val="nil"/>
              <w:bottom w:val="single" w:sz="4" w:space="0" w:color="auto"/>
              <w:right w:val="single" w:sz="4" w:space="0" w:color="auto"/>
            </w:tcBorders>
            <w:shd w:val="clear" w:color="auto" w:fill="auto"/>
            <w:vAlign w:val="bottom"/>
            <w:hideMark/>
          </w:tcPr>
          <w:p w14:paraId="2DCE585A"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400 000,00</w:t>
            </w:r>
          </w:p>
        </w:tc>
        <w:tc>
          <w:tcPr>
            <w:tcW w:w="1789" w:type="dxa"/>
            <w:tcBorders>
              <w:top w:val="nil"/>
              <w:left w:val="nil"/>
              <w:bottom w:val="single" w:sz="4" w:space="0" w:color="auto"/>
              <w:right w:val="single" w:sz="4" w:space="0" w:color="auto"/>
            </w:tcBorders>
            <w:shd w:val="clear" w:color="auto" w:fill="auto"/>
            <w:vAlign w:val="bottom"/>
            <w:hideMark/>
          </w:tcPr>
          <w:p w14:paraId="602049E3"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150 000,00</w:t>
            </w:r>
          </w:p>
        </w:tc>
        <w:tc>
          <w:tcPr>
            <w:tcW w:w="659" w:type="dxa"/>
            <w:tcBorders>
              <w:top w:val="single" w:sz="4" w:space="0" w:color="auto"/>
              <w:left w:val="nil"/>
              <w:bottom w:val="nil"/>
              <w:right w:val="single" w:sz="8" w:space="0" w:color="auto"/>
            </w:tcBorders>
            <w:shd w:val="clear" w:color="auto" w:fill="auto"/>
            <w:noWrap/>
            <w:vAlign w:val="bottom"/>
            <w:hideMark/>
          </w:tcPr>
          <w:p w14:paraId="51BF7775"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37,5</w:t>
            </w:r>
          </w:p>
        </w:tc>
      </w:tr>
      <w:tr w:rsidR="00687021" w:rsidRPr="00687021" w14:paraId="64F33FD6"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4E995FB4"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 </w:t>
            </w:r>
          </w:p>
        </w:tc>
        <w:tc>
          <w:tcPr>
            <w:tcW w:w="4536" w:type="dxa"/>
            <w:tcBorders>
              <w:top w:val="nil"/>
              <w:left w:val="nil"/>
              <w:bottom w:val="single" w:sz="4" w:space="0" w:color="auto"/>
              <w:right w:val="single" w:sz="4" w:space="0" w:color="auto"/>
            </w:tcBorders>
            <w:shd w:val="clear" w:color="auto" w:fill="auto"/>
            <w:vAlign w:val="bottom"/>
            <w:hideMark/>
          </w:tcPr>
          <w:p w14:paraId="6CF962AA" w14:textId="77777777" w:rsidR="00687021" w:rsidRPr="00687021" w:rsidRDefault="00687021" w:rsidP="00687021">
            <w:pPr>
              <w:spacing w:after="0" w:line="240" w:lineRule="auto"/>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příspěvek na běžné opravy a udržování</w:t>
            </w:r>
          </w:p>
        </w:tc>
        <w:tc>
          <w:tcPr>
            <w:tcW w:w="1418" w:type="dxa"/>
            <w:tcBorders>
              <w:top w:val="nil"/>
              <w:left w:val="nil"/>
              <w:bottom w:val="single" w:sz="4" w:space="0" w:color="auto"/>
              <w:right w:val="single" w:sz="4" w:space="0" w:color="auto"/>
            </w:tcBorders>
            <w:shd w:val="clear" w:color="auto" w:fill="auto"/>
            <w:vAlign w:val="bottom"/>
            <w:hideMark/>
          </w:tcPr>
          <w:p w14:paraId="364B11A3"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30 000</w:t>
            </w:r>
          </w:p>
        </w:tc>
        <w:tc>
          <w:tcPr>
            <w:tcW w:w="1701" w:type="dxa"/>
            <w:tcBorders>
              <w:top w:val="nil"/>
              <w:left w:val="nil"/>
              <w:bottom w:val="single" w:sz="4" w:space="0" w:color="auto"/>
              <w:right w:val="single" w:sz="4" w:space="0" w:color="auto"/>
            </w:tcBorders>
            <w:shd w:val="clear" w:color="auto" w:fill="auto"/>
            <w:vAlign w:val="bottom"/>
            <w:hideMark/>
          </w:tcPr>
          <w:p w14:paraId="78F07A0C"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30 000,00</w:t>
            </w:r>
          </w:p>
        </w:tc>
        <w:tc>
          <w:tcPr>
            <w:tcW w:w="1789" w:type="dxa"/>
            <w:tcBorders>
              <w:top w:val="nil"/>
              <w:left w:val="nil"/>
              <w:bottom w:val="single" w:sz="4" w:space="0" w:color="auto"/>
              <w:right w:val="single" w:sz="4" w:space="0" w:color="auto"/>
            </w:tcBorders>
            <w:shd w:val="clear" w:color="auto" w:fill="auto"/>
            <w:vAlign w:val="bottom"/>
            <w:hideMark/>
          </w:tcPr>
          <w:p w14:paraId="3C87046A"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15 000,00</w:t>
            </w:r>
          </w:p>
        </w:tc>
        <w:tc>
          <w:tcPr>
            <w:tcW w:w="659" w:type="dxa"/>
            <w:tcBorders>
              <w:top w:val="single" w:sz="4" w:space="0" w:color="auto"/>
              <w:left w:val="nil"/>
              <w:bottom w:val="nil"/>
              <w:right w:val="single" w:sz="8" w:space="0" w:color="auto"/>
            </w:tcBorders>
            <w:shd w:val="clear" w:color="auto" w:fill="auto"/>
            <w:noWrap/>
            <w:vAlign w:val="bottom"/>
            <w:hideMark/>
          </w:tcPr>
          <w:p w14:paraId="22C11945"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50,0</w:t>
            </w:r>
          </w:p>
        </w:tc>
      </w:tr>
      <w:tr w:rsidR="00687021" w:rsidRPr="00687021" w14:paraId="13CE1AF2" w14:textId="77777777" w:rsidTr="00956DE6">
        <w:trPr>
          <w:trHeight w:val="51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62E4D16D"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4379</w:t>
            </w:r>
          </w:p>
        </w:tc>
        <w:tc>
          <w:tcPr>
            <w:tcW w:w="4536" w:type="dxa"/>
            <w:tcBorders>
              <w:top w:val="nil"/>
              <w:left w:val="nil"/>
              <w:bottom w:val="single" w:sz="4" w:space="0" w:color="auto"/>
              <w:right w:val="single" w:sz="4" w:space="0" w:color="auto"/>
            </w:tcBorders>
            <w:shd w:val="clear" w:color="auto" w:fill="auto"/>
            <w:vAlign w:val="center"/>
            <w:hideMark/>
          </w:tcPr>
          <w:p w14:paraId="7F4336E2" w14:textId="77777777" w:rsidR="00687021" w:rsidRPr="00687021" w:rsidRDefault="00687021" w:rsidP="00687021">
            <w:pPr>
              <w:spacing w:after="0" w:line="240" w:lineRule="auto"/>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 xml:space="preserve">Ostatní služby a činnosti v oblasti sociální prevence - příspěvek příspěvkovým organizacím </w:t>
            </w:r>
          </w:p>
        </w:tc>
        <w:tc>
          <w:tcPr>
            <w:tcW w:w="1418" w:type="dxa"/>
            <w:tcBorders>
              <w:top w:val="nil"/>
              <w:left w:val="nil"/>
              <w:bottom w:val="single" w:sz="4" w:space="0" w:color="auto"/>
              <w:right w:val="single" w:sz="4" w:space="0" w:color="auto"/>
            </w:tcBorders>
            <w:shd w:val="clear" w:color="auto" w:fill="auto"/>
            <w:vAlign w:val="bottom"/>
            <w:hideMark/>
          </w:tcPr>
          <w:p w14:paraId="509D78B5"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2 200 000</w:t>
            </w:r>
          </w:p>
        </w:tc>
        <w:tc>
          <w:tcPr>
            <w:tcW w:w="1701" w:type="dxa"/>
            <w:tcBorders>
              <w:top w:val="nil"/>
              <w:left w:val="nil"/>
              <w:bottom w:val="single" w:sz="4" w:space="0" w:color="auto"/>
              <w:right w:val="single" w:sz="4" w:space="0" w:color="auto"/>
            </w:tcBorders>
            <w:shd w:val="clear" w:color="auto" w:fill="auto"/>
            <w:vAlign w:val="bottom"/>
            <w:hideMark/>
          </w:tcPr>
          <w:p w14:paraId="442C944A"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2 335 000,00</w:t>
            </w:r>
          </w:p>
        </w:tc>
        <w:tc>
          <w:tcPr>
            <w:tcW w:w="1789" w:type="dxa"/>
            <w:tcBorders>
              <w:top w:val="nil"/>
              <w:left w:val="nil"/>
              <w:bottom w:val="single" w:sz="4" w:space="0" w:color="auto"/>
              <w:right w:val="single" w:sz="4" w:space="0" w:color="auto"/>
            </w:tcBorders>
            <w:shd w:val="clear" w:color="auto" w:fill="auto"/>
            <w:vAlign w:val="bottom"/>
            <w:hideMark/>
          </w:tcPr>
          <w:p w14:paraId="7D41C13B"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2 065 000,00</w:t>
            </w:r>
          </w:p>
        </w:tc>
        <w:tc>
          <w:tcPr>
            <w:tcW w:w="659" w:type="dxa"/>
            <w:tcBorders>
              <w:top w:val="single" w:sz="4" w:space="0" w:color="auto"/>
              <w:left w:val="nil"/>
              <w:bottom w:val="nil"/>
              <w:right w:val="single" w:sz="8" w:space="0" w:color="auto"/>
            </w:tcBorders>
            <w:shd w:val="clear" w:color="auto" w:fill="auto"/>
            <w:noWrap/>
            <w:vAlign w:val="bottom"/>
            <w:hideMark/>
          </w:tcPr>
          <w:p w14:paraId="5E9EF948"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88,4</w:t>
            </w:r>
          </w:p>
        </w:tc>
      </w:tr>
      <w:tr w:rsidR="00687021" w:rsidRPr="00687021" w14:paraId="09A67B54"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64EC7CF2" w14:textId="77777777" w:rsidR="00687021" w:rsidRPr="00687021" w:rsidRDefault="00687021" w:rsidP="00687021">
            <w:pPr>
              <w:spacing w:after="0" w:line="240" w:lineRule="auto"/>
              <w:jc w:val="center"/>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 </w:t>
            </w:r>
          </w:p>
        </w:tc>
        <w:tc>
          <w:tcPr>
            <w:tcW w:w="4536" w:type="dxa"/>
            <w:tcBorders>
              <w:top w:val="nil"/>
              <w:left w:val="nil"/>
              <w:bottom w:val="single" w:sz="4" w:space="0" w:color="auto"/>
              <w:right w:val="single" w:sz="4" w:space="0" w:color="auto"/>
            </w:tcBorders>
            <w:shd w:val="clear" w:color="auto" w:fill="auto"/>
            <w:vAlign w:val="bottom"/>
            <w:hideMark/>
          </w:tcPr>
          <w:p w14:paraId="5F82313F" w14:textId="77777777" w:rsidR="00687021" w:rsidRPr="00687021" w:rsidRDefault="00687021" w:rsidP="00687021">
            <w:pPr>
              <w:spacing w:after="0" w:line="240" w:lineRule="auto"/>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z toho:</w:t>
            </w:r>
          </w:p>
        </w:tc>
        <w:tc>
          <w:tcPr>
            <w:tcW w:w="1418" w:type="dxa"/>
            <w:tcBorders>
              <w:top w:val="nil"/>
              <w:left w:val="nil"/>
              <w:bottom w:val="single" w:sz="4" w:space="0" w:color="auto"/>
              <w:right w:val="single" w:sz="4" w:space="0" w:color="auto"/>
            </w:tcBorders>
            <w:shd w:val="clear" w:color="auto" w:fill="auto"/>
            <w:vAlign w:val="bottom"/>
            <w:hideMark/>
          </w:tcPr>
          <w:p w14:paraId="20A815DB" w14:textId="77777777" w:rsidR="00687021" w:rsidRPr="00687021" w:rsidRDefault="00687021" w:rsidP="00687021">
            <w:pPr>
              <w:spacing w:after="0" w:line="240" w:lineRule="auto"/>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 </w:t>
            </w:r>
          </w:p>
        </w:tc>
        <w:tc>
          <w:tcPr>
            <w:tcW w:w="1701" w:type="dxa"/>
            <w:tcBorders>
              <w:top w:val="nil"/>
              <w:left w:val="nil"/>
              <w:bottom w:val="single" w:sz="4" w:space="0" w:color="auto"/>
              <w:right w:val="single" w:sz="4" w:space="0" w:color="auto"/>
            </w:tcBorders>
            <w:shd w:val="clear" w:color="auto" w:fill="auto"/>
            <w:vAlign w:val="bottom"/>
            <w:hideMark/>
          </w:tcPr>
          <w:p w14:paraId="6B5B2F79" w14:textId="77777777" w:rsidR="00687021" w:rsidRPr="00687021" w:rsidRDefault="00687021" w:rsidP="00687021">
            <w:pPr>
              <w:spacing w:after="0" w:line="240" w:lineRule="auto"/>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 </w:t>
            </w:r>
          </w:p>
        </w:tc>
        <w:tc>
          <w:tcPr>
            <w:tcW w:w="1789" w:type="dxa"/>
            <w:tcBorders>
              <w:top w:val="nil"/>
              <w:left w:val="nil"/>
              <w:bottom w:val="single" w:sz="4" w:space="0" w:color="auto"/>
              <w:right w:val="single" w:sz="4" w:space="0" w:color="auto"/>
            </w:tcBorders>
            <w:shd w:val="clear" w:color="auto" w:fill="auto"/>
            <w:vAlign w:val="bottom"/>
            <w:hideMark/>
          </w:tcPr>
          <w:p w14:paraId="243928A6" w14:textId="77777777" w:rsidR="00687021" w:rsidRPr="00687021" w:rsidRDefault="00687021" w:rsidP="00687021">
            <w:pPr>
              <w:spacing w:after="0" w:line="240" w:lineRule="auto"/>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 </w:t>
            </w:r>
          </w:p>
        </w:tc>
        <w:tc>
          <w:tcPr>
            <w:tcW w:w="659" w:type="dxa"/>
            <w:tcBorders>
              <w:top w:val="single" w:sz="4" w:space="0" w:color="auto"/>
              <w:left w:val="nil"/>
              <w:bottom w:val="single" w:sz="4" w:space="0" w:color="auto"/>
              <w:right w:val="single" w:sz="8" w:space="0" w:color="auto"/>
            </w:tcBorders>
            <w:shd w:val="clear" w:color="auto" w:fill="auto"/>
            <w:noWrap/>
            <w:vAlign w:val="bottom"/>
            <w:hideMark/>
          </w:tcPr>
          <w:p w14:paraId="3FD92D2A"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 </w:t>
            </w:r>
          </w:p>
        </w:tc>
      </w:tr>
      <w:tr w:rsidR="00687021" w:rsidRPr="00687021" w14:paraId="3D0A8E81"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52D5FB8A" w14:textId="77777777" w:rsidR="00687021" w:rsidRPr="00687021" w:rsidRDefault="00687021" w:rsidP="00687021">
            <w:pPr>
              <w:spacing w:after="0" w:line="240" w:lineRule="auto"/>
              <w:jc w:val="center"/>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 </w:t>
            </w:r>
          </w:p>
        </w:tc>
        <w:tc>
          <w:tcPr>
            <w:tcW w:w="4536" w:type="dxa"/>
            <w:tcBorders>
              <w:top w:val="nil"/>
              <w:left w:val="nil"/>
              <w:bottom w:val="single" w:sz="4" w:space="0" w:color="auto"/>
              <w:right w:val="single" w:sz="4" w:space="0" w:color="auto"/>
            </w:tcBorders>
            <w:shd w:val="clear" w:color="auto" w:fill="auto"/>
            <w:vAlign w:val="bottom"/>
            <w:hideMark/>
          </w:tcPr>
          <w:p w14:paraId="761FB58C" w14:textId="77777777" w:rsidR="00687021" w:rsidRPr="00687021" w:rsidRDefault="00687021" w:rsidP="00687021">
            <w:pPr>
              <w:spacing w:after="0" w:line="240" w:lineRule="auto"/>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příspěvek na provoz</w:t>
            </w:r>
          </w:p>
        </w:tc>
        <w:tc>
          <w:tcPr>
            <w:tcW w:w="1418" w:type="dxa"/>
            <w:tcBorders>
              <w:top w:val="nil"/>
              <w:left w:val="nil"/>
              <w:bottom w:val="single" w:sz="4" w:space="0" w:color="auto"/>
              <w:right w:val="single" w:sz="4" w:space="0" w:color="auto"/>
            </w:tcBorders>
            <w:shd w:val="clear" w:color="auto" w:fill="auto"/>
            <w:vAlign w:val="bottom"/>
            <w:hideMark/>
          </w:tcPr>
          <w:p w14:paraId="3984A296"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300 000</w:t>
            </w:r>
          </w:p>
        </w:tc>
        <w:tc>
          <w:tcPr>
            <w:tcW w:w="1701" w:type="dxa"/>
            <w:tcBorders>
              <w:top w:val="nil"/>
              <w:left w:val="nil"/>
              <w:bottom w:val="single" w:sz="4" w:space="0" w:color="auto"/>
              <w:right w:val="single" w:sz="4" w:space="0" w:color="auto"/>
            </w:tcBorders>
            <w:shd w:val="clear" w:color="auto" w:fill="auto"/>
            <w:vAlign w:val="bottom"/>
            <w:hideMark/>
          </w:tcPr>
          <w:p w14:paraId="305E2F88"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435 000,00</w:t>
            </w:r>
          </w:p>
        </w:tc>
        <w:tc>
          <w:tcPr>
            <w:tcW w:w="1789" w:type="dxa"/>
            <w:tcBorders>
              <w:top w:val="nil"/>
              <w:left w:val="nil"/>
              <w:bottom w:val="single" w:sz="4" w:space="0" w:color="auto"/>
              <w:right w:val="single" w:sz="4" w:space="0" w:color="auto"/>
            </w:tcBorders>
            <w:shd w:val="clear" w:color="auto" w:fill="auto"/>
            <w:noWrap/>
            <w:vAlign w:val="bottom"/>
            <w:hideMark/>
          </w:tcPr>
          <w:p w14:paraId="2852427C"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435 000,00</w:t>
            </w:r>
          </w:p>
        </w:tc>
        <w:tc>
          <w:tcPr>
            <w:tcW w:w="659" w:type="dxa"/>
            <w:tcBorders>
              <w:top w:val="nil"/>
              <w:left w:val="nil"/>
              <w:bottom w:val="nil"/>
              <w:right w:val="single" w:sz="8" w:space="0" w:color="auto"/>
            </w:tcBorders>
            <w:shd w:val="clear" w:color="auto" w:fill="auto"/>
            <w:noWrap/>
            <w:vAlign w:val="bottom"/>
            <w:hideMark/>
          </w:tcPr>
          <w:p w14:paraId="76CD4CDC"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100,0</w:t>
            </w:r>
          </w:p>
        </w:tc>
      </w:tr>
      <w:tr w:rsidR="00687021" w:rsidRPr="00687021" w14:paraId="51EC8ACC"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5909CAFF" w14:textId="77777777" w:rsidR="00687021" w:rsidRPr="00687021" w:rsidRDefault="00687021" w:rsidP="00687021">
            <w:pPr>
              <w:spacing w:after="0" w:line="240" w:lineRule="auto"/>
              <w:jc w:val="center"/>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 </w:t>
            </w:r>
          </w:p>
        </w:tc>
        <w:tc>
          <w:tcPr>
            <w:tcW w:w="4536" w:type="dxa"/>
            <w:tcBorders>
              <w:top w:val="nil"/>
              <w:left w:val="nil"/>
              <w:bottom w:val="single" w:sz="4" w:space="0" w:color="auto"/>
              <w:right w:val="single" w:sz="4" w:space="0" w:color="auto"/>
            </w:tcBorders>
            <w:shd w:val="clear" w:color="auto" w:fill="auto"/>
            <w:vAlign w:val="bottom"/>
            <w:hideMark/>
          </w:tcPr>
          <w:p w14:paraId="67BD7432" w14:textId="77777777" w:rsidR="00687021" w:rsidRPr="00687021" w:rsidRDefault="00687021" w:rsidP="00687021">
            <w:pPr>
              <w:spacing w:after="0" w:line="240" w:lineRule="auto"/>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příspěvek na mzdové výdaje</w:t>
            </w:r>
          </w:p>
        </w:tc>
        <w:tc>
          <w:tcPr>
            <w:tcW w:w="1418" w:type="dxa"/>
            <w:tcBorders>
              <w:top w:val="nil"/>
              <w:left w:val="nil"/>
              <w:bottom w:val="single" w:sz="4" w:space="0" w:color="auto"/>
              <w:right w:val="single" w:sz="4" w:space="0" w:color="auto"/>
            </w:tcBorders>
            <w:shd w:val="clear" w:color="auto" w:fill="auto"/>
            <w:vAlign w:val="bottom"/>
            <w:hideMark/>
          </w:tcPr>
          <w:p w14:paraId="6A1FA104"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1 800 000</w:t>
            </w:r>
          </w:p>
        </w:tc>
        <w:tc>
          <w:tcPr>
            <w:tcW w:w="1701" w:type="dxa"/>
            <w:tcBorders>
              <w:top w:val="nil"/>
              <w:left w:val="nil"/>
              <w:bottom w:val="single" w:sz="4" w:space="0" w:color="auto"/>
              <w:right w:val="single" w:sz="4" w:space="0" w:color="auto"/>
            </w:tcBorders>
            <w:shd w:val="clear" w:color="auto" w:fill="auto"/>
            <w:vAlign w:val="bottom"/>
            <w:hideMark/>
          </w:tcPr>
          <w:p w14:paraId="5A710426"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1 800 000,00</w:t>
            </w:r>
          </w:p>
        </w:tc>
        <w:tc>
          <w:tcPr>
            <w:tcW w:w="1789" w:type="dxa"/>
            <w:tcBorders>
              <w:top w:val="nil"/>
              <w:left w:val="nil"/>
              <w:bottom w:val="single" w:sz="4" w:space="0" w:color="auto"/>
              <w:right w:val="single" w:sz="4" w:space="0" w:color="auto"/>
            </w:tcBorders>
            <w:shd w:val="clear" w:color="auto" w:fill="auto"/>
            <w:vAlign w:val="bottom"/>
            <w:hideMark/>
          </w:tcPr>
          <w:p w14:paraId="3CB8FCA6"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1 620 000,00</w:t>
            </w:r>
          </w:p>
        </w:tc>
        <w:tc>
          <w:tcPr>
            <w:tcW w:w="659" w:type="dxa"/>
            <w:tcBorders>
              <w:top w:val="single" w:sz="4" w:space="0" w:color="auto"/>
              <w:left w:val="nil"/>
              <w:bottom w:val="nil"/>
              <w:right w:val="single" w:sz="8" w:space="0" w:color="auto"/>
            </w:tcBorders>
            <w:shd w:val="clear" w:color="auto" w:fill="auto"/>
            <w:noWrap/>
            <w:vAlign w:val="bottom"/>
            <w:hideMark/>
          </w:tcPr>
          <w:p w14:paraId="1FC133CA"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90,0</w:t>
            </w:r>
          </w:p>
        </w:tc>
      </w:tr>
      <w:tr w:rsidR="00687021" w:rsidRPr="00687021" w14:paraId="0D5FE478"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7A9599B5"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 </w:t>
            </w:r>
          </w:p>
        </w:tc>
        <w:tc>
          <w:tcPr>
            <w:tcW w:w="4536" w:type="dxa"/>
            <w:tcBorders>
              <w:top w:val="nil"/>
              <w:left w:val="nil"/>
              <w:bottom w:val="single" w:sz="4" w:space="0" w:color="auto"/>
              <w:right w:val="single" w:sz="4" w:space="0" w:color="auto"/>
            </w:tcBorders>
            <w:shd w:val="clear" w:color="auto" w:fill="auto"/>
            <w:vAlign w:val="bottom"/>
            <w:hideMark/>
          </w:tcPr>
          <w:p w14:paraId="5836C0A5" w14:textId="77777777" w:rsidR="00687021" w:rsidRPr="00687021" w:rsidRDefault="00687021" w:rsidP="00687021">
            <w:pPr>
              <w:spacing w:after="0" w:line="240" w:lineRule="auto"/>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příspěvek na běžné opravy a udržování</w:t>
            </w:r>
          </w:p>
        </w:tc>
        <w:tc>
          <w:tcPr>
            <w:tcW w:w="1418" w:type="dxa"/>
            <w:tcBorders>
              <w:top w:val="nil"/>
              <w:left w:val="nil"/>
              <w:bottom w:val="single" w:sz="4" w:space="0" w:color="auto"/>
              <w:right w:val="single" w:sz="4" w:space="0" w:color="auto"/>
            </w:tcBorders>
            <w:shd w:val="clear" w:color="auto" w:fill="auto"/>
            <w:vAlign w:val="bottom"/>
            <w:hideMark/>
          </w:tcPr>
          <w:p w14:paraId="47895893"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100 000</w:t>
            </w:r>
          </w:p>
        </w:tc>
        <w:tc>
          <w:tcPr>
            <w:tcW w:w="1701" w:type="dxa"/>
            <w:tcBorders>
              <w:top w:val="nil"/>
              <w:left w:val="nil"/>
              <w:bottom w:val="single" w:sz="4" w:space="0" w:color="auto"/>
              <w:right w:val="single" w:sz="4" w:space="0" w:color="auto"/>
            </w:tcBorders>
            <w:shd w:val="clear" w:color="auto" w:fill="auto"/>
            <w:vAlign w:val="bottom"/>
            <w:hideMark/>
          </w:tcPr>
          <w:p w14:paraId="7B17E90C"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100 000,00</w:t>
            </w:r>
          </w:p>
        </w:tc>
        <w:tc>
          <w:tcPr>
            <w:tcW w:w="1789" w:type="dxa"/>
            <w:tcBorders>
              <w:top w:val="nil"/>
              <w:left w:val="nil"/>
              <w:bottom w:val="single" w:sz="4" w:space="0" w:color="auto"/>
              <w:right w:val="single" w:sz="4" w:space="0" w:color="auto"/>
            </w:tcBorders>
            <w:shd w:val="clear" w:color="auto" w:fill="auto"/>
            <w:vAlign w:val="bottom"/>
            <w:hideMark/>
          </w:tcPr>
          <w:p w14:paraId="5F5475E8"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10 000,00</w:t>
            </w:r>
          </w:p>
        </w:tc>
        <w:tc>
          <w:tcPr>
            <w:tcW w:w="659" w:type="dxa"/>
            <w:tcBorders>
              <w:top w:val="single" w:sz="4" w:space="0" w:color="auto"/>
              <w:left w:val="nil"/>
              <w:bottom w:val="nil"/>
              <w:right w:val="single" w:sz="8" w:space="0" w:color="auto"/>
            </w:tcBorders>
            <w:shd w:val="clear" w:color="auto" w:fill="auto"/>
            <w:noWrap/>
            <w:vAlign w:val="bottom"/>
            <w:hideMark/>
          </w:tcPr>
          <w:p w14:paraId="463C2B8F"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10,0</w:t>
            </w:r>
          </w:p>
        </w:tc>
      </w:tr>
      <w:tr w:rsidR="00687021" w:rsidRPr="00687021" w14:paraId="366CE891"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32CC8911"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4399</w:t>
            </w:r>
          </w:p>
        </w:tc>
        <w:tc>
          <w:tcPr>
            <w:tcW w:w="4536" w:type="dxa"/>
            <w:tcBorders>
              <w:top w:val="nil"/>
              <w:left w:val="nil"/>
              <w:bottom w:val="single" w:sz="4" w:space="0" w:color="auto"/>
              <w:right w:val="single" w:sz="4" w:space="0" w:color="auto"/>
            </w:tcBorders>
            <w:shd w:val="clear" w:color="auto" w:fill="auto"/>
            <w:noWrap/>
            <w:vAlign w:val="bottom"/>
            <w:hideMark/>
          </w:tcPr>
          <w:p w14:paraId="6BB310DD" w14:textId="77777777" w:rsidR="00687021" w:rsidRPr="00687021" w:rsidRDefault="00687021" w:rsidP="00687021">
            <w:pPr>
              <w:spacing w:after="0" w:line="240" w:lineRule="auto"/>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Ostatní záležitosti sociálních věcí a politiky zaměstnanosti</w:t>
            </w:r>
          </w:p>
        </w:tc>
        <w:tc>
          <w:tcPr>
            <w:tcW w:w="1418" w:type="dxa"/>
            <w:tcBorders>
              <w:top w:val="nil"/>
              <w:left w:val="nil"/>
              <w:bottom w:val="single" w:sz="4" w:space="0" w:color="auto"/>
              <w:right w:val="single" w:sz="4" w:space="0" w:color="auto"/>
            </w:tcBorders>
            <w:shd w:val="clear" w:color="auto" w:fill="auto"/>
            <w:vAlign w:val="bottom"/>
            <w:hideMark/>
          </w:tcPr>
          <w:p w14:paraId="4F9AD742"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3 480 000</w:t>
            </w:r>
          </w:p>
        </w:tc>
        <w:tc>
          <w:tcPr>
            <w:tcW w:w="1701" w:type="dxa"/>
            <w:tcBorders>
              <w:top w:val="nil"/>
              <w:left w:val="nil"/>
              <w:bottom w:val="single" w:sz="4" w:space="0" w:color="auto"/>
              <w:right w:val="single" w:sz="4" w:space="0" w:color="auto"/>
            </w:tcBorders>
            <w:shd w:val="clear" w:color="auto" w:fill="auto"/>
            <w:vAlign w:val="bottom"/>
            <w:hideMark/>
          </w:tcPr>
          <w:p w14:paraId="0240EB41"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10 856 912,66</w:t>
            </w:r>
          </w:p>
        </w:tc>
        <w:tc>
          <w:tcPr>
            <w:tcW w:w="1789" w:type="dxa"/>
            <w:tcBorders>
              <w:top w:val="nil"/>
              <w:left w:val="nil"/>
              <w:bottom w:val="single" w:sz="4" w:space="0" w:color="auto"/>
              <w:right w:val="single" w:sz="4" w:space="0" w:color="auto"/>
            </w:tcBorders>
            <w:shd w:val="clear" w:color="auto" w:fill="auto"/>
            <w:vAlign w:val="bottom"/>
            <w:hideMark/>
          </w:tcPr>
          <w:p w14:paraId="0F8DBBC9"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319 365,57</w:t>
            </w:r>
          </w:p>
        </w:tc>
        <w:tc>
          <w:tcPr>
            <w:tcW w:w="659" w:type="dxa"/>
            <w:tcBorders>
              <w:top w:val="single" w:sz="4" w:space="0" w:color="auto"/>
              <w:left w:val="nil"/>
              <w:bottom w:val="nil"/>
              <w:right w:val="single" w:sz="8" w:space="0" w:color="auto"/>
            </w:tcBorders>
            <w:shd w:val="clear" w:color="auto" w:fill="auto"/>
            <w:noWrap/>
            <w:vAlign w:val="bottom"/>
            <w:hideMark/>
          </w:tcPr>
          <w:p w14:paraId="4B69D714"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2,9</w:t>
            </w:r>
          </w:p>
        </w:tc>
      </w:tr>
      <w:tr w:rsidR="00687021" w:rsidRPr="00687021" w14:paraId="178CF7E5"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0B22D566"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4399</w:t>
            </w:r>
          </w:p>
        </w:tc>
        <w:tc>
          <w:tcPr>
            <w:tcW w:w="4536" w:type="dxa"/>
            <w:tcBorders>
              <w:top w:val="nil"/>
              <w:left w:val="nil"/>
              <w:bottom w:val="single" w:sz="4" w:space="0" w:color="auto"/>
              <w:right w:val="single" w:sz="4" w:space="0" w:color="auto"/>
            </w:tcBorders>
            <w:shd w:val="clear" w:color="auto" w:fill="auto"/>
            <w:noWrap/>
            <w:vAlign w:val="bottom"/>
            <w:hideMark/>
          </w:tcPr>
          <w:p w14:paraId="526171E9" w14:textId="77777777" w:rsidR="00687021" w:rsidRPr="00687021" w:rsidRDefault="00687021" w:rsidP="00687021">
            <w:pPr>
              <w:spacing w:after="0" w:line="240" w:lineRule="auto"/>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Ostatní záležitosti sociálních věcí a politiky zaměstnanosti</w:t>
            </w:r>
          </w:p>
        </w:tc>
        <w:tc>
          <w:tcPr>
            <w:tcW w:w="1418" w:type="dxa"/>
            <w:tcBorders>
              <w:top w:val="nil"/>
              <w:left w:val="nil"/>
              <w:bottom w:val="single" w:sz="4" w:space="0" w:color="auto"/>
              <w:right w:val="single" w:sz="4" w:space="0" w:color="auto"/>
            </w:tcBorders>
            <w:shd w:val="clear" w:color="auto" w:fill="auto"/>
            <w:vAlign w:val="bottom"/>
            <w:hideMark/>
          </w:tcPr>
          <w:p w14:paraId="7F5BD8E6"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0</w:t>
            </w:r>
          </w:p>
        </w:tc>
        <w:tc>
          <w:tcPr>
            <w:tcW w:w="1701" w:type="dxa"/>
            <w:tcBorders>
              <w:top w:val="nil"/>
              <w:left w:val="nil"/>
              <w:bottom w:val="single" w:sz="4" w:space="0" w:color="auto"/>
              <w:right w:val="single" w:sz="4" w:space="0" w:color="auto"/>
            </w:tcBorders>
            <w:shd w:val="clear" w:color="auto" w:fill="auto"/>
            <w:vAlign w:val="bottom"/>
            <w:hideMark/>
          </w:tcPr>
          <w:p w14:paraId="019CE6EB"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5 095 334,35</w:t>
            </w:r>
          </w:p>
        </w:tc>
        <w:tc>
          <w:tcPr>
            <w:tcW w:w="1789" w:type="dxa"/>
            <w:tcBorders>
              <w:top w:val="nil"/>
              <w:left w:val="nil"/>
              <w:bottom w:val="single" w:sz="4" w:space="0" w:color="auto"/>
              <w:right w:val="single" w:sz="4" w:space="0" w:color="auto"/>
            </w:tcBorders>
            <w:shd w:val="clear" w:color="auto" w:fill="auto"/>
            <w:vAlign w:val="bottom"/>
            <w:hideMark/>
          </w:tcPr>
          <w:p w14:paraId="7B53867B"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3 627 123,83</w:t>
            </w:r>
          </w:p>
        </w:tc>
        <w:tc>
          <w:tcPr>
            <w:tcW w:w="659" w:type="dxa"/>
            <w:tcBorders>
              <w:top w:val="single" w:sz="4" w:space="0" w:color="auto"/>
              <w:left w:val="nil"/>
              <w:bottom w:val="nil"/>
              <w:right w:val="single" w:sz="8" w:space="0" w:color="auto"/>
            </w:tcBorders>
            <w:shd w:val="clear" w:color="auto" w:fill="auto"/>
            <w:noWrap/>
            <w:vAlign w:val="bottom"/>
            <w:hideMark/>
          </w:tcPr>
          <w:p w14:paraId="4E5B16F8"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71,2</w:t>
            </w:r>
          </w:p>
        </w:tc>
      </w:tr>
      <w:tr w:rsidR="00687021" w:rsidRPr="00687021" w14:paraId="077C021A"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160ED0D4"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 </w:t>
            </w:r>
          </w:p>
        </w:tc>
        <w:tc>
          <w:tcPr>
            <w:tcW w:w="10103" w:type="dxa"/>
            <w:gridSpan w:val="5"/>
            <w:tcBorders>
              <w:top w:val="single" w:sz="4" w:space="0" w:color="auto"/>
              <w:left w:val="nil"/>
              <w:bottom w:val="single" w:sz="4" w:space="0" w:color="auto"/>
              <w:right w:val="single" w:sz="8" w:space="0" w:color="000000"/>
            </w:tcBorders>
            <w:shd w:val="clear" w:color="auto" w:fill="auto"/>
            <w:vAlign w:val="bottom"/>
            <w:hideMark/>
          </w:tcPr>
          <w:p w14:paraId="516E172D" w14:textId="77777777" w:rsidR="00687021" w:rsidRPr="00687021" w:rsidRDefault="00687021" w:rsidP="00687021">
            <w:pPr>
              <w:spacing w:after="0" w:line="240" w:lineRule="auto"/>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z toho:</w:t>
            </w:r>
          </w:p>
        </w:tc>
      </w:tr>
      <w:tr w:rsidR="00687021" w:rsidRPr="00687021" w14:paraId="58565C0A"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3B695060"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 </w:t>
            </w:r>
          </w:p>
        </w:tc>
        <w:tc>
          <w:tcPr>
            <w:tcW w:w="4536" w:type="dxa"/>
            <w:tcBorders>
              <w:top w:val="nil"/>
              <w:left w:val="nil"/>
              <w:bottom w:val="single" w:sz="4" w:space="0" w:color="auto"/>
              <w:right w:val="single" w:sz="4" w:space="0" w:color="auto"/>
            </w:tcBorders>
            <w:shd w:val="clear" w:color="auto" w:fill="auto"/>
            <w:vAlign w:val="bottom"/>
            <w:hideMark/>
          </w:tcPr>
          <w:p w14:paraId="523D3DCD" w14:textId="77777777" w:rsidR="00687021" w:rsidRPr="00687021" w:rsidRDefault="00687021" w:rsidP="00687021">
            <w:pPr>
              <w:spacing w:after="0" w:line="240" w:lineRule="auto"/>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senior pasy</w:t>
            </w:r>
          </w:p>
        </w:tc>
        <w:tc>
          <w:tcPr>
            <w:tcW w:w="1418" w:type="dxa"/>
            <w:tcBorders>
              <w:top w:val="nil"/>
              <w:left w:val="nil"/>
              <w:bottom w:val="single" w:sz="4" w:space="0" w:color="auto"/>
              <w:right w:val="single" w:sz="4" w:space="0" w:color="auto"/>
            </w:tcBorders>
            <w:shd w:val="clear" w:color="auto" w:fill="auto"/>
            <w:vAlign w:val="bottom"/>
            <w:hideMark/>
          </w:tcPr>
          <w:p w14:paraId="1278D3E4"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0</w:t>
            </w:r>
          </w:p>
        </w:tc>
        <w:tc>
          <w:tcPr>
            <w:tcW w:w="1701" w:type="dxa"/>
            <w:tcBorders>
              <w:top w:val="nil"/>
              <w:left w:val="nil"/>
              <w:bottom w:val="single" w:sz="4" w:space="0" w:color="auto"/>
              <w:right w:val="single" w:sz="4" w:space="0" w:color="auto"/>
            </w:tcBorders>
            <w:shd w:val="clear" w:color="auto" w:fill="auto"/>
            <w:vAlign w:val="bottom"/>
            <w:hideMark/>
          </w:tcPr>
          <w:p w14:paraId="40659351"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2 033 991,85</w:t>
            </w:r>
          </w:p>
        </w:tc>
        <w:tc>
          <w:tcPr>
            <w:tcW w:w="1789" w:type="dxa"/>
            <w:tcBorders>
              <w:top w:val="nil"/>
              <w:left w:val="nil"/>
              <w:bottom w:val="single" w:sz="4" w:space="0" w:color="auto"/>
              <w:right w:val="single" w:sz="4" w:space="0" w:color="auto"/>
            </w:tcBorders>
            <w:shd w:val="clear" w:color="auto" w:fill="auto"/>
            <w:vAlign w:val="bottom"/>
            <w:hideMark/>
          </w:tcPr>
          <w:p w14:paraId="13D15AD4"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2 033 991,85</w:t>
            </w:r>
          </w:p>
        </w:tc>
        <w:tc>
          <w:tcPr>
            <w:tcW w:w="659" w:type="dxa"/>
            <w:tcBorders>
              <w:top w:val="nil"/>
              <w:left w:val="nil"/>
              <w:bottom w:val="nil"/>
              <w:right w:val="single" w:sz="8" w:space="0" w:color="auto"/>
            </w:tcBorders>
            <w:shd w:val="clear" w:color="auto" w:fill="auto"/>
            <w:noWrap/>
            <w:vAlign w:val="bottom"/>
            <w:hideMark/>
          </w:tcPr>
          <w:p w14:paraId="619626AB"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100,0</w:t>
            </w:r>
          </w:p>
        </w:tc>
      </w:tr>
      <w:tr w:rsidR="00687021" w:rsidRPr="00687021" w14:paraId="2EA7C5B8"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0415D762"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 </w:t>
            </w:r>
          </w:p>
        </w:tc>
        <w:tc>
          <w:tcPr>
            <w:tcW w:w="4536" w:type="dxa"/>
            <w:tcBorders>
              <w:top w:val="nil"/>
              <w:left w:val="nil"/>
              <w:bottom w:val="single" w:sz="4" w:space="0" w:color="auto"/>
              <w:right w:val="single" w:sz="4" w:space="0" w:color="auto"/>
            </w:tcBorders>
            <w:shd w:val="clear" w:color="auto" w:fill="auto"/>
            <w:vAlign w:val="bottom"/>
            <w:hideMark/>
          </w:tcPr>
          <w:p w14:paraId="54F485B8" w14:textId="77777777" w:rsidR="00687021" w:rsidRPr="00687021" w:rsidRDefault="00687021" w:rsidP="00687021">
            <w:pPr>
              <w:spacing w:after="0" w:line="240" w:lineRule="auto"/>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rodinné pasy</w:t>
            </w:r>
          </w:p>
        </w:tc>
        <w:tc>
          <w:tcPr>
            <w:tcW w:w="1418" w:type="dxa"/>
            <w:tcBorders>
              <w:top w:val="nil"/>
              <w:left w:val="nil"/>
              <w:bottom w:val="single" w:sz="4" w:space="0" w:color="auto"/>
              <w:right w:val="single" w:sz="4" w:space="0" w:color="auto"/>
            </w:tcBorders>
            <w:shd w:val="clear" w:color="auto" w:fill="auto"/>
            <w:vAlign w:val="bottom"/>
            <w:hideMark/>
          </w:tcPr>
          <w:p w14:paraId="43BAC9BF"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0</w:t>
            </w:r>
          </w:p>
        </w:tc>
        <w:tc>
          <w:tcPr>
            <w:tcW w:w="1701" w:type="dxa"/>
            <w:tcBorders>
              <w:top w:val="nil"/>
              <w:left w:val="nil"/>
              <w:bottom w:val="single" w:sz="4" w:space="0" w:color="auto"/>
              <w:right w:val="single" w:sz="4" w:space="0" w:color="auto"/>
            </w:tcBorders>
            <w:shd w:val="clear" w:color="auto" w:fill="auto"/>
            <w:vAlign w:val="bottom"/>
            <w:hideMark/>
          </w:tcPr>
          <w:p w14:paraId="6FDA7F6C"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1 632 308,15</w:t>
            </w:r>
          </w:p>
        </w:tc>
        <w:tc>
          <w:tcPr>
            <w:tcW w:w="1789" w:type="dxa"/>
            <w:tcBorders>
              <w:top w:val="nil"/>
              <w:left w:val="nil"/>
              <w:bottom w:val="single" w:sz="4" w:space="0" w:color="auto"/>
              <w:right w:val="single" w:sz="4" w:space="0" w:color="auto"/>
            </w:tcBorders>
            <w:shd w:val="clear" w:color="auto" w:fill="auto"/>
            <w:vAlign w:val="bottom"/>
            <w:hideMark/>
          </w:tcPr>
          <w:p w14:paraId="2C5746AD"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1 593 131,98</w:t>
            </w:r>
          </w:p>
        </w:tc>
        <w:tc>
          <w:tcPr>
            <w:tcW w:w="659" w:type="dxa"/>
            <w:tcBorders>
              <w:top w:val="single" w:sz="4" w:space="0" w:color="auto"/>
              <w:left w:val="nil"/>
              <w:bottom w:val="nil"/>
              <w:right w:val="single" w:sz="8" w:space="0" w:color="auto"/>
            </w:tcBorders>
            <w:shd w:val="clear" w:color="auto" w:fill="auto"/>
            <w:noWrap/>
            <w:vAlign w:val="bottom"/>
            <w:hideMark/>
          </w:tcPr>
          <w:p w14:paraId="2B3F18D1"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97,6</w:t>
            </w:r>
          </w:p>
        </w:tc>
      </w:tr>
      <w:tr w:rsidR="00687021" w:rsidRPr="00687021" w14:paraId="32BDCA86"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7558FBBB"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 </w:t>
            </w:r>
          </w:p>
        </w:tc>
        <w:tc>
          <w:tcPr>
            <w:tcW w:w="4536" w:type="dxa"/>
            <w:tcBorders>
              <w:top w:val="nil"/>
              <w:left w:val="nil"/>
              <w:bottom w:val="single" w:sz="4" w:space="0" w:color="auto"/>
              <w:right w:val="single" w:sz="4" w:space="0" w:color="auto"/>
            </w:tcBorders>
            <w:shd w:val="clear" w:color="auto" w:fill="auto"/>
            <w:noWrap/>
            <w:vAlign w:val="bottom"/>
            <w:hideMark/>
          </w:tcPr>
          <w:p w14:paraId="71BE379B" w14:textId="77777777" w:rsidR="00687021" w:rsidRPr="00687021" w:rsidRDefault="00687021" w:rsidP="00687021">
            <w:pPr>
              <w:spacing w:after="0" w:line="240" w:lineRule="auto"/>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virtuální prohlídky sociálních zařízení</w:t>
            </w:r>
          </w:p>
        </w:tc>
        <w:tc>
          <w:tcPr>
            <w:tcW w:w="1418" w:type="dxa"/>
            <w:tcBorders>
              <w:top w:val="nil"/>
              <w:left w:val="nil"/>
              <w:bottom w:val="single" w:sz="4" w:space="0" w:color="auto"/>
              <w:right w:val="single" w:sz="4" w:space="0" w:color="auto"/>
            </w:tcBorders>
            <w:shd w:val="clear" w:color="auto" w:fill="auto"/>
            <w:vAlign w:val="bottom"/>
            <w:hideMark/>
          </w:tcPr>
          <w:p w14:paraId="29682D1F"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0</w:t>
            </w:r>
          </w:p>
        </w:tc>
        <w:tc>
          <w:tcPr>
            <w:tcW w:w="1701" w:type="dxa"/>
            <w:tcBorders>
              <w:top w:val="nil"/>
              <w:left w:val="nil"/>
              <w:bottom w:val="single" w:sz="4" w:space="0" w:color="auto"/>
              <w:right w:val="single" w:sz="4" w:space="0" w:color="auto"/>
            </w:tcBorders>
            <w:shd w:val="clear" w:color="auto" w:fill="auto"/>
            <w:vAlign w:val="bottom"/>
            <w:hideMark/>
          </w:tcPr>
          <w:p w14:paraId="1C97C2D3"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1 429 034,35</w:t>
            </w:r>
          </w:p>
        </w:tc>
        <w:tc>
          <w:tcPr>
            <w:tcW w:w="1789" w:type="dxa"/>
            <w:tcBorders>
              <w:top w:val="nil"/>
              <w:left w:val="nil"/>
              <w:bottom w:val="single" w:sz="4" w:space="0" w:color="auto"/>
              <w:right w:val="single" w:sz="4" w:space="0" w:color="auto"/>
            </w:tcBorders>
            <w:shd w:val="clear" w:color="auto" w:fill="auto"/>
            <w:vAlign w:val="bottom"/>
            <w:hideMark/>
          </w:tcPr>
          <w:p w14:paraId="0519D3DA"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0,00</w:t>
            </w:r>
          </w:p>
        </w:tc>
        <w:tc>
          <w:tcPr>
            <w:tcW w:w="659" w:type="dxa"/>
            <w:tcBorders>
              <w:top w:val="single" w:sz="4" w:space="0" w:color="auto"/>
              <w:left w:val="nil"/>
              <w:bottom w:val="nil"/>
              <w:right w:val="single" w:sz="8" w:space="0" w:color="auto"/>
            </w:tcBorders>
            <w:shd w:val="clear" w:color="auto" w:fill="auto"/>
            <w:noWrap/>
            <w:vAlign w:val="bottom"/>
            <w:hideMark/>
          </w:tcPr>
          <w:p w14:paraId="4AE0F257"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0,0</w:t>
            </w:r>
          </w:p>
        </w:tc>
      </w:tr>
      <w:tr w:rsidR="00687021" w:rsidRPr="00687021" w14:paraId="5FFB99EE" w14:textId="77777777" w:rsidTr="00956DE6">
        <w:trPr>
          <w:trHeight w:val="525"/>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360F4521"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4399</w:t>
            </w:r>
          </w:p>
        </w:tc>
        <w:tc>
          <w:tcPr>
            <w:tcW w:w="4536" w:type="dxa"/>
            <w:tcBorders>
              <w:top w:val="nil"/>
              <w:left w:val="nil"/>
              <w:bottom w:val="single" w:sz="4" w:space="0" w:color="auto"/>
              <w:right w:val="single" w:sz="4" w:space="0" w:color="auto"/>
            </w:tcBorders>
            <w:shd w:val="clear" w:color="auto" w:fill="auto"/>
            <w:vAlign w:val="bottom"/>
            <w:hideMark/>
          </w:tcPr>
          <w:p w14:paraId="02DBE3A6" w14:textId="77777777" w:rsidR="00687021" w:rsidRPr="00687021" w:rsidRDefault="00687021" w:rsidP="00687021">
            <w:pPr>
              <w:spacing w:after="0" w:line="240" w:lineRule="auto"/>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Ostatní záležitosti sociálních věcí a politiky zaměstnanosti - POSEZ</w:t>
            </w:r>
          </w:p>
        </w:tc>
        <w:tc>
          <w:tcPr>
            <w:tcW w:w="1418" w:type="dxa"/>
            <w:tcBorders>
              <w:top w:val="nil"/>
              <w:left w:val="nil"/>
              <w:bottom w:val="single" w:sz="4" w:space="0" w:color="auto"/>
              <w:right w:val="single" w:sz="4" w:space="0" w:color="auto"/>
            </w:tcBorders>
            <w:shd w:val="clear" w:color="auto" w:fill="auto"/>
            <w:vAlign w:val="bottom"/>
            <w:hideMark/>
          </w:tcPr>
          <w:p w14:paraId="48B916EB"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2 500 000</w:t>
            </w:r>
          </w:p>
        </w:tc>
        <w:tc>
          <w:tcPr>
            <w:tcW w:w="1701" w:type="dxa"/>
            <w:tcBorders>
              <w:top w:val="nil"/>
              <w:left w:val="nil"/>
              <w:bottom w:val="single" w:sz="4" w:space="0" w:color="auto"/>
              <w:right w:val="single" w:sz="4" w:space="0" w:color="auto"/>
            </w:tcBorders>
            <w:shd w:val="clear" w:color="auto" w:fill="auto"/>
            <w:vAlign w:val="bottom"/>
            <w:hideMark/>
          </w:tcPr>
          <w:p w14:paraId="7FB11760"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2 500 000,00</w:t>
            </w:r>
          </w:p>
        </w:tc>
        <w:tc>
          <w:tcPr>
            <w:tcW w:w="1789" w:type="dxa"/>
            <w:tcBorders>
              <w:top w:val="nil"/>
              <w:left w:val="nil"/>
              <w:bottom w:val="single" w:sz="4" w:space="0" w:color="auto"/>
              <w:right w:val="single" w:sz="4" w:space="0" w:color="auto"/>
            </w:tcBorders>
            <w:shd w:val="clear" w:color="auto" w:fill="auto"/>
            <w:vAlign w:val="bottom"/>
            <w:hideMark/>
          </w:tcPr>
          <w:p w14:paraId="47DAC532"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1 258 080,00</w:t>
            </w:r>
          </w:p>
        </w:tc>
        <w:tc>
          <w:tcPr>
            <w:tcW w:w="659" w:type="dxa"/>
            <w:tcBorders>
              <w:top w:val="single" w:sz="4" w:space="0" w:color="auto"/>
              <w:left w:val="nil"/>
              <w:bottom w:val="nil"/>
              <w:right w:val="single" w:sz="8" w:space="0" w:color="auto"/>
            </w:tcBorders>
            <w:shd w:val="clear" w:color="auto" w:fill="auto"/>
            <w:noWrap/>
            <w:vAlign w:val="bottom"/>
            <w:hideMark/>
          </w:tcPr>
          <w:p w14:paraId="2ECBEACE"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50,3</w:t>
            </w:r>
          </w:p>
        </w:tc>
      </w:tr>
      <w:tr w:rsidR="00687021" w:rsidRPr="00687021" w14:paraId="553C0167" w14:textId="77777777" w:rsidTr="00956DE6">
        <w:trPr>
          <w:trHeight w:val="525"/>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524D2909"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 </w:t>
            </w:r>
          </w:p>
        </w:tc>
        <w:tc>
          <w:tcPr>
            <w:tcW w:w="4536" w:type="dxa"/>
            <w:tcBorders>
              <w:top w:val="nil"/>
              <w:left w:val="nil"/>
              <w:bottom w:val="single" w:sz="4" w:space="0" w:color="auto"/>
              <w:right w:val="single" w:sz="4" w:space="0" w:color="auto"/>
            </w:tcBorders>
            <w:shd w:val="clear" w:color="auto" w:fill="auto"/>
            <w:vAlign w:val="bottom"/>
            <w:hideMark/>
          </w:tcPr>
          <w:p w14:paraId="752C157C" w14:textId="77777777" w:rsidR="00687021" w:rsidRPr="00687021" w:rsidRDefault="00687021" w:rsidP="00687021">
            <w:pPr>
              <w:spacing w:after="0" w:line="240" w:lineRule="auto"/>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Účelové neinvestiční dotace nestátním neziskovým organizacím</w:t>
            </w:r>
          </w:p>
        </w:tc>
        <w:tc>
          <w:tcPr>
            <w:tcW w:w="1418" w:type="dxa"/>
            <w:tcBorders>
              <w:top w:val="nil"/>
              <w:left w:val="nil"/>
              <w:bottom w:val="single" w:sz="4" w:space="0" w:color="auto"/>
              <w:right w:val="single" w:sz="4" w:space="0" w:color="auto"/>
            </w:tcBorders>
            <w:shd w:val="clear" w:color="auto" w:fill="auto"/>
            <w:vAlign w:val="bottom"/>
            <w:hideMark/>
          </w:tcPr>
          <w:p w14:paraId="3741205F"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0</w:t>
            </w:r>
          </w:p>
        </w:tc>
        <w:tc>
          <w:tcPr>
            <w:tcW w:w="1701" w:type="dxa"/>
            <w:tcBorders>
              <w:top w:val="nil"/>
              <w:left w:val="nil"/>
              <w:bottom w:val="single" w:sz="4" w:space="0" w:color="auto"/>
              <w:right w:val="single" w:sz="4" w:space="0" w:color="auto"/>
            </w:tcBorders>
            <w:shd w:val="clear" w:color="auto" w:fill="auto"/>
            <w:vAlign w:val="bottom"/>
            <w:hideMark/>
          </w:tcPr>
          <w:p w14:paraId="5883ACC2"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3 404 208,00</w:t>
            </w:r>
          </w:p>
        </w:tc>
        <w:tc>
          <w:tcPr>
            <w:tcW w:w="1789" w:type="dxa"/>
            <w:tcBorders>
              <w:top w:val="nil"/>
              <w:left w:val="nil"/>
              <w:bottom w:val="single" w:sz="4" w:space="0" w:color="auto"/>
              <w:right w:val="single" w:sz="4" w:space="0" w:color="auto"/>
            </w:tcBorders>
            <w:shd w:val="clear" w:color="auto" w:fill="auto"/>
            <w:vAlign w:val="bottom"/>
            <w:hideMark/>
          </w:tcPr>
          <w:p w14:paraId="4E877CEC"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3 404 208,00</w:t>
            </w:r>
          </w:p>
        </w:tc>
        <w:tc>
          <w:tcPr>
            <w:tcW w:w="659" w:type="dxa"/>
            <w:tcBorders>
              <w:top w:val="single" w:sz="4" w:space="0" w:color="auto"/>
              <w:left w:val="nil"/>
              <w:bottom w:val="nil"/>
              <w:right w:val="single" w:sz="8" w:space="0" w:color="auto"/>
            </w:tcBorders>
            <w:shd w:val="clear" w:color="auto" w:fill="auto"/>
            <w:noWrap/>
            <w:vAlign w:val="bottom"/>
            <w:hideMark/>
          </w:tcPr>
          <w:p w14:paraId="3ED03989"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100,0</w:t>
            </w:r>
          </w:p>
        </w:tc>
      </w:tr>
      <w:tr w:rsidR="00687021" w:rsidRPr="00687021" w14:paraId="3F3AE36A"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7A0EB4F1"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 </w:t>
            </w:r>
          </w:p>
        </w:tc>
        <w:tc>
          <w:tcPr>
            <w:tcW w:w="10103" w:type="dxa"/>
            <w:gridSpan w:val="5"/>
            <w:tcBorders>
              <w:top w:val="single" w:sz="4" w:space="0" w:color="auto"/>
              <w:left w:val="nil"/>
              <w:bottom w:val="single" w:sz="4" w:space="0" w:color="auto"/>
              <w:right w:val="single" w:sz="8" w:space="0" w:color="000000"/>
            </w:tcBorders>
            <w:shd w:val="clear" w:color="auto" w:fill="auto"/>
            <w:vAlign w:val="bottom"/>
            <w:hideMark/>
          </w:tcPr>
          <w:p w14:paraId="21406A4E" w14:textId="77777777" w:rsidR="00687021" w:rsidRPr="00687021" w:rsidRDefault="00687021" w:rsidP="00687021">
            <w:pPr>
              <w:spacing w:after="0" w:line="240" w:lineRule="auto"/>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z toho:</w:t>
            </w:r>
          </w:p>
        </w:tc>
      </w:tr>
      <w:tr w:rsidR="00687021" w:rsidRPr="00687021" w14:paraId="0CBA99EF" w14:textId="77777777" w:rsidTr="00956DE6">
        <w:trPr>
          <w:trHeight w:val="51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5133325F" w14:textId="77777777" w:rsidR="00687021" w:rsidRPr="00687021" w:rsidRDefault="00687021" w:rsidP="00687021">
            <w:pPr>
              <w:spacing w:after="0" w:line="240" w:lineRule="auto"/>
              <w:jc w:val="center"/>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4357</w:t>
            </w:r>
          </w:p>
        </w:tc>
        <w:tc>
          <w:tcPr>
            <w:tcW w:w="4536" w:type="dxa"/>
            <w:tcBorders>
              <w:top w:val="nil"/>
              <w:left w:val="nil"/>
              <w:bottom w:val="single" w:sz="4" w:space="0" w:color="auto"/>
              <w:right w:val="nil"/>
            </w:tcBorders>
            <w:shd w:val="clear" w:color="auto" w:fill="auto"/>
            <w:hideMark/>
          </w:tcPr>
          <w:p w14:paraId="342050B0" w14:textId="77777777" w:rsidR="00687021" w:rsidRPr="00687021" w:rsidRDefault="00687021" w:rsidP="00687021">
            <w:pPr>
              <w:spacing w:after="0" w:line="240" w:lineRule="auto"/>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Domovy pro osoby se zdravotním postižením a domovy se zvláštním režimem</w:t>
            </w:r>
          </w:p>
        </w:tc>
        <w:tc>
          <w:tcPr>
            <w:tcW w:w="1418" w:type="dxa"/>
            <w:tcBorders>
              <w:top w:val="nil"/>
              <w:left w:val="single" w:sz="4" w:space="0" w:color="auto"/>
              <w:bottom w:val="single" w:sz="4" w:space="0" w:color="auto"/>
              <w:right w:val="single" w:sz="4" w:space="0" w:color="auto"/>
            </w:tcBorders>
            <w:shd w:val="clear" w:color="auto" w:fill="auto"/>
            <w:vAlign w:val="bottom"/>
            <w:hideMark/>
          </w:tcPr>
          <w:p w14:paraId="56C4322C"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0</w:t>
            </w:r>
          </w:p>
        </w:tc>
        <w:tc>
          <w:tcPr>
            <w:tcW w:w="1701" w:type="dxa"/>
            <w:tcBorders>
              <w:top w:val="nil"/>
              <w:left w:val="nil"/>
              <w:bottom w:val="single" w:sz="4" w:space="0" w:color="auto"/>
              <w:right w:val="single" w:sz="4" w:space="0" w:color="auto"/>
            </w:tcBorders>
            <w:shd w:val="clear" w:color="auto" w:fill="auto"/>
            <w:vAlign w:val="bottom"/>
            <w:hideMark/>
          </w:tcPr>
          <w:p w14:paraId="3FC5B1B4"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180 000,00</w:t>
            </w:r>
          </w:p>
        </w:tc>
        <w:tc>
          <w:tcPr>
            <w:tcW w:w="1789" w:type="dxa"/>
            <w:tcBorders>
              <w:top w:val="nil"/>
              <w:left w:val="nil"/>
              <w:bottom w:val="single" w:sz="4" w:space="0" w:color="auto"/>
              <w:right w:val="single" w:sz="4" w:space="0" w:color="auto"/>
            </w:tcBorders>
            <w:shd w:val="clear" w:color="auto" w:fill="auto"/>
            <w:vAlign w:val="bottom"/>
            <w:hideMark/>
          </w:tcPr>
          <w:p w14:paraId="1E3F1990"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180 000,00</w:t>
            </w:r>
          </w:p>
        </w:tc>
        <w:tc>
          <w:tcPr>
            <w:tcW w:w="659" w:type="dxa"/>
            <w:tcBorders>
              <w:top w:val="nil"/>
              <w:left w:val="nil"/>
              <w:bottom w:val="nil"/>
              <w:right w:val="single" w:sz="8" w:space="0" w:color="auto"/>
            </w:tcBorders>
            <w:shd w:val="clear" w:color="auto" w:fill="auto"/>
            <w:noWrap/>
            <w:vAlign w:val="bottom"/>
            <w:hideMark/>
          </w:tcPr>
          <w:p w14:paraId="75C4749D"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100,0</w:t>
            </w:r>
          </w:p>
        </w:tc>
      </w:tr>
      <w:tr w:rsidR="00687021" w:rsidRPr="00687021" w14:paraId="124185B2" w14:textId="77777777" w:rsidTr="00956DE6">
        <w:trPr>
          <w:trHeight w:val="319"/>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6DB012B4" w14:textId="77777777" w:rsidR="00687021" w:rsidRPr="00687021" w:rsidRDefault="00687021" w:rsidP="00687021">
            <w:pPr>
              <w:spacing w:after="0" w:line="240" w:lineRule="auto"/>
              <w:jc w:val="center"/>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4399</w:t>
            </w:r>
          </w:p>
        </w:tc>
        <w:tc>
          <w:tcPr>
            <w:tcW w:w="4536" w:type="dxa"/>
            <w:tcBorders>
              <w:top w:val="nil"/>
              <w:left w:val="nil"/>
              <w:bottom w:val="single" w:sz="4" w:space="0" w:color="auto"/>
              <w:right w:val="single" w:sz="4" w:space="0" w:color="auto"/>
            </w:tcBorders>
            <w:shd w:val="clear" w:color="auto" w:fill="auto"/>
            <w:noWrap/>
            <w:vAlign w:val="bottom"/>
            <w:hideMark/>
          </w:tcPr>
          <w:p w14:paraId="16CA7C07" w14:textId="77777777" w:rsidR="00687021" w:rsidRPr="00687021" w:rsidRDefault="00687021" w:rsidP="00687021">
            <w:pPr>
              <w:spacing w:after="0" w:line="240" w:lineRule="auto"/>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Ostatní záležitosti sociálních věcí a politiky zaměstnanosti</w:t>
            </w:r>
          </w:p>
        </w:tc>
        <w:tc>
          <w:tcPr>
            <w:tcW w:w="1418" w:type="dxa"/>
            <w:tcBorders>
              <w:top w:val="nil"/>
              <w:left w:val="nil"/>
              <w:bottom w:val="single" w:sz="4" w:space="0" w:color="auto"/>
              <w:right w:val="single" w:sz="4" w:space="0" w:color="auto"/>
            </w:tcBorders>
            <w:shd w:val="clear" w:color="auto" w:fill="auto"/>
            <w:vAlign w:val="bottom"/>
            <w:hideMark/>
          </w:tcPr>
          <w:p w14:paraId="7104DD1A"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0</w:t>
            </w:r>
          </w:p>
        </w:tc>
        <w:tc>
          <w:tcPr>
            <w:tcW w:w="1701" w:type="dxa"/>
            <w:tcBorders>
              <w:top w:val="nil"/>
              <w:left w:val="nil"/>
              <w:bottom w:val="single" w:sz="4" w:space="0" w:color="auto"/>
              <w:right w:val="single" w:sz="4" w:space="0" w:color="auto"/>
            </w:tcBorders>
            <w:shd w:val="clear" w:color="auto" w:fill="auto"/>
            <w:vAlign w:val="bottom"/>
            <w:hideMark/>
          </w:tcPr>
          <w:p w14:paraId="62A31000"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3 224 208,00</w:t>
            </w:r>
          </w:p>
        </w:tc>
        <w:tc>
          <w:tcPr>
            <w:tcW w:w="1789" w:type="dxa"/>
            <w:tcBorders>
              <w:top w:val="nil"/>
              <w:left w:val="nil"/>
              <w:bottom w:val="single" w:sz="4" w:space="0" w:color="auto"/>
              <w:right w:val="single" w:sz="4" w:space="0" w:color="auto"/>
            </w:tcBorders>
            <w:shd w:val="clear" w:color="auto" w:fill="auto"/>
            <w:vAlign w:val="bottom"/>
            <w:hideMark/>
          </w:tcPr>
          <w:p w14:paraId="24A9BD06"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3 224 208,00</w:t>
            </w:r>
          </w:p>
        </w:tc>
        <w:tc>
          <w:tcPr>
            <w:tcW w:w="659" w:type="dxa"/>
            <w:tcBorders>
              <w:top w:val="single" w:sz="4" w:space="0" w:color="auto"/>
              <w:left w:val="nil"/>
              <w:bottom w:val="nil"/>
              <w:right w:val="single" w:sz="8" w:space="0" w:color="auto"/>
            </w:tcBorders>
            <w:shd w:val="clear" w:color="auto" w:fill="auto"/>
            <w:noWrap/>
            <w:vAlign w:val="bottom"/>
            <w:hideMark/>
          </w:tcPr>
          <w:p w14:paraId="1EC54DAC"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100,0</w:t>
            </w:r>
          </w:p>
        </w:tc>
      </w:tr>
      <w:tr w:rsidR="00687021" w:rsidRPr="00687021" w14:paraId="40B83BBB"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76B2B8B4" w14:textId="77777777" w:rsidR="00687021" w:rsidRPr="00687021" w:rsidRDefault="00687021" w:rsidP="00687021">
            <w:pPr>
              <w:spacing w:after="0" w:line="240" w:lineRule="auto"/>
              <w:jc w:val="center"/>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 </w:t>
            </w:r>
          </w:p>
        </w:tc>
        <w:tc>
          <w:tcPr>
            <w:tcW w:w="4536" w:type="dxa"/>
            <w:tcBorders>
              <w:top w:val="nil"/>
              <w:left w:val="nil"/>
              <w:bottom w:val="single" w:sz="4" w:space="0" w:color="auto"/>
              <w:right w:val="single" w:sz="4" w:space="0" w:color="auto"/>
            </w:tcBorders>
            <w:shd w:val="clear" w:color="auto" w:fill="auto"/>
            <w:vAlign w:val="bottom"/>
            <w:hideMark/>
          </w:tcPr>
          <w:p w14:paraId="4164D6B0" w14:textId="77777777" w:rsidR="00687021" w:rsidRPr="00687021" w:rsidRDefault="00687021" w:rsidP="00687021">
            <w:pPr>
              <w:spacing w:after="0" w:line="240" w:lineRule="auto"/>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Návratné finanční výpomoci - sociální oblast</w:t>
            </w:r>
          </w:p>
        </w:tc>
        <w:tc>
          <w:tcPr>
            <w:tcW w:w="1418" w:type="dxa"/>
            <w:tcBorders>
              <w:top w:val="nil"/>
              <w:left w:val="nil"/>
              <w:bottom w:val="single" w:sz="4" w:space="0" w:color="auto"/>
              <w:right w:val="single" w:sz="4" w:space="0" w:color="auto"/>
            </w:tcBorders>
            <w:shd w:val="clear" w:color="auto" w:fill="auto"/>
            <w:vAlign w:val="bottom"/>
            <w:hideMark/>
          </w:tcPr>
          <w:p w14:paraId="548CFD2C"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0</w:t>
            </w:r>
          </w:p>
        </w:tc>
        <w:tc>
          <w:tcPr>
            <w:tcW w:w="1701" w:type="dxa"/>
            <w:tcBorders>
              <w:top w:val="nil"/>
              <w:left w:val="nil"/>
              <w:bottom w:val="single" w:sz="4" w:space="0" w:color="auto"/>
              <w:right w:val="single" w:sz="4" w:space="0" w:color="auto"/>
            </w:tcBorders>
            <w:shd w:val="clear" w:color="auto" w:fill="auto"/>
            <w:vAlign w:val="bottom"/>
            <w:hideMark/>
          </w:tcPr>
          <w:p w14:paraId="3FD955A7"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1 500 000,00</w:t>
            </w:r>
          </w:p>
        </w:tc>
        <w:tc>
          <w:tcPr>
            <w:tcW w:w="1789" w:type="dxa"/>
            <w:tcBorders>
              <w:top w:val="nil"/>
              <w:left w:val="nil"/>
              <w:bottom w:val="single" w:sz="4" w:space="0" w:color="auto"/>
              <w:right w:val="single" w:sz="4" w:space="0" w:color="auto"/>
            </w:tcBorders>
            <w:shd w:val="clear" w:color="auto" w:fill="auto"/>
            <w:vAlign w:val="bottom"/>
            <w:hideMark/>
          </w:tcPr>
          <w:p w14:paraId="0FB7CB40"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1 500 000,00</w:t>
            </w:r>
          </w:p>
        </w:tc>
        <w:tc>
          <w:tcPr>
            <w:tcW w:w="659" w:type="dxa"/>
            <w:tcBorders>
              <w:top w:val="single" w:sz="4" w:space="0" w:color="auto"/>
              <w:left w:val="nil"/>
              <w:bottom w:val="nil"/>
              <w:right w:val="single" w:sz="8" w:space="0" w:color="auto"/>
            </w:tcBorders>
            <w:shd w:val="clear" w:color="auto" w:fill="auto"/>
            <w:noWrap/>
            <w:vAlign w:val="bottom"/>
            <w:hideMark/>
          </w:tcPr>
          <w:p w14:paraId="18FD1917"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100,0</w:t>
            </w:r>
          </w:p>
        </w:tc>
      </w:tr>
      <w:tr w:rsidR="00687021" w:rsidRPr="00687021" w14:paraId="28DF8C45"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76D84D7F" w14:textId="77777777" w:rsidR="00687021" w:rsidRPr="00687021" w:rsidRDefault="00687021" w:rsidP="00687021">
            <w:pPr>
              <w:spacing w:after="0" w:line="240" w:lineRule="auto"/>
              <w:jc w:val="center"/>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 </w:t>
            </w:r>
          </w:p>
        </w:tc>
        <w:tc>
          <w:tcPr>
            <w:tcW w:w="10103" w:type="dxa"/>
            <w:gridSpan w:val="5"/>
            <w:tcBorders>
              <w:top w:val="single" w:sz="4" w:space="0" w:color="auto"/>
              <w:left w:val="nil"/>
              <w:bottom w:val="single" w:sz="4" w:space="0" w:color="auto"/>
              <w:right w:val="single" w:sz="8" w:space="0" w:color="000000"/>
            </w:tcBorders>
            <w:shd w:val="clear" w:color="auto" w:fill="auto"/>
            <w:noWrap/>
            <w:vAlign w:val="bottom"/>
            <w:hideMark/>
          </w:tcPr>
          <w:p w14:paraId="6321F5CC" w14:textId="77777777" w:rsidR="00687021" w:rsidRPr="00687021" w:rsidRDefault="00687021" w:rsidP="00687021">
            <w:pPr>
              <w:spacing w:after="0" w:line="240" w:lineRule="auto"/>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z toho:</w:t>
            </w:r>
          </w:p>
        </w:tc>
      </w:tr>
      <w:tr w:rsidR="00687021" w:rsidRPr="00687021" w14:paraId="2194149B"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231501E5" w14:textId="77777777" w:rsidR="00687021" w:rsidRPr="00687021" w:rsidRDefault="00687021" w:rsidP="00687021">
            <w:pPr>
              <w:spacing w:after="0" w:line="240" w:lineRule="auto"/>
              <w:jc w:val="center"/>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4356</w:t>
            </w:r>
          </w:p>
        </w:tc>
        <w:tc>
          <w:tcPr>
            <w:tcW w:w="4536" w:type="dxa"/>
            <w:tcBorders>
              <w:top w:val="nil"/>
              <w:left w:val="nil"/>
              <w:bottom w:val="single" w:sz="4" w:space="0" w:color="auto"/>
              <w:right w:val="single" w:sz="4" w:space="0" w:color="auto"/>
            </w:tcBorders>
            <w:shd w:val="clear" w:color="auto" w:fill="auto"/>
            <w:noWrap/>
            <w:vAlign w:val="bottom"/>
            <w:hideMark/>
          </w:tcPr>
          <w:p w14:paraId="77F664F6" w14:textId="77777777" w:rsidR="00687021" w:rsidRPr="00687021" w:rsidRDefault="00687021" w:rsidP="00687021">
            <w:pPr>
              <w:spacing w:after="0" w:line="240" w:lineRule="auto"/>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Denní stacionáře a centra denních služeb</w:t>
            </w:r>
          </w:p>
        </w:tc>
        <w:tc>
          <w:tcPr>
            <w:tcW w:w="1418" w:type="dxa"/>
            <w:tcBorders>
              <w:top w:val="nil"/>
              <w:left w:val="nil"/>
              <w:bottom w:val="single" w:sz="4" w:space="0" w:color="auto"/>
              <w:right w:val="single" w:sz="4" w:space="0" w:color="auto"/>
            </w:tcBorders>
            <w:shd w:val="clear" w:color="auto" w:fill="auto"/>
            <w:vAlign w:val="bottom"/>
            <w:hideMark/>
          </w:tcPr>
          <w:p w14:paraId="428C291A"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0</w:t>
            </w:r>
          </w:p>
        </w:tc>
        <w:tc>
          <w:tcPr>
            <w:tcW w:w="1701" w:type="dxa"/>
            <w:tcBorders>
              <w:top w:val="nil"/>
              <w:left w:val="nil"/>
              <w:bottom w:val="single" w:sz="4" w:space="0" w:color="auto"/>
              <w:right w:val="single" w:sz="4" w:space="0" w:color="auto"/>
            </w:tcBorders>
            <w:shd w:val="clear" w:color="auto" w:fill="auto"/>
            <w:vAlign w:val="bottom"/>
            <w:hideMark/>
          </w:tcPr>
          <w:p w14:paraId="1611AE7A"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1 050 000,00</w:t>
            </w:r>
          </w:p>
        </w:tc>
        <w:tc>
          <w:tcPr>
            <w:tcW w:w="1789" w:type="dxa"/>
            <w:tcBorders>
              <w:top w:val="nil"/>
              <w:left w:val="nil"/>
              <w:bottom w:val="single" w:sz="4" w:space="0" w:color="auto"/>
              <w:right w:val="single" w:sz="4" w:space="0" w:color="auto"/>
            </w:tcBorders>
            <w:shd w:val="clear" w:color="auto" w:fill="auto"/>
            <w:vAlign w:val="bottom"/>
            <w:hideMark/>
          </w:tcPr>
          <w:p w14:paraId="3F5F449A"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1 050 000,00</w:t>
            </w:r>
          </w:p>
        </w:tc>
        <w:tc>
          <w:tcPr>
            <w:tcW w:w="659" w:type="dxa"/>
            <w:tcBorders>
              <w:top w:val="nil"/>
              <w:left w:val="nil"/>
              <w:bottom w:val="nil"/>
              <w:right w:val="single" w:sz="8" w:space="0" w:color="auto"/>
            </w:tcBorders>
            <w:shd w:val="clear" w:color="auto" w:fill="auto"/>
            <w:noWrap/>
            <w:vAlign w:val="bottom"/>
            <w:hideMark/>
          </w:tcPr>
          <w:p w14:paraId="44D7B052"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100,0</w:t>
            </w:r>
          </w:p>
        </w:tc>
      </w:tr>
      <w:tr w:rsidR="00687021" w:rsidRPr="00687021" w14:paraId="3670409D" w14:textId="77777777" w:rsidTr="00956DE6">
        <w:trPr>
          <w:trHeight w:val="319"/>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48E7377B" w14:textId="77777777" w:rsidR="00687021" w:rsidRPr="00687021" w:rsidRDefault="00687021" w:rsidP="00687021">
            <w:pPr>
              <w:spacing w:after="0" w:line="240" w:lineRule="auto"/>
              <w:jc w:val="center"/>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4379</w:t>
            </w:r>
          </w:p>
        </w:tc>
        <w:tc>
          <w:tcPr>
            <w:tcW w:w="4536" w:type="dxa"/>
            <w:tcBorders>
              <w:top w:val="nil"/>
              <w:left w:val="nil"/>
              <w:bottom w:val="single" w:sz="4" w:space="0" w:color="auto"/>
              <w:right w:val="single" w:sz="4" w:space="0" w:color="auto"/>
            </w:tcBorders>
            <w:shd w:val="clear" w:color="auto" w:fill="auto"/>
            <w:noWrap/>
            <w:vAlign w:val="bottom"/>
            <w:hideMark/>
          </w:tcPr>
          <w:p w14:paraId="694833DC" w14:textId="77777777" w:rsidR="00687021" w:rsidRPr="00687021" w:rsidRDefault="00687021" w:rsidP="00687021">
            <w:pPr>
              <w:spacing w:after="0" w:line="240" w:lineRule="auto"/>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Ostatní služby a činnosti v oblasti sociální prevence</w:t>
            </w:r>
          </w:p>
        </w:tc>
        <w:tc>
          <w:tcPr>
            <w:tcW w:w="1418" w:type="dxa"/>
            <w:tcBorders>
              <w:top w:val="nil"/>
              <w:left w:val="nil"/>
              <w:bottom w:val="single" w:sz="4" w:space="0" w:color="auto"/>
              <w:right w:val="single" w:sz="4" w:space="0" w:color="auto"/>
            </w:tcBorders>
            <w:shd w:val="clear" w:color="auto" w:fill="auto"/>
            <w:vAlign w:val="bottom"/>
            <w:hideMark/>
          </w:tcPr>
          <w:p w14:paraId="11FA7862"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0</w:t>
            </w:r>
          </w:p>
        </w:tc>
        <w:tc>
          <w:tcPr>
            <w:tcW w:w="1701" w:type="dxa"/>
            <w:tcBorders>
              <w:top w:val="nil"/>
              <w:left w:val="nil"/>
              <w:bottom w:val="single" w:sz="4" w:space="0" w:color="auto"/>
              <w:right w:val="single" w:sz="4" w:space="0" w:color="auto"/>
            </w:tcBorders>
            <w:shd w:val="clear" w:color="auto" w:fill="auto"/>
            <w:vAlign w:val="bottom"/>
            <w:hideMark/>
          </w:tcPr>
          <w:p w14:paraId="50E90BEF"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450 000,00</w:t>
            </w:r>
          </w:p>
        </w:tc>
        <w:tc>
          <w:tcPr>
            <w:tcW w:w="1789" w:type="dxa"/>
            <w:tcBorders>
              <w:top w:val="nil"/>
              <w:left w:val="nil"/>
              <w:bottom w:val="single" w:sz="4" w:space="0" w:color="auto"/>
              <w:right w:val="single" w:sz="4" w:space="0" w:color="auto"/>
            </w:tcBorders>
            <w:shd w:val="clear" w:color="auto" w:fill="auto"/>
            <w:vAlign w:val="bottom"/>
            <w:hideMark/>
          </w:tcPr>
          <w:p w14:paraId="177BC2D8"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450 000,00</w:t>
            </w:r>
          </w:p>
        </w:tc>
        <w:tc>
          <w:tcPr>
            <w:tcW w:w="659" w:type="dxa"/>
            <w:tcBorders>
              <w:top w:val="single" w:sz="4" w:space="0" w:color="auto"/>
              <w:left w:val="nil"/>
              <w:bottom w:val="nil"/>
              <w:right w:val="single" w:sz="8" w:space="0" w:color="auto"/>
            </w:tcBorders>
            <w:shd w:val="clear" w:color="auto" w:fill="auto"/>
            <w:noWrap/>
            <w:vAlign w:val="bottom"/>
            <w:hideMark/>
          </w:tcPr>
          <w:p w14:paraId="01EE84FB"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100,0</w:t>
            </w:r>
          </w:p>
        </w:tc>
      </w:tr>
      <w:tr w:rsidR="00687021" w:rsidRPr="00687021" w14:paraId="5929B8D9"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0B6BA00E"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 </w:t>
            </w:r>
          </w:p>
        </w:tc>
        <w:tc>
          <w:tcPr>
            <w:tcW w:w="4536" w:type="dxa"/>
            <w:tcBorders>
              <w:top w:val="nil"/>
              <w:left w:val="nil"/>
              <w:bottom w:val="single" w:sz="4" w:space="0" w:color="auto"/>
              <w:right w:val="single" w:sz="4" w:space="0" w:color="auto"/>
            </w:tcBorders>
            <w:shd w:val="clear" w:color="auto" w:fill="auto"/>
            <w:vAlign w:val="bottom"/>
            <w:hideMark/>
          </w:tcPr>
          <w:p w14:paraId="3AE7FB79" w14:textId="77777777" w:rsidR="00687021" w:rsidRPr="00687021" w:rsidRDefault="00687021" w:rsidP="00687021">
            <w:pPr>
              <w:spacing w:after="0" w:line="240" w:lineRule="auto"/>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Velké opravy a havárie</w:t>
            </w:r>
          </w:p>
        </w:tc>
        <w:tc>
          <w:tcPr>
            <w:tcW w:w="1418" w:type="dxa"/>
            <w:tcBorders>
              <w:top w:val="nil"/>
              <w:left w:val="nil"/>
              <w:bottom w:val="single" w:sz="4" w:space="0" w:color="auto"/>
              <w:right w:val="single" w:sz="4" w:space="0" w:color="auto"/>
            </w:tcBorders>
            <w:shd w:val="clear" w:color="auto" w:fill="auto"/>
            <w:vAlign w:val="bottom"/>
            <w:hideMark/>
          </w:tcPr>
          <w:p w14:paraId="70A7283F"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15 000 000</w:t>
            </w:r>
          </w:p>
        </w:tc>
        <w:tc>
          <w:tcPr>
            <w:tcW w:w="1701" w:type="dxa"/>
            <w:tcBorders>
              <w:top w:val="nil"/>
              <w:left w:val="nil"/>
              <w:bottom w:val="single" w:sz="4" w:space="0" w:color="auto"/>
              <w:right w:val="single" w:sz="4" w:space="0" w:color="auto"/>
            </w:tcBorders>
            <w:shd w:val="clear" w:color="auto" w:fill="auto"/>
            <w:vAlign w:val="bottom"/>
            <w:hideMark/>
          </w:tcPr>
          <w:p w14:paraId="57BFEA2D"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18 809 779,55</w:t>
            </w:r>
          </w:p>
        </w:tc>
        <w:tc>
          <w:tcPr>
            <w:tcW w:w="1789" w:type="dxa"/>
            <w:tcBorders>
              <w:top w:val="nil"/>
              <w:left w:val="nil"/>
              <w:bottom w:val="single" w:sz="4" w:space="0" w:color="auto"/>
              <w:right w:val="single" w:sz="4" w:space="0" w:color="auto"/>
            </w:tcBorders>
            <w:shd w:val="clear" w:color="auto" w:fill="auto"/>
            <w:vAlign w:val="bottom"/>
            <w:hideMark/>
          </w:tcPr>
          <w:p w14:paraId="7887B2C3"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4 402 824,49</w:t>
            </w:r>
          </w:p>
        </w:tc>
        <w:tc>
          <w:tcPr>
            <w:tcW w:w="659" w:type="dxa"/>
            <w:tcBorders>
              <w:top w:val="single" w:sz="4" w:space="0" w:color="auto"/>
              <w:left w:val="nil"/>
              <w:bottom w:val="nil"/>
              <w:right w:val="single" w:sz="8" w:space="0" w:color="auto"/>
            </w:tcBorders>
            <w:shd w:val="clear" w:color="auto" w:fill="auto"/>
            <w:noWrap/>
            <w:vAlign w:val="bottom"/>
            <w:hideMark/>
          </w:tcPr>
          <w:p w14:paraId="08E1CAB2"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23,4</w:t>
            </w:r>
          </w:p>
        </w:tc>
      </w:tr>
      <w:tr w:rsidR="00687021" w:rsidRPr="00687021" w14:paraId="4E5F4D29" w14:textId="77777777" w:rsidTr="00956DE6">
        <w:trPr>
          <w:trHeight w:val="360"/>
        </w:trPr>
        <w:tc>
          <w:tcPr>
            <w:tcW w:w="684" w:type="dxa"/>
            <w:tcBorders>
              <w:top w:val="nil"/>
              <w:left w:val="single" w:sz="8" w:space="0" w:color="auto"/>
              <w:bottom w:val="nil"/>
              <w:right w:val="single" w:sz="4" w:space="0" w:color="auto"/>
            </w:tcBorders>
            <w:shd w:val="clear" w:color="auto" w:fill="auto"/>
            <w:noWrap/>
            <w:vAlign w:val="bottom"/>
            <w:hideMark/>
          </w:tcPr>
          <w:p w14:paraId="30A540CA"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 </w:t>
            </w:r>
          </w:p>
        </w:tc>
        <w:tc>
          <w:tcPr>
            <w:tcW w:w="10103" w:type="dxa"/>
            <w:gridSpan w:val="5"/>
            <w:tcBorders>
              <w:top w:val="single" w:sz="4" w:space="0" w:color="auto"/>
              <w:left w:val="nil"/>
              <w:bottom w:val="single" w:sz="4" w:space="0" w:color="auto"/>
              <w:right w:val="single" w:sz="8" w:space="0" w:color="000000"/>
            </w:tcBorders>
            <w:shd w:val="clear" w:color="auto" w:fill="auto"/>
            <w:vAlign w:val="bottom"/>
            <w:hideMark/>
          </w:tcPr>
          <w:p w14:paraId="4EB344B2" w14:textId="77777777" w:rsidR="00687021" w:rsidRPr="00687021" w:rsidRDefault="00687021" w:rsidP="00687021">
            <w:pPr>
              <w:spacing w:after="0" w:line="240" w:lineRule="auto"/>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z toho:</w:t>
            </w:r>
          </w:p>
        </w:tc>
      </w:tr>
      <w:tr w:rsidR="00687021" w:rsidRPr="00687021" w14:paraId="168CFAD8" w14:textId="77777777" w:rsidTr="00956DE6">
        <w:trPr>
          <w:trHeight w:val="300"/>
        </w:trPr>
        <w:tc>
          <w:tcPr>
            <w:tcW w:w="684" w:type="dxa"/>
            <w:tcBorders>
              <w:top w:val="single" w:sz="4" w:space="0" w:color="auto"/>
              <w:left w:val="single" w:sz="8" w:space="0" w:color="auto"/>
              <w:bottom w:val="nil"/>
              <w:right w:val="single" w:sz="4" w:space="0" w:color="auto"/>
            </w:tcBorders>
            <w:shd w:val="clear" w:color="auto" w:fill="auto"/>
            <w:noWrap/>
            <w:vAlign w:val="bottom"/>
            <w:hideMark/>
          </w:tcPr>
          <w:p w14:paraId="391FF855" w14:textId="77777777" w:rsidR="00687021" w:rsidRPr="00687021" w:rsidRDefault="00687021" w:rsidP="00687021">
            <w:pPr>
              <w:spacing w:after="0" w:line="240" w:lineRule="auto"/>
              <w:jc w:val="center"/>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4350</w:t>
            </w:r>
          </w:p>
        </w:tc>
        <w:tc>
          <w:tcPr>
            <w:tcW w:w="4536" w:type="dxa"/>
            <w:tcBorders>
              <w:top w:val="nil"/>
              <w:left w:val="nil"/>
              <w:bottom w:val="nil"/>
              <w:right w:val="single" w:sz="4" w:space="0" w:color="auto"/>
            </w:tcBorders>
            <w:shd w:val="clear" w:color="auto" w:fill="auto"/>
            <w:vAlign w:val="bottom"/>
            <w:hideMark/>
          </w:tcPr>
          <w:p w14:paraId="1A86B7F0" w14:textId="77777777" w:rsidR="00687021" w:rsidRPr="00687021" w:rsidRDefault="00687021" w:rsidP="00687021">
            <w:pPr>
              <w:spacing w:after="0" w:line="240" w:lineRule="auto"/>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 xml:space="preserve">Domovy pro seniory  </w:t>
            </w:r>
          </w:p>
        </w:tc>
        <w:tc>
          <w:tcPr>
            <w:tcW w:w="1418" w:type="dxa"/>
            <w:tcBorders>
              <w:top w:val="nil"/>
              <w:left w:val="nil"/>
              <w:bottom w:val="nil"/>
              <w:right w:val="single" w:sz="4" w:space="0" w:color="auto"/>
            </w:tcBorders>
            <w:shd w:val="clear" w:color="auto" w:fill="auto"/>
            <w:vAlign w:val="bottom"/>
            <w:hideMark/>
          </w:tcPr>
          <w:p w14:paraId="3D4B2A9C"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0</w:t>
            </w:r>
          </w:p>
        </w:tc>
        <w:tc>
          <w:tcPr>
            <w:tcW w:w="1701" w:type="dxa"/>
            <w:tcBorders>
              <w:top w:val="nil"/>
              <w:left w:val="nil"/>
              <w:bottom w:val="nil"/>
              <w:right w:val="single" w:sz="4" w:space="0" w:color="auto"/>
            </w:tcBorders>
            <w:shd w:val="clear" w:color="auto" w:fill="auto"/>
            <w:vAlign w:val="bottom"/>
            <w:hideMark/>
          </w:tcPr>
          <w:p w14:paraId="07AE73E6"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3 582 045,89</w:t>
            </w:r>
          </w:p>
        </w:tc>
        <w:tc>
          <w:tcPr>
            <w:tcW w:w="1789" w:type="dxa"/>
            <w:tcBorders>
              <w:top w:val="nil"/>
              <w:left w:val="nil"/>
              <w:bottom w:val="nil"/>
              <w:right w:val="single" w:sz="4" w:space="0" w:color="auto"/>
            </w:tcBorders>
            <w:shd w:val="clear" w:color="auto" w:fill="auto"/>
            <w:vAlign w:val="bottom"/>
            <w:hideMark/>
          </w:tcPr>
          <w:p w14:paraId="4AA0EE22"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3 483 745,91</w:t>
            </w:r>
          </w:p>
        </w:tc>
        <w:tc>
          <w:tcPr>
            <w:tcW w:w="659" w:type="dxa"/>
            <w:tcBorders>
              <w:top w:val="nil"/>
              <w:left w:val="nil"/>
              <w:bottom w:val="nil"/>
              <w:right w:val="single" w:sz="8" w:space="0" w:color="auto"/>
            </w:tcBorders>
            <w:shd w:val="clear" w:color="auto" w:fill="auto"/>
            <w:noWrap/>
            <w:vAlign w:val="bottom"/>
            <w:hideMark/>
          </w:tcPr>
          <w:p w14:paraId="1ADC754E"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97,3</w:t>
            </w:r>
          </w:p>
        </w:tc>
      </w:tr>
      <w:tr w:rsidR="00687021" w:rsidRPr="00687021" w14:paraId="0EFAC429" w14:textId="77777777" w:rsidTr="00956DE6">
        <w:trPr>
          <w:trHeight w:val="300"/>
        </w:trPr>
        <w:tc>
          <w:tcPr>
            <w:tcW w:w="684" w:type="dxa"/>
            <w:tcBorders>
              <w:top w:val="single" w:sz="4" w:space="0" w:color="auto"/>
              <w:left w:val="single" w:sz="8" w:space="0" w:color="auto"/>
              <w:bottom w:val="nil"/>
              <w:right w:val="single" w:sz="4" w:space="0" w:color="auto"/>
            </w:tcBorders>
            <w:shd w:val="clear" w:color="auto" w:fill="auto"/>
            <w:noWrap/>
            <w:vAlign w:val="bottom"/>
            <w:hideMark/>
          </w:tcPr>
          <w:p w14:paraId="397FEB37" w14:textId="77777777" w:rsidR="00687021" w:rsidRPr="00687021" w:rsidRDefault="00687021" w:rsidP="00687021">
            <w:pPr>
              <w:spacing w:after="0" w:line="240" w:lineRule="auto"/>
              <w:jc w:val="center"/>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4354</w:t>
            </w:r>
          </w:p>
        </w:tc>
        <w:tc>
          <w:tcPr>
            <w:tcW w:w="4536" w:type="dxa"/>
            <w:tcBorders>
              <w:top w:val="single" w:sz="4" w:space="0" w:color="auto"/>
              <w:left w:val="nil"/>
              <w:bottom w:val="nil"/>
              <w:right w:val="single" w:sz="4" w:space="0" w:color="auto"/>
            </w:tcBorders>
            <w:shd w:val="clear" w:color="auto" w:fill="auto"/>
            <w:vAlign w:val="bottom"/>
            <w:hideMark/>
          </w:tcPr>
          <w:p w14:paraId="7B6F600A" w14:textId="77777777" w:rsidR="00687021" w:rsidRPr="00687021" w:rsidRDefault="00687021" w:rsidP="00687021">
            <w:pPr>
              <w:spacing w:after="0" w:line="240" w:lineRule="auto"/>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 xml:space="preserve">Chráněné bydlení  </w:t>
            </w:r>
          </w:p>
        </w:tc>
        <w:tc>
          <w:tcPr>
            <w:tcW w:w="1418" w:type="dxa"/>
            <w:tcBorders>
              <w:top w:val="single" w:sz="4" w:space="0" w:color="auto"/>
              <w:left w:val="nil"/>
              <w:bottom w:val="nil"/>
              <w:right w:val="single" w:sz="4" w:space="0" w:color="auto"/>
            </w:tcBorders>
            <w:shd w:val="clear" w:color="auto" w:fill="auto"/>
            <w:vAlign w:val="bottom"/>
            <w:hideMark/>
          </w:tcPr>
          <w:p w14:paraId="7AC44F46"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0</w:t>
            </w:r>
          </w:p>
        </w:tc>
        <w:tc>
          <w:tcPr>
            <w:tcW w:w="1701" w:type="dxa"/>
            <w:tcBorders>
              <w:top w:val="single" w:sz="4" w:space="0" w:color="auto"/>
              <w:left w:val="nil"/>
              <w:bottom w:val="nil"/>
              <w:right w:val="single" w:sz="4" w:space="0" w:color="auto"/>
            </w:tcBorders>
            <w:shd w:val="clear" w:color="auto" w:fill="auto"/>
            <w:vAlign w:val="bottom"/>
            <w:hideMark/>
          </w:tcPr>
          <w:p w14:paraId="58222325"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343 246,88</w:t>
            </w:r>
          </w:p>
        </w:tc>
        <w:tc>
          <w:tcPr>
            <w:tcW w:w="1789" w:type="dxa"/>
            <w:tcBorders>
              <w:top w:val="single" w:sz="4" w:space="0" w:color="auto"/>
              <w:left w:val="nil"/>
              <w:bottom w:val="nil"/>
              <w:right w:val="single" w:sz="4" w:space="0" w:color="auto"/>
            </w:tcBorders>
            <w:shd w:val="clear" w:color="auto" w:fill="auto"/>
            <w:vAlign w:val="bottom"/>
            <w:hideMark/>
          </w:tcPr>
          <w:p w14:paraId="30AB1FE1"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343 246,88</w:t>
            </w:r>
          </w:p>
        </w:tc>
        <w:tc>
          <w:tcPr>
            <w:tcW w:w="659" w:type="dxa"/>
            <w:tcBorders>
              <w:top w:val="single" w:sz="4" w:space="0" w:color="auto"/>
              <w:left w:val="nil"/>
              <w:bottom w:val="nil"/>
              <w:right w:val="single" w:sz="8" w:space="0" w:color="auto"/>
            </w:tcBorders>
            <w:shd w:val="clear" w:color="auto" w:fill="auto"/>
            <w:noWrap/>
            <w:vAlign w:val="bottom"/>
            <w:hideMark/>
          </w:tcPr>
          <w:p w14:paraId="2FF2C19F"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100,0</w:t>
            </w:r>
          </w:p>
        </w:tc>
      </w:tr>
      <w:tr w:rsidR="00687021" w:rsidRPr="00687021" w14:paraId="38C43AA7" w14:textId="77777777" w:rsidTr="00956DE6">
        <w:trPr>
          <w:trHeight w:val="510"/>
        </w:trPr>
        <w:tc>
          <w:tcPr>
            <w:tcW w:w="684"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454412BD" w14:textId="77777777" w:rsidR="00687021" w:rsidRPr="00687021" w:rsidRDefault="00687021" w:rsidP="00687021">
            <w:pPr>
              <w:spacing w:after="0" w:line="240" w:lineRule="auto"/>
              <w:jc w:val="center"/>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4357</w:t>
            </w:r>
          </w:p>
        </w:tc>
        <w:tc>
          <w:tcPr>
            <w:tcW w:w="4536" w:type="dxa"/>
            <w:tcBorders>
              <w:top w:val="single" w:sz="4" w:space="0" w:color="auto"/>
              <w:left w:val="nil"/>
              <w:bottom w:val="single" w:sz="4" w:space="0" w:color="auto"/>
              <w:right w:val="nil"/>
            </w:tcBorders>
            <w:shd w:val="clear" w:color="auto" w:fill="auto"/>
            <w:vAlign w:val="bottom"/>
            <w:hideMark/>
          </w:tcPr>
          <w:p w14:paraId="5F8FBF30" w14:textId="77777777" w:rsidR="00687021" w:rsidRPr="00687021" w:rsidRDefault="00687021" w:rsidP="00687021">
            <w:pPr>
              <w:spacing w:after="0" w:line="240" w:lineRule="auto"/>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Domovy pro osoby se zdravotním postižením a domovy se zvláštním režimem</w:t>
            </w:r>
          </w:p>
        </w:tc>
        <w:tc>
          <w:tcPr>
            <w:tcW w:w="1418" w:type="dxa"/>
            <w:tcBorders>
              <w:top w:val="single" w:sz="4" w:space="0" w:color="auto"/>
              <w:left w:val="single" w:sz="4" w:space="0" w:color="auto"/>
              <w:bottom w:val="nil"/>
              <w:right w:val="single" w:sz="4" w:space="0" w:color="auto"/>
            </w:tcBorders>
            <w:shd w:val="clear" w:color="auto" w:fill="auto"/>
            <w:vAlign w:val="bottom"/>
            <w:hideMark/>
          </w:tcPr>
          <w:p w14:paraId="28A68F2C"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0</w:t>
            </w:r>
          </w:p>
        </w:tc>
        <w:tc>
          <w:tcPr>
            <w:tcW w:w="1701" w:type="dxa"/>
            <w:tcBorders>
              <w:top w:val="single" w:sz="4" w:space="0" w:color="auto"/>
              <w:left w:val="nil"/>
              <w:bottom w:val="nil"/>
              <w:right w:val="single" w:sz="4" w:space="0" w:color="auto"/>
            </w:tcBorders>
            <w:shd w:val="clear" w:color="auto" w:fill="auto"/>
            <w:vAlign w:val="bottom"/>
            <w:hideMark/>
          </w:tcPr>
          <w:p w14:paraId="18CF52B2"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575 831,70</w:t>
            </w:r>
          </w:p>
        </w:tc>
        <w:tc>
          <w:tcPr>
            <w:tcW w:w="1789" w:type="dxa"/>
            <w:tcBorders>
              <w:top w:val="single" w:sz="4" w:space="0" w:color="auto"/>
              <w:left w:val="nil"/>
              <w:bottom w:val="nil"/>
              <w:right w:val="single" w:sz="4" w:space="0" w:color="auto"/>
            </w:tcBorders>
            <w:shd w:val="clear" w:color="auto" w:fill="auto"/>
            <w:vAlign w:val="bottom"/>
            <w:hideMark/>
          </w:tcPr>
          <w:p w14:paraId="64A4239E"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575 831,70</w:t>
            </w:r>
          </w:p>
        </w:tc>
        <w:tc>
          <w:tcPr>
            <w:tcW w:w="659" w:type="dxa"/>
            <w:tcBorders>
              <w:top w:val="single" w:sz="4" w:space="0" w:color="auto"/>
              <w:left w:val="nil"/>
              <w:bottom w:val="nil"/>
              <w:right w:val="single" w:sz="8" w:space="0" w:color="auto"/>
            </w:tcBorders>
            <w:shd w:val="clear" w:color="auto" w:fill="auto"/>
            <w:noWrap/>
            <w:vAlign w:val="bottom"/>
            <w:hideMark/>
          </w:tcPr>
          <w:p w14:paraId="07F76401"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100,0</w:t>
            </w:r>
          </w:p>
        </w:tc>
      </w:tr>
      <w:tr w:rsidR="00687021" w:rsidRPr="00687021" w14:paraId="0A25CAE6" w14:textId="77777777" w:rsidTr="00956DE6">
        <w:trPr>
          <w:trHeight w:val="319"/>
        </w:trPr>
        <w:tc>
          <w:tcPr>
            <w:tcW w:w="684" w:type="dxa"/>
            <w:tcBorders>
              <w:top w:val="nil"/>
              <w:left w:val="single" w:sz="8" w:space="0" w:color="auto"/>
              <w:bottom w:val="nil"/>
              <w:right w:val="single" w:sz="4" w:space="0" w:color="auto"/>
            </w:tcBorders>
            <w:shd w:val="clear" w:color="auto" w:fill="auto"/>
            <w:noWrap/>
            <w:vAlign w:val="bottom"/>
            <w:hideMark/>
          </w:tcPr>
          <w:p w14:paraId="5B0AECA9" w14:textId="77777777" w:rsidR="00687021" w:rsidRPr="00687021" w:rsidRDefault="00687021" w:rsidP="00687021">
            <w:pPr>
              <w:spacing w:after="0" w:line="240" w:lineRule="auto"/>
              <w:jc w:val="center"/>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4399</w:t>
            </w:r>
          </w:p>
        </w:tc>
        <w:tc>
          <w:tcPr>
            <w:tcW w:w="4536" w:type="dxa"/>
            <w:tcBorders>
              <w:top w:val="nil"/>
              <w:left w:val="nil"/>
              <w:bottom w:val="single" w:sz="4" w:space="0" w:color="auto"/>
              <w:right w:val="single" w:sz="4" w:space="0" w:color="auto"/>
            </w:tcBorders>
            <w:shd w:val="clear" w:color="auto" w:fill="auto"/>
            <w:noWrap/>
            <w:vAlign w:val="bottom"/>
            <w:hideMark/>
          </w:tcPr>
          <w:p w14:paraId="4D2600FC" w14:textId="77777777" w:rsidR="00687021" w:rsidRPr="00687021" w:rsidRDefault="00687021" w:rsidP="00687021">
            <w:pPr>
              <w:spacing w:after="0" w:line="240" w:lineRule="auto"/>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Ostatní záležitosti sociálních věcí a politiky zaměstnanosti</w:t>
            </w:r>
          </w:p>
        </w:tc>
        <w:tc>
          <w:tcPr>
            <w:tcW w:w="1418" w:type="dxa"/>
            <w:tcBorders>
              <w:top w:val="single" w:sz="4" w:space="0" w:color="auto"/>
              <w:left w:val="nil"/>
              <w:bottom w:val="nil"/>
              <w:right w:val="single" w:sz="4" w:space="0" w:color="auto"/>
            </w:tcBorders>
            <w:shd w:val="clear" w:color="auto" w:fill="auto"/>
            <w:vAlign w:val="bottom"/>
            <w:hideMark/>
          </w:tcPr>
          <w:p w14:paraId="4600AB79"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15 000 000</w:t>
            </w:r>
          </w:p>
        </w:tc>
        <w:tc>
          <w:tcPr>
            <w:tcW w:w="1701" w:type="dxa"/>
            <w:tcBorders>
              <w:top w:val="single" w:sz="4" w:space="0" w:color="auto"/>
              <w:left w:val="nil"/>
              <w:bottom w:val="nil"/>
              <w:right w:val="single" w:sz="4" w:space="0" w:color="auto"/>
            </w:tcBorders>
            <w:shd w:val="clear" w:color="auto" w:fill="auto"/>
            <w:vAlign w:val="bottom"/>
            <w:hideMark/>
          </w:tcPr>
          <w:p w14:paraId="22BF1853"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14 308 655,08</w:t>
            </w:r>
          </w:p>
        </w:tc>
        <w:tc>
          <w:tcPr>
            <w:tcW w:w="1789" w:type="dxa"/>
            <w:tcBorders>
              <w:top w:val="single" w:sz="4" w:space="0" w:color="auto"/>
              <w:left w:val="nil"/>
              <w:bottom w:val="nil"/>
              <w:right w:val="single" w:sz="4" w:space="0" w:color="auto"/>
            </w:tcBorders>
            <w:shd w:val="clear" w:color="auto" w:fill="auto"/>
            <w:vAlign w:val="bottom"/>
            <w:hideMark/>
          </w:tcPr>
          <w:p w14:paraId="1814FA0D"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0,00</w:t>
            </w:r>
          </w:p>
        </w:tc>
        <w:tc>
          <w:tcPr>
            <w:tcW w:w="659" w:type="dxa"/>
            <w:tcBorders>
              <w:top w:val="single" w:sz="4" w:space="0" w:color="auto"/>
              <w:left w:val="nil"/>
              <w:bottom w:val="single" w:sz="4" w:space="0" w:color="auto"/>
              <w:right w:val="single" w:sz="8" w:space="0" w:color="auto"/>
            </w:tcBorders>
            <w:shd w:val="clear" w:color="auto" w:fill="auto"/>
            <w:noWrap/>
            <w:vAlign w:val="bottom"/>
            <w:hideMark/>
          </w:tcPr>
          <w:p w14:paraId="77C98CA7"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0,0</w:t>
            </w:r>
          </w:p>
        </w:tc>
      </w:tr>
      <w:tr w:rsidR="00687021" w:rsidRPr="00687021" w14:paraId="2E0B339D" w14:textId="77777777" w:rsidTr="00956DE6">
        <w:trPr>
          <w:trHeight w:val="319"/>
        </w:trPr>
        <w:tc>
          <w:tcPr>
            <w:tcW w:w="684" w:type="dxa"/>
            <w:tcBorders>
              <w:top w:val="single" w:sz="4" w:space="0" w:color="auto"/>
              <w:left w:val="single" w:sz="8" w:space="0" w:color="auto"/>
              <w:bottom w:val="nil"/>
              <w:right w:val="single" w:sz="4" w:space="0" w:color="auto"/>
            </w:tcBorders>
            <w:shd w:val="clear" w:color="auto" w:fill="auto"/>
            <w:noWrap/>
            <w:vAlign w:val="bottom"/>
            <w:hideMark/>
          </w:tcPr>
          <w:p w14:paraId="66E58024"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6402</w:t>
            </w:r>
          </w:p>
        </w:tc>
        <w:tc>
          <w:tcPr>
            <w:tcW w:w="4536" w:type="dxa"/>
            <w:tcBorders>
              <w:top w:val="nil"/>
              <w:left w:val="nil"/>
              <w:bottom w:val="nil"/>
              <w:right w:val="single" w:sz="4" w:space="0" w:color="auto"/>
            </w:tcBorders>
            <w:shd w:val="clear" w:color="auto" w:fill="auto"/>
            <w:vAlign w:val="bottom"/>
            <w:hideMark/>
          </w:tcPr>
          <w:p w14:paraId="0D71D3D3" w14:textId="77777777" w:rsidR="00687021" w:rsidRPr="00687021" w:rsidRDefault="00687021" w:rsidP="00687021">
            <w:pPr>
              <w:spacing w:after="0" w:line="240" w:lineRule="auto"/>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Vratky sociálních dávek</w:t>
            </w:r>
          </w:p>
        </w:tc>
        <w:tc>
          <w:tcPr>
            <w:tcW w:w="1418" w:type="dxa"/>
            <w:tcBorders>
              <w:top w:val="single" w:sz="4" w:space="0" w:color="auto"/>
              <w:left w:val="nil"/>
              <w:bottom w:val="nil"/>
              <w:right w:val="single" w:sz="4" w:space="0" w:color="auto"/>
            </w:tcBorders>
            <w:shd w:val="clear" w:color="auto" w:fill="auto"/>
            <w:vAlign w:val="bottom"/>
            <w:hideMark/>
          </w:tcPr>
          <w:p w14:paraId="62D80AF6"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0</w:t>
            </w:r>
          </w:p>
        </w:tc>
        <w:tc>
          <w:tcPr>
            <w:tcW w:w="1701" w:type="dxa"/>
            <w:tcBorders>
              <w:top w:val="single" w:sz="4" w:space="0" w:color="auto"/>
              <w:left w:val="nil"/>
              <w:bottom w:val="nil"/>
              <w:right w:val="single" w:sz="4" w:space="0" w:color="auto"/>
            </w:tcBorders>
            <w:shd w:val="clear" w:color="auto" w:fill="auto"/>
            <w:vAlign w:val="bottom"/>
            <w:hideMark/>
          </w:tcPr>
          <w:p w14:paraId="152959E2"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4 443,51</w:t>
            </w:r>
          </w:p>
        </w:tc>
        <w:tc>
          <w:tcPr>
            <w:tcW w:w="1789" w:type="dxa"/>
            <w:tcBorders>
              <w:top w:val="single" w:sz="4" w:space="0" w:color="auto"/>
              <w:left w:val="nil"/>
              <w:bottom w:val="nil"/>
              <w:right w:val="single" w:sz="4" w:space="0" w:color="auto"/>
            </w:tcBorders>
            <w:shd w:val="clear" w:color="auto" w:fill="auto"/>
            <w:vAlign w:val="bottom"/>
            <w:hideMark/>
          </w:tcPr>
          <w:p w14:paraId="6E69F6C2"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4 443,51</w:t>
            </w:r>
          </w:p>
        </w:tc>
        <w:tc>
          <w:tcPr>
            <w:tcW w:w="659" w:type="dxa"/>
            <w:tcBorders>
              <w:top w:val="nil"/>
              <w:left w:val="nil"/>
              <w:bottom w:val="nil"/>
              <w:right w:val="single" w:sz="8" w:space="0" w:color="auto"/>
            </w:tcBorders>
            <w:shd w:val="clear" w:color="auto" w:fill="auto"/>
            <w:noWrap/>
            <w:vAlign w:val="bottom"/>
            <w:hideMark/>
          </w:tcPr>
          <w:p w14:paraId="722C7180"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100,0</w:t>
            </w:r>
          </w:p>
        </w:tc>
      </w:tr>
      <w:tr w:rsidR="00687021" w:rsidRPr="00687021" w14:paraId="24021A5F" w14:textId="77777777" w:rsidTr="00956DE6">
        <w:trPr>
          <w:trHeight w:val="300"/>
        </w:trPr>
        <w:tc>
          <w:tcPr>
            <w:tcW w:w="684"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7EC7C81A" w14:textId="77777777" w:rsidR="00687021" w:rsidRPr="00687021" w:rsidRDefault="00687021" w:rsidP="00687021">
            <w:pPr>
              <w:spacing w:after="0" w:line="240" w:lineRule="auto"/>
              <w:rPr>
                <w:rFonts w:ascii="Calibri" w:eastAsia="Times New Roman" w:hAnsi="Calibri" w:cs="Calibri"/>
                <w:b/>
                <w:bCs/>
                <w:sz w:val="24"/>
                <w:szCs w:val="24"/>
                <w:lang w:eastAsia="cs-CZ"/>
              </w:rPr>
            </w:pPr>
            <w:r w:rsidRPr="00687021">
              <w:rPr>
                <w:rFonts w:ascii="Calibri" w:eastAsia="Times New Roman" w:hAnsi="Calibri" w:cs="Calibri"/>
                <w:b/>
                <w:bCs/>
                <w:sz w:val="24"/>
                <w:szCs w:val="24"/>
                <w:lang w:eastAsia="cs-CZ"/>
              </w:rPr>
              <w:t> </w:t>
            </w:r>
          </w:p>
        </w:tc>
        <w:tc>
          <w:tcPr>
            <w:tcW w:w="4536" w:type="dxa"/>
            <w:tcBorders>
              <w:top w:val="single" w:sz="8" w:space="0" w:color="auto"/>
              <w:left w:val="nil"/>
              <w:bottom w:val="single" w:sz="8" w:space="0" w:color="auto"/>
              <w:right w:val="single" w:sz="4" w:space="0" w:color="auto"/>
            </w:tcBorders>
            <w:shd w:val="clear" w:color="auto" w:fill="auto"/>
            <w:noWrap/>
            <w:vAlign w:val="bottom"/>
            <w:hideMark/>
          </w:tcPr>
          <w:p w14:paraId="515484E1" w14:textId="77777777" w:rsidR="00687021" w:rsidRPr="00687021" w:rsidRDefault="00687021" w:rsidP="00687021">
            <w:pPr>
              <w:spacing w:after="0" w:line="240" w:lineRule="auto"/>
              <w:rPr>
                <w:rFonts w:ascii="Calibri" w:eastAsia="Times New Roman" w:hAnsi="Calibri" w:cs="Calibri"/>
                <w:b/>
                <w:bCs/>
                <w:lang w:eastAsia="cs-CZ"/>
              </w:rPr>
            </w:pPr>
            <w:r w:rsidRPr="00687021">
              <w:rPr>
                <w:rFonts w:ascii="Calibri" w:eastAsia="Times New Roman" w:hAnsi="Calibri" w:cs="Calibri"/>
                <w:b/>
                <w:bCs/>
                <w:lang w:eastAsia="cs-CZ"/>
              </w:rPr>
              <w:t>Celkem</w:t>
            </w:r>
          </w:p>
        </w:tc>
        <w:tc>
          <w:tcPr>
            <w:tcW w:w="1418" w:type="dxa"/>
            <w:tcBorders>
              <w:top w:val="single" w:sz="8" w:space="0" w:color="auto"/>
              <w:left w:val="nil"/>
              <w:bottom w:val="single" w:sz="8" w:space="0" w:color="auto"/>
              <w:right w:val="single" w:sz="4" w:space="0" w:color="auto"/>
            </w:tcBorders>
            <w:shd w:val="clear" w:color="auto" w:fill="auto"/>
            <w:noWrap/>
            <w:vAlign w:val="bottom"/>
            <w:hideMark/>
          </w:tcPr>
          <w:p w14:paraId="327A9A42" w14:textId="77777777" w:rsidR="00687021" w:rsidRPr="00687021" w:rsidRDefault="00687021" w:rsidP="00687021">
            <w:pPr>
              <w:spacing w:after="0" w:line="240" w:lineRule="auto"/>
              <w:jc w:val="right"/>
              <w:rPr>
                <w:rFonts w:ascii="Calibri" w:eastAsia="Times New Roman" w:hAnsi="Calibri" w:cs="Calibri"/>
                <w:b/>
                <w:bCs/>
                <w:lang w:eastAsia="cs-CZ"/>
              </w:rPr>
            </w:pPr>
            <w:r w:rsidRPr="00687021">
              <w:rPr>
                <w:rFonts w:ascii="Calibri" w:eastAsia="Times New Roman" w:hAnsi="Calibri" w:cs="Calibri"/>
                <w:b/>
                <w:bCs/>
                <w:lang w:eastAsia="cs-CZ"/>
              </w:rPr>
              <w:t>285 458 000</w:t>
            </w:r>
          </w:p>
        </w:tc>
        <w:tc>
          <w:tcPr>
            <w:tcW w:w="1701" w:type="dxa"/>
            <w:tcBorders>
              <w:top w:val="single" w:sz="8" w:space="0" w:color="auto"/>
              <w:left w:val="nil"/>
              <w:bottom w:val="single" w:sz="8" w:space="0" w:color="auto"/>
              <w:right w:val="single" w:sz="4" w:space="0" w:color="auto"/>
            </w:tcBorders>
            <w:shd w:val="clear" w:color="auto" w:fill="auto"/>
            <w:noWrap/>
            <w:vAlign w:val="bottom"/>
            <w:hideMark/>
          </w:tcPr>
          <w:p w14:paraId="247CACBF" w14:textId="77777777" w:rsidR="00687021" w:rsidRPr="00687021" w:rsidRDefault="00687021" w:rsidP="00687021">
            <w:pPr>
              <w:spacing w:after="0" w:line="240" w:lineRule="auto"/>
              <w:jc w:val="right"/>
              <w:rPr>
                <w:rFonts w:ascii="Calibri" w:eastAsia="Times New Roman" w:hAnsi="Calibri" w:cs="Calibri"/>
                <w:b/>
                <w:bCs/>
                <w:lang w:eastAsia="cs-CZ"/>
              </w:rPr>
            </w:pPr>
            <w:r w:rsidRPr="00687021">
              <w:rPr>
                <w:rFonts w:ascii="Calibri" w:eastAsia="Times New Roman" w:hAnsi="Calibri" w:cs="Calibri"/>
                <w:b/>
                <w:bCs/>
                <w:lang w:eastAsia="cs-CZ"/>
              </w:rPr>
              <w:t>391 113 311,07</w:t>
            </w:r>
          </w:p>
        </w:tc>
        <w:tc>
          <w:tcPr>
            <w:tcW w:w="1789" w:type="dxa"/>
            <w:tcBorders>
              <w:top w:val="single" w:sz="8" w:space="0" w:color="auto"/>
              <w:left w:val="nil"/>
              <w:bottom w:val="single" w:sz="8" w:space="0" w:color="auto"/>
              <w:right w:val="single" w:sz="4" w:space="0" w:color="auto"/>
            </w:tcBorders>
            <w:shd w:val="clear" w:color="auto" w:fill="auto"/>
            <w:noWrap/>
            <w:vAlign w:val="bottom"/>
            <w:hideMark/>
          </w:tcPr>
          <w:p w14:paraId="5DFBDBE6" w14:textId="77777777" w:rsidR="00687021" w:rsidRPr="00687021" w:rsidRDefault="00687021" w:rsidP="00687021">
            <w:pPr>
              <w:spacing w:after="0" w:line="240" w:lineRule="auto"/>
              <w:jc w:val="right"/>
              <w:rPr>
                <w:rFonts w:ascii="Calibri" w:eastAsia="Times New Roman" w:hAnsi="Calibri" w:cs="Calibri"/>
                <w:b/>
                <w:bCs/>
                <w:lang w:eastAsia="cs-CZ"/>
              </w:rPr>
            </w:pPr>
            <w:r w:rsidRPr="00687021">
              <w:rPr>
                <w:rFonts w:ascii="Calibri" w:eastAsia="Times New Roman" w:hAnsi="Calibri" w:cs="Calibri"/>
                <w:b/>
                <w:bCs/>
                <w:lang w:eastAsia="cs-CZ"/>
              </w:rPr>
              <w:t>351 364 764,41</w:t>
            </w:r>
          </w:p>
        </w:tc>
        <w:tc>
          <w:tcPr>
            <w:tcW w:w="659" w:type="dxa"/>
            <w:tcBorders>
              <w:top w:val="single" w:sz="8" w:space="0" w:color="auto"/>
              <w:left w:val="nil"/>
              <w:bottom w:val="single" w:sz="8" w:space="0" w:color="auto"/>
              <w:right w:val="single" w:sz="8" w:space="0" w:color="auto"/>
            </w:tcBorders>
            <w:shd w:val="clear" w:color="auto" w:fill="auto"/>
            <w:noWrap/>
            <w:vAlign w:val="bottom"/>
            <w:hideMark/>
          </w:tcPr>
          <w:p w14:paraId="222FEF75" w14:textId="77777777" w:rsidR="00687021" w:rsidRPr="00687021" w:rsidRDefault="00687021" w:rsidP="00687021">
            <w:pPr>
              <w:spacing w:after="0" w:line="240" w:lineRule="auto"/>
              <w:jc w:val="right"/>
              <w:rPr>
                <w:rFonts w:ascii="Calibri" w:eastAsia="Times New Roman" w:hAnsi="Calibri" w:cs="Calibri"/>
                <w:b/>
                <w:bCs/>
                <w:lang w:eastAsia="cs-CZ"/>
              </w:rPr>
            </w:pPr>
            <w:r w:rsidRPr="00687021">
              <w:rPr>
                <w:rFonts w:ascii="Calibri" w:eastAsia="Times New Roman" w:hAnsi="Calibri" w:cs="Calibri"/>
                <w:b/>
                <w:bCs/>
                <w:lang w:eastAsia="cs-CZ"/>
              </w:rPr>
              <w:t>89,8</w:t>
            </w:r>
          </w:p>
        </w:tc>
      </w:tr>
      <w:tr w:rsidR="00687021" w:rsidRPr="00687021" w14:paraId="392A60AD" w14:textId="77777777" w:rsidTr="00956DE6">
        <w:trPr>
          <w:trHeight w:val="360"/>
        </w:trPr>
        <w:tc>
          <w:tcPr>
            <w:tcW w:w="684" w:type="dxa"/>
            <w:tcBorders>
              <w:top w:val="nil"/>
              <w:left w:val="nil"/>
              <w:bottom w:val="nil"/>
              <w:right w:val="nil"/>
            </w:tcBorders>
            <w:shd w:val="clear" w:color="auto" w:fill="auto"/>
            <w:noWrap/>
            <w:vAlign w:val="bottom"/>
            <w:hideMark/>
          </w:tcPr>
          <w:p w14:paraId="7FBA7132" w14:textId="77777777" w:rsidR="00687021" w:rsidRPr="00687021" w:rsidRDefault="00687021" w:rsidP="00687021">
            <w:pPr>
              <w:spacing w:after="0" w:line="240" w:lineRule="auto"/>
              <w:jc w:val="right"/>
              <w:rPr>
                <w:rFonts w:ascii="Calibri" w:eastAsia="Times New Roman" w:hAnsi="Calibri" w:cs="Calibri"/>
                <w:b/>
                <w:bCs/>
                <w:lang w:eastAsia="cs-CZ"/>
              </w:rPr>
            </w:pPr>
          </w:p>
        </w:tc>
        <w:tc>
          <w:tcPr>
            <w:tcW w:w="4536" w:type="dxa"/>
            <w:tcBorders>
              <w:top w:val="nil"/>
              <w:left w:val="nil"/>
              <w:bottom w:val="nil"/>
              <w:right w:val="nil"/>
            </w:tcBorders>
            <w:shd w:val="clear" w:color="auto" w:fill="auto"/>
            <w:noWrap/>
            <w:vAlign w:val="bottom"/>
            <w:hideMark/>
          </w:tcPr>
          <w:p w14:paraId="2E957E55"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c>
          <w:tcPr>
            <w:tcW w:w="1418" w:type="dxa"/>
            <w:tcBorders>
              <w:top w:val="nil"/>
              <w:left w:val="nil"/>
              <w:bottom w:val="nil"/>
              <w:right w:val="nil"/>
            </w:tcBorders>
            <w:shd w:val="clear" w:color="auto" w:fill="auto"/>
            <w:noWrap/>
            <w:vAlign w:val="bottom"/>
            <w:hideMark/>
          </w:tcPr>
          <w:p w14:paraId="381C3D66"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2E6C4693"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c>
          <w:tcPr>
            <w:tcW w:w="1789" w:type="dxa"/>
            <w:tcBorders>
              <w:top w:val="nil"/>
              <w:left w:val="nil"/>
              <w:bottom w:val="nil"/>
              <w:right w:val="nil"/>
            </w:tcBorders>
            <w:shd w:val="clear" w:color="auto" w:fill="auto"/>
            <w:noWrap/>
            <w:vAlign w:val="bottom"/>
            <w:hideMark/>
          </w:tcPr>
          <w:p w14:paraId="0ADC4B0D"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c>
          <w:tcPr>
            <w:tcW w:w="659" w:type="dxa"/>
            <w:tcBorders>
              <w:top w:val="nil"/>
              <w:left w:val="nil"/>
              <w:bottom w:val="nil"/>
              <w:right w:val="nil"/>
            </w:tcBorders>
            <w:shd w:val="clear" w:color="auto" w:fill="auto"/>
            <w:noWrap/>
            <w:vAlign w:val="bottom"/>
            <w:hideMark/>
          </w:tcPr>
          <w:p w14:paraId="4037D670"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r>
      <w:tr w:rsidR="00687021" w:rsidRPr="00687021" w14:paraId="05198539" w14:textId="77777777" w:rsidTr="00956DE6">
        <w:trPr>
          <w:trHeight w:val="319"/>
        </w:trPr>
        <w:tc>
          <w:tcPr>
            <w:tcW w:w="684" w:type="dxa"/>
            <w:tcBorders>
              <w:top w:val="nil"/>
              <w:left w:val="nil"/>
              <w:bottom w:val="nil"/>
              <w:right w:val="nil"/>
            </w:tcBorders>
            <w:shd w:val="clear" w:color="auto" w:fill="auto"/>
            <w:noWrap/>
            <w:vAlign w:val="bottom"/>
            <w:hideMark/>
          </w:tcPr>
          <w:p w14:paraId="29CBAC75"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c>
          <w:tcPr>
            <w:tcW w:w="4536" w:type="dxa"/>
            <w:tcBorders>
              <w:top w:val="nil"/>
              <w:left w:val="nil"/>
              <w:bottom w:val="nil"/>
              <w:right w:val="nil"/>
            </w:tcBorders>
            <w:shd w:val="clear" w:color="auto" w:fill="auto"/>
            <w:noWrap/>
            <w:vAlign w:val="bottom"/>
            <w:hideMark/>
          </w:tcPr>
          <w:p w14:paraId="05A3D5A8" w14:textId="77777777" w:rsidR="00687021" w:rsidRPr="00687021" w:rsidRDefault="00687021" w:rsidP="00687021">
            <w:pPr>
              <w:spacing w:after="0" w:line="240" w:lineRule="auto"/>
              <w:rPr>
                <w:rFonts w:ascii="Calibri" w:eastAsia="Times New Roman" w:hAnsi="Calibri" w:cs="Calibri"/>
                <w:b/>
                <w:bCs/>
                <w:lang w:eastAsia="cs-CZ"/>
              </w:rPr>
            </w:pPr>
            <w:r w:rsidRPr="00687021">
              <w:rPr>
                <w:rFonts w:ascii="Calibri" w:eastAsia="Times New Roman" w:hAnsi="Calibri" w:cs="Calibri"/>
                <w:b/>
                <w:bCs/>
                <w:lang w:eastAsia="cs-CZ"/>
              </w:rPr>
              <w:t>Fondy</w:t>
            </w:r>
          </w:p>
        </w:tc>
        <w:tc>
          <w:tcPr>
            <w:tcW w:w="1418" w:type="dxa"/>
            <w:tcBorders>
              <w:top w:val="nil"/>
              <w:left w:val="nil"/>
              <w:bottom w:val="nil"/>
              <w:right w:val="nil"/>
            </w:tcBorders>
            <w:shd w:val="clear" w:color="auto" w:fill="auto"/>
            <w:noWrap/>
            <w:vAlign w:val="bottom"/>
            <w:hideMark/>
          </w:tcPr>
          <w:p w14:paraId="794836A4" w14:textId="77777777" w:rsidR="00687021" w:rsidRPr="00687021" w:rsidRDefault="00687021" w:rsidP="00687021">
            <w:pPr>
              <w:spacing w:after="0" w:line="240" w:lineRule="auto"/>
              <w:rPr>
                <w:rFonts w:ascii="Calibri" w:eastAsia="Times New Roman" w:hAnsi="Calibri" w:cs="Calibri"/>
                <w:b/>
                <w:bCs/>
                <w:lang w:eastAsia="cs-CZ"/>
              </w:rPr>
            </w:pPr>
          </w:p>
        </w:tc>
        <w:tc>
          <w:tcPr>
            <w:tcW w:w="1701" w:type="dxa"/>
            <w:tcBorders>
              <w:top w:val="nil"/>
              <w:left w:val="nil"/>
              <w:bottom w:val="nil"/>
              <w:right w:val="nil"/>
            </w:tcBorders>
            <w:shd w:val="clear" w:color="auto" w:fill="auto"/>
            <w:noWrap/>
            <w:vAlign w:val="bottom"/>
            <w:hideMark/>
          </w:tcPr>
          <w:p w14:paraId="62651CA6" w14:textId="77777777" w:rsidR="00687021" w:rsidRPr="00687021" w:rsidRDefault="00687021" w:rsidP="00687021">
            <w:pPr>
              <w:spacing w:after="0" w:line="240" w:lineRule="auto"/>
              <w:jc w:val="right"/>
              <w:rPr>
                <w:rFonts w:ascii="Times New Roman" w:eastAsia="Times New Roman" w:hAnsi="Times New Roman" w:cs="Times New Roman"/>
                <w:sz w:val="20"/>
                <w:szCs w:val="20"/>
                <w:lang w:eastAsia="cs-CZ"/>
              </w:rPr>
            </w:pPr>
          </w:p>
        </w:tc>
        <w:tc>
          <w:tcPr>
            <w:tcW w:w="1789" w:type="dxa"/>
            <w:tcBorders>
              <w:top w:val="nil"/>
              <w:left w:val="nil"/>
              <w:bottom w:val="nil"/>
              <w:right w:val="nil"/>
            </w:tcBorders>
            <w:shd w:val="clear" w:color="auto" w:fill="auto"/>
            <w:noWrap/>
            <w:vAlign w:val="bottom"/>
            <w:hideMark/>
          </w:tcPr>
          <w:p w14:paraId="5C08FBDF" w14:textId="77777777" w:rsidR="00687021" w:rsidRPr="00687021" w:rsidRDefault="00687021" w:rsidP="00687021">
            <w:pPr>
              <w:spacing w:after="0" w:line="240" w:lineRule="auto"/>
              <w:jc w:val="right"/>
              <w:rPr>
                <w:rFonts w:ascii="Times New Roman" w:eastAsia="Times New Roman" w:hAnsi="Times New Roman" w:cs="Times New Roman"/>
                <w:sz w:val="20"/>
                <w:szCs w:val="20"/>
                <w:lang w:eastAsia="cs-CZ"/>
              </w:rPr>
            </w:pPr>
          </w:p>
        </w:tc>
        <w:tc>
          <w:tcPr>
            <w:tcW w:w="659" w:type="dxa"/>
            <w:tcBorders>
              <w:top w:val="nil"/>
              <w:left w:val="nil"/>
              <w:bottom w:val="nil"/>
              <w:right w:val="nil"/>
            </w:tcBorders>
            <w:shd w:val="clear" w:color="auto" w:fill="auto"/>
            <w:noWrap/>
            <w:vAlign w:val="bottom"/>
            <w:hideMark/>
          </w:tcPr>
          <w:p w14:paraId="5FB3859B" w14:textId="77777777" w:rsidR="00687021" w:rsidRPr="00687021" w:rsidRDefault="00687021" w:rsidP="00687021">
            <w:pPr>
              <w:spacing w:after="0" w:line="240" w:lineRule="auto"/>
              <w:jc w:val="right"/>
              <w:rPr>
                <w:rFonts w:ascii="Times New Roman" w:eastAsia="Times New Roman" w:hAnsi="Times New Roman" w:cs="Times New Roman"/>
                <w:sz w:val="20"/>
                <w:szCs w:val="20"/>
                <w:lang w:eastAsia="cs-CZ"/>
              </w:rPr>
            </w:pPr>
          </w:p>
        </w:tc>
      </w:tr>
      <w:tr w:rsidR="00687021" w:rsidRPr="00687021" w14:paraId="30B7B881" w14:textId="77777777" w:rsidTr="00956DE6">
        <w:trPr>
          <w:trHeight w:val="319"/>
        </w:trPr>
        <w:tc>
          <w:tcPr>
            <w:tcW w:w="684"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F187D20"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 </w:t>
            </w:r>
          </w:p>
        </w:tc>
        <w:tc>
          <w:tcPr>
            <w:tcW w:w="4536" w:type="dxa"/>
            <w:tcBorders>
              <w:top w:val="single" w:sz="8" w:space="0" w:color="auto"/>
              <w:left w:val="nil"/>
              <w:bottom w:val="single" w:sz="4" w:space="0" w:color="auto"/>
              <w:right w:val="single" w:sz="4" w:space="0" w:color="auto"/>
            </w:tcBorders>
            <w:shd w:val="clear" w:color="auto" w:fill="auto"/>
            <w:vAlign w:val="bottom"/>
            <w:hideMark/>
          </w:tcPr>
          <w:p w14:paraId="29850EEA" w14:textId="77777777" w:rsidR="00687021" w:rsidRPr="00687021" w:rsidRDefault="00687021" w:rsidP="00687021">
            <w:pPr>
              <w:spacing w:after="0" w:line="240" w:lineRule="auto"/>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Středočeský humanitární fond</w:t>
            </w:r>
          </w:p>
        </w:tc>
        <w:tc>
          <w:tcPr>
            <w:tcW w:w="1418" w:type="dxa"/>
            <w:tcBorders>
              <w:top w:val="single" w:sz="8" w:space="0" w:color="auto"/>
              <w:left w:val="nil"/>
              <w:bottom w:val="single" w:sz="4" w:space="0" w:color="auto"/>
              <w:right w:val="single" w:sz="4" w:space="0" w:color="auto"/>
            </w:tcBorders>
            <w:shd w:val="clear" w:color="auto" w:fill="auto"/>
            <w:noWrap/>
            <w:vAlign w:val="bottom"/>
            <w:hideMark/>
          </w:tcPr>
          <w:p w14:paraId="7099FC20" w14:textId="77777777" w:rsidR="00687021" w:rsidRPr="00687021" w:rsidRDefault="00687021" w:rsidP="00687021">
            <w:pPr>
              <w:spacing w:after="0" w:line="240" w:lineRule="auto"/>
              <w:jc w:val="right"/>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0</w:t>
            </w:r>
          </w:p>
        </w:tc>
        <w:tc>
          <w:tcPr>
            <w:tcW w:w="1701" w:type="dxa"/>
            <w:tcBorders>
              <w:top w:val="single" w:sz="8" w:space="0" w:color="auto"/>
              <w:left w:val="nil"/>
              <w:bottom w:val="single" w:sz="4" w:space="0" w:color="auto"/>
              <w:right w:val="single" w:sz="4" w:space="0" w:color="auto"/>
            </w:tcBorders>
            <w:shd w:val="clear" w:color="auto" w:fill="auto"/>
            <w:noWrap/>
            <w:vAlign w:val="bottom"/>
            <w:hideMark/>
          </w:tcPr>
          <w:p w14:paraId="5E6A3EA6" w14:textId="77777777" w:rsidR="00687021" w:rsidRPr="00687021" w:rsidRDefault="00687021" w:rsidP="00687021">
            <w:pPr>
              <w:spacing w:after="0" w:line="240" w:lineRule="auto"/>
              <w:jc w:val="right"/>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35 000 000,00</w:t>
            </w:r>
          </w:p>
        </w:tc>
        <w:tc>
          <w:tcPr>
            <w:tcW w:w="1789" w:type="dxa"/>
            <w:tcBorders>
              <w:top w:val="single" w:sz="8" w:space="0" w:color="auto"/>
              <w:left w:val="nil"/>
              <w:bottom w:val="single" w:sz="4" w:space="0" w:color="auto"/>
              <w:right w:val="single" w:sz="4" w:space="0" w:color="auto"/>
            </w:tcBorders>
            <w:shd w:val="clear" w:color="auto" w:fill="auto"/>
            <w:noWrap/>
            <w:vAlign w:val="bottom"/>
            <w:hideMark/>
          </w:tcPr>
          <w:p w14:paraId="2CF25D38" w14:textId="77777777" w:rsidR="00687021" w:rsidRPr="00687021" w:rsidRDefault="00687021" w:rsidP="00687021">
            <w:pPr>
              <w:spacing w:after="0" w:line="240" w:lineRule="auto"/>
              <w:jc w:val="right"/>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34 969 910,00</w:t>
            </w:r>
          </w:p>
        </w:tc>
        <w:tc>
          <w:tcPr>
            <w:tcW w:w="659" w:type="dxa"/>
            <w:tcBorders>
              <w:top w:val="single" w:sz="8" w:space="0" w:color="auto"/>
              <w:left w:val="nil"/>
              <w:bottom w:val="single" w:sz="4" w:space="0" w:color="auto"/>
              <w:right w:val="single" w:sz="8" w:space="0" w:color="auto"/>
            </w:tcBorders>
            <w:shd w:val="clear" w:color="auto" w:fill="auto"/>
            <w:noWrap/>
            <w:vAlign w:val="bottom"/>
            <w:hideMark/>
          </w:tcPr>
          <w:p w14:paraId="68EEEAEF"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99,9</w:t>
            </w:r>
          </w:p>
        </w:tc>
      </w:tr>
      <w:tr w:rsidR="00687021" w:rsidRPr="00687021" w14:paraId="69F68733" w14:textId="77777777" w:rsidTr="00956DE6">
        <w:trPr>
          <w:trHeight w:val="300"/>
        </w:trPr>
        <w:tc>
          <w:tcPr>
            <w:tcW w:w="684"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132DF300" w14:textId="77777777" w:rsidR="00687021" w:rsidRPr="00687021" w:rsidRDefault="00687021" w:rsidP="00687021">
            <w:pPr>
              <w:spacing w:after="0" w:line="240" w:lineRule="auto"/>
              <w:rPr>
                <w:rFonts w:ascii="Calibri" w:eastAsia="Times New Roman" w:hAnsi="Calibri" w:cs="Calibri"/>
                <w:sz w:val="24"/>
                <w:szCs w:val="24"/>
                <w:lang w:eastAsia="cs-CZ"/>
              </w:rPr>
            </w:pPr>
            <w:r w:rsidRPr="00687021">
              <w:rPr>
                <w:rFonts w:ascii="Calibri" w:eastAsia="Times New Roman" w:hAnsi="Calibri" w:cs="Calibri"/>
                <w:sz w:val="24"/>
                <w:szCs w:val="24"/>
                <w:lang w:eastAsia="cs-CZ"/>
              </w:rPr>
              <w:t> </w:t>
            </w:r>
          </w:p>
        </w:tc>
        <w:tc>
          <w:tcPr>
            <w:tcW w:w="4536" w:type="dxa"/>
            <w:tcBorders>
              <w:top w:val="single" w:sz="8" w:space="0" w:color="auto"/>
              <w:left w:val="nil"/>
              <w:bottom w:val="single" w:sz="8" w:space="0" w:color="auto"/>
              <w:right w:val="single" w:sz="4" w:space="0" w:color="auto"/>
            </w:tcBorders>
            <w:shd w:val="clear" w:color="auto" w:fill="auto"/>
            <w:noWrap/>
            <w:vAlign w:val="bottom"/>
            <w:hideMark/>
          </w:tcPr>
          <w:p w14:paraId="64CFFB13" w14:textId="77777777" w:rsidR="00687021" w:rsidRPr="00687021" w:rsidRDefault="00687021" w:rsidP="00687021">
            <w:pPr>
              <w:spacing w:after="0" w:line="240" w:lineRule="auto"/>
              <w:rPr>
                <w:rFonts w:ascii="Calibri" w:eastAsia="Times New Roman" w:hAnsi="Calibri" w:cs="Calibri"/>
                <w:b/>
                <w:bCs/>
                <w:lang w:eastAsia="cs-CZ"/>
              </w:rPr>
            </w:pPr>
            <w:r w:rsidRPr="00687021">
              <w:rPr>
                <w:rFonts w:ascii="Calibri" w:eastAsia="Times New Roman" w:hAnsi="Calibri" w:cs="Calibri"/>
                <w:b/>
                <w:bCs/>
                <w:lang w:eastAsia="cs-CZ"/>
              </w:rPr>
              <w:t xml:space="preserve">Celkem </w:t>
            </w:r>
          </w:p>
        </w:tc>
        <w:tc>
          <w:tcPr>
            <w:tcW w:w="1418" w:type="dxa"/>
            <w:tcBorders>
              <w:top w:val="single" w:sz="8" w:space="0" w:color="auto"/>
              <w:left w:val="nil"/>
              <w:bottom w:val="single" w:sz="8" w:space="0" w:color="auto"/>
              <w:right w:val="single" w:sz="4" w:space="0" w:color="auto"/>
            </w:tcBorders>
            <w:shd w:val="clear" w:color="auto" w:fill="auto"/>
            <w:noWrap/>
            <w:vAlign w:val="bottom"/>
            <w:hideMark/>
          </w:tcPr>
          <w:p w14:paraId="19DFEAF6" w14:textId="77777777" w:rsidR="00687021" w:rsidRPr="00687021" w:rsidRDefault="00687021" w:rsidP="00687021">
            <w:pPr>
              <w:spacing w:after="0" w:line="240" w:lineRule="auto"/>
              <w:jc w:val="right"/>
              <w:rPr>
                <w:rFonts w:ascii="Calibri" w:eastAsia="Times New Roman" w:hAnsi="Calibri" w:cs="Calibri"/>
                <w:b/>
                <w:bCs/>
                <w:lang w:eastAsia="cs-CZ"/>
              </w:rPr>
            </w:pPr>
            <w:r w:rsidRPr="00687021">
              <w:rPr>
                <w:rFonts w:ascii="Calibri" w:eastAsia="Times New Roman" w:hAnsi="Calibri" w:cs="Calibri"/>
                <w:b/>
                <w:bCs/>
                <w:lang w:eastAsia="cs-CZ"/>
              </w:rPr>
              <w:t>0</w:t>
            </w:r>
          </w:p>
        </w:tc>
        <w:tc>
          <w:tcPr>
            <w:tcW w:w="1701" w:type="dxa"/>
            <w:tcBorders>
              <w:top w:val="single" w:sz="8" w:space="0" w:color="auto"/>
              <w:left w:val="nil"/>
              <w:bottom w:val="single" w:sz="8" w:space="0" w:color="auto"/>
              <w:right w:val="single" w:sz="4" w:space="0" w:color="auto"/>
            </w:tcBorders>
            <w:shd w:val="clear" w:color="auto" w:fill="auto"/>
            <w:noWrap/>
            <w:vAlign w:val="bottom"/>
            <w:hideMark/>
          </w:tcPr>
          <w:p w14:paraId="3E4597CA" w14:textId="77777777" w:rsidR="00687021" w:rsidRPr="00687021" w:rsidRDefault="00687021" w:rsidP="00687021">
            <w:pPr>
              <w:spacing w:after="0" w:line="240" w:lineRule="auto"/>
              <w:jc w:val="right"/>
              <w:rPr>
                <w:rFonts w:ascii="Calibri" w:eastAsia="Times New Roman" w:hAnsi="Calibri" w:cs="Calibri"/>
                <w:b/>
                <w:bCs/>
                <w:lang w:eastAsia="cs-CZ"/>
              </w:rPr>
            </w:pPr>
            <w:r w:rsidRPr="00687021">
              <w:rPr>
                <w:rFonts w:ascii="Calibri" w:eastAsia="Times New Roman" w:hAnsi="Calibri" w:cs="Calibri"/>
                <w:b/>
                <w:bCs/>
                <w:lang w:eastAsia="cs-CZ"/>
              </w:rPr>
              <w:t>35 000 000,00</w:t>
            </w:r>
          </w:p>
        </w:tc>
        <w:tc>
          <w:tcPr>
            <w:tcW w:w="1789" w:type="dxa"/>
            <w:tcBorders>
              <w:top w:val="single" w:sz="8" w:space="0" w:color="auto"/>
              <w:left w:val="nil"/>
              <w:bottom w:val="single" w:sz="8" w:space="0" w:color="auto"/>
              <w:right w:val="single" w:sz="4" w:space="0" w:color="auto"/>
            </w:tcBorders>
            <w:shd w:val="clear" w:color="auto" w:fill="auto"/>
            <w:noWrap/>
            <w:vAlign w:val="bottom"/>
            <w:hideMark/>
          </w:tcPr>
          <w:p w14:paraId="0EDCF19C" w14:textId="77777777" w:rsidR="00687021" w:rsidRPr="00687021" w:rsidRDefault="00687021" w:rsidP="00687021">
            <w:pPr>
              <w:spacing w:after="0" w:line="240" w:lineRule="auto"/>
              <w:jc w:val="right"/>
              <w:rPr>
                <w:rFonts w:ascii="Calibri" w:eastAsia="Times New Roman" w:hAnsi="Calibri" w:cs="Calibri"/>
                <w:b/>
                <w:bCs/>
                <w:lang w:eastAsia="cs-CZ"/>
              </w:rPr>
            </w:pPr>
            <w:r w:rsidRPr="00687021">
              <w:rPr>
                <w:rFonts w:ascii="Calibri" w:eastAsia="Times New Roman" w:hAnsi="Calibri" w:cs="Calibri"/>
                <w:b/>
                <w:bCs/>
                <w:lang w:eastAsia="cs-CZ"/>
              </w:rPr>
              <w:t>34 969 910,00</w:t>
            </w:r>
          </w:p>
        </w:tc>
        <w:tc>
          <w:tcPr>
            <w:tcW w:w="659" w:type="dxa"/>
            <w:tcBorders>
              <w:top w:val="single" w:sz="8" w:space="0" w:color="auto"/>
              <w:left w:val="nil"/>
              <w:bottom w:val="single" w:sz="8" w:space="0" w:color="auto"/>
              <w:right w:val="single" w:sz="8" w:space="0" w:color="auto"/>
            </w:tcBorders>
            <w:shd w:val="clear" w:color="auto" w:fill="auto"/>
            <w:noWrap/>
            <w:vAlign w:val="bottom"/>
            <w:hideMark/>
          </w:tcPr>
          <w:p w14:paraId="4D2D9D40" w14:textId="77777777" w:rsidR="00687021" w:rsidRPr="00687021" w:rsidRDefault="00687021" w:rsidP="00687021">
            <w:pPr>
              <w:spacing w:after="0" w:line="240" w:lineRule="auto"/>
              <w:jc w:val="right"/>
              <w:rPr>
                <w:rFonts w:ascii="Calibri" w:eastAsia="Times New Roman" w:hAnsi="Calibri" w:cs="Calibri"/>
                <w:b/>
                <w:bCs/>
                <w:lang w:eastAsia="cs-CZ"/>
              </w:rPr>
            </w:pPr>
            <w:r w:rsidRPr="00687021">
              <w:rPr>
                <w:rFonts w:ascii="Calibri" w:eastAsia="Times New Roman" w:hAnsi="Calibri" w:cs="Calibri"/>
                <w:b/>
                <w:bCs/>
                <w:lang w:eastAsia="cs-CZ"/>
              </w:rPr>
              <w:t>99,9</w:t>
            </w:r>
          </w:p>
        </w:tc>
      </w:tr>
      <w:tr w:rsidR="00687021" w:rsidRPr="00687021" w14:paraId="169F39EF" w14:textId="77777777" w:rsidTr="00956DE6">
        <w:trPr>
          <w:trHeight w:val="360"/>
        </w:trPr>
        <w:tc>
          <w:tcPr>
            <w:tcW w:w="684" w:type="dxa"/>
            <w:tcBorders>
              <w:top w:val="nil"/>
              <w:left w:val="nil"/>
              <w:bottom w:val="nil"/>
              <w:right w:val="nil"/>
            </w:tcBorders>
            <w:shd w:val="clear" w:color="auto" w:fill="auto"/>
            <w:noWrap/>
            <w:vAlign w:val="bottom"/>
            <w:hideMark/>
          </w:tcPr>
          <w:p w14:paraId="31AD9F65" w14:textId="77777777" w:rsidR="00687021" w:rsidRPr="00687021" w:rsidRDefault="00687021" w:rsidP="00687021">
            <w:pPr>
              <w:spacing w:after="0" w:line="240" w:lineRule="auto"/>
              <w:jc w:val="right"/>
              <w:rPr>
                <w:rFonts w:ascii="Calibri" w:eastAsia="Times New Roman" w:hAnsi="Calibri" w:cs="Calibri"/>
                <w:b/>
                <w:bCs/>
                <w:lang w:eastAsia="cs-CZ"/>
              </w:rPr>
            </w:pPr>
          </w:p>
        </w:tc>
        <w:tc>
          <w:tcPr>
            <w:tcW w:w="4536" w:type="dxa"/>
            <w:tcBorders>
              <w:top w:val="nil"/>
              <w:left w:val="nil"/>
              <w:bottom w:val="nil"/>
              <w:right w:val="nil"/>
            </w:tcBorders>
            <w:shd w:val="clear" w:color="auto" w:fill="auto"/>
            <w:noWrap/>
            <w:vAlign w:val="bottom"/>
            <w:hideMark/>
          </w:tcPr>
          <w:p w14:paraId="6CC8C6CC"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c>
          <w:tcPr>
            <w:tcW w:w="1418" w:type="dxa"/>
            <w:tcBorders>
              <w:top w:val="nil"/>
              <w:left w:val="nil"/>
              <w:bottom w:val="nil"/>
              <w:right w:val="nil"/>
            </w:tcBorders>
            <w:shd w:val="clear" w:color="auto" w:fill="auto"/>
            <w:noWrap/>
            <w:vAlign w:val="bottom"/>
            <w:hideMark/>
          </w:tcPr>
          <w:p w14:paraId="6D7F6988"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4C007620" w14:textId="77777777" w:rsidR="00687021" w:rsidRPr="00687021" w:rsidRDefault="00687021" w:rsidP="00687021">
            <w:pPr>
              <w:spacing w:after="0" w:line="240" w:lineRule="auto"/>
              <w:jc w:val="right"/>
              <w:rPr>
                <w:rFonts w:ascii="Times New Roman" w:eastAsia="Times New Roman" w:hAnsi="Times New Roman" w:cs="Times New Roman"/>
                <w:sz w:val="20"/>
                <w:szCs w:val="20"/>
                <w:lang w:eastAsia="cs-CZ"/>
              </w:rPr>
            </w:pPr>
          </w:p>
        </w:tc>
        <w:tc>
          <w:tcPr>
            <w:tcW w:w="1789" w:type="dxa"/>
            <w:tcBorders>
              <w:top w:val="nil"/>
              <w:left w:val="nil"/>
              <w:bottom w:val="nil"/>
              <w:right w:val="nil"/>
            </w:tcBorders>
            <w:shd w:val="clear" w:color="auto" w:fill="auto"/>
            <w:noWrap/>
            <w:vAlign w:val="bottom"/>
            <w:hideMark/>
          </w:tcPr>
          <w:p w14:paraId="48C07CDF" w14:textId="77777777" w:rsidR="00687021" w:rsidRPr="00687021" w:rsidRDefault="00687021" w:rsidP="00687021">
            <w:pPr>
              <w:spacing w:after="0" w:line="240" w:lineRule="auto"/>
              <w:jc w:val="right"/>
              <w:rPr>
                <w:rFonts w:ascii="Times New Roman" w:eastAsia="Times New Roman" w:hAnsi="Times New Roman" w:cs="Times New Roman"/>
                <w:sz w:val="20"/>
                <w:szCs w:val="20"/>
                <w:lang w:eastAsia="cs-CZ"/>
              </w:rPr>
            </w:pPr>
          </w:p>
        </w:tc>
        <w:tc>
          <w:tcPr>
            <w:tcW w:w="659" w:type="dxa"/>
            <w:tcBorders>
              <w:top w:val="nil"/>
              <w:left w:val="nil"/>
              <w:bottom w:val="nil"/>
              <w:right w:val="nil"/>
            </w:tcBorders>
            <w:shd w:val="clear" w:color="auto" w:fill="auto"/>
            <w:noWrap/>
            <w:vAlign w:val="bottom"/>
            <w:hideMark/>
          </w:tcPr>
          <w:p w14:paraId="1B834949" w14:textId="77777777" w:rsidR="00687021" w:rsidRPr="00687021" w:rsidRDefault="00687021" w:rsidP="00687021">
            <w:pPr>
              <w:spacing w:after="0" w:line="240" w:lineRule="auto"/>
              <w:jc w:val="right"/>
              <w:rPr>
                <w:rFonts w:ascii="Times New Roman" w:eastAsia="Times New Roman" w:hAnsi="Times New Roman" w:cs="Times New Roman"/>
                <w:sz w:val="20"/>
                <w:szCs w:val="20"/>
                <w:lang w:eastAsia="cs-CZ"/>
              </w:rPr>
            </w:pPr>
          </w:p>
        </w:tc>
      </w:tr>
      <w:tr w:rsidR="00687021" w:rsidRPr="00687021" w14:paraId="5EC62C42" w14:textId="77777777" w:rsidTr="00956DE6">
        <w:trPr>
          <w:trHeight w:val="319"/>
        </w:trPr>
        <w:tc>
          <w:tcPr>
            <w:tcW w:w="684" w:type="dxa"/>
            <w:tcBorders>
              <w:top w:val="nil"/>
              <w:left w:val="nil"/>
              <w:bottom w:val="nil"/>
              <w:right w:val="nil"/>
            </w:tcBorders>
            <w:shd w:val="clear" w:color="auto" w:fill="auto"/>
            <w:noWrap/>
            <w:vAlign w:val="bottom"/>
            <w:hideMark/>
          </w:tcPr>
          <w:p w14:paraId="757E3314" w14:textId="77777777" w:rsidR="00687021" w:rsidRPr="00687021" w:rsidRDefault="00687021" w:rsidP="00687021">
            <w:pPr>
              <w:spacing w:after="0" w:line="240" w:lineRule="auto"/>
              <w:jc w:val="right"/>
              <w:rPr>
                <w:rFonts w:ascii="Times New Roman" w:eastAsia="Times New Roman" w:hAnsi="Times New Roman" w:cs="Times New Roman"/>
                <w:sz w:val="20"/>
                <w:szCs w:val="20"/>
                <w:lang w:eastAsia="cs-CZ"/>
              </w:rPr>
            </w:pPr>
          </w:p>
        </w:tc>
        <w:tc>
          <w:tcPr>
            <w:tcW w:w="5954" w:type="dxa"/>
            <w:gridSpan w:val="2"/>
            <w:tcBorders>
              <w:top w:val="nil"/>
              <w:left w:val="nil"/>
              <w:bottom w:val="nil"/>
              <w:right w:val="nil"/>
            </w:tcBorders>
            <w:shd w:val="clear" w:color="auto" w:fill="auto"/>
            <w:noWrap/>
            <w:vAlign w:val="bottom"/>
            <w:hideMark/>
          </w:tcPr>
          <w:p w14:paraId="057A7B62" w14:textId="77777777" w:rsidR="00687021" w:rsidRPr="00687021" w:rsidRDefault="00687021" w:rsidP="00687021">
            <w:pPr>
              <w:spacing w:after="0" w:line="240" w:lineRule="auto"/>
              <w:rPr>
                <w:rFonts w:ascii="Calibri" w:eastAsia="Times New Roman" w:hAnsi="Calibri" w:cs="Calibri"/>
                <w:b/>
                <w:bCs/>
                <w:lang w:eastAsia="cs-CZ"/>
              </w:rPr>
            </w:pPr>
            <w:r w:rsidRPr="00687021">
              <w:rPr>
                <w:rFonts w:ascii="Calibri" w:eastAsia="Times New Roman" w:hAnsi="Calibri" w:cs="Calibri"/>
                <w:b/>
                <w:bCs/>
                <w:lang w:eastAsia="cs-CZ"/>
              </w:rPr>
              <w:t>Výdaje na reprodukci majetku příspěvkových organizací</w:t>
            </w:r>
          </w:p>
        </w:tc>
        <w:tc>
          <w:tcPr>
            <w:tcW w:w="1701" w:type="dxa"/>
            <w:tcBorders>
              <w:top w:val="nil"/>
              <w:left w:val="nil"/>
              <w:bottom w:val="nil"/>
              <w:right w:val="nil"/>
            </w:tcBorders>
            <w:shd w:val="clear" w:color="auto" w:fill="auto"/>
            <w:noWrap/>
            <w:vAlign w:val="bottom"/>
            <w:hideMark/>
          </w:tcPr>
          <w:p w14:paraId="46DC0E7B" w14:textId="77777777" w:rsidR="00687021" w:rsidRPr="00687021" w:rsidRDefault="00687021" w:rsidP="00687021">
            <w:pPr>
              <w:spacing w:after="0" w:line="240" w:lineRule="auto"/>
              <w:rPr>
                <w:rFonts w:ascii="Calibri" w:eastAsia="Times New Roman" w:hAnsi="Calibri" w:cs="Calibri"/>
                <w:b/>
                <w:bCs/>
                <w:lang w:eastAsia="cs-CZ"/>
              </w:rPr>
            </w:pPr>
          </w:p>
        </w:tc>
        <w:tc>
          <w:tcPr>
            <w:tcW w:w="1789" w:type="dxa"/>
            <w:tcBorders>
              <w:top w:val="nil"/>
              <w:left w:val="nil"/>
              <w:bottom w:val="nil"/>
              <w:right w:val="nil"/>
            </w:tcBorders>
            <w:shd w:val="clear" w:color="auto" w:fill="auto"/>
            <w:noWrap/>
            <w:vAlign w:val="bottom"/>
            <w:hideMark/>
          </w:tcPr>
          <w:p w14:paraId="03246126"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c>
          <w:tcPr>
            <w:tcW w:w="659" w:type="dxa"/>
            <w:tcBorders>
              <w:top w:val="nil"/>
              <w:left w:val="nil"/>
              <w:bottom w:val="nil"/>
              <w:right w:val="nil"/>
            </w:tcBorders>
            <w:shd w:val="clear" w:color="auto" w:fill="auto"/>
            <w:noWrap/>
            <w:vAlign w:val="bottom"/>
            <w:hideMark/>
          </w:tcPr>
          <w:p w14:paraId="25AFA7D4"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r>
      <w:tr w:rsidR="00687021" w:rsidRPr="00687021" w14:paraId="20D24789" w14:textId="77777777" w:rsidTr="00956DE6">
        <w:trPr>
          <w:trHeight w:val="319"/>
        </w:trPr>
        <w:tc>
          <w:tcPr>
            <w:tcW w:w="684"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739CD250" w14:textId="77777777" w:rsidR="00687021" w:rsidRPr="00687021" w:rsidRDefault="00687021" w:rsidP="00687021">
            <w:pPr>
              <w:spacing w:after="0" w:line="240" w:lineRule="auto"/>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 </w:t>
            </w:r>
          </w:p>
        </w:tc>
        <w:tc>
          <w:tcPr>
            <w:tcW w:w="4536" w:type="dxa"/>
            <w:tcBorders>
              <w:top w:val="single" w:sz="8" w:space="0" w:color="auto"/>
              <w:left w:val="nil"/>
              <w:bottom w:val="single" w:sz="4" w:space="0" w:color="auto"/>
              <w:right w:val="single" w:sz="4" w:space="0" w:color="auto"/>
            </w:tcBorders>
            <w:shd w:val="clear" w:color="auto" w:fill="auto"/>
            <w:noWrap/>
            <w:vAlign w:val="bottom"/>
            <w:hideMark/>
          </w:tcPr>
          <w:p w14:paraId="623D4E4E" w14:textId="77777777" w:rsidR="00687021" w:rsidRPr="00687021" w:rsidRDefault="00687021" w:rsidP="00687021">
            <w:pPr>
              <w:spacing w:after="0" w:line="240" w:lineRule="auto"/>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Vrácené příjmy z pronájmu (UZ 040)</w:t>
            </w:r>
          </w:p>
        </w:tc>
        <w:tc>
          <w:tcPr>
            <w:tcW w:w="1418" w:type="dxa"/>
            <w:tcBorders>
              <w:top w:val="single" w:sz="8" w:space="0" w:color="auto"/>
              <w:left w:val="nil"/>
              <w:bottom w:val="single" w:sz="4" w:space="0" w:color="auto"/>
              <w:right w:val="single" w:sz="4" w:space="0" w:color="auto"/>
            </w:tcBorders>
            <w:shd w:val="clear" w:color="auto" w:fill="auto"/>
            <w:noWrap/>
            <w:vAlign w:val="bottom"/>
            <w:hideMark/>
          </w:tcPr>
          <w:p w14:paraId="64F2014B"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0</w:t>
            </w:r>
          </w:p>
        </w:tc>
        <w:tc>
          <w:tcPr>
            <w:tcW w:w="1701" w:type="dxa"/>
            <w:tcBorders>
              <w:top w:val="single" w:sz="8" w:space="0" w:color="auto"/>
              <w:left w:val="nil"/>
              <w:bottom w:val="single" w:sz="4" w:space="0" w:color="auto"/>
              <w:right w:val="single" w:sz="4" w:space="0" w:color="auto"/>
            </w:tcBorders>
            <w:shd w:val="clear" w:color="auto" w:fill="auto"/>
            <w:noWrap/>
            <w:vAlign w:val="bottom"/>
            <w:hideMark/>
          </w:tcPr>
          <w:p w14:paraId="332876DC"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1 538 030,13</w:t>
            </w:r>
          </w:p>
        </w:tc>
        <w:tc>
          <w:tcPr>
            <w:tcW w:w="1789" w:type="dxa"/>
            <w:tcBorders>
              <w:top w:val="single" w:sz="8" w:space="0" w:color="auto"/>
              <w:left w:val="nil"/>
              <w:bottom w:val="single" w:sz="4" w:space="0" w:color="auto"/>
              <w:right w:val="single" w:sz="4" w:space="0" w:color="auto"/>
            </w:tcBorders>
            <w:shd w:val="clear" w:color="auto" w:fill="auto"/>
            <w:noWrap/>
            <w:vAlign w:val="bottom"/>
            <w:hideMark/>
          </w:tcPr>
          <w:p w14:paraId="32649CE1"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1 538 030,13</w:t>
            </w:r>
          </w:p>
        </w:tc>
        <w:tc>
          <w:tcPr>
            <w:tcW w:w="659" w:type="dxa"/>
            <w:tcBorders>
              <w:top w:val="single" w:sz="8" w:space="0" w:color="auto"/>
              <w:left w:val="nil"/>
              <w:bottom w:val="single" w:sz="4" w:space="0" w:color="auto"/>
              <w:right w:val="single" w:sz="8" w:space="0" w:color="auto"/>
            </w:tcBorders>
            <w:shd w:val="clear" w:color="auto" w:fill="auto"/>
            <w:noWrap/>
            <w:vAlign w:val="bottom"/>
            <w:hideMark/>
          </w:tcPr>
          <w:p w14:paraId="58E33E1A"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100,0</w:t>
            </w:r>
          </w:p>
        </w:tc>
      </w:tr>
      <w:tr w:rsidR="00687021" w:rsidRPr="00687021" w14:paraId="0FE7A717" w14:textId="77777777" w:rsidTr="00956DE6">
        <w:trPr>
          <w:trHeight w:val="300"/>
        </w:trPr>
        <w:tc>
          <w:tcPr>
            <w:tcW w:w="684"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3E0F0F50" w14:textId="77777777" w:rsidR="00687021" w:rsidRPr="00687021" w:rsidRDefault="00687021" w:rsidP="00687021">
            <w:pPr>
              <w:spacing w:after="0" w:line="240" w:lineRule="auto"/>
              <w:rPr>
                <w:rFonts w:ascii="Calibri" w:eastAsia="Times New Roman" w:hAnsi="Calibri" w:cs="Calibri"/>
                <w:lang w:eastAsia="cs-CZ"/>
              </w:rPr>
            </w:pPr>
            <w:r w:rsidRPr="00687021">
              <w:rPr>
                <w:rFonts w:ascii="Calibri" w:eastAsia="Times New Roman" w:hAnsi="Calibri" w:cs="Calibri"/>
                <w:lang w:eastAsia="cs-CZ"/>
              </w:rPr>
              <w:t> </w:t>
            </w:r>
          </w:p>
        </w:tc>
        <w:tc>
          <w:tcPr>
            <w:tcW w:w="4536" w:type="dxa"/>
            <w:tcBorders>
              <w:top w:val="single" w:sz="8" w:space="0" w:color="auto"/>
              <w:left w:val="nil"/>
              <w:bottom w:val="single" w:sz="8" w:space="0" w:color="auto"/>
              <w:right w:val="single" w:sz="4" w:space="0" w:color="auto"/>
            </w:tcBorders>
            <w:shd w:val="clear" w:color="auto" w:fill="auto"/>
            <w:noWrap/>
            <w:vAlign w:val="bottom"/>
            <w:hideMark/>
          </w:tcPr>
          <w:p w14:paraId="62CB40E9" w14:textId="77777777" w:rsidR="00687021" w:rsidRPr="00687021" w:rsidRDefault="00687021" w:rsidP="00687021">
            <w:pPr>
              <w:spacing w:after="0" w:line="240" w:lineRule="auto"/>
              <w:rPr>
                <w:rFonts w:ascii="Calibri" w:eastAsia="Times New Roman" w:hAnsi="Calibri" w:cs="Calibri"/>
                <w:b/>
                <w:bCs/>
                <w:lang w:eastAsia="cs-CZ"/>
              </w:rPr>
            </w:pPr>
            <w:r w:rsidRPr="00687021">
              <w:rPr>
                <w:rFonts w:ascii="Calibri" w:eastAsia="Times New Roman" w:hAnsi="Calibri" w:cs="Calibri"/>
                <w:b/>
                <w:bCs/>
                <w:lang w:eastAsia="cs-CZ"/>
              </w:rPr>
              <w:t>Celkem</w:t>
            </w:r>
          </w:p>
        </w:tc>
        <w:tc>
          <w:tcPr>
            <w:tcW w:w="1418" w:type="dxa"/>
            <w:tcBorders>
              <w:top w:val="single" w:sz="8" w:space="0" w:color="auto"/>
              <w:left w:val="nil"/>
              <w:bottom w:val="single" w:sz="8" w:space="0" w:color="auto"/>
              <w:right w:val="single" w:sz="4" w:space="0" w:color="auto"/>
            </w:tcBorders>
            <w:shd w:val="clear" w:color="auto" w:fill="auto"/>
            <w:noWrap/>
            <w:vAlign w:val="bottom"/>
            <w:hideMark/>
          </w:tcPr>
          <w:p w14:paraId="2A86041C" w14:textId="77777777" w:rsidR="00687021" w:rsidRPr="00687021" w:rsidRDefault="00687021" w:rsidP="00687021">
            <w:pPr>
              <w:spacing w:after="0" w:line="240" w:lineRule="auto"/>
              <w:jc w:val="right"/>
              <w:rPr>
                <w:rFonts w:ascii="Calibri" w:eastAsia="Times New Roman" w:hAnsi="Calibri" w:cs="Calibri"/>
                <w:b/>
                <w:bCs/>
                <w:lang w:eastAsia="cs-CZ"/>
              </w:rPr>
            </w:pPr>
            <w:r w:rsidRPr="00687021">
              <w:rPr>
                <w:rFonts w:ascii="Calibri" w:eastAsia="Times New Roman" w:hAnsi="Calibri" w:cs="Calibri"/>
                <w:b/>
                <w:bCs/>
                <w:lang w:eastAsia="cs-CZ"/>
              </w:rPr>
              <w:t>0</w:t>
            </w:r>
          </w:p>
        </w:tc>
        <w:tc>
          <w:tcPr>
            <w:tcW w:w="1701" w:type="dxa"/>
            <w:tcBorders>
              <w:top w:val="single" w:sz="8" w:space="0" w:color="auto"/>
              <w:left w:val="nil"/>
              <w:bottom w:val="single" w:sz="8" w:space="0" w:color="auto"/>
              <w:right w:val="single" w:sz="4" w:space="0" w:color="auto"/>
            </w:tcBorders>
            <w:shd w:val="clear" w:color="auto" w:fill="auto"/>
            <w:noWrap/>
            <w:vAlign w:val="bottom"/>
            <w:hideMark/>
          </w:tcPr>
          <w:p w14:paraId="72587B5D" w14:textId="77777777" w:rsidR="00687021" w:rsidRPr="00687021" w:rsidRDefault="00687021" w:rsidP="00687021">
            <w:pPr>
              <w:spacing w:after="0" w:line="240" w:lineRule="auto"/>
              <w:jc w:val="right"/>
              <w:rPr>
                <w:rFonts w:ascii="Calibri" w:eastAsia="Times New Roman" w:hAnsi="Calibri" w:cs="Calibri"/>
                <w:b/>
                <w:bCs/>
                <w:lang w:eastAsia="cs-CZ"/>
              </w:rPr>
            </w:pPr>
            <w:r w:rsidRPr="00687021">
              <w:rPr>
                <w:rFonts w:ascii="Calibri" w:eastAsia="Times New Roman" w:hAnsi="Calibri" w:cs="Calibri"/>
                <w:b/>
                <w:bCs/>
                <w:lang w:eastAsia="cs-CZ"/>
              </w:rPr>
              <w:t>1 538 030,13</w:t>
            </w:r>
          </w:p>
        </w:tc>
        <w:tc>
          <w:tcPr>
            <w:tcW w:w="1789" w:type="dxa"/>
            <w:tcBorders>
              <w:top w:val="single" w:sz="8" w:space="0" w:color="auto"/>
              <w:left w:val="nil"/>
              <w:bottom w:val="single" w:sz="8" w:space="0" w:color="auto"/>
              <w:right w:val="single" w:sz="4" w:space="0" w:color="auto"/>
            </w:tcBorders>
            <w:shd w:val="clear" w:color="auto" w:fill="auto"/>
            <w:noWrap/>
            <w:vAlign w:val="bottom"/>
            <w:hideMark/>
          </w:tcPr>
          <w:p w14:paraId="47818CC8" w14:textId="77777777" w:rsidR="00687021" w:rsidRPr="00687021" w:rsidRDefault="00687021" w:rsidP="00687021">
            <w:pPr>
              <w:spacing w:after="0" w:line="240" w:lineRule="auto"/>
              <w:jc w:val="right"/>
              <w:rPr>
                <w:rFonts w:ascii="Calibri" w:eastAsia="Times New Roman" w:hAnsi="Calibri" w:cs="Calibri"/>
                <w:b/>
                <w:bCs/>
                <w:lang w:eastAsia="cs-CZ"/>
              </w:rPr>
            </w:pPr>
            <w:r w:rsidRPr="00687021">
              <w:rPr>
                <w:rFonts w:ascii="Calibri" w:eastAsia="Times New Roman" w:hAnsi="Calibri" w:cs="Calibri"/>
                <w:b/>
                <w:bCs/>
                <w:lang w:eastAsia="cs-CZ"/>
              </w:rPr>
              <w:t>1 538 030,13</w:t>
            </w:r>
          </w:p>
        </w:tc>
        <w:tc>
          <w:tcPr>
            <w:tcW w:w="659" w:type="dxa"/>
            <w:tcBorders>
              <w:top w:val="single" w:sz="8" w:space="0" w:color="auto"/>
              <w:left w:val="nil"/>
              <w:bottom w:val="single" w:sz="8" w:space="0" w:color="auto"/>
              <w:right w:val="single" w:sz="8" w:space="0" w:color="auto"/>
            </w:tcBorders>
            <w:shd w:val="clear" w:color="auto" w:fill="auto"/>
            <w:noWrap/>
            <w:vAlign w:val="bottom"/>
            <w:hideMark/>
          </w:tcPr>
          <w:p w14:paraId="5002A102" w14:textId="77777777" w:rsidR="00687021" w:rsidRPr="00687021" w:rsidRDefault="00687021" w:rsidP="00687021">
            <w:pPr>
              <w:spacing w:after="0" w:line="240" w:lineRule="auto"/>
              <w:jc w:val="right"/>
              <w:rPr>
                <w:rFonts w:ascii="Calibri" w:eastAsia="Times New Roman" w:hAnsi="Calibri" w:cs="Calibri"/>
                <w:b/>
                <w:bCs/>
                <w:lang w:eastAsia="cs-CZ"/>
              </w:rPr>
            </w:pPr>
            <w:r w:rsidRPr="00687021">
              <w:rPr>
                <w:rFonts w:ascii="Calibri" w:eastAsia="Times New Roman" w:hAnsi="Calibri" w:cs="Calibri"/>
                <w:b/>
                <w:bCs/>
                <w:lang w:eastAsia="cs-CZ"/>
              </w:rPr>
              <w:t>100,0</w:t>
            </w:r>
          </w:p>
        </w:tc>
      </w:tr>
      <w:tr w:rsidR="00687021" w:rsidRPr="00687021" w14:paraId="701766F6" w14:textId="77777777" w:rsidTr="00956DE6">
        <w:trPr>
          <w:trHeight w:val="360"/>
        </w:trPr>
        <w:tc>
          <w:tcPr>
            <w:tcW w:w="684" w:type="dxa"/>
            <w:tcBorders>
              <w:top w:val="nil"/>
              <w:left w:val="nil"/>
              <w:bottom w:val="nil"/>
              <w:right w:val="nil"/>
            </w:tcBorders>
            <w:shd w:val="clear" w:color="auto" w:fill="auto"/>
            <w:noWrap/>
            <w:vAlign w:val="bottom"/>
            <w:hideMark/>
          </w:tcPr>
          <w:p w14:paraId="4501DD45" w14:textId="77777777" w:rsidR="00687021" w:rsidRPr="00687021" w:rsidRDefault="00687021" w:rsidP="00687021">
            <w:pPr>
              <w:spacing w:after="0" w:line="240" w:lineRule="auto"/>
              <w:jc w:val="right"/>
              <w:rPr>
                <w:rFonts w:ascii="Calibri" w:eastAsia="Times New Roman" w:hAnsi="Calibri" w:cs="Calibri"/>
                <w:b/>
                <w:bCs/>
                <w:lang w:eastAsia="cs-CZ"/>
              </w:rPr>
            </w:pPr>
          </w:p>
        </w:tc>
        <w:tc>
          <w:tcPr>
            <w:tcW w:w="4536" w:type="dxa"/>
            <w:tcBorders>
              <w:top w:val="nil"/>
              <w:left w:val="nil"/>
              <w:bottom w:val="nil"/>
              <w:right w:val="nil"/>
            </w:tcBorders>
            <w:shd w:val="clear" w:color="auto" w:fill="auto"/>
            <w:noWrap/>
            <w:vAlign w:val="bottom"/>
            <w:hideMark/>
          </w:tcPr>
          <w:p w14:paraId="73927794"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c>
          <w:tcPr>
            <w:tcW w:w="1418" w:type="dxa"/>
            <w:tcBorders>
              <w:top w:val="nil"/>
              <w:left w:val="nil"/>
              <w:bottom w:val="nil"/>
              <w:right w:val="nil"/>
            </w:tcBorders>
            <w:shd w:val="clear" w:color="auto" w:fill="auto"/>
            <w:noWrap/>
            <w:vAlign w:val="bottom"/>
            <w:hideMark/>
          </w:tcPr>
          <w:p w14:paraId="55026EF6"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5967B97E" w14:textId="77777777" w:rsidR="00687021" w:rsidRPr="00687021" w:rsidRDefault="00687021" w:rsidP="00687021">
            <w:pPr>
              <w:spacing w:after="0" w:line="240" w:lineRule="auto"/>
              <w:jc w:val="right"/>
              <w:rPr>
                <w:rFonts w:ascii="Times New Roman" w:eastAsia="Times New Roman" w:hAnsi="Times New Roman" w:cs="Times New Roman"/>
                <w:sz w:val="20"/>
                <w:szCs w:val="20"/>
                <w:lang w:eastAsia="cs-CZ"/>
              </w:rPr>
            </w:pPr>
          </w:p>
        </w:tc>
        <w:tc>
          <w:tcPr>
            <w:tcW w:w="1789" w:type="dxa"/>
            <w:tcBorders>
              <w:top w:val="nil"/>
              <w:left w:val="nil"/>
              <w:bottom w:val="nil"/>
              <w:right w:val="nil"/>
            </w:tcBorders>
            <w:shd w:val="clear" w:color="auto" w:fill="auto"/>
            <w:noWrap/>
            <w:vAlign w:val="bottom"/>
            <w:hideMark/>
          </w:tcPr>
          <w:p w14:paraId="7B4406B7" w14:textId="77777777" w:rsidR="00687021" w:rsidRPr="00687021" w:rsidRDefault="00687021" w:rsidP="00687021">
            <w:pPr>
              <w:spacing w:after="0" w:line="240" w:lineRule="auto"/>
              <w:jc w:val="right"/>
              <w:rPr>
                <w:rFonts w:ascii="Times New Roman" w:eastAsia="Times New Roman" w:hAnsi="Times New Roman" w:cs="Times New Roman"/>
                <w:sz w:val="20"/>
                <w:szCs w:val="20"/>
                <w:lang w:eastAsia="cs-CZ"/>
              </w:rPr>
            </w:pPr>
          </w:p>
        </w:tc>
        <w:tc>
          <w:tcPr>
            <w:tcW w:w="659" w:type="dxa"/>
            <w:tcBorders>
              <w:top w:val="nil"/>
              <w:left w:val="nil"/>
              <w:bottom w:val="nil"/>
              <w:right w:val="nil"/>
            </w:tcBorders>
            <w:shd w:val="clear" w:color="auto" w:fill="auto"/>
            <w:noWrap/>
            <w:vAlign w:val="bottom"/>
            <w:hideMark/>
          </w:tcPr>
          <w:p w14:paraId="7BC2828D" w14:textId="77777777" w:rsidR="00687021" w:rsidRPr="00687021" w:rsidRDefault="00687021" w:rsidP="00687021">
            <w:pPr>
              <w:spacing w:after="0" w:line="240" w:lineRule="auto"/>
              <w:jc w:val="right"/>
              <w:rPr>
                <w:rFonts w:ascii="Times New Roman" w:eastAsia="Times New Roman" w:hAnsi="Times New Roman" w:cs="Times New Roman"/>
                <w:sz w:val="20"/>
                <w:szCs w:val="20"/>
                <w:lang w:eastAsia="cs-CZ"/>
              </w:rPr>
            </w:pPr>
          </w:p>
        </w:tc>
      </w:tr>
      <w:tr w:rsidR="00687021" w:rsidRPr="00687021" w14:paraId="577A5991" w14:textId="77777777" w:rsidTr="00956DE6">
        <w:trPr>
          <w:trHeight w:val="300"/>
        </w:trPr>
        <w:tc>
          <w:tcPr>
            <w:tcW w:w="684" w:type="dxa"/>
            <w:tcBorders>
              <w:top w:val="nil"/>
              <w:left w:val="nil"/>
              <w:bottom w:val="nil"/>
              <w:right w:val="nil"/>
            </w:tcBorders>
            <w:shd w:val="clear" w:color="auto" w:fill="auto"/>
            <w:noWrap/>
            <w:vAlign w:val="center"/>
            <w:hideMark/>
          </w:tcPr>
          <w:p w14:paraId="4CD5E26E" w14:textId="77777777" w:rsidR="00687021" w:rsidRPr="00687021" w:rsidRDefault="00687021" w:rsidP="00687021">
            <w:pPr>
              <w:spacing w:after="0" w:line="240" w:lineRule="auto"/>
              <w:jc w:val="right"/>
              <w:rPr>
                <w:rFonts w:ascii="Times New Roman" w:eastAsia="Times New Roman" w:hAnsi="Times New Roman" w:cs="Times New Roman"/>
                <w:sz w:val="20"/>
                <w:szCs w:val="20"/>
                <w:lang w:eastAsia="cs-CZ"/>
              </w:rPr>
            </w:pPr>
          </w:p>
        </w:tc>
        <w:tc>
          <w:tcPr>
            <w:tcW w:w="4536" w:type="dxa"/>
            <w:tcBorders>
              <w:top w:val="nil"/>
              <w:left w:val="nil"/>
              <w:bottom w:val="nil"/>
              <w:right w:val="nil"/>
            </w:tcBorders>
            <w:shd w:val="clear" w:color="auto" w:fill="auto"/>
            <w:noWrap/>
            <w:vAlign w:val="center"/>
            <w:hideMark/>
          </w:tcPr>
          <w:p w14:paraId="445C6190" w14:textId="77777777" w:rsidR="00687021" w:rsidRPr="00687021" w:rsidRDefault="00687021" w:rsidP="00687021">
            <w:pPr>
              <w:spacing w:after="0" w:line="240" w:lineRule="auto"/>
              <w:rPr>
                <w:rFonts w:ascii="Calibri" w:eastAsia="Times New Roman" w:hAnsi="Calibri" w:cs="Calibri"/>
                <w:b/>
                <w:bCs/>
                <w:lang w:eastAsia="cs-CZ"/>
              </w:rPr>
            </w:pPr>
            <w:r w:rsidRPr="00687021">
              <w:rPr>
                <w:rFonts w:ascii="Calibri" w:eastAsia="Times New Roman" w:hAnsi="Calibri" w:cs="Calibri"/>
                <w:b/>
                <w:bCs/>
                <w:lang w:eastAsia="cs-CZ"/>
              </w:rPr>
              <w:t>Výdaje na havárie</w:t>
            </w:r>
          </w:p>
        </w:tc>
        <w:tc>
          <w:tcPr>
            <w:tcW w:w="1418" w:type="dxa"/>
            <w:tcBorders>
              <w:top w:val="nil"/>
              <w:left w:val="nil"/>
              <w:bottom w:val="nil"/>
              <w:right w:val="nil"/>
            </w:tcBorders>
            <w:shd w:val="clear" w:color="auto" w:fill="auto"/>
            <w:noWrap/>
            <w:vAlign w:val="center"/>
            <w:hideMark/>
          </w:tcPr>
          <w:p w14:paraId="2717B5B8" w14:textId="77777777" w:rsidR="00687021" w:rsidRPr="00687021" w:rsidRDefault="00687021" w:rsidP="00687021">
            <w:pPr>
              <w:spacing w:after="0" w:line="240" w:lineRule="auto"/>
              <w:rPr>
                <w:rFonts w:ascii="Calibri" w:eastAsia="Times New Roman" w:hAnsi="Calibri" w:cs="Calibri"/>
                <w:b/>
                <w:bCs/>
                <w:lang w:eastAsia="cs-CZ"/>
              </w:rPr>
            </w:pPr>
          </w:p>
        </w:tc>
        <w:tc>
          <w:tcPr>
            <w:tcW w:w="1701" w:type="dxa"/>
            <w:tcBorders>
              <w:top w:val="nil"/>
              <w:left w:val="nil"/>
              <w:bottom w:val="nil"/>
              <w:right w:val="nil"/>
            </w:tcBorders>
            <w:shd w:val="clear" w:color="auto" w:fill="auto"/>
            <w:noWrap/>
            <w:vAlign w:val="center"/>
            <w:hideMark/>
          </w:tcPr>
          <w:p w14:paraId="53A3169B" w14:textId="77777777" w:rsidR="00687021" w:rsidRPr="00687021" w:rsidRDefault="00687021" w:rsidP="00687021">
            <w:pPr>
              <w:spacing w:after="0" w:line="240" w:lineRule="auto"/>
              <w:jc w:val="right"/>
              <w:rPr>
                <w:rFonts w:ascii="Times New Roman" w:eastAsia="Times New Roman" w:hAnsi="Times New Roman" w:cs="Times New Roman"/>
                <w:sz w:val="20"/>
                <w:szCs w:val="20"/>
                <w:lang w:eastAsia="cs-CZ"/>
              </w:rPr>
            </w:pPr>
          </w:p>
        </w:tc>
        <w:tc>
          <w:tcPr>
            <w:tcW w:w="1789" w:type="dxa"/>
            <w:tcBorders>
              <w:top w:val="nil"/>
              <w:left w:val="nil"/>
              <w:bottom w:val="nil"/>
              <w:right w:val="nil"/>
            </w:tcBorders>
            <w:shd w:val="clear" w:color="auto" w:fill="auto"/>
            <w:noWrap/>
            <w:vAlign w:val="center"/>
            <w:hideMark/>
          </w:tcPr>
          <w:p w14:paraId="32A70C14" w14:textId="77777777" w:rsidR="00687021" w:rsidRPr="00687021" w:rsidRDefault="00687021" w:rsidP="00687021">
            <w:pPr>
              <w:spacing w:after="0" w:line="240" w:lineRule="auto"/>
              <w:jc w:val="right"/>
              <w:rPr>
                <w:rFonts w:ascii="Times New Roman" w:eastAsia="Times New Roman" w:hAnsi="Times New Roman" w:cs="Times New Roman"/>
                <w:sz w:val="20"/>
                <w:szCs w:val="20"/>
                <w:lang w:eastAsia="cs-CZ"/>
              </w:rPr>
            </w:pPr>
          </w:p>
        </w:tc>
        <w:tc>
          <w:tcPr>
            <w:tcW w:w="659" w:type="dxa"/>
            <w:tcBorders>
              <w:top w:val="nil"/>
              <w:left w:val="nil"/>
              <w:bottom w:val="nil"/>
              <w:right w:val="nil"/>
            </w:tcBorders>
            <w:shd w:val="clear" w:color="auto" w:fill="auto"/>
            <w:noWrap/>
            <w:vAlign w:val="bottom"/>
            <w:hideMark/>
          </w:tcPr>
          <w:p w14:paraId="4D8737F4" w14:textId="77777777" w:rsidR="00687021" w:rsidRPr="00687021" w:rsidRDefault="00687021" w:rsidP="00687021">
            <w:pPr>
              <w:spacing w:after="0" w:line="240" w:lineRule="auto"/>
              <w:jc w:val="right"/>
              <w:rPr>
                <w:rFonts w:ascii="Times New Roman" w:eastAsia="Times New Roman" w:hAnsi="Times New Roman" w:cs="Times New Roman"/>
                <w:sz w:val="20"/>
                <w:szCs w:val="20"/>
                <w:lang w:eastAsia="cs-CZ"/>
              </w:rPr>
            </w:pPr>
          </w:p>
        </w:tc>
      </w:tr>
      <w:tr w:rsidR="00687021" w:rsidRPr="00687021" w14:paraId="4EB799F1" w14:textId="77777777" w:rsidTr="00956DE6">
        <w:trPr>
          <w:trHeight w:val="270"/>
        </w:trPr>
        <w:tc>
          <w:tcPr>
            <w:tcW w:w="684"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0BCAE5EC"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4350</w:t>
            </w:r>
          </w:p>
        </w:tc>
        <w:tc>
          <w:tcPr>
            <w:tcW w:w="4536" w:type="dxa"/>
            <w:tcBorders>
              <w:top w:val="single" w:sz="8" w:space="0" w:color="auto"/>
              <w:left w:val="nil"/>
              <w:bottom w:val="nil"/>
              <w:right w:val="single" w:sz="4" w:space="0" w:color="auto"/>
            </w:tcBorders>
            <w:shd w:val="clear" w:color="auto" w:fill="auto"/>
            <w:vAlign w:val="bottom"/>
            <w:hideMark/>
          </w:tcPr>
          <w:p w14:paraId="01E344D6" w14:textId="77777777" w:rsidR="00687021" w:rsidRPr="00687021" w:rsidRDefault="00687021" w:rsidP="00687021">
            <w:pPr>
              <w:spacing w:after="0" w:line="240" w:lineRule="auto"/>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 xml:space="preserve">Domovy pro seniory  </w:t>
            </w:r>
          </w:p>
        </w:tc>
        <w:tc>
          <w:tcPr>
            <w:tcW w:w="1418" w:type="dxa"/>
            <w:tcBorders>
              <w:top w:val="single" w:sz="8" w:space="0" w:color="auto"/>
              <w:left w:val="nil"/>
              <w:bottom w:val="nil"/>
              <w:right w:val="single" w:sz="4" w:space="0" w:color="auto"/>
            </w:tcBorders>
            <w:shd w:val="clear" w:color="auto" w:fill="auto"/>
            <w:noWrap/>
            <w:vAlign w:val="center"/>
            <w:hideMark/>
          </w:tcPr>
          <w:p w14:paraId="06D47EC4" w14:textId="77777777" w:rsidR="00687021" w:rsidRPr="00687021" w:rsidRDefault="00687021" w:rsidP="00687021">
            <w:pPr>
              <w:spacing w:after="0" w:line="240" w:lineRule="auto"/>
              <w:jc w:val="right"/>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0</w:t>
            </w:r>
          </w:p>
        </w:tc>
        <w:tc>
          <w:tcPr>
            <w:tcW w:w="1701" w:type="dxa"/>
            <w:tcBorders>
              <w:top w:val="single" w:sz="8" w:space="0" w:color="auto"/>
              <w:left w:val="nil"/>
              <w:bottom w:val="nil"/>
              <w:right w:val="single" w:sz="4" w:space="0" w:color="auto"/>
            </w:tcBorders>
            <w:shd w:val="clear" w:color="auto" w:fill="auto"/>
            <w:noWrap/>
            <w:vAlign w:val="center"/>
            <w:hideMark/>
          </w:tcPr>
          <w:p w14:paraId="210FE173" w14:textId="77777777" w:rsidR="00687021" w:rsidRPr="00687021" w:rsidRDefault="00687021" w:rsidP="00687021">
            <w:pPr>
              <w:spacing w:after="0" w:line="240" w:lineRule="auto"/>
              <w:jc w:val="right"/>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1 058 738,45</w:t>
            </w:r>
          </w:p>
        </w:tc>
        <w:tc>
          <w:tcPr>
            <w:tcW w:w="1789" w:type="dxa"/>
            <w:tcBorders>
              <w:top w:val="single" w:sz="8" w:space="0" w:color="auto"/>
              <w:left w:val="nil"/>
              <w:bottom w:val="nil"/>
              <w:right w:val="single" w:sz="4" w:space="0" w:color="auto"/>
            </w:tcBorders>
            <w:shd w:val="clear" w:color="auto" w:fill="auto"/>
            <w:noWrap/>
            <w:vAlign w:val="center"/>
            <w:hideMark/>
          </w:tcPr>
          <w:p w14:paraId="7948C4BE" w14:textId="77777777" w:rsidR="00687021" w:rsidRPr="00687021" w:rsidRDefault="00687021" w:rsidP="00687021">
            <w:pPr>
              <w:spacing w:after="0" w:line="240" w:lineRule="auto"/>
              <w:jc w:val="right"/>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0,00</w:t>
            </w:r>
          </w:p>
        </w:tc>
        <w:tc>
          <w:tcPr>
            <w:tcW w:w="659" w:type="dxa"/>
            <w:tcBorders>
              <w:top w:val="single" w:sz="8" w:space="0" w:color="auto"/>
              <w:left w:val="nil"/>
              <w:bottom w:val="nil"/>
              <w:right w:val="single" w:sz="8" w:space="0" w:color="auto"/>
            </w:tcBorders>
            <w:shd w:val="clear" w:color="auto" w:fill="auto"/>
            <w:noWrap/>
            <w:vAlign w:val="center"/>
            <w:hideMark/>
          </w:tcPr>
          <w:p w14:paraId="77B0A505" w14:textId="77777777" w:rsidR="00687021" w:rsidRPr="00687021" w:rsidRDefault="00687021" w:rsidP="00687021">
            <w:pPr>
              <w:spacing w:after="0" w:line="240" w:lineRule="auto"/>
              <w:jc w:val="right"/>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0,0</w:t>
            </w:r>
          </w:p>
        </w:tc>
      </w:tr>
      <w:tr w:rsidR="00687021" w:rsidRPr="00687021" w14:paraId="642C540C" w14:textId="77777777" w:rsidTr="00956DE6">
        <w:trPr>
          <w:trHeight w:val="319"/>
        </w:trPr>
        <w:tc>
          <w:tcPr>
            <w:tcW w:w="684"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4998665" w14:textId="77777777" w:rsidR="00687021" w:rsidRPr="00687021" w:rsidRDefault="00687021" w:rsidP="00687021">
            <w:pPr>
              <w:spacing w:after="0" w:line="240" w:lineRule="auto"/>
              <w:jc w:val="center"/>
              <w:rPr>
                <w:rFonts w:ascii="Calibri" w:eastAsia="Times New Roman" w:hAnsi="Calibri" w:cs="Calibri"/>
                <w:lang w:eastAsia="cs-CZ"/>
              </w:rPr>
            </w:pPr>
            <w:r w:rsidRPr="00687021">
              <w:rPr>
                <w:rFonts w:ascii="Calibri" w:eastAsia="Times New Roman" w:hAnsi="Calibri" w:cs="Calibri"/>
                <w:lang w:eastAsia="cs-CZ"/>
              </w:rPr>
              <w:t> </w:t>
            </w:r>
          </w:p>
        </w:tc>
        <w:tc>
          <w:tcPr>
            <w:tcW w:w="4536" w:type="dxa"/>
            <w:tcBorders>
              <w:top w:val="single" w:sz="8" w:space="0" w:color="auto"/>
              <w:left w:val="nil"/>
              <w:bottom w:val="single" w:sz="8" w:space="0" w:color="auto"/>
              <w:right w:val="single" w:sz="4" w:space="0" w:color="auto"/>
            </w:tcBorders>
            <w:shd w:val="clear" w:color="auto" w:fill="auto"/>
            <w:noWrap/>
            <w:vAlign w:val="center"/>
            <w:hideMark/>
          </w:tcPr>
          <w:p w14:paraId="40C5B459" w14:textId="77777777" w:rsidR="00687021" w:rsidRPr="00687021" w:rsidRDefault="00687021" w:rsidP="00687021">
            <w:pPr>
              <w:spacing w:after="0" w:line="240" w:lineRule="auto"/>
              <w:rPr>
                <w:rFonts w:ascii="Calibri" w:eastAsia="Times New Roman" w:hAnsi="Calibri" w:cs="Calibri"/>
                <w:b/>
                <w:bCs/>
                <w:color w:val="000000"/>
                <w:lang w:eastAsia="cs-CZ"/>
              </w:rPr>
            </w:pPr>
            <w:r w:rsidRPr="00687021">
              <w:rPr>
                <w:rFonts w:ascii="Calibri" w:eastAsia="Times New Roman" w:hAnsi="Calibri" w:cs="Calibri"/>
                <w:b/>
                <w:bCs/>
                <w:color w:val="000000"/>
                <w:lang w:eastAsia="cs-CZ"/>
              </w:rPr>
              <w:t>Celkem</w:t>
            </w:r>
          </w:p>
        </w:tc>
        <w:tc>
          <w:tcPr>
            <w:tcW w:w="1418" w:type="dxa"/>
            <w:tcBorders>
              <w:top w:val="single" w:sz="8" w:space="0" w:color="auto"/>
              <w:left w:val="nil"/>
              <w:bottom w:val="single" w:sz="8" w:space="0" w:color="auto"/>
              <w:right w:val="single" w:sz="4" w:space="0" w:color="auto"/>
            </w:tcBorders>
            <w:shd w:val="clear" w:color="auto" w:fill="auto"/>
            <w:noWrap/>
            <w:vAlign w:val="center"/>
            <w:hideMark/>
          </w:tcPr>
          <w:p w14:paraId="7BA48448" w14:textId="77777777" w:rsidR="00687021" w:rsidRPr="00687021" w:rsidRDefault="00687021" w:rsidP="00687021">
            <w:pPr>
              <w:spacing w:after="0" w:line="240" w:lineRule="auto"/>
              <w:jc w:val="right"/>
              <w:rPr>
                <w:rFonts w:ascii="Calibri" w:eastAsia="Times New Roman" w:hAnsi="Calibri" w:cs="Calibri"/>
                <w:b/>
                <w:bCs/>
                <w:color w:val="000000"/>
                <w:lang w:eastAsia="cs-CZ"/>
              </w:rPr>
            </w:pPr>
            <w:r w:rsidRPr="00687021">
              <w:rPr>
                <w:rFonts w:ascii="Calibri" w:eastAsia="Times New Roman" w:hAnsi="Calibri" w:cs="Calibri"/>
                <w:b/>
                <w:bCs/>
                <w:color w:val="000000"/>
                <w:lang w:eastAsia="cs-CZ"/>
              </w:rPr>
              <w:t>0</w:t>
            </w:r>
          </w:p>
        </w:tc>
        <w:tc>
          <w:tcPr>
            <w:tcW w:w="1701" w:type="dxa"/>
            <w:tcBorders>
              <w:top w:val="single" w:sz="8" w:space="0" w:color="auto"/>
              <w:left w:val="nil"/>
              <w:bottom w:val="single" w:sz="8" w:space="0" w:color="auto"/>
              <w:right w:val="single" w:sz="4" w:space="0" w:color="auto"/>
            </w:tcBorders>
            <w:shd w:val="clear" w:color="auto" w:fill="auto"/>
            <w:noWrap/>
            <w:vAlign w:val="center"/>
            <w:hideMark/>
          </w:tcPr>
          <w:p w14:paraId="7173C912" w14:textId="77777777" w:rsidR="00687021" w:rsidRPr="00687021" w:rsidRDefault="00687021" w:rsidP="00687021">
            <w:pPr>
              <w:spacing w:after="0" w:line="240" w:lineRule="auto"/>
              <w:jc w:val="right"/>
              <w:rPr>
                <w:rFonts w:ascii="Calibri" w:eastAsia="Times New Roman" w:hAnsi="Calibri" w:cs="Calibri"/>
                <w:b/>
                <w:bCs/>
                <w:color w:val="000000"/>
                <w:lang w:eastAsia="cs-CZ"/>
              </w:rPr>
            </w:pPr>
            <w:r w:rsidRPr="00687021">
              <w:rPr>
                <w:rFonts w:ascii="Calibri" w:eastAsia="Times New Roman" w:hAnsi="Calibri" w:cs="Calibri"/>
                <w:b/>
                <w:bCs/>
                <w:color w:val="000000"/>
                <w:lang w:eastAsia="cs-CZ"/>
              </w:rPr>
              <w:t>1 058 738,45</w:t>
            </w:r>
          </w:p>
        </w:tc>
        <w:tc>
          <w:tcPr>
            <w:tcW w:w="1789" w:type="dxa"/>
            <w:tcBorders>
              <w:top w:val="single" w:sz="8" w:space="0" w:color="auto"/>
              <w:left w:val="nil"/>
              <w:bottom w:val="single" w:sz="8" w:space="0" w:color="auto"/>
              <w:right w:val="single" w:sz="4" w:space="0" w:color="auto"/>
            </w:tcBorders>
            <w:shd w:val="clear" w:color="auto" w:fill="auto"/>
            <w:noWrap/>
            <w:vAlign w:val="center"/>
            <w:hideMark/>
          </w:tcPr>
          <w:p w14:paraId="01F5AEC1" w14:textId="77777777" w:rsidR="00687021" w:rsidRPr="00687021" w:rsidRDefault="00687021" w:rsidP="00687021">
            <w:pPr>
              <w:spacing w:after="0" w:line="240" w:lineRule="auto"/>
              <w:jc w:val="right"/>
              <w:rPr>
                <w:rFonts w:ascii="Calibri" w:eastAsia="Times New Roman" w:hAnsi="Calibri" w:cs="Calibri"/>
                <w:b/>
                <w:bCs/>
                <w:color w:val="000000"/>
                <w:lang w:eastAsia="cs-CZ"/>
              </w:rPr>
            </w:pPr>
            <w:r w:rsidRPr="00687021">
              <w:rPr>
                <w:rFonts w:ascii="Calibri" w:eastAsia="Times New Roman" w:hAnsi="Calibri" w:cs="Calibri"/>
                <w:b/>
                <w:bCs/>
                <w:color w:val="000000"/>
                <w:lang w:eastAsia="cs-CZ"/>
              </w:rPr>
              <w:t>0,00</w:t>
            </w:r>
          </w:p>
        </w:tc>
        <w:tc>
          <w:tcPr>
            <w:tcW w:w="659" w:type="dxa"/>
            <w:tcBorders>
              <w:top w:val="single" w:sz="8" w:space="0" w:color="auto"/>
              <w:left w:val="nil"/>
              <w:bottom w:val="single" w:sz="8" w:space="0" w:color="auto"/>
              <w:right w:val="single" w:sz="8" w:space="0" w:color="auto"/>
            </w:tcBorders>
            <w:shd w:val="clear" w:color="auto" w:fill="auto"/>
            <w:noWrap/>
            <w:vAlign w:val="center"/>
            <w:hideMark/>
          </w:tcPr>
          <w:p w14:paraId="493DD54A" w14:textId="77777777" w:rsidR="00687021" w:rsidRPr="00687021" w:rsidRDefault="00687021" w:rsidP="00687021">
            <w:pPr>
              <w:spacing w:after="0" w:line="240" w:lineRule="auto"/>
              <w:jc w:val="right"/>
              <w:rPr>
                <w:rFonts w:ascii="Calibri" w:eastAsia="Times New Roman" w:hAnsi="Calibri" w:cs="Calibri"/>
                <w:b/>
                <w:bCs/>
                <w:color w:val="000000"/>
                <w:lang w:eastAsia="cs-CZ"/>
              </w:rPr>
            </w:pPr>
            <w:r w:rsidRPr="00687021">
              <w:rPr>
                <w:rFonts w:ascii="Calibri" w:eastAsia="Times New Roman" w:hAnsi="Calibri" w:cs="Calibri"/>
                <w:b/>
                <w:bCs/>
                <w:color w:val="000000"/>
                <w:lang w:eastAsia="cs-CZ"/>
              </w:rPr>
              <w:t>0,0</w:t>
            </w:r>
          </w:p>
        </w:tc>
      </w:tr>
      <w:tr w:rsidR="00687021" w:rsidRPr="00687021" w14:paraId="6D13589D" w14:textId="77777777" w:rsidTr="00956DE6">
        <w:trPr>
          <w:trHeight w:val="319"/>
        </w:trPr>
        <w:tc>
          <w:tcPr>
            <w:tcW w:w="684" w:type="dxa"/>
            <w:tcBorders>
              <w:top w:val="nil"/>
              <w:left w:val="nil"/>
              <w:bottom w:val="nil"/>
              <w:right w:val="nil"/>
            </w:tcBorders>
            <w:shd w:val="clear" w:color="auto" w:fill="auto"/>
            <w:noWrap/>
            <w:vAlign w:val="center"/>
            <w:hideMark/>
          </w:tcPr>
          <w:p w14:paraId="13A12AE0" w14:textId="77777777" w:rsidR="00687021" w:rsidRPr="00687021" w:rsidRDefault="00687021" w:rsidP="00687021">
            <w:pPr>
              <w:spacing w:after="0" w:line="240" w:lineRule="auto"/>
              <w:jc w:val="right"/>
              <w:rPr>
                <w:rFonts w:ascii="Calibri" w:eastAsia="Times New Roman" w:hAnsi="Calibri" w:cs="Calibri"/>
                <w:b/>
                <w:bCs/>
                <w:color w:val="000000"/>
                <w:lang w:eastAsia="cs-CZ"/>
              </w:rPr>
            </w:pPr>
          </w:p>
        </w:tc>
        <w:tc>
          <w:tcPr>
            <w:tcW w:w="4536" w:type="dxa"/>
            <w:tcBorders>
              <w:top w:val="nil"/>
              <w:left w:val="nil"/>
              <w:bottom w:val="nil"/>
              <w:right w:val="nil"/>
            </w:tcBorders>
            <w:shd w:val="clear" w:color="auto" w:fill="auto"/>
            <w:noWrap/>
            <w:vAlign w:val="center"/>
            <w:hideMark/>
          </w:tcPr>
          <w:p w14:paraId="28F69709" w14:textId="77777777" w:rsidR="00687021" w:rsidRPr="00687021" w:rsidRDefault="00687021" w:rsidP="00687021">
            <w:pPr>
              <w:spacing w:after="0" w:line="240" w:lineRule="auto"/>
              <w:jc w:val="center"/>
              <w:rPr>
                <w:rFonts w:ascii="Times New Roman" w:eastAsia="Times New Roman" w:hAnsi="Times New Roman" w:cs="Times New Roman"/>
                <w:sz w:val="20"/>
                <w:szCs w:val="20"/>
                <w:lang w:eastAsia="cs-CZ"/>
              </w:rPr>
            </w:pPr>
          </w:p>
        </w:tc>
        <w:tc>
          <w:tcPr>
            <w:tcW w:w="1418" w:type="dxa"/>
            <w:tcBorders>
              <w:top w:val="nil"/>
              <w:left w:val="nil"/>
              <w:bottom w:val="nil"/>
              <w:right w:val="nil"/>
            </w:tcBorders>
            <w:shd w:val="clear" w:color="auto" w:fill="auto"/>
            <w:noWrap/>
            <w:vAlign w:val="center"/>
            <w:hideMark/>
          </w:tcPr>
          <w:p w14:paraId="170D0EF0"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center"/>
            <w:hideMark/>
          </w:tcPr>
          <w:p w14:paraId="6B02B86B" w14:textId="77777777" w:rsidR="00687021" w:rsidRPr="00687021" w:rsidRDefault="00687021" w:rsidP="00687021">
            <w:pPr>
              <w:spacing w:after="0" w:line="240" w:lineRule="auto"/>
              <w:jc w:val="right"/>
              <w:rPr>
                <w:rFonts w:ascii="Times New Roman" w:eastAsia="Times New Roman" w:hAnsi="Times New Roman" w:cs="Times New Roman"/>
                <w:sz w:val="20"/>
                <w:szCs w:val="20"/>
                <w:lang w:eastAsia="cs-CZ"/>
              </w:rPr>
            </w:pPr>
          </w:p>
        </w:tc>
        <w:tc>
          <w:tcPr>
            <w:tcW w:w="1789" w:type="dxa"/>
            <w:tcBorders>
              <w:top w:val="nil"/>
              <w:left w:val="nil"/>
              <w:bottom w:val="nil"/>
              <w:right w:val="nil"/>
            </w:tcBorders>
            <w:shd w:val="clear" w:color="auto" w:fill="auto"/>
            <w:noWrap/>
            <w:vAlign w:val="center"/>
            <w:hideMark/>
          </w:tcPr>
          <w:p w14:paraId="6269D9A7" w14:textId="77777777" w:rsidR="00687021" w:rsidRPr="00687021" w:rsidRDefault="00687021" w:rsidP="00687021">
            <w:pPr>
              <w:spacing w:after="0" w:line="240" w:lineRule="auto"/>
              <w:jc w:val="right"/>
              <w:rPr>
                <w:rFonts w:ascii="Times New Roman" w:eastAsia="Times New Roman" w:hAnsi="Times New Roman" w:cs="Times New Roman"/>
                <w:sz w:val="20"/>
                <w:szCs w:val="20"/>
                <w:lang w:eastAsia="cs-CZ"/>
              </w:rPr>
            </w:pPr>
          </w:p>
        </w:tc>
        <w:tc>
          <w:tcPr>
            <w:tcW w:w="659" w:type="dxa"/>
            <w:tcBorders>
              <w:top w:val="nil"/>
              <w:left w:val="nil"/>
              <w:bottom w:val="nil"/>
              <w:right w:val="nil"/>
            </w:tcBorders>
            <w:shd w:val="clear" w:color="auto" w:fill="auto"/>
            <w:noWrap/>
            <w:vAlign w:val="center"/>
            <w:hideMark/>
          </w:tcPr>
          <w:p w14:paraId="11CFD461" w14:textId="77777777" w:rsidR="00687021" w:rsidRPr="00687021" w:rsidRDefault="00687021" w:rsidP="00687021">
            <w:pPr>
              <w:spacing w:after="0" w:line="240" w:lineRule="auto"/>
              <w:jc w:val="right"/>
              <w:rPr>
                <w:rFonts w:ascii="Times New Roman" w:eastAsia="Times New Roman" w:hAnsi="Times New Roman" w:cs="Times New Roman"/>
                <w:sz w:val="20"/>
                <w:szCs w:val="20"/>
                <w:lang w:eastAsia="cs-CZ"/>
              </w:rPr>
            </w:pPr>
          </w:p>
        </w:tc>
      </w:tr>
      <w:tr w:rsidR="00687021" w:rsidRPr="00687021" w14:paraId="38EBB2CB" w14:textId="77777777" w:rsidTr="00956DE6">
        <w:trPr>
          <w:trHeight w:val="300"/>
        </w:trPr>
        <w:tc>
          <w:tcPr>
            <w:tcW w:w="684" w:type="dxa"/>
            <w:tcBorders>
              <w:top w:val="nil"/>
              <w:left w:val="nil"/>
              <w:bottom w:val="nil"/>
              <w:right w:val="nil"/>
            </w:tcBorders>
            <w:shd w:val="clear" w:color="auto" w:fill="auto"/>
            <w:noWrap/>
            <w:vAlign w:val="bottom"/>
            <w:hideMark/>
          </w:tcPr>
          <w:p w14:paraId="1A3B74E6" w14:textId="77777777" w:rsidR="00687021" w:rsidRPr="00687021" w:rsidRDefault="00687021" w:rsidP="00687021">
            <w:pPr>
              <w:spacing w:after="0" w:line="240" w:lineRule="auto"/>
              <w:jc w:val="right"/>
              <w:rPr>
                <w:rFonts w:ascii="Times New Roman" w:eastAsia="Times New Roman" w:hAnsi="Times New Roman" w:cs="Times New Roman"/>
                <w:sz w:val="20"/>
                <w:szCs w:val="20"/>
                <w:lang w:eastAsia="cs-CZ"/>
              </w:rPr>
            </w:pPr>
          </w:p>
        </w:tc>
        <w:tc>
          <w:tcPr>
            <w:tcW w:w="4536" w:type="dxa"/>
            <w:tcBorders>
              <w:top w:val="nil"/>
              <w:left w:val="nil"/>
              <w:bottom w:val="nil"/>
              <w:right w:val="nil"/>
            </w:tcBorders>
            <w:shd w:val="clear" w:color="auto" w:fill="auto"/>
            <w:noWrap/>
            <w:vAlign w:val="bottom"/>
            <w:hideMark/>
          </w:tcPr>
          <w:p w14:paraId="76006AC0" w14:textId="77777777" w:rsidR="00687021" w:rsidRPr="00687021" w:rsidRDefault="00687021" w:rsidP="00687021">
            <w:pPr>
              <w:spacing w:after="0" w:line="240" w:lineRule="auto"/>
              <w:rPr>
                <w:rFonts w:ascii="Calibri" w:eastAsia="Times New Roman" w:hAnsi="Calibri" w:cs="Calibri"/>
                <w:b/>
                <w:bCs/>
                <w:color w:val="000000"/>
                <w:lang w:eastAsia="cs-CZ"/>
              </w:rPr>
            </w:pPr>
            <w:r w:rsidRPr="00687021">
              <w:rPr>
                <w:rFonts w:ascii="Calibri" w:eastAsia="Times New Roman" w:hAnsi="Calibri" w:cs="Calibri"/>
                <w:b/>
                <w:bCs/>
                <w:color w:val="000000"/>
                <w:lang w:eastAsia="cs-CZ"/>
              </w:rPr>
              <w:t>Kapitálové výdaje</w:t>
            </w:r>
          </w:p>
        </w:tc>
        <w:tc>
          <w:tcPr>
            <w:tcW w:w="1418" w:type="dxa"/>
            <w:tcBorders>
              <w:top w:val="nil"/>
              <w:left w:val="nil"/>
              <w:bottom w:val="nil"/>
              <w:right w:val="nil"/>
            </w:tcBorders>
            <w:shd w:val="clear" w:color="auto" w:fill="auto"/>
            <w:noWrap/>
            <w:vAlign w:val="bottom"/>
            <w:hideMark/>
          </w:tcPr>
          <w:p w14:paraId="090C47BB" w14:textId="77777777" w:rsidR="00687021" w:rsidRPr="00687021" w:rsidRDefault="00687021" w:rsidP="00687021">
            <w:pPr>
              <w:spacing w:after="0" w:line="240" w:lineRule="auto"/>
              <w:rPr>
                <w:rFonts w:ascii="Calibri" w:eastAsia="Times New Roman" w:hAnsi="Calibri" w:cs="Calibri"/>
                <w:b/>
                <w:bCs/>
                <w:color w:val="000000"/>
                <w:lang w:eastAsia="cs-CZ"/>
              </w:rPr>
            </w:pPr>
          </w:p>
        </w:tc>
        <w:tc>
          <w:tcPr>
            <w:tcW w:w="1701" w:type="dxa"/>
            <w:tcBorders>
              <w:top w:val="nil"/>
              <w:left w:val="nil"/>
              <w:bottom w:val="nil"/>
              <w:right w:val="nil"/>
            </w:tcBorders>
            <w:shd w:val="clear" w:color="auto" w:fill="auto"/>
            <w:noWrap/>
            <w:vAlign w:val="bottom"/>
            <w:hideMark/>
          </w:tcPr>
          <w:p w14:paraId="37288DB4"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c>
          <w:tcPr>
            <w:tcW w:w="1789" w:type="dxa"/>
            <w:tcBorders>
              <w:top w:val="nil"/>
              <w:left w:val="nil"/>
              <w:bottom w:val="nil"/>
              <w:right w:val="nil"/>
            </w:tcBorders>
            <w:shd w:val="clear" w:color="auto" w:fill="auto"/>
            <w:noWrap/>
            <w:vAlign w:val="bottom"/>
            <w:hideMark/>
          </w:tcPr>
          <w:p w14:paraId="29D0F1C8"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c>
          <w:tcPr>
            <w:tcW w:w="659" w:type="dxa"/>
            <w:tcBorders>
              <w:top w:val="nil"/>
              <w:left w:val="nil"/>
              <w:bottom w:val="nil"/>
              <w:right w:val="nil"/>
            </w:tcBorders>
            <w:shd w:val="clear" w:color="auto" w:fill="auto"/>
            <w:noWrap/>
            <w:vAlign w:val="bottom"/>
            <w:hideMark/>
          </w:tcPr>
          <w:p w14:paraId="4FD852C2" w14:textId="77777777" w:rsidR="00687021" w:rsidRPr="00687021" w:rsidRDefault="00687021" w:rsidP="00687021">
            <w:pPr>
              <w:spacing w:after="0" w:line="240" w:lineRule="auto"/>
              <w:jc w:val="right"/>
              <w:rPr>
                <w:rFonts w:ascii="Times New Roman" w:eastAsia="Times New Roman" w:hAnsi="Times New Roman" w:cs="Times New Roman"/>
                <w:sz w:val="20"/>
                <w:szCs w:val="20"/>
                <w:lang w:eastAsia="cs-CZ"/>
              </w:rPr>
            </w:pPr>
          </w:p>
        </w:tc>
      </w:tr>
      <w:tr w:rsidR="00687021" w:rsidRPr="00687021" w14:paraId="1C2861AB" w14:textId="77777777" w:rsidTr="00956DE6">
        <w:trPr>
          <w:trHeight w:val="360"/>
        </w:trPr>
        <w:tc>
          <w:tcPr>
            <w:tcW w:w="684"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4536F92D"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4312</w:t>
            </w:r>
          </w:p>
        </w:tc>
        <w:tc>
          <w:tcPr>
            <w:tcW w:w="4536" w:type="dxa"/>
            <w:tcBorders>
              <w:top w:val="single" w:sz="8" w:space="0" w:color="auto"/>
              <w:left w:val="nil"/>
              <w:bottom w:val="single" w:sz="4" w:space="0" w:color="auto"/>
              <w:right w:val="single" w:sz="4" w:space="0" w:color="auto"/>
            </w:tcBorders>
            <w:shd w:val="clear" w:color="auto" w:fill="auto"/>
            <w:vAlign w:val="bottom"/>
            <w:hideMark/>
          </w:tcPr>
          <w:p w14:paraId="69020E9C" w14:textId="77777777" w:rsidR="00687021" w:rsidRPr="00687021" w:rsidRDefault="00687021" w:rsidP="00687021">
            <w:pPr>
              <w:spacing w:after="0" w:line="240" w:lineRule="auto"/>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Odborné sociální poradenství</w:t>
            </w:r>
          </w:p>
        </w:tc>
        <w:tc>
          <w:tcPr>
            <w:tcW w:w="1418" w:type="dxa"/>
            <w:tcBorders>
              <w:top w:val="single" w:sz="8" w:space="0" w:color="auto"/>
              <w:left w:val="nil"/>
              <w:bottom w:val="single" w:sz="4" w:space="0" w:color="auto"/>
              <w:right w:val="single" w:sz="4" w:space="0" w:color="auto"/>
            </w:tcBorders>
            <w:shd w:val="clear" w:color="auto" w:fill="auto"/>
            <w:noWrap/>
            <w:vAlign w:val="bottom"/>
            <w:hideMark/>
          </w:tcPr>
          <w:p w14:paraId="0EF759A8" w14:textId="77777777" w:rsidR="00687021" w:rsidRPr="00687021" w:rsidRDefault="00687021" w:rsidP="00687021">
            <w:pPr>
              <w:spacing w:after="0" w:line="240" w:lineRule="auto"/>
              <w:jc w:val="right"/>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0</w:t>
            </w:r>
          </w:p>
        </w:tc>
        <w:tc>
          <w:tcPr>
            <w:tcW w:w="1701" w:type="dxa"/>
            <w:tcBorders>
              <w:top w:val="single" w:sz="8" w:space="0" w:color="auto"/>
              <w:left w:val="nil"/>
              <w:bottom w:val="single" w:sz="4" w:space="0" w:color="auto"/>
              <w:right w:val="single" w:sz="4" w:space="0" w:color="auto"/>
            </w:tcBorders>
            <w:shd w:val="clear" w:color="auto" w:fill="auto"/>
            <w:noWrap/>
            <w:vAlign w:val="bottom"/>
            <w:hideMark/>
          </w:tcPr>
          <w:p w14:paraId="4237337C" w14:textId="77777777" w:rsidR="00687021" w:rsidRPr="00687021" w:rsidRDefault="00687021" w:rsidP="00687021">
            <w:pPr>
              <w:spacing w:after="0" w:line="240" w:lineRule="auto"/>
              <w:jc w:val="right"/>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176 377,00</w:t>
            </w:r>
          </w:p>
        </w:tc>
        <w:tc>
          <w:tcPr>
            <w:tcW w:w="1789" w:type="dxa"/>
            <w:tcBorders>
              <w:top w:val="single" w:sz="8" w:space="0" w:color="auto"/>
              <w:left w:val="nil"/>
              <w:bottom w:val="single" w:sz="4" w:space="0" w:color="auto"/>
              <w:right w:val="single" w:sz="4" w:space="0" w:color="auto"/>
            </w:tcBorders>
            <w:shd w:val="clear" w:color="auto" w:fill="auto"/>
            <w:noWrap/>
            <w:vAlign w:val="bottom"/>
            <w:hideMark/>
          </w:tcPr>
          <w:p w14:paraId="5ABEF164" w14:textId="77777777" w:rsidR="00687021" w:rsidRPr="00687021" w:rsidRDefault="00687021" w:rsidP="00687021">
            <w:pPr>
              <w:spacing w:after="0" w:line="240" w:lineRule="auto"/>
              <w:jc w:val="right"/>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176 377,00</w:t>
            </w:r>
          </w:p>
        </w:tc>
        <w:tc>
          <w:tcPr>
            <w:tcW w:w="659" w:type="dxa"/>
            <w:tcBorders>
              <w:top w:val="single" w:sz="8" w:space="0" w:color="auto"/>
              <w:left w:val="nil"/>
              <w:bottom w:val="single" w:sz="4" w:space="0" w:color="auto"/>
              <w:right w:val="single" w:sz="8" w:space="0" w:color="auto"/>
            </w:tcBorders>
            <w:shd w:val="clear" w:color="auto" w:fill="auto"/>
            <w:noWrap/>
            <w:vAlign w:val="bottom"/>
            <w:hideMark/>
          </w:tcPr>
          <w:p w14:paraId="6A3F5EE5" w14:textId="77777777" w:rsidR="00687021" w:rsidRPr="00687021" w:rsidRDefault="00687021" w:rsidP="00687021">
            <w:pPr>
              <w:spacing w:after="0" w:line="240" w:lineRule="auto"/>
              <w:jc w:val="right"/>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100,0</w:t>
            </w:r>
          </w:p>
        </w:tc>
      </w:tr>
      <w:tr w:rsidR="00687021" w:rsidRPr="00687021" w14:paraId="0476A037"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543794DE"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4350</w:t>
            </w:r>
          </w:p>
        </w:tc>
        <w:tc>
          <w:tcPr>
            <w:tcW w:w="4536" w:type="dxa"/>
            <w:tcBorders>
              <w:top w:val="nil"/>
              <w:left w:val="nil"/>
              <w:bottom w:val="single" w:sz="4" w:space="0" w:color="auto"/>
              <w:right w:val="single" w:sz="4" w:space="0" w:color="auto"/>
            </w:tcBorders>
            <w:shd w:val="clear" w:color="auto" w:fill="auto"/>
            <w:vAlign w:val="bottom"/>
            <w:hideMark/>
          </w:tcPr>
          <w:p w14:paraId="7356E7E1" w14:textId="77777777" w:rsidR="00687021" w:rsidRPr="00687021" w:rsidRDefault="00687021" w:rsidP="00687021">
            <w:pPr>
              <w:spacing w:after="0" w:line="240" w:lineRule="auto"/>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 xml:space="preserve">Domovy pro seniory  </w:t>
            </w:r>
          </w:p>
        </w:tc>
        <w:tc>
          <w:tcPr>
            <w:tcW w:w="1418" w:type="dxa"/>
            <w:tcBorders>
              <w:top w:val="nil"/>
              <w:left w:val="nil"/>
              <w:bottom w:val="single" w:sz="4" w:space="0" w:color="auto"/>
              <w:right w:val="single" w:sz="4" w:space="0" w:color="auto"/>
            </w:tcBorders>
            <w:shd w:val="clear" w:color="auto" w:fill="auto"/>
            <w:noWrap/>
            <w:vAlign w:val="bottom"/>
            <w:hideMark/>
          </w:tcPr>
          <w:p w14:paraId="680A9DC5" w14:textId="77777777" w:rsidR="00687021" w:rsidRPr="00687021" w:rsidRDefault="00687021" w:rsidP="00687021">
            <w:pPr>
              <w:spacing w:after="0" w:line="240" w:lineRule="auto"/>
              <w:jc w:val="right"/>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7A53724B" w14:textId="77777777" w:rsidR="00687021" w:rsidRPr="00687021" w:rsidRDefault="00687021" w:rsidP="00687021">
            <w:pPr>
              <w:spacing w:after="0" w:line="240" w:lineRule="auto"/>
              <w:jc w:val="right"/>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29 167 871,90</w:t>
            </w:r>
          </w:p>
        </w:tc>
        <w:tc>
          <w:tcPr>
            <w:tcW w:w="1789" w:type="dxa"/>
            <w:tcBorders>
              <w:top w:val="nil"/>
              <w:left w:val="nil"/>
              <w:bottom w:val="single" w:sz="4" w:space="0" w:color="auto"/>
              <w:right w:val="single" w:sz="4" w:space="0" w:color="auto"/>
            </w:tcBorders>
            <w:shd w:val="clear" w:color="auto" w:fill="auto"/>
            <w:noWrap/>
            <w:vAlign w:val="bottom"/>
            <w:hideMark/>
          </w:tcPr>
          <w:p w14:paraId="6E549E61" w14:textId="77777777" w:rsidR="00687021" w:rsidRPr="00687021" w:rsidRDefault="00687021" w:rsidP="00687021">
            <w:pPr>
              <w:spacing w:after="0" w:line="240" w:lineRule="auto"/>
              <w:jc w:val="right"/>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29 167 868,90</w:t>
            </w:r>
          </w:p>
        </w:tc>
        <w:tc>
          <w:tcPr>
            <w:tcW w:w="659" w:type="dxa"/>
            <w:tcBorders>
              <w:top w:val="nil"/>
              <w:left w:val="nil"/>
              <w:bottom w:val="single" w:sz="4" w:space="0" w:color="auto"/>
              <w:right w:val="single" w:sz="8" w:space="0" w:color="auto"/>
            </w:tcBorders>
            <w:shd w:val="clear" w:color="auto" w:fill="auto"/>
            <w:noWrap/>
            <w:vAlign w:val="bottom"/>
            <w:hideMark/>
          </w:tcPr>
          <w:p w14:paraId="3F4CE83F" w14:textId="77777777" w:rsidR="00687021" w:rsidRPr="00687021" w:rsidRDefault="00687021" w:rsidP="00687021">
            <w:pPr>
              <w:spacing w:after="0" w:line="240" w:lineRule="auto"/>
              <w:jc w:val="right"/>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100,0</w:t>
            </w:r>
          </w:p>
        </w:tc>
      </w:tr>
      <w:tr w:rsidR="00687021" w:rsidRPr="00687021" w14:paraId="3CF732E6" w14:textId="77777777" w:rsidTr="00956DE6">
        <w:trPr>
          <w:trHeight w:val="319"/>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55ED23F6"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4357</w:t>
            </w:r>
          </w:p>
        </w:tc>
        <w:tc>
          <w:tcPr>
            <w:tcW w:w="4536" w:type="dxa"/>
            <w:tcBorders>
              <w:top w:val="nil"/>
              <w:left w:val="nil"/>
              <w:bottom w:val="single" w:sz="4" w:space="0" w:color="auto"/>
              <w:right w:val="single" w:sz="4" w:space="0" w:color="auto"/>
            </w:tcBorders>
            <w:shd w:val="clear" w:color="auto" w:fill="auto"/>
            <w:vAlign w:val="bottom"/>
            <w:hideMark/>
          </w:tcPr>
          <w:p w14:paraId="0589873C" w14:textId="77777777" w:rsidR="00687021" w:rsidRPr="00687021" w:rsidRDefault="00687021" w:rsidP="00687021">
            <w:pPr>
              <w:spacing w:after="0" w:line="240" w:lineRule="auto"/>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Domovy pro osoby se zdravotním postižením a domovy se zvláštním režimem</w:t>
            </w:r>
          </w:p>
        </w:tc>
        <w:tc>
          <w:tcPr>
            <w:tcW w:w="1418" w:type="dxa"/>
            <w:tcBorders>
              <w:top w:val="nil"/>
              <w:left w:val="nil"/>
              <w:bottom w:val="single" w:sz="4" w:space="0" w:color="auto"/>
              <w:right w:val="single" w:sz="4" w:space="0" w:color="auto"/>
            </w:tcBorders>
            <w:shd w:val="clear" w:color="auto" w:fill="auto"/>
            <w:noWrap/>
            <w:vAlign w:val="bottom"/>
            <w:hideMark/>
          </w:tcPr>
          <w:p w14:paraId="0815CDBC" w14:textId="77777777" w:rsidR="00687021" w:rsidRPr="00687021" w:rsidRDefault="00687021" w:rsidP="00687021">
            <w:pPr>
              <w:spacing w:after="0" w:line="240" w:lineRule="auto"/>
              <w:jc w:val="right"/>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47825CF8" w14:textId="77777777" w:rsidR="00687021" w:rsidRPr="00687021" w:rsidRDefault="00687021" w:rsidP="00687021">
            <w:pPr>
              <w:spacing w:after="0" w:line="240" w:lineRule="auto"/>
              <w:jc w:val="right"/>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5 036 593,53</w:t>
            </w:r>
          </w:p>
        </w:tc>
        <w:tc>
          <w:tcPr>
            <w:tcW w:w="1789" w:type="dxa"/>
            <w:tcBorders>
              <w:top w:val="nil"/>
              <w:left w:val="nil"/>
              <w:bottom w:val="single" w:sz="4" w:space="0" w:color="auto"/>
              <w:right w:val="single" w:sz="4" w:space="0" w:color="auto"/>
            </w:tcBorders>
            <w:shd w:val="clear" w:color="auto" w:fill="auto"/>
            <w:noWrap/>
            <w:vAlign w:val="bottom"/>
            <w:hideMark/>
          </w:tcPr>
          <w:p w14:paraId="6F356E5B" w14:textId="77777777" w:rsidR="00687021" w:rsidRPr="00687021" w:rsidRDefault="00687021" w:rsidP="00687021">
            <w:pPr>
              <w:spacing w:after="0" w:line="240" w:lineRule="auto"/>
              <w:jc w:val="right"/>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5 036 593,53</w:t>
            </w:r>
          </w:p>
        </w:tc>
        <w:tc>
          <w:tcPr>
            <w:tcW w:w="659" w:type="dxa"/>
            <w:tcBorders>
              <w:top w:val="nil"/>
              <w:left w:val="nil"/>
              <w:bottom w:val="single" w:sz="4" w:space="0" w:color="auto"/>
              <w:right w:val="single" w:sz="8" w:space="0" w:color="auto"/>
            </w:tcBorders>
            <w:shd w:val="clear" w:color="auto" w:fill="auto"/>
            <w:noWrap/>
            <w:vAlign w:val="bottom"/>
            <w:hideMark/>
          </w:tcPr>
          <w:p w14:paraId="6FD79836" w14:textId="77777777" w:rsidR="00687021" w:rsidRPr="00687021" w:rsidRDefault="00687021" w:rsidP="00687021">
            <w:pPr>
              <w:spacing w:after="0" w:line="240" w:lineRule="auto"/>
              <w:jc w:val="right"/>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100,0</w:t>
            </w:r>
          </w:p>
        </w:tc>
      </w:tr>
      <w:tr w:rsidR="00687021" w:rsidRPr="00687021" w14:paraId="04506B58" w14:textId="77777777" w:rsidTr="00956DE6">
        <w:trPr>
          <w:trHeight w:val="319"/>
        </w:trPr>
        <w:tc>
          <w:tcPr>
            <w:tcW w:w="684" w:type="dxa"/>
            <w:tcBorders>
              <w:top w:val="nil"/>
              <w:left w:val="single" w:sz="8" w:space="0" w:color="auto"/>
              <w:bottom w:val="single" w:sz="8" w:space="0" w:color="auto"/>
              <w:right w:val="single" w:sz="4" w:space="0" w:color="auto"/>
            </w:tcBorders>
            <w:shd w:val="clear" w:color="auto" w:fill="auto"/>
            <w:noWrap/>
            <w:vAlign w:val="bottom"/>
            <w:hideMark/>
          </w:tcPr>
          <w:p w14:paraId="72686EF4"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4399</w:t>
            </w:r>
          </w:p>
        </w:tc>
        <w:tc>
          <w:tcPr>
            <w:tcW w:w="4536" w:type="dxa"/>
            <w:tcBorders>
              <w:top w:val="nil"/>
              <w:left w:val="nil"/>
              <w:bottom w:val="single" w:sz="8" w:space="0" w:color="auto"/>
              <w:right w:val="single" w:sz="4" w:space="0" w:color="auto"/>
            </w:tcBorders>
            <w:shd w:val="clear" w:color="auto" w:fill="auto"/>
            <w:noWrap/>
            <w:vAlign w:val="bottom"/>
            <w:hideMark/>
          </w:tcPr>
          <w:p w14:paraId="2B7578D5" w14:textId="77777777" w:rsidR="00687021" w:rsidRPr="00687021" w:rsidRDefault="00687021" w:rsidP="00687021">
            <w:pPr>
              <w:spacing w:after="0" w:line="240" w:lineRule="auto"/>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Ostatní záležitosti sociálních věcí a politiky zaměstnanosti</w:t>
            </w:r>
          </w:p>
        </w:tc>
        <w:tc>
          <w:tcPr>
            <w:tcW w:w="1418" w:type="dxa"/>
            <w:tcBorders>
              <w:top w:val="nil"/>
              <w:left w:val="nil"/>
              <w:bottom w:val="single" w:sz="8" w:space="0" w:color="auto"/>
              <w:right w:val="single" w:sz="4" w:space="0" w:color="auto"/>
            </w:tcBorders>
            <w:shd w:val="clear" w:color="auto" w:fill="auto"/>
            <w:noWrap/>
            <w:vAlign w:val="bottom"/>
            <w:hideMark/>
          </w:tcPr>
          <w:p w14:paraId="54A95653" w14:textId="77777777" w:rsidR="00687021" w:rsidRPr="00687021" w:rsidRDefault="00687021" w:rsidP="00687021">
            <w:pPr>
              <w:spacing w:after="0" w:line="240" w:lineRule="auto"/>
              <w:jc w:val="right"/>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0</w:t>
            </w:r>
          </w:p>
        </w:tc>
        <w:tc>
          <w:tcPr>
            <w:tcW w:w="1701" w:type="dxa"/>
            <w:tcBorders>
              <w:top w:val="nil"/>
              <w:left w:val="nil"/>
              <w:bottom w:val="single" w:sz="8" w:space="0" w:color="auto"/>
              <w:right w:val="single" w:sz="4" w:space="0" w:color="auto"/>
            </w:tcBorders>
            <w:shd w:val="clear" w:color="auto" w:fill="auto"/>
            <w:noWrap/>
            <w:vAlign w:val="bottom"/>
            <w:hideMark/>
          </w:tcPr>
          <w:p w14:paraId="7F618AE9" w14:textId="77777777" w:rsidR="00687021" w:rsidRPr="00687021" w:rsidRDefault="00687021" w:rsidP="00687021">
            <w:pPr>
              <w:spacing w:after="0" w:line="240" w:lineRule="auto"/>
              <w:jc w:val="right"/>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12 000 000,00</w:t>
            </w:r>
          </w:p>
        </w:tc>
        <w:tc>
          <w:tcPr>
            <w:tcW w:w="1789" w:type="dxa"/>
            <w:tcBorders>
              <w:top w:val="nil"/>
              <w:left w:val="nil"/>
              <w:bottom w:val="single" w:sz="8" w:space="0" w:color="auto"/>
              <w:right w:val="single" w:sz="4" w:space="0" w:color="auto"/>
            </w:tcBorders>
            <w:shd w:val="clear" w:color="auto" w:fill="auto"/>
            <w:noWrap/>
            <w:vAlign w:val="bottom"/>
            <w:hideMark/>
          </w:tcPr>
          <w:p w14:paraId="5C1B07E6" w14:textId="77777777" w:rsidR="00687021" w:rsidRPr="00687021" w:rsidRDefault="00687021" w:rsidP="00687021">
            <w:pPr>
              <w:spacing w:after="0" w:line="240" w:lineRule="auto"/>
              <w:jc w:val="right"/>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0,00</w:t>
            </w:r>
          </w:p>
        </w:tc>
        <w:tc>
          <w:tcPr>
            <w:tcW w:w="659" w:type="dxa"/>
            <w:tcBorders>
              <w:top w:val="nil"/>
              <w:left w:val="nil"/>
              <w:bottom w:val="single" w:sz="8" w:space="0" w:color="auto"/>
              <w:right w:val="single" w:sz="8" w:space="0" w:color="auto"/>
            </w:tcBorders>
            <w:shd w:val="clear" w:color="auto" w:fill="auto"/>
            <w:noWrap/>
            <w:vAlign w:val="bottom"/>
            <w:hideMark/>
          </w:tcPr>
          <w:p w14:paraId="140AFB1E" w14:textId="77777777" w:rsidR="00687021" w:rsidRPr="00687021" w:rsidRDefault="00687021" w:rsidP="00687021">
            <w:pPr>
              <w:spacing w:after="0" w:line="240" w:lineRule="auto"/>
              <w:jc w:val="right"/>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0,0</w:t>
            </w:r>
          </w:p>
        </w:tc>
      </w:tr>
      <w:tr w:rsidR="00687021" w:rsidRPr="00687021" w14:paraId="11B9A10F" w14:textId="77777777" w:rsidTr="00956DE6">
        <w:trPr>
          <w:trHeight w:val="300"/>
        </w:trPr>
        <w:tc>
          <w:tcPr>
            <w:tcW w:w="684" w:type="dxa"/>
            <w:tcBorders>
              <w:top w:val="nil"/>
              <w:left w:val="single" w:sz="8" w:space="0" w:color="auto"/>
              <w:bottom w:val="single" w:sz="8" w:space="0" w:color="auto"/>
              <w:right w:val="single" w:sz="4" w:space="0" w:color="auto"/>
            </w:tcBorders>
            <w:shd w:val="clear" w:color="auto" w:fill="auto"/>
            <w:noWrap/>
            <w:vAlign w:val="bottom"/>
            <w:hideMark/>
          </w:tcPr>
          <w:p w14:paraId="1C32C059" w14:textId="77777777" w:rsidR="00687021" w:rsidRPr="00687021" w:rsidRDefault="00687021" w:rsidP="00687021">
            <w:pPr>
              <w:spacing w:after="0" w:line="240" w:lineRule="auto"/>
              <w:rPr>
                <w:rFonts w:ascii="Calibri" w:eastAsia="Times New Roman" w:hAnsi="Calibri" w:cs="Calibri"/>
                <w:lang w:eastAsia="cs-CZ"/>
              </w:rPr>
            </w:pPr>
            <w:r w:rsidRPr="00687021">
              <w:rPr>
                <w:rFonts w:ascii="Calibri" w:eastAsia="Times New Roman" w:hAnsi="Calibri" w:cs="Calibri"/>
                <w:lang w:eastAsia="cs-CZ"/>
              </w:rPr>
              <w:t> </w:t>
            </w:r>
          </w:p>
        </w:tc>
        <w:tc>
          <w:tcPr>
            <w:tcW w:w="4536" w:type="dxa"/>
            <w:tcBorders>
              <w:top w:val="nil"/>
              <w:left w:val="nil"/>
              <w:bottom w:val="single" w:sz="8" w:space="0" w:color="auto"/>
              <w:right w:val="single" w:sz="4" w:space="0" w:color="auto"/>
            </w:tcBorders>
            <w:shd w:val="clear" w:color="auto" w:fill="auto"/>
            <w:noWrap/>
            <w:vAlign w:val="bottom"/>
            <w:hideMark/>
          </w:tcPr>
          <w:p w14:paraId="6209E4B5" w14:textId="77777777" w:rsidR="00687021" w:rsidRPr="00687021" w:rsidRDefault="00687021" w:rsidP="00687021">
            <w:pPr>
              <w:spacing w:after="0" w:line="240" w:lineRule="auto"/>
              <w:rPr>
                <w:rFonts w:ascii="Calibri" w:eastAsia="Times New Roman" w:hAnsi="Calibri" w:cs="Calibri"/>
                <w:b/>
                <w:bCs/>
                <w:color w:val="000000"/>
                <w:lang w:eastAsia="cs-CZ"/>
              </w:rPr>
            </w:pPr>
            <w:r w:rsidRPr="00687021">
              <w:rPr>
                <w:rFonts w:ascii="Calibri" w:eastAsia="Times New Roman" w:hAnsi="Calibri" w:cs="Calibri"/>
                <w:b/>
                <w:bCs/>
                <w:color w:val="000000"/>
                <w:lang w:eastAsia="cs-CZ"/>
              </w:rPr>
              <w:t>Celkem</w:t>
            </w:r>
          </w:p>
        </w:tc>
        <w:tc>
          <w:tcPr>
            <w:tcW w:w="1418" w:type="dxa"/>
            <w:tcBorders>
              <w:top w:val="nil"/>
              <w:left w:val="nil"/>
              <w:bottom w:val="single" w:sz="8" w:space="0" w:color="auto"/>
              <w:right w:val="single" w:sz="4" w:space="0" w:color="auto"/>
            </w:tcBorders>
            <w:shd w:val="clear" w:color="auto" w:fill="auto"/>
            <w:noWrap/>
            <w:vAlign w:val="bottom"/>
            <w:hideMark/>
          </w:tcPr>
          <w:p w14:paraId="3097CD72" w14:textId="77777777" w:rsidR="00687021" w:rsidRPr="00687021" w:rsidRDefault="00687021" w:rsidP="00687021">
            <w:pPr>
              <w:spacing w:after="0" w:line="240" w:lineRule="auto"/>
              <w:jc w:val="right"/>
              <w:rPr>
                <w:rFonts w:ascii="Calibri" w:eastAsia="Times New Roman" w:hAnsi="Calibri" w:cs="Calibri"/>
                <w:b/>
                <w:bCs/>
                <w:color w:val="000000"/>
                <w:lang w:eastAsia="cs-CZ"/>
              </w:rPr>
            </w:pPr>
            <w:r w:rsidRPr="00687021">
              <w:rPr>
                <w:rFonts w:ascii="Calibri" w:eastAsia="Times New Roman" w:hAnsi="Calibri" w:cs="Calibri"/>
                <w:b/>
                <w:bCs/>
                <w:color w:val="000000"/>
                <w:lang w:eastAsia="cs-CZ"/>
              </w:rPr>
              <w:t>0</w:t>
            </w:r>
          </w:p>
        </w:tc>
        <w:tc>
          <w:tcPr>
            <w:tcW w:w="1701" w:type="dxa"/>
            <w:tcBorders>
              <w:top w:val="nil"/>
              <w:left w:val="nil"/>
              <w:bottom w:val="single" w:sz="8" w:space="0" w:color="auto"/>
              <w:right w:val="single" w:sz="4" w:space="0" w:color="auto"/>
            </w:tcBorders>
            <w:shd w:val="clear" w:color="auto" w:fill="auto"/>
            <w:noWrap/>
            <w:vAlign w:val="bottom"/>
            <w:hideMark/>
          </w:tcPr>
          <w:p w14:paraId="4AB15226" w14:textId="77777777" w:rsidR="00687021" w:rsidRPr="00687021" w:rsidRDefault="00687021" w:rsidP="00687021">
            <w:pPr>
              <w:spacing w:after="0" w:line="240" w:lineRule="auto"/>
              <w:jc w:val="right"/>
              <w:rPr>
                <w:rFonts w:ascii="Calibri" w:eastAsia="Times New Roman" w:hAnsi="Calibri" w:cs="Calibri"/>
                <w:b/>
                <w:bCs/>
                <w:color w:val="000000"/>
                <w:lang w:eastAsia="cs-CZ"/>
              </w:rPr>
            </w:pPr>
            <w:r w:rsidRPr="00687021">
              <w:rPr>
                <w:rFonts w:ascii="Calibri" w:eastAsia="Times New Roman" w:hAnsi="Calibri" w:cs="Calibri"/>
                <w:b/>
                <w:bCs/>
                <w:color w:val="000000"/>
                <w:lang w:eastAsia="cs-CZ"/>
              </w:rPr>
              <w:t>46 380 842,43</w:t>
            </w:r>
          </w:p>
        </w:tc>
        <w:tc>
          <w:tcPr>
            <w:tcW w:w="1789" w:type="dxa"/>
            <w:tcBorders>
              <w:top w:val="nil"/>
              <w:left w:val="nil"/>
              <w:bottom w:val="single" w:sz="8" w:space="0" w:color="auto"/>
              <w:right w:val="single" w:sz="4" w:space="0" w:color="auto"/>
            </w:tcBorders>
            <w:shd w:val="clear" w:color="auto" w:fill="auto"/>
            <w:noWrap/>
            <w:vAlign w:val="bottom"/>
            <w:hideMark/>
          </w:tcPr>
          <w:p w14:paraId="0FA95D71" w14:textId="77777777" w:rsidR="00687021" w:rsidRPr="00687021" w:rsidRDefault="00687021" w:rsidP="00687021">
            <w:pPr>
              <w:spacing w:after="0" w:line="240" w:lineRule="auto"/>
              <w:jc w:val="right"/>
              <w:rPr>
                <w:rFonts w:ascii="Calibri" w:eastAsia="Times New Roman" w:hAnsi="Calibri" w:cs="Calibri"/>
                <w:b/>
                <w:bCs/>
                <w:color w:val="000000"/>
                <w:lang w:eastAsia="cs-CZ"/>
              </w:rPr>
            </w:pPr>
            <w:r w:rsidRPr="00687021">
              <w:rPr>
                <w:rFonts w:ascii="Calibri" w:eastAsia="Times New Roman" w:hAnsi="Calibri" w:cs="Calibri"/>
                <w:b/>
                <w:bCs/>
                <w:color w:val="000000"/>
                <w:lang w:eastAsia="cs-CZ"/>
              </w:rPr>
              <w:t>34 380 839,43</w:t>
            </w:r>
          </w:p>
        </w:tc>
        <w:tc>
          <w:tcPr>
            <w:tcW w:w="659" w:type="dxa"/>
            <w:tcBorders>
              <w:top w:val="nil"/>
              <w:left w:val="nil"/>
              <w:bottom w:val="single" w:sz="8" w:space="0" w:color="auto"/>
              <w:right w:val="single" w:sz="8" w:space="0" w:color="auto"/>
            </w:tcBorders>
            <w:shd w:val="clear" w:color="auto" w:fill="auto"/>
            <w:noWrap/>
            <w:vAlign w:val="bottom"/>
            <w:hideMark/>
          </w:tcPr>
          <w:p w14:paraId="6F725F29" w14:textId="77777777" w:rsidR="00687021" w:rsidRPr="00687021" w:rsidRDefault="00687021" w:rsidP="00687021">
            <w:pPr>
              <w:spacing w:after="0" w:line="240" w:lineRule="auto"/>
              <w:jc w:val="right"/>
              <w:rPr>
                <w:rFonts w:ascii="Calibri" w:eastAsia="Times New Roman" w:hAnsi="Calibri" w:cs="Calibri"/>
                <w:b/>
                <w:bCs/>
                <w:color w:val="000000"/>
                <w:lang w:eastAsia="cs-CZ"/>
              </w:rPr>
            </w:pPr>
            <w:r w:rsidRPr="00687021">
              <w:rPr>
                <w:rFonts w:ascii="Calibri" w:eastAsia="Times New Roman" w:hAnsi="Calibri" w:cs="Calibri"/>
                <w:b/>
                <w:bCs/>
                <w:color w:val="000000"/>
                <w:lang w:eastAsia="cs-CZ"/>
              </w:rPr>
              <w:t>74,1</w:t>
            </w:r>
          </w:p>
        </w:tc>
      </w:tr>
      <w:tr w:rsidR="00687021" w:rsidRPr="00687021" w14:paraId="11DDEFD8" w14:textId="77777777" w:rsidTr="00956DE6">
        <w:trPr>
          <w:trHeight w:val="600"/>
        </w:trPr>
        <w:tc>
          <w:tcPr>
            <w:tcW w:w="684" w:type="dxa"/>
            <w:tcBorders>
              <w:top w:val="nil"/>
              <w:left w:val="nil"/>
              <w:bottom w:val="nil"/>
              <w:right w:val="nil"/>
            </w:tcBorders>
            <w:shd w:val="clear" w:color="auto" w:fill="auto"/>
            <w:noWrap/>
            <w:vAlign w:val="bottom"/>
            <w:hideMark/>
          </w:tcPr>
          <w:p w14:paraId="196464FD" w14:textId="77777777" w:rsidR="00687021" w:rsidRPr="00687021" w:rsidRDefault="00687021" w:rsidP="00687021">
            <w:pPr>
              <w:spacing w:after="0" w:line="240" w:lineRule="auto"/>
              <w:jc w:val="right"/>
              <w:rPr>
                <w:rFonts w:ascii="Calibri" w:eastAsia="Times New Roman" w:hAnsi="Calibri" w:cs="Calibri"/>
                <w:b/>
                <w:bCs/>
                <w:color w:val="000000"/>
                <w:lang w:eastAsia="cs-CZ"/>
              </w:rPr>
            </w:pPr>
          </w:p>
        </w:tc>
        <w:tc>
          <w:tcPr>
            <w:tcW w:w="4536" w:type="dxa"/>
            <w:tcBorders>
              <w:top w:val="nil"/>
              <w:left w:val="nil"/>
              <w:bottom w:val="nil"/>
              <w:right w:val="nil"/>
            </w:tcBorders>
            <w:shd w:val="clear" w:color="auto" w:fill="auto"/>
            <w:noWrap/>
            <w:vAlign w:val="bottom"/>
            <w:hideMark/>
          </w:tcPr>
          <w:p w14:paraId="3B82FBA7"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c>
          <w:tcPr>
            <w:tcW w:w="1418" w:type="dxa"/>
            <w:tcBorders>
              <w:top w:val="nil"/>
              <w:left w:val="nil"/>
              <w:bottom w:val="nil"/>
              <w:right w:val="nil"/>
            </w:tcBorders>
            <w:shd w:val="clear" w:color="auto" w:fill="auto"/>
            <w:noWrap/>
            <w:vAlign w:val="bottom"/>
            <w:hideMark/>
          </w:tcPr>
          <w:p w14:paraId="2AFD02EC"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4765D5A0"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c>
          <w:tcPr>
            <w:tcW w:w="1789" w:type="dxa"/>
            <w:tcBorders>
              <w:top w:val="nil"/>
              <w:left w:val="nil"/>
              <w:bottom w:val="nil"/>
              <w:right w:val="nil"/>
            </w:tcBorders>
            <w:shd w:val="clear" w:color="auto" w:fill="auto"/>
            <w:noWrap/>
            <w:vAlign w:val="bottom"/>
            <w:hideMark/>
          </w:tcPr>
          <w:p w14:paraId="28C13651"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c>
          <w:tcPr>
            <w:tcW w:w="659" w:type="dxa"/>
            <w:tcBorders>
              <w:top w:val="nil"/>
              <w:left w:val="nil"/>
              <w:bottom w:val="nil"/>
              <w:right w:val="nil"/>
            </w:tcBorders>
            <w:shd w:val="clear" w:color="auto" w:fill="auto"/>
            <w:noWrap/>
            <w:vAlign w:val="bottom"/>
            <w:hideMark/>
          </w:tcPr>
          <w:p w14:paraId="174D7714"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r>
      <w:tr w:rsidR="00687021" w:rsidRPr="00687021" w14:paraId="493215FD" w14:textId="77777777" w:rsidTr="00956DE6">
        <w:trPr>
          <w:trHeight w:val="315"/>
        </w:trPr>
        <w:tc>
          <w:tcPr>
            <w:tcW w:w="684" w:type="dxa"/>
            <w:tcBorders>
              <w:top w:val="nil"/>
              <w:left w:val="nil"/>
              <w:bottom w:val="nil"/>
              <w:right w:val="nil"/>
            </w:tcBorders>
            <w:shd w:val="clear" w:color="auto" w:fill="auto"/>
            <w:noWrap/>
            <w:vAlign w:val="bottom"/>
            <w:hideMark/>
          </w:tcPr>
          <w:p w14:paraId="0A46E014"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c>
          <w:tcPr>
            <w:tcW w:w="10103" w:type="dxa"/>
            <w:gridSpan w:val="5"/>
            <w:tcBorders>
              <w:top w:val="nil"/>
              <w:left w:val="nil"/>
              <w:bottom w:val="nil"/>
              <w:right w:val="nil"/>
            </w:tcBorders>
            <w:shd w:val="clear" w:color="auto" w:fill="auto"/>
            <w:vAlign w:val="bottom"/>
            <w:hideMark/>
          </w:tcPr>
          <w:p w14:paraId="5C0F11FE" w14:textId="77777777" w:rsidR="00687021" w:rsidRPr="00687021" w:rsidRDefault="00687021" w:rsidP="00687021">
            <w:pPr>
              <w:spacing w:after="0" w:line="240" w:lineRule="auto"/>
              <w:rPr>
                <w:rFonts w:ascii="Calibri" w:eastAsia="Times New Roman" w:hAnsi="Calibri" w:cs="Calibri"/>
                <w:b/>
                <w:bCs/>
                <w:color w:val="000000"/>
                <w:lang w:eastAsia="cs-CZ"/>
              </w:rPr>
            </w:pPr>
            <w:r w:rsidRPr="00687021">
              <w:rPr>
                <w:rFonts w:ascii="Calibri" w:eastAsia="Times New Roman" w:hAnsi="Calibri" w:cs="Calibri"/>
                <w:b/>
                <w:bCs/>
                <w:color w:val="000000"/>
                <w:lang w:eastAsia="cs-CZ"/>
              </w:rPr>
              <w:t>Předfinancování a kofinancování projektů spolufinancovaných z EU/EHP a ostatní související výdaje s projekty EU/EHP</w:t>
            </w:r>
          </w:p>
        </w:tc>
      </w:tr>
      <w:tr w:rsidR="00687021" w:rsidRPr="00687021" w14:paraId="1DC2E3F1" w14:textId="77777777" w:rsidTr="00956DE6">
        <w:trPr>
          <w:trHeight w:val="300"/>
        </w:trPr>
        <w:tc>
          <w:tcPr>
            <w:tcW w:w="684"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21826726"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 </w:t>
            </w:r>
          </w:p>
        </w:tc>
        <w:tc>
          <w:tcPr>
            <w:tcW w:w="4536" w:type="dxa"/>
            <w:tcBorders>
              <w:top w:val="single" w:sz="8" w:space="0" w:color="auto"/>
              <w:left w:val="nil"/>
              <w:bottom w:val="single" w:sz="4" w:space="0" w:color="auto"/>
              <w:right w:val="single" w:sz="4" w:space="0" w:color="auto"/>
            </w:tcBorders>
            <w:shd w:val="clear" w:color="auto" w:fill="auto"/>
            <w:vAlign w:val="bottom"/>
            <w:hideMark/>
          </w:tcPr>
          <w:p w14:paraId="22BBE749" w14:textId="77777777" w:rsidR="00687021" w:rsidRPr="00687021" w:rsidRDefault="00687021" w:rsidP="00687021">
            <w:pPr>
              <w:spacing w:after="0" w:line="240" w:lineRule="auto"/>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OP Zaměstnanost</w:t>
            </w:r>
          </w:p>
        </w:tc>
        <w:tc>
          <w:tcPr>
            <w:tcW w:w="1418" w:type="dxa"/>
            <w:tcBorders>
              <w:top w:val="single" w:sz="8" w:space="0" w:color="auto"/>
              <w:left w:val="nil"/>
              <w:bottom w:val="single" w:sz="4" w:space="0" w:color="auto"/>
              <w:right w:val="single" w:sz="4" w:space="0" w:color="auto"/>
            </w:tcBorders>
            <w:shd w:val="clear" w:color="auto" w:fill="auto"/>
            <w:vAlign w:val="bottom"/>
            <w:hideMark/>
          </w:tcPr>
          <w:p w14:paraId="1DA4A421" w14:textId="77777777" w:rsidR="00687021" w:rsidRPr="00687021" w:rsidRDefault="00687021" w:rsidP="00687021">
            <w:pPr>
              <w:spacing w:after="0" w:line="240" w:lineRule="auto"/>
              <w:jc w:val="right"/>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0</w:t>
            </w:r>
          </w:p>
        </w:tc>
        <w:tc>
          <w:tcPr>
            <w:tcW w:w="1701" w:type="dxa"/>
            <w:tcBorders>
              <w:top w:val="single" w:sz="8" w:space="0" w:color="auto"/>
              <w:left w:val="nil"/>
              <w:bottom w:val="single" w:sz="4" w:space="0" w:color="auto"/>
              <w:right w:val="single" w:sz="4" w:space="0" w:color="auto"/>
            </w:tcBorders>
            <w:shd w:val="clear" w:color="auto" w:fill="auto"/>
            <w:vAlign w:val="bottom"/>
            <w:hideMark/>
          </w:tcPr>
          <w:p w14:paraId="503939D7" w14:textId="77777777" w:rsidR="00687021" w:rsidRPr="00687021" w:rsidRDefault="00687021" w:rsidP="00687021">
            <w:pPr>
              <w:spacing w:after="0" w:line="240" w:lineRule="auto"/>
              <w:jc w:val="right"/>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 xml:space="preserve"> 15 754 239,82    </w:t>
            </w:r>
          </w:p>
        </w:tc>
        <w:tc>
          <w:tcPr>
            <w:tcW w:w="1789" w:type="dxa"/>
            <w:tcBorders>
              <w:top w:val="single" w:sz="8" w:space="0" w:color="auto"/>
              <w:left w:val="nil"/>
              <w:bottom w:val="single" w:sz="4" w:space="0" w:color="auto"/>
              <w:right w:val="single" w:sz="4" w:space="0" w:color="auto"/>
            </w:tcBorders>
            <w:shd w:val="clear" w:color="auto" w:fill="auto"/>
            <w:vAlign w:val="bottom"/>
            <w:hideMark/>
          </w:tcPr>
          <w:p w14:paraId="3E6CBB42" w14:textId="77777777" w:rsidR="00687021" w:rsidRPr="00687021" w:rsidRDefault="00687021" w:rsidP="00687021">
            <w:pPr>
              <w:spacing w:after="0" w:line="240" w:lineRule="auto"/>
              <w:jc w:val="right"/>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12 511 800,83</w:t>
            </w:r>
          </w:p>
        </w:tc>
        <w:tc>
          <w:tcPr>
            <w:tcW w:w="659" w:type="dxa"/>
            <w:tcBorders>
              <w:top w:val="single" w:sz="8" w:space="0" w:color="auto"/>
              <w:left w:val="nil"/>
              <w:bottom w:val="single" w:sz="4" w:space="0" w:color="auto"/>
              <w:right w:val="single" w:sz="8" w:space="0" w:color="auto"/>
            </w:tcBorders>
            <w:shd w:val="clear" w:color="auto" w:fill="auto"/>
            <w:vAlign w:val="bottom"/>
            <w:hideMark/>
          </w:tcPr>
          <w:p w14:paraId="6C5897C2" w14:textId="77777777" w:rsidR="00687021" w:rsidRPr="00687021" w:rsidRDefault="00687021" w:rsidP="00687021">
            <w:pPr>
              <w:spacing w:after="0" w:line="240" w:lineRule="auto"/>
              <w:jc w:val="right"/>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79,4</w:t>
            </w:r>
          </w:p>
        </w:tc>
      </w:tr>
      <w:tr w:rsidR="00687021" w:rsidRPr="00687021" w14:paraId="04654ED6" w14:textId="77777777" w:rsidTr="00956DE6">
        <w:trPr>
          <w:trHeight w:val="300"/>
        </w:trPr>
        <w:tc>
          <w:tcPr>
            <w:tcW w:w="684" w:type="dxa"/>
            <w:tcBorders>
              <w:top w:val="nil"/>
              <w:left w:val="single" w:sz="8" w:space="0" w:color="auto"/>
              <w:bottom w:val="nil"/>
              <w:right w:val="single" w:sz="4" w:space="0" w:color="auto"/>
            </w:tcBorders>
            <w:shd w:val="clear" w:color="auto" w:fill="auto"/>
            <w:noWrap/>
            <w:vAlign w:val="bottom"/>
            <w:hideMark/>
          </w:tcPr>
          <w:p w14:paraId="58AF4EC5"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 </w:t>
            </w:r>
          </w:p>
        </w:tc>
        <w:tc>
          <w:tcPr>
            <w:tcW w:w="4536" w:type="dxa"/>
            <w:tcBorders>
              <w:top w:val="nil"/>
              <w:left w:val="nil"/>
              <w:bottom w:val="nil"/>
              <w:right w:val="single" w:sz="4" w:space="0" w:color="auto"/>
            </w:tcBorders>
            <w:shd w:val="clear" w:color="auto" w:fill="auto"/>
            <w:vAlign w:val="bottom"/>
            <w:hideMark/>
          </w:tcPr>
          <w:p w14:paraId="586DBA93" w14:textId="77777777" w:rsidR="00687021" w:rsidRPr="00687021" w:rsidRDefault="00687021" w:rsidP="00687021">
            <w:pPr>
              <w:spacing w:after="0" w:line="240" w:lineRule="auto"/>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IROP - ITI PMO</w:t>
            </w:r>
          </w:p>
        </w:tc>
        <w:tc>
          <w:tcPr>
            <w:tcW w:w="1418" w:type="dxa"/>
            <w:tcBorders>
              <w:top w:val="nil"/>
              <w:left w:val="nil"/>
              <w:bottom w:val="single" w:sz="4" w:space="0" w:color="auto"/>
              <w:right w:val="single" w:sz="4" w:space="0" w:color="auto"/>
            </w:tcBorders>
            <w:shd w:val="clear" w:color="auto" w:fill="auto"/>
            <w:vAlign w:val="bottom"/>
            <w:hideMark/>
          </w:tcPr>
          <w:p w14:paraId="049B7F89" w14:textId="77777777" w:rsidR="00687021" w:rsidRPr="00687021" w:rsidRDefault="00687021" w:rsidP="00687021">
            <w:pPr>
              <w:spacing w:after="0" w:line="240" w:lineRule="auto"/>
              <w:jc w:val="right"/>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0</w:t>
            </w:r>
          </w:p>
        </w:tc>
        <w:tc>
          <w:tcPr>
            <w:tcW w:w="1701" w:type="dxa"/>
            <w:tcBorders>
              <w:top w:val="nil"/>
              <w:left w:val="nil"/>
              <w:bottom w:val="single" w:sz="4" w:space="0" w:color="auto"/>
              <w:right w:val="single" w:sz="4" w:space="0" w:color="auto"/>
            </w:tcBorders>
            <w:shd w:val="clear" w:color="auto" w:fill="auto"/>
            <w:vAlign w:val="bottom"/>
            <w:hideMark/>
          </w:tcPr>
          <w:p w14:paraId="5C784DFC" w14:textId="77777777" w:rsidR="00687021" w:rsidRPr="00687021" w:rsidRDefault="00687021" w:rsidP="00687021">
            <w:pPr>
              <w:spacing w:after="0" w:line="240" w:lineRule="auto"/>
              <w:jc w:val="right"/>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 xml:space="preserve"> 10 109 263,90    </w:t>
            </w:r>
          </w:p>
        </w:tc>
        <w:tc>
          <w:tcPr>
            <w:tcW w:w="1789" w:type="dxa"/>
            <w:tcBorders>
              <w:top w:val="nil"/>
              <w:left w:val="nil"/>
              <w:bottom w:val="single" w:sz="4" w:space="0" w:color="auto"/>
              <w:right w:val="single" w:sz="4" w:space="0" w:color="auto"/>
            </w:tcBorders>
            <w:shd w:val="clear" w:color="auto" w:fill="auto"/>
            <w:vAlign w:val="bottom"/>
            <w:hideMark/>
          </w:tcPr>
          <w:p w14:paraId="0E54A4A0" w14:textId="77777777" w:rsidR="00687021" w:rsidRPr="00687021" w:rsidRDefault="00687021" w:rsidP="00687021">
            <w:pPr>
              <w:spacing w:after="0" w:line="240" w:lineRule="auto"/>
              <w:jc w:val="right"/>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9 980 382,12</w:t>
            </w:r>
          </w:p>
        </w:tc>
        <w:tc>
          <w:tcPr>
            <w:tcW w:w="659" w:type="dxa"/>
            <w:tcBorders>
              <w:top w:val="nil"/>
              <w:left w:val="nil"/>
              <w:bottom w:val="single" w:sz="4" w:space="0" w:color="auto"/>
              <w:right w:val="single" w:sz="8" w:space="0" w:color="auto"/>
            </w:tcBorders>
            <w:shd w:val="clear" w:color="auto" w:fill="auto"/>
            <w:vAlign w:val="bottom"/>
            <w:hideMark/>
          </w:tcPr>
          <w:p w14:paraId="603C4D10" w14:textId="77777777" w:rsidR="00687021" w:rsidRPr="00687021" w:rsidRDefault="00687021" w:rsidP="00687021">
            <w:pPr>
              <w:spacing w:after="0" w:line="240" w:lineRule="auto"/>
              <w:jc w:val="right"/>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98,7</w:t>
            </w:r>
          </w:p>
        </w:tc>
      </w:tr>
      <w:tr w:rsidR="00687021" w:rsidRPr="00687021" w14:paraId="4F594D58" w14:textId="77777777" w:rsidTr="00956DE6">
        <w:trPr>
          <w:trHeight w:val="300"/>
        </w:trPr>
        <w:tc>
          <w:tcPr>
            <w:tcW w:w="684"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3D8E0A0F" w14:textId="77777777" w:rsidR="00687021" w:rsidRPr="00687021" w:rsidRDefault="00687021" w:rsidP="00687021">
            <w:pPr>
              <w:spacing w:after="0" w:line="240" w:lineRule="auto"/>
              <w:jc w:val="center"/>
              <w:rPr>
                <w:rFonts w:ascii="Calibri" w:eastAsia="Times New Roman" w:hAnsi="Calibri" w:cs="Calibri"/>
                <w:lang w:eastAsia="cs-CZ"/>
              </w:rPr>
            </w:pPr>
            <w:r w:rsidRPr="00687021">
              <w:rPr>
                <w:rFonts w:ascii="Calibri" w:eastAsia="Times New Roman" w:hAnsi="Calibri" w:cs="Calibri"/>
                <w:lang w:eastAsia="cs-CZ"/>
              </w:rPr>
              <w:t> </w:t>
            </w:r>
          </w:p>
        </w:tc>
        <w:tc>
          <w:tcPr>
            <w:tcW w:w="4536" w:type="dxa"/>
            <w:tcBorders>
              <w:top w:val="single" w:sz="8" w:space="0" w:color="auto"/>
              <w:left w:val="nil"/>
              <w:bottom w:val="single" w:sz="8" w:space="0" w:color="auto"/>
              <w:right w:val="single" w:sz="4" w:space="0" w:color="auto"/>
            </w:tcBorders>
            <w:shd w:val="clear" w:color="auto" w:fill="auto"/>
            <w:noWrap/>
            <w:vAlign w:val="bottom"/>
            <w:hideMark/>
          </w:tcPr>
          <w:p w14:paraId="0D24C2A2" w14:textId="77777777" w:rsidR="00687021" w:rsidRPr="00687021" w:rsidRDefault="00687021" w:rsidP="00687021">
            <w:pPr>
              <w:spacing w:after="0" w:line="240" w:lineRule="auto"/>
              <w:rPr>
                <w:rFonts w:ascii="Calibri" w:eastAsia="Times New Roman" w:hAnsi="Calibri" w:cs="Calibri"/>
                <w:b/>
                <w:bCs/>
                <w:color w:val="000000"/>
                <w:lang w:eastAsia="cs-CZ"/>
              </w:rPr>
            </w:pPr>
            <w:r w:rsidRPr="00687021">
              <w:rPr>
                <w:rFonts w:ascii="Calibri" w:eastAsia="Times New Roman" w:hAnsi="Calibri" w:cs="Calibri"/>
                <w:b/>
                <w:bCs/>
                <w:color w:val="000000"/>
                <w:lang w:eastAsia="cs-CZ"/>
              </w:rPr>
              <w:t>Celkem</w:t>
            </w:r>
          </w:p>
        </w:tc>
        <w:tc>
          <w:tcPr>
            <w:tcW w:w="1418" w:type="dxa"/>
            <w:tcBorders>
              <w:top w:val="single" w:sz="8" w:space="0" w:color="auto"/>
              <w:left w:val="nil"/>
              <w:bottom w:val="single" w:sz="8" w:space="0" w:color="auto"/>
              <w:right w:val="single" w:sz="4" w:space="0" w:color="auto"/>
            </w:tcBorders>
            <w:shd w:val="clear" w:color="auto" w:fill="auto"/>
            <w:noWrap/>
            <w:vAlign w:val="bottom"/>
            <w:hideMark/>
          </w:tcPr>
          <w:p w14:paraId="564B8AE1" w14:textId="77777777" w:rsidR="00687021" w:rsidRPr="00687021" w:rsidRDefault="00687021" w:rsidP="00687021">
            <w:pPr>
              <w:spacing w:after="0" w:line="240" w:lineRule="auto"/>
              <w:jc w:val="right"/>
              <w:rPr>
                <w:rFonts w:ascii="Calibri" w:eastAsia="Times New Roman" w:hAnsi="Calibri" w:cs="Calibri"/>
                <w:b/>
                <w:bCs/>
                <w:color w:val="000000"/>
                <w:lang w:eastAsia="cs-CZ"/>
              </w:rPr>
            </w:pPr>
            <w:r w:rsidRPr="00687021">
              <w:rPr>
                <w:rFonts w:ascii="Calibri" w:eastAsia="Times New Roman" w:hAnsi="Calibri" w:cs="Calibri"/>
                <w:b/>
                <w:bCs/>
                <w:color w:val="000000"/>
                <w:lang w:eastAsia="cs-CZ"/>
              </w:rPr>
              <w:t>0</w:t>
            </w:r>
          </w:p>
        </w:tc>
        <w:tc>
          <w:tcPr>
            <w:tcW w:w="1701" w:type="dxa"/>
            <w:tcBorders>
              <w:top w:val="single" w:sz="8" w:space="0" w:color="auto"/>
              <w:left w:val="nil"/>
              <w:bottom w:val="single" w:sz="8" w:space="0" w:color="auto"/>
              <w:right w:val="single" w:sz="4" w:space="0" w:color="auto"/>
            </w:tcBorders>
            <w:shd w:val="clear" w:color="auto" w:fill="auto"/>
            <w:noWrap/>
            <w:vAlign w:val="bottom"/>
            <w:hideMark/>
          </w:tcPr>
          <w:p w14:paraId="2B1BC543" w14:textId="77777777" w:rsidR="00687021" w:rsidRPr="00687021" w:rsidRDefault="00687021" w:rsidP="00687021">
            <w:pPr>
              <w:spacing w:after="0" w:line="240" w:lineRule="auto"/>
              <w:jc w:val="right"/>
              <w:rPr>
                <w:rFonts w:ascii="Calibri" w:eastAsia="Times New Roman" w:hAnsi="Calibri" w:cs="Calibri"/>
                <w:b/>
                <w:bCs/>
                <w:color w:val="000000"/>
                <w:lang w:eastAsia="cs-CZ"/>
              </w:rPr>
            </w:pPr>
            <w:r w:rsidRPr="00687021">
              <w:rPr>
                <w:rFonts w:ascii="Calibri" w:eastAsia="Times New Roman" w:hAnsi="Calibri" w:cs="Calibri"/>
                <w:b/>
                <w:bCs/>
                <w:color w:val="000000"/>
                <w:lang w:eastAsia="cs-CZ"/>
              </w:rPr>
              <w:t>25 863 503,72</w:t>
            </w:r>
          </w:p>
        </w:tc>
        <w:tc>
          <w:tcPr>
            <w:tcW w:w="1789" w:type="dxa"/>
            <w:tcBorders>
              <w:top w:val="single" w:sz="8" w:space="0" w:color="auto"/>
              <w:left w:val="nil"/>
              <w:bottom w:val="single" w:sz="8" w:space="0" w:color="auto"/>
              <w:right w:val="single" w:sz="4" w:space="0" w:color="auto"/>
            </w:tcBorders>
            <w:shd w:val="clear" w:color="auto" w:fill="auto"/>
            <w:noWrap/>
            <w:vAlign w:val="bottom"/>
            <w:hideMark/>
          </w:tcPr>
          <w:p w14:paraId="636B67EA" w14:textId="77777777" w:rsidR="00687021" w:rsidRPr="00687021" w:rsidRDefault="00687021" w:rsidP="00687021">
            <w:pPr>
              <w:spacing w:after="0" w:line="240" w:lineRule="auto"/>
              <w:jc w:val="right"/>
              <w:rPr>
                <w:rFonts w:ascii="Calibri" w:eastAsia="Times New Roman" w:hAnsi="Calibri" w:cs="Calibri"/>
                <w:b/>
                <w:bCs/>
                <w:color w:val="000000"/>
                <w:lang w:eastAsia="cs-CZ"/>
              </w:rPr>
            </w:pPr>
            <w:r w:rsidRPr="00687021">
              <w:rPr>
                <w:rFonts w:ascii="Calibri" w:eastAsia="Times New Roman" w:hAnsi="Calibri" w:cs="Calibri"/>
                <w:b/>
                <w:bCs/>
                <w:color w:val="000000"/>
                <w:lang w:eastAsia="cs-CZ"/>
              </w:rPr>
              <w:t>22 492 182,95</w:t>
            </w:r>
          </w:p>
        </w:tc>
        <w:tc>
          <w:tcPr>
            <w:tcW w:w="659" w:type="dxa"/>
            <w:tcBorders>
              <w:top w:val="single" w:sz="8" w:space="0" w:color="auto"/>
              <w:left w:val="nil"/>
              <w:bottom w:val="single" w:sz="8" w:space="0" w:color="auto"/>
              <w:right w:val="single" w:sz="8" w:space="0" w:color="auto"/>
            </w:tcBorders>
            <w:shd w:val="clear" w:color="auto" w:fill="auto"/>
            <w:noWrap/>
            <w:vAlign w:val="bottom"/>
            <w:hideMark/>
          </w:tcPr>
          <w:p w14:paraId="2A7E6E46" w14:textId="77777777" w:rsidR="00687021" w:rsidRPr="00687021" w:rsidRDefault="00687021" w:rsidP="00687021">
            <w:pPr>
              <w:spacing w:after="0" w:line="240" w:lineRule="auto"/>
              <w:jc w:val="right"/>
              <w:rPr>
                <w:rFonts w:ascii="Calibri" w:eastAsia="Times New Roman" w:hAnsi="Calibri" w:cs="Calibri"/>
                <w:b/>
                <w:bCs/>
                <w:color w:val="000000"/>
                <w:lang w:eastAsia="cs-CZ"/>
              </w:rPr>
            </w:pPr>
            <w:r w:rsidRPr="00687021">
              <w:rPr>
                <w:rFonts w:ascii="Calibri" w:eastAsia="Times New Roman" w:hAnsi="Calibri" w:cs="Calibri"/>
                <w:b/>
                <w:bCs/>
                <w:color w:val="000000"/>
                <w:lang w:eastAsia="cs-CZ"/>
              </w:rPr>
              <w:t>87,0</w:t>
            </w:r>
          </w:p>
        </w:tc>
      </w:tr>
      <w:tr w:rsidR="00687021" w:rsidRPr="00687021" w14:paraId="68F7CC31" w14:textId="77777777" w:rsidTr="00956DE6">
        <w:trPr>
          <w:trHeight w:val="255"/>
        </w:trPr>
        <w:tc>
          <w:tcPr>
            <w:tcW w:w="684" w:type="dxa"/>
            <w:tcBorders>
              <w:top w:val="nil"/>
              <w:left w:val="nil"/>
              <w:bottom w:val="nil"/>
              <w:right w:val="nil"/>
            </w:tcBorders>
            <w:shd w:val="clear" w:color="auto" w:fill="auto"/>
            <w:noWrap/>
            <w:vAlign w:val="bottom"/>
            <w:hideMark/>
          </w:tcPr>
          <w:p w14:paraId="2FF9019C" w14:textId="77777777" w:rsidR="00687021" w:rsidRPr="00687021" w:rsidRDefault="00687021" w:rsidP="00687021">
            <w:pPr>
              <w:spacing w:after="0" w:line="240" w:lineRule="auto"/>
              <w:jc w:val="right"/>
              <w:rPr>
                <w:rFonts w:ascii="Calibri" w:eastAsia="Times New Roman" w:hAnsi="Calibri" w:cs="Calibri"/>
                <w:b/>
                <w:bCs/>
                <w:color w:val="000000"/>
                <w:lang w:eastAsia="cs-CZ"/>
              </w:rPr>
            </w:pPr>
          </w:p>
        </w:tc>
        <w:tc>
          <w:tcPr>
            <w:tcW w:w="4536" w:type="dxa"/>
            <w:tcBorders>
              <w:top w:val="nil"/>
              <w:left w:val="nil"/>
              <w:bottom w:val="nil"/>
              <w:right w:val="nil"/>
            </w:tcBorders>
            <w:shd w:val="clear" w:color="auto" w:fill="auto"/>
            <w:noWrap/>
            <w:vAlign w:val="bottom"/>
            <w:hideMark/>
          </w:tcPr>
          <w:p w14:paraId="7EBF92F0"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c>
          <w:tcPr>
            <w:tcW w:w="1418" w:type="dxa"/>
            <w:tcBorders>
              <w:top w:val="nil"/>
              <w:left w:val="nil"/>
              <w:bottom w:val="nil"/>
              <w:right w:val="nil"/>
            </w:tcBorders>
            <w:shd w:val="clear" w:color="auto" w:fill="auto"/>
            <w:noWrap/>
            <w:vAlign w:val="bottom"/>
            <w:hideMark/>
          </w:tcPr>
          <w:p w14:paraId="1674F627"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2013FE7A"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c>
          <w:tcPr>
            <w:tcW w:w="1789" w:type="dxa"/>
            <w:tcBorders>
              <w:top w:val="nil"/>
              <w:left w:val="nil"/>
              <w:bottom w:val="nil"/>
              <w:right w:val="nil"/>
            </w:tcBorders>
            <w:shd w:val="clear" w:color="auto" w:fill="auto"/>
            <w:noWrap/>
            <w:vAlign w:val="bottom"/>
            <w:hideMark/>
          </w:tcPr>
          <w:p w14:paraId="3A164CA9"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c>
          <w:tcPr>
            <w:tcW w:w="659" w:type="dxa"/>
            <w:tcBorders>
              <w:top w:val="nil"/>
              <w:left w:val="nil"/>
              <w:bottom w:val="nil"/>
              <w:right w:val="nil"/>
            </w:tcBorders>
            <w:shd w:val="clear" w:color="auto" w:fill="auto"/>
            <w:noWrap/>
            <w:vAlign w:val="bottom"/>
            <w:hideMark/>
          </w:tcPr>
          <w:p w14:paraId="0487CE08"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r>
      <w:tr w:rsidR="00687021" w:rsidRPr="00687021" w14:paraId="02DC944D" w14:textId="77777777" w:rsidTr="00956DE6">
        <w:trPr>
          <w:trHeight w:val="315"/>
        </w:trPr>
        <w:tc>
          <w:tcPr>
            <w:tcW w:w="684" w:type="dxa"/>
            <w:tcBorders>
              <w:top w:val="nil"/>
              <w:left w:val="nil"/>
              <w:bottom w:val="nil"/>
              <w:right w:val="nil"/>
            </w:tcBorders>
            <w:shd w:val="clear" w:color="auto" w:fill="auto"/>
            <w:noWrap/>
            <w:vAlign w:val="center"/>
            <w:hideMark/>
          </w:tcPr>
          <w:p w14:paraId="056151FD"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c>
          <w:tcPr>
            <w:tcW w:w="10103" w:type="dxa"/>
            <w:gridSpan w:val="5"/>
            <w:tcBorders>
              <w:top w:val="nil"/>
              <w:left w:val="nil"/>
              <w:bottom w:val="nil"/>
              <w:right w:val="nil"/>
            </w:tcBorders>
            <w:shd w:val="clear" w:color="auto" w:fill="auto"/>
            <w:vAlign w:val="bottom"/>
            <w:hideMark/>
          </w:tcPr>
          <w:p w14:paraId="019316C1" w14:textId="77777777" w:rsidR="00687021" w:rsidRPr="00687021" w:rsidRDefault="00687021" w:rsidP="00687021">
            <w:pPr>
              <w:spacing w:after="0" w:line="240" w:lineRule="auto"/>
              <w:rPr>
                <w:rFonts w:ascii="Calibri" w:eastAsia="Times New Roman" w:hAnsi="Calibri" w:cs="Calibri"/>
                <w:b/>
                <w:bCs/>
                <w:lang w:eastAsia="cs-CZ"/>
              </w:rPr>
            </w:pPr>
            <w:r w:rsidRPr="00687021">
              <w:rPr>
                <w:rFonts w:ascii="Calibri" w:eastAsia="Times New Roman" w:hAnsi="Calibri" w:cs="Calibri"/>
                <w:b/>
                <w:bCs/>
                <w:lang w:eastAsia="cs-CZ"/>
              </w:rPr>
              <w:t xml:space="preserve">Předfinancování a kofinancování projektů spolufinancovaných z národních zdrojů a ostatní související výdaje s projekty z národních zdrojů </w:t>
            </w:r>
          </w:p>
        </w:tc>
      </w:tr>
      <w:tr w:rsidR="00687021" w:rsidRPr="00687021" w14:paraId="435234DF" w14:textId="77777777" w:rsidTr="00956DE6">
        <w:trPr>
          <w:trHeight w:val="319"/>
        </w:trPr>
        <w:tc>
          <w:tcPr>
            <w:tcW w:w="684"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63320B90"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 </w:t>
            </w:r>
          </w:p>
        </w:tc>
        <w:tc>
          <w:tcPr>
            <w:tcW w:w="4536" w:type="dxa"/>
            <w:tcBorders>
              <w:top w:val="single" w:sz="8" w:space="0" w:color="auto"/>
              <w:left w:val="nil"/>
              <w:bottom w:val="single" w:sz="4" w:space="0" w:color="auto"/>
              <w:right w:val="single" w:sz="4" w:space="0" w:color="auto"/>
            </w:tcBorders>
            <w:shd w:val="clear" w:color="auto" w:fill="auto"/>
            <w:vAlign w:val="bottom"/>
            <w:hideMark/>
          </w:tcPr>
          <w:p w14:paraId="11F2847E" w14:textId="77777777" w:rsidR="00687021" w:rsidRPr="00687021" w:rsidRDefault="00687021" w:rsidP="00687021">
            <w:pPr>
              <w:spacing w:after="0" w:line="240" w:lineRule="auto"/>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Vybavení poskytovatelů sociálních služeb pro přechod na vysílací standard DVB - T2</w:t>
            </w:r>
          </w:p>
        </w:tc>
        <w:tc>
          <w:tcPr>
            <w:tcW w:w="1418" w:type="dxa"/>
            <w:tcBorders>
              <w:top w:val="single" w:sz="8" w:space="0" w:color="auto"/>
              <w:left w:val="nil"/>
              <w:bottom w:val="single" w:sz="4" w:space="0" w:color="auto"/>
              <w:right w:val="single" w:sz="4" w:space="0" w:color="auto"/>
            </w:tcBorders>
            <w:shd w:val="clear" w:color="auto" w:fill="auto"/>
            <w:vAlign w:val="bottom"/>
            <w:hideMark/>
          </w:tcPr>
          <w:p w14:paraId="1FD19397"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0</w:t>
            </w:r>
          </w:p>
        </w:tc>
        <w:tc>
          <w:tcPr>
            <w:tcW w:w="1701" w:type="dxa"/>
            <w:tcBorders>
              <w:top w:val="single" w:sz="8" w:space="0" w:color="auto"/>
              <w:left w:val="nil"/>
              <w:bottom w:val="single" w:sz="4" w:space="0" w:color="auto"/>
              <w:right w:val="single" w:sz="4" w:space="0" w:color="auto"/>
            </w:tcBorders>
            <w:shd w:val="clear" w:color="auto" w:fill="auto"/>
            <w:vAlign w:val="bottom"/>
            <w:hideMark/>
          </w:tcPr>
          <w:p w14:paraId="4617DC13"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2 153 000,00</w:t>
            </w:r>
          </w:p>
        </w:tc>
        <w:tc>
          <w:tcPr>
            <w:tcW w:w="1789" w:type="dxa"/>
            <w:tcBorders>
              <w:top w:val="single" w:sz="8" w:space="0" w:color="auto"/>
              <w:left w:val="nil"/>
              <w:bottom w:val="single" w:sz="4" w:space="0" w:color="auto"/>
              <w:right w:val="single" w:sz="4" w:space="0" w:color="auto"/>
            </w:tcBorders>
            <w:shd w:val="clear" w:color="auto" w:fill="auto"/>
            <w:vAlign w:val="bottom"/>
            <w:hideMark/>
          </w:tcPr>
          <w:p w14:paraId="1C62A50A"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0,00</w:t>
            </w:r>
          </w:p>
        </w:tc>
        <w:tc>
          <w:tcPr>
            <w:tcW w:w="659" w:type="dxa"/>
            <w:tcBorders>
              <w:top w:val="single" w:sz="8" w:space="0" w:color="auto"/>
              <w:left w:val="nil"/>
              <w:bottom w:val="single" w:sz="4" w:space="0" w:color="auto"/>
              <w:right w:val="single" w:sz="8" w:space="0" w:color="auto"/>
            </w:tcBorders>
            <w:shd w:val="clear" w:color="auto" w:fill="auto"/>
            <w:noWrap/>
            <w:vAlign w:val="bottom"/>
            <w:hideMark/>
          </w:tcPr>
          <w:p w14:paraId="0F6225D6"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0,0</w:t>
            </w:r>
          </w:p>
        </w:tc>
      </w:tr>
      <w:tr w:rsidR="00687021" w:rsidRPr="00687021" w14:paraId="75EE670B"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43C31658"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 </w:t>
            </w:r>
          </w:p>
        </w:tc>
        <w:tc>
          <w:tcPr>
            <w:tcW w:w="10103" w:type="dxa"/>
            <w:gridSpan w:val="5"/>
            <w:tcBorders>
              <w:top w:val="single" w:sz="4" w:space="0" w:color="auto"/>
              <w:left w:val="nil"/>
              <w:bottom w:val="single" w:sz="4" w:space="0" w:color="auto"/>
              <w:right w:val="single" w:sz="8" w:space="0" w:color="000000"/>
            </w:tcBorders>
            <w:shd w:val="clear" w:color="auto" w:fill="auto"/>
            <w:vAlign w:val="bottom"/>
            <w:hideMark/>
          </w:tcPr>
          <w:p w14:paraId="2E3D04D0" w14:textId="77777777" w:rsidR="00687021" w:rsidRPr="00687021" w:rsidRDefault="00687021" w:rsidP="00687021">
            <w:pPr>
              <w:spacing w:after="0" w:line="240" w:lineRule="auto"/>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z toho:</w:t>
            </w:r>
          </w:p>
        </w:tc>
      </w:tr>
      <w:tr w:rsidR="00687021" w:rsidRPr="00687021" w14:paraId="42E27058" w14:textId="77777777" w:rsidTr="00956DE6">
        <w:trPr>
          <w:trHeight w:val="36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55F3F5C6" w14:textId="77777777" w:rsidR="00687021" w:rsidRPr="00687021" w:rsidRDefault="00687021" w:rsidP="00687021">
            <w:pPr>
              <w:spacing w:after="0" w:line="240" w:lineRule="auto"/>
              <w:jc w:val="center"/>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4350</w:t>
            </w:r>
          </w:p>
        </w:tc>
        <w:tc>
          <w:tcPr>
            <w:tcW w:w="4536" w:type="dxa"/>
            <w:tcBorders>
              <w:top w:val="nil"/>
              <w:left w:val="nil"/>
              <w:bottom w:val="single" w:sz="4" w:space="0" w:color="auto"/>
              <w:right w:val="single" w:sz="4" w:space="0" w:color="auto"/>
            </w:tcBorders>
            <w:shd w:val="clear" w:color="auto" w:fill="auto"/>
            <w:vAlign w:val="bottom"/>
            <w:hideMark/>
          </w:tcPr>
          <w:p w14:paraId="0B28929C" w14:textId="77777777" w:rsidR="00687021" w:rsidRPr="00687021" w:rsidRDefault="00687021" w:rsidP="00687021">
            <w:pPr>
              <w:spacing w:after="0" w:line="240" w:lineRule="auto"/>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Domovy pro seniory</w:t>
            </w:r>
          </w:p>
        </w:tc>
        <w:tc>
          <w:tcPr>
            <w:tcW w:w="1418" w:type="dxa"/>
            <w:tcBorders>
              <w:top w:val="nil"/>
              <w:left w:val="nil"/>
              <w:bottom w:val="single" w:sz="4" w:space="0" w:color="auto"/>
              <w:right w:val="single" w:sz="4" w:space="0" w:color="auto"/>
            </w:tcBorders>
            <w:shd w:val="clear" w:color="auto" w:fill="auto"/>
            <w:vAlign w:val="bottom"/>
            <w:hideMark/>
          </w:tcPr>
          <w:p w14:paraId="2E8D30CE"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0</w:t>
            </w:r>
          </w:p>
        </w:tc>
        <w:tc>
          <w:tcPr>
            <w:tcW w:w="1701" w:type="dxa"/>
            <w:tcBorders>
              <w:top w:val="nil"/>
              <w:left w:val="nil"/>
              <w:bottom w:val="single" w:sz="4" w:space="0" w:color="auto"/>
              <w:right w:val="single" w:sz="4" w:space="0" w:color="auto"/>
            </w:tcBorders>
            <w:shd w:val="clear" w:color="auto" w:fill="auto"/>
            <w:vAlign w:val="bottom"/>
            <w:hideMark/>
          </w:tcPr>
          <w:p w14:paraId="79962945"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2 153 000,00</w:t>
            </w:r>
          </w:p>
        </w:tc>
        <w:tc>
          <w:tcPr>
            <w:tcW w:w="1789" w:type="dxa"/>
            <w:tcBorders>
              <w:top w:val="nil"/>
              <w:left w:val="nil"/>
              <w:bottom w:val="single" w:sz="4" w:space="0" w:color="auto"/>
              <w:right w:val="single" w:sz="4" w:space="0" w:color="auto"/>
            </w:tcBorders>
            <w:shd w:val="clear" w:color="auto" w:fill="auto"/>
            <w:vAlign w:val="bottom"/>
            <w:hideMark/>
          </w:tcPr>
          <w:p w14:paraId="10BA457D"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0,00</w:t>
            </w:r>
          </w:p>
        </w:tc>
        <w:tc>
          <w:tcPr>
            <w:tcW w:w="659" w:type="dxa"/>
            <w:tcBorders>
              <w:top w:val="nil"/>
              <w:left w:val="nil"/>
              <w:bottom w:val="single" w:sz="4" w:space="0" w:color="auto"/>
              <w:right w:val="single" w:sz="8" w:space="0" w:color="auto"/>
            </w:tcBorders>
            <w:shd w:val="clear" w:color="auto" w:fill="auto"/>
            <w:noWrap/>
            <w:vAlign w:val="bottom"/>
            <w:hideMark/>
          </w:tcPr>
          <w:p w14:paraId="550884FB"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0,0</w:t>
            </w:r>
          </w:p>
        </w:tc>
      </w:tr>
      <w:tr w:rsidR="00687021" w:rsidRPr="00687021" w14:paraId="5C6F9838" w14:textId="77777777" w:rsidTr="00956DE6">
        <w:trPr>
          <w:trHeight w:val="255"/>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03FCADAC" w14:textId="77777777" w:rsidR="00687021" w:rsidRPr="00687021" w:rsidRDefault="00687021" w:rsidP="00687021">
            <w:pPr>
              <w:spacing w:after="0" w:line="240" w:lineRule="auto"/>
              <w:jc w:val="center"/>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 </w:t>
            </w:r>
          </w:p>
        </w:tc>
        <w:tc>
          <w:tcPr>
            <w:tcW w:w="4536" w:type="dxa"/>
            <w:tcBorders>
              <w:top w:val="nil"/>
              <w:left w:val="nil"/>
              <w:bottom w:val="single" w:sz="4" w:space="0" w:color="auto"/>
              <w:right w:val="single" w:sz="4" w:space="0" w:color="auto"/>
            </w:tcBorders>
            <w:shd w:val="clear" w:color="auto" w:fill="auto"/>
            <w:vAlign w:val="bottom"/>
            <w:hideMark/>
          </w:tcPr>
          <w:p w14:paraId="0F9F60D3" w14:textId="77777777" w:rsidR="00687021" w:rsidRPr="00687021" w:rsidRDefault="00687021" w:rsidP="00687021">
            <w:pPr>
              <w:spacing w:after="0" w:line="240" w:lineRule="auto"/>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Výsadba stromů</w:t>
            </w:r>
          </w:p>
        </w:tc>
        <w:tc>
          <w:tcPr>
            <w:tcW w:w="1418" w:type="dxa"/>
            <w:tcBorders>
              <w:top w:val="nil"/>
              <w:left w:val="nil"/>
              <w:bottom w:val="single" w:sz="4" w:space="0" w:color="auto"/>
              <w:right w:val="single" w:sz="4" w:space="0" w:color="auto"/>
            </w:tcBorders>
            <w:shd w:val="clear" w:color="auto" w:fill="auto"/>
            <w:vAlign w:val="bottom"/>
            <w:hideMark/>
          </w:tcPr>
          <w:p w14:paraId="7052411C"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0</w:t>
            </w:r>
          </w:p>
        </w:tc>
        <w:tc>
          <w:tcPr>
            <w:tcW w:w="1701" w:type="dxa"/>
            <w:tcBorders>
              <w:top w:val="nil"/>
              <w:left w:val="nil"/>
              <w:bottom w:val="single" w:sz="4" w:space="0" w:color="auto"/>
              <w:right w:val="single" w:sz="4" w:space="0" w:color="auto"/>
            </w:tcBorders>
            <w:shd w:val="clear" w:color="auto" w:fill="auto"/>
            <w:vAlign w:val="bottom"/>
            <w:hideMark/>
          </w:tcPr>
          <w:p w14:paraId="1E98D3CC"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41 588,50</w:t>
            </w:r>
          </w:p>
        </w:tc>
        <w:tc>
          <w:tcPr>
            <w:tcW w:w="1789" w:type="dxa"/>
            <w:tcBorders>
              <w:top w:val="nil"/>
              <w:left w:val="nil"/>
              <w:bottom w:val="single" w:sz="4" w:space="0" w:color="auto"/>
              <w:right w:val="single" w:sz="4" w:space="0" w:color="auto"/>
            </w:tcBorders>
            <w:shd w:val="clear" w:color="auto" w:fill="auto"/>
            <w:vAlign w:val="bottom"/>
            <w:hideMark/>
          </w:tcPr>
          <w:p w14:paraId="68020010"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41 588,50</w:t>
            </w:r>
          </w:p>
        </w:tc>
        <w:tc>
          <w:tcPr>
            <w:tcW w:w="659" w:type="dxa"/>
            <w:tcBorders>
              <w:top w:val="nil"/>
              <w:left w:val="nil"/>
              <w:bottom w:val="single" w:sz="4" w:space="0" w:color="auto"/>
              <w:right w:val="single" w:sz="8" w:space="0" w:color="auto"/>
            </w:tcBorders>
            <w:shd w:val="clear" w:color="auto" w:fill="auto"/>
            <w:noWrap/>
            <w:vAlign w:val="bottom"/>
            <w:hideMark/>
          </w:tcPr>
          <w:p w14:paraId="2FC9668A"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100,0</w:t>
            </w:r>
          </w:p>
        </w:tc>
      </w:tr>
      <w:tr w:rsidR="00687021" w:rsidRPr="00687021" w14:paraId="7C949FD1" w14:textId="77777777" w:rsidTr="00956DE6">
        <w:trPr>
          <w:trHeight w:val="255"/>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402F7F40" w14:textId="77777777" w:rsidR="00687021" w:rsidRPr="00687021" w:rsidRDefault="00687021" w:rsidP="00687021">
            <w:pPr>
              <w:spacing w:after="0" w:line="240" w:lineRule="auto"/>
              <w:jc w:val="center"/>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 </w:t>
            </w:r>
          </w:p>
        </w:tc>
        <w:tc>
          <w:tcPr>
            <w:tcW w:w="4536" w:type="dxa"/>
            <w:tcBorders>
              <w:top w:val="nil"/>
              <w:left w:val="nil"/>
              <w:bottom w:val="single" w:sz="4" w:space="0" w:color="auto"/>
              <w:right w:val="single" w:sz="4" w:space="0" w:color="auto"/>
            </w:tcBorders>
            <w:shd w:val="clear" w:color="auto" w:fill="auto"/>
            <w:vAlign w:val="bottom"/>
            <w:hideMark/>
          </w:tcPr>
          <w:p w14:paraId="79318B18" w14:textId="77777777" w:rsidR="00687021" w:rsidRPr="00687021" w:rsidRDefault="00687021" w:rsidP="00687021">
            <w:pPr>
              <w:spacing w:after="0" w:line="240" w:lineRule="auto"/>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z toho:</w:t>
            </w:r>
          </w:p>
        </w:tc>
        <w:tc>
          <w:tcPr>
            <w:tcW w:w="1418" w:type="dxa"/>
            <w:tcBorders>
              <w:top w:val="nil"/>
              <w:left w:val="nil"/>
              <w:bottom w:val="single" w:sz="4" w:space="0" w:color="auto"/>
              <w:right w:val="single" w:sz="4" w:space="0" w:color="auto"/>
            </w:tcBorders>
            <w:shd w:val="clear" w:color="auto" w:fill="auto"/>
            <w:vAlign w:val="bottom"/>
            <w:hideMark/>
          </w:tcPr>
          <w:p w14:paraId="7CB2178B" w14:textId="77777777" w:rsidR="00687021" w:rsidRPr="00687021" w:rsidRDefault="00687021" w:rsidP="00687021">
            <w:pPr>
              <w:spacing w:after="0" w:line="240" w:lineRule="auto"/>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 </w:t>
            </w:r>
          </w:p>
        </w:tc>
        <w:tc>
          <w:tcPr>
            <w:tcW w:w="1701" w:type="dxa"/>
            <w:tcBorders>
              <w:top w:val="nil"/>
              <w:left w:val="nil"/>
              <w:bottom w:val="single" w:sz="4" w:space="0" w:color="auto"/>
              <w:right w:val="single" w:sz="4" w:space="0" w:color="auto"/>
            </w:tcBorders>
            <w:shd w:val="clear" w:color="auto" w:fill="auto"/>
            <w:vAlign w:val="bottom"/>
            <w:hideMark/>
          </w:tcPr>
          <w:p w14:paraId="573E2B34" w14:textId="77777777" w:rsidR="00687021" w:rsidRPr="00687021" w:rsidRDefault="00687021" w:rsidP="00687021">
            <w:pPr>
              <w:spacing w:after="0" w:line="240" w:lineRule="auto"/>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 </w:t>
            </w:r>
          </w:p>
        </w:tc>
        <w:tc>
          <w:tcPr>
            <w:tcW w:w="1789" w:type="dxa"/>
            <w:tcBorders>
              <w:top w:val="nil"/>
              <w:left w:val="nil"/>
              <w:bottom w:val="single" w:sz="4" w:space="0" w:color="auto"/>
              <w:right w:val="single" w:sz="4" w:space="0" w:color="auto"/>
            </w:tcBorders>
            <w:shd w:val="clear" w:color="auto" w:fill="auto"/>
            <w:vAlign w:val="bottom"/>
            <w:hideMark/>
          </w:tcPr>
          <w:p w14:paraId="070C3F8A" w14:textId="77777777" w:rsidR="00687021" w:rsidRPr="00687021" w:rsidRDefault="00687021" w:rsidP="00687021">
            <w:pPr>
              <w:spacing w:after="0" w:line="240" w:lineRule="auto"/>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 </w:t>
            </w:r>
          </w:p>
        </w:tc>
        <w:tc>
          <w:tcPr>
            <w:tcW w:w="659" w:type="dxa"/>
            <w:tcBorders>
              <w:top w:val="nil"/>
              <w:left w:val="nil"/>
              <w:bottom w:val="single" w:sz="4" w:space="0" w:color="auto"/>
              <w:right w:val="single" w:sz="8" w:space="0" w:color="auto"/>
            </w:tcBorders>
            <w:shd w:val="clear" w:color="auto" w:fill="auto"/>
            <w:noWrap/>
            <w:vAlign w:val="bottom"/>
            <w:hideMark/>
          </w:tcPr>
          <w:p w14:paraId="7BEE35D8"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 </w:t>
            </w:r>
          </w:p>
        </w:tc>
      </w:tr>
      <w:tr w:rsidR="00687021" w:rsidRPr="00687021" w14:paraId="335BCAF1"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6CC41AF8" w14:textId="77777777" w:rsidR="00687021" w:rsidRPr="00687021" w:rsidRDefault="00687021" w:rsidP="00687021">
            <w:pPr>
              <w:spacing w:after="0" w:line="240" w:lineRule="auto"/>
              <w:jc w:val="center"/>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4350</w:t>
            </w:r>
          </w:p>
        </w:tc>
        <w:tc>
          <w:tcPr>
            <w:tcW w:w="4536" w:type="dxa"/>
            <w:tcBorders>
              <w:top w:val="nil"/>
              <w:left w:val="nil"/>
              <w:bottom w:val="single" w:sz="4" w:space="0" w:color="auto"/>
              <w:right w:val="single" w:sz="4" w:space="0" w:color="auto"/>
            </w:tcBorders>
            <w:shd w:val="clear" w:color="auto" w:fill="auto"/>
            <w:vAlign w:val="bottom"/>
            <w:hideMark/>
          </w:tcPr>
          <w:p w14:paraId="3A4B9AA6" w14:textId="77777777" w:rsidR="00687021" w:rsidRPr="00687021" w:rsidRDefault="00687021" w:rsidP="00687021">
            <w:pPr>
              <w:spacing w:after="0" w:line="240" w:lineRule="auto"/>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Domovy pro seniory</w:t>
            </w:r>
          </w:p>
        </w:tc>
        <w:tc>
          <w:tcPr>
            <w:tcW w:w="1418" w:type="dxa"/>
            <w:tcBorders>
              <w:top w:val="nil"/>
              <w:left w:val="nil"/>
              <w:bottom w:val="single" w:sz="4" w:space="0" w:color="auto"/>
              <w:right w:val="single" w:sz="4" w:space="0" w:color="auto"/>
            </w:tcBorders>
            <w:shd w:val="clear" w:color="auto" w:fill="auto"/>
            <w:vAlign w:val="bottom"/>
            <w:hideMark/>
          </w:tcPr>
          <w:p w14:paraId="0178A435"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0</w:t>
            </w:r>
          </w:p>
        </w:tc>
        <w:tc>
          <w:tcPr>
            <w:tcW w:w="1701" w:type="dxa"/>
            <w:tcBorders>
              <w:top w:val="nil"/>
              <w:left w:val="nil"/>
              <w:bottom w:val="single" w:sz="4" w:space="0" w:color="auto"/>
              <w:right w:val="single" w:sz="4" w:space="0" w:color="auto"/>
            </w:tcBorders>
            <w:shd w:val="clear" w:color="auto" w:fill="auto"/>
            <w:vAlign w:val="bottom"/>
            <w:hideMark/>
          </w:tcPr>
          <w:p w14:paraId="0C4026D3"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18 889,00</w:t>
            </w:r>
          </w:p>
        </w:tc>
        <w:tc>
          <w:tcPr>
            <w:tcW w:w="1789" w:type="dxa"/>
            <w:tcBorders>
              <w:top w:val="nil"/>
              <w:left w:val="nil"/>
              <w:bottom w:val="single" w:sz="4" w:space="0" w:color="auto"/>
              <w:right w:val="single" w:sz="4" w:space="0" w:color="auto"/>
            </w:tcBorders>
            <w:shd w:val="clear" w:color="auto" w:fill="auto"/>
            <w:vAlign w:val="bottom"/>
            <w:hideMark/>
          </w:tcPr>
          <w:p w14:paraId="141E2E85"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18 889,00</w:t>
            </w:r>
          </w:p>
        </w:tc>
        <w:tc>
          <w:tcPr>
            <w:tcW w:w="659" w:type="dxa"/>
            <w:tcBorders>
              <w:top w:val="nil"/>
              <w:left w:val="nil"/>
              <w:bottom w:val="single" w:sz="4" w:space="0" w:color="auto"/>
              <w:right w:val="single" w:sz="8" w:space="0" w:color="auto"/>
            </w:tcBorders>
            <w:shd w:val="clear" w:color="auto" w:fill="auto"/>
            <w:noWrap/>
            <w:vAlign w:val="bottom"/>
            <w:hideMark/>
          </w:tcPr>
          <w:p w14:paraId="64EB5654"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100,0</w:t>
            </w:r>
          </w:p>
        </w:tc>
      </w:tr>
      <w:tr w:rsidR="00687021" w:rsidRPr="00687021" w14:paraId="752A221C" w14:textId="77777777" w:rsidTr="00956DE6">
        <w:trPr>
          <w:trHeight w:val="30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6385496E" w14:textId="77777777" w:rsidR="00687021" w:rsidRPr="00687021" w:rsidRDefault="00687021" w:rsidP="00687021">
            <w:pPr>
              <w:spacing w:after="0" w:line="240" w:lineRule="auto"/>
              <w:jc w:val="center"/>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4357</w:t>
            </w:r>
          </w:p>
        </w:tc>
        <w:tc>
          <w:tcPr>
            <w:tcW w:w="4536" w:type="dxa"/>
            <w:tcBorders>
              <w:top w:val="nil"/>
              <w:left w:val="nil"/>
              <w:bottom w:val="nil"/>
              <w:right w:val="single" w:sz="4" w:space="0" w:color="auto"/>
            </w:tcBorders>
            <w:shd w:val="clear" w:color="auto" w:fill="auto"/>
            <w:vAlign w:val="bottom"/>
            <w:hideMark/>
          </w:tcPr>
          <w:p w14:paraId="0B5EDE8D" w14:textId="77777777" w:rsidR="00687021" w:rsidRPr="00687021" w:rsidRDefault="00687021" w:rsidP="00687021">
            <w:pPr>
              <w:spacing w:after="0" w:line="240" w:lineRule="auto"/>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Domovy pro osoby se zdravotním postižením a domovy se zvláštním režimem</w:t>
            </w:r>
          </w:p>
        </w:tc>
        <w:tc>
          <w:tcPr>
            <w:tcW w:w="1418" w:type="dxa"/>
            <w:tcBorders>
              <w:top w:val="nil"/>
              <w:left w:val="nil"/>
              <w:bottom w:val="single" w:sz="4" w:space="0" w:color="auto"/>
              <w:right w:val="single" w:sz="4" w:space="0" w:color="auto"/>
            </w:tcBorders>
            <w:shd w:val="clear" w:color="auto" w:fill="auto"/>
            <w:vAlign w:val="bottom"/>
            <w:hideMark/>
          </w:tcPr>
          <w:p w14:paraId="518C75AD"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0</w:t>
            </w:r>
          </w:p>
        </w:tc>
        <w:tc>
          <w:tcPr>
            <w:tcW w:w="1701" w:type="dxa"/>
            <w:tcBorders>
              <w:top w:val="nil"/>
              <w:left w:val="nil"/>
              <w:bottom w:val="single" w:sz="4" w:space="0" w:color="auto"/>
              <w:right w:val="single" w:sz="4" w:space="0" w:color="auto"/>
            </w:tcBorders>
            <w:shd w:val="clear" w:color="auto" w:fill="auto"/>
            <w:vAlign w:val="bottom"/>
            <w:hideMark/>
          </w:tcPr>
          <w:p w14:paraId="148B5F5E"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22 699,50</w:t>
            </w:r>
          </w:p>
        </w:tc>
        <w:tc>
          <w:tcPr>
            <w:tcW w:w="1789" w:type="dxa"/>
            <w:tcBorders>
              <w:top w:val="nil"/>
              <w:left w:val="nil"/>
              <w:bottom w:val="single" w:sz="4" w:space="0" w:color="auto"/>
              <w:right w:val="single" w:sz="4" w:space="0" w:color="auto"/>
            </w:tcBorders>
            <w:shd w:val="clear" w:color="auto" w:fill="auto"/>
            <w:vAlign w:val="bottom"/>
            <w:hideMark/>
          </w:tcPr>
          <w:p w14:paraId="41D653BE"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22 699,50</w:t>
            </w:r>
          </w:p>
        </w:tc>
        <w:tc>
          <w:tcPr>
            <w:tcW w:w="659" w:type="dxa"/>
            <w:tcBorders>
              <w:top w:val="nil"/>
              <w:left w:val="nil"/>
              <w:bottom w:val="single" w:sz="4" w:space="0" w:color="auto"/>
              <w:right w:val="single" w:sz="8" w:space="0" w:color="auto"/>
            </w:tcBorders>
            <w:shd w:val="clear" w:color="auto" w:fill="auto"/>
            <w:noWrap/>
            <w:vAlign w:val="bottom"/>
            <w:hideMark/>
          </w:tcPr>
          <w:p w14:paraId="56577B83"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100,0</w:t>
            </w:r>
          </w:p>
        </w:tc>
      </w:tr>
      <w:tr w:rsidR="00687021" w:rsidRPr="00687021" w14:paraId="15050A72" w14:textId="77777777" w:rsidTr="00956DE6">
        <w:trPr>
          <w:trHeight w:val="255"/>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6C6B7DFC" w14:textId="77777777" w:rsidR="00687021" w:rsidRPr="00687021" w:rsidRDefault="00687021" w:rsidP="00687021">
            <w:pPr>
              <w:spacing w:after="0" w:line="240" w:lineRule="auto"/>
              <w:jc w:val="center"/>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 </w:t>
            </w:r>
          </w:p>
        </w:tc>
        <w:tc>
          <w:tcPr>
            <w:tcW w:w="4536" w:type="dxa"/>
            <w:tcBorders>
              <w:top w:val="single" w:sz="4" w:space="0" w:color="auto"/>
              <w:left w:val="nil"/>
              <w:bottom w:val="single" w:sz="4" w:space="0" w:color="auto"/>
              <w:right w:val="single" w:sz="4" w:space="0" w:color="auto"/>
            </w:tcBorders>
            <w:shd w:val="clear" w:color="auto" w:fill="auto"/>
            <w:vAlign w:val="bottom"/>
            <w:hideMark/>
          </w:tcPr>
          <w:p w14:paraId="72CD2973" w14:textId="77777777" w:rsidR="00687021" w:rsidRPr="00687021" w:rsidRDefault="00687021" w:rsidP="00687021">
            <w:pPr>
              <w:spacing w:after="0" w:line="240" w:lineRule="auto"/>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Druhá domácnost DOZP</w:t>
            </w:r>
          </w:p>
        </w:tc>
        <w:tc>
          <w:tcPr>
            <w:tcW w:w="1418" w:type="dxa"/>
            <w:tcBorders>
              <w:top w:val="nil"/>
              <w:left w:val="nil"/>
              <w:bottom w:val="single" w:sz="4" w:space="0" w:color="auto"/>
              <w:right w:val="single" w:sz="4" w:space="0" w:color="auto"/>
            </w:tcBorders>
            <w:shd w:val="clear" w:color="auto" w:fill="auto"/>
            <w:vAlign w:val="bottom"/>
            <w:hideMark/>
          </w:tcPr>
          <w:p w14:paraId="43BC1930"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0</w:t>
            </w:r>
          </w:p>
        </w:tc>
        <w:tc>
          <w:tcPr>
            <w:tcW w:w="1701" w:type="dxa"/>
            <w:tcBorders>
              <w:top w:val="nil"/>
              <w:left w:val="nil"/>
              <w:bottom w:val="single" w:sz="4" w:space="0" w:color="auto"/>
              <w:right w:val="single" w:sz="4" w:space="0" w:color="auto"/>
            </w:tcBorders>
            <w:shd w:val="clear" w:color="auto" w:fill="auto"/>
            <w:vAlign w:val="bottom"/>
            <w:hideMark/>
          </w:tcPr>
          <w:p w14:paraId="221F1C62"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5 897 200,00</w:t>
            </w:r>
          </w:p>
        </w:tc>
        <w:tc>
          <w:tcPr>
            <w:tcW w:w="1789" w:type="dxa"/>
            <w:tcBorders>
              <w:top w:val="nil"/>
              <w:left w:val="nil"/>
              <w:bottom w:val="single" w:sz="4" w:space="0" w:color="auto"/>
              <w:right w:val="single" w:sz="4" w:space="0" w:color="auto"/>
            </w:tcBorders>
            <w:shd w:val="clear" w:color="auto" w:fill="auto"/>
            <w:vAlign w:val="bottom"/>
            <w:hideMark/>
          </w:tcPr>
          <w:p w14:paraId="1E909C31"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385 990,00</w:t>
            </w:r>
          </w:p>
        </w:tc>
        <w:tc>
          <w:tcPr>
            <w:tcW w:w="659" w:type="dxa"/>
            <w:tcBorders>
              <w:top w:val="nil"/>
              <w:left w:val="nil"/>
              <w:bottom w:val="single" w:sz="4" w:space="0" w:color="auto"/>
              <w:right w:val="single" w:sz="8" w:space="0" w:color="auto"/>
            </w:tcBorders>
            <w:shd w:val="clear" w:color="auto" w:fill="auto"/>
            <w:noWrap/>
            <w:vAlign w:val="bottom"/>
            <w:hideMark/>
          </w:tcPr>
          <w:p w14:paraId="2CC4CD4F" w14:textId="77777777" w:rsidR="00687021" w:rsidRPr="00687021" w:rsidRDefault="00687021" w:rsidP="00687021">
            <w:pPr>
              <w:spacing w:after="0" w:line="240" w:lineRule="auto"/>
              <w:jc w:val="right"/>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6,5</w:t>
            </w:r>
          </w:p>
        </w:tc>
      </w:tr>
      <w:tr w:rsidR="00687021" w:rsidRPr="00687021" w14:paraId="23C2D74D" w14:textId="77777777" w:rsidTr="00956DE6">
        <w:trPr>
          <w:trHeight w:val="255"/>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7D6E7A79"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 </w:t>
            </w:r>
          </w:p>
        </w:tc>
        <w:tc>
          <w:tcPr>
            <w:tcW w:w="10103" w:type="dxa"/>
            <w:gridSpan w:val="5"/>
            <w:tcBorders>
              <w:top w:val="single" w:sz="4" w:space="0" w:color="auto"/>
              <w:left w:val="nil"/>
              <w:bottom w:val="single" w:sz="4" w:space="0" w:color="auto"/>
              <w:right w:val="single" w:sz="8" w:space="0" w:color="000000"/>
            </w:tcBorders>
            <w:shd w:val="clear" w:color="auto" w:fill="auto"/>
            <w:vAlign w:val="bottom"/>
            <w:hideMark/>
          </w:tcPr>
          <w:p w14:paraId="125D639A" w14:textId="77777777" w:rsidR="00687021" w:rsidRPr="00687021" w:rsidRDefault="00687021" w:rsidP="00687021">
            <w:pPr>
              <w:spacing w:after="0" w:line="240" w:lineRule="auto"/>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z toho:</w:t>
            </w:r>
          </w:p>
        </w:tc>
      </w:tr>
      <w:tr w:rsidR="00687021" w:rsidRPr="00687021" w14:paraId="2A47CCA1" w14:textId="77777777" w:rsidTr="00956DE6">
        <w:trPr>
          <w:trHeight w:val="319"/>
        </w:trPr>
        <w:tc>
          <w:tcPr>
            <w:tcW w:w="684" w:type="dxa"/>
            <w:tcBorders>
              <w:top w:val="nil"/>
              <w:left w:val="single" w:sz="8" w:space="0" w:color="auto"/>
              <w:bottom w:val="single" w:sz="8" w:space="0" w:color="auto"/>
              <w:right w:val="single" w:sz="4" w:space="0" w:color="auto"/>
            </w:tcBorders>
            <w:shd w:val="clear" w:color="auto" w:fill="auto"/>
            <w:noWrap/>
            <w:vAlign w:val="bottom"/>
            <w:hideMark/>
          </w:tcPr>
          <w:p w14:paraId="04CA5BF9" w14:textId="77777777" w:rsidR="00687021" w:rsidRPr="00687021" w:rsidRDefault="00687021" w:rsidP="00687021">
            <w:pPr>
              <w:spacing w:after="0" w:line="240" w:lineRule="auto"/>
              <w:jc w:val="center"/>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4357</w:t>
            </w:r>
          </w:p>
        </w:tc>
        <w:tc>
          <w:tcPr>
            <w:tcW w:w="4536" w:type="dxa"/>
            <w:tcBorders>
              <w:top w:val="nil"/>
              <w:left w:val="nil"/>
              <w:bottom w:val="single" w:sz="8" w:space="0" w:color="auto"/>
              <w:right w:val="single" w:sz="4" w:space="0" w:color="auto"/>
            </w:tcBorders>
            <w:shd w:val="clear" w:color="auto" w:fill="auto"/>
            <w:vAlign w:val="bottom"/>
            <w:hideMark/>
          </w:tcPr>
          <w:p w14:paraId="62371F5E" w14:textId="77777777" w:rsidR="00687021" w:rsidRPr="00687021" w:rsidRDefault="00687021" w:rsidP="00687021">
            <w:pPr>
              <w:spacing w:after="0" w:line="240" w:lineRule="auto"/>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Domovy pro osoby se zdravotním postižením a domovy se zvláštním režimem</w:t>
            </w:r>
          </w:p>
        </w:tc>
        <w:tc>
          <w:tcPr>
            <w:tcW w:w="1418" w:type="dxa"/>
            <w:tcBorders>
              <w:top w:val="nil"/>
              <w:left w:val="nil"/>
              <w:bottom w:val="single" w:sz="8" w:space="0" w:color="auto"/>
              <w:right w:val="single" w:sz="4" w:space="0" w:color="auto"/>
            </w:tcBorders>
            <w:shd w:val="clear" w:color="auto" w:fill="auto"/>
            <w:vAlign w:val="bottom"/>
            <w:hideMark/>
          </w:tcPr>
          <w:p w14:paraId="77BB5706"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0</w:t>
            </w:r>
          </w:p>
        </w:tc>
        <w:tc>
          <w:tcPr>
            <w:tcW w:w="1701" w:type="dxa"/>
            <w:tcBorders>
              <w:top w:val="nil"/>
              <w:left w:val="nil"/>
              <w:bottom w:val="single" w:sz="8" w:space="0" w:color="auto"/>
              <w:right w:val="single" w:sz="4" w:space="0" w:color="auto"/>
            </w:tcBorders>
            <w:shd w:val="clear" w:color="auto" w:fill="auto"/>
            <w:vAlign w:val="bottom"/>
            <w:hideMark/>
          </w:tcPr>
          <w:p w14:paraId="69068760"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5 897 200,00</w:t>
            </w:r>
          </w:p>
        </w:tc>
        <w:tc>
          <w:tcPr>
            <w:tcW w:w="1789" w:type="dxa"/>
            <w:tcBorders>
              <w:top w:val="nil"/>
              <w:left w:val="nil"/>
              <w:bottom w:val="single" w:sz="8" w:space="0" w:color="auto"/>
              <w:right w:val="single" w:sz="4" w:space="0" w:color="auto"/>
            </w:tcBorders>
            <w:shd w:val="clear" w:color="auto" w:fill="auto"/>
            <w:vAlign w:val="bottom"/>
            <w:hideMark/>
          </w:tcPr>
          <w:p w14:paraId="3A845401"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385 990,00</w:t>
            </w:r>
          </w:p>
        </w:tc>
        <w:tc>
          <w:tcPr>
            <w:tcW w:w="659" w:type="dxa"/>
            <w:tcBorders>
              <w:top w:val="nil"/>
              <w:left w:val="nil"/>
              <w:bottom w:val="single" w:sz="8" w:space="0" w:color="auto"/>
              <w:right w:val="single" w:sz="8" w:space="0" w:color="auto"/>
            </w:tcBorders>
            <w:shd w:val="clear" w:color="auto" w:fill="auto"/>
            <w:noWrap/>
            <w:vAlign w:val="bottom"/>
            <w:hideMark/>
          </w:tcPr>
          <w:p w14:paraId="019773F2" w14:textId="77777777" w:rsidR="00687021" w:rsidRPr="00687021" w:rsidRDefault="00687021" w:rsidP="00687021">
            <w:pPr>
              <w:spacing w:after="0" w:line="240" w:lineRule="auto"/>
              <w:jc w:val="right"/>
              <w:rPr>
                <w:rFonts w:ascii="Calibri" w:eastAsia="Times New Roman" w:hAnsi="Calibri" w:cs="Calibri"/>
                <w:i/>
                <w:iCs/>
                <w:sz w:val="20"/>
                <w:szCs w:val="20"/>
                <w:lang w:eastAsia="cs-CZ"/>
              </w:rPr>
            </w:pPr>
            <w:r w:rsidRPr="00687021">
              <w:rPr>
                <w:rFonts w:ascii="Calibri" w:eastAsia="Times New Roman" w:hAnsi="Calibri" w:cs="Calibri"/>
                <w:i/>
                <w:iCs/>
                <w:sz w:val="20"/>
                <w:szCs w:val="20"/>
                <w:lang w:eastAsia="cs-CZ"/>
              </w:rPr>
              <w:t>6,5</w:t>
            </w:r>
          </w:p>
        </w:tc>
      </w:tr>
      <w:tr w:rsidR="00687021" w:rsidRPr="00687021" w14:paraId="08E3D4FC" w14:textId="77777777" w:rsidTr="00956DE6">
        <w:trPr>
          <w:trHeight w:val="319"/>
        </w:trPr>
        <w:tc>
          <w:tcPr>
            <w:tcW w:w="684" w:type="dxa"/>
            <w:tcBorders>
              <w:top w:val="nil"/>
              <w:left w:val="single" w:sz="8" w:space="0" w:color="auto"/>
              <w:bottom w:val="single" w:sz="8" w:space="0" w:color="auto"/>
              <w:right w:val="single" w:sz="4" w:space="0" w:color="auto"/>
            </w:tcBorders>
            <w:shd w:val="clear" w:color="auto" w:fill="auto"/>
            <w:noWrap/>
            <w:vAlign w:val="center"/>
            <w:hideMark/>
          </w:tcPr>
          <w:p w14:paraId="1F81FB6E" w14:textId="77777777" w:rsidR="00687021" w:rsidRPr="00687021" w:rsidRDefault="00687021" w:rsidP="00687021">
            <w:pPr>
              <w:spacing w:after="0" w:line="240" w:lineRule="auto"/>
              <w:jc w:val="center"/>
              <w:rPr>
                <w:rFonts w:ascii="Calibri" w:eastAsia="Times New Roman" w:hAnsi="Calibri" w:cs="Calibri"/>
                <w:lang w:eastAsia="cs-CZ"/>
              </w:rPr>
            </w:pPr>
            <w:r w:rsidRPr="00687021">
              <w:rPr>
                <w:rFonts w:ascii="Calibri" w:eastAsia="Times New Roman" w:hAnsi="Calibri" w:cs="Calibri"/>
                <w:lang w:eastAsia="cs-CZ"/>
              </w:rPr>
              <w:t> </w:t>
            </w:r>
          </w:p>
        </w:tc>
        <w:tc>
          <w:tcPr>
            <w:tcW w:w="4536" w:type="dxa"/>
            <w:tcBorders>
              <w:top w:val="nil"/>
              <w:left w:val="nil"/>
              <w:bottom w:val="single" w:sz="8" w:space="0" w:color="auto"/>
              <w:right w:val="nil"/>
            </w:tcBorders>
            <w:shd w:val="clear" w:color="auto" w:fill="auto"/>
            <w:noWrap/>
            <w:vAlign w:val="bottom"/>
            <w:hideMark/>
          </w:tcPr>
          <w:p w14:paraId="5897801E" w14:textId="77777777" w:rsidR="00687021" w:rsidRPr="00687021" w:rsidRDefault="00687021" w:rsidP="00687021">
            <w:pPr>
              <w:spacing w:after="0" w:line="240" w:lineRule="auto"/>
              <w:rPr>
                <w:rFonts w:ascii="Calibri" w:eastAsia="Times New Roman" w:hAnsi="Calibri" w:cs="Calibri"/>
                <w:b/>
                <w:bCs/>
                <w:lang w:eastAsia="cs-CZ"/>
              </w:rPr>
            </w:pPr>
            <w:r w:rsidRPr="00687021">
              <w:rPr>
                <w:rFonts w:ascii="Calibri" w:eastAsia="Times New Roman" w:hAnsi="Calibri" w:cs="Calibri"/>
                <w:b/>
                <w:bCs/>
                <w:lang w:eastAsia="cs-CZ"/>
              </w:rPr>
              <w:t>Celkem</w:t>
            </w:r>
          </w:p>
        </w:tc>
        <w:tc>
          <w:tcPr>
            <w:tcW w:w="1418" w:type="dxa"/>
            <w:tcBorders>
              <w:top w:val="nil"/>
              <w:left w:val="single" w:sz="4" w:space="0" w:color="auto"/>
              <w:bottom w:val="single" w:sz="8" w:space="0" w:color="auto"/>
              <w:right w:val="single" w:sz="4" w:space="0" w:color="auto"/>
            </w:tcBorders>
            <w:shd w:val="clear" w:color="auto" w:fill="auto"/>
            <w:noWrap/>
            <w:vAlign w:val="bottom"/>
            <w:hideMark/>
          </w:tcPr>
          <w:p w14:paraId="471AD63A" w14:textId="77777777" w:rsidR="00687021" w:rsidRPr="00687021" w:rsidRDefault="00687021" w:rsidP="00687021">
            <w:pPr>
              <w:spacing w:after="0" w:line="240" w:lineRule="auto"/>
              <w:jc w:val="right"/>
              <w:rPr>
                <w:rFonts w:ascii="Calibri" w:eastAsia="Times New Roman" w:hAnsi="Calibri" w:cs="Calibri"/>
                <w:b/>
                <w:bCs/>
                <w:sz w:val="20"/>
                <w:szCs w:val="20"/>
                <w:lang w:eastAsia="cs-CZ"/>
              </w:rPr>
            </w:pPr>
            <w:r w:rsidRPr="00687021">
              <w:rPr>
                <w:rFonts w:ascii="Calibri" w:eastAsia="Times New Roman" w:hAnsi="Calibri" w:cs="Calibri"/>
                <w:b/>
                <w:bCs/>
                <w:sz w:val="20"/>
                <w:szCs w:val="20"/>
                <w:lang w:eastAsia="cs-CZ"/>
              </w:rPr>
              <w:t>0</w:t>
            </w:r>
          </w:p>
        </w:tc>
        <w:tc>
          <w:tcPr>
            <w:tcW w:w="1701" w:type="dxa"/>
            <w:tcBorders>
              <w:top w:val="nil"/>
              <w:left w:val="nil"/>
              <w:bottom w:val="single" w:sz="8" w:space="0" w:color="auto"/>
              <w:right w:val="single" w:sz="4" w:space="0" w:color="auto"/>
            </w:tcBorders>
            <w:shd w:val="clear" w:color="auto" w:fill="auto"/>
            <w:noWrap/>
            <w:vAlign w:val="bottom"/>
            <w:hideMark/>
          </w:tcPr>
          <w:p w14:paraId="6B9950A0" w14:textId="77777777" w:rsidR="00687021" w:rsidRPr="00687021" w:rsidRDefault="00687021" w:rsidP="00687021">
            <w:pPr>
              <w:spacing w:after="0" w:line="240" w:lineRule="auto"/>
              <w:jc w:val="right"/>
              <w:rPr>
                <w:rFonts w:ascii="Calibri" w:eastAsia="Times New Roman" w:hAnsi="Calibri" w:cs="Calibri"/>
                <w:b/>
                <w:bCs/>
                <w:lang w:eastAsia="cs-CZ"/>
              </w:rPr>
            </w:pPr>
            <w:r w:rsidRPr="00687021">
              <w:rPr>
                <w:rFonts w:ascii="Calibri" w:eastAsia="Times New Roman" w:hAnsi="Calibri" w:cs="Calibri"/>
                <w:b/>
                <w:bCs/>
                <w:lang w:eastAsia="cs-CZ"/>
              </w:rPr>
              <w:t>8 091 788,50</w:t>
            </w:r>
          </w:p>
        </w:tc>
        <w:tc>
          <w:tcPr>
            <w:tcW w:w="1789" w:type="dxa"/>
            <w:tcBorders>
              <w:top w:val="nil"/>
              <w:left w:val="nil"/>
              <w:bottom w:val="single" w:sz="8" w:space="0" w:color="auto"/>
              <w:right w:val="single" w:sz="4" w:space="0" w:color="auto"/>
            </w:tcBorders>
            <w:shd w:val="clear" w:color="auto" w:fill="auto"/>
            <w:noWrap/>
            <w:vAlign w:val="bottom"/>
            <w:hideMark/>
          </w:tcPr>
          <w:p w14:paraId="73B6F6FE" w14:textId="77777777" w:rsidR="00687021" w:rsidRPr="00687021" w:rsidRDefault="00687021" w:rsidP="00687021">
            <w:pPr>
              <w:spacing w:after="0" w:line="240" w:lineRule="auto"/>
              <w:jc w:val="right"/>
              <w:rPr>
                <w:rFonts w:ascii="Calibri" w:eastAsia="Times New Roman" w:hAnsi="Calibri" w:cs="Calibri"/>
                <w:b/>
                <w:bCs/>
                <w:lang w:eastAsia="cs-CZ"/>
              </w:rPr>
            </w:pPr>
            <w:r w:rsidRPr="00687021">
              <w:rPr>
                <w:rFonts w:ascii="Calibri" w:eastAsia="Times New Roman" w:hAnsi="Calibri" w:cs="Calibri"/>
                <w:b/>
                <w:bCs/>
                <w:lang w:eastAsia="cs-CZ"/>
              </w:rPr>
              <w:t>427 578,50</w:t>
            </w:r>
          </w:p>
        </w:tc>
        <w:tc>
          <w:tcPr>
            <w:tcW w:w="659" w:type="dxa"/>
            <w:tcBorders>
              <w:top w:val="nil"/>
              <w:left w:val="nil"/>
              <w:bottom w:val="single" w:sz="8" w:space="0" w:color="auto"/>
              <w:right w:val="single" w:sz="8" w:space="0" w:color="auto"/>
            </w:tcBorders>
            <w:shd w:val="clear" w:color="auto" w:fill="auto"/>
            <w:noWrap/>
            <w:vAlign w:val="bottom"/>
            <w:hideMark/>
          </w:tcPr>
          <w:p w14:paraId="4D2E6BA1" w14:textId="77777777" w:rsidR="00687021" w:rsidRPr="00687021" w:rsidRDefault="00687021" w:rsidP="00687021">
            <w:pPr>
              <w:spacing w:after="0" w:line="240" w:lineRule="auto"/>
              <w:jc w:val="right"/>
              <w:rPr>
                <w:rFonts w:ascii="Calibri" w:eastAsia="Times New Roman" w:hAnsi="Calibri" w:cs="Calibri"/>
                <w:b/>
                <w:bCs/>
                <w:lang w:eastAsia="cs-CZ"/>
              </w:rPr>
            </w:pPr>
            <w:r w:rsidRPr="00687021">
              <w:rPr>
                <w:rFonts w:ascii="Calibri" w:eastAsia="Times New Roman" w:hAnsi="Calibri" w:cs="Calibri"/>
                <w:b/>
                <w:bCs/>
                <w:lang w:eastAsia="cs-CZ"/>
              </w:rPr>
              <w:t>5,3</w:t>
            </w:r>
          </w:p>
        </w:tc>
      </w:tr>
      <w:tr w:rsidR="00687021" w:rsidRPr="00687021" w14:paraId="0124BFC3" w14:textId="77777777" w:rsidTr="00956DE6">
        <w:trPr>
          <w:trHeight w:val="300"/>
        </w:trPr>
        <w:tc>
          <w:tcPr>
            <w:tcW w:w="684" w:type="dxa"/>
            <w:tcBorders>
              <w:top w:val="nil"/>
              <w:left w:val="nil"/>
              <w:bottom w:val="nil"/>
              <w:right w:val="nil"/>
            </w:tcBorders>
            <w:shd w:val="clear" w:color="auto" w:fill="auto"/>
            <w:noWrap/>
            <w:vAlign w:val="bottom"/>
            <w:hideMark/>
          </w:tcPr>
          <w:p w14:paraId="276E84B1" w14:textId="77777777" w:rsidR="00687021" w:rsidRPr="00687021" w:rsidRDefault="00687021" w:rsidP="00687021">
            <w:pPr>
              <w:spacing w:after="0" w:line="240" w:lineRule="auto"/>
              <w:jc w:val="right"/>
              <w:rPr>
                <w:rFonts w:ascii="Calibri" w:eastAsia="Times New Roman" w:hAnsi="Calibri" w:cs="Calibri"/>
                <w:b/>
                <w:bCs/>
                <w:lang w:eastAsia="cs-CZ"/>
              </w:rPr>
            </w:pPr>
          </w:p>
        </w:tc>
        <w:tc>
          <w:tcPr>
            <w:tcW w:w="4536" w:type="dxa"/>
            <w:tcBorders>
              <w:top w:val="nil"/>
              <w:left w:val="nil"/>
              <w:bottom w:val="nil"/>
              <w:right w:val="nil"/>
            </w:tcBorders>
            <w:shd w:val="clear" w:color="auto" w:fill="auto"/>
            <w:noWrap/>
            <w:vAlign w:val="bottom"/>
            <w:hideMark/>
          </w:tcPr>
          <w:p w14:paraId="55E5362B"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c>
          <w:tcPr>
            <w:tcW w:w="1418" w:type="dxa"/>
            <w:tcBorders>
              <w:top w:val="nil"/>
              <w:left w:val="nil"/>
              <w:bottom w:val="nil"/>
              <w:right w:val="nil"/>
            </w:tcBorders>
            <w:shd w:val="clear" w:color="auto" w:fill="auto"/>
            <w:noWrap/>
            <w:vAlign w:val="bottom"/>
            <w:hideMark/>
          </w:tcPr>
          <w:p w14:paraId="555BEE7B"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42D8BCE0"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c>
          <w:tcPr>
            <w:tcW w:w="1789" w:type="dxa"/>
            <w:tcBorders>
              <w:top w:val="nil"/>
              <w:left w:val="nil"/>
              <w:bottom w:val="nil"/>
              <w:right w:val="nil"/>
            </w:tcBorders>
            <w:shd w:val="clear" w:color="auto" w:fill="auto"/>
            <w:noWrap/>
            <w:vAlign w:val="bottom"/>
            <w:hideMark/>
          </w:tcPr>
          <w:p w14:paraId="0FD2AF33"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c>
          <w:tcPr>
            <w:tcW w:w="659" w:type="dxa"/>
            <w:tcBorders>
              <w:top w:val="nil"/>
              <w:left w:val="nil"/>
              <w:bottom w:val="nil"/>
              <w:right w:val="nil"/>
            </w:tcBorders>
            <w:shd w:val="clear" w:color="auto" w:fill="auto"/>
            <w:noWrap/>
            <w:vAlign w:val="bottom"/>
            <w:hideMark/>
          </w:tcPr>
          <w:p w14:paraId="2097F87E"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r>
      <w:tr w:rsidR="00687021" w:rsidRPr="00687021" w14:paraId="545998F2" w14:textId="77777777" w:rsidTr="00956DE6">
        <w:trPr>
          <w:trHeight w:val="360"/>
        </w:trPr>
        <w:tc>
          <w:tcPr>
            <w:tcW w:w="684" w:type="dxa"/>
            <w:tcBorders>
              <w:top w:val="nil"/>
              <w:left w:val="nil"/>
              <w:bottom w:val="nil"/>
              <w:right w:val="nil"/>
            </w:tcBorders>
            <w:shd w:val="clear" w:color="auto" w:fill="auto"/>
            <w:noWrap/>
            <w:vAlign w:val="bottom"/>
            <w:hideMark/>
          </w:tcPr>
          <w:p w14:paraId="79DD41FA"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c>
          <w:tcPr>
            <w:tcW w:w="5954" w:type="dxa"/>
            <w:gridSpan w:val="2"/>
            <w:tcBorders>
              <w:top w:val="nil"/>
              <w:left w:val="nil"/>
              <w:bottom w:val="nil"/>
              <w:right w:val="nil"/>
            </w:tcBorders>
            <w:shd w:val="clear" w:color="auto" w:fill="auto"/>
            <w:noWrap/>
            <w:vAlign w:val="bottom"/>
            <w:hideMark/>
          </w:tcPr>
          <w:p w14:paraId="3838FF1F" w14:textId="77777777" w:rsidR="00687021" w:rsidRPr="00687021" w:rsidRDefault="00687021" w:rsidP="00687021">
            <w:pPr>
              <w:spacing w:after="0" w:line="240" w:lineRule="auto"/>
              <w:rPr>
                <w:rFonts w:ascii="Calibri" w:eastAsia="Times New Roman" w:hAnsi="Calibri" w:cs="Calibri"/>
                <w:b/>
                <w:bCs/>
                <w:color w:val="000000"/>
                <w:lang w:eastAsia="cs-CZ"/>
              </w:rPr>
            </w:pPr>
            <w:r w:rsidRPr="00687021">
              <w:rPr>
                <w:rFonts w:ascii="Calibri" w:eastAsia="Times New Roman" w:hAnsi="Calibri" w:cs="Calibri"/>
                <w:b/>
                <w:bCs/>
                <w:color w:val="000000"/>
                <w:lang w:eastAsia="cs-CZ"/>
              </w:rPr>
              <w:t>Dotace ze státního rozpočtu a ostatních veřejných rozpočtů</w:t>
            </w:r>
          </w:p>
        </w:tc>
        <w:tc>
          <w:tcPr>
            <w:tcW w:w="1701" w:type="dxa"/>
            <w:tcBorders>
              <w:top w:val="nil"/>
              <w:left w:val="nil"/>
              <w:bottom w:val="nil"/>
              <w:right w:val="nil"/>
            </w:tcBorders>
            <w:shd w:val="clear" w:color="auto" w:fill="auto"/>
            <w:noWrap/>
            <w:vAlign w:val="bottom"/>
            <w:hideMark/>
          </w:tcPr>
          <w:p w14:paraId="7DA00B78" w14:textId="77777777" w:rsidR="00687021" w:rsidRPr="00687021" w:rsidRDefault="00687021" w:rsidP="00687021">
            <w:pPr>
              <w:spacing w:after="0" w:line="240" w:lineRule="auto"/>
              <w:rPr>
                <w:rFonts w:ascii="Calibri" w:eastAsia="Times New Roman" w:hAnsi="Calibri" w:cs="Calibri"/>
                <w:b/>
                <w:bCs/>
                <w:color w:val="000000"/>
                <w:lang w:eastAsia="cs-CZ"/>
              </w:rPr>
            </w:pPr>
          </w:p>
        </w:tc>
        <w:tc>
          <w:tcPr>
            <w:tcW w:w="1789" w:type="dxa"/>
            <w:tcBorders>
              <w:top w:val="nil"/>
              <w:left w:val="nil"/>
              <w:bottom w:val="nil"/>
              <w:right w:val="nil"/>
            </w:tcBorders>
            <w:shd w:val="clear" w:color="auto" w:fill="auto"/>
            <w:noWrap/>
            <w:vAlign w:val="bottom"/>
            <w:hideMark/>
          </w:tcPr>
          <w:p w14:paraId="7FE4F82C"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c>
          <w:tcPr>
            <w:tcW w:w="659" w:type="dxa"/>
            <w:tcBorders>
              <w:top w:val="nil"/>
              <w:left w:val="nil"/>
              <w:bottom w:val="nil"/>
              <w:right w:val="nil"/>
            </w:tcBorders>
            <w:shd w:val="clear" w:color="auto" w:fill="auto"/>
            <w:noWrap/>
            <w:vAlign w:val="bottom"/>
            <w:hideMark/>
          </w:tcPr>
          <w:p w14:paraId="0E119A50"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r>
      <w:tr w:rsidR="00687021" w:rsidRPr="00687021" w14:paraId="459CA292" w14:textId="77777777" w:rsidTr="00956DE6">
        <w:trPr>
          <w:trHeight w:val="510"/>
        </w:trPr>
        <w:tc>
          <w:tcPr>
            <w:tcW w:w="684"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0C4D6A5D"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 </w:t>
            </w:r>
          </w:p>
        </w:tc>
        <w:tc>
          <w:tcPr>
            <w:tcW w:w="4536" w:type="dxa"/>
            <w:tcBorders>
              <w:top w:val="single" w:sz="8" w:space="0" w:color="auto"/>
              <w:left w:val="nil"/>
              <w:bottom w:val="single" w:sz="4" w:space="0" w:color="auto"/>
              <w:right w:val="single" w:sz="4" w:space="0" w:color="auto"/>
            </w:tcBorders>
            <w:shd w:val="clear" w:color="auto" w:fill="auto"/>
            <w:vAlign w:val="center"/>
            <w:hideMark/>
          </w:tcPr>
          <w:p w14:paraId="10F61B39" w14:textId="77777777" w:rsidR="00687021" w:rsidRPr="00687021" w:rsidRDefault="00687021" w:rsidP="00687021">
            <w:pPr>
              <w:spacing w:after="0" w:line="240" w:lineRule="auto"/>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Neinvestiční nedávkové transfery podle zákona č. 108/2006 Sb., o sociálních službách (UZ 13305)</w:t>
            </w:r>
          </w:p>
        </w:tc>
        <w:tc>
          <w:tcPr>
            <w:tcW w:w="1418" w:type="dxa"/>
            <w:tcBorders>
              <w:top w:val="single" w:sz="8" w:space="0" w:color="auto"/>
              <w:left w:val="nil"/>
              <w:bottom w:val="single" w:sz="4" w:space="0" w:color="auto"/>
              <w:right w:val="single" w:sz="4" w:space="0" w:color="auto"/>
            </w:tcBorders>
            <w:shd w:val="clear" w:color="auto" w:fill="auto"/>
            <w:noWrap/>
            <w:vAlign w:val="bottom"/>
            <w:hideMark/>
          </w:tcPr>
          <w:p w14:paraId="4C7F1E57" w14:textId="77777777" w:rsidR="00687021" w:rsidRPr="00687021" w:rsidRDefault="00687021" w:rsidP="00687021">
            <w:pPr>
              <w:spacing w:after="0" w:line="240" w:lineRule="auto"/>
              <w:jc w:val="right"/>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0</w:t>
            </w:r>
          </w:p>
        </w:tc>
        <w:tc>
          <w:tcPr>
            <w:tcW w:w="1701" w:type="dxa"/>
            <w:tcBorders>
              <w:top w:val="single" w:sz="8" w:space="0" w:color="auto"/>
              <w:left w:val="nil"/>
              <w:bottom w:val="single" w:sz="4" w:space="0" w:color="auto"/>
              <w:right w:val="single" w:sz="4" w:space="0" w:color="auto"/>
            </w:tcBorders>
            <w:shd w:val="clear" w:color="auto" w:fill="auto"/>
            <w:noWrap/>
            <w:vAlign w:val="bottom"/>
            <w:hideMark/>
          </w:tcPr>
          <w:p w14:paraId="43BBD821" w14:textId="77777777" w:rsidR="00687021" w:rsidRPr="00687021" w:rsidRDefault="00687021" w:rsidP="00687021">
            <w:pPr>
              <w:spacing w:after="0" w:line="240" w:lineRule="auto"/>
              <w:jc w:val="right"/>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2 283 451 602,00</w:t>
            </w:r>
          </w:p>
        </w:tc>
        <w:tc>
          <w:tcPr>
            <w:tcW w:w="1789" w:type="dxa"/>
            <w:tcBorders>
              <w:top w:val="single" w:sz="8" w:space="0" w:color="auto"/>
              <w:left w:val="nil"/>
              <w:bottom w:val="single" w:sz="4" w:space="0" w:color="auto"/>
              <w:right w:val="single" w:sz="4" w:space="0" w:color="auto"/>
            </w:tcBorders>
            <w:shd w:val="clear" w:color="auto" w:fill="auto"/>
            <w:noWrap/>
            <w:vAlign w:val="bottom"/>
            <w:hideMark/>
          </w:tcPr>
          <w:p w14:paraId="185F52BE" w14:textId="77777777" w:rsidR="00687021" w:rsidRPr="00687021" w:rsidRDefault="00687021" w:rsidP="00687021">
            <w:pPr>
              <w:spacing w:after="0" w:line="240" w:lineRule="auto"/>
              <w:jc w:val="right"/>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2 282 243 100,00</w:t>
            </w:r>
          </w:p>
        </w:tc>
        <w:tc>
          <w:tcPr>
            <w:tcW w:w="659" w:type="dxa"/>
            <w:tcBorders>
              <w:top w:val="single" w:sz="8" w:space="0" w:color="auto"/>
              <w:left w:val="nil"/>
              <w:bottom w:val="single" w:sz="4" w:space="0" w:color="auto"/>
              <w:right w:val="single" w:sz="8" w:space="0" w:color="auto"/>
            </w:tcBorders>
            <w:shd w:val="clear" w:color="auto" w:fill="auto"/>
            <w:noWrap/>
            <w:vAlign w:val="bottom"/>
            <w:hideMark/>
          </w:tcPr>
          <w:p w14:paraId="1BF5F3F4" w14:textId="77777777" w:rsidR="00687021" w:rsidRPr="00687021" w:rsidRDefault="00687021" w:rsidP="00687021">
            <w:pPr>
              <w:spacing w:after="0" w:line="240" w:lineRule="auto"/>
              <w:jc w:val="right"/>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99,9</w:t>
            </w:r>
          </w:p>
        </w:tc>
      </w:tr>
      <w:tr w:rsidR="00687021" w:rsidRPr="00687021" w14:paraId="01E045F4" w14:textId="77777777" w:rsidTr="00956DE6">
        <w:trPr>
          <w:trHeight w:val="510"/>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25158718"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4324</w:t>
            </w:r>
          </w:p>
        </w:tc>
        <w:tc>
          <w:tcPr>
            <w:tcW w:w="4536" w:type="dxa"/>
            <w:tcBorders>
              <w:top w:val="nil"/>
              <w:left w:val="nil"/>
              <w:bottom w:val="single" w:sz="4" w:space="0" w:color="auto"/>
              <w:right w:val="single" w:sz="4" w:space="0" w:color="auto"/>
            </w:tcBorders>
            <w:shd w:val="clear" w:color="auto" w:fill="auto"/>
            <w:vAlign w:val="bottom"/>
            <w:hideMark/>
          </w:tcPr>
          <w:p w14:paraId="45EC6535" w14:textId="77777777" w:rsidR="00687021" w:rsidRPr="00687021" w:rsidRDefault="00687021" w:rsidP="00687021">
            <w:pPr>
              <w:spacing w:after="0" w:line="240" w:lineRule="auto"/>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Státní příspěvek zřizovatelům zařízení pro děti vyžadující okamžitou pomoc (UZ 13307)</w:t>
            </w:r>
          </w:p>
        </w:tc>
        <w:tc>
          <w:tcPr>
            <w:tcW w:w="1418" w:type="dxa"/>
            <w:tcBorders>
              <w:top w:val="nil"/>
              <w:left w:val="nil"/>
              <w:bottom w:val="single" w:sz="4" w:space="0" w:color="auto"/>
              <w:right w:val="single" w:sz="4" w:space="0" w:color="auto"/>
            </w:tcBorders>
            <w:shd w:val="clear" w:color="auto" w:fill="auto"/>
            <w:noWrap/>
            <w:vAlign w:val="bottom"/>
            <w:hideMark/>
          </w:tcPr>
          <w:p w14:paraId="18F372A8" w14:textId="77777777" w:rsidR="00687021" w:rsidRPr="00687021" w:rsidRDefault="00687021" w:rsidP="00687021">
            <w:pPr>
              <w:spacing w:after="0" w:line="240" w:lineRule="auto"/>
              <w:jc w:val="right"/>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4E8246AF" w14:textId="77777777" w:rsidR="00687021" w:rsidRPr="00687021" w:rsidRDefault="00687021" w:rsidP="00687021">
            <w:pPr>
              <w:spacing w:after="0" w:line="240" w:lineRule="auto"/>
              <w:jc w:val="right"/>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11 599 164,00</w:t>
            </w:r>
          </w:p>
        </w:tc>
        <w:tc>
          <w:tcPr>
            <w:tcW w:w="1789" w:type="dxa"/>
            <w:tcBorders>
              <w:top w:val="nil"/>
              <w:left w:val="nil"/>
              <w:bottom w:val="single" w:sz="4" w:space="0" w:color="auto"/>
              <w:right w:val="single" w:sz="4" w:space="0" w:color="auto"/>
            </w:tcBorders>
            <w:shd w:val="clear" w:color="auto" w:fill="auto"/>
            <w:noWrap/>
            <w:vAlign w:val="bottom"/>
            <w:hideMark/>
          </w:tcPr>
          <w:p w14:paraId="76DE957E" w14:textId="77777777" w:rsidR="00687021" w:rsidRPr="00687021" w:rsidRDefault="00687021" w:rsidP="00687021">
            <w:pPr>
              <w:spacing w:after="0" w:line="240" w:lineRule="auto"/>
              <w:jc w:val="right"/>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7 491 826,00</w:t>
            </w:r>
          </w:p>
        </w:tc>
        <w:tc>
          <w:tcPr>
            <w:tcW w:w="659" w:type="dxa"/>
            <w:tcBorders>
              <w:top w:val="nil"/>
              <w:left w:val="nil"/>
              <w:bottom w:val="single" w:sz="4" w:space="0" w:color="auto"/>
              <w:right w:val="single" w:sz="8" w:space="0" w:color="auto"/>
            </w:tcBorders>
            <w:shd w:val="clear" w:color="auto" w:fill="auto"/>
            <w:noWrap/>
            <w:vAlign w:val="bottom"/>
            <w:hideMark/>
          </w:tcPr>
          <w:p w14:paraId="5419EE85" w14:textId="77777777" w:rsidR="00687021" w:rsidRPr="00687021" w:rsidRDefault="00687021" w:rsidP="00687021">
            <w:pPr>
              <w:spacing w:after="0" w:line="240" w:lineRule="auto"/>
              <w:jc w:val="right"/>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64,6</w:t>
            </w:r>
          </w:p>
        </w:tc>
      </w:tr>
      <w:tr w:rsidR="00687021" w:rsidRPr="00687021" w14:paraId="25369D45" w14:textId="77777777" w:rsidTr="00956DE6">
        <w:trPr>
          <w:trHeight w:val="255"/>
        </w:trPr>
        <w:tc>
          <w:tcPr>
            <w:tcW w:w="684" w:type="dxa"/>
            <w:tcBorders>
              <w:top w:val="nil"/>
              <w:left w:val="single" w:sz="8" w:space="0" w:color="auto"/>
              <w:bottom w:val="single" w:sz="4" w:space="0" w:color="auto"/>
              <w:right w:val="single" w:sz="4" w:space="0" w:color="auto"/>
            </w:tcBorders>
            <w:shd w:val="clear" w:color="auto" w:fill="auto"/>
            <w:noWrap/>
            <w:vAlign w:val="bottom"/>
            <w:hideMark/>
          </w:tcPr>
          <w:p w14:paraId="13E848C2"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 </w:t>
            </w:r>
          </w:p>
        </w:tc>
        <w:tc>
          <w:tcPr>
            <w:tcW w:w="4536" w:type="dxa"/>
            <w:tcBorders>
              <w:top w:val="nil"/>
              <w:left w:val="nil"/>
              <w:bottom w:val="single" w:sz="4" w:space="0" w:color="auto"/>
              <w:right w:val="single" w:sz="4" w:space="0" w:color="auto"/>
            </w:tcBorders>
            <w:shd w:val="clear" w:color="auto" w:fill="auto"/>
            <w:vAlign w:val="bottom"/>
            <w:hideMark/>
          </w:tcPr>
          <w:p w14:paraId="513BE6E9" w14:textId="77777777" w:rsidR="00687021" w:rsidRPr="00687021" w:rsidRDefault="00687021" w:rsidP="00687021">
            <w:pPr>
              <w:spacing w:after="0" w:line="240" w:lineRule="auto"/>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Operační program zaměstnanost (UZ 13013)</w:t>
            </w:r>
          </w:p>
        </w:tc>
        <w:tc>
          <w:tcPr>
            <w:tcW w:w="1418" w:type="dxa"/>
            <w:tcBorders>
              <w:top w:val="nil"/>
              <w:left w:val="nil"/>
              <w:bottom w:val="single" w:sz="4" w:space="0" w:color="auto"/>
              <w:right w:val="single" w:sz="4" w:space="0" w:color="auto"/>
            </w:tcBorders>
            <w:shd w:val="clear" w:color="auto" w:fill="auto"/>
            <w:noWrap/>
            <w:vAlign w:val="bottom"/>
            <w:hideMark/>
          </w:tcPr>
          <w:p w14:paraId="02165E7A" w14:textId="77777777" w:rsidR="00687021" w:rsidRPr="00687021" w:rsidRDefault="00687021" w:rsidP="00687021">
            <w:pPr>
              <w:spacing w:after="0" w:line="240" w:lineRule="auto"/>
              <w:jc w:val="right"/>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bottom"/>
            <w:hideMark/>
          </w:tcPr>
          <w:p w14:paraId="2F331C07" w14:textId="77777777" w:rsidR="00687021" w:rsidRPr="00687021" w:rsidRDefault="00687021" w:rsidP="00687021">
            <w:pPr>
              <w:spacing w:after="0" w:line="240" w:lineRule="auto"/>
              <w:jc w:val="right"/>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282 848 189,52</w:t>
            </w:r>
          </w:p>
        </w:tc>
        <w:tc>
          <w:tcPr>
            <w:tcW w:w="1789" w:type="dxa"/>
            <w:tcBorders>
              <w:top w:val="nil"/>
              <w:left w:val="nil"/>
              <w:bottom w:val="single" w:sz="4" w:space="0" w:color="auto"/>
              <w:right w:val="single" w:sz="4" w:space="0" w:color="auto"/>
            </w:tcBorders>
            <w:shd w:val="clear" w:color="auto" w:fill="auto"/>
            <w:noWrap/>
            <w:vAlign w:val="bottom"/>
            <w:hideMark/>
          </w:tcPr>
          <w:p w14:paraId="56C70ABE" w14:textId="77777777" w:rsidR="00687021" w:rsidRPr="00687021" w:rsidRDefault="00687021" w:rsidP="00687021">
            <w:pPr>
              <w:spacing w:after="0" w:line="240" w:lineRule="auto"/>
              <w:jc w:val="right"/>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239 414 325,89</w:t>
            </w:r>
          </w:p>
        </w:tc>
        <w:tc>
          <w:tcPr>
            <w:tcW w:w="659" w:type="dxa"/>
            <w:tcBorders>
              <w:top w:val="nil"/>
              <w:left w:val="nil"/>
              <w:bottom w:val="single" w:sz="4" w:space="0" w:color="auto"/>
              <w:right w:val="single" w:sz="8" w:space="0" w:color="auto"/>
            </w:tcBorders>
            <w:shd w:val="clear" w:color="auto" w:fill="auto"/>
            <w:noWrap/>
            <w:vAlign w:val="bottom"/>
            <w:hideMark/>
          </w:tcPr>
          <w:p w14:paraId="2CF3EF78" w14:textId="77777777" w:rsidR="00687021" w:rsidRPr="00687021" w:rsidRDefault="00687021" w:rsidP="00687021">
            <w:pPr>
              <w:spacing w:after="0" w:line="240" w:lineRule="auto"/>
              <w:jc w:val="right"/>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84,6</w:t>
            </w:r>
          </w:p>
        </w:tc>
      </w:tr>
      <w:tr w:rsidR="00687021" w:rsidRPr="00687021" w14:paraId="13C699F9" w14:textId="77777777" w:rsidTr="00956DE6">
        <w:trPr>
          <w:trHeight w:val="255"/>
        </w:trPr>
        <w:tc>
          <w:tcPr>
            <w:tcW w:w="684" w:type="dxa"/>
            <w:tcBorders>
              <w:top w:val="nil"/>
              <w:left w:val="single" w:sz="8" w:space="0" w:color="auto"/>
              <w:bottom w:val="nil"/>
              <w:right w:val="single" w:sz="4" w:space="0" w:color="auto"/>
            </w:tcBorders>
            <w:shd w:val="clear" w:color="auto" w:fill="auto"/>
            <w:noWrap/>
            <w:vAlign w:val="bottom"/>
            <w:hideMark/>
          </w:tcPr>
          <w:p w14:paraId="3B3C2F44"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4399</w:t>
            </w:r>
          </w:p>
        </w:tc>
        <w:tc>
          <w:tcPr>
            <w:tcW w:w="4536" w:type="dxa"/>
            <w:tcBorders>
              <w:top w:val="nil"/>
              <w:left w:val="nil"/>
              <w:bottom w:val="nil"/>
              <w:right w:val="single" w:sz="4" w:space="0" w:color="auto"/>
            </w:tcBorders>
            <w:shd w:val="clear" w:color="auto" w:fill="auto"/>
            <w:vAlign w:val="bottom"/>
            <w:hideMark/>
          </w:tcPr>
          <w:p w14:paraId="0EEE1D52" w14:textId="77777777" w:rsidR="00687021" w:rsidRPr="00687021" w:rsidRDefault="00687021" w:rsidP="00687021">
            <w:pPr>
              <w:spacing w:after="0" w:line="240" w:lineRule="auto"/>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Výkon sociální práce (UZ 13015)</w:t>
            </w:r>
          </w:p>
        </w:tc>
        <w:tc>
          <w:tcPr>
            <w:tcW w:w="1418" w:type="dxa"/>
            <w:tcBorders>
              <w:top w:val="nil"/>
              <w:left w:val="nil"/>
              <w:bottom w:val="nil"/>
              <w:right w:val="single" w:sz="4" w:space="0" w:color="auto"/>
            </w:tcBorders>
            <w:shd w:val="clear" w:color="auto" w:fill="auto"/>
            <w:noWrap/>
            <w:vAlign w:val="bottom"/>
            <w:hideMark/>
          </w:tcPr>
          <w:p w14:paraId="5FE78F8E" w14:textId="77777777" w:rsidR="00687021" w:rsidRPr="00687021" w:rsidRDefault="00687021" w:rsidP="00687021">
            <w:pPr>
              <w:spacing w:after="0" w:line="240" w:lineRule="auto"/>
              <w:jc w:val="right"/>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0</w:t>
            </w:r>
          </w:p>
        </w:tc>
        <w:tc>
          <w:tcPr>
            <w:tcW w:w="1701" w:type="dxa"/>
            <w:tcBorders>
              <w:top w:val="nil"/>
              <w:left w:val="nil"/>
              <w:bottom w:val="nil"/>
              <w:right w:val="single" w:sz="4" w:space="0" w:color="auto"/>
            </w:tcBorders>
            <w:shd w:val="clear" w:color="auto" w:fill="auto"/>
            <w:noWrap/>
            <w:vAlign w:val="bottom"/>
            <w:hideMark/>
          </w:tcPr>
          <w:p w14:paraId="517B2056" w14:textId="77777777" w:rsidR="00687021" w:rsidRPr="00687021" w:rsidRDefault="00687021" w:rsidP="00687021">
            <w:pPr>
              <w:spacing w:after="0" w:line="240" w:lineRule="auto"/>
              <w:jc w:val="right"/>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2 181 768,00</w:t>
            </w:r>
          </w:p>
        </w:tc>
        <w:tc>
          <w:tcPr>
            <w:tcW w:w="1789" w:type="dxa"/>
            <w:tcBorders>
              <w:top w:val="nil"/>
              <w:left w:val="nil"/>
              <w:bottom w:val="nil"/>
              <w:right w:val="single" w:sz="4" w:space="0" w:color="auto"/>
            </w:tcBorders>
            <w:shd w:val="clear" w:color="auto" w:fill="auto"/>
            <w:noWrap/>
            <w:vAlign w:val="bottom"/>
            <w:hideMark/>
          </w:tcPr>
          <w:p w14:paraId="7B9476B4" w14:textId="77777777" w:rsidR="00687021" w:rsidRPr="00687021" w:rsidRDefault="00687021" w:rsidP="00687021">
            <w:pPr>
              <w:spacing w:after="0" w:line="240" w:lineRule="auto"/>
              <w:jc w:val="right"/>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2 181 768,00</w:t>
            </w:r>
          </w:p>
        </w:tc>
        <w:tc>
          <w:tcPr>
            <w:tcW w:w="659" w:type="dxa"/>
            <w:tcBorders>
              <w:top w:val="nil"/>
              <w:left w:val="nil"/>
              <w:bottom w:val="single" w:sz="4" w:space="0" w:color="auto"/>
              <w:right w:val="single" w:sz="8" w:space="0" w:color="auto"/>
            </w:tcBorders>
            <w:shd w:val="clear" w:color="auto" w:fill="auto"/>
            <w:noWrap/>
            <w:vAlign w:val="bottom"/>
            <w:hideMark/>
          </w:tcPr>
          <w:p w14:paraId="099AD413" w14:textId="77777777" w:rsidR="00687021" w:rsidRPr="00687021" w:rsidRDefault="00687021" w:rsidP="00687021">
            <w:pPr>
              <w:spacing w:after="0" w:line="240" w:lineRule="auto"/>
              <w:jc w:val="right"/>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100,0</w:t>
            </w:r>
          </w:p>
        </w:tc>
      </w:tr>
      <w:tr w:rsidR="00687021" w:rsidRPr="00687021" w14:paraId="011E6A99" w14:textId="77777777" w:rsidTr="00956DE6">
        <w:trPr>
          <w:trHeight w:val="255"/>
        </w:trPr>
        <w:tc>
          <w:tcPr>
            <w:tcW w:w="684" w:type="dxa"/>
            <w:tcBorders>
              <w:top w:val="single" w:sz="4" w:space="0" w:color="auto"/>
              <w:left w:val="single" w:sz="8" w:space="0" w:color="auto"/>
              <w:bottom w:val="nil"/>
              <w:right w:val="single" w:sz="4" w:space="0" w:color="auto"/>
            </w:tcBorders>
            <w:shd w:val="clear" w:color="auto" w:fill="auto"/>
            <w:noWrap/>
            <w:vAlign w:val="bottom"/>
            <w:hideMark/>
          </w:tcPr>
          <w:p w14:paraId="450D9A5B"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4399</w:t>
            </w:r>
          </w:p>
        </w:tc>
        <w:tc>
          <w:tcPr>
            <w:tcW w:w="4536" w:type="dxa"/>
            <w:tcBorders>
              <w:top w:val="single" w:sz="4" w:space="0" w:color="auto"/>
              <w:left w:val="nil"/>
              <w:bottom w:val="nil"/>
              <w:right w:val="single" w:sz="4" w:space="0" w:color="auto"/>
            </w:tcBorders>
            <w:shd w:val="clear" w:color="auto" w:fill="auto"/>
            <w:vAlign w:val="bottom"/>
            <w:hideMark/>
          </w:tcPr>
          <w:p w14:paraId="35E7780A" w14:textId="77777777" w:rsidR="00687021" w:rsidRPr="00687021" w:rsidRDefault="00687021" w:rsidP="00687021">
            <w:pPr>
              <w:spacing w:after="0" w:line="240" w:lineRule="auto"/>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Dotace na výkon sociální práce Covid - 19 SK (UZ 13019)</w:t>
            </w:r>
          </w:p>
        </w:tc>
        <w:tc>
          <w:tcPr>
            <w:tcW w:w="1418" w:type="dxa"/>
            <w:tcBorders>
              <w:top w:val="single" w:sz="4" w:space="0" w:color="auto"/>
              <w:left w:val="nil"/>
              <w:bottom w:val="nil"/>
              <w:right w:val="single" w:sz="4" w:space="0" w:color="auto"/>
            </w:tcBorders>
            <w:shd w:val="clear" w:color="auto" w:fill="auto"/>
            <w:noWrap/>
            <w:vAlign w:val="bottom"/>
            <w:hideMark/>
          </w:tcPr>
          <w:p w14:paraId="0BF4EF74" w14:textId="77777777" w:rsidR="00687021" w:rsidRPr="00687021" w:rsidRDefault="00687021" w:rsidP="00687021">
            <w:pPr>
              <w:spacing w:after="0" w:line="240" w:lineRule="auto"/>
              <w:jc w:val="right"/>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0</w:t>
            </w:r>
          </w:p>
        </w:tc>
        <w:tc>
          <w:tcPr>
            <w:tcW w:w="1701" w:type="dxa"/>
            <w:tcBorders>
              <w:top w:val="single" w:sz="4" w:space="0" w:color="auto"/>
              <w:left w:val="nil"/>
              <w:bottom w:val="nil"/>
              <w:right w:val="single" w:sz="4" w:space="0" w:color="auto"/>
            </w:tcBorders>
            <w:shd w:val="clear" w:color="auto" w:fill="auto"/>
            <w:noWrap/>
            <w:vAlign w:val="bottom"/>
            <w:hideMark/>
          </w:tcPr>
          <w:p w14:paraId="4E92E41F" w14:textId="77777777" w:rsidR="00687021" w:rsidRPr="00687021" w:rsidRDefault="00687021" w:rsidP="00687021">
            <w:pPr>
              <w:spacing w:after="0" w:line="240" w:lineRule="auto"/>
              <w:jc w:val="right"/>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478 335,00</w:t>
            </w:r>
          </w:p>
        </w:tc>
        <w:tc>
          <w:tcPr>
            <w:tcW w:w="1789" w:type="dxa"/>
            <w:tcBorders>
              <w:top w:val="single" w:sz="4" w:space="0" w:color="auto"/>
              <w:left w:val="nil"/>
              <w:bottom w:val="nil"/>
              <w:right w:val="single" w:sz="4" w:space="0" w:color="auto"/>
            </w:tcBorders>
            <w:shd w:val="clear" w:color="auto" w:fill="auto"/>
            <w:noWrap/>
            <w:vAlign w:val="bottom"/>
            <w:hideMark/>
          </w:tcPr>
          <w:p w14:paraId="74464ED4" w14:textId="77777777" w:rsidR="00687021" w:rsidRPr="00687021" w:rsidRDefault="00687021" w:rsidP="00687021">
            <w:pPr>
              <w:spacing w:after="0" w:line="240" w:lineRule="auto"/>
              <w:jc w:val="right"/>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478 335,00</w:t>
            </w:r>
          </w:p>
        </w:tc>
        <w:tc>
          <w:tcPr>
            <w:tcW w:w="659" w:type="dxa"/>
            <w:tcBorders>
              <w:top w:val="nil"/>
              <w:left w:val="nil"/>
              <w:bottom w:val="nil"/>
              <w:right w:val="single" w:sz="8" w:space="0" w:color="auto"/>
            </w:tcBorders>
            <w:shd w:val="clear" w:color="auto" w:fill="auto"/>
            <w:noWrap/>
            <w:vAlign w:val="bottom"/>
            <w:hideMark/>
          </w:tcPr>
          <w:p w14:paraId="484B057D" w14:textId="77777777" w:rsidR="00687021" w:rsidRPr="00687021" w:rsidRDefault="00687021" w:rsidP="00687021">
            <w:pPr>
              <w:spacing w:after="0" w:line="240" w:lineRule="auto"/>
              <w:jc w:val="right"/>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100,0</w:t>
            </w:r>
          </w:p>
        </w:tc>
      </w:tr>
      <w:tr w:rsidR="00687021" w:rsidRPr="00687021" w14:paraId="2DFAA173" w14:textId="77777777" w:rsidTr="00956DE6">
        <w:trPr>
          <w:trHeight w:val="765"/>
        </w:trPr>
        <w:tc>
          <w:tcPr>
            <w:tcW w:w="684" w:type="dxa"/>
            <w:tcBorders>
              <w:top w:val="single" w:sz="4" w:space="0" w:color="auto"/>
              <w:left w:val="single" w:sz="8" w:space="0" w:color="auto"/>
              <w:bottom w:val="nil"/>
              <w:right w:val="single" w:sz="4" w:space="0" w:color="auto"/>
            </w:tcBorders>
            <w:shd w:val="clear" w:color="auto" w:fill="auto"/>
            <w:noWrap/>
            <w:vAlign w:val="bottom"/>
            <w:hideMark/>
          </w:tcPr>
          <w:p w14:paraId="06EC2F6D"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 </w:t>
            </w:r>
          </w:p>
        </w:tc>
        <w:tc>
          <w:tcPr>
            <w:tcW w:w="4536" w:type="dxa"/>
            <w:tcBorders>
              <w:top w:val="single" w:sz="4" w:space="0" w:color="auto"/>
              <w:left w:val="nil"/>
              <w:bottom w:val="nil"/>
              <w:right w:val="single" w:sz="4" w:space="0" w:color="auto"/>
            </w:tcBorders>
            <w:shd w:val="clear" w:color="auto" w:fill="auto"/>
            <w:vAlign w:val="bottom"/>
            <w:hideMark/>
          </w:tcPr>
          <w:p w14:paraId="2DE412C9" w14:textId="77777777" w:rsidR="00687021" w:rsidRPr="00687021" w:rsidRDefault="00687021" w:rsidP="00687021">
            <w:pPr>
              <w:spacing w:after="0" w:line="240" w:lineRule="auto"/>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Řešení naléhavých potřeb při zabezpečení provozu sociálních služeb zřízených a provozovaných obcemi (UZ 13351)</w:t>
            </w:r>
          </w:p>
        </w:tc>
        <w:tc>
          <w:tcPr>
            <w:tcW w:w="1418" w:type="dxa"/>
            <w:tcBorders>
              <w:top w:val="single" w:sz="4" w:space="0" w:color="auto"/>
              <w:left w:val="nil"/>
              <w:bottom w:val="nil"/>
              <w:right w:val="single" w:sz="4" w:space="0" w:color="auto"/>
            </w:tcBorders>
            <w:shd w:val="clear" w:color="auto" w:fill="auto"/>
            <w:noWrap/>
            <w:vAlign w:val="bottom"/>
            <w:hideMark/>
          </w:tcPr>
          <w:p w14:paraId="21B1721D" w14:textId="77777777" w:rsidR="00687021" w:rsidRPr="00687021" w:rsidRDefault="00687021" w:rsidP="00687021">
            <w:pPr>
              <w:spacing w:after="0" w:line="240" w:lineRule="auto"/>
              <w:jc w:val="right"/>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0</w:t>
            </w:r>
          </w:p>
        </w:tc>
        <w:tc>
          <w:tcPr>
            <w:tcW w:w="1701" w:type="dxa"/>
            <w:tcBorders>
              <w:top w:val="single" w:sz="4" w:space="0" w:color="auto"/>
              <w:left w:val="nil"/>
              <w:bottom w:val="nil"/>
              <w:right w:val="single" w:sz="4" w:space="0" w:color="auto"/>
            </w:tcBorders>
            <w:shd w:val="clear" w:color="auto" w:fill="auto"/>
            <w:noWrap/>
            <w:vAlign w:val="bottom"/>
            <w:hideMark/>
          </w:tcPr>
          <w:p w14:paraId="2F739080" w14:textId="77777777" w:rsidR="00687021" w:rsidRPr="00687021" w:rsidRDefault="00687021" w:rsidP="00687021">
            <w:pPr>
              <w:spacing w:after="0" w:line="240" w:lineRule="auto"/>
              <w:jc w:val="right"/>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240 797 429,00</w:t>
            </w:r>
          </w:p>
        </w:tc>
        <w:tc>
          <w:tcPr>
            <w:tcW w:w="1789" w:type="dxa"/>
            <w:tcBorders>
              <w:top w:val="single" w:sz="4" w:space="0" w:color="auto"/>
              <w:left w:val="nil"/>
              <w:bottom w:val="nil"/>
              <w:right w:val="single" w:sz="4" w:space="0" w:color="auto"/>
            </w:tcBorders>
            <w:shd w:val="clear" w:color="auto" w:fill="auto"/>
            <w:noWrap/>
            <w:vAlign w:val="bottom"/>
            <w:hideMark/>
          </w:tcPr>
          <w:p w14:paraId="7F7B450B" w14:textId="77777777" w:rsidR="00687021" w:rsidRPr="00687021" w:rsidRDefault="00687021" w:rsidP="00687021">
            <w:pPr>
              <w:spacing w:after="0" w:line="240" w:lineRule="auto"/>
              <w:jc w:val="right"/>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240 737 531,00</w:t>
            </w:r>
          </w:p>
        </w:tc>
        <w:tc>
          <w:tcPr>
            <w:tcW w:w="659" w:type="dxa"/>
            <w:tcBorders>
              <w:top w:val="single" w:sz="4" w:space="0" w:color="auto"/>
              <w:left w:val="nil"/>
              <w:bottom w:val="nil"/>
              <w:right w:val="single" w:sz="8" w:space="0" w:color="auto"/>
            </w:tcBorders>
            <w:shd w:val="clear" w:color="auto" w:fill="auto"/>
            <w:noWrap/>
            <w:vAlign w:val="bottom"/>
            <w:hideMark/>
          </w:tcPr>
          <w:p w14:paraId="3714A494" w14:textId="77777777" w:rsidR="00687021" w:rsidRPr="00687021" w:rsidRDefault="00687021" w:rsidP="00687021">
            <w:pPr>
              <w:spacing w:after="0" w:line="240" w:lineRule="auto"/>
              <w:jc w:val="right"/>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100,0</w:t>
            </w:r>
          </w:p>
        </w:tc>
      </w:tr>
      <w:tr w:rsidR="00687021" w:rsidRPr="00687021" w14:paraId="694EA45F" w14:textId="77777777" w:rsidTr="00956DE6">
        <w:trPr>
          <w:trHeight w:val="270"/>
        </w:trPr>
        <w:tc>
          <w:tcPr>
            <w:tcW w:w="684"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031090E6" w14:textId="77777777" w:rsidR="00687021" w:rsidRPr="00687021" w:rsidRDefault="00687021" w:rsidP="00687021">
            <w:pPr>
              <w:spacing w:after="0" w:line="240" w:lineRule="auto"/>
              <w:jc w:val="center"/>
              <w:rPr>
                <w:rFonts w:ascii="Calibri" w:eastAsia="Times New Roman" w:hAnsi="Calibri" w:cs="Calibri"/>
                <w:sz w:val="20"/>
                <w:szCs w:val="20"/>
                <w:lang w:eastAsia="cs-CZ"/>
              </w:rPr>
            </w:pPr>
            <w:r w:rsidRPr="00687021">
              <w:rPr>
                <w:rFonts w:ascii="Calibri" w:eastAsia="Times New Roman" w:hAnsi="Calibri" w:cs="Calibri"/>
                <w:sz w:val="20"/>
                <w:szCs w:val="20"/>
                <w:lang w:eastAsia="cs-CZ"/>
              </w:rPr>
              <w:t>4342</w:t>
            </w:r>
          </w:p>
        </w:tc>
        <w:tc>
          <w:tcPr>
            <w:tcW w:w="4536" w:type="dxa"/>
            <w:tcBorders>
              <w:top w:val="single" w:sz="4" w:space="0" w:color="auto"/>
              <w:left w:val="nil"/>
              <w:bottom w:val="single" w:sz="8" w:space="0" w:color="auto"/>
              <w:right w:val="single" w:sz="4" w:space="0" w:color="auto"/>
            </w:tcBorders>
            <w:shd w:val="clear" w:color="auto" w:fill="auto"/>
            <w:vAlign w:val="bottom"/>
            <w:hideMark/>
          </w:tcPr>
          <w:p w14:paraId="2D936C0C" w14:textId="77777777" w:rsidR="00687021" w:rsidRPr="00687021" w:rsidRDefault="00687021" w:rsidP="00687021">
            <w:pPr>
              <w:spacing w:after="0" w:line="240" w:lineRule="auto"/>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Podpora koordinátorů romských poradců (UZ 4001)</w:t>
            </w:r>
          </w:p>
        </w:tc>
        <w:tc>
          <w:tcPr>
            <w:tcW w:w="1418" w:type="dxa"/>
            <w:tcBorders>
              <w:top w:val="single" w:sz="4" w:space="0" w:color="auto"/>
              <w:left w:val="nil"/>
              <w:bottom w:val="single" w:sz="8" w:space="0" w:color="auto"/>
              <w:right w:val="single" w:sz="4" w:space="0" w:color="auto"/>
            </w:tcBorders>
            <w:shd w:val="clear" w:color="auto" w:fill="auto"/>
            <w:noWrap/>
            <w:vAlign w:val="bottom"/>
            <w:hideMark/>
          </w:tcPr>
          <w:p w14:paraId="0BA4CD73" w14:textId="77777777" w:rsidR="00687021" w:rsidRPr="00687021" w:rsidRDefault="00687021" w:rsidP="00687021">
            <w:pPr>
              <w:spacing w:after="0" w:line="240" w:lineRule="auto"/>
              <w:jc w:val="right"/>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0</w:t>
            </w:r>
          </w:p>
        </w:tc>
        <w:tc>
          <w:tcPr>
            <w:tcW w:w="1701" w:type="dxa"/>
            <w:tcBorders>
              <w:top w:val="single" w:sz="4" w:space="0" w:color="auto"/>
              <w:left w:val="nil"/>
              <w:bottom w:val="single" w:sz="8" w:space="0" w:color="auto"/>
              <w:right w:val="single" w:sz="4" w:space="0" w:color="auto"/>
            </w:tcBorders>
            <w:shd w:val="clear" w:color="auto" w:fill="auto"/>
            <w:noWrap/>
            <w:vAlign w:val="bottom"/>
            <w:hideMark/>
          </w:tcPr>
          <w:p w14:paraId="4C6A6B06" w14:textId="77777777" w:rsidR="00687021" w:rsidRPr="00687021" w:rsidRDefault="00687021" w:rsidP="00687021">
            <w:pPr>
              <w:spacing w:after="0" w:line="240" w:lineRule="auto"/>
              <w:jc w:val="right"/>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450 000,00</w:t>
            </w:r>
          </w:p>
        </w:tc>
        <w:tc>
          <w:tcPr>
            <w:tcW w:w="1789" w:type="dxa"/>
            <w:tcBorders>
              <w:top w:val="single" w:sz="4" w:space="0" w:color="auto"/>
              <w:left w:val="nil"/>
              <w:bottom w:val="single" w:sz="8" w:space="0" w:color="auto"/>
              <w:right w:val="single" w:sz="4" w:space="0" w:color="auto"/>
            </w:tcBorders>
            <w:shd w:val="clear" w:color="auto" w:fill="auto"/>
            <w:noWrap/>
            <w:vAlign w:val="bottom"/>
            <w:hideMark/>
          </w:tcPr>
          <w:p w14:paraId="2998B280" w14:textId="77777777" w:rsidR="00687021" w:rsidRPr="00687021" w:rsidRDefault="00687021" w:rsidP="00687021">
            <w:pPr>
              <w:spacing w:after="0" w:line="240" w:lineRule="auto"/>
              <w:jc w:val="right"/>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450 000,00</w:t>
            </w:r>
          </w:p>
        </w:tc>
        <w:tc>
          <w:tcPr>
            <w:tcW w:w="659" w:type="dxa"/>
            <w:tcBorders>
              <w:top w:val="single" w:sz="4" w:space="0" w:color="auto"/>
              <w:left w:val="nil"/>
              <w:bottom w:val="single" w:sz="8" w:space="0" w:color="auto"/>
              <w:right w:val="single" w:sz="8" w:space="0" w:color="auto"/>
            </w:tcBorders>
            <w:shd w:val="clear" w:color="auto" w:fill="auto"/>
            <w:noWrap/>
            <w:vAlign w:val="bottom"/>
            <w:hideMark/>
          </w:tcPr>
          <w:p w14:paraId="6204B2DD" w14:textId="77777777" w:rsidR="00687021" w:rsidRPr="00687021" w:rsidRDefault="00687021" w:rsidP="00687021">
            <w:pPr>
              <w:spacing w:after="0" w:line="240" w:lineRule="auto"/>
              <w:jc w:val="right"/>
              <w:rPr>
                <w:rFonts w:ascii="Calibri" w:eastAsia="Times New Roman" w:hAnsi="Calibri" w:cs="Calibri"/>
                <w:color w:val="000000"/>
                <w:sz w:val="20"/>
                <w:szCs w:val="20"/>
                <w:lang w:eastAsia="cs-CZ"/>
              </w:rPr>
            </w:pPr>
            <w:r w:rsidRPr="00687021">
              <w:rPr>
                <w:rFonts w:ascii="Calibri" w:eastAsia="Times New Roman" w:hAnsi="Calibri" w:cs="Calibri"/>
                <w:color w:val="000000"/>
                <w:sz w:val="20"/>
                <w:szCs w:val="20"/>
                <w:lang w:eastAsia="cs-CZ"/>
              </w:rPr>
              <w:t>100,0</w:t>
            </w:r>
          </w:p>
        </w:tc>
      </w:tr>
      <w:tr w:rsidR="00687021" w:rsidRPr="00687021" w14:paraId="3D419DB9" w14:textId="77777777" w:rsidTr="00956DE6">
        <w:trPr>
          <w:trHeight w:val="315"/>
        </w:trPr>
        <w:tc>
          <w:tcPr>
            <w:tcW w:w="684" w:type="dxa"/>
            <w:tcBorders>
              <w:top w:val="nil"/>
              <w:left w:val="single" w:sz="8" w:space="0" w:color="auto"/>
              <w:bottom w:val="single" w:sz="8" w:space="0" w:color="auto"/>
              <w:right w:val="single" w:sz="4" w:space="0" w:color="auto"/>
            </w:tcBorders>
            <w:shd w:val="clear" w:color="auto" w:fill="auto"/>
            <w:noWrap/>
            <w:vAlign w:val="bottom"/>
            <w:hideMark/>
          </w:tcPr>
          <w:p w14:paraId="0904B36C" w14:textId="77777777" w:rsidR="00687021" w:rsidRPr="00687021" w:rsidRDefault="00687021" w:rsidP="00687021">
            <w:pPr>
              <w:spacing w:after="0" w:line="240" w:lineRule="auto"/>
              <w:jc w:val="center"/>
              <w:rPr>
                <w:rFonts w:ascii="Calibri" w:eastAsia="Times New Roman" w:hAnsi="Calibri" w:cs="Calibri"/>
                <w:lang w:eastAsia="cs-CZ"/>
              </w:rPr>
            </w:pPr>
            <w:r w:rsidRPr="00687021">
              <w:rPr>
                <w:rFonts w:ascii="Calibri" w:eastAsia="Times New Roman" w:hAnsi="Calibri" w:cs="Calibri"/>
                <w:lang w:eastAsia="cs-CZ"/>
              </w:rPr>
              <w:t> </w:t>
            </w:r>
          </w:p>
        </w:tc>
        <w:tc>
          <w:tcPr>
            <w:tcW w:w="4536" w:type="dxa"/>
            <w:tcBorders>
              <w:top w:val="nil"/>
              <w:left w:val="nil"/>
              <w:bottom w:val="single" w:sz="8" w:space="0" w:color="auto"/>
              <w:right w:val="single" w:sz="4" w:space="0" w:color="auto"/>
            </w:tcBorders>
            <w:shd w:val="clear" w:color="auto" w:fill="auto"/>
            <w:noWrap/>
            <w:vAlign w:val="bottom"/>
            <w:hideMark/>
          </w:tcPr>
          <w:p w14:paraId="1463E0B9" w14:textId="77777777" w:rsidR="00687021" w:rsidRPr="00687021" w:rsidRDefault="00687021" w:rsidP="00687021">
            <w:pPr>
              <w:spacing w:after="0" w:line="240" w:lineRule="auto"/>
              <w:rPr>
                <w:rFonts w:ascii="Calibri" w:eastAsia="Times New Roman" w:hAnsi="Calibri" w:cs="Calibri"/>
                <w:b/>
                <w:bCs/>
                <w:lang w:eastAsia="cs-CZ"/>
              </w:rPr>
            </w:pPr>
            <w:r w:rsidRPr="00687021">
              <w:rPr>
                <w:rFonts w:ascii="Calibri" w:eastAsia="Times New Roman" w:hAnsi="Calibri" w:cs="Calibri"/>
                <w:b/>
                <w:bCs/>
                <w:lang w:eastAsia="cs-CZ"/>
              </w:rPr>
              <w:t>Celkem</w:t>
            </w:r>
          </w:p>
        </w:tc>
        <w:tc>
          <w:tcPr>
            <w:tcW w:w="1418" w:type="dxa"/>
            <w:tcBorders>
              <w:top w:val="nil"/>
              <w:left w:val="nil"/>
              <w:bottom w:val="single" w:sz="8" w:space="0" w:color="auto"/>
              <w:right w:val="single" w:sz="4" w:space="0" w:color="auto"/>
            </w:tcBorders>
            <w:shd w:val="clear" w:color="auto" w:fill="auto"/>
            <w:noWrap/>
            <w:vAlign w:val="bottom"/>
            <w:hideMark/>
          </w:tcPr>
          <w:p w14:paraId="56B0CC4F" w14:textId="77777777" w:rsidR="00687021" w:rsidRPr="00687021" w:rsidRDefault="00687021" w:rsidP="00687021">
            <w:pPr>
              <w:spacing w:after="0" w:line="240" w:lineRule="auto"/>
              <w:jc w:val="right"/>
              <w:rPr>
                <w:rFonts w:ascii="Calibri" w:eastAsia="Times New Roman" w:hAnsi="Calibri" w:cs="Calibri"/>
                <w:b/>
                <w:bCs/>
                <w:lang w:eastAsia="cs-CZ"/>
              </w:rPr>
            </w:pPr>
            <w:r w:rsidRPr="00687021">
              <w:rPr>
                <w:rFonts w:ascii="Calibri" w:eastAsia="Times New Roman" w:hAnsi="Calibri" w:cs="Calibri"/>
                <w:b/>
                <w:bCs/>
                <w:lang w:eastAsia="cs-CZ"/>
              </w:rPr>
              <w:t>0</w:t>
            </w:r>
          </w:p>
        </w:tc>
        <w:tc>
          <w:tcPr>
            <w:tcW w:w="1701" w:type="dxa"/>
            <w:tcBorders>
              <w:top w:val="nil"/>
              <w:left w:val="nil"/>
              <w:bottom w:val="single" w:sz="8" w:space="0" w:color="auto"/>
              <w:right w:val="single" w:sz="4" w:space="0" w:color="auto"/>
            </w:tcBorders>
            <w:shd w:val="clear" w:color="auto" w:fill="auto"/>
            <w:noWrap/>
            <w:vAlign w:val="bottom"/>
            <w:hideMark/>
          </w:tcPr>
          <w:p w14:paraId="579AC7E4" w14:textId="77777777" w:rsidR="00687021" w:rsidRPr="00687021" w:rsidRDefault="00687021" w:rsidP="00687021">
            <w:pPr>
              <w:spacing w:after="0" w:line="240" w:lineRule="auto"/>
              <w:jc w:val="right"/>
              <w:rPr>
                <w:rFonts w:ascii="Calibri" w:eastAsia="Times New Roman" w:hAnsi="Calibri" w:cs="Calibri"/>
                <w:b/>
                <w:bCs/>
                <w:lang w:eastAsia="cs-CZ"/>
              </w:rPr>
            </w:pPr>
            <w:r w:rsidRPr="00687021">
              <w:rPr>
                <w:rFonts w:ascii="Calibri" w:eastAsia="Times New Roman" w:hAnsi="Calibri" w:cs="Calibri"/>
                <w:b/>
                <w:bCs/>
                <w:lang w:eastAsia="cs-CZ"/>
              </w:rPr>
              <w:t>2 821 806 487,52</w:t>
            </w:r>
          </w:p>
        </w:tc>
        <w:tc>
          <w:tcPr>
            <w:tcW w:w="1789" w:type="dxa"/>
            <w:tcBorders>
              <w:top w:val="nil"/>
              <w:left w:val="nil"/>
              <w:bottom w:val="single" w:sz="8" w:space="0" w:color="auto"/>
              <w:right w:val="single" w:sz="4" w:space="0" w:color="auto"/>
            </w:tcBorders>
            <w:shd w:val="clear" w:color="auto" w:fill="auto"/>
            <w:noWrap/>
            <w:vAlign w:val="bottom"/>
            <w:hideMark/>
          </w:tcPr>
          <w:p w14:paraId="67F363D2" w14:textId="77777777" w:rsidR="00687021" w:rsidRPr="00687021" w:rsidRDefault="00687021" w:rsidP="00687021">
            <w:pPr>
              <w:spacing w:after="0" w:line="240" w:lineRule="auto"/>
              <w:jc w:val="right"/>
              <w:rPr>
                <w:rFonts w:ascii="Calibri" w:eastAsia="Times New Roman" w:hAnsi="Calibri" w:cs="Calibri"/>
                <w:b/>
                <w:bCs/>
                <w:lang w:eastAsia="cs-CZ"/>
              </w:rPr>
            </w:pPr>
            <w:r w:rsidRPr="00687021">
              <w:rPr>
                <w:rFonts w:ascii="Calibri" w:eastAsia="Times New Roman" w:hAnsi="Calibri" w:cs="Calibri"/>
                <w:b/>
                <w:bCs/>
                <w:lang w:eastAsia="cs-CZ"/>
              </w:rPr>
              <w:t>2 772 996 885,89</w:t>
            </w:r>
          </w:p>
        </w:tc>
        <w:tc>
          <w:tcPr>
            <w:tcW w:w="659" w:type="dxa"/>
            <w:tcBorders>
              <w:top w:val="nil"/>
              <w:left w:val="nil"/>
              <w:bottom w:val="single" w:sz="8" w:space="0" w:color="auto"/>
              <w:right w:val="single" w:sz="8" w:space="0" w:color="auto"/>
            </w:tcBorders>
            <w:shd w:val="clear" w:color="auto" w:fill="auto"/>
            <w:noWrap/>
            <w:vAlign w:val="bottom"/>
            <w:hideMark/>
          </w:tcPr>
          <w:p w14:paraId="7F496200" w14:textId="77777777" w:rsidR="00687021" w:rsidRPr="00687021" w:rsidRDefault="00687021" w:rsidP="00687021">
            <w:pPr>
              <w:spacing w:after="0" w:line="240" w:lineRule="auto"/>
              <w:jc w:val="right"/>
              <w:rPr>
                <w:rFonts w:ascii="Calibri" w:eastAsia="Times New Roman" w:hAnsi="Calibri" w:cs="Calibri"/>
                <w:b/>
                <w:bCs/>
                <w:lang w:eastAsia="cs-CZ"/>
              </w:rPr>
            </w:pPr>
            <w:r w:rsidRPr="00687021">
              <w:rPr>
                <w:rFonts w:ascii="Calibri" w:eastAsia="Times New Roman" w:hAnsi="Calibri" w:cs="Calibri"/>
                <w:b/>
                <w:bCs/>
                <w:lang w:eastAsia="cs-CZ"/>
              </w:rPr>
              <w:t>98,3</w:t>
            </w:r>
          </w:p>
        </w:tc>
      </w:tr>
      <w:tr w:rsidR="00687021" w:rsidRPr="00687021" w14:paraId="4AF21F5E" w14:textId="77777777" w:rsidTr="00956DE6">
        <w:trPr>
          <w:trHeight w:val="315"/>
        </w:trPr>
        <w:tc>
          <w:tcPr>
            <w:tcW w:w="684" w:type="dxa"/>
            <w:tcBorders>
              <w:top w:val="nil"/>
              <w:left w:val="nil"/>
              <w:bottom w:val="nil"/>
              <w:right w:val="nil"/>
            </w:tcBorders>
            <w:shd w:val="clear" w:color="auto" w:fill="auto"/>
            <w:noWrap/>
            <w:vAlign w:val="bottom"/>
            <w:hideMark/>
          </w:tcPr>
          <w:p w14:paraId="194CA8A3" w14:textId="77777777" w:rsidR="00687021" w:rsidRPr="00687021" w:rsidRDefault="00687021" w:rsidP="00687021">
            <w:pPr>
              <w:spacing w:after="0" w:line="240" w:lineRule="auto"/>
              <w:jc w:val="right"/>
              <w:rPr>
                <w:rFonts w:ascii="Calibri" w:eastAsia="Times New Roman" w:hAnsi="Calibri" w:cs="Calibri"/>
                <w:b/>
                <w:bCs/>
                <w:lang w:eastAsia="cs-CZ"/>
              </w:rPr>
            </w:pPr>
          </w:p>
        </w:tc>
        <w:tc>
          <w:tcPr>
            <w:tcW w:w="4536" w:type="dxa"/>
            <w:tcBorders>
              <w:top w:val="nil"/>
              <w:left w:val="nil"/>
              <w:bottom w:val="nil"/>
              <w:right w:val="nil"/>
            </w:tcBorders>
            <w:shd w:val="clear" w:color="auto" w:fill="auto"/>
            <w:noWrap/>
            <w:vAlign w:val="bottom"/>
            <w:hideMark/>
          </w:tcPr>
          <w:p w14:paraId="2CEE344E" w14:textId="77777777" w:rsidR="00687021" w:rsidRPr="00687021" w:rsidRDefault="00687021" w:rsidP="00687021">
            <w:pPr>
              <w:spacing w:after="0" w:line="240" w:lineRule="auto"/>
              <w:jc w:val="center"/>
              <w:rPr>
                <w:rFonts w:ascii="Times New Roman" w:eastAsia="Times New Roman" w:hAnsi="Times New Roman" w:cs="Times New Roman"/>
                <w:sz w:val="20"/>
                <w:szCs w:val="20"/>
                <w:lang w:eastAsia="cs-CZ"/>
              </w:rPr>
            </w:pPr>
          </w:p>
        </w:tc>
        <w:tc>
          <w:tcPr>
            <w:tcW w:w="1418" w:type="dxa"/>
            <w:tcBorders>
              <w:top w:val="nil"/>
              <w:left w:val="nil"/>
              <w:bottom w:val="nil"/>
              <w:right w:val="nil"/>
            </w:tcBorders>
            <w:shd w:val="clear" w:color="auto" w:fill="auto"/>
            <w:noWrap/>
            <w:vAlign w:val="bottom"/>
            <w:hideMark/>
          </w:tcPr>
          <w:p w14:paraId="49596BED" w14:textId="77777777" w:rsidR="00687021" w:rsidRPr="00687021" w:rsidRDefault="00687021" w:rsidP="00687021">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068E49E7" w14:textId="77777777" w:rsidR="00687021" w:rsidRPr="00687021" w:rsidRDefault="00687021" w:rsidP="00687021">
            <w:pPr>
              <w:spacing w:after="0" w:line="240" w:lineRule="auto"/>
              <w:jc w:val="right"/>
              <w:rPr>
                <w:rFonts w:ascii="Times New Roman" w:eastAsia="Times New Roman" w:hAnsi="Times New Roman" w:cs="Times New Roman"/>
                <w:sz w:val="20"/>
                <w:szCs w:val="20"/>
                <w:lang w:eastAsia="cs-CZ"/>
              </w:rPr>
            </w:pPr>
          </w:p>
        </w:tc>
        <w:tc>
          <w:tcPr>
            <w:tcW w:w="1789" w:type="dxa"/>
            <w:tcBorders>
              <w:top w:val="nil"/>
              <w:left w:val="nil"/>
              <w:bottom w:val="nil"/>
              <w:right w:val="nil"/>
            </w:tcBorders>
            <w:shd w:val="clear" w:color="auto" w:fill="auto"/>
            <w:noWrap/>
            <w:vAlign w:val="bottom"/>
            <w:hideMark/>
          </w:tcPr>
          <w:p w14:paraId="1BB5DE7D" w14:textId="77777777" w:rsidR="00687021" w:rsidRPr="00687021" w:rsidRDefault="00687021" w:rsidP="00687021">
            <w:pPr>
              <w:spacing w:after="0" w:line="240" w:lineRule="auto"/>
              <w:jc w:val="right"/>
              <w:rPr>
                <w:rFonts w:ascii="Times New Roman" w:eastAsia="Times New Roman" w:hAnsi="Times New Roman" w:cs="Times New Roman"/>
                <w:sz w:val="20"/>
                <w:szCs w:val="20"/>
                <w:lang w:eastAsia="cs-CZ"/>
              </w:rPr>
            </w:pPr>
          </w:p>
        </w:tc>
        <w:tc>
          <w:tcPr>
            <w:tcW w:w="659" w:type="dxa"/>
            <w:tcBorders>
              <w:top w:val="nil"/>
              <w:left w:val="nil"/>
              <w:bottom w:val="nil"/>
              <w:right w:val="nil"/>
            </w:tcBorders>
            <w:shd w:val="clear" w:color="auto" w:fill="auto"/>
            <w:noWrap/>
            <w:vAlign w:val="bottom"/>
            <w:hideMark/>
          </w:tcPr>
          <w:p w14:paraId="2B252466" w14:textId="77777777" w:rsidR="00687021" w:rsidRPr="00687021" w:rsidRDefault="00687021" w:rsidP="00687021">
            <w:pPr>
              <w:spacing w:after="0" w:line="240" w:lineRule="auto"/>
              <w:jc w:val="right"/>
              <w:rPr>
                <w:rFonts w:ascii="Times New Roman" w:eastAsia="Times New Roman" w:hAnsi="Times New Roman" w:cs="Times New Roman"/>
                <w:sz w:val="20"/>
                <w:szCs w:val="20"/>
                <w:lang w:eastAsia="cs-CZ"/>
              </w:rPr>
            </w:pPr>
          </w:p>
        </w:tc>
      </w:tr>
      <w:tr w:rsidR="00687021" w:rsidRPr="00687021" w14:paraId="539CA3FB" w14:textId="77777777" w:rsidTr="00956DE6">
        <w:trPr>
          <w:trHeight w:val="330"/>
        </w:trPr>
        <w:tc>
          <w:tcPr>
            <w:tcW w:w="522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45AA2979" w14:textId="77777777" w:rsidR="00687021" w:rsidRPr="00687021" w:rsidRDefault="00687021" w:rsidP="00687021">
            <w:pPr>
              <w:spacing w:after="0" w:line="240" w:lineRule="auto"/>
              <w:rPr>
                <w:rFonts w:ascii="Calibri" w:eastAsia="Times New Roman" w:hAnsi="Calibri" w:cs="Calibri"/>
                <w:b/>
                <w:bCs/>
                <w:sz w:val="24"/>
                <w:szCs w:val="24"/>
                <w:lang w:eastAsia="cs-CZ"/>
              </w:rPr>
            </w:pPr>
            <w:r w:rsidRPr="00687021">
              <w:rPr>
                <w:rFonts w:ascii="Calibri" w:eastAsia="Times New Roman" w:hAnsi="Calibri" w:cs="Calibri"/>
                <w:b/>
                <w:bCs/>
                <w:sz w:val="24"/>
                <w:szCs w:val="24"/>
                <w:lang w:eastAsia="cs-CZ"/>
              </w:rPr>
              <w:t>Celkem výdaje</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14:paraId="2C05D602" w14:textId="77777777" w:rsidR="00687021" w:rsidRPr="00687021" w:rsidRDefault="00687021" w:rsidP="00687021">
            <w:pPr>
              <w:spacing w:after="0" w:line="240" w:lineRule="auto"/>
              <w:jc w:val="right"/>
              <w:rPr>
                <w:rFonts w:ascii="Calibri" w:eastAsia="Times New Roman" w:hAnsi="Calibri" w:cs="Calibri"/>
                <w:b/>
                <w:bCs/>
                <w:lang w:eastAsia="cs-CZ"/>
              </w:rPr>
            </w:pPr>
            <w:r w:rsidRPr="00687021">
              <w:rPr>
                <w:rFonts w:ascii="Calibri" w:eastAsia="Times New Roman" w:hAnsi="Calibri" w:cs="Calibri"/>
                <w:b/>
                <w:bCs/>
                <w:lang w:eastAsia="cs-CZ"/>
              </w:rPr>
              <w:t>285 458 000</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76EFD667" w14:textId="77777777" w:rsidR="00687021" w:rsidRPr="00687021" w:rsidRDefault="00687021" w:rsidP="00687021">
            <w:pPr>
              <w:spacing w:after="0" w:line="240" w:lineRule="auto"/>
              <w:jc w:val="right"/>
              <w:rPr>
                <w:rFonts w:ascii="Calibri" w:eastAsia="Times New Roman" w:hAnsi="Calibri" w:cs="Calibri"/>
                <w:b/>
                <w:bCs/>
                <w:lang w:eastAsia="cs-CZ"/>
              </w:rPr>
            </w:pPr>
            <w:r w:rsidRPr="00687021">
              <w:rPr>
                <w:rFonts w:ascii="Calibri" w:eastAsia="Times New Roman" w:hAnsi="Calibri" w:cs="Calibri"/>
                <w:b/>
                <w:bCs/>
                <w:lang w:eastAsia="cs-CZ"/>
              </w:rPr>
              <w:t>3 330 852 701,82</w:t>
            </w:r>
          </w:p>
        </w:tc>
        <w:tc>
          <w:tcPr>
            <w:tcW w:w="1789" w:type="dxa"/>
            <w:tcBorders>
              <w:top w:val="single" w:sz="8" w:space="0" w:color="auto"/>
              <w:left w:val="nil"/>
              <w:bottom w:val="single" w:sz="8" w:space="0" w:color="auto"/>
              <w:right w:val="single" w:sz="8" w:space="0" w:color="auto"/>
            </w:tcBorders>
            <w:shd w:val="clear" w:color="auto" w:fill="auto"/>
            <w:noWrap/>
            <w:vAlign w:val="bottom"/>
            <w:hideMark/>
          </w:tcPr>
          <w:p w14:paraId="6A0118CA" w14:textId="77777777" w:rsidR="00687021" w:rsidRPr="00687021" w:rsidRDefault="00687021" w:rsidP="00687021">
            <w:pPr>
              <w:spacing w:after="0" w:line="240" w:lineRule="auto"/>
              <w:jc w:val="right"/>
              <w:rPr>
                <w:rFonts w:ascii="Calibri" w:eastAsia="Times New Roman" w:hAnsi="Calibri" w:cs="Calibri"/>
                <w:b/>
                <w:bCs/>
                <w:lang w:eastAsia="cs-CZ"/>
              </w:rPr>
            </w:pPr>
            <w:r w:rsidRPr="00687021">
              <w:rPr>
                <w:rFonts w:ascii="Calibri" w:eastAsia="Times New Roman" w:hAnsi="Calibri" w:cs="Calibri"/>
                <w:b/>
                <w:bCs/>
                <w:lang w:eastAsia="cs-CZ"/>
              </w:rPr>
              <w:t>3 218 170 191,31</w:t>
            </w:r>
          </w:p>
        </w:tc>
        <w:tc>
          <w:tcPr>
            <w:tcW w:w="659"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14:paraId="4720E276" w14:textId="77777777" w:rsidR="00687021" w:rsidRPr="00687021" w:rsidRDefault="00687021" w:rsidP="00687021">
            <w:pPr>
              <w:spacing w:after="0" w:line="240" w:lineRule="auto"/>
              <w:jc w:val="right"/>
              <w:rPr>
                <w:rFonts w:ascii="Calibri" w:eastAsia="Times New Roman" w:hAnsi="Calibri" w:cs="Calibri"/>
                <w:b/>
                <w:bCs/>
                <w:lang w:eastAsia="cs-CZ"/>
              </w:rPr>
            </w:pPr>
            <w:r w:rsidRPr="00687021">
              <w:rPr>
                <w:rFonts w:ascii="Calibri" w:eastAsia="Times New Roman" w:hAnsi="Calibri" w:cs="Calibri"/>
                <w:b/>
                <w:bCs/>
                <w:lang w:eastAsia="cs-CZ"/>
              </w:rPr>
              <w:t>96,6</w:t>
            </w:r>
          </w:p>
        </w:tc>
      </w:tr>
    </w:tbl>
    <w:p w14:paraId="5B9B91D2" w14:textId="6B28AD5A" w:rsidR="00687021" w:rsidRDefault="00687021" w:rsidP="0013179B">
      <w:pPr>
        <w:rPr>
          <w:rFonts w:cs="Calibri"/>
        </w:rPr>
      </w:pPr>
    </w:p>
    <w:p w14:paraId="128F4006" w14:textId="1C97D011" w:rsidR="00894A5F" w:rsidRDefault="00894A5F" w:rsidP="0013179B">
      <w:pPr>
        <w:rPr>
          <w:rFonts w:cs="Calibri"/>
        </w:rPr>
      </w:pPr>
    </w:p>
    <w:p w14:paraId="0715E443" w14:textId="6DE287C6" w:rsidR="00894A5F" w:rsidRDefault="00894A5F" w:rsidP="0013179B">
      <w:pPr>
        <w:rPr>
          <w:rFonts w:cs="Calibri"/>
        </w:rPr>
      </w:pPr>
    </w:p>
    <w:p w14:paraId="267FA1EE" w14:textId="0973E9A0" w:rsidR="00894A5F" w:rsidRDefault="00894A5F" w:rsidP="0013179B">
      <w:pPr>
        <w:rPr>
          <w:rFonts w:cs="Calibri"/>
        </w:rPr>
      </w:pPr>
    </w:p>
    <w:p w14:paraId="3ED66183" w14:textId="4167B5E2" w:rsidR="00894A5F" w:rsidRDefault="00894A5F" w:rsidP="0013179B">
      <w:pPr>
        <w:rPr>
          <w:rFonts w:cs="Calibri"/>
        </w:rPr>
      </w:pPr>
    </w:p>
    <w:p w14:paraId="0895753F" w14:textId="77777777" w:rsidR="00894A5F" w:rsidRPr="00835DCA" w:rsidRDefault="00894A5F" w:rsidP="00894A5F">
      <w:pPr>
        <w:spacing w:after="0" w:line="240" w:lineRule="auto"/>
        <w:jc w:val="both"/>
        <w:rPr>
          <w:rFonts w:cstheme="minorHAnsi"/>
          <w:b/>
          <w:sz w:val="28"/>
          <w:szCs w:val="28"/>
          <w:u w:val="single"/>
        </w:rPr>
      </w:pPr>
    </w:p>
    <w:p w14:paraId="68BFB878" w14:textId="77777777" w:rsidR="00894A5F" w:rsidRPr="00835DCA" w:rsidRDefault="00894A5F" w:rsidP="00894A5F">
      <w:pPr>
        <w:spacing w:after="0" w:line="240" w:lineRule="auto"/>
        <w:jc w:val="both"/>
        <w:rPr>
          <w:rFonts w:cstheme="minorHAnsi"/>
          <w:sz w:val="28"/>
          <w:szCs w:val="28"/>
        </w:rPr>
      </w:pPr>
      <w:r w:rsidRPr="00835DCA">
        <w:rPr>
          <w:rFonts w:cstheme="minorHAnsi"/>
          <w:b/>
          <w:sz w:val="28"/>
          <w:szCs w:val="28"/>
          <w:u w:val="single"/>
        </w:rPr>
        <w:t>Kapitola 17 – Sociální věci</w:t>
      </w:r>
    </w:p>
    <w:p w14:paraId="1E14B17B" w14:textId="77777777" w:rsidR="00894A5F" w:rsidRPr="00835DCA" w:rsidRDefault="00894A5F" w:rsidP="00894A5F">
      <w:pPr>
        <w:spacing w:after="0" w:line="240" w:lineRule="auto"/>
        <w:jc w:val="both"/>
        <w:rPr>
          <w:rFonts w:cstheme="minorHAnsi"/>
        </w:rPr>
      </w:pPr>
    </w:p>
    <w:p w14:paraId="1AE98604" w14:textId="77777777" w:rsidR="00894A5F" w:rsidRPr="00835DCA" w:rsidRDefault="00894A5F" w:rsidP="00894A5F">
      <w:pPr>
        <w:spacing w:after="0" w:line="240" w:lineRule="auto"/>
        <w:jc w:val="both"/>
        <w:rPr>
          <w:rFonts w:cstheme="minorHAnsi"/>
          <w:b/>
          <w:sz w:val="24"/>
          <w:szCs w:val="24"/>
          <w:u w:val="single"/>
        </w:rPr>
      </w:pPr>
      <w:r w:rsidRPr="00835DCA">
        <w:rPr>
          <w:rFonts w:cstheme="minorHAnsi"/>
          <w:b/>
          <w:sz w:val="24"/>
          <w:szCs w:val="24"/>
          <w:u w:val="single"/>
        </w:rPr>
        <w:t>Běžné výdaje</w:t>
      </w:r>
    </w:p>
    <w:p w14:paraId="0BC70220" w14:textId="77777777" w:rsidR="00894A5F" w:rsidRPr="00835DCA" w:rsidRDefault="00894A5F" w:rsidP="00894A5F">
      <w:pPr>
        <w:spacing w:after="0" w:line="240" w:lineRule="auto"/>
        <w:jc w:val="both"/>
        <w:rPr>
          <w:rFonts w:cstheme="minorHAnsi"/>
          <w:b/>
          <w:u w:val="single"/>
        </w:rPr>
      </w:pPr>
    </w:p>
    <w:p w14:paraId="6CA941B7" w14:textId="1D83D025" w:rsidR="00894A5F" w:rsidRPr="00835DCA" w:rsidRDefault="00894A5F" w:rsidP="00894A5F">
      <w:pPr>
        <w:spacing w:after="0" w:line="240" w:lineRule="auto"/>
        <w:jc w:val="both"/>
        <w:rPr>
          <w:rFonts w:cstheme="minorHAnsi"/>
        </w:rPr>
      </w:pPr>
      <w:r w:rsidRPr="00835DCA">
        <w:rPr>
          <w:rFonts w:cstheme="minorHAnsi"/>
        </w:rPr>
        <w:t xml:space="preserve">Rozpočet běžných výdajů kapitoly 17 – Sociální věci zahrnuje zejména příspěvek na provoz pro příspěvkové organizace </w:t>
      </w:r>
      <w:r w:rsidR="00956DE6">
        <w:rPr>
          <w:rFonts w:cstheme="minorHAnsi"/>
        </w:rPr>
        <w:t xml:space="preserve">(PO) </w:t>
      </w:r>
      <w:r w:rsidRPr="00835DCA">
        <w:rPr>
          <w:rFonts w:cstheme="minorHAnsi"/>
        </w:rPr>
        <w:t xml:space="preserve">v gesci Odboru sociálních věcí. Součástí běžných výdajů kapitoly 17 – Sociální věci jsou dále výdaje na opravy a údržbu majetku PO. Odbor sociálních věcí navrhuje čerpání těchto finančních prostředků na akce předem schválené Radou SK na základě potřebnosti, žádostí jednotlivých PO, vzniklých havárií a osobních návštěv v jednotlivých PO. Další výdaje kapitoly 17 – Sociální věci jsou spojené s pořádáním akcí, pracovních setkání, seminářů, konferencí na různá témata spojená se sociální politikou, jako jsou například sociální a právní ochrana dětí, romská etnika, plánování sociálních služeb, financování sociálních služeb, sociální prevence a sociální péče. </w:t>
      </w:r>
    </w:p>
    <w:p w14:paraId="344AFD3F" w14:textId="77777777" w:rsidR="00894A5F" w:rsidRPr="00835DCA" w:rsidRDefault="00894A5F" w:rsidP="00894A5F">
      <w:pPr>
        <w:spacing w:after="0" w:line="240" w:lineRule="auto"/>
        <w:jc w:val="both"/>
        <w:rPr>
          <w:rFonts w:cstheme="minorHAnsi"/>
        </w:rPr>
      </w:pPr>
      <w:r w:rsidRPr="00835DCA">
        <w:rPr>
          <w:rFonts w:cstheme="minorHAnsi"/>
        </w:rPr>
        <w:t>S ohledem na aktuální potřeby jednotlivých příspěvkových organizací ze sociální oblasti došlo v průběhu roku 2021 k přesunům mezi paragrafy v rámci běžných výdajů kapitoly 17 – Sociální věci na příspěvky na provoz na základě usnesení č. 023-04/2021/RK ze dne 28. 1. 2021 (1. splátka příspěvku na provoz od zřizovatele jednotlivým PO v sociální oblasti a závazné ukazatele rozpočtu 2021) v částce 149 028 720,00 Kč, usnesení č. 022-23/2021/RK ze dne 27. 5. 2021 (mimořádná splátka příspěvku na provoz od zřizovatele jednotlivým PO a závazné ukazatele rozpočtu 2021) v celkové výši 55 000 000,00 Kč, usnesení č. 020-29/2021/RK ze dne 15.</w:t>
      </w:r>
      <w:r>
        <w:rPr>
          <w:rFonts w:cstheme="minorHAnsi"/>
        </w:rPr>
        <w:t xml:space="preserve"> </w:t>
      </w:r>
      <w:r w:rsidRPr="00835DCA">
        <w:rPr>
          <w:rFonts w:cstheme="minorHAnsi"/>
        </w:rPr>
        <w:t>7.</w:t>
      </w:r>
      <w:r>
        <w:rPr>
          <w:rFonts w:cstheme="minorHAnsi"/>
        </w:rPr>
        <w:t xml:space="preserve"> </w:t>
      </w:r>
      <w:r w:rsidRPr="00835DCA">
        <w:rPr>
          <w:rFonts w:cstheme="minorHAnsi"/>
        </w:rPr>
        <w:t>2021 (druhá splátka příspěvku na provoz od zřizovatele jednotlivým PO v sociální oblasti a závazné ukazatele rozpočtu 2021) ve výši 97 952 080,00 Kč, usnesení č. 021-29/2021/RK ze dne 15.</w:t>
      </w:r>
      <w:r>
        <w:rPr>
          <w:rFonts w:cstheme="minorHAnsi"/>
        </w:rPr>
        <w:t xml:space="preserve"> </w:t>
      </w:r>
      <w:r w:rsidRPr="00835DCA">
        <w:rPr>
          <w:rFonts w:cstheme="minorHAnsi"/>
        </w:rPr>
        <w:t>7.</w:t>
      </w:r>
      <w:r>
        <w:rPr>
          <w:rFonts w:cstheme="minorHAnsi"/>
        </w:rPr>
        <w:t xml:space="preserve"> </w:t>
      </w:r>
      <w:r w:rsidRPr="00835DCA">
        <w:rPr>
          <w:rFonts w:cstheme="minorHAnsi"/>
        </w:rPr>
        <w:t>2021 (navýšení mezd jednotlivých příspěvkových organizací v sociální oblasti a závazné ukazatele rozpočtu 2021) ve výši 11 271 012,00 Kč a usnesení č. 029-45/2021/RK ze dne 2.</w:t>
      </w:r>
      <w:r>
        <w:rPr>
          <w:rFonts w:cstheme="minorHAnsi"/>
        </w:rPr>
        <w:t xml:space="preserve"> </w:t>
      </w:r>
      <w:r w:rsidRPr="00835DCA">
        <w:rPr>
          <w:rFonts w:cstheme="minorHAnsi"/>
        </w:rPr>
        <w:t>12.</w:t>
      </w:r>
      <w:r>
        <w:rPr>
          <w:rFonts w:cstheme="minorHAnsi"/>
        </w:rPr>
        <w:t xml:space="preserve"> </w:t>
      </w:r>
      <w:r w:rsidRPr="00835DCA">
        <w:rPr>
          <w:rFonts w:cstheme="minorHAnsi"/>
        </w:rPr>
        <w:t>2021 (splátka příspěvku na mzdy od zřizovatele jednotlivým PO z prostředků kapitoly 17- Sociální věci a schválení hodnot závazných ukazatelů rozpočtu 2021) ve výši 23 532 050,00 Kč.</w:t>
      </w:r>
    </w:p>
    <w:p w14:paraId="3BE225CA" w14:textId="77777777" w:rsidR="00894A5F" w:rsidRPr="00835DCA" w:rsidRDefault="00894A5F" w:rsidP="00894A5F">
      <w:pPr>
        <w:spacing w:after="0" w:line="240" w:lineRule="auto"/>
        <w:jc w:val="both"/>
        <w:rPr>
          <w:rFonts w:cstheme="minorHAnsi"/>
        </w:rPr>
      </w:pPr>
      <w:r w:rsidRPr="00835DCA">
        <w:rPr>
          <w:rFonts w:cstheme="minorHAnsi"/>
        </w:rPr>
        <w:t>Usnesením č. 007-04/2021/ZK ze dne 22. 2. 2021 bylo schváleno navýšení rozpočtu Středočeského kraje o prostředky ze sdílených daní a nevyčerpané prostředky z roku 2020, kterým bylo do kapitoly 17 alokováno 11 271 012,00 Kč na navýšení mezd pro příspěvkové organizace. Usnesením č. 013-10/2021/RK ze dne 4. 3. 2021 byl schválen převod finančních prostředků z kap. 23 – Ostatní, specifické rezervy - rezerva na krytí propadu daňových příjmů, na navýšení příspěvku na provoz pro příspěvkové organizace ze sociální oblasti ve výši fixace rezervních fondů z roku 2020 v celkové výši 75 000 000,00 Kč. Usnesením č. 007-06/2021/ZK ze dne 26. 4. 2021 (rozdělení zůstatku hospodaření z roku 2020) byl rozpočet běžných výdajů navýšen celkem o 64 710 285,22 Kč. Dále došlo k úpravám rozpočtu na základě jednotlivých usnesení rady kraje a rozpočtových úprav v rámci kapitoly projednaných s příslušným členem rady kraje (viz níže).</w:t>
      </w:r>
    </w:p>
    <w:p w14:paraId="6DD0904B" w14:textId="77777777" w:rsidR="00894A5F" w:rsidRPr="00835DCA" w:rsidRDefault="00894A5F" w:rsidP="00894A5F">
      <w:pPr>
        <w:spacing w:after="0" w:line="240" w:lineRule="auto"/>
        <w:jc w:val="both"/>
        <w:rPr>
          <w:rFonts w:cstheme="minorHAnsi"/>
        </w:rPr>
      </w:pPr>
      <w:r w:rsidRPr="00835DCA">
        <w:rPr>
          <w:rFonts w:cstheme="minorHAnsi"/>
        </w:rPr>
        <w:t xml:space="preserve"> </w:t>
      </w:r>
    </w:p>
    <w:p w14:paraId="753C8C3F" w14:textId="77777777" w:rsidR="00894A5F" w:rsidRPr="00835DCA" w:rsidRDefault="00894A5F" w:rsidP="00894A5F">
      <w:pPr>
        <w:spacing w:after="0" w:line="240" w:lineRule="auto"/>
        <w:jc w:val="both"/>
        <w:rPr>
          <w:rFonts w:cstheme="minorHAnsi"/>
          <w:b/>
        </w:rPr>
      </w:pPr>
      <w:r w:rsidRPr="00835DCA">
        <w:rPr>
          <w:rFonts w:cstheme="minorHAnsi"/>
          <w:b/>
        </w:rPr>
        <w:t>§ 4312 – Odborné sociální poradenství - příspěvek příspěvkovým organizacím</w:t>
      </w:r>
    </w:p>
    <w:p w14:paraId="2EDD4898" w14:textId="77777777" w:rsidR="00894A5F" w:rsidRPr="00835DCA" w:rsidRDefault="00894A5F" w:rsidP="00894A5F">
      <w:pPr>
        <w:spacing w:after="0" w:line="240" w:lineRule="auto"/>
        <w:jc w:val="both"/>
        <w:rPr>
          <w:rFonts w:cstheme="minorHAnsi"/>
        </w:rPr>
      </w:pPr>
      <w:r w:rsidRPr="00835DCA">
        <w:rPr>
          <w:rFonts w:cstheme="minorHAnsi"/>
        </w:rPr>
        <w:t>Příspěvky na provoz zasílané příspěvkovým organizacím na službu odborné sociální poradenství s čerpáním příspěvku ve výši 12 763 800,00 Kč. Čerpáno na 91,9 %.</w:t>
      </w:r>
    </w:p>
    <w:p w14:paraId="7A36C4DC" w14:textId="77777777" w:rsidR="00894A5F" w:rsidRPr="00835DCA" w:rsidRDefault="00894A5F" w:rsidP="00894A5F">
      <w:pPr>
        <w:spacing w:after="0" w:line="240" w:lineRule="auto"/>
        <w:jc w:val="both"/>
        <w:rPr>
          <w:rFonts w:cstheme="minorHAnsi"/>
        </w:rPr>
      </w:pPr>
    </w:p>
    <w:p w14:paraId="222B1D5E" w14:textId="77777777" w:rsidR="00894A5F" w:rsidRPr="00835DCA" w:rsidRDefault="00894A5F" w:rsidP="00894A5F">
      <w:pPr>
        <w:spacing w:after="0" w:line="240" w:lineRule="auto"/>
        <w:jc w:val="both"/>
        <w:rPr>
          <w:rFonts w:cstheme="minorHAnsi"/>
          <w:b/>
          <w:bCs/>
        </w:rPr>
      </w:pPr>
      <w:r w:rsidRPr="00835DCA">
        <w:rPr>
          <w:rFonts w:cstheme="minorHAnsi"/>
          <w:b/>
          <w:bCs/>
        </w:rPr>
        <w:t>§ 4339 – Ostatní sociální péče a pomoc rodině a manželství</w:t>
      </w:r>
    </w:p>
    <w:p w14:paraId="6B1252EC" w14:textId="77777777" w:rsidR="00894A5F" w:rsidRPr="00835DCA" w:rsidRDefault="00894A5F" w:rsidP="00894A5F">
      <w:pPr>
        <w:spacing w:after="0" w:line="240" w:lineRule="auto"/>
        <w:jc w:val="both"/>
        <w:rPr>
          <w:rFonts w:cstheme="minorHAnsi"/>
        </w:rPr>
      </w:pPr>
      <w:r w:rsidRPr="00835DCA">
        <w:rPr>
          <w:rFonts w:cstheme="minorHAnsi"/>
        </w:rPr>
        <w:t>Finanční prostředky ve výši 5 127,01 Kč byly vynaloženy na pohoštění pro poradní sbor hejtmanky SK na úseku SPOD (sociálně právní ochrany dětí) a pro místní šetření pověřených pracovníků kanceláře veřejného ochránce práv. Dále pak na školení pro pracovníky OSPOD (oddělení sociálně právní ochrany dětí). Čerpáno na 1,3 %.</w:t>
      </w:r>
    </w:p>
    <w:p w14:paraId="39041548" w14:textId="77777777" w:rsidR="00894A5F" w:rsidRPr="00835DCA" w:rsidRDefault="00894A5F" w:rsidP="00894A5F">
      <w:pPr>
        <w:spacing w:after="0" w:line="240" w:lineRule="auto"/>
        <w:jc w:val="both"/>
        <w:rPr>
          <w:rFonts w:cstheme="minorHAnsi"/>
        </w:rPr>
      </w:pPr>
    </w:p>
    <w:p w14:paraId="6CB13435" w14:textId="77777777" w:rsidR="00894A5F" w:rsidRDefault="00894A5F" w:rsidP="00894A5F">
      <w:pPr>
        <w:spacing w:after="0" w:line="240" w:lineRule="auto"/>
        <w:jc w:val="both"/>
        <w:rPr>
          <w:rFonts w:cstheme="minorHAnsi"/>
          <w:b/>
        </w:rPr>
      </w:pPr>
    </w:p>
    <w:p w14:paraId="652CD947" w14:textId="77777777" w:rsidR="00894A5F" w:rsidRPr="00835DCA" w:rsidRDefault="00894A5F" w:rsidP="00894A5F">
      <w:pPr>
        <w:spacing w:after="0" w:line="240" w:lineRule="auto"/>
        <w:jc w:val="both"/>
        <w:rPr>
          <w:rFonts w:cstheme="minorHAnsi"/>
          <w:b/>
        </w:rPr>
      </w:pPr>
      <w:r w:rsidRPr="00835DCA">
        <w:rPr>
          <w:rFonts w:cstheme="minorHAnsi"/>
          <w:b/>
        </w:rPr>
        <w:t>§ 4342 – Sociální péče a pomoc přistěhovalcům a vybraným etnikům</w:t>
      </w:r>
    </w:p>
    <w:p w14:paraId="049854BC" w14:textId="77777777" w:rsidR="00894A5F" w:rsidRPr="00835DCA" w:rsidRDefault="00894A5F" w:rsidP="00894A5F">
      <w:pPr>
        <w:spacing w:after="0" w:line="240" w:lineRule="auto"/>
        <w:jc w:val="both"/>
        <w:rPr>
          <w:rFonts w:cstheme="minorHAnsi"/>
        </w:rPr>
      </w:pPr>
      <w:r w:rsidRPr="00835DCA">
        <w:rPr>
          <w:rFonts w:cstheme="minorHAnsi"/>
        </w:rPr>
        <w:t>Finanční prostředky ve výši 59 730,00 Kč byly vynaloženy na zajištění krajské konference, odborné konzultace v rámci přípravy dokumentu „Strategie integrace romské menšiny ve SČK“ a dále pak na zajištění cateringových služeb na konferenci na téma „Stop sociálnímu vyloučení ve Středočeském kraji“. Čerpáno 59,7 %.</w:t>
      </w:r>
    </w:p>
    <w:p w14:paraId="62F75EE7" w14:textId="77777777" w:rsidR="00894A5F" w:rsidRPr="00835DCA" w:rsidRDefault="00894A5F" w:rsidP="00894A5F">
      <w:pPr>
        <w:spacing w:after="0" w:line="240" w:lineRule="auto"/>
        <w:jc w:val="both"/>
        <w:rPr>
          <w:rFonts w:cstheme="minorHAnsi"/>
          <w:b/>
        </w:rPr>
      </w:pPr>
    </w:p>
    <w:p w14:paraId="47009D02" w14:textId="77777777" w:rsidR="00894A5F" w:rsidRPr="00835DCA" w:rsidRDefault="00894A5F" w:rsidP="00894A5F">
      <w:pPr>
        <w:spacing w:after="0" w:line="240" w:lineRule="auto"/>
        <w:jc w:val="both"/>
        <w:rPr>
          <w:rFonts w:cstheme="minorHAnsi"/>
        </w:rPr>
      </w:pPr>
      <w:r w:rsidRPr="00835DCA">
        <w:rPr>
          <w:rFonts w:cstheme="minorHAnsi"/>
          <w:b/>
        </w:rPr>
        <w:t>§ 4344 – Sociální rehabilitace - příspěvek příspěvkovým organizacím</w:t>
      </w:r>
    </w:p>
    <w:p w14:paraId="7D942E70" w14:textId="77777777" w:rsidR="00894A5F" w:rsidRPr="00835DCA" w:rsidRDefault="00894A5F" w:rsidP="00894A5F">
      <w:pPr>
        <w:spacing w:after="0" w:line="240" w:lineRule="auto"/>
        <w:jc w:val="both"/>
        <w:rPr>
          <w:rFonts w:cstheme="minorHAnsi"/>
        </w:rPr>
      </w:pPr>
      <w:r w:rsidRPr="00835DCA">
        <w:rPr>
          <w:rFonts w:cstheme="minorHAnsi"/>
        </w:rPr>
        <w:t>Příspěvky na provoz zasílané příspěvkovým organizacím na službu sociální rehabilitace s čerpáním příspěvku ve výši 100 000,00 Kč. Čerpáno na 100,0 %.</w:t>
      </w:r>
    </w:p>
    <w:p w14:paraId="38C6814A" w14:textId="77777777" w:rsidR="00894A5F" w:rsidRPr="00835DCA" w:rsidRDefault="00894A5F" w:rsidP="00894A5F">
      <w:pPr>
        <w:spacing w:after="0" w:line="240" w:lineRule="auto"/>
        <w:jc w:val="both"/>
        <w:rPr>
          <w:rFonts w:cstheme="minorHAnsi"/>
        </w:rPr>
      </w:pPr>
    </w:p>
    <w:p w14:paraId="325ABE70" w14:textId="77777777" w:rsidR="00894A5F" w:rsidRPr="00835DCA" w:rsidRDefault="00894A5F" w:rsidP="00894A5F">
      <w:pPr>
        <w:spacing w:after="0" w:line="240" w:lineRule="auto"/>
        <w:jc w:val="both"/>
        <w:rPr>
          <w:rFonts w:cstheme="minorHAnsi"/>
          <w:b/>
        </w:rPr>
      </w:pPr>
    </w:p>
    <w:p w14:paraId="5E489E43" w14:textId="77777777" w:rsidR="00894A5F" w:rsidRPr="00835DCA" w:rsidRDefault="00894A5F" w:rsidP="00894A5F">
      <w:pPr>
        <w:spacing w:after="0" w:line="240" w:lineRule="auto"/>
        <w:jc w:val="both"/>
        <w:rPr>
          <w:rFonts w:cstheme="minorHAnsi"/>
          <w:b/>
          <w:u w:val="single"/>
        </w:rPr>
      </w:pPr>
      <w:r w:rsidRPr="00835DCA">
        <w:rPr>
          <w:rFonts w:cstheme="minorHAnsi"/>
          <w:b/>
        </w:rPr>
        <w:t>§ 4349 – Ostatní sociální péče a pomoc ostatním skupinám obyvatelstva</w:t>
      </w:r>
    </w:p>
    <w:p w14:paraId="22EC466F" w14:textId="77777777" w:rsidR="00894A5F" w:rsidRPr="00835DCA" w:rsidRDefault="00894A5F" w:rsidP="00894A5F">
      <w:pPr>
        <w:spacing w:after="0" w:line="240" w:lineRule="auto"/>
        <w:jc w:val="both"/>
        <w:rPr>
          <w:rFonts w:cstheme="minorHAnsi"/>
        </w:rPr>
      </w:pPr>
      <w:r w:rsidRPr="00835DCA">
        <w:rPr>
          <w:rFonts w:cstheme="minorHAnsi"/>
        </w:rPr>
        <w:t>Finanční prostředky ve výši 300 000,00 Kč jsou určené na workshopy pro koordinátory plánování, dílčí analýzy k Plánu rozvoje sociálních služeb SK apod. Z důvodu vládních opatření související s pandemií Covid 19 nebylo čerpáno. Čerpáno 0,0 %.</w:t>
      </w:r>
    </w:p>
    <w:p w14:paraId="5D56DED9" w14:textId="77777777" w:rsidR="00894A5F" w:rsidRPr="00835DCA" w:rsidRDefault="00894A5F" w:rsidP="00894A5F">
      <w:pPr>
        <w:spacing w:after="0" w:line="240" w:lineRule="auto"/>
        <w:jc w:val="both"/>
        <w:rPr>
          <w:rFonts w:cstheme="minorHAnsi"/>
        </w:rPr>
      </w:pPr>
    </w:p>
    <w:p w14:paraId="68B01275" w14:textId="77777777" w:rsidR="00894A5F" w:rsidRPr="00835DCA" w:rsidRDefault="00894A5F" w:rsidP="00894A5F">
      <w:pPr>
        <w:spacing w:after="0" w:line="240" w:lineRule="auto"/>
        <w:jc w:val="both"/>
        <w:rPr>
          <w:rFonts w:cstheme="minorHAnsi"/>
        </w:rPr>
      </w:pPr>
      <w:r w:rsidRPr="00835DCA">
        <w:rPr>
          <w:rFonts w:cstheme="minorHAnsi"/>
          <w:b/>
        </w:rPr>
        <w:t>§ 4350 – Domovy pro seniory - příspěvek příspěvkovým organizacím</w:t>
      </w:r>
    </w:p>
    <w:p w14:paraId="45C0F45C" w14:textId="77777777" w:rsidR="00894A5F" w:rsidRPr="00835DCA" w:rsidRDefault="00894A5F" w:rsidP="00894A5F">
      <w:pPr>
        <w:spacing w:after="0" w:line="240" w:lineRule="auto"/>
        <w:jc w:val="both"/>
        <w:rPr>
          <w:rFonts w:cstheme="minorHAnsi"/>
        </w:rPr>
      </w:pPr>
      <w:r w:rsidRPr="00835DCA">
        <w:rPr>
          <w:rFonts w:cstheme="minorHAnsi"/>
        </w:rPr>
        <w:t>Příspěvky na provoz zasílané příspěvkovým organizacím na službu domovy pro seniory ve výši 168 211 367,00 Kč. Čerpáno na 98,4 %.</w:t>
      </w:r>
    </w:p>
    <w:p w14:paraId="166B4FCE" w14:textId="77777777" w:rsidR="00894A5F" w:rsidRPr="00835DCA" w:rsidRDefault="00894A5F" w:rsidP="00894A5F">
      <w:pPr>
        <w:spacing w:after="0" w:line="240" w:lineRule="auto"/>
        <w:jc w:val="both"/>
        <w:rPr>
          <w:rFonts w:cstheme="minorHAnsi"/>
          <w:b/>
        </w:rPr>
      </w:pPr>
    </w:p>
    <w:p w14:paraId="2DE15845" w14:textId="77777777" w:rsidR="00894A5F" w:rsidRPr="00835DCA" w:rsidRDefault="00894A5F" w:rsidP="00894A5F">
      <w:pPr>
        <w:spacing w:after="0" w:line="240" w:lineRule="auto"/>
        <w:jc w:val="both"/>
        <w:rPr>
          <w:rFonts w:cstheme="minorHAnsi"/>
          <w:b/>
        </w:rPr>
      </w:pPr>
      <w:r w:rsidRPr="00835DCA">
        <w:rPr>
          <w:rFonts w:cstheme="minorHAnsi"/>
          <w:b/>
        </w:rPr>
        <w:t>§ 4351 – Osobní asistence, pečovatelská služba a podpora samostatného bydlení - příspěvek příspěvkovým organizacím</w:t>
      </w:r>
    </w:p>
    <w:p w14:paraId="39041F04" w14:textId="77777777" w:rsidR="00894A5F" w:rsidRPr="00835DCA" w:rsidRDefault="00894A5F" w:rsidP="00894A5F">
      <w:pPr>
        <w:spacing w:after="0" w:line="240" w:lineRule="auto"/>
        <w:jc w:val="both"/>
        <w:rPr>
          <w:rFonts w:cstheme="minorHAnsi"/>
        </w:rPr>
      </w:pPr>
      <w:r w:rsidRPr="00835DCA">
        <w:rPr>
          <w:rFonts w:cstheme="minorHAnsi"/>
        </w:rPr>
        <w:t>Příspěvky na provoz zasílané příspěvkovým organizacím, které mají služby pečovatelská služba a podpora samostatného bydlení ve výši 1 854 500,00 Kč. Čerpáno na 95,9 %.</w:t>
      </w:r>
    </w:p>
    <w:p w14:paraId="6E26AF06" w14:textId="77777777" w:rsidR="00894A5F" w:rsidRPr="00835DCA" w:rsidRDefault="00894A5F" w:rsidP="00894A5F">
      <w:pPr>
        <w:spacing w:after="0" w:line="240" w:lineRule="auto"/>
        <w:jc w:val="both"/>
        <w:rPr>
          <w:rFonts w:cstheme="minorHAnsi"/>
          <w:b/>
        </w:rPr>
      </w:pPr>
    </w:p>
    <w:p w14:paraId="5D155976" w14:textId="77777777" w:rsidR="00894A5F" w:rsidRPr="00835DCA" w:rsidRDefault="00894A5F" w:rsidP="00894A5F">
      <w:pPr>
        <w:spacing w:after="0" w:line="240" w:lineRule="auto"/>
        <w:jc w:val="both"/>
        <w:rPr>
          <w:rFonts w:cstheme="minorHAnsi"/>
          <w:b/>
        </w:rPr>
      </w:pPr>
      <w:r w:rsidRPr="00835DCA">
        <w:rPr>
          <w:rFonts w:cstheme="minorHAnsi"/>
          <w:b/>
        </w:rPr>
        <w:t>§ 4354 – Chráněné bydlení - příspěvek příspěvkovým organizacím</w:t>
      </w:r>
    </w:p>
    <w:p w14:paraId="1715ED72" w14:textId="535D9BAE" w:rsidR="00894A5F" w:rsidRPr="00835DCA" w:rsidRDefault="00894A5F" w:rsidP="00894A5F">
      <w:pPr>
        <w:spacing w:after="0" w:line="240" w:lineRule="auto"/>
        <w:jc w:val="both"/>
        <w:rPr>
          <w:rFonts w:cstheme="minorHAnsi"/>
        </w:rPr>
      </w:pPr>
      <w:r w:rsidRPr="00835DCA">
        <w:rPr>
          <w:rFonts w:cstheme="minorHAnsi"/>
        </w:rPr>
        <w:t>Příspěvky na provoz zasílané příspěvkovým organizacím, které mají službu chráněné bydlení ve výši 14 306 600,00  Kč.  Čerpáno na 100</w:t>
      </w:r>
      <w:r w:rsidR="00956DE6">
        <w:rPr>
          <w:rFonts w:cstheme="minorHAnsi"/>
        </w:rPr>
        <w:t>,0</w:t>
      </w:r>
      <w:r w:rsidRPr="00835DCA">
        <w:rPr>
          <w:rFonts w:cstheme="minorHAnsi"/>
        </w:rPr>
        <w:t xml:space="preserve"> %. </w:t>
      </w:r>
    </w:p>
    <w:p w14:paraId="3F42DF45" w14:textId="77777777" w:rsidR="00894A5F" w:rsidRPr="00835DCA" w:rsidRDefault="00894A5F" w:rsidP="00894A5F">
      <w:pPr>
        <w:spacing w:after="0" w:line="240" w:lineRule="auto"/>
        <w:jc w:val="both"/>
        <w:rPr>
          <w:rFonts w:cstheme="minorHAnsi"/>
        </w:rPr>
      </w:pPr>
    </w:p>
    <w:p w14:paraId="037C1E08" w14:textId="77777777" w:rsidR="00894A5F" w:rsidRPr="00835DCA" w:rsidRDefault="00894A5F" w:rsidP="00894A5F">
      <w:pPr>
        <w:spacing w:after="0" w:line="240" w:lineRule="auto"/>
        <w:jc w:val="both"/>
        <w:rPr>
          <w:rFonts w:cstheme="minorHAnsi"/>
          <w:b/>
        </w:rPr>
      </w:pPr>
      <w:r w:rsidRPr="00835DCA">
        <w:rPr>
          <w:rFonts w:cstheme="minorHAnsi"/>
          <w:b/>
        </w:rPr>
        <w:t>§ 4355 – Týdenní stacionáře - příspěvek příspěvkovým organizacím</w:t>
      </w:r>
    </w:p>
    <w:p w14:paraId="4B98C2B7" w14:textId="756E0375" w:rsidR="00894A5F" w:rsidRPr="00835DCA" w:rsidRDefault="00894A5F" w:rsidP="00894A5F">
      <w:pPr>
        <w:spacing w:after="0" w:line="240" w:lineRule="auto"/>
        <w:jc w:val="both"/>
        <w:rPr>
          <w:rFonts w:cstheme="minorHAnsi"/>
        </w:rPr>
      </w:pPr>
      <w:r w:rsidRPr="00835DCA">
        <w:rPr>
          <w:rFonts w:cstheme="minorHAnsi"/>
        </w:rPr>
        <w:t>Příspěvky na provoz zasílané příspěvkovým organizacím, které mají službu týdenní stacionář ve výši 4 639 600,00 Kč. Čerpáno na 91</w:t>
      </w:r>
      <w:r w:rsidR="00956DE6">
        <w:rPr>
          <w:rFonts w:cstheme="minorHAnsi"/>
        </w:rPr>
        <w:t>,0</w:t>
      </w:r>
      <w:r w:rsidRPr="00835DCA">
        <w:rPr>
          <w:rFonts w:cstheme="minorHAnsi"/>
        </w:rPr>
        <w:t xml:space="preserve"> %.</w:t>
      </w:r>
    </w:p>
    <w:p w14:paraId="3E72CDF5" w14:textId="77777777" w:rsidR="00894A5F" w:rsidRPr="00835DCA" w:rsidRDefault="00894A5F" w:rsidP="00894A5F">
      <w:pPr>
        <w:spacing w:after="0" w:line="240" w:lineRule="auto"/>
        <w:jc w:val="both"/>
        <w:rPr>
          <w:rFonts w:cstheme="minorHAnsi"/>
        </w:rPr>
      </w:pPr>
    </w:p>
    <w:p w14:paraId="555403EC" w14:textId="77777777" w:rsidR="00894A5F" w:rsidRPr="00835DCA" w:rsidRDefault="00894A5F" w:rsidP="00894A5F">
      <w:pPr>
        <w:spacing w:after="0" w:line="240" w:lineRule="auto"/>
        <w:jc w:val="both"/>
        <w:rPr>
          <w:rFonts w:cstheme="minorHAnsi"/>
          <w:b/>
        </w:rPr>
      </w:pPr>
      <w:r w:rsidRPr="00835DCA">
        <w:rPr>
          <w:rFonts w:cstheme="minorHAnsi"/>
          <w:b/>
        </w:rPr>
        <w:t>§ 4356 – Denní stacionáře a centra denních služeb - příspěvek příspěvkovým organizacím</w:t>
      </w:r>
    </w:p>
    <w:p w14:paraId="13275F5C" w14:textId="77777777" w:rsidR="00894A5F" w:rsidRPr="00835DCA" w:rsidRDefault="00894A5F" w:rsidP="00894A5F">
      <w:pPr>
        <w:spacing w:after="0" w:line="240" w:lineRule="auto"/>
        <w:jc w:val="both"/>
        <w:rPr>
          <w:rFonts w:cstheme="minorHAnsi"/>
        </w:rPr>
      </w:pPr>
      <w:r w:rsidRPr="00835DCA">
        <w:rPr>
          <w:rFonts w:cstheme="minorHAnsi"/>
        </w:rPr>
        <w:t>Příspěvky na provoz zasílané příspěvkovým organizacím, které mají službu denní stacionář ve výši 4 105 900,00 Kč. Čerpáno na 98,7 %.</w:t>
      </w:r>
    </w:p>
    <w:p w14:paraId="6882121A" w14:textId="77777777" w:rsidR="00894A5F" w:rsidRPr="00835DCA" w:rsidRDefault="00894A5F" w:rsidP="00894A5F">
      <w:pPr>
        <w:pStyle w:val="Odstavecseseznamem"/>
        <w:ind w:left="0"/>
        <w:jc w:val="both"/>
        <w:rPr>
          <w:rFonts w:asciiTheme="minorHAnsi" w:hAnsiTheme="minorHAnsi" w:cstheme="minorHAnsi"/>
          <w:sz w:val="22"/>
          <w:szCs w:val="22"/>
        </w:rPr>
      </w:pPr>
    </w:p>
    <w:p w14:paraId="60FD6CCC" w14:textId="77777777" w:rsidR="00894A5F" w:rsidRPr="00835DCA" w:rsidRDefault="00894A5F" w:rsidP="00894A5F">
      <w:pPr>
        <w:spacing w:after="0" w:line="240" w:lineRule="auto"/>
        <w:jc w:val="both"/>
        <w:rPr>
          <w:rFonts w:cstheme="minorHAnsi"/>
          <w:b/>
        </w:rPr>
      </w:pPr>
      <w:r w:rsidRPr="00835DCA">
        <w:rPr>
          <w:rFonts w:cstheme="minorHAnsi"/>
          <w:b/>
        </w:rPr>
        <w:t>§ 4357 – Domovy pro osoby se zdravotním postižením a domovy se zvláštním režimem - příspěvek příspěvkovým organizacím</w:t>
      </w:r>
    </w:p>
    <w:p w14:paraId="7543C9E3" w14:textId="77777777" w:rsidR="00894A5F" w:rsidRPr="00835DCA" w:rsidRDefault="00894A5F" w:rsidP="00894A5F">
      <w:pPr>
        <w:spacing w:after="0" w:line="240" w:lineRule="auto"/>
        <w:jc w:val="both"/>
        <w:rPr>
          <w:rFonts w:cstheme="minorHAnsi"/>
        </w:rPr>
      </w:pPr>
      <w:r w:rsidRPr="00835DCA">
        <w:rPr>
          <w:rFonts w:cstheme="minorHAnsi"/>
        </w:rPr>
        <w:t>Příspěvky na provoz zasílané příspěvkovým organizacím na službu domov se zvláštním režimem a domov pro osoby se zdravotním postižením ve výši 119 734 895,00 Kč. Čerpáno na 95,6 %.</w:t>
      </w:r>
    </w:p>
    <w:p w14:paraId="44A50C5D" w14:textId="77777777" w:rsidR="00894A5F" w:rsidRPr="00835DCA" w:rsidRDefault="00894A5F" w:rsidP="00894A5F">
      <w:pPr>
        <w:spacing w:after="0" w:line="240" w:lineRule="auto"/>
        <w:jc w:val="both"/>
        <w:rPr>
          <w:rFonts w:cstheme="minorHAnsi"/>
        </w:rPr>
      </w:pPr>
    </w:p>
    <w:p w14:paraId="0AD83237" w14:textId="77777777" w:rsidR="00894A5F" w:rsidRPr="00835DCA" w:rsidRDefault="00894A5F" w:rsidP="00894A5F">
      <w:pPr>
        <w:spacing w:after="0" w:line="240" w:lineRule="auto"/>
        <w:jc w:val="both"/>
        <w:rPr>
          <w:rFonts w:cstheme="minorHAnsi"/>
          <w:b/>
        </w:rPr>
      </w:pPr>
      <w:r w:rsidRPr="00835DCA">
        <w:rPr>
          <w:rFonts w:cstheme="minorHAnsi"/>
          <w:b/>
        </w:rPr>
        <w:t>§ 4359 – Ostatní služby a činnosti v oblasti sociální péče - příspěvek příspěvkovým organizacím</w:t>
      </w:r>
    </w:p>
    <w:p w14:paraId="230B2712" w14:textId="2770E435" w:rsidR="00894A5F" w:rsidRPr="00835DCA" w:rsidRDefault="00894A5F" w:rsidP="00894A5F">
      <w:pPr>
        <w:spacing w:after="0" w:line="240" w:lineRule="auto"/>
        <w:jc w:val="both"/>
        <w:rPr>
          <w:rFonts w:cstheme="minorHAnsi"/>
        </w:rPr>
      </w:pPr>
      <w:r w:rsidRPr="00835DCA">
        <w:rPr>
          <w:rFonts w:cstheme="minorHAnsi"/>
        </w:rPr>
        <w:t>Příspěvky na provoz zasílané příspěvkovým organizacím, které mají službu odlehčovací služby ve výši 3 680 200,00 Kč. Čerpáno na 100</w:t>
      </w:r>
      <w:r w:rsidR="00956DE6">
        <w:rPr>
          <w:rFonts w:cstheme="minorHAnsi"/>
        </w:rPr>
        <w:t>,0</w:t>
      </w:r>
      <w:r w:rsidRPr="00835DCA">
        <w:rPr>
          <w:rFonts w:cstheme="minorHAnsi"/>
        </w:rPr>
        <w:t xml:space="preserve"> %.</w:t>
      </w:r>
    </w:p>
    <w:p w14:paraId="7DE6B520" w14:textId="77777777" w:rsidR="00894A5F" w:rsidRPr="00835DCA" w:rsidRDefault="00894A5F" w:rsidP="00894A5F">
      <w:pPr>
        <w:spacing w:after="0" w:line="240" w:lineRule="auto"/>
        <w:jc w:val="both"/>
        <w:rPr>
          <w:rFonts w:cstheme="minorHAnsi"/>
        </w:rPr>
      </w:pPr>
    </w:p>
    <w:p w14:paraId="16BF99CB" w14:textId="77777777" w:rsidR="00894A5F" w:rsidRPr="00835DCA" w:rsidRDefault="00894A5F" w:rsidP="00894A5F">
      <w:pPr>
        <w:spacing w:after="0" w:line="240" w:lineRule="auto"/>
        <w:jc w:val="both"/>
        <w:rPr>
          <w:rFonts w:cstheme="minorHAnsi"/>
          <w:b/>
        </w:rPr>
      </w:pPr>
      <w:r w:rsidRPr="00835DCA">
        <w:rPr>
          <w:rFonts w:cstheme="minorHAnsi"/>
          <w:b/>
        </w:rPr>
        <w:t>§ 4369 – Ostatní správa v sociálním zabezpečení a politice zaměstnanosti</w:t>
      </w:r>
    </w:p>
    <w:p w14:paraId="4F7BBC50" w14:textId="77777777" w:rsidR="00894A5F" w:rsidRPr="00835DCA" w:rsidRDefault="00894A5F" w:rsidP="00894A5F">
      <w:pPr>
        <w:spacing w:after="0" w:line="240" w:lineRule="auto"/>
        <w:jc w:val="both"/>
        <w:rPr>
          <w:rFonts w:cstheme="minorHAnsi"/>
        </w:rPr>
      </w:pPr>
      <w:r w:rsidRPr="00835DCA">
        <w:rPr>
          <w:rFonts w:cstheme="minorHAnsi"/>
        </w:rPr>
        <w:t>Prostředky ve výši 200 000,00 Kč na analýzy sociálních služeb ve věci zajištění financování služeb, vzdělávání, sociální prevence a sociální péče. Z důvodu vládních opatření související s pandemií Covid 19 nebylo čerpáno. Čerpáno 0,0 %.</w:t>
      </w:r>
    </w:p>
    <w:p w14:paraId="58F43269" w14:textId="77777777" w:rsidR="00894A5F" w:rsidRPr="00835DCA" w:rsidRDefault="00894A5F" w:rsidP="00894A5F">
      <w:pPr>
        <w:spacing w:after="0" w:line="240" w:lineRule="auto"/>
        <w:jc w:val="both"/>
        <w:rPr>
          <w:rFonts w:cstheme="minorHAnsi"/>
        </w:rPr>
      </w:pPr>
    </w:p>
    <w:p w14:paraId="2B3ECED2" w14:textId="77777777" w:rsidR="00894A5F" w:rsidRPr="00835DCA" w:rsidRDefault="00894A5F" w:rsidP="00894A5F">
      <w:pPr>
        <w:spacing w:after="0" w:line="240" w:lineRule="auto"/>
        <w:jc w:val="both"/>
        <w:rPr>
          <w:rFonts w:cstheme="minorHAnsi"/>
          <w:b/>
        </w:rPr>
      </w:pPr>
      <w:r w:rsidRPr="00835DCA">
        <w:rPr>
          <w:rFonts w:cstheme="minorHAnsi"/>
          <w:b/>
        </w:rPr>
        <w:t>§ 4374 – Azylové domy, nízkoprahová denní centra a noclehárny - příspěvek příspěvkovým organizacím</w:t>
      </w:r>
    </w:p>
    <w:p w14:paraId="23911E9D" w14:textId="77777777" w:rsidR="00894A5F" w:rsidRPr="00835DCA" w:rsidRDefault="00894A5F" w:rsidP="00894A5F">
      <w:pPr>
        <w:spacing w:after="0" w:line="240" w:lineRule="auto"/>
        <w:jc w:val="both"/>
        <w:rPr>
          <w:rFonts w:cstheme="minorHAnsi"/>
        </w:rPr>
      </w:pPr>
      <w:r w:rsidRPr="00835DCA">
        <w:rPr>
          <w:rFonts w:cstheme="minorHAnsi"/>
        </w:rPr>
        <w:t>Příspěvek na provoz příspěvkové organizace Zařízení sociální intervence Kladno na službu azylové domy ve výši 673 000,00 Kč. Čerpáno na 100 %.</w:t>
      </w:r>
    </w:p>
    <w:p w14:paraId="11503C16" w14:textId="77777777" w:rsidR="00894A5F" w:rsidRPr="00835DCA" w:rsidRDefault="00894A5F" w:rsidP="00894A5F">
      <w:pPr>
        <w:spacing w:after="0" w:line="240" w:lineRule="auto"/>
        <w:jc w:val="both"/>
        <w:rPr>
          <w:rFonts w:cstheme="minorHAnsi"/>
        </w:rPr>
      </w:pPr>
    </w:p>
    <w:p w14:paraId="4E1DE3AB" w14:textId="77777777" w:rsidR="00894A5F" w:rsidRPr="00835DCA" w:rsidRDefault="00894A5F" w:rsidP="00894A5F">
      <w:pPr>
        <w:spacing w:after="0" w:line="240" w:lineRule="auto"/>
        <w:jc w:val="both"/>
        <w:rPr>
          <w:rFonts w:cstheme="minorHAnsi"/>
          <w:b/>
        </w:rPr>
      </w:pPr>
      <w:r w:rsidRPr="00835DCA">
        <w:rPr>
          <w:rFonts w:cstheme="minorHAnsi"/>
          <w:b/>
        </w:rPr>
        <w:t>§ 4376 – Služby následné péče, terapeutické komunity a kontaktní centra - příspěvek příspěvkovým organizacím</w:t>
      </w:r>
    </w:p>
    <w:p w14:paraId="6BB4027E" w14:textId="77777777" w:rsidR="00894A5F" w:rsidRPr="00835DCA" w:rsidRDefault="00894A5F" w:rsidP="00894A5F">
      <w:pPr>
        <w:spacing w:after="0" w:line="240" w:lineRule="auto"/>
        <w:jc w:val="both"/>
        <w:rPr>
          <w:rFonts w:cstheme="minorHAnsi"/>
        </w:rPr>
      </w:pPr>
      <w:r w:rsidRPr="00835DCA">
        <w:rPr>
          <w:rFonts w:cstheme="minorHAnsi"/>
        </w:rPr>
        <w:t>Příspěvek na provoz příspěvkové organizace Zařízení sociální intervence Kladno na služby následné péče a terapeutické komunity ve výši 2 900 000,00 Kč. Čerpáno na 82,3 %.</w:t>
      </w:r>
    </w:p>
    <w:p w14:paraId="2B746FEE" w14:textId="77777777" w:rsidR="00894A5F" w:rsidRPr="00835DCA" w:rsidRDefault="00894A5F" w:rsidP="00894A5F">
      <w:pPr>
        <w:spacing w:after="0" w:line="240" w:lineRule="auto"/>
        <w:jc w:val="both"/>
        <w:rPr>
          <w:rFonts w:cstheme="minorHAnsi"/>
          <w:b/>
        </w:rPr>
      </w:pPr>
    </w:p>
    <w:p w14:paraId="2CF6BDC0" w14:textId="77777777" w:rsidR="00894A5F" w:rsidRPr="00835DCA" w:rsidRDefault="00894A5F" w:rsidP="00894A5F">
      <w:pPr>
        <w:spacing w:after="0" w:line="240" w:lineRule="auto"/>
        <w:jc w:val="both"/>
        <w:rPr>
          <w:rFonts w:cstheme="minorHAnsi"/>
          <w:b/>
        </w:rPr>
      </w:pPr>
      <w:r w:rsidRPr="00835DCA">
        <w:rPr>
          <w:rFonts w:cstheme="minorHAnsi"/>
          <w:b/>
        </w:rPr>
        <w:t>§ 4377 – Sociálně terapeutické dílny - příspěvek příspěvkovým organizacím</w:t>
      </w:r>
    </w:p>
    <w:p w14:paraId="10DA42BF" w14:textId="719DA592" w:rsidR="00894A5F" w:rsidRPr="00835DCA" w:rsidRDefault="00894A5F" w:rsidP="00894A5F">
      <w:pPr>
        <w:spacing w:after="0" w:line="240" w:lineRule="auto"/>
        <w:jc w:val="both"/>
        <w:rPr>
          <w:rFonts w:cstheme="minorHAnsi"/>
        </w:rPr>
      </w:pPr>
      <w:r w:rsidRPr="00835DCA">
        <w:rPr>
          <w:rFonts w:cstheme="minorHAnsi"/>
        </w:rPr>
        <w:t>Příspěvek na provoz příspěvkových organizací Nalžovický zámek a Zahrada Kladno na službu sociálně terapeutické dílny ve výši 1 274 000,00 Kč. Čerpáno na 100</w:t>
      </w:r>
      <w:r w:rsidR="00956DE6">
        <w:rPr>
          <w:rFonts w:cstheme="minorHAnsi"/>
        </w:rPr>
        <w:t>,0</w:t>
      </w:r>
      <w:r w:rsidRPr="00835DCA">
        <w:rPr>
          <w:rFonts w:cstheme="minorHAnsi"/>
        </w:rPr>
        <w:t xml:space="preserve"> %.</w:t>
      </w:r>
    </w:p>
    <w:p w14:paraId="203F649E" w14:textId="77777777" w:rsidR="00894A5F" w:rsidRPr="00835DCA" w:rsidRDefault="00894A5F" w:rsidP="00894A5F">
      <w:pPr>
        <w:spacing w:after="0" w:line="240" w:lineRule="auto"/>
        <w:jc w:val="both"/>
        <w:rPr>
          <w:rFonts w:cstheme="minorHAnsi"/>
          <w:b/>
        </w:rPr>
      </w:pPr>
    </w:p>
    <w:p w14:paraId="3B03C2F6" w14:textId="77777777" w:rsidR="00894A5F" w:rsidRPr="00835DCA" w:rsidRDefault="00894A5F" w:rsidP="00894A5F">
      <w:pPr>
        <w:spacing w:after="0" w:line="240" w:lineRule="auto"/>
        <w:jc w:val="both"/>
        <w:rPr>
          <w:rFonts w:cstheme="minorHAnsi"/>
          <w:b/>
        </w:rPr>
      </w:pPr>
      <w:r w:rsidRPr="00835DCA">
        <w:rPr>
          <w:rFonts w:cstheme="minorHAnsi"/>
          <w:b/>
        </w:rPr>
        <w:t>§ 4378 – Terénní programy – příspěvek příspěvkovým organizacím</w:t>
      </w:r>
    </w:p>
    <w:p w14:paraId="1A5B2EBC" w14:textId="77777777" w:rsidR="00894A5F" w:rsidRPr="00835DCA" w:rsidRDefault="00894A5F" w:rsidP="00894A5F">
      <w:pPr>
        <w:spacing w:after="0" w:line="240" w:lineRule="auto"/>
        <w:jc w:val="both"/>
        <w:rPr>
          <w:rFonts w:cstheme="minorHAnsi"/>
        </w:rPr>
      </w:pPr>
      <w:r w:rsidRPr="00835DCA">
        <w:rPr>
          <w:rFonts w:cstheme="minorHAnsi"/>
        </w:rPr>
        <w:t>Příspěvek na provoz příspěvkové organizaci Zařízení sociální intervence Kladno na službu terénní programy ve výši 475 000,00 Kč. Čerpáno na 64,2 %.</w:t>
      </w:r>
    </w:p>
    <w:p w14:paraId="371CB432" w14:textId="77777777" w:rsidR="00894A5F" w:rsidRPr="00835DCA" w:rsidRDefault="00894A5F" w:rsidP="00894A5F">
      <w:pPr>
        <w:spacing w:after="0" w:line="240" w:lineRule="auto"/>
        <w:jc w:val="both"/>
        <w:rPr>
          <w:rFonts w:cstheme="minorHAnsi"/>
        </w:rPr>
      </w:pPr>
    </w:p>
    <w:p w14:paraId="6339AA18" w14:textId="77777777" w:rsidR="00894A5F" w:rsidRPr="00835DCA" w:rsidRDefault="00894A5F" w:rsidP="00894A5F">
      <w:pPr>
        <w:spacing w:after="0" w:line="240" w:lineRule="auto"/>
        <w:jc w:val="both"/>
        <w:rPr>
          <w:rFonts w:cstheme="minorHAnsi"/>
          <w:b/>
        </w:rPr>
      </w:pPr>
      <w:r w:rsidRPr="00835DCA">
        <w:rPr>
          <w:rFonts w:cstheme="minorHAnsi"/>
          <w:b/>
        </w:rPr>
        <w:t>§ 4379 – Ostatní služby a činnosti v oblasti sociální prevence - příspěvek příspěvkovým organizacím</w:t>
      </w:r>
    </w:p>
    <w:p w14:paraId="363F42F2" w14:textId="77777777" w:rsidR="00894A5F" w:rsidRPr="00835DCA" w:rsidRDefault="00894A5F" w:rsidP="00894A5F">
      <w:pPr>
        <w:spacing w:after="0" w:line="240" w:lineRule="auto"/>
        <w:jc w:val="both"/>
        <w:rPr>
          <w:rFonts w:cstheme="minorHAnsi"/>
        </w:rPr>
      </w:pPr>
      <w:r w:rsidRPr="00835DCA">
        <w:rPr>
          <w:rFonts w:cstheme="minorHAnsi"/>
        </w:rPr>
        <w:t>Příspěvek na provoz příspěvkové organizaci Zařízení sociální intervence Kladno na službu intervenční centra, příspěvkové organizaci Domov Kytín a Domov Barbora na službu sociálně aktivizační služba pro seniory a osoby se zdravotním postižením ve výši 2 065 000,00 Kč. Čerpáno na 88,4 %.</w:t>
      </w:r>
    </w:p>
    <w:p w14:paraId="4DC2CF28" w14:textId="77777777" w:rsidR="00894A5F" w:rsidRPr="00835DCA" w:rsidRDefault="00894A5F" w:rsidP="00894A5F">
      <w:pPr>
        <w:spacing w:after="0" w:line="240" w:lineRule="auto"/>
        <w:jc w:val="both"/>
        <w:rPr>
          <w:rFonts w:cstheme="minorHAnsi"/>
        </w:rPr>
      </w:pPr>
    </w:p>
    <w:p w14:paraId="45922153" w14:textId="77777777" w:rsidR="00894A5F" w:rsidRPr="00835DCA" w:rsidRDefault="00894A5F" w:rsidP="00894A5F">
      <w:pPr>
        <w:spacing w:after="0" w:line="240" w:lineRule="auto"/>
        <w:jc w:val="both"/>
        <w:rPr>
          <w:rFonts w:cstheme="minorHAnsi"/>
          <w:b/>
        </w:rPr>
      </w:pPr>
      <w:r w:rsidRPr="00835DCA">
        <w:rPr>
          <w:rFonts w:cstheme="minorHAnsi"/>
          <w:b/>
        </w:rPr>
        <w:t>§ 4399 – Ostatní záležitosti sociálních věcí a politiky zaměstnanosti</w:t>
      </w:r>
    </w:p>
    <w:p w14:paraId="648E77DD" w14:textId="572F814D" w:rsidR="00894A5F" w:rsidRDefault="00894A5F" w:rsidP="00894A5F">
      <w:pPr>
        <w:spacing w:after="0" w:line="240" w:lineRule="auto"/>
        <w:jc w:val="both"/>
        <w:rPr>
          <w:rFonts w:cstheme="minorHAnsi"/>
        </w:rPr>
      </w:pPr>
      <w:r w:rsidRPr="00835DCA">
        <w:rPr>
          <w:rFonts w:cstheme="minorHAnsi"/>
        </w:rPr>
        <w:t xml:space="preserve">Jedná se o finanční prostředky, které jsou určeny na nákup protiskluzových nátěrů pro příspěvkové organizace v sociální oblasti, plánované audity, znalecké posudky, poradenství, konzultace, objemové studie, plány a záměry v souvislosti s příspěvkovými organizacemi SK. Schválený rozpočet byl navýšen na základě usnesení č. 007-06/2021/ZK ze dne 26. 4. 2021 (rozdělení zůstatku hospodaření SK z roku 2020) o 32 040 365,57 Kč. Usnesením 036-22/2021/RK ze dne 20. 5. 2021 byly převedeny finanční prostředky ve výši 174 845,00 Kč do kapitoly 03 – Informatika na projekt informačního systému pro sociální služby KISSOS. Usnesením č. 020-19/2021/RK ze dne 29. 4. 2021 byla do rozpočtu zapojena vratka návratné finanční výpomoci poskytnutá organizaci Luma MB z.s. ve výši 49 000,00 Kč. Dále byly finanční prostředky převedeny v rámci kapitoly 17 – Sociální věci rozpočtovými úpravami schválenými radou kraje (usnesením č. 019-27/2021/RK ze dne 24. 6. 2021 a usnesením č. 013-22/2021/RK ze dne 20. 5. 2021) ve výši 89 778,91 Kč a rozpočtovými úpravami schválenými zastupitelstvem kraje (usnesením č. 019-06/2021/ZK ze dne 26. 4. 2021 a usnesením č. 020-06/2021/ZK ze dne 26. 4. 2021) ve výši 1 800 000,00 Kč. Ve II. pololetí roku 2021 došlo k převodu finančních prostředků </w:t>
      </w:r>
      <w:r w:rsidRPr="00835DCA">
        <w:rPr>
          <w:rFonts w:cs="Times New Roman"/>
          <w:bCs/>
        </w:rPr>
        <w:t>ve výši 250 000,00 Kč na základě usnesení</w:t>
      </w:r>
      <w:r w:rsidRPr="00835DCA">
        <w:rPr>
          <w:rFonts w:cstheme="minorHAnsi"/>
        </w:rPr>
        <w:t xml:space="preserve"> č. 113-32/2021/RK ze dne 26.8.2021</w:t>
      </w:r>
      <w:r w:rsidRPr="00835DCA">
        <w:rPr>
          <w:rFonts w:cs="Times New Roman"/>
          <w:bCs/>
        </w:rPr>
        <w:t xml:space="preserve"> do kapitoly 05 – Školství na posílení příspěvku na provoz příspěvkové organizaci Vzdělávací institut Středočeského kraj</w:t>
      </w:r>
      <w:r w:rsidRPr="00835DCA">
        <w:rPr>
          <w:rFonts w:ascii="Times New Roman" w:hAnsi="Times New Roman" w:cs="Times New Roman"/>
          <w:bCs/>
          <w:sz w:val="24"/>
          <w:szCs w:val="24"/>
        </w:rPr>
        <w:t xml:space="preserve">e, </w:t>
      </w:r>
      <w:r w:rsidRPr="00835DCA">
        <w:rPr>
          <w:rFonts w:cs="Times New Roman"/>
          <w:bCs/>
        </w:rPr>
        <w:t>dále došlo k převodům finančních prostředků</w:t>
      </w:r>
      <w:r w:rsidRPr="00835DCA">
        <w:rPr>
          <w:rFonts w:cstheme="minorHAnsi"/>
        </w:rPr>
        <w:t xml:space="preserve"> v rámci kapitoly 17 – Sociální věci rozpočtovými úpravami schválenými radou kraje (usnesením č. 036-30/2021/RK ze dne 29.7.2021, usnesením č. 037-30/2021/RK ze dne 29.7.2021, usnesením č. 012-43/2021/RK ze dne 18.11.2021, usnesením č. 029-45/2021/RK ze dne 2.12.2021 a usnesením č. 030-45/2021/RK ze dne 2.12.2021) ve výši 19 959 549,00 Kč a rozpočtovou úpravou schválenou zastupitelstvem kraje (usnesením č. 030-09/2021/ZK ze dne 13.9.2021) ve výši 2 438 280,00 Kč. Finanční prostředky ve výši 319 365,57 Kč byly čerpány na výrobu bannerů, reklamních tabulí, internetové aplikace pro zajištění sběru dat občerstvení a na úhrady sankcí. Čerpáno na 2,9 %. </w:t>
      </w:r>
    </w:p>
    <w:p w14:paraId="54804708" w14:textId="77777777" w:rsidR="00956DE6" w:rsidRPr="00956DE6" w:rsidRDefault="00956DE6" w:rsidP="00894A5F">
      <w:pPr>
        <w:spacing w:after="0" w:line="240" w:lineRule="auto"/>
        <w:jc w:val="both"/>
        <w:rPr>
          <w:rFonts w:cstheme="minorHAnsi"/>
        </w:rPr>
      </w:pPr>
    </w:p>
    <w:p w14:paraId="48994F5F" w14:textId="77777777" w:rsidR="00894A5F" w:rsidRPr="00835DCA" w:rsidRDefault="00894A5F" w:rsidP="00894A5F">
      <w:pPr>
        <w:spacing w:after="0" w:line="240" w:lineRule="auto"/>
        <w:jc w:val="both"/>
        <w:rPr>
          <w:rFonts w:cstheme="minorHAnsi"/>
          <w:b/>
        </w:rPr>
      </w:pPr>
      <w:r w:rsidRPr="00835DCA">
        <w:rPr>
          <w:rFonts w:cstheme="minorHAnsi"/>
          <w:b/>
        </w:rPr>
        <w:t>§ 4399 – Ostatní záležitosti sociálních věcí a politiky zaměstnanosti</w:t>
      </w:r>
    </w:p>
    <w:p w14:paraId="3C86D38B" w14:textId="77777777" w:rsidR="00894A5F" w:rsidRPr="00835DCA" w:rsidRDefault="00894A5F" w:rsidP="00894A5F">
      <w:pPr>
        <w:spacing w:after="0" w:line="240" w:lineRule="auto"/>
        <w:jc w:val="both"/>
        <w:rPr>
          <w:rFonts w:cstheme="minorHAnsi"/>
        </w:rPr>
      </w:pPr>
      <w:r w:rsidRPr="00835DCA">
        <w:rPr>
          <w:rFonts w:cstheme="minorHAnsi"/>
        </w:rPr>
        <w:t>Jedná se o finanční prostředky určené na senior pasy, rodinné pasy a virtuální prohlídky sociálních zařízení. Upravený rozpočet byl vytvořen na základě usnesení č. 025-05/2021/RK ze dne 4. 2. 2021 - převod nevyčerpaných účelových finančních prostředků z roku 2020 (bylo zapojeno do zůstatku hospodaření SK z roku 2020 schváleného usnesením č. 007-06/2021/ZK ze dne 26. 04. 2021) ve výši 36 300,00 Kč. Dále byly na základě usnesení č. 007-06/2021/ZK ze dne 26. 4. 2021 (rozdělení zůstatku hospodaření SK z roku 2020) převedeny finanční prostředky ve výši 5 059 034,35 Kč. Finanční prostředky byly čerpány ve výši 3 627 123,83 Kč. Čerpáno 71,2 %.</w:t>
      </w:r>
    </w:p>
    <w:p w14:paraId="6FDE57AA" w14:textId="77777777" w:rsidR="00894A5F" w:rsidRPr="00835DCA" w:rsidRDefault="00894A5F" w:rsidP="00894A5F">
      <w:pPr>
        <w:spacing w:after="0" w:line="240" w:lineRule="auto"/>
        <w:jc w:val="both"/>
        <w:rPr>
          <w:rFonts w:cstheme="minorHAnsi"/>
          <w:b/>
        </w:rPr>
      </w:pPr>
    </w:p>
    <w:p w14:paraId="3FD615EF" w14:textId="77777777" w:rsidR="00894A5F" w:rsidRPr="00835DCA" w:rsidRDefault="00894A5F" w:rsidP="00894A5F">
      <w:pPr>
        <w:spacing w:after="0" w:line="240" w:lineRule="auto"/>
        <w:jc w:val="both"/>
        <w:rPr>
          <w:rFonts w:cstheme="minorHAnsi"/>
          <w:b/>
        </w:rPr>
      </w:pPr>
      <w:r w:rsidRPr="00835DCA">
        <w:rPr>
          <w:rFonts w:cstheme="minorHAnsi"/>
          <w:b/>
        </w:rPr>
        <w:t>§ 4399 – Ostatní záležitosti sociálních věcí a politiky zaměstnanosti - POSEZ</w:t>
      </w:r>
    </w:p>
    <w:p w14:paraId="1314515C" w14:textId="77777777" w:rsidR="00894A5F" w:rsidRPr="00835DCA" w:rsidRDefault="00894A5F" w:rsidP="00894A5F">
      <w:pPr>
        <w:spacing w:after="0" w:line="240" w:lineRule="auto"/>
        <w:jc w:val="both"/>
        <w:rPr>
          <w:rFonts w:cstheme="minorHAnsi"/>
        </w:rPr>
      </w:pPr>
      <w:r w:rsidRPr="00835DCA">
        <w:rPr>
          <w:rFonts w:cstheme="minorHAnsi"/>
        </w:rPr>
        <w:t>Jedná se o finanční prostředky projektu POSEZ (kontaktní místa pro pomoc seniorům a zdravotně postiženým). Klíčovými aktivitami těchto kontaktních míst jsou koordinace a propojování aktivit s ostatními institucemi a partnery, jak ve státním, tak i v soukromém sektoru, kteří pracují s cílovou skupinou seniorů a zdravotně postižených. Dále pak informační servis o celém systému sociální péče, základní poradenství předcházející odborné sociální péči. Na základě usnesení č. 027-04/2021/ZK ze dne 22. 2. 2021 byly organizacím poskytnuty dotace ve výši 300 000,00 Kč pro Služby a školení MB, z.ú. ve výši 267 000,00 Kč pro Pečovatelskou službu okresu Benešov, ve výši 300 000,00 Kč pro Centrum sociálních a zdravotních služeb Poděbrady, o.p.s., pro město Slaný ve výši 144 480,00 Kč, pro KOLOBĚH Říčany, p.o. v částce 105 000,00 Kč a formou příspěvku na provoz příspěvkové organizaci Středočeského kraje Domov seniorů Nové Strašecí ve výši 141 600,00 Kč. Čerpáno na 50,3 %.</w:t>
      </w:r>
    </w:p>
    <w:p w14:paraId="0D82009B" w14:textId="77777777" w:rsidR="00894A5F" w:rsidRPr="00835DCA" w:rsidRDefault="00894A5F" w:rsidP="00894A5F">
      <w:pPr>
        <w:spacing w:after="0" w:line="240" w:lineRule="auto"/>
        <w:jc w:val="both"/>
        <w:rPr>
          <w:rFonts w:cstheme="minorHAnsi"/>
          <w:b/>
        </w:rPr>
      </w:pPr>
    </w:p>
    <w:p w14:paraId="4F5DE70A" w14:textId="77777777" w:rsidR="00894A5F" w:rsidRPr="00835DCA" w:rsidRDefault="00894A5F" w:rsidP="00894A5F">
      <w:pPr>
        <w:spacing w:after="0" w:line="240" w:lineRule="auto"/>
        <w:jc w:val="both"/>
        <w:rPr>
          <w:rFonts w:cstheme="minorHAnsi"/>
          <w:b/>
        </w:rPr>
      </w:pPr>
      <w:r w:rsidRPr="00835DCA">
        <w:rPr>
          <w:rFonts w:cstheme="minorHAnsi"/>
          <w:b/>
        </w:rPr>
        <w:t>Účelové neinvestiční dotace nestátním neziskovým organizacím</w:t>
      </w:r>
    </w:p>
    <w:p w14:paraId="60755554" w14:textId="77777777" w:rsidR="00894A5F" w:rsidRPr="00835DCA" w:rsidRDefault="00894A5F" w:rsidP="00894A5F">
      <w:pPr>
        <w:spacing w:after="0" w:line="240" w:lineRule="auto"/>
        <w:jc w:val="both"/>
        <w:rPr>
          <w:rFonts w:cstheme="minorHAnsi"/>
          <w:b/>
        </w:rPr>
      </w:pPr>
    </w:p>
    <w:p w14:paraId="10576A89" w14:textId="77777777" w:rsidR="00894A5F" w:rsidRPr="00835DCA" w:rsidRDefault="00894A5F" w:rsidP="00894A5F">
      <w:pPr>
        <w:spacing w:after="0" w:line="240" w:lineRule="auto"/>
        <w:jc w:val="both"/>
        <w:rPr>
          <w:rFonts w:cstheme="minorHAnsi"/>
          <w:b/>
        </w:rPr>
      </w:pPr>
      <w:r w:rsidRPr="00835DCA">
        <w:rPr>
          <w:rFonts w:cstheme="minorHAnsi"/>
          <w:b/>
        </w:rPr>
        <w:t>§ 4357 – Domovy pro osoby se zdravotním postižením a domovy se zvláštním režimem</w:t>
      </w:r>
    </w:p>
    <w:p w14:paraId="049EB648" w14:textId="77777777" w:rsidR="00894A5F" w:rsidRPr="00835DCA" w:rsidRDefault="00894A5F" w:rsidP="00894A5F">
      <w:pPr>
        <w:spacing w:after="0" w:line="240" w:lineRule="auto"/>
        <w:jc w:val="both"/>
        <w:rPr>
          <w:rFonts w:cstheme="minorHAnsi"/>
          <w:b/>
        </w:rPr>
      </w:pPr>
      <w:r w:rsidRPr="00835DCA">
        <w:rPr>
          <w:rFonts w:cstheme="minorHAnsi"/>
          <w:b/>
        </w:rPr>
        <w:t>§ 4399 – Ostatní záležitosti sociálních věcí a politiky zaměstnanosti</w:t>
      </w:r>
    </w:p>
    <w:p w14:paraId="57C39796" w14:textId="09AD977D" w:rsidR="00894A5F" w:rsidRPr="00835DCA" w:rsidRDefault="00894A5F" w:rsidP="00894A5F">
      <w:pPr>
        <w:spacing w:after="0" w:line="240" w:lineRule="auto"/>
        <w:jc w:val="both"/>
        <w:rPr>
          <w:rFonts w:cstheme="minorHAnsi"/>
        </w:rPr>
      </w:pPr>
      <w:r w:rsidRPr="00835DCA">
        <w:rPr>
          <w:rFonts w:cstheme="minorHAnsi"/>
        </w:rPr>
        <w:t>Na základě usnesení č. 020-06/2021/ZK ze dne 26. 4. 2021 byl upravený rozpočet navýšen o 300 000,00 Kč na individuální neinvestiční dotaci pro Nadační fond Vrba za účelem projektu Terénní pracovník, péče o děti, hospodyně, řemeslník pro zajištění služeb ovdovělým rodinám, ozdravné pobyty pro ovdovělé rodiny s dětmi a svépomocné skupiny. Dále byl navýšen rozpočtovými úpravami schválenými radou kraje (usnesením č. 036-30/2021/RK ze dne 29.7.2021, usnesením č. 037-30/2021/RK ze dne 29.7.2021, usnesením č. 012-43/2021/RK ze dne 18.11.2021 a usnesením č. 030-45/2021/RK ze dne 2.12.2021) ve výši 665 928,00 Kč a rozpočtovou úpravou schválenou zastupitelstvem kraje (usnesením č. 030-09/2021/ZK ze dne 13.9.2021) ve výši 2 438 280,00 Kč. Finanční prostředky byly použity na individuální neinvestiční účelové dotace pro FOKUS Mladá Boleslav z.s., za účelem financování projektu „Centrum duševního zdraví“ ve výši 2 438 280,00 Kč,</w:t>
      </w:r>
      <w:r w:rsidR="00A05FD9">
        <w:rPr>
          <w:rFonts w:cstheme="minorHAnsi"/>
        </w:rPr>
        <w:t xml:space="preserve"> </w:t>
      </w:r>
      <w:r w:rsidR="00A05FD9" w:rsidRPr="00835DCA">
        <w:rPr>
          <w:rFonts w:cstheme="minorHAnsi"/>
        </w:rPr>
        <w:t>pro Nadační fond Vrba</w:t>
      </w:r>
      <w:r w:rsidR="00A05FD9">
        <w:rPr>
          <w:rFonts w:cstheme="minorHAnsi"/>
        </w:rPr>
        <w:t xml:space="preserve"> ve výši 300 000,00 Kč,</w:t>
      </w:r>
      <w:r w:rsidRPr="00835DCA">
        <w:rPr>
          <w:rFonts w:cstheme="minorHAnsi"/>
        </w:rPr>
        <w:t xml:space="preserve"> pro Renata Nekolová-Linka důvěry SOS  na zajištění financování projektu „Zvýšení provozních nákladů po nuceném přestěhování pracoviště“ ve výši 195 000,00 Kč, pro organizaci Život Plus, z. ú. na zajištění financování projektu „Pojďme následovat naše děti“ ve výši 190 928,00 Kč, pro organizaci DMO pobyty z.s. na zajištění financování projektu „Podpora činností“ ve výši 100 000,00 Kč a pro Domov Potoky Jipro-Cash s.r.o. za účelem financování projektu „Domov se zvláštním režimem“  ve výši 180 000,00 Kč. Čerpáno na 100,0 %.</w:t>
      </w:r>
      <w:bookmarkStart w:id="56" w:name="_Hlk15460440"/>
      <w:r w:rsidRPr="00835DCA">
        <w:rPr>
          <w:rFonts w:cstheme="minorHAnsi"/>
        </w:rPr>
        <w:t xml:space="preserve"> </w:t>
      </w:r>
    </w:p>
    <w:bookmarkEnd w:id="56"/>
    <w:p w14:paraId="059B2E83" w14:textId="77777777" w:rsidR="00894A5F" w:rsidRPr="00835DCA" w:rsidRDefault="00894A5F" w:rsidP="00894A5F">
      <w:pPr>
        <w:spacing w:after="0" w:line="240" w:lineRule="auto"/>
        <w:jc w:val="both"/>
        <w:rPr>
          <w:rFonts w:cstheme="minorHAnsi"/>
          <w:bCs/>
          <w:u w:val="single"/>
        </w:rPr>
      </w:pPr>
    </w:p>
    <w:p w14:paraId="0B02EAD2" w14:textId="5831D280" w:rsidR="00894A5F" w:rsidRPr="00956DE6" w:rsidRDefault="00894A5F" w:rsidP="00894A5F">
      <w:pPr>
        <w:spacing w:after="0" w:line="240" w:lineRule="auto"/>
        <w:jc w:val="both"/>
        <w:rPr>
          <w:rFonts w:cstheme="minorHAnsi"/>
          <w:b/>
        </w:rPr>
      </w:pPr>
      <w:r w:rsidRPr="00835DCA">
        <w:rPr>
          <w:rFonts w:cstheme="minorHAnsi"/>
          <w:b/>
        </w:rPr>
        <w:t>Návratné finanční výpomoci – sociální oblast</w:t>
      </w:r>
    </w:p>
    <w:p w14:paraId="09F71E09" w14:textId="77777777" w:rsidR="00894A5F" w:rsidRPr="00835DCA" w:rsidRDefault="00894A5F" w:rsidP="00894A5F">
      <w:pPr>
        <w:spacing w:after="0" w:line="240" w:lineRule="auto"/>
        <w:jc w:val="both"/>
        <w:rPr>
          <w:rFonts w:cstheme="minorHAnsi"/>
          <w:b/>
        </w:rPr>
      </w:pPr>
      <w:r w:rsidRPr="00835DCA">
        <w:rPr>
          <w:rFonts w:cstheme="minorHAnsi"/>
          <w:b/>
        </w:rPr>
        <w:t xml:space="preserve">§ 4356 – Denní stacionáře a centra denních služeb </w:t>
      </w:r>
    </w:p>
    <w:p w14:paraId="6847E508" w14:textId="3CB28F55" w:rsidR="00894A5F" w:rsidRPr="00835DCA" w:rsidRDefault="00894A5F" w:rsidP="00894A5F">
      <w:pPr>
        <w:spacing w:after="0" w:line="240" w:lineRule="auto"/>
        <w:jc w:val="both"/>
        <w:rPr>
          <w:rFonts w:cstheme="minorHAnsi"/>
          <w:b/>
        </w:rPr>
      </w:pPr>
      <w:r w:rsidRPr="00835DCA">
        <w:rPr>
          <w:rFonts w:cstheme="minorHAnsi"/>
          <w:b/>
        </w:rPr>
        <w:t>§ 4379 – Ostatní služby a činnosti v oblasti sociální p</w:t>
      </w:r>
      <w:r w:rsidR="00956DE6">
        <w:rPr>
          <w:rFonts w:cstheme="minorHAnsi"/>
          <w:b/>
        </w:rPr>
        <w:t>revence</w:t>
      </w:r>
    </w:p>
    <w:p w14:paraId="292A52BA" w14:textId="77777777" w:rsidR="00894A5F" w:rsidRPr="00835DCA" w:rsidRDefault="00894A5F" w:rsidP="00894A5F">
      <w:pPr>
        <w:spacing w:after="0" w:line="240" w:lineRule="auto"/>
        <w:jc w:val="both"/>
        <w:rPr>
          <w:rFonts w:cstheme="minorHAnsi"/>
          <w:b/>
        </w:rPr>
      </w:pPr>
    </w:p>
    <w:p w14:paraId="57B475D9" w14:textId="77777777" w:rsidR="00894A5F" w:rsidRPr="00835DCA" w:rsidRDefault="00894A5F" w:rsidP="00894A5F">
      <w:pPr>
        <w:spacing w:after="0" w:line="240" w:lineRule="auto"/>
        <w:jc w:val="both"/>
        <w:rPr>
          <w:rFonts w:cstheme="minorHAnsi"/>
          <w:bCs/>
        </w:rPr>
      </w:pPr>
      <w:r w:rsidRPr="00835DCA">
        <w:rPr>
          <w:rFonts w:cstheme="minorHAnsi"/>
          <w:bCs/>
        </w:rPr>
        <w:t xml:space="preserve">Na základě usnesením č. 019-06/2021/ZK ze dne 26. 4. 2021 byly převedeny finanční prostředky v rámci kapitoly na poskytnutí návratné finanční výpomoci pro DC Jizera za účelem </w:t>
      </w:r>
      <w:r w:rsidRPr="00835DCA">
        <w:rPr>
          <w:rFonts w:cstheme="minorHAnsi"/>
        </w:rPr>
        <w:t>překlenutí nedostatku finančních prostředků žadatele na pokrytí nákladů služeb v roce 2021, na služby Denní stacionář a Sociálně aktivizační služby,</w:t>
      </w:r>
      <w:r w:rsidRPr="00835DCA">
        <w:rPr>
          <w:rFonts w:cstheme="minorHAnsi"/>
          <w:bCs/>
        </w:rPr>
        <w:t xml:space="preserve"> ve výši 1 500 000,00 Kč. Čerpáno na 100,0 %. </w:t>
      </w:r>
    </w:p>
    <w:p w14:paraId="79F41FF2" w14:textId="77777777" w:rsidR="00894A5F" w:rsidRPr="00835DCA" w:rsidRDefault="00894A5F" w:rsidP="00894A5F">
      <w:pPr>
        <w:spacing w:after="0" w:line="240" w:lineRule="auto"/>
        <w:jc w:val="both"/>
        <w:rPr>
          <w:rFonts w:cstheme="minorHAnsi"/>
          <w:b/>
          <w:bCs/>
        </w:rPr>
      </w:pPr>
    </w:p>
    <w:p w14:paraId="257A90A2" w14:textId="77777777" w:rsidR="00894A5F" w:rsidRPr="00835DCA" w:rsidRDefault="00894A5F" w:rsidP="00894A5F">
      <w:pPr>
        <w:spacing w:after="0" w:line="240" w:lineRule="auto"/>
        <w:jc w:val="both"/>
        <w:rPr>
          <w:rFonts w:cstheme="minorHAnsi"/>
          <w:b/>
          <w:bCs/>
        </w:rPr>
      </w:pPr>
    </w:p>
    <w:p w14:paraId="6A0B6B4B" w14:textId="77777777" w:rsidR="00894A5F" w:rsidRPr="00835DCA" w:rsidRDefault="00894A5F" w:rsidP="00894A5F">
      <w:pPr>
        <w:spacing w:after="0" w:line="240" w:lineRule="auto"/>
        <w:jc w:val="both"/>
        <w:rPr>
          <w:rFonts w:cstheme="minorHAnsi"/>
          <w:b/>
          <w:bCs/>
        </w:rPr>
      </w:pPr>
      <w:r w:rsidRPr="00835DCA">
        <w:rPr>
          <w:rFonts w:cstheme="minorHAnsi"/>
          <w:b/>
          <w:bCs/>
        </w:rPr>
        <w:t>Velké opravy a havárie</w:t>
      </w:r>
    </w:p>
    <w:p w14:paraId="53201149" w14:textId="77777777" w:rsidR="00894A5F" w:rsidRPr="00835DCA" w:rsidRDefault="00894A5F" w:rsidP="00894A5F">
      <w:pPr>
        <w:spacing w:after="0" w:line="240" w:lineRule="auto"/>
        <w:jc w:val="both"/>
        <w:rPr>
          <w:rFonts w:cstheme="minorHAnsi"/>
          <w:bCs/>
        </w:rPr>
      </w:pPr>
    </w:p>
    <w:p w14:paraId="1043ECB9" w14:textId="77777777" w:rsidR="00894A5F" w:rsidRPr="00835DCA" w:rsidRDefault="00894A5F" w:rsidP="00894A5F">
      <w:pPr>
        <w:spacing w:after="0" w:line="240" w:lineRule="auto"/>
        <w:jc w:val="both"/>
        <w:rPr>
          <w:rFonts w:cstheme="minorHAnsi"/>
          <w:b/>
        </w:rPr>
      </w:pPr>
      <w:r w:rsidRPr="00835DCA">
        <w:rPr>
          <w:rFonts w:cstheme="minorHAnsi"/>
          <w:b/>
        </w:rPr>
        <w:t>§ 4350 – Domovy pro seniory</w:t>
      </w:r>
    </w:p>
    <w:p w14:paraId="18DD2876" w14:textId="77777777" w:rsidR="00894A5F" w:rsidRPr="00835DCA" w:rsidRDefault="00894A5F" w:rsidP="00894A5F">
      <w:pPr>
        <w:spacing w:after="0" w:line="240" w:lineRule="auto"/>
        <w:jc w:val="both"/>
        <w:rPr>
          <w:rFonts w:cstheme="minorHAnsi"/>
          <w:b/>
        </w:rPr>
      </w:pPr>
      <w:r w:rsidRPr="00835DCA">
        <w:rPr>
          <w:rFonts w:cstheme="minorHAnsi"/>
          <w:b/>
        </w:rPr>
        <w:t>§ 4354 – Chráněné bydlení</w:t>
      </w:r>
    </w:p>
    <w:p w14:paraId="7765F3A2" w14:textId="77777777" w:rsidR="00894A5F" w:rsidRPr="00835DCA" w:rsidRDefault="00894A5F" w:rsidP="00894A5F">
      <w:pPr>
        <w:spacing w:after="0" w:line="240" w:lineRule="auto"/>
        <w:jc w:val="both"/>
        <w:rPr>
          <w:rFonts w:cstheme="minorHAnsi"/>
          <w:b/>
        </w:rPr>
      </w:pPr>
      <w:r w:rsidRPr="00835DCA">
        <w:rPr>
          <w:rFonts w:cstheme="minorHAnsi"/>
          <w:b/>
        </w:rPr>
        <w:t>§ 4357 – Domovy pro osoby se zdravotním postižením a domovy se zvláštním režimem</w:t>
      </w:r>
    </w:p>
    <w:p w14:paraId="1D40739B" w14:textId="77777777" w:rsidR="00894A5F" w:rsidRPr="00835DCA" w:rsidRDefault="00894A5F" w:rsidP="00894A5F">
      <w:pPr>
        <w:spacing w:after="0" w:line="240" w:lineRule="auto"/>
        <w:jc w:val="both"/>
        <w:rPr>
          <w:rFonts w:cstheme="minorHAnsi"/>
          <w:b/>
        </w:rPr>
      </w:pPr>
      <w:r w:rsidRPr="00835DCA">
        <w:rPr>
          <w:rFonts w:cstheme="minorHAnsi"/>
          <w:b/>
        </w:rPr>
        <w:t>§ 4399 – Ostatní záležitosti sociálních věcí a politiky zaměstnanosti</w:t>
      </w:r>
    </w:p>
    <w:p w14:paraId="29C42834" w14:textId="77777777" w:rsidR="00894A5F" w:rsidRPr="00835DCA" w:rsidRDefault="00894A5F" w:rsidP="00894A5F">
      <w:pPr>
        <w:spacing w:after="0" w:line="240" w:lineRule="auto"/>
        <w:jc w:val="both"/>
        <w:rPr>
          <w:rFonts w:cstheme="minorHAnsi"/>
        </w:rPr>
      </w:pPr>
      <w:r w:rsidRPr="00835DCA">
        <w:rPr>
          <w:rFonts w:cstheme="minorHAnsi"/>
        </w:rPr>
        <w:t xml:space="preserve">Usnesením č. 013-10/2021/RK ze dne 4. 3. 2021 byl schválen převod finančních prostředků z kapitoly 23 – Ostatní, specifické rezervy - rezerva na krytí propadu daňových příjmů, na navýšení příspěvku na provoz pro příspěvkové organizace ze sociální oblasti ve výši fixace rezervních fondů z roku 2020, tj. ve výši 10 000 000,00 Kč, které byly převedeny na Velké opravy a havárie - ÚZ 012. Usnesením č. 007-06/2021/ZK ze dne 26. 4. 2021 (rozdělení zůstatku hospodaření SK z roku 2020) byl rozpočet navýšen o 27 606 442,09 Kč. S ohledem na aktuální potřeby na financování havárií a oprav příspěvkových organizací došlo v I. polovině roku k převodu finančních prostředků na základě usnesení </w:t>
      </w:r>
      <w:r w:rsidRPr="00835DCA">
        <w:rPr>
          <w:rFonts w:cstheme="minorHAnsi"/>
        </w:rPr>
        <w:br/>
        <w:t>č. 024-04/2021/RK ze dne 28. 1. 2021, usnesení č. 012-15/2021/RK ze dne 1. 4. 2021, usnesením č. 023-19/2021/RK ze dne 29. 4. 2021 (převod částky v celkové výši 4 822 816,44 Kč do kapitálových výdajů na úhradu akcí investičního charakteru) a rozpočtovou úpravou č. 239/17/2021 projednanou s příslušným členem rady byl rozpočet navýšen převodem z kapitálových výdajů o částku 584 179,89 Kč. Ve druhé polovině roku 2021 došlo dle aktuální potřeby na financování havárií a oprav k převodům finančních prostředků na základě usnesení schválených radou kraje (usnesení č. 043-32/2021/RK ze dne 26.</w:t>
      </w:r>
      <w:r>
        <w:rPr>
          <w:rFonts w:cstheme="minorHAnsi"/>
        </w:rPr>
        <w:t xml:space="preserve"> </w:t>
      </w:r>
      <w:r w:rsidRPr="00835DCA">
        <w:rPr>
          <w:rFonts w:cstheme="minorHAnsi"/>
        </w:rPr>
        <w:t>8.</w:t>
      </w:r>
      <w:r>
        <w:rPr>
          <w:rFonts w:cstheme="minorHAnsi"/>
        </w:rPr>
        <w:t xml:space="preserve"> </w:t>
      </w:r>
      <w:r w:rsidRPr="00835DCA">
        <w:rPr>
          <w:rFonts w:cstheme="minorHAnsi"/>
        </w:rPr>
        <w:t>2021, 044-32/2021/RK ze dne 26.</w:t>
      </w:r>
      <w:r>
        <w:rPr>
          <w:rFonts w:cstheme="minorHAnsi"/>
        </w:rPr>
        <w:t xml:space="preserve"> </w:t>
      </w:r>
      <w:r w:rsidRPr="00835DCA">
        <w:rPr>
          <w:rFonts w:cstheme="minorHAnsi"/>
        </w:rPr>
        <w:t>8.</w:t>
      </w:r>
      <w:r>
        <w:rPr>
          <w:rFonts w:cstheme="minorHAnsi"/>
        </w:rPr>
        <w:t xml:space="preserve"> </w:t>
      </w:r>
      <w:r w:rsidRPr="00835DCA">
        <w:rPr>
          <w:rFonts w:cstheme="minorHAnsi"/>
        </w:rPr>
        <w:t>2021, usnesení č. 19-37/2021/RK ze dne 30.</w:t>
      </w:r>
      <w:r>
        <w:rPr>
          <w:rFonts w:cstheme="minorHAnsi"/>
        </w:rPr>
        <w:t xml:space="preserve"> </w:t>
      </w:r>
      <w:r w:rsidRPr="00835DCA">
        <w:rPr>
          <w:rFonts w:cstheme="minorHAnsi"/>
        </w:rPr>
        <w:t>9.</w:t>
      </w:r>
      <w:r>
        <w:rPr>
          <w:rFonts w:cstheme="minorHAnsi"/>
        </w:rPr>
        <w:t xml:space="preserve"> </w:t>
      </w:r>
      <w:r w:rsidRPr="00835DCA">
        <w:rPr>
          <w:rFonts w:cstheme="minorHAnsi"/>
        </w:rPr>
        <w:t>2021, usnesení 013-39/2021/RK ze dne 14.</w:t>
      </w:r>
      <w:r>
        <w:rPr>
          <w:rFonts w:cstheme="minorHAnsi"/>
        </w:rPr>
        <w:t xml:space="preserve"> </w:t>
      </w:r>
      <w:r w:rsidRPr="00835DCA">
        <w:rPr>
          <w:rFonts w:cstheme="minorHAnsi"/>
        </w:rPr>
        <w:t>10.</w:t>
      </w:r>
      <w:r>
        <w:rPr>
          <w:rFonts w:cstheme="minorHAnsi"/>
        </w:rPr>
        <w:t xml:space="preserve"> </w:t>
      </w:r>
      <w:r w:rsidRPr="00835DCA">
        <w:rPr>
          <w:rFonts w:cstheme="minorHAnsi"/>
        </w:rPr>
        <w:t>2021, usnesení č. 033-40/2021/RK ze dne 21.</w:t>
      </w:r>
      <w:r>
        <w:rPr>
          <w:rFonts w:cstheme="minorHAnsi"/>
        </w:rPr>
        <w:t xml:space="preserve"> </w:t>
      </w:r>
      <w:r w:rsidRPr="00835DCA">
        <w:rPr>
          <w:rFonts w:cstheme="minorHAnsi"/>
        </w:rPr>
        <w:t>10.</w:t>
      </w:r>
      <w:r>
        <w:rPr>
          <w:rFonts w:cstheme="minorHAnsi"/>
        </w:rPr>
        <w:t xml:space="preserve"> </w:t>
      </w:r>
      <w:r w:rsidRPr="00835DCA">
        <w:rPr>
          <w:rFonts w:cstheme="minorHAnsi"/>
        </w:rPr>
        <w:t>2021, usnesení č. 023-42/2021/RK ze dne 4.11.2021, usnesení č. 013-43/2021/RK ze dne 18.11.2021, usnesení č. 027-45/2021/RK ze dne 2.</w:t>
      </w:r>
      <w:r>
        <w:rPr>
          <w:rFonts w:cstheme="minorHAnsi"/>
        </w:rPr>
        <w:t xml:space="preserve"> </w:t>
      </w:r>
      <w:r w:rsidRPr="00835DCA">
        <w:rPr>
          <w:rFonts w:cstheme="minorHAnsi"/>
        </w:rPr>
        <w:t>12.</w:t>
      </w:r>
      <w:r>
        <w:rPr>
          <w:rFonts w:cstheme="minorHAnsi"/>
        </w:rPr>
        <w:t xml:space="preserve"> </w:t>
      </w:r>
      <w:r w:rsidRPr="00835DCA">
        <w:rPr>
          <w:rFonts w:cstheme="minorHAnsi"/>
        </w:rPr>
        <w:t>2021, usnesení č. 020-46/2021/RK ze dne 9.</w:t>
      </w:r>
      <w:r>
        <w:rPr>
          <w:rFonts w:cstheme="minorHAnsi"/>
        </w:rPr>
        <w:t xml:space="preserve"> </w:t>
      </w:r>
      <w:r w:rsidRPr="00835DCA">
        <w:rPr>
          <w:rFonts w:cstheme="minorHAnsi"/>
        </w:rPr>
        <w:t>12.</w:t>
      </w:r>
      <w:r>
        <w:rPr>
          <w:rFonts w:cstheme="minorHAnsi"/>
        </w:rPr>
        <w:t xml:space="preserve"> </w:t>
      </w:r>
      <w:r w:rsidRPr="00835DCA">
        <w:rPr>
          <w:rFonts w:cstheme="minorHAnsi"/>
        </w:rPr>
        <w:t>2021 a usnesení č. 048-47/2021/RK ze dne 16.</w:t>
      </w:r>
      <w:r>
        <w:rPr>
          <w:rFonts w:cstheme="minorHAnsi"/>
        </w:rPr>
        <w:t xml:space="preserve"> </w:t>
      </w:r>
      <w:r w:rsidRPr="00835DCA">
        <w:rPr>
          <w:rFonts w:cstheme="minorHAnsi"/>
        </w:rPr>
        <w:t>12.</w:t>
      </w:r>
      <w:r>
        <w:rPr>
          <w:rFonts w:cstheme="minorHAnsi"/>
        </w:rPr>
        <w:t xml:space="preserve"> </w:t>
      </w:r>
      <w:r w:rsidRPr="00835DCA">
        <w:rPr>
          <w:rFonts w:cstheme="minorHAnsi"/>
        </w:rPr>
        <w:t>2021) v celkové výši 31 601 719,74 Kč (převod do kapitálových výdajů na akce investičního charakteru) a rozpočtovou úpravou projednanou s příslušným členem rady byl rozpočet navýšen převodem z kapitálových výdajů o částku 2 043 693,75 Kč.</w:t>
      </w:r>
    </w:p>
    <w:p w14:paraId="65472E14" w14:textId="77777777" w:rsidR="00894A5F" w:rsidRPr="00835DCA" w:rsidRDefault="00894A5F" w:rsidP="00894A5F">
      <w:pPr>
        <w:spacing w:after="0" w:line="240" w:lineRule="auto"/>
        <w:jc w:val="both"/>
        <w:rPr>
          <w:rFonts w:cstheme="minorHAnsi"/>
        </w:rPr>
      </w:pPr>
      <w:r w:rsidRPr="00835DCA">
        <w:rPr>
          <w:rFonts w:cstheme="minorHAnsi"/>
        </w:rPr>
        <w:t>Finanční prostředky byly čerpány na:</w:t>
      </w:r>
    </w:p>
    <w:p w14:paraId="76BF9146" w14:textId="77777777" w:rsidR="00894A5F" w:rsidRPr="00835DCA" w:rsidRDefault="00894A5F" w:rsidP="00894A5F">
      <w:pPr>
        <w:pStyle w:val="Odstavecseseznamem"/>
        <w:numPr>
          <w:ilvl w:val="0"/>
          <w:numId w:val="4"/>
        </w:numPr>
        <w:jc w:val="both"/>
        <w:rPr>
          <w:rFonts w:asciiTheme="minorHAnsi" w:hAnsiTheme="minorHAnsi" w:cstheme="minorHAnsi"/>
          <w:sz w:val="22"/>
          <w:szCs w:val="22"/>
        </w:rPr>
      </w:pPr>
      <w:r w:rsidRPr="00835DCA">
        <w:rPr>
          <w:rFonts w:asciiTheme="minorHAnsi" w:hAnsiTheme="minorHAnsi" w:cstheme="minorHAnsi"/>
          <w:sz w:val="22"/>
          <w:szCs w:val="22"/>
        </w:rPr>
        <w:t xml:space="preserve">Oprava izolace zdiva Domov Na Hrádku ve výši 343 246,88 Kč, </w:t>
      </w:r>
    </w:p>
    <w:p w14:paraId="2E352CBB" w14:textId="77777777" w:rsidR="00894A5F" w:rsidRPr="00835DCA" w:rsidRDefault="00894A5F" w:rsidP="00894A5F">
      <w:pPr>
        <w:pStyle w:val="Odstavecseseznamem"/>
        <w:numPr>
          <w:ilvl w:val="0"/>
          <w:numId w:val="4"/>
        </w:numPr>
        <w:jc w:val="both"/>
        <w:outlineLvl w:val="0"/>
        <w:rPr>
          <w:rFonts w:asciiTheme="minorHAnsi" w:hAnsiTheme="minorHAnsi" w:cstheme="minorHAnsi"/>
          <w:sz w:val="22"/>
          <w:szCs w:val="22"/>
        </w:rPr>
      </w:pPr>
      <w:r w:rsidRPr="00835DCA">
        <w:rPr>
          <w:rFonts w:asciiTheme="minorHAnsi" w:hAnsiTheme="minorHAnsi" w:cstheme="minorHAnsi"/>
          <w:sz w:val="22"/>
          <w:szCs w:val="22"/>
        </w:rPr>
        <w:t>Oprava pokojů klientů ve 2 NP a 3 NP Domova Hostomice Zátor ve výši 485 879,91 Kč,</w:t>
      </w:r>
    </w:p>
    <w:p w14:paraId="4901D6FA" w14:textId="77777777" w:rsidR="00894A5F" w:rsidRPr="00835DCA" w:rsidRDefault="00894A5F" w:rsidP="00894A5F">
      <w:pPr>
        <w:pStyle w:val="Odstavecseseznamem"/>
        <w:numPr>
          <w:ilvl w:val="0"/>
          <w:numId w:val="4"/>
        </w:numPr>
        <w:jc w:val="both"/>
        <w:outlineLvl w:val="0"/>
        <w:rPr>
          <w:rFonts w:asciiTheme="minorHAnsi" w:hAnsiTheme="minorHAnsi" w:cstheme="minorHAnsi"/>
          <w:sz w:val="22"/>
          <w:szCs w:val="22"/>
        </w:rPr>
      </w:pPr>
      <w:r w:rsidRPr="00835DCA">
        <w:rPr>
          <w:rFonts w:asciiTheme="minorHAnsi" w:hAnsiTheme="minorHAnsi" w:cstheme="minorHAnsi"/>
          <w:sz w:val="22"/>
          <w:szCs w:val="22"/>
        </w:rPr>
        <w:t>Havárie koupelny – Červený Mlýn Všestudy ve výši 199 818,25 Kč,</w:t>
      </w:r>
    </w:p>
    <w:p w14:paraId="66A114E0" w14:textId="77777777" w:rsidR="00894A5F" w:rsidRPr="00835DCA" w:rsidRDefault="00894A5F" w:rsidP="00894A5F">
      <w:pPr>
        <w:pStyle w:val="Odstavecseseznamem"/>
        <w:numPr>
          <w:ilvl w:val="0"/>
          <w:numId w:val="4"/>
        </w:numPr>
        <w:jc w:val="both"/>
        <w:outlineLvl w:val="0"/>
        <w:rPr>
          <w:rFonts w:asciiTheme="minorHAnsi" w:hAnsiTheme="minorHAnsi" w:cstheme="minorHAnsi"/>
          <w:sz w:val="22"/>
          <w:szCs w:val="22"/>
        </w:rPr>
      </w:pPr>
      <w:r w:rsidRPr="00835DCA">
        <w:rPr>
          <w:rFonts w:asciiTheme="minorHAnsi" w:hAnsiTheme="minorHAnsi" w:cstheme="minorHAnsi"/>
          <w:sz w:val="22"/>
          <w:szCs w:val="22"/>
        </w:rPr>
        <w:t>Nákup nábytku pro DOZP Kamýk, Nalžovický zámek ve výši 185 600,00 Kč,</w:t>
      </w:r>
    </w:p>
    <w:p w14:paraId="4CAAD055" w14:textId="77777777" w:rsidR="00894A5F" w:rsidRPr="00835DCA" w:rsidRDefault="00894A5F" w:rsidP="00894A5F">
      <w:pPr>
        <w:pStyle w:val="Odstavecseseznamem"/>
        <w:numPr>
          <w:ilvl w:val="0"/>
          <w:numId w:val="4"/>
        </w:numPr>
        <w:jc w:val="both"/>
        <w:outlineLvl w:val="0"/>
        <w:rPr>
          <w:rFonts w:asciiTheme="minorHAnsi" w:hAnsiTheme="minorHAnsi" w:cstheme="minorHAnsi"/>
          <w:sz w:val="22"/>
          <w:szCs w:val="22"/>
        </w:rPr>
      </w:pPr>
      <w:r w:rsidRPr="00835DCA">
        <w:rPr>
          <w:rFonts w:asciiTheme="minorHAnsi" w:hAnsiTheme="minorHAnsi" w:cstheme="minorHAnsi"/>
          <w:sz w:val="22"/>
          <w:szCs w:val="22"/>
        </w:rPr>
        <w:t>Doplnění vybavení Domova pro osoby s nízkofunkčním autismem pro Centrum 83 ve výši 104 162,95 Kč,</w:t>
      </w:r>
    </w:p>
    <w:p w14:paraId="5007297D" w14:textId="77777777" w:rsidR="00894A5F" w:rsidRPr="00835DCA" w:rsidRDefault="00894A5F" w:rsidP="00894A5F">
      <w:pPr>
        <w:pStyle w:val="Odstavecseseznamem"/>
        <w:numPr>
          <w:ilvl w:val="0"/>
          <w:numId w:val="4"/>
        </w:numPr>
        <w:jc w:val="both"/>
        <w:outlineLvl w:val="0"/>
        <w:rPr>
          <w:rFonts w:asciiTheme="minorHAnsi" w:hAnsiTheme="minorHAnsi" w:cstheme="minorHAnsi"/>
          <w:sz w:val="22"/>
          <w:szCs w:val="22"/>
        </w:rPr>
      </w:pPr>
      <w:r w:rsidRPr="00835DCA">
        <w:rPr>
          <w:rFonts w:asciiTheme="minorHAnsi" w:hAnsiTheme="minorHAnsi" w:cstheme="minorHAnsi"/>
          <w:sz w:val="22"/>
          <w:szCs w:val="22"/>
        </w:rPr>
        <w:t>Nákup vybavení do DOZP Kamýk, Nalžovický zámek ve výši 286 068,75 Kč,</w:t>
      </w:r>
    </w:p>
    <w:p w14:paraId="3DCF8DBB" w14:textId="6E01380E" w:rsidR="00894A5F" w:rsidRPr="00835DCA" w:rsidRDefault="00894A5F" w:rsidP="00894A5F">
      <w:pPr>
        <w:pStyle w:val="Odstavecseseznamem"/>
        <w:numPr>
          <w:ilvl w:val="0"/>
          <w:numId w:val="4"/>
        </w:numPr>
        <w:jc w:val="both"/>
        <w:outlineLvl w:val="0"/>
        <w:rPr>
          <w:rFonts w:asciiTheme="minorHAnsi" w:hAnsiTheme="minorHAnsi" w:cstheme="minorHAnsi"/>
          <w:sz w:val="22"/>
          <w:szCs w:val="22"/>
        </w:rPr>
      </w:pPr>
      <w:r w:rsidRPr="00835DCA">
        <w:rPr>
          <w:rFonts w:asciiTheme="minorHAnsi" w:hAnsiTheme="minorHAnsi" w:cstheme="minorHAnsi"/>
          <w:sz w:val="22"/>
          <w:szCs w:val="22"/>
        </w:rPr>
        <w:t>Dodávka 40 ks elektricky polohovatelných lůžek pro Domov seniorů Jenštejn ve výši 754 354,00 Kč</w:t>
      </w:r>
      <w:r w:rsidR="00956DE6">
        <w:rPr>
          <w:rFonts w:asciiTheme="minorHAnsi" w:hAnsiTheme="minorHAnsi" w:cstheme="minorHAnsi"/>
          <w:sz w:val="22"/>
          <w:szCs w:val="22"/>
        </w:rPr>
        <w:t>,</w:t>
      </w:r>
    </w:p>
    <w:p w14:paraId="5E7D194C" w14:textId="3FD05D95" w:rsidR="00894A5F" w:rsidRPr="00835DCA" w:rsidRDefault="00894A5F" w:rsidP="00894A5F">
      <w:pPr>
        <w:pStyle w:val="Odstavecseseznamem"/>
        <w:numPr>
          <w:ilvl w:val="0"/>
          <w:numId w:val="4"/>
        </w:numPr>
        <w:jc w:val="both"/>
        <w:outlineLvl w:val="0"/>
        <w:rPr>
          <w:rFonts w:asciiTheme="minorHAnsi" w:hAnsiTheme="minorHAnsi" w:cstheme="minorHAnsi"/>
          <w:sz w:val="22"/>
          <w:szCs w:val="22"/>
        </w:rPr>
      </w:pPr>
      <w:r w:rsidRPr="00835DCA">
        <w:rPr>
          <w:rFonts w:asciiTheme="minorHAnsi" w:hAnsiTheme="minorHAnsi" w:cstheme="minorHAnsi"/>
          <w:sz w:val="22"/>
          <w:szCs w:val="22"/>
        </w:rPr>
        <w:t>Dodání 75 ks dřevěných pečovatelských lůžek pro Domov Sedlčany ve výši 2 043 693,75 Kč</w:t>
      </w:r>
      <w:r w:rsidR="00956DE6">
        <w:rPr>
          <w:rFonts w:asciiTheme="minorHAnsi" w:hAnsiTheme="minorHAnsi" w:cstheme="minorHAnsi"/>
          <w:sz w:val="22"/>
          <w:szCs w:val="22"/>
        </w:rPr>
        <w:t>.</w:t>
      </w:r>
    </w:p>
    <w:p w14:paraId="004054B3" w14:textId="77777777" w:rsidR="00894A5F" w:rsidRPr="00835DCA" w:rsidRDefault="00894A5F" w:rsidP="00894A5F">
      <w:pPr>
        <w:spacing w:after="0" w:line="240" w:lineRule="auto"/>
        <w:jc w:val="both"/>
        <w:rPr>
          <w:rFonts w:cstheme="minorHAnsi"/>
        </w:rPr>
      </w:pPr>
      <w:r w:rsidRPr="00835DCA">
        <w:rPr>
          <w:rFonts w:cstheme="minorHAnsi"/>
        </w:rPr>
        <w:t>Čerpáno celkem na 23,4 %.</w:t>
      </w:r>
    </w:p>
    <w:p w14:paraId="3EFE1392" w14:textId="77777777" w:rsidR="00894A5F" w:rsidRPr="00835DCA" w:rsidRDefault="00894A5F" w:rsidP="00894A5F">
      <w:pPr>
        <w:spacing w:after="0" w:line="240" w:lineRule="auto"/>
        <w:jc w:val="both"/>
        <w:rPr>
          <w:rFonts w:cstheme="minorHAnsi"/>
          <w:b/>
        </w:rPr>
      </w:pPr>
    </w:p>
    <w:p w14:paraId="344198E4" w14:textId="77777777" w:rsidR="00894A5F" w:rsidRPr="00835DCA" w:rsidRDefault="00894A5F" w:rsidP="00894A5F">
      <w:pPr>
        <w:spacing w:after="0" w:line="240" w:lineRule="auto"/>
        <w:jc w:val="both"/>
        <w:rPr>
          <w:rFonts w:cstheme="minorHAnsi"/>
          <w:b/>
        </w:rPr>
      </w:pPr>
      <w:r w:rsidRPr="00835DCA">
        <w:rPr>
          <w:rFonts w:cstheme="minorHAnsi"/>
          <w:b/>
        </w:rPr>
        <w:t>§ 6402 – Vratky sociálních dávek</w:t>
      </w:r>
    </w:p>
    <w:p w14:paraId="53932451" w14:textId="77777777" w:rsidR="00894A5F" w:rsidRPr="00835DCA" w:rsidRDefault="00894A5F" w:rsidP="00894A5F">
      <w:pPr>
        <w:pStyle w:val="Default"/>
        <w:jc w:val="both"/>
        <w:rPr>
          <w:rFonts w:asciiTheme="minorHAnsi" w:hAnsiTheme="minorHAnsi" w:cstheme="minorHAnsi"/>
          <w:color w:val="auto"/>
          <w:sz w:val="22"/>
          <w:szCs w:val="22"/>
        </w:rPr>
      </w:pPr>
      <w:r w:rsidRPr="00835DCA">
        <w:rPr>
          <w:rFonts w:asciiTheme="minorHAnsi" w:hAnsiTheme="minorHAnsi" w:cstheme="minorHAnsi"/>
          <w:color w:val="auto"/>
          <w:sz w:val="22"/>
          <w:szCs w:val="22"/>
        </w:rPr>
        <w:t>Jedná se o vratky sociálních dávek, které byly na základě usnesení č. 007-06/2021/ZK ze dne 26. 4. 2021 (rozdělení zůstatku hospodaření SK z roku 2020) převedeny do rozpočtu roku 2021 ve výši 4 443,51 Kč. Finanční prostředky byly vráceny zpět na MPSV ČR. Čerpáno na 100,0 %.</w:t>
      </w:r>
    </w:p>
    <w:p w14:paraId="21A03862" w14:textId="37A2F791" w:rsidR="00894A5F" w:rsidRDefault="00894A5F" w:rsidP="00894A5F">
      <w:pPr>
        <w:spacing w:after="0" w:line="240" w:lineRule="auto"/>
        <w:jc w:val="both"/>
        <w:rPr>
          <w:rFonts w:cstheme="minorHAnsi"/>
          <w:b/>
          <w:u w:val="single"/>
        </w:rPr>
      </w:pPr>
    </w:p>
    <w:p w14:paraId="020058BC" w14:textId="77777777" w:rsidR="00956DE6" w:rsidRDefault="00956DE6" w:rsidP="00894A5F">
      <w:pPr>
        <w:spacing w:after="0" w:line="240" w:lineRule="auto"/>
        <w:jc w:val="both"/>
        <w:rPr>
          <w:rFonts w:cstheme="minorHAnsi"/>
          <w:b/>
          <w:sz w:val="24"/>
          <w:szCs w:val="24"/>
          <w:u w:val="single"/>
        </w:rPr>
      </w:pPr>
    </w:p>
    <w:p w14:paraId="1A9FC2B9" w14:textId="77777777" w:rsidR="00894A5F" w:rsidRPr="00835DCA" w:rsidRDefault="00894A5F" w:rsidP="00894A5F">
      <w:pPr>
        <w:spacing w:after="0" w:line="240" w:lineRule="auto"/>
        <w:jc w:val="both"/>
        <w:rPr>
          <w:rFonts w:cstheme="minorHAnsi"/>
          <w:b/>
          <w:sz w:val="24"/>
          <w:szCs w:val="24"/>
          <w:u w:val="single"/>
        </w:rPr>
      </w:pPr>
      <w:bookmarkStart w:id="57" w:name="_Hlk98927750"/>
      <w:r w:rsidRPr="00835DCA">
        <w:rPr>
          <w:rFonts w:cstheme="minorHAnsi"/>
          <w:b/>
          <w:sz w:val="24"/>
          <w:szCs w:val="24"/>
          <w:u w:val="single"/>
        </w:rPr>
        <w:t>Fondy</w:t>
      </w:r>
    </w:p>
    <w:p w14:paraId="7DFDF2BE" w14:textId="77777777" w:rsidR="00894A5F" w:rsidRPr="00835DCA" w:rsidRDefault="00894A5F" w:rsidP="00894A5F">
      <w:pPr>
        <w:spacing w:after="0" w:line="240" w:lineRule="auto"/>
        <w:jc w:val="both"/>
        <w:rPr>
          <w:rFonts w:cstheme="minorHAnsi"/>
          <w:b/>
        </w:rPr>
      </w:pPr>
    </w:p>
    <w:p w14:paraId="1256646D" w14:textId="77777777" w:rsidR="00894A5F" w:rsidRPr="00BD4081" w:rsidRDefault="00894A5F" w:rsidP="00894A5F">
      <w:pPr>
        <w:spacing w:after="0" w:line="240" w:lineRule="auto"/>
        <w:jc w:val="both"/>
        <w:rPr>
          <w:rFonts w:cstheme="minorHAnsi"/>
          <w:b/>
        </w:rPr>
      </w:pPr>
      <w:r w:rsidRPr="00BD4081">
        <w:rPr>
          <w:rFonts w:cstheme="minorHAnsi"/>
          <w:b/>
        </w:rPr>
        <w:t>Středočeský humanitární fond</w:t>
      </w:r>
    </w:p>
    <w:p w14:paraId="7245539E" w14:textId="77777777" w:rsidR="00BD4081" w:rsidRDefault="00894A5F" w:rsidP="00BD4081">
      <w:pPr>
        <w:spacing w:after="0" w:line="240" w:lineRule="auto"/>
        <w:jc w:val="both"/>
      </w:pPr>
      <w:r w:rsidRPr="00BD4081">
        <w:rPr>
          <w:rFonts w:cstheme="minorHAnsi"/>
        </w:rPr>
        <w:t>Usnesením č. 007-04/2021/ZK ze dne 22. 2. 2021 bylo schváleno navýšení rozpočtu Středočeského kraje o prostředky ze sdílených daní a nevyčerpané prostředky z roku 2020, kterým byla do Středočeského humanitárního fondu alokována částka 35 000 000,00 Kč</w:t>
      </w:r>
      <w:r w:rsidR="00BD4081" w:rsidRPr="00BD4081">
        <w:rPr>
          <w:rFonts w:cstheme="minorHAnsi"/>
        </w:rPr>
        <w:t xml:space="preserve"> </w:t>
      </w:r>
      <w:r w:rsidR="001C29FF" w:rsidRPr="00BD4081">
        <w:t>na poskytnutí dotací v rámci tematického zadání „Sociální oblast“.  Dotace poskytnuté dle tohoto Programu přispívají zejména k podpoře základních činností sociální služby, k podpoře aktivit a dalších činností sociálního zaměření, zejména v oblasti podpory rodiny, asistovaných kontaktů, prevence kriminality a integrace romské menšiny. Dále k podpoře aktivit obcí ve Středočeském kraji v oblastech sociálního zaměření. Usnesením č. 028-08/2021/ZK ze dne 28. 6. 2021 bylo schváleno poskytnutí dotace jednotlivým žadatelům v celkové výši 35 000 000,00 Kč. Finanční prostředky byly čerpány ve výši 34 969 910,00 Kč. Čerpáno na 99,9 %.</w:t>
      </w:r>
    </w:p>
    <w:p w14:paraId="01344843" w14:textId="6178CC5F" w:rsidR="001C29FF" w:rsidRDefault="001C29FF" w:rsidP="00BD4081">
      <w:pPr>
        <w:spacing w:after="0" w:line="240" w:lineRule="auto"/>
        <w:jc w:val="both"/>
      </w:pPr>
      <w:r>
        <w:t xml:space="preserve"> </w:t>
      </w:r>
      <w:r w:rsidR="00894A5F" w:rsidRPr="00835DCA">
        <w:rPr>
          <w:rFonts w:cstheme="minorHAnsi"/>
        </w:rPr>
        <w:t xml:space="preserve"> </w:t>
      </w:r>
    </w:p>
    <w:p w14:paraId="1199C58A" w14:textId="77777777" w:rsidR="00894A5F" w:rsidRPr="00835DCA" w:rsidRDefault="00894A5F" w:rsidP="00894A5F">
      <w:pPr>
        <w:spacing w:after="0" w:line="240" w:lineRule="auto"/>
        <w:jc w:val="both"/>
        <w:rPr>
          <w:rFonts w:cstheme="minorHAnsi"/>
          <w:b/>
          <w:u w:val="single"/>
        </w:rPr>
      </w:pPr>
    </w:p>
    <w:p w14:paraId="533BE8DE" w14:textId="77777777" w:rsidR="00894A5F" w:rsidRPr="00835DCA" w:rsidRDefault="00894A5F" w:rsidP="00894A5F">
      <w:pPr>
        <w:spacing w:after="0" w:line="240" w:lineRule="auto"/>
        <w:jc w:val="both"/>
        <w:rPr>
          <w:rFonts w:cstheme="minorHAnsi"/>
          <w:b/>
          <w:sz w:val="24"/>
          <w:szCs w:val="24"/>
          <w:u w:val="single"/>
        </w:rPr>
      </w:pPr>
      <w:r w:rsidRPr="00835DCA">
        <w:rPr>
          <w:rFonts w:cstheme="minorHAnsi"/>
          <w:b/>
          <w:sz w:val="24"/>
          <w:szCs w:val="24"/>
          <w:u w:val="single"/>
        </w:rPr>
        <w:t>Výdaje na reprodukci majetku příspěvkových organizaci</w:t>
      </w:r>
    </w:p>
    <w:p w14:paraId="3C616D28" w14:textId="77777777" w:rsidR="00894A5F" w:rsidRPr="00835DCA" w:rsidRDefault="00894A5F" w:rsidP="00894A5F">
      <w:pPr>
        <w:spacing w:after="0" w:line="240" w:lineRule="auto"/>
        <w:jc w:val="both"/>
        <w:rPr>
          <w:rFonts w:cstheme="minorHAnsi"/>
          <w:b/>
          <w:u w:val="single"/>
        </w:rPr>
      </w:pPr>
    </w:p>
    <w:p w14:paraId="00A56F94" w14:textId="77777777" w:rsidR="00894A5F" w:rsidRPr="00835DCA" w:rsidRDefault="00894A5F" w:rsidP="00894A5F">
      <w:pPr>
        <w:spacing w:after="0" w:line="240" w:lineRule="auto"/>
        <w:jc w:val="both"/>
        <w:rPr>
          <w:rFonts w:cstheme="minorHAnsi"/>
          <w:b/>
        </w:rPr>
      </w:pPr>
      <w:r w:rsidRPr="00835DCA">
        <w:rPr>
          <w:rFonts w:cstheme="minorHAnsi"/>
          <w:b/>
        </w:rPr>
        <w:t xml:space="preserve">Vrácené </w:t>
      </w:r>
      <w:r w:rsidRPr="00BD4081">
        <w:rPr>
          <w:rFonts w:cstheme="minorHAnsi"/>
          <w:b/>
        </w:rPr>
        <w:t>příjmy z pronájmu (UZ 40)</w:t>
      </w:r>
    </w:p>
    <w:p w14:paraId="65B61E49" w14:textId="1A69CEC9" w:rsidR="00894A5F" w:rsidRPr="00835DCA" w:rsidRDefault="00894A5F" w:rsidP="00894A5F">
      <w:pPr>
        <w:spacing w:after="0" w:line="240" w:lineRule="auto"/>
        <w:jc w:val="both"/>
        <w:rPr>
          <w:rFonts w:cstheme="minorHAnsi"/>
        </w:rPr>
      </w:pPr>
      <w:r w:rsidRPr="00835DCA">
        <w:rPr>
          <w:rFonts w:cstheme="minorHAnsi"/>
        </w:rPr>
        <w:t>Finanční prostředky v celkové výši 1 538 030,13 Kč byly na základě usnesení č. 019-46/2021 ze dne 9.</w:t>
      </w:r>
      <w:r w:rsidR="00825143">
        <w:rPr>
          <w:rFonts w:cstheme="minorHAnsi"/>
        </w:rPr>
        <w:t xml:space="preserve"> </w:t>
      </w:r>
      <w:r w:rsidRPr="00835DCA">
        <w:rPr>
          <w:rFonts w:cstheme="minorHAnsi"/>
        </w:rPr>
        <w:t>12.</w:t>
      </w:r>
      <w:r w:rsidR="00825143">
        <w:rPr>
          <w:rFonts w:cstheme="minorHAnsi"/>
        </w:rPr>
        <w:t xml:space="preserve"> </w:t>
      </w:r>
      <w:r w:rsidRPr="00835DCA">
        <w:rPr>
          <w:rFonts w:cstheme="minorHAnsi"/>
        </w:rPr>
        <w:t>2021 zaslány příspěvkovým organizacím jako vrácení poměrné části za odvedené příjmy z pronájmu majetku. Jedná se o 75% hodnoty odvedených nájmů.</w:t>
      </w:r>
      <w:r w:rsidR="00BD4081">
        <w:rPr>
          <w:rFonts w:cstheme="minorHAnsi"/>
        </w:rPr>
        <w:t xml:space="preserve"> </w:t>
      </w:r>
      <w:r w:rsidR="00BD4081" w:rsidRPr="00BD4081">
        <w:t xml:space="preserve">Finanční prostředky byly zapojeny do rozpočtu příspěvkových organizací ze sociální oblasti jako </w:t>
      </w:r>
      <w:r w:rsidR="00BD4081">
        <w:t>p</w:t>
      </w:r>
      <w:r w:rsidR="00BD4081" w:rsidRPr="00BD4081">
        <w:t xml:space="preserve">říspěvek na provoz na rok 2021 a zároveň byly upraveny jejich závazné ukazatele. </w:t>
      </w:r>
      <w:r w:rsidRPr="00BD4081">
        <w:rPr>
          <w:rFonts w:cstheme="minorHAnsi"/>
        </w:rPr>
        <w:t>Čerpáno 100,0 %.</w:t>
      </w:r>
    </w:p>
    <w:p w14:paraId="16B4C617" w14:textId="58A7CA10" w:rsidR="00894A5F" w:rsidRDefault="00894A5F" w:rsidP="00894A5F">
      <w:pPr>
        <w:spacing w:after="0" w:line="240" w:lineRule="auto"/>
        <w:jc w:val="both"/>
        <w:rPr>
          <w:rFonts w:cstheme="minorHAnsi"/>
          <w:b/>
          <w:u w:val="single"/>
        </w:rPr>
      </w:pPr>
    </w:p>
    <w:p w14:paraId="37FFA985" w14:textId="77777777" w:rsidR="00BD4081" w:rsidRPr="00835DCA" w:rsidRDefault="00BD4081" w:rsidP="00894A5F">
      <w:pPr>
        <w:spacing w:after="0" w:line="240" w:lineRule="auto"/>
        <w:jc w:val="both"/>
        <w:rPr>
          <w:rFonts w:cstheme="minorHAnsi"/>
          <w:b/>
          <w:u w:val="single"/>
        </w:rPr>
      </w:pPr>
    </w:p>
    <w:bookmarkEnd w:id="57"/>
    <w:p w14:paraId="3020310E" w14:textId="77777777" w:rsidR="00894A5F" w:rsidRPr="00835DCA" w:rsidRDefault="00894A5F" w:rsidP="00894A5F">
      <w:pPr>
        <w:spacing w:after="0" w:line="240" w:lineRule="auto"/>
        <w:jc w:val="both"/>
        <w:rPr>
          <w:rFonts w:cstheme="minorHAnsi"/>
          <w:b/>
          <w:sz w:val="24"/>
          <w:szCs w:val="24"/>
          <w:u w:val="single"/>
        </w:rPr>
      </w:pPr>
      <w:r w:rsidRPr="00835DCA">
        <w:rPr>
          <w:rFonts w:cstheme="minorHAnsi"/>
          <w:b/>
          <w:sz w:val="24"/>
          <w:szCs w:val="24"/>
          <w:u w:val="single"/>
        </w:rPr>
        <w:t>Výdaje na havárie</w:t>
      </w:r>
    </w:p>
    <w:p w14:paraId="5E06B19D" w14:textId="77777777" w:rsidR="00894A5F" w:rsidRPr="00835DCA" w:rsidRDefault="00894A5F" w:rsidP="00894A5F">
      <w:pPr>
        <w:spacing w:after="0" w:line="240" w:lineRule="auto"/>
        <w:jc w:val="both"/>
        <w:rPr>
          <w:rFonts w:eastAsia="Calibri" w:cstheme="minorHAnsi"/>
          <w:b/>
        </w:rPr>
      </w:pPr>
    </w:p>
    <w:p w14:paraId="41D8B179" w14:textId="77777777" w:rsidR="00894A5F" w:rsidRPr="00835DCA" w:rsidRDefault="00894A5F" w:rsidP="00894A5F">
      <w:pPr>
        <w:spacing w:after="0" w:line="240" w:lineRule="auto"/>
        <w:jc w:val="both"/>
        <w:rPr>
          <w:rFonts w:eastAsia="Calibri" w:cstheme="minorHAnsi"/>
          <w:b/>
        </w:rPr>
      </w:pPr>
      <w:r w:rsidRPr="00835DCA">
        <w:rPr>
          <w:rFonts w:eastAsia="Calibri" w:cstheme="minorHAnsi"/>
          <w:b/>
        </w:rPr>
        <w:t>§ 4350 – Domovy pro seniory</w:t>
      </w:r>
    </w:p>
    <w:p w14:paraId="311D35D7" w14:textId="6FE34F2F" w:rsidR="00894A5F" w:rsidRPr="00835DCA" w:rsidRDefault="00894A5F" w:rsidP="00894A5F">
      <w:pPr>
        <w:spacing w:after="0" w:line="240" w:lineRule="auto"/>
        <w:jc w:val="both"/>
        <w:rPr>
          <w:rFonts w:cstheme="minorHAnsi"/>
          <w:bCs/>
        </w:rPr>
      </w:pPr>
      <w:r w:rsidRPr="00835DCA">
        <w:rPr>
          <w:rFonts w:cstheme="minorHAnsi"/>
          <w:bCs/>
        </w:rPr>
        <w:t xml:space="preserve">Finanční prostředky jsou určeny na havarijní opravy příspěvkových organizací. Upravený rozpočet byl vytvořen na základě usnesení č 007-06/2021/ZK ze dne 26. 4. 2021 (zůstatek hospodaření SK z roku 2020) ve výši 1 058 738,45 Kč. </w:t>
      </w:r>
      <w:r w:rsidRPr="00835DCA">
        <w:rPr>
          <w:rFonts w:cstheme="minorHAnsi"/>
        </w:rPr>
        <w:t>Prostředky nebyly čerpány</w:t>
      </w:r>
      <w:r w:rsidR="00956DE6">
        <w:rPr>
          <w:rFonts w:cstheme="minorHAnsi"/>
        </w:rPr>
        <w:t>.</w:t>
      </w:r>
      <w:r w:rsidRPr="00835DCA">
        <w:rPr>
          <w:rFonts w:cstheme="minorHAnsi"/>
        </w:rPr>
        <w:t xml:space="preserve"> Čerpáno na 0,0 %. </w:t>
      </w:r>
    </w:p>
    <w:p w14:paraId="48A74C80" w14:textId="77777777" w:rsidR="00894A5F" w:rsidRPr="00835DCA" w:rsidRDefault="00894A5F" w:rsidP="00894A5F">
      <w:pPr>
        <w:spacing w:after="0" w:line="240" w:lineRule="auto"/>
        <w:jc w:val="both"/>
        <w:rPr>
          <w:rFonts w:cstheme="minorHAnsi"/>
          <w:b/>
          <w:u w:val="single"/>
        </w:rPr>
      </w:pPr>
    </w:p>
    <w:p w14:paraId="552EAAB5" w14:textId="77777777" w:rsidR="00894A5F" w:rsidRPr="00835DCA" w:rsidRDefault="00894A5F" w:rsidP="00894A5F">
      <w:pPr>
        <w:spacing w:after="0" w:line="240" w:lineRule="auto"/>
        <w:jc w:val="both"/>
        <w:rPr>
          <w:rFonts w:cstheme="minorHAnsi"/>
          <w:b/>
          <w:sz w:val="24"/>
          <w:szCs w:val="24"/>
          <w:u w:val="single"/>
        </w:rPr>
      </w:pPr>
      <w:r w:rsidRPr="00835DCA">
        <w:rPr>
          <w:rFonts w:cstheme="minorHAnsi"/>
          <w:b/>
          <w:sz w:val="24"/>
          <w:szCs w:val="24"/>
          <w:u w:val="single"/>
        </w:rPr>
        <w:t>Kapitálové výdaje</w:t>
      </w:r>
    </w:p>
    <w:p w14:paraId="7A57C448" w14:textId="77777777" w:rsidR="00894A5F" w:rsidRPr="00835DCA" w:rsidRDefault="00894A5F" w:rsidP="00894A5F">
      <w:pPr>
        <w:spacing w:after="0" w:line="240" w:lineRule="auto"/>
        <w:jc w:val="both"/>
        <w:rPr>
          <w:rFonts w:cstheme="minorHAnsi"/>
          <w:b/>
          <w:u w:val="single"/>
        </w:rPr>
      </w:pPr>
    </w:p>
    <w:p w14:paraId="10860AB0" w14:textId="06660033" w:rsidR="00894A5F" w:rsidRDefault="00894A5F" w:rsidP="00894A5F">
      <w:pPr>
        <w:spacing w:after="0" w:line="240" w:lineRule="auto"/>
        <w:jc w:val="both"/>
        <w:rPr>
          <w:rFonts w:eastAsia="Calibri" w:cstheme="minorHAnsi"/>
        </w:rPr>
      </w:pPr>
      <w:r w:rsidRPr="00835DCA">
        <w:rPr>
          <w:rFonts w:eastAsia="Calibri" w:cstheme="minorHAnsi"/>
        </w:rPr>
        <w:t xml:space="preserve">Upravený rozpočet v celkové výši 46 380 842,43 byl vytvořen na základě jednotlivých usnesení schválených radou kraje (usnesení č. 024-04/2021/RK ze dne 28. 1. 2021, usnesení č. 012-15/2021/RK ze dne 1. 4. 2021 a usnesení č. 023-19/2021/RK ze dne 29. 4. 2021, </w:t>
      </w:r>
      <w:r w:rsidRPr="00835DCA">
        <w:rPr>
          <w:rFonts w:cstheme="minorHAnsi"/>
        </w:rPr>
        <w:t>usnesení č. 043-32/2021/RK ze dne 26.8.2021, 044-32/2021/RK ze dne 26.</w:t>
      </w:r>
      <w:r>
        <w:rPr>
          <w:rFonts w:cstheme="minorHAnsi"/>
        </w:rPr>
        <w:t xml:space="preserve"> </w:t>
      </w:r>
      <w:r w:rsidRPr="00835DCA">
        <w:rPr>
          <w:rFonts w:cstheme="minorHAnsi"/>
        </w:rPr>
        <w:t>8.</w:t>
      </w:r>
      <w:r>
        <w:rPr>
          <w:rFonts w:cstheme="minorHAnsi"/>
        </w:rPr>
        <w:t xml:space="preserve"> </w:t>
      </w:r>
      <w:r w:rsidRPr="00835DCA">
        <w:rPr>
          <w:rFonts w:cstheme="minorHAnsi"/>
        </w:rPr>
        <w:t>2021, usnesení č. 19-37/2021/RK ze dne 30.</w:t>
      </w:r>
      <w:r>
        <w:rPr>
          <w:rFonts w:cstheme="minorHAnsi"/>
        </w:rPr>
        <w:t xml:space="preserve"> </w:t>
      </w:r>
      <w:r w:rsidRPr="00835DCA">
        <w:rPr>
          <w:rFonts w:cstheme="minorHAnsi"/>
        </w:rPr>
        <w:t>9.</w:t>
      </w:r>
      <w:r>
        <w:rPr>
          <w:rFonts w:cstheme="minorHAnsi"/>
        </w:rPr>
        <w:t xml:space="preserve"> </w:t>
      </w:r>
      <w:r w:rsidRPr="00835DCA">
        <w:rPr>
          <w:rFonts w:cstheme="minorHAnsi"/>
        </w:rPr>
        <w:t>2021, usnesení 013-39/2021/RK ze dne 14.</w:t>
      </w:r>
      <w:r>
        <w:rPr>
          <w:rFonts w:cstheme="minorHAnsi"/>
        </w:rPr>
        <w:t xml:space="preserve"> </w:t>
      </w:r>
      <w:r w:rsidRPr="00835DCA">
        <w:rPr>
          <w:rFonts w:cstheme="minorHAnsi"/>
        </w:rPr>
        <w:t>10.</w:t>
      </w:r>
      <w:r>
        <w:rPr>
          <w:rFonts w:cstheme="minorHAnsi"/>
        </w:rPr>
        <w:t xml:space="preserve"> </w:t>
      </w:r>
      <w:r w:rsidRPr="00835DCA">
        <w:rPr>
          <w:rFonts w:cstheme="minorHAnsi"/>
        </w:rPr>
        <w:t>2021, usnesení č. 033-40/2021/RK ze dne 21.</w:t>
      </w:r>
      <w:r>
        <w:rPr>
          <w:rFonts w:cstheme="minorHAnsi"/>
        </w:rPr>
        <w:t xml:space="preserve"> </w:t>
      </w:r>
      <w:r w:rsidRPr="00835DCA">
        <w:rPr>
          <w:rFonts w:cstheme="minorHAnsi"/>
        </w:rPr>
        <w:t>10.</w:t>
      </w:r>
      <w:r>
        <w:rPr>
          <w:rFonts w:cstheme="minorHAnsi"/>
        </w:rPr>
        <w:t xml:space="preserve"> </w:t>
      </w:r>
      <w:r w:rsidRPr="00835DCA">
        <w:rPr>
          <w:rFonts w:cstheme="minorHAnsi"/>
        </w:rPr>
        <w:t>2021, usnesení č. 023-42/2021/RK ze dne 4.</w:t>
      </w:r>
      <w:r>
        <w:rPr>
          <w:rFonts w:cstheme="minorHAnsi"/>
        </w:rPr>
        <w:t xml:space="preserve"> </w:t>
      </w:r>
      <w:r w:rsidRPr="00835DCA">
        <w:rPr>
          <w:rFonts w:cstheme="minorHAnsi"/>
        </w:rPr>
        <w:t>11.</w:t>
      </w:r>
      <w:r>
        <w:rPr>
          <w:rFonts w:cstheme="minorHAnsi"/>
        </w:rPr>
        <w:t xml:space="preserve"> </w:t>
      </w:r>
      <w:r w:rsidRPr="00835DCA">
        <w:rPr>
          <w:rFonts w:cstheme="minorHAnsi"/>
        </w:rPr>
        <w:t>2021, usnesení č. 013-43/2021/RK ze dne 18.</w:t>
      </w:r>
      <w:r>
        <w:rPr>
          <w:rFonts w:cstheme="minorHAnsi"/>
        </w:rPr>
        <w:t xml:space="preserve"> </w:t>
      </w:r>
      <w:r w:rsidRPr="00835DCA">
        <w:rPr>
          <w:rFonts w:cstheme="minorHAnsi"/>
        </w:rPr>
        <w:t>11.</w:t>
      </w:r>
      <w:r>
        <w:rPr>
          <w:rFonts w:cstheme="minorHAnsi"/>
        </w:rPr>
        <w:t xml:space="preserve"> </w:t>
      </w:r>
      <w:r w:rsidRPr="00835DCA">
        <w:rPr>
          <w:rFonts w:cstheme="minorHAnsi"/>
        </w:rPr>
        <w:t>2021, usnesení č. 027-45/2021/RK ze dne 2.</w:t>
      </w:r>
      <w:r>
        <w:rPr>
          <w:rFonts w:cstheme="minorHAnsi"/>
        </w:rPr>
        <w:t xml:space="preserve"> </w:t>
      </w:r>
      <w:r w:rsidRPr="00835DCA">
        <w:rPr>
          <w:rFonts w:cstheme="minorHAnsi"/>
        </w:rPr>
        <w:t>12.</w:t>
      </w:r>
      <w:r>
        <w:rPr>
          <w:rFonts w:cstheme="minorHAnsi"/>
        </w:rPr>
        <w:t xml:space="preserve"> </w:t>
      </w:r>
      <w:r w:rsidRPr="00835DCA">
        <w:rPr>
          <w:rFonts w:cstheme="minorHAnsi"/>
        </w:rPr>
        <w:t>2021, usnesení č. 020-46/2021/RK ze dne 9.</w:t>
      </w:r>
      <w:r>
        <w:rPr>
          <w:rFonts w:cstheme="minorHAnsi"/>
        </w:rPr>
        <w:t xml:space="preserve"> </w:t>
      </w:r>
      <w:r w:rsidRPr="00835DCA">
        <w:rPr>
          <w:rFonts w:cstheme="minorHAnsi"/>
        </w:rPr>
        <w:t>12.</w:t>
      </w:r>
      <w:r>
        <w:rPr>
          <w:rFonts w:cstheme="minorHAnsi"/>
        </w:rPr>
        <w:t xml:space="preserve"> </w:t>
      </w:r>
      <w:r w:rsidRPr="00835DCA">
        <w:rPr>
          <w:rFonts w:cstheme="minorHAnsi"/>
        </w:rPr>
        <w:t>2021 a usnesení č. 048-47/2021/RK ze dne 16.</w:t>
      </w:r>
      <w:r>
        <w:rPr>
          <w:rFonts w:cstheme="minorHAnsi"/>
        </w:rPr>
        <w:t xml:space="preserve"> </w:t>
      </w:r>
      <w:r w:rsidRPr="00835DCA">
        <w:rPr>
          <w:rFonts w:cstheme="minorHAnsi"/>
        </w:rPr>
        <w:t>12.</w:t>
      </w:r>
      <w:r>
        <w:rPr>
          <w:rFonts w:cstheme="minorHAnsi"/>
        </w:rPr>
        <w:t xml:space="preserve"> </w:t>
      </w:r>
      <w:r w:rsidRPr="00835DCA">
        <w:rPr>
          <w:rFonts w:cstheme="minorHAnsi"/>
        </w:rPr>
        <w:t>2021 a rozpočtovými úpravami projednanými s příslušným členem rady.</w:t>
      </w:r>
      <w:r w:rsidRPr="00835DCA">
        <w:rPr>
          <w:rFonts w:eastAsia="Calibri" w:cstheme="minorHAnsi"/>
        </w:rPr>
        <w:t xml:space="preserve"> Jedná se o finanční prostředky</w:t>
      </w:r>
      <w:bookmarkStart w:id="58" w:name="_Hlk15462988"/>
      <w:r w:rsidRPr="00835DCA">
        <w:rPr>
          <w:rFonts w:eastAsia="Calibri" w:cstheme="minorHAnsi"/>
        </w:rPr>
        <w:t xml:space="preserve"> na schválené investiční akce příspěvkových organizací SK. </w:t>
      </w:r>
    </w:p>
    <w:p w14:paraId="12225981" w14:textId="19736410" w:rsidR="00956DE6" w:rsidRDefault="00956DE6" w:rsidP="00894A5F">
      <w:pPr>
        <w:spacing w:after="0" w:line="240" w:lineRule="auto"/>
        <w:jc w:val="both"/>
        <w:rPr>
          <w:rFonts w:eastAsia="Calibri" w:cstheme="minorHAnsi"/>
        </w:rPr>
      </w:pPr>
    </w:p>
    <w:p w14:paraId="7AD2736E" w14:textId="26A77972" w:rsidR="00956DE6" w:rsidRDefault="00956DE6" w:rsidP="00894A5F">
      <w:pPr>
        <w:spacing w:after="0" w:line="240" w:lineRule="auto"/>
        <w:jc w:val="both"/>
        <w:rPr>
          <w:rFonts w:cstheme="minorHAnsi"/>
          <w:b/>
        </w:rPr>
      </w:pPr>
      <w:r w:rsidRPr="00835DCA">
        <w:rPr>
          <w:rFonts w:cstheme="minorHAnsi"/>
          <w:b/>
        </w:rPr>
        <w:t>§ 4312 – Odborné sociální poradenství</w:t>
      </w:r>
    </w:p>
    <w:p w14:paraId="267ADA61" w14:textId="77777777" w:rsidR="00956DE6" w:rsidRPr="00835DCA" w:rsidRDefault="00956DE6" w:rsidP="00956DE6">
      <w:pPr>
        <w:spacing w:after="0" w:line="240" w:lineRule="auto"/>
        <w:jc w:val="both"/>
        <w:rPr>
          <w:rFonts w:cstheme="minorHAnsi"/>
          <w:b/>
        </w:rPr>
      </w:pPr>
      <w:r w:rsidRPr="00835DCA">
        <w:rPr>
          <w:rFonts w:cstheme="minorHAnsi"/>
          <w:b/>
        </w:rPr>
        <w:t>§ 4350 – Domovy pro seniory</w:t>
      </w:r>
    </w:p>
    <w:p w14:paraId="12AC197F" w14:textId="77777777" w:rsidR="00956DE6" w:rsidRPr="00835DCA" w:rsidRDefault="00956DE6" w:rsidP="00956DE6">
      <w:pPr>
        <w:spacing w:after="0" w:line="240" w:lineRule="auto"/>
        <w:jc w:val="both"/>
        <w:rPr>
          <w:rFonts w:cstheme="minorHAnsi"/>
          <w:b/>
        </w:rPr>
      </w:pPr>
      <w:r w:rsidRPr="00835DCA">
        <w:rPr>
          <w:rFonts w:cstheme="minorHAnsi"/>
          <w:b/>
        </w:rPr>
        <w:t>§ 4357 – Domovy pro osoby se zdravotním postižením a domovy se zvláštním režimem</w:t>
      </w:r>
    </w:p>
    <w:p w14:paraId="0154BCD6" w14:textId="77777777" w:rsidR="00894A5F" w:rsidRPr="00835DCA" w:rsidRDefault="00894A5F" w:rsidP="00894A5F">
      <w:pPr>
        <w:spacing w:after="0" w:line="240" w:lineRule="auto"/>
        <w:jc w:val="both"/>
        <w:rPr>
          <w:rFonts w:eastAsia="Calibri" w:cstheme="minorHAnsi"/>
        </w:rPr>
      </w:pPr>
      <w:r w:rsidRPr="00835DCA">
        <w:rPr>
          <w:rFonts w:eastAsia="Calibri" w:cstheme="minorHAnsi"/>
        </w:rPr>
        <w:t>Finanční prostředky ve výši 34 380 839,43 Kč byly čerpány na níže uvedené akce:</w:t>
      </w:r>
    </w:p>
    <w:p w14:paraId="2ADD0861" w14:textId="77777777"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Profesionální varná sestava – Domov Sedlčany ve výši 330 500,00 Kč,</w:t>
      </w:r>
    </w:p>
    <w:p w14:paraId="7C973246" w14:textId="77777777"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 xml:space="preserve">Nákup nového kotle – Domov u Anežky ve výši 714 423,93 Kč,  </w:t>
      </w:r>
    </w:p>
    <w:p w14:paraId="4F70A63F" w14:textId="77777777"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Pořízení náhradního zdroje el. energie – Domov Rožďalovice ve výši 248 832,87 Kč,</w:t>
      </w:r>
    </w:p>
    <w:p w14:paraId="2FA69608" w14:textId="77777777"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 xml:space="preserve">Kanalizační přípojka – Červený Mlýn Všestudy ve výši 2 674 011,64 Kč, </w:t>
      </w:r>
    </w:p>
    <w:p w14:paraId="24D66DE6" w14:textId="77777777"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Pořízení chlazení do skladu – Zelená Lípa Hostivice ve výši 44 781,00 Kč,</w:t>
      </w:r>
    </w:p>
    <w:p w14:paraId="5142E4D9" w14:textId="77777777"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 xml:space="preserve">Nákup sedačkového koupacího hydraulického zvedáku – Domov Velvary ve výši 112 125,00 Kč, </w:t>
      </w:r>
    </w:p>
    <w:p w14:paraId="0E523FF0" w14:textId="77777777"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Oprava vertikálního potrubí rozvodu pitné vody – Domov Velvary ve výši 283 714,00 Kč,</w:t>
      </w:r>
    </w:p>
    <w:p w14:paraId="046B8B45" w14:textId="43466999"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Pořízení plynové sklopné smažící pánve – Domov Velvary ve výši 414 425,00 Kč</w:t>
      </w:r>
      <w:r w:rsidR="00F912F4">
        <w:rPr>
          <w:rFonts w:asciiTheme="minorHAnsi" w:hAnsiTheme="minorHAnsi" w:cstheme="minorHAnsi"/>
          <w:sz w:val="22"/>
          <w:szCs w:val="22"/>
        </w:rPr>
        <w:t>,</w:t>
      </w:r>
    </w:p>
    <w:p w14:paraId="2CCA8892" w14:textId="7F4DDD82"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Dodávka a montáž oplocení pro Domov Unhošť ve výši 263 446,00 Kč</w:t>
      </w:r>
      <w:r w:rsidR="00F912F4">
        <w:rPr>
          <w:rFonts w:asciiTheme="minorHAnsi" w:hAnsiTheme="minorHAnsi" w:cstheme="minorHAnsi"/>
          <w:sz w:val="22"/>
          <w:szCs w:val="22"/>
        </w:rPr>
        <w:t>,</w:t>
      </w:r>
    </w:p>
    <w:p w14:paraId="70E60CD9" w14:textId="6937B6A4"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Vybudování ústředny EPS pro Domov Vraný ve výši 718 645,50 Kč</w:t>
      </w:r>
      <w:r w:rsidR="00F912F4">
        <w:rPr>
          <w:rFonts w:asciiTheme="minorHAnsi" w:hAnsiTheme="minorHAnsi" w:cstheme="minorHAnsi"/>
          <w:sz w:val="22"/>
          <w:szCs w:val="22"/>
        </w:rPr>
        <w:t>,</w:t>
      </w:r>
    </w:p>
    <w:p w14:paraId="4487C96F" w14:textId="19669982"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Nákup sprchovacího lůžka pro Domov Hačka ve výši 88 492,50 Kč</w:t>
      </w:r>
      <w:r w:rsidR="00F912F4">
        <w:rPr>
          <w:rFonts w:asciiTheme="minorHAnsi" w:hAnsiTheme="minorHAnsi" w:cstheme="minorHAnsi"/>
          <w:sz w:val="22"/>
          <w:szCs w:val="22"/>
        </w:rPr>
        <w:t>,</w:t>
      </w:r>
    </w:p>
    <w:p w14:paraId="284770AE" w14:textId="101BC13C"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Vybudování kioskové trafostanice a kabelového vedení NN pro Domov Kladno – Švermov ve výši 1 439 810,40 Kč</w:t>
      </w:r>
      <w:r w:rsidR="00F912F4">
        <w:rPr>
          <w:rFonts w:asciiTheme="minorHAnsi" w:hAnsiTheme="minorHAnsi" w:cstheme="minorHAnsi"/>
          <w:sz w:val="22"/>
          <w:szCs w:val="22"/>
        </w:rPr>
        <w:t>,</w:t>
      </w:r>
    </w:p>
    <w:p w14:paraId="57BA9661" w14:textId="13D0C655"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Mimořádná oprava podezdívky plotu – doplnění základu plotu nad svahem pro Centrum 83 ve výši 101 083,30 Kč</w:t>
      </w:r>
      <w:r w:rsidR="00F912F4">
        <w:rPr>
          <w:rFonts w:asciiTheme="minorHAnsi" w:hAnsiTheme="minorHAnsi" w:cstheme="minorHAnsi"/>
          <w:sz w:val="22"/>
          <w:szCs w:val="22"/>
        </w:rPr>
        <w:t>,</w:t>
      </w:r>
    </w:p>
    <w:p w14:paraId="2C27F8E8" w14:textId="4B5572CF"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Nákup průmyslové sušičky s elektrickým ohřevem pro Domov Velvary ve výši 119 971,50 Kč</w:t>
      </w:r>
      <w:r w:rsidR="00F912F4">
        <w:rPr>
          <w:rFonts w:asciiTheme="minorHAnsi" w:hAnsiTheme="minorHAnsi" w:cstheme="minorHAnsi"/>
          <w:sz w:val="22"/>
          <w:szCs w:val="22"/>
        </w:rPr>
        <w:t>,</w:t>
      </w:r>
    </w:p>
    <w:p w14:paraId="1484A4D1" w14:textId="2822576D"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Nákup elektrické třítroubové pece pro Domov Velvary ve výši 102 395,86 Kč</w:t>
      </w:r>
      <w:r w:rsidR="00F912F4">
        <w:rPr>
          <w:rFonts w:asciiTheme="minorHAnsi" w:hAnsiTheme="minorHAnsi" w:cstheme="minorHAnsi"/>
          <w:sz w:val="22"/>
          <w:szCs w:val="22"/>
        </w:rPr>
        <w:t>,</w:t>
      </w:r>
    </w:p>
    <w:p w14:paraId="3FB392CF" w14:textId="4880BD79"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Rekonstrukce 5 pokojů – II. etapa pro Domov Kytín ve výši 632 214,00 Kč</w:t>
      </w:r>
      <w:r w:rsidR="00F912F4">
        <w:rPr>
          <w:rFonts w:asciiTheme="minorHAnsi" w:hAnsiTheme="minorHAnsi" w:cstheme="minorHAnsi"/>
          <w:sz w:val="22"/>
          <w:szCs w:val="22"/>
        </w:rPr>
        <w:t>,</w:t>
      </w:r>
    </w:p>
    <w:p w14:paraId="6713E178" w14:textId="0DF1B2BC"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Rekonstrukce komunikačního systému sestra-klient pro Domov seniorů Úvaly ve výši 565 090,45 Kč</w:t>
      </w:r>
      <w:r w:rsidR="00F912F4">
        <w:rPr>
          <w:rFonts w:asciiTheme="minorHAnsi" w:hAnsiTheme="minorHAnsi" w:cstheme="minorHAnsi"/>
          <w:sz w:val="22"/>
          <w:szCs w:val="22"/>
        </w:rPr>
        <w:t>,</w:t>
      </w:r>
    </w:p>
    <w:p w14:paraId="00BDA35F" w14:textId="0C629FBB"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Výměna expanzního automatu pro Domov Barbora Kutná Hora ve výši 189 784,87 Kč</w:t>
      </w:r>
      <w:r w:rsidR="00F912F4">
        <w:rPr>
          <w:rFonts w:asciiTheme="minorHAnsi" w:hAnsiTheme="minorHAnsi" w:cstheme="minorHAnsi"/>
          <w:sz w:val="22"/>
          <w:szCs w:val="22"/>
        </w:rPr>
        <w:t>,</w:t>
      </w:r>
    </w:p>
    <w:p w14:paraId="063120C6" w14:textId="3E967CB6"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Nákup mycího stroje pro Červený Mlýn Všestudy ve výši 204 793,00 Kč</w:t>
      </w:r>
      <w:r w:rsidR="00F912F4">
        <w:rPr>
          <w:rFonts w:asciiTheme="minorHAnsi" w:hAnsiTheme="minorHAnsi" w:cstheme="minorHAnsi"/>
          <w:sz w:val="22"/>
          <w:szCs w:val="22"/>
        </w:rPr>
        <w:t>,</w:t>
      </w:r>
    </w:p>
    <w:p w14:paraId="25C2F452" w14:textId="2E3B194D"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Nákup ošetřovatelského lůžka s laterálním náklonem pro Domov Na Zátiší Rakovník ve výši 89 889,00 Kč</w:t>
      </w:r>
      <w:r w:rsidR="00F912F4">
        <w:rPr>
          <w:rFonts w:asciiTheme="minorHAnsi" w:hAnsiTheme="minorHAnsi" w:cstheme="minorHAnsi"/>
          <w:sz w:val="22"/>
          <w:szCs w:val="22"/>
        </w:rPr>
        <w:t>,</w:t>
      </w:r>
    </w:p>
    <w:p w14:paraId="4323A917" w14:textId="2C4667E1"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Nákup průmyslového sušiče prádla pro Domov Pod Lipami Smečno ve výši 175 950,00 Kč</w:t>
      </w:r>
      <w:r w:rsidR="00F912F4">
        <w:rPr>
          <w:rFonts w:asciiTheme="minorHAnsi" w:hAnsiTheme="minorHAnsi" w:cstheme="minorHAnsi"/>
          <w:sz w:val="22"/>
          <w:szCs w:val="22"/>
        </w:rPr>
        <w:t>,</w:t>
      </w:r>
    </w:p>
    <w:p w14:paraId="4A1AB3DB" w14:textId="240BF277"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Rekonstrukce elektrorozvodů pro Domov Vraný ve výši 325 473,00 Kč</w:t>
      </w:r>
      <w:r w:rsidR="00F912F4">
        <w:rPr>
          <w:rFonts w:asciiTheme="minorHAnsi" w:hAnsiTheme="minorHAnsi" w:cstheme="minorHAnsi"/>
          <w:sz w:val="22"/>
          <w:szCs w:val="22"/>
        </w:rPr>
        <w:t>,</w:t>
      </w:r>
    </w:p>
    <w:p w14:paraId="7D72A847" w14:textId="79617CE5"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Oprava Vodovodu pro Domov Na Zámku Lysá nad Labem ve výši 226 832,00 Kč</w:t>
      </w:r>
      <w:r w:rsidR="00F912F4">
        <w:rPr>
          <w:rFonts w:asciiTheme="minorHAnsi" w:hAnsiTheme="minorHAnsi" w:cstheme="minorHAnsi"/>
          <w:sz w:val="22"/>
          <w:szCs w:val="22"/>
        </w:rPr>
        <w:t>,</w:t>
      </w:r>
    </w:p>
    <w:p w14:paraId="32AEB630" w14:textId="2C0149D7"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Nákup elektrického vařidla pro Domov Hačka ve výši 64 849,95 Kč</w:t>
      </w:r>
      <w:r w:rsidR="00F912F4">
        <w:rPr>
          <w:rFonts w:asciiTheme="minorHAnsi" w:hAnsiTheme="minorHAnsi" w:cstheme="minorHAnsi"/>
          <w:sz w:val="22"/>
          <w:szCs w:val="22"/>
        </w:rPr>
        <w:t>,</w:t>
      </w:r>
    </w:p>
    <w:p w14:paraId="739015CB" w14:textId="11027C70"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 xml:space="preserve">Nákup průmyslové, profesionální vysokootáčkové pračky a </w:t>
      </w:r>
      <w:r w:rsidR="006405E9" w:rsidRPr="00835DCA">
        <w:rPr>
          <w:rFonts w:asciiTheme="minorHAnsi" w:hAnsiTheme="minorHAnsi" w:cstheme="minorHAnsi"/>
          <w:sz w:val="22"/>
          <w:szCs w:val="22"/>
        </w:rPr>
        <w:t>profesionálního</w:t>
      </w:r>
      <w:r w:rsidRPr="00835DCA">
        <w:rPr>
          <w:rFonts w:asciiTheme="minorHAnsi" w:hAnsiTheme="minorHAnsi" w:cstheme="minorHAnsi"/>
          <w:sz w:val="22"/>
          <w:szCs w:val="22"/>
        </w:rPr>
        <w:t xml:space="preserve"> sušiče prádla pro Domov Hačka ve výši 223 100,00 Kč</w:t>
      </w:r>
      <w:r w:rsidR="00F912F4">
        <w:rPr>
          <w:rFonts w:asciiTheme="minorHAnsi" w:hAnsiTheme="minorHAnsi" w:cstheme="minorHAnsi"/>
          <w:sz w:val="22"/>
          <w:szCs w:val="22"/>
        </w:rPr>
        <w:t>,</w:t>
      </w:r>
    </w:p>
    <w:p w14:paraId="79A0FC16" w14:textId="1E713C75"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Revitalizace chodníků pro Domov Na Zátiší Rakovník ve výši 118 428,75 Kč</w:t>
      </w:r>
      <w:r w:rsidR="00F912F4">
        <w:rPr>
          <w:rFonts w:asciiTheme="minorHAnsi" w:hAnsiTheme="minorHAnsi" w:cstheme="minorHAnsi"/>
          <w:sz w:val="22"/>
          <w:szCs w:val="22"/>
        </w:rPr>
        <w:t>,</w:t>
      </w:r>
    </w:p>
    <w:p w14:paraId="2FF3D533" w14:textId="7929056E"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Oprava fasády pro Domov seniorů Vojkov ve výši 902 442,00 Kč</w:t>
      </w:r>
      <w:r w:rsidR="00F912F4">
        <w:rPr>
          <w:rFonts w:asciiTheme="minorHAnsi" w:hAnsiTheme="minorHAnsi" w:cstheme="minorHAnsi"/>
          <w:sz w:val="22"/>
          <w:szCs w:val="22"/>
        </w:rPr>
        <w:t>,</w:t>
      </w:r>
    </w:p>
    <w:p w14:paraId="3846CD16" w14:textId="35C23E41"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Nákup elektrického sprchovacího lůžka - 2 ks pro Domov ve Vlašimi ve výši 345 084,00 Kč</w:t>
      </w:r>
      <w:r w:rsidR="00F912F4">
        <w:rPr>
          <w:rFonts w:asciiTheme="minorHAnsi" w:hAnsiTheme="minorHAnsi" w:cstheme="minorHAnsi"/>
          <w:sz w:val="22"/>
          <w:szCs w:val="22"/>
        </w:rPr>
        <w:t>,</w:t>
      </w:r>
    </w:p>
    <w:p w14:paraId="0F368A61" w14:textId="77DB0FAA"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Rekonstrukce cest v parku pro Domov Vraný ve výši 760 000,00 Kč</w:t>
      </w:r>
      <w:r w:rsidR="00F912F4">
        <w:rPr>
          <w:rFonts w:asciiTheme="minorHAnsi" w:hAnsiTheme="minorHAnsi" w:cstheme="minorHAnsi"/>
          <w:sz w:val="22"/>
          <w:szCs w:val="22"/>
        </w:rPr>
        <w:t>,</w:t>
      </w:r>
    </w:p>
    <w:p w14:paraId="3A67665B" w14:textId="29F4D49C"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Výmalba objektů Zámku a Kláštera pro Domov Rožďalovice ve výši 1 223 661,00 Kč</w:t>
      </w:r>
      <w:r w:rsidR="00F912F4">
        <w:rPr>
          <w:rFonts w:asciiTheme="minorHAnsi" w:hAnsiTheme="minorHAnsi" w:cstheme="minorHAnsi"/>
          <w:sz w:val="22"/>
          <w:szCs w:val="22"/>
        </w:rPr>
        <w:t>,</w:t>
      </w:r>
    </w:p>
    <w:p w14:paraId="2BCE96F6" w14:textId="308D3539"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Výměna ventilů na rozvodech ÚT pro ZELENÁ LÍPA HOSTIVICE ve výši 321 908,00 Kč</w:t>
      </w:r>
      <w:r w:rsidR="00F912F4">
        <w:rPr>
          <w:rFonts w:asciiTheme="minorHAnsi" w:hAnsiTheme="minorHAnsi" w:cstheme="minorHAnsi"/>
          <w:sz w:val="22"/>
          <w:szCs w:val="22"/>
        </w:rPr>
        <w:t>,</w:t>
      </w:r>
    </w:p>
    <w:p w14:paraId="2F823668" w14:textId="343F894D"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Bio - optimalizovaná osvětlovací systém pro Domov seniorů TGM ve výši 5 988 083,09 Kč</w:t>
      </w:r>
      <w:r w:rsidR="00F912F4">
        <w:rPr>
          <w:rFonts w:asciiTheme="minorHAnsi" w:hAnsiTheme="minorHAnsi" w:cstheme="minorHAnsi"/>
          <w:sz w:val="22"/>
          <w:szCs w:val="22"/>
        </w:rPr>
        <w:t>,</w:t>
      </w:r>
    </w:p>
    <w:p w14:paraId="316E01DC" w14:textId="04830E4B"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Nákup klientských zvedáků - 4 ks pro Domov U Anežky ve výši 686 481,00 Kč</w:t>
      </w:r>
      <w:r w:rsidR="00F912F4">
        <w:rPr>
          <w:rFonts w:asciiTheme="minorHAnsi" w:hAnsiTheme="minorHAnsi" w:cstheme="minorHAnsi"/>
          <w:sz w:val="22"/>
          <w:szCs w:val="22"/>
        </w:rPr>
        <w:t>,</w:t>
      </w:r>
    </w:p>
    <w:p w14:paraId="644A12BC" w14:textId="32C7F304"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Stavba parkoviště pro klienty a zaměstnance pro Domov seniorů Nové Strašecí ve výši 642 986,62 Kč</w:t>
      </w:r>
      <w:r w:rsidR="00F912F4">
        <w:rPr>
          <w:rFonts w:asciiTheme="minorHAnsi" w:hAnsiTheme="minorHAnsi" w:cstheme="minorHAnsi"/>
          <w:sz w:val="22"/>
          <w:szCs w:val="22"/>
        </w:rPr>
        <w:t>,</w:t>
      </w:r>
    </w:p>
    <w:p w14:paraId="08BDB0E2" w14:textId="3BC2BAE4"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Dodávka materiálu, technického zabezpečení a stavebních prací nutných pro vybudování EPS pro Domov seniorů Nové Strašecí ve výši 745 346,05 Kč</w:t>
      </w:r>
      <w:r w:rsidR="00F912F4">
        <w:rPr>
          <w:rFonts w:asciiTheme="minorHAnsi" w:hAnsiTheme="minorHAnsi" w:cstheme="minorHAnsi"/>
          <w:sz w:val="22"/>
          <w:szCs w:val="22"/>
        </w:rPr>
        <w:t>,</w:t>
      </w:r>
    </w:p>
    <w:p w14:paraId="703787DE" w14:textId="38889FE2"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Nákup zametacího kartáče + sběracího boxu pro Domov Hačka ve výši 40 131,00 Kč</w:t>
      </w:r>
      <w:r w:rsidR="00F912F4">
        <w:rPr>
          <w:rFonts w:asciiTheme="minorHAnsi" w:hAnsiTheme="minorHAnsi" w:cstheme="minorHAnsi"/>
          <w:sz w:val="22"/>
          <w:szCs w:val="22"/>
        </w:rPr>
        <w:t>,</w:t>
      </w:r>
    </w:p>
    <w:p w14:paraId="1D645194" w14:textId="6C6A7FE2"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Nákup konvektomatu pro Domov Velvary ve výši 288 190,06 Kč</w:t>
      </w:r>
      <w:r w:rsidR="00F912F4">
        <w:rPr>
          <w:rFonts w:asciiTheme="minorHAnsi" w:hAnsiTheme="minorHAnsi" w:cstheme="minorHAnsi"/>
          <w:sz w:val="22"/>
          <w:szCs w:val="22"/>
        </w:rPr>
        <w:t>,</w:t>
      </w:r>
    </w:p>
    <w:p w14:paraId="2C9A4D0B" w14:textId="4CB8F8B0"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Oprava hlavní vodovodní přípojky - zemní práce pro Domov Unhošť ve výši 178 250,00 Kč</w:t>
      </w:r>
      <w:r w:rsidR="00F912F4">
        <w:rPr>
          <w:rFonts w:asciiTheme="minorHAnsi" w:hAnsiTheme="minorHAnsi" w:cstheme="minorHAnsi"/>
          <w:sz w:val="22"/>
          <w:szCs w:val="22"/>
        </w:rPr>
        <w:t>,</w:t>
      </w:r>
    </w:p>
    <w:p w14:paraId="368A7444" w14:textId="6F294DE1"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Nákup elektrických polohovacích lůžek-10 ks a nákup matrací-5 ks pro Domov ve Vlašimi ve výši 262 550,98 Kč</w:t>
      </w:r>
      <w:r w:rsidR="00F912F4">
        <w:rPr>
          <w:rFonts w:asciiTheme="minorHAnsi" w:hAnsiTheme="minorHAnsi" w:cstheme="minorHAnsi"/>
          <w:sz w:val="22"/>
          <w:szCs w:val="22"/>
        </w:rPr>
        <w:t>,</w:t>
      </w:r>
    </w:p>
    <w:p w14:paraId="789B234D" w14:textId="1E9D97B1"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Nákup profesionálního bateriového podlahového mycího stroje s odsáváním pro Domov Sedlčany ve výši 198 175,00 Kč</w:t>
      </w:r>
      <w:r w:rsidR="00F912F4">
        <w:rPr>
          <w:rFonts w:asciiTheme="minorHAnsi" w:hAnsiTheme="minorHAnsi" w:cstheme="minorHAnsi"/>
          <w:sz w:val="22"/>
          <w:szCs w:val="22"/>
        </w:rPr>
        <w:t>,</w:t>
      </w:r>
    </w:p>
    <w:p w14:paraId="72A62F90" w14:textId="1ED12AF5"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Rekonstrukce teras a balkónů přiléhajícím k pokojům klientů pro ZELENÁ LÍPA HOSTIVICE pro 2 165 243,84 Kč</w:t>
      </w:r>
      <w:r w:rsidR="00F912F4">
        <w:rPr>
          <w:rFonts w:asciiTheme="minorHAnsi" w:hAnsiTheme="minorHAnsi" w:cstheme="minorHAnsi"/>
          <w:sz w:val="22"/>
          <w:szCs w:val="22"/>
        </w:rPr>
        <w:t>,</w:t>
      </w:r>
    </w:p>
    <w:p w14:paraId="6C7BAB69" w14:textId="0CBFD782"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Výměna radiátorových ventilů a termostatických hlavic na topných tělesech pro Domov Barbora Kutná Hora ve výši 118 941,10 Kč</w:t>
      </w:r>
      <w:r w:rsidR="00F912F4">
        <w:rPr>
          <w:rFonts w:asciiTheme="minorHAnsi" w:hAnsiTheme="minorHAnsi" w:cstheme="minorHAnsi"/>
          <w:sz w:val="22"/>
          <w:szCs w:val="22"/>
        </w:rPr>
        <w:t>,</w:t>
      </w:r>
    </w:p>
    <w:p w14:paraId="5F6BBDF9" w14:textId="36BB5B63"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Výměna uzavíracích armatur pro jednotlivé stoupačky, včetně ležatého potrubí pro Domov seniorů Jankov ve výši 52 253,70 Kč</w:t>
      </w:r>
      <w:r w:rsidR="00F912F4">
        <w:rPr>
          <w:rFonts w:asciiTheme="minorHAnsi" w:hAnsiTheme="minorHAnsi" w:cstheme="minorHAnsi"/>
          <w:sz w:val="22"/>
          <w:szCs w:val="22"/>
        </w:rPr>
        <w:t>,</w:t>
      </w:r>
    </w:p>
    <w:p w14:paraId="4363E9C6" w14:textId="4CADB18B"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Oprava vnější izolace budovy pro Domov Unhošť ve výši 290 921,25 Kč</w:t>
      </w:r>
      <w:r w:rsidR="00F912F4">
        <w:rPr>
          <w:rFonts w:asciiTheme="minorHAnsi" w:hAnsiTheme="minorHAnsi" w:cstheme="minorHAnsi"/>
          <w:sz w:val="22"/>
          <w:szCs w:val="22"/>
        </w:rPr>
        <w:t>,</w:t>
      </w:r>
    </w:p>
    <w:p w14:paraId="6B0C357B" w14:textId="3E80ED66"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Zednické opravy suterénu a plynových kotelen pro Domov Kladno – Švermov ve výši 895 367,00 Kč</w:t>
      </w:r>
      <w:r w:rsidR="00F912F4">
        <w:rPr>
          <w:rFonts w:asciiTheme="minorHAnsi" w:hAnsiTheme="minorHAnsi" w:cstheme="minorHAnsi"/>
          <w:sz w:val="22"/>
          <w:szCs w:val="22"/>
        </w:rPr>
        <w:t>,</w:t>
      </w:r>
    </w:p>
    <w:p w14:paraId="4E6CA6BE" w14:textId="73203BF7"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Zabezpečení vstupu do jímky pro Červený Mlýn Všestudy ve výši 59 653,00 Kč</w:t>
      </w:r>
      <w:r w:rsidR="00F912F4">
        <w:rPr>
          <w:rFonts w:asciiTheme="minorHAnsi" w:hAnsiTheme="minorHAnsi" w:cstheme="minorHAnsi"/>
          <w:sz w:val="22"/>
          <w:szCs w:val="22"/>
        </w:rPr>
        <w:t>,</w:t>
      </w:r>
    </w:p>
    <w:p w14:paraId="3945B8FD" w14:textId="36A971BC"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Nákup osobního automobilu pro přepravu osob s bezpečnostní oddělovací přepážkou pro Centrum 83 ve výši 583 897,00 Kč</w:t>
      </w:r>
      <w:r w:rsidR="00F912F4">
        <w:rPr>
          <w:rFonts w:asciiTheme="minorHAnsi" w:hAnsiTheme="minorHAnsi" w:cstheme="minorHAnsi"/>
          <w:sz w:val="22"/>
          <w:szCs w:val="22"/>
        </w:rPr>
        <w:t>,</w:t>
      </w:r>
    </w:p>
    <w:p w14:paraId="42D6A650" w14:textId="1D7D0EA5"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Poplachová zabezpečovací a tísňová signalizace pro Domov Barbora Kutná Hora ve výši 222 975,80 Kč</w:t>
      </w:r>
      <w:r w:rsidR="00F912F4">
        <w:rPr>
          <w:rFonts w:asciiTheme="minorHAnsi" w:hAnsiTheme="minorHAnsi" w:cstheme="minorHAnsi"/>
          <w:sz w:val="22"/>
          <w:szCs w:val="22"/>
        </w:rPr>
        <w:t>,</w:t>
      </w:r>
    </w:p>
    <w:p w14:paraId="3FB73430" w14:textId="61A77F25"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Havarijní stav sociálních zařízení v DOZP a DS pro Domov Na Hrádku ve výši 652 958,60 Kč</w:t>
      </w:r>
      <w:r w:rsidR="00F912F4">
        <w:rPr>
          <w:rFonts w:asciiTheme="minorHAnsi" w:hAnsiTheme="minorHAnsi" w:cstheme="minorHAnsi"/>
          <w:sz w:val="22"/>
          <w:szCs w:val="22"/>
        </w:rPr>
        <w:t>,</w:t>
      </w:r>
    </w:p>
    <w:p w14:paraId="7259E934" w14:textId="71C598E9"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Zastřešení historická pavlače plachtou pro Červený Mlýn Všestudy ve výši 192 390,00 Kč</w:t>
      </w:r>
      <w:r w:rsidR="00F912F4">
        <w:rPr>
          <w:rFonts w:asciiTheme="minorHAnsi" w:hAnsiTheme="minorHAnsi" w:cstheme="minorHAnsi"/>
          <w:sz w:val="22"/>
          <w:szCs w:val="22"/>
        </w:rPr>
        <w:t>,</w:t>
      </w:r>
    </w:p>
    <w:p w14:paraId="7E5472F0" w14:textId="4488271E"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Nákup velkokapacitní chladničky pro Domov Hačka ve výši 53 355,00 Kč</w:t>
      </w:r>
      <w:r w:rsidR="00F912F4">
        <w:rPr>
          <w:rFonts w:asciiTheme="minorHAnsi" w:hAnsiTheme="minorHAnsi" w:cstheme="minorHAnsi"/>
          <w:sz w:val="22"/>
          <w:szCs w:val="22"/>
        </w:rPr>
        <w:t>,</w:t>
      </w:r>
    </w:p>
    <w:p w14:paraId="08CA558E" w14:textId="36518922"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Oprava solárního systému pro Domov seniorů TGM ve výši 481 507,00 Kč</w:t>
      </w:r>
      <w:r w:rsidR="00F912F4">
        <w:rPr>
          <w:rFonts w:asciiTheme="minorHAnsi" w:hAnsiTheme="minorHAnsi" w:cstheme="minorHAnsi"/>
          <w:sz w:val="22"/>
          <w:szCs w:val="22"/>
        </w:rPr>
        <w:t>,</w:t>
      </w:r>
    </w:p>
    <w:p w14:paraId="5540DF82" w14:textId="7106B205"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Dobudování stávající EPS pro Domov Buda ve výši 94 722,00 Kč</w:t>
      </w:r>
      <w:r w:rsidR="00F912F4">
        <w:rPr>
          <w:rFonts w:asciiTheme="minorHAnsi" w:hAnsiTheme="minorHAnsi" w:cstheme="minorHAnsi"/>
          <w:sz w:val="22"/>
          <w:szCs w:val="22"/>
        </w:rPr>
        <w:t>,</w:t>
      </w:r>
    </w:p>
    <w:p w14:paraId="34CB5D89" w14:textId="28E84D66"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Nákup 2</w:t>
      </w:r>
      <w:r w:rsidR="000951D6">
        <w:rPr>
          <w:rFonts w:asciiTheme="minorHAnsi" w:hAnsiTheme="minorHAnsi" w:cstheme="minorHAnsi"/>
          <w:sz w:val="22"/>
          <w:szCs w:val="22"/>
        </w:rPr>
        <w:t xml:space="preserve"> </w:t>
      </w:r>
      <w:r w:rsidRPr="00835DCA">
        <w:rPr>
          <w:rFonts w:asciiTheme="minorHAnsi" w:hAnsiTheme="minorHAnsi" w:cstheme="minorHAnsi"/>
          <w:sz w:val="22"/>
          <w:szCs w:val="22"/>
        </w:rPr>
        <w:t>ks sprchovacího systému k lůžku pro Domov Sedlčany ve výši 425 973,24 Kč</w:t>
      </w:r>
      <w:r w:rsidR="00F912F4">
        <w:rPr>
          <w:rFonts w:asciiTheme="minorHAnsi" w:hAnsiTheme="minorHAnsi" w:cstheme="minorHAnsi"/>
          <w:sz w:val="22"/>
          <w:szCs w:val="22"/>
        </w:rPr>
        <w:t>,</w:t>
      </w:r>
    </w:p>
    <w:p w14:paraId="78D02C67" w14:textId="72EE04F6"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Výměna dvojích vstupních dveří pro Zařízení sociální intervence ve výši 176 377,00 Kč</w:t>
      </w:r>
      <w:r w:rsidR="00F912F4">
        <w:rPr>
          <w:rFonts w:asciiTheme="minorHAnsi" w:hAnsiTheme="minorHAnsi" w:cstheme="minorHAnsi"/>
          <w:sz w:val="22"/>
          <w:szCs w:val="22"/>
        </w:rPr>
        <w:t>,</w:t>
      </w:r>
    </w:p>
    <w:p w14:paraId="6544713D" w14:textId="30415970"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Oprava hromosvodu pro budovu Zámku Domov Rožďalovice ve výši 294 275,80 Kč</w:t>
      </w:r>
      <w:r w:rsidR="00F912F4">
        <w:rPr>
          <w:rFonts w:asciiTheme="minorHAnsi" w:hAnsiTheme="minorHAnsi" w:cstheme="minorHAnsi"/>
          <w:sz w:val="22"/>
          <w:szCs w:val="22"/>
        </w:rPr>
        <w:t>,</w:t>
      </w:r>
    </w:p>
    <w:p w14:paraId="0DB91AE3" w14:textId="5610F221"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Dodávka a montáž bezpečnostní přepážky do osobního automobilu pro Centrum 83 ve výši 52 325,00 Kč</w:t>
      </w:r>
      <w:r w:rsidR="00F912F4">
        <w:rPr>
          <w:rFonts w:asciiTheme="minorHAnsi" w:hAnsiTheme="minorHAnsi" w:cstheme="minorHAnsi"/>
          <w:sz w:val="22"/>
          <w:szCs w:val="22"/>
        </w:rPr>
        <w:t>,</w:t>
      </w:r>
    </w:p>
    <w:p w14:paraId="11493542" w14:textId="6325D106"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Doplnění vybavení Domova pro osoby s nízkofunkčním autismem pro Centrum 83 ve výši 123 763,31 Kč</w:t>
      </w:r>
      <w:r w:rsidR="00F912F4">
        <w:rPr>
          <w:rFonts w:asciiTheme="minorHAnsi" w:hAnsiTheme="minorHAnsi" w:cstheme="minorHAnsi"/>
          <w:sz w:val="22"/>
          <w:szCs w:val="22"/>
        </w:rPr>
        <w:t>,</w:t>
      </w:r>
    </w:p>
    <w:p w14:paraId="408CE0B2" w14:textId="3CD0C8BE"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Rekonstrukce nevyužívané společné koupelny pro Domov V Zahradách Zdice ve výši 146 533,00 Kč</w:t>
      </w:r>
      <w:r w:rsidR="00F912F4">
        <w:rPr>
          <w:rFonts w:asciiTheme="minorHAnsi" w:hAnsiTheme="minorHAnsi" w:cstheme="minorHAnsi"/>
          <w:sz w:val="22"/>
          <w:szCs w:val="22"/>
        </w:rPr>
        <w:t>,</w:t>
      </w:r>
    </w:p>
    <w:p w14:paraId="7794DD95" w14:textId="30B1FAA4"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Nákup požárního zabezpečovacího systému na CHB a DOZP pro Koniklec Suchomasty ve výši 118 882,00 Kč</w:t>
      </w:r>
      <w:r w:rsidR="00F912F4">
        <w:rPr>
          <w:rFonts w:asciiTheme="minorHAnsi" w:hAnsiTheme="minorHAnsi" w:cstheme="minorHAnsi"/>
          <w:sz w:val="22"/>
          <w:szCs w:val="22"/>
        </w:rPr>
        <w:t>,</w:t>
      </w:r>
    </w:p>
    <w:p w14:paraId="2505A3ED" w14:textId="36E92259"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Oprava chodby 5. odd. v Domově pro seniory pro Domov Pod Lipami Smečno ve výši 328 324,59 Kč</w:t>
      </w:r>
      <w:r w:rsidR="00F912F4">
        <w:rPr>
          <w:rFonts w:asciiTheme="minorHAnsi" w:hAnsiTheme="minorHAnsi" w:cstheme="minorHAnsi"/>
          <w:sz w:val="22"/>
          <w:szCs w:val="22"/>
        </w:rPr>
        <w:t>,</w:t>
      </w:r>
    </w:p>
    <w:p w14:paraId="646E8C3E" w14:textId="28D76FB9"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Výměna podlahových krytin v pokojích klientů v DOZP pro Domov Pod Lipami Smečno ve výši 676 927,95 Kč</w:t>
      </w:r>
      <w:r w:rsidR="00F912F4">
        <w:rPr>
          <w:rFonts w:asciiTheme="minorHAnsi" w:hAnsiTheme="minorHAnsi" w:cstheme="minorHAnsi"/>
          <w:sz w:val="22"/>
          <w:szCs w:val="22"/>
        </w:rPr>
        <w:t>,</w:t>
      </w:r>
    </w:p>
    <w:p w14:paraId="00071BDE" w14:textId="6BE5D94E"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Výměna podlahové krytiny v prostorách jídelny pro Domov Domino ve výši 71 920,40 Kč</w:t>
      </w:r>
      <w:r w:rsidR="00F912F4">
        <w:rPr>
          <w:rFonts w:asciiTheme="minorHAnsi" w:hAnsiTheme="minorHAnsi" w:cstheme="minorHAnsi"/>
          <w:sz w:val="22"/>
          <w:szCs w:val="22"/>
        </w:rPr>
        <w:t>,</w:t>
      </w:r>
    </w:p>
    <w:p w14:paraId="2BC4B1FF" w14:textId="6BCE8204"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Výměna sprchových koutů pro Domov Domino ve výši 172 040,00 Kč</w:t>
      </w:r>
      <w:r w:rsidR="00F912F4">
        <w:rPr>
          <w:rFonts w:asciiTheme="minorHAnsi" w:hAnsiTheme="minorHAnsi" w:cstheme="minorHAnsi"/>
          <w:sz w:val="22"/>
          <w:szCs w:val="22"/>
        </w:rPr>
        <w:t>,</w:t>
      </w:r>
    </w:p>
    <w:p w14:paraId="33ED4CC5" w14:textId="6C5EB6E1"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Dodání a instalace plynového varného kotle 80 L pro Domov U Anežky ve výši 96 753,00 Kč</w:t>
      </w:r>
      <w:r w:rsidR="00F912F4">
        <w:rPr>
          <w:rFonts w:asciiTheme="minorHAnsi" w:hAnsiTheme="minorHAnsi" w:cstheme="minorHAnsi"/>
          <w:sz w:val="22"/>
          <w:szCs w:val="22"/>
        </w:rPr>
        <w:t>,</w:t>
      </w:r>
    </w:p>
    <w:p w14:paraId="31A6ED78" w14:textId="089AD771"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Rekonstrukce IT infrastruktury a pořízení kamerového systému pro Domov Hostomice Zátor ve výši 2 656 788,00 Kč</w:t>
      </w:r>
      <w:r w:rsidR="00F912F4">
        <w:rPr>
          <w:rFonts w:asciiTheme="minorHAnsi" w:hAnsiTheme="minorHAnsi" w:cstheme="minorHAnsi"/>
          <w:sz w:val="22"/>
          <w:szCs w:val="22"/>
        </w:rPr>
        <w:t>,</w:t>
      </w:r>
    </w:p>
    <w:p w14:paraId="6BF0EE81" w14:textId="3747CDB6" w:rsidR="00894A5F" w:rsidRPr="00835DCA" w:rsidRDefault="00894A5F" w:rsidP="00894A5F">
      <w:pPr>
        <w:pStyle w:val="Odstavecseseznamem"/>
        <w:numPr>
          <w:ilvl w:val="0"/>
          <w:numId w:val="7"/>
        </w:numPr>
        <w:jc w:val="both"/>
        <w:rPr>
          <w:rFonts w:asciiTheme="minorHAnsi" w:hAnsiTheme="minorHAnsi" w:cstheme="minorHAnsi"/>
          <w:sz w:val="22"/>
          <w:szCs w:val="22"/>
        </w:rPr>
      </w:pPr>
      <w:r w:rsidRPr="00835DCA">
        <w:rPr>
          <w:rFonts w:asciiTheme="minorHAnsi" w:hAnsiTheme="minorHAnsi" w:cstheme="minorHAnsi"/>
          <w:sz w:val="22"/>
          <w:szCs w:val="22"/>
        </w:rPr>
        <w:t>Oprava stávajícího hromosvodu pro Červený Mlýn Všestudy ve výši 119 418,53 Kč</w:t>
      </w:r>
      <w:r w:rsidR="00F912F4">
        <w:rPr>
          <w:rFonts w:asciiTheme="minorHAnsi" w:hAnsiTheme="minorHAnsi" w:cstheme="minorHAnsi"/>
          <w:sz w:val="22"/>
          <w:szCs w:val="22"/>
        </w:rPr>
        <w:t>.</w:t>
      </w:r>
    </w:p>
    <w:p w14:paraId="14FAC9DF" w14:textId="77777777" w:rsidR="00894A5F" w:rsidRPr="00835DCA" w:rsidRDefault="00894A5F" w:rsidP="00894A5F">
      <w:pPr>
        <w:pStyle w:val="Odstavecseseznamem"/>
        <w:ind w:left="780"/>
        <w:jc w:val="both"/>
        <w:rPr>
          <w:rFonts w:asciiTheme="minorHAnsi" w:hAnsiTheme="minorHAnsi" w:cstheme="minorHAnsi"/>
          <w:sz w:val="22"/>
          <w:szCs w:val="22"/>
        </w:rPr>
      </w:pPr>
    </w:p>
    <w:bookmarkEnd w:id="58"/>
    <w:p w14:paraId="741F1EFD" w14:textId="77777777" w:rsidR="00894A5F" w:rsidRPr="00835DCA" w:rsidRDefault="00894A5F" w:rsidP="00894A5F">
      <w:pPr>
        <w:spacing w:after="0" w:line="240" w:lineRule="auto"/>
        <w:jc w:val="both"/>
        <w:rPr>
          <w:rFonts w:eastAsia="Calibri" w:cstheme="minorHAnsi"/>
          <w:b/>
        </w:rPr>
      </w:pPr>
    </w:p>
    <w:p w14:paraId="68F4CBD7" w14:textId="77777777" w:rsidR="00894A5F" w:rsidRPr="00835DCA" w:rsidRDefault="00894A5F" w:rsidP="00894A5F">
      <w:pPr>
        <w:spacing w:after="0" w:line="240" w:lineRule="auto"/>
        <w:jc w:val="both"/>
        <w:rPr>
          <w:rFonts w:eastAsia="Calibri" w:cstheme="minorHAnsi"/>
          <w:b/>
        </w:rPr>
      </w:pPr>
      <w:r w:rsidRPr="00835DCA">
        <w:rPr>
          <w:rFonts w:eastAsia="Calibri" w:cstheme="minorHAnsi"/>
          <w:b/>
        </w:rPr>
        <w:t>§ 4399 – Ostatní záležitosti sociálních věcí a politiky zaměstnanosti</w:t>
      </w:r>
    </w:p>
    <w:p w14:paraId="123CE1BB" w14:textId="77777777" w:rsidR="00894A5F" w:rsidRPr="00835DCA" w:rsidRDefault="00894A5F" w:rsidP="00894A5F">
      <w:pPr>
        <w:spacing w:after="0" w:line="240" w:lineRule="auto"/>
        <w:jc w:val="both"/>
        <w:rPr>
          <w:rFonts w:cstheme="minorHAnsi"/>
        </w:rPr>
      </w:pPr>
      <w:r w:rsidRPr="00835DCA">
        <w:rPr>
          <w:rFonts w:cstheme="minorHAnsi"/>
        </w:rPr>
        <w:t>Na základě usnesení č. 007-04/2021/ZK ze dne 22. 2. 2021, kterým bylo schváleno navýšení rozpočtu Středočeského kraje o prostředky ze sdílených daní a nevyčerpané prostředky z roku 2020, byly převedeny finanční prostředky ve výši 10 000 000,00 Kč do kapitálových výdajů na havárie a opravy a usnesením č. 007-06/2021/ZK ze dne 26. 4. 2021 (rozdělení zůstatku hospodaření SK z roku 2020) byly převedeny finanční prostředky ve výši 2 000 000,00 Kč určené na investiční příspěvky PO v oblasti sociálních věcí na dorovnání nekrytého fondu investic. Finanční prostředky nebyly čerpány. Čerpáno na 0,0 %.</w:t>
      </w:r>
    </w:p>
    <w:p w14:paraId="44AC889E" w14:textId="77777777" w:rsidR="00894A5F" w:rsidRPr="00835DCA" w:rsidRDefault="00894A5F" w:rsidP="00894A5F">
      <w:pPr>
        <w:spacing w:after="0" w:line="240" w:lineRule="auto"/>
        <w:jc w:val="both"/>
        <w:rPr>
          <w:rFonts w:cstheme="minorHAnsi"/>
          <w:b/>
          <w:u w:val="single"/>
        </w:rPr>
      </w:pPr>
    </w:p>
    <w:p w14:paraId="2A01EC64" w14:textId="77777777" w:rsidR="00894A5F" w:rsidRPr="00835DCA" w:rsidRDefault="00894A5F" w:rsidP="00894A5F">
      <w:pPr>
        <w:spacing w:after="0" w:line="240" w:lineRule="auto"/>
        <w:jc w:val="both"/>
        <w:rPr>
          <w:rFonts w:cstheme="minorHAnsi"/>
          <w:b/>
          <w:sz w:val="24"/>
          <w:szCs w:val="24"/>
          <w:u w:val="single"/>
        </w:rPr>
      </w:pPr>
      <w:r w:rsidRPr="00835DCA">
        <w:rPr>
          <w:rFonts w:cstheme="minorHAnsi"/>
          <w:b/>
          <w:sz w:val="24"/>
          <w:szCs w:val="24"/>
          <w:u w:val="single"/>
        </w:rPr>
        <w:t>Předfinancování a kofinancování projektů spolufinancovaných z EU/EHP a ostatní související výdaje s projekty EU/EHP</w:t>
      </w:r>
    </w:p>
    <w:p w14:paraId="26D68DC0" w14:textId="77777777" w:rsidR="00894A5F" w:rsidRPr="00835DCA" w:rsidRDefault="00894A5F" w:rsidP="00894A5F">
      <w:pPr>
        <w:spacing w:after="0" w:line="240" w:lineRule="auto"/>
        <w:jc w:val="both"/>
        <w:rPr>
          <w:rFonts w:cstheme="minorHAnsi"/>
        </w:rPr>
      </w:pPr>
    </w:p>
    <w:p w14:paraId="1008B4ED" w14:textId="77777777" w:rsidR="00894A5F" w:rsidRPr="00835DCA" w:rsidRDefault="00894A5F" w:rsidP="00894A5F">
      <w:pPr>
        <w:spacing w:after="0" w:line="240" w:lineRule="auto"/>
        <w:jc w:val="both"/>
        <w:rPr>
          <w:rFonts w:cstheme="minorHAnsi"/>
          <w:b/>
        </w:rPr>
      </w:pPr>
      <w:r w:rsidRPr="00835DCA">
        <w:rPr>
          <w:rFonts w:cstheme="minorHAnsi"/>
          <w:b/>
        </w:rPr>
        <w:t xml:space="preserve">OP Zaměstnanost </w:t>
      </w:r>
    </w:p>
    <w:p w14:paraId="3911A816" w14:textId="77777777" w:rsidR="00894A5F" w:rsidRPr="00835DCA" w:rsidRDefault="00894A5F" w:rsidP="00894A5F">
      <w:pPr>
        <w:spacing w:after="0" w:line="240" w:lineRule="auto"/>
        <w:jc w:val="both"/>
        <w:rPr>
          <w:rFonts w:cstheme="minorHAnsi"/>
        </w:rPr>
      </w:pPr>
      <w:r w:rsidRPr="00835DCA">
        <w:rPr>
          <w:rFonts w:cstheme="minorHAnsi"/>
        </w:rPr>
        <w:t>Jedná se o spolufinancování projektů v rámci Operačního programu Zaměstnanost v celkové výši 12 511 800,83 Kč u individuálních projektů Podpora vybraných druhů sociálních služeb ve Středočeském kraji III, Efektivita sítě sociálních služeb SK, Podpora zajištění dostupnosti a kvality sociálních služeb. Čerpáno na 79,4 %.</w:t>
      </w:r>
    </w:p>
    <w:p w14:paraId="756A3279" w14:textId="77777777" w:rsidR="00894A5F" w:rsidRPr="00835DCA" w:rsidRDefault="00894A5F" w:rsidP="00894A5F">
      <w:pPr>
        <w:spacing w:after="0" w:line="240" w:lineRule="auto"/>
        <w:jc w:val="both"/>
        <w:rPr>
          <w:rFonts w:cstheme="minorHAnsi"/>
          <w:b/>
        </w:rPr>
      </w:pPr>
    </w:p>
    <w:p w14:paraId="316119E1" w14:textId="7060C020" w:rsidR="00241D50" w:rsidRDefault="00894A5F" w:rsidP="00241D50">
      <w:pPr>
        <w:spacing w:after="0" w:line="240" w:lineRule="auto"/>
        <w:jc w:val="both"/>
        <w:rPr>
          <w:b/>
          <w:bCs/>
        </w:rPr>
      </w:pPr>
      <w:bookmarkStart w:id="59" w:name="_Hlk98928209"/>
      <w:r w:rsidRPr="00241D50">
        <w:rPr>
          <w:rFonts w:cstheme="minorHAnsi"/>
          <w:b/>
        </w:rPr>
        <w:t>IROP – ITI PMO</w:t>
      </w:r>
      <w:r w:rsidR="00241D50" w:rsidRPr="00241D50">
        <w:rPr>
          <w:rFonts w:cstheme="minorHAnsi"/>
          <w:b/>
        </w:rPr>
        <w:t xml:space="preserve"> </w:t>
      </w:r>
      <w:r w:rsidR="00241D50" w:rsidRPr="00241D50">
        <w:rPr>
          <w:b/>
          <w:bCs/>
        </w:rPr>
        <w:t>(</w:t>
      </w:r>
      <w:r w:rsidR="00241D50" w:rsidRPr="00241D50">
        <w:rPr>
          <w:color w:val="000000"/>
        </w:rPr>
        <w:t>Integrovan</w:t>
      </w:r>
      <w:r w:rsidR="00241D50">
        <w:rPr>
          <w:color w:val="000000"/>
        </w:rPr>
        <w:t>é</w:t>
      </w:r>
      <w:r w:rsidR="00241D50" w:rsidRPr="00241D50">
        <w:rPr>
          <w:color w:val="000000"/>
        </w:rPr>
        <w:t xml:space="preserve"> teritoriální investic</w:t>
      </w:r>
      <w:r w:rsidR="00241D50">
        <w:rPr>
          <w:color w:val="000000"/>
        </w:rPr>
        <w:t>e</w:t>
      </w:r>
      <w:r w:rsidR="00241D50" w:rsidRPr="00241D50">
        <w:rPr>
          <w:color w:val="000000"/>
        </w:rPr>
        <w:t xml:space="preserve"> Pražské metropolitní oblasti</w:t>
      </w:r>
      <w:r w:rsidR="00241D50" w:rsidRPr="00241D50">
        <w:rPr>
          <w:color w:val="000000"/>
          <w:shd w:val="clear" w:color="auto" w:fill="FFFFFF"/>
        </w:rPr>
        <w:t>)</w:t>
      </w:r>
    </w:p>
    <w:p w14:paraId="7A016F54" w14:textId="76ABA18A" w:rsidR="00894A5F" w:rsidRPr="00241D50" w:rsidRDefault="00894A5F" w:rsidP="00241D50">
      <w:pPr>
        <w:jc w:val="both"/>
        <w:rPr>
          <w:b/>
          <w:bCs/>
        </w:rPr>
      </w:pPr>
      <w:r w:rsidRPr="00835DCA">
        <w:rPr>
          <w:rFonts w:cstheme="minorHAnsi"/>
          <w:bCs/>
        </w:rPr>
        <w:t>Jedná se o odeslané finanční prostředky ve výši 9 980 382,12 Kč, které byly použity na projekt Domov pro osoby s nízkofunkčním autismem v Mladé Boleslavi. Čerpáno na 98,7 %</w:t>
      </w:r>
    </w:p>
    <w:p w14:paraId="2418F555" w14:textId="77777777" w:rsidR="00894A5F" w:rsidRPr="00835DCA" w:rsidRDefault="00894A5F" w:rsidP="00894A5F">
      <w:pPr>
        <w:spacing w:after="0" w:line="240" w:lineRule="auto"/>
        <w:jc w:val="both"/>
        <w:rPr>
          <w:rFonts w:cstheme="minorHAnsi"/>
          <w:b/>
          <w:u w:val="single"/>
        </w:rPr>
      </w:pPr>
    </w:p>
    <w:bookmarkEnd w:id="59"/>
    <w:p w14:paraId="6C88959E" w14:textId="77777777" w:rsidR="00894A5F" w:rsidRDefault="00894A5F" w:rsidP="00894A5F">
      <w:pPr>
        <w:spacing w:after="0" w:line="240" w:lineRule="auto"/>
        <w:jc w:val="both"/>
        <w:rPr>
          <w:rFonts w:cstheme="minorHAnsi"/>
          <w:b/>
          <w:sz w:val="24"/>
          <w:szCs w:val="24"/>
          <w:u w:val="single"/>
        </w:rPr>
      </w:pPr>
    </w:p>
    <w:p w14:paraId="4EE0C323" w14:textId="77777777" w:rsidR="00894A5F" w:rsidRDefault="00894A5F" w:rsidP="00894A5F">
      <w:pPr>
        <w:spacing w:after="0" w:line="240" w:lineRule="auto"/>
        <w:jc w:val="both"/>
        <w:rPr>
          <w:rFonts w:cstheme="minorHAnsi"/>
          <w:b/>
          <w:sz w:val="24"/>
          <w:szCs w:val="24"/>
          <w:u w:val="single"/>
        </w:rPr>
      </w:pPr>
    </w:p>
    <w:p w14:paraId="1FAAEF8E" w14:textId="77777777" w:rsidR="00894A5F" w:rsidRPr="00835DCA" w:rsidRDefault="00894A5F" w:rsidP="00894A5F">
      <w:pPr>
        <w:spacing w:after="0" w:line="240" w:lineRule="auto"/>
        <w:jc w:val="both"/>
        <w:rPr>
          <w:rFonts w:cstheme="minorHAnsi"/>
          <w:b/>
          <w:sz w:val="24"/>
          <w:szCs w:val="24"/>
          <w:u w:val="single"/>
        </w:rPr>
      </w:pPr>
      <w:r w:rsidRPr="00835DCA">
        <w:rPr>
          <w:rFonts w:cstheme="minorHAnsi"/>
          <w:b/>
          <w:sz w:val="24"/>
          <w:szCs w:val="24"/>
          <w:u w:val="single"/>
        </w:rPr>
        <w:t>Předfinancování a kofinancování projektů spolufinancovaných z národních zdrojů a ostatní související výdaje s projekty z národních zdrojů</w:t>
      </w:r>
    </w:p>
    <w:p w14:paraId="7BB4EC41" w14:textId="77777777" w:rsidR="00894A5F" w:rsidRPr="00835DCA" w:rsidRDefault="00894A5F" w:rsidP="00894A5F">
      <w:pPr>
        <w:spacing w:after="0" w:line="240" w:lineRule="auto"/>
        <w:jc w:val="both"/>
        <w:rPr>
          <w:rFonts w:cstheme="minorHAnsi"/>
          <w:bCs/>
        </w:rPr>
      </w:pPr>
    </w:p>
    <w:p w14:paraId="66D8795D" w14:textId="77777777" w:rsidR="00894A5F" w:rsidRPr="00835DCA" w:rsidRDefault="00894A5F" w:rsidP="00894A5F">
      <w:pPr>
        <w:spacing w:after="0" w:line="240" w:lineRule="auto"/>
        <w:jc w:val="both"/>
        <w:rPr>
          <w:rFonts w:cstheme="minorHAnsi"/>
          <w:b/>
        </w:rPr>
      </w:pPr>
      <w:r w:rsidRPr="00835DCA">
        <w:rPr>
          <w:rFonts w:cstheme="minorHAnsi"/>
          <w:b/>
        </w:rPr>
        <w:t>Vybavení poskytovatelů sociálních služeb pro přechod na vysílací standard DVB – T2</w:t>
      </w:r>
    </w:p>
    <w:p w14:paraId="19B4D973" w14:textId="77777777" w:rsidR="00894A5F" w:rsidRPr="00835DCA" w:rsidRDefault="00894A5F" w:rsidP="00894A5F">
      <w:pPr>
        <w:spacing w:after="0" w:line="240" w:lineRule="auto"/>
        <w:jc w:val="both"/>
        <w:rPr>
          <w:rFonts w:cstheme="minorHAnsi"/>
          <w:b/>
        </w:rPr>
      </w:pPr>
      <w:r w:rsidRPr="00835DCA">
        <w:rPr>
          <w:rFonts w:cstheme="minorHAnsi"/>
          <w:b/>
        </w:rPr>
        <w:t>§ 4350 – Domovy pro seniory</w:t>
      </w:r>
    </w:p>
    <w:p w14:paraId="4A06E37F" w14:textId="690002C6" w:rsidR="00894A5F" w:rsidRPr="00835DCA" w:rsidRDefault="00894A5F" w:rsidP="00894A5F">
      <w:pPr>
        <w:spacing w:after="0" w:line="240" w:lineRule="auto"/>
        <w:jc w:val="both"/>
        <w:rPr>
          <w:rFonts w:cstheme="minorHAnsi"/>
          <w:bCs/>
        </w:rPr>
      </w:pPr>
      <w:r w:rsidRPr="00835DCA">
        <w:rPr>
          <w:rFonts w:cstheme="minorHAnsi"/>
          <w:bCs/>
        </w:rPr>
        <w:t xml:space="preserve">Jedná se o finanční prostředky na projekt „Vybavení poskytovatelů sociálních služeb zařízeními pro přechod na vysílací standard DVB – T2“. Finanční prostředky ve výši 2 153 000,00 Kč byly převedeny usnesením č. 026-05/2021/RK ze dne 4. 2. 2021 - převod nevyčerpaných účelových finančních prostředků kapitoly 17 – Sociální věci z roku 2020 do rozpočtu roku 2021 </w:t>
      </w:r>
      <w:r w:rsidRPr="00835DCA">
        <w:rPr>
          <w:rFonts w:cstheme="minorHAnsi"/>
        </w:rPr>
        <w:t>(bylo zapojeno do zůstatku hospodaření SK z roku 2020 schváleného usnesením č. 007-06/2021/ZK ze dne 26. 04. 2021)</w:t>
      </w:r>
      <w:r w:rsidRPr="00835DCA">
        <w:rPr>
          <w:rFonts w:cstheme="minorHAnsi"/>
          <w:bCs/>
        </w:rPr>
        <w:t>. Finanční prostředky nebyly čerpány</w:t>
      </w:r>
      <w:r w:rsidR="00F912F4">
        <w:rPr>
          <w:rFonts w:cstheme="minorHAnsi"/>
          <w:bCs/>
        </w:rPr>
        <w:t>.</w:t>
      </w:r>
      <w:r w:rsidRPr="00835DCA">
        <w:rPr>
          <w:rFonts w:cstheme="minorHAnsi"/>
          <w:bCs/>
        </w:rPr>
        <w:t xml:space="preserve"> Čerpáno na 0,0 %. </w:t>
      </w:r>
    </w:p>
    <w:p w14:paraId="05526D5C" w14:textId="77777777" w:rsidR="00894A5F" w:rsidRPr="00835DCA" w:rsidRDefault="00894A5F" w:rsidP="00894A5F">
      <w:pPr>
        <w:spacing w:after="0" w:line="240" w:lineRule="auto"/>
        <w:jc w:val="both"/>
        <w:rPr>
          <w:rFonts w:cstheme="minorHAnsi"/>
          <w:bCs/>
        </w:rPr>
      </w:pPr>
    </w:p>
    <w:p w14:paraId="463A1D51" w14:textId="77777777" w:rsidR="00894A5F" w:rsidRPr="00835DCA" w:rsidRDefault="00894A5F" w:rsidP="00894A5F">
      <w:pPr>
        <w:spacing w:after="0" w:line="240" w:lineRule="auto"/>
        <w:jc w:val="both"/>
        <w:rPr>
          <w:rFonts w:cstheme="minorHAnsi"/>
          <w:b/>
        </w:rPr>
      </w:pPr>
      <w:r w:rsidRPr="00835DCA">
        <w:rPr>
          <w:rFonts w:cstheme="minorHAnsi"/>
          <w:b/>
        </w:rPr>
        <w:t>Výsadba stromů</w:t>
      </w:r>
    </w:p>
    <w:p w14:paraId="3E837D6C" w14:textId="77777777" w:rsidR="00894A5F" w:rsidRPr="00835DCA" w:rsidRDefault="00894A5F" w:rsidP="00894A5F">
      <w:pPr>
        <w:spacing w:after="0" w:line="240" w:lineRule="auto"/>
        <w:jc w:val="both"/>
        <w:rPr>
          <w:rFonts w:cstheme="minorHAnsi"/>
          <w:b/>
        </w:rPr>
      </w:pPr>
      <w:r w:rsidRPr="00835DCA">
        <w:rPr>
          <w:rFonts w:cstheme="minorHAnsi"/>
          <w:b/>
        </w:rPr>
        <w:t>§ 4350 – Domovy pro seniory</w:t>
      </w:r>
    </w:p>
    <w:p w14:paraId="556F7FA2" w14:textId="77777777" w:rsidR="00894A5F" w:rsidRPr="00835DCA" w:rsidRDefault="00894A5F" w:rsidP="00894A5F">
      <w:pPr>
        <w:spacing w:after="0" w:line="240" w:lineRule="auto"/>
        <w:jc w:val="both"/>
        <w:rPr>
          <w:rFonts w:cstheme="minorHAnsi"/>
          <w:b/>
        </w:rPr>
      </w:pPr>
      <w:r w:rsidRPr="00835DCA">
        <w:rPr>
          <w:rFonts w:cstheme="minorHAnsi"/>
          <w:b/>
        </w:rPr>
        <w:t>§ 4357 – Domovy pro osoby se zdravotním postižením a domovy se zvláštním režimem</w:t>
      </w:r>
    </w:p>
    <w:p w14:paraId="31805D2B" w14:textId="40775BCB" w:rsidR="00894A5F" w:rsidRPr="00835DCA" w:rsidRDefault="00894A5F" w:rsidP="00894A5F">
      <w:pPr>
        <w:spacing w:after="0" w:line="240" w:lineRule="auto"/>
        <w:jc w:val="both"/>
        <w:rPr>
          <w:rFonts w:cstheme="minorHAnsi"/>
          <w:bCs/>
        </w:rPr>
      </w:pPr>
      <w:r w:rsidRPr="00835DCA">
        <w:rPr>
          <w:rFonts w:cstheme="minorHAnsi"/>
          <w:bCs/>
        </w:rPr>
        <w:t>Jedná se o finanční prostředky v celkové výši 41 588,50 Kč, které byly určeny na výsadbu stromů. Finanční prostředky byly převeden usnesením č. 028-45/2021/RK ze dne 2.</w:t>
      </w:r>
      <w:r w:rsidR="00F912F4">
        <w:rPr>
          <w:rFonts w:cstheme="minorHAnsi"/>
          <w:bCs/>
        </w:rPr>
        <w:t xml:space="preserve"> </w:t>
      </w:r>
      <w:r w:rsidRPr="00835DCA">
        <w:rPr>
          <w:rFonts w:cstheme="minorHAnsi"/>
          <w:bCs/>
        </w:rPr>
        <w:t>12. 2021. Čerpáno 100,0 %.</w:t>
      </w:r>
    </w:p>
    <w:p w14:paraId="24830301" w14:textId="77777777" w:rsidR="00894A5F" w:rsidRPr="00835DCA" w:rsidRDefault="00894A5F" w:rsidP="00894A5F">
      <w:pPr>
        <w:spacing w:after="0" w:line="240" w:lineRule="auto"/>
        <w:jc w:val="both"/>
        <w:rPr>
          <w:rFonts w:cstheme="minorHAnsi"/>
          <w:b/>
        </w:rPr>
      </w:pPr>
    </w:p>
    <w:p w14:paraId="511702AC" w14:textId="77777777" w:rsidR="00894A5F" w:rsidRPr="00835DCA" w:rsidRDefault="00894A5F" w:rsidP="00894A5F">
      <w:pPr>
        <w:spacing w:after="0" w:line="240" w:lineRule="auto"/>
        <w:jc w:val="both"/>
        <w:rPr>
          <w:rFonts w:cstheme="minorHAnsi"/>
          <w:b/>
        </w:rPr>
      </w:pPr>
      <w:bookmarkStart w:id="60" w:name="_Hlk98928428"/>
      <w:r w:rsidRPr="00835DCA">
        <w:rPr>
          <w:rFonts w:cstheme="minorHAnsi"/>
          <w:b/>
        </w:rPr>
        <w:t>Druhá domácnost DOZP</w:t>
      </w:r>
    </w:p>
    <w:p w14:paraId="7ACE5AFF" w14:textId="77777777" w:rsidR="00894A5F" w:rsidRPr="00E85987" w:rsidRDefault="00894A5F" w:rsidP="00894A5F">
      <w:pPr>
        <w:spacing w:after="0" w:line="240" w:lineRule="auto"/>
        <w:jc w:val="both"/>
        <w:rPr>
          <w:rFonts w:cstheme="minorHAnsi"/>
          <w:b/>
        </w:rPr>
      </w:pPr>
      <w:r w:rsidRPr="00E85987">
        <w:rPr>
          <w:rFonts w:cstheme="minorHAnsi"/>
          <w:b/>
        </w:rPr>
        <w:t>§ 4357 – Domovy pro osoby se zdravotním postižením a domovy se zvláštním režimem</w:t>
      </w:r>
    </w:p>
    <w:p w14:paraId="5985D2A9" w14:textId="5FCE4785" w:rsidR="00894A5F" w:rsidRPr="00835DCA" w:rsidRDefault="00894A5F" w:rsidP="00894A5F">
      <w:pPr>
        <w:spacing w:after="0" w:line="240" w:lineRule="auto"/>
        <w:jc w:val="both"/>
        <w:rPr>
          <w:rFonts w:cstheme="minorHAnsi"/>
          <w:bCs/>
        </w:rPr>
      </w:pPr>
      <w:r w:rsidRPr="00E85987">
        <w:rPr>
          <w:rFonts w:eastAsia="Calibri" w:cstheme="minorHAnsi"/>
        </w:rPr>
        <w:t>Usnesením č. 005-20/2021/RK ze dne 6. 5. 2021 byly převedeny finanční prostředky ve výši 5 897 200,00 Kč z kapitoly 23 – Ostatní, z prostředků na předfinancování a kofinancování projektů spolufinancovaných z</w:t>
      </w:r>
      <w:r w:rsidR="00F912F4" w:rsidRPr="00E85987">
        <w:rPr>
          <w:rFonts w:eastAsia="Calibri" w:cstheme="minorHAnsi"/>
        </w:rPr>
        <w:t> národních zdrojů</w:t>
      </w:r>
      <w:r w:rsidR="00E85987" w:rsidRPr="00E85987">
        <w:rPr>
          <w:rFonts w:eastAsia="Calibri" w:cstheme="minorHAnsi"/>
        </w:rPr>
        <w:t xml:space="preserve"> </w:t>
      </w:r>
      <w:r w:rsidR="00E85987" w:rsidRPr="00E85987">
        <w:t>a ostatních souvisejících výdajů s projekty z národních zdrojů</w:t>
      </w:r>
      <w:r w:rsidRPr="00E85987">
        <w:rPr>
          <w:rFonts w:eastAsia="Calibri" w:cstheme="minorHAnsi"/>
        </w:rPr>
        <w:t xml:space="preserve">, na </w:t>
      </w:r>
      <w:r w:rsidRPr="00E85987">
        <w:rPr>
          <w:rFonts w:cstheme="minorHAnsi"/>
          <w:bCs/>
        </w:rPr>
        <w:t>projekt „Druhá domácnost DOZP (Centrum 83)“ v rámci</w:t>
      </w:r>
      <w:r w:rsidRPr="00835DCA">
        <w:rPr>
          <w:rFonts w:cstheme="minorHAnsi"/>
          <w:bCs/>
        </w:rPr>
        <w:t xml:space="preserve"> programu MPSV ČR Rozvoj a obnova materiálně technické základny soc</w:t>
      </w:r>
      <w:r w:rsidR="00F912F4">
        <w:rPr>
          <w:rFonts w:cstheme="minorHAnsi"/>
          <w:bCs/>
        </w:rPr>
        <w:t>iálních</w:t>
      </w:r>
      <w:r w:rsidRPr="00835DCA">
        <w:rPr>
          <w:rFonts w:cstheme="minorHAnsi"/>
          <w:bCs/>
        </w:rPr>
        <w:t xml:space="preserve"> služeb. Z celkové částky bylo čerpáno 385 990,00 Kč.  Čerpáno na 6,5 %. </w:t>
      </w:r>
    </w:p>
    <w:bookmarkEnd w:id="60"/>
    <w:p w14:paraId="7DEF7821" w14:textId="77777777" w:rsidR="00894A5F" w:rsidRPr="00835DCA" w:rsidRDefault="00894A5F" w:rsidP="00894A5F">
      <w:pPr>
        <w:spacing w:after="0" w:line="240" w:lineRule="auto"/>
        <w:jc w:val="both"/>
        <w:rPr>
          <w:rFonts w:cstheme="minorHAnsi"/>
          <w:b/>
        </w:rPr>
      </w:pPr>
    </w:p>
    <w:p w14:paraId="66E088EA" w14:textId="77777777" w:rsidR="00894A5F" w:rsidRPr="00835DCA" w:rsidRDefault="00894A5F" w:rsidP="00894A5F">
      <w:pPr>
        <w:spacing w:after="0" w:line="240" w:lineRule="auto"/>
        <w:jc w:val="both"/>
        <w:rPr>
          <w:rFonts w:cstheme="minorHAnsi"/>
          <w:sz w:val="24"/>
          <w:szCs w:val="24"/>
        </w:rPr>
      </w:pPr>
      <w:r w:rsidRPr="00835DCA">
        <w:rPr>
          <w:rFonts w:cstheme="minorHAnsi"/>
          <w:b/>
          <w:sz w:val="24"/>
          <w:szCs w:val="24"/>
          <w:u w:val="single"/>
        </w:rPr>
        <w:t>Dotace ze státního rozpočtu a ostatních veřejných rozpočtů</w:t>
      </w:r>
      <w:r w:rsidRPr="00835DCA">
        <w:rPr>
          <w:rFonts w:cstheme="minorHAnsi"/>
          <w:sz w:val="24"/>
          <w:szCs w:val="24"/>
        </w:rPr>
        <w:tab/>
      </w:r>
    </w:p>
    <w:p w14:paraId="4EF16DD2" w14:textId="77777777" w:rsidR="00894A5F" w:rsidRPr="00835DCA" w:rsidRDefault="00894A5F" w:rsidP="00894A5F">
      <w:pPr>
        <w:spacing w:after="0" w:line="240" w:lineRule="auto"/>
        <w:jc w:val="both"/>
        <w:rPr>
          <w:rFonts w:cstheme="minorHAnsi"/>
        </w:rPr>
      </w:pPr>
    </w:p>
    <w:p w14:paraId="1F0EF1F3" w14:textId="77777777" w:rsidR="00894A5F" w:rsidRPr="00835DCA" w:rsidRDefault="00894A5F" w:rsidP="00894A5F">
      <w:pPr>
        <w:spacing w:after="0" w:line="240" w:lineRule="auto"/>
        <w:jc w:val="both"/>
        <w:outlineLvl w:val="0"/>
        <w:rPr>
          <w:rFonts w:cstheme="minorHAnsi"/>
          <w:b/>
        </w:rPr>
      </w:pPr>
      <w:bookmarkStart w:id="61" w:name="_Hlk98928552"/>
      <w:r w:rsidRPr="00835DCA">
        <w:rPr>
          <w:rFonts w:cstheme="minorHAnsi"/>
          <w:b/>
        </w:rPr>
        <w:t>Neinvestiční nedávkové transfery podle zákona č. 108/2006 Sb., o sociálních službách (ÚZ 13305)</w:t>
      </w:r>
    </w:p>
    <w:p w14:paraId="1B64B6E5" w14:textId="10C1895A" w:rsidR="00894A5F" w:rsidRPr="00E85987" w:rsidRDefault="00894A5F" w:rsidP="00894A5F">
      <w:pPr>
        <w:spacing w:after="0" w:line="240" w:lineRule="auto"/>
        <w:jc w:val="both"/>
        <w:outlineLvl w:val="0"/>
        <w:rPr>
          <w:rFonts w:cstheme="minorHAnsi"/>
        </w:rPr>
      </w:pPr>
      <w:r w:rsidRPr="00835DCA">
        <w:rPr>
          <w:rFonts w:cstheme="minorHAnsi"/>
        </w:rPr>
        <w:t xml:space="preserve">Jedná se o dotaci pro poskytovatele sociálních služeb dle zákona č. 108/2006 Sb., o sociálních službách, ve znění pozdějších </w:t>
      </w:r>
      <w:r w:rsidRPr="00E85987">
        <w:rPr>
          <w:rFonts w:cstheme="minorHAnsi"/>
        </w:rPr>
        <w:t>předpisů</w:t>
      </w:r>
      <w:r w:rsidR="00E85987" w:rsidRPr="00E85987">
        <w:t xml:space="preserve"> na zajištění pomoci a podpory osobám za účelem sociálního začlenění nebo prevenci sociálního vyloučení</w:t>
      </w:r>
      <w:r w:rsidRPr="00E85987">
        <w:rPr>
          <w:rFonts w:cstheme="minorHAnsi"/>
        </w:rPr>
        <w:t>. Z celkového přiděleného objemu dotace 2 283 451 602,00 Kč bylo čerpáno 2 282 243 100,00 Kč. Čerpáno v rámci 1. a 2. splátky dotačního řízení 2021, Mimořádného kola dotačního řízení (A), (B) a Dofinancování. Čerpáno 99,9 %.</w:t>
      </w:r>
    </w:p>
    <w:bookmarkEnd w:id="61"/>
    <w:p w14:paraId="01C92AD7" w14:textId="77777777" w:rsidR="00894A5F" w:rsidRPr="00E85987" w:rsidRDefault="00894A5F" w:rsidP="00894A5F">
      <w:pPr>
        <w:spacing w:after="0" w:line="240" w:lineRule="auto"/>
        <w:jc w:val="both"/>
        <w:rPr>
          <w:rFonts w:cstheme="minorHAnsi"/>
          <w:b/>
        </w:rPr>
      </w:pPr>
    </w:p>
    <w:p w14:paraId="1D7D1DB3" w14:textId="77777777" w:rsidR="00894A5F" w:rsidRPr="00835DCA" w:rsidRDefault="00894A5F" w:rsidP="00894A5F">
      <w:pPr>
        <w:spacing w:after="0" w:line="240" w:lineRule="auto"/>
        <w:jc w:val="both"/>
        <w:rPr>
          <w:rFonts w:cstheme="minorHAnsi"/>
          <w:b/>
        </w:rPr>
      </w:pPr>
      <w:r w:rsidRPr="00835DCA">
        <w:rPr>
          <w:rFonts w:cstheme="minorHAnsi"/>
          <w:b/>
        </w:rPr>
        <w:t>§ 4324 – Státní příspěvek zřizovatelům zařízení pro děti vyžadující okamžitou pomoc (ÚZ 13307)</w:t>
      </w:r>
    </w:p>
    <w:p w14:paraId="63E91A38" w14:textId="77777777" w:rsidR="00894A5F" w:rsidRPr="00835DCA" w:rsidRDefault="00894A5F" w:rsidP="00894A5F">
      <w:pPr>
        <w:spacing w:after="0" w:line="240" w:lineRule="auto"/>
        <w:jc w:val="both"/>
        <w:rPr>
          <w:rFonts w:cstheme="minorHAnsi"/>
        </w:rPr>
      </w:pPr>
      <w:r w:rsidRPr="00835DCA">
        <w:rPr>
          <w:rFonts w:cstheme="minorHAnsi"/>
        </w:rPr>
        <w:t>Z celkového přiděleného objemu 11 599 164,00 Kč od MPSV ČR bylo čerpáno 7 491 826,00 Kč na příspěvky pro děti vyžadující okamžitou pomoc. Tyto příspěvky byly zaslány Fondu ohrožených dětí, Dětskému centru Kladno a Dětskému centru Kolín. Čerpáno na 64,6 %</w:t>
      </w:r>
    </w:p>
    <w:p w14:paraId="009FBE0C" w14:textId="77777777" w:rsidR="00894A5F" w:rsidRPr="00835DCA" w:rsidRDefault="00894A5F" w:rsidP="00894A5F">
      <w:pPr>
        <w:spacing w:after="0" w:line="240" w:lineRule="auto"/>
        <w:jc w:val="both"/>
        <w:rPr>
          <w:rFonts w:cstheme="minorHAnsi"/>
        </w:rPr>
      </w:pPr>
    </w:p>
    <w:p w14:paraId="0B4A94D3" w14:textId="77777777" w:rsidR="00894A5F" w:rsidRPr="00835DCA" w:rsidRDefault="00894A5F" w:rsidP="00894A5F">
      <w:pPr>
        <w:spacing w:after="0" w:line="240" w:lineRule="auto"/>
        <w:jc w:val="both"/>
        <w:rPr>
          <w:rFonts w:cstheme="minorHAnsi"/>
          <w:b/>
        </w:rPr>
      </w:pPr>
      <w:r w:rsidRPr="00835DCA">
        <w:rPr>
          <w:rFonts w:cstheme="minorHAnsi"/>
          <w:b/>
        </w:rPr>
        <w:t>Operační program Zaměstnanost (ÚZ 13013)</w:t>
      </w:r>
    </w:p>
    <w:p w14:paraId="473C1A8D" w14:textId="77777777" w:rsidR="00894A5F" w:rsidRPr="001E7506" w:rsidRDefault="00894A5F" w:rsidP="00894A5F">
      <w:pPr>
        <w:spacing w:after="0" w:line="240" w:lineRule="auto"/>
        <w:jc w:val="both"/>
        <w:rPr>
          <w:rFonts w:cstheme="minorHAnsi"/>
        </w:rPr>
      </w:pPr>
      <w:r w:rsidRPr="001E7506">
        <w:rPr>
          <w:rFonts w:cstheme="minorHAnsi"/>
        </w:rPr>
        <w:t xml:space="preserve">Neinvestiční dotace od MPSV ČR v celkové výši 239 414 325,89 Kč za účelem financování aktivit projektů: </w:t>
      </w:r>
    </w:p>
    <w:p w14:paraId="67D36587" w14:textId="77777777" w:rsidR="00894A5F" w:rsidRPr="001E7506" w:rsidRDefault="00894A5F" w:rsidP="00894A5F">
      <w:pPr>
        <w:pStyle w:val="Odstavecseseznamem"/>
        <w:numPr>
          <w:ilvl w:val="0"/>
          <w:numId w:val="6"/>
        </w:numPr>
        <w:jc w:val="both"/>
        <w:rPr>
          <w:rFonts w:asciiTheme="minorHAnsi" w:eastAsiaTheme="minorHAnsi" w:hAnsiTheme="minorHAnsi" w:cstheme="minorHAnsi"/>
          <w:sz w:val="22"/>
          <w:szCs w:val="22"/>
        </w:rPr>
      </w:pPr>
      <w:r w:rsidRPr="001E7506">
        <w:rPr>
          <w:rFonts w:asciiTheme="minorHAnsi" w:eastAsiaTheme="minorHAnsi" w:hAnsiTheme="minorHAnsi" w:cstheme="minorHAnsi"/>
          <w:sz w:val="22"/>
          <w:szCs w:val="22"/>
        </w:rPr>
        <w:t xml:space="preserve">Podpora zajištění dostupnosti a kvality sociálních služeb ve Středočeském kraji, doba realizace projektu: </w:t>
      </w:r>
      <w:r w:rsidRPr="001E7506">
        <w:rPr>
          <w:rFonts w:asciiTheme="minorHAnsi" w:eastAsiaTheme="minorHAnsi" w:hAnsiTheme="minorHAnsi" w:cstheme="minorHAnsi"/>
          <w:sz w:val="22"/>
          <w:szCs w:val="22"/>
        </w:rPr>
        <w:br/>
        <w:t>1. 7. 2016 – 30. 6. 2022;</w:t>
      </w:r>
    </w:p>
    <w:p w14:paraId="33EAED85" w14:textId="77777777" w:rsidR="00894A5F" w:rsidRPr="001E7506" w:rsidRDefault="00894A5F" w:rsidP="00894A5F">
      <w:pPr>
        <w:pStyle w:val="Odstavecseseznamem"/>
        <w:numPr>
          <w:ilvl w:val="0"/>
          <w:numId w:val="6"/>
        </w:numPr>
        <w:jc w:val="both"/>
        <w:rPr>
          <w:rFonts w:asciiTheme="minorHAnsi" w:eastAsiaTheme="minorHAnsi" w:hAnsiTheme="minorHAnsi" w:cstheme="minorHAnsi"/>
          <w:sz w:val="22"/>
          <w:szCs w:val="22"/>
        </w:rPr>
      </w:pPr>
      <w:r w:rsidRPr="001E7506">
        <w:rPr>
          <w:rFonts w:asciiTheme="minorHAnsi" w:eastAsiaTheme="minorHAnsi" w:hAnsiTheme="minorHAnsi" w:cstheme="minorHAnsi"/>
          <w:sz w:val="22"/>
          <w:szCs w:val="22"/>
        </w:rPr>
        <w:t>Efektivita sítě sociálních služeb Středočeského kraje, doba realizace 01. 07. 2019 - 30. 06. 2022;</w:t>
      </w:r>
    </w:p>
    <w:p w14:paraId="56A6DC5C" w14:textId="77777777" w:rsidR="00894A5F" w:rsidRPr="001E7506" w:rsidRDefault="00894A5F" w:rsidP="00894A5F">
      <w:pPr>
        <w:pStyle w:val="Odstavecseseznamem"/>
        <w:numPr>
          <w:ilvl w:val="0"/>
          <w:numId w:val="6"/>
        </w:numPr>
        <w:jc w:val="both"/>
        <w:rPr>
          <w:rFonts w:asciiTheme="minorHAnsi" w:eastAsiaTheme="minorHAnsi" w:hAnsiTheme="minorHAnsi" w:cstheme="minorHAnsi"/>
          <w:sz w:val="22"/>
          <w:szCs w:val="22"/>
        </w:rPr>
      </w:pPr>
      <w:r w:rsidRPr="001E7506">
        <w:rPr>
          <w:rFonts w:asciiTheme="minorHAnsi" w:eastAsiaTheme="minorHAnsi" w:hAnsiTheme="minorHAnsi" w:cstheme="minorHAnsi"/>
          <w:sz w:val="22"/>
          <w:szCs w:val="22"/>
        </w:rPr>
        <w:t>Podpora vybraných druhů sociálních služeb ve Středočeském kraji III, doba realizace 1. 1. 2020 - 30. 06. 2022.</w:t>
      </w:r>
    </w:p>
    <w:p w14:paraId="5A60957B" w14:textId="77777777" w:rsidR="00894A5F" w:rsidRPr="001E7506" w:rsidRDefault="00894A5F" w:rsidP="00894A5F">
      <w:pPr>
        <w:spacing w:after="0" w:line="240" w:lineRule="auto"/>
        <w:jc w:val="both"/>
        <w:rPr>
          <w:rFonts w:cstheme="minorHAnsi"/>
        </w:rPr>
      </w:pPr>
      <w:r w:rsidRPr="001E7506">
        <w:rPr>
          <w:rFonts w:cstheme="minorHAnsi"/>
        </w:rPr>
        <w:t xml:space="preserve">Čerpáno na 84,6 %. </w:t>
      </w:r>
    </w:p>
    <w:p w14:paraId="46536447" w14:textId="77777777" w:rsidR="00894A5F" w:rsidRPr="00835DCA" w:rsidRDefault="00894A5F" w:rsidP="00894A5F">
      <w:pPr>
        <w:spacing w:after="0" w:line="240" w:lineRule="auto"/>
        <w:jc w:val="both"/>
        <w:rPr>
          <w:rFonts w:cstheme="minorHAnsi"/>
          <w:b/>
        </w:rPr>
      </w:pPr>
    </w:p>
    <w:p w14:paraId="083AD468" w14:textId="77777777" w:rsidR="00894A5F" w:rsidRPr="00835DCA" w:rsidRDefault="00894A5F" w:rsidP="00894A5F">
      <w:pPr>
        <w:spacing w:after="0" w:line="240" w:lineRule="auto"/>
        <w:jc w:val="both"/>
        <w:rPr>
          <w:rFonts w:cstheme="minorHAnsi"/>
          <w:b/>
        </w:rPr>
      </w:pPr>
      <w:r w:rsidRPr="00835DCA">
        <w:rPr>
          <w:rFonts w:cstheme="minorHAnsi"/>
          <w:b/>
        </w:rPr>
        <w:t>§ 4399 – Výkon sociální práce (ÚZ 13015)</w:t>
      </w:r>
    </w:p>
    <w:p w14:paraId="53F360BD" w14:textId="77777777" w:rsidR="00894A5F" w:rsidRPr="00835DCA" w:rsidRDefault="00894A5F" w:rsidP="00894A5F">
      <w:pPr>
        <w:spacing w:after="0" w:line="240" w:lineRule="auto"/>
        <w:jc w:val="both"/>
        <w:rPr>
          <w:rFonts w:cstheme="minorHAnsi"/>
        </w:rPr>
      </w:pPr>
      <w:r w:rsidRPr="00835DCA">
        <w:rPr>
          <w:rFonts w:cstheme="minorHAnsi"/>
        </w:rPr>
        <w:t xml:space="preserve">Finanční prostředky ve výši 2 181 768,00 Kč jsou určeny na financování agendy výkonu sociální práce vedené na Odboru sociálních věcí. Čerpáno na 100,0 %. </w:t>
      </w:r>
    </w:p>
    <w:p w14:paraId="3AD30D06" w14:textId="77777777" w:rsidR="00894A5F" w:rsidRPr="00835DCA" w:rsidRDefault="00894A5F" w:rsidP="00894A5F">
      <w:pPr>
        <w:spacing w:after="0" w:line="240" w:lineRule="auto"/>
        <w:jc w:val="both"/>
        <w:rPr>
          <w:rFonts w:cstheme="minorHAnsi"/>
          <w:b/>
        </w:rPr>
      </w:pPr>
    </w:p>
    <w:p w14:paraId="4DA77B44" w14:textId="77777777" w:rsidR="00894A5F" w:rsidRPr="00835DCA" w:rsidRDefault="00894A5F" w:rsidP="00894A5F">
      <w:pPr>
        <w:spacing w:after="0" w:line="240" w:lineRule="auto"/>
        <w:jc w:val="both"/>
        <w:rPr>
          <w:rFonts w:cstheme="minorHAnsi"/>
          <w:b/>
        </w:rPr>
      </w:pPr>
      <w:r w:rsidRPr="00835DCA">
        <w:rPr>
          <w:rFonts w:cstheme="minorHAnsi"/>
          <w:b/>
        </w:rPr>
        <w:t>§ 4399 – Dotace na výkon sociální práce Covid – 19 SK (ÚZ 13019)</w:t>
      </w:r>
    </w:p>
    <w:p w14:paraId="2D30C29C" w14:textId="77777777" w:rsidR="00894A5F" w:rsidRPr="00835DCA" w:rsidRDefault="00894A5F" w:rsidP="00894A5F">
      <w:pPr>
        <w:spacing w:after="0" w:line="240" w:lineRule="auto"/>
        <w:jc w:val="both"/>
        <w:rPr>
          <w:rFonts w:cstheme="minorHAnsi"/>
          <w:b/>
        </w:rPr>
      </w:pPr>
      <w:r w:rsidRPr="00835DCA">
        <w:rPr>
          <w:rFonts w:cstheme="minorHAnsi"/>
        </w:rPr>
        <w:t>Finanční prostředky ve výši 478 335,00 Kč byly použity na výkon sociální práce COVID- 19 pro pracovníky KUSK v oblasti sociálně právní. Čerpáno na 100,0 %.</w:t>
      </w:r>
    </w:p>
    <w:p w14:paraId="42A6AB85" w14:textId="77777777" w:rsidR="00894A5F" w:rsidRPr="00835DCA" w:rsidRDefault="00894A5F" w:rsidP="00894A5F">
      <w:pPr>
        <w:spacing w:after="0" w:line="240" w:lineRule="auto"/>
        <w:jc w:val="both"/>
        <w:rPr>
          <w:rFonts w:cstheme="minorHAnsi"/>
        </w:rPr>
      </w:pPr>
    </w:p>
    <w:p w14:paraId="0F0EE6C9" w14:textId="77777777" w:rsidR="00894A5F" w:rsidRPr="00835DCA" w:rsidRDefault="00894A5F" w:rsidP="00894A5F">
      <w:pPr>
        <w:spacing w:after="0" w:line="240" w:lineRule="auto"/>
        <w:jc w:val="both"/>
        <w:rPr>
          <w:rFonts w:cstheme="minorHAnsi"/>
          <w:b/>
        </w:rPr>
      </w:pPr>
      <w:r w:rsidRPr="00835DCA">
        <w:rPr>
          <w:rFonts w:cstheme="minorHAnsi"/>
          <w:b/>
        </w:rPr>
        <w:t>Řešení naléhavých potřeb při zabezpečení provozu sociálních služeb zřízených a provozovaných obcemi (ÚZ 13351)</w:t>
      </w:r>
    </w:p>
    <w:p w14:paraId="49B85BD9" w14:textId="77777777" w:rsidR="00894A5F" w:rsidRPr="00835DCA" w:rsidRDefault="00894A5F" w:rsidP="00894A5F">
      <w:pPr>
        <w:spacing w:after="0" w:line="240" w:lineRule="auto"/>
        <w:jc w:val="both"/>
        <w:outlineLvl w:val="0"/>
        <w:rPr>
          <w:rFonts w:cstheme="minorHAnsi"/>
        </w:rPr>
      </w:pPr>
      <w:r w:rsidRPr="00835DCA">
        <w:rPr>
          <w:rFonts w:cstheme="minorHAnsi"/>
        </w:rPr>
        <w:t>Jedná se o mimořádnou dotaci pro poskytovatele sociálních služeb v souvislosti s epidemií COVID 19 pro příspěvkové organizace SK od MPSV na zpětnou sanaci nákladů, na antigenní testování klientů a návštěv klientů a na odměny zaměstnanců sociálních služeb v souvislosti s výkonem povolání v období epidemie COVID 19 (1. a 2. kolo).  Celkem bylo přiděleno 240 737 531,00 Kč. Čerpáno na 100,0 %.</w:t>
      </w:r>
    </w:p>
    <w:p w14:paraId="40A881D4" w14:textId="77777777" w:rsidR="00894A5F" w:rsidRPr="00835DCA" w:rsidRDefault="00894A5F" w:rsidP="00894A5F">
      <w:pPr>
        <w:spacing w:after="0" w:line="240" w:lineRule="auto"/>
        <w:jc w:val="both"/>
        <w:rPr>
          <w:rFonts w:cstheme="minorHAnsi"/>
          <w:b/>
        </w:rPr>
      </w:pPr>
    </w:p>
    <w:p w14:paraId="1B896E5F" w14:textId="77777777" w:rsidR="00894A5F" w:rsidRPr="00835DCA" w:rsidRDefault="00894A5F" w:rsidP="00894A5F">
      <w:pPr>
        <w:spacing w:after="0" w:line="240" w:lineRule="auto"/>
        <w:jc w:val="both"/>
        <w:rPr>
          <w:rFonts w:cstheme="minorHAnsi"/>
          <w:b/>
        </w:rPr>
      </w:pPr>
      <w:r w:rsidRPr="00835DCA">
        <w:rPr>
          <w:rFonts w:cstheme="minorHAnsi"/>
          <w:b/>
        </w:rPr>
        <w:t>§ 4342 – Podpora koordinátorů romských poradců (ÚZ 4001)</w:t>
      </w:r>
    </w:p>
    <w:p w14:paraId="025BE983" w14:textId="3BEC88BF" w:rsidR="00894A5F" w:rsidRPr="00835DCA" w:rsidRDefault="00894A5F" w:rsidP="00894A5F">
      <w:pPr>
        <w:spacing w:after="0" w:line="240" w:lineRule="auto"/>
        <w:jc w:val="both"/>
        <w:rPr>
          <w:rFonts w:cstheme="minorHAnsi"/>
        </w:rPr>
      </w:pPr>
      <w:r w:rsidRPr="00835DCA">
        <w:rPr>
          <w:rFonts w:cstheme="minorHAnsi"/>
        </w:rPr>
        <w:t xml:space="preserve">Finanční prostředky ve výši 450 000,00 Kč byly použity na agendu romského koordinátora vedeného </w:t>
      </w:r>
      <w:r w:rsidRPr="00835DCA">
        <w:rPr>
          <w:rFonts w:cstheme="minorHAnsi"/>
        </w:rPr>
        <w:br/>
        <w:t>na Odboru sociálních věcí. Poskytovatelem dotace je Úřad vlády ČR. Čerpáno na 100,0 %.</w:t>
      </w:r>
    </w:p>
    <w:p w14:paraId="1B1A0682" w14:textId="77777777" w:rsidR="00894A5F" w:rsidRPr="00835DCA" w:rsidRDefault="00894A5F" w:rsidP="00894A5F">
      <w:pPr>
        <w:spacing w:after="0" w:line="240" w:lineRule="auto"/>
        <w:jc w:val="both"/>
        <w:rPr>
          <w:rFonts w:cstheme="minorHAnsi"/>
        </w:rPr>
      </w:pPr>
    </w:p>
    <w:p w14:paraId="50785A62" w14:textId="77777777" w:rsidR="00894A5F" w:rsidRPr="00835DCA" w:rsidRDefault="00894A5F" w:rsidP="00894A5F">
      <w:pPr>
        <w:spacing w:after="0" w:line="240" w:lineRule="auto"/>
        <w:jc w:val="both"/>
        <w:rPr>
          <w:rFonts w:cstheme="minorHAnsi"/>
          <w:b/>
          <w:sz w:val="24"/>
          <w:szCs w:val="24"/>
          <w:u w:val="single"/>
        </w:rPr>
      </w:pPr>
      <w:r w:rsidRPr="00835DCA">
        <w:rPr>
          <w:rFonts w:cstheme="minorHAnsi"/>
          <w:b/>
          <w:sz w:val="24"/>
          <w:szCs w:val="24"/>
          <w:u w:val="single"/>
        </w:rPr>
        <w:t>Příspěvkové organizace</w:t>
      </w:r>
    </w:p>
    <w:p w14:paraId="34303213" w14:textId="77777777" w:rsidR="00894A5F" w:rsidRPr="00835DCA" w:rsidRDefault="00894A5F" w:rsidP="00894A5F">
      <w:pPr>
        <w:spacing w:after="0" w:line="240" w:lineRule="auto"/>
        <w:jc w:val="both"/>
        <w:rPr>
          <w:rFonts w:cstheme="minorHAnsi"/>
          <w:b/>
          <w:u w:val="single"/>
        </w:rPr>
      </w:pPr>
    </w:p>
    <w:p w14:paraId="37FDDFE4" w14:textId="77777777" w:rsidR="00894A5F" w:rsidRPr="00835DCA" w:rsidRDefault="00894A5F" w:rsidP="00894A5F">
      <w:pPr>
        <w:spacing w:after="0" w:line="240" w:lineRule="auto"/>
        <w:jc w:val="both"/>
        <w:rPr>
          <w:rFonts w:cstheme="minorHAnsi"/>
        </w:rPr>
      </w:pPr>
      <w:r w:rsidRPr="00835DCA">
        <w:rPr>
          <w:rFonts w:cstheme="minorHAnsi"/>
        </w:rPr>
        <w:t xml:space="preserve">Kapitola 17 – Sociální věci spravuje 59 příspěvkových organizací, z nichž je 20 domovů pro seniory, 4 domovy pro osoby se zdravotním postižením, 32 kombinovaných zařízení, 2 domovy se zvláštním režimem a 1 intervenční centrum o lůžkové kapacitě: </w:t>
      </w:r>
    </w:p>
    <w:p w14:paraId="2182F144" w14:textId="77777777" w:rsidR="00894A5F" w:rsidRPr="00835DCA" w:rsidRDefault="00894A5F" w:rsidP="00894A5F">
      <w:pPr>
        <w:pStyle w:val="Odstavecseseznamem"/>
        <w:numPr>
          <w:ilvl w:val="0"/>
          <w:numId w:val="5"/>
        </w:numPr>
        <w:jc w:val="both"/>
        <w:rPr>
          <w:rFonts w:asciiTheme="minorHAnsi" w:eastAsiaTheme="minorHAnsi" w:hAnsiTheme="minorHAnsi" w:cstheme="minorHAnsi"/>
          <w:sz w:val="22"/>
          <w:szCs w:val="22"/>
          <w:lang w:eastAsia="en-US"/>
        </w:rPr>
      </w:pPr>
      <w:r w:rsidRPr="00835DCA">
        <w:rPr>
          <w:rFonts w:asciiTheme="minorHAnsi" w:eastAsiaTheme="minorHAnsi" w:hAnsiTheme="minorHAnsi" w:cstheme="minorHAnsi"/>
          <w:sz w:val="22"/>
          <w:szCs w:val="22"/>
          <w:lang w:eastAsia="en-US"/>
        </w:rPr>
        <w:t xml:space="preserve">3 279 lůžek denního pobytu v domovech pro seniory, </w:t>
      </w:r>
    </w:p>
    <w:p w14:paraId="376E8376" w14:textId="77777777" w:rsidR="00894A5F" w:rsidRPr="00835DCA" w:rsidRDefault="00894A5F" w:rsidP="00894A5F">
      <w:pPr>
        <w:pStyle w:val="Odstavecseseznamem"/>
        <w:numPr>
          <w:ilvl w:val="0"/>
          <w:numId w:val="5"/>
        </w:numPr>
        <w:jc w:val="both"/>
        <w:rPr>
          <w:rFonts w:asciiTheme="minorHAnsi" w:eastAsiaTheme="minorHAnsi" w:hAnsiTheme="minorHAnsi" w:cstheme="minorHAnsi"/>
          <w:sz w:val="22"/>
          <w:szCs w:val="22"/>
          <w:lang w:eastAsia="en-US"/>
        </w:rPr>
      </w:pPr>
      <w:r w:rsidRPr="00835DCA">
        <w:rPr>
          <w:rFonts w:asciiTheme="minorHAnsi" w:eastAsiaTheme="minorHAnsi" w:hAnsiTheme="minorHAnsi" w:cstheme="minorHAnsi"/>
          <w:sz w:val="22"/>
          <w:szCs w:val="22"/>
          <w:lang w:eastAsia="en-US"/>
        </w:rPr>
        <w:t xml:space="preserve">1 056 lůžek denního pobytu v domovech pro osoby se zdravotním postižením, </w:t>
      </w:r>
    </w:p>
    <w:p w14:paraId="25B623D4" w14:textId="77777777" w:rsidR="00894A5F" w:rsidRPr="00835DCA" w:rsidRDefault="00894A5F" w:rsidP="00894A5F">
      <w:pPr>
        <w:pStyle w:val="Odstavecseseznamem"/>
        <w:numPr>
          <w:ilvl w:val="0"/>
          <w:numId w:val="5"/>
        </w:numPr>
        <w:jc w:val="both"/>
        <w:rPr>
          <w:rFonts w:asciiTheme="minorHAnsi" w:eastAsiaTheme="minorHAnsi" w:hAnsiTheme="minorHAnsi" w:cstheme="minorHAnsi"/>
          <w:sz w:val="22"/>
          <w:szCs w:val="22"/>
          <w:lang w:eastAsia="en-US"/>
        </w:rPr>
      </w:pPr>
      <w:r w:rsidRPr="00835DCA">
        <w:rPr>
          <w:rFonts w:asciiTheme="minorHAnsi" w:eastAsiaTheme="minorHAnsi" w:hAnsiTheme="minorHAnsi" w:cstheme="minorHAnsi"/>
          <w:sz w:val="22"/>
          <w:szCs w:val="22"/>
          <w:lang w:eastAsia="en-US"/>
        </w:rPr>
        <w:t xml:space="preserve">710 lůžek denního pobytu v domovech se zvláštním režimem, </w:t>
      </w:r>
    </w:p>
    <w:p w14:paraId="57894D50" w14:textId="77777777" w:rsidR="00894A5F" w:rsidRPr="00835DCA" w:rsidRDefault="00894A5F" w:rsidP="00894A5F">
      <w:pPr>
        <w:pStyle w:val="Odstavecseseznamem"/>
        <w:numPr>
          <w:ilvl w:val="0"/>
          <w:numId w:val="5"/>
        </w:numPr>
        <w:jc w:val="both"/>
        <w:rPr>
          <w:rFonts w:asciiTheme="minorHAnsi" w:eastAsiaTheme="minorHAnsi" w:hAnsiTheme="minorHAnsi" w:cstheme="minorHAnsi"/>
          <w:sz w:val="22"/>
          <w:szCs w:val="22"/>
          <w:lang w:eastAsia="en-US"/>
        </w:rPr>
      </w:pPr>
      <w:r w:rsidRPr="00835DCA">
        <w:rPr>
          <w:rFonts w:asciiTheme="minorHAnsi" w:eastAsiaTheme="minorHAnsi" w:hAnsiTheme="minorHAnsi" w:cstheme="minorHAnsi"/>
          <w:sz w:val="22"/>
          <w:szCs w:val="22"/>
          <w:lang w:eastAsia="en-US"/>
        </w:rPr>
        <w:t xml:space="preserve">65 lůžek v týdenních stacionářích, </w:t>
      </w:r>
    </w:p>
    <w:p w14:paraId="4967D2F9" w14:textId="77777777" w:rsidR="00894A5F" w:rsidRPr="00835DCA" w:rsidRDefault="00894A5F" w:rsidP="00894A5F">
      <w:pPr>
        <w:pStyle w:val="Odstavecseseznamem"/>
        <w:numPr>
          <w:ilvl w:val="0"/>
          <w:numId w:val="5"/>
        </w:numPr>
        <w:jc w:val="both"/>
        <w:rPr>
          <w:rFonts w:asciiTheme="minorHAnsi" w:eastAsiaTheme="minorHAnsi" w:hAnsiTheme="minorHAnsi" w:cstheme="minorHAnsi"/>
          <w:sz w:val="22"/>
          <w:szCs w:val="22"/>
          <w:lang w:eastAsia="en-US"/>
        </w:rPr>
      </w:pPr>
      <w:r w:rsidRPr="00835DCA">
        <w:rPr>
          <w:rFonts w:asciiTheme="minorHAnsi" w:eastAsiaTheme="minorHAnsi" w:hAnsiTheme="minorHAnsi" w:cstheme="minorHAnsi"/>
          <w:sz w:val="22"/>
          <w:szCs w:val="22"/>
          <w:lang w:eastAsia="en-US"/>
        </w:rPr>
        <w:t xml:space="preserve">289 lůžek v chráněném bydlení, </w:t>
      </w:r>
    </w:p>
    <w:p w14:paraId="2F157D4A" w14:textId="77777777" w:rsidR="00894A5F" w:rsidRPr="00835DCA" w:rsidRDefault="00894A5F" w:rsidP="00894A5F">
      <w:pPr>
        <w:pStyle w:val="Odstavecseseznamem"/>
        <w:numPr>
          <w:ilvl w:val="0"/>
          <w:numId w:val="5"/>
        </w:numPr>
        <w:jc w:val="both"/>
        <w:rPr>
          <w:rFonts w:asciiTheme="minorHAnsi" w:eastAsiaTheme="minorHAnsi" w:hAnsiTheme="minorHAnsi" w:cstheme="minorHAnsi"/>
          <w:sz w:val="22"/>
          <w:szCs w:val="22"/>
          <w:lang w:eastAsia="en-US"/>
        </w:rPr>
      </w:pPr>
      <w:r w:rsidRPr="00835DCA">
        <w:rPr>
          <w:rFonts w:asciiTheme="minorHAnsi" w:eastAsiaTheme="minorHAnsi" w:hAnsiTheme="minorHAnsi" w:cstheme="minorHAnsi"/>
          <w:sz w:val="22"/>
          <w:szCs w:val="22"/>
          <w:lang w:eastAsia="en-US"/>
        </w:rPr>
        <w:t xml:space="preserve">49 lůžek v odlehčovací službě pobytové, </w:t>
      </w:r>
    </w:p>
    <w:p w14:paraId="667449C3" w14:textId="77777777" w:rsidR="00894A5F" w:rsidRPr="00835DCA" w:rsidRDefault="00894A5F" w:rsidP="00894A5F">
      <w:pPr>
        <w:pStyle w:val="Odstavecseseznamem"/>
        <w:numPr>
          <w:ilvl w:val="0"/>
          <w:numId w:val="5"/>
        </w:numPr>
        <w:jc w:val="both"/>
        <w:rPr>
          <w:rFonts w:asciiTheme="minorHAnsi" w:eastAsiaTheme="minorHAnsi" w:hAnsiTheme="minorHAnsi" w:cstheme="minorHAnsi"/>
          <w:sz w:val="22"/>
          <w:szCs w:val="22"/>
          <w:lang w:eastAsia="en-US"/>
        </w:rPr>
      </w:pPr>
      <w:r w:rsidRPr="00835DCA">
        <w:rPr>
          <w:rFonts w:asciiTheme="minorHAnsi" w:eastAsiaTheme="minorHAnsi" w:hAnsiTheme="minorHAnsi" w:cstheme="minorHAnsi"/>
          <w:sz w:val="22"/>
          <w:szCs w:val="22"/>
          <w:lang w:eastAsia="en-US"/>
        </w:rPr>
        <w:t>45 lůžek v azylovém domě,</w:t>
      </w:r>
    </w:p>
    <w:p w14:paraId="163E9B6E" w14:textId="77777777" w:rsidR="00894A5F" w:rsidRPr="00835DCA" w:rsidRDefault="00894A5F" w:rsidP="00894A5F">
      <w:pPr>
        <w:pStyle w:val="Odstavecseseznamem"/>
        <w:numPr>
          <w:ilvl w:val="0"/>
          <w:numId w:val="5"/>
        </w:numPr>
        <w:jc w:val="both"/>
        <w:rPr>
          <w:rFonts w:asciiTheme="minorHAnsi" w:eastAsiaTheme="minorHAnsi" w:hAnsiTheme="minorHAnsi" w:cstheme="minorHAnsi"/>
          <w:sz w:val="22"/>
          <w:szCs w:val="22"/>
          <w:lang w:eastAsia="en-US"/>
        </w:rPr>
      </w:pPr>
      <w:r w:rsidRPr="00835DCA">
        <w:rPr>
          <w:rFonts w:asciiTheme="minorHAnsi" w:eastAsiaTheme="minorHAnsi" w:hAnsiTheme="minorHAnsi" w:cstheme="minorHAnsi"/>
          <w:sz w:val="22"/>
          <w:szCs w:val="22"/>
          <w:lang w:eastAsia="en-US"/>
        </w:rPr>
        <w:t>15 lůžek ve službě terapeutické komunity,</w:t>
      </w:r>
    </w:p>
    <w:p w14:paraId="7ADD796A" w14:textId="77777777" w:rsidR="00894A5F" w:rsidRPr="00835DCA" w:rsidRDefault="00894A5F" w:rsidP="00894A5F">
      <w:pPr>
        <w:pStyle w:val="Odstavecseseznamem"/>
        <w:numPr>
          <w:ilvl w:val="0"/>
          <w:numId w:val="5"/>
        </w:numPr>
        <w:jc w:val="both"/>
        <w:rPr>
          <w:rFonts w:asciiTheme="minorHAnsi" w:eastAsiaTheme="minorHAnsi" w:hAnsiTheme="minorHAnsi" w:cstheme="minorHAnsi"/>
          <w:sz w:val="22"/>
          <w:szCs w:val="22"/>
          <w:lang w:eastAsia="en-US"/>
        </w:rPr>
      </w:pPr>
      <w:r w:rsidRPr="00835DCA">
        <w:rPr>
          <w:rFonts w:asciiTheme="minorHAnsi" w:eastAsiaTheme="minorHAnsi" w:hAnsiTheme="minorHAnsi" w:cstheme="minorHAnsi"/>
          <w:sz w:val="22"/>
          <w:szCs w:val="22"/>
          <w:lang w:eastAsia="en-US"/>
        </w:rPr>
        <w:t>6 lůžek služby následné péče.</w:t>
      </w:r>
    </w:p>
    <w:p w14:paraId="1D87C907" w14:textId="77777777" w:rsidR="00894A5F" w:rsidRPr="00835DCA" w:rsidRDefault="00894A5F" w:rsidP="00894A5F">
      <w:pPr>
        <w:spacing w:after="0" w:line="240" w:lineRule="auto"/>
        <w:jc w:val="both"/>
        <w:rPr>
          <w:rFonts w:cstheme="minorHAnsi"/>
        </w:rPr>
      </w:pPr>
      <w:r w:rsidRPr="00835DCA">
        <w:rPr>
          <w:rFonts w:cstheme="minorHAnsi"/>
        </w:rPr>
        <w:t xml:space="preserve">Celkem tedy 5 514 míst při všech druzích pobytu. </w:t>
      </w:r>
    </w:p>
    <w:p w14:paraId="7D37CC35" w14:textId="77777777" w:rsidR="00894A5F" w:rsidRPr="00835DCA" w:rsidRDefault="00894A5F" w:rsidP="00894A5F">
      <w:pPr>
        <w:spacing w:after="0" w:line="240" w:lineRule="auto"/>
        <w:jc w:val="both"/>
        <w:rPr>
          <w:rFonts w:cstheme="minorHAnsi"/>
        </w:rPr>
      </w:pPr>
    </w:p>
    <w:p w14:paraId="60A21612" w14:textId="77777777" w:rsidR="00894A5F" w:rsidRPr="00835DCA" w:rsidRDefault="00894A5F" w:rsidP="00894A5F">
      <w:pPr>
        <w:spacing w:after="0" w:line="240" w:lineRule="auto"/>
        <w:jc w:val="both"/>
        <w:rPr>
          <w:rFonts w:cstheme="minorHAnsi"/>
        </w:rPr>
      </w:pPr>
      <w:r w:rsidRPr="007946CA">
        <w:rPr>
          <w:rFonts w:cstheme="minorHAnsi"/>
        </w:rPr>
        <w:t>K 31. 12. 2021 vykázalo 54 příspěvkových organizací zlepšený výsledek hospodaření, 3 organizace hospodařili s vyrovnaným výsledkem hospodaření a 2 příspěvkové organizace vykázaly záporný výsledek hospodaření.</w:t>
      </w:r>
    </w:p>
    <w:p w14:paraId="4535A474" w14:textId="77777777" w:rsidR="00894A5F" w:rsidRDefault="00894A5F" w:rsidP="00894A5F"/>
    <w:p w14:paraId="5FD11EDA" w14:textId="17CD40EB" w:rsidR="00894A5F" w:rsidRDefault="00894A5F" w:rsidP="0013179B">
      <w:pPr>
        <w:rPr>
          <w:rFonts w:cs="Calibri"/>
        </w:rPr>
      </w:pPr>
    </w:p>
    <w:p w14:paraId="38402A40" w14:textId="10A1998B" w:rsidR="00894A5F" w:rsidRDefault="00894A5F" w:rsidP="0013179B">
      <w:pPr>
        <w:rPr>
          <w:rFonts w:cs="Calibri"/>
        </w:rPr>
      </w:pPr>
    </w:p>
    <w:p w14:paraId="228C1721" w14:textId="73601837" w:rsidR="00894A5F" w:rsidRDefault="00894A5F" w:rsidP="0013179B">
      <w:pPr>
        <w:rPr>
          <w:rFonts w:cs="Calibri"/>
        </w:rPr>
      </w:pPr>
    </w:p>
    <w:p w14:paraId="488DDDE8" w14:textId="0586E4BA" w:rsidR="00894A5F" w:rsidRDefault="00894A5F" w:rsidP="0013179B">
      <w:pPr>
        <w:rPr>
          <w:rFonts w:cs="Calibri"/>
        </w:rPr>
      </w:pPr>
    </w:p>
    <w:p w14:paraId="23016613" w14:textId="07B5AAB7" w:rsidR="00894A5F" w:rsidRDefault="00894A5F" w:rsidP="0013179B">
      <w:pPr>
        <w:rPr>
          <w:rFonts w:cs="Calibri"/>
        </w:rPr>
      </w:pPr>
    </w:p>
    <w:p w14:paraId="5F62F0B7" w14:textId="71B98C32" w:rsidR="00894A5F" w:rsidRDefault="00894A5F" w:rsidP="0013179B">
      <w:pPr>
        <w:rPr>
          <w:rFonts w:cs="Calibri"/>
        </w:rPr>
      </w:pPr>
    </w:p>
    <w:p w14:paraId="764453B2" w14:textId="364BC57B" w:rsidR="00894A5F" w:rsidRDefault="00894A5F" w:rsidP="0013179B">
      <w:pPr>
        <w:rPr>
          <w:rFonts w:cs="Calibri"/>
        </w:rPr>
      </w:pPr>
    </w:p>
    <w:p w14:paraId="13E3D63B" w14:textId="269E410B" w:rsidR="00894A5F" w:rsidRDefault="00894A5F" w:rsidP="0013179B">
      <w:pPr>
        <w:rPr>
          <w:rFonts w:cs="Calibri"/>
        </w:rPr>
      </w:pPr>
    </w:p>
    <w:p w14:paraId="203211E6" w14:textId="3BE5624C" w:rsidR="00894A5F" w:rsidRDefault="00894A5F" w:rsidP="0013179B">
      <w:pPr>
        <w:rPr>
          <w:rFonts w:cs="Calibri"/>
        </w:rPr>
      </w:pPr>
    </w:p>
    <w:p w14:paraId="69F8CADC" w14:textId="088B3E2E" w:rsidR="00894A5F" w:rsidRDefault="00894A5F" w:rsidP="0013179B">
      <w:pPr>
        <w:rPr>
          <w:rFonts w:cs="Calibri"/>
        </w:rPr>
      </w:pPr>
    </w:p>
    <w:p w14:paraId="60DD1F89" w14:textId="1E0FA6C9" w:rsidR="00894A5F" w:rsidRDefault="00894A5F" w:rsidP="0013179B">
      <w:pPr>
        <w:rPr>
          <w:rFonts w:cs="Calibri"/>
        </w:rPr>
      </w:pPr>
    </w:p>
    <w:p w14:paraId="597E2298" w14:textId="31C2A752" w:rsidR="00894A5F" w:rsidRDefault="00894A5F" w:rsidP="0013179B">
      <w:pPr>
        <w:rPr>
          <w:rFonts w:cs="Calibri"/>
        </w:rPr>
      </w:pPr>
    </w:p>
    <w:tbl>
      <w:tblPr>
        <w:tblW w:w="9700" w:type="dxa"/>
        <w:tblCellMar>
          <w:left w:w="70" w:type="dxa"/>
          <w:right w:w="70" w:type="dxa"/>
        </w:tblCellMar>
        <w:tblLook w:val="04A0" w:firstRow="1" w:lastRow="0" w:firstColumn="1" w:lastColumn="0" w:noHBand="0" w:noVBand="1"/>
      </w:tblPr>
      <w:tblGrid>
        <w:gridCol w:w="880"/>
        <w:gridCol w:w="3399"/>
        <w:gridCol w:w="1333"/>
        <w:gridCol w:w="1713"/>
        <w:gridCol w:w="1664"/>
        <w:gridCol w:w="711"/>
      </w:tblGrid>
      <w:tr w:rsidR="00894A5F" w:rsidRPr="00894A5F" w14:paraId="7F5D5544" w14:textId="77777777" w:rsidTr="00894A5F">
        <w:trPr>
          <w:trHeight w:val="402"/>
        </w:trPr>
        <w:tc>
          <w:tcPr>
            <w:tcW w:w="9700" w:type="dxa"/>
            <w:gridSpan w:val="6"/>
            <w:tcBorders>
              <w:top w:val="nil"/>
              <w:left w:val="nil"/>
              <w:bottom w:val="nil"/>
              <w:right w:val="nil"/>
            </w:tcBorders>
            <w:shd w:val="clear" w:color="auto" w:fill="auto"/>
            <w:noWrap/>
            <w:vAlign w:val="center"/>
            <w:hideMark/>
          </w:tcPr>
          <w:p w14:paraId="30887E2D" w14:textId="77777777" w:rsidR="00894A5F" w:rsidRPr="00894A5F" w:rsidRDefault="00894A5F" w:rsidP="00894A5F">
            <w:pPr>
              <w:spacing w:after="0" w:line="240" w:lineRule="auto"/>
              <w:jc w:val="center"/>
              <w:rPr>
                <w:rFonts w:ascii="Calibri" w:eastAsia="Times New Roman" w:hAnsi="Calibri" w:cs="Calibri"/>
                <w:b/>
                <w:bCs/>
                <w:sz w:val="28"/>
                <w:szCs w:val="28"/>
                <w:lang w:eastAsia="cs-CZ"/>
              </w:rPr>
            </w:pPr>
            <w:r w:rsidRPr="00894A5F">
              <w:rPr>
                <w:rFonts w:ascii="Calibri" w:eastAsia="Times New Roman" w:hAnsi="Calibri" w:cs="Calibri"/>
                <w:b/>
                <w:bCs/>
                <w:sz w:val="28"/>
                <w:szCs w:val="28"/>
                <w:lang w:eastAsia="cs-CZ"/>
              </w:rPr>
              <w:t>Čerpání rozpočtu kapitoly 18 - Legislativně právní - období: 1. - 12. 2021</w:t>
            </w:r>
          </w:p>
        </w:tc>
      </w:tr>
      <w:tr w:rsidR="00894A5F" w:rsidRPr="00894A5F" w14:paraId="48C69866" w14:textId="77777777" w:rsidTr="00894A5F">
        <w:trPr>
          <w:trHeight w:val="360"/>
        </w:trPr>
        <w:tc>
          <w:tcPr>
            <w:tcW w:w="880" w:type="dxa"/>
            <w:tcBorders>
              <w:top w:val="nil"/>
              <w:left w:val="nil"/>
              <w:bottom w:val="nil"/>
              <w:right w:val="nil"/>
            </w:tcBorders>
            <w:shd w:val="clear" w:color="auto" w:fill="auto"/>
            <w:noWrap/>
            <w:vAlign w:val="bottom"/>
            <w:hideMark/>
          </w:tcPr>
          <w:p w14:paraId="3A9D1880" w14:textId="77777777" w:rsidR="00894A5F" w:rsidRPr="00894A5F" w:rsidRDefault="00894A5F" w:rsidP="00894A5F">
            <w:pPr>
              <w:spacing w:after="0" w:line="240" w:lineRule="auto"/>
              <w:jc w:val="center"/>
              <w:rPr>
                <w:rFonts w:ascii="Calibri" w:eastAsia="Times New Roman" w:hAnsi="Calibri" w:cs="Calibri"/>
                <w:b/>
                <w:bCs/>
                <w:sz w:val="28"/>
                <w:szCs w:val="28"/>
                <w:lang w:eastAsia="cs-CZ"/>
              </w:rPr>
            </w:pPr>
          </w:p>
        </w:tc>
        <w:tc>
          <w:tcPr>
            <w:tcW w:w="3399" w:type="dxa"/>
            <w:tcBorders>
              <w:top w:val="nil"/>
              <w:left w:val="nil"/>
              <w:bottom w:val="nil"/>
              <w:right w:val="nil"/>
            </w:tcBorders>
            <w:shd w:val="clear" w:color="auto" w:fill="auto"/>
            <w:noWrap/>
            <w:vAlign w:val="bottom"/>
            <w:hideMark/>
          </w:tcPr>
          <w:p w14:paraId="37C1B7A6" w14:textId="77777777" w:rsidR="00894A5F" w:rsidRPr="00894A5F" w:rsidRDefault="00894A5F" w:rsidP="00894A5F">
            <w:pPr>
              <w:spacing w:after="0" w:line="240" w:lineRule="auto"/>
              <w:rPr>
                <w:rFonts w:ascii="Times New Roman" w:eastAsia="Times New Roman" w:hAnsi="Times New Roman" w:cs="Times New Roman"/>
                <w:sz w:val="20"/>
                <w:szCs w:val="20"/>
                <w:lang w:eastAsia="cs-CZ"/>
              </w:rPr>
            </w:pPr>
          </w:p>
        </w:tc>
        <w:tc>
          <w:tcPr>
            <w:tcW w:w="1333" w:type="dxa"/>
            <w:tcBorders>
              <w:top w:val="nil"/>
              <w:left w:val="nil"/>
              <w:bottom w:val="nil"/>
              <w:right w:val="nil"/>
            </w:tcBorders>
            <w:shd w:val="clear" w:color="auto" w:fill="auto"/>
            <w:noWrap/>
            <w:vAlign w:val="bottom"/>
            <w:hideMark/>
          </w:tcPr>
          <w:p w14:paraId="1DAF2A48" w14:textId="77777777" w:rsidR="00894A5F" w:rsidRPr="00894A5F" w:rsidRDefault="00894A5F" w:rsidP="00894A5F">
            <w:pPr>
              <w:spacing w:after="0" w:line="240" w:lineRule="auto"/>
              <w:rPr>
                <w:rFonts w:ascii="Times New Roman" w:eastAsia="Times New Roman" w:hAnsi="Times New Roman" w:cs="Times New Roman"/>
                <w:sz w:val="20"/>
                <w:szCs w:val="20"/>
                <w:lang w:eastAsia="cs-CZ"/>
              </w:rPr>
            </w:pPr>
          </w:p>
        </w:tc>
        <w:tc>
          <w:tcPr>
            <w:tcW w:w="1713" w:type="dxa"/>
            <w:tcBorders>
              <w:top w:val="nil"/>
              <w:left w:val="nil"/>
              <w:bottom w:val="nil"/>
              <w:right w:val="nil"/>
            </w:tcBorders>
            <w:shd w:val="clear" w:color="auto" w:fill="auto"/>
            <w:noWrap/>
            <w:vAlign w:val="bottom"/>
            <w:hideMark/>
          </w:tcPr>
          <w:p w14:paraId="63F5D0DD" w14:textId="77777777" w:rsidR="00894A5F" w:rsidRPr="00894A5F" w:rsidRDefault="00894A5F" w:rsidP="00894A5F">
            <w:pPr>
              <w:spacing w:after="0" w:line="240" w:lineRule="auto"/>
              <w:rPr>
                <w:rFonts w:ascii="Times New Roman" w:eastAsia="Times New Roman" w:hAnsi="Times New Roman" w:cs="Times New Roman"/>
                <w:sz w:val="20"/>
                <w:szCs w:val="20"/>
                <w:lang w:eastAsia="cs-CZ"/>
              </w:rPr>
            </w:pPr>
          </w:p>
        </w:tc>
        <w:tc>
          <w:tcPr>
            <w:tcW w:w="1664" w:type="dxa"/>
            <w:tcBorders>
              <w:top w:val="nil"/>
              <w:left w:val="nil"/>
              <w:bottom w:val="nil"/>
              <w:right w:val="nil"/>
            </w:tcBorders>
            <w:shd w:val="clear" w:color="auto" w:fill="auto"/>
            <w:noWrap/>
            <w:vAlign w:val="bottom"/>
            <w:hideMark/>
          </w:tcPr>
          <w:p w14:paraId="685A9DC7" w14:textId="77777777" w:rsidR="00894A5F" w:rsidRPr="00894A5F" w:rsidRDefault="00894A5F" w:rsidP="00894A5F">
            <w:pPr>
              <w:spacing w:after="0" w:line="240" w:lineRule="auto"/>
              <w:rPr>
                <w:rFonts w:ascii="Times New Roman" w:eastAsia="Times New Roman" w:hAnsi="Times New Roman" w:cs="Times New Roman"/>
                <w:sz w:val="20"/>
                <w:szCs w:val="20"/>
                <w:lang w:eastAsia="cs-CZ"/>
              </w:rPr>
            </w:pPr>
          </w:p>
        </w:tc>
        <w:tc>
          <w:tcPr>
            <w:tcW w:w="711" w:type="dxa"/>
            <w:tcBorders>
              <w:top w:val="nil"/>
              <w:left w:val="nil"/>
              <w:bottom w:val="nil"/>
              <w:right w:val="nil"/>
            </w:tcBorders>
            <w:shd w:val="clear" w:color="auto" w:fill="auto"/>
            <w:noWrap/>
            <w:vAlign w:val="bottom"/>
            <w:hideMark/>
          </w:tcPr>
          <w:p w14:paraId="7763BFEB" w14:textId="77777777" w:rsidR="00894A5F" w:rsidRPr="00894A5F" w:rsidRDefault="00894A5F" w:rsidP="00894A5F">
            <w:pPr>
              <w:spacing w:after="0" w:line="240" w:lineRule="auto"/>
              <w:jc w:val="right"/>
              <w:rPr>
                <w:rFonts w:ascii="Calibri" w:eastAsia="Times New Roman" w:hAnsi="Calibri" w:cs="Calibri"/>
                <w:lang w:eastAsia="cs-CZ"/>
              </w:rPr>
            </w:pPr>
            <w:r w:rsidRPr="00894A5F">
              <w:rPr>
                <w:rFonts w:ascii="Calibri" w:eastAsia="Times New Roman" w:hAnsi="Calibri" w:cs="Calibri"/>
                <w:lang w:eastAsia="cs-CZ"/>
              </w:rPr>
              <w:t>v Kč</w:t>
            </w:r>
          </w:p>
        </w:tc>
      </w:tr>
      <w:tr w:rsidR="00894A5F" w:rsidRPr="00894A5F" w14:paraId="65D12200" w14:textId="77777777" w:rsidTr="00894A5F">
        <w:trPr>
          <w:trHeight w:val="705"/>
        </w:trPr>
        <w:tc>
          <w:tcPr>
            <w:tcW w:w="880" w:type="dxa"/>
            <w:tcBorders>
              <w:top w:val="single" w:sz="8" w:space="0" w:color="auto"/>
              <w:left w:val="single" w:sz="8" w:space="0" w:color="auto"/>
              <w:bottom w:val="single" w:sz="8" w:space="0" w:color="auto"/>
              <w:right w:val="single" w:sz="8" w:space="0" w:color="auto"/>
            </w:tcBorders>
            <w:shd w:val="clear" w:color="000000" w:fill="CCFFCC"/>
            <w:noWrap/>
            <w:vAlign w:val="center"/>
            <w:hideMark/>
          </w:tcPr>
          <w:p w14:paraId="05D16EFA" w14:textId="77777777" w:rsidR="00894A5F" w:rsidRPr="00894A5F" w:rsidRDefault="00894A5F" w:rsidP="00894A5F">
            <w:pPr>
              <w:spacing w:after="0" w:line="240" w:lineRule="auto"/>
              <w:jc w:val="center"/>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Paragraf</w:t>
            </w:r>
          </w:p>
        </w:tc>
        <w:tc>
          <w:tcPr>
            <w:tcW w:w="3399" w:type="dxa"/>
            <w:tcBorders>
              <w:top w:val="single" w:sz="8" w:space="0" w:color="auto"/>
              <w:left w:val="nil"/>
              <w:bottom w:val="single" w:sz="8" w:space="0" w:color="auto"/>
              <w:right w:val="single" w:sz="8" w:space="0" w:color="auto"/>
            </w:tcBorders>
            <w:shd w:val="clear" w:color="000000" w:fill="CCFFCC"/>
            <w:noWrap/>
            <w:vAlign w:val="center"/>
            <w:hideMark/>
          </w:tcPr>
          <w:p w14:paraId="4E9B3234" w14:textId="77777777" w:rsidR="00894A5F" w:rsidRPr="00894A5F" w:rsidRDefault="00894A5F" w:rsidP="00894A5F">
            <w:pPr>
              <w:spacing w:after="0" w:line="240" w:lineRule="auto"/>
              <w:jc w:val="center"/>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Oblast rozpočtu</w:t>
            </w:r>
          </w:p>
        </w:tc>
        <w:tc>
          <w:tcPr>
            <w:tcW w:w="1333" w:type="dxa"/>
            <w:tcBorders>
              <w:top w:val="single" w:sz="8" w:space="0" w:color="auto"/>
              <w:left w:val="nil"/>
              <w:bottom w:val="single" w:sz="8" w:space="0" w:color="auto"/>
              <w:right w:val="single" w:sz="8" w:space="0" w:color="auto"/>
            </w:tcBorders>
            <w:shd w:val="clear" w:color="000000" w:fill="CCFFCC"/>
            <w:vAlign w:val="center"/>
            <w:hideMark/>
          </w:tcPr>
          <w:p w14:paraId="32E1D660" w14:textId="77777777" w:rsidR="00894A5F" w:rsidRPr="00894A5F" w:rsidRDefault="00894A5F" w:rsidP="00894A5F">
            <w:pPr>
              <w:spacing w:after="0" w:line="240" w:lineRule="auto"/>
              <w:jc w:val="center"/>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Schválený rozpočet</w:t>
            </w:r>
          </w:p>
        </w:tc>
        <w:tc>
          <w:tcPr>
            <w:tcW w:w="1713" w:type="dxa"/>
            <w:tcBorders>
              <w:top w:val="single" w:sz="8" w:space="0" w:color="auto"/>
              <w:left w:val="nil"/>
              <w:bottom w:val="single" w:sz="8" w:space="0" w:color="auto"/>
              <w:right w:val="single" w:sz="8" w:space="0" w:color="auto"/>
            </w:tcBorders>
            <w:shd w:val="clear" w:color="000000" w:fill="CCFFCC"/>
            <w:vAlign w:val="center"/>
            <w:hideMark/>
          </w:tcPr>
          <w:p w14:paraId="1CE9E06B" w14:textId="77777777" w:rsidR="00894A5F" w:rsidRPr="00894A5F" w:rsidRDefault="00894A5F" w:rsidP="00894A5F">
            <w:pPr>
              <w:spacing w:after="0" w:line="240" w:lineRule="auto"/>
              <w:jc w:val="center"/>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 xml:space="preserve">Rozpočet po úpravě </w:t>
            </w:r>
          </w:p>
        </w:tc>
        <w:tc>
          <w:tcPr>
            <w:tcW w:w="1664" w:type="dxa"/>
            <w:tcBorders>
              <w:top w:val="single" w:sz="8" w:space="0" w:color="auto"/>
              <w:left w:val="nil"/>
              <w:bottom w:val="single" w:sz="8" w:space="0" w:color="auto"/>
              <w:right w:val="single" w:sz="8" w:space="0" w:color="auto"/>
            </w:tcBorders>
            <w:shd w:val="clear" w:color="000000" w:fill="CCFFCC"/>
            <w:vAlign w:val="center"/>
            <w:hideMark/>
          </w:tcPr>
          <w:p w14:paraId="53531D8B" w14:textId="77777777" w:rsidR="00894A5F" w:rsidRPr="00894A5F" w:rsidRDefault="00894A5F" w:rsidP="00894A5F">
            <w:pPr>
              <w:spacing w:after="0" w:line="240" w:lineRule="auto"/>
              <w:jc w:val="center"/>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 xml:space="preserve">Skutečnost </w:t>
            </w:r>
          </w:p>
        </w:tc>
        <w:tc>
          <w:tcPr>
            <w:tcW w:w="711" w:type="dxa"/>
            <w:tcBorders>
              <w:top w:val="single" w:sz="8" w:space="0" w:color="auto"/>
              <w:left w:val="nil"/>
              <w:bottom w:val="single" w:sz="8" w:space="0" w:color="auto"/>
              <w:right w:val="single" w:sz="8" w:space="0" w:color="auto"/>
            </w:tcBorders>
            <w:shd w:val="clear" w:color="000000" w:fill="CCFFCC"/>
            <w:vAlign w:val="center"/>
            <w:hideMark/>
          </w:tcPr>
          <w:p w14:paraId="36A151F0" w14:textId="77777777" w:rsidR="00894A5F" w:rsidRPr="00894A5F" w:rsidRDefault="00894A5F" w:rsidP="00894A5F">
            <w:pPr>
              <w:spacing w:after="0" w:line="240" w:lineRule="auto"/>
              <w:jc w:val="center"/>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 plnění</w:t>
            </w:r>
          </w:p>
        </w:tc>
      </w:tr>
      <w:tr w:rsidR="00894A5F" w:rsidRPr="00894A5F" w14:paraId="2E1E35A2" w14:textId="77777777" w:rsidTr="00894A5F">
        <w:trPr>
          <w:trHeight w:val="360"/>
        </w:trPr>
        <w:tc>
          <w:tcPr>
            <w:tcW w:w="880" w:type="dxa"/>
            <w:tcBorders>
              <w:top w:val="nil"/>
              <w:left w:val="nil"/>
              <w:bottom w:val="nil"/>
              <w:right w:val="nil"/>
            </w:tcBorders>
            <w:shd w:val="clear" w:color="auto" w:fill="auto"/>
            <w:noWrap/>
            <w:vAlign w:val="bottom"/>
            <w:hideMark/>
          </w:tcPr>
          <w:p w14:paraId="23125496" w14:textId="77777777" w:rsidR="00894A5F" w:rsidRPr="00894A5F" w:rsidRDefault="00894A5F" w:rsidP="00894A5F">
            <w:pPr>
              <w:spacing w:after="0" w:line="240" w:lineRule="auto"/>
              <w:jc w:val="center"/>
              <w:rPr>
                <w:rFonts w:ascii="Calibri" w:eastAsia="Times New Roman" w:hAnsi="Calibri" w:cs="Calibri"/>
                <w:sz w:val="20"/>
                <w:szCs w:val="20"/>
                <w:lang w:eastAsia="cs-CZ"/>
              </w:rPr>
            </w:pPr>
          </w:p>
        </w:tc>
        <w:tc>
          <w:tcPr>
            <w:tcW w:w="3399" w:type="dxa"/>
            <w:tcBorders>
              <w:top w:val="nil"/>
              <w:left w:val="nil"/>
              <w:bottom w:val="nil"/>
              <w:right w:val="nil"/>
            </w:tcBorders>
            <w:shd w:val="clear" w:color="auto" w:fill="auto"/>
            <w:noWrap/>
            <w:vAlign w:val="bottom"/>
            <w:hideMark/>
          </w:tcPr>
          <w:p w14:paraId="1143B844" w14:textId="77777777" w:rsidR="00894A5F" w:rsidRPr="00894A5F" w:rsidRDefault="00894A5F" w:rsidP="00894A5F">
            <w:pPr>
              <w:spacing w:after="0" w:line="240" w:lineRule="auto"/>
              <w:rPr>
                <w:rFonts w:ascii="Calibri" w:eastAsia="Times New Roman" w:hAnsi="Calibri" w:cs="Calibri"/>
                <w:b/>
                <w:bCs/>
                <w:lang w:eastAsia="cs-CZ"/>
              </w:rPr>
            </w:pPr>
            <w:r w:rsidRPr="00894A5F">
              <w:rPr>
                <w:rFonts w:ascii="Calibri" w:eastAsia="Times New Roman" w:hAnsi="Calibri" w:cs="Calibri"/>
                <w:b/>
                <w:bCs/>
                <w:lang w:eastAsia="cs-CZ"/>
              </w:rPr>
              <w:t xml:space="preserve">Běžné výdaje </w:t>
            </w:r>
          </w:p>
        </w:tc>
        <w:tc>
          <w:tcPr>
            <w:tcW w:w="1333" w:type="dxa"/>
            <w:tcBorders>
              <w:top w:val="nil"/>
              <w:left w:val="nil"/>
              <w:bottom w:val="nil"/>
              <w:right w:val="nil"/>
            </w:tcBorders>
            <w:shd w:val="clear" w:color="auto" w:fill="auto"/>
            <w:noWrap/>
            <w:vAlign w:val="bottom"/>
            <w:hideMark/>
          </w:tcPr>
          <w:p w14:paraId="6E00BDE6" w14:textId="77777777" w:rsidR="00894A5F" w:rsidRPr="00894A5F" w:rsidRDefault="00894A5F" w:rsidP="00894A5F">
            <w:pPr>
              <w:spacing w:after="0" w:line="240" w:lineRule="auto"/>
              <w:rPr>
                <w:rFonts w:ascii="Calibri" w:eastAsia="Times New Roman" w:hAnsi="Calibri" w:cs="Calibri"/>
                <w:b/>
                <w:bCs/>
                <w:lang w:eastAsia="cs-CZ"/>
              </w:rPr>
            </w:pPr>
          </w:p>
        </w:tc>
        <w:tc>
          <w:tcPr>
            <w:tcW w:w="1713" w:type="dxa"/>
            <w:tcBorders>
              <w:top w:val="nil"/>
              <w:left w:val="nil"/>
              <w:bottom w:val="nil"/>
              <w:right w:val="nil"/>
            </w:tcBorders>
            <w:shd w:val="clear" w:color="auto" w:fill="auto"/>
            <w:noWrap/>
            <w:vAlign w:val="bottom"/>
            <w:hideMark/>
          </w:tcPr>
          <w:p w14:paraId="2D821F69" w14:textId="77777777" w:rsidR="00894A5F" w:rsidRPr="00894A5F" w:rsidRDefault="00894A5F" w:rsidP="00894A5F">
            <w:pPr>
              <w:spacing w:after="0" w:line="240" w:lineRule="auto"/>
              <w:rPr>
                <w:rFonts w:ascii="Times New Roman" w:eastAsia="Times New Roman" w:hAnsi="Times New Roman" w:cs="Times New Roman"/>
                <w:sz w:val="20"/>
                <w:szCs w:val="20"/>
                <w:lang w:eastAsia="cs-CZ"/>
              </w:rPr>
            </w:pPr>
          </w:p>
        </w:tc>
        <w:tc>
          <w:tcPr>
            <w:tcW w:w="1664" w:type="dxa"/>
            <w:tcBorders>
              <w:top w:val="nil"/>
              <w:left w:val="nil"/>
              <w:bottom w:val="nil"/>
              <w:right w:val="nil"/>
            </w:tcBorders>
            <w:shd w:val="clear" w:color="auto" w:fill="auto"/>
            <w:noWrap/>
            <w:vAlign w:val="bottom"/>
            <w:hideMark/>
          </w:tcPr>
          <w:p w14:paraId="73FBC68C" w14:textId="77777777" w:rsidR="00894A5F" w:rsidRPr="00894A5F" w:rsidRDefault="00894A5F" w:rsidP="00894A5F">
            <w:pPr>
              <w:spacing w:after="0" w:line="240" w:lineRule="auto"/>
              <w:rPr>
                <w:rFonts w:ascii="Times New Roman" w:eastAsia="Times New Roman" w:hAnsi="Times New Roman" w:cs="Times New Roman"/>
                <w:sz w:val="20"/>
                <w:szCs w:val="20"/>
                <w:lang w:eastAsia="cs-CZ"/>
              </w:rPr>
            </w:pPr>
          </w:p>
        </w:tc>
        <w:tc>
          <w:tcPr>
            <w:tcW w:w="711" w:type="dxa"/>
            <w:tcBorders>
              <w:top w:val="nil"/>
              <w:left w:val="nil"/>
              <w:bottom w:val="nil"/>
              <w:right w:val="nil"/>
            </w:tcBorders>
            <w:shd w:val="clear" w:color="auto" w:fill="auto"/>
            <w:noWrap/>
            <w:vAlign w:val="bottom"/>
            <w:hideMark/>
          </w:tcPr>
          <w:p w14:paraId="1CFCED09" w14:textId="77777777" w:rsidR="00894A5F" w:rsidRPr="00894A5F" w:rsidRDefault="00894A5F" w:rsidP="00894A5F">
            <w:pPr>
              <w:spacing w:after="0" w:line="240" w:lineRule="auto"/>
              <w:rPr>
                <w:rFonts w:ascii="Times New Roman" w:eastAsia="Times New Roman" w:hAnsi="Times New Roman" w:cs="Times New Roman"/>
                <w:sz w:val="20"/>
                <w:szCs w:val="20"/>
                <w:lang w:eastAsia="cs-CZ"/>
              </w:rPr>
            </w:pPr>
          </w:p>
        </w:tc>
      </w:tr>
      <w:tr w:rsidR="00894A5F" w:rsidRPr="00894A5F" w14:paraId="0F8A6AC6" w14:textId="77777777" w:rsidTr="00894A5F">
        <w:trPr>
          <w:trHeight w:val="300"/>
        </w:trPr>
        <w:tc>
          <w:tcPr>
            <w:tcW w:w="8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57FC46A4" w14:textId="77777777" w:rsidR="00894A5F" w:rsidRPr="00894A5F" w:rsidRDefault="00894A5F" w:rsidP="00894A5F">
            <w:pPr>
              <w:spacing w:after="0" w:line="240" w:lineRule="auto"/>
              <w:jc w:val="center"/>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2212</w:t>
            </w:r>
          </w:p>
        </w:tc>
        <w:tc>
          <w:tcPr>
            <w:tcW w:w="3399" w:type="dxa"/>
            <w:tcBorders>
              <w:top w:val="single" w:sz="8" w:space="0" w:color="auto"/>
              <w:left w:val="nil"/>
              <w:bottom w:val="single" w:sz="4" w:space="0" w:color="auto"/>
              <w:right w:val="single" w:sz="4" w:space="0" w:color="auto"/>
            </w:tcBorders>
            <w:shd w:val="clear" w:color="auto" w:fill="auto"/>
            <w:vAlign w:val="bottom"/>
            <w:hideMark/>
          </w:tcPr>
          <w:p w14:paraId="042EE3AA" w14:textId="77777777" w:rsidR="00894A5F" w:rsidRPr="00894A5F" w:rsidRDefault="00894A5F" w:rsidP="00894A5F">
            <w:pPr>
              <w:spacing w:after="0" w:line="240" w:lineRule="auto"/>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Silnice</w:t>
            </w:r>
          </w:p>
        </w:tc>
        <w:tc>
          <w:tcPr>
            <w:tcW w:w="1333" w:type="dxa"/>
            <w:tcBorders>
              <w:top w:val="single" w:sz="8" w:space="0" w:color="auto"/>
              <w:left w:val="nil"/>
              <w:bottom w:val="single" w:sz="4" w:space="0" w:color="auto"/>
              <w:right w:val="single" w:sz="4" w:space="0" w:color="auto"/>
            </w:tcBorders>
            <w:shd w:val="clear" w:color="000000" w:fill="FFFFFF"/>
            <w:noWrap/>
            <w:vAlign w:val="bottom"/>
            <w:hideMark/>
          </w:tcPr>
          <w:p w14:paraId="15E09B52" w14:textId="77777777" w:rsidR="00894A5F" w:rsidRPr="00894A5F" w:rsidRDefault="00894A5F" w:rsidP="00894A5F">
            <w:pPr>
              <w:spacing w:after="0" w:line="240" w:lineRule="auto"/>
              <w:jc w:val="right"/>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200 000</w:t>
            </w:r>
          </w:p>
        </w:tc>
        <w:tc>
          <w:tcPr>
            <w:tcW w:w="1713" w:type="dxa"/>
            <w:tcBorders>
              <w:top w:val="single" w:sz="8" w:space="0" w:color="auto"/>
              <w:left w:val="nil"/>
              <w:bottom w:val="single" w:sz="4" w:space="0" w:color="auto"/>
              <w:right w:val="single" w:sz="4" w:space="0" w:color="auto"/>
            </w:tcBorders>
            <w:shd w:val="clear" w:color="000000" w:fill="FFFFFF"/>
            <w:noWrap/>
            <w:vAlign w:val="bottom"/>
            <w:hideMark/>
          </w:tcPr>
          <w:p w14:paraId="64B352DB" w14:textId="77777777" w:rsidR="00894A5F" w:rsidRPr="00894A5F" w:rsidRDefault="00894A5F" w:rsidP="00894A5F">
            <w:pPr>
              <w:spacing w:after="0" w:line="240" w:lineRule="auto"/>
              <w:jc w:val="right"/>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175 905,87</w:t>
            </w:r>
          </w:p>
        </w:tc>
        <w:tc>
          <w:tcPr>
            <w:tcW w:w="1664" w:type="dxa"/>
            <w:tcBorders>
              <w:top w:val="single" w:sz="8" w:space="0" w:color="auto"/>
              <w:left w:val="nil"/>
              <w:bottom w:val="single" w:sz="4" w:space="0" w:color="auto"/>
              <w:right w:val="single" w:sz="4" w:space="0" w:color="auto"/>
            </w:tcBorders>
            <w:shd w:val="clear" w:color="000000" w:fill="FFFFFF"/>
            <w:noWrap/>
            <w:vAlign w:val="bottom"/>
            <w:hideMark/>
          </w:tcPr>
          <w:p w14:paraId="4E7E92FE" w14:textId="77777777" w:rsidR="00894A5F" w:rsidRPr="00894A5F" w:rsidRDefault="00894A5F" w:rsidP="00894A5F">
            <w:pPr>
              <w:spacing w:after="0" w:line="240" w:lineRule="auto"/>
              <w:jc w:val="right"/>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53 088,75</w:t>
            </w:r>
          </w:p>
        </w:tc>
        <w:tc>
          <w:tcPr>
            <w:tcW w:w="711" w:type="dxa"/>
            <w:tcBorders>
              <w:top w:val="single" w:sz="8" w:space="0" w:color="auto"/>
              <w:left w:val="nil"/>
              <w:bottom w:val="single" w:sz="4" w:space="0" w:color="auto"/>
              <w:right w:val="single" w:sz="8" w:space="0" w:color="auto"/>
            </w:tcBorders>
            <w:shd w:val="clear" w:color="auto" w:fill="auto"/>
            <w:noWrap/>
            <w:vAlign w:val="bottom"/>
            <w:hideMark/>
          </w:tcPr>
          <w:p w14:paraId="68DA08A4" w14:textId="77777777" w:rsidR="00894A5F" w:rsidRPr="00894A5F" w:rsidRDefault="00894A5F" w:rsidP="00894A5F">
            <w:pPr>
              <w:spacing w:after="0" w:line="240" w:lineRule="auto"/>
              <w:jc w:val="right"/>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30,2</w:t>
            </w:r>
          </w:p>
        </w:tc>
      </w:tr>
      <w:tr w:rsidR="00894A5F" w:rsidRPr="00894A5F" w14:paraId="3998B745" w14:textId="77777777" w:rsidTr="00894A5F">
        <w:trPr>
          <w:trHeight w:val="300"/>
        </w:trPr>
        <w:tc>
          <w:tcPr>
            <w:tcW w:w="880" w:type="dxa"/>
            <w:tcBorders>
              <w:top w:val="nil"/>
              <w:left w:val="single" w:sz="8" w:space="0" w:color="auto"/>
              <w:bottom w:val="single" w:sz="4" w:space="0" w:color="auto"/>
              <w:right w:val="single" w:sz="4" w:space="0" w:color="auto"/>
            </w:tcBorders>
            <w:shd w:val="clear" w:color="auto" w:fill="auto"/>
            <w:noWrap/>
            <w:vAlign w:val="bottom"/>
            <w:hideMark/>
          </w:tcPr>
          <w:p w14:paraId="4C2EF6AF" w14:textId="77777777" w:rsidR="00894A5F" w:rsidRPr="00894A5F" w:rsidRDefault="00894A5F" w:rsidP="00894A5F">
            <w:pPr>
              <w:spacing w:after="0" w:line="240" w:lineRule="auto"/>
              <w:jc w:val="center"/>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3121</w:t>
            </w:r>
          </w:p>
        </w:tc>
        <w:tc>
          <w:tcPr>
            <w:tcW w:w="3399" w:type="dxa"/>
            <w:tcBorders>
              <w:top w:val="nil"/>
              <w:left w:val="nil"/>
              <w:bottom w:val="single" w:sz="4" w:space="0" w:color="auto"/>
              <w:right w:val="single" w:sz="4" w:space="0" w:color="auto"/>
            </w:tcBorders>
            <w:shd w:val="clear" w:color="auto" w:fill="auto"/>
            <w:vAlign w:val="bottom"/>
            <w:hideMark/>
          </w:tcPr>
          <w:p w14:paraId="40BA7FBA" w14:textId="77777777" w:rsidR="00894A5F" w:rsidRPr="00894A5F" w:rsidRDefault="00894A5F" w:rsidP="00894A5F">
            <w:pPr>
              <w:spacing w:after="0" w:line="240" w:lineRule="auto"/>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Gymnázia</w:t>
            </w:r>
          </w:p>
        </w:tc>
        <w:tc>
          <w:tcPr>
            <w:tcW w:w="1333" w:type="dxa"/>
            <w:tcBorders>
              <w:top w:val="nil"/>
              <w:left w:val="nil"/>
              <w:bottom w:val="single" w:sz="4" w:space="0" w:color="auto"/>
              <w:right w:val="single" w:sz="4" w:space="0" w:color="auto"/>
            </w:tcBorders>
            <w:shd w:val="clear" w:color="000000" w:fill="FFFFFF"/>
            <w:noWrap/>
            <w:vAlign w:val="bottom"/>
            <w:hideMark/>
          </w:tcPr>
          <w:p w14:paraId="4DC2C87A" w14:textId="77777777" w:rsidR="00894A5F" w:rsidRPr="00894A5F" w:rsidRDefault="00894A5F" w:rsidP="00894A5F">
            <w:pPr>
              <w:spacing w:after="0" w:line="240" w:lineRule="auto"/>
              <w:jc w:val="right"/>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0</w:t>
            </w:r>
          </w:p>
        </w:tc>
        <w:tc>
          <w:tcPr>
            <w:tcW w:w="1713" w:type="dxa"/>
            <w:tcBorders>
              <w:top w:val="nil"/>
              <w:left w:val="nil"/>
              <w:bottom w:val="single" w:sz="4" w:space="0" w:color="auto"/>
              <w:right w:val="single" w:sz="4" w:space="0" w:color="auto"/>
            </w:tcBorders>
            <w:shd w:val="clear" w:color="000000" w:fill="FFFFFF"/>
            <w:noWrap/>
            <w:vAlign w:val="bottom"/>
            <w:hideMark/>
          </w:tcPr>
          <w:p w14:paraId="4491DC38" w14:textId="77777777" w:rsidR="00894A5F" w:rsidRPr="00894A5F" w:rsidRDefault="00894A5F" w:rsidP="00894A5F">
            <w:pPr>
              <w:spacing w:after="0" w:line="240" w:lineRule="auto"/>
              <w:jc w:val="right"/>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100 000,00</w:t>
            </w:r>
          </w:p>
        </w:tc>
        <w:tc>
          <w:tcPr>
            <w:tcW w:w="1664" w:type="dxa"/>
            <w:tcBorders>
              <w:top w:val="nil"/>
              <w:left w:val="nil"/>
              <w:bottom w:val="single" w:sz="4" w:space="0" w:color="auto"/>
              <w:right w:val="single" w:sz="4" w:space="0" w:color="auto"/>
            </w:tcBorders>
            <w:shd w:val="clear" w:color="000000" w:fill="FFFFFF"/>
            <w:noWrap/>
            <w:vAlign w:val="bottom"/>
            <w:hideMark/>
          </w:tcPr>
          <w:p w14:paraId="2ABA1967" w14:textId="77777777" w:rsidR="00894A5F" w:rsidRPr="00894A5F" w:rsidRDefault="00894A5F" w:rsidP="00894A5F">
            <w:pPr>
              <w:spacing w:after="0" w:line="240" w:lineRule="auto"/>
              <w:jc w:val="right"/>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51 536,93</w:t>
            </w:r>
          </w:p>
        </w:tc>
        <w:tc>
          <w:tcPr>
            <w:tcW w:w="711" w:type="dxa"/>
            <w:tcBorders>
              <w:top w:val="nil"/>
              <w:left w:val="nil"/>
              <w:bottom w:val="single" w:sz="4" w:space="0" w:color="auto"/>
              <w:right w:val="single" w:sz="8" w:space="0" w:color="auto"/>
            </w:tcBorders>
            <w:shd w:val="clear" w:color="auto" w:fill="auto"/>
            <w:noWrap/>
            <w:vAlign w:val="bottom"/>
            <w:hideMark/>
          </w:tcPr>
          <w:p w14:paraId="406D3BB7" w14:textId="77777777" w:rsidR="00894A5F" w:rsidRPr="00894A5F" w:rsidRDefault="00894A5F" w:rsidP="00894A5F">
            <w:pPr>
              <w:spacing w:after="0" w:line="240" w:lineRule="auto"/>
              <w:jc w:val="right"/>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51,5</w:t>
            </w:r>
          </w:p>
        </w:tc>
      </w:tr>
      <w:tr w:rsidR="00894A5F" w:rsidRPr="00894A5F" w14:paraId="1E02EB23" w14:textId="77777777" w:rsidTr="00894A5F">
        <w:trPr>
          <w:trHeight w:val="300"/>
        </w:trPr>
        <w:tc>
          <w:tcPr>
            <w:tcW w:w="880" w:type="dxa"/>
            <w:tcBorders>
              <w:top w:val="nil"/>
              <w:left w:val="single" w:sz="8" w:space="0" w:color="auto"/>
              <w:bottom w:val="single" w:sz="4" w:space="0" w:color="auto"/>
              <w:right w:val="single" w:sz="4" w:space="0" w:color="auto"/>
            </w:tcBorders>
            <w:shd w:val="clear" w:color="auto" w:fill="auto"/>
            <w:noWrap/>
            <w:vAlign w:val="bottom"/>
            <w:hideMark/>
          </w:tcPr>
          <w:p w14:paraId="32BB9919" w14:textId="77777777" w:rsidR="00894A5F" w:rsidRPr="00894A5F" w:rsidRDefault="00894A5F" w:rsidP="00894A5F">
            <w:pPr>
              <w:spacing w:after="0" w:line="240" w:lineRule="auto"/>
              <w:jc w:val="center"/>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3123</w:t>
            </w:r>
          </w:p>
        </w:tc>
        <w:tc>
          <w:tcPr>
            <w:tcW w:w="3399" w:type="dxa"/>
            <w:tcBorders>
              <w:top w:val="nil"/>
              <w:left w:val="nil"/>
              <w:bottom w:val="single" w:sz="4" w:space="0" w:color="auto"/>
              <w:right w:val="single" w:sz="4" w:space="0" w:color="auto"/>
            </w:tcBorders>
            <w:shd w:val="clear" w:color="auto" w:fill="auto"/>
            <w:vAlign w:val="bottom"/>
            <w:hideMark/>
          </w:tcPr>
          <w:p w14:paraId="61ED356A" w14:textId="77777777" w:rsidR="00894A5F" w:rsidRPr="00894A5F" w:rsidRDefault="00894A5F" w:rsidP="00894A5F">
            <w:pPr>
              <w:spacing w:after="0" w:line="240" w:lineRule="auto"/>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Střední školy poskytující střední vzdělání s výučním listem</w:t>
            </w:r>
          </w:p>
        </w:tc>
        <w:tc>
          <w:tcPr>
            <w:tcW w:w="1333" w:type="dxa"/>
            <w:tcBorders>
              <w:top w:val="nil"/>
              <w:left w:val="nil"/>
              <w:bottom w:val="single" w:sz="4" w:space="0" w:color="auto"/>
              <w:right w:val="single" w:sz="4" w:space="0" w:color="auto"/>
            </w:tcBorders>
            <w:shd w:val="clear" w:color="000000" w:fill="FFFFFF"/>
            <w:noWrap/>
            <w:vAlign w:val="bottom"/>
            <w:hideMark/>
          </w:tcPr>
          <w:p w14:paraId="6426FB79" w14:textId="77777777" w:rsidR="00894A5F" w:rsidRPr="00894A5F" w:rsidRDefault="00894A5F" w:rsidP="00894A5F">
            <w:pPr>
              <w:spacing w:after="0" w:line="240" w:lineRule="auto"/>
              <w:jc w:val="right"/>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50 000</w:t>
            </w:r>
          </w:p>
        </w:tc>
        <w:tc>
          <w:tcPr>
            <w:tcW w:w="1713" w:type="dxa"/>
            <w:tcBorders>
              <w:top w:val="nil"/>
              <w:left w:val="nil"/>
              <w:bottom w:val="single" w:sz="4" w:space="0" w:color="auto"/>
              <w:right w:val="single" w:sz="4" w:space="0" w:color="auto"/>
            </w:tcBorders>
            <w:shd w:val="clear" w:color="000000" w:fill="FFFFFF"/>
            <w:noWrap/>
            <w:vAlign w:val="bottom"/>
            <w:hideMark/>
          </w:tcPr>
          <w:p w14:paraId="468A343D" w14:textId="77777777" w:rsidR="00894A5F" w:rsidRPr="00894A5F" w:rsidRDefault="00894A5F" w:rsidP="00894A5F">
            <w:pPr>
              <w:spacing w:after="0" w:line="240" w:lineRule="auto"/>
              <w:jc w:val="right"/>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50 000,00</w:t>
            </w:r>
          </w:p>
        </w:tc>
        <w:tc>
          <w:tcPr>
            <w:tcW w:w="1664" w:type="dxa"/>
            <w:tcBorders>
              <w:top w:val="nil"/>
              <w:left w:val="nil"/>
              <w:bottom w:val="single" w:sz="4" w:space="0" w:color="auto"/>
              <w:right w:val="single" w:sz="4" w:space="0" w:color="auto"/>
            </w:tcBorders>
            <w:shd w:val="clear" w:color="000000" w:fill="FFFFFF"/>
            <w:noWrap/>
            <w:vAlign w:val="bottom"/>
            <w:hideMark/>
          </w:tcPr>
          <w:p w14:paraId="3F02D57D" w14:textId="77777777" w:rsidR="00894A5F" w:rsidRPr="00894A5F" w:rsidRDefault="00894A5F" w:rsidP="00894A5F">
            <w:pPr>
              <w:spacing w:after="0" w:line="240" w:lineRule="auto"/>
              <w:jc w:val="right"/>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0,00</w:t>
            </w:r>
          </w:p>
        </w:tc>
        <w:tc>
          <w:tcPr>
            <w:tcW w:w="711" w:type="dxa"/>
            <w:tcBorders>
              <w:top w:val="nil"/>
              <w:left w:val="nil"/>
              <w:bottom w:val="single" w:sz="4" w:space="0" w:color="auto"/>
              <w:right w:val="single" w:sz="8" w:space="0" w:color="auto"/>
            </w:tcBorders>
            <w:shd w:val="clear" w:color="auto" w:fill="auto"/>
            <w:noWrap/>
            <w:vAlign w:val="bottom"/>
            <w:hideMark/>
          </w:tcPr>
          <w:p w14:paraId="6AC4E144" w14:textId="77777777" w:rsidR="00894A5F" w:rsidRPr="00894A5F" w:rsidRDefault="00894A5F" w:rsidP="00894A5F">
            <w:pPr>
              <w:spacing w:after="0" w:line="240" w:lineRule="auto"/>
              <w:jc w:val="right"/>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0,0</w:t>
            </w:r>
          </w:p>
        </w:tc>
      </w:tr>
      <w:tr w:rsidR="00894A5F" w:rsidRPr="00894A5F" w14:paraId="7DBF7A53" w14:textId="77777777" w:rsidTr="00894A5F">
        <w:trPr>
          <w:trHeight w:val="300"/>
        </w:trPr>
        <w:tc>
          <w:tcPr>
            <w:tcW w:w="880" w:type="dxa"/>
            <w:tcBorders>
              <w:top w:val="nil"/>
              <w:left w:val="single" w:sz="8" w:space="0" w:color="auto"/>
              <w:bottom w:val="single" w:sz="4" w:space="0" w:color="auto"/>
              <w:right w:val="single" w:sz="4" w:space="0" w:color="auto"/>
            </w:tcBorders>
            <w:shd w:val="clear" w:color="auto" w:fill="auto"/>
            <w:noWrap/>
            <w:vAlign w:val="bottom"/>
            <w:hideMark/>
          </w:tcPr>
          <w:p w14:paraId="710353E3" w14:textId="77777777" w:rsidR="00894A5F" w:rsidRPr="00894A5F" w:rsidRDefault="00894A5F" w:rsidP="00894A5F">
            <w:pPr>
              <w:spacing w:after="0" w:line="240" w:lineRule="auto"/>
              <w:jc w:val="center"/>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3133</w:t>
            </w:r>
          </w:p>
        </w:tc>
        <w:tc>
          <w:tcPr>
            <w:tcW w:w="3399" w:type="dxa"/>
            <w:tcBorders>
              <w:top w:val="nil"/>
              <w:left w:val="nil"/>
              <w:bottom w:val="single" w:sz="4" w:space="0" w:color="auto"/>
              <w:right w:val="single" w:sz="4" w:space="0" w:color="auto"/>
            </w:tcBorders>
            <w:shd w:val="clear" w:color="auto" w:fill="auto"/>
            <w:vAlign w:val="bottom"/>
            <w:hideMark/>
          </w:tcPr>
          <w:p w14:paraId="27B611D2" w14:textId="77777777" w:rsidR="00894A5F" w:rsidRPr="00894A5F" w:rsidRDefault="00894A5F" w:rsidP="00894A5F">
            <w:pPr>
              <w:spacing w:after="0" w:line="240" w:lineRule="auto"/>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Dětské domovy</w:t>
            </w:r>
          </w:p>
        </w:tc>
        <w:tc>
          <w:tcPr>
            <w:tcW w:w="1333" w:type="dxa"/>
            <w:tcBorders>
              <w:top w:val="nil"/>
              <w:left w:val="nil"/>
              <w:bottom w:val="single" w:sz="4" w:space="0" w:color="auto"/>
              <w:right w:val="single" w:sz="4" w:space="0" w:color="auto"/>
            </w:tcBorders>
            <w:shd w:val="clear" w:color="000000" w:fill="FFFFFF"/>
            <w:noWrap/>
            <w:vAlign w:val="bottom"/>
            <w:hideMark/>
          </w:tcPr>
          <w:p w14:paraId="0ED65D90" w14:textId="77777777" w:rsidR="00894A5F" w:rsidRPr="00894A5F" w:rsidRDefault="00894A5F" w:rsidP="00894A5F">
            <w:pPr>
              <w:spacing w:after="0" w:line="240" w:lineRule="auto"/>
              <w:jc w:val="right"/>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50 000</w:t>
            </w:r>
          </w:p>
        </w:tc>
        <w:tc>
          <w:tcPr>
            <w:tcW w:w="1713" w:type="dxa"/>
            <w:tcBorders>
              <w:top w:val="nil"/>
              <w:left w:val="nil"/>
              <w:bottom w:val="single" w:sz="4" w:space="0" w:color="auto"/>
              <w:right w:val="single" w:sz="4" w:space="0" w:color="auto"/>
            </w:tcBorders>
            <w:shd w:val="clear" w:color="000000" w:fill="FFFFFF"/>
            <w:noWrap/>
            <w:vAlign w:val="bottom"/>
            <w:hideMark/>
          </w:tcPr>
          <w:p w14:paraId="50D02099" w14:textId="77777777" w:rsidR="00894A5F" w:rsidRPr="00894A5F" w:rsidRDefault="00894A5F" w:rsidP="00894A5F">
            <w:pPr>
              <w:spacing w:after="0" w:line="240" w:lineRule="auto"/>
              <w:jc w:val="right"/>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50 000,00</w:t>
            </w:r>
          </w:p>
        </w:tc>
        <w:tc>
          <w:tcPr>
            <w:tcW w:w="1664" w:type="dxa"/>
            <w:tcBorders>
              <w:top w:val="nil"/>
              <w:left w:val="nil"/>
              <w:bottom w:val="single" w:sz="4" w:space="0" w:color="auto"/>
              <w:right w:val="single" w:sz="4" w:space="0" w:color="auto"/>
            </w:tcBorders>
            <w:shd w:val="clear" w:color="000000" w:fill="FFFFFF"/>
            <w:noWrap/>
            <w:vAlign w:val="bottom"/>
            <w:hideMark/>
          </w:tcPr>
          <w:p w14:paraId="5B7F6BC4" w14:textId="77777777" w:rsidR="00894A5F" w:rsidRPr="00894A5F" w:rsidRDefault="00894A5F" w:rsidP="00894A5F">
            <w:pPr>
              <w:spacing w:after="0" w:line="240" w:lineRule="auto"/>
              <w:jc w:val="right"/>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0,00</w:t>
            </w:r>
          </w:p>
        </w:tc>
        <w:tc>
          <w:tcPr>
            <w:tcW w:w="711" w:type="dxa"/>
            <w:tcBorders>
              <w:top w:val="nil"/>
              <w:left w:val="nil"/>
              <w:bottom w:val="single" w:sz="4" w:space="0" w:color="auto"/>
              <w:right w:val="single" w:sz="8" w:space="0" w:color="auto"/>
            </w:tcBorders>
            <w:shd w:val="clear" w:color="auto" w:fill="auto"/>
            <w:noWrap/>
            <w:vAlign w:val="bottom"/>
            <w:hideMark/>
          </w:tcPr>
          <w:p w14:paraId="42562468" w14:textId="77777777" w:rsidR="00894A5F" w:rsidRPr="00894A5F" w:rsidRDefault="00894A5F" w:rsidP="00894A5F">
            <w:pPr>
              <w:spacing w:after="0" w:line="240" w:lineRule="auto"/>
              <w:jc w:val="right"/>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0,0</w:t>
            </w:r>
          </w:p>
        </w:tc>
      </w:tr>
      <w:tr w:rsidR="00894A5F" w:rsidRPr="00894A5F" w14:paraId="3FF8CDCC" w14:textId="77777777" w:rsidTr="00894A5F">
        <w:trPr>
          <w:trHeight w:val="300"/>
        </w:trPr>
        <w:tc>
          <w:tcPr>
            <w:tcW w:w="880" w:type="dxa"/>
            <w:tcBorders>
              <w:top w:val="nil"/>
              <w:left w:val="single" w:sz="8" w:space="0" w:color="auto"/>
              <w:bottom w:val="single" w:sz="4" w:space="0" w:color="auto"/>
              <w:right w:val="single" w:sz="4" w:space="0" w:color="auto"/>
            </w:tcBorders>
            <w:shd w:val="clear" w:color="auto" w:fill="auto"/>
            <w:noWrap/>
            <w:vAlign w:val="bottom"/>
            <w:hideMark/>
          </w:tcPr>
          <w:p w14:paraId="35C4CC79" w14:textId="77777777" w:rsidR="00894A5F" w:rsidRPr="00894A5F" w:rsidRDefault="00894A5F" w:rsidP="00894A5F">
            <w:pPr>
              <w:spacing w:after="0" w:line="240" w:lineRule="auto"/>
              <w:jc w:val="center"/>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3269</w:t>
            </w:r>
          </w:p>
        </w:tc>
        <w:tc>
          <w:tcPr>
            <w:tcW w:w="3399" w:type="dxa"/>
            <w:tcBorders>
              <w:top w:val="nil"/>
              <w:left w:val="nil"/>
              <w:bottom w:val="single" w:sz="4" w:space="0" w:color="auto"/>
              <w:right w:val="single" w:sz="4" w:space="0" w:color="auto"/>
            </w:tcBorders>
            <w:shd w:val="clear" w:color="auto" w:fill="auto"/>
            <w:vAlign w:val="bottom"/>
            <w:hideMark/>
          </w:tcPr>
          <w:p w14:paraId="59E4FD6C" w14:textId="77777777" w:rsidR="00894A5F" w:rsidRPr="00894A5F" w:rsidRDefault="00894A5F" w:rsidP="00894A5F">
            <w:pPr>
              <w:spacing w:after="0" w:line="240" w:lineRule="auto"/>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Ostatní správa ve vzdělávání j.n.</w:t>
            </w:r>
          </w:p>
        </w:tc>
        <w:tc>
          <w:tcPr>
            <w:tcW w:w="1333" w:type="dxa"/>
            <w:tcBorders>
              <w:top w:val="nil"/>
              <w:left w:val="nil"/>
              <w:bottom w:val="single" w:sz="4" w:space="0" w:color="auto"/>
              <w:right w:val="single" w:sz="4" w:space="0" w:color="auto"/>
            </w:tcBorders>
            <w:shd w:val="clear" w:color="000000" w:fill="FFFFFF"/>
            <w:noWrap/>
            <w:vAlign w:val="bottom"/>
            <w:hideMark/>
          </w:tcPr>
          <w:p w14:paraId="40DAEC4E" w14:textId="77777777" w:rsidR="00894A5F" w:rsidRPr="00894A5F" w:rsidRDefault="00894A5F" w:rsidP="00894A5F">
            <w:pPr>
              <w:spacing w:after="0" w:line="240" w:lineRule="auto"/>
              <w:jc w:val="right"/>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0</w:t>
            </w:r>
          </w:p>
        </w:tc>
        <w:tc>
          <w:tcPr>
            <w:tcW w:w="1713" w:type="dxa"/>
            <w:tcBorders>
              <w:top w:val="nil"/>
              <w:left w:val="nil"/>
              <w:bottom w:val="single" w:sz="4" w:space="0" w:color="auto"/>
              <w:right w:val="single" w:sz="4" w:space="0" w:color="auto"/>
            </w:tcBorders>
            <w:shd w:val="clear" w:color="000000" w:fill="FFFFFF"/>
            <w:noWrap/>
            <w:vAlign w:val="bottom"/>
            <w:hideMark/>
          </w:tcPr>
          <w:p w14:paraId="29A83E89" w14:textId="77777777" w:rsidR="00894A5F" w:rsidRPr="00894A5F" w:rsidRDefault="00894A5F" w:rsidP="00894A5F">
            <w:pPr>
              <w:spacing w:after="0" w:line="240" w:lineRule="auto"/>
              <w:jc w:val="right"/>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500 000,00</w:t>
            </w:r>
          </w:p>
        </w:tc>
        <w:tc>
          <w:tcPr>
            <w:tcW w:w="1664" w:type="dxa"/>
            <w:tcBorders>
              <w:top w:val="nil"/>
              <w:left w:val="nil"/>
              <w:bottom w:val="single" w:sz="4" w:space="0" w:color="auto"/>
              <w:right w:val="single" w:sz="4" w:space="0" w:color="auto"/>
            </w:tcBorders>
            <w:shd w:val="clear" w:color="000000" w:fill="FFFFFF"/>
            <w:noWrap/>
            <w:vAlign w:val="bottom"/>
            <w:hideMark/>
          </w:tcPr>
          <w:p w14:paraId="3673CB36" w14:textId="77777777" w:rsidR="00894A5F" w:rsidRPr="00894A5F" w:rsidRDefault="00894A5F" w:rsidP="00894A5F">
            <w:pPr>
              <w:spacing w:after="0" w:line="240" w:lineRule="auto"/>
              <w:jc w:val="right"/>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263 401,88</w:t>
            </w:r>
          </w:p>
        </w:tc>
        <w:tc>
          <w:tcPr>
            <w:tcW w:w="711" w:type="dxa"/>
            <w:tcBorders>
              <w:top w:val="nil"/>
              <w:left w:val="nil"/>
              <w:bottom w:val="single" w:sz="4" w:space="0" w:color="auto"/>
              <w:right w:val="single" w:sz="8" w:space="0" w:color="auto"/>
            </w:tcBorders>
            <w:shd w:val="clear" w:color="auto" w:fill="auto"/>
            <w:noWrap/>
            <w:vAlign w:val="bottom"/>
            <w:hideMark/>
          </w:tcPr>
          <w:p w14:paraId="1347AE5C" w14:textId="77777777" w:rsidR="00894A5F" w:rsidRPr="00894A5F" w:rsidRDefault="00894A5F" w:rsidP="00894A5F">
            <w:pPr>
              <w:spacing w:after="0" w:line="240" w:lineRule="auto"/>
              <w:jc w:val="right"/>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52,7</w:t>
            </w:r>
          </w:p>
        </w:tc>
      </w:tr>
      <w:tr w:rsidR="00894A5F" w:rsidRPr="00894A5F" w14:paraId="648753AA" w14:textId="77777777" w:rsidTr="00894A5F">
        <w:trPr>
          <w:trHeight w:val="300"/>
        </w:trPr>
        <w:tc>
          <w:tcPr>
            <w:tcW w:w="880" w:type="dxa"/>
            <w:tcBorders>
              <w:top w:val="nil"/>
              <w:left w:val="single" w:sz="8" w:space="0" w:color="auto"/>
              <w:bottom w:val="single" w:sz="4" w:space="0" w:color="auto"/>
              <w:right w:val="single" w:sz="4" w:space="0" w:color="auto"/>
            </w:tcBorders>
            <w:shd w:val="clear" w:color="auto" w:fill="auto"/>
            <w:noWrap/>
            <w:vAlign w:val="bottom"/>
            <w:hideMark/>
          </w:tcPr>
          <w:p w14:paraId="46FBE4CC" w14:textId="77777777" w:rsidR="00894A5F" w:rsidRPr="00894A5F" w:rsidRDefault="00894A5F" w:rsidP="00894A5F">
            <w:pPr>
              <w:spacing w:after="0" w:line="240" w:lineRule="auto"/>
              <w:jc w:val="center"/>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3315</w:t>
            </w:r>
          </w:p>
        </w:tc>
        <w:tc>
          <w:tcPr>
            <w:tcW w:w="3399" w:type="dxa"/>
            <w:tcBorders>
              <w:top w:val="nil"/>
              <w:left w:val="nil"/>
              <w:bottom w:val="single" w:sz="4" w:space="0" w:color="auto"/>
              <w:right w:val="single" w:sz="4" w:space="0" w:color="auto"/>
            </w:tcBorders>
            <w:shd w:val="clear" w:color="auto" w:fill="auto"/>
            <w:vAlign w:val="bottom"/>
            <w:hideMark/>
          </w:tcPr>
          <w:p w14:paraId="48855035" w14:textId="77777777" w:rsidR="00894A5F" w:rsidRPr="00894A5F" w:rsidRDefault="00894A5F" w:rsidP="00894A5F">
            <w:pPr>
              <w:spacing w:after="0" w:line="240" w:lineRule="auto"/>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Činnosti muzeí a galerií</w:t>
            </w:r>
          </w:p>
        </w:tc>
        <w:tc>
          <w:tcPr>
            <w:tcW w:w="1333" w:type="dxa"/>
            <w:tcBorders>
              <w:top w:val="nil"/>
              <w:left w:val="nil"/>
              <w:bottom w:val="single" w:sz="4" w:space="0" w:color="auto"/>
              <w:right w:val="single" w:sz="4" w:space="0" w:color="auto"/>
            </w:tcBorders>
            <w:shd w:val="clear" w:color="000000" w:fill="FFFFFF"/>
            <w:noWrap/>
            <w:vAlign w:val="bottom"/>
            <w:hideMark/>
          </w:tcPr>
          <w:p w14:paraId="3D62E2E3" w14:textId="77777777" w:rsidR="00894A5F" w:rsidRPr="00894A5F" w:rsidRDefault="00894A5F" w:rsidP="00894A5F">
            <w:pPr>
              <w:spacing w:after="0" w:line="240" w:lineRule="auto"/>
              <w:jc w:val="right"/>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0</w:t>
            </w:r>
          </w:p>
        </w:tc>
        <w:tc>
          <w:tcPr>
            <w:tcW w:w="1713" w:type="dxa"/>
            <w:tcBorders>
              <w:top w:val="nil"/>
              <w:left w:val="nil"/>
              <w:bottom w:val="single" w:sz="4" w:space="0" w:color="auto"/>
              <w:right w:val="single" w:sz="4" w:space="0" w:color="auto"/>
            </w:tcBorders>
            <w:shd w:val="clear" w:color="000000" w:fill="FFFFFF"/>
            <w:noWrap/>
            <w:vAlign w:val="bottom"/>
            <w:hideMark/>
          </w:tcPr>
          <w:p w14:paraId="15A6EBF2" w14:textId="77777777" w:rsidR="00894A5F" w:rsidRPr="00894A5F" w:rsidRDefault="00894A5F" w:rsidP="00894A5F">
            <w:pPr>
              <w:spacing w:after="0" w:line="240" w:lineRule="auto"/>
              <w:jc w:val="right"/>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30 000,00</w:t>
            </w:r>
          </w:p>
        </w:tc>
        <w:tc>
          <w:tcPr>
            <w:tcW w:w="1664" w:type="dxa"/>
            <w:tcBorders>
              <w:top w:val="nil"/>
              <w:left w:val="nil"/>
              <w:bottom w:val="single" w:sz="4" w:space="0" w:color="auto"/>
              <w:right w:val="single" w:sz="4" w:space="0" w:color="auto"/>
            </w:tcBorders>
            <w:shd w:val="clear" w:color="000000" w:fill="FFFFFF"/>
            <w:noWrap/>
            <w:vAlign w:val="bottom"/>
            <w:hideMark/>
          </w:tcPr>
          <w:p w14:paraId="3FB64F59" w14:textId="77777777" w:rsidR="00894A5F" w:rsidRPr="00894A5F" w:rsidRDefault="00894A5F" w:rsidP="00894A5F">
            <w:pPr>
              <w:spacing w:after="0" w:line="240" w:lineRule="auto"/>
              <w:jc w:val="right"/>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5 717,25</w:t>
            </w:r>
          </w:p>
        </w:tc>
        <w:tc>
          <w:tcPr>
            <w:tcW w:w="711" w:type="dxa"/>
            <w:tcBorders>
              <w:top w:val="nil"/>
              <w:left w:val="nil"/>
              <w:bottom w:val="single" w:sz="4" w:space="0" w:color="auto"/>
              <w:right w:val="single" w:sz="8" w:space="0" w:color="auto"/>
            </w:tcBorders>
            <w:shd w:val="clear" w:color="auto" w:fill="auto"/>
            <w:noWrap/>
            <w:vAlign w:val="bottom"/>
            <w:hideMark/>
          </w:tcPr>
          <w:p w14:paraId="500ED828" w14:textId="77777777" w:rsidR="00894A5F" w:rsidRPr="00894A5F" w:rsidRDefault="00894A5F" w:rsidP="00894A5F">
            <w:pPr>
              <w:spacing w:after="0" w:line="240" w:lineRule="auto"/>
              <w:jc w:val="right"/>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19,1</w:t>
            </w:r>
          </w:p>
        </w:tc>
      </w:tr>
      <w:tr w:rsidR="00894A5F" w:rsidRPr="00894A5F" w14:paraId="280E8EA2" w14:textId="77777777" w:rsidTr="00894A5F">
        <w:trPr>
          <w:trHeight w:val="300"/>
        </w:trPr>
        <w:tc>
          <w:tcPr>
            <w:tcW w:w="880" w:type="dxa"/>
            <w:tcBorders>
              <w:top w:val="nil"/>
              <w:left w:val="single" w:sz="8" w:space="0" w:color="auto"/>
              <w:bottom w:val="single" w:sz="4" w:space="0" w:color="auto"/>
              <w:right w:val="single" w:sz="4" w:space="0" w:color="auto"/>
            </w:tcBorders>
            <w:shd w:val="clear" w:color="auto" w:fill="auto"/>
            <w:noWrap/>
            <w:vAlign w:val="bottom"/>
            <w:hideMark/>
          </w:tcPr>
          <w:p w14:paraId="36A1987E" w14:textId="77777777" w:rsidR="00894A5F" w:rsidRPr="00894A5F" w:rsidRDefault="00894A5F" w:rsidP="00894A5F">
            <w:pPr>
              <w:spacing w:after="0" w:line="240" w:lineRule="auto"/>
              <w:jc w:val="center"/>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3613</w:t>
            </w:r>
          </w:p>
        </w:tc>
        <w:tc>
          <w:tcPr>
            <w:tcW w:w="3399" w:type="dxa"/>
            <w:tcBorders>
              <w:top w:val="nil"/>
              <w:left w:val="nil"/>
              <w:bottom w:val="single" w:sz="4" w:space="0" w:color="auto"/>
              <w:right w:val="single" w:sz="4" w:space="0" w:color="auto"/>
            </w:tcBorders>
            <w:shd w:val="clear" w:color="auto" w:fill="auto"/>
            <w:vAlign w:val="bottom"/>
            <w:hideMark/>
          </w:tcPr>
          <w:p w14:paraId="7063FDA6" w14:textId="77777777" w:rsidR="00894A5F" w:rsidRPr="00894A5F" w:rsidRDefault="00894A5F" w:rsidP="00894A5F">
            <w:pPr>
              <w:spacing w:after="0" w:line="240" w:lineRule="auto"/>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Nebytové hospodářství</w:t>
            </w:r>
          </w:p>
        </w:tc>
        <w:tc>
          <w:tcPr>
            <w:tcW w:w="1333" w:type="dxa"/>
            <w:tcBorders>
              <w:top w:val="nil"/>
              <w:left w:val="nil"/>
              <w:bottom w:val="single" w:sz="4" w:space="0" w:color="auto"/>
              <w:right w:val="single" w:sz="4" w:space="0" w:color="auto"/>
            </w:tcBorders>
            <w:shd w:val="clear" w:color="000000" w:fill="FFFFFF"/>
            <w:noWrap/>
            <w:vAlign w:val="bottom"/>
            <w:hideMark/>
          </w:tcPr>
          <w:p w14:paraId="4706CE61" w14:textId="77777777" w:rsidR="00894A5F" w:rsidRPr="00894A5F" w:rsidRDefault="00894A5F" w:rsidP="00894A5F">
            <w:pPr>
              <w:spacing w:after="0" w:line="240" w:lineRule="auto"/>
              <w:jc w:val="right"/>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100 000</w:t>
            </w:r>
          </w:p>
        </w:tc>
        <w:tc>
          <w:tcPr>
            <w:tcW w:w="1713" w:type="dxa"/>
            <w:tcBorders>
              <w:top w:val="nil"/>
              <w:left w:val="nil"/>
              <w:bottom w:val="single" w:sz="4" w:space="0" w:color="auto"/>
              <w:right w:val="single" w:sz="4" w:space="0" w:color="auto"/>
            </w:tcBorders>
            <w:shd w:val="clear" w:color="000000" w:fill="FFFFFF"/>
            <w:noWrap/>
            <w:vAlign w:val="bottom"/>
            <w:hideMark/>
          </w:tcPr>
          <w:p w14:paraId="6B28297D" w14:textId="77777777" w:rsidR="00894A5F" w:rsidRPr="00894A5F" w:rsidRDefault="00894A5F" w:rsidP="00894A5F">
            <w:pPr>
              <w:spacing w:after="0" w:line="240" w:lineRule="auto"/>
              <w:jc w:val="right"/>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100 000,00</w:t>
            </w:r>
          </w:p>
        </w:tc>
        <w:tc>
          <w:tcPr>
            <w:tcW w:w="1664" w:type="dxa"/>
            <w:tcBorders>
              <w:top w:val="nil"/>
              <w:left w:val="nil"/>
              <w:bottom w:val="single" w:sz="4" w:space="0" w:color="auto"/>
              <w:right w:val="single" w:sz="4" w:space="0" w:color="auto"/>
            </w:tcBorders>
            <w:shd w:val="clear" w:color="000000" w:fill="FFFFFF"/>
            <w:noWrap/>
            <w:vAlign w:val="bottom"/>
            <w:hideMark/>
          </w:tcPr>
          <w:p w14:paraId="7ECCA0D5" w14:textId="77777777" w:rsidR="00894A5F" w:rsidRPr="00894A5F" w:rsidRDefault="00894A5F" w:rsidP="00894A5F">
            <w:pPr>
              <w:spacing w:after="0" w:line="240" w:lineRule="auto"/>
              <w:jc w:val="right"/>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0,00</w:t>
            </w:r>
          </w:p>
        </w:tc>
        <w:tc>
          <w:tcPr>
            <w:tcW w:w="711" w:type="dxa"/>
            <w:tcBorders>
              <w:top w:val="nil"/>
              <w:left w:val="nil"/>
              <w:bottom w:val="single" w:sz="4" w:space="0" w:color="auto"/>
              <w:right w:val="single" w:sz="8" w:space="0" w:color="auto"/>
            </w:tcBorders>
            <w:shd w:val="clear" w:color="auto" w:fill="auto"/>
            <w:noWrap/>
            <w:vAlign w:val="bottom"/>
            <w:hideMark/>
          </w:tcPr>
          <w:p w14:paraId="0B431879" w14:textId="77777777" w:rsidR="00894A5F" w:rsidRPr="00894A5F" w:rsidRDefault="00894A5F" w:rsidP="00894A5F">
            <w:pPr>
              <w:spacing w:after="0" w:line="240" w:lineRule="auto"/>
              <w:jc w:val="right"/>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0,0</w:t>
            </w:r>
          </w:p>
        </w:tc>
      </w:tr>
      <w:tr w:rsidR="00894A5F" w:rsidRPr="00894A5F" w14:paraId="3E884152" w14:textId="77777777" w:rsidTr="00894A5F">
        <w:trPr>
          <w:trHeight w:val="300"/>
        </w:trPr>
        <w:tc>
          <w:tcPr>
            <w:tcW w:w="880" w:type="dxa"/>
            <w:tcBorders>
              <w:top w:val="nil"/>
              <w:left w:val="single" w:sz="8" w:space="0" w:color="auto"/>
              <w:bottom w:val="single" w:sz="4" w:space="0" w:color="auto"/>
              <w:right w:val="single" w:sz="4" w:space="0" w:color="auto"/>
            </w:tcBorders>
            <w:shd w:val="clear" w:color="auto" w:fill="auto"/>
            <w:noWrap/>
            <w:vAlign w:val="bottom"/>
            <w:hideMark/>
          </w:tcPr>
          <w:p w14:paraId="5182AAED" w14:textId="77777777" w:rsidR="00894A5F" w:rsidRPr="00894A5F" w:rsidRDefault="00894A5F" w:rsidP="00894A5F">
            <w:pPr>
              <w:spacing w:after="0" w:line="240" w:lineRule="auto"/>
              <w:jc w:val="center"/>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4350</w:t>
            </w:r>
          </w:p>
        </w:tc>
        <w:tc>
          <w:tcPr>
            <w:tcW w:w="3399" w:type="dxa"/>
            <w:tcBorders>
              <w:top w:val="nil"/>
              <w:left w:val="nil"/>
              <w:bottom w:val="single" w:sz="4" w:space="0" w:color="auto"/>
              <w:right w:val="single" w:sz="4" w:space="0" w:color="auto"/>
            </w:tcBorders>
            <w:shd w:val="clear" w:color="auto" w:fill="auto"/>
            <w:vAlign w:val="bottom"/>
            <w:hideMark/>
          </w:tcPr>
          <w:p w14:paraId="1CE42A47" w14:textId="77777777" w:rsidR="00894A5F" w:rsidRPr="00894A5F" w:rsidRDefault="00894A5F" w:rsidP="00894A5F">
            <w:pPr>
              <w:spacing w:after="0" w:line="240" w:lineRule="auto"/>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Domovy pro seniory</w:t>
            </w:r>
          </w:p>
        </w:tc>
        <w:tc>
          <w:tcPr>
            <w:tcW w:w="1333" w:type="dxa"/>
            <w:tcBorders>
              <w:top w:val="nil"/>
              <w:left w:val="nil"/>
              <w:bottom w:val="single" w:sz="4" w:space="0" w:color="auto"/>
              <w:right w:val="single" w:sz="4" w:space="0" w:color="auto"/>
            </w:tcBorders>
            <w:shd w:val="clear" w:color="000000" w:fill="FFFFFF"/>
            <w:noWrap/>
            <w:vAlign w:val="bottom"/>
            <w:hideMark/>
          </w:tcPr>
          <w:p w14:paraId="7836BA02" w14:textId="77777777" w:rsidR="00894A5F" w:rsidRPr="00894A5F" w:rsidRDefault="00894A5F" w:rsidP="00894A5F">
            <w:pPr>
              <w:spacing w:after="0" w:line="240" w:lineRule="auto"/>
              <w:jc w:val="right"/>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0</w:t>
            </w:r>
          </w:p>
        </w:tc>
        <w:tc>
          <w:tcPr>
            <w:tcW w:w="1713" w:type="dxa"/>
            <w:tcBorders>
              <w:top w:val="nil"/>
              <w:left w:val="nil"/>
              <w:bottom w:val="single" w:sz="4" w:space="0" w:color="auto"/>
              <w:right w:val="single" w:sz="4" w:space="0" w:color="auto"/>
            </w:tcBorders>
            <w:shd w:val="clear" w:color="000000" w:fill="FFFFFF"/>
            <w:noWrap/>
            <w:vAlign w:val="bottom"/>
            <w:hideMark/>
          </w:tcPr>
          <w:p w14:paraId="668AE539" w14:textId="77777777" w:rsidR="00894A5F" w:rsidRPr="00894A5F" w:rsidRDefault="00894A5F" w:rsidP="00894A5F">
            <w:pPr>
              <w:spacing w:after="0" w:line="240" w:lineRule="auto"/>
              <w:jc w:val="right"/>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50 000,00</w:t>
            </w:r>
          </w:p>
        </w:tc>
        <w:tc>
          <w:tcPr>
            <w:tcW w:w="1664" w:type="dxa"/>
            <w:tcBorders>
              <w:top w:val="nil"/>
              <w:left w:val="nil"/>
              <w:bottom w:val="single" w:sz="4" w:space="0" w:color="auto"/>
              <w:right w:val="single" w:sz="4" w:space="0" w:color="auto"/>
            </w:tcBorders>
            <w:shd w:val="clear" w:color="000000" w:fill="FFFFFF"/>
            <w:noWrap/>
            <w:vAlign w:val="bottom"/>
            <w:hideMark/>
          </w:tcPr>
          <w:p w14:paraId="79889757" w14:textId="77777777" w:rsidR="00894A5F" w:rsidRPr="00894A5F" w:rsidRDefault="00894A5F" w:rsidP="00894A5F">
            <w:pPr>
              <w:spacing w:after="0" w:line="240" w:lineRule="auto"/>
              <w:jc w:val="right"/>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6 534,00</w:t>
            </w:r>
          </w:p>
        </w:tc>
        <w:tc>
          <w:tcPr>
            <w:tcW w:w="711" w:type="dxa"/>
            <w:tcBorders>
              <w:top w:val="nil"/>
              <w:left w:val="nil"/>
              <w:bottom w:val="single" w:sz="4" w:space="0" w:color="auto"/>
              <w:right w:val="single" w:sz="8" w:space="0" w:color="auto"/>
            </w:tcBorders>
            <w:shd w:val="clear" w:color="auto" w:fill="auto"/>
            <w:noWrap/>
            <w:vAlign w:val="bottom"/>
            <w:hideMark/>
          </w:tcPr>
          <w:p w14:paraId="0822EA6E" w14:textId="77777777" w:rsidR="00894A5F" w:rsidRPr="00894A5F" w:rsidRDefault="00894A5F" w:rsidP="00894A5F">
            <w:pPr>
              <w:spacing w:after="0" w:line="240" w:lineRule="auto"/>
              <w:jc w:val="right"/>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13,1</w:t>
            </w:r>
          </w:p>
        </w:tc>
      </w:tr>
      <w:tr w:rsidR="00894A5F" w:rsidRPr="00894A5F" w14:paraId="5358FF4A" w14:textId="77777777" w:rsidTr="00894A5F">
        <w:trPr>
          <w:trHeight w:val="300"/>
        </w:trPr>
        <w:tc>
          <w:tcPr>
            <w:tcW w:w="880" w:type="dxa"/>
            <w:tcBorders>
              <w:top w:val="nil"/>
              <w:left w:val="single" w:sz="8" w:space="0" w:color="auto"/>
              <w:bottom w:val="single" w:sz="4" w:space="0" w:color="auto"/>
              <w:right w:val="single" w:sz="4" w:space="0" w:color="auto"/>
            </w:tcBorders>
            <w:shd w:val="clear" w:color="auto" w:fill="auto"/>
            <w:noWrap/>
            <w:vAlign w:val="bottom"/>
            <w:hideMark/>
          </w:tcPr>
          <w:p w14:paraId="0C3ECBF2" w14:textId="77777777" w:rsidR="00894A5F" w:rsidRPr="00894A5F" w:rsidRDefault="00894A5F" w:rsidP="00894A5F">
            <w:pPr>
              <w:spacing w:after="0" w:line="240" w:lineRule="auto"/>
              <w:jc w:val="center"/>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6113</w:t>
            </w:r>
          </w:p>
        </w:tc>
        <w:tc>
          <w:tcPr>
            <w:tcW w:w="3399" w:type="dxa"/>
            <w:tcBorders>
              <w:top w:val="nil"/>
              <w:left w:val="nil"/>
              <w:bottom w:val="single" w:sz="4" w:space="0" w:color="auto"/>
              <w:right w:val="single" w:sz="4" w:space="0" w:color="auto"/>
            </w:tcBorders>
            <w:shd w:val="clear" w:color="auto" w:fill="auto"/>
            <w:vAlign w:val="bottom"/>
            <w:hideMark/>
          </w:tcPr>
          <w:p w14:paraId="6022BEA1" w14:textId="77777777" w:rsidR="00894A5F" w:rsidRPr="00894A5F" w:rsidRDefault="00894A5F" w:rsidP="00894A5F">
            <w:pPr>
              <w:spacing w:after="0" w:line="240" w:lineRule="auto"/>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Zastupitelstva krajů</w:t>
            </w:r>
          </w:p>
        </w:tc>
        <w:tc>
          <w:tcPr>
            <w:tcW w:w="1333" w:type="dxa"/>
            <w:tcBorders>
              <w:top w:val="nil"/>
              <w:left w:val="nil"/>
              <w:bottom w:val="single" w:sz="4" w:space="0" w:color="auto"/>
              <w:right w:val="single" w:sz="4" w:space="0" w:color="auto"/>
            </w:tcBorders>
            <w:shd w:val="clear" w:color="000000" w:fill="FFFFFF"/>
            <w:noWrap/>
            <w:vAlign w:val="bottom"/>
            <w:hideMark/>
          </w:tcPr>
          <w:p w14:paraId="2FF81DC7" w14:textId="77777777" w:rsidR="00894A5F" w:rsidRPr="00894A5F" w:rsidRDefault="00894A5F" w:rsidP="00894A5F">
            <w:pPr>
              <w:spacing w:after="0" w:line="240" w:lineRule="auto"/>
              <w:jc w:val="right"/>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100 000</w:t>
            </w:r>
          </w:p>
        </w:tc>
        <w:tc>
          <w:tcPr>
            <w:tcW w:w="1713" w:type="dxa"/>
            <w:tcBorders>
              <w:top w:val="nil"/>
              <w:left w:val="nil"/>
              <w:bottom w:val="single" w:sz="4" w:space="0" w:color="auto"/>
              <w:right w:val="single" w:sz="4" w:space="0" w:color="auto"/>
            </w:tcBorders>
            <w:shd w:val="clear" w:color="000000" w:fill="FFFFFF"/>
            <w:noWrap/>
            <w:vAlign w:val="bottom"/>
            <w:hideMark/>
          </w:tcPr>
          <w:p w14:paraId="5C9B155C" w14:textId="77777777" w:rsidR="00894A5F" w:rsidRPr="00894A5F" w:rsidRDefault="00894A5F" w:rsidP="00894A5F">
            <w:pPr>
              <w:spacing w:after="0" w:line="240" w:lineRule="auto"/>
              <w:jc w:val="right"/>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100 000,00</w:t>
            </w:r>
          </w:p>
        </w:tc>
        <w:tc>
          <w:tcPr>
            <w:tcW w:w="1664" w:type="dxa"/>
            <w:tcBorders>
              <w:top w:val="nil"/>
              <w:left w:val="nil"/>
              <w:bottom w:val="single" w:sz="4" w:space="0" w:color="auto"/>
              <w:right w:val="single" w:sz="4" w:space="0" w:color="auto"/>
            </w:tcBorders>
            <w:shd w:val="clear" w:color="000000" w:fill="FFFFFF"/>
            <w:noWrap/>
            <w:vAlign w:val="bottom"/>
            <w:hideMark/>
          </w:tcPr>
          <w:p w14:paraId="448F61DC" w14:textId="77777777" w:rsidR="00894A5F" w:rsidRPr="00894A5F" w:rsidRDefault="00894A5F" w:rsidP="00894A5F">
            <w:pPr>
              <w:spacing w:after="0" w:line="240" w:lineRule="auto"/>
              <w:jc w:val="right"/>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0,00</w:t>
            </w:r>
          </w:p>
        </w:tc>
        <w:tc>
          <w:tcPr>
            <w:tcW w:w="711" w:type="dxa"/>
            <w:tcBorders>
              <w:top w:val="nil"/>
              <w:left w:val="nil"/>
              <w:bottom w:val="single" w:sz="4" w:space="0" w:color="auto"/>
              <w:right w:val="single" w:sz="8" w:space="0" w:color="auto"/>
            </w:tcBorders>
            <w:shd w:val="clear" w:color="auto" w:fill="auto"/>
            <w:noWrap/>
            <w:vAlign w:val="bottom"/>
            <w:hideMark/>
          </w:tcPr>
          <w:p w14:paraId="4BA9FCED" w14:textId="77777777" w:rsidR="00894A5F" w:rsidRPr="00894A5F" w:rsidRDefault="00894A5F" w:rsidP="00894A5F">
            <w:pPr>
              <w:spacing w:after="0" w:line="240" w:lineRule="auto"/>
              <w:jc w:val="right"/>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0,0</w:t>
            </w:r>
          </w:p>
        </w:tc>
      </w:tr>
      <w:tr w:rsidR="00894A5F" w:rsidRPr="00894A5F" w14:paraId="18DFF12E" w14:textId="77777777" w:rsidTr="00894A5F">
        <w:trPr>
          <w:trHeight w:val="300"/>
        </w:trPr>
        <w:tc>
          <w:tcPr>
            <w:tcW w:w="880" w:type="dxa"/>
            <w:tcBorders>
              <w:top w:val="nil"/>
              <w:left w:val="single" w:sz="8" w:space="0" w:color="auto"/>
              <w:bottom w:val="nil"/>
              <w:right w:val="single" w:sz="4" w:space="0" w:color="auto"/>
            </w:tcBorders>
            <w:shd w:val="clear" w:color="auto" w:fill="auto"/>
            <w:noWrap/>
            <w:vAlign w:val="bottom"/>
            <w:hideMark/>
          </w:tcPr>
          <w:p w14:paraId="1846A901" w14:textId="77777777" w:rsidR="00894A5F" w:rsidRPr="00894A5F" w:rsidRDefault="00894A5F" w:rsidP="00894A5F">
            <w:pPr>
              <w:spacing w:after="0" w:line="240" w:lineRule="auto"/>
              <w:jc w:val="center"/>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6172</w:t>
            </w:r>
          </w:p>
        </w:tc>
        <w:tc>
          <w:tcPr>
            <w:tcW w:w="3399" w:type="dxa"/>
            <w:tcBorders>
              <w:top w:val="nil"/>
              <w:left w:val="nil"/>
              <w:bottom w:val="nil"/>
              <w:right w:val="single" w:sz="4" w:space="0" w:color="auto"/>
            </w:tcBorders>
            <w:shd w:val="clear" w:color="auto" w:fill="auto"/>
            <w:vAlign w:val="bottom"/>
            <w:hideMark/>
          </w:tcPr>
          <w:p w14:paraId="69CE4D26" w14:textId="77777777" w:rsidR="00894A5F" w:rsidRPr="00894A5F" w:rsidRDefault="00894A5F" w:rsidP="00894A5F">
            <w:pPr>
              <w:spacing w:after="0" w:line="240" w:lineRule="auto"/>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Činnost regionální správy</w:t>
            </w:r>
          </w:p>
        </w:tc>
        <w:tc>
          <w:tcPr>
            <w:tcW w:w="1333" w:type="dxa"/>
            <w:tcBorders>
              <w:top w:val="nil"/>
              <w:left w:val="nil"/>
              <w:bottom w:val="nil"/>
              <w:right w:val="single" w:sz="4" w:space="0" w:color="auto"/>
            </w:tcBorders>
            <w:shd w:val="clear" w:color="000000" w:fill="FFFFFF"/>
            <w:noWrap/>
            <w:vAlign w:val="bottom"/>
            <w:hideMark/>
          </w:tcPr>
          <w:p w14:paraId="2A729714" w14:textId="77777777" w:rsidR="00894A5F" w:rsidRPr="00894A5F" w:rsidRDefault="00894A5F" w:rsidP="00894A5F">
            <w:pPr>
              <w:spacing w:after="0" w:line="240" w:lineRule="auto"/>
              <w:jc w:val="right"/>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3 150 000</w:t>
            </w:r>
          </w:p>
        </w:tc>
        <w:tc>
          <w:tcPr>
            <w:tcW w:w="1713" w:type="dxa"/>
            <w:tcBorders>
              <w:top w:val="nil"/>
              <w:left w:val="nil"/>
              <w:bottom w:val="nil"/>
              <w:right w:val="single" w:sz="4" w:space="0" w:color="auto"/>
            </w:tcBorders>
            <w:shd w:val="clear" w:color="000000" w:fill="FFFFFF"/>
            <w:noWrap/>
            <w:vAlign w:val="bottom"/>
            <w:hideMark/>
          </w:tcPr>
          <w:p w14:paraId="091A9FCE" w14:textId="77777777" w:rsidR="00894A5F" w:rsidRPr="00894A5F" w:rsidRDefault="00894A5F" w:rsidP="00894A5F">
            <w:pPr>
              <w:spacing w:after="0" w:line="240" w:lineRule="auto"/>
              <w:jc w:val="right"/>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4 990 870,17</w:t>
            </w:r>
          </w:p>
        </w:tc>
        <w:tc>
          <w:tcPr>
            <w:tcW w:w="1664" w:type="dxa"/>
            <w:tcBorders>
              <w:top w:val="nil"/>
              <w:left w:val="nil"/>
              <w:bottom w:val="nil"/>
              <w:right w:val="single" w:sz="4" w:space="0" w:color="auto"/>
            </w:tcBorders>
            <w:shd w:val="clear" w:color="000000" w:fill="FFFFFF"/>
            <w:noWrap/>
            <w:vAlign w:val="bottom"/>
            <w:hideMark/>
          </w:tcPr>
          <w:p w14:paraId="5D714487" w14:textId="77777777" w:rsidR="00894A5F" w:rsidRPr="00894A5F" w:rsidRDefault="00894A5F" w:rsidP="00894A5F">
            <w:pPr>
              <w:spacing w:after="0" w:line="240" w:lineRule="auto"/>
              <w:jc w:val="right"/>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3 512 500,80</w:t>
            </w:r>
          </w:p>
        </w:tc>
        <w:tc>
          <w:tcPr>
            <w:tcW w:w="711" w:type="dxa"/>
            <w:tcBorders>
              <w:top w:val="nil"/>
              <w:left w:val="nil"/>
              <w:bottom w:val="nil"/>
              <w:right w:val="single" w:sz="8" w:space="0" w:color="auto"/>
            </w:tcBorders>
            <w:shd w:val="clear" w:color="auto" w:fill="auto"/>
            <w:noWrap/>
            <w:vAlign w:val="bottom"/>
            <w:hideMark/>
          </w:tcPr>
          <w:p w14:paraId="5D5ECCB4" w14:textId="77777777" w:rsidR="00894A5F" w:rsidRPr="00894A5F" w:rsidRDefault="00894A5F" w:rsidP="00894A5F">
            <w:pPr>
              <w:spacing w:after="0" w:line="240" w:lineRule="auto"/>
              <w:jc w:val="right"/>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70,4</w:t>
            </w:r>
          </w:p>
        </w:tc>
      </w:tr>
      <w:tr w:rsidR="00894A5F" w:rsidRPr="00894A5F" w14:paraId="2F39923F" w14:textId="77777777" w:rsidTr="00894A5F">
        <w:trPr>
          <w:trHeight w:val="319"/>
        </w:trPr>
        <w:tc>
          <w:tcPr>
            <w:tcW w:w="88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23438BE" w14:textId="77777777" w:rsidR="00894A5F" w:rsidRPr="00894A5F" w:rsidRDefault="00894A5F" w:rsidP="00894A5F">
            <w:pPr>
              <w:spacing w:after="0" w:line="240" w:lineRule="auto"/>
              <w:rPr>
                <w:rFonts w:ascii="Calibri" w:eastAsia="Times New Roman" w:hAnsi="Calibri" w:cs="Calibri"/>
                <w:b/>
                <w:bCs/>
                <w:lang w:eastAsia="cs-CZ"/>
              </w:rPr>
            </w:pPr>
            <w:r w:rsidRPr="00894A5F">
              <w:rPr>
                <w:rFonts w:ascii="Calibri" w:eastAsia="Times New Roman" w:hAnsi="Calibri" w:cs="Calibri"/>
                <w:b/>
                <w:bCs/>
                <w:lang w:eastAsia="cs-CZ"/>
              </w:rPr>
              <w:t> </w:t>
            </w:r>
          </w:p>
        </w:tc>
        <w:tc>
          <w:tcPr>
            <w:tcW w:w="3399" w:type="dxa"/>
            <w:tcBorders>
              <w:top w:val="single" w:sz="8" w:space="0" w:color="auto"/>
              <w:left w:val="nil"/>
              <w:bottom w:val="single" w:sz="8" w:space="0" w:color="auto"/>
              <w:right w:val="single" w:sz="4" w:space="0" w:color="auto"/>
            </w:tcBorders>
            <w:shd w:val="clear" w:color="auto" w:fill="auto"/>
            <w:noWrap/>
            <w:vAlign w:val="bottom"/>
            <w:hideMark/>
          </w:tcPr>
          <w:p w14:paraId="0871B25C" w14:textId="77777777" w:rsidR="00894A5F" w:rsidRPr="00894A5F" w:rsidRDefault="00894A5F" w:rsidP="00894A5F">
            <w:pPr>
              <w:spacing w:after="0" w:line="240" w:lineRule="auto"/>
              <w:rPr>
                <w:rFonts w:ascii="Calibri" w:eastAsia="Times New Roman" w:hAnsi="Calibri" w:cs="Calibri"/>
                <w:b/>
                <w:bCs/>
                <w:lang w:eastAsia="cs-CZ"/>
              </w:rPr>
            </w:pPr>
            <w:r w:rsidRPr="00894A5F">
              <w:rPr>
                <w:rFonts w:ascii="Calibri" w:eastAsia="Times New Roman" w:hAnsi="Calibri" w:cs="Calibri"/>
                <w:b/>
                <w:bCs/>
                <w:lang w:eastAsia="cs-CZ"/>
              </w:rPr>
              <w:t>Celkem</w:t>
            </w:r>
          </w:p>
        </w:tc>
        <w:tc>
          <w:tcPr>
            <w:tcW w:w="1333" w:type="dxa"/>
            <w:tcBorders>
              <w:top w:val="single" w:sz="8" w:space="0" w:color="auto"/>
              <w:left w:val="nil"/>
              <w:bottom w:val="single" w:sz="8" w:space="0" w:color="auto"/>
              <w:right w:val="single" w:sz="4" w:space="0" w:color="auto"/>
            </w:tcBorders>
            <w:shd w:val="clear" w:color="auto" w:fill="auto"/>
            <w:noWrap/>
            <w:vAlign w:val="bottom"/>
            <w:hideMark/>
          </w:tcPr>
          <w:p w14:paraId="0CD42507" w14:textId="77777777" w:rsidR="00894A5F" w:rsidRPr="00894A5F" w:rsidRDefault="00894A5F" w:rsidP="00894A5F">
            <w:pPr>
              <w:spacing w:after="0" w:line="240" w:lineRule="auto"/>
              <w:jc w:val="right"/>
              <w:rPr>
                <w:rFonts w:ascii="Calibri" w:eastAsia="Times New Roman" w:hAnsi="Calibri" w:cs="Calibri"/>
                <w:b/>
                <w:bCs/>
                <w:lang w:eastAsia="cs-CZ"/>
              </w:rPr>
            </w:pPr>
            <w:r w:rsidRPr="00894A5F">
              <w:rPr>
                <w:rFonts w:ascii="Calibri" w:eastAsia="Times New Roman" w:hAnsi="Calibri" w:cs="Calibri"/>
                <w:b/>
                <w:bCs/>
                <w:lang w:eastAsia="cs-CZ"/>
              </w:rPr>
              <w:t>3 650 000</w:t>
            </w:r>
          </w:p>
        </w:tc>
        <w:tc>
          <w:tcPr>
            <w:tcW w:w="1713" w:type="dxa"/>
            <w:tcBorders>
              <w:top w:val="single" w:sz="8" w:space="0" w:color="auto"/>
              <w:left w:val="nil"/>
              <w:bottom w:val="single" w:sz="8" w:space="0" w:color="auto"/>
              <w:right w:val="single" w:sz="4" w:space="0" w:color="auto"/>
            </w:tcBorders>
            <w:shd w:val="clear" w:color="auto" w:fill="auto"/>
            <w:noWrap/>
            <w:vAlign w:val="bottom"/>
            <w:hideMark/>
          </w:tcPr>
          <w:p w14:paraId="419D3A76" w14:textId="77777777" w:rsidR="00894A5F" w:rsidRPr="00894A5F" w:rsidRDefault="00894A5F" w:rsidP="00894A5F">
            <w:pPr>
              <w:spacing w:after="0" w:line="240" w:lineRule="auto"/>
              <w:jc w:val="right"/>
              <w:rPr>
                <w:rFonts w:ascii="Calibri" w:eastAsia="Times New Roman" w:hAnsi="Calibri" w:cs="Calibri"/>
                <w:b/>
                <w:bCs/>
                <w:lang w:eastAsia="cs-CZ"/>
              </w:rPr>
            </w:pPr>
            <w:r w:rsidRPr="00894A5F">
              <w:rPr>
                <w:rFonts w:ascii="Calibri" w:eastAsia="Times New Roman" w:hAnsi="Calibri" w:cs="Calibri"/>
                <w:b/>
                <w:bCs/>
                <w:lang w:eastAsia="cs-CZ"/>
              </w:rPr>
              <w:t>6 146 776,04</w:t>
            </w:r>
          </w:p>
        </w:tc>
        <w:tc>
          <w:tcPr>
            <w:tcW w:w="1664" w:type="dxa"/>
            <w:tcBorders>
              <w:top w:val="single" w:sz="8" w:space="0" w:color="auto"/>
              <w:left w:val="nil"/>
              <w:bottom w:val="single" w:sz="8" w:space="0" w:color="auto"/>
              <w:right w:val="single" w:sz="4" w:space="0" w:color="auto"/>
            </w:tcBorders>
            <w:shd w:val="clear" w:color="auto" w:fill="auto"/>
            <w:noWrap/>
            <w:vAlign w:val="bottom"/>
            <w:hideMark/>
          </w:tcPr>
          <w:p w14:paraId="47D88E31" w14:textId="77777777" w:rsidR="00894A5F" w:rsidRPr="00894A5F" w:rsidRDefault="00894A5F" w:rsidP="00894A5F">
            <w:pPr>
              <w:spacing w:after="0" w:line="240" w:lineRule="auto"/>
              <w:jc w:val="right"/>
              <w:rPr>
                <w:rFonts w:ascii="Calibri" w:eastAsia="Times New Roman" w:hAnsi="Calibri" w:cs="Calibri"/>
                <w:b/>
                <w:bCs/>
                <w:lang w:eastAsia="cs-CZ"/>
              </w:rPr>
            </w:pPr>
            <w:r w:rsidRPr="00894A5F">
              <w:rPr>
                <w:rFonts w:ascii="Calibri" w:eastAsia="Times New Roman" w:hAnsi="Calibri" w:cs="Calibri"/>
                <w:b/>
                <w:bCs/>
                <w:lang w:eastAsia="cs-CZ"/>
              </w:rPr>
              <w:t>3 892 779,61</w:t>
            </w:r>
          </w:p>
        </w:tc>
        <w:tc>
          <w:tcPr>
            <w:tcW w:w="711" w:type="dxa"/>
            <w:tcBorders>
              <w:top w:val="single" w:sz="8" w:space="0" w:color="auto"/>
              <w:left w:val="nil"/>
              <w:bottom w:val="single" w:sz="8" w:space="0" w:color="auto"/>
              <w:right w:val="single" w:sz="8" w:space="0" w:color="auto"/>
            </w:tcBorders>
            <w:shd w:val="clear" w:color="auto" w:fill="auto"/>
            <w:noWrap/>
            <w:vAlign w:val="bottom"/>
            <w:hideMark/>
          </w:tcPr>
          <w:p w14:paraId="59D3D906" w14:textId="77777777" w:rsidR="00894A5F" w:rsidRPr="00894A5F" w:rsidRDefault="00894A5F" w:rsidP="00894A5F">
            <w:pPr>
              <w:spacing w:after="0" w:line="240" w:lineRule="auto"/>
              <w:jc w:val="right"/>
              <w:rPr>
                <w:rFonts w:ascii="Calibri" w:eastAsia="Times New Roman" w:hAnsi="Calibri" w:cs="Calibri"/>
                <w:b/>
                <w:bCs/>
                <w:lang w:eastAsia="cs-CZ"/>
              </w:rPr>
            </w:pPr>
            <w:r w:rsidRPr="00894A5F">
              <w:rPr>
                <w:rFonts w:ascii="Calibri" w:eastAsia="Times New Roman" w:hAnsi="Calibri" w:cs="Calibri"/>
                <w:b/>
                <w:bCs/>
                <w:lang w:eastAsia="cs-CZ"/>
              </w:rPr>
              <w:t>63,3</w:t>
            </w:r>
          </w:p>
        </w:tc>
      </w:tr>
      <w:tr w:rsidR="00894A5F" w:rsidRPr="00894A5F" w14:paraId="74E4D39B" w14:textId="77777777" w:rsidTr="00894A5F">
        <w:trPr>
          <w:trHeight w:val="319"/>
        </w:trPr>
        <w:tc>
          <w:tcPr>
            <w:tcW w:w="880" w:type="dxa"/>
            <w:tcBorders>
              <w:top w:val="nil"/>
              <w:left w:val="nil"/>
              <w:bottom w:val="nil"/>
              <w:right w:val="nil"/>
            </w:tcBorders>
            <w:shd w:val="clear" w:color="auto" w:fill="auto"/>
            <w:noWrap/>
            <w:vAlign w:val="bottom"/>
            <w:hideMark/>
          </w:tcPr>
          <w:p w14:paraId="4EAC5746" w14:textId="77777777" w:rsidR="00894A5F" w:rsidRPr="00894A5F" w:rsidRDefault="00894A5F" w:rsidP="00894A5F">
            <w:pPr>
              <w:spacing w:after="0" w:line="240" w:lineRule="auto"/>
              <w:jc w:val="right"/>
              <w:rPr>
                <w:rFonts w:ascii="Calibri" w:eastAsia="Times New Roman" w:hAnsi="Calibri" w:cs="Calibri"/>
                <w:b/>
                <w:bCs/>
                <w:lang w:eastAsia="cs-CZ"/>
              </w:rPr>
            </w:pPr>
          </w:p>
        </w:tc>
        <w:tc>
          <w:tcPr>
            <w:tcW w:w="3399" w:type="dxa"/>
            <w:tcBorders>
              <w:top w:val="nil"/>
              <w:left w:val="nil"/>
              <w:bottom w:val="nil"/>
              <w:right w:val="nil"/>
            </w:tcBorders>
            <w:shd w:val="clear" w:color="auto" w:fill="auto"/>
            <w:noWrap/>
            <w:vAlign w:val="bottom"/>
            <w:hideMark/>
          </w:tcPr>
          <w:p w14:paraId="449CF0D8" w14:textId="77777777" w:rsidR="00894A5F" w:rsidRPr="00894A5F" w:rsidRDefault="00894A5F" w:rsidP="00894A5F">
            <w:pPr>
              <w:spacing w:after="0" w:line="240" w:lineRule="auto"/>
              <w:rPr>
                <w:rFonts w:ascii="Times New Roman" w:eastAsia="Times New Roman" w:hAnsi="Times New Roman" w:cs="Times New Roman"/>
                <w:sz w:val="20"/>
                <w:szCs w:val="20"/>
                <w:lang w:eastAsia="cs-CZ"/>
              </w:rPr>
            </w:pPr>
          </w:p>
        </w:tc>
        <w:tc>
          <w:tcPr>
            <w:tcW w:w="1333" w:type="dxa"/>
            <w:tcBorders>
              <w:top w:val="nil"/>
              <w:left w:val="nil"/>
              <w:bottom w:val="nil"/>
              <w:right w:val="nil"/>
            </w:tcBorders>
            <w:shd w:val="clear" w:color="auto" w:fill="auto"/>
            <w:noWrap/>
            <w:vAlign w:val="bottom"/>
            <w:hideMark/>
          </w:tcPr>
          <w:p w14:paraId="53D07532" w14:textId="77777777" w:rsidR="00894A5F" w:rsidRPr="00894A5F" w:rsidRDefault="00894A5F" w:rsidP="00894A5F">
            <w:pPr>
              <w:spacing w:after="0" w:line="240" w:lineRule="auto"/>
              <w:rPr>
                <w:rFonts w:ascii="Times New Roman" w:eastAsia="Times New Roman" w:hAnsi="Times New Roman" w:cs="Times New Roman"/>
                <w:sz w:val="20"/>
                <w:szCs w:val="20"/>
                <w:lang w:eastAsia="cs-CZ"/>
              </w:rPr>
            </w:pPr>
          </w:p>
        </w:tc>
        <w:tc>
          <w:tcPr>
            <w:tcW w:w="1713" w:type="dxa"/>
            <w:tcBorders>
              <w:top w:val="nil"/>
              <w:left w:val="nil"/>
              <w:bottom w:val="nil"/>
              <w:right w:val="nil"/>
            </w:tcBorders>
            <w:shd w:val="clear" w:color="auto" w:fill="auto"/>
            <w:noWrap/>
            <w:vAlign w:val="bottom"/>
            <w:hideMark/>
          </w:tcPr>
          <w:p w14:paraId="7F2CDA20" w14:textId="77777777" w:rsidR="00894A5F" w:rsidRPr="00894A5F" w:rsidRDefault="00894A5F" w:rsidP="00894A5F">
            <w:pPr>
              <w:spacing w:after="0" w:line="240" w:lineRule="auto"/>
              <w:rPr>
                <w:rFonts w:ascii="Times New Roman" w:eastAsia="Times New Roman" w:hAnsi="Times New Roman" w:cs="Times New Roman"/>
                <w:sz w:val="20"/>
                <w:szCs w:val="20"/>
                <w:lang w:eastAsia="cs-CZ"/>
              </w:rPr>
            </w:pPr>
          </w:p>
        </w:tc>
        <w:tc>
          <w:tcPr>
            <w:tcW w:w="1664" w:type="dxa"/>
            <w:tcBorders>
              <w:top w:val="nil"/>
              <w:left w:val="nil"/>
              <w:bottom w:val="nil"/>
              <w:right w:val="nil"/>
            </w:tcBorders>
            <w:shd w:val="clear" w:color="auto" w:fill="auto"/>
            <w:noWrap/>
            <w:vAlign w:val="bottom"/>
            <w:hideMark/>
          </w:tcPr>
          <w:p w14:paraId="76B8EB18" w14:textId="77777777" w:rsidR="00894A5F" w:rsidRPr="00894A5F" w:rsidRDefault="00894A5F" w:rsidP="00894A5F">
            <w:pPr>
              <w:spacing w:after="0" w:line="240" w:lineRule="auto"/>
              <w:jc w:val="right"/>
              <w:rPr>
                <w:rFonts w:ascii="Times New Roman" w:eastAsia="Times New Roman" w:hAnsi="Times New Roman" w:cs="Times New Roman"/>
                <w:sz w:val="20"/>
                <w:szCs w:val="20"/>
                <w:lang w:eastAsia="cs-CZ"/>
              </w:rPr>
            </w:pPr>
          </w:p>
        </w:tc>
        <w:tc>
          <w:tcPr>
            <w:tcW w:w="711" w:type="dxa"/>
            <w:tcBorders>
              <w:top w:val="nil"/>
              <w:left w:val="nil"/>
              <w:bottom w:val="nil"/>
              <w:right w:val="nil"/>
            </w:tcBorders>
            <w:shd w:val="clear" w:color="auto" w:fill="auto"/>
            <w:noWrap/>
            <w:vAlign w:val="bottom"/>
            <w:hideMark/>
          </w:tcPr>
          <w:p w14:paraId="2F1FE018" w14:textId="77777777" w:rsidR="00894A5F" w:rsidRPr="00894A5F" w:rsidRDefault="00894A5F" w:rsidP="00894A5F">
            <w:pPr>
              <w:spacing w:after="0" w:line="240" w:lineRule="auto"/>
              <w:jc w:val="right"/>
              <w:rPr>
                <w:rFonts w:ascii="Times New Roman" w:eastAsia="Times New Roman" w:hAnsi="Times New Roman" w:cs="Times New Roman"/>
                <w:sz w:val="20"/>
                <w:szCs w:val="20"/>
                <w:lang w:eastAsia="cs-CZ"/>
              </w:rPr>
            </w:pPr>
          </w:p>
        </w:tc>
      </w:tr>
      <w:tr w:rsidR="00894A5F" w:rsidRPr="00894A5F" w14:paraId="5DA96935" w14:textId="77777777" w:rsidTr="00894A5F">
        <w:trPr>
          <w:trHeight w:val="360"/>
        </w:trPr>
        <w:tc>
          <w:tcPr>
            <w:tcW w:w="880" w:type="dxa"/>
            <w:tcBorders>
              <w:top w:val="nil"/>
              <w:left w:val="nil"/>
              <w:bottom w:val="nil"/>
              <w:right w:val="nil"/>
            </w:tcBorders>
            <w:shd w:val="clear" w:color="auto" w:fill="auto"/>
            <w:noWrap/>
            <w:vAlign w:val="center"/>
            <w:hideMark/>
          </w:tcPr>
          <w:p w14:paraId="0996C7D0" w14:textId="77777777" w:rsidR="00894A5F" w:rsidRPr="00894A5F" w:rsidRDefault="00894A5F" w:rsidP="00894A5F">
            <w:pPr>
              <w:spacing w:after="0" w:line="240" w:lineRule="auto"/>
              <w:jc w:val="right"/>
              <w:rPr>
                <w:rFonts w:ascii="Times New Roman" w:eastAsia="Times New Roman" w:hAnsi="Times New Roman" w:cs="Times New Roman"/>
                <w:sz w:val="20"/>
                <w:szCs w:val="20"/>
                <w:lang w:eastAsia="cs-CZ"/>
              </w:rPr>
            </w:pPr>
          </w:p>
        </w:tc>
        <w:tc>
          <w:tcPr>
            <w:tcW w:w="3399" w:type="dxa"/>
            <w:tcBorders>
              <w:top w:val="nil"/>
              <w:left w:val="nil"/>
              <w:bottom w:val="single" w:sz="8" w:space="0" w:color="auto"/>
              <w:right w:val="nil"/>
            </w:tcBorders>
            <w:shd w:val="clear" w:color="auto" w:fill="auto"/>
            <w:noWrap/>
            <w:vAlign w:val="center"/>
            <w:hideMark/>
          </w:tcPr>
          <w:p w14:paraId="787C3C9E" w14:textId="77777777" w:rsidR="00894A5F" w:rsidRPr="00894A5F" w:rsidRDefault="00894A5F" w:rsidP="00894A5F">
            <w:pPr>
              <w:spacing w:after="0" w:line="240" w:lineRule="auto"/>
              <w:rPr>
                <w:rFonts w:ascii="Calibri" w:eastAsia="Times New Roman" w:hAnsi="Calibri" w:cs="Calibri"/>
                <w:b/>
                <w:bCs/>
                <w:lang w:eastAsia="cs-CZ"/>
              </w:rPr>
            </w:pPr>
            <w:r w:rsidRPr="00894A5F">
              <w:rPr>
                <w:rFonts w:ascii="Calibri" w:eastAsia="Times New Roman" w:hAnsi="Calibri" w:cs="Calibri"/>
                <w:b/>
                <w:bCs/>
                <w:lang w:eastAsia="cs-CZ"/>
              </w:rPr>
              <w:t>Kapitálové výdaje</w:t>
            </w:r>
          </w:p>
        </w:tc>
        <w:tc>
          <w:tcPr>
            <w:tcW w:w="1333" w:type="dxa"/>
            <w:tcBorders>
              <w:top w:val="nil"/>
              <w:left w:val="nil"/>
              <w:bottom w:val="nil"/>
              <w:right w:val="nil"/>
            </w:tcBorders>
            <w:shd w:val="clear" w:color="auto" w:fill="auto"/>
            <w:noWrap/>
            <w:vAlign w:val="center"/>
            <w:hideMark/>
          </w:tcPr>
          <w:p w14:paraId="512E733B" w14:textId="77777777" w:rsidR="00894A5F" w:rsidRPr="00894A5F" w:rsidRDefault="00894A5F" w:rsidP="00894A5F">
            <w:pPr>
              <w:spacing w:after="0" w:line="240" w:lineRule="auto"/>
              <w:rPr>
                <w:rFonts w:ascii="Calibri" w:eastAsia="Times New Roman" w:hAnsi="Calibri" w:cs="Calibri"/>
                <w:b/>
                <w:bCs/>
                <w:lang w:eastAsia="cs-CZ"/>
              </w:rPr>
            </w:pPr>
          </w:p>
        </w:tc>
        <w:tc>
          <w:tcPr>
            <w:tcW w:w="1713" w:type="dxa"/>
            <w:tcBorders>
              <w:top w:val="nil"/>
              <w:left w:val="nil"/>
              <w:bottom w:val="nil"/>
              <w:right w:val="nil"/>
            </w:tcBorders>
            <w:shd w:val="clear" w:color="auto" w:fill="auto"/>
            <w:noWrap/>
            <w:vAlign w:val="center"/>
            <w:hideMark/>
          </w:tcPr>
          <w:p w14:paraId="7E0785C2" w14:textId="77777777" w:rsidR="00894A5F" w:rsidRPr="00894A5F" w:rsidRDefault="00894A5F" w:rsidP="00894A5F">
            <w:pPr>
              <w:spacing w:after="0" w:line="240" w:lineRule="auto"/>
              <w:jc w:val="right"/>
              <w:rPr>
                <w:rFonts w:ascii="Times New Roman" w:eastAsia="Times New Roman" w:hAnsi="Times New Roman" w:cs="Times New Roman"/>
                <w:sz w:val="20"/>
                <w:szCs w:val="20"/>
                <w:lang w:eastAsia="cs-CZ"/>
              </w:rPr>
            </w:pPr>
          </w:p>
        </w:tc>
        <w:tc>
          <w:tcPr>
            <w:tcW w:w="1664" w:type="dxa"/>
            <w:tcBorders>
              <w:top w:val="nil"/>
              <w:left w:val="nil"/>
              <w:bottom w:val="nil"/>
              <w:right w:val="nil"/>
            </w:tcBorders>
            <w:shd w:val="clear" w:color="auto" w:fill="auto"/>
            <w:noWrap/>
            <w:vAlign w:val="center"/>
            <w:hideMark/>
          </w:tcPr>
          <w:p w14:paraId="01A34FD4" w14:textId="77777777" w:rsidR="00894A5F" w:rsidRPr="00894A5F" w:rsidRDefault="00894A5F" w:rsidP="00894A5F">
            <w:pPr>
              <w:spacing w:after="0" w:line="240" w:lineRule="auto"/>
              <w:jc w:val="right"/>
              <w:rPr>
                <w:rFonts w:ascii="Times New Roman" w:eastAsia="Times New Roman" w:hAnsi="Times New Roman" w:cs="Times New Roman"/>
                <w:sz w:val="20"/>
                <w:szCs w:val="20"/>
                <w:lang w:eastAsia="cs-CZ"/>
              </w:rPr>
            </w:pPr>
          </w:p>
        </w:tc>
        <w:tc>
          <w:tcPr>
            <w:tcW w:w="711" w:type="dxa"/>
            <w:tcBorders>
              <w:top w:val="nil"/>
              <w:left w:val="nil"/>
              <w:bottom w:val="single" w:sz="8" w:space="0" w:color="auto"/>
              <w:right w:val="nil"/>
            </w:tcBorders>
            <w:shd w:val="clear" w:color="auto" w:fill="auto"/>
            <w:noWrap/>
            <w:vAlign w:val="center"/>
            <w:hideMark/>
          </w:tcPr>
          <w:p w14:paraId="713A1E4D" w14:textId="77777777" w:rsidR="00894A5F" w:rsidRPr="00894A5F" w:rsidRDefault="00894A5F" w:rsidP="00894A5F">
            <w:pPr>
              <w:spacing w:after="0" w:line="240" w:lineRule="auto"/>
              <w:jc w:val="right"/>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 </w:t>
            </w:r>
          </w:p>
        </w:tc>
      </w:tr>
      <w:tr w:rsidR="00894A5F" w:rsidRPr="00894A5F" w14:paraId="670A5A3C" w14:textId="77777777" w:rsidTr="00894A5F">
        <w:trPr>
          <w:trHeight w:val="300"/>
        </w:trPr>
        <w:tc>
          <w:tcPr>
            <w:tcW w:w="8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4735F796" w14:textId="77777777" w:rsidR="00894A5F" w:rsidRPr="00894A5F" w:rsidRDefault="00894A5F" w:rsidP="00894A5F">
            <w:pPr>
              <w:spacing w:after="0" w:line="240" w:lineRule="auto"/>
              <w:jc w:val="center"/>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2212</w:t>
            </w:r>
          </w:p>
        </w:tc>
        <w:tc>
          <w:tcPr>
            <w:tcW w:w="3399" w:type="dxa"/>
            <w:tcBorders>
              <w:top w:val="single" w:sz="4" w:space="0" w:color="auto"/>
              <w:left w:val="nil"/>
              <w:bottom w:val="single" w:sz="4" w:space="0" w:color="auto"/>
              <w:right w:val="single" w:sz="4" w:space="0" w:color="auto"/>
            </w:tcBorders>
            <w:shd w:val="clear" w:color="auto" w:fill="auto"/>
            <w:noWrap/>
            <w:vAlign w:val="bottom"/>
            <w:hideMark/>
          </w:tcPr>
          <w:p w14:paraId="7C680D74" w14:textId="77777777" w:rsidR="00894A5F" w:rsidRPr="00894A5F" w:rsidRDefault="00894A5F" w:rsidP="00894A5F">
            <w:pPr>
              <w:spacing w:after="0" w:line="240" w:lineRule="auto"/>
              <w:rPr>
                <w:rFonts w:ascii="Calibri" w:eastAsia="Times New Roman" w:hAnsi="Calibri" w:cs="Calibri"/>
                <w:color w:val="000000"/>
                <w:sz w:val="20"/>
                <w:szCs w:val="20"/>
                <w:lang w:eastAsia="cs-CZ"/>
              </w:rPr>
            </w:pPr>
            <w:r w:rsidRPr="00894A5F">
              <w:rPr>
                <w:rFonts w:ascii="Calibri" w:eastAsia="Times New Roman" w:hAnsi="Calibri" w:cs="Calibri"/>
                <w:color w:val="000000"/>
                <w:sz w:val="20"/>
                <w:szCs w:val="20"/>
                <w:lang w:eastAsia="cs-CZ"/>
              </w:rPr>
              <w:t>Silnice</w:t>
            </w:r>
          </w:p>
        </w:tc>
        <w:tc>
          <w:tcPr>
            <w:tcW w:w="1333" w:type="dxa"/>
            <w:tcBorders>
              <w:top w:val="single" w:sz="8" w:space="0" w:color="auto"/>
              <w:left w:val="nil"/>
              <w:bottom w:val="single" w:sz="4" w:space="0" w:color="auto"/>
              <w:right w:val="single" w:sz="4" w:space="0" w:color="auto"/>
            </w:tcBorders>
            <w:shd w:val="clear" w:color="auto" w:fill="auto"/>
            <w:noWrap/>
            <w:vAlign w:val="bottom"/>
            <w:hideMark/>
          </w:tcPr>
          <w:p w14:paraId="3ED924C9" w14:textId="77777777" w:rsidR="00894A5F" w:rsidRPr="00894A5F" w:rsidRDefault="00894A5F" w:rsidP="00894A5F">
            <w:pPr>
              <w:spacing w:after="0" w:line="240" w:lineRule="auto"/>
              <w:jc w:val="right"/>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0</w:t>
            </w:r>
          </w:p>
        </w:tc>
        <w:tc>
          <w:tcPr>
            <w:tcW w:w="1713" w:type="dxa"/>
            <w:tcBorders>
              <w:top w:val="single" w:sz="8" w:space="0" w:color="auto"/>
              <w:left w:val="nil"/>
              <w:bottom w:val="single" w:sz="4" w:space="0" w:color="auto"/>
              <w:right w:val="single" w:sz="4" w:space="0" w:color="auto"/>
            </w:tcBorders>
            <w:shd w:val="clear" w:color="auto" w:fill="auto"/>
            <w:noWrap/>
            <w:vAlign w:val="bottom"/>
            <w:hideMark/>
          </w:tcPr>
          <w:p w14:paraId="2B65006C" w14:textId="77777777" w:rsidR="00894A5F" w:rsidRPr="00894A5F" w:rsidRDefault="00894A5F" w:rsidP="00894A5F">
            <w:pPr>
              <w:spacing w:after="0" w:line="240" w:lineRule="auto"/>
              <w:jc w:val="right"/>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24 094,13</w:t>
            </w:r>
          </w:p>
        </w:tc>
        <w:tc>
          <w:tcPr>
            <w:tcW w:w="1664" w:type="dxa"/>
            <w:tcBorders>
              <w:top w:val="single" w:sz="8" w:space="0" w:color="auto"/>
              <w:left w:val="nil"/>
              <w:bottom w:val="single" w:sz="4" w:space="0" w:color="auto"/>
              <w:right w:val="single" w:sz="4" w:space="0" w:color="auto"/>
            </w:tcBorders>
            <w:shd w:val="clear" w:color="auto" w:fill="auto"/>
            <w:noWrap/>
            <w:vAlign w:val="bottom"/>
            <w:hideMark/>
          </w:tcPr>
          <w:p w14:paraId="5CCDFB0F" w14:textId="77777777" w:rsidR="00894A5F" w:rsidRPr="00894A5F" w:rsidRDefault="00894A5F" w:rsidP="00894A5F">
            <w:pPr>
              <w:spacing w:after="0" w:line="240" w:lineRule="auto"/>
              <w:jc w:val="right"/>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14 701,50</w:t>
            </w:r>
          </w:p>
        </w:tc>
        <w:tc>
          <w:tcPr>
            <w:tcW w:w="711" w:type="dxa"/>
            <w:tcBorders>
              <w:top w:val="nil"/>
              <w:left w:val="nil"/>
              <w:bottom w:val="single" w:sz="4" w:space="0" w:color="auto"/>
              <w:right w:val="single" w:sz="8" w:space="0" w:color="auto"/>
            </w:tcBorders>
            <w:shd w:val="clear" w:color="auto" w:fill="auto"/>
            <w:noWrap/>
            <w:vAlign w:val="bottom"/>
            <w:hideMark/>
          </w:tcPr>
          <w:p w14:paraId="652567C2" w14:textId="77777777" w:rsidR="00894A5F" w:rsidRPr="00894A5F" w:rsidRDefault="00894A5F" w:rsidP="00894A5F">
            <w:pPr>
              <w:spacing w:after="0" w:line="240" w:lineRule="auto"/>
              <w:jc w:val="right"/>
              <w:rPr>
                <w:rFonts w:ascii="Calibri" w:eastAsia="Times New Roman" w:hAnsi="Calibri" w:cs="Calibri"/>
                <w:sz w:val="20"/>
                <w:szCs w:val="20"/>
                <w:lang w:eastAsia="cs-CZ"/>
              </w:rPr>
            </w:pPr>
            <w:r w:rsidRPr="00894A5F">
              <w:rPr>
                <w:rFonts w:ascii="Calibri" w:eastAsia="Times New Roman" w:hAnsi="Calibri" w:cs="Calibri"/>
                <w:sz w:val="20"/>
                <w:szCs w:val="20"/>
                <w:lang w:eastAsia="cs-CZ"/>
              </w:rPr>
              <w:t>61,0</w:t>
            </w:r>
          </w:p>
        </w:tc>
      </w:tr>
      <w:tr w:rsidR="00894A5F" w:rsidRPr="00894A5F" w14:paraId="0F9EAE0E" w14:textId="77777777" w:rsidTr="00894A5F">
        <w:trPr>
          <w:trHeight w:val="319"/>
        </w:trPr>
        <w:tc>
          <w:tcPr>
            <w:tcW w:w="88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334AB0F" w14:textId="77777777" w:rsidR="00894A5F" w:rsidRPr="00894A5F" w:rsidRDefault="00894A5F" w:rsidP="00894A5F">
            <w:pPr>
              <w:spacing w:after="0" w:line="240" w:lineRule="auto"/>
              <w:jc w:val="center"/>
              <w:rPr>
                <w:rFonts w:ascii="Calibri" w:eastAsia="Times New Roman" w:hAnsi="Calibri" w:cs="Calibri"/>
                <w:lang w:eastAsia="cs-CZ"/>
              </w:rPr>
            </w:pPr>
            <w:r w:rsidRPr="00894A5F">
              <w:rPr>
                <w:rFonts w:ascii="Calibri" w:eastAsia="Times New Roman" w:hAnsi="Calibri" w:cs="Calibri"/>
                <w:lang w:eastAsia="cs-CZ"/>
              </w:rPr>
              <w:t> </w:t>
            </w:r>
          </w:p>
        </w:tc>
        <w:tc>
          <w:tcPr>
            <w:tcW w:w="3399" w:type="dxa"/>
            <w:tcBorders>
              <w:top w:val="single" w:sz="8" w:space="0" w:color="auto"/>
              <w:left w:val="nil"/>
              <w:bottom w:val="single" w:sz="8" w:space="0" w:color="auto"/>
              <w:right w:val="single" w:sz="4" w:space="0" w:color="auto"/>
            </w:tcBorders>
            <w:shd w:val="clear" w:color="auto" w:fill="auto"/>
            <w:noWrap/>
            <w:vAlign w:val="center"/>
            <w:hideMark/>
          </w:tcPr>
          <w:p w14:paraId="66930A35" w14:textId="77777777" w:rsidR="00894A5F" w:rsidRPr="00894A5F" w:rsidRDefault="00894A5F" w:rsidP="00894A5F">
            <w:pPr>
              <w:spacing w:after="0" w:line="240" w:lineRule="auto"/>
              <w:rPr>
                <w:rFonts w:ascii="Calibri" w:eastAsia="Times New Roman" w:hAnsi="Calibri" w:cs="Calibri"/>
                <w:b/>
                <w:bCs/>
                <w:lang w:eastAsia="cs-CZ"/>
              </w:rPr>
            </w:pPr>
            <w:r w:rsidRPr="00894A5F">
              <w:rPr>
                <w:rFonts w:ascii="Calibri" w:eastAsia="Times New Roman" w:hAnsi="Calibri" w:cs="Calibri"/>
                <w:b/>
                <w:bCs/>
                <w:lang w:eastAsia="cs-CZ"/>
              </w:rPr>
              <w:t>Celkem</w:t>
            </w:r>
          </w:p>
        </w:tc>
        <w:tc>
          <w:tcPr>
            <w:tcW w:w="1333" w:type="dxa"/>
            <w:tcBorders>
              <w:top w:val="single" w:sz="8" w:space="0" w:color="auto"/>
              <w:left w:val="nil"/>
              <w:bottom w:val="single" w:sz="8" w:space="0" w:color="auto"/>
              <w:right w:val="single" w:sz="4" w:space="0" w:color="auto"/>
            </w:tcBorders>
            <w:shd w:val="clear" w:color="auto" w:fill="auto"/>
            <w:noWrap/>
            <w:vAlign w:val="center"/>
            <w:hideMark/>
          </w:tcPr>
          <w:p w14:paraId="31FB7017" w14:textId="77777777" w:rsidR="00894A5F" w:rsidRPr="00894A5F" w:rsidRDefault="00894A5F" w:rsidP="00894A5F">
            <w:pPr>
              <w:spacing w:after="0" w:line="240" w:lineRule="auto"/>
              <w:jc w:val="right"/>
              <w:rPr>
                <w:rFonts w:ascii="Calibri" w:eastAsia="Times New Roman" w:hAnsi="Calibri" w:cs="Calibri"/>
                <w:b/>
                <w:bCs/>
                <w:lang w:eastAsia="cs-CZ"/>
              </w:rPr>
            </w:pPr>
            <w:r w:rsidRPr="00894A5F">
              <w:rPr>
                <w:rFonts w:ascii="Calibri" w:eastAsia="Times New Roman" w:hAnsi="Calibri" w:cs="Calibri"/>
                <w:b/>
                <w:bCs/>
                <w:lang w:eastAsia="cs-CZ"/>
              </w:rPr>
              <w:t>0</w:t>
            </w:r>
          </w:p>
        </w:tc>
        <w:tc>
          <w:tcPr>
            <w:tcW w:w="1713" w:type="dxa"/>
            <w:tcBorders>
              <w:top w:val="single" w:sz="8" w:space="0" w:color="auto"/>
              <w:left w:val="nil"/>
              <w:bottom w:val="single" w:sz="8" w:space="0" w:color="auto"/>
              <w:right w:val="single" w:sz="4" w:space="0" w:color="auto"/>
            </w:tcBorders>
            <w:shd w:val="clear" w:color="auto" w:fill="auto"/>
            <w:noWrap/>
            <w:vAlign w:val="center"/>
            <w:hideMark/>
          </w:tcPr>
          <w:p w14:paraId="1607FE38" w14:textId="77777777" w:rsidR="00894A5F" w:rsidRPr="00894A5F" w:rsidRDefault="00894A5F" w:rsidP="00894A5F">
            <w:pPr>
              <w:spacing w:after="0" w:line="240" w:lineRule="auto"/>
              <w:jc w:val="right"/>
              <w:rPr>
                <w:rFonts w:ascii="Calibri" w:eastAsia="Times New Roman" w:hAnsi="Calibri" w:cs="Calibri"/>
                <w:b/>
                <w:bCs/>
                <w:lang w:eastAsia="cs-CZ"/>
              </w:rPr>
            </w:pPr>
            <w:r w:rsidRPr="00894A5F">
              <w:rPr>
                <w:rFonts w:ascii="Calibri" w:eastAsia="Times New Roman" w:hAnsi="Calibri" w:cs="Calibri"/>
                <w:b/>
                <w:bCs/>
                <w:lang w:eastAsia="cs-CZ"/>
              </w:rPr>
              <w:t>24 094,13</w:t>
            </w:r>
          </w:p>
        </w:tc>
        <w:tc>
          <w:tcPr>
            <w:tcW w:w="1664" w:type="dxa"/>
            <w:tcBorders>
              <w:top w:val="single" w:sz="8" w:space="0" w:color="auto"/>
              <w:left w:val="nil"/>
              <w:bottom w:val="single" w:sz="8" w:space="0" w:color="auto"/>
              <w:right w:val="single" w:sz="4" w:space="0" w:color="auto"/>
            </w:tcBorders>
            <w:shd w:val="clear" w:color="auto" w:fill="auto"/>
            <w:noWrap/>
            <w:vAlign w:val="center"/>
            <w:hideMark/>
          </w:tcPr>
          <w:p w14:paraId="4BB07858" w14:textId="77777777" w:rsidR="00894A5F" w:rsidRPr="00894A5F" w:rsidRDefault="00894A5F" w:rsidP="00894A5F">
            <w:pPr>
              <w:spacing w:after="0" w:line="240" w:lineRule="auto"/>
              <w:jc w:val="right"/>
              <w:rPr>
                <w:rFonts w:ascii="Calibri" w:eastAsia="Times New Roman" w:hAnsi="Calibri" w:cs="Calibri"/>
                <w:b/>
                <w:bCs/>
                <w:lang w:eastAsia="cs-CZ"/>
              </w:rPr>
            </w:pPr>
            <w:r w:rsidRPr="00894A5F">
              <w:rPr>
                <w:rFonts w:ascii="Calibri" w:eastAsia="Times New Roman" w:hAnsi="Calibri" w:cs="Calibri"/>
                <w:b/>
                <w:bCs/>
                <w:lang w:eastAsia="cs-CZ"/>
              </w:rPr>
              <w:t>14 701,50</w:t>
            </w:r>
          </w:p>
        </w:tc>
        <w:tc>
          <w:tcPr>
            <w:tcW w:w="711" w:type="dxa"/>
            <w:tcBorders>
              <w:top w:val="single" w:sz="8" w:space="0" w:color="auto"/>
              <w:left w:val="nil"/>
              <w:bottom w:val="single" w:sz="8" w:space="0" w:color="auto"/>
              <w:right w:val="single" w:sz="8" w:space="0" w:color="auto"/>
            </w:tcBorders>
            <w:shd w:val="clear" w:color="auto" w:fill="auto"/>
            <w:noWrap/>
            <w:vAlign w:val="bottom"/>
            <w:hideMark/>
          </w:tcPr>
          <w:p w14:paraId="4C05A52E" w14:textId="77777777" w:rsidR="00894A5F" w:rsidRPr="00894A5F" w:rsidRDefault="00894A5F" w:rsidP="00894A5F">
            <w:pPr>
              <w:spacing w:after="0" w:line="240" w:lineRule="auto"/>
              <w:jc w:val="right"/>
              <w:rPr>
                <w:rFonts w:ascii="Calibri" w:eastAsia="Times New Roman" w:hAnsi="Calibri" w:cs="Calibri"/>
                <w:b/>
                <w:bCs/>
                <w:lang w:eastAsia="cs-CZ"/>
              </w:rPr>
            </w:pPr>
            <w:r w:rsidRPr="00894A5F">
              <w:rPr>
                <w:rFonts w:ascii="Calibri" w:eastAsia="Times New Roman" w:hAnsi="Calibri" w:cs="Calibri"/>
                <w:b/>
                <w:bCs/>
                <w:lang w:eastAsia="cs-CZ"/>
              </w:rPr>
              <w:t>61,0</w:t>
            </w:r>
          </w:p>
        </w:tc>
      </w:tr>
      <w:tr w:rsidR="00894A5F" w:rsidRPr="00894A5F" w14:paraId="18679483" w14:textId="77777777" w:rsidTr="00894A5F">
        <w:trPr>
          <w:trHeight w:val="319"/>
        </w:trPr>
        <w:tc>
          <w:tcPr>
            <w:tcW w:w="880" w:type="dxa"/>
            <w:tcBorders>
              <w:top w:val="nil"/>
              <w:left w:val="nil"/>
              <w:bottom w:val="nil"/>
              <w:right w:val="nil"/>
            </w:tcBorders>
            <w:shd w:val="clear" w:color="auto" w:fill="auto"/>
            <w:noWrap/>
            <w:vAlign w:val="bottom"/>
            <w:hideMark/>
          </w:tcPr>
          <w:p w14:paraId="5588087B" w14:textId="77777777" w:rsidR="00894A5F" w:rsidRPr="00894A5F" w:rsidRDefault="00894A5F" w:rsidP="00894A5F">
            <w:pPr>
              <w:spacing w:after="0" w:line="240" w:lineRule="auto"/>
              <w:jc w:val="right"/>
              <w:rPr>
                <w:rFonts w:ascii="Calibri" w:eastAsia="Times New Roman" w:hAnsi="Calibri" w:cs="Calibri"/>
                <w:b/>
                <w:bCs/>
                <w:lang w:eastAsia="cs-CZ"/>
              </w:rPr>
            </w:pPr>
          </w:p>
        </w:tc>
        <w:tc>
          <w:tcPr>
            <w:tcW w:w="3399" w:type="dxa"/>
            <w:tcBorders>
              <w:top w:val="nil"/>
              <w:left w:val="nil"/>
              <w:bottom w:val="nil"/>
              <w:right w:val="nil"/>
            </w:tcBorders>
            <w:shd w:val="clear" w:color="auto" w:fill="auto"/>
            <w:noWrap/>
            <w:vAlign w:val="bottom"/>
            <w:hideMark/>
          </w:tcPr>
          <w:p w14:paraId="5EBA35C4" w14:textId="77777777" w:rsidR="00894A5F" w:rsidRPr="00894A5F" w:rsidRDefault="00894A5F" w:rsidP="00894A5F">
            <w:pPr>
              <w:spacing w:after="0" w:line="240" w:lineRule="auto"/>
              <w:rPr>
                <w:rFonts w:ascii="Times New Roman" w:eastAsia="Times New Roman" w:hAnsi="Times New Roman" w:cs="Times New Roman"/>
                <w:sz w:val="20"/>
                <w:szCs w:val="20"/>
                <w:lang w:eastAsia="cs-CZ"/>
              </w:rPr>
            </w:pPr>
          </w:p>
        </w:tc>
        <w:tc>
          <w:tcPr>
            <w:tcW w:w="1333" w:type="dxa"/>
            <w:tcBorders>
              <w:top w:val="nil"/>
              <w:left w:val="nil"/>
              <w:bottom w:val="nil"/>
              <w:right w:val="nil"/>
            </w:tcBorders>
            <w:shd w:val="clear" w:color="auto" w:fill="auto"/>
            <w:noWrap/>
            <w:vAlign w:val="bottom"/>
            <w:hideMark/>
          </w:tcPr>
          <w:p w14:paraId="28AD8D4D" w14:textId="77777777" w:rsidR="00894A5F" w:rsidRPr="00894A5F" w:rsidRDefault="00894A5F" w:rsidP="00894A5F">
            <w:pPr>
              <w:spacing w:after="0" w:line="240" w:lineRule="auto"/>
              <w:rPr>
                <w:rFonts w:ascii="Times New Roman" w:eastAsia="Times New Roman" w:hAnsi="Times New Roman" w:cs="Times New Roman"/>
                <w:sz w:val="20"/>
                <w:szCs w:val="20"/>
                <w:lang w:eastAsia="cs-CZ"/>
              </w:rPr>
            </w:pPr>
          </w:p>
        </w:tc>
        <w:tc>
          <w:tcPr>
            <w:tcW w:w="1713" w:type="dxa"/>
            <w:tcBorders>
              <w:top w:val="nil"/>
              <w:left w:val="nil"/>
              <w:bottom w:val="nil"/>
              <w:right w:val="nil"/>
            </w:tcBorders>
            <w:shd w:val="clear" w:color="auto" w:fill="auto"/>
            <w:noWrap/>
            <w:vAlign w:val="bottom"/>
            <w:hideMark/>
          </w:tcPr>
          <w:p w14:paraId="2512886F" w14:textId="77777777" w:rsidR="00894A5F" w:rsidRPr="00894A5F" w:rsidRDefault="00894A5F" w:rsidP="00894A5F">
            <w:pPr>
              <w:spacing w:after="0" w:line="240" w:lineRule="auto"/>
              <w:rPr>
                <w:rFonts w:ascii="Times New Roman" w:eastAsia="Times New Roman" w:hAnsi="Times New Roman" w:cs="Times New Roman"/>
                <w:sz w:val="20"/>
                <w:szCs w:val="20"/>
                <w:lang w:eastAsia="cs-CZ"/>
              </w:rPr>
            </w:pPr>
          </w:p>
        </w:tc>
        <w:tc>
          <w:tcPr>
            <w:tcW w:w="1664" w:type="dxa"/>
            <w:tcBorders>
              <w:top w:val="nil"/>
              <w:left w:val="nil"/>
              <w:bottom w:val="nil"/>
              <w:right w:val="nil"/>
            </w:tcBorders>
            <w:shd w:val="clear" w:color="auto" w:fill="auto"/>
            <w:noWrap/>
            <w:vAlign w:val="bottom"/>
            <w:hideMark/>
          </w:tcPr>
          <w:p w14:paraId="5308CC69" w14:textId="77777777" w:rsidR="00894A5F" w:rsidRPr="00894A5F" w:rsidRDefault="00894A5F" w:rsidP="00894A5F">
            <w:pPr>
              <w:spacing w:after="0" w:line="240" w:lineRule="auto"/>
              <w:jc w:val="right"/>
              <w:rPr>
                <w:rFonts w:ascii="Times New Roman" w:eastAsia="Times New Roman" w:hAnsi="Times New Roman" w:cs="Times New Roman"/>
                <w:sz w:val="20"/>
                <w:szCs w:val="20"/>
                <w:lang w:eastAsia="cs-CZ"/>
              </w:rPr>
            </w:pPr>
          </w:p>
        </w:tc>
        <w:tc>
          <w:tcPr>
            <w:tcW w:w="711" w:type="dxa"/>
            <w:tcBorders>
              <w:top w:val="nil"/>
              <w:left w:val="nil"/>
              <w:bottom w:val="nil"/>
              <w:right w:val="nil"/>
            </w:tcBorders>
            <w:shd w:val="clear" w:color="auto" w:fill="auto"/>
            <w:noWrap/>
            <w:vAlign w:val="bottom"/>
            <w:hideMark/>
          </w:tcPr>
          <w:p w14:paraId="1396B9EE" w14:textId="77777777" w:rsidR="00894A5F" w:rsidRPr="00894A5F" w:rsidRDefault="00894A5F" w:rsidP="00894A5F">
            <w:pPr>
              <w:spacing w:after="0" w:line="240" w:lineRule="auto"/>
              <w:jc w:val="right"/>
              <w:rPr>
                <w:rFonts w:ascii="Times New Roman" w:eastAsia="Times New Roman" w:hAnsi="Times New Roman" w:cs="Times New Roman"/>
                <w:sz w:val="20"/>
                <w:szCs w:val="20"/>
                <w:lang w:eastAsia="cs-CZ"/>
              </w:rPr>
            </w:pPr>
          </w:p>
        </w:tc>
      </w:tr>
      <w:tr w:rsidR="00894A5F" w:rsidRPr="00894A5F" w14:paraId="64B724ED" w14:textId="77777777" w:rsidTr="00894A5F">
        <w:trPr>
          <w:trHeight w:val="360"/>
        </w:trPr>
        <w:tc>
          <w:tcPr>
            <w:tcW w:w="4279"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58B93024" w14:textId="77777777" w:rsidR="00894A5F" w:rsidRPr="00894A5F" w:rsidRDefault="00894A5F" w:rsidP="00894A5F">
            <w:pPr>
              <w:spacing w:after="0" w:line="240" w:lineRule="auto"/>
              <w:rPr>
                <w:rFonts w:ascii="Calibri" w:eastAsia="Times New Roman" w:hAnsi="Calibri" w:cs="Calibri"/>
                <w:b/>
                <w:bCs/>
                <w:sz w:val="24"/>
                <w:szCs w:val="24"/>
                <w:lang w:eastAsia="cs-CZ"/>
              </w:rPr>
            </w:pPr>
            <w:r w:rsidRPr="00894A5F">
              <w:rPr>
                <w:rFonts w:ascii="Calibri" w:eastAsia="Times New Roman" w:hAnsi="Calibri" w:cs="Calibri"/>
                <w:b/>
                <w:bCs/>
                <w:sz w:val="24"/>
                <w:szCs w:val="24"/>
                <w:lang w:eastAsia="cs-CZ"/>
              </w:rPr>
              <w:t xml:space="preserve">Celkem výdaje   </w:t>
            </w:r>
          </w:p>
        </w:tc>
        <w:tc>
          <w:tcPr>
            <w:tcW w:w="1333" w:type="dxa"/>
            <w:tcBorders>
              <w:top w:val="single" w:sz="8" w:space="0" w:color="auto"/>
              <w:left w:val="nil"/>
              <w:bottom w:val="single" w:sz="8" w:space="0" w:color="auto"/>
              <w:right w:val="single" w:sz="8" w:space="0" w:color="auto"/>
            </w:tcBorders>
            <w:shd w:val="clear" w:color="auto" w:fill="auto"/>
            <w:noWrap/>
            <w:vAlign w:val="bottom"/>
            <w:hideMark/>
          </w:tcPr>
          <w:p w14:paraId="5378CB04" w14:textId="77777777" w:rsidR="00894A5F" w:rsidRPr="00894A5F" w:rsidRDefault="00894A5F" w:rsidP="00894A5F">
            <w:pPr>
              <w:spacing w:after="0" w:line="240" w:lineRule="auto"/>
              <w:jc w:val="right"/>
              <w:rPr>
                <w:rFonts w:ascii="Calibri" w:eastAsia="Times New Roman" w:hAnsi="Calibri" w:cs="Calibri"/>
                <w:b/>
                <w:bCs/>
                <w:lang w:eastAsia="cs-CZ"/>
              </w:rPr>
            </w:pPr>
            <w:r w:rsidRPr="00894A5F">
              <w:rPr>
                <w:rFonts w:ascii="Calibri" w:eastAsia="Times New Roman" w:hAnsi="Calibri" w:cs="Calibri"/>
                <w:b/>
                <w:bCs/>
                <w:lang w:eastAsia="cs-CZ"/>
              </w:rPr>
              <w:t>3 650 000</w:t>
            </w:r>
          </w:p>
        </w:tc>
        <w:tc>
          <w:tcPr>
            <w:tcW w:w="1713" w:type="dxa"/>
            <w:tcBorders>
              <w:top w:val="single" w:sz="8" w:space="0" w:color="auto"/>
              <w:left w:val="nil"/>
              <w:bottom w:val="single" w:sz="8" w:space="0" w:color="auto"/>
              <w:right w:val="single" w:sz="8" w:space="0" w:color="auto"/>
            </w:tcBorders>
            <w:shd w:val="clear" w:color="auto" w:fill="auto"/>
            <w:noWrap/>
            <w:vAlign w:val="bottom"/>
            <w:hideMark/>
          </w:tcPr>
          <w:p w14:paraId="5C112E8B" w14:textId="77777777" w:rsidR="00894A5F" w:rsidRPr="00894A5F" w:rsidRDefault="00894A5F" w:rsidP="00894A5F">
            <w:pPr>
              <w:spacing w:after="0" w:line="240" w:lineRule="auto"/>
              <w:jc w:val="right"/>
              <w:rPr>
                <w:rFonts w:ascii="Calibri" w:eastAsia="Times New Roman" w:hAnsi="Calibri" w:cs="Calibri"/>
                <w:b/>
                <w:bCs/>
                <w:lang w:eastAsia="cs-CZ"/>
              </w:rPr>
            </w:pPr>
            <w:r w:rsidRPr="00894A5F">
              <w:rPr>
                <w:rFonts w:ascii="Calibri" w:eastAsia="Times New Roman" w:hAnsi="Calibri" w:cs="Calibri"/>
                <w:b/>
                <w:bCs/>
                <w:lang w:eastAsia="cs-CZ"/>
              </w:rPr>
              <w:t>6 170 870,17</w:t>
            </w:r>
          </w:p>
        </w:tc>
        <w:tc>
          <w:tcPr>
            <w:tcW w:w="1664" w:type="dxa"/>
            <w:tcBorders>
              <w:top w:val="single" w:sz="8" w:space="0" w:color="auto"/>
              <w:left w:val="nil"/>
              <w:bottom w:val="single" w:sz="8" w:space="0" w:color="auto"/>
              <w:right w:val="single" w:sz="8" w:space="0" w:color="auto"/>
            </w:tcBorders>
            <w:shd w:val="clear" w:color="auto" w:fill="auto"/>
            <w:noWrap/>
            <w:vAlign w:val="bottom"/>
            <w:hideMark/>
          </w:tcPr>
          <w:p w14:paraId="1A337F63" w14:textId="77777777" w:rsidR="00894A5F" w:rsidRPr="00894A5F" w:rsidRDefault="00894A5F" w:rsidP="00894A5F">
            <w:pPr>
              <w:spacing w:after="0" w:line="240" w:lineRule="auto"/>
              <w:jc w:val="right"/>
              <w:rPr>
                <w:rFonts w:ascii="Calibri" w:eastAsia="Times New Roman" w:hAnsi="Calibri" w:cs="Calibri"/>
                <w:b/>
                <w:bCs/>
                <w:lang w:eastAsia="cs-CZ"/>
              </w:rPr>
            </w:pPr>
            <w:r w:rsidRPr="00894A5F">
              <w:rPr>
                <w:rFonts w:ascii="Calibri" w:eastAsia="Times New Roman" w:hAnsi="Calibri" w:cs="Calibri"/>
                <w:b/>
                <w:bCs/>
                <w:lang w:eastAsia="cs-CZ"/>
              </w:rPr>
              <w:t>3 907 481,11</w:t>
            </w:r>
          </w:p>
        </w:tc>
        <w:tc>
          <w:tcPr>
            <w:tcW w:w="711"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14:paraId="44AABA3A" w14:textId="77777777" w:rsidR="00894A5F" w:rsidRPr="00894A5F" w:rsidRDefault="00894A5F" w:rsidP="00894A5F">
            <w:pPr>
              <w:spacing w:after="0" w:line="240" w:lineRule="auto"/>
              <w:jc w:val="right"/>
              <w:rPr>
                <w:rFonts w:ascii="Calibri" w:eastAsia="Times New Roman" w:hAnsi="Calibri" w:cs="Calibri"/>
                <w:b/>
                <w:bCs/>
                <w:lang w:eastAsia="cs-CZ"/>
              </w:rPr>
            </w:pPr>
            <w:r w:rsidRPr="00894A5F">
              <w:rPr>
                <w:rFonts w:ascii="Calibri" w:eastAsia="Times New Roman" w:hAnsi="Calibri" w:cs="Calibri"/>
                <w:b/>
                <w:bCs/>
                <w:lang w:eastAsia="cs-CZ"/>
              </w:rPr>
              <w:t>63,3</w:t>
            </w:r>
          </w:p>
        </w:tc>
      </w:tr>
    </w:tbl>
    <w:p w14:paraId="05DA4875" w14:textId="61107A7A" w:rsidR="00894A5F" w:rsidRDefault="00894A5F" w:rsidP="0013179B">
      <w:pPr>
        <w:rPr>
          <w:rFonts w:cs="Calibri"/>
        </w:rPr>
      </w:pPr>
    </w:p>
    <w:p w14:paraId="5037871E" w14:textId="7D4759D8" w:rsidR="00894A5F" w:rsidRDefault="00894A5F" w:rsidP="0013179B">
      <w:pPr>
        <w:rPr>
          <w:rFonts w:cs="Calibri"/>
        </w:rPr>
      </w:pPr>
    </w:p>
    <w:p w14:paraId="354EAC67" w14:textId="2638CBDA" w:rsidR="00894A5F" w:rsidRDefault="00894A5F" w:rsidP="0013179B">
      <w:pPr>
        <w:rPr>
          <w:rFonts w:cs="Calibri"/>
        </w:rPr>
      </w:pPr>
    </w:p>
    <w:p w14:paraId="6BF13B44" w14:textId="207B8E13" w:rsidR="00894A5F" w:rsidRDefault="00894A5F" w:rsidP="0013179B">
      <w:pPr>
        <w:rPr>
          <w:rFonts w:cs="Calibri"/>
        </w:rPr>
      </w:pPr>
    </w:p>
    <w:p w14:paraId="3F0637CF" w14:textId="6C97CFEC" w:rsidR="00894A5F" w:rsidRDefault="00894A5F" w:rsidP="0013179B">
      <w:pPr>
        <w:rPr>
          <w:rFonts w:cs="Calibri"/>
        </w:rPr>
      </w:pPr>
    </w:p>
    <w:p w14:paraId="171074C4" w14:textId="6D5C498F" w:rsidR="00894A5F" w:rsidRDefault="00894A5F" w:rsidP="0013179B">
      <w:pPr>
        <w:rPr>
          <w:rFonts w:cs="Calibri"/>
        </w:rPr>
      </w:pPr>
    </w:p>
    <w:p w14:paraId="087EE24C" w14:textId="06BC2E18" w:rsidR="00894A5F" w:rsidRDefault="00894A5F" w:rsidP="0013179B">
      <w:pPr>
        <w:rPr>
          <w:rFonts w:cs="Calibri"/>
        </w:rPr>
      </w:pPr>
    </w:p>
    <w:p w14:paraId="7C40EFD5" w14:textId="623DC985" w:rsidR="00894A5F" w:rsidRDefault="00894A5F" w:rsidP="0013179B">
      <w:pPr>
        <w:rPr>
          <w:rFonts w:cs="Calibri"/>
        </w:rPr>
      </w:pPr>
    </w:p>
    <w:p w14:paraId="7768D8FE" w14:textId="0C5974C6" w:rsidR="00894A5F" w:rsidRDefault="00894A5F" w:rsidP="0013179B">
      <w:pPr>
        <w:rPr>
          <w:rFonts w:cs="Calibri"/>
        </w:rPr>
      </w:pPr>
    </w:p>
    <w:p w14:paraId="5EE18401" w14:textId="0C91FD6C" w:rsidR="00894A5F" w:rsidRDefault="00894A5F" w:rsidP="0013179B">
      <w:pPr>
        <w:rPr>
          <w:rFonts w:cs="Calibri"/>
        </w:rPr>
      </w:pPr>
    </w:p>
    <w:p w14:paraId="57B3D0A7" w14:textId="28588E41" w:rsidR="00894A5F" w:rsidRDefault="00894A5F" w:rsidP="0013179B">
      <w:pPr>
        <w:rPr>
          <w:rFonts w:cs="Calibri"/>
        </w:rPr>
      </w:pPr>
    </w:p>
    <w:p w14:paraId="6856298E" w14:textId="4C851389" w:rsidR="00894A5F" w:rsidRDefault="00894A5F" w:rsidP="0013179B">
      <w:pPr>
        <w:rPr>
          <w:rFonts w:cs="Calibri"/>
        </w:rPr>
      </w:pPr>
    </w:p>
    <w:p w14:paraId="284B5EA4" w14:textId="6E7A7452" w:rsidR="00894A5F" w:rsidRDefault="00894A5F" w:rsidP="0013179B">
      <w:pPr>
        <w:rPr>
          <w:rFonts w:cs="Calibri"/>
        </w:rPr>
      </w:pPr>
    </w:p>
    <w:p w14:paraId="53B62210" w14:textId="2DBE5003" w:rsidR="00FA4FAF" w:rsidRDefault="00FA4FAF" w:rsidP="00593EA0">
      <w:pPr>
        <w:spacing w:after="0" w:line="240" w:lineRule="auto"/>
        <w:rPr>
          <w:rFonts w:cs="Calibri"/>
        </w:rPr>
      </w:pPr>
    </w:p>
    <w:p w14:paraId="7910568F" w14:textId="77777777" w:rsidR="000951D6" w:rsidRPr="006029D8" w:rsidRDefault="000951D6" w:rsidP="00593EA0">
      <w:pPr>
        <w:spacing w:after="0" w:line="240" w:lineRule="auto"/>
        <w:rPr>
          <w:rFonts w:ascii="Times New Roman" w:hAnsi="Times New Roman" w:cs="Times New Roman"/>
          <w:b/>
          <w:sz w:val="24"/>
          <w:szCs w:val="24"/>
          <w:u w:val="single"/>
        </w:rPr>
      </w:pPr>
    </w:p>
    <w:p w14:paraId="0D45A618" w14:textId="77777777" w:rsidR="00FA4FAF" w:rsidRPr="00706211" w:rsidRDefault="00FA4FAF" w:rsidP="00FA4FAF">
      <w:pPr>
        <w:spacing w:after="0" w:line="240" w:lineRule="auto"/>
        <w:jc w:val="center"/>
        <w:rPr>
          <w:rFonts w:ascii="Times New Roman" w:hAnsi="Times New Roman" w:cs="Times New Roman"/>
          <w:b/>
          <w:sz w:val="24"/>
          <w:szCs w:val="24"/>
          <w:u w:val="single"/>
        </w:rPr>
      </w:pPr>
    </w:p>
    <w:p w14:paraId="440197DF" w14:textId="77777777" w:rsidR="00FA4FAF" w:rsidRPr="00E574D3" w:rsidRDefault="00FA4FAF" w:rsidP="00FA4FAF">
      <w:pPr>
        <w:spacing w:after="0" w:line="240" w:lineRule="auto"/>
        <w:jc w:val="both"/>
        <w:rPr>
          <w:rFonts w:ascii="Calibri" w:hAnsi="Calibri" w:cs="Calibri"/>
          <w:b/>
          <w:sz w:val="28"/>
          <w:szCs w:val="28"/>
          <w:u w:val="single"/>
        </w:rPr>
      </w:pPr>
      <w:r w:rsidRPr="00E574D3">
        <w:rPr>
          <w:rFonts w:ascii="Calibri" w:hAnsi="Calibri" w:cs="Calibri"/>
          <w:b/>
          <w:sz w:val="28"/>
          <w:szCs w:val="28"/>
          <w:u w:val="single"/>
        </w:rPr>
        <w:t>Kapitola 18 – Legislativně právní</w:t>
      </w:r>
    </w:p>
    <w:p w14:paraId="0C2C25D9" w14:textId="77777777" w:rsidR="00FA4FAF" w:rsidRPr="00E574D3" w:rsidRDefault="00FA4FAF" w:rsidP="00FA4FAF">
      <w:pPr>
        <w:spacing w:after="0" w:line="240" w:lineRule="auto"/>
        <w:jc w:val="both"/>
        <w:rPr>
          <w:rFonts w:ascii="Calibri" w:hAnsi="Calibri" w:cs="Calibri"/>
          <w:sz w:val="12"/>
          <w:szCs w:val="12"/>
        </w:rPr>
      </w:pPr>
    </w:p>
    <w:p w14:paraId="14B4B586" w14:textId="77777777" w:rsidR="00FA4FAF" w:rsidRPr="00E574D3" w:rsidRDefault="00FA4FAF" w:rsidP="00FA4FAF">
      <w:pPr>
        <w:spacing w:after="0" w:line="240" w:lineRule="auto"/>
        <w:jc w:val="both"/>
        <w:rPr>
          <w:rFonts w:ascii="Calibri" w:hAnsi="Calibri" w:cs="Calibri"/>
          <w:sz w:val="20"/>
          <w:szCs w:val="20"/>
        </w:rPr>
      </w:pPr>
      <w:r w:rsidRPr="00E574D3">
        <w:rPr>
          <w:rFonts w:ascii="Calibri" w:hAnsi="Calibri" w:cs="Calibri"/>
          <w:sz w:val="28"/>
          <w:szCs w:val="28"/>
        </w:rPr>
        <w:tab/>
      </w:r>
    </w:p>
    <w:p w14:paraId="73A4984A" w14:textId="77777777" w:rsidR="00FA4FAF" w:rsidRPr="00E574D3" w:rsidRDefault="00FA4FAF" w:rsidP="00FA4FAF">
      <w:pPr>
        <w:spacing w:after="0" w:line="240" w:lineRule="auto"/>
        <w:jc w:val="both"/>
        <w:rPr>
          <w:rFonts w:ascii="Calibri" w:hAnsi="Calibri" w:cs="Calibri"/>
          <w:b/>
          <w:sz w:val="24"/>
          <w:szCs w:val="24"/>
          <w:u w:val="single"/>
        </w:rPr>
      </w:pPr>
      <w:r w:rsidRPr="00E574D3">
        <w:rPr>
          <w:rFonts w:ascii="Calibri" w:hAnsi="Calibri" w:cs="Calibri"/>
          <w:b/>
          <w:sz w:val="24"/>
          <w:szCs w:val="24"/>
          <w:u w:val="single"/>
        </w:rPr>
        <w:t>Běžné výdaje</w:t>
      </w:r>
    </w:p>
    <w:p w14:paraId="0C733B15" w14:textId="77777777" w:rsidR="00FA4FAF" w:rsidRPr="00E574D3" w:rsidRDefault="00FA4FAF" w:rsidP="00FA4FAF">
      <w:pPr>
        <w:spacing w:after="0" w:line="240" w:lineRule="auto"/>
        <w:jc w:val="both"/>
        <w:rPr>
          <w:rFonts w:ascii="Calibri" w:hAnsi="Calibri" w:cs="Calibri"/>
          <w:b/>
          <w:u w:val="single"/>
        </w:rPr>
      </w:pPr>
    </w:p>
    <w:p w14:paraId="3BAE5332" w14:textId="77777777" w:rsidR="00FA4FAF" w:rsidRPr="00924D39" w:rsidRDefault="00FA4FAF" w:rsidP="00FA4FAF">
      <w:pPr>
        <w:spacing w:after="0" w:line="240" w:lineRule="auto"/>
        <w:jc w:val="both"/>
        <w:rPr>
          <w:rFonts w:ascii="Calibri" w:hAnsi="Calibri" w:cs="Calibri"/>
          <w:b/>
        </w:rPr>
      </w:pPr>
      <w:r w:rsidRPr="00924D39">
        <w:rPr>
          <w:rFonts w:ascii="Calibri" w:hAnsi="Calibri" w:cs="Calibri"/>
          <w:b/>
        </w:rPr>
        <w:t>§ 2212 – Silnice</w:t>
      </w:r>
    </w:p>
    <w:p w14:paraId="29BA7258" w14:textId="77777777" w:rsidR="00FA4FAF" w:rsidRPr="00924D39" w:rsidRDefault="00FA4FAF" w:rsidP="00FA4FAF">
      <w:pPr>
        <w:spacing w:after="0" w:line="240" w:lineRule="auto"/>
        <w:jc w:val="both"/>
        <w:rPr>
          <w:rFonts w:ascii="Calibri" w:hAnsi="Calibri" w:cs="Calibri"/>
          <w:b/>
        </w:rPr>
      </w:pPr>
      <w:r w:rsidRPr="00924D39">
        <w:rPr>
          <w:rFonts w:ascii="Calibri" w:hAnsi="Calibri" w:cs="Calibri"/>
          <w:b/>
        </w:rPr>
        <w:t>§ 3121 – Gymnázia</w:t>
      </w:r>
    </w:p>
    <w:p w14:paraId="70C150E3" w14:textId="77777777" w:rsidR="00FA4FAF" w:rsidRPr="00924D39" w:rsidRDefault="00FA4FAF" w:rsidP="00FA4FAF">
      <w:pPr>
        <w:spacing w:after="0" w:line="240" w:lineRule="auto"/>
        <w:jc w:val="both"/>
        <w:rPr>
          <w:rFonts w:ascii="Calibri" w:hAnsi="Calibri" w:cs="Calibri"/>
          <w:b/>
        </w:rPr>
      </w:pPr>
      <w:r w:rsidRPr="00924D39">
        <w:rPr>
          <w:rFonts w:ascii="Calibri" w:hAnsi="Calibri" w:cs="Calibri"/>
          <w:b/>
        </w:rPr>
        <w:t>§ 3123 – Střední školy poskytující střední vzdělání s výučním listem</w:t>
      </w:r>
    </w:p>
    <w:p w14:paraId="43491A23" w14:textId="77777777" w:rsidR="00FA4FAF" w:rsidRPr="00924D39" w:rsidRDefault="00FA4FAF" w:rsidP="00FA4FAF">
      <w:pPr>
        <w:spacing w:after="0" w:line="240" w:lineRule="auto"/>
        <w:jc w:val="both"/>
        <w:rPr>
          <w:rFonts w:ascii="Calibri" w:hAnsi="Calibri" w:cs="Calibri"/>
          <w:b/>
        </w:rPr>
      </w:pPr>
      <w:r w:rsidRPr="00924D39">
        <w:rPr>
          <w:rFonts w:ascii="Calibri" w:hAnsi="Calibri" w:cs="Calibri"/>
          <w:b/>
        </w:rPr>
        <w:t>§ 3133 – Dětské domovy</w:t>
      </w:r>
    </w:p>
    <w:p w14:paraId="667C8C5A" w14:textId="77777777" w:rsidR="00FA4FAF" w:rsidRPr="00924D39" w:rsidRDefault="00FA4FAF" w:rsidP="00FA4FAF">
      <w:pPr>
        <w:spacing w:after="0" w:line="240" w:lineRule="auto"/>
        <w:jc w:val="both"/>
        <w:rPr>
          <w:rFonts w:ascii="Calibri" w:hAnsi="Calibri" w:cs="Calibri"/>
          <w:b/>
        </w:rPr>
      </w:pPr>
      <w:r w:rsidRPr="00924D39">
        <w:rPr>
          <w:rFonts w:ascii="Calibri" w:hAnsi="Calibri" w:cs="Calibri"/>
          <w:b/>
        </w:rPr>
        <w:t>§ 3269 – Ostatní správa ve vzdělávání jinde nezařazená</w:t>
      </w:r>
    </w:p>
    <w:p w14:paraId="53213827" w14:textId="77777777" w:rsidR="00FA4FAF" w:rsidRPr="00924D39" w:rsidRDefault="00FA4FAF" w:rsidP="00FA4FAF">
      <w:pPr>
        <w:spacing w:after="0" w:line="240" w:lineRule="auto"/>
        <w:jc w:val="both"/>
        <w:rPr>
          <w:rFonts w:ascii="Calibri" w:hAnsi="Calibri" w:cs="Calibri"/>
          <w:b/>
        </w:rPr>
      </w:pPr>
      <w:r w:rsidRPr="00924D39">
        <w:rPr>
          <w:rFonts w:ascii="Calibri" w:hAnsi="Calibri" w:cs="Calibri"/>
          <w:b/>
        </w:rPr>
        <w:t>§ 3315 – Činnosti muzeí a galerií</w:t>
      </w:r>
    </w:p>
    <w:p w14:paraId="3C7419BE" w14:textId="77777777" w:rsidR="00FA4FAF" w:rsidRPr="00924D39" w:rsidRDefault="00FA4FAF" w:rsidP="00FA4FAF">
      <w:pPr>
        <w:spacing w:after="0" w:line="240" w:lineRule="auto"/>
        <w:jc w:val="both"/>
        <w:rPr>
          <w:rFonts w:ascii="Calibri" w:hAnsi="Calibri" w:cs="Calibri"/>
          <w:b/>
        </w:rPr>
      </w:pPr>
      <w:r w:rsidRPr="00924D39">
        <w:rPr>
          <w:rFonts w:ascii="Calibri" w:hAnsi="Calibri" w:cs="Calibri"/>
          <w:b/>
        </w:rPr>
        <w:t>§ 3613 – Nebytové hospodářství</w:t>
      </w:r>
    </w:p>
    <w:p w14:paraId="4D0C653D" w14:textId="77777777" w:rsidR="00FA4FAF" w:rsidRPr="00924D39" w:rsidRDefault="00FA4FAF" w:rsidP="00FA4FAF">
      <w:pPr>
        <w:spacing w:after="0" w:line="240" w:lineRule="auto"/>
        <w:jc w:val="both"/>
        <w:rPr>
          <w:rFonts w:ascii="Calibri" w:hAnsi="Calibri" w:cs="Calibri"/>
          <w:b/>
        </w:rPr>
      </w:pPr>
      <w:r w:rsidRPr="00924D39">
        <w:rPr>
          <w:rFonts w:ascii="Calibri" w:hAnsi="Calibri" w:cs="Calibri"/>
          <w:b/>
        </w:rPr>
        <w:t>§ 4350 – Domovy pro seniory</w:t>
      </w:r>
    </w:p>
    <w:p w14:paraId="6F94BF7B" w14:textId="77777777" w:rsidR="00FA4FAF" w:rsidRPr="00924D39" w:rsidRDefault="00FA4FAF" w:rsidP="00FA4FAF">
      <w:pPr>
        <w:spacing w:after="0" w:line="240" w:lineRule="auto"/>
        <w:jc w:val="both"/>
        <w:rPr>
          <w:rFonts w:ascii="Calibri" w:hAnsi="Calibri" w:cs="Calibri"/>
          <w:b/>
        </w:rPr>
      </w:pPr>
      <w:r w:rsidRPr="00924D39">
        <w:rPr>
          <w:rFonts w:ascii="Calibri" w:hAnsi="Calibri" w:cs="Calibri"/>
          <w:b/>
        </w:rPr>
        <w:t xml:space="preserve">§ 6113 – Zastupitelstva krajů </w:t>
      </w:r>
    </w:p>
    <w:p w14:paraId="3882C839" w14:textId="77777777" w:rsidR="00FA4FAF" w:rsidRPr="00E574D3" w:rsidRDefault="00FA4FAF" w:rsidP="00FA4FAF">
      <w:pPr>
        <w:spacing w:after="0" w:line="240" w:lineRule="auto"/>
        <w:jc w:val="both"/>
        <w:rPr>
          <w:rFonts w:ascii="Calibri" w:hAnsi="Calibri" w:cs="Calibri"/>
          <w:b/>
          <w:sz w:val="24"/>
          <w:szCs w:val="24"/>
        </w:rPr>
      </w:pPr>
    </w:p>
    <w:p w14:paraId="0C47F3F9" w14:textId="23CC4152" w:rsidR="00FA4FAF" w:rsidRPr="00593EA0" w:rsidRDefault="00FA4FAF" w:rsidP="00FA4FAF">
      <w:pPr>
        <w:spacing w:after="0" w:line="240" w:lineRule="auto"/>
        <w:jc w:val="both"/>
        <w:rPr>
          <w:rFonts w:ascii="Calibri" w:hAnsi="Calibri" w:cs="Calibri"/>
        </w:rPr>
      </w:pPr>
      <w:r w:rsidRPr="00593EA0">
        <w:rPr>
          <w:rFonts w:ascii="Calibri" w:hAnsi="Calibri" w:cs="Calibri"/>
        </w:rPr>
        <w:t xml:space="preserve">Prostředky jsou určeny na krytí nákladů na externí poradenskou činnost poskytovanou Krajskému úřadu Středočeského kraje ve složitých legislativně právních případech. Jedná se o případy, jejichž řešení není možné z důvodu specifičnosti a značné odborné náročnosti pokrýt vlastními odbornými zaměstnanci. Dále v případech využívání externích právních služeb dalšími odbory Krajského úřadu Středočeského kraje na základě jejich přímých požadavků. </w:t>
      </w:r>
      <w:r w:rsidR="009B1383">
        <w:rPr>
          <w:rFonts w:ascii="Calibri" w:hAnsi="Calibri" w:cs="Calibri"/>
        </w:rPr>
        <w:t>Výdaje jsou zatříděné dle konkrétních paragrafů, tj. účelu činnosti.</w:t>
      </w:r>
    </w:p>
    <w:p w14:paraId="3F6752F3" w14:textId="184317F4" w:rsidR="00FA4FAF" w:rsidRPr="00593EA0" w:rsidRDefault="00FA4FAF" w:rsidP="00FA4FAF">
      <w:pPr>
        <w:spacing w:after="0" w:line="240" w:lineRule="auto"/>
        <w:jc w:val="both"/>
        <w:rPr>
          <w:rFonts w:ascii="Calibri" w:hAnsi="Calibri" w:cs="Calibri"/>
        </w:rPr>
      </w:pPr>
      <w:r w:rsidRPr="00593EA0">
        <w:rPr>
          <w:rFonts w:ascii="Calibri" w:hAnsi="Calibri" w:cs="Calibri"/>
        </w:rPr>
        <w:t>Schválený rozpočet ve výši 500 000,00 Kč byl navýšen na základě usnesení č. 074-04/2021/RK ze dne 28.</w:t>
      </w:r>
      <w:r w:rsidR="00444EEB">
        <w:rPr>
          <w:rFonts w:ascii="Calibri" w:hAnsi="Calibri" w:cs="Calibri"/>
        </w:rPr>
        <w:t xml:space="preserve"> </w:t>
      </w:r>
      <w:r w:rsidRPr="00593EA0">
        <w:rPr>
          <w:rFonts w:ascii="Calibri" w:hAnsi="Calibri" w:cs="Calibri"/>
        </w:rPr>
        <w:t>1.</w:t>
      </w:r>
      <w:r w:rsidR="00444EEB">
        <w:rPr>
          <w:rFonts w:ascii="Calibri" w:hAnsi="Calibri" w:cs="Calibri"/>
        </w:rPr>
        <w:t xml:space="preserve"> </w:t>
      </w:r>
      <w:r w:rsidRPr="00593EA0">
        <w:rPr>
          <w:rFonts w:ascii="Calibri" w:hAnsi="Calibri" w:cs="Calibri"/>
        </w:rPr>
        <w:t>2021, č. 044-20/2021/RK ze dne 6.</w:t>
      </w:r>
      <w:r w:rsidR="00444EEB">
        <w:rPr>
          <w:rFonts w:ascii="Calibri" w:hAnsi="Calibri" w:cs="Calibri"/>
        </w:rPr>
        <w:t xml:space="preserve"> </w:t>
      </w:r>
      <w:r w:rsidRPr="00593EA0">
        <w:rPr>
          <w:rFonts w:ascii="Calibri" w:hAnsi="Calibri" w:cs="Calibri"/>
        </w:rPr>
        <w:t>5.</w:t>
      </w:r>
      <w:r w:rsidR="00444EEB">
        <w:rPr>
          <w:rFonts w:ascii="Calibri" w:hAnsi="Calibri" w:cs="Calibri"/>
        </w:rPr>
        <w:t xml:space="preserve"> </w:t>
      </w:r>
      <w:r w:rsidRPr="00593EA0">
        <w:rPr>
          <w:rFonts w:ascii="Calibri" w:hAnsi="Calibri" w:cs="Calibri"/>
        </w:rPr>
        <w:t>2021 a usnesení č. 126-32/2021/RK ze dne 26.</w:t>
      </w:r>
      <w:r w:rsidR="00444EEB">
        <w:rPr>
          <w:rFonts w:ascii="Calibri" w:hAnsi="Calibri" w:cs="Calibri"/>
        </w:rPr>
        <w:t xml:space="preserve"> </w:t>
      </w:r>
      <w:r w:rsidRPr="00593EA0">
        <w:rPr>
          <w:rFonts w:ascii="Calibri" w:hAnsi="Calibri" w:cs="Calibri"/>
        </w:rPr>
        <w:t>8.</w:t>
      </w:r>
      <w:r w:rsidR="00444EEB">
        <w:rPr>
          <w:rFonts w:ascii="Calibri" w:hAnsi="Calibri" w:cs="Calibri"/>
        </w:rPr>
        <w:t xml:space="preserve"> </w:t>
      </w:r>
      <w:r w:rsidRPr="00593EA0">
        <w:rPr>
          <w:rFonts w:ascii="Calibri" w:hAnsi="Calibri" w:cs="Calibri"/>
        </w:rPr>
        <w:t xml:space="preserve">2021. Dle aktuální potřeby byly postupně přesouvány finanční prostředky v rámci běžných a kapitálových výdajů na základě jednotlivých rozpočtových úprav projednaných s ředitelem KÚSK. </w:t>
      </w:r>
    </w:p>
    <w:p w14:paraId="0B0017D5" w14:textId="4E45DDED" w:rsidR="00FA4FAF" w:rsidRDefault="00FA4FAF" w:rsidP="00FA4FAF">
      <w:pPr>
        <w:spacing w:after="0" w:line="240" w:lineRule="auto"/>
        <w:jc w:val="both"/>
        <w:rPr>
          <w:rFonts w:ascii="Calibri" w:hAnsi="Calibri" w:cs="Calibri"/>
        </w:rPr>
      </w:pPr>
      <w:r w:rsidRPr="00593EA0">
        <w:rPr>
          <w:rFonts w:ascii="Calibri" w:hAnsi="Calibri" w:cs="Calibri"/>
        </w:rPr>
        <w:t>Finanční prostředky byly čerpány ve výši 380 278,81 Kč, tj. 32,9 %.</w:t>
      </w:r>
    </w:p>
    <w:p w14:paraId="695FB8D8" w14:textId="77777777" w:rsidR="00D04470" w:rsidRPr="009B1383" w:rsidRDefault="00D04470" w:rsidP="00FA4FAF">
      <w:pPr>
        <w:spacing w:after="0" w:line="240" w:lineRule="auto"/>
        <w:jc w:val="both"/>
        <w:rPr>
          <w:rFonts w:ascii="Calibri" w:hAnsi="Calibri" w:cs="Calibri"/>
        </w:rPr>
      </w:pPr>
    </w:p>
    <w:p w14:paraId="1D9EEFF7" w14:textId="77777777" w:rsidR="00FA4FAF" w:rsidRPr="00444EEB" w:rsidRDefault="00FA4FAF" w:rsidP="00FA4FAF">
      <w:pPr>
        <w:spacing w:after="0" w:line="240" w:lineRule="auto"/>
        <w:jc w:val="both"/>
        <w:rPr>
          <w:rFonts w:ascii="Calibri" w:hAnsi="Calibri" w:cs="Calibri"/>
          <w:b/>
        </w:rPr>
      </w:pPr>
      <w:r w:rsidRPr="00444EEB">
        <w:rPr>
          <w:rFonts w:ascii="Calibri" w:hAnsi="Calibri" w:cs="Calibri"/>
          <w:b/>
        </w:rPr>
        <w:t xml:space="preserve">§ 6172 – Činnost regionální správy </w:t>
      </w:r>
    </w:p>
    <w:p w14:paraId="7568A94C" w14:textId="77777777" w:rsidR="00FA4FAF" w:rsidRPr="00593EA0" w:rsidRDefault="00FA4FAF" w:rsidP="00FA4FAF">
      <w:pPr>
        <w:spacing w:after="0" w:line="240" w:lineRule="auto"/>
        <w:jc w:val="both"/>
        <w:rPr>
          <w:rFonts w:ascii="Calibri" w:hAnsi="Calibri" w:cs="Calibri"/>
        </w:rPr>
      </w:pPr>
      <w:r w:rsidRPr="00593EA0">
        <w:rPr>
          <w:rFonts w:ascii="Calibri" w:hAnsi="Calibri" w:cs="Calibri"/>
        </w:rPr>
        <w:t xml:space="preserve">Prostředky jsou určeny na krytí nákladů na externí poradenskou činnost v oblasti vlastní správní činnosti kraje. Paragraf zahrnuje také prostředky určené na náhrady nákladů soudního řízení, náhrady správních řízení a náhrady za nezpůsobenou újmu. </w:t>
      </w:r>
    </w:p>
    <w:p w14:paraId="4B33CF41" w14:textId="2664586A" w:rsidR="00FA4FAF" w:rsidRPr="00593EA0" w:rsidRDefault="00FA4FAF" w:rsidP="00FA4FAF">
      <w:pPr>
        <w:spacing w:after="0" w:line="240" w:lineRule="auto"/>
        <w:jc w:val="both"/>
        <w:rPr>
          <w:rFonts w:ascii="Calibri" w:hAnsi="Calibri" w:cs="Calibri"/>
        </w:rPr>
      </w:pPr>
      <w:r w:rsidRPr="00593EA0">
        <w:rPr>
          <w:rFonts w:ascii="Calibri" w:hAnsi="Calibri" w:cs="Calibri"/>
        </w:rPr>
        <w:t>Schválený rozpočet ve výši 3 150 000,00 Kč byl navýšen na základě usnesení č. 007-06/2021/ZK ze dne 26.</w:t>
      </w:r>
      <w:r w:rsidR="0007634D">
        <w:rPr>
          <w:rFonts w:ascii="Calibri" w:hAnsi="Calibri" w:cs="Calibri"/>
        </w:rPr>
        <w:t xml:space="preserve"> </w:t>
      </w:r>
      <w:r w:rsidRPr="00593EA0">
        <w:rPr>
          <w:rFonts w:ascii="Calibri" w:hAnsi="Calibri" w:cs="Calibri"/>
        </w:rPr>
        <w:t>4.</w:t>
      </w:r>
      <w:r w:rsidR="0007634D">
        <w:rPr>
          <w:rFonts w:ascii="Calibri" w:hAnsi="Calibri" w:cs="Calibri"/>
        </w:rPr>
        <w:t xml:space="preserve"> </w:t>
      </w:r>
      <w:r w:rsidRPr="00593EA0">
        <w:rPr>
          <w:rFonts w:ascii="Calibri" w:hAnsi="Calibri" w:cs="Calibri"/>
        </w:rPr>
        <w:t>2021 (rozdělení zůstatku hospodaření Středočeského kraje z roku 2020) o částku 1 520 870,17 Kč a o částku 1 000 000,00 Kč na základě rozpočtové úpravy č. 195/18/2021 ze dne 15.</w:t>
      </w:r>
      <w:r w:rsidR="0007634D">
        <w:rPr>
          <w:rFonts w:ascii="Calibri" w:hAnsi="Calibri" w:cs="Calibri"/>
        </w:rPr>
        <w:t xml:space="preserve"> </w:t>
      </w:r>
      <w:r w:rsidRPr="00593EA0">
        <w:rPr>
          <w:rFonts w:ascii="Calibri" w:hAnsi="Calibri" w:cs="Calibri"/>
        </w:rPr>
        <w:t>4.</w:t>
      </w:r>
      <w:r w:rsidR="0007634D">
        <w:rPr>
          <w:rFonts w:ascii="Calibri" w:hAnsi="Calibri" w:cs="Calibri"/>
        </w:rPr>
        <w:t xml:space="preserve"> </w:t>
      </w:r>
      <w:r w:rsidRPr="00593EA0">
        <w:rPr>
          <w:rFonts w:ascii="Calibri" w:hAnsi="Calibri" w:cs="Calibri"/>
        </w:rPr>
        <w:t>2021 projednané s ředitelem KÚSK a příslušným členem RK (převod finančních prostředků z kapitoly 23 – Ostatní, prostředky na očekávané výdaje kapitol). Dle aktuální potřeby byly finanční prostředky v rámci běžných výdajů průběžně přesouvány na základě jednotlivých rozpočtových úprav schválených radou kraje v celkové výši 680 000,00 Kč (usnesení č. 074-04/2021/RK ze dne 28.</w:t>
      </w:r>
      <w:r w:rsidR="0007634D">
        <w:rPr>
          <w:rFonts w:ascii="Calibri" w:hAnsi="Calibri" w:cs="Calibri"/>
        </w:rPr>
        <w:t xml:space="preserve"> </w:t>
      </w:r>
      <w:r w:rsidRPr="00593EA0">
        <w:rPr>
          <w:rFonts w:ascii="Calibri" w:hAnsi="Calibri" w:cs="Calibri"/>
        </w:rPr>
        <w:t>1.</w:t>
      </w:r>
      <w:r w:rsidR="0007634D">
        <w:rPr>
          <w:rFonts w:ascii="Calibri" w:hAnsi="Calibri" w:cs="Calibri"/>
        </w:rPr>
        <w:t xml:space="preserve"> </w:t>
      </w:r>
      <w:r w:rsidRPr="00593EA0">
        <w:rPr>
          <w:rFonts w:ascii="Calibri" w:hAnsi="Calibri" w:cs="Calibri"/>
        </w:rPr>
        <w:t>2021, usnesení č. 044-20/2021/RK ze dne 6.</w:t>
      </w:r>
      <w:r w:rsidR="0007634D">
        <w:rPr>
          <w:rFonts w:ascii="Calibri" w:hAnsi="Calibri" w:cs="Calibri"/>
        </w:rPr>
        <w:t xml:space="preserve"> </w:t>
      </w:r>
      <w:r w:rsidRPr="00593EA0">
        <w:rPr>
          <w:rFonts w:ascii="Calibri" w:hAnsi="Calibri" w:cs="Calibri"/>
        </w:rPr>
        <w:t>5.</w:t>
      </w:r>
      <w:r w:rsidR="0007634D">
        <w:rPr>
          <w:rFonts w:ascii="Calibri" w:hAnsi="Calibri" w:cs="Calibri"/>
        </w:rPr>
        <w:t xml:space="preserve"> </w:t>
      </w:r>
      <w:r w:rsidRPr="00593EA0">
        <w:rPr>
          <w:rFonts w:ascii="Calibri" w:hAnsi="Calibri" w:cs="Calibri"/>
        </w:rPr>
        <w:t xml:space="preserve">2021 a usnesení č. 126-32/2021/RK ze dne 26.08.2021). </w:t>
      </w:r>
    </w:p>
    <w:p w14:paraId="1DA2DA31" w14:textId="39D7D9F7" w:rsidR="00FA4FAF" w:rsidRDefault="00FA4FAF" w:rsidP="00FA4FAF">
      <w:pPr>
        <w:spacing w:after="0" w:line="240" w:lineRule="auto"/>
        <w:jc w:val="both"/>
        <w:rPr>
          <w:rFonts w:ascii="Calibri" w:hAnsi="Calibri" w:cs="Calibri"/>
        </w:rPr>
      </w:pPr>
      <w:r w:rsidRPr="00593EA0">
        <w:rPr>
          <w:rFonts w:ascii="Calibri" w:hAnsi="Calibri" w:cs="Calibri"/>
        </w:rPr>
        <w:t>Finanční prostředky byly čerpány ve výši 3 512 500,80 Kč, tj. 70,4 %.</w:t>
      </w:r>
    </w:p>
    <w:p w14:paraId="28D1B485" w14:textId="77777777" w:rsidR="00593EA0" w:rsidRPr="00593EA0" w:rsidRDefault="00593EA0" w:rsidP="00FA4FAF">
      <w:pPr>
        <w:spacing w:after="0" w:line="240" w:lineRule="auto"/>
        <w:jc w:val="both"/>
        <w:rPr>
          <w:rFonts w:ascii="Calibri" w:hAnsi="Calibri" w:cs="Calibri"/>
        </w:rPr>
      </w:pPr>
    </w:p>
    <w:p w14:paraId="0B993AA8" w14:textId="77777777" w:rsidR="00FA4FAF" w:rsidRDefault="00FA4FAF" w:rsidP="00FA4FAF">
      <w:pPr>
        <w:spacing w:after="0"/>
        <w:jc w:val="both"/>
        <w:rPr>
          <w:rFonts w:ascii="Calibri" w:hAnsi="Calibri" w:cs="Calibri"/>
          <w:b/>
          <w:sz w:val="24"/>
          <w:szCs w:val="24"/>
          <w:u w:val="single"/>
        </w:rPr>
      </w:pPr>
      <w:r w:rsidRPr="00E574D3">
        <w:rPr>
          <w:rFonts w:ascii="Calibri" w:hAnsi="Calibri" w:cs="Calibri"/>
          <w:b/>
          <w:sz w:val="24"/>
          <w:szCs w:val="24"/>
          <w:u w:val="single"/>
        </w:rPr>
        <w:t>Kapitálové výdaje</w:t>
      </w:r>
    </w:p>
    <w:p w14:paraId="106C02FF" w14:textId="77777777" w:rsidR="00FA4FAF" w:rsidRDefault="00FA4FAF" w:rsidP="00FA4FAF">
      <w:pPr>
        <w:spacing w:after="0"/>
        <w:jc w:val="both"/>
        <w:rPr>
          <w:rFonts w:ascii="Calibri" w:hAnsi="Calibri" w:cs="Calibri"/>
          <w:b/>
          <w:sz w:val="24"/>
          <w:szCs w:val="24"/>
          <w:u w:val="single"/>
        </w:rPr>
      </w:pPr>
    </w:p>
    <w:p w14:paraId="2A20EEE4" w14:textId="1007195A" w:rsidR="00FA4FAF" w:rsidRPr="00593EA0" w:rsidRDefault="00FA4FAF" w:rsidP="00FA4FAF">
      <w:pPr>
        <w:spacing w:after="0" w:line="240" w:lineRule="auto"/>
        <w:jc w:val="both"/>
        <w:rPr>
          <w:rFonts w:ascii="Calibri" w:hAnsi="Calibri" w:cs="Calibri"/>
          <w:b/>
          <w:sz w:val="24"/>
          <w:szCs w:val="24"/>
        </w:rPr>
      </w:pPr>
      <w:r w:rsidRPr="00E574D3">
        <w:rPr>
          <w:rFonts w:ascii="Calibri" w:hAnsi="Calibri" w:cs="Calibri"/>
          <w:b/>
          <w:sz w:val="24"/>
          <w:szCs w:val="24"/>
        </w:rPr>
        <w:t>§ 2212 – Silnice</w:t>
      </w:r>
    </w:p>
    <w:p w14:paraId="6A80AE02" w14:textId="5AA4710D" w:rsidR="00FA4FAF" w:rsidRPr="00593EA0" w:rsidRDefault="00FA4FAF" w:rsidP="00FA4FAF">
      <w:pPr>
        <w:spacing w:after="0" w:line="240" w:lineRule="auto"/>
        <w:jc w:val="both"/>
        <w:rPr>
          <w:rFonts w:ascii="Calibri" w:hAnsi="Calibri" w:cs="Calibri"/>
        </w:rPr>
      </w:pPr>
      <w:r w:rsidRPr="00593EA0">
        <w:rPr>
          <w:rFonts w:ascii="Calibri" w:hAnsi="Calibri" w:cs="Calibri"/>
          <w:bCs/>
        </w:rPr>
        <w:t xml:space="preserve">Prostředky jsou určeny na krytí nákladů na </w:t>
      </w:r>
      <w:r w:rsidRPr="00593EA0">
        <w:rPr>
          <w:rFonts w:ascii="Calibri" w:hAnsi="Calibri" w:cs="Calibri"/>
        </w:rPr>
        <w:t>externí poradenskou činnost poskytovanou Krajskému úřadu Středočeského kraje ve složitých legislativně právních případech</w:t>
      </w:r>
      <w:r w:rsidR="009B1383">
        <w:rPr>
          <w:rFonts w:ascii="Calibri" w:hAnsi="Calibri" w:cs="Calibri"/>
        </w:rPr>
        <w:t xml:space="preserve"> v oblasti silnic</w:t>
      </w:r>
      <w:r w:rsidRPr="00593EA0">
        <w:rPr>
          <w:rFonts w:ascii="Calibri" w:hAnsi="Calibri" w:cs="Calibri"/>
        </w:rPr>
        <w:t>. Jedná se o případy, jejichž řešení není možné z důvodu specifičnosti a značné odborné náročnosti pokrýt vlastními odbornými zaměstnanci. Finanční prostředky byly přev</w:t>
      </w:r>
      <w:r w:rsidR="009B1383">
        <w:rPr>
          <w:rFonts w:ascii="Calibri" w:hAnsi="Calibri" w:cs="Calibri"/>
        </w:rPr>
        <w:t>e</w:t>
      </w:r>
      <w:r w:rsidRPr="00593EA0">
        <w:rPr>
          <w:rFonts w:ascii="Calibri" w:hAnsi="Calibri" w:cs="Calibri"/>
        </w:rPr>
        <w:t>d</w:t>
      </w:r>
      <w:r w:rsidR="009B1383">
        <w:rPr>
          <w:rFonts w:ascii="Calibri" w:hAnsi="Calibri" w:cs="Calibri"/>
        </w:rPr>
        <w:t>e</w:t>
      </w:r>
      <w:r w:rsidRPr="00593EA0">
        <w:rPr>
          <w:rFonts w:ascii="Calibri" w:hAnsi="Calibri" w:cs="Calibri"/>
        </w:rPr>
        <w:t>ny z běžných výdajů kapitoly do výdajů kapitálových dle konkrétních investičních akcí, které byly zajišťovány externími advokátními kancelářemi</w:t>
      </w:r>
      <w:r w:rsidR="009B1383">
        <w:rPr>
          <w:rFonts w:ascii="Calibri" w:hAnsi="Calibri" w:cs="Calibri"/>
        </w:rPr>
        <w:t xml:space="preserve">, </w:t>
      </w:r>
      <w:r w:rsidRPr="00593EA0">
        <w:rPr>
          <w:rFonts w:ascii="Calibri" w:hAnsi="Calibri" w:cs="Calibri"/>
        </w:rPr>
        <w:t>v celkové částce 24 094,13 Kč na základě rozpočtových úprav projednaných s ředitelem KÚSK.</w:t>
      </w:r>
    </w:p>
    <w:p w14:paraId="65A06EC5" w14:textId="77777777" w:rsidR="00FA4FAF" w:rsidRPr="00593EA0" w:rsidRDefault="00FA4FAF" w:rsidP="00FA4FAF">
      <w:pPr>
        <w:spacing w:after="0" w:line="240" w:lineRule="auto"/>
        <w:jc w:val="both"/>
        <w:rPr>
          <w:rFonts w:ascii="Calibri" w:hAnsi="Calibri" w:cs="Calibri"/>
        </w:rPr>
      </w:pPr>
      <w:r w:rsidRPr="00593EA0">
        <w:rPr>
          <w:rFonts w:ascii="Calibri" w:hAnsi="Calibri" w:cs="Calibri"/>
        </w:rPr>
        <w:t>Finanční prostředky byly čerpány ve výši 14 701,50 Kč, tj. 61,0 %.</w:t>
      </w:r>
    </w:p>
    <w:p w14:paraId="0D583936" w14:textId="7191D8BC" w:rsidR="00FA4FAF" w:rsidRDefault="00FA4FAF" w:rsidP="0013179B">
      <w:pPr>
        <w:rPr>
          <w:rFonts w:cs="Calibri"/>
        </w:rPr>
      </w:pPr>
    </w:p>
    <w:p w14:paraId="03349C69" w14:textId="14612238" w:rsidR="009B1383" w:rsidRDefault="009B1383" w:rsidP="0013179B">
      <w:pPr>
        <w:rPr>
          <w:rFonts w:cs="Calibri"/>
        </w:rPr>
      </w:pPr>
    </w:p>
    <w:p w14:paraId="6D6A690E" w14:textId="77777777" w:rsidR="009B1383" w:rsidRDefault="009B1383" w:rsidP="0013179B">
      <w:pPr>
        <w:rPr>
          <w:rFonts w:cs="Calibri"/>
        </w:rPr>
      </w:pPr>
    </w:p>
    <w:tbl>
      <w:tblPr>
        <w:tblW w:w="10348" w:type="dxa"/>
        <w:tblLayout w:type="fixed"/>
        <w:tblCellMar>
          <w:left w:w="70" w:type="dxa"/>
          <w:right w:w="70" w:type="dxa"/>
        </w:tblCellMar>
        <w:tblLook w:val="04A0" w:firstRow="1" w:lastRow="0" w:firstColumn="1" w:lastColumn="0" w:noHBand="0" w:noVBand="1"/>
      </w:tblPr>
      <w:tblGrid>
        <w:gridCol w:w="826"/>
        <w:gridCol w:w="4419"/>
        <w:gridCol w:w="1276"/>
        <w:gridCol w:w="1559"/>
        <w:gridCol w:w="1559"/>
        <w:gridCol w:w="709"/>
      </w:tblGrid>
      <w:tr w:rsidR="005C03E7" w:rsidRPr="005C03E7" w14:paraId="22AE9357" w14:textId="77777777" w:rsidTr="00593EA0">
        <w:trPr>
          <w:trHeight w:val="360"/>
        </w:trPr>
        <w:tc>
          <w:tcPr>
            <w:tcW w:w="10348" w:type="dxa"/>
            <w:gridSpan w:val="6"/>
            <w:tcBorders>
              <w:top w:val="nil"/>
              <w:left w:val="nil"/>
              <w:bottom w:val="nil"/>
              <w:right w:val="nil"/>
            </w:tcBorders>
            <w:shd w:val="clear" w:color="auto" w:fill="auto"/>
            <w:vAlign w:val="bottom"/>
            <w:hideMark/>
          </w:tcPr>
          <w:p w14:paraId="0B1AEACE" w14:textId="77777777" w:rsidR="005C03E7" w:rsidRPr="005C03E7" w:rsidRDefault="005C03E7" w:rsidP="005C03E7">
            <w:pPr>
              <w:spacing w:after="0" w:line="240" w:lineRule="auto"/>
              <w:jc w:val="center"/>
              <w:rPr>
                <w:rFonts w:ascii="Calibri" w:eastAsia="Times New Roman" w:hAnsi="Calibri" w:cs="Calibri"/>
                <w:b/>
                <w:bCs/>
                <w:sz w:val="28"/>
                <w:szCs w:val="28"/>
                <w:lang w:eastAsia="cs-CZ"/>
              </w:rPr>
            </w:pPr>
            <w:r w:rsidRPr="005C03E7">
              <w:rPr>
                <w:rFonts w:ascii="Calibri" w:eastAsia="Times New Roman" w:hAnsi="Calibri" w:cs="Calibri"/>
                <w:b/>
                <w:bCs/>
                <w:sz w:val="28"/>
                <w:szCs w:val="28"/>
                <w:lang w:eastAsia="cs-CZ"/>
              </w:rPr>
              <w:t xml:space="preserve">     Čerpání rozpočtu kapitoly 20 - Sociální fond - období: 1. - 12. 2021</w:t>
            </w:r>
          </w:p>
        </w:tc>
      </w:tr>
      <w:tr w:rsidR="005C03E7" w:rsidRPr="005C03E7" w14:paraId="74E2C20C" w14:textId="77777777" w:rsidTr="00593EA0">
        <w:trPr>
          <w:trHeight w:val="360"/>
        </w:trPr>
        <w:tc>
          <w:tcPr>
            <w:tcW w:w="826" w:type="dxa"/>
            <w:tcBorders>
              <w:top w:val="nil"/>
              <w:left w:val="nil"/>
              <w:bottom w:val="nil"/>
              <w:right w:val="nil"/>
            </w:tcBorders>
            <w:shd w:val="clear" w:color="auto" w:fill="auto"/>
            <w:noWrap/>
            <w:vAlign w:val="bottom"/>
            <w:hideMark/>
          </w:tcPr>
          <w:p w14:paraId="1E57346B" w14:textId="77777777" w:rsidR="005C03E7" w:rsidRPr="005C03E7" w:rsidRDefault="005C03E7" w:rsidP="005C03E7">
            <w:pPr>
              <w:spacing w:after="0" w:line="240" w:lineRule="auto"/>
              <w:jc w:val="center"/>
              <w:rPr>
                <w:rFonts w:ascii="Calibri" w:eastAsia="Times New Roman" w:hAnsi="Calibri" w:cs="Calibri"/>
                <w:b/>
                <w:bCs/>
                <w:sz w:val="28"/>
                <w:szCs w:val="28"/>
                <w:lang w:eastAsia="cs-CZ"/>
              </w:rPr>
            </w:pPr>
          </w:p>
        </w:tc>
        <w:tc>
          <w:tcPr>
            <w:tcW w:w="4419" w:type="dxa"/>
            <w:tcBorders>
              <w:top w:val="nil"/>
              <w:left w:val="nil"/>
              <w:bottom w:val="nil"/>
              <w:right w:val="nil"/>
            </w:tcBorders>
            <w:shd w:val="clear" w:color="auto" w:fill="auto"/>
            <w:noWrap/>
            <w:vAlign w:val="bottom"/>
            <w:hideMark/>
          </w:tcPr>
          <w:p w14:paraId="1282AF1C" w14:textId="77777777" w:rsidR="005C03E7" w:rsidRPr="005C03E7" w:rsidRDefault="005C03E7" w:rsidP="005C03E7">
            <w:pPr>
              <w:spacing w:after="0" w:line="240" w:lineRule="auto"/>
              <w:rPr>
                <w:rFonts w:ascii="Times New Roman" w:eastAsia="Times New Roman" w:hAnsi="Times New Roman" w:cs="Times New Roman"/>
                <w:sz w:val="20"/>
                <w:szCs w:val="20"/>
                <w:lang w:eastAsia="cs-CZ"/>
              </w:rPr>
            </w:pPr>
          </w:p>
        </w:tc>
        <w:tc>
          <w:tcPr>
            <w:tcW w:w="1276" w:type="dxa"/>
            <w:tcBorders>
              <w:top w:val="nil"/>
              <w:left w:val="nil"/>
              <w:bottom w:val="nil"/>
              <w:right w:val="nil"/>
            </w:tcBorders>
            <w:shd w:val="clear" w:color="auto" w:fill="auto"/>
            <w:noWrap/>
            <w:vAlign w:val="bottom"/>
            <w:hideMark/>
          </w:tcPr>
          <w:p w14:paraId="3A848E87" w14:textId="77777777" w:rsidR="005C03E7" w:rsidRPr="005C03E7" w:rsidRDefault="005C03E7" w:rsidP="005C03E7">
            <w:pPr>
              <w:spacing w:after="0" w:line="240" w:lineRule="auto"/>
              <w:rPr>
                <w:rFonts w:ascii="Times New Roman" w:eastAsia="Times New Roman" w:hAnsi="Times New Roman" w:cs="Times New Roman"/>
                <w:sz w:val="20"/>
                <w:szCs w:val="20"/>
                <w:lang w:eastAsia="cs-CZ"/>
              </w:rPr>
            </w:pPr>
          </w:p>
        </w:tc>
        <w:tc>
          <w:tcPr>
            <w:tcW w:w="1559" w:type="dxa"/>
            <w:tcBorders>
              <w:top w:val="nil"/>
              <w:left w:val="nil"/>
              <w:bottom w:val="nil"/>
              <w:right w:val="nil"/>
            </w:tcBorders>
            <w:shd w:val="clear" w:color="auto" w:fill="auto"/>
            <w:noWrap/>
            <w:vAlign w:val="bottom"/>
            <w:hideMark/>
          </w:tcPr>
          <w:p w14:paraId="0A5CA438" w14:textId="77777777" w:rsidR="005C03E7" w:rsidRPr="005C03E7" w:rsidRDefault="005C03E7" w:rsidP="005C03E7">
            <w:pPr>
              <w:spacing w:after="0" w:line="240" w:lineRule="auto"/>
              <w:rPr>
                <w:rFonts w:ascii="Times New Roman" w:eastAsia="Times New Roman" w:hAnsi="Times New Roman" w:cs="Times New Roman"/>
                <w:sz w:val="20"/>
                <w:szCs w:val="20"/>
                <w:lang w:eastAsia="cs-CZ"/>
              </w:rPr>
            </w:pPr>
          </w:p>
        </w:tc>
        <w:tc>
          <w:tcPr>
            <w:tcW w:w="2268" w:type="dxa"/>
            <w:gridSpan w:val="2"/>
            <w:tcBorders>
              <w:top w:val="nil"/>
              <w:left w:val="nil"/>
              <w:bottom w:val="single" w:sz="8" w:space="0" w:color="auto"/>
              <w:right w:val="nil"/>
            </w:tcBorders>
            <w:shd w:val="clear" w:color="auto" w:fill="auto"/>
            <w:noWrap/>
            <w:vAlign w:val="bottom"/>
            <w:hideMark/>
          </w:tcPr>
          <w:p w14:paraId="1F149D49" w14:textId="77777777" w:rsidR="005C03E7" w:rsidRPr="005C03E7" w:rsidRDefault="005C03E7" w:rsidP="005C03E7">
            <w:pPr>
              <w:spacing w:after="0" w:line="240" w:lineRule="auto"/>
              <w:jc w:val="right"/>
              <w:rPr>
                <w:rFonts w:ascii="Calibri" w:eastAsia="Times New Roman" w:hAnsi="Calibri" w:cs="Calibri"/>
                <w:lang w:eastAsia="cs-CZ"/>
              </w:rPr>
            </w:pPr>
            <w:r w:rsidRPr="005C03E7">
              <w:rPr>
                <w:rFonts w:ascii="Calibri" w:eastAsia="Times New Roman" w:hAnsi="Calibri" w:cs="Calibri"/>
                <w:lang w:eastAsia="cs-CZ"/>
              </w:rPr>
              <w:t>v Kč</w:t>
            </w:r>
          </w:p>
        </w:tc>
      </w:tr>
      <w:tr w:rsidR="005C03E7" w:rsidRPr="005C03E7" w14:paraId="6706219F" w14:textId="77777777" w:rsidTr="00593EA0">
        <w:trPr>
          <w:trHeight w:val="589"/>
        </w:trPr>
        <w:tc>
          <w:tcPr>
            <w:tcW w:w="826" w:type="dxa"/>
            <w:tcBorders>
              <w:top w:val="single" w:sz="8" w:space="0" w:color="auto"/>
              <w:left w:val="single" w:sz="8" w:space="0" w:color="auto"/>
              <w:bottom w:val="single" w:sz="8" w:space="0" w:color="auto"/>
              <w:right w:val="nil"/>
            </w:tcBorders>
            <w:shd w:val="clear" w:color="CCFFFF" w:fill="CCFFCC"/>
            <w:noWrap/>
            <w:vAlign w:val="center"/>
            <w:hideMark/>
          </w:tcPr>
          <w:p w14:paraId="3A3B3FF8" w14:textId="77777777" w:rsidR="005C03E7" w:rsidRPr="005C03E7" w:rsidRDefault="005C03E7" w:rsidP="005C03E7">
            <w:pPr>
              <w:spacing w:after="0" w:line="240" w:lineRule="auto"/>
              <w:jc w:val="center"/>
              <w:rPr>
                <w:rFonts w:ascii="Calibri" w:eastAsia="Times New Roman" w:hAnsi="Calibri" w:cs="Calibri"/>
                <w:sz w:val="20"/>
                <w:szCs w:val="20"/>
                <w:lang w:eastAsia="cs-CZ"/>
              </w:rPr>
            </w:pPr>
            <w:r w:rsidRPr="005C03E7">
              <w:rPr>
                <w:rFonts w:ascii="Calibri" w:eastAsia="Times New Roman" w:hAnsi="Calibri" w:cs="Calibri"/>
                <w:sz w:val="20"/>
                <w:szCs w:val="20"/>
                <w:lang w:eastAsia="cs-CZ"/>
              </w:rPr>
              <w:t>Paragraf</w:t>
            </w:r>
          </w:p>
        </w:tc>
        <w:tc>
          <w:tcPr>
            <w:tcW w:w="4419" w:type="dxa"/>
            <w:tcBorders>
              <w:top w:val="single" w:sz="8" w:space="0" w:color="auto"/>
              <w:left w:val="single" w:sz="8" w:space="0" w:color="auto"/>
              <w:bottom w:val="single" w:sz="8" w:space="0" w:color="auto"/>
              <w:right w:val="nil"/>
            </w:tcBorders>
            <w:shd w:val="clear" w:color="CCFFFF" w:fill="CCFFCC"/>
            <w:noWrap/>
            <w:vAlign w:val="center"/>
            <w:hideMark/>
          </w:tcPr>
          <w:p w14:paraId="0E11DF71" w14:textId="77777777" w:rsidR="005C03E7" w:rsidRPr="005C03E7" w:rsidRDefault="005C03E7" w:rsidP="005C03E7">
            <w:pPr>
              <w:spacing w:after="0" w:line="240" w:lineRule="auto"/>
              <w:jc w:val="center"/>
              <w:rPr>
                <w:rFonts w:ascii="Calibri" w:eastAsia="Times New Roman" w:hAnsi="Calibri" w:cs="Calibri"/>
                <w:sz w:val="20"/>
                <w:szCs w:val="20"/>
                <w:lang w:eastAsia="cs-CZ"/>
              </w:rPr>
            </w:pPr>
            <w:r w:rsidRPr="005C03E7">
              <w:rPr>
                <w:rFonts w:ascii="Calibri" w:eastAsia="Times New Roman" w:hAnsi="Calibri" w:cs="Calibri"/>
                <w:sz w:val="20"/>
                <w:szCs w:val="20"/>
                <w:lang w:eastAsia="cs-CZ"/>
              </w:rPr>
              <w:t>Oblast rozpočtu</w:t>
            </w:r>
          </w:p>
        </w:tc>
        <w:tc>
          <w:tcPr>
            <w:tcW w:w="1276" w:type="dxa"/>
            <w:tcBorders>
              <w:top w:val="single" w:sz="8" w:space="0" w:color="auto"/>
              <w:left w:val="single" w:sz="8" w:space="0" w:color="auto"/>
              <w:bottom w:val="single" w:sz="8" w:space="0" w:color="auto"/>
              <w:right w:val="single" w:sz="8" w:space="0" w:color="auto"/>
            </w:tcBorders>
            <w:shd w:val="clear" w:color="CCFFFF" w:fill="CCFFCC"/>
            <w:vAlign w:val="center"/>
            <w:hideMark/>
          </w:tcPr>
          <w:p w14:paraId="5EB5BD6D" w14:textId="77777777" w:rsidR="005C03E7" w:rsidRPr="005C03E7" w:rsidRDefault="005C03E7" w:rsidP="005C03E7">
            <w:pPr>
              <w:spacing w:after="0" w:line="240" w:lineRule="auto"/>
              <w:jc w:val="center"/>
              <w:rPr>
                <w:rFonts w:ascii="Calibri" w:eastAsia="Times New Roman" w:hAnsi="Calibri" w:cs="Calibri"/>
                <w:sz w:val="20"/>
                <w:szCs w:val="20"/>
                <w:lang w:eastAsia="cs-CZ"/>
              </w:rPr>
            </w:pPr>
            <w:r w:rsidRPr="005C03E7">
              <w:rPr>
                <w:rFonts w:ascii="Calibri" w:eastAsia="Times New Roman" w:hAnsi="Calibri" w:cs="Calibri"/>
                <w:sz w:val="20"/>
                <w:szCs w:val="20"/>
                <w:lang w:eastAsia="cs-CZ"/>
              </w:rPr>
              <w:t>Schválený rozpočet</w:t>
            </w:r>
          </w:p>
        </w:tc>
        <w:tc>
          <w:tcPr>
            <w:tcW w:w="1559" w:type="dxa"/>
            <w:tcBorders>
              <w:top w:val="single" w:sz="8" w:space="0" w:color="auto"/>
              <w:left w:val="nil"/>
              <w:bottom w:val="single" w:sz="8" w:space="0" w:color="auto"/>
              <w:right w:val="single" w:sz="8" w:space="0" w:color="auto"/>
            </w:tcBorders>
            <w:shd w:val="clear" w:color="CCFFFF" w:fill="CCFFCC"/>
            <w:vAlign w:val="center"/>
            <w:hideMark/>
          </w:tcPr>
          <w:p w14:paraId="7D30F475" w14:textId="77777777" w:rsidR="005C03E7" w:rsidRPr="005C03E7" w:rsidRDefault="005C03E7" w:rsidP="005C03E7">
            <w:pPr>
              <w:spacing w:after="0" w:line="240" w:lineRule="auto"/>
              <w:jc w:val="center"/>
              <w:rPr>
                <w:rFonts w:ascii="Calibri" w:eastAsia="Times New Roman" w:hAnsi="Calibri" w:cs="Calibri"/>
                <w:sz w:val="20"/>
                <w:szCs w:val="20"/>
                <w:lang w:eastAsia="cs-CZ"/>
              </w:rPr>
            </w:pPr>
            <w:r w:rsidRPr="005C03E7">
              <w:rPr>
                <w:rFonts w:ascii="Calibri" w:eastAsia="Times New Roman" w:hAnsi="Calibri" w:cs="Calibri"/>
                <w:sz w:val="20"/>
                <w:szCs w:val="20"/>
                <w:lang w:eastAsia="cs-CZ"/>
              </w:rPr>
              <w:t>Rozpočet po úpravě</w:t>
            </w:r>
          </w:p>
        </w:tc>
        <w:tc>
          <w:tcPr>
            <w:tcW w:w="1559" w:type="dxa"/>
            <w:tcBorders>
              <w:top w:val="nil"/>
              <w:left w:val="nil"/>
              <w:bottom w:val="single" w:sz="8" w:space="0" w:color="auto"/>
              <w:right w:val="single" w:sz="8" w:space="0" w:color="auto"/>
            </w:tcBorders>
            <w:shd w:val="clear" w:color="CCFFFF" w:fill="CCFFCC"/>
            <w:noWrap/>
            <w:vAlign w:val="center"/>
            <w:hideMark/>
          </w:tcPr>
          <w:p w14:paraId="5A1F21FD" w14:textId="77777777" w:rsidR="005C03E7" w:rsidRPr="005C03E7" w:rsidRDefault="005C03E7" w:rsidP="005C03E7">
            <w:pPr>
              <w:spacing w:after="0" w:line="240" w:lineRule="auto"/>
              <w:jc w:val="center"/>
              <w:rPr>
                <w:rFonts w:ascii="Calibri" w:eastAsia="Times New Roman" w:hAnsi="Calibri" w:cs="Calibri"/>
                <w:sz w:val="20"/>
                <w:szCs w:val="20"/>
                <w:lang w:eastAsia="cs-CZ"/>
              </w:rPr>
            </w:pPr>
            <w:r w:rsidRPr="005C03E7">
              <w:rPr>
                <w:rFonts w:ascii="Calibri" w:eastAsia="Times New Roman" w:hAnsi="Calibri" w:cs="Calibri"/>
                <w:sz w:val="20"/>
                <w:szCs w:val="20"/>
                <w:lang w:eastAsia="cs-CZ"/>
              </w:rPr>
              <w:t>Skutečnost</w:t>
            </w:r>
          </w:p>
        </w:tc>
        <w:tc>
          <w:tcPr>
            <w:tcW w:w="709" w:type="dxa"/>
            <w:tcBorders>
              <w:top w:val="nil"/>
              <w:left w:val="nil"/>
              <w:bottom w:val="single" w:sz="8" w:space="0" w:color="auto"/>
              <w:right w:val="single" w:sz="8" w:space="0" w:color="auto"/>
            </w:tcBorders>
            <w:shd w:val="clear" w:color="CCFFFF" w:fill="CCFFCC"/>
            <w:vAlign w:val="center"/>
            <w:hideMark/>
          </w:tcPr>
          <w:p w14:paraId="7767DFEB" w14:textId="77777777" w:rsidR="005C03E7" w:rsidRPr="005C03E7" w:rsidRDefault="005C03E7" w:rsidP="005C03E7">
            <w:pPr>
              <w:spacing w:after="0" w:line="240" w:lineRule="auto"/>
              <w:jc w:val="center"/>
              <w:rPr>
                <w:rFonts w:ascii="Calibri" w:eastAsia="Times New Roman" w:hAnsi="Calibri" w:cs="Calibri"/>
                <w:sz w:val="20"/>
                <w:szCs w:val="20"/>
                <w:lang w:eastAsia="cs-CZ"/>
              </w:rPr>
            </w:pPr>
            <w:r w:rsidRPr="005C03E7">
              <w:rPr>
                <w:rFonts w:ascii="Calibri" w:eastAsia="Times New Roman" w:hAnsi="Calibri" w:cs="Calibri"/>
                <w:sz w:val="20"/>
                <w:szCs w:val="20"/>
                <w:lang w:eastAsia="cs-CZ"/>
              </w:rPr>
              <w:t>% plnění</w:t>
            </w:r>
          </w:p>
        </w:tc>
      </w:tr>
      <w:tr w:rsidR="005C03E7" w:rsidRPr="005C03E7" w14:paraId="5FA05236" w14:textId="77777777" w:rsidTr="00593EA0">
        <w:trPr>
          <w:trHeight w:val="360"/>
        </w:trPr>
        <w:tc>
          <w:tcPr>
            <w:tcW w:w="826" w:type="dxa"/>
            <w:tcBorders>
              <w:top w:val="nil"/>
              <w:left w:val="nil"/>
              <w:bottom w:val="nil"/>
              <w:right w:val="nil"/>
            </w:tcBorders>
            <w:shd w:val="clear" w:color="auto" w:fill="auto"/>
            <w:noWrap/>
            <w:vAlign w:val="bottom"/>
            <w:hideMark/>
          </w:tcPr>
          <w:p w14:paraId="7144B649" w14:textId="77777777" w:rsidR="005C03E7" w:rsidRPr="005C03E7" w:rsidRDefault="005C03E7" w:rsidP="005C03E7">
            <w:pPr>
              <w:spacing w:after="0" w:line="240" w:lineRule="auto"/>
              <w:jc w:val="center"/>
              <w:rPr>
                <w:rFonts w:ascii="Calibri" w:eastAsia="Times New Roman" w:hAnsi="Calibri" w:cs="Calibri"/>
                <w:sz w:val="20"/>
                <w:szCs w:val="20"/>
                <w:lang w:eastAsia="cs-CZ"/>
              </w:rPr>
            </w:pPr>
          </w:p>
        </w:tc>
        <w:tc>
          <w:tcPr>
            <w:tcW w:w="4419" w:type="dxa"/>
            <w:tcBorders>
              <w:top w:val="nil"/>
              <w:left w:val="nil"/>
              <w:bottom w:val="single" w:sz="8" w:space="0" w:color="auto"/>
              <w:right w:val="nil"/>
            </w:tcBorders>
            <w:shd w:val="clear" w:color="auto" w:fill="auto"/>
            <w:noWrap/>
            <w:vAlign w:val="bottom"/>
            <w:hideMark/>
          </w:tcPr>
          <w:p w14:paraId="74121371" w14:textId="77777777" w:rsidR="005C03E7" w:rsidRPr="005C03E7" w:rsidRDefault="005C03E7" w:rsidP="005C03E7">
            <w:pPr>
              <w:spacing w:after="0" w:line="240" w:lineRule="auto"/>
              <w:rPr>
                <w:rFonts w:ascii="Calibri" w:eastAsia="Times New Roman" w:hAnsi="Calibri" w:cs="Calibri"/>
                <w:b/>
                <w:bCs/>
                <w:lang w:eastAsia="cs-CZ"/>
              </w:rPr>
            </w:pPr>
            <w:r w:rsidRPr="005C03E7">
              <w:rPr>
                <w:rFonts w:ascii="Calibri" w:eastAsia="Times New Roman" w:hAnsi="Calibri" w:cs="Calibri"/>
                <w:b/>
                <w:bCs/>
                <w:lang w:eastAsia="cs-CZ"/>
              </w:rPr>
              <w:t>Běžné výdaje</w:t>
            </w:r>
          </w:p>
        </w:tc>
        <w:tc>
          <w:tcPr>
            <w:tcW w:w="1276" w:type="dxa"/>
            <w:tcBorders>
              <w:top w:val="nil"/>
              <w:left w:val="nil"/>
              <w:bottom w:val="nil"/>
              <w:right w:val="nil"/>
            </w:tcBorders>
            <w:shd w:val="clear" w:color="auto" w:fill="auto"/>
            <w:vAlign w:val="bottom"/>
            <w:hideMark/>
          </w:tcPr>
          <w:p w14:paraId="7480B8E1" w14:textId="77777777" w:rsidR="005C03E7" w:rsidRPr="005C03E7" w:rsidRDefault="005C03E7" w:rsidP="005C03E7">
            <w:pPr>
              <w:spacing w:after="0" w:line="240" w:lineRule="auto"/>
              <w:rPr>
                <w:rFonts w:ascii="Calibri" w:eastAsia="Times New Roman" w:hAnsi="Calibri" w:cs="Calibri"/>
                <w:b/>
                <w:bCs/>
                <w:lang w:eastAsia="cs-CZ"/>
              </w:rPr>
            </w:pPr>
          </w:p>
        </w:tc>
        <w:tc>
          <w:tcPr>
            <w:tcW w:w="1559" w:type="dxa"/>
            <w:tcBorders>
              <w:top w:val="nil"/>
              <w:left w:val="nil"/>
              <w:bottom w:val="nil"/>
              <w:right w:val="nil"/>
            </w:tcBorders>
            <w:shd w:val="clear" w:color="auto" w:fill="auto"/>
            <w:vAlign w:val="bottom"/>
            <w:hideMark/>
          </w:tcPr>
          <w:p w14:paraId="0941800F" w14:textId="77777777" w:rsidR="005C03E7" w:rsidRPr="005C03E7" w:rsidRDefault="005C03E7" w:rsidP="005C03E7">
            <w:pPr>
              <w:spacing w:after="0" w:line="240" w:lineRule="auto"/>
              <w:jc w:val="center"/>
              <w:rPr>
                <w:rFonts w:ascii="Times New Roman" w:eastAsia="Times New Roman" w:hAnsi="Times New Roman" w:cs="Times New Roman"/>
                <w:sz w:val="20"/>
                <w:szCs w:val="20"/>
                <w:lang w:eastAsia="cs-CZ"/>
              </w:rPr>
            </w:pPr>
          </w:p>
        </w:tc>
        <w:tc>
          <w:tcPr>
            <w:tcW w:w="1559" w:type="dxa"/>
            <w:tcBorders>
              <w:top w:val="nil"/>
              <w:left w:val="nil"/>
              <w:bottom w:val="nil"/>
              <w:right w:val="nil"/>
            </w:tcBorders>
            <w:shd w:val="clear" w:color="auto" w:fill="auto"/>
            <w:noWrap/>
            <w:vAlign w:val="bottom"/>
            <w:hideMark/>
          </w:tcPr>
          <w:p w14:paraId="30DA7DB7" w14:textId="77777777" w:rsidR="005C03E7" w:rsidRPr="005C03E7" w:rsidRDefault="005C03E7" w:rsidP="005C03E7">
            <w:pPr>
              <w:spacing w:after="0" w:line="240" w:lineRule="auto"/>
              <w:jc w:val="center"/>
              <w:rPr>
                <w:rFonts w:ascii="Times New Roman" w:eastAsia="Times New Roman" w:hAnsi="Times New Roman" w:cs="Times New Roman"/>
                <w:sz w:val="20"/>
                <w:szCs w:val="20"/>
                <w:lang w:eastAsia="cs-CZ"/>
              </w:rPr>
            </w:pPr>
          </w:p>
        </w:tc>
        <w:tc>
          <w:tcPr>
            <w:tcW w:w="709" w:type="dxa"/>
            <w:tcBorders>
              <w:top w:val="nil"/>
              <w:left w:val="nil"/>
              <w:bottom w:val="nil"/>
              <w:right w:val="nil"/>
            </w:tcBorders>
            <w:shd w:val="clear" w:color="auto" w:fill="auto"/>
            <w:noWrap/>
            <w:vAlign w:val="bottom"/>
            <w:hideMark/>
          </w:tcPr>
          <w:p w14:paraId="4915AD25" w14:textId="77777777" w:rsidR="005C03E7" w:rsidRPr="005C03E7" w:rsidRDefault="005C03E7" w:rsidP="005C03E7">
            <w:pPr>
              <w:spacing w:after="0" w:line="240" w:lineRule="auto"/>
              <w:jc w:val="center"/>
              <w:rPr>
                <w:rFonts w:ascii="Times New Roman" w:eastAsia="Times New Roman" w:hAnsi="Times New Roman" w:cs="Times New Roman"/>
                <w:sz w:val="20"/>
                <w:szCs w:val="20"/>
                <w:lang w:eastAsia="cs-CZ"/>
              </w:rPr>
            </w:pPr>
          </w:p>
        </w:tc>
      </w:tr>
      <w:tr w:rsidR="005C03E7" w:rsidRPr="005C03E7" w14:paraId="4F972EDB" w14:textId="77777777" w:rsidTr="00593EA0">
        <w:trPr>
          <w:trHeight w:val="300"/>
        </w:trPr>
        <w:tc>
          <w:tcPr>
            <w:tcW w:w="826"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47EBF6E" w14:textId="77777777" w:rsidR="005C03E7" w:rsidRPr="005C03E7" w:rsidRDefault="005C03E7" w:rsidP="005C03E7">
            <w:pPr>
              <w:spacing w:after="0" w:line="240" w:lineRule="auto"/>
              <w:jc w:val="center"/>
              <w:rPr>
                <w:rFonts w:ascii="Calibri" w:eastAsia="Times New Roman" w:hAnsi="Calibri" w:cs="Calibri"/>
                <w:sz w:val="20"/>
                <w:szCs w:val="20"/>
                <w:lang w:eastAsia="cs-CZ"/>
              </w:rPr>
            </w:pPr>
            <w:r w:rsidRPr="005C03E7">
              <w:rPr>
                <w:rFonts w:ascii="Calibri" w:eastAsia="Times New Roman" w:hAnsi="Calibri" w:cs="Calibri"/>
                <w:sz w:val="20"/>
                <w:szCs w:val="20"/>
                <w:lang w:eastAsia="cs-CZ"/>
              </w:rPr>
              <w:t>6172</w:t>
            </w:r>
          </w:p>
        </w:tc>
        <w:tc>
          <w:tcPr>
            <w:tcW w:w="4419" w:type="dxa"/>
            <w:tcBorders>
              <w:top w:val="nil"/>
              <w:left w:val="nil"/>
              <w:bottom w:val="single" w:sz="4" w:space="0" w:color="auto"/>
              <w:right w:val="nil"/>
            </w:tcBorders>
            <w:shd w:val="clear" w:color="auto" w:fill="auto"/>
            <w:noWrap/>
            <w:vAlign w:val="bottom"/>
            <w:hideMark/>
          </w:tcPr>
          <w:p w14:paraId="2D82A253" w14:textId="77777777" w:rsidR="005C03E7" w:rsidRPr="005C03E7" w:rsidRDefault="005C03E7" w:rsidP="005C03E7">
            <w:pPr>
              <w:spacing w:after="0" w:line="240" w:lineRule="auto"/>
              <w:rPr>
                <w:rFonts w:ascii="Calibri" w:eastAsia="Times New Roman" w:hAnsi="Calibri" w:cs="Calibri"/>
                <w:sz w:val="20"/>
                <w:szCs w:val="20"/>
                <w:lang w:eastAsia="cs-CZ"/>
              </w:rPr>
            </w:pPr>
            <w:r w:rsidRPr="005C03E7">
              <w:rPr>
                <w:rFonts w:ascii="Calibri" w:eastAsia="Times New Roman" w:hAnsi="Calibri" w:cs="Calibri"/>
                <w:sz w:val="20"/>
                <w:szCs w:val="20"/>
                <w:lang w:eastAsia="cs-CZ"/>
              </w:rPr>
              <w:t>Činnost regionální správy</w:t>
            </w:r>
          </w:p>
        </w:tc>
        <w:tc>
          <w:tcPr>
            <w:tcW w:w="1276" w:type="dxa"/>
            <w:tcBorders>
              <w:top w:val="single" w:sz="8" w:space="0" w:color="auto"/>
              <w:left w:val="single" w:sz="4" w:space="0" w:color="auto"/>
              <w:bottom w:val="single" w:sz="4" w:space="0" w:color="auto"/>
              <w:right w:val="single" w:sz="4" w:space="0" w:color="auto"/>
            </w:tcBorders>
            <w:shd w:val="clear" w:color="auto" w:fill="auto"/>
            <w:vAlign w:val="bottom"/>
            <w:hideMark/>
          </w:tcPr>
          <w:p w14:paraId="079A08F2" w14:textId="77777777" w:rsidR="005C03E7" w:rsidRPr="005C03E7" w:rsidRDefault="005C03E7" w:rsidP="005C03E7">
            <w:pPr>
              <w:spacing w:after="0" w:line="240" w:lineRule="auto"/>
              <w:jc w:val="right"/>
              <w:rPr>
                <w:rFonts w:ascii="Calibri" w:eastAsia="Times New Roman" w:hAnsi="Calibri" w:cs="Calibri"/>
                <w:sz w:val="20"/>
                <w:szCs w:val="20"/>
                <w:lang w:eastAsia="cs-CZ"/>
              </w:rPr>
            </w:pPr>
            <w:r w:rsidRPr="005C03E7">
              <w:rPr>
                <w:rFonts w:ascii="Calibri" w:eastAsia="Times New Roman" w:hAnsi="Calibri" w:cs="Calibri"/>
                <w:sz w:val="20"/>
                <w:szCs w:val="20"/>
                <w:lang w:eastAsia="cs-CZ"/>
              </w:rPr>
              <w:t>0</w:t>
            </w:r>
          </w:p>
        </w:tc>
        <w:tc>
          <w:tcPr>
            <w:tcW w:w="1559" w:type="dxa"/>
            <w:tcBorders>
              <w:top w:val="single" w:sz="8" w:space="0" w:color="auto"/>
              <w:left w:val="nil"/>
              <w:bottom w:val="single" w:sz="4" w:space="0" w:color="auto"/>
              <w:right w:val="single" w:sz="4" w:space="0" w:color="auto"/>
            </w:tcBorders>
            <w:shd w:val="clear" w:color="auto" w:fill="auto"/>
            <w:vAlign w:val="bottom"/>
            <w:hideMark/>
          </w:tcPr>
          <w:p w14:paraId="3B55E7A2" w14:textId="77777777" w:rsidR="005C03E7" w:rsidRPr="005C03E7" w:rsidRDefault="005C03E7" w:rsidP="005C03E7">
            <w:pPr>
              <w:spacing w:after="0" w:line="240" w:lineRule="auto"/>
              <w:jc w:val="right"/>
              <w:rPr>
                <w:rFonts w:ascii="Calibri" w:eastAsia="Times New Roman" w:hAnsi="Calibri" w:cs="Calibri"/>
                <w:sz w:val="20"/>
                <w:szCs w:val="20"/>
                <w:lang w:eastAsia="cs-CZ"/>
              </w:rPr>
            </w:pPr>
            <w:r w:rsidRPr="005C03E7">
              <w:rPr>
                <w:rFonts w:ascii="Calibri" w:eastAsia="Times New Roman" w:hAnsi="Calibri" w:cs="Calibri"/>
                <w:sz w:val="20"/>
                <w:szCs w:val="20"/>
                <w:lang w:eastAsia="cs-CZ"/>
              </w:rPr>
              <w:t>18 785 928,56</w:t>
            </w:r>
          </w:p>
        </w:tc>
        <w:tc>
          <w:tcPr>
            <w:tcW w:w="1559" w:type="dxa"/>
            <w:tcBorders>
              <w:top w:val="single" w:sz="8" w:space="0" w:color="auto"/>
              <w:left w:val="nil"/>
              <w:bottom w:val="single" w:sz="4" w:space="0" w:color="auto"/>
              <w:right w:val="single" w:sz="4" w:space="0" w:color="auto"/>
            </w:tcBorders>
            <w:shd w:val="clear" w:color="auto" w:fill="auto"/>
            <w:vAlign w:val="bottom"/>
            <w:hideMark/>
          </w:tcPr>
          <w:p w14:paraId="69A402C6" w14:textId="77777777" w:rsidR="005C03E7" w:rsidRPr="005C03E7" w:rsidRDefault="005C03E7" w:rsidP="005C03E7">
            <w:pPr>
              <w:spacing w:after="0" w:line="240" w:lineRule="auto"/>
              <w:jc w:val="right"/>
              <w:rPr>
                <w:rFonts w:ascii="Calibri" w:eastAsia="Times New Roman" w:hAnsi="Calibri" w:cs="Calibri"/>
                <w:sz w:val="20"/>
                <w:szCs w:val="20"/>
                <w:lang w:eastAsia="cs-CZ"/>
              </w:rPr>
            </w:pPr>
            <w:r w:rsidRPr="005C03E7">
              <w:rPr>
                <w:rFonts w:ascii="Calibri" w:eastAsia="Times New Roman" w:hAnsi="Calibri" w:cs="Calibri"/>
                <w:sz w:val="20"/>
                <w:szCs w:val="20"/>
                <w:lang w:eastAsia="cs-CZ"/>
              </w:rPr>
              <w:t>14 409 627,59</w:t>
            </w:r>
          </w:p>
        </w:tc>
        <w:tc>
          <w:tcPr>
            <w:tcW w:w="709" w:type="dxa"/>
            <w:tcBorders>
              <w:top w:val="single" w:sz="8" w:space="0" w:color="auto"/>
              <w:left w:val="nil"/>
              <w:bottom w:val="single" w:sz="4" w:space="0" w:color="auto"/>
              <w:right w:val="single" w:sz="8" w:space="0" w:color="auto"/>
            </w:tcBorders>
            <w:shd w:val="clear" w:color="auto" w:fill="auto"/>
            <w:noWrap/>
            <w:vAlign w:val="bottom"/>
            <w:hideMark/>
          </w:tcPr>
          <w:p w14:paraId="540B465D" w14:textId="77777777" w:rsidR="005C03E7" w:rsidRPr="005C03E7" w:rsidRDefault="005C03E7" w:rsidP="005C03E7">
            <w:pPr>
              <w:spacing w:after="0" w:line="240" w:lineRule="auto"/>
              <w:jc w:val="right"/>
              <w:rPr>
                <w:rFonts w:ascii="Calibri" w:eastAsia="Times New Roman" w:hAnsi="Calibri" w:cs="Calibri"/>
                <w:sz w:val="20"/>
                <w:szCs w:val="20"/>
                <w:lang w:eastAsia="cs-CZ"/>
              </w:rPr>
            </w:pPr>
            <w:r w:rsidRPr="005C03E7">
              <w:rPr>
                <w:rFonts w:ascii="Calibri" w:eastAsia="Times New Roman" w:hAnsi="Calibri" w:cs="Calibri"/>
                <w:sz w:val="20"/>
                <w:szCs w:val="20"/>
                <w:lang w:eastAsia="cs-CZ"/>
              </w:rPr>
              <w:t>76,7</w:t>
            </w:r>
          </w:p>
        </w:tc>
      </w:tr>
      <w:tr w:rsidR="005C03E7" w:rsidRPr="005C03E7" w14:paraId="5E95AA00" w14:textId="77777777" w:rsidTr="00593EA0">
        <w:trPr>
          <w:trHeight w:val="300"/>
        </w:trPr>
        <w:tc>
          <w:tcPr>
            <w:tcW w:w="826" w:type="dxa"/>
            <w:tcBorders>
              <w:top w:val="nil"/>
              <w:left w:val="single" w:sz="8" w:space="0" w:color="auto"/>
              <w:bottom w:val="nil"/>
              <w:right w:val="single" w:sz="4" w:space="0" w:color="auto"/>
            </w:tcBorders>
            <w:shd w:val="clear" w:color="auto" w:fill="auto"/>
            <w:noWrap/>
            <w:vAlign w:val="center"/>
            <w:hideMark/>
          </w:tcPr>
          <w:p w14:paraId="75ED75ED" w14:textId="77777777" w:rsidR="005C03E7" w:rsidRPr="005C03E7" w:rsidRDefault="005C03E7" w:rsidP="005C03E7">
            <w:pPr>
              <w:spacing w:after="0" w:line="240" w:lineRule="auto"/>
              <w:jc w:val="center"/>
              <w:rPr>
                <w:rFonts w:ascii="Calibri" w:eastAsia="Times New Roman" w:hAnsi="Calibri" w:cs="Calibri"/>
                <w:sz w:val="20"/>
                <w:szCs w:val="20"/>
                <w:lang w:eastAsia="cs-CZ"/>
              </w:rPr>
            </w:pPr>
            <w:r w:rsidRPr="005C03E7">
              <w:rPr>
                <w:rFonts w:ascii="Calibri" w:eastAsia="Times New Roman" w:hAnsi="Calibri" w:cs="Calibri"/>
                <w:sz w:val="20"/>
                <w:szCs w:val="20"/>
                <w:lang w:eastAsia="cs-CZ"/>
              </w:rPr>
              <w:t> </w:t>
            </w:r>
          </w:p>
        </w:tc>
        <w:tc>
          <w:tcPr>
            <w:tcW w:w="9522" w:type="dxa"/>
            <w:gridSpan w:val="5"/>
            <w:tcBorders>
              <w:top w:val="single" w:sz="4" w:space="0" w:color="auto"/>
              <w:left w:val="nil"/>
              <w:bottom w:val="single" w:sz="4" w:space="0" w:color="auto"/>
              <w:right w:val="single" w:sz="8" w:space="0" w:color="000000"/>
            </w:tcBorders>
            <w:shd w:val="clear" w:color="auto" w:fill="auto"/>
            <w:noWrap/>
            <w:vAlign w:val="center"/>
            <w:hideMark/>
          </w:tcPr>
          <w:p w14:paraId="31D1F44B" w14:textId="77777777" w:rsidR="005C03E7" w:rsidRPr="00D30848" w:rsidRDefault="005C03E7" w:rsidP="005C03E7">
            <w:pPr>
              <w:spacing w:after="0" w:line="240" w:lineRule="auto"/>
              <w:rPr>
                <w:rFonts w:ascii="Calibri" w:eastAsia="Times New Roman" w:hAnsi="Calibri" w:cs="Calibri"/>
                <w:i/>
                <w:iCs/>
                <w:sz w:val="20"/>
                <w:szCs w:val="20"/>
                <w:lang w:eastAsia="cs-CZ"/>
              </w:rPr>
            </w:pPr>
            <w:r w:rsidRPr="00D30848">
              <w:rPr>
                <w:rFonts w:ascii="Calibri" w:eastAsia="Times New Roman" w:hAnsi="Calibri" w:cs="Calibri"/>
                <w:i/>
                <w:iCs/>
                <w:sz w:val="20"/>
                <w:szCs w:val="20"/>
                <w:lang w:eastAsia="cs-CZ"/>
              </w:rPr>
              <w:t>z toho:</w:t>
            </w:r>
          </w:p>
        </w:tc>
      </w:tr>
      <w:tr w:rsidR="005C03E7" w:rsidRPr="005C03E7" w14:paraId="7644B7A1" w14:textId="77777777" w:rsidTr="00593EA0">
        <w:trPr>
          <w:trHeight w:val="300"/>
        </w:trPr>
        <w:tc>
          <w:tcPr>
            <w:tcW w:w="826"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EA7AA27" w14:textId="77777777" w:rsidR="005C03E7" w:rsidRPr="005C03E7" w:rsidRDefault="005C03E7" w:rsidP="005C03E7">
            <w:pPr>
              <w:spacing w:after="0" w:line="240" w:lineRule="auto"/>
              <w:rPr>
                <w:rFonts w:ascii="Calibri" w:eastAsia="Times New Roman" w:hAnsi="Calibri" w:cs="Calibri"/>
                <w:sz w:val="20"/>
                <w:szCs w:val="20"/>
                <w:lang w:eastAsia="cs-CZ"/>
              </w:rPr>
            </w:pPr>
            <w:r w:rsidRPr="005C03E7">
              <w:rPr>
                <w:rFonts w:ascii="Calibri" w:eastAsia="Times New Roman" w:hAnsi="Calibri" w:cs="Calibri"/>
                <w:sz w:val="20"/>
                <w:szCs w:val="20"/>
                <w:lang w:eastAsia="cs-CZ"/>
              </w:rPr>
              <w:t> </w:t>
            </w:r>
          </w:p>
        </w:tc>
        <w:tc>
          <w:tcPr>
            <w:tcW w:w="4419" w:type="dxa"/>
            <w:tcBorders>
              <w:top w:val="nil"/>
              <w:left w:val="nil"/>
              <w:bottom w:val="single" w:sz="4" w:space="0" w:color="auto"/>
              <w:right w:val="single" w:sz="4" w:space="0" w:color="auto"/>
            </w:tcBorders>
            <w:shd w:val="clear" w:color="auto" w:fill="auto"/>
            <w:noWrap/>
            <w:vAlign w:val="center"/>
            <w:hideMark/>
          </w:tcPr>
          <w:p w14:paraId="71376013" w14:textId="408003BE" w:rsidR="005C03E7" w:rsidRPr="00D30848" w:rsidRDefault="005C03E7" w:rsidP="005C03E7">
            <w:pPr>
              <w:spacing w:after="0" w:line="240" w:lineRule="auto"/>
              <w:rPr>
                <w:rFonts w:ascii="Calibri" w:eastAsia="Times New Roman" w:hAnsi="Calibri" w:cs="Calibri"/>
                <w:i/>
                <w:iCs/>
                <w:sz w:val="20"/>
                <w:szCs w:val="20"/>
                <w:lang w:eastAsia="cs-CZ"/>
              </w:rPr>
            </w:pPr>
            <w:r w:rsidRPr="00D30848">
              <w:rPr>
                <w:rFonts w:ascii="Calibri" w:eastAsia="Times New Roman" w:hAnsi="Calibri" w:cs="Calibri"/>
                <w:i/>
                <w:iCs/>
                <w:sz w:val="20"/>
                <w:szCs w:val="20"/>
                <w:lang w:eastAsia="cs-CZ"/>
              </w:rPr>
              <w:t xml:space="preserve">5169 </w:t>
            </w:r>
            <w:r w:rsidR="00D30848">
              <w:rPr>
                <w:rFonts w:ascii="Calibri" w:eastAsia="Times New Roman" w:hAnsi="Calibri" w:cs="Calibri"/>
                <w:i/>
                <w:iCs/>
                <w:sz w:val="20"/>
                <w:szCs w:val="20"/>
                <w:lang w:eastAsia="cs-CZ"/>
              </w:rPr>
              <w:t>n</w:t>
            </w:r>
            <w:r w:rsidRPr="00D30848">
              <w:rPr>
                <w:rFonts w:ascii="Calibri" w:eastAsia="Times New Roman" w:hAnsi="Calibri" w:cs="Calibri"/>
                <w:i/>
                <w:iCs/>
                <w:sz w:val="20"/>
                <w:szCs w:val="20"/>
                <w:lang w:eastAsia="cs-CZ"/>
              </w:rPr>
              <w:t>ákup ostatních služeb</w:t>
            </w:r>
          </w:p>
        </w:tc>
        <w:tc>
          <w:tcPr>
            <w:tcW w:w="1276" w:type="dxa"/>
            <w:tcBorders>
              <w:top w:val="nil"/>
              <w:left w:val="nil"/>
              <w:bottom w:val="single" w:sz="4" w:space="0" w:color="auto"/>
              <w:right w:val="single" w:sz="4" w:space="0" w:color="auto"/>
            </w:tcBorders>
            <w:shd w:val="clear" w:color="auto" w:fill="auto"/>
            <w:noWrap/>
            <w:vAlign w:val="center"/>
            <w:hideMark/>
          </w:tcPr>
          <w:p w14:paraId="746DA4CC" w14:textId="77777777" w:rsidR="005C03E7" w:rsidRPr="00D30848" w:rsidRDefault="005C03E7" w:rsidP="005C03E7">
            <w:pPr>
              <w:spacing w:after="0" w:line="240" w:lineRule="auto"/>
              <w:jc w:val="right"/>
              <w:rPr>
                <w:rFonts w:ascii="Calibri" w:eastAsia="Times New Roman" w:hAnsi="Calibri" w:cs="Calibri"/>
                <w:i/>
                <w:iCs/>
                <w:sz w:val="20"/>
                <w:szCs w:val="20"/>
                <w:lang w:eastAsia="cs-CZ"/>
              </w:rPr>
            </w:pPr>
            <w:r w:rsidRPr="00D30848">
              <w:rPr>
                <w:rFonts w:ascii="Calibri" w:eastAsia="Times New Roman" w:hAnsi="Calibri" w:cs="Calibri"/>
                <w:i/>
                <w:iCs/>
                <w:sz w:val="20"/>
                <w:szCs w:val="20"/>
                <w:lang w:eastAsia="cs-CZ"/>
              </w:rPr>
              <w:t>0</w:t>
            </w:r>
          </w:p>
        </w:tc>
        <w:tc>
          <w:tcPr>
            <w:tcW w:w="1559" w:type="dxa"/>
            <w:tcBorders>
              <w:top w:val="nil"/>
              <w:left w:val="nil"/>
              <w:bottom w:val="single" w:sz="4" w:space="0" w:color="auto"/>
              <w:right w:val="single" w:sz="4" w:space="0" w:color="auto"/>
            </w:tcBorders>
            <w:shd w:val="clear" w:color="auto" w:fill="auto"/>
            <w:noWrap/>
            <w:vAlign w:val="center"/>
            <w:hideMark/>
          </w:tcPr>
          <w:p w14:paraId="2D581587" w14:textId="77777777" w:rsidR="005C03E7" w:rsidRPr="00D30848" w:rsidRDefault="005C03E7" w:rsidP="005C03E7">
            <w:pPr>
              <w:spacing w:after="0" w:line="240" w:lineRule="auto"/>
              <w:jc w:val="right"/>
              <w:rPr>
                <w:rFonts w:ascii="Calibri" w:eastAsia="Times New Roman" w:hAnsi="Calibri" w:cs="Calibri"/>
                <w:i/>
                <w:iCs/>
                <w:sz w:val="20"/>
                <w:szCs w:val="20"/>
                <w:lang w:eastAsia="cs-CZ"/>
              </w:rPr>
            </w:pPr>
            <w:r w:rsidRPr="00D30848">
              <w:rPr>
                <w:rFonts w:ascii="Calibri" w:eastAsia="Times New Roman" w:hAnsi="Calibri" w:cs="Calibri"/>
                <w:i/>
                <w:iCs/>
                <w:sz w:val="20"/>
                <w:szCs w:val="20"/>
                <w:lang w:eastAsia="cs-CZ"/>
              </w:rPr>
              <w:t>7 400 000,00</w:t>
            </w:r>
          </w:p>
        </w:tc>
        <w:tc>
          <w:tcPr>
            <w:tcW w:w="1559" w:type="dxa"/>
            <w:tcBorders>
              <w:top w:val="nil"/>
              <w:left w:val="nil"/>
              <w:bottom w:val="single" w:sz="4" w:space="0" w:color="auto"/>
              <w:right w:val="nil"/>
            </w:tcBorders>
            <w:shd w:val="clear" w:color="FFFFCC" w:fill="FFFFFF"/>
            <w:noWrap/>
            <w:vAlign w:val="bottom"/>
            <w:hideMark/>
          </w:tcPr>
          <w:p w14:paraId="273EB9C8" w14:textId="77777777" w:rsidR="005C03E7" w:rsidRPr="00D30848" w:rsidRDefault="005C03E7" w:rsidP="005C03E7">
            <w:pPr>
              <w:spacing w:after="0" w:line="240" w:lineRule="auto"/>
              <w:jc w:val="right"/>
              <w:rPr>
                <w:rFonts w:ascii="Calibri" w:eastAsia="Times New Roman" w:hAnsi="Calibri" w:cs="Calibri"/>
                <w:i/>
                <w:iCs/>
                <w:sz w:val="20"/>
                <w:szCs w:val="20"/>
                <w:lang w:eastAsia="cs-CZ"/>
              </w:rPr>
            </w:pPr>
            <w:r w:rsidRPr="00D30848">
              <w:rPr>
                <w:rFonts w:ascii="Calibri" w:eastAsia="Times New Roman" w:hAnsi="Calibri" w:cs="Calibri"/>
                <w:i/>
                <w:iCs/>
                <w:sz w:val="20"/>
                <w:szCs w:val="20"/>
                <w:lang w:eastAsia="cs-CZ"/>
              </w:rPr>
              <w:t>6 099 540,00</w:t>
            </w:r>
          </w:p>
        </w:tc>
        <w:tc>
          <w:tcPr>
            <w:tcW w:w="709" w:type="dxa"/>
            <w:tcBorders>
              <w:top w:val="nil"/>
              <w:left w:val="single" w:sz="4" w:space="0" w:color="auto"/>
              <w:bottom w:val="single" w:sz="4" w:space="0" w:color="auto"/>
              <w:right w:val="single" w:sz="8" w:space="0" w:color="auto"/>
            </w:tcBorders>
            <w:shd w:val="clear" w:color="auto" w:fill="auto"/>
            <w:noWrap/>
            <w:vAlign w:val="bottom"/>
            <w:hideMark/>
          </w:tcPr>
          <w:p w14:paraId="2C69EA0D" w14:textId="77777777" w:rsidR="005C03E7" w:rsidRPr="00D30848" w:rsidRDefault="005C03E7" w:rsidP="005C03E7">
            <w:pPr>
              <w:spacing w:after="0" w:line="240" w:lineRule="auto"/>
              <w:jc w:val="right"/>
              <w:rPr>
                <w:rFonts w:ascii="Calibri" w:eastAsia="Times New Roman" w:hAnsi="Calibri" w:cs="Calibri"/>
                <w:i/>
                <w:iCs/>
                <w:sz w:val="20"/>
                <w:szCs w:val="20"/>
                <w:lang w:eastAsia="cs-CZ"/>
              </w:rPr>
            </w:pPr>
            <w:r w:rsidRPr="00D30848">
              <w:rPr>
                <w:rFonts w:ascii="Calibri" w:eastAsia="Times New Roman" w:hAnsi="Calibri" w:cs="Calibri"/>
                <w:i/>
                <w:iCs/>
                <w:sz w:val="20"/>
                <w:szCs w:val="20"/>
                <w:lang w:eastAsia="cs-CZ"/>
              </w:rPr>
              <w:t>82,4</w:t>
            </w:r>
          </w:p>
        </w:tc>
      </w:tr>
      <w:tr w:rsidR="005C03E7" w:rsidRPr="005C03E7" w14:paraId="56DD46A3" w14:textId="77777777" w:rsidTr="00593EA0">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4545A38F" w14:textId="77777777" w:rsidR="005C03E7" w:rsidRPr="005C03E7" w:rsidRDefault="005C03E7" w:rsidP="005C03E7">
            <w:pPr>
              <w:spacing w:after="0" w:line="240" w:lineRule="auto"/>
              <w:rPr>
                <w:rFonts w:ascii="Calibri" w:eastAsia="Times New Roman" w:hAnsi="Calibri" w:cs="Calibri"/>
                <w:sz w:val="20"/>
                <w:szCs w:val="20"/>
                <w:lang w:eastAsia="cs-CZ"/>
              </w:rPr>
            </w:pPr>
            <w:r w:rsidRPr="005C03E7">
              <w:rPr>
                <w:rFonts w:ascii="Calibri" w:eastAsia="Times New Roman" w:hAnsi="Calibri" w:cs="Calibri"/>
                <w:sz w:val="20"/>
                <w:szCs w:val="20"/>
                <w:lang w:eastAsia="cs-CZ"/>
              </w:rPr>
              <w:t> </w:t>
            </w:r>
          </w:p>
        </w:tc>
        <w:tc>
          <w:tcPr>
            <w:tcW w:w="4419" w:type="dxa"/>
            <w:tcBorders>
              <w:top w:val="nil"/>
              <w:left w:val="nil"/>
              <w:bottom w:val="single" w:sz="4" w:space="0" w:color="auto"/>
              <w:right w:val="single" w:sz="4" w:space="0" w:color="auto"/>
            </w:tcBorders>
            <w:shd w:val="clear" w:color="auto" w:fill="auto"/>
            <w:noWrap/>
            <w:vAlign w:val="bottom"/>
            <w:hideMark/>
          </w:tcPr>
          <w:p w14:paraId="1BA07965" w14:textId="7CA09147" w:rsidR="005C03E7" w:rsidRPr="00D30848" w:rsidRDefault="005C03E7" w:rsidP="005C03E7">
            <w:pPr>
              <w:spacing w:after="0" w:line="240" w:lineRule="auto"/>
              <w:rPr>
                <w:rFonts w:ascii="Calibri" w:eastAsia="Times New Roman" w:hAnsi="Calibri" w:cs="Calibri"/>
                <w:i/>
                <w:iCs/>
                <w:sz w:val="20"/>
                <w:szCs w:val="20"/>
                <w:lang w:eastAsia="cs-CZ"/>
              </w:rPr>
            </w:pPr>
            <w:r w:rsidRPr="00D30848">
              <w:rPr>
                <w:rFonts w:ascii="Calibri" w:eastAsia="Times New Roman" w:hAnsi="Calibri" w:cs="Calibri"/>
                <w:i/>
                <w:iCs/>
                <w:sz w:val="20"/>
                <w:szCs w:val="20"/>
                <w:lang w:eastAsia="cs-CZ"/>
              </w:rPr>
              <w:t xml:space="preserve">5499 </w:t>
            </w:r>
            <w:r w:rsidR="00D30848">
              <w:rPr>
                <w:rFonts w:ascii="Calibri" w:eastAsia="Times New Roman" w:hAnsi="Calibri" w:cs="Calibri"/>
                <w:i/>
                <w:iCs/>
                <w:sz w:val="20"/>
                <w:szCs w:val="20"/>
                <w:lang w:eastAsia="cs-CZ"/>
              </w:rPr>
              <w:t>o</w:t>
            </w:r>
            <w:r w:rsidRPr="00D30848">
              <w:rPr>
                <w:rFonts w:ascii="Calibri" w:eastAsia="Times New Roman" w:hAnsi="Calibri" w:cs="Calibri"/>
                <w:i/>
                <w:iCs/>
                <w:sz w:val="20"/>
                <w:szCs w:val="20"/>
                <w:lang w:eastAsia="cs-CZ"/>
              </w:rPr>
              <w:t>statní neinvestiční transfery obyvatelstvu</w:t>
            </w:r>
          </w:p>
        </w:tc>
        <w:tc>
          <w:tcPr>
            <w:tcW w:w="1276" w:type="dxa"/>
            <w:tcBorders>
              <w:top w:val="nil"/>
              <w:left w:val="nil"/>
              <w:bottom w:val="single" w:sz="4" w:space="0" w:color="auto"/>
              <w:right w:val="single" w:sz="4" w:space="0" w:color="auto"/>
            </w:tcBorders>
            <w:shd w:val="clear" w:color="auto" w:fill="auto"/>
            <w:noWrap/>
            <w:vAlign w:val="bottom"/>
            <w:hideMark/>
          </w:tcPr>
          <w:p w14:paraId="765DE65D" w14:textId="77777777" w:rsidR="005C03E7" w:rsidRPr="00D30848" w:rsidRDefault="005C03E7" w:rsidP="005C03E7">
            <w:pPr>
              <w:spacing w:after="0" w:line="240" w:lineRule="auto"/>
              <w:jc w:val="right"/>
              <w:rPr>
                <w:rFonts w:ascii="Calibri" w:eastAsia="Times New Roman" w:hAnsi="Calibri" w:cs="Calibri"/>
                <w:i/>
                <w:iCs/>
                <w:sz w:val="20"/>
                <w:szCs w:val="20"/>
                <w:lang w:eastAsia="cs-CZ"/>
              </w:rPr>
            </w:pPr>
            <w:r w:rsidRPr="00D30848">
              <w:rPr>
                <w:rFonts w:ascii="Calibri" w:eastAsia="Times New Roman" w:hAnsi="Calibri" w:cs="Calibri"/>
                <w:i/>
                <w:iCs/>
                <w:sz w:val="20"/>
                <w:szCs w:val="20"/>
                <w:lang w:eastAsia="cs-CZ"/>
              </w:rPr>
              <w:t>0</w:t>
            </w:r>
          </w:p>
        </w:tc>
        <w:tc>
          <w:tcPr>
            <w:tcW w:w="1559" w:type="dxa"/>
            <w:tcBorders>
              <w:top w:val="nil"/>
              <w:left w:val="nil"/>
              <w:bottom w:val="single" w:sz="4" w:space="0" w:color="auto"/>
              <w:right w:val="single" w:sz="4" w:space="0" w:color="auto"/>
            </w:tcBorders>
            <w:shd w:val="clear" w:color="auto" w:fill="auto"/>
            <w:noWrap/>
            <w:vAlign w:val="bottom"/>
            <w:hideMark/>
          </w:tcPr>
          <w:p w14:paraId="0B5B735A" w14:textId="77777777" w:rsidR="005C03E7" w:rsidRPr="00D30848" w:rsidRDefault="005C03E7" w:rsidP="005C03E7">
            <w:pPr>
              <w:spacing w:after="0" w:line="240" w:lineRule="auto"/>
              <w:jc w:val="right"/>
              <w:rPr>
                <w:rFonts w:ascii="Calibri" w:eastAsia="Times New Roman" w:hAnsi="Calibri" w:cs="Calibri"/>
                <w:i/>
                <w:iCs/>
                <w:sz w:val="20"/>
                <w:szCs w:val="20"/>
                <w:lang w:eastAsia="cs-CZ"/>
              </w:rPr>
            </w:pPr>
            <w:r w:rsidRPr="00D30848">
              <w:rPr>
                <w:rFonts w:ascii="Calibri" w:eastAsia="Times New Roman" w:hAnsi="Calibri" w:cs="Calibri"/>
                <w:i/>
                <w:iCs/>
                <w:sz w:val="20"/>
                <w:szCs w:val="20"/>
                <w:lang w:eastAsia="cs-CZ"/>
              </w:rPr>
              <w:t>10 500 000,00</w:t>
            </w:r>
          </w:p>
        </w:tc>
        <w:tc>
          <w:tcPr>
            <w:tcW w:w="1559" w:type="dxa"/>
            <w:tcBorders>
              <w:top w:val="nil"/>
              <w:left w:val="nil"/>
              <w:bottom w:val="single" w:sz="4" w:space="0" w:color="auto"/>
              <w:right w:val="single" w:sz="4" w:space="0" w:color="auto"/>
            </w:tcBorders>
            <w:shd w:val="clear" w:color="auto" w:fill="auto"/>
            <w:noWrap/>
            <w:vAlign w:val="bottom"/>
            <w:hideMark/>
          </w:tcPr>
          <w:p w14:paraId="4E64F705" w14:textId="77777777" w:rsidR="005C03E7" w:rsidRPr="00D30848" w:rsidRDefault="005C03E7" w:rsidP="005C03E7">
            <w:pPr>
              <w:spacing w:after="0" w:line="240" w:lineRule="auto"/>
              <w:jc w:val="right"/>
              <w:rPr>
                <w:rFonts w:ascii="Calibri" w:eastAsia="Times New Roman" w:hAnsi="Calibri" w:cs="Calibri"/>
                <w:i/>
                <w:iCs/>
                <w:sz w:val="20"/>
                <w:szCs w:val="20"/>
                <w:lang w:eastAsia="cs-CZ"/>
              </w:rPr>
            </w:pPr>
            <w:r w:rsidRPr="00D30848">
              <w:rPr>
                <w:rFonts w:ascii="Calibri" w:eastAsia="Times New Roman" w:hAnsi="Calibri" w:cs="Calibri"/>
                <w:i/>
                <w:iCs/>
                <w:sz w:val="20"/>
                <w:szCs w:val="20"/>
                <w:lang w:eastAsia="cs-CZ"/>
              </w:rPr>
              <w:t>8 270 087,59</w:t>
            </w:r>
          </w:p>
        </w:tc>
        <w:tc>
          <w:tcPr>
            <w:tcW w:w="709" w:type="dxa"/>
            <w:tcBorders>
              <w:top w:val="nil"/>
              <w:left w:val="nil"/>
              <w:bottom w:val="single" w:sz="4" w:space="0" w:color="auto"/>
              <w:right w:val="single" w:sz="8" w:space="0" w:color="auto"/>
            </w:tcBorders>
            <w:shd w:val="clear" w:color="auto" w:fill="auto"/>
            <w:noWrap/>
            <w:vAlign w:val="bottom"/>
            <w:hideMark/>
          </w:tcPr>
          <w:p w14:paraId="126564EB" w14:textId="77777777" w:rsidR="005C03E7" w:rsidRPr="00D30848" w:rsidRDefault="005C03E7" w:rsidP="005C03E7">
            <w:pPr>
              <w:spacing w:after="0" w:line="240" w:lineRule="auto"/>
              <w:jc w:val="right"/>
              <w:rPr>
                <w:rFonts w:ascii="Calibri" w:eastAsia="Times New Roman" w:hAnsi="Calibri" w:cs="Calibri"/>
                <w:i/>
                <w:iCs/>
                <w:sz w:val="20"/>
                <w:szCs w:val="20"/>
                <w:lang w:eastAsia="cs-CZ"/>
              </w:rPr>
            </w:pPr>
            <w:r w:rsidRPr="00D30848">
              <w:rPr>
                <w:rFonts w:ascii="Calibri" w:eastAsia="Times New Roman" w:hAnsi="Calibri" w:cs="Calibri"/>
                <w:i/>
                <w:iCs/>
                <w:sz w:val="20"/>
                <w:szCs w:val="20"/>
                <w:lang w:eastAsia="cs-CZ"/>
              </w:rPr>
              <w:t>78,8</w:t>
            </w:r>
          </w:p>
        </w:tc>
      </w:tr>
      <w:tr w:rsidR="005C03E7" w:rsidRPr="005C03E7" w14:paraId="60DDBA75" w14:textId="77777777" w:rsidTr="00593EA0">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01EBCF0F" w14:textId="77777777" w:rsidR="005C03E7" w:rsidRPr="005C03E7" w:rsidRDefault="005C03E7" w:rsidP="005C03E7">
            <w:pPr>
              <w:spacing w:after="0" w:line="240" w:lineRule="auto"/>
              <w:rPr>
                <w:rFonts w:ascii="Calibri" w:eastAsia="Times New Roman" w:hAnsi="Calibri" w:cs="Calibri"/>
                <w:sz w:val="20"/>
                <w:szCs w:val="20"/>
                <w:lang w:eastAsia="cs-CZ"/>
              </w:rPr>
            </w:pPr>
            <w:r w:rsidRPr="005C03E7">
              <w:rPr>
                <w:rFonts w:ascii="Calibri" w:eastAsia="Times New Roman" w:hAnsi="Calibri" w:cs="Calibri"/>
                <w:sz w:val="20"/>
                <w:szCs w:val="20"/>
                <w:lang w:eastAsia="cs-CZ"/>
              </w:rPr>
              <w:t> </w:t>
            </w:r>
          </w:p>
        </w:tc>
        <w:tc>
          <w:tcPr>
            <w:tcW w:w="4419" w:type="dxa"/>
            <w:tcBorders>
              <w:top w:val="nil"/>
              <w:left w:val="nil"/>
              <w:bottom w:val="single" w:sz="4" w:space="0" w:color="auto"/>
              <w:right w:val="single" w:sz="4" w:space="0" w:color="auto"/>
            </w:tcBorders>
            <w:shd w:val="clear" w:color="auto" w:fill="auto"/>
            <w:noWrap/>
            <w:vAlign w:val="bottom"/>
            <w:hideMark/>
          </w:tcPr>
          <w:p w14:paraId="4E731EE2" w14:textId="064E58AA" w:rsidR="005C03E7" w:rsidRPr="00D30848" w:rsidRDefault="005C03E7" w:rsidP="005C03E7">
            <w:pPr>
              <w:spacing w:after="0" w:line="240" w:lineRule="auto"/>
              <w:rPr>
                <w:rFonts w:ascii="Calibri" w:eastAsia="Times New Roman" w:hAnsi="Calibri" w:cs="Calibri"/>
                <w:i/>
                <w:iCs/>
                <w:sz w:val="20"/>
                <w:szCs w:val="20"/>
                <w:lang w:eastAsia="cs-CZ"/>
              </w:rPr>
            </w:pPr>
            <w:r w:rsidRPr="00D30848">
              <w:rPr>
                <w:rFonts w:ascii="Calibri" w:eastAsia="Times New Roman" w:hAnsi="Calibri" w:cs="Calibri"/>
                <w:i/>
                <w:iCs/>
                <w:sz w:val="20"/>
                <w:szCs w:val="20"/>
                <w:lang w:eastAsia="cs-CZ"/>
              </w:rPr>
              <w:t xml:space="preserve">5660 </w:t>
            </w:r>
            <w:r w:rsidR="00D30848">
              <w:rPr>
                <w:rFonts w:ascii="Calibri" w:eastAsia="Times New Roman" w:hAnsi="Calibri" w:cs="Calibri"/>
                <w:i/>
                <w:iCs/>
                <w:sz w:val="20"/>
                <w:szCs w:val="20"/>
                <w:lang w:eastAsia="cs-CZ"/>
              </w:rPr>
              <w:t>n</w:t>
            </w:r>
            <w:r w:rsidRPr="00D30848">
              <w:rPr>
                <w:rFonts w:ascii="Calibri" w:eastAsia="Times New Roman" w:hAnsi="Calibri" w:cs="Calibri"/>
                <w:i/>
                <w:iCs/>
                <w:sz w:val="20"/>
                <w:szCs w:val="20"/>
                <w:lang w:eastAsia="cs-CZ"/>
              </w:rPr>
              <w:t>einvestiční půjčky obyvatelstvu</w:t>
            </w:r>
          </w:p>
        </w:tc>
        <w:tc>
          <w:tcPr>
            <w:tcW w:w="1276" w:type="dxa"/>
            <w:tcBorders>
              <w:top w:val="nil"/>
              <w:left w:val="nil"/>
              <w:bottom w:val="single" w:sz="4" w:space="0" w:color="auto"/>
              <w:right w:val="single" w:sz="4" w:space="0" w:color="auto"/>
            </w:tcBorders>
            <w:shd w:val="clear" w:color="auto" w:fill="auto"/>
            <w:noWrap/>
            <w:vAlign w:val="bottom"/>
            <w:hideMark/>
          </w:tcPr>
          <w:p w14:paraId="317492EE" w14:textId="77777777" w:rsidR="005C03E7" w:rsidRPr="00D30848" w:rsidRDefault="005C03E7" w:rsidP="005C03E7">
            <w:pPr>
              <w:spacing w:after="0" w:line="240" w:lineRule="auto"/>
              <w:jc w:val="right"/>
              <w:rPr>
                <w:rFonts w:ascii="Calibri" w:eastAsia="Times New Roman" w:hAnsi="Calibri" w:cs="Calibri"/>
                <w:i/>
                <w:iCs/>
                <w:sz w:val="20"/>
                <w:szCs w:val="20"/>
                <w:lang w:eastAsia="cs-CZ"/>
              </w:rPr>
            </w:pPr>
            <w:r w:rsidRPr="00D30848">
              <w:rPr>
                <w:rFonts w:ascii="Calibri" w:eastAsia="Times New Roman" w:hAnsi="Calibri" w:cs="Calibri"/>
                <w:i/>
                <w:iCs/>
                <w:sz w:val="20"/>
                <w:szCs w:val="20"/>
                <w:lang w:eastAsia="cs-CZ"/>
              </w:rPr>
              <w:t>0</w:t>
            </w:r>
          </w:p>
        </w:tc>
        <w:tc>
          <w:tcPr>
            <w:tcW w:w="1559" w:type="dxa"/>
            <w:tcBorders>
              <w:top w:val="nil"/>
              <w:left w:val="nil"/>
              <w:bottom w:val="single" w:sz="4" w:space="0" w:color="auto"/>
              <w:right w:val="single" w:sz="4" w:space="0" w:color="auto"/>
            </w:tcBorders>
            <w:shd w:val="clear" w:color="auto" w:fill="auto"/>
            <w:noWrap/>
            <w:vAlign w:val="bottom"/>
            <w:hideMark/>
          </w:tcPr>
          <w:p w14:paraId="6035823C" w14:textId="77777777" w:rsidR="005C03E7" w:rsidRPr="00D30848" w:rsidRDefault="005C03E7" w:rsidP="005C03E7">
            <w:pPr>
              <w:spacing w:after="0" w:line="240" w:lineRule="auto"/>
              <w:jc w:val="right"/>
              <w:rPr>
                <w:rFonts w:ascii="Calibri" w:eastAsia="Times New Roman" w:hAnsi="Calibri" w:cs="Calibri"/>
                <w:i/>
                <w:iCs/>
                <w:sz w:val="20"/>
                <w:szCs w:val="20"/>
                <w:lang w:eastAsia="cs-CZ"/>
              </w:rPr>
            </w:pPr>
            <w:r w:rsidRPr="00D30848">
              <w:rPr>
                <w:rFonts w:ascii="Calibri" w:eastAsia="Times New Roman" w:hAnsi="Calibri" w:cs="Calibri"/>
                <w:i/>
                <w:iCs/>
                <w:sz w:val="20"/>
                <w:szCs w:val="20"/>
                <w:lang w:eastAsia="cs-CZ"/>
              </w:rPr>
              <w:t>200 000,00</w:t>
            </w:r>
          </w:p>
        </w:tc>
        <w:tc>
          <w:tcPr>
            <w:tcW w:w="1559" w:type="dxa"/>
            <w:tcBorders>
              <w:top w:val="nil"/>
              <w:left w:val="nil"/>
              <w:bottom w:val="single" w:sz="4" w:space="0" w:color="auto"/>
              <w:right w:val="single" w:sz="4" w:space="0" w:color="auto"/>
            </w:tcBorders>
            <w:shd w:val="clear" w:color="auto" w:fill="auto"/>
            <w:noWrap/>
            <w:vAlign w:val="bottom"/>
            <w:hideMark/>
          </w:tcPr>
          <w:p w14:paraId="7FD22676" w14:textId="77777777" w:rsidR="005C03E7" w:rsidRPr="00D30848" w:rsidRDefault="005C03E7" w:rsidP="005C03E7">
            <w:pPr>
              <w:spacing w:after="0" w:line="240" w:lineRule="auto"/>
              <w:jc w:val="right"/>
              <w:rPr>
                <w:rFonts w:ascii="Calibri" w:eastAsia="Times New Roman" w:hAnsi="Calibri" w:cs="Calibri"/>
                <w:i/>
                <w:iCs/>
                <w:sz w:val="20"/>
                <w:szCs w:val="20"/>
                <w:lang w:eastAsia="cs-CZ"/>
              </w:rPr>
            </w:pPr>
            <w:r w:rsidRPr="00D30848">
              <w:rPr>
                <w:rFonts w:ascii="Calibri" w:eastAsia="Times New Roman" w:hAnsi="Calibri" w:cs="Calibri"/>
                <w:i/>
                <w:iCs/>
                <w:sz w:val="20"/>
                <w:szCs w:val="20"/>
                <w:lang w:eastAsia="cs-CZ"/>
              </w:rPr>
              <w:t>40 000,00</w:t>
            </w:r>
          </w:p>
        </w:tc>
        <w:tc>
          <w:tcPr>
            <w:tcW w:w="709" w:type="dxa"/>
            <w:tcBorders>
              <w:top w:val="nil"/>
              <w:left w:val="nil"/>
              <w:bottom w:val="single" w:sz="4" w:space="0" w:color="auto"/>
              <w:right w:val="single" w:sz="8" w:space="0" w:color="auto"/>
            </w:tcBorders>
            <w:shd w:val="clear" w:color="auto" w:fill="auto"/>
            <w:noWrap/>
            <w:vAlign w:val="bottom"/>
            <w:hideMark/>
          </w:tcPr>
          <w:p w14:paraId="3C1A87EF" w14:textId="77777777" w:rsidR="005C03E7" w:rsidRPr="00D30848" w:rsidRDefault="005C03E7" w:rsidP="005C03E7">
            <w:pPr>
              <w:spacing w:after="0" w:line="240" w:lineRule="auto"/>
              <w:jc w:val="right"/>
              <w:rPr>
                <w:rFonts w:ascii="Calibri" w:eastAsia="Times New Roman" w:hAnsi="Calibri" w:cs="Calibri"/>
                <w:i/>
                <w:iCs/>
                <w:sz w:val="20"/>
                <w:szCs w:val="20"/>
                <w:lang w:eastAsia="cs-CZ"/>
              </w:rPr>
            </w:pPr>
            <w:r w:rsidRPr="00D30848">
              <w:rPr>
                <w:rFonts w:ascii="Calibri" w:eastAsia="Times New Roman" w:hAnsi="Calibri" w:cs="Calibri"/>
                <w:i/>
                <w:iCs/>
                <w:sz w:val="20"/>
                <w:szCs w:val="20"/>
                <w:lang w:eastAsia="cs-CZ"/>
              </w:rPr>
              <w:t>20,0</w:t>
            </w:r>
          </w:p>
        </w:tc>
      </w:tr>
      <w:tr w:rsidR="005C03E7" w:rsidRPr="005C03E7" w14:paraId="4EBCE27B" w14:textId="77777777" w:rsidTr="00593EA0">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35470427" w14:textId="77777777" w:rsidR="005C03E7" w:rsidRPr="005C03E7" w:rsidRDefault="005C03E7" w:rsidP="005C03E7">
            <w:pPr>
              <w:spacing w:after="0" w:line="240" w:lineRule="auto"/>
              <w:rPr>
                <w:rFonts w:ascii="Calibri" w:eastAsia="Times New Roman" w:hAnsi="Calibri" w:cs="Calibri"/>
                <w:sz w:val="20"/>
                <w:szCs w:val="20"/>
                <w:lang w:eastAsia="cs-CZ"/>
              </w:rPr>
            </w:pPr>
            <w:r w:rsidRPr="005C03E7">
              <w:rPr>
                <w:rFonts w:ascii="Calibri" w:eastAsia="Times New Roman" w:hAnsi="Calibri" w:cs="Calibri"/>
                <w:sz w:val="20"/>
                <w:szCs w:val="20"/>
                <w:lang w:eastAsia="cs-CZ"/>
              </w:rPr>
              <w:t> </w:t>
            </w:r>
          </w:p>
        </w:tc>
        <w:tc>
          <w:tcPr>
            <w:tcW w:w="4419" w:type="dxa"/>
            <w:tcBorders>
              <w:top w:val="nil"/>
              <w:left w:val="nil"/>
              <w:bottom w:val="single" w:sz="4" w:space="0" w:color="auto"/>
              <w:right w:val="single" w:sz="4" w:space="0" w:color="auto"/>
            </w:tcBorders>
            <w:shd w:val="clear" w:color="auto" w:fill="auto"/>
            <w:noWrap/>
            <w:vAlign w:val="bottom"/>
            <w:hideMark/>
          </w:tcPr>
          <w:p w14:paraId="00772A5B" w14:textId="15AFD9E0" w:rsidR="005C03E7" w:rsidRPr="00D30848" w:rsidRDefault="005C03E7" w:rsidP="005C03E7">
            <w:pPr>
              <w:spacing w:after="0" w:line="240" w:lineRule="auto"/>
              <w:rPr>
                <w:rFonts w:ascii="Calibri" w:eastAsia="Times New Roman" w:hAnsi="Calibri" w:cs="Calibri"/>
                <w:i/>
                <w:iCs/>
                <w:sz w:val="20"/>
                <w:szCs w:val="20"/>
                <w:lang w:eastAsia="cs-CZ"/>
              </w:rPr>
            </w:pPr>
            <w:r w:rsidRPr="00D30848">
              <w:rPr>
                <w:rFonts w:ascii="Calibri" w:eastAsia="Times New Roman" w:hAnsi="Calibri" w:cs="Calibri"/>
                <w:i/>
                <w:iCs/>
                <w:sz w:val="20"/>
                <w:szCs w:val="20"/>
                <w:lang w:eastAsia="cs-CZ"/>
              </w:rPr>
              <w:t xml:space="preserve">5901 </w:t>
            </w:r>
            <w:r w:rsidR="00D30848">
              <w:rPr>
                <w:rFonts w:ascii="Calibri" w:eastAsia="Times New Roman" w:hAnsi="Calibri" w:cs="Calibri"/>
                <w:i/>
                <w:iCs/>
                <w:sz w:val="20"/>
                <w:szCs w:val="20"/>
                <w:lang w:eastAsia="cs-CZ"/>
              </w:rPr>
              <w:t>n</w:t>
            </w:r>
            <w:r w:rsidRPr="00D30848">
              <w:rPr>
                <w:rFonts w:ascii="Calibri" w:eastAsia="Times New Roman" w:hAnsi="Calibri" w:cs="Calibri"/>
                <w:i/>
                <w:iCs/>
                <w:sz w:val="20"/>
                <w:szCs w:val="20"/>
                <w:lang w:eastAsia="cs-CZ"/>
              </w:rPr>
              <w:t>especifikované rezervy</w:t>
            </w:r>
          </w:p>
        </w:tc>
        <w:tc>
          <w:tcPr>
            <w:tcW w:w="1276" w:type="dxa"/>
            <w:tcBorders>
              <w:top w:val="nil"/>
              <w:left w:val="nil"/>
              <w:bottom w:val="single" w:sz="4" w:space="0" w:color="auto"/>
              <w:right w:val="single" w:sz="4" w:space="0" w:color="auto"/>
            </w:tcBorders>
            <w:shd w:val="clear" w:color="auto" w:fill="auto"/>
            <w:noWrap/>
            <w:vAlign w:val="bottom"/>
            <w:hideMark/>
          </w:tcPr>
          <w:p w14:paraId="76A0A4E5" w14:textId="77777777" w:rsidR="005C03E7" w:rsidRPr="00D30848" w:rsidRDefault="005C03E7" w:rsidP="005C03E7">
            <w:pPr>
              <w:spacing w:after="0" w:line="240" w:lineRule="auto"/>
              <w:jc w:val="right"/>
              <w:rPr>
                <w:rFonts w:ascii="Calibri" w:eastAsia="Times New Roman" w:hAnsi="Calibri" w:cs="Calibri"/>
                <w:i/>
                <w:iCs/>
                <w:sz w:val="20"/>
                <w:szCs w:val="20"/>
                <w:lang w:eastAsia="cs-CZ"/>
              </w:rPr>
            </w:pPr>
            <w:r w:rsidRPr="00D30848">
              <w:rPr>
                <w:rFonts w:ascii="Calibri" w:eastAsia="Times New Roman" w:hAnsi="Calibri" w:cs="Calibri"/>
                <w:i/>
                <w:iCs/>
                <w:sz w:val="20"/>
                <w:szCs w:val="20"/>
                <w:lang w:eastAsia="cs-CZ"/>
              </w:rPr>
              <w:t>0</w:t>
            </w:r>
          </w:p>
        </w:tc>
        <w:tc>
          <w:tcPr>
            <w:tcW w:w="1559" w:type="dxa"/>
            <w:tcBorders>
              <w:top w:val="nil"/>
              <w:left w:val="nil"/>
              <w:bottom w:val="single" w:sz="4" w:space="0" w:color="auto"/>
              <w:right w:val="single" w:sz="4" w:space="0" w:color="auto"/>
            </w:tcBorders>
            <w:shd w:val="clear" w:color="auto" w:fill="auto"/>
            <w:noWrap/>
            <w:vAlign w:val="bottom"/>
            <w:hideMark/>
          </w:tcPr>
          <w:p w14:paraId="0BE2DC1B" w14:textId="77777777" w:rsidR="005C03E7" w:rsidRPr="00D30848" w:rsidRDefault="005C03E7" w:rsidP="005C03E7">
            <w:pPr>
              <w:spacing w:after="0" w:line="240" w:lineRule="auto"/>
              <w:jc w:val="right"/>
              <w:rPr>
                <w:rFonts w:ascii="Calibri" w:eastAsia="Times New Roman" w:hAnsi="Calibri" w:cs="Calibri"/>
                <w:i/>
                <w:iCs/>
                <w:sz w:val="20"/>
                <w:szCs w:val="20"/>
                <w:lang w:eastAsia="cs-CZ"/>
              </w:rPr>
            </w:pPr>
            <w:r w:rsidRPr="00D30848">
              <w:rPr>
                <w:rFonts w:ascii="Calibri" w:eastAsia="Times New Roman" w:hAnsi="Calibri" w:cs="Calibri"/>
                <w:i/>
                <w:iCs/>
                <w:sz w:val="20"/>
                <w:szCs w:val="20"/>
                <w:lang w:eastAsia="cs-CZ"/>
              </w:rPr>
              <w:t>685 928,56</w:t>
            </w:r>
          </w:p>
        </w:tc>
        <w:tc>
          <w:tcPr>
            <w:tcW w:w="1559" w:type="dxa"/>
            <w:tcBorders>
              <w:top w:val="nil"/>
              <w:left w:val="nil"/>
              <w:bottom w:val="single" w:sz="4" w:space="0" w:color="auto"/>
              <w:right w:val="single" w:sz="4" w:space="0" w:color="auto"/>
            </w:tcBorders>
            <w:shd w:val="clear" w:color="auto" w:fill="auto"/>
            <w:noWrap/>
            <w:vAlign w:val="bottom"/>
            <w:hideMark/>
          </w:tcPr>
          <w:p w14:paraId="1922C104" w14:textId="77777777" w:rsidR="005C03E7" w:rsidRPr="00D30848" w:rsidRDefault="005C03E7" w:rsidP="005C03E7">
            <w:pPr>
              <w:spacing w:after="0" w:line="240" w:lineRule="auto"/>
              <w:jc w:val="right"/>
              <w:rPr>
                <w:rFonts w:ascii="Calibri" w:eastAsia="Times New Roman" w:hAnsi="Calibri" w:cs="Calibri"/>
                <w:i/>
                <w:iCs/>
                <w:sz w:val="20"/>
                <w:szCs w:val="20"/>
                <w:lang w:eastAsia="cs-CZ"/>
              </w:rPr>
            </w:pPr>
            <w:r w:rsidRPr="00D30848">
              <w:rPr>
                <w:rFonts w:ascii="Calibri" w:eastAsia="Times New Roman" w:hAnsi="Calibri" w:cs="Calibri"/>
                <w:i/>
                <w:iCs/>
                <w:sz w:val="20"/>
                <w:szCs w:val="20"/>
                <w:lang w:eastAsia="cs-CZ"/>
              </w:rPr>
              <w:t>0,00</w:t>
            </w:r>
          </w:p>
        </w:tc>
        <w:tc>
          <w:tcPr>
            <w:tcW w:w="709" w:type="dxa"/>
            <w:tcBorders>
              <w:top w:val="nil"/>
              <w:left w:val="nil"/>
              <w:bottom w:val="single" w:sz="4" w:space="0" w:color="auto"/>
              <w:right w:val="single" w:sz="8" w:space="0" w:color="auto"/>
            </w:tcBorders>
            <w:shd w:val="clear" w:color="auto" w:fill="auto"/>
            <w:noWrap/>
            <w:vAlign w:val="bottom"/>
            <w:hideMark/>
          </w:tcPr>
          <w:p w14:paraId="65537BAF" w14:textId="77777777" w:rsidR="005C03E7" w:rsidRPr="00D30848" w:rsidRDefault="005C03E7" w:rsidP="005C03E7">
            <w:pPr>
              <w:spacing w:after="0" w:line="240" w:lineRule="auto"/>
              <w:jc w:val="right"/>
              <w:rPr>
                <w:rFonts w:ascii="Calibri" w:eastAsia="Times New Roman" w:hAnsi="Calibri" w:cs="Calibri"/>
                <w:i/>
                <w:iCs/>
                <w:sz w:val="20"/>
                <w:szCs w:val="20"/>
                <w:lang w:eastAsia="cs-CZ"/>
              </w:rPr>
            </w:pPr>
            <w:r w:rsidRPr="00D30848">
              <w:rPr>
                <w:rFonts w:ascii="Calibri" w:eastAsia="Times New Roman" w:hAnsi="Calibri" w:cs="Calibri"/>
                <w:i/>
                <w:iCs/>
                <w:sz w:val="20"/>
                <w:szCs w:val="20"/>
                <w:lang w:eastAsia="cs-CZ"/>
              </w:rPr>
              <w:t>0,0</w:t>
            </w:r>
          </w:p>
        </w:tc>
      </w:tr>
      <w:tr w:rsidR="005C03E7" w:rsidRPr="005C03E7" w14:paraId="55DE79D7" w14:textId="77777777" w:rsidTr="00593EA0">
        <w:trPr>
          <w:trHeight w:val="300"/>
        </w:trPr>
        <w:tc>
          <w:tcPr>
            <w:tcW w:w="826" w:type="dxa"/>
            <w:tcBorders>
              <w:top w:val="nil"/>
              <w:left w:val="single" w:sz="8" w:space="0" w:color="auto"/>
              <w:bottom w:val="single" w:sz="4" w:space="0" w:color="auto"/>
              <w:right w:val="nil"/>
            </w:tcBorders>
            <w:shd w:val="clear" w:color="auto" w:fill="auto"/>
            <w:noWrap/>
            <w:vAlign w:val="center"/>
            <w:hideMark/>
          </w:tcPr>
          <w:p w14:paraId="3F4976D4" w14:textId="77777777" w:rsidR="005C03E7" w:rsidRPr="005C03E7" w:rsidRDefault="005C03E7" w:rsidP="005C03E7">
            <w:pPr>
              <w:spacing w:after="0" w:line="240" w:lineRule="auto"/>
              <w:jc w:val="center"/>
              <w:rPr>
                <w:rFonts w:ascii="Calibri" w:eastAsia="Times New Roman" w:hAnsi="Calibri" w:cs="Calibri"/>
                <w:sz w:val="20"/>
                <w:szCs w:val="20"/>
                <w:lang w:eastAsia="cs-CZ"/>
              </w:rPr>
            </w:pPr>
            <w:r w:rsidRPr="005C03E7">
              <w:rPr>
                <w:rFonts w:ascii="Calibri" w:eastAsia="Times New Roman" w:hAnsi="Calibri" w:cs="Calibri"/>
                <w:sz w:val="20"/>
                <w:szCs w:val="20"/>
                <w:lang w:eastAsia="cs-CZ"/>
              </w:rPr>
              <w:t>6310</w:t>
            </w:r>
          </w:p>
        </w:tc>
        <w:tc>
          <w:tcPr>
            <w:tcW w:w="4419" w:type="dxa"/>
            <w:tcBorders>
              <w:top w:val="nil"/>
              <w:left w:val="single" w:sz="4" w:space="0" w:color="auto"/>
              <w:bottom w:val="single" w:sz="4" w:space="0" w:color="auto"/>
              <w:right w:val="single" w:sz="4" w:space="0" w:color="auto"/>
            </w:tcBorders>
            <w:shd w:val="clear" w:color="auto" w:fill="auto"/>
            <w:noWrap/>
            <w:vAlign w:val="bottom"/>
            <w:hideMark/>
          </w:tcPr>
          <w:p w14:paraId="00607D4F" w14:textId="77777777" w:rsidR="005C03E7" w:rsidRPr="005C03E7" w:rsidRDefault="005C03E7" w:rsidP="005C03E7">
            <w:pPr>
              <w:spacing w:after="0" w:line="240" w:lineRule="auto"/>
              <w:rPr>
                <w:rFonts w:ascii="Calibri" w:eastAsia="Times New Roman" w:hAnsi="Calibri" w:cs="Calibri"/>
                <w:sz w:val="20"/>
                <w:szCs w:val="20"/>
                <w:lang w:eastAsia="cs-CZ"/>
              </w:rPr>
            </w:pPr>
            <w:r w:rsidRPr="005C03E7">
              <w:rPr>
                <w:rFonts w:ascii="Calibri" w:eastAsia="Times New Roman" w:hAnsi="Calibri" w:cs="Calibri"/>
                <w:sz w:val="20"/>
                <w:szCs w:val="20"/>
                <w:lang w:eastAsia="cs-CZ"/>
              </w:rPr>
              <w:t>Obecné příjmy a výdaje z finančních operací</w:t>
            </w:r>
          </w:p>
        </w:tc>
        <w:tc>
          <w:tcPr>
            <w:tcW w:w="1276" w:type="dxa"/>
            <w:tcBorders>
              <w:top w:val="nil"/>
              <w:left w:val="nil"/>
              <w:bottom w:val="single" w:sz="4" w:space="0" w:color="auto"/>
              <w:right w:val="single" w:sz="4" w:space="0" w:color="auto"/>
            </w:tcBorders>
            <w:shd w:val="clear" w:color="auto" w:fill="auto"/>
            <w:noWrap/>
            <w:vAlign w:val="bottom"/>
            <w:hideMark/>
          </w:tcPr>
          <w:p w14:paraId="10B3EE75" w14:textId="77777777" w:rsidR="005C03E7" w:rsidRPr="005C03E7" w:rsidRDefault="005C03E7" w:rsidP="005C03E7">
            <w:pPr>
              <w:spacing w:after="0" w:line="240" w:lineRule="auto"/>
              <w:jc w:val="right"/>
              <w:rPr>
                <w:rFonts w:ascii="Calibri" w:eastAsia="Times New Roman" w:hAnsi="Calibri" w:cs="Calibri"/>
                <w:sz w:val="20"/>
                <w:szCs w:val="20"/>
                <w:lang w:eastAsia="cs-CZ"/>
              </w:rPr>
            </w:pPr>
            <w:r w:rsidRPr="005C03E7">
              <w:rPr>
                <w:rFonts w:ascii="Calibri" w:eastAsia="Times New Roman" w:hAnsi="Calibri" w:cs="Calibri"/>
                <w:sz w:val="20"/>
                <w:szCs w:val="20"/>
                <w:lang w:eastAsia="cs-CZ"/>
              </w:rPr>
              <w:t>0</w:t>
            </w:r>
          </w:p>
        </w:tc>
        <w:tc>
          <w:tcPr>
            <w:tcW w:w="1559" w:type="dxa"/>
            <w:tcBorders>
              <w:top w:val="nil"/>
              <w:left w:val="nil"/>
              <w:bottom w:val="single" w:sz="4" w:space="0" w:color="auto"/>
              <w:right w:val="single" w:sz="4" w:space="0" w:color="auto"/>
            </w:tcBorders>
            <w:shd w:val="clear" w:color="auto" w:fill="auto"/>
            <w:noWrap/>
            <w:vAlign w:val="bottom"/>
            <w:hideMark/>
          </w:tcPr>
          <w:p w14:paraId="61CFBF2B" w14:textId="77777777" w:rsidR="005C03E7" w:rsidRPr="005C03E7" w:rsidRDefault="005C03E7" w:rsidP="005C03E7">
            <w:pPr>
              <w:spacing w:after="0" w:line="240" w:lineRule="auto"/>
              <w:jc w:val="right"/>
              <w:rPr>
                <w:rFonts w:ascii="Calibri" w:eastAsia="Times New Roman" w:hAnsi="Calibri" w:cs="Calibri"/>
                <w:sz w:val="20"/>
                <w:szCs w:val="20"/>
                <w:lang w:eastAsia="cs-CZ"/>
              </w:rPr>
            </w:pPr>
            <w:r w:rsidRPr="005C03E7">
              <w:rPr>
                <w:rFonts w:ascii="Calibri" w:eastAsia="Times New Roman" w:hAnsi="Calibri" w:cs="Calibri"/>
                <w:sz w:val="20"/>
                <w:szCs w:val="20"/>
                <w:lang w:eastAsia="cs-CZ"/>
              </w:rPr>
              <w:t>20 000,00</w:t>
            </w:r>
          </w:p>
        </w:tc>
        <w:tc>
          <w:tcPr>
            <w:tcW w:w="1559" w:type="dxa"/>
            <w:tcBorders>
              <w:top w:val="nil"/>
              <w:left w:val="nil"/>
              <w:bottom w:val="single" w:sz="4" w:space="0" w:color="auto"/>
              <w:right w:val="single" w:sz="4" w:space="0" w:color="auto"/>
            </w:tcBorders>
            <w:shd w:val="clear" w:color="auto" w:fill="auto"/>
            <w:noWrap/>
            <w:vAlign w:val="bottom"/>
            <w:hideMark/>
          </w:tcPr>
          <w:p w14:paraId="79E5B375" w14:textId="77777777" w:rsidR="005C03E7" w:rsidRPr="005C03E7" w:rsidRDefault="005C03E7" w:rsidP="005C03E7">
            <w:pPr>
              <w:spacing w:after="0" w:line="240" w:lineRule="auto"/>
              <w:jc w:val="right"/>
              <w:rPr>
                <w:rFonts w:ascii="Calibri" w:eastAsia="Times New Roman" w:hAnsi="Calibri" w:cs="Calibri"/>
                <w:sz w:val="20"/>
                <w:szCs w:val="20"/>
                <w:lang w:eastAsia="cs-CZ"/>
              </w:rPr>
            </w:pPr>
            <w:r w:rsidRPr="005C03E7">
              <w:rPr>
                <w:rFonts w:ascii="Calibri" w:eastAsia="Times New Roman" w:hAnsi="Calibri" w:cs="Calibri"/>
                <w:sz w:val="20"/>
                <w:szCs w:val="20"/>
                <w:lang w:eastAsia="cs-CZ"/>
              </w:rPr>
              <w:t>3 114,00</w:t>
            </w:r>
          </w:p>
        </w:tc>
        <w:tc>
          <w:tcPr>
            <w:tcW w:w="709" w:type="dxa"/>
            <w:tcBorders>
              <w:top w:val="nil"/>
              <w:left w:val="nil"/>
              <w:bottom w:val="single" w:sz="4" w:space="0" w:color="auto"/>
              <w:right w:val="single" w:sz="8" w:space="0" w:color="auto"/>
            </w:tcBorders>
            <w:shd w:val="clear" w:color="auto" w:fill="auto"/>
            <w:noWrap/>
            <w:vAlign w:val="bottom"/>
            <w:hideMark/>
          </w:tcPr>
          <w:p w14:paraId="7C2295EC" w14:textId="77777777" w:rsidR="005C03E7" w:rsidRPr="005C03E7" w:rsidRDefault="005C03E7" w:rsidP="005C03E7">
            <w:pPr>
              <w:spacing w:after="0" w:line="240" w:lineRule="auto"/>
              <w:jc w:val="right"/>
              <w:rPr>
                <w:rFonts w:ascii="Calibri" w:eastAsia="Times New Roman" w:hAnsi="Calibri" w:cs="Calibri"/>
                <w:sz w:val="20"/>
                <w:szCs w:val="20"/>
                <w:lang w:eastAsia="cs-CZ"/>
              </w:rPr>
            </w:pPr>
            <w:r w:rsidRPr="005C03E7">
              <w:rPr>
                <w:rFonts w:ascii="Calibri" w:eastAsia="Times New Roman" w:hAnsi="Calibri" w:cs="Calibri"/>
                <w:sz w:val="20"/>
                <w:szCs w:val="20"/>
                <w:lang w:eastAsia="cs-CZ"/>
              </w:rPr>
              <w:t>15,6</w:t>
            </w:r>
          </w:p>
        </w:tc>
      </w:tr>
      <w:tr w:rsidR="005C03E7" w:rsidRPr="005C03E7" w14:paraId="44825264" w14:textId="77777777" w:rsidTr="00593EA0">
        <w:trPr>
          <w:trHeight w:val="300"/>
        </w:trPr>
        <w:tc>
          <w:tcPr>
            <w:tcW w:w="826" w:type="dxa"/>
            <w:tcBorders>
              <w:top w:val="nil"/>
              <w:left w:val="single" w:sz="8" w:space="0" w:color="auto"/>
              <w:bottom w:val="single" w:sz="4" w:space="0" w:color="auto"/>
              <w:right w:val="nil"/>
            </w:tcBorders>
            <w:shd w:val="clear" w:color="auto" w:fill="auto"/>
            <w:noWrap/>
            <w:vAlign w:val="center"/>
            <w:hideMark/>
          </w:tcPr>
          <w:p w14:paraId="52F517BA" w14:textId="77777777" w:rsidR="005C03E7" w:rsidRPr="005C03E7" w:rsidRDefault="005C03E7" w:rsidP="005C03E7">
            <w:pPr>
              <w:spacing w:after="0" w:line="240" w:lineRule="auto"/>
              <w:jc w:val="center"/>
              <w:rPr>
                <w:rFonts w:ascii="Calibri" w:eastAsia="Times New Roman" w:hAnsi="Calibri" w:cs="Calibri"/>
                <w:sz w:val="20"/>
                <w:szCs w:val="20"/>
                <w:lang w:eastAsia="cs-CZ"/>
              </w:rPr>
            </w:pPr>
            <w:r w:rsidRPr="005C03E7">
              <w:rPr>
                <w:rFonts w:ascii="Calibri" w:eastAsia="Times New Roman" w:hAnsi="Calibri" w:cs="Calibri"/>
                <w:sz w:val="20"/>
                <w:szCs w:val="20"/>
                <w:lang w:eastAsia="cs-CZ"/>
              </w:rPr>
              <w:t> </w:t>
            </w:r>
          </w:p>
        </w:tc>
        <w:tc>
          <w:tcPr>
            <w:tcW w:w="9522" w:type="dxa"/>
            <w:gridSpan w:val="5"/>
            <w:tcBorders>
              <w:top w:val="single" w:sz="4" w:space="0" w:color="auto"/>
              <w:left w:val="single" w:sz="4" w:space="0" w:color="auto"/>
              <w:bottom w:val="single" w:sz="4" w:space="0" w:color="auto"/>
              <w:right w:val="single" w:sz="8" w:space="0" w:color="000000"/>
            </w:tcBorders>
            <w:shd w:val="clear" w:color="auto" w:fill="auto"/>
            <w:noWrap/>
            <w:vAlign w:val="center"/>
            <w:hideMark/>
          </w:tcPr>
          <w:p w14:paraId="1F9C269F" w14:textId="77777777" w:rsidR="005C03E7" w:rsidRPr="00D30848" w:rsidRDefault="005C03E7" w:rsidP="005C03E7">
            <w:pPr>
              <w:spacing w:after="0" w:line="240" w:lineRule="auto"/>
              <w:rPr>
                <w:rFonts w:ascii="Calibri" w:eastAsia="Times New Roman" w:hAnsi="Calibri" w:cs="Calibri"/>
                <w:i/>
                <w:iCs/>
                <w:sz w:val="20"/>
                <w:szCs w:val="20"/>
                <w:lang w:eastAsia="cs-CZ"/>
              </w:rPr>
            </w:pPr>
            <w:r w:rsidRPr="00D30848">
              <w:rPr>
                <w:rFonts w:ascii="Calibri" w:eastAsia="Times New Roman" w:hAnsi="Calibri" w:cs="Calibri"/>
                <w:i/>
                <w:iCs/>
                <w:sz w:val="20"/>
                <w:szCs w:val="20"/>
                <w:lang w:eastAsia="cs-CZ"/>
              </w:rPr>
              <w:t>z toho:</w:t>
            </w:r>
          </w:p>
        </w:tc>
      </w:tr>
      <w:tr w:rsidR="005C03E7" w:rsidRPr="005C03E7" w14:paraId="701B5ED5" w14:textId="77777777" w:rsidTr="00593EA0">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569F9BBF" w14:textId="77777777" w:rsidR="005C03E7" w:rsidRPr="005C03E7" w:rsidRDefault="005C03E7" w:rsidP="005C03E7">
            <w:pPr>
              <w:spacing w:after="0" w:line="240" w:lineRule="auto"/>
              <w:rPr>
                <w:rFonts w:ascii="Calibri" w:eastAsia="Times New Roman" w:hAnsi="Calibri" w:cs="Calibri"/>
                <w:sz w:val="20"/>
                <w:szCs w:val="20"/>
                <w:lang w:eastAsia="cs-CZ"/>
              </w:rPr>
            </w:pPr>
            <w:r w:rsidRPr="005C03E7">
              <w:rPr>
                <w:rFonts w:ascii="Calibri" w:eastAsia="Times New Roman" w:hAnsi="Calibri" w:cs="Calibri"/>
                <w:sz w:val="20"/>
                <w:szCs w:val="20"/>
                <w:lang w:eastAsia="cs-CZ"/>
              </w:rPr>
              <w:t> </w:t>
            </w:r>
          </w:p>
        </w:tc>
        <w:tc>
          <w:tcPr>
            <w:tcW w:w="4419" w:type="dxa"/>
            <w:tcBorders>
              <w:top w:val="nil"/>
              <w:left w:val="nil"/>
              <w:bottom w:val="single" w:sz="4" w:space="0" w:color="auto"/>
              <w:right w:val="nil"/>
            </w:tcBorders>
            <w:shd w:val="clear" w:color="auto" w:fill="auto"/>
            <w:noWrap/>
            <w:vAlign w:val="center"/>
            <w:hideMark/>
          </w:tcPr>
          <w:p w14:paraId="4426CAEC" w14:textId="1D48D01E" w:rsidR="005C03E7" w:rsidRPr="00D30848" w:rsidRDefault="005C03E7" w:rsidP="005C03E7">
            <w:pPr>
              <w:spacing w:after="0" w:line="240" w:lineRule="auto"/>
              <w:rPr>
                <w:rFonts w:ascii="Calibri" w:eastAsia="Times New Roman" w:hAnsi="Calibri" w:cs="Calibri"/>
                <w:i/>
                <w:iCs/>
                <w:sz w:val="20"/>
                <w:szCs w:val="20"/>
                <w:lang w:eastAsia="cs-CZ"/>
              </w:rPr>
            </w:pPr>
            <w:r w:rsidRPr="00D30848">
              <w:rPr>
                <w:rFonts w:ascii="Calibri" w:eastAsia="Times New Roman" w:hAnsi="Calibri" w:cs="Calibri"/>
                <w:i/>
                <w:iCs/>
                <w:sz w:val="20"/>
                <w:szCs w:val="20"/>
                <w:lang w:eastAsia="cs-CZ"/>
              </w:rPr>
              <w:t xml:space="preserve">5163 </w:t>
            </w:r>
            <w:r w:rsidR="00D30848">
              <w:rPr>
                <w:rFonts w:ascii="Calibri" w:eastAsia="Times New Roman" w:hAnsi="Calibri" w:cs="Calibri"/>
                <w:i/>
                <w:iCs/>
                <w:sz w:val="20"/>
                <w:szCs w:val="20"/>
                <w:lang w:eastAsia="cs-CZ"/>
              </w:rPr>
              <w:t>s</w:t>
            </w:r>
            <w:r w:rsidRPr="00D30848">
              <w:rPr>
                <w:rFonts w:ascii="Calibri" w:eastAsia="Times New Roman" w:hAnsi="Calibri" w:cs="Calibri"/>
                <w:i/>
                <w:iCs/>
                <w:sz w:val="20"/>
                <w:szCs w:val="20"/>
                <w:lang w:eastAsia="cs-CZ"/>
              </w:rPr>
              <w:t>lužby peněžních ústavů</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1F43A617" w14:textId="77777777" w:rsidR="005C03E7" w:rsidRPr="00D30848" w:rsidRDefault="005C03E7" w:rsidP="005C03E7">
            <w:pPr>
              <w:spacing w:after="0" w:line="240" w:lineRule="auto"/>
              <w:jc w:val="right"/>
              <w:rPr>
                <w:rFonts w:ascii="Calibri" w:eastAsia="Times New Roman" w:hAnsi="Calibri" w:cs="Calibri"/>
                <w:i/>
                <w:iCs/>
                <w:sz w:val="20"/>
                <w:szCs w:val="20"/>
                <w:lang w:eastAsia="cs-CZ"/>
              </w:rPr>
            </w:pPr>
            <w:r w:rsidRPr="00D30848">
              <w:rPr>
                <w:rFonts w:ascii="Calibri" w:eastAsia="Times New Roman" w:hAnsi="Calibri" w:cs="Calibri"/>
                <w:i/>
                <w:iCs/>
                <w:sz w:val="20"/>
                <w:szCs w:val="20"/>
                <w:lang w:eastAsia="cs-CZ"/>
              </w:rPr>
              <w:t>0</w:t>
            </w:r>
          </w:p>
        </w:tc>
        <w:tc>
          <w:tcPr>
            <w:tcW w:w="1559" w:type="dxa"/>
            <w:tcBorders>
              <w:top w:val="nil"/>
              <w:left w:val="nil"/>
              <w:bottom w:val="single" w:sz="4" w:space="0" w:color="auto"/>
              <w:right w:val="single" w:sz="4" w:space="0" w:color="auto"/>
            </w:tcBorders>
            <w:shd w:val="clear" w:color="auto" w:fill="auto"/>
            <w:noWrap/>
            <w:vAlign w:val="center"/>
            <w:hideMark/>
          </w:tcPr>
          <w:p w14:paraId="0147787B" w14:textId="77777777" w:rsidR="005C03E7" w:rsidRPr="00D30848" w:rsidRDefault="005C03E7" w:rsidP="005C03E7">
            <w:pPr>
              <w:spacing w:after="0" w:line="240" w:lineRule="auto"/>
              <w:jc w:val="right"/>
              <w:rPr>
                <w:rFonts w:ascii="Calibri" w:eastAsia="Times New Roman" w:hAnsi="Calibri" w:cs="Calibri"/>
                <w:i/>
                <w:iCs/>
                <w:sz w:val="20"/>
                <w:szCs w:val="20"/>
                <w:lang w:eastAsia="cs-CZ"/>
              </w:rPr>
            </w:pPr>
            <w:r w:rsidRPr="00D30848">
              <w:rPr>
                <w:rFonts w:ascii="Calibri" w:eastAsia="Times New Roman" w:hAnsi="Calibri" w:cs="Calibri"/>
                <w:i/>
                <w:iCs/>
                <w:sz w:val="20"/>
                <w:szCs w:val="20"/>
                <w:lang w:eastAsia="cs-CZ"/>
              </w:rPr>
              <w:t>20 000,00</w:t>
            </w:r>
          </w:p>
        </w:tc>
        <w:tc>
          <w:tcPr>
            <w:tcW w:w="1559" w:type="dxa"/>
            <w:tcBorders>
              <w:top w:val="nil"/>
              <w:left w:val="nil"/>
              <w:bottom w:val="single" w:sz="4" w:space="0" w:color="auto"/>
              <w:right w:val="nil"/>
            </w:tcBorders>
            <w:shd w:val="clear" w:color="FFFFCC" w:fill="FFFFFF"/>
            <w:noWrap/>
            <w:vAlign w:val="bottom"/>
            <w:hideMark/>
          </w:tcPr>
          <w:p w14:paraId="2DE5BC09" w14:textId="77777777" w:rsidR="005C03E7" w:rsidRPr="00D30848" w:rsidRDefault="005C03E7" w:rsidP="005C03E7">
            <w:pPr>
              <w:spacing w:after="0" w:line="240" w:lineRule="auto"/>
              <w:jc w:val="right"/>
              <w:rPr>
                <w:rFonts w:ascii="Calibri" w:eastAsia="Times New Roman" w:hAnsi="Calibri" w:cs="Calibri"/>
                <w:i/>
                <w:iCs/>
                <w:sz w:val="20"/>
                <w:szCs w:val="20"/>
                <w:lang w:eastAsia="cs-CZ"/>
              </w:rPr>
            </w:pPr>
            <w:r w:rsidRPr="00D30848">
              <w:rPr>
                <w:rFonts w:ascii="Calibri" w:eastAsia="Times New Roman" w:hAnsi="Calibri" w:cs="Calibri"/>
                <w:i/>
                <w:iCs/>
                <w:sz w:val="20"/>
                <w:szCs w:val="20"/>
                <w:lang w:eastAsia="cs-CZ"/>
              </w:rPr>
              <w:t>3 114,00</w:t>
            </w:r>
          </w:p>
        </w:tc>
        <w:tc>
          <w:tcPr>
            <w:tcW w:w="709" w:type="dxa"/>
            <w:tcBorders>
              <w:top w:val="nil"/>
              <w:left w:val="single" w:sz="4" w:space="0" w:color="auto"/>
              <w:bottom w:val="single" w:sz="4" w:space="0" w:color="auto"/>
              <w:right w:val="single" w:sz="8" w:space="0" w:color="auto"/>
            </w:tcBorders>
            <w:shd w:val="clear" w:color="auto" w:fill="auto"/>
            <w:noWrap/>
            <w:vAlign w:val="bottom"/>
            <w:hideMark/>
          </w:tcPr>
          <w:p w14:paraId="616B6555" w14:textId="77777777" w:rsidR="005C03E7" w:rsidRPr="00D30848" w:rsidRDefault="005C03E7" w:rsidP="005C03E7">
            <w:pPr>
              <w:spacing w:after="0" w:line="240" w:lineRule="auto"/>
              <w:jc w:val="right"/>
              <w:rPr>
                <w:rFonts w:ascii="Calibri" w:eastAsia="Times New Roman" w:hAnsi="Calibri" w:cs="Calibri"/>
                <w:i/>
                <w:iCs/>
                <w:sz w:val="20"/>
                <w:szCs w:val="20"/>
                <w:lang w:eastAsia="cs-CZ"/>
              </w:rPr>
            </w:pPr>
            <w:r w:rsidRPr="00D30848">
              <w:rPr>
                <w:rFonts w:ascii="Calibri" w:eastAsia="Times New Roman" w:hAnsi="Calibri" w:cs="Calibri"/>
                <w:i/>
                <w:iCs/>
                <w:sz w:val="20"/>
                <w:szCs w:val="20"/>
                <w:lang w:eastAsia="cs-CZ"/>
              </w:rPr>
              <w:t>15,6</w:t>
            </w:r>
          </w:p>
        </w:tc>
      </w:tr>
      <w:tr w:rsidR="005C03E7" w:rsidRPr="005C03E7" w14:paraId="48C6BA59" w14:textId="77777777" w:rsidTr="00593EA0">
        <w:trPr>
          <w:trHeight w:val="300"/>
        </w:trPr>
        <w:tc>
          <w:tcPr>
            <w:tcW w:w="826" w:type="dxa"/>
            <w:tcBorders>
              <w:top w:val="nil"/>
              <w:left w:val="single" w:sz="8" w:space="0" w:color="auto"/>
              <w:bottom w:val="single" w:sz="4" w:space="0" w:color="auto"/>
              <w:right w:val="nil"/>
            </w:tcBorders>
            <w:shd w:val="clear" w:color="auto" w:fill="auto"/>
            <w:noWrap/>
            <w:vAlign w:val="center"/>
            <w:hideMark/>
          </w:tcPr>
          <w:p w14:paraId="6511F794" w14:textId="77777777" w:rsidR="005C03E7" w:rsidRPr="005C03E7" w:rsidRDefault="005C03E7" w:rsidP="005C03E7">
            <w:pPr>
              <w:spacing w:after="0" w:line="240" w:lineRule="auto"/>
              <w:jc w:val="center"/>
              <w:rPr>
                <w:rFonts w:ascii="Calibri" w:eastAsia="Times New Roman" w:hAnsi="Calibri" w:cs="Calibri"/>
                <w:sz w:val="20"/>
                <w:szCs w:val="20"/>
                <w:lang w:eastAsia="cs-CZ"/>
              </w:rPr>
            </w:pPr>
            <w:r w:rsidRPr="005C03E7">
              <w:rPr>
                <w:rFonts w:ascii="Calibri" w:eastAsia="Times New Roman" w:hAnsi="Calibri" w:cs="Calibri"/>
                <w:sz w:val="20"/>
                <w:szCs w:val="20"/>
                <w:lang w:eastAsia="cs-CZ"/>
              </w:rPr>
              <w:t>6330</w:t>
            </w:r>
          </w:p>
        </w:tc>
        <w:tc>
          <w:tcPr>
            <w:tcW w:w="4419" w:type="dxa"/>
            <w:tcBorders>
              <w:top w:val="nil"/>
              <w:left w:val="single" w:sz="4" w:space="0" w:color="auto"/>
              <w:bottom w:val="single" w:sz="4" w:space="0" w:color="auto"/>
              <w:right w:val="nil"/>
            </w:tcBorders>
            <w:shd w:val="clear" w:color="auto" w:fill="auto"/>
            <w:noWrap/>
            <w:vAlign w:val="bottom"/>
            <w:hideMark/>
          </w:tcPr>
          <w:p w14:paraId="7D53DFAC" w14:textId="77777777" w:rsidR="005C03E7" w:rsidRPr="005C03E7" w:rsidRDefault="005C03E7" w:rsidP="005C03E7">
            <w:pPr>
              <w:spacing w:after="0" w:line="240" w:lineRule="auto"/>
              <w:rPr>
                <w:rFonts w:ascii="Calibri" w:eastAsia="Times New Roman" w:hAnsi="Calibri" w:cs="Calibri"/>
                <w:sz w:val="20"/>
                <w:szCs w:val="20"/>
                <w:lang w:eastAsia="cs-CZ"/>
              </w:rPr>
            </w:pPr>
            <w:r w:rsidRPr="005C03E7">
              <w:rPr>
                <w:rFonts w:ascii="Calibri" w:eastAsia="Times New Roman" w:hAnsi="Calibri" w:cs="Calibri"/>
                <w:sz w:val="20"/>
                <w:szCs w:val="20"/>
                <w:lang w:eastAsia="cs-CZ"/>
              </w:rPr>
              <w:t>Převody vlastním fondům v rozpočtech územní úrovně</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15B8D3CE" w14:textId="77777777" w:rsidR="005C03E7" w:rsidRPr="005C03E7" w:rsidRDefault="005C03E7" w:rsidP="005C03E7">
            <w:pPr>
              <w:spacing w:after="0" w:line="240" w:lineRule="auto"/>
              <w:jc w:val="right"/>
              <w:rPr>
                <w:rFonts w:ascii="Calibri" w:eastAsia="Times New Roman" w:hAnsi="Calibri" w:cs="Calibri"/>
                <w:sz w:val="20"/>
                <w:szCs w:val="20"/>
                <w:lang w:eastAsia="cs-CZ"/>
              </w:rPr>
            </w:pPr>
            <w:r w:rsidRPr="005C03E7">
              <w:rPr>
                <w:rFonts w:ascii="Calibri" w:eastAsia="Times New Roman" w:hAnsi="Calibri" w:cs="Calibri"/>
                <w:sz w:val="20"/>
                <w:szCs w:val="20"/>
                <w:lang w:eastAsia="cs-CZ"/>
              </w:rPr>
              <w:t>0</w:t>
            </w:r>
          </w:p>
        </w:tc>
        <w:tc>
          <w:tcPr>
            <w:tcW w:w="1559" w:type="dxa"/>
            <w:tcBorders>
              <w:top w:val="nil"/>
              <w:left w:val="nil"/>
              <w:bottom w:val="single" w:sz="4" w:space="0" w:color="auto"/>
              <w:right w:val="single" w:sz="4" w:space="0" w:color="auto"/>
            </w:tcBorders>
            <w:shd w:val="clear" w:color="auto" w:fill="auto"/>
            <w:noWrap/>
            <w:vAlign w:val="bottom"/>
            <w:hideMark/>
          </w:tcPr>
          <w:p w14:paraId="6EA2454C" w14:textId="77777777" w:rsidR="005C03E7" w:rsidRPr="005C03E7" w:rsidRDefault="005C03E7" w:rsidP="005C03E7">
            <w:pPr>
              <w:spacing w:after="0" w:line="240" w:lineRule="auto"/>
              <w:jc w:val="right"/>
              <w:rPr>
                <w:rFonts w:ascii="Calibri" w:eastAsia="Times New Roman" w:hAnsi="Calibri" w:cs="Calibri"/>
                <w:sz w:val="20"/>
                <w:szCs w:val="20"/>
                <w:lang w:eastAsia="cs-CZ"/>
              </w:rPr>
            </w:pPr>
            <w:r w:rsidRPr="005C03E7">
              <w:rPr>
                <w:rFonts w:ascii="Calibri" w:eastAsia="Times New Roman" w:hAnsi="Calibri" w:cs="Calibri"/>
                <w:sz w:val="20"/>
                <w:szCs w:val="20"/>
                <w:lang w:eastAsia="cs-CZ"/>
              </w:rPr>
              <w:t>1 080 000,00</w:t>
            </w:r>
          </w:p>
        </w:tc>
        <w:tc>
          <w:tcPr>
            <w:tcW w:w="1559" w:type="dxa"/>
            <w:tcBorders>
              <w:top w:val="nil"/>
              <w:left w:val="nil"/>
              <w:bottom w:val="single" w:sz="4" w:space="0" w:color="auto"/>
              <w:right w:val="single" w:sz="4" w:space="0" w:color="auto"/>
            </w:tcBorders>
            <w:shd w:val="clear" w:color="auto" w:fill="auto"/>
            <w:noWrap/>
            <w:vAlign w:val="bottom"/>
            <w:hideMark/>
          </w:tcPr>
          <w:p w14:paraId="62496F0A" w14:textId="77777777" w:rsidR="005C03E7" w:rsidRPr="005C03E7" w:rsidRDefault="005C03E7" w:rsidP="005C03E7">
            <w:pPr>
              <w:spacing w:after="0" w:line="240" w:lineRule="auto"/>
              <w:jc w:val="right"/>
              <w:rPr>
                <w:rFonts w:ascii="Calibri" w:eastAsia="Times New Roman" w:hAnsi="Calibri" w:cs="Calibri"/>
                <w:sz w:val="20"/>
                <w:szCs w:val="20"/>
                <w:lang w:eastAsia="cs-CZ"/>
              </w:rPr>
            </w:pPr>
            <w:r w:rsidRPr="005C03E7">
              <w:rPr>
                <w:rFonts w:ascii="Calibri" w:eastAsia="Times New Roman" w:hAnsi="Calibri" w:cs="Calibri"/>
                <w:sz w:val="20"/>
                <w:szCs w:val="20"/>
                <w:lang w:eastAsia="cs-CZ"/>
              </w:rPr>
              <w:t>1 068 744,00</w:t>
            </w:r>
          </w:p>
        </w:tc>
        <w:tc>
          <w:tcPr>
            <w:tcW w:w="709" w:type="dxa"/>
            <w:tcBorders>
              <w:top w:val="nil"/>
              <w:left w:val="nil"/>
              <w:bottom w:val="single" w:sz="4" w:space="0" w:color="auto"/>
              <w:right w:val="single" w:sz="8" w:space="0" w:color="auto"/>
            </w:tcBorders>
            <w:shd w:val="clear" w:color="auto" w:fill="auto"/>
            <w:noWrap/>
            <w:vAlign w:val="bottom"/>
            <w:hideMark/>
          </w:tcPr>
          <w:p w14:paraId="3635CB58" w14:textId="77777777" w:rsidR="005C03E7" w:rsidRPr="005C03E7" w:rsidRDefault="005C03E7" w:rsidP="005C03E7">
            <w:pPr>
              <w:spacing w:after="0" w:line="240" w:lineRule="auto"/>
              <w:jc w:val="right"/>
              <w:rPr>
                <w:rFonts w:ascii="Calibri" w:eastAsia="Times New Roman" w:hAnsi="Calibri" w:cs="Calibri"/>
                <w:sz w:val="20"/>
                <w:szCs w:val="20"/>
                <w:lang w:eastAsia="cs-CZ"/>
              </w:rPr>
            </w:pPr>
            <w:r w:rsidRPr="005C03E7">
              <w:rPr>
                <w:rFonts w:ascii="Calibri" w:eastAsia="Times New Roman" w:hAnsi="Calibri" w:cs="Calibri"/>
                <w:sz w:val="20"/>
                <w:szCs w:val="20"/>
                <w:lang w:eastAsia="cs-CZ"/>
              </w:rPr>
              <w:t>99,0</w:t>
            </w:r>
          </w:p>
        </w:tc>
      </w:tr>
      <w:tr w:rsidR="005C03E7" w:rsidRPr="005C03E7" w14:paraId="49056882" w14:textId="77777777" w:rsidTr="00593EA0">
        <w:trPr>
          <w:trHeight w:val="300"/>
        </w:trPr>
        <w:tc>
          <w:tcPr>
            <w:tcW w:w="826" w:type="dxa"/>
            <w:tcBorders>
              <w:top w:val="nil"/>
              <w:left w:val="single" w:sz="8" w:space="0" w:color="auto"/>
              <w:bottom w:val="nil"/>
              <w:right w:val="nil"/>
            </w:tcBorders>
            <w:shd w:val="clear" w:color="auto" w:fill="auto"/>
            <w:noWrap/>
            <w:vAlign w:val="center"/>
            <w:hideMark/>
          </w:tcPr>
          <w:p w14:paraId="0AE7B7D6" w14:textId="77777777" w:rsidR="005C03E7" w:rsidRPr="005C03E7" w:rsidRDefault="005C03E7" w:rsidP="005C03E7">
            <w:pPr>
              <w:spacing w:after="0" w:line="240" w:lineRule="auto"/>
              <w:jc w:val="center"/>
              <w:rPr>
                <w:rFonts w:ascii="Calibri" w:eastAsia="Times New Roman" w:hAnsi="Calibri" w:cs="Calibri"/>
                <w:sz w:val="20"/>
                <w:szCs w:val="20"/>
                <w:lang w:eastAsia="cs-CZ"/>
              </w:rPr>
            </w:pPr>
            <w:r w:rsidRPr="005C03E7">
              <w:rPr>
                <w:rFonts w:ascii="Calibri" w:eastAsia="Times New Roman" w:hAnsi="Calibri" w:cs="Calibri"/>
                <w:sz w:val="20"/>
                <w:szCs w:val="20"/>
                <w:lang w:eastAsia="cs-CZ"/>
              </w:rPr>
              <w:t> </w:t>
            </w:r>
          </w:p>
        </w:tc>
        <w:tc>
          <w:tcPr>
            <w:tcW w:w="9522" w:type="dxa"/>
            <w:gridSpan w:val="5"/>
            <w:tcBorders>
              <w:top w:val="single" w:sz="4" w:space="0" w:color="auto"/>
              <w:left w:val="single" w:sz="4" w:space="0" w:color="auto"/>
              <w:bottom w:val="single" w:sz="4" w:space="0" w:color="auto"/>
              <w:right w:val="single" w:sz="8" w:space="0" w:color="000000"/>
            </w:tcBorders>
            <w:shd w:val="clear" w:color="auto" w:fill="auto"/>
            <w:noWrap/>
            <w:vAlign w:val="center"/>
            <w:hideMark/>
          </w:tcPr>
          <w:p w14:paraId="76843580" w14:textId="77777777" w:rsidR="005C03E7" w:rsidRPr="00D30848" w:rsidRDefault="005C03E7" w:rsidP="005C03E7">
            <w:pPr>
              <w:spacing w:after="0" w:line="240" w:lineRule="auto"/>
              <w:rPr>
                <w:rFonts w:ascii="Calibri" w:eastAsia="Times New Roman" w:hAnsi="Calibri" w:cs="Calibri"/>
                <w:i/>
                <w:iCs/>
                <w:sz w:val="20"/>
                <w:szCs w:val="20"/>
                <w:lang w:eastAsia="cs-CZ"/>
              </w:rPr>
            </w:pPr>
            <w:r w:rsidRPr="00D30848">
              <w:rPr>
                <w:rFonts w:ascii="Calibri" w:eastAsia="Times New Roman" w:hAnsi="Calibri" w:cs="Calibri"/>
                <w:i/>
                <w:iCs/>
                <w:sz w:val="20"/>
                <w:szCs w:val="20"/>
                <w:lang w:eastAsia="cs-CZ"/>
              </w:rPr>
              <w:t>z toho:</w:t>
            </w:r>
          </w:p>
        </w:tc>
      </w:tr>
      <w:tr w:rsidR="005C03E7" w:rsidRPr="005C03E7" w14:paraId="15507973" w14:textId="77777777" w:rsidTr="00593EA0">
        <w:trPr>
          <w:trHeight w:val="315"/>
        </w:trPr>
        <w:tc>
          <w:tcPr>
            <w:tcW w:w="826" w:type="dxa"/>
            <w:tcBorders>
              <w:top w:val="single" w:sz="4" w:space="0" w:color="auto"/>
              <w:left w:val="single" w:sz="8" w:space="0" w:color="auto"/>
              <w:bottom w:val="nil"/>
              <w:right w:val="single" w:sz="4" w:space="0" w:color="auto"/>
            </w:tcBorders>
            <w:shd w:val="clear" w:color="auto" w:fill="auto"/>
            <w:noWrap/>
            <w:vAlign w:val="center"/>
            <w:hideMark/>
          </w:tcPr>
          <w:p w14:paraId="6F872A8D" w14:textId="77777777" w:rsidR="005C03E7" w:rsidRPr="005C03E7" w:rsidRDefault="005C03E7" w:rsidP="005C03E7">
            <w:pPr>
              <w:spacing w:after="0" w:line="240" w:lineRule="auto"/>
              <w:rPr>
                <w:rFonts w:ascii="Calibri" w:eastAsia="Times New Roman" w:hAnsi="Calibri" w:cs="Calibri"/>
                <w:sz w:val="20"/>
                <w:szCs w:val="20"/>
                <w:lang w:eastAsia="cs-CZ"/>
              </w:rPr>
            </w:pPr>
            <w:r w:rsidRPr="005C03E7">
              <w:rPr>
                <w:rFonts w:ascii="Calibri" w:eastAsia="Times New Roman" w:hAnsi="Calibri" w:cs="Calibri"/>
                <w:sz w:val="20"/>
                <w:szCs w:val="20"/>
                <w:lang w:eastAsia="cs-CZ"/>
              </w:rPr>
              <w:t> </w:t>
            </w:r>
          </w:p>
        </w:tc>
        <w:tc>
          <w:tcPr>
            <w:tcW w:w="4419" w:type="dxa"/>
            <w:tcBorders>
              <w:top w:val="nil"/>
              <w:left w:val="nil"/>
              <w:bottom w:val="single" w:sz="8" w:space="0" w:color="auto"/>
              <w:right w:val="nil"/>
            </w:tcBorders>
            <w:shd w:val="clear" w:color="auto" w:fill="auto"/>
            <w:noWrap/>
            <w:vAlign w:val="center"/>
            <w:hideMark/>
          </w:tcPr>
          <w:p w14:paraId="2F784F92" w14:textId="6D39D1C7" w:rsidR="005C03E7" w:rsidRPr="00D30848" w:rsidRDefault="005C03E7" w:rsidP="005C03E7">
            <w:pPr>
              <w:spacing w:after="0" w:line="240" w:lineRule="auto"/>
              <w:rPr>
                <w:rFonts w:ascii="Calibri" w:eastAsia="Times New Roman" w:hAnsi="Calibri" w:cs="Calibri"/>
                <w:i/>
                <w:iCs/>
                <w:sz w:val="20"/>
                <w:szCs w:val="20"/>
                <w:lang w:eastAsia="cs-CZ"/>
              </w:rPr>
            </w:pPr>
            <w:r w:rsidRPr="00D30848">
              <w:rPr>
                <w:rFonts w:ascii="Calibri" w:eastAsia="Times New Roman" w:hAnsi="Calibri" w:cs="Calibri"/>
                <w:i/>
                <w:iCs/>
                <w:sz w:val="20"/>
                <w:szCs w:val="20"/>
                <w:lang w:eastAsia="cs-CZ"/>
              </w:rPr>
              <w:t xml:space="preserve">5343 </w:t>
            </w:r>
            <w:r w:rsidR="00D30848">
              <w:rPr>
                <w:rFonts w:ascii="Calibri" w:eastAsia="Times New Roman" w:hAnsi="Calibri" w:cs="Calibri"/>
                <w:i/>
                <w:iCs/>
                <w:sz w:val="20"/>
                <w:szCs w:val="20"/>
                <w:lang w:eastAsia="cs-CZ"/>
              </w:rPr>
              <w:t>v</w:t>
            </w:r>
            <w:r w:rsidRPr="00D30848">
              <w:rPr>
                <w:rFonts w:ascii="Calibri" w:eastAsia="Times New Roman" w:hAnsi="Calibri" w:cs="Calibri"/>
                <w:i/>
                <w:iCs/>
                <w:sz w:val="20"/>
                <w:szCs w:val="20"/>
                <w:lang w:eastAsia="cs-CZ"/>
              </w:rPr>
              <w:t>ypořádání za r. 2020 se Středočeským krajem</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359160B1" w14:textId="77777777" w:rsidR="005C03E7" w:rsidRPr="00D30848" w:rsidRDefault="005C03E7" w:rsidP="005C03E7">
            <w:pPr>
              <w:spacing w:after="0" w:line="240" w:lineRule="auto"/>
              <w:jc w:val="right"/>
              <w:rPr>
                <w:rFonts w:ascii="Calibri" w:eastAsia="Times New Roman" w:hAnsi="Calibri" w:cs="Calibri"/>
                <w:i/>
                <w:iCs/>
                <w:sz w:val="20"/>
                <w:szCs w:val="20"/>
                <w:lang w:eastAsia="cs-CZ"/>
              </w:rPr>
            </w:pPr>
            <w:r w:rsidRPr="00D30848">
              <w:rPr>
                <w:rFonts w:ascii="Calibri" w:eastAsia="Times New Roman" w:hAnsi="Calibri" w:cs="Calibri"/>
                <w:i/>
                <w:iCs/>
                <w:sz w:val="20"/>
                <w:szCs w:val="20"/>
                <w:lang w:eastAsia="cs-CZ"/>
              </w:rPr>
              <w:t>0</w:t>
            </w:r>
          </w:p>
        </w:tc>
        <w:tc>
          <w:tcPr>
            <w:tcW w:w="1559" w:type="dxa"/>
            <w:tcBorders>
              <w:top w:val="nil"/>
              <w:left w:val="nil"/>
              <w:bottom w:val="single" w:sz="4" w:space="0" w:color="auto"/>
              <w:right w:val="single" w:sz="4" w:space="0" w:color="auto"/>
            </w:tcBorders>
            <w:shd w:val="clear" w:color="auto" w:fill="auto"/>
            <w:noWrap/>
            <w:vAlign w:val="center"/>
            <w:hideMark/>
          </w:tcPr>
          <w:p w14:paraId="2537392C" w14:textId="77777777" w:rsidR="005C03E7" w:rsidRPr="00D30848" w:rsidRDefault="005C03E7" w:rsidP="005C03E7">
            <w:pPr>
              <w:spacing w:after="0" w:line="240" w:lineRule="auto"/>
              <w:jc w:val="right"/>
              <w:rPr>
                <w:rFonts w:ascii="Calibri" w:eastAsia="Times New Roman" w:hAnsi="Calibri" w:cs="Calibri"/>
                <w:i/>
                <w:iCs/>
                <w:sz w:val="20"/>
                <w:szCs w:val="20"/>
                <w:lang w:eastAsia="cs-CZ"/>
              </w:rPr>
            </w:pPr>
            <w:r w:rsidRPr="00D30848">
              <w:rPr>
                <w:rFonts w:ascii="Calibri" w:eastAsia="Times New Roman" w:hAnsi="Calibri" w:cs="Calibri"/>
                <w:i/>
                <w:iCs/>
                <w:sz w:val="20"/>
                <w:szCs w:val="20"/>
                <w:lang w:eastAsia="cs-CZ"/>
              </w:rPr>
              <w:t>1 080 000,00</w:t>
            </w:r>
          </w:p>
        </w:tc>
        <w:tc>
          <w:tcPr>
            <w:tcW w:w="1559" w:type="dxa"/>
            <w:tcBorders>
              <w:top w:val="nil"/>
              <w:left w:val="nil"/>
              <w:bottom w:val="single" w:sz="4" w:space="0" w:color="auto"/>
              <w:right w:val="nil"/>
            </w:tcBorders>
            <w:shd w:val="clear" w:color="FFFFCC" w:fill="FFFFFF"/>
            <w:noWrap/>
            <w:vAlign w:val="bottom"/>
            <w:hideMark/>
          </w:tcPr>
          <w:p w14:paraId="529922C7" w14:textId="77777777" w:rsidR="005C03E7" w:rsidRPr="00D30848" w:rsidRDefault="005C03E7" w:rsidP="005C03E7">
            <w:pPr>
              <w:spacing w:after="0" w:line="240" w:lineRule="auto"/>
              <w:jc w:val="right"/>
              <w:rPr>
                <w:rFonts w:ascii="Calibri" w:eastAsia="Times New Roman" w:hAnsi="Calibri" w:cs="Calibri"/>
                <w:i/>
                <w:iCs/>
                <w:sz w:val="20"/>
                <w:szCs w:val="20"/>
                <w:lang w:eastAsia="cs-CZ"/>
              </w:rPr>
            </w:pPr>
            <w:r w:rsidRPr="00D30848">
              <w:rPr>
                <w:rFonts w:ascii="Calibri" w:eastAsia="Times New Roman" w:hAnsi="Calibri" w:cs="Calibri"/>
                <w:i/>
                <w:iCs/>
                <w:sz w:val="20"/>
                <w:szCs w:val="20"/>
                <w:lang w:eastAsia="cs-CZ"/>
              </w:rPr>
              <w:t>1 068 744,00</w:t>
            </w:r>
          </w:p>
        </w:tc>
        <w:tc>
          <w:tcPr>
            <w:tcW w:w="709" w:type="dxa"/>
            <w:tcBorders>
              <w:top w:val="nil"/>
              <w:left w:val="single" w:sz="4" w:space="0" w:color="auto"/>
              <w:bottom w:val="single" w:sz="4" w:space="0" w:color="auto"/>
              <w:right w:val="single" w:sz="8" w:space="0" w:color="auto"/>
            </w:tcBorders>
            <w:shd w:val="clear" w:color="auto" w:fill="auto"/>
            <w:noWrap/>
            <w:vAlign w:val="bottom"/>
            <w:hideMark/>
          </w:tcPr>
          <w:p w14:paraId="57D8054F" w14:textId="77777777" w:rsidR="005C03E7" w:rsidRPr="00D30848" w:rsidRDefault="005C03E7" w:rsidP="005C03E7">
            <w:pPr>
              <w:spacing w:after="0" w:line="240" w:lineRule="auto"/>
              <w:jc w:val="right"/>
              <w:rPr>
                <w:rFonts w:ascii="Calibri" w:eastAsia="Times New Roman" w:hAnsi="Calibri" w:cs="Calibri"/>
                <w:i/>
                <w:iCs/>
                <w:sz w:val="20"/>
                <w:szCs w:val="20"/>
                <w:lang w:eastAsia="cs-CZ"/>
              </w:rPr>
            </w:pPr>
            <w:r w:rsidRPr="00D30848">
              <w:rPr>
                <w:rFonts w:ascii="Calibri" w:eastAsia="Times New Roman" w:hAnsi="Calibri" w:cs="Calibri"/>
                <w:i/>
                <w:iCs/>
                <w:sz w:val="20"/>
                <w:szCs w:val="20"/>
                <w:lang w:eastAsia="cs-CZ"/>
              </w:rPr>
              <w:t>99,0</w:t>
            </w:r>
          </w:p>
        </w:tc>
      </w:tr>
      <w:tr w:rsidR="005C03E7" w:rsidRPr="005C03E7" w14:paraId="142DD9ED" w14:textId="77777777" w:rsidTr="00593EA0">
        <w:trPr>
          <w:trHeight w:val="319"/>
        </w:trPr>
        <w:tc>
          <w:tcPr>
            <w:tcW w:w="826"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4B4FEAC5" w14:textId="77777777" w:rsidR="005C03E7" w:rsidRPr="005C03E7" w:rsidRDefault="005C03E7" w:rsidP="005C03E7">
            <w:pPr>
              <w:spacing w:after="0" w:line="240" w:lineRule="auto"/>
              <w:rPr>
                <w:rFonts w:ascii="Calibri" w:eastAsia="Times New Roman" w:hAnsi="Calibri" w:cs="Calibri"/>
                <w:sz w:val="20"/>
                <w:szCs w:val="20"/>
                <w:lang w:eastAsia="cs-CZ"/>
              </w:rPr>
            </w:pPr>
            <w:r w:rsidRPr="005C03E7">
              <w:rPr>
                <w:rFonts w:ascii="Calibri" w:eastAsia="Times New Roman" w:hAnsi="Calibri" w:cs="Calibri"/>
                <w:sz w:val="20"/>
                <w:szCs w:val="20"/>
                <w:lang w:eastAsia="cs-CZ"/>
              </w:rPr>
              <w:t> </w:t>
            </w:r>
          </w:p>
        </w:tc>
        <w:tc>
          <w:tcPr>
            <w:tcW w:w="4419" w:type="dxa"/>
            <w:tcBorders>
              <w:top w:val="nil"/>
              <w:left w:val="nil"/>
              <w:bottom w:val="single" w:sz="8" w:space="0" w:color="auto"/>
              <w:right w:val="nil"/>
            </w:tcBorders>
            <w:shd w:val="clear" w:color="auto" w:fill="auto"/>
            <w:noWrap/>
            <w:vAlign w:val="bottom"/>
            <w:hideMark/>
          </w:tcPr>
          <w:p w14:paraId="53EE7808" w14:textId="77777777" w:rsidR="005C03E7" w:rsidRPr="005C03E7" w:rsidRDefault="005C03E7" w:rsidP="005C03E7">
            <w:pPr>
              <w:spacing w:after="0" w:line="240" w:lineRule="auto"/>
              <w:rPr>
                <w:rFonts w:ascii="Calibri" w:eastAsia="Times New Roman" w:hAnsi="Calibri" w:cs="Calibri"/>
                <w:b/>
                <w:bCs/>
                <w:lang w:eastAsia="cs-CZ"/>
              </w:rPr>
            </w:pPr>
            <w:r w:rsidRPr="005C03E7">
              <w:rPr>
                <w:rFonts w:ascii="Calibri" w:eastAsia="Times New Roman" w:hAnsi="Calibri" w:cs="Calibri"/>
                <w:b/>
                <w:bCs/>
                <w:lang w:eastAsia="cs-CZ"/>
              </w:rPr>
              <w:t>Celkem</w:t>
            </w:r>
          </w:p>
        </w:tc>
        <w:tc>
          <w:tcPr>
            <w:tcW w:w="1276" w:type="dxa"/>
            <w:tcBorders>
              <w:top w:val="single" w:sz="8" w:space="0" w:color="auto"/>
              <w:left w:val="single" w:sz="4" w:space="0" w:color="auto"/>
              <w:bottom w:val="single" w:sz="8" w:space="0" w:color="auto"/>
              <w:right w:val="single" w:sz="4" w:space="0" w:color="auto"/>
            </w:tcBorders>
            <w:shd w:val="clear" w:color="auto" w:fill="auto"/>
            <w:noWrap/>
            <w:vAlign w:val="bottom"/>
            <w:hideMark/>
          </w:tcPr>
          <w:p w14:paraId="7E7FBD65" w14:textId="77777777" w:rsidR="005C03E7" w:rsidRPr="005C03E7" w:rsidRDefault="005C03E7" w:rsidP="005C03E7">
            <w:pPr>
              <w:spacing w:after="0" w:line="240" w:lineRule="auto"/>
              <w:jc w:val="right"/>
              <w:rPr>
                <w:rFonts w:ascii="Calibri" w:eastAsia="Times New Roman" w:hAnsi="Calibri" w:cs="Calibri"/>
                <w:b/>
                <w:bCs/>
                <w:lang w:eastAsia="cs-CZ"/>
              </w:rPr>
            </w:pPr>
            <w:r w:rsidRPr="005C03E7">
              <w:rPr>
                <w:rFonts w:ascii="Calibri" w:eastAsia="Times New Roman" w:hAnsi="Calibri" w:cs="Calibri"/>
                <w:b/>
                <w:bCs/>
                <w:lang w:eastAsia="cs-CZ"/>
              </w:rPr>
              <w:t>0</w:t>
            </w:r>
          </w:p>
        </w:tc>
        <w:tc>
          <w:tcPr>
            <w:tcW w:w="1559" w:type="dxa"/>
            <w:tcBorders>
              <w:top w:val="single" w:sz="8" w:space="0" w:color="auto"/>
              <w:left w:val="nil"/>
              <w:bottom w:val="single" w:sz="8" w:space="0" w:color="auto"/>
              <w:right w:val="single" w:sz="4" w:space="0" w:color="auto"/>
            </w:tcBorders>
            <w:shd w:val="clear" w:color="auto" w:fill="auto"/>
            <w:noWrap/>
            <w:vAlign w:val="bottom"/>
            <w:hideMark/>
          </w:tcPr>
          <w:p w14:paraId="0591BA84" w14:textId="77777777" w:rsidR="005C03E7" w:rsidRPr="005C03E7" w:rsidRDefault="005C03E7" w:rsidP="005C03E7">
            <w:pPr>
              <w:spacing w:after="0" w:line="240" w:lineRule="auto"/>
              <w:jc w:val="right"/>
              <w:rPr>
                <w:rFonts w:ascii="Calibri" w:eastAsia="Times New Roman" w:hAnsi="Calibri" w:cs="Calibri"/>
                <w:b/>
                <w:bCs/>
                <w:lang w:eastAsia="cs-CZ"/>
              </w:rPr>
            </w:pPr>
            <w:r w:rsidRPr="005C03E7">
              <w:rPr>
                <w:rFonts w:ascii="Calibri" w:eastAsia="Times New Roman" w:hAnsi="Calibri" w:cs="Calibri"/>
                <w:b/>
                <w:bCs/>
                <w:lang w:eastAsia="cs-CZ"/>
              </w:rPr>
              <w:t>19 885 928,56</w:t>
            </w:r>
          </w:p>
        </w:tc>
        <w:tc>
          <w:tcPr>
            <w:tcW w:w="1559" w:type="dxa"/>
            <w:tcBorders>
              <w:top w:val="single" w:sz="8" w:space="0" w:color="auto"/>
              <w:left w:val="nil"/>
              <w:bottom w:val="single" w:sz="8" w:space="0" w:color="auto"/>
              <w:right w:val="single" w:sz="4" w:space="0" w:color="auto"/>
            </w:tcBorders>
            <w:shd w:val="clear" w:color="auto" w:fill="auto"/>
            <w:noWrap/>
            <w:vAlign w:val="bottom"/>
            <w:hideMark/>
          </w:tcPr>
          <w:p w14:paraId="42ACFFF1" w14:textId="77777777" w:rsidR="005C03E7" w:rsidRPr="005C03E7" w:rsidRDefault="005C03E7" w:rsidP="005C03E7">
            <w:pPr>
              <w:spacing w:after="0" w:line="240" w:lineRule="auto"/>
              <w:jc w:val="right"/>
              <w:rPr>
                <w:rFonts w:ascii="Calibri" w:eastAsia="Times New Roman" w:hAnsi="Calibri" w:cs="Calibri"/>
                <w:b/>
                <w:bCs/>
                <w:lang w:eastAsia="cs-CZ"/>
              </w:rPr>
            </w:pPr>
            <w:r w:rsidRPr="005C03E7">
              <w:rPr>
                <w:rFonts w:ascii="Calibri" w:eastAsia="Times New Roman" w:hAnsi="Calibri" w:cs="Calibri"/>
                <w:b/>
                <w:bCs/>
                <w:lang w:eastAsia="cs-CZ"/>
              </w:rPr>
              <w:t>15 481 485,59</w:t>
            </w:r>
          </w:p>
        </w:tc>
        <w:tc>
          <w:tcPr>
            <w:tcW w:w="709" w:type="dxa"/>
            <w:tcBorders>
              <w:top w:val="single" w:sz="8" w:space="0" w:color="auto"/>
              <w:left w:val="nil"/>
              <w:bottom w:val="single" w:sz="8" w:space="0" w:color="auto"/>
              <w:right w:val="single" w:sz="8" w:space="0" w:color="auto"/>
            </w:tcBorders>
            <w:shd w:val="clear" w:color="auto" w:fill="auto"/>
            <w:noWrap/>
            <w:vAlign w:val="bottom"/>
            <w:hideMark/>
          </w:tcPr>
          <w:p w14:paraId="01E39DEA" w14:textId="77777777" w:rsidR="005C03E7" w:rsidRPr="005C03E7" w:rsidRDefault="005C03E7" w:rsidP="005C03E7">
            <w:pPr>
              <w:spacing w:after="0" w:line="240" w:lineRule="auto"/>
              <w:jc w:val="right"/>
              <w:rPr>
                <w:rFonts w:ascii="Calibri" w:eastAsia="Times New Roman" w:hAnsi="Calibri" w:cs="Calibri"/>
                <w:b/>
                <w:bCs/>
                <w:lang w:eastAsia="cs-CZ"/>
              </w:rPr>
            </w:pPr>
            <w:r w:rsidRPr="005C03E7">
              <w:rPr>
                <w:rFonts w:ascii="Calibri" w:eastAsia="Times New Roman" w:hAnsi="Calibri" w:cs="Calibri"/>
                <w:b/>
                <w:bCs/>
                <w:lang w:eastAsia="cs-CZ"/>
              </w:rPr>
              <w:t>77,9</w:t>
            </w:r>
          </w:p>
        </w:tc>
      </w:tr>
      <w:tr w:rsidR="005C03E7" w:rsidRPr="005C03E7" w14:paraId="3CE7AA17" w14:textId="77777777" w:rsidTr="00593EA0">
        <w:trPr>
          <w:trHeight w:val="315"/>
        </w:trPr>
        <w:tc>
          <w:tcPr>
            <w:tcW w:w="826" w:type="dxa"/>
            <w:tcBorders>
              <w:top w:val="nil"/>
              <w:left w:val="nil"/>
              <w:bottom w:val="nil"/>
              <w:right w:val="nil"/>
            </w:tcBorders>
            <w:shd w:val="clear" w:color="auto" w:fill="auto"/>
            <w:noWrap/>
            <w:vAlign w:val="bottom"/>
            <w:hideMark/>
          </w:tcPr>
          <w:p w14:paraId="3E0E0A41" w14:textId="77777777" w:rsidR="005C03E7" w:rsidRPr="005C03E7" w:rsidRDefault="005C03E7" w:rsidP="005C03E7">
            <w:pPr>
              <w:spacing w:after="0" w:line="240" w:lineRule="auto"/>
              <w:jc w:val="right"/>
              <w:rPr>
                <w:rFonts w:ascii="Calibri" w:eastAsia="Times New Roman" w:hAnsi="Calibri" w:cs="Calibri"/>
                <w:b/>
                <w:bCs/>
                <w:lang w:eastAsia="cs-CZ"/>
              </w:rPr>
            </w:pPr>
          </w:p>
        </w:tc>
        <w:tc>
          <w:tcPr>
            <w:tcW w:w="4419" w:type="dxa"/>
            <w:tcBorders>
              <w:top w:val="nil"/>
              <w:left w:val="nil"/>
              <w:bottom w:val="nil"/>
              <w:right w:val="nil"/>
            </w:tcBorders>
            <w:shd w:val="clear" w:color="auto" w:fill="auto"/>
            <w:noWrap/>
            <w:vAlign w:val="bottom"/>
            <w:hideMark/>
          </w:tcPr>
          <w:p w14:paraId="3BAC3016" w14:textId="77777777" w:rsidR="005C03E7" w:rsidRPr="005C03E7" w:rsidRDefault="005C03E7" w:rsidP="005C03E7">
            <w:pPr>
              <w:spacing w:after="0" w:line="240" w:lineRule="auto"/>
              <w:rPr>
                <w:rFonts w:ascii="Times New Roman" w:eastAsia="Times New Roman" w:hAnsi="Times New Roman" w:cs="Times New Roman"/>
                <w:sz w:val="20"/>
                <w:szCs w:val="20"/>
                <w:lang w:eastAsia="cs-CZ"/>
              </w:rPr>
            </w:pPr>
          </w:p>
        </w:tc>
        <w:tc>
          <w:tcPr>
            <w:tcW w:w="1276" w:type="dxa"/>
            <w:tcBorders>
              <w:top w:val="nil"/>
              <w:left w:val="nil"/>
              <w:bottom w:val="nil"/>
              <w:right w:val="nil"/>
            </w:tcBorders>
            <w:shd w:val="clear" w:color="auto" w:fill="auto"/>
            <w:noWrap/>
            <w:vAlign w:val="bottom"/>
            <w:hideMark/>
          </w:tcPr>
          <w:p w14:paraId="57BD98FA" w14:textId="77777777" w:rsidR="005C03E7" w:rsidRPr="005C03E7" w:rsidRDefault="005C03E7" w:rsidP="005C03E7">
            <w:pPr>
              <w:spacing w:after="0" w:line="240" w:lineRule="auto"/>
              <w:jc w:val="center"/>
              <w:rPr>
                <w:rFonts w:ascii="Times New Roman" w:eastAsia="Times New Roman" w:hAnsi="Times New Roman" w:cs="Times New Roman"/>
                <w:sz w:val="20"/>
                <w:szCs w:val="20"/>
                <w:lang w:eastAsia="cs-CZ"/>
              </w:rPr>
            </w:pPr>
          </w:p>
        </w:tc>
        <w:tc>
          <w:tcPr>
            <w:tcW w:w="1559" w:type="dxa"/>
            <w:tcBorders>
              <w:top w:val="nil"/>
              <w:left w:val="nil"/>
              <w:bottom w:val="nil"/>
              <w:right w:val="nil"/>
            </w:tcBorders>
            <w:shd w:val="clear" w:color="auto" w:fill="auto"/>
            <w:noWrap/>
            <w:vAlign w:val="bottom"/>
            <w:hideMark/>
          </w:tcPr>
          <w:p w14:paraId="1FA2989F" w14:textId="77777777" w:rsidR="005C03E7" w:rsidRPr="005C03E7" w:rsidRDefault="005C03E7" w:rsidP="005C03E7">
            <w:pPr>
              <w:spacing w:after="0" w:line="240" w:lineRule="auto"/>
              <w:rPr>
                <w:rFonts w:ascii="Times New Roman" w:eastAsia="Times New Roman" w:hAnsi="Times New Roman" w:cs="Times New Roman"/>
                <w:sz w:val="20"/>
                <w:szCs w:val="20"/>
                <w:lang w:eastAsia="cs-CZ"/>
              </w:rPr>
            </w:pPr>
          </w:p>
        </w:tc>
        <w:tc>
          <w:tcPr>
            <w:tcW w:w="1559" w:type="dxa"/>
            <w:tcBorders>
              <w:top w:val="nil"/>
              <w:left w:val="nil"/>
              <w:bottom w:val="nil"/>
              <w:right w:val="nil"/>
            </w:tcBorders>
            <w:shd w:val="clear" w:color="auto" w:fill="auto"/>
            <w:noWrap/>
            <w:vAlign w:val="bottom"/>
            <w:hideMark/>
          </w:tcPr>
          <w:p w14:paraId="3BC5D185" w14:textId="77777777" w:rsidR="005C03E7" w:rsidRPr="005C03E7" w:rsidRDefault="005C03E7" w:rsidP="005C03E7">
            <w:pPr>
              <w:spacing w:after="0" w:line="240" w:lineRule="auto"/>
              <w:rPr>
                <w:rFonts w:ascii="Times New Roman" w:eastAsia="Times New Roman" w:hAnsi="Times New Roman" w:cs="Times New Roman"/>
                <w:sz w:val="20"/>
                <w:szCs w:val="20"/>
                <w:lang w:eastAsia="cs-CZ"/>
              </w:rPr>
            </w:pPr>
          </w:p>
        </w:tc>
        <w:tc>
          <w:tcPr>
            <w:tcW w:w="709" w:type="dxa"/>
            <w:tcBorders>
              <w:top w:val="nil"/>
              <w:left w:val="nil"/>
              <w:bottom w:val="nil"/>
              <w:right w:val="nil"/>
            </w:tcBorders>
            <w:shd w:val="clear" w:color="auto" w:fill="auto"/>
            <w:noWrap/>
            <w:vAlign w:val="bottom"/>
            <w:hideMark/>
          </w:tcPr>
          <w:p w14:paraId="2F03B947" w14:textId="77777777" w:rsidR="005C03E7" w:rsidRPr="005C03E7" w:rsidRDefault="005C03E7" w:rsidP="005C03E7">
            <w:pPr>
              <w:spacing w:after="0" w:line="240" w:lineRule="auto"/>
              <w:rPr>
                <w:rFonts w:ascii="Times New Roman" w:eastAsia="Times New Roman" w:hAnsi="Times New Roman" w:cs="Times New Roman"/>
                <w:sz w:val="20"/>
                <w:szCs w:val="20"/>
                <w:lang w:eastAsia="cs-CZ"/>
              </w:rPr>
            </w:pPr>
          </w:p>
        </w:tc>
      </w:tr>
      <w:tr w:rsidR="005C03E7" w:rsidRPr="005C03E7" w14:paraId="76838874" w14:textId="77777777" w:rsidTr="00593EA0">
        <w:trPr>
          <w:trHeight w:val="360"/>
        </w:trPr>
        <w:tc>
          <w:tcPr>
            <w:tcW w:w="5245" w:type="dxa"/>
            <w:gridSpan w:val="2"/>
            <w:tcBorders>
              <w:top w:val="single" w:sz="8" w:space="0" w:color="auto"/>
              <w:left w:val="single" w:sz="8" w:space="0" w:color="auto"/>
              <w:bottom w:val="single" w:sz="8" w:space="0" w:color="auto"/>
              <w:right w:val="nil"/>
            </w:tcBorders>
            <w:shd w:val="clear" w:color="auto" w:fill="auto"/>
            <w:noWrap/>
            <w:vAlign w:val="bottom"/>
            <w:hideMark/>
          </w:tcPr>
          <w:p w14:paraId="1E751145" w14:textId="77777777" w:rsidR="005C03E7" w:rsidRPr="005C03E7" w:rsidRDefault="005C03E7" w:rsidP="005C03E7">
            <w:pPr>
              <w:spacing w:after="0" w:line="240" w:lineRule="auto"/>
              <w:rPr>
                <w:rFonts w:ascii="Calibri" w:eastAsia="Times New Roman" w:hAnsi="Calibri" w:cs="Calibri"/>
                <w:b/>
                <w:bCs/>
                <w:sz w:val="24"/>
                <w:szCs w:val="24"/>
                <w:lang w:eastAsia="cs-CZ"/>
              </w:rPr>
            </w:pPr>
            <w:r w:rsidRPr="005C03E7">
              <w:rPr>
                <w:rFonts w:ascii="Calibri" w:eastAsia="Times New Roman" w:hAnsi="Calibri" w:cs="Calibri"/>
                <w:b/>
                <w:bCs/>
                <w:sz w:val="24"/>
                <w:szCs w:val="24"/>
                <w:lang w:eastAsia="cs-CZ"/>
              </w:rPr>
              <w:t>Celkem výdaje</w:t>
            </w:r>
          </w:p>
        </w:tc>
        <w:tc>
          <w:tcPr>
            <w:tcW w:w="127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C244089" w14:textId="77777777" w:rsidR="005C03E7" w:rsidRPr="005C03E7" w:rsidRDefault="005C03E7" w:rsidP="005C03E7">
            <w:pPr>
              <w:spacing w:after="0" w:line="240" w:lineRule="auto"/>
              <w:jc w:val="right"/>
              <w:rPr>
                <w:rFonts w:ascii="Calibri" w:eastAsia="Times New Roman" w:hAnsi="Calibri" w:cs="Calibri"/>
                <w:b/>
                <w:bCs/>
                <w:lang w:eastAsia="cs-CZ"/>
              </w:rPr>
            </w:pPr>
            <w:r w:rsidRPr="005C03E7">
              <w:rPr>
                <w:rFonts w:ascii="Calibri" w:eastAsia="Times New Roman" w:hAnsi="Calibri" w:cs="Calibri"/>
                <w:b/>
                <w:bCs/>
                <w:lang w:eastAsia="cs-CZ"/>
              </w:rPr>
              <w:t>0</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14:paraId="65CC91A6" w14:textId="77777777" w:rsidR="005C03E7" w:rsidRPr="005C03E7" w:rsidRDefault="005C03E7" w:rsidP="005C03E7">
            <w:pPr>
              <w:spacing w:after="0" w:line="240" w:lineRule="auto"/>
              <w:jc w:val="right"/>
              <w:rPr>
                <w:rFonts w:ascii="Calibri" w:eastAsia="Times New Roman" w:hAnsi="Calibri" w:cs="Calibri"/>
                <w:b/>
                <w:bCs/>
                <w:lang w:eastAsia="cs-CZ"/>
              </w:rPr>
            </w:pPr>
            <w:r w:rsidRPr="005C03E7">
              <w:rPr>
                <w:rFonts w:ascii="Calibri" w:eastAsia="Times New Roman" w:hAnsi="Calibri" w:cs="Calibri"/>
                <w:b/>
                <w:bCs/>
                <w:lang w:eastAsia="cs-CZ"/>
              </w:rPr>
              <w:t>19 885 928,56</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14:paraId="73FC6AE3" w14:textId="77777777" w:rsidR="005C03E7" w:rsidRPr="005C03E7" w:rsidRDefault="005C03E7" w:rsidP="005C03E7">
            <w:pPr>
              <w:spacing w:after="0" w:line="240" w:lineRule="auto"/>
              <w:jc w:val="right"/>
              <w:rPr>
                <w:rFonts w:ascii="Calibri" w:eastAsia="Times New Roman" w:hAnsi="Calibri" w:cs="Calibri"/>
                <w:b/>
                <w:bCs/>
                <w:lang w:eastAsia="cs-CZ"/>
              </w:rPr>
            </w:pPr>
            <w:r w:rsidRPr="005C03E7">
              <w:rPr>
                <w:rFonts w:ascii="Calibri" w:eastAsia="Times New Roman" w:hAnsi="Calibri" w:cs="Calibri"/>
                <w:b/>
                <w:bCs/>
                <w:lang w:eastAsia="cs-CZ"/>
              </w:rPr>
              <w:t>15 481 485,59</w:t>
            </w:r>
          </w:p>
        </w:tc>
        <w:tc>
          <w:tcPr>
            <w:tcW w:w="709" w:type="dxa"/>
            <w:tcBorders>
              <w:top w:val="single" w:sz="8" w:space="0" w:color="auto"/>
              <w:left w:val="nil"/>
              <w:bottom w:val="single" w:sz="8" w:space="0" w:color="auto"/>
              <w:right w:val="single" w:sz="8" w:space="0" w:color="auto"/>
            </w:tcBorders>
            <w:shd w:val="clear" w:color="auto" w:fill="auto"/>
            <w:noWrap/>
            <w:vAlign w:val="bottom"/>
            <w:hideMark/>
          </w:tcPr>
          <w:p w14:paraId="359D81A6" w14:textId="77777777" w:rsidR="005C03E7" w:rsidRPr="005C03E7" w:rsidRDefault="005C03E7" w:rsidP="005C03E7">
            <w:pPr>
              <w:spacing w:after="0" w:line="240" w:lineRule="auto"/>
              <w:jc w:val="right"/>
              <w:rPr>
                <w:rFonts w:ascii="Calibri" w:eastAsia="Times New Roman" w:hAnsi="Calibri" w:cs="Calibri"/>
                <w:b/>
                <w:bCs/>
                <w:lang w:eastAsia="cs-CZ"/>
              </w:rPr>
            </w:pPr>
            <w:r w:rsidRPr="005C03E7">
              <w:rPr>
                <w:rFonts w:ascii="Calibri" w:eastAsia="Times New Roman" w:hAnsi="Calibri" w:cs="Calibri"/>
                <w:b/>
                <w:bCs/>
                <w:lang w:eastAsia="cs-CZ"/>
              </w:rPr>
              <w:t>77,9</w:t>
            </w:r>
          </w:p>
        </w:tc>
      </w:tr>
    </w:tbl>
    <w:p w14:paraId="2D029468" w14:textId="2F16D176" w:rsidR="00FA4FAF" w:rsidRDefault="00FA4FAF" w:rsidP="0013179B">
      <w:pPr>
        <w:rPr>
          <w:rFonts w:cs="Calibri"/>
        </w:rPr>
      </w:pPr>
    </w:p>
    <w:p w14:paraId="196E7782" w14:textId="3DEB6F53" w:rsidR="005C03E7" w:rsidRDefault="005C03E7" w:rsidP="0013179B">
      <w:pPr>
        <w:rPr>
          <w:rFonts w:cs="Calibri"/>
        </w:rPr>
      </w:pPr>
    </w:p>
    <w:p w14:paraId="0C1A865E" w14:textId="70A17500" w:rsidR="005C03E7" w:rsidRDefault="005C03E7" w:rsidP="0013179B">
      <w:pPr>
        <w:rPr>
          <w:rFonts w:cs="Calibri"/>
        </w:rPr>
      </w:pPr>
    </w:p>
    <w:p w14:paraId="7D126B52" w14:textId="30579C69" w:rsidR="005C03E7" w:rsidRDefault="005C03E7" w:rsidP="0013179B">
      <w:pPr>
        <w:rPr>
          <w:rFonts w:cs="Calibri"/>
        </w:rPr>
      </w:pPr>
    </w:p>
    <w:p w14:paraId="2C1829DC" w14:textId="02D59321" w:rsidR="005C03E7" w:rsidRDefault="005C03E7" w:rsidP="0013179B">
      <w:pPr>
        <w:rPr>
          <w:rFonts w:cs="Calibri"/>
        </w:rPr>
      </w:pPr>
    </w:p>
    <w:p w14:paraId="567A111C" w14:textId="23EF3AE3" w:rsidR="000951D6" w:rsidRDefault="000951D6" w:rsidP="0013179B">
      <w:pPr>
        <w:rPr>
          <w:rFonts w:cs="Calibri"/>
        </w:rPr>
      </w:pPr>
    </w:p>
    <w:p w14:paraId="2BB2ED88" w14:textId="0A4F56CC" w:rsidR="000951D6" w:rsidRDefault="000951D6" w:rsidP="0013179B">
      <w:pPr>
        <w:rPr>
          <w:rFonts w:cs="Calibri"/>
        </w:rPr>
      </w:pPr>
    </w:p>
    <w:p w14:paraId="20C1822A" w14:textId="3AAB459F" w:rsidR="000951D6" w:rsidRDefault="000951D6" w:rsidP="0013179B">
      <w:pPr>
        <w:rPr>
          <w:rFonts w:cs="Calibri"/>
        </w:rPr>
      </w:pPr>
    </w:p>
    <w:p w14:paraId="579ABFB9" w14:textId="66BA09AD" w:rsidR="000951D6" w:rsidRDefault="000951D6" w:rsidP="0013179B">
      <w:pPr>
        <w:rPr>
          <w:rFonts w:cs="Calibri"/>
        </w:rPr>
      </w:pPr>
    </w:p>
    <w:p w14:paraId="0A121A27" w14:textId="7381F7A6" w:rsidR="000951D6" w:rsidRDefault="000951D6" w:rsidP="0013179B">
      <w:pPr>
        <w:rPr>
          <w:rFonts w:cs="Calibri"/>
        </w:rPr>
      </w:pPr>
    </w:p>
    <w:p w14:paraId="5C067EF5" w14:textId="00416D53" w:rsidR="000951D6" w:rsidRDefault="000951D6" w:rsidP="0013179B">
      <w:pPr>
        <w:rPr>
          <w:rFonts w:cs="Calibri"/>
        </w:rPr>
      </w:pPr>
    </w:p>
    <w:p w14:paraId="690BC757" w14:textId="03EB4BAC" w:rsidR="000951D6" w:rsidRDefault="000951D6" w:rsidP="0013179B">
      <w:pPr>
        <w:rPr>
          <w:rFonts w:cs="Calibri"/>
        </w:rPr>
      </w:pPr>
    </w:p>
    <w:p w14:paraId="74C2B908" w14:textId="6D4166E8" w:rsidR="000951D6" w:rsidRDefault="000951D6" w:rsidP="0013179B">
      <w:pPr>
        <w:rPr>
          <w:rFonts w:cs="Calibri"/>
        </w:rPr>
      </w:pPr>
    </w:p>
    <w:p w14:paraId="0115CDFE" w14:textId="3C8C388E" w:rsidR="000951D6" w:rsidRDefault="000951D6" w:rsidP="0013179B">
      <w:pPr>
        <w:rPr>
          <w:rFonts w:cs="Calibri"/>
        </w:rPr>
      </w:pPr>
    </w:p>
    <w:p w14:paraId="6A626AAA" w14:textId="5CA2E136" w:rsidR="000951D6" w:rsidRDefault="000951D6" w:rsidP="0013179B">
      <w:pPr>
        <w:rPr>
          <w:rFonts w:cs="Calibri"/>
        </w:rPr>
      </w:pPr>
    </w:p>
    <w:p w14:paraId="6FA6AC35" w14:textId="6829540E" w:rsidR="000951D6" w:rsidRDefault="000951D6" w:rsidP="0013179B">
      <w:pPr>
        <w:rPr>
          <w:rFonts w:cs="Calibri"/>
        </w:rPr>
      </w:pPr>
    </w:p>
    <w:p w14:paraId="1DEB85FA" w14:textId="77777777" w:rsidR="00B85262" w:rsidRDefault="00B85262" w:rsidP="00B85262">
      <w:pPr>
        <w:spacing w:after="0" w:line="240" w:lineRule="auto"/>
        <w:jc w:val="both"/>
        <w:rPr>
          <w:rFonts w:cstheme="minorHAnsi"/>
          <w:b/>
          <w:sz w:val="28"/>
          <w:szCs w:val="28"/>
          <w:u w:val="single"/>
        </w:rPr>
      </w:pPr>
    </w:p>
    <w:p w14:paraId="6F7F9345" w14:textId="77777777" w:rsidR="00B85262" w:rsidRPr="005812DC" w:rsidRDefault="00B85262" w:rsidP="00B85262">
      <w:pPr>
        <w:spacing w:after="0" w:line="240" w:lineRule="auto"/>
        <w:jc w:val="both"/>
        <w:rPr>
          <w:rFonts w:cstheme="minorHAnsi"/>
          <w:b/>
          <w:sz w:val="28"/>
          <w:szCs w:val="28"/>
          <w:u w:val="single"/>
        </w:rPr>
      </w:pPr>
      <w:r w:rsidRPr="005812DC">
        <w:rPr>
          <w:rFonts w:cstheme="minorHAnsi"/>
          <w:b/>
          <w:sz w:val="28"/>
          <w:szCs w:val="28"/>
          <w:u w:val="single"/>
        </w:rPr>
        <w:t>Kapitola 20 – Sociální fond</w:t>
      </w:r>
    </w:p>
    <w:p w14:paraId="0C41BAE7" w14:textId="77777777" w:rsidR="00B85262" w:rsidRPr="005812DC" w:rsidRDefault="00B85262" w:rsidP="00B85262">
      <w:pPr>
        <w:spacing w:after="0" w:line="240" w:lineRule="auto"/>
        <w:jc w:val="both"/>
        <w:rPr>
          <w:rFonts w:cstheme="minorHAnsi"/>
        </w:rPr>
      </w:pPr>
      <w:r w:rsidRPr="005812DC">
        <w:rPr>
          <w:rFonts w:cstheme="minorHAnsi"/>
        </w:rPr>
        <w:tab/>
      </w:r>
    </w:p>
    <w:p w14:paraId="50ABD4B5" w14:textId="77777777" w:rsidR="00B85262" w:rsidRPr="005812DC" w:rsidRDefault="00B85262" w:rsidP="00B85262">
      <w:pPr>
        <w:spacing w:after="0" w:line="240" w:lineRule="auto"/>
        <w:jc w:val="both"/>
        <w:rPr>
          <w:rFonts w:cstheme="minorHAnsi"/>
          <w:b/>
          <w:sz w:val="24"/>
          <w:szCs w:val="24"/>
          <w:u w:val="single"/>
        </w:rPr>
      </w:pPr>
      <w:r w:rsidRPr="005812DC">
        <w:rPr>
          <w:rFonts w:cstheme="minorHAnsi"/>
          <w:b/>
          <w:sz w:val="24"/>
          <w:szCs w:val="24"/>
          <w:u w:val="single"/>
        </w:rPr>
        <w:t>Běžné výdaje</w:t>
      </w:r>
    </w:p>
    <w:p w14:paraId="6B0C04B5" w14:textId="77777777" w:rsidR="00B85262" w:rsidRPr="005812DC" w:rsidRDefault="00B85262" w:rsidP="00B85262">
      <w:pPr>
        <w:spacing w:after="0" w:line="240" w:lineRule="auto"/>
        <w:jc w:val="both"/>
        <w:rPr>
          <w:rFonts w:cstheme="minorHAnsi"/>
          <w:b/>
          <w:u w:val="single"/>
        </w:rPr>
      </w:pPr>
    </w:p>
    <w:p w14:paraId="471D959B" w14:textId="77777777" w:rsidR="00B85262" w:rsidRDefault="00B85262" w:rsidP="00B85262">
      <w:pPr>
        <w:spacing w:after="0" w:line="240" w:lineRule="auto"/>
        <w:jc w:val="both"/>
        <w:rPr>
          <w:rFonts w:cstheme="minorHAnsi"/>
        </w:rPr>
      </w:pPr>
      <w:r w:rsidRPr="005812DC">
        <w:rPr>
          <w:rFonts w:cstheme="minorHAnsi"/>
        </w:rPr>
        <w:t>Rozpočet Sociálního fondu byl schválen na základě usnese</w:t>
      </w:r>
      <w:r>
        <w:rPr>
          <w:rFonts w:cstheme="minorHAnsi"/>
        </w:rPr>
        <w:t>ní č. 059</w:t>
      </w:r>
      <w:r w:rsidRPr="005812DC">
        <w:rPr>
          <w:rFonts w:cstheme="minorHAnsi"/>
        </w:rPr>
        <w:t>-05/2021/RK ze dne 4. 2. 2021 (rozpočtové opatření č. 033/20/2021) ve výši 19 471 928,56 Kč. Zároveň tímto usnesením byly provedeny převody z kapitoly 01 – Činnost Zastupitelstva a kapito</w:t>
      </w:r>
      <w:r>
        <w:rPr>
          <w:rFonts w:cstheme="minorHAnsi"/>
        </w:rPr>
        <w:t xml:space="preserve">ly 14 – Řízení lidských zdrojů. </w:t>
      </w:r>
      <w:r w:rsidRPr="00444B13">
        <w:rPr>
          <w:rFonts w:cstheme="minorHAnsi"/>
        </w:rPr>
        <w:t>Dále byl rozpočet Sociálního fondu navýšen o odvody z kapitoly 14 – Řízení lidských zdrojů ve výši 280 000,00 Kč na základě usnesení č. 040-14/2021/RK ze dne 25. 3. 2021 a ve výši 134 000,00 Kč na základě usnesení č. 118-47/2021/RK ze dne 16. 12. 2021. Jednalo se o 4% z částek, o které se navýšily mzdové prostředky v kapitole 14 – Řízení lidských zdrojů.</w:t>
      </w:r>
    </w:p>
    <w:p w14:paraId="55012CE8" w14:textId="77777777" w:rsidR="00B85262" w:rsidRDefault="00B85262" w:rsidP="00B85262">
      <w:pPr>
        <w:spacing w:after="0" w:line="240" w:lineRule="auto"/>
        <w:jc w:val="both"/>
        <w:rPr>
          <w:rFonts w:cstheme="minorHAnsi"/>
        </w:rPr>
      </w:pPr>
    </w:p>
    <w:p w14:paraId="292492B4" w14:textId="77777777" w:rsidR="00B85262" w:rsidRPr="005812DC" w:rsidRDefault="00B85262" w:rsidP="00B85262">
      <w:pPr>
        <w:spacing w:after="0" w:line="240" w:lineRule="auto"/>
        <w:jc w:val="both"/>
        <w:rPr>
          <w:rFonts w:cstheme="minorHAnsi"/>
          <w:b/>
          <w:u w:val="single"/>
        </w:rPr>
      </w:pPr>
    </w:p>
    <w:p w14:paraId="7B1CD5BC" w14:textId="77777777" w:rsidR="00B85262" w:rsidRPr="005812DC" w:rsidRDefault="00B85262" w:rsidP="00B85262">
      <w:pPr>
        <w:spacing w:after="0" w:line="240" w:lineRule="auto"/>
        <w:jc w:val="both"/>
        <w:rPr>
          <w:rFonts w:cstheme="minorHAnsi"/>
          <w:b/>
        </w:rPr>
      </w:pPr>
      <w:r w:rsidRPr="00C41BE4">
        <w:rPr>
          <w:rFonts w:cstheme="minorHAnsi"/>
          <w:b/>
        </w:rPr>
        <w:t>§ 6172 – Činnost regionální</w:t>
      </w:r>
      <w:r w:rsidRPr="005812DC">
        <w:rPr>
          <w:rFonts w:cstheme="minorHAnsi"/>
          <w:b/>
        </w:rPr>
        <w:t xml:space="preserve"> správy</w:t>
      </w:r>
    </w:p>
    <w:p w14:paraId="1C407F0A" w14:textId="77777777" w:rsidR="00B85262" w:rsidRPr="005812DC" w:rsidRDefault="00B85262" w:rsidP="00B85262">
      <w:pPr>
        <w:spacing w:after="0" w:line="240" w:lineRule="auto"/>
        <w:jc w:val="both"/>
        <w:rPr>
          <w:rFonts w:cstheme="minorHAnsi"/>
          <w:b/>
          <w:u w:val="single"/>
        </w:rPr>
      </w:pPr>
    </w:p>
    <w:p w14:paraId="71567247" w14:textId="33AC3268" w:rsidR="00B85262" w:rsidRPr="005812DC" w:rsidRDefault="00B85262" w:rsidP="00B85262">
      <w:pPr>
        <w:spacing w:after="0" w:line="240" w:lineRule="auto"/>
        <w:jc w:val="both"/>
        <w:rPr>
          <w:rFonts w:cstheme="minorHAnsi"/>
        </w:rPr>
      </w:pPr>
      <w:r>
        <w:rPr>
          <w:rFonts w:cstheme="minorHAnsi"/>
          <w:b/>
          <w:bCs/>
        </w:rPr>
        <w:t xml:space="preserve">5169 – </w:t>
      </w:r>
      <w:r w:rsidR="00D30848">
        <w:rPr>
          <w:rFonts w:cstheme="minorHAnsi"/>
          <w:b/>
          <w:bCs/>
        </w:rPr>
        <w:t>n</w:t>
      </w:r>
      <w:r w:rsidRPr="005812DC">
        <w:rPr>
          <w:rFonts w:cstheme="minorHAnsi"/>
          <w:b/>
          <w:bCs/>
        </w:rPr>
        <w:t>ákup ostatních služeb</w:t>
      </w:r>
      <w:r w:rsidRPr="005812DC">
        <w:rPr>
          <w:rFonts w:cstheme="minorHAnsi"/>
        </w:rPr>
        <w:t xml:space="preserve"> </w:t>
      </w:r>
    </w:p>
    <w:p w14:paraId="1C6B1138" w14:textId="77777777" w:rsidR="00B85262" w:rsidRPr="005812DC" w:rsidRDefault="00B85262" w:rsidP="00B85262">
      <w:pPr>
        <w:spacing w:after="0" w:line="240" w:lineRule="auto"/>
        <w:jc w:val="both"/>
        <w:rPr>
          <w:rFonts w:cstheme="minorHAnsi"/>
        </w:rPr>
      </w:pPr>
      <w:r w:rsidRPr="005812DC">
        <w:rPr>
          <w:rFonts w:cstheme="minorHAnsi"/>
        </w:rPr>
        <w:t>Příspěvky na stravování. Jde o prostředky, které jsou ze Sociálního fondu převáděny na běžný účet jako příspěvek na stravování zaměstnanců a uvolněných zastupitelů dle Pravidel tvorby a používání Sociálního</w:t>
      </w:r>
      <w:r>
        <w:rPr>
          <w:rFonts w:cstheme="minorHAnsi"/>
        </w:rPr>
        <w:t> </w:t>
      </w:r>
      <w:r w:rsidRPr="005812DC">
        <w:rPr>
          <w:rFonts w:cstheme="minorHAnsi"/>
        </w:rPr>
        <w:t>fondu</w:t>
      </w:r>
      <w:r w:rsidRPr="00EC5D80">
        <w:rPr>
          <w:rFonts w:cstheme="minorHAnsi"/>
        </w:rPr>
        <w:t>.</w:t>
      </w:r>
      <w:r>
        <w:rPr>
          <w:rFonts w:cstheme="minorHAnsi"/>
        </w:rPr>
        <w:t> </w:t>
      </w:r>
      <w:r w:rsidRPr="005812DC">
        <w:rPr>
          <w:rFonts w:cstheme="minorHAnsi"/>
        </w:rPr>
        <w:t>Při</w:t>
      </w:r>
      <w:r>
        <w:rPr>
          <w:rFonts w:cstheme="minorHAnsi"/>
        </w:rPr>
        <w:t> </w:t>
      </w:r>
      <w:r w:rsidRPr="005812DC">
        <w:rPr>
          <w:rFonts w:cstheme="minorHAnsi"/>
        </w:rPr>
        <w:t>rozpočtu 7 400 000,00 Kč byla položka čerpána ve výš</w:t>
      </w:r>
      <w:r>
        <w:rPr>
          <w:rFonts w:cstheme="minorHAnsi"/>
        </w:rPr>
        <w:t>i 82,4 %.</w:t>
      </w:r>
    </w:p>
    <w:p w14:paraId="52805BE6" w14:textId="77777777" w:rsidR="00B85262" w:rsidRPr="005812DC" w:rsidRDefault="00B85262" w:rsidP="00B85262">
      <w:pPr>
        <w:spacing w:after="0" w:line="240" w:lineRule="auto"/>
        <w:jc w:val="both"/>
        <w:rPr>
          <w:rFonts w:cstheme="minorHAnsi"/>
          <w:b/>
          <w:bCs/>
        </w:rPr>
      </w:pPr>
    </w:p>
    <w:p w14:paraId="21525621" w14:textId="2DA5DF38" w:rsidR="00B85262" w:rsidRPr="005812DC" w:rsidRDefault="00B85262" w:rsidP="00B85262">
      <w:pPr>
        <w:spacing w:after="0" w:line="240" w:lineRule="auto"/>
        <w:jc w:val="both"/>
        <w:rPr>
          <w:rFonts w:cstheme="minorHAnsi"/>
        </w:rPr>
      </w:pPr>
      <w:r>
        <w:rPr>
          <w:rFonts w:cstheme="minorHAnsi"/>
          <w:b/>
          <w:bCs/>
        </w:rPr>
        <w:t xml:space="preserve">5499 – </w:t>
      </w:r>
      <w:r w:rsidR="00D30848">
        <w:rPr>
          <w:rFonts w:cstheme="minorHAnsi"/>
          <w:b/>
          <w:bCs/>
        </w:rPr>
        <w:t>o</w:t>
      </w:r>
      <w:r w:rsidRPr="005812DC">
        <w:rPr>
          <w:rFonts w:cstheme="minorHAnsi"/>
          <w:b/>
          <w:bCs/>
        </w:rPr>
        <w:t>statní neinvestiční transfery obyvatelstvu</w:t>
      </w:r>
      <w:r w:rsidRPr="005812DC">
        <w:rPr>
          <w:rFonts w:cstheme="minorHAnsi"/>
        </w:rPr>
        <w:t xml:space="preserve"> </w:t>
      </w:r>
    </w:p>
    <w:p w14:paraId="6EBF0614" w14:textId="77777777" w:rsidR="00B85262" w:rsidRPr="005812DC" w:rsidRDefault="00B85262" w:rsidP="00B85262">
      <w:pPr>
        <w:spacing w:after="0" w:line="240" w:lineRule="auto"/>
        <w:jc w:val="both"/>
        <w:rPr>
          <w:rFonts w:cstheme="minorHAnsi"/>
        </w:rPr>
      </w:pPr>
      <w:r w:rsidRPr="005812DC">
        <w:rPr>
          <w:rFonts w:cstheme="minorHAnsi"/>
        </w:rPr>
        <w:t>Prostředky na tzv. požitky z mezd, tj. dary při životních výročích a odchodech do penze, nenávratné sociální výpomoci, příspěvek na kulturní a sportovní vyžití, příspěvky na penz</w:t>
      </w:r>
      <w:r>
        <w:rPr>
          <w:rFonts w:cstheme="minorHAnsi"/>
        </w:rPr>
        <w:t xml:space="preserve">ijní nebo životní připojištění </w:t>
      </w:r>
      <w:r w:rsidRPr="005812DC">
        <w:rPr>
          <w:rFonts w:cstheme="minorHAnsi"/>
        </w:rPr>
        <w:t>apod. - vše podle aktuálního znění Pravidel tvorby a používání Sociálního fondu. Při rozpočtu 10 500 000,00 Kč byla položka čerpána</w:t>
      </w:r>
      <w:r>
        <w:rPr>
          <w:rFonts w:cstheme="minorHAnsi"/>
        </w:rPr>
        <w:t xml:space="preserve"> ve výši 78,8 %</w:t>
      </w:r>
      <w:r w:rsidRPr="005812DC">
        <w:rPr>
          <w:rFonts w:cstheme="minorHAnsi"/>
        </w:rPr>
        <w:t>.</w:t>
      </w:r>
    </w:p>
    <w:p w14:paraId="31592228" w14:textId="77777777" w:rsidR="00B85262" w:rsidRPr="005812DC" w:rsidRDefault="00B85262" w:rsidP="00B85262">
      <w:pPr>
        <w:spacing w:after="0" w:line="240" w:lineRule="auto"/>
        <w:jc w:val="both"/>
        <w:rPr>
          <w:rFonts w:cstheme="minorHAnsi"/>
          <w:b/>
        </w:rPr>
      </w:pPr>
    </w:p>
    <w:p w14:paraId="438019CB" w14:textId="46AABC13" w:rsidR="00B85262" w:rsidRPr="005812DC" w:rsidRDefault="00B85262" w:rsidP="00B85262">
      <w:pPr>
        <w:spacing w:after="0" w:line="240" w:lineRule="auto"/>
        <w:jc w:val="both"/>
        <w:rPr>
          <w:rFonts w:cstheme="minorHAnsi"/>
        </w:rPr>
      </w:pPr>
      <w:r>
        <w:rPr>
          <w:rFonts w:cstheme="minorHAnsi"/>
          <w:b/>
        </w:rPr>
        <w:t xml:space="preserve">5660 – </w:t>
      </w:r>
      <w:r w:rsidR="00D30848">
        <w:rPr>
          <w:rFonts w:cstheme="minorHAnsi"/>
          <w:b/>
        </w:rPr>
        <w:t>n</w:t>
      </w:r>
      <w:r w:rsidRPr="005812DC">
        <w:rPr>
          <w:rFonts w:cstheme="minorHAnsi"/>
          <w:b/>
        </w:rPr>
        <w:t>einvestiční půjčky obyvatelstvu</w:t>
      </w:r>
      <w:r w:rsidRPr="005812DC">
        <w:rPr>
          <w:rFonts w:cstheme="minorHAnsi"/>
        </w:rPr>
        <w:t xml:space="preserve"> </w:t>
      </w:r>
    </w:p>
    <w:p w14:paraId="246A629B" w14:textId="77777777" w:rsidR="00B85262" w:rsidRPr="005812DC" w:rsidRDefault="00B85262" w:rsidP="00B85262">
      <w:pPr>
        <w:spacing w:after="0" w:line="240" w:lineRule="auto"/>
        <w:jc w:val="both"/>
        <w:rPr>
          <w:rFonts w:cstheme="minorHAnsi"/>
        </w:rPr>
      </w:pPr>
      <w:r w:rsidRPr="005812DC">
        <w:rPr>
          <w:rFonts w:cstheme="minorHAnsi"/>
        </w:rPr>
        <w:t>Prostředky na poskytování návratné sociální výpomoci. Při rozpočtu 200 000,00 Kč byla položka čerpána ve výš</w:t>
      </w:r>
      <w:r>
        <w:rPr>
          <w:rFonts w:cstheme="minorHAnsi"/>
        </w:rPr>
        <w:t>i 20,0 %</w:t>
      </w:r>
      <w:r w:rsidRPr="005812DC">
        <w:rPr>
          <w:rFonts w:cstheme="minorHAnsi"/>
        </w:rPr>
        <w:t>.</w:t>
      </w:r>
    </w:p>
    <w:p w14:paraId="20559054" w14:textId="77777777" w:rsidR="00B85262" w:rsidRPr="005812DC" w:rsidRDefault="00B85262" w:rsidP="00B85262">
      <w:pPr>
        <w:spacing w:after="0" w:line="240" w:lineRule="auto"/>
        <w:jc w:val="both"/>
        <w:rPr>
          <w:rFonts w:cstheme="minorHAnsi"/>
        </w:rPr>
      </w:pPr>
    </w:p>
    <w:p w14:paraId="0D8EACF4" w14:textId="10AF95DF" w:rsidR="00B85262" w:rsidRPr="005812DC" w:rsidRDefault="00B85262" w:rsidP="00B85262">
      <w:pPr>
        <w:spacing w:after="0" w:line="240" w:lineRule="auto"/>
        <w:jc w:val="both"/>
        <w:rPr>
          <w:rFonts w:cstheme="minorHAnsi"/>
        </w:rPr>
      </w:pPr>
      <w:r>
        <w:rPr>
          <w:rFonts w:cstheme="minorHAnsi"/>
          <w:b/>
        </w:rPr>
        <w:t xml:space="preserve">5901 – </w:t>
      </w:r>
      <w:r w:rsidR="00D30848">
        <w:rPr>
          <w:rFonts w:cstheme="minorHAnsi"/>
          <w:b/>
        </w:rPr>
        <w:t>n</w:t>
      </w:r>
      <w:r w:rsidRPr="005812DC">
        <w:rPr>
          <w:rFonts w:cstheme="minorHAnsi"/>
          <w:b/>
        </w:rPr>
        <w:t>especifikované rezervy</w:t>
      </w:r>
      <w:r w:rsidRPr="005812DC">
        <w:rPr>
          <w:rFonts w:cstheme="minorHAnsi"/>
        </w:rPr>
        <w:t xml:space="preserve"> </w:t>
      </w:r>
    </w:p>
    <w:p w14:paraId="358DB63A" w14:textId="1782D1C4" w:rsidR="00B85262" w:rsidRPr="005812DC" w:rsidRDefault="00B85262" w:rsidP="00B85262">
      <w:pPr>
        <w:spacing w:after="0" w:line="240" w:lineRule="auto"/>
        <w:jc w:val="both"/>
        <w:rPr>
          <w:rFonts w:cstheme="minorHAnsi"/>
        </w:rPr>
      </w:pPr>
      <w:r w:rsidRPr="00444B13">
        <w:rPr>
          <w:rFonts w:cstheme="minorHAnsi"/>
        </w:rPr>
        <w:t>Rozpočet rezervy byl vytvořen na základě usnesení č. 059-05/2021/RK ze dne 4. 2. 2021 ve výši 271 928,56 Kč. Rezerva byla navýšena na základě usnesení č. 040-14/2021/RK ze dne 25. 3. 2021, kterým se navýšil rozpočet Sociálního fondu celkem o částku 280 000,00 Kč – jednalo se o 4 % z částky, o kterou se navýšily mzdové prostředky v kapitole 14 – Řízení lidských zdrojů, tj. z částky 7 000 000,00 Kč, na základě usnesení č. 007-04/2021/ZK ze dne 22. 2. 2021 a dále byla rezerva navýšena na základě usnesení č. 118-14/2021/RK ze dne 16. 12. 2021 o částku 134 000,00 Kč – jednalo se o 4 % z částky, o kterou se navýšily mzdové prostředky na kapitole 14 – Řízení lidských zdrojů, tj. z částky 3 350 000,00 Kč. Rozpočtová rezerva nebyla k 31.</w:t>
      </w:r>
      <w:r w:rsidR="00AA3B97">
        <w:rPr>
          <w:rFonts w:cstheme="minorHAnsi"/>
        </w:rPr>
        <w:t xml:space="preserve"> </w:t>
      </w:r>
      <w:r w:rsidRPr="00444B13">
        <w:rPr>
          <w:rFonts w:cstheme="minorHAnsi"/>
        </w:rPr>
        <w:t>12.</w:t>
      </w:r>
      <w:r w:rsidR="00AA3B97">
        <w:rPr>
          <w:rFonts w:cstheme="minorHAnsi"/>
        </w:rPr>
        <w:t xml:space="preserve"> </w:t>
      </w:r>
      <w:r w:rsidRPr="00444B13">
        <w:rPr>
          <w:rFonts w:cstheme="minorHAnsi"/>
        </w:rPr>
        <w:t>2021 čerpána.</w:t>
      </w:r>
    </w:p>
    <w:p w14:paraId="1894A1A5" w14:textId="77777777" w:rsidR="00B85262" w:rsidRPr="005812DC" w:rsidRDefault="00B85262" w:rsidP="00B85262">
      <w:pPr>
        <w:spacing w:after="0" w:line="240" w:lineRule="auto"/>
        <w:jc w:val="both"/>
        <w:rPr>
          <w:rFonts w:cstheme="minorHAnsi"/>
        </w:rPr>
      </w:pPr>
    </w:p>
    <w:p w14:paraId="1909F0DD" w14:textId="77777777" w:rsidR="00B85262" w:rsidRPr="005812DC" w:rsidRDefault="00B85262" w:rsidP="00B85262">
      <w:pPr>
        <w:spacing w:after="0" w:line="240" w:lineRule="auto"/>
        <w:rPr>
          <w:rFonts w:cstheme="minorHAnsi"/>
          <w:b/>
        </w:rPr>
      </w:pPr>
      <w:r w:rsidRPr="005812DC">
        <w:rPr>
          <w:rFonts w:cstheme="minorHAnsi"/>
          <w:b/>
        </w:rPr>
        <w:t>§ 6310 – Obecné příjmy a výdaje z finančních operací</w:t>
      </w:r>
    </w:p>
    <w:p w14:paraId="2D6A116C" w14:textId="77777777" w:rsidR="00B85262" w:rsidRPr="005812DC" w:rsidRDefault="00B85262" w:rsidP="00B85262">
      <w:pPr>
        <w:spacing w:after="0" w:line="240" w:lineRule="auto"/>
        <w:rPr>
          <w:rFonts w:cstheme="minorHAnsi"/>
          <w:b/>
        </w:rPr>
      </w:pPr>
    </w:p>
    <w:p w14:paraId="592B2C7B" w14:textId="3AD51D33" w:rsidR="00B85262" w:rsidRPr="005812DC" w:rsidRDefault="00B85262" w:rsidP="00B85262">
      <w:pPr>
        <w:spacing w:after="0" w:line="240" w:lineRule="auto"/>
        <w:rPr>
          <w:rFonts w:cstheme="minorHAnsi"/>
        </w:rPr>
      </w:pPr>
      <w:r>
        <w:rPr>
          <w:rFonts w:cstheme="minorHAnsi"/>
          <w:b/>
        </w:rPr>
        <w:t xml:space="preserve">5163 – </w:t>
      </w:r>
      <w:r w:rsidR="00D30848">
        <w:rPr>
          <w:rFonts w:cstheme="minorHAnsi"/>
          <w:b/>
        </w:rPr>
        <w:t>s</w:t>
      </w:r>
      <w:r w:rsidRPr="005812DC">
        <w:rPr>
          <w:rFonts w:cstheme="minorHAnsi"/>
          <w:b/>
        </w:rPr>
        <w:t>lužby peněžních ústavů</w:t>
      </w:r>
    </w:p>
    <w:p w14:paraId="68565920" w14:textId="77777777" w:rsidR="00B85262" w:rsidRPr="005812DC" w:rsidRDefault="00B85262" w:rsidP="00B85262">
      <w:pPr>
        <w:spacing w:after="0" w:line="240" w:lineRule="auto"/>
        <w:rPr>
          <w:rFonts w:cstheme="minorHAnsi"/>
        </w:rPr>
      </w:pPr>
      <w:r w:rsidRPr="005812DC">
        <w:rPr>
          <w:rFonts w:cstheme="minorHAnsi"/>
        </w:rPr>
        <w:t xml:space="preserve">Při rozpočtu 20 000,00 Kč byla položka čerpána pouze ve výši </w:t>
      </w:r>
      <w:r>
        <w:rPr>
          <w:rFonts w:cstheme="minorHAnsi"/>
        </w:rPr>
        <w:t>15,6</w:t>
      </w:r>
      <w:r w:rsidRPr="005812DC">
        <w:rPr>
          <w:rFonts w:cstheme="minorHAnsi"/>
        </w:rPr>
        <w:t xml:space="preserve"> %. Položka zahrnuje bankovní poplatky.</w:t>
      </w:r>
    </w:p>
    <w:p w14:paraId="53A616C9" w14:textId="77777777" w:rsidR="00B85262" w:rsidRPr="005812DC" w:rsidRDefault="00B85262" w:rsidP="00B85262">
      <w:pPr>
        <w:spacing w:after="0" w:line="240" w:lineRule="auto"/>
        <w:jc w:val="both"/>
        <w:rPr>
          <w:rFonts w:cstheme="minorHAnsi"/>
          <w:b/>
        </w:rPr>
      </w:pPr>
    </w:p>
    <w:p w14:paraId="25C50805" w14:textId="77777777" w:rsidR="00B85262" w:rsidRPr="005812DC" w:rsidRDefault="00B85262" w:rsidP="00B85262">
      <w:pPr>
        <w:spacing w:after="0" w:line="240" w:lineRule="auto"/>
        <w:jc w:val="both"/>
        <w:rPr>
          <w:rFonts w:cstheme="minorHAnsi"/>
          <w:b/>
        </w:rPr>
      </w:pPr>
      <w:r w:rsidRPr="005812DC">
        <w:rPr>
          <w:rFonts w:cstheme="minorHAnsi"/>
          <w:b/>
        </w:rPr>
        <w:t>§ 6330 – Převody vlastním fondům v rozpočtech územní úrovně</w:t>
      </w:r>
    </w:p>
    <w:p w14:paraId="12D169FB" w14:textId="77777777" w:rsidR="00B85262" w:rsidRPr="005812DC" w:rsidRDefault="00B85262" w:rsidP="00B85262">
      <w:pPr>
        <w:spacing w:after="0" w:line="240" w:lineRule="auto"/>
        <w:jc w:val="both"/>
        <w:rPr>
          <w:rFonts w:cstheme="minorHAnsi"/>
          <w:b/>
        </w:rPr>
      </w:pPr>
    </w:p>
    <w:p w14:paraId="06DB8493" w14:textId="28BDDEA6" w:rsidR="00B85262" w:rsidRPr="005812DC" w:rsidRDefault="00B85262" w:rsidP="00B85262">
      <w:pPr>
        <w:spacing w:after="0" w:line="240" w:lineRule="auto"/>
        <w:jc w:val="both"/>
        <w:rPr>
          <w:rFonts w:cstheme="minorHAnsi"/>
          <w:b/>
          <w:bCs/>
        </w:rPr>
      </w:pPr>
      <w:bookmarkStart w:id="62" w:name="_Hlk98929358"/>
      <w:r w:rsidRPr="005812DC">
        <w:rPr>
          <w:rFonts w:cstheme="minorHAnsi"/>
          <w:b/>
          <w:bCs/>
        </w:rPr>
        <w:t xml:space="preserve">5343 – </w:t>
      </w:r>
      <w:r w:rsidR="00D30848">
        <w:rPr>
          <w:rFonts w:cstheme="minorHAnsi"/>
          <w:b/>
          <w:bCs/>
        </w:rPr>
        <w:t>v</w:t>
      </w:r>
      <w:r w:rsidRPr="005812DC">
        <w:rPr>
          <w:rFonts w:cstheme="minorHAnsi"/>
          <w:b/>
          <w:bCs/>
        </w:rPr>
        <w:t xml:space="preserve">ypořádání za r. 2020 se Středočeským krajem </w:t>
      </w:r>
    </w:p>
    <w:p w14:paraId="2E79AC55" w14:textId="67F8E3DC" w:rsidR="00B85262" w:rsidRPr="005812DC" w:rsidRDefault="00B85262" w:rsidP="00B85262">
      <w:pPr>
        <w:spacing w:after="0" w:line="240" w:lineRule="auto"/>
        <w:jc w:val="both"/>
        <w:rPr>
          <w:rFonts w:cstheme="minorHAnsi"/>
          <w:bCs/>
        </w:rPr>
      </w:pPr>
      <w:r>
        <w:rPr>
          <w:rFonts w:cstheme="minorHAnsi"/>
        </w:rPr>
        <w:t>Jedná se o</w:t>
      </w:r>
      <w:r w:rsidRPr="005812DC">
        <w:rPr>
          <w:rFonts w:cstheme="minorHAnsi"/>
        </w:rPr>
        <w:t xml:space="preserve"> převod mezi účtem Sociálního fondu a běžným účtem Středočeského kraje po vyúčtování požitků a příspěvků na stravování za prosinec 202</w:t>
      </w:r>
      <w:r w:rsidR="000374D9">
        <w:rPr>
          <w:rFonts w:cstheme="minorHAnsi"/>
        </w:rPr>
        <w:t>0</w:t>
      </w:r>
      <w:r w:rsidRPr="005812DC">
        <w:rPr>
          <w:rFonts w:cstheme="minorHAnsi"/>
        </w:rPr>
        <w:t xml:space="preserve"> a po vyúčtování přídělů do Sociálního fondu v roce 202</w:t>
      </w:r>
      <w:r w:rsidR="000374D9">
        <w:rPr>
          <w:rFonts w:cstheme="minorHAnsi"/>
        </w:rPr>
        <w:t>0</w:t>
      </w:r>
      <w:r w:rsidRPr="005812DC">
        <w:rPr>
          <w:rFonts w:cstheme="minorHAnsi"/>
        </w:rPr>
        <w:t>. Převody za požitky a stravování byly dle Pravidel pro tvorbu a používání Sociálního fondu refundovány vůči základnímu běžnému účtu měsíčně, skutečný stav za prosinec byl však znám až po</w:t>
      </w:r>
      <w:r>
        <w:rPr>
          <w:rFonts w:cstheme="minorHAnsi"/>
        </w:rPr>
        <w:t xml:space="preserve"> </w:t>
      </w:r>
      <w:r w:rsidRPr="005812DC">
        <w:rPr>
          <w:rFonts w:cstheme="minorHAnsi"/>
        </w:rPr>
        <w:t>zaúčtování mezd v lednu 202</w:t>
      </w:r>
      <w:r w:rsidR="000374D9">
        <w:rPr>
          <w:rFonts w:cstheme="minorHAnsi"/>
        </w:rPr>
        <w:t>1</w:t>
      </w:r>
      <w:r w:rsidRPr="005812DC">
        <w:rPr>
          <w:rFonts w:cstheme="minorHAnsi"/>
        </w:rPr>
        <w:t>. Stejně tak tomu bylo v případě přídělů, které se počítají z objemu mezd</w:t>
      </w:r>
      <w:r>
        <w:rPr>
          <w:rFonts w:cstheme="minorHAnsi"/>
        </w:rPr>
        <w:t xml:space="preserve"> </w:t>
      </w:r>
      <w:r w:rsidRPr="005812DC">
        <w:rPr>
          <w:rFonts w:cstheme="minorHAnsi"/>
        </w:rPr>
        <w:t>zaměstnanců</w:t>
      </w:r>
      <w:r>
        <w:rPr>
          <w:rFonts w:cstheme="minorHAnsi"/>
        </w:rPr>
        <w:t xml:space="preserve"> </w:t>
      </w:r>
      <w:r w:rsidRPr="005812DC">
        <w:rPr>
          <w:rFonts w:cstheme="minorHAnsi"/>
        </w:rPr>
        <w:t>a</w:t>
      </w:r>
      <w:r>
        <w:rPr>
          <w:rFonts w:cstheme="minorHAnsi"/>
        </w:rPr>
        <w:t xml:space="preserve"> </w:t>
      </w:r>
      <w:r w:rsidRPr="005812DC">
        <w:rPr>
          <w:rFonts w:cstheme="minorHAnsi"/>
        </w:rPr>
        <w:t>odměn</w:t>
      </w:r>
      <w:r>
        <w:rPr>
          <w:rFonts w:cstheme="minorHAnsi"/>
        </w:rPr>
        <w:t xml:space="preserve"> </w:t>
      </w:r>
      <w:r w:rsidRPr="005812DC">
        <w:rPr>
          <w:rFonts w:cstheme="minorHAnsi"/>
        </w:rPr>
        <w:t>uvolněných</w:t>
      </w:r>
      <w:r>
        <w:rPr>
          <w:rFonts w:cstheme="minorHAnsi"/>
        </w:rPr>
        <w:t xml:space="preserve"> </w:t>
      </w:r>
      <w:r w:rsidRPr="005812DC">
        <w:rPr>
          <w:rFonts w:cstheme="minorHAnsi"/>
        </w:rPr>
        <w:t>zastupitelů.</w:t>
      </w:r>
      <w:r>
        <w:rPr>
          <w:rFonts w:cstheme="minorHAnsi"/>
        </w:rPr>
        <w:t xml:space="preserve"> </w:t>
      </w:r>
      <w:r w:rsidRPr="005812DC">
        <w:rPr>
          <w:rFonts w:cstheme="minorHAnsi"/>
          <w:bCs/>
        </w:rPr>
        <w:t>Rozpočtovaná</w:t>
      </w:r>
      <w:r>
        <w:rPr>
          <w:rFonts w:cstheme="minorHAnsi"/>
          <w:bCs/>
        </w:rPr>
        <w:t xml:space="preserve"> </w:t>
      </w:r>
      <w:r w:rsidRPr="005812DC">
        <w:rPr>
          <w:rFonts w:cstheme="minorHAnsi"/>
          <w:bCs/>
        </w:rPr>
        <w:t>částka</w:t>
      </w:r>
      <w:r>
        <w:rPr>
          <w:rFonts w:cstheme="minorHAnsi"/>
          <w:bCs/>
        </w:rPr>
        <w:t xml:space="preserve"> </w:t>
      </w:r>
      <w:r w:rsidRPr="005812DC">
        <w:rPr>
          <w:rFonts w:cstheme="minorHAnsi"/>
          <w:bCs/>
        </w:rPr>
        <w:t>ve</w:t>
      </w:r>
      <w:r>
        <w:rPr>
          <w:rFonts w:cstheme="minorHAnsi"/>
          <w:bCs/>
        </w:rPr>
        <w:t xml:space="preserve"> </w:t>
      </w:r>
      <w:r w:rsidRPr="005812DC">
        <w:rPr>
          <w:rFonts w:cstheme="minorHAnsi"/>
          <w:bCs/>
        </w:rPr>
        <w:t>výši 1</w:t>
      </w:r>
      <w:r w:rsidR="00AA3B97">
        <w:rPr>
          <w:rFonts w:cstheme="minorHAnsi"/>
          <w:bCs/>
        </w:rPr>
        <w:t> </w:t>
      </w:r>
      <w:r w:rsidRPr="005812DC">
        <w:rPr>
          <w:rFonts w:cstheme="minorHAnsi"/>
          <w:bCs/>
        </w:rPr>
        <w:t>080 000,00 Kč</w:t>
      </w:r>
      <w:r w:rsidRPr="005812DC">
        <w:rPr>
          <w:rFonts w:cstheme="minorHAnsi"/>
        </w:rPr>
        <w:t xml:space="preserve"> byla </w:t>
      </w:r>
      <w:r w:rsidRPr="005812DC">
        <w:rPr>
          <w:rFonts w:cstheme="minorHAnsi"/>
          <w:bCs/>
        </w:rPr>
        <w:t>čerpána ve výši 99,0 %.</w:t>
      </w:r>
    </w:p>
    <w:bookmarkEnd w:id="62"/>
    <w:p w14:paraId="27DE6A76" w14:textId="1AA6E804" w:rsidR="005C03E7" w:rsidRDefault="005C03E7" w:rsidP="0013179B">
      <w:pPr>
        <w:rPr>
          <w:rFonts w:cs="Calibri"/>
        </w:rPr>
      </w:pPr>
    </w:p>
    <w:tbl>
      <w:tblPr>
        <w:tblW w:w="10206" w:type="dxa"/>
        <w:tblCellMar>
          <w:left w:w="70" w:type="dxa"/>
          <w:right w:w="70" w:type="dxa"/>
        </w:tblCellMar>
        <w:tblLook w:val="04A0" w:firstRow="1" w:lastRow="0" w:firstColumn="1" w:lastColumn="0" w:noHBand="0" w:noVBand="1"/>
      </w:tblPr>
      <w:tblGrid>
        <w:gridCol w:w="826"/>
        <w:gridCol w:w="3994"/>
        <w:gridCol w:w="1559"/>
        <w:gridCol w:w="1701"/>
        <w:gridCol w:w="1418"/>
        <w:gridCol w:w="708"/>
      </w:tblGrid>
      <w:tr w:rsidR="00B85262" w:rsidRPr="00B85262" w14:paraId="058F9180" w14:textId="77777777" w:rsidTr="00A41CC1">
        <w:trPr>
          <w:trHeight w:val="375"/>
        </w:trPr>
        <w:tc>
          <w:tcPr>
            <w:tcW w:w="10206" w:type="dxa"/>
            <w:gridSpan w:val="6"/>
            <w:tcBorders>
              <w:top w:val="nil"/>
              <w:left w:val="nil"/>
              <w:bottom w:val="nil"/>
              <w:right w:val="nil"/>
            </w:tcBorders>
            <w:shd w:val="clear" w:color="auto" w:fill="auto"/>
            <w:noWrap/>
            <w:vAlign w:val="center"/>
            <w:hideMark/>
          </w:tcPr>
          <w:p w14:paraId="7328F6C3" w14:textId="77777777" w:rsidR="00B85262" w:rsidRPr="00B85262" w:rsidRDefault="00B85262" w:rsidP="00B85262">
            <w:pPr>
              <w:spacing w:after="0" w:line="240" w:lineRule="auto"/>
              <w:jc w:val="center"/>
              <w:rPr>
                <w:rFonts w:ascii="Calibri" w:eastAsia="Times New Roman" w:hAnsi="Calibri" w:cs="Calibri"/>
                <w:b/>
                <w:bCs/>
                <w:sz w:val="28"/>
                <w:szCs w:val="28"/>
                <w:lang w:eastAsia="cs-CZ"/>
              </w:rPr>
            </w:pPr>
            <w:r w:rsidRPr="00B85262">
              <w:rPr>
                <w:rFonts w:ascii="Calibri" w:eastAsia="Times New Roman" w:hAnsi="Calibri" w:cs="Calibri"/>
                <w:b/>
                <w:bCs/>
                <w:sz w:val="28"/>
                <w:szCs w:val="28"/>
                <w:lang w:eastAsia="cs-CZ"/>
              </w:rPr>
              <w:t>Čerpání rozpočtu kapitoly 23 - Ostatní - období: 1. - 12. 2021</w:t>
            </w:r>
          </w:p>
        </w:tc>
      </w:tr>
      <w:tr w:rsidR="00B85262" w:rsidRPr="00B85262" w14:paraId="2F639A06" w14:textId="77777777" w:rsidTr="00A41CC1">
        <w:trPr>
          <w:trHeight w:val="390"/>
        </w:trPr>
        <w:tc>
          <w:tcPr>
            <w:tcW w:w="826" w:type="dxa"/>
            <w:tcBorders>
              <w:top w:val="nil"/>
              <w:left w:val="nil"/>
              <w:bottom w:val="nil"/>
              <w:right w:val="nil"/>
            </w:tcBorders>
            <w:shd w:val="clear" w:color="auto" w:fill="auto"/>
            <w:noWrap/>
            <w:vAlign w:val="center"/>
            <w:hideMark/>
          </w:tcPr>
          <w:p w14:paraId="6FCD9C4F" w14:textId="77777777" w:rsidR="00B85262" w:rsidRPr="00B85262" w:rsidRDefault="00B85262" w:rsidP="00B85262">
            <w:pPr>
              <w:spacing w:after="0" w:line="240" w:lineRule="auto"/>
              <w:jc w:val="center"/>
              <w:rPr>
                <w:rFonts w:ascii="Calibri" w:eastAsia="Times New Roman" w:hAnsi="Calibri" w:cs="Calibri"/>
                <w:b/>
                <w:bCs/>
                <w:sz w:val="28"/>
                <w:szCs w:val="28"/>
                <w:lang w:eastAsia="cs-CZ"/>
              </w:rPr>
            </w:pPr>
          </w:p>
        </w:tc>
        <w:tc>
          <w:tcPr>
            <w:tcW w:w="3994" w:type="dxa"/>
            <w:tcBorders>
              <w:top w:val="nil"/>
              <w:left w:val="nil"/>
              <w:bottom w:val="nil"/>
              <w:right w:val="nil"/>
            </w:tcBorders>
            <w:shd w:val="clear" w:color="auto" w:fill="auto"/>
            <w:noWrap/>
            <w:vAlign w:val="center"/>
            <w:hideMark/>
          </w:tcPr>
          <w:p w14:paraId="3DF28779"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1559" w:type="dxa"/>
            <w:tcBorders>
              <w:top w:val="nil"/>
              <w:left w:val="nil"/>
              <w:bottom w:val="nil"/>
              <w:right w:val="nil"/>
            </w:tcBorders>
            <w:shd w:val="clear" w:color="auto" w:fill="auto"/>
            <w:noWrap/>
            <w:vAlign w:val="center"/>
            <w:hideMark/>
          </w:tcPr>
          <w:p w14:paraId="1C4401B4"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center"/>
            <w:hideMark/>
          </w:tcPr>
          <w:p w14:paraId="78021A93"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1418" w:type="dxa"/>
            <w:tcBorders>
              <w:top w:val="nil"/>
              <w:left w:val="nil"/>
              <w:bottom w:val="nil"/>
              <w:right w:val="nil"/>
            </w:tcBorders>
            <w:shd w:val="clear" w:color="auto" w:fill="auto"/>
            <w:noWrap/>
            <w:vAlign w:val="center"/>
            <w:hideMark/>
          </w:tcPr>
          <w:p w14:paraId="03C25E7C"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708" w:type="dxa"/>
            <w:tcBorders>
              <w:top w:val="nil"/>
              <w:left w:val="nil"/>
              <w:bottom w:val="nil"/>
              <w:right w:val="nil"/>
            </w:tcBorders>
            <w:shd w:val="clear" w:color="auto" w:fill="auto"/>
            <w:noWrap/>
            <w:vAlign w:val="center"/>
            <w:hideMark/>
          </w:tcPr>
          <w:p w14:paraId="52AF6FDF" w14:textId="77777777" w:rsidR="00B85262" w:rsidRPr="00B85262" w:rsidRDefault="00B85262" w:rsidP="00B85262">
            <w:pPr>
              <w:spacing w:after="0" w:line="240" w:lineRule="auto"/>
              <w:jc w:val="right"/>
              <w:rPr>
                <w:rFonts w:ascii="Calibri" w:eastAsia="Times New Roman" w:hAnsi="Calibri" w:cs="Calibri"/>
                <w:lang w:eastAsia="cs-CZ"/>
              </w:rPr>
            </w:pPr>
            <w:r w:rsidRPr="00B85262">
              <w:rPr>
                <w:rFonts w:ascii="Calibri" w:eastAsia="Times New Roman" w:hAnsi="Calibri" w:cs="Calibri"/>
                <w:lang w:eastAsia="cs-CZ"/>
              </w:rPr>
              <w:t>v Kč</w:t>
            </w:r>
          </w:p>
        </w:tc>
      </w:tr>
      <w:tr w:rsidR="00B85262" w:rsidRPr="00B85262" w14:paraId="50C15EEE" w14:textId="77777777" w:rsidTr="00A41CC1">
        <w:trPr>
          <w:trHeight w:val="645"/>
        </w:trPr>
        <w:tc>
          <w:tcPr>
            <w:tcW w:w="826" w:type="dxa"/>
            <w:tcBorders>
              <w:top w:val="single" w:sz="8" w:space="0" w:color="auto"/>
              <w:left w:val="single" w:sz="8" w:space="0" w:color="auto"/>
              <w:bottom w:val="single" w:sz="8" w:space="0" w:color="auto"/>
              <w:right w:val="single" w:sz="8" w:space="0" w:color="auto"/>
            </w:tcBorders>
            <w:shd w:val="clear" w:color="000000" w:fill="CCFFCC"/>
            <w:noWrap/>
            <w:vAlign w:val="center"/>
            <w:hideMark/>
          </w:tcPr>
          <w:p w14:paraId="1B18B41F"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Paragraf</w:t>
            </w:r>
          </w:p>
        </w:tc>
        <w:tc>
          <w:tcPr>
            <w:tcW w:w="3994" w:type="dxa"/>
            <w:tcBorders>
              <w:top w:val="single" w:sz="8" w:space="0" w:color="auto"/>
              <w:left w:val="nil"/>
              <w:bottom w:val="single" w:sz="8" w:space="0" w:color="auto"/>
              <w:right w:val="single" w:sz="8" w:space="0" w:color="auto"/>
            </w:tcBorders>
            <w:shd w:val="clear" w:color="000000" w:fill="CCFFCC"/>
            <w:noWrap/>
            <w:vAlign w:val="center"/>
            <w:hideMark/>
          </w:tcPr>
          <w:p w14:paraId="1DC2B7DF"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Oblast rozpočtu</w:t>
            </w:r>
          </w:p>
        </w:tc>
        <w:tc>
          <w:tcPr>
            <w:tcW w:w="1559" w:type="dxa"/>
            <w:tcBorders>
              <w:top w:val="single" w:sz="8" w:space="0" w:color="auto"/>
              <w:left w:val="nil"/>
              <w:bottom w:val="single" w:sz="8" w:space="0" w:color="auto"/>
              <w:right w:val="single" w:sz="8" w:space="0" w:color="auto"/>
            </w:tcBorders>
            <w:shd w:val="clear" w:color="000000" w:fill="CCFFCC"/>
            <w:vAlign w:val="center"/>
            <w:hideMark/>
          </w:tcPr>
          <w:p w14:paraId="521498BD"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Schválený rozpočet</w:t>
            </w:r>
          </w:p>
        </w:tc>
        <w:tc>
          <w:tcPr>
            <w:tcW w:w="1701" w:type="dxa"/>
            <w:tcBorders>
              <w:top w:val="single" w:sz="8" w:space="0" w:color="auto"/>
              <w:left w:val="nil"/>
              <w:bottom w:val="single" w:sz="8" w:space="0" w:color="auto"/>
              <w:right w:val="single" w:sz="8" w:space="0" w:color="auto"/>
            </w:tcBorders>
            <w:shd w:val="clear" w:color="000000" w:fill="CCFFCC"/>
            <w:vAlign w:val="center"/>
            <w:hideMark/>
          </w:tcPr>
          <w:p w14:paraId="7B34635F"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Rozpočet po úpravě</w:t>
            </w:r>
          </w:p>
        </w:tc>
        <w:tc>
          <w:tcPr>
            <w:tcW w:w="1418" w:type="dxa"/>
            <w:tcBorders>
              <w:top w:val="single" w:sz="8" w:space="0" w:color="auto"/>
              <w:left w:val="nil"/>
              <w:bottom w:val="single" w:sz="8" w:space="0" w:color="auto"/>
              <w:right w:val="single" w:sz="8" w:space="0" w:color="auto"/>
            </w:tcBorders>
            <w:shd w:val="clear" w:color="000000" w:fill="CCFFCC"/>
            <w:vAlign w:val="center"/>
            <w:hideMark/>
          </w:tcPr>
          <w:p w14:paraId="23D5361D"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 xml:space="preserve">Skutečnost </w:t>
            </w:r>
          </w:p>
        </w:tc>
        <w:tc>
          <w:tcPr>
            <w:tcW w:w="708" w:type="dxa"/>
            <w:tcBorders>
              <w:top w:val="single" w:sz="8" w:space="0" w:color="auto"/>
              <w:left w:val="nil"/>
              <w:bottom w:val="single" w:sz="8" w:space="0" w:color="auto"/>
              <w:right w:val="single" w:sz="8" w:space="0" w:color="auto"/>
            </w:tcBorders>
            <w:shd w:val="clear" w:color="000000" w:fill="CCFFCC"/>
            <w:vAlign w:val="center"/>
            <w:hideMark/>
          </w:tcPr>
          <w:p w14:paraId="4589C117"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 plnění</w:t>
            </w:r>
          </w:p>
        </w:tc>
      </w:tr>
      <w:tr w:rsidR="00B85262" w:rsidRPr="00B85262" w14:paraId="1C2D023F" w14:textId="77777777" w:rsidTr="00A41CC1">
        <w:trPr>
          <w:trHeight w:val="360"/>
        </w:trPr>
        <w:tc>
          <w:tcPr>
            <w:tcW w:w="826" w:type="dxa"/>
            <w:tcBorders>
              <w:top w:val="nil"/>
              <w:left w:val="nil"/>
              <w:bottom w:val="nil"/>
              <w:right w:val="nil"/>
            </w:tcBorders>
            <w:shd w:val="clear" w:color="auto" w:fill="auto"/>
            <w:noWrap/>
            <w:vAlign w:val="center"/>
            <w:hideMark/>
          </w:tcPr>
          <w:p w14:paraId="2563A68E"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p>
        </w:tc>
        <w:tc>
          <w:tcPr>
            <w:tcW w:w="3994" w:type="dxa"/>
            <w:tcBorders>
              <w:top w:val="nil"/>
              <w:left w:val="nil"/>
              <w:bottom w:val="nil"/>
              <w:right w:val="nil"/>
            </w:tcBorders>
            <w:shd w:val="clear" w:color="auto" w:fill="auto"/>
            <w:noWrap/>
            <w:vAlign w:val="center"/>
            <w:hideMark/>
          </w:tcPr>
          <w:p w14:paraId="7AF9641C" w14:textId="77777777" w:rsidR="00B85262" w:rsidRPr="00B85262" w:rsidRDefault="00B85262" w:rsidP="00B85262">
            <w:pPr>
              <w:spacing w:after="0" w:line="240" w:lineRule="auto"/>
              <w:rPr>
                <w:rFonts w:ascii="Calibri" w:eastAsia="Times New Roman" w:hAnsi="Calibri" w:cs="Calibri"/>
                <w:b/>
                <w:bCs/>
                <w:lang w:eastAsia="cs-CZ"/>
              </w:rPr>
            </w:pPr>
            <w:r w:rsidRPr="00B85262">
              <w:rPr>
                <w:rFonts w:ascii="Calibri" w:eastAsia="Times New Roman" w:hAnsi="Calibri" w:cs="Calibri"/>
                <w:b/>
                <w:bCs/>
                <w:lang w:eastAsia="cs-CZ"/>
              </w:rPr>
              <w:t xml:space="preserve">Běžné výdaje </w:t>
            </w:r>
          </w:p>
        </w:tc>
        <w:tc>
          <w:tcPr>
            <w:tcW w:w="1559" w:type="dxa"/>
            <w:tcBorders>
              <w:top w:val="nil"/>
              <w:left w:val="nil"/>
              <w:bottom w:val="nil"/>
              <w:right w:val="nil"/>
            </w:tcBorders>
            <w:shd w:val="clear" w:color="auto" w:fill="auto"/>
            <w:noWrap/>
            <w:vAlign w:val="center"/>
            <w:hideMark/>
          </w:tcPr>
          <w:p w14:paraId="4C826DCC" w14:textId="77777777" w:rsidR="00B85262" w:rsidRPr="00B85262" w:rsidRDefault="00B85262" w:rsidP="00B85262">
            <w:pPr>
              <w:spacing w:after="0" w:line="240" w:lineRule="auto"/>
              <w:rPr>
                <w:rFonts w:ascii="Calibri" w:eastAsia="Times New Roman" w:hAnsi="Calibri" w:cs="Calibri"/>
                <w:b/>
                <w:bCs/>
                <w:lang w:eastAsia="cs-CZ"/>
              </w:rPr>
            </w:pPr>
          </w:p>
        </w:tc>
        <w:tc>
          <w:tcPr>
            <w:tcW w:w="1701" w:type="dxa"/>
            <w:tcBorders>
              <w:top w:val="nil"/>
              <w:left w:val="nil"/>
              <w:bottom w:val="nil"/>
              <w:right w:val="nil"/>
            </w:tcBorders>
            <w:shd w:val="clear" w:color="auto" w:fill="auto"/>
            <w:noWrap/>
            <w:vAlign w:val="center"/>
            <w:hideMark/>
          </w:tcPr>
          <w:p w14:paraId="42BB0D0A"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1418" w:type="dxa"/>
            <w:tcBorders>
              <w:top w:val="nil"/>
              <w:left w:val="nil"/>
              <w:bottom w:val="nil"/>
              <w:right w:val="nil"/>
            </w:tcBorders>
            <w:shd w:val="clear" w:color="auto" w:fill="auto"/>
            <w:noWrap/>
            <w:vAlign w:val="center"/>
            <w:hideMark/>
          </w:tcPr>
          <w:p w14:paraId="1CF021FC"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708" w:type="dxa"/>
            <w:tcBorders>
              <w:top w:val="nil"/>
              <w:left w:val="nil"/>
              <w:bottom w:val="nil"/>
              <w:right w:val="nil"/>
            </w:tcBorders>
            <w:shd w:val="clear" w:color="auto" w:fill="auto"/>
            <w:noWrap/>
            <w:vAlign w:val="center"/>
            <w:hideMark/>
          </w:tcPr>
          <w:p w14:paraId="435482DC"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r>
      <w:tr w:rsidR="00B85262" w:rsidRPr="00B85262" w14:paraId="6FFC882A" w14:textId="77777777" w:rsidTr="00A41CC1">
        <w:trPr>
          <w:trHeight w:val="510"/>
        </w:trPr>
        <w:tc>
          <w:tcPr>
            <w:tcW w:w="826"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05BBF9F1"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6172</w:t>
            </w:r>
          </w:p>
        </w:tc>
        <w:tc>
          <w:tcPr>
            <w:tcW w:w="3994" w:type="dxa"/>
            <w:tcBorders>
              <w:top w:val="single" w:sz="8" w:space="0" w:color="auto"/>
              <w:left w:val="nil"/>
              <w:bottom w:val="single" w:sz="4" w:space="0" w:color="auto"/>
              <w:right w:val="single" w:sz="4" w:space="0" w:color="auto"/>
            </w:tcBorders>
            <w:shd w:val="clear" w:color="auto" w:fill="auto"/>
            <w:vAlign w:val="center"/>
            <w:hideMark/>
          </w:tcPr>
          <w:p w14:paraId="177037DE" w14:textId="77777777" w:rsidR="00B85262" w:rsidRPr="00B85262" w:rsidRDefault="00B85262" w:rsidP="00B85262">
            <w:pPr>
              <w:spacing w:after="0" w:line="240" w:lineRule="auto"/>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Činnost regionální správy - ostatní neinvestiční výdaje jinde nezařazené</w:t>
            </w:r>
          </w:p>
        </w:tc>
        <w:tc>
          <w:tcPr>
            <w:tcW w:w="1559" w:type="dxa"/>
            <w:tcBorders>
              <w:top w:val="single" w:sz="8" w:space="0" w:color="auto"/>
              <w:left w:val="nil"/>
              <w:bottom w:val="single" w:sz="4" w:space="0" w:color="auto"/>
              <w:right w:val="single" w:sz="4" w:space="0" w:color="auto"/>
            </w:tcBorders>
            <w:shd w:val="clear" w:color="auto" w:fill="auto"/>
            <w:noWrap/>
            <w:vAlign w:val="center"/>
            <w:hideMark/>
          </w:tcPr>
          <w:p w14:paraId="471C04A8"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50 000</w:t>
            </w:r>
          </w:p>
        </w:tc>
        <w:tc>
          <w:tcPr>
            <w:tcW w:w="1701" w:type="dxa"/>
            <w:tcBorders>
              <w:top w:val="single" w:sz="8" w:space="0" w:color="auto"/>
              <w:left w:val="nil"/>
              <w:bottom w:val="single" w:sz="4" w:space="0" w:color="auto"/>
              <w:right w:val="single" w:sz="4" w:space="0" w:color="auto"/>
            </w:tcBorders>
            <w:shd w:val="clear" w:color="auto" w:fill="auto"/>
            <w:noWrap/>
            <w:vAlign w:val="center"/>
            <w:hideMark/>
          </w:tcPr>
          <w:p w14:paraId="18EB860A"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50 000,00</w:t>
            </w:r>
          </w:p>
        </w:tc>
        <w:tc>
          <w:tcPr>
            <w:tcW w:w="1418" w:type="dxa"/>
            <w:tcBorders>
              <w:top w:val="single" w:sz="8" w:space="0" w:color="auto"/>
              <w:left w:val="nil"/>
              <w:bottom w:val="single" w:sz="4" w:space="0" w:color="auto"/>
              <w:right w:val="nil"/>
            </w:tcBorders>
            <w:shd w:val="clear" w:color="auto" w:fill="auto"/>
            <w:noWrap/>
            <w:vAlign w:val="center"/>
            <w:hideMark/>
          </w:tcPr>
          <w:p w14:paraId="1E81DB6B"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0,00</w:t>
            </w:r>
          </w:p>
        </w:tc>
        <w:tc>
          <w:tcPr>
            <w:tcW w:w="708" w:type="dxa"/>
            <w:tcBorders>
              <w:top w:val="single" w:sz="8" w:space="0" w:color="auto"/>
              <w:left w:val="single" w:sz="4" w:space="0" w:color="auto"/>
              <w:bottom w:val="single" w:sz="4" w:space="0" w:color="auto"/>
              <w:right w:val="single" w:sz="8" w:space="0" w:color="auto"/>
            </w:tcBorders>
            <w:shd w:val="clear" w:color="auto" w:fill="auto"/>
            <w:noWrap/>
            <w:vAlign w:val="center"/>
            <w:hideMark/>
          </w:tcPr>
          <w:p w14:paraId="76CB4AAB"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0,0</w:t>
            </w:r>
          </w:p>
        </w:tc>
      </w:tr>
      <w:tr w:rsidR="00B85262" w:rsidRPr="00B85262" w14:paraId="0CA02E48" w14:textId="77777777" w:rsidTr="00A41CC1">
        <w:trPr>
          <w:trHeight w:val="510"/>
        </w:trPr>
        <w:tc>
          <w:tcPr>
            <w:tcW w:w="826" w:type="dxa"/>
            <w:tcBorders>
              <w:top w:val="nil"/>
              <w:left w:val="single" w:sz="8" w:space="0" w:color="auto"/>
              <w:bottom w:val="nil"/>
              <w:right w:val="single" w:sz="4" w:space="0" w:color="auto"/>
            </w:tcBorders>
            <w:shd w:val="clear" w:color="auto" w:fill="auto"/>
            <w:noWrap/>
            <w:vAlign w:val="bottom"/>
            <w:hideMark/>
          </w:tcPr>
          <w:p w14:paraId="4600B1D0"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6310</w:t>
            </w:r>
          </w:p>
        </w:tc>
        <w:tc>
          <w:tcPr>
            <w:tcW w:w="3994" w:type="dxa"/>
            <w:tcBorders>
              <w:top w:val="nil"/>
              <w:left w:val="nil"/>
              <w:bottom w:val="single" w:sz="4" w:space="0" w:color="auto"/>
              <w:right w:val="single" w:sz="4" w:space="0" w:color="auto"/>
            </w:tcBorders>
            <w:shd w:val="clear" w:color="auto" w:fill="auto"/>
            <w:vAlign w:val="center"/>
            <w:hideMark/>
          </w:tcPr>
          <w:p w14:paraId="23B24A76" w14:textId="77777777" w:rsidR="00B85262" w:rsidRPr="00B85262" w:rsidRDefault="00B85262" w:rsidP="00B85262">
            <w:pPr>
              <w:spacing w:after="0" w:line="240" w:lineRule="auto"/>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Obecné příjmy a výdaje z finančních operací - služby peněžních ústavů</w:t>
            </w:r>
          </w:p>
        </w:tc>
        <w:tc>
          <w:tcPr>
            <w:tcW w:w="1559" w:type="dxa"/>
            <w:tcBorders>
              <w:top w:val="nil"/>
              <w:left w:val="nil"/>
              <w:bottom w:val="single" w:sz="4" w:space="0" w:color="auto"/>
              <w:right w:val="single" w:sz="4" w:space="0" w:color="auto"/>
            </w:tcBorders>
            <w:shd w:val="clear" w:color="auto" w:fill="auto"/>
            <w:noWrap/>
            <w:vAlign w:val="center"/>
            <w:hideMark/>
          </w:tcPr>
          <w:p w14:paraId="09DF58CD"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400 000</w:t>
            </w:r>
          </w:p>
        </w:tc>
        <w:tc>
          <w:tcPr>
            <w:tcW w:w="1701" w:type="dxa"/>
            <w:tcBorders>
              <w:top w:val="nil"/>
              <w:left w:val="nil"/>
              <w:bottom w:val="single" w:sz="4" w:space="0" w:color="auto"/>
              <w:right w:val="single" w:sz="4" w:space="0" w:color="auto"/>
            </w:tcBorders>
            <w:shd w:val="clear" w:color="auto" w:fill="auto"/>
            <w:noWrap/>
            <w:vAlign w:val="center"/>
            <w:hideMark/>
          </w:tcPr>
          <w:p w14:paraId="585E7255"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400 000,00</w:t>
            </w:r>
          </w:p>
        </w:tc>
        <w:tc>
          <w:tcPr>
            <w:tcW w:w="1418" w:type="dxa"/>
            <w:tcBorders>
              <w:top w:val="nil"/>
              <w:left w:val="nil"/>
              <w:bottom w:val="single" w:sz="4" w:space="0" w:color="auto"/>
              <w:right w:val="nil"/>
            </w:tcBorders>
            <w:shd w:val="clear" w:color="auto" w:fill="auto"/>
            <w:noWrap/>
            <w:vAlign w:val="center"/>
            <w:hideMark/>
          </w:tcPr>
          <w:p w14:paraId="3A551A1F"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350 189,21</w:t>
            </w:r>
          </w:p>
        </w:tc>
        <w:tc>
          <w:tcPr>
            <w:tcW w:w="708" w:type="dxa"/>
            <w:tcBorders>
              <w:top w:val="nil"/>
              <w:left w:val="single" w:sz="4" w:space="0" w:color="auto"/>
              <w:bottom w:val="single" w:sz="4" w:space="0" w:color="auto"/>
              <w:right w:val="single" w:sz="8" w:space="0" w:color="auto"/>
            </w:tcBorders>
            <w:shd w:val="clear" w:color="auto" w:fill="auto"/>
            <w:noWrap/>
            <w:vAlign w:val="center"/>
            <w:hideMark/>
          </w:tcPr>
          <w:p w14:paraId="6DD7D8AC"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87,5</w:t>
            </w:r>
          </w:p>
        </w:tc>
      </w:tr>
      <w:tr w:rsidR="00B85262" w:rsidRPr="00B85262" w14:paraId="38987271" w14:textId="77777777" w:rsidTr="00A41CC1">
        <w:trPr>
          <w:trHeight w:val="525"/>
        </w:trPr>
        <w:tc>
          <w:tcPr>
            <w:tcW w:w="82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781C33EE"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6399</w:t>
            </w:r>
          </w:p>
        </w:tc>
        <w:tc>
          <w:tcPr>
            <w:tcW w:w="3994" w:type="dxa"/>
            <w:tcBorders>
              <w:top w:val="nil"/>
              <w:left w:val="nil"/>
              <w:bottom w:val="single" w:sz="4" w:space="0" w:color="auto"/>
              <w:right w:val="single" w:sz="4" w:space="0" w:color="auto"/>
            </w:tcBorders>
            <w:shd w:val="clear" w:color="auto" w:fill="auto"/>
            <w:vAlign w:val="center"/>
            <w:hideMark/>
          </w:tcPr>
          <w:p w14:paraId="6D011F01" w14:textId="77777777" w:rsidR="00B85262" w:rsidRPr="00B85262" w:rsidRDefault="00B85262" w:rsidP="00B85262">
            <w:pPr>
              <w:spacing w:after="0" w:line="240" w:lineRule="auto"/>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Ostatní finanční operace - platby daní a poplatků státnímu rozpočtu</w:t>
            </w:r>
          </w:p>
        </w:tc>
        <w:tc>
          <w:tcPr>
            <w:tcW w:w="1559" w:type="dxa"/>
            <w:tcBorders>
              <w:top w:val="nil"/>
              <w:left w:val="nil"/>
              <w:bottom w:val="single" w:sz="4" w:space="0" w:color="auto"/>
              <w:right w:val="single" w:sz="4" w:space="0" w:color="auto"/>
            </w:tcBorders>
            <w:shd w:val="clear" w:color="auto" w:fill="auto"/>
            <w:noWrap/>
            <w:vAlign w:val="center"/>
            <w:hideMark/>
          </w:tcPr>
          <w:p w14:paraId="5F0F58C8"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11 950 000</w:t>
            </w:r>
          </w:p>
        </w:tc>
        <w:tc>
          <w:tcPr>
            <w:tcW w:w="1701" w:type="dxa"/>
            <w:tcBorders>
              <w:top w:val="nil"/>
              <w:left w:val="nil"/>
              <w:bottom w:val="single" w:sz="4" w:space="0" w:color="auto"/>
              <w:right w:val="single" w:sz="4" w:space="0" w:color="auto"/>
            </w:tcBorders>
            <w:shd w:val="clear" w:color="auto" w:fill="auto"/>
            <w:noWrap/>
            <w:vAlign w:val="center"/>
            <w:hideMark/>
          </w:tcPr>
          <w:p w14:paraId="6ACDCE64"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27 375 470,00</w:t>
            </w:r>
          </w:p>
        </w:tc>
        <w:tc>
          <w:tcPr>
            <w:tcW w:w="1418" w:type="dxa"/>
            <w:tcBorders>
              <w:top w:val="nil"/>
              <w:left w:val="nil"/>
              <w:bottom w:val="single" w:sz="4" w:space="0" w:color="auto"/>
              <w:right w:val="nil"/>
            </w:tcBorders>
            <w:shd w:val="clear" w:color="auto" w:fill="auto"/>
            <w:noWrap/>
            <w:vAlign w:val="bottom"/>
            <w:hideMark/>
          </w:tcPr>
          <w:p w14:paraId="7473B515"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22 170 988,97</w:t>
            </w:r>
          </w:p>
        </w:tc>
        <w:tc>
          <w:tcPr>
            <w:tcW w:w="708" w:type="dxa"/>
            <w:tcBorders>
              <w:top w:val="nil"/>
              <w:left w:val="single" w:sz="4" w:space="0" w:color="auto"/>
              <w:bottom w:val="single" w:sz="4" w:space="0" w:color="auto"/>
              <w:right w:val="single" w:sz="8" w:space="0" w:color="auto"/>
            </w:tcBorders>
            <w:shd w:val="clear" w:color="auto" w:fill="auto"/>
            <w:noWrap/>
            <w:vAlign w:val="center"/>
            <w:hideMark/>
          </w:tcPr>
          <w:p w14:paraId="15F6D00E"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81,0</w:t>
            </w:r>
          </w:p>
        </w:tc>
      </w:tr>
      <w:tr w:rsidR="00B85262" w:rsidRPr="00B85262" w14:paraId="78E172C3" w14:textId="77777777" w:rsidTr="00A41CC1">
        <w:trPr>
          <w:trHeight w:val="319"/>
        </w:trPr>
        <w:tc>
          <w:tcPr>
            <w:tcW w:w="826"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4B6B2C39" w14:textId="77777777" w:rsidR="00B85262" w:rsidRPr="00B85262" w:rsidRDefault="00B85262" w:rsidP="00B85262">
            <w:pPr>
              <w:spacing w:after="0" w:line="240" w:lineRule="auto"/>
              <w:rPr>
                <w:rFonts w:ascii="Calibri" w:eastAsia="Times New Roman" w:hAnsi="Calibri" w:cs="Calibri"/>
                <w:b/>
                <w:bCs/>
                <w:sz w:val="24"/>
                <w:szCs w:val="24"/>
                <w:lang w:eastAsia="cs-CZ"/>
              </w:rPr>
            </w:pPr>
            <w:r w:rsidRPr="00B85262">
              <w:rPr>
                <w:rFonts w:ascii="Calibri" w:eastAsia="Times New Roman" w:hAnsi="Calibri" w:cs="Calibri"/>
                <w:b/>
                <w:bCs/>
                <w:sz w:val="24"/>
                <w:szCs w:val="24"/>
                <w:lang w:eastAsia="cs-CZ"/>
              </w:rPr>
              <w:t> </w:t>
            </w:r>
          </w:p>
        </w:tc>
        <w:tc>
          <w:tcPr>
            <w:tcW w:w="3994" w:type="dxa"/>
            <w:tcBorders>
              <w:top w:val="single" w:sz="8" w:space="0" w:color="auto"/>
              <w:left w:val="nil"/>
              <w:bottom w:val="single" w:sz="8" w:space="0" w:color="auto"/>
              <w:right w:val="single" w:sz="4" w:space="0" w:color="auto"/>
            </w:tcBorders>
            <w:shd w:val="clear" w:color="auto" w:fill="auto"/>
            <w:noWrap/>
            <w:vAlign w:val="center"/>
            <w:hideMark/>
          </w:tcPr>
          <w:p w14:paraId="698C5202" w14:textId="77777777" w:rsidR="00B85262" w:rsidRPr="00B85262" w:rsidRDefault="00B85262" w:rsidP="00B85262">
            <w:pPr>
              <w:spacing w:after="0" w:line="240" w:lineRule="auto"/>
              <w:rPr>
                <w:rFonts w:ascii="Calibri" w:eastAsia="Times New Roman" w:hAnsi="Calibri" w:cs="Calibri"/>
                <w:b/>
                <w:bCs/>
                <w:lang w:eastAsia="cs-CZ"/>
              </w:rPr>
            </w:pPr>
            <w:r w:rsidRPr="00B85262">
              <w:rPr>
                <w:rFonts w:ascii="Calibri" w:eastAsia="Times New Roman" w:hAnsi="Calibri" w:cs="Calibri"/>
                <w:b/>
                <w:bCs/>
                <w:lang w:eastAsia="cs-CZ"/>
              </w:rPr>
              <w:t>Celkem</w:t>
            </w:r>
          </w:p>
        </w:tc>
        <w:tc>
          <w:tcPr>
            <w:tcW w:w="1559" w:type="dxa"/>
            <w:tcBorders>
              <w:top w:val="single" w:sz="8" w:space="0" w:color="auto"/>
              <w:left w:val="nil"/>
              <w:bottom w:val="single" w:sz="8" w:space="0" w:color="auto"/>
              <w:right w:val="single" w:sz="4" w:space="0" w:color="auto"/>
            </w:tcBorders>
            <w:shd w:val="clear" w:color="auto" w:fill="auto"/>
            <w:noWrap/>
            <w:vAlign w:val="center"/>
            <w:hideMark/>
          </w:tcPr>
          <w:p w14:paraId="4733059F"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12 400 000</w:t>
            </w:r>
          </w:p>
        </w:tc>
        <w:tc>
          <w:tcPr>
            <w:tcW w:w="1701" w:type="dxa"/>
            <w:tcBorders>
              <w:top w:val="single" w:sz="8" w:space="0" w:color="auto"/>
              <w:left w:val="nil"/>
              <w:bottom w:val="single" w:sz="8" w:space="0" w:color="auto"/>
              <w:right w:val="single" w:sz="4" w:space="0" w:color="auto"/>
            </w:tcBorders>
            <w:shd w:val="clear" w:color="auto" w:fill="auto"/>
            <w:noWrap/>
            <w:vAlign w:val="center"/>
            <w:hideMark/>
          </w:tcPr>
          <w:p w14:paraId="0B6B7803"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27 825 470,00</w:t>
            </w:r>
          </w:p>
        </w:tc>
        <w:tc>
          <w:tcPr>
            <w:tcW w:w="1418" w:type="dxa"/>
            <w:tcBorders>
              <w:top w:val="single" w:sz="8" w:space="0" w:color="auto"/>
              <w:left w:val="nil"/>
              <w:bottom w:val="single" w:sz="8" w:space="0" w:color="auto"/>
              <w:right w:val="single" w:sz="4" w:space="0" w:color="auto"/>
            </w:tcBorders>
            <w:shd w:val="clear" w:color="auto" w:fill="auto"/>
            <w:noWrap/>
            <w:vAlign w:val="center"/>
            <w:hideMark/>
          </w:tcPr>
          <w:p w14:paraId="34E7B700"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22 521 178,18</w:t>
            </w:r>
          </w:p>
        </w:tc>
        <w:tc>
          <w:tcPr>
            <w:tcW w:w="708" w:type="dxa"/>
            <w:tcBorders>
              <w:top w:val="single" w:sz="8" w:space="0" w:color="auto"/>
              <w:left w:val="nil"/>
              <w:bottom w:val="single" w:sz="8" w:space="0" w:color="auto"/>
              <w:right w:val="single" w:sz="8" w:space="0" w:color="auto"/>
            </w:tcBorders>
            <w:shd w:val="clear" w:color="auto" w:fill="auto"/>
            <w:noWrap/>
            <w:vAlign w:val="center"/>
            <w:hideMark/>
          </w:tcPr>
          <w:p w14:paraId="38643F69"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80,9</w:t>
            </w:r>
          </w:p>
        </w:tc>
      </w:tr>
      <w:tr w:rsidR="00B85262" w:rsidRPr="00B85262" w14:paraId="2BB6E7BD" w14:textId="77777777" w:rsidTr="00A41CC1">
        <w:trPr>
          <w:trHeight w:val="300"/>
        </w:trPr>
        <w:tc>
          <w:tcPr>
            <w:tcW w:w="826" w:type="dxa"/>
            <w:tcBorders>
              <w:top w:val="nil"/>
              <w:left w:val="nil"/>
              <w:bottom w:val="nil"/>
              <w:right w:val="nil"/>
            </w:tcBorders>
            <w:shd w:val="clear" w:color="auto" w:fill="auto"/>
            <w:noWrap/>
            <w:vAlign w:val="center"/>
            <w:hideMark/>
          </w:tcPr>
          <w:p w14:paraId="7BFC97F3" w14:textId="77777777" w:rsidR="00B85262" w:rsidRPr="00B85262" w:rsidRDefault="00B85262" w:rsidP="00B85262">
            <w:pPr>
              <w:spacing w:after="0" w:line="240" w:lineRule="auto"/>
              <w:jc w:val="right"/>
              <w:rPr>
                <w:rFonts w:ascii="Calibri" w:eastAsia="Times New Roman" w:hAnsi="Calibri" w:cs="Calibri"/>
                <w:b/>
                <w:bCs/>
                <w:lang w:eastAsia="cs-CZ"/>
              </w:rPr>
            </w:pPr>
          </w:p>
        </w:tc>
        <w:tc>
          <w:tcPr>
            <w:tcW w:w="3994" w:type="dxa"/>
            <w:tcBorders>
              <w:top w:val="nil"/>
              <w:left w:val="nil"/>
              <w:bottom w:val="nil"/>
              <w:right w:val="nil"/>
            </w:tcBorders>
            <w:shd w:val="clear" w:color="auto" w:fill="auto"/>
            <w:noWrap/>
            <w:vAlign w:val="center"/>
            <w:hideMark/>
          </w:tcPr>
          <w:p w14:paraId="245E41E3"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1559" w:type="dxa"/>
            <w:tcBorders>
              <w:top w:val="nil"/>
              <w:left w:val="nil"/>
              <w:bottom w:val="nil"/>
              <w:right w:val="nil"/>
            </w:tcBorders>
            <w:shd w:val="clear" w:color="auto" w:fill="auto"/>
            <w:noWrap/>
            <w:vAlign w:val="center"/>
            <w:hideMark/>
          </w:tcPr>
          <w:p w14:paraId="4F1257A3"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center"/>
            <w:hideMark/>
          </w:tcPr>
          <w:p w14:paraId="0DB8EE92"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1418" w:type="dxa"/>
            <w:tcBorders>
              <w:top w:val="nil"/>
              <w:left w:val="nil"/>
              <w:bottom w:val="nil"/>
              <w:right w:val="nil"/>
            </w:tcBorders>
            <w:shd w:val="clear" w:color="auto" w:fill="auto"/>
            <w:noWrap/>
            <w:vAlign w:val="center"/>
            <w:hideMark/>
          </w:tcPr>
          <w:p w14:paraId="0AA50F2A"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708" w:type="dxa"/>
            <w:tcBorders>
              <w:top w:val="nil"/>
              <w:left w:val="nil"/>
              <w:bottom w:val="nil"/>
              <w:right w:val="nil"/>
            </w:tcBorders>
            <w:shd w:val="clear" w:color="auto" w:fill="auto"/>
            <w:noWrap/>
            <w:vAlign w:val="center"/>
            <w:hideMark/>
          </w:tcPr>
          <w:p w14:paraId="7943739B"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r>
      <w:tr w:rsidR="00B85262" w:rsidRPr="00B85262" w14:paraId="43EF1CC2" w14:textId="77777777" w:rsidTr="00A41CC1">
        <w:trPr>
          <w:trHeight w:val="360"/>
        </w:trPr>
        <w:tc>
          <w:tcPr>
            <w:tcW w:w="826" w:type="dxa"/>
            <w:tcBorders>
              <w:top w:val="nil"/>
              <w:left w:val="nil"/>
              <w:bottom w:val="nil"/>
              <w:right w:val="nil"/>
            </w:tcBorders>
            <w:shd w:val="clear" w:color="auto" w:fill="auto"/>
            <w:noWrap/>
            <w:vAlign w:val="center"/>
            <w:hideMark/>
          </w:tcPr>
          <w:p w14:paraId="22E4FCD4"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3994" w:type="dxa"/>
            <w:tcBorders>
              <w:top w:val="nil"/>
              <w:left w:val="nil"/>
              <w:bottom w:val="nil"/>
              <w:right w:val="nil"/>
            </w:tcBorders>
            <w:shd w:val="clear" w:color="auto" w:fill="auto"/>
            <w:noWrap/>
            <w:vAlign w:val="center"/>
            <w:hideMark/>
          </w:tcPr>
          <w:p w14:paraId="45C40936" w14:textId="77777777" w:rsidR="00B85262" w:rsidRPr="00B85262" w:rsidRDefault="00B85262" w:rsidP="00B85262">
            <w:pPr>
              <w:spacing w:after="0" w:line="240" w:lineRule="auto"/>
              <w:rPr>
                <w:rFonts w:ascii="Calibri" w:eastAsia="Times New Roman" w:hAnsi="Calibri" w:cs="Calibri"/>
                <w:b/>
                <w:bCs/>
                <w:lang w:eastAsia="cs-CZ"/>
              </w:rPr>
            </w:pPr>
            <w:r w:rsidRPr="00B85262">
              <w:rPr>
                <w:rFonts w:ascii="Calibri" w:eastAsia="Times New Roman" w:hAnsi="Calibri" w:cs="Calibri"/>
                <w:b/>
                <w:bCs/>
                <w:lang w:eastAsia="cs-CZ"/>
              </w:rPr>
              <w:t>Výdaje na havárie</w:t>
            </w:r>
          </w:p>
        </w:tc>
        <w:tc>
          <w:tcPr>
            <w:tcW w:w="1559" w:type="dxa"/>
            <w:tcBorders>
              <w:top w:val="nil"/>
              <w:left w:val="nil"/>
              <w:bottom w:val="nil"/>
              <w:right w:val="nil"/>
            </w:tcBorders>
            <w:shd w:val="clear" w:color="auto" w:fill="auto"/>
            <w:noWrap/>
            <w:vAlign w:val="center"/>
            <w:hideMark/>
          </w:tcPr>
          <w:p w14:paraId="0CA23F4D" w14:textId="77777777" w:rsidR="00B85262" w:rsidRPr="00B85262" w:rsidRDefault="00B85262" w:rsidP="00B85262">
            <w:pPr>
              <w:spacing w:after="0" w:line="240" w:lineRule="auto"/>
              <w:rPr>
                <w:rFonts w:ascii="Calibri" w:eastAsia="Times New Roman" w:hAnsi="Calibri" w:cs="Calibri"/>
                <w:b/>
                <w:bCs/>
                <w:lang w:eastAsia="cs-CZ"/>
              </w:rPr>
            </w:pPr>
          </w:p>
        </w:tc>
        <w:tc>
          <w:tcPr>
            <w:tcW w:w="1701" w:type="dxa"/>
            <w:tcBorders>
              <w:top w:val="nil"/>
              <w:left w:val="nil"/>
              <w:bottom w:val="nil"/>
              <w:right w:val="nil"/>
            </w:tcBorders>
            <w:shd w:val="clear" w:color="auto" w:fill="auto"/>
            <w:noWrap/>
            <w:vAlign w:val="center"/>
            <w:hideMark/>
          </w:tcPr>
          <w:p w14:paraId="476328EA"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1418" w:type="dxa"/>
            <w:tcBorders>
              <w:top w:val="nil"/>
              <w:left w:val="nil"/>
              <w:bottom w:val="nil"/>
              <w:right w:val="nil"/>
            </w:tcBorders>
            <w:shd w:val="clear" w:color="auto" w:fill="auto"/>
            <w:noWrap/>
            <w:vAlign w:val="center"/>
            <w:hideMark/>
          </w:tcPr>
          <w:p w14:paraId="42257ED6"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708" w:type="dxa"/>
            <w:tcBorders>
              <w:top w:val="nil"/>
              <w:left w:val="nil"/>
              <w:bottom w:val="nil"/>
              <w:right w:val="nil"/>
            </w:tcBorders>
            <w:shd w:val="clear" w:color="auto" w:fill="auto"/>
            <w:noWrap/>
            <w:vAlign w:val="center"/>
            <w:hideMark/>
          </w:tcPr>
          <w:p w14:paraId="337FABD0" w14:textId="77777777" w:rsidR="00B85262" w:rsidRPr="00B85262" w:rsidRDefault="00B85262" w:rsidP="00B85262">
            <w:pPr>
              <w:spacing w:after="0" w:line="240" w:lineRule="auto"/>
              <w:jc w:val="right"/>
              <w:rPr>
                <w:rFonts w:ascii="Times New Roman" w:eastAsia="Times New Roman" w:hAnsi="Times New Roman" w:cs="Times New Roman"/>
                <w:sz w:val="20"/>
                <w:szCs w:val="20"/>
                <w:lang w:eastAsia="cs-CZ"/>
              </w:rPr>
            </w:pPr>
          </w:p>
        </w:tc>
      </w:tr>
      <w:tr w:rsidR="00B85262" w:rsidRPr="00B85262" w14:paraId="0D162568" w14:textId="77777777" w:rsidTr="00A41CC1">
        <w:trPr>
          <w:trHeight w:val="300"/>
        </w:trPr>
        <w:tc>
          <w:tcPr>
            <w:tcW w:w="826"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472F2248"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6409</w:t>
            </w:r>
          </w:p>
        </w:tc>
        <w:tc>
          <w:tcPr>
            <w:tcW w:w="3994" w:type="dxa"/>
            <w:tcBorders>
              <w:top w:val="single" w:sz="8" w:space="0" w:color="auto"/>
              <w:left w:val="nil"/>
              <w:bottom w:val="single" w:sz="8" w:space="0" w:color="auto"/>
              <w:right w:val="single" w:sz="4" w:space="0" w:color="auto"/>
            </w:tcBorders>
            <w:shd w:val="clear" w:color="auto" w:fill="auto"/>
            <w:vAlign w:val="center"/>
            <w:hideMark/>
          </w:tcPr>
          <w:p w14:paraId="7642FBE5" w14:textId="77777777" w:rsidR="00B85262" w:rsidRPr="00B85262" w:rsidRDefault="00B85262" w:rsidP="00B85262">
            <w:pPr>
              <w:spacing w:after="0" w:line="240" w:lineRule="auto"/>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Výdaje na havárie</w:t>
            </w:r>
          </w:p>
        </w:tc>
        <w:tc>
          <w:tcPr>
            <w:tcW w:w="1559" w:type="dxa"/>
            <w:tcBorders>
              <w:top w:val="single" w:sz="8" w:space="0" w:color="auto"/>
              <w:left w:val="nil"/>
              <w:bottom w:val="single" w:sz="8" w:space="0" w:color="auto"/>
              <w:right w:val="single" w:sz="4" w:space="0" w:color="auto"/>
            </w:tcBorders>
            <w:shd w:val="clear" w:color="auto" w:fill="auto"/>
            <w:noWrap/>
            <w:vAlign w:val="center"/>
            <w:hideMark/>
          </w:tcPr>
          <w:p w14:paraId="02C674EF"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20 000 000</w:t>
            </w:r>
          </w:p>
        </w:tc>
        <w:tc>
          <w:tcPr>
            <w:tcW w:w="1701" w:type="dxa"/>
            <w:tcBorders>
              <w:top w:val="single" w:sz="8" w:space="0" w:color="auto"/>
              <w:left w:val="nil"/>
              <w:bottom w:val="single" w:sz="8" w:space="0" w:color="auto"/>
              <w:right w:val="single" w:sz="4" w:space="0" w:color="auto"/>
            </w:tcBorders>
            <w:shd w:val="clear" w:color="auto" w:fill="auto"/>
            <w:noWrap/>
            <w:vAlign w:val="center"/>
            <w:hideMark/>
          </w:tcPr>
          <w:p w14:paraId="1280A84E"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24 660 380,50</w:t>
            </w:r>
          </w:p>
        </w:tc>
        <w:tc>
          <w:tcPr>
            <w:tcW w:w="1418" w:type="dxa"/>
            <w:tcBorders>
              <w:top w:val="single" w:sz="8" w:space="0" w:color="auto"/>
              <w:left w:val="nil"/>
              <w:bottom w:val="single" w:sz="8" w:space="0" w:color="auto"/>
              <w:right w:val="nil"/>
            </w:tcBorders>
            <w:shd w:val="clear" w:color="auto" w:fill="auto"/>
            <w:noWrap/>
            <w:vAlign w:val="center"/>
            <w:hideMark/>
          </w:tcPr>
          <w:p w14:paraId="6CC563A5"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0,00</w:t>
            </w:r>
          </w:p>
        </w:tc>
        <w:tc>
          <w:tcPr>
            <w:tcW w:w="708"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B8CA155"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0,0</w:t>
            </w:r>
          </w:p>
        </w:tc>
      </w:tr>
      <w:tr w:rsidR="00B85262" w:rsidRPr="00B85262" w14:paraId="3E5DBD82" w14:textId="77777777" w:rsidTr="00A41CC1">
        <w:trPr>
          <w:trHeight w:val="319"/>
        </w:trPr>
        <w:tc>
          <w:tcPr>
            <w:tcW w:w="826" w:type="dxa"/>
            <w:tcBorders>
              <w:top w:val="nil"/>
              <w:left w:val="single" w:sz="8" w:space="0" w:color="auto"/>
              <w:bottom w:val="single" w:sz="8" w:space="0" w:color="auto"/>
              <w:right w:val="single" w:sz="4" w:space="0" w:color="auto"/>
            </w:tcBorders>
            <w:shd w:val="clear" w:color="auto" w:fill="auto"/>
            <w:noWrap/>
            <w:vAlign w:val="center"/>
            <w:hideMark/>
          </w:tcPr>
          <w:p w14:paraId="25A5AD12" w14:textId="77777777" w:rsidR="00B85262" w:rsidRPr="00B85262" w:rsidRDefault="00B85262" w:rsidP="00B85262">
            <w:pPr>
              <w:spacing w:after="0" w:line="240" w:lineRule="auto"/>
              <w:rPr>
                <w:rFonts w:ascii="Calibri" w:eastAsia="Times New Roman" w:hAnsi="Calibri" w:cs="Calibri"/>
                <w:lang w:eastAsia="cs-CZ"/>
              </w:rPr>
            </w:pPr>
            <w:r w:rsidRPr="00B85262">
              <w:rPr>
                <w:rFonts w:ascii="Calibri" w:eastAsia="Times New Roman" w:hAnsi="Calibri" w:cs="Calibri"/>
                <w:lang w:eastAsia="cs-CZ"/>
              </w:rPr>
              <w:t> </w:t>
            </w:r>
          </w:p>
        </w:tc>
        <w:tc>
          <w:tcPr>
            <w:tcW w:w="3994" w:type="dxa"/>
            <w:tcBorders>
              <w:top w:val="nil"/>
              <w:left w:val="nil"/>
              <w:bottom w:val="single" w:sz="8" w:space="0" w:color="auto"/>
              <w:right w:val="single" w:sz="4" w:space="0" w:color="auto"/>
            </w:tcBorders>
            <w:shd w:val="clear" w:color="auto" w:fill="auto"/>
            <w:noWrap/>
            <w:vAlign w:val="center"/>
            <w:hideMark/>
          </w:tcPr>
          <w:p w14:paraId="5FED5E68" w14:textId="77777777" w:rsidR="00B85262" w:rsidRPr="00B85262" w:rsidRDefault="00B85262" w:rsidP="00B85262">
            <w:pPr>
              <w:spacing w:after="0" w:line="240" w:lineRule="auto"/>
              <w:rPr>
                <w:rFonts w:ascii="Calibri" w:eastAsia="Times New Roman" w:hAnsi="Calibri" w:cs="Calibri"/>
                <w:b/>
                <w:bCs/>
                <w:lang w:eastAsia="cs-CZ"/>
              </w:rPr>
            </w:pPr>
            <w:r w:rsidRPr="00B85262">
              <w:rPr>
                <w:rFonts w:ascii="Calibri" w:eastAsia="Times New Roman" w:hAnsi="Calibri" w:cs="Calibri"/>
                <w:b/>
                <w:bCs/>
                <w:lang w:eastAsia="cs-CZ"/>
              </w:rPr>
              <w:t>Celkem</w:t>
            </w:r>
          </w:p>
        </w:tc>
        <w:tc>
          <w:tcPr>
            <w:tcW w:w="1559" w:type="dxa"/>
            <w:tcBorders>
              <w:top w:val="nil"/>
              <w:left w:val="nil"/>
              <w:bottom w:val="single" w:sz="8" w:space="0" w:color="auto"/>
              <w:right w:val="single" w:sz="4" w:space="0" w:color="auto"/>
            </w:tcBorders>
            <w:shd w:val="clear" w:color="auto" w:fill="auto"/>
            <w:noWrap/>
            <w:vAlign w:val="center"/>
            <w:hideMark/>
          </w:tcPr>
          <w:p w14:paraId="304BB7F0"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20 000 000</w:t>
            </w:r>
          </w:p>
        </w:tc>
        <w:tc>
          <w:tcPr>
            <w:tcW w:w="1701" w:type="dxa"/>
            <w:tcBorders>
              <w:top w:val="nil"/>
              <w:left w:val="nil"/>
              <w:bottom w:val="single" w:sz="8" w:space="0" w:color="auto"/>
              <w:right w:val="single" w:sz="4" w:space="0" w:color="auto"/>
            </w:tcBorders>
            <w:shd w:val="clear" w:color="auto" w:fill="auto"/>
            <w:noWrap/>
            <w:vAlign w:val="center"/>
            <w:hideMark/>
          </w:tcPr>
          <w:p w14:paraId="63DC4B33"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24 660 380,50</w:t>
            </w:r>
          </w:p>
        </w:tc>
        <w:tc>
          <w:tcPr>
            <w:tcW w:w="1418" w:type="dxa"/>
            <w:tcBorders>
              <w:top w:val="nil"/>
              <w:left w:val="nil"/>
              <w:bottom w:val="single" w:sz="8" w:space="0" w:color="auto"/>
              <w:right w:val="single" w:sz="4" w:space="0" w:color="auto"/>
            </w:tcBorders>
            <w:shd w:val="clear" w:color="auto" w:fill="auto"/>
            <w:noWrap/>
            <w:vAlign w:val="center"/>
            <w:hideMark/>
          </w:tcPr>
          <w:p w14:paraId="153DDBA4"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0,00</w:t>
            </w:r>
          </w:p>
        </w:tc>
        <w:tc>
          <w:tcPr>
            <w:tcW w:w="708" w:type="dxa"/>
            <w:tcBorders>
              <w:top w:val="nil"/>
              <w:left w:val="nil"/>
              <w:bottom w:val="single" w:sz="8" w:space="0" w:color="auto"/>
              <w:right w:val="single" w:sz="8" w:space="0" w:color="auto"/>
            </w:tcBorders>
            <w:shd w:val="clear" w:color="auto" w:fill="auto"/>
            <w:noWrap/>
            <w:vAlign w:val="center"/>
            <w:hideMark/>
          </w:tcPr>
          <w:p w14:paraId="011FDC94"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0,0</w:t>
            </w:r>
          </w:p>
        </w:tc>
      </w:tr>
      <w:tr w:rsidR="00B85262" w:rsidRPr="00B85262" w14:paraId="2C869888" w14:textId="77777777" w:rsidTr="00A41CC1">
        <w:trPr>
          <w:trHeight w:val="300"/>
        </w:trPr>
        <w:tc>
          <w:tcPr>
            <w:tcW w:w="826" w:type="dxa"/>
            <w:tcBorders>
              <w:top w:val="nil"/>
              <w:left w:val="nil"/>
              <w:bottom w:val="nil"/>
              <w:right w:val="nil"/>
            </w:tcBorders>
            <w:shd w:val="clear" w:color="auto" w:fill="auto"/>
            <w:noWrap/>
            <w:vAlign w:val="center"/>
            <w:hideMark/>
          </w:tcPr>
          <w:p w14:paraId="2D3BF05B" w14:textId="77777777" w:rsidR="00B85262" w:rsidRPr="00B85262" w:rsidRDefault="00B85262" w:rsidP="00B85262">
            <w:pPr>
              <w:spacing w:after="0" w:line="240" w:lineRule="auto"/>
              <w:jc w:val="right"/>
              <w:rPr>
                <w:rFonts w:ascii="Calibri" w:eastAsia="Times New Roman" w:hAnsi="Calibri" w:cs="Calibri"/>
                <w:b/>
                <w:bCs/>
                <w:lang w:eastAsia="cs-CZ"/>
              </w:rPr>
            </w:pPr>
          </w:p>
        </w:tc>
        <w:tc>
          <w:tcPr>
            <w:tcW w:w="3994" w:type="dxa"/>
            <w:tcBorders>
              <w:top w:val="nil"/>
              <w:left w:val="nil"/>
              <w:bottom w:val="nil"/>
              <w:right w:val="nil"/>
            </w:tcBorders>
            <w:shd w:val="clear" w:color="auto" w:fill="auto"/>
            <w:noWrap/>
            <w:vAlign w:val="center"/>
            <w:hideMark/>
          </w:tcPr>
          <w:p w14:paraId="6F80A6FA"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1559" w:type="dxa"/>
            <w:tcBorders>
              <w:top w:val="nil"/>
              <w:left w:val="nil"/>
              <w:bottom w:val="nil"/>
              <w:right w:val="nil"/>
            </w:tcBorders>
            <w:shd w:val="clear" w:color="auto" w:fill="auto"/>
            <w:noWrap/>
            <w:vAlign w:val="center"/>
            <w:hideMark/>
          </w:tcPr>
          <w:p w14:paraId="3592AF72"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center"/>
            <w:hideMark/>
          </w:tcPr>
          <w:p w14:paraId="57616E2C"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1418" w:type="dxa"/>
            <w:tcBorders>
              <w:top w:val="nil"/>
              <w:left w:val="nil"/>
              <w:bottom w:val="nil"/>
              <w:right w:val="nil"/>
            </w:tcBorders>
            <w:shd w:val="clear" w:color="auto" w:fill="auto"/>
            <w:noWrap/>
            <w:vAlign w:val="center"/>
            <w:hideMark/>
          </w:tcPr>
          <w:p w14:paraId="4FCC6BF2"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708" w:type="dxa"/>
            <w:tcBorders>
              <w:top w:val="nil"/>
              <w:left w:val="nil"/>
              <w:bottom w:val="nil"/>
              <w:right w:val="nil"/>
            </w:tcBorders>
            <w:shd w:val="clear" w:color="auto" w:fill="auto"/>
            <w:noWrap/>
            <w:vAlign w:val="center"/>
            <w:hideMark/>
          </w:tcPr>
          <w:p w14:paraId="7055F435"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r>
      <w:tr w:rsidR="00B85262" w:rsidRPr="00B85262" w14:paraId="4E9CF57C" w14:textId="77777777" w:rsidTr="00A41CC1">
        <w:trPr>
          <w:trHeight w:val="360"/>
        </w:trPr>
        <w:tc>
          <w:tcPr>
            <w:tcW w:w="826" w:type="dxa"/>
            <w:tcBorders>
              <w:top w:val="nil"/>
              <w:left w:val="nil"/>
              <w:bottom w:val="nil"/>
              <w:right w:val="nil"/>
            </w:tcBorders>
            <w:shd w:val="clear" w:color="auto" w:fill="auto"/>
            <w:noWrap/>
            <w:vAlign w:val="center"/>
            <w:hideMark/>
          </w:tcPr>
          <w:p w14:paraId="429655E0"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7254" w:type="dxa"/>
            <w:gridSpan w:val="3"/>
            <w:tcBorders>
              <w:top w:val="nil"/>
              <w:left w:val="nil"/>
              <w:bottom w:val="nil"/>
              <w:right w:val="nil"/>
            </w:tcBorders>
            <w:shd w:val="clear" w:color="auto" w:fill="auto"/>
            <w:noWrap/>
            <w:vAlign w:val="center"/>
            <w:hideMark/>
          </w:tcPr>
          <w:p w14:paraId="1C693C42" w14:textId="77777777" w:rsidR="00B85262" w:rsidRPr="00B85262" w:rsidRDefault="00B85262" w:rsidP="00B85262">
            <w:pPr>
              <w:spacing w:after="0" w:line="240" w:lineRule="auto"/>
              <w:rPr>
                <w:rFonts w:ascii="Calibri" w:eastAsia="Times New Roman" w:hAnsi="Calibri" w:cs="Calibri"/>
                <w:b/>
                <w:bCs/>
                <w:lang w:eastAsia="cs-CZ"/>
              </w:rPr>
            </w:pPr>
            <w:r w:rsidRPr="00B85262">
              <w:rPr>
                <w:rFonts w:ascii="Calibri" w:eastAsia="Times New Roman" w:hAnsi="Calibri" w:cs="Calibri"/>
                <w:b/>
                <w:bCs/>
                <w:lang w:eastAsia="cs-CZ"/>
              </w:rPr>
              <w:t>Výdaje na reprodukci majetku příspěvkových organizací</w:t>
            </w:r>
          </w:p>
        </w:tc>
        <w:tc>
          <w:tcPr>
            <w:tcW w:w="1418" w:type="dxa"/>
            <w:tcBorders>
              <w:top w:val="nil"/>
              <w:left w:val="nil"/>
              <w:bottom w:val="nil"/>
              <w:right w:val="nil"/>
            </w:tcBorders>
            <w:shd w:val="clear" w:color="auto" w:fill="auto"/>
            <w:noWrap/>
            <w:vAlign w:val="center"/>
            <w:hideMark/>
          </w:tcPr>
          <w:p w14:paraId="0C396734" w14:textId="77777777" w:rsidR="00B85262" w:rsidRPr="00B85262" w:rsidRDefault="00B85262" w:rsidP="00B85262">
            <w:pPr>
              <w:spacing w:after="0" w:line="240" w:lineRule="auto"/>
              <w:rPr>
                <w:rFonts w:ascii="Calibri" w:eastAsia="Times New Roman" w:hAnsi="Calibri" w:cs="Calibri"/>
                <w:b/>
                <w:bCs/>
                <w:lang w:eastAsia="cs-CZ"/>
              </w:rPr>
            </w:pPr>
          </w:p>
        </w:tc>
        <w:tc>
          <w:tcPr>
            <w:tcW w:w="708" w:type="dxa"/>
            <w:tcBorders>
              <w:top w:val="nil"/>
              <w:left w:val="nil"/>
              <w:bottom w:val="nil"/>
              <w:right w:val="nil"/>
            </w:tcBorders>
            <w:shd w:val="clear" w:color="auto" w:fill="auto"/>
            <w:noWrap/>
            <w:vAlign w:val="center"/>
            <w:hideMark/>
          </w:tcPr>
          <w:p w14:paraId="1138E459" w14:textId="77777777" w:rsidR="00B85262" w:rsidRPr="00B85262" w:rsidRDefault="00B85262" w:rsidP="00B85262">
            <w:pPr>
              <w:spacing w:after="0" w:line="240" w:lineRule="auto"/>
              <w:jc w:val="right"/>
              <w:rPr>
                <w:rFonts w:ascii="Times New Roman" w:eastAsia="Times New Roman" w:hAnsi="Times New Roman" w:cs="Times New Roman"/>
                <w:sz w:val="20"/>
                <w:szCs w:val="20"/>
                <w:lang w:eastAsia="cs-CZ"/>
              </w:rPr>
            </w:pPr>
          </w:p>
        </w:tc>
      </w:tr>
      <w:tr w:rsidR="00B85262" w:rsidRPr="00B85262" w14:paraId="71BB8B9A" w14:textId="77777777" w:rsidTr="00A41CC1">
        <w:trPr>
          <w:trHeight w:val="300"/>
        </w:trPr>
        <w:tc>
          <w:tcPr>
            <w:tcW w:w="826"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6827700"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6409</w:t>
            </w:r>
          </w:p>
        </w:tc>
        <w:tc>
          <w:tcPr>
            <w:tcW w:w="3994" w:type="dxa"/>
            <w:tcBorders>
              <w:top w:val="single" w:sz="8" w:space="0" w:color="auto"/>
              <w:left w:val="nil"/>
              <w:bottom w:val="single" w:sz="8" w:space="0" w:color="auto"/>
              <w:right w:val="single" w:sz="4" w:space="0" w:color="auto"/>
            </w:tcBorders>
            <w:shd w:val="clear" w:color="auto" w:fill="auto"/>
            <w:vAlign w:val="center"/>
            <w:hideMark/>
          </w:tcPr>
          <w:p w14:paraId="061C3CDB" w14:textId="77777777" w:rsidR="00B85262" w:rsidRPr="00B85262" w:rsidRDefault="00B85262" w:rsidP="00B85262">
            <w:pPr>
              <w:spacing w:after="0" w:line="240" w:lineRule="auto"/>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Výdaje na reprodukci majetku příspěvkových organizací</w:t>
            </w:r>
          </w:p>
        </w:tc>
        <w:tc>
          <w:tcPr>
            <w:tcW w:w="1559" w:type="dxa"/>
            <w:tcBorders>
              <w:top w:val="single" w:sz="8" w:space="0" w:color="auto"/>
              <w:left w:val="nil"/>
              <w:bottom w:val="single" w:sz="8" w:space="0" w:color="auto"/>
              <w:right w:val="single" w:sz="4" w:space="0" w:color="auto"/>
            </w:tcBorders>
            <w:shd w:val="clear" w:color="auto" w:fill="auto"/>
            <w:noWrap/>
            <w:vAlign w:val="center"/>
            <w:hideMark/>
          </w:tcPr>
          <w:p w14:paraId="045748CC"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46 899 000</w:t>
            </w:r>
          </w:p>
        </w:tc>
        <w:tc>
          <w:tcPr>
            <w:tcW w:w="1701" w:type="dxa"/>
            <w:tcBorders>
              <w:top w:val="single" w:sz="8" w:space="0" w:color="auto"/>
              <w:left w:val="nil"/>
              <w:bottom w:val="single" w:sz="8" w:space="0" w:color="auto"/>
              <w:right w:val="single" w:sz="4" w:space="0" w:color="auto"/>
            </w:tcBorders>
            <w:shd w:val="clear" w:color="auto" w:fill="auto"/>
            <w:noWrap/>
            <w:vAlign w:val="center"/>
            <w:hideMark/>
          </w:tcPr>
          <w:p w14:paraId="2390662B"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3 689 217,13</w:t>
            </w:r>
          </w:p>
        </w:tc>
        <w:tc>
          <w:tcPr>
            <w:tcW w:w="1418" w:type="dxa"/>
            <w:tcBorders>
              <w:top w:val="single" w:sz="8" w:space="0" w:color="auto"/>
              <w:left w:val="nil"/>
              <w:bottom w:val="single" w:sz="8" w:space="0" w:color="auto"/>
              <w:right w:val="nil"/>
            </w:tcBorders>
            <w:shd w:val="clear" w:color="auto" w:fill="auto"/>
            <w:noWrap/>
            <w:vAlign w:val="center"/>
            <w:hideMark/>
          </w:tcPr>
          <w:p w14:paraId="75AC51F7"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0,00</w:t>
            </w:r>
          </w:p>
        </w:tc>
        <w:tc>
          <w:tcPr>
            <w:tcW w:w="708"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ED16278"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0,0</w:t>
            </w:r>
          </w:p>
        </w:tc>
      </w:tr>
      <w:tr w:rsidR="00B85262" w:rsidRPr="00B85262" w14:paraId="06B490AA" w14:textId="77777777" w:rsidTr="00A41CC1">
        <w:trPr>
          <w:trHeight w:val="319"/>
        </w:trPr>
        <w:tc>
          <w:tcPr>
            <w:tcW w:w="826" w:type="dxa"/>
            <w:tcBorders>
              <w:top w:val="nil"/>
              <w:left w:val="single" w:sz="8" w:space="0" w:color="auto"/>
              <w:bottom w:val="single" w:sz="8" w:space="0" w:color="auto"/>
              <w:right w:val="single" w:sz="4" w:space="0" w:color="auto"/>
            </w:tcBorders>
            <w:shd w:val="clear" w:color="auto" w:fill="auto"/>
            <w:noWrap/>
            <w:vAlign w:val="center"/>
            <w:hideMark/>
          </w:tcPr>
          <w:p w14:paraId="42E79672" w14:textId="77777777" w:rsidR="00B85262" w:rsidRPr="00B85262" w:rsidRDefault="00B85262" w:rsidP="00B85262">
            <w:pPr>
              <w:spacing w:after="0" w:line="240" w:lineRule="auto"/>
              <w:rPr>
                <w:rFonts w:ascii="Calibri" w:eastAsia="Times New Roman" w:hAnsi="Calibri" w:cs="Calibri"/>
                <w:lang w:eastAsia="cs-CZ"/>
              </w:rPr>
            </w:pPr>
            <w:r w:rsidRPr="00B85262">
              <w:rPr>
                <w:rFonts w:ascii="Calibri" w:eastAsia="Times New Roman" w:hAnsi="Calibri" w:cs="Calibri"/>
                <w:lang w:eastAsia="cs-CZ"/>
              </w:rPr>
              <w:t> </w:t>
            </w:r>
          </w:p>
        </w:tc>
        <w:tc>
          <w:tcPr>
            <w:tcW w:w="3994" w:type="dxa"/>
            <w:tcBorders>
              <w:top w:val="nil"/>
              <w:left w:val="nil"/>
              <w:bottom w:val="single" w:sz="8" w:space="0" w:color="auto"/>
              <w:right w:val="single" w:sz="4" w:space="0" w:color="auto"/>
            </w:tcBorders>
            <w:shd w:val="clear" w:color="auto" w:fill="auto"/>
            <w:noWrap/>
            <w:vAlign w:val="center"/>
            <w:hideMark/>
          </w:tcPr>
          <w:p w14:paraId="498364DC" w14:textId="77777777" w:rsidR="00B85262" w:rsidRPr="00B85262" w:rsidRDefault="00B85262" w:rsidP="00B85262">
            <w:pPr>
              <w:spacing w:after="0" w:line="240" w:lineRule="auto"/>
              <w:rPr>
                <w:rFonts w:ascii="Calibri" w:eastAsia="Times New Roman" w:hAnsi="Calibri" w:cs="Calibri"/>
                <w:b/>
                <w:bCs/>
                <w:lang w:eastAsia="cs-CZ"/>
              </w:rPr>
            </w:pPr>
            <w:r w:rsidRPr="00B85262">
              <w:rPr>
                <w:rFonts w:ascii="Calibri" w:eastAsia="Times New Roman" w:hAnsi="Calibri" w:cs="Calibri"/>
                <w:b/>
                <w:bCs/>
                <w:lang w:eastAsia="cs-CZ"/>
              </w:rPr>
              <w:t>Celkem</w:t>
            </w:r>
          </w:p>
        </w:tc>
        <w:tc>
          <w:tcPr>
            <w:tcW w:w="1559" w:type="dxa"/>
            <w:tcBorders>
              <w:top w:val="nil"/>
              <w:left w:val="nil"/>
              <w:bottom w:val="single" w:sz="8" w:space="0" w:color="auto"/>
              <w:right w:val="single" w:sz="4" w:space="0" w:color="auto"/>
            </w:tcBorders>
            <w:shd w:val="clear" w:color="auto" w:fill="auto"/>
            <w:noWrap/>
            <w:vAlign w:val="center"/>
            <w:hideMark/>
          </w:tcPr>
          <w:p w14:paraId="50C136C5"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46 899 000</w:t>
            </w:r>
          </w:p>
        </w:tc>
        <w:tc>
          <w:tcPr>
            <w:tcW w:w="1701" w:type="dxa"/>
            <w:tcBorders>
              <w:top w:val="nil"/>
              <w:left w:val="nil"/>
              <w:bottom w:val="single" w:sz="8" w:space="0" w:color="auto"/>
              <w:right w:val="single" w:sz="4" w:space="0" w:color="auto"/>
            </w:tcBorders>
            <w:shd w:val="clear" w:color="auto" w:fill="auto"/>
            <w:noWrap/>
            <w:vAlign w:val="center"/>
            <w:hideMark/>
          </w:tcPr>
          <w:p w14:paraId="1F5EFE28"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3 689 217,13</w:t>
            </w:r>
          </w:p>
        </w:tc>
        <w:tc>
          <w:tcPr>
            <w:tcW w:w="1418" w:type="dxa"/>
            <w:tcBorders>
              <w:top w:val="nil"/>
              <w:left w:val="nil"/>
              <w:bottom w:val="single" w:sz="8" w:space="0" w:color="auto"/>
              <w:right w:val="single" w:sz="4" w:space="0" w:color="auto"/>
            </w:tcBorders>
            <w:shd w:val="clear" w:color="auto" w:fill="auto"/>
            <w:noWrap/>
            <w:vAlign w:val="center"/>
            <w:hideMark/>
          </w:tcPr>
          <w:p w14:paraId="1A490F2A"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0,00</w:t>
            </w:r>
          </w:p>
        </w:tc>
        <w:tc>
          <w:tcPr>
            <w:tcW w:w="708" w:type="dxa"/>
            <w:tcBorders>
              <w:top w:val="nil"/>
              <w:left w:val="nil"/>
              <w:bottom w:val="single" w:sz="8" w:space="0" w:color="auto"/>
              <w:right w:val="single" w:sz="8" w:space="0" w:color="auto"/>
            </w:tcBorders>
            <w:shd w:val="clear" w:color="auto" w:fill="auto"/>
            <w:noWrap/>
            <w:vAlign w:val="center"/>
            <w:hideMark/>
          </w:tcPr>
          <w:p w14:paraId="7FD76E6F"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0,0</w:t>
            </w:r>
          </w:p>
        </w:tc>
      </w:tr>
      <w:tr w:rsidR="00B85262" w:rsidRPr="00B85262" w14:paraId="310DECDE" w14:textId="77777777" w:rsidTr="00A41CC1">
        <w:trPr>
          <w:trHeight w:val="300"/>
        </w:trPr>
        <w:tc>
          <w:tcPr>
            <w:tcW w:w="826" w:type="dxa"/>
            <w:tcBorders>
              <w:top w:val="nil"/>
              <w:left w:val="nil"/>
              <w:bottom w:val="nil"/>
              <w:right w:val="nil"/>
            </w:tcBorders>
            <w:shd w:val="clear" w:color="auto" w:fill="auto"/>
            <w:noWrap/>
            <w:vAlign w:val="center"/>
            <w:hideMark/>
          </w:tcPr>
          <w:p w14:paraId="581E7271" w14:textId="77777777" w:rsidR="00B85262" w:rsidRPr="00B85262" w:rsidRDefault="00B85262" w:rsidP="00B85262">
            <w:pPr>
              <w:spacing w:after="0" w:line="240" w:lineRule="auto"/>
              <w:jc w:val="right"/>
              <w:rPr>
                <w:rFonts w:ascii="Calibri" w:eastAsia="Times New Roman" w:hAnsi="Calibri" w:cs="Calibri"/>
                <w:b/>
                <w:bCs/>
                <w:lang w:eastAsia="cs-CZ"/>
              </w:rPr>
            </w:pPr>
          </w:p>
        </w:tc>
        <w:tc>
          <w:tcPr>
            <w:tcW w:w="3994" w:type="dxa"/>
            <w:tcBorders>
              <w:top w:val="nil"/>
              <w:left w:val="nil"/>
              <w:bottom w:val="nil"/>
              <w:right w:val="nil"/>
            </w:tcBorders>
            <w:shd w:val="clear" w:color="auto" w:fill="auto"/>
            <w:noWrap/>
            <w:vAlign w:val="center"/>
            <w:hideMark/>
          </w:tcPr>
          <w:p w14:paraId="23194B18"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1559" w:type="dxa"/>
            <w:tcBorders>
              <w:top w:val="nil"/>
              <w:left w:val="nil"/>
              <w:bottom w:val="nil"/>
              <w:right w:val="nil"/>
            </w:tcBorders>
            <w:shd w:val="clear" w:color="auto" w:fill="auto"/>
            <w:noWrap/>
            <w:vAlign w:val="center"/>
            <w:hideMark/>
          </w:tcPr>
          <w:p w14:paraId="1C629CBB"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center"/>
            <w:hideMark/>
          </w:tcPr>
          <w:p w14:paraId="0E237094"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1418" w:type="dxa"/>
            <w:tcBorders>
              <w:top w:val="nil"/>
              <w:left w:val="nil"/>
              <w:bottom w:val="nil"/>
              <w:right w:val="nil"/>
            </w:tcBorders>
            <w:shd w:val="clear" w:color="auto" w:fill="auto"/>
            <w:noWrap/>
            <w:vAlign w:val="center"/>
            <w:hideMark/>
          </w:tcPr>
          <w:p w14:paraId="00A28B8D"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708" w:type="dxa"/>
            <w:tcBorders>
              <w:top w:val="nil"/>
              <w:left w:val="nil"/>
              <w:bottom w:val="nil"/>
              <w:right w:val="nil"/>
            </w:tcBorders>
            <w:shd w:val="clear" w:color="auto" w:fill="auto"/>
            <w:noWrap/>
            <w:vAlign w:val="center"/>
            <w:hideMark/>
          </w:tcPr>
          <w:p w14:paraId="76D05305"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r>
      <w:tr w:rsidR="00B85262" w:rsidRPr="00B85262" w14:paraId="6B77627F" w14:textId="77777777" w:rsidTr="00A41CC1">
        <w:trPr>
          <w:trHeight w:val="360"/>
        </w:trPr>
        <w:tc>
          <w:tcPr>
            <w:tcW w:w="826" w:type="dxa"/>
            <w:tcBorders>
              <w:top w:val="nil"/>
              <w:left w:val="nil"/>
              <w:bottom w:val="nil"/>
              <w:right w:val="nil"/>
            </w:tcBorders>
            <w:shd w:val="clear" w:color="auto" w:fill="auto"/>
            <w:noWrap/>
            <w:vAlign w:val="center"/>
            <w:hideMark/>
          </w:tcPr>
          <w:p w14:paraId="7E44BE03"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3994" w:type="dxa"/>
            <w:tcBorders>
              <w:top w:val="nil"/>
              <w:left w:val="nil"/>
              <w:bottom w:val="nil"/>
              <w:right w:val="nil"/>
            </w:tcBorders>
            <w:shd w:val="clear" w:color="auto" w:fill="auto"/>
            <w:noWrap/>
            <w:vAlign w:val="center"/>
            <w:hideMark/>
          </w:tcPr>
          <w:p w14:paraId="2E3A703A" w14:textId="77777777" w:rsidR="00B85262" w:rsidRPr="00B85262" w:rsidRDefault="00B85262" w:rsidP="00B85262">
            <w:pPr>
              <w:spacing w:after="0" w:line="240" w:lineRule="auto"/>
              <w:rPr>
                <w:rFonts w:ascii="Calibri" w:eastAsia="Times New Roman" w:hAnsi="Calibri" w:cs="Calibri"/>
                <w:b/>
                <w:bCs/>
                <w:lang w:eastAsia="cs-CZ"/>
              </w:rPr>
            </w:pPr>
            <w:r w:rsidRPr="00B85262">
              <w:rPr>
                <w:rFonts w:ascii="Calibri" w:eastAsia="Times New Roman" w:hAnsi="Calibri" w:cs="Calibri"/>
                <w:b/>
                <w:bCs/>
                <w:lang w:eastAsia="cs-CZ"/>
              </w:rPr>
              <w:t>Kapitálové výdaje</w:t>
            </w:r>
          </w:p>
        </w:tc>
        <w:tc>
          <w:tcPr>
            <w:tcW w:w="1559" w:type="dxa"/>
            <w:tcBorders>
              <w:top w:val="nil"/>
              <w:left w:val="nil"/>
              <w:bottom w:val="nil"/>
              <w:right w:val="nil"/>
            </w:tcBorders>
            <w:shd w:val="clear" w:color="auto" w:fill="auto"/>
            <w:noWrap/>
            <w:vAlign w:val="center"/>
            <w:hideMark/>
          </w:tcPr>
          <w:p w14:paraId="12F033B8" w14:textId="77777777" w:rsidR="00B85262" w:rsidRPr="00B85262" w:rsidRDefault="00B85262" w:rsidP="00B85262">
            <w:pPr>
              <w:spacing w:after="0" w:line="240" w:lineRule="auto"/>
              <w:rPr>
                <w:rFonts w:ascii="Calibri" w:eastAsia="Times New Roman" w:hAnsi="Calibri" w:cs="Calibri"/>
                <w:b/>
                <w:bCs/>
                <w:lang w:eastAsia="cs-CZ"/>
              </w:rPr>
            </w:pPr>
          </w:p>
        </w:tc>
        <w:tc>
          <w:tcPr>
            <w:tcW w:w="1701" w:type="dxa"/>
            <w:tcBorders>
              <w:top w:val="nil"/>
              <w:left w:val="nil"/>
              <w:bottom w:val="nil"/>
              <w:right w:val="nil"/>
            </w:tcBorders>
            <w:shd w:val="clear" w:color="auto" w:fill="auto"/>
            <w:noWrap/>
            <w:vAlign w:val="center"/>
            <w:hideMark/>
          </w:tcPr>
          <w:p w14:paraId="23FCDABC"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1418" w:type="dxa"/>
            <w:tcBorders>
              <w:top w:val="nil"/>
              <w:left w:val="nil"/>
              <w:bottom w:val="nil"/>
              <w:right w:val="nil"/>
            </w:tcBorders>
            <w:shd w:val="clear" w:color="auto" w:fill="auto"/>
            <w:noWrap/>
            <w:vAlign w:val="center"/>
            <w:hideMark/>
          </w:tcPr>
          <w:p w14:paraId="36601D50"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708" w:type="dxa"/>
            <w:tcBorders>
              <w:top w:val="nil"/>
              <w:left w:val="nil"/>
              <w:bottom w:val="nil"/>
              <w:right w:val="nil"/>
            </w:tcBorders>
            <w:shd w:val="clear" w:color="auto" w:fill="auto"/>
            <w:noWrap/>
            <w:vAlign w:val="center"/>
            <w:hideMark/>
          </w:tcPr>
          <w:p w14:paraId="205156B0"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r>
      <w:tr w:rsidR="00B85262" w:rsidRPr="00B85262" w14:paraId="169C1962" w14:textId="77777777" w:rsidTr="00A41CC1">
        <w:trPr>
          <w:trHeight w:val="300"/>
        </w:trPr>
        <w:tc>
          <w:tcPr>
            <w:tcW w:w="826" w:type="dxa"/>
            <w:tcBorders>
              <w:top w:val="single" w:sz="8" w:space="0" w:color="auto"/>
              <w:left w:val="single" w:sz="8" w:space="0" w:color="auto"/>
              <w:bottom w:val="nil"/>
              <w:right w:val="single" w:sz="4" w:space="0" w:color="auto"/>
            </w:tcBorders>
            <w:shd w:val="clear" w:color="auto" w:fill="auto"/>
            <w:noWrap/>
            <w:vAlign w:val="center"/>
            <w:hideMark/>
          </w:tcPr>
          <w:p w14:paraId="5E0A83B1"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6409</w:t>
            </w:r>
          </w:p>
        </w:tc>
        <w:tc>
          <w:tcPr>
            <w:tcW w:w="3994" w:type="dxa"/>
            <w:tcBorders>
              <w:top w:val="single" w:sz="8" w:space="0" w:color="auto"/>
              <w:left w:val="nil"/>
              <w:bottom w:val="nil"/>
              <w:right w:val="single" w:sz="4" w:space="0" w:color="auto"/>
            </w:tcBorders>
            <w:shd w:val="clear" w:color="auto" w:fill="auto"/>
            <w:vAlign w:val="center"/>
            <w:hideMark/>
          </w:tcPr>
          <w:p w14:paraId="546B0A52" w14:textId="77777777" w:rsidR="00B85262" w:rsidRPr="00B85262" w:rsidRDefault="00B85262" w:rsidP="00B85262">
            <w:pPr>
              <w:spacing w:after="0" w:line="240" w:lineRule="auto"/>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Kapitálové (investiční) výdaje</w:t>
            </w:r>
          </w:p>
        </w:tc>
        <w:tc>
          <w:tcPr>
            <w:tcW w:w="1559" w:type="dxa"/>
            <w:tcBorders>
              <w:top w:val="single" w:sz="8" w:space="0" w:color="auto"/>
              <w:left w:val="nil"/>
              <w:bottom w:val="nil"/>
              <w:right w:val="single" w:sz="4" w:space="0" w:color="auto"/>
            </w:tcBorders>
            <w:shd w:val="clear" w:color="auto" w:fill="auto"/>
            <w:noWrap/>
            <w:vAlign w:val="center"/>
            <w:hideMark/>
          </w:tcPr>
          <w:p w14:paraId="2977D0A5"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0</w:t>
            </w:r>
          </w:p>
        </w:tc>
        <w:tc>
          <w:tcPr>
            <w:tcW w:w="1701" w:type="dxa"/>
            <w:tcBorders>
              <w:top w:val="single" w:sz="8" w:space="0" w:color="auto"/>
              <w:left w:val="nil"/>
              <w:bottom w:val="nil"/>
              <w:right w:val="single" w:sz="4" w:space="0" w:color="auto"/>
            </w:tcBorders>
            <w:shd w:val="clear" w:color="auto" w:fill="auto"/>
            <w:noWrap/>
            <w:vAlign w:val="center"/>
            <w:hideMark/>
          </w:tcPr>
          <w:p w14:paraId="748C1025"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0,00</w:t>
            </w:r>
          </w:p>
        </w:tc>
        <w:tc>
          <w:tcPr>
            <w:tcW w:w="1418" w:type="dxa"/>
            <w:tcBorders>
              <w:top w:val="single" w:sz="8" w:space="0" w:color="auto"/>
              <w:left w:val="nil"/>
              <w:bottom w:val="nil"/>
              <w:right w:val="nil"/>
            </w:tcBorders>
            <w:shd w:val="clear" w:color="auto" w:fill="auto"/>
            <w:noWrap/>
            <w:vAlign w:val="center"/>
            <w:hideMark/>
          </w:tcPr>
          <w:p w14:paraId="3C546336"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0,00</w:t>
            </w:r>
          </w:p>
        </w:tc>
        <w:tc>
          <w:tcPr>
            <w:tcW w:w="708" w:type="dxa"/>
            <w:tcBorders>
              <w:top w:val="single" w:sz="8" w:space="0" w:color="auto"/>
              <w:left w:val="single" w:sz="4" w:space="0" w:color="auto"/>
              <w:bottom w:val="nil"/>
              <w:right w:val="single" w:sz="8" w:space="0" w:color="auto"/>
            </w:tcBorders>
            <w:shd w:val="clear" w:color="auto" w:fill="auto"/>
            <w:noWrap/>
            <w:vAlign w:val="center"/>
            <w:hideMark/>
          </w:tcPr>
          <w:p w14:paraId="0C6EED8E"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w:t>
            </w:r>
          </w:p>
        </w:tc>
      </w:tr>
      <w:tr w:rsidR="00B85262" w:rsidRPr="00B85262" w14:paraId="4847B842" w14:textId="77777777" w:rsidTr="00A41CC1">
        <w:trPr>
          <w:trHeight w:val="319"/>
        </w:trPr>
        <w:tc>
          <w:tcPr>
            <w:tcW w:w="826"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D86924C" w14:textId="77777777" w:rsidR="00B85262" w:rsidRPr="00B85262" w:rsidRDefault="00B85262" w:rsidP="00B85262">
            <w:pPr>
              <w:spacing w:after="0" w:line="240" w:lineRule="auto"/>
              <w:rPr>
                <w:rFonts w:ascii="Calibri" w:eastAsia="Times New Roman" w:hAnsi="Calibri" w:cs="Calibri"/>
                <w:lang w:eastAsia="cs-CZ"/>
              </w:rPr>
            </w:pPr>
            <w:r w:rsidRPr="00B85262">
              <w:rPr>
                <w:rFonts w:ascii="Calibri" w:eastAsia="Times New Roman" w:hAnsi="Calibri" w:cs="Calibri"/>
                <w:lang w:eastAsia="cs-CZ"/>
              </w:rPr>
              <w:t> </w:t>
            </w:r>
          </w:p>
        </w:tc>
        <w:tc>
          <w:tcPr>
            <w:tcW w:w="3994" w:type="dxa"/>
            <w:tcBorders>
              <w:top w:val="single" w:sz="8" w:space="0" w:color="auto"/>
              <w:left w:val="nil"/>
              <w:bottom w:val="single" w:sz="8" w:space="0" w:color="auto"/>
              <w:right w:val="single" w:sz="4" w:space="0" w:color="auto"/>
            </w:tcBorders>
            <w:shd w:val="clear" w:color="auto" w:fill="auto"/>
            <w:noWrap/>
            <w:vAlign w:val="center"/>
            <w:hideMark/>
          </w:tcPr>
          <w:p w14:paraId="2EA77BAD" w14:textId="77777777" w:rsidR="00B85262" w:rsidRPr="00B85262" w:rsidRDefault="00B85262" w:rsidP="00B85262">
            <w:pPr>
              <w:spacing w:after="0" w:line="240" w:lineRule="auto"/>
              <w:rPr>
                <w:rFonts w:ascii="Calibri" w:eastAsia="Times New Roman" w:hAnsi="Calibri" w:cs="Calibri"/>
                <w:b/>
                <w:bCs/>
                <w:lang w:eastAsia="cs-CZ"/>
              </w:rPr>
            </w:pPr>
            <w:r w:rsidRPr="00B85262">
              <w:rPr>
                <w:rFonts w:ascii="Calibri" w:eastAsia="Times New Roman" w:hAnsi="Calibri" w:cs="Calibri"/>
                <w:b/>
                <w:bCs/>
                <w:lang w:eastAsia="cs-CZ"/>
              </w:rPr>
              <w:t>Celkem</w:t>
            </w:r>
          </w:p>
        </w:tc>
        <w:tc>
          <w:tcPr>
            <w:tcW w:w="1559" w:type="dxa"/>
            <w:tcBorders>
              <w:top w:val="single" w:sz="8" w:space="0" w:color="auto"/>
              <w:left w:val="nil"/>
              <w:bottom w:val="single" w:sz="8" w:space="0" w:color="auto"/>
              <w:right w:val="single" w:sz="4" w:space="0" w:color="auto"/>
            </w:tcBorders>
            <w:shd w:val="clear" w:color="auto" w:fill="auto"/>
            <w:noWrap/>
            <w:vAlign w:val="center"/>
            <w:hideMark/>
          </w:tcPr>
          <w:p w14:paraId="6A405E4F"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0</w:t>
            </w:r>
          </w:p>
        </w:tc>
        <w:tc>
          <w:tcPr>
            <w:tcW w:w="1701" w:type="dxa"/>
            <w:tcBorders>
              <w:top w:val="single" w:sz="8" w:space="0" w:color="auto"/>
              <w:left w:val="nil"/>
              <w:bottom w:val="single" w:sz="8" w:space="0" w:color="auto"/>
              <w:right w:val="single" w:sz="4" w:space="0" w:color="auto"/>
            </w:tcBorders>
            <w:shd w:val="clear" w:color="auto" w:fill="auto"/>
            <w:noWrap/>
            <w:vAlign w:val="center"/>
            <w:hideMark/>
          </w:tcPr>
          <w:p w14:paraId="426EDAF6"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0,00</w:t>
            </w:r>
          </w:p>
        </w:tc>
        <w:tc>
          <w:tcPr>
            <w:tcW w:w="1418" w:type="dxa"/>
            <w:tcBorders>
              <w:top w:val="single" w:sz="8" w:space="0" w:color="auto"/>
              <w:left w:val="nil"/>
              <w:bottom w:val="single" w:sz="8" w:space="0" w:color="auto"/>
              <w:right w:val="single" w:sz="4" w:space="0" w:color="auto"/>
            </w:tcBorders>
            <w:shd w:val="clear" w:color="auto" w:fill="auto"/>
            <w:noWrap/>
            <w:vAlign w:val="center"/>
            <w:hideMark/>
          </w:tcPr>
          <w:p w14:paraId="31D2D62D"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0,00</w:t>
            </w:r>
          </w:p>
        </w:tc>
        <w:tc>
          <w:tcPr>
            <w:tcW w:w="708" w:type="dxa"/>
            <w:tcBorders>
              <w:top w:val="single" w:sz="8" w:space="0" w:color="auto"/>
              <w:left w:val="nil"/>
              <w:bottom w:val="single" w:sz="8" w:space="0" w:color="auto"/>
              <w:right w:val="single" w:sz="8" w:space="0" w:color="auto"/>
            </w:tcBorders>
            <w:shd w:val="clear" w:color="auto" w:fill="auto"/>
            <w:noWrap/>
            <w:vAlign w:val="center"/>
            <w:hideMark/>
          </w:tcPr>
          <w:p w14:paraId="006F48C7" w14:textId="77777777" w:rsidR="00B85262" w:rsidRPr="00B85262" w:rsidRDefault="00B85262" w:rsidP="00B85262">
            <w:pPr>
              <w:spacing w:after="0" w:line="240" w:lineRule="auto"/>
              <w:jc w:val="right"/>
              <w:rPr>
                <w:rFonts w:ascii="Calibri" w:eastAsia="Times New Roman" w:hAnsi="Calibri" w:cs="Calibri"/>
                <w:b/>
                <w:bCs/>
                <w:sz w:val="20"/>
                <w:szCs w:val="20"/>
                <w:lang w:eastAsia="cs-CZ"/>
              </w:rPr>
            </w:pPr>
            <w:r w:rsidRPr="00B85262">
              <w:rPr>
                <w:rFonts w:ascii="Calibri" w:eastAsia="Times New Roman" w:hAnsi="Calibri" w:cs="Calibri"/>
                <w:b/>
                <w:bCs/>
                <w:sz w:val="20"/>
                <w:szCs w:val="20"/>
                <w:lang w:eastAsia="cs-CZ"/>
              </w:rPr>
              <w:t>-</w:t>
            </w:r>
          </w:p>
        </w:tc>
      </w:tr>
      <w:tr w:rsidR="00B85262" w:rsidRPr="00B85262" w14:paraId="1C25F5BD" w14:textId="77777777" w:rsidTr="00A41CC1">
        <w:trPr>
          <w:trHeight w:val="300"/>
        </w:trPr>
        <w:tc>
          <w:tcPr>
            <w:tcW w:w="826" w:type="dxa"/>
            <w:tcBorders>
              <w:top w:val="nil"/>
              <w:left w:val="nil"/>
              <w:bottom w:val="nil"/>
              <w:right w:val="nil"/>
            </w:tcBorders>
            <w:shd w:val="clear" w:color="auto" w:fill="auto"/>
            <w:noWrap/>
            <w:vAlign w:val="center"/>
            <w:hideMark/>
          </w:tcPr>
          <w:p w14:paraId="02749E23" w14:textId="77777777" w:rsidR="00B85262" w:rsidRPr="00B85262" w:rsidRDefault="00B85262" w:rsidP="00B85262">
            <w:pPr>
              <w:spacing w:after="0" w:line="240" w:lineRule="auto"/>
              <w:jc w:val="right"/>
              <w:rPr>
                <w:rFonts w:ascii="Calibri" w:eastAsia="Times New Roman" w:hAnsi="Calibri" w:cs="Calibri"/>
                <w:b/>
                <w:bCs/>
                <w:sz w:val="20"/>
                <w:szCs w:val="20"/>
                <w:lang w:eastAsia="cs-CZ"/>
              </w:rPr>
            </w:pPr>
          </w:p>
        </w:tc>
        <w:tc>
          <w:tcPr>
            <w:tcW w:w="3994" w:type="dxa"/>
            <w:tcBorders>
              <w:top w:val="nil"/>
              <w:left w:val="nil"/>
              <w:bottom w:val="nil"/>
              <w:right w:val="nil"/>
            </w:tcBorders>
            <w:shd w:val="clear" w:color="auto" w:fill="auto"/>
            <w:noWrap/>
            <w:vAlign w:val="center"/>
            <w:hideMark/>
          </w:tcPr>
          <w:p w14:paraId="4EE361B5"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1559" w:type="dxa"/>
            <w:tcBorders>
              <w:top w:val="nil"/>
              <w:left w:val="nil"/>
              <w:bottom w:val="nil"/>
              <w:right w:val="nil"/>
            </w:tcBorders>
            <w:shd w:val="clear" w:color="auto" w:fill="auto"/>
            <w:noWrap/>
            <w:vAlign w:val="center"/>
            <w:hideMark/>
          </w:tcPr>
          <w:p w14:paraId="0428310E"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center"/>
            <w:hideMark/>
          </w:tcPr>
          <w:p w14:paraId="14EE9777"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1418" w:type="dxa"/>
            <w:tcBorders>
              <w:top w:val="nil"/>
              <w:left w:val="nil"/>
              <w:bottom w:val="nil"/>
              <w:right w:val="nil"/>
            </w:tcBorders>
            <w:shd w:val="clear" w:color="auto" w:fill="auto"/>
            <w:noWrap/>
            <w:vAlign w:val="center"/>
            <w:hideMark/>
          </w:tcPr>
          <w:p w14:paraId="20357E9C"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708" w:type="dxa"/>
            <w:tcBorders>
              <w:top w:val="nil"/>
              <w:left w:val="nil"/>
              <w:bottom w:val="nil"/>
              <w:right w:val="nil"/>
            </w:tcBorders>
            <w:shd w:val="clear" w:color="auto" w:fill="auto"/>
            <w:noWrap/>
            <w:vAlign w:val="center"/>
            <w:hideMark/>
          </w:tcPr>
          <w:p w14:paraId="3F46DA00"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r>
      <w:tr w:rsidR="00B85262" w:rsidRPr="00B85262" w14:paraId="25700323" w14:textId="77777777" w:rsidTr="00A41CC1">
        <w:trPr>
          <w:trHeight w:val="360"/>
        </w:trPr>
        <w:tc>
          <w:tcPr>
            <w:tcW w:w="826" w:type="dxa"/>
            <w:tcBorders>
              <w:top w:val="nil"/>
              <w:left w:val="nil"/>
              <w:bottom w:val="nil"/>
              <w:right w:val="nil"/>
            </w:tcBorders>
            <w:shd w:val="clear" w:color="auto" w:fill="auto"/>
            <w:noWrap/>
            <w:vAlign w:val="center"/>
            <w:hideMark/>
          </w:tcPr>
          <w:p w14:paraId="77510EED"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9380" w:type="dxa"/>
            <w:gridSpan w:val="5"/>
            <w:tcBorders>
              <w:top w:val="nil"/>
              <w:left w:val="nil"/>
              <w:bottom w:val="nil"/>
              <w:right w:val="nil"/>
            </w:tcBorders>
            <w:shd w:val="clear" w:color="auto" w:fill="auto"/>
            <w:noWrap/>
            <w:vAlign w:val="center"/>
            <w:hideMark/>
          </w:tcPr>
          <w:p w14:paraId="7BB68DEF" w14:textId="77777777" w:rsidR="00B85262" w:rsidRPr="00B85262" w:rsidRDefault="00B85262" w:rsidP="00B85262">
            <w:pPr>
              <w:spacing w:after="0" w:line="240" w:lineRule="auto"/>
              <w:rPr>
                <w:rFonts w:ascii="Calibri" w:eastAsia="Times New Roman" w:hAnsi="Calibri" w:cs="Calibri"/>
                <w:b/>
                <w:bCs/>
                <w:lang w:eastAsia="cs-CZ"/>
              </w:rPr>
            </w:pPr>
            <w:r w:rsidRPr="00B85262">
              <w:rPr>
                <w:rFonts w:ascii="Calibri" w:eastAsia="Times New Roman" w:hAnsi="Calibri" w:cs="Calibri"/>
                <w:b/>
                <w:bCs/>
                <w:lang w:eastAsia="cs-CZ"/>
              </w:rPr>
              <w:t>Předfinancování a kofinancování projektů spolufinancovaných z EU/EHP a ostatní související výdaje s projekty EU/EHP</w:t>
            </w:r>
          </w:p>
        </w:tc>
      </w:tr>
      <w:tr w:rsidR="00B85262" w:rsidRPr="00B85262" w14:paraId="14BE7E4E" w14:textId="77777777" w:rsidTr="00A41CC1">
        <w:trPr>
          <w:trHeight w:val="765"/>
        </w:trPr>
        <w:tc>
          <w:tcPr>
            <w:tcW w:w="826" w:type="dxa"/>
            <w:tcBorders>
              <w:top w:val="single" w:sz="8" w:space="0" w:color="auto"/>
              <w:left w:val="single" w:sz="8" w:space="0" w:color="auto"/>
              <w:bottom w:val="nil"/>
              <w:right w:val="single" w:sz="4" w:space="0" w:color="auto"/>
            </w:tcBorders>
            <w:shd w:val="clear" w:color="auto" w:fill="auto"/>
            <w:noWrap/>
            <w:vAlign w:val="bottom"/>
            <w:hideMark/>
          </w:tcPr>
          <w:p w14:paraId="55350C30"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6409</w:t>
            </w:r>
          </w:p>
        </w:tc>
        <w:tc>
          <w:tcPr>
            <w:tcW w:w="3994" w:type="dxa"/>
            <w:tcBorders>
              <w:top w:val="single" w:sz="8" w:space="0" w:color="auto"/>
              <w:left w:val="nil"/>
              <w:bottom w:val="nil"/>
              <w:right w:val="single" w:sz="4" w:space="0" w:color="auto"/>
            </w:tcBorders>
            <w:shd w:val="clear" w:color="auto" w:fill="auto"/>
            <w:vAlign w:val="center"/>
            <w:hideMark/>
          </w:tcPr>
          <w:p w14:paraId="6F21694C" w14:textId="77777777" w:rsidR="00B85262" w:rsidRPr="00B85262" w:rsidRDefault="00B85262" w:rsidP="00B85262">
            <w:pPr>
              <w:spacing w:after="0" w:line="240" w:lineRule="auto"/>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Předfinancování a kofinancování projektů spolufinancovaných z EU/EHP a ostatní související výdaje s projekty EU/EHP</w:t>
            </w:r>
          </w:p>
        </w:tc>
        <w:tc>
          <w:tcPr>
            <w:tcW w:w="1559" w:type="dxa"/>
            <w:tcBorders>
              <w:top w:val="single" w:sz="8" w:space="0" w:color="auto"/>
              <w:left w:val="nil"/>
              <w:bottom w:val="nil"/>
              <w:right w:val="single" w:sz="4" w:space="0" w:color="auto"/>
            </w:tcBorders>
            <w:shd w:val="clear" w:color="auto" w:fill="auto"/>
            <w:noWrap/>
            <w:vAlign w:val="center"/>
            <w:hideMark/>
          </w:tcPr>
          <w:p w14:paraId="6FD17CF8" w14:textId="77777777" w:rsidR="00B85262" w:rsidRPr="00B85262" w:rsidRDefault="00B85262" w:rsidP="00593EA0">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2 563 100 000</w:t>
            </w:r>
          </w:p>
        </w:tc>
        <w:tc>
          <w:tcPr>
            <w:tcW w:w="1701" w:type="dxa"/>
            <w:tcBorders>
              <w:top w:val="single" w:sz="8" w:space="0" w:color="auto"/>
              <w:left w:val="nil"/>
              <w:bottom w:val="nil"/>
              <w:right w:val="single" w:sz="4" w:space="0" w:color="auto"/>
            </w:tcBorders>
            <w:shd w:val="clear" w:color="auto" w:fill="auto"/>
            <w:noWrap/>
            <w:vAlign w:val="center"/>
            <w:hideMark/>
          </w:tcPr>
          <w:p w14:paraId="52B439BE"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1 244 460 566,52</w:t>
            </w:r>
          </w:p>
        </w:tc>
        <w:tc>
          <w:tcPr>
            <w:tcW w:w="1418" w:type="dxa"/>
            <w:tcBorders>
              <w:top w:val="single" w:sz="8" w:space="0" w:color="auto"/>
              <w:left w:val="nil"/>
              <w:bottom w:val="nil"/>
              <w:right w:val="nil"/>
            </w:tcBorders>
            <w:shd w:val="clear" w:color="auto" w:fill="auto"/>
            <w:noWrap/>
            <w:vAlign w:val="center"/>
            <w:hideMark/>
          </w:tcPr>
          <w:p w14:paraId="67180D68"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0,00</w:t>
            </w:r>
          </w:p>
        </w:tc>
        <w:tc>
          <w:tcPr>
            <w:tcW w:w="708" w:type="dxa"/>
            <w:tcBorders>
              <w:top w:val="single" w:sz="8" w:space="0" w:color="auto"/>
              <w:left w:val="single" w:sz="4" w:space="0" w:color="auto"/>
              <w:bottom w:val="nil"/>
              <w:right w:val="single" w:sz="8" w:space="0" w:color="auto"/>
            </w:tcBorders>
            <w:shd w:val="clear" w:color="auto" w:fill="auto"/>
            <w:noWrap/>
            <w:vAlign w:val="center"/>
            <w:hideMark/>
          </w:tcPr>
          <w:p w14:paraId="20C73164"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0,0</w:t>
            </w:r>
          </w:p>
        </w:tc>
      </w:tr>
      <w:tr w:rsidR="00B85262" w:rsidRPr="00B85262" w14:paraId="5D5F5291" w14:textId="77777777" w:rsidTr="00A41CC1">
        <w:trPr>
          <w:trHeight w:val="807"/>
        </w:trPr>
        <w:tc>
          <w:tcPr>
            <w:tcW w:w="826"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6B0039EB"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6409</w:t>
            </w:r>
          </w:p>
        </w:tc>
        <w:tc>
          <w:tcPr>
            <w:tcW w:w="3994" w:type="dxa"/>
            <w:tcBorders>
              <w:top w:val="single" w:sz="4" w:space="0" w:color="auto"/>
              <w:left w:val="nil"/>
              <w:bottom w:val="single" w:sz="8" w:space="0" w:color="auto"/>
              <w:right w:val="single" w:sz="4" w:space="0" w:color="auto"/>
            </w:tcBorders>
            <w:shd w:val="clear" w:color="auto" w:fill="auto"/>
            <w:vAlign w:val="center"/>
            <w:hideMark/>
          </w:tcPr>
          <w:p w14:paraId="02BAE66F" w14:textId="44731D20" w:rsidR="00B85262" w:rsidRPr="00B85262" w:rsidRDefault="00B85262" w:rsidP="00B85262">
            <w:pPr>
              <w:spacing w:after="0" w:line="240" w:lineRule="auto"/>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 xml:space="preserve">Spolufinancování projektů spolufinancovaných z EU/EHP a ostatní související výdaje s projekty EU/EHP - hrazené z úvěru </w:t>
            </w:r>
            <w:r w:rsidR="006405E9" w:rsidRPr="00B85262">
              <w:rPr>
                <w:rFonts w:ascii="Calibri" w:eastAsia="Times New Roman" w:hAnsi="Calibri" w:cs="Calibri"/>
                <w:sz w:val="20"/>
                <w:szCs w:val="20"/>
                <w:lang w:eastAsia="cs-CZ"/>
              </w:rPr>
              <w:t>přijatého</w:t>
            </w:r>
            <w:r w:rsidRPr="00B85262">
              <w:rPr>
                <w:rFonts w:ascii="Calibri" w:eastAsia="Times New Roman" w:hAnsi="Calibri" w:cs="Calibri"/>
                <w:sz w:val="20"/>
                <w:szCs w:val="20"/>
                <w:lang w:eastAsia="cs-CZ"/>
              </w:rPr>
              <w:t xml:space="preserve"> od EIB</w:t>
            </w:r>
          </w:p>
        </w:tc>
        <w:tc>
          <w:tcPr>
            <w:tcW w:w="1559" w:type="dxa"/>
            <w:tcBorders>
              <w:top w:val="single" w:sz="4" w:space="0" w:color="auto"/>
              <w:left w:val="nil"/>
              <w:bottom w:val="single" w:sz="8" w:space="0" w:color="auto"/>
              <w:right w:val="single" w:sz="4" w:space="0" w:color="auto"/>
            </w:tcBorders>
            <w:shd w:val="clear" w:color="auto" w:fill="auto"/>
            <w:noWrap/>
            <w:vAlign w:val="center"/>
            <w:hideMark/>
          </w:tcPr>
          <w:p w14:paraId="5726DFC1"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300 000 000</w:t>
            </w:r>
          </w:p>
        </w:tc>
        <w:tc>
          <w:tcPr>
            <w:tcW w:w="1701" w:type="dxa"/>
            <w:tcBorders>
              <w:top w:val="single" w:sz="4" w:space="0" w:color="auto"/>
              <w:left w:val="nil"/>
              <w:bottom w:val="single" w:sz="8" w:space="0" w:color="auto"/>
              <w:right w:val="single" w:sz="4" w:space="0" w:color="auto"/>
            </w:tcBorders>
            <w:shd w:val="clear" w:color="auto" w:fill="auto"/>
            <w:noWrap/>
            <w:vAlign w:val="center"/>
            <w:hideMark/>
          </w:tcPr>
          <w:p w14:paraId="0962C822"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205 588 667,10</w:t>
            </w:r>
          </w:p>
        </w:tc>
        <w:tc>
          <w:tcPr>
            <w:tcW w:w="1418" w:type="dxa"/>
            <w:tcBorders>
              <w:top w:val="single" w:sz="4" w:space="0" w:color="auto"/>
              <w:left w:val="nil"/>
              <w:bottom w:val="single" w:sz="8" w:space="0" w:color="auto"/>
              <w:right w:val="nil"/>
            </w:tcBorders>
            <w:shd w:val="clear" w:color="auto" w:fill="auto"/>
            <w:noWrap/>
            <w:vAlign w:val="center"/>
            <w:hideMark/>
          </w:tcPr>
          <w:p w14:paraId="2DA482BD"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0,00</w:t>
            </w:r>
          </w:p>
        </w:tc>
        <w:tc>
          <w:tcPr>
            <w:tcW w:w="708"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14:paraId="1B3863F4"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0,0</w:t>
            </w:r>
          </w:p>
        </w:tc>
      </w:tr>
      <w:tr w:rsidR="00B85262" w:rsidRPr="00B85262" w14:paraId="0C750601" w14:textId="77777777" w:rsidTr="00A41CC1">
        <w:trPr>
          <w:trHeight w:val="319"/>
        </w:trPr>
        <w:tc>
          <w:tcPr>
            <w:tcW w:w="826" w:type="dxa"/>
            <w:tcBorders>
              <w:top w:val="nil"/>
              <w:left w:val="single" w:sz="8" w:space="0" w:color="auto"/>
              <w:bottom w:val="single" w:sz="8" w:space="0" w:color="auto"/>
              <w:right w:val="single" w:sz="4" w:space="0" w:color="auto"/>
            </w:tcBorders>
            <w:shd w:val="clear" w:color="auto" w:fill="auto"/>
            <w:noWrap/>
            <w:vAlign w:val="center"/>
            <w:hideMark/>
          </w:tcPr>
          <w:p w14:paraId="2CEF7718" w14:textId="77777777" w:rsidR="00B85262" w:rsidRPr="00B85262" w:rsidRDefault="00B85262" w:rsidP="00B85262">
            <w:pPr>
              <w:spacing w:after="0" w:line="240" w:lineRule="auto"/>
              <w:rPr>
                <w:rFonts w:ascii="Calibri" w:eastAsia="Times New Roman" w:hAnsi="Calibri" w:cs="Calibri"/>
                <w:lang w:eastAsia="cs-CZ"/>
              </w:rPr>
            </w:pPr>
            <w:r w:rsidRPr="00B85262">
              <w:rPr>
                <w:rFonts w:ascii="Calibri" w:eastAsia="Times New Roman" w:hAnsi="Calibri" w:cs="Calibri"/>
                <w:lang w:eastAsia="cs-CZ"/>
              </w:rPr>
              <w:t> </w:t>
            </w:r>
          </w:p>
        </w:tc>
        <w:tc>
          <w:tcPr>
            <w:tcW w:w="3994" w:type="dxa"/>
            <w:tcBorders>
              <w:top w:val="nil"/>
              <w:left w:val="nil"/>
              <w:bottom w:val="single" w:sz="8" w:space="0" w:color="auto"/>
              <w:right w:val="single" w:sz="4" w:space="0" w:color="auto"/>
            </w:tcBorders>
            <w:shd w:val="clear" w:color="auto" w:fill="auto"/>
            <w:noWrap/>
            <w:vAlign w:val="center"/>
            <w:hideMark/>
          </w:tcPr>
          <w:p w14:paraId="79B89534" w14:textId="77777777" w:rsidR="00B85262" w:rsidRPr="00B85262" w:rsidRDefault="00B85262" w:rsidP="00B85262">
            <w:pPr>
              <w:spacing w:after="0" w:line="240" w:lineRule="auto"/>
              <w:rPr>
                <w:rFonts w:ascii="Calibri" w:eastAsia="Times New Roman" w:hAnsi="Calibri" w:cs="Calibri"/>
                <w:b/>
                <w:bCs/>
                <w:lang w:eastAsia="cs-CZ"/>
              </w:rPr>
            </w:pPr>
            <w:r w:rsidRPr="00B85262">
              <w:rPr>
                <w:rFonts w:ascii="Calibri" w:eastAsia="Times New Roman" w:hAnsi="Calibri" w:cs="Calibri"/>
                <w:b/>
                <w:bCs/>
                <w:lang w:eastAsia="cs-CZ"/>
              </w:rPr>
              <w:t>Celkem</w:t>
            </w:r>
          </w:p>
        </w:tc>
        <w:tc>
          <w:tcPr>
            <w:tcW w:w="1559" w:type="dxa"/>
            <w:tcBorders>
              <w:top w:val="nil"/>
              <w:left w:val="nil"/>
              <w:bottom w:val="single" w:sz="8" w:space="0" w:color="auto"/>
              <w:right w:val="single" w:sz="4" w:space="0" w:color="auto"/>
            </w:tcBorders>
            <w:shd w:val="clear" w:color="auto" w:fill="auto"/>
            <w:noWrap/>
            <w:vAlign w:val="center"/>
            <w:hideMark/>
          </w:tcPr>
          <w:p w14:paraId="3940E2A7"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2 863 100 000</w:t>
            </w:r>
          </w:p>
        </w:tc>
        <w:tc>
          <w:tcPr>
            <w:tcW w:w="1701" w:type="dxa"/>
            <w:tcBorders>
              <w:top w:val="nil"/>
              <w:left w:val="nil"/>
              <w:bottom w:val="single" w:sz="8" w:space="0" w:color="auto"/>
              <w:right w:val="single" w:sz="4" w:space="0" w:color="auto"/>
            </w:tcBorders>
            <w:shd w:val="clear" w:color="auto" w:fill="auto"/>
            <w:noWrap/>
            <w:vAlign w:val="center"/>
            <w:hideMark/>
          </w:tcPr>
          <w:p w14:paraId="0943F6C4"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1 450 049 233,62</w:t>
            </w:r>
          </w:p>
        </w:tc>
        <w:tc>
          <w:tcPr>
            <w:tcW w:w="1418" w:type="dxa"/>
            <w:tcBorders>
              <w:top w:val="nil"/>
              <w:left w:val="nil"/>
              <w:bottom w:val="single" w:sz="8" w:space="0" w:color="auto"/>
              <w:right w:val="single" w:sz="4" w:space="0" w:color="auto"/>
            </w:tcBorders>
            <w:shd w:val="clear" w:color="auto" w:fill="auto"/>
            <w:noWrap/>
            <w:vAlign w:val="center"/>
            <w:hideMark/>
          </w:tcPr>
          <w:p w14:paraId="0F5E655E"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0,00</w:t>
            </w:r>
          </w:p>
        </w:tc>
        <w:tc>
          <w:tcPr>
            <w:tcW w:w="708" w:type="dxa"/>
            <w:tcBorders>
              <w:top w:val="nil"/>
              <w:left w:val="nil"/>
              <w:bottom w:val="single" w:sz="8" w:space="0" w:color="auto"/>
              <w:right w:val="single" w:sz="8" w:space="0" w:color="auto"/>
            </w:tcBorders>
            <w:shd w:val="clear" w:color="auto" w:fill="auto"/>
            <w:noWrap/>
            <w:vAlign w:val="center"/>
            <w:hideMark/>
          </w:tcPr>
          <w:p w14:paraId="33638869"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0,0</w:t>
            </w:r>
          </w:p>
        </w:tc>
      </w:tr>
      <w:tr w:rsidR="00B85262" w:rsidRPr="00B85262" w14:paraId="361DDC12" w14:textId="77777777" w:rsidTr="00A41CC1">
        <w:trPr>
          <w:trHeight w:val="300"/>
        </w:trPr>
        <w:tc>
          <w:tcPr>
            <w:tcW w:w="826" w:type="dxa"/>
            <w:tcBorders>
              <w:top w:val="nil"/>
              <w:left w:val="nil"/>
              <w:bottom w:val="nil"/>
              <w:right w:val="nil"/>
            </w:tcBorders>
            <w:shd w:val="clear" w:color="auto" w:fill="auto"/>
            <w:noWrap/>
            <w:vAlign w:val="center"/>
            <w:hideMark/>
          </w:tcPr>
          <w:p w14:paraId="00741063" w14:textId="77777777" w:rsidR="00B85262" w:rsidRPr="00B85262" w:rsidRDefault="00B85262" w:rsidP="00B85262">
            <w:pPr>
              <w:spacing w:after="0" w:line="240" w:lineRule="auto"/>
              <w:jc w:val="right"/>
              <w:rPr>
                <w:rFonts w:ascii="Calibri" w:eastAsia="Times New Roman" w:hAnsi="Calibri" w:cs="Calibri"/>
                <w:b/>
                <w:bCs/>
                <w:lang w:eastAsia="cs-CZ"/>
              </w:rPr>
            </w:pPr>
          </w:p>
        </w:tc>
        <w:tc>
          <w:tcPr>
            <w:tcW w:w="3994" w:type="dxa"/>
            <w:tcBorders>
              <w:top w:val="nil"/>
              <w:left w:val="nil"/>
              <w:bottom w:val="nil"/>
              <w:right w:val="nil"/>
            </w:tcBorders>
            <w:shd w:val="clear" w:color="auto" w:fill="auto"/>
            <w:noWrap/>
            <w:vAlign w:val="center"/>
            <w:hideMark/>
          </w:tcPr>
          <w:p w14:paraId="7FA54608"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1559" w:type="dxa"/>
            <w:tcBorders>
              <w:top w:val="nil"/>
              <w:left w:val="nil"/>
              <w:bottom w:val="nil"/>
              <w:right w:val="nil"/>
            </w:tcBorders>
            <w:shd w:val="clear" w:color="auto" w:fill="auto"/>
            <w:noWrap/>
            <w:vAlign w:val="center"/>
            <w:hideMark/>
          </w:tcPr>
          <w:p w14:paraId="027C9739"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center"/>
            <w:hideMark/>
          </w:tcPr>
          <w:p w14:paraId="00C21D88"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1418" w:type="dxa"/>
            <w:tcBorders>
              <w:top w:val="nil"/>
              <w:left w:val="nil"/>
              <w:bottom w:val="nil"/>
              <w:right w:val="nil"/>
            </w:tcBorders>
            <w:shd w:val="clear" w:color="auto" w:fill="auto"/>
            <w:noWrap/>
            <w:vAlign w:val="center"/>
            <w:hideMark/>
          </w:tcPr>
          <w:p w14:paraId="31F3AA40"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708" w:type="dxa"/>
            <w:tcBorders>
              <w:top w:val="nil"/>
              <w:left w:val="nil"/>
              <w:bottom w:val="nil"/>
              <w:right w:val="nil"/>
            </w:tcBorders>
            <w:shd w:val="clear" w:color="auto" w:fill="auto"/>
            <w:noWrap/>
            <w:vAlign w:val="center"/>
            <w:hideMark/>
          </w:tcPr>
          <w:p w14:paraId="6BD71A6E"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r>
      <w:tr w:rsidR="00B85262" w:rsidRPr="00B85262" w14:paraId="66173E65" w14:textId="77777777" w:rsidTr="00A41CC1">
        <w:trPr>
          <w:trHeight w:val="600"/>
        </w:trPr>
        <w:tc>
          <w:tcPr>
            <w:tcW w:w="826" w:type="dxa"/>
            <w:tcBorders>
              <w:top w:val="nil"/>
              <w:left w:val="nil"/>
              <w:bottom w:val="nil"/>
              <w:right w:val="nil"/>
            </w:tcBorders>
            <w:shd w:val="clear" w:color="auto" w:fill="auto"/>
            <w:noWrap/>
            <w:vAlign w:val="center"/>
            <w:hideMark/>
          </w:tcPr>
          <w:p w14:paraId="32906233"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9380" w:type="dxa"/>
            <w:gridSpan w:val="5"/>
            <w:tcBorders>
              <w:top w:val="nil"/>
              <w:left w:val="nil"/>
              <w:bottom w:val="single" w:sz="8" w:space="0" w:color="auto"/>
              <w:right w:val="nil"/>
            </w:tcBorders>
            <w:shd w:val="clear" w:color="auto" w:fill="auto"/>
            <w:vAlign w:val="center"/>
            <w:hideMark/>
          </w:tcPr>
          <w:p w14:paraId="68141930" w14:textId="77777777" w:rsidR="00B85262" w:rsidRPr="00B85262" w:rsidRDefault="00B85262" w:rsidP="00B85262">
            <w:pPr>
              <w:spacing w:after="0" w:line="240" w:lineRule="auto"/>
              <w:rPr>
                <w:rFonts w:ascii="Calibri" w:eastAsia="Times New Roman" w:hAnsi="Calibri" w:cs="Calibri"/>
                <w:b/>
                <w:bCs/>
                <w:lang w:eastAsia="cs-CZ"/>
              </w:rPr>
            </w:pPr>
            <w:r w:rsidRPr="00B85262">
              <w:rPr>
                <w:rFonts w:ascii="Calibri" w:eastAsia="Times New Roman" w:hAnsi="Calibri" w:cs="Calibri"/>
                <w:b/>
                <w:bCs/>
                <w:lang w:eastAsia="cs-CZ"/>
              </w:rPr>
              <w:t>Předfinancování a kofinancování projektů spolufinancovaných z národních zdrojů a ostatní související výdaje s projekty z národních zdrojů</w:t>
            </w:r>
          </w:p>
        </w:tc>
      </w:tr>
      <w:tr w:rsidR="00B85262" w:rsidRPr="00B85262" w14:paraId="415B63A2" w14:textId="77777777" w:rsidTr="00A41CC1">
        <w:trPr>
          <w:trHeight w:val="780"/>
        </w:trPr>
        <w:tc>
          <w:tcPr>
            <w:tcW w:w="826"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4C1A17A"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6409</w:t>
            </w:r>
          </w:p>
        </w:tc>
        <w:tc>
          <w:tcPr>
            <w:tcW w:w="3994" w:type="dxa"/>
            <w:tcBorders>
              <w:top w:val="nil"/>
              <w:left w:val="nil"/>
              <w:bottom w:val="single" w:sz="8" w:space="0" w:color="auto"/>
              <w:right w:val="single" w:sz="4" w:space="0" w:color="auto"/>
            </w:tcBorders>
            <w:shd w:val="clear" w:color="auto" w:fill="auto"/>
            <w:vAlign w:val="center"/>
            <w:hideMark/>
          </w:tcPr>
          <w:p w14:paraId="335C97AB" w14:textId="77777777" w:rsidR="00B85262" w:rsidRPr="00B85262" w:rsidRDefault="00B85262" w:rsidP="00B85262">
            <w:pPr>
              <w:spacing w:after="0" w:line="240" w:lineRule="auto"/>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Předfinancování a kofinancování projektů spolufinancovaných z národních zdrojů a ostatní související výdaje s projekty z národních zdrojů</w:t>
            </w:r>
          </w:p>
        </w:tc>
        <w:tc>
          <w:tcPr>
            <w:tcW w:w="1559" w:type="dxa"/>
            <w:tcBorders>
              <w:top w:val="nil"/>
              <w:left w:val="nil"/>
              <w:bottom w:val="single" w:sz="8" w:space="0" w:color="auto"/>
              <w:right w:val="single" w:sz="4" w:space="0" w:color="auto"/>
            </w:tcBorders>
            <w:shd w:val="clear" w:color="auto" w:fill="auto"/>
            <w:noWrap/>
            <w:vAlign w:val="center"/>
            <w:hideMark/>
          </w:tcPr>
          <w:p w14:paraId="02334681"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123 000 000</w:t>
            </w:r>
          </w:p>
        </w:tc>
        <w:tc>
          <w:tcPr>
            <w:tcW w:w="1701" w:type="dxa"/>
            <w:tcBorders>
              <w:top w:val="nil"/>
              <w:left w:val="nil"/>
              <w:bottom w:val="single" w:sz="8" w:space="0" w:color="auto"/>
              <w:right w:val="single" w:sz="4" w:space="0" w:color="auto"/>
            </w:tcBorders>
            <w:shd w:val="clear" w:color="auto" w:fill="auto"/>
            <w:noWrap/>
            <w:vAlign w:val="center"/>
            <w:hideMark/>
          </w:tcPr>
          <w:p w14:paraId="04246C01"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127 439 303,04</w:t>
            </w:r>
          </w:p>
        </w:tc>
        <w:tc>
          <w:tcPr>
            <w:tcW w:w="1418" w:type="dxa"/>
            <w:tcBorders>
              <w:top w:val="nil"/>
              <w:left w:val="nil"/>
              <w:bottom w:val="single" w:sz="8" w:space="0" w:color="auto"/>
              <w:right w:val="nil"/>
            </w:tcBorders>
            <w:shd w:val="clear" w:color="auto" w:fill="auto"/>
            <w:noWrap/>
            <w:vAlign w:val="center"/>
            <w:hideMark/>
          </w:tcPr>
          <w:p w14:paraId="04500B21"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0,00</w:t>
            </w:r>
          </w:p>
        </w:tc>
        <w:tc>
          <w:tcPr>
            <w:tcW w:w="708" w:type="dxa"/>
            <w:tcBorders>
              <w:top w:val="nil"/>
              <w:left w:val="single" w:sz="4" w:space="0" w:color="auto"/>
              <w:bottom w:val="single" w:sz="8" w:space="0" w:color="auto"/>
              <w:right w:val="single" w:sz="8" w:space="0" w:color="auto"/>
            </w:tcBorders>
            <w:shd w:val="clear" w:color="auto" w:fill="auto"/>
            <w:noWrap/>
            <w:vAlign w:val="center"/>
            <w:hideMark/>
          </w:tcPr>
          <w:p w14:paraId="0DC7B445"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0,0</w:t>
            </w:r>
          </w:p>
        </w:tc>
      </w:tr>
      <w:tr w:rsidR="00B85262" w:rsidRPr="00B85262" w14:paraId="62A4FDE7" w14:textId="77777777" w:rsidTr="00A41CC1">
        <w:trPr>
          <w:trHeight w:val="319"/>
        </w:trPr>
        <w:tc>
          <w:tcPr>
            <w:tcW w:w="826" w:type="dxa"/>
            <w:tcBorders>
              <w:top w:val="nil"/>
              <w:left w:val="single" w:sz="8" w:space="0" w:color="auto"/>
              <w:bottom w:val="single" w:sz="8" w:space="0" w:color="auto"/>
              <w:right w:val="single" w:sz="4" w:space="0" w:color="auto"/>
            </w:tcBorders>
            <w:shd w:val="clear" w:color="auto" w:fill="auto"/>
            <w:noWrap/>
            <w:vAlign w:val="center"/>
            <w:hideMark/>
          </w:tcPr>
          <w:p w14:paraId="6A0A0302" w14:textId="77777777" w:rsidR="00B85262" w:rsidRPr="00B85262" w:rsidRDefault="00B85262" w:rsidP="00B85262">
            <w:pPr>
              <w:spacing w:after="0" w:line="240" w:lineRule="auto"/>
              <w:rPr>
                <w:rFonts w:ascii="Calibri" w:eastAsia="Times New Roman" w:hAnsi="Calibri" w:cs="Calibri"/>
                <w:lang w:eastAsia="cs-CZ"/>
              </w:rPr>
            </w:pPr>
            <w:r w:rsidRPr="00B85262">
              <w:rPr>
                <w:rFonts w:ascii="Calibri" w:eastAsia="Times New Roman" w:hAnsi="Calibri" w:cs="Calibri"/>
                <w:lang w:eastAsia="cs-CZ"/>
              </w:rPr>
              <w:t> </w:t>
            </w:r>
          </w:p>
        </w:tc>
        <w:tc>
          <w:tcPr>
            <w:tcW w:w="3994" w:type="dxa"/>
            <w:tcBorders>
              <w:top w:val="nil"/>
              <w:left w:val="nil"/>
              <w:bottom w:val="single" w:sz="8" w:space="0" w:color="auto"/>
              <w:right w:val="single" w:sz="4" w:space="0" w:color="auto"/>
            </w:tcBorders>
            <w:shd w:val="clear" w:color="auto" w:fill="auto"/>
            <w:noWrap/>
            <w:vAlign w:val="center"/>
            <w:hideMark/>
          </w:tcPr>
          <w:p w14:paraId="1D2256AB" w14:textId="77777777" w:rsidR="00B85262" w:rsidRPr="00B85262" w:rsidRDefault="00B85262" w:rsidP="00B85262">
            <w:pPr>
              <w:spacing w:after="0" w:line="240" w:lineRule="auto"/>
              <w:rPr>
                <w:rFonts w:ascii="Calibri" w:eastAsia="Times New Roman" w:hAnsi="Calibri" w:cs="Calibri"/>
                <w:b/>
                <w:bCs/>
                <w:lang w:eastAsia="cs-CZ"/>
              </w:rPr>
            </w:pPr>
            <w:r w:rsidRPr="00B85262">
              <w:rPr>
                <w:rFonts w:ascii="Calibri" w:eastAsia="Times New Roman" w:hAnsi="Calibri" w:cs="Calibri"/>
                <w:b/>
                <w:bCs/>
                <w:lang w:eastAsia="cs-CZ"/>
              </w:rPr>
              <w:t>Celkem</w:t>
            </w:r>
          </w:p>
        </w:tc>
        <w:tc>
          <w:tcPr>
            <w:tcW w:w="1559" w:type="dxa"/>
            <w:tcBorders>
              <w:top w:val="nil"/>
              <w:left w:val="nil"/>
              <w:bottom w:val="single" w:sz="8" w:space="0" w:color="auto"/>
              <w:right w:val="single" w:sz="4" w:space="0" w:color="auto"/>
            </w:tcBorders>
            <w:shd w:val="clear" w:color="auto" w:fill="auto"/>
            <w:noWrap/>
            <w:vAlign w:val="center"/>
            <w:hideMark/>
          </w:tcPr>
          <w:p w14:paraId="4963AA06"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123 000 000</w:t>
            </w:r>
          </w:p>
        </w:tc>
        <w:tc>
          <w:tcPr>
            <w:tcW w:w="1701" w:type="dxa"/>
            <w:tcBorders>
              <w:top w:val="nil"/>
              <w:left w:val="nil"/>
              <w:bottom w:val="single" w:sz="8" w:space="0" w:color="auto"/>
              <w:right w:val="single" w:sz="4" w:space="0" w:color="auto"/>
            </w:tcBorders>
            <w:shd w:val="clear" w:color="auto" w:fill="auto"/>
            <w:noWrap/>
            <w:vAlign w:val="center"/>
            <w:hideMark/>
          </w:tcPr>
          <w:p w14:paraId="0F7E8219"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127 439 303,04</w:t>
            </w:r>
          </w:p>
        </w:tc>
        <w:tc>
          <w:tcPr>
            <w:tcW w:w="1418" w:type="dxa"/>
            <w:tcBorders>
              <w:top w:val="nil"/>
              <w:left w:val="nil"/>
              <w:bottom w:val="single" w:sz="8" w:space="0" w:color="auto"/>
              <w:right w:val="single" w:sz="4" w:space="0" w:color="auto"/>
            </w:tcBorders>
            <w:shd w:val="clear" w:color="auto" w:fill="auto"/>
            <w:noWrap/>
            <w:vAlign w:val="center"/>
            <w:hideMark/>
          </w:tcPr>
          <w:p w14:paraId="0351AB5D"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0,00</w:t>
            </w:r>
          </w:p>
        </w:tc>
        <w:tc>
          <w:tcPr>
            <w:tcW w:w="708" w:type="dxa"/>
            <w:tcBorders>
              <w:top w:val="nil"/>
              <w:left w:val="nil"/>
              <w:bottom w:val="single" w:sz="8" w:space="0" w:color="auto"/>
              <w:right w:val="single" w:sz="8" w:space="0" w:color="auto"/>
            </w:tcBorders>
            <w:shd w:val="clear" w:color="auto" w:fill="auto"/>
            <w:noWrap/>
            <w:vAlign w:val="center"/>
            <w:hideMark/>
          </w:tcPr>
          <w:p w14:paraId="6F27BDB0"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0,0</w:t>
            </w:r>
          </w:p>
        </w:tc>
      </w:tr>
      <w:tr w:rsidR="00B85262" w:rsidRPr="00B85262" w14:paraId="6140D50C" w14:textId="77777777" w:rsidTr="00A41CC1">
        <w:trPr>
          <w:trHeight w:val="300"/>
        </w:trPr>
        <w:tc>
          <w:tcPr>
            <w:tcW w:w="826" w:type="dxa"/>
            <w:tcBorders>
              <w:top w:val="nil"/>
              <w:left w:val="nil"/>
              <w:bottom w:val="nil"/>
              <w:right w:val="nil"/>
            </w:tcBorders>
            <w:shd w:val="clear" w:color="auto" w:fill="auto"/>
            <w:noWrap/>
            <w:vAlign w:val="center"/>
            <w:hideMark/>
          </w:tcPr>
          <w:p w14:paraId="6EAD6626" w14:textId="77777777" w:rsidR="00B85262" w:rsidRPr="00B85262" w:rsidRDefault="00B85262" w:rsidP="00B85262">
            <w:pPr>
              <w:spacing w:after="0" w:line="240" w:lineRule="auto"/>
              <w:jc w:val="right"/>
              <w:rPr>
                <w:rFonts w:ascii="Calibri" w:eastAsia="Times New Roman" w:hAnsi="Calibri" w:cs="Calibri"/>
                <w:b/>
                <w:bCs/>
                <w:lang w:eastAsia="cs-CZ"/>
              </w:rPr>
            </w:pPr>
          </w:p>
        </w:tc>
        <w:tc>
          <w:tcPr>
            <w:tcW w:w="3994" w:type="dxa"/>
            <w:tcBorders>
              <w:top w:val="nil"/>
              <w:left w:val="nil"/>
              <w:bottom w:val="nil"/>
              <w:right w:val="nil"/>
            </w:tcBorders>
            <w:shd w:val="clear" w:color="auto" w:fill="auto"/>
            <w:noWrap/>
            <w:vAlign w:val="center"/>
            <w:hideMark/>
          </w:tcPr>
          <w:p w14:paraId="0D34BAD7"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1559" w:type="dxa"/>
            <w:tcBorders>
              <w:top w:val="nil"/>
              <w:left w:val="nil"/>
              <w:bottom w:val="nil"/>
              <w:right w:val="nil"/>
            </w:tcBorders>
            <w:shd w:val="clear" w:color="auto" w:fill="auto"/>
            <w:noWrap/>
            <w:vAlign w:val="center"/>
            <w:hideMark/>
          </w:tcPr>
          <w:p w14:paraId="3AF08779"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center"/>
            <w:hideMark/>
          </w:tcPr>
          <w:p w14:paraId="3889FDBB"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1418" w:type="dxa"/>
            <w:tcBorders>
              <w:top w:val="nil"/>
              <w:left w:val="nil"/>
              <w:bottom w:val="nil"/>
              <w:right w:val="nil"/>
            </w:tcBorders>
            <w:shd w:val="clear" w:color="auto" w:fill="auto"/>
            <w:noWrap/>
            <w:vAlign w:val="center"/>
            <w:hideMark/>
          </w:tcPr>
          <w:p w14:paraId="20D7C16F"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708" w:type="dxa"/>
            <w:tcBorders>
              <w:top w:val="nil"/>
              <w:left w:val="nil"/>
              <w:bottom w:val="nil"/>
              <w:right w:val="nil"/>
            </w:tcBorders>
            <w:shd w:val="clear" w:color="auto" w:fill="auto"/>
            <w:noWrap/>
            <w:vAlign w:val="center"/>
            <w:hideMark/>
          </w:tcPr>
          <w:p w14:paraId="10247247"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r>
      <w:tr w:rsidR="00B85262" w:rsidRPr="00B85262" w14:paraId="42009F7A" w14:textId="77777777" w:rsidTr="00A41CC1">
        <w:trPr>
          <w:trHeight w:val="360"/>
        </w:trPr>
        <w:tc>
          <w:tcPr>
            <w:tcW w:w="826" w:type="dxa"/>
            <w:tcBorders>
              <w:top w:val="nil"/>
              <w:left w:val="nil"/>
              <w:bottom w:val="nil"/>
              <w:right w:val="nil"/>
            </w:tcBorders>
            <w:shd w:val="clear" w:color="auto" w:fill="auto"/>
            <w:noWrap/>
            <w:vAlign w:val="center"/>
            <w:hideMark/>
          </w:tcPr>
          <w:p w14:paraId="0F3A2399"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9380" w:type="dxa"/>
            <w:gridSpan w:val="5"/>
            <w:tcBorders>
              <w:top w:val="nil"/>
              <w:left w:val="nil"/>
              <w:bottom w:val="single" w:sz="8" w:space="0" w:color="auto"/>
              <w:right w:val="nil"/>
            </w:tcBorders>
            <w:shd w:val="clear" w:color="auto" w:fill="auto"/>
            <w:vAlign w:val="center"/>
            <w:hideMark/>
          </w:tcPr>
          <w:p w14:paraId="4474702F" w14:textId="77777777" w:rsidR="00B85262" w:rsidRPr="00B85262" w:rsidRDefault="00B85262" w:rsidP="00B85262">
            <w:pPr>
              <w:spacing w:after="0" w:line="240" w:lineRule="auto"/>
              <w:rPr>
                <w:rFonts w:ascii="Calibri" w:eastAsia="Times New Roman" w:hAnsi="Calibri" w:cs="Calibri"/>
                <w:b/>
                <w:bCs/>
                <w:lang w:eastAsia="cs-CZ"/>
              </w:rPr>
            </w:pPr>
            <w:r w:rsidRPr="00B85262">
              <w:rPr>
                <w:rFonts w:ascii="Calibri" w:eastAsia="Times New Roman" w:hAnsi="Calibri" w:cs="Calibri"/>
                <w:b/>
                <w:bCs/>
                <w:lang w:eastAsia="cs-CZ"/>
              </w:rPr>
              <w:t>Rezerva - nepředvídatelné události a finanční záruky</w:t>
            </w:r>
          </w:p>
        </w:tc>
      </w:tr>
      <w:tr w:rsidR="00B85262" w:rsidRPr="00B85262" w14:paraId="3BDF28F6" w14:textId="77777777" w:rsidTr="00A41CC1">
        <w:trPr>
          <w:trHeight w:val="360"/>
        </w:trPr>
        <w:tc>
          <w:tcPr>
            <w:tcW w:w="826"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CF2F472"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6409</w:t>
            </w:r>
          </w:p>
        </w:tc>
        <w:tc>
          <w:tcPr>
            <w:tcW w:w="3994" w:type="dxa"/>
            <w:tcBorders>
              <w:top w:val="single" w:sz="8" w:space="0" w:color="auto"/>
              <w:left w:val="nil"/>
              <w:bottom w:val="single" w:sz="8" w:space="0" w:color="auto"/>
              <w:right w:val="single" w:sz="4" w:space="0" w:color="auto"/>
            </w:tcBorders>
            <w:shd w:val="clear" w:color="auto" w:fill="auto"/>
            <w:vAlign w:val="center"/>
            <w:hideMark/>
          </w:tcPr>
          <w:p w14:paraId="7F988D2E" w14:textId="77777777" w:rsidR="00B85262" w:rsidRPr="00B85262" w:rsidRDefault="00B85262" w:rsidP="00B85262">
            <w:pPr>
              <w:spacing w:after="0" w:line="240" w:lineRule="auto"/>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Rezerva - nepředvídatelné události a finanční záruky</w:t>
            </w:r>
          </w:p>
        </w:tc>
        <w:tc>
          <w:tcPr>
            <w:tcW w:w="1559" w:type="dxa"/>
            <w:tcBorders>
              <w:top w:val="single" w:sz="8" w:space="0" w:color="auto"/>
              <w:left w:val="nil"/>
              <w:bottom w:val="single" w:sz="8" w:space="0" w:color="auto"/>
              <w:right w:val="single" w:sz="4" w:space="0" w:color="auto"/>
            </w:tcBorders>
            <w:shd w:val="clear" w:color="auto" w:fill="auto"/>
            <w:noWrap/>
            <w:vAlign w:val="center"/>
            <w:hideMark/>
          </w:tcPr>
          <w:p w14:paraId="1A6D20C3"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49 966 200</w:t>
            </w:r>
          </w:p>
        </w:tc>
        <w:tc>
          <w:tcPr>
            <w:tcW w:w="1701" w:type="dxa"/>
            <w:tcBorders>
              <w:top w:val="single" w:sz="8" w:space="0" w:color="auto"/>
              <w:left w:val="nil"/>
              <w:bottom w:val="single" w:sz="8" w:space="0" w:color="auto"/>
              <w:right w:val="single" w:sz="4" w:space="0" w:color="auto"/>
            </w:tcBorders>
            <w:shd w:val="clear" w:color="auto" w:fill="auto"/>
            <w:noWrap/>
            <w:vAlign w:val="center"/>
            <w:hideMark/>
          </w:tcPr>
          <w:p w14:paraId="678EA6D7"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317 315 057,41</w:t>
            </w:r>
          </w:p>
        </w:tc>
        <w:tc>
          <w:tcPr>
            <w:tcW w:w="1418" w:type="dxa"/>
            <w:tcBorders>
              <w:top w:val="single" w:sz="8" w:space="0" w:color="auto"/>
              <w:left w:val="nil"/>
              <w:bottom w:val="single" w:sz="8" w:space="0" w:color="auto"/>
              <w:right w:val="nil"/>
            </w:tcBorders>
            <w:shd w:val="clear" w:color="auto" w:fill="auto"/>
            <w:noWrap/>
            <w:vAlign w:val="center"/>
            <w:hideMark/>
          </w:tcPr>
          <w:p w14:paraId="66A36350"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0,00</w:t>
            </w:r>
          </w:p>
        </w:tc>
        <w:tc>
          <w:tcPr>
            <w:tcW w:w="708"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2525F2C5"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0,0</w:t>
            </w:r>
          </w:p>
        </w:tc>
      </w:tr>
      <w:tr w:rsidR="00B85262" w:rsidRPr="00B85262" w14:paraId="14B11F70" w14:textId="77777777" w:rsidTr="00A41CC1">
        <w:trPr>
          <w:trHeight w:val="319"/>
        </w:trPr>
        <w:tc>
          <w:tcPr>
            <w:tcW w:w="826"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B334473" w14:textId="77777777" w:rsidR="00B85262" w:rsidRPr="00B85262" w:rsidRDefault="00B85262" w:rsidP="00B85262">
            <w:pPr>
              <w:spacing w:after="0" w:line="240" w:lineRule="auto"/>
              <w:rPr>
                <w:rFonts w:ascii="Calibri" w:eastAsia="Times New Roman" w:hAnsi="Calibri" w:cs="Calibri"/>
                <w:lang w:eastAsia="cs-CZ"/>
              </w:rPr>
            </w:pPr>
            <w:r w:rsidRPr="00B85262">
              <w:rPr>
                <w:rFonts w:ascii="Calibri" w:eastAsia="Times New Roman" w:hAnsi="Calibri" w:cs="Calibri"/>
                <w:lang w:eastAsia="cs-CZ"/>
              </w:rPr>
              <w:t> </w:t>
            </w:r>
          </w:p>
        </w:tc>
        <w:tc>
          <w:tcPr>
            <w:tcW w:w="3994" w:type="dxa"/>
            <w:tcBorders>
              <w:top w:val="single" w:sz="8" w:space="0" w:color="auto"/>
              <w:left w:val="nil"/>
              <w:bottom w:val="single" w:sz="8" w:space="0" w:color="auto"/>
              <w:right w:val="single" w:sz="4" w:space="0" w:color="auto"/>
            </w:tcBorders>
            <w:shd w:val="clear" w:color="auto" w:fill="auto"/>
            <w:noWrap/>
            <w:vAlign w:val="center"/>
            <w:hideMark/>
          </w:tcPr>
          <w:p w14:paraId="78D5DCDF" w14:textId="77777777" w:rsidR="00B85262" w:rsidRPr="00B85262" w:rsidRDefault="00B85262" w:rsidP="00B85262">
            <w:pPr>
              <w:spacing w:after="0" w:line="240" w:lineRule="auto"/>
              <w:rPr>
                <w:rFonts w:ascii="Calibri" w:eastAsia="Times New Roman" w:hAnsi="Calibri" w:cs="Calibri"/>
                <w:b/>
                <w:bCs/>
                <w:lang w:eastAsia="cs-CZ"/>
              </w:rPr>
            </w:pPr>
            <w:r w:rsidRPr="00B85262">
              <w:rPr>
                <w:rFonts w:ascii="Calibri" w:eastAsia="Times New Roman" w:hAnsi="Calibri" w:cs="Calibri"/>
                <w:b/>
                <w:bCs/>
                <w:lang w:eastAsia="cs-CZ"/>
              </w:rPr>
              <w:t>Celkem</w:t>
            </w:r>
          </w:p>
        </w:tc>
        <w:tc>
          <w:tcPr>
            <w:tcW w:w="1559" w:type="dxa"/>
            <w:tcBorders>
              <w:top w:val="single" w:sz="8" w:space="0" w:color="auto"/>
              <w:left w:val="nil"/>
              <w:bottom w:val="single" w:sz="8" w:space="0" w:color="auto"/>
              <w:right w:val="single" w:sz="4" w:space="0" w:color="auto"/>
            </w:tcBorders>
            <w:shd w:val="clear" w:color="auto" w:fill="auto"/>
            <w:noWrap/>
            <w:vAlign w:val="center"/>
            <w:hideMark/>
          </w:tcPr>
          <w:p w14:paraId="3F8742D5"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49 966 200</w:t>
            </w:r>
          </w:p>
        </w:tc>
        <w:tc>
          <w:tcPr>
            <w:tcW w:w="1701" w:type="dxa"/>
            <w:tcBorders>
              <w:top w:val="single" w:sz="8" w:space="0" w:color="auto"/>
              <w:left w:val="nil"/>
              <w:bottom w:val="single" w:sz="8" w:space="0" w:color="auto"/>
              <w:right w:val="single" w:sz="4" w:space="0" w:color="auto"/>
            </w:tcBorders>
            <w:shd w:val="clear" w:color="auto" w:fill="auto"/>
            <w:noWrap/>
            <w:vAlign w:val="center"/>
            <w:hideMark/>
          </w:tcPr>
          <w:p w14:paraId="431BCDE7"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317 315 057,41</w:t>
            </w:r>
          </w:p>
        </w:tc>
        <w:tc>
          <w:tcPr>
            <w:tcW w:w="1418" w:type="dxa"/>
            <w:tcBorders>
              <w:top w:val="single" w:sz="8" w:space="0" w:color="auto"/>
              <w:left w:val="nil"/>
              <w:bottom w:val="single" w:sz="8" w:space="0" w:color="auto"/>
              <w:right w:val="single" w:sz="4" w:space="0" w:color="auto"/>
            </w:tcBorders>
            <w:shd w:val="clear" w:color="auto" w:fill="auto"/>
            <w:noWrap/>
            <w:vAlign w:val="center"/>
            <w:hideMark/>
          </w:tcPr>
          <w:p w14:paraId="1CB6FFAC"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0,00</w:t>
            </w:r>
          </w:p>
        </w:tc>
        <w:tc>
          <w:tcPr>
            <w:tcW w:w="708" w:type="dxa"/>
            <w:tcBorders>
              <w:top w:val="single" w:sz="8" w:space="0" w:color="auto"/>
              <w:left w:val="nil"/>
              <w:bottom w:val="single" w:sz="8" w:space="0" w:color="auto"/>
              <w:right w:val="single" w:sz="8" w:space="0" w:color="auto"/>
            </w:tcBorders>
            <w:shd w:val="clear" w:color="auto" w:fill="auto"/>
            <w:noWrap/>
            <w:vAlign w:val="center"/>
            <w:hideMark/>
          </w:tcPr>
          <w:p w14:paraId="337B1A6A"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0,0</w:t>
            </w:r>
          </w:p>
        </w:tc>
      </w:tr>
      <w:tr w:rsidR="00B85262" w:rsidRPr="00B85262" w14:paraId="3FACA00C" w14:textId="77777777" w:rsidTr="00A41CC1">
        <w:trPr>
          <w:trHeight w:val="300"/>
        </w:trPr>
        <w:tc>
          <w:tcPr>
            <w:tcW w:w="826" w:type="dxa"/>
            <w:tcBorders>
              <w:top w:val="nil"/>
              <w:left w:val="nil"/>
              <w:bottom w:val="nil"/>
              <w:right w:val="nil"/>
            </w:tcBorders>
            <w:shd w:val="clear" w:color="auto" w:fill="auto"/>
            <w:noWrap/>
            <w:vAlign w:val="center"/>
            <w:hideMark/>
          </w:tcPr>
          <w:p w14:paraId="6A0FD7BD" w14:textId="77777777" w:rsidR="00B85262" w:rsidRPr="00B85262" w:rsidRDefault="00B85262" w:rsidP="00B85262">
            <w:pPr>
              <w:spacing w:after="0" w:line="240" w:lineRule="auto"/>
              <w:jc w:val="right"/>
              <w:rPr>
                <w:rFonts w:ascii="Calibri" w:eastAsia="Times New Roman" w:hAnsi="Calibri" w:cs="Calibri"/>
                <w:b/>
                <w:bCs/>
                <w:lang w:eastAsia="cs-CZ"/>
              </w:rPr>
            </w:pPr>
          </w:p>
        </w:tc>
        <w:tc>
          <w:tcPr>
            <w:tcW w:w="3994" w:type="dxa"/>
            <w:tcBorders>
              <w:top w:val="nil"/>
              <w:left w:val="nil"/>
              <w:bottom w:val="nil"/>
              <w:right w:val="nil"/>
            </w:tcBorders>
            <w:shd w:val="clear" w:color="auto" w:fill="auto"/>
            <w:noWrap/>
            <w:vAlign w:val="center"/>
            <w:hideMark/>
          </w:tcPr>
          <w:p w14:paraId="7CD45582"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1559" w:type="dxa"/>
            <w:tcBorders>
              <w:top w:val="nil"/>
              <w:left w:val="nil"/>
              <w:bottom w:val="nil"/>
              <w:right w:val="nil"/>
            </w:tcBorders>
            <w:shd w:val="clear" w:color="auto" w:fill="auto"/>
            <w:noWrap/>
            <w:vAlign w:val="center"/>
            <w:hideMark/>
          </w:tcPr>
          <w:p w14:paraId="78E152FC"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center"/>
            <w:hideMark/>
          </w:tcPr>
          <w:p w14:paraId="77398A00"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1418" w:type="dxa"/>
            <w:tcBorders>
              <w:top w:val="nil"/>
              <w:left w:val="nil"/>
              <w:bottom w:val="nil"/>
              <w:right w:val="nil"/>
            </w:tcBorders>
            <w:shd w:val="clear" w:color="auto" w:fill="auto"/>
            <w:noWrap/>
            <w:vAlign w:val="center"/>
            <w:hideMark/>
          </w:tcPr>
          <w:p w14:paraId="757016F6"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708" w:type="dxa"/>
            <w:tcBorders>
              <w:top w:val="nil"/>
              <w:left w:val="nil"/>
              <w:bottom w:val="nil"/>
              <w:right w:val="nil"/>
            </w:tcBorders>
            <w:shd w:val="clear" w:color="auto" w:fill="auto"/>
            <w:noWrap/>
            <w:vAlign w:val="center"/>
            <w:hideMark/>
          </w:tcPr>
          <w:p w14:paraId="682DCA09"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r>
      <w:tr w:rsidR="00B85262" w:rsidRPr="00B85262" w14:paraId="00A3C2C1" w14:textId="77777777" w:rsidTr="00A41CC1">
        <w:trPr>
          <w:trHeight w:val="360"/>
        </w:trPr>
        <w:tc>
          <w:tcPr>
            <w:tcW w:w="826" w:type="dxa"/>
            <w:tcBorders>
              <w:top w:val="nil"/>
              <w:left w:val="nil"/>
              <w:bottom w:val="nil"/>
              <w:right w:val="nil"/>
            </w:tcBorders>
            <w:shd w:val="clear" w:color="auto" w:fill="auto"/>
            <w:noWrap/>
            <w:vAlign w:val="center"/>
            <w:hideMark/>
          </w:tcPr>
          <w:p w14:paraId="5C84D1F6"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9380" w:type="dxa"/>
            <w:gridSpan w:val="5"/>
            <w:tcBorders>
              <w:top w:val="nil"/>
              <w:left w:val="nil"/>
              <w:bottom w:val="single" w:sz="8" w:space="0" w:color="auto"/>
              <w:right w:val="nil"/>
            </w:tcBorders>
            <w:shd w:val="clear" w:color="auto" w:fill="auto"/>
            <w:vAlign w:val="center"/>
            <w:hideMark/>
          </w:tcPr>
          <w:p w14:paraId="6E77AFE4" w14:textId="77777777" w:rsidR="00B85262" w:rsidRPr="00B85262" w:rsidRDefault="00B85262" w:rsidP="00B85262">
            <w:pPr>
              <w:spacing w:after="0" w:line="240" w:lineRule="auto"/>
              <w:rPr>
                <w:rFonts w:ascii="Calibri" w:eastAsia="Times New Roman" w:hAnsi="Calibri" w:cs="Calibri"/>
                <w:b/>
                <w:bCs/>
                <w:lang w:eastAsia="cs-CZ"/>
              </w:rPr>
            </w:pPr>
            <w:r w:rsidRPr="00B85262">
              <w:rPr>
                <w:rFonts w:ascii="Calibri" w:eastAsia="Times New Roman" w:hAnsi="Calibri" w:cs="Calibri"/>
                <w:b/>
                <w:bCs/>
                <w:lang w:eastAsia="cs-CZ"/>
              </w:rPr>
              <w:t>Výdaje na krytí očekávaných výdajů kapitol</w:t>
            </w:r>
          </w:p>
        </w:tc>
      </w:tr>
      <w:tr w:rsidR="00B85262" w:rsidRPr="00B85262" w14:paraId="651F95C4" w14:textId="77777777" w:rsidTr="00A41CC1">
        <w:trPr>
          <w:trHeight w:val="360"/>
        </w:trPr>
        <w:tc>
          <w:tcPr>
            <w:tcW w:w="826"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5732295"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6409</w:t>
            </w:r>
          </w:p>
        </w:tc>
        <w:tc>
          <w:tcPr>
            <w:tcW w:w="3994" w:type="dxa"/>
            <w:tcBorders>
              <w:top w:val="nil"/>
              <w:left w:val="nil"/>
              <w:bottom w:val="single" w:sz="8" w:space="0" w:color="auto"/>
              <w:right w:val="single" w:sz="4" w:space="0" w:color="auto"/>
            </w:tcBorders>
            <w:shd w:val="clear" w:color="auto" w:fill="auto"/>
            <w:vAlign w:val="center"/>
            <w:hideMark/>
          </w:tcPr>
          <w:p w14:paraId="4D027802" w14:textId="77777777" w:rsidR="00B85262" w:rsidRPr="00B85262" w:rsidRDefault="00B85262" w:rsidP="00B85262">
            <w:pPr>
              <w:spacing w:after="0" w:line="240" w:lineRule="auto"/>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Výdaje na krytí očekávaných výdajů kapitol</w:t>
            </w:r>
          </w:p>
        </w:tc>
        <w:tc>
          <w:tcPr>
            <w:tcW w:w="1559" w:type="dxa"/>
            <w:tcBorders>
              <w:top w:val="nil"/>
              <w:left w:val="nil"/>
              <w:bottom w:val="single" w:sz="8" w:space="0" w:color="auto"/>
              <w:right w:val="single" w:sz="4" w:space="0" w:color="auto"/>
            </w:tcBorders>
            <w:shd w:val="clear" w:color="auto" w:fill="auto"/>
            <w:noWrap/>
            <w:vAlign w:val="center"/>
            <w:hideMark/>
          </w:tcPr>
          <w:p w14:paraId="72C2CDD0"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10 000 000</w:t>
            </w:r>
          </w:p>
        </w:tc>
        <w:tc>
          <w:tcPr>
            <w:tcW w:w="1701" w:type="dxa"/>
            <w:tcBorders>
              <w:top w:val="nil"/>
              <w:left w:val="nil"/>
              <w:bottom w:val="single" w:sz="8" w:space="0" w:color="auto"/>
              <w:right w:val="single" w:sz="4" w:space="0" w:color="auto"/>
            </w:tcBorders>
            <w:shd w:val="clear" w:color="auto" w:fill="auto"/>
            <w:noWrap/>
            <w:vAlign w:val="center"/>
            <w:hideMark/>
          </w:tcPr>
          <w:p w14:paraId="365E8811"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15 329 055,06</w:t>
            </w:r>
          </w:p>
        </w:tc>
        <w:tc>
          <w:tcPr>
            <w:tcW w:w="1418" w:type="dxa"/>
            <w:tcBorders>
              <w:top w:val="nil"/>
              <w:left w:val="nil"/>
              <w:bottom w:val="single" w:sz="8" w:space="0" w:color="auto"/>
              <w:right w:val="nil"/>
            </w:tcBorders>
            <w:shd w:val="clear" w:color="auto" w:fill="auto"/>
            <w:noWrap/>
            <w:vAlign w:val="center"/>
            <w:hideMark/>
          </w:tcPr>
          <w:p w14:paraId="6396D668"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0,00</w:t>
            </w:r>
          </w:p>
        </w:tc>
        <w:tc>
          <w:tcPr>
            <w:tcW w:w="708" w:type="dxa"/>
            <w:tcBorders>
              <w:top w:val="nil"/>
              <w:left w:val="single" w:sz="4" w:space="0" w:color="auto"/>
              <w:bottom w:val="single" w:sz="8" w:space="0" w:color="auto"/>
              <w:right w:val="single" w:sz="8" w:space="0" w:color="auto"/>
            </w:tcBorders>
            <w:shd w:val="clear" w:color="auto" w:fill="auto"/>
            <w:noWrap/>
            <w:vAlign w:val="center"/>
            <w:hideMark/>
          </w:tcPr>
          <w:p w14:paraId="2CAC32A4"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0,0</w:t>
            </w:r>
          </w:p>
        </w:tc>
      </w:tr>
      <w:tr w:rsidR="00B85262" w:rsidRPr="00B85262" w14:paraId="4A68C1E0" w14:textId="77777777" w:rsidTr="00A41CC1">
        <w:trPr>
          <w:trHeight w:val="319"/>
        </w:trPr>
        <w:tc>
          <w:tcPr>
            <w:tcW w:w="826" w:type="dxa"/>
            <w:tcBorders>
              <w:top w:val="nil"/>
              <w:left w:val="single" w:sz="8" w:space="0" w:color="auto"/>
              <w:bottom w:val="single" w:sz="8" w:space="0" w:color="auto"/>
              <w:right w:val="single" w:sz="4" w:space="0" w:color="auto"/>
            </w:tcBorders>
            <w:shd w:val="clear" w:color="auto" w:fill="auto"/>
            <w:noWrap/>
            <w:vAlign w:val="center"/>
            <w:hideMark/>
          </w:tcPr>
          <w:p w14:paraId="07C17864" w14:textId="77777777" w:rsidR="00B85262" w:rsidRPr="00B85262" w:rsidRDefault="00B85262" w:rsidP="00B85262">
            <w:pPr>
              <w:spacing w:after="0" w:line="240" w:lineRule="auto"/>
              <w:rPr>
                <w:rFonts w:ascii="Calibri" w:eastAsia="Times New Roman" w:hAnsi="Calibri" w:cs="Calibri"/>
                <w:lang w:eastAsia="cs-CZ"/>
              </w:rPr>
            </w:pPr>
            <w:r w:rsidRPr="00B85262">
              <w:rPr>
                <w:rFonts w:ascii="Calibri" w:eastAsia="Times New Roman" w:hAnsi="Calibri" w:cs="Calibri"/>
                <w:lang w:eastAsia="cs-CZ"/>
              </w:rPr>
              <w:t> </w:t>
            </w:r>
          </w:p>
        </w:tc>
        <w:tc>
          <w:tcPr>
            <w:tcW w:w="3994" w:type="dxa"/>
            <w:tcBorders>
              <w:top w:val="nil"/>
              <w:left w:val="nil"/>
              <w:bottom w:val="single" w:sz="8" w:space="0" w:color="auto"/>
              <w:right w:val="single" w:sz="4" w:space="0" w:color="auto"/>
            </w:tcBorders>
            <w:shd w:val="clear" w:color="auto" w:fill="auto"/>
            <w:noWrap/>
            <w:vAlign w:val="center"/>
            <w:hideMark/>
          </w:tcPr>
          <w:p w14:paraId="2434554B" w14:textId="77777777" w:rsidR="00B85262" w:rsidRPr="00B85262" w:rsidRDefault="00B85262" w:rsidP="00B85262">
            <w:pPr>
              <w:spacing w:after="0" w:line="240" w:lineRule="auto"/>
              <w:rPr>
                <w:rFonts w:ascii="Calibri" w:eastAsia="Times New Roman" w:hAnsi="Calibri" w:cs="Calibri"/>
                <w:b/>
                <w:bCs/>
                <w:lang w:eastAsia="cs-CZ"/>
              </w:rPr>
            </w:pPr>
            <w:r w:rsidRPr="00B85262">
              <w:rPr>
                <w:rFonts w:ascii="Calibri" w:eastAsia="Times New Roman" w:hAnsi="Calibri" w:cs="Calibri"/>
                <w:b/>
                <w:bCs/>
                <w:lang w:eastAsia="cs-CZ"/>
              </w:rPr>
              <w:t>Celkem</w:t>
            </w:r>
          </w:p>
        </w:tc>
        <w:tc>
          <w:tcPr>
            <w:tcW w:w="1559" w:type="dxa"/>
            <w:tcBorders>
              <w:top w:val="nil"/>
              <w:left w:val="nil"/>
              <w:bottom w:val="single" w:sz="8" w:space="0" w:color="auto"/>
              <w:right w:val="single" w:sz="4" w:space="0" w:color="auto"/>
            </w:tcBorders>
            <w:shd w:val="clear" w:color="auto" w:fill="auto"/>
            <w:noWrap/>
            <w:vAlign w:val="center"/>
            <w:hideMark/>
          </w:tcPr>
          <w:p w14:paraId="06B8E43C"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10 000 000</w:t>
            </w:r>
          </w:p>
        </w:tc>
        <w:tc>
          <w:tcPr>
            <w:tcW w:w="1701" w:type="dxa"/>
            <w:tcBorders>
              <w:top w:val="nil"/>
              <w:left w:val="nil"/>
              <w:bottom w:val="single" w:sz="8" w:space="0" w:color="auto"/>
              <w:right w:val="single" w:sz="4" w:space="0" w:color="auto"/>
            </w:tcBorders>
            <w:shd w:val="clear" w:color="auto" w:fill="auto"/>
            <w:noWrap/>
            <w:vAlign w:val="center"/>
            <w:hideMark/>
          </w:tcPr>
          <w:p w14:paraId="7E1877EF"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15 329 055,06</w:t>
            </w:r>
          </w:p>
        </w:tc>
        <w:tc>
          <w:tcPr>
            <w:tcW w:w="1418" w:type="dxa"/>
            <w:tcBorders>
              <w:top w:val="nil"/>
              <w:left w:val="nil"/>
              <w:bottom w:val="single" w:sz="8" w:space="0" w:color="auto"/>
              <w:right w:val="single" w:sz="4" w:space="0" w:color="auto"/>
            </w:tcBorders>
            <w:shd w:val="clear" w:color="auto" w:fill="auto"/>
            <w:noWrap/>
            <w:vAlign w:val="center"/>
            <w:hideMark/>
          </w:tcPr>
          <w:p w14:paraId="0BBDF720"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0,00</w:t>
            </w:r>
          </w:p>
        </w:tc>
        <w:tc>
          <w:tcPr>
            <w:tcW w:w="708" w:type="dxa"/>
            <w:tcBorders>
              <w:top w:val="nil"/>
              <w:left w:val="nil"/>
              <w:bottom w:val="single" w:sz="8" w:space="0" w:color="auto"/>
              <w:right w:val="single" w:sz="8" w:space="0" w:color="auto"/>
            </w:tcBorders>
            <w:shd w:val="clear" w:color="auto" w:fill="auto"/>
            <w:noWrap/>
            <w:vAlign w:val="center"/>
            <w:hideMark/>
          </w:tcPr>
          <w:p w14:paraId="11BE3E4D"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0,0</w:t>
            </w:r>
          </w:p>
        </w:tc>
      </w:tr>
      <w:tr w:rsidR="00B85262" w:rsidRPr="00B85262" w14:paraId="45126353" w14:textId="77777777" w:rsidTr="00A41CC1">
        <w:trPr>
          <w:trHeight w:val="300"/>
        </w:trPr>
        <w:tc>
          <w:tcPr>
            <w:tcW w:w="826" w:type="dxa"/>
            <w:tcBorders>
              <w:top w:val="nil"/>
              <w:left w:val="nil"/>
              <w:bottom w:val="nil"/>
              <w:right w:val="nil"/>
            </w:tcBorders>
            <w:shd w:val="clear" w:color="auto" w:fill="auto"/>
            <w:noWrap/>
            <w:vAlign w:val="center"/>
            <w:hideMark/>
          </w:tcPr>
          <w:p w14:paraId="2FE2872B" w14:textId="77777777" w:rsidR="00B85262" w:rsidRPr="00B85262" w:rsidRDefault="00B85262" w:rsidP="00B85262">
            <w:pPr>
              <w:spacing w:after="0" w:line="240" w:lineRule="auto"/>
              <w:jc w:val="right"/>
              <w:rPr>
                <w:rFonts w:ascii="Calibri" w:eastAsia="Times New Roman" w:hAnsi="Calibri" w:cs="Calibri"/>
                <w:b/>
                <w:bCs/>
                <w:lang w:eastAsia="cs-CZ"/>
              </w:rPr>
            </w:pPr>
          </w:p>
        </w:tc>
        <w:tc>
          <w:tcPr>
            <w:tcW w:w="3994" w:type="dxa"/>
            <w:tcBorders>
              <w:top w:val="nil"/>
              <w:left w:val="nil"/>
              <w:bottom w:val="nil"/>
              <w:right w:val="nil"/>
            </w:tcBorders>
            <w:shd w:val="clear" w:color="auto" w:fill="auto"/>
            <w:noWrap/>
            <w:vAlign w:val="center"/>
            <w:hideMark/>
          </w:tcPr>
          <w:p w14:paraId="20683977"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1559" w:type="dxa"/>
            <w:tcBorders>
              <w:top w:val="nil"/>
              <w:left w:val="nil"/>
              <w:bottom w:val="nil"/>
              <w:right w:val="nil"/>
            </w:tcBorders>
            <w:shd w:val="clear" w:color="auto" w:fill="auto"/>
            <w:noWrap/>
            <w:vAlign w:val="center"/>
            <w:hideMark/>
          </w:tcPr>
          <w:p w14:paraId="59715096"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center"/>
            <w:hideMark/>
          </w:tcPr>
          <w:p w14:paraId="6B2D79D5"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1418" w:type="dxa"/>
            <w:tcBorders>
              <w:top w:val="nil"/>
              <w:left w:val="nil"/>
              <w:bottom w:val="nil"/>
              <w:right w:val="nil"/>
            </w:tcBorders>
            <w:shd w:val="clear" w:color="auto" w:fill="auto"/>
            <w:noWrap/>
            <w:vAlign w:val="center"/>
            <w:hideMark/>
          </w:tcPr>
          <w:p w14:paraId="4AA7DD6F"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708" w:type="dxa"/>
            <w:tcBorders>
              <w:top w:val="nil"/>
              <w:left w:val="nil"/>
              <w:bottom w:val="nil"/>
              <w:right w:val="nil"/>
            </w:tcBorders>
            <w:shd w:val="clear" w:color="auto" w:fill="auto"/>
            <w:noWrap/>
            <w:vAlign w:val="center"/>
            <w:hideMark/>
          </w:tcPr>
          <w:p w14:paraId="24E6CB4F"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r>
      <w:tr w:rsidR="00B85262" w:rsidRPr="00B85262" w14:paraId="63D42864" w14:textId="77777777" w:rsidTr="00A41CC1">
        <w:trPr>
          <w:trHeight w:val="360"/>
        </w:trPr>
        <w:tc>
          <w:tcPr>
            <w:tcW w:w="826" w:type="dxa"/>
            <w:tcBorders>
              <w:top w:val="nil"/>
              <w:left w:val="nil"/>
              <w:bottom w:val="nil"/>
              <w:right w:val="nil"/>
            </w:tcBorders>
            <w:shd w:val="clear" w:color="auto" w:fill="auto"/>
            <w:noWrap/>
            <w:vAlign w:val="center"/>
            <w:hideMark/>
          </w:tcPr>
          <w:p w14:paraId="6D7947E2"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9380" w:type="dxa"/>
            <w:gridSpan w:val="5"/>
            <w:tcBorders>
              <w:top w:val="nil"/>
              <w:left w:val="nil"/>
              <w:bottom w:val="single" w:sz="8" w:space="0" w:color="auto"/>
              <w:right w:val="nil"/>
            </w:tcBorders>
            <w:shd w:val="clear" w:color="auto" w:fill="auto"/>
            <w:vAlign w:val="center"/>
            <w:hideMark/>
          </w:tcPr>
          <w:p w14:paraId="60C7960C" w14:textId="77777777" w:rsidR="00B85262" w:rsidRPr="00B85262" w:rsidRDefault="00B85262" w:rsidP="00B85262">
            <w:pPr>
              <w:spacing w:after="0" w:line="240" w:lineRule="auto"/>
              <w:rPr>
                <w:rFonts w:ascii="Calibri" w:eastAsia="Times New Roman" w:hAnsi="Calibri" w:cs="Calibri"/>
                <w:b/>
                <w:bCs/>
                <w:lang w:eastAsia="cs-CZ"/>
              </w:rPr>
            </w:pPr>
            <w:r w:rsidRPr="00B85262">
              <w:rPr>
                <w:rFonts w:ascii="Calibri" w:eastAsia="Times New Roman" w:hAnsi="Calibri" w:cs="Calibri"/>
                <w:b/>
                <w:bCs/>
                <w:lang w:eastAsia="cs-CZ"/>
              </w:rPr>
              <w:t>Výdaje dle programů</w:t>
            </w:r>
          </w:p>
        </w:tc>
      </w:tr>
      <w:tr w:rsidR="00B85262" w:rsidRPr="00B85262" w14:paraId="1FB72053" w14:textId="77777777" w:rsidTr="00A41CC1">
        <w:trPr>
          <w:trHeight w:val="360"/>
        </w:trPr>
        <w:tc>
          <w:tcPr>
            <w:tcW w:w="826"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D1E82F5"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6409</w:t>
            </w:r>
          </w:p>
        </w:tc>
        <w:tc>
          <w:tcPr>
            <w:tcW w:w="3994" w:type="dxa"/>
            <w:tcBorders>
              <w:top w:val="nil"/>
              <w:left w:val="nil"/>
              <w:bottom w:val="single" w:sz="8" w:space="0" w:color="auto"/>
              <w:right w:val="single" w:sz="4" w:space="0" w:color="auto"/>
            </w:tcBorders>
            <w:shd w:val="clear" w:color="auto" w:fill="auto"/>
            <w:vAlign w:val="center"/>
            <w:hideMark/>
          </w:tcPr>
          <w:p w14:paraId="7692C9CA" w14:textId="77777777" w:rsidR="00B85262" w:rsidRPr="00B85262" w:rsidRDefault="00B85262" w:rsidP="00B85262">
            <w:pPr>
              <w:spacing w:after="0" w:line="240" w:lineRule="auto"/>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Výdaje dle programů</w:t>
            </w:r>
          </w:p>
        </w:tc>
        <w:tc>
          <w:tcPr>
            <w:tcW w:w="1559" w:type="dxa"/>
            <w:tcBorders>
              <w:top w:val="nil"/>
              <w:left w:val="nil"/>
              <w:bottom w:val="single" w:sz="8" w:space="0" w:color="auto"/>
              <w:right w:val="single" w:sz="4" w:space="0" w:color="auto"/>
            </w:tcBorders>
            <w:shd w:val="clear" w:color="auto" w:fill="auto"/>
            <w:noWrap/>
            <w:vAlign w:val="center"/>
            <w:hideMark/>
          </w:tcPr>
          <w:p w14:paraId="785453F3"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0</w:t>
            </w:r>
          </w:p>
        </w:tc>
        <w:tc>
          <w:tcPr>
            <w:tcW w:w="1701" w:type="dxa"/>
            <w:tcBorders>
              <w:top w:val="nil"/>
              <w:left w:val="nil"/>
              <w:bottom w:val="single" w:sz="8" w:space="0" w:color="auto"/>
              <w:right w:val="single" w:sz="4" w:space="0" w:color="auto"/>
            </w:tcBorders>
            <w:shd w:val="clear" w:color="auto" w:fill="auto"/>
            <w:noWrap/>
            <w:vAlign w:val="center"/>
            <w:hideMark/>
          </w:tcPr>
          <w:p w14:paraId="56257DFF"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142 532 910,65</w:t>
            </w:r>
          </w:p>
        </w:tc>
        <w:tc>
          <w:tcPr>
            <w:tcW w:w="1418" w:type="dxa"/>
            <w:tcBorders>
              <w:top w:val="nil"/>
              <w:left w:val="nil"/>
              <w:bottom w:val="single" w:sz="8" w:space="0" w:color="auto"/>
              <w:right w:val="nil"/>
            </w:tcBorders>
            <w:shd w:val="clear" w:color="auto" w:fill="auto"/>
            <w:noWrap/>
            <w:vAlign w:val="center"/>
            <w:hideMark/>
          </w:tcPr>
          <w:p w14:paraId="775F8F0D"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0,00</w:t>
            </w:r>
          </w:p>
        </w:tc>
        <w:tc>
          <w:tcPr>
            <w:tcW w:w="708" w:type="dxa"/>
            <w:tcBorders>
              <w:top w:val="nil"/>
              <w:left w:val="single" w:sz="4" w:space="0" w:color="auto"/>
              <w:bottom w:val="single" w:sz="8" w:space="0" w:color="auto"/>
              <w:right w:val="single" w:sz="8" w:space="0" w:color="auto"/>
            </w:tcBorders>
            <w:shd w:val="clear" w:color="auto" w:fill="auto"/>
            <w:noWrap/>
            <w:vAlign w:val="center"/>
            <w:hideMark/>
          </w:tcPr>
          <w:p w14:paraId="27FFE9C0"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0,0</w:t>
            </w:r>
          </w:p>
        </w:tc>
      </w:tr>
      <w:tr w:rsidR="00B85262" w:rsidRPr="00B85262" w14:paraId="1672F04F" w14:textId="77777777" w:rsidTr="00A41CC1">
        <w:trPr>
          <w:trHeight w:val="319"/>
        </w:trPr>
        <w:tc>
          <w:tcPr>
            <w:tcW w:w="826" w:type="dxa"/>
            <w:tcBorders>
              <w:top w:val="nil"/>
              <w:left w:val="single" w:sz="8" w:space="0" w:color="auto"/>
              <w:bottom w:val="single" w:sz="8" w:space="0" w:color="auto"/>
              <w:right w:val="single" w:sz="4" w:space="0" w:color="auto"/>
            </w:tcBorders>
            <w:shd w:val="clear" w:color="auto" w:fill="auto"/>
            <w:noWrap/>
            <w:vAlign w:val="center"/>
            <w:hideMark/>
          </w:tcPr>
          <w:p w14:paraId="4F5FE51F" w14:textId="77777777" w:rsidR="00B85262" w:rsidRPr="00B85262" w:rsidRDefault="00B85262" w:rsidP="00B85262">
            <w:pPr>
              <w:spacing w:after="0" w:line="240" w:lineRule="auto"/>
              <w:rPr>
                <w:rFonts w:ascii="Calibri" w:eastAsia="Times New Roman" w:hAnsi="Calibri" w:cs="Calibri"/>
                <w:lang w:eastAsia="cs-CZ"/>
              </w:rPr>
            </w:pPr>
            <w:r w:rsidRPr="00B85262">
              <w:rPr>
                <w:rFonts w:ascii="Calibri" w:eastAsia="Times New Roman" w:hAnsi="Calibri" w:cs="Calibri"/>
                <w:lang w:eastAsia="cs-CZ"/>
              </w:rPr>
              <w:t> </w:t>
            </w:r>
          </w:p>
        </w:tc>
        <w:tc>
          <w:tcPr>
            <w:tcW w:w="3994" w:type="dxa"/>
            <w:tcBorders>
              <w:top w:val="nil"/>
              <w:left w:val="nil"/>
              <w:bottom w:val="single" w:sz="8" w:space="0" w:color="auto"/>
              <w:right w:val="single" w:sz="4" w:space="0" w:color="auto"/>
            </w:tcBorders>
            <w:shd w:val="clear" w:color="auto" w:fill="auto"/>
            <w:noWrap/>
            <w:vAlign w:val="center"/>
            <w:hideMark/>
          </w:tcPr>
          <w:p w14:paraId="2CE5AF5A" w14:textId="77777777" w:rsidR="00B85262" w:rsidRPr="00B85262" w:rsidRDefault="00B85262" w:rsidP="00B85262">
            <w:pPr>
              <w:spacing w:after="0" w:line="240" w:lineRule="auto"/>
              <w:rPr>
                <w:rFonts w:ascii="Calibri" w:eastAsia="Times New Roman" w:hAnsi="Calibri" w:cs="Calibri"/>
                <w:b/>
                <w:bCs/>
                <w:lang w:eastAsia="cs-CZ"/>
              </w:rPr>
            </w:pPr>
            <w:r w:rsidRPr="00B85262">
              <w:rPr>
                <w:rFonts w:ascii="Calibri" w:eastAsia="Times New Roman" w:hAnsi="Calibri" w:cs="Calibri"/>
                <w:b/>
                <w:bCs/>
                <w:lang w:eastAsia="cs-CZ"/>
              </w:rPr>
              <w:t>Celkem</w:t>
            </w:r>
          </w:p>
        </w:tc>
        <w:tc>
          <w:tcPr>
            <w:tcW w:w="1559" w:type="dxa"/>
            <w:tcBorders>
              <w:top w:val="nil"/>
              <w:left w:val="nil"/>
              <w:bottom w:val="single" w:sz="8" w:space="0" w:color="auto"/>
              <w:right w:val="single" w:sz="4" w:space="0" w:color="auto"/>
            </w:tcBorders>
            <w:shd w:val="clear" w:color="auto" w:fill="auto"/>
            <w:noWrap/>
            <w:vAlign w:val="center"/>
            <w:hideMark/>
          </w:tcPr>
          <w:p w14:paraId="0284E86A"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0</w:t>
            </w:r>
          </w:p>
        </w:tc>
        <w:tc>
          <w:tcPr>
            <w:tcW w:w="1701" w:type="dxa"/>
            <w:tcBorders>
              <w:top w:val="nil"/>
              <w:left w:val="nil"/>
              <w:bottom w:val="single" w:sz="8" w:space="0" w:color="auto"/>
              <w:right w:val="single" w:sz="4" w:space="0" w:color="auto"/>
            </w:tcBorders>
            <w:shd w:val="clear" w:color="auto" w:fill="auto"/>
            <w:noWrap/>
            <w:vAlign w:val="center"/>
            <w:hideMark/>
          </w:tcPr>
          <w:p w14:paraId="3FD4E062"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142 532 910,65</w:t>
            </w:r>
          </w:p>
        </w:tc>
        <w:tc>
          <w:tcPr>
            <w:tcW w:w="1418" w:type="dxa"/>
            <w:tcBorders>
              <w:top w:val="nil"/>
              <w:left w:val="nil"/>
              <w:bottom w:val="single" w:sz="8" w:space="0" w:color="auto"/>
              <w:right w:val="single" w:sz="4" w:space="0" w:color="auto"/>
            </w:tcBorders>
            <w:shd w:val="clear" w:color="auto" w:fill="auto"/>
            <w:noWrap/>
            <w:vAlign w:val="center"/>
            <w:hideMark/>
          </w:tcPr>
          <w:p w14:paraId="64B0DA15"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0,00</w:t>
            </w:r>
          </w:p>
        </w:tc>
        <w:tc>
          <w:tcPr>
            <w:tcW w:w="708" w:type="dxa"/>
            <w:tcBorders>
              <w:top w:val="nil"/>
              <w:left w:val="nil"/>
              <w:bottom w:val="single" w:sz="8" w:space="0" w:color="auto"/>
              <w:right w:val="single" w:sz="8" w:space="0" w:color="auto"/>
            </w:tcBorders>
            <w:shd w:val="clear" w:color="auto" w:fill="auto"/>
            <w:noWrap/>
            <w:vAlign w:val="center"/>
            <w:hideMark/>
          </w:tcPr>
          <w:p w14:paraId="6FAB373C"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0,0</w:t>
            </w:r>
          </w:p>
        </w:tc>
      </w:tr>
      <w:tr w:rsidR="00B85262" w:rsidRPr="00B85262" w14:paraId="242FFF7B" w14:textId="77777777" w:rsidTr="00A41CC1">
        <w:trPr>
          <w:trHeight w:val="300"/>
        </w:trPr>
        <w:tc>
          <w:tcPr>
            <w:tcW w:w="826" w:type="dxa"/>
            <w:tcBorders>
              <w:top w:val="nil"/>
              <w:left w:val="nil"/>
              <w:bottom w:val="nil"/>
              <w:right w:val="nil"/>
            </w:tcBorders>
            <w:shd w:val="clear" w:color="auto" w:fill="auto"/>
            <w:noWrap/>
            <w:vAlign w:val="center"/>
            <w:hideMark/>
          </w:tcPr>
          <w:p w14:paraId="5279D5BF" w14:textId="77777777" w:rsidR="00B85262" w:rsidRPr="00B85262" w:rsidRDefault="00B85262" w:rsidP="00B85262">
            <w:pPr>
              <w:spacing w:after="0" w:line="240" w:lineRule="auto"/>
              <w:jc w:val="right"/>
              <w:rPr>
                <w:rFonts w:ascii="Calibri" w:eastAsia="Times New Roman" w:hAnsi="Calibri" w:cs="Calibri"/>
                <w:b/>
                <w:bCs/>
                <w:lang w:eastAsia="cs-CZ"/>
              </w:rPr>
            </w:pPr>
          </w:p>
        </w:tc>
        <w:tc>
          <w:tcPr>
            <w:tcW w:w="3994" w:type="dxa"/>
            <w:tcBorders>
              <w:top w:val="nil"/>
              <w:left w:val="nil"/>
              <w:bottom w:val="nil"/>
              <w:right w:val="nil"/>
            </w:tcBorders>
            <w:shd w:val="clear" w:color="auto" w:fill="auto"/>
            <w:noWrap/>
            <w:vAlign w:val="center"/>
            <w:hideMark/>
          </w:tcPr>
          <w:p w14:paraId="2709F26E"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1559" w:type="dxa"/>
            <w:tcBorders>
              <w:top w:val="nil"/>
              <w:left w:val="nil"/>
              <w:bottom w:val="nil"/>
              <w:right w:val="nil"/>
            </w:tcBorders>
            <w:shd w:val="clear" w:color="auto" w:fill="auto"/>
            <w:noWrap/>
            <w:vAlign w:val="center"/>
            <w:hideMark/>
          </w:tcPr>
          <w:p w14:paraId="43A62AF8"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center"/>
            <w:hideMark/>
          </w:tcPr>
          <w:p w14:paraId="58CB5119"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1418" w:type="dxa"/>
            <w:tcBorders>
              <w:top w:val="nil"/>
              <w:left w:val="nil"/>
              <w:bottom w:val="nil"/>
              <w:right w:val="nil"/>
            </w:tcBorders>
            <w:shd w:val="clear" w:color="auto" w:fill="auto"/>
            <w:noWrap/>
            <w:vAlign w:val="center"/>
            <w:hideMark/>
          </w:tcPr>
          <w:p w14:paraId="0AF3003B"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708" w:type="dxa"/>
            <w:tcBorders>
              <w:top w:val="nil"/>
              <w:left w:val="nil"/>
              <w:bottom w:val="nil"/>
              <w:right w:val="nil"/>
            </w:tcBorders>
            <w:shd w:val="clear" w:color="auto" w:fill="auto"/>
            <w:noWrap/>
            <w:vAlign w:val="center"/>
            <w:hideMark/>
          </w:tcPr>
          <w:p w14:paraId="275C8A3D"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r>
      <w:tr w:rsidR="00B85262" w:rsidRPr="00B85262" w14:paraId="6CBDE399" w14:textId="77777777" w:rsidTr="00A41CC1">
        <w:trPr>
          <w:trHeight w:val="360"/>
        </w:trPr>
        <w:tc>
          <w:tcPr>
            <w:tcW w:w="826" w:type="dxa"/>
            <w:tcBorders>
              <w:top w:val="nil"/>
              <w:left w:val="nil"/>
              <w:bottom w:val="nil"/>
              <w:right w:val="nil"/>
            </w:tcBorders>
            <w:shd w:val="clear" w:color="auto" w:fill="auto"/>
            <w:noWrap/>
            <w:vAlign w:val="center"/>
            <w:hideMark/>
          </w:tcPr>
          <w:p w14:paraId="6068E9CC"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9380" w:type="dxa"/>
            <w:gridSpan w:val="5"/>
            <w:tcBorders>
              <w:top w:val="nil"/>
              <w:left w:val="nil"/>
              <w:bottom w:val="single" w:sz="8" w:space="0" w:color="auto"/>
              <w:right w:val="nil"/>
            </w:tcBorders>
            <w:shd w:val="clear" w:color="auto" w:fill="auto"/>
            <w:vAlign w:val="center"/>
            <w:hideMark/>
          </w:tcPr>
          <w:p w14:paraId="33DE2854" w14:textId="77777777" w:rsidR="00B85262" w:rsidRPr="00B85262" w:rsidRDefault="00B85262" w:rsidP="00B85262">
            <w:pPr>
              <w:spacing w:after="0" w:line="240" w:lineRule="auto"/>
              <w:rPr>
                <w:rFonts w:ascii="Calibri" w:eastAsia="Times New Roman" w:hAnsi="Calibri" w:cs="Calibri"/>
                <w:b/>
                <w:bCs/>
                <w:lang w:eastAsia="cs-CZ"/>
              </w:rPr>
            </w:pPr>
            <w:r w:rsidRPr="00B85262">
              <w:rPr>
                <w:rFonts w:ascii="Calibri" w:eastAsia="Times New Roman" w:hAnsi="Calibri" w:cs="Calibri"/>
                <w:b/>
                <w:bCs/>
                <w:lang w:eastAsia="cs-CZ"/>
              </w:rPr>
              <w:t>Pojištění majetku, vozidel a odpovědnosti k refundaci</w:t>
            </w:r>
          </w:p>
        </w:tc>
      </w:tr>
      <w:tr w:rsidR="00B85262" w:rsidRPr="00B85262" w14:paraId="3619C914" w14:textId="77777777" w:rsidTr="00A41CC1">
        <w:trPr>
          <w:trHeight w:val="360"/>
        </w:trPr>
        <w:tc>
          <w:tcPr>
            <w:tcW w:w="826"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4BD1508E"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6409</w:t>
            </w:r>
          </w:p>
        </w:tc>
        <w:tc>
          <w:tcPr>
            <w:tcW w:w="3994" w:type="dxa"/>
            <w:tcBorders>
              <w:top w:val="nil"/>
              <w:left w:val="nil"/>
              <w:bottom w:val="single" w:sz="8" w:space="0" w:color="auto"/>
              <w:right w:val="single" w:sz="4" w:space="0" w:color="auto"/>
            </w:tcBorders>
            <w:shd w:val="clear" w:color="auto" w:fill="auto"/>
            <w:vAlign w:val="center"/>
            <w:hideMark/>
          </w:tcPr>
          <w:p w14:paraId="380C27AF" w14:textId="77777777" w:rsidR="00B85262" w:rsidRPr="00B85262" w:rsidRDefault="00B85262" w:rsidP="00B85262">
            <w:pPr>
              <w:spacing w:after="0" w:line="240" w:lineRule="auto"/>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Pojištění majetku, vozidel a odpovědnosti k refundaci</w:t>
            </w:r>
          </w:p>
        </w:tc>
        <w:tc>
          <w:tcPr>
            <w:tcW w:w="1559" w:type="dxa"/>
            <w:tcBorders>
              <w:top w:val="nil"/>
              <w:left w:val="nil"/>
              <w:bottom w:val="single" w:sz="8" w:space="0" w:color="auto"/>
              <w:right w:val="single" w:sz="4" w:space="0" w:color="auto"/>
            </w:tcBorders>
            <w:shd w:val="clear" w:color="auto" w:fill="auto"/>
            <w:noWrap/>
            <w:vAlign w:val="center"/>
            <w:hideMark/>
          </w:tcPr>
          <w:p w14:paraId="455B4515"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24 500 000</w:t>
            </w:r>
          </w:p>
        </w:tc>
        <w:tc>
          <w:tcPr>
            <w:tcW w:w="1701" w:type="dxa"/>
            <w:tcBorders>
              <w:top w:val="nil"/>
              <w:left w:val="nil"/>
              <w:bottom w:val="single" w:sz="8" w:space="0" w:color="auto"/>
              <w:right w:val="single" w:sz="4" w:space="0" w:color="auto"/>
            </w:tcBorders>
            <w:shd w:val="clear" w:color="auto" w:fill="auto"/>
            <w:noWrap/>
            <w:vAlign w:val="center"/>
            <w:hideMark/>
          </w:tcPr>
          <w:p w14:paraId="59760EAB"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34 899,00</w:t>
            </w:r>
          </w:p>
        </w:tc>
        <w:tc>
          <w:tcPr>
            <w:tcW w:w="1418" w:type="dxa"/>
            <w:tcBorders>
              <w:top w:val="nil"/>
              <w:left w:val="nil"/>
              <w:bottom w:val="single" w:sz="8" w:space="0" w:color="auto"/>
              <w:right w:val="nil"/>
            </w:tcBorders>
            <w:shd w:val="clear" w:color="auto" w:fill="auto"/>
            <w:noWrap/>
            <w:vAlign w:val="center"/>
            <w:hideMark/>
          </w:tcPr>
          <w:p w14:paraId="211DA05F"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0,00</w:t>
            </w:r>
          </w:p>
        </w:tc>
        <w:tc>
          <w:tcPr>
            <w:tcW w:w="708" w:type="dxa"/>
            <w:tcBorders>
              <w:top w:val="nil"/>
              <w:left w:val="single" w:sz="4" w:space="0" w:color="auto"/>
              <w:bottom w:val="single" w:sz="8" w:space="0" w:color="auto"/>
              <w:right w:val="single" w:sz="8" w:space="0" w:color="auto"/>
            </w:tcBorders>
            <w:shd w:val="clear" w:color="auto" w:fill="auto"/>
            <w:noWrap/>
            <w:vAlign w:val="center"/>
            <w:hideMark/>
          </w:tcPr>
          <w:p w14:paraId="089E25B8"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0,0</w:t>
            </w:r>
          </w:p>
        </w:tc>
      </w:tr>
      <w:tr w:rsidR="00B85262" w:rsidRPr="00B85262" w14:paraId="02219BE9" w14:textId="77777777" w:rsidTr="00A41CC1">
        <w:trPr>
          <w:trHeight w:val="319"/>
        </w:trPr>
        <w:tc>
          <w:tcPr>
            <w:tcW w:w="826" w:type="dxa"/>
            <w:tcBorders>
              <w:top w:val="nil"/>
              <w:left w:val="single" w:sz="8" w:space="0" w:color="auto"/>
              <w:bottom w:val="single" w:sz="8" w:space="0" w:color="auto"/>
              <w:right w:val="single" w:sz="4" w:space="0" w:color="auto"/>
            </w:tcBorders>
            <w:shd w:val="clear" w:color="auto" w:fill="auto"/>
            <w:noWrap/>
            <w:vAlign w:val="center"/>
            <w:hideMark/>
          </w:tcPr>
          <w:p w14:paraId="1643D7D0" w14:textId="77777777" w:rsidR="00B85262" w:rsidRPr="00B85262" w:rsidRDefault="00B85262" w:rsidP="00B85262">
            <w:pPr>
              <w:spacing w:after="0" w:line="240" w:lineRule="auto"/>
              <w:rPr>
                <w:rFonts w:ascii="Calibri" w:eastAsia="Times New Roman" w:hAnsi="Calibri" w:cs="Calibri"/>
                <w:lang w:eastAsia="cs-CZ"/>
              </w:rPr>
            </w:pPr>
            <w:r w:rsidRPr="00B85262">
              <w:rPr>
                <w:rFonts w:ascii="Calibri" w:eastAsia="Times New Roman" w:hAnsi="Calibri" w:cs="Calibri"/>
                <w:lang w:eastAsia="cs-CZ"/>
              </w:rPr>
              <w:t> </w:t>
            </w:r>
          </w:p>
        </w:tc>
        <w:tc>
          <w:tcPr>
            <w:tcW w:w="3994" w:type="dxa"/>
            <w:tcBorders>
              <w:top w:val="nil"/>
              <w:left w:val="nil"/>
              <w:bottom w:val="single" w:sz="8" w:space="0" w:color="auto"/>
              <w:right w:val="single" w:sz="4" w:space="0" w:color="auto"/>
            </w:tcBorders>
            <w:shd w:val="clear" w:color="auto" w:fill="auto"/>
            <w:noWrap/>
            <w:vAlign w:val="center"/>
            <w:hideMark/>
          </w:tcPr>
          <w:p w14:paraId="43BB0E58" w14:textId="77777777" w:rsidR="00B85262" w:rsidRPr="00B85262" w:rsidRDefault="00B85262" w:rsidP="00B85262">
            <w:pPr>
              <w:spacing w:after="0" w:line="240" w:lineRule="auto"/>
              <w:rPr>
                <w:rFonts w:ascii="Calibri" w:eastAsia="Times New Roman" w:hAnsi="Calibri" w:cs="Calibri"/>
                <w:b/>
                <w:bCs/>
                <w:lang w:eastAsia="cs-CZ"/>
              </w:rPr>
            </w:pPr>
            <w:r w:rsidRPr="00B85262">
              <w:rPr>
                <w:rFonts w:ascii="Calibri" w:eastAsia="Times New Roman" w:hAnsi="Calibri" w:cs="Calibri"/>
                <w:b/>
                <w:bCs/>
                <w:lang w:eastAsia="cs-CZ"/>
              </w:rPr>
              <w:t>Celkem</w:t>
            </w:r>
          </w:p>
        </w:tc>
        <w:tc>
          <w:tcPr>
            <w:tcW w:w="1559" w:type="dxa"/>
            <w:tcBorders>
              <w:top w:val="nil"/>
              <w:left w:val="nil"/>
              <w:bottom w:val="single" w:sz="8" w:space="0" w:color="auto"/>
              <w:right w:val="single" w:sz="4" w:space="0" w:color="auto"/>
            </w:tcBorders>
            <w:shd w:val="clear" w:color="auto" w:fill="auto"/>
            <w:noWrap/>
            <w:vAlign w:val="center"/>
            <w:hideMark/>
          </w:tcPr>
          <w:p w14:paraId="7A222041"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24 500 000</w:t>
            </w:r>
          </w:p>
        </w:tc>
        <w:tc>
          <w:tcPr>
            <w:tcW w:w="1701" w:type="dxa"/>
            <w:tcBorders>
              <w:top w:val="nil"/>
              <w:left w:val="nil"/>
              <w:bottom w:val="single" w:sz="8" w:space="0" w:color="auto"/>
              <w:right w:val="single" w:sz="4" w:space="0" w:color="auto"/>
            </w:tcBorders>
            <w:shd w:val="clear" w:color="auto" w:fill="auto"/>
            <w:noWrap/>
            <w:vAlign w:val="center"/>
            <w:hideMark/>
          </w:tcPr>
          <w:p w14:paraId="0A3C5919"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34 899,00</w:t>
            </w:r>
          </w:p>
        </w:tc>
        <w:tc>
          <w:tcPr>
            <w:tcW w:w="1418" w:type="dxa"/>
            <w:tcBorders>
              <w:top w:val="nil"/>
              <w:left w:val="nil"/>
              <w:bottom w:val="single" w:sz="8" w:space="0" w:color="auto"/>
              <w:right w:val="single" w:sz="4" w:space="0" w:color="auto"/>
            </w:tcBorders>
            <w:shd w:val="clear" w:color="auto" w:fill="auto"/>
            <w:noWrap/>
            <w:vAlign w:val="center"/>
            <w:hideMark/>
          </w:tcPr>
          <w:p w14:paraId="4832D4BF"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0,00</w:t>
            </w:r>
          </w:p>
        </w:tc>
        <w:tc>
          <w:tcPr>
            <w:tcW w:w="708" w:type="dxa"/>
            <w:tcBorders>
              <w:top w:val="nil"/>
              <w:left w:val="nil"/>
              <w:bottom w:val="single" w:sz="8" w:space="0" w:color="auto"/>
              <w:right w:val="single" w:sz="8" w:space="0" w:color="auto"/>
            </w:tcBorders>
            <w:shd w:val="clear" w:color="auto" w:fill="auto"/>
            <w:noWrap/>
            <w:vAlign w:val="center"/>
            <w:hideMark/>
          </w:tcPr>
          <w:p w14:paraId="611873DC"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0,0</w:t>
            </w:r>
          </w:p>
        </w:tc>
      </w:tr>
      <w:tr w:rsidR="00B85262" w:rsidRPr="00B85262" w14:paraId="44CA879B" w14:textId="77777777" w:rsidTr="00A41CC1">
        <w:trPr>
          <w:trHeight w:val="300"/>
        </w:trPr>
        <w:tc>
          <w:tcPr>
            <w:tcW w:w="826" w:type="dxa"/>
            <w:tcBorders>
              <w:top w:val="nil"/>
              <w:left w:val="nil"/>
              <w:bottom w:val="nil"/>
              <w:right w:val="nil"/>
            </w:tcBorders>
            <w:shd w:val="clear" w:color="auto" w:fill="auto"/>
            <w:noWrap/>
            <w:vAlign w:val="center"/>
            <w:hideMark/>
          </w:tcPr>
          <w:p w14:paraId="5E66FD14" w14:textId="77777777" w:rsidR="00B85262" w:rsidRPr="00B85262" w:rsidRDefault="00B85262" w:rsidP="00B85262">
            <w:pPr>
              <w:spacing w:after="0" w:line="240" w:lineRule="auto"/>
              <w:jc w:val="right"/>
              <w:rPr>
                <w:rFonts w:ascii="Calibri" w:eastAsia="Times New Roman" w:hAnsi="Calibri" w:cs="Calibri"/>
                <w:b/>
                <w:bCs/>
                <w:lang w:eastAsia="cs-CZ"/>
              </w:rPr>
            </w:pPr>
          </w:p>
        </w:tc>
        <w:tc>
          <w:tcPr>
            <w:tcW w:w="3994" w:type="dxa"/>
            <w:tcBorders>
              <w:top w:val="nil"/>
              <w:left w:val="nil"/>
              <w:bottom w:val="nil"/>
              <w:right w:val="nil"/>
            </w:tcBorders>
            <w:shd w:val="clear" w:color="auto" w:fill="auto"/>
            <w:noWrap/>
            <w:vAlign w:val="center"/>
            <w:hideMark/>
          </w:tcPr>
          <w:p w14:paraId="3007D464"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1559" w:type="dxa"/>
            <w:tcBorders>
              <w:top w:val="nil"/>
              <w:left w:val="nil"/>
              <w:bottom w:val="nil"/>
              <w:right w:val="nil"/>
            </w:tcBorders>
            <w:shd w:val="clear" w:color="auto" w:fill="auto"/>
            <w:noWrap/>
            <w:vAlign w:val="center"/>
            <w:hideMark/>
          </w:tcPr>
          <w:p w14:paraId="376BCEEE"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center"/>
            <w:hideMark/>
          </w:tcPr>
          <w:p w14:paraId="3DEE48B1"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1418" w:type="dxa"/>
            <w:tcBorders>
              <w:top w:val="nil"/>
              <w:left w:val="nil"/>
              <w:bottom w:val="nil"/>
              <w:right w:val="nil"/>
            </w:tcBorders>
            <w:shd w:val="clear" w:color="auto" w:fill="auto"/>
            <w:noWrap/>
            <w:vAlign w:val="center"/>
            <w:hideMark/>
          </w:tcPr>
          <w:p w14:paraId="79678C08"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708" w:type="dxa"/>
            <w:tcBorders>
              <w:top w:val="nil"/>
              <w:left w:val="nil"/>
              <w:bottom w:val="nil"/>
              <w:right w:val="nil"/>
            </w:tcBorders>
            <w:shd w:val="clear" w:color="auto" w:fill="auto"/>
            <w:noWrap/>
            <w:vAlign w:val="center"/>
            <w:hideMark/>
          </w:tcPr>
          <w:p w14:paraId="14741807"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r>
      <w:tr w:rsidR="00B85262" w:rsidRPr="00B85262" w14:paraId="3205A5E0" w14:textId="77777777" w:rsidTr="00A41CC1">
        <w:trPr>
          <w:trHeight w:val="360"/>
        </w:trPr>
        <w:tc>
          <w:tcPr>
            <w:tcW w:w="826" w:type="dxa"/>
            <w:tcBorders>
              <w:top w:val="nil"/>
              <w:left w:val="nil"/>
              <w:bottom w:val="nil"/>
              <w:right w:val="nil"/>
            </w:tcBorders>
            <w:shd w:val="clear" w:color="auto" w:fill="auto"/>
            <w:noWrap/>
            <w:vAlign w:val="center"/>
            <w:hideMark/>
          </w:tcPr>
          <w:p w14:paraId="28C10E97"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9380" w:type="dxa"/>
            <w:gridSpan w:val="5"/>
            <w:tcBorders>
              <w:top w:val="nil"/>
              <w:left w:val="nil"/>
              <w:bottom w:val="nil"/>
              <w:right w:val="nil"/>
            </w:tcBorders>
            <w:shd w:val="clear" w:color="auto" w:fill="auto"/>
            <w:vAlign w:val="center"/>
            <w:hideMark/>
          </w:tcPr>
          <w:p w14:paraId="11598310" w14:textId="77777777" w:rsidR="00B85262" w:rsidRPr="00B85262" w:rsidRDefault="00B85262" w:rsidP="00B85262">
            <w:pPr>
              <w:spacing w:after="0" w:line="240" w:lineRule="auto"/>
              <w:rPr>
                <w:rFonts w:ascii="Calibri" w:eastAsia="Times New Roman" w:hAnsi="Calibri" w:cs="Calibri"/>
                <w:b/>
                <w:bCs/>
                <w:lang w:eastAsia="cs-CZ"/>
              </w:rPr>
            </w:pPr>
            <w:r w:rsidRPr="00B85262">
              <w:rPr>
                <w:rFonts w:ascii="Calibri" w:eastAsia="Times New Roman" w:hAnsi="Calibri" w:cs="Calibri"/>
                <w:b/>
                <w:bCs/>
                <w:lang w:eastAsia="cs-CZ"/>
              </w:rPr>
              <w:t>Specifické rezervy</w:t>
            </w:r>
          </w:p>
        </w:tc>
      </w:tr>
      <w:tr w:rsidR="00B85262" w:rsidRPr="00B85262" w14:paraId="734B9529" w14:textId="77777777" w:rsidTr="00A41CC1">
        <w:trPr>
          <w:trHeight w:val="360"/>
        </w:trPr>
        <w:tc>
          <w:tcPr>
            <w:tcW w:w="826"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DB94A89"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2292</w:t>
            </w:r>
          </w:p>
        </w:tc>
        <w:tc>
          <w:tcPr>
            <w:tcW w:w="3994" w:type="dxa"/>
            <w:tcBorders>
              <w:top w:val="single" w:sz="8" w:space="0" w:color="auto"/>
              <w:left w:val="nil"/>
              <w:bottom w:val="single" w:sz="4" w:space="0" w:color="auto"/>
              <w:right w:val="single" w:sz="4" w:space="0" w:color="auto"/>
            </w:tcBorders>
            <w:shd w:val="clear" w:color="auto" w:fill="auto"/>
            <w:vAlign w:val="center"/>
            <w:hideMark/>
          </w:tcPr>
          <w:p w14:paraId="686D1A2C" w14:textId="77777777" w:rsidR="00B85262" w:rsidRPr="00B85262" w:rsidRDefault="00B85262" w:rsidP="00B85262">
            <w:pPr>
              <w:spacing w:after="0" w:line="240" w:lineRule="auto"/>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Prostředky na dointegraci dopravy ve Středočeském kraji</w:t>
            </w:r>
          </w:p>
        </w:tc>
        <w:tc>
          <w:tcPr>
            <w:tcW w:w="1559" w:type="dxa"/>
            <w:tcBorders>
              <w:top w:val="single" w:sz="8" w:space="0" w:color="auto"/>
              <w:left w:val="nil"/>
              <w:bottom w:val="single" w:sz="4" w:space="0" w:color="auto"/>
              <w:right w:val="single" w:sz="4" w:space="0" w:color="auto"/>
            </w:tcBorders>
            <w:shd w:val="clear" w:color="000000" w:fill="FFFFFF"/>
            <w:noWrap/>
            <w:vAlign w:val="center"/>
            <w:hideMark/>
          </w:tcPr>
          <w:p w14:paraId="3C91F0DD"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53 000 000</w:t>
            </w:r>
          </w:p>
        </w:tc>
        <w:tc>
          <w:tcPr>
            <w:tcW w:w="1701" w:type="dxa"/>
            <w:tcBorders>
              <w:top w:val="single" w:sz="8" w:space="0" w:color="auto"/>
              <w:left w:val="nil"/>
              <w:bottom w:val="single" w:sz="4" w:space="0" w:color="auto"/>
              <w:right w:val="single" w:sz="4" w:space="0" w:color="auto"/>
            </w:tcBorders>
            <w:shd w:val="clear" w:color="auto" w:fill="auto"/>
            <w:noWrap/>
            <w:vAlign w:val="center"/>
            <w:hideMark/>
          </w:tcPr>
          <w:p w14:paraId="45D210D2"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4 276 899,30</w:t>
            </w:r>
          </w:p>
        </w:tc>
        <w:tc>
          <w:tcPr>
            <w:tcW w:w="1418" w:type="dxa"/>
            <w:tcBorders>
              <w:top w:val="single" w:sz="8" w:space="0" w:color="auto"/>
              <w:left w:val="nil"/>
              <w:bottom w:val="single" w:sz="4" w:space="0" w:color="auto"/>
              <w:right w:val="nil"/>
            </w:tcBorders>
            <w:shd w:val="clear" w:color="auto" w:fill="auto"/>
            <w:noWrap/>
            <w:vAlign w:val="center"/>
            <w:hideMark/>
          </w:tcPr>
          <w:p w14:paraId="26DC2D85"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0,00</w:t>
            </w:r>
          </w:p>
        </w:tc>
        <w:tc>
          <w:tcPr>
            <w:tcW w:w="708" w:type="dxa"/>
            <w:tcBorders>
              <w:top w:val="single" w:sz="8" w:space="0" w:color="auto"/>
              <w:left w:val="single" w:sz="4" w:space="0" w:color="auto"/>
              <w:bottom w:val="single" w:sz="4" w:space="0" w:color="auto"/>
              <w:right w:val="single" w:sz="8" w:space="0" w:color="auto"/>
            </w:tcBorders>
            <w:shd w:val="clear" w:color="auto" w:fill="auto"/>
            <w:noWrap/>
            <w:vAlign w:val="center"/>
            <w:hideMark/>
          </w:tcPr>
          <w:p w14:paraId="67CB0A00"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0,0</w:t>
            </w:r>
          </w:p>
        </w:tc>
      </w:tr>
      <w:tr w:rsidR="00B85262" w:rsidRPr="00B85262" w14:paraId="0F8AFF0E" w14:textId="77777777" w:rsidTr="00A41CC1">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35A64D11"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2292</w:t>
            </w:r>
          </w:p>
        </w:tc>
        <w:tc>
          <w:tcPr>
            <w:tcW w:w="3994" w:type="dxa"/>
            <w:tcBorders>
              <w:top w:val="nil"/>
              <w:left w:val="nil"/>
              <w:bottom w:val="single" w:sz="4" w:space="0" w:color="auto"/>
              <w:right w:val="single" w:sz="4" w:space="0" w:color="auto"/>
            </w:tcBorders>
            <w:shd w:val="clear" w:color="auto" w:fill="auto"/>
            <w:vAlign w:val="center"/>
            <w:hideMark/>
          </w:tcPr>
          <w:p w14:paraId="47E752BA" w14:textId="77777777" w:rsidR="00B85262" w:rsidRPr="00B85262" w:rsidRDefault="00B85262" w:rsidP="00B85262">
            <w:pPr>
              <w:spacing w:after="0" w:line="240" w:lineRule="auto"/>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Propad tržeb veřejné dopravy</w:t>
            </w:r>
          </w:p>
        </w:tc>
        <w:tc>
          <w:tcPr>
            <w:tcW w:w="1559" w:type="dxa"/>
            <w:tcBorders>
              <w:top w:val="nil"/>
              <w:left w:val="nil"/>
              <w:bottom w:val="single" w:sz="4" w:space="0" w:color="auto"/>
              <w:right w:val="single" w:sz="4" w:space="0" w:color="auto"/>
            </w:tcBorders>
            <w:shd w:val="clear" w:color="000000" w:fill="FFFFFF"/>
            <w:noWrap/>
            <w:vAlign w:val="center"/>
            <w:hideMark/>
          </w:tcPr>
          <w:p w14:paraId="105D8356"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center"/>
            <w:hideMark/>
          </w:tcPr>
          <w:p w14:paraId="6E8444F1"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0,00</w:t>
            </w:r>
          </w:p>
        </w:tc>
        <w:tc>
          <w:tcPr>
            <w:tcW w:w="1418" w:type="dxa"/>
            <w:tcBorders>
              <w:top w:val="nil"/>
              <w:left w:val="nil"/>
              <w:bottom w:val="single" w:sz="4" w:space="0" w:color="auto"/>
              <w:right w:val="nil"/>
            </w:tcBorders>
            <w:shd w:val="clear" w:color="auto" w:fill="auto"/>
            <w:noWrap/>
            <w:vAlign w:val="center"/>
            <w:hideMark/>
          </w:tcPr>
          <w:p w14:paraId="6355D56C"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0,00</w:t>
            </w:r>
          </w:p>
        </w:tc>
        <w:tc>
          <w:tcPr>
            <w:tcW w:w="708" w:type="dxa"/>
            <w:tcBorders>
              <w:top w:val="nil"/>
              <w:left w:val="single" w:sz="4" w:space="0" w:color="auto"/>
              <w:bottom w:val="single" w:sz="4" w:space="0" w:color="auto"/>
              <w:right w:val="single" w:sz="8" w:space="0" w:color="auto"/>
            </w:tcBorders>
            <w:shd w:val="clear" w:color="auto" w:fill="auto"/>
            <w:noWrap/>
            <w:vAlign w:val="center"/>
            <w:hideMark/>
          </w:tcPr>
          <w:p w14:paraId="6EE98472"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w:t>
            </w:r>
          </w:p>
        </w:tc>
      </w:tr>
      <w:tr w:rsidR="00B85262" w:rsidRPr="00B85262" w14:paraId="43D9DB64" w14:textId="77777777" w:rsidTr="00A41CC1">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62677674"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3269</w:t>
            </w:r>
          </w:p>
        </w:tc>
        <w:tc>
          <w:tcPr>
            <w:tcW w:w="3994" w:type="dxa"/>
            <w:tcBorders>
              <w:top w:val="nil"/>
              <w:left w:val="nil"/>
              <w:bottom w:val="single" w:sz="4" w:space="0" w:color="auto"/>
              <w:right w:val="single" w:sz="4" w:space="0" w:color="auto"/>
            </w:tcBorders>
            <w:shd w:val="clear" w:color="auto" w:fill="auto"/>
            <w:vAlign w:val="center"/>
            <w:hideMark/>
          </w:tcPr>
          <w:p w14:paraId="36382D16" w14:textId="77777777" w:rsidR="00B85262" w:rsidRPr="00B85262" w:rsidRDefault="00B85262" w:rsidP="00B85262">
            <w:pPr>
              <w:spacing w:after="0" w:line="240" w:lineRule="auto"/>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Dopad reformy regionálního školství</w:t>
            </w:r>
          </w:p>
        </w:tc>
        <w:tc>
          <w:tcPr>
            <w:tcW w:w="1559" w:type="dxa"/>
            <w:tcBorders>
              <w:top w:val="nil"/>
              <w:left w:val="nil"/>
              <w:bottom w:val="single" w:sz="4" w:space="0" w:color="auto"/>
              <w:right w:val="single" w:sz="4" w:space="0" w:color="auto"/>
            </w:tcBorders>
            <w:shd w:val="clear" w:color="000000" w:fill="FFFFFF"/>
            <w:noWrap/>
            <w:vAlign w:val="center"/>
            <w:hideMark/>
          </w:tcPr>
          <w:p w14:paraId="242682E1"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center"/>
            <w:hideMark/>
          </w:tcPr>
          <w:p w14:paraId="7477BC10"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0,00</w:t>
            </w:r>
          </w:p>
        </w:tc>
        <w:tc>
          <w:tcPr>
            <w:tcW w:w="1418" w:type="dxa"/>
            <w:tcBorders>
              <w:top w:val="nil"/>
              <w:left w:val="nil"/>
              <w:bottom w:val="single" w:sz="4" w:space="0" w:color="auto"/>
              <w:right w:val="nil"/>
            </w:tcBorders>
            <w:shd w:val="clear" w:color="auto" w:fill="auto"/>
            <w:noWrap/>
            <w:vAlign w:val="center"/>
            <w:hideMark/>
          </w:tcPr>
          <w:p w14:paraId="3076B936"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0,00</w:t>
            </w:r>
          </w:p>
        </w:tc>
        <w:tc>
          <w:tcPr>
            <w:tcW w:w="708" w:type="dxa"/>
            <w:tcBorders>
              <w:top w:val="nil"/>
              <w:left w:val="single" w:sz="4" w:space="0" w:color="auto"/>
              <w:bottom w:val="single" w:sz="4" w:space="0" w:color="auto"/>
              <w:right w:val="single" w:sz="8" w:space="0" w:color="auto"/>
            </w:tcBorders>
            <w:shd w:val="clear" w:color="auto" w:fill="auto"/>
            <w:noWrap/>
            <w:vAlign w:val="center"/>
            <w:hideMark/>
          </w:tcPr>
          <w:p w14:paraId="55AC08C9"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w:t>
            </w:r>
          </w:p>
        </w:tc>
      </w:tr>
      <w:tr w:rsidR="00B85262" w:rsidRPr="00B85262" w14:paraId="69BE13EF" w14:textId="77777777" w:rsidTr="00A41CC1">
        <w:trPr>
          <w:trHeight w:val="51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17C2530A"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6409</w:t>
            </w:r>
          </w:p>
        </w:tc>
        <w:tc>
          <w:tcPr>
            <w:tcW w:w="3994" w:type="dxa"/>
            <w:tcBorders>
              <w:top w:val="nil"/>
              <w:left w:val="nil"/>
              <w:bottom w:val="single" w:sz="4" w:space="0" w:color="auto"/>
              <w:right w:val="single" w:sz="4" w:space="0" w:color="auto"/>
            </w:tcBorders>
            <w:shd w:val="clear" w:color="auto" w:fill="auto"/>
            <w:vAlign w:val="center"/>
            <w:hideMark/>
          </w:tcPr>
          <w:p w14:paraId="14F85398" w14:textId="77777777" w:rsidR="00B85262" w:rsidRPr="00B85262" w:rsidRDefault="00B85262" w:rsidP="00B85262">
            <w:pPr>
              <w:spacing w:after="0" w:line="240" w:lineRule="auto"/>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Rezerva na krytí propadu daňových příjmů - fixace fondů PO v roce 2021</w:t>
            </w:r>
          </w:p>
        </w:tc>
        <w:tc>
          <w:tcPr>
            <w:tcW w:w="1559" w:type="dxa"/>
            <w:tcBorders>
              <w:top w:val="nil"/>
              <w:left w:val="nil"/>
              <w:bottom w:val="single" w:sz="4" w:space="0" w:color="auto"/>
              <w:right w:val="single" w:sz="4" w:space="0" w:color="auto"/>
            </w:tcBorders>
            <w:shd w:val="clear" w:color="auto" w:fill="auto"/>
            <w:noWrap/>
            <w:vAlign w:val="center"/>
            <w:hideMark/>
          </w:tcPr>
          <w:p w14:paraId="15ABA119"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center"/>
            <w:hideMark/>
          </w:tcPr>
          <w:p w14:paraId="744FFC5E"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0,00</w:t>
            </w:r>
          </w:p>
        </w:tc>
        <w:tc>
          <w:tcPr>
            <w:tcW w:w="1418" w:type="dxa"/>
            <w:tcBorders>
              <w:top w:val="nil"/>
              <w:left w:val="nil"/>
              <w:bottom w:val="single" w:sz="4" w:space="0" w:color="auto"/>
              <w:right w:val="nil"/>
            </w:tcBorders>
            <w:shd w:val="clear" w:color="auto" w:fill="auto"/>
            <w:noWrap/>
            <w:vAlign w:val="center"/>
            <w:hideMark/>
          </w:tcPr>
          <w:p w14:paraId="3B919C82"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0,00</w:t>
            </w:r>
          </w:p>
        </w:tc>
        <w:tc>
          <w:tcPr>
            <w:tcW w:w="708" w:type="dxa"/>
            <w:tcBorders>
              <w:top w:val="nil"/>
              <w:left w:val="single" w:sz="4" w:space="0" w:color="auto"/>
              <w:bottom w:val="single" w:sz="4" w:space="0" w:color="auto"/>
              <w:right w:val="single" w:sz="8" w:space="0" w:color="auto"/>
            </w:tcBorders>
            <w:shd w:val="clear" w:color="auto" w:fill="auto"/>
            <w:noWrap/>
            <w:vAlign w:val="center"/>
            <w:hideMark/>
          </w:tcPr>
          <w:p w14:paraId="5C2DF287"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w:t>
            </w:r>
          </w:p>
        </w:tc>
      </w:tr>
      <w:tr w:rsidR="00B85262" w:rsidRPr="00B85262" w14:paraId="2F62A357" w14:textId="77777777" w:rsidTr="00A41CC1">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3C0FB16F"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6409</w:t>
            </w:r>
          </w:p>
        </w:tc>
        <w:tc>
          <w:tcPr>
            <w:tcW w:w="3994" w:type="dxa"/>
            <w:tcBorders>
              <w:top w:val="nil"/>
              <w:left w:val="nil"/>
              <w:bottom w:val="single" w:sz="4" w:space="0" w:color="auto"/>
              <w:right w:val="single" w:sz="4" w:space="0" w:color="auto"/>
            </w:tcBorders>
            <w:shd w:val="clear" w:color="auto" w:fill="auto"/>
            <w:vAlign w:val="center"/>
            <w:hideMark/>
          </w:tcPr>
          <w:p w14:paraId="4116C199" w14:textId="77777777" w:rsidR="00B85262" w:rsidRPr="00B85262" w:rsidRDefault="00B85262" w:rsidP="00B85262">
            <w:pPr>
              <w:spacing w:after="0" w:line="240" w:lineRule="auto"/>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Rezerva na krytí propadu daňových příjmů - digitalizace</w:t>
            </w:r>
          </w:p>
        </w:tc>
        <w:tc>
          <w:tcPr>
            <w:tcW w:w="1559" w:type="dxa"/>
            <w:tcBorders>
              <w:top w:val="nil"/>
              <w:left w:val="nil"/>
              <w:bottom w:val="single" w:sz="4" w:space="0" w:color="auto"/>
              <w:right w:val="single" w:sz="4" w:space="0" w:color="auto"/>
            </w:tcBorders>
            <w:shd w:val="clear" w:color="auto" w:fill="auto"/>
            <w:noWrap/>
            <w:vAlign w:val="center"/>
            <w:hideMark/>
          </w:tcPr>
          <w:p w14:paraId="210DCEFE"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0</w:t>
            </w:r>
          </w:p>
        </w:tc>
        <w:tc>
          <w:tcPr>
            <w:tcW w:w="1701" w:type="dxa"/>
            <w:tcBorders>
              <w:top w:val="nil"/>
              <w:left w:val="nil"/>
              <w:bottom w:val="single" w:sz="4" w:space="0" w:color="auto"/>
              <w:right w:val="single" w:sz="4" w:space="0" w:color="auto"/>
            </w:tcBorders>
            <w:shd w:val="clear" w:color="auto" w:fill="auto"/>
            <w:noWrap/>
            <w:vAlign w:val="center"/>
            <w:hideMark/>
          </w:tcPr>
          <w:p w14:paraId="29CAB9E5"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0,00</w:t>
            </w:r>
          </w:p>
        </w:tc>
        <w:tc>
          <w:tcPr>
            <w:tcW w:w="1418" w:type="dxa"/>
            <w:tcBorders>
              <w:top w:val="nil"/>
              <w:left w:val="nil"/>
              <w:bottom w:val="single" w:sz="4" w:space="0" w:color="auto"/>
              <w:right w:val="nil"/>
            </w:tcBorders>
            <w:shd w:val="clear" w:color="auto" w:fill="auto"/>
            <w:noWrap/>
            <w:vAlign w:val="center"/>
            <w:hideMark/>
          </w:tcPr>
          <w:p w14:paraId="614A54F0"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0,00</w:t>
            </w:r>
          </w:p>
        </w:tc>
        <w:tc>
          <w:tcPr>
            <w:tcW w:w="708" w:type="dxa"/>
            <w:tcBorders>
              <w:top w:val="nil"/>
              <w:left w:val="single" w:sz="4" w:space="0" w:color="auto"/>
              <w:bottom w:val="nil"/>
              <w:right w:val="single" w:sz="8" w:space="0" w:color="auto"/>
            </w:tcBorders>
            <w:shd w:val="clear" w:color="auto" w:fill="auto"/>
            <w:noWrap/>
            <w:vAlign w:val="center"/>
            <w:hideMark/>
          </w:tcPr>
          <w:p w14:paraId="7BA977B7"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w:t>
            </w:r>
          </w:p>
        </w:tc>
      </w:tr>
      <w:tr w:rsidR="00B85262" w:rsidRPr="00B85262" w14:paraId="635B5628" w14:textId="77777777" w:rsidTr="00A41CC1">
        <w:trPr>
          <w:trHeight w:val="300"/>
        </w:trPr>
        <w:tc>
          <w:tcPr>
            <w:tcW w:w="826" w:type="dxa"/>
            <w:tcBorders>
              <w:top w:val="nil"/>
              <w:left w:val="single" w:sz="8" w:space="0" w:color="auto"/>
              <w:bottom w:val="single" w:sz="4" w:space="0" w:color="auto"/>
              <w:right w:val="single" w:sz="4" w:space="0" w:color="auto"/>
            </w:tcBorders>
            <w:shd w:val="clear" w:color="auto" w:fill="auto"/>
            <w:noWrap/>
            <w:vAlign w:val="center"/>
            <w:hideMark/>
          </w:tcPr>
          <w:p w14:paraId="7620FDD2"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6409</w:t>
            </w:r>
          </w:p>
        </w:tc>
        <w:tc>
          <w:tcPr>
            <w:tcW w:w="3994" w:type="dxa"/>
            <w:tcBorders>
              <w:top w:val="nil"/>
              <w:left w:val="nil"/>
              <w:bottom w:val="single" w:sz="4" w:space="0" w:color="auto"/>
              <w:right w:val="single" w:sz="4" w:space="0" w:color="auto"/>
            </w:tcBorders>
            <w:shd w:val="clear" w:color="auto" w:fill="auto"/>
            <w:vAlign w:val="center"/>
            <w:hideMark/>
          </w:tcPr>
          <w:p w14:paraId="6AB64A7C" w14:textId="77777777" w:rsidR="00B85262" w:rsidRPr="00B85262" w:rsidRDefault="00B85262" w:rsidP="00B85262">
            <w:pPr>
              <w:spacing w:after="0" w:line="240" w:lineRule="auto"/>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Prostředky na úhradu možného navýšení mezd</w:t>
            </w:r>
          </w:p>
        </w:tc>
        <w:tc>
          <w:tcPr>
            <w:tcW w:w="1559" w:type="dxa"/>
            <w:tcBorders>
              <w:top w:val="nil"/>
              <w:left w:val="nil"/>
              <w:bottom w:val="single" w:sz="4" w:space="0" w:color="auto"/>
              <w:right w:val="single" w:sz="4" w:space="0" w:color="auto"/>
            </w:tcBorders>
            <w:shd w:val="clear" w:color="000000" w:fill="FFFFFF"/>
            <w:noWrap/>
            <w:vAlign w:val="center"/>
            <w:hideMark/>
          </w:tcPr>
          <w:p w14:paraId="6E547825"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40 000 000</w:t>
            </w:r>
          </w:p>
        </w:tc>
        <w:tc>
          <w:tcPr>
            <w:tcW w:w="1701" w:type="dxa"/>
            <w:tcBorders>
              <w:top w:val="nil"/>
              <w:left w:val="nil"/>
              <w:bottom w:val="single" w:sz="4" w:space="0" w:color="auto"/>
              <w:right w:val="single" w:sz="4" w:space="0" w:color="auto"/>
            </w:tcBorders>
            <w:shd w:val="clear" w:color="auto" w:fill="auto"/>
            <w:noWrap/>
            <w:vAlign w:val="center"/>
            <w:hideMark/>
          </w:tcPr>
          <w:p w14:paraId="3992225F"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25 043 194,64</w:t>
            </w:r>
          </w:p>
        </w:tc>
        <w:tc>
          <w:tcPr>
            <w:tcW w:w="1418" w:type="dxa"/>
            <w:tcBorders>
              <w:top w:val="nil"/>
              <w:left w:val="nil"/>
              <w:bottom w:val="single" w:sz="4" w:space="0" w:color="auto"/>
              <w:right w:val="nil"/>
            </w:tcBorders>
            <w:shd w:val="clear" w:color="auto" w:fill="auto"/>
            <w:noWrap/>
            <w:vAlign w:val="center"/>
            <w:hideMark/>
          </w:tcPr>
          <w:p w14:paraId="363D64F6"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0,00</w:t>
            </w:r>
          </w:p>
        </w:tc>
        <w:tc>
          <w:tcPr>
            <w:tcW w:w="708"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14:paraId="6C571206"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0,0</w:t>
            </w:r>
          </w:p>
        </w:tc>
      </w:tr>
      <w:tr w:rsidR="00B85262" w:rsidRPr="00B85262" w14:paraId="76C4F883" w14:textId="77777777" w:rsidTr="00A41CC1">
        <w:trPr>
          <w:trHeight w:val="319"/>
        </w:trPr>
        <w:tc>
          <w:tcPr>
            <w:tcW w:w="826"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42051E9D" w14:textId="77777777" w:rsidR="00B85262" w:rsidRPr="00B85262" w:rsidRDefault="00B85262" w:rsidP="00B85262">
            <w:pPr>
              <w:spacing w:after="0" w:line="240" w:lineRule="auto"/>
              <w:rPr>
                <w:rFonts w:ascii="Calibri" w:eastAsia="Times New Roman" w:hAnsi="Calibri" w:cs="Calibri"/>
                <w:lang w:eastAsia="cs-CZ"/>
              </w:rPr>
            </w:pPr>
            <w:r w:rsidRPr="00B85262">
              <w:rPr>
                <w:rFonts w:ascii="Calibri" w:eastAsia="Times New Roman" w:hAnsi="Calibri" w:cs="Calibri"/>
                <w:lang w:eastAsia="cs-CZ"/>
              </w:rPr>
              <w:t> </w:t>
            </w:r>
          </w:p>
        </w:tc>
        <w:tc>
          <w:tcPr>
            <w:tcW w:w="3994" w:type="dxa"/>
            <w:tcBorders>
              <w:top w:val="single" w:sz="8" w:space="0" w:color="auto"/>
              <w:left w:val="nil"/>
              <w:bottom w:val="single" w:sz="8" w:space="0" w:color="auto"/>
              <w:right w:val="single" w:sz="4" w:space="0" w:color="auto"/>
            </w:tcBorders>
            <w:shd w:val="clear" w:color="auto" w:fill="auto"/>
            <w:noWrap/>
            <w:vAlign w:val="center"/>
            <w:hideMark/>
          </w:tcPr>
          <w:p w14:paraId="59743DF5" w14:textId="77777777" w:rsidR="00B85262" w:rsidRPr="00B85262" w:rsidRDefault="00B85262" w:rsidP="00B85262">
            <w:pPr>
              <w:spacing w:after="0" w:line="240" w:lineRule="auto"/>
              <w:rPr>
                <w:rFonts w:ascii="Calibri" w:eastAsia="Times New Roman" w:hAnsi="Calibri" w:cs="Calibri"/>
                <w:b/>
                <w:bCs/>
                <w:lang w:eastAsia="cs-CZ"/>
              </w:rPr>
            </w:pPr>
            <w:r w:rsidRPr="00B85262">
              <w:rPr>
                <w:rFonts w:ascii="Calibri" w:eastAsia="Times New Roman" w:hAnsi="Calibri" w:cs="Calibri"/>
                <w:b/>
                <w:bCs/>
                <w:lang w:eastAsia="cs-CZ"/>
              </w:rPr>
              <w:t>Celkem</w:t>
            </w:r>
          </w:p>
        </w:tc>
        <w:tc>
          <w:tcPr>
            <w:tcW w:w="1559" w:type="dxa"/>
            <w:tcBorders>
              <w:top w:val="single" w:sz="8" w:space="0" w:color="auto"/>
              <w:left w:val="nil"/>
              <w:bottom w:val="single" w:sz="8" w:space="0" w:color="auto"/>
              <w:right w:val="single" w:sz="4" w:space="0" w:color="auto"/>
            </w:tcBorders>
            <w:shd w:val="clear" w:color="000000" w:fill="FFFFFF"/>
            <w:noWrap/>
            <w:vAlign w:val="center"/>
            <w:hideMark/>
          </w:tcPr>
          <w:p w14:paraId="5B79C06F"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93 000 000</w:t>
            </w:r>
          </w:p>
        </w:tc>
        <w:tc>
          <w:tcPr>
            <w:tcW w:w="1701" w:type="dxa"/>
            <w:tcBorders>
              <w:top w:val="single" w:sz="8" w:space="0" w:color="auto"/>
              <w:left w:val="nil"/>
              <w:bottom w:val="single" w:sz="8" w:space="0" w:color="auto"/>
              <w:right w:val="single" w:sz="4" w:space="0" w:color="auto"/>
            </w:tcBorders>
            <w:shd w:val="clear" w:color="auto" w:fill="auto"/>
            <w:noWrap/>
            <w:vAlign w:val="center"/>
            <w:hideMark/>
          </w:tcPr>
          <w:p w14:paraId="68D859C2"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29 320 093,94</w:t>
            </w:r>
          </w:p>
        </w:tc>
        <w:tc>
          <w:tcPr>
            <w:tcW w:w="1418" w:type="dxa"/>
            <w:tcBorders>
              <w:top w:val="single" w:sz="8" w:space="0" w:color="auto"/>
              <w:left w:val="nil"/>
              <w:bottom w:val="single" w:sz="8" w:space="0" w:color="auto"/>
              <w:right w:val="single" w:sz="4" w:space="0" w:color="auto"/>
            </w:tcBorders>
            <w:shd w:val="clear" w:color="auto" w:fill="auto"/>
            <w:noWrap/>
            <w:vAlign w:val="center"/>
            <w:hideMark/>
          </w:tcPr>
          <w:p w14:paraId="4EF855D8"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0,00</w:t>
            </w:r>
          </w:p>
        </w:tc>
        <w:tc>
          <w:tcPr>
            <w:tcW w:w="708" w:type="dxa"/>
            <w:tcBorders>
              <w:top w:val="nil"/>
              <w:left w:val="nil"/>
              <w:bottom w:val="single" w:sz="8" w:space="0" w:color="auto"/>
              <w:right w:val="single" w:sz="8" w:space="0" w:color="auto"/>
            </w:tcBorders>
            <w:shd w:val="clear" w:color="auto" w:fill="auto"/>
            <w:noWrap/>
            <w:vAlign w:val="center"/>
            <w:hideMark/>
          </w:tcPr>
          <w:p w14:paraId="28022EAA"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0,0</w:t>
            </w:r>
          </w:p>
        </w:tc>
      </w:tr>
      <w:tr w:rsidR="00B85262" w:rsidRPr="00B85262" w14:paraId="7453D8DF" w14:textId="77777777" w:rsidTr="00A41CC1">
        <w:trPr>
          <w:trHeight w:val="300"/>
        </w:trPr>
        <w:tc>
          <w:tcPr>
            <w:tcW w:w="826" w:type="dxa"/>
            <w:tcBorders>
              <w:top w:val="nil"/>
              <w:left w:val="nil"/>
              <w:bottom w:val="nil"/>
              <w:right w:val="nil"/>
            </w:tcBorders>
            <w:shd w:val="clear" w:color="auto" w:fill="auto"/>
            <w:noWrap/>
            <w:vAlign w:val="center"/>
            <w:hideMark/>
          </w:tcPr>
          <w:p w14:paraId="7D7EA1BD" w14:textId="77777777" w:rsidR="00B85262" w:rsidRPr="00B85262" w:rsidRDefault="00B85262" w:rsidP="00B85262">
            <w:pPr>
              <w:spacing w:after="0" w:line="240" w:lineRule="auto"/>
              <w:jc w:val="right"/>
              <w:rPr>
                <w:rFonts w:ascii="Calibri" w:eastAsia="Times New Roman" w:hAnsi="Calibri" w:cs="Calibri"/>
                <w:b/>
                <w:bCs/>
                <w:lang w:eastAsia="cs-CZ"/>
              </w:rPr>
            </w:pPr>
          </w:p>
        </w:tc>
        <w:tc>
          <w:tcPr>
            <w:tcW w:w="3994" w:type="dxa"/>
            <w:tcBorders>
              <w:top w:val="nil"/>
              <w:left w:val="nil"/>
              <w:bottom w:val="nil"/>
              <w:right w:val="nil"/>
            </w:tcBorders>
            <w:shd w:val="clear" w:color="auto" w:fill="auto"/>
            <w:noWrap/>
            <w:vAlign w:val="center"/>
            <w:hideMark/>
          </w:tcPr>
          <w:p w14:paraId="7E0FBC14"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1559" w:type="dxa"/>
            <w:tcBorders>
              <w:top w:val="nil"/>
              <w:left w:val="nil"/>
              <w:bottom w:val="nil"/>
              <w:right w:val="nil"/>
            </w:tcBorders>
            <w:shd w:val="clear" w:color="auto" w:fill="auto"/>
            <w:noWrap/>
            <w:vAlign w:val="center"/>
            <w:hideMark/>
          </w:tcPr>
          <w:p w14:paraId="3CAF452D"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center"/>
            <w:hideMark/>
          </w:tcPr>
          <w:p w14:paraId="2AFD9735"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1418" w:type="dxa"/>
            <w:tcBorders>
              <w:top w:val="nil"/>
              <w:left w:val="nil"/>
              <w:bottom w:val="nil"/>
              <w:right w:val="nil"/>
            </w:tcBorders>
            <w:shd w:val="clear" w:color="auto" w:fill="auto"/>
            <w:noWrap/>
            <w:vAlign w:val="center"/>
            <w:hideMark/>
          </w:tcPr>
          <w:p w14:paraId="5D9E8725"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708" w:type="dxa"/>
            <w:tcBorders>
              <w:top w:val="nil"/>
              <w:left w:val="nil"/>
              <w:bottom w:val="nil"/>
              <w:right w:val="nil"/>
            </w:tcBorders>
            <w:shd w:val="clear" w:color="auto" w:fill="auto"/>
            <w:noWrap/>
            <w:vAlign w:val="center"/>
            <w:hideMark/>
          </w:tcPr>
          <w:p w14:paraId="25B38DCE"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r>
      <w:tr w:rsidR="00B85262" w:rsidRPr="00B85262" w14:paraId="3A8E48BC" w14:textId="77777777" w:rsidTr="00A41CC1">
        <w:trPr>
          <w:trHeight w:val="360"/>
        </w:trPr>
        <w:tc>
          <w:tcPr>
            <w:tcW w:w="826" w:type="dxa"/>
            <w:tcBorders>
              <w:top w:val="nil"/>
              <w:left w:val="nil"/>
              <w:bottom w:val="nil"/>
              <w:right w:val="nil"/>
            </w:tcBorders>
            <w:shd w:val="clear" w:color="auto" w:fill="auto"/>
            <w:noWrap/>
            <w:vAlign w:val="center"/>
            <w:hideMark/>
          </w:tcPr>
          <w:p w14:paraId="4FB3D653"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9380" w:type="dxa"/>
            <w:gridSpan w:val="5"/>
            <w:tcBorders>
              <w:top w:val="nil"/>
              <w:left w:val="nil"/>
              <w:bottom w:val="single" w:sz="8" w:space="0" w:color="auto"/>
              <w:right w:val="nil"/>
            </w:tcBorders>
            <w:shd w:val="clear" w:color="auto" w:fill="auto"/>
            <w:vAlign w:val="center"/>
            <w:hideMark/>
          </w:tcPr>
          <w:p w14:paraId="41321CF9" w14:textId="77777777" w:rsidR="00B85262" w:rsidRPr="00B85262" w:rsidRDefault="00B85262" w:rsidP="00B85262">
            <w:pPr>
              <w:spacing w:after="0" w:line="240" w:lineRule="auto"/>
              <w:rPr>
                <w:rFonts w:ascii="Calibri" w:eastAsia="Times New Roman" w:hAnsi="Calibri" w:cs="Calibri"/>
                <w:b/>
                <w:bCs/>
                <w:lang w:eastAsia="cs-CZ"/>
              </w:rPr>
            </w:pPr>
            <w:r w:rsidRPr="00B85262">
              <w:rPr>
                <w:rFonts w:ascii="Calibri" w:eastAsia="Times New Roman" w:hAnsi="Calibri" w:cs="Calibri"/>
                <w:b/>
                <w:bCs/>
                <w:lang w:eastAsia="cs-CZ"/>
              </w:rPr>
              <w:t>Splátky úroků z přijatých úvěrů</w:t>
            </w:r>
          </w:p>
        </w:tc>
      </w:tr>
      <w:tr w:rsidR="00B85262" w:rsidRPr="00B85262" w14:paraId="5429728F" w14:textId="77777777" w:rsidTr="00A41CC1">
        <w:trPr>
          <w:trHeight w:val="510"/>
        </w:trPr>
        <w:tc>
          <w:tcPr>
            <w:tcW w:w="826"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7F892AB0"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6310</w:t>
            </w:r>
          </w:p>
        </w:tc>
        <w:tc>
          <w:tcPr>
            <w:tcW w:w="3994" w:type="dxa"/>
            <w:tcBorders>
              <w:top w:val="nil"/>
              <w:left w:val="nil"/>
              <w:bottom w:val="single" w:sz="8" w:space="0" w:color="auto"/>
              <w:right w:val="single" w:sz="4" w:space="0" w:color="auto"/>
            </w:tcBorders>
            <w:shd w:val="clear" w:color="auto" w:fill="auto"/>
            <w:vAlign w:val="center"/>
            <w:hideMark/>
          </w:tcPr>
          <w:p w14:paraId="4C378C56" w14:textId="77777777" w:rsidR="00B85262" w:rsidRPr="00B85262" w:rsidRDefault="00B85262" w:rsidP="00B85262">
            <w:pPr>
              <w:spacing w:after="0" w:line="240" w:lineRule="auto"/>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Splátky úroků z přijatého úvěru od Komerční banky, a.s. v roce 2007</w:t>
            </w:r>
          </w:p>
        </w:tc>
        <w:tc>
          <w:tcPr>
            <w:tcW w:w="1559" w:type="dxa"/>
            <w:tcBorders>
              <w:top w:val="nil"/>
              <w:left w:val="nil"/>
              <w:bottom w:val="single" w:sz="8" w:space="0" w:color="auto"/>
              <w:right w:val="single" w:sz="4" w:space="0" w:color="auto"/>
            </w:tcBorders>
            <w:shd w:val="clear" w:color="000000" w:fill="FFFFFF"/>
            <w:noWrap/>
            <w:vAlign w:val="center"/>
            <w:hideMark/>
          </w:tcPr>
          <w:p w14:paraId="0A0F9663"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11 610 000</w:t>
            </w:r>
          </w:p>
        </w:tc>
        <w:tc>
          <w:tcPr>
            <w:tcW w:w="1701" w:type="dxa"/>
            <w:tcBorders>
              <w:top w:val="nil"/>
              <w:left w:val="nil"/>
              <w:bottom w:val="single" w:sz="8" w:space="0" w:color="auto"/>
              <w:right w:val="single" w:sz="4" w:space="0" w:color="auto"/>
            </w:tcBorders>
            <w:shd w:val="clear" w:color="auto" w:fill="auto"/>
            <w:noWrap/>
            <w:vAlign w:val="center"/>
            <w:hideMark/>
          </w:tcPr>
          <w:p w14:paraId="130910F6"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20 087 788,19</w:t>
            </w:r>
          </w:p>
        </w:tc>
        <w:tc>
          <w:tcPr>
            <w:tcW w:w="1418" w:type="dxa"/>
            <w:tcBorders>
              <w:top w:val="nil"/>
              <w:left w:val="nil"/>
              <w:bottom w:val="single" w:sz="8" w:space="0" w:color="auto"/>
              <w:right w:val="nil"/>
            </w:tcBorders>
            <w:shd w:val="clear" w:color="auto" w:fill="auto"/>
            <w:noWrap/>
            <w:vAlign w:val="center"/>
            <w:hideMark/>
          </w:tcPr>
          <w:p w14:paraId="5DDC5B4C"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8 448 595,81</w:t>
            </w:r>
          </w:p>
        </w:tc>
        <w:tc>
          <w:tcPr>
            <w:tcW w:w="708" w:type="dxa"/>
            <w:tcBorders>
              <w:top w:val="nil"/>
              <w:left w:val="single" w:sz="4" w:space="0" w:color="auto"/>
              <w:bottom w:val="single" w:sz="8" w:space="0" w:color="auto"/>
              <w:right w:val="single" w:sz="8" w:space="0" w:color="auto"/>
            </w:tcBorders>
            <w:shd w:val="clear" w:color="auto" w:fill="auto"/>
            <w:noWrap/>
            <w:vAlign w:val="center"/>
            <w:hideMark/>
          </w:tcPr>
          <w:p w14:paraId="69A759B5"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42,1</w:t>
            </w:r>
          </w:p>
        </w:tc>
      </w:tr>
      <w:tr w:rsidR="00B85262" w:rsidRPr="00B85262" w14:paraId="61F8C2F6" w14:textId="77777777" w:rsidTr="00A41CC1">
        <w:trPr>
          <w:trHeight w:val="510"/>
        </w:trPr>
        <w:tc>
          <w:tcPr>
            <w:tcW w:w="826"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551CB0D0"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6310</w:t>
            </w:r>
          </w:p>
        </w:tc>
        <w:tc>
          <w:tcPr>
            <w:tcW w:w="3994" w:type="dxa"/>
            <w:tcBorders>
              <w:top w:val="single" w:sz="8" w:space="0" w:color="auto"/>
              <w:left w:val="nil"/>
              <w:bottom w:val="single" w:sz="4" w:space="0" w:color="auto"/>
              <w:right w:val="single" w:sz="4" w:space="0" w:color="auto"/>
            </w:tcBorders>
            <w:shd w:val="clear" w:color="auto" w:fill="auto"/>
            <w:vAlign w:val="center"/>
            <w:hideMark/>
          </w:tcPr>
          <w:p w14:paraId="48B805BC" w14:textId="77777777" w:rsidR="00B85262" w:rsidRPr="00B85262" w:rsidRDefault="00B85262" w:rsidP="00B85262">
            <w:pPr>
              <w:spacing w:after="0" w:line="240" w:lineRule="auto"/>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Splátky úroků z přijatého úvěru od České spořitelny, a.s. v roce 2019</w:t>
            </w:r>
          </w:p>
        </w:tc>
        <w:tc>
          <w:tcPr>
            <w:tcW w:w="1559" w:type="dxa"/>
            <w:tcBorders>
              <w:top w:val="single" w:sz="8" w:space="0" w:color="auto"/>
              <w:left w:val="nil"/>
              <w:bottom w:val="single" w:sz="4" w:space="0" w:color="auto"/>
              <w:right w:val="single" w:sz="4" w:space="0" w:color="auto"/>
            </w:tcBorders>
            <w:shd w:val="clear" w:color="000000" w:fill="FFFFFF"/>
            <w:noWrap/>
            <w:vAlign w:val="center"/>
            <w:hideMark/>
          </w:tcPr>
          <w:p w14:paraId="56C0E5E5"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16 831 000</w:t>
            </w:r>
          </w:p>
        </w:tc>
        <w:tc>
          <w:tcPr>
            <w:tcW w:w="1701" w:type="dxa"/>
            <w:tcBorders>
              <w:top w:val="single" w:sz="8" w:space="0" w:color="auto"/>
              <w:left w:val="nil"/>
              <w:bottom w:val="single" w:sz="4" w:space="0" w:color="auto"/>
              <w:right w:val="single" w:sz="4" w:space="0" w:color="auto"/>
            </w:tcBorders>
            <w:shd w:val="clear" w:color="auto" w:fill="auto"/>
            <w:noWrap/>
            <w:vAlign w:val="center"/>
            <w:hideMark/>
          </w:tcPr>
          <w:p w14:paraId="414071E9"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27 943 138,62</w:t>
            </w:r>
          </w:p>
        </w:tc>
        <w:tc>
          <w:tcPr>
            <w:tcW w:w="1418" w:type="dxa"/>
            <w:tcBorders>
              <w:top w:val="single" w:sz="8" w:space="0" w:color="auto"/>
              <w:left w:val="nil"/>
              <w:bottom w:val="single" w:sz="4" w:space="0" w:color="auto"/>
              <w:right w:val="nil"/>
            </w:tcBorders>
            <w:shd w:val="clear" w:color="auto" w:fill="auto"/>
            <w:noWrap/>
            <w:vAlign w:val="center"/>
            <w:hideMark/>
          </w:tcPr>
          <w:p w14:paraId="605ECAD0"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13 533 117,42</w:t>
            </w:r>
          </w:p>
        </w:tc>
        <w:tc>
          <w:tcPr>
            <w:tcW w:w="708" w:type="dxa"/>
            <w:tcBorders>
              <w:top w:val="single" w:sz="8" w:space="0" w:color="auto"/>
              <w:left w:val="single" w:sz="4" w:space="0" w:color="auto"/>
              <w:bottom w:val="single" w:sz="4" w:space="0" w:color="auto"/>
              <w:right w:val="single" w:sz="8" w:space="0" w:color="auto"/>
            </w:tcBorders>
            <w:shd w:val="clear" w:color="auto" w:fill="auto"/>
            <w:noWrap/>
            <w:vAlign w:val="center"/>
            <w:hideMark/>
          </w:tcPr>
          <w:p w14:paraId="2F977F3B"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48,4</w:t>
            </w:r>
          </w:p>
        </w:tc>
      </w:tr>
      <w:tr w:rsidR="00B85262" w:rsidRPr="00B85262" w14:paraId="4AB907C8" w14:textId="77777777" w:rsidTr="00A41CC1">
        <w:trPr>
          <w:trHeight w:val="510"/>
        </w:trPr>
        <w:tc>
          <w:tcPr>
            <w:tcW w:w="826" w:type="dxa"/>
            <w:tcBorders>
              <w:top w:val="nil"/>
              <w:left w:val="single" w:sz="8" w:space="0" w:color="auto"/>
              <w:bottom w:val="single" w:sz="4" w:space="0" w:color="auto"/>
              <w:right w:val="single" w:sz="4" w:space="0" w:color="auto"/>
            </w:tcBorders>
            <w:shd w:val="clear" w:color="auto" w:fill="auto"/>
            <w:noWrap/>
            <w:vAlign w:val="bottom"/>
            <w:hideMark/>
          </w:tcPr>
          <w:p w14:paraId="1F5C50FA"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6310</w:t>
            </w:r>
          </w:p>
        </w:tc>
        <w:tc>
          <w:tcPr>
            <w:tcW w:w="3994" w:type="dxa"/>
            <w:tcBorders>
              <w:top w:val="nil"/>
              <w:left w:val="nil"/>
              <w:bottom w:val="single" w:sz="4" w:space="0" w:color="auto"/>
              <w:right w:val="single" w:sz="4" w:space="0" w:color="auto"/>
            </w:tcBorders>
            <w:shd w:val="clear" w:color="auto" w:fill="auto"/>
            <w:vAlign w:val="center"/>
            <w:hideMark/>
          </w:tcPr>
          <w:p w14:paraId="339B5918" w14:textId="77777777" w:rsidR="00B85262" w:rsidRPr="00B85262" w:rsidRDefault="00B85262" w:rsidP="00B85262">
            <w:pPr>
              <w:spacing w:after="0" w:line="240" w:lineRule="auto"/>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Splátky úroků z přijatého úvěru od Komerční banky, a.s. v roce 2020</w:t>
            </w:r>
          </w:p>
        </w:tc>
        <w:tc>
          <w:tcPr>
            <w:tcW w:w="1559" w:type="dxa"/>
            <w:tcBorders>
              <w:top w:val="nil"/>
              <w:left w:val="nil"/>
              <w:bottom w:val="single" w:sz="4" w:space="0" w:color="auto"/>
              <w:right w:val="single" w:sz="4" w:space="0" w:color="auto"/>
            </w:tcBorders>
            <w:shd w:val="clear" w:color="000000" w:fill="FFFFFF"/>
            <w:noWrap/>
            <w:vAlign w:val="center"/>
            <w:hideMark/>
          </w:tcPr>
          <w:p w14:paraId="69B5B220"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1 930 000</w:t>
            </w:r>
          </w:p>
        </w:tc>
        <w:tc>
          <w:tcPr>
            <w:tcW w:w="1701" w:type="dxa"/>
            <w:tcBorders>
              <w:top w:val="nil"/>
              <w:left w:val="nil"/>
              <w:bottom w:val="single" w:sz="4" w:space="0" w:color="auto"/>
              <w:right w:val="single" w:sz="4" w:space="0" w:color="auto"/>
            </w:tcBorders>
            <w:shd w:val="clear" w:color="auto" w:fill="auto"/>
            <w:noWrap/>
            <w:vAlign w:val="center"/>
            <w:hideMark/>
          </w:tcPr>
          <w:p w14:paraId="7A7F6F9B"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1 953 365,51</w:t>
            </w:r>
          </w:p>
        </w:tc>
        <w:tc>
          <w:tcPr>
            <w:tcW w:w="1418" w:type="dxa"/>
            <w:tcBorders>
              <w:top w:val="nil"/>
              <w:left w:val="nil"/>
              <w:bottom w:val="single" w:sz="4" w:space="0" w:color="auto"/>
              <w:right w:val="nil"/>
            </w:tcBorders>
            <w:shd w:val="clear" w:color="auto" w:fill="auto"/>
            <w:noWrap/>
            <w:vAlign w:val="center"/>
            <w:hideMark/>
          </w:tcPr>
          <w:p w14:paraId="05E9826D"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1 630 846,92</w:t>
            </w:r>
          </w:p>
        </w:tc>
        <w:tc>
          <w:tcPr>
            <w:tcW w:w="708" w:type="dxa"/>
            <w:tcBorders>
              <w:top w:val="nil"/>
              <w:left w:val="single" w:sz="4" w:space="0" w:color="auto"/>
              <w:bottom w:val="single" w:sz="4" w:space="0" w:color="auto"/>
              <w:right w:val="single" w:sz="8" w:space="0" w:color="auto"/>
            </w:tcBorders>
            <w:shd w:val="clear" w:color="auto" w:fill="auto"/>
            <w:noWrap/>
            <w:vAlign w:val="center"/>
            <w:hideMark/>
          </w:tcPr>
          <w:p w14:paraId="6A3D3F79"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83,5</w:t>
            </w:r>
          </w:p>
        </w:tc>
      </w:tr>
      <w:tr w:rsidR="00B85262" w:rsidRPr="00B85262" w14:paraId="58E6B8DC" w14:textId="77777777" w:rsidTr="00A41CC1">
        <w:trPr>
          <w:trHeight w:val="525"/>
        </w:trPr>
        <w:tc>
          <w:tcPr>
            <w:tcW w:w="826" w:type="dxa"/>
            <w:tcBorders>
              <w:top w:val="nil"/>
              <w:left w:val="single" w:sz="8" w:space="0" w:color="auto"/>
              <w:bottom w:val="nil"/>
              <w:right w:val="single" w:sz="4" w:space="0" w:color="auto"/>
            </w:tcBorders>
            <w:shd w:val="clear" w:color="auto" w:fill="auto"/>
            <w:noWrap/>
            <w:vAlign w:val="bottom"/>
            <w:hideMark/>
          </w:tcPr>
          <w:p w14:paraId="376C630A"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6310</w:t>
            </w:r>
          </w:p>
        </w:tc>
        <w:tc>
          <w:tcPr>
            <w:tcW w:w="3994" w:type="dxa"/>
            <w:tcBorders>
              <w:top w:val="nil"/>
              <w:left w:val="nil"/>
              <w:bottom w:val="nil"/>
              <w:right w:val="single" w:sz="4" w:space="0" w:color="auto"/>
            </w:tcBorders>
            <w:shd w:val="clear" w:color="auto" w:fill="auto"/>
            <w:vAlign w:val="center"/>
            <w:hideMark/>
          </w:tcPr>
          <w:p w14:paraId="5420593D" w14:textId="77777777" w:rsidR="00B85262" w:rsidRPr="00B85262" w:rsidRDefault="00B85262" w:rsidP="00B85262">
            <w:pPr>
              <w:spacing w:after="0" w:line="240" w:lineRule="auto"/>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Splátky úroků z přijatého úvěru od Evropské investiční banky v roce 2020 a 2021</w:t>
            </w:r>
          </w:p>
        </w:tc>
        <w:tc>
          <w:tcPr>
            <w:tcW w:w="1559" w:type="dxa"/>
            <w:tcBorders>
              <w:top w:val="nil"/>
              <w:left w:val="nil"/>
              <w:bottom w:val="nil"/>
              <w:right w:val="single" w:sz="4" w:space="0" w:color="auto"/>
            </w:tcBorders>
            <w:shd w:val="clear" w:color="000000" w:fill="FFFFFF"/>
            <w:noWrap/>
            <w:vAlign w:val="center"/>
            <w:hideMark/>
          </w:tcPr>
          <w:p w14:paraId="780C547F"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8 050 000</w:t>
            </w:r>
          </w:p>
        </w:tc>
        <w:tc>
          <w:tcPr>
            <w:tcW w:w="1701" w:type="dxa"/>
            <w:tcBorders>
              <w:top w:val="nil"/>
              <w:left w:val="nil"/>
              <w:bottom w:val="nil"/>
              <w:right w:val="single" w:sz="4" w:space="0" w:color="auto"/>
            </w:tcBorders>
            <w:shd w:val="clear" w:color="auto" w:fill="auto"/>
            <w:noWrap/>
            <w:vAlign w:val="center"/>
            <w:hideMark/>
          </w:tcPr>
          <w:p w14:paraId="0C127617"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8 050 000,00</w:t>
            </w:r>
          </w:p>
        </w:tc>
        <w:tc>
          <w:tcPr>
            <w:tcW w:w="1418" w:type="dxa"/>
            <w:tcBorders>
              <w:top w:val="nil"/>
              <w:left w:val="nil"/>
              <w:bottom w:val="nil"/>
              <w:right w:val="nil"/>
            </w:tcBorders>
            <w:shd w:val="clear" w:color="auto" w:fill="auto"/>
            <w:noWrap/>
            <w:vAlign w:val="center"/>
            <w:hideMark/>
          </w:tcPr>
          <w:p w14:paraId="3B48FDD6"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2 353 158,32</w:t>
            </w:r>
          </w:p>
        </w:tc>
        <w:tc>
          <w:tcPr>
            <w:tcW w:w="708" w:type="dxa"/>
            <w:tcBorders>
              <w:top w:val="nil"/>
              <w:left w:val="single" w:sz="4" w:space="0" w:color="auto"/>
              <w:bottom w:val="single" w:sz="4" w:space="0" w:color="auto"/>
              <w:right w:val="single" w:sz="8" w:space="0" w:color="auto"/>
            </w:tcBorders>
            <w:shd w:val="clear" w:color="auto" w:fill="auto"/>
            <w:noWrap/>
            <w:vAlign w:val="center"/>
            <w:hideMark/>
          </w:tcPr>
          <w:p w14:paraId="7A3EDE65"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29,2</w:t>
            </w:r>
          </w:p>
        </w:tc>
      </w:tr>
      <w:tr w:rsidR="00B85262" w:rsidRPr="00B85262" w14:paraId="385785CD" w14:textId="77777777" w:rsidTr="00A41CC1">
        <w:trPr>
          <w:trHeight w:val="319"/>
        </w:trPr>
        <w:tc>
          <w:tcPr>
            <w:tcW w:w="826"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64EA69E" w14:textId="77777777" w:rsidR="00B85262" w:rsidRPr="00B85262" w:rsidRDefault="00B85262" w:rsidP="00B85262">
            <w:pPr>
              <w:spacing w:after="0" w:line="240" w:lineRule="auto"/>
              <w:rPr>
                <w:rFonts w:ascii="Calibri" w:eastAsia="Times New Roman" w:hAnsi="Calibri" w:cs="Calibri"/>
                <w:lang w:eastAsia="cs-CZ"/>
              </w:rPr>
            </w:pPr>
            <w:r w:rsidRPr="00B85262">
              <w:rPr>
                <w:rFonts w:ascii="Calibri" w:eastAsia="Times New Roman" w:hAnsi="Calibri" w:cs="Calibri"/>
                <w:lang w:eastAsia="cs-CZ"/>
              </w:rPr>
              <w:t> </w:t>
            </w:r>
          </w:p>
        </w:tc>
        <w:tc>
          <w:tcPr>
            <w:tcW w:w="3994" w:type="dxa"/>
            <w:tcBorders>
              <w:top w:val="single" w:sz="8" w:space="0" w:color="auto"/>
              <w:left w:val="nil"/>
              <w:bottom w:val="single" w:sz="8" w:space="0" w:color="auto"/>
              <w:right w:val="single" w:sz="4" w:space="0" w:color="auto"/>
            </w:tcBorders>
            <w:shd w:val="clear" w:color="auto" w:fill="auto"/>
            <w:noWrap/>
            <w:vAlign w:val="center"/>
            <w:hideMark/>
          </w:tcPr>
          <w:p w14:paraId="325AB4F2" w14:textId="77777777" w:rsidR="00B85262" w:rsidRPr="00B85262" w:rsidRDefault="00B85262" w:rsidP="00B85262">
            <w:pPr>
              <w:spacing w:after="0" w:line="240" w:lineRule="auto"/>
              <w:rPr>
                <w:rFonts w:ascii="Calibri" w:eastAsia="Times New Roman" w:hAnsi="Calibri" w:cs="Calibri"/>
                <w:b/>
                <w:bCs/>
                <w:lang w:eastAsia="cs-CZ"/>
              </w:rPr>
            </w:pPr>
            <w:r w:rsidRPr="00B85262">
              <w:rPr>
                <w:rFonts w:ascii="Calibri" w:eastAsia="Times New Roman" w:hAnsi="Calibri" w:cs="Calibri"/>
                <w:b/>
                <w:bCs/>
                <w:lang w:eastAsia="cs-CZ"/>
              </w:rPr>
              <w:t>Celkem</w:t>
            </w:r>
          </w:p>
        </w:tc>
        <w:tc>
          <w:tcPr>
            <w:tcW w:w="1559" w:type="dxa"/>
            <w:tcBorders>
              <w:top w:val="single" w:sz="8" w:space="0" w:color="auto"/>
              <w:left w:val="nil"/>
              <w:bottom w:val="single" w:sz="8" w:space="0" w:color="auto"/>
              <w:right w:val="single" w:sz="4" w:space="0" w:color="auto"/>
            </w:tcBorders>
            <w:shd w:val="clear" w:color="auto" w:fill="auto"/>
            <w:noWrap/>
            <w:vAlign w:val="center"/>
            <w:hideMark/>
          </w:tcPr>
          <w:p w14:paraId="5CDC6E92"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38 421 000</w:t>
            </w:r>
          </w:p>
        </w:tc>
        <w:tc>
          <w:tcPr>
            <w:tcW w:w="1701" w:type="dxa"/>
            <w:tcBorders>
              <w:top w:val="single" w:sz="8" w:space="0" w:color="auto"/>
              <w:left w:val="nil"/>
              <w:bottom w:val="single" w:sz="8" w:space="0" w:color="auto"/>
              <w:right w:val="single" w:sz="4" w:space="0" w:color="auto"/>
            </w:tcBorders>
            <w:shd w:val="clear" w:color="auto" w:fill="auto"/>
            <w:noWrap/>
            <w:vAlign w:val="center"/>
            <w:hideMark/>
          </w:tcPr>
          <w:p w14:paraId="0F8ABBE5"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58 034 292,32</w:t>
            </w:r>
          </w:p>
        </w:tc>
        <w:tc>
          <w:tcPr>
            <w:tcW w:w="1418" w:type="dxa"/>
            <w:tcBorders>
              <w:top w:val="single" w:sz="8" w:space="0" w:color="auto"/>
              <w:left w:val="nil"/>
              <w:bottom w:val="single" w:sz="8" w:space="0" w:color="auto"/>
              <w:right w:val="single" w:sz="4" w:space="0" w:color="auto"/>
            </w:tcBorders>
            <w:shd w:val="clear" w:color="auto" w:fill="auto"/>
            <w:noWrap/>
            <w:vAlign w:val="center"/>
            <w:hideMark/>
          </w:tcPr>
          <w:p w14:paraId="58570666"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25 965 718,47</w:t>
            </w:r>
          </w:p>
        </w:tc>
        <w:tc>
          <w:tcPr>
            <w:tcW w:w="708" w:type="dxa"/>
            <w:tcBorders>
              <w:top w:val="single" w:sz="8" w:space="0" w:color="auto"/>
              <w:left w:val="nil"/>
              <w:bottom w:val="single" w:sz="8" w:space="0" w:color="auto"/>
              <w:right w:val="single" w:sz="8" w:space="0" w:color="auto"/>
            </w:tcBorders>
            <w:shd w:val="clear" w:color="auto" w:fill="auto"/>
            <w:noWrap/>
            <w:vAlign w:val="center"/>
            <w:hideMark/>
          </w:tcPr>
          <w:p w14:paraId="1D9D5877"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44,7</w:t>
            </w:r>
          </w:p>
        </w:tc>
      </w:tr>
      <w:tr w:rsidR="00B85262" w:rsidRPr="00B85262" w14:paraId="417F947C" w14:textId="77777777" w:rsidTr="00A41CC1">
        <w:trPr>
          <w:trHeight w:val="300"/>
        </w:trPr>
        <w:tc>
          <w:tcPr>
            <w:tcW w:w="826" w:type="dxa"/>
            <w:tcBorders>
              <w:top w:val="nil"/>
              <w:left w:val="nil"/>
              <w:bottom w:val="nil"/>
              <w:right w:val="nil"/>
            </w:tcBorders>
            <w:shd w:val="clear" w:color="auto" w:fill="auto"/>
            <w:noWrap/>
            <w:vAlign w:val="center"/>
            <w:hideMark/>
          </w:tcPr>
          <w:p w14:paraId="10B4E8A3" w14:textId="77777777" w:rsidR="00B85262" w:rsidRPr="00B85262" w:rsidRDefault="00B85262" w:rsidP="00B85262">
            <w:pPr>
              <w:spacing w:after="0" w:line="240" w:lineRule="auto"/>
              <w:jc w:val="right"/>
              <w:rPr>
                <w:rFonts w:ascii="Calibri" w:eastAsia="Times New Roman" w:hAnsi="Calibri" w:cs="Calibri"/>
                <w:b/>
                <w:bCs/>
                <w:lang w:eastAsia="cs-CZ"/>
              </w:rPr>
            </w:pPr>
          </w:p>
        </w:tc>
        <w:tc>
          <w:tcPr>
            <w:tcW w:w="3994" w:type="dxa"/>
            <w:tcBorders>
              <w:top w:val="nil"/>
              <w:left w:val="nil"/>
              <w:bottom w:val="nil"/>
              <w:right w:val="nil"/>
            </w:tcBorders>
            <w:shd w:val="clear" w:color="auto" w:fill="auto"/>
            <w:noWrap/>
            <w:vAlign w:val="center"/>
            <w:hideMark/>
          </w:tcPr>
          <w:p w14:paraId="074D5C8E"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1559" w:type="dxa"/>
            <w:tcBorders>
              <w:top w:val="nil"/>
              <w:left w:val="nil"/>
              <w:bottom w:val="nil"/>
              <w:right w:val="nil"/>
            </w:tcBorders>
            <w:shd w:val="clear" w:color="auto" w:fill="auto"/>
            <w:noWrap/>
            <w:vAlign w:val="center"/>
            <w:hideMark/>
          </w:tcPr>
          <w:p w14:paraId="3DE474ED"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center"/>
            <w:hideMark/>
          </w:tcPr>
          <w:p w14:paraId="00666A90"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1418" w:type="dxa"/>
            <w:tcBorders>
              <w:top w:val="nil"/>
              <w:left w:val="nil"/>
              <w:bottom w:val="nil"/>
              <w:right w:val="nil"/>
            </w:tcBorders>
            <w:shd w:val="clear" w:color="auto" w:fill="auto"/>
            <w:noWrap/>
            <w:vAlign w:val="center"/>
            <w:hideMark/>
          </w:tcPr>
          <w:p w14:paraId="7412CE35"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708" w:type="dxa"/>
            <w:tcBorders>
              <w:top w:val="nil"/>
              <w:left w:val="nil"/>
              <w:bottom w:val="nil"/>
              <w:right w:val="nil"/>
            </w:tcBorders>
            <w:shd w:val="clear" w:color="auto" w:fill="auto"/>
            <w:noWrap/>
            <w:vAlign w:val="center"/>
            <w:hideMark/>
          </w:tcPr>
          <w:p w14:paraId="107DB46E"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r>
      <w:tr w:rsidR="00B85262" w:rsidRPr="00B85262" w14:paraId="4D65F058" w14:textId="77777777" w:rsidTr="00A41CC1">
        <w:trPr>
          <w:trHeight w:val="360"/>
        </w:trPr>
        <w:tc>
          <w:tcPr>
            <w:tcW w:w="4820"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703F8C" w14:textId="77777777" w:rsidR="00B85262" w:rsidRPr="00B85262" w:rsidRDefault="00B85262" w:rsidP="00B85262">
            <w:pPr>
              <w:spacing w:after="0" w:line="240" w:lineRule="auto"/>
              <w:rPr>
                <w:rFonts w:ascii="Calibri" w:eastAsia="Times New Roman" w:hAnsi="Calibri" w:cs="Calibri"/>
                <w:b/>
                <w:bCs/>
                <w:sz w:val="24"/>
                <w:szCs w:val="24"/>
                <w:lang w:eastAsia="cs-CZ"/>
              </w:rPr>
            </w:pPr>
            <w:r w:rsidRPr="00B85262">
              <w:rPr>
                <w:rFonts w:ascii="Calibri" w:eastAsia="Times New Roman" w:hAnsi="Calibri" w:cs="Calibri"/>
                <w:b/>
                <w:bCs/>
                <w:sz w:val="24"/>
                <w:szCs w:val="24"/>
                <w:lang w:eastAsia="cs-CZ"/>
              </w:rPr>
              <w:t>Celkem výdaje</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14:paraId="2B42CA48"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3 281 286 200</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3C56FFA0"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2 196 229 912,67</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14:paraId="7099844C"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48 486 896,65</w:t>
            </w:r>
          </w:p>
        </w:tc>
        <w:tc>
          <w:tcPr>
            <w:tcW w:w="708" w:type="dxa"/>
            <w:tcBorders>
              <w:top w:val="single" w:sz="8" w:space="0" w:color="auto"/>
              <w:left w:val="nil"/>
              <w:bottom w:val="single" w:sz="8" w:space="0" w:color="auto"/>
              <w:right w:val="single" w:sz="8" w:space="0" w:color="auto"/>
            </w:tcBorders>
            <w:shd w:val="clear" w:color="auto" w:fill="auto"/>
            <w:noWrap/>
            <w:vAlign w:val="center"/>
            <w:hideMark/>
          </w:tcPr>
          <w:p w14:paraId="4C755C62"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2,2</w:t>
            </w:r>
          </w:p>
        </w:tc>
      </w:tr>
    </w:tbl>
    <w:p w14:paraId="101FAF4F" w14:textId="5AC24A84" w:rsidR="005C03E7" w:rsidRDefault="005C03E7" w:rsidP="0013179B">
      <w:pPr>
        <w:rPr>
          <w:rFonts w:cs="Calibri"/>
        </w:rPr>
      </w:pPr>
    </w:p>
    <w:p w14:paraId="6AB18F07" w14:textId="38C90105" w:rsidR="00B85262" w:rsidRDefault="00B85262" w:rsidP="0013179B">
      <w:pPr>
        <w:rPr>
          <w:rFonts w:cs="Calibri"/>
        </w:rPr>
      </w:pPr>
    </w:p>
    <w:p w14:paraId="2375CA7C" w14:textId="6913B181" w:rsidR="00B85262" w:rsidRDefault="00B85262" w:rsidP="00B85262">
      <w:pPr>
        <w:spacing w:after="0"/>
        <w:rPr>
          <w:b/>
          <w:bCs/>
          <w:sz w:val="28"/>
          <w:szCs w:val="28"/>
          <w:u w:val="single"/>
        </w:rPr>
      </w:pPr>
    </w:p>
    <w:p w14:paraId="338D9E0F" w14:textId="5AF56EBA" w:rsidR="00A41CC1" w:rsidRDefault="00A41CC1" w:rsidP="00B85262">
      <w:pPr>
        <w:spacing w:after="0"/>
        <w:rPr>
          <w:b/>
          <w:bCs/>
          <w:sz w:val="28"/>
          <w:szCs w:val="28"/>
          <w:u w:val="single"/>
        </w:rPr>
      </w:pPr>
    </w:p>
    <w:p w14:paraId="14A5C823" w14:textId="36FBB624" w:rsidR="00A41CC1" w:rsidRDefault="00A41CC1" w:rsidP="00B85262">
      <w:pPr>
        <w:spacing w:after="0"/>
        <w:rPr>
          <w:b/>
          <w:bCs/>
          <w:sz w:val="28"/>
          <w:szCs w:val="28"/>
          <w:u w:val="single"/>
        </w:rPr>
      </w:pPr>
    </w:p>
    <w:p w14:paraId="71874B3B" w14:textId="77777777" w:rsidR="00A41CC1" w:rsidRDefault="00A41CC1" w:rsidP="00B85262">
      <w:pPr>
        <w:spacing w:after="0"/>
        <w:rPr>
          <w:b/>
          <w:bCs/>
          <w:sz w:val="28"/>
          <w:szCs w:val="28"/>
          <w:u w:val="single"/>
        </w:rPr>
      </w:pPr>
    </w:p>
    <w:p w14:paraId="78E5CA97" w14:textId="77777777" w:rsidR="00B85262" w:rsidRDefault="00B85262" w:rsidP="00B85262">
      <w:pPr>
        <w:spacing w:after="0"/>
        <w:rPr>
          <w:b/>
          <w:bCs/>
          <w:sz w:val="28"/>
          <w:szCs w:val="28"/>
          <w:u w:val="single"/>
        </w:rPr>
      </w:pPr>
      <w:r w:rsidRPr="00E24EC2">
        <w:rPr>
          <w:b/>
          <w:bCs/>
          <w:sz w:val="28"/>
          <w:szCs w:val="28"/>
          <w:u w:val="single"/>
        </w:rPr>
        <w:t xml:space="preserve">Kapitola 23 </w:t>
      </w:r>
      <w:r>
        <w:rPr>
          <w:b/>
          <w:bCs/>
          <w:sz w:val="28"/>
          <w:szCs w:val="28"/>
          <w:u w:val="single"/>
        </w:rPr>
        <w:t>–</w:t>
      </w:r>
      <w:r w:rsidRPr="00E24EC2">
        <w:rPr>
          <w:b/>
          <w:bCs/>
          <w:sz w:val="28"/>
          <w:szCs w:val="28"/>
          <w:u w:val="single"/>
        </w:rPr>
        <w:t xml:space="preserve"> Ostatní</w:t>
      </w:r>
    </w:p>
    <w:p w14:paraId="2299F101" w14:textId="77777777" w:rsidR="00B85262" w:rsidRPr="00E24EC2" w:rsidRDefault="00B85262" w:rsidP="00B85262">
      <w:pPr>
        <w:spacing w:after="0"/>
        <w:rPr>
          <w:sz w:val="28"/>
          <w:szCs w:val="28"/>
        </w:rPr>
      </w:pPr>
    </w:p>
    <w:p w14:paraId="06BF6771" w14:textId="77777777" w:rsidR="00B85262" w:rsidRDefault="00B85262" w:rsidP="00B85262">
      <w:pPr>
        <w:spacing w:after="0"/>
        <w:jc w:val="both"/>
      </w:pPr>
      <w:r w:rsidRPr="00EB5822">
        <w:t xml:space="preserve">Na kapitole 23 - Ostatní jsou v převážné míře rozpočtovány rezervy v rámci rozpočtu Středočeského kraje daného roku. Finanční prostředky z rezerv jsou dle potřeb postupně zapojovány do rozpočtu jednotlivých kapitol. Tyto rezervy jsou tvořeny finančními prostředky ze zdrojů rozpočtu kraje. </w:t>
      </w:r>
    </w:p>
    <w:p w14:paraId="77F016BD" w14:textId="77777777" w:rsidR="00B85262" w:rsidRPr="00EB5822" w:rsidRDefault="00B85262" w:rsidP="00B85262">
      <w:pPr>
        <w:spacing w:after="0"/>
        <w:jc w:val="both"/>
      </w:pPr>
    </w:p>
    <w:p w14:paraId="50A555CF" w14:textId="77777777" w:rsidR="00B85262" w:rsidRDefault="00B85262" w:rsidP="00B85262">
      <w:pPr>
        <w:spacing w:after="0"/>
        <w:rPr>
          <w:b/>
          <w:bCs/>
          <w:u w:val="single"/>
        </w:rPr>
      </w:pPr>
      <w:r>
        <w:rPr>
          <w:b/>
          <w:bCs/>
          <w:sz w:val="24"/>
          <w:szCs w:val="24"/>
          <w:u w:val="single"/>
        </w:rPr>
        <w:t xml:space="preserve">Běžné výdaje  </w:t>
      </w:r>
      <w:r w:rsidRPr="00EB5822">
        <w:rPr>
          <w:b/>
          <w:bCs/>
          <w:u w:val="single"/>
        </w:rPr>
        <w:t xml:space="preserve">      </w:t>
      </w:r>
    </w:p>
    <w:p w14:paraId="71D9B77E" w14:textId="77777777" w:rsidR="00B85262" w:rsidRPr="00EB5822" w:rsidRDefault="00B85262" w:rsidP="00B85262">
      <w:pPr>
        <w:spacing w:after="0" w:line="240" w:lineRule="auto"/>
        <w:jc w:val="both"/>
        <w:rPr>
          <w:b/>
          <w:bCs/>
        </w:rPr>
      </w:pPr>
      <w:r w:rsidRPr="00EB5822">
        <w:rPr>
          <w:b/>
          <w:bCs/>
        </w:rPr>
        <w:t>§ 6172 – Činnost regionální správy – ostatní neinvestiční výdaje jinde nezařazené</w:t>
      </w:r>
    </w:p>
    <w:p w14:paraId="4861600C" w14:textId="77777777" w:rsidR="00B85262" w:rsidRDefault="00B85262" w:rsidP="00B85262">
      <w:pPr>
        <w:spacing w:after="0" w:line="240" w:lineRule="auto"/>
        <w:jc w:val="both"/>
      </w:pPr>
      <w:r w:rsidRPr="00EB5822">
        <w:t xml:space="preserve">Výdaje v souvislosti s konáním porady ekonomů krajů, ekonomů krajského úřadu nebo zaměstnanců zařazených do Odboru finančního. Prostředky nebyly </w:t>
      </w:r>
      <w:r>
        <w:t>v roce</w:t>
      </w:r>
      <w:r w:rsidRPr="00EB5822">
        <w:t xml:space="preserve"> 202</w:t>
      </w:r>
      <w:r>
        <w:t>1</w:t>
      </w:r>
      <w:r w:rsidRPr="00EB5822">
        <w:t xml:space="preserve"> čerpány</w:t>
      </w:r>
      <w:r>
        <w:t>.</w:t>
      </w:r>
    </w:p>
    <w:p w14:paraId="5AAE8F30" w14:textId="77777777" w:rsidR="00B85262" w:rsidRPr="00EB5822" w:rsidRDefault="00B85262" w:rsidP="00B85262">
      <w:pPr>
        <w:spacing w:after="0" w:line="240" w:lineRule="auto"/>
        <w:jc w:val="both"/>
      </w:pPr>
    </w:p>
    <w:p w14:paraId="75B814AD" w14:textId="77777777" w:rsidR="00B85262" w:rsidRPr="00EB5822" w:rsidRDefault="00B85262" w:rsidP="00B85262">
      <w:pPr>
        <w:spacing w:after="0" w:line="240" w:lineRule="auto"/>
        <w:jc w:val="both"/>
        <w:rPr>
          <w:b/>
          <w:bCs/>
        </w:rPr>
      </w:pPr>
      <w:r w:rsidRPr="00EB5822">
        <w:rPr>
          <w:b/>
          <w:bCs/>
        </w:rPr>
        <w:t>§ 6310 – Obecné příjmy a výdaje z finančních operací – služby peněžních ústavů</w:t>
      </w:r>
    </w:p>
    <w:p w14:paraId="31FE34CC" w14:textId="77777777" w:rsidR="00B85262" w:rsidRPr="00EB5822" w:rsidRDefault="00B85262" w:rsidP="00B85262">
      <w:pPr>
        <w:spacing w:after="0" w:line="240" w:lineRule="auto"/>
        <w:jc w:val="both"/>
      </w:pPr>
      <w:r w:rsidRPr="00EB5822">
        <w:t>Finanční prostředky jsou určeny na pokrytí poplatků hrazených jednotlivým peněžním ústavům v souvislosti s mezibankovním stykem (za vedení běžných účtů, výpisy z účtů, za položky, …). Prostředky byly v</w:t>
      </w:r>
      <w:r>
        <w:t> </w:t>
      </w:r>
      <w:r w:rsidRPr="00EB5822">
        <w:t>ro</w:t>
      </w:r>
      <w:r>
        <w:t>ce</w:t>
      </w:r>
      <w:r w:rsidRPr="00EB5822">
        <w:t xml:space="preserve"> 202</w:t>
      </w:r>
      <w:r>
        <w:t>1</w:t>
      </w:r>
      <w:r w:rsidRPr="00EB5822">
        <w:t xml:space="preserve"> čerpány na </w:t>
      </w:r>
      <w:r>
        <w:t>87,5</w:t>
      </w:r>
      <w:r w:rsidRPr="00EB5822">
        <w:t xml:space="preserve"> %.</w:t>
      </w:r>
    </w:p>
    <w:p w14:paraId="003C4B02" w14:textId="77777777" w:rsidR="00B85262" w:rsidRPr="00EB5822" w:rsidRDefault="00B85262" w:rsidP="00B85262">
      <w:pPr>
        <w:spacing w:after="0" w:line="240" w:lineRule="auto"/>
        <w:jc w:val="both"/>
        <w:rPr>
          <w:b/>
          <w:bCs/>
        </w:rPr>
      </w:pPr>
    </w:p>
    <w:p w14:paraId="2416377D" w14:textId="77777777" w:rsidR="00B85262" w:rsidRPr="00EB5822" w:rsidRDefault="00B85262" w:rsidP="00B85262">
      <w:pPr>
        <w:spacing w:after="0" w:line="240" w:lineRule="auto"/>
        <w:jc w:val="both"/>
        <w:rPr>
          <w:b/>
          <w:bCs/>
        </w:rPr>
      </w:pPr>
      <w:r w:rsidRPr="00EB5822">
        <w:rPr>
          <w:b/>
          <w:bCs/>
        </w:rPr>
        <w:t>§ 6399 – Ostatní finanční operace – platby daní a poplatků státnímu rozpočtu</w:t>
      </w:r>
    </w:p>
    <w:p w14:paraId="035B6CE3" w14:textId="77777777" w:rsidR="00B85262" w:rsidRPr="00EB5822" w:rsidRDefault="00B85262" w:rsidP="00B85262">
      <w:pPr>
        <w:spacing w:after="0" w:line="240" w:lineRule="auto"/>
        <w:jc w:val="both"/>
        <w:rPr>
          <w:b/>
          <w:bCs/>
        </w:rPr>
      </w:pPr>
      <w:r w:rsidRPr="00EB5822">
        <w:t>Finanční prostředky jsou určeny ke krytí plateb DPH (podstatná část DPH vzniká na PO). Na základě usnesení č. 0</w:t>
      </w:r>
      <w:r>
        <w:t>25</w:t>
      </w:r>
      <w:r w:rsidRPr="00EB5822">
        <w:t>-</w:t>
      </w:r>
      <w:r>
        <w:t>26</w:t>
      </w:r>
      <w:r w:rsidRPr="00EB5822">
        <w:t>/202</w:t>
      </w:r>
      <w:r>
        <w:t>1</w:t>
      </w:r>
      <w:r w:rsidRPr="00EB5822">
        <w:t xml:space="preserve">/RK ze dne </w:t>
      </w:r>
      <w:r>
        <w:t>17</w:t>
      </w:r>
      <w:r w:rsidRPr="00EB5822">
        <w:t>. 6. 202</w:t>
      </w:r>
      <w:r>
        <w:t>1</w:t>
      </w:r>
      <w:r w:rsidRPr="00EB5822">
        <w:t xml:space="preserve"> byla v rámci paragrafu zapojena a proúčtována daň z příjmů právnických osob za kraje ve výši </w:t>
      </w:r>
      <w:r>
        <w:t>15 425 470</w:t>
      </w:r>
      <w:r w:rsidRPr="00EB5822">
        <w:t>,00 Kč. Prostředky byly v</w:t>
      </w:r>
      <w:r>
        <w:t> </w:t>
      </w:r>
      <w:r w:rsidRPr="00EB5822">
        <w:t>ro</w:t>
      </w:r>
      <w:r>
        <w:t>ce</w:t>
      </w:r>
      <w:r w:rsidRPr="00EB5822">
        <w:t xml:space="preserve"> 202</w:t>
      </w:r>
      <w:r>
        <w:t>1</w:t>
      </w:r>
      <w:r w:rsidRPr="00EB5822">
        <w:t xml:space="preserve"> čerpány na </w:t>
      </w:r>
      <w:r>
        <w:t>81,0</w:t>
      </w:r>
      <w:r w:rsidRPr="00EB5822">
        <w:t> %.</w:t>
      </w:r>
    </w:p>
    <w:p w14:paraId="656D0459" w14:textId="77777777" w:rsidR="00B85262" w:rsidRPr="00EB5822" w:rsidRDefault="00B85262" w:rsidP="00B85262">
      <w:pPr>
        <w:spacing w:after="0"/>
        <w:rPr>
          <w:b/>
          <w:bCs/>
        </w:rPr>
      </w:pPr>
    </w:p>
    <w:p w14:paraId="224CB9E7" w14:textId="77777777" w:rsidR="00B85262" w:rsidRDefault="00B85262" w:rsidP="00B85262">
      <w:pPr>
        <w:spacing w:after="0"/>
        <w:rPr>
          <w:b/>
          <w:sz w:val="24"/>
          <w:szCs w:val="24"/>
          <w:u w:val="single"/>
        </w:rPr>
      </w:pPr>
      <w:r>
        <w:rPr>
          <w:b/>
          <w:sz w:val="24"/>
          <w:szCs w:val="24"/>
          <w:u w:val="single"/>
        </w:rPr>
        <w:t>Výdaje na havárie</w:t>
      </w:r>
    </w:p>
    <w:p w14:paraId="74849826" w14:textId="77777777" w:rsidR="00B85262" w:rsidRPr="00EB5822" w:rsidRDefault="00B85262" w:rsidP="00B85262">
      <w:pPr>
        <w:spacing w:after="0" w:line="240" w:lineRule="auto"/>
        <w:rPr>
          <w:b/>
          <w:u w:val="single"/>
        </w:rPr>
      </w:pPr>
      <w:r w:rsidRPr="00EB5822">
        <w:rPr>
          <w:b/>
          <w:bCs/>
        </w:rPr>
        <w:t>§ 6409 – Výdaje na havárie</w:t>
      </w:r>
    </w:p>
    <w:p w14:paraId="1DCDE3B7" w14:textId="77777777" w:rsidR="00B85262" w:rsidRPr="00EB5822" w:rsidRDefault="00B85262" w:rsidP="00B85262">
      <w:pPr>
        <w:spacing w:after="0" w:line="240" w:lineRule="auto"/>
        <w:jc w:val="both"/>
      </w:pPr>
      <w:r w:rsidRPr="00EB5822">
        <w:t xml:space="preserve">Výdaje na havárie jsou určeny na financování nepředvídatelných událostí v průběhu roku. </w:t>
      </w:r>
    </w:p>
    <w:p w14:paraId="7EA5AB55" w14:textId="77777777" w:rsidR="00B85262" w:rsidRDefault="00B85262" w:rsidP="00B85262">
      <w:pPr>
        <w:spacing w:after="0" w:line="240" w:lineRule="auto"/>
        <w:jc w:val="both"/>
      </w:pPr>
      <w:r w:rsidRPr="00EB5822">
        <w:t>V</w:t>
      </w:r>
      <w:r>
        <w:t> roce</w:t>
      </w:r>
      <w:r w:rsidRPr="00EB5822">
        <w:t xml:space="preserve"> 202</w:t>
      </w:r>
      <w:r>
        <w:t>1</w:t>
      </w:r>
      <w:r w:rsidRPr="00EB5822">
        <w:t xml:space="preserve"> byly prostředky</w:t>
      </w:r>
      <w:r>
        <w:t>:</w:t>
      </w:r>
    </w:p>
    <w:p w14:paraId="34AAE380" w14:textId="77777777" w:rsidR="00B85262" w:rsidRPr="00F20D03" w:rsidRDefault="00B85262" w:rsidP="00B85262">
      <w:pPr>
        <w:pStyle w:val="Odstavecseseznamem"/>
        <w:numPr>
          <w:ilvl w:val="0"/>
          <w:numId w:val="18"/>
        </w:numPr>
        <w:ind w:left="360"/>
        <w:contextualSpacing/>
        <w:jc w:val="both"/>
        <w:rPr>
          <w:rFonts w:asciiTheme="minorHAnsi" w:hAnsiTheme="minorHAnsi"/>
          <w:sz w:val="22"/>
          <w:szCs w:val="22"/>
        </w:rPr>
      </w:pPr>
      <w:r w:rsidRPr="00F20D03">
        <w:rPr>
          <w:rFonts w:asciiTheme="minorHAnsi" w:hAnsiTheme="minorHAnsi"/>
          <w:sz w:val="22"/>
          <w:szCs w:val="22"/>
        </w:rPr>
        <w:t xml:space="preserve"> posíleny o 11 210 380,50 Kč na základě usnesení č. 007-06/2021/ZK ze dne 26. 4. 2021 (rozdělení zůstatku hospodaření Středočeského kraje z roku 2020),</w:t>
      </w:r>
    </w:p>
    <w:p w14:paraId="1AE676A6" w14:textId="77777777" w:rsidR="00B85262" w:rsidRPr="00F20D03" w:rsidRDefault="00B85262" w:rsidP="00B85262">
      <w:pPr>
        <w:pStyle w:val="Odstavecseseznamem"/>
        <w:numPr>
          <w:ilvl w:val="0"/>
          <w:numId w:val="18"/>
        </w:numPr>
        <w:ind w:left="360"/>
        <w:contextualSpacing/>
        <w:jc w:val="both"/>
        <w:rPr>
          <w:rFonts w:asciiTheme="minorHAnsi" w:hAnsiTheme="minorHAnsi"/>
          <w:sz w:val="22"/>
          <w:szCs w:val="22"/>
        </w:rPr>
      </w:pPr>
      <w:r w:rsidRPr="00F20D03">
        <w:rPr>
          <w:rFonts w:asciiTheme="minorHAnsi" w:hAnsiTheme="minorHAnsi"/>
          <w:sz w:val="22"/>
          <w:szCs w:val="22"/>
        </w:rPr>
        <w:t>Převedeny v souhrnné výši 6 550 000,00 Kč do kapitoly 07 - Zdravotnictví:</w:t>
      </w:r>
    </w:p>
    <w:p w14:paraId="16628D48" w14:textId="77777777" w:rsidR="00B85262" w:rsidRPr="00F20D03" w:rsidRDefault="00B85262" w:rsidP="00B85262">
      <w:pPr>
        <w:pStyle w:val="Odstavecseseznamem"/>
        <w:ind w:left="360"/>
        <w:jc w:val="both"/>
        <w:rPr>
          <w:rFonts w:asciiTheme="minorHAnsi" w:hAnsiTheme="minorHAnsi"/>
          <w:sz w:val="22"/>
          <w:szCs w:val="22"/>
        </w:rPr>
      </w:pPr>
      <w:r w:rsidRPr="00F20D03">
        <w:rPr>
          <w:rFonts w:asciiTheme="minorHAnsi" w:hAnsiTheme="minorHAnsi"/>
          <w:sz w:val="22"/>
          <w:szCs w:val="22"/>
        </w:rPr>
        <w:t>6 050 000,00 Kč na základě usnesení č. 083-32/2021/RK ze dne 26. 8. 2022 (akce „Stavební úpravy – střecha objektu ZZS Kladno - havarijní stav“),</w:t>
      </w:r>
    </w:p>
    <w:p w14:paraId="5DD2C7DD" w14:textId="77777777" w:rsidR="00B85262" w:rsidRPr="00F20D03" w:rsidRDefault="00B85262" w:rsidP="00B85262">
      <w:pPr>
        <w:pStyle w:val="Odstavecseseznamem"/>
        <w:ind w:left="360"/>
        <w:jc w:val="both"/>
        <w:rPr>
          <w:rFonts w:asciiTheme="minorHAnsi" w:hAnsiTheme="minorHAnsi"/>
          <w:sz w:val="22"/>
          <w:szCs w:val="22"/>
        </w:rPr>
      </w:pPr>
      <w:r w:rsidRPr="00F20D03">
        <w:rPr>
          <w:rFonts w:asciiTheme="minorHAnsi" w:hAnsiTheme="minorHAnsi"/>
          <w:sz w:val="22"/>
          <w:szCs w:val="22"/>
        </w:rPr>
        <w:t>500 000,00 Kč dle usnesení č. 084-32/2021/RK ze dne 26. 8. 2022 (oprava havarijního stavu kanalizačního řadu v prostoru prádelny Dětského centra Kolín, p.o.).</w:t>
      </w:r>
    </w:p>
    <w:p w14:paraId="7A4A58C6" w14:textId="77777777" w:rsidR="00B85262" w:rsidRPr="00EB5822" w:rsidRDefault="00B85262" w:rsidP="00B85262">
      <w:pPr>
        <w:spacing w:after="0" w:line="240" w:lineRule="auto"/>
      </w:pPr>
    </w:p>
    <w:p w14:paraId="113CAEED" w14:textId="77777777" w:rsidR="00B85262" w:rsidRPr="000A3017" w:rsidRDefault="00B85262" w:rsidP="00B85262">
      <w:pPr>
        <w:spacing w:after="0" w:line="240" w:lineRule="auto"/>
        <w:rPr>
          <w:b/>
          <w:sz w:val="24"/>
          <w:szCs w:val="24"/>
          <w:u w:val="single"/>
        </w:rPr>
      </w:pPr>
      <w:r w:rsidRPr="000A3017">
        <w:rPr>
          <w:b/>
          <w:sz w:val="24"/>
          <w:szCs w:val="24"/>
          <w:u w:val="single"/>
        </w:rPr>
        <w:t>Výdaje na reprodukci majetku příspěvkových organizací</w:t>
      </w:r>
    </w:p>
    <w:p w14:paraId="600F6B79" w14:textId="77777777" w:rsidR="00B85262" w:rsidRPr="00EB5822" w:rsidRDefault="00B85262" w:rsidP="00B85262">
      <w:pPr>
        <w:spacing w:after="0" w:line="240" w:lineRule="auto"/>
        <w:rPr>
          <w:b/>
          <w:u w:val="single"/>
        </w:rPr>
      </w:pPr>
      <w:r w:rsidRPr="00EB5822">
        <w:rPr>
          <w:b/>
          <w:bCs/>
        </w:rPr>
        <w:t>§ 6409 – Výdaje na reprodukci majetku příspěvkových organizací</w:t>
      </w:r>
    </w:p>
    <w:p w14:paraId="4A9AF5B2" w14:textId="77777777" w:rsidR="00B85262" w:rsidRDefault="00B85262" w:rsidP="00B85262">
      <w:pPr>
        <w:spacing w:after="0" w:line="240" w:lineRule="auto"/>
        <w:jc w:val="both"/>
      </w:pPr>
      <w:r>
        <w:t>V roce</w:t>
      </w:r>
      <w:r w:rsidRPr="00EB5822">
        <w:t xml:space="preserve"> 202</w:t>
      </w:r>
      <w:r>
        <w:t>1</w:t>
      </w:r>
      <w:r w:rsidRPr="00EB5822">
        <w:t xml:space="preserve"> byly prostředky na reprodukci majetku příspěvkových organizací</w:t>
      </w:r>
      <w:r>
        <w:t xml:space="preserve"> </w:t>
      </w:r>
      <w:r w:rsidRPr="00EB5822">
        <w:t xml:space="preserve">převedeny </w:t>
      </w:r>
      <w:r>
        <w:t>do věcně příslušných kapitol v souhrnné výši 43 209 782,87 Kč, z toho:</w:t>
      </w:r>
    </w:p>
    <w:p w14:paraId="35D0875B" w14:textId="77777777" w:rsidR="00B85262" w:rsidRDefault="00B85262" w:rsidP="00B85262">
      <w:pPr>
        <w:spacing w:after="0" w:line="240" w:lineRule="auto"/>
        <w:jc w:val="both"/>
      </w:pPr>
      <w:r>
        <w:t>30 700 000,00 Kč do kapitoly 04 – Doprava na základě usnesení č. 005-44/2021/RK ze dne 25. 11. 2021,</w:t>
      </w:r>
    </w:p>
    <w:p w14:paraId="1BE571CC" w14:textId="77777777" w:rsidR="00B85262" w:rsidRDefault="00B85262" w:rsidP="00B85262">
      <w:pPr>
        <w:spacing w:after="0" w:line="240" w:lineRule="auto"/>
        <w:jc w:val="both"/>
      </w:pPr>
      <w:r>
        <w:t>8 647 673,04 Kč do kapitoly 05 - Školství</w:t>
      </w:r>
      <w:r w:rsidRPr="00EB5822">
        <w:t xml:space="preserve"> </w:t>
      </w:r>
      <w:r>
        <w:t xml:space="preserve">na základě usnesení </w:t>
      </w:r>
      <w:r w:rsidRPr="00EB5822">
        <w:t>č. 0</w:t>
      </w:r>
      <w:r>
        <w:t>33-15/2021</w:t>
      </w:r>
      <w:r w:rsidRPr="00EB5822">
        <w:t>/RK ze dne 1. </w:t>
      </w:r>
      <w:r>
        <w:t>4</w:t>
      </w:r>
      <w:r w:rsidRPr="00EB5822">
        <w:t>. 202</w:t>
      </w:r>
      <w:r>
        <w:t>1</w:t>
      </w:r>
      <w:r w:rsidRPr="00EB5822">
        <w:t>,</w:t>
      </w:r>
      <w:r>
        <w:t xml:space="preserve"> </w:t>
      </w:r>
      <w:r w:rsidRPr="00EB5822">
        <w:t>č. 0</w:t>
      </w:r>
      <w:r>
        <w:t>53</w:t>
      </w:r>
      <w:r w:rsidRPr="00EB5822">
        <w:t>-1</w:t>
      </w:r>
      <w:r>
        <w:t>6</w:t>
      </w:r>
      <w:r w:rsidRPr="00EB5822">
        <w:t>/202</w:t>
      </w:r>
      <w:r>
        <w:t>1</w:t>
      </w:r>
      <w:r w:rsidRPr="00EB5822">
        <w:t xml:space="preserve">/RK ze dne </w:t>
      </w:r>
      <w:r>
        <w:t>8</w:t>
      </w:r>
      <w:r w:rsidRPr="00EB5822">
        <w:t>.</w:t>
      </w:r>
      <w:r>
        <w:t> </w:t>
      </w:r>
      <w:r w:rsidRPr="00EB5822">
        <w:t>4.</w:t>
      </w:r>
      <w:r>
        <w:t> </w:t>
      </w:r>
      <w:r w:rsidRPr="00EB5822">
        <w:t>202</w:t>
      </w:r>
      <w:r>
        <w:t>1</w:t>
      </w:r>
      <w:r w:rsidRPr="00EB5822">
        <w:t>, č. 0</w:t>
      </w:r>
      <w:r>
        <w:t>50</w:t>
      </w:r>
      <w:r w:rsidRPr="00EB5822">
        <w:t>-</w:t>
      </w:r>
      <w:r>
        <w:t>23</w:t>
      </w:r>
      <w:r w:rsidRPr="00EB5822">
        <w:t>/202</w:t>
      </w:r>
      <w:r>
        <w:t>1</w:t>
      </w:r>
      <w:r w:rsidRPr="00EB5822">
        <w:t xml:space="preserve">/RK ze dne </w:t>
      </w:r>
      <w:r>
        <w:t>27</w:t>
      </w:r>
      <w:r w:rsidRPr="00EB5822">
        <w:t>. 5. 202</w:t>
      </w:r>
      <w:r>
        <w:t>1, 084-29/2021/RK ze dne 15. 7. 2021, 080-30/2021/RK ze dne 29. 7. 2021, 030-34/2021/RK ze dne 9. 9. 2021, 033-38/2021/RK ze dne 7. 10. 2021, 053-41/2021/RK ze dne 4. 11. 2021 a 067-46/2021/RK ze dne 9. 12. 2021,</w:t>
      </w:r>
    </w:p>
    <w:p w14:paraId="4C4B5A61" w14:textId="77777777" w:rsidR="00B85262" w:rsidRDefault="00B85262" w:rsidP="00B85262">
      <w:pPr>
        <w:spacing w:after="0" w:line="240" w:lineRule="auto"/>
        <w:jc w:val="both"/>
      </w:pPr>
      <w:r>
        <w:t>2 079 667,00 Kč do kapitoly 06 – Kultura a památková péče na základě usnesení č. 006-37/2021/RK ze dne 30. 9. 2021 a č. 095-47/2021/RK ze dne 16. 12. 2021,</w:t>
      </w:r>
    </w:p>
    <w:p w14:paraId="01D708B8" w14:textId="77777777" w:rsidR="00B85262" w:rsidRDefault="00B85262" w:rsidP="00B85262">
      <w:pPr>
        <w:spacing w:after="0" w:line="240" w:lineRule="auto"/>
        <w:jc w:val="both"/>
      </w:pPr>
      <w:r>
        <w:t xml:space="preserve">244 412,70 Kč do kapitoly 07 – Zdravotnictví na základě usnesení č. 053-31/2021/RK ze dne 12. 8. 2021, 042-46/2021/RK ze dne 9. 12. 2021, 044-46/2021/RK ze dne 9. 12. 2021, </w:t>
      </w:r>
    </w:p>
    <w:p w14:paraId="31762747" w14:textId="77777777" w:rsidR="00B85262" w:rsidRDefault="00B85262" w:rsidP="00B85262">
      <w:pPr>
        <w:spacing w:after="0" w:line="240" w:lineRule="auto"/>
        <w:jc w:val="both"/>
      </w:pPr>
      <w:r>
        <w:t xml:space="preserve">1 538 030,13 Kč do kapitoly 17 – Sociální věci na základě usnesení č. 019-46/2021/RK ze dne 9. 12. 2021. </w:t>
      </w:r>
    </w:p>
    <w:p w14:paraId="1CCD9D9F" w14:textId="77777777" w:rsidR="00B85262" w:rsidRDefault="00B85262" w:rsidP="00B85262">
      <w:pPr>
        <w:spacing w:after="0" w:line="240" w:lineRule="auto"/>
        <w:jc w:val="both"/>
      </w:pPr>
    </w:p>
    <w:p w14:paraId="1724AA8A" w14:textId="77777777" w:rsidR="00B85262" w:rsidRPr="00E24EC2" w:rsidRDefault="00B85262" w:rsidP="00B85262">
      <w:pPr>
        <w:spacing w:after="0" w:line="240" w:lineRule="auto"/>
        <w:rPr>
          <w:b/>
          <w:sz w:val="24"/>
          <w:szCs w:val="24"/>
          <w:u w:val="single"/>
        </w:rPr>
      </w:pPr>
      <w:r w:rsidRPr="00E24EC2">
        <w:rPr>
          <w:b/>
          <w:sz w:val="24"/>
          <w:szCs w:val="24"/>
          <w:u w:val="single"/>
        </w:rPr>
        <w:t>Kapitálové výdaje</w:t>
      </w:r>
    </w:p>
    <w:p w14:paraId="74AF3870" w14:textId="77777777" w:rsidR="00B85262" w:rsidRPr="00EB5822" w:rsidRDefault="00B85262" w:rsidP="00B85262">
      <w:pPr>
        <w:spacing w:after="0" w:line="240" w:lineRule="auto"/>
        <w:rPr>
          <w:b/>
          <w:bCs/>
        </w:rPr>
      </w:pPr>
      <w:r w:rsidRPr="00EB5822">
        <w:rPr>
          <w:b/>
          <w:bCs/>
        </w:rPr>
        <w:t>§ 6409 – Kapitálové (investiční) výdaje</w:t>
      </w:r>
    </w:p>
    <w:p w14:paraId="01150565" w14:textId="77777777" w:rsidR="00B85262" w:rsidRPr="00EB5822" w:rsidRDefault="00B85262" w:rsidP="00B85262">
      <w:pPr>
        <w:spacing w:after="0" w:line="240" w:lineRule="auto"/>
        <w:jc w:val="both"/>
        <w:rPr>
          <w:bCs/>
        </w:rPr>
      </w:pPr>
      <w:r>
        <w:rPr>
          <w:bCs/>
        </w:rPr>
        <w:t>R</w:t>
      </w:r>
      <w:r w:rsidRPr="00EB5822">
        <w:rPr>
          <w:bCs/>
        </w:rPr>
        <w:t>ezerv</w:t>
      </w:r>
      <w:r>
        <w:rPr>
          <w:bCs/>
        </w:rPr>
        <w:t>a</w:t>
      </w:r>
      <w:r w:rsidRPr="00EB5822">
        <w:rPr>
          <w:bCs/>
        </w:rPr>
        <w:t xml:space="preserve"> finančních prostředků na krytí akcí zařazených v Zásobníku investic Středočeského kraje.</w:t>
      </w:r>
    </w:p>
    <w:p w14:paraId="1E7CABF7" w14:textId="77777777" w:rsidR="00B85262" w:rsidRDefault="00B85262" w:rsidP="00B85262">
      <w:pPr>
        <w:spacing w:after="0" w:line="240" w:lineRule="auto"/>
        <w:jc w:val="both"/>
        <w:rPr>
          <w:bCs/>
        </w:rPr>
      </w:pPr>
      <w:r>
        <w:rPr>
          <w:bCs/>
        </w:rPr>
        <w:t>V roce 2021 byly p</w:t>
      </w:r>
      <w:r w:rsidRPr="00EB5822">
        <w:rPr>
          <w:bCs/>
        </w:rPr>
        <w:t>rostředky</w:t>
      </w:r>
    </w:p>
    <w:p w14:paraId="2FDDE605" w14:textId="77777777" w:rsidR="00B85262" w:rsidRPr="00A41CC1" w:rsidRDefault="00B85262" w:rsidP="00B85262">
      <w:pPr>
        <w:pStyle w:val="Odstavecseseznamem"/>
        <w:numPr>
          <w:ilvl w:val="0"/>
          <w:numId w:val="21"/>
        </w:numPr>
        <w:tabs>
          <w:tab w:val="left" w:pos="284"/>
        </w:tabs>
        <w:ind w:left="0" w:firstLine="0"/>
        <w:contextualSpacing/>
        <w:jc w:val="both"/>
        <w:rPr>
          <w:rFonts w:asciiTheme="minorHAnsi" w:hAnsiTheme="minorHAnsi"/>
          <w:sz w:val="22"/>
          <w:szCs w:val="22"/>
        </w:rPr>
      </w:pPr>
      <w:r w:rsidRPr="00A41CC1">
        <w:rPr>
          <w:rFonts w:asciiTheme="minorHAnsi" w:hAnsiTheme="minorHAnsi"/>
          <w:bCs/>
          <w:sz w:val="22"/>
          <w:szCs w:val="22"/>
        </w:rPr>
        <w:t xml:space="preserve">posíleny o 6 374 603,01 Kč na základě usnesení č. 007-06/2021/ZK ze dne 26. 4. 2021 </w:t>
      </w:r>
      <w:r w:rsidRPr="00A41CC1">
        <w:rPr>
          <w:rFonts w:asciiTheme="minorHAnsi" w:hAnsiTheme="minorHAnsi"/>
          <w:sz w:val="22"/>
          <w:szCs w:val="22"/>
        </w:rPr>
        <w:t xml:space="preserve">(rozdělení zůstatku hospodaření Středočeského kraje z roku 2020), </w:t>
      </w:r>
    </w:p>
    <w:p w14:paraId="6ECE1123" w14:textId="77777777" w:rsidR="00B85262" w:rsidRPr="00A41CC1" w:rsidRDefault="00B85262" w:rsidP="00B85262">
      <w:pPr>
        <w:pStyle w:val="Odstavecseseznamem"/>
        <w:numPr>
          <w:ilvl w:val="0"/>
          <w:numId w:val="21"/>
        </w:numPr>
        <w:tabs>
          <w:tab w:val="left" w:pos="284"/>
        </w:tabs>
        <w:spacing w:line="259" w:lineRule="auto"/>
        <w:ind w:left="0" w:firstLine="0"/>
        <w:contextualSpacing/>
        <w:jc w:val="both"/>
        <w:rPr>
          <w:rFonts w:asciiTheme="minorHAnsi" w:hAnsiTheme="minorHAnsi"/>
          <w:sz w:val="22"/>
          <w:szCs w:val="22"/>
        </w:rPr>
      </w:pPr>
      <w:r w:rsidRPr="00A41CC1">
        <w:rPr>
          <w:rFonts w:asciiTheme="minorHAnsi" w:hAnsiTheme="minorHAnsi"/>
          <w:sz w:val="22"/>
          <w:szCs w:val="22"/>
        </w:rPr>
        <w:t>převedeny ve výši 6 374 603,01 Kč na základě usnesení č. 006-46/2021/RK ze dne 9. 1. 2021 v rámci kapitoly 23 – Ostatní do Rezervy na nepředvídatelné události a finanční záruky Středočeského kraje.</w:t>
      </w:r>
    </w:p>
    <w:p w14:paraId="72746090" w14:textId="77777777" w:rsidR="00B85262" w:rsidRDefault="00B85262" w:rsidP="00B85262">
      <w:pPr>
        <w:spacing w:after="0" w:line="240" w:lineRule="auto"/>
        <w:jc w:val="both"/>
      </w:pPr>
    </w:p>
    <w:p w14:paraId="75A96BAC" w14:textId="77777777" w:rsidR="00B85262" w:rsidRPr="00EB5822" w:rsidRDefault="00B85262" w:rsidP="00B85262">
      <w:pPr>
        <w:spacing w:after="0"/>
        <w:jc w:val="both"/>
        <w:rPr>
          <w:b/>
          <w:u w:val="single"/>
        </w:rPr>
      </w:pPr>
    </w:p>
    <w:p w14:paraId="7F948CF5" w14:textId="77777777" w:rsidR="00B85262" w:rsidRPr="00E24EC2" w:rsidRDefault="00B85262" w:rsidP="00B85262">
      <w:pPr>
        <w:spacing w:after="0"/>
        <w:rPr>
          <w:b/>
          <w:sz w:val="24"/>
          <w:szCs w:val="24"/>
          <w:u w:val="single"/>
        </w:rPr>
      </w:pPr>
      <w:r w:rsidRPr="00E24EC2">
        <w:rPr>
          <w:b/>
          <w:sz w:val="24"/>
          <w:szCs w:val="24"/>
          <w:u w:val="single"/>
        </w:rPr>
        <w:t>Předfinancování a kofinancování projektů spolufinancovaných z EU/EHP a ostatní související výdaje s projekty EU/EHP</w:t>
      </w:r>
    </w:p>
    <w:p w14:paraId="00F08D5E" w14:textId="77777777" w:rsidR="00B85262" w:rsidRPr="00EB5822" w:rsidRDefault="00B85262" w:rsidP="00B85262">
      <w:pPr>
        <w:spacing w:after="0" w:line="240" w:lineRule="auto"/>
        <w:jc w:val="both"/>
        <w:rPr>
          <w:b/>
          <w:bCs/>
        </w:rPr>
      </w:pPr>
      <w:r w:rsidRPr="00EB5822">
        <w:rPr>
          <w:b/>
          <w:bCs/>
        </w:rPr>
        <w:t>§ 6409 – Předfinancování a kofinancování projektů spolufinancovaných z EU/EHP a ostatní související výdaje s projekty EU/EHP</w:t>
      </w:r>
    </w:p>
    <w:p w14:paraId="276BF417" w14:textId="77777777" w:rsidR="00B85262" w:rsidRPr="00EB5822" w:rsidRDefault="00B85262" w:rsidP="00B85262">
      <w:pPr>
        <w:spacing w:after="0" w:line="240" w:lineRule="auto"/>
        <w:jc w:val="both"/>
      </w:pPr>
      <w:r w:rsidRPr="00EB5822">
        <w:t>Finanční prostředky slouží ke kofinancování (financování krajského podílu projektů EU</w:t>
      </w:r>
      <w:r>
        <w:t>/EHP</w:t>
      </w:r>
      <w:r w:rsidRPr="00EB5822">
        <w:t xml:space="preserve">), předfinancování a proplacení neuznatelných výdajů projektů </w:t>
      </w:r>
      <w:r>
        <w:t xml:space="preserve">spolufinancovaných z </w:t>
      </w:r>
      <w:r w:rsidRPr="00EB5822">
        <w:t>EU</w:t>
      </w:r>
      <w:r>
        <w:t>/EHP</w:t>
      </w:r>
      <w:r w:rsidRPr="00EB5822">
        <w:t>. Finanční prostředky jsou určeny také k proplacení sankcí za porušení rozpočtové kázně a vratek dotací vyplývajících z porušení rozpočtové kázně spojených s financováním projektů EU</w:t>
      </w:r>
      <w:r>
        <w:t>/EHP</w:t>
      </w:r>
      <w:r w:rsidRPr="00EB5822">
        <w:t xml:space="preserve">. Následně po ukončení projektu, případně etapy projektu, a obdržení finančních prostředků od příslušného ministerstva jsou prostředky zapůjčené z prostředků na předfinancování vráceny kapitolou, která si je zapůjčila, zpět do kapitoly 23 – Ostatní. </w:t>
      </w:r>
    </w:p>
    <w:p w14:paraId="737FDEE2" w14:textId="77777777" w:rsidR="00B85262" w:rsidRPr="00EB5822" w:rsidRDefault="00B85262" w:rsidP="00B85262">
      <w:pPr>
        <w:spacing w:after="0" w:line="240" w:lineRule="auto"/>
        <w:jc w:val="both"/>
      </w:pPr>
      <w:r w:rsidRPr="00EB5822">
        <w:t>Plán finančních prostředků na financování projektů EU</w:t>
      </w:r>
      <w:r>
        <w:t>/EHP</w:t>
      </w:r>
      <w:r w:rsidRPr="00EB5822">
        <w:t xml:space="preserve"> je zpracován do Zásobníku projektů spolufinancovaných z EU/EHP a národních zdrojů, který je průběžně aktualizován a schvalován Zastupitelstvem Středočeského kraje. </w:t>
      </w:r>
    </w:p>
    <w:p w14:paraId="0B968937" w14:textId="77777777" w:rsidR="00B85262" w:rsidRDefault="00B85262" w:rsidP="00B85262">
      <w:pPr>
        <w:spacing w:after="0" w:line="240" w:lineRule="auto"/>
        <w:jc w:val="both"/>
      </w:pPr>
      <w:r w:rsidRPr="00EB5822">
        <w:t xml:space="preserve">Prostředky na předfinancování a kofinancování projektů spolufinancovaných z EU/EHP </w:t>
      </w:r>
      <w:r w:rsidRPr="00EB5822">
        <w:rPr>
          <w:bCs/>
        </w:rPr>
        <w:t>a ostatní související výdaje s projekty</w:t>
      </w:r>
      <w:r>
        <w:t xml:space="preserve"> EU/EHP byly v roce 2021:</w:t>
      </w:r>
    </w:p>
    <w:p w14:paraId="291ABDA7" w14:textId="77777777" w:rsidR="00B85262" w:rsidRPr="00EB5822" w:rsidRDefault="00B85262" w:rsidP="00B85262">
      <w:pPr>
        <w:numPr>
          <w:ilvl w:val="0"/>
          <w:numId w:val="10"/>
        </w:numPr>
        <w:spacing w:after="0"/>
        <w:ind w:left="360"/>
        <w:jc w:val="both"/>
      </w:pPr>
      <w:r w:rsidRPr="00EB5822">
        <w:t xml:space="preserve">posíleny o </w:t>
      </w:r>
      <w:r>
        <w:t>761 920 756,46</w:t>
      </w:r>
      <w:r w:rsidRPr="00EB5822">
        <w:t xml:space="preserve"> Kč:</w:t>
      </w:r>
    </w:p>
    <w:p w14:paraId="01EA6BC4" w14:textId="77777777" w:rsidR="00B85262" w:rsidRPr="00EB5822" w:rsidRDefault="00B85262" w:rsidP="00B85262">
      <w:pPr>
        <w:spacing w:after="0"/>
        <w:jc w:val="both"/>
      </w:pPr>
      <w:r>
        <w:t>4</w:t>
      </w:r>
      <w:r w:rsidRPr="00EB5822">
        <w:t>00 000 000,00 Kč na základě usnesení č. 0</w:t>
      </w:r>
      <w:r>
        <w:t>07</w:t>
      </w:r>
      <w:r w:rsidRPr="00EB5822">
        <w:t>-</w:t>
      </w:r>
      <w:r>
        <w:t>04</w:t>
      </w:r>
      <w:r w:rsidRPr="00EB5822">
        <w:t>/202</w:t>
      </w:r>
      <w:r>
        <w:t>1</w:t>
      </w:r>
      <w:r w:rsidRPr="00EB5822">
        <w:t>/</w:t>
      </w:r>
      <w:r>
        <w:t>Z</w:t>
      </w:r>
      <w:r w:rsidRPr="00EB5822">
        <w:t xml:space="preserve">K ze dne </w:t>
      </w:r>
      <w:r>
        <w:t>22. 2. 2021</w:t>
      </w:r>
      <w:r w:rsidRPr="00EB5822">
        <w:t xml:space="preserve"> (</w:t>
      </w:r>
      <w:r>
        <w:t>navýšení rozpočtu Středočeského kraje o prostředky ze sdílených daní a nevyčerpané prostředky z roku 2020 - schváleny jako součást rozdělení zůstatku hospodaření z roku 2020 schváleného usnesením</w:t>
      </w:r>
      <w:r w:rsidRPr="00AC2946">
        <w:t xml:space="preserve"> </w:t>
      </w:r>
      <w:r w:rsidRPr="00EB5822">
        <w:t>č. 00</w:t>
      </w:r>
      <w:r>
        <w:t>7</w:t>
      </w:r>
      <w:r w:rsidRPr="00EB5822">
        <w:t>-</w:t>
      </w:r>
      <w:r>
        <w:t>06</w:t>
      </w:r>
      <w:r w:rsidRPr="00EB5822">
        <w:t>/202</w:t>
      </w:r>
      <w:r>
        <w:t>1</w:t>
      </w:r>
      <w:r w:rsidRPr="00EB5822">
        <w:t>/</w:t>
      </w:r>
      <w:r>
        <w:t>Z</w:t>
      </w:r>
      <w:r w:rsidRPr="00EB5822">
        <w:t>K ze dne 2</w:t>
      </w:r>
      <w:r>
        <w:t>6</w:t>
      </w:r>
      <w:r w:rsidRPr="00EB5822">
        <w:t xml:space="preserve">. </w:t>
      </w:r>
      <w:r>
        <w:t>4</w:t>
      </w:r>
      <w:r w:rsidRPr="00EB5822">
        <w:t>. 202</w:t>
      </w:r>
      <w:r>
        <w:t>1)</w:t>
      </w:r>
      <w:r w:rsidRPr="00EB5822">
        <w:t>,</w:t>
      </w:r>
    </w:p>
    <w:p w14:paraId="1934E53E" w14:textId="77777777" w:rsidR="00B85262" w:rsidRDefault="00B85262" w:rsidP="00B85262">
      <w:pPr>
        <w:spacing w:after="0"/>
        <w:jc w:val="both"/>
      </w:pPr>
      <w:r>
        <w:t>318 494 856,84</w:t>
      </w:r>
      <w:r w:rsidRPr="00EB5822">
        <w:t xml:space="preserve"> Kč na základě usnesení č. 00</w:t>
      </w:r>
      <w:r>
        <w:t>7</w:t>
      </w:r>
      <w:r w:rsidRPr="00EB5822">
        <w:t>-</w:t>
      </w:r>
      <w:r>
        <w:t>06</w:t>
      </w:r>
      <w:r w:rsidRPr="00EB5822">
        <w:t>/202</w:t>
      </w:r>
      <w:r>
        <w:t>1</w:t>
      </w:r>
      <w:r w:rsidRPr="00EB5822">
        <w:t>/</w:t>
      </w:r>
      <w:r>
        <w:t>Z</w:t>
      </w:r>
      <w:r w:rsidRPr="00EB5822">
        <w:t>K ze dne 2</w:t>
      </w:r>
      <w:r>
        <w:t>6</w:t>
      </w:r>
      <w:r w:rsidRPr="00EB5822">
        <w:t xml:space="preserve">. </w:t>
      </w:r>
      <w:r>
        <w:t>4</w:t>
      </w:r>
      <w:r w:rsidRPr="00EB5822">
        <w:t>. 202</w:t>
      </w:r>
      <w:r>
        <w:t>1</w:t>
      </w:r>
      <w:r w:rsidRPr="00EB5822">
        <w:t xml:space="preserve"> (</w:t>
      </w:r>
      <w:r>
        <w:t>rozdělení</w:t>
      </w:r>
      <w:r w:rsidRPr="00EB5822">
        <w:t xml:space="preserve"> zůstatku hospodaření Středočeského kraje z roku 20</w:t>
      </w:r>
      <w:r>
        <w:t>20),</w:t>
      </w:r>
    </w:p>
    <w:p w14:paraId="1D4B475B" w14:textId="77777777" w:rsidR="00B85262" w:rsidRDefault="00B85262" w:rsidP="00B85262">
      <w:pPr>
        <w:spacing w:after="0"/>
        <w:jc w:val="both"/>
      </w:pPr>
      <w:r>
        <w:t>1 748 780,00 Kč na základě usnesení č. 016-08/2021/ZK ze dne 28. 6. 2021 (zapojení vratky prominutého penále, kapitola 04 – Doprava),</w:t>
      </w:r>
    </w:p>
    <w:p w14:paraId="6BFD31A4" w14:textId="77777777" w:rsidR="00B85262" w:rsidRDefault="00B85262" w:rsidP="00B85262">
      <w:pPr>
        <w:spacing w:after="0"/>
        <w:jc w:val="both"/>
      </w:pPr>
      <w:r>
        <w:t>41 677 119,62</w:t>
      </w:r>
      <w:r w:rsidRPr="00EB5822">
        <w:t xml:space="preserve"> Kč - vratky nevyčerpaných prostředků, z toho: </w:t>
      </w:r>
    </w:p>
    <w:p w14:paraId="6B665AA2" w14:textId="77777777" w:rsidR="00B85262" w:rsidRDefault="00B85262" w:rsidP="00B85262">
      <w:pPr>
        <w:spacing w:after="0"/>
        <w:jc w:val="both"/>
      </w:pPr>
      <w:r>
        <w:t xml:space="preserve">40 811 535,98 Kč </w:t>
      </w:r>
      <w:r w:rsidRPr="00EB5822">
        <w:t xml:space="preserve">kapitola 05 – Školství </w:t>
      </w:r>
      <w:r>
        <w:t>na základě usnesení č. 022-17/2021/RK ze dne 15. 4. 2021, 058-28/2021/RK ze dne 1. 7. 2021</w:t>
      </w:r>
      <w:r w:rsidRPr="00EB5822">
        <w:t xml:space="preserve"> </w:t>
      </w:r>
      <w:r>
        <w:t>a 104-47/2021/RK ze dne 16. 12. 2021,</w:t>
      </w:r>
    </w:p>
    <w:p w14:paraId="50AFF502" w14:textId="77777777" w:rsidR="00B85262" w:rsidRDefault="00B85262" w:rsidP="00B85262">
      <w:pPr>
        <w:spacing w:after="0"/>
        <w:jc w:val="both"/>
      </w:pPr>
      <w:r>
        <w:t>375 556,00 Kč kapitola 09 – Evropská integrace na základě usnesení č. 018-45/2021/RK ze dne 2. 12. 2021,</w:t>
      </w:r>
    </w:p>
    <w:p w14:paraId="095726D2" w14:textId="77777777" w:rsidR="00B85262" w:rsidRDefault="00B85262" w:rsidP="00B85262">
      <w:pPr>
        <w:spacing w:after="0"/>
        <w:jc w:val="both"/>
      </w:pPr>
      <w:r>
        <w:t>490 027,64</w:t>
      </w:r>
      <w:r w:rsidRPr="00EB5822">
        <w:t xml:space="preserve"> Kč</w:t>
      </w:r>
      <w:r>
        <w:t xml:space="preserve"> </w:t>
      </w:r>
      <w:r w:rsidRPr="00EB5822">
        <w:t xml:space="preserve">kapitola 17 – Sociální věci </w:t>
      </w:r>
      <w:r>
        <w:t>na základě usnesení č. 021-19/2021/RK ze dne 29. 4. 2021 a 030-40/2021/RK ze dne 21. 10. 2021</w:t>
      </w:r>
      <w:r w:rsidRPr="00EB5822">
        <w:t xml:space="preserve">. </w:t>
      </w:r>
    </w:p>
    <w:p w14:paraId="6F78F8A3" w14:textId="77777777" w:rsidR="00B85262" w:rsidRPr="007B422E" w:rsidRDefault="00B85262" w:rsidP="00B85262">
      <w:pPr>
        <w:pStyle w:val="Odstavecseseznamem"/>
        <w:numPr>
          <w:ilvl w:val="0"/>
          <w:numId w:val="10"/>
        </w:numPr>
        <w:spacing w:line="259" w:lineRule="auto"/>
        <w:ind w:left="360"/>
        <w:contextualSpacing/>
        <w:jc w:val="both"/>
        <w:rPr>
          <w:rFonts w:asciiTheme="minorHAnsi" w:hAnsiTheme="minorHAnsi"/>
          <w:sz w:val="22"/>
          <w:szCs w:val="22"/>
        </w:rPr>
      </w:pPr>
      <w:r w:rsidRPr="007B422E">
        <w:rPr>
          <w:rFonts w:asciiTheme="minorHAnsi" w:hAnsiTheme="minorHAnsi"/>
          <w:sz w:val="22"/>
          <w:szCs w:val="22"/>
        </w:rPr>
        <w:t>vyvedeny ve výši 124 100 000,00 Kč, z toho:</w:t>
      </w:r>
    </w:p>
    <w:p w14:paraId="0EE787D1" w14:textId="77777777" w:rsidR="00B85262" w:rsidRDefault="00B85262" w:rsidP="00B85262">
      <w:pPr>
        <w:spacing w:after="0"/>
        <w:jc w:val="both"/>
      </w:pPr>
      <w:r>
        <w:t>100 000 000,00 Kč do kapitoly 04 – Doprava na základě usnesení č. 023-30/2021/RK ze dne 29.7.2021 (Středočeský Fond homogenizace krajské dopravní infrastruktury)</w:t>
      </w:r>
    </w:p>
    <w:p w14:paraId="6352277A" w14:textId="77777777" w:rsidR="00B85262" w:rsidRDefault="00B85262" w:rsidP="00B85262">
      <w:pPr>
        <w:spacing w:after="0"/>
        <w:jc w:val="both"/>
      </w:pPr>
      <w:r>
        <w:t>24 100 000,00 Kč do kapitoly 12 – Investiční výdaje na základě usnesení č. 045-42/2021/RK ze dne 11. 11. 2021 (financování investičních akcí kapitoly 04 – Doprava a 26 – Veřejná mobilita)</w:t>
      </w:r>
    </w:p>
    <w:p w14:paraId="61C16941" w14:textId="77777777" w:rsidR="00B85262" w:rsidRDefault="00B85262" w:rsidP="00B85262">
      <w:pPr>
        <w:numPr>
          <w:ilvl w:val="0"/>
          <w:numId w:val="10"/>
        </w:numPr>
        <w:spacing w:after="0"/>
        <w:ind w:left="360"/>
        <w:jc w:val="both"/>
      </w:pPr>
      <w:r w:rsidRPr="00EB5822">
        <w:t xml:space="preserve">čerpány ve výši </w:t>
      </w:r>
      <w:r>
        <w:t xml:space="preserve">1 956 460 189,94 </w:t>
      </w:r>
      <w:r w:rsidRPr="00EB5822">
        <w:t>Kč, z této částky čerpaly kapitoly:</w:t>
      </w:r>
    </w:p>
    <w:p w14:paraId="53EFDF11" w14:textId="77777777" w:rsidR="00B85262" w:rsidRPr="00EB5822" w:rsidRDefault="00B85262" w:rsidP="00B85262">
      <w:pPr>
        <w:spacing w:after="0"/>
        <w:ind w:left="360"/>
        <w:jc w:val="both"/>
      </w:pPr>
    </w:p>
    <w:tbl>
      <w:tblPr>
        <w:tblW w:w="0" w:type="auto"/>
        <w:tblInd w:w="108" w:type="dxa"/>
        <w:tblLook w:val="04A0" w:firstRow="1" w:lastRow="0" w:firstColumn="1" w:lastColumn="0" w:noHBand="0" w:noVBand="1"/>
      </w:tblPr>
      <w:tblGrid>
        <w:gridCol w:w="2316"/>
        <w:gridCol w:w="1584"/>
        <w:gridCol w:w="1584"/>
        <w:gridCol w:w="1728"/>
        <w:gridCol w:w="1742"/>
      </w:tblGrid>
      <w:tr w:rsidR="00B85262" w:rsidRPr="00ED091D" w14:paraId="1F1456CE" w14:textId="77777777" w:rsidTr="000B380F">
        <w:tc>
          <w:tcPr>
            <w:tcW w:w="2316" w:type="dxa"/>
            <w:shd w:val="clear" w:color="auto" w:fill="auto"/>
          </w:tcPr>
          <w:p w14:paraId="344D8411" w14:textId="77777777" w:rsidR="00B85262" w:rsidRPr="00ED091D" w:rsidRDefault="00B85262" w:rsidP="000B380F">
            <w:pPr>
              <w:spacing w:after="0"/>
              <w:jc w:val="both"/>
              <w:rPr>
                <w:sz w:val="20"/>
                <w:szCs w:val="20"/>
              </w:rPr>
            </w:pPr>
          </w:p>
        </w:tc>
        <w:tc>
          <w:tcPr>
            <w:tcW w:w="1584" w:type="dxa"/>
            <w:shd w:val="clear" w:color="auto" w:fill="auto"/>
            <w:vAlign w:val="center"/>
          </w:tcPr>
          <w:p w14:paraId="1CD04171" w14:textId="77777777" w:rsidR="00B85262" w:rsidRPr="00ED091D" w:rsidRDefault="00B85262" w:rsidP="000B380F">
            <w:pPr>
              <w:spacing w:after="0"/>
              <w:jc w:val="center"/>
              <w:rPr>
                <w:sz w:val="20"/>
                <w:szCs w:val="20"/>
              </w:rPr>
            </w:pPr>
            <w:r w:rsidRPr="00ED091D">
              <w:rPr>
                <w:sz w:val="20"/>
                <w:szCs w:val="20"/>
              </w:rPr>
              <w:t>UZ 777</w:t>
            </w:r>
          </w:p>
        </w:tc>
        <w:tc>
          <w:tcPr>
            <w:tcW w:w="1584" w:type="dxa"/>
            <w:shd w:val="clear" w:color="auto" w:fill="auto"/>
            <w:vAlign w:val="center"/>
          </w:tcPr>
          <w:p w14:paraId="7C6B478A" w14:textId="77777777" w:rsidR="00B85262" w:rsidRPr="00ED091D" w:rsidRDefault="00B85262" w:rsidP="000B380F">
            <w:pPr>
              <w:spacing w:after="0"/>
              <w:jc w:val="center"/>
              <w:rPr>
                <w:sz w:val="20"/>
                <w:szCs w:val="20"/>
              </w:rPr>
            </w:pPr>
            <w:r w:rsidRPr="00ED091D">
              <w:rPr>
                <w:sz w:val="20"/>
                <w:szCs w:val="20"/>
              </w:rPr>
              <w:t>UZ 888</w:t>
            </w:r>
          </w:p>
        </w:tc>
        <w:tc>
          <w:tcPr>
            <w:tcW w:w="1728" w:type="dxa"/>
            <w:shd w:val="clear" w:color="auto" w:fill="auto"/>
            <w:vAlign w:val="center"/>
          </w:tcPr>
          <w:p w14:paraId="3AA481E1" w14:textId="77777777" w:rsidR="00B85262" w:rsidRPr="00ED091D" w:rsidRDefault="00B85262" w:rsidP="000B380F">
            <w:pPr>
              <w:spacing w:after="0"/>
              <w:jc w:val="center"/>
              <w:rPr>
                <w:sz w:val="20"/>
                <w:szCs w:val="20"/>
              </w:rPr>
            </w:pPr>
            <w:r w:rsidRPr="00ED091D">
              <w:rPr>
                <w:sz w:val="20"/>
                <w:szCs w:val="20"/>
              </w:rPr>
              <w:t>UZ 999</w:t>
            </w:r>
          </w:p>
        </w:tc>
        <w:tc>
          <w:tcPr>
            <w:tcW w:w="1742" w:type="dxa"/>
            <w:shd w:val="clear" w:color="auto" w:fill="auto"/>
            <w:vAlign w:val="center"/>
          </w:tcPr>
          <w:p w14:paraId="54175B3F" w14:textId="77777777" w:rsidR="00B85262" w:rsidRPr="00ED091D" w:rsidRDefault="00B85262" w:rsidP="000B380F">
            <w:pPr>
              <w:spacing w:after="0"/>
              <w:jc w:val="center"/>
              <w:rPr>
                <w:sz w:val="20"/>
                <w:szCs w:val="20"/>
              </w:rPr>
            </w:pPr>
            <w:r w:rsidRPr="00ED091D">
              <w:rPr>
                <w:sz w:val="20"/>
                <w:szCs w:val="20"/>
              </w:rPr>
              <w:t>Celkem</w:t>
            </w:r>
          </w:p>
        </w:tc>
      </w:tr>
      <w:tr w:rsidR="00B85262" w:rsidRPr="00ED091D" w14:paraId="532FA563" w14:textId="77777777" w:rsidTr="000B380F">
        <w:trPr>
          <w:trHeight w:val="397"/>
        </w:trPr>
        <w:tc>
          <w:tcPr>
            <w:tcW w:w="2316" w:type="dxa"/>
            <w:shd w:val="clear" w:color="auto" w:fill="auto"/>
          </w:tcPr>
          <w:p w14:paraId="6A52EB49" w14:textId="77777777" w:rsidR="00B85262" w:rsidRPr="00ED091D" w:rsidRDefault="00B85262" w:rsidP="000B380F">
            <w:pPr>
              <w:spacing w:after="0"/>
              <w:jc w:val="both"/>
              <w:rPr>
                <w:sz w:val="20"/>
                <w:szCs w:val="20"/>
              </w:rPr>
            </w:pPr>
          </w:p>
        </w:tc>
        <w:tc>
          <w:tcPr>
            <w:tcW w:w="1584" w:type="dxa"/>
            <w:shd w:val="clear" w:color="auto" w:fill="auto"/>
            <w:vAlign w:val="center"/>
          </w:tcPr>
          <w:p w14:paraId="0A19302E" w14:textId="77777777" w:rsidR="00B85262" w:rsidRPr="00ED091D" w:rsidRDefault="00B85262" w:rsidP="000B380F">
            <w:pPr>
              <w:spacing w:after="0"/>
              <w:jc w:val="center"/>
              <w:rPr>
                <w:sz w:val="20"/>
                <w:szCs w:val="20"/>
              </w:rPr>
            </w:pPr>
            <w:r w:rsidRPr="00ED091D">
              <w:rPr>
                <w:sz w:val="20"/>
                <w:szCs w:val="20"/>
              </w:rPr>
              <w:t>neuznatelné náklady</w:t>
            </w:r>
          </w:p>
        </w:tc>
        <w:tc>
          <w:tcPr>
            <w:tcW w:w="1584" w:type="dxa"/>
            <w:shd w:val="clear" w:color="auto" w:fill="auto"/>
            <w:vAlign w:val="center"/>
          </w:tcPr>
          <w:p w14:paraId="035A1454" w14:textId="77777777" w:rsidR="00B85262" w:rsidRPr="00ED091D" w:rsidRDefault="00B85262" w:rsidP="000B380F">
            <w:pPr>
              <w:spacing w:after="0"/>
              <w:jc w:val="center"/>
              <w:rPr>
                <w:sz w:val="20"/>
                <w:szCs w:val="20"/>
              </w:rPr>
            </w:pPr>
            <w:r w:rsidRPr="00ED091D">
              <w:rPr>
                <w:sz w:val="20"/>
                <w:szCs w:val="20"/>
              </w:rPr>
              <w:t>kofinancování</w:t>
            </w:r>
          </w:p>
        </w:tc>
        <w:tc>
          <w:tcPr>
            <w:tcW w:w="1728" w:type="dxa"/>
            <w:shd w:val="clear" w:color="auto" w:fill="auto"/>
            <w:vAlign w:val="center"/>
          </w:tcPr>
          <w:p w14:paraId="31CA9629" w14:textId="77777777" w:rsidR="00B85262" w:rsidRPr="00ED091D" w:rsidRDefault="00B85262" w:rsidP="000B380F">
            <w:pPr>
              <w:spacing w:after="0"/>
              <w:jc w:val="center"/>
              <w:rPr>
                <w:sz w:val="20"/>
                <w:szCs w:val="20"/>
              </w:rPr>
            </w:pPr>
            <w:r w:rsidRPr="00ED091D">
              <w:rPr>
                <w:sz w:val="20"/>
                <w:szCs w:val="20"/>
              </w:rPr>
              <w:t>předfinancování</w:t>
            </w:r>
          </w:p>
        </w:tc>
        <w:tc>
          <w:tcPr>
            <w:tcW w:w="1742" w:type="dxa"/>
            <w:shd w:val="clear" w:color="auto" w:fill="auto"/>
            <w:vAlign w:val="center"/>
          </w:tcPr>
          <w:p w14:paraId="43EF6CD9" w14:textId="77777777" w:rsidR="00B85262" w:rsidRPr="00ED091D" w:rsidRDefault="00B85262" w:rsidP="000B380F">
            <w:pPr>
              <w:spacing w:after="0"/>
              <w:jc w:val="center"/>
              <w:rPr>
                <w:sz w:val="20"/>
                <w:szCs w:val="20"/>
              </w:rPr>
            </w:pPr>
          </w:p>
        </w:tc>
      </w:tr>
      <w:tr w:rsidR="00B85262" w:rsidRPr="00ED091D" w14:paraId="25183922" w14:textId="77777777" w:rsidTr="000B380F">
        <w:trPr>
          <w:trHeight w:val="266"/>
        </w:trPr>
        <w:tc>
          <w:tcPr>
            <w:tcW w:w="2316" w:type="dxa"/>
            <w:shd w:val="clear" w:color="auto" w:fill="auto"/>
          </w:tcPr>
          <w:p w14:paraId="65E897A9" w14:textId="77777777" w:rsidR="00B85262" w:rsidRPr="00ED091D" w:rsidRDefault="00B85262" w:rsidP="000B380F">
            <w:pPr>
              <w:spacing w:after="0"/>
              <w:jc w:val="both"/>
              <w:rPr>
                <w:sz w:val="20"/>
                <w:szCs w:val="20"/>
              </w:rPr>
            </w:pPr>
            <w:r w:rsidRPr="00ED091D">
              <w:rPr>
                <w:sz w:val="20"/>
                <w:szCs w:val="20"/>
              </w:rPr>
              <w:t>04 – Doprava</w:t>
            </w:r>
          </w:p>
        </w:tc>
        <w:tc>
          <w:tcPr>
            <w:tcW w:w="1584" w:type="dxa"/>
            <w:shd w:val="clear" w:color="auto" w:fill="auto"/>
            <w:vAlign w:val="bottom"/>
          </w:tcPr>
          <w:p w14:paraId="270F204A" w14:textId="77777777" w:rsidR="00B85262" w:rsidRPr="000A2685" w:rsidRDefault="00B85262" w:rsidP="000B380F">
            <w:pPr>
              <w:spacing w:after="0"/>
              <w:jc w:val="right"/>
              <w:rPr>
                <w:sz w:val="20"/>
                <w:szCs w:val="20"/>
              </w:rPr>
            </w:pPr>
            <w:r>
              <w:rPr>
                <w:sz w:val="20"/>
                <w:szCs w:val="20"/>
              </w:rPr>
              <w:t>322 497 617,02</w:t>
            </w:r>
          </w:p>
        </w:tc>
        <w:tc>
          <w:tcPr>
            <w:tcW w:w="1584" w:type="dxa"/>
            <w:shd w:val="clear" w:color="auto" w:fill="auto"/>
            <w:vAlign w:val="bottom"/>
          </w:tcPr>
          <w:p w14:paraId="0A566DF5" w14:textId="77777777" w:rsidR="00B85262" w:rsidRPr="000A2685" w:rsidRDefault="00B85262" w:rsidP="000B380F">
            <w:pPr>
              <w:spacing w:after="0"/>
              <w:jc w:val="right"/>
              <w:rPr>
                <w:sz w:val="20"/>
                <w:szCs w:val="20"/>
              </w:rPr>
            </w:pPr>
            <w:r>
              <w:rPr>
                <w:sz w:val="20"/>
                <w:szCs w:val="20"/>
              </w:rPr>
              <w:t>161 374 304,73</w:t>
            </w:r>
          </w:p>
        </w:tc>
        <w:tc>
          <w:tcPr>
            <w:tcW w:w="1728" w:type="dxa"/>
            <w:shd w:val="clear" w:color="auto" w:fill="auto"/>
            <w:vAlign w:val="bottom"/>
          </w:tcPr>
          <w:p w14:paraId="30C516E3" w14:textId="77777777" w:rsidR="00B85262" w:rsidRPr="000A2685" w:rsidRDefault="00B85262" w:rsidP="000B380F">
            <w:pPr>
              <w:spacing w:after="0"/>
              <w:jc w:val="right"/>
              <w:rPr>
                <w:sz w:val="20"/>
                <w:szCs w:val="20"/>
              </w:rPr>
            </w:pPr>
            <w:r w:rsidRPr="00567D52">
              <w:rPr>
                <w:sz w:val="20"/>
                <w:szCs w:val="20"/>
              </w:rPr>
              <w:t>1 019 424 341,56</w:t>
            </w:r>
          </w:p>
        </w:tc>
        <w:tc>
          <w:tcPr>
            <w:tcW w:w="1742" w:type="dxa"/>
            <w:shd w:val="clear" w:color="auto" w:fill="auto"/>
            <w:vAlign w:val="bottom"/>
          </w:tcPr>
          <w:p w14:paraId="140BD5DD" w14:textId="77777777" w:rsidR="00B85262" w:rsidRPr="000A2685" w:rsidRDefault="00B85262" w:rsidP="000B380F">
            <w:pPr>
              <w:spacing w:after="0"/>
              <w:jc w:val="right"/>
              <w:rPr>
                <w:sz w:val="20"/>
                <w:szCs w:val="20"/>
              </w:rPr>
            </w:pPr>
            <w:r>
              <w:rPr>
                <w:sz w:val="20"/>
                <w:szCs w:val="20"/>
              </w:rPr>
              <w:t>1 503 296 263,31</w:t>
            </w:r>
          </w:p>
        </w:tc>
      </w:tr>
      <w:tr w:rsidR="00B85262" w:rsidRPr="00ED091D" w14:paraId="15A13A6C" w14:textId="77777777" w:rsidTr="000B380F">
        <w:tc>
          <w:tcPr>
            <w:tcW w:w="2316" w:type="dxa"/>
            <w:shd w:val="clear" w:color="auto" w:fill="auto"/>
          </w:tcPr>
          <w:p w14:paraId="2D548985" w14:textId="77777777" w:rsidR="00B85262" w:rsidRPr="00ED091D" w:rsidRDefault="00B85262" w:rsidP="000B380F">
            <w:pPr>
              <w:spacing w:after="0"/>
              <w:jc w:val="both"/>
              <w:rPr>
                <w:sz w:val="20"/>
                <w:szCs w:val="20"/>
              </w:rPr>
            </w:pPr>
            <w:r w:rsidRPr="00ED091D">
              <w:rPr>
                <w:sz w:val="20"/>
                <w:szCs w:val="20"/>
              </w:rPr>
              <w:t>05 – Školství</w:t>
            </w:r>
          </w:p>
        </w:tc>
        <w:tc>
          <w:tcPr>
            <w:tcW w:w="1584" w:type="dxa"/>
            <w:shd w:val="clear" w:color="auto" w:fill="auto"/>
            <w:vAlign w:val="bottom"/>
          </w:tcPr>
          <w:p w14:paraId="1F2C87B0" w14:textId="77777777" w:rsidR="00B85262" w:rsidRPr="00ED091D" w:rsidRDefault="00B85262" w:rsidP="000B380F">
            <w:pPr>
              <w:spacing w:after="0"/>
              <w:jc w:val="right"/>
              <w:rPr>
                <w:sz w:val="20"/>
                <w:szCs w:val="20"/>
              </w:rPr>
            </w:pPr>
            <w:r w:rsidRPr="00567D52">
              <w:rPr>
                <w:sz w:val="20"/>
                <w:szCs w:val="20"/>
              </w:rPr>
              <w:t>52 859 212,96</w:t>
            </w:r>
          </w:p>
        </w:tc>
        <w:tc>
          <w:tcPr>
            <w:tcW w:w="1584" w:type="dxa"/>
            <w:shd w:val="clear" w:color="auto" w:fill="auto"/>
            <w:vAlign w:val="bottom"/>
          </w:tcPr>
          <w:p w14:paraId="0A5E32A6" w14:textId="77777777" w:rsidR="00B85262" w:rsidRPr="00ED091D" w:rsidRDefault="00B85262" w:rsidP="000B380F">
            <w:pPr>
              <w:spacing w:after="0"/>
              <w:jc w:val="right"/>
              <w:rPr>
                <w:sz w:val="20"/>
                <w:szCs w:val="20"/>
              </w:rPr>
            </w:pPr>
            <w:r w:rsidRPr="00567D52">
              <w:rPr>
                <w:sz w:val="20"/>
                <w:szCs w:val="20"/>
              </w:rPr>
              <w:t>57 465 881,58</w:t>
            </w:r>
          </w:p>
        </w:tc>
        <w:tc>
          <w:tcPr>
            <w:tcW w:w="1728" w:type="dxa"/>
            <w:shd w:val="clear" w:color="auto" w:fill="auto"/>
            <w:vAlign w:val="bottom"/>
          </w:tcPr>
          <w:p w14:paraId="5AC9B743" w14:textId="77777777" w:rsidR="00B85262" w:rsidRPr="00ED091D" w:rsidRDefault="00B85262" w:rsidP="000B380F">
            <w:pPr>
              <w:spacing w:after="0"/>
              <w:jc w:val="right"/>
              <w:rPr>
                <w:sz w:val="20"/>
                <w:szCs w:val="20"/>
              </w:rPr>
            </w:pPr>
            <w:r w:rsidRPr="00567D52">
              <w:rPr>
                <w:sz w:val="20"/>
                <w:szCs w:val="20"/>
              </w:rPr>
              <w:t>89 038 094,06</w:t>
            </w:r>
          </w:p>
        </w:tc>
        <w:tc>
          <w:tcPr>
            <w:tcW w:w="1742" w:type="dxa"/>
            <w:shd w:val="clear" w:color="auto" w:fill="auto"/>
            <w:vAlign w:val="bottom"/>
          </w:tcPr>
          <w:p w14:paraId="07885E95" w14:textId="77777777" w:rsidR="00B85262" w:rsidRPr="00ED091D" w:rsidRDefault="00B85262" w:rsidP="000B380F">
            <w:pPr>
              <w:spacing w:after="0"/>
              <w:jc w:val="right"/>
              <w:rPr>
                <w:sz w:val="20"/>
                <w:szCs w:val="20"/>
              </w:rPr>
            </w:pPr>
            <w:r w:rsidRPr="00567D52">
              <w:rPr>
                <w:sz w:val="20"/>
                <w:szCs w:val="20"/>
              </w:rPr>
              <w:t>199 363 188,60</w:t>
            </w:r>
          </w:p>
        </w:tc>
      </w:tr>
      <w:tr w:rsidR="00B85262" w:rsidRPr="00ED091D" w14:paraId="2A01C6CC" w14:textId="77777777" w:rsidTr="000B380F">
        <w:tc>
          <w:tcPr>
            <w:tcW w:w="2316" w:type="dxa"/>
            <w:shd w:val="clear" w:color="auto" w:fill="auto"/>
          </w:tcPr>
          <w:p w14:paraId="654AEEDD" w14:textId="77777777" w:rsidR="00B85262" w:rsidRPr="00ED091D" w:rsidRDefault="00B85262" w:rsidP="000B380F">
            <w:pPr>
              <w:spacing w:after="0"/>
              <w:jc w:val="both"/>
              <w:rPr>
                <w:sz w:val="20"/>
                <w:szCs w:val="20"/>
              </w:rPr>
            </w:pPr>
            <w:r w:rsidRPr="00ED091D">
              <w:rPr>
                <w:sz w:val="20"/>
                <w:szCs w:val="20"/>
              </w:rPr>
              <w:t>06 – Kultura a památková péče</w:t>
            </w:r>
          </w:p>
        </w:tc>
        <w:tc>
          <w:tcPr>
            <w:tcW w:w="1584" w:type="dxa"/>
            <w:shd w:val="clear" w:color="auto" w:fill="auto"/>
            <w:vAlign w:val="bottom"/>
          </w:tcPr>
          <w:p w14:paraId="06BA85E1" w14:textId="77777777" w:rsidR="00B85262" w:rsidRPr="00ED091D" w:rsidRDefault="00B85262" w:rsidP="000B380F">
            <w:pPr>
              <w:spacing w:after="0"/>
              <w:jc w:val="right"/>
              <w:rPr>
                <w:sz w:val="20"/>
                <w:szCs w:val="20"/>
              </w:rPr>
            </w:pPr>
            <w:r w:rsidRPr="00567D52">
              <w:rPr>
                <w:sz w:val="20"/>
                <w:szCs w:val="20"/>
              </w:rPr>
              <w:t>19 111 716,36</w:t>
            </w:r>
          </w:p>
        </w:tc>
        <w:tc>
          <w:tcPr>
            <w:tcW w:w="1584" w:type="dxa"/>
            <w:shd w:val="clear" w:color="auto" w:fill="auto"/>
            <w:vAlign w:val="bottom"/>
          </w:tcPr>
          <w:p w14:paraId="3CAECA4D" w14:textId="77777777" w:rsidR="00B85262" w:rsidRPr="00ED091D" w:rsidRDefault="00B85262" w:rsidP="000B380F">
            <w:pPr>
              <w:spacing w:after="0"/>
              <w:jc w:val="right"/>
              <w:rPr>
                <w:sz w:val="20"/>
                <w:szCs w:val="20"/>
              </w:rPr>
            </w:pPr>
            <w:r w:rsidRPr="00567D52">
              <w:rPr>
                <w:sz w:val="20"/>
                <w:szCs w:val="20"/>
              </w:rPr>
              <w:t>11 114 855,60</w:t>
            </w:r>
          </w:p>
        </w:tc>
        <w:tc>
          <w:tcPr>
            <w:tcW w:w="1728" w:type="dxa"/>
            <w:shd w:val="clear" w:color="auto" w:fill="auto"/>
            <w:vAlign w:val="bottom"/>
          </w:tcPr>
          <w:p w14:paraId="1893C357" w14:textId="77777777" w:rsidR="00B85262" w:rsidRPr="00ED091D" w:rsidRDefault="00B85262" w:rsidP="000B380F">
            <w:pPr>
              <w:spacing w:after="0"/>
              <w:jc w:val="right"/>
              <w:rPr>
                <w:sz w:val="20"/>
                <w:szCs w:val="20"/>
              </w:rPr>
            </w:pPr>
            <w:r w:rsidRPr="00567D52">
              <w:rPr>
                <w:sz w:val="20"/>
                <w:szCs w:val="20"/>
              </w:rPr>
              <w:t>36 975 699,97</w:t>
            </w:r>
          </w:p>
        </w:tc>
        <w:tc>
          <w:tcPr>
            <w:tcW w:w="1742" w:type="dxa"/>
            <w:shd w:val="clear" w:color="auto" w:fill="auto"/>
            <w:vAlign w:val="bottom"/>
          </w:tcPr>
          <w:p w14:paraId="77B9B280" w14:textId="77777777" w:rsidR="00B85262" w:rsidRPr="00ED091D" w:rsidRDefault="00B85262" w:rsidP="000B380F">
            <w:pPr>
              <w:spacing w:after="0"/>
              <w:jc w:val="right"/>
              <w:rPr>
                <w:sz w:val="20"/>
                <w:szCs w:val="20"/>
              </w:rPr>
            </w:pPr>
            <w:r w:rsidRPr="00567D52">
              <w:rPr>
                <w:sz w:val="20"/>
                <w:szCs w:val="20"/>
              </w:rPr>
              <w:t>67 202 271,93</w:t>
            </w:r>
          </w:p>
        </w:tc>
      </w:tr>
      <w:tr w:rsidR="00B85262" w:rsidRPr="00ED091D" w14:paraId="517E76CC" w14:textId="77777777" w:rsidTr="000B380F">
        <w:tc>
          <w:tcPr>
            <w:tcW w:w="2316" w:type="dxa"/>
            <w:shd w:val="clear" w:color="auto" w:fill="auto"/>
          </w:tcPr>
          <w:p w14:paraId="213441F9" w14:textId="77777777" w:rsidR="00B85262" w:rsidRPr="00ED091D" w:rsidRDefault="00B85262" w:rsidP="000B380F">
            <w:pPr>
              <w:spacing w:after="0"/>
              <w:jc w:val="both"/>
              <w:rPr>
                <w:sz w:val="20"/>
                <w:szCs w:val="20"/>
              </w:rPr>
            </w:pPr>
            <w:r>
              <w:rPr>
                <w:sz w:val="20"/>
                <w:szCs w:val="20"/>
              </w:rPr>
              <w:t>07 - Zdravotnictví</w:t>
            </w:r>
          </w:p>
        </w:tc>
        <w:tc>
          <w:tcPr>
            <w:tcW w:w="1584" w:type="dxa"/>
            <w:shd w:val="clear" w:color="auto" w:fill="auto"/>
            <w:vAlign w:val="bottom"/>
          </w:tcPr>
          <w:p w14:paraId="6CD3BA55" w14:textId="77777777" w:rsidR="00B85262" w:rsidRPr="00ED091D" w:rsidRDefault="00B85262" w:rsidP="000B380F">
            <w:pPr>
              <w:spacing w:after="0"/>
              <w:jc w:val="right"/>
              <w:rPr>
                <w:sz w:val="20"/>
                <w:szCs w:val="20"/>
              </w:rPr>
            </w:pPr>
            <w:r w:rsidRPr="00567D52">
              <w:rPr>
                <w:sz w:val="20"/>
                <w:szCs w:val="20"/>
              </w:rPr>
              <w:t>33 387 452,60</w:t>
            </w:r>
          </w:p>
        </w:tc>
        <w:tc>
          <w:tcPr>
            <w:tcW w:w="1584" w:type="dxa"/>
            <w:shd w:val="clear" w:color="auto" w:fill="auto"/>
            <w:vAlign w:val="bottom"/>
          </w:tcPr>
          <w:p w14:paraId="11A036A8" w14:textId="77777777" w:rsidR="00B85262" w:rsidRPr="00ED091D" w:rsidRDefault="00B85262" w:rsidP="000B380F">
            <w:pPr>
              <w:spacing w:after="0"/>
              <w:jc w:val="right"/>
              <w:rPr>
                <w:sz w:val="20"/>
                <w:szCs w:val="20"/>
              </w:rPr>
            </w:pPr>
          </w:p>
        </w:tc>
        <w:tc>
          <w:tcPr>
            <w:tcW w:w="1728" w:type="dxa"/>
            <w:shd w:val="clear" w:color="auto" w:fill="auto"/>
            <w:vAlign w:val="bottom"/>
          </w:tcPr>
          <w:p w14:paraId="4A5D9489" w14:textId="77777777" w:rsidR="00B85262" w:rsidRPr="00ED091D" w:rsidRDefault="00B85262" w:rsidP="000B380F">
            <w:pPr>
              <w:spacing w:after="0"/>
              <w:jc w:val="right"/>
              <w:rPr>
                <w:sz w:val="20"/>
                <w:szCs w:val="20"/>
              </w:rPr>
            </w:pPr>
          </w:p>
        </w:tc>
        <w:tc>
          <w:tcPr>
            <w:tcW w:w="1742" w:type="dxa"/>
            <w:shd w:val="clear" w:color="auto" w:fill="auto"/>
            <w:vAlign w:val="bottom"/>
          </w:tcPr>
          <w:p w14:paraId="03182CE1" w14:textId="77777777" w:rsidR="00B85262" w:rsidRPr="00ED091D" w:rsidRDefault="00B85262" w:rsidP="000B380F">
            <w:pPr>
              <w:spacing w:after="0"/>
              <w:jc w:val="right"/>
              <w:rPr>
                <w:sz w:val="20"/>
                <w:szCs w:val="20"/>
              </w:rPr>
            </w:pPr>
            <w:r w:rsidRPr="00567D52">
              <w:rPr>
                <w:sz w:val="20"/>
                <w:szCs w:val="20"/>
              </w:rPr>
              <w:t>33 387 452,60</w:t>
            </w:r>
          </w:p>
        </w:tc>
      </w:tr>
      <w:tr w:rsidR="00B85262" w:rsidRPr="00ED091D" w14:paraId="3C593307" w14:textId="77777777" w:rsidTr="000B380F">
        <w:tc>
          <w:tcPr>
            <w:tcW w:w="2316" w:type="dxa"/>
            <w:shd w:val="clear" w:color="auto" w:fill="auto"/>
          </w:tcPr>
          <w:p w14:paraId="7BA05FC0" w14:textId="77777777" w:rsidR="00B85262" w:rsidRPr="00ED091D" w:rsidRDefault="00B85262" w:rsidP="000B380F">
            <w:pPr>
              <w:spacing w:after="0"/>
              <w:jc w:val="both"/>
              <w:rPr>
                <w:sz w:val="20"/>
                <w:szCs w:val="20"/>
              </w:rPr>
            </w:pPr>
            <w:r w:rsidRPr="00ED091D">
              <w:rPr>
                <w:sz w:val="20"/>
                <w:szCs w:val="20"/>
              </w:rPr>
              <w:t>08 – Regionální rozvoj</w:t>
            </w:r>
          </w:p>
        </w:tc>
        <w:tc>
          <w:tcPr>
            <w:tcW w:w="1584" w:type="dxa"/>
            <w:shd w:val="clear" w:color="auto" w:fill="auto"/>
            <w:vAlign w:val="bottom"/>
          </w:tcPr>
          <w:p w14:paraId="52865251" w14:textId="77777777" w:rsidR="00B85262" w:rsidRPr="00ED091D" w:rsidRDefault="00B85262" w:rsidP="000B380F">
            <w:pPr>
              <w:spacing w:after="0"/>
              <w:jc w:val="right"/>
              <w:rPr>
                <w:sz w:val="20"/>
                <w:szCs w:val="20"/>
              </w:rPr>
            </w:pPr>
            <w:r>
              <w:rPr>
                <w:sz w:val="20"/>
                <w:szCs w:val="20"/>
              </w:rPr>
              <w:t>100 000,00</w:t>
            </w:r>
          </w:p>
        </w:tc>
        <w:tc>
          <w:tcPr>
            <w:tcW w:w="1584" w:type="dxa"/>
            <w:shd w:val="clear" w:color="auto" w:fill="auto"/>
            <w:vAlign w:val="bottom"/>
          </w:tcPr>
          <w:p w14:paraId="0610DA27" w14:textId="77777777" w:rsidR="00B85262" w:rsidRPr="00ED091D" w:rsidRDefault="00B85262" w:rsidP="000B380F">
            <w:pPr>
              <w:spacing w:after="0"/>
              <w:jc w:val="right"/>
              <w:rPr>
                <w:sz w:val="20"/>
                <w:szCs w:val="20"/>
              </w:rPr>
            </w:pPr>
            <w:r>
              <w:rPr>
                <w:sz w:val="20"/>
                <w:szCs w:val="20"/>
              </w:rPr>
              <w:t>1</w:t>
            </w:r>
            <w:r w:rsidRPr="00567D52">
              <w:rPr>
                <w:sz w:val="20"/>
                <w:szCs w:val="20"/>
              </w:rPr>
              <w:t>25 480,50</w:t>
            </w:r>
          </w:p>
        </w:tc>
        <w:tc>
          <w:tcPr>
            <w:tcW w:w="1728" w:type="dxa"/>
            <w:shd w:val="clear" w:color="auto" w:fill="auto"/>
            <w:vAlign w:val="bottom"/>
          </w:tcPr>
          <w:p w14:paraId="4F8DACC9" w14:textId="77777777" w:rsidR="00B85262" w:rsidRPr="00ED091D" w:rsidRDefault="00B85262" w:rsidP="000B380F">
            <w:pPr>
              <w:spacing w:after="0"/>
              <w:jc w:val="right"/>
              <w:rPr>
                <w:sz w:val="20"/>
                <w:szCs w:val="20"/>
              </w:rPr>
            </w:pPr>
            <w:r w:rsidRPr="00567D52">
              <w:rPr>
                <w:sz w:val="20"/>
                <w:szCs w:val="20"/>
              </w:rPr>
              <w:t>478 529,50</w:t>
            </w:r>
          </w:p>
        </w:tc>
        <w:tc>
          <w:tcPr>
            <w:tcW w:w="1742" w:type="dxa"/>
            <w:shd w:val="clear" w:color="auto" w:fill="auto"/>
            <w:vAlign w:val="bottom"/>
          </w:tcPr>
          <w:p w14:paraId="092A71B7" w14:textId="77777777" w:rsidR="00B85262" w:rsidRPr="00ED091D" w:rsidRDefault="00B85262" w:rsidP="000B380F">
            <w:pPr>
              <w:spacing w:after="0"/>
              <w:jc w:val="right"/>
              <w:rPr>
                <w:sz w:val="20"/>
                <w:szCs w:val="20"/>
              </w:rPr>
            </w:pPr>
            <w:r w:rsidRPr="00567D52">
              <w:rPr>
                <w:sz w:val="20"/>
                <w:szCs w:val="20"/>
              </w:rPr>
              <w:t>704 010,00</w:t>
            </w:r>
          </w:p>
        </w:tc>
      </w:tr>
      <w:tr w:rsidR="00B85262" w:rsidRPr="00ED091D" w14:paraId="0DE948C3" w14:textId="77777777" w:rsidTr="000B380F">
        <w:tc>
          <w:tcPr>
            <w:tcW w:w="2316" w:type="dxa"/>
            <w:shd w:val="clear" w:color="auto" w:fill="auto"/>
          </w:tcPr>
          <w:p w14:paraId="45075A33" w14:textId="77777777" w:rsidR="00B85262" w:rsidRPr="00ED091D" w:rsidRDefault="00B85262" w:rsidP="000B380F">
            <w:pPr>
              <w:spacing w:after="0"/>
              <w:jc w:val="both"/>
              <w:rPr>
                <w:sz w:val="20"/>
                <w:szCs w:val="20"/>
              </w:rPr>
            </w:pPr>
            <w:r w:rsidRPr="00ED091D">
              <w:rPr>
                <w:sz w:val="20"/>
                <w:szCs w:val="20"/>
              </w:rPr>
              <w:t>09 – Evropská integrace</w:t>
            </w:r>
          </w:p>
        </w:tc>
        <w:tc>
          <w:tcPr>
            <w:tcW w:w="1584" w:type="dxa"/>
            <w:shd w:val="clear" w:color="auto" w:fill="auto"/>
            <w:vAlign w:val="bottom"/>
          </w:tcPr>
          <w:p w14:paraId="461C3B61" w14:textId="77777777" w:rsidR="00B85262" w:rsidRPr="00ED091D" w:rsidRDefault="00B85262" w:rsidP="000B380F">
            <w:pPr>
              <w:spacing w:after="0"/>
              <w:jc w:val="right"/>
              <w:rPr>
                <w:sz w:val="20"/>
                <w:szCs w:val="20"/>
              </w:rPr>
            </w:pPr>
            <w:r w:rsidRPr="00567D52">
              <w:rPr>
                <w:sz w:val="20"/>
                <w:szCs w:val="20"/>
              </w:rPr>
              <w:t>267 966,67</w:t>
            </w:r>
          </w:p>
        </w:tc>
        <w:tc>
          <w:tcPr>
            <w:tcW w:w="1584" w:type="dxa"/>
            <w:shd w:val="clear" w:color="auto" w:fill="auto"/>
            <w:vAlign w:val="bottom"/>
          </w:tcPr>
          <w:p w14:paraId="441EE4CF" w14:textId="77777777" w:rsidR="00B85262" w:rsidRPr="00ED091D" w:rsidRDefault="00B85262" w:rsidP="000B380F">
            <w:pPr>
              <w:spacing w:after="0"/>
              <w:jc w:val="right"/>
              <w:rPr>
                <w:sz w:val="20"/>
                <w:szCs w:val="20"/>
              </w:rPr>
            </w:pPr>
            <w:r w:rsidRPr="00567D52">
              <w:rPr>
                <w:sz w:val="20"/>
                <w:szCs w:val="20"/>
              </w:rPr>
              <w:t>3 042 277,00</w:t>
            </w:r>
          </w:p>
        </w:tc>
        <w:tc>
          <w:tcPr>
            <w:tcW w:w="1728" w:type="dxa"/>
            <w:shd w:val="clear" w:color="auto" w:fill="auto"/>
            <w:vAlign w:val="bottom"/>
          </w:tcPr>
          <w:p w14:paraId="703CBA9A" w14:textId="77777777" w:rsidR="00B85262" w:rsidRPr="00ED091D" w:rsidRDefault="00B85262" w:rsidP="000B380F">
            <w:pPr>
              <w:spacing w:after="0"/>
              <w:jc w:val="right"/>
              <w:rPr>
                <w:sz w:val="20"/>
                <w:szCs w:val="20"/>
              </w:rPr>
            </w:pPr>
            <w:r w:rsidRPr="00567D52">
              <w:rPr>
                <w:sz w:val="20"/>
                <w:szCs w:val="20"/>
              </w:rPr>
              <w:t>7 423 117,82</w:t>
            </w:r>
          </w:p>
        </w:tc>
        <w:tc>
          <w:tcPr>
            <w:tcW w:w="1742" w:type="dxa"/>
            <w:shd w:val="clear" w:color="auto" w:fill="auto"/>
            <w:vAlign w:val="bottom"/>
          </w:tcPr>
          <w:p w14:paraId="64CFAB3E" w14:textId="77777777" w:rsidR="00B85262" w:rsidRPr="00ED091D" w:rsidRDefault="00B85262" w:rsidP="000B380F">
            <w:pPr>
              <w:spacing w:after="0"/>
              <w:jc w:val="right"/>
              <w:rPr>
                <w:sz w:val="20"/>
                <w:szCs w:val="20"/>
              </w:rPr>
            </w:pPr>
            <w:r w:rsidRPr="00567D52">
              <w:rPr>
                <w:sz w:val="20"/>
                <w:szCs w:val="20"/>
              </w:rPr>
              <w:t>10 733 361,49</w:t>
            </w:r>
          </w:p>
        </w:tc>
      </w:tr>
      <w:tr w:rsidR="00B85262" w:rsidRPr="00ED091D" w14:paraId="477D3773" w14:textId="77777777" w:rsidTr="000B380F">
        <w:tc>
          <w:tcPr>
            <w:tcW w:w="2316" w:type="dxa"/>
            <w:shd w:val="clear" w:color="auto" w:fill="auto"/>
          </w:tcPr>
          <w:p w14:paraId="49990F25" w14:textId="77777777" w:rsidR="00B85262" w:rsidRPr="00ED091D" w:rsidRDefault="00B85262" w:rsidP="000B380F">
            <w:pPr>
              <w:spacing w:after="0"/>
              <w:jc w:val="both"/>
              <w:rPr>
                <w:sz w:val="20"/>
                <w:szCs w:val="20"/>
              </w:rPr>
            </w:pPr>
            <w:r w:rsidRPr="00ED091D">
              <w:rPr>
                <w:sz w:val="20"/>
                <w:szCs w:val="20"/>
              </w:rPr>
              <w:t>10 – Životní prostředí a zemědělství</w:t>
            </w:r>
          </w:p>
        </w:tc>
        <w:tc>
          <w:tcPr>
            <w:tcW w:w="1584" w:type="dxa"/>
            <w:shd w:val="clear" w:color="auto" w:fill="auto"/>
            <w:vAlign w:val="bottom"/>
          </w:tcPr>
          <w:p w14:paraId="0FE6E206" w14:textId="77777777" w:rsidR="00B85262" w:rsidRPr="00ED091D" w:rsidRDefault="00B85262" w:rsidP="000B380F">
            <w:pPr>
              <w:spacing w:after="0"/>
              <w:jc w:val="right"/>
              <w:rPr>
                <w:sz w:val="20"/>
                <w:szCs w:val="20"/>
              </w:rPr>
            </w:pPr>
          </w:p>
        </w:tc>
        <w:tc>
          <w:tcPr>
            <w:tcW w:w="1584" w:type="dxa"/>
            <w:shd w:val="clear" w:color="auto" w:fill="auto"/>
            <w:vAlign w:val="bottom"/>
          </w:tcPr>
          <w:p w14:paraId="2779C304" w14:textId="77777777" w:rsidR="00B85262" w:rsidRPr="00ED091D" w:rsidRDefault="00B85262" w:rsidP="000B380F">
            <w:pPr>
              <w:spacing w:after="0"/>
              <w:jc w:val="right"/>
              <w:rPr>
                <w:sz w:val="20"/>
                <w:szCs w:val="20"/>
              </w:rPr>
            </w:pPr>
            <w:r w:rsidRPr="00567D52">
              <w:rPr>
                <w:sz w:val="20"/>
                <w:szCs w:val="20"/>
              </w:rPr>
              <w:t>17 580,00</w:t>
            </w:r>
          </w:p>
        </w:tc>
        <w:tc>
          <w:tcPr>
            <w:tcW w:w="1728" w:type="dxa"/>
            <w:shd w:val="clear" w:color="auto" w:fill="auto"/>
            <w:vAlign w:val="bottom"/>
          </w:tcPr>
          <w:p w14:paraId="053B4B32" w14:textId="77777777" w:rsidR="00B85262" w:rsidRPr="00ED091D" w:rsidRDefault="00B85262" w:rsidP="000B380F">
            <w:pPr>
              <w:spacing w:after="0"/>
              <w:jc w:val="right"/>
              <w:rPr>
                <w:sz w:val="20"/>
                <w:szCs w:val="20"/>
              </w:rPr>
            </w:pPr>
            <w:r w:rsidRPr="00567D52">
              <w:rPr>
                <w:sz w:val="20"/>
                <w:szCs w:val="20"/>
              </w:rPr>
              <w:t>2 844 478,68</w:t>
            </w:r>
          </w:p>
        </w:tc>
        <w:tc>
          <w:tcPr>
            <w:tcW w:w="1742" w:type="dxa"/>
            <w:shd w:val="clear" w:color="auto" w:fill="auto"/>
            <w:vAlign w:val="bottom"/>
          </w:tcPr>
          <w:p w14:paraId="4EC06F5E" w14:textId="77777777" w:rsidR="00B85262" w:rsidRPr="00ED091D" w:rsidRDefault="00B85262" w:rsidP="000B380F">
            <w:pPr>
              <w:spacing w:after="0"/>
              <w:jc w:val="right"/>
              <w:rPr>
                <w:sz w:val="20"/>
                <w:szCs w:val="20"/>
              </w:rPr>
            </w:pPr>
            <w:r w:rsidRPr="00567D52">
              <w:rPr>
                <w:sz w:val="20"/>
                <w:szCs w:val="20"/>
              </w:rPr>
              <w:t>2 862 058,68</w:t>
            </w:r>
          </w:p>
        </w:tc>
      </w:tr>
      <w:tr w:rsidR="00B85262" w:rsidRPr="00ED091D" w14:paraId="4C718B2A" w14:textId="77777777" w:rsidTr="000B380F">
        <w:tc>
          <w:tcPr>
            <w:tcW w:w="2316" w:type="dxa"/>
            <w:shd w:val="clear" w:color="auto" w:fill="auto"/>
          </w:tcPr>
          <w:p w14:paraId="29C50980" w14:textId="77777777" w:rsidR="00B85262" w:rsidRPr="00ED091D" w:rsidRDefault="00B85262" w:rsidP="000B380F">
            <w:pPr>
              <w:spacing w:after="0"/>
              <w:jc w:val="both"/>
              <w:rPr>
                <w:sz w:val="20"/>
                <w:szCs w:val="20"/>
              </w:rPr>
            </w:pPr>
            <w:r w:rsidRPr="00ED091D">
              <w:rPr>
                <w:sz w:val="20"/>
                <w:szCs w:val="20"/>
              </w:rPr>
              <w:t>17 – Sociální věci</w:t>
            </w:r>
          </w:p>
        </w:tc>
        <w:tc>
          <w:tcPr>
            <w:tcW w:w="1584" w:type="dxa"/>
            <w:shd w:val="clear" w:color="auto" w:fill="auto"/>
            <w:vAlign w:val="bottom"/>
          </w:tcPr>
          <w:p w14:paraId="070A3B5C" w14:textId="77777777" w:rsidR="00B85262" w:rsidRPr="00ED091D" w:rsidRDefault="00B85262" w:rsidP="000B380F">
            <w:pPr>
              <w:spacing w:after="0"/>
              <w:jc w:val="right"/>
              <w:rPr>
                <w:sz w:val="20"/>
                <w:szCs w:val="20"/>
              </w:rPr>
            </w:pPr>
          </w:p>
        </w:tc>
        <w:tc>
          <w:tcPr>
            <w:tcW w:w="1584" w:type="dxa"/>
            <w:shd w:val="clear" w:color="auto" w:fill="auto"/>
            <w:vAlign w:val="bottom"/>
          </w:tcPr>
          <w:p w14:paraId="2E93F351" w14:textId="77777777" w:rsidR="00B85262" w:rsidRPr="00ED091D" w:rsidRDefault="00B85262" w:rsidP="000B380F">
            <w:pPr>
              <w:spacing w:after="0"/>
              <w:jc w:val="right"/>
              <w:rPr>
                <w:sz w:val="20"/>
                <w:szCs w:val="20"/>
              </w:rPr>
            </w:pPr>
            <w:r w:rsidRPr="00567D52">
              <w:rPr>
                <w:sz w:val="20"/>
                <w:szCs w:val="20"/>
              </w:rPr>
              <w:t>11 688 100,80</w:t>
            </w:r>
          </w:p>
        </w:tc>
        <w:tc>
          <w:tcPr>
            <w:tcW w:w="1728" w:type="dxa"/>
            <w:shd w:val="clear" w:color="auto" w:fill="auto"/>
            <w:vAlign w:val="bottom"/>
          </w:tcPr>
          <w:p w14:paraId="7CEA3B6B" w14:textId="77777777" w:rsidR="00B85262" w:rsidRPr="00ED091D" w:rsidRDefault="00B85262" w:rsidP="000B380F">
            <w:pPr>
              <w:spacing w:after="0"/>
              <w:jc w:val="right"/>
              <w:rPr>
                <w:sz w:val="20"/>
                <w:szCs w:val="20"/>
              </w:rPr>
            </w:pPr>
            <w:r w:rsidRPr="00567D52">
              <w:rPr>
                <w:sz w:val="20"/>
                <w:szCs w:val="20"/>
              </w:rPr>
              <w:t>120 348 913,50</w:t>
            </w:r>
          </w:p>
        </w:tc>
        <w:tc>
          <w:tcPr>
            <w:tcW w:w="1742" w:type="dxa"/>
            <w:shd w:val="clear" w:color="auto" w:fill="auto"/>
            <w:vAlign w:val="bottom"/>
          </w:tcPr>
          <w:p w14:paraId="40F685A3" w14:textId="77777777" w:rsidR="00B85262" w:rsidRPr="00ED091D" w:rsidRDefault="00B85262" w:rsidP="000B380F">
            <w:pPr>
              <w:spacing w:after="0"/>
              <w:jc w:val="right"/>
              <w:rPr>
                <w:sz w:val="20"/>
                <w:szCs w:val="20"/>
              </w:rPr>
            </w:pPr>
            <w:r w:rsidRPr="00567D52">
              <w:rPr>
                <w:sz w:val="20"/>
                <w:szCs w:val="20"/>
              </w:rPr>
              <w:t>132 037 014,30</w:t>
            </w:r>
          </w:p>
        </w:tc>
      </w:tr>
      <w:tr w:rsidR="00B85262" w:rsidRPr="00ED091D" w14:paraId="63CB270B" w14:textId="77777777" w:rsidTr="000B380F">
        <w:tc>
          <w:tcPr>
            <w:tcW w:w="2316" w:type="dxa"/>
            <w:shd w:val="clear" w:color="auto" w:fill="auto"/>
          </w:tcPr>
          <w:p w14:paraId="3AF4B901" w14:textId="77777777" w:rsidR="00B85262" w:rsidRPr="00ED091D" w:rsidRDefault="00B85262" w:rsidP="000B380F">
            <w:pPr>
              <w:spacing w:after="0"/>
              <w:jc w:val="both"/>
              <w:rPr>
                <w:sz w:val="20"/>
                <w:szCs w:val="20"/>
              </w:rPr>
            </w:pPr>
            <w:r w:rsidRPr="00ED091D">
              <w:rPr>
                <w:sz w:val="20"/>
                <w:szCs w:val="20"/>
              </w:rPr>
              <w:t>26 – Veřejná mobilita</w:t>
            </w:r>
          </w:p>
        </w:tc>
        <w:tc>
          <w:tcPr>
            <w:tcW w:w="1584" w:type="dxa"/>
            <w:shd w:val="clear" w:color="auto" w:fill="auto"/>
            <w:vAlign w:val="bottom"/>
          </w:tcPr>
          <w:p w14:paraId="596A20AC" w14:textId="77777777" w:rsidR="00B85262" w:rsidRPr="00ED091D" w:rsidRDefault="00B85262" w:rsidP="000B380F">
            <w:pPr>
              <w:spacing w:after="0"/>
              <w:jc w:val="right"/>
              <w:rPr>
                <w:sz w:val="20"/>
                <w:szCs w:val="20"/>
              </w:rPr>
            </w:pPr>
            <w:r w:rsidRPr="00567D52">
              <w:rPr>
                <w:sz w:val="20"/>
                <w:szCs w:val="20"/>
              </w:rPr>
              <w:t>405 875,00</w:t>
            </w:r>
          </w:p>
        </w:tc>
        <w:tc>
          <w:tcPr>
            <w:tcW w:w="1584" w:type="dxa"/>
            <w:shd w:val="clear" w:color="auto" w:fill="auto"/>
            <w:vAlign w:val="bottom"/>
          </w:tcPr>
          <w:p w14:paraId="577440FF" w14:textId="77777777" w:rsidR="00B85262" w:rsidRPr="00ED091D" w:rsidRDefault="00B85262" w:rsidP="000B380F">
            <w:pPr>
              <w:spacing w:after="0"/>
              <w:jc w:val="right"/>
              <w:rPr>
                <w:sz w:val="20"/>
                <w:szCs w:val="20"/>
              </w:rPr>
            </w:pPr>
            <w:r w:rsidRPr="00567D52">
              <w:rPr>
                <w:sz w:val="20"/>
                <w:szCs w:val="20"/>
              </w:rPr>
              <w:t>2 468 694,03</w:t>
            </w:r>
          </w:p>
        </w:tc>
        <w:tc>
          <w:tcPr>
            <w:tcW w:w="1728" w:type="dxa"/>
            <w:shd w:val="clear" w:color="auto" w:fill="auto"/>
            <w:vAlign w:val="bottom"/>
          </w:tcPr>
          <w:p w14:paraId="21EE60AA" w14:textId="77777777" w:rsidR="00B85262" w:rsidRPr="00ED091D" w:rsidRDefault="00B85262" w:rsidP="000B380F">
            <w:pPr>
              <w:spacing w:after="0"/>
              <w:jc w:val="right"/>
              <w:rPr>
                <w:sz w:val="20"/>
                <w:szCs w:val="20"/>
              </w:rPr>
            </w:pPr>
          </w:p>
        </w:tc>
        <w:tc>
          <w:tcPr>
            <w:tcW w:w="1742" w:type="dxa"/>
            <w:shd w:val="clear" w:color="auto" w:fill="auto"/>
            <w:vAlign w:val="bottom"/>
          </w:tcPr>
          <w:p w14:paraId="50FF0E0F" w14:textId="77777777" w:rsidR="00B85262" w:rsidRPr="00ED091D" w:rsidRDefault="00B85262" w:rsidP="000B380F">
            <w:pPr>
              <w:spacing w:after="0"/>
              <w:jc w:val="right"/>
              <w:rPr>
                <w:sz w:val="20"/>
                <w:szCs w:val="20"/>
              </w:rPr>
            </w:pPr>
            <w:r w:rsidRPr="00567D52">
              <w:rPr>
                <w:sz w:val="20"/>
                <w:szCs w:val="20"/>
              </w:rPr>
              <w:t>2 874 569,03</w:t>
            </w:r>
          </w:p>
        </w:tc>
      </w:tr>
      <w:tr w:rsidR="00B85262" w:rsidRPr="00ED091D" w14:paraId="279E357C" w14:textId="77777777" w:rsidTr="000B380F">
        <w:tc>
          <w:tcPr>
            <w:tcW w:w="2316" w:type="dxa"/>
            <w:shd w:val="clear" w:color="auto" w:fill="auto"/>
          </w:tcPr>
          <w:p w14:paraId="03A5C9C9" w14:textId="77777777" w:rsidR="00B85262" w:rsidRPr="00ED091D" w:rsidRDefault="00B85262" w:rsidP="000B380F">
            <w:pPr>
              <w:spacing w:after="0"/>
              <w:jc w:val="both"/>
              <w:rPr>
                <w:sz w:val="20"/>
                <w:szCs w:val="20"/>
              </w:rPr>
            </w:pPr>
            <w:r w:rsidRPr="00ED091D">
              <w:rPr>
                <w:sz w:val="20"/>
                <w:szCs w:val="20"/>
              </w:rPr>
              <w:t>27 – Digitalizace</w:t>
            </w:r>
          </w:p>
        </w:tc>
        <w:tc>
          <w:tcPr>
            <w:tcW w:w="1584" w:type="dxa"/>
            <w:shd w:val="clear" w:color="auto" w:fill="auto"/>
            <w:vAlign w:val="bottom"/>
          </w:tcPr>
          <w:p w14:paraId="0A3AD002" w14:textId="77777777" w:rsidR="00B85262" w:rsidRPr="00ED091D" w:rsidRDefault="00B85262" w:rsidP="000B380F">
            <w:pPr>
              <w:spacing w:after="0"/>
              <w:jc w:val="right"/>
              <w:rPr>
                <w:sz w:val="20"/>
                <w:szCs w:val="20"/>
              </w:rPr>
            </w:pPr>
          </w:p>
        </w:tc>
        <w:tc>
          <w:tcPr>
            <w:tcW w:w="1584" w:type="dxa"/>
            <w:shd w:val="clear" w:color="auto" w:fill="auto"/>
            <w:vAlign w:val="bottom"/>
          </w:tcPr>
          <w:p w14:paraId="0D4A81BF" w14:textId="77777777" w:rsidR="00B85262" w:rsidRPr="00ED091D" w:rsidRDefault="00B85262" w:rsidP="000B380F">
            <w:pPr>
              <w:spacing w:after="0"/>
              <w:jc w:val="right"/>
              <w:rPr>
                <w:sz w:val="20"/>
                <w:szCs w:val="20"/>
              </w:rPr>
            </w:pPr>
            <w:r w:rsidRPr="00567D52">
              <w:rPr>
                <w:sz w:val="20"/>
                <w:szCs w:val="20"/>
              </w:rPr>
              <w:t>600 000,00</w:t>
            </w:r>
          </w:p>
        </w:tc>
        <w:tc>
          <w:tcPr>
            <w:tcW w:w="1728" w:type="dxa"/>
            <w:shd w:val="clear" w:color="auto" w:fill="auto"/>
            <w:vAlign w:val="bottom"/>
          </w:tcPr>
          <w:p w14:paraId="7E602585" w14:textId="77777777" w:rsidR="00B85262" w:rsidRPr="00ED091D" w:rsidRDefault="00B85262" w:rsidP="000B380F">
            <w:pPr>
              <w:spacing w:after="0"/>
              <w:jc w:val="right"/>
              <w:rPr>
                <w:sz w:val="20"/>
                <w:szCs w:val="20"/>
              </w:rPr>
            </w:pPr>
            <w:r w:rsidRPr="00567D52">
              <w:rPr>
                <w:sz w:val="20"/>
                <w:szCs w:val="20"/>
              </w:rPr>
              <w:t>3 400 000,00</w:t>
            </w:r>
          </w:p>
        </w:tc>
        <w:tc>
          <w:tcPr>
            <w:tcW w:w="1742" w:type="dxa"/>
            <w:shd w:val="clear" w:color="auto" w:fill="auto"/>
            <w:vAlign w:val="bottom"/>
          </w:tcPr>
          <w:p w14:paraId="498C54CE" w14:textId="77777777" w:rsidR="00B85262" w:rsidRPr="00ED091D" w:rsidRDefault="00B85262" w:rsidP="000B380F">
            <w:pPr>
              <w:spacing w:after="0"/>
              <w:jc w:val="right"/>
              <w:rPr>
                <w:sz w:val="20"/>
                <w:szCs w:val="20"/>
              </w:rPr>
            </w:pPr>
            <w:r w:rsidRPr="00567D52">
              <w:rPr>
                <w:sz w:val="20"/>
                <w:szCs w:val="20"/>
              </w:rPr>
              <w:t>4 000 000,00</w:t>
            </w:r>
          </w:p>
        </w:tc>
      </w:tr>
      <w:tr w:rsidR="00B85262" w:rsidRPr="00ED091D" w14:paraId="58F8C684" w14:textId="77777777" w:rsidTr="000B380F">
        <w:tc>
          <w:tcPr>
            <w:tcW w:w="2316" w:type="dxa"/>
            <w:shd w:val="clear" w:color="auto" w:fill="auto"/>
          </w:tcPr>
          <w:p w14:paraId="7B7696EE" w14:textId="77777777" w:rsidR="00B85262" w:rsidRPr="00ED091D" w:rsidRDefault="00B85262" w:rsidP="000B380F">
            <w:pPr>
              <w:spacing w:after="0"/>
              <w:jc w:val="both"/>
              <w:rPr>
                <w:sz w:val="20"/>
                <w:szCs w:val="20"/>
              </w:rPr>
            </w:pPr>
            <w:r w:rsidRPr="00ED091D">
              <w:rPr>
                <w:sz w:val="20"/>
                <w:szCs w:val="20"/>
              </w:rPr>
              <w:t>Celkem</w:t>
            </w:r>
          </w:p>
        </w:tc>
        <w:tc>
          <w:tcPr>
            <w:tcW w:w="1584" w:type="dxa"/>
            <w:shd w:val="clear" w:color="auto" w:fill="auto"/>
            <w:vAlign w:val="center"/>
          </w:tcPr>
          <w:p w14:paraId="0F893435" w14:textId="77777777" w:rsidR="00B85262" w:rsidRPr="000A2685" w:rsidRDefault="00B85262" w:rsidP="000B380F">
            <w:pPr>
              <w:spacing w:after="0"/>
              <w:jc w:val="right"/>
              <w:rPr>
                <w:sz w:val="20"/>
                <w:szCs w:val="20"/>
              </w:rPr>
            </w:pPr>
            <w:r>
              <w:rPr>
                <w:rFonts w:ascii="Calibri" w:hAnsi="Calibri" w:cs="Calibri"/>
                <w:color w:val="000000"/>
                <w:sz w:val="20"/>
                <w:szCs w:val="20"/>
              </w:rPr>
              <w:t>428 629 840,61</w:t>
            </w:r>
          </w:p>
        </w:tc>
        <w:tc>
          <w:tcPr>
            <w:tcW w:w="1584" w:type="dxa"/>
            <w:shd w:val="clear" w:color="auto" w:fill="auto"/>
            <w:vAlign w:val="center"/>
          </w:tcPr>
          <w:p w14:paraId="1DA47F97" w14:textId="77777777" w:rsidR="00B85262" w:rsidRPr="000A2685" w:rsidRDefault="00B85262" w:rsidP="000B380F">
            <w:pPr>
              <w:spacing w:after="0"/>
              <w:jc w:val="right"/>
              <w:rPr>
                <w:sz w:val="20"/>
                <w:szCs w:val="20"/>
              </w:rPr>
            </w:pPr>
            <w:r>
              <w:rPr>
                <w:rFonts w:ascii="Calibri" w:hAnsi="Calibri" w:cs="Calibri"/>
                <w:color w:val="000000"/>
                <w:sz w:val="20"/>
                <w:szCs w:val="20"/>
              </w:rPr>
              <w:t>247 897 174,24</w:t>
            </w:r>
          </w:p>
        </w:tc>
        <w:tc>
          <w:tcPr>
            <w:tcW w:w="1728" w:type="dxa"/>
            <w:shd w:val="clear" w:color="auto" w:fill="auto"/>
            <w:vAlign w:val="center"/>
          </w:tcPr>
          <w:p w14:paraId="4ABF8F62" w14:textId="77777777" w:rsidR="00B85262" w:rsidRPr="000A2685" w:rsidRDefault="00B85262" w:rsidP="000B380F">
            <w:pPr>
              <w:spacing w:after="0"/>
              <w:jc w:val="right"/>
              <w:rPr>
                <w:sz w:val="20"/>
                <w:szCs w:val="20"/>
              </w:rPr>
            </w:pPr>
            <w:r>
              <w:rPr>
                <w:rFonts w:ascii="Calibri" w:hAnsi="Calibri" w:cs="Calibri"/>
                <w:color w:val="000000"/>
                <w:sz w:val="20"/>
                <w:szCs w:val="20"/>
              </w:rPr>
              <w:t>1 279 933 175,09</w:t>
            </w:r>
          </w:p>
        </w:tc>
        <w:tc>
          <w:tcPr>
            <w:tcW w:w="1742" w:type="dxa"/>
            <w:shd w:val="clear" w:color="auto" w:fill="auto"/>
            <w:vAlign w:val="center"/>
          </w:tcPr>
          <w:p w14:paraId="31EC800A" w14:textId="77777777" w:rsidR="00B85262" w:rsidRPr="000A2685" w:rsidRDefault="00B85262" w:rsidP="000B380F">
            <w:pPr>
              <w:spacing w:after="0"/>
              <w:jc w:val="right"/>
              <w:rPr>
                <w:sz w:val="20"/>
                <w:szCs w:val="20"/>
              </w:rPr>
            </w:pPr>
            <w:r>
              <w:rPr>
                <w:rFonts w:ascii="Calibri" w:hAnsi="Calibri" w:cs="Calibri"/>
                <w:color w:val="000000"/>
                <w:sz w:val="20"/>
                <w:szCs w:val="20"/>
              </w:rPr>
              <w:t>1 956 460 189,94</w:t>
            </w:r>
          </w:p>
        </w:tc>
      </w:tr>
    </w:tbl>
    <w:p w14:paraId="5AE48959" w14:textId="77777777" w:rsidR="00B85262" w:rsidRDefault="00B85262" w:rsidP="00B85262">
      <w:pPr>
        <w:spacing w:after="0" w:line="240" w:lineRule="auto"/>
        <w:jc w:val="both"/>
        <w:rPr>
          <w:b/>
          <w:bCs/>
        </w:rPr>
      </w:pPr>
    </w:p>
    <w:p w14:paraId="0C75FB8B" w14:textId="77777777" w:rsidR="00B85262" w:rsidRDefault="00B85262" w:rsidP="00B85262">
      <w:pPr>
        <w:spacing w:after="0" w:line="240" w:lineRule="auto"/>
        <w:jc w:val="both"/>
        <w:rPr>
          <w:b/>
          <w:bCs/>
        </w:rPr>
      </w:pPr>
      <w:r w:rsidRPr="00EB5822">
        <w:rPr>
          <w:b/>
          <w:bCs/>
        </w:rPr>
        <w:t>§ 6409 –</w:t>
      </w:r>
      <w:r>
        <w:rPr>
          <w:b/>
          <w:bCs/>
        </w:rPr>
        <w:t xml:space="preserve"> Spolu</w:t>
      </w:r>
      <w:r w:rsidRPr="00EB5822">
        <w:rPr>
          <w:b/>
          <w:bCs/>
        </w:rPr>
        <w:t>financování projektů spolufinancovaných z EU/EHP a ostatní související výdaje s projekty EU/EHP</w:t>
      </w:r>
      <w:r>
        <w:rPr>
          <w:b/>
          <w:bCs/>
        </w:rPr>
        <w:t xml:space="preserve"> – hrazené z úvěru přijatého od EIB</w:t>
      </w:r>
    </w:p>
    <w:p w14:paraId="253FBFAA" w14:textId="77777777" w:rsidR="00B85262" w:rsidRPr="00EB5822" w:rsidRDefault="00B85262" w:rsidP="00B85262">
      <w:pPr>
        <w:spacing w:after="0" w:line="240" w:lineRule="auto"/>
        <w:jc w:val="both"/>
      </w:pPr>
      <w:r w:rsidRPr="00EB5822">
        <w:t>Finanční prostředky slouží ke kofinancování (financování</w:t>
      </w:r>
      <w:r>
        <w:t xml:space="preserve"> krajského podílu projektů EU/EHP) </w:t>
      </w:r>
      <w:r w:rsidRPr="00EB5822">
        <w:t>a proplacení neuznatelných výdajů projektů EU</w:t>
      </w:r>
      <w:r>
        <w:t>/EHP</w:t>
      </w:r>
      <w:r w:rsidRPr="00EB5822">
        <w:t xml:space="preserve">. </w:t>
      </w:r>
    </w:p>
    <w:p w14:paraId="19A8B121" w14:textId="77777777" w:rsidR="00B85262" w:rsidRPr="00125E9E" w:rsidRDefault="00B85262" w:rsidP="00B85262">
      <w:pPr>
        <w:spacing w:before="120" w:after="120" w:line="240" w:lineRule="auto"/>
        <w:jc w:val="both"/>
      </w:pPr>
      <w:r w:rsidRPr="00EB5822">
        <w:t>Plán finančních prostředků na financování projektů EU</w:t>
      </w:r>
      <w:r>
        <w:t>/EHP</w:t>
      </w:r>
      <w:r w:rsidRPr="00EB5822">
        <w:t xml:space="preserve"> je zpracován do Zásobníku projektů spolufinancovaných z EU/EHP a národních zdrojů, který je průběžně aktualizován a schvalován Zastupitelstvem Středočeského kraje. </w:t>
      </w:r>
    </w:p>
    <w:p w14:paraId="77A006B1" w14:textId="77777777" w:rsidR="00B85262" w:rsidRDefault="00B85262" w:rsidP="00B85262">
      <w:pPr>
        <w:spacing w:after="0" w:line="240" w:lineRule="auto"/>
        <w:jc w:val="both"/>
      </w:pPr>
      <w:r w:rsidRPr="00EB5822">
        <w:t xml:space="preserve">Prostředky na předfinancování a kofinancování projektů spolufinancovaných z EU/EHP </w:t>
      </w:r>
      <w:r w:rsidRPr="00EB5822">
        <w:rPr>
          <w:bCs/>
        </w:rPr>
        <w:t>a ostatní související výdaje s projekty</w:t>
      </w:r>
      <w:r>
        <w:t xml:space="preserve"> EU/EHP byly v roce 2021 převedeny do kapitoly 04 </w:t>
      </w:r>
      <w:r w:rsidRPr="00EB5822">
        <w:t>–</w:t>
      </w:r>
      <w:r>
        <w:t xml:space="preserve"> Doprava</w:t>
      </w:r>
      <w:r w:rsidRPr="00EB5822">
        <w:t xml:space="preserve"> ve výši </w:t>
      </w:r>
      <w:r>
        <w:t>94 411 332,90</w:t>
      </w:r>
      <w:r w:rsidRPr="00EB5822">
        <w:t xml:space="preserve"> Kč</w:t>
      </w:r>
      <w:r>
        <w:t>, z toho UZ 777 – neuznatelné výdaje 74 204 023,36 Kč a UZ 888 – kofinancování 20 207 309,54 Kč.</w:t>
      </w:r>
    </w:p>
    <w:p w14:paraId="512DADFC" w14:textId="77777777" w:rsidR="00B85262" w:rsidRPr="00EB5822" w:rsidRDefault="00B85262" w:rsidP="00B85262">
      <w:pPr>
        <w:spacing w:after="0"/>
      </w:pPr>
    </w:p>
    <w:p w14:paraId="607875C9" w14:textId="77777777" w:rsidR="00B85262" w:rsidRPr="008E2D48" w:rsidRDefault="00B85262" w:rsidP="00B85262">
      <w:pPr>
        <w:spacing w:after="0"/>
        <w:rPr>
          <w:b/>
          <w:bCs/>
          <w:sz w:val="24"/>
          <w:szCs w:val="24"/>
        </w:rPr>
      </w:pPr>
      <w:r w:rsidRPr="008E2D48">
        <w:rPr>
          <w:b/>
          <w:sz w:val="24"/>
          <w:szCs w:val="24"/>
          <w:u w:val="single"/>
        </w:rPr>
        <w:t>Předfinancování a kofinancování projektů spolufinancovaných z národních zdrojů a ostatní související výdaje s projekty z národních zdrojů</w:t>
      </w:r>
      <w:r w:rsidRPr="008E2D48">
        <w:rPr>
          <w:b/>
          <w:bCs/>
          <w:sz w:val="24"/>
          <w:szCs w:val="24"/>
        </w:rPr>
        <w:t xml:space="preserve"> </w:t>
      </w:r>
    </w:p>
    <w:p w14:paraId="084B86AD" w14:textId="77777777" w:rsidR="00B85262" w:rsidRDefault="00B85262" w:rsidP="00B85262">
      <w:pPr>
        <w:spacing w:after="0" w:line="240" w:lineRule="auto"/>
        <w:rPr>
          <w:b/>
          <w:bCs/>
        </w:rPr>
      </w:pPr>
      <w:r w:rsidRPr="00EB5822">
        <w:rPr>
          <w:b/>
          <w:bCs/>
        </w:rPr>
        <w:t>§ 6409 – Předfinancování a kofinancování projektů spolufinancovaných z národních zdrojů a ostatní související výdaje</w:t>
      </w:r>
      <w:r>
        <w:rPr>
          <w:b/>
          <w:bCs/>
        </w:rPr>
        <w:t xml:space="preserve"> s projekty z národních zdrojů </w:t>
      </w:r>
    </w:p>
    <w:p w14:paraId="547A487A" w14:textId="77777777" w:rsidR="00B85262" w:rsidRPr="00477C18" w:rsidRDefault="00B85262" w:rsidP="00B85262">
      <w:pPr>
        <w:spacing w:after="0" w:line="240" w:lineRule="auto"/>
        <w:jc w:val="both"/>
        <w:rPr>
          <w:b/>
          <w:bCs/>
        </w:rPr>
      </w:pPr>
      <w:r w:rsidRPr="00EB5822">
        <w:t>Finanční prostředky slouží ke kofinancování (financo</w:t>
      </w:r>
      <w:r>
        <w:t>vání krajského podílu),</w:t>
      </w:r>
      <w:r w:rsidRPr="00EB5822">
        <w:t xml:space="preserve"> předfinancování a proplacení neuznatelných výdajů projektů </w:t>
      </w:r>
      <w:r>
        <w:t xml:space="preserve">spolufinancovaných </w:t>
      </w:r>
      <w:r w:rsidRPr="00EB5822">
        <w:t xml:space="preserve">z národních zdrojů. Následně po ukončení projektu, případně etapy projektu, a obdržení finančních prostředků od příslušného ministerstva jsou prostředky zapůjčené z prostředků na předfinancování vráceny kapitolou, která si je zapůjčila, zpět do kapitoly 23 – Ostatní. </w:t>
      </w:r>
    </w:p>
    <w:p w14:paraId="723B61E9" w14:textId="77777777" w:rsidR="00B85262" w:rsidRPr="00EB5822" w:rsidRDefault="00B85262" w:rsidP="00B85262">
      <w:pPr>
        <w:spacing w:after="0"/>
        <w:jc w:val="both"/>
      </w:pPr>
      <w:r w:rsidRPr="00EB5822">
        <w:t xml:space="preserve">Plán finančních prostředků na financování projektů spolufinancovaných z národních zdrojů je zpracován do Zásobníku projektů spolufinancovaných z EU/EHP a národních zdrojů, který je průběžně aktualizován a schvalován Zastupitelstvem Středočeského kraje. </w:t>
      </w:r>
    </w:p>
    <w:p w14:paraId="6B280F91" w14:textId="77777777" w:rsidR="00B85262" w:rsidRPr="00EB5822" w:rsidRDefault="00B85262" w:rsidP="00B85262">
      <w:pPr>
        <w:spacing w:after="0"/>
        <w:jc w:val="both"/>
      </w:pPr>
      <w:r w:rsidRPr="00EB5822">
        <w:t>Prostředky na předfinancování a kofinancování projektů spolufinancovaných z národních zdrojů byly v</w:t>
      </w:r>
      <w:r>
        <w:t> </w:t>
      </w:r>
      <w:r w:rsidRPr="00EB5822">
        <w:t>ro</w:t>
      </w:r>
      <w:r>
        <w:t>ce</w:t>
      </w:r>
      <w:r w:rsidRPr="00EB5822">
        <w:t xml:space="preserve"> 202</w:t>
      </w:r>
      <w:r>
        <w:t>1</w:t>
      </w:r>
      <w:r w:rsidRPr="00EB5822">
        <w:t>:</w:t>
      </w:r>
    </w:p>
    <w:p w14:paraId="7AEA2B7A" w14:textId="77777777" w:rsidR="00B85262" w:rsidRPr="00EB5822" w:rsidRDefault="00B85262" w:rsidP="00B85262">
      <w:pPr>
        <w:numPr>
          <w:ilvl w:val="0"/>
          <w:numId w:val="15"/>
        </w:numPr>
        <w:spacing w:after="0"/>
        <w:ind w:left="360"/>
        <w:jc w:val="both"/>
        <w:rPr>
          <w:bCs/>
        </w:rPr>
      </w:pPr>
      <w:r w:rsidRPr="00EB5822">
        <w:rPr>
          <w:bCs/>
        </w:rPr>
        <w:t xml:space="preserve">posíleny o </w:t>
      </w:r>
      <w:r>
        <w:rPr>
          <w:bCs/>
        </w:rPr>
        <w:t>32 113 842,70</w:t>
      </w:r>
      <w:r w:rsidRPr="00EB5822">
        <w:rPr>
          <w:bCs/>
        </w:rPr>
        <w:t xml:space="preserve"> Kč:</w:t>
      </w:r>
    </w:p>
    <w:p w14:paraId="0492E6A1" w14:textId="77777777" w:rsidR="00B85262" w:rsidRDefault="00B85262" w:rsidP="00B85262">
      <w:pPr>
        <w:spacing w:after="0"/>
        <w:jc w:val="both"/>
      </w:pPr>
      <w:r>
        <w:t xml:space="preserve">31 833 565,91 </w:t>
      </w:r>
      <w:r w:rsidRPr="00EB5822">
        <w:t xml:space="preserve">Kč </w:t>
      </w:r>
      <w:r w:rsidRPr="00EB5822">
        <w:rPr>
          <w:bCs/>
        </w:rPr>
        <w:t>na základě usnesení č. 00</w:t>
      </w:r>
      <w:r>
        <w:rPr>
          <w:bCs/>
        </w:rPr>
        <w:t>7</w:t>
      </w:r>
      <w:r w:rsidRPr="00EB5822">
        <w:rPr>
          <w:bCs/>
        </w:rPr>
        <w:t>-</w:t>
      </w:r>
      <w:r>
        <w:rPr>
          <w:bCs/>
        </w:rPr>
        <w:t>06</w:t>
      </w:r>
      <w:r w:rsidRPr="00EB5822">
        <w:rPr>
          <w:bCs/>
        </w:rPr>
        <w:t>/202</w:t>
      </w:r>
      <w:r>
        <w:rPr>
          <w:bCs/>
        </w:rPr>
        <w:t>1</w:t>
      </w:r>
      <w:r w:rsidRPr="00EB5822">
        <w:rPr>
          <w:bCs/>
        </w:rPr>
        <w:t>/</w:t>
      </w:r>
      <w:r>
        <w:rPr>
          <w:bCs/>
        </w:rPr>
        <w:t>Z</w:t>
      </w:r>
      <w:r w:rsidRPr="00EB5822">
        <w:rPr>
          <w:bCs/>
        </w:rPr>
        <w:t>K ze dne 2</w:t>
      </w:r>
      <w:r>
        <w:rPr>
          <w:bCs/>
        </w:rPr>
        <w:t>6</w:t>
      </w:r>
      <w:r w:rsidRPr="00EB5822">
        <w:rPr>
          <w:bCs/>
        </w:rPr>
        <w:t xml:space="preserve">. </w:t>
      </w:r>
      <w:r>
        <w:rPr>
          <w:bCs/>
        </w:rPr>
        <w:t>4</w:t>
      </w:r>
      <w:r w:rsidRPr="00EB5822">
        <w:rPr>
          <w:bCs/>
        </w:rPr>
        <w:t>. 202</w:t>
      </w:r>
      <w:r>
        <w:rPr>
          <w:bCs/>
        </w:rPr>
        <w:t>1</w:t>
      </w:r>
      <w:r w:rsidRPr="00EB5822">
        <w:rPr>
          <w:bCs/>
        </w:rPr>
        <w:t xml:space="preserve"> </w:t>
      </w:r>
      <w:r w:rsidRPr="00EB5822">
        <w:t>(</w:t>
      </w:r>
      <w:r>
        <w:t>rozdělení</w:t>
      </w:r>
      <w:r w:rsidRPr="00EB5822">
        <w:t xml:space="preserve"> zůstatku hospodaření Středočeského kraje z roku 20</w:t>
      </w:r>
      <w:r>
        <w:t>20),</w:t>
      </w:r>
    </w:p>
    <w:p w14:paraId="12A652FB" w14:textId="77777777" w:rsidR="00B85262" w:rsidRDefault="00B85262" w:rsidP="00B85262">
      <w:pPr>
        <w:spacing w:after="0"/>
        <w:jc w:val="both"/>
        <w:rPr>
          <w:bCs/>
        </w:rPr>
      </w:pPr>
      <w:r>
        <w:rPr>
          <w:bCs/>
        </w:rPr>
        <w:t>280 276,79</w:t>
      </w:r>
      <w:r w:rsidRPr="00EB5822">
        <w:rPr>
          <w:bCs/>
        </w:rPr>
        <w:t xml:space="preserve"> Kč dle usnesení č. 02</w:t>
      </w:r>
      <w:r>
        <w:rPr>
          <w:bCs/>
        </w:rPr>
        <w:t>4</w:t>
      </w:r>
      <w:r w:rsidRPr="00EB5822">
        <w:rPr>
          <w:bCs/>
        </w:rPr>
        <w:t>-1</w:t>
      </w:r>
      <w:r>
        <w:rPr>
          <w:bCs/>
        </w:rPr>
        <w:t>7</w:t>
      </w:r>
      <w:r w:rsidRPr="00EB5822">
        <w:rPr>
          <w:bCs/>
        </w:rPr>
        <w:t>/202</w:t>
      </w:r>
      <w:r>
        <w:rPr>
          <w:bCs/>
        </w:rPr>
        <w:t>1</w:t>
      </w:r>
      <w:r w:rsidRPr="00EB5822">
        <w:rPr>
          <w:bCs/>
        </w:rPr>
        <w:t xml:space="preserve">/RK ze dne </w:t>
      </w:r>
      <w:r>
        <w:rPr>
          <w:bCs/>
        </w:rPr>
        <w:t>15</w:t>
      </w:r>
      <w:r w:rsidRPr="00EB5822">
        <w:rPr>
          <w:bCs/>
        </w:rPr>
        <w:t>. 4. 202</w:t>
      </w:r>
      <w:r>
        <w:rPr>
          <w:bCs/>
        </w:rPr>
        <w:t>1, č. 035-30/2021/RK ze dne 29. 7. 2021, č. 076-30/2021/RK ze dne 29. 7. 2021 a č. 075-42/2021/RK ze dne 11. 11. 2021</w:t>
      </w:r>
    </w:p>
    <w:p w14:paraId="11CA2C45" w14:textId="77777777" w:rsidR="00B85262" w:rsidRPr="00EB5822" w:rsidRDefault="00B85262" w:rsidP="00B85262">
      <w:pPr>
        <w:spacing w:after="0"/>
        <w:jc w:val="both"/>
      </w:pPr>
      <w:r>
        <w:t>b</w:t>
      </w:r>
      <w:r w:rsidRPr="00EB5822">
        <w:t xml:space="preserve">) čerpány ve výši </w:t>
      </w:r>
      <w:r>
        <w:t>27 674 539,66</w:t>
      </w:r>
      <w:r w:rsidRPr="00EB5822">
        <w:t xml:space="preserve"> Kč, z této částky čerpaly kapitoly:</w:t>
      </w:r>
    </w:p>
    <w:tbl>
      <w:tblPr>
        <w:tblW w:w="0" w:type="auto"/>
        <w:tblInd w:w="108" w:type="dxa"/>
        <w:tblLook w:val="04A0" w:firstRow="1" w:lastRow="0" w:firstColumn="1" w:lastColumn="0" w:noHBand="0" w:noVBand="1"/>
      </w:tblPr>
      <w:tblGrid>
        <w:gridCol w:w="3011"/>
        <w:gridCol w:w="1412"/>
        <w:gridCol w:w="1560"/>
        <w:gridCol w:w="1559"/>
        <w:gridCol w:w="1412"/>
      </w:tblGrid>
      <w:tr w:rsidR="00B85262" w:rsidRPr="00ED519C" w14:paraId="0E58CF4F" w14:textId="77777777" w:rsidTr="000B380F">
        <w:tc>
          <w:tcPr>
            <w:tcW w:w="3011" w:type="dxa"/>
            <w:shd w:val="clear" w:color="auto" w:fill="auto"/>
          </w:tcPr>
          <w:p w14:paraId="141118AE" w14:textId="77777777" w:rsidR="00B85262" w:rsidRPr="00ED519C" w:rsidRDefault="00B85262" w:rsidP="000B380F">
            <w:pPr>
              <w:spacing w:after="0"/>
              <w:jc w:val="both"/>
              <w:rPr>
                <w:sz w:val="20"/>
                <w:szCs w:val="20"/>
              </w:rPr>
            </w:pPr>
          </w:p>
        </w:tc>
        <w:tc>
          <w:tcPr>
            <w:tcW w:w="1412" w:type="dxa"/>
          </w:tcPr>
          <w:p w14:paraId="6EEC74DE" w14:textId="77777777" w:rsidR="00B85262" w:rsidRPr="00ED519C" w:rsidRDefault="00B85262" w:rsidP="000B380F">
            <w:pPr>
              <w:spacing w:after="0"/>
              <w:jc w:val="center"/>
              <w:rPr>
                <w:sz w:val="20"/>
                <w:szCs w:val="20"/>
              </w:rPr>
            </w:pPr>
            <w:r w:rsidRPr="00ED519C">
              <w:rPr>
                <w:sz w:val="20"/>
                <w:szCs w:val="20"/>
              </w:rPr>
              <w:t>UZ 711</w:t>
            </w:r>
          </w:p>
        </w:tc>
        <w:tc>
          <w:tcPr>
            <w:tcW w:w="1560" w:type="dxa"/>
            <w:shd w:val="clear" w:color="auto" w:fill="auto"/>
            <w:vAlign w:val="center"/>
          </w:tcPr>
          <w:p w14:paraId="004C688E" w14:textId="77777777" w:rsidR="00B85262" w:rsidRPr="00ED519C" w:rsidRDefault="00B85262" w:rsidP="000B380F">
            <w:pPr>
              <w:spacing w:after="0"/>
              <w:jc w:val="center"/>
              <w:rPr>
                <w:sz w:val="20"/>
                <w:szCs w:val="20"/>
              </w:rPr>
            </w:pPr>
            <w:r w:rsidRPr="00ED519C">
              <w:rPr>
                <w:sz w:val="20"/>
                <w:szCs w:val="20"/>
              </w:rPr>
              <w:t>UZ 811</w:t>
            </w:r>
          </w:p>
        </w:tc>
        <w:tc>
          <w:tcPr>
            <w:tcW w:w="1559" w:type="dxa"/>
            <w:shd w:val="clear" w:color="auto" w:fill="auto"/>
            <w:vAlign w:val="center"/>
          </w:tcPr>
          <w:p w14:paraId="0E53C576" w14:textId="77777777" w:rsidR="00B85262" w:rsidRPr="00ED519C" w:rsidRDefault="00B85262" w:rsidP="000B380F">
            <w:pPr>
              <w:spacing w:after="0"/>
              <w:jc w:val="center"/>
              <w:rPr>
                <w:sz w:val="20"/>
                <w:szCs w:val="20"/>
              </w:rPr>
            </w:pPr>
            <w:r w:rsidRPr="00ED519C">
              <w:rPr>
                <w:sz w:val="20"/>
                <w:szCs w:val="20"/>
              </w:rPr>
              <w:t>UZ 911</w:t>
            </w:r>
          </w:p>
        </w:tc>
        <w:tc>
          <w:tcPr>
            <w:tcW w:w="1412" w:type="dxa"/>
            <w:shd w:val="clear" w:color="auto" w:fill="auto"/>
            <w:vAlign w:val="center"/>
          </w:tcPr>
          <w:p w14:paraId="3ECB0A59" w14:textId="77777777" w:rsidR="00B85262" w:rsidRPr="00ED519C" w:rsidRDefault="00B85262" w:rsidP="000B380F">
            <w:pPr>
              <w:spacing w:after="0"/>
              <w:jc w:val="center"/>
              <w:rPr>
                <w:sz w:val="20"/>
                <w:szCs w:val="20"/>
              </w:rPr>
            </w:pPr>
            <w:r w:rsidRPr="00ED519C">
              <w:rPr>
                <w:sz w:val="20"/>
                <w:szCs w:val="20"/>
              </w:rPr>
              <w:t>Celkem</w:t>
            </w:r>
          </w:p>
        </w:tc>
      </w:tr>
      <w:tr w:rsidR="00B85262" w:rsidRPr="00ED519C" w14:paraId="526E7189" w14:textId="77777777" w:rsidTr="000B380F">
        <w:trPr>
          <w:trHeight w:val="376"/>
        </w:trPr>
        <w:tc>
          <w:tcPr>
            <w:tcW w:w="3011" w:type="dxa"/>
            <w:shd w:val="clear" w:color="auto" w:fill="auto"/>
          </w:tcPr>
          <w:p w14:paraId="0015C0A0" w14:textId="77777777" w:rsidR="00B85262" w:rsidRPr="00ED519C" w:rsidRDefault="00B85262" w:rsidP="000B380F">
            <w:pPr>
              <w:spacing w:after="0"/>
              <w:jc w:val="both"/>
              <w:rPr>
                <w:sz w:val="20"/>
                <w:szCs w:val="20"/>
              </w:rPr>
            </w:pPr>
          </w:p>
        </w:tc>
        <w:tc>
          <w:tcPr>
            <w:tcW w:w="1412" w:type="dxa"/>
          </w:tcPr>
          <w:p w14:paraId="5D8B7312" w14:textId="77777777" w:rsidR="00B85262" w:rsidRPr="00ED519C" w:rsidRDefault="00B85262" w:rsidP="000B380F">
            <w:pPr>
              <w:spacing w:after="0"/>
              <w:jc w:val="center"/>
              <w:rPr>
                <w:sz w:val="20"/>
                <w:szCs w:val="20"/>
              </w:rPr>
            </w:pPr>
            <w:r w:rsidRPr="00ED519C">
              <w:rPr>
                <w:sz w:val="20"/>
                <w:szCs w:val="20"/>
              </w:rPr>
              <w:t>neuznatelné náklady</w:t>
            </w:r>
          </w:p>
        </w:tc>
        <w:tc>
          <w:tcPr>
            <w:tcW w:w="1560" w:type="dxa"/>
            <w:shd w:val="clear" w:color="auto" w:fill="auto"/>
            <w:vAlign w:val="center"/>
          </w:tcPr>
          <w:p w14:paraId="49CA552D" w14:textId="77777777" w:rsidR="00B85262" w:rsidRPr="00ED519C" w:rsidRDefault="00B85262" w:rsidP="000B380F">
            <w:pPr>
              <w:spacing w:after="0"/>
              <w:jc w:val="center"/>
              <w:rPr>
                <w:sz w:val="20"/>
                <w:szCs w:val="20"/>
              </w:rPr>
            </w:pPr>
            <w:r w:rsidRPr="00ED519C">
              <w:rPr>
                <w:sz w:val="20"/>
                <w:szCs w:val="20"/>
              </w:rPr>
              <w:t>kofinancování</w:t>
            </w:r>
          </w:p>
        </w:tc>
        <w:tc>
          <w:tcPr>
            <w:tcW w:w="1559" w:type="dxa"/>
            <w:shd w:val="clear" w:color="auto" w:fill="auto"/>
            <w:vAlign w:val="center"/>
          </w:tcPr>
          <w:p w14:paraId="72328C71" w14:textId="77777777" w:rsidR="00B85262" w:rsidRPr="00ED519C" w:rsidRDefault="00B85262" w:rsidP="000B380F">
            <w:pPr>
              <w:spacing w:after="0"/>
              <w:jc w:val="center"/>
              <w:rPr>
                <w:sz w:val="20"/>
                <w:szCs w:val="20"/>
              </w:rPr>
            </w:pPr>
            <w:r w:rsidRPr="00ED519C">
              <w:rPr>
                <w:sz w:val="20"/>
                <w:szCs w:val="20"/>
              </w:rPr>
              <w:t>předfinancování</w:t>
            </w:r>
          </w:p>
        </w:tc>
        <w:tc>
          <w:tcPr>
            <w:tcW w:w="1412" w:type="dxa"/>
            <w:shd w:val="clear" w:color="auto" w:fill="auto"/>
            <w:vAlign w:val="center"/>
          </w:tcPr>
          <w:p w14:paraId="1842B6E0" w14:textId="77777777" w:rsidR="00B85262" w:rsidRPr="00ED519C" w:rsidRDefault="00B85262" w:rsidP="000B380F">
            <w:pPr>
              <w:spacing w:after="0"/>
              <w:jc w:val="center"/>
              <w:rPr>
                <w:sz w:val="20"/>
                <w:szCs w:val="20"/>
              </w:rPr>
            </w:pPr>
          </w:p>
        </w:tc>
      </w:tr>
      <w:tr w:rsidR="00B85262" w:rsidRPr="00ED519C" w14:paraId="29A3A7E7" w14:textId="77777777" w:rsidTr="000B380F">
        <w:tc>
          <w:tcPr>
            <w:tcW w:w="3011" w:type="dxa"/>
            <w:shd w:val="clear" w:color="auto" w:fill="auto"/>
          </w:tcPr>
          <w:p w14:paraId="72067D84" w14:textId="77777777" w:rsidR="00B85262" w:rsidRPr="00ED519C" w:rsidRDefault="00B85262" w:rsidP="000B380F">
            <w:pPr>
              <w:spacing w:after="0"/>
              <w:rPr>
                <w:sz w:val="20"/>
                <w:szCs w:val="20"/>
              </w:rPr>
            </w:pPr>
            <w:r w:rsidRPr="00430B53">
              <w:rPr>
                <w:sz w:val="20"/>
                <w:szCs w:val="20"/>
              </w:rPr>
              <w:t>04 - Doprava</w:t>
            </w:r>
          </w:p>
        </w:tc>
        <w:tc>
          <w:tcPr>
            <w:tcW w:w="1412" w:type="dxa"/>
          </w:tcPr>
          <w:p w14:paraId="7E0A2E9B" w14:textId="77777777" w:rsidR="00B85262" w:rsidRPr="00ED519C" w:rsidRDefault="00B85262" w:rsidP="000B380F">
            <w:pPr>
              <w:spacing w:after="0"/>
              <w:jc w:val="right"/>
              <w:rPr>
                <w:sz w:val="20"/>
                <w:szCs w:val="20"/>
              </w:rPr>
            </w:pPr>
            <w:r w:rsidRPr="00430B53">
              <w:rPr>
                <w:sz w:val="20"/>
                <w:szCs w:val="20"/>
              </w:rPr>
              <w:t>3 264 999,20</w:t>
            </w:r>
          </w:p>
        </w:tc>
        <w:tc>
          <w:tcPr>
            <w:tcW w:w="1560" w:type="dxa"/>
            <w:shd w:val="clear" w:color="auto" w:fill="auto"/>
          </w:tcPr>
          <w:p w14:paraId="67AAE1AC" w14:textId="77777777" w:rsidR="00B85262" w:rsidRPr="00ED519C" w:rsidRDefault="00B85262" w:rsidP="000B380F">
            <w:pPr>
              <w:spacing w:after="0"/>
              <w:jc w:val="right"/>
              <w:rPr>
                <w:sz w:val="20"/>
                <w:szCs w:val="20"/>
              </w:rPr>
            </w:pPr>
            <w:r w:rsidRPr="00430B53">
              <w:rPr>
                <w:sz w:val="20"/>
                <w:szCs w:val="20"/>
              </w:rPr>
              <w:t>0,00</w:t>
            </w:r>
          </w:p>
        </w:tc>
        <w:tc>
          <w:tcPr>
            <w:tcW w:w="1559" w:type="dxa"/>
            <w:shd w:val="clear" w:color="auto" w:fill="auto"/>
          </w:tcPr>
          <w:p w14:paraId="21A07CF2" w14:textId="77777777" w:rsidR="00B85262" w:rsidRPr="00ED519C" w:rsidRDefault="00B85262" w:rsidP="000B380F">
            <w:pPr>
              <w:spacing w:after="0"/>
              <w:jc w:val="right"/>
              <w:rPr>
                <w:sz w:val="20"/>
                <w:szCs w:val="20"/>
              </w:rPr>
            </w:pPr>
            <w:r w:rsidRPr="00430B53">
              <w:rPr>
                <w:sz w:val="20"/>
                <w:szCs w:val="20"/>
              </w:rPr>
              <w:t>0,00</w:t>
            </w:r>
          </w:p>
        </w:tc>
        <w:tc>
          <w:tcPr>
            <w:tcW w:w="1412" w:type="dxa"/>
            <w:shd w:val="clear" w:color="auto" w:fill="auto"/>
          </w:tcPr>
          <w:p w14:paraId="24E61440" w14:textId="77777777" w:rsidR="00B85262" w:rsidRPr="00ED519C" w:rsidRDefault="00B85262" w:rsidP="000B380F">
            <w:pPr>
              <w:spacing w:after="0"/>
              <w:jc w:val="right"/>
              <w:rPr>
                <w:sz w:val="20"/>
                <w:szCs w:val="20"/>
              </w:rPr>
            </w:pPr>
            <w:r w:rsidRPr="00430B53">
              <w:rPr>
                <w:sz w:val="20"/>
                <w:szCs w:val="20"/>
              </w:rPr>
              <w:t>3 264 999,20</w:t>
            </w:r>
          </w:p>
        </w:tc>
      </w:tr>
      <w:tr w:rsidR="00B85262" w:rsidRPr="00ED519C" w14:paraId="0AA14C50" w14:textId="77777777" w:rsidTr="000B380F">
        <w:tc>
          <w:tcPr>
            <w:tcW w:w="3011" w:type="dxa"/>
            <w:shd w:val="clear" w:color="auto" w:fill="auto"/>
          </w:tcPr>
          <w:p w14:paraId="066D1BCB" w14:textId="77777777" w:rsidR="00B85262" w:rsidRPr="00ED519C" w:rsidRDefault="00B85262" w:rsidP="000B380F">
            <w:pPr>
              <w:spacing w:after="0"/>
              <w:rPr>
                <w:sz w:val="20"/>
                <w:szCs w:val="20"/>
              </w:rPr>
            </w:pPr>
            <w:r w:rsidRPr="00430B53">
              <w:rPr>
                <w:sz w:val="20"/>
                <w:szCs w:val="20"/>
              </w:rPr>
              <w:t>05 – Školství</w:t>
            </w:r>
          </w:p>
        </w:tc>
        <w:tc>
          <w:tcPr>
            <w:tcW w:w="1412" w:type="dxa"/>
          </w:tcPr>
          <w:p w14:paraId="22CFEA2E" w14:textId="77777777" w:rsidR="00B85262" w:rsidRPr="00ED519C" w:rsidRDefault="00B85262" w:rsidP="000B380F">
            <w:pPr>
              <w:spacing w:after="0"/>
              <w:jc w:val="right"/>
              <w:rPr>
                <w:sz w:val="20"/>
                <w:szCs w:val="20"/>
              </w:rPr>
            </w:pPr>
            <w:r w:rsidRPr="00430B53">
              <w:rPr>
                <w:sz w:val="20"/>
                <w:szCs w:val="20"/>
              </w:rPr>
              <w:t>0,00</w:t>
            </w:r>
          </w:p>
        </w:tc>
        <w:tc>
          <w:tcPr>
            <w:tcW w:w="1560" w:type="dxa"/>
            <w:shd w:val="clear" w:color="auto" w:fill="auto"/>
          </w:tcPr>
          <w:p w14:paraId="1D57995D" w14:textId="77777777" w:rsidR="00B85262" w:rsidRPr="00ED519C" w:rsidRDefault="00B85262" w:rsidP="000B380F">
            <w:pPr>
              <w:spacing w:after="0"/>
              <w:jc w:val="right"/>
              <w:rPr>
                <w:sz w:val="20"/>
                <w:szCs w:val="20"/>
              </w:rPr>
            </w:pPr>
            <w:r w:rsidRPr="00430B53">
              <w:rPr>
                <w:sz w:val="20"/>
                <w:szCs w:val="20"/>
              </w:rPr>
              <w:t>988 664,90</w:t>
            </w:r>
          </w:p>
        </w:tc>
        <w:tc>
          <w:tcPr>
            <w:tcW w:w="1559" w:type="dxa"/>
            <w:shd w:val="clear" w:color="auto" w:fill="auto"/>
          </w:tcPr>
          <w:p w14:paraId="44A35688" w14:textId="77777777" w:rsidR="00B85262" w:rsidRPr="00ED519C" w:rsidRDefault="00B85262" w:rsidP="000B380F">
            <w:pPr>
              <w:spacing w:after="0"/>
              <w:jc w:val="right"/>
              <w:rPr>
                <w:sz w:val="20"/>
                <w:szCs w:val="20"/>
              </w:rPr>
            </w:pPr>
            <w:r w:rsidRPr="00430B53">
              <w:rPr>
                <w:sz w:val="20"/>
                <w:szCs w:val="20"/>
              </w:rPr>
              <w:t>7 665 674,94</w:t>
            </w:r>
          </w:p>
        </w:tc>
        <w:tc>
          <w:tcPr>
            <w:tcW w:w="1412" w:type="dxa"/>
            <w:shd w:val="clear" w:color="auto" w:fill="auto"/>
          </w:tcPr>
          <w:p w14:paraId="493B7FC4" w14:textId="77777777" w:rsidR="00B85262" w:rsidRPr="00ED519C" w:rsidRDefault="00B85262" w:rsidP="000B380F">
            <w:pPr>
              <w:spacing w:after="0"/>
              <w:jc w:val="right"/>
              <w:rPr>
                <w:sz w:val="20"/>
                <w:szCs w:val="20"/>
              </w:rPr>
            </w:pPr>
            <w:r w:rsidRPr="00430B53">
              <w:rPr>
                <w:sz w:val="20"/>
                <w:szCs w:val="20"/>
              </w:rPr>
              <w:t>8 654 339,84</w:t>
            </w:r>
          </w:p>
        </w:tc>
      </w:tr>
      <w:tr w:rsidR="00B85262" w:rsidRPr="00ED519C" w14:paraId="6F0F54E2" w14:textId="77777777" w:rsidTr="000B380F">
        <w:tc>
          <w:tcPr>
            <w:tcW w:w="3011" w:type="dxa"/>
            <w:shd w:val="clear" w:color="auto" w:fill="auto"/>
          </w:tcPr>
          <w:p w14:paraId="68F93ED3" w14:textId="77777777" w:rsidR="00B85262" w:rsidRPr="00ED519C" w:rsidRDefault="00B85262" w:rsidP="000B380F">
            <w:pPr>
              <w:spacing w:after="0"/>
              <w:rPr>
                <w:sz w:val="20"/>
                <w:szCs w:val="20"/>
              </w:rPr>
            </w:pPr>
            <w:r w:rsidRPr="00430B53">
              <w:rPr>
                <w:sz w:val="20"/>
                <w:szCs w:val="20"/>
              </w:rPr>
              <w:t>06 – Kultura a památková péče</w:t>
            </w:r>
          </w:p>
        </w:tc>
        <w:tc>
          <w:tcPr>
            <w:tcW w:w="1412" w:type="dxa"/>
          </w:tcPr>
          <w:p w14:paraId="3CEC1379" w14:textId="77777777" w:rsidR="00B85262" w:rsidRPr="00ED519C" w:rsidRDefault="00B85262" w:rsidP="000B380F">
            <w:pPr>
              <w:spacing w:after="0"/>
              <w:jc w:val="right"/>
              <w:rPr>
                <w:sz w:val="20"/>
                <w:szCs w:val="20"/>
              </w:rPr>
            </w:pPr>
            <w:r w:rsidRPr="00430B53">
              <w:rPr>
                <w:sz w:val="20"/>
                <w:szCs w:val="20"/>
              </w:rPr>
              <w:t>80 412,26</w:t>
            </w:r>
          </w:p>
        </w:tc>
        <w:tc>
          <w:tcPr>
            <w:tcW w:w="1560" w:type="dxa"/>
            <w:shd w:val="clear" w:color="auto" w:fill="auto"/>
          </w:tcPr>
          <w:p w14:paraId="47B3D53C" w14:textId="77777777" w:rsidR="00B85262" w:rsidRPr="00ED519C" w:rsidRDefault="00B85262" w:rsidP="000B380F">
            <w:pPr>
              <w:spacing w:after="0"/>
              <w:jc w:val="right"/>
              <w:rPr>
                <w:sz w:val="20"/>
                <w:szCs w:val="20"/>
              </w:rPr>
            </w:pPr>
            <w:r w:rsidRPr="00430B53">
              <w:rPr>
                <w:sz w:val="20"/>
                <w:szCs w:val="20"/>
              </w:rPr>
              <w:t>9 091 521,35</w:t>
            </w:r>
          </w:p>
        </w:tc>
        <w:tc>
          <w:tcPr>
            <w:tcW w:w="1559" w:type="dxa"/>
            <w:shd w:val="clear" w:color="auto" w:fill="auto"/>
          </w:tcPr>
          <w:p w14:paraId="59083530" w14:textId="77777777" w:rsidR="00B85262" w:rsidRPr="00ED519C" w:rsidRDefault="00B85262" w:rsidP="000B380F">
            <w:pPr>
              <w:spacing w:after="0"/>
              <w:jc w:val="right"/>
              <w:rPr>
                <w:sz w:val="20"/>
                <w:szCs w:val="20"/>
              </w:rPr>
            </w:pPr>
          </w:p>
        </w:tc>
        <w:tc>
          <w:tcPr>
            <w:tcW w:w="1412" w:type="dxa"/>
            <w:shd w:val="clear" w:color="auto" w:fill="auto"/>
          </w:tcPr>
          <w:p w14:paraId="2AED5CD6" w14:textId="77777777" w:rsidR="00B85262" w:rsidRPr="00ED519C" w:rsidRDefault="00B85262" w:rsidP="000B380F">
            <w:pPr>
              <w:spacing w:after="0"/>
              <w:jc w:val="right"/>
              <w:rPr>
                <w:sz w:val="20"/>
                <w:szCs w:val="20"/>
              </w:rPr>
            </w:pPr>
            <w:r w:rsidRPr="00430B53">
              <w:rPr>
                <w:sz w:val="20"/>
                <w:szCs w:val="20"/>
              </w:rPr>
              <w:t>9 171 933,61</w:t>
            </w:r>
          </w:p>
        </w:tc>
      </w:tr>
      <w:tr w:rsidR="00B85262" w:rsidRPr="00ED519C" w14:paraId="763B4EF9" w14:textId="77777777" w:rsidTr="000B380F">
        <w:tc>
          <w:tcPr>
            <w:tcW w:w="3011" w:type="dxa"/>
            <w:shd w:val="clear" w:color="auto" w:fill="auto"/>
          </w:tcPr>
          <w:p w14:paraId="3A384575" w14:textId="77777777" w:rsidR="00B85262" w:rsidRPr="00ED519C" w:rsidRDefault="00B85262" w:rsidP="000B380F">
            <w:pPr>
              <w:spacing w:after="0"/>
              <w:rPr>
                <w:sz w:val="20"/>
                <w:szCs w:val="20"/>
              </w:rPr>
            </w:pPr>
            <w:r w:rsidRPr="00430B53">
              <w:rPr>
                <w:sz w:val="20"/>
                <w:szCs w:val="20"/>
              </w:rPr>
              <w:t>09 – Evropská integrace</w:t>
            </w:r>
          </w:p>
        </w:tc>
        <w:tc>
          <w:tcPr>
            <w:tcW w:w="1412" w:type="dxa"/>
          </w:tcPr>
          <w:p w14:paraId="1BCD6DF3" w14:textId="77777777" w:rsidR="00B85262" w:rsidRPr="00ED519C" w:rsidRDefault="00B85262" w:rsidP="000B380F">
            <w:pPr>
              <w:spacing w:after="0"/>
              <w:jc w:val="right"/>
              <w:rPr>
                <w:sz w:val="20"/>
                <w:szCs w:val="20"/>
              </w:rPr>
            </w:pPr>
            <w:r w:rsidRPr="00430B53">
              <w:rPr>
                <w:sz w:val="20"/>
                <w:szCs w:val="20"/>
              </w:rPr>
              <w:t>0,00</w:t>
            </w:r>
          </w:p>
        </w:tc>
        <w:tc>
          <w:tcPr>
            <w:tcW w:w="1560" w:type="dxa"/>
            <w:shd w:val="clear" w:color="auto" w:fill="auto"/>
          </w:tcPr>
          <w:p w14:paraId="32FFD1F4" w14:textId="77777777" w:rsidR="00B85262" w:rsidRPr="00ED519C" w:rsidRDefault="00B85262" w:rsidP="000B380F">
            <w:pPr>
              <w:spacing w:after="0"/>
              <w:jc w:val="right"/>
              <w:rPr>
                <w:sz w:val="20"/>
                <w:szCs w:val="20"/>
              </w:rPr>
            </w:pPr>
            <w:r w:rsidRPr="00430B53">
              <w:rPr>
                <w:sz w:val="20"/>
                <w:szCs w:val="20"/>
              </w:rPr>
              <w:t>644 4</w:t>
            </w:r>
            <w:r>
              <w:rPr>
                <w:sz w:val="20"/>
                <w:szCs w:val="20"/>
              </w:rPr>
              <w:t>7</w:t>
            </w:r>
            <w:r w:rsidRPr="00430B53">
              <w:rPr>
                <w:sz w:val="20"/>
                <w:szCs w:val="20"/>
              </w:rPr>
              <w:t>8,51</w:t>
            </w:r>
          </w:p>
        </w:tc>
        <w:tc>
          <w:tcPr>
            <w:tcW w:w="1559" w:type="dxa"/>
            <w:shd w:val="clear" w:color="auto" w:fill="auto"/>
          </w:tcPr>
          <w:p w14:paraId="1B264CD8" w14:textId="77777777" w:rsidR="00B85262" w:rsidRPr="00ED519C" w:rsidRDefault="00B85262" w:rsidP="000B380F">
            <w:pPr>
              <w:spacing w:after="0"/>
              <w:jc w:val="right"/>
              <w:rPr>
                <w:sz w:val="20"/>
                <w:szCs w:val="20"/>
              </w:rPr>
            </w:pPr>
            <w:r w:rsidRPr="00430B53">
              <w:rPr>
                <w:sz w:val="20"/>
                <w:szCs w:val="20"/>
              </w:rPr>
              <w:t>0,00</w:t>
            </w:r>
          </w:p>
        </w:tc>
        <w:tc>
          <w:tcPr>
            <w:tcW w:w="1412" w:type="dxa"/>
            <w:shd w:val="clear" w:color="auto" w:fill="auto"/>
          </w:tcPr>
          <w:p w14:paraId="275EADB9" w14:textId="77777777" w:rsidR="00B85262" w:rsidRPr="00ED519C" w:rsidRDefault="00B85262" w:rsidP="000B380F">
            <w:pPr>
              <w:spacing w:after="0"/>
              <w:jc w:val="right"/>
              <w:rPr>
                <w:sz w:val="20"/>
                <w:szCs w:val="20"/>
              </w:rPr>
            </w:pPr>
            <w:r w:rsidRPr="00430B53">
              <w:rPr>
                <w:sz w:val="20"/>
                <w:szCs w:val="20"/>
              </w:rPr>
              <w:t>644 4</w:t>
            </w:r>
            <w:r>
              <w:rPr>
                <w:sz w:val="20"/>
                <w:szCs w:val="20"/>
              </w:rPr>
              <w:t>7</w:t>
            </w:r>
            <w:r w:rsidRPr="00430B53">
              <w:rPr>
                <w:sz w:val="20"/>
                <w:szCs w:val="20"/>
              </w:rPr>
              <w:t>8,51</w:t>
            </w:r>
          </w:p>
        </w:tc>
      </w:tr>
      <w:tr w:rsidR="00B85262" w:rsidRPr="00ED519C" w14:paraId="3374C83A" w14:textId="77777777" w:rsidTr="000B380F">
        <w:tc>
          <w:tcPr>
            <w:tcW w:w="3011" w:type="dxa"/>
            <w:shd w:val="clear" w:color="auto" w:fill="auto"/>
          </w:tcPr>
          <w:p w14:paraId="5C518C35" w14:textId="77777777" w:rsidR="00B85262" w:rsidRPr="00ED519C" w:rsidRDefault="00B85262" w:rsidP="000B380F">
            <w:pPr>
              <w:spacing w:after="0"/>
              <w:rPr>
                <w:sz w:val="20"/>
                <w:szCs w:val="20"/>
              </w:rPr>
            </w:pPr>
            <w:r w:rsidRPr="00430B53">
              <w:rPr>
                <w:sz w:val="20"/>
                <w:szCs w:val="20"/>
              </w:rPr>
              <w:t>17 – Sociální věci</w:t>
            </w:r>
          </w:p>
        </w:tc>
        <w:tc>
          <w:tcPr>
            <w:tcW w:w="1412" w:type="dxa"/>
          </w:tcPr>
          <w:p w14:paraId="3F7CC0DE" w14:textId="77777777" w:rsidR="00B85262" w:rsidRPr="00ED519C" w:rsidRDefault="00B85262" w:rsidP="000B380F">
            <w:pPr>
              <w:spacing w:after="0"/>
              <w:jc w:val="right"/>
              <w:rPr>
                <w:sz w:val="20"/>
                <w:szCs w:val="20"/>
              </w:rPr>
            </w:pPr>
            <w:r w:rsidRPr="00430B53">
              <w:rPr>
                <w:sz w:val="20"/>
                <w:szCs w:val="20"/>
              </w:rPr>
              <w:t>41 588,50</w:t>
            </w:r>
          </w:p>
        </w:tc>
        <w:tc>
          <w:tcPr>
            <w:tcW w:w="1560" w:type="dxa"/>
            <w:shd w:val="clear" w:color="auto" w:fill="auto"/>
          </w:tcPr>
          <w:p w14:paraId="2FFFE8E7" w14:textId="77777777" w:rsidR="00B85262" w:rsidRPr="00ED519C" w:rsidRDefault="00B85262" w:rsidP="000B380F">
            <w:pPr>
              <w:spacing w:after="0"/>
              <w:jc w:val="right"/>
              <w:rPr>
                <w:sz w:val="20"/>
                <w:szCs w:val="20"/>
              </w:rPr>
            </w:pPr>
            <w:r w:rsidRPr="00430B53">
              <w:rPr>
                <w:sz w:val="20"/>
                <w:szCs w:val="20"/>
              </w:rPr>
              <w:t>1 474 301,00</w:t>
            </w:r>
          </w:p>
        </w:tc>
        <w:tc>
          <w:tcPr>
            <w:tcW w:w="1559" w:type="dxa"/>
            <w:shd w:val="clear" w:color="auto" w:fill="auto"/>
          </w:tcPr>
          <w:p w14:paraId="0796C11C" w14:textId="77777777" w:rsidR="00B85262" w:rsidRPr="00ED519C" w:rsidRDefault="00B85262" w:rsidP="000B380F">
            <w:pPr>
              <w:spacing w:after="0"/>
              <w:jc w:val="right"/>
              <w:rPr>
                <w:sz w:val="20"/>
                <w:szCs w:val="20"/>
              </w:rPr>
            </w:pPr>
            <w:r w:rsidRPr="00430B53">
              <w:rPr>
                <w:sz w:val="20"/>
                <w:szCs w:val="20"/>
              </w:rPr>
              <w:t>4 422 899,00</w:t>
            </w:r>
          </w:p>
        </w:tc>
        <w:tc>
          <w:tcPr>
            <w:tcW w:w="1412" w:type="dxa"/>
            <w:shd w:val="clear" w:color="auto" w:fill="auto"/>
          </w:tcPr>
          <w:p w14:paraId="3D7B04D2" w14:textId="77777777" w:rsidR="00B85262" w:rsidRPr="00ED519C" w:rsidRDefault="00B85262" w:rsidP="000B380F">
            <w:pPr>
              <w:spacing w:after="0"/>
              <w:jc w:val="right"/>
              <w:rPr>
                <w:sz w:val="20"/>
                <w:szCs w:val="20"/>
              </w:rPr>
            </w:pPr>
            <w:r w:rsidRPr="00430B53">
              <w:rPr>
                <w:sz w:val="20"/>
                <w:szCs w:val="20"/>
              </w:rPr>
              <w:t>5 938 788,50</w:t>
            </w:r>
          </w:p>
        </w:tc>
      </w:tr>
      <w:tr w:rsidR="00B85262" w:rsidRPr="00ED519C" w14:paraId="449F35CB" w14:textId="77777777" w:rsidTr="000B380F">
        <w:tc>
          <w:tcPr>
            <w:tcW w:w="3011" w:type="dxa"/>
            <w:shd w:val="clear" w:color="auto" w:fill="auto"/>
          </w:tcPr>
          <w:p w14:paraId="22322E0B" w14:textId="77777777" w:rsidR="00B85262" w:rsidRPr="00ED519C" w:rsidRDefault="00B85262" w:rsidP="000B380F">
            <w:pPr>
              <w:spacing w:after="0"/>
              <w:rPr>
                <w:sz w:val="20"/>
                <w:szCs w:val="20"/>
              </w:rPr>
            </w:pPr>
            <w:r w:rsidRPr="00430B53">
              <w:rPr>
                <w:sz w:val="20"/>
                <w:szCs w:val="20"/>
              </w:rPr>
              <w:t>Celkem</w:t>
            </w:r>
          </w:p>
        </w:tc>
        <w:tc>
          <w:tcPr>
            <w:tcW w:w="1412" w:type="dxa"/>
          </w:tcPr>
          <w:p w14:paraId="7A1D0EB8" w14:textId="77777777" w:rsidR="00B85262" w:rsidRPr="00ED519C" w:rsidRDefault="00B85262" w:rsidP="000B380F">
            <w:pPr>
              <w:spacing w:after="0"/>
              <w:jc w:val="right"/>
              <w:rPr>
                <w:sz w:val="20"/>
                <w:szCs w:val="20"/>
              </w:rPr>
            </w:pPr>
            <w:r w:rsidRPr="00430B53">
              <w:rPr>
                <w:sz w:val="20"/>
                <w:szCs w:val="20"/>
              </w:rPr>
              <w:t>3 386 999,96</w:t>
            </w:r>
          </w:p>
        </w:tc>
        <w:tc>
          <w:tcPr>
            <w:tcW w:w="1560" w:type="dxa"/>
            <w:shd w:val="clear" w:color="auto" w:fill="auto"/>
          </w:tcPr>
          <w:p w14:paraId="47CAA7EC" w14:textId="77777777" w:rsidR="00B85262" w:rsidRPr="00ED519C" w:rsidRDefault="00B85262" w:rsidP="000B380F">
            <w:pPr>
              <w:spacing w:after="0"/>
              <w:jc w:val="right"/>
              <w:rPr>
                <w:sz w:val="20"/>
                <w:szCs w:val="20"/>
              </w:rPr>
            </w:pPr>
            <w:r w:rsidRPr="00430B53">
              <w:rPr>
                <w:sz w:val="20"/>
                <w:szCs w:val="20"/>
              </w:rPr>
              <w:t>12 198 9</w:t>
            </w:r>
            <w:r>
              <w:rPr>
                <w:sz w:val="20"/>
                <w:szCs w:val="20"/>
              </w:rPr>
              <w:t>65</w:t>
            </w:r>
            <w:r w:rsidRPr="00430B53">
              <w:rPr>
                <w:sz w:val="20"/>
                <w:szCs w:val="20"/>
              </w:rPr>
              <w:t>,76</w:t>
            </w:r>
          </w:p>
        </w:tc>
        <w:tc>
          <w:tcPr>
            <w:tcW w:w="1559" w:type="dxa"/>
            <w:shd w:val="clear" w:color="auto" w:fill="auto"/>
          </w:tcPr>
          <w:p w14:paraId="4498E4F9" w14:textId="77777777" w:rsidR="00B85262" w:rsidRPr="00ED519C" w:rsidRDefault="00B85262" w:rsidP="000B380F">
            <w:pPr>
              <w:spacing w:after="0"/>
              <w:jc w:val="right"/>
              <w:rPr>
                <w:sz w:val="20"/>
                <w:szCs w:val="20"/>
              </w:rPr>
            </w:pPr>
            <w:r w:rsidRPr="00430B53">
              <w:rPr>
                <w:sz w:val="20"/>
                <w:szCs w:val="20"/>
              </w:rPr>
              <w:t>12 088 573,94</w:t>
            </w:r>
          </w:p>
        </w:tc>
        <w:tc>
          <w:tcPr>
            <w:tcW w:w="1412" w:type="dxa"/>
            <w:shd w:val="clear" w:color="auto" w:fill="auto"/>
          </w:tcPr>
          <w:p w14:paraId="3894EEF0" w14:textId="77777777" w:rsidR="00B85262" w:rsidRPr="00ED519C" w:rsidRDefault="00B85262" w:rsidP="000B380F">
            <w:pPr>
              <w:spacing w:after="0"/>
              <w:jc w:val="right"/>
              <w:rPr>
                <w:sz w:val="20"/>
                <w:szCs w:val="20"/>
              </w:rPr>
            </w:pPr>
            <w:r w:rsidRPr="00430B53">
              <w:rPr>
                <w:sz w:val="20"/>
                <w:szCs w:val="20"/>
              </w:rPr>
              <w:t>27 674 5</w:t>
            </w:r>
            <w:r>
              <w:rPr>
                <w:sz w:val="20"/>
                <w:szCs w:val="20"/>
              </w:rPr>
              <w:t>39</w:t>
            </w:r>
            <w:r w:rsidRPr="00430B53">
              <w:rPr>
                <w:sz w:val="20"/>
                <w:szCs w:val="20"/>
              </w:rPr>
              <w:t>,66</w:t>
            </w:r>
          </w:p>
        </w:tc>
      </w:tr>
    </w:tbl>
    <w:p w14:paraId="2ADF86F6" w14:textId="77777777" w:rsidR="00B85262" w:rsidRPr="00EB5822" w:rsidRDefault="00B85262" w:rsidP="00B85262">
      <w:pPr>
        <w:spacing w:after="0"/>
        <w:jc w:val="both"/>
        <w:rPr>
          <w:b/>
          <w:bCs/>
        </w:rPr>
      </w:pPr>
    </w:p>
    <w:p w14:paraId="5C495984" w14:textId="77777777" w:rsidR="00B85262" w:rsidRPr="008E2D48" w:rsidRDefault="00B85262" w:rsidP="00B85262">
      <w:pPr>
        <w:spacing w:after="0"/>
        <w:rPr>
          <w:b/>
          <w:sz w:val="24"/>
          <w:szCs w:val="24"/>
          <w:u w:val="single"/>
        </w:rPr>
      </w:pPr>
      <w:r w:rsidRPr="008E2D48">
        <w:rPr>
          <w:b/>
          <w:sz w:val="24"/>
          <w:szCs w:val="24"/>
          <w:u w:val="single"/>
        </w:rPr>
        <w:t>Rezerva – nepředvídatelné události a finanční záruky</w:t>
      </w:r>
    </w:p>
    <w:p w14:paraId="04FC081B" w14:textId="77777777" w:rsidR="00B85262" w:rsidRDefault="00B85262" w:rsidP="00B85262">
      <w:pPr>
        <w:spacing w:after="0"/>
        <w:rPr>
          <w:b/>
          <w:bCs/>
        </w:rPr>
      </w:pPr>
      <w:r w:rsidRPr="00EB5822">
        <w:rPr>
          <w:b/>
          <w:bCs/>
        </w:rPr>
        <w:t>§ 6409 – Rezerva – nepředvídatelné udál</w:t>
      </w:r>
      <w:r>
        <w:rPr>
          <w:b/>
          <w:bCs/>
        </w:rPr>
        <w:t xml:space="preserve">osti a finanční záruky </w:t>
      </w:r>
    </w:p>
    <w:p w14:paraId="53CF9D8B" w14:textId="77777777" w:rsidR="00B85262" w:rsidRPr="00477C18" w:rsidRDefault="00B85262" w:rsidP="00B85262">
      <w:pPr>
        <w:spacing w:after="0" w:line="240" w:lineRule="auto"/>
        <w:jc w:val="both"/>
        <w:rPr>
          <w:b/>
          <w:bCs/>
        </w:rPr>
      </w:pPr>
      <w:r w:rsidRPr="00EB5822">
        <w:t xml:space="preserve">Rezerva na nepředvídatelné události a rezerva na pokrytí rizik neplánovaných výdajů z titulu finančních záruk (tzv. ručitelských prohlášení) vystavených Středočeským krajem. Obecná rezerva nemá předem stanoven konkrétní účel. </w:t>
      </w:r>
    </w:p>
    <w:p w14:paraId="5EDBBE01" w14:textId="77777777" w:rsidR="00B85262" w:rsidRPr="00EB5822" w:rsidRDefault="00B85262" w:rsidP="00B85262">
      <w:pPr>
        <w:spacing w:after="0"/>
        <w:jc w:val="both"/>
      </w:pPr>
      <w:r w:rsidRPr="00EB5822">
        <w:t xml:space="preserve">Rezerva byla </w:t>
      </w:r>
      <w:r>
        <w:t>roce</w:t>
      </w:r>
      <w:r w:rsidRPr="00EB5822">
        <w:t xml:space="preserve"> 202</w:t>
      </w:r>
      <w:r>
        <w:t>1</w:t>
      </w:r>
      <w:r w:rsidRPr="00EB5822">
        <w:t>:</w:t>
      </w:r>
    </w:p>
    <w:p w14:paraId="2F150468" w14:textId="77777777" w:rsidR="00B85262" w:rsidRDefault="00B85262" w:rsidP="00B85262">
      <w:pPr>
        <w:numPr>
          <w:ilvl w:val="0"/>
          <w:numId w:val="11"/>
        </w:numPr>
        <w:spacing w:after="0"/>
        <w:ind w:left="360"/>
        <w:jc w:val="both"/>
      </w:pPr>
      <w:r w:rsidRPr="00EB5822">
        <w:t xml:space="preserve">posílena o </w:t>
      </w:r>
      <w:r>
        <w:t>407 079 309,91</w:t>
      </w:r>
      <w:r w:rsidRPr="00EB5822">
        <w:t xml:space="preserve"> Kč, z toho o</w:t>
      </w:r>
    </w:p>
    <w:p w14:paraId="5456CDAA" w14:textId="77777777" w:rsidR="00B85262" w:rsidRPr="00EB5822" w:rsidRDefault="00B85262" w:rsidP="00B85262">
      <w:pPr>
        <w:spacing w:after="0"/>
        <w:jc w:val="both"/>
      </w:pPr>
      <w:r>
        <w:t xml:space="preserve">2 000 000,00 Kč na základě usnesení č. </w:t>
      </w:r>
      <w:r w:rsidRPr="00EB5822">
        <w:t>0</w:t>
      </w:r>
      <w:r>
        <w:t>07</w:t>
      </w:r>
      <w:r w:rsidRPr="00EB5822">
        <w:t>-</w:t>
      </w:r>
      <w:r>
        <w:t>04</w:t>
      </w:r>
      <w:r w:rsidRPr="00EB5822">
        <w:t>/202</w:t>
      </w:r>
      <w:r>
        <w:t>1</w:t>
      </w:r>
      <w:r w:rsidRPr="00EB5822">
        <w:t>/</w:t>
      </w:r>
      <w:r>
        <w:t>Z</w:t>
      </w:r>
      <w:r w:rsidRPr="00EB5822">
        <w:t xml:space="preserve">K ze dne </w:t>
      </w:r>
      <w:r>
        <w:t>22. 2. 2021</w:t>
      </w:r>
      <w:r w:rsidRPr="00EB5822">
        <w:t xml:space="preserve"> (</w:t>
      </w:r>
      <w:r>
        <w:t>navýšení rozpočtu Středočeského kraje o prostředky ze sdílených daní a nevyčerpané prostředky z roku 2020 - schváleny jako součást rozdělení zůstatku hospodaření z roku 2020 schváleného usnesením</w:t>
      </w:r>
      <w:r w:rsidRPr="00AC2946">
        <w:t xml:space="preserve"> </w:t>
      </w:r>
      <w:r w:rsidRPr="00EB5822">
        <w:t>č. 00</w:t>
      </w:r>
      <w:r>
        <w:t>7</w:t>
      </w:r>
      <w:r w:rsidRPr="00EB5822">
        <w:t>-</w:t>
      </w:r>
      <w:r>
        <w:t>06</w:t>
      </w:r>
      <w:r w:rsidRPr="00EB5822">
        <w:t>/202</w:t>
      </w:r>
      <w:r>
        <w:t>1</w:t>
      </w:r>
      <w:r w:rsidRPr="00EB5822">
        <w:t>/</w:t>
      </w:r>
      <w:r>
        <w:t>Z</w:t>
      </w:r>
      <w:r w:rsidRPr="00EB5822">
        <w:t>K ze dne 2</w:t>
      </w:r>
      <w:r>
        <w:t>6</w:t>
      </w:r>
      <w:r w:rsidRPr="00EB5822">
        <w:t xml:space="preserve">. </w:t>
      </w:r>
      <w:r>
        <w:t>4</w:t>
      </w:r>
      <w:r w:rsidRPr="00EB5822">
        <w:t>. 202</w:t>
      </w:r>
      <w:r>
        <w:t>1),</w:t>
      </w:r>
    </w:p>
    <w:p w14:paraId="211CE254" w14:textId="77777777" w:rsidR="00B85262" w:rsidRDefault="00B85262" w:rsidP="00B85262">
      <w:pPr>
        <w:spacing w:after="0"/>
        <w:jc w:val="both"/>
      </w:pPr>
      <w:r>
        <w:t>160 823 406,94</w:t>
      </w:r>
      <w:r w:rsidRPr="00EB5822">
        <w:t xml:space="preserve"> Kč na základě usnesení č. 00</w:t>
      </w:r>
      <w:r>
        <w:t>7</w:t>
      </w:r>
      <w:r w:rsidRPr="00EB5822">
        <w:t>-</w:t>
      </w:r>
      <w:r>
        <w:t>06</w:t>
      </w:r>
      <w:r w:rsidRPr="00EB5822">
        <w:t>/202</w:t>
      </w:r>
      <w:r>
        <w:t>1</w:t>
      </w:r>
      <w:r w:rsidRPr="00EB5822">
        <w:t>/</w:t>
      </w:r>
      <w:r>
        <w:t>Z</w:t>
      </w:r>
      <w:r w:rsidRPr="00EB5822">
        <w:t>K ze dne 2</w:t>
      </w:r>
      <w:r>
        <w:t>6</w:t>
      </w:r>
      <w:r w:rsidRPr="00EB5822">
        <w:t xml:space="preserve">. </w:t>
      </w:r>
      <w:r>
        <w:t>4</w:t>
      </w:r>
      <w:r w:rsidRPr="00EB5822">
        <w:t>. 202</w:t>
      </w:r>
      <w:r>
        <w:t>1</w:t>
      </w:r>
      <w:r w:rsidRPr="00EB5822">
        <w:t xml:space="preserve"> (</w:t>
      </w:r>
      <w:r>
        <w:t>rozdělení</w:t>
      </w:r>
      <w:r w:rsidRPr="00EB5822">
        <w:t xml:space="preserve"> zůstatku hospodaření Středočeského kraje z</w:t>
      </w:r>
      <w:r>
        <w:t> roku 2020</w:t>
      </w:r>
      <w:r w:rsidRPr="00EB5822">
        <w:t>),</w:t>
      </w:r>
    </w:p>
    <w:p w14:paraId="6C2375BF" w14:textId="77777777" w:rsidR="00B85262" w:rsidRDefault="00B85262" w:rsidP="00B85262">
      <w:pPr>
        <w:spacing w:after="0"/>
        <w:jc w:val="both"/>
      </w:pPr>
      <w:r>
        <w:t>148 813 276,96 Kč na základě usnesení č. 008-09/2021/ZK ze dne 13. 9. 2021 (navýšení rozpočtu Středočeského kraje o příspěvek ze státního rozpočtu ke zmírnění dopadů zákona o kompenzačním bonusu pro rok 2021),</w:t>
      </w:r>
    </w:p>
    <w:p w14:paraId="27691A4C" w14:textId="77777777" w:rsidR="00B85262" w:rsidRDefault="00B85262" w:rsidP="00B85262">
      <w:pPr>
        <w:spacing w:after="0"/>
        <w:jc w:val="both"/>
      </w:pPr>
      <w:r>
        <w:t>9 368 023,00 Kč na základě usnesení č. 017-40/2021/RK ze dne 21. 10. 2021 (převod volných finančních prostředků určených na vypořádání s Mladá RP, s.r.o.</w:t>
      </w:r>
      <w:r w:rsidRPr="00223606">
        <w:t xml:space="preserve"> </w:t>
      </w:r>
      <w:r>
        <w:t>z kapitoly 11 – Správa majetku).</w:t>
      </w:r>
    </w:p>
    <w:p w14:paraId="06229D78" w14:textId="77777777" w:rsidR="00B85262" w:rsidRDefault="00B85262" w:rsidP="00B85262">
      <w:pPr>
        <w:spacing w:after="0"/>
        <w:jc w:val="both"/>
      </w:pPr>
      <w:r>
        <w:t>24 700 000,00 Kč na základě usnesení č. 046-42/2021/RK ze dne 11. 11. 2021 (převod finančních prostředků na krytí investičních akcí zařazených v Zásobníku investic na rok 2021 z kapitoly 12 – Investiční výdaje),</w:t>
      </w:r>
    </w:p>
    <w:p w14:paraId="78FFBF7C" w14:textId="77777777" w:rsidR="00B85262" w:rsidRDefault="00B85262" w:rsidP="00B85262">
      <w:pPr>
        <w:spacing w:after="0"/>
        <w:jc w:val="both"/>
      </w:pPr>
      <w:r>
        <w:t>10 000 000,00 Kč na základě usnesení č. 041-44/2021/RK ze dne 25. 11. 2021 (převod volných finančních prostředků určených na vypořádání s Mladá RP, s.r.o.</w:t>
      </w:r>
      <w:r w:rsidRPr="00223606">
        <w:t xml:space="preserve"> </w:t>
      </w:r>
      <w:r>
        <w:t>z kapitoly 11 – Správa majetku),</w:t>
      </w:r>
    </w:p>
    <w:p w14:paraId="0661EF69" w14:textId="77777777" w:rsidR="00B85262" w:rsidRDefault="00B85262" w:rsidP="00B85262">
      <w:pPr>
        <w:spacing w:after="0"/>
        <w:jc w:val="both"/>
      </w:pPr>
      <w:r>
        <w:t>51 374 603,01 Kč na základě usnesení č. 006-46/2021/RK ze dne 9. 12. 2021 (převod prostředků v rámci kapitoly 23 - Ostatní, ze specifických rezerv určených na úhradu možného navýšení mezd řidičů veřejné dopravy, na dopad reformy regionálního školství, na krytí propadu daňových příjmů a kapitálových (investičních) výdajů),</w:t>
      </w:r>
    </w:p>
    <w:p w14:paraId="762A5041" w14:textId="77777777" w:rsidR="00B85262" w:rsidRPr="00EB5822" w:rsidRDefault="00B85262" w:rsidP="00B85262">
      <w:pPr>
        <w:numPr>
          <w:ilvl w:val="0"/>
          <w:numId w:val="11"/>
        </w:numPr>
        <w:spacing w:after="0"/>
        <w:ind w:left="360"/>
        <w:jc w:val="both"/>
      </w:pPr>
      <w:r>
        <w:t>čerpána</w:t>
      </w:r>
      <w:r w:rsidRPr="00EB5822">
        <w:t xml:space="preserve"> ve výši </w:t>
      </w:r>
      <w:r>
        <w:t>139 730 452,50</w:t>
      </w:r>
      <w:r w:rsidRPr="00EB5822">
        <w:t xml:space="preserve"> Kč, z toho</w:t>
      </w:r>
      <w:r w:rsidRPr="009968A5">
        <w:t xml:space="preserve"> </w:t>
      </w:r>
      <w:r>
        <w:t xml:space="preserve">převedena </w:t>
      </w:r>
      <w:r w:rsidRPr="00EB5822">
        <w:t>do věcně příslušných kapitol:</w:t>
      </w:r>
    </w:p>
    <w:p w14:paraId="5055C7E5" w14:textId="77777777" w:rsidR="00B85262" w:rsidRDefault="00B85262" w:rsidP="00B85262">
      <w:pPr>
        <w:spacing w:after="0"/>
        <w:jc w:val="both"/>
      </w:pPr>
      <w:r>
        <w:t>500 000,00</w:t>
      </w:r>
      <w:r w:rsidRPr="00EB5822">
        <w:t xml:space="preserve"> Kč do kapitoly 01 – Činnost Zastupitelstva dle usnesení č. 0</w:t>
      </w:r>
      <w:r>
        <w:t>13</w:t>
      </w:r>
      <w:r w:rsidRPr="00EB5822">
        <w:t>-</w:t>
      </w:r>
      <w:r>
        <w:t>05</w:t>
      </w:r>
      <w:r w:rsidRPr="00EB5822">
        <w:t>/202</w:t>
      </w:r>
      <w:r>
        <w:t>1</w:t>
      </w:r>
      <w:r w:rsidRPr="00EB5822">
        <w:t xml:space="preserve">/RK ze dne </w:t>
      </w:r>
      <w:r>
        <w:t>4</w:t>
      </w:r>
      <w:r w:rsidRPr="00EB5822">
        <w:t xml:space="preserve">. </w:t>
      </w:r>
      <w:r>
        <w:t>2</w:t>
      </w:r>
      <w:r w:rsidRPr="00EB5822">
        <w:t>. 202</w:t>
      </w:r>
      <w:r>
        <w:t>1</w:t>
      </w:r>
      <w:r w:rsidRPr="00EB5822">
        <w:t xml:space="preserve"> (</w:t>
      </w:r>
      <w:r>
        <w:t>financování vybudování vzorového očkovacího centra)</w:t>
      </w:r>
      <w:r w:rsidRPr="00EB5822">
        <w:t>,</w:t>
      </w:r>
    </w:p>
    <w:p w14:paraId="05E286D1" w14:textId="77777777" w:rsidR="00B85262" w:rsidRDefault="00B85262" w:rsidP="00B85262">
      <w:pPr>
        <w:spacing w:after="0"/>
        <w:jc w:val="both"/>
      </w:pPr>
      <w:r>
        <w:t>1 500 000,00</w:t>
      </w:r>
      <w:r w:rsidRPr="00EB5822">
        <w:t xml:space="preserve"> Kč do kapitoly 01 – Činnost Zastupitelstva dle usnesení č. 0</w:t>
      </w:r>
      <w:r>
        <w:t>42</w:t>
      </w:r>
      <w:r w:rsidRPr="00EB5822">
        <w:t>-</w:t>
      </w:r>
      <w:r>
        <w:t>08</w:t>
      </w:r>
      <w:r w:rsidRPr="00EB5822">
        <w:t>/202</w:t>
      </w:r>
      <w:r>
        <w:t>1</w:t>
      </w:r>
      <w:r w:rsidRPr="00EB5822">
        <w:t xml:space="preserve">/RK ze dne </w:t>
      </w:r>
      <w:r>
        <w:t>18</w:t>
      </w:r>
      <w:r w:rsidRPr="00EB5822">
        <w:t xml:space="preserve">. </w:t>
      </w:r>
      <w:r>
        <w:t>2</w:t>
      </w:r>
      <w:r w:rsidRPr="00EB5822">
        <w:t>. 202</w:t>
      </w:r>
      <w:r>
        <w:t>1</w:t>
      </w:r>
      <w:r w:rsidRPr="00EB5822">
        <w:t xml:space="preserve"> (</w:t>
      </w:r>
      <w:r>
        <w:t>poskytnutí návratné finanční výpomoci v rámci přípravy a provozu velkokapacitních očkovacích míst)</w:t>
      </w:r>
      <w:r w:rsidRPr="00EB5822">
        <w:t>,</w:t>
      </w:r>
    </w:p>
    <w:p w14:paraId="5E5AC59C" w14:textId="77777777" w:rsidR="00B85262" w:rsidRDefault="00B85262" w:rsidP="00B85262">
      <w:pPr>
        <w:spacing w:after="0"/>
        <w:jc w:val="both"/>
      </w:pPr>
      <w:r>
        <w:t>500 000,00</w:t>
      </w:r>
      <w:r w:rsidRPr="00EB5822">
        <w:t xml:space="preserve"> Kč do kapitoly 01 – Činnost Zastupitelstva dle usnesení č. 0</w:t>
      </w:r>
      <w:r>
        <w:t>09</w:t>
      </w:r>
      <w:r w:rsidRPr="00EB5822">
        <w:t>-</w:t>
      </w:r>
      <w:r>
        <w:t>20</w:t>
      </w:r>
      <w:r w:rsidRPr="00EB5822">
        <w:t>/202</w:t>
      </w:r>
      <w:r>
        <w:t>1</w:t>
      </w:r>
      <w:r w:rsidRPr="00EB5822">
        <w:t xml:space="preserve">/RK ze dne </w:t>
      </w:r>
      <w:r>
        <w:t>6</w:t>
      </w:r>
      <w:r w:rsidRPr="00EB5822">
        <w:t xml:space="preserve">. </w:t>
      </w:r>
      <w:r>
        <w:t>5</w:t>
      </w:r>
      <w:r w:rsidRPr="00EB5822">
        <w:t>. 202</w:t>
      </w:r>
      <w:r>
        <w:t>1</w:t>
      </w:r>
      <w:r w:rsidRPr="00EB5822">
        <w:t xml:space="preserve"> (</w:t>
      </w:r>
      <w:r>
        <w:t>poskytnutí návratné finanční výpomoci v rámci provozu velkokapacitního očkovacího místa)</w:t>
      </w:r>
      <w:r w:rsidRPr="00EB5822">
        <w:t>,</w:t>
      </w:r>
    </w:p>
    <w:p w14:paraId="5B5BC8AA" w14:textId="77777777" w:rsidR="00B85262" w:rsidRDefault="00B85262" w:rsidP="00B85262">
      <w:pPr>
        <w:spacing w:after="0"/>
        <w:jc w:val="both"/>
      </w:pPr>
      <w:r>
        <w:t>1 000 000,00</w:t>
      </w:r>
      <w:r w:rsidRPr="00EB5822">
        <w:t xml:space="preserve"> Kč do kapitoly 01 – Činnost Zastupitelstva dle usnesení č. 0</w:t>
      </w:r>
      <w:r>
        <w:t>90</w:t>
      </w:r>
      <w:r w:rsidRPr="00EB5822">
        <w:t>-</w:t>
      </w:r>
      <w:r>
        <w:t>08</w:t>
      </w:r>
      <w:r w:rsidRPr="00EB5822">
        <w:t>/202</w:t>
      </w:r>
      <w:r>
        <w:t>1</w:t>
      </w:r>
      <w:r w:rsidRPr="00EB5822">
        <w:t>/</w:t>
      </w:r>
      <w:r>
        <w:t>Z</w:t>
      </w:r>
      <w:r w:rsidRPr="00EB5822">
        <w:t xml:space="preserve">K ze dne </w:t>
      </w:r>
      <w:r>
        <w:t>28</w:t>
      </w:r>
      <w:r w:rsidRPr="00EB5822">
        <w:t xml:space="preserve">. </w:t>
      </w:r>
      <w:r>
        <w:t>6</w:t>
      </w:r>
      <w:r w:rsidRPr="00EB5822">
        <w:t>. 202</w:t>
      </w:r>
      <w:r>
        <w:t>1</w:t>
      </w:r>
      <w:r w:rsidRPr="00EB5822">
        <w:t xml:space="preserve"> (</w:t>
      </w:r>
      <w:r>
        <w:t>poskytnutí daru jako humanitární pomoci Jihomoravskému kraji na zmírnění následků živelní katastrofy)</w:t>
      </w:r>
      <w:r w:rsidRPr="00EB5822">
        <w:t>,</w:t>
      </w:r>
    </w:p>
    <w:p w14:paraId="6B2DF72C" w14:textId="77777777" w:rsidR="00B85262" w:rsidRDefault="00B85262" w:rsidP="00B85262">
      <w:pPr>
        <w:spacing w:after="0"/>
        <w:jc w:val="both"/>
      </w:pPr>
      <w:r w:rsidRPr="00DE4639">
        <w:t>2 700 000,00 Kč do</w:t>
      </w:r>
      <w:r>
        <w:t xml:space="preserve"> kapitoly 03 – Informatika dle usnesení č. 004-31/2021/RK ze dne 12. 8. 2021 (služby spojené se sumarizací účetních dat příspěvkových organizací, služby spojené se zavedením GINIS pro příspěvkovou organizaci Integrovaná doprava Středočeského kraje, nákup notebooků pro zaměstnance),</w:t>
      </w:r>
    </w:p>
    <w:p w14:paraId="5D7055E2" w14:textId="77777777" w:rsidR="00B85262" w:rsidRDefault="00B85262" w:rsidP="00B85262">
      <w:pPr>
        <w:spacing w:after="0"/>
        <w:jc w:val="both"/>
      </w:pPr>
      <w:r>
        <w:t>1 419 190,00 Kč do kapitoly 04 – Doprava dle usnesení č. 010-31/2021/RK ze dne 12. 8. 2021 (navýšení prostředků na provoz a mzdové prostředky příspěvkové organizace Krajská správa a údržba silnic),</w:t>
      </w:r>
    </w:p>
    <w:p w14:paraId="399BA587" w14:textId="77777777" w:rsidR="00B85262" w:rsidRDefault="00B85262" w:rsidP="00B85262">
      <w:pPr>
        <w:spacing w:after="0"/>
        <w:jc w:val="both"/>
      </w:pPr>
      <w:r>
        <w:t>81 362 000,00 Kč do kapitoly 04 – Doprava dle usnesení 008-40/2021/RK ze dne 21. 10. 2021 (navýšení příspěvku příspěvkové organizaci Krajská správa a údržba silnic na úhradu nákladů souvisejících s odstraňováním škod po zimě a havarijními opravami na silnicích II. a II. tříd v roce 2021),</w:t>
      </w:r>
    </w:p>
    <w:p w14:paraId="232A117F" w14:textId="77777777" w:rsidR="00B85262" w:rsidRDefault="00B85262" w:rsidP="00B85262">
      <w:pPr>
        <w:spacing w:after="0"/>
        <w:jc w:val="both"/>
      </w:pPr>
      <w:r>
        <w:t xml:space="preserve">5 000 000,00 Kč do </w:t>
      </w:r>
      <w:r w:rsidRPr="00EB5822">
        <w:t>kapitoly 05 – Školství dle usnesení č. 0</w:t>
      </w:r>
      <w:r>
        <w:t>03</w:t>
      </w:r>
      <w:r w:rsidRPr="00EB5822">
        <w:t>-</w:t>
      </w:r>
      <w:r>
        <w:t>11</w:t>
      </w:r>
      <w:r w:rsidRPr="00EB5822">
        <w:t>/202</w:t>
      </w:r>
      <w:r>
        <w:t>1</w:t>
      </w:r>
      <w:r w:rsidRPr="00EB5822">
        <w:t xml:space="preserve">/RK ze dne </w:t>
      </w:r>
      <w:r>
        <w:t>5</w:t>
      </w:r>
      <w:r w:rsidRPr="00EB5822">
        <w:t xml:space="preserve">. </w:t>
      </w:r>
      <w:r>
        <w:t>3</w:t>
      </w:r>
      <w:r w:rsidRPr="00EB5822">
        <w:t>. 202</w:t>
      </w:r>
      <w:r>
        <w:t>1</w:t>
      </w:r>
      <w:r w:rsidRPr="00EB5822">
        <w:t xml:space="preserve"> (</w:t>
      </w:r>
      <w:r>
        <w:t>zajištění testování dětí a zaměstnanců ve školách a školských zařízení vykonávajících péči o děti a mládež za nouzového stavu</w:t>
      </w:r>
      <w:r w:rsidRPr="00EB5822">
        <w:t xml:space="preserve">), </w:t>
      </w:r>
    </w:p>
    <w:p w14:paraId="1FEE0CBB" w14:textId="77777777" w:rsidR="00B85262" w:rsidRDefault="00B85262" w:rsidP="00B85262">
      <w:pPr>
        <w:spacing w:after="0"/>
        <w:jc w:val="both"/>
      </w:pPr>
      <w:r>
        <w:t>2 000 000,</w:t>
      </w:r>
      <w:r w:rsidRPr="00EB5822">
        <w:t>00 Kč do kapitoly 0</w:t>
      </w:r>
      <w:r>
        <w:t>7</w:t>
      </w:r>
      <w:r w:rsidRPr="00EB5822">
        <w:t xml:space="preserve"> – </w:t>
      </w:r>
      <w:r>
        <w:t>Zdravotnictví</w:t>
      </w:r>
      <w:r w:rsidRPr="00EB5822">
        <w:t xml:space="preserve"> </w:t>
      </w:r>
      <w:r>
        <w:t>dle</w:t>
      </w:r>
      <w:r w:rsidRPr="00EB5822">
        <w:t xml:space="preserve"> usnesení č. 0</w:t>
      </w:r>
      <w:r>
        <w:t>53</w:t>
      </w:r>
      <w:r w:rsidRPr="00EB5822">
        <w:t>-</w:t>
      </w:r>
      <w:r>
        <w:t>08</w:t>
      </w:r>
      <w:r w:rsidRPr="00EB5822">
        <w:t>/202</w:t>
      </w:r>
      <w:r>
        <w:t>1</w:t>
      </w:r>
      <w:r w:rsidRPr="00EB5822">
        <w:t>/</w:t>
      </w:r>
      <w:r>
        <w:t>Z</w:t>
      </w:r>
      <w:r w:rsidRPr="00EB5822">
        <w:t xml:space="preserve">K ze dne </w:t>
      </w:r>
      <w:r>
        <w:t>28</w:t>
      </w:r>
      <w:r w:rsidRPr="00EB5822">
        <w:t xml:space="preserve">. </w:t>
      </w:r>
      <w:r>
        <w:t>6</w:t>
      </w:r>
      <w:r w:rsidRPr="00EB5822">
        <w:t>. 202</w:t>
      </w:r>
      <w:r>
        <w:t>1</w:t>
      </w:r>
      <w:r w:rsidRPr="00EB5822">
        <w:t xml:space="preserve"> (</w:t>
      </w:r>
      <w:r>
        <w:t>poskytnutí dotace společnosti „Nemocnice Středočeského kraje, a.s.</w:t>
      </w:r>
      <w:r w:rsidRPr="00EB5822">
        <w:t>“),</w:t>
      </w:r>
    </w:p>
    <w:p w14:paraId="0A6B2260" w14:textId="77777777" w:rsidR="00B85262" w:rsidRDefault="00B85262" w:rsidP="00B85262">
      <w:pPr>
        <w:spacing w:after="0"/>
        <w:jc w:val="both"/>
      </w:pPr>
      <w:r>
        <w:t>12 450 000,00 Kč do kapitoly 07 – Zdravotnictví dle usnesení č. 040-41/2021/RK ze dne 4. 11. 2021 (poskytnutí neinvestiční účelové dotace Nemocnici Rudolfa a Stefanie Benešov, a.s., nemocnici Středočeského kraje, na úhradu nákladů spojených s kybernetickým útokem)</w:t>
      </w:r>
    </w:p>
    <w:p w14:paraId="4B127871" w14:textId="77777777" w:rsidR="00B85262" w:rsidRPr="00E052F8" w:rsidRDefault="00B85262" w:rsidP="00B85262">
      <w:pPr>
        <w:pStyle w:val="Default"/>
        <w:jc w:val="both"/>
        <w:rPr>
          <w:rFonts w:asciiTheme="minorHAnsi" w:hAnsiTheme="minorHAnsi" w:cstheme="minorBidi"/>
          <w:color w:val="auto"/>
          <w:sz w:val="22"/>
          <w:szCs w:val="22"/>
        </w:rPr>
      </w:pPr>
      <w:r w:rsidRPr="00E052F8">
        <w:rPr>
          <w:rFonts w:asciiTheme="minorHAnsi" w:hAnsiTheme="minorHAnsi" w:cstheme="minorBidi"/>
          <w:color w:val="auto"/>
          <w:sz w:val="22"/>
          <w:szCs w:val="22"/>
        </w:rPr>
        <w:t xml:space="preserve">762 300,00 Kč do kapitoly 07 – Zdravotnictví dle usnesení č. 052-42/2021/RK ze dne 11. 11. 2021 </w:t>
      </w:r>
      <w:r>
        <w:rPr>
          <w:rFonts w:asciiTheme="minorHAnsi" w:hAnsiTheme="minorHAnsi" w:cstheme="minorBidi"/>
          <w:color w:val="auto"/>
          <w:sz w:val="22"/>
          <w:szCs w:val="22"/>
        </w:rPr>
        <w:t>(</w:t>
      </w:r>
      <w:r w:rsidRPr="00E052F8">
        <w:rPr>
          <w:rFonts w:asciiTheme="minorHAnsi" w:hAnsiTheme="minorHAnsi" w:cstheme="minorBidi"/>
          <w:color w:val="auto"/>
          <w:sz w:val="22"/>
          <w:szCs w:val="22"/>
        </w:rPr>
        <w:t>investiční příspěvek pro Zdravotnickou záchrannou službu Středočeského kraje, příspěvkovou organizaci na financování akce „Batohy s AED a příslušenstvím pro Prvosledové hlídky“)</w:t>
      </w:r>
      <w:r>
        <w:rPr>
          <w:rFonts w:asciiTheme="minorHAnsi" w:hAnsiTheme="minorHAnsi" w:cstheme="minorBidi"/>
          <w:color w:val="auto"/>
          <w:sz w:val="22"/>
          <w:szCs w:val="22"/>
        </w:rPr>
        <w:t>,</w:t>
      </w:r>
    </w:p>
    <w:p w14:paraId="1EA37067" w14:textId="77777777" w:rsidR="00B85262" w:rsidRDefault="00B85262" w:rsidP="00B85262">
      <w:pPr>
        <w:spacing w:after="0"/>
        <w:jc w:val="both"/>
      </w:pPr>
      <w:r w:rsidRPr="00005778">
        <w:t>386 962,50 Kč do</w:t>
      </w:r>
      <w:r>
        <w:t xml:space="preserve"> kapitoly 09 – Evropská integrace dle usnesení č. 022-28/2021/RK ze dne 1. 7. 2021 (navýšení rozpočtu eDotace 2021), </w:t>
      </w:r>
    </w:p>
    <w:p w14:paraId="7F1BE1BA" w14:textId="77777777" w:rsidR="00B85262" w:rsidRDefault="00B85262" w:rsidP="00B85262">
      <w:pPr>
        <w:spacing w:after="0"/>
        <w:jc w:val="both"/>
      </w:pPr>
      <w:r>
        <w:t>150 000,00 Kč do kapitoly 09 – Evropská integrace dle usnesení č. 035-36/2021/RK ze dne 23. 9. 2021 (navýšení rozpočtu v rámci projektu „Bezpečný Středočeský kraj“),</w:t>
      </w:r>
    </w:p>
    <w:p w14:paraId="6BAF9341" w14:textId="77777777" w:rsidR="00B85262" w:rsidRPr="00EB5822" w:rsidRDefault="00B85262" w:rsidP="00B85262">
      <w:pPr>
        <w:spacing w:after="0"/>
        <w:jc w:val="both"/>
      </w:pPr>
      <w:r>
        <w:t>30 000 000,00 Kč do kapitoly 26 – Veřejná mobilita dle usnesení č. 012-46/2021/RK ze dne 9. 12. 2021 (posílení autobusové dopravy objednané Středočeským krajem).</w:t>
      </w:r>
    </w:p>
    <w:p w14:paraId="49B11A07" w14:textId="77777777" w:rsidR="00B85262" w:rsidRPr="00EB5822" w:rsidRDefault="00B85262" w:rsidP="00B85262">
      <w:pPr>
        <w:spacing w:after="0"/>
        <w:jc w:val="both"/>
      </w:pPr>
    </w:p>
    <w:p w14:paraId="2A404A4C" w14:textId="77777777" w:rsidR="00B85262" w:rsidRPr="008E2D48" w:rsidRDefault="00B85262" w:rsidP="00B85262">
      <w:pPr>
        <w:spacing w:after="0"/>
        <w:rPr>
          <w:b/>
          <w:sz w:val="24"/>
          <w:szCs w:val="24"/>
          <w:u w:val="single"/>
        </w:rPr>
      </w:pPr>
      <w:r w:rsidRPr="008E2D48">
        <w:rPr>
          <w:b/>
          <w:sz w:val="24"/>
          <w:szCs w:val="24"/>
          <w:u w:val="single"/>
        </w:rPr>
        <w:t xml:space="preserve">Výdaje na krytí očekávaných výdajů kapitol  </w:t>
      </w:r>
    </w:p>
    <w:p w14:paraId="7F6F1195" w14:textId="77777777" w:rsidR="00B85262" w:rsidRPr="00EB5822" w:rsidRDefault="00B85262" w:rsidP="00B85262">
      <w:pPr>
        <w:spacing w:after="0"/>
        <w:rPr>
          <w:b/>
          <w:bCs/>
        </w:rPr>
      </w:pPr>
      <w:r w:rsidRPr="00EB5822">
        <w:rPr>
          <w:b/>
          <w:bCs/>
        </w:rPr>
        <w:t xml:space="preserve">§ 6409 – Výdaje na krytí očekávaných výdajů kapitol  </w:t>
      </w:r>
    </w:p>
    <w:p w14:paraId="6302885F" w14:textId="77777777" w:rsidR="00B85262" w:rsidRPr="00EB5822" w:rsidRDefault="00B85262" w:rsidP="00B85262">
      <w:pPr>
        <w:spacing w:after="0"/>
        <w:jc w:val="both"/>
      </w:pPr>
      <w:r w:rsidRPr="00EB5822">
        <w:t xml:space="preserve">Výdaje na krytí očekávaných výdajů kapitol dle konkrétního účelu použití slouží k financování výdajů, u kterých není předem známa předpokládaná doba čerpání a jejich potřebná výše je pouze odhadována. </w:t>
      </w:r>
    </w:p>
    <w:p w14:paraId="73369F77" w14:textId="77777777" w:rsidR="00B85262" w:rsidRPr="00EB5822" w:rsidRDefault="00B85262" w:rsidP="00B85262">
      <w:pPr>
        <w:spacing w:after="0"/>
        <w:jc w:val="both"/>
      </w:pPr>
      <w:r w:rsidRPr="00EB5822">
        <w:t>V</w:t>
      </w:r>
      <w:r>
        <w:t> </w:t>
      </w:r>
      <w:r w:rsidRPr="00EB5822">
        <w:t>ro</w:t>
      </w:r>
      <w:r>
        <w:t>ce</w:t>
      </w:r>
      <w:r w:rsidRPr="00EB5822">
        <w:t xml:space="preserve"> 202</w:t>
      </w:r>
      <w:r>
        <w:t>1</w:t>
      </w:r>
      <w:r w:rsidRPr="00EB5822">
        <w:t xml:space="preserve"> byly prostředky </w:t>
      </w:r>
    </w:p>
    <w:p w14:paraId="11909B35" w14:textId="77777777" w:rsidR="00B85262" w:rsidRDefault="00B85262" w:rsidP="00B85262">
      <w:pPr>
        <w:numPr>
          <w:ilvl w:val="0"/>
          <w:numId w:val="12"/>
        </w:numPr>
        <w:tabs>
          <w:tab w:val="left" w:pos="142"/>
        </w:tabs>
        <w:spacing w:after="0"/>
        <w:ind w:left="284" w:hanging="284"/>
        <w:jc w:val="both"/>
      </w:pPr>
      <w:r w:rsidRPr="00EB5822">
        <w:t xml:space="preserve">posíleny o </w:t>
      </w:r>
      <w:r>
        <w:t>6 881 292,21</w:t>
      </w:r>
      <w:r w:rsidRPr="00EB5822">
        <w:t xml:space="preserve"> Kč</w:t>
      </w:r>
      <w:r>
        <w:t>, z toho:</w:t>
      </w:r>
    </w:p>
    <w:p w14:paraId="739F0735" w14:textId="77777777" w:rsidR="00B85262" w:rsidRDefault="00B85262" w:rsidP="00B85262">
      <w:pPr>
        <w:tabs>
          <w:tab w:val="left" w:pos="142"/>
        </w:tabs>
        <w:spacing w:after="0"/>
        <w:jc w:val="both"/>
      </w:pPr>
      <w:r>
        <w:t xml:space="preserve">6 868 684,77 Kč na základě </w:t>
      </w:r>
      <w:r w:rsidRPr="00EB5822">
        <w:t>usnesení č. 00</w:t>
      </w:r>
      <w:r>
        <w:t>7</w:t>
      </w:r>
      <w:r w:rsidRPr="00EB5822">
        <w:t>-</w:t>
      </w:r>
      <w:r>
        <w:t>06</w:t>
      </w:r>
      <w:r w:rsidRPr="00EB5822">
        <w:t>/202</w:t>
      </w:r>
      <w:r>
        <w:t>1</w:t>
      </w:r>
      <w:r w:rsidRPr="00EB5822">
        <w:t>/RK ze dne 2</w:t>
      </w:r>
      <w:r>
        <w:t>6</w:t>
      </w:r>
      <w:r w:rsidRPr="00EB5822">
        <w:t xml:space="preserve">. </w:t>
      </w:r>
      <w:r>
        <w:t>4</w:t>
      </w:r>
      <w:r w:rsidRPr="00EB5822">
        <w:t>. 202</w:t>
      </w:r>
      <w:r>
        <w:t>1</w:t>
      </w:r>
      <w:r w:rsidRPr="00EB5822">
        <w:t xml:space="preserve"> (</w:t>
      </w:r>
      <w:r>
        <w:t xml:space="preserve">rozdělení </w:t>
      </w:r>
      <w:r w:rsidRPr="00EB5822">
        <w:t xml:space="preserve">zůstatku hospodaření Středočeského kraje z roku </w:t>
      </w:r>
      <w:r>
        <w:t>2020),</w:t>
      </w:r>
    </w:p>
    <w:p w14:paraId="36E47CFB" w14:textId="77777777" w:rsidR="00B85262" w:rsidRDefault="00B85262" w:rsidP="00B85262">
      <w:pPr>
        <w:tabs>
          <w:tab w:val="left" w:pos="142"/>
        </w:tabs>
        <w:spacing w:after="0"/>
        <w:jc w:val="both"/>
      </w:pPr>
      <w:r>
        <w:t>12 607,44 Kč na základě usnesení č. 065-28/2021/RK ze dne 1. 7. 2021 (zapojení finančního vypořádání se státním rozpočtem na rok 2020),</w:t>
      </w:r>
    </w:p>
    <w:p w14:paraId="769B856B" w14:textId="77777777" w:rsidR="00B85262" w:rsidRPr="00EB5822" w:rsidRDefault="00B85262" w:rsidP="00B85262">
      <w:pPr>
        <w:tabs>
          <w:tab w:val="left" w:pos="142"/>
        </w:tabs>
        <w:spacing w:after="0"/>
        <w:jc w:val="both"/>
      </w:pPr>
      <w:r w:rsidRPr="00EB5822">
        <w:t>b) převedeny v souladu s rozpočtovými pravidly</w:t>
      </w:r>
      <w:r>
        <w:t xml:space="preserve"> Středočeského kraje na rok 2021</w:t>
      </w:r>
      <w:r w:rsidRPr="00EB5822">
        <w:t xml:space="preserve"> do věcně příslušných kapitol v souhrnné výši </w:t>
      </w:r>
      <w:r>
        <w:t>1 552 237,15</w:t>
      </w:r>
      <w:r w:rsidRPr="00EB5822">
        <w:t xml:space="preserve"> Kč, z toho:</w:t>
      </w:r>
    </w:p>
    <w:p w14:paraId="475A4AB7" w14:textId="77777777" w:rsidR="00B85262" w:rsidRPr="00EB5822" w:rsidRDefault="00B85262" w:rsidP="00B85262">
      <w:pPr>
        <w:spacing w:after="0"/>
        <w:jc w:val="both"/>
      </w:pPr>
      <w:r>
        <w:t>547 720,</w:t>
      </w:r>
      <w:r w:rsidRPr="00EB5822">
        <w:t>00 Kč do kapitoly 02 – Činnost Krajského úřadu na základě rozpočtové úpravy č. 042/02/202</w:t>
      </w:r>
      <w:r>
        <w:t>1</w:t>
      </w:r>
      <w:r w:rsidRPr="00EB5822">
        <w:t xml:space="preserve"> (rozpis prostředků k zajištění odvodu za neplnění povinného podílu osob se zdravotním postižením),</w:t>
      </w:r>
    </w:p>
    <w:p w14:paraId="6DF1173C" w14:textId="77777777" w:rsidR="00B85262" w:rsidRPr="00EB5822" w:rsidRDefault="00B85262" w:rsidP="00B85262">
      <w:pPr>
        <w:spacing w:after="0"/>
        <w:jc w:val="both"/>
      </w:pPr>
      <w:r>
        <w:t>4 517,15</w:t>
      </w:r>
      <w:r w:rsidRPr="00EB5822">
        <w:t xml:space="preserve"> Kč do kapitoly 16 – Správní agendy na základě rozpočtov</w:t>
      </w:r>
      <w:r>
        <w:t>ých</w:t>
      </w:r>
      <w:r w:rsidRPr="00EB5822">
        <w:t xml:space="preserve"> úprav č. </w:t>
      </w:r>
      <w:r>
        <w:t>188</w:t>
      </w:r>
      <w:r w:rsidRPr="00EB5822">
        <w:t>/16/202</w:t>
      </w:r>
      <w:r>
        <w:t>1, 388/16/2021 a 574/16/2021</w:t>
      </w:r>
      <w:r w:rsidRPr="00EB5822">
        <w:t xml:space="preserve"> (úhrada výdajů KÚSK nad rámec dotace MF ČR na zajištění voleb do zastupitelstev obcí),</w:t>
      </w:r>
    </w:p>
    <w:p w14:paraId="551540F2" w14:textId="77777777" w:rsidR="00B85262" w:rsidRPr="00EB5822" w:rsidRDefault="00B85262" w:rsidP="00B85262">
      <w:pPr>
        <w:spacing w:after="0"/>
        <w:jc w:val="both"/>
      </w:pPr>
      <w:r>
        <w:t>1 000 000,00</w:t>
      </w:r>
      <w:r w:rsidRPr="00EB5822">
        <w:t xml:space="preserve"> Kč do kapitoly 18 – Legislativně právní na základě </w:t>
      </w:r>
      <w:r>
        <w:t>rozpočtové úpravy</w:t>
      </w:r>
      <w:r w:rsidRPr="00EB5822">
        <w:t xml:space="preserve"> č. </w:t>
      </w:r>
      <w:r>
        <w:t>195/18/2021</w:t>
      </w:r>
      <w:r w:rsidRPr="00EB5822">
        <w:t xml:space="preserve"> (</w:t>
      </w:r>
      <w:r>
        <w:t>poskytnuté neinvestiční příspěvky a náhrady</w:t>
      </w:r>
      <w:r w:rsidRPr="00EB5822">
        <w:t>).</w:t>
      </w:r>
    </w:p>
    <w:p w14:paraId="2B697056" w14:textId="77777777" w:rsidR="00B85262" w:rsidRPr="00EB5822" w:rsidRDefault="00B85262" w:rsidP="00B85262">
      <w:pPr>
        <w:spacing w:after="0"/>
        <w:jc w:val="both"/>
        <w:rPr>
          <w:b/>
          <w:bCs/>
        </w:rPr>
      </w:pPr>
    </w:p>
    <w:p w14:paraId="070766B7" w14:textId="77777777" w:rsidR="00B85262" w:rsidRPr="008E2D48" w:rsidRDefault="00B85262" w:rsidP="00B85262">
      <w:pPr>
        <w:spacing w:after="0"/>
        <w:rPr>
          <w:b/>
          <w:sz w:val="24"/>
          <w:szCs w:val="24"/>
          <w:u w:val="single"/>
        </w:rPr>
      </w:pPr>
      <w:r w:rsidRPr="008E2D48">
        <w:rPr>
          <w:b/>
          <w:sz w:val="24"/>
          <w:szCs w:val="24"/>
          <w:u w:val="single"/>
        </w:rPr>
        <w:t xml:space="preserve">Výdaje dle programů  </w:t>
      </w:r>
    </w:p>
    <w:p w14:paraId="41FC3B4B" w14:textId="77777777" w:rsidR="00B85262" w:rsidRPr="00EB5822" w:rsidRDefault="00B85262" w:rsidP="00B85262">
      <w:pPr>
        <w:spacing w:after="0"/>
        <w:rPr>
          <w:b/>
          <w:bCs/>
        </w:rPr>
      </w:pPr>
      <w:r w:rsidRPr="00EB5822">
        <w:rPr>
          <w:b/>
          <w:bCs/>
        </w:rPr>
        <w:t xml:space="preserve">§ 6409 – Výdaje dle programů  </w:t>
      </w:r>
    </w:p>
    <w:p w14:paraId="047B8AA9" w14:textId="77777777" w:rsidR="00B85262" w:rsidRPr="00EB5822" w:rsidRDefault="00B85262" w:rsidP="00B85262">
      <w:pPr>
        <w:spacing w:after="0"/>
        <w:jc w:val="both"/>
      </w:pPr>
      <w:r w:rsidRPr="00EB5822">
        <w:t xml:space="preserve">Prostředky jsou určeny na financování dotací dle programů. </w:t>
      </w:r>
    </w:p>
    <w:p w14:paraId="128323C7" w14:textId="77777777" w:rsidR="00B85262" w:rsidRPr="00EB5822" w:rsidRDefault="00B85262" w:rsidP="00B85262">
      <w:pPr>
        <w:spacing w:after="0"/>
        <w:jc w:val="both"/>
      </w:pPr>
      <w:r w:rsidRPr="00EB5822">
        <w:t>V</w:t>
      </w:r>
      <w:r>
        <w:t xml:space="preserve"> roce </w:t>
      </w:r>
      <w:r w:rsidRPr="00EB5822">
        <w:t>202</w:t>
      </w:r>
      <w:r>
        <w:t>1</w:t>
      </w:r>
      <w:r w:rsidRPr="00EB5822">
        <w:t xml:space="preserve"> byly prostředky:</w:t>
      </w:r>
    </w:p>
    <w:p w14:paraId="4C004D7A" w14:textId="77777777" w:rsidR="00B85262" w:rsidRPr="00EB5822" w:rsidRDefault="00B85262" w:rsidP="00B85262">
      <w:pPr>
        <w:numPr>
          <w:ilvl w:val="0"/>
          <w:numId w:val="13"/>
        </w:numPr>
        <w:spacing w:after="0"/>
        <w:ind w:left="360"/>
        <w:jc w:val="both"/>
      </w:pPr>
      <w:r w:rsidRPr="00EB5822">
        <w:t xml:space="preserve">zapojeny do rozpočtu kapitoly 23 – Ostatní ve výši </w:t>
      </w:r>
      <w:r>
        <w:t>216 516 070,65</w:t>
      </w:r>
      <w:r w:rsidRPr="00EB5822">
        <w:t xml:space="preserve"> Kč, z toho:</w:t>
      </w:r>
    </w:p>
    <w:p w14:paraId="42A92666" w14:textId="77777777" w:rsidR="00B85262" w:rsidRDefault="00B85262" w:rsidP="00B85262">
      <w:pPr>
        <w:spacing w:after="0"/>
        <w:jc w:val="both"/>
      </w:pPr>
      <w:r>
        <w:t>40 600 000,00 Kč</w:t>
      </w:r>
      <w:r w:rsidRPr="00EB5822">
        <w:t xml:space="preserve"> na základě</w:t>
      </w:r>
      <w:r>
        <w:t xml:space="preserve"> usnesení</w:t>
      </w:r>
      <w:r w:rsidRPr="00EB5822">
        <w:t xml:space="preserve"> č. 0</w:t>
      </w:r>
      <w:r>
        <w:t>07</w:t>
      </w:r>
      <w:r w:rsidRPr="00EB5822">
        <w:t>-</w:t>
      </w:r>
      <w:r>
        <w:t>04</w:t>
      </w:r>
      <w:r w:rsidRPr="00EB5822">
        <w:t>/202</w:t>
      </w:r>
      <w:r>
        <w:t>1</w:t>
      </w:r>
      <w:r w:rsidRPr="00EB5822">
        <w:t>/</w:t>
      </w:r>
      <w:r>
        <w:t>Z</w:t>
      </w:r>
      <w:r w:rsidRPr="00EB5822">
        <w:t xml:space="preserve">K ze dne </w:t>
      </w:r>
      <w:r>
        <w:t>22. 2. 2021</w:t>
      </w:r>
      <w:r w:rsidRPr="00EB5822">
        <w:t xml:space="preserve"> (</w:t>
      </w:r>
      <w:r>
        <w:t>navýšení rozpočtu Středočeského kraje o prostředky ze sdílených daní a nevyčerpané prostředky z roku 2020 - schváleny jako součást rozdělení zůstatku hospodaření z roku 2020 schváleného usnesením</w:t>
      </w:r>
      <w:r w:rsidRPr="00AC2946">
        <w:t xml:space="preserve"> </w:t>
      </w:r>
      <w:r w:rsidRPr="00EB5822">
        <w:t>č. 00</w:t>
      </w:r>
      <w:r>
        <w:t>7</w:t>
      </w:r>
      <w:r w:rsidRPr="00EB5822">
        <w:t>-</w:t>
      </w:r>
      <w:r>
        <w:t>06</w:t>
      </w:r>
      <w:r w:rsidRPr="00EB5822">
        <w:t>/202</w:t>
      </w:r>
      <w:r>
        <w:t>1</w:t>
      </w:r>
      <w:r w:rsidRPr="00EB5822">
        <w:t>/</w:t>
      </w:r>
      <w:r>
        <w:t>Z</w:t>
      </w:r>
      <w:r w:rsidRPr="00EB5822">
        <w:t>K ze dne 2</w:t>
      </w:r>
      <w:r>
        <w:t>6</w:t>
      </w:r>
      <w:r w:rsidRPr="00EB5822">
        <w:t xml:space="preserve">. </w:t>
      </w:r>
      <w:r>
        <w:t>4</w:t>
      </w:r>
      <w:r w:rsidRPr="00EB5822">
        <w:t>. 202</w:t>
      </w:r>
      <w:r>
        <w:t>1),</w:t>
      </w:r>
    </w:p>
    <w:p w14:paraId="6E32F22A" w14:textId="77777777" w:rsidR="00B85262" w:rsidRDefault="00B85262" w:rsidP="00B85262">
      <w:pPr>
        <w:spacing w:after="0"/>
        <w:jc w:val="both"/>
      </w:pPr>
      <w:r>
        <w:t>42 945 470,31</w:t>
      </w:r>
      <w:r w:rsidRPr="00EB5822">
        <w:t xml:space="preserve"> Kč na základě usnesení č. 0</w:t>
      </w:r>
      <w:r>
        <w:t>07</w:t>
      </w:r>
      <w:r w:rsidRPr="00EB5822">
        <w:t>-</w:t>
      </w:r>
      <w:r>
        <w:t>06</w:t>
      </w:r>
      <w:r w:rsidRPr="00EB5822">
        <w:t>/202</w:t>
      </w:r>
      <w:r>
        <w:t>1</w:t>
      </w:r>
      <w:r w:rsidRPr="00EB5822">
        <w:t xml:space="preserve">/ZK ze dne </w:t>
      </w:r>
      <w:r>
        <w:t>26</w:t>
      </w:r>
      <w:r w:rsidRPr="00EB5822">
        <w:t xml:space="preserve">. </w:t>
      </w:r>
      <w:r>
        <w:t>4</w:t>
      </w:r>
      <w:r w:rsidRPr="00EB5822">
        <w:t>. 202</w:t>
      </w:r>
      <w:r>
        <w:t>1</w:t>
      </w:r>
      <w:r w:rsidRPr="00EB5822">
        <w:t xml:space="preserve"> (rozdělení zůstatku hospodaření z roku 20</w:t>
      </w:r>
      <w:r>
        <w:t>21</w:t>
      </w:r>
      <w:r w:rsidRPr="00EB5822">
        <w:t>),</w:t>
      </w:r>
    </w:p>
    <w:p w14:paraId="338130AA" w14:textId="77777777" w:rsidR="00B85262" w:rsidRPr="00EB5822" w:rsidRDefault="00B85262" w:rsidP="00B85262">
      <w:pPr>
        <w:spacing w:after="0"/>
        <w:jc w:val="both"/>
      </w:pPr>
      <w:r>
        <w:t>132 970 600,34 na základě usnesení č. 032-47/2021/RK ze dne 16. 12. 2021 (převod nerozepsaných zůstatků Středočeských fondů do kapitoly 23 – Ostatní)</w:t>
      </w:r>
    </w:p>
    <w:p w14:paraId="7E34C9E3" w14:textId="77777777" w:rsidR="00B85262" w:rsidRDefault="00B85262" w:rsidP="00B85262">
      <w:pPr>
        <w:numPr>
          <w:ilvl w:val="0"/>
          <w:numId w:val="13"/>
        </w:numPr>
        <w:spacing w:after="0"/>
        <w:ind w:left="360"/>
        <w:jc w:val="both"/>
      </w:pPr>
      <w:r w:rsidRPr="00EB5822">
        <w:t xml:space="preserve">převedeny v souhrnné výši </w:t>
      </w:r>
      <w:r>
        <w:t>73 983 160,00</w:t>
      </w:r>
      <w:r w:rsidRPr="00EB5822">
        <w:t xml:space="preserve"> Kč do věcně příslušných kapitol, z toho:</w:t>
      </w:r>
    </w:p>
    <w:p w14:paraId="4A320B64" w14:textId="77777777" w:rsidR="00B85262" w:rsidRDefault="00B85262" w:rsidP="00B85262">
      <w:pPr>
        <w:spacing w:after="0"/>
        <w:jc w:val="both"/>
      </w:pPr>
      <w:r>
        <w:t>2 000 000,00 Kč do kapitoly 01 – Činnost zastupitelstva na základě usnesení č. 085-08/2021/ZK ze dne 28. 6. 2021 (rozhodnutí o žádostech z Programu 2021 pro poskytování dotací z rozpočtu Středočeského kraje ze Středočeského Fondu podpory hasičů a složek IZS),</w:t>
      </w:r>
    </w:p>
    <w:p w14:paraId="7CEBD3F7" w14:textId="77777777" w:rsidR="00B85262" w:rsidRDefault="00B85262" w:rsidP="00B85262">
      <w:pPr>
        <w:spacing w:after="0"/>
        <w:jc w:val="both"/>
      </w:pPr>
      <w:r>
        <w:t>18 500 000,00 Kč do kapitoly 04 – Doprava na základě usnesení č. 008-05/2021/ZK ze dne 29. 3. 2021 (Středočeský Fond cyklistické infrastruktury),</w:t>
      </w:r>
    </w:p>
    <w:p w14:paraId="7E2FA65C" w14:textId="77777777" w:rsidR="00B85262" w:rsidRDefault="00B85262" w:rsidP="00B85262">
      <w:pPr>
        <w:spacing w:after="0"/>
        <w:jc w:val="both"/>
      </w:pPr>
      <w:r>
        <w:t>25 000 000,00 Kč do kapitoly 07 – Zdravotnictví dle usnesení č. 028-07/2021/ZK ze dne 31. 5. 2021 (Program 2021 – ZDRAVOTNICTVÍ pro poskytování investičních dotací z rozpočtu Středočeského kraje poskytovatelům akutní lůžkové péče na území Středočeského kraje),</w:t>
      </w:r>
    </w:p>
    <w:p w14:paraId="050E0C8A" w14:textId="77777777" w:rsidR="00B85262" w:rsidRDefault="00B85262" w:rsidP="00B85262">
      <w:pPr>
        <w:spacing w:after="0"/>
        <w:jc w:val="both"/>
      </w:pPr>
      <w:r>
        <w:t>20 000 000,00 Kč do kapitoly 09 – Evropská integrace na základě usnesení č. 008-05/2021/ZK ze dne 29. 3. 2021 (Středočeský Fond na podporu obecního bydlení),</w:t>
      </w:r>
    </w:p>
    <w:p w14:paraId="0703BA04" w14:textId="77777777" w:rsidR="00B85262" w:rsidRDefault="00B85262" w:rsidP="00B85262">
      <w:pPr>
        <w:spacing w:after="0"/>
        <w:jc w:val="both"/>
      </w:pPr>
      <w:r>
        <w:t xml:space="preserve">1 084 160,00 Kč do kapitoly 09 – Evropská integrace na základě usnesení č. 018-23/2021/RK ze dne </w:t>
      </w:r>
      <w:r>
        <w:br/>
        <w:t>27. 5. 2021 (dodání a podpora portálu participativního rozpočtu),</w:t>
      </w:r>
    </w:p>
    <w:p w14:paraId="3503E18D" w14:textId="77777777" w:rsidR="00B85262" w:rsidRDefault="00B85262" w:rsidP="00B85262">
      <w:pPr>
        <w:spacing w:after="0"/>
        <w:jc w:val="both"/>
      </w:pPr>
      <w:r>
        <w:t xml:space="preserve">399 000,00 Kč do kapitoly 09 – Evropská integrace na základě usnesení č. 019-31/2021/RK ze dne </w:t>
      </w:r>
      <w:r>
        <w:br/>
        <w:t>12. 8. 2021 (navýšení rozpočtu Středočeského Fondu na podporu výsadby stromů),</w:t>
      </w:r>
    </w:p>
    <w:p w14:paraId="70F0BD9B" w14:textId="77777777" w:rsidR="00B85262" w:rsidRDefault="00B85262" w:rsidP="00B85262">
      <w:pPr>
        <w:spacing w:after="0"/>
        <w:jc w:val="both"/>
      </w:pPr>
      <w:r>
        <w:t>7 000 000,00 Kč do kapitoly 09 – Evropská integrace</w:t>
      </w:r>
      <w:r w:rsidRPr="002B5DAD">
        <w:t xml:space="preserve"> </w:t>
      </w:r>
      <w:r>
        <w:t xml:space="preserve">na základě usnesení č. 004-38/2021/RK ze dne </w:t>
      </w:r>
      <w:r>
        <w:br/>
        <w:t>7. 10. 2021 (navýšení rozpočtu Středočeského Fondu obnovy venkova 2021 - 2024).</w:t>
      </w:r>
    </w:p>
    <w:p w14:paraId="5EA6C5EA" w14:textId="77777777" w:rsidR="00B85262" w:rsidRDefault="00B85262" w:rsidP="00B85262">
      <w:pPr>
        <w:spacing w:after="0"/>
        <w:jc w:val="both"/>
      </w:pPr>
    </w:p>
    <w:p w14:paraId="3F037D59" w14:textId="77777777" w:rsidR="00B85262" w:rsidRPr="008E2D48" w:rsidRDefault="00B85262" w:rsidP="00B85262">
      <w:pPr>
        <w:spacing w:after="0"/>
        <w:rPr>
          <w:b/>
          <w:sz w:val="24"/>
          <w:szCs w:val="24"/>
          <w:u w:val="single"/>
        </w:rPr>
      </w:pPr>
      <w:r w:rsidRPr="008E2D48">
        <w:rPr>
          <w:b/>
          <w:sz w:val="24"/>
          <w:szCs w:val="24"/>
          <w:u w:val="single"/>
        </w:rPr>
        <w:t>Pojištění majetku, vozidel a odpovědnosti k refundaci</w:t>
      </w:r>
    </w:p>
    <w:p w14:paraId="03EC82EC" w14:textId="77777777" w:rsidR="00B85262" w:rsidRPr="00EB5822" w:rsidRDefault="00B85262" w:rsidP="00B85262">
      <w:pPr>
        <w:spacing w:after="0"/>
        <w:rPr>
          <w:b/>
          <w:bCs/>
        </w:rPr>
      </w:pPr>
      <w:r w:rsidRPr="00EB5822">
        <w:rPr>
          <w:b/>
          <w:bCs/>
        </w:rPr>
        <w:t>§ 6409 – Pojištění majetku, vozidel a odpovědnosti k refundaci</w:t>
      </w:r>
    </w:p>
    <w:p w14:paraId="23674511" w14:textId="77777777" w:rsidR="00B85262" w:rsidRPr="00EB5822" w:rsidRDefault="00B85262" w:rsidP="00B85262">
      <w:pPr>
        <w:spacing w:after="0"/>
        <w:jc w:val="both"/>
      </w:pPr>
      <w:r w:rsidRPr="00EB5822">
        <w:t xml:space="preserve">Finanční prostředky jsou určeny na pokrytí výdajů na pojištění majetku a vozidel Středočeského kraje (krajského úřadu, příspěvkových organizací a akciových společností). </w:t>
      </w:r>
    </w:p>
    <w:p w14:paraId="4BD172E5" w14:textId="77777777" w:rsidR="00B85262" w:rsidRPr="00EB5822" w:rsidRDefault="00B85262" w:rsidP="00B85262">
      <w:pPr>
        <w:spacing w:after="0"/>
        <w:jc w:val="both"/>
      </w:pPr>
      <w:r w:rsidRPr="00EB5822">
        <w:t>V</w:t>
      </w:r>
      <w:r>
        <w:t> roce</w:t>
      </w:r>
      <w:r w:rsidRPr="00EB5822">
        <w:t> 202</w:t>
      </w:r>
      <w:r>
        <w:t>1</w:t>
      </w:r>
      <w:r w:rsidRPr="00EB5822">
        <w:t xml:space="preserve"> byly převedeny do kapitoly 11 – Správa majetku prostředky ve výši </w:t>
      </w:r>
      <w:r>
        <w:t>24 465 101</w:t>
      </w:r>
      <w:r w:rsidRPr="00EB5822">
        <w:t>,00 Kč na základě usnesení č. 0</w:t>
      </w:r>
      <w:r>
        <w:t>17</w:t>
      </w:r>
      <w:r w:rsidRPr="00EB5822">
        <w:t>-0</w:t>
      </w:r>
      <w:r>
        <w:t>6</w:t>
      </w:r>
      <w:r w:rsidRPr="00EB5822">
        <w:t>/202</w:t>
      </w:r>
      <w:r>
        <w:t>1</w:t>
      </w:r>
      <w:r w:rsidRPr="00EB5822">
        <w:t xml:space="preserve">/RK ze dne </w:t>
      </w:r>
      <w:r>
        <w:t>11</w:t>
      </w:r>
      <w:r w:rsidRPr="00EB5822">
        <w:t>. 2. 202</w:t>
      </w:r>
      <w:r>
        <w:t>1</w:t>
      </w:r>
      <w:r w:rsidRPr="00EB5822">
        <w:t xml:space="preserve"> na pokrytí výdajů na pojištění majetku příspěvkových organizací a akciových společností</w:t>
      </w:r>
      <w:r>
        <w:t>.</w:t>
      </w:r>
      <w:r w:rsidRPr="00EB5822">
        <w:t xml:space="preserve"> </w:t>
      </w:r>
    </w:p>
    <w:p w14:paraId="3D318D3D" w14:textId="77777777" w:rsidR="00B85262" w:rsidRDefault="00B85262" w:rsidP="00B85262">
      <w:pPr>
        <w:spacing w:after="0"/>
        <w:rPr>
          <w:b/>
        </w:rPr>
      </w:pPr>
    </w:p>
    <w:p w14:paraId="31043307" w14:textId="77777777" w:rsidR="00B85262" w:rsidRPr="00EB5822" w:rsidRDefault="00B85262" w:rsidP="00B85262">
      <w:pPr>
        <w:spacing w:after="0"/>
        <w:rPr>
          <w:b/>
        </w:rPr>
      </w:pPr>
    </w:p>
    <w:p w14:paraId="09267388" w14:textId="77777777" w:rsidR="00B85262" w:rsidRPr="008E2D48" w:rsidRDefault="00B85262" w:rsidP="00B85262">
      <w:pPr>
        <w:spacing w:after="0"/>
        <w:rPr>
          <w:b/>
          <w:sz w:val="24"/>
          <w:szCs w:val="24"/>
          <w:u w:val="single"/>
        </w:rPr>
      </w:pPr>
      <w:r w:rsidRPr="008E2D48">
        <w:rPr>
          <w:b/>
          <w:sz w:val="24"/>
          <w:szCs w:val="24"/>
          <w:u w:val="single"/>
        </w:rPr>
        <w:t>Specifické rezervy</w:t>
      </w:r>
    </w:p>
    <w:p w14:paraId="232ACFAC" w14:textId="77777777" w:rsidR="00B85262" w:rsidRPr="00EB5822" w:rsidRDefault="00B85262" w:rsidP="00B85262">
      <w:pPr>
        <w:spacing w:after="0"/>
        <w:rPr>
          <w:b/>
        </w:rPr>
      </w:pPr>
      <w:r w:rsidRPr="00EB5822">
        <w:rPr>
          <w:b/>
        </w:rPr>
        <w:t xml:space="preserve">§ 2292 – </w:t>
      </w:r>
      <w:r w:rsidRPr="00EB5822">
        <w:rPr>
          <w:b/>
          <w:bCs/>
        </w:rPr>
        <w:t>Prostředky na dointegraci dopravy ve Středočeském kraji</w:t>
      </w:r>
    </w:p>
    <w:p w14:paraId="3C6DB3DB" w14:textId="77777777" w:rsidR="00B85262" w:rsidRDefault="00B85262" w:rsidP="00B85262">
      <w:pPr>
        <w:spacing w:after="0"/>
        <w:jc w:val="both"/>
        <w:rPr>
          <w:bCs/>
        </w:rPr>
      </w:pPr>
      <w:r w:rsidRPr="00EB5822">
        <w:rPr>
          <w:bCs/>
        </w:rPr>
        <w:t>V</w:t>
      </w:r>
      <w:r>
        <w:rPr>
          <w:bCs/>
        </w:rPr>
        <w:t> roce</w:t>
      </w:r>
      <w:r w:rsidRPr="00EB5822">
        <w:rPr>
          <w:bCs/>
        </w:rPr>
        <w:t xml:space="preserve"> 202</w:t>
      </w:r>
      <w:r>
        <w:rPr>
          <w:bCs/>
        </w:rPr>
        <w:t>1</w:t>
      </w:r>
      <w:r w:rsidRPr="00EB5822">
        <w:rPr>
          <w:bCs/>
        </w:rPr>
        <w:t xml:space="preserve"> byly prostředky</w:t>
      </w:r>
      <w:r>
        <w:rPr>
          <w:bCs/>
        </w:rPr>
        <w:t>:</w:t>
      </w:r>
    </w:p>
    <w:p w14:paraId="57999F24" w14:textId="77777777" w:rsidR="00B85262" w:rsidRPr="00793302" w:rsidRDefault="00B85262" w:rsidP="00B85262">
      <w:pPr>
        <w:pStyle w:val="Odstavecseseznamem"/>
        <w:numPr>
          <w:ilvl w:val="0"/>
          <w:numId w:val="19"/>
        </w:numPr>
        <w:tabs>
          <w:tab w:val="left" w:pos="284"/>
        </w:tabs>
        <w:spacing w:line="259" w:lineRule="auto"/>
        <w:ind w:left="0" w:firstLine="0"/>
        <w:contextualSpacing/>
        <w:jc w:val="both"/>
        <w:rPr>
          <w:rFonts w:asciiTheme="minorHAnsi" w:hAnsiTheme="minorHAnsi"/>
          <w:sz w:val="22"/>
          <w:szCs w:val="22"/>
        </w:rPr>
      </w:pPr>
      <w:r w:rsidRPr="00793302">
        <w:rPr>
          <w:rFonts w:asciiTheme="minorHAnsi" w:hAnsiTheme="minorHAnsi"/>
          <w:bCs/>
          <w:sz w:val="22"/>
          <w:szCs w:val="22"/>
        </w:rPr>
        <w:t xml:space="preserve">posíleny o 82 390 107,86 Kč na základě </w:t>
      </w:r>
      <w:r w:rsidRPr="00793302">
        <w:rPr>
          <w:rFonts w:asciiTheme="minorHAnsi" w:hAnsiTheme="minorHAnsi"/>
          <w:sz w:val="22"/>
          <w:szCs w:val="22"/>
        </w:rPr>
        <w:t>usnesení č. 007-06/2021/ZK ze dne 26. 4. 2021 (rozdělení zůstatku hospodaření z roku 2021),</w:t>
      </w:r>
    </w:p>
    <w:p w14:paraId="3B7B05F7" w14:textId="184390AC" w:rsidR="00B85262" w:rsidRPr="00793302" w:rsidRDefault="00B85262" w:rsidP="00B85262">
      <w:pPr>
        <w:pStyle w:val="Odstavecseseznamem"/>
        <w:numPr>
          <w:ilvl w:val="0"/>
          <w:numId w:val="19"/>
        </w:numPr>
        <w:tabs>
          <w:tab w:val="left" w:pos="284"/>
        </w:tabs>
        <w:spacing w:line="259" w:lineRule="auto"/>
        <w:ind w:left="0" w:firstLine="0"/>
        <w:contextualSpacing/>
        <w:jc w:val="both"/>
        <w:rPr>
          <w:rFonts w:asciiTheme="minorHAnsi" w:hAnsiTheme="minorHAnsi"/>
          <w:sz w:val="22"/>
          <w:szCs w:val="22"/>
        </w:rPr>
      </w:pPr>
      <w:r w:rsidRPr="00793302">
        <w:rPr>
          <w:rFonts w:asciiTheme="minorHAnsi" w:hAnsiTheme="minorHAnsi"/>
          <w:sz w:val="22"/>
          <w:szCs w:val="22"/>
        </w:rPr>
        <w:t xml:space="preserve">převedeny do kapitoly 26 – Veřejná </w:t>
      </w:r>
      <w:r w:rsidR="006405E9" w:rsidRPr="00793302">
        <w:rPr>
          <w:rFonts w:asciiTheme="minorHAnsi" w:hAnsiTheme="minorHAnsi"/>
          <w:sz w:val="22"/>
          <w:szCs w:val="22"/>
        </w:rPr>
        <w:t>mobilita</w:t>
      </w:r>
      <w:r w:rsidRPr="00793302">
        <w:rPr>
          <w:rFonts w:asciiTheme="minorHAnsi" w:hAnsiTheme="minorHAnsi"/>
          <w:sz w:val="22"/>
          <w:szCs w:val="22"/>
        </w:rPr>
        <w:t xml:space="preserve"> ve výši 131 113 208,56 Kč na základě usnesení č. 037-38/2021/RK ze dne 7. 10. 2021 a 008-44/2021/RK ze dne 25. 11. 2021 (financování technické přípravy a dofinancování realizované integrace veřejné dopravy ve Středočeském kraji do systému PID v roce 2021, převzetí dopravy od obcí, Integrace veřejné dopravy do systému PID v oblasti Dobříšska, Sedlčanska, Kolínska a Kutnohorska, dointegrace dopravy v oblasti Voticka).</w:t>
      </w:r>
    </w:p>
    <w:p w14:paraId="79A09F0E" w14:textId="77777777" w:rsidR="00B85262" w:rsidRDefault="00B85262" w:rsidP="00B85262">
      <w:pPr>
        <w:spacing w:after="0"/>
        <w:jc w:val="both"/>
      </w:pPr>
    </w:p>
    <w:p w14:paraId="2202E37C" w14:textId="77777777" w:rsidR="00B85262" w:rsidRPr="001A50F3" w:rsidRDefault="00B85262" w:rsidP="00B85262">
      <w:pPr>
        <w:spacing w:after="0"/>
        <w:jc w:val="both"/>
        <w:rPr>
          <w:b/>
        </w:rPr>
      </w:pPr>
      <w:r w:rsidRPr="001A50F3">
        <w:rPr>
          <w:b/>
        </w:rPr>
        <w:t>§ 2292 – Propad tržeb veřejné dopravy</w:t>
      </w:r>
    </w:p>
    <w:p w14:paraId="63DDC836" w14:textId="77777777" w:rsidR="00B85262" w:rsidRDefault="00B85262" w:rsidP="00B85262">
      <w:pPr>
        <w:spacing w:after="0"/>
        <w:jc w:val="both"/>
        <w:rPr>
          <w:bCs/>
        </w:rPr>
      </w:pPr>
      <w:r>
        <w:rPr>
          <w:bCs/>
        </w:rPr>
        <w:t>V roce</w:t>
      </w:r>
      <w:r w:rsidRPr="00EB5822">
        <w:rPr>
          <w:bCs/>
        </w:rPr>
        <w:t xml:space="preserve"> 202</w:t>
      </w:r>
      <w:r>
        <w:rPr>
          <w:bCs/>
        </w:rPr>
        <w:t>1</w:t>
      </w:r>
      <w:r w:rsidRPr="00EB5822">
        <w:rPr>
          <w:bCs/>
        </w:rPr>
        <w:t xml:space="preserve"> byly prostředky</w:t>
      </w:r>
      <w:r>
        <w:rPr>
          <w:bCs/>
        </w:rPr>
        <w:t>:</w:t>
      </w:r>
    </w:p>
    <w:p w14:paraId="4E56BA59" w14:textId="77777777" w:rsidR="00B85262" w:rsidRPr="00793302" w:rsidRDefault="00B85262" w:rsidP="00B85262">
      <w:pPr>
        <w:pStyle w:val="Odstavecseseznamem"/>
        <w:numPr>
          <w:ilvl w:val="0"/>
          <w:numId w:val="23"/>
        </w:numPr>
        <w:tabs>
          <w:tab w:val="left" w:pos="284"/>
        </w:tabs>
        <w:spacing w:line="259" w:lineRule="auto"/>
        <w:ind w:left="0" w:firstLine="0"/>
        <w:contextualSpacing/>
        <w:jc w:val="both"/>
        <w:rPr>
          <w:rFonts w:asciiTheme="minorHAnsi" w:hAnsiTheme="minorHAnsi"/>
          <w:sz w:val="22"/>
          <w:szCs w:val="22"/>
        </w:rPr>
      </w:pPr>
      <w:r w:rsidRPr="00793302">
        <w:rPr>
          <w:rFonts w:asciiTheme="minorHAnsi" w:hAnsiTheme="minorHAnsi"/>
          <w:bCs/>
          <w:sz w:val="22"/>
          <w:szCs w:val="22"/>
        </w:rPr>
        <w:t xml:space="preserve">zapojeny do rozpočtu kapitoly 23 – Ostatní ve výši o 150 000 000,00 Kč na základě </w:t>
      </w:r>
      <w:r w:rsidRPr="00793302">
        <w:rPr>
          <w:rFonts w:asciiTheme="minorHAnsi" w:hAnsiTheme="minorHAnsi"/>
          <w:sz w:val="22"/>
          <w:szCs w:val="22"/>
        </w:rPr>
        <w:t>usnesení č. 007-04/2021/ZK ze dne 22. 2. 2021 (navýšení rozpočtu Středočeského kraje o prostředky ze sdílených daní a nevyčerpané prostředky z roku 2020 - schváleny jako součást rozdělení zůstatku hospodaření z roku 2020 schváleného usnesením č. 007-06/2021/ZK ze dne 26. 4. 2021),</w:t>
      </w:r>
    </w:p>
    <w:p w14:paraId="7037D666" w14:textId="77777777" w:rsidR="00B85262" w:rsidRPr="00793302" w:rsidRDefault="00B85262" w:rsidP="00B85262">
      <w:pPr>
        <w:pStyle w:val="Odstavecseseznamem"/>
        <w:numPr>
          <w:ilvl w:val="0"/>
          <w:numId w:val="23"/>
        </w:numPr>
        <w:tabs>
          <w:tab w:val="left" w:pos="284"/>
        </w:tabs>
        <w:spacing w:line="259" w:lineRule="auto"/>
        <w:ind w:left="0" w:firstLine="0"/>
        <w:contextualSpacing/>
        <w:jc w:val="both"/>
        <w:rPr>
          <w:rFonts w:asciiTheme="minorHAnsi" w:hAnsiTheme="minorHAnsi"/>
          <w:sz w:val="22"/>
          <w:szCs w:val="22"/>
        </w:rPr>
      </w:pPr>
      <w:r w:rsidRPr="00793302">
        <w:rPr>
          <w:rFonts w:asciiTheme="minorHAnsi" w:hAnsiTheme="minorHAnsi"/>
          <w:sz w:val="22"/>
          <w:szCs w:val="22"/>
        </w:rPr>
        <w:t>čerpány ve výši 150 000 000,00 Kč kapitolou 26 – Veřejná mobilita na základě usnesení č. 016-33/2021/RK ze dne 2. 9. 2021 (propad tržeb veřejné drážní dopravy) a č. 037-38/2021/RK ze dne 7. 10. 2021 (dorovnání tržeb veřejné linkové dopravy).</w:t>
      </w:r>
    </w:p>
    <w:p w14:paraId="292900BD" w14:textId="77777777" w:rsidR="00B85262" w:rsidRPr="00EB5822" w:rsidRDefault="00B85262" w:rsidP="00B85262">
      <w:pPr>
        <w:spacing w:after="0"/>
        <w:rPr>
          <w:bCs/>
        </w:rPr>
      </w:pPr>
    </w:p>
    <w:p w14:paraId="250E2BE7" w14:textId="77777777" w:rsidR="00B85262" w:rsidRPr="00EB5822" w:rsidRDefault="00B85262" w:rsidP="00B85262">
      <w:pPr>
        <w:spacing w:after="0"/>
        <w:rPr>
          <w:bCs/>
        </w:rPr>
      </w:pPr>
      <w:r w:rsidRPr="00EB5822">
        <w:rPr>
          <w:b/>
        </w:rPr>
        <w:t>§ 3269 – Dopad reformy regionálního školství</w:t>
      </w:r>
    </w:p>
    <w:p w14:paraId="2BB6FD35" w14:textId="77777777" w:rsidR="00B85262" w:rsidRDefault="00B85262" w:rsidP="00B85262">
      <w:pPr>
        <w:spacing w:after="0"/>
        <w:jc w:val="both"/>
        <w:rPr>
          <w:bCs/>
        </w:rPr>
      </w:pPr>
      <w:r>
        <w:rPr>
          <w:bCs/>
        </w:rPr>
        <w:t>V roce</w:t>
      </w:r>
      <w:r w:rsidRPr="00EB5822">
        <w:rPr>
          <w:bCs/>
        </w:rPr>
        <w:t xml:space="preserve"> 202</w:t>
      </w:r>
      <w:r>
        <w:rPr>
          <w:bCs/>
        </w:rPr>
        <w:t>1</w:t>
      </w:r>
      <w:r w:rsidRPr="00EB5822">
        <w:rPr>
          <w:bCs/>
        </w:rPr>
        <w:t xml:space="preserve"> byly prostředky </w:t>
      </w:r>
      <w:r>
        <w:rPr>
          <w:bCs/>
        </w:rPr>
        <w:t>ve výši:</w:t>
      </w:r>
    </w:p>
    <w:p w14:paraId="261CAE40" w14:textId="77777777" w:rsidR="00B85262" w:rsidRPr="00994F9D" w:rsidRDefault="00B85262" w:rsidP="00B85262">
      <w:pPr>
        <w:pStyle w:val="Odstavecseseznamem"/>
        <w:numPr>
          <w:ilvl w:val="0"/>
          <w:numId w:val="22"/>
        </w:numPr>
        <w:tabs>
          <w:tab w:val="left" w:pos="284"/>
        </w:tabs>
        <w:spacing w:line="259" w:lineRule="auto"/>
        <w:ind w:left="0" w:firstLine="0"/>
        <w:contextualSpacing/>
        <w:jc w:val="both"/>
        <w:rPr>
          <w:rFonts w:asciiTheme="minorHAnsi" w:hAnsiTheme="minorHAnsi"/>
          <w:bCs/>
          <w:sz w:val="22"/>
          <w:szCs w:val="22"/>
        </w:rPr>
      </w:pPr>
      <w:r w:rsidRPr="00994F9D">
        <w:rPr>
          <w:rFonts w:asciiTheme="minorHAnsi" w:hAnsiTheme="minorHAnsi"/>
          <w:bCs/>
          <w:sz w:val="22"/>
          <w:szCs w:val="22"/>
        </w:rPr>
        <w:t xml:space="preserve">10 000 000,00 Kč zapojeny do rozpočtu na základě </w:t>
      </w:r>
      <w:r w:rsidRPr="00994F9D">
        <w:rPr>
          <w:rFonts w:asciiTheme="minorHAnsi" w:hAnsiTheme="minorHAnsi"/>
          <w:sz w:val="22"/>
          <w:szCs w:val="22"/>
        </w:rPr>
        <w:t>usnesení č. 007-06/2021/ZK ze dne 26. 4. 2021 (rozdělení zůstatku hospodaření z roku 2021),</w:t>
      </w:r>
    </w:p>
    <w:p w14:paraId="3555987B" w14:textId="77777777" w:rsidR="00B85262" w:rsidRPr="00994F9D" w:rsidRDefault="00B85262" w:rsidP="00B85262">
      <w:pPr>
        <w:pStyle w:val="Odstavecseseznamem"/>
        <w:numPr>
          <w:ilvl w:val="0"/>
          <w:numId w:val="22"/>
        </w:numPr>
        <w:tabs>
          <w:tab w:val="left" w:pos="284"/>
        </w:tabs>
        <w:spacing w:line="259" w:lineRule="auto"/>
        <w:ind w:left="0" w:firstLine="0"/>
        <w:contextualSpacing/>
        <w:jc w:val="both"/>
        <w:rPr>
          <w:rFonts w:asciiTheme="minorHAnsi" w:hAnsiTheme="minorHAnsi"/>
          <w:bCs/>
          <w:sz w:val="22"/>
          <w:szCs w:val="22"/>
        </w:rPr>
      </w:pPr>
      <w:r w:rsidRPr="00994F9D">
        <w:rPr>
          <w:rFonts w:asciiTheme="minorHAnsi" w:hAnsiTheme="minorHAnsi"/>
          <w:bCs/>
          <w:sz w:val="22"/>
          <w:szCs w:val="22"/>
        </w:rPr>
        <w:t>10 000 000,00 Kč na základě usnesení č. 006-46/2021/RK ze dne 9. 12. 2021 převedeny v rámci kapitoly 23 – Ostatní do Rezervy na nepředvídatelné události a finanční záruky Středočeského kraje.</w:t>
      </w:r>
    </w:p>
    <w:p w14:paraId="2FC7683F" w14:textId="77777777" w:rsidR="00B85262" w:rsidRPr="00EB5822" w:rsidRDefault="00B85262" w:rsidP="00B85262">
      <w:pPr>
        <w:spacing w:after="0"/>
        <w:rPr>
          <w:b/>
        </w:rPr>
      </w:pPr>
    </w:p>
    <w:p w14:paraId="0FF71042" w14:textId="77777777" w:rsidR="00B85262" w:rsidRDefault="00B85262" w:rsidP="00B85262">
      <w:pPr>
        <w:spacing w:after="0"/>
        <w:rPr>
          <w:b/>
        </w:rPr>
      </w:pPr>
      <w:r w:rsidRPr="00EB5822">
        <w:rPr>
          <w:b/>
          <w:bCs/>
        </w:rPr>
        <w:t xml:space="preserve">§ 6409 – </w:t>
      </w:r>
      <w:r>
        <w:rPr>
          <w:b/>
        </w:rPr>
        <w:t>Rezerva na krytí propadu daňových příjmů – fixace fondů PO v roce 2021</w:t>
      </w:r>
    </w:p>
    <w:p w14:paraId="14375F83" w14:textId="77777777" w:rsidR="00B85262" w:rsidRDefault="00B85262" w:rsidP="00B85262">
      <w:pPr>
        <w:spacing w:after="0"/>
        <w:jc w:val="both"/>
        <w:rPr>
          <w:b/>
        </w:rPr>
      </w:pPr>
      <w:r>
        <w:t>Zřízené příspěvkové organizace</w:t>
      </w:r>
      <w:r w:rsidRPr="00816A3D">
        <w:t xml:space="preserve"> v roce 2020 zafixovaly prostřednictvím zřizovatele </w:t>
      </w:r>
      <w:r>
        <w:t>p</w:t>
      </w:r>
      <w:r w:rsidRPr="00816A3D">
        <w:t>rostředky v</w:t>
      </w:r>
      <w:r>
        <w:t xml:space="preserve"> celkové</w:t>
      </w:r>
      <w:r w:rsidRPr="00816A3D">
        <w:t xml:space="preserve"> výši 375</w:t>
      </w:r>
      <w:r>
        <w:t> 000 000,00</w:t>
      </w:r>
      <w:r w:rsidRPr="00816A3D">
        <w:t xml:space="preserve"> Kč v rezervních fondech</w:t>
      </w:r>
      <w:r>
        <w:t xml:space="preserve"> a</w:t>
      </w:r>
      <w:r w:rsidRPr="00816A3D">
        <w:t xml:space="preserve"> ve fondech investic k využití v rozpočtech těchto organizací v roce 2021. Vázáním těchto prostředků v roce 2020 byly vytvořeny prostředky pro financování příspěvkových organizací v roce 2021. </w:t>
      </w:r>
    </w:p>
    <w:p w14:paraId="2B57EC86" w14:textId="77777777" w:rsidR="00B85262" w:rsidRDefault="00B85262" w:rsidP="00B85262">
      <w:pPr>
        <w:spacing w:after="0"/>
        <w:jc w:val="both"/>
        <w:rPr>
          <w:bCs/>
        </w:rPr>
      </w:pPr>
      <w:r w:rsidRPr="00EB5822">
        <w:rPr>
          <w:bCs/>
        </w:rPr>
        <w:t>V</w:t>
      </w:r>
      <w:r>
        <w:rPr>
          <w:bCs/>
        </w:rPr>
        <w:t> roce</w:t>
      </w:r>
      <w:r w:rsidRPr="00EB5822">
        <w:rPr>
          <w:bCs/>
        </w:rPr>
        <w:t xml:space="preserve"> 202</w:t>
      </w:r>
      <w:r>
        <w:rPr>
          <w:bCs/>
        </w:rPr>
        <w:t>1</w:t>
      </w:r>
      <w:r w:rsidRPr="00EB5822">
        <w:rPr>
          <w:bCs/>
        </w:rPr>
        <w:t xml:space="preserve"> byly prostředky</w:t>
      </w:r>
      <w:r>
        <w:rPr>
          <w:bCs/>
        </w:rPr>
        <w:t>:</w:t>
      </w:r>
    </w:p>
    <w:p w14:paraId="6719928A" w14:textId="77777777" w:rsidR="00B85262" w:rsidRPr="00994F9D" w:rsidRDefault="00B85262" w:rsidP="00B85262">
      <w:pPr>
        <w:pStyle w:val="Odstavecseseznamem"/>
        <w:numPr>
          <w:ilvl w:val="0"/>
          <w:numId w:val="17"/>
        </w:numPr>
        <w:tabs>
          <w:tab w:val="left" w:pos="284"/>
        </w:tabs>
        <w:spacing w:line="259" w:lineRule="auto"/>
        <w:ind w:left="0" w:firstLine="0"/>
        <w:contextualSpacing/>
        <w:jc w:val="both"/>
        <w:rPr>
          <w:rFonts w:asciiTheme="minorHAnsi" w:hAnsiTheme="minorHAnsi"/>
          <w:sz w:val="22"/>
          <w:szCs w:val="22"/>
        </w:rPr>
      </w:pPr>
      <w:r w:rsidRPr="00994F9D">
        <w:rPr>
          <w:rFonts w:asciiTheme="minorHAnsi" w:hAnsiTheme="minorHAnsi"/>
          <w:bCs/>
          <w:sz w:val="22"/>
          <w:szCs w:val="22"/>
        </w:rPr>
        <w:t xml:space="preserve">ve výši 375 000 000,00 Kč zapojeny do rozpočtu na základě </w:t>
      </w:r>
      <w:r w:rsidRPr="00994F9D">
        <w:rPr>
          <w:rFonts w:asciiTheme="minorHAnsi" w:hAnsiTheme="minorHAnsi"/>
          <w:sz w:val="22"/>
          <w:szCs w:val="22"/>
        </w:rPr>
        <w:t>usnesení č. 007-04/2021/ZK ze dne 22. 2. 2021 (navýšení rozpočtu Středočeského kraje o prostředky ze sdílených daní a nevyčerpané prostředky z roku 2020 - schváleny jako součást rozdělení zůstatku hospodaření z roku 2020 schváleného usnesením č. 007-06/2021/ZK ze dne 26. 4. 2021),</w:t>
      </w:r>
    </w:p>
    <w:p w14:paraId="5B17AB5F" w14:textId="77777777" w:rsidR="00B85262" w:rsidRPr="00994F9D" w:rsidRDefault="00B85262" w:rsidP="00B85262">
      <w:pPr>
        <w:pStyle w:val="Odstavecseseznamem"/>
        <w:numPr>
          <w:ilvl w:val="0"/>
          <w:numId w:val="17"/>
        </w:numPr>
        <w:tabs>
          <w:tab w:val="left" w:pos="284"/>
        </w:tabs>
        <w:spacing w:line="259" w:lineRule="auto"/>
        <w:ind w:left="0" w:firstLine="0"/>
        <w:contextualSpacing/>
        <w:jc w:val="both"/>
        <w:rPr>
          <w:rFonts w:asciiTheme="minorHAnsi" w:hAnsiTheme="minorHAnsi"/>
          <w:sz w:val="22"/>
          <w:szCs w:val="22"/>
        </w:rPr>
      </w:pPr>
      <w:r w:rsidRPr="00994F9D">
        <w:rPr>
          <w:rFonts w:asciiTheme="minorHAnsi" w:hAnsiTheme="minorHAnsi"/>
          <w:sz w:val="22"/>
          <w:szCs w:val="22"/>
        </w:rPr>
        <w:t>převedeny do věcně příslušných kapitol na navýšení příspěvku zřizovatele ve výši fixace z roku 2020 v celkové výši 375 000 000,00 Kč:</w:t>
      </w:r>
    </w:p>
    <w:p w14:paraId="3616434A" w14:textId="77777777" w:rsidR="00B85262" w:rsidRDefault="00B85262" w:rsidP="00B85262">
      <w:pPr>
        <w:spacing w:after="0"/>
        <w:jc w:val="both"/>
      </w:pPr>
      <w:r>
        <w:t>76 000 000,00 Kč na základě usnesení č. 071-04/2021/RK ze dne 28. 1. 2021 (navýšení příspěvku na provoz Zdravotnické záchranné služby Středočeského kraje na rok 2021),</w:t>
      </w:r>
    </w:p>
    <w:p w14:paraId="0F203751" w14:textId="77777777" w:rsidR="00B85262" w:rsidRDefault="00B85262" w:rsidP="00B85262">
      <w:pPr>
        <w:spacing w:after="0"/>
        <w:jc w:val="both"/>
      </w:pPr>
      <w:r>
        <w:t>4 000 000,00 Kč na základě usnesení č. 049-06/2021/RK ze dne 11. 2. 2021 (navýšení příspěvku na provoz zdravotnických příspěvkových organizací – dětských center na rok 2021),</w:t>
      </w:r>
    </w:p>
    <w:p w14:paraId="61F6D233" w14:textId="77777777" w:rsidR="00B85262" w:rsidRDefault="00B85262" w:rsidP="00B85262">
      <w:pPr>
        <w:spacing w:after="0"/>
        <w:jc w:val="both"/>
      </w:pPr>
      <w:r>
        <w:t>136 850 000,00 Kč na základě usnesení č. 004-09/2021/RK ze dne 25. 2. 2021 (navýšení příspěvku příspěvkových organizací v oblasti dopravy),</w:t>
      </w:r>
    </w:p>
    <w:p w14:paraId="54EADC12" w14:textId="77777777" w:rsidR="00B85262" w:rsidRDefault="00B85262" w:rsidP="00B85262">
      <w:pPr>
        <w:spacing w:after="0"/>
        <w:jc w:val="both"/>
      </w:pPr>
      <w:r>
        <w:t>65 000 000,00 Kč na základě usnesení č. 013-10/2021/RK ze dne 4. 3. 2021 (navýšení příspěvku příspěvkových organizací v oblasti sociálních věcí),</w:t>
      </w:r>
    </w:p>
    <w:p w14:paraId="51098DCF" w14:textId="77777777" w:rsidR="00B85262" w:rsidRDefault="00B85262" w:rsidP="00B85262">
      <w:pPr>
        <w:spacing w:after="0"/>
        <w:jc w:val="both"/>
      </w:pPr>
      <w:r>
        <w:t>72 500 000,00 Kč na základě usnesení č. 045-12/2021/RK ze dne 11. 3. 2021 (navýšení příspěvku příspěvkových organizací v oblasti školství),</w:t>
      </w:r>
    </w:p>
    <w:p w14:paraId="76920DEB" w14:textId="77777777" w:rsidR="00B85262" w:rsidRDefault="00B85262" w:rsidP="00B85262">
      <w:pPr>
        <w:spacing w:after="0"/>
        <w:jc w:val="both"/>
      </w:pPr>
      <w:r>
        <w:t>20 000 000,00 Kč na základě usnesení č. 031-14/2021/RK ze dne 25. 3. 2021</w:t>
      </w:r>
      <w:r w:rsidRPr="008F67F5">
        <w:t xml:space="preserve"> </w:t>
      </w:r>
      <w:r>
        <w:t>(navýšení příspěvku příspěvkových organizací v oblasti kultury),</w:t>
      </w:r>
    </w:p>
    <w:p w14:paraId="5C2CFAC3" w14:textId="77777777" w:rsidR="00B85262" w:rsidRDefault="00B85262" w:rsidP="00B85262">
      <w:pPr>
        <w:spacing w:after="0"/>
        <w:jc w:val="both"/>
      </w:pPr>
      <w:r>
        <w:t>600 000,00 Kč</w:t>
      </w:r>
      <w:r w:rsidRPr="008F67F5">
        <w:t xml:space="preserve"> </w:t>
      </w:r>
      <w:r>
        <w:t>základě usnesení č. 058-24/2021/RK ze dne 3. 6. 2021</w:t>
      </w:r>
      <w:r w:rsidRPr="008F67F5">
        <w:t xml:space="preserve"> </w:t>
      </w:r>
      <w:r>
        <w:t>(navýšení příspěvku příspěvkové organizace v oblasti regionálního rozvoje),</w:t>
      </w:r>
    </w:p>
    <w:p w14:paraId="449CF790" w14:textId="77777777" w:rsidR="00B85262" w:rsidRDefault="00B85262" w:rsidP="00B85262">
      <w:pPr>
        <w:spacing w:after="0"/>
        <w:jc w:val="both"/>
      </w:pPr>
      <w:r>
        <w:t>50 000,00 Kč na základě usnesení č. 005-46/2021/RK ze dne 9. 12. 2021</w:t>
      </w:r>
      <w:r w:rsidRPr="001C717B">
        <w:t xml:space="preserve"> </w:t>
      </w:r>
      <w:r>
        <w:t>(navýšení příspěvku příspěvkové organizace v oblasti evropské integrace).</w:t>
      </w:r>
    </w:p>
    <w:p w14:paraId="54D2184B" w14:textId="77777777" w:rsidR="00B85262" w:rsidRDefault="00B85262" w:rsidP="00B85262">
      <w:pPr>
        <w:spacing w:after="0"/>
        <w:jc w:val="both"/>
      </w:pPr>
    </w:p>
    <w:p w14:paraId="1AFACBF1" w14:textId="77777777" w:rsidR="00B85262" w:rsidRDefault="00B85262" w:rsidP="00B85262">
      <w:pPr>
        <w:spacing w:after="0"/>
        <w:rPr>
          <w:b/>
        </w:rPr>
      </w:pPr>
      <w:r w:rsidRPr="00EB5822">
        <w:rPr>
          <w:b/>
          <w:bCs/>
        </w:rPr>
        <w:t xml:space="preserve">§ 6409 – </w:t>
      </w:r>
      <w:r>
        <w:rPr>
          <w:b/>
        </w:rPr>
        <w:t>Rezerva na krytí propadu daňových příjmů – digitalizace</w:t>
      </w:r>
    </w:p>
    <w:p w14:paraId="226E9619" w14:textId="77777777" w:rsidR="00B85262" w:rsidRDefault="00B85262" w:rsidP="00B85262">
      <w:pPr>
        <w:spacing w:after="0"/>
        <w:jc w:val="both"/>
        <w:rPr>
          <w:bCs/>
        </w:rPr>
      </w:pPr>
      <w:r w:rsidRPr="001C717B">
        <w:t>Prostředky jsou určeny na krytí výdajů v souvislosti s digitalizací.</w:t>
      </w:r>
    </w:p>
    <w:p w14:paraId="078103BE" w14:textId="77777777" w:rsidR="00B85262" w:rsidRDefault="00B85262" w:rsidP="00B85262">
      <w:pPr>
        <w:spacing w:after="0"/>
        <w:jc w:val="both"/>
        <w:rPr>
          <w:bCs/>
        </w:rPr>
      </w:pPr>
      <w:r>
        <w:rPr>
          <w:bCs/>
        </w:rPr>
        <w:t>V roce</w:t>
      </w:r>
      <w:r w:rsidRPr="001C717B">
        <w:rPr>
          <w:bCs/>
        </w:rPr>
        <w:t xml:space="preserve"> 2021 byly prostředky</w:t>
      </w:r>
      <w:r>
        <w:rPr>
          <w:bCs/>
        </w:rPr>
        <w:t>:</w:t>
      </w:r>
    </w:p>
    <w:p w14:paraId="7B794E83" w14:textId="77777777" w:rsidR="00B85262" w:rsidRPr="00994F9D" w:rsidRDefault="00B85262" w:rsidP="00B85262">
      <w:pPr>
        <w:pStyle w:val="Odstavecseseznamem"/>
        <w:numPr>
          <w:ilvl w:val="0"/>
          <w:numId w:val="21"/>
        </w:numPr>
        <w:tabs>
          <w:tab w:val="left" w:pos="284"/>
        </w:tabs>
        <w:spacing w:line="259" w:lineRule="auto"/>
        <w:ind w:left="0" w:firstLine="0"/>
        <w:contextualSpacing/>
        <w:jc w:val="both"/>
        <w:rPr>
          <w:rFonts w:asciiTheme="minorHAnsi" w:hAnsiTheme="minorHAnsi"/>
          <w:sz w:val="22"/>
          <w:szCs w:val="22"/>
        </w:rPr>
      </w:pPr>
      <w:r w:rsidRPr="00994F9D">
        <w:rPr>
          <w:rFonts w:asciiTheme="minorHAnsi" w:hAnsiTheme="minorHAnsi"/>
          <w:bCs/>
          <w:sz w:val="22"/>
          <w:szCs w:val="22"/>
        </w:rPr>
        <w:t xml:space="preserve">zapojeny ve výši 25 000 000,00 Kč na základě </w:t>
      </w:r>
      <w:r w:rsidRPr="00994F9D">
        <w:rPr>
          <w:rFonts w:asciiTheme="minorHAnsi" w:hAnsiTheme="minorHAnsi"/>
          <w:sz w:val="22"/>
          <w:szCs w:val="22"/>
        </w:rPr>
        <w:t xml:space="preserve">usnesení č. 007-04/2021/ZK ze dne 22. 2. 2021 (navýšení rozpočtu Středočeského kraje o prostředky ze sdílených daní a nevyčerpané prostředky z roku 2020 - schváleny jako součást rozdělení zůstatku hospodaření z roku 2020 schváleného usnesením č. 007-06/2021/ZK ze dne 26. 4. 2021). </w:t>
      </w:r>
    </w:p>
    <w:p w14:paraId="77C5E428" w14:textId="77777777" w:rsidR="00B85262" w:rsidRPr="00994F9D" w:rsidRDefault="00B85262" w:rsidP="00B85262">
      <w:pPr>
        <w:pStyle w:val="Odstavecseseznamem"/>
        <w:numPr>
          <w:ilvl w:val="0"/>
          <w:numId w:val="21"/>
        </w:numPr>
        <w:tabs>
          <w:tab w:val="left" w:pos="284"/>
        </w:tabs>
        <w:spacing w:line="259" w:lineRule="auto"/>
        <w:ind w:left="0" w:firstLine="0"/>
        <w:contextualSpacing/>
        <w:jc w:val="both"/>
        <w:rPr>
          <w:rFonts w:asciiTheme="minorHAnsi" w:hAnsiTheme="minorHAnsi"/>
          <w:sz w:val="22"/>
          <w:szCs w:val="22"/>
        </w:rPr>
      </w:pPr>
      <w:r w:rsidRPr="00994F9D">
        <w:rPr>
          <w:rFonts w:asciiTheme="minorHAnsi" w:hAnsiTheme="minorHAnsi"/>
          <w:sz w:val="22"/>
          <w:szCs w:val="22"/>
        </w:rPr>
        <w:t>převedeny ve výši 25 000 000,00 Kč na základě usnesení č. 006-46/2021/RK ze dne 9. 1. 2021 v rámci kapitoly 23 – Ostatní do Rezervy na nepředvídatelné události a finanční záruky Středočeského kraje</w:t>
      </w:r>
    </w:p>
    <w:p w14:paraId="7DCEDA5F" w14:textId="77777777" w:rsidR="00B85262" w:rsidRPr="00994F9D" w:rsidRDefault="00B85262" w:rsidP="00B85262">
      <w:pPr>
        <w:spacing w:after="0"/>
        <w:rPr>
          <w:b/>
          <w:bCs/>
        </w:rPr>
      </w:pPr>
    </w:p>
    <w:p w14:paraId="039C7ADB" w14:textId="77777777" w:rsidR="00B85262" w:rsidRDefault="00B85262" w:rsidP="00B85262">
      <w:pPr>
        <w:spacing w:after="0"/>
        <w:rPr>
          <w:b/>
        </w:rPr>
      </w:pPr>
      <w:r w:rsidRPr="00EB5822">
        <w:rPr>
          <w:b/>
          <w:bCs/>
        </w:rPr>
        <w:t xml:space="preserve">§ 6409 – </w:t>
      </w:r>
      <w:r w:rsidRPr="00EB5822">
        <w:rPr>
          <w:b/>
        </w:rPr>
        <w:t>Prostředky na úhradu možného navýšení mezd</w:t>
      </w:r>
      <w:r>
        <w:rPr>
          <w:b/>
        </w:rPr>
        <w:t xml:space="preserve"> </w:t>
      </w:r>
    </w:p>
    <w:p w14:paraId="2521DF47" w14:textId="77777777" w:rsidR="00B85262" w:rsidRDefault="00B85262" w:rsidP="00B85262">
      <w:pPr>
        <w:spacing w:after="0"/>
        <w:jc w:val="both"/>
        <w:rPr>
          <w:bCs/>
        </w:rPr>
      </w:pPr>
      <w:r w:rsidRPr="00EB5822">
        <w:rPr>
          <w:bCs/>
        </w:rPr>
        <w:t>V</w:t>
      </w:r>
      <w:r>
        <w:rPr>
          <w:bCs/>
        </w:rPr>
        <w:t xml:space="preserve"> roce </w:t>
      </w:r>
      <w:r w:rsidRPr="00EB5822">
        <w:rPr>
          <w:bCs/>
        </w:rPr>
        <w:t>202</w:t>
      </w:r>
      <w:r>
        <w:rPr>
          <w:bCs/>
        </w:rPr>
        <w:t>1</w:t>
      </w:r>
      <w:r w:rsidRPr="00EB5822">
        <w:rPr>
          <w:bCs/>
        </w:rPr>
        <w:t xml:space="preserve"> byly prostředky</w:t>
      </w:r>
      <w:r>
        <w:rPr>
          <w:bCs/>
        </w:rPr>
        <w:t>:</w:t>
      </w:r>
    </w:p>
    <w:p w14:paraId="1F7F77B8" w14:textId="77777777" w:rsidR="00B85262" w:rsidRPr="00994F9D" w:rsidRDefault="00B85262" w:rsidP="00B85262">
      <w:pPr>
        <w:pStyle w:val="Odstavecseseznamem"/>
        <w:numPr>
          <w:ilvl w:val="0"/>
          <w:numId w:val="20"/>
        </w:numPr>
        <w:spacing w:line="259" w:lineRule="auto"/>
        <w:ind w:left="360"/>
        <w:contextualSpacing/>
        <w:jc w:val="both"/>
        <w:rPr>
          <w:rFonts w:asciiTheme="minorHAnsi" w:hAnsiTheme="minorHAnsi"/>
          <w:bCs/>
          <w:sz w:val="22"/>
          <w:szCs w:val="22"/>
        </w:rPr>
      </w:pPr>
      <w:r w:rsidRPr="00994F9D">
        <w:rPr>
          <w:rFonts w:asciiTheme="minorHAnsi" w:hAnsiTheme="minorHAnsi"/>
          <w:bCs/>
          <w:sz w:val="22"/>
          <w:szCs w:val="22"/>
        </w:rPr>
        <w:t>navýšeny o 35 043 194,64 Kč, z toho:</w:t>
      </w:r>
    </w:p>
    <w:p w14:paraId="782087E9" w14:textId="77777777" w:rsidR="00B85262" w:rsidRDefault="00B85262" w:rsidP="00B85262">
      <w:pPr>
        <w:spacing w:after="0"/>
        <w:jc w:val="both"/>
      </w:pPr>
      <w:r>
        <w:rPr>
          <w:bCs/>
        </w:rPr>
        <w:t xml:space="preserve">6 104 988,00 Kč </w:t>
      </w:r>
      <w:r w:rsidRPr="00CA2CAC">
        <w:rPr>
          <w:bCs/>
        </w:rPr>
        <w:t xml:space="preserve">na základě </w:t>
      </w:r>
      <w:r w:rsidRPr="00EB5822">
        <w:t>usnesení č. 0</w:t>
      </w:r>
      <w:r>
        <w:t>07</w:t>
      </w:r>
      <w:r w:rsidRPr="00EB5822">
        <w:t>-</w:t>
      </w:r>
      <w:r>
        <w:t>04</w:t>
      </w:r>
      <w:r w:rsidRPr="00EB5822">
        <w:t>/202</w:t>
      </w:r>
      <w:r>
        <w:t>1</w:t>
      </w:r>
      <w:r w:rsidRPr="00EB5822">
        <w:t>/</w:t>
      </w:r>
      <w:r>
        <w:t>Z</w:t>
      </w:r>
      <w:r w:rsidRPr="00EB5822">
        <w:t xml:space="preserve">K ze dne </w:t>
      </w:r>
      <w:r>
        <w:t xml:space="preserve">22. 2. 2021 </w:t>
      </w:r>
      <w:r w:rsidRPr="00EB5822">
        <w:t>(</w:t>
      </w:r>
      <w:r>
        <w:t>navýšení rozpočtu Středočeského kraje o prostředky ze sdílených daní a nevyčerpané prostředky z roku 2020 - schváleny jako součást rozdělení zůstatku hospodaření z roku 2020 schváleného usnesením</w:t>
      </w:r>
      <w:r w:rsidRPr="00AC2946">
        <w:t xml:space="preserve"> </w:t>
      </w:r>
      <w:r w:rsidRPr="00EB5822">
        <w:t>č. 00</w:t>
      </w:r>
      <w:r>
        <w:t>7</w:t>
      </w:r>
      <w:r w:rsidRPr="00EB5822">
        <w:t>-</w:t>
      </w:r>
      <w:r>
        <w:t>06</w:t>
      </w:r>
      <w:r w:rsidRPr="00EB5822">
        <w:t>/202</w:t>
      </w:r>
      <w:r>
        <w:t>1</w:t>
      </w:r>
      <w:r w:rsidRPr="00EB5822">
        <w:t>/</w:t>
      </w:r>
      <w:r>
        <w:t>Z</w:t>
      </w:r>
      <w:r w:rsidRPr="00EB5822">
        <w:t>K ze dne 2</w:t>
      </w:r>
      <w:r>
        <w:t>6</w:t>
      </w:r>
      <w:r w:rsidRPr="00EB5822">
        <w:t xml:space="preserve">. </w:t>
      </w:r>
      <w:r>
        <w:t>4</w:t>
      </w:r>
      <w:r w:rsidRPr="00EB5822">
        <w:t>. 202</w:t>
      </w:r>
      <w:r>
        <w:t>1) – navýšení mezd zaměstnanců krajského úřadu a zřízených příspěvkových organizací,</w:t>
      </w:r>
    </w:p>
    <w:p w14:paraId="130AED15" w14:textId="77777777" w:rsidR="00B85262" w:rsidRPr="00EB5822" w:rsidRDefault="00B85262" w:rsidP="00B85262">
      <w:pPr>
        <w:spacing w:after="0"/>
        <w:jc w:val="both"/>
        <w:rPr>
          <w:bCs/>
        </w:rPr>
      </w:pPr>
      <w:r>
        <w:rPr>
          <w:bCs/>
        </w:rPr>
        <w:t>18 938 206,64</w:t>
      </w:r>
      <w:r w:rsidRPr="00EB5822">
        <w:rPr>
          <w:bCs/>
        </w:rPr>
        <w:t xml:space="preserve"> Kč na základě </w:t>
      </w:r>
      <w:r w:rsidRPr="00EB5822">
        <w:t>usnesení č. 0</w:t>
      </w:r>
      <w:r>
        <w:t>07</w:t>
      </w:r>
      <w:r w:rsidRPr="00EB5822">
        <w:t>-</w:t>
      </w:r>
      <w:r>
        <w:t>06</w:t>
      </w:r>
      <w:r w:rsidRPr="00EB5822">
        <w:t>/202</w:t>
      </w:r>
      <w:r>
        <w:t>1</w:t>
      </w:r>
      <w:r w:rsidRPr="00EB5822">
        <w:t xml:space="preserve">/ZK ze dne </w:t>
      </w:r>
      <w:r>
        <w:t>26</w:t>
      </w:r>
      <w:r w:rsidRPr="00EB5822">
        <w:t xml:space="preserve">. </w:t>
      </w:r>
      <w:r>
        <w:t>4</w:t>
      </w:r>
      <w:r w:rsidRPr="00EB5822">
        <w:t>. 202</w:t>
      </w:r>
      <w:r>
        <w:t>1</w:t>
      </w:r>
      <w:r w:rsidRPr="00EB5822">
        <w:t xml:space="preserve"> (rozdělení zůstatku hospodaření z roku 20</w:t>
      </w:r>
      <w:r>
        <w:t>21</w:t>
      </w:r>
      <w:r w:rsidRPr="00EB5822">
        <w:t>)</w:t>
      </w:r>
      <w:r>
        <w:t xml:space="preserve"> – navýšení mezd zaměstnanců krajského úřadu a zřízených příspěvkových organizací,</w:t>
      </w:r>
    </w:p>
    <w:p w14:paraId="253606C9" w14:textId="77777777" w:rsidR="00B85262" w:rsidRPr="00EB5822" w:rsidRDefault="00B85262" w:rsidP="00B85262">
      <w:pPr>
        <w:spacing w:after="0"/>
        <w:jc w:val="both"/>
        <w:rPr>
          <w:bCs/>
        </w:rPr>
      </w:pPr>
      <w:r w:rsidRPr="00EB5822">
        <w:rPr>
          <w:bCs/>
        </w:rPr>
        <w:t xml:space="preserve">10 000 000,00 Kč na základě </w:t>
      </w:r>
      <w:r w:rsidRPr="00EB5822">
        <w:t>usnesení č. 0</w:t>
      </w:r>
      <w:r>
        <w:t>07</w:t>
      </w:r>
      <w:r w:rsidRPr="00EB5822">
        <w:t>-</w:t>
      </w:r>
      <w:r>
        <w:t>06</w:t>
      </w:r>
      <w:r w:rsidRPr="00EB5822">
        <w:t>/202</w:t>
      </w:r>
      <w:r>
        <w:t>1</w:t>
      </w:r>
      <w:r w:rsidRPr="00EB5822">
        <w:t xml:space="preserve">/ZK ze dne </w:t>
      </w:r>
      <w:r>
        <w:t>26</w:t>
      </w:r>
      <w:r w:rsidRPr="00EB5822">
        <w:t xml:space="preserve">. </w:t>
      </w:r>
      <w:r>
        <w:t>4</w:t>
      </w:r>
      <w:r w:rsidRPr="00EB5822">
        <w:t>. 202</w:t>
      </w:r>
      <w:r>
        <w:t>1</w:t>
      </w:r>
      <w:r w:rsidRPr="00EB5822">
        <w:t xml:space="preserve"> (rozdělení zůstatku hospodaření z roku 20</w:t>
      </w:r>
      <w:r>
        <w:t>21</w:t>
      </w:r>
      <w:r w:rsidRPr="00EB5822">
        <w:t>)</w:t>
      </w:r>
      <w:r>
        <w:t xml:space="preserve"> – navýšení prostředků </w:t>
      </w:r>
      <w:r w:rsidRPr="00EB5822">
        <w:rPr>
          <w:bCs/>
        </w:rPr>
        <w:t xml:space="preserve">na mzdy řidičů </w:t>
      </w:r>
      <w:r>
        <w:rPr>
          <w:bCs/>
        </w:rPr>
        <w:t>veřejné dopravy.</w:t>
      </w:r>
    </w:p>
    <w:p w14:paraId="24AF23CA" w14:textId="77777777" w:rsidR="00B85262" w:rsidRDefault="00B85262" w:rsidP="00B85262">
      <w:pPr>
        <w:pStyle w:val="Odstavecseseznamem"/>
        <w:numPr>
          <w:ilvl w:val="0"/>
          <w:numId w:val="20"/>
        </w:numPr>
        <w:spacing w:line="259" w:lineRule="auto"/>
        <w:ind w:left="360"/>
        <w:contextualSpacing/>
        <w:rPr>
          <w:bCs/>
        </w:rPr>
      </w:pPr>
      <w:r w:rsidRPr="00994F9D">
        <w:rPr>
          <w:rFonts w:asciiTheme="minorHAnsi" w:hAnsiTheme="minorHAnsi"/>
          <w:bCs/>
          <w:sz w:val="22"/>
          <w:szCs w:val="22"/>
        </w:rPr>
        <w:t>Čerpány ve výši 50 000 000,00 Kč, z toho</w:t>
      </w:r>
      <w:r>
        <w:rPr>
          <w:bCs/>
        </w:rPr>
        <w:t>:</w:t>
      </w:r>
    </w:p>
    <w:p w14:paraId="6DFCBCE5" w14:textId="77777777" w:rsidR="00B85262" w:rsidRDefault="00B85262" w:rsidP="00B85262">
      <w:pPr>
        <w:spacing w:after="0"/>
        <w:rPr>
          <w:bCs/>
        </w:rPr>
      </w:pPr>
      <w:r>
        <w:rPr>
          <w:bCs/>
        </w:rPr>
        <w:t>35 192 181,00 Kč kapitolou 26 – Veřejná mobilita na základě usnesení č. 037-38/2021/RK ze dne 7. 10. 2021 (financování dopravní obslužnosti autobusovými dopravci v roce 2021),</w:t>
      </w:r>
    </w:p>
    <w:p w14:paraId="13E78618" w14:textId="77777777" w:rsidR="00B85262" w:rsidRDefault="00B85262" w:rsidP="00B85262">
      <w:pPr>
        <w:spacing w:after="0"/>
        <w:jc w:val="both"/>
        <w:rPr>
          <w:bCs/>
        </w:rPr>
      </w:pPr>
      <w:r>
        <w:rPr>
          <w:bCs/>
        </w:rPr>
        <w:t>4 807 819,00 Kč kapitolou 26 – Veřejná mobilita na základě usnesení č. 037-38/2021/RK ze dne 7. 10. 2021 (nárůst mezd řidičů veřejné dopravy),</w:t>
      </w:r>
    </w:p>
    <w:p w14:paraId="34100596" w14:textId="77777777" w:rsidR="00B85262" w:rsidRPr="008B3D33" w:rsidRDefault="00B85262" w:rsidP="00B85262">
      <w:pPr>
        <w:spacing w:after="0"/>
        <w:jc w:val="both"/>
        <w:rPr>
          <w:bCs/>
        </w:rPr>
      </w:pPr>
      <w:r>
        <w:rPr>
          <w:bCs/>
        </w:rPr>
        <w:t>10 000 000,00 Kč na základě usnesení č. 006-46/2021/RK ze dne 9. 12. 2021 (převod v rámci kapitoly 23 – Ostatní, do Rezervy na nepředvídatelné události a finanční záruky Středočeského kraje).</w:t>
      </w:r>
      <w:r w:rsidRPr="008B3D33">
        <w:rPr>
          <w:bCs/>
        </w:rPr>
        <w:t xml:space="preserve"> </w:t>
      </w:r>
      <w:r>
        <w:rPr>
          <w:bCs/>
        </w:rPr>
        <w:t xml:space="preserve">  </w:t>
      </w:r>
    </w:p>
    <w:p w14:paraId="65B30E2D" w14:textId="77777777" w:rsidR="00B85262" w:rsidRDefault="00B85262" w:rsidP="00B85262">
      <w:pPr>
        <w:spacing w:after="0"/>
        <w:rPr>
          <w:b/>
          <w:u w:val="single"/>
        </w:rPr>
      </w:pPr>
    </w:p>
    <w:p w14:paraId="2133C784" w14:textId="77777777" w:rsidR="00B85262" w:rsidRPr="008E2D48" w:rsidRDefault="00B85262" w:rsidP="00B85262">
      <w:pPr>
        <w:spacing w:after="0"/>
        <w:rPr>
          <w:b/>
          <w:sz w:val="24"/>
          <w:szCs w:val="24"/>
          <w:u w:val="single"/>
        </w:rPr>
      </w:pPr>
      <w:r w:rsidRPr="008E2D48">
        <w:rPr>
          <w:b/>
          <w:sz w:val="24"/>
          <w:szCs w:val="24"/>
          <w:u w:val="single"/>
        </w:rPr>
        <w:t>Splátky úroků z přijatých úvěrů</w:t>
      </w:r>
    </w:p>
    <w:p w14:paraId="5A79CD65" w14:textId="77777777" w:rsidR="00B85262" w:rsidRPr="00EB5822" w:rsidRDefault="00B85262" w:rsidP="00B85262">
      <w:pPr>
        <w:spacing w:after="0"/>
        <w:rPr>
          <w:b/>
          <w:bCs/>
        </w:rPr>
      </w:pPr>
      <w:r w:rsidRPr="00EB5822">
        <w:rPr>
          <w:b/>
          <w:bCs/>
        </w:rPr>
        <w:t>§ 6310 – Splátky úroků z přijatého úvěru od Komerční banky, a.s. v roce 2007</w:t>
      </w:r>
    </w:p>
    <w:p w14:paraId="0DC98F9C" w14:textId="77777777" w:rsidR="00B85262" w:rsidRDefault="00B85262" w:rsidP="00B85262">
      <w:pPr>
        <w:spacing w:after="0"/>
        <w:jc w:val="both"/>
      </w:pPr>
      <w:r w:rsidRPr="00EB5822">
        <w:t xml:space="preserve">Finanční prostředky jsou určeny na krytí úrokových nákladů přijatého bankovního úvěru od Komerční banky, a.s. (Smlouva o úvěru uzavřena dne 12. 9. 2007). </w:t>
      </w:r>
    </w:p>
    <w:p w14:paraId="08970714" w14:textId="77777777" w:rsidR="00B85262" w:rsidRPr="00EB5822" w:rsidRDefault="00B85262" w:rsidP="00B85262">
      <w:pPr>
        <w:spacing w:after="0"/>
        <w:jc w:val="both"/>
      </w:pPr>
      <w:r>
        <w:t>Prostředky byly v </w:t>
      </w:r>
      <w:bookmarkStart w:id="63" w:name="_Hlk95995341"/>
      <w:r>
        <w:t>roce</w:t>
      </w:r>
      <w:bookmarkEnd w:id="63"/>
      <w:r>
        <w:t xml:space="preserve"> 2021 posíleny o 8 477 788,19 Kč </w:t>
      </w:r>
      <w:r w:rsidRPr="00EB5822">
        <w:rPr>
          <w:bCs/>
        </w:rPr>
        <w:t xml:space="preserve">na základě </w:t>
      </w:r>
      <w:r w:rsidRPr="00EB5822">
        <w:t>usnesení č. 0</w:t>
      </w:r>
      <w:r>
        <w:t>07</w:t>
      </w:r>
      <w:r w:rsidRPr="00EB5822">
        <w:t>-</w:t>
      </w:r>
      <w:r>
        <w:t>06</w:t>
      </w:r>
      <w:r w:rsidRPr="00EB5822">
        <w:t>/202</w:t>
      </w:r>
      <w:r>
        <w:t>1</w:t>
      </w:r>
      <w:r w:rsidRPr="00EB5822">
        <w:t xml:space="preserve">/ZK ze dne </w:t>
      </w:r>
      <w:r>
        <w:t>26</w:t>
      </w:r>
      <w:r w:rsidRPr="00EB5822">
        <w:t xml:space="preserve">. </w:t>
      </w:r>
      <w:r>
        <w:t>4</w:t>
      </w:r>
      <w:r w:rsidRPr="00EB5822">
        <w:t>. 202</w:t>
      </w:r>
      <w:r>
        <w:t>1</w:t>
      </w:r>
      <w:r w:rsidRPr="00EB5822">
        <w:t xml:space="preserve"> (rozdělení zůstatku hospodaření z roku 20</w:t>
      </w:r>
      <w:r>
        <w:t>21</w:t>
      </w:r>
      <w:r w:rsidRPr="00EB5822">
        <w:t>)</w:t>
      </w:r>
      <w:r>
        <w:t xml:space="preserve">. </w:t>
      </w:r>
    </w:p>
    <w:p w14:paraId="24F72E9C" w14:textId="77777777" w:rsidR="00B85262" w:rsidRPr="00EB5822" w:rsidRDefault="00B85262" w:rsidP="00B85262">
      <w:pPr>
        <w:spacing w:after="0"/>
        <w:jc w:val="both"/>
      </w:pPr>
      <w:r w:rsidRPr="00EB5822">
        <w:t>Prostředky byly ro</w:t>
      </w:r>
      <w:r>
        <w:t>ce</w:t>
      </w:r>
      <w:r w:rsidRPr="00EB5822">
        <w:t xml:space="preserve"> 202</w:t>
      </w:r>
      <w:r>
        <w:t>1</w:t>
      </w:r>
      <w:r w:rsidRPr="00EB5822">
        <w:t xml:space="preserve"> čerpány na </w:t>
      </w:r>
      <w:r>
        <w:t>42,1</w:t>
      </w:r>
      <w:r w:rsidRPr="00EB5822">
        <w:t xml:space="preserve"> %.</w:t>
      </w:r>
    </w:p>
    <w:p w14:paraId="39C3CDD2" w14:textId="77777777" w:rsidR="00B85262" w:rsidRDefault="00B85262" w:rsidP="00B85262">
      <w:pPr>
        <w:spacing w:after="0"/>
        <w:rPr>
          <w:b/>
          <w:bCs/>
        </w:rPr>
      </w:pPr>
    </w:p>
    <w:p w14:paraId="27BBBF24" w14:textId="77777777" w:rsidR="00B85262" w:rsidRPr="00EB5822" w:rsidRDefault="00B85262" w:rsidP="00B85262">
      <w:pPr>
        <w:spacing w:after="0"/>
        <w:rPr>
          <w:b/>
          <w:bCs/>
        </w:rPr>
      </w:pPr>
      <w:r w:rsidRPr="00EB5822">
        <w:rPr>
          <w:b/>
          <w:bCs/>
        </w:rPr>
        <w:t>§ 6310 – Splátky úroků z přijatého úvěru od České spořitelny, a.s. v roce 2019</w:t>
      </w:r>
    </w:p>
    <w:p w14:paraId="68A0975A" w14:textId="77777777" w:rsidR="00B85262" w:rsidRPr="00EB5822" w:rsidRDefault="00B85262" w:rsidP="00B85262">
      <w:pPr>
        <w:spacing w:after="0"/>
        <w:jc w:val="both"/>
      </w:pPr>
      <w:r w:rsidRPr="00EB5822">
        <w:t xml:space="preserve">Finanční prostředky jsou určeny na krytí úrokových nákladů přijatého bankovního úvěru od České spořitelny, a.s. v roce 2019 (Smlouva o úvěru uzavřena dne 27. 8. 2019). </w:t>
      </w:r>
    </w:p>
    <w:p w14:paraId="73DB3846" w14:textId="77777777" w:rsidR="00B85262" w:rsidRPr="00EB5822" w:rsidRDefault="00B85262" w:rsidP="00B85262">
      <w:pPr>
        <w:spacing w:after="0"/>
        <w:jc w:val="both"/>
      </w:pPr>
      <w:r>
        <w:t xml:space="preserve">Prostředky byly v roce 2021 posíleny o 11 112 138,62 Kč </w:t>
      </w:r>
      <w:r w:rsidRPr="00EB5822">
        <w:rPr>
          <w:bCs/>
        </w:rPr>
        <w:t xml:space="preserve">na základě </w:t>
      </w:r>
      <w:r w:rsidRPr="00EB5822">
        <w:t>usnesení č. 0</w:t>
      </w:r>
      <w:r>
        <w:t>07</w:t>
      </w:r>
      <w:r w:rsidRPr="00EB5822">
        <w:t>-</w:t>
      </w:r>
      <w:r>
        <w:t>06</w:t>
      </w:r>
      <w:r w:rsidRPr="00EB5822">
        <w:t>/202</w:t>
      </w:r>
      <w:r>
        <w:t>1</w:t>
      </w:r>
      <w:r w:rsidRPr="00EB5822">
        <w:t xml:space="preserve">/ZK ze dne </w:t>
      </w:r>
      <w:r>
        <w:t>26</w:t>
      </w:r>
      <w:r w:rsidRPr="00EB5822">
        <w:t xml:space="preserve">. </w:t>
      </w:r>
      <w:r>
        <w:t>4</w:t>
      </w:r>
      <w:r w:rsidRPr="00EB5822">
        <w:t>. 202</w:t>
      </w:r>
      <w:r>
        <w:t>1</w:t>
      </w:r>
      <w:r w:rsidRPr="00EB5822">
        <w:t xml:space="preserve"> (rozdělení zůstatku hospodaření z roku 20</w:t>
      </w:r>
      <w:r>
        <w:t>21</w:t>
      </w:r>
      <w:r w:rsidRPr="00EB5822">
        <w:t>)</w:t>
      </w:r>
      <w:r>
        <w:t>.</w:t>
      </w:r>
    </w:p>
    <w:p w14:paraId="3C0ADACD" w14:textId="77777777" w:rsidR="00B85262" w:rsidRPr="00EB5822" w:rsidRDefault="00B85262" w:rsidP="00B85262">
      <w:pPr>
        <w:spacing w:after="0"/>
        <w:jc w:val="both"/>
        <w:rPr>
          <w:b/>
          <w:bCs/>
          <w:u w:val="single"/>
        </w:rPr>
      </w:pPr>
      <w:r w:rsidRPr="00EB5822">
        <w:t>Prostředky byly v</w:t>
      </w:r>
      <w:r>
        <w:t> roce</w:t>
      </w:r>
      <w:r w:rsidRPr="00EB5822">
        <w:t xml:space="preserve"> 202</w:t>
      </w:r>
      <w:r>
        <w:t xml:space="preserve">1 </w:t>
      </w:r>
      <w:r w:rsidRPr="00EB5822">
        <w:t xml:space="preserve">čerpány na </w:t>
      </w:r>
      <w:r>
        <w:t>48,4</w:t>
      </w:r>
      <w:r w:rsidRPr="00EB5822">
        <w:t xml:space="preserve"> %.</w:t>
      </w:r>
    </w:p>
    <w:p w14:paraId="0778D09B" w14:textId="77777777" w:rsidR="00B85262" w:rsidRPr="00EB5822" w:rsidRDefault="00B85262" w:rsidP="00B85262">
      <w:pPr>
        <w:spacing w:after="0"/>
        <w:rPr>
          <w:b/>
          <w:bCs/>
        </w:rPr>
      </w:pPr>
    </w:p>
    <w:p w14:paraId="40E76D86" w14:textId="77777777" w:rsidR="00B85262" w:rsidRPr="00EB5822" w:rsidRDefault="00B85262" w:rsidP="00B85262">
      <w:pPr>
        <w:spacing w:after="0"/>
        <w:rPr>
          <w:b/>
          <w:bCs/>
        </w:rPr>
      </w:pPr>
      <w:r w:rsidRPr="00EB5822">
        <w:rPr>
          <w:b/>
          <w:bCs/>
        </w:rPr>
        <w:t>§ 6310 – Splátky úroků z přijatého úvěru od Komerční banky a.s. v roce 2020</w:t>
      </w:r>
    </w:p>
    <w:p w14:paraId="096195C2" w14:textId="77777777" w:rsidR="00B85262" w:rsidRPr="00EB5822" w:rsidRDefault="00B85262" w:rsidP="00B85262">
      <w:pPr>
        <w:spacing w:after="0"/>
        <w:jc w:val="both"/>
      </w:pPr>
      <w:r w:rsidRPr="00EB5822">
        <w:t>Finanční prostředky jsou určeny na krytí úrokových nákladů přijatého bankovního úvěru od Komerční banky, a.s. v roce 2020 (Smlouva o úvěru uzavřena dne 25. 6. 2020).</w:t>
      </w:r>
    </w:p>
    <w:p w14:paraId="7FBAF26A" w14:textId="77777777" w:rsidR="00B85262" w:rsidRPr="00EB5822" w:rsidRDefault="00B85262" w:rsidP="00B85262">
      <w:pPr>
        <w:spacing w:after="0"/>
        <w:jc w:val="both"/>
      </w:pPr>
      <w:r>
        <w:t xml:space="preserve">Prostředky byly roce 2021 posíleny o 23 365,51 Kč </w:t>
      </w:r>
      <w:r w:rsidRPr="00EB5822">
        <w:rPr>
          <w:bCs/>
        </w:rPr>
        <w:t xml:space="preserve">na základě </w:t>
      </w:r>
      <w:r w:rsidRPr="00EB5822">
        <w:t>usnesení č. 0</w:t>
      </w:r>
      <w:r>
        <w:t>07</w:t>
      </w:r>
      <w:r w:rsidRPr="00EB5822">
        <w:t>-</w:t>
      </w:r>
      <w:r>
        <w:t>06</w:t>
      </w:r>
      <w:r w:rsidRPr="00EB5822">
        <w:t>/202</w:t>
      </w:r>
      <w:r>
        <w:t>1</w:t>
      </w:r>
      <w:r w:rsidRPr="00EB5822">
        <w:t xml:space="preserve">/ZK ze dne </w:t>
      </w:r>
      <w:r>
        <w:t>26</w:t>
      </w:r>
      <w:r w:rsidRPr="00EB5822">
        <w:t xml:space="preserve">. </w:t>
      </w:r>
      <w:r>
        <w:t>4</w:t>
      </w:r>
      <w:r w:rsidRPr="00EB5822">
        <w:t>. 202</w:t>
      </w:r>
      <w:r>
        <w:t>1</w:t>
      </w:r>
      <w:r w:rsidRPr="00EB5822">
        <w:t xml:space="preserve"> (rozdělení zůstatku hospodaření z roku 20</w:t>
      </w:r>
      <w:r>
        <w:t>21</w:t>
      </w:r>
      <w:r w:rsidRPr="00EB5822">
        <w:t>)</w:t>
      </w:r>
      <w:r>
        <w:t>.</w:t>
      </w:r>
    </w:p>
    <w:p w14:paraId="41F2BC87" w14:textId="77777777" w:rsidR="00B85262" w:rsidRDefault="00B85262" w:rsidP="00B85262">
      <w:pPr>
        <w:spacing w:after="0"/>
        <w:jc w:val="both"/>
      </w:pPr>
      <w:r w:rsidRPr="00EB5822">
        <w:t>Prostředky byly v</w:t>
      </w:r>
      <w:r>
        <w:t> roce</w:t>
      </w:r>
      <w:r w:rsidRPr="00EB5822">
        <w:t xml:space="preserve"> 202</w:t>
      </w:r>
      <w:r>
        <w:t xml:space="preserve">1 </w:t>
      </w:r>
      <w:r w:rsidRPr="00EB5822">
        <w:t xml:space="preserve">čerpány na </w:t>
      </w:r>
      <w:r>
        <w:t>83,5</w:t>
      </w:r>
      <w:r w:rsidRPr="00EB5822">
        <w:t xml:space="preserve"> %.</w:t>
      </w:r>
    </w:p>
    <w:p w14:paraId="18374FCD" w14:textId="77777777" w:rsidR="00B85262" w:rsidRPr="00EB5822" w:rsidRDefault="00B85262" w:rsidP="00B85262">
      <w:pPr>
        <w:spacing w:after="0"/>
        <w:jc w:val="both"/>
        <w:rPr>
          <w:b/>
          <w:bCs/>
          <w:u w:val="single"/>
        </w:rPr>
      </w:pPr>
    </w:p>
    <w:p w14:paraId="1CFD2D43" w14:textId="77777777" w:rsidR="00B85262" w:rsidRPr="00EB5822" w:rsidRDefault="00B85262" w:rsidP="00B85262">
      <w:pPr>
        <w:spacing w:after="0"/>
        <w:rPr>
          <w:b/>
          <w:bCs/>
        </w:rPr>
      </w:pPr>
      <w:r w:rsidRPr="00EB5822">
        <w:rPr>
          <w:b/>
          <w:bCs/>
        </w:rPr>
        <w:t xml:space="preserve">§ 6310 – Splátky úroků z přijatého úvěru od </w:t>
      </w:r>
      <w:r>
        <w:rPr>
          <w:b/>
          <w:bCs/>
        </w:rPr>
        <w:t>Evropské investiční banky</w:t>
      </w:r>
      <w:r w:rsidRPr="00EB5822">
        <w:rPr>
          <w:b/>
          <w:bCs/>
        </w:rPr>
        <w:t xml:space="preserve"> v roce 2020</w:t>
      </w:r>
      <w:r>
        <w:rPr>
          <w:b/>
          <w:bCs/>
        </w:rPr>
        <w:t xml:space="preserve"> a 2021</w:t>
      </w:r>
    </w:p>
    <w:p w14:paraId="37BE2940" w14:textId="77777777" w:rsidR="00B85262" w:rsidRPr="00EB5822" w:rsidRDefault="00B85262" w:rsidP="00B85262">
      <w:pPr>
        <w:spacing w:after="0"/>
        <w:jc w:val="both"/>
      </w:pPr>
      <w:r w:rsidRPr="00EB5822">
        <w:t xml:space="preserve">Finanční prostředky jsou určeny na krytí úrokových nákladů přijatého bankovního úvěru od </w:t>
      </w:r>
      <w:r>
        <w:t>Evropské investiční banky</w:t>
      </w:r>
      <w:r w:rsidRPr="00EB5822">
        <w:t xml:space="preserve"> v roce 2020</w:t>
      </w:r>
      <w:r>
        <w:t xml:space="preserve"> a 2021</w:t>
      </w:r>
      <w:r w:rsidRPr="00EB5822">
        <w:t xml:space="preserve"> (Smlouva o </w:t>
      </w:r>
      <w:r>
        <w:t>financování</w:t>
      </w:r>
      <w:r w:rsidRPr="00EB5822">
        <w:t xml:space="preserve"> uzavřena dne </w:t>
      </w:r>
      <w:r>
        <w:t>30</w:t>
      </w:r>
      <w:r w:rsidRPr="00EB5822">
        <w:t xml:space="preserve">. </w:t>
      </w:r>
      <w:r>
        <w:t>9</w:t>
      </w:r>
      <w:r w:rsidRPr="00EB5822">
        <w:t>. 2020).</w:t>
      </w:r>
    </w:p>
    <w:p w14:paraId="154141C9" w14:textId="77777777" w:rsidR="00B85262" w:rsidRDefault="00B85262" w:rsidP="00B85262">
      <w:pPr>
        <w:spacing w:after="0"/>
        <w:jc w:val="both"/>
      </w:pPr>
      <w:r w:rsidRPr="00EB5822">
        <w:t>Prostředky byly v</w:t>
      </w:r>
      <w:r>
        <w:t> roce</w:t>
      </w:r>
      <w:r w:rsidRPr="00EB5822">
        <w:t xml:space="preserve"> 202</w:t>
      </w:r>
      <w:r>
        <w:t xml:space="preserve">1 </w:t>
      </w:r>
      <w:r w:rsidRPr="00EB5822">
        <w:t xml:space="preserve">čerpány na </w:t>
      </w:r>
      <w:r>
        <w:t>29,2</w:t>
      </w:r>
      <w:r w:rsidRPr="00EB5822">
        <w:t xml:space="preserve"> %.</w:t>
      </w:r>
    </w:p>
    <w:p w14:paraId="03858514" w14:textId="77777777" w:rsidR="00B85262" w:rsidRDefault="00B85262" w:rsidP="00B85262"/>
    <w:p w14:paraId="344F0790" w14:textId="77777777" w:rsidR="00B85262" w:rsidRPr="00EB5822" w:rsidRDefault="00B85262" w:rsidP="00B85262"/>
    <w:p w14:paraId="0D5FB4B3" w14:textId="77777777" w:rsidR="00B85262" w:rsidRDefault="00B85262" w:rsidP="00B85262"/>
    <w:p w14:paraId="2BA3E915" w14:textId="77777777" w:rsidR="00B85262" w:rsidRDefault="00B85262" w:rsidP="00B85262"/>
    <w:p w14:paraId="4A318AFE" w14:textId="2037A5CE" w:rsidR="00B85262" w:rsidRDefault="00B85262" w:rsidP="00B85262"/>
    <w:p w14:paraId="11E09227" w14:textId="6F538C20" w:rsidR="000951D6" w:rsidRDefault="000951D6" w:rsidP="00B85262"/>
    <w:p w14:paraId="73339D09" w14:textId="1E1C5463" w:rsidR="000951D6" w:rsidRDefault="000951D6" w:rsidP="00B85262"/>
    <w:p w14:paraId="3FDE2604" w14:textId="48654F4E" w:rsidR="000951D6" w:rsidRDefault="000951D6" w:rsidP="00B85262"/>
    <w:p w14:paraId="71A033BB" w14:textId="29ED8951" w:rsidR="000951D6" w:rsidRDefault="000951D6" w:rsidP="00B85262"/>
    <w:p w14:paraId="18B9AFFC" w14:textId="26A11BEF" w:rsidR="000951D6" w:rsidRDefault="000951D6" w:rsidP="00B85262"/>
    <w:p w14:paraId="0DB95AF2" w14:textId="1AE2B575" w:rsidR="000951D6" w:rsidRDefault="000951D6" w:rsidP="00B85262"/>
    <w:p w14:paraId="0657FE2F" w14:textId="78BEF8C8" w:rsidR="000951D6" w:rsidRDefault="000951D6" w:rsidP="00B85262"/>
    <w:p w14:paraId="515B1B33" w14:textId="2F2F47D3" w:rsidR="000951D6" w:rsidRDefault="000951D6" w:rsidP="00B85262"/>
    <w:p w14:paraId="43E32A64" w14:textId="7CDE15C4" w:rsidR="000951D6" w:rsidRDefault="000951D6" w:rsidP="00B85262"/>
    <w:p w14:paraId="6EF5FF6E" w14:textId="6E550948" w:rsidR="000951D6" w:rsidRDefault="000951D6" w:rsidP="00B85262"/>
    <w:p w14:paraId="4F5205C4" w14:textId="77777777" w:rsidR="000951D6" w:rsidRDefault="000951D6" w:rsidP="00B85262"/>
    <w:p w14:paraId="69AE0D3C" w14:textId="77777777" w:rsidR="00B85262" w:rsidRDefault="00B85262" w:rsidP="00B85262"/>
    <w:tbl>
      <w:tblPr>
        <w:tblW w:w="9741" w:type="dxa"/>
        <w:tblCellMar>
          <w:left w:w="70" w:type="dxa"/>
          <w:right w:w="70" w:type="dxa"/>
        </w:tblCellMar>
        <w:tblLook w:val="04A0" w:firstRow="1" w:lastRow="0" w:firstColumn="1" w:lastColumn="0" w:noHBand="0" w:noVBand="1"/>
      </w:tblPr>
      <w:tblGrid>
        <w:gridCol w:w="912"/>
        <w:gridCol w:w="3887"/>
        <w:gridCol w:w="1172"/>
        <w:gridCol w:w="1574"/>
        <w:gridCol w:w="1484"/>
        <w:gridCol w:w="712"/>
      </w:tblGrid>
      <w:tr w:rsidR="00B85262" w:rsidRPr="00B85262" w14:paraId="66B4FD39" w14:textId="77777777" w:rsidTr="00B85262">
        <w:trPr>
          <w:trHeight w:val="402"/>
        </w:trPr>
        <w:tc>
          <w:tcPr>
            <w:tcW w:w="9741" w:type="dxa"/>
            <w:gridSpan w:val="6"/>
            <w:tcBorders>
              <w:top w:val="nil"/>
              <w:left w:val="nil"/>
              <w:bottom w:val="nil"/>
              <w:right w:val="nil"/>
            </w:tcBorders>
            <w:shd w:val="clear" w:color="auto" w:fill="auto"/>
            <w:noWrap/>
            <w:vAlign w:val="center"/>
            <w:hideMark/>
          </w:tcPr>
          <w:p w14:paraId="61BE905C" w14:textId="77777777" w:rsidR="00B85262" w:rsidRPr="00B85262" w:rsidRDefault="00B85262" w:rsidP="00B85262">
            <w:pPr>
              <w:spacing w:after="0" w:line="240" w:lineRule="auto"/>
              <w:jc w:val="center"/>
              <w:rPr>
                <w:rFonts w:ascii="Calibri" w:eastAsia="Times New Roman" w:hAnsi="Calibri" w:cs="Calibri"/>
                <w:b/>
                <w:bCs/>
                <w:sz w:val="28"/>
                <w:szCs w:val="28"/>
                <w:lang w:eastAsia="cs-CZ"/>
              </w:rPr>
            </w:pPr>
            <w:r w:rsidRPr="00B85262">
              <w:rPr>
                <w:rFonts w:ascii="Calibri" w:eastAsia="Times New Roman" w:hAnsi="Calibri" w:cs="Calibri"/>
                <w:b/>
                <w:bCs/>
                <w:sz w:val="28"/>
                <w:szCs w:val="28"/>
                <w:lang w:eastAsia="cs-CZ"/>
              </w:rPr>
              <w:t>Čerpání rozpočtu kapitoly 24 - Podpora příspěvkových organizací - období: 1. - 12. 2021</w:t>
            </w:r>
          </w:p>
        </w:tc>
      </w:tr>
      <w:tr w:rsidR="00B85262" w:rsidRPr="00B85262" w14:paraId="797EA5AC" w14:textId="77777777" w:rsidTr="00B85262">
        <w:trPr>
          <w:trHeight w:val="360"/>
        </w:trPr>
        <w:tc>
          <w:tcPr>
            <w:tcW w:w="912" w:type="dxa"/>
            <w:tcBorders>
              <w:top w:val="nil"/>
              <w:left w:val="nil"/>
              <w:bottom w:val="nil"/>
              <w:right w:val="nil"/>
            </w:tcBorders>
            <w:shd w:val="clear" w:color="auto" w:fill="auto"/>
            <w:noWrap/>
            <w:vAlign w:val="bottom"/>
            <w:hideMark/>
          </w:tcPr>
          <w:p w14:paraId="486371D0" w14:textId="77777777" w:rsidR="00B85262" w:rsidRPr="00B85262" w:rsidRDefault="00B85262" w:rsidP="00B85262">
            <w:pPr>
              <w:spacing w:after="0" w:line="240" w:lineRule="auto"/>
              <w:jc w:val="center"/>
              <w:rPr>
                <w:rFonts w:ascii="Calibri" w:eastAsia="Times New Roman" w:hAnsi="Calibri" w:cs="Calibri"/>
                <w:b/>
                <w:bCs/>
                <w:sz w:val="28"/>
                <w:szCs w:val="28"/>
                <w:lang w:eastAsia="cs-CZ"/>
              </w:rPr>
            </w:pPr>
          </w:p>
        </w:tc>
        <w:tc>
          <w:tcPr>
            <w:tcW w:w="3887" w:type="dxa"/>
            <w:tcBorders>
              <w:top w:val="nil"/>
              <w:left w:val="nil"/>
              <w:bottom w:val="nil"/>
              <w:right w:val="nil"/>
            </w:tcBorders>
            <w:shd w:val="clear" w:color="auto" w:fill="auto"/>
            <w:noWrap/>
            <w:vAlign w:val="bottom"/>
            <w:hideMark/>
          </w:tcPr>
          <w:p w14:paraId="2A1206F0"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1172" w:type="dxa"/>
            <w:tcBorders>
              <w:top w:val="nil"/>
              <w:left w:val="nil"/>
              <w:bottom w:val="nil"/>
              <w:right w:val="nil"/>
            </w:tcBorders>
            <w:shd w:val="clear" w:color="auto" w:fill="auto"/>
            <w:noWrap/>
            <w:vAlign w:val="bottom"/>
            <w:hideMark/>
          </w:tcPr>
          <w:p w14:paraId="10A0FEE1"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1574" w:type="dxa"/>
            <w:tcBorders>
              <w:top w:val="nil"/>
              <w:left w:val="nil"/>
              <w:bottom w:val="nil"/>
              <w:right w:val="nil"/>
            </w:tcBorders>
            <w:shd w:val="clear" w:color="auto" w:fill="auto"/>
            <w:noWrap/>
            <w:vAlign w:val="bottom"/>
            <w:hideMark/>
          </w:tcPr>
          <w:p w14:paraId="0B5EC17A"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1484" w:type="dxa"/>
            <w:tcBorders>
              <w:top w:val="nil"/>
              <w:left w:val="nil"/>
              <w:bottom w:val="nil"/>
              <w:right w:val="nil"/>
            </w:tcBorders>
            <w:shd w:val="clear" w:color="auto" w:fill="auto"/>
            <w:noWrap/>
            <w:vAlign w:val="bottom"/>
            <w:hideMark/>
          </w:tcPr>
          <w:p w14:paraId="4D312097"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712" w:type="dxa"/>
            <w:tcBorders>
              <w:top w:val="nil"/>
              <w:left w:val="nil"/>
              <w:bottom w:val="nil"/>
              <w:right w:val="nil"/>
            </w:tcBorders>
            <w:shd w:val="clear" w:color="auto" w:fill="auto"/>
            <w:noWrap/>
            <w:vAlign w:val="bottom"/>
            <w:hideMark/>
          </w:tcPr>
          <w:p w14:paraId="70BC0E54" w14:textId="77777777" w:rsidR="00B85262" w:rsidRPr="00B85262" w:rsidRDefault="00B85262" w:rsidP="00B85262">
            <w:pPr>
              <w:spacing w:after="0" w:line="240" w:lineRule="auto"/>
              <w:jc w:val="right"/>
              <w:rPr>
                <w:rFonts w:ascii="Calibri" w:eastAsia="Times New Roman" w:hAnsi="Calibri" w:cs="Calibri"/>
                <w:lang w:eastAsia="cs-CZ"/>
              </w:rPr>
            </w:pPr>
            <w:r w:rsidRPr="00B85262">
              <w:rPr>
                <w:rFonts w:ascii="Calibri" w:eastAsia="Times New Roman" w:hAnsi="Calibri" w:cs="Calibri"/>
                <w:lang w:eastAsia="cs-CZ"/>
              </w:rPr>
              <w:t xml:space="preserve"> v Kč</w:t>
            </w:r>
          </w:p>
        </w:tc>
      </w:tr>
      <w:tr w:rsidR="00B85262" w:rsidRPr="00B85262" w14:paraId="7060649A" w14:textId="77777777" w:rsidTr="00B85262">
        <w:trPr>
          <w:trHeight w:val="705"/>
        </w:trPr>
        <w:tc>
          <w:tcPr>
            <w:tcW w:w="912" w:type="dxa"/>
            <w:tcBorders>
              <w:top w:val="single" w:sz="8" w:space="0" w:color="auto"/>
              <w:left w:val="single" w:sz="8" w:space="0" w:color="auto"/>
              <w:bottom w:val="single" w:sz="8" w:space="0" w:color="auto"/>
              <w:right w:val="single" w:sz="8" w:space="0" w:color="auto"/>
            </w:tcBorders>
            <w:shd w:val="clear" w:color="000000" w:fill="CCFFCC"/>
            <w:noWrap/>
            <w:vAlign w:val="center"/>
            <w:hideMark/>
          </w:tcPr>
          <w:p w14:paraId="0AA6ACC0"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Paragraf</w:t>
            </w:r>
          </w:p>
        </w:tc>
        <w:tc>
          <w:tcPr>
            <w:tcW w:w="3887" w:type="dxa"/>
            <w:tcBorders>
              <w:top w:val="single" w:sz="8" w:space="0" w:color="auto"/>
              <w:left w:val="nil"/>
              <w:bottom w:val="single" w:sz="8" w:space="0" w:color="auto"/>
              <w:right w:val="single" w:sz="8" w:space="0" w:color="auto"/>
            </w:tcBorders>
            <w:shd w:val="clear" w:color="000000" w:fill="CCFFCC"/>
            <w:noWrap/>
            <w:vAlign w:val="center"/>
            <w:hideMark/>
          </w:tcPr>
          <w:p w14:paraId="373DFF91"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Oblast rozpočtu</w:t>
            </w:r>
          </w:p>
        </w:tc>
        <w:tc>
          <w:tcPr>
            <w:tcW w:w="1172" w:type="dxa"/>
            <w:tcBorders>
              <w:top w:val="single" w:sz="8" w:space="0" w:color="auto"/>
              <w:left w:val="nil"/>
              <w:bottom w:val="single" w:sz="8" w:space="0" w:color="auto"/>
              <w:right w:val="single" w:sz="8" w:space="0" w:color="auto"/>
            </w:tcBorders>
            <w:shd w:val="clear" w:color="000000" w:fill="CCFFCC"/>
            <w:vAlign w:val="center"/>
            <w:hideMark/>
          </w:tcPr>
          <w:p w14:paraId="608231E5"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Schválený rozpočet</w:t>
            </w:r>
          </w:p>
        </w:tc>
        <w:tc>
          <w:tcPr>
            <w:tcW w:w="1574" w:type="dxa"/>
            <w:tcBorders>
              <w:top w:val="single" w:sz="8" w:space="0" w:color="auto"/>
              <w:left w:val="nil"/>
              <w:bottom w:val="single" w:sz="8" w:space="0" w:color="auto"/>
              <w:right w:val="single" w:sz="8" w:space="0" w:color="auto"/>
            </w:tcBorders>
            <w:shd w:val="clear" w:color="000000" w:fill="CCFFCC"/>
            <w:vAlign w:val="center"/>
            <w:hideMark/>
          </w:tcPr>
          <w:p w14:paraId="7DC0FE52"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Rozpočet po úpravě</w:t>
            </w:r>
          </w:p>
        </w:tc>
        <w:tc>
          <w:tcPr>
            <w:tcW w:w="1484" w:type="dxa"/>
            <w:tcBorders>
              <w:top w:val="single" w:sz="8" w:space="0" w:color="auto"/>
              <w:left w:val="nil"/>
              <w:bottom w:val="single" w:sz="8" w:space="0" w:color="auto"/>
              <w:right w:val="single" w:sz="8" w:space="0" w:color="auto"/>
            </w:tcBorders>
            <w:shd w:val="clear" w:color="000000" w:fill="CCFFCC"/>
            <w:vAlign w:val="center"/>
            <w:hideMark/>
          </w:tcPr>
          <w:p w14:paraId="6FE991B6"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 xml:space="preserve">Skutečnost </w:t>
            </w:r>
          </w:p>
        </w:tc>
        <w:tc>
          <w:tcPr>
            <w:tcW w:w="712" w:type="dxa"/>
            <w:tcBorders>
              <w:top w:val="single" w:sz="8" w:space="0" w:color="auto"/>
              <w:left w:val="nil"/>
              <w:bottom w:val="single" w:sz="8" w:space="0" w:color="auto"/>
              <w:right w:val="single" w:sz="8" w:space="0" w:color="auto"/>
            </w:tcBorders>
            <w:shd w:val="clear" w:color="000000" w:fill="CCFFCC"/>
            <w:vAlign w:val="center"/>
            <w:hideMark/>
          </w:tcPr>
          <w:p w14:paraId="6E87F21E"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 plnění</w:t>
            </w:r>
          </w:p>
        </w:tc>
      </w:tr>
      <w:tr w:rsidR="00B85262" w:rsidRPr="00B85262" w14:paraId="35164E37" w14:textId="77777777" w:rsidTr="00B85262">
        <w:trPr>
          <w:trHeight w:val="360"/>
        </w:trPr>
        <w:tc>
          <w:tcPr>
            <w:tcW w:w="912" w:type="dxa"/>
            <w:tcBorders>
              <w:top w:val="nil"/>
              <w:left w:val="nil"/>
              <w:bottom w:val="nil"/>
              <w:right w:val="nil"/>
            </w:tcBorders>
            <w:shd w:val="clear" w:color="auto" w:fill="auto"/>
            <w:noWrap/>
            <w:vAlign w:val="center"/>
            <w:hideMark/>
          </w:tcPr>
          <w:p w14:paraId="3D0063F4"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p>
        </w:tc>
        <w:tc>
          <w:tcPr>
            <w:tcW w:w="3887" w:type="dxa"/>
            <w:tcBorders>
              <w:top w:val="nil"/>
              <w:left w:val="nil"/>
              <w:bottom w:val="nil"/>
              <w:right w:val="nil"/>
            </w:tcBorders>
            <w:shd w:val="clear" w:color="auto" w:fill="auto"/>
            <w:noWrap/>
            <w:vAlign w:val="center"/>
            <w:hideMark/>
          </w:tcPr>
          <w:p w14:paraId="530752CB" w14:textId="77777777" w:rsidR="00B85262" w:rsidRPr="00B85262" w:rsidRDefault="00B85262" w:rsidP="00B85262">
            <w:pPr>
              <w:spacing w:after="0" w:line="240" w:lineRule="auto"/>
              <w:rPr>
                <w:rFonts w:ascii="Calibri" w:eastAsia="Times New Roman" w:hAnsi="Calibri" w:cs="Calibri"/>
                <w:b/>
                <w:bCs/>
                <w:lang w:eastAsia="cs-CZ"/>
              </w:rPr>
            </w:pPr>
            <w:r w:rsidRPr="00B85262">
              <w:rPr>
                <w:rFonts w:ascii="Calibri" w:eastAsia="Times New Roman" w:hAnsi="Calibri" w:cs="Calibri"/>
                <w:b/>
                <w:bCs/>
                <w:lang w:eastAsia="cs-CZ"/>
              </w:rPr>
              <w:t>Běžné výdaje</w:t>
            </w:r>
          </w:p>
        </w:tc>
        <w:tc>
          <w:tcPr>
            <w:tcW w:w="1172" w:type="dxa"/>
            <w:tcBorders>
              <w:top w:val="nil"/>
              <w:left w:val="nil"/>
              <w:bottom w:val="nil"/>
              <w:right w:val="nil"/>
            </w:tcBorders>
            <w:shd w:val="clear" w:color="auto" w:fill="auto"/>
            <w:noWrap/>
            <w:vAlign w:val="center"/>
            <w:hideMark/>
          </w:tcPr>
          <w:p w14:paraId="5B0016B4" w14:textId="77777777" w:rsidR="00B85262" w:rsidRPr="00B85262" w:rsidRDefault="00B85262" w:rsidP="00B85262">
            <w:pPr>
              <w:spacing w:after="0" w:line="240" w:lineRule="auto"/>
              <w:rPr>
                <w:rFonts w:ascii="Calibri" w:eastAsia="Times New Roman" w:hAnsi="Calibri" w:cs="Calibri"/>
                <w:b/>
                <w:bCs/>
                <w:lang w:eastAsia="cs-CZ"/>
              </w:rPr>
            </w:pPr>
          </w:p>
        </w:tc>
        <w:tc>
          <w:tcPr>
            <w:tcW w:w="1574" w:type="dxa"/>
            <w:tcBorders>
              <w:top w:val="nil"/>
              <w:left w:val="nil"/>
              <w:bottom w:val="nil"/>
              <w:right w:val="nil"/>
            </w:tcBorders>
            <w:shd w:val="clear" w:color="auto" w:fill="auto"/>
            <w:noWrap/>
            <w:vAlign w:val="center"/>
            <w:hideMark/>
          </w:tcPr>
          <w:p w14:paraId="2D73D2E1" w14:textId="77777777" w:rsidR="00B85262" w:rsidRPr="00B85262" w:rsidRDefault="00B85262" w:rsidP="00B85262">
            <w:pPr>
              <w:spacing w:after="0" w:line="240" w:lineRule="auto"/>
              <w:jc w:val="right"/>
              <w:rPr>
                <w:rFonts w:ascii="Times New Roman" w:eastAsia="Times New Roman" w:hAnsi="Times New Roman" w:cs="Times New Roman"/>
                <w:sz w:val="20"/>
                <w:szCs w:val="20"/>
                <w:lang w:eastAsia="cs-CZ"/>
              </w:rPr>
            </w:pPr>
          </w:p>
        </w:tc>
        <w:tc>
          <w:tcPr>
            <w:tcW w:w="1484" w:type="dxa"/>
            <w:tcBorders>
              <w:top w:val="nil"/>
              <w:left w:val="nil"/>
              <w:bottom w:val="nil"/>
              <w:right w:val="nil"/>
            </w:tcBorders>
            <w:shd w:val="clear" w:color="auto" w:fill="auto"/>
            <w:noWrap/>
            <w:vAlign w:val="center"/>
            <w:hideMark/>
          </w:tcPr>
          <w:p w14:paraId="4F6DD342" w14:textId="77777777" w:rsidR="00B85262" w:rsidRPr="00B85262" w:rsidRDefault="00B85262" w:rsidP="00B85262">
            <w:pPr>
              <w:spacing w:after="0" w:line="240" w:lineRule="auto"/>
              <w:jc w:val="right"/>
              <w:rPr>
                <w:rFonts w:ascii="Times New Roman" w:eastAsia="Times New Roman" w:hAnsi="Times New Roman" w:cs="Times New Roman"/>
                <w:sz w:val="20"/>
                <w:szCs w:val="20"/>
                <w:lang w:eastAsia="cs-CZ"/>
              </w:rPr>
            </w:pPr>
          </w:p>
        </w:tc>
        <w:tc>
          <w:tcPr>
            <w:tcW w:w="712" w:type="dxa"/>
            <w:tcBorders>
              <w:top w:val="nil"/>
              <w:left w:val="nil"/>
              <w:bottom w:val="nil"/>
              <w:right w:val="nil"/>
            </w:tcBorders>
            <w:shd w:val="clear" w:color="auto" w:fill="auto"/>
            <w:noWrap/>
            <w:vAlign w:val="center"/>
            <w:hideMark/>
          </w:tcPr>
          <w:p w14:paraId="434E7CCB" w14:textId="77777777" w:rsidR="00B85262" w:rsidRPr="00B85262" w:rsidRDefault="00B85262" w:rsidP="00B85262">
            <w:pPr>
              <w:spacing w:after="0" w:line="240" w:lineRule="auto"/>
              <w:jc w:val="right"/>
              <w:rPr>
                <w:rFonts w:ascii="Times New Roman" w:eastAsia="Times New Roman" w:hAnsi="Times New Roman" w:cs="Times New Roman"/>
                <w:sz w:val="20"/>
                <w:szCs w:val="20"/>
                <w:lang w:eastAsia="cs-CZ"/>
              </w:rPr>
            </w:pPr>
          </w:p>
        </w:tc>
      </w:tr>
      <w:tr w:rsidR="00B85262" w:rsidRPr="00B85262" w14:paraId="38E88F63" w14:textId="77777777" w:rsidTr="00B85262">
        <w:trPr>
          <w:trHeight w:val="510"/>
        </w:trPr>
        <w:tc>
          <w:tcPr>
            <w:tcW w:w="912"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3C35EFC"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6172</w:t>
            </w:r>
          </w:p>
        </w:tc>
        <w:tc>
          <w:tcPr>
            <w:tcW w:w="3887" w:type="dxa"/>
            <w:tcBorders>
              <w:top w:val="single" w:sz="8" w:space="0" w:color="auto"/>
              <w:left w:val="nil"/>
              <w:bottom w:val="nil"/>
              <w:right w:val="single" w:sz="4" w:space="0" w:color="auto"/>
            </w:tcBorders>
            <w:shd w:val="clear" w:color="auto" w:fill="auto"/>
            <w:vAlign w:val="bottom"/>
            <w:hideMark/>
          </w:tcPr>
          <w:p w14:paraId="691FBC91" w14:textId="77777777" w:rsidR="00B85262" w:rsidRPr="00B85262" w:rsidRDefault="00B85262" w:rsidP="00B85262">
            <w:pPr>
              <w:spacing w:after="0" w:line="240" w:lineRule="auto"/>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Rozvoj ICT nástrojů pro řízení a podporu příspěvkových organizací</w:t>
            </w:r>
          </w:p>
        </w:tc>
        <w:tc>
          <w:tcPr>
            <w:tcW w:w="1172" w:type="dxa"/>
            <w:tcBorders>
              <w:top w:val="single" w:sz="8" w:space="0" w:color="auto"/>
              <w:left w:val="nil"/>
              <w:bottom w:val="single" w:sz="4" w:space="0" w:color="auto"/>
              <w:right w:val="single" w:sz="4" w:space="0" w:color="auto"/>
            </w:tcBorders>
            <w:shd w:val="clear" w:color="auto" w:fill="auto"/>
            <w:noWrap/>
            <w:vAlign w:val="bottom"/>
            <w:hideMark/>
          </w:tcPr>
          <w:p w14:paraId="0191EA69"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500 000</w:t>
            </w:r>
          </w:p>
        </w:tc>
        <w:tc>
          <w:tcPr>
            <w:tcW w:w="1574" w:type="dxa"/>
            <w:tcBorders>
              <w:top w:val="single" w:sz="8" w:space="0" w:color="auto"/>
              <w:left w:val="nil"/>
              <w:bottom w:val="single" w:sz="4" w:space="0" w:color="auto"/>
              <w:right w:val="single" w:sz="4" w:space="0" w:color="auto"/>
            </w:tcBorders>
            <w:shd w:val="clear" w:color="auto" w:fill="auto"/>
            <w:noWrap/>
            <w:vAlign w:val="bottom"/>
            <w:hideMark/>
          </w:tcPr>
          <w:p w14:paraId="55DA688E"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618 997,45</w:t>
            </w:r>
          </w:p>
        </w:tc>
        <w:tc>
          <w:tcPr>
            <w:tcW w:w="1484" w:type="dxa"/>
            <w:tcBorders>
              <w:top w:val="single" w:sz="8" w:space="0" w:color="auto"/>
              <w:left w:val="nil"/>
              <w:bottom w:val="single" w:sz="4" w:space="0" w:color="auto"/>
              <w:right w:val="single" w:sz="4" w:space="0" w:color="auto"/>
            </w:tcBorders>
            <w:shd w:val="clear" w:color="auto" w:fill="auto"/>
            <w:noWrap/>
            <w:vAlign w:val="bottom"/>
            <w:hideMark/>
          </w:tcPr>
          <w:p w14:paraId="36E9E216"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134 709,30</w:t>
            </w:r>
          </w:p>
        </w:tc>
        <w:tc>
          <w:tcPr>
            <w:tcW w:w="712" w:type="dxa"/>
            <w:tcBorders>
              <w:top w:val="single" w:sz="8" w:space="0" w:color="auto"/>
              <w:left w:val="nil"/>
              <w:bottom w:val="single" w:sz="4" w:space="0" w:color="auto"/>
              <w:right w:val="single" w:sz="8" w:space="0" w:color="auto"/>
            </w:tcBorders>
            <w:shd w:val="clear" w:color="auto" w:fill="auto"/>
            <w:noWrap/>
            <w:vAlign w:val="bottom"/>
            <w:hideMark/>
          </w:tcPr>
          <w:p w14:paraId="45932468"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21,8</w:t>
            </w:r>
          </w:p>
        </w:tc>
      </w:tr>
      <w:tr w:rsidR="00B85262" w:rsidRPr="00B85262" w14:paraId="14BE1761" w14:textId="77777777" w:rsidTr="00B85262">
        <w:trPr>
          <w:trHeight w:val="525"/>
        </w:trPr>
        <w:tc>
          <w:tcPr>
            <w:tcW w:w="912" w:type="dxa"/>
            <w:tcBorders>
              <w:top w:val="nil"/>
              <w:left w:val="single" w:sz="8" w:space="0" w:color="auto"/>
              <w:bottom w:val="single" w:sz="8" w:space="0" w:color="auto"/>
              <w:right w:val="single" w:sz="4" w:space="0" w:color="auto"/>
            </w:tcBorders>
            <w:shd w:val="clear" w:color="auto" w:fill="auto"/>
            <w:noWrap/>
            <w:vAlign w:val="bottom"/>
            <w:hideMark/>
          </w:tcPr>
          <w:p w14:paraId="4CD18821"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6172</w:t>
            </w:r>
          </w:p>
        </w:tc>
        <w:tc>
          <w:tcPr>
            <w:tcW w:w="3887" w:type="dxa"/>
            <w:tcBorders>
              <w:top w:val="single" w:sz="4" w:space="0" w:color="auto"/>
              <w:left w:val="nil"/>
              <w:bottom w:val="single" w:sz="8" w:space="0" w:color="auto"/>
              <w:right w:val="single" w:sz="4" w:space="0" w:color="auto"/>
            </w:tcBorders>
            <w:shd w:val="clear" w:color="auto" w:fill="auto"/>
            <w:vAlign w:val="bottom"/>
            <w:hideMark/>
          </w:tcPr>
          <w:p w14:paraId="1D60388D" w14:textId="77777777" w:rsidR="00B85262" w:rsidRPr="00B85262" w:rsidRDefault="00B85262" w:rsidP="00B85262">
            <w:pPr>
              <w:spacing w:after="0" w:line="240" w:lineRule="auto"/>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Implementace elektronické řídicí kontroly na příspěvkové organizace</w:t>
            </w:r>
          </w:p>
        </w:tc>
        <w:tc>
          <w:tcPr>
            <w:tcW w:w="1172" w:type="dxa"/>
            <w:tcBorders>
              <w:top w:val="nil"/>
              <w:left w:val="nil"/>
              <w:bottom w:val="single" w:sz="8" w:space="0" w:color="auto"/>
              <w:right w:val="single" w:sz="4" w:space="0" w:color="auto"/>
            </w:tcBorders>
            <w:shd w:val="clear" w:color="auto" w:fill="auto"/>
            <w:noWrap/>
            <w:vAlign w:val="bottom"/>
            <w:hideMark/>
          </w:tcPr>
          <w:p w14:paraId="0F66358B"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0</w:t>
            </w:r>
          </w:p>
        </w:tc>
        <w:tc>
          <w:tcPr>
            <w:tcW w:w="1574" w:type="dxa"/>
            <w:tcBorders>
              <w:top w:val="nil"/>
              <w:left w:val="nil"/>
              <w:bottom w:val="single" w:sz="8" w:space="0" w:color="auto"/>
              <w:right w:val="single" w:sz="4" w:space="0" w:color="auto"/>
            </w:tcBorders>
            <w:shd w:val="clear" w:color="auto" w:fill="auto"/>
            <w:noWrap/>
            <w:vAlign w:val="bottom"/>
            <w:hideMark/>
          </w:tcPr>
          <w:p w14:paraId="5F20D170"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2 680 000,00</w:t>
            </w:r>
          </w:p>
        </w:tc>
        <w:tc>
          <w:tcPr>
            <w:tcW w:w="1484" w:type="dxa"/>
            <w:tcBorders>
              <w:top w:val="nil"/>
              <w:left w:val="nil"/>
              <w:bottom w:val="single" w:sz="8" w:space="0" w:color="auto"/>
              <w:right w:val="single" w:sz="4" w:space="0" w:color="auto"/>
            </w:tcBorders>
            <w:shd w:val="clear" w:color="auto" w:fill="auto"/>
            <w:noWrap/>
            <w:vAlign w:val="bottom"/>
            <w:hideMark/>
          </w:tcPr>
          <w:p w14:paraId="090F9B85"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0,00</w:t>
            </w:r>
          </w:p>
        </w:tc>
        <w:tc>
          <w:tcPr>
            <w:tcW w:w="712" w:type="dxa"/>
            <w:tcBorders>
              <w:top w:val="nil"/>
              <w:left w:val="nil"/>
              <w:bottom w:val="single" w:sz="8" w:space="0" w:color="auto"/>
              <w:right w:val="single" w:sz="8" w:space="0" w:color="auto"/>
            </w:tcBorders>
            <w:shd w:val="clear" w:color="auto" w:fill="auto"/>
            <w:noWrap/>
            <w:vAlign w:val="bottom"/>
            <w:hideMark/>
          </w:tcPr>
          <w:p w14:paraId="36CDEB06"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0,0</w:t>
            </w:r>
          </w:p>
        </w:tc>
      </w:tr>
      <w:tr w:rsidR="00B85262" w:rsidRPr="00B85262" w14:paraId="205C5DA9" w14:textId="77777777" w:rsidTr="00B85262">
        <w:trPr>
          <w:trHeight w:val="323"/>
        </w:trPr>
        <w:tc>
          <w:tcPr>
            <w:tcW w:w="912" w:type="dxa"/>
            <w:tcBorders>
              <w:top w:val="nil"/>
              <w:left w:val="single" w:sz="8" w:space="0" w:color="auto"/>
              <w:bottom w:val="single" w:sz="8" w:space="0" w:color="auto"/>
              <w:right w:val="single" w:sz="4" w:space="0" w:color="auto"/>
            </w:tcBorders>
            <w:shd w:val="clear" w:color="auto" w:fill="auto"/>
            <w:noWrap/>
            <w:vAlign w:val="center"/>
            <w:hideMark/>
          </w:tcPr>
          <w:p w14:paraId="5B93A1AE" w14:textId="77777777" w:rsidR="00B85262" w:rsidRPr="00B85262" w:rsidRDefault="00B85262" w:rsidP="00B85262">
            <w:pPr>
              <w:spacing w:after="0" w:line="240" w:lineRule="auto"/>
              <w:jc w:val="center"/>
              <w:rPr>
                <w:rFonts w:ascii="Calibri" w:eastAsia="Times New Roman" w:hAnsi="Calibri" w:cs="Calibri"/>
                <w:lang w:eastAsia="cs-CZ"/>
              </w:rPr>
            </w:pPr>
            <w:r w:rsidRPr="00B85262">
              <w:rPr>
                <w:rFonts w:ascii="Calibri" w:eastAsia="Times New Roman" w:hAnsi="Calibri" w:cs="Calibri"/>
                <w:lang w:eastAsia="cs-CZ"/>
              </w:rPr>
              <w:t> </w:t>
            </w:r>
          </w:p>
        </w:tc>
        <w:tc>
          <w:tcPr>
            <w:tcW w:w="3887" w:type="dxa"/>
            <w:tcBorders>
              <w:top w:val="nil"/>
              <w:left w:val="nil"/>
              <w:bottom w:val="single" w:sz="8" w:space="0" w:color="auto"/>
              <w:right w:val="single" w:sz="4" w:space="0" w:color="auto"/>
            </w:tcBorders>
            <w:shd w:val="clear" w:color="auto" w:fill="auto"/>
            <w:noWrap/>
            <w:vAlign w:val="center"/>
            <w:hideMark/>
          </w:tcPr>
          <w:p w14:paraId="49AE67F4" w14:textId="77777777" w:rsidR="00B85262" w:rsidRPr="00B85262" w:rsidRDefault="00B85262" w:rsidP="00B85262">
            <w:pPr>
              <w:spacing w:after="0" w:line="240" w:lineRule="auto"/>
              <w:rPr>
                <w:rFonts w:ascii="Calibri" w:eastAsia="Times New Roman" w:hAnsi="Calibri" w:cs="Calibri"/>
                <w:b/>
                <w:bCs/>
                <w:lang w:eastAsia="cs-CZ"/>
              </w:rPr>
            </w:pPr>
            <w:r w:rsidRPr="00B85262">
              <w:rPr>
                <w:rFonts w:ascii="Calibri" w:eastAsia="Times New Roman" w:hAnsi="Calibri" w:cs="Calibri"/>
                <w:b/>
                <w:bCs/>
                <w:lang w:eastAsia="cs-CZ"/>
              </w:rPr>
              <w:t>Celkem</w:t>
            </w:r>
          </w:p>
        </w:tc>
        <w:tc>
          <w:tcPr>
            <w:tcW w:w="1172" w:type="dxa"/>
            <w:tcBorders>
              <w:top w:val="nil"/>
              <w:left w:val="nil"/>
              <w:bottom w:val="single" w:sz="8" w:space="0" w:color="auto"/>
              <w:right w:val="single" w:sz="4" w:space="0" w:color="auto"/>
            </w:tcBorders>
            <w:shd w:val="clear" w:color="auto" w:fill="auto"/>
            <w:noWrap/>
            <w:vAlign w:val="center"/>
            <w:hideMark/>
          </w:tcPr>
          <w:p w14:paraId="42D6CA04"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500 000</w:t>
            </w:r>
          </w:p>
        </w:tc>
        <w:tc>
          <w:tcPr>
            <w:tcW w:w="1574" w:type="dxa"/>
            <w:tcBorders>
              <w:top w:val="nil"/>
              <w:left w:val="nil"/>
              <w:bottom w:val="single" w:sz="8" w:space="0" w:color="auto"/>
              <w:right w:val="single" w:sz="4" w:space="0" w:color="auto"/>
            </w:tcBorders>
            <w:shd w:val="clear" w:color="auto" w:fill="auto"/>
            <w:noWrap/>
            <w:vAlign w:val="center"/>
            <w:hideMark/>
          </w:tcPr>
          <w:p w14:paraId="4510D524"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3 298 997,45</w:t>
            </w:r>
          </w:p>
        </w:tc>
        <w:tc>
          <w:tcPr>
            <w:tcW w:w="1484" w:type="dxa"/>
            <w:tcBorders>
              <w:top w:val="nil"/>
              <w:left w:val="nil"/>
              <w:bottom w:val="single" w:sz="8" w:space="0" w:color="auto"/>
              <w:right w:val="single" w:sz="4" w:space="0" w:color="auto"/>
            </w:tcBorders>
            <w:shd w:val="clear" w:color="auto" w:fill="auto"/>
            <w:noWrap/>
            <w:vAlign w:val="center"/>
            <w:hideMark/>
          </w:tcPr>
          <w:p w14:paraId="31CDB02E"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134 709,30</w:t>
            </w:r>
          </w:p>
        </w:tc>
        <w:tc>
          <w:tcPr>
            <w:tcW w:w="712" w:type="dxa"/>
            <w:tcBorders>
              <w:top w:val="nil"/>
              <w:left w:val="nil"/>
              <w:bottom w:val="single" w:sz="8" w:space="0" w:color="auto"/>
              <w:right w:val="single" w:sz="8" w:space="0" w:color="auto"/>
            </w:tcBorders>
            <w:shd w:val="clear" w:color="auto" w:fill="auto"/>
            <w:noWrap/>
            <w:vAlign w:val="center"/>
            <w:hideMark/>
          </w:tcPr>
          <w:p w14:paraId="3AEC8FFB"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4,1</w:t>
            </w:r>
          </w:p>
        </w:tc>
      </w:tr>
      <w:tr w:rsidR="00B85262" w:rsidRPr="00B85262" w14:paraId="1E224597" w14:textId="77777777" w:rsidTr="00B85262">
        <w:trPr>
          <w:trHeight w:val="300"/>
        </w:trPr>
        <w:tc>
          <w:tcPr>
            <w:tcW w:w="912" w:type="dxa"/>
            <w:tcBorders>
              <w:top w:val="nil"/>
              <w:left w:val="nil"/>
              <w:bottom w:val="nil"/>
              <w:right w:val="nil"/>
            </w:tcBorders>
            <w:shd w:val="clear" w:color="auto" w:fill="auto"/>
            <w:noWrap/>
            <w:vAlign w:val="bottom"/>
            <w:hideMark/>
          </w:tcPr>
          <w:p w14:paraId="1281EF32" w14:textId="77777777" w:rsidR="00B85262" w:rsidRPr="00B85262" w:rsidRDefault="00B85262" w:rsidP="00B85262">
            <w:pPr>
              <w:spacing w:after="0" w:line="240" w:lineRule="auto"/>
              <w:jc w:val="right"/>
              <w:rPr>
                <w:rFonts w:ascii="Calibri" w:eastAsia="Times New Roman" w:hAnsi="Calibri" w:cs="Calibri"/>
                <w:b/>
                <w:bCs/>
                <w:lang w:eastAsia="cs-CZ"/>
              </w:rPr>
            </w:pPr>
          </w:p>
        </w:tc>
        <w:tc>
          <w:tcPr>
            <w:tcW w:w="3887" w:type="dxa"/>
            <w:tcBorders>
              <w:top w:val="nil"/>
              <w:left w:val="nil"/>
              <w:bottom w:val="nil"/>
              <w:right w:val="nil"/>
            </w:tcBorders>
            <w:shd w:val="clear" w:color="auto" w:fill="auto"/>
            <w:noWrap/>
            <w:vAlign w:val="bottom"/>
            <w:hideMark/>
          </w:tcPr>
          <w:p w14:paraId="1DC1F9A1" w14:textId="77777777" w:rsidR="00B85262" w:rsidRPr="00B85262" w:rsidRDefault="00B85262" w:rsidP="00B85262">
            <w:pPr>
              <w:spacing w:after="0" w:line="240" w:lineRule="auto"/>
              <w:jc w:val="center"/>
              <w:rPr>
                <w:rFonts w:ascii="Times New Roman" w:eastAsia="Times New Roman" w:hAnsi="Times New Roman" w:cs="Times New Roman"/>
                <w:sz w:val="20"/>
                <w:szCs w:val="20"/>
                <w:lang w:eastAsia="cs-CZ"/>
              </w:rPr>
            </w:pPr>
          </w:p>
        </w:tc>
        <w:tc>
          <w:tcPr>
            <w:tcW w:w="1172" w:type="dxa"/>
            <w:tcBorders>
              <w:top w:val="nil"/>
              <w:left w:val="nil"/>
              <w:bottom w:val="nil"/>
              <w:right w:val="nil"/>
            </w:tcBorders>
            <w:shd w:val="clear" w:color="auto" w:fill="auto"/>
            <w:noWrap/>
            <w:vAlign w:val="bottom"/>
            <w:hideMark/>
          </w:tcPr>
          <w:p w14:paraId="35924C43"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1574" w:type="dxa"/>
            <w:tcBorders>
              <w:top w:val="nil"/>
              <w:left w:val="nil"/>
              <w:bottom w:val="nil"/>
              <w:right w:val="nil"/>
            </w:tcBorders>
            <w:shd w:val="clear" w:color="auto" w:fill="auto"/>
            <w:noWrap/>
            <w:vAlign w:val="bottom"/>
            <w:hideMark/>
          </w:tcPr>
          <w:p w14:paraId="488477B6" w14:textId="77777777" w:rsidR="00B85262" w:rsidRPr="00B85262" w:rsidRDefault="00B85262" w:rsidP="00B85262">
            <w:pPr>
              <w:spacing w:after="0" w:line="240" w:lineRule="auto"/>
              <w:jc w:val="right"/>
              <w:rPr>
                <w:rFonts w:ascii="Times New Roman" w:eastAsia="Times New Roman" w:hAnsi="Times New Roman" w:cs="Times New Roman"/>
                <w:sz w:val="20"/>
                <w:szCs w:val="20"/>
                <w:lang w:eastAsia="cs-CZ"/>
              </w:rPr>
            </w:pPr>
          </w:p>
        </w:tc>
        <w:tc>
          <w:tcPr>
            <w:tcW w:w="1484" w:type="dxa"/>
            <w:tcBorders>
              <w:top w:val="nil"/>
              <w:left w:val="nil"/>
              <w:bottom w:val="single" w:sz="8" w:space="0" w:color="auto"/>
              <w:right w:val="nil"/>
            </w:tcBorders>
            <w:shd w:val="clear" w:color="auto" w:fill="auto"/>
            <w:noWrap/>
            <w:vAlign w:val="bottom"/>
            <w:hideMark/>
          </w:tcPr>
          <w:p w14:paraId="1CF16500"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 </w:t>
            </w:r>
          </w:p>
        </w:tc>
        <w:tc>
          <w:tcPr>
            <w:tcW w:w="712" w:type="dxa"/>
            <w:tcBorders>
              <w:top w:val="nil"/>
              <w:left w:val="nil"/>
              <w:bottom w:val="nil"/>
              <w:right w:val="nil"/>
            </w:tcBorders>
            <w:shd w:val="clear" w:color="auto" w:fill="auto"/>
            <w:noWrap/>
            <w:vAlign w:val="bottom"/>
            <w:hideMark/>
          </w:tcPr>
          <w:p w14:paraId="73BC6958" w14:textId="77777777" w:rsidR="00B85262" w:rsidRPr="00B85262" w:rsidRDefault="00B85262" w:rsidP="00B85262">
            <w:pPr>
              <w:spacing w:after="0" w:line="240" w:lineRule="auto"/>
              <w:jc w:val="right"/>
              <w:rPr>
                <w:rFonts w:ascii="Calibri" w:eastAsia="Times New Roman" w:hAnsi="Calibri" w:cs="Calibri"/>
                <w:sz w:val="20"/>
                <w:szCs w:val="20"/>
                <w:lang w:eastAsia="cs-CZ"/>
              </w:rPr>
            </w:pPr>
          </w:p>
        </w:tc>
      </w:tr>
      <w:tr w:rsidR="00B85262" w:rsidRPr="00B85262" w14:paraId="19C73C53" w14:textId="77777777" w:rsidTr="00B85262">
        <w:trPr>
          <w:trHeight w:val="360"/>
        </w:trPr>
        <w:tc>
          <w:tcPr>
            <w:tcW w:w="4799"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23D465A2" w14:textId="77777777" w:rsidR="00B85262" w:rsidRPr="00B85262" w:rsidRDefault="00B85262" w:rsidP="00B85262">
            <w:pPr>
              <w:spacing w:after="0" w:line="240" w:lineRule="auto"/>
              <w:rPr>
                <w:rFonts w:ascii="Calibri" w:eastAsia="Times New Roman" w:hAnsi="Calibri" w:cs="Calibri"/>
                <w:b/>
                <w:bCs/>
                <w:sz w:val="24"/>
                <w:szCs w:val="24"/>
                <w:lang w:eastAsia="cs-CZ"/>
              </w:rPr>
            </w:pPr>
            <w:r w:rsidRPr="00B85262">
              <w:rPr>
                <w:rFonts w:ascii="Calibri" w:eastAsia="Times New Roman" w:hAnsi="Calibri" w:cs="Calibri"/>
                <w:b/>
                <w:bCs/>
                <w:sz w:val="24"/>
                <w:szCs w:val="24"/>
                <w:lang w:eastAsia="cs-CZ"/>
              </w:rPr>
              <w:t>Celkem výdaje</w:t>
            </w:r>
          </w:p>
        </w:tc>
        <w:tc>
          <w:tcPr>
            <w:tcW w:w="1172" w:type="dxa"/>
            <w:tcBorders>
              <w:top w:val="single" w:sz="8" w:space="0" w:color="auto"/>
              <w:left w:val="nil"/>
              <w:bottom w:val="single" w:sz="8" w:space="0" w:color="auto"/>
              <w:right w:val="single" w:sz="8" w:space="0" w:color="auto"/>
            </w:tcBorders>
            <w:shd w:val="clear" w:color="auto" w:fill="auto"/>
            <w:noWrap/>
            <w:vAlign w:val="bottom"/>
            <w:hideMark/>
          </w:tcPr>
          <w:p w14:paraId="264BBF09"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500 000</w:t>
            </w:r>
          </w:p>
        </w:tc>
        <w:tc>
          <w:tcPr>
            <w:tcW w:w="1574" w:type="dxa"/>
            <w:tcBorders>
              <w:top w:val="single" w:sz="8" w:space="0" w:color="auto"/>
              <w:left w:val="nil"/>
              <w:bottom w:val="single" w:sz="8" w:space="0" w:color="auto"/>
              <w:right w:val="single" w:sz="8" w:space="0" w:color="auto"/>
            </w:tcBorders>
            <w:shd w:val="clear" w:color="auto" w:fill="auto"/>
            <w:noWrap/>
            <w:vAlign w:val="bottom"/>
            <w:hideMark/>
          </w:tcPr>
          <w:p w14:paraId="42EC852D"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3 298 997,45</w:t>
            </w:r>
          </w:p>
        </w:tc>
        <w:tc>
          <w:tcPr>
            <w:tcW w:w="1484" w:type="dxa"/>
            <w:tcBorders>
              <w:top w:val="nil"/>
              <w:left w:val="nil"/>
              <w:bottom w:val="single" w:sz="8" w:space="0" w:color="auto"/>
              <w:right w:val="single" w:sz="8" w:space="0" w:color="auto"/>
            </w:tcBorders>
            <w:shd w:val="clear" w:color="auto" w:fill="auto"/>
            <w:noWrap/>
            <w:vAlign w:val="bottom"/>
            <w:hideMark/>
          </w:tcPr>
          <w:p w14:paraId="06BDDF13"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134 709,30</w:t>
            </w:r>
          </w:p>
        </w:tc>
        <w:tc>
          <w:tcPr>
            <w:tcW w:w="712"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14:paraId="3D239992"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4,1</w:t>
            </w:r>
          </w:p>
        </w:tc>
      </w:tr>
    </w:tbl>
    <w:p w14:paraId="7BE394C3" w14:textId="0B61FE2B" w:rsidR="00B85262" w:rsidRDefault="00B85262" w:rsidP="0013179B">
      <w:pPr>
        <w:rPr>
          <w:rFonts w:cs="Calibri"/>
        </w:rPr>
      </w:pPr>
    </w:p>
    <w:p w14:paraId="49606C12" w14:textId="131ECE13" w:rsidR="00B85262" w:rsidRDefault="00B85262" w:rsidP="0013179B">
      <w:pPr>
        <w:rPr>
          <w:rFonts w:cs="Calibri"/>
        </w:rPr>
      </w:pPr>
    </w:p>
    <w:p w14:paraId="1FD47915" w14:textId="18B41EBA" w:rsidR="00B85262" w:rsidRDefault="00B85262" w:rsidP="0013179B">
      <w:pPr>
        <w:rPr>
          <w:rFonts w:cs="Calibri"/>
        </w:rPr>
      </w:pPr>
    </w:p>
    <w:p w14:paraId="510B75F9" w14:textId="3FB9B855" w:rsidR="000951D6" w:rsidRDefault="000951D6" w:rsidP="0013179B">
      <w:pPr>
        <w:rPr>
          <w:rFonts w:cs="Calibri"/>
        </w:rPr>
      </w:pPr>
    </w:p>
    <w:p w14:paraId="52E17DC7" w14:textId="2FA32086" w:rsidR="000951D6" w:rsidRDefault="000951D6" w:rsidP="0013179B">
      <w:pPr>
        <w:rPr>
          <w:rFonts w:cs="Calibri"/>
        </w:rPr>
      </w:pPr>
    </w:p>
    <w:p w14:paraId="2023775E" w14:textId="0BA71DF4" w:rsidR="000951D6" w:rsidRDefault="000951D6" w:rsidP="0013179B">
      <w:pPr>
        <w:rPr>
          <w:rFonts w:cs="Calibri"/>
        </w:rPr>
      </w:pPr>
    </w:p>
    <w:p w14:paraId="2534D416" w14:textId="76B91D8A" w:rsidR="000951D6" w:rsidRDefault="000951D6" w:rsidP="0013179B">
      <w:pPr>
        <w:rPr>
          <w:rFonts w:cs="Calibri"/>
        </w:rPr>
      </w:pPr>
    </w:p>
    <w:p w14:paraId="36AF3743" w14:textId="7AE7D031" w:rsidR="000951D6" w:rsidRDefault="000951D6" w:rsidP="0013179B">
      <w:pPr>
        <w:rPr>
          <w:rFonts w:cs="Calibri"/>
        </w:rPr>
      </w:pPr>
    </w:p>
    <w:p w14:paraId="2A2AD340" w14:textId="47F70402" w:rsidR="000951D6" w:rsidRDefault="000951D6" w:rsidP="0013179B">
      <w:pPr>
        <w:rPr>
          <w:rFonts w:cs="Calibri"/>
        </w:rPr>
      </w:pPr>
    </w:p>
    <w:p w14:paraId="6A619EAF" w14:textId="3E11973C" w:rsidR="000951D6" w:rsidRDefault="000951D6" w:rsidP="0013179B">
      <w:pPr>
        <w:rPr>
          <w:rFonts w:cs="Calibri"/>
        </w:rPr>
      </w:pPr>
    </w:p>
    <w:p w14:paraId="43E3B5B5" w14:textId="11BEC396" w:rsidR="000951D6" w:rsidRDefault="000951D6" w:rsidP="0013179B">
      <w:pPr>
        <w:rPr>
          <w:rFonts w:cs="Calibri"/>
        </w:rPr>
      </w:pPr>
    </w:p>
    <w:p w14:paraId="5E621B5F" w14:textId="74C0E918" w:rsidR="000951D6" w:rsidRDefault="000951D6" w:rsidP="0013179B">
      <w:pPr>
        <w:rPr>
          <w:rFonts w:cs="Calibri"/>
        </w:rPr>
      </w:pPr>
    </w:p>
    <w:p w14:paraId="27BB38E7" w14:textId="5482C112" w:rsidR="000951D6" w:rsidRDefault="000951D6" w:rsidP="0013179B">
      <w:pPr>
        <w:rPr>
          <w:rFonts w:cs="Calibri"/>
        </w:rPr>
      </w:pPr>
    </w:p>
    <w:p w14:paraId="3735B07F" w14:textId="21C0D3A0" w:rsidR="000951D6" w:rsidRDefault="000951D6" w:rsidP="0013179B">
      <w:pPr>
        <w:rPr>
          <w:rFonts w:cs="Calibri"/>
        </w:rPr>
      </w:pPr>
    </w:p>
    <w:p w14:paraId="7D8372A5" w14:textId="77777777" w:rsidR="000951D6" w:rsidRDefault="000951D6" w:rsidP="0013179B">
      <w:pPr>
        <w:rPr>
          <w:rFonts w:cs="Calibri"/>
        </w:rPr>
      </w:pPr>
    </w:p>
    <w:p w14:paraId="70EDBCE7" w14:textId="6B74DCEE" w:rsidR="00B85262" w:rsidRDefault="00B85262" w:rsidP="0013179B">
      <w:pPr>
        <w:rPr>
          <w:rFonts w:cs="Calibri"/>
        </w:rPr>
      </w:pPr>
    </w:p>
    <w:p w14:paraId="7D4C8FC4" w14:textId="7D345566" w:rsidR="00B85262" w:rsidRDefault="00B85262" w:rsidP="0013179B">
      <w:pPr>
        <w:rPr>
          <w:rFonts w:cs="Calibri"/>
        </w:rPr>
      </w:pPr>
    </w:p>
    <w:p w14:paraId="5BBD2C5B" w14:textId="035B741B" w:rsidR="00B85262" w:rsidRDefault="00B85262" w:rsidP="0013179B">
      <w:pPr>
        <w:rPr>
          <w:rFonts w:cs="Calibri"/>
        </w:rPr>
      </w:pPr>
    </w:p>
    <w:p w14:paraId="6681E980" w14:textId="2B3F7D71" w:rsidR="00B85262" w:rsidRDefault="00B85262" w:rsidP="0013179B">
      <w:pPr>
        <w:rPr>
          <w:rFonts w:cs="Calibri"/>
        </w:rPr>
      </w:pPr>
    </w:p>
    <w:p w14:paraId="3DBC162B" w14:textId="77777777" w:rsidR="000B731F" w:rsidRDefault="000B731F" w:rsidP="0013179B">
      <w:pPr>
        <w:rPr>
          <w:rFonts w:cs="Calibri"/>
        </w:rPr>
      </w:pPr>
    </w:p>
    <w:p w14:paraId="77E83B1D" w14:textId="2330B4DC" w:rsidR="00B85262" w:rsidRDefault="00B85262" w:rsidP="0013179B">
      <w:pPr>
        <w:rPr>
          <w:rFonts w:cs="Calibri"/>
        </w:rPr>
      </w:pPr>
    </w:p>
    <w:p w14:paraId="38222745" w14:textId="77777777" w:rsidR="00B85262" w:rsidRPr="00D476A8" w:rsidRDefault="00B85262" w:rsidP="00B85262">
      <w:pPr>
        <w:jc w:val="center"/>
        <w:rPr>
          <w:rFonts w:ascii="Calibri" w:hAnsi="Calibri" w:cs="Calibri"/>
          <w:b/>
          <w:u w:val="single"/>
        </w:rPr>
      </w:pPr>
    </w:p>
    <w:p w14:paraId="11496546" w14:textId="77777777" w:rsidR="00B85262" w:rsidRPr="00D476A8" w:rsidRDefault="00B85262" w:rsidP="00B85262">
      <w:pPr>
        <w:jc w:val="both"/>
        <w:rPr>
          <w:rFonts w:ascii="Calibri" w:hAnsi="Calibri" w:cs="Calibri"/>
          <w:sz w:val="28"/>
          <w:szCs w:val="28"/>
        </w:rPr>
      </w:pPr>
      <w:r w:rsidRPr="00D476A8">
        <w:rPr>
          <w:rFonts w:ascii="Calibri" w:hAnsi="Calibri" w:cs="Calibri"/>
          <w:b/>
          <w:sz w:val="28"/>
          <w:szCs w:val="28"/>
          <w:u w:val="single"/>
        </w:rPr>
        <w:t>Kapitola 24 – Podpora příspěvkových organizací</w:t>
      </w:r>
    </w:p>
    <w:p w14:paraId="47BEF4CA" w14:textId="77777777" w:rsidR="00B85262" w:rsidRPr="00D476A8" w:rsidRDefault="00B85262" w:rsidP="00B85262">
      <w:pPr>
        <w:jc w:val="both"/>
        <w:rPr>
          <w:rFonts w:ascii="Calibri" w:hAnsi="Calibri" w:cs="Calibri"/>
        </w:rPr>
      </w:pPr>
    </w:p>
    <w:p w14:paraId="38E4707A" w14:textId="36D215C2" w:rsidR="00B85262" w:rsidRPr="000951D6" w:rsidRDefault="00B85262" w:rsidP="00B85262">
      <w:pPr>
        <w:jc w:val="both"/>
        <w:rPr>
          <w:rFonts w:ascii="Calibri" w:hAnsi="Calibri" w:cs="Calibri"/>
          <w:sz w:val="24"/>
          <w:szCs w:val="24"/>
        </w:rPr>
      </w:pPr>
      <w:r w:rsidRPr="000951D6">
        <w:rPr>
          <w:rFonts w:ascii="Calibri" w:hAnsi="Calibri" w:cs="Calibri"/>
          <w:b/>
          <w:sz w:val="24"/>
          <w:szCs w:val="24"/>
          <w:u w:val="single"/>
        </w:rPr>
        <w:t>Běžné výdaje</w:t>
      </w:r>
    </w:p>
    <w:p w14:paraId="2EBBD83B" w14:textId="77777777" w:rsidR="00B85262" w:rsidRPr="00D476A8" w:rsidRDefault="00B85262" w:rsidP="000951D6">
      <w:pPr>
        <w:spacing w:after="0"/>
        <w:jc w:val="both"/>
        <w:rPr>
          <w:rFonts w:ascii="Calibri" w:hAnsi="Calibri" w:cs="Calibri"/>
          <w:b/>
        </w:rPr>
      </w:pPr>
      <w:r w:rsidRPr="00D476A8">
        <w:rPr>
          <w:rFonts w:ascii="Calibri" w:hAnsi="Calibri" w:cs="Calibri"/>
          <w:b/>
        </w:rPr>
        <w:t xml:space="preserve">§ 6172 – Rozvoj ICT nástrojů pro řízení a podporu příspěvkových organizací </w:t>
      </w:r>
    </w:p>
    <w:p w14:paraId="2AF8BEFA" w14:textId="50AB4B97" w:rsidR="00B85262" w:rsidRPr="00D476A8" w:rsidRDefault="00B85262" w:rsidP="000951D6">
      <w:pPr>
        <w:spacing w:after="0"/>
        <w:jc w:val="both"/>
        <w:rPr>
          <w:rFonts w:ascii="Calibri" w:hAnsi="Calibri" w:cs="Calibri"/>
        </w:rPr>
      </w:pPr>
      <w:r w:rsidRPr="00D476A8">
        <w:rPr>
          <w:rFonts w:ascii="Calibri" w:hAnsi="Calibri" w:cs="Calibri"/>
        </w:rPr>
        <w:t xml:space="preserve">Schválený rozpočet ve výši 500 000,00 Kč byl navýšen o 118 997,45 Kč na základě usnesení </w:t>
      </w:r>
      <w:r w:rsidRPr="00D476A8">
        <w:rPr>
          <w:rFonts w:ascii="Calibri" w:hAnsi="Calibri" w:cs="Calibri"/>
        </w:rPr>
        <w:br/>
        <w:t>č. 007-06/2021/ZK ze dne 26. 4. 2021 (zapojení zůstatku hospodaření SK z roku 2020). Prostředky byly v roce 2021 čerpány ve výši 134 709,30 Kč v souladu s uzavřenou smlouvou na služby poskytnutí práv k užívání licencí a služeb technické a uživatelské podpory k softwarovému nástroji pro monitoring uveřejňování smluv příspěvkových organizací v registru smluv, který používá krajský úřad k průběžnému vyhodnocování rizik spojených s chybným uveřejněním smluv příspěvkových organizací.</w:t>
      </w:r>
      <w:r w:rsidR="000B731F">
        <w:rPr>
          <w:rFonts w:ascii="Calibri" w:hAnsi="Calibri" w:cs="Calibri"/>
        </w:rPr>
        <w:t xml:space="preserve"> </w:t>
      </w:r>
      <w:r w:rsidRPr="00D476A8">
        <w:rPr>
          <w:rFonts w:ascii="Calibri" w:hAnsi="Calibri" w:cs="Calibri"/>
        </w:rPr>
        <w:t>Dále byly využity k úhradě licenčních práv a podpory softwarového nástroje pro příspěvkové organizace, který jim slouží k zajištění řádné elektronické evidence smluv a objednávek a jejich přímého zveřejnění v registru smluv. Obě aplikace významně přispívají ke zjednodušení procesu uveřejňování smluv příspěvkových organizací, odstranění jeho chybovosti a zamezení vzniku neplatnosti smluv příspěvkových organizací.</w:t>
      </w:r>
      <w:r w:rsidR="000B731F">
        <w:rPr>
          <w:rFonts w:ascii="Calibri" w:hAnsi="Calibri" w:cs="Calibri"/>
        </w:rPr>
        <w:t xml:space="preserve"> </w:t>
      </w:r>
      <w:r w:rsidRPr="00D476A8">
        <w:rPr>
          <w:rFonts w:ascii="Calibri" w:hAnsi="Calibri" w:cs="Calibri"/>
        </w:rPr>
        <w:t>Plnění z obou smluv bude pokračovat i v následujícím roce 2022.</w:t>
      </w:r>
    </w:p>
    <w:p w14:paraId="23C345CD" w14:textId="77777777" w:rsidR="00B85262" w:rsidRPr="00D476A8" w:rsidRDefault="00B85262" w:rsidP="000951D6">
      <w:pPr>
        <w:spacing w:after="0"/>
        <w:jc w:val="both"/>
        <w:rPr>
          <w:rFonts w:ascii="Calibri" w:hAnsi="Calibri" w:cs="Calibri"/>
        </w:rPr>
      </w:pPr>
    </w:p>
    <w:p w14:paraId="1559A02B" w14:textId="77777777" w:rsidR="00B85262" w:rsidRPr="00D476A8" w:rsidRDefault="00B85262" w:rsidP="000951D6">
      <w:pPr>
        <w:spacing w:after="0"/>
        <w:jc w:val="both"/>
        <w:rPr>
          <w:rFonts w:ascii="Calibri" w:hAnsi="Calibri" w:cs="Calibri"/>
          <w:b/>
        </w:rPr>
      </w:pPr>
      <w:bookmarkStart w:id="64" w:name="_Hlk98934570"/>
      <w:r w:rsidRPr="00D476A8">
        <w:rPr>
          <w:rFonts w:ascii="Calibri" w:hAnsi="Calibri" w:cs="Calibri"/>
          <w:b/>
        </w:rPr>
        <w:t>§ 6172 – Implementace elektronické řídicí kontroly na příspěvkové organizace</w:t>
      </w:r>
    </w:p>
    <w:p w14:paraId="0BD54969" w14:textId="4E19C84C" w:rsidR="000B731F" w:rsidRDefault="00B85262" w:rsidP="000951D6">
      <w:pPr>
        <w:spacing w:after="0"/>
        <w:jc w:val="both"/>
        <w:rPr>
          <w:rFonts w:ascii="Calibri" w:hAnsi="Calibri" w:cs="Calibri"/>
        </w:rPr>
      </w:pPr>
      <w:r w:rsidRPr="00D476A8">
        <w:rPr>
          <w:rFonts w:ascii="Calibri" w:hAnsi="Calibri" w:cs="Calibri"/>
        </w:rPr>
        <w:t>Finanční prostředky ve výši 2 680 000,00 Kč byly do rozpočtu kapitoly 24 – Podpora příspěvkových organizací převedeny na základě usnesení č. 017-40/2021/RK ze dne 21. 10. 2021 z</w:t>
      </w:r>
      <w:r w:rsidR="00A41CC1">
        <w:rPr>
          <w:rFonts w:ascii="Calibri" w:hAnsi="Calibri" w:cs="Calibri"/>
        </w:rPr>
        <w:t xml:space="preserve"> </w:t>
      </w:r>
      <w:r w:rsidR="00E00840">
        <w:rPr>
          <w:rFonts w:ascii="Calibri" w:hAnsi="Calibri" w:cs="Calibri"/>
        </w:rPr>
        <w:t xml:space="preserve"> </w:t>
      </w:r>
      <w:r w:rsidRPr="00D476A8">
        <w:rPr>
          <w:rFonts w:ascii="Calibri" w:hAnsi="Calibri" w:cs="Calibri"/>
        </w:rPr>
        <w:t>kapitoly 11 - Správa majetku na realizaci první fáze projektu „Implementace elektronického nástroje pro řádný výkon řídicí kontroly finančních a majetkových operací u příspěvkových organizací“.</w:t>
      </w:r>
      <w:r w:rsidR="000B731F">
        <w:rPr>
          <w:rFonts w:ascii="Calibri" w:hAnsi="Calibri" w:cs="Calibri"/>
        </w:rPr>
        <w:t xml:space="preserve"> </w:t>
      </w:r>
    </w:p>
    <w:p w14:paraId="17EA7748" w14:textId="11E4A687" w:rsidR="00B85262" w:rsidRPr="00D476A8" w:rsidRDefault="00B85262" w:rsidP="000951D6">
      <w:pPr>
        <w:spacing w:after="0"/>
        <w:jc w:val="both"/>
        <w:rPr>
          <w:rFonts w:ascii="Calibri" w:hAnsi="Calibri" w:cs="Calibri"/>
        </w:rPr>
      </w:pPr>
      <w:r w:rsidRPr="00D476A8">
        <w:rPr>
          <w:rFonts w:ascii="Calibri" w:hAnsi="Calibri" w:cs="Calibri"/>
        </w:rPr>
        <w:t>Středočeský kraj vlastní již od roku 2016 práva k užívání licencí k SW nástroji CROSEUS Cloud pro výkon elektronické řídicí kontroly dokladů. Se záměrem podpořit elektronizaci a digitalizaci oběhu dokladů a zlepšit tak vnitřní kontrolní systém u příspěvkových organizací byla na základě usnesení č. 025-39/2021/RK ze dne 14. 10. 2021 vyhlášena veřejná zakázka v otevřeném nadlimitním řízení na dodavatele služeb implementace tohoto SW nástroje až na 150 zřízených příspěvkových organizací, včetně jednotné metodiky a dalšího provozu a údržby systému. Při splnění všech lhůt a formálních náležitostí výběru dodavatele v rámci nadlimitního zadávacího řízení byl výsledek veřejné zakázky schválen až 20. 1. 2022 a smlouva s dodavatelem byla podepsána dne 1. 2. 2022. Finanční prostředky tak budou použity na jednotlivé fáze procesu implementace až v roce 2022 a v </w:t>
      </w:r>
      <w:r w:rsidRPr="00EB5BF1">
        <w:rPr>
          <w:rFonts w:ascii="Calibri" w:hAnsi="Calibri" w:cs="Calibri"/>
        </w:rPr>
        <w:t xml:space="preserve">letech </w:t>
      </w:r>
      <w:r w:rsidRPr="00D476A8">
        <w:rPr>
          <w:rFonts w:ascii="Calibri" w:hAnsi="Calibri" w:cs="Calibri"/>
        </w:rPr>
        <w:t>následujících.</w:t>
      </w:r>
    </w:p>
    <w:bookmarkEnd w:id="64"/>
    <w:p w14:paraId="18EEC3A6" w14:textId="77777777" w:rsidR="00B85262" w:rsidRPr="00D476A8" w:rsidRDefault="00B85262" w:rsidP="000951D6">
      <w:pPr>
        <w:spacing w:after="0"/>
        <w:jc w:val="both"/>
        <w:rPr>
          <w:rFonts w:ascii="Calibri" w:hAnsi="Calibri" w:cs="Calibri"/>
        </w:rPr>
      </w:pPr>
    </w:p>
    <w:p w14:paraId="1E971000" w14:textId="28CF7E7F" w:rsidR="00B85262" w:rsidRDefault="00B85262" w:rsidP="000951D6">
      <w:pPr>
        <w:spacing w:after="0"/>
        <w:rPr>
          <w:rFonts w:cs="Calibri"/>
        </w:rPr>
      </w:pPr>
    </w:p>
    <w:p w14:paraId="3B349492" w14:textId="6B3474FC" w:rsidR="00B85262" w:rsidRDefault="00B85262" w:rsidP="0013179B">
      <w:pPr>
        <w:rPr>
          <w:rFonts w:cs="Calibri"/>
        </w:rPr>
      </w:pPr>
    </w:p>
    <w:p w14:paraId="5678E07B" w14:textId="7648AF1D" w:rsidR="00B85262" w:rsidRDefault="00B85262" w:rsidP="0013179B">
      <w:pPr>
        <w:rPr>
          <w:rFonts w:cs="Calibri"/>
        </w:rPr>
      </w:pPr>
    </w:p>
    <w:p w14:paraId="5D72E2F8" w14:textId="1B7A329E" w:rsidR="00B85262" w:rsidRDefault="00B85262" w:rsidP="0013179B">
      <w:pPr>
        <w:rPr>
          <w:rFonts w:cs="Calibri"/>
        </w:rPr>
      </w:pPr>
    </w:p>
    <w:p w14:paraId="39F487CE" w14:textId="76519C1D" w:rsidR="00B85262" w:rsidRDefault="00B85262" w:rsidP="0013179B">
      <w:pPr>
        <w:rPr>
          <w:rFonts w:cs="Calibri"/>
        </w:rPr>
      </w:pPr>
    </w:p>
    <w:p w14:paraId="33DEFBAC" w14:textId="20874C18" w:rsidR="000B731F" w:rsidRDefault="000B731F" w:rsidP="0013179B">
      <w:pPr>
        <w:rPr>
          <w:rFonts w:cs="Calibri"/>
        </w:rPr>
      </w:pPr>
    </w:p>
    <w:p w14:paraId="017F0143" w14:textId="00601C95" w:rsidR="000951D6" w:rsidRDefault="000951D6" w:rsidP="0013179B">
      <w:pPr>
        <w:rPr>
          <w:rFonts w:cs="Calibri"/>
        </w:rPr>
      </w:pPr>
    </w:p>
    <w:p w14:paraId="02352290" w14:textId="4B7BABE7" w:rsidR="000951D6" w:rsidRDefault="000951D6" w:rsidP="0013179B">
      <w:pPr>
        <w:rPr>
          <w:rFonts w:cs="Calibri"/>
        </w:rPr>
      </w:pPr>
    </w:p>
    <w:p w14:paraId="627E8E7A" w14:textId="77777777" w:rsidR="000951D6" w:rsidRDefault="000951D6" w:rsidP="0013179B">
      <w:pPr>
        <w:rPr>
          <w:rFonts w:cs="Calibri"/>
        </w:rPr>
      </w:pPr>
    </w:p>
    <w:p w14:paraId="3536013C" w14:textId="18B79503" w:rsidR="00B85262" w:rsidRDefault="00B85262" w:rsidP="0013179B">
      <w:pPr>
        <w:rPr>
          <w:rFonts w:cs="Calibri"/>
        </w:rPr>
      </w:pPr>
    </w:p>
    <w:p w14:paraId="55DC6277" w14:textId="77777777" w:rsidR="00236060" w:rsidRDefault="00236060" w:rsidP="0013179B">
      <w:pPr>
        <w:rPr>
          <w:rFonts w:cs="Calibri"/>
        </w:rPr>
      </w:pPr>
    </w:p>
    <w:p w14:paraId="11175172" w14:textId="469C4F5E" w:rsidR="00B85262" w:rsidRDefault="00B85262" w:rsidP="0013179B">
      <w:pPr>
        <w:rPr>
          <w:rFonts w:cs="Calibri"/>
        </w:rPr>
      </w:pPr>
    </w:p>
    <w:tbl>
      <w:tblPr>
        <w:tblW w:w="10145" w:type="dxa"/>
        <w:tblCellMar>
          <w:left w:w="70" w:type="dxa"/>
          <w:right w:w="70" w:type="dxa"/>
        </w:tblCellMar>
        <w:tblLook w:val="04A0" w:firstRow="1" w:lastRow="0" w:firstColumn="1" w:lastColumn="0" w:noHBand="0" w:noVBand="1"/>
      </w:tblPr>
      <w:tblGrid>
        <w:gridCol w:w="941"/>
        <w:gridCol w:w="4440"/>
        <w:gridCol w:w="1169"/>
        <w:gridCol w:w="1440"/>
        <w:gridCol w:w="1508"/>
        <w:gridCol w:w="647"/>
      </w:tblGrid>
      <w:tr w:rsidR="00236060" w:rsidRPr="00B85262" w14:paraId="76F11E11" w14:textId="77777777" w:rsidTr="00236060">
        <w:trPr>
          <w:trHeight w:val="360"/>
        </w:trPr>
        <w:tc>
          <w:tcPr>
            <w:tcW w:w="10145" w:type="dxa"/>
            <w:gridSpan w:val="6"/>
            <w:tcBorders>
              <w:top w:val="nil"/>
              <w:left w:val="nil"/>
              <w:bottom w:val="nil"/>
              <w:right w:val="nil"/>
            </w:tcBorders>
            <w:shd w:val="clear" w:color="auto" w:fill="auto"/>
            <w:noWrap/>
            <w:vAlign w:val="center"/>
            <w:hideMark/>
          </w:tcPr>
          <w:p w14:paraId="7E5DFE48" w14:textId="1F40FDF4" w:rsidR="00236060" w:rsidRPr="00B85262" w:rsidRDefault="00236060" w:rsidP="00B85262">
            <w:pPr>
              <w:spacing w:after="0" w:line="240" w:lineRule="auto"/>
              <w:rPr>
                <w:rFonts w:ascii="Times New Roman" w:eastAsia="Times New Roman" w:hAnsi="Times New Roman" w:cs="Times New Roman"/>
                <w:sz w:val="20"/>
                <w:szCs w:val="20"/>
                <w:lang w:eastAsia="cs-CZ"/>
              </w:rPr>
            </w:pPr>
            <w:r w:rsidRPr="00B85262">
              <w:rPr>
                <w:rFonts w:ascii="Calibri" w:eastAsia="Times New Roman" w:hAnsi="Calibri" w:cs="Calibri"/>
                <w:b/>
                <w:bCs/>
                <w:sz w:val="28"/>
                <w:szCs w:val="28"/>
                <w:lang w:eastAsia="cs-CZ"/>
              </w:rPr>
              <w:t xml:space="preserve">   Čerpání rozpočtu kapitoly 25 - Bezpečnost a prevence - období: 1. - 12. 2021</w:t>
            </w:r>
          </w:p>
        </w:tc>
      </w:tr>
      <w:tr w:rsidR="00B85262" w:rsidRPr="00B85262" w14:paraId="523F154F" w14:textId="77777777" w:rsidTr="00236060">
        <w:trPr>
          <w:trHeight w:val="360"/>
        </w:trPr>
        <w:tc>
          <w:tcPr>
            <w:tcW w:w="941" w:type="dxa"/>
            <w:tcBorders>
              <w:top w:val="nil"/>
              <w:left w:val="nil"/>
              <w:bottom w:val="nil"/>
              <w:right w:val="nil"/>
            </w:tcBorders>
            <w:shd w:val="clear" w:color="auto" w:fill="auto"/>
            <w:noWrap/>
            <w:vAlign w:val="center"/>
            <w:hideMark/>
          </w:tcPr>
          <w:p w14:paraId="1B1B7394"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4440" w:type="dxa"/>
            <w:tcBorders>
              <w:top w:val="nil"/>
              <w:left w:val="nil"/>
              <w:bottom w:val="nil"/>
              <w:right w:val="nil"/>
            </w:tcBorders>
            <w:shd w:val="clear" w:color="auto" w:fill="auto"/>
            <w:noWrap/>
            <w:vAlign w:val="center"/>
            <w:hideMark/>
          </w:tcPr>
          <w:p w14:paraId="072DC2EB" w14:textId="77777777" w:rsidR="00B85262" w:rsidRPr="00B85262" w:rsidRDefault="00B85262" w:rsidP="00B85262">
            <w:pPr>
              <w:spacing w:after="0" w:line="240" w:lineRule="auto"/>
              <w:jc w:val="center"/>
              <w:rPr>
                <w:rFonts w:ascii="Times New Roman" w:eastAsia="Times New Roman" w:hAnsi="Times New Roman" w:cs="Times New Roman"/>
                <w:sz w:val="20"/>
                <w:szCs w:val="20"/>
                <w:lang w:eastAsia="cs-CZ"/>
              </w:rPr>
            </w:pPr>
          </w:p>
        </w:tc>
        <w:tc>
          <w:tcPr>
            <w:tcW w:w="1169" w:type="dxa"/>
            <w:tcBorders>
              <w:top w:val="nil"/>
              <w:left w:val="nil"/>
              <w:bottom w:val="nil"/>
              <w:right w:val="nil"/>
            </w:tcBorders>
            <w:shd w:val="clear" w:color="auto" w:fill="auto"/>
            <w:noWrap/>
            <w:vAlign w:val="center"/>
            <w:hideMark/>
          </w:tcPr>
          <w:p w14:paraId="019B7629"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1440" w:type="dxa"/>
            <w:tcBorders>
              <w:top w:val="nil"/>
              <w:left w:val="nil"/>
              <w:bottom w:val="nil"/>
              <w:right w:val="nil"/>
            </w:tcBorders>
            <w:shd w:val="clear" w:color="auto" w:fill="auto"/>
            <w:noWrap/>
            <w:vAlign w:val="center"/>
            <w:hideMark/>
          </w:tcPr>
          <w:p w14:paraId="4410ACA1" w14:textId="77777777" w:rsidR="00B85262" w:rsidRPr="00B85262" w:rsidRDefault="00B85262" w:rsidP="00B85262">
            <w:pPr>
              <w:spacing w:after="0" w:line="240" w:lineRule="auto"/>
              <w:jc w:val="right"/>
              <w:rPr>
                <w:rFonts w:ascii="Times New Roman" w:eastAsia="Times New Roman" w:hAnsi="Times New Roman" w:cs="Times New Roman"/>
                <w:sz w:val="20"/>
                <w:szCs w:val="20"/>
                <w:lang w:eastAsia="cs-CZ"/>
              </w:rPr>
            </w:pPr>
          </w:p>
        </w:tc>
        <w:tc>
          <w:tcPr>
            <w:tcW w:w="1508" w:type="dxa"/>
            <w:tcBorders>
              <w:top w:val="nil"/>
              <w:left w:val="nil"/>
              <w:bottom w:val="nil"/>
              <w:right w:val="nil"/>
            </w:tcBorders>
            <w:shd w:val="clear" w:color="auto" w:fill="auto"/>
            <w:noWrap/>
            <w:vAlign w:val="center"/>
            <w:hideMark/>
          </w:tcPr>
          <w:p w14:paraId="4EBB7CFF" w14:textId="77777777" w:rsidR="00B85262" w:rsidRPr="00B85262" w:rsidRDefault="00B85262" w:rsidP="00B85262">
            <w:pPr>
              <w:spacing w:after="0" w:line="240" w:lineRule="auto"/>
              <w:jc w:val="right"/>
              <w:rPr>
                <w:rFonts w:ascii="Times New Roman" w:eastAsia="Times New Roman" w:hAnsi="Times New Roman" w:cs="Times New Roman"/>
                <w:sz w:val="20"/>
                <w:szCs w:val="20"/>
                <w:lang w:eastAsia="cs-CZ"/>
              </w:rPr>
            </w:pPr>
          </w:p>
        </w:tc>
        <w:tc>
          <w:tcPr>
            <w:tcW w:w="647" w:type="dxa"/>
            <w:tcBorders>
              <w:top w:val="nil"/>
              <w:left w:val="nil"/>
              <w:bottom w:val="nil"/>
              <w:right w:val="nil"/>
            </w:tcBorders>
            <w:shd w:val="clear" w:color="auto" w:fill="auto"/>
            <w:noWrap/>
            <w:vAlign w:val="center"/>
            <w:hideMark/>
          </w:tcPr>
          <w:p w14:paraId="09B72625" w14:textId="77777777" w:rsidR="00B85262" w:rsidRPr="00B85262" w:rsidRDefault="00B85262" w:rsidP="00B85262">
            <w:pPr>
              <w:spacing w:after="0" w:line="240" w:lineRule="auto"/>
              <w:jc w:val="right"/>
              <w:rPr>
                <w:rFonts w:ascii="Calibri" w:eastAsia="Times New Roman" w:hAnsi="Calibri" w:cs="Calibri"/>
                <w:lang w:eastAsia="cs-CZ"/>
              </w:rPr>
            </w:pPr>
            <w:r w:rsidRPr="00B85262">
              <w:rPr>
                <w:rFonts w:ascii="Calibri" w:eastAsia="Times New Roman" w:hAnsi="Calibri" w:cs="Calibri"/>
                <w:lang w:eastAsia="cs-CZ"/>
              </w:rPr>
              <w:t>v  Kč</w:t>
            </w:r>
          </w:p>
        </w:tc>
      </w:tr>
      <w:tr w:rsidR="00B85262" w:rsidRPr="00B85262" w14:paraId="7D746924" w14:textId="77777777" w:rsidTr="00236060">
        <w:trPr>
          <w:trHeight w:val="705"/>
        </w:trPr>
        <w:tc>
          <w:tcPr>
            <w:tcW w:w="941" w:type="dxa"/>
            <w:tcBorders>
              <w:top w:val="single" w:sz="8" w:space="0" w:color="auto"/>
              <w:left w:val="single" w:sz="8" w:space="0" w:color="auto"/>
              <w:bottom w:val="single" w:sz="8" w:space="0" w:color="auto"/>
              <w:right w:val="single" w:sz="8" w:space="0" w:color="auto"/>
            </w:tcBorders>
            <w:shd w:val="clear" w:color="000000" w:fill="CCFFCC"/>
            <w:vAlign w:val="center"/>
            <w:hideMark/>
          </w:tcPr>
          <w:p w14:paraId="5921568F"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Paragraf</w:t>
            </w:r>
          </w:p>
        </w:tc>
        <w:tc>
          <w:tcPr>
            <w:tcW w:w="4440" w:type="dxa"/>
            <w:tcBorders>
              <w:top w:val="single" w:sz="8" w:space="0" w:color="auto"/>
              <w:left w:val="nil"/>
              <w:bottom w:val="single" w:sz="8" w:space="0" w:color="auto"/>
              <w:right w:val="single" w:sz="8" w:space="0" w:color="auto"/>
            </w:tcBorders>
            <w:shd w:val="clear" w:color="000000" w:fill="CCFFCC"/>
            <w:vAlign w:val="center"/>
            <w:hideMark/>
          </w:tcPr>
          <w:p w14:paraId="6F028423"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Oblast rozpočtu</w:t>
            </w:r>
          </w:p>
        </w:tc>
        <w:tc>
          <w:tcPr>
            <w:tcW w:w="1169" w:type="dxa"/>
            <w:tcBorders>
              <w:top w:val="single" w:sz="8" w:space="0" w:color="auto"/>
              <w:left w:val="nil"/>
              <w:bottom w:val="single" w:sz="8" w:space="0" w:color="auto"/>
              <w:right w:val="single" w:sz="8" w:space="0" w:color="auto"/>
            </w:tcBorders>
            <w:shd w:val="clear" w:color="000000" w:fill="CCFFCC"/>
            <w:vAlign w:val="center"/>
            <w:hideMark/>
          </w:tcPr>
          <w:p w14:paraId="4E942AE6"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Schválený rozpočet</w:t>
            </w:r>
          </w:p>
        </w:tc>
        <w:tc>
          <w:tcPr>
            <w:tcW w:w="1440" w:type="dxa"/>
            <w:tcBorders>
              <w:top w:val="single" w:sz="8" w:space="0" w:color="auto"/>
              <w:left w:val="nil"/>
              <w:bottom w:val="single" w:sz="8" w:space="0" w:color="auto"/>
              <w:right w:val="single" w:sz="8" w:space="0" w:color="auto"/>
            </w:tcBorders>
            <w:shd w:val="clear" w:color="000000" w:fill="CCFFCC"/>
            <w:vAlign w:val="center"/>
            <w:hideMark/>
          </w:tcPr>
          <w:p w14:paraId="253EA0E2"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Rozpočet po úpravě</w:t>
            </w:r>
          </w:p>
        </w:tc>
        <w:tc>
          <w:tcPr>
            <w:tcW w:w="1508" w:type="dxa"/>
            <w:tcBorders>
              <w:top w:val="single" w:sz="8" w:space="0" w:color="auto"/>
              <w:left w:val="nil"/>
              <w:bottom w:val="single" w:sz="8" w:space="0" w:color="auto"/>
              <w:right w:val="single" w:sz="8" w:space="0" w:color="auto"/>
            </w:tcBorders>
            <w:shd w:val="clear" w:color="000000" w:fill="CCFFCC"/>
            <w:vAlign w:val="center"/>
            <w:hideMark/>
          </w:tcPr>
          <w:p w14:paraId="6EAEC415"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Skutečnost</w:t>
            </w:r>
          </w:p>
        </w:tc>
        <w:tc>
          <w:tcPr>
            <w:tcW w:w="647" w:type="dxa"/>
            <w:tcBorders>
              <w:top w:val="single" w:sz="8" w:space="0" w:color="auto"/>
              <w:left w:val="nil"/>
              <w:bottom w:val="single" w:sz="8" w:space="0" w:color="auto"/>
              <w:right w:val="single" w:sz="8" w:space="0" w:color="auto"/>
            </w:tcBorders>
            <w:shd w:val="clear" w:color="000000" w:fill="CCFFCC"/>
            <w:vAlign w:val="center"/>
            <w:hideMark/>
          </w:tcPr>
          <w:p w14:paraId="41A54C7F"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 plnění</w:t>
            </w:r>
          </w:p>
        </w:tc>
      </w:tr>
      <w:tr w:rsidR="00B85262" w:rsidRPr="00B85262" w14:paraId="254607F1" w14:textId="77777777" w:rsidTr="00236060">
        <w:trPr>
          <w:trHeight w:val="315"/>
        </w:trPr>
        <w:tc>
          <w:tcPr>
            <w:tcW w:w="941" w:type="dxa"/>
            <w:tcBorders>
              <w:top w:val="nil"/>
              <w:left w:val="nil"/>
              <w:bottom w:val="dotted" w:sz="4" w:space="0" w:color="000000"/>
              <w:right w:val="nil"/>
            </w:tcBorders>
            <w:shd w:val="clear" w:color="auto" w:fill="auto"/>
            <w:noWrap/>
            <w:hideMark/>
          </w:tcPr>
          <w:p w14:paraId="75F29571" w14:textId="77777777" w:rsidR="00B85262" w:rsidRPr="00B85262" w:rsidRDefault="00B85262" w:rsidP="00B85262">
            <w:pPr>
              <w:spacing w:after="0" w:line="240" w:lineRule="auto"/>
              <w:rPr>
                <w:rFonts w:ascii="Arial" w:eastAsia="Times New Roman" w:hAnsi="Arial" w:cs="Arial"/>
                <w:color w:val="FFFFFF"/>
                <w:sz w:val="16"/>
                <w:szCs w:val="16"/>
                <w:lang w:eastAsia="cs-CZ"/>
              </w:rPr>
            </w:pPr>
            <w:r w:rsidRPr="00B85262">
              <w:rPr>
                <w:rFonts w:ascii="Arial" w:eastAsia="Times New Roman" w:hAnsi="Arial" w:cs="Arial"/>
                <w:color w:val="FFFFFF"/>
                <w:sz w:val="16"/>
                <w:szCs w:val="16"/>
                <w:lang w:eastAsia="cs-CZ"/>
              </w:rPr>
              <w:t>000000251</w:t>
            </w:r>
          </w:p>
        </w:tc>
        <w:tc>
          <w:tcPr>
            <w:tcW w:w="4440" w:type="dxa"/>
            <w:tcBorders>
              <w:top w:val="nil"/>
              <w:left w:val="nil"/>
              <w:bottom w:val="nil"/>
              <w:right w:val="nil"/>
            </w:tcBorders>
            <w:shd w:val="clear" w:color="auto" w:fill="auto"/>
            <w:noWrap/>
            <w:vAlign w:val="center"/>
            <w:hideMark/>
          </w:tcPr>
          <w:p w14:paraId="765C0A8E" w14:textId="77777777" w:rsidR="00B85262" w:rsidRPr="00B85262" w:rsidRDefault="00B85262" w:rsidP="00B85262">
            <w:pPr>
              <w:spacing w:after="0" w:line="240" w:lineRule="auto"/>
              <w:rPr>
                <w:rFonts w:ascii="Calibri" w:eastAsia="Times New Roman" w:hAnsi="Calibri" w:cs="Calibri"/>
                <w:b/>
                <w:bCs/>
                <w:lang w:eastAsia="cs-CZ"/>
              </w:rPr>
            </w:pPr>
            <w:r w:rsidRPr="00B85262">
              <w:rPr>
                <w:rFonts w:ascii="Calibri" w:eastAsia="Times New Roman" w:hAnsi="Calibri" w:cs="Calibri"/>
                <w:b/>
                <w:bCs/>
                <w:lang w:eastAsia="cs-CZ"/>
              </w:rPr>
              <w:t>Běžné výdaje</w:t>
            </w:r>
          </w:p>
        </w:tc>
        <w:tc>
          <w:tcPr>
            <w:tcW w:w="1169" w:type="dxa"/>
            <w:tcBorders>
              <w:top w:val="nil"/>
              <w:left w:val="nil"/>
              <w:bottom w:val="single" w:sz="8" w:space="0" w:color="auto"/>
              <w:right w:val="nil"/>
            </w:tcBorders>
            <w:shd w:val="clear" w:color="auto" w:fill="auto"/>
            <w:noWrap/>
            <w:hideMark/>
          </w:tcPr>
          <w:p w14:paraId="440DE930" w14:textId="77777777" w:rsidR="00B85262" w:rsidRPr="00B85262" w:rsidRDefault="00B85262" w:rsidP="00B85262">
            <w:pPr>
              <w:spacing w:after="0" w:line="240" w:lineRule="auto"/>
              <w:rPr>
                <w:rFonts w:ascii="Calibri" w:eastAsia="Times New Roman" w:hAnsi="Calibri" w:cs="Calibri"/>
                <w:color w:val="FFFFFF"/>
                <w:sz w:val="16"/>
                <w:szCs w:val="16"/>
                <w:lang w:eastAsia="cs-CZ"/>
              </w:rPr>
            </w:pPr>
            <w:r w:rsidRPr="00B85262">
              <w:rPr>
                <w:rFonts w:ascii="Calibri" w:eastAsia="Times New Roman" w:hAnsi="Calibri" w:cs="Calibri"/>
                <w:color w:val="FFFFFF"/>
                <w:sz w:val="16"/>
                <w:szCs w:val="16"/>
                <w:lang w:eastAsia="cs-CZ"/>
              </w:rPr>
              <w:t>000014032</w:t>
            </w:r>
          </w:p>
        </w:tc>
        <w:tc>
          <w:tcPr>
            <w:tcW w:w="1440" w:type="dxa"/>
            <w:tcBorders>
              <w:top w:val="nil"/>
              <w:left w:val="nil"/>
              <w:bottom w:val="single" w:sz="8" w:space="0" w:color="auto"/>
              <w:right w:val="nil"/>
            </w:tcBorders>
            <w:shd w:val="clear" w:color="auto" w:fill="auto"/>
            <w:noWrap/>
            <w:vAlign w:val="center"/>
            <w:hideMark/>
          </w:tcPr>
          <w:p w14:paraId="64B7BD2A"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 </w:t>
            </w:r>
          </w:p>
        </w:tc>
        <w:tc>
          <w:tcPr>
            <w:tcW w:w="1508" w:type="dxa"/>
            <w:tcBorders>
              <w:top w:val="nil"/>
              <w:left w:val="nil"/>
              <w:bottom w:val="single" w:sz="8" w:space="0" w:color="auto"/>
              <w:right w:val="nil"/>
            </w:tcBorders>
            <w:shd w:val="clear" w:color="auto" w:fill="auto"/>
            <w:noWrap/>
            <w:vAlign w:val="center"/>
            <w:hideMark/>
          </w:tcPr>
          <w:p w14:paraId="77E0CF38" w14:textId="77777777" w:rsidR="00B85262" w:rsidRPr="00B85262" w:rsidRDefault="00B85262" w:rsidP="00B85262">
            <w:pPr>
              <w:spacing w:after="0" w:line="240" w:lineRule="auto"/>
              <w:jc w:val="right"/>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 </w:t>
            </w:r>
          </w:p>
        </w:tc>
        <w:tc>
          <w:tcPr>
            <w:tcW w:w="647" w:type="dxa"/>
            <w:tcBorders>
              <w:top w:val="nil"/>
              <w:left w:val="nil"/>
              <w:bottom w:val="nil"/>
              <w:right w:val="nil"/>
            </w:tcBorders>
            <w:shd w:val="clear" w:color="auto" w:fill="auto"/>
            <w:noWrap/>
            <w:vAlign w:val="center"/>
            <w:hideMark/>
          </w:tcPr>
          <w:p w14:paraId="067A84D1" w14:textId="77777777" w:rsidR="00B85262" w:rsidRPr="00B85262" w:rsidRDefault="00B85262" w:rsidP="00B85262">
            <w:pPr>
              <w:spacing w:after="0" w:line="240" w:lineRule="auto"/>
              <w:jc w:val="right"/>
              <w:rPr>
                <w:rFonts w:ascii="Calibri" w:eastAsia="Times New Roman" w:hAnsi="Calibri" w:cs="Calibri"/>
                <w:sz w:val="20"/>
                <w:szCs w:val="20"/>
                <w:lang w:eastAsia="cs-CZ"/>
              </w:rPr>
            </w:pPr>
          </w:p>
        </w:tc>
      </w:tr>
      <w:tr w:rsidR="00B85262" w:rsidRPr="00B85262" w14:paraId="1B9E1758" w14:textId="77777777" w:rsidTr="00236060">
        <w:trPr>
          <w:trHeight w:val="300"/>
        </w:trPr>
        <w:tc>
          <w:tcPr>
            <w:tcW w:w="941" w:type="dxa"/>
            <w:tcBorders>
              <w:top w:val="single" w:sz="8" w:space="0" w:color="auto"/>
              <w:left w:val="single" w:sz="8" w:space="0" w:color="auto"/>
              <w:bottom w:val="single" w:sz="4" w:space="0" w:color="auto"/>
              <w:right w:val="single" w:sz="4" w:space="0" w:color="auto"/>
            </w:tcBorders>
            <w:shd w:val="clear" w:color="auto" w:fill="auto"/>
            <w:vAlign w:val="bottom"/>
            <w:hideMark/>
          </w:tcPr>
          <w:p w14:paraId="0AAB5D01"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3299</w:t>
            </w:r>
          </w:p>
        </w:tc>
        <w:tc>
          <w:tcPr>
            <w:tcW w:w="4440" w:type="dxa"/>
            <w:tcBorders>
              <w:top w:val="single" w:sz="8" w:space="0" w:color="auto"/>
              <w:left w:val="nil"/>
              <w:bottom w:val="nil"/>
              <w:right w:val="single" w:sz="4" w:space="0" w:color="auto"/>
            </w:tcBorders>
            <w:shd w:val="clear" w:color="auto" w:fill="auto"/>
            <w:vAlign w:val="bottom"/>
            <w:hideMark/>
          </w:tcPr>
          <w:p w14:paraId="6B1BA888" w14:textId="64C7ACD6" w:rsidR="00B85262" w:rsidRPr="00B85262" w:rsidRDefault="00B85262" w:rsidP="00B85262">
            <w:pPr>
              <w:spacing w:after="0" w:line="240" w:lineRule="auto"/>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Prevence kriminality</w:t>
            </w:r>
          </w:p>
        </w:tc>
        <w:tc>
          <w:tcPr>
            <w:tcW w:w="1169" w:type="dxa"/>
            <w:tcBorders>
              <w:top w:val="nil"/>
              <w:left w:val="nil"/>
              <w:bottom w:val="single" w:sz="4" w:space="0" w:color="auto"/>
              <w:right w:val="single" w:sz="4" w:space="0" w:color="auto"/>
            </w:tcBorders>
            <w:shd w:val="clear" w:color="auto" w:fill="auto"/>
            <w:noWrap/>
            <w:vAlign w:val="bottom"/>
            <w:hideMark/>
          </w:tcPr>
          <w:p w14:paraId="1F1D59F3"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530 000</w:t>
            </w:r>
          </w:p>
        </w:tc>
        <w:tc>
          <w:tcPr>
            <w:tcW w:w="1440" w:type="dxa"/>
            <w:tcBorders>
              <w:top w:val="nil"/>
              <w:left w:val="nil"/>
              <w:bottom w:val="single" w:sz="4" w:space="0" w:color="auto"/>
              <w:right w:val="single" w:sz="4" w:space="0" w:color="auto"/>
            </w:tcBorders>
            <w:shd w:val="clear" w:color="auto" w:fill="auto"/>
            <w:noWrap/>
            <w:vAlign w:val="bottom"/>
            <w:hideMark/>
          </w:tcPr>
          <w:p w14:paraId="44109286"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670 000,00</w:t>
            </w:r>
          </w:p>
        </w:tc>
        <w:tc>
          <w:tcPr>
            <w:tcW w:w="1508" w:type="dxa"/>
            <w:tcBorders>
              <w:top w:val="nil"/>
              <w:left w:val="nil"/>
              <w:bottom w:val="single" w:sz="4" w:space="0" w:color="auto"/>
              <w:right w:val="single" w:sz="4" w:space="0" w:color="auto"/>
            </w:tcBorders>
            <w:shd w:val="clear" w:color="auto" w:fill="auto"/>
            <w:noWrap/>
            <w:vAlign w:val="bottom"/>
            <w:hideMark/>
          </w:tcPr>
          <w:p w14:paraId="4AD1F0F3"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416 250,00</w:t>
            </w:r>
          </w:p>
        </w:tc>
        <w:tc>
          <w:tcPr>
            <w:tcW w:w="647" w:type="dxa"/>
            <w:tcBorders>
              <w:top w:val="single" w:sz="8" w:space="0" w:color="auto"/>
              <w:left w:val="nil"/>
              <w:bottom w:val="single" w:sz="4" w:space="0" w:color="auto"/>
              <w:right w:val="single" w:sz="8" w:space="0" w:color="auto"/>
            </w:tcBorders>
            <w:shd w:val="clear" w:color="auto" w:fill="auto"/>
            <w:noWrap/>
            <w:vAlign w:val="bottom"/>
            <w:hideMark/>
          </w:tcPr>
          <w:p w14:paraId="7315850C"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62,1</w:t>
            </w:r>
          </w:p>
        </w:tc>
      </w:tr>
      <w:tr w:rsidR="00B85262" w:rsidRPr="00B85262" w14:paraId="6AF2F999" w14:textId="77777777" w:rsidTr="00236060">
        <w:trPr>
          <w:trHeight w:val="510"/>
        </w:trPr>
        <w:tc>
          <w:tcPr>
            <w:tcW w:w="941" w:type="dxa"/>
            <w:tcBorders>
              <w:top w:val="single" w:sz="4" w:space="0" w:color="auto"/>
              <w:left w:val="single" w:sz="8" w:space="0" w:color="auto"/>
              <w:bottom w:val="single" w:sz="4" w:space="0" w:color="auto"/>
              <w:right w:val="nil"/>
            </w:tcBorders>
            <w:shd w:val="clear" w:color="auto" w:fill="auto"/>
            <w:noWrap/>
            <w:vAlign w:val="bottom"/>
            <w:hideMark/>
          </w:tcPr>
          <w:p w14:paraId="1AF259B9"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3541</w:t>
            </w:r>
          </w:p>
        </w:tc>
        <w:tc>
          <w:tcPr>
            <w:tcW w:w="44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E68BE02" w14:textId="77777777" w:rsidR="00B85262" w:rsidRPr="00B85262" w:rsidRDefault="00B85262" w:rsidP="00B85262">
            <w:pPr>
              <w:spacing w:after="0" w:line="240" w:lineRule="auto"/>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Prevence před drogami, alkoholem, nikotinem a jinými závislostmi</w:t>
            </w:r>
          </w:p>
        </w:tc>
        <w:tc>
          <w:tcPr>
            <w:tcW w:w="1169" w:type="dxa"/>
            <w:tcBorders>
              <w:top w:val="nil"/>
              <w:left w:val="nil"/>
              <w:bottom w:val="single" w:sz="4" w:space="0" w:color="auto"/>
              <w:right w:val="single" w:sz="4" w:space="0" w:color="auto"/>
            </w:tcBorders>
            <w:shd w:val="clear" w:color="auto" w:fill="auto"/>
            <w:noWrap/>
            <w:vAlign w:val="bottom"/>
            <w:hideMark/>
          </w:tcPr>
          <w:p w14:paraId="734E4E95"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116 000</w:t>
            </w:r>
          </w:p>
        </w:tc>
        <w:tc>
          <w:tcPr>
            <w:tcW w:w="1440" w:type="dxa"/>
            <w:tcBorders>
              <w:top w:val="nil"/>
              <w:left w:val="nil"/>
              <w:bottom w:val="single" w:sz="4" w:space="0" w:color="auto"/>
              <w:right w:val="single" w:sz="4" w:space="0" w:color="auto"/>
            </w:tcBorders>
            <w:shd w:val="clear" w:color="auto" w:fill="auto"/>
            <w:noWrap/>
            <w:vAlign w:val="bottom"/>
            <w:hideMark/>
          </w:tcPr>
          <w:p w14:paraId="1E298DA3"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666 000,00</w:t>
            </w:r>
          </w:p>
        </w:tc>
        <w:tc>
          <w:tcPr>
            <w:tcW w:w="1508" w:type="dxa"/>
            <w:tcBorders>
              <w:top w:val="nil"/>
              <w:left w:val="nil"/>
              <w:bottom w:val="single" w:sz="4" w:space="0" w:color="auto"/>
              <w:right w:val="single" w:sz="4" w:space="0" w:color="auto"/>
            </w:tcBorders>
            <w:shd w:val="clear" w:color="auto" w:fill="auto"/>
            <w:noWrap/>
            <w:vAlign w:val="bottom"/>
            <w:hideMark/>
          </w:tcPr>
          <w:p w14:paraId="3B2B6215"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501 834,93</w:t>
            </w:r>
          </w:p>
        </w:tc>
        <w:tc>
          <w:tcPr>
            <w:tcW w:w="647" w:type="dxa"/>
            <w:tcBorders>
              <w:top w:val="nil"/>
              <w:left w:val="nil"/>
              <w:bottom w:val="single" w:sz="4" w:space="0" w:color="auto"/>
              <w:right w:val="single" w:sz="8" w:space="0" w:color="auto"/>
            </w:tcBorders>
            <w:shd w:val="clear" w:color="auto" w:fill="auto"/>
            <w:noWrap/>
            <w:vAlign w:val="bottom"/>
            <w:hideMark/>
          </w:tcPr>
          <w:p w14:paraId="0A5E9E7E"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75,4</w:t>
            </w:r>
          </w:p>
        </w:tc>
      </w:tr>
      <w:tr w:rsidR="00B85262" w:rsidRPr="00B85262" w14:paraId="0EA74DC2" w14:textId="77777777" w:rsidTr="00236060">
        <w:trPr>
          <w:trHeight w:val="255"/>
        </w:trPr>
        <w:tc>
          <w:tcPr>
            <w:tcW w:w="941" w:type="dxa"/>
            <w:tcBorders>
              <w:top w:val="nil"/>
              <w:left w:val="single" w:sz="8" w:space="0" w:color="auto"/>
              <w:bottom w:val="nil"/>
              <w:right w:val="single" w:sz="4" w:space="0" w:color="auto"/>
            </w:tcBorders>
            <w:shd w:val="clear" w:color="auto" w:fill="auto"/>
            <w:noWrap/>
            <w:vAlign w:val="bottom"/>
            <w:hideMark/>
          </w:tcPr>
          <w:p w14:paraId="065E5AC5"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4339</w:t>
            </w:r>
          </w:p>
        </w:tc>
        <w:tc>
          <w:tcPr>
            <w:tcW w:w="4440" w:type="dxa"/>
            <w:tcBorders>
              <w:top w:val="nil"/>
              <w:left w:val="nil"/>
              <w:bottom w:val="nil"/>
              <w:right w:val="single" w:sz="4" w:space="0" w:color="auto"/>
            </w:tcBorders>
            <w:shd w:val="clear" w:color="auto" w:fill="auto"/>
            <w:vAlign w:val="bottom"/>
            <w:hideMark/>
          </w:tcPr>
          <w:p w14:paraId="6CCCF887" w14:textId="77777777" w:rsidR="00B85262" w:rsidRPr="00B85262" w:rsidRDefault="00B85262" w:rsidP="00B85262">
            <w:pPr>
              <w:spacing w:after="0" w:line="240" w:lineRule="auto"/>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Ostatní sociální péče a pomoc rodině a manželství</w:t>
            </w:r>
          </w:p>
        </w:tc>
        <w:tc>
          <w:tcPr>
            <w:tcW w:w="1169" w:type="dxa"/>
            <w:tcBorders>
              <w:top w:val="nil"/>
              <w:left w:val="nil"/>
              <w:bottom w:val="single" w:sz="4" w:space="0" w:color="auto"/>
              <w:right w:val="single" w:sz="4" w:space="0" w:color="auto"/>
            </w:tcBorders>
            <w:shd w:val="clear" w:color="auto" w:fill="auto"/>
            <w:noWrap/>
            <w:vAlign w:val="bottom"/>
            <w:hideMark/>
          </w:tcPr>
          <w:p w14:paraId="0E673F65"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0</w:t>
            </w:r>
          </w:p>
        </w:tc>
        <w:tc>
          <w:tcPr>
            <w:tcW w:w="1440" w:type="dxa"/>
            <w:tcBorders>
              <w:top w:val="nil"/>
              <w:left w:val="nil"/>
              <w:bottom w:val="single" w:sz="4" w:space="0" w:color="auto"/>
              <w:right w:val="single" w:sz="4" w:space="0" w:color="auto"/>
            </w:tcBorders>
            <w:shd w:val="clear" w:color="auto" w:fill="auto"/>
            <w:noWrap/>
            <w:vAlign w:val="bottom"/>
            <w:hideMark/>
          </w:tcPr>
          <w:p w14:paraId="29F7ABFB"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100 000,00</w:t>
            </w:r>
          </w:p>
        </w:tc>
        <w:tc>
          <w:tcPr>
            <w:tcW w:w="1508" w:type="dxa"/>
            <w:tcBorders>
              <w:top w:val="nil"/>
              <w:left w:val="nil"/>
              <w:bottom w:val="single" w:sz="4" w:space="0" w:color="auto"/>
              <w:right w:val="single" w:sz="4" w:space="0" w:color="auto"/>
            </w:tcBorders>
            <w:shd w:val="clear" w:color="auto" w:fill="auto"/>
            <w:noWrap/>
            <w:vAlign w:val="bottom"/>
            <w:hideMark/>
          </w:tcPr>
          <w:p w14:paraId="1D8D8F0F"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100 000,00</w:t>
            </w:r>
          </w:p>
        </w:tc>
        <w:tc>
          <w:tcPr>
            <w:tcW w:w="647" w:type="dxa"/>
            <w:tcBorders>
              <w:top w:val="nil"/>
              <w:left w:val="nil"/>
              <w:bottom w:val="single" w:sz="4" w:space="0" w:color="auto"/>
              <w:right w:val="single" w:sz="8" w:space="0" w:color="auto"/>
            </w:tcBorders>
            <w:shd w:val="clear" w:color="auto" w:fill="auto"/>
            <w:noWrap/>
            <w:vAlign w:val="bottom"/>
            <w:hideMark/>
          </w:tcPr>
          <w:p w14:paraId="5AB5E1E1"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100,0</w:t>
            </w:r>
          </w:p>
        </w:tc>
      </w:tr>
      <w:tr w:rsidR="00B85262" w:rsidRPr="00B85262" w14:paraId="733CDD64" w14:textId="77777777" w:rsidTr="00236060">
        <w:trPr>
          <w:trHeight w:val="300"/>
        </w:trPr>
        <w:tc>
          <w:tcPr>
            <w:tcW w:w="941"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435EB6DC"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4349</w:t>
            </w:r>
          </w:p>
        </w:tc>
        <w:tc>
          <w:tcPr>
            <w:tcW w:w="4440" w:type="dxa"/>
            <w:tcBorders>
              <w:top w:val="single" w:sz="4" w:space="0" w:color="auto"/>
              <w:left w:val="nil"/>
              <w:bottom w:val="single" w:sz="4" w:space="0" w:color="auto"/>
              <w:right w:val="single" w:sz="4" w:space="0" w:color="auto"/>
            </w:tcBorders>
            <w:shd w:val="clear" w:color="auto" w:fill="auto"/>
            <w:vAlign w:val="bottom"/>
            <w:hideMark/>
          </w:tcPr>
          <w:p w14:paraId="2399F648" w14:textId="77777777" w:rsidR="00B85262" w:rsidRPr="00B85262" w:rsidRDefault="00B85262" w:rsidP="00B85262">
            <w:pPr>
              <w:spacing w:after="0" w:line="240" w:lineRule="auto"/>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Ostatní sociální péče a pomoc ostatním skupinám obyvatelstva</w:t>
            </w:r>
          </w:p>
        </w:tc>
        <w:tc>
          <w:tcPr>
            <w:tcW w:w="1169" w:type="dxa"/>
            <w:tcBorders>
              <w:top w:val="nil"/>
              <w:left w:val="nil"/>
              <w:bottom w:val="single" w:sz="4" w:space="0" w:color="auto"/>
              <w:right w:val="single" w:sz="4" w:space="0" w:color="auto"/>
            </w:tcBorders>
            <w:shd w:val="clear" w:color="auto" w:fill="auto"/>
            <w:noWrap/>
            <w:vAlign w:val="bottom"/>
            <w:hideMark/>
          </w:tcPr>
          <w:p w14:paraId="6489F242"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1 060 000</w:t>
            </w:r>
          </w:p>
        </w:tc>
        <w:tc>
          <w:tcPr>
            <w:tcW w:w="1440" w:type="dxa"/>
            <w:tcBorders>
              <w:top w:val="nil"/>
              <w:left w:val="nil"/>
              <w:bottom w:val="single" w:sz="4" w:space="0" w:color="auto"/>
              <w:right w:val="single" w:sz="4" w:space="0" w:color="auto"/>
            </w:tcBorders>
            <w:shd w:val="clear" w:color="auto" w:fill="auto"/>
            <w:noWrap/>
            <w:vAlign w:val="bottom"/>
            <w:hideMark/>
          </w:tcPr>
          <w:p w14:paraId="1B1FC078"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360 000,00</w:t>
            </w:r>
          </w:p>
        </w:tc>
        <w:tc>
          <w:tcPr>
            <w:tcW w:w="1508" w:type="dxa"/>
            <w:tcBorders>
              <w:top w:val="nil"/>
              <w:left w:val="nil"/>
              <w:bottom w:val="single" w:sz="4" w:space="0" w:color="auto"/>
              <w:right w:val="single" w:sz="4" w:space="0" w:color="auto"/>
            </w:tcBorders>
            <w:shd w:val="clear" w:color="auto" w:fill="auto"/>
            <w:noWrap/>
            <w:vAlign w:val="bottom"/>
            <w:hideMark/>
          </w:tcPr>
          <w:p w14:paraId="2C27840D"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201 930,00</w:t>
            </w:r>
          </w:p>
        </w:tc>
        <w:tc>
          <w:tcPr>
            <w:tcW w:w="647" w:type="dxa"/>
            <w:tcBorders>
              <w:top w:val="nil"/>
              <w:left w:val="nil"/>
              <w:bottom w:val="single" w:sz="4" w:space="0" w:color="auto"/>
              <w:right w:val="single" w:sz="8" w:space="0" w:color="auto"/>
            </w:tcBorders>
            <w:shd w:val="clear" w:color="auto" w:fill="auto"/>
            <w:noWrap/>
            <w:vAlign w:val="bottom"/>
            <w:hideMark/>
          </w:tcPr>
          <w:p w14:paraId="0301B301"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56,1</w:t>
            </w:r>
          </w:p>
        </w:tc>
      </w:tr>
      <w:tr w:rsidR="00B85262" w:rsidRPr="00B85262" w14:paraId="65312791" w14:textId="77777777" w:rsidTr="00236060">
        <w:trPr>
          <w:trHeight w:val="300"/>
        </w:trPr>
        <w:tc>
          <w:tcPr>
            <w:tcW w:w="941" w:type="dxa"/>
            <w:tcBorders>
              <w:top w:val="nil"/>
              <w:left w:val="single" w:sz="8" w:space="0" w:color="auto"/>
              <w:bottom w:val="nil"/>
              <w:right w:val="single" w:sz="4" w:space="0" w:color="auto"/>
            </w:tcBorders>
            <w:shd w:val="clear" w:color="auto" w:fill="auto"/>
            <w:noWrap/>
            <w:vAlign w:val="bottom"/>
            <w:hideMark/>
          </w:tcPr>
          <w:p w14:paraId="01062FBC"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5212</w:t>
            </w:r>
          </w:p>
        </w:tc>
        <w:tc>
          <w:tcPr>
            <w:tcW w:w="4440" w:type="dxa"/>
            <w:tcBorders>
              <w:top w:val="nil"/>
              <w:left w:val="nil"/>
              <w:bottom w:val="nil"/>
              <w:right w:val="single" w:sz="4" w:space="0" w:color="auto"/>
            </w:tcBorders>
            <w:shd w:val="clear" w:color="auto" w:fill="auto"/>
            <w:vAlign w:val="bottom"/>
            <w:hideMark/>
          </w:tcPr>
          <w:p w14:paraId="6561E0CA" w14:textId="77777777" w:rsidR="00B85262" w:rsidRPr="00B85262" w:rsidRDefault="00B85262" w:rsidP="00B85262">
            <w:pPr>
              <w:spacing w:after="0" w:line="240" w:lineRule="auto"/>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Ochrana obyvatelstva</w:t>
            </w:r>
          </w:p>
        </w:tc>
        <w:tc>
          <w:tcPr>
            <w:tcW w:w="1169" w:type="dxa"/>
            <w:tcBorders>
              <w:top w:val="nil"/>
              <w:left w:val="nil"/>
              <w:bottom w:val="nil"/>
              <w:right w:val="single" w:sz="4" w:space="0" w:color="auto"/>
            </w:tcBorders>
            <w:shd w:val="clear" w:color="auto" w:fill="auto"/>
            <w:noWrap/>
            <w:vAlign w:val="bottom"/>
            <w:hideMark/>
          </w:tcPr>
          <w:p w14:paraId="76F986A3"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0</w:t>
            </w:r>
          </w:p>
        </w:tc>
        <w:tc>
          <w:tcPr>
            <w:tcW w:w="1440" w:type="dxa"/>
            <w:tcBorders>
              <w:top w:val="nil"/>
              <w:left w:val="nil"/>
              <w:bottom w:val="single" w:sz="4" w:space="0" w:color="auto"/>
              <w:right w:val="single" w:sz="4" w:space="0" w:color="auto"/>
            </w:tcBorders>
            <w:shd w:val="clear" w:color="auto" w:fill="auto"/>
            <w:noWrap/>
            <w:vAlign w:val="bottom"/>
            <w:hideMark/>
          </w:tcPr>
          <w:p w14:paraId="5DAF1E0A"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2 808 169,78</w:t>
            </w:r>
          </w:p>
        </w:tc>
        <w:tc>
          <w:tcPr>
            <w:tcW w:w="1508" w:type="dxa"/>
            <w:tcBorders>
              <w:top w:val="nil"/>
              <w:left w:val="nil"/>
              <w:bottom w:val="single" w:sz="4" w:space="0" w:color="auto"/>
              <w:right w:val="single" w:sz="4" w:space="0" w:color="auto"/>
            </w:tcBorders>
            <w:shd w:val="clear" w:color="auto" w:fill="auto"/>
            <w:noWrap/>
            <w:vAlign w:val="bottom"/>
            <w:hideMark/>
          </w:tcPr>
          <w:p w14:paraId="2220452B"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7 260,00</w:t>
            </w:r>
          </w:p>
        </w:tc>
        <w:tc>
          <w:tcPr>
            <w:tcW w:w="647" w:type="dxa"/>
            <w:tcBorders>
              <w:top w:val="nil"/>
              <w:left w:val="nil"/>
              <w:bottom w:val="single" w:sz="4" w:space="0" w:color="auto"/>
              <w:right w:val="single" w:sz="8" w:space="0" w:color="auto"/>
            </w:tcBorders>
            <w:shd w:val="clear" w:color="auto" w:fill="auto"/>
            <w:noWrap/>
            <w:vAlign w:val="bottom"/>
            <w:hideMark/>
          </w:tcPr>
          <w:p w14:paraId="4B0A4CCD"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0,3</w:t>
            </w:r>
          </w:p>
        </w:tc>
      </w:tr>
      <w:tr w:rsidR="00B85262" w:rsidRPr="00B85262" w14:paraId="5D9FE92F" w14:textId="77777777" w:rsidTr="00236060">
        <w:trPr>
          <w:trHeight w:val="300"/>
        </w:trPr>
        <w:tc>
          <w:tcPr>
            <w:tcW w:w="941" w:type="dxa"/>
            <w:tcBorders>
              <w:top w:val="single" w:sz="4" w:space="0" w:color="auto"/>
              <w:left w:val="single" w:sz="8" w:space="0" w:color="auto"/>
              <w:bottom w:val="nil"/>
              <w:right w:val="single" w:sz="4" w:space="0" w:color="auto"/>
            </w:tcBorders>
            <w:shd w:val="clear" w:color="auto" w:fill="auto"/>
            <w:noWrap/>
            <w:vAlign w:val="bottom"/>
            <w:hideMark/>
          </w:tcPr>
          <w:p w14:paraId="29C7D060"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5213</w:t>
            </w:r>
          </w:p>
        </w:tc>
        <w:tc>
          <w:tcPr>
            <w:tcW w:w="4440" w:type="dxa"/>
            <w:tcBorders>
              <w:top w:val="single" w:sz="4" w:space="0" w:color="auto"/>
              <w:left w:val="nil"/>
              <w:bottom w:val="nil"/>
              <w:right w:val="single" w:sz="4" w:space="0" w:color="auto"/>
            </w:tcBorders>
            <w:shd w:val="clear" w:color="auto" w:fill="auto"/>
            <w:vAlign w:val="bottom"/>
            <w:hideMark/>
          </w:tcPr>
          <w:p w14:paraId="7191BF86" w14:textId="77777777" w:rsidR="00B85262" w:rsidRPr="00B85262" w:rsidRDefault="00B85262" w:rsidP="00B85262">
            <w:pPr>
              <w:spacing w:after="0" w:line="240" w:lineRule="auto"/>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Krizová opatření</w:t>
            </w:r>
          </w:p>
        </w:tc>
        <w:tc>
          <w:tcPr>
            <w:tcW w:w="1169" w:type="dxa"/>
            <w:tcBorders>
              <w:top w:val="single" w:sz="4" w:space="0" w:color="auto"/>
              <w:left w:val="nil"/>
              <w:bottom w:val="nil"/>
              <w:right w:val="single" w:sz="4" w:space="0" w:color="auto"/>
            </w:tcBorders>
            <w:shd w:val="clear" w:color="auto" w:fill="auto"/>
            <w:noWrap/>
            <w:vAlign w:val="bottom"/>
            <w:hideMark/>
          </w:tcPr>
          <w:p w14:paraId="7F6D70E9"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0</w:t>
            </w:r>
          </w:p>
        </w:tc>
        <w:tc>
          <w:tcPr>
            <w:tcW w:w="1440" w:type="dxa"/>
            <w:tcBorders>
              <w:top w:val="nil"/>
              <w:left w:val="nil"/>
              <w:bottom w:val="single" w:sz="4" w:space="0" w:color="auto"/>
              <w:right w:val="single" w:sz="4" w:space="0" w:color="auto"/>
            </w:tcBorders>
            <w:shd w:val="clear" w:color="auto" w:fill="auto"/>
            <w:noWrap/>
            <w:vAlign w:val="bottom"/>
            <w:hideMark/>
          </w:tcPr>
          <w:p w14:paraId="249196F4"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2 160 851,00</w:t>
            </w:r>
          </w:p>
        </w:tc>
        <w:tc>
          <w:tcPr>
            <w:tcW w:w="1508" w:type="dxa"/>
            <w:tcBorders>
              <w:top w:val="nil"/>
              <w:left w:val="nil"/>
              <w:bottom w:val="single" w:sz="4" w:space="0" w:color="auto"/>
              <w:right w:val="single" w:sz="4" w:space="0" w:color="auto"/>
            </w:tcBorders>
            <w:shd w:val="clear" w:color="auto" w:fill="auto"/>
            <w:noWrap/>
            <w:vAlign w:val="bottom"/>
            <w:hideMark/>
          </w:tcPr>
          <w:p w14:paraId="0058CF4F"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145 371,00</w:t>
            </w:r>
          </w:p>
        </w:tc>
        <w:tc>
          <w:tcPr>
            <w:tcW w:w="647" w:type="dxa"/>
            <w:tcBorders>
              <w:top w:val="nil"/>
              <w:left w:val="nil"/>
              <w:bottom w:val="single" w:sz="4" w:space="0" w:color="auto"/>
              <w:right w:val="single" w:sz="8" w:space="0" w:color="auto"/>
            </w:tcBorders>
            <w:shd w:val="clear" w:color="auto" w:fill="auto"/>
            <w:noWrap/>
            <w:vAlign w:val="bottom"/>
            <w:hideMark/>
          </w:tcPr>
          <w:p w14:paraId="6A15B3CF"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6,7</w:t>
            </w:r>
          </w:p>
        </w:tc>
      </w:tr>
      <w:tr w:rsidR="00B85262" w:rsidRPr="00B85262" w14:paraId="1F2D9EA8" w14:textId="77777777" w:rsidTr="00236060">
        <w:trPr>
          <w:trHeight w:val="300"/>
        </w:trPr>
        <w:tc>
          <w:tcPr>
            <w:tcW w:w="941" w:type="dxa"/>
            <w:tcBorders>
              <w:top w:val="single" w:sz="4" w:space="0" w:color="auto"/>
              <w:left w:val="single" w:sz="8" w:space="0" w:color="auto"/>
              <w:bottom w:val="nil"/>
              <w:right w:val="single" w:sz="4" w:space="0" w:color="auto"/>
            </w:tcBorders>
            <w:shd w:val="clear" w:color="auto" w:fill="auto"/>
            <w:noWrap/>
            <w:vAlign w:val="bottom"/>
            <w:hideMark/>
          </w:tcPr>
          <w:p w14:paraId="5AC1A842"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5213</w:t>
            </w:r>
          </w:p>
        </w:tc>
        <w:tc>
          <w:tcPr>
            <w:tcW w:w="4440" w:type="dxa"/>
            <w:tcBorders>
              <w:top w:val="single" w:sz="4" w:space="0" w:color="auto"/>
              <w:left w:val="nil"/>
              <w:bottom w:val="nil"/>
              <w:right w:val="single" w:sz="4" w:space="0" w:color="auto"/>
            </w:tcBorders>
            <w:shd w:val="clear" w:color="auto" w:fill="auto"/>
            <w:vAlign w:val="bottom"/>
            <w:hideMark/>
          </w:tcPr>
          <w:p w14:paraId="5260D34D" w14:textId="77777777" w:rsidR="00B85262" w:rsidRPr="00B85262" w:rsidRDefault="00B85262" w:rsidP="00B85262">
            <w:pPr>
              <w:spacing w:after="0" w:line="240" w:lineRule="auto"/>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krizová rezerva</w:t>
            </w:r>
          </w:p>
        </w:tc>
        <w:tc>
          <w:tcPr>
            <w:tcW w:w="1169" w:type="dxa"/>
            <w:tcBorders>
              <w:top w:val="single" w:sz="4" w:space="0" w:color="auto"/>
              <w:left w:val="nil"/>
              <w:bottom w:val="nil"/>
              <w:right w:val="single" w:sz="4" w:space="0" w:color="auto"/>
            </w:tcBorders>
            <w:shd w:val="clear" w:color="auto" w:fill="auto"/>
            <w:noWrap/>
            <w:vAlign w:val="bottom"/>
            <w:hideMark/>
          </w:tcPr>
          <w:p w14:paraId="67971D51"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0</w:t>
            </w:r>
          </w:p>
        </w:tc>
        <w:tc>
          <w:tcPr>
            <w:tcW w:w="1440" w:type="dxa"/>
            <w:tcBorders>
              <w:top w:val="nil"/>
              <w:left w:val="nil"/>
              <w:bottom w:val="single" w:sz="4" w:space="0" w:color="auto"/>
              <w:right w:val="single" w:sz="4" w:space="0" w:color="auto"/>
            </w:tcBorders>
            <w:shd w:val="clear" w:color="auto" w:fill="auto"/>
            <w:noWrap/>
            <w:vAlign w:val="bottom"/>
            <w:hideMark/>
          </w:tcPr>
          <w:p w14:paraId="2B4C9F4B"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3 400 000,00</w:t>
            </w:r>
          </w:p>
        </w:tc>
        <w:tc>
          <w:tcPr>
            <w:tcW w:w="1508" w:type="dxa"/>
            <w:tcBorders>
              <w:top w:val="nil"/>
              <w:left w:val="nil"/>
              <w:bottom w:val="single" w:sz="4" w:space="0" w:color="auto"/>
              <w:right w:val="single" w:sz="4" w:space="0" w:color="auto"/>
            </w:tcBorders>
            <w:shd w:val="clear" w:color="auto" w:fill="auto"/>
            <w:noWrap/>
            <w:vAlign w:val="bottom"/>
            <w:hideMark/>
          </w:tcPr>
          <w:p w14:paraId="3587C52E"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0,00</w:t>
            </w:r>
          </w:p>
        </w:tc>
        <w:tc>
          <w:tcPr>
            <w:tcW w:w="647" w:type="dxa"/>
            <w:tcBorders>
              <w:top w:val="nil"/>
              <w:left w:val="nil"/>
              <w:bottom w:val="single" w:sz="4" w:space="0" w:color="auto"/>
              <w:right w:val="single" w:sz="8" w:space="0" w:color="auto"/>
            </w:tcBorders>
            <w:shd w:val="clear" w:color="auto" w:fill="auto"/>
            <w:noWrap/>
            <w:vAlign w:val="bottom"/>
            <w:hideMark/>
          </w:tcPr>
          <w:p w14:paraId="34A453BF"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0,0</w:t>
            </w:r>
          </w:p>
        </w:tc>
      </w:tr>
      <w:tr w:rsidR="00B85262" w:rsidRPr="00B85262" w14:paraId="3BD9E8BA" w14:textId="77777777" w:rsidTr="00236060">
        <w:trPr>
          <w:trHeight w:val="300"/>
        </w:trPr>
        <w:tc>
          <w:tcPr>
            <w:tcW w:w="941" w:type="dxa"/>
            <w:tcBorders>
              <w:top w:val="single" w:sz="4" w:space="0" w:color="auto"/>
              <w:left w:val="single" w:sz="8" w:space="0" w:color="auto"/>
              <w:bottom w:val="nil"/>
              <w:right w:val="single" w:sz="4" w:space="0" w:color="auto"/>
            </w:tcBorders>
            <w:shd w:val="clear" w:color="auto" w:fill="auto"/>
            <w:noWrap/>
            <w:vAlign w:val="bottom"/>
            <w:hideMark/>
          </w:tcPr>
          <w:p w14:paraId="342C4576"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5213</w:t>
            </w:r>
          </w:p>
        </w:tc>
        <w:tc>
          <w:tcPr>
            <w:tcW w:w="4440" w:type="dxa"/>
            <w:tcBorders>
              <w:top w:val="single" w:sz="4" w:space="0" w:color="auto"/>
              <w:left w:val="nil"/>
              <w:bottom w:val="nil"/>
              <w:right w:val="single" w:sz="4" w:space="0" w:color="auto"/>
            </w:tcBorders>
            <w:shd w:val="clear" w:color="auto" w:fill="auto"/>
            <w:vAlign w:val="bottom"/>
            <w:hideMark/>
          </w:tcPr>
          <w:p w14:paraId="21717CB6" w14:textId="77777777" w:rsidR="00B85262" w:rsidRPr="00B85262" w:rsidRDefault="00B85262" w:rsidP="00B85262">
            <w:pPr>
              <w:spacing w:after="0" w:line="240" w:lineRule="auto"/>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Výdaje SK spojené s nákazou koronavirem COVID-19</w:t>
            </w:r>
          </w:p>
        </w:tc>
        <w:tc>
          <w:tcPr>
            <w:tcW w:w="1169" w:type="dxa"/>
            <w:tcBorders>
              <w:top w:val="single" w:sz="4" w:space="0" w:color="auto"/>
              <w:left w:val="nil"/>
              <w:bottom w:val="nil"/>
              <w:right w:val="single" w:sz="4" w:space="0" w:color="auto"/>
            </w:tcBorders>
            <w:shd w:val="clear" w:color="auto" w:fill="auto"/>
            <w:noWrap/>
            <w:vAlign w:val="bottom"/>
            <w:hideMark/>
          </w:tcPr>
          <w:p w14:paraId="19CA187A"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0</w:t>
            </w:r>
          </w:p>
        </w:tc>
        <w:tc>
          <w:tcPr>
            <w:tcW w:w="1440" w:type="dxa"/>
            <w:tcBorders>
              <w:top w:val="nil"/>
              <w:left w:val="nil"/>
              <w:bottom w:val="single" w:sz="4" w:space="0" w:color="auto"/>
              <w:right w:val="single" w:sz="4" w:space="0" w:color="auto"/>
            </w:tcBorders>
            <w:shd w:val="clear" w:color="auto" w:fill="auto"/>
            <w:noWrap/>
            <w:vAlign w:val="bottom"/>
            <w:hideMark/>
          </w:tcPr>
          <w:p w14:paraId="7919C94C"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46 421,20</w:t>
            </w:r>
          </w:p>
        </w:tc>
        <w:tc>
          <w:tcPr>
            <w:tcW w:w="1508" w:type="dxa"/>
            <w:tcBorders>
              <w:top w:val="nil"/>
              <w:left w:val="nil"/>
              <w:bottom w:val="single" w:sz="4" w:space="0" w:color="auto"/>
              <w:right w:val="single" w:sz="4" w:space="0" w:color="auto"/>
            </w:tcBorders>
            <w:shd w:val="clear" w:color="auto" w:fill="auto"/>
            <w:noWrap/>
            <w:vAlign w:val="bottom"/>
            <w:hideMark/>
          </w:tcPr>
          <w:p w14:paraId="6D4C65AA"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0,00</w:t>
            </w:r>
          </w:p>
        </w:tc>
        <w:tc>
          <w:tcPr>
            <w:tcW w:w="647" w:type="dxa"/>
            <w:tcBorders>
              <w:top w:val="nil"/>
              <w:left w:val="nil"/>
              <w:bottom w:val="single" w:sz="4" w:space="0" w:color="auto"/>
              <w:right w:val="single" w:sz="8" w:space="0" w:color="auto"/>
            </w:tcBorders>
            <w:shd w:val="clear" w:color="auto" w:fill="auto"/>
            <w:noWrap/>
            <w:vAlign w:val="bottom"/>
            <w:hideMark/>
          </w:tcPr>
          <w:p w14:paraId="26E50ABE"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0,0</w:t>
            </w:r>
          </w:p>
        </w:tc>
      </w:tr>
      <w:tr w:rsidR="00B85262" w:rsidRPr="00B85262" w14:paraId="5F8EA965" w14:textId="77777777" w:rsidTr="00236060">
        <w:trPr>
          <w:trHeight w:val="300"/>
        </w:trPr>
        <w:tc>
          <w:tcPr>
            <w:tcW w:w="941" w:type="dxa"/>
            <w:tcBorders>
              <w:top w:val="single" w:sz="4" w:space="0" w:color="auto"/>
              <w:left w:val="single" w:sz="8" w:space="0" w:color="auto"/>
              <w:bottom w:val="nil"/>
              <w:right w:val="single" w:sz="4" w:space="0" w:color="auto"/>
            </w:tcBorders>
            <w:shd w:val="clear" w:color="auto" w:fill="auto"/>
            <w:noWrap/>
            <w:vAlign w:val="bottom"/>
            <w:hideMark/>
          </w:tcPr>
          <w:p w14:paraId="31C1E8E9"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5273</w:t>
            </w:r>
          </w:p>
        </w:tc>
        <w:tc>
          <w:tcPr>
            <w:tcW w:w="4440" w:type="dxa"/>
            <w:tcBorders>
              <w:top w:val="single" w:sz="4" w:space="0" w:color="auto"/>
              <w:left w:val="nil"/>
              <w:bottom w:val="nil"/>
              <w:right w:val="single" w:sz="4" w:space="0" w:color="auto"/>
            </w:tcBorders>
            <w:shd w:val="clear" w:color="auto" w:fill="auto"/>
            <w:vAlign w:val="bottom"/>
            <w:hideMark/>
          </w:tcPr>
          <w:p w14:paraId="7710F51A" w14:textId="77777777" w:rsidR="00B85262" w:rsidRPr="00B85262" w:rsidRDefault="00B85262" w:rsidP="00B85262">
            <w:pPr>
              <w:spacing w:after="0" w:line="240" w:lineRule="auto"/>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Ostatní správa v oblasti krizového řízení</w:t>
            </w:r>
          </w:p>
        </w:tc>
        <w:tc>
          <w:tcPr>
            <w:tcW w:w="1169" w:type="dxa"/>
            <w:tcBorders>
              <w:top w:val="single" w:sz="4" w:space="0" w:color="auto"/>
              <w:left w:val="nil"/>
              <w:bottom w:val="nil"/>
              <w:right w:val="single" w:sz="4" w:space="0" w:color="auto"/>
            </w:tcBorders>
            <w:shd w:val="clear" w:color="auto" w:fill="auto"/>
            <w:noWrap/>
            <w:vAlign w:val="bottom"/>
            <w:hideMark/>
          </w:tcPr>
          <w:p w14:paraId="6097EB11"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0</w:t>
            </w:r>
          </w:p>
        </w:tc>
        <w:tc>
          <w:tcPr>
            <w:tcW w:w="1440" w:type="dxa"/>
            <w:tcBorders>
              <w:top w:val="nil"/>
              <w:left w:val="nil"/>
              <w:bottom w:val="single" w:sz="4" w:space="0" w:color="auto"/>
              <w:right w:val="single" w:sz="4" w:space="0" w:color="auto"/>
            </w:tcBorders>
            <w:shd w:val="clear" w:color="auto" w:fill="auto"/>
            <w:noWrap/>
            <w:vAlign w:val="bottom"/>
            <w:hideMark/>
          </w:tcPr>
          <w:p w14:paraId="3F21D87F"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3 102 225,24</w:t>
            </w:r>
          </w:p>
        </w:tc>
        <w:tc>
          <w:tcPr>
            <w:tcW w:w="1508" w:type="dxa"/>
            <w:tcBorders>
              <w:top w:val="nil"/>
              <w:left w:val="nil"/>
              <w:bottom w:val="single" w:sz="4" w:space="0" w:color="auto"/>
              <w:right w:val="single" w:sz="4" w:space="0" w:color="auto"/>
            </w:tcBorders>
            <w:shd w:val="clear" w:color="auto" w:fill="auto"/>
            <w:noWrap/>
            <w:vAlign w:val="bottom"/>
            <w:hideMark/>
          </w:tcPr>
          <w:p w14:paraId="107B5A81"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101 270,18</w:t>
            </w:r>
          </w:p>
        </w:tc>
        <w:tc>
          <w:tcPr>
            <w:tcW w:w="647" w:type="dxa"/>
            <w:tcBorders>
              <w:top w:val="nil"/>
              <w:left w:val="nil"/>
              <w:bottom w:val="single" w:sz="4" w:space="0" w:color="auto"/>
              <w:right w:val="single" w:sz="8" w:space="0" w:color="auto"/>
            </w:tcBorders>
            <w:shd w:val="clear" w:color="auto" w:fill="auto"/>
            <w:noWrap/>
            <w:vAlign w:val="bottom"/>
            <w:hideMark/>
          </w:tcPr>
          <w:p w14:paraId="674BBC96"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3,3</w:t>
            </w:r>
          </w:p>
        </w:tc>
      </w:tr>
      <w:tr w:rsidR="00B85262" w:rsidRPr="00B85262" w14:paraId="0347F9D1" w14:textId="77777777" w:rsidTr="00236060">
        <w:trPr>
          <w:trHeight w:val="300"/>
        </w:trPr>
        <w:tc>
          <w:tcPr>
            <w:tcW w:w="941" w:type="dxa"/>
            <w:tcBorders>
              <w:top w:val="single" w:sz="4" w:space="0" w:color="auto"/>
              <w:left w:val="single" w:sz="8" w:space="0" w:color="auto"/>
              <w:bottom w:val="nil"/>
              <w:right w:val="single" w:sz="4" w:space="0" w:color="auto"/>
            </w:tcBorders>
            <w:shd w:val="clear" w:color="auto" w:fill="auto"/>
            <w:noWrap/>
            <w:vAlign w:val="bottom"/>
            <w:hideMark/>
          </w:tcPr>
          <w:p w14:paraId="7F057EE6"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5279</w:t>
            </w:r>
          </w:p>
        </w:tc>
        <w:tc>
          <w:tcPr>
            <w:tcW w:w="4440" w:type="dxa"/>
            <w:tcBorders>
              <w:top w:val="single" w:sz="4" w:space="0" w:color="auto"/>
              <w:left w:val="nil"/>
              <w:bottom w:val="nil"/>
              <w:right w:val="single" w:sz="4" w:space="0" w:color="auto"/>
            </w:tcBorders>
            <w:shd w:val="clear" w:color="auto" w:fill="auto"/>
            <w:vAlign w:val="bottom"/>
            <w:hideMark/>
          </w:tcPr>
          <w:p w14:paraId="10E23D63" w14:textId="77777777" w:rsidR="00B85262" w:rsidRPr="00B85262" w:rsidRDefault="00B85262" w:rsidP="00B85262">
            <w:pPr>
              <w:spacing w:after="0" w:line="240" w:lineRule="auto"/>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Záležitosti krizového řízení jinde nezařazené</w:t>
            </w:r>
          </w:p>
        </w:tc>
        <w:tc>
          <w:tcPr>
            <w:tcW w:w="1169" w:type="dxa"/>
            <w:tcBorders>
              <w:top w:val="single" w:sz="4" w:space="0" w:color="auto"/>
              <w:left w:val="nil"/>
              <w:bottom w:val="nil"/>
              <w:right w:val="single" w:sz="4" w:space="0" w:color="auto"/>
            </w:tcBorders>
            <w:shd w:val="clear" w:color="auto" w:fill="auto"/>
            <w:noWrap/>
            <w:vAlign w:val="bottom"/>
            <w:hideMark/>
          </w:tcPr>
          <w:p w14:paraId="5259ADF2"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0</w:t>
            </w:r>
          </w:p>
        </w:tc>
        <w:tc>
          <w:tcPr>
            <w:tcW w:w="1440" w:type="dxa"/>
            <w:tcBorders>
              <w:top w:val="nil"/>
              <w:left w:val="nil"/>
              <w:bottom w:val="single" w:sz="4" w:space="0" w:color="auto"/>
              <w:right w:val="single" w:sz="4" w:space="0" w:color="auto"/>
            </w:tcBorders>
            <w:shd w:val="clear" w:color="auto" w:fill="auto"/>
            <w:noWrap/>
            <w:vAlign w:val="bottom"/>
            <w:hideMark/>
          </w:tcPr>
          <w:p w14:paraId="5572F27B"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1 936 109,61</w:t>
            </w:r>
          </w:p>
        </w:tc>
        <w:tc>
          <w:tcPr>
            <w:tcW w:w="1508" w:type="dxa"/>
            <w:tcBorders>
              <w:top w:val="nil"/>
              <w:left w:val="nil"/>
              <w:bottom w:val="single" w:sz="4" w:space="0" w:color="auto"/>
              <w:right w:val="single" w:sz="4" w:space="0" w:color="auto"/>
            </w:tcBorders>
            <w:shd w:val="clear" w:color="auto" w:fill="auto"/>
            <w:noWrap/>
            <w:vAlign w:val="bottom"/>
            <w:hideMark/>
          </w:tcPr>
          <w:p w14:paraId="35CD4328"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0,00</w:t>
            </w:r>
          </w:p>
        </w:tc>
        <w:tc>
          <w:tcPr>
            <w:tcW w:w="647" w:type="dxa"/>
            <w:tcBorders>
              <w:top w:val="nil"/>
              <w:left w:val="nil"/>
              <w:bottom w:val="single" w:sz="4" w:space="0" w:color="auto"/>
              <w:right w:val="single" w:sz="8" w:space="0" w:color="auto"/>
            </w:tcBorders>
            <w:shd w:val="clear" w:color="auto" w:fill="auto"/>
            <w:noWrap/>
            <w:vAlign w:val="bottom"/>
            <w:hideMark/>
          </w:tcPr>
          <w:p w14:paraId="1E9633A5"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0,0</w:t>
            </w:r>
          </w:p>
        </w:tc>
      </w:tr>
      <w:tr w:rsidR="00B85262" w:rsidRPr="00B85262" w14:paraId="41D0D04D" w14:textId="77777777" w:rsidTr="00236060">
        <w:trPr>
          <w:trHeight w:val="300"/>
        </w:trPr>
        <w:tc>
          <w:tcPr>
            <w:tcW w:w="941" w:type="dxa"/>
            <w:tcBorders>
              <w:top w:val="single" w:sz="4" w:space="0" w:color="auto"/>
              <w:left w:val="single" w:sz="8" w:space="0" w:color="auto"/>
              <w:bottom w:val="nil"/>
              <w:right w:val="single" w:sz="4" w:space="0" w:color="auto"/>
            </w:tcBorders>
            <w:shd w:val="clear" w:color="auto" w:fill="auto"/>
            <w:noWrap/>
            <w:vAlign w:val="bottom"/>
            <w:hideMark/>
          </w:tcPr>
          <w:p w14:paraId="7B47753A"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5512</w:t>
            </w:r>
          </w:p>
        </w:tc>
        <w:tc>
          <w:tcPr>
            <w:tcW w:w="4440" w:type="dxa"/>
            <w:tcBorders>
              <w:top w:val="single" w:sz="4" w:space="0" w:color="auto"/>
              <w:left w:val="nil"/>
              <w:bottom w:val="nil"/>
              <w:right w:val="single" w:sz="4" w:space="0" w:color="auto"/>
            </w:tcBorders>
            <w:shd w:val="clear" w:color="auto" w:fill="auto"/>
            <w:vAlign w:val="bottom"/>
            <w:hideMark/>
          </w:tcPr>
          <w:p w14:paraId="7F693C03" w14:textId="77777777" w:rsidR="00B85262" w:rsidRPr="00B85262" w:rsidRDefault="00B85262" w:rsidP="00B85262">
            <w:pPr>
              <w:spacing w:after="0" w:line="240" w:lineRule="auto"/>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Požární ochrana - dobrovolná část</w:t>
            </w:r>
          </w:p>
        </w:tc>
        <w:tc>
          <w:tcPr>
            <w:tcW w:w="1169" w:type="dxa"/>
            <w:tcBorders>
              <w:top w:val="single" w:sz="4" w:space="0" w:color="auto"/>
              <w:left w:val="nil"/>
              <w:bottom w:val="nil"/>
              <w:right w:val="single" w:sz="4" w:space="0" w:color="auto"/>
            </w:tcBorders>
            <w:shd w:val="clear" w:color="auto" w:fill="auto"/>
            <w:noWrap/>
            <w:vAlign w:val="bottom"/>
            <w:hideMark/>
          </w:tcPr>
          <w:p w14:paraId="03303F4C"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0</w:t>
            </w:r>
          </w:p>
        </w:tc>
        <w:tc>
          <w:tcPr>
            <w:tcW w:w="1440" w:type="dxa"/>
            <w:tcBorders>
              <w:top w:val="nil"/>
              <w:left w:val="nil"/>
              <w:bottom w:val="single" w:sz="4" w:space="0" w:color="auto"/>
              <w:right w:val="single" w:sz="4" w:space="0" w:color="auto"/>
            </w:tcBorders>
            <w:shd w:val="clear" w:color="auto" w:fill="auto"/>
            <w:noWrap/>
            <w:vAlign w:val="bottom"/>
            <w:hideMark/>
          </w:tcPr>
          <w:p w14:paraId="6CF8F1FE"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500 000,00</w:t>
            </w:r>
          </w:p>
        </w:tc>
        <w:tc>
          <w:tcPr>
            <w:tcW w:w="1508" w:type="dxa"/>
            <w:tcBorders>
              <w:top w:val="nil"/>
              <w:left w:val="nil"/>
              <w:bottom w:val="single" w:sz="4" w:space="0" w:color="auto"/>
              <w:right w:val="single" w:sz="4" w:space="0" w:color="auto"/>
            </w:tcBorders>
            <w:shd w:val="clear" w:color="auto" w:fill="auto"/>
            <w:noWrap/>
            <w:vAlign w:val="bottom"/>
            <w:hideMark/>
          </w:tcPr>
          <w:p w14:paraId="25687DA3"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27 830,00</w:t>
            </w:r>
          </w:p>
        </w:tc>
        <w:tc>
          <w:tcPr>
            <w:tcW w:w="647" w:type="dxa"/>
            <w:tcBorders>
              <w:top w:val="nil"/>
              <w:left w:val="nil"/>
              <w:bottom w:val="single" w:sz="4" w:space="0" w:color="auto"/>
              <w:right w:val="single" w:sz="8" w:space="0" w:color="auto"/>
            </w:tcBorders>
            <w:shd w:val="clear" w:color="auto" w:fill="auto"/>
            <w:noWrap/>
            <w:vAlign w:val="bottom"/>
            <w:hideMark/>
          </w:tcPr>
          <w:p w14:paraId="34A89109"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5,6</w:t>
            </w:r>
          </w:p>
        </w:tc>
      </w:tr>
      <w:tr w:rsidR="00B85262" w:rsidRPr="00B85262" w14:paraId="55D3DB40" w14:textId="77777777" w:rsidTr="00236060">
        <w:trPr>
          <w:trHeight w:val="319"/>
        </w:trPr>
        <w:tc>
          <w:tcPr>
            <w:tcW w:w="941"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02D3DF23"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6172</w:t>
            </w:r>
          </w:p>
        </w:tc>
        <w:tc>
          <w:tcPr>
            <w:tcW w:w="4440" w:type="dxa"/>
            <w:tcBorders>
              <w:top w:val="single" w:sz="4" w:space="0" w:color="auto"/>
              <w:left w:val="nil"/>
              <w:bottom w:val="single" w:sz="8" w:space="0" w:color="auto"/>
              <w:right w:val="single" w:sz="4" w:space="0" w:color="auto"/>
            </w:tcBorders>
            <w:shd w:val="clear" w:color="auto" w:fill="auto"/>
            <w:vAlign w:val="bottom"/>
            <w:hideMark/>
          </w:tcPr>
          <w:p w14:paraId="1523E7EE" w14:textId="77777777" w:rsidR="00B85262" w:rsidRPr="00B85262" w:rsidRDefault="00B85262" w:rsidP="00B85262">
            <w:pPr>
              <w:spacing w:after="0" w:line="240" w:lineRule="auto"/>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Činnost regionální správy - bezpečnostní opatření</w:t>
            </w:r>
          </w:p>
        </w:tc>
        <w:tc>
          <w:tcPr>
            <w:tcW w:w="1169" w:type="dxa"/>
            <w:tcBorders>
              <w:top w:val="single" w:sz="4" w:space="0" w:color="auto"/>
              <w:left w:val="nil"/>
              <w:bottom w:val="single" w:sz="8" w:space="0" w:color="auto"/>
              <w:right w:val="single" w:sz="4" w:space="0" w:color="auto"/>
            </w:tcBorders>
            <w:shd w:val="clear" w:color="auto" w:fill="auto"/>
            <w:noWrap/>
            <w:vAlign w:val="bottom"/>
            <w:hideMark/>
          </w:tcPr>
          <w:p w14:paraId="1D85615E"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8 835 000</w:t>
            </w:r>
          </w:p>
        </w:tc>
        <w:tc>
          <w:tcPr>
            <w:tcW w:w="1440" w:type="dxa"/>
            <w:tcBorders>
              <w:top w:val="nil"/>
              <w:left w:val="nil"/>
              <w:bottom w:val="single" w:sz="8" w:space="0" w:color="auto"/>
              <w:right w:val="single" w:sz="4" w:space="0" w:color="auto"/>
            </w:tcBorders>
            <w:shd w:val="clear" w:color="auto" w:fill="auto"/>
            <w:noWrap/>
            <w:vAlign w:val="bottom"/>
            <w:hideMark/>
          </w:tcPr>
          <w:p w14:paraId="20F51DB4"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9 097 075,00</w:t>
            </w:r>
          </w:p>
        </w:tc>
        <w:tc>
          <w:tcPr>
            <w:tcW w:w="1508" w:type="dxa"/>
            <w:tcBorders>
              <w:top w:val="nil"/>
              <w:left w:val="nil"/>
              <w:bottom w:val="single" w:sz="8" w:space="0" w:color="auto"/>
              <w:right w:val="single" w:sz="4" w:space="0" w:color="auto"/>
            </w:tcBorders>
            <w:shd w:val="clear" w:color="auto" w:fill="auto"/>
            <w:noWrap/>
            <w:vAlign w:val="bottom"/>
            <w:hideMark/>
          </w:tcPr>
          <w:p w14:paraId="768151F6"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8 431 417,71</w:t>
            </w:r>
          </w:p>
        </w:tc>
        <w:tc>
          <w:tcPr>
            <w:tcW w:w="647" w:type="dxa"/>
            <w:tcBorders>
              <w:top w:val="nil"/>
              <w:left w:val="nil"/>
              <w:bottom w:val="single" w:sz="8" w:space="0" w:color="auto"/>
              <w:right w:val="single" w:sz="8" w:space="0" w:color="auto"/>
            </w:tcBorders>
            <w:shd w:val="clear" w:color="auto" w:fill="auto"/>
            <w:noWrap/>
            <w:vAlign w:val="bottom"/>
            <w:hideMark/>
          </w:tcPr>
          <w:p w14:paraId="5A3246D2"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92,7</w:t>
            </w:r>
          </w:p>
        </w:tc>
      </w:tr>
      <w:tr w:rsidR="00B85262" w:rsidRPr="00B85262" w14:paraId="44519DD9" w14:textId="77777777" w:rsidTr="00236060">
        <w:trPr>
          <w:trHeight w:val="300"/>
        </w:trPr>
        <w:tc>
          <w:tcPr>
            <w:tcW w:w="941" w:type="dxa"/>
            <w:tcBorders>
              <w:top w:val="nil"/>
              <w:left w:val="single" w:sz="8" w:space="0" w:color="auto"/>
              <w:bottom w:val="single" w:sz="8" w:space="0" w:color="auto"/>
              <w:right w:val="single" w:sz="4" w:space="0" w:color="auto"/>
            </w:tcBorders>
            <w:shd w:val="clear" w:color="auto" w:fill="auto"/>
            <w:noWrap/>
            <w:vAlign w:val="center"/>
            <w:hideMark/>
          </w:tcPr>
          <w:p w14:paraId="3B8F14D8" w14:textId="77777777" w:rsidR="00B85262" w:rsidRPr="00B85262" w:rsidRDefault="00B85262" w:rsidP="00B85262">
            <w:pPr>
              <w:spacing w:after="0" w:line="240" w:lineRule="auto"/>
              <w:jc w:val="center"/>
              <w:rPr>
                <w:rFonts w:ascii="Calibri" w:eastAsia="Times New Roman" w:hAnsi="Calibri" w:cs="Calibri"/>
                <w:lang w:eastAsia="cs-CZ"/>
              </w:rPr>
            </w:pPr>
            <w:r w:rsidRPr="00B85262">
              <w:rPr>
                <w:rFonts w:ascii="Calibri" w:eastAsia="Times New Roman" w:hAnsi="Calibri" w:cs="Calibri"/>
                <w:lang w:eastAsia="cs-CZ"/>
              </w:rPr>
              <w:t> </w:t>
            </w:r>
          </w:p>
        </w:tc>
        <w:tc>
          <w:tcPr>
            <w:tcW w:w="4440" w:type="dxa"/>
            <w:tcBorders>
              <w:top w:val="nil"/>
              <w:left w:val="nil"/>
              <w:bottom w:val="single" w:sz="8" w:space="0" w:color="auto"/>
              <w:right w:val="single" w:sz="4" w:space="0" w:color="auto"/>
            </w:tcBorders>
            <w:shd w:val="clear" w:color="auto" w:fill="auto"/>
            <w:noWrap/>
            <w:vAlign w:val="center"/>
            <w:hideMark/>
          </w:tcPr>
          <w:p w14:paraId="7B1F8033" w14:textId="77777777" w:rsidR="00B85262" w:rsidRPr="00B85262" w:rsidRDefault="00B85262" w:rsidP="00B85262">
            <w:pPr>
              <w:spacing w:after="0" w:line="240" w:lineRule="auto"/>
              <w:rPr>
                <w:rFonts w:ascii="Calibri" w:eastAsia="Times New Roman" w:hAnsi="Calibri" w:cs="Calibri"/>
                <w:b/>
                <w:bCs/>
                <w:lang w:eastAsia="cs-CZ"/>
              </w:rPr>
            </w:pPr>
            <w:r w:rsidRPr="00B85262">
              <w:rPr>
                <w:rFonts w:ascii="Calibri" w:eastAsia="Times New Roman" w:hAnsi="Calibri" w:cs="Calibri"/>
                <w:b/>
                <w:bCs/>
                <w:lang w:eastAsia="cs-CZ"/>
              </w:rPr>
              <w:t>Celkem</w:t>
            </w:r>
          </w:p>
        </w:tc>
        <w:tc>
          <w:tcPr>
            <w:tcW w:w="1169" w:type="dxa"/>
            <w:tcBorders>
              <w:top w:val="nil"/>
              <w:left w:val="nil"/>
              <w:bottom w:val="single" w:sz="8" w:space="0" w:color="auto"/>
              <w:right w:val="single" w:sz="4" w:space="0" w:color="auto"/>
            </w:tcBorders>
            <w:shd w:val="clear" w:color="auto" w:fill="auto"/>
            <w:noWrap/>
            <w:vAlign w:val="center"/>
            <w:hideMark/>
          </w:tcPr>
          <w:p w14:paraId="02862DA6" w14:textId="77777777" w:rsidR="00B85262" w:rsidRPr="005C2A52" w:rsidRDefault="00B85262" w:rsidP="00B85262">
            <w:pPr>
              <w:spacing w:after="0" w:line="240" w:lineRule="auto"/>
              <w:jc w:val="right"/>
              <w:rPr>
                <w:rFonts w:eastAsia="Times New Roman" w:cstheme="minorHAnsi"/>
                <w:b/>
                <w:bCs/>
                <w:lang w:eastAsia="cs-CZ"/>
              </w:rPr>
            </w:pPr>
            <w:r w:rsidRPr="005C2A52">
              <w:rPr>
                <w:rFonts w:eastAsia="Times New Roman" w:cstheme="minorHAnsi"/>
                <w:b/>
                <w:bCs/>
                <w:lang w:eastAsia="cs-CZ"/>
              </w:rPr>
              <w:t>10 541 000</w:t>
            </w:r>
          </w:p>
        </w:tc>
        <w:tc>
          <w:tcPr>
            <w:tcW w:w="1440" w:type="dxa"/>
            <w:tcBorders>
              <w:top w:val="nil"/>
              <w:left w:val="nil"/>
              <w:bottom w:val="single" w:sz="8" w:space="0" w:color="auto"/>
              <w:right w:val="single" w:sz="4" w:space="0" w:color="auto"/>
            </w:tcBorders>
            <w:shd w:val="clear" w:color="auto" w:fill="auto"/>
            <w:noWrap/>
            <w:vAlign w:val="center"/>
            <w:hideMark/>
          </w:tcPr>
          <w:p w14:paraId="7091FC5D" w14:textId="77777777" w:rsidR="00B85262" w:rsidRPr="005C2A52" w:rsidRDefault="00B85262" w:rsidP="00B85262">
            <w:pPr>
              <w:spacing w:after="0" w:line="240" w:lineRule="auto"/>
              <w:jc w:val="right"/>
              <w:rPr>
                <w:rFonts w:eastAsia="Times New Roman" w:cstheme="minorHAnsi"/>
                <w:b/>
                <w:bCs/>
                <w:lang w:eastAsia="cs-CZ"/>
              </w:rPr>
            </w:pPr>
            <w:r w:rsidRPr="005C2A52">
              <w:rPr>
                <w:rFonts w:eastAsia="Times New Roman" w:cstheme="minorHAnsi"/>
                <w:b/>
                <w:bCs/>
                <w:lang w:eastAsia="cs-CZ"/>
              </w:rPr>
              <w:t>24 846 851,83</w:t>
            </w:r>
          </w:p>
        </w:tc>
        <w:tc>
          <w:tcPr>
            <w:tcW w:w="1508" w:type="dxa"/>
            <w:tcBorders>
              <w:top w:val="nil"/>
              <w:left w:val="nil"/>
              <w:bottom w:val="single" w:sz="8" w:space="0" w:color="auto"/>
              <w:right w:val="single" w:sz="4" w:space="0" w:color="auto"/>
            </w:tcBorders>
            <w:shd w:val="clear" w:color="auto" w:fill="auto"/>
            <w:noWrap/>
            <w:vAlign w:val="center"/>
            <w:hideMark/>
          </w:tcPr>
          <w:p w14:paraId="2B8B6B6F" w14:textId="77777777" w:rsidR="00B85262" w:rsidRPr="005C2A52" w:rsidRDefault="00B85262" w:rsidP="00B85262">
            <w:pPr>
              <w:spacing w:after="0" w:line="240" w:lineRule="auto"/>
              <w:jc w:val="right"/>
              <w:rPr>
                <w:rFonts w:eastAsia="Times New Roman" w:cstheme="minorHAnsi"/>
                <w:b/>
                <w:bCs/>
                <w:lang w:eastAsia="cs-CZ"/>
              </w:rPr>
            </w:pPr>
            <w:r w:rsidRPr="005C2A52">
              <w:rPr>
                <w:rFonts w:eastAsia="Times New Roman" w:cstheme="minorHAnsi"/>
                <w:b/>
                <w:bCs/>
                <w:lang w:eastAsia="cs-CZ"/>
              </w:rPr>
              <w:t>9 933 163,82</w:t>
            </w:r>
          </w:p>
        </w:tc>
        <w:tc>
          <w:tcPr>
            <w:tcW w:w="647" w:type="dxa"/>
            <w:tcBorders>
              <w:top w:val="nil"/>
              <w:left w:val="nil"/>
              <w:bottom w:val="single" w:sz="8" w:space="0" w:color="auto"/>
              <w:right w:val="single" w:sz="8" w:space="0" w:color="auto"/>
            </w:tcBorders>
            <w:shd w:val="clear" w:color="auto" w:fill="auto"/>
            <w:noWrap/>
            <w:vAlign w:val="center"/>
            <w:hideMark/>
          </w:tcPr>
          <w:p w14:paraId="1EA53E3E" w14:textId="77777777" w:rsidR="00B85262" w:rsidRPr="005C2A52" w:rsidRDefault="00B85262" w:rsidP="00B85262">
            <w:pPr>
              <w:spacing w:after="0" w:line="240" w:lineRule="auto"/>
              <w:jc w:val="right"/>
              <w:rPr>
                <w:rFonts w:eastAsia="Times New Roman" w:cstheme="minorHAnsi"/>
                <w:b/>
                <w:bCs/>
                <w:lang w:eastAsia="cs-CZ"/>
              </w:rPr>
            </w:pPr>
            <w:r w:rsidRPr="005C2A52">
              <w:rPr>
                <w:rFonts w:eastAsia="Times New Roman" w:cstheme="minorHAnsi"/>
                <w:b/>
                <w:bCs/>
                <w:lang w:eastAsia="cs-CZ"/>
              </w:rPr>
              <w:t>40,0</w:t>
            </w:r>
          </w:p>
        </w:tc>
      </w:tr>
      <w:tr w:rsidR="00B85262" w:rsidRPr="00B85262" w14:paraId="447C0BE0" w14:textId="77777777" w:rsidTr="00236060">
        <w:trPr>
          <w:trHeight w:val="360"/>
        </w:trPr>
        <w:tc>
          <w:tcPr>
            <w:tcW w:w="941" w:type="dxa"/>
            <w:tcBorders>
              <w:top w:val="nil"/>
              <w:left w:val="nil"/>
              <w:bottom w:val="nil"/>
              <w:right w:val="nil"/>
            </w:tcBorders>
            <w:shd w:val="clear" w:color="auto" w:fill="auto"/>
            <w:noWrap/>
            <w:vAlign w:val="center"/>
            <w:hideMark/>
          </w:tcPr>
          <w:p w14:paraId="0A21790F" w14:textId="77777777" w:rsidR="00B85262" w:rsidRPr="00B85262" w:rsidRDefault="00B85262" w:rsidP="00B85262">
            <w:pPr>
              <w:spacing w:after="0" w:line="240" w:lineRule="auto"/>
              <w:jc w:val="right"/>
              <w:rPr>
                <w:rFonts w:ascii="Calibri" w:eastAsia="Times New Roman" w:hAnsi="Calibri" w:cs="Calibri"/>
                <w:b/>
                <w:bCs/>
                <w:lang w:eastAsia="cs-CZ"/>
              </w:rPr>
            </w:pPr>
          </w:p>
        </w:tc>
        <w:tc>
          <w:tcPr>
            <w:tcW w:w="4440" w:type="dxa"/>
            <w:tcBorders>
              <w:top w:val="nil"/>
              <w:left w:val="nil"/>
              <w:bottom w:val="nil"/>
              <w:right w:val="nil"/>
            </w:tcBorders>
            <w:shd w:val="clear" w:color="auto" w:fill="auto"/>
            <w:noWrap/>
            <w:vAlign w:val="center"/>
            <w:hideMark/>
          </w:tcPr>
          <w:p w14:paraId="412DE527" w14:textId="77777777" w:rsidR="00B85262" w:rsidRPr="00B85262" w:rsidRDefault="00B85262" w:rsidP="00B85262">
            <w:pPr>
              <w:spacing w:after="0" w:line="240" w:lineRule="auto"/>
              <w:jc w:val="center"/>
              <w:rPr>
                <w:rFonts w:ascii="Times New Roman" w:eastAsia="Times New Roman" w:hAnsi="Times New Roman" w:cs="Times New Roman"/>
                <w:sz w:val="20"/>
                <w:szCs w:val="20"/>
                <w:lang w:eastAsia="cs-CZ"/>
              </w:rPr>
            </w:pPr>
          </w:p>
        </w:tc>
        <w:tc>
          <w:tcPr>
            <w:tcW w:w="1169" w:type="dxa"/>
            <w:tcBorders>
              <w:top w:val="nil"/>
              <w:left w:val="nil"/>
              <w:bottom w:val="nil"/>
              <w:right w:val="nil"/>
            </w:tcBorders>
            <w:shd w:val="clear" w:color="auto" w:fill="auto"/>
            <w:noWrap/>
            <w:vAlign w:val="center"/>
            <w:hideMark/>
          </w:tcPr>
          <w:p w14:paraId="18BCE58F"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1440" w:type="dxa"/>
            <w:tcBorders>
              <w:top w:val="nil"/>
              <w:left w:val="nil"/>
              <w:bottom w:val="nil"/>
              <w:right w:val="nil"/>
            </w:tcBorders>
            <w:shd w:val="clear" w:color="auto" w:fill="auto"/>
            <w:noWrap/>
            <w:vAlign w:val="center"/>
            <w:hideMark/>
          </w:tcPr>
          <w:p w14:paraId="21BF5101" w14:textId="77777777" w:rsidR="00B85262" w:rsidRPr="00B85262" w:rsidRDefault="00B85262" w:rsidP="00B85262">
            <w:pPr>
              <w:spacing w:after="0" w:line="240" w:lineRule="auto"/>
              <w:jc w:val="right"/>
              <w:rPr>
                <w:rFonts w:ascii="Times New Roman" w:eastAsia="Times New Roman" w:hAnsi="Times New Roman" w:cs="Times New Roman"/>
                <w:sz w:val="20"/>
                <w:szCs w:val="20"/>
                <w:lang w:eastAsia="cs-CZ"/>
              </w:rPr>
            </w:pPr>
          </w:p>
        </w:tc>
        <w:tc>
          <w:tcPr>
            <w:tcW w:w="1508" w:type="dxa"/>
            <w:tcBorders>
              <w:top w:val="nil"/>
              <w:left w:val="nil"/>
              <w:bottom w:val="nil"/>
              <w:right w:val="nil"/>
            </w:tcBorders>
            <w:shd w:val="clear" w:color="auto" w:fill="auto"/>
            <w:noWrap/>
            <w:vAlign w:val="center"/>
            <w:hideMark/>
          </w:tcPr>
          <w:p w14:paraId="439353BA" w14:textId="77777777" w:rsidR="00B85262" w:rsidRPr="00B85262" w:rsidRDefault="00B85262" w:rsidP="00B85262">
            <w:pPr>
              <w:spacing w:after="0" w:line="240" w:lineRule="auto"/>
              <w:jc w:val="right"/>
              <w:rPr>
                <w:rFonts w:ascii="Times New Roman" w:eastAsia="Times New Roman" w:hAnsi="Times New Roman" w:cs="Times New Roman"/>
                <w:sz w:val="20"/>
                <w:szCs w:val="20"/>
                <w:lang w:eastAsia="cs-CZ"/>
              </w:rPr>
            </w:pPr>
          </w:p>
        </w:tc>
        <w:tc>
          <w:tcPr>
            <w:tcW w:w="647" w:type="dxa"/>
            <w:tcBorders>
              <w:top w:val="nil"/>
              <w:left w:val="nil"/>
              <w:bottom w:val="nil"/>
              <w:right w:val="nil"/>
            </w:tcBorders>
            <w:shd w:val="clear" w:color="auto" w:fill="auto"/>
            <w:noWrap/>
            <w:vAlign w:val="center"/>
            <w:hideMark/>
          </w:tcPr>
          <w:p w14:paraId="05FFE18A" w14:textId="77777777" w:rsidR="00B85262" w:rsidRPr="00B85262" w:rsidRDefault="00B85262" w:rsidP="00B85262">
            <w:pPr>
              <w:spacing w:after="0" w:line="240" w:lineRule="auto"/>
              <w:jc w:val="right"/>
              <w:rPr>
                <w:rFonts w:ascii="Times New Roman" w:eastAsia="Times New Roman" w:hAnsi="Times New Roman" w:cs="Times New Roman"/>
                <w:sz w:val="20"/>
                <w:szCs w:val="20"/>
                <w:lang w:eastAsia="cs-CZ"/>
              </w:rPr>
            </w:pPr>
          </w:p>
        </w:tc>
      </w:tr>
      <w:tr w:rsidR="00B85262" w:rsidRPr="00B85262" w14:paraId="769161F4" w14:textId="77777777" w:rsidTr="00236060">
        <w:trPr>
          <w:trHeight w:val="285"/>
        </w:trPr>
        <w:tc>
          <w:tcPr>
            <w:tcW w:w="941" w:type="dxa"/>
            <w:tcBorders>
              <w:top w:val="nil"/>
              <w:left w:val="nil"/>
              <w:bottom w:val="single" w:sz="8" w:space="0" w:color="auto"/>
              <w:right w:val="nil"/>
            </w:tcBorders>
            <w:shd w:val="clear" w:color="auto" w:fill="auto"/>
            <w:noWrap/>
            <w:vAlign w:val="center"/>
            <w:hideMark/>
          </w:tcPr>
          <w:p w14:paraId="65E078AC" w14:textId="77777777" w:rsidR="00B85262" w:rsidRPr="00B85262" w:rsidRDefault="00B85262" w:rsidP="00B85262">
            <w:pPr>
              <w:spacing w:after="0" w:line="240" w:lineRule="auto"/>
              <w:jc w:val="center"/>
              <w:rPr>
                <w:rFonts w:ascii="Calibri" w:eastAsia="Times New Roman" w:hAnsi="Calibri" w:cs="Calibri"/>
                <w:color w:val="FFFFFF"/>
                <w:sz w:val="20"/>
                <w:szCs w:val="20"/>
                <w:lang w:eastAsia="cs-CZ"/>
              </w:rPr>
            </w:pPr>
            <w:r w:rsidRPr="00B85262">
              <w:rPr>
                <w:rFonts w:ascii="Calibri" w:eastAsia="Times New Roman" w:hAnsi="Calibri" w:cs="Calibri"/>
                <w:color w:val="FFFFFF"/>
                <w:sz w:val="20"/>
                <w:szCs w:val="20"/>
                <w:lang w:eastAsia="cs-CZ"/>
              </w:rPr>
              <w:t> </w:t>
            </w:r>
          </w:p>
        </w:tc>
        <w:tc>
          <w:tcPr>
            <w:tcW w:w="9204" w:type="dxa"/>
            <w:gridSpan w:val="5"/>
            <w:tcBorders>
              <w:top w:val="nil"/>
              <w:left w:val="nil"/>
              <w:bottom w:val="single" w:sz="8" w:space="0" w:color="auto"/>
              <w:right w:val="nil"/>
            </w:tcBorders>
            <w:shd w:val="clear" w:color="auto" w:fill="auto"/>
            <w:vAlign w:val="bottom"/>
            <w:hideMark/>
          </w:tcPr>
          <w:p w14:paraId="6F8258B1" w14:textId="77777777" w:rsidR="00B85262" w:rsidRPr="00B85262" w:rsidRDefault="00B85262" w:rsidP="00B85262">
            <w:pPr>
              <w:spacing w:after="0" w:line="240" w:lineRule="auto"/>
              <w:rPr>
                <w:rFonts w:ascii="Calibri" w:eastAsia="Times New Roman" w:hAnsi="Calibri" w:cs="Calibri"/>
                <w:b/>
                <w:bCs/>
                <w:lang w:eastAsia="cs-CZ"/>
              </w:rPr>
            </w:pPr>
            <w:r w:rsidRPr="00B85262">
              <w:rPr>
                <w:rFonts w:ascii="Calibri" w:eastAsia="Times New Roman" w:hAnsi="Calibri" w:cs="Calibri"/>
                <w:b/>
                <w:bCs/>
                <w:lang w:eastAsia="cs-CZ"/>
              </w:rPr>
              <w:t>Fondy</w:t>
            </w:r>
          </w:p>
        </w:tc>
      </w:tr>
      <w:tr w:rsidR="00B85262" w:rsidRPr="00B85262" w14:paraId="6BA4C480" w14:textId="77777777" w:rsidTr="00236060">
        <w:trPr>
          <w:trHeight w:val="300"/>
        </w:trPr>
        <w:tc>
          <w:tcPr>
            <w:tcW w:w="941" w:type="dxa"/>
            <w:tcBorders>
              <w:top w:val="nil"/>
              <w:left w:val="single" w:sz="8" w:space="0" w:color="auto"/>
              <w:bottom w:val="single" w:sz="4" w:space="0" w:color="auto"/>
              <w:right w:val="single" w:sz="4" w:space="0" w:color="auto"/>
            </w:tcBorders>
            <w:shd w:val="clear" w:color="auto" w:fill="auto"/>
            <w:vAlign w:val="bottom"/>
            <w:hideMark/>
          </w:tcPr>
          <w:p w14:paraId="4267BDF5"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5512</w:t>
            </w:r>
          </w:p>
        </w:tc>
        <w:tc>
          <w:tcPr>
            <w:tcW w:w="4440" w:type="dxa"/>
            <w:tcBorders>
              <w:top w:val="nil"/>
              <w:left w:val="nil"/>
              <w:bottom w:val="single" w:sz="4" w:space="0" w:color="auto"/>
              <w:right w:val="single" w:sz="4" w:space="0" w:color="auto"/>
            </w:tcBorders>
            <w:shd w:val="clear" w:color="auto" w:fill="auto"/>
            <w:hideMark/>
          </w:tcPr>
          <w:p w14:paraId="20EF44A3" w14:textId="77777777" w:rsidR="00B85262" w:rsidRPr="00B85262" w:rsidRDefault="00B85262" w:rsidP="00B85262">
            <w:pPr>
              <w:spacing w:after="0" w:line="240" w:lineRule="auto"/>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Středočeský Fond podpory dobrovolných hasičů a složek IZS</w:t>
            </w:r>
          </w:p>
        </w:tc>
        <w:tc>
          <w:tcPr>
            <w:tcW w:w="1169" w:type="dxa"/>
            <w:tcBorders>
              <w:top w:val="nil"/>
              <w:left w:val="nil"/>
              <w:bottom w:val="single" w:sz="4" w:space="0" w:color="auto"/>
              <w:right w:val="single" w:sz="4" w:space="0" w:color="auto"/>
            </w:tcBorders>
            <w:shd w:val="clear" w:color="auto" w:fill="auto"/>
            <w:noWrap/>
            <w:vAlign w:val="bottom"/>
            <w:hideMark/>
          </w:tcPr>
          <w:p w14:paraId="1628D285"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0</w:t>
            </w:r>
          </w:p>
        </w:tc>
        <w:tc>
          <w:tcPr>
            <w:tcW w:w="1440" w:type="dxa"/>
            <w:tcBorders>
              <w:top w:val="nil"/>
              <w:left w:val="nil"/>
              <w:bottom w:val="single" w:sz="4" w:space="0" w:color="auto"/>
              <w:right w:val="single" w:sz="4" w:space="0" w:color="auto"/>
            </w:tcBorders>
            <w:shd w:val="clear" w:color="auto" w:fill="auto"/>
            <w:noWrap/>
            <w:vAlign w:val="bottom"/>
            <w:hideMark/>
          </w:tcPr>
          <w:p w14:paraId="3720FFB9"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49 932 946,20</w:t>
            </w:r>
          </w:p>
        </w:tc>
        <w:tc>
          <w:tcPr>
            <w:tcW w:w="1508" w:type="dxa"/>
            <w:tcBorders>
              <w:top w:val="nil"/>
              <w:left w:val="nil"/>
              <w:bottom w:val="single" w:sz="4" w:space="0" w:color="auto"/>
              <w:right w:val="single" w:sz="4" w:space="0" w:color="auto"/>
            </w:tcBorders>
            <w:shd w:val="clear" w:color="auto" w:fill="auto"/>
            <w:noWrap/>
            <w:vAlign w:val="bottom"/>
            <w:hideMark/>
          </w:tcPr>
          <w:p w14:paraId="07FF3A05"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38 431 281,00</w:t>
            </w:r>
          </w:p>
        </w:tc>
        <w:tc>
          <w:tcPr>
            <w:tcW w:w="647" w:type="dxa"/>
            <w:tcBorders>
              <w:top w:val="nil"/>
              <w:left w:val="nil"/>
              <w:bottom w:val="single" w:sz="4" w:space="0" w:color="auto"/>
              <w:right w:val="single" w:sz="8" w:space="0" w:color="auto"/>
            </w:tcBorders>
            <w:shd w:val="clear" w:color="auto" w:fill="auto"/>
            <w:noWrap/>
            <w:vAlign w:val="bottom"/>
            <w:hideMark/>
          </w:tcPr>
          <w:p w14:paraId="6561952D"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77,0</w:t>
            </w:r>
          </w:p>
        </w:tc>
      </w:tr>
      <w:tr w:rsidR="00B85262" w:rsidRPr="00B85262" w14:paraId="4884DA87" w14:textId="77777777" w:rsidTr="00236060">
        <w:trPr>
          <w:trHeight w:val="319"/>
        </w:trPr>
        <w:tc>
          <w:tcPr>
            <w:tcW w:w="941" w:type="dxa"/>
            <w:tcBorders>
              <w:top w:val="nil"/>
              <w:left w:val="single" w:sz="8" w:space="0" w:color="auto"/>
              <w:bottom w:val="single" w:sz="4" w:space="0" w:color="auto"/>
              <w:right w:val="single" w:sz="4" w:space="0" w:color="auto"/>
            </w:tcBorders>
            <w:shd w:val="clear" w:color="auto" w:fill="auto"/>
            <w:vAlign w:val="bottom"/>
            <w:hideMark/>
          </w:tcPr>
          <w:p w14:paraId="2B134495"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 </w:t>
            </w:r>
          </w:p>
        </w:tc>
        <w:tc>
          <w:tcPr>
            <w:tcW w:w="4440" w:type="dxa"/>
            <w:tcBorders>
              <w:top w:val="nil"/>
              <w:left w:val="nil"/>
              <w:bottom w:val="single" w:sz="4" w:space="0" w:color="auto"/>
              <w:right w:val="single" w:sz="4" w:space="0" w:color="auto"/>
            </w:tcBorders>
            <w:shd w:val="clear" w:color="auto" w:fill="auto"/>
            <w:vAlign w:val="bottom"/>
            <w:hideMark/>
          </w:tcPr>
          <w:p w14:paraId="1D3AD921" w14:textId="77777777" w:rsidR="00B85262" w:rsidRPr="00B85262" w:rsidRDefault="00B85262" w:rsidP="00B85262">
            <w:pPr>
              <w:spacing w:after="0" w:line="240" w:lineRule="auto"/>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Středočeský Fond prevence</w:t>
            </w:r>
          </w:p>
        </w:tc>
        <w:tc>
          <w:tcPr>
            <w:tcW w:w="1169" w:type="dxa"/>
            <w:tcBorders>
              <w:top w:val="nil"/>
              <w:left w:val="nil"/>
              <w:bottom w:val="single" w:sz="4" w:space="0" w:color="auto"/>
              <w:right w:val="single" w:sz="4" w:space="0" w:color="auto"/>
            </w:tcBorders>
            <w:shd w:val="clear" w:color="auto" w:fill="auto"/>
            <w:noWrap/>
            <w:vAlign w:val="bottom"/>
            <w:hideMark/>
          </w:tcPr>
          <w:p w14:paraId="75A88806"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0</w:t>
            </w:r>
          </w:p>
        </w:tc>
        <w:tc>
          <w:tcPr>
            <w:tcW w:w="1440" w:type="dxa"/>
            <w:tcBorders>
              <w:top w:val="nil"/>
              <w:left w:val="nil"/>
              <w:bottom w:val="single" w:sz="4" w:space="0" w:color="auto"/>
              <w:right w:val="single" w:sz="4" w:space="0" w:color="auto"/>
            </w:tcBorders>
            <w:shd w:val="clear" w:color="auto" w:fill="auto"/>
            <w:noWrap/>
            <w:vAlign w:val="bottom"/>
            <w:hideMark/>
          </w:tcPr>
          <w:p w14:paraId="5D77417E"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6 500 000,00</w:t>
            </w:r>
          </w:p>
        </w:tc>
        <w:tc>
          <w:tcPr>
            <w:tcW w:w="1508" w:type="dxa"/>
            <w:tcBorders>
              <w:top w:val="nil"/>
              <w:left w:val="nil"/>
              <w:bottom w:val="single" w:sz="4" w:space="0" w:color="auto"/>
              <w:right w:val="single" w:sz="4" w:space="0" w:color="auto"/>
            </w:tcBorders>
            <w:shd w:val="clear" w:color="auto" w:fill="auto"/>
            <w:noWrap/>
            <w:vAlign w:val="bottom"/>
            <w:hideMark/>
          </w:tcPr>
          <w:p w14:paraId="43186D98"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6 476 584,00</w:t>
            </w:r>
          </w:p>
        </w:tc>
        <w:tc>
          <w:tcPr>
            <w:tcW w:w="647" w:type="dxa"/>
            <w:tcBorders>
              <w:top w:val="nil"/>
              <w:left w:val="nil"/>
              <w:bottom w:val="single" w:sz="4" w:space="0" w:color="auto"/>
              <w:right w:val="single" w:sz="8" w:space="0" w:color="auto"/>
            </w:tcBorders>
            <w:shd w:val="clear" w:color="auto" w:fill="auto"/>
            <w:noWrap/>
            <w:vAlign w:val="bottom"/>
            <w:hideMark/>
          </w:tcPr>
          <w:p w14:paraId="1B312C80"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99,6</w:t>
            </w:r>
          </w:p>
        </w:tc>
      </w:tr>
      <w:tr w:rsidR="00B85262" w:rsidRPr="00B85262" w14:paraId="57857686" w14:textId="77777777" w:rsidTr="00236060">
        <w:trPr>
          <w:trHeight w:val="300"/>
        </w:trPr>
        <w:tc>
          <w:tcPr>
            <w:tcW w:w="941"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BC05771" w14:textId="77777777" w:rsidR="00B85262" w:rsidRPr="00B85262" w:rsidRDefault="00B85262" w:rsidP="00B85262">
            <w:pPr>
              <w:spacing w:after="0" w:line="240" w:lineRule="auto"/>
              <w:jc w:val="center"/>
              <w:rPr>
                <w:rFonts w:ascii="Calibri" w:eastAsia="Times New Roman" w:hAnsi="Calibri" w:cs="Calibri"/>
                <w:lang w:eastAsia="cs-CZ"/>
              </w:rPr>
            </w:pPr>
            <w:r w:rsidRPr="00B85262">
              <w:rPr>
                <w:rFonts w:ascii="Calibri" w:eastAsia="Times New Roman" w:hAnsi="Calibri" w:cs="Calibri"/>
                <w:lang w:eastAsia="cs-CZ"/>
              </w:rPr>
              <w:t> </w:t>
            </w:r>
          </w:p>
        </w:tc>
        <w:tc>
          <w:tcPr>
            <w:tcW w:w="4440" w:type="dxa"/>
            <w:tcBorders>
              <w:top w:val="single" w:sz="8" w:space="0" w:color="auto"/>
              <w:left w:val="nil"/>
              <w:bottom w:val="single" w:sz="8" w:space="0" w:color="auto"/>
              <w:right w:val="single" w:sz="4" w:space="0" w:color="auto"/>
            </w:tcBorders>
            <w:shd w:val="clear" w:color="auto" w:fill="auto"/>
            <w:noWrap/>
            <w:vAlign w:val="center"/>
            <w:hideMark/>
          </w:tcPr>
          <w:p w14:paraId="0CE76132" w14:textId="77777777" w:rsidR="00B85262" w:rsidRPr="00B85262" w:rsidRDefault="00B85262" w:rsidP="00B85262">
            <w:pPr>
              <w:spacing w:after="0" w:line="240" w:lineRule="auto"/>
              <w:rPr>
                <w:rFonts w:ascii="Calibri" w:eastAsia="Times New Roman" w:hAnsi="Calibri" w:cs="Calibri"/>
                <w:b/>
                <w:bCs/>
                <w:lang w:eastAsia="cs-CZ"/>
              </w:rPr>
            </w:pPr>
            <w:r w:rsidRPr="00B85262">
              <w:rPr>
                <w:rFonts w:ascii="Calibri" w:eastAsia="Times New Roman" w:hAnsi="Calibri" w:cs="Calibri"/>
                <w:b/>
                <w:bCs/>
                <w:lang w:eastAsia="cs-CZ"/>
              </w:rPr>
              <w:t>Celkem</w:t>
            </w:r>
          </w:p>
        </w:tc>
        <w:tc>
          <w:tcPr>
            <w:tcW w:w="1169" w:type="dxa"/>
            <w:tcBorders>
              <w:top w:val="single" w:sz="8" w:space="0" w:color="auto"/>
              <w:left w:val="nil"/>
              <w:bottom w:val="single" w:sz="8" w:space="0" w:color="auto"/>
              <w:right w:val="single" w:sz="4" w:space="0" w:color="auto"/>
            </w:tcBorders>
            <w:shd w:val="clear" w:color="auto" w:fill="auto"/>
            <w:noWrap/>
            <w:vAlign w:val="center"/>
            <w:hideMark/>
          </w:tcPr>
          <w:p w14:paraId="23887828"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0</w:t>
            </w:r>
          </w:p>
        </w:tc>
        <w:tc>
          <w:tcPr>
            <w:tcW w:w="1440" w:type="dxa"/>
            <w:tcBorders>
              <w:top w:val="single" w:sz="8" w:space="0" w:color="auto"/>
              <w:left w:val="nil"/>
              <w:bottom w:val="single" w:sz="8" w:space="0" w:color="auto"/>
              <w:right w:val="single" w:sz="4" w:space="0" w:color="auto"/>
            </w:tcBorders>
            <w:shd w:val="clear" w:color="auto" w:fill="auto"/>
            <w:noWrap/>
            <w:vAlign w:val="center"/>
            <w:hideMark/>
          </w:tcPr>
          <w:p w14:paraId="45766AD3"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56 432 946,20</w:t>
            </w:r>
          </w:p>
        </w:tc>
        <w:tc>
          <w:tcPr>
            <w:tcW w:w="1508" w:type="dxa"/>
            <w:tcBorders>
              <w:top w:val="single" w:sz="8" w:space="0" w:color="auto"/>
              <w:left w:val="nil"/>
              <w:bottom w:val="single" w:sz="8" w:space="0" w:color="auto"/>
              <w:right w:val="single" w:sz="4" w:space="0" w:color="auto"/>
            </w:tcBorders>
            <w:shd w:val="clear" w:color="auto" w:fill="auto"/>
            <w:noWrap/>
            <w:vAlign w:val="center"/>
            <w:hideMark/>
          </w:tcPr>
          <w:p w14:paraId="6AED07C0"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44 907 865,00</w:t>
            </w:r>
          </w:p>
        </w:tc>
        <w:tc>
          <w:tcPr>
            <w:tcW w:w="647" w:type="dxa"/>
            <w:tcBorders>
              <w:top w:val="single" w:sz="8" w:space="0" w:color="auto"/>
              <w:left w:val="nil"/>
              <w:bottom w:val="single" w:sz="8" w:space="0" w:color="auto"/>
              <w:right w:val="single" w:sz="8" w:space="0" w:color="auto"/>
            </w:tcBorders>
            <w:shd w:val="clear" w:color="auto" w:fill="auto"/>
            <w:noWrap/>
            <w:vAlign w:val="bottom"/>
            <w:hideMark/>
          </w:tcPr>
          <w:p w14:paraId="224F4E8F"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79,6</w:t>
            </w:r>
          </w:p>
        </w:tc>
      </w:tr>
      <w:tr w:rsidR="00B85262" w:rsidRPr="00B85262" w14:paraId="5E818145" w14:textId="77777777" w:rsidTr="00236060">
        <w:trPr>
          <w:trHeight w:val="360"/>
        </w:trPr>
        <w:tc>
          <w:tcPr>
            <w:tcW w:w="941" w:type="dxa"/>
            <w:tcBorders>
              <w:top w:val="nil"/>
              <w:left w:val="nil"/>
              <w:bottom w:val="nil"/>
              <w:right w:val="nil"/>
            </w:tcBorders>
            <w:shd w:val="clear" w:color="auto" w:fill="auto"/>
            <w:noWrap/>
            <w:vAlign w:val="center"/>
            <w:hideMark/>
          </w:tcPr>
          <w:p w14:paraId="3620E3D3" w14:textId="77777777" w:rsidR="00B85262" w:rsidRPr="00B85262" w:rsidRDefault="00B85262" w:rsidP="00B85262">
            <w:pPr>
              <w:spacing w:after="0" w:line="240" w:lineRule="auto"/>
              <w:jc w:val="right"/>
              <w:rPr>
                <w:rFonts w:ascii="Calibri" w:eastAsia="Times New Roman" w:hAnsi="Calibri" w:cs="Calibri"/>
                <w:b/>
                <w:bCs/>
                <w:lang w:eastAsia="cs-CZ"/>
              </w:rPr>
            </w:pPr>
          </w:p>
        </w:tc>
        <w:tc>
          <w:tcPr>
            <w:tcW w:w="4440" w:type="dxa"/>
            <w:tcBorders>
              <w:top w:val="nil"/>
              <w:left w:val="nil"/>
              <w:bottom w:val="nil"/>
              <w:right w:val="nil"/>
            </w:tcBorders>
            <w:shd w:val="clear" w:color="auto" w:fill="auto"/>
            <w:noWrap/>
            <w:vAlign w:val="center"/>
            <w:hideMark/>
          </w:tcPr>
          <w:p w14:paraId="26D0D3C5" w14:textId="77777777" w:rsidR="00B85262" w:rsidRPr="00B85262" w:rsidRDefault="00B85262" w:rsidP="00B85262">
            <w:pPr>
              <w:spacing w:after="0" w:line="240" w:lineRule="auto"/>
              <w:jc w:val="center"/>
              <w:rPr>
                <w:rFonts w:ascii="Times New Roman" w:eastAsia="Times New Roman" w:hAnsi="Times New Roman" w:cs="Times New Roman"/>
                <w:sz w:val="20"/>
                <w:szCs w:val="20"/>
                <w:lang w:eastAsia="cs-CZ"/>
              </w:rPr>
            </w:pPr>
          </w:p>
        </w:tc>
        <w:tc>
          <w:tcPr>
            <w:tcW w:w="1169" w:type="dxa"/>
            <w:tcBorders>
              <w:top w:val="nil"/>
              <w:left w:val="nil"/>
              <w:bottom w:val="nil"/>
              <w:right w:val="nil"/>
            </w:tcBorders>
            <w:shd w:val="clear" w:color="auto" w:fill="auto"/>
            <w:noWrap/>
            <w:vAlign w:val="center"/>
            <w:hideMark/>
          </w:tcPr>
          <w:p w14:paraId="3458F64C"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1440" w:type="dxa"/>
            <w:tcBorders>
              <w:top w:val="nil"/>
              <w:left w:val="nil"/>
              <w:bottom w:val="nil"/>
              <w:right w:val="nil"/>
            </w:tcBorders>
            <w:shd w:val="clear" w:color="auto" w:fill="auto"/>
            <w:noWrap/>
            <w:vAlign w:val="bottom"/>
            <w:hideMark/>
          </w:tcPr>
          <w:p w14:paraId="53ED9142" w14:textId="77777777" w:rsidR="00B85262" w:rsidRPr="00B85262" w:rsidRDefault="00B85262" w:rsidP="00B85262">
            <w:pPr>
              <w:spacing w:after="0" w:line="240" w:lineRule="auto"/>
              <w:jc w:val="right"/>
              <w:rPr>
                <w:rFonts w:ascii="Times New Roman" w:eastAsia="Times New Roman" w:hAnsi="Times New Roman" w:cs="Times New Roman"/>
                <w:sz w:val="20"/>
                <w:szCs w:val="20"/>
                <w:lang w:eastAsia="cs-CZ"/>
              </w:rPr>
            </w:pPr>
          </w:p>
        </w:tc>
        <w:tc>
          <w:tcPr>
            <w:tcW w:w="1508" w:type="dxa"/>
            <w:tcBorders>
              <w:top w:val="nil"/>
              <w:left w:val="nil"/>
              <w:bottom w:val="nil"/>
              <w:right w:val="nil"/>
            </w:tcBorders>
            <w:shd w:val="clear" w:color="auto" w:fill="auto"/>
            <w:noWrap/>
            <w:vAlign w:val="bottom"/>
            <w:hideMark/>
          </w:tcPr>
          <w:p w14:paraId="5BEA6E09"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647" w:type="dxa"/>
            <w:tcBorders>
              <w:top w:val="nil"/>
              <w:left w:val="nil"/>
              <w:bottom w:val="nil"/>
              <w:right w:val="nil"/>
            </w:tcBorders>
            <w:shd w:val="clear" w:color="auto" w:fill="auto"/>
            <w:noWrap/>
            <w:vAlign w:val="bottom"/>
            <w:hideMark/>
          </w:tcPr>
          <w:p w14:paraId="4B8C4009"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r>
      <w:tr w:rsidR="00B85262" w:rsidRPr="00B85262" w14:paraId="700D9178" w14:textId="77777777" w:rsidTr="00236060">
        <w:trPr>
          <w:trHeight w:val="285"/>
        </w:trPr>
        <w:tc>
          <w:tcPr>
            <w:tcW w:w="941" w:type="dxa"/>
            <w:tcBorders>
              <w:top w:val="nil"/>
              <w:left w:val="nil"/>
              <w:bottom w:val="nil"/>
              <w:right w:val="nil"/>
            </w:tcBorders>
            <w:shd w:val="clear" w:color="auto" w:fill="auto"/>
            <w:noWrap/>
            <w:vAlign w:val="center"/>
            <w:hideMark/>
          </w:tcPr>
          <w:p w14:paraId="29491267" w14:textId="77777777" w:rsidR="00B85262" w:rsidRPr="00B85262" w:rsidRDefault="00B85262" w:rsidP="00B85262">
            <w:pPr>
              <w:spacing w:after="0" w:line="240" w:lineRule="auto"/>
              <w:jc w:val="center"/>
              <w:rPr>
                <w:rFonts w:ascii="Calibri" w:eastAsia="Times New Roman" w:hAnsi="Calibri" w:cs="Calibri"/>
                <w:color w:val="FFFFFF"/>
                <w:sz w:val="20"/>
                <w:szCs w:val="20"/>
                <w:lang w:eastAsia="cs-CZ"/>
              </w:rPr>
            </w:pPr>
            <w:r w:rsidRPr="00B85262">
              <w:rPr>
                <w:rFonts w:ascii="Calibri" w:eastAsia="Times New Roman" w:hAnsi="Calibri" w:cs="Calibri"/>
                <w:color w:val="FFFFFF"/>
                <w:sz w:val="20"/>
                <w:szCs w:val="20"/>
                <w:lang w:eastAsia="cs-CZ"/>
              </w:rPr>
              <w:t>Pozemky</w:t>
            </w:r>
          </w:p>
        </w:tc>
        <w:tc>
          <w:tcPr>
            <w:tcW w:w="9204" w:type="dxa"/>
            <w:gridSpan w:val="5"/>
            <w:tcBorders>
              <w:top w:val="nil"/>
              <w:left w:val="nil"/>
              <w:bottom w:val="single" w:sz="8" w:space="0" w:color="auto"/>
              <w:right w:val="nil"/>
            </w:tcBorders>
            <w:shd w:val="clear" w:color="auto" w:fill="auto"/>
            <w:vAlign w:val="bottom"/>
            <w:hideMark/>
          </w:tcPr>
          <w:p w14:paraId="7353C731" w14:textId="77777777" w:rsidR="00B85262" w:rsidRPr="00B85262" w:rsidRDefault="00B85262" w:rsidP="00B85262">
            <w:pPr>
              <w:spacing w:after="0" w:line="240" w:lineRule="auto"/>
              <w:rPr>
                <w:rFonts w:ascii="Calibri" w:eastAsia="Times New Roman" w:hAnsi="Calibri" w:cs="Calibri"/>
                <w:b/>
                <w:bCs/>
                <w:lang w:eastAsia="cs-CZ"/>
              </w:rPr>
            </w:pPr>
            <w:r w:rsidRPr="00B85262">
              <w:rPr>
                <w:rFonts w:ascii="Calibri" w:eastAsia="Times New Roman" w:hAnsi="Calibri" w:cs="Calibri"/>
                <w:b/>
                <w:bCs/>
                <w:lang w:eastAsia="cs-CZ"/>
              </w:rPr>
              <w:t>Kapitálové výdaje</w:t>
            </w:r>
          </w:p>
        </w:tc>
      </w:tr>
      <w:tr w:rsidR="00B85262" w:rsidRPr="00B85262" w14:paraId="7F4C184D" w14:textId="77777777" w:rsidTr="00236060">
        <w:trPr>
          <w:trHeight w:val="300"/>
        </w:trPr>
        <w:tc>
          <w:tcPr>
            <w:tcW w:w="941" w:type="dxa"/>
            <w:tcBorders>
              <w:top w:val="single" w:sz="8" w:space="0" w:color="auto"/>
              <w:left w:val="single" w:sz="8" w:space="0" w:color="auto"/>
              <w:bottom w:val="single" w:sz="4" w:space="0" w:color="auto"/>
              <w:right w:val="single" w:sz="4" w:space="0" w:color="auto"/>
            </w:tcBorders>
            <w:shd w:val="clear" w:color="auto" w:fill="auto"/>
            <w:vAlign w:val="bottom"/>
            <w:hideMark/>
          </w:tcPr>
          <w:p w14:paraId="53928D5F"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5599</w:t>
            </w:r>
          </w:p>
        </w:tc>
        <w:tc>
          <w:tcPr>
            <w:tcW w:w="4440" w:type="dxa"/>
            <w:tcBorders>
              <w:top w:val="nil"/>
              <w:left w:val="nil"/>
              <w:bottom w:val="single" w:sz="4" w:space="0" w:color="auto"/>
              <w:right w:val="single" w:sz="4" w:space="0" w:color="auto"/>
            </w:tcBorders>
            <w:shd w:val="clear" w:color="auto" w:fill="auto"/>
            <w:vAlign w:val="bottom"/>
            <w:hideMark/>
          </w:tcPr>
          <w:p w14:paraId="38465B31" w14:textId="4AC1AE23" w:rsidR="00B85262" w:rsidRPr="00B85262" w:rsidRDefault="00B85262" w:rsidP="00B85262">
            <w:pPr>
              <w:spacing w:after="0" w:line="240" w:lineRule="auto"/>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Ostatní záležitosti pož</w:t>
            </w:r>
            <w:r w:rsidR="005C2A52">
              <w:rPr>
                <w:rFonts w:ascii="Calibri" w:eastAsia="Times New Roman" w:hAnsi="Calibri" w:cs="Calibri"/>
                <w:sz w:val="20"/>
                <w:szCs w:val="20"/>
                <w:lang w:eastAsia="cs-CZ"/>
              </w:rPr>
              <w:t>ární</w:t>
            </w:r>
            <w:r w:rsidRPr="00B85262">
              <w:rPr>
                <w:rFonts w:ascii="Calibri" w:eastAsia="Times New Roman" w:hAnsi="Calibri" w:cs="Calibri"/>
                <w:sz w:val="20"/>
                <w:szCs w:val="20"/>
                <w:lang w:eastAsia="cs-CZ"/>
              </w:rPr>
              <w:t xml:space="preserve"> ochrany a int</w:t>
            </w:r>
            <w:r w:rsidR="005C2A52">
              <w:rPr>
                <w:rFonts w:ascii="Calibri" w:eastAsia="Times New Roman" w:hAnsi="Calibri" w:cs="Calibri"/>
                <w:sz w:val="20"/>
                <w:szCs w:val="20"/>
                <w:lang w:eastAsia="cs-CZ"/>
              </w:rPr>
              <w:t xml:space="preserve">egrovaného </w:t>
            </w:r>
            <w:r w:rsidRPr="00B85262">
              <w:rPr>
                <w:rFonts w:ascii="Calibri" w:eastAsia="Times New Roman" w:hAnsi="Calibri" w:cs="Calibri"/>
                <w:sz w:val="20"/>
                <w:szCs w:val="20"/>
                <w:lang w:eastAsia="cs-CZ"/>
              </w:rPr>
              <w:t>zách</w:t>
            </w:r>
            <w:r w:rsidR="005C2A52">
              <w:rPr>
                <w:rFonts w:ascii="Calibri" w:eastAsia="Times New Roman" w:hAnsi="Calibri" w:cs="Calibri"/>
                <w:sz w:val="20"/>
                <w:szCs w:val="20"/>
                <w:lang w:eastAsia="cs-CZ"/>
              </w:rPr>
              <w:t xml:space="preserve">ranného </w:t>
            </w:r>
            <w:r w:rsidRPr="00B85262">
              <w:rPr>
                <w:rFonts w:ascii="Calibri" w:eastAsia="Times New Roman" w:hAnsi="Calibri" w:cs="Calibri"/>
                <w:sz w:val="20"/>
                <w:szCs w:val="20"/>
                <w:lang w:eastAsia="cs-CZ"/>
              </w:rPr>
              <w:t>syst</w:t>
            </w:r>
            <w:r w:rsidR="005C2A52">
              <w:rPr>
                <w:rFonts w:ascii="Calibri" w:eastAsia="Times New Roman" w:hAnsi="Calibri" w:cs="Calibri"/>
                <w:sz w:val="20"/>
                <w:szCs w:val="20"/>
                <w:lang w:eastAsia="cs-CZ"/>
              </w:rPr>
              <w:t>ému</w:t>
            </w:r>
          </w:p>
        </w:tc>
        <w:tc>
          <w:tcPr>
            <w:tcW w:w="1169" w:type="dxa"/>
            <w:tcBorders>
              <w:top w:val="nil"/>
              <w:left w:val="nil"/>
              <w:bottom w:val="single" w:sz="4" w:space="0" w:color="auto"/>
              <w:right w:val="single" w:sz="4" w:space="0" w:color="auto"/>
            </w:tcBorders>
            <w:shd w:val="clear" w:color="auto" w:fill="auto"/>
            <w:noWrap/>
            <w:vAlign w:val="bottom"/>
            <w:hideMark/>
          </w:tcPr>
          <w:p w14:paraId="7E252CEE"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0</w:t>
            </w:r>
          </w:p>
        </w:tc>
        <w:tc>
          <w:tcPr>
            <w:tcW w:w="1440" w:type="dxa"/>
            <w:tcBorders>
              <w:top w:val="nil"/>
              <w:left w:val="nil"/>
              <w:bottom w:val="single" w:sz="4" w:space="0" w:color="auto"/>
              <w:right w:val="single" w:sz="4" w:space="0" w:color="auto"/>
            </w:tcBorders>
            <w:shd w:val="clear" w:color="auto" w:fill="auto"/>
            <w:noWrap/>
            <w:vAlign w:val="bottom"/>
            <w:hideMark/>
          </w:tcPr>
          <w:p w14:paraId="7339A743"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3 000 000,00</w:t>
            </w:r>
          </w:p>
        </w:tc>
        <w:tc>
          <w:tcPr>
            <w:tcW w:w="1508" w:type="dxa"/>
            <w:tcBorders>
              <w:top w:val="nil"/>
              <w:left w:val="nil"/>
              <w:bottom w:val="single" w:sz="4" w:space="0" w:color="auto"/>
              <w:right w:val="single" w:sz="4" w:space="0" w:color="auto"/>
            </w:tcBorders>
            <w:shd w:val="clear" w:color="auto" w:fill="auto"/>
            <w:noWrap/>
            <w:vAlign w:val="bottom"/>
            <w:hideMark/>
          </w:tcPr>
          <w:p w14:paraId="05D29879"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3 000 000,00</w:t>
            </w:r>
          </w:p>
        </w:tc>
        <w:tc>
          <w:tcPr>
            <w:tcW w:w="647" w:type="dxa"/>
            <w:tcBorders>
              <w:top w:val="nil"/>
              <w:left w:val="nil"/>
              <w:bottom w:val="single" w:sz="4" w:space="0" w:color="auto"/>
              <w:right w:val="single" w:sz="8" w:space="0" w:color="auto"/>
            </w:tcBorders>
            <w:shd w:val="clear" w:color="auto" w:fill="auto"/>
            <w:noWrap/>
            <w:vAlign w:val="bottom"/>
            <w:hideMark/>
          </w:tcPr>
          <w:p w14:paraId="7B30196B"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100,0</w:t>
            </w:r>
          </w:p>
        </w:tc>
      </w:tr>
      <w:tr w:rsidR="00B85262" w:rsidRPr="00B85262" w14:paraId="07CF421B" w14:textId="77777777" w:rsidTr="00236060">
        <w:trPr>
          <w:trHeight w:val="319"/>
        </w:trPr>
        <w:tc>
          <w:tcPr>
            <w:tcW w:w="941" w:type="dxa"/>
            <w:tcBorders>
              <w:top w:val="nil"/>
              <w:left w:val="single" w:sz="8" w:space="0" w:color="auto"/>
              <w:bottom w:val="single" w:sz="4" w:space="0" w:color="auto"/>
              <w:right w:val="single" w:sz="4" w:space="0" w:color="auto"/>
            </w:tcBorders>
            <w:shd w:val="clear" w:color="auto" w:fill="auto"/>
            <w:vAlign w:val="bottom"/>
            <w:hideMark/>
          </w:tcPr>
          <w:p w14:paraId="254D3AAF"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5399</w:t>
            </w:r>
          </w:p>
        </w:tc>
        <w:tc>
          <w:tcPr>
            <w:tcW w:w="4440" w:type="dxa"/>
            <w:tcBorders>
              <w:top w:val="nil"/>
              <w:left w:val="nil"/>
              <w:bottom w:val="single" w:sz="4" w:space="0" w:color="auto"/>
              <w:right w:val="single" w:sz="4" w:space="0" w:color="auto"/>
            </w:tcBorders>
            <w:shd w:val="clear" w:color="auto" w:fill="auto"/>
            <w:vAlign w:val="bottom"/>
            <w:hideMark/>
          </w:tcPr>
          <w:p w14:paraId="1ED11708" w14:textId="77777777" w:rsidR="00B85262" w:rsidRPr="00B85262" w:rsidRDefault="00B85262" w:rsidP="00B85262">
            <w:pPr>
              <w:spacing w:after="0" w:line="240" w:lineRule="auto"/>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Ostatní záležitosti bezpečnosti veřejného pořádku</w:t>
            </w:r>
          </w:p>
        </w:tc>
        <w:tc>
          <w:tcPr>
            <w:tcW w:w="1169" w:type="dxa"/>
            <w:tcBorders>
              <w:top w:val="nil"/>
              <w:left w:val="nil"/>
              <w:bottom w:val="single" w:sz="4" w:space="0" w:color="auto"/>
              <w:right w:val="single" w:sz="4" w:space="0" w:color="auto"/>
            </w:tcBorders>
            <w:shd w:val="clear" w:color="auto" w:fill="auto"/>
            <w:noWrap/>
            <w:vAlign w:val="bottom"/>
            <w:hideMark/>
          </w:tcPr>
          <w:p w14:paraId="566D3E02"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0</w:t>
            </w:r>
          </w:p>
        </w:tc>
        <w:tc>
          <w:tcPr>
            <w:tcW w:w="1440" w:type="dxa"/>
            <w:tcBorders>
              <w:top w:val="nil"/>
              <w:left w:val="nil"/>
              <w:bottom w:val="single" w:sz="4" w:space="0" w:color="auto"/>
              <w:right w:val="single" w:sz="4" w:space="0" w:color="auto"/>
            </w:tcBorders>
            <w:shd w:val="clear" w:color="auto" w:fill="auto"/>
            <w:noWrap/>
            <w:vAlign w:val="bottom"/>
            <w:hideMark/>
          </w:tcPr>
          <w:p w14:paraId="37F0C418"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4 000 000,00</w:t>
            </w:r>
          </w:p>
        </w:tc>
        <w:tc>
          <w:tcPr>
            <w:tcW w:w="1508" w:type="dxa"/>
            <w:tcBorders>
              <w:top w:val="nil"/>
              <w:left w:val="nil"/>
              <w:bottom w:val="single" w:sz="4" w:space="0" w:color="auto"/>
              <w:right w:val="single" w:sz="4" w:space="0" w:color="auto"/>
            </w:tcBorders>
            <w:shd w:val="clear" w:color="auto" w:fill="auto"/>
            <w:noWrap/>
            <w:vAlign w:val="bottom"/>
            <w:hideMark/>
          </w:tcPr>
          <w:p w14:paraId="2A9F9FBE"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4 000 000,00</w:t>
            </w:r>
          </w:p>
        </w:tc>
        <w:tc>
          <w:tcPr>
            <w:tcW w:w="647" w:type="dxa"/>
            <w:tcBorders>
              <w:top w:val="nil"/>
              <w:left w:val="nil"/>
              <w:bottom w:val="single" w:sz="4" w:space="0" w:color="auto"/>
              <w:right w:val="single" w:sz="8" w:space="0" w:color="auto"/>
            </w:tcBorders>
            <w:shd w:val="clear" w:color="auto" w:fill="auto"/>
            <w:noWrap/>
            <w:vAlign w:val="bottom"/>
            <w:hideMark/>
          </w:tcPr>
          <w:p w14:paraId="48BFF964"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100,0</w:t>
            </w:r>
          </w:p>
        </w:tc>
      </w:tr>
      <w:tr w:rsidR="00B85262" w:rsidRPr="00B85262" w14:paraId="743AE13C" w14:textId="77777777" w:rsidTr="00236060">
        <w:trPr>
          <w:trHeight w:val="300"/>
        </w:trPr>
        <w:tc>
          <w:tcPr>
            <w:tcW w:w="941"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3527B1F1" w14:textId="77777777" w:rsidR="00B85262" w:rsidRPr="00B85262" w:rsidRDefault="00B85262" w:rsidP="00B85262">
            <w:pPr>
              <w:spacing w:after="0" w:line="240" w:lineRule="auto"/>
              <w:jc w:val="center"/>
              <w:rPr>
                <w:rFonts w:ascii="Calibri" w:eastAsia="Times New Roman" w:hAnsi="Calibri" w:cs="Calibri"/>
                <w:lang w:eastAsia="cs-CZ"/>
              </w:rPr>
            </w:pPr>
            <w:r w:rsidRPr="00B85262">
              <w:rPr>
                <w:rFonts w:ascii="Calibri" w:eastAsia="Times New Roman" w:hAnsi="Calibri" w:cs="Calibri"/>
                <w:lang w:eastAsia="cs-CZ"/>
              </w:rPr>
              <w:t> </w:t>
            </w:r>
          </w:p>
        </w:tc>
        <w:tc>
          <w:tcPr>
            <w:tcW w:w="4440" w:type="dxa"/>
            <w:tcBorders>
              <w:top w:val="single" w:sz="8" w:space="0" w:color="auto"/>
              <w:left w:val="nil"/>
              <w:bottom w:val="single" w:sz="8" w:space="0" w:color="auto"/>
              <w:right w:val="single" w:sz="4" w:space="0" w:color="auto"/>
            </w:tcBorders>
            <w:shd w:val="clear" w:color="auto" w:fill="auto"/>
            <w:noWrap/>
            <w:vAlign w:val="center"/>
            <w:hideMark/>
          </w:tcPr>
          <w:p w14:paraId="4EE243DD" w14:textId="77777777" w:rsidR="00B85262" w:rsidRPr="00B85262" w:rsidRDefault="00B85262" w:rsidP="00B85262">
            <w:pPr>
              <w:spacing w:after="0" w:line="240" w:lineRule="auto"/>
              <w:rPr>
                <w:rFonts w:ascii="Calibri" w:eastAsia="Times New Roman" w:hAnsi="Calibri" w:cs="Calibri"/>
                <w:b/>
                <w:bCs/>
                <w:lang w:eastAsia="cs-CZ"/>
              </w:rPr>
            </w:pPr>
            <w:r w:rsidRPr="00B85262">
              <w:rPr>
                <w:rFonts w:ascii="Calibri" w:eastAsia="Times New Roman" w:hAnsi="Calibri" w:cs="Calibri"/>
                <w:b/>
                <w:bCs/>
                <w:lang w:eastAsia="cs-CZ"/>
              </w:rPr>
              <w:t>Celkem</w:t>
            </w:r>
          </w:p>
        </w:tc>
        <w:tc>
          <w:tcPr>
            <w:tcW w:w="1169" w:type="dxa"/>
            <w:tcBorders>
              <w:top w:val="single" w:sz="8" w:space="0" w:color="auto"/>
              <w:left w:val="nil"/>
              <w:bottom w:val="single" w:sz="8" w:space="0" w:color="auto"/>
              <w:right w:val="single" w:sz="4" w:space="0" w:color="auto"/>
            </w:tcBorders>
            <w:shd w:val="clear" w:color="auto" w:fill="auto"/>
            <w:noWrap/>
            <w:vAlign w:val="center"/>
            <w:hideMark/>
          </w:tcPr>
          <w:p w14:paraId="595262E7"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0</w:t>
            </w:r>
          </w:p>
        </w:tc>
        <w:tc>
          <w:tcPr>
            <w:tcW w:w="1440" w:type="dxa"/>
            <w:tcBorders>
              <w:top w:val="single" w:sz="8" w:space="0" w:color="auto"/>
              <w:left w:val="nil"/>
              <w:bottom w:val="single" w:sz="8" w:space="0" w:color="auto"/>
              <w:right w:val="single" w:sz="4" w:space="0" w:color="auto"/>
            </w:tcBorders>
            <w:shd w:val="clear" w:color="auto" w:fill="auto"/>
            <w:noWrap/>
            <w:vAlign w:val="center"/>
            <w:hideMark/>
          </w:tcPr>
          <w:p w14:paraId="48A92E28"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7 000 000,00</w:t>
            </w:r>
          </w:p>
        </w:tc>
        <w:tc>
          <w:tcPr>
            <w:tcW w:w="1508" w:type="dxa"/>
            <w:tcBorders>
              <w:top w:val="single" w:sz="8" w:space="0" w:color="auto"/>
              <w:left w:val="nil"/>
              <w:bottom w:val="single" w:sz="8" w:space="0" w:color="auto"/>
              <w:right w:val="single" w:sz="4" w:space="0" w:color="auto"/>
            </w:tcBorders>
            <w:shd w:val="clear" w:color="auto" w:fill="auto"/>
            <w:noWrap/>
            <w:vAlign w:val="center"/>
            <w:hideMark/>
          </w:tcPr>
          <w:p w14:paraId="1D5C8023"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7 000 000,00</w:t>
            </w:r>
          </w:p>
        </w:tc>
        <w:tc>
          <w:tcPr>
            <w:tcW w:w="647" w:type="dxa"/>
            <w:tcBorders>
              <w:top w:val="single" w:sz="8" w:space="0" w:color="auto"/>
              <w:left w:val="nil"/>
              <w:bottom w:val="single" w:sz="8" w:space="0" w:color="auto"/>
              <w:right w:val="single" w:sz="8" w:space="0" w:color="auto"/>
            </w:tcBorders>
            <w:shd w:val="clear" w:color="auto" w:fill="auto"/>
            <w:noWrap/>
            <w:vAlign w:val="bottom"/>
            <w:hideMark/>
          </w:tcPr>
          <w:p w14:paraId="00AC7CC2"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100,0</w:t>
            </w:r>
          </w:p>
        </w:tc>
      </w:tr>
      <w:tr w:rsidR="00B85262" w:rsidRPr="00B85262" w14:paraId="758FBE66" w14:textId="77777777" w:rsidTr="00236060">
        <w:trPr>
          <w:trHeight w:val="360"/>
        </w:trPr>
        <w:tc>
          <w:tcPr>
            <w:tcW w:w="941" w:type="dxa"/>
            <w:tcBorders>
              <w:top w:val="nil"/>
              <w:left w:val="nil"/>
              <w:bottom w:val="nil"/>
              <w:right w:val="nil"/>
            </w:tcBorders>
            <w:shd w:val="clear" w:color="auto" w:fill="auto"/>
            <w:noWrap/>
            <w:vAlign w:val="center"/>
            <w:hideMark/>
          </w:tcPr>
          <w:p w14:paraId="11DFB4EF" w14:textId="77777777" w:rsidR="00B85262" w:rsidRPr="00B85262" w:rsidRDefault="00B85262" w:rsidP="00B85262">
            <w:pPr>
              <w:spacing w:after="0" w:line="240" w:lineRule="auto"/>
              <w:jc w:val="right"/>
              <w:rPr>
                <w:rFonts w:ascii="Calibri" w:eastAsia="Times New Roman" w:hAnsi="Calibri" w:cs="Calibri"/>
                <w:b/>
                <w:bCs/>
                <w:lang w:eastAsia="cs-CZ"/>
              </w:rPr>
            </w:pPr>
          </w:p>
        </w:tc>
        <w:tc>
          <w:tcPr>
            <w:tcW w:w="4440" w:type="dxa"/>
            <w:tcBorders>
              <w:top w:val="nil"/>
              <w:left w:val="nil"/>
              <w:bottom w:val="nil"/>
              <w:right w:val="nil"/>
            </w:tcBorders>
            <w:shd w:val="clear" w:color="auto" w:fill="auto"/>
            <w:noWrap/>
            <w:vAlign w:val="center"/>
            <w:hideMark/>
          </w:tcPr>
          <w:p w14:paraId="4E2CF6B0" w14:textId="77777777" w:rsidR="00B85262" w:rsidRPr="00B85262" w:rsidRDefault="00B85262" w:rsidP="00B85262">
            <w:pPr>
              <w:spacing w:after="0" w:line="240" w:lineRule="auto"/>
              <w:jc w:val="center"/>
              <w:rPr>
                <w:rFonts w:ascii="Times New Roman" w:eastAsia="Times New Roman" w:hAnsi="Times New Roman" w:cs="Times New Roman"/>
                <w:sz w:val="20"/>
                <w:szCs w:val="20"/>
                <w:lang w:eastAsia="cs-CZ"/>
              </w:rPr>
            </w:pPr>
          </w:p>
        </w:tc>
        <w:tc>
          <w:tcPr>
            <w:tcW w:w="1169" w:type="dxa"/>
            <w:tcBorders>
              <w:top w:val="nil"/>
              <w:left w:val="nil"/>
              <w:bottom w:val="nil"/>
              <w:right w:val="nil"/>
            </w:tcBorders>
            <w:shd w:val="clear" w:color="auto" w:fill="auto"/>
            <w:noWrap/>
            <w:vAlign w:val="center"/>
            <w:hideMark/>
          </w:tcPr>
          <w:p w14:paraId="2E008AD1"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1440" w:type="dxa"/>
            <w:tcBorders>
              <w:top w:val="nil"/>
              <w:left w:val="nil"/>
              <w:bottom w:val="nil"/>
              <w:right w:val="nil"/>
            </w:tcBorders>
            <w:shd w:val="clear" w:color="auto" w:fill="auto"/>
            <w:noWrap/>
            <w:vAlign w:val="center"/>
            <w:hideMark/>
          </w:tcPr>
          <w:p w14:paraId="65DA3556" w14:textId="77777777" w:rsidR="00B85262" w:rsidRPr="00B85262" w:rsidRDefault="00B85262" w:rsidP="00B85262">
            <w:pPr>
              <w:spacing w:after="0" w:line="240" w:lineRule="auto"/>
              <w:jc w:val="right"/>
              <w:rPr>
                <w:rFonts w:ascii="Times New Roman" w:eastAsia="Times New Roman" w:hAnsi="Times New Roman" w:cs="Times New Roman"/>
                <w:sz w:val="20"/>
                <w:szCs w:val="20"/>
                <w:lang w:eastAsia="cs-CZ"/>
              </w:rPr>
            </w:pPr>
          </w:p>
        </w:tc>
        <w:tc>
          <w:tcPr>
            <w:tcW w:w="1508" w:type="dxa"/>
            <w:tcBorders>
              <w:top w:val="nil"/>
              <w:left w:val="nil"/>
              <w:bottom w:val="nil"/>
              <w:right w:val="nil"/>
            </w:tcBorders>
            <w:shd w:val="clear" w:color="auto" w:fill="auto"/>
            <w:noWrap/>
            <w:vAlign w:val="center"/>
            <w:hideMark/>
          </w:tcPr>
          <w:p w14:paraId="7F3D1408" w14:textId="77777777" w:rsidR="00B85262" w:rsidRPr="00B85262" w:rsidRDefault="00B85262" w:rsidP="00B85262">
            <w:pPr>
              <w:spacing w:after="0" w:line="240" w:lineRule="auto"/>
              <w:jc w:val="right"/>
              <w:rPr>
                <w:rFonts w:ascii="Times New Roman" w:eastAsia="Times New Roman" w:hAnsi="Times New Roman" w:cs="Times New Roman"/>
                <w:sz w:val="20"/>
                <w:szCs w:val="20"/>
                <w:lang w:eastAsia="cs-CZ"/>
              </w:rPr>
            </w:pPr>
          </w:p>
        </w:tc>
        <w:tc>
          <w:tcPr>
            <w:tcW w:w="647" w:type="dxa"/>
            <w:tcBorders>
              <w:top w:val="nil"/>
              <w:left w:val="nil"/>
              <w:bottom w:val="nil"/>
              <w:right w:val="nil"/>
            </w:tcBorders>
            <w:shd w:val="clear" w:color="auto" w:fill="auto"/>
            <w:noWrap/>
            <w:vAlign w:val="bottom"/>
            <w:hideMark/>
          </w:tcPr>
          <w:p w14:paraId="65367768" w14:textId="77777777" w:rsidR="00B85262" w:rsidRPr="00B85262" w:rsidRDefault="00B85262" w:rsidP="00B85262">
            <w:pPr>
              <w:spacing w:after="0" w:line="240" w:lineRule="auto"/>
              <w:jc w:val="right"/>
              <w:rPr>
                <w:rFonts w:ascii="Times New Roman" w:eastAsia="Times New Roman" w:hAnsi="Times New Roman" w:cs="Times New Roman"/>
                <w:sz w:val="20"/>
                <w:szCs w:val="20"/>
                <w:lang w:eastAsia="cs-CZ"/>
              </w:rPr>
            </w:pPr>
          </w:p>
        </w:tc>
      </w:tr>
      <w:tr w:rsidR="00B85262" w:rsidRPr="00B85262" w14:paraId="5B0D3DFA" w14:textId="77777777" w:rsidTr="00236060">
        <w:trPr>
          <w:trHeight w:val="285"/>
        </w:trPr>
        <w:tc>
          <w:tcPr>
            <w:tcW w:w="941" w:type="dxa"/>
            <w:tcBorders>
              <w:top w:val="nil"/>
              <w:left w:val="nil"/>
              <w:bottom w:val="nil"/>
              <w:right w:val="nil"/>
            </w:tcBorders>
            <w:shd w:val="clear" w:color="auto" w:fill="auto"/>
            <w:noWrap/>
            <w:vAlign w:val="center"/>
            <w:hideMark/>
          </w:tcPr>
          <w:p w14:paraId="2688454B" w14:textId="77777777" w:rsidR="00B85262" w:rsidRPr="00B85262" w:rsidRDefault="00B85262" w:rsidP="00B85262">
            <w:pPr>
              <w:spacing w:after="0" w:line="240" w:lineRule="auto"/>
              <w:jc w:val="right"/>
              <w:rPr>
                <w:rFonts w:ascii="Times New Roman" w:eastAsia="Times New Roman" w:hAnsi="Times New Roman" w:cs="Times New Roman"/>
                <w:sz w:val="20"/>
                <w:szCs w:val="20"/>
                <w:lang w:eastAsia="cs-CZ"/>
              </w:rPr>
            </w:pPr>
          </w:p>
        </w:tc>
        <w:tc>
          <w:tcPr>
            <w:tcW w:w="9204" w:type="dxa"/>
            <w:gridSpan w:val="5"/>
            <w:tcBorders>
              <w:top w:val="nil"/>
              <w:left w:val="nil"/>
              <w:bottom w:val="single" w:sz="8" w:space="0" w:color="auto"/>
              <w:right w:val="nil"/>
            </w:tcBorders>
            <w:shd w:val="clear" w:color="auto" w:fill="auto"/>
            <w:vAlign w:val="bottom"/>
            <w:hideMark/>
          </w:tcPr>
          <w:p w14:paraId="54D719FF" w14:textId="77777777" w:rsidR="00B85262" w:rsidRPr="00B85262" w:rsidRDefault="00B85262" w:rsidP="00B85262">
            <w:pPr>
              <w:spacing w:after="0" w:line="240" w:lineRule="auto"/>
              <w:rPr>
                <w:rFonts w:ascii="Calibri" w:eastAsia="Times New Roman" w:hAnsi="Calibri" w:cs="Calibri"/>
                <w:b/>
                <w:bCs/>
                <w:lang w:eastAsia="cs-CZ"/>
              </w:rPr>
            </w:pPr>
            <w:r w:rsidRPr="00B85262">
              <w:rPr>
                <w:rFonts w:ascii="Calibri" w:eastAsia="Times New Roman" w:hAnsi="Calibri" w:cs="Calibri"/>
                <w:b/>
                <w:bCs/>
                <w:lang w:eastAsia="cs-CZ"/>
              </w:rPr>
              <w:t>Dotace ze státního rozpočtu  a ostatních veřejných rozpočtů</w:t>
            </w:r>
          </w:p>
        </w:tc>
      </w:tr>
      <w:tr w:rsidR="00B85262" w:rsidRPr="00B85262" w14:paraId="089AC846" w14:textId="77777777" w:rsidTr="00236060">
        <w:trPr>
          <w:trHeight w:val="510"/>
        </w:trPr>
        <w:tc>
          <w:tcPr>
            <w:tcW w:w="941" w:type="dxa"/>
            <w:tcBorders>
              <w:top w:val="single" w:sz="8" w:space="0" w:color="auto"/>
              <w:left w:val="single" w:sz="8" w:space="0" w:color="auto"/>
              <w:bottom w:val="single" w:sz="4" w:space="0" w:color="auto"/>
              <w:right w:val="single" w:sz="4" w:space="0" w:color="auto"/>
            </w:tcBorders>
            <w:shd w:val="clear" w:color="auto" w:fill="auto"/>
            <w:vAlign w:val="bottom"/>
            <w:hideMark/>
          </w:tcPr>
          <w:p w14:paraId="260F80B4"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3299</w:t>
            </w:r>
          </w:p>
        </w:tc>
        <w:tc>
          <w:tcPr>
            <w:tcW w:w="4440" w:type="dxa"/>
            <w:tcBorders>
              <w:top w:val="nil"/>
              <w:left w:val="nil"/>
              <w:bottom w:val="single" w:sz="4" w:space="0" w:color="auto"/>
              <w:right w:val="single" w:sz="4" w:space="0" w:color="auto"/>
            </w:tcBorders>
            <w:shd w:val="clear" w:color="auto" w:fill="auto"/>
            <w:hideMark/>
          </w:tcPr>
          <w:p w14:paraId="3BC94DE9" w14:textId="77777777" w:rsidR="00B85262" w:rsidRPr="00B85262" w:rsidRDefault="00B85262" w:rsidP="00B85262">
            <w:pPr>
              <w:spacing w:after="0" w:line="240" w:lineRule="auto"/>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 xml:space="preserve"> Vyhodnocení ohroženosti krajských škol jako měkkého cíle 2021 (UZ 14034)</w:t>
            </w:r>
          </w:p>
        </w:tc>
        <w:tc>
          <w:tcPr>
            <w:tcW w:w="1169" w:type="dxa"/>
            <w:tcBorders>
              <w:top w:val="nil"/>
              <w:left w:val="nil"/>
              <w:bottom w:val="single" w:sz="4" w:space="0" w:color="auto"/>
              <w:right w:val="single" w:sz="4" w:space="0" w:color="auto"/>
            </w:tcBorders>
            <w:shd w:val="clear" w:color="auto" w:fill="auto"/>
            <w:noWrap/>
            <w:vAlign w:val="bottom"/>
            <w:hideMark/>
          </w:tcPr>
          <w:p w14:paraId="34BEB94A"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0</w:t>
            </w:r>
          </w:p>
        </w:tc>
        <w:tc>
          <w:tcPr>
            <w:tcW w:w="1440" w:type="dxa"/>
            <w:tcBorders>
              <w:top w:val="nil"/>
              <w:left w:val="nil"/>
              <w:bottom w:val="single" w:sz="4" w:space="0" w:color="auto"/>
              <w:right w:val="single" w:sz="4" w:space="0" w:color="auto"/>
            </w:tcBorders>
            <w:shd w:val="clear" w:color="auto" w:fill="auto"/>
            <w:noWrap/>
            <w:vAlign w:val="bottom"/>
            <w:hideMark/>
          </w:tcPr>
          <w:p w14:paraId="13D716F7"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119 790,00</w:t>
            </w:r>
          </w:p>
        </w:tc>
        <w:tc>
          <w:tcPr>
            <w:tcW w:w="1508" w:type="dxa"/>
            <w:tcBorders>
              <w:top w:val="nil"/>
              <w:left w:val="nil"/>
              <w:bottom w:val="single" w:sz="4" w:space="0" w:color="auto"/>
              <w:right w:val="single" w:sz="4" w:space="0" w:color="auto"/>
            </w:tcBorders>
            <w:shd w:val="clear" w:color="auto" w:fill="auto"/>
            <w:noWrap/>
            <w:vAlign w:val="bottom"/>
            <w:hideMark/>
          </w:tcPr>
          <w:p w14:paraId="3D98B55B"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119 790,00</w:t>
            </w:r>
          </w:p>
        </w:tc>
        <w:tc>
          <w:tcPr>
            <w:tcW w:w="647" w:type="dxa"/>
            <w:tcBorders>
              <w:top w:val="nil"/>
              <w:left w:val="nil"/>
              <w:bottom w:val="single" w:sz="4" w:space="0" w:color="auto"/>
              <w:right w:val="single" w:sz="8" w:space="0" w:color="auto"/>
            </w:tcBorders>
            <w:shd w:val="clear" w:color="auto" w:fill="auto"/>
            <w:noWrap/>
            <w:vAlign w:val="bottom"/>
            <w:hideMark/>
          </w:tcPr>
          <w:p w14:paraId="267243AB"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100,0</w:t>
            </w:r>
          </w:p>
        </w:tc>
      </w:tr>
      <w:tr w:rsidR="00B85262" w:rsidRPr="00B85262" w14:paraId="3304E082" w14:textId="77777777" w:rsidTr="00236060">
        <w:trPr>
          <w:trHeight w:val="300"/>
        </w:trPr>
        <w:tc>
          <w:tcPr>
            <w:tcW w:w="941" w:type="dxa"/>
            <w:tcBorders>
              <w:top w:val="nil"/>
              <w:left w:val="single" w:sz="8" w:space="0" w:color="auto"/>
              <w:bottom w:val="single" w:sz="4" w:space="0" w:color="auto"/>
              <w:right w:val="single" w:sz="4" w:space="0" w:color="auto"/>
            </w:tcBorders>
            <w:shd w:val="clear" w:color="auto" w:fill="auto"/>
            <w:vAlign w:val="bottom"/>
            <w:hideMark/>
          </w:tcPr>
          <w:p w14:paraId="3501CE0B"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3299</w:t>
            </w:r>
          </w:p>
        </w:tc>
        <w:tc>
          <w:tcPr>
            <w:tcW w:w="4440" w:type="dxa"/>
            <w:tcBorders>
              <w:top w:val="nil"/>
              <w:left w:val="nil"/>
              <w:bottom w:val="single" w:sz="4" w:space="0" w:color="auto"/>
              <w:right w:val="single" w:sz="4" w:space="0" w:color="auto"/>
            </w:tcBorders>
            <w:shd w:val="clear" w:color="auto" w:fill="auto"/>
            <w:hideMark/>
          </w:tcPr>
          <w:p w14:paraId="214A40B5" w14:textId="77777777" w:rsidR="00B85262" w:rsidRPr="00B85262" w:rsidRDefault="00B85262" w:rsidP="00B85262">
            <w:pPr>
              <w:spacing w:after="0" w:line="240" w:lineRule="auto"/>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Tvorba bezpečnostních plánů a bezpečnostních procedur 2021 (UZ 14034)</w:t>
            </w:r>
          </w:p>
        </w:tc>
        <w:tc>
          <w:tcPr>
            <w:tcW w:w="1169" w:type="dxa"/>
            <w:tcBorders>
              <w:top w:val="nil"/>
              <w:left w:val="nil"/>
              <w:bottom w:val="single" w:sz="4" w:space="0" w:color="auto"/>
              <w:right w:val="single" w:sz="4" w:space="0" w:color="auto"/>
            </w:tcBorders>
            <w:shd w:val="clear" w:color="auto" w:fill="auto"/>
            <w:noWrap/>
            <w:vAlign w:val="bottom"/>
            <w:hideMark/>
          </w:tcPr>
          <w:p w14:paraId="38A128E2"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0</w:t>
            </w:r>
          </w:p>
        </w:tc>
        <w:tc>
          <w:tcPr>
            <w:tcW w:w="1440" w:type="dxa"/>
            <w:tcBorders>
              <w:top w:val="nil"/>
              <w:left w:val="nil"/>
              <w:bottom w:val="single" w:sz="4" w:space="0" w:color="auto"/>
              <w:right w:val="single" w:sz="4" w:space="0" w:color="auto"/>
            </w:tcBorders>
            <w:shd w:val="clear" w:color="auto" w:fill="auto"/>
            <w:noWrap/>
            <w:vAlign w:val="bottom"/>
            <w:hideMark/>
          </w:tcPr>
          <w:p w14:paraId="19AA4ABC"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54 450,00</w:t>
            </w:r>
          </w:p>
        </w:tc>
        <w:tc>
          <w:tcPr>
            <w:tcW w:w="1508" w:type="dxa"/>
            <w:tcBorders>
              <w:top w:val="nil"/>
              <w:left w:val="nil"/>
              <w:bottom w:val="single" w:sz="4" w:space="0" w:color="auto"/>
              <w:right w:val="single" w:sz="4" w:space="0" w:color="auto"/>
            </w:tcBorders>
            <w:shd w:val="clear" w:color="auto" w:fill="auto"/>
            <w:noWrap/>
            <w:vAlign w:val="bottom"/>
            <w:hideMark/>
          </w:tcPr>
          <w:p w14:paraId="3501BF9A"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54 450,00</w:t>
            </w:r>
          </w:p>
        </w:tc>
        <w:tc>
          <w:tcPr>
            <w:tcW w:w="647" w:type="dxa"/>
            <w:tcBorders>
              <w:top w:val="nil"/>
              <w:left w:val="nil"/>
              <w:bottom w:val="single" w:sz="4" w:space="0" w:color="auto"/>
              <w:right w:val="single" w:sz="8" w:space="0" w:color="auto"/>
            </w:tcBorders>
            <w:shd w:val="clear" w:color="auto" w:fill="auto"/>
            <w:noWrap/>
            <w:vAlign w:val="bottom"/>
            <w:hideMark/>
          </w:tcPr>
          <w:p w14:paraId="1F203E5B"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100,0</w:t>
            </w:r>
          </w:p>
        </w:tc>
      </w:tr>
      <w:tr w:rsidR="00B85262" w:rsidRPr="00B85262" w14:paraId="4ADB24C8" w14:textId="77777777" w:rsidTr="00236060">
        <w:trPr>
          <w:trHeight w:val="300"/>
        </w:trPr>
        <w:tc>
          <w:tcPr>
            <w:tcW w:w="941" w:type="dxa"/>
            <w:tcBorders>
              <w:top w:val="nil"/>
              <w:left w:val="single" w:sz="8" w:space="0" w:color="auto"/>
              <w:bottom w:val="single" w:sz="4" w:space="0" w:color="auto"/>
              <w:right w:val="single" w:sz="4" w:space="0" w:color="auto"/>
            </w:tcBorders>
            <w:shd w:val="clear" w:color="auto" w:fill="auto"/>
            <w:vAlign w:val="bottom"/>
            <w:hideMark/>
          </w:tcPr>
          <w:p w14:paraId="5D259E96"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3299</w:t>
            </w:r>
          </w:p>
        </w:tc>
        <w:tc>
          <w:tcPr>
            <w:tcW w:w="4440" w:type="dxa"/>
            <w:tcBorders>
              <w:top w:val="nil"/>
              <w:left w:val="nil"/>
              <w:bottom w:val="single" w:sz="4" w:space="0" w:color="auto"/>
              <w:right w:val="single" w:sz="4" w:space="0" w:color="auto"/>
            </w:tcBorders>
            <w:shd w:val="clear" w:color="auto" w:fill="auto"/>
            <w:noWrap/>
            <w:vAlign w:val="bottom"/>
            <w:hideMark/>
          </w:tcPr>
          <w:p w14:paraId="0741C5A6" w14:textId="77777777" w:rsidR="00B85262" w:rsidRPr="00B85262" w:rsidRDefault="00B85262" w:rsidP="00B85262">
            <w:pPr>
              <w:spacing w:after="0" w:line="240" w:lineRule="auto"/>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Bezpečná škola 2021 - koordinace (UZ 14034)</w:t>
            </w:r>
          </w:p>
        </w:tc>
        <w:tc>
          <w:tcPr>
            <w:tcW w:w="1169" w:type="dxa"/>
            <w:tcBorders>
              <w:top w:val="nil"/>
              <w:left w:val="nil"/>
              <w:bottom w:val="single" w:sz="4" w:space="0" w:color="auto"/>
              <w:right w:val="single" w:sz="4" w:space="0" w:color="auto"/>
            </w:tcBorders>
            <w:shd w:val="clear" w:color="auto" w:fill="auto"/>
            <w:noWrap/>
            <w:vAlign w:val="bottom"/>
            <w:hideMark/>
          </w:tcPr>
          <w:p w14:paraId="01482D07"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0</w:t>
            </w:r>
          </w:p>
        </w:tc>
        <w:tc>
          <w:tcPr>
            <w:tcW w:w="1440" w:type="dxa"/>
            <w:tcBorders>
              <w:top w:val="nil"/>
              <w:left w:val="nil"/>
              <w:bottom w:val="single" w:sz="4" w:space="0" w:color="auto"/>
              <w:right w:val="single" w:sz="4" w:space="0" w:color="auto"/>
            </w:tcBorders>
            <w:shd w:val="clear" w:color="auto" w:fill="auto"/>
            <w:noWrap/>
            <w:vAlign w:val="bottom"/>
            <w:hideMark/>
          </w:tcPr>
          <w:p w14:paraId="48F4101A"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200 000,00</w:t>
            </w:r>
          </w:p>
        </w:tc>
        <w:tc>
          <w:tcPr>
            <w:tcW w:w="1508" w:type="dxa"/>
            <w:tcBorders>
              <w:top w:val="nil"/>
              <w:left w:val="nil"/>
              <w:bottom w:val="single" w:sz="4" w:space="0" w:color="auto"/>
              <w:right w:val="single" w:sz="4" w:space="0" w:color="auto"/>
            </w:tcBorders>
            <w:shd w:val="clear" w:color="auto" w:fill="auto"/>
            <w:noWrap/>
            <w:vAlign w:val="bottom"/>
            <w:hideMark/>
          </w:tcPr>
          <w:p w14:paraId="561A95E1"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12 033,00</w:t>
            </w:r>
          </w:p>
        </w:tc>
        <w:tc>
          <w:tcPr>
            <w:tcW w:w="647" w:type="dxa"/>
            <w:tcBorders>
              <w:top w:val="nil"/>
              <w:left w:val="nil"/>
              <w:bottom w:val="single" w:sz="4" w:space="0" w:color="auto"/>
              <w:right w:val="single" w:sz="8" w:space="0" w:color="auto"/>
            </w:tcBorders>
            <w:shd w:val="clear" w:color="auto" w:fill="auto"/>
            <w:noWrap/>
            <w:vAlign w:val="bottom"/>
            <w:hideMark/>
          </w:tcPr>
          <w:p w14:paraId="54F4B546"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6,0</w:t>
            </w:r>
          </w:p>
        </w:tc>
      </w:tr>
      <w:tr w:rsidR="00B85262" w:rsidRPr="00B85262" w14:paraId="41204439" w14:textId="77777777" w:rsidTr="00236060">
        <w:trPr>
          <w:trHeight w:val="300"/>
        </w:trPr>
        <w:tc>
          <w:tcPr>
            <w:tcW w:w="941" w:type="dxa"/>
            <w:tcBorders>
              <w:top w:val="nil"/>
              <w:left w:val="single" w:sz="8" w:space="0" w:color="auto"/>
              <w:bottom w:val="single" w:sz="4" w:space="0" w:color="auto"/>
              <w:right w:val="single" w:sz="4" w:space="0" w:color="auto"/>
            </w:tcBorders>
            <w:shd w:val="clear" w:color="auto" w:fill="auto"/>
            <w:vAlign w:val="bottom"/>
            <w:hideMark/>
          </w:tcPr>
          <w:p w14:paraId="541EEB24"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3299</w:t>
            </w:r>
          </w:p>
        </w:tc>
        <w:tc>
          <w:tcPr>
            <w:tcW w:w="4440" w:type="dxa"/>
            <w:tcBorders>
              <w:top w:val="nil"/>
              <w:left w:val="nil"/>
              <w:bottom w:val="single" w:sz="4" w:space="0" w:color="auto"/>
              <w:right w:val="single" w:sz="4" w:space="0" w:color="auto"/>
            </w:tcBorders>
            <w:shd w:val="clear" w:color="auto" w:fill="auto"/>
            <w:noWrap/>
            <w:vAlign w:val="bottom"/>
            <w:hideMark/>
          </w:tcPr>
          <w:p w14:paraId="412F9FCA" w14:textId="77777777" w:rsidR="00B85262" w:rsidRPr="00B85262" w:rsidRDefault="00B85262" w:rsidP="00B85262">
            <w:pPr>
              <w:spacing w:after="0" w:line="240" w:lineRule="auto"/>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Vzdělávací akce 2021 (UZ 14034)</w:t>
            </w:r>
          </w:p>
        </w:tc>
        <w:tc>
          <w:tcPr>
            <w:tcW w:w="1169" w:type="dxa"/>
            <w:tcBorders>
              <w:top w:val="nil"/>
              <w:left w:val="nil"/>
              <w:bottom w:val="single" w:sz="4" w:space="0" w:color="auto"/>
              <w:right w:val="single" w:sz="4" w:space="0" w:color="auto"/>
            </w:tcBorders>
            <w:shd w:val="clear" w:color="auto" w:fill="auto"/>
            <w:noWrap/>
            <w:vAlign w:val="bottom"/>
            <w:hideMark/>
          </w:tcPr>
          <w:p w14:paraId="5B11EECF"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0</w:t>
            </w:r>
          </w:p>
        </w:tc>
        <w:tc>
          <w:tcPr>
            <w:tcW w:w="1440" w:type="dxa"/>
            <w:tcBorders>
              <w:top w:val="nil"/>
              <w:left w:val="nil"/>
              <w:bottom w:val="single" w:sz="4" w:space="0" w:color="auto"/>
              <w:right w:val="single" w:sz="4" w:space="0" w:color="auto"/>
            </w:tcBorders>
            <w:shd w:val="clear" w:color="auto" w:fill="auto"/>
            <w:noWrap/>
            <w:vAlign w:val="bottom"/>
            <w:hideMark/>
          </w:tcPr>
          <w:p w14:paraId="5A0360A7"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400 000,00</w:t>
            </w:r>
          </w:p>
        </w:tc>
        <w:tc>
          <w:tcPr>
            <w:tcW w:w="1508" w:type="dxa"/>
            <w:tcBorders>
              <w:top w:val="nil"/>
              <w:left w:val="nil"/>
              <w:bottom w:val="single" w:sz="4" w:space="0" w:color="auto"/>
              <w:right w:val="single" w:sz="4" w:space="0" w:color="auto"/>
            </w:tcBorders>
            <w:shd w:val="clear" w:color="auto" w:fill="auto"/>
            <w:noWrap/>
            <w:vAlign w:val="bottom"/>
            <w:hideMark/>
          </w:tcPr>
          <w:p w14:paraId="4E9FBE42"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400 000,00</w:t>
            </w:r>
          </w:p>
        </w:tc>
        <w:tc>
          <w:tcPr>
            <w:tcW w:w="647" w:type="dxa"/>
            <w:tcBorders>
              <w:top w:val="nil"/>
              <w:left w:val="nil"/>
              <w:bottom w:val="single" w:sz="4" w:space="0" w:color="auto"/>
              <w:right w:val="single" w:sz="8" w:space="0" w:color="auto"/>
            </w:tcBorders>
            <w:shd w:val="clear" w:color="auto" w:fill="auto"/>
            <w:noWrap/>
            <w:vAlign w:val="bottom"/>
            <w:hideMark/>
          </w:tcPr>
          <w:p w14:paraId="6152D0C7"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100,0</w:t>
            </w:r>
          </w:p>
        </w:tc>
      </w:tr>
      <w:tr w:rsidR="00B85262" w:rsidRPr="00B85262" w14:paraId="51C08DE4" w14:textId="77777777" w:rsidTr="00236060">
        <w:trPr>
          <w:trHeight w:val="255"/>
        </w:trPr>
        <w:tc>
          <w:tcPr>
            <w:tcW w:w="941" w:type="dxa"/>
            <w:tcBorders>
              <w:top w:val="nil"/>
              <w:left w:val="single" w:sz="8" w:space="0" w:color="auto"/>
              <w:bottom w:val="single" w:sz="4" w:space="0" w:color="auto"/>
              <w:right w:val="single" w:sz="4" w:space="0" w:color="auto"/>
            </w:tcBorders>
            <w:shd w:val="clear" w:color="auto" w:fill="auto"/>
            <w:vAlign w:val="bottom"/>
            <w:hideMark/>
          </w:tcPr>
          <w:p w14:paraId="0DE6280F"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3299</w:t>
            </w:r>
          </w:p>
        </w:tc>
        <w:tc>
          <w:tcPr>
            <w:tcW w:w="4440" w:type="dxa"/>
            <w:tcBorders>
              <w:top w:val="nil"/>
              <w:left w:val="nil"/>
              <w:bottom w:val="single" w:sz="4" w:space="0" w:color="auto"/>
              <w:right w:val="single" w:sz="4" w:space="0" w:color="auto"/>
            </w:tcBorders>
            <w:shd w:val="clear" w:color="auto" w:fill="auto"/>
            <w:noWrap/>
            <w:vAlign w:val="bottom"/>
            <w:hideMark/>
          </w:tcPr>
          <w:p w14:paraId="519B89C3" w14:textId="77777777" w:rsidR="00B85262" w:rsidRPr="00B85262" w:rsidRDefault="00B85262" w:rsidP="00B85262">
            <w:pPr>
              <w:spacing w:after="0" w:line="240" w:lineRule="auto"/>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Řídící bezpečnostní pracovník škol 2021 (UZ 14034)</w:t>
            </w:r>
          </w:p>
        </w:tc>
        <w:tc>
          <w:tcPr>
            <w:tcW w:w="1169" w:type="dxa"/>
            <w:tcBorders>
              <w:top w:val="nil"/>
              <w:left w:val="nil"/>
              <w:bottom w:val="single" w:sz="4" w:space="0" w:color="auto"/>
              <w:right w:val="single" w:sz="4" w:space="0" w:color="auto"/>
            </w:tcBorders>
            <w:shd w:val="clear" w:color="auto" w:fill="auto"/>
            <w:noWrap/>
            <w:vAlign w:val="bottom"/>
            <w:hideMark/>
          </w:tcPr>
          <w:p w14:paraId="5700CE29"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0</w:t>
            </w:r>
          </w:p>
        </w:tc>
        <w:tc>
          <w:tcPr>
            <w:tcW w:w="1440" w:type="dxa"/>
            <w:tcBorders>
              <w:top w:val="nil"/>
              <w:left w:val="nil"/>
              <w:bottom w:val="single" w:sz="4" w:space="0" w:color="auto"/>
              <w:right w:val="single" w:sz="4" w:space="0" w:color="auto"/>
            </w:tcBorders>
            <w:shd w:val="clear" w:color="auto" w:fill="auto"/>
            <w:noWrap/>
            <w:vAlign w:val="bottom"/>
            <w:hideMark/>
          </w:tcPr>
          <w:p w14:paraId="54F1F04E"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400 000,00</w:t>
            </w:r>
          </w:p>
        </w:tc>
        <w:tc>
          <w:tcPr>
            <w:tcW w:w="1508" w:type="dxa"/>
            <w:tcBorders>
              <w:top w:val="nil"/>
              <w:left w:val="nil"/>
              <w:bottom w:val="single" w:sz="4" w:space="0" w:color="auto"/>
              <w:right w:val="single" w:sz="4" w:space="0" w:color="auto"/>
            </w:tcBorders>
            <w:shd w:val="clear" w:color="auto" w:fill="auto"/>
            <w:noWrap/>
            <w:vAlign w:val="bottom"/>
            <w:hideMark/>
          </w:tcPr>
          <w:p w14:paraId="609CD260"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335 991,46</w:t>
            </w:r>
          </w:p>
        </w:tc>
        <w:tc>
          <w:tcPr>
            <w:tcW w:w="647" w:type="dxa"/>
            <w:tcBorders>
              <w:top w:val="nil"/>
              <w:left w:val="nil"/>
              <w:bottom w:val="single" w:sz="4" w:space="0" w:color="auto"/>
              <w:right w:val="single" w:sz="8" w:space="0" w:color="auto"/>
            </w:tcBorders>
            <w:shd w:val="clear" w:color="auto" w:fill="auto"/>
            <w:noWrap/>
            <w:vAlign w:val="bottom"/>
            <w:hideMark/>
          </w:tcPr>
          <w:p w14:paraId="7B3F983E"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84,0</w:t>
            </w:r>
          </w:p>
        </w:tc>
      </w:tr>
      <w:tr w:rsidR="00B85262" w:rsidRPr="00B85262" w14:paraId="03015D38" w14:textId="77777777" w:rsidTr="00236060">
        <w:trPr>
          <w:trHeight w:val="510"/>
        </w:trPr>
        <w:tc>
          <w:tcPr>
            <w:tcW w:w="941" w:type="dxa"/>
            <w:tcBorders>
              <w:top w:val="nil"/>
              <w:left w:val="single" w:sz="8" w:space="0" w:color="auto"/>
              <w:bottom w:val="single" w:sz="4" w:space="0" w:color="auto"/>
              <w:right w:val="single" w:sz="4" w:space="0" w:color="auto"/>
            </w:tcBorders>
            <w:shd w:val="clear" w:color="auto" w:fill="auto"/>
            <w:vAlign w:val="bottom"/>
            <w:hideMark/>
          </w:tcPr>
          <w:p w14:paraId="631037F9"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3299</w:t>
            </w:r>
          </w:p>
        </w:tc>
        <w:tc>
          <w:tcPr>
            <w:tcW w:w="4440" w:type="dxa"/>
            <w:tcBorders>
              <w:top w:val="nil"/>
              <w:left w:val="nil"/>
              <w:bottom w:val="single" w:sz="4" w:space="0" w:color="auto"/>
              <w:right w:val="single" w:sz="4" w:space="0" w:color="auto"/>
            </w:tcBorders>
            <w:shd w:val="clear" w:color="auto" w:fill="auto"/>
            <w:vAlign w:val="bottom"/>
            <w:hideMark/>
          </w:tcPr>
          <w:p w14:paraId="004024A0" w14:textId="77777777" w:rsidR="00B85262" w:rsidRPr="00B85262" w:rsidRDefault="00B85262" w:rsidP="00B85262">
            <w:pPr>
              <w:spacing w:after="0" w:line="240" w:lineRule="auto"/>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Kraje pro bezpečný internet - preventivně informační videospoty "Internet pod mikroskopem" (UZ 14032)</w:t>
            </w:r>
          </w:p>
        </w:tc>
        <w:tc>
          <w:tcPr>
            <w:tcW w:w="1169" w:type="dxa"/>
            <w:tcBorders>
              <w:top w:val="nil"/>
              <w:left w:val="nil"/>
              <w:bottom w:val="single" w:sz="4" w:space="0" w:color="auto"/>
              <w:right w:val="single" w:sz="4" w:space="0" w:color="auto"/>
            </w:tcBorders>
            <w:shd w:val="clear" w:color="auto" w:fill="auto"/>
            <w:noWrap/>
            <w:vAlign w:val="bottom"/>
            <w:hideMark/>
          </w:tcPr>
          <w:p w14:paraId="37C9C772"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0</w:t>
            </w:r>
          </w:p>
        </w:tc>
        <w:tc>
          <w:tcPr>
            <w:tcW w:w="1440" w:type="dxa"/>
            <w:tcBorders>
              <w:top w:val="nil"/>
              <w:left w:val="nil"/>
              <w:bottom w:val="single" w:sz="4" w:space="0" w:color="auto"/>
              <w:right w:val="single" w:sz="4" w:space="0" w:color="auto"/>
            </w:tcBorders>
            <w:shd w:val="clear" w:color="auto" w:fill="auto"/>
            <w:noWrap/>
            <w:vAlign w:val="bottom"/>
            <w:hideMark/>
          </w:tcPr>
          <w:p w14:paraId="52F53888"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390 000,00</w:t>
            </w:r>
          </w:p>
        </w:tc>
        <w:tc>
          <w:tcPr>
            <w:tcW w:w="1508" w:type="dxa"/>
            <w:tcBorders>
              <w:top w:val="nil"/>
              <w:left w:val="nil"/>
              <w:bottom w:val="single" w:sz="4" w:space="0" w:color="auto"/>
              <w:right w:val="single" w:sz="4" w:space="0" w:color="auto"/>
            </w:tcBorders>
            <w:shd w:val="clear" w:color="auto" w:fill="auto"/>
            <w:noWrap/>
            <w:vAlign w:val="bottom"/>
            <w:hideMark/>
          </w:tcPr>
          <w:p w14:paraId="248692A6"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390 000,00</w:t>
            </w:r>
          </w:p>
        </w:tc>
        <w:tc>
          <w:tcPr>
            <w:tcW w:w="647" w:type="dxa"/>
            <w:tcBorders>
              <w:top w:val="nil"/>
              <w:left w:val="nil"/>
              <w:bottom w:val="single" w:sz="4" w:space="0" w:color="auto"/>
              <w:right w:val="single" w:sz="8" w:space="0" w:color="auto"/>
            </w:tcBorders>
            <w:shd w:val="clear" w:color="auto" w:fill="auto"/>
            <w:noWrap/>
            <w:vAlign w:val="bottom"/>
            <w:hideMark/>
          </w:tcPr>
          <w:p w14:paraId="59B4AA98"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100,0</w:t>
            </w:r>
          </w:p>
        </w:tc>
      </w:tr>
      <w:tr w:rsidR="00B85262" w:rsidRPr="00B85262" w14:paraId="093D64DD" w14:textId="77777777" w:rsidTr="00236060">
        <w:trPr>
          <w:trHeight w:val="300"/>
        </w:trPr>
        <w:tc>
          <w:tcPr>
            <w:tcW w:w="941" w:type="dxa"/>
            <w:tcBorders>
              <w:top w:val="nil"/>
              <w:left w:val="single" w:sz="8" w:space="0" w:color="auto"/>
              <w:bottom w:val="single" w:sz="4" w:space="0" w:color="auto"/>
              <w:right w:val="single" w:sz="4" w:space="0" w:color="auto"/>
            </w:tcBorders>
            <w:shd w:val="clear" w:color="auto" w:fill="auto"/>
            <w:vAlign w:val="bottom"/>
            <w:hideMark/>
          </w:tcPr>
          <w:p w14:paraId="6661D235"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4349</w:t>
            </w:r>
          </w:p>
        </w:tc>
        <w:tc>
          <w:tcPr>
            <w:tcW w:w="4440" w:type="dxa"/>
            <w:tcBorders>
              <w:top w:val="nil"/>
              <w:left w:val="nil"/>
              <w:bottom w:val="single" w:sz="4" w:space="0" w:color="auto"/>
              <w:right w:val="single" w:sz="4" w:space="0" w:color="auto"/>
            </w:tcBorders>
            <w:shd w:val="clear" w:color="auto" w:fill="auto"/>
            <w:hideMark/>
          </w:tcPr>
          <w:p w14:paraId="51CA232E" w14:textId="77777777" w:rsidR="00B85262" w:rsidRPr="00B85262" w:rsidRDefault="00B85262" w:rsidP="00B85262">
            <w:pPr>
              <w:spacing w:after="0" w:line="240" w:lineRule="auto"/>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Resocializace recidivistů na území Středočeského kraje (UZ 14032)</w:t>
            </w:r>
          </w:p>
        </w:tc>
        <w:tc>
          <w:tcPr>
            <w:tcW w:w="1169" w:type="dxa"/>
            <w:tcBorders>
              <w:top w:val="nil"/>
              <w:left w:val="nil"/>
              <w:bottom w:val="single" w:sz="4" w:space="0" w:color="auto"/>
              <w:right w:val="single" w:sz="4" w:space="0" w:color="auto"/>
            </w:tcBorders>
            <w:shd w:val="clear" w:color="auto" w:fill="auto"/>
            <w:noWrap/>
            <w:vAlign w:val="bottom"/>
            <w:hideMark/>
          </w:tcPr>
          <w:p w14:paraId="52B48A14"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0</w:t>
            </w:r>
          </w:p>
        </w:tc>
        <w:tc>
          <w:tcPr>
            <w:tcW w:w="1440" w:type="dxa"/>
            <w:tcBorders>
              <w:top w:val="nil"/>
              <w:left w:val="nil"/>
              <w:bottom w:val="single" w:sz="4" w:space="0" w:color="auto"/>
              <w:right w:val="single" w:sz="4" w:space="0" w:color="auto"/>
            </w:tcBorders>
            <w:shd w:val="clear" w:color="auto" w:fill="auto"/>
            <w:noWrap/>
            <w:vAlign w:val="bottom"/>
            <w:hideMark/>
          </w:tcPr>
          <w:p w14:paraId="73221075"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270 000,00</w:t>
            </w:r>
          </w:p>
        </w:tc>
        <w:tc>
          <w:tcPr>
            <w:tcW w:w="1508" w:type="dxa"/>
            <w:tcBorders>
              <w:top w:val="nil"/>
              <w:left w:val="nil"/>
              <w:bottom w:val="single" w:sz="4" w:space="0" w:color="auto"/>
              <w:right w:val="single" w:sz="4" w:space="0" w:color="auto"/>
            </w:tcBorders>
            <w:shd w:val="clear" w:color="auto" w:fill="auto"/>
            <w:noWrap/>
            <w:vAlign w:val="bottom"/>
            <w:hideMark/>
          </w:tcPr>
          <w:p w14:paraId="7CDE479F"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262 720,00</w:t>
            </w:r>
          </w:p>
        </w:tc>
        <w:tc>
          <w:tcPr>
            <w:tcW w:w="647" w:type="dxa"/>
            <w:tcBorders>
              <w:top w:val="nil"/>
              <w:left w:val="nil"/>
              <w:bottom w:val="single" w:sz="4" w:space="0" w:color="auto"/>
              <w:right w:val="single" w:sz="8" w:space="0" w:color="auto"/>
            </w:tcBorders>
            <w:shd w:val="clear" w:color="auto" w:fill="auto"/>
            <w:noWrap/>
            <w:vAlign w:val="bottom"/>
            <w:hideMark/>
          </w:tcPr>
          <w:p w14:paraId="766E86FC"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97,3</w:t>
            </w:r>
          </w:p>
        </w:tc>
      </w:tr>
      <w:tr w:rsidR="00B85262" w:rsidRPr="00B85262" w14:paraId="30340DA2" w14:textId="77777777" w:rsidTr="00236060">
        <w:trPr>
          <w:trHeight w:val="300"/>
        </w:trPr>
        <w:tc>
          <w:tcPr>
            <w:tcW w:w="941" w:type="dxa"/>
            <w:tcBorders>
              <w:top w:val="nil"/>
              <w:left w:val="single" w:sz="8" w:space="0" w:color="auto"/>
              <w:bottom w:val="single" w:sz="4" w:space="0" w:color="auto"/>
              <w:right w:val="single" w:sz="4" w:space="0" w:color="auto"/>
            </w:tcBorders>
            <w:shd w:val="clear" w:color="auto" w:fill="auto"/>
            <w:vAlign w:val="bottom"/>
            <w:hideMark/>
          </w:tcPr>
          <w:p w14:paraId="13533ABE"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4349</w:t>
            </w:r>
          </w:p>
        </w:tc>
        <w:tc>
          <w:tcPr>
            <w:tcW w:w="4440" w:type="dxa"/>
            <w:tcBorders>
              <w:top w:val="nil"/>
              <w:left w:val="nil"/>
              <w:bottom w:val="single" w:sz="4" w:space="0" w:color="auto"/>
              <w:right w:val="single" w:sz="4" w:space="0" w:color="auto"/>
            </w:tcBorders>
            <w:shd w:val="clear" w:color="auto" w:fill="auto"/>
            <w:noWrap/>
            <w:vAlign w:val="bottom"/>
            <w:hideMark/>
          </w:tcPr>
          <w:p w14:paraId="7B01574C" w14:textId="77777777" w:rsidR="00B85262" w:rsidRPr="00B85262" w:rsidRDefault="00B85262" w:rsidP="00B85262">
            <w:pPr>
              <w:spacing w:after="0" w:line="240" w:lineRule="auto"/>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Podpora prevence kriminality v kraji (UZ 14032)</w:t>
            </w:r>
          </w:p>
        </w:tc>
        <w:tc>
          <w:tcPr>
            <w:tcW w:w="1169" w:type="dxa"/>
            <w:tcBorders>
              <w:top w:val="nil"/>
              <w:left w:val="nil"/>
              <w:bottom w:val="single" w:sz="4" w:space="0" w:color="auto"/>
              <w:right w:val="single" w:sz="4" w:space="0" w:color="auto"/>
            </w:tcBorders>
            <w:shd w:val="clear" w:color="auto" w:fill="auto"/>
            <w:noWrap/>
            <w:vAlign w:val="bottom"/>
            <w:hideMark/>
          </w:tcPr>
          <w:p w14:paraId="7D7EFB5D"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0</w:t>
            </w:r>
          </w:p>
        </w:tc>
        <w:tc>
          <w:tcPr>
            <w:tcW w:w="1440" w:type="dxa"/>
            <w:tcBorders>
              <w:top w:val="nil"/>
              <w:left w:val="nil"/>
              <w:bottom w:val="single" w:sz="4" w:space="0" w:color="auto"/>
              <w:right w:val="single" w:sz="4" w:space="0" w:color="auto"/>
            </w:tcBorders>
            <w:shd w:val="clear" w:color="auto" w:fill="auto"/>
            <w:noWrap/>
            <w:vAlign w:val="bottom"/>
            <w:hideMark/>
          </w:tcPr>
          <w:p w14:paraId="0B7E0943"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18 000,00</w:t>
            </w:r>
          </w:p>
        </w:tc>
        <w:tc>
          <w:tcPr>
            <w:tcW w:w="1508" w:type="dxa"/>
            <w:tcBorders>
              <w:top w:val="nil"/>
              <w:left w:val="nil"/>
              <w:bottom w:val="single" w:sz="4" w:space="0" w:color="auto"/>
              <w:right w:val="single" w:sz="4" w:space="0" w:color="auto"/>
            </w:tcBorders>
            <w:shd w:val="clear" w:color="auto" w:fill="auto"/>
            <w:noWrap/>
            <w:vAlign w:val="bottom"/>
            <w:hideMark/>
          </w:tcPr>
          <w:p w14:paraId="7D360728"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18 000,00</w:t>
            </w:r>
          </w:p>
        </w:tc>
        <w:tc>
          <w:tcPr>
            <w:tcW w:w="647" w:type="dxa"/>
            <w:tcBorders>
              <w:top w:val="nil"/>
              <w:left w:val="nil"/>
              <w:bottom w:val="single" w:sz="4" w:space="0" w:color="auto"/>
              <w:right w:val="single" w:sz="8" w:space="0" w:color="auto"/>
            </w:tcBorders>
            <w:shd w:val="clear" w:color="auto" w:fill="auto"/>
            <w:noWrap/>
            <w:vAlign w:val="bottom"/>
            <w:hideMark/>
          </w:tcPr>
          <w:p w14:paraId="1CBD9619"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100,0</w:t>
            </w:r>
          </w:p>
        </w:tc>
      </w:tr>
      <w:tr w:rsidR="00B85262" w:rsidRPr="00B85262" w14:paraId="47B1204D" w14:textId="77777777" w:rsidTr="00236060">
        <w:trPr>
          <w:trHeight w:val="255"/>
        </w:trPr>
        <w:tc>
          <w:tcPr>
            <w:tcW w:w="941" w:type="dxa"/>
            <w:tcBorders>
              <w:top w:val="nil"/>
              <w:left w:val="single" w:sz="8" w:space="0" w:color="auto"/>
              <w:bottom w:val="single" w:sz="4" w:space="0" w:color="auto"/>
              <w:right w:val="single" w:sz="4" w:space="0" w:color="auto"/>
            </w:tcBorders>
            <w:shd w:val="clear" w:color="auto" w:fill="auto"/>
            <w:vAlign w:val="bottom"/>
            <w:hideMark/>
          </w:tcPr>
          <w:p w14:paraId="57FBBD71"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5213</w:t>
            </w:r>
          </w:p>
        </w:tc>
        <w:tc>
          <w:tcPr>
            <w:tcW w:w="4440" w:type="dxa"/>
            <w:tcBorders>
              <w:top w:val="nil"/>
              <w:left w:val="nil"/>
              <w:bottom w:val="single" w:sz="4" w:space="0" w:color="auto"/>
              <w:right w:val="single" w:sz="4" w:space="0" w:color="auto"/>
            </w:tcBorders>
            <w:shd w:val="clear" w:color="auto" w:fill="auto"/>
            <w:noWrap/>
            <w:vAlign w:val="bottom"/>
            <w:hideMark/>
          </w:tcPr>
          <w:p w14:paraId="6F9F7DBA" w14:textId="77777777" w:rsidR="00B85262" w:rsidRPr="00B85262" w:rsidRDefault="00B85262" w:rsidP="00B85262">
            <w:pPr>
              <w:spacing w:after="0" w:line="240" w:lineRule="auto"/>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Krizové situace 2021 (mimo povodní) (UZ 98032)</w:t>
            </w:r>
          </w:p>
        </w:tc>
        <w:tc>
          <w:tcPr>
            <w:tcW w:w="1169" w:type="dxa"/>
            <w:tcBorders>
              <w:top w:val="nil"/>
              <w:left w:val="nil"/>
              <w:bottom w:val="single" w:sz="4" w:space="0" w:color="auto"/>
              <w:right w:val="single" w:sz="4" w:space="0" w:color="auto"/>
            </w:tcBorders>
            <w:shd w:val="clear" w:color="auto" w:fill="auto"/>
            <w:noWrap/>
            <w:vAlign w:val="bottom"/>
            <w:hideMark/>
          </w:tcPr>
          <w:p w14:paraId="54A73511"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0</w:t>
            </w:r>
          </w:p>
        </w:tc>
        <w:tc>
          <w:tcPr>
            <w:tcW w:w="1440" w:type="dxa"/>
            <w:tcBorders>
              <w:top w:val="nil"/>
              <w:left w:val="nil"/>
              <w:bottom w:val="single" w:sz="4" w:space="0" w:color="auto"/>
              <w:right w:val="single" w:sz="4" w:space="0" w:color="auto"/>
            </w:tcBorders>
            <w:shd w:val="clear" w:color="auto" w:fill="auto"/>
            <w:noWrap/>
            <w:vAlign w:val="bottom"/>
            <w:hideMark/>
          </w:tcPr>
          <w:p w14:paraId="2DABA79E"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6 234 269,00</w:t>
            </w:r>
          </w:p>
        </w:tc>
        <w:tc>
          <w:tcPr>
            <w:tcW w:w="1508" w:type="dxa"/>
            <w:tcBorders>
              <w:top w:val="nil"/>
              <w:left w:val="nil"/>
              <w:bottom w:val="single" w:sz="4" w:space="0" w:color="auto"/>
              <w:right w:val="single" w:sz="4" w:space="0" w:color="auto"/>
            </w:tcBorders>
            <w:shd w:val="clear" w:color="auto" w:fill="auto"/>
            <w:noWrap/>
            <w:vAlign w:val="bottom"/>
            <w:hideMark/>
          </w:tcPr>
          <w:p w14:paraId="2D4A1518"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6 234 269,00</w:t>
            </w:r>
          </w:p>
        </w:tc>
        <w:tc>
          <w:tcPr>
            <w:tcW w:w="647" w:type="dxa"/>
            <w:tcBorders>
              <w:top w:val="nil"/>
              <w:left w:val="nil"/>
              <w:bottom w:val="single" w:sz="4" w:space="0" w:color="auto"/>
              <w:right w:val="single" w:sz="8" w:space="0" w:color="auto"/>
            </w:tcBorders>
            <w:shd w:val="clear" w:color="auto" w:fill="auto"/>
            <w:noWrap/>
            <w:vAlign w:val="bottom"/>
            <w:hideMark/>
          </w:tcPr>
          <w:p w14:paraId="0E17F225"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100,0</w:t>
            </w:r>
          </w:p>
        </w:tc>
      </w:tr>
      <w:tr w:rsidR="00B85262" w:rsidRPr="00B85262" w14:paraId="581C5E77" w14:textId="77777777" w:rsidTr="00236060">
        <w:trPr>
          <w:trHeight w:val="300"/>
        </w:trPr>
        <w:tc>
          <w:tcPr>
            <w:tcW w:w="941" w:type="dxa"/>
            <w:tcBorders>
              <w:top w:val="nil"/>
              <w:left w:val="single" w:sz="8" w:space="0" w:color="auto"/>
              <w:bottom w:val="single" w:sz="4" w:space="0" w:color="auto"/>
              <w:right w:val="single" w:sz="4" w:space="0" w:color="auto"/>
            </w:tcBorders>
            <w:shd w:val="clear" w:color="auto" w:fill="auto"/>
            <w:vAlign w:val="bottom"/>
            <w:hideMark/>
          </w:tcPr>
          <w:p w14:paraId="7130FFEA"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5213</w:t>
            </w:r>
          </w:p>
        </w:tc>
        <w:tc>
          <w:tcPr>
            <w:tcW w:w="4440" w:type="dxa"/>
            <w:tcBorders>
              <w:top w:val="nil"/>
              <w:left w:val="nil"/>
              <w:bottom w:val="single" w:sz="4" w:space="0" w:color="auto"/>
              <w:right w:val="single" w:sz="4" w:space="0" w:color="auto"/>
            </w:tcBorders>
            <w:shd w:val="clear" w:color="auto" w:fill="auto"/>
            <w:hideMark/>
          </w:tcPr>
          <w:p w14:paraId="7FD69AF5" w14:textId="77777777" w:rsidR="00B85262" w:rsidRPr="00B85262" w:rsidRDefault="00B85262" w:rsidP="00B85262">
            <w:pPr>
              <w:spacing w:after="0" w:line="240" w:lineRule="auto"/>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Řešení naléhavých potřeb při zabezpečení provozu sociálních služeb zřízených a provozovaných obcemi (UZ 13351)</w:t>
            </w:r>
          </w:p>
        </w:tc>
        <w:tc>
          <w:tcPr>
            <w:tcW w:w="1169" w:type="dxa"/>
            <w:tcBorders>
              <w:top w:val="nil"/>
              <w:left w:val="nil"/>
              <w:bottom w:val="single" w:sz="4" w:space="0" w:color="auto"/>
              <w:right w:val="single" w:sz="4" w:space="0" w:color="auto"/>
            </w:tcBorders>
            <w:shd w:val="clear" w:color="auto" w:fill="auto"/>
            <w:noWrap/>
            <w:vAlign w:val="bottom"/>
            <w:hideMark/>
          </w:tcPr>
          <w:p w14:paraId="67039905"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0</w:t>
            </w:r>
          </w:p>
        </w:tc>
        <w:tc>
          <w:tcPr>
            <w:tcW w:w="1440" w:type="dxa"/>
            <w:tcBorders>
              <w:top w:val="nil"/>
              <w:left w:val="nil"/>
              <w:bottom w:val="single" w:sz="4" w:space="0" w:color="auto"/>
              <w:right w:val="single" w:sz="4" w:space="0" w:color="auto"/>
            </w:tcBorders>
            <w:shd w:val="clear" w:color="auto" w:fill="auto"/>
            <w:noWrap/>
            <w:vAlign w:val="bottom"/>
            <w:hideMark/>
          </w:tcPr>
          <w:p w14:paraId="101243F0"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104 463,00</w:t>
            </w:r>
          </w:p>
        </w:tc>
        <w:tc>
          <w:tcPr>
            <w:tcW w:w="1508" w:type="dxa"/>
            <w:tcBorders>
              <w:top w:val="nil"/>
              <w:left w:val="nil"/>
              <w:bottom w:val="single" w:sz="4" w:space="0" w:color="auto"/>
              <w:right w:val="single" w:sz="4" w:space="0" w:color="auto"/>
            </w:tcBorders>
            <w:shd w:val="clear" w:color="auto" w:fill="auto"/>
            <w:noWrap/>
            <w:vAlign w:val="bottom"/>
            <w:hideMark/>
          </w:tcPr>
          <w:p w14:paraId="27C50FFA"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0,00</w:t>
            </w:r>
          </w:p>
        </w:tc>
        <w:tc>
          <w:tcPr>
            <w:tcW w:w="647" w:type="dxa"/>
            <w:tcBorders>
              <w:top w:val="nil"/>
              <w:left w:val="nil"/>
              <w:bottom w:val="single" w:sz="4" w:space="0" w:color="auto"/>
              <w:right w:val="single" w:sz="8" w:space="0" w:color="auto"/>
            </w:tcBorders>
            <w:shd w:val="clear" w:color="auto" w:fill="auto"/>
            <w:noWrap/>
            <w:vAlign w:val="bottom"/>
            <w:hideMark/>
          </w:tcPr>
          <w:p w14:paraId="4E02AFBA"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0,0</w:t>
            </w:r>
          </w:p>
        </w:tc>
      </w:tr>
      <w:tr w:rsidR="00B85262" w:rsidRPr="00B85262" w14:paraId="7F18A3A2" w14:textId="77777777" w:rsidTr="00236060">
        <w:trPr>
          <w:trHeight w:val="319"/>
        </w:trPr>
        <w:tc>
          <w:tcPr>
            <w:tcW w:w="941" w:type="dxa"/>
            <w:tcBorders>
              <w:top w:val="nil"/>
              <w:left w:val="single" w:sz="8" w:space="0" w:color="auto"/>
              <w:bottom w:val="nil"/>
              <w:right w:val="single" w:sz="4" w:space="0" w:color="auto"/>
            </w:tcBorders>
            <w:shd w:val="clear" w:color="auto" w:fill="auto"/>
            <w:vAlign w:val="bottom"/>
            <w:hideMark/>
          </w:tcPr>
          <w:p w14:paraId="5360EAA6" w14:textId="77777777" w:rsidR="00B85262" w:rsidRPr="00B85262" w:rsidRDefault="00B85262" w:rsidP="00B85262">
            <w:pPr>
              <w:spacing w:after="0" w:line="240" w:lineRule="auto"/>
              <w:jc w:val="center"/>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5213</w:t>
            </w:r>
          </w:p>
        </w:tc>
        <w:tc>
          <w:tcPr>
            <w:tcW w:w="4440" w:type="dxa"/>
            <w:tcBorders>
              <w:top w:val="nil"/>
              <w:left w:val="nil"/>
              <w:bottom w:val="nil"/>
              <w:right w:val="single" w:sz="4" w:space="0" w:color="auto"/>
            </w:tcBorders>
            <w:shd w:val="clear" w:color="auto" w:fill="auto"/>
            <w:noWrap/>
            <w:vAlign w:val="bottom"/>
            <w:hideMark/>
          </w:tcPr>
          <w:p w14:paraId="4816BFF7" w14:textId="77777777" w:rsidR="00B85262" w:rsidRPr="00B85262" w:rsidRDefault="00B85262" w:rsidP="00B85262">
            <w:pPr>
              <w:spacing w:after="0" w:line="240" w:lineRule="auto"/>
              <w:rPr>
                <w:rFonts w:ascii="Calibri" w:eastAsia="Times New Roman" w:hAnsi="Calibri" w:cs="Calibri"/>
                <w:sz w:val="20"/>
                <w:szCs w:val="20"/>
                <w:lang w:eastAsia="cs-CZ"/>
              </w:rPr>
            </w:pPr>
            <w:r w:rsidRPr="00B85262">
              <w:rPr>
                <w:rFonts w:ascii="Calibri" w:eastAsia="Times New Roman" w:hAnsi="Calibri" w:cs="Calibri"/>
                <w:sz w:val="20"/>
                <w:szCs w:val="20"/>
                <w:lang w:eastAsia="cs-CZ"/>
              </w:rPr>
              <w:t>COVID 19 - peněžní náhrady (UZ 35024)</w:t>
            </w:r>
          </w:p>
        </w:tc>
        <w:tc>
          <w:tcPr>
            <w:tcW w:w="1169" w:type="dxa"/>
            <w:tcBorders>
              <w:top w:val="nil"/>
              <w:left w:val="nil"/>
              <w:bottom w:val="nil"/>
              <w:right w:val="single" w:sz="4" w:space="0" w:color="auto"/>
            </w:tcBorders>
            <w:shd w:val="clear" w:color="auto" w:fill="auto"/>
            <w:noWrap/>
            <w:vAlign w:val="bottom"/>
            <w:hideMark/>
          </w:tcPr>
          <w:p w14:paraId="2BCF4285"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0</w:t>
            </w:r>
          </w:p>
        </w:tc>
        <w:tc>
          <w:tcPr>
            <w:tcW w:w="1440" w:type="dxa"/>
            <w:tcBorders>
              <w:top w:val="nil"/>
              <w:left w:val="nil"/>
              <w:bottom w:val="single" w:sz="4" w:space="0" w:color="auto"/>
              <w:right w:val="single" w:sz="4" w:space="0" w:color="auto"/>
            </w:tcBorders>
            <w:shd w:val="clear" w:color="auto" w:fill="auto"/>
            <w:noWrap/>
            <w:vAlign w:val="bottom"/>
            <w:hideMark/>
          </w:tcPr>
          <w:p w14:paraId="4937AF59"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478 771,00</w:t>
            </w:r>
          </w:p>
        </w:tc>
        <w:tc>
          <w:tcPr>
            <w:tcW w:w="1508" w:type="dxa"/>
            <w:tcBorders>
              <w:top w:val="nil"/>
              <w:left w:val="nil"/>
              <w:bottom w:val="single" w:sz="4" w:space="0" w:color="auto"/>
              <w:right w:val="single" w:sz="4" w:space="0" w:color="auto"/>
            </w:tcBorders>
            <w:shd w:val="clear" w:color="auto" w:fill="auto"/>
            <w:noWrap/>
            <w:vAlign w:val="bottom"/>
            <w:hideMark/>
          </w:tcPr>
          <w:p w14:paraId="784ECAA9"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357 403,00</w:t>
            </w:r>
          </w:p>
        </w:tc>
        <w:tc>
          <w:tcPr>
            <w:tcW w:w="647" w:type="dxa"/>
            <w:tcBorders>
              <w:top w:val="nil"/>
              <w:left w:val="nil"/>
              <w:bottom w:val="single" w:sz="4" w:space="0" w:color="auto"/>
              <w:right w:val="single" w:sz="8" w:space="0" w:color="auto"/>
            </w:tcBorders>
            <w:shd w:val="clear" w:color="auto" w:fill="auto"/>
            <w:noWrap/>
            <w:vAlign w:val="bottom"/>
            <w:hideMark/>
          </w:tcPr>
          <w:p w14:paraId="01C1B3BA" w14:textId="77777777" w:rsidR="00B85262" w:rsidRPr="005C2A52" w:rsidRDefault="00B85262" w:rsidP="00B85262">
            <w:pPr>
              <w:spacing w:after="0" w:line="240" w:lineRule="auto"/>
              <w:jc w:val="right"/>
              <w:rPr>
                <w:rFonts w:eastAsia="Times New Roman" w:cstheme="minorHAnsi"/>
                <w:sz w:val="20"/>
                <w:szCs w:val="20"/>
                <w:lang w:eastAsia="cs-CZ"/>
              </w:rPr>
            </w:pPr>
            <w:r w:rsidRPr="005C2A52">
              <w:rPr>
                <w:rFonts w:eastAsia="Times New Roman" w:cstheme="minorHAnsi"/>
                <w:sz w:val="20"/>
                <w:szCs w:val="20"/>
                <w:lang w:eastAsia="cs-CZ"/>
              </w:rPr>
              <w:t>74,7</w:t>
            </w:r>
          </w:p>
        </w:tc>
      </w:tr>
      <w:tr w:rsidR="00B85262" w:rsidRPr="00B85262" w14:paraId="79FE513F" w14:textId="77777777" w:rsidTr="00236060">
        <w:trPr>
          <w:trHeight w:val="300"/>
        </w:trPr>
        <w:tc>
          <w:tcPr>
            <w:tcW w:w="941"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F4A7F7A" w14:textId="77777777" w:rsidR="00B85262" w:rsidRPr="00B85262" w:rsidRDefault="00B85262" w:rsidP="00B85262">
            <w:pPr>
              <w:spacing w:after="0" w:line="240" w:lineRule="auto"/>
              <w:jc w:val="center"/>
              <w:rPr>
                <w:rFonts w:ascii="Calibri" w:eastAsia="Times New Roman" w:hAnsi="Calibri" w:cs="Calibri"/>
                <w:lang w:eastAsia="cs-CZ"/>
              </w:rPr>
            </w:pPr>
            <w:r w:rsidRPr="00B85262">
              <w:rPr>
                <w:rFonts w:ascii="Calibri" w:eastAsia="Times New Roman" w:hAnsi="Calibri" w:cs="Calibri"/>
                <w:lang w:eastAsia="cs-CZ"/>
              </w:rPr>
              <w:t> </w:t>
            </w:r>
          </w:p>
        </w:tc>
        <w:tc>
          <w:tcPr>
            <w:tcW w:w="4440" w:type="dxa"/>
            <w:tcBorders>
              <w:top w:val="single" w:sz="8" w:space="0" w:color="auto"/>
              <w:left w:val="nil"/>
              <w:bottom w:val="single" w:sz="8" w:space="0" w:color="auto"/>
              <w:right w:val="single" w:sz="4" w:space="0" w:color="auto"/>
            </w:tcBorders>
            <w:shd w:val="clear" w:color="auto" w:fill="auto"/>
            <w:noWrap/>
            <w:vAlign w:val="bottom"/>
            <w:hideMark/>
          </w:tcPr>
          <w:p w14:paraId="18096562" w14:textId="77777777" w:rsidR="00B85262" w:rsidRPr="00B85262" w:rsidRDefault="00B85262" w:rsidP="00B85262">
            <w:pPr>
              <w:spacing w:after="0" w:line="240" w:lineRule="auto"/>
              <w:rPr>
                <w:rFonts w:ascii="Calibri" w:eastAsia="Times New Roman" w:hAnsi="Calibri" w:cs="Calibri"/>
                <w:b/>
                <w:bCs/>
                <w:lang w:eastAsia="cs-CZ"/>
              </w:rPr>
            </w:pPr>
            <w:r w:rsidRPr="00B85262">
              <w:rPr>
                <w:rFonts w:ascii="Calibri" w:eastAsia="Times New Roman" w:hAnsi="Calibri" w:cs="Calibri"/>
                <w:b/>
                <w:bCs/>
                <w:lang w:eastAsia="cs-CZ"/>
              </w:rPr>
              <w:t>Celkem</w:t>
            </w:r>
          </w:p>
        </w:tc>
        <w:tc>
          <w:tcPr>
            <w:tcW w:w="1169" w:type="dxa"/>
            <w:tcBorders>
              <w:top w:val="single" w:sz="8" w:space="0" w:color="auto"/>
              <w:left w:val="nil"/>
              <w:bottom w:val="single" w:sz="8" w:space="0" w:color="auto"/>
              <w:right w:val="single" w:sz="4" w:space="0" w:color="auto"/>
            </w:tcBorders>
            <w:shd w:val="clear" w:color="auto" w:fill="auto"/>
            <w:noWrap/>
            <w:vAlign w:val="bottom"/>
            <w:hideMark/>
          </w:tcPr>
          <w:p w14:paraId="3B831008"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0</w:t>
            </w:r>
          </w:p>
        </w:tc>
        <w:tc>
          <w:tcPr>
            <w:tcW w:w="1440" w:type="dxa"/>
            <w:tcBorders>
              <w:top w:val="single" w:sz="8" w:space="0" w:color="auto"/>
              <w:left w:val="nil"/>
              <w:bottom w:val="single" w:sz="8" w:space="0" w:color="auto"/>
              <w:right w:val="single" w:sz="4" w:space="0" w:color="auto"/>
            </w:tcBorders>
            <w:shd w:val="clear" w:color="auto" w:fill="auto"/>
            <w:noWrap/>
            <w:vAlign w:val="bottom"/>
            <w:hideMark/>
          </w:tcPr>
          <w:p w14:paraId="2E0ADBEC"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8 669 743,00</w:t>
            </w:r>
          </w:p>
        </w:tc>
        <w:tc>
          <w:tcPr>
            <w:tcW w:w="1508" w:type="dxa"/>
            <w:tcBorders>
              <w:top w:val="single" w:sz="8" w:space="0" w:color="auto"/>
              <w:left w:val="nil"/>
              <w:bottom w:val="single" w:sz="8" w:space="0" w:color="auto"/>
              <w:right w:val="single" w:sz="4" w:space="0" w:color="auto"/>
            </w:tcBorders>
            <w:shd w:val="clear" w:color="auto" w:fill="auto"/>
            <w:noWrap/>
            <w:vAlign w:val="bottom"/>
            <w:hideMark/>
          </w:tcPr>
          <w:p w14:paraId="71A3BE7A"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8 184 656,46</w:t>
            </w:r>
          </w:p>
        </w:tc>
        <w:tc>
          <w:tcPr>
            <w:tcW w:w="647" w:type="dxa"/>
            <w:tcBorders>
              <w:top w:val="single" w:sz="8" w:space="0" w:color="auto"/>
              <w:left w:val="nil"/>
              <w:bottom w:val="single" w:sz="8" w:space="0" w:color="auto"/>
              <w:right w:val="single" w:sz="8" w:space="0" w:color="auto"/>
            </w:tcBorders>
            <w:shd w:val="clear" w:color="auto" w:fill="auto"/>
            <w:noWrap/>
            <w:vAlign w:val="bottom"/>
            <w:hideMark/>
          </w:tcPr>
          <w:p w14:paraId="31CF550B"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94,4</w:t>
            </w:r>
          </w:p>
        </w:tc>
      </w:tr>
      <w:tr w:rsidR="00B85262" w:rsidRPr="00B85262" w14:paraId="20C02ED8" w14:textId="77777777" w:rsidTr="00236060">
        <w:trPr>
          <w:trHeight w:val="360"/>
        </w:trPr>
        <w:tc>
          <w:tcPr>
            <w:tcW w:w="941" w:type="dxa"/>
            <w:tcBorders>
              <w:top w:val="nil"/>
              <w:left w:val="nil"/>
              <w:bottom w:val="nil"/>
              <w:right w:val="nil"/>
            </w:tcBorders>
            <w:shd w:val="clear" w:color="auto" w:fill="auto"/>
            <w:noWrap/>
            <w:vAlign w:val="center"/>
            <w:hideMark/>
          </w:tcPr>
          <w:p w14:paraId="2C7FDE51" w14:textId="77777777" w:rsidR="00B85262" w:rsidRPr="00B85262" w:rsidRDefault="00B85262" w:rsidP="00B85262">
            <w:pPr>
              <w:spacing w:after="0" w:line="240" w:lineRule="auto"/>
              <w:jc w:val="right"/>
              <w:rPr>
                <w:rFonts w:ascii="Calibri" w:eastAsia="Times New Roman" w:hAnsi="Calibri" w:cs="Calibri"/>
                <w:b/>
                <w:bCs/>
                <w:lang w:eastAsia="cs-CZ"/>
              </w:rPr>
            </w:pPr>
          </w:p>
        </w:tc>
        <w:tc>
          <w:tcPr>
            <w:tcW w:w="4440" w:type="dxa"/>
            <w:tcBorders>
              <w:top w:val="nil"/>
              <w:left w:val="nil"/>
              <w:bottom w:val="nil"/>
              <w:right w:val="nil"/>
            </w:tcBorders>
            <w:shd w:val="clear" w:color="auto" w:fill="auto"/>
            <w:noWrap/>
            <w:vAlign w:val="center"/>
            <w:hideMark/>
          </w:tcPr>
          <w:p w14:paraId="408089CA" w14:textId="77777777" w:rsidR="00B85262" w:rsidRPr="00B85262" w:rsidRDefault="00B85262" w:rsidP="00B85262">
            <w:pPr>
              <w:spacing w:after="0" w:line="240" w:lineRule="auto"/>
              <w:jc w:val="center"/>
              <w:rPr>
                <w:rFonts w:ascii="Times New Roman" w:eastAsia="Times New Roman" w:hAnsi="Times New Roman" w:cs="Times New Roman"/>
                <w:sz w:val="20"/>
                <w:szCs w:val="20"/>
                <w:lang w:eastAsia="cs-CZ"/>
              </w:rPr>
            </w:pPr>
          </w:p>
        </w:tc>
        <w:tc>
          <w:tcPr>
            <w:tcW w:w="1169" w:type="dxa"/>
            <w:tcBorders>
              <w:top w:val="nil"/>
              <w:left w:val="nil"/>
              <w:bottom w:val="nil"/>
              <w:right w:val="nil"/>
            </w:tcBorders>
            <w:shd w:val="clear" w:color="auto" w:fill="auto"/>
            <w:noWrap/>
            <w:vAlign w:val="center"/>
            <w:hideMark/>
          </w:tcPr>
          <w:p w14:paraId="1E32E559" w14:textId="77777777" w:rsidR="00B85262" w:rsidRPr="00B85262" w:rsidRDefault="00B85262" w:rsidP="00B85262">
            <w:pPr>
              <w:spacing w:after="0" w:line="240" w:lineRule="auto"/>
              <w:rPr>
                <w:rFonts w:ascii="Times New Roman" w:eastAsia="Times New Roman" w:hAnsi="Times New Roman" w:cs="Times New Roman"/>
                <w:sz w:val="20"/>
                <w:szCs w:val="20"/>
                <w:lang w:eastAsia="cs-CZ"/>
              </w:rPr>
            </w:pPr>
          </w:p>
        </w:tc>
        <w:tc>
          <w:tcPr>
            <w:tcW w:w="1440" w:type="dxa"/>
            <w:tcBorders>
              <w:top w:val="nil"/>
              <w:left w:val="nil"/>
              <w:bottom w:val="nil"/>
              <w:right w:val="nil"/>
            </w:tcBorders>
            <w:shd w:val="clear" w:color="auto" w:fill="auto"/>
            <w:noWrap/>
            <w:vAlign w:val="center"/>
            <w:hideMark/>
          </w:tcPr>
          <w:p w14:paraId="21954E71" w14:textId="77777777" w:rsidR="00B85262" w:rsidRPr="00B85262" w:rsidRDefault="00B85262" w:rsidP="00B85262">
            <w:pPr>
              <w:spacing w:after="0" w:line="240" w:lineRule="auto"/>
              <w:jc w:val="right"/>
              <w:rPr>
                <w:rFonts w:ascii="Times New Roman" w:eastAsia="Times New Roman" w:hAnsi="Times New Roman" w:cs="Times New Roman"/>
                <w:sz w:val="20"/>
                <w:szCs w:val="20"/>
                <w:lang w:eastAsia="cs-CZ"/>
              </w:rPr>
            </w:pPr>
          </w:p>
        </w:tc>
        <w:tc>
          <w:tcPr>
            <w:tcW w:w="1508" w:type="dxa"/>
            <w:tcBorders>
              <w:top w:val="nil"/>
              <w:left w:val="nil"/>
              <w:bottom w:val="nil"/>
              <w:right w:val="nil"/>
            </w:tcBorders>
            <w:shd w:val="clear" w:color="auto" w:fill="auto"/>
            <w:noWrap/>
            <w:vAlign w:val="center"/>
            <w:hideMark/>
          </w:tcPr>
          <w:p w14:paraId="77EF06FC" w14:textId="77777777" w:rsidR="00B85262" w:rsidRPr="00B85262" w:rsidRDefault="00B85262" w:rsidP="00B85262">
            <w:pPr>
              <w:spacing w:after="0" w:line="240" w:lineRule="auto"/>
              <w:jc w:val="right"/>
              <w:rPr>
                <w:rFonts w:ascii="Times New Roman" w:eastAsia="Times New Roman" w:hAnsi="Times New Roman" w:cs="Times New Roman"/>
                <w:sz w:val="20"/>
                <w:szCs w:val="20"/>
                <w:lang w:eastAsia="cs-CZ"/>
              </w:rPr>
            </w:pPr>
          </w:p>
        </w:tc>
        <w:tc>
          <w:tcPr>
            <w:tcW w:w="647" w:type="dxa"/>
            <w:tcBorders>
              <w:top w:val="nil"/>
              <w:left w:val="nil"/>
              <w:bottom w:val="nil"/>
              <w:right w:val="nil"/>
            </w:tcBorders>
            <w:shd w:val="clear" w:color="auto" w:fill="auto"/>
            <w:noWrap/>
            <w:vAlign w:val="bottom"/>
            <w:hideMark/>
          </w:tcPr>
          <w:p w14:paraId="27EBEBC2" w14:textId="77777777" w:rsidR="00B85262" w:rsidRPr="00B85262" w:rsidRDefault="00B85262" w:rsidP="00B85262">
            <w:pPr>
              <w:spacing w:after="0" w:line="240" w:lineRule="auto"/>
              <w:jc w:val="right"/>
              <w:rPr>
                <w:rFonts w:ascii="Times New Roman" w:eastAsia="Times New Roman" w:hAnsi="Times New Roman" w:cs="Times New Roman"/>
                <w:sz w:val="20"/>
                <w:szCs w:val="20"/>
                <w:lang w:eastAsia="cs-CZ"/>
              </w:rPr>
            </w:pPr>
          </w:p>
        </w:tc>
      </w:tr>
      <w:tr w:rsidR="00B85262" w:rsidRPr="00B85262" w14:paraId="1613F877" w14:textId="77777777" w:rsidTr="00236060">
        <w:trPr>
          <w:trHeight w:val="330"/>
        </w:trPr>
        <w:tc>
          <w:tcPr>
            <w:tcW w:w="5381"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07D1E53F" w14:textId="77777777" w:rsidR="00B85262" w:rsidRPr="00B85262" w:rsidRDefault="00B85262" w:rsidP="00B85262">
            <w:pPr>
              <w:spacing w:after="0" w:line="240" w:lineRule="auto"/>
              <w:rPr>
                <w:rFonts w:ascii="Calibri" w:eastAsia="Times New Roman" w:hAnsi="Calibri" w:cs="Calibri"/>
                <w:b/>
                <w:bCs/>
                <w:sz w:val="24"/>
                <w:szCs w:val="24"/>
                <w:lang w:eastAsia="cs-CZ"/>
              </w:rPr>
            </w:pPr>
            <w:r w:rsidRPr="00B85262">
              <w:rPr>
                <w:rFonts w:ascii="Calibri" w:eastAsia="Times New Roman" w:hAnsi="Calibri" w:cs="Calibri"/>
                <w:b/>
                <w:bCs/>
                <w:sz w:val="24"/>
                <w:szCs w:val="24"/>
                <w:lang w:eastAsia="cs-CZ"/>
              </w:rPr>
              <w:t>Celkem výdaje</w:t>
            </w:r>
          </w:p>
        </w:tc>
        <w:tc>
          <w:tcPr>
            <w:tcW w:w="1169" w:type="dxa"/>
            <w:tcBorders>
              <w:top w:val="single" w:sz="8" w:space="0" w:color="auto"/>
              <w:left w:val="nil"/>
              <w:bottom w:val="single" w:sz="8" w:space="0" w:color="auto"/>
              <w:right w:val="single" w:sz="8" w:space="0" w:color="auto"/>
            </w:tcBorders>
            <w:shd w:val="clear" w:color="auto" w:fill="auto"/>
            <w:noWrap/>
            <w:vAlign w:val="bottom"/>
            <w:hideMark/>
          </w:tcPr>
          <w:p w14:paraId="1A544E06"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10 541 000</w:t>
            </w:r>
          </w:p>
        </w:tc>
        <w:tc>
          <w:tcPr>
            <w:tcW w:w="1440" w:type="dxa"/>
            <w:tcBorders>
              <w:top w:val="single" w:sz="8" w:space="0" w:color="auto"/>
              <w:left w:val="nil"/>
              <w:bottom w:val="single" w:sz="8" w:space="0" w:color="auto"/>
              <w:right w:val="single" w:sz="8" w:space="0" w:color="auto"/>
            </w:tcBorders>
            <w:shd w:val="clear" w:color="auto" w:fill="auto"/>
            <w:noWrap/>
            <w:vAlign w:val="bottom"/>
            <w:hideMark/>
          </w:tcPr>
          <w:p w14:paraId="2F41EF22"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96 949 541,03</w:t>
            </w:r>
          </w:p>
        </w:tc>
        <w:tc>
          <w:tcPr>
            <w:tcW w:w="1508" w:type="dxa"/>
            <w:tcBorders>
              <w:top w:val="single" w:sz="8" w:space="0" w:color="auto"/>
              <w:left w:val="nil"/>
              <w:bottom w:val="single" w:sz="8" w:space="0" w:color="auto"/>
              <w:right w:val="single" w:sz="8" w:space="0" w:color="auto"/>
            </w:tcBorders>
            <w:shd w:val="clear" w:color="auto" w:fill="auto"/>
            <w:noWrap/>
            <w:vAlign w:val="bottom"/>
            <w:hideMark/>
          </w:tcPr>
          <w:p w14:paraId="0F7FB29D"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70 025 685,28</w:t>
            </w:r>
          </w:p>
        </w:tc>
        <w:tc>
          <w:tcPr>
            <w:tcW w:w="647"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14:paraId="30F3DA8C" w14:textId="77777777" w:rsidR="00B85262" w:rsidRPr="00B85262" w:rsidRDefault="00B85262" w:rsidP="00B85262">
            <w:pPr>
              <w:spacing w:after="0" w:line="240" w:lineRule="auto"/>
              <w:jc w:val="right"/>
              <w:rPr>
                <w:rFonts w:ascii="Calibri" w:eastAsia="Times New Roman" w:hAnsi="Calibri" w:cs="Calibri"/>
                <w:b/>
                <w:bCs/>
                <w:lang w:eastAsia="cs-CZ"/>
              </w:rPr>
            </w:pPr>
            <w:r w:rsidRPr="00B85262">
              <w:rPr>
                <w:rFonts w:ascii="Calibri" w:eastAsia="Times New Roman" w:hAnsi="Calibri" w:cs="Calibri"/>
                <w:b/>
                <w:bCs/>
                <w:lang w:eastAsia="cs-CZ"/>
              </w:rPr>
              <w:t>72,2</w:t>
            </w:r>
          </w:p>
        </w:tc>
      </w:tr>
    </w:tbl>
    <w:p w14:paraId="759D9187" w14:textId="77777777" w:rsidR="00B85262" w:rsidRDefault="00B85262" w:rsidP="0013179B">
      <w:pPr>
        <w:rPr>
          <w:rFonts w:cs="Calibri"/>
        </w:rPr>
      </w:pPr>
    </w:p>
    <w:p w14:paraId="33F7CB41" w14:textId="2C2CC07A" w:rsidR="005C03E7" w:rsidRDefault="005C03E7" w:rsidP="0013179B">
      <w:pPr>
        <w:rPr>
          <w:rFonts w:cs="Calibri"/>
        </w:rPr>
      </w:pPr>
    </w:p>
    <w:p w14:paraId="4BE0E036" w14:textId="0D0653EF" w:rsidR="000951D6" w:rsidRDefault="000951D6" w:rsidP="0013179B">
      <w:pPr>
        <w:rPr>
          <w:rFonts w:cs="Calibri"/>
        </w:rPr>
      </w:pPr>
    </w:p>
    <w:p w14:paraId="46CEA2E8" w14:textId="004C8922" w:rsidR="000951D6" w:rsidRDefault="000951D6" w:rsidP="0013179B">
      <w:pPr>
        <w:rPr>
          <w:rFonts w:cs="Calibri"/>
        </w:rPr>
      </w:pPr>
    </w:p>
    <w:p w14:paraId="13359194" w14:textId="091EA566" w:rsidR="000951D6" w:rsidRDefault="000951D6" w:rsidP="0013179B">
      <w:pPr>
        <w:rPr>
          <w:rFonts w:cs="Calibri"/>
        </w:rPr>
      </w:pPr>
    </w:p>
    <w:p w14:paraId="77BBF899" w14:textId="013D00F9" w:rsidR="000951D6" w:rsidRDefault="000951D6" w:rsidP="0013179B">
      <w:pPr>
        <w:rPr>
          <w:rFonts w:cs="Calibri"/>
        </w:rPr>
      </w:pPr>
    </w:p>
    <w:p w14:paraId="1C5B1206" w14:textId="6CCF212E" w:rsidR="000951D6" w:rsidRDefault="000951D6" w:rsidP="0013179B">
      <w:pPr>
        <w:rPr>
          <w:rFonts w:cs="Calibri"/>
        </w:rPr>
      </w:pPr>
    </w:p>
    <w:p w14:paraId="6138E578" w14:textId="5EC829A6" w:rsidR="000951D6" w:rsidRDefault="000951D6" w:rsidP="0013179B">
      <w:pPr>
        <w:rPr>
          <w:rFonts w:cs="Calibri"/>
        </w:rPr>
      </w:pPr>
    </w:p>
    <w:p w14:paraId="3FF2A537" w14:textId="5AB8F5A3" w:rsidR="000951D6" w:rsidRDefault="000951D6" w:rsidP="0013179B">
      <w:pPr>
        <w:rPr>
          <w:rFonts w:cs="Calibri"/>
        </w:rPr>
      </w:pPr>
    </w:p>
    <w:p w14:paraId="04B45313" w14:textId="14E39FC0" w:rsidR="000951D6" w:rsidRDefault="000951D6" w:rsidP="0013179B">
      <w:pPr>
        <w:rPr>
          <w:rFonts w:cs="Calibri"/>
        </w:rPr>
      </w:pPr>
    </w:p>
    <w:p w14:paraId="7B7443CA" w14:textId="3659A1AE" w:rsidR="000951D6" w:rsidRDefault="000951D6" w:rsidP="0013179B">
      <w:pPr>
        <w:rPr>
          <w:rFonts w:cs="Calibri"/>
        </w:rPr>
      </w:pPr>
    </w:p>
    <w:p w14:paraId="279C6F72" w14:textId="376C3D15" w:rsidR="000951D6" w:rsidRDefault="000951D6" w:rsidP="0013179B">
      <w:pPr>
        <w:rPr>
          <w:rFonts w:cs="Calibri"/>
        </w:rPr>
      </w:pPr>
    </w:p>
    <w:p w14:paraId="4E703235" w14:textId="41430474" w:rsidR="000951D6" w:rsidRDefault="000951D6" w:rsidP="0013179B">
      <w:pPr>
        <w:rPr>
          <w:rFonts w:cs="Calibri"/>
        </w:rPr>
      </w:pPr>
    </w:p>
    <w:p w14:paraId="430EB0E1" w14:textId="25A4804E" w:rsidR="000951D6" w:rsidRDefault="000951D6" w:rsidP="0013179B">
      <w:pPr>
        <w:rPr>
          <w:rFonts w:cs="Calibri"/>
        </w:rPr>
      </w:pPr>
    </w:p>
    <w:p w14:paraId="32DAFEA3" w14:textId="166785F0" w:rsidR="000951D6" w:rsidRDefault="000951D6" w:rsidP="0013179B">
      <w:pPr>
        <w:rPr>
          <w:rFonts w:cs="Calibri"/>
        </w:rPr>
      </w:pPr>
    </w:p>
    <w:p w14:paraId="1C8A100C" w14:textId="77965740" w:rsidR="000951D6" w:rsidRDefault="000951D6" w:rsidP="0013179B">
      <w:pPr>
        <w:rPr>
          <w:rFonts w:cs="Calibri"/>
        </w:rPr>
      </w:pPr>
    </w:p>
    <w:p w14:paraId="5D9E299C" w14:textId="17AF2D27" w:rsidR="000951D6" w:rsidRDefault="000951D6" w:rsidP="0013179B">
      <w:pPr>
        <w:rPr>
          <w:rFonts w:cs="Calibri"/>
        </w:rPr>
      </w:pPr>
    </w:p>
    <w:p w14:paraId="3663DEBA" w14:textId="306449D5" w:rsidR="000951D6" w:rsidRDefault="000951D6" w:rsidP="0013179B">
      <w:pPr>
        <w:rPr>
          <w:rFonts w:cs="Calibri"/>
        </w:rPr>
      </w:pPr>
    </w:p>
    <w:p w14:paraId="12713611" w14:textId="1C33DACF" w:rsidR="000951D6" w:rsidRDefault="000951D6" w:rsidP="0013179B">
      <w:pPr>
        <w:rPr>
          <w:rFonts w:cs="Calibri"/>
        </w:rPr>
      </w:pPr>
    </w:p>
    <w:p w14:paraId="0C5DE642" w14:textId="09572827" w:rsidR="000951D6" w:rsidRDefault="000951D6" w:rsidP="0013179B">
      <w:pPr>
        <w:rPr>
          <w:rFonts w:cs="Calibri"/>
        </w:rPr>
      </w:pPr>
    </w:p>
    <w:p w14:paraId="6FAC2027" w14:textId="395A7D04" w:rsidR="000951D6" w:rsidRDefault="000951D6" w:rsidP="0013179B">
      <w:pPr>
        <w:rPr>
          <w:rFonts w:cs="Calibri"/>
        </w:rPr>
      </w:pPr>
    </w:p>
    <w:p w14:paraId="5F7ADE3D" w14:textId="07ACB78F" w:rsidR="000951D6" w:rsidRDefault="000951D6" w:rsidP="0013179B">
      <w:pPr>
        <w:rPr>
          <w:rFonts w:cs="Calibri"/>
        </w:rPr>
      </w:pPr>
    </w:p>
    <w:p w14:paraId="080AA3EC" w14:textId="1B3F4657" w:rsidR="000951D6" w:rsidRDefault="000951D6" w:rsidP="0013179B">
      <w:pPr>
        <w:rPr>
          <w:rFonts w:cs="Calibri"/>
        </w:rPr>
      </w:pPr>
    </w:p>
    <w:p w14:paraId="657A3485" w14:textId="1C3DC602" w:rsidR="000951D6" w:rsidRDefault="000951D6" w:rsidP="0013179B">
      <w:pPr>
        <w:rPr>
          <w:rFonts w:cs="Calibri"/>
        </w:rPr>
      </w:pPr>
    </w:p>
    <w:p w14:paraId="08E1FF97" w14:textId="6116F48F" w:rsidR="000951D6" w:rsidRDefault="000951D6" w:rsidP="0013179B">
      <w:pPr>
        <w:rPr>
          <w:rFonts w:cs="Calibri"/>
        </w:rPr>
      </w:pPr>
    </w:p>
    <w:p w14:paraId="48B0EE56" w14:textId="77777777" w:rsidR="000951D6" w:rsidRDefault="000951D6" w:rsidP="0013179B">
      <w:pPr>
        <w:rPr>
          <w:rFonts w:cs="Calibri"/>
        </w:rPr>
      </w:pPr>
    </w:p>
    <w:p w14:paraId="0082A7FC" w14:textId="77777777" w:rsidR="000B380F" w:rsidRPr="00712C89" w:rsidRDefault="000B380F" w:rsidP="002448A9">
      <w:pPr>
        <w:spacing w:after="0"/>
        <w:jc w:val="center"/>
        <w:rPr>
          <w:b/>
          <w:sz w:val="32"/>
          <w:szCs w:val="32"/>
          <w:u w:val="single"/>
        </w:rPr>
      </w:pPr>
    </w:p>
    <w:p w14:paraId="2F730F11" w14:textId="77777777" w:rsidR="000B380F" w:rsidRPr="00712C89" w:rsidRDefault="000B380F" w:rsidP="002448A9">
      <w:pPr>
        <w:spacing w:after="0"/>
        <w:jc w:val="both"/>
      </w:pPr>
      <w:r w:rsidRPr="00712C89">
        <w:rPr>
          <w:b/>
          <w:sz w:val="28"/>
          <w:szCs w:val="28"/>
          <w:u w:val="single"/>
        </w:rPr>
        <w:t>Kapitola 25 – Bezpečnost a prevence</w:t>
      </w:r>
    </w:p>
    <w:p w14:paraId="6C15D292" w14:textId="77777777" w:rsidR="000B380F" w:rsidRPr="00712C89" w:rsidRDefault="000B380F" w:rsidP="002448A9">
      <w:pPr>
        <w:spacing w:after="0"/>
        <w:jc w:val="both"/>
      </w:pPr>
    </w:p>
    <w:p w14:paraId="1C3C16C0" w14:textId="77777777" w:rsidR="000B380F" w:rsidRPr="00712C89" w:rsidRDefault="000B380F" w:rsidP="002448A9">
      <w:pPr>
        <w:spacing w:after="0"/>
        <w:jc w:val="both"/>
        <w:rPr>
          <w:sz w:val="18"/>
          <w:szCs w:val="18"/>
        </w:rPr>
      </w:pPr>
      <w:r w:rsidRPr="00712C89">
        <w:tab/>
      </w:r>
    </w:p>
    <w:p w14:paraId="48418E9A" w14:textId="77777777" w:rsidR="000B380F" w:rsidRPr="00ED72FA" w:rsidRDefault="000B380F" w:rsidP="00327C00">
      <w:pPr>
        <w:spacing w:after="0" w:line="240" w:lineRule="auto"/>
        <w:jc w:val="both"/>
        <w:rPr>
          <w:b/>
          <w:sz w:val="28"/>
          <w:szCs w:val="28"/>
          <w:u w:val="single"/>
        </w:rPr>
      </w:pPr>
      <w:r w:rsidRPr="00ED72FA">
        <w:rPr>
          <w:b/>
          <w:sz w:val="28"/>
          <w:szCs w:val="28"/>
          <w:u w:val="single"/>
        </w:rPr>
        <w:t>Běžné výdaje</w:t>
      </w:r>
    </w:p>
    <w:p w14:paraId="16089565" w14:textId="77777777" w:rsidR="000B380F" w:rsidRDefault="000B380F" w:rsidP="00327C00">
      <w:pPr>
        <w:spacing w:after="0" w:line="240" w:lineRule="auto"/>
        <w:jc w:val="both"/>
        <w:rPr>
          <w:b/>
        </w:rPr>
      </w:pPr>
    </w:p>
    <w:p w14:paraId="6258094C" w14:textId="0025DBDB" w:rsidR="000B380F" w:rsidRPr="00ED72FA" w:rsidRDefault="000B380F" w:rsidP="00327C00">
      <w:pPr>
        <w:spacing w:after="0" w:line="240" w:lineRule="auto"/>
        <w:jc w:val="both"/>
        <w:rPr>
          <w:b/>
        </w:rPr>
      </w:pPr>
      <w:bookmarkStart w:id="65" w:name="_Hlk98934970"/>
      <w:r w:rsidRPr="00ED72FA">
        <w:rPr>
          <w:b/>
        </w:rPr>
        <w:t>§ 3299 –</w:t>
      </w:r>
      <w:r w:rsidR="009D361C">
        <w:rPr>
          <w:b/>
        </w:rPr>
        <w:t xml:space="preserve"> Prevence kriminality</w:t>
      </w:r>
    </w:p>
    <w:p w14:paraId="3F20785A" w14:textId="77777777" w:rsidR="00073712" w:rsidRDefault="000B380F" w:rsidP="00327C00">
      <w:pPr>
        <w:autoSpaceDE w:val="0"/>
        <w:autoSpaceDN w:val="0"/>
        <w:spacing w:after="0" w:line="240" w:lineRule="auto"/>
        <w:jc w:val="both"/>
        <w:rPr>
          <w:rFonts w:ascii="Times New Roman" w:hAnsi="Times New Roman" w:cs="Times New Roman"/>
          <w:sz w:val="24"/>
          <w:szCs w:val="24"/>
          <w:lang w:eastAsia="cs-CZ"/>
        </w:rPr>
      </w:pPr>
      <w:r w:rsidRPr="00696A75">
        <w:t xml:space="preserve">Usnesením č. 063-24/2021/RK ze dne 3. 6. 2021 byly finanční prostředky ve výši 60 000,00 Kč převedeny do kapitoly 05 – Školství za účelem financování odměn pro tři vítězné střední školy zřizované Středočeským krajem, které se zúčastnily soutěže v rámci projektu „Kraje pro bezpečný internet“. </w:t>
      </w:r>
      <w:r w:rsidRPr="00631F79">
        <w:t>Upravený rozpočet byl navýšen o 50 000,00 Kč ze zůstatku hospodaření Středočeského kraje za rok 2020 na základě usnesení č. 007-06/2021/ZK ze dne 26. 4. 2021 za účelem provedení penetračního testu a tvorbu podkladů pro zákrokové karty.</w:t>
      </w:r>
      <w:r w:rsidRPr="00696A75">
        <w:t xml:space="preserve"> </w:t>
      </w:r>
      <w:r w:rsidRPr="009D7814">
        <w:t xml:space="preserve">Na základě usnesení č. 004-41/2021/RK ze dne 4. 11. 2021, rozpočtovou úpravou č. 611/25/2021 byl rozpočet navýšen o 400 000,00 Kč převodem z § 4349 na dofinancování individuálních účelových neinvestičních dotací. Rozpočet byl snížen o 100 000,00 Kč převodem finančních prostředků z § 3299 do § 4339 na základě rozpočtové úpravy č. 761/25/2021 na individuální dotaci na podporu Centra rodinného poradenství v Nymburce. Usnesením č. 091-42/2021/RK ze dne 11. 11. 2021, rozpočtovou úpravou č. 644/25/2021 byl rozpočet snížen o 150 000,00 Kč převodem z § 3299 do § 3541 na organizační zajištění 12. Adiktologické konference. </w:t>
      </w:r>
      <w:r w:rsidR="00AF66A1" w:rsidRPr="0098128C">
        <w:t>Finanční prostředky ve výši 1 250,00 Kč byly použity na členský příspěvek do Asociace bezpečná škola, z.s. vyplývající z přihlášky v souladu s usnesením č. 007-15/2017/RK ze dne 27. 4. 2017</w:t>
      </w:r>
      <w:r w:rsidR="00AF66A1">
        <w:t xml:space="preserve"> (rozpočtová úprava č. 070/25/2021).</w:t>
      </w:r>
      <w:r w:rsidR="00AF66A1" w:rsidRPr="0098128C">
        <w:t xml:space="preserve"> </w:t>
      </w:r>
      <w:r w:rsidR="00AF66A1">
        <w:t>F</w:t>
      </w:r>
      <w:r w:rsidRPr="009D7814">
        <w:t>inanční prostředky ve výši 50 000,00 Kč byly použity na poskytnutí individuální účelové dotace na realizaci projektu Kraje pro bezpečný internet pro Kraj Vysočina (usnesení č. 123-47/2021/RK ze dne 16. 12. 2021). Finanční prostředky byly také použity na projekt prevence kriminality „Kraje pro bezpečný internet – Preventivně informační videospoty Nové trendy v kyberkriminalitě“ týkající se elektronické bezpečnosti v celkové výši 65</w:t>
      </w:r>
      <w:r w:rsidRPr="007F0C36">
        <w:t> 000,00 Kč. Jednalo se o povinnou spoluúčast z celkově vynaložených prostředků (spoluúčast 1</w:t>
      </w:r>
      <w:r>
        <w:t>4</w:t>
      </w:r>
      <w:r w:rsidRPr="007F0C36">
        <w:t>,</w:t>
      </w:r>
      <w:r>
        <w:t>6</w:t>
      </w:r>
      <w:r w:rsidRPr="007F0C36">
        <w:t xml:space="preserve"> %). Akce spolufinancována z národních zdrojů Ministerstva vnitra ČR</w:t>
      </w:r>
      <w:r w:rsidRPr="00073712">
        <w:t xml:space="preserve">. </w:t>
      </w:r>
      <w:r w:rsidR="00073712" w:rsidRPr="00073712">
        <w:t xml:space="preserve"> Dále byla poskytnuta individuální neinvestiční dotace ve výši 300 000,00 Kč společnosti Magdalena, o. p. s. na dofinancování primární prevence.</w:t>
      </w:r>
    </w:p>
    <w:p w14:paraId="7D05762C" w14:textId="0B0E5005" w:rsidR="000B380F" w:rsidRPr="00073712" w:rsidRDefault="000B380F" w:rsidP="00327C00">
      <w:pPr>
        <w:autoSpaceDE w:val="0"/>
        <w:autoSpaceDN w:val="0"/>
        <w:spacing w:after="0" w:line="240" w:lineRule="auto"/>
        <w:jc w:val="both"/>
        <w:rPr>
          <w:rFonts w:ascii="Times New Roman" w:hAnsi="Times New Roman" w:cs="Times New Roman"/>
          <w:sz w:val="24"/>
          <w:szCs w:val="24"/>
          <w:lang w:eastAsia="cs-CZ"/>
        </w:rPr>
      </w:pPr>
      <w:r w:rsidRPr="00696A75">
        <w:t xml:space="preserve">Upravený rozpočet činil 670 000,00 Kč, čerpáno bylo 416 250,00 Kč, což je 62,1 % rozpočtované částky. </w:t>
      </w:r>
    </w:p>
    <w:p w14:paraId="55937882" w14:textId="77777777" w:rsidR="000B380F" w:rsidRDefault="000B380F" w:rsidP="00327C00">
      <w:pPr>
        <w:spacing w:after="0" w:line="240" w:lineRule="auto"/>
        <w:jc w:val="both"/>
      </w:pPr>
    </w:p>
    <w:p w14:paraId="1582FD41" w14:textId="77777777" w:rsidR="000B380F" w:rsidRPr="00954D0A" w:rsidRDefault="000B380F" w:rsidP="00327C00">
      <w:pPr>
        <w:spacing w:after="0" w:line="240" w:lineRule="auto"/>
        <w:jc w:val="both"/>
        <w:rPr>
          <w:b/>
        </w:rPr>
      </w:pPr>
      <w:r w:rsidRPr="00954D0A">
        <w:rPr>
          <w:b/>
        </w:rPr>
        <w:t>§ 3541 – Prevence před drogami, alkoholem, nikotinem a jinými závislostmi</w:t>
      </w:r>
    </w:p>
    <w:p w14:paraId="5D3A5AE9" w14:textId="2ED61DBB" w:rsidR="000B380F" w:rsidRPr="009D7814" w:rsidRDefault="000B380F" w:rsidP="00327C00">
      <w:pPr>
        <w:spacing w:after="0" w:line="240" w:lineRule="auto"/>
        <w:jc w:val="both"/>
      </w:pPr>
      <w:bookmarkStart w:id="66" w:name="_Hlk97200237"/>
      <w:r w:rsidRPr="009D7814">
        <w:t xml:space="preserve">Usnesením č. 063-37/2021/RK ze dne 30. 9. 2021, rozpočtovou úpravou č. 538/25/2021 byl rozpočet navýšen o 100 000,00 Kč převodem z § 6172 do § 3541 na zajištění zpracování a tvorby Koncepce protidrogové politiky Středočeského kraje na léta 2022 – 2027. </w:t>
      </w:r>
      <w:bookmarkEnd w:id="66"/>
      <w:r w:rsidRPr="009D7814">
        <w:t xml:space="preserve">Usnesením č. 004-41/2021/RK ze dne 4. 11. 2021, rozpočtovou úpravou č. 611/25/2021 byl rozpočet navýšen o </w:t>
      </w:r>
      <w:r w:rsidRPr="000951D6">
        <w:t>300 000,00 Kč převodem z § 4349 na dofinancování individuálních účelových neinvestičních dotací. Usnesením č. 091-42/2021/RK ze dne 11. 11. 2021, rozpočtovou úpravou č. 644/25/2021 byl rozpočet navýšen o 150 000,00 Kč převodem z § 3</w:t>
      </w:r>
      <w:r w:rsidR="00DD4A04">
        <w:t>299</w:t>
      </w:r>
      <w:r w:rsidRPr="009D7814">
        <w:t xml:space="preserve"> do § 3</w:t>
      </w:r>
      <w:r w:rsidR="00DD4A04">
        <w:t>541</w:t>
      </w:r>
      <w:r w:rsidRPr="009D7814">
        <w:t xml:space="preserve"> na organizační zajištění 12. Adiktologické konference. </w:t>
      </w:r>
    </w:p>
    <w:p w14:paraId="0205DAC2" w14:textId="77777777" w:rsidR="00DD4A04" w:rsidRDefault="00AF66A1" w:rsidP="00327C00">
      <w:pPr>
        <w:spacing w:after="0" w:line="240" w:lineRule="auto"/>
        <w:jc w:val="both"/>
      </w:pPr>
      <w:r>
        <w:t xml:space="preserve">Finanční prostředky byly použity jako individuální účelová dotace spolku SCAN, z. s. na celostátní konferenci Primární prevence rizikového chování 2021 v celkové výši 50 000,00 Kč na základě usnesení č. 004-18/2021/RK ze dne 22. 4. 2021. </w:t>
      </w:r>
      <w:r w:rsidR="000B380F" w:rsidRPr="00B718D9">
        <w:t>V souladu s uzavřenou objednávkou č.  O-00</w:t>
      </w:r>
      <w:r w:rsidR="000B380F">
        <w:t>20</w:t>
      </w:r>
      <w:r w:rsidR="000B380F" w:rsidRPr="00B718D9">
        <w:t xml:space="preserve">/OBŘ/2021 bylo </w:t>
      </w:r>
      <w:r w:rsidR="000B380F">
        <w:t>1 834,93 Kč</w:t>
      </w:r>
      <w:r w:rsidR="000B380F" w:rsidRPr="00B718D9">
        <w:t xml:space="preserve"> použito </w:t>
      </w:r>
      <w:r w:rsidR="000B380F">
        <w:t xml:space="preserve">na pohoštění na pracovní jednání Komise protidrogové komise, které se konalo dne 8. 11. 2021 (rozpočtová úprava č. 638/25/2021). </w:t>
      </w:r>
      <w:r w:rsidR="00DD4A04" w:rsidRPr="00DD4A04">
        <w:t>Finanční prostředky ve výši 150 000,00 Kč byly použity na organizační zajištění 12. Adiktologické konference. Dále byla poskytnuta individuální neinvestiční dotace v oblasti protidrogové prevence a adiktologických služeb společnosti Magdalena, o. p. s. ve výši 200 000,00 Kč a ústavu Laxus, z. ú. ve výši 100 000,00 Kč.</w:t>
      </w:r>
    </w:p>
    <w:p w14:paraId="0457D0BC" w14:textId="6ED26E80" w:rsidR="000B380F" w:rsidRDefault="000B380F" w:rsidP="00327C00">
      <w:pPr>
        <w:spacing w:after="0" w:line="240" w:lineRule="auto"/>
        <w:jc w:val="both"/>
      </w:pPr>
      <w:r>
        <w:t xml:space="preserve">Upravený rozpočet činil 666 000,00 Kč, čerpáno bylo 501 834,93 Kč, což je 75,4 % rozpočtované částky. </w:t>
      </w:r>
    </w:p>
    <w:p w14:paraId="37EF6848" w14:textId="77777777" w:rsidR="000B380F" w:rsidRDefault="000B380F" w:rsidP="00327C00">
      <w:pPr>
        <w:spacing w:after="0" w:line="240" w:lineRule="auto"/>
        <w:jc w:val="both"/>
      </w:pPr>
    </w:p>
    <w:p w14:paraId="76805D88" w14:textId="77777777" w:rsidR="000B380F" w:rsidRPr="00B61400" w:rsidRDefault="000B380F" w:rsidP="00327C00">
      <w:pPr>
        <w:spacing w:after="0" w:line="240" w:lineRule="auto"/>
        <w:jc w:val="both"/>
        <w:rPr>
          <w:b/>
        </w:rPr>
      </w:pPr>
      <w:r w:rsidRPr="00B61400">
        <w:rPr>
          <w:b/>
        </w:rPr>
        <w:t>§ 43</w:t>
      </w:r>
      <w:r>
        <w:rPr>
          <w:b/>
        </w:rPr>
        <w:t>39</w:t>
      </w:r>
      <w:r w:rsidRPr="00B61400">
        <w:rPr>
          <w:b/>
        </w:rPr>
        <w:t xml:space="preserve"> – Ostatní sociální péče a pomoc </w:t>
      </w:r>
      <w:r>
        <w:rPr>
          <w:b/>
        </w:rPr>
        <w:t>rodině a manželství</w:t>
      </w:r>
      <w:r w:rsidRPr="00B61400">
        <w:rPr>
          <w:b/>
        </w:rPr>
        <w:t xml:space="preserve"> </w:t>
      </w:r>
    </w:p>
    <w:p w14:paraId="35912045" w14:textId="3FDA531C" w:rsidR="000B380F" w:rsidRPr="008D6973" w:rsidRDefault="000B380F" w:rsidP="00327C00">
      <w:pPr>
        <w:spacing w:after="0" w:line="240" w:lineRule="auto"/>
        <w:jc w:val="both"/>
      </w:pPr>
      <w:r w:rsidRPr="008D6973">
        <w:t>Na základě usnesení č. 091-11/2021/ZK ze dne 29. 11. 2021</w:t>
      </w:r>
      <w:r w:rsidRPr="008D6973">
        <w:rPr>
          <w:color w:val="FF0000"/>
        </w:rPr>
        <w:t xml:space="preserve"> </w:t>
      </w:r>
      <w:r w:rsidRPr="008D6973">
        <w:t>byl rozpočet navýšen o 100 000,00 Kč převodem finančních prostředků z § 3299 do § 4339 na základě rozpočtové úpravy č. 761/25/2021 na individuální dotaci na podporu Centra rodinného poradenství v Nymburce.</w:t>
      </w:r>
      <w:r w:rsidR="008D6973" w:rsidRPr="008D6973">
        <w:t xml:space="preserve"> Individuální neinvestiční dotace byla poskytnuta ústavu Semiramis, z. ú.  ve výši 100 000,00 Kč na podporu Centra rodinného poradenství v Nymburce.</w:t>
      </w:r>
    </w:p>
    <w:p w14:paraId="1B8FC645" w14:textId="5E291F7B" w:rsidR="000B380F" w:rsidRDefault="000B380F" w:rsidP="00327C00">
      <w:pPr>
        <w:spacing w:after="0" w:line="240" w:lineRule="auto"/>
        <w:jc w:val="both"/>
      </w:pPr>
      <w:r w:rsidRPr="008D6973">
        <w:t>Upravený rozpočet činil 100 000,00 Kč, čerpáno bylo 100 000,00 Kč, což je 100</w:t>
      </w:r>
      <w:r w:rsidR="005C2A52" w:rsidRPr="008D6973">
        <w:t>,0</w:t>
      </w:r>
      <w:r w:rsidRPr="008D6973">
        <w:t xml:space="preserve"> % rozpočtované částky.</w:t>
      </w:r>
      <w:r>
        <w:t xml:space="preserve"> </w:t>
      </w:r>
    </w:p>
    <w:bookmarkEnd w:id="65"/>
    <w:p w14:paraId="75B5F850" w14:textId="2A0D0251" w:rsidR="000B380F" w:rsidRDefault="000B380F" w:rsidP="00327C00">
      <w:pPr>
        <w:spacing w:after="0" w:line="240" w:lineRule="auto"/>
        <w:jc w:val="both"/>
      </w:pPr>
    </w:p>
    <w:p w14:paraId="61041E8E" w14:textId="77777777" w:rsidR="000B380F" w:rsidRPr="00B61400" w:rsidRDefault="000B380F" w:rsidP="00327C00">
      <w:pPr>
        <w:spacing w:after="0" w:line="240" w:lineRule="auto"/>
        <w:jc w:val="both"/>
        <w:rPr>
          <w:b/>
        </w:rPr>
      </w:pPr>
      <w:r w:rsidRPr="00B61400">
        <w:rPr>
          <w:b/>
        </w:rPr>
        <w:t xml:space="preserve">§ 4349 – Ostatní sociální péče a pomoc ostatním skupinám obyvatelstva </w:t>
      </w:r>
    </w:p>
    <w:p w14:paraId="25ED5B05" w14:textId="77777777" w:rsidR="002E5595" w:rsidRPr="009D7814" w:rsidRDefault="002E5595" w:rsidP="00327C00">
      <w:pPr>
        <w:spacing w:after="0" w:line="240" w:lineRule="auto"/>
        <w:jc w:val="both"/>
      </w:pPr>
      <w:r w:rsidRPr="009D7814">
        <w:t>Na základě usnesení č. 004-41/2021/RK ze dne 4. 11. 2021, rozpočtovou úpravou č. 611/25/2021 byl rozpočet snížen o 700 000,00 Kč převodem z § 4349 do § 3299 a 3541 na dofinancování individuálních účelových neinvestičních dotací.</w:t>
      </w:r>
    </w:p>
    <w:p w14:paraId="76151369" w14:textId="77777777" w:rsidR="000B380F" w:rsidRDefault="000B380F" w:rsidP="00327C00">
      <w:pPr>
        <w:spacing w:after="0" w:line="240" w:lineRule="auto"/>
        <w:jc w:val="both"/>
      </w:pPr>
      <w:r w:rsidRPr="00D204F5">
        <w:t xml:space="preserve">Finanční prostředky byly </w:t>
      </w:r>
      <w:r>
        <w:t>p</w:t>
      </w:r>
      <w:r w:rsidRPr="00D204F5">
        <w:t xml:space="preserve">oužity na projekt prevence kriminality </w:t>
      </w:r>
      <w:r>
        <w:t>„</w:t>
      </w:r>
      <w:r w:rsidRPr="001D75F9">
        <w:t>Podpora prevence kriminality v</w:t>
      </w:r>
      <w:r>
        <w:t> </w:t>
      </w:r>
      <w:r w:rsidRPr="001D75F9">
        <w:t>kraji</w:t>
      </w:r>
      <w:r>
        <w:t xml:space="preserve">“, týkající se </w:t>
      </w:r>
      <w:r w:rsidRPr="00AB118E">
        <w:t>realizaci a zajištění odborného semináře v oblasti prevence kriminality ve Středočeském kraji</w:t>
      </w:r>
      <w:r>
        <w:t xml:space="preserve"> </w:t>
      </w:r>
      <w:r w:rsidRPr="007F0C36">
        <w:t xml:space="preserve">v celkové výši </w:t>
      </w:r>
      <w:r>
        <w:t>76</w:t>
      </w:r>
      <w:r w:rsidRPr="007F0C36">
        <w:t> </w:t>
      </w:r>
      <w:r>
        <w:t>250</w:t>
      </w:r>
      <w:r w:rsidRPr="007F0C36">
        <w:t xml:space="preserve">,00 Kč. Jednalo se o povinnou spoluúčast z celkově vynaložených prostředků (spoluúčast </w:t>
      </w:r>
      <w:r>
        <w:t xml:space="preserve">80 </w:t>
      </w:r>
      <w:r w:rsidRPr="007F0C36">
        <w:t>%). Akce spolufinancována z národních zdrojů Ministerstva vnitra ČR.</w:t>
      </w:r>
      <w:r>
        <w:t xml:space="preserve"> Dalším projektem byla </w:t>
      </w:r>
      <w:r w:rsidRPr="001D75F9">
        <w:t>Resocializace recidivistů na území Středočeského kraj</w:t>
      </w:r>
      <w:r>
        <w:t>e</w:t>
      </w:r>
      <w:r w:rsidRPr="001D75F9">
        <w:t xml:space="preserve"> 2021</w:t>
      </w:r>
      <w:r>
        <w:t xml:space="preserve">. Je to </w:t>
      </w:r>
      <w:r w:rsidRPr="00905E7D">
        <w:t>projekt zaměřený na snížení míry recidivy ve Středočeském kraji</w:t>
      </w:r>
      <w:r>
        <w:t xml:space="preserve">, kde byly </w:t>
      </w:r>
      <w:r w:rsidRPr="00905E7D">
        <w:t xml:space="preserve">použity </w:t>
      </w:r>
      <w:r>
        <w:t>finanční prostředky</w:t>
      </w:r>
      <w:r w:rsidRPr="00905E7D">
        <w:t xml:space="preserve"> v celkové výši </w:t>
      </w:r>
      <w:r>
        <w:t>65 680</w:t>
      </w:r>
      <w:r w:rsidRPr="00905E7D">
        <w:t>,00 Kč</w:t>
      </w:r>
      <w:r>
        <w:t>.</w:t>
      </w:r>
      <w:r w:rsidRPr="00905E7D">
        <w:t xml:space="preserve"> Jednalo se o povinnou spoluúčast z celkově vynaložených prostředků (spoluúčast </w:t>
      </w:r>
      <w:r>
        <w:t xml:space="preserve">20 </w:t>
      </w:r>
      <w:r w:rsidRPr="00905E7D">
        <w:t xml:space="preserve">%). Akce </w:t>
      </w:r>
      <w:r>
        <w:t xml:space="preserve">byla </w:t>
      </w:r>
      <w:r w:rsidRPr="00905E7D">
        <w:t>spolufinancována z</w:t>
      </w:r>
      <w:r>
        <w:t xml:space="preserve"> dotace z </w:t>
      </w:r>
      <w:r w:rsidRPr="00905E7D">
        <w:t xml:space="preserve">národních zdrojů Ministerstva vnitra ČR. </w:t>
      </w:r>
      <w:r w:rsidRPr="00D204F5">
        <w:t>Dále byly čerpány finanční prostředky na správu webového portálu Bezpečný Středočeský kraj, jeho úpravu a moderniz</w:t>
      </w:r>
      <w:r>
        <w:t>aci v celkové výši 60 000,00 Kč.</w:t>
      </w:r>
    </w:p>
    <w:p w14:paraId="2A28091D" w14:textId="77777777" w:rsidR="000B380F" w:rsidRDefault="000B380F" w:rsidP="00327C00">
      <w:pPr>
        <w:spacing w:after="0" w:line="240" w:lineRule="auto"/>
        <w:jc w:val="both"/>
      </w:pPr>
      <w:r>
        <w:t xml:space="preserve">Upravený rozpočet činil 360 000,00 Kč, čerpáno bylo 201 930,00 Kč, což je 56,1 % rozpočtované částky. </w:t>
      </w:r>
    </w:p>
    <w:p w14:paraId="5CF268E9" w14:textId="77777777" w:rsidR="000B380F" w:rsidRDefault="000B380F" w:rsidP="00327C00">
      <w:pPr>
        <w:spacing w:after="0" w:line="240" w:lineRule="auto"/>
        <w:jc w:val="both"/>
      </w:pPr>
    </w:p>
    <w:p w14:paraId="5AAFA881" w14:textId="77777777" w:rsidR="000B380F" w:rsidRPr="006C7DAE" w:rsidRDefault="000B380F" w:rsidP="00327C00">
      <w:pPr>
        <w:spacing w:after="0" w:line="240" w:lineRule="auto"/>
        <w:jc w:val="both"/>
        <w:rPr>
          <w:b/>
        </w:rPr>
      </w:pPr>
      <w:r w:rsidRPr="006C7DAE">
        <w:rPr>
          <w:b/>
        </w:rPr>
        <w:t xml:space="preserve">§ 5212 – Ochrana obyvatelstva  </w:t>
      </w:r>
    </w:p>
    <w:p w14:paraId="1FE0525A" w14:textId="210EE256" w:rsidR="000B380F" w:rsidRPr="006C7DAE" w:rsidRDefault="000B380F" w:rsidP="00327C00">
      <w:pPr>
        <w:spacing w:after="0" w:line="240" w:lineRule="auto"/>
        <w:jc w:val="both"/>
        <w:rPr>
          <w:bCs/>
        </w:rPr>
      </w:pPr>
      <w:r w:rsidRPr="006C7DAE">
        <w:rPr>
          <w:bCs/>
        </w:rPr>
        <w:t xml:space="preserve">Usnesením č. 008-28/2021/RK ze dne 01. 07. 2021, rozpočtovou úpravou č. 322/01/2021 byl proveden převod finančních prostředků z kapitoly 01 </w:t>
      </w:r>
      <w:r w:rsidR="003277D6">
        <w:rPr>
          <w:bCs/>
        </w:rPr>
        <w:t>-</w:t>
      </w:r>
      <w:r w:rsidRPr="006C7DAE">
        <w:rPr>
          <w:bCs/>
        </w:rPr>
        <w:t xml:space="preserve"> Činnost Zastupitelstva do kapitoly 25 </w:t>
      </w:r>
      <w:r w:rsidR="003277D6">
        <w:rPr>
          <w:bCs/>
        </w:rPr>
        <w:t xml:space="preserve"> - </w:t>
      </w:r>
      <w:r w:rsidRPr="006C7DAE">
        <w:rPr>
          <w:bCs/>
        </w:rPr>
        <w:t xml:space="preserve">Bezpečnost a prevence ve výši 2 808 169,78 Kč. </w:t>
      </w:r>
    </w:p>
    <w:p w14:paraId="7BC41957" w14:textId="77777777" w:rsidR="000B380F" w:rsidRPr="006C7DAE" w:rsidRDefault="000B380F" w:rsidP="00327C00">
      <w:pPr>
        <w:spacing w:after="0" w:line="240" w:lineRule="auto"/>
        <w:jc w:val="both"/>
        <w:rPr>
          <w:bCs/>
        </w:rPr>
      </w:pPr>
      <w:r w:rsidRPr="006C7DAE">
        <w:rPr>
          <w:bCs/>
        </w:rPr>
        <w:t>Finanční prostředky ve výši 7 260,00 Kč byly použity v souladu se zákonem č. 239/2000 Sb., o integrovaném záchranném systému (dále IZS), ve znění pozdějších předpisů, k zajištění ustanovení:</w:t>
      </w:r>
    </w:p>
    <w:p w14:paraId="2D0D05DC" w14:textId="77777777" w:rsidR="000B380F" w:rsidRPr="006C7DAE" w:rsidRDefault="000B380F" w:rsidP="00327C00">
      <w:pPr>
        <w:numPr>
          <w:ilvl w:val="0"/>
          <w:numId w:val="25"/>
        </w:numPr>
        <w:spacing w:after="0" w:line="240" w:lineRule="auto"/>
        <w:ind w:left="426"/>
        <w:jc w:val="both"/>
        <w:rPr>
          <w:bCs/>
        </w:rPr>
      </w:pPr>
      <w:r w:rsidRPr="006C7DAE">
        <w:rPr>
          <w:bCs/>
        </w:rPr>
        <w:t>§ 29, odst. 1, který stanoví kraji poskytovat náhradu právnickým nebo fyzickým osobám za omezení vlastnického nebo užívacího práva, poskytnutí věcné nebo osobní pomoci při záchranných a likvidačních pracích při řešení mimořádných událostí, a to i v těch případech, kdy o tom rozhodnou starostové obcí;</w:t>
      </w:r>
    </w:p>
    <w:p w14:paraId="67A68816" w14:textId="77777777" w:rsidR="000B380F" w:rsidRPr="006C7DAE" w:rsidRDefault="000B380F" w:rsidP="00327C00">
      <w:pPr>
        <w:numPr>
          <w:ilvl w:val="0"/>
          <w:numId w:val="25"/>
        </w:numPr>
        <w:spacing w:after="0" w:line="240" w:lineRule="auto"/>
        <w:ind w:left="426"/>
        <w:jc w:val="both"/>
        <w:rPr>
          <w:bCs/>
        </w:rPr>
      </w:pPr>
      <w:r w:rsidRPr="006C7DAE">
        <w:rPr>
          <w:bCs/>
        </w:rPr>
        <w:t>§ 31, odst. 1, který stanoví kraji uplatňovat v návrhu svého rozpočtu krytí výdajů potřebných pro zpracování dokumentace IZS, společných výdajů při ověřování připravenosti k záchranným a likvidačním pracím a na budování a provozování společně užívaných zařízení pro potřebu IZS;</w:t>
      </w:r>
    </w:p>
    <w:p w14:paraId="7ABF928C" w14:textId="77777777" w:rsidR="000B380F" w:rsidRPr="006C7DAE" w:rsidRDefault="000B380F" w:rsidP="00327C00">
      <w:pPr>
        <w:numPr>
          <w:ilvl w:val="0"/>
          <w:numId w:val="25"/>
        </w:numPr>
        <w:spacing w:after="0" w:line="240" w:lineRule="auto"/>
        <w:ind w:left="426"/>
        <w:jc w:val="both"/>
        <w:rPr>
          <w:bCs/>
        </w:rPr>
      </w:pPr>
      <w:r w:rsidRPr="006C7DAE">
        <w:rPr>
          <w:bCs/>
        </w:rPr>
        <w:t>§ 31, odst. 3, se ukládá kraji hradit náklady vynaložené složkami IZS ke krytí výdajů vzniklých při nasazení sil a prostředků složek IZS v případě, že neuhrazení těchto nákladů by mohlo ohrozit funkčnost složek IZS k provádění záchranných a likvidačních prací.</w:t>
      </w:r>
    </w:p>
    <w:p w14:paraId="22660DE8" w14:textId="1DC982D2" w:rsidR="000B380F" w:rsidRDefault="000B380F" w:rsidP="00327C00">
      <w:pPr>
        <w:spacing w:after="0" w:line="240" w:lineRule="auto"/>
        <w:jc w:val="both"/>
      </w:pPr>
      <w:r>
        <w:t xml:space="preserve">Upravený rozpočet činil 2 808 169,78 Kč, čerpáno bylo 7 260,00 Kč, což je 0,3 % rozpočtované částky. </w:t>
      </w:r>
    </w:p>
    <w:p w14:paraId="15130568" w14:textId="77777777" w:rsidR="000B380F" w:rsidRDefault="000B380F" w:rsidP="00327C00">
      <w:pPr>
        <w:spacing w:after="0" w:line="240" w:lineRule="auto"/>
        <w:jc w:val="both"/>
        <w:rPr>
          <w:b/>
        </w:rPr>
      </w:pPr>
    </w:p>
    <w:p w14:paraId="15C336BC" w14:textId="77777777" w:rsidR="000B380F" w:rsidRPr="00F315C0" w:rsidRDefault="000B380F" w:rsidP="00327C00">
      <w:pPr>
        <w:spacing w:after="0" w:line="240" w:lineRule="auto"/>
        <w:jc w:val="both"/>
        <w:rPr>
          <w:b/>
        </w:rPr>
      </w:pPr>
      <w:r w:rsidRPr="00F315C0">
        <w:rPr>
          <w:b/>
        </w:rPr>
        <w:t xml:space="preserve">§ 5213 – Krizová opatření </w:t>
      </w:r>
    </w:p>
    <w:p w14:paraId="7D177680" w14:textId="77777777" w:rsidR="000B380F" w:rsidRDefault="000B380F" w:rsidP="00327C00">
      <w:pPr>
        <w:spacing w:after="0" w:line="240" w:lineRule="auto"/>
        <w:jc w:val="both"/>
      </w:pPr>
      <w:r w:rsidRPr="0098128C">
        <w:t>Na základě usnesení č. 005-15/2021/RK ze dne 1. 4. 2021 byly finanční prostředky ve výši 1 311 831,00 Kč zapojeny do rozpočtu v rámci dotace z Ministerstva zdravotnictví ČR na neinvestiční výdaje, které jsou určeny na úhradu náhrad za výkon nařízené pracovní povinnosti studentům a žákům, ostatních náhrad a povinných odvodů dle usnesení vlády ČR č. 1023 ze dne 12. 10. 2020, usnesení vlády č. 1048 ze dne 16. 10. 2020, usnesení vlády č. 1226 ze dne 23. 11. 2020, usnesení vlády č. 1292 ze dne 7. 12. 2020 a usnesení vlády č. 1336 ze dne 14. 12. 2020. Jedná se o refundaci výdajů vynaložených na tento účel z běžných výdajů kapitoly. Upravený rozpočet byl dále navýšen o 849 020,00 Kč ze zůstatku hospodaření Středočeského kraje za rok 2020 (nedočerpané mzdové prostředky na pracovní povinnost studentů) na základě usnesení č. 007-06/2021/ZK ze dne 26. 4. 2021</w:t>
      </w:r>
      <w:r w:rsidRPr="009D7814">
        <w:t xml:space="preserve">. </w:t>
      </w:r>
      <w:r w:rsidRPr="00065CDA">
        <w:t>Finanční prostředky na úhradu mzdových nákladů pracovní povinnosti studentů byly čerpány na mzdy za měsíce březen</w:t>
      </w:r>
      <w:r>
        <w:t xml:space="preserve"> a</w:t>
      </w:r>
      <w:r w:rsidRPr="00065CDA">
        <w:t xml:space="preserve"> duben 2021 ve výši 145 371,00 Kč.</w:t>
      </w:r>
      <w:r w:rsidRPr="009D7814">
        <w:t xml:space="preserve"> </w:t>
      </w:r>
    </w:p>
    <w:p w14:paraId="082A1326" w14:textId="77777777" w:rsidR="000B380F" w:rsidRDefault="000B380F" w:rsidP="00327C00">
      <w:pPr>
        <w:spacing w:after="0" w:line="240" w:lineRule="auto"/>
        <w:jc w:val="both"/>
      </w:pPr>
      <w:r w:rsidRPr="0098128C">
        <w:t xml:space="preserve">Upravený rozpočet činil 2 160 851,00 Kč, čerpáno bylo </w:t>
      </w:r>
      <w:r>
        <w:t xml:space="preserve">145 371,00 Kč, což je </w:t>
      </w:r>
      <w:r w:rsidRPr="0098128C">
        <w:t>6,</w:t>
      </w:r>
      <w:r>
        <w:t>7</w:t>
      </w:r>
      <w:r w:rsidRPr="0098128C">
        <w:t xml:space="preserve"> % rozpočtované částky.</w:t>
      </w:r>
    </w:p>
    <w:p w14:paraId="512D5C04" w14:textId="77777777" w:rsidR="000B380F" w:rsidRDefault="000B380F" w:rsidP="00327C00">
      <w:pPr>
        <w:spacing w:after="0" w:line="240" w:lineRule="auto"/>
        <w:jc w:val="both"/>
      </w:pPr>
    </w:p>
    <w:p w14:paraId="542FDCAB" w14:textId="77777777" w:rsidR="000B380F" w:rsidRPr="00F315C0" w:rsidRDefault="000B380F" w:rsidP="00327C00">
      <w:pPr>
        <w:spacing w:after="0" w:line="240" w:lineRule="auto"/>
        <w:jc w:val="both"/>
        <w:rPr>
          <w:b/>
        </w:rPr>
      </w:pPr>
      <w:bookmarkStart w:id="67" w:name="_Hlk98935512"/>
      <w:r w:rsidRPr="00F315C0">
        <w:rPr>
          <w:b/>
        </w:rPr>
        <w:t xml:space="preserve">§ 5213 – Krizová </w:t>
      </w:r>
      <w:r>
        <w:rPr>
          <w:b/>
        </w:rPr>
        <w:t>rezerva</w:t>
      </w:r>
    </w:p>
    <w:p w14:paraId="4B317672" w14:textId="4887DE8C" w:rsidR="000B380F" w:rsidRPr="00EE5B1C" w:rsidRDefault="000B380F" w:rsidP="00327C00">
      <w:pPr>
        <w:spacing w:after="0" w:line="240" w:lineRule="auto"/>
        <w:jc w:val="both"/>
        <w:rPr>
          <w:bCs/>
        </w:rPr>
      </w:pPr>
      <w:r w:rsidRPr="00EE5B1C">
        <w:rPr>
          <w:bCs/>
        </w:rPr>
        <w:t>Usnesením č. 008-28/2021/RK ze dne 01. 07. 2021, rozpočtovou úpravou č. 322/01/2021 byl proveden převod finančních prostředků z kapitoly 01 – Činnost Zastupitelstva do kapitoly 25 Bezpečnost a prevence ve výši 3 400 000 Kč</w:t>
      </w:r>
      <w:r w:rsidR="00EE5B1C" w:rsidRPr="00EE5B1C">
        <w:rPr>
          <w:bCs/>
        </w:rPr>
        <w:t xml:space="preserve"> </w:t>
      </w:r>
      <w:r w:rsidR="00EE5B1C" w:rsidRPr="00EE5B1C">
        <w:t>za účelem tvorby rezervy na krizová opatření v souvislosti s epidemií COVID-19</w:t>
      </w:r>
      <w:r w:rsidRPr="00EE5B1C">
        <w:rPr>
          <w:bCs/>
        </w:rPr>
        <w:t xml:space="preserve">. </w:t>
      </w:r>
    </w:p>
    <w:p w14:paraId="4399C396" w14:textId="20E5F2A7" w:rsidR="000B380F" w:rsidRDefault="000B380F" w:rsidP="00327C00">
      <w:pPr>
        <w:spacing w:after="0" w:line="240" w:lineRule="auto"/>
        <w:jc w:val="both"/>
      </w:pPr>
      <w:r w:rsidRPr="00EE5B1C">
        <w:t>Z upraveného rozpočtu, který činil 3 400 000,00 Kč nebylo čerpáno.</w:t>
      </w:r>
    </w:p>
    <w:bookmarkEnd w:id="67"/>
    <w:p w14:paraId="7CF138F7" w14:textId="77777777" w:rsidR="000B380F" w:rsidRDefault="000B380F" w:rsidP="00327C00">
      <w:pPr>
        <w:spacing w:after="0" w:line="240" w:lineRule="auto"/>
        <w:jc w:val="both"/>
      </w:pPr>
    </w:p>
    <w:p w14:paraId="4D235603" w14:textId="689A0978" w:rsidR="000B380F" w:rsidRDefault="000B380F" w:rsidP="00327C00">
      <w:pPr>
        <w:spacing w:after="0" w:line="240" w:lineRule="auto"/>
        <w:jc w:val="both"/>
        <w:rPr>
          <w:b/>
        </w:rPr>
      </w:pPr>
      <w:bookmarkStart w:id="68" w:name="_Hlk98935622"/>
      <w:r w:rsidRPr="00F315C0">
        <w:rPr>
          <w:b/>
        </w:rPr>
        <w:t xml:space="preserve">§ 5213 – </w:t>
      </w:r>
      <w:r>
        <w:rPr>
          <w:b/>
        </w:rPr>
        <w:t>Výdaje Středočeského kraje spojené s nákazou koronavirem COVID-1</w:t>
      </w:r>
      <w:r w:rsidR="002E5595">
        <w:rPr>
          <w:b/>
        </w:rPr>
        <w:t>9</w:t>
      </w:r>
    </w:p>
    <w:p w14:paraId="5FA79BB6" w14:textId="6D5D82A6" w:rsidR="000B380F" w:rsidRPr="00EE5B1C" w:rsidRDefault="000B380F" w:rsidP="00327C00">
      <w:pPr>
        <w:spacing w:after="0" w:line="240" w:lineRule="auto"/>
        <w:jc w:val="both"/>
        <w:rPr>
          <w:bCs/>
        </w:rPr>
      </w:pPr>
      <w:r w:rsidRPr="00EE5B1C">
        <w:rPr>
          <w:bCs/>
        </w:rPr>
        <w:t xml:space="preserve">Usnesením č. 008-28/2021/RK ze dne 01. 07. 2021, rozpočtovou úpravou č. 322/01/2021 byl proveden převod finančních prostředků z kapitoly 01 </w:t>
      </w:r>
      <w:r w:rsidR="003277D6" w:rsidRPr="00EE5B1C">
        <w:rPr>
          <w:bCs/>
        </w:rPr>
        <w:t>-</w:t>
      </w:r>
      <w:r w:rsidRPr="00EE5B1C">
        <w:rPr>
          <w:bCs/>
        </w:rPr>
        <w:t xml:space="preserve"> Činnost Zastupitelstva do kapitoly 25 </w:t>
      </w:r>
      <w:r w:rsidR="003277D6" w:rsidRPr="00EE5B1C">
        <w:rPr>
          <w:bCs/>
        </w:rPr>
        <w:t xml:space="preserve">- </w:t>
      </w:r>
      <w:r w:rsidRPr="00EE5B1C">
        <w:rPr>
          <w:bCs/>
        </w:rPr>
        <w:t xml:space="preserve">Bezpečnost a prevence ve výši </w:t>
      </w:r>
      <w:r w:rsidRPr="00EE5B1C">
        <w:t>46 421,20</w:t>
      </w:r>
      <w:r w:rsidR="00EE5B1C">
        <w:t> </w:t>
      </w:r>
      <w:r w:rsidRPr="00EE5B1C">
        <w:rPr>
          <w:bCs/>
        </w:rPr>
        <w:t>Kč</w:t>
      </w:r>
      <w:r w:rsidR="00EE5B1C" w:rsidRPr="00EE5B1C">
        <w:rPr>
          <w:bCs/>
        </w:rPr>
        <w:t xml:space="preserve"> </w:t>
      </w:r>
      <w:r w:rsidR="00EE5B1C" w:rsidRPr="00EE5B1C">
        <w:t>na nákup ostatních služeb v souvislosti s výdaji Středočeského kraje spojených s epidemií COVID-19</w:t>
      </w:r>
      <w:r w:rsidRPr="00EE5B1C">
        <w:rPr>
          <w:bCs/>
        </w:rPr>
        <w:t xml:space="preserve">. </w:t>
      </w:r>
    </w:p>
    <w:p w14:paraId="3C0D812A" w14:textId="77777777" w:rsidR="000B380F" w:rsidRDefault="000B380F" w:rsidP="00327C00">
      <w:pPr>
        <w:spacing w:after="0" w:line="240" w:lineRule="auto"/>
        <w:jc w:val="both"/>
      </w:pPr>
      <w:r w:rsidRPr="00EE5B1C">
        <w:t>Z upraveného rozpočtu, který činil 46 421,20 Kč nebylo dosud čerpáno.</w:t>
      </w:r>
    </w:p>
    <w:p w14:paraId="6D20FF3F" w14:textId="77777777" w:rsidR="000B380F" w:rsidRDefault="000B380F" w:rsidP="00327C00">
      <w:pPr>
        <w:spacing w:after="0" w:line="240" w:lineRule="auto"/>
        <w:jc w:val="both"/>
      </w:pPr>
    </w:p>
    <w:p w14:paraId="25ED0FAC" w14:textId="77777777" w:rsidR="000B380F" w:rsidRPr="006C7DAE" w:rsidRDefault="000B380F" w:rsidP="00327C00">
      <w:pPr>
        <w:spacing w:after="0" w:line="240" w:lineRule="auto"/>
        <w:jc w:val="both"/>
        <w:rPr>
          <w:b/>
        </w:rPr>
      </w:pPr>
      <w:r w:rsidRPr="006C7DAE">
        <w:rPr>
          <w:b/>
        </w:rPr>
        <w:t xml:space="preserve">§ 5273 – Ostatní správa v oblasti krizového řízení </w:t>
      </w:r>
    </w:p>
    <w:p w14:paraId="127EEFA9" w14:textId="42CD3E2F" w:rsidR="000B380F" w:rsidRDefault="000B380F" w:rsidP="00327C00">
      <w:pPr>
        <w:spacing w:after="0" w:line="240" w:lineRule="auto"/>
        <w:jc w:val="both"/>
        <w:rPr>
          <w:bCs/>
        </w:rPr>
      </w:pPr>
      <w:r w:rsidRPr="006C7DAE">
        <w:rPr>
          <w:bCs/>
        </w:rPr>
        <w:t xml:space="preserve">Usnesením č. 008-28/2021/RK ze dne 01. 07. 2021, rozpočtovou úpravou č. 322/01/2021 byl proveden převod finančních prostředků z kapitoly 01 </w:t>
      </w:r>
      <w:r w:rsidR="003277D6">
        <w:rPr>
          <w:bCs/>
        </w:rPr>
        <w:t>-</w:t>
      </w:r>
      <w:r w:rsidRPr="006C7DAE">
        <w:rPr>
          <w:bCs/>
        </w:rPr>
        <w:t xml:space="preserve"> Činnost Zastupitelstva do kapitoly 25 </w:t>
      </w:r>
      <w:r w:rsidR="003277D6">
        <w:rPr>
          <w:bCs/>
        </w:rPr>
        <w:t xml:space="preserve">- </w:t>
      </w:r>
      <w:r w:rsidRPr="006C7DAE">
        <w:rPr>
          <w:bCs/>
        </w:rPr>
        <w:t xml:space="preserve">Bezpečnost a prevence ve </w:t>
      </w:r>
      <w:r w:rsidRPr="009D7814">
        <w:rPr>
          <w:bCs/>
        </w:rPr>
        <w:t>výši 3 102 225,24</w:t>
      </w:r>
      <w:r w:rsidR="00D448A7">
        <w:rPr>
          <w:bCs/>
        </w:rPr>
        <w:t> </w:t>
      </w:r>
      <w:r w:rsidRPr="009D7814">
        <w:rPr>
          <w:bCs/>
        </w:rPr>
        <w:t>Kč</w:t>
      </w:r>
      <w:r w:rsidR="00D448A7">
        <w:rPr>
          <w:bCs/>
        </w:rPr>
        <w:t xml:space="preserve"> </w:t>
      </w:r>
      <w:r w:rsidR="00D448A7" w:rsidRPr="00D448A7">
        <w:t>za účelem financování č</w:t>
      </w:r>
      <w:r w:rsidR="00D448A7" w:rsidRPr="00D448A7">
        <w:rPr>
          <w:color w:val="000000"/>
        </w:rPr>
        <w:t>inností souvisejících s vydají na pracoviště krizového řízení, jejich technického vybavovaní, zajištěni komunikačních prostředků, výdaje na informační podporu krizového řízení, přípravu orgánů krizového řízení  a  ostatní výdaje na zvládnutí krizových situací (cestovné, pohoštění, programové vybavení).</w:t>
      </w:r>
      <w:r w:rsidRPr="00D448A7">
        <w:rPr>
          <w:bCs/>
        </w:rPr>
        <w:t xml:space="preserve"> Finanční</w:t>
      </w:r>
      <w:r w:rsidRPr="006C7DAE">
        <w:rPr>
          <w:bCs/>
        </w:rPr>
        <w:t xml:space="preserve"> prostředky ve výši 76 230,00 Kč byly čerpány v souladu s ustanovením § 26 zákona č. 240/2000 Sb., o krizovém řízení, který stanovuje zabezpečení informačních systémů krizového řízení, na zajištění servisní a technické podpory provozovaných informačních systémů krizového řízení, Portál krizového řízení. V souladu s uzavřenou objednávkou č.  O-0013/OBŘ/2021 bylo 3 258,00 Kč použito na výměnu záložních baterií pro informační systém VegaD. Současně byl proveden servisní zásah a systémový test maticového přepínače v rámci videokonferenčního systému v celkové hodnotě 1 863,40 Kč.  V rámci nouzového stavu a mimořádných situací byl zajištěn chod pracovních skupin krizového štábu v hodnotě 9 405,08 Kč. Součástí Portálu krizového řízení jde spuštěn SMS co</w:t>
      </w:r>
      <w:r>
        <w:rPr>
          <w:bCs/>
        </w:rPr>
        <w:t>n</w:t>
      </w:r>
      <w:r w:rsidRPr="006C7DAE">
        <w:rPr>
          <w:bCs/>
        </w:rPr>
        <w:t>ne</w:t>
      </w:r>
      <w:r>
        <w:rPr>
          <w:bCs/>
        </w:rPr>
        <w:t>c</w:t>
      </w:r>
      <w:r w:rsidRPr="006C7DAE">
        <w:rPr>
          <w:bCs/>
        </w:rPr>
        <w:t xml:space="preserve">tor, který slouží k zajištění informovanosti orgánů krizového řízení v rámci Středočeského kraje. Tyto služby jsou poskytovány v rámci smlouvy s O2 a byly uhrazeny v částce 10 513,70 Kč. </w:t>
      </w:r>
    </w:p>
    <w:p w14:paraId="2ABCE663" w14:textId="77777777" w:rsidR="000B380F" w:rsidRDefault="000B380F" w:rsidP="00327C00">
      <w:pPr>
        <w:spacing w:after="0" w:line="240" w:lineRule="auto"/>
        <w:jc w:val="both"/>
      </w:pPr>
      <w:r>
        <w:t>U</w:t>
      </w:r>
      <w:r w:rsidRPr="0098128C">
        <w:t>praven</w:t>
      </w:r>
      <w:r>
        <w:t>ý</w:t>
      </w:r>
      <w:r w:rsidRPr="0098128C">
        <w:t xml:space="preserve"> rozpoč</w:t>
      </w:r>
      <w:r>
        <w:t>e</w:t>
      </w:r>
      <w:r w:rsidRPr="0098128C">
        <w:t>t</w:t>
      </w:r>
      <w:r>
        <w:t xml:space="preserve"> </w:t>
      </w:r>
      <w:r w:rsidRPr="0098128C">
        <w:t xml:space="preserve">činil </w:t>
      </w:r>
      <w:r>
        <w:t xml:space="preserve">3 102 225,24 </w:t>
      </w:r>
      <w:r w:rsidRPr="0098128C">
        <w:t xml:space="preserve">Kč, čerpáno bylo </w:t>
      </w:r>
      <w:r>
        <w:t>101 270,18 Kč, což je 3,3</w:t>
      </w:r>
      <w:r w:rsidRPr="0098128C">
        <w:t xml:space="preserve"> % rozpočtované částky.</w:t>
      </w:r>
    </w:p>
    <w:p w14:paraId="124FA83A" w14:textId="77777777" w:rsidR="00D448A7" w:rsidRDefault="00D448A7" w:rsidP="00327C00">
      <w:pPr>
        <w:spacing w:after="0" w:line="240" w:lineRule="auto"/>
        <w:jc w:val="both"/>
      </w:pPr>
    </w:p>
    <w:p w14:paraId="294553B5" w14:textId="77777777" w:rsidR="000B380F" w:rsidRPr="00285B40" w:rsidRDefault="000B380F" w:rsidP="00327C00">
      <w:pPr>
        <w:spacing w:after="0" w:line="240" w:lineRule="auto"/>
        <w:jc w:val="both"/>
        <w:rPr>
          <w:b/>
        </w:rPr>
      </w:pPr>
      <w:r w:rsidRPr="00285B40">
        <w:rPr>
          <w:b/>
        </w:rPr>
        <w:t>§ 5279 – Záležitosti krizového řízení jinde nezařazené</w:t>
      </w:r>
    </w:p>
    <w:p w14:paraId="2A4E9746" w14:textId="77777777" w:rsidR="00285B40" w:rsidRPr="00285B40" w:rsidRDefault="000B380F" w:rsidP="00327C00">
      <w:pPr>
        <w:spacing w:after="0" w:line="240" w:lineRule="auto"/>
        <w:jc w:val="both"/>
      </w:pPr>
      <w:r w:rsidRPr="00285B40">
        <w:rPr>
          <w:bCs/>
        </w:rPr>
        <w:t xml:space="preserve">Usnesením č. 008-28/2021/RK ze dne 01. 07. 2021, rozpočtovou úpravou č. 322/01/2021 byl proveden převod finančních prostředků z kapitoly 01 </w:t>
      </w:r>
      <w:r w:rsidR="003277D6" w:rsidRPr="00285B40">
        <w:rPr>
          <w:bCs/>
        </w:rPr>
        <w:t>-</w:t>
      </w:r>
      <w:r w:rsidRPr="00285B40">
        <w:rPr>
          <w:bCs/>
        </w:rPr>
        <w:t xml:space="preserve"> Činnost Zastupitelstva do kapitoly 25 </w:t>
      </w:r>
      <w:r w:rsidR="003277D6" w:rsidRPr="00285B40">
        <w:rPr>
          <w:bCs/>
        </w:rPr>
        <w:t xml:space="preserve">- </w:t>
      </w:r>
      <w:r w:rsidRPr="00285B40">
        <w:rPr>
          <w:bCs/>
        </w:rPr>
        <w:t>Bezpečnost a prevence ve výši 1 936 109,61</w:t>
      </w:r>
      <w:r w:rsidR="00285B40" w:rsidRPr="00285B40">
        <w:rPr>
          <w:bCs/>
        </w:rPr>
        <w:t> </w:t>
      </w:r>
      <w:r w:rsidRPr="00285B40">
        <w:rPr>
          <w:bCs/>
        </w:rPr>
        <w:t>Kč</w:t>
      </w:r>
      <w:r w:rsidR="00285B40" w:rsidRPr="00285B40">
        <w:rPr>
          <w:bCs/>
        </w:rPr>
        <w:t xml:space="preserve"> </w:t>
      </w:r>
      <w:r w:rsidR="00285B40" w:rsidRPr="00285B40">
        <w:t>za účelem nákupu ochranných pomůcek, ostatních služeb, materiálu a úhradu cestovného.</w:t>
      </w:r>
    </w:p>
    <w:p w14:paraId="66776560" w14:textId="5B9CD2C4" w:rsidR="000B380F" w:rsidRPr="00285B40" w:rsidRDefault="000B380F" w:rsidP="00327C00">
      <w:pPr>
        <w:spacing w:after="0" w:line="240" w:lineRule="auto"/>
        <w:jc w:val="both"/>
      </w:pPr>
      <w:r w:rsidRPr="00285B40">
        <w:t>Z upraveného rozpočtu, který činil 1 936 109,61 Kč, nebylo čerpáno</w:t>
      </w:r>
      <w:r w:rsidR="001A07E9" w:rsidRPr="00285B40">
        <w:t>.</w:t>
      </w:r>
    </w:p>
    <w:p w14:paraId="0D7911D5" w14:textId="77777777" w:rsidR="000B380F" w:rsidRDefault="000B380F" w:rsidP="00327C00">
      <w:pPr>
        <w:spacing w:after="0" w:line="240" w:lineRule="auto"/>
        <w:jc w:val="both"/>
      </w:pPr>
    </w:p>
    <w:p w14:paraId="78ADD8D0" w14:textId="77777777" w:rsidR="000B380F" w:rsidRPr="006C7DAE" w:rsidRDefault="000B380F" w:rsidP="00327C00">
      <w:pPr>
        <w:spacing w:after="0" w:line="240" w:lineRule="auto"/>
        <w:jc w:val="both"/>
        <w:rPr>
          <w:b/>
        </w:rPr>
      </w:pPr>
      <w:r w:rsidRPr="006C7DAE">
        <w:rPr>
          <w:b/>
        </w:rPr>
        <w:t>§ 5512 – Požární ochrana – dobrovolná část</w:t>
      </w:r>
    </w:p>
    <w:p w14:paraId="4063ABDB" w14:textId="227598E4" w:rsidR="000B380F" w:rsidRPr="00327C00" w:rsidRDefault="000B380F" w:rsidP="00327C00">
      <w:pPr>
        <w:spacing w:after="0" w:line="240" w:lineRule="auto"/>
        <w:jc w:val="both"/>
        <w:rPr>
          <w:bCs/>
        </w:rPr>
      </w:pPr>
      <w:r w:rsidRPr="00327C00">
        <w:rPr>
          <w:bCs/>
        </w:rPr>
        <w:t xml:space="preserve">Usnesením č. 008-28/2021/RK ze dne 01. 07. 2021, rozpočtovou úpravou č. 322/01/2021 byl proveden převod finančních prostředků z kapitoly 01 </w:t>
      </w:r>
      <w:r w:rsidR="003277D6" w:rsidRPr="00327C00">
        <w:rPr>
          <w:bCs/>
        </w:rPr>
        <w:t>-</w:t>
      </w:r>
      <w:r w:rsidRPr="00327C00">
        <w:rPr>
          <w:bCs/>
        </w:rPr>
        <w:t xml:space="preserve"> Činnost Zastupitelstva do kapitoly 25 </w:t>
      </w:r>
      <w:r w:rsidR="003277D6" w:rsidRPr="00327C00">
        <w:rPr>
          <w:bCs/>
        </w:rPr>
        <w:t xml:space="preserve">- </w:t>
      </w:r>
      <w:r w:rsidRPr="00327C00">
        <w:rPr>
          <w:bCs/>
        </w:rPr>
        <w:t>Bezpečnost a prevence ve výši 500</w:t>
      </w:r>
      <w:r w:rsidR="00327C00" w:rsidRPr="00327C00">
        <w:rPr>
          <w:bCs/>
        </w:rPr>
        <w:t> </w:t>
      </w:r>
      <w:r w:rsidRPr="00327C00">
        <w:rPr>
          <w:bCs/>
        </w:rPr>
        <w:t>000,00</w:t>
      </w:r>
      <w:r w:rsidR="00327C00" w:rsidRPr="00327C00">
        <w:rPr>
          <w:bCs/>
        </w:rPr>
        <w:t> </w:t>
      </w:r>
      <w:r w:rsidRPr="00327C00">
        <w:rPr>
          <w:bCs/>
        </w:rPr>
        <w:t>Kč</w:t>
      </w:r>
      <w:r w:rsidR="00327C00" w:rsidRPr="00327C00">
        <w:rPr>
          <w:bCs/>
        </w:rPr>
        <w:t xml:space="preserve"> </w:t>
      </w:r>
      <w:r w:rsidR="00327C00" w:rsidRPr="00327C00">
        <w:t xml:space="preserve">za účelem poskytnutí neinvestičních transferů spolkům (na </w:t>
      </w:r>
      <w:r w:rsidR="00327C00" w:rsidRPr="00327C00">
        <w:rPr>
          <w:color w:val="000000"/>
        </w:rPr>
        <w:t>podporu jednotek sborů dobrovolných hasičů obcí).</w:t>
      </w:r>
      <w:r w:rsidRPr="00327C00">
        <w:rPr>
          <w:bCs/>
        </w:rPr>
        <w:t xml:space="preserve"> Finanční prostředky ve výši 27 830,00 Kč byly použity na výrobu stuh ke 150. výročí Sboru dobrovolných hasičů ve Středočeském kraji dle objednávky č. O-0016/OBŘ/2021.</w:t>
      </w:r>
    </w:p>
    <w:p w14:paraId="4AC4D9FB" w14:textId="77777777" w:rsidR="000B380F" w:rsidRPr="001D516C" w:rsidRDefault="000B380F" w:rsidP="00327C00">
      <w:pPr>
        <w:spacing w:after="0" w:line="240" w:lineRule="auto"/>
        <w:jc w:val="both"/>
        <w:rPr>
          <w:color w:val="FF0000"/>
        </w:rPr>
      </w:pPr>
      <w:r w:rsidRPr="00327C00">
        <w:t>Upravený rozpočet činil 500 000,00 Kč, čerpáno bylo 27 830,00 Kč, což je 5,6 % rozpočtované částky.</w:t>
      </w:r>
    </w:p>
    <w:p w14:paraId="48D21714" w14:textId="77777777" w:rsidR="00327C00" w:rsidRDefault="00327C00" w:rsidP="00327C00">
      <w:pPr>
        <w:spacing w:after="0" w:line="240" w:lineRule="auto"/>
        <w:jc w:val="both"/>
        <w:rPr>
          <w:bCs/>
        </w:rPr>
      </w:pPr>
    </w:p>
    <w:p w14:paraId="6D14CE37" w14:textId="3EE0D47E" w:rsidR="000B380F" w:rsidRPr="00B61400" w:rsidRDefault="000B380F" w:rsidP="00327C00">
      <w:pPr>
        <w:spacing w:after="0" w:line="240" w:lineRule="auto"/>
        <w:jc w:val="both"/>
        <w:rPr>
          <w:b/>
        </w:rPr>
      </w:pPr>
      <w:bookmarkStart w:id="69" w:name="_Hlk98936106"/>
      <w:bookmarkEnd w:id="68"/>
      <w:r w:rsidRPr="00B61400">
        <w:rPr>
          <w:b/>
        </w:rPr>
        <w:t>§ 6172 – Činnost regionální správy – bezpečnostní opatření</w:t>
      </w:r>
    </w:p>
    <w:p w14:paraId="3246DDE8" w14:textId="77777777" w:rsidR="002E5595" w:rsidRPr="00874FEC" w:rsidRDefault="002E5595" w:rsidP="00327C00">
      <w:pPr>
        <w:spacing w:after="0" w:line="240" w:lineRule="auto"/>
        <w:jc w:val="both"/>
      </w:pPr>
      <w:r>
        <w:t xml:space="preserve">Na základě usnesení č. 005-25/2021/RK ze dne 10. 6. 2021 byly finanční prostředky ve výši </w:t>
      </w:r>
      <w:r w:rsidRPr="00EF32E7">
        <w:t>155 848,00</w:t>
      </w:r>
      <w:r>
        <w:t xml:space="preserve"> Kč převedeny do kapitoly 03 – Informatika za účelem kompenzace plnění Rámcové dohody ohledně poradenských služeb k výběrovému řízení na služby specialisty kybernetické bezpečnosti. </w:t>
      </w:r>
      <w:r w:rsidRPr="00874FEC">
        <w:t xml:space="preserve">Usnesením č. 063-37/2021/RK ze dne 30. 9. 2021, rozpočtovou úpravou č. 538/25/2021 byl rozpočet snížen o 100 000,00 Kč převodem z § 6172 do § 3541 na zajištění zpracování a tvorby Koncepce protidrogové politiky Středočeského kraje na léta 2022 – 2027. </w:t>
      </w:r>
      <w:r w:rsidRPr="00B41D99">
        <w:t>Upravený rozpočet byl navýšen o 313 191,00 Kč v rámci dotace Ministerstva zdravotnictví ČR na mzdové prostředky na pracovní povinnost studentů (jedná se o refundaci výdajů vynaložených na tento účel z běžných výdajů kapitoly) a dále o 204 732,00 Kč ze zůstatku hospodaření Středočeského kraje za rok 2020 na základě usnesení č. 007-06/2021/ZK ze dne 26. 4. 2021 za účelem poskytnutí odborných konzultací v oblasti kybernetické bezpečnosti.</w:t>
      </w:r>
    </w:p>
    <w:p w14:paraId="523809D8" w14:textId="4BD16268" w:rsidR="000B380F" w:rsidRDefault="000B380F" w:rsidP="00327C00">
      <w:pPr>
        <w:spacing w:after="0" w:line="240" w:lineRule="auto"/>
        <w:jc w:val="both"/>
      </w:pPr>
      <w:r>
        <w:t>Finanční prostředky byly použity zejména na nasmlouvané dodávk</w:t>
      </w:r>
      <w:r w:rsidR="002E5595">
        <w:t>y</w:t>
      </w:r>
      <w:r>
        <w:t xml:space="preserve"> a servis bezpečnostních technologií v budovách KÚSK v celkové výši </w:t>
      </w:r>
      <w:r w:rsidRPr="00874FEC">
        <w:t>2 075 517,84</w:t>
      </w:r>
      <w:r>
        <w:t xml:space="preserve"> Kč. Dále bylo využito </w:t>
      </w:r>
      <w:r w:rsidRPr="00874FEC">
        <w:t>5 484 34</w:t>
      </w:r>
      <w:r>
        <w:t>3</w:t>
      </w:r>
      <w:r w:rsidRPr="00874FEC">
        <w:t>,63</w:t>
      </w:r>
      <w:r>
        <w:t xml:space="preserve"> Kč na strážní a recepční službu v budovách KÚSK. </w:t>
      </w:r>
      <w:r w:rsidRPr="00874FEC">
        <w:t>Ve výši 157 217,43 Kč byly použity finanční prostředky na</w:t>
      </w:r>
      <w:r w:rsidR="002E5595">
        <w:t xml:space="preserve"> </w:t>
      </w:r>
      <w:r w:rsidR="00131A5E" w:rsidRPr="00131A5E">
        <w:t>nákup materiálu v souvislosti se servisem bezpečnostních technologií v budově KÚSK</w:t>
      </w:r>
      <w:r w:rsidRPr="00131A5E">
        <w:t>. Finanční prostředky v celkové výši 229 900,00 Kč byly vyplaceny za poskytování odborných</w:t>
      </w:r>
      <w:r>
        <w:t xml:space="preserve"> konzultací v oblasti kybernetické bezpečnosti</w:t>
      </w:r>
      <w:r w:rsidR="002E5595">
        <w:t>.</w:t>
      </w:r>
      <w:r>
        <w:t xml:space="preserve"> </w:t>
      </w:r>
      <w:r w:rsidR="002E5595">
        <w:rPr>
          <w:bCs/>
        </w:rPr>
        <w:t xml:space="preserve">102 245,00 Kč </w:t>
      </w:r>
      <w:r>
        <w:rPr>
          <w:bCs/>
        </w:rPr>
        <w:t>bylo použito</w:t>
      </w:r>
      <w:r w:rsidR="00131A5E">
        <w:rPr>
          <w:bCs/>
        </w:rPr>
        <w:t xml:space="preserve"> </w:t>
      </w:r>
      <w:r>
        <w:rPr>
          <w:bCs/>
        </w:rPr>
        <w:t>na A</w:t>
      </w:r>
      <w:r>
        <w:t xml:space="preserve">udit spravovaných bezpečnostních technologií. </w:t>
      </w:r>
      <w:r w:rsidR="002E5595" w:rsidRPr="00874FEC">
        <w:t>95 832,00</w:t>
      </w:r>
      <w:r w:rsidR="002E5595">
        <w:t xml:space="preserve"> Kč </w:t>
      </w:r>
      <w:r>
        <w:t xml:space="preserve">bylo použito na vytvoření specifických interaktivních formulářů a workflow v prostředí Formflow Software602 (rozpočtová úprava č. 702/25/2021). </w:t>
      </w:r>
      <w:r w:rsidR="002E5595" w:rsidRPr="00874FEC">
        <w:t>60 331,81</w:t>
      </w:r>
      <w:r w:rsidR="002E5595">
        <w:t xml:space="preserve"> Kč </w:t>
      </w:r>
      <w:r>
        <w:t xml:space="preserve">bylo použito na dva videotelefony. Další finanční prostředky byly použity na objednávku Poskytnutí dálkové servisní podpory pro řešení monitorování tel. linek úřadu ve výši </w:t>
      </w:r>
      <w:r w:rsidRPr="00874FEC">
        <w:t>2 000,00</w:t>
      </w:r>
      <w:r>
        <w:t xml:space="preserve"> Kč</w:t>
      </w:r>
      <w:r w:rsidR="00F70CCC">
        <w:t xml:space="preserve">. </w:t>
      </w:r>
      <w:r>
        <w:t xml:space="preserve">Pro objednávku na Přípravu podkladů pro zadávání zpracování projektové dokumentace bylo použito </w:t>
      </w:r>
      <w:r w:rsidRPr="00874FEC">
        <w:t>71 570,00</w:t>
      </w:r>
      <w:r>
        <w:t xml:space="preserve"> Kč. </w:t>
      </w:r>
      <w:r w:rsidR="00F70CCC" w:rsidRPr="00874FEC">
        <w:t>152 460,00</w:t>
      </w:r>
      <w:r w:rsidR="00F70CCC">
        <w:t xml:space="preserve"> Kč </w:t>
      </w:r>
      <w:r>
        <w:t xml:space="preserve">bylo použito na </w:t>
      </w:r>
      <w:r w:rsidRPr="0005439E">
        <w:t>Předplatné služby ThreatGuard - Portal, součástí je i licence ke službě na 1 rok</w:t>
      </w:r>
      <w:r>
        <w:t>.</w:t>
      </w:r>
    </w:p>
    <w:p w14:paraId="52E1E3BC" w14:textId="77777777" w:rsidR="000B380F" w:rsidRDefault="000B380F" w:rsidP="00327C00">
      <w:pPr>
        <w:spacing w:after="0" w:line="240" w:lineRule="auto"/>
        <w:jc w:val="both"/>
      </w:pPr>
      <w:r w:rsidRPr="00874FEC">
        <w:t>Upravený rozpočet činil 9 097 075,00 Kč, čerpáno bylo 8 431 417,71 Kč, což je 92,7 % rozpočtované částky</w:t>
      </w:r>
      <w:r>
        <w:t xml:space="preserve">. </w:t>
      </w:r>
    </w:p>
    <w:bookmarkEnd w:id="69"/>
    <w:p w14:paraId="3EEA866D" w14:textId="77777777" w:rsidR="000B380F" w:rsidRDefault="000B380F" w:rsidP="00327C00">
      <w:pPr>
        <w:spacing w:after="0" w:line="240" w:lineRule="auto"/>
        <w:jc w:val="both"/>
        <w:rPr>
          <w:b/>
          <w:sz w:val="28"/>
          <w:szCs w:val="28"/>
          <w:u w:val="single"/>
        </w:rPr>
      </w:pPr>
    </w:p>
    <w:p w14:paraId="4633E95A" w14:textId="77777777" w:rsidR="000B380F" w:rsidRDefault="000B380F" w:rsidP="00327C00">
      <w:pPr>
        <w:spacing w:after="0" w:line="240" w:lineRule="auto"/>
        <w:jc w:val="both"/>
        <w:rPr>
          <w:b/>
          <w:sz w:val="28"/>
          <w:szCs w:val="28"/>
          <w:u w:val="single"/>
        </w:rPr>
      </w:pPr>
      <w:r w:rsidRPr="00640545">
        <w:rPr>
          <w:b/>
          <w:sz w:val="28"/>
          <w:szCs w:val="28"/>
          <w:u w:val="single"/>
        </w:rPr>
        <w:t>Fondy</w:t>
      </w:r>
    </w:p>
    <w:p w14:paraId="508BEECC" w14:textId="77777777" w:rsidR="000B380F" w:rsidRPr="00640545" w:rsidRDefault="000B380F" w:rsidP="00327C00">
      <w:pPr>
        <w:spacing w:after="0" w:line="240" w:lineRule="auto"/>
        <w:jc w:val="both"/>
        <w:rPr>
          <w:b/>
          <w:sz w:val="28"/>
          <w:szCs w:val="28"/>
          <w:u w:val="single"/>
        </w:rPr>
      </w:pPr>
    </w:p>
    <w:p w14:paraId="2354DE6E" w14:textId="77777777" w:rsidR="000B380F" w:rsidRPr="00096AFD" w:rsidRDefault="000B380F" w:rsidP="00327C00">
      <w:pPr>
        <w:widowControl w:val="0"/>
        <w:spacing w:after="0" w:line="240" w:lineRule="auto"/>
        <w:jc w:val="both"/>
        <w:rPr>
          <w:b/>
        </w:rPr>
      </w:pPr>
      <w:r w:rsidRPr="00096AFD">
        <w:rPr>
          <w:b/>
        </w:rPr>
        <w:t>Středočeský Fond podpory dobrovolných hasičů a složek IZS</w:t>
      </w:r>
    </w:p>
    <w:p w14:paraId="09E5DF08" w14:textId="65169DEC" w:rsidR="000B380F" w:rsidRPr="00096AFD" w:rsidRDefault="000B380F" w:rsidP="00327C00">
      <w:pPr>
        <w:spacing w:after="0" w:line="240" w:lineRule="auto"/>
        <w:jc w:val="both"/>
        <w:rPr>
          <w:bCs/>
        </w:rPr>
      </w:pPr>
      <w:r w:rsidRPr="00096AFD">
        <w:rPr>
          <w:bCs/>
        </w:rPr>
        <w:t xml:space="preserve">Usnesením č. 008-28/2021/RK ze dne 01. 07. 2021, rozpočtovou úpravou č. 322/01/2021 byl proveden převod finančních prostředků z kapitoly 01 </w:t>
      </w:r>
      <w:r w:rsidR="0041246A">
        <w:rPr>
          <w:bCs/>
        </w:rPr>
        <w:t>-</w:t>
      </w:r>
      <w:r w:rsidRPr="00096AFD">
        <w:rPr>
          <w:bCs/>
        </w:rPr>
        <w:t xml:space="preserve"> Činnost Zastupitelstva do kapitoly 25 </w:t>
      </w:r>
      <w:r w:rsidR="0041246A">
        <w:rPr>
          <w:bCs/>
        </w:rPr>
        <w:t xml:space="preserve">- </w:t>
      </w:r>
      <w:r w:rsidRPr="00096AFD">
        <w:rPr>
          <w:bCs/>
        </w:rPr>
        <w:t>Bezpečnost a prevence ve výši 49 932 946,20 Kč.</w:t>
      </w:r>
    </w:p>
    <w:p w14:paraId="52A9EACE" w14:textId="55544AB9" w:rsidR="000B380F" w:rsidRDefault="000B380F" w:rsidP="00327C00">
      <w:pPr>
        <w:widowControl w:val="0"/>
        <w:spacing w:after="0" w:line="240" w:lineRule="auto"/>
        <w:jc w:val="both"/>
      </w:pPr>
      <w:r w:rsidRPr="00096AFD">
        <w:t>Finanční prostředky v celkové výši 38 431 281,00 Kč byly čerpány v souladu s usnesením č. 085-08/2021/ZK ze dne 28. 06. 2021. Dotace ze Středočeského Fondu podpory dobrovolných hasičů a složek IZS se poskytují na základě uzavřených smluv.</w:t>
      </w:r>
    </w:p>
    <w:p w14:paraId="5BA1C3D1" w14:textId="1E0F2C36" w:rsidR="000B380F" w:rsidRPr="009D7814" w:rsidRDefault="000B380F" w:rsidP="00327C00">
      <w:pPr>
        <w:spacing w:after="0" w:line="240" w:lineRule="auto"/>
        <w:jc w:val="both"/>
      </w:pPr>
      <w:r w:rsidRPr="009D7814">
        <w:t>Upravený rozpočet činil 49 932 946,20 Kč, čerpáno bylo 38 431 281,00 Kč, což je 77</w:t>
      </w:r>
      <w:r w:rsidR="0041246A">
        <w:t xml:space="preserve">,0 </w:t>
      </w:r>
      <w:r w:rsidRPr="009D7814">
        <w:t>% rozpočtované částky.</w:t>
      </w:r>
    </w:p>
    <w:p w14:paraId="67E200BD" w14:textId="77777777" w:rsidR="000B380F" w:rsidRDefault="000B380F" w:rsidP="00327C00">
      <w:pPr>
        <w:widowControl w:val="0"/>
        <w:spacing w:after="0" w:line="240" w:lineRule="auto"/>
        <w:jc w:val="both"/>
      </w:pPr>
    </w:p>
    <w:p w14:paraId="64434E5D" w14:textId="77777777" w:rsidR="000B380F" w:rsidRPr="0098128C" w:rsidRDefault="000B380F" w:rsidP="00327C00">
      <w:pPr>
        <w:spacing w:after="0" w:line="240" w:lineRule="auto"/>
        <w:jc w:val="both"/>
        <w:rPr>
          <w:b/>
        </w:rPr>
      </w:pPr>
      <w:bookmarkStart w:id="70" w:name="_Hlk98936300"/>
      <w:r w:rsidRPr="0098128C">
        <w:rPr>
          <w:b/>
        </w:rPr>
        <w:t>Středočeský Fond prevence</w:t>
      </w:r>
    </w:p>
    <w:p w14:paraId="5ED6ECAA" w14:textId="77777777" w:rsidR="00131A5E" w:rsidRDefault="00131A5E" w:rsidP="00131A5E">
      <w:pPr>
        <w:spacing w:after="0" w:line="240" w:lineRule="auto"/>
        <w:jc w:val="both"/>
      </w:pPr>
      <w:r w:rsidRPr="00131A5E">
        <w:t>Dotace poskytnuté ze Středočeského Fondu prevence přispívají k podpoře primární prevence, protidrogové prevence a prevence kriminality na území Středočeského kraje. Dotace ze Středočeského Fondu prevence jsou poskytovány v tématickém zadání Primární prevence, Prevence kriminality (sociální prevence a situační prevence) a Rozvoj a udržitelnost sítě adiktologických služeb subjektům na území Středočeského kraje (školy, neziskové organizace, obce s rozšířenou působností).</w:t>
      </w:r>
    </w:p>
    <w:p w14:paraId="052241B8" w14:textId="6B313E1D" w:rsidR="000B380F" w:rsidRDefault="00F70CCC" w:rsidP="00327C00">
      <w:pPr>
        <w:spacing w:after="0" w:line="240" w:lineRule="auto"/>
        <w:jc w:val="both"/>
      </w:pPr>
      <w:r>
        <w:t xml:space="preserve">Upravený rozpočet Středočeského Fondu prevence byl vytvořen na základě usnesení č. 007-04/2021/ZK ze dne 22. 2. 2021 (navýšení rozpočtu SK o prostředky ze sdílených daní a nevyčerpané prostředky z roku 2020). </w:t>
      </w:r>
      <w:r w:rsidR="000B380F">
        <w:t xml:space="preserve">Usnesením č. 086-08/2021/ZK ze dne 28. 6. 2021 bylo schváleno poskytnutí dotací ze Středočeského Fondu prevence. Jedná se o dotace pro školy a školská zařízení, které mají sídlo ve Středočeském kraji s výjimkou škol a školských zařízení zřizovaných Středočeským krajem, neziskové organizace a obce s rozšířenou působností ve Středočeském kraji. </w:t>
      </w:r>
    </w:p>
    <w:p w14:paraId="0E3FF3F5" w14:textId="77777777" w:rsidR="000B380F" w:rsidRPr="001D516C" w:rsidRDefault="000B380F" w:rsidP="00327C00">
      <w:pPr>
        <w:spacing w:after="0" w:line="240" w:lineRule="auto"/>
        <w:jc w:val="both"/>
        <w:rPr>
          <w:color w:val="FF0000"/>
        </w:rPr>
      </w:pPr>
      <w:r w:rsidRPr="0098128C">
        <w:t xml:space="preserve">Upravený rozpočet činil </w:t>
      </w:r>
      <w:r>
        <w:t xml:space="preserve">6 500 000,00 </w:t>
      </w:r>
      <w:r w:rsidRPr="0098128C">
        <w:t xml:space="preserve">Kč, čerpáno bylo </w:t>
      </w:r>
      <w:r>
        <w:t>6 476 584,00 Kč, což je 99,6</w:t>
      </w:r>
      <w:r w:rsidRPr="0098128C">
        <w:t xml:space="preserve"> % rozpočtované částky</w:t>
      </w:r>
      <w:bookmarkEnd w:id="70"/>
      <w:r w:rsidRPr="0098128C">
        <w:t>.</w:t>
      </w:r>
    </w:p>
    <w:p w14:paraId="6622CB64" w14:textId="77777777" w:rsidR="00131A5E" w:rsidRDefault="00131A5E" w:rsidP="00327C00">
      <w:pPr>
        <w:spacing w:after="0" w:line="240" w:lineRule="auto"/>
        <w:jc w:val="both"/>
        <w:rPr>
          <w:b/>
          <w:sz w:val="28"/>
          <w:szCs w:val="28"/>
          <w:u w:val="single"/>
        </w:rPr>
      </w:pPr>
    </w:p>
    <w:p w14:paraId="060F65FD" w14:textId="68FA172C" w:rsidR="000B380F" w:rsidRDefault="000B380F" w:rsidP="00327C00">
      <w:pPr>
        <w:spacing w:after="0" w:line="240" w:lineRule="auto"/>
        <w:jc w:val="both"/>
        <w:rPr>
          <w:b/>
          <w:sz w:val="28"/>
          <w:szCs w:val="28"/>
          <w:u w:val="single"/>
        </w:rPr>
      </w:pPr>
      <w:bookmarkStart w:id="71" w:name="_Hlk98936377"/>
      <w:r w:rsidRPr="006C7DAE">
        <w:rPr>
          <w:b/>
          <w:sz w:val="28"/>
          <w:szCs w:val="28"/>
          <w:u w:val="single"/>
        </w:rPr>
        <w:t>Kapitálové výdaje</w:t>
      </w:r>
    </w:p>
    <w:p w14:paraId="5D57EDCA" w14:textId="77777777" w:rsidR="0041246A" w:rsidRDefault="0041246A" w:rsidP="00327C00">
      <w:pPr>
        <w:spacing w:after="0" w:line="240" w:lineRule="auto"/>
        <w:jc w:val="both"/>
        <w:rPr>
          <w:b/>
          <w:sz w:val="28"/>
          <w:szCs w:val="28"/>
          <w:u w:val="single"/>
        </w:rPr>
      </w:pPr>
    </w:p>
    <w:p w14:paraId="6B5C1499" w14:textId="77777777" w:rsidR="0041246A" w:rsidRPr="006C7DAE" w:rsidRDefault="0041246A" w:rsidP="00327C00">
      <w:pPr>
        <w:spacing w:after="0" w:line="240" w:lineRule="auto"/>
        <w:jc w:val="both"/>
        <w:rPr>
          <w:b/>
        </w:rPr>
      </w:pPr>
      <w:r w:rsidRPr="006C7DAE">
        <w:rPr>
          <w:b/>
        </w:rPr>
        <w:t xml:space="preserve">§ 5599 – Ostatní záležitosti požární ochrany a integrovaného záchranného systému </w:t>
      </w:r>
    </w:p>
    <w:p w14:paraId="468F1CCE" w14:textId="03665D9D" w:rsidR="0041246A" w:rsidRPr="006C7DAE" w:rsidRDefault="0041246A" w:rsidP="00327C00">
      <w:pPr>
        <w:spacing w:after="0" w:line="240" w:lineRule="auto"/>
        <w:jc w:val="both"/>
      </w:pPr>
      <w:r w:rsidRPr="006C7DAE">
        <w:t xml:space="preserve">Usnesením č. </w:t>
      </w:r>
      <w:r w:rsidR="003B391A">
        <w:t>0</w:t>
      </w:r>
      <w:r w:rsidRPr="006C7DAE">
        <w:t xml:space="preserve">97-10/2021/ZK ze dne 25. 10. 2021 byl rozpočet Středočeského kraje navýšen o příjmy kraje z vybraných kaucí a uložených pokut za spáchání správního deliktu dopravcem podle zákona č. 111/1994 Sb., o silniční dopravě, ve znění pozdějších předpisů – příjem na kapitole 04 – Doprava a výdaj na kapitole 25 – Bezpečnost a prevence ve výši 3 000 000,00 Kč. Tyto finanční prostředky </w:t>
      </w:r>
      <w:r w:rsidR="008963DA">
        <w:t xml:space="preserve">byly </w:t>
      </w:r>
      <w:r w:rsidR="008963DA" w:rsidRPr="008963DA">
        <w:t>poskytnuty</w:t>
      </w:r>
      <w:r w:rsidRPr="008963DA">
        <w:t xml:space="preserve"> </w:t>
      </w:r>
      <w:r w:rsidR="008963DA" w:rsidRPr="008963DA">
        <w:rPr>
          <w:rFonts w:ascii="Calibri" w:hAnsi="Calibri"/>
        </w:rPr>
        <w:t xml:space="preserve">na základě usnesení č. 097-10/2021/ZK ze dne 25. 10. 2021 </w:t>
      </w:r>
      <w:r w:rsidRPr="006C7DAE">
        <w:t>jako dar Hasičskému záchrannému sboru Středočeského kraje na pořízení velitelských a užitkových automobilů pro příslušníky zajišťující výkon státního dozoru</w:t>
      </w:r>
      <w:r w:rsidR="008963DA">
        <w:t>.</w:t>
      </w:r>
    </w:p>
    <w:p w14:paraId="7B50E1F9" w14:textId="0B7C2BE5" w:rsidR="0041246A" w:rsidRPr="009D7814" w:rsidRDefault="0041246A" w:rsidP="00327C00">
      <w:pPr>
        <w:spacing w:after="0" w:line="240" w:lineRule="auto"/>
        <w:jc w:val="both"/>
      </w:pPr>
      <w:r w:rsidRPr="009D7814">
        <w:t>Upravený rozpočet činil 3 000 000,00 Kč, čerpáno bylo 3 000 000,00 Kč, což je 100</w:t>
      </w:r>
      <w:r w:rsidR="00F70CCC">
        <w:t>,0</w:t>
      </w:r>
      <w:r w:rsidRPr="009D7814">
        <w:t xml:space="preserve"> % rozpočtované částky. </w:t>
      </w:r>
    </w:p>
    <w:p w14:paraId="17C84938" w14:textId="77777777" w:rsidR="000B380F" w:rsidRPr="006C7DAE" w:rsidRDefault="000B380F" w:rsidP="00327C00">
      <w:pPr>
        <w:spacing w:after="0" w:line="240" w:lineRule="auto"/>
        <w:jc w:val="both"/>
        <w:rPr>
          <w:b/>
          <w:sz w:val="28"/>
          <w:szCs w:val="28"/>
          <w:u w:val="single"/>
        </w:rPr>
      </w:pPr>
    </w:p>
    <w:p w14:paraId="79ADA68F" w14:textId="77777777" w:rsidR="000B380F" w:rsidRPr="006C7DAE" w:rsidRDefault="000B380F" w:rsidP="008963DA">
      <w:pPr>
        <w:spacing w:after="0" w:line="240" w:lineRule="auto"/>
        <w:jc w:val="both"/>
        <w:rPr>
          <w:b/>
        </w:rPr>
      </w:pPr>
      <w:r w:rsidRPr="006C7DAE">
        <w:rPr>
          <w:b/>
        </w:rPr>
        <w:t xml:space="preserve">§ 5399 – Ostatní záležitosti bezpečnosti, veřejného pořádku </w:t>
      </w:r>
    </w:p>
    <w:p w14:paraId="15DBA527" w14:textId="4CDBF872" w:rsidR="000B380F" w:rsidRDefault="000B380F" w:rsidP="008963DA">
      <w:pPr>
        <w:spacing w:after="0" w:line="240" w:lineRule="auto"/>
        <w:jc w:val="both"/>
      </w:pPr>
      <w:r w:rsidRPr="006C7DAE">
        <w:t xml:space="preserve">Usnesením č. </w:t>
      </w:r>
      <w:r w:rsidR="003B391A">
        <w:t>0</w:t>
      </w:r>
      <w:r w:rsidRPr="006C7DAE">
        <w:t xml:space="preserve">97-10/2021/ZK ze dne 25. 10. 2021 byl rozpočet Středočeského kraje navýšen o příjmy kraje z vybraných kaucí a uložených pokut za spáchání správního deliktu dopravcem podle zákona č. 111/1994 Sb., o silniční dopravě, ve znění pozdějších předpisů – příjem na kapitole 04 – Doprava a výdaj na kapitole 25 – Bezpečnost a prevence ve výši 4 000 000,00 Kč. Tyto finanční prostředky </w:t>
      </w:r>
      <w:r w:rsidR="008963DA">
        <w:t xml:space="preserve">byly poskytnuty </w:t>
      </w:r>
      <w:r w:rsidR="008963DA" w:rsidRPr="008963DA">
        <w:t>na základě usnesení č. 097-10/2021/ZK ze dne 25. 10. 2021</w:t>
      </w:r>
      <w:r w:rsidRPr="006C7DAE">
        <w:t xml:space="preserve"> jako dar Policii ČR – Krajskému ředitelství Středočeského kraje na pořízení bezpilotních prostředků a zaměřovací a zpracovatelské techniky pro dopravní policisty a z části na rozšíření projektu POL POINT.</w:t>
      </w:r>
    </w:p>
    <w:p w14:paraId="265B7D8B" w14:textId="3BA52212" w:rsidR="000B380F" w:rsidRPr="009D7814" w:rsidRDefault="000B380F" w:rsidP="008963DA">
      <w:pPr>
        <w:spacing w:after="0" w:line="240" w:lineRule="auto"/>
        <w:jc w:val="both"/>
      </w:pPr>
      <w:r w:rsidRPr="009D7814">
        <w:t>Upravený rozpočet činil 4 000 000,00 Kč, čerpáno bylo 4 000 000,00 Kč, což je 100</w:t>
      </w:r>
      <w:r w:rsidR="00F70CCC">
        <w:t>,0</w:t>
      </w:r>
      <w:r w:rsidRPr="009D7814">
        <w:t xml:space="preserve"> % rozpočtované částky. </w:t>
      </w:r>
    </w:p>
    <w:bookmarkEnd w:id="71"/>
    <w:p w14:paraId="1EEC1610" w14:textId="77777777" w:rsidR="000B380F" w:rsidRPr="006C7DAE" w:rsidRDefault="000B380F" w:rsidP="00327C00">
      <w:pPr>
        <w:spacing w:after="0" w:line="240" w:lineRule="auto"/>
        <w:jc w:val="both"/>
      </w:pPr>
    </w:p>
    <w:p w14:paraId="42BA465D" w14:textId="77777777" w:rsidR="000B380F" w:rsidRDefault="000B380F" w:rsidP="00327C00">
      <w:pPr>
        <w:spacing w:after="0" w:line="240" w:lineRule="auto"/>
        <w:jc w:val="both"/>
        <w:rPr>
          <w:b/>
          <w:sz w:val="28"/>
          <w:szCs w:val="28"/>
          <w:u w:val="single"/>
        </w:rPr>
      </w:pPr>
    </w:p>
    <w:p w14:paraId="7F2A2CC2" w14:textId="77777777" w:rsidR="000B380F" w:rsidRPr="001D516C" w:rsidRDefault="000B380F" w:rsidP="00327C00">
      <w:pPr>
        <w:spacing w:after="0" w:line="240" w:lineRule="auto"/>
        <w:jc w:val="both"/>
        <w:rPr>
          <w:sz w:val="18"/>
          <w:szCs w:val="18"/>
        </w:rPr>
      </w:pPr>
      <w:r w:rsidRPr="001D516C">
        <w:rPr>
          <w:b/>
          <w:sz w:val="28"/>
          <w:szCs w:val="28"/>
          <w:u w:val="single"/>
        </w:rPr>
        <w:t>Dot</w:t>
      </w:r>
      <w:smartTag w:uri="urn:schemas-microsoft-com:office:smarttags" w:element="PersonName">
        <w:r w:rsidRPr="001D516C">
          <w:rPr>
            <w:b/>
            <w:sz w:val="28"/>
            <w:szCs w:val="28"/>
            <w:u w:val="single"/>
          </w:rPr>
          <w:t>ace</w:t>
        </w:r>
      </w:smartTag>
      <w:r w:rsidRPr="001D516C">
        <w:rPr>
          <w:b/>
          <w:sz w:val="28"/>
          <w:szCs w:val="28"/>
          <w:u w:val="single"/>
        </w:rPr>
        <w:t xml:space="preserve"> ze státního rozpočtu a ostatních veřejných rozpočtů</w:t>
      </w:r>
      <w:r w:rsidRPr="001D516C">
        <w:rPr>
          <w:sz w:val="18"/>
          <w:szCs w:val="18"/>
        </w:rPr>
        <w:tab/>
      </w:r>
    </w:p>
    <w:p w14:paraId="1003F98D" w14:textId="77777777" w:rsidR="000B380F" w:rsidRDefault="000B380F" w:rsidP="00327C00">
      <w:pPr>
        <w:spacing w:after="0" w:line="240" w:lineRule="auto"/>
        <w:jc w:val="both"/>
      </w:pPr>
    </w:p>
    <w:p w14:paraId="03895F6E" w14:textId="77777777" w:rsidR="000B380F" w:rsidRPr="0098128C" w:rsidRDefault="000B380F" w:rsidP="00327C00">
      <w:pPr>
        <w:spacing w:after="0" w:line="240" w:lineRule="auto"/>
        <w:jc w:val="both"/>
        <w:rPr>
          <w:b/>
        </w:rPr>
      </w:pPr>
      <w:r w:rsidRPr="0098128C">
        <w:rPr>
          <w:b/>
        </w:rPr>
        <w:t>§ 3299 – Vyhodnocení ohroženosti krajských škol jako měkkého cíle 2021 (UZ 14034)</w:t>
      </w:r>
    </w:p>
    <w:p w14:paraId="481EC432" w14:textId="77777777" w:rsidR="000B380F" w:rsidRPr="0025592E" w:rsidRDefault="000B380F" w:rsidP="00327C00">
      <w:pPr>
        <w:spacing w:after="0" w:line="240" w:lineRule="auto"/>
        <w:jc w:val="both"/>
      </w:pPr>
      <w:r>
        <w:t>V 10 krajských školách, které byly Odborem školství ve spolupráci s Odborem bezpečnosti a krizového řízení a Krajským ředitelstvím policie Středočeského kraje vytipovány za rizikové, se uskuteční dle metodiky MV CŘ vyhodnocení ohroženosti měkkého cíle, a tím vznikne dokument pro každou konkrétní školu s názvem „Vyhodnocení ohroženosti školy z pohledu školy jako jednoho z typů měkkého cíle“. Na základě tohoto dokumentu se následně pro školy zpracuje dle metodiky MV ČR „Bezpečnostní plán měkkého cíle“ dokument s názvem „Bezpečnostní plán školy“. Celková výše přidělené dotace 500</w:t>
      </w:r>
      <w:r w:rsidRPr="003D2714">
        <w:t> 000,00 Kč nebyl</w:t>
      </w:r>
      <w:r>
        <w:t>a</w:t>
      </w:r>
      <w:r w:rsidRPr="003D2714">
        <w:t xml:space="preserve"> využit</w:t>
      </w:r>
      <w:r>
        <w:t>a</w:t>
      </w:r>
      <w:r w:rsidRPr="003D2714">
        <w:t xml:space="preserve"> v plné výši</w:t>
      </w:r>
      <w:r>
        <w:t>.</w:t>
      </w:r>
      <w:r w:rsidRPr="003D2714">
        <w:t xml:space="preserve"> Na základě vítězné nabídky veřejné zakázky malého rozsahu byly na tento projekt použity finanční prostředky ve výši </w:t>
      </w:r>
      <w:r>
        <w:t>119 790,00</w:t>
      </w:r>
      <w:r w:rsidRPr="003D2714">
        <w:t xml:space="preserve"> Kč. Nevyužité finanční prostředky byly vráceny zpět na účet MV ČR ve výši </w:t>
      </w:r>
      <w:r>
        <w:t>380 210</w:t>
      </w:r>
      <w:r w:rsidRPr="0025592E">
        <w:t>,00 Kč v roce 2021.</w:t>
      </w:r>
    </w:p>
    <w:p w14:paraId="5F5985B5" w14:textId="360266A8" w:rsidR="000B380F" w:rsidRPr="00D204F5" w:rsidRDefault="000B380F" w:rsidP="00327C00">
      <w:pPr>
        <w:spacing w:after="0" w:line="240" w:lineRule="auto"/>
        <w:jc w:val="both"/>
      </w:pPr>
      <w:r w:rsidRPr="00D204F5">
        <w:t xml:space="preserve">Upravený rozpočet činil </w:t>
      </w:r>
      <w:r>
        <w:t>119 790</w:t>
      </w:r>
      <w:r w:rsidRPr="00D204F5">
        <w:t>,00 Kč</w:t>
      </w:r>
      <w:r>
        <w:t>,</w:t>
      </w:r>
      <w:r w:rsidRPr="00D204F5">
        <w:t xml:space="preserve"> čerpáno bylo </w:t>
      </w:r>
      <w:r>
        <w:t>119 790,00</w:t>
      </w:r>
      <w:r w:rsidRPr="00D204F5">
        <w:t xml:space="preserve"> Kč, což je </w:t>
      </w:r>
      <w:r>
        <w:t>100</w:t>
      </w:r>
      <w:r w:rsidR="00F70CCC">
        <w:t>,0</w:t>
      </w:r>
      <w:r>
        <w:t xml:space="preserve"> </w:t>
      </w:r>
      <w:r w:rsidRPr="00D204F5">
        <w:t>% rozpočtované částky</w:t>
      </w:r>
      <w:r>
        <w:t>.</w:t>
      </w:r>
    </w:p>
    <w:p w14:paraId="086B5EE7" w14:textId="77777777" w:rsidR="000B380F" w:rsidRDefault="000B380F" w:rsidP="00327C00">
      <w:pPr>
        <w:spacing w:after="0" w:line="240" w:lineRule="auto"/>
        <w:jc w:val="both"/>
      </w:pPr>
    </w:p>
    <w:p w14:paraId="1A2477D9" w14:textId="77777777" w:rsidR="000B380F" w:rsidRPr="0098128C" w:rsidRDefault="000B380F" w:rsidP="00327C00">
      <w:pPr>
        <w:spacing w:after="0" w:line="240" w:lineRule="auto"/>
        <w:jc w:val="both"/>
        <w:rPr>
          <w:b/>
        </w:rPr>
      </w:pPr>
      <w:r w:rsidRPr="0098128C">
        <w:rPr>
          <w:b/>
        </w:rPr>
        <w:t xml:space="preserve">§ 3299 – Tvorba bezpečnostních plánů a bezpečnostních procedur 2021 (UZ 14034)  </w:t>
      </w:r>
    </w:p>
    <w:p w14:paraId="04166E97" w14:textId="77777777" w:rsidR="000B380F" w:rsidRPr="007D2A19" w:rsidRDefault="000B380F" w:rsidP="00327C00">
      <w:pPr>
        <w:tabs>
          <w:tab w:val="left" w:pos="283"/>
        </w:tabs>
        <w:spacing w:after="0" w:line="240" w:lineRule="auto"/>
        <w:jc w:val="both"/>
        <w:rPr>
          <w:color w:val="FF0000"/>
        </w:rPr>
      </w:pPr>
      <w:r>
        <w:t xml:space="preserve">Tvorba bezpečnostního plánu a bezpečnostní procedury se bude vypracovávat až po zpracování vyhodnocení ohroženosti 10 krajských škol a školských zařízení. Bezpečnostní plán a bezpečnostní procedura bude mimo jiné obsahovat bezpečnostní opatření, která se přijímají na základě zpracování vyhodnocení ohroženosti měkkého cíle. Cílem je vytvořit manuál pro každou školu samostatně obsahující všechny relevantní informace, které je nutné v souvislosti s bezpečností školy jako měkkého cíle znát a realizovat v praxi. </w:t>
      </w:r>
      <w:r w:rsidRPr="003D2714">
        <w:t xml:space="preserve">Celková výše přidělené dotace </w:t>
      </w:r>
      <w:r>
        <w:t>650</w:t>
      </w:r>
      <w:r w:rsidRPr="003D2714">
        <w:t> 000,00 Kč nebyl</w:t>
      </w:r>
      <w:r>
        <w:t>a</w:t>
      </w:r>
      <w:r w:rsidRPr="003D2714">
        <w:t xml:space="preserve"> využit</w:t>
      </w:r>
      <w:r>
        <w:t>a</w:t>
      </w:r>
      <w:r w:rsidRPr="003D2714">
        <w:t xml:space="preserve"> v plné výši. Na základě vítězné nabídky veřejné zakázky malého rozsahu byly na tento projekt použity finanční prostředky ve výši</w:t>
      </w:r>
      <w:r>
        <w:t xml:space="preserve"> 54 450,</w:t>
      </w:r>
      <w:r w:rsidRPr="003D2714">
        <w:t xml:space="preserve">00 Kč. Nevyužité finanční prostředky byly vráceny zpět na účet MV ČR ve výši </w:t>
      </w:r>
      <w:r>
        <w:t>595 550</w:t>
      </w:r>
      <w:r w:rsidRPr="0025592E">
        <w:t>,00 Kč v roce 2021.</w:t>
      </w:r>
    </w:p>
    <w:p w14:paraId="6B9D5784" w14:textId="641280AF" w:rsidR="000B380F" w:rsidRPr="00D204F5" w:rsidRDefault="000B380F" w:rsidP="00327C00">
      <w:pPr>
        <w:spacing w:after="0" w:line="240" w:lineRule="auto"/>
        <w:jc w:val="both"/>
      </w:pPr>
      <w:r w:rsidRPr="00D204F5">
        <w:t xml:space="preserve">Upravený rozpočet činil </w:t>
      </w:r>
      <w:r>
        <w:t>54 450</w:t>
      </w:r>
      <w:r w:rsidRPr="00D204F5">
        <w:t>,00 Kč</w:t>
      </w:r>
      <w:r>
        <w:t>,</w:t>
      </w:r>
      <w:r w:rsidRPr="00D204F5">
        <w:t xml:space="preserve"> čerpáno bylo </w:t>
      </w:r>
      <w:r>
        <w:t>54 450,00</w:t>
      </w:r>
      <w:r w:rsidRPr="00D204F5">
        <w:t xml:space="preserve"> Kč, což je </w:t>
      </w:r>
      <w:r>
        <w:t>100</w:t>
      </w:r>
      <w:r w:rsidR="00F70CCC">
        <w:t>,0</w:t>
      </w:r>
      <w:r>
        <w:t xml:space="preserve"> </w:t>
      </w:r>
      <w:r w:rsidRPr="00D204F5">
        <w:t>% rozpočtované částky</w:t>
      </w:r>
      <w:r>
        <w:t>.</w:t>
      </w:r>
    </w:p>
    <w:p w14:paraId="0E3359CB" w14:textId="77777777" w:rsidR="000B380F" w:rsidRDefault="000B380F" w:rsidP="00327C00">
      <w:pPr>
        <w:spacing w:after="0" w:line="240" w:lineRule="auto"/>
        <w:jc w:val="both"/>
      </w:pPr>
    </w:p>
    <w:p w14:paraId="63087784" w14:textId="77777777" w:rsidR="000B380F" w:rsidRPr="0098128C" w:rsidRDefault="000B380F" w:rsidP="00327C00">
      <w:pPr>
        <w:spacing w:after="0" w:line="240" w:lineRule="auto"/>
        <w:jc w:val="both"/>
        <w:rPr>
          <w:b/>
        </w:rPr>
      </w:pPr>
      <w:r w:rsidRPr="0098128C">
        <w:rPr>
          <w:b/>
        </w:rPr>
        <w:t>§ 3299 – Bezpečná škola 2021 - koordinace (UZ 14034)</w:t>
      </w:r>
    </w:p>
    <w:p w14:paraId="56DDFAB0" w14:textId="77777777" w:rsidR="000B380F" w:rsidRPr="009D7814" w:rsidRDefault="000B380F" w:rsidP="00327C00">
      <w:pPr>
        <w:spacing w:after="0" w:line="240" w:lineRule="auto"/>
        <w:jc w:val="both"/>
      </w:pPr>
      <w:r>
        <w:t xml:space="preserve">Finanční prostředky z dotace Ministerstva vnitra ČR v rámci Dotačního programu pro zvýšení ochrany veřejných prostranství a objektů (akcí) veřejné správy, škol – podprogram Ochrana a zabezpečení škol a školských zařízení jako možných měkkých cílů a školských zařízení jako měkkých cílů – 2021 byly zapojeny do rozpočtu kapitoly 25 – Bezpečnost a prevence v březnu 2021 na základě usnesení č. 004-12/2021/RK ze dne 11. 3. 2021. Středočeský kraj zaměstnal koordinačního pracovníka pro zajištění potřebných administrativních úkonů nutných pro realizaci projektů v rámci dotace. Celková výše přidělené dotace byla 200 000,00 Kč nebyla plně využita z důvodu pandemické situace. </w:t>
      </w:r>
      <w:r w:rsidRPr="009D7814">
        <w:t>Nevyužité finanční prostředky byly vráceny zpět na účet MV ČR ve výši 187 967,00 Kč v roce 2022.</w:t>
      </w:r>
    </w:p>
    <w:p w14:paraId="1CE715D2" w14:textId="0015DBF6" w:rsidR="000B380F" w:rsidRPr="001D516C" w:rsidRDefault="000B380F" w:rsidP="00327C00">
      <w:pPr>
        <w:spacing w:after="0" w:line="240" w:lineRule="auto"/>
        <w:jc w:val="both"/>
        <w:rPr>
          <w:color w:val="FF0000"/>
        </w:rPr>
      </w:pPr>
      <w:r w:rsidRPr="0098128C">
        <w:t xml:space="preserve">Upravený rozpočet činil </w:t>
      </w:r>
      <w:r>
        <w:t xml:space="preserve">200 000,00 </w:t>
      </w:r>
      <w:r w:rsidRPr="0098128C">
        <w:t xml:space="preserve">Kč, čerpáno bylo </w:t>
      </w:r>
      <w:r>
        <w:t>12 033,00 Kč, což je 6</w:t>
      </w:r>
      <w:r w:rsidR="00F70CCC">
        <w:t>,0</w:t>
      </w:r>
      <w:r w:rsidRPr="0098128C">
        <w:t xml:space="preserve"> % rozpočtované částky.</w:t>
      </w:r>
    </w:p>
    <w:p w14:paraId="683CD1A2" w14:textId="77777777" w:rsidR="000B380F" w:rsidRDefault="000B380F" w:rsidP="00327C00">
      <w:pPr>
        <w:spacing w:after="0" w:line="240" w:lineRule="auto"/>
        <w:jc w:val="both"/>
      </w:pPr>
    </w:p>
    <w:p w14:paraId="00432479" w14:textId="77777777" w:rsidR="000B380F" w:rsidRPr="0098128C" w:rsidRDefault="000B380F" w:rsidP="00327C00">
      <w:pPr>
        <w:spacing w:after="0" w:line="240" w:lineRule="auto"/>
        <w:jc w:val="both"/>
        <w:rPr>
          <w:b/>
        </w:rPr>
      </w:pPr>
      <w:r w:rsidRPr="0098128C">
        <w:rPr>
          <w:b/>
        </w:rPr>
        <w:t>§ 3299 – Vzdělávací akce 2021 (UZ 14034)</w:t>
      </w:r>
    </w:p>
    <w:p w14:paraId="2ADAE9A9" w14:textId="77777777" w:rsidR="000B380F" w:rsidRPr="007D2A19" w:rsidRDefault="000B380F" w:rsidP="00327C00">
      <w:pPr>
        <w:tabs>
          <w:tab w:val="left" w:pos="283"/>
        </w:tabs>
        <w:spacing w:after="0" w:line="240" w:lineRule="auto"/>
        <w:jc w:val="both"/>
      </w:pPr>
      <w:r>
        <w:t xml:space="preserve">Tento dílčí projekt se skládá ze dvou samotných aktivit, a to z realizace 10 interaktivních seminářů pro všechny zaměstnance školy (pedagogické i nepedagogické pracovníky) na téma „Psychologie pachatele – aktivního útočníka“ a z realizace 10 interaktivních seminářů pro všechny zaměstnance školy (pedagogické i nepedagogické pracovníky) na téma „Bezpečnost školy z pohledu škola jako měkký cíl“. Celková výše přidělené dotace byla 500 000,00 Kč nebyla plně využita z důvodu pandemické situace. </w:t>
      </w:r>
      <w:r w:rsidRPr="003D2714">
        <w:t xml:space="preserve">Nevyužité finanční prostředky byly vráceny zpět na účet MV ČR ve výši </w:t>
      </w:r>
      <w:r w:rsidRPr="007D2A19">
        <w:t>100 000,00 Kč v roce 2021.</w:t>
      </w:r>
    </w:p>
    <w:p w14:paraId="2B42B89C" w14:textId="6E4A0B74" w:rsidR="000B380F" w:rsidRPr="001D516C" w:rsidRDefault="000B380F" w:rsidP="00327C00">
      <w:pPr>
        <w:spacing w:after="0" w:line="240" w:lineRule="auto"/>
        <w:jc w:val="both"/>
        <w:rPr>
          <w:color w:val="FF0000"/>
        </w:rPr>
      </w:pPr>
      <w:r w:rsidRPr="0098128C">
        <w:t xml:space="preserve">Upravený rozpočet činil </w:t>
      </w:r>
      <w:r>
        <w:t xml:space="preserve">400 000,00 </w:t>
      </w:r>
      <w:r w:rsidRPr="0098128C">
        <w:t xml:space="preserve">Kč, čerpáno bylo </w:t>
      </w:r>
      <w:r>
        <w:t>400 000,00 Kč, což je 100</w:t>
      </w:r>
      <w:r w:rsidR="00F70CCC">
        <w:t>,0</w:t>
      </w:r>
      <w:r w:rsidRPr="0098128C">
        <w:t xml:space="preserve"> % rozpočtované částky.</w:t>
      </w:r>
    </w:p>
    <w:p w14:paraId="39B11416" w14:textId="77777777" w:rsidR="000B380F" w:rsidRDefault="000B380F" w:rsidP="00327C00">
      <w:pPr>
        <w:spacing w:after="0" w:line="240" w:lineRule="auto"/>
        <w:jc w:val="both"/>
      </w:pPr>
    </w:p>
    <w:p w14:paraId="595C5A8B" w14:textId="77777777" w:rsidR="000B380F" w:rsidRPr="0098128C" w:rsidRDefault="000B380F" w:rsidP="00327C00">
      <w:pPr>
        <w:spacing w:after="0" w:line="240" w:lineRule="auto"/>
        <w:jc w:val="both"/>
        <w:rPr>
          <w:b/>
        </w:rPr>
      </w:pPr>
      <w:r w:rsidRPr="0098128C">
        <w:rPr>
          <w:b/>
        </w:rPr>
        <w:t>§ 3299 – Řídící bezpečnostní pracovník škol 2021 (UZ 14034)</w:t>
      </w:r>
    </w:p>
    <w:p w14:paraId="470A7C6F" w14:textId="77777777" w:rsidR="000B380F" w:rsidRPr="009D7814" w:rsidRDefault="000B380F" w:rsidP="00327C00">
      <w:pPr>
        <w:tabs>
          <w:tab w:val="left" w:pos="283"/>
        </w:tabs>
        <w:spacing w:after="0" w:line="240" w:lineRule="auto"/>
        <w:jc w:val="both"/>
      </w:pPr>
      <w:r>
        <w:t xml:space="preserve">KÚSK zaměstnal pro rok 2021 tři odborníky z oblasti ochrany měkkých cílů, který má zkušenosti s ochranou měkkých cílů (případně s bezpečností škol z pohledu školy jako jednoho z typů měkkého cíle) na pracovní pozici řídící bezpečnostní pracovník. Tito bezpečnostní pracovníci budou metodicky zajištovat a koordinovat bezpečnost škol a školských zařízení zřizovaných Středočeským krajem v příslušném regionu Středočeského kraje. Celková výše přidělené dotace 400 000,00 Kč nebyla plně využita. </w:t>
      </w:r>
      <w:r w:rsidRPr="009D7814">
        <w:t>Nevyužité finanční prostředky byly vráceny zpět na účet MV ČR ve výši 64 008,54 Kč v roce 2022.</w:t>
      </w:r>
    </w:p>
    <w:p w14:paraId="7854846A" w14:textId="6C4ADD3C" w:rsidR="000B380F" w:rsidRPr="001D516C" w:rsidRDefault="000B380F" w:rsidP="00327C00">
      <w:pPr>
        <w:spacing w:after="0" w:line="240" w:lineRule="auto"/>
        <w:jc w:val="both"/>
        <w:rPr>
          <w:color w:val="FF0000"/>
        </w:rPr>
      </w:pPr>
      <w:r w:rsidRPr="0098128C">
        <w:t xml:space="preserve">Upravený rozpočet činil </w:t>
      </w:r>
      <w:r>
        <w:t xml:space="preserve">400 000,00 </w:t>
      </w:r>
      <w:r w:rsidRPr="0098128C">
        <w:t xml:space="preserve">Kč, čerpáno bylo </w:t>
      </w:r>
      <w:r>
        <w:t>335 991,46 Kč, což je 84</w:t>
      </w:r>
      <w:r w:rsidR="00F70CCC">
        <w:t>,0</w:t>
      </w:r>
      <w:r w:rsidRPr="0098128C">
        <w:t xml:space="preserve"> % rozpočtované částky.</w:t>
      </w:r>
    </w:p>
    <w:p w14:paraId="5D68CB65" w14:textId="77777777" w:rsidR="000B380F" w:rsidRDefault="000B380F" w:rsidP="00327C00">
      <w:pPr>
        <w:spacing w:after="0" w:line="240" w:lineRule="auto"/>
        <w:jc w:val="both"/>
      </w:pPr>
    </w:p>
    <w:p w14:paraId="184FC952" w14:textId="77777777" w:rsidR="000B380F" w:rsidRPr="00356FF2" w:rsidRDefault="000B380F" w:rsidP="00327C00">
      <w:pPr>
        <w:spacing w:after="0" w:line="240" w:lineRule="auto"/>
        <w:jc w:val="both"/>
        <w:rPr>
          <w:b/>
        </w:rPr>
      </w:pPr>
      <w:r w:rsidRPr="00356FF2">
        <w:rPr>
          <w:b/>
        </w:rPr>
        <w:t>§ 3299 – Kraje pro bezpečný internet – preventivně informační videospoty „Internet pod mikroskopem“ (UZ 14032)</w:t>
      </w:r>
    </w:p>
    <w:p w14:paraId="47EB0A48" w14:textId="2CA4DFFC" w:rsidR="000B380F" w:rsidRPr="00D204F5" w:rsidRDefault="000B380F" w:rsidP="00327C00">
      <w:pPr>
        <w:spacing w:after="0" w:line="240" w:lineRule="auto"/>
        <w:jc w:val="both"/>
      </w:pPr>
      <w:r w:rsidRPr="00356FF2">
        <w:t xml:space="preserve">V rámci Programu prevence kriminality v roce 2021 byly na tři projekty Středočeskému kraji v rámci dotačního programu „Prevence kriminality na rok 2021“ Ministerstvem vnitra ČR </w:t>
      </w:r>
      <w:r w:rsidR="00F70CCC">
        <w:t xml:space="preserve">byly </w:t>
      </w:r>
      <w:r w:rsidRPr="00356FF2">
        <w:t>přiděleny finanční prostředky</w:t>
      </w:r>
      <w:r w:rsidR="00F70CCC">
        <w:t xml:space="preserve"> na p</w:t>
      </w:r>
      <w:r w:rsidRPr="00356FF2">
        <w:t>rojekt prevence kriminality „Kraje pro bezpečný internet - Internet pod mikroskopem“ je pro uživatele internetu. V rámci projektu b</w:t>
      </w:r>
      <w:r w:rsidR="00F70CCC">
        <w:t>yla</w:t>
      </w:r>
      <w:r w:rsidRPr="00356FF2">
        <w:t xml:space="preserve"> vytvořena sada 10 krátkých videospotů v rozsahu cca 3 - 5 min. zaměřených na prohloubení problematiky nejnovějších rizikových jevů, se kterými se veřejnost může při používání informačních a komunikačních technologií setkat, pro každý videospot byl vytvořen metodický list (vše zdarma přístupné pro veřejnost na  www.kpbi.cz). </w:t>
      </w:r>
      <w:r w:rsidRPr="00D204F5">
        <w:t xml:space="preserve">Celková výše přidělené dotace </w:t>
      </w:r>
      <w:r>
        <w:t>390 000,00 Kč.</w:t>
      </w:r>
    </w:p>
    <w:p w14:paraId="1EF64E8A" w14:textId="61EE5C81" w:rsidR="000B380F" w:rsidRPr="00F0568A" w:rsidRDefault="000B380F" w:rsidP="00327C00">
      <w:pPr>
        <w:spacing w:after="0" w:line="240" w:lineRule="auto"/>
        <w:jc w:val="both"/>
      </w:pPr>
      <w:r>
        <w:t>Upravený rozpočet činil 390 000,00 Kč, čerpáno bylo 39</w:t>
      </w:r>
      <w:r w:rsidRPr="00F0568A">
        <w:t>0 000,00 Kč, což je 100</w:t>
      </w:r>
      <w:r w:rsidR="00F70CCC">
        <w:t>,0</w:t>
      </w:r>
      <w:r w:rsidRPr="00F0568A">
        <w:t xml:space="preserve"> % rozpočtované částky. </w:t>
      </w:r>
    </w:p>
    <w:p w14:paraId="6A2FCA90" w14:textId="77777777" w:rsidR="000B380F" w:rsidRPr="00356FF2" w:rsidRDefault="000B380F" w:rsidP="00327C00">
      <w:pPr>
        <w:spacing w:after="0" w:line="240" w:lineRule="auto"/>
        <w:jc w:val="both"/>
      </w:pPr>
      <w:r w:rsidRPr="00356FF2">
        <w:t xml:space="preserve"> </w:t>
      </w:r>
    </w:p>
    <w:p w14:paraId="467AECA0" w14:textId="77777777" w:rsidR="000B380F" w:rsidRPr="0098128C" w:rsidRDefault="000B380F" w:rsidP="00327C00">
      <w:pPr>
        <w:spacing w:after="0" w:line="240" w:lineRule="auto"/>
        <w:jc w:val="both"/>
        <w:rPr>
          <w:b/>
        </w:rPr>
      </w:pPr>
      <w:r w:rsidRPr="0098128C">
        <w:rPr>
          <w:b/>
        </w:rPr>
        <w:t>§ 4349 – Resocializace recidivistů na území Středočeského kraje 2021 (UZ 14032)</w:t>
      </w:r>
    </w:p>
    <w:p w14:paraId="74D488B1" w14:textId="77777777" w:rsidR="000B380F" w:rsidRDefault="000B380F" w:rsidP="00327C00">
      <w:pPr>
        <w:spacing w:after="0" w:line="240" w:lineRule="auto"/>
        <w:jc w:val="both"/>
      </w:pPr>
      <w:r>
        <w:t xml:space="preserve">U tohoto projektu prevence kriminality se jedná o resocializační program, jehož aktivity budou zaměřeny na podporu osob vycházejících z výkonu trestu odnětí svobody, zejména recidivistů. Cílem tohoto projektu je terciární prevence kriminality (recidivy) prostřednictvím 2 aktivit u 80 osob s trestní minulostí na území Středočeského kraje. </w:t>
      </w:r>
      <w:r w:rsidRPr="00D204F5">
        <w:t xml:space="preserve">Celková výše přidělené dotace </w:t>
      </w:r>
      <w:r>
        <w:t>270</w:t>
      </w:r>
      <w:r w:rsidRPr="00D204F5">
        <w:t xml:space="preserve"> 000,00 </w:t>
      </w:r>
      <w:r>
        <w:t>Kč.</w:t>
      </w:r>
      <w:r w:rsidRPr="00D204F5">
        <w:t xml:space="preserve"> </w:t>
      </w:r>
      <w:r w:rsidRPr="009D7814">
        <w:t>Nevyužité finanční prostředky byly vráceny zpět na účet MV ČR ve výši 7 280,00 Kč v roce 2022</w:t>
      </w:r>
      <w:r>
        <w:t>.</w:t>
      </w:r>
    </w:p>
    <w:p w14:paraId="188CF4F3" w14:textId="77777777" w:rsidR="000B380F" w:rsidRPr="00F0568A" w:rsidRDefault="000B380F" w:rsidP="00327C00">
      <w:pPr>
        <w:shd w:val="clear" w:color="auto" w:fill="FFFFFF"/>
        <w:spacing w:after="0" w:line="240" w:lineRule="auto"/>
        <w:jc w:val="both"/>
        <w:rPr>
          <w:b/>
        </w:rPr>
      </w:pPr>
      <w:r w:rsidRPr="00F0568A">
        <w:t xml:space="preserve">Upravený rozpočet činil </w:t>
      </w:r>
      <w:r>
        <w:t>270</w:t>
      </w:r>
      <w:r w:rsidRPr="00F0568A">
        <w:t xml:space="preserve"> 000,00 Kč, čerpáno bylo </w:t>
      </w:r>
      <w:r>
        <w:t>262 700</w:t>
      </w:r>
      <w:r w:rsidRPr="00F0568A">
        <w:t xml:space="preserve">,00 Kč, což je </w:t>
      </w:r>
      <w:r>
        <w:t>97,3</w:t>
      </w:r>
      <w:r w:rsidRPr="00F0568A">
        <w:t xml:space="preserve"> % rozpočtované částky. </w:t>
      </w:r>
    </w:p>
    <w:p w14:paraId="729DD17C" w14:textId="77777777" w:rsidR="000B380F" w:rsidRDefault="000B380F" w:rsidP="00327C00">
      <w:pPr>
        <w:spacing w:after="0" w:line="240" w:lineRule="auto"/>
        <w:jc w:val="both"/>
      </w:pPr>
    </w:p>
    <w:p w14:paraId="2B7A7FA1" w14:textId="77777777" w:rsidR="000B380F" w:rsidRPr="0098128C" w:rsidRDefault="000B380F" w:rsidP="00327C00">
      <w:pPr>
        <w:spacing w:after="0" w:line="240" w:lineRule="auto"/>
        <w:jc w:val="both"/>
        <w:rPr>
          <w:b/>
        </w:rPr>
      </w:pPr>
      <w:r w:rsidRPr="0098128C">
        <w:rPr>
          <w:b/>
        </w:rPr>
        <w:t>§ 4349 – Podpora prevence kriminality v kraji (UZ 14032)</w:t>
      </w:r>
    </w:p>
    <w:p w14:paraId="157F0773" w14:textId="77777777" w:rsidR="000B380F" w:rsidRDefault="000B380F" w:rsidP="00327C00">
      <w:pPr>
        <w:spacing w:after="0" w:line="240" w:lineRule="auto"/>
        <w:jc w:val="both"/>
      </w:pPr>
      <w:r>
        <w:t xml:space="preserve">Tento projekt prevence kriminality má přispět ke zvýšení odborné znalosti osob, které se podílejí na realizaci aktivit v oblasti prevence kriminality ve Středočeském kraji. Středočeský kraj zrealizuje jeden dvoudenní odborný vzdělávací seminář na různá aktuální bezpečnostní témata (např. kyberkriminalita, trestná činnost páchaná na seniorech, kriminalita dětí a mladistvých atd.) pro koordinátory prevence kriminality na místní úrovni a další odborníky. </w:t>
      </w:r>
      <w:r w:rsidRPr="00D204F5">
        <w:t xml:space="preserve">Celková výše přidělené dotace </w:t>
      </w:r>
      <w:r>
        <w:t>18</w:t>
      </w:r>
      <w:r w:rsidRPr="00D204F5">
        <w:t xml:space="preserve"> 000,00 </w:t>
      </w:r>
      <w:r>
        <w:t>Kč.</w:t>
      </w:r>
      <w:r w:rsidRPr="00D204F5">
        <w:t xml:space="preserve"> </w:t>
      </w:r>
    </w:p>
    <w:p w14:paraId="454D96F3" w14:textId="0C2881AB" w:rsidR="000B380F" w:rsidRDefault="000B380F" w:rsidP="00327C00">
      <w:pPr>
        <w:shd w:val="clear" w:color="auto" w:fill="FFFFFF"/>
        <w:spacing w:after="0" w:line="240" w:lineRule="auto"/>
        <w:jc w:val="both"/>
      </w:pPr>
      <w:r w:rsidRPr="00F0568A">
        <w:t xml:space="preserve">Upravený rozpočet činil </w:t>
      </w:r>
      <w:r>
        <w:t>18</w:t>
      </w:r>
      <w:r w:rsidRPr="00F0568A">
        <w:t xml:space="preserve"> 000,00 Kč, čerpáno bylo </w:t>
      </w:r>
      <w:r>
        <w:t>18 000</w:t>
      </w:r>
      <w:r w:rsidRPr="00F0568A">
        <w:t xml:space="preserve">,00 Kč, což je </w:t>
      </w:r>
      <w:r>
        <w:t>100</w:t>
      </w:r>
      <w:r w:rsidR="00DE5795">
        <w:t>,0</w:t>
      </w:r>
      <w:r w:rsidRPr="00F0568A">
        <w:t xml:space="preserve"> % rozpočtované částky. </w:t>
      </w:r>
    </w:p>
    <w:p w14:paraId="70D5729E" w14:textId="77777777" w:rsidR="00803456" w:rsidRPr="00F0568A" w:rsidRDefault="00803456" w:rsidP="00327C00">
      <w:pPr>
        <w:shd w:val="clear" w:color="auto" w:fill="FFFFFF"/>
        <w:spacing w:after="0" w:line="240" w:lineRule="auto"/>
        <w:jc w:val="both"/>
        <w:rPr>
          <w:b/>
        </w:rPr>
      </w:pPr>
    </w:p>
    <w:p w14:paraId="6C479EF3" w14:textId="77777777" w:rsidR="00450719" w:rsidRDefault="00803456" w:rsidP="00327C00">
      <w:pPr>
        <w:spacing w:after="0" w:line="240" w:lineRule="auto"/>
        <w:jc w:val="both"/>
        <w:rPr>
          <w:b/>
        </w:rPr>
      </w:pPr>
      <w:r w:rsidRPr="00096AFD">
        <w:rPr>
          <w:b/>
        </w:rPr>
        <w:t xml:space="preserve">§ 5213 – </w:t>
      </w:r>
      <w:r w:rsidR="00450719">
        <w:rPr>
          <w:b/>
        </w:rPr>
        <w:t>Krizové situace 2021 (mimo povodní) (UZ 98032)</w:t>
      </w:r>
    </w:p>
    <w:p w14:paraId="4969691E" w14:textId="4B117B69" w:rsidR="00803456" w:rsidRPr="00450719" w:rsidRDefault="00803456" w:rsidP="00327C00">
      <w:pPr>
        <w:spacing w:after="0" w:line="240" w:lineRule="auto"/>
        <w:jc w:val="both"/>
        <w:rPr>
          <w:b/>
        </w:rPr>
      </w:pPr>
      <w:r w:rsidRPr="00096AFD">
        <w:rPr>
          <w:bCs/>
        </w:rPr>
        <w:t xml:space="preserve">Usnesením č. 008-28/2021/RK ze dne 01. 07. 2021, rozpočtovou úpravou č. 322/01/2021 byl proveden převod finančních prostředků z kapitoly 01 </w:t>
      </w:r>
      <w:r w:rsidR="00450719">
        <w:rPr>
          <w:bCs/>
        </w:rPr>
        <w:t>-</w:t>
      </w:r>
      <w:r w:rsidRPr="00096AFD">
        <w:rPr>
          <w:bCs/>
        </w:rPr>
        <w:t xml:space="preserve"> Činnost Zastupitelstva do kapitoly 25 </w:t>
      </w:r>
      <w:r w:rsidR="00450719">
        <w:rPr>
          <w:bCs/>
        </w:rPr>
        <w:t xml:space="preserve">- </w:t>
      </w:r>
      <w:r w:rsidRPr="00096AFD">
        <w:rPr>
          <w:bCs/>
        </w:rPr>
        <w:t>Bezpečnost a prevence ve výši 10 000 000,00 Kč.</w:t>
      </w:r>
    </w:p>
    <w:p w14:paraId="6BF2762B" w14:textId="090326DC" w:rsidR="00803456" w:rsidRPr="00096AFD" w:rsidRDefault="00803456" w:rsidP="00327C00">
      <w:pPr>
        <w:spacing w:after="0" w:line="240" w:lineRule="auto"/>
        <w:jc w:val="both"/>
      </w:pPr>
      <w:r w:rsidRPr="00096AFD">
        <w:t xml:space="preserve">Finanční prostředky usnesením č. 004-36/2021/RK ze dne 23. 09. 2021, 052-45/2021/RK ze dne 02. 12. 2021 a usnesení č. 090-11/2021/ZK ze dne 29. 11. 2021 byly převedeny na kapitolu 02 – Činnost Krajského úřadu, 05 – Školství a 07 – Zdravotnictví ve výši 3 765 731,00 Kč. Částka 6 234 269,00 Kč byla rozdělena jednotlivým obcím s rozšířenou působností </w:t>
      </w:r>
      <w:r>
        <w:t xml:space="preserve">dle jejich žádostí </w:t>
      </w:r>
      <w:r w:rsidRPr="00096AFD">
        <w:t xml:space="preserve">ve Středočeském kraji. Všechny prostředky byly využity v rámci výdajů na řešení krizové situace a odstraňování jejích následků v souvislosti s pandemií onemocnění Covid-19. </w:t>
      </w:r>
    </w:p>
    <w:p w14:paraId="4FAC3A65" w14:textId="039BE438" w:rsidR="00803456" w:rsidRPr="00F0568A" w:rsidRDefault="00803456" w:rsidP="00327C00">
      <w:pPr>
        <w:shd w:val="clear" w:color="auto" w:fill="FFFFFF"/>
        <w:spacing w:after="0" w:line="240" w:lineRule="auto"/>
        <w:jc w:val="both"/>
        <w:rPr>
          <w:b/>
        </w:rPr>
      </w:pPr>
      <w:r w:rsidRPr="00F0568A">
        <w:t xml:space="preserve">Upravený rozpočet činil </w:t>
      </w:r>
      <w:r>
        <w:t>6 234 269,00</w:t>
      </w:r>
      <w:r w:rsidRPr="00F0568A">
        <w:t xml:space="preserve"> Kč, čerpáno bylo </w:t>
      </w:r>
      <w:r>
        <w:t>6 234 269,00</w:t>
      </w:r>
      <w:r w:rsidRPr="00F0568A">
        <w:t xml:space="preserve"> Kč, což je </w:t>
      </w:r>
      <w:r>
        <w:t>100</w:t>
      </w:r>
      <w:r w:rsidR="00DE5795">
        <w:t>,0</w:t>
      </w:r>
      <w:r w:rsidRPr="00F0568A">
        <w:t xml:space="preserve"> % rozpočtované částky. </w:t>
      </w:r>
    </w:p>
    <w:p w14:paraId="1D490864" w14:textId="77777777" w:rsidR="00803456" w:rsidRDefault="00803456" w:rsidP="00327C00">
      <w:pPr>
        <w:spacing w:after="0" w:line="240" w:lineRule="auto"/>
        <w:jc w:val="both"/>
      </w:pPr>
    </w:p>
    <w:p w14:paraId="69C2F308" w14:textId="77777777" w:rsidR="000B380F" w:rsidRPr="0098128C" w:rsidRDefault="000B380F" w:rsidP="00327C00">
      <w:pPr>
        <w:spacing w:after="0" w:line="240" w:lineRule="auto"/>
        <w:jc w:val="both"/>
        <w:rPr>
          <w:b/>
        </w:rPr>
      </w:pPr>
      <w:bookmarkStart w:id="72" w:name="_Hlk98936783"/>
      <w:r w:rsidRPr="0098128C">
        <w:rPr>
          <w:b/>
        </w:rPr>
        <w:t>§ 5213 – Řešení naléhavých potřeb při zabezpečení provozu sociálních služeb zřízených a provozovaných obcemi (UZ 13351)</w:t>
      </w:r>
    </w:p>
    <w:p w14:paraId="76F26487" w14:textId="64E83246" w:rsidR="000B380F" w:rsidRDefault="000B380F" w:rsidP="00327C00">
      <w:pPr>
        <w:spacing w:after="0" w:line="240" w:lineRule="auto"/>
        <w:jc w:val="both"/>
      </w:pPr>
      <w:r>
        <w:t>V rámci Dotačního programu byly od MPSV ČR Středočeskému kraji přiděleny finanční prostředky ve výši 104 463,00</w:t>
      </w:r>
      <w:r w:rsidR="008963DA">
        <w:t> </w:t>
      </w:r>
      <w:r>
        <w:t xml:space="preserve">Kč. Tyto finanční prostředky na neinvestiční výdaje jsou určeny k zajištění pomoci v souladu s mimořádnou situací - krytí mzdových nákladů vzniklých využitím pracovní povinnosti studentů dle Usnesení vlády ČR č. 207 ze dne 13. 3. 2020 a Usnesení vlády ČR č. 1027 ze dne 12. 10. 2020. </w:t>
      </w:r>
    </w:p>
    <w:p w14:paraId="4C077B17" w14:textId="63D9BA16" w:rsidR="000B380F" w:rsidRPr="0056618A" w:rsidRDefault="000B380F" w:rsidP="00327C00">
      <w:pPr>
        <w:spacing w:after="0" w:line="240" w:lineRule="auto"/>
        <w:jc w:val="both"/>
      </w:pPr>
      <w:r w:rsidRPr="0056618A">
        <w:t xml:space="preserve">Celková výše přidělené dotace 104 463,00 Kč nebyla využita. </w:t>
      </w:r>
    </w:p>
    <w:bookmarkEnd w:id="72"/>
    <w:p w14:paraId="5609F87F" w14:textId="77777777" w:rsidR="000B380F" w:rsidRPr="0056618A" w:rsidRDefault="000B380F" w:rsidP="00327C00">
      <w:pPr>
        <w:spacing w:after="0" w:line="240" w:lineRule="auto"/>
        <w:jc w:val="both"/>
      </w:pPr>
    </w:p>
    <w:p w14:paraId="578F037E" w14:textId="77777777" w:rsidR="000B380F" w:rsidRPr="0098128C" w:rsidRDefault="000B380F" w:rsidP="00327C00">
      <w:pPr>
        <w:spacing w:after="0" w:line="240" w:lineRule="auto"/>
        <w:jc w:val="both"/>
        <w:rPr>
          <w:b/>
        </w:rPr>
      </w:pPr>
      <w:bookmarkStart w:id="73" w:name="_Hlk98936962"/>
      <w:bookmarkStart w:id="74" w:name="_Hlk97804891"/>
      <w:r w:rsidRPr="0098128C">
        <w:rPr>
          <w:b/>
        </w:rPr>
        <w:t>§ 5213 – COVID 19 – peněžní náhrady (UZ 35024)</w:t>
      </w:r>
    </w:p>
    <w:p w14:paraId="7A4EAE55" w14:textId="17B21929" w:rsidR="00B41D99" w:rsidRDefault="000B380F" w:rsidP="00327C00">
      <w:pPr>
        <w:spacing w:after="0" w:line="240" w:lineRule="auto"/>
        <w:jc w:val="both"/>
      </w:pPr>
      <w:r>
        <w:t xml:space="preserve">V rámci dotačního programu byly Rozhodnutím č. OKP/13/1112/2021 Ministerstva zdravotnictví ČR Středočeskému kraji přiděleny finanční prostředky ve výši 121 368,00 Kč. Tyto finanční prostředky na neinvestiční výdaje jsou určeny na úhradu náhrad za výkon nařízené pracovní povinnosti studentům a žákům, ostatních náhrad a povinných odvodů dle usnesení vlády ČR č. 1023 ze dne 12. 10. 2020, usnesení vlády č. 1048 ze dne 16. 10. 2020, usnesení vlády č. 1292 ze dne 7. 12. 2020 a usnesení vlády č. 1336 ze dne 14. 12. 2020. Celková výše přidělené dotace 121 368,00 Kč nebyla využita. Zbylá část dotace ve výši 1 625 022,00 Kč byla zapojena do běžných výdajů kapitoly 25 – Bezpečnost a prevence jako refundace na tento účel již krajem vynaložených finančních prostředků. </w:t>
      </w:r>
      <w:r w:rsidR="00B41D99">
        <w:t>Upravený rozpočet byl dále navýšen o 357 403 Kč z poskytnuté dotace Ministerstva zdravotnictví ČR</w:t>
      </w:r>
      <w:r w:rsidR="00DE5795">
        <w:t xml:space="preserve"> </w:t>
      </w:r>
      <w:r w:rsidR="00B41D99">
        <w:t>na úhradu mzdových nákladů vzniklých pracovní povinností studentů. Tyto prostředky byly v plné výši vyčerpány.</w:t>
      </w:r>
    </w:p>
    <w:p w14:paraId="3C18EC47" w14:textId="77777777" w:rsidR="000B380F" w:rsidRPr="00F0568A" w:rsidRDefault="000B380F" w:rsidP="00327C00">
      <w:pPr>
        <w:shd w:val="clear" w:color="auto" w:fill="FFFFFF"/>
        <w:spacing w:after="0" w:line="240" w:lineRule="auto"/>
        <w:jc w:val="both"/>
        <w:rPr>
          <w:b/>
        </w:rPr>
      </w:pPr>
      <w:r w:rsidRPr="00B41D99">
        <w:t>Upravený rozpočet činil 478 771,00 Kč,</w:t>
      </w:r>
      <w:r w:rsidRPr="00F0568A">
        <w:t xml:space="preserve"> čerpáno bylo </w:t>
      </w:r>
      <w:r>
        <w:t>357 403</w:t>
      </w:r>
      <w:r w:rsidRPr="00F0568A">
        <w:t xml:space="preserve">,00 Kč, což je </w:t>
      </w:r>
      <w:r>
        <w:t>74,7</w:t>
      </w:r>
      <w:r w:rsidRPr="00F0568A">
        <w:t xml:space="preserve"> % rozpočtované částky. </w:t>
      </w:r>
    </w:p>
    <w:bookmarkEnd w:id="73"/>
    <w:p w14:paraId="232D373D" w14:textId="77777777" w:rsidR="000B380F" w:rsidRDefault="000B380F" w:rsidP="00327C00">
      <w:pPr>
        <w:spacing w:after="0" w:line="240" w:lineRule="auto"/>
        <w:jc w:val="both"/>
      </w:pPr>
    </w:p>
    <w:bookmarkEnd w:id="74"/>
    <w:p w14:paraId="00A34447" w14:textId="77777777" w:rsidR="000B380F" w:rsidRPr="00230868" w:rsidRDefault="000B380F" w:rsidP="00327C00">
      <w:pPr>
        <w:spacing w:after="0" w:line="240" w:lineRule="auto"/>
        <w:jc w:val="both"/>
        <w:rPr>
          <w:b/>
        </w:rPr>
      </w:pPr>
    </w:p>
    <w:p w14:paraId="76212164" w14:textId="700AF2DC" w:rsidR="000B380F" w:rsidRDefault="000B380F" w:rsidP="0013179B">
      <w:pPr>
        <w:rPr>
          <w:rFonts w:cs="Calibri"/>
        </w:rPr>
      </w:pPr>
    </w:p>
    <w:tbl>
      <w:tblPr>
        <w:tblW w:w="10148" w:type="dxa"/>
        <w:tblCellMar>
          <w:left w:w="70" w:type="dxa"/>
          <w:right w:w="70" w:type="dxa"/>
        </w:tblCellMar>
        <w:tblLook w:val="04A0" w:firstRow="1" w:lastRow="0" w:firstColumn="1" w:lastColumn="0" w:noHBand="0" w:noVBand="1"/>
      </w:tblPr>
      <w:tblGrid>
        <w:gridCol w:w="826"/>
        <w:gridCol w:w="4473"/>
        <w:gridCol w:w="949"/>
        <w:gridCol w:w="1690"/>
        <w:gridCol w:w="1701"/>
        <w:gridCol w:w="647"/>
      </w:tblGrid>
      <w:tr w:rsidR="000B380F" w:rsidRPr="000B380F" w14:paraId="3EB8BD76" w14:textId="77777777" w:rsidTr="000951D6">
        <w:trPr>
          <w:trHeight w:val="375"/>
        </w:trPr>
        <w:tc>
          <w:tcPr>
            <w:tcW w:w="10148" w:type="dxa"/>
            <w:gridSpan w:val="6"/>
            <w:tcBorders>
              <w:top w:val="nil"/>
              <w:left w:val="nil"/>
              <w:bottom w:val="nil"/>
              <w:right w:val="nil"/>
            </w:tcBorders>
            <w:shd w:val="clear" w:color="auto" w:fill="auto"/>
            <w:noWrap/>
            <w:vAlign w:val="center"/>
            <w:hideMark/>
          </w:tcPr>
          <w:p w14:paraId="58152852" w14:textId="77777777" w:rsidR="000B380F" w:rsidRPr="000B380F" w:rsidRDefault="000B380F" w:rsidP="000B380F">
            <w:pPr>
              <w:spacing w:after="0" w:line="240" w:lineRule="auto"/>
              <w:jc w:val="center"/>
              <w:rPr>
                <w:rFonts w:ascii="Calibri" w:eastAsia="Times New Roman" w:hAnsi="Calibri" w:cs="Calibri"/>
                <w:b/>
                <w:bCs/>
                <w:sz w:val="28"/>
                <w:szCs w:val="28"/>
                <w:lang w:eastAsia="cs-CZ"/>
              </w:rPr>
            </w:pPr>
            <w:r w:rsidRPr="000B380F">
              <w:rPr>
                <w:rFonts w:ascii="Calibri" w:eastAsia="Times New Roman" w:hAnsi="Calibri" w:cs="Calibri"/>
                <w:b/>
                <w:bCs/>
                <w:sz w:val="28"/>
                <w:szCs w:val="28"/>
                <w:lang w:eastAsia="cs-CZ"/>
              </w:rPr>
              <w:t>Čerpání rozpočtu kapitoly 26 - Veřejná mobilita - období: 1. - 12. 2021</w:t>
            </w:r>
          </w:p>
        </w:tc>
      </w:tr>
      <w:tr w:rsidR="000B380F" w:rsidRPr="000B380F" w14:paraId="5E1FB44F" w14:textId="77777777" w:rsidTr="000951D6">
        <w:trPr>
          <w:trHeight w:val="390"/>
        </w:trPr>
        <w:tc>
          <w:tcPr>
            <w:tcW w:w="826" w:type="dxa"/>
            <w:tcBorders>
              <w:top w:val="nil"/>
              <w:left w:val="nil"/>
              <w:bottom w:val="nil"/>
              <w:right w:val="nil"/>
            </w:tcBorders>
            <w:shd w:val="clear" w:color="auto" w:fill="auto"/>
            <w:noWrap/>
            <w:vAlign w:val="bottom"/>
            <w:hideMark/>
          </w:tcPr>
          <w:p w14:paraId="50493261" w14:textId="77777777" w:rsidR="000B380F" w:rsidRPr="000B380F" w:rsidRDefault="000B380F" w:rsidP="000B380F">
            <w:pPr>
              <w:spacing w:after="0" w:line="240" w:lineRule="auto"/>
              <w:jc w:val="center"/>
              <w:rPr>
                <w:rFonts w:ascii="Calibri" w:eastAsia="Times New Roman" w:hAnsi="Calibri" w:cs="Calibri"/>
                <w:b/>
                <w:bCs/>
                <w:sz w:val="28"/>
                <w:szCs w:val="28"/>
                <w:lang w:eastAsia="cs-CZ"/>
              </w:rPr>
            </w:pPr>
          </w:p>
        </w:tc>
        <w:tc>
          <w:tcPr>
            <w:tcW w:w="4473" w:type="dxa"/>
            <w:tcBorders>
              <w:top w:val="nil"/>
              <w:left w:val="nil"/>
              <w:bottom w:val="nil"/>
              <w:right w:val="nil"/>
            </w:tcBorders>
            <w:shd w:val="clear" w:color="auto" w:fill="auto"/>
            <w:noWrap/>
            <w:vAlign w:val="bottom"/>
            <w:hideMark/>
          </w:tcPr>
          <w:p w14:paraId="231E9D44" w14:textId="77777777" w:rsidR="000B380F" w:rsidRPr="000B380F" w:rsidRDefault="000B380F" w:rsidP="000B380F">
            <w:pPr>
              <w:spacing w:after="0" w:line="240" w:lineRule="auto"/>
              <w:rPr>
                <w:rFonts w:ascii="Times New Roman" w:eastAsia="Times New Roman" w:hAnsi="Times New Roman" w:cs="Times New Roman"/>
                <w:sz w:val="20"/>
                <w:szCs w:val="20"/>
                <w:lang w:eastAsia="cs-CZ"/>
              </w:rPr>
            </w:pPr>
          </w:p>
        </w:tc>
        <w:tc>
          <w:tcPr>
            <w:tcW w:w="949" w:type="dxa"/>
            <w:tcBorders>
              <w:top w:val="nil"/>
              <w:left w:val="nil"/>
              <w:bottom w:val="nil"/>
              <w:right w:val="nil"/>
            </w:tcBorders>
            <w:shd w:val="clear" w:color="auto" w:fill="auto"/>
            <w:noWrap/>
            <w:vAlign w:val="bottom"/>
            <w:hideMark/>
          </w:tcPr>
          <w:p w14:paraId="6883EE00" w14:textId="77777777" w:rsidR="000B380F" w:rsidRPr="000B380F" w:rsidRDefault="000B380F" w:rsidP="000B380F">
            <w:pPr>
              <w:spacing w:after="0" w:line="240" w:lineRule="auto"/>
              <w:rPr>
                <w:rFonts w:ascii="Times New Roman" w:eastAsia="Times New Roman" w:hAnsi="Times New Roman" w:cs="Times New Roman"/>
                <w:sz w:val="20"/>
                <w:szCs w:val="20"/>
                <w:lang w:eastAsia="cs-CZ"/>
              </w:rPr>
            </w:pPr>
          </w:p>
        </w:tc>
        <w:tc>
          <w:tcPr>
            <w:tcW w:w="1690" w:type="dxa"/>
            <w:tcBorders>
              <w:top w:val="nil"/>
              <w:left w:val="nil"/>
              <w:bottom w:val="nil"/>
              <w:right w:val="nil"/>
            </w:tcBorders>
            <w:shd w:val="clear" w:color="auto" w:fill="auto"/>
            <w:noWrap/>
            <w:vAlign w:val="bottom"/>
            <w:hideMark/>
          </w:tcPr>
          <w:p w14:paraId="284E6DF6" w14:textId="77777777" w:rsidR="000B380F" w:rsidRPr="000B380F" w:rsidRDefault="000B380F" w:rsidP="000B380F">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63DD48C9" w14:textId="77777777" w:rsidR="000B380F" w:rsidRPr="000B380F" w:rsidRDefault="000B380F" w:rsidP="000B380F">
            <w:pPr>
              <w:spacing w:after="0" w:line="240" w:lineRule="auto"/>
              <w:rPr>
                <w:rFonts w:ascii="Times New Roman" w:eastAsia="Times New Roman" w:hAnsi="Times New Roman" w:cs="Times New Roman"/>
                <w:sz w:val="20"/>
                <w:szCs w:val="20"/>
                <w:lang w:eastAsia="cs-CZ"/>
              </w:rPr>
            </w:pPr>
          </w:p>
        </w:tc>
        <w:tc>
          <w:tcPr>
            <w:tcW w:w="509" w:type="dxa"/>
            <w:tcBorders>
              <w:top w:val="nil"/>
              <w:left w:val="nil"/>
              <w:bottom w:val="nil"/>
              <w:right w:val="nil"/>
            </w:tcBorders>
            <w:shd w:val="clear" w:color="auto" w:fill="auto"/>
            <w:noWrap/>
            <w:vAlign w:val="bottom"/>
            <w:hideMark/>
          </w:tcPr>
          <w:p w14:paraId="3B3E3FBB" w14:textId="77777777" w:rsidR="000B380F" w:rsidRPr="000B380F" w:rsidRDefault="000B380F" w:rsidP="000B380F">
            <w:pPr>
              <w:spacing w:after="0" w:line="240" w:lineRule="auto"/>
              <w:jc w:val="right"/>
              <w:rPr>
                <w:rFonts w:ascii="Calibri" w:eastAsia="Times New Roman" w:hAnsi="Calibri" w:cs="Calibri"/>
                <w:lang w:eastAsia="cs-CZ"/>
              </w:rPr>
            </w:pPr>
            <w:r w:rsidRPr="000B380F">
              <w:rPr>
                <w:rFonts w:ascii="Calibri" w:eastAsia="Times New Roman" w:hAnsi="Calibri" w:cs="Calibri"/>
                <w:lang w:eastAsia="cs-CZ"/>
              </w:rPr>
              <w:t>v Kč</w:t>
            </w:r>
          </w:p>
        </w:tc>
      </w:tr>
      <w:tr w:rsidR="000B380F" w:rsidRPr="000B380F" w14:paraId="5A70D283" w14:textId="77777777" w:rsidTr="000951D6">
        <w:trPr>
          <w:trHeight w:val="840"/>
        </w:trPr>
        <w:tc>
          <w:tcPr>
            <w:tcW w:w="826" w:type="dxa"/>
            <w:tcBorders>
              <w:top w:val="single" w:sz="8" w:space="0" w:color="auto"/>
              <w:left w:val="single" w:sz="8" w:space="0" w:color="auto"/>
              <w:bottom w:val="single" w:sz="8" w:space="0" w:color="auto"/>
              <w:right w:val="single" w:sz="8" w:space="0" w:color="auto"/>
            </w:tcBorders>
            <w:shd w:val="clear" w:color="000000" w:fill="CCFFCC"/>
            <w:noWrap/>
            <w:vAlign w:val="center"/>
            <w:hideMark/>
          </w:tcPr>
          <w:p w14:paraId="01553091" w14:textId="77777777" w:rsidR="000B380F" w:rsidRPr="000B380F" w:rsidRDefault="000B380F" w:rsidP="000B380F">
            <w:pPr>
              <w:spacing w:after="0" w:line="240" w:lineRule="auto"/>
              <w:jc w:val="center"/>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Paragraf</w:t>
            </w:r>
          </w:p>
        </w:tc>
        <w:tc>
          <w:tcPr>
            <w:tcW w:w="4473" w:type="dxa"/>
            <w:tcBorders>
              <w:top w:val="single" w:sz="8" w:space="0" w:color="auto"/>
              <w:left w:val="nil"/>
              <w:bottom w:val="single" w:sz="8" w:space="0" w:color="auto"/>
              <w:right w:val="single" w:sz="8" w:space="0" w:color="auto"/>
            </w:tcBorders>
            <w:shd w:val="clear" w:color="000000" w:fill="CCFFCC"/>
            <w:noWrap/>
            <w:vAlign w:val="center"/>
            <w:hideMark/>
          </w:tcPr>
          <w:p w14:paraId="3C34D370" w14:textId="77777777" w:rsidR="000B380F" w:rsidRPr="000B380F" w:rsidRDefault="000B380F" w:rsidP="000B380F">
            <w:pPr>
              <w:spacing w:after="0" w:line="240" w:lineRule="auto"/>
              <w:jc w:val="center"/>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Oblast rozpočtu</w:t>
            </w:r>
          </w:p>
        </w:tc>
        <w:tc>
          <w:tcPr>
            <w:tcW w:w="949" w:type="dxa"/>
            <w:tcBorders>
              <w:top w:val="single" w:sz="8" w:space="0" w:color="auto"/>
              <w:left w:val="nil"/>
              <w:bottom w:val="single" w:sz="8" w:space="0" w:color="auto"/>
              <w:right w:val="single" w:sz="8" w:space="0" w:color="auto"/>
            </w:tcBorders>
            <w:shd w:val="clear" w:color="000000" w:fill="CCFFCC"/>
            <w:vAlign w:val="center"/>
            <w:hideMark/>
          </w:tcPr>
          <w:p w14:paraId="51A04255" w14:textId="77777777" w:rsidR="000B380F" w:rsidRPr="000B380F" w:rsidRDefault="000B380F" w:rsidP="000B380F">
            <w:pPr>
              <w:spacing w:after="0" w:line="240" w:lineRule="auto"/>
              <w:jc w:val="center"/>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Schválený rozpočet</w:t>
            </w:r>
          </w:p>
        </w:tc>
        <w:tc>
          <w:tcPr>
            <w:tcW w:w="1690" w:type="dxa"/>
            <w:tcBorders>
              <w:top w:val="single" w:sz="8" w:space="0" w:color="auto"/>
              <w:left w:val="nil"/>
              <w:bottom w:val="single" w:sz="8" w:space="0" w:color="auto"/>
              <w:right w:val="single" w:sz="8" w:space="0" w:color="auto"/>
            </w:tcBorders>
            <w:shd w:val="clear" w:color="000000" w:fill="CCFFCC"/>
            <w:vAlign w:val="center"/>
            <w:hideMark/>
          </w:tcPr>
          <w:p w14:paraId="0C1DA999" w14:textId="77777777" w:rsidR="000B380F" w:rsidRPr="000B380F" w:rsidRDefault="000B380F" w:rsidP="000B380F">
            <w:pPr>
              <w:spacing w:after="0" w:line="240" w:lineRule="auto"/>
              <w:jc w:val="center"/>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Rozpočet po úpravě</w:t>
            </w:r>
          </w:p>
        </w:tc>
        <w:tc>
          <w:tcPr>
            <w:tcW w:w="1701" w:type="dxa"/>
            <w:tcBorders>
              <w:top w:val="single" w:sz="8" w:space="0" w:color="auto"/>
              <w:left w:val="nil"/>
              <w:bottom w:val="single" w:sz="8" w:space="0" w:color="auto"/>
              <w:right w:val="single" w:sz="8" w:space="0" w:color="auto"/>
            </w:tcBorders>
            <w:shd w:val="clear" w:color="000000" w:fill="CCFFCC"/>
            <w:vAlign w:val="center"/>
            <w:hideMark/>
          </w:tcPr>
          <w:p w14:paraId="69000994" w14:textId="77777777" w:rsidR="000B380F" w:rsidRPr="000B380F" w:rsidRDefault="000B380F" w:rsidP="000B380F">
            <w:pPr>
              <w:spacing w:after="0" w:line="240" w:lineRule="auto"/>
              <w:jc w:val="center"/>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 xml:space="preserve">Skutečnost </w:t>
            </w:r>
          </w:p>
        </w:tc>
        <w:tc>
          <w:tcPr>
            <w:tcW w:w="509" w:type="dxa"/>
            <w:tcBorders>
              <w:top w:val="single" w:sz="8" w:space="0" w:color="auto"/>
              <w:left w:val="nil"/>
              <w:bottom w:val="single" w:sz="8" w:space="0" w:color="auto"/>
              <w:right w:val="single" w:sz="8" w:space="0" w:color="auto"/>
            </w:tcBorders>
            <w:shd w:val="clear" w:color="000000" w:fill="CCFFCC"/>
            <w:vAlign w:val="center"/>
            <w:hideMark/>
          </w:tcPr>
          <w:p w14:paraId="417C590B" w14:textId="77777777" w:rsidR="000B380F" w:rsidRPr="000B380F" w:rsidRDefault="000B380F" w:rsidP="000B380F">
            <w:pPr>
              <w:spacing w:after="0" w:line="240" w:lineRule="auto"/>
              <w:jc w:val="center"/>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 plnění</w:t>
            </w:r>
          </w:p>
        </w:tc>
      </w:tr>
      <w:tr w:rsidR="000B380F" w:rsidRPr="000B380F" w14:paraId="30F9BC58" w14:textId="77777777" w:rsidTr="000951D6">
        <w:trPr>
          <w:trHeight w:val="360"/>
        </w:trPr>
        <w:tc>
          <w:tcPr>
            <w:tcW w:w="826" w:type="dxa"/>
            <w:tcBorders>
              <w:top w:val="nil"/>
              <w:left w:val="nil"/>
              <w:bottom w:val="nil"/>
              <w:right w:val="nil"/>
            </w:tcBorders>
            <w:shd w:val="clear" w:color="auto" w:fill="auto"/>
            <w:noWrap/>
            <w:vAlign w:val="bottom"/>
            <w:hideMark/>
          </w:tcPr>
          <w:p w14:paraId="3548CB6D" w14:textId="77777777" w:rsidR="000B380F" w:rsidRPr="000B380F" w:rsidRDefault="000B380F" w:rsidP="000B380F">
            <w:pPr>
              <w:spacing w:after="0" w:line="240" w:lineRule="auto"/>
              <w:jc w:val="center"/>
              <w:rPr>
                <w:rFonts w:ascii="Calibri" w:eastAsia="Times New Roman" w:hAnsi="Calibri" w:cs="Calibri"/>
                <w:sz w:val="20"/>
                <w:szCs w:val="20"/>
                <w:lang w:eastAsia="cs-CZ"/>
              </w:rPr>
            </w:pPr>
          </w:p>
        </w:tc>
        <w:tc>
          <w:tcPr>
            <w:tcW w:w="4473" w:type="dxa"/>
            <w:tcBorders>
              <w:top w:val="nil"/>
              <w:left w:val="nil"/>
              <w:bottom w:val="nil"/>
              <w:right w:val="nil"/>
            </w:tcBorders>
            <w:shd w:val="clear" w:color="auto" w:fill="auto"/>
            <w:noWrap/>
            <w:vAlign w:val="bottom"/>
            <w:hideMark/>
          </w:tcPr>
          <w:p w14:paraId="44B0D449" w14:textId="77777777" w:rsidR="000B380F" w:rsidRPr="000B380F" w:rsidRDefault="000B380F" w:rsidP="000B380F">
            <w:pPr>
              <w:spacing w:after="0" w:line="240" w:lineRule="auto"/>
              <w:rPr>
                <w:rFonts w:ascii="Calibri" w:eastAsia="Times New Roman" w:hAnsi="Calibri" w:cs="Calibri"/>
                <w:b/>
                <w:bCs/>
                <w:lang w:eastAsia="cs-CZ"/>
              </w:rPr>
            </w:pPr>
            <w:r w:rsidRPr="000B380F">
              <w:rPr>
                <w:rFonts w:ascii="Calibri" w:eastAsia="Times New Roman" w:hAnsi="Calibri" w:cs="Calibri"/>
                <w:b/>
                <w:bCs/>
                <w:lang w:eastAsia="cs-CZ"/>
              </w:rPr>
              <w:t xml:space="preserve">Běžné výdaje </w:t>
            </w:r>
          </w:p>
        </w:tc>
        <w:tc>
          <w:tcPr>
            <w:tcW w:w="949" w:type="dxa"/>
            <w:tcBorders>
              <w:top w:val="nil"/>
              <w:left w:val="nil"/>
              <w:bottom w:val="nil"/>
              <w:right w:val="nil"/>
            </w:tcBorders>
            <w:shd w:val="clear" w:color="auto" w:fill="auto"/>
            <w:noWrap/>
            <w:vAlign w:val="bottom"/>
            <w:hideMark/>
          </w:tcPr>
          <w:p w14:paraId="4ECCDD7E" w14:textId="77777777" w:rsidR="000B380F" w:rsidRPr="000B380F" w:rsidRDefault="000B380F" w:rsidP="000B380F">
            <w:pPr>
              <w:spacing w:after="0" w:line="240" w:lineRule="auto"/>
              <w:rPr>
                <w:rFonts w:ascii="Calibri" w:eastAsia="Times New Roman" w:hAnsi="Calibri" w:cs="Calibri"/>
                <w:b/>
                <w:bCs/>
                <w:lang w:eastAsia="cs-CZ"/>
              </w:rPr>
            </w:pPr>
          </w:p>
        </w:tc>
        <w:tc>
          <w:tcPr>
            <w:tcW w:w="1690" w:type="dxa"/>
            <w:tcBorders>
              <w:top w:val="nil"/>
              <w:left w:val="nil"/>
              <w:bottom w:val="nil"/>
              <w:right w:val="nil"/>
            </w:tcBorders>
            <w:shd w:val="clear" w:color="auto" w:fill="auto"/>
            <w:noWrap/>
            <w:vAlign w:val="bottom"/>
            <w:hideMark/>
          </w:tcPr>
          <w:p w14:paraId="245A16F9" w14:textId="77777777" w:rsidR="000B380F" w:rsidRPr="000B380F" w:rsidRDefault="000B380F" w:rsidP="000B380F">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2F300D06" w14:textId="77777777" w:rsidR="000B380F" w:rsidRPr="000B380F" w:rsidRDefault="000B380F" w:rsidP="000B380F">
            <w:pPr>
              <w:spacing w:after="0" w:line="240" w:lineRule="auto"/>
              <w:rPr>
                <w:rFonts w:ascii="Times New Roman" w:eastAsia="Times New Roman" w:hAnsi="Times New Roman" w:cs="Times New Roman"/>
                <w:sz w:val="20"/>
                <w:szCs w:val="20"/>
                <w:lang w:eastAsia="cs-CZ"/>
              </w:rPr>
            </w:pPr>
          </w:p>
        </w:tc>
        <w:tc>
          <w:tcPr>
            <w:tcW w:w="509" w:type="dxa"/>
            <w:tcBorders>
              <w:top w:val="nil"/>
              <w:left w:val="nil"/>
              <w:bottom w:val="nil"/>
              <w:right w:val="nil"/>
            </w:tcBorders>
            <w:shd w:val="clear" w:color="auto" w:fill="auto"/>
            <w:noWrap/>
            <w:vAlign w:val="bottom"/>
            <w:hideMark/>
          </w:tcPr>
          <w:p w14:paraId="61706C5B" w14:textId="77777777" w:rsidR="000B380F" w:rsidRPr="000B380F" w:rsidRDefault="000B380F" w:rsidP="000B380F">
            <w:pPr>
              <w:spacing w:after="0" w:line="240" w:lineRule="auto"/>
              <w:rPr>
                <w:rFonts w:ascii="Times New Roman" w:eastAsia="Times New Roman" w:hAnsi="Times New Roman" w:cs="Times New Roman"/>
                <w:sz w:val="20"/>
                <w:szCs w:val="20"/>
                <w:lang w:eastAsia="cs-CZ"/>
              </w:rPr>
            </w:pPr>
          </w:p>
        </w:tc>
      </w:tr>
      <w:tr w:rsidR="000B380F" w:rsidRPr="000B380F" w14:paraId="3AED3C1B" w14:textId="77777777" w:rsidTr="000951D6">
        <w:trPr>
          <w:trHeight w:val="300"/>
        </w:trPr>
        <w:tc>
          <w:tcPr>
            <w:tcW w:w="826" w:type="dxa"/>
            <w:tcBorders>
              <w:top w:val="single" w:sz="8" w:space="0" w:color="auto"/>
              <w:left w:val="single" w:sz="8" w:space="0" w:color="auto"/>
              <w:bottom w:val="single" w:sz="4" w:space="0" w:color="auto"/>
              <w:right w:val="single" w:sz="4" w:space="0" w:color="auto"/>
            </w:tcBorders>
            <w:shd w:val="clear" w:color="000000" w:fill="FFFFFF"/>
            <w:noWrap/>
            <w:vAlign w:val="bottom"/>
            <w:hideMark/>
          </w:tcPr>
          <w:p w14:paraId="77BB5B46" w14:textId="77777777" w:rsidR="000B380F" w:rsidRPr="000B380F" w:rsidRDefault="000B380F" w:rsidP="000B380F">
            <w:pPr>
              <w:spacing w:after="0" w:line="240" w:lineRule="auto"/>
              <w:jc w:val="center"/>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2219</w:t>
            </w:r>
          </w:p>
        </w:tc>
        <w:tc>
          <w:tcPr>
            <w:tcW w:w="4473" w:type="dxa"/>
            <w:tcBorders>
              <w:top w:val="single" w:sz="8" w:space="0" w:color="auto"/>
              <w:left w:val="nil"/>
              <w:bottom w:val="single" w:sz="4" w:space="0" w:color="auto"/>
              <w:right w:val="single" w:sz="4" w:space="0" w:color="auto"/>
            </w:tcBorders>
            <w:shd w:val="clear" w:color="auto" w:fill="auto"/>
            <w:vAlign w:val="bottom"/>
            <w:hideMark/>
          </w:tcPr>
          <w:p w14:paraId="69A98E6E" w14:textId="77777777" w:rsidR="000B380F" w:rsidRPr="000B380F" w:rsidRDefault="000B380F" w:rsidP="000B380F">
            <w:pPr>
              <w:spacing w:after="0" w:line="240" w:lineRule="auto"/>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Ostatní záležitosti pozemních komunikací - cyklodoprava</w:t>
            </w:r>
          </w:p>
        </w:tc>
        <w:tc>
          <w:tcPr>
            <w:tcW w:w="949" w:type="dxa"/>
            <w:tcBorders>
              <w:top w:val="single" w:sz="8" w:space="0" w:color="auto"/>
              <w:left w:val="nil"/>
              <w:bottom w:val="single" w:sz="4" w:space="0" w:color="auto"/>
              <w:right w:val="single" w:sz="4" w:space="0" w:color="auto"/>
            </w:tcBorders>
            <w:shd w:val="clear" w:color="auto" w:fill="auto"/>
            <w:noWrap/>
            <w:vAlign w:val="bottom"/>
            <w:hideMark/>
          </w:tcPr>
          <w:p w14:paraId="28C9F17F" w14:textId="77777777" w:rsidR="000B380F" w:rsidRPr="000B380F" w:rsidRDefault="000B380F" w:rsidP="000B380F">
            <w:pPr>
              <w:spacing w:after="0" w:line="240" w:lineRule="auto"/>
              <w:jc w:val="right"/>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0</w:t>
            </w:r>
          </w:p>
        </w:tc>
        <w:tc>
          <w:tcPr>
            <w:tcW w:w="1690" w:type="dxa"/>
            <w:tcBorders>
              <w:top w:val="single" w:sz="8" w:space="0" w:color="auto"/>
              <w:left w:val="nil"/>
              <w:bottom w:val="single" w:sz="4" w:space="0" w:color="auto"/>
              <w:right w:val="single" w:sz="4" w:space="0" w:color="auto"/>
            </w:tcBorders>
            <w:shd w:val="clear" w:color="auto" w:fill="auto"/>
            <w:noWrap/>
            <w:vAlign w:val="bottom"/>
            <w:hideMark/>
          </w:tcPr>
          <w:p w14:paraId="66425F50" w14:textId="77777777" w:rsidR="000B380F" w:rsidRPr="000B380F" w:rsidRDefault="000B380F" w:rsidP="000B380F">
            <w:pPr>
              <w:spacing w:after="0" w:line="240" w:lineRule="auto"/>
              <w:jc w:val="right"/>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499 090,80</w:t>
            </w:r>
          </w:p>
        </w:tc>
        <w:tc>
          <w:tcPr>
            <w:tcW w:w="1701" w:type="dxa"/>
            <w:tcBorders>
              <w:top w:val="single" w:sz="8" w:space="0" w:color="auto"/>
              <w:left w:val="nil"/>
              <w:bottom w:val="single" w:sz="4" w:space="0" w:color="auto"/>
              <w:right w:val="single" w:sz="4" w:space="0" w:color="auto"/>
            </w:tcBorders>
            <w:shd w:val="clear" w:color="auto" w:fill="auto"/>
            <w:noWrap/>
            <w:vAlign w:val="bottom"/>
            <w:hideMark/>
          </w:tcPr>
          <w:p w14:paraId="1B4F7986" w14:textId="77777777" w:rsidR="000B380F" w:rsidRPr="000B380F" w:rsidRDefault="000B380F" w:rsidP="000B380F">
            <w:pPr>
              <w:spacing w:after="0" w:line="240" w:lineRule="auto"/>
              <w:jc w:val="right"/>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140 700,50</w:t>
            </w:r>
          </w:p>
        </w:tc>
        <w:tc>
          <w:tcPr>
            <w:tcW w:w="509" w:type="dxa"/>
            <w:tcBorders>
              <w:top w:val="single" w:sz="8" w:space="0" w:color="auto"/>
              <w:left w:val="nil"/>
              <w:bottom w:val="single" w:sz="4" w:space="0" w:color="auto"/>
              <w:right w:val="single" w:sz="8" w:space="0" w:color="auto"/>
            </w:tcBorders>
            <w:shd w:val="clear" w:color="auto" w:fill="auto"/>
            <w:noWrap/>
            <w:vAlign w:val="bottom"/>
            <w:hideMark/>
          </w:tcPr>
          <w:p w14:paraId="52F5CE03" w14:textId="77777777" w:rsidR="000B380F" w:rsidRPr="000B380F" w:rsidRDefault="000B380F" w:rsidP="000B380F">
            <w:pPr>
              <w:spacing w:after="0" w:line="240" w:lineRule="auto"/>
              <w:jc w:val="right"/>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28,2</w:t>
            </w:r>
          </w:p>
        </w:tc>
      </w:tr>
      <w:tr w:rsidR="000B380F" w:rsidRPr="000B380F" w14:paraId="76C432D5" w14:textId="77777777" w:rsidTr="000951D6">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3A27AAAE" w14:textId="77777777" w:rsidR="000B380F" w:rsidRPr="000B380F" w:rsidRDefault="000B380F" w:rsidP="000B380F">
            <w:pPr>
              <w:spacing w:after="0" w:line="240" w:lineRule="auto"/>
              <w:jc w:val="center"/>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2239</w:t>
            </w:r>
          </w:p>
        </w:tc>
        <w:tc>
          <w:tcPr>
            <w:tcW w:w="4473" w:type="dxa"/>
            <w:tcBorders>
              <w:top w:val="nil"/>
              <w:left w:val="nil"/>
              <w:bottom w:val="single" w:sz="4" w:space="0" w:color="auto"/>
              <w:right w:val="single" w:sz="4" w:space="0" w:color="auto"/>
            </w:tcBorders>
            <w:shd w:val="clear" w:color="auto" w:fill="auto"/>
            <w:vAlign w:val="bottom"/>
            <w:hideMark/>
          </w:tcPr>
          <w:p w14:paraId="1ECBAB02" w14:textId="77777777" w:rsidR="000B380F" w:rsidRPr="000B380F" w:rsidRDefault="000B380F" w:rsidP="000B380F">
            <w:pPr>
              <w:spacing w:after="0" w:line="240" w:lineRule="auto"/>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Ostatní záležitosti vnitrozemské plavby - dotace přívozy</w:t>
            </w:r>
          </w:p>
        </w:tc>
        <w:tc>
          <w:tcPr>
            <w:tcW w:w="949" w:type="dxa"/>
            <w:tcBorders>
              <w:top w:val="nil"/>
              <w:left w:val="nil"/>
              <w:bottom w:val="single" w:sz="4" w:space="0" w:color="auto"/>
              <w:right w:val="single" w:sz="4" w:space="0" w:color="auto"/>
            </w:tcBorders>
            <w:shd w:val="clear" w:color="auto" w:fill="auto"/>
            <w:noWrap/>
            <w:vAlign w:val="bottom"/>
            <w:hideMark/>
          </w:tcPr>
          <w:p w14:paraId="066C1E62" w14:textId="77777777" w:rsidR="000B380F" w:rsidRPr="000B380F" w:rsidRDefault="000B380F" w:rsidP="000B380F">
            <w:pPr>
              <w:spacing w:after="0" w:line="240" w:lineRule="auto"/>
              <w:jc w:val="right"/>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0</w:t>
            </w:r>
          </w:p>
        </w:tc>
        <w:tc>
          <w:tcPr>
            <w:tcW w:w="1690" w:type="dxa"/>
            <w:tcBorders>
              <w:top w:val="nil"/>
              <w:left w:val="nil"/>
              <w:bottom w:val="single" w:sz="4" w:space="0" w:color="auto"/>
              <w:right w:val="single" w:sz="4" w:space="0" w:color="auto"/>
            </w:tcBorders>
            <w:shd w:val="clear" w:color="auto" w:fill="auto"/>
            <w:noWrap/>
            <w:vAlign w:val="bottom"/>
            <w:hideMark/>
          </w:tcPr>
          <w:p w14:paraId="7CD640FB" w14:textId="77777777" w:rsidR="000B380F" w:rsidRPr="000B380F" w:rsidRDefault="000B380F" w:rsidP="000B380F">
            <w:pPr>
              <w:spacing w:after="0" w:line="240" w:lineRule="auto"/>
              <w:jc w:val="right"/>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3 570 000,00</w:t>
            </w:r>
          </w:p>
        </w:tc>
        <w:tc>
          <w:tcPr>
            <w:tcW w:w="1701" w:type="dxa"/>
            <w:tcBorders>
              <w:top w:val="nil"/>
              <w:left w:val="nil"/>
              <w:bottom w:val="single" w:sz="4" w:space="0" w:color="auto"/>
              <w:right w:val="single" w:sz="4" w:space="0" w:color="auto"/>
            </w:tcBorders>
            <w:shd w:val="clear" w:color="auto" w:fill="auto"/>
            <w:noWrap/>
            <w:vAlign w:val="bottom"/>
            <w:hideMark/>
          </w:tcPr>
          <w:p w14:paraId="4287E3E8" w14:textId="77777777" w:rsidR="000B380F" w:rsidRPr="000B380F" w:rsidRDefault="000B380F" w:rsidP="000B380F">
            <w:pPr>
              <w:spacing w:after="0" w:line="240" w:lineRule="auto"/>
              <w:jc w:val="right"/>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3 570 000,00</w:t>
            </w:r>
          </w:p>
        </w:tc>
        <w:tc>
          <w:tcPr>
            <w:tcW w:w="509" w:type="dxa"/>
            <w:tcBorders>
              <w:top w:val="nil"/>
              <w:left w:val="nil"/>
              <w:bottom w:val="single" w:sz="4" w:space="0" w:color="auto"/>
              <w:right w:val="single" w:sz="8" w:space="0" w:color="auto"/>
            </w:tcBorders>
            <w:shd w:val="clear" w:color="auto" w:fill="auto"/>
            <w:noWrap/>
            <w:vAlign w:val="bottom"/>
            <w:hideMark/>
          </w:tcPr>
          <w:p w14:paraId="723F0588" w14:textId="77777777" w:rsidR="000B380F" w:rsidRPr="000B380F" w:rsidRDefault="000B380F" w:rsidP="000B380F">
            <w:pPr>
              <w:spacing w:after="0" w:line="240" w:lineRule="auto"/>
              <w:jc w:val="right"/>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100,0</w:t>
            </w:r>
          </w:p>
        </w:tc>
      </w:tr>
      <w:tr w:rsidR="000B380F" w:rsidRPr="000B380F" w14:paraId="0D654231" w14:textId="77777777" w:rsidTr="000951D6">
        <w:trPr>
          <w:trHeight w:val="51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5FDEFC1B" w14:textId="77777777" w:rsidR="000B380F" w:rsidRPr="000B380F" w:rsidRDefault="000B380F" w:rsidP="000B380F">
            <w:pPr>
              <w:spacing w:after="0" w:line="240" w:lineRule="auto"/>
              <w:jc w:val="center"/>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2292</w:t>
            </w:r>
          </w:p>
        </w:tc>
        <w:tc>
          <w:tcPr>
            <w:tcW w:w="4473" w:type="dxa"/>
            <w:tcBorders>
              <w:top w:val="nil"/>
              <w:left w:val="nil"/>
              <w:bottom w:val="single" w:sz="4" w:space="0" w:color="auto"/>
              <w:right w:val="single" w:sz="4" w:space="0" w:color="auto"/>
            </w:tcBorders>
            <w:shd w:val="clear" w:color="auto" w:fill="auto"/>
            <w:vAlign w:val="bottom"/>
            <w:hideMark/>
          </w:tcPr>
          <w:p w14:paraId="087A72DA" w14:textId="77777777" w:rsidR="000B380F" w:rsidRPr="000B380F" w:rsidRDefault="000B380F" w:rsidP="000B380F">
            <w:pPr>
              <w:spacing w:after="0" w:line="240" w:lineRule="auto"/>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 xml:space="preserve">Dopravní obslužnost - příspěvek příspěvkové organizaci Integrovaná doprava Středočeského kraje </w:t>
            </w:r>
          </w:p>
        </w:tc>
        <w:tc>
          <w:tcPr>
            <w:tcW w:w="949" w:type="dxa"/>
            <w:tcBorders>
              <w:top w:val="nil"/>
              <w:left w:val="nil"/>
              <w:bottom w:val="single" w:sz="4" w:space="0" w:color="auto"/>
              <w:right w:val="single" w:sz="4" w:space="0" w:color="auto"/>
            </w:tcBorders>
            <w:shd w:val="clear" w:color="auto" w:fill="auto"/>
            <w:noWrap/>
            <w:vAlign w:val="bottom"/>
            <w:hideMark/>
          </w:tcPr>
          <w:p w14:paraId="5C94BCE8" w14:textId="77777777" w:rsidR="000B380F" w:rsidRPr="000B380F" w:rsidRDefault="000B380F" w:rsidP="000B380F">
            <w:pPr>
              <w:spacing w:after="0" w:line="240" w:lineRule="auto"/>
              <w:jc w:val="right"/>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0</w:t>
            </w:r>
          </w:p>
        </w:tc>
        <w:tc>
          <w:tcPr>
            <w:tcW w:w="1690" w:type="dxa"/>
            <w:tcBorders>
              <w:top w:val="nil"/>
              <w:left w:val="nil"/>
              <w:bottom w:val="single" w:sz="4" w:space="0" w:color="auto"/>
              <w:right w:val="single" w:sz="4" w:space="0" w:color="auto"/>
            </w:tcBorders>
            <w:shd w:val="clear" w:color="auto" w:fill="auto"/>
            <w:noWrap/>
            <w:vAlign w:val="bottom"/>
            <w:hideMark/>
          </w:tcPr>
          <w:p w14:paraId="511FF476" w14:textId="77777777" w:rsidR="000B380F" w:rsidRPr="000B380F" w:rsidRDefault="000B380F" w:rsidP="000B380F">
            <w:pPr>
              <w:spacing w:after="0" w:line="240" w:lineRule="auto"/>
              <w:jc w:val="right"/>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48 437 532,00</w:t>
            </w:r>
          </w:p>
        </w:tc>
        <w:tc>
          <w:tcPr>
            <w:tcW w:w="1701" w:type="dxa"/>
            <w:tcBorders>
              <w:top w:val="nil"/>
              <w:left w:val="nil"/>
              <w:bottom w:val="single" w:sz="4" w:space="0" w:color="auto"/>
              <w:right w:val="single" w:sz="4" w:space="0" w:color="auto"/>
            </w:tcBorders>
            <w:shd w:val="clear" w:color="auto" w:fill="auto"/>
            <w:noWrap/>
            <w:vAlign w:val="bottom"/>
            <w:hideMark/>
          </w:tcPr>
          <w:p w14:paraId="51F22716" w14:textId="77777777" w:rsidR="000B380F" w:rsidRPr="000B380F" w:rsidRDefault="000B380F" w:rsidP="000B380F">
            <w:pPr>
              <w:spacing w:after="0" w:line="240" w:lineRule="auto"/>
              <w:jc w:val="right"/>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48 437 532,00</w:t>
            </w:r>
          </w:p>
        </w:tc>
        <w:tc>
          <w:tcPr>
            <w:tcW w:w="509" w:type="dxa"/>
            <w:tcBorders>
              <w:top w:val="nil"/>
              <w:left w:val="nil"/>
              <w:bottom w:val="single" w:sz="4" w:space="0" w:color="auto"/>
              <w:right w:val="single" w:sz="8" w:space="0" w:color="auto"/>
            </w:tcBorders>
            <w:shd w:val="clear" w:color="auto" w:fill="auto"/>
            <w:noWrap/>
            <w:vAlign w:val="bottom"/>
            <w:hideMark/>
          </w:tcPr>
          <w:p w14:paraId="51D25720" w14:textId="77777777" w:rsidR="000B380F" w:rsidRPr="000B380F" w:rsidRDefault="000B380F" w:rsidP="000B380F">
            <w:pPr>
              <w:spacing w:after="0" w:line="240" w:lineRule="auto"/>
              <w:jc w:val="right"/>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100,0</w:t>
            </w:r>
          </w:p>
        </w:tc>
      </w:tr>
      <w:tr w:rsidR="000B380F" w:rsidRPr="000B380F" w14:paraId="3574AA97" w14:textId="77777777" w:rsidTr="000951D6">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00A903EF" w14:textId="77777777" w:rsidR="000B380F" w:rsidRPr="000B380F" w:rsidRDefault="000B380F" w:rsidP="000B380F">
            <w:pPr>
              <w:spacing w:after="0" w:line="240" w:lineRule="auto"/>
              <w:jc w:val="center"/>
              <w:rPr>
                <w:rFonts w:ascii="Calibri" w:eastAsia="Times New Roman" w:hAnsi="Calibri" w:cs="Calibri"/>
                <w:i/>
                <w:iCs/>
                <w:sz w:val="20"/>
                <w:szCs w:val="20"/>
                <w:lang w:eastAsia="cs-CZ"/>
              </w:rPr>
            </w:pPr>
            <w:r w:rsidRPr="000B380F">
              <w:rPr>
                <w:rFonts w:ascii="Calibri" w:eastAsia="Times New Roman" w:hAnsi="Calibri" w:cs="Calibri"/>
                <w:i/>
                <w:iCs/>
                <w:sz w:val="20"/>
                <w:szCs w:val="20"/>
                <w:lang w:eastAsia="cs-CZ"/>
              </w:rPr>
              <w:t> </w:t>
            </w:r>
          </w:p>
        </w:tc>
        <w:tc>
          <w:tcPr>
            <w:tcW w:w="9322" w:type="dxa"/>
            <w:gridSpan w:val="5"/>
            <w:tcBorders>
              <w:top w:val="single" w:sz="4" w:space="0" w:color="auto"/>
              <w:left w:val="nil"/>
              <w:bottom w:val="single" w:sz="4" w:space="0" w:color="auto"/>
              <w:right w:val="single" w:sz="8" w:space="0" w:color="000000"/>
            </w:tcBorders>
            <w:shd w:val="clear" w:color="auto" w:fill="auto"/>
            <w:vAlign w:val="bottom"/>
            <w:hideMark/>
          </w:tcPr>
          <w:p w14:paraId="6F0888CA" w14:textId="77777777" w:rsidR="000B380F" w:rsidRPr="000B380F" w:rsidRDefault="000B380F" w:rsidP="000B380F">
            <w:pPr>
              <w:spacing w:after="0" w:line="240" w:lineRule="auto"/>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z toho:</w:t>
            </w:r>
          </w:p>
        </w:tc>
      </w:tr>
      <w:tr w:rsidR="000B380F" w:rsidRPr="000B380F" w14:paraId="5A3107BA" w14:textId="77777777" w:rsidTr="000951D6">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57C135F3" w14:textId="77777777" w:rsidR="000B380F" w:rsidRPr="000B380F" w:rsidRDefault="000B380F" w:rsidP="000B380F">
            <w:pPr>
              <w:spacing w:after="0" w:line="240" w:lineRule="auto"/>
              <w:jc w:val="center"/>
              <w:rPr>
                <w:rFonts w:ascii="Calibri" w:eastAsia="Times New Roman" w:hAnsi="Calibri" w:cs="Calibri"/>
                <w:i/>
                <w:iCs/>
                <w:sz w:val="20"/>
                <w:szCs w:val="20"/>
                <w:lang w:eastAsia="cs-CZ"/>
              </w:rPr>
            </w:pPr>
            <w:r w:rsidRPr="000B380F">
              <w:rPr>
                <w:rFonts w:ascii="Calibri" w:eastAsia="Times New Roman" w:hAnsi="Calibri" w:cs="Calibri"/>
                <w:i/>
                <w:iCs/>
                <w:sz w:val="20"/>
                <w:szCs w:val="20"/>
                <w:lang w:eastAsia="cs-CZ"/>
              </w:rPr>
              <w:t> </w:t>
            </w:r>
          </w:p>
        </w:tc>
        <w:tc>
          <w:tcPr>
            <w:tcW w:w="4473" w:type="dxa"/>
            <w:tcBorders>
              <w:top w:val="nil"/>
              <w:left w:val="nil"/>
              <w:bottom w:val="single" w:sz="4" w:space="0" w:color="auto"/>
              <w:right w:val="single" w:sz="4" w:space="0" w:color="auto"/>
            </w:tcBorders>
            <w:shd w:val="clear" w:color="auto" w:fill="auto"/>
            <w:vAlign w:val="bottom"/>
            <w:hideMark/>
          </w:tcPr>
          <w:p w14:paraId="2A3F95FA" w14:textId="77777777" w:rsidR="000B380F" w:rsidRPr="000B380F" w:rsidRDefault="000B380F" w:rsidP="000B380F">
            <w:pPr>
              <w:spacing w:after="0" w:line="240" w:lineRule="auto"/>
              <w:rPr>
                <w:rFonts w:ascii="Calibri" w:eastAsia="Times New Roman" w:hAnsi="Calibri" w:cs="Calibri"/>
                <w:i/>
                <w:iCs/>
                <w:sz w:val="20"/>
                <w:szCs w:val="20"/>
                <w:lang w:eastAsia="cs-CZ"/>
              </w:rPr>
            </w:pPr>
            <w:r w:rsidRPr="000B380F">
              <w:rPr>
                <w:rFonts w:ascii="Calibri" w:eastAsia="Times New Roman" w:hAnsi="Calibri" w:cs="Calibri"/>
                <w:i/>
                <w:iCs/>
                <w:sz w:val="20"/>
                <w:szCs w:val="20"/>
                <w:lang w:eastAsia="cs-CZ"/>
              </w:rPr>
              <w:t>příspěvek na provoz</w:t>
            </w:r>
          </w:p>
        </w:tc>
        <w:tc>
          <w:tcPr>
            <w:tcW w:w="949" w:type="dxa"/>
            <w:tcBorders>
              <w:top w:val="nil"/>
              <w:left w:val="nil"/>
              <w:bottom w:val="single" w:sz="4" w:space="0" w:color="auto"/>
              <w:right w:val="single" w:sz="4" w:space="0" w:color="auto"/>
            </w:tcBorders>
            <w:shd w:val="clear" w:color="auto" w:fill="auto"/>
            <w:noWrap/>
            <w:vAlign w:val="bottom"/>
            <w:hideMark/>
          </w:tcPr>
          <w:p w14:paraId="64696478" w14:textId="77777777" w:rsidR="000B380F" w:rsidRPr="000B380F" w:rsidRDefault="000B380F" w:rsidP="000B380F">
            <w:pPr>
              <w:spacing w:after="0" w:line="240" w:lineRule="auto"/>
              <w:jc w:val="right"/>
              <w:rPr>
                <w:rFonts w:ascii="Calibri" w:eastAsia="Times New Roman" w:hAnsi="Calibri" w:cs="Calibri"/>
                <w:i/>
                <w:iCs/>
                <w:sz w:val="20"/>
                <w:szCs w:val="20"/>
                <w:lang w:eastAsia="cs-CZ"/>
              </w:rPr>
            </w:pPr>
            <w:r w:rsidRPr="000B380F">
              <w:rPr>
                <w:rFonts w:ascii="Calibri" w:eastAsia="Times New Roman" w:hAnsi="Calibri" w:cs="Calibri"/>
                <w:i/>
                <w:iCs/>
                <w:sz w:val="20"/>
                <w:szCs w:val="20"/>
                <w:lang w:eastAsia="cs-CZ"/>
              </w:rPr>
              <w:t>0</w:t>
            </w:r>
          </w:p>
        </w:tc>
        <w:tc>
          <w:tcPr>
            <w:tcW w:w="1690" w:type="dxa"/>
            <w:tcBorders>
              <w:top w:val="nil"/>
              <w:left w:val="nil"/>
              <w:bottom w:val="single" w:sz="4" w:space="0" w:color="auto"/>
              <w:right w:val="single" w:sz="4" w:space="0" w:color="auto"/>
            </w:tcBorders>
            <w:shd w:val="clear" w:color="auto" w:fill="auto"/>
            <w:noWrap/>
            <w:vAlign w:val="bottom"/>
            <w:hideMark/>
          </w:tcPr>
          <w:p w14:paraId="3A4048D4" w14:textId="77777777" w:rsidR="000B380F" w:rsidRPr="000B380F" w:rsidRDefault="000B380F" w:rsidP="000B380F">
            <w:pPr>
              <w:spacing w:after="0" w:line="240" w:lineRule="auto"/>
              <w:jc w:val="right"/>
              <w:rPr>
                <w:rFonts w:ascii="Calibri" w:eastAsia="Times New Roman" w:hAnsi="Calibri" w:cs="Calibri"/>
                <w:i/>
                <w:iCs/>
                <w:sz w:val="20"/>
                <w:szCs w:val="20"/>
                <w:lang w:eastAsia="cs-CZ"/>
              </w:rPr>
            </w:pPr>
            <w:r w:rsidRPr="000B380F">
              <w:rPr>
                <w:rFonts w:ascii="Calibri" w:eastAsia="Times New Roman" w:hAnsi="Calibri" w:cs="Calibri"/>
                <w:i/>
                <w:iCs/>
                <w:sz w:val="20"/>
                <w:szCs w:val="20"/>
                <w:lang w:eastAsia="cs-CZ"/>
              </w:rPr>
              <w:t>2 795 456,00</w:t>
            </w:r>
          </w:p>
        </w:tc>
        <w:tc>
          <w:tcPr>
            <w:tcW w:w="1701" w:type="dxa"/>
            <w:tcBorders>
              <w:top w:val="nil"/>
              <w:left w:val="nil"/>
              <w:bottom w:val="single" w:sz="4" w:space="0" w:color="auto"/>
              <w:right w:val="single" w:sz="4" w:space="0" w:color="auto"/>
            </w:tcBorders>
            <w:shd w:val="clear" w:color="auto" w:fill="auto"/>
            <w:noWrap/>
            <w:vAlign w:val="bottom"/>
            <w:hideMark/>
          </w:tcPr>
          <w:p w14:paraId="4F36C2CF" w14:textId="77777777" w:rsidR="000B380F" w:rsidRPr="000B380F" w:rsidRDefault="000B380F" w:rsidP="000B380F">
            <w:pPr>
              <w:spacing w:after="0" w:line="240" w:lineRule="auto"/>
              <w:jc w:val="right"/>
              <w:rPr>
                <w:rFonts w:ascii="Calibri" w:eastAsia="Times New Roman" w:hAnsi="Calibri" w:cs="Calibri"/>
                <w:i/>
                <w:iCs/>
                <w:sz w:val="20"/>
                <w:szCs w:val="20"/>
                <w:lang w:eastAsia="cs-CZ"/>
              </w:rPr>
            </w:pPr>
            <w:r w:rsidRPr="000B380F">
              <w:rPr>
                <w:rFonts w:ascii="Calibri" w:eastAsia="Times New Roman" w:hAnsi="Calibri" w:cs="Calibri"/>
                <w:i/>
                <w:iCs/>
                <w:sz w:val="20"/>
                <w:szCs w:val="20"/>
                <w:lang w:eastAsia="cs-CZ"/>
              </w:rPr>
              <w:t>2 795 456,00</w:t>
            </w:r>
          </w:p>
        </w:tc>
        <w:tc>
          <w:tcPr>
            <w:tcW w:w="509" w:type="dxa"/>
            <w:tcBorders>
              <w:top w:val="nil"/>
              <w:left w:val="nil"/>
              <w:bottom w:val="single" w:sz="4" w:space="0" w:color="auto"/>
              <w:right w:val="single" w:sz="8" w:space="0" w:color="auto"/>
            </w:tcBorders>
            <w:shd w:val="clear" w:color="auto" w:fill="auto"/>
            <w:noWrap/>
            <w:vAlign w:val="bottom"/>
            <w:hideMark/>
          </w:tcPr>
          <w:p w14:paraId="02DC5838" w14:textId="77777777" w:rsidR="000B380F" w:rsidRPr="000B380F" w:rsidRDefault="000B380F" w:rsidP="000B380F">
            <w:pPr>
              <w:spacing w:after="0" w:line="240" w:lineRule="auto"/>
              <w:jc w:val="right"/>
              <w:rPr>
                <w:rFonts w:ascii="Calibri" w:eastAsia="Times New Roman" w:hAnsi="Calibri" w:cs="Calibri"/>
                <w:i/>
                <w:iCs/>
                <w:sz w:val="20"/>
                <w:szCs w:val="20"/>
                <w:lang w:eastAsia="cs-CZ"/>
              </w:rPr>
            </w:pPr>
            <w:r w:rsidRPr="000B380F">
              <w:rPr>
                <w:rFonts w:ascii="Calibri" w:eastAsia="Times New Roman" w:hAnsi="Calibri" w:cs="Calibri"/>
                <w:i/>
                <w:iCs/>
                <w:sz w:val="20"/>
                <w:szCs w:val="20"/>
                <w:lang w:eastAsia="cs-CZ"/>
              </w:rPr>
              <w:t>100,0</w:t>
            </w:r>
          </w:p>
        </w:tc>
      </w:tr>
      <w:tr w:rsidR="000B380F" w:rsidRPr="000B380F" w14:paraId="736A63FE" w14:textId="77777777" w:rsidTr="000951D6">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26024AEF" w14:textId="77777777" w:rsidR="000B380F" w:rsidRPr="000B380F" w:rsidRDefault="000B380F" w:rsidP="000B380F">
            <w:pPr>
              <w:spacing w:after="0" w:line="240" w:lineRule="auto"/>
              <w:jc w:val="center"/>
              <w:rPr>
                <w:rFonts w:ascii="Calibri" w:eastAsia="Times New Roman" w:hAnsi="Calibri" w:cs="Calibri"/>
                <w:i/>
                <w:iCs/>
                <w:sz w:val="20"/>
                <w:szCs w:val="20"/>
                <w:lang w:eastAsia="cs-CZ"/>
              </w:rPr>
            </w:pPr>
            <w:r w:rsidRPr="000B380F">
              <w:rPr>
                <w:rFonts w:ascii="Calibri" w:eastAsia="Times New Roman" w:hAnsi="Calibri" w:cs="Calibri"/>
                <w:i/>
                <w:iCs/>
                <w:sz w:val="20"/>
                <w:szCs w:val="20"/>
                <w:lang w:eastAsia="cs-CZ"/>
              </w:rPr>
              <w:t> </w:t>
            </w:r>
          </w:p>
        </w:tc>
        <w:tc>
          <w:tcPr>
            <w:tcW w:w="4473" w:type="dxa"/>
            <w:tcBorders>
              <w:top w:val="nil"/>
              <w:left w:val="nil"/>
              <w:bottom w:val="single" w:sz="4" w:space="0" w:color="auto"/>
              <w:right w:val="single" w:sz="4" w:space="0" w:color="auto"/>
            </w:tcBorders>
            <w:shd w:val="clear" w:color="auto" w:fill="auto"/>
            <w:vAlign w:val="bottom"/>
            <w:hideMark/>
          </w:tcPr>
          <w:p w14:paraId="41016D91" w14:textId="77777777" w:rsidR="000B380F" w:rsidRPr="000B380F" w:rsidRDefault="000B380F" w:rsidP="000B380F">
            <w:pPr>
              <w:spacing w:after="0" w:line="240" w:lineRule="auto"/>
              <w:rPr>
                <w:rFonts w:ascii="Calibri" w:eastAsia="Times New Roman" w:hAnsi="Calibri" w:cs="Calibri"/>
                <w:i/>
                <w:iCs/>
                <w:sz w:val="20"/>
                <w:szCs w:val="20"/>
                <w:lang w:eastAsia="cs-CZ"/>
              </w:rPr>
            </w:pPr>
            <w:r w:rsidRPr="000B380F">
              <w:rPr>
                <w:rFonts w:ascii="Calibri" w:eastAsia="Times New Roman" w:hAnsi="Calibri" w:cs="Calibri"/>
                <w:i/>
                <w:iCs/>
                <w:sz w:val="20"/>
                <w:szCs w:val="20"/>
                <w:lang w:eastAsia="cs-CZ"/>
              </w:rPr>
              <w:t>příspěvek na mzdové výdaje</w:t>
            </w:r>
          </w:p>
        </w:tc>
        <w:tc>
          <w:tcPr>
            <w:tcW w:w="949" w:type="dxa"/>
            <w:tcBorders>
              <w:top w:val="nil"/>
              <w:left w:val="nil"/>
              <w:bottom w:val="single" w:sz="4" w:space="0" w:color="auto"/>
              <w:right w:val="single" w:sz="4" w:space="0" w:color="auto"/>
            </w:tcBorders>
            <w:shd w:val="clear" w:color="auto" w:fill="auto"/>
            <w:noWrap/>
            <w:vAlign w:val="bottom"/>
            <w:hideMark/>
          </w:tcPr>
          <w:p w14:paraId="6ED53D19" w14:textId="77777777" w:rsidR="000B380F" w:rsidRPr="000B380F" w:rsidRDefault="000B380F" w:rsidP="000B380F">
            <w:pPr>
              <w:spacing w:after="0" w:line="240" w:lineRule="auto"/>
              <w:jc w:val="right"/>
              <w:rPr>
                <w:rFonts w:ascii="Calibri" w:eastAsia="Times New Roman" w:hAnsi="Calibri" w:cs="Calibri"/>
                <w:i/>
                <w:iCs/>
                <w:sz w:val="20"/>
                <w:szCs w:val="20"/>
                <w:lang w:eastAsia="cs-CZ"/>
              </w:rPr>
            </w:pPr>
            <w:r w:rsidRPr="000B380F">
              <w:rPr>
                <w:rFonts w:ascii="Calibri" w:eastAsia="Times New Roman" w:hAnsi="Calibri" w:cs="Calibri"/>
                <w:i/>
                <w:iCs/>
                <w:sz w:val="20"/>
                <w:szCs w:val="20"/>
                <w:lang w:eastAsia="cs-CZ"/>
              </w:rPr>
              <w:t>0</w:t>
            </w:r>
          </w:p>
        </w:tc>
        <w:tc>
          <w:tcPr>
            <w:tcW w:w="1690" w:type="dxa"/>
            <w:tcBorders>
              <w:top w:val="nil"/>
              <w:left w:val="nil"/>
              <w:bottom w:val="single" w:sz="4" w:space="0" w:color="auto"/>
              <w:right w:val="single" w:sz="4" w:space="0" w:color="auto"/>
            </w:tcBorders>
            <w:shd w:val="clear" w:color="auto" w:fill="auto"/>
            <w:noWrap/>
            <w:vAlign w:val="bottom"/>
            <w:hideMark/>
          </w:tcPr>
          <w:p w14:paraId="0595D7BB" w14:textId="77777777" w:rsidR="000B380F" w:rsidRPr="000B380F" w:rsidRDefault="000B380F" w:rsidP="000B380F">
            <w:pPr>
              <w:spacing w:after="0" w:line="240" w:lineRule="auto"/>
              <w:jc w:val="right"/>
              <w:rPr>
                <w:rFonts w:ascii="Calibri" w:eastAsia="Times New Roman" w:hAnsi="Calibri" w:cs="Calibri"/>
                <w:i/>
                <w:iCs/>
                <w:sz w:val="20"/>
                <w:szCs w:val="20"/>
                <w:lang w:eastAsia="cs-CZ"/>
              </w:rPr>
            </w:pPr>
            <w:r w:rsidRPr="000B380F">
              <w:rPr>
                <w:rFonts w:ascii="Calibri" w:eastAsia="Times New Roman" w:hAnsi="Calibri" w:cs="Calibri"/>
                <w:i/>
                <w:iCs/>
                <w:sz w:val="20"/>
                <w:szCs w:val="20"/>
                <w:lang w:eastAsia="cs-CZ"/>
              </w:rPr>
              <w:t>37 906 400,00</w:t>
            </w:r>
          </w:p>
        </w:tc>
        <w:tc>
          <w:tcPr>
            <w:tcW w:w="1701" w:type="dxa"/>
            <w:tcBorders>
              <w:top w:val="nil"/>
              <w:left w:val="nil"/>
              <w:bottom w:val="single" w:sz="4" w:space="0" w:color="auto"/>
              <w:right w:val="single" w:sz="4" w:space="0" w:color="auto"/>
            </w:tcBorders>
            <w:shd w:val="clear" w:color="auto" w:fill="auto"/>
            <w:noWrap/>
            <w:vAlign w:val="bottom"/>
            <w:hideMark/>
          </w:tcPr>
          <w:p w14:paraId="6081C6EC" w14:textId="77777777" w:rsidR="000B380F" w:rsidRPr="000B380F" w:rsidRDefault="000B380F" w:rsidP="000B380F">
            <w:pPr>
              <w:spacing w:after="0" w:line="240" w:lineRule="auto"/>
              <w:jc w:val="right"/>
              <w:rPr>
                <w:rFonts w:ascii="Calibri" w:eastAsia="Times New Roman" w:hAnsi="Calibri" w:cs="Calibri"/>
                <w:i/>
                <w:iCs/>
                <w:sz w:val="20"/>
                <w:szCs w:val="20"/>
                <w:lang w:eastAsia="cs-CZ"/>
              </w:rPr>
            </w:pPr>
            <w:r w:rsidRPr="000B380F">
              <w:rPr>
                <w:rFonts w:ascii="Calibri" w:eastAsia="Times New Roman" w:hAnsi="Calibri" w:cs="Calibri"/>
                <w:i/>
                <w:iCs/>
                <w:sz w:val="20"/>
                <w:szCs w:val="20"/>
                <w:lang w:eastAsia="cs-CZ"/>
              </w:rPr>
              <w:t>37 906 400,00</w:t>
            </w:r>
          </w:p>
        </w:tc>
        <w:tc>
          <w:tcPr>
            <w:tcW w:w="509" w:type="dxa"/>
            <w:tcBorders>
              <w:top w:val="nil"/>
              <w:left w:val="nil"/>
              <w:bottom w:val="single" w:sz="4" w:space="0" w:color="auto"/>
              <w:right w:val="single" w:sz="8" w:space="0" w:color="auto"/>
            </w:tcBorders>
            <w:shd w:val="clear" w:color="auto" w:fill="auto"/>
            <w:noWrap/>
            <w:vAlign w:val="bottom"/>
            <w:hideMark/>
          </w:tcPr>
          <w:p w14:paraId="6DB92918" w14:textId="77777777" w:rsidR="000B380F" w:rsidRPr="000B380F" w:rsidRDefault="000B380F" w:rsidP="000B380F">
            <w:pPr>
              <w:spacing w:after="0" w:line="240" w:lineRule="auto"/>
              <w:jc w:val="right"/>
              <w:rPr>
                <w:rFonts w:ascii="Calibri" w:eastAsia="Times New Roman" w:hAnsi="Calibri" w:cs="Calibri"/>
                <w:i/>
                <w:iCs/>
                <w:sz w:val="20"/>
                <w:szCs w:val="20"/>
                <w:lang w:eastAsia="cs-CZ"/>
              </w:rPr>
            </w:pPr>
            <w:r w:rsidRPr="000B380F">
              <w:rPr>
                <w:rFonts w:ascii="Calibri" w:eastAsia="Times New Roman" w:hAnsi="Calibri" w:cs="Calibri"/>
                <w:i/>
                <w:iCs/>
                <w:sz w:val="20"/>
                <w:szCs w:val="20"/>
                <w:lang w:eastAsia="cs-CZ"/>
              </w:rPr>
              <w:t>100,0</w:t>
            </w:r>
          </w:p>
        </w:tc>
      </w:tr>
      <w:tr w:rsidR="000B380F" w:rsidRPr="000B380F" w14:paraId="40D3B870" w14:textId="77777777" w:rsidTr="000951D6">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538B053A" w14:textId="77777777" w:rsidR="000B380F" w:rsidRPr="000B380F" w:rsidRDefault="000B380F" w:rsidP="000B380F">
            <w:pPr>
              <w:spacing w:after="0" w:line="240" w:lineRule="auto"/>
              <w:jc w:val="center"/>
              <w:rPr>
                <w:rFonts w:ascii="Calibri" w:eastAsia="Times New Roman" w:hAnsi="Calibri" w:cs="Calibri"/>
                <w:i/>
                <w:iCs/>
                <w:sz w:val="20"/>
                <w:szCs w:val="20"/>
                <w:lang w:eastAsia="cs-CZ"/>
              </w:rPr>
            </w:pPr>
            <w:r w:rsidRPr="000B380F">
              <w:rPr>
                <w:rFonts w:ascii="Calibri" w:eastAsia="Times New Roman" w:hAnsi="Calibri" w:cs="Calibri"/>
                <w:i/>
                <w:iCs/>
                <w:sz w:val="20"/>
                <w:szCs w:val="20"/>
                <w:lang w:eastAsia="cs-CZ"/>
              </w:rPr>
              <w:t> </w:t>
            </w:r>
          </w:p>
        </w:tc>
        <w:tc>
          <w:tcPr>
            <w:tcW w:w="4473" w:type="dxa"/>
            <w:tcBorders>
              <w:top w:val="nil"/>
              <w:left w:val="nil"/>
              <w:bottom w:val="single" w:sz="4" w:space="0" w:color="auto"/>
              <w:right w:val="single" w:sz="4" w:space="0" w:color="auto"/>
            </w:tcBorders>
            <w:shd w:val="clear" w:color="auto" w:fill="auto"/>
            <w:vAlign w:val="bottom"/>
            <w:hideMark/>
          </w:tcPr>
          <w:p w14:paraId="175468F3" w14:textId="77777777" w:rsidR="000B380F" w:rsidRPr="000B380F" w:rsidRDefault="000B380F" w:rsidP="000B380F">
            <w:pPr>
              <w:spacing w:after="0" w:line="240" w:lineRule="auto"/>
              <w:rPr>
                <w:rFonts w:ascii="Calibri" w:eastAsia="Times New Roman" w:hAnsi="Calibri" w:cs="Calibri"/>
                <w:i/>
                <w:iCs/>
                <w:sz w:val="20"/>
                <w:szCs w:val="20"/>
                <w:lang w:eastAsia="cs-CZ"/>
              </w:rPr>
            </w:pPr>
            <w:r w:rsidRPr="000B380F">
              <w:rPr>
                <w:rFonts w:ascii="Calibri" w:eastAsia="Times New Roman" w:hAnsi="Calibri" w:cs="Calibri"/>
                <w:i/>
                <w:iCs/>
                <w:sz w:val="20"/>
                <w:szCs w:val="20"/>
                <w:lang w:eastAsia="cs-CZ"/>
              </w:rPr>
              <w:t>příspěvek na provoz (jízdenkové kotouče, MOS)</w:t>
            </w:r>
          </w:p>
        </w:tc>
        <w:tc>
          <w:tcPr>
            <w:tcW w:w="949" w:type="dxa"/>
            <w:tcBorders>
              <w:top w:val="nil"/>
              <w:left w:val="nil"/>
              <w:bottom w:val="single" w:sz="4" w:space="0" w:color="auto"/>
              <w:right w:val="single" w:sz="4" w:space="0" w:color="auto"/>
            </w:tcBorders>
            <w:shd w:val="clear" w:color="auto" w:fill="auto"/>
            <w:noWrap/>
            <w:vAlign w:val="bottom"/>
            <w:hideMark/>
          </w:tcPr>
          <w:p w14:paraId="1C4AF4D1" w14:textId="77777777" w:rsidR="000B380F" w:rsidRPr="000B380F" w:rsidRDefault="000B380F" w:rsidP="000B380F">
            <w:pPr>
              <w:spacing w:after="0" w:line="240" w:lineRule="auto"/>
              <w:jc w:val="right"/>
              <w:rPr>
                <w:rFonts w:ascii="Calibri" w:eastAsia="Times New Roman" w:hAnsi="Calibri" w:cs="Calibri"/>
                <w:i/>
                <w:iCs/>
                <w:sz w:val="20"/>
                <w:szCs w:val="20"/>
                <w:lang w:eastAsia="cs-CZ"/>
              </w:rPr>
            </w:pPr>
            <w:r w:rsidRPr="000B380F">
              <w:rPr>
                <w:rFonts w:ascii="Calibri" w:eastAsia="Times New Roman" w:hAnsi="Calibri" w:cs="Calibri"/>
                <w:i/>
                <w:iCs/>
                <w:sz w:val="20"/>
                <w:szCs w:val="20"/>
                <w:lang w:eastAsia="cs-CZ"/>
              </w:rPr>
              <w:t>0</w:t>
            </w:r>
          </w:p>
        </w:tc>
        <w:tc>
          <w:tcPr>
            <w:tcW w:w="1690" w:type="dxa"/>
            <w:tcBorders>
              <w:top w:val="nil"/>
              <w:left w:val="nil"/>
              <w:bottom w:val="single" w:sz="4" w:space="0" w:color="auto"/>
              <w:right w:val="single" w:sz="4" w:space="0" w:color="auto"/>
            </w:tcBorders>
            <w:shd w:val="clear" w:color="auto" w:fill="auto"/>
            <w:noWrap/>
            <w:vAlign w:val="bottom"/>
            <w:hideMark/>
          </w:tcPr>
          <w:p w14:paraId="029EB4CB" w14:textId="77777777" w:rsidR="000B380F" w:rsidRPr="000B380F" w:rsidRDefault="000B380F" w:rsidP="000B380F">
            <w:pPr>
              <w:spacing w:after="0" w:line="240" w:lineRule="auto"/>
              <w:jc w:val="right"/>
              <w:rPr>
                <w:rFonts w:ascii="Calibri" w:eastAsia="Times New Roman" w:hAnsi="Calibri" w:cs="Calibri"/>
                <w:i/>
                <w:iCs/>
                <w:sz w:val="20"/>
                <w:szCs w:val="20"/>
                <w:lang w:eastAsia="cs-CZ"/>
              </w:rPr>
            </w:pPr>
            <w:r w:rsidRPr="000B380F">
              <w:rPr>
                <w:rFonts w:ascii="Calibri" w:eastAsia="Times New Roman" w:hAnsi="Calibri" w:cs="Calibri"/>
                <w:i/>
                <w:iCs/>
                <w:sz w:val="20"/>
                <w:szCs w:val="20"/>
                <w:lang w:eastAsia="cs-CZ"/>
              </w:rPr>
              <w:t>7 735 676,00</w:t>
            </w:r>
          </w:p>
        </w:tc>
        <w:tc>
          <w:tcPr>
            <w:tcW w:w="1701" w:type="dxa"/>
            <w:tcBorders>
              <w:top w:val="nil"/>
              <w:left w:val="nil"/>
              <w:bottom w:val="single" w:sz="4" w:space="0" w:color="auto"/>
              <w:right w:val="single" w:sz="4" w:space="0" w:color="auto"/>
            </w:tcBorders>
            <w:shd w:val="clear" w:color="auto" w:fill="auto"/>
            <w:noWrap/>
            <w:vAlign w:val="bottom"/>
            <w:hideMark/>
          </w:tcPr>
          <w:p w14:paraId="1D8A926F" w14:textId="77777777" w:rsidR="000B380F" w:rsidRPr="000B380F" w:rsidRDefault="000B380F" w:rsidP="000B380F">
            <w:pPr>
              <w:spacing w:after="0" w:line="240" w:lineRule="auto"/>
              <w:jc w:val="right"/>
              <w:rPr>
                <w:rFonts w:ascii="Calibri" w:eastAsia="Times New Roman" w:hAnsi="Calibri" w:cs="Calibri"/>
                <w:i/>
                <w:iCs/>
                <w:sz w:val="20"/>
                <w:szCs w:val="20"/>
                <w:lang w:eastAsia="cs-CZ"/>
              </w:rPr>
            </w:pPr>
            <w:r w:rsidRPr="000B380F">
              <w:rPr>
                <w:rFonts w:ascii="Calibri" w:eastAsia="Times New Roman" w:hAnsi="Calibri" w:cs="Calibri"/>
                <w:i/>
                <w:iCs/>
                <w:sz w:val="20"/>
                <w:szCs w:val="20"/>
                <w:lang w:eastAsia="cs-CZ"/>
              </w:rPr>
              <w:t>7 735 676,00</w:t>
            </w:r>
          </w:p>
        </w:tc>
        <w:tc>
          <w:tcPr>
            <w:tcW w:w="509" w:type="dxa"/>
            <w:tcBorders>
              <w:top w:val="nil"/>
              <w:left w:val="nil"/>
              <w:bottom w:val="single" w:sz="4" w:space="0" w:color="auto"/>
              <w:right w:val="single" w:sz="8" w:space="0" w:color="auto"/>
            </w:tcBorders>
            <w:shd w:val="clear" w:color="auto" w:fill="auto"/>
            <w:noWrap/>
            <w:vAlign w:val="bottom"/>
            <w:hideMark/>
          </w:tcPr>
          <w:p w14:paraId="68207920" w14:textId="77777777" w:rsidR="000B380F" w:rsidRPr="000B380F" w:rsidRDefault="000B380F" w:rsidP="000B380F">
            <w:pPr>
              <w:spacing w:after="0" w:line="240" w:lineRule="auto"/>
              <w:jc w:val="right"/>
              <w:rPr>
                <w:rFonts w:ascii="Calibri" w:eastAsia="Times New Roman" w:hAnsi="Calibri" w:cs="Calibri"/>
                <w:i/>
                <w:iCs/>
                <w:sz w:val="20"/>
                <w:szCs w:val="20"/>
                <w:lang w:eastAsia="cs-CZ"/>
              </w:rPr>
            </w:pPr>
            <w:r w:rsidRPr="000B380F">
              <w:rPr>
                <w:rFonts w:ascii="Calibri" w:eastAsia="Times New Roman" w:hAnsi="Calibri" w:cs="Calibri"/>
                <w:i/>
                <w:iCs/>
                <w:sz w:val="20"/>
                <w:szCs w:val="20"/>
                <w:lang w:eastAsia="cs-CZ"/>
              </w:rPr>
              <w:t>100,0</w:t>
            </w:r>
          </w:p>
        </w:tc>
      </w:tr>
      <w:tr w:rsidR="000B380F" w:rsidRPr="000B380F" w14:paraId="793B2D4C" w14:textId="77777777" w:rsidTr="000951D6">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1557652D" w14:textId="77777777" w:rsidR="000B380F" w:rsidRPr="000B380F" w:rsidRDefault="000B380F" w:rsidP="000B380F">
            <w:pPr>
              <w:spacing w:after="0" w:line="240" w:lineRule="auto"/>
              <w:jc w:val="center"/>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2292</w:t>
            </w:r>
          </w:p>
        </w:tc>
        <w:tc>
          <w:tcPr>
            <w:tcW w:w="4473" w:type="dxa"/>
            <w:tcBorders>
              <w:top w:val="nil"/>
              <w:left w:val="nil"/>
              <w:bottom w:val="single" w:sz="4" w:space="0" w:color="auto"/>
              <w:right w:val="single" w:sz="4" w:space="0" w:color="auto"/>
            </w:tcBorders>
            <w:shd w:val="clear" w:color="auto" w:fill="auto"/>
            <w:vAlign w:val="bottom"/>
            <w:hideMark/>
          </w:tcPr>
          <w:p w14:paraId="54D12392" w14:textId="77777777" w:rsidR="000B380F" w:rsidRPr="000B380F" w:rsidRDefault="000B380F" w:rsidP="000B380F">
            <w:pPr>
              <w:spacing w:after="0" w:line="240" w:lineRule="auto"/>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Dopravní obslužnost veřejnými službami - linková</w:t>
            </w:r>
          </w:p>
        </w:tc>
        <w:tc>
          <w:tcPr>
            <w:tcW w:w="949" w:type="dxa"/>
            <w:tcBorders>
              <w:top w:val="nil"/>
              <w:left w:val="nil"/>
              <w:bottom w:val="single" w:sz="4" w:space="0" w:color="auto"/>
              <w:right w:val="single" w:sz="4" w:space="0" w:color="auto"/>
            </w:tcBorders>
            <w:shd w:val="clear" w:color="auto" w:fill="auto"/>
            <w:noWrap/>
            <w:vAlign w:val="bottom"/>
            <w:hideMark/>
          </w:tcPr>
          <w:p w14:paraId="764E8907" w14:textId="77777777" w:rsidR="000B380F" w:rsidRPr="000B380F" w:rsidRDefault="000B380F" w:rsidP="000B380F">
            <w:pPr>
              <w:spacing w:after="0" w:line="240" w:lineRule="auto"/>
              <w:jc w:val="right"/>
              <w:rPr>
                <w:rFonts w:ascii="Calibri" w:eastAsia="Times New Roman" w:hAnsi="Calibri" w:cs="Calibri"/>
                <w:i/>
                <w:iCs/>
                <w:sz w:val="20"/>
                <w:szCs w:val="20"/>
                <w:lang w:eastAsia="cs-CZ"/>
              </w:rPr>
            </w:pPr>
            <w:r w:rsidRPr="000B380F">
              <w:rPr>
                <w:rFonts w:ascii="Calibri" w:eastAsia="Times New Roman" w:hAnsi="Calibri" w:cs="Calibri"/>
                <w:i/>
                <w:iCs/>
                <w:sz w:val="20"/>
                <w:szCs w:val="20"/>
                <w:lang w:eastAsia="cs-CZ"/>
              </w:rPr>
              <w:t>0</w:t>
            </w:r>
          </w:p>
        </w:tc>
        <w:tc>
          <w:tcPr>
            <w:tcW w:w="1690" w:type="dxa"/>
            <w:tcBorders>
              <w:top w:val="nil"/>
              <w:left w:val="nil"/>
              <w:bottom w:val="single" w:sz="4" w:space="0" w:color="auto"/>
              <w:right w:val="single" w:sz="4" w:space="0" w:color="auto"/>
            </w:tcBorders>
            <w:shd w:val="clear" w:color="auto" w:fill="auto"/>
            <w:noWrap/>
            <w:vAlign w:val="bottom"/>
            <w:hideMark/>
          </w:tcPr>
          <w:p w14:paraId="3DEBCE73" w14:textId="77777777" w:rsidR="000B380F" w:rsidRPr="000B380F" w:rsidRDefault="000B380F" w:rsidP="000B380F">
            <w:pPr>
              <w:spacing w:after="0" w:line="240" w:lineRule="auto"/>
              <w:jc w:val="right"/>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1 443 715 843,17</w:t>
            </w:r>
          </w:p>
        </w:tc>
        <w:tc>
          <w:tcPr>
            <w:tcW w:w="1701" w:type="dxa"/>
            <w:tcBorders>
              <w:top w:val="nil"/>
              <w:left w:val="nil"/>
              <w:bottom w:val="single" w:sz="4" w:space="0" w:color="auto"/>
              <w:right w:val="single" w:sz="4" w:space="0" w:color="auto"/>
            </w:tcBorders>
            <w:shd w:val="clear" w:color="auto" w:fill="auto"/>
            <w:noWrap/>
            <w:vAlign w:val="bottom"/>
            <w:hideMark/>
          </w:tcPr>
          <w:p w14:paraId="1A5BE3D4" w14:textId="77777777" w:rsidR="000B380F" w:rsidRPr="000B380F" w:rsidRDefault="000B380F" w:rsidP="000B380F">
            <w:pPr>
              <w:spacing w:after="0" w:line="240" w:lineRule="auto"/>
              <w:jc w:val="right"/>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1 427 577 053,61</w:t>
            </w:r>
          </w:p>
        </w:tc>
        <w:tc>
          <w:tcPr>
            <w:tcW w:w="509" w:type="dxa"/>
            <w:tcBorders>
              <w:top w:val="nil"/>
              <w:left w:val="nil"/>
              <w:bottom w:val="single" w:sz="4" w:space="0" w:color="auto"/>
              <w:right w:val="single" w:sz="8" w:space="0" w:color="auto"/>
            </w:tcBorders>
            <w:shd w:val="clear" w:color="auto" w:fill="auto"/>
            <w:noWrap/>
            <w:vAlign w:val="bottom"/>
            <w:hideMark/>
          </w:tcPr>
          <w:p w14:paraId="523FEB85" w14:textId="77777777" w:rsidR="000B380F" w:rsidRPr="000B380F" w:rsidRDefault="000B380F" w:rsidP="000B380F">
            <w:pPr>
              <w:spacing w:after="0" w:line="240" w:lineRule="auto"/>
              <w:jc w:val="right"/>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98,9</w:t>
            </w:r>
          </w:p>
        </w:tc>
      </w:tr>
      <w:tr w:rsidR="000B380F" w:rsidRPr="000B380F" w14:paraId="58F6F342" w14:textId="77777777" w:rsidTr="000951D6">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6E45B099" w14:textId="77777777" w:rsidR="000B380F" w:rsidRPr="000B380F" w:rsidRDefault="000B380F" w:rsidP="000B380F">
            <w:pPr>
              <w:spacing w:after="0" w:line="240" w:lineRule="auto"/>
              <w:jc w:val="center"/>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2294</w:t>
            </w:r>
          </w:p>
        </w:tc>
        <w:tc>
          <w:tcPr>
            <w:tcW w:w="4473" w:type="dxa"/>
            <w:tcBorders>
              <w:top w:val="nil"/>
              <w:left w:val="nil"/>
              <w:bottom w:val="single" w:sz="4" w:space="0" w:color="auto"/>
              <w:right w:val="single" w:sz="4" w:space="0" w:color="auto"/>
            </w:tcBorders>
            <w:shd w:val="clear" w:color="auto" w:fill="auto"/>
            <w:vAlign w:val="bottom"/>
            <w:hideMark/>
          </w:tcPr>
          <w:p w14:paraId="0294BE52" w14:textId="77777777" w:rsidR="000B380F" w:rsidRPr="000B380F" w:rsidRDefault="000B380F" w:rsidP="000B380F">
            <w:pPr>
              <w:spacing w:after="0" w:line="240" w:lineRule="auto"/>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Dopravní obslužnost veřejnými službami - drážní</w:t>
            </w:r>
          </w:p>
        </w:tc>
        <w:tc>
          <w:tcPr>
            <w:tcW w:w="949" w:type="dxa"/>
            <w:tcBorders>
              <w:top w:val="nil"/>
              <w:left w:val="nil"/>
              <w:bottom w:val="single" w:sz="4" w:space="0" w:color="auto"/>
              <w:right w:val="single" w:sz="4" w:space="0" w:color="auto"/>
            </w:tcBorders>
            <w:shd w:val="clear" w:color="auto" w:fill="auto"/>
            <w:noWrap/>
            <w:vAlign w:val="bottom"/>
            <w:hideMark/>
          </w:tcPr>
          <w:p w14:paraId="1F55F016" w14:textId="77777777" w:rsidR="000B380F" w:rsidRPr="000B380F" w:rsidRDefault="000B380F" w:rsidP="000B380F">
            <w:pPr>
              <w:spacing w:after="0" w:line="240" w:lineRule="auto"/>
              <w:jc w:val="right"/>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0</w:t>
            </w:r>
          </w:p>
        </w:tc>
        <w:tc>
          <w:tcPr>
            <w:tcW w:w="1690" w:type="dxa"/>
            <w:tcBorders>
              <w:top w:val="nil"/>
              <w:left w:val="nil"/>
              <w:bottom w:val="single" w:sz="4" w:space="0" w:color="auto"/>
              <w:right w:val="single" w:sz="4" w:space="0" w:color="auto"/>
            </w:tcBorders>
            <w:shd w:val="clear" w:color="auto" w:fill="auto"/>
            <w:noWrap/>
            <w:vAlign w:val="bottom"/>
            <w:hideMark/>
          </w:tcPr>
          <w:p w14:paraId="3EE83A7C" w14:textId="77777777" w:rsidR="000B380F" w:rsidRPr="000B380F" w:rsidRDefault="000B380F" w:rsidP="000B380F">
            <w:pPr>
              <w:spacing w:after="0" w:line="240" w:lineRule="auto"/>
              <w:jc w:val="right"/>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1 265 838 369,45</w:t>
            </w:r>
          </w:p>
        </w:tc>
        <w:tc>
          <w:tcPr>
            <w:tcW w:w="1701" w:type="dxa"/>
            <w:tcBorders>
              <w:top w:val="nil"/>
              <w:left w:val="nil"/>
              <w:bottom w:val="single" w:sz="4" w:space="0" w:color="auto"/>
              <w:right w:val="single" w:sz="4" w:space="0" w:color="auto"/>
            </w:tcBorders>
            <w:shd w:val="clear" w:color="auto" w:fill="auto"/>
            <w:noWrap/>
            <w:vAlign w:val="bottom"/>
            <w:hideMark/>
          </w:tcPr>
          <w:p w14:paraId="6E188441" w14:textId="77777777" w:rsidR="000B380F" w:rsidRPr="000B380F" w:rsidRDefault="000B380F" w:rsidP="000B380F">
            <w:pPr>
              <w:spacing w:after="0" w:line="240" w:lineRule="auto"/>
              <w:jc w:val="right"/>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1 255 159 088,20</w:t>
            </w:r>
          </w:p>
        </w:tc>
        <w:tc>
          <w:tcPr>
            <w:tcW w:w="509" w:type="dxa"/>
            <w:tcBorders>
              <w:top w:val="nil"/>
              <w:left w:val="nil"/>
              <w:bottom w:val="single" w:sz="4" w:space="0" w:color="auto"/>
              <w:right w:val="single" w:sz="8" w:space="0" w:color="auto"/>
            </w:tcBorders>
            <w:shd w:val="clear" w:color="auto" w:fill="auto"/>
            <w:noWrap/>
            <w:vAlign w:val="bottom"/>
            <w:hideMark/>
          </w:tcPr>
          <w:p w14:paraId="3D96B051" w14:textId="77777777" w:rsidR="000B380F" w:rsidRPr="000B380F" w:rsidRDefault="000B380F" w:rsidP="000B380F">
            <w:pPr>
              <w:spacing w:after="0" w:line="240" w:lineRule="auto"/>
              <w:jc w:val="right"/>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99,2</w:t>
            </w:r>
          </w:p>
        </w:tc>
      </w:tr>
      <w:tr w:rsidR="000B380F" w:rsidRPr="000B380F" w14:paraId="544FA9D5" w14:textId="77777777" w:rsidTr="000951D6">
        <w:trPr>
          <w:trHeight w:val="300"/>
        </w:trPr>
        <w:tc>
          <w:tcPr>
            <w:tcW w:w="826" w:type="dxa"/>
            <w:tcBorders>
              <w:top w:val="nil"/>
              <w:left w:val="single" w:sz="8" w:space="0" w:color="auto"/>
              <w:bottom w:val="single" w:sz="4" w:space="0" w:color="auto"/>
              <w:right w:val="single" w:sz="4" w:space="0" w:color="auto"/>
            </w:tcBorders>
            <w:shd w:val="clear" w:color="000000" w:fill="FFFFFF"/>
            <w:noWrap/>
            <w:vAlign w:val="bottom"/>
            <w:hideMark/>
          </w:tcPr>
          <w:p w14:paraId="14DF1108" w14:textId="77777777" w:rsidR="000B380F" w:rsidRPr="000B380F" w:rsidRDefault="000B380F" w:rsidP="000B380F">
            <w:pPr>
              <w:spacing w:after="0" w:line="240" w:lineRule="auto"/>
              <w:jc w:val="center"/>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2299</w:t>
            </w:r>
          </w:p>
        </w:tc>
        <w:tc>
          <w:tcPr>
            <w:tcW w:w="4473" w:type="dxa"/>
            <w:tcBorders>
              <w:top w:val="nil"/>
              <w:left w:val="nil"/>
              <w:bottom w:val="single" w:sz="4" w:space="0" w:color="auto"/>
              <w:right w:val="single" w:sz="4" w:space="0" w:color="auto"/>
            </w:tcBorders>
            <w:shd w:val="clear" w:color="auto" w:fill="auto"/>
            <w:vAlign w:val="bottom"/>
            <w:hideMark/>
          </w:tcPr>
          <w:p w14:paraId="4C9D2284" w14:textId="77777777" w:rsidR="000B380F" w:rsidRPr="000B380F" w:rsidRDefault="000B380F" w:rsidP="000B380F">
            <w:pPr>
              <w:spacing w:after="0" w:line="240" w:lineRule="auto"/>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Ostatní záležitosti v dopravě</w:t>
            </w:r>
          </w:p>
        </w:tc>
        <w:tc>
          <w:tcPr>
            <w:tcW w:w="949" w:type="dxa"/>
            <w:tcBorders>
              <w:top w:val="nil"/>
              <w:left w:val="nil"/>
              <w:bottom w:val="single" w:sz="4" w:space="0" w:color="auto"/>
              <w:right w:val="single" w:sz="4" w:space="0" w:color="auto"/>
            </w:tcBorders>
            <w:shd w:val="clear" w:color="auto" w:fill="auto"/>
            <w:noWrap/>
            <w:vAlign w:val="bottom"/>
            <w:hideMark/>
          </w:tcPr>
          <w:p w14:paraId="43420E26" w14:textId="77777777" w:rsidR="000B380F" w:rsidRPr="000B380F" w:rsidRDefault="000B380F" w:rsidP="000B380F">
            <w:pPr>
              <w:spacing w:after="0" w:line="240" w:lineRule="auto"/>
              <w:jc w:val="right"/>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0</w:t>
            </w:r>
          </w:p>
        </w:tc>
        <w:tc>
          <w:tcPr>
            <w:tcW w:w="1690" w:type="dxa"/>
            <w:tcBorders>
              <w:top w:val="nil"/>
              <w:left w:val="nil"/>
              <w:bottom w:val="single" w:sz="4" w:space="0" w:color="auto"/>
              <w:right w:val="single" w:sz="4" w:space="0" w:color="auto"/>
            </w:tcBorders>
            <w:shd w:val="clear" w:color="auto" w:fill="auto"/>
            <w:noWrap/>
            <w:vAlign w:val="bottom"/>
            <w:hideMark/>
          </w:tcPr>
          <w:p w14:paraId="5825ACBB" w14:textId="77777777" w:rsidR="000B380F" w:rsidRPr="000B380F" w:rsidRDefault="000B380F" w:rsidP="000B380F">
            <w:pPr>
              <w:spacing w:after="0" w:line="240" w:lineRule="auto"/>
              <w:jc w:val="right"/>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1 300 000,00</w:t>
            </w:r>
          </w:p>
        </w:tc>
        <w:tc>
          <w:tcPr>
            <w:tcW w:w="1701" w:type="dxa"/>
            <w:tcBorders>
              <w:top w:val="nil"/>
              <w:left w:val="nil"/>
              <w:bottom w:val="single" w:sz="4" w:space="0" w:color="auto"/>
              <w:right w:val="single" w:sz="4" w:space="0" w:color="auto"/>
            </w:tcBorders>
            <w:shd w:val="clear" w:color="auto" w:fill="auto"/>
            <w:noWrap/>
            <w:vAlign w:val="bottom"/>
            <w:hideMark/>
          </w:tcPr>
          <w:p w14:paraId="38607579" w14:textId="77777777" w:rsidR="000B380F" w:rsidRPr="000B380F" w:rsidRDefault="000B380F" w:rsidP="000B380F">
            <w:pPr>
              <w:spacing w:after="0" w:line="240" w:lineRule="auto"/>
              <w:jc w:val="right"/>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133 342,00</w:t>
            </w:r>
          </w:p>
        </w:tc>
        <w:tc>
          <w:tcPr>
            <w:tcW w:w="509" w:type="dxa"/>
            <w:tcBorders>
              <w:top w:val="nil"/>
              <w:left w:val="nil"/>
              <w:bottom w:val="single" w:sz="4" w:space="0" w:color="auto"/>
              <w:right w:val="single" w:sz="8" w:space="0" w:color="auto"/>
            </w:tcBorders>
            <w:shd w:val="clear" w:color="auto" w:fill="auto"/>
            <w:noWrap/>
            <w:vAlign w:val="bottom"/>
            <w:hideMark/>
          </w:tcPr>
          <w:p w14:paraId="6787803E" w14:textId="77777777" w:rsidR="000B380F" w:rsidRPr="000B380F" w:rsidRDefault="000B380F" w:rsidP="000B380F">
            <w:pPr>
              <w:spacing w:after="0" w:line="240" w:lineRule="auto"/>
              <w:jc w:val="right"/>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10,3</w:t>
            </w:r>
          </w:p>
        </w:tc>
      </w:tr>
      <w:tr w:rsidR="000B380F" w:rsidRPr="000B380F" w14:paraId="5329AB6C" w14:textId="77777777" w:rsidTr="000951D6">
        <w:trPr>
          <w:trHeight w:val="510"/>
        </w:trPr>
        <w:tc>
          <w:tcPr>
            <w:tcW w:w="826" w:type="dxa"/>
            <w:tcBorders>
              <w:top w:val="nil"/>
              <w:left w:val="single" w:sz="8" w:space="0" w:color="auto"/>
              <w:bottom w:val="nil"/>
              <w:right w:val="single" w:sz="4" w:space="0" w:color="auto"/>
            </w:tcBorders>
            <w:shd w:val="clear" w:color="000000" w:fill="FFFFFF"/>
            <w:noWrap/>
            <w:vAlign w:val="bottom"/>
            <w:hideMark/>
          </w:tcPr>
          <w:p w14:paraId="0F332C05" w14:textId="77777777" w:rsidR="000B380F" w:rsidRPr="000B380F" w:rsidRDefault="000B380F" w:rsidP="000B380F">
            <w:pPr>
              <w:spacing w:after="0" w:line="240" w:lineRule="auto"/>
              <w:jc w:val="center"/>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4349</w:t>
            </w:r>
          </w:p>
        </w:tc>
        <w:tc>
          <w:tcPr>
            <w:tcW w:w="4473" w:type="dxa"/>
            <w:tcBorders>
              <w:top w:val="nil"/>
              <w:left w:val="nil"/>
              <w:bottom w:val="nil"/>
              <w:right w:val="single" w:sz="4" w:space="0" w:color="auto"/>
            </w:tcBorders>
            <w:shd w:val="clear" w:color="auto" w:fill="auto"/>
            <w:vAlign w:val="bottom"/>
            <w:hideMark/>
          </w:tcPr>
          <w:p w14:paraId="392C74EA" w14:textId="77777777" w:rsidR="000B380F" w:rsidRPr="000B380F" w:rsidRDefault="000B380F" w:rsidP="000B380F">
            <w:pPr>
              <w:spacing w:after="0" w:line="240" w:lineRule="auto"/>
              <w:rPr>
                <w:rFonts w:ascii="Calibri" w:eastAsia="Times New Roman" w:hAnsi="Calibri" w:cs="Calibri"/>
                <w:color w:val="000000"/>
                <w:sz w:val="20"/>
                <w:szCs w:val="20"/>
                <w:lang w:eastAsia="cs-CZ"/>
              </w:rPr>
            </w:pPr>
            <w:r w:rsidRPr="000B380F">
              <w:rPr>
                <w:rFonts w:ascii="Calibri" w:eastAsia="Times New Roman" w:hAnsi="Calibri" w:cs="Calibri"/>
                <w:color w:val="000000"/>
                <w:sz w:val="20"/>
                <w:szCs w:val="20"/>
                <w:lang w:eastAsia="cs-CZ"/>
              </w:rPr>
              <w:t>Ostatní sociální péče a pomoc ostatním skupinám obyvatelstva - projekt Středočeské jízdné</w:t>
            </w:r>
          </w:p>
        </w:tc>
        <w:tc>
          <w:tcPr>
            <w:tcW w:w="949" w:type="dxa"/>
            <w:tcBorders>
              <w:top w:val="nil"/>
              <w:left w:val="nil"/>
              <w:bottom w:val="nil"/>
              <w:right w:val="single" w:sz="4" w:space="0" w:color="auto"/>
            </w:tcBorders>
            <w:shd w:val="clear" w:color="auto" w:fill="auto"/>
            <w:noWrap/>
            <w:vAlign w:val="bottom"/>
            <w:hideMark/>
          </w:tcPr>
          <w:p w14:paraId="798DF837" w14:textId="77777777" w:rsidR="000B380F" w:rsidRPr="000B380F" w:rsidRDefault="000B380F" w:rsidP="000B380F">
            <w:pPr>
              <w:spacing w:after="0" w:line="240" w:lineRule="auto"/>
              <w:jc w:val="right"/>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0</w:t>
            </w:r>
          </w:p>
        </w:tc>
        <w:tc>
          <w:tcPr>
            <w:tcW w:w="1690" w:type="dxa"/>
            <w:tcBorders>
              <w:top w:val="nil"/>
              <w:left w:val="nil"/>
              <w:bottom w:val="nil"/>
              <w:right w:val="single" w:sz="4" w:space="0" w:color="auto"/>
            </w:tcBorders>
            <w:shd w:val="clear" w:color="auto" w:fill="auto"/>
            <w:noWrap/>
            <w:vAlign w:val="bottom"/>
            <w:hideMark/>
          </w:tcPr>
          <w:p w14:paraId="5678538F" w14:textId="77777777" w:rsidR="000B380F" w:rsidRPr="000B380F" w:rsidRDefault="000B380F" w:rsidP="000B380F">
            <w:pPr>
              <w:spacing w:after="0" w:line="240" w:lineRule="auto"/>
              <w:jc w:val="right"/>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1 669 137,00</w:t>
            </w:r>
          </w:p>
        </w:tc>
        <w:tc>
          <w:tcPr>
            <w:tcW w:w="1701" w:type="dxa"/>
            <w:tcBorders>
              <w:top w:val="nil"/>
              <w:left w:val="nil"/>
              <w:bottom w:val="nil"/>
              <w:right w:val="single" w:sz="4" w:space="0" w:color="auto"/>
            </w:tcBorders>
            <w:shd w:val="clear" w:color="auto" w:fill="auto"/>
            <w:noWrap/>
            <w:vAlign w:val="bottom"/>
            <w:hideMark/>
          </w:tcPr>
          <w:p w14:paraId="612A7F45" w14:textId="77777777" w:rsidR="000B380F" w:rsidRPr="000B380F" w:rsidRDefault="000B380F" w:rsidP="000B380F">
            <w:pPr>
              <w:spacing w:after="0" w:line="240" w:lineRule="auto"/>
              <w:jc w:val="right"/>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687 305,00</w:t>
            </w:r>
          </w:p>
        </w:tc>
        <w:tc>
          <w:tcPr>
            <w:tcW w:w="509" w:type="dxa"/>
            <w:tcBorders>
              <w:top w:val="nil"/>
              <w:left w:val="nil"/>
              <w:bottom w:val="single" w:sz="4" w:space="0" w:color="auto"/>
              <w:right w:val="single" w:sz="8" w:space="0" w:color="auto"/>
            </w:tcBorders>
            <w:shd w:val="clear" w:color="auto" w:fill="auto"/>
            <w:noWrap/>
            <w:vAlign w:val="bottom"/>
            <w:hideMark/>
          </w:tcPr>
          <w:p w14:paraId="3661709B" w14:textId="77777777" w:rsidR="000B380F" w:rsidRPr="000B380F" w:rsidRDefault="000B380F" w:rsidP="000B380F">
            <w:pPr>
              <w:spacing w:after="0" w:line="240" w:lineRule="auto"/>
              <w:jc w:val="right"/>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41,2</w:t>
            </w:r>
          </w:p>
        </w:tc>
      </w:tr>
      <w:tr w:rsidR="000B380F" w:rsidRPr="000B380F" w14:paraId="6F4EE4CA" w14:textId="77777777" w:rsidTr="000951D6">
        <w:trPr>
          <w:trHeight w:val="300"/>
        </w:trPr>
        <w:tc>
          <w:tcPr>
            <w:tcW w:w="826"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00A22229" w14:textId="77777777" w:rsidR="000B380F" w:rsidRPr="000B380F" w:rsidRDefault="000B380F" w:rsidP="000B380F">
            <w:pPr>
              <w:spacing w:after="0" w:line="240" w:lineRule="auto"/>
              <w:jc w:val="center"/>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6172</w:t>
            </w:r>
          </w:p>
        </w:tc>
        <w:tc>
          <w:tcPr>
            <w:tcW w:w="4473" w:type="dxa"/>
            <w:tcBorders>
              <w:top w:val="single" w:sz="4" w:space="0" w:color="auto"/>
              <w:left w:val="nil"/>
              <w:bottom w:val="single" w:sz="8" w:space="0" w:color="auto"/>
              <w:right w:val="single" w:sz="4" w:space="0" w:color="auto"/>
            </w:tcBorders>
            <w:shd w:val="clear" w:color="auto" w:fill="auto"/>
            <w:vAlign w:val="bottom"/>
            <w:hideMark/>
          </w:tcPr>
          <w:p w14:paraId="67051CCA" w14:textId="77777777" w:rsidR="000B380F" w:rsidRPr="000B380F" w:rsidRDefault="000B380F" w:rsidP="000B380F">
            <w:pPr>
              <w:spacing w:after="0" w:line="240" w:lineRule="auto"/>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Činnost regionální správy</w:t>
            </w:r>
          </w:p>
        </w:tc>
        <w:tc>
          <w:tcPr>
            <w:tcW w:w="949" w:type="dxa"/>
            <w:tcBorders>
              <w:top w:val="single" w:sz="4" w:space="0" w:color="auto"/>
              <w:left w:val="nil"/>
              <w:bottom w:val="single" w:sz="8" w:space="0" w:color="auto"/>
              <w:right w:val="single" w:sz="4" w:space="0" w:color="auto"/>
            </w:tcBorders>
            <w:shd w:val="clear" w:color="auto" w:fill="auto"/>
            <w:noWrap/>
            <w:vAlign w:val="bottom"/>
            <w:hideMark/>
          </w:tcPr>
          <w:p w14:paraId="4A2E5D6E" w14:textId="77777777" w:rsidR="000B380F" w:rsidRPr="000B380F" w:rsidRDefault="000B380F" w:rsidP="000B380F">
            <w:pPr>
              <w:spacing w:after="0" w:line="240" w:lineRule="auto"/>
              <w:jc w:val="right"/>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0</w:t>
            </w:r>
          </w:p>
        </w:tc>
        <w:tc>
          <w:tcPr>
            <w:tcW w:w="1690" w:type="dxa"/>
            <w:tcBorders>
              <w:top w:val="single" w:sz="4" w:space="0" w:color="auto"/>
              <w:left w:val="nil"/>
              <w:bottom w:val="single" w:sz="8" w:space="0" w:color="auto"/>
              <w:right w:val="single" w:sz="4" w:space="0" w:color="auto"/>
            </w:tcBorders>
            <w:shd w:val="clear" w:color="auto" w:fill="auto"/>
            <w:noWrap/>
            <w:vAlign w:val="bottom"/>
            <w:hideMark/>
          </w:tcPr>
          <w:p w14:paraId="6FC3276A" w14:textId="77777777" w:rsidR="000B380F" w:rsidRPr="000B380F" w:rsidRDefault="000B380F" w:rsidP="000B380F">
            <w:pPr>
              <w:spacing w:after="0" w:line="240" w:lineRule="auto"/>
              <w:jc w:val="right"/>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40 000,00</w:t>
            </w:r>
          </w:p>
        </w:tc>
        <w:tc>
          <w:tcPr>
            <w:tcW w:w="1701" w:type="dxa"/>
            <w:tcBorders>
              <w:top w:val="single" w:sz="4" w:space="0" w:color="auto"/>
              <w:left w:val="nil"/>
              <w:bottom w:val="single" w:sz="8" w:space="0" w:color="auto"/>
              <w:right w:val="single" w:sz="4" w:space="0" w:color="auto"/>
            </w:tcBorders>
            <w:shd w:val="clear" w:color="auto" w:fill="auto"/>
            <w:noWrap/>
            <w:vAlign w:val="bottom"/>
            <w:hideMark/>
          </w:tcPr>
          <w:p w14:paraId="2CCC0146" w14:textId="77777777" w:rsidR="000B380F" w:rsidRPr="000B380F" w:rsidRDefault="000B380F" w:rsidP="000B380F">
            <w:pPr>
              <w:spacing w:after="0" w:line="240" w:lineRule="auto"/>
              <w:jc w:val="right"/>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0,00</w:t>
            </w:r>
          </w:p>
        </w:tc>
        <w:tc>
          <w:tcPr>
            <w:tcW w:w="509" w:type="dxa"/>
            <w:tcBorders>
              <w:top w:val="nil"/>
              <w:left w:val="nil"/>
              <w:bottom w:val="single" w:sz="8" w:space="0" w:color="auto"/>
              <w:right w:val="single" w:sz="8" w:space="0" w:color="auto"/>
            </w:tcBorders>
            <w:shd w:val="clear" w:color="auto" w:fill="auto"/>
            <w:noWrap/>
            <w:vAlign w:val="bottom"/>
            <w:hideMark/>
          </w:tcPr>
          <w:p w14:paraId="2959A655" w14:textId="77777777" w:rsidR="000B380F" w:rsidRPr="000B380F" w:rsidRDefault="000B380F" w:rsidP="000B380F">
            <w:pPr>
              <w:spacing w:after="0" w:line="240" w:lineRule="auto"/>
              <w:jc w:val="right"/>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0,0</w:t>
            </w:r>
          </w:p>
        </w:tc>
      </w:tr>
      <w:tr w:rsidR="000B380F" w:rsidRPr="000B380F" w14:paraId="3B73A854" w14:textId="77777777" w:rsidTr="000951D6">
        <w:trPr>
          <w:trHeight w:val="323"/>
        </w:trPr>
        <w:tc>
          <w:tcPr>
            <w:tcW w:w="826" w:type="dxa"/>
            <w:tcBorders>
              <w:top w:val="nil"/>
              <w:left w:val="single" w:sz="8" w:space="0" w:color="auto"/>
              <w:bottom w:val="single" w:sz="8" w:space="0" w:color="auto"/>
              <w:right w:val="single" w:sz="4" w:space="0" w:color="auto"/>
            </w:tcBorders>
            <w:shd w:val="clear" w:color="auto" w:fill="auto"/>
            <w:noWrap/>
            <w:vAlign w:val="bottom"/>
            <w:hideMark/>
          </w:tcPr>
          <w:p w14:paraId="40AC1863" w14:textId="77777777" w:rsidR="000B380F" w:rsidRPr="000B380F" w:rsidRDefault="000B380F" w:rsidP="000B380F">
            <w:pPr>
              <w:spacing w:after="0" w:line="240" w:lineRule="auto"/>
              <w:rPr>
                <w:rFonts w:ascii="Calibri" w:eastAsia="Times New Roman" w:hAnsi="Calibri" w:cs="Calibri"/>
                <w:b/>
                <w:bCs/>
                <w:lang w:eastAsia="cs-CZ"/>
              </w:rPr>
            </w:pPr>
            <w:r w:rsidRPr="000B380F">
              <w:rPr>
                <w:rFonts w:ascii="Calibri" w:eastAsia="Times New Roman" w:hAnsi="Calibri" w:cs="Calibri"/>
                <w:b/>
                <w:bCs/>
                <w:lang w:eastAsia="cs-CZ"/>
              </w:rPr>
              <w:t> </w:t>
            </w:r>
          </w:p>
        </w:tc>
        <w:tc>
          <w:tcPr>
            <w:tcW w:w="4473" w:type="dxa"/>
            <w:tcBorders>
              <w:top w:val="nil"/>
              <w:left w:val="nil"/>
              <w:bottom w:val="single" w:sz="8" w:space="0" w:color="auto"/>
              <w:right w:val="single" w:sz="4" w:space="0" w:color="auto"/>
            </w:tcBorders>
            <w:shd w:val="clear" w:color="auto" w:fill="auto"/>
            <w:noWrap/>
            <w:vAlign w:val="bottom"/>
            <w:hideMark/>
          </w:tcPr>
          <w:p w14:paraId="2530634F" w14:textId="77777777" w:rsidR="000B380F" w:rsidRPr="000B380F" w:rsidRDefault="000B380F" w:rsidP="000B380F">
            <w:pPr>
              <w:spacing w:after="0" w:line="240" w:lineRule="auto"/>
              <w:rPr>
                <w:rFonts w:ascii="Calibri" w:eastAsia="Times New Roman" w:hAnsi="Calibri" w:cs="Calibri"/>
                <w:b/>
                <w:bCs/>
                <w:lang w:eastAsia="cs-CZ"/>
              </w:rPr>
            </w:pPr>
            <w:r w:rsidRPr="000B380F">
              <w:rPr>
                <w:rFonts w:ascii="Calibri" w:eastAsia="Times New Roman" w:hAnsi="Calibri" w:cs="Calibri"/>
                <w:b/>
                <w:bCs/>
                <w:lang w:eastAsia="cs-CZ"/>
              </w:rPr>
              <w:t>Celkem</w:t>
            </w:r>
          </w:p>
        </w:tc>
        <w:tc>
          <w:tcPr>
            <w:tcW w:w="949" w:type="dxa"/>
            <w:tcBorders>
              <w:top w:val="nil"/>
              <w:left w:val="nil"/>
              <w:bottom w:val="single" w:sz="8" w:space="0" w:color="auto"/>
              <w:right w:val="single" w:sz="4" w:space="0" w:color="auto"/>
            </w:tcBorders>
            <w:shd w:val="clear" w:color="auto" w:fill="auto"/>
            <w:noWrap/>
            <w:vAlign w:val="bottom"/>
            <w:hideMark/>
          </w:tcPr>
          <w:p w14:paraId="4C5EA344" w14:textId="77777777" w:rsidR="000B380F" w:rsidRPr="000B380F" w:rsidRDefault="000B380F" w:rsidP="000B380F">
            <w:pPr>
              <w:spacing w:after="0" w:line="240" w:lineRule="auto"/>
              <w:jc w:val="right"/>
              <w:rPr>
                <w:rFonts w:ascii="Calibri" w:eastAsia="Times New Roman" w:hAnsi="Calibri" w:cs="Calibri"/>
                <w:b/>
                <w:bCs/>
                <w:lang w:eastAsia="cs-CZ"/>
              </w:rPr>
            </w:pPr>
            <w:r w:rsidRPr="000B380F">
              <w:rPr>
                <w:rFonts w:ascii="Calibri" w:eastAsia="Times New Roman" w:hAnsi="Calibri" w:cs="Calibri"/>
                <w:b/>
                <w:bCs/>
                <w:lang w:eastAsia="cs-CZ"/>
              </w:rPr>
              <w:t>0</w:t>
            </w:r>
          </w:p>
        </w:tc>
        <w:tc>
          <w:tcPr>
            <w:tcW w:w="1690" w:type="dxa"/>
            <w:tcBorders>
              <w:top w:val="nil"/>
              <w:left w:val="nil"/>
              <w:bottom w:val="single" w:sz="8" w:space="0" w:color="auto"/>
              <w:right w:val="single" w:sz="4" w:space="0" w:color="auto"/>
            </w:tcBorders>
            <w:shd w:val="clear" w:color="auto" w:fill="auto"/>
            <w:noWrap/>
            <w:vAlign w:val="bottom"/>
            <w:hideMark/>
          </w:tcPr>
          <w:p w14:paraId="65AA522D" w14:textId="77777777" w:rsidR="000B380F" w:rsidRPr="000B380F" w:rsidRDefault="000B380F" w:rsidP="000B380F">
            <w:pPr>
              <w:spacing w:after="0" w:line="240" w:lineRule="auto"/>
              <w:jc w:val="right"/>
              <w:rPr>
                <w:rFonts w:ascii="Calibri" w:eastAsia="Times New Roman" w:hAnsi="Calibri" w:cs="Calibri"/>
                <w:b/>
                <w:bCs/>
                <w:lang w:eastAsia="cs-CZ"/>
              </w:rPr>
            </w:pPr>
            <w:r w:rsidRPr="000B380F">
              <w:rPr>
                <w:rFonts w:ascii="Calibri" w:eastAsia="Times New Roman" w:hAnsi="Calibri" w:cs="Calibri"/>
                <w:b/>
                <w:bCs/>
                <w:lang w:eastAsia="cs-CZ"/>
              </w:rPr>
              <w:t>2 765 069 972,42</w:t>
            </w:r>
          </w:p>
        </w:tc>
        <w:tc>
          <w:tcPr>
            <w:tcW w:w="1701" w:type="dxa"/>
            <w:tcBorders>
              <w:top w:val="nil"/>
              <w:left w:val="nil"/>
              <w:bottom w:val="single" w:sz="8" w:space="0" w:color="auto"/>
              <w:right w:val="single" w:sz="4" w:space="0" w:color="auto"/>
            </w:tcBorders>
            <w:shd w:val="clear" w:color="auto" w:fill="auto"/>
            <w:noWrap/>
            <w:vAlign w:val="bottom"/>
            <w:hideMark/>
          </w:tcPr>
          <w:p w14:paraId="521F6675" w14:textId="77777777" w:rsidR="000B380F" w:rsidRPr="000B380F" w:rsidRDefault="000B380F" w:rsidP="000B380F">
            <w:pPr>
              <w:spacing w:after="0" w:line="240" w:lineRule="auto"/>
              <w:jc w:val="right"/>
              <w:rPr>
                <w:rFonts w:ascii="Calibri" w:eastAsia="Times New Roman" w:hAnsi="Calibri" w:cs="Calibri"/>
                <w:b/>
                <w:bCs/>
                <w:lang w:eastAsia="cs-CZ"/>
              </w:rPr>
            </w:pPr>
            <w:r w:rsidRPr="000B380F">
              <w:rPr>
                <w:rFonts w:ascii="Calibri" w:eastAsia="Times New Roman" w:hAnsi="Calibri" w:cs="Calibri"/>
                <w:b/>
                <w:bCs/>
                <w:lang w:eastAsia="cs-CZ"/>
              </w:rPr>
              <w:t>2 735 705 021,31</w:t>
            </w:r>
          </w:p>
        </w:tc>
        <w:tc>
          <w:tcPr>
            <w:tcW w:w="509" w:type="dxa"/>
            <w:tcBorders>
              <w:top w:val="nil"/>
              <w:left w:val="nil"/>
              <w:bottom w:val="single" w:sz="8" w:space="0" w:color="auto"/>
              <w:right w:val="single" w:sz="8" w:space="0" w:color="auto"/>
            </w:tcBorders>
            <w:shd w:val="clear" w:color="auto" w:fill="auto"/>
            <w:noWrap/>
            <w:vAlign w:val="bottom"/>
            <w:hideMark/>
          </w:tcPr>
          <w:p w14:paraId="19AA75BE" w14:textId="77777777" w:rsidR="000B380F" w:rsidRPr="000B380F" w:rsidRDefault="000B380F" w:rsidP="000B380F">
            <w:pPr>
              <w:spacing w:after="0" w:line="240" w:lineRule="auto"/>
              <w:jc w:val="right"/>
              <w:rPr>
                <w:rFonts w:ascii="Calibri" w:eastAsia="Times New Roman" w:hAnsi="Calibri" w:cs="Calibri"/>
                <w:b/>
                <w:bCs/>
                <w:lang w:eastAsia="cs-CZ"/>
              </w:rPr>
            </w:pPr>
            <w:r w:rsidRPr="000B380F">
              <w:rPr>
                <w:rFonts w:ascii="Calibri" w:eastAsia="Times New Roman" w:hAnsi="Calibri" w:cs="Calibri"/>
                <w:b/>
                <w:bCs/>
                <w:lang w:eastAsia="cs-CZ"/>
              </w:rPr>
              <w:t>98,9</w:t>
            </w:r>
          </w:p>
        </w:tc>
      </w:tr>
      <w:tr w:rsidR="000B380F" w:rsidRPr="000B380F" w14:paraId="4E4B20FE" w14:textId="77777777" w:rsidTr="000951D6">
        <w:trPr>
          <w:trHeight w:val="300"/>
        </w:trPr>
        <w:tc>
          <w:tcPr>
            <w:tcW w:w="826" w:type="dxa"/>
            <w:tcBorders>
              <w:top w:val="nil"/>
              <w:left w:val="nil"/>
              <w:bottom w:val="nil"/>
              <w:right w:val="nil"/>
            </w:tcBorders>
            <w:shd w:val="clear" w:color="auto" w:fill="auto"/>
            <w:noWrap/>
            <w:vAlign w:val="bottom"/>
            <w:hideMark/>
          </w:tcPr>
          <w:p w14:paraId="5F0D8218" w14:textId="77777777" w:rsidR="000B380F" w:rsidRPr="000B380F" w:rsidRDefault="000B380F" w:rsidP="000B380F">
            <w:pPr>
              <w:spacing w:after="0" w:line="240" w:lineRule="auto"/>
              <w:jc w:val="right"/>
              <w:rPr>
                <w:rFonts w:ascii="Calibri" w:eastAsia="Times New Roman" w:hAnsi="Calibri" w:cs="Calibri"/>
                <w:b/>
                <w:bCs/>
                <w:lang w:eastAsia="cs-CZ"/>
              </w:rPr>
            </w:pPr>
          </w:p>
        </w:tc>
        <w:tc>
          <w:tcPr>
            <w:tcW w:w="4473" w:type="dxa"/>
            <w:tcBorders>
              <w:top w:val="nil"/>
              <w:left w:val="nil"/>
              <w:bottom w:val="nil"/>
              <w:right w:val="nil"/>
            </w:tcBorders>
            <w:shd w:val="clear" w:color="auto" w:fill="auto"/>
            <w:noWrap/>
            <w:vAlign w:val="bottom"/>
            <w:hideMark/>
          </w:tcPr>
          <w:p w14:paraId="2444BBEC" w14:textId="77777777" w:rsidR="000B380F" w:rsidRPr="000B380F" w:rsidRDefault="000B380F" w:rsidP="000B380F">
            <w:pPr>
              <w:spacing w:after="0" w:line="240" w:lineRule="auto"/>
              <w:rPr>
                <w:rFonts w:ascii="Times New Roman" w:eastAsia="Times New Roman" w:hAnsi="Times New Roman" w:cs="Times New Roman"/>
                <w:sz w:val="20"/>
                <w:szCs w:val="20"/>
                <w:lang w:eastAsia="cs-CZ"/>
              </w:rPr>
            </w:pPr>
          </w:p>
        </w:tc>
        <w:tc>
          <w:tcPr>
            <w:tcW w:w="949" w:type="dxa"/>
            <w:tcBorders>
              <w:top w:val="nil"/>
              <w:left w:val="nil"/>
              <w:bottom w:val="nil"/>
              <w:right w:val="nil"/>
            </w:tcBorders>
            <w:shd w:val="clear" w:color="auto" w:fill="auto"/>
            <w:noWrap/>
            <w:vAlign w:val="bottom"/>
            <w:hideMark/>
          </w:tcPr>
          <w:p w14:paraId="7BEA011B" w14:textId="77777777" w:rsidR="000B380F" w:rsidRPr="000B380F" w:rsidRDefault="000B380F" w:rsidP="000B380F">
            <w:pPr>
              <w:spacing w:after="0" w:line="240" w:lineRule="auto"/>
              <w:rPr>
                <w:rFonts w:ascii="Times New Roman" w:eastAsia="Times New Roman" w:hAnsi="Times New Roman" w:cs="Times New Roman"/>
                <w:sz w:val="20"/>
                <w:szCs w:val="20"/>
                <w:lang w:eastAsia="cs-CZ"/>
              </w:rPr>
            </w:pPr>
          </w:p>
        </w:tc>
        <w:tc>
          <w:tcPr>
            <w:tcW w:w="1690" w:type="dxa"/>
            <w:tcBorders>
              <w:top w:val="nil"/>
              <w:left w:val="nil"/>
              <w:bottom w:val="nil"/>
              <w:right w:val="nil"/>
            </w:tcBorders>
            <w:shd w:val="clear" w:color="auto" w:fill="auto"/>
            <w:noWrap/>
            <w:vAlign w:val="bottom"/>
            <w:hideMark/>
          </w:tcPr>
          <w:p w14:paraId="5B3967BC" w14:textId="77777777" w:rsidR="000B380F" w:rsidRPr="000B380F" w:rsidRDefault="000B380F" w:rsidP="000B380F">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444D8C1C" w14:textId="77777777" w:rsidR="000B380F" w:rsidRPr="000B380F" w:rsidRDefault="000B380F" w:rsidP="000B380F">
            <w:pPr>
              <w:spacing w:after="0" w:line="240" w:lineRule="auto"/>
              <w:rPr>
                <w:rFonts w:ascii="Times New Roman" w:eastAsia="Times New Roman" w:hAnsi="Times New Roman" w:cs="Times New Roman"/>
                <w:sz w:val="20"/>
                <w:szCs w:val="20"/>
                <w:lang w:eastAsia="cs-CZ"/>
              </w:rPr>
            </w:pPr>
          </w:p>
        </w:tc>
        <w:tc>
          <w:tcPr>
            <w:tcW w:w="509" w:type="dxa"/>
            <w:tcBorders>
              <w:top w:val="nil"/>
              <w:left w:val="nil"/>
              <w:bottom w:val="nil"/>
              <w:right w:val="nil"/>
            </w:tcBorders>
            <w:shd w:val="clear" w:color="auto" w:fill="auto"/>
            <w:noWrap/>
            <w:vAlign w:val="bottom"/>
            <w:hideMark/>
          </w:tcPr>
          <w:p w14:paraId="6E04EED4" w14:textId="77777777" w:rsidR="000B380F" w:rsidRPr="000B380F" w:rsidRDefault="000B380F" w:rsidP="000B380F">
            <w:pPr>
              <w:spacing w:after="0" w:line="240" w:lineRule="auto"/>
              <w:rPr>
                <w:rFonts w:ascii="Times New Roman" w:eastAsia="Times New Roman" w:hAnsi="Times New Roman" w:cs="Times New Roman"/>
                <w:sz w:val="20"/>
                <w:szCs w:val="20"/>
                <w:lang w:eastAsia="cs-CZ"/>
              </w:rPr>
            </w:pPr>
          </w:p>
        </w:tc>
      </w:tr>
      <w:tr w:rsidR="000B380F" w:rsidRPr="000B380F" w14:paraId="499579D9" w14:textId="77777777" w:rsidTr="000951D6">
        <w:trPr>
          <w:trHeight w:val="360"/>
        </w:trPr>
        <w:tc>
          <w:tcPr>
            <w:tcW w:w="826" w:type="dxa"/>
            <w:tcBorders>
              <w:top w:val="nil"/>
              <w:left w:val="nil"/>
              <w:bottom w:val="single" w:sz="8" w:space="0" w:color="auto"/>
              <w:right w:val="nil"/>
            </w:tcBorders>
            <w:shd w:val="clear" w:color="auto" w:fill="auto"/>
            <w:noWrap/>
            <w:vAlign w:val="bottom"/>
            <w:hideMark/>
          </w:tcPr>
          <w:p w14:paraId="333D925B" w14:textId="77777777" w:rsidR="000B380F" w:rsidRPr="000B380F" w:rsidRDefault="000B380F" w:rsidP="000B380F">
            <w:pPr>
              <w:spacing w:after="0" w:line="240" w:lineRule="auto"/>
              <w:rPr>
                <w:rFonts w:ascii="Calibri" w:eastAsia="Times New Roman" w:hAnsi="Calibri" w:cs="Calibri"/>
                <w:b/>
                <w:bCs/>
                <w:sz w:val="20"/>
                <w:szCs w:val="20"/>
                <w:lang w:eastAsia="cs-CZ"/>
              </w:rPr>
            </w:pPr>
            <w:r w:rsidRPr="000B380F">
              <w:rPr>
                <w:rFonts w:ascii="Calibri" w:eastAsia="Times New Roman" w:hAnsi="Calibri" w:cs="Calibri"/>
                <w:b/>
                <w:bCs/>
                <w:sz w:val="20"/>
                <w:szCs w:val="20"/>
                <w:lang w:eastAsia="cs-CZ"/>
              </w:rPr>
              <w:t> </w:t>
            </w:r>
          </w:p>
        </w:tc>
        <w:tc>
          <w:tcPr>
            <w:tcW w:w="4473" w:type="dxa"/>
            <w:tcBorders>
              <w:top w:val="nil"/>
              <w:left w:val="nil"/>
              <w:bottom w:val="nil"/>
              <w:right w:val="nil"/>
            </w:tcBorders>
            <w:shd w:val="clear" w:color="auto" w:fill="auto"/>
            <w:noWrap/>
            <w:vAlign w:val="bottom"/>
            <w:hideMark/>
          </w:tcPr>
          <w:p w14:paraId="5C247DFB" w14:textId="77777777" w:rsidR="000B380F" w:rsidRPr="000B380F" w:rsidRDefault="000B380F" w:rsidP="000B380F">
            <w:pPr>
              <w:spacing w:after="0" w:line="240" w:lineRule="auto"/>
              <w:rPr>
                <w:rFonts w:ascii="Calibri" w:eastAsia="Times New Roman" w:hAnsi="Calibri" w:cs="Calibri"/>
                <w:b/>
                <w:bCs/>
                <w:lang w:eastAsia="cs-CZ"/>
              </w:rPr>
            </w:pPr>
            <w:r w:rsidRPr="000B380F">
              <w:rPr>
                <w:rFonts w:ascii="Calibri" w:eastAsia="Times New Roman" w:hAnsi="Calibri" w:cs="Calibri"/>
                <w:b/>
                <w:bCs/>
                <w:lang w:eastAsia="cs-CZ"/>
              </w:rPr>
              <w:t>Fondy</w:t>
            </w:r>
          </w:p>
        </w:tc>
        <w:tc>
          <w:tcPr>
            <w:tcW w:w="949" w:type="dxa"/>
            <w:tcBorders>
              <w:top w:val="nil"/>
              <w:left w:val="nil"/>
              <w:bottom w:val="nil"/>
              <w:right w:val="nil"/>
            </w:tcBorders>
            <w:shd w:val="clear" w:color="auto" w:fill="auto"/>
            <w:noWrap/>
            <w:vAlign w:val="bottom"/>
            <w:hideMark/>
          </w:tcPr>
          <w:p w14:paraId="7F01E69D" w14:textId="77777777" w:rsidR="000B380F" w:rsidRPr="000B380F" w:rsidRDefault="000B380F" w:rsidP="000B380F">
            <w:pPr>
              <w:spacing w:after="0" w:line="240" w:lineRule="auto"/>
              <w:rPr>
                <w:rFonts w:ascii="Calibri" w:eastAsia="Times New Roman" w:hAnsi="Calibri" w:cs="Calibri"/>
                <w:b/>
                <w:bCs/>
                <w:lang w:eastAsia="cs-CZ"/>
              </w:rPr>
            </w:pPr>
          </w:p>
        </w:tc>
        <w:tc>
          <w:tcPr>
            <w:tcW w:w="1690" w:type="dxa"/>
            <w:tcBorders>
              <w:top w:val="nil"/>
              <w:left w:val="nil"/>
              <w:bottom w:val="nil"/>
              <w:right w:val="nil"/>
            </w:tcBorders>
            <w:shd w:val="clear" w:color="auto" w:fill="auto"/>
            <w:noWrap/>
            <w:vAlign w:val="bottom"/>
            <w:hideMark/>
          </w:tcPr>
          <w:p w14:paraId="06F90C7A" w14:textId="77777777" w:rsidR="000B380F" w:rsidRPr="000B380F" w:rsidRDefault="000B380F" w:rsidP="000B380F">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1B60461E" w14:textId="77777777" w:rsidR="000B380F" w:rsidRPr="000B380F" w:rsidRDefault="000B380F" w:rsidP="000B380F">
            <w:pPr>
              <w:spacing w:after="0" w:line="240" w:lineRule="auto"/>
              <w:rPr>
                <w:rFonts w:ascii="Times New Roman" w:eastAsia="Times New Roman" w:hAnsi="Times New Roman" w:cs="Times New Roman"/>
                <w:sz w:val="20"/>
                <w:szCs w:val="20"/>
                <w:lang w:eastAsia="cs-CZ"/>
              </w:rPr>
            </w:pPr>
          </w:p>
        </w:tc>
        <w:tc>
          <w:tcPr>
            <w:tcW w:w="509" w:type="dxa"/>
            <w:tcBorders>
              <w:top w:val="nil"/>
              <w:left w:val="nil"/>
              <w:bottom w:val="nil"/>
              <w:right w:val="nil"/>
            </w:tcBorders>
            <w:shd w:val="clear" w:color="auto" w:fill="auto"/>
            <w:noWrap/>
            <w:vAlign w:val="bottom"/>
            <w:hideMark/>
          </w:tcPr>
          <w:p w14:paraId="576E9D4D" w14:textId="77777777" w:rsidR="000B380F" w:rsidRPr="000B380F" w:rsidRDefault="000B380F" w:rsidP="000B380F">
            <w:pPr>
              <w:spacing w:after="0" w:line="240" w:lineRule="auto"/>
              <w:jc w:val="right"/>
              <w:rPr>
                <w:rFonts w:ascii="Times New Roman" w:eastAsia="Times New Roman" w:hAnsi="Times New Roman" w:cs="Times New Roman"/>
                <w:sz w:val="20"/>
                <w:szCs w:val="20"/>
                <w:lang w:eastAsia="cs-CZ"/>
              </w:rPr>
            </w:pPr>
          </w:p>
        </w:tc>
      </w:tr>
      <w:tr w:rsidR="000B380F" w:rsidRPr="000B380F" w14:paraId="3C6DD317" w14:textId="77777777" w:rsidTr="000951D6">
        <w:trPr>
          <w:trHeight w:val="300"/>
        </w:trPr>
        <w:tc>
          <w:tcPr>
            <w:tcW w:w="826" w:type="dxa"/>
            <w:tcBorders>
              <w:top w:val="nil"/>
              <w:left w:val="single" w:sz="8" w:space="0" w:color="auto"/>
              <w:bottom w:val="nil"/>
              <w:right w:val="single" w:sz="4" w:space="0" w:color="auto"/>
            </w:tcBorders>
            <w:shd w:val="clear" w:color="auto" w:fill="auto"/>
            <w:noWrap/>
            <w:vAlign w:val="bottom"/>
            <w:hideMark/>
          </w:tcPr>
          <w:p w14:paraId="067062BC" w14:textId="77777777" w:rsidR="000B380F" w:rsidRPr="000B380F" w:rsidRDefault="000B380F" w:rsidP="000B380F">
            <w:pPr>
              <w:spacing w:after="0" w:line="240" w:lineRule="auto"/>
              <w:jc w:val="center"/>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 </w:t>
            </w:r>
          </w:p>
        </w:tc>
        <w:tc>
          <w:tcPr>
            <w:tcW w:w="4473" w:type="dxa"/>
            <w:tcBorders>
              <w:top w:val="single" w:sz="8" w:space="0" w:color="auto"/>
              <w:left w:val="nil"/>
              <w:bottom w:val="nil"/>
              <w:right w:val="single" w:sz="4" w:space="0" w:color="auto"/>
            </w:tcBorders>
            <w:shd w:val="clear" w:color="auto" w:fill="auto"/>
            <w:vAlign w:val="bottom"/>
            <w:hideMark/>
          </w:tcPr>
          <w:p w14:paraId="2088852A" w14:textId="77777777" w:rsidR="000B380F" w:rsidRPr="000B380F" w:rsidRDefault="000B380F" w:rsidP="000B380F">
            <w:pPr>
              <w:spacing w:after="0" w:line="240" w:lineRule="auto"/>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Středočeský Fond cyklistické infrastruktury</w:t>
            </w:r>
          </w:p>
        </w:tc>
        <w:tc>
          <w:tcPr>
            <w:tcW w:w="949" w:type="dxa"/>
            <w:tcBorders>
              <w:top w:val="single" w:sz="8" w:space="0" w:color="auto"/>
              <w:left w:val="nil"/>
              <w:bottom w:val="nil"/>
              <w:right w:val="single" w:sz="4" w:space="0" w:color="auto"/>
            </w:tcBorders>
            <w:shd w:val="clear" w:color="auto" w:fill="auto"/>
            <w:noWrap/>
            <w:vAlign w:val="bottom"/>
            <w:hideMark/>
          </w:tcPr>
          <w:p w14:paraId="30695EF2" w14:textId="77777777" w:rsidR="000B380F" w:rsidRPr="000B380F" w:rsidRDefault="000B380F" w:rsidP="000B380F">
            <w:pPr>
              <w:spacing w:after="0" w:line="240" w:lineRule="auto"/>
              <w:jc w:val="right"/>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0</w:t>
            </w:r>
          </w:p>
        </w:tc>
        <w:tc>
          <w:tcPr>
            <w:tcW w:w="1690" w:type="dxa"/>
            <w:tcBorders>
              <w:top w:val="single" w:sz="8" w:space="0" w:color="auto"/>
              <w:left w:val="nil"/>
              <w:bottom w:val="nil"/>
              <w:right w:val="single" w:sz="4" w:space="0" w:color="auto"/>
            </w:tcBorders>
            <w:shd w:val="clear" w:color="auto" w:fill="auto"/>
            <w:noWrap/>
            <w:vAlign w:val="bottom"/>
            <w:hideMark/>
          </w:tcPr>
          <w:p w14:paraId="556C36B7" w14:textId="77777777" w:rsidR="000B380F" w:rsidRPr="000B380F" w:rsidRDefault="000B380F" w:rsidP="000B380F">
            <w:pPr>
              <w:spacing w:after="0" w:line="240" w:lineRule="auto"/>
              <w:jc w:val="right"/>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7 500 000,00</w:t>
            </w:r>
          </w:p>
        </w:tc>
        <w:tc>
          <w:tcPr>
            <w:tcW w:w="1701" w:type="dxa"/>
            <w:tcBorders>
              <w:top w:val="single" w:sz="8" w:space="0" w:color="auto"/>
              <w:left w:val="nil"/>
              <w:bottom w:val="nil"/>
              <w:right w:val="single" w:sz="4" w:space="0" w:color="auto"/>
            </w:tcBorders>
            <w:shd w:val="clear" w:color="auto" w:fill="auto"/>
            <w:noWrap/>
            <w:vAlign w:val="bottom"/>
            <w:hideMark/>
          </w:tcPr>
          <w:p w14:paraId="337BEB4A" w14:textId="77777777" w:rsidR="000B380F" w:rsidRPr="000B380F" w:rsidRDefault="000B380F" w:rsidP="000B380F">
            <w:pPr>
              <w:spacing w:after="0" w:line="240" w:lineRule="auto"/>
              <w:jc w:val="right"/>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4 132 624,00</w:t>
            </w:r>
          </w:p>
        </w:tc>
        <w:tc>
          <w:tcPr>
            <w:tcW w:w="509" w:type="dxa"/>
            <w:tcBorders>
              <w:top w:val="single" w:sz="8" w:space="0" w:color="auto"/>
              <w:left w:val="nil"/>
              <w:bottom w:val="nil"/>
              <w:right w:val="single" w:sz="8" w:space="0" w:color="auto"/>
            </w:tcBorders>
            <w:shd w:val="clear" w:color="auto" w:fill="auto"/>
            <w:noWrap/>
            <w:vAlign w:val="bottom"/>
            <w:hideMark/>
          </w:tcPr>
          <w:p w14:paraId="33FE436F" w14:textId="77777777" w:rsidR="000B380F" w:rsidRPr="000B380F" w:rsidRDefault="000B380F" w:rsidP="000B380F">
            <w:pPr>
              <w:spacing w:after="0" w:line="240" w:lineRule="auto"/>
              <w:jc w:val="right"/>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55,1</w:t>
            </w:r>
          </w:p>
        </w:tc>
      </w:tr>
      <w:tr w:rsidR="000B380F" w:rsidRPr="000B380F" w14:paraId="370CC8EE" w14:textId="77777777" w:rsidTr="000951D6">
        <w:trPr>
          <w:trHeight w:val="323"/>
        </w:trPr>
        <w:tc>
          <w:tcPr>
            <w:tcW w:w="826"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5C47E40F" w14:textId="77777777" w:rsidR="000B380F" w:rsidRPr="000B380F" w:rsidRDefault="000B380F" w:rsidP="000B380F">
            <w:pPr>
              <w:spacing w:after="0" w:line="240" w:lineRule="auto"/>
              <w:rPr>
                <w:rFonts w:ascii="Calibri" w:eastAsia="Times New Roman" w:hAnsi="Calibri" w:cs="Calibri"/>
                <w:lang w:eastAsia="cs-CZ"/>
              </w:rPr>
            </w:pPr>
            <w:r w:rsidRPr="000B380F">
              <w:rPr>
                <w:rFonts w:ascii="Calibri" w:eastAsia="Times New Roman" w:hAnsi="Calibri" w:cs="Calibri"/>
                <w:lang w:eastAsia="cs-CZ"/>
              </w:rPr>
              <w:t> </w:t>
            </w:r>
          </w:p>
        </w:tc>
        <w:tc>
          <w:tcPr>
            <w:tcW w:w="4473" w:type="dxa"/>
            <w:tcBorders>
              <w:top w:val="single" w:sz="8" w:space="0" w:color="auto"/>
              <w:left w:val="nil"/>
              <w:bottom w:val="single" w:sz="8" w:space="0" w:color="auto"/>
              <w:right w:val="single" w:sz="4" w:space="0" w:color="auto"/>
            </w:tcBorders>
            <w:shd w:val="clear" w:color="auto" w:fill="auto"/>
            <w:noWrap/>
            <w:vAlign w:val="bottom"/>
            <w:hideMark/>
          </w:tcPr>
          <w:p w14:paraId="4D04F0F6" w14:textId="77777777" w:rsidR="000B380F" w:rsidRPr="000B380F" w:rsidRDefault="000B380F" w:rsidP="000B380F">
            <w:pPr>
              <w:spacing w:after="0" w:line="240" w:lineRule="auto"/>
              <w:rPr>
                <w:rFonts w:ascii="Calibri" w:eastAsia="Times New Roman" w:hAnsi="Calibri" w:cs="Calibri"/>
                <w:b/>
                <w:bCs/>
                <w:lang w:eastAsia="cs-CZ"/>
              </w:rPr>
            </w:pPr>
            <w:r w:rsidRPr="000B380F">
              <w:rPr>
                <w:rFonts w:ascii="Calibri" w:eastAsia="Times New Roman" w:hAnsi="Calibri" w:cs="Calibri"/>
                <w:b/>
                <w:bCs/>
                <w:lang w:eastAsia="cs-CZ"/>
              </w:rPr>
              <w:t>Celkem</w:t>
            </w:r>
          </w:p>
        </w:tc>
        <w:tc>
          <w:tcPr>
            <w:tcW w:w="949" w:type="dxa"/>
            <w:tcBorders>
              <w:top w:val="single" w:sz="8" w:space="0" w:color="auto"/>
              <w:left w:val="nil"/>
              <w:bottom w:val="single" w:sz="8" w:space="0" w:color="auto"/>
              <w:right w:val="single" w:sz="4" w:space="0" w:color="auto"/>
            </w:tcBorders>
            <w:shd w:val="clear" w:color="auto" w:fill="auto"/>
            <w:noWrap/>
            <w:vAlign w:val="bottom"/>
            <w:hideMark/>
          </w:tcPr>
          <w:p w14:paraId="519CDB38" w14:textId="77777777" w:rsidR="000B380F" w:rsidRPr="000B380F" w:rsidRDefault="000B380F" w:rsidP="000B380F">
            <w:pPr>
              <w:spacing w:after="0" w:line="240" w:lineRule="auto"/>
              <w:jc w:val="right"/>
              <w:rPr>
                <w:rFonts w:ascii="Calibri" w:eastAsia="Times New Roman" w:hAnsi="Calibri" w:cs="Calibri"/>
                <w:b/>
                <w:bCs/>
                <w:lang w:eastAsia="cs-CZ"/>
              </w:rPr>
            </w:pPr>
            <w:r w:rsidRPr="000B380F">
              <w:rPr>
                <w:rFonts w:ascii="Calibri" w:eastAsia="Times New Roman" w:hAnsi="Calibri" w:cs="Calibri"/>
                <w:b/>
                <w:bCs/>
                <w:lang w:eastAsia="cs-CZ"/>
              </w:rPr>
              <w:t>0</w:t>
            </w:r>
          </w:p>
        </w:tc>
        <w:tc>
          <w:tcPr>
            <w:tcW w:w="1690" w:type="dxa"/>
            <w:tcBorders>
              <w:top w:val="single" w:sz="8" w:space="0" w:color="auto"/>
              <w:left w:val="nil"/>
              <w:bottom w:val="single" w:sz="8" w:space="0" w:color="auto"/>
              <w:right w:val="single" w:sz="4" w:space="0" w:color="auto"/>
            </w:tcBorders>
            <w:shd w:val="clear" w:color="auto" w:fill="auto"/>
            <w:noWrap/>
            <w:vAlign w:val="bottom"/>
            <w:hideMark/>
          </w:tcPr>
          <w:p w14:paraId="0992C29F" w14:textId="77777777" w:rsidR="000B380F" w:rsidRPr="000B380F" w:rsidRDefault="000B380F" w:rsidP="000B380F">
            <w:pPr>
              <w:spacing w:after="0" w:line="240" w:lineRule="auto"/>
              <w:jc w:val="right"/>
              <w:rPr>
                <w:rFonts w:ascii="Calibri" w:eastAsia="Times New Roman" w:hAnsi="Calibri" w:cs="Calibri"/>
                <w:b/>
                <w:bCs/>
                <w:lang w:eastAsia="cs-CZ"/>
              </w:rPr>
            </w:pPr>
            <w:r w:rsidRPr="000B380F">
              <w:rPr>
                <w:rFonts w:ascii="Calibri" w:eastAsia="Times New Roman" w:hAnsi="Calibri" w:cs="Calibri"/>
                <w:b/>
                <w:bCs/>
                <w:lang w:eastAsia="cs-CZ"/>
              </w:rPr>
              <w:t>7 500 000,00</w:t>
            </w:r>
          </w:p>
        </w:tc>
        <w:tc>
          <w:tcPr>
            <w:tcW w:w="1701" w:type="dxa"/>
            <w:tcBorders>
              <w:top w:val="single" w:sz="8" w:space="0" w:color="auto"/>
              <w:left w:val="nil"/>
              <w:bottom w:val="single" w:sz="8" w:space="0" w:color="auto"/>
              <w:right w:val="single" w:sz="4" w:space="0" w:color="auto"/>
            </w:tcBorders>
            <w:shd w:val="clear" w:color="auto" w:fill="auto"/>
            <w:noWrap/>
            <w:vAlign w:val="bottom"/>
            <w:hideMark/>
          </w:tcPr>
          <w:p w14:paraId="5E4107FB" w14:textId="77777777" w:rsidR="000B380F" w:rsidRPr="000B380F" w:rsidRDefault="000B380F" w:rsidP="000B380F">
            <w:pPr>
              <w:spacing w:after="0" w:line="240" w:lineRule="auto"/>
              <w:jc w:val="right"/>
              <w:rPr>
                <w:rFonts w:ascii="Calibri" w:eastAsia="Times New Roman" w:hAnsi="Calibri" w:cs="Calibri"/>
                <w:b/>
                <w:bCs/>
                <w:lang w:eastAsia="cs-CZ"/>
              </w:rPr>
            </w:pPr>
            <w:r w:rsidRPr="000B380F">
              <w:rPr>
                <w:rFonts w:ascii="Calibri" w:eastAsia="Times New Roman" w:hAnsi="Calibri" w:cs="Calibri"/>
                <w:b/>
                <w:bCs/>
                <w:lang w:eastAsia="cs-CZ"/>
              </w:rPr>
              <w:t>4 132 624,00</w:t>
            </w:r>
          </w:p>
        </w:tc>
        <w:tc>
          <w:tcPr>
            <w:tcW w:w="509" w:type="dxa"/>
            <w:tcBorders>
              <w:top w:val="single" w:sz="8" w:space="0" w:color="auto"/>
              <w:left w:val="nil"/>
              <w:bottom w:val="single" w:sz="8" w:space="0" w:color="auto"/>
              <w:right w:val="single" w:sz="8" w:space="0" w:color="auto"/>
            </w:tcBorders>
            <w:shd w:val="clear" w:color="auto" w:fill="auto"/>
            <w:noWrap/>
            <w:vAlign w:val="bottom"/>
            <w:hideMark/>
          </w:tcPr>
          <w:p w14:paraId="7FDC0730" w14:textId="77777777" w:rsidR="000B380F" w:rsidRPr="000B380F" w:rsidRDefault="000B380F" w:rsidP="000B380F">
            <w:pPr>
              <w:spacing w:after="0" w:line="240" w:lineRule="auto"/>
              <w:jc w:val="right"/>
              <w:rPr>
                <w:rFonts w:ascii="Calibri" w:eastAsia="Times New Roman" w:hAnsi="Calibri" w:cs="Calibri"/>
                <w:b/>
                <w:bCs/>
                <w:lang w:eastAsia="cs-CZ"/>
              </w:rPr>
            </w:pPr>
            <w:r w:rsidRPr="000B380F">
              <w:rPr>
                <w:rFonts w:ascii="Calibri" w:eastAsia="Times New Roman" w:hAnsi="Calibri" w:cs="Calibri"/>
                <w:b/>
                <w:bCs/>
                <w:lang w:eastAsia="cs-CZ"/>
              </w:rPr>
              <w:t>55,1</w:t>
            </w:r>
          </w:p>
        </w:tc>
      </w:tr>
      <w:tr w:rsidR="000B380F" w:rsidRPr="000B380F" w14:paraId="2D955177" w14:textId="77777777" w:rsidTr="000951D6">
        <w:trPr>
          <w:trHeight w:val="300"/>
        </w:trPr>
        <w:tc>
          <w:tcPr>
            <w:tcW w:w="826" w:type="dxa"/>
            <w:tcBorders>
              <w:top w:val="nil"/>
              <w:left w:val="nil"/>
              <w:bottom w:val="nil"/>
              <w:right w:val="nil"/>
            </w:tcBorders>
            <w:shd w:val="clear" w:color="auto" w:fill="auto"/>
            <w:noWrap/>
            <w:vAlign w:val="bottom"/>
            <w:hideMark/>
          </w:tcPr>
          <w:p w14:paraId="00851C1F" w14:textId="77777777" w:rsidR="000B380F" w:rsidRPr="000B380F" w:rsidRDefault="000B380F" w:rsidP="000B380F">
            <w:pPr>
              <w:spacing w:after="0" w:line="240" w:lineRule="auto"/>
              <w:jc w:val="right"/>
              <w:rPr>
                <w:rFonts w:ascii="Calibri" w:eastAsia="Times New Roman" w:hAnsi="Calibri" w:cs="Calibri"/>
                <w:b/>
                <w:bCs/>
                <w:lang w:eastAsia="cs-CZ"/>
              </w:rPr>
            </w:pPr>
          </w:p>
        </w:tc>
        <w:tc>
          <w:tcPr>
            <w:tcW w:w="4473" w:type="dxa"/>
            <w:tcBorders>
              <w:top w:val="nil"/>
              <w:left w:val="nil"/>
              <w:bottom w:val="nil"/>
              <w:right w:val="nil"/>
            </w:tcBorders>
            <w:shd w:val="clear" w:color="auto" w:fill="auto"/>
            <w:noWrap/>
            <w:vAlign w:val="bottom"/>
            <w:hideMark/>
          </w:tcPr>
          <w:p w14:paraId="0D947395" w14:textId="77777777" w:rsidR="000B380F" w:rsidRPr="000B380F" w:rsidRDefault="000B380F" w:rsidP="000B380F">
            <w:pPr>
              <w:spacing w:after="0" w:line="240" w:lineRule="auto"/>
              <w:rPr>
                <w:rFonts w:ascii="Times New Roman" w:eastAsia="Times New Roman" w:hAnsi="Times New Roman" w:cs="Times New Roman"/>
                <w:sz w:val="20"/>
                <w:szCs w:val="20"/>
                <w:lang w:eastAsia="cs-CZ"/>
              </w:rPr>
            </w:pPr>
          </w:p>
        </w:tc>
        <w:tc>
          <w:tcPr>
            <w:tcW w:w="949" w:type="dxa"/>
            <w:tcBorders>
              <w:top w:val="nil"/>
              <w:left w:val="nil"/>
              <w:bottom w:val="nil"/>
              <w:right w:val="nil"/>
            </w:tcBorders>
            <w:shd w:val="clear" w:color="auto" w:fill="auto"/>
            <w:noWrap/>
            <w:vAlign w:val="bottom"/>
            <w:hideMark/>
          </w:tcPr>
          <w:p w14:paraId="1322D5F4" w14:textId="77777777" w:rsidR="000B380F" w:rsidRPr="000B380F" w:rsidRDefault="000B380F" w:rsidP="000B380F">
            <w:pPr>
              <w:spacing w:after="0" w:line="240" w:lineRule="auto"/>
              <w:rPr>
                <w:rFonts w:ascii="Times New Roman" w:eastAsia="Times New Roman" w:hAnsi="Times New Roman" w:cs="Times New Roman"/>
                <w:sz w:val="20"/>
                <w:szCs w:val="20"/>
                <w:lang w:eastAsia="cs-CZ"/>
              </w:rPr>
            </w:pPr>
          </w:p>
        </w:tc>
        <w:tc>
          <w:tcPr>
            <w:tcW w:w="1690" w:type="dxa"/>
            <w:tcBorders>
              <w:top w:val="nil"/>
              <w:left w:val="nil"/>
              <w:bottom w:val="nil"/>
              <w:right w:val="nil"/>
            </w:tcBorders>
            <w:shd w:val="clear" w:color="auto" w:fill="auto"/>
            <w:noWrap/>
            <w:vAlign w:val="bottom"/>
            <w:hideMark/>
          </w:tcPr>
          <w:p w14:paraId="3A76A0CF" w14:textId="77777777" w:rsidR="000B380F" w:rsidRPr="000B380F" w:rsidRDefault="000B380F" w:rsidP="000B380F">
            <w:pPr>
              <w:spacing w:after="0" w:line="240" w:lineRule="auto"/>
              <w:jc w:val="right"/>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7403F901" w14:textId="77777777" w:rsidR="000B380F" w:rsidRPr="000B380F" w:rsidRDefault="000B380F" w:rsidP="000B380F">
            <w:pPr>
              <w:spacing w:after="0" w:line="240" w:lineRule="auto"/>
              <w:jc w:val="right"/>
              <w:rPr>
                <w:rFonts w:ascii="Times New Roman" w:eastAsia="Times New Roman" w:hAnsi="Times New Roman" w:cs="Times New Roman"/>
                <w:sz w:val="20"/>
                <w:szCs w:val="20"/>
                <w:lang w:eastAsia="cs-CZ"/>
              </w:rPr>
            </w:pPr>
          </w:p>
        </w:tc>
        <w:tc>
          <w:tcPr>
            <w:tcW w:w="509" w:type="dxa"/>
            <w:tcBorders>
              <w:top w:val="nil"/>
              <w:left w:val="nil"/>
              <w:bottom w:val="nil"/>
              <w:right w:val="nil"/>
            </w:tcBorders>
            <w:shd w:val="clear" w:color="auto" w:fill="auto"/>
            <w:noWrap/>
            <w:vAlign w:val="bottom"/>
            <w:hideMark/>
          </w:tcPr>
          <w:p w14:paraId="57748EC0" w14:textId="77777777" w:rsidR="000B380F" w:rsidRPr="000B380F" w:rsidRDefault="000B380F" w:rsidP="000B380F">
            <w:pPr>
              <w:spacing w:after="0" w:line="240" w:lineRule="auto"/>
              <w:jc w:val="right"/>
              <w:rPr>
                <w:rFonts w:ascii="Times New Roman" w:eastAsia="Times New Roman" w:hAnsi="Times New Roman" w:cs="Times New Roman"/>
                <w:sz w:val="20"/>
                <w:szCs w:val="20"/>
                <w:lang w:eastAsia="cs-CZ"/>
              </w:rPr>
            </w:pPr>
          </w:p>
        </w:tc>
      </w:tr>
      <w:tr w:rsidR="000B380F" w:rsidRPr="000B380F" w14:paraId="2FFE7330" w14:textId="77777777" w:rsidTr="000951D6">
        <w:trPr>
          <w:trHeight w:val="360"/>
        </w:trPr>
        <w:tc>
          <w:tcPr>
            <w:tcW w:w="826" w:type="dxa"/>
            <w:tcBorders>
              <w:top w:val="nil"/>
              <w:left w:val="nil"/>
              <w:bottom w:val="nil"/>
              <w:right w:val="nil"/>
            </w:tcBorders>
            <w:shd w:val="clear" w:color="auto" w:fill="auto"/>
            <w:noWrap/>
            <w:vAlign w:val="bottom"/>
            <w:hideMark/>
          </w:tcPr>
          <w:p w14:paraId="5463036B" w14:textId="77777777" w:rsidR="000B380F" w:rsidRPr="000B380F" w:rsidRDefault="000B380F" w:rsidP="000B380F">
            <w:pPr>
              <w:spacing w:after="0" w:line="240" w:lineRule="auto"/>
              <w:rPr>
                <w:rFonts w:ascii="Times New Roman" w:eastAsia="Times New Roman" w:hAnsi="Times New Roman" w:cs="Times New Roman"/>
                <w:sz w:val="20"/>
                <w:szCs w:val="20"/>
                <w:lang w:eastAsia="cs-CZ"/>
              </w:rPr>
            </w:pPr>
          </w:p>
        </w:tc>
        <w:tc>
          <w:tcPr>
            <w:tcW w:w="4473" w:type="dxa"/>
            <w:tcBorders>
              <w:top w:val="nil"/>
              <w:left w:val="nil"/>
              <w:bottom w:val="nil"/>
              <w:right w:val="nil"/>
            </w:tcBorders>
            <w:shd w:val="clear" w:color="auto" w:fill="auto"/>
            <w:noWrap/>
            <w:vAlign w:val="bottom"/>
            <w:hideMark/>
          </w:tcPr>
          <w:p w14:paraId="7586FAC2" w14:textId="77777777" w:rsidR="000B380F" w:rsidRPr="000B380F" w:rsidRDefault="000B380F" w:rsidP="000B380F">
            <w:pPr>
              <w:spacing w:after="0" w:line="240" w:lineRule="auto"/>
              <w:rPr>
                <w:rFonts w:ascii="Calibri" w:eastAsia="Times New Roman" w:hAnsi="Calibri" w:cs="Calibri"/>
                <w:b/>
                <w:bCs/>
                <w:lang w:eastAsia="cs-CZ"/>
              </w:rPr>
            </w:pPr>
            <w:r w:rsidRPr="000B380F">
              <w:rPr>
                <w:rFonts w:ascii="Calibri" w:eastAsia="Times New Roman" w:hAnsi="Calibri" w:cs="Calibri"/>
                <w:b/>
                <w:bCs/>
                <w:lang w:eastAsia="cs-CZ"/>
              </w:rPr>
              <w:t>Kapitálové výdaje</w:t>
            </w:r>
          </w:p>
        </w:tc>
        <w:tc>
          <w:tcPr>
            <w:tcW w:w="949" w:type="dxa"/>
            <w:tcBorders>
              <w:top w:val="nil"/>
              <w:left w:val="nil"/>
              <w:bottom w:val="nil"/>
              <w:right w:val="nil"/>
            </w:tcBorders>
            <w:shd w:val="clear" w:color="auto" w:fill="auto"/>
            <w:noWrap/>
            <w:vAlign w:val="bottom"/>
            <w:hideMark/>
          </w:tcPr>
          <w:p w14:paraId="564ECAFA" w14:textId="77777777" w:rsidR="000B380F" w:rsidRPr="000B380F" w:rsidRDefault="000B380F" w:rsidP="000B380F">
            <w:pPr>
              <w:spacing w:after="0" w:line="240" w:lineRule="auto"/>
              <w:rPr>
                <w:rFonts w:ascii="Calibri" w:eastAsia="Times New Roman" w:hAnsi="Calibri" w:cs="Calibri"/>
                <w:b/>
                <w:bCs/>
                <w:lang w:eastAsia="cs-CZ"/>
              </w:rPr>
            </w:pPr>
          </w:p>
        </w:tc>
        <w:tc>
          <w:tcPr>
            <w:tcW w:w="1690" w:type="dxa"/>
            <w:tcBorders>
              <w:top w:val="nil"/>
              <w:left w:val="nil"/>
              <w:bottom w:val="nil"/>
              <w:right w:val="nil"/>
            </w:tcBorders>
            <w:shd w:val="clear" w:color="auto" w:fill="auto"/>
            <w:noWrap/>
            <w:vAlign w:val="bottom"/>
            <w:hideMark/>
          </w:tcPr>
          <w:p w14:paraId="27CDC53E" w14:textId="77777777" w:rsidR="000B380F" w:rsidRPr="000B380F" w:rsidRDefault="000B380F" w:rsidP="000B380F">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1C14AEFF" w14:textId="77777777" w:rsidR="000B380F" w:rsidRPr="000B380F" w:rsidRDefault="000B380F" w:rsidP="000B380F">
            <w:pPr>
              <w:spacing w:after="0" w:line="240" w:lineRule="auto"/>
              <w:rPr>
                <w:rFonts w:ascii="Times New Roman" w:eastAsia="Times New Roman" w:hAnsi="Times New Roman" w:cs="Times New Roman"/>
                <w:sz w:val="20"/>
                <w:szCs w:val="20"/>
                <w:lang w:eastAsia="cs-CZ"/>
              </w:rPr>
            </w:pPr>
          </w:p>
        </w:tc>
        <w:tc>
          <w:tcPr>
            <w:tcW w:w="509" w:type="dxa"/>
            <w:tcBorders>
              <w:top w:val="nil"/>
              <w:left w:val="nil"/>
              <w:bottom w:val="nil"/>
              <w:right w:val="nil"/>
            </w:tcBorders>
            <w:shd w:val="clear" w:color="auto" w:fill="auto"/>
            <w:noWrap/>
            <w:vAlign w:val="bottom"/>
            <w:hideMark/>
          </w:tcPr>
          <w:p w14:paraId="608A2D73" w14:textId="77777777" w:rsidR="000B380F" w:rsidRPr="000B380F" w:rsidRDefault="000B380F" w:rsidP="000B380F">
            <w:pPr>
              <w:spacing w:after="0" w:line="240" w:lineRule="auto"/>
              <w:jc w:val="right"/>
              <w:rPr>
                <w:rFonts w:ascii="Times New Roman" w:eastAsia="Times New Roman" w:hAnsi="Times New Roman" w:cs="Times New Roman"/>
                <w:sz w:val="20"/>
                <w:szCs w:val="20"/>
                <w:lang w:eastAsia="cs-CZ"/>
              </w:rPr>
            </w:pPr>
          </w:p>
        </w:tc>
      </w:tr>
      <w:tr w:rsidR="000B380F" w:rsidRPr="000B380F" w14:paraId="4DAE36AD" w14:textId="77777777" w:rsidTr="000951D6">
        <w:trPr>
          <w:trHeight w:val="300"/>
        </w:trPr>
        <w:tc>
          <w:tcPr>
            <w:tcW w:w="826" w:type="dxa"/>
            <w:tcBorders>
              <w:top w:val="single" w:sz="8" w:space="0" w:color="auto"/>
              <w:left w:val="single" w:sz="8" w:space="0" w:color="auto"/>
              <w:bottom w:val="nil"/>
              <w:right w:val="single" w:sz="4" w:space="0" w:color="auto"/>
            </w:tcBorders>
            <w:shd w:val="clear" w:color="000000" w:fill="FFFFFF"/>
            <w:noWrap/>
            <w:vAlign w:val="bottom"/>
            <w:hideMark/>
          </w:tcPr>
          <w:p w14:paraId="4F95CD2E" w14:textId="77777777" w:rsidR="000B380F" w:rsidRPr="000B380F" w:rsidRDefault="000B380F" w:rsidP="000B380F">
            <w:pPr>
              <w:spacing w:after="0" w:line="240" w:lineRule="auto"/>
              <w:jc w:val="center"/>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2219</w:t>
            </w:r>
          </w:p>
        </w:tc>
        <w:tc>
          <w:tcPr>
            <w:tcW w:w="4473" w:type="dxa"/>
            <w:tcBorders>
              <w:top w:val="single" w:sz="8" w:space="0" w:color="auto"/>
              <w:left w:val="nil"/>
              <w:bottom w:val="nil"/>
              <w:right w:val="single" w:sz="4" w:space="0" w:color="auto"/>
            </w:tcBorders>
            <w:shd w:val="clear" w:color="auto" w:fill="auto"/>
            <w:vAlign w:val="bottom"/>
            <w:hideMark/>
          </w:tcPr>
          <w:p w14:paraId="40ED4842" w14:textId="77777777" w:rsidR="000B380F" w:rsidRPr="000B380F" w:rsidRDefault="000B380F" w:rsidP="000B380F">
            <w:pPr>
              <w:spacing w:after="0" w:line="240" w:lineRule="auto"/>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Ostatní záležitosti pozemních komunikací - cyklodoprava - dotace obci Lipník</w:t>
            </w:r>
          </w:p>
        </w:tc>
        <w:tc>
          <w:tcPr>
            <w:tcW w:w="949" w:type="dxa"/>
            <w:tcBorders>
              <w:top w:val="single" w:sz="8" w:space="0" w:color="auto"/>
              <w:left w:val="nil"/>
              <w:bottom w:val="single" w:sz="4" w:space="0" w:color="auto"/>
              <w:right w:val="single" w:sz="4" w:space="0" w:color="auto"/>
            </w:tcBorders>
            <w:shd w:val="clear" w:color="000000" w:fill="FFFFFF"/>
            <w:vAlign w:val="bottom"/>
            <w:hideMark/>
          </w:tcPr>
          <w:p w14:paraId="69F9F10D" w14:textId="77777777" w:rsidR="000B380F" w:rsidRPr="000B380F" w:rsidRDefault="000B380F" w:rsidP="000B380F">
            <w:pPr>
              <w:spacing w:after="0" w:line="240" w:lineRule="auto"/>
              <w:jc w:val="right"/>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0</w:t>
            </w:r>
          </w:p>
        </w:tc>
        <w:tc>
          <w:tcPr>
            <w:tcW w:w="1690" w:type="dxa"/>
            <w:tcBorders>
              <w:top w:val="single" w:sz="8" w:space="0" w:color="auto"/>
              <w:left w:val="nil"/>
              <w:bottom w:val="single" w:sz="4" w:space="0" w:color="auto"/>
              <w:right w:val="single" w:sz="4" w:space="0" w:color="auto"/>
            </w:tcBorders>
            <w:shd w:val="clear" w:color="auto" w:fill="auto"/>
            <w:noWrap/>
            <w:vAlign w:val="bottom"/>
            <w:hideMark/>
          </w:tcPr>
          <w:p w14:paraId="34A18133" w14:textId="77777777" w:rsidR="000B380F" w:rsidRPr="000B380F" w:rsidRDefault="000B380F" w:rsidP="000B380F">
            <w:pPr>
              <w:spacing w:after="0" w:line="240" w:lineRule="auto"/>
              <w:jc w:val="right"/>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1 500 000,00</w:t>
            </w:r>
          </w:p>
        </w:tc>
        <w:tc>
          <w:tcPr>
            <w:tcW w:w="1701" w:type="dxa"/>
            <w:tcBorders>
              <w:top w:val="single" w:sz="8" w:space="0" w:color="auto"/>
              <w:left w:val="nil"/>
              <w:bottom w:val="single" w:sz="4" w:space="0" w:color="auto"/>
              <w:right w:val="single" w:sz="4" w:space="0" w:color="auto"/>
            </w:tcBorders>
            <w:shd w:val="clear" w:color="auto" w:fill="auto"/>
            <w:noWrap/>
            <w:vAlign w:val="bottom"/>
            <w:hideMark/>
          </w:tcPr>
          <w:p w14:paraId="32E65692" w14:textId="77777777" w:rsidR="000B380F" w:rsidRPr="000B380F" w:rsidRDefault="000B380F" w:rsidP="000B380F">
            <w:pPr>
              <w:spacing w:after="0" w:line="240" w:lineRule="auto"/>
              <w:jc w:val="right"/>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1 500 000,00</w:t>
            </w:r>
          </w:p>
        </w:tc>
        <w:tc>
          <w:tcPr>
            <w:tcW w:w="509" w:type="dxa"/>
            <w:tcBorders>
              <w:top w:val="single" w:sz="8" w:space="0" w:color="auto"/>
              <w:left w:val="nil"/>
              <w:bottom w:val="single" w:sz="4" w:space="0" w:color="auto"/>
              <w:right w:val="single" w:sz="8" w:space="0" w:color="auto"/>
            </w:tcBorders>
            <w:shd w:val="clear" w:color="auto" w:fill="auto"/>
            <w:noWrap/>
            <w:vAlign w:val="bottom"/>
            <w:hideMark/>
          </w:tcPr>
          <w:p w14:paraId="4993FF19" w14:textId="77777777" w:rsidR="000B380F" w:rsidRPr="000B380F" w:rsidRDefault="000B380F" w:rsidP="000B380F">
            <w:pPr>
              <w:spacing w:after="0" w:line="240" w:lineRule="auto"/>
              <w:jc w:val="right"/>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100,0</w:t>
            </w:r>
          </w:p>
        </w:tc>
      </w:tr>
      <w:tr w:rsidR="000B380F" w:rsidRPr="000B380F" w14:paraId="396FA326" w14:textId="77777777" w:rsidTr="000951D6">
        <w:trPr>
          <w:trHeight w:val="323"/>
        </w:trPr>
        <w:tc>
          <w:tcPr>
            <w:tcW w:w="826"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2F746776" w14:textId="77777777" w:rsidR="000B380F" w:rsidRPr="000B380F" w:rsidRDefault="000B380F" w:rsidP="000B380F">
            <w:pPr>
              <w:spacing w:after="0" w:line="240" w:lineRule="auto"/>
              <w:rPr>
                <w:rFonts w:ascii="Calibri" w:eastAsia="Times New Roman" w:hAnsi="Calibri" w:cs="Calibri"/>
                <w:lang w:eastAsia="cs-CZ"/>
              </w:rPr>
            </w:pPr>
            <w:r w:rsidRPr="000B380F">
              <w:rPr>
                <w:rFonts w:ascii="Calibri" w:eastAsia="Times New Roman" w:hAnsi="Calibri" w:cs="Calibri"/>
                <w:lang w:eastAsia="cs-CZ"/>
              </w:rPr>
              <w:t> </w:t>
            </w:r>
          </w:p>
        </w:tc>
        <w:tc>
          <w:tcPr>
            <w:tcW w:w="4473" w:type="dxa"/>
            <w:tcBorders>
              <w:top w:val="single" w:sz="8" w:space="0" w:color="auto"/>
              <w:left w:val="nil"/>
              <w:bottom w:val="single" w:sz="8" w:space="0" w:color="auto"/>
              <w:right w:val="single" w:sz="4" w:space="0" w:color="auto"/>
            </w:tcBorders>
            <w:shd w:val="clear" w:color="auto" w:fill="auto"/>
            <w:noWrap/>
            <w:vAlign w:val="bottom"/>
            <w:hideMark/>
          </w:tcPr>
          <w:p w14:paraId="1FB1E0D4" w14:textId="77777777" w:rsidR="000B380F" w:rsidRPr="000B380F" w:rsidRDefault="000B380F" w:rsidP="000B380F">
            <w:pPr>
              <w:spacing w:after="0" w:line="240" w:lineRule="auto"/>
              <w:rPr>
                <w:rFonts w:ascii="Calibri" w:eastAsia="Times New Roman" w:hAnsi="Calibri" w:cs="Calibri"/>
                <w:b/>
                <w:bCs/>
                <w:lang w:eastAsia="cs-CZ"/>
              </w:rPr>
            </w:pPr>
            <w:r w:rsidRPr="000B380F">
              <w:rPr>
                <w:rFonts w:ascii="Calibri" w:eastAsia="Times New Roman" w:hAnsi="Calibri" w:cs="Calibri"/>
                <w:b/>
                <w:bCs/>
                <w:lang w:eastAsia="cs-CZ"/>
              </w:rPr>
              <w:t>Celkem</w:t>
            </w:r>
          </w:p>
        </w:tc>
        <w:tc>
          <w:tcPr>
            <w:tcW w:w="949" w:type="dxa"/>
            <w:tcBorders>
              <w:top w:val="single" w:sz="8" w:space="0" w:color="auto"/>
              <w:left w:val="nil"/>
              <w:bottom w:val="single" w:sz="8" w:space="0" w:color="auto"/>
              <w:right w:val="single" w:sz="4" w:space="0" w:color="auto"/>
            </w:tcBorders>
            <w:shd w:val="clear" w:color="auto" w:fill="auto"/>
            <w:noWrap/>
            <w:vAlign w:val="bottom"/>
            <w:hideMark/>
          </w:tcPr>
          <w:p w14:paraId="060AD905" w14:textId="77777777" w:rsidR="000B380F" w:rsidRPr="000B380F" w:rsidRDefault="000B380F" w:rsidP="000B380F">
            <w:pPr>
              <w:spacing w:after="0" w:line="240" w:lineRule="auto"/>
              <w:jc w:val="right"/>
              <w:rPr>
                <w:rFonts w:ascii="Calibri" w:eastAsia="Times New Roman" w:hAnsi="Calibri" w:cs="Calibri"/>
                <w:b/>
                <w:bCs/>
                <w:lang w:eastAsia="cs-CZ"/>
              </w:rPr>
            </w:pPr>
            <w:r w:rsidRPr="000B380F">
              <w:rPr>
                <w:rFonts w:ascii="Calibri" w:eastAsia="Times New Roman" w:hAnsi="Calibri" w:cs="Calibri"/>
                <w:b/>
                <w:bCs/>
                <w:lang w:eastAsia="cs-CZ"/>
              </w:rPr>
              <w:t>0</w:t>
            </w:r>
          </w:p>
        </w:tc>
        <w:tc>
          <w:tcPr>
            <w:tcW w:w="1690" w:type="dxa"/>
            <w:tcBorders>
              <w:top w:val="single" w:sz="8" w:space="0" w:color="auto"/>
              <w:left w:val="nil"/>
              <w:bottom w:val="single" w:sz="8" w:space="0" w:color="auto"/>
              <w:right w:val="single" w:sz="4" w:space="0" w:color="auto"/>
            </w:tcBorders>
            <w:shd w:val="clear" w:color="auto" w:fill="auto"/>
            <w:noWrap/>
            <w:vAlign w:val="bottom"/>
            <w:hideMark/>
          </w:tcPr>
          <w:p w14:paraId="69344A8A" w14:textId="77777777" w:rsidR="000B380F" w:rsidRPr="000B380F" w:rsidRDefault="000B380F" w:rsidP="000B380F">
            <w:pPr>
              <w:spacing w:after="0" w:line="240" w:lineRule="auto"/>
              <w:jc w:val="right"/>
              <w:rPr>
                <w:rFonts w:ascii="Calibri" w:eastAsia="Times New Roman" w:hAnsi="Calibri" w:cs="Calibri"/>
                <w:b/>
                <w:bCs/>
                <w:lang w:eastAsia="cs-CZ"/>
              </w:rPr>
            </w:pPr>
            <w:r w:rsidRPr="000B380F">
              <w:rPr>
                <w:rFonts w:ascii="Calibri" w:eastAsia="Times New Roman" w:hAnsi="Calibri" w:cs="Calibri"/>
                <w:b/>
                <w:bCs/>
                <w:lang w:eastAsia="cs-CZ"/>
              </w:rPr>
              <w:t>1 500 000,00</w:t>
            </w:r>
          </w:p>
        </w:tc>
        <w:tc>
          <w:tcPr>
            <w:tcW w:w="1701" w:type="dxa"/>
            <w:tcBorders>
              <w:top w:val="single" w:sz="8" w:space="0" w:color="auto"/>
              <w:left w:val="nil"/>
              <w:bottom w:val="single" w:sz="8" w:space="0" w:color="auto"/>
              <w:right w:val="single" w:sz="4" w:space="0" w:color="auto"/>
            </w:tcBorders>
            <w:shd w:val="clear" w:color="auto" w:fill="auto"/>
            <w:noWrap/>
            <w:vAlign w:val="bottom"/>
            <w:hideMark/>
          </w:tcPr>
          <w:p w14:paraId="161C730B" w14:textId="77777777" w:rsidR="000B380F" w:rsidRPr="000B380F" w:rsidRDefault="000B380F" w:rsidP="000B380F">
            <w:pPr>
              <w:spacing w:after="0" w:line="240" w:lineRule="auto"/>
              <w:jc w:val="right"/>
              <w:rPr>
                <w:rFonts w:ascii="Calibri" w:eastAsia="Times New Roman" w:hAnsi="Calibri" w:cs="Calibri"/>
                <w:b/>
                <w:bCs/>
                <w:lang w:eastAsia="cs-CZ"/>
              </w:rPr>
            </w:pPr>
            <w:r w:rsidRPr="000B380F">
              <w:rPr>
                <w:rFonts w:ascii="Calibri" w:eastAsia="Times New Roman" w:hAnsi="Calibri" w:cs="Calibri"/>
                <w:b/>
                <w:bCs/>
                <w:lang w:eastAsia="cs-CZ"/>
              </w:rPr>
              <w:t>1 500 000,00</w:t>
            </w:r>
          </w:p>
        </w:tc>
        <w:tc>
          <w:tcPr>
            <w:tcW w:w="509" w:type="dxa"/>
            <w:tcBorders>
              <w:top w:val="single" w:sz="8" w:space="0" w:color="auto"/>
              <w:left w:val="nil"/>
              <w:bottom w:val="single" w:sz="8" w:space="0" w:color="auto"/>
              <w:right w:val="single" w:sz="8" w:space="0" w:color="auto"/>
            </w:tcBorders>
            <w:shd w:val="clear" w:color="auto" w:fill="auto"/>
            <w:noWrap/>
            <w:vAlign w:val="bottom"/>
            <w:hideMark/>
          </w:tcPr>
          <w:p w14:paraId="5C76177B" w14:textId="77777777" w:rsidR="000B380F" w:rsidRPr="000B380F" w:rsidRDefault="000B380F" w:rsidP="000B380F">
            <w:pPr>
              <w:spacing w:after="0" w:line="240" w:lineRule="auto"/>
              <w:jc w:val="right"/>
              <w:rPr>
                <w:rFonts w:ascii="Calibri" w:eastAsia="Times New Roman" w:hAnsi="Calibri" w:cs="Calibri"/>
                <w:b/>
                <w:bCs/>
                <w:lang w:eastAsia="cs-CZ"/>
              </w:rPr>
            </w:pPr>
            <w:r w:rsidRPr="000B380F">
              <w:rPr>
                <w:rFonts w:ascii="Calibri" w:eastAsia="Times New Roman" w:hAnsi="Calibri" w:cs="Calibri"/>
                <w:b/>
                <w:bCs/>
                <w:lang w:eastAsia="cs-CZ"/>
              </w:rPr>
              <w:t>100,0</w:t>
            </w:r>
          </w:p>
        </w:tc>
      </w:tr>
      <w:tr w:rsidR="000B380F" w:rsidRPr="000B380F" w14:paraId="454090C8" w14:textId="77777777" w:rsidTr="000951D6">
        <w:trPr>
          <w:trHeight w:val="300"/>
        </w:trPr>
        <w:tc>
          <w:tcPr>
            <w:tcW w:w="826" w:type="dxa"/>
            <w:tcBorders>
              <w:top w:val="nil"/>
              <w:left w:val="nil"/>
              <w:bottom w:val="nil"/>
              <w:right w:val="nil"/>
            </w:tcBorders>
            <w:shd w:val="clear" w:color="auto" w:fill="auto"/>
            <w:noWrap/>
            <w:vAlign w:val="bottom"/>
            <w:hideMark/>
          </w:tcPr>
          <w:p w14:paraId="0AD2BE00" w14:textId="77777777" w:rsidR="000B380F" w:rsidRPr="000B380F" w:rsidRDefault="000B380F" w:rsidP="000B380F">
            <w:pPr>
              <w:spacing w:after="0" w:line="240" w:lineRule="auto"/>
              <w:jc w:val="right"/>
              <w:rPr>
                <w:rFonts w:ascii="Calibri" w:eastAsia="Times New Roman" w:hAnsi="Calibri" w:cs="Calibri"/>
                <w:b/>
                <w:bCs/>
                <w:lang w:eastAsia="cs-CZ"/>
              </w:rPr>
            </w:pPr>
          </w:p>
        </w:tc>
        <w:tc>
          <w:tcPr>
            <w:tcW w:w="4473" w:type="dxa"/>
            <w:tcBorders>
              <w:top w:val="nil"/>
              <w:left w:val="nil"/>
              <w:bottom w:val="nil"/>
              <w:right w:val="nil"/>
            </w:tcBorders>
            <w:shd w:val="clear" w:color="auto" w:fill="auto"/>
            <w:noWrap/>
            <w:vAlign w:val="bottom"/>
            <w:hideMark/>
          </w:tcPr>
          <w:p w14:paraId="51CFCDA1" w14:textId="77777777" w:rsidR="000B380F" w:rsidRPr="000B380F" w:rsidRDefault="000B380F" w:rsidP="000B380F">
            <w:pPr>
              <w:spacing w:after="0" w:line="240" w:lineRule="auto"/>
              <w:rPr>
                <w:rFonts w:ascii="Times New Roman" w:eastAsia="Times New Roman" w:hAnsi="Times New Roman" w:cs="Times New Roman"/>
                <w:sz w:val="20"/>
                <w:szCs w:val="20"/>
                <w:lang w:eastAsia="cs-CZ"/>
              </w:rPr>
            </w:pPr>
          </w:p>
        </w:tc>
        <w:tc>
          <w:tcPr>
            <w:tcW w:w="949" w:type="dxa"/>
            <w:tcBorders>
              <w:top w:val="nil"/>
              <w:left w:val="nil"/>
              <w:bottom w:val="nil"/>
              <w:right w:val="nil"/>
            </w:tcBorders>
            <w:shd w:val="clear" w:color="auto" w:fill="auto"/>
            <w:noWrap/>
            <w:vAlign w:val="bottom"/>
            <w:hideMark/>
          </w:tcPr>
          <w:p w14:paraId="2C108C34" w14:textId="77777777" w:rsidR="000B380F" w:rsidRPr="000B380F" w:rsidRDefault="000B380F" w:rsidP="000B380F">
            <w:pPr>
              <w:spacing w:after="0" w:line="240" w:lineRule="auto"/>
              <w:rPr>
                <w:rFonts w:ascii="Times New Roman" w:eastAsia="Times New Roman" w:hAnsi="Times New Roman" w:cs="Times New Roman"/>
                <w:sz w:val="20"/>
                <w:szCs w:val="20"/>
                <w:lang w:eastAsia="cs-CZ"/>
              </w:rPr>
            </w:pPr>
          </w:p>
        </w:tc>
        <w:tc>
          <w:tcPr>
            <w:tcW w:w="1690" w:type="dxa"/>
            <w:tcBorders>
              <w:top w:val="nil"/>
              <w:left w:val="nil"/>
              <w:bottom w:val="nil"/>
              <w:right w:val="nil"/>
            </w:tcBorders>
            <w:shd w:val="clear" w:color="auto" w:fill="auto"/>
            <w:noWrap/>
            <w:vAlign w:val="bottom"/>
            <w:hideMark/>
          </w:tcPr>
          <w:p w14:paraId="11DF8441" w14:textId="77777777" w:rsidR="000B380F" w:rsidRPr="000B380F" w:rsidRDefault="000B380F" w:rsidP="000B380F">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46E17187" w14:textId="77777777" w:rsidR="000B380F" w:rsidRPr="000B380F" w:rsidRDefault="000B380F" w:rsidP="000B380F">
            <w:pPr>
              <w:spacing w:after="0" w:line="240" w:lineRule="auto"/>
              <w:rPr>
                <w:rFonts w:ascii="Times New Roman" w:eastAsia="Times New Roman" w:hAnsi="Times New Roman" w:cs="Times New Roman"/>
                <w:sz w:val="20"/>
                <w:szCs w:val="20"/>
                <w:lang w:eastAsia="cs-CZ"/>
              </w:rPr>
            </w:pPr>
          </w:p>
        </w:tc>
        <w:tc>
          <w:tcPr>
            <w:tcW w:w="509" w:type="dxa"/>
            <w:tcBorders>
              <w:top w:val="nil"/>
              <w:left w:val="nil"/>
              <w:bottom w:val="nil"/>
              <w:right w:val="nil"/>
            </w:tcBorders>
            <w:shd w:val="clear" w:color="auto" w:fill="auto"/>
            <w:noWrap/>
            <w:vAlign w:val="bottom"/>
            <w:hideMark/>
          </w:tcPr>
          <w:p w14:paraId="51CD1F8F" w14:textId="77777777" w:rsidR="000B380F" w:rsidRPr="000B380F" w:rsidRDefault="000B380F" w:rsidP="000B380F">
            <w:pPr>
              <w:spacing w:after="0" w:line="240" w:lineRule="auto"/>
              <w:rPr>
                <w:rFonts w:ascii="Times New Roman" w:eastAsia="Times New Roman" w:hAnsi="Times New Roman" w:cs="Times New Roman"/>
                <w:sz w:val="20"/>
                <w:szCs w:val="20"/>
                <w:lang w:eastAsia="cs-CZ"/>
              </w:rPr>
            </w:pPr>
          </w:p>
        </w:tc>
      </w:tr>
      <w:tr w:rsidR="000B380F" w:rsidRPr="000B380F" w14:paraId="0134D1C5" w14:textId="77777777" w:rsidTr="000951D6">
        <w:trPr>
          <w:trHeight w:val="360"/>
        </w:trPr>
        <w:tc>
          <w:tcPr>
            <w:tcW w:w="826" w:type="dxa"/>
            <w:tcBorders>
              <w:top w:val="nil"/>
              <w:left w:val="nil"/>
              <w:bottom w:val="nil"/>
              <w:right w:val="nil"/>
            </w:tcBorders>
            <w:shd w:val="clear" w:color="auto" w:fill="auto"/>
            <w:noWrap/>
            <w:vAlign w:val="bottom"/>
            <w:hideMark/>
          </w:tcPr>
          <w:p w14:paraId="58FF2EB5" w14:textId="77777777" w:rsidR="000B380F" w:rsidRPr="000B380F" w:rsidRDefault="000B380F" w:rsidP="000B380F">
            <w:pPr>
              <w:spacing w:after="0" w:line="240" w:lineRule="auto"/>
              <w:jc w:val="right"/>
              <w:rPr>
                <w:rFonts w:ascii="Times New Roman" w:eastAsia="Times New Roman" w:hAnsi="Times New Roman" w:cs="Times New Roman"/>
                <w:sz w:val="20"/>
                <w:szCs w:val="20"/>
                <w:lang w:eastAsia="cs-CZ"/>
              </w:rPr>
            </w:pPr>
          </w:p>
        </w:tc>
        <w:tc>
          <w:tcPr>
            <w:tcW w:w="9322" w:type="dxa"/>
            <w:gridSpan w:val="5"/>
            <w:tcBorders>
              <w:top w:val="nil"/>
              <w:left w:val="nil"/>
              <w:bottom w:val="nil"/>
              <w:right w:val="nil"/>
            </w:tcBorders>
            <w:shd w:val="clear" w:color="auto" w:fill="auto"/>
            <w:vAlign w:val="bottom"/>
            <w:hideMark/>
          </w:tcPr>
          <w:p w14:paraId="50AFBEBA" w14:textId="77777777" w:rsidR="000B380F" w:rsidRPr="000B380F" w:rsidRDefault="000B380F" w:rsidP="000B380F">
            <w:pPr>
              <w:spacing w:after="0" w:line="240" w:lineRule="auto"/>
              <w:rPr>
                <w:rFonts w:ascii="Calibri" w:eastAsia="Times New Roman" w:hAnsi="Calibri" w:cs="Calibri"/>
                <w:b/>
                <w:bCs/>
                <w:lang w:eastAsia="cs-CZ"/>
              </w:rPr>
            </w:pPr>
            <w:r w:rsidRPr="000B380F">
              <w:rPr>
                <w:rFonts w:ascii="Calibri" w:eastAsia="Times New Roman" w:hAnsi="Calibri" w:cs="Calibri"/>
                <w:b/>
                <w:bCs/>
                <w:lang w:eastAsia="cs-CZ"/>
              </w:rPr>
              <w:t>Předfinancování a kofinancování projektů spolufinancovaných z EU/EHP a ostatní související výdaje s projekty EU/EHP</w:t>
            </w:r>
          </w:p>
        </w:tc>
      </w:tr>
      <w:tr w:rsidR="000B380F" w:rsidRPr="000B380F" w14:paraId="0BF67DA4" w14:textId="77777777" w:rsidTr="000951D6">
        <w:trPr>
          <w:trHeight w:val="255"/>
        </w:trPr>
        <w:tc>
          <w:tcPr>
            <w:tcW w:w="826" w:type="dxa"/>
            <w:tcBorders>
              <w:top w:val="single" w:sz="8" w:space="0" w:color="auto"/>
              <w:left w:val="single" w:sz="8" w:space="0" w:color="auto"/>
              <w:bottom w:val="nil"/>
              <w:right w:val="single" w:sz="4" w:space="0" w:color="auto"/>
            </w:tcBorders>
            <w:shd w:val="clear" w:color="000000" w:fill="FFFFFF"/>
            <w:noWrap/>
            <w:vAlign w:val="bottom"/>
            <w:hideMark/>
          </w:tcPr>
          <w:p w14:paraId="62603121" w14:textId="77777777" w:rsidR="000B380F" w:rsidRPr="000B380F" w:rsidRDefault="000B380F" w:rsidP="000B380F">
            <w:pPr>
              <w:spacing w:after="0" w:line="240" w:lineRule="auto"/>
              <w:jc w:val="center"/>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2219</w:t>
            </w:r>
          </w:p>
        </w:tc>
        <w:tc>
          <w:tcPr>
            <w:tcW w:w="4473" w:type="dxa"/>
            <w:tcBorders>
              <w:top w:val="single" w:sz="8" w:space="0" w:color="auto"/>
              <w:left w:val="nil"/>
              <w:bottom w:val="nil"/>
              <w:right w:val="single" w:sz="4" w:space="0" w:color="auto"/>
            </w:tcBorders>
            <w:shd w:val="clear" w:color="auto" w:fill="auto"/>
            <w:vAlign w:val="bottom"/>
            <w:hideMark/>
          </w:tcPr>
          <w:p w14:paraId="1F49B288" w14:textId="77777777" w:rsidR="000B380F" w:rsidRPr="000B380F" w:rsidRDefault="000B380F" w:rsidP="000B380F">
            <w:pPr>
              <w:spacing w:after="0" w:line="240" w:lineRule="auto"/>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Ostatní záležitosti pozemních komunikací - cyklodoprava</w:t>
            </w:r>
          </w:p>
        </w:tc>
        <w:tc>
          <w:tcPr>
            <w:tcW w:w="949" w:type="dxa"/>
            <w:tcBorders>
              <w:top w:val="single" w:sz="8" w:space="0" w:color="auto"/>
              <w:left w:val="nil"/>
              <w:bottom w:val="nil"/>
              <w:right w:val="single" w:sz="4" w:space="0" w:color="auto"/>
            </w:tcBorders>
            <w:shd w:val="clear" w:color="auto" w:fill="auto"/>
            <w:vAlign w:val="bottom"/>
            <w:hideMark/>
          </w:tcPr>
          <w:p w14:paraId="6952CDCA" w14:textId="77777777" w:rsidR="000B380F" w:rsidRPr="000B380F" w:rsidRDefault="000B380F" w:rsidP="000B380F">
            <w:pPr>
              <w:spacing w:after="0" w:line="240" w:lineRule="auto"/>
              <w:jc w:val="right"/>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0</w:t>
            </w:r>
          </w:p>
        </w:tc>
        <w:tc>
          <w:tcPr>
            <w:tcW w:w="1690" w:type="dxa"/>
            <w:tcBorders>
              <w:top w:val="single" w:sz="8" w:space="0" w:color="auto"/>
              <w:left w:val="nil"/>
              <w:bottom w:val="nil"/>
              <w:right w:val="single" w:sz="4" w:space="0" w:color="auto"/>
            </w:tcBorders>
            <w:shd w:val="clear" w:color="auto" w:fill="auto"/>
            <w:vAlign w:val="bottom"/>
            <w:hideMark/>
          </w:tcPr>
          <w:p w14:paraId="28ADBC0A" w14:textId="77777777" w:rsidR="000B380F" w:rsidRPr="000B380F" w:rsidRDefault="000B380F" w:rsidP="000B380F">
            <w:pPr>
              <w:spacing w:after="0" w:line="240" w:lineRule="auto"/>
              <w:jc w:val="right"/>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 xml:space="preserve"> 1 179 246,50    </w:t>
            </w:r>
          </w:p>
        </w:tc>
        <w:tc>
          <w:tcPr>
            <w:tcW w:w="1701" w:type="dxa"/>
            <w:tcBorders>
              <w:top w:val="single" w:sz="8" w:space="0" w:color="auto"/>
              <w:left w:val="nil"/>
              <w:bottom w:val="nil"/>
              <w:right w:val="single" w:sz="4" w:space="0" w:color="auto"/>
            </w:tcBorders>
            <w:shd w:val="clear" w:color="auto" w:fill="auto"/>
            <w:vAlign w:val="bottom"/>
            <w:hideMark/>
          </w:tcPr>
          <w:p w14:paraId="2C139690" w14:textId="77777777" w:rsidR="000B380F" w:rsidRPr="000B380F" w:rsidRDefault="000B380F" w:rsidP="000B380F">
            <w:pPr>
              <w:spacing w:after="0" w:line="240" w:lineRule="auto"/>
              <w:jc w:val="right"/>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879 246,50</w:t>
            </w:r>
          </w:p>
        </w:tc>
        <w:tc>
          <w:tcPr>
            <w:tcW w:w="509" w:type="dxa"/>
            <w:tcBorders>
              <w:top w:val="single" w:sz="8" w:space="0" w:color="auto"/>
              <w:left w:val="nil"/>
              <w:bottom w:val="nil"/>
              <w:right w:val="single" w:sz="8" w:space="0" w:color="auto"/>
            </w:tcBorders>
            <w:shd w:val="clear" w:color="auto" w:fill="auto"/>
            <w:vAlign w:val="bottom"/>
            <w:hideMark/>
          </w:tcPr>
          <w:p w14:paraId="0683DE5E" w14:textId="77777777" w:rsidR="000B380F" w:rsidRPr="000B380F" w:rsidRDefault="000B380F" w:rsidP="000B380F">
            <w:pPr>
              <w:spacing w:after="0" w:line="240" w:lineRule="auto"/>
              <w:jc w:val="right"/>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74,6</w:t>
            </w:r>
          </w:p>
        </w:tc>
      </w:tr>
      <w:tr w:rsidR="000B380F" w:rsidRPr="000B380F" w14:paraId="297F7E73" w14:textId="77777777" w:rsidTr="000951D6">
        <w:trPr>
          <w:trHeight w:val="323"/>
        </w:trPr>
        <w:tc>
          <w:tcPr>
            <w:tcW w:w="826" w:type="dxa"/>
            <w:tcBorders>
              <w:top w:val="single" w:sz="4" w:space="0" w:color="auto"/>
              <w:left w:val="single" w:sz="8" w:space="0" w:color="auto"/>
              <w:bottom w:val="single" w:sz="8" w:space="0" w:color="auto"/>
              <w:right w:val="single" w:sz="4" w:space="0" w:color="auto"/>
            </w:tcBorders>
            <w:shd w:val="clear" w:color="000000" w:fill="FFFFFF"/>
            <w:noWrap/>
            <w:vAlign w:val="bottom"/>
            <w:hideMark/>
          </w:tcPr>
          <w:p w14:paraId="0A3EA69E" w14:textId="77777777" w:rsidR="000B380F" w:rsidRPr="000B380F" w:rsidRDefault="000B380F" w:rsidP="000B380F">
            <w:pPr>
              <w:spacing w:after="0" w:line="240" w:lineRule="auto"/>
              <w:jc w:val="center"/>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2271</w:t>
            </w:r>
          </w:p>
        </w:tc>
        <w:tc>
          <w:tcPr>
            <w:tcW w:w="4473" w:type="dxa"/>
            <w:tcBorders>
              <w:top w:val="single" w:sz="4" w:space="0" w:color="auto"/>
              <w:left w:val="nil"/>
              <w:bottom w:val="single" w:sz="8" w:space="0" w:color="auto"/>
              <w:right w:val="single" w:sz="4" w:space="0" w:color="auto"/>
            </w:tcBorders>
            <w:shd w:val="clear" w:color="auto" w:fill="auto"/>
            <w:vAlign w:val="bottom"/>
            <w:hideMark/>
          </w:tcPr>
          <w:p w14:paraId="208AAB0E" w14:textId="77777777" w:rsidR="000B380F" w:rsidRPr="000B380F" w:rsidRDefault="000B380F" w:rsidP="000B380F">
            <w:pPr>
              <w:spacing w:after="0" w:line="240" w:lineRule="auto"/>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Ostatní dráhy</w:t>
            </w:r>
          </w:p>
        </w:tc>
        <w:tc>
          <w:tcPr>
            <w:tcW w:w="949" w:type="dxa"/>
            <w:tcBorders>
              <w:top w:val="single" w:sz="4" w:space="0" w:color="auto"/>
              <w:left w:val="nil"/>
              <w:bottom w:val="single" w:sz="8" w:space="0" w:color="auto"/>
              <w:right w:val="single" w:sz="4" w:space="0" w:color="auto"/>
            </w:tcBorders>
            <w:shd w:val="clear" w:color="auto" w:fill="auto"/>
            <w:vAlign w:val="bottom"/>
            <w:hideMark/>
          </w:tcPr>
          <w:p w14:paraId="02D0FFA6" w14:textId="77777777" w:rsidR="000B380F" w:rsidRPr="000B380F" w:rsidRDefault="000B380F" w:rsidP="000B380F">
            <w:pPr>
              <w:spacing w:after="0" w:line="240" w:lineRule="auto"/>
              <w:jc w:val="right"/>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0</w:t>
            </w:r>
          </w:p>
        </w:tc>
        <w:tc>
          <w:tcPr>
            <w:tcW w:w="1690" w:type="dxa"/>
            <w:tcBorders>
              <w:top w:val="single" w:sz="4" w:space="0" w:color="auto"/>
              <w:left w:val="nil"/>
              <w:bottom w:val="single" w:sz="8" w:space="0" w:color="auto"/>
              <w:right w:val="single" w:sz="4" w:space="0" w:color="auto"/>
            </w:tcBorders>
            <w:shd w:val="clear" w:color="auto" w:fill="auto"/>
            <w:vAlign w:val="bottom"/>
            <w:hideMark/>
          </w:tcPr>
          <w:p w14:paraId="26EC2254" w14:textId="77777777" w:rsidR="000B380F" w:rsidRPr="000B380F" w:rsidRDefault="000B380F" w:rsidP="000B380F">
            <w:pPr>
              <w:spacing w:after="0" w:line="240" w:lineRule="auto"/>
              <w:jc w:val="right"/>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 xml:space="preserve"> 2 432 575,53    </w:t>
            </w:r>
          </w:p>
        </w:tc>
        <w:tc>
          <w:tcPr>
            <w:tcW w:w="1701" w:type="dxa"/>
            <w:tcBorders>
              <w:top w:val="single" w:sz="4" w:space="0" w:color="auto"/>
              <w:left w:val="nil"/>
              <w:bottom w:val="single" w:sz="8" w:space="0" w:color="auto"/>
              <w:right w:val="single" w:sz="4" w:space="0" w:color="auto"/>
            </w:tcBorders>
            <w:shd w:val="clear" w:color="auto" w:fill="auto"/>
            <w:vAlign w:val="bottom"/>
            <w:hideMark/>
          </w:tcPr>
          <w:p w14:paraId="4BEDABA3" w14:textId="77777777" w:rsidR="000B380F" w:rsidRPr="000B380F" w:rsidRDefault="000B380F" w:rsidP="000B380F">
            <w:pPr>
              <w:spacing w:after="0" w:line="240" w:lineRule="auto"/>
              <w:jc w:val="right"/>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2 432 575,53</w:t>
            </w:r>
          </w:p>
        </w:tc>
        <w:tc>
          <w:tcPr>
            <w:tcW w:w="509" w:type="dxa"/>
            <w:tcBorders>
              <w:top w:val="single" w:sz="4" w:space="0" w:color="auto"/>
              <w:left w:val="nil"/>
              <w:bottom w:val="single" w:sz="8" w:space="0" w:color="auto"/>
              <w:right w:val="single" w:sz="8" w:space="0" w:color="auto"/>
            </w:tcBorders>
            <w:shd w:val="clear" w:color="auto" w:fill="auto"/>
            <w:vAlign w:val="bottom"/>
            <w:hideMark/>
          </w:tcPr>
          <w:p w14:paraId="77DE62C1" w14:textId="77777777" w:rsidR="000B380F" w:rsidRPr="000B380F" w:rsidRDefault="000B380F" w:rsidP="000B380F">
            <w:pPr>
              <w:spacing w:after="0" w:line="240" w:lineRule="auto"/>
              <w:jc w:val="right"/>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100,0</w:t>
            </w:r>
          </w:p>
        </w:tc>
      </w:tr>
      <w:tr w:rsidR="000B380F" w:rsidRPr="000B380F" w14:paraId="6A14C46E" w14:textId="77777777" w:rsidTr="000951D6">
        <w:trPr>
          <w:trHeight w:val="300"/>
        </w:trPr>
        <w:tc>
          <w:tcPr>
            <w:tcW w:w="826" w:type="dxa"/>
            <w:tcBorders>
              <w:top w:val="nil"/>
              <w:left w:val="single" w:sz="8" w:space="0" w:color="auto"/>
              <w:bottom w:val="single" w:sz="8" w:space="0" w:color="auto"/>
              <w:right w:val="single" w:sz="4" w:space="0" w:color="auto"/>
            </w:tcBorders>
            <w:shd w:val="clear" w:color="000000" w:fill="FFFFFF"/>
            <w:noWrap/>
            <w:vAlign w:val="center"/>
            <w:hideMark/>
          </w:tcPr>
          <w:p w14:paraId="1B22D0D4" w14:textId="77777777" w:rsidR="000B380F" w:rsidRPr="000B380F" w:rsidRDefault="000B380F" w:rsidP="000B380F">
            <w:pPr>
              <w:spacing w:after="0" w:line="240" w:lineRule="auto"/>
              <w:jc w:val="center"/>
              <w:rPr>
                <w:rFonts w:ascii="Calibri" w:eastAsia="Times New Roman" w:hAnsi="Calibri" w:cs="Calibri"/>
                <w:sz w:val="24"/>
                <w:szCs w:val="24"/>
                <w:lang w:eastAsia="cs-CZ"/>
              </w:rPr>
            </w:pPr>
            <w:r w:rsidRPr="000B380F">
              <w:rPr>
                <w:rFonts w:ascii="Calibri" w:eastAsia="Times New Roman" w:hAnsi="Calibri" w:cs="Calibri"/>
                <w:sz w:val="24"/>
                <w:szCs w:val="24"/>
                <w:lang w:eastAsia="cs-CZ"/>
              </w:rPr>
              <w:t> </w:t>
            </w:r>
          </w:p>
        </w:tc>
        <w:tc>
          <w:tcPr>
            <w:tcW w:w="4473" w:type="dxa"/>
            <w:tcBorders>
              <w:top w:val="nil"/>
              <w:left w:val="nil"/>
              <w:bottom w:val="single" w:sz="8" w:space="0" w:color="auto"/>
              <w:right w:val="single" w:sz="4" w:space="0" w:color="auto"/>
            </w:tcBorders>
            <w:shd w:val="clear" w:color="auto" w:fill="auto"/>
            <w:noWrap/>
            <w:vAlign w:val="bottom"/>
            <w:hideMark/>
          </w:tcPr>
          <w:p w14:paraId="21B220B2" w14:textId="77777777" w:rsidR="000B380F" w:rsidRPr="000B380F" w:rsidRDefault="000B380F" w:rsidP="000B380F">
            <w:pPr>
              <w:spacing w:after="0" w:line="240" w:lineRule="auto"/>
              <w:rPr>
                <w:rFonts w:ascii="Calibri" w:eastAsia="Times New Roman" w:hAnsi="Calibri" w:cs="Calibri"/>
                <w:b/>
                <w:bCs/>
                <w:lang w:eastAsia="cs-CZ"/>
              </w:rPr>
            </w:pPr>
            <w:r w:rsidRPr="000B380F">
              <w:rPr>
                <w:rFonts w:ascii="Calibri" w:eastAsia="Times New Roman" w:hAnsi="Calibri" w:cs="Calibri"/>
                <w:b/>
                <w:bCs/>
                <w:lang w:eastAsia="cs-CZ"/>
              </w:rPr>
              <w:t>Celkem</w:t>
            </w:r>
          </w:p>
        </w:tc>
        <w:tc>
          <w:tcPr>
            <w:tcW w:w="949" w:type="dxa"/>
            <w:tcBorders>
              <w:top w:val="nil"/>
              <w:left w:val="nil"/>
              <w:bottom w:val="single" w:sz="8" w:space="0" w:color="auto"/>
              <w:right w:val="single" w:sz="4" w:space="0" w:color="auto"/>
            </w:tcBorders>
            <w:shd w:val="clear" w:color="auto" w:fill="auto"/>
            <w:noWrap/>
            <w:vAlign w:val="bottom"/>
            <w:hideMark/>
          </w:tcPr>
          <w:p w14:paraId="499D11AC" w14:textId="77777777" w:rsidR="000B380F" w:rsidRPr="000B380F" w:rsidRDefault="000B380F" w:rsidP="000B380F">
            <w:pPr>
              <w:spacing w:after="0" w:line="240" w:lineRule="auto"/>
              <w:jc w:val="right"/>
              <w:rPr>
                <w:rFonts w:ascii="Calibri" w:eastAsia="Times New Roman" w:hAnsi="Calibri" w:cs="Calibri"/>
                <w:b/>
                <w:bCs/>
                <w:lang w:eastAsia="cs-CZ"/>
              </w:rPr>
            </w:pPr>
            <w:r w:rsidRPr="000B380F">
              <w:rPr>
                <w:rFonts w:ascii="Calibri" w:eastAsia="Times New Roman" w:hAnsi="Calibri" w:cs="Calibri"/>
                <w:b/>
                <w:bCs/>
                <w:lang w:eastAsia="cs-CZ"/>
              </w:rPr>
              <w:t>0</w:t>
            </w:r>
          </w:p>
        </w:tc>
        <w:tc>
          <w:tcPr>
            <w:tcW w:w="1690" w:type="dxa"/>
            <w:tcBorders>
              <w:top w:val="nil"/>
              <w:left w:val="nil"/>
              <w:bottom w:val="single" w:sz="8" w:space="0" w:color="auto"/>
              <w:right w:val="single" w:sz="4" w:space="0" w:color="auto"/>
            </w:tcBorders>
            <w:shd w:val="clear" w:color="auto" w:fill="auto"/>
            <w:noWrap/>
            <w:vAlign w:val="bottom"/>
            <w:hideMark/>
          </w:tcPr>
          <w:p w14:paraId="29BBD87D" w14:textId="77777777" w:rsidR="000B380F" w:rsidRPr="000B380F" w:rsidRDefault="000B380F" w:rsidP="000B380F">
            <w:pPr>
              <w:spacing w:after="0" w:line="240" w:lineRule="auto"/>
              <w:jc w:val="right"/>
              <w:rPr>
                <w:rFonts w:ascii="Calibri" w:eastAsia="Times New Roman" w:hAnsi="Calibri" w:cs="Calibri"/>
                <w:b/>
                <w:bCs/>
                <w:lang w:eastAsia="cs-CZ"/>
              </w:rPr>
            </w:pPr>
            <w:r w:rsidRPr="000B380F">
              <w:rPr>
                <w:rFonts w:ascii="Calibri" w:eastAsia="Times New Roman" w:hAnsi="Calibri" w:cs="Calibri"/>
                <w:b/>
                <w:bCs/>
                <w:lang w:eastAsia="cs-CZ"/>
              </w:rPr>
              <w:t>3 611 822,03</w:t>
            </w:r>
          </w:p>
        </w:tc>
        <w:tc>
          <w:tcPr>
            <w:tcW w:w="1701" w:type="dxa"/>
            <w:tcBorders>
              <w:top w:val="nil"/>
              <w:left w:val="nil"/>
              <w:bottom w:val="single" w:sz="8" w:space="0" w:color="auto"/>
              <w:right w:val="single" w:sz="4" w:space="0" w:color="auto"/>
            </w:tcBorders>
            <w:shd w:val="clear" w:color="auto" w:fill="auto"/>
            <w:noWrap/>
            <w:vAlign w:val="bottom"/>
            <w:hideMark/>
          </w:tcPr>
          <w:p w14:paraId="266D078E" w14:textId="77777777" w:rsidR="000B380F" w:rsidRPr="000B380F" w:rsidRDefault="000B380F" w:rsidP="000B380F">
            <w:pPr>
              <w:spacing w:after="0" w:line="240" w:lineRule="auto"/>
              <w:jc w:val="right"/>
              <w:rPr>
                <w:rFonts w:ascii="Calibri" w:eastAsia="Times New Roman" w:hAnsi="Calibri" w:cs="Calibri"/>
                <w:b/>
                <w:bCs/>
                <w:lang w:eastAsia="cs-CZ"/>
              </w:rPr>
            </w:pPr>
            <w:r w:rsidRPr="000B380F">
              <w:rPr>
                <w:rFonts w:ascii="Calibri" w:eastAsia="Times New Roman" w:hAnsi="Calibri" w:cs="Calibri"/>
                <w:b/>
                <w:bCs/>
                <w:lang w:eastAsia="cs-CZ"/>
              </w:rPr>
              <w:t>3 311 822,03</w:t>
            </w:r>
          </w:p>
        </w:tc>
        <w:tc>
          <w:tcPr>
            <w:tcW w:w="509" w:type="dxa"/>
            <w:tcBorders>
              <w:top w:val="nil"/>
              <w:left w:val="nil"/>
              <w:bottom w:val="single" w:sz="8" w:space="0" w:color="auto"/>
              <w:right w:val="single" w:sz="8" w:space="0" w:color="auto"/>
            </w:tcBorders>
            <w:shd w:val="clear" w:color="auto" w:fill="auto"/>
            <w:noWrap/>
            <w:vAlign w:val="bottom"/>
            <w:hideMark/>
          </w:tcPr>
          <w:p w14:paraId="3FC7ABC0" w14:textId="77777777" w:rsidR="000B380F" w:rsidRPr="000B380F" w:rsidRDefault="000B380F" w:rsidP="000B380F">
            <w:pPr>
              <w:spacing w:after="0" w:line="240" w:lineRule="auto"/>
              <w:jc w:val="right"/>
              <w:rPr>
                <w:rFonts w:ascii="Calibri" w:eastAsia="Times New Roman" w:hAnsi="Calibri" w:cs="Calibri"/>
                <w:b/>
                <w:bCs/>
                <w:lang w:eastAsia="cs-CZ"/>
              </w:rPr>
            </w:pPr>
            <w:r w:rsidRPr="000B380F">
              <w:rPr>
                <w:rFonts w:ascii="Calibri" w:eastAsia="Times New Roman" w:hAnsi="Calibri" w:cs="Calibri"/>
                <w:b/>
                <w:bCs/>
                <w:lang w:eastAsia="cs-CZ"/>
              </w:rPr>
              <w:t>91,7</w:t>
            </w:r>
          </w:p>
        </w:tc>
      </w:tr>
      <w:tr w:rsidR="000B380F" w:rsidRPr="000B380F" w14:paraId="4DBB18CB" w14:textId="77777777" w:rsidTr="000951D6">
        <w:trPr>
          <w:trHeight w:val="360"/>
        </w:trPr>
        <w:tc>
          <w:tcPr>
            <w:tcW w:w="826" w:type="dxa"/>
            <w:tcBorders>
              <w:top w:val="nil"/>
              <w:left w:val="nil"/>
              <w:bottom w:val="nil"/>
              <w:right w:val="nil"/>
            </w:tcBorders>
            <w:shd w:val="clear" w:color="000000" w:fill="FFFFFF"/>
            <w:noWrap/>
            <w:vAlign w:val="center"/>
            <w:hideMark/>
          </w:tcPr>
          <w:p w14:paraId="39C0AE71" w14:textId="77777777" w:rsidR="000B380F" w:rsidRPr="000B380F" w:rsidRDefault="000B380F" w:rsidP="000B380F">
            <w:pPr>
              <w:spacing w:after="0" w:line="240" w:lineRule="auto"/>
              <w:jc w:val="center"/>
              <w:rPr>
                <w:rFonts w:ascii="Calibri" w:eastAsia="Times New Roman" w:hAnsi="Calibri" w:cs="Calibri"/>
                <w:sz w:val="24"/>
                <w:szCs w:val="24"/>
                <w:lang w:eastAsia="cs-CZ"/>
              </w:rPr>
            </w:pPr>
            <w:r w:rsidRPr="000B380F">
              <w:rPr>
                <w:rFonts w:ascii="Calibri" w:eastAsia="Times New Roman" w:hAnsi="Calibri" w:cs="Calibri"/>
                <w:sz w:val="24"/>
                <w:szCs w:val="24"/>
                <w:lang w:eastAsia="cs-CZ"/>
              </w:rPr>
              <w:t> </w:t>
            </w:r>
          </w:p>
        </w:tc>
        <w:tc>
          <w:tcPr>
            <w:tcW w:w="4473" w:type="dxa"/>
            <w:tcBorders>
              <w:top w:val="nil"/>
              <w:left w:val="nil"/>
              <w:bottom w:val="nil"/>
              <w:right w:val="nil"/>
            </w:tcBorders>
            <w:shd w:val="clear" w:color="auto" w:fill="auto"/>
            <w:noWrap/>
            <w:vAlign w:val="bottom"/>
            <w:hideMark/>
          </w:tcPr>
          <w:p w14:paraId="2FF0EFE8" w14:textId="77777777" w:rsidR="000B380F" w:rsidRPr="000B380F" w:rsidRDefault="000B380F" w:rsidP="000B380F">
            <w:pPr>
              <w:spacing w:after="0" w:line="240" w:lineRule="auto"/>
              <w:jc w:val="center"/>
              <w:rPr>
                <w:rFonts w:ascii="Calibri" w:eastAsia="Times New Roman" w:hAnsi="Calibri" w:cs="Calibri"/>
                <w:sz w:val="24"/>
                <w:szCs w:val="24"/>
                <w:lang w:eastAsia="cs-CZ"/>
              </w:rPr>
            </w:pPr>
          </w:p>
        </w:tc>
        <w:tc>
          <w:tcPr>
            <w:tcW w:w="949" w:type="dxa"/>
            <w:tcBorders>
              <w:top w:val="nil"/>
              <w:left w:val="nil"/>
              <w:bottom w:val="nil"/>
              <w:right w:val="nil"/>
            </w:tcBorders>
            <w:shd w:val="clear" w:color="auto" w:fill="auto"/>
            <w:noWrap/>
            <w:vAlign w:val="bottom"/>
            <w:hideMark/>
          </w:tcPr>
          <w:p w14:paraId="49305C5D" w14:textId="77777777" w:rsidR="000B380F" w:rsidRPr="000B380F" w:rsidRDefault="000B380F" w:rsidP="000B380F">
            <w:pPr>
              <w:spacing w:after="0" w:line="240" w:lineRule="auto"/>
              <w:rPr>
                <w:rFonts w:ascii="Times New Roman" w:eastAsia="Times New Roman" w:hAnsi="Times New Roman" w:cs="Times New Roman"/>
                <w:sz w:val="20"/>
                <w:szCs w:val="20"/>
                <w:lang w:eastAsia="cs-CZ"/>
              </w:rPr>
            </w:pPr>
          </w:p>
        </w:tc>
        <w:tc>
          <w:tcPr>
            <w:tcW w:w="1690" w:type="dxa"/>
            <w:tcBorders>
              <w:top w:val="nil"/>
              <w:left w:val="nil"/>
              <w:bottom w:val="nil"/>
              <w:right w:val="nil"/>
            </w:tcBorders>
            <w:shd w:val="clear" w:color="auto" w:fill="auto"/>
            <w:noWrap/>
            <w:vAlign w:val="bottom"/>
            <w:hideMark/>
          </w:tcPr>
          <w:p w14:paraId="5F5447C1" w14:textId="77777777" w:rsidR="000B380F" w:rsidRPr="000B380F" w:rsidRDefault="000B380F" w:rsidP="000B380F">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3F51AD80" w14:textId="77777777" w:rsidR="000B380F" w:rsidRPr="000B380F" w:rsidRDefault="000B380F" w:rsidP="000B380F">
            <w:pPr>
              <w:spacing w:after="0" w:line="240" w:lineRule="auto"/>
              <w:jc w:val="right"/>
              <w:rPr>
                <w:rFonts w:ascii="Times New Roman" w:eastAsia="Times New Roman" w:hAnsi="Times New Roman" w:cs="Times New Roman"/>
                <w:sz w:val="20"/>
                <w:szCs w:val="20"/>
                <w:lang w:eastAsia="cs-CZ"/>
              </w:rPr>
            </w:pPr>
          </w:p>
        </w:tc>
        <w:tc>
          <w:tcPr>
            <w:tcW w:w="509" w:type="dxa"/>
            <w:tcBorders>
              <w:top w:val="nil"/>
              <w:left w:val="nil"/>
              <w:bottom w:val="nil"/>
              <w:right w:val="nil"/>
            </w:tcBorders>
            <w:shd w:val="clear" w:color="auto" w:fill="auto"/>
            <w:noWrap/>
            <w:vAlign w:val="bottom"/>
            <w:hideMark/>
          </w:tcPr>
          <w:p w14:paraId="3B79E10A" w14:textId="77777777" w:rsidR="000B380F" w:rsidRPr="000B380F" w:rsidRDefault="000B380F" w:rsidP="000B380F">
            <w:pPr>
              <w:spacing w:after="0" w:line="240" w:lineRule="auto"/>
              <w:jc w:val="right"/>
              <w:rPr>
                <w:rFonts w:ascii="Times New Roman" w:eastAsia="Times New Roman" w:hAnsi="Times New Roman" w:cs="Times New Roman"/>
                <w:sz w:val="20"/>
                <w:szCs w:val="20"/>
                <w:lang w:eastAsia="cs-CZ"/>
              </w:rPr>
            </w:pPr>
          </w:p>
        </w:tc>
      </w:tr>
      <w:tr w:rsidR="000B380F" w:rsidRPr="000B380F" w14:paraId="7BB398FE" w14:textId="77777777" w:rsidTr="000951D6">
        <w:trPr>
          <w:trHeight w:val="255"/>
        </w:trPr>
        <w:tc>
          <w:tcPr>
            <w:tcW w:w="826" w:type="dxa"/>
            <w:tcBorders>
              <w:top w:val="nil"/>
              <w:left w:val="nil"/>
              <w:bottom w:val="nil"/>
              <w:right w:val="nil"/>
            </w:tcBorders>
            <w:shd w:val="clear" w:color="auto" w:fill="auto"/>
            <w:noWrap/>
            <w:vAlign w:val="bottom"/>
            <w:hideMark/>
          </w:tcPr>
          <w:p w14:paraId="1DB30D9F" w14:textId="77777777" w:rsidR="000B380F" w:rsidRPr="000B380F" w:rsidRDefault="000B380F" w:rsidP="000B380F">
            <w:pPr>
              <w:spacing w:after="0" w:line="240" w:lineRule="auto"/>
              <w:jc w:val="right"/>
              <w:rPr>
                <w:rFonts w:ascii="Times New Roman" w:eastAsia="Times New Roman" w:hAnsi="Times New Roman" w:cs="Times New Roman"/>
                <w:sz w:val="20"/>
                <w:szCs w:val="20"/>
                <w:lang w:eastAsia="cs-CZ"/>
              </w:rPr>
            </w:pPr>
          </w:p>
        </w:tc>
        <w:tc>
          <w:tcPr>
            <w:tcW w:w="7112" w:type="dxa"/>
            <w:gridSpan w:val="3"/>
            <w:tcBorders>
              <w:top w:val="nil"/>
              <w:left w:val="nil"/>
              <w:bottom w:val="nil"/>
              <w:right w:val="nil"/>
            </w:tcBorders>
            <w:shd w:val="clear" w:color="auto" w:fill="auto"/>
            <w:noWrap/>
            <w:vAlign w:val="bottom"/>
            <w:hideMark/>
          </w:tcPr>
          <w:p w14:paraId="791E597C" w14:textId="77777777" w:rsidR="000B380F" w:rsidRPr="000B380F" w:rsidRDefault="000B380F" w:rsidP="000B380F">
            <w:pPr>
              <w:spacing w:after="0" w:line="240" w:lineRule="auto"/>
              <w:rPr>
                <w:rFonts w:ascii="Calibri" w:eastAsia="Times New Roman" w:hAnsi="Calibri" w:cs="Calibri"/>
                <w:b/>
                <w:bCs/>
                <w:lang w:eastAsia="cs-CZ"/>
              </w:rPr>
            </w:pPr>
            <w:r w:rsidRPr="000B380F">
              <w:rPr>
                <w:rFonts w:ascii="Calibri" w:eastAsia="Times New Roman" w:hAnsi="Calibri" w:cs="Calibri"/>
                <w:b/>
                <w:bCs/>
                <w:lang w:eastAsia="cs-CZ"/>
              </w:rPr>
              <w:t>Dotace ze státního rozpočtu a ostatních veřejných rozpočtů</w:t>
            </w:r>
          </w:p>
        </w:tc>
        <w:tc>
          <w:tcPr>
            <w:tcW w:w="1701" w:type="dxa"/>
            <w:tcBorders>
              <w:top w:val="nil"/>
              <w:left w:val="nil"/>
              <w:bottom w:val="nil"/>
              <w:right w:val="nil"/>
            </w:tcBorders>
            <w:shd w:val="clear" w:color="auto" w:fill="auto"/>
            <w:noWrap/>
            <w:vAlign w:val="bottom"/>
            <w:hideMark/>
          </w:tcPr>
          <w:p w14:paraId="1C5BEA40" w14:textId="77777777" w:rsidR="000B380F" w:rsidRPr="000B380F" w:rsidRDefault="000B380F" w:rsidP="000B380F">
            <w:pPr>
              <w:spacing w:after="0" w:line="240" w:lineRule="auto"/>
              <w:rPr>
                <w:rFonts w:ascii="Calibri" w:eastAsia="Times New Roman" w:hAnsi="Calibri" w:cs="Calibri"/>
                <w:b/>
                <w:bCs/>
                <w:lang w:eastAsia="cs-CZ"/>
              </w:rPr>
            </w:pPr>
          </w:p>
        </w:tc>
        <w:tc>
          <w:tcPr>
            <w:tcW w:w="509" w:type="dxa"/>
            <w:tcBorders>
              <w:top w:val="nil"/>
              <w:left w:val="nil"/>
              <w:bottom w:val="nil"/>
              <w:right w:val="nil"/>
            </w:tcBorders>
            <w:shd w:val="clear" w:color="auto" w:fill="auto"/>
            <w:noWrap/>
            <w:vAlign w:val="bottom"/>
            <w:hideMark/>
          </w:tcPr>
          <w:p w14:paraId="0D366B00" w14:textId="77777777" w:rsidR="000B380F" w:rsidRPr="000B380F" w:rsidRDefault="000B380F" w:rsidP="000B380F">
            <w:pPr>
              <w:spacing w:after="0" w:line="240" w:lineRule="auto"/>
              <w:rPr>
                <w:rFonts w:ascii="Times New Roman" w:eastAsia="Times New Roman" w:hAnsi="Times New Roman" w:cs="Times New Roman"/>
                <w:sz w:val="20"/>
                <w:szCs w:val="20"/>
                <w:lang w:eastAsia="cs-CZ"/>
              </w:rPr>
            </w:pPr>
          </w:p>
        </w:tc>
      </w:tr>
      <w:tr w:rsidR="000B380F" w:rsidRPr="000B380F" w14:paraId="7B98DEA0" w14:textId="77777777" w:rsidTr="000951D6">
        <w:trPr>
          <w:trHeight w:val="255"/>
        </w:trPr>
        <w:tc>
          <w:tcPr>
            <w:tcW w:w="826"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340138BE" w14:textId="77777777" w:rsidR="000B380F" w:rsidRPr="000B380F" w:rsidRDefault="000B380F" w:rsidP="000B380F">
            <w:pPr>
              <w:spacing w:after="0" w:line="240" w:lineRule="auto"/>
              <w:jc w:val="center"/>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2294</w:t>
            </w:r>
          </w:p>
        </w:tc>
        <w:tc>
          <w:tcPr>
            <w:tcW w:w="4473" w:type="dxa"/>
            <w:tcBorders>
              <w:top w:val="single" w:sz="8" w:space="0" w:color="auto"/>
              <w:left w:val="nil"/>
              <w:bottom w:val="single" w:sz="8" w:space="0" w:color="auto"/>
              <w:right w:val="single" w:sz="4" w:space="0" w:color="auto"/>
            </w:tcBorders>
            <w:shd w:val="clear" w:color="auto" w:fill="auto"/>
            <w:vAlign w:val="bottom"/>
            <w:hideMark/>
          </w:tcPr>
          <w:p w14:paraId="2DEA9D3A" w14:textId="6F22000C" w:rsidR="000B380F" w:rsidRPr="000B380F" w:rsidRDefault="000B380F" w:rsidP="000B380F">
            <w:pPr>
              <w:spacing w:after="0" w:line="240" w:lineRule="auto"/>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Dotace  od Ministerstva dopravy na krytí nákladů na kompenzace dopravcům ve veřejné železniční osobní dopravě</w:t>
            </w:r>
            <w:r w:rsidR="00E00840" w:rsidRPr="000B380F">
              <w:rPr>
                <w:rFonts w:ascii="Calibri" w:eastAsia="Times New Roman" w:hAnsi="Calibri" w:cs="Calibri"/>
                <w:sz w:val="20"/>
                <w:szCs w:val="20"/>
                <w:lang w:eastAsia="cs-CZ"/>
              </w:rPr>
              <w:t xml:space="preserve"> ÚZ 27355 </w:t>
            </w:r>
          </w:p>
        </w:tc>
        <w:tc>
          <w:tcPr>
            <w:tcW w:w="949" w:type="dxa"/>
            <w:tcBorders>
              <w:top w:val="single" w:sz="8" w:space="0" w:color="auto"/>
              <w:left w:val="nil"/>
              <w:bottom w:val="single" w:sz="8" w:space="0" w:color="auto"/>
              <w:right w:val="single" w:sz="4" w:space="0" w:color="auto"/>
            </w:tcBorders>
            <w:shd w:val="clear" w:color="auto" w:fill="auto"/>
            <w:noWrap/>
            <w:vAlign w:val="bottom"/>
            <w:hideMark/>
          </w:tcPr>
          <w:p w14:paraId="1C9E897F" w14:textId="77777777" w:rsidR="000B380F" w:rsidRPr="000B380F" w:rsidRDefault="000B380F" w:rsidP="000B380F">
            <w:pPr>
              <w:spacing w:after="0" w:line="240" w:lineRule="auto"/>
              <w:jc w:val="right"/>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0</w:t>
            </w:r>
          </w:p>
        </w:tc>
        <w:tc>
          <w:tcPr>
            <w:tcW w:w="1690" w:type="dxa"/>
            <w:tcBorders>
              <w:top w:val="single" w:sz="8" w:space="0" w:color="auto"/>
              <w:left w:val="nil"/>
              <w:bottom w:val="nil"/>
              <w:right w:val="single" w:sz="4" w:space="0" w:color="auto"/>
            </w:tcBorders>
            <w:shd w:val="clear" w:color="auto" w:fill="auto"/>
            <w:noWrap/>
            <w:vAlign w:val="bottom"/>
            <w:hideMark/>
          </w:tcPr>
          <w:p w14:paraId="090D954C" w14:textId="77777777" w:rsidR="000B380F" w:rsidRPr="000B380F" w:rsidRDefault="000B380F" w:rsidP="000B380F">
            <w:pPr>
              <w:spacing w:after="0" w:line="240" w:lineRule="auto"/>
              <w:jc w:val="right"/>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563 780 309,00</w:t>
            </w:r>
          </w:p>
        </w:tc>
        <w:tc>
          <w:tcPr>
            <w:tcW w:w="1701" w:type="dxa"/>
            <w:tcBorders>
              <w:top w:val="single" w:sz="8" w:space="0" w:color="auto"/>
              <w:left w:val="nil"/>
              <w:bottom w:val="nil"/>
              <w:right w:val="single" w:sz="4" w:space="0" w:color="auto"/>
            </w:tcBorders>
            <w:shd w:val="clear" w:color="auto" w:fill="auto"/>
            <w:noWrap/>
            <w:vAlign w:val="bottom"/>
            <w:hideMark/>
          </w:tcPr>
          <w:p w14:paraId="69253503" w14:textId="77777777" w:rsidR="000B380F" w:rsidRPr="000B380F" w:rsidRDefault="000B380F" w:rsidP="000B380F">
            <w:pPr>
              <w:spacing w:after="0" w:line="240" w:lineRule="auto"/>
              <w:jc w:val="right"/>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563 780 309,00</w:t>
            </w:r>
          </w:p>
        </w:tc>
        <w:tc>
          <w:tcPr>
            <w:tcW w:w="509" w:type="dxa"/>
            <w:tcBorders>
              <w:top w:val="single" w:sz="8" w:space="0" w:color="auto"/>
              <w:left w:val="nil"/>
              <w:bottom w:val="nil"/>
              <w:right w:val="single" w:sz="8" w:space="0" w:color="auto"/>
            </w:tcBorders>
            <w:shd w:val="clear" w:color="auto" w:fill="auto"/>
            <w:noWrap/>
            <w:vAlign w:val="bottom"/>
            <w:hideMark/>
          </w:tcPr>
          <w:p w14:paraId="536F9AF7" w14:textId="77777777" w:rsidR="000B380F" w:rsidRPr="000B380F" w:rsidRDefault="000B380F" w:rsidP="000B380F">
            <w:pPr>
              <w:spacing w:after="0" w:line="240" w:lineRule="auto"/>
              <w:jc w:val="right"/>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100,0</w:t>
            </w:r>
          </w:p>
        </w:tc>
      </w:tr>
      <w:tr w:rsidR="000B380F" w:rsidRPr="000B380F" w14:paraId="0ED4EB3E" w14:textId="77777777" w:rsidTr="000951D6">
        <w:trPr>
          <w:trHeight w:val="315"/>
        </w:trPr>
        <w:tc>
          <w:tcPr>
            <w:tcW w:w="826" w:type="dxa"/>
            <w:tcBorders>
              <w:top w:val="nil"/>
              <w:left w:val="single" w:sz="8" w:space="0" w:color="auto"/>
              <w:bottom w:val="single" w:sz="8" w:space="0" w:color="auto"/>
              <w:right w:val="single" w:sz="4" w:space="0" w:color="auto"/>
            </w:tcBorders>
            <w:shd w:val="clear" w:color="auto" w:fill="auto"/>
            <w:noWrap/>
            <w:vAlign w:val="bottom"/>
            <w:hideMark/>
          </w:tcPr>
          <w:p w14:paraId="32A1ABB8" w14:textId="77777777" w:rsidR="000B380F" w:rsidRPr="000B380F" w:rsidRDefault="000B380F" w:rsidP="000B380F">
            <w:pPr>
              <w:spacing w:after="0" w:line="240" w:lineRule="auto"/>
              <w:jc w:val="center"/>
              <w:rPr>
                <w:rFonts w:ascii="Calibri" w:eastAsia="Times New Roman" w:hAnsi="Calibri" w:cs="Calibri"/>
                <w:lang w:eastAsia="cs-CZ"/>
              </w:rPr>
            </w:pPr>
            <w:r w:rsidRPr="000B380F">
              <w:rPr>
                <w:rFonts w:ascii="Calibri" w:eastAsia="Times New Roman" w:hAnsi="Calibri" w:cs="Calibri"/>
                <w:lang w:eastAsia="cs-CZ"/>
              </w:rPr>
              <w:t> </w:t>
            </w:r>
          </w:p>
        </w:tc>
        <w:tc>
          <w:tcPr>
            <w:tcW w:w="4473" w:type="dxa"/>
            <w:tcBorders>
              <w:top w:val="nil"/>
              <w:left w:val="nil"/>
              <w:bottom w:val="single" w:sz="8" w:space="0" w:color="auto"/>
              <w:right w:val="single" w:sz="4" w:space="0" w:color="auto"/>
            </w:tcBorders>
            <w:shd w:val="clear" w:color="auto" w:fill="auto"/>
            <w:noWrap/>
            <w:vAlign w:val="bottom"/>
            <w:hideMark/>
          </w:tcPr>
          <w:p w14:paraId="7F45749A" w14:textId="77777777" w:rsidR="000B380F" w:rsidRPr="000B380F" w:rsidRDefault="000B380F" w:rsidP="000B380F">
            <w:pPr>
              <w:spacing w:after="0" w:line="240" w:lineRule="auto"/>
              <w:rPr>
                <w:rFonts w:ascii="Calibri" w:eastAsia="Times New Roman" w:hAnsi="Calibri" w:cs="Calibri"/>
                <w:b/>
                <w:bCs/>
                <w:lang w:eastAsia="cs-CZ"/>
              </w:rPr>
            </w:pPr>
            <w:r w:rsidRPr="000B380F">
              <w:rPr>
                <w:rFonts w:ascii="Calibri" w:eastAsia="Times New Roman" w:hAnsi="Calibri" w:cs="Calibri"/>
                <w:b/>
                <w:bCs/>
                <w:lang w:eastAsia="cs-CZ"/>
              </w:rPr>
              <w:t>Celkem</w:t>
            </w:r>
          </w:p>
        </w:tc>
        <w:tc>
          <w:tcPr>
            <w:tcW w:w="949" w:type="dxa"/>
            <w:tcBorders>
              <w:top w:val="nil"/>
              <w:left w:val="nil"/>
              <w:bottom w:val="single" w:sz="8" w:space="0" w:color="auto"/>
              <w:right w:val="single" w:sz="4" w:space="0" w:color="auto"/>
            </w:tcBorders>
            <w:shd w:val="clear" w:color="auto" w:fill="auto"/>
            <w:noWrap/>
            <w:vAlign w:val="bottom"/>
            <w:hideMark/>
          </w:tcPr>
          <w:p w14:paraId="26973215" w14:textId="77777777" w:rsidR="000B380F" w:rsidRPr="000B380F" w:rsidRDefault="000B380F" w:rsidP="000B380F">
            <w:pPr>
              <w:spacing w:after="0" w:line="240" w:lineRule="auto"/>
              <w:jc w:val="right"/>
              <w:rPr>
                <w:rFonts w:ascii="Calibri" w:eastAsia="Times New Roman" w:hAnsi="Calibri" w:cs="Calibri"/>
                <w:b/>
                <w:bCs/>
                <w:lang w:eastAsia="cs-CZ"/>
              </w:rPr>
            </w:pPr>
            <w:r w:rsidRPr="000B380F">
              <w:rPr>
                <w:rFonts w:ascii="Calibri" w:eastAsia="Times New Roman" w:hAnsi="Calibri" w:cs="Calibri"/>
                <w:b/>
                <w:bCs/>
                <w:lang w:eastAsia="cs-CZ"/>
              </w:rPr>
              <w:t>0</w:t>
            </w:r>
          </w:p>
        </w:tc>
        <w:tc>
          <w:tcPr>
            <w:tcW w:w="1690" w:type="dxa"/>
            <w:tcBorders>
              <w:top w:val="single" w:sz="8" w:space="0" w:color="auto"/>
              <w:left w:val="nil"/>
              <w:bottom w:val="single" w:sz="8" w:space="0" w:color="auto"/>
              <w:right w:val="single" w:sz="4" w:space="0" w:color="auto"/>
            </w:tcBorders>
            <w:shd w:val="clear" w:color="auto" w:fill="auto"/>
            <w:noWrap/>
            <w:vAlign w:val="bottom"/>
            <w:hideMark/>
          </w:tcPr>
          <w:p w14:paraId="1169061B" w14:textId="77777777" w:rsidR="000B380F" w:rsidRPr="000B380F" w:rsidRDefault="000B380F" w:rsidP="000B380F">
            <w:pPr>
              <w:spacing w:after="0" w:line="240" w:lineRule="auto"/>
              <w:jc w:val="right"/>
              <w:rPr>
                <w:rFonts w:ascii="Calibri" w:eastAsia="Times New Roman" w:hAnsi="Calibri" w:cs="Calibri"/>
                <w:b/>
                <w:bCs/>
                <w:lang w:eastAsia="cs-CZ"/>
              </w:rPr>
            </w:pPr>
            <w:r w:rsidRPr="000B380F">
              <w:rPr>
                <w:rFonts w:ascii="Calibri" w:eastAsia="Times New Roman" w:hAnsi="Calibri" w:cs="Calibri"/>
                <w:b/>
                <w:bCs/>
                <w:lang w:eastAsia="cs-CZ"/>
              </w:rPr>
              <w:t>563 780 309,00</w:t>
            </w:r>
          </w:p>
        </w:tc>
        <w:tc>
          <w:tcPr>
            <w:tcW w:w="1701" w:type="dxa"/>
            <w:tcBorders>
              <w:top w:val="single" w:sz="8" w:space="0" w:color="auto"/>
              <w:left w:val="nil"/>
              <w:bottom w:val="single" w:sz="8" w:space="0" w:color="auto"/>
              <w:right w:val="single" w:sz="4" w:space="0" w:color="auto"/>
            </w:tcBorders>
            <w:shd w:val="clear" w:color="auto" w:fill="auto"/>
            <w:noWrap/>
            <w:vAlign w:val="bottom"/>
            <w:hideMark/>
          </w:tcPr>
          <w:p w14:paraId="051BEF50" w14:textId="77777777" w:rsidR="000B380F" w:rsidRPr="000B380F" w:rsidRDefault="000B380F" w:rsidP="000B380F">
            <w:pPr>
              <w:spacing w:after="0" w:line="240" w:lineRule="auto"/>
              <w:jc w:val="right"/>
              <w:rPr>
                <w:rFonts w:ascii="Calibri" w:eastAsia="Times New Roman" w:hAnsi="Calibri" w:cs="Calibri"/>
                <w:b/>
                <w:bCs/>
                <w:lang w:eastAsia="cs-CZ"/>
              </w:rPr>
            </w:pPr>
            <w:r w:rsidRPr="000B380F">
              <w:rPr>
                <w:rFonts w:ascii="Calibri" w:eastAsia="Times New Roman" w:hAnsi="Calibri" w:cs="Calibri"/>
                <w:b/>
                <w:bCs/>
                <w:lang w:eastAsia="cs-CZ"/>
              </w:rPr>
              <w:t>563 780 309,00</w:t>
            </w:r>
          </w:p>
        </w:tc>
        <w:tc>
          <w:tcPr>
            <w:tcW w:w="509" w:type="dxa"/>
            <w:tcBorders>
              <w:top w:val="single" w:sz="8" w:space="0" w:color="auto"/>
              <w:left w:val="nil"/>
              <w:bottom w:val="single" w:sz="8" w:space="0" w:color="auto"/>
              <w:right w:val="single" w:sz="8" w:space="0" w:color="auto"/>
            </w:tcBorders>
            <w:shd w:val="clear" w:color="auto" w:fill="auto"/>
            <w:noWrap/>
            <w:vAlign w:val="bottom"/>
            <w:hideMark/>
          </w:tcPr>
          <w:p w14:paraId="1BB877B4" w14:textId="77777777" w:rsidR="000B380F" w:rsidRPr="000B380F" w:rsidRDefault="000B380F" w:rsidP="000B380F">
            <w:pPr>
              <w:spacing w:after="0" w:line="240" w:lineRule="auto"/>
              <w:jc w:val="right"/>
              <w:rPr>
                <w:rFonts w:ascii="Calibri" w:eastAsia="Times New Roman" w:hAnsi="Calibri" w:cs="Calibri"/>
                <w:b/>
                <w:bCs/>
                <w:lang w:eastAsia="cs-CZ"/>
              </w:rPr>
            </w:pPr>
            <w:r w:rsidRPr="000B380F">
              <w:rPr>
                <w:rFonts w:ascii="Calibri" w:eastAsia="Times New Roman" w:hAnsi="Calibri" w:cs="Calibri"/>
                <w:b/>
                <w:bCs/>
                <w:lang w:eastAsia="cs-CZ"/>
              </w:rPr>
              <w:t>100,0</w:t>
            </w:r>
          </w:p>
        </w:tc>
      </w:tr>
      <w:tr w:rsidR="000B380F" w:rsidRPr="000B380F" w14:paraId="73B61A27" w14:textId="77777777" w:rsidTr="000951D6">
        <w:trPr>
          <w:trHeight w:val="255"/>
        </w:trPr>
        <w:tc>
          <w:tcPr>
            <w:tcW w:w="826" w:type="dxa"/>
            <w:tcBorders>
              <w:top w:val="nil"/>
              <w:left w:val="nil"/>
              <w:bottom w:val="nil"/>
              <w:right w:val="nil"/>
            </w:tcBorders>
            <w:shd w:val="clear" w:color="000000" w:fill="FFFFFF"/>
            <w:noWrap/>
            <w:vAlign w:val="center"/>
            <w:hideMark/>
          </w:tcPr>
          <w:p w14:paraId="19515B81" w14:textId="77777777" w:rsidR="000B380F" w:rsidRPr="000B380F" w:rsidRDefault="000B380F" w:rsidP="000B380F">
            <w:pPr>
              <w:spacing w:after="0" w:line="240" w:lineRule="auto"/>
              <w:jc w:val="center"/>
              <w:rPr>
                <w:rFonts w:ascii="Calibri" w:eastAsia="Times New Roman" w:hAnsi="Calibri" w:cs="Calibri"/>
                <w:sz w:val="24"/>
                <w:szCs w:val="24"/>
                <w:lang w:eastAsia="cs-CZ"/>
              </w:rPr>
            </w:pPr>
            <w:r w:rsidRPr="000B380F">
              <w:rPr>
                <w:rFonts w:ascii="Calibri" w:eastAsia="Times New Roman" w:hAnsi="Calibri" w:cs="Calibri"/>
                <w:sz w:val="24"/>
                <w:szCs w:val="24"/>
                <w:lang w:eastAsia="cs-CZ"/>
              </w:rPr>
              <w:t> </w:t>
            </w:r>
          </w:p>
        </w:tc>
        <w:tc>
          <w:tcPr>
            <w:tcW w:w="4473" w:type="dxa"/>
            <w:tcBorders>
              <w:top w:val="nil"/>
              <w:left w:val="nil"/>
              <w:bottom w:val="nil"/>
              <w:right w:val="nil"/>
            </w:tcBorders>
            <w:shd w:val="clear" w:color="auto" w:fill="auto"/>
            <w:noWrap/>
            <w:vAlign w:val="bottom"/>
            <w:hideMark/>
          </w:tcPr>
          <w:p w14:paraId="61301D42" w14:textId="77777777" w:rsidR="000B380F" w:rsidRPr="000B380F" w:rsidRDefault="000B380F" w:rsidP="000B380F">
            <w:pPr>
              <w:spacing w:after="0" w:line="240" w:lineRule="auto"/>
              <w:jc w:val="center"/>
              <w:rPr>
                <w:rFonts w:ascii="Calibri" w:eastAsia="Times New Roman" w:hAnsi="Calibri" w:cs="Calibri"/>
                <w:sz w:val="24"/>
                <w:szCs w:val="24"/>
                <w:lang w:eastAsia="cs-CZ"/>
              </w:rPr>
            </w:pPr>
          </w:p>
        </w:tc>
        <w:tc>
          <w:tcPr>
            <w:tcW w:w="949" w:type="dxa"/>
            <w:tcBorders>
              <w:top w:val="nil"/>
              <w:left w:val="nil"/>
              <w:bottom w:val="nil"/>
              <w:right w:val="nil"/>
            </w:tcBorders>
            <w:shd w:val="clear" w:color="auto" w:fill="auto"/>
            <w:noWrap/>
            <w:vAlign w:val="bottom"/>
            <w:hideMark/>
          </w:tcPr>
          <w:p w14:paraId="0DDF4C10" w14:textId="77777777" w:rsidR="000B380F" w:rsidRPr="000B380F" w:rsidRDefault="000B380F" w:rsidP="000B380F">
            <w:pPr>
              <w:spacing w:after="0" w:line="240" w:lineRule="auto"/>
              <w:rPr>
                <w:rFonts w:ascii="Times New Roman" w:eastAsia="Times New Roman" w:hAnsi="Times New Roman" w:cs="Times New Roman"/>
                <w:sz w:val="20"/>
                <w:szCs w:val="20"/>
                <w:lang w:eastAsia="cs-CZ"/>
              </w:rPr>
            </w:pPr>
          </w:p>
        </w:tc>
        <w:tc>
          <w:tcPr>
            <w:tcW w:w="1690" w:type="dxa"/>
            <w:tcBorders>
              <w:top w:val="nil"/>
              <w:left w:val="nil"/>
              <w:bottom w:val="nil"/>
              <w:right w:val="nil"/>
            </w:tcBorders>
            <w:shd w:val="clear" w:color="auto" w:fill="auto"/>
            <w:noWrap/>
            <w:vAlign w:val="bottom"/>
            <w:hideMark/>
          </w:tcPr>
          <w:p w14:paraId="4A75C88B" w14:textId="77777777" w:rsidR="000B380F" w:rsidRPr="000B380F" w:rsidRDefault="000B380F" w:rsidP="000B380F">
            <w:pPr>
              <w:spacing w:after="0" w:line="240" w:lineRule="auto"/>
              <w:rPr>
                <w:rFonts w:ascii="Times New Roman" w:eastAsia="Times New Roman" w:hAnsi="Times New Roman" w:cs="Times New Roman"/>
                <w:sz w:val="20"/>
                <w:szCs w:val="20"/>
                <w:lang w:eastAsia="cs-CZ"/>
              </w:rPr>
            </w:pPr>
          </w:p>
        </w:tc>
        <w:tc>
          <w:tcPr>
            <w:tcW w:w="1701" w:type="dxa"/>
            <w:tcBorders>
              <w:top w:val="nil"/>
              <w:left w:val="nil"/>
              <w:bottom w:val="nil"/>
              <w:right w:val="nil"/>
            </w:tcBorders>
            <w:shd w:val="clear" w:color="auto" w:fill="auto"/>
            <w:noWrap/>
            <w:vAlign w:val="bottom"/>
            <w:hideMark/>
          </w:tcPr>
          <w:p w14:paraId="239B6852" w14:textId="77777777" w:rsidR="000B380F" w:rsidRPr="000B380F" w:rsidRDefault="000B380F" w:rsidP="000B380F">
            <w:pPr>
              <w:spacing w:after="0" w:line="240" w:lineRule="auto"/>
              <w:jc w:val="right"/>
              <w:rPr>
                <w:rFonts w:ascii="Times New Roman" w:eastAsia="Times New Roman" w:hAnsi="Times New Roman" w:cs="Times New Roman"/>
                <w:sz w:val="20"/>
                <w:szCs w:val="20"/>
                <w:lang w:eastAsia="cs-CZ"/>
              </w:rPr>
            </w:pPr>
          </w:p>
        </w:tc>
        <w:tc>
          <w:tcPr>
            <w:tcW w:w="509" w:type="dxa"/>
            <w:tcBorders>
              <w:top w:val="nil"/>
              <w:left w:val="nil"/>
              <w:bottom w:val="nil"/>
              <w:right w:val="nil"/>
            </w:tcBorders>
            <w:shd w:val="clear" w:color="auto" w:fill="auto"/>
            <w:noWrap/>
            <w:vAlign w:val="bottom"/>
            <w:hideMark/>
          </w:tcPr>
          <w:p w14:paraId="1BFDD3E1" w14:textId="77777777" w:rsidR="000B380F" w:rsidRPr="000B380F" w:rsidRDefault="000B380F" w:rsidP="000B380F">
            <w:pPr>
              <w:spacing w:after="0" w:line="240" w:lineRule="auto"/>
              <w:jc w:val="right"/>
              <w:rPr>
                <w:rFonts w:ascii="Times New Roman" w:eastAsia="Times New Roman" w:hAnsi="Times New Roman" w:cs="Times New Roman"/>
                <w:sz w:val="20"/>
                <w:szCs w:val="20"/>
                <w:lang w:eastAsia="cs-CZ"/>
              </w:rPr>
            </w:pPr>
          </w:p>
        </w:tc>
      </w:tr>
      <w:tr w:rsidR="000B380F" w:rsidRPr="000B380F" w14:paraId="051EE3C6" w14:textId="77777777" w:rsidTr="000951D6">
        <w:trPr>
          <w:trHeight w:val="315"/>
        </w:trPr>
        <w:tc>
          <w:tcPr>
            <w:tcW w:w="5299"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2C164BF2" w14:textId="77777777" w:rsidR="000B380F" w:rsidRPr="000B380F" w:rsidRDefault="000B380F" w:rsidP="000B380F">
            <w:pPr>
              <w:spacing w:after="0" w:line="240" w:lineRule="auto"/>
              <w:rPr>
                <w:rFonts w:ascii="Calibri" w:eastAsia="Times New Roman" w:hAnsi="Calibri" w:cs="Calibri"/>
                <w:b/>
                <w:bCs/>
                <w:sz w:val="24"/>
                <w:szCs w:val="24"/>
                <w:lang w:eastAsia="cs-CZ"/>
              </w:rPr>
            </w:pPr>
            <w:r w:rsidRPr="000B380F">
              <w:rPr>
                <w:rFonts w:ascii="Calibri" w:eastAsia="Times New Roman" w:hAnsi="Calibri" w:cs="Calibri"/>
                <w:b/>
                <w:bCs/>
                <w:sz w:val="24"/>
                <w:szCs w:val="24"/>
                <w:lang w:eastAsia="cs-CZ"/>
              </w:rPr>
              <w:t>Celkem výdaje</w:t>
            </w:r>
          </w:p>
        </w:tc>
        <w:tc>
          <w:tcPr>
            <w:tcW w:w="949" w:type="dxa"/>
            <w:tcBorders>
              <w:top w:val="single" w:sz="8" w:space="0" w:color="auto"/>
              <w:left w:val="nil"/>
              <w:bottom w:val="single" w:sz="8" w:space="0" w:color="auto"/>
              <w:right w:val="single" w:sz="8" w:space="0" w:color="auto"/>
            </w:tcBorders>
            <w:shd w:val="clear" w:color="auto" w:fill="auto"/>
            <w:noWrap/>
            <w:vAlign w:val="bottom"/>
            <w:hideMark/>
          </w:tcPr>
          <w:p w14:paraId="6E6C4D77" w14:textId="77777777" w:rsidR="000B380F" w:rsidRPr="000B380F" w:rsidRDefault="000B380F" w:rsidP="000B380F">
            <w:pPr>
              <w:spacing w:after="0" w:line="240" w:lineRule="auto"/>
              <w:jc w:val="right"/>
              <w:rPr>
                <w:rFonts w:ascii="Calibri" w:eastAsia="Times New Roman" w:hAnsi="Calibri" w:cs="Calibri"/>
                <w:b/>
                <w:bCs/>
                <w:lang w:eastAsia="cs-CZ"/>
              </w:rPr>
            </w:pPr>
            <w:r w:rsidRPr="000B380F">
              <w:rPr>
                <w:rFonts w:ascii="Calibri" w:eastAsia="Times New Roman" w:hAnsi="Calibri" w:cs="Calibri"/>
                <w:b/>
                <w:bCs/>
                <w:lang w:eastAsia="cs-CZ"/>
              </w:rPr>
              <w:t>0</w:t>
            </w:r>
          </w:p>
        </w:tc>
        <w:tc>
          <w:tcPr>
            <w:tcW w:w="1690" w:type="dxa"/>
            <w:tcBorders>
              <w:top w:val="single" w:sz="8" w:space="0" w:color="auto"/>
              <w:left w:val="nil"/>
              <w:bottom w:val="single" w:sz="8" w:space="0" w:color="auto"/>
              <w:right w:val="single" w:sz="8" w:space="0" w:color="auto"/>
            </w:tcBorders>
            <w:shd w:val="clear" w:color="auto" w:fill="auto"/>
            <w:noWrap/>
            <w:vAlign w:val="bottom"/>
            <w:hideMark/>
          </w:tcPr>
          <w:p w14:paraId="4BE4C42B" w14:textId="77777777" w:rsidR="000B380F" w:rsidRPr="000B380F" w:rsidRDefault="000B380F" w:rsidP="000B380F">
            <w:pPr>
              <w:spacing w:after="0" w:line="240" w:lineRule="auto"/>
              <w:jc w:val="right"/>
              <w:rPr>
                <w:rFonts w:ascii="Calibri" w:eastAsia="Times New Roman" w:hAnsi="Calibri" w:cs="Calibri"/>
                <w:b/>
                <w:bCs/>
                <w:lang w:eastAsia="cs-CZ"/>
              </w:rPr>
            </w:pPr>
            <w:r w:rsidRPr="000B380F">
              <w:rPr>
                <w:rFonts w:ascii="Calibri" w:eastAsia="Times New Roman" w:hAnsi="Calibri" w:cs="Calibri"/>
                <w:b/>
                <w:bCs/>
                <w:lang w:eastAsia="cs-CZ"/>
              </w:rPr>
              <w:t>3 341 462 103,45</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22467BDE" w14:textId="77777777" w:rsidR="000B380F" w:rsidRPr="000B380F" w:rsidRDefault="000B380F" w:rsidP="000B380F">
            <w:pPr>
              <w:spacing w:after="0" w:line="240" w:lineRule="auto"/>
              <w:jc w:val="right"/>
              <w:rPr>
                <w:rFonts w:ascii="Calibri" w:eastAsia="Times New Roman" w:hAnsi="Calibri" w:cs="Calibri"/>
                <w:b/>
                <w:bCs/>
                <w:lang w:eastAsia="cs-CZ"/>
              </w:rPr>
            </w:pPr>
            <w:r w:rsidRPr="000B380F">
              <w:rPr>
                <w:rFonts w:ascii="Calibri" w:eastAsia="Times New Roman" w:hAnsi="Calibri" w:cs="Calibri"/>
                <w:b/>
                <w:bCs/>
                <w:lang w:eastAsia="cs-CZ"/>
              </w:rPr>
              <w:t>3 308 429 776,34</w:t>
            </w:r>
          </w:p>
        </w:tc>
        <w:tc>
          <w:tcPr>
            <w:tcW w:w="509"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14:paraId="050AA9C0" w14:textId="77777777" w:rsidR="000B380F" w:rsidRPr="000B380F" w:rsidRDefault="000B380F" w:rsidP="000B380F">
            <w:pPr>
              <w:spacing w:after="0" w:line="240" w:lineRule="auto"/>
              <w:jc w:val="right"/>
              <w:rPr>
                <w:rFonts w:ascii="Calibri" w:eastAsia="Times New Roman" w:hAnsi="Calibri" w:cs="Calibri"/>
                <w:b/>
                <w:bCs/>
                <w:lang w:eastAsia="cs-CZ"/>
              </w:rPr>
            </w:pPr>
            <w:r w:rsidRPr="000B380F">
              <w:rPr>
                <w:rFonts w:ascii="Calibri" w:eastAsia="Times New Roman" w:hAnsi="Calibri" w:cs="Calibri"/>
                <w:b/>
                <w:bCs/>
                <w:lang w:eastAsia="cs-CZ"/>
              </w:rPr>
              <w:t>99,0</w:t>
            </w:r>
          </w:p>
        </w:tc>
      </w:tr>
    </w:tbl>
    <w:p w14:paraId="6F13D3BC" w14:textId="0CB28E52" w:rsidR="000B380F" w:rsidRDefault="000B380F" w:rsidP="0013179B">
      <w:pPr>
        <w:rPr>
          <w:rFonts w:cs="Calibri"/>
        </w:rPr>
      </w:pPr>
    </w:p>
    <w:p w14:paraId="49566863" w14:textId="77777777" w:rsidR="00A94C91" w:rsidRPr="00715FC1" w:rsidRDefault="00A94C91" w:rsidP="00A94C91">
      <w:pPr>
        <w:spacing w:after="0" w:line="240" w:lineRule="auto"/>
        <w:jc w:val="both"/>
        <w:rPr>
          <w:rFonts w:eastAsia="Calibri" w:cstheme="minorHAnsi"/>
          <w:b/>
          <w:sz w:val="28"/>
          <w:szCs w:val="28"/>
          <w:u w:val="single"/>
        </w:rPr>
      </w:pPr>
      <w:r w:rsidRPr="00715FC1">
        <w:rPr>
          <w:rFonts w:eastAsia="Calibri" w:cstheme="minorHAnsi"/>
          <w:b/>
          <w:sz w:val="28"/>
          <w:szCs w:val="28"/>
          <w:u w:val="single"/>
        </w:rPr>
        <w:t xml:space="preserve">Kapitola 26 - Veřejná mobilita </w:t>
      </w:r>
    </w:p>
    <w:p w14:paraId="12EF70C4" w14:textId="77777777" w:rsidR="00A94C91" w:rsidRPr="00715FC1" w:rsidRDefault="00A94C91" w:rsidP="00A94C91">
      <w:pPr>
        <w:spacing w:after="0" w:line="240" w:lineRule="auto"/>
        <w:jc w:val="both"/>
        <w:rPr>
          <w:rFonts w:eastAsia="Calibri" w:cstheme="minorHAnsi"/>
          <w:u w:val="single"/>
        </w:rPr>
      </w:pPr>
    </w:p>
    <w:p w14:paraId="06C5B7AB" w14:textId="77777777" w:rsidR="00A94C91" w:rsidRPr="00715FC1" w:rsidRDefault="00A94C91" w:rsidP="00A94C91">
      <w:pPr>
        <w:spacing w:after="0" w:line="240" w:lineRule="auto"/>
        <w:jc w:val="both"/>
        <w:rPr>
          <w:rFonts w:cstheme="minorHAnsi"/>
        </w:rPr>
      </w:pPr>
      <w:r w:rsidRPr="00715FC1">
        <w:rPr>
          <w:rFonts w:cstheme="minorHAnsi"/>
        </w:rPr>
        <w:t>Kapitola 26 – Veřejná mobilita vznikla k 1. 4. 2021 v souvislosti s organizačními změnami na KÚSK (Opatření č. 3, kterým se mění Organizační řád KÚSK) na základě vydaného Opatření č. 6 ke Směrnici č. 152, o rozpočtu Středočeského kraje.</w:t>
      </w:r>
    </w:p>
    <w:p w14:paraId="6A23D1E4" w14:textId="77777777" w:rsidR="00A94C91" w:rsidRDefault="00A94C91" w:rsidP="00A94C91">
      <w:pPr>
        <w:spacing w:after="0" w:line="240" w:lineRule="auto"/>
        <w:jc w:val="both"/>
        <w:rPr>
          <w:rFonts w:eastAsia="Calibri" w:cstheme="minorHAnsi"/>
          <w:u w:val="single"/>
        </w:rPr>
      </w:pPr>
    </w:p>
    <w:p w14:paraId="30B9EB31" w14:textId="77777777" w:rsidR="00A94C91" w:rsidRPr="00715FC1" w:rsidRDefault="00A94C91" w:rsidP="00A94C91">
      <w:pPr>
        <w:spacing w:after="0" w:line="240" w:lineRule="auto"/>
        <w:jc w:val="both"/>
        <w:rPr>
          <w:rFonts w:eastAsia="Calibri" w:cstheme="minorHAnsi"/>
          <w:b/>
          <w:sz w:val="24"/>
          <w:szCs w:val="24"/>
          <w:u w:val="single"/>
        </w:rPr>
      </w:pPr>
      <w:r w:rsidRPr="00715FC1">
        <w:rPr>
          <w:rFonts w:eastAsia="Calibri" w:cstheme="minorHAnsi"/>
          <w:b/>
          <w:sz w:val="24"/>
          <w:szCs w:val="24"/>
          <w:u w:val="single"/>
        </w:rPr>
        <w:t>Běžné výdaje</w:t>
      </w:r>
    </w:p>
    <w:p w14:paraId="67809595" w14:textId="77777777" w:rsidR="00A94C91" w:rsidRPr="00715FC1" w:rsidRDefault="00A94C91" w:rsidP="00A94C91">
      <w:pPr>
        <w:spacing w:after="0" w:line="240" w:lineRule="auto"/>
        <w:jc w:val="both"/>
        <w:rPr>
          <w:rFonts w:eastAsia="Calibri" w:cstheme="minorHAnsi"/>
        </w:rPr>
      </w:pPr>
    </w:p>
    <w:p w14:paraId="4AF76CB7" w14:textId="77777777" w:rsidR="00A94C91" w:rsidRPr="00715FC1" w:rsidRDefault="00A94C91" w:rsidP="00A94C91">
      <w:pPr>
        <w:spacing w:after="0" w:line="240" w:lineRule="auto"/>
        <w:jc w:val="both"/>
        <w:rPr>
          <w:rFonts w:eastAsia="Calibri" w:cstheme="minorHAnsi"/>
          <w:b/>
        </w:rPr>
      </w:pPr>
      <w:r w:rsidRPr="00715FC1">
        <w:rPr>
          <w:rFonts w:eastAsia="Calibri" w:cstheme="minorHAnsi"/>
          <w:b/>
        </w:rPr>
        <w:t>§ 2219 – Ostatní záležitosti pozemních komunikací - cyklodoprava</w:t>
      </w:r>
    </w:p>
    <w:p w14:paraId="2CDF907C" w14:textId="77777777" w:rsidR="0052060D" w:rsidRPr="00715FC1" w:rsidRDefault="0052060D" w:rsidP="0052060D">
      <w:pPr>
        <w:autoSpaceDE w:val="0"/>
        <w:autoSpaceDN w:val="0"/>
        <w:adjustRightInd w:val="0"/>
        <w:spacing w:after="0" w:line="240" w:lineRule="auto"/>
        <w:jc w:val="both"/>
        <w:rPr>
          <w:rFonts w:eastAsia="Times New Roman" w:cstheme="minorHAnsi"/>
          <w:lang w:eastAsia="cs-CZ"/>
        </w:rPr>
      </w:pPr>
      <w:r w:rsidRPr="00715FC1">
        <w:rPr>
          <w:rFonts w:eastAsia="Times New Roman" w:cstheme="minorHAnsi"/>
          <w:lang w:eastAsia="cs-CZ"/>
        </w:rPr>
        <w:t>V souvislosti se zřízením nového Odboru veřejné mobility k 1. 4. 2021 bylo z kapitoly 04 – Doprava usnesením č. 039-15/2021/RK ze dne 1. 4. 2021 na kapitolu 26 - Veřejná mobilita převedeno 499 090,80 Kč.</w:t>
      </w:r>
    </w:p>
    <w:p w14:paraId="0D88DC30" w14:textId="60FAAB2E" w:rsidR="00A94C91" w:rsidRPr="00715FC1" w:rsidRDefault="00A94C91" w:rsidP="00A94C91">
      <w:pPr>
        <w:autoSpaceDE w:val="0"/>
        <w:autoSpaceDN w:val="0"/>
        <w:adjustRightInd w:val="0"/>
        <w:spacing w:after="0" w:line="240" w:lineRule="auto"/>
        <w:jc w:val="both"/>
        <w:rPr>
          <w:rFonts w:eastAsia="Times New Roman" w:cstheme="minorHAnsi"/>
          <w:lang w:eastAsia="cs-CZ"/>
        </w:rPr>
      </w:pPr>
      <w:r w:rsidRPr="00715FC1">
        <w:rPr>
          <w:rFonts w:eastAsia="Times New Roman" w:cstheme="minorHAnsi"/>
          <w:lang w:eastAsia="cs-CZ"/>
        </w:rPr>
        <w:t xml:space="preserve">Finanční prostředky na úhradu nájemného za pozemky u cyklostezek byly čerpány ve výši 140 700,50 Kč. </w:t>
      </w:r>
    </w:p>
    <w:p w14:paraId="376F8CA9" w14:textId="77777777" w:rsidR="00A94C91" w:rsidRPr="00715FC1" w:rsidRDefault="00A94C91" w:rsidP="00A94C91">
      <w:pPr>
        <w:spacing w:after="0" w:line="240" w:lineRule="auto"/>
        <w:jc w:val="both"/>
        <w:rPr>
          <w:rFonts w:eastAsia="Calibri" w:cstheme="minorHAnsi"/>
          <w:b/>
          <w:bCs/>
        </w:rPr>
      </w:pPr>
    </w:p>
    <w:p w14:paraId="4D73F274" w14:textId="77777777" w:rsidR="00A94C91" w:rsidRPr="00715FC1" w:rsidRDefault="00A94C91" w:rsidP="00A94C91">
      <w:pPr>
        <w:spacing w:after="0" w:line="240" w:lineRule="auto"/>
        <w:jc w:val="both"/>
        <w:rPr>
          <w:rFonts w:eastAsia="Calibri" w:cstheme="minorHAnsi"/>
          <w:b/>
          <w:bCs/>
        </w:rPr>
      </w:pPr>
      <w:r w:rsidRPr="00715FC1">
        <w:rPr>
          <w:rFonts w:eastAsia="Calibri" w:cstheme="minorHAnsi"/>
          <w:b/>
          <w:bCs/>
        </w:rPr>
        <w:t>§ 2239 – Ostatní záležitosti vnitrozemské plavby - dotace přívozy</w:t>
      </w:r>
    </w:p>
    <w:p w14:paraId="74293BC8" w14:textId="5A95FA39" w:rsidR="00A94C91" w:rsidRPr="00715FC1" w:rsidRDefault="0052060D" w:rsidP="00A94C91">
      <w:pPr>
        <w:spacing w:after="0" w:line="240" w:lineRule="auto"/>
        <w:jc w:val="both"/>
        <w:rPr>
          <w:rFonts w:eastAsia="Times New Roman" w:cstheme="minorHAnsi"/>
          <w:lang w:eastAsia="cs-CZ"/>
        </w:rPr>
      </w:pPr>
      <w:r w:rsidRPr="00715FC1">
        <w:rPr>
          <w:rFonts w:eastAsia="Times New Roman" w:cstheme="minorHAnsi"/>
          <w:lang w:eastAsia="cs-CZ"/>
        </w:rPr>
        <w:t xml:space="preserve">Usnesením č. 039-15/2021/RK ze dne 1. 4. 2021 bylo na kapitolu 26 - Veřejná mobilita z kapitoly 04 – Doprava převedeno </w:t>
      </w:r>
      <w:r w:rsidRPr="00715FC1">
        <w:rPr>
          <w:rFonts w:eastAsia="Calibri" w:cstheme="minorHAnsi"/>
        </w:rPr>
        <w:t xml:space="preserve">3 570 000,00 </w:t>
      </w:r>
      <w:r w:rsidRPr="00715FC1">
        <w:rPr>
          <w:rFonts w:eastAsia="Times New Roman" w:cstheme="minorHAnsi"/>
          <w:lang w:eastAsia="cs-CZ"/>
        </w:rPr>
        <w:t>Kč.</w:t>
      </w:r>
      <w:r>
        <w:rPr>
          <w:rFonts w:eastAsia="Times New Roman" w:cstheme="minorHAnsi"/>
          <w:lang w:eastAsia="cs-CZ"/>
        </w:rPr>
        <w:t xml:space="preserve"> </w:t>
      </w:r>
      <w:r w:rsidR="00A94C91" w:rsidRPr="00715FC1">
        <w:rPr>
          <w:rFonts w:eastAsia="Times New Roman" w:cstheme="minorHAnsi"/>
          <w:lang w:eastAsia="cs-CZ"/>
        </w:rPr>
        <w:t>Dotace</w:t>
      </w:r>
      <w:r>
        <w:rPr>
          <w:rFonts w:eastAsia="Times New Roman" w:cstheme="minorHAnsi"/>
          <w:lang w:eastAsia="cs-CZ"/>
        </w:rPr>
        <w:t xml:space="preserve"> na podporu středočeských přívozů</w:t>
      </w:r>
      <w:r w:rsidR="00A94C91" w:rsidRPr="00715FC1">
        <w:rPr>
          <w:rFonts w:eastAsia="Times New Roman" w:cstheme="minorHAnsi"/>
          <w:lang w:eastAsia="cs-CZ"/>
        </w:rPr>
        <w:t xml:space="preserve"> </w:t>
      </w:r>
      <w:r w:rsidR="00A94C91" w:rsidRPr="00715FC1">
        <w:rPr>
          <w:rFonts w:eastAsia="Calibri" w:cstheme="minorHAnsi"/>
        </w:rPr>
        <w:t>ve výši 3 570 000,00 Kč</w:t>
      </w:r>
      <w:r w:rsidR="00A94C91" w:rsidRPr="00715FC1">
        <w:rPr>
          <w:rFonts w:eastAsia="Times New Roman" w:cstheme="minorHAnsi"/>
          <w:lang w:eastAsia="cs-CZ"/>
        </w:rPr>
        <w:t xml:space="preserve"> byly </w:t>
      </w:r>
      <w:r>
        <w:rPr>
          <w:rFonts w:eastAsia="Times New Roman" w:cstheme="minorHAnsi"/>
          <w:lang w:eastAsia="cs-CZ"/>
        </w:rPr>
        <w:t>poskytnuty na základě usnesení č. 023-08/2021/ZK ze dne 28. 6. 2021.</w:t>
      </w:r>
      <w:r w:rsidR="00A94C91" w:rsidRPr="00715FC1">
        <w:rPr>
          <w:rFonts w:eastAsia="Times New Roman" w:cstheme="minorHAnsi"/>
          <w:lang w:eastAsia="cs-CZ"/>
        </w:rPr>
        <w:t xml:space="preserve"> </w:t>
      </w:r>
      <w:r>
        <w:rPr>
          <w:rFonts w:eastAsia="Times New Roman" w:cstheme="minorHAnsi"/>
          <w:lang w:eastAsia="cs-CZ"/>
        </w:rPr>
        <w:t>Čerpáno 100,0 %.</w:t>
      </w:r>
    </w:p>
    <w:p w14:paraId="6CE75A38" w14:textId="77777777" w:rsidR="00A94C91" w:rsidRPr="00715FC1" w:rsidRDefault="00A94C91" w:rsidP="00A94C91">
      <w:pPr>
        <w:spacing w:after="0" w:line="240" w:lineRule="auto"/>
        <w:jc w:val="both"/>
        <w:rPr>
          <w:rFonts w:eastAsia="Times New Roman" w:cstheme="minorHAnsi"/>
          <w:lang w:eastAsia="cs-CZ"/>
        </w:rPr>
      </w:pPr>
    </w:p>
    <w:p w14:paraId="027D0C36" w14:textId="77777777" w:rsidR="00A94C91" w:rsidRPr="00715FC1" w:rsidRDefault="00A94C91" w:rsidP="00A94C91">
      <w:pPr>
        <w:spacing w:after="0" w:line="240" w:lineRule="auto"/>
        <w:jc w:val="both"/>
        <w:rPr>
          <w:rFonts w:eastAsia="Calibri" w:cstheme="minorHAnsi"/>
          <w:b/>
        </w:rPr>
      </w:pPr>
      <w:r w:rsidRPr="00715FC1">
        <w:rPr>
          <w:rFonts w:eastAsia="Calibri" w:cstheme="minorHAnsi"/>
          <w:b/>
          <w:bCs/>
        </w:rPr>
        <w:t xml:space="preserve">§ 2292 </w:t>
      </w:r>
      <w:r w:rsidRPr="00715FC1">
        <w:rPr>
          <w:rFonts w:eastAsia="Calibri" w:cstheme="minorHAnsi"/>
          <w:b/>
        </w:rPr>
        <w:t>–</w:t>
      </w:r>
      <w:r w:rsidRPr="00715FC1">
        <w:rPr>
          <w:rFonts w:eastAsia="Calibri" w:cstheme="minorHAnsi"/>
          <w:b/>
          <w:bCs/>
        </w:rPr>
        <w:t xml:space="preserve"> Dopravní obslužnost</w:t>
      </w:r>
      <w:r w:rsidRPr="00715FC1">
        <w:rPr>
          <w:rFonts w:eastAsia="Calibri" w:cstheme="minorHAnsi"/>
          <w:b/>
        </w:rPr>
        <w:t xml:space="preserve"> - příspěvek příspěvkové organizaci Integrovaná doprava Středočeského kraje</w:t>
      </w:r>
    </w:p>
    <w:p w14:paraId="403267C2" w14:textId="7AB88F71" w:rsidR="00A94C91" w:rsidRPr="00765639" w:rsidRDefault="00A94C91" w:rsidP="00A94C91">
      <w:pPr>
        <w:spacing w:after="0" w:line="240" w:lineRule="auto"/>
        <w:jc w:val="both"/>
        <w:rPr>
          <w:rFonts w:cstheme="minorHAnsi"/>
        </w:rPr>
      </w:pPr>
      <w:r w:rsidRPr="00715FC1">
        <w:rPr>
          <w:rFonts w:eastAsia="Times New Roman" w:cstheme="minorHAnsi"/>
          <w:lang w:eastAsia="cs-CZ"/>
        </w:rPr>
        <w:t xml:space="preserve">Usnesením č. 039-15/2021/RK ze dne 1. 4. 2021 byly na kapitolu 26 - Veřejná mobilita z kapitoly 04 – Doprava převedeny finanční prostředky ve výši 66 482 500,00 Kč. </w:t>
      </w:r>
      <w:r w:rsidRPr="00715FC1">
        <w:rPr>
          <w:rFonts w:cstheme="minorHAnsi"/>
        </w:rPr>
        <w:t>P</w:t>
      </w:r>
      <w:r w:rsidRPr="00715FC1">
        <w:rPr>
          <w:rFonts w:eastAsia="Calibri" w:cstheme="minorHAnsi"/>
        </w:rPr>
        <w:t xml:space="preserve">říspěvek na provoz byl ponížen </w:t>
      </w:r>
      <w:r w:rsidRPr="00715FC1">
        <w:rPr>
          <w:rFonts w:cstheme="minorHAnsi"/>
        </w:rPr>
        <w:t xml:space="preserve">dle usnesení č. 021-16/2021/RK ze dne 8. 4. 2021 </w:t>
      </w:r>
      <w:r w:rsidRPr="00715FC1">
        <w:rPr>
          <w:rFonts w:eastAsia="Calibri" w:cstheme="minorHAnsi"/>
        </w:rPr>
        <w:t xml:space="preserve">o finanční prostředky </w:t>
      </w:r>
      <w:r w:rsidRPr="00715FC1">
        <w:rPr>
          <w:rFonts w:cstheme="minorHAnsi"/>
        </w:rPr>
        <w:t>na zajištění objížděk</w:t>
      </w:r>
      <w:r w:rsidRPr="00715FC1">
        <w:rPr>
          <w:rFonts w:eastAsia="Calibri" w:cstheme="minorHAnsi"/>
        </w:rPr>
        <w:t xml:space="preserve"> ve výši 16 544 928,00 Kč</w:t>
      </w:r>
      <w:r w:rsidRPr="00715FC1">
        <w:rPr>
          <w:rFonts w:cstheme="minorHAnsi"/>
        </w:rPr>
        <w:t xml:space="preserve">. Dále byl příspěvek na provoz ponížen dle </w:t>
      </w:r>
      <w:r w:rsidRPr="00765639">
        <w:rPr>
          <w:rFonts w:cstheme="minorHAnsi"/>
        </w:rPr>
        <w:t xml:space="preserve">usnesení č. </w:t>
      </w:r>
      <w:r w:rsidRPr="00765639">
        <w:rPr>
          <w:rFonts w:cs="Segoe UI"/>
        </w:rPr>
        <w:t xml:space="preserve">004-42/2021/RK ze dne 11.11.2021 </w:t>
      </w:r>
      <w:r w:rsidRPr="00765639">
        <w:rPr>
          <w:rFonts w:cstheme="minorHAnsi"/>
        </w:rPr>
        <w:t xml:space="preserve">o částku 1 500 040,00 Kč, která byla převedena do kapitoly 03 – Informatika z důvodu realizace </w:t>
      </w:r>
      <w:r w:rsidR="00041914" w:rsidRPr="00765639">
        <w:rPr>
          <w:rFonts w:cstheme="minorHAnsi"/>
        </w:rPr>
        <w:t xml:space="preserve">„Ekonomického informačního systému GINIS“ </w:t>
      </w:r>
      <w:r w:rsidRPr="00765639">
        <w:rPr>
          <w:rFonts w:cstheme="minorHAnsi"/>
        </w:rPr>
        <w:t xml:space="preserve"> </w:t>
      </w:r>
      <w:r w:rsidR="00041914" w:rsidRPr="00765639">
        <w:rPr>
          <w:rFonts w:cstheme="minorHAnsi"/>
        </w:rPr>
        <w:t>v</w:t>
      </w:r>
      <w:r w:rsidRPr="00765639">
        <w:rPr>
          <w:rFonts w:cstheme="minorHAnsi"/>
        </w:rPr>
        <w:t xml:space="preserve"> IDSK. </w:t>
      </w:r>
    </w:p>
    <w:p w14:paraId="018F9AC4" w14:textId="77777777" w:rsidR="007A2A93" w:rsidRPr="00715FC1" w:rsidRDefault="007A2A93" w:rsidP="007A2A93">
      <w:pPr>
        <w:spacing w:after="0" w:line="240" w:lineRule="auto"/>
        <w:jc w:val="both"/>
        <w:rPr>
          <w:rFonts w:eastAsia="Calibri" w:cstheme="minorHAnsi"/>
        </w:rPr>
      </w:pPr>
      <w:r w:rsidRPr="00715FC1">
        <w:rPr>
          <w:rFonts w:eastAsia="Calibri" w:cstheme="minorHAnsi"/>
        </w:rPr>
        <w:t>Provozní prostředky na zajištění činnosti příspěvkové organizace Integrovaná doprava Středočeského kraje (IDSK), vyplaceno 48 437 532,00 Kč.</w:t>
      </w:r>
    </w:p>
    <w:p w14:paraId="68C3513F" w14:textId="77777777" w:rsidR="00A94C91" w:rsidRPr="00715FC1" w:rsidRDefault="00A94C91" w:rsidP="00A94C91">
      <w:pPr>
        <w:spacing w:after="0" w:line="240" w:lineRule="auto"/>
        <w:jc w:val="both"/>
        <w:rPr>
          <w:rFonts w:eastAsia="Calibri" w:cstheme="minorHAnsi"/>
          <w:b/>
          <w:bCs/>
        </w:rPr>
      </w:pPr>
    </w:p>
    <w:p w14:paraId="2810BA93" w14:textId="77777777" w:rsidR="00A94C91" w:rsidRPr="00715FC1" w:rsidRDefault="00A94C91" w:rsidP="00A94C91">
      <w:pPr>
        <w:spacing w:after="0" w:line="240" w:lineRule="auto"/>
        <w:jc w:val="both"/>
        <w:rPr>
          <w:rFonts w:eastAsia="Calibri" w:cstheme="minorHAnsi"/>
          <w:b/>
          <w:bCs/>
        </w:rPr>
      </w:pPr>
      <w:r w:rsidRPr="00715FC1">
        <w:rPr>
          <w:rFonts w:eastAsia="Calibri" w:cstheme="minorHAnsi"/>
          <w:b/>
          <w:bCs/>
        </w:rPr>
        <w:t xml:space="preserve">§ 2292 </w:t>
      </w:r>
      <w:r w:rsidRPr="00715FC1">
        <w:rPr>
          <w:rFonts w:eastAsia="Calibri" w:cstheme="minorHAnsi"/>
          <w:b/>
        </w:rPr>
        <w:t>–</w:t>
      </w:r>
      <w:r w:rsidRPr="00715FC1">
        <w:rPr>
          <w:rFonts w:eastAsia="Calibri" w:cstheme="minorHAnsi"/>
          <w:b/>
          <w:bCs/>
        </w:rPr>
        <w:t xml:space="preserve"> Dopravní obslužnost veřejnými službami - linková</w:t>
      </w:r>
    </w:p>
    <w:p w14:paraId="51AC09F0" w14:textId="77777777" w:rsidR="00A94C91" w:rsidRPr="00715FC1" w:rsidRDefault="00A94C91" w:rsidP="00765639">
      <w:pPr>
        <w:autoSpaceDE w:val="0"/>
        <w:autoSpaceDN w:val="0"/>
        <w:adjustRightInd w:val="0"/>
        <w:spacing w:after="0" w:line="240" w:lineRule="auto"/>
        <w:jc w:val="both"/>
        <w:rPr>
          <w:rFonts w:eastAsia="Times New Roman" w:cstheme="minorHAnsi"/>
          <w:lang w:eastAsia="cs-CZ"/>
        </w:rPr>
      </w:pPr>
      <w:r w:rsidRPr="00715FC1">
        <w:rPr>
          <w:rFonts w:eastAsia="Times New Roman" w:cstheme="minorHAnsi"/>
          <w:lang w:eastAsia="cs-CZ"/>
        </w:rPr>
        <w:t xml:space="preserve">Usnesením č. 039-15/2021/RK ze dne 1. 4. 2021 byly na kapitolu 26 - Veřejná mobilita z kapitoly 04 – Doprava převedeny finanční prostředky ve výši 1 101 725 237,56 Kč. </w:t>
      </w:r>
    </w:p>
    <w:p w14:paraId="50061B92" w14:textId="77777777" w:rsidR="00A94C91" w:rsidRPr="00715FC1" w:rsidRDefault="00A94C91" w:rsidP="00765639">
      <w:pPr>
        <w:autoSpaceDE w:val="0"/>
        <w:autoSpaceDN w:val="0"/>
        <w:adjustRightInd w:val="0"/>
        <w:spacing w:after="0" w:line="240" w:lineRule="auto"/>
        <w:jc w:val="both"/>
        <w:rPr>
          <w:rFonts w:eastAsia="Calibri" w:cstheme="minorHAnsi"/>
        </w:rPr>
      </w:pPr>
      <w:r w:rsidRPr="00715FC1">
        <w:rPr>
          <w:rFonts w:eastAsia="Calibri" w:cstheme="minorHAnsi"/>
          <w:bCs/>
        </w:rPr>
        <w:t xml:space="preserve">Na základě </w:t>
      </w:r>
      <w:r w:rsidRPr="00715FC1">
        <w:rPr>
          <w:rFonts w:eastAsia="Calibri" w:cstheme="minorHAnsi"/>
        </w:rPr>
        <w:t xml:space="preserve">rozdělení zůstatku hospodaření Středočeského kraje z roku 2020 </w:t>
      </w:r>
      <w:r w:rsidRPr="00715FC1">
        <w:rPr>
          <w:rFonts w:eastAsia="Calibri" w:cstheme="minorHAnsi"/>
          <w:bCs/>
        </w:rPr>
        <w:t xml:space="preserve">usnesením </w:t>
      </w:r>
      <w:r w:rsidRPr="00715FC1">
        <w:rPr>
          <w:rFonts w:cstheme="minorHAnsi"/>
        </w:rPr>
        <w:t>č. 007-06/2021/ZK ze dne 26. 4. 2021</w:t>
      </w:r>
      <w:r w:rsidRPr="00715FC1">
        <w:rPr>
          <w:rFonts w:eastAsia="Calibri" w:cstheme="minorHAnsi"/>
        </w:rPr>
        <w:t xml:space="preserve"> </w:t>
      </w:r>
      <w:r w:rsidRPr="00715FC1">
        <w:rPr>
          <w:rFonts w:eastAsia="Calibri" w:cstheme="minorHAnsi"/>
          <w:bCs/>
        </w:rPr>
        <w:t>byl</w:t>
      </w:r>
      <w:r w:rsidRPr="00715FC1">
        <w:rPr>
          <w:rFonts w:eastAsia="Calibri" w:cstheme="minorHAnsi"/>
        </w:rPr>
        <w:t xml:space="preserve"> § 2292 navýšen o 6 152 425,19 Kč na dopravní obslužnost v autobusové dopravě a o 1 199 101,76 Kč na zajištění objížděk. </w:t>
      </w:r>
    </w:p>
    <w:p w14:paraId="1B729F48" w14:textId="27C4FC2A" w:rsidR="00A94C91" w:rsidRPr="00715FC1" w:rsidRDefault="00A94C91" w:rsidP="00765639">
      <w:pPr>
        <w:autoSpaceDE w:val="0"/>
        <w:autoSpaceDN w:val="0"/>
        <w:adjustRightInd w:val="0"/>
        <w:spacing w:after="0" w:line="240" w:lineRule="auto"/>
        <w:jc w:val="both"/>
        <w:rPr>
          <w:rFonts w:eastAsia="Calibri" w:cstheme="minorHAnsi"/>
        </w:rPr>
      </w:pPr>
      <w:r w:rsidRPr="00715FC1">
        <w:rPr>
          <w:rFonts w:eastAsia="Calibri" w:cstheme="minorHAnsi"/>
        </w:rPr>
        <w:t>Usnesením č. 021-16/2021/RK ze dne 8. 4. 2021 (převod v rámci kapitoly 26 – Veřejná mobilita) byl rozpočet navýšen o 16 544 928,00 Kč na další zajištění objížděk, protože došlo k navýšení úhrady za objížďkový kilometr a nárůstu objížděk vlivem investiční činnosti a oprav silnic ve Středočeském kraji.</w:t>
      </w:r>
    </w:p>
    <w:p w14:paraId="3F075CB8" w14:textId="04C12708" w:rsidR="00A94C91" w:rsidRPr="00765639" w:rsidRDefault="00A94C91" w:rsidP="00765639">
      <w:pPr>
        <w:pStyle w:val="Default"/>
        <w:jc w:val="both"/>
        <w:rPr>
          <w:rFonts w:asciiTheme="minorHAnsi" w:eastAsia="Calibri" w:hAnsiTheme="minorHAnsi" w:cstheme="minorHAnsi"/>
          <w:bCs/>
          <w:sz w:val="22"/>
          <w:szCs w:val="22"/>
        </w:rPr>
      </w:pPr>
      <w:r w:rsidRPr="00765639">
        <w:rPr>
          <w:rFonts w:asciiTheme="minorHAnsi" w:eastAsia="Calibri" w:hAnsiTheme="minorHAnsi" w:cstheme="minorHAnsi"/>
          <w:sz w:val="22"/>
          <w:szCs w:val="22"/>
        </w:rPr>
        <w:t xml:space="preserve">Usnesením </w:t>
      </w:r>
      <w:r w:rsidRPr="00765639">
        <w:rPr>
          <w:rFonts w:asciiTheme="minorHAnsi" w:hAnsiTheme="minorHAnsi" w:cstheme="minorHAnsi"/>
          <w:sz w:val="22"/>
          <w:szCs w:val="22"/>
        </w:rPr>
        <w:t xml:space="preserve">č. 037-38/2021/RK ze dne 7.10.2021 byl proveden </w:t>
      </w:r>
      <w:r w:rsidR="00765639" w:rsidRPr="00765639">
        <w:rPr>
          <w:rFonts w:asciiTheme="minorHAnsi" w:eastAsia="Calibri" w:hAnsiTheme="minorHAnsi" w:cstheme="minorHAnsi"/>
          <w:bCs/>
          <w:sz w:val="22"/>
          <w:szCs w:val="22"/>
        </w:rPr>
        <w:t>př</w:t>
      </w:r>
      <w:r w:rsidRPr="00765639">
        <w:rPr>
          <w:rFonts w:asciiTheme="minorHAnsi" w:hAnsiTheme="minorHAnsi"/>
          <w:sz w:val="22"/>
          <w:szCs w:val="22"/>
        </w:rPr>
        <w:t xml:space="preserve">evod finančních prostředků ve výši 833 109,38 Kč z kapitoly 04 – Doprava a ve výši 261 843 997,56 Kč z kapitoly 23 – Ostatní, Specifické rezervy, do kapitoly 26 – Veřejná mobilita z důvodu dorovnání prostředků nárůstu mezd řidičů veřejné dopravy, prostředky na propad tržeb veřejné linkové dopravy, převzetí dopravy od obcí, dorovnání tržeb dopravy roku 2021, dointegraci dopravy v SK, prostředky na integraci v oblasti Voticka. </w:t>
      </w:r>
    </w:p>
    <w:p w14:paraId="07F36A5D" w14:textId="77777777" w:rsidR="00A94C91" w:rsidRPr="00715FC1" w:rsidRDefault="00A94C91" w:rsidP="00765639">
      <w:pPr>
        <w:autoSpaceDE w:val="0"/>
        <w:autoSpaceDN w:val="0"/>
        <w:adjustRightInd w:val="0"/>
        <w:spacing w:after="0" w:line="240" w:lineRule="auto"/>
        <w:jc w:val="both"/>
        <w:rPr>
          <w:bCs/>
        </w:rPr>
      </w:pPr>
      <w:r w:rsidRPr="00715FC1">
        <w:rPr>
          <w:rFonts w:eastAsia="Times New Roman" w:cstheme="minorHAnsi"/>
          <w:lang w:eastAsia="cs-CZ"/>
        </w:rPr>
        <w:t xml:space="preserve">Usnesením č. 008-44/2021/RK ze dne 25. 11. 2021 byly převedeny finanční prostředky z kapitoly 23 - 0statní, Specifické rezervy, do rozpočtu kapitoly 26 - Veřejná mobilita v částce 21 402 940,00 Kč, jedná se o </w:t>
      </w:r>
      <w:r w:rsidRPr="00715FC1">
        <w:rPr>
          <w:bCs/>
        </w:rPr>
        <w:t>prostředky na krytí dointegrace veřejné dopravy ve Středočeském kraji.</w:t>
      </w:r>
    </w:p>
    <w:p w14:paraId="2044214B" w14:textId="5AAD4E7B" w:rsidR="00A94C91" w:rsidRPr="00715FC1" w:rsidRDefault="00A94C91" w:rsidP="00765639">
      <w:pPr>
        <w:spacing w:after="0"/>
        <w:jc w:val="both"/>
        <w:rPr>
          <w:rFonts w:cstheme="minorHAnsi"/>
        </w:rPr>
      </w:pPr>
      <w:r w:rsidRPr="00715FC1">
        <w:t xml:space="preserve">S ohledem na stávající vývoj pandemické situace šíření viru SARS-CoV-2, způsobující onemocnění COVID-19 docházelo po odeznění jarních proticovidových opatření k částečnému navyšování dopravní obslužnosti a dalším úpravám na základě požadavků obcí i občanů ve Středočeském kraji. Z tohoto důvodu bylo </w:t>
      </w:r>
      <w:r>
        <w:t>převedeno</w:t>
      </w:r>
      <w:r w:rsidRPr="00715FC1">
        <w:t xml:space="preserve"> 30 000 000,00 Kč na kapitolu 26 – Veřejná mobilita, aby se mohlo čerpat a pokrýt tak závazky vzniklé vůči dopravcům. </w:t>
      </w:r>
      <w:r w:rsidRPr="00715FC1">
        <w:rPr>
          <w:rFonts w:cstheme="minorHAnsi"/>
        </w:rPr>
        <w:t xml:space="preserve">Usnesením č. 012-46/2021/RK ze dne 9.12.2021 – byl proveden převod </w:t>
      </w:r>
      <w:r>
        <w:rPr>
          <w:rFonts w:cstheme="minorHAnsi"/>
        </w:rPr>
        <w:t xml:space="preserve">těchto </w:t>
      </w:r>
      <w:r w:rsidRPr="00715FC1">
        <w:rPr>
          <w:rFonts w:cstheme="minorHAnsi"/>
        </w:rPr>
        <w:t xml:space="preserve">finančních prostředků z kapitoly 23 - Ostatní, </w:t>
      </w:r>
      <w:r w:rsidR="007A2A93">
        <w:rPr>
          <w:rFonts w:cstheme="minorHAnsi"/>
        </w:rPr>
        <w:t>R</w:t>
      </w:r>
      <w:r w:rsidRPr="00715FC1">
        <w:rPr>
          <w:rFonts w:cstheme="minorHAnsi"/>
        </w:rPr>
        <w:t>ezerva SK, do kapitoly 26 - Veřejná mobilita.</w:t>
      </w:r>
    </w:p>
    <w:p w14:paraId="70BDF3DD" w14:textId="77777777" w:rsidR="00A94C91" w:rsidRPr="00341762" w:rsidRDefault="00A94C91" w:rsidP="00765639">
      <w:pPr>
        <w:spacing w:after="0"/>
        <w:jc w:val="both"/>
        <w:rPr>
          <w:bCs/>
        </w:rPr>
      </w:pPr>
      <w:r w:rsidRPr="00715FC1">
        <w:rPr>
          <w:rFonts w:cstheme="minorHAnsi"/>
        </w:rPr>
        <w:t xml:space="preserve">Usnesením č. 039-47/2021/RK ze dne 16.12.2021 došlo k </w:t>
      </w:r>
      <w:r w:rsidRPr="00715FC1">
        <w:rPr>
          <w:bCs/>
        </w:rPr>
        <w:t>zapojení finančních prostředků do příjmů a výdajů kapitoly 26 – Veřejná mobilita</w:t>
      </w:r>
      <w:r w:rsidRPr="00715FC1">
        <w:rPr>
          <w:rFonts w:cstheme="minorHAnsi"/>
        </w:rPr>
        <w:t xml:space="preserve"> částkou 166 896,21 Kč. Usnesením č. 040-47/2021/RK ze dne 16.12. 2021 – došlo k zapojení finančních prostředků do příjmů a výdajů kapitoly 26 - Veřejná mobilita částkou 3 847 207,51 Kč. </w:t>
      </w:r>
      <w:r w:rsidRPr="00715FC1">
        <w:rPr>
          <w:bCs/>
        </w:rPr>
        <w:t>Jednalo se o přijaté nekapitálové příspěvky a náhrady v dopravní obslužnosti</w:t>
      </w:r>
      <w:r>
        <w:rPr>
          <w:bCs/>
        </w:rPr>
        <w:t xml:space="preserve"> z vyúčtování mezikrajských smluv.</w:t>
      </w:r>
    </w:p>
    <w:p w14:paraId="4395F530" w14:textId="77777777" w:rsidR="007A2A93" w:rsidRDefault="007A2A93" w:rsidP="007A2A93">
      <w:pPr>
        <w:spacing w:after="0" w:line="240" w:lineRule="auto"/>
        <w:jc w:val="both"/>
        <w:rPr>
          <w:rFonts w:eastAsia="Calibri" w:cstheme="minorHAnsi"/>
        </w:rPr>
      </w:pPr>
      <w:r w:rsidRPr="00715FC1">
        <w:rPr>
          <w:rFonts w:eastAsia="Calibri" w:cstheme="minorHAnsi"/>
        </w:rPr>
        <w:t>Příspěvek dle uzavřených smluv s dopravci na zajištění dopravní obslužnosti v autobusové dopravě, čerpáno 1 394 006 888,46 Kč a současně na zajištění objížděk bylo vyplaceno 33 570</w:t>
      </w:r>
      <w:r>
        <w:rPr>
          <w:rFonts w:eastAsia="Calibri" w:cstheme="minorHAnsi"/>
        </w:rPr>
        <w:t> </w:t>
      </w:r>
      <w:r w:rsidRPr="00715FC1">
        <w:rPr>
          <w:rFonts w:eastAsia="Calibri" w:cstheme="minorHAnsi"/>
        </w:rPr>
        <w:t>165</w:t>
      </w:r>
      <w:r>
        <w:rPr>
          <w:rFonts w:eastAsia="Calibri" w:cstheme="minorHAnsi"/>
        </w:rPr>
        <w:t>,</w:t>
      </w:r>
      <w:r w:rsidRPr="00715FC1">
        <w:rPr>
          <w:rFonts w:eastAsia="Calibri" w:cstheme="minorHAnsi"/>
        </w:rPr>
        <w:t>15 Kč.</w:t>
      </w:r>
    </w:p>
    <w:p w14:paraId="42415946" w14:textId="77777777" w:rsidR="00A94C91" w:rsidRPr="00715FC1" w:rsidRDefault="00A94C91" w:rsidP="00A94C91">
      <w:pPr>
        <w:autoSpaceDE w:val="0"/>
        <w:autoSpaceDN w:val="0"/>
        <w:adjustRightInd w:val="0"/>
        <w:spacing w:after="0" w:line="240" w:lineRule="auto"/>
        <w:jc w:val="both"/>
        <w:rPr>
          <w:rFonts w:cstheme="minorHAnsi"/>
          <w:bCs/>
        </w:rPr>
      </w:pPr>
    </w:p>
    <w:p w14:paraId="600AB329" w14:textId="77777777" w:rsidR="00A94C91" w:rsidRPr="00715FC1" w:rsidRDefault="00A94C91" w:rsidP="00A94C91">
      <w:pPr>
        <w:spacing w:after="0" w:line="240" w:lineRule="auto"/>
        <w:jc w:val="both"/>
        <w:rPr>
          <w:rFonts w:eastAsia="Calibri" w:cstheme="minorHAnsi"/>
          <w:b/>
          <w:bCs/>
        </w:rPr>
      </w:pPr>
      <w:r w:rsidRPr="00715FC1">
        <w:rPr>
          <w:rFonts w:eastAsia="Calibri" w:cstheme="minorHAnsi"/>
          <w:b/>
          <w:bCs/>
        </w:rPr>
        <w:t>§ 2294 – Dopravní obslužnost veřejnými službami - drážní</w:t>
      </w:r>
    </w:p>
    <w:p w14:paraId="3E66285A" w14:textId="5EF659AA" w:rsidR="00A94C91" w:rsidRPr="007A2A93" w:rsidRDefault="00A94C91" w:rsidP="007A2A93">
      <w:pPr>
        <w:spacing w:after="0" w:line="240" w:lineRule="auto"/>
        <w:jc w:val="both"/>
        <w:rPr>
          <w:rFonts w:eastAsia="Calibri" w:cstheme="minorHAnsi"/>
        </w:rPr>
      </w:pPr>
      <w:r w:rsidRPr="00715FC1">
        <w:rPr>
          <w:rFonts w:eastAsia="Times New Roman" w:cstheme="minorHAnsi"/>
          <w:lang w:eastAsia="cs-CZ"/>
        </w:rPr>
        <w:t xml:space="preserve">Usnesením č. 039-15/2021/RK ze dne 1. 4. 2021 byly na kapitolu 26 - Veřejná mobilita z kapitoly 04 – Doprava převedeny finanční prostředky ve výši 1 216 895 981,89 Kč. </w:t>
      </w:r>
      <w:r w:rsidRPr="00715FC1">
        <w:rPr>
          <w:rFonts w:eastAsia="Calibri" w:cstheme="minorHAnsi"/>
        </w:rPr>
        <w:t>Na základě rozdělení zůstatku hospodaření Středočeského kraje z roku 2020 usnesením č. 007-06/2021/ZK ze dne 26. 4. 2021 byl § 2294 navýšen o 1 385 216,56 Kč.</w:t>
      </w:r>
      <w:r w:rsidR="007A2A93">
        <w:rPr>
          <w:rFonts w:eastAsia="Calibri" w:cstheme="minorHAnsi"/>
        </w:rPr>
        <w:t xml:space="preserve"> </w:t>
      </w:r>
      <w:r w:rsidRPr="00715FC1">
        <w:rPr>
          <w:rFonts w:cstheme="minorHAnsi"/>
        </w:rPr>
        <w:t xml:space="preserve">Usnesením č. 016-33/2021/RK ze dne 2.9.2021 – byly převedeny finanční prostředky z kapitoly 23 - Ostatní, specifické </w:t>
      </w:r>
      <w:r w:rsidRPr="00765639">
        <w:rPr>
          <w:rFonts w:cstheme="minorHAnsi"/>
        </w:rPr>
        <w:t>rezervy</w:t>
      </w:r>
      <w:r w:rsidRPr="00765639">
        <w:rPr>
          <w:rFonts w:ascii="Segoe UI" w:hAnsi="Segoe UI" w:cs="Segoe UI"/>
          <w:sz w:val="18"/>
          <w:szCs w:val="18"/>
          <w:lang w:val="en-US"/>
        </w:rPr>
        <w:t xml:space="preserve"> </w:t>
      </w:r>
      <w:r w:rsidRPr="00765639">
        <w:rPr>
          <w:rFonts w:cs="Segoe UI"/>
          <w:lang w:val="en-US"/>
        </w:rPr>
        <w:t>- prostředky na krytí propadu tržeb veřejné dopravy</w:t>
      </w:r>
      <w:r w:rsidRPr="00765639">
        <w:rPr>
          <w:rFonts w:cstheme="minorHAnsi"/>
        </w:rPr>
        <w:t>, do rozpočtu kapitoly 26</w:t>
      </w:r>
      <w:r w:rsidR="007A2A93">
        <w:rPr>
          <w:rFonts w:cstheme="minorHAnsi"/>
        </w:rPr>
        <w:t xml:space="preserve"> – Veřejná mobilita</w:t>
      </w:r>
      <w:r w:rsidRPr="00765639">
        <w:rPr>
          <w:rFonts w:cstheme="minorHAnsi"/>
        </w:rPr>
        <w:t xml:space="preserve"> ve výši 37 866 271,00 Kč.  </w:t>
      </w:r>
      <w:r w:rsidRPr="00765639">
        <w:t xml:space="preserve">Užití výše uvedených </w:t>
      </w:r>
      <w:r w:rsidRPr="00765639">
        <w:rPr>
          <w:rFonts w:cstheme="minorHAnsi"/>
        </w:rPr>
        <w:t>finančních prostředků bylo použito na úhradu zvýšených nákladů dopravce České dráhy</w:t>
      </w:r>
      <w:r w:rsidRPr="00715FC1">
        <w:rPr>
          <w:rFonts w:cstheme="minorHAnsi"/>
        </w:rPr>
        <w:t>, a.s. souvisejících s onemocněním COVID-19 v roce 2020 a úhradu mimořádné zálohy kompenzace zvýšených nákladů souvisejících s onemocněním COVID-19 pro rok 2021.</w:t>
      </w:r>
      <w:r w:rsidR="007A2A93">
        <w:rPr>
          <w:rFonts w:eastAsia="Calibri" w:cstheme="minorHAnsi"/>
        </w:rPr>
        <w:t xml:space="preserve"> </w:t>
      </w:r>
      <w:r w:rsidRPr="00715FC1">
        <w:rPr>
          <w:rFonts w:cstheme="minorHAnsi"/>
        </w:rPr>
        <w:t xml:space="preserve">Usnesením č. 039-47/2021/RK ze dne 16.12.2021 byl navýšen rozpočet o částku 2 242 000,00 Kč. Jedná se o zapojení finančních prostředků z kapitoly </w:t>
      </w:r>
      <w:r>
        <w:rPr>
          <w:rFonts w:cstheme="minorHAnsi"/>
        </w:rPr>
        <w:t>0</w:t>
      </w:r>
      <w:r w:rsidRPr="00715FC1">
        <w:rPr>
          <w:rFonts w:cstheme="minorHAnsi"/>
        </w:rPr>
        <w:t>4 - Doprava do příjmů a výdajů kapitoly 26 - Veřejná mobilita</w:t>
      </w:r>
      <w:r>
        <w:rPr>
          <w:rFonts w:cstheme="minorHAnsi"/>
        </w:rPr>
        <w:t xml:space="preserve"> z vyúčtování mezikrajských smluv.</w:t>
      </w:r>
      <w:r w:rsidRPr="00715FC1">
        <w:rPr>
          <w:rFonts w:cstheme="minorHAnsi"/>
        </w:rPr>
        <w:t xml:space="preserve"> Dále pak </w:t>
      </w:r>
      <w:r w:rsidR="007A2A93">
        <w:rPr>
          <w:rFonts w:cstheme="minorHAnsi"/>
        </w:rPr>
        <w:t>u</w:t>
      </w:r>
      <w:r w:rsidRPr="00715FC1">
        <w:rPr>
          <w:rFonts w:cstheme="minorHAnsi"/>
        </w:rPr>
        <w:t xml:space="preserve">snesením č. 040-47/2021/RK ze dne 16.12. 2021 - zapojení finančních prostředků z kapitoly </w:t>
      </w:r>
      <w:r>
        <w:rPr>
          <w:rFonts w:cstheme="minorHAnsi"/>
        </w:rPr>
        <w:t>0</w:t>
      </w:r>
      <w:r w:rsidRPr="00715FC1">
        <w:rPr>
          <w:rFonts w:cstheme="minorHAnsi"/>
        </w:rPr>
        <w:t>4 - Doprava do příjmů a výdajů kapitoly 26 - Veřejná mobilita, částka 7 448 900,00 Kč.</w:t>
      </w:r>
      <w:r w:rsidRPr="00715FC1">
        <w:rPr>
          <w:rFonts w:cstheme="minorHAnsi"/>
          <w:bCs/>
        </w:rPr>
        <w:t xml:space="preserve"> Jedná se o přijaté nekapitálové příspěvky a náhrady v dopravní obslužnosti</w:t>
      </w:r>
      <w:r>
        <w:rPr>
          <w:rFonts w:cstheme="minorHAnsi"/>
          <w:bCs/>
        </w:rPr>
        <w:t xml:space="preserve"> z mezikrajských smluv.</w:t>
      </w:r>
    </w:p>
    <w:p w14:paraId="238A8356" w14:textId="77777777" w:rsidR="007A2A93" w:rsidRDefault="007A2A93" w:rsidP="007A2A93">
      <w:pPr>
        <w:spacing w:after="0" w:line="240" w:lineRule="auto"/>
        <w:jc w:val="both"/>
        <w:rPr>
          <w:rFonts w:eastAsia="Calibri" w:cstheme="minorHAnsi"/>
        </w:rPr>
      </w:pPr>
      <w:r w:rsidRPr="00715FC1">
        <w:rPr>
          <w:rFonts w:eastAsia="Calibri" w:cstheme="minorHAnsi"/>
        </w:rPr>
        <w:t xml:space="preserve">Příspěvek na provoz veřejné železniční dopravy dle uzavřených smluv mezi Středočeským krajem a drážními dopravci, vyplaceno 1 255 159 088,20 Kč. </w:t>
      </w:r>
    </w:p>
    <w:p w14:paraId="7026D910" w14:textId="77777777" w:rsidR="00A94C91" w:rsidRPr="00715FC1" w:rsidRDefault="00A94C91" w:rsidP="00A94C91">
      <w:pPr>
        <w:spacing w:after="0" w:line="240" w:lineRule="auto"/>
        <w:jc w:val="both"/>
        <w:rPr>
          <w:rFonts w:eastAsia="Calibri" w:cstheme="minorHAnsi"/>
          <w:b/>
          <w:bCs/>
        </w:rPr>
      </w:pPr>
    </w:p>
    <w:p w14:paraId="1D6228E2" w14:textId="77777777" w:rsidR="00A94C91" w:rsidRPr="00715FC1" w:rsidRDefault="00A94C91" w:rsidP="00A94C91">
      <w:pPr>
        <w:spacing w:after="0" w:line="240" w:lineRule="auto"/>
        <w:jc w:val="both"/>
        <w:rPr>
          <w:rFonts w:eastAsia="Calibri" w:cstheme="minorHAnsi"/>
          <w:b/>
          <w:bCs/>
        </w:rPr>
      </w:pPr>
      <w:r w:rsidRPr="00715FC1">
        <w:rPr>
          <w:rFonts w:eastAsia="Calibri" w:cstheme="minorHAnsi"/>
          <w:b/>
          <w:bCs/>
        </w:rPr>
        <w:t xml:space="preserve">§ 2299 </w:t>
      </w:r>
      <w:r w:rsidRPr="00715FC1">
        <w:rPr>
          <w:rFonts w:eastAsia="Calibri" w:cstheme="minorHAnsi"/>
          <w:b/>
        </w:rPr>
        <w:t>–</w:t>
      </w:r>
      <w:r w:rsidRPr="00715FC1">
        <w:rPr>
          <w:rFonts w:eastAsia="Calibri" w:cstheme="minorHAnsi"/>
          <w:b/>
          <w:bCs/>
        </w:rPr>
        <w:t xml:space="preserve"> Ostatní záležitosti v dopravě</w:t>
      </w:r>
    </w:p>
    <w:p w14:paraId="4BA21B80" w14:textId="69E3A5E3" w:rsidR="00A94C91" w:rsidRPr="007A2A93" w:rsidRDefault="00A94C91" w:rsidP="007A2A93">
      <w:pPr>
        <w:spacing w:after="0" w:line="240" w:lineRule="auto"/>
        <w:jc w:val="both"/>
        <w:rPr>
          <w:rFonts w:eastAsia="Times New Roman" w:cstheme="minorHAnsi"/>
          <w:lang w:eastAsia="cs-CZ"/>
        </w:rPr>
      </w:pPr>
      <w:r w:rsidRPr="00715FC1">
        <w:rPr>
          <w:rFonts w:eastAsia="Times New Roman" w:cstheme="minorHAnsi"/>
          <w:lang w:eastAsia="cs-CZ"/>
        </w:rPr>
        <w:t xml:space="preserve">Usnesením č. 039-15/2021/RK ze dne 1. 4. 2021 byly na kapitolu 26 - Veřejná mobilita z kapitoly 04 – Doprava převedeny finanční prostředky ve výši 2 800 000,00 Kč. Z paragrafu 2292 byly převedeny finanční prostředky ve výši 1 500 000,00 Kč na paragraf 2219 na poskytnutí dotace obci Lipník, dle usnesení č. 013-46/2021/RK z 9.12.2021.  </w:t>
      </w:r>
    </w:p>
    <w:p w14:paraId="36620842" w14:textId="77777777" w:rsidR="007A2A93" w:rsidRPr="00715FC1" w:rsidRDefault="007A2A93" w:rsidP="007A2A93">
      <w:pPr>
        <w:spacing w:after="0" w:line="240" w:lineRule="auto"/>
        <w:jc w:val="both"/>
        <w:rPr>
          <w:rFonts w:eastAsia="Times New Roman" w:cstheme="minorHAnsi"/>
          <w:lang w:eastAsia="cs-CZ"/>
        </w:rPr>
      </w:pPr>
      <w:r w:rsidRPr="00715FC1">
        <w:rPr>
          <w:rFonts w:eastAsia="Calibri" w:cstheme="minorHAnsi"/>
        </w:rPr>
        <w:t>Finanční prostředky na odborné posudky a konzultační služby v oblasti dopravy a na ostatní služby</w:t>
      </w:r>
      <w:r>
        <w:rPr>
          <w:rFonts w:eastAsia="Calibri" w:cstheme="minorHAnsi"/>
        </w:rPr>
        <w:t xml:space="preserve"> </w:t>
      </w:r>
      <w:r w:rsidRPr="00715FC1">
        <w:rPr>
          <w:rFonts w:eastAsia="Times New Roman" w:cstheme="minorHAnsi"/>
          <w:lang w:eastAsia="cs-CZ"/>
        </w:rPr>
        <w:t>133 342,00 Kč</w:t>
      </w:r>
      <w:r>
        <w:rPr>
          <w:rFonts w:eastAsia="Times New Roman" w:cstheme="minorHAnsi"/>
          <w:lang w:eastAsia="cs-CZ"/>
        </w:rPr>
        <w:t>.</w:t>
      </w:r>
    </w:p>
    <w:p w14:paraId="2505D1DF" w14:textId="77777777" w:rsidR="00A94C91" w:rsidRPr="00715FC1" w:rsidRDefault="00A94C91" w:rsidP="00A94C91">
      <w:pPr>
        <w:spacing w:after="0" w:line="240" w:lineRule="auto"/>
        <w:jc w:val="both"/>
        <w:rPr>
          <w:rFonts w:eastAsia="Calibri" w:cstheme="minorHAnsi"/>
        </w:rPr>
      </w:pPr>
    </w:p>
    <w:p w14:paraId="6B511FB7" w14:textId="77777777" w:rsidR="00A94C91" w:rsidRPr="00715FC1" w:rsidRDefault="00A94C91" w:rsidP="00A94C91">
      <w:pPr>
        <w:spacing w:after="0" w:line="240" w:lineRule="auto"/>
        <w:jc w:val="both"/>
        <w:rPr>
          <w:rFonts w:eastAsia="Calibri" w:cstheme="minorHAnsi"/>
          <w:b/>
          <w:bCs/>
        </w:rPr>
      </w:pPr>
      <w:r w:rsidRPr="00715FC1">
        <w:rPr>
          <w:rFonts w:eastAsia="Calibri" w:cstheme="minorHAnsi"/>
          <w:b/>
          <w:bCs/>
        </w:rPr>
        <w:t>§ 4349 – Ostatní sociální péče a pomoc ostatním skupinám obyvatelstva – projekt Středočeské jízdné</w:t>
      </w:r>
    </w:p>
    <w:p w14:paraId="223AA92B" w14:textId="77777777" w:rsidR="00A94C91" w:rsidRPr="00715FC1" w:rsidRDefault="00A94C91" w:rsidP="00A94C91">
      <w:pPr>
        <w:pStyle w:val="Default"/>
        <w:jc w:val="both"/>
        <w:rPr>
          <w:rFonts w:asciiTheme="minorHAnsi" w:eastAsia="Calibri" w:hAnsiTheme="minorHAnsi" w:cstheme="minorHAnsi"/>
          <w:bCs/>
          <w:sz w:val="22"/>
          <w:szCs w:val="22"/>
        </w:rPr>
      </w:pPr>
      <w:r w:rsidRPr="00715FC1">
        <w:rPr>
          <w:rFonts w:asciiTheme="minorHAnsi" w:eastAsia="Calibri" w:hAnsiTheme="minorHAnsi" w:cstheme="minorHAnsi"/>
          <w:bCs/>
          <w:sz w:val="22"/>
          <w:szCs w:val="22"/>
        </w:rPr>
        <w:t xml:space="preserve">Projekt Středočeského jízdného určený na kompenzaci nákladů na dojíždění občanů Středočeského kraje za splněných podmínek stanovených Středočeským krajem. Mezi podporované skupiny občanů patřili žáci základních škol, studenti středních škol a učilišť a senioři nad 65 let věku. </w:t>
      </w:r>
      <w:r w:rsidRPr="00715FC1">
        <w:rPr>
          <w:rFonts w:asciiTheme="minorHAnsi" w:hAnsiTheme="minorHAnsi" w:cstheme="minorHAnsi"/>
          <w:sz w:val="22"/>
          <w:szCs w:val="22"/>
        </w:rPr>
        <w:t xml:space="preserve">Projekt byl usnesením č. 022-02/2020/ZK ze dne 14. 12. 2020 ukončen k 31. prosinci 2020. </w:t>
      </w:r>
      <w:r w:rsidRPr="00715FC1">
        <w:rPr>
          <w:rFonts w:asciiTheme="minorHAnsi" w:eastAsia="Calibri" w:hAnsiTheme="minorHAnsi" w:cstheme="minorHAnsi"/>
          <w:bCs/>
          <w:sz w:val="22"/>
          <w:szCs w:val="22"/>
        </w:rPr>
        <w:t xml:space="preserve">Usnesením č. 039-15/2021/RK ze dne 1. 4. 2021 byly na kapitolu </w:t>
      </w:r>
      <w:r w:rsidRPr="00715FC1">
        <w:rPr>
          <w:rFonts w:asciiTheme="minorHAnsi" w:eastAsia="Calibri" w:hAnsiTheme="minorHAnsi" w:cstheme="minorHAnsi"/>
          <w:bCs/>
          <w:sz w:val="22"/>
          <w:szCs w:val="22"/>
        </w:rPr>
        <w:br/>
        <w:t xml:space="preserve">26 - Veřejná mobilita z kapitoly 04 – Doprava převedeny finanční prostředky ve výši 1 669 137,00 Kč. Finanční prostředky byly čerpány ve výši 687 305,00 Kč. </w:t>
      </w:r>
    </w:p>
    <w:p w14:paraId="38939725" w14:textId="20563667" w:rsidR="00041914" w:rsidRPr="00765639" w:rsidRDefault="00A94C91" w:rsidP="00041914">
      <w:pPr>
        <w:pStyle w:val="Default"/>
        <w:jc w:val="both"/>
        <w:rPr>
          <w:rFonts w:asciiTheme="minorHAnsi" w:eastAsia="Calibri" w:hAnsiTheme="minorHAnsi" w:cstheme="minorHAnsi"/>
          <w:bCs/>
          <w:sz w:val="22"/>
          <w:szCs w:val="22"/>
        </w:rPr>
      </w:pPr>
      <w:r w:rsidRPr="00715FC1">
        <w:rPr>
          <w:rFonts w:asciiTheme="minorHAnsi" w:eastAsia="Calibri" w:hAnsiTheme="minorHAnsi" w:cstheme="minorHAnsi"/>
          <w:bCs/>
          <w:sz w:val="22"/>
          <w:szCs w:val="22"/>
        </w:rPr>
        <w:t>Vypořádání projektu Středočeského jízdného a jeho do vyplacení, již schválených žádostí bylo realizováno ve II. pololetí roku 2021.</w:t>
      </w:r>
      <w:r>
        <w:rPr>
          <w:rFonts w:asciiTheme="minorHAnsi" w:eastAsia="Calibri" w:hAnsiTheme="minorHAnsi" w:cstheme="minorHAnsi"/>
          <w:bCs/>
          <w:sz w:val="22"/>
          <w:szCs w:val="22"/>
        </w:rPr>
        <w:t xml:space="preserve"> </w:t>
      </w:r>
      <w:bookmarkStart w:id="75" w:name="_Hlk97880764"/>
    </w:p>
    <w:bookmarkEnd w:id="75"/>
    <w:p w14:paraId="0E3FB3CB" w14:textId="77777777" w:rsidR="00A94C91" w:rsidRPr="00715FC1" w:rsidRDefault="00A94C91" w:rsidP="00A94C91">
      <w:pPr>
        <w:spacing w:after="0" w:line="240" w:lineRule="auto"/>
        <w:jc w:val="both"/>
        <w:rPr>
          <w:rFonts w:eastAsia="Calibri" w:cstheme="minorHAnsi"/>
          <w:bCs/>
          <w:color w:val="000000"/>
          <w:lang w:eastAsia="cs-CZ"/>
        </w:rPr>
      </w:pPr>
    </w:p>
    <w:p w14:paraId="3CE12061" w14:textId="77777777" w:rsidR="00A94C91" w:rsidRPr="00715FC1" w:rsidRDefault="00A94C91" w:rsidP="00A94C91">
      <w:pPr>
        <w:spacing w:after="0" w:line="240" w:lineRule="auto"/>
        <w:jc w:val="both"/>
        <w:rPr>
          <w:rFonts w:eastAsia="Calibri" w:cstheme="minorHAnsi"/>
          <w:b/>
          <w:bCs/>
        </w:rPr>
      </w:pPr>
      <w:r w:rsidRPr="00715FC1">
        <w:rPr>
          <w:rFonts w:eastAsia="Calibri" w:cstheme="minorHAnsi"/>
          <w:b/>
          <w:bCs/>
        </w:rPr>
        <w:t>§ 6172 – Činnost regionální správy</w:t>
      </w:r>
    </w:p>
    <w:p w14:paraId="23A3F478" w14:textId="77777777" w:rsidR="00A94C91" w:rsidRPr="00715FC1" w:rsidRDefault="00A94C91" w:rsidP="00A94C91">
      <w:pPr>
        <w:spacing w:after="0" w:line="240" w:lineRule="auto"/>
        <w:jc w:val="both"/>
        <w:rPr>
          <w:rFonts w:eastAsia="Times New Roman" w:cstheme="minorHAnsi"/>
          <w:lang w:eastAsia="cs-CZ"/>
        </w:rPr>
      </w:pPr>
      <w:r w:rsidRPr="00715FC1">
        <w:rPr>
          <w:rFonts w:eastAsia="Times New Roman" w:cstheme="minorHAnsi"/>
          <w:lang w:eastAsia="cs-CZ"/>
        </w:rPr>
        <w:t>Usnesením č. 039-15/2021/RK ze dne 1. 4. 2021 byly na kapitolu 26 - Veřejná mobilita z kapitoly 04 – Doprava převedeny finanční prostředky ve výši 40 000,00 Kč určené na cestovné. V roce 2021 nebylo čerpáno.</w:t>
      </w:r>
    </w:p>
    <w:p w14:paraId="63E66127" w14:textId="77777777" w:rsidR="00A94C91" w:rsidRDefault="00A94C91" w:rsidP="00A94C91">
      <w:pPr>
        <w:spacing w:after="0" w:line="240" w:lineRule="auto"/>
        <w:jc w:val="both"/>
        <w:rPr>
          <w:rFonts w:eastAsia="Calibri" w:cstheme="minorHAnsi"/>
          <w:b/>
          <w:bCs/>
          <w:u w:val="single"/>
        </w:rPr>
      </w:pPr>
    </w:p>
    <w:p w14:paraId="182A12E7" w14:textId="77777777" w:rsidR="00A94C91" w:rsidRPr="00715FC1" w:rsidRDefault="00A94C91" w:rsidP="00A94C91">
      <w:pPr>
        <w:spacing w:after="0" w:line="240" w:lineRule="auto"/>
        <w:jc w:val="both"/>
        <w:rPr>
          <w:rFonts w:eastAsia="Calibri" w:cstheme="minorHAnsi"/>
          <w:b/>
          <w:bCs/>
          <w:u w:val="single"/>
        </w:rPr>
      </w:pPr>
    </w:p>
    <w:p w14:paraId="2123D374" w14:textId="77777777" w:rsidR="00A94C91" w:rsidRPr="00715FC1" w:rsidRDefault="00A94C91" w:rsidP="00A94C91">
      <w:pPr>
        <w:spacing w:after="0" w:line="240" w:lineRule="auto"/>
        <w:jc w:val="both"/>
        <w:rPr>
          <w:rFonts w:eastAsia="Calibri" w:cstheme="minorHAnsi"/>
          <w:b/>
          <w:bCs/>
          <w:sz w:val="24"/>
          <w:szCs w:val="24"/>
          <w:u w:val="single"/>
        </w:rPr>
      </w:pPr>
      <w:r w:rsidRPr="00715FC1">
        <w:rPr>
          <w:rFonts w:eastAsia="Calibri" w:cstheme="minorHAnsi"/>
          <w:b/>
          <w:bCs/>
          <w:sz w:val="24"/>
          <w:szCs w:val="24"/>
          <w:u w:val="single"/>
        </w:rPr>
        <w:t>Fondy</w:t>
      </w:r>
    </w:p>
    <w:p w14:paraId="7673D112" w14:textId="77777777" w:rsidR="00A94C91" w:rsidRPr="00715FC1" w:rsidRDefault="00A94C91" w:rsidP="00A94C91">
      <w:pPr>
        <w:spacing w:after="0" w:line="240" w:lineRule="auto"/>
        <w:jc w:val="both"/>
        <w:rPr>
          <w:rFonts w:eastAsia="Calibri" w:cstheme="minorHAnsi"/>
          <w:b/>
          <w:bCs/>
          <w:u w:val="single"/>
        </w:rPr>
      </w:pPr>
    </w:p>
    <w:p w14:paraId="542887C3" w14:textId="77777777" w:rsidR="00A94C91" w:rsidRPr="00715FC1" w:rsidRDefault="00A94C91" w:rsidP="00A94C91">
      <w:pPr>
        <w:tabs>
          <w:tab w:val="left" w:pos="3360"/>
        </w:tabs>
        <w:spacing w:after="0" w:line="240" w:lineRule="auto"/>
        <w:jc w:val="both"/>
        <w:rPr>
          <w:rFonts w:eastAsia="Calibri" w:cstheme="minorHAnsi"/>
          <w:b/>
          <w:bCs/>
        </w:rPr>
      </w:pPr>
      <w:r w:rsidRPr="00715FC1">
        <w:rPr>
          <w:rFonts w:eastAsia="Calibri" w:cstheme="minorHAnsi"/>
          <w:b/>
          <w:bCs/>
        </w:rPr>
        <w:t>Středočeský Fond cyklistické infrastruktury</w:t>
      </w:r>
    </w:p>
    <w:p w14:paraId="60A16751" w14:textId="77777777" w:rsidR="007A2A93" w:rsidRPr="00715FC1" w:rsidRDefault="007A2A93" w:rsidP="007A2A93">
      <w:pPr>
        <w:tabs>
          <w:tab w:val="left" w:pos="3360"/>
        </w:tabs>
        <w:spacing w:after="0" w:line="240" w:lineRule="auto"/>
        <w:jc w:val="both"/>
        <w:rPr>
          <w:rFonts w:eastAsia="Calibri" w:cstheme="minorHAnsi"/>
        </w:rPr>
      </w:pPr>
      <w:r w:rsidRPr="00715FC1">
        <w:rPr>
          <w:rFonts w:eastAsia="Calibri" w:cstheme="minorHAnsi"/>
        </w:rPr>
        <w:t>Usnesením č. 017-20/2021/RK ze dne 6. 5. 2021 byly na kapitolu 26 - Veřejná mobilita z kapitoly 04 – Doprava převedeny finanční prostředky ve výši 18 500 000,00 Kč</w:t>
      </w:r>
      <w:r w:rsidRPr="00041914">
        <w:rPr>
          <w:rFonts w:eastAsia="Calibri" w:cstheme="minorHAnsi"/>
        </w:rPr>
        <w:t>. Na základě</w:t>
      </w:r>
      <w:r>
        <w:rPr>
          <w:rFonts w:eastAsia="Calibri" w:cstheme="minorHAnsi"/>
          <w:b/>
          <w:bCs/>
        </w:rPr>
        <w:t xml:space="preserve"> </w:t>
      </w:r>
      <w:r>
        <w:rPr>
          <w:rFonts w:eastAsia="Calibri" w:cstheme="minorHAnsi"/>
        </w:rPr>
        <w:t>usnesením č. 032-47/2021/RK ze dne 16. 12. 2021 byly do kapitoly 23 – Ostatní, výdaje dle programů, převedeny finanční prostředky ve výši 11 000 000,00 Kč.</w:t>
      </w:r>
    </w:p>
    <w:p w14:paraId="31ED3728" w14:textId="0D1E7E5B" w:rsidR="00A94C91" w:rsidRPr="00715FC1" w:rsidRDefault="00A94C91" w:rsidP="00A94C91">
      <w:pPr>
        <w:tabs>
          <w:tab w:val="left" w:pos="3360"/>
        </w:tabs>
        <w:spacing w:after="0" w:line="240" w:lineRule="auto"/>
        <w:jc w:val="both"/>
        <w:rPr>
          <w:rFonts w:eastAsia="Calibri" w:cstheme="minorHAnsi"/>
        </w:rPr>
      </w:pPr>
      <w:r w:rsidRPr="00715FC1">
        <w:rPr>
          <w:rFonts w:eastAsia="Calibri" w:cstheme="minorHAnsi"/>
          <w:bCs/>
        </w:rPr>
        <w:t>Středočeský Fond cyklistické infrastruktury byl</w:t>
      </w:r>
      <w:r w:rsidRPr="00715FC1">
        <w:rPr>
          <w:rFonts w:eastAsia="Calibri" w:cstheme="minorHAnsi"/>
          <w:b/>
          <w:bCs/>
        </w:rPr>
        <w:t xml:space="preserve"> </w:t>
      </w:r>
      <w:r w:rsidRPr="00715FC1">
        <w:rPr>
          <w:rFonts w:cstheme="minorHAnsi"/>
        </w:rPr>
        <w:t>zřízen usnesením č. 008-05/2021/ZK ze dne 29. 3. 2021 s účinností od 1. 4. 2021.</w:t>
      </w:r>
      <w:r w:rsidRPr="00715FC1">
        <w:rPr>
          <w:rFonts w:eastAsia="Calibri" w:cstheme="minorHAnsi"/>
        </w:rPr>
        <w:t xml:space="preserve"> </w:t>
      </w:r>
      <w:r w:rsidRPr="00715FC1">
        <w:rPr>
          <w:rFonts w:cstheme="minorHAnsi"/>
          <w:bCs/>
        </w:rPr>
        <w:t>Program 2021 pro poskytování dotací z rozpočtu Středočeského kraje ze Středočeského Fondu cyklistické infrastruktury byl schválen usnesením č. 009-05/2021/ZK ze dne 29. 3. 2021, ve II. polovině roku 2021 bylo čerpáno celkem 4 132 624,00 Kč</w:t>
      </w:r>
      <w:r w:rsidR="00041914">
        <w:rPr>
          <w:rFonts w:cstheme="minorHAnsi"/>
          <w:bCs/>
        </w:rPr>
        <w:t xml:space="preserve">. </w:t>
      </w:r>
      <w:r w:rsidR="00041914" w:rsidRPr="00715FC1">
        <w:rPr>
          <w:rFonts w:eastAsia="Calibri" w:cstheme="minorHAnsi"/>
        </w:rPr>
        <w:t>Finanční prostředky poskytnuté z Fondu cyklistické infrastruktury jsou určené na financování investičních nákladů spojené s výstavbou cyklistické infrastruktury.</w:t>
      </w:r>
    </w:p>
    <w:p w14:paraId="1840F352" w14:textId="77777777" w:rsidR="00A94C91" w:rsidRDefault="00A94C91" w:rsidP="00A94C91">
      <w:pPr>
        <w:tabs>
          <w:tab w:val="left" w:pos="3360"/>
        </w:tabs>
        <w:spacing w:after="0" w:line="240" w:lineRule="auto"/>
        <w:jc w:val="both"/>
        <w:rPr>
          <w:rFonts w:eastAsia="Calibri" w:cstheme="minorHAnsi"/>
        </w:rPr>
      </w:pPr>
    </w:p>
    <w:p w14:paraId="0EC34504" w14:textId="4CA96F73" w:rsidR="00A94C91" w:rsidRPr="00715FC1" w:rsidRDefault="00A94C91" w:rsidP="00A94C91">
      <w:pPr>
        <w:tabs>
          <w:tab w:val="left" w:pos="3360"/>
        </w:tabs>
        <w:spacing w:after="0" w:line="240" w:lineRule="auto"/>
        <w:jc w:val="both"/>
        <w:rPr>
          <w:rFonts w:eastAsia="Calibri" w:cstheme="minorHAnsi"/>
        </w:rPr>
      </w:pPr>
    </w:p>
    <w:p w14:paraId="743B7514" w14:textId="77777777" w:rsidR="00A94C91" w:rsidRPr="00715FC1" w:rsidRDefault="00A94C91" w:rsidP="00A94C91">
      <w:pPr>
        <w:tabs>
          <w:tab w:val="left" w:pos="3360"/>
        </w:tabs>
        <w:spacing w:after="0" w:line="240" w:lineRule="auto"/>
        <w:jc w:val="both"/>
        <w:rPr>
          <w:rFonts w:eastAsia="Calibri" w:cstheme="minorHAnsi"/>
          <w:b/>
          <w:bCs/>
          <w:sz w:val="24"/>
          <w:szCs w:val="24"/>
          <w:u w:val="single"/>
        </w:rPr>
      </w:pPr>
      <w:r w:rsidRPr="00715FC1">
        <w:rPr>
          <w:rFonts w:eastAsia="Calibri" w:cstheme="minorHAnsi"/>
          <w:b/>
          <w:bCs/>
          <w:sz w:val="24"/>
          <w:szCs w:val="24"/>
          <w:u w:val="single"/>
        </w:rPr>
        <w:t>Kapitálové výdaje</w:t>
      </w:r>
    </w:p>
    <w:p w14:paraId="28077D2C" w14:textId="77777777" w:rsidR="00A94C91" w:rsidRPr="00715FC1" w:rsidRDefault="00A94C91" w:rsidP="00A94C91">
      <w:pPr>
        <w:tabs>
          <w:tab w:val="left" w:pos="3360"/>
        </w:tabs>
        <w:spacing w:after="0" w:line="240" w:lineRule="auto"/>
        <w:jc w:val="both"/>
        <w:rPr>
          <w:rFonts w:eastAsia="Calibri" w:cstheme="minorHAnsi"/>
          <w:b/>
          <w:bCs/>
        </w:rPr>
      </w:pPr>
    </w:p>
    <w:p w14:paraId="4259D308" w14:textId="77777777" w:rsidR="00A94C91" w:rsidRPr="00715FC1" w:rsidRDefault="00A94C91" w:rsidP="00A94C91">
      <w:pPr>
        <w:tabs>
          <w:tab w:val="left" w:pos="3360"/>
        </w:tabs>
        <w:spacing w:after="0" w:line="240" w:lineRule="auto"/>
        <w:jc w:val="both"/>
        <w:rPr>
          <w:rFonts w:eastAsia="Calibri" w:cstheme="minorHAnsi"/>
          <w:b/>
          <w:bCs/>
        </w:rPr>
      </w:pPr>
      <w:r w:rsidRPr="00715FC1">
        <w:rPr>
          <w:rFonts w:eastAsia="Calibri" w:cstheme="minorHAnsi"/>
          <w:b/>
          <w:bCs/>
        </w:rPr>
        <w:t>§ 2219 - Ostatní záležitosti pozemních komunikací – cyklodoprava – dotace obci Lipník</w:t>
      </w:r>
    </w:p>
    <w:p w14:paraId="28899D0E" w14:textId="6311FC24" w:rsidR="0020666D" w:rsidRPr="00765639" w:rsidRDefault="00A94C91" w:rsidP="0020666D">
      <w:pPr>
        <w:tabs>
          <w:tab w:val="left" w:pos="3360"/>
        </w:tabs>
        <w:spacing w:after="0" w:line="240" w:lineRule="auto"/>
        <w:jc w:val="both"/>
        <w:rPr>
          <w:rFonts w:eastAsia="Calibri" w:cstheme="minorHAnsi"/>
        </w:rPr>
      </w:pPr>
      <w:r w:rsidRPr="00715FC1">
        <w:rPr>
          <w:rFonts w:eastAsia="Times New Roman" w:cstheme="minorHAnsi"/>
          <w:lang w:eastAsia="cs-CZ"/>
        </w:rPr>
        <w:t>Z paragrafu 2292 byly převedeny finanční prostředky ve výši 1 500 000,00 Kč na paragraf 2219 dle usnesení č. 013-46/2021/RK z 9.12.2021</w:t>
      </w:r>
      <w:r w:rsidRPr="00715FC1">
        <w:rPr>
          <w:rFonts w:eastAsia="Calibri" w:cstheme="minorHAnsi"/>
        </w:rPr>
        <w:t xml:space="preserve">, které byly poskytnuty jako dotace obci Lipník za účelem výstavby </w:t>
      </w:r>
      <w:r w:rsidR="0029594C" w:rsidRPr="00765639">
        <w:rPr>
          <w:rFonts w:eastAsia="Calibri" w:cstheme="minorHAnsi"/>
        </w:rPr>
        <w:t>C</w:t>
      </w:r>
      <w:r w:rsidR="0020666D" w:rsidRPr="00765639">
        <w:rPr>
          <w:rFonts w:eastAsia="Calibri" w:cstheme="minorHAnsi"/>
        </w:rPr>
        <w:t xml:space="preserve">yklostezky Lipník – Čachovice. Poskytnutí dotace bylo schváleno </w:t>
      </w:r>
      <w:r w:rsidRPr="00765639">
        <w:rPr>
          <w:rFonts w:eastAsia="Calibri" w:cstheme="minorHAnsi"/>
        </w:rPr>
        <w:t>usnesení</w:t>
      </w:r>
      <w:r w:rsidR="0020666D" w:rsidRPr="00765639">
        <w:rPr>
          <w:rFonts w:eastAsia="Calibri" w:cstheme="minorHAnsi"/>
        </w:rPr>
        <w:t>m č. 013-10/2021/ZK ze dne 25. 10. 2021.</w:t>
      </w:r>
      <w:r w:rsidR="007A2A93">
        <w:rPr>
          <w:rFonts w:eastAsia="Calibri" w:cstheme="minorHAnsi"/>
        </w:rPr>
        <w:t xml:space="preserve"> Dotace byla čerpána v plné výši.</w:t>
      </w:r>
    </w:p>
    <w:p w14:paraId="5AC11EE9" w14:textId="77777777" w:rsidR="00A94C91" w:rsidRPr="00715FC1" w:rsidRDefault="00A94C91" w:rsidP="00A94C91">
      <w:pPr>
        <w:tabs>
          <w:tab w:val="left" w:pos="3360"/>
        </w:tabs>
        <w:spacing w:after="0" w:line="240" w:lineRule="auto"/>
        <w:jc w:val="both"/>
        <w:rPr>
          <w:rFonts w:eastAsia="Calibri" w:cstheme="minorHAnsi"/>
          <w:b/>
          <w:bCs/>
          <w:sz w:val="24"/>
          <w:szCs w:val="24"/>
          <w:u w:val="single"/>
        </w:rPr>
      </w:pPr>
    </w:p>
    <w:p w14:paraId="3DCBC4A2" w14:textId="77777777" w:rsidR="00A94C91" w:rsidRPr="00715FC1" w:rsidRDefault="00A94C91" w:rsidP="00A94C91">
      <w:pPr>
        <w:spacing w:after="0" w:line="240" w:lineRule="auto"/>
        <w:jc w:val="both"/>
        <w:outlineLvl w:val="0"/>
        <w:rPr>
          <w:rFonts w:eastAsia="Calibri" w:cstheme="minorHAnsi"/>
          <w:b/>
          <w:bCs/>
          <w:sz w:val="24"/>
          <w:szCs w:val="24"/>
          <w:u w:val="single"/>
        </w:rPr>
      </w:pPr>
    </w:p>
    <w:p w14:paraId="4D435B95" w14:textId="77777777" w:rsidR="00A94C91" w:rsidRPr="00715FC1" w:rsidRDefault="00A94C91" w:rsidP="00A94C91">
      <w:pPr>
        <w:spacing w:after="0" w:line="240" w:lineRule="auto"/>
        <w:jc w:val="both"/>
        <w:outlineLvl w:val="0"/>
        <w:rPr>
          <w:rFonts w:eastAsia="Calibri" w:cstheme="minorHAnsi"/>
          <w:b/>
          <w:bCs/>
          <w:sz w:val="24"/>
          <w:szCs w:val="24"/>
          <w:u w:val="single"/>
        </w:rPr>
      </w:pPr>
      <w:r w:rsidRPr="00715FC1">
        <w:rPr>
          <w:rFonts w:eastAsia="Calibri" w:cstheme="minorHAnsi"/>
          <w:b/>
          <w:bCs/>
          <w:sz w:val="24"/>
          <w:szCs w:val="24"/>
          <w:u w:val="single"/>
        </w:rPr>
        <w:t>Předfinancování a kofinancování projektů spolufinancovaných z EU/EHP a ostatní související výdaje s projekty EU/EHP</w:t>
      </w:r>
    </w:p>
    <w:p w14:paraId="2C1D5014" w14:textId="77777777" w:rsidR="00A94C91" w:rsidRPr="00715FC1" w:rsidRDefault="00A94C91" w:rsidP="00A94C91">
      <w:pPr>
        <w:spacing w:after="0" w:line="240" w:lineRule="auto"/>
        <w:jc w:val="both"/>
        <w:rPr>
          <w:rFonts w:eastAsia="Calibri" w:cstheme="minorHAnsi"/>
        </w:rPr>
      </w:pPr>
    </w:p>
    <w:p w14:paraId="7B95C6C9" w14:textId="77777777" w:rsidR="00A94C91" w:rsidRPr="00715FC1" w:rsidRDefault="00A94C91" w:rsidP="00A94C91">
      <w:pPr>
        <w:spacing w:after="0" w:line="240" w:lineRule="auto"/>
        <w:jc w:val="both"/>
        <w:rPr>
          <w:rFonts w:eastAsia="Calibri" w:cstheme="minorHAnsi"/>
          <w:b/>
          <w:bCs/>
        </w:rPr>
      </w:pPr>
      <w:r w:rsidRPr="00715FC1">
        <w:rPr>
          <w:rFonts w:eastAsia="Calibri" w:cstheme="minorHAnsi"/>
          <w:b/>
          <w:bCs/>
        </w:rPr>
        <w:t>§ 2219 – Ostatní</w:t>
      </w:r>
      <w:r w:rsidRPr="00715FC1">
        <w:rPr>
          <w:rFonts w:eastAsia="Calibri" w:cstheme="minorHAnsi"/>
        </w:rPr>
        <w:t xml:space="preserve"> </w:t>
      </w:r>
      <w:r w:rsidRPr="00715FC1">
        <w:rPr>
          <w:rFonts w:eastAsia="Calibri" w:cstheme="minorHAnsi"/>
          <w:b/>
          <w:bCs/>
        </w:rPr>
        <w:t>záležitosti pozemních komunikací – cyklodoprava</w:t>
      </w:r>
    </w:p>
    <w:p w14:paraId="3BF7FDB6" w14:textId="77777777" w:rsidR="00A94C91" w:rsidRPr="00715FC1" w:rsidRDefault="00A94C91" w:rsidP="00A94C91">
      <w:pPr>
        <w:spacing w:after="0" w:line="240" w:lineRule="auto"/>
        <w:jc w:val="both"/>
        <w:rPr>
          <w:rFonts w:eastAsia="Calibri" w:cstheme="minorHAnsi"/>
        </w:rPr>
      </w:pPr>
      <w:r w:rsidRPr="00715FC1">
        <w:rPr>
          <w:rFonts w:eastAsia="Calibri" w:cstheme="minorHAnsi"/>
        </w:rPr>
        <w:t>Podíl Středočeského kraje na předfinancování a úhradu neuznatelných výdajů projektů spolufinancovaných z EU v oblasti cyklodopravy schválených v Zásobníku projektů spolufinancovaných z EU/EHP a národních zdrojů. Čerpání probíhá na základě uzavřených smluv a došlých dodavatelských faktur. V roce 2021 bylo čerpáno 879 246,50 Kč.</w:t>
      </w:r>
    </w:p>
    <w:p w14:paraId="33CD1027" w14:textId="77777777" w:rsidR="00A94C91" w:rsidRPr="00715FC1" w:rsidRDefault="00A94C91" w:rsidP="00A94C91">
      <w:pPr>
        <w:spacing w:after="0" w:line="240" w:lineRule="auto"/>
        <w:jc w:val="both"/>
        <w:rPr>
          <w:rFonts w:eastAsia="Calibri" w:cstheme="minorHAnsi"/>
        </w:rPr>
      </w:pPr>
    </w:p>
    <w:p w14:paraId="5CF16442" w14:textId="77777777" w:rsidR="00A94C91" w:rsidRPr="00715FC1" w:rsidRDefault="00A94C91" w:rsidP="00A94C91">
      <w:pPr>
        <w:spacing w:after="0" w:line="240" w:lineRule="auto"/>
        <w:jc w:val="both"/>
        <w:rPr>
          <w:rFonts w:eastAsia="Calibri" w:cstheme="minorHAnsi"/>
          <w:b/>
          <w:bCs/>
        </w:rPr>
      </w:pPr>
      <w:r w:rsidRPr="00715FC1">
        <w:rPr>
          <w:rFonts w:eastAsia="Calibri" w:cstheme="minorHAnsi"/>
          <w:b/>
          <w:bCs/>
        </w:rPr>
        <w:t>§ 2271</w:t>
      </w:r>
      <w:r>
        <w:rPr>
          <w:rFonts w:eastAsia="Calibri" w:cstheme="minorHAnsi"/>
          <w:b/>
          <w:bCs/>
        </w:rPr>
        <w:t xml:space="preserve"> </w:t>
      </w:r>
      <w:r w:rsidRPr="00715FC1">
        <w:rPr>
          <w:rFonts w:eastAsia="Calibri" w:cstheme="minorHAnsi"/>
          <w:b/>
          <w:bCs/>
        </w:rPr>
        <w:t>– Ostatní dráhy</w:t>
      </w:r>
    </w:p>
    <w:p w14:paraId="33A02BBE" w14:textId="307A97D0" w:rsidR="00A94C91" w:rsidRPr="00715FC1" w:rsidRDefault="00A94C91" w:rsidP="00A94C91">
      <w:pPr>
        <w:autoSpaceDE w:val="0"/>
        <w:autoSpaceDN w:val="0"/>
        <w:adjustRightInd w:val="0"/>
        <w:spacing w:after="0" w:line="240" w:lineRule="auto"/>
        <w:jc w:val="both"/>
        <w:rPr>
          <w:rFonts w:cstheme="minorHAnsi"/>
        </w:rPr>
      </w:pPr>
      <w:r w:rsidRPr="00715FC1">
        <w:rPr>
          <w:rFonts w:cstheme="minorHAnsi"/>
        </w:rPr>
        <w:t xml:space="preserve">Investiční příspěvek </w:t>
      </w:r>
      <w:r w:rsidR="00F42930">
        <w:rPr>
          <w:rFonts w:cstheme="minorHAnsi"/>
        </w:rPr>
        <w:t xml:space="preserve">příspěvkové organizaci Krajská správa a údržba silnic Středočeského kraje, p.o. ve výši </w:t>
      </w:r>
      <w:r w:rsidRPr="00715FC1">
        <w:rPr>
          <w:rFonts w:cstheme="minorHAnsi"/>
        </w:rPr>
        <w:t xml:space="preserve">2 432 575,53 Kč na tramvajovou trať, byl </w:t>
      </w:r>
      <w:r w:rsidRPr="00034370">
        <w:rPr>
          <w:rFonts w:cstheme="minorHAnsi"/>
        </w:rPr>
        <w:t>financován z prostředků na přípravu</w:t>
      </w:r>
      <w:r>
        <w:rPr>
          <w:rFonts w:cstheme="minorHAnsi"/>
        </w:rPr>
        <w:t xml:space="preserve"> </w:t>
      </w:r>
      <w:r w:rsidRPr="00715FC1">
        <w:rPr>
          <w:rFonts w:cstheme="minorHAnsi"/>
        </w:rPr>
        <w:t>projektů pro programové období 2021-2027, dle usnesení č. 023-45/2021/RK ze dne 2.</w:t>
      </w:r>
      <w:r w:rsidR="00F42930">
        <w:rPr>
          <w:rFonts w:cstheme="minorHAnsi"/>
        </w:rPr>
        <w:t xml:space="preserve"> </w:t>
      </w:r>
      <w:r w:rsidRPr="00715FC1">
        <w:rPr>
          <w:rFonts w:cstheme="minorHAnsi"/>
        </w:rPr>
        <w:t>12.</w:t>
      </w:r>
      <w:r w:rsidR="00F42930">
        <w:rPr>
          <w:rFonts w:cstheme="minorHAnsi"/>
        </w:rPr>
        <w:t xml:space="preserve"> </w:t>
      </w:r>
      <w:r w:rsidRPr="00715FC1">
        <w:rPr>
          <w:rFonts w:cstheme="minorHAnsi"/>
        </w:rPr>
        <w:t>2021</w:t>
      </w:r>
    </w:p>
    <w:p w14:paraId="22BAE3DA" w14:textId="77777777" w:rsidR="00A94C91" w:rsidRPr="00715FC1" w:rsidRDefault="00A94C91" w:rsidP="00A94C91">
      <w:pPr>
        <w:autoSpaceDE w:val="0"/>
        <w:autoSpaceDN w:val="0"/>
        <w:adjustRightInd w:val="0"/>
        <w:spacing w:after="0" w:line="240" w:lineRule="auto"/>
        <w:jc w:val="both"/>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6C3F523" w14:textId="77777777" w:rsidR="00A94C91" w:rsidRPr="00715FC1" w:rsidRDefault="00A94C91" w:rsidP="00A94C91">
      <w:pPr>
        <w:autoSpaceDE w:val="0"/>
        <w:autoSpaceDN w:val="0"/>
        <w:adjustRightInd w:val="0"/>
        <w:spacing w:after="0" w:line="240" w:lineRule="auto"/>
        <w:jc w:val="both"/>
        <w:rPr>
          <w:rFonts w:cstheme="minorHAnsi"/>
          <w:b/>
          <w:color w:val="000000" w:themeColor="text1"/>
          <w:sz w:val="24"/>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6A042D7" w14:textId="77777777" w:rsidR="00A94C91" w:rsidRPr="00715FC1" w:rsidRDefault="00A94C91" w:rsidP="00A94C91">
      <w:pPr>
        <w:autoSpaceDE w:val="0"/>
        <w:autoSpaceDN w:val="0"/>
        <w:adjustRightInd w:val="0"/>
        <w:spacing w:after="0" w:line="240" w:lineRule="auto"/>
        <w:jc w:val="both"/>
        <w:rPr>
          <w:rFonts w:cstheme="minorHAnsi"/>
          <w:b/>
          <w:color w:val="000000" w:themeColor="text1"/>
          <w:sz w:val="24"/>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15FC1">
        <w:rPr>
          <w:rFonts w:cstheme="minorHAnsi"/>
          <w:b/>
          <w:color w:val="000000" w:themeColor="text1"/>
          <w:sz w:val="24"/>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Dotace ze státního rozpočtu a ostatních veřejných rozpočtů</w:t>
      </w:r>
    </w:p>
    <w:p w14:paraId="5D310726" w14:textId="77777777" w:rsidR="00A94C91" w:rsidRPr="00715FC1" w:rsidRDefault="00A94C91" w:rsidP="00A94C91">
      <w:pPr>
        <w:autoSpaceDE w:val="0"/>
        <w:autoSpaceDN w:val="0"/>
        <w:adjustRightInd w:val="0"/>
        <w:spacing w:after="0" w:line="240" w:lineRule="auto"/>
        <w:jc w:val="both"/>
        <w:rPr>
          <w:rFonts w:cstheme="minorHAnsi"/>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CEC1CDD" w14:textId="2B6B4783" w:rsidR="00A94C91" w:rsidRPr="00715FC1" w:rsidRDefault="00A94C91" w:rsidP="00A94C91">
      <w:pPr>
        <w:autoSpaceDE w:val="0"/>
        <w:autoSpaceDN w:val="0"/>
        <w:adjustRightInd w:val="0"/>
        <w:spacing w:after="0" w:line="240" w:lineRule="auto"/>
        <w:jc w:val="both"/>
        <w:rPr>
          <w:rFonts w:cstheme="minorHAnsi"/>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15FC1">
        <w:rPr>
          <w:rFonts w:cstheme="minorHAnsi"/>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2294 </w:t>
      </w:r>
      <w:r w:rsidRPr="00715FC1">
        <w:rPr>
          <w:rFonts w:eastAsia="Calibri" w:cstheme="minorHAnsi"/>
          <w:b/>
          <w:bCs/>
        </w:rPr>
        <w:t>–</w:t>
      </w:r>
      <w:r w:rsidRPr="00715FC1">
        <w:rPr>
          <w:rFonts w:cstheme="minorHAnsi"/>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Dotace od Ministerstva dopravy na krytí nákladů na kompenzace dopravcům ve veřejné železniční dopravě</w:t>
      </w:r>
      <w:r w:rsidR="00F42930" w:rsidRPr="00F42930">
        <w:rPr>
          <w:rFonts w:cstheme="minorHAnsi"/>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F42930" w:rsidRPr="00715FC1">
        <w:rPr>
          <w:rFonts w:cstheme="minorHAnsi"/>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ÚZ 27355</w:t>
      </w:r>
    </w:p>
    <w:p w14:paraId="56D97A59" w14:textId="5911CB2E" w:rsidR="00A94C91" w:rsidRPr="00715FC1" w:rsidRDefault="00A94C91" w:rsidP="00A94C91">
      <w:pPr>
        <w:autoSpaceDE w:val="0"/>
        <w:autoSpaceDN w:val="0"/>
        <w:adjustRightInd w:val="0"/>
        <w:spacing w:after="0" w:line="240" w:lineRule="auto"/>
        <w:jc w:val="both"/>
        <w:rPr>
          <w:rFonts w:cstheme="minorHAnsi"/>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15FC1">
        <w:t>Poskytnutí účelové dotace</w:t>
      </w:r>
      <w:r>
        <w:t xml:space="preserve"> MD ČR</w:t>
      </w:r>
      <w:r w:rsidRPr="00715FC1">
        <w:t xml:space="preserve"> ke krytí nákladů Středočeského kraje na kompenzace dopravcům ve veřejné železniční osobní dopravě v roce 2021 částkou 563 780 309,00 Kč</w:t>
      </w:r>
      <w:r>
        <w:t>.</w:t>
      </w:r>
      <w:r w:rsidRPr="00715FC1">
        <w:t xml:space="preserve"> </w:t>
      </w:r>
    </w:p>
    <w:p w14:paraId="703795A6" w14:textId="77777777" w:rsidR="00A94C91" w:rsidRPr="00715FC1" w:rsidRDefault="00A94C91" w:rsidP="00A94C91">
      <w:pPr>
        <w:spacing w:after="0" w:line="240" w:lineRule="auto"/>
        <w:jc w:val="both"/>
        <w:rPr>
          <w:rFonts w:eastAsia="Calibri" w:cstheme="minorHAnsi"/>
        </w:rPr>
      </w:pPr>
    </w:p>
    <w:p w14:paraId="1F750209" w14:textId="77777777" w:rsidR="00A94C91" w:rsidRPr="00715FC1" w:rsidRDefault="00A94C91" w:rsidP="00A94C91">
      <w:pPr>
        <w:spacing w:after="0" w:line="240" w:lineRule="auto"/>
        <w:jc w:val="both"/>
        <w:outlineLvl w:val="0"/>
        <w:rPr>
          <w:rFonts w:eastAsia="Calibri" w:cstheme="minorHAnsi"/>
          <w:b/>
          <w:bCs/>
          <w:sz w:val="24"/>
          <w:szCs w:val="24"/>
          <w:u w:val="single"/>
        </w:rPr>
      </w:pPr>
      <w:r w:rsidRPr="00715FC1">
        <w:rPr>
          <w:rFonts w:eastAsia="Calibri" w:cstheme="minorHAnsi"/>
          <w:b/>
          <w:bCs/>
          <w:sz w:val="24"/>
          <w:szCs w:val="24"/>
          <w:u w:val="single"/>
        </w:rPr>
        <w:t>Příspěvkové organizace</w:t>
      </w:r>
    </w:p>
    <w:p w14:paraId="66DBC924" w14:textId="77777777" w:rsidR="00A94C91" w:rsidRPr="00715FC1" w:rsidRDefault="00A94C91" w:rsidP="00A94C91">
      <w:pPr>
        <w:spacing w:after="0" w:line="240" w:lineRule="auto"/>
        <w:jc w:val="both"/>
        <w:outlineLvl w:val="0"/>
        <w:rPr>
          <w:rFonts w:eastAsia="Calibri" w:cstheme="minorHAnsi"/>
          <w:b/>
          <w:bCs/>
          <w:u w:val="single"/>
        </w:rPr>
      </w:pPr>
    </w:p>
    <w:p w14:paraId="51C9EB68" w14:textId="2614764D" w:rsidR="0029594C" w:rsidRPr="00D74F48" w:rsidRDefault="0029594C" w:rsidP="0029594C">
      <w:pPr>
        <w:spacing w:after="0" w:line="240" w:lineRule="auto"/>
        <w:jc w:val="both"/>
        <w:rPr>
          <w:rFonts w:eastAsia="Times New Roman" w:cstheme="minorHAnsi"/>
          <w:lang w:eastAsia="cs-CZ"/>
        </w:rPr>
      </w:pPr>
      <w:r w:rsidRPr="00034370">
        <w:rPr>
          <w:rFonts w:eastAsia="Calibri" w:cstheme="minorHAnsi"/>
        </w:rPr>
        <w:t xml:space="preserve">Kapitola 26 – Veřejná mobilita spravuje </w:t>
      </w:r>
      <w:r w:rsidRPr="00034370">
        <w:rPr>
          <w:rFonts w:eastAsia="Calibri" w:cstheme="minorHAnsi"/>
          <w:bCs/>
          <w:iCs/>
        </w:rPr>
        <w:t xml:space="preserve">Integrovanou dopravu Středočeského kraje (IDSK), příspěvkovou organizaci, jejíž činností je integrace dopravy, zejména řešení společné integrované dopravy Prahy a Středočeského kraje. </w:t>
      </w:r>
      <w:r w:rsidRPr="00034370">
        <w:rPr>
          <w:rFonts w:eastAsia="Calibri" w:cstheme="minorHAnsi"/>
        </w:rPr>
        <w:t xml:space="preserve">Příspěvkové organizaci byl </w:t>
      </w:r>
      <w:r w:rsidR="00296EE4">
        <w:rPr>
          <w:rFonts w:eastAsia="Calibri" w:cstheme="minorHAnsi"/>
        </w:rPr>
        <w:t>v roce</w:t>
      </w:r>
      <w:r w:rsidRPr="00034370">
        <w:rPr>
          <w:rFonts w:eastAsia="Calibri" w:cstheme="minorHAnsi"/>
        </w:rPr>
        <w:t xml:space="preserve"> 2021 poskytnut příspěvek na provoz v celkové výši 71 772 532,00 Kč. </w:t>
      </w:r>
      <w:r w:rsidRPr="00034370">
        <w:rPr>
          <w:rFonts w:eastAsia="Calibri" w:cstheme="minorHAnsi"/>
        </w:rPr>
        <w:br/>
        <w:t xml:space="preserve">K 31. 12. 2021 vykázala PO IDSK kladný hospodářský výsledek ve výši </w:t>
      </w:r>
      <w:r w:rsidRPr="00AE22CD">
        <w:rPr>
          <w:rFonts w:eastAsia="Calibri" w:cstheme="minorHAnsi"/>
        </w:rPr>
        <w:t>20 312 2</w:t>
      </w:r>
      <w:r w:rsidR="00AE22CD" w:rsidRPr="00AE22CD">
        <w:rPr>
          <w:rFonts w:eastAsia="Calibri" w:cstheme="minorHAnsi"/>
        </w:rPr>
        <w:t>6</w:t>
      </w:r>
      <w:r w:rsidRPr="00AE22CD">
        <w:rPr>
          <w:rFonts w:eastAsia="Calibri" w:cstheme="minorHAnsi"/>
        </w:rPr>
        <w:t>0,00</w:t>
      </w:r>
      <w:r w:rsidRPr="00AE22CD">
        <w:rPr>
          <w:rFonts w:eastAsia="Times New Roman" w:cstheme="minorHAnsi"/>
          <w:lang w:eastAsia="cs-CZ"/>
        </w:rPr>
        <w:t xml:space="preserve"> Kč.</w:t>
      </w:r>
    </w:p>
    <w:p w14:paraId="099BF969" w14:textId="77777777" w:rsidR="00A94C91" w:rsidRDefault="00A94C91" w:rsidP="0013179B">
      <w:pPr>
        <w:rPr>
          <w:rFonts w:cs="Calibri"/>
        </w:rPr>
      </w:pPr>
    </w:p>
    <w:p w14:paraId="74C27652" w14:textId="267BF8B0" w:rsidR="000B380F" w:rsidRDefault="000B380F" w:rsidP="0013179B">
      <w:pPr>
        <w:rPr>
          <w:rFonts w:cs="Calibri"/>
        </w:rPr>
      </w:pPr>
    </w:p>
    <w:p w14:paraId="7D0033A7" w14:textId="0BCA84F5" w:rsidR="00B81C62" w:rsidRDefault="00B81C62" w:rsidP="0013179B">
      <w:pPr>
        <w:rPr>
          <w:rFonts w:cs="Calibri"/>
        </w:rPr>
      </w:pPr>
    </w:p>
    <w:p w14:paraId="735B6512" w14:textId="77777777" w:rsidR="00B81C62" w:rsidRDefault="00B81C62" w:rsidP="0013179B">
      <w:pPr>
        <w:rPr>
          <w:rFonts w:cs="Calibri"/>
        </w:rPr>
      </w:pPr>
    </w:p>
    <w:p w14:paraId="78AF5380" w14:textId="79235F84" w:rsidR="000B380F" w:rsidRDefault="000B380F" w:rsidP="0013179B">
      <w:pPr>
        <w:rPr>
          <w:rFonts w:cs="Calibri"/>
        </w:rPr>
      </w:pPr>
    </w:p>
    <w:p w14:paraId="5D143B45" w14:textId="6C32AAB1" w:rsidR="000B380F" w:rsidRDefault="000B380F" w:rsidP="0013179B">
      <w:pPr>
        <w:rPr>
          <w:rFonts w:cs="Calibri"/>
        </w:rPr>
      </w:pPr>
    </w:p>
    <w:p w14:paraId="6ECB4654" w14:textId="0755F270" w:rsidR="000B380F" w:rsidRDefault="000B380F" w:rsidP="0013179B">
      <w:pPr>
        <w:rPr>
          <w:rFonts w:cs="Calibri"/>
        </w:rPr>
      </w:pPr>
    </w:p>
    <w:p w14:paraId="07427826" w14:textId="1C080BE5" w:rsidR="000B380F" w:rsidRDefault="000B380F" w:rsidP="0013179B">
      <w:pPr>
        <w:rPr>
          <w:rFonts w:cs="Calibri"/>
        </w:rPr>
      </w:pPr>
    </w:p>
    <w:p w14:paraId="45AE858C" w14:textId="53461B6F" w:rsidR="000B380F" w:rsidRDefault="000B380F" w:rsidP="0013179B">
      <w:pPr>
        <w:rPr>
          <w:rFonts w:cs="Calibri"/>
        </w:rPr>
      </w:pPr>
    </w:p>
    <w:tbl>
      <w:tblPr>
        <w:tblW w:w="9820" w:type="dxa"/>
        <w:tblCellMar>
          <w:left w:w="70" w:type="dxa"/>
          <w:right w:w="70" w:type="dxa"/>
        </w:tblCellMar>
        <w:tblLook w:val="04A0" w:firstRow="1" w:lastRow="0" w:firstColumn="1" w:lastColumn="0" w:noHBand="0" w:noVBand="1"/>
      </w:tblPr>
      <w:tblGrid>
        <w:gridCol w:w="826"/>
        <w:gridCol w:w="4101"/>
        <w:gridCol w:w="1276"/>
        <w:gridCol w:w="1780"/>
        <w:gridCol w:w="1189"/>
        <w:gridCol w:w="665"/>
      </w:tblGrid>
      <w:tr w:rsidR="000B380F" w:rsidRPr="000B380F" w14:paraId="51E223EE" w14:textId="77777777" w:rsidTr="000B380F">
        <w:trPr>
          <w:trHeight w:val="375"/>
        </w:trPr>
        <w:tc>
          <w:tcPr>
            <w:tcW w:w="9820" w:type="dxa"/>
            <w:gridSpan w:val="6"/>
            <w:tcBorders>
              <w:top w:val="nil"/>
              <w:left w:val="nil"/>
              <w:bottom w:val="nil"/>
              <w:right w:val="nil"/>
            </w:tcBorders>
            <w:shd w:val="clear" w:color="auto" w:fill="auto"/>
            <w:noWrap/>
            <w:vAlign w:val="center"/>
            <w:hideMark/>
          </w:tcPr>
          <w:p w14:paraId="1488744B" w14:textId="77777777" w:rsidR="000B380F" w:rsidRPr="000B380F" w:rsidRDefault="000B380F" w:rsidP="000B380F">
            <w:pPr>
              <w:spacing w:after="0" w:line="240" w:lineRule="auto"/>
              <w:jc w:val="center"/>
              <w:rPr>
                <w:rFonts w:ascii="Calibri" w:eastAsia="Times New Roman" w:hAnsi="Calibri" w:cs="Calibri"/>
                <w:b/>
                <w:bCs/>
                <w:sz w:val="28"/>
                <w:szCs w:val="28"/>
                <w:lang w:eastAsia="cs-CZ"/>
              </w:rPr>
            </w:pPr>
            <w:r w:rsidRPr="000B380F">
              <w:rPr>
                <w:rFonts w:ascii="Calibri" w:eastAsia="Times New Roman" w:hAnsi="Calibri" w:cs="Calibri"/>
                <w:b/>
                <w:bCs/>
                <w:sz w:val="28"/>
                <w:szCs w:val="28"/>
                <w:lang w:eastAsia="cs-CZ"/>
              </w:rPr>
              <w:t>Čerpání rozpočtu kapitoly 27 - Digitalizace - období: 1. - 12. 2021</w:t>
            </w:r>
          </w:p>
        </w:tc>
      </w:tr>
      <w:tr w:rsidR="000B380F" w:rsidRPr="000B380F" w14:paraId="355ECAA0" w14:textId="77777777" w:rsidTr="000B380F">
        <w:trPr>
          <w:trHeight w:val="390"/>
        </w:trPr>
        <w:tc>
          <w:tcPr>
            <w:tcW w:w="809" w:type="dxa"/>
            <w:tcBorders>
              <w:top w:val="nil"/>
              <w:left w:val="nil"/>
              <w:bottom w:val="nil"/>
              <w:right w:val="nil"/>
            </w:tcBorders>
            <w:shd w:val="clear" w:color="auto" w:fill="auto"/>
            <w:noWrap/>
            <w:vAlign w:val="bottom"/>
            <w:hideMark/>
          </w:tcPr>
          <w:p w14:paraId="6B8954A0" w14:textId="77777777" w:rsidR="000B380F" w:rsidRPr="000B380F" w:rsidRDefault="000B380F" w:rsidP="000B380F">
            <w:pPr>
              <w:spacing w:after="0" w:line="240" w:lineRule="auto"/>
              <w:jc w:val="center"/>
              <w:rPr>
                <w:rFonts w:ascii="Calibri" w:eastAsia="Times New Roman" w:hAnsi="Calibri" w:cs="Calibri"/>
                <w:b/>
                <w:bCs/>
                <w:sz w:val="28"/>
                <w:szCs w:val="28"/>
                <w:lang w:eastAsia="cs-CZ"/>
              </w:rPr>
            </w:pPr>
          </w:p>
        </w:tc>
        <w:tc>
          <w:tcPr>
            <w:tcW w:w="4101" w:type="dxa"/>
            <w:tcBorders>
              <w:top w:val="nil"/>
              <w:left w:val="nil"/>
              <w:bottom w:val="nil"/>
              <w:right w:val="nil"/>
            </w:tcBorders>
            <w:shd w:val="clear" w:color="auto" w:fill="auto"/>
            <w:noWrap/>
            <w:vAlign w:val="bottom"/>
            <w:hideMark/>
          </w:tcPr>
          <w:p w14:paraId="0E805EF0" w14:textId="77777777" w:rsidR="000B380F" w:rsidRPr="000B380F" w:rsidRDefault="000B380F" w:rsidP="000B380F">
            <w:pPr>
              <w:spacing w:after="0" w:line="240" w:lineRule="auto"/>
              <w:rPr>
                <w:rFonts w:ascii="Times New Roman" w:eastAsia="Times New Roman" w:hAnsi="Times New Roman" w:cs="Times New Roman"/>
                <w:sz w:val="20"/>
                <w:szCs w:val="20"/>
                <w:lang w:eastAsia="cs-CZ"/>
              </w:rPr>
            </w:pPr>
          </w:p>
        </w:tc>
        <w:tc>
          <w:tcPr>
            <w:tcW w:w="1276" w:type="dxa"/>
            <w:tcBorders>
              <w:top w:val="nil"/>
              <w:left w:val="nil"/>
              <w:bottom w:val="nil"/>
              <w:right w:val="nil"/>
            </w:tcBorders>
            <w:shd w:val="clear" w:color="auto" w:fill="auto"/>
            <w:noWrap/>
            <w:vAlign w:val="bottom"/>
            <w:hideMark/>
          </w:tcPr>
          <w:p w14:paraId="6DC6C45F" w14:textId="77777777" w:rsidR="000B380F" w:rsidRPr="000B380F" w:rsidRDefault="000B380F" w:rsidP="000B380F">
            <w:pPr>
              <w:spacing w:after="0" w:line="240" w:lineRule="auto"/>
              <w:rPr>
                <w:rFonts w:ascii="Times New Roman" w:eastAsia="Times New Roman" w:hAnsi="Times New Roman" w:cs="Times New Roman"/>
                <w:sz w:val="20"/>
                <w:szCs w:val="20"/>
                <w:lang w:eastAsia="cs-CZ"/>
              </w:rPr>
            </w:pPr>
          </w:p>
        </w:tc>
        <w:tc>
          <w:tcPr>
            <w:tcW w:w="1780" w:type="dxa"/>
            <w:tcBorders>
              <w:top w:val="nil"/>
              <w:left w:val="nil"/>
              <w:bottom w:val="nil"/>
              <w:right w:val="nil"/>
            </w:tcBorders>
            <w:shd w:val="clear" w:color="auto" w:fill="auto"/>
            <w:noWrap/>
            <w:vAlign w:val="bottom"/>
            <w:hideMark/>
          </w:tcPr>
          <w:p w14:paraId="7D6870A3" w14:textId="77777777" w:rsidR="000B380F" w:rsidRPr="000B380F" w:rsidRDefault="000B380F" w:rsidP="000B380F">
            <w:pPr>
              <w:spacing w:after="0" w:line="240" w:lineRule="auto"/>
              <w:rPr>
                <w:rFonts w:ascii="Times New Roman" w:eastAsia="Times New Roman" w:hAnsi="Times New Roman" w:cs="Times New Roman"/>
                <w:sz w:val="20"/>
                <w:szCs w:val="20"/>
                <w:lang w:eastAsia="cs-CZ"/>
              </w:rPr>
            </w:pPr>
          </w:p>
        </w:tc>
        <w:tc>
          <w:tcPr>
            <w:tcW w:w="1189" w:type="dxa"/>
            <w:tcBorders>
              <w:top w:val="nil"/>
              <w:left w:val="nil"/>
              <w:bottom w:val="nil"/>
              <w:right w:val="nil"/>
            </w:tcBorders>
            <w:shd w:val="clear" w:color="auto" w:fill="auto"/>
            <w:noWrap/>
            <w:vAlign w:val="bottom"/>
            <w:hideMark/>
          </w:tcPr>
          <w:p w14:paraId="2AB60E6F" w14:textId="77777777" w:rsidR="000B380F" w:rsidRPr="000B380F" w:rsidRDefault="000B380F" w:rsidP="000B380F">
            <w:pPr>
              <w:spacing w:after="0" w:line="240" w:lineRule="auto"/>
              <w:rPr>
                <w:rFonts w:ascii="Times New Roman" w:eastAsia="Times New Roman" w:hAnsi="Times New Roman" w:cs="Times New Roman"/>
                <w:sz w:val="20"/>
                <w:szCs w:val="20"/>
                <w:lang w:eastAsia="cs-CZ"/>
              </w:rPr>
            </w:pPr>
          </w:p>
        </w:tc>
        <w:tc>
          <w:tcPr>
            <w:tcW w:w="665" w:type="dxa"/>
            <w:tcBorders>
              <w:top w:val="nil"/>
              <w:left w:val="nil"/>
              <w:bottom w:val="nil"/>
              <w:right w:val="nil"/>
            </w:tcBorders>
            <w:shd w:val="clear" w:color="auto" w:fill="auto"/>
            <w:noWrap/>
            <w:vAlign w:val="bottom"/>
            <w:hideMark/>
          </w:tcPr>
          <w:p w14:paraId="25547D7C" w14:textId="77777777" w:rsidR="000B380F" w:rsidRPr="000B380F" w:rsidRDefault="000B380F" w:rsidP="000B380F">
            <w:pPr>
              <w:spacing w:after="0" w:line="240" w:lineRule="auto"/>
              <w:jc w:val="right"/>
              <w:rPr>
                <w:rFonts w:ascii="Calibri" w:eastAsia="Times New Roman" w:hAnsi="Calibri" w:cs="Calibri"/>
                <w:lang w:eastAsia="cs-CZ"/>
              </w:rPr>
            </w:pPr>
            <w:r w:rsidRPr="000B380F">
              <w:rPr>
                <w:rFonts w:ascii="Calibri" w:eastAsia="Times New Roman" w:hAnsi="Calibri" w:cs="Calibri"/>
                <w:lang w:eastAsia="cs-CZ"/>
              </w:rPr>
              <w:t>v Kč</w:t>
            </w:r>
          </w:p>
        </w:tc>
      </w:tr>
      <w:tr w:rsidR="000B380F" w:rsidRPr="000B380F" w14:paraId="66034082" w14:textId="77777777" w:rsidTr="000B380F">
        <w:trPr>
          <w:trHeight w:val="840"/>
        </w:trPr>
        <w:tc>
          <w:tcPr>
            <w:tcW w:w="809" w:type="dxa"/>
            <w:tcBorders>
              <w:top w:val="single" w:sz="8" w:space="0" w:color="auto"/>
              <w:left w:val="single" w:sz="8" w:space="0" w:color="auto"/>
              <w:bottom w:val="single" w:sz="8" w:space="0" w:color="auto"/>
              <w:right w:val="single" w:sz="8" w:space="0" w:color="auto"/>
            </w:tcBorders>
            <w:shd w:val="clear" w:color="000000" w:fill="CCFFCC"/>
            <w:noWrap/>
            <w:vAlign w:val="center"/>
            <w:hideMark/>
          </w:tcPr>
          <w:p w14:paraId="10902808" w14:textId="77777777" w:rsidR="000B380F" w:rsidRPr="000B380F" w:rsidRDefault="000B380F" w:rsidP="000B380F">
            <w:pPr>
              <w:spacing w:after="0" w:line="240" w:lineRule="auto"/>
              <w:jc w:val="center"/>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Paragraf</w:t>
            </w:r>
          </w:p>
        </w:tc>
        <w:tc>
          <w:tcPr>
            <w:tcW w:w="4101" w:type="dxa"/>
            <w:tcBorders>
              <w:top w:val="single" w:sz="8" w:space="0" w:color="auto"/>
              <w:left w:val="nil"/>
              <w:bottom w:val="single" w:sz="8" w:space="0" w:color="auto"/>
              <w:right w:val="single" w:sz="8" w:space="0" w:color="auto"/>
            </w:tcBorders>
            <w:shd w:val="clear" w:color="000000" w:fill="CCFFCC"/>
            <w:noWrap/>
            <w:vAlign w:val="center"/>
            <w:hideMark/>
          </w:tcPr>
          <w:p w14:paraId="055C6E76" w14:textId="77777777" w:rsidR="000B380F" w:rsidRPr="000B380F" w:rsidRDefault="000B380F" w:rsidP="000B380F">
            <w:pPr>
              <w:spacing w:after="0" w:line="240" w:lineRule="auto"/>
              <w:jc w:val="center"/>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Oblast rozpočtu</w:t>
            </w:r>
          </w:p>
        </w:tc>
        <w:tc>
          <w:tcPr>
            <w:tcW w:w="1276" w:type="dxa"/>
            <w:tcBorders>
              <w:top w:val="single" w:sz="8" w:space="0" w:color="auto"/>
              <w:left w:val="nil"/>
              <w:bottom w:val="single" w:sz="8" w:space="0" w:color="auto"/>
              <w:right w:val="single" w:sz="8" w:space="0" w:color="auto"/>
            </w:tcBorders>
            <w:shd w:val="clear" w:color="000000" w:fill="CCFFCC"/>
            <w:vAlign w:val="center"/>
            <w:hideMark/>
          </w:tcPr>
          <w:p w14:paraId="46065725" w14:textId="77777777" w:rsidR="000B380F" w:rsidRPr="000B380F" w:rsidRDefault="000B380F" w:rsidP="000B380F">
            <w:pPr>
              <w:spacing w:after="0" w:line="240" w:lineRule="auto"/>
              <w:jc w:val="center"/>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Schválený rozpočet</w:t>
            </w:r>
          </w:p>
        </w:tc>
        <w:tc>
          <w:tcPr>
            <w:tcW w:w="1780" w:type="dxa"/>
            <w:tcBorders>
              <w:top w:val="single" w:sz="8" w:space="0" w:color="auto"/>
              <w:left w:val="nil"/>
              <w:bottom w:val="single" w:sz="8" w:space="0" w:color="auto"/>
              <w:right w:val="single" w:sz="8" w:space="0" w:color="auto"/>
            </w:tcBorders>
            <w:shd w:val="clear" w:color="000000" w:fill="CCFFCC"/>
            <w:vAlign w:val="center"/>
            <w:hideMark/>
          </w:tcPr>
          <w:p w14:paraId="7C49FBB5" w14:textId="77777777" w:rsidR="000B380F" w:rsidRPr="000B380F" w:rsidRDefault="000B380F" w:rsidP="000B380F">
            <w:pPr>
              <w:spacing w:after="0" w:line="240" w:lineRule="auto"/>
              <w:jc w:val="center"/>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Rozpočet po úpravě</w:t>
            </w:r>
          </w:p>
        </w:tc>
        <w:tc>
          <w:tcPr>
            <w:tcW w:w="1189" w:type="dxa"/>
            <w:tcBorders>
              <w:top w:val="single" w:sz="8" w:space="0" w:color="auto"/>
              <w:left w:val="nil"/>
              <w:bottom w:val="single" w:sz="8" w:space="0" w:color="auto"/>
              <w:right w:val="single" w:sz="8" w:space="0" w:color="auto"/>
            </w:tcBorders>
            <w:shd w:val="clear" w:color="000000" w:fill="CCFFCC"/>
            <w:vAlign w:val="center"/>
            <w:hideMark/>
          </w:tcPr>
          <w:p w14:paraId="3D4A43B8" w14:textId="77777777" w:rsidR="000B380F" w:rsidRPr="000B380F" w:rsidRDefault="000B380F" w:rsidP="000B380F">
            <w:pPr>
              <w:spacing w:after="0" w:line="240" w:lineRule="auto"/>
              <w:jc w:val="center"/>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 xml:space="preserve">Skutečnost </w:t>
            </w:r>
          </w:p>
        </w:tc>
        <w:tc>
          <w:tcPr>
            <w:tcW w:w="665" w:type="dxa"/>
            <w:tcBorders>
              <w:top w:val="single" w:sz="8" w:space="0" w:color="auto"/>
              <w:left w:val="nil"/>
              <w:bottom w:val="single" w:sz="8" w:space="0" w:color="auto"/>
              <w:right w:val="single" w:sz="8" w:space="0" w:color="auto"/>
            </w:tcBorders>
            <w:shd w:val="clear" w:color="000000" w:fill="CCFFCC"/>
            <w:vAlign w:val="center"/>
            <w:hideMark/>
          </w:tcPr>
          <w:p w14:paraId="6514B226" w14:textId="77777777" w:rsidR="000B380F" w:rsidRPr="000B380F" w:rsidRDefault="000B380F" w:rsidP="000B380F">
            <w:pPr>
              <w:spacing w:after="0" w:line="240" w:lineRule="auto"/>
              <w:jc w:val="center"/>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 plnění</w:t>
            </w:r>
          </w:p>
        </w:tc>
      </w:tr>
      <w:tr w:rsidR="000B380F" w:rsidRPr="000B380F" w14:paraId="275E9D3A" w14:textId="77777777" w:rsidTr="000B380F">
        <w:trPr>
          <w:trHeight w:val="615"/>
        </w:trPr>
        <w:tc>
          <w:tcPr>
            <w:tcW w:w="809" w:type="dxa"/>
            <w:tcBorders>
              <w:top w:val="nil"/>
              <w:left w:val="nil"/>
              <w:bottom w:val="nil"/>
              <w:right w:val="nil"/>
            </w:tcBorders>
            <w:shd w:val="clear" w:color="auto" w:fill="auto"/>
            <w:noWrap/>
            <w:vAlign w:val="bottom"/>
            <w:hideMark/>
          </w:tcPr>
          <w:p w14:paraId="25CE99DD" w14:textId="77777777" w:rsidR="000B380F" w:rsidRPr="000B380F" w:rsidRDefault="000B380F" w:rsidP="000B380F">
            <w:pPr>
              <w:spacing w:after="0" w:line="240" w:lineRule="auto"/>
              <w:jc w:val="center"/>
              <w:rPr>
                <w:rFonts w:ascii="Calibri" w:eastAsia="Times New Roman" w:hAnsi="Calibri" w:cs="Calibri"/>
                <w:sz w:val="20"/>
                <w:szCs w:val="20"/>
                <w:lang w:eastAsia="cs-CZ"/>
              </w:rPr>
            </w:pPr>
          </w:p>
        </w:tc>
        <w:tc>
          <w:tcPr>
            <w:tcW w:w="9011" w:type="dxa"/>
            <w:gridSpan w:val="5"/>
            <w:tcBorders>
              <w:top w:val="nil"/>
              <w:left w:val="nil"/>
              <w:bottom w:val="single" w:sz="8" w:space="0" w:color="auto"/>
              <w:right w:val="nil"/>
            </w:tcBorders>
            <w:shd w:val="clear" w:color="auto" w:fill="auto"/>
            <w:vAlign w:val="bottom"/>
            <w:hideMark/>
          </w:tcPr>
          <w:p w14:paraId="01F17693" w14:textId="77777777" w:rsidR="000B380F" w:rsidRPr="000B380F" w:rsidRDefault="000B380F" w:rsidP="000B380F">
            <w:pPr>
              <w:spacing w:after="0" w:line="240" w:lineRule="auto"/>
              <w:rPr>
                <w:rFonts w:ascii="Calibri" w:eastAsia="Times New Roman" w:hAnsi="Calibri" w:cs="Calibri"/>
                <w:b/>
                <w:bCs/>
                <w:lang w:eastAsia="cs-CZ"/>
              </w:rPr>
            </w:pPr>
            <w:r w:rsidRPr="000B380F">
              <w:rPr>
                <w:rFonts w:ascii="Calibri" w:eastAsia="Times New Roman" w:hAnsi="Calibri" w:cs="Calibri"/>
                <w:b/>
                <w:bCs/>
                <w:lang w:eastAsia="cs-CZ"/>
              </w:rPr>
              <w:t>Předfinancování a kofinancování projektů spolufinancovaných z EU/EHP a ostatní související výdaje s projekty EU/EHP</w:t>
            </w:r>
          </w:p>
        </w:tc>
      </w:tr>
      <w:tr w:rsidR="000B380F" w:rsidRPr="000B380F" w14:paraId="20D13F6C" w14:textId="77777777" w:rsidTr="000B380F">
        <w:trPr>
          <w:trHeight w:val="300"/>
        </w:trPr>
        <w:tc>
          <w:tcPr>
            <w:tcW w:w="809" w:type="dxa"/>
            <w:tcBorders>
              <w:top w:val="single" w:sz="8" w:space="0" w:color="auto"/>
              <w:left w:val="single" w:sz="8" w:space="0" w:color="auto"/>
              <w:bottom w:val="single" w:sz="8" w:space="0" w:color="auto"/>
              <w:right w:val="single" w:sz="4" w:space="0" w:color="auto"/>
            </w:tcBorders>
            <w:shd w:val="clear" w:color="000000" w:fill="FFFFFF"/>
            <w:noWrap/>
            <w:vAlign w:val="bottom"/>
            <w:hideMark/>
          </w:tcPr>
          <w:p w14:paraId="73C279E9" w14:textId="77777777" w:rsidR="000B380F" w:rsidRPr="000B380F" w:rsidRDefault="000B380F" w:rsidP="000B380F">
            <w:pPr>
              <w:spacing w:after="0" w:line="240" w:lineRule="auto"/>
              <w:jc w:val="center"/>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3636</w:t>
            </w:r>
          </w:p>
        </w:tc>
        <w:tc>
          <w:tcPr>
            <w:tcW w:w="4101" w:type="dxa"/>
            <w:tcBorders>
              <w:top w:val="nil"/>
              <w:left w:val="nil"/>
              <w:bottom w:val="single" w:sz="8" w:space="0" w:color="auto"/>
              <w:right w:val="single" w:sz="4" w:space="0" w:color="auto"/>
            </w:tcBorders>
            <w:shd w:val="clear" w:color="000000" w:fill="FFFFFF"/>
            <w:noWrap/>
            <w:vAlign w:val="bottom"/>
            <w:hideMark/>
          </w:tcPr>
          <w:p w14:paraId="06CBC733" w14:textId="77777777" w:rsidR="000B380F" w:rsidRPr="000B380F" w:rsidRDefault="000B380F" w:rsidP="000B380F">
            <w:pPr>
              <w:spacing w:after="0" w:line="240" w:lineRule="auto"/>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 xml:space="preserve">Pořízení a rozvoj digitální technické mapy SK </w:t>
            </w:r>
          </w:p>
        </w:tc>
        <w:tc>
          <w:tcPr>
            <w:tcW w:w="1276" w:type="dxa"/>
            <w:tcBorders>
              <w:top w:val="nil"/>
              <w:left w:val="nil"/>
              <w:bottom w:val="single" w:sz="8" w:space="0" w:color="auto"/>
              <w:right w:val="single" w:sz="4" w:space="0" w:color="auto"/>
            </w:tcBorders>
            <w:shd w:val="clear" w:color="000000" w:fill="FFFFFF"/>
            <w:noWrap/>
            <w:vAlign w:val="bottom"/>
            <w:hideMark/>
          </w:tcPr>
          <w:p w14:paraId="52A5A433" w14:textId="77777777" w:rsidR="000B380F" w:rsidRPr="000B380F" w:rsidRDefault="000B380F" w:rsidP="000B380F">
            <w:pPr>
              <w:spacing w:after="0" w:line="240" w:lineRule="auto"/>
              <w:jc w:val="right"/>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0</w:t>
            </w:r>
          </w:p>
        </w:tc>
        <w:tc>
          <w:tcPr>
            <w:tcW w:w="1780" w:type="dxa"/>
            <w:tcBorders>
              <w:top w:val="nil"/>
              <w:left w:val="nil"/>
              <w:bottom w:val="single" w:sz="8" w:space="0" w:color="auto"/>
              <w:right w:val="single" w:sz="4" w:space="0" w:color="auto"/>
            </w:tcBorders>
            <w:shd w:val="clear" w:color="000000" w:fill="FFFFFF"/>
            <w:noWrap/>
            <w:vAlign w:val="bottom"/>
            <w:hideMark/>
          </w:tcPr>
          <w:p w14:paraId="37992CF7" w14:textId="77777777" w:rsidR="000B380F" w:rsidRPr="000B380F" w:rsidRDefault="000B380F" w:rsidP="000B380F">
            <w:pPr>
              <w:spacing w:after="0" w:line="240" w:lineRule="auto"/>
              <w:jc w:val="right"/>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4 000 000,00</w:t>
            </w:r>
          </w:p>
        </w:tc>
        <w:tc>
          <w:tcPr>
            <w:tcW w:w="1189" w:type="dxa"/>
            <w:tcBorders>
              <w:top w:val="nil"/>
              <w:left w:val="nil"/>
              <w:bottom w:val="single" w:sz="8" w:space="0" w:color="auto"/>
              <w:right w:val="single" w:sz="4" w:space="0" w:color="auto"/>
            </w:tcBorders>
            <w:shd w:val="clear" w:color="000000" w:fill="FFFFFF"/>
            <w:noWrap/>
            <w:vAlign w:val="bottom"/>
            <w:hideMark/>
          </w:tcPr>
          <w:p w14:paraId="0A5EE3EA" w14:textId="77777777" w:rsidR="000B380F" w:rsidRPr="000B380F" w:rsidRDefault="000B380F" w:rsidP="000B380F">
            <w:pPr>
              <w:spacing w:after="0" w:line="240" w:lineRule="auto"/>
              <w:jc w:val="right"/>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0,00</w:t>
            </w:r>
          </w:p>
        </w:tc>
        <w:tc>
          <w:tcPr>
            <w:tcW w:w="665" w:type="dxa"/>
            <w:tcBorders>
              <w:top w:val="nil"/>
              <w:left w:val="nil"/>
              <w:bottom w:val="single" w:sz="8" w:space="0" w:color="auto"/>
              <w:right w:val="single" w:sz="8" w:space="0" w:color="auto"/>
            </w:tcBorders>
            <w:shd w:val="clear" w:color="000000" w:fill="FFFFFF"/>
            <w:noWrap/>
            <w:vAlign w:val="bottom"/>
            <w:hideMark/>
          </w:tcPr>
          <w:p w14:paraId="755A35DC" w14:textId="77777777" w:rsidR="000B380F" w:rsidRPr="000B380F" w:rsidRDefault="000B380F" w:rsidP="000B380F">
            <w:pPr>
              <w:spacing w:after="0" w:line="240" w:lineRule="auto"/>
              <w:jc w:val="right"/>
              <w:rPr>
                <w:rFonts w:ascii="Calibri" w:eastAsia="Times New Roman" w:hAnsi="Calibri" w:cs="Calibri"/>
                <w:sz w:val="20"/>
                <w:szCs w:val="20"/>
                <w:lang w:eastAsia="cs-CZ"/>
              </w:rPr>
            </w:pPr>
            <w:r w:rsidRPr="000B380F">
              <w:rPr>
                <w:rFonts w:ascii="Calibri" w:eastAsia="Times New Roman" w:hAnsi="Calibri" w:cs="Calibri"/>
                <w:sz w:val="20"/>
                <w:szCs w:val="20"/>
                <w:lang w:eastAsia="cs-CZ"/>
              </w:rPr>
              <w:t>0,0</w:t>
            </w:r>
          </w:p>
        </w:tc>
      </w:tr>
      <w:tr w:rsidR="000B380F" w:rsidRPr="000B380F" w14:paraId="6B408AED" w14:textId="77777777" w:rsidTr="000B380F">
        <w:trPr>
          <w:trHeight w:val="319"/>
        </w:trPr>
        <w:tc>
          <w:tcPr>
            <w:tcW w:w="809" w:type="dxa"/>
            <w:tcBorders>
              <w:top w:val="nil"/>
              <w:left w:val="single" w:sz="8" w:space="0" w:color="auto"/>
              <w:bottom w:val="single" w:sz="8" w:space="0" w:color="auto"/>
              <w:right w:val="single" w:sz="4" w:space="0" w:color="auto"/>
            </w:tcBorders>
            <w:shd w:val="clear" w:color="000000" w:fill="FFFFFF"/>
            <w:noWrap/>
            <w:vAlign w:val="center"/>
            <w:hideMark/>
          </w:tcPr>
          <w:p w14:paraId="167AC783" w14:textId="77777777" w:rsidR="000B380F" w:rsidRPr="000B380F" w:rsidRDefault="000B380F" w:rsidP="000B380F">
            <w:pPr>
              <w:spacing w:after="0" w:line="240" w:lineRule="auto"/>
              <w:jc w:val="center"/>
              <w:rPr>
                <w:rFonts w:ascii="Calibri" w:eastAsia="Times New Roman" w:hAnsi="Calibri" w:cs="Calibri"/>
                <w:sz w:val="24"/>
                <w:szCs w:val="24"/>
                <w:lang w:eastAsia="cs-CZ"/>
              </w:rPr>
            </w:pPr>
            <w:r w:rsidRPr="000B380F">
              <w:rPr>
                <w:rFonts w:ascii="Calibri" w:eastAsia="Times New Roman" w:hAnsi="Calibri" w:cs="Calibri"/>
                <w:sz w:val="24"/>
                <w:szCs w:val="24"/>
                <w:lang w:eastAsia="cs-CZ"/>
              </w:rPr>
              <w:t> </w:t>
            </w:r>
          </w:p>
        </w:tc>
        <w:tc>
          <w:tcPr>
            <w:tcW w:w="4101" w:type="dxa"/>
            <w:tcBorders>
              <w:top w:val="nil"/>
              <w:left w:val="nil"/>
              <w:bottom w:val="single" w:sz="8" w:space="0" w:color="auto"/>
              <w:right w:val="single" w:sz="4" w:space="0" w:color="auto"/>
            </w:tcBorders>
            <w:shd w:val="clear" w:color="auto" w:fill="auto"/>
            <w:noWrap/>
            <w:vAlign w:val="bottom"/>
            <w:hideMark/>
          </w:tcPr>
          <w:p w14:paraId="7F44A5AF" w14:textId="77777777" w:rsidR="000B380F" w:rsidRPr="000B380F" w:rsidRDefault="000B380F" w:rsidP="000B380F">
            <w:pPr>
              <w:spacing w:after="0" w:line="240" w:lineRule="auto"/>
              <w:rPr>
                <w:rFonts w:ascii="Calibri" w:eastAsia="Times New Roman" w:hAnsi="Calibri" w:cs="Calibri"/>
                <w:b/>
                <w:bCs/>
                <w:lang w:eastAsia="cs-CZ"/>
              </w:rPr>
            </w:pPr>
            <w:r w:rsidRPr="000B380F">
              <w:rPr>
                <w:rFonts w:ascii="Calibri" w:eastAsia="Times New Roman" w:hAnsi="Calibri" w:cs="Calibri"/>
                <w:b/>
                <w:bCs/>
                <w:lang w:eastAsia="cs-CZ"/>
              </w:rPr>
              <w:t>Celkem</w:t>
            </w:r>
          </w:p>
        </w:tc>
        <w:tc>
          <w:tcPr>
            <w:tcW w:w="1276" w:type="dxa"/>
            <w:tcBorders>
              <w:top w:val="nil"/>
              <w:left w:val="nil"/>
              <w:bottom w:val="single" w:sz="8" w:space="0" w:color="auto"/>
              <w:right w:val="single" w:sz="4" w:space="0" w:color="auto"/>
            </w:tcBorders>
            <w:shd w:val="clear" w:color="auto" w:fill="auto"/>
            <w:noWrap/>
            <w:vAlign w:val="bottom"/>
            <w:hideMark/>
          </w:tcPr>
          <w:p w14:paraId="07951427" w14:textId="77777777" w:rsidR="000B380F" w:rsidRPr="000B380F" w:rsidRDefault="000B380F" w:rsidP="000B380F">
            <w:pPr>
              <w:spacing w:after="0" w:line="240" w:lineRule="auto"/>
              <w:jc w:val="right"/>
              <w:rPr>
                <w:rFonts w:ascii="Calibri" w:eastAsia="Times New Roman" w:hAnsi="Calibri" w:cs="Calibri"/>
                <w:b/>
                <w:bCs/>
                <w:lang w:eastAsia="cs-CZ"/>
              </w:rPr>
            </w:pPr>
            <w:r w:rsidRPr="000B380F">
              <w:rPr>
                <w:rFonts w:ascii="Calibri" w:eastAsia="Times New Roman" w:hAnsi="Calibri" w:cs="Calibri"/>
                <w:b/>
                <w:bCs/>
                <w:lang w:eastAsia="cs-CZ"/>
              </w:rPr>
              <w:t>0</w:t>
            </w:r>
          </w:p>
        </w:tc>
        <w:tc>
          <w:tcPr>
            <w:tcW w:w="1780" w:type="dxa"/>
            <w:tcBorders>
              <w:top w:val="nil"/>
              <w:left w:val="nil"/>
              <w:bottom w:val="single" w:sz="8" w:space="0" w:color="auto"/>
              <w:right w:val="single" w:sz="4" w:space="0" w:color="auto"/>
            </w:tcBorders>
            <w:shd w:val="clear" w:color="auto" w:fill="auto"/>
            <w:noWrap/>
            <w:vAlign w:val="bottom"/>
            <w:hideMark/>
          </w:tcPr>
          <w:p w14:paraId="7D32CD18" w14:textId="77777777" w:rsidR="000B380F" w:rsidRPr="000B380F" w:rsidRDefault="000B380F" w:rsidP="000B380F">
            <w:pPr>
              <w:spacing w:after="0" w:line="240" w:lineRule="auto"/>
              <w:jc w:val="right"/>
              <w:rPr>
                <w:rFonts w:ascii="Calibri" w:eastAsia="Times New Roman" w:hAnsi="Calibri" w:cs="Calibri"/>
                <w:b/>
                <w:bCs/>
                <w:lang w:eastAsia="cs-CZ"/>
              </w:rPr>
            </w:pPr>
            <w:r w:rsidRPr="000B380F">
              <w:rPr>
                <w:rFonts w:ascii="Calibri" w:eastAsia="Times New Roman" w:hAnsi="Calibri" w:cs="Calibri"/>
                <w:b/>
                <w:bCs/>
                <w:lang w:eastAsia="cs-CZ"/>
              </w:rPr>
              <w:t>4 000 000,00</w:t>
            </w:r>
          </w:p>
        </w:tc>
        <w:tc>
          <w:tcPr>
            <w:tcW w:w="1189" w:type="dxa"/>
            <w:tcBorders>
              <w:top w:val="nil"/>
              <w:left w:val="nil"/>
              <w:bottom w:val="single" w:sz="8" w:space="0" w:color="auto"/>
              <w:right w:val="single" w:sz="4" w:space="0" w:color="auto"/>
            </w:tcBorders>
            <w:shd w:val="clear" w:color="auto" w:fill="auto"/>
            <w:noWrap/>
            <w:vAlign w:val="bottom"/>
            <w:hideMark/>
          </w:tcPr>
          <w:p w14:paraId="20F30303" w14:textId="77777777" w:rsidR="000B380F" w:rsidRPr="000B380F" w:rsidRDefault="000B380F" w:rsidP="000B380F">
            <w:pPr>
              <w:spacing w:after="0" w:line="240" w:lineRule="auto"/>
              <w:jc w:val="right"/>
              <w:rPr>
                <w:rFonts w:ascii="Calibri" w:eastAsia="Times New Roman" w:hAnsi="Calibri" w:cs="Calibri"/>
                <w:b/>
                <w:bCs/>
                <w:lang w:eastAsia="cs-CZ"/>
              </w:rPr>
            </w:pPr>
            <w:r w:rsidRPr="000B380F">
              <w:rPr>
                <w:rFonts w:ascii="Calibri" w:eastAsia="Times New Roman" w:hAnsi="Calibri" w:cs="Calibri"/>
                <w:b/>
                <w:bCs/>
                <w:lang w:eastAsia="cs-CZ"/>
              </w:rPr>
              <w:t>0,00</w:t>
            </w:r>
          </w:p>
        </w:tc>
        <w:tc>
          <w:tcPr>
            <w:tcW w:w="665" w:type="dxa"/>
            <w:tcBorders>
              <w:top w:val="nil"/>
              <w:left w:val="nil"/>
              <w:bottom w:val="single" w:sz="8" w:space="0" w:color="auto"/>
              <w:right w:val="single" w:sz="8" w:space="0" w:color="auto"/>
            </w:tcBorders>
            <w:shd w:val="clear" w:color="auto" w:fill="auto"/>
            <w:noWrap/>
            <w:vAlign w:val="bottom"/>
            <w:hideMark/>
          </w:tcPr>
          <w:p w14:paraId="25C75625" w14:textId="77777777" w:rsidR="000B380F" w:rsidRPr="000B380F" w:rsidRDefault="000B380F" w:rsidP="000B380F">
            <w:pPr>
              <w:spacing w:after="0" w:line="240" w:lineRule="auto"/>
              <w:jc w:val="right"/>
              <w:rPr>
                <w:rFonts w:ascii="Calibri" w:eastAsia="Times New Roman" w:hAnsi="Calibri" w:cs="Calibri"/>
                <w:b/>
                <w:bCs/>
                <w:lang w:eastAsia="cs-CZ"/>
              </w:rPr>
            </w:pPr>
            <w:r w:rsidRPr="000B380F">
              <w:rPr>
                <w:rFonts w:ascii="Calibri" w:eastAsia="Times New Roman" w:hAnsi="Calibri" w:cs="Calibri"/>
                <w:b/>
                <w:bCs/>
                <w:lang w:eastAsia="cs-CZ"/>
              </w:rPr>
              <w:t>0,0</w:t>
            </w:r>
          </w:p>
        </w:tc>
      </w:tr>
      <w:tr w:rsidR="000B380F" w:rsidRPr="000B380F" w14:paraId="42209C37" w14:textId="77777777" w:rsidTr="000B380F">
        <w:trPr>
          <w:trHeight w:val="300"/>
        </w:trPr>
        <w:tc>
          <w:tcPr>
            <w:tcW w:w="809" w:type="dxa"/>
            <w:tcBorders>
              <w:top w:val="nil"/>
              <w:left w:val="nil"/>
              <w:bottom w:val="nil"/>
              <w:right w:val="nil"/>
            </w:tcBorders>
            <w:shd w:val="clear" w:color="auto" w:fill="auto"/>
            <w:noWrap/>
            <w:vAlign w:val="center"/>
            <w:hideMark/>
          </w:tcPr>
          <w:p w14:paraId="261E9CDC" w14:textId="77777777" w:rsidR="000B380F" w:rsidRPr="000B380F" w:rsidRDefault="000B380F" w:rsidP="000B380F">
            <w:pPr>
              <w:spacing w:after="0" w:line="240" w:lineRule="auto"/>
              <w:jc w:val="right"/>
              <w:rPr>
                <w:rFonts w:ascii="Calibri" w:eastAsia="Times New Roman" w:hAnsi="Calibri" w:cs="Calibri"/>
                <w:b/>
                <w:bCs/>
                <w:lang w:eastAsia="cs-CZ"/>
              </w:rPr>
            </w:pPr>
          </w:p>
        </w:tc>
        <w:tc>
          <w:tcPr>
            <w:tcW w:w="4101" w:type="dxa"/>
            <w:tcBorders>
              <w:top w:val="nil"/>
              <w:left w:val="nil"/>
              <w:bottom w:val="nil"/>
              <w:right w:val="nil"/>
            </w:tcBorders>
            <w:shd w:val="clear" w:color="auto" w:fill="auto"/>
            <w:noWrap/>
            <w:vAlign w:val="bottom"/>
            <w:hideMark/>
          </w:tcPr>
          <w:p w14:paraId="7F747A03" w14:textId="77777777" w:rsidR="000B380F" w:rsidRPr="000B380F" w:rsidRDefault="000B380F" w:rsidP="000B380F">
            <w:pPr>
              <w:spacing w:after="0" w:line="240" w:lineRule="auto"/>
              <w:jc w:val="center"/>
              <w:rPr>
                <w:rFonts w:ascii="Times New Roman" w:eastAsia="Times New Roman" w:hAnsi="Times New Roman" w:cs="Times New Roman"/>
                <w:sz w:val="20"/>
                <w:szCs w:val="20"/>
                <w:lang w:eastAsia="cs-CZ"/>
              </w:rPr>
            </w:pPr>
          </w:p>
        </w:tc>
        <w:tc>
          <w:tcPr>
            <w:tcW w:w="1276" w:type="dxa"/>
            <w:tcBorders>
              <w:top w:val="nil"/>
              <w:left w:val="nil"/>
              <w:bottom w:val="nil"/>
              <w:right w:val="nil"/>
            </w:tcBorders>
            <w:shd w:val="clear" w:color="auto" w:fill="auto"/>
            <w:noWrap/>
            <w:vAlign w:val="bottom"/>
            <w:hideMark/>
          </w:tcPr>
          <w:p w14:paraId="3279B9FB" w14:textId="77777777" w:rsidR="000B380F" w:rsidRPr="000B380F" w:rsidRDefault="000B380F" w:rsidP="000B380F">
            <w:pPr>
              <w:spacing w:after="0" w:line="240" w:lineRule="auto"/>
              <w:rPr>
                <w:rFonts w:ascii="Times New Roman" w:eastAsia="Times New Roman" w:hAnsi="Times New Roman" w:cs="Times New Roman"/>
                <w:sz w:val="20"/>
                <w:szCs w:val="20"/>
                <w:lang w:eastAsia="cs-CZ"/>
              </w:rPr>
            </w:pPr>
          </w:p>
        </w:tc>
        <w:tc>
          <w:tcPr>
            <w:tcW w:w="1780" w:type="dxa"/>
            <w:tcBorders>
              <w:top w:val="nil"/>
              <w:left w:val="nil"/>
              <w:bottom w:val="nil"/>
              <w:right w:val="nil"/>
            </w:tcBorders>
            <w:shd w:val="clear" w:color="auto" w:fill="auto"/>
            <w:noWrap/>
            <w:vAlign w:val="bottom"/>
            <w:hideMark/>
          </w:tcPr>
          <w:p w14:paraId="02E09373" w14:textId="77777777" w:rsidR="000B380F" w:rsidRPr="000B380F" w:rsidRDefault="000B380F" w:rsidP="000B380F">
            <w:pPr>
              <w:spacing w:after="0" w:line="240" w:lineRule="auto"/>
              <w:jc w:val="right"/>
              <w:rPr>
                <w:rFonts w:ascii="Times New Roman" w:eastAsia="Times New Roman" w:hAnsi="Times New Roman" w:cs="Times New Roman"/>
                <w:sz w:val="20"/>
                <w:szCs w:val="20"/>
                <w:lang w:eastAsia="cs-CZ"/>
              </w:rPr>
            </w:pPr>
          </w:p>
        </w:tc>
        <w:tc>
          <w:tcPr>
            <w:tcW w:w="1189" w:type="dxa"/>
            <w:tcBorders>
              <w:top w:val="nil"/>
              <w:left w:val="nil"/>
              <w:bottom w:val="nil"/>
              <w:right w:val="nil"/>
            </w:tcBorders>
            <w:shd w:val="clear" w:color="auto" w:fill="auto"/>
            <w:noWrap/>
            <w:vAlign w:val="bottom"/>
            <w:hideMark/>
          </w:tcPr>
          <w:p w14:paraId="7C855E44" w14:textId="77777777" w:rsidR="000B380F" w:rsidRPr="000B380F" w:rsidRDefault="000B380F" w:rsidP="000B380F">
            <w:pPr>
              <w:spacing w:after="0" w:line="240" w:lineRule="auto"/>
              <w:jc w:val="right"/>
              <w:rPr>
                <w:rFonts w:ascii="Times New Roman" w:eastAsia="Times New Roman" w:hAnsi="Times New Roman" w:cs="Times New Roman"/>
                <w:sz w:val="20"/>
                <w:szCs w:val="20"/>
                <w:lang w:eastAsia="cs-CZ"/>
              </w:rPr>
            </w:pPr>
          </w:p>
        </w:tc>
        <w:tc>
          <w:tcPr>
            <w:tcW w:w="665" w:type="dxa"/>
            <w:tcBorders>
              <w:top w:val="nil"/>
              <w:left w:val="nil"/>
              <w:bottom w:val="nil"/>
              <w:right w:val="nil"/>
            </w:tcBorders>
            <w:shd w:val="clear" w:color="auto" w:fill="auto"/>
            <w:noWrap/>
            <w:vAlign w:val="bottom"/>
            <w:hideMark/>
          </w:tcPr>
          <w:p w14:paraId="237E5F74" w14:textId="77777777" w:rsidR="000B380F" w:rsidRPr="000B380F" w:rsidRDefault="000B380F" w:rsidP="000B380F">
            <w:pPr>
              <w:spacing w:after="0" w:line="240" w:lineRule="auto"/>
              <w:jc w:val="right"/>
              <w:rPr>
                <w:rFonts w:ascii="Times New Roman" w:eastAsia="Times New Roman" w:hAnsi="Times New Roman" w:cs="Times New Roman"/>
                <w:sz w:val="20"/>
                <w:szCs w:val="20"/>
                <w:lang w:eastAsia="cs-CZ"/>
              </w:rPr>
            </w:pPr>
          </w:p>
        </w:tc>
      </w:tr>
      <w:tr w:rsidR="000B380F" w:rsidRPr="000B380F" w14:paraId="548F112F" w14:textId="77777777" w:rsidTr="000B380F">
        <w:trPr>
          <w:trHeight w:val="360"/>
        </w:trPr>
        <w:tc>
          <w:tcPr>
            <w:tcW w:w="491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7815B0DC" w14:textId="77777777" w:rsidR="000B380F" w:rsidRPr="000B380F" w:rsidRDefault="000B380F" w:rsidP="000B380F">
            <w:pPr>
              <w:spacing w:after="0" w:line="240" w:lineRule="auto"/>
              <w:rPr>
                <w:rFonts w:ascii="Calibri" w:eastAsia="Times New Roman" w:hAnsi="Calibri" w:cs="Calibri"/>
                <w:b/>
                <w:bCs/>
                <w:sz w:val="24"/>
                <w:szCs w:val="24"/>
                <w:lang w:eastAsia="cs-CZ"/>
              </w:rPr>
            </w:pPr>
            <w:r w:rsidRPr="000B380F">
              <w:rPr>
                <w:rFonts w:ascii="Calibri" w:eastAsia="Times New Roman" w:hAnsi="Calibri" w:cs="Calibri"/>
                <w:b/>
                <w:bCs/>
                <w:sz w:val="24"/>
                <w:szCs w:val="24"/>
                <w:lang w:eastAsia="cs-CZ"/>
              </w:rPr>
              <w:t>Celkem výdaje</w:t>
            </w:r>
          </w:p>
        </w:tc>
        <w:tc>
          <w:tcPr>
            <w:tcW w:w="1276" w:type="dxa"/>
            <w:tcBorders>
              <w:top w:val="single" w:sz="8" w:space="0" w:color="auto"/>
              <w:left w:val="nil"/>
              <w:bottom w:val="single" w:sz="8" w:space="0" w:color="auto"/>
              <w:right w:val="single" w:sz="8" w:space="0" w:color="auto"/>
            </w:tcBorders>
            <w:shd w:val="clear" w:color="auto" w:fill="auto"/>
            <w:noWrap/>
            <w:vAlign w:val="bottom"/>
            <w:hideMark/>
          </w:tcPr>
          <w:p w14:paraId="732EE1AD" w14:textId="77777777" w:rsidR="000B380F" w:rsidRPr="000B380F" w:rsidRDefault="000B380F" w:rsidP="000B380F">
            <w:pPr>
              <w:spacing w:after="0" w:line="240" w:lineRule="auto"/>
              <w:jc w:val="right"/>
              <w:rPr>
                <w:rFonts w:ascii="Calibri" w:eastAsia="Times New Roman" w:hAnsi="Calibri" w:cs="Calibri"/>
                <w:b/>
                <w:bCs/>
                <w:lang w:eastAsia="cs-CZ"/>
              </w:rPr>
            </w:pPr>
            <w:r w:rsidRPr="000B380F">
              <w:rPr>
                <w:rFonts w:ascii="Calibri" w:eastAsia="Times New Roman" w:hAnsi="Calibri" w:cs="Calibri"/>
                <w:b/>
                <w:bCs/>
                <w:lang w:eastAsia="cs-CZ"/>
              </w:rPr>
              <w:t>0</w:t>
            </w:r>
          </w:p>
        </w:tc>
        <w:tc>
          <w:tcPr>
            <w:tcW w:w="1780" w:type="dxa"/>
            <w:tcBorders>
              <w:top w:val="single" w:sz="8" w:space="0" w:color="auto"/>
              <w:left w:val="nil"/>
              <w:bottom w:val="single" w:sz="8" w:space="0" w:color="auto"/>
              <w:right w:val="single" w:sz="8" w:space="0" w:color="auto"/>
            </w:tcBorders>
            <w:shd w:val="clear" w:color="auto" w:fill="auto"/>
            <w:noWrap/>
            <w:vAlign w:val="bottom"/>
            <w:hideMark/>
          </w:tcPr>
          <w:p w14:paraId="6894B07E" w14:textId="77777777" w:rsidR="000B380F" w:rsidRPr="000B380F" w:rsidRDefault="000B380F" w:rsidP="000B380F">
            <w:pPr>
              <w:spacing w:after="0" w:line="240" w:lineRule="auto"/>
              <w:jc w:val="right"/>
              <w:rPr>
                <w:rFonts w:ascii="Calibri" w:eastAsia="Times New Roman" w:hAnsi="Calibri" w:cs="Calibri"/>
                <w:b/>
                <w:bCs/>
                <w:lang w:eastAsia="cs-CZ"/>
              </w:rPr>
            </w:pPr>
            <w:r w:rsidRPr="000B380F">
              <w:rPr>
                <w:rFonts w:ascii="Calibri" w:eastAsia="Times New Roman" w:hAnsi="Calibri" w:cs="Calibri"/>
                <w:b/>
                <w:bCs/>
                <w:lang w:eastAsia="cs-CZ"/>
              </w:rPr>
              <w:t>4 000 000,00</w:t>
            </w:r>
          </w:p>
        </w:tc>
        <w:tc>
          <w:tcPr>
            <w:tcW w:w="1189" w:type="dxa"/>
            <w:tcBorders>
              <w:top w:val="single" w:sz="8" w:space="0" w:color="auto"/>
              <w:left w:val="nil"/>
              <w:bottom w:val="single" w:sz="8" w:space="0" w:color="auto"/>
              <w:right w:val="single" w:sz="8" w:space="0" w:color="auto"/>
            </w:tcBorders>
            <w:shd w:val="clear" w:color="auto" w:fill="auto"/>
            <w:noWrap/>
            <w:vAlign w:val="bottom"/>
            <w:hideMark/>
          </w:tcPr>
          <w:p w14:paraId="2B43BB59" w14:textId="77777777" w:rsidR="000B380F" w:rsidRPr="000B380F" w:rsidRDefault="000B380F" w:rsidP="000B380F">
            <w:pPr>
              <w:spacing w:after="0" w:line="240" w:lineRule="auto"/>
              <w:jc w:val="right"/>
              <w:rPr>
                <w:rFonts w:ascii="Calibri" w:eastAsia="Times New Roman" w:hAnsi="Calibri" w:cs="Calibri"/>
                <w:b/>
                <w:bCs/>
                <w:lang w:eastAsia="cs-CZ"/>
              </w:rPr>
            </w:pPr>
            <w:r w:rsidRPr="000B380F">
              <w:rPr>
                <w:rFonts w:ascii="Calibri" w:eastAsia="Times New Roman" w:hAnsi="Calibri" w:cs="Calibri"/>
                <w:b/>
                <w:bCs/>
                <w:lang w:eastAsia="cs-CZ"/>
              </w:rPr>
              <w:t>0,00</w:t>
            </w:r>
          </w:p>
        </w:tc>
        <w:tc>
          <w:tcPr>
            <w:tcW w:w="665"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14:paraId="60771C8C" w14:textId="77777777" w:rsidR="000B380F" w:rsidRPr="000B380F" w:rsidRDefault="000B380F" w:rsidP="000B380F">
            <w:pPr>
              <w:spacing w:after="0" w:line="240" w:lineRule="auto"/>
              <w:jc w:val="right"/>
              <w:rPr>
                <w:rFonts w:ascii="Calibri" w:eastAsia="Times New Roman" w:hAnsi="Calibri" w:cs="Calibri"/>
                <w:b/>
                <w:bCs/>
                <w:lang w:eastAsia="cs-CZ"/>
              </w:rPr>
            </w:pPr>
            <w:r w:rsidRPr="000B380F">
              <w:rPr>
                <w:rFonts w:ascii="Calibri" w:eastAsia="Times New Roman" w:hAnsi="Calibri" w:cs="Calibri"/>
                <w:b/>
                <w:bCs/>
                <w:lang w:eastAsia="cs-CZ"/>
              </w:rPr>
              <w:t>0,0</w:t>
            </w:r>
          </w:p>
        </w:tc>
      </w:tr>
    </w:tbl>
    <w:p w14:paraId="4397476B" w14:textId="0F930840" w:rsidR="000B380F" w:rsidRDefault="000B380F" w:rsidP="0013179B">
      <w:pPr>
        <w:rPr>
          <w:rFonts w:cs="Calibri"/>
        </w:rPr>
      </w:pPr>
    </w:p>
    <w:tbl>
      <w:tblPr>
        <w:tblW w:w="10348" w:type="dxa"/>
        <w:tblLayout w:type="fixed"/>
        <w:tblCellMar>
          <w:left w:w="70" w:type="dxa"/>
          <w:right w:w="70" w:type="dxa"/>
        </w:tblCellMar>
        <w:tblLook w:val="04A0" w:firstRow="1" w:lastRow="0" w:firstColumn="1" w:lastColumn="0" w:noHBand="0" w:noVBand="1"/>
      </w:tblPr>
      <w:tblGrid>
        <w:gridCol w:w="10348"/>
      </w:tblGrid>
      <w:tr w:rsidR="00416DF1" w:rsidRPr="003B7A3F" w14:paraId="21484D8C" w14:textId="77777777" w:rsidTr="00352B92">
        <w:trPr>
          <w:trHeight w:val="402"/>
        </w:trPr>
        <w:tc>
          <w:tcPr>
            <w:tcW w:w="10348" w:type="dxa"/>
            <w:tcBorders>
              <w:top w:val="nil"/>
              <w:left w:val="nil"/>
              <w:bottom w:val="nil"/>
              <w:right w:val="nil"/>
            </w:tcBorders>
            <w:shd w:val="clear" w:color="auto" w:fill="auto"/>
            <w:noWrap/>
            <w:vAlign w:val="center"/>
            <w:hideMark/>
          </w:tcPr>
          <w:p w14:paraId="0DDAE322" w14:textId="4FA2F197" w:rsidR="00416DF1" w:rsidRPr="003B7A3F" w:rsidRDefault="00416DF1" w:rsidP="00352B92">
            <w:pPr>
              <w:spacing w:after="0" w:line="240" w:lineRule="auto"/>
              <w:jc w:val="center"/>
              <w:rPr>
                <w:rFonts w:ascii="Calibri" w:eastAsia="Times New Roman" w:hAnsi="Calibri" w:cs="Calibri"/>
                <w:b/>
                <w:bCs/>
                <w:sz w:val="28"/>
                <w:szCs w:val="28"/>
                <w:lang w:eastAsia="cs-CZ"/>
              </w:rPr>
            </w:pPr>
          </w:p>
        </w:tc>
      </w:tr>
    </w:tbl>
    <w:p w14:paraId="6DD3B532" w14:textId="22AEDA8D" w:rsidR="00416DF1" w:rsidRDefault="00416DF1" w:rsidP="00416DF1">
      <w:pPr>
        <w:spacing w:after="0" w:line="240" w:lineRule="auto"/>
        <w:rPr>
          <w:rFonts w:cstheme="minorHAnsi"/>
          <w:b/>
          <w:sz w:val="28"/>
          <w:szCs w:val="28"/>
          <w:u w:val="single"/>
        </w:rPr>
      </w:pPr>
    </w:p>
    <w:p w14:paraId="290319E2" w14:textId="7704B197" w:rsidR="000951D6" w:rsidRDefault="000951D6" w:rsidP="00416DF1">
      <w:pPr>
        <w:spacing w:after="0" w:line="240" w:lineRule="auto"/>
        <w:rPr>
          <w:rFonts w:cstheme="minorHAnsi"/>
          <w:b/>
          <w:sz w:val="28"/>
          <w:szCs w:val="28"/>
          <w:u w:val="single"/>
        </w:rPr>
      </w:pPr>
    </w:p>
    <w:p w14:paraId="0A1DDA6E" w14:textId="36516915" w:rsidR="000951D6" w:rsidRDefault="000951D6" w:rsidP="00416DF1">
      <w:pPr>
        <w:spacing w:after="0" w:line="240" w:lineRule="auto"/>
        <w:rPr>
          <w:rFonts w:cstheme="minorHAnsi"/>
          <w:b/>
          <w:sz w:val="28"/>
          <w:szCs w:val="28"/>
          <w:u w:val="single"/>
        </w:rPr>
      </w:pPr>
    </w:p>
    <w:p w14:paraId="6C390A2A" w14:textId="6347EEA8" w:rsidR="000951D6" w:rsidRDefault="000951D6" w:rsidP="00416DF1">
      <w:pPr>
        <w:spacing w:after="0" w:line="240" w:lineRule="auto"/>
        <w:rPr>
          <w:rFonts w:cstheme="minorHAnsi"/>
          <w:b/>
          <w:sz w:val="28"/>
          <w:szCs w:val="28"/>
          <w:u w:val="single"/>
        </w:rPr>
      </w:pPr>
    </w:p>
    <w:p w14:paraId="599B978B" w14:textId="41119AA5" w:rsidR="000951D6" w:rsidRDefault="000951D6" w:rsidP="00416DF1">
      <w:pPr>
        <w:spacing w:after="0" w:line="240" w:lineRule="auto"/>
        <w:rPr>
          <w:rFonts w:cstheme="minorHAnsi"/>
          <w:b/>
          <w:sz w:val="28"/>
          <w:szCs w:val="28"/>
          <w:u w:val="single"/>
        </w:rPr>
      </w:pPr>
    </w:p>
    <w:p w14:paraId="5B667C0A" w14:textId="05B16C25" w:rsidR="000951D6" w:rsidRDefault="000951D6" w:rsidP="00416DF1">
      <w:pPr>
        <w:spacing w:after="0" w:line="240" w:lineRule="auto"/>
        <w:rPr>
          <w:rFonts w:cstheme="minorHAnsi"/>
          <w:b/>
          <w:sz w:val="28"/>
          <w:szCs w:val="28"/>
          <w:u w:val="single"/>
        </w:rPr>
      </w:pPr>
    </w:p>
    <w:p w14:paraId="028E791F" w14:textId="2EC95E26" w:rsidR="000951D6" w:rsidRDefault="000951D6" w:rsidP="00416DF1">
      <w:pPr>
        <w:spacing w:after="0" w:line="240" w:lineRule="auto"/>
        <w:rPr>
          <w:rFonts w:cstheme="minorHAnsi"/>
          <w:b/>
          <w:sz w:val="28"/>
          <w:szCs w:val="28"/>
          <w:u w:val="single"/>
        </w:rPr>
      </w:pPr>
    </w:p>
    <w:p w14:paraId="7E2DA102" w14:textId="3786CC54" w:rsidR="000951D6" w:rsidRDefault="000951D6" w:rsidP="00416DF1">
      <w:pPr>
        <w:spacing w:after="0" w:line="240" w:lineRule="auto"/>
        <w:rPr>
          <w:rFonts w:cstheme="minorHAnsi"/>
          <w:b/>
          <w:sz w:val="28"/>
          <w:szCs w:val="28"/>
          <w:u w:val="single"/>
        </w:rPr>
      </w:pPr>
    </w:p>
    <w:p w14:paraId="49597D12" w14:textId="091FEB1E" w:rsidR="000951D6" w:rsidRDefault="000951D6" w:rsidP="00416DF1">
      <w:pPr>
        <w:spacing w:after="0" w:line="240" w:lineRule="auto"/>
        <w:rPr>
          <w:rFonts w:cstheme="minorHAnsi"/>
          <w:b/>
          <w:sz w:val="28"/>
          <w:szCs w:val="28"/>
          <w:u w:val="single"/>
        </w:rPr>
      </w:pPr>
    </w:p>
    <w:p w14:paraId="288B8DA1" w14:textId="0CC52804" w:rsidR="000951D6" w:rsidRDefault="000951D6" w:rsidP="00416DF1">
      <w:pPr>
        <w:spacing w:after="0" w:line="240" w:lineRule="auto"/>
        <w:rPr>
          <w:rFonts w:cstheme="minorHAnsi"/>
          <w:b/>
          <w:sz w:val="28"/>
          <w:szCs w:val="28"/>
          <w:u w:val="single"/>
        </w:rPr>
      </w:pPr>
    </w:p>
    <w:p w14:paraId="029CE2B8" w14:textId="57B26856" w:rsidR="000951D6" w:rsidRDefault="000951D6" w:rsidP="00416DF1">
      <w:pPr>
        <w:spacing w:after="0" w:line="240" w:lineRule="auto"/>
        <w:rPr>
          <w:rFonts w:cstheme="minorHAnsi"/>
          <w:b/>
          <w:sz w:val="28"/>
          <w:szCs w:val="28"/>
          <w:u w:val="single"/>
        </w:rPr>
      </w:pPr>
    </w:p>
    <w:p w14:paraId="72598D9F" w14:textId="709B108F" w:rsidR="000951D6" w:rsidRDefault="000951D6" w:rsidP="00416DF1">
      <w:pPr>
        <w:spacing w:after="0" w:line="240" w:lineRule="auto"/>
        <w:rPr>
          <w:rFonts w:cstheme="minorHAnsi"/>
          <w:b/>
          <w:sz w:val="28"/>
          <w:szCs w:val="28"/>
          <w:u w:val="single"/>
        </w:rPr>
      </w:pPr>
    </w:p>
    <w:p w14:paraId="07D72B46" w14:textId="64A3D081" w:rsidR="000951D6" w:rsidRDefault="000951D6" w:rsidP="00416DF1">
      <w:pPr>
        <w:spacing w:after="0" w:line="240" w:lineRule="auto"/>
        <w:rPr>
          <w:rFonts w:cstheme="minorHAnsi"/>
          <w:b/>
          <w:sz w:val="28"/>
          <w:szCs w:val="28"/>
          <w:u w:val="single"/>
        </w:rPr>
      </w:pPr>
    </w:p>
    <w:p w14:paraId="7B82C7EA" w14:textId="633C6127" w:rsidR="000951D6" w:rsidRDefault="000951D6" w:rsidP="00416DF1">
      <w:pPr>
        <w:spacing w:after="0" w:line="240" w:lineRule="auto"/>
        <w:rPr>
          <w:rFonts w:cstheme="minorHAnsi"/>
          <w:b/>
          <w:sz w:val="28"/>
          <w:szCs w:val="28"/>
          <w:u w:val="single"/>
        </w:rPr>
      </w:pPr>
    </w:p>
    <w:p w14:paraId="1E680CD5" w14:textId="18C0FDEE" w:rsidR="000951D6" w:rsidRDefault="000951D6" w:rsidP="00416DF1">
      <w:pPr>
        <w:spacing w:after="0" w:line="240" w:lineRule="auto"/>
        <w:rPr>
          <w:rFonts w:cstheme="minorHAnsi"/>
          <w:b/>
          <w:sz w:val="28"/>
          <w:szCs w:val="28"/>
          <w:u w:val="single"/>
        </w:rPr>
      </w:pPr>
    </w:p>
    <w:p w14:paraId="3EDA4FEE" w14:textId="58392757" w:rsidR="000951D6" w:rsidRDefault="000951D6" w:rsidP="00416DF1">
      <w:pPr>
        <w:spacing w:after="0" w:line="240" w:lineRule="auto"/>
        <w:rPr>
          <w:rFonts w:cstheme="minorHAnsi"/>
          <w:b/>
          <w:sz w:val="28"/>
          <w:szCs w:val="28"/>
          <w:u w:val="single"/>
        </w:rPr>
      </w:pPr>
    </w:p>
    <w:p w14:paraId="23A71231" w14:textId="5B71B69E" w:rsidR="000951D6" w:rsidRDefault="000951D6" w:rsidP="00416DF1">
      <w:pPr>
        <w:spacing w:after="0" w:line="240" w:lineRule="auto"/>
        <w:rPr>
          <w:rFonts w:cstheme="minorHAnsi"/>
          <w:b/>
          <w:sz w:val="28"/>
          <w:szCs w:val="28"/>
          <w:u w:val="single"/>
        </w:rPr>
      </w:pPr>
    </w:p>
    <w:p w14:paraId="3477BCEA" w14:textId="70973DF6" w:rsidR="000951D6" w:rsidRDefault="000951D6" w:rsidP="00416DF1">
      <w:pPr>
        <w:spacing w:after="0" w:line="240" w:lineRule="auto"/>
        <w:rPr>
          <w:rFonts w:cstheme="minorHAnsi"/>
          <w:b/>
          <w:sz w:val="28"/>
          <w:szCs w:val="28"/>
          <w:u w:val="single"/>
        </w:rPr>
      </w:pPr>
    </w:p>
    <w:p w14:paraId="75310837" w14:textId="75151DF0" w:rsidR="000951D6" w:rsidRDefault="000951D6" w:rsidP="00416DF1">
      <w:pPr>
        <w:spacing w:after="0" w:line="240" w:lineRule="auto"/>
        <w:rPr>
          <w:rFonts w:cstheme="minorHAnsi"/>
          <w:b/>
          <w:sz w:val="28"/>
          <w:szCs w:val="28"/>
          <w:u w:val="single"/>
        </w:rPr>
      </w:pPr>
    </w:p>
    <w:p w14:paraId="462A790C" w14:textId="66729ABF" w:rsidR="000951D6" w:rsidRDefault="000951D6" w:rsidP="00416DF1">
      <w:pPr>
        <w:spacing w:after="0" w:line="240" w:lineRule="auto"/>
        <w:rPr>
          <w:rFonts w:cstheme="minorHAnsi"/>
          <w:b/>
          <w:sz w:val="28"/>
          <w:szCs w:val="28"/>
          <w:u w:val="single"/>
        </w:rPr>
      </w:pPr>
    </w:p>
    <w:p w14:paraId="55A785F9" w14:textId="16CB9393" w:rsidR="000951D6" w:rsidRDefault="000951D6" w:rsidP="00416DF1">
      <w:pPr>
        <w:spacing w:after="0" w:line="240" w:lineRule="auto"/>
        <w:rPr>
          <w:rFonts w:cstheme="minorHAnsi"/>
          <w:b/>
          <w:sz w:val="28"/>
          <w:szCs w:val="28"/>
          <w:u w:val="single"/>
        </w:rPr>
      </w:pPr>
    </w:p>
    <w:p w14:paraId="1AE93A62" w14:textId="00717C20" w:rsidR="000951D6" w:rsidRDefault="000951D6" w:rsidP="00416DF1">
      <w:pPr>
        <w:spacing w:after="0" w:line="240" w:lineRule="auto"/>
        <w:rPr>
          <w:rFonts w:cstheme="minorHAnsi"/>
          <w:b/>
          <w:sz w:val="28"/>
          <w:szCs w:val="28"/>
          <w:u w:val="single"/>
        </w:rPr>
      </w:pPr>
    </w:p>
    <w:p w14:paraId="1CB385C9" w14:textId="2E201F4D" w:rsidR="000951D6" w:rsidRDefault="000951D6" w:rsidP="00416DF1">
      <w:pPr>
        <w:spacing w:after="0" w:line="240" w:lineRule="auto"/>
        <w:rPr>
          <w:rFonts w:cstheme="minorHAnsi"/>
          <w:b/>
          <w:sz w:val="28"/>
          <w:szCs w:val="28"/>
          <w:u w:val="single"/>
        </w:rPr>
      </w:pPr>
    </w:p>
    <w:p w14:paraId="215DA38E" w14:textId="205840DD" w:rsidR="000951D6" w:rsidRDefault="000951D6" w:rsidP="00416DF1">
      <w:pPr>
        <w:spacing w:after="0" w:line="240" w:lineRule="auto"/>
        <w:rPr>
          <w:rFonts w:cstheme="minorHAnsi"/>
          <w:b/>
          <w:sz w:val="28"/>
          <w:szCs w:val="28"/>
          <w:u w:val="single"/>
        </w:rPr>
      </w:pPr>
    </w:p>
    <w:p w14:paraId="74BD17F1" w14:textId="154C5CD8" w:rsidR="000951D6" w:rsidRDefault="000951D6" w:rsidP="00416DF1">
      <w:pPr>
        <w:spacing w:after="0" w:line="240" w:lineRule="auto"/>
        <w:rPr>
          <w:rFonts w:cstheme="minorHAnsi"/>
          <w:b/>
          <w:sz w:val="28"/>
          <w:szCs w:val="28"/>
          <w:u w:val="single"/>
        </w:rPr>
      </w:pPr>
    </w:p>
    <w:p w14:paraId="2D929613" w14:textId="6B9414F1" w:rsidR="000951D6" w:rsidRDefault="000951D6" w:rsidP="00416DF1">
      <w:pPr>
        <w:spacing w:after="0" w:line="240" w:lineRule="auto"/>
        <w:rPr>
          <w:rFonts w:cstheme="minorHAnsi"/>
          <w:b/>
          <w:sz w:val="28"/>
          <w:szCs w:val="28"/>
          <w:u w:val="single"/>
        </w:rPr>
      </w:pPr>
    </w:p>
    <w:p w14:paraId="2AF44AAD" w14:textId="78E1A2B0" w:rsidR="000951D6" w:rsidRDefault="000951D6" w:rsidP="00416DF1">
      <w:pPr>
        <w:spacing w:after="0" w:line="240" w:lineRule="auto"/>
        <w:rPr>
          <w:rFonts w:cstheme="minorHAnsi"/>
          <w:b/>
          <w:sz w:val="28"/>
          <w:szCs w:val="28"/>
          <w:u w:val="single"/>
        </w:rPr>
      </w:pPr>
    </w:p>
    <w:p w14:paraId="032B43F6" w14:textId="77777777" w:rsidR="000951D6" w:rsidRDefault="000951D6" w:rsidP="00416DF1">
      <w:pPr>
        <w:spacing w:after="0" w:line="240" w:lineRule="auto"/>
        <w:rPr>
          <w:rFonts w:cstheme="minorHAnsi"/>
          <w:b/>
          <w:sz w:val="28"/>
          <w:szCs w:val="28"/>
          <w:u w:val="single"/>
        </w:rPr>
      </w:pPr>
    </w:p>
    <w:p w14:paraId="6DDB27FC" w14:textId="77777777" w:rsidR="00416DF1" w:rsidRPr="003B7A3F" w:rsidRDefault="00416DF1" w:rsidP="00416DF1">
      <w:pPr>
        <w:spacing w:after="0" w:line="240" w:lineRule="auto"/>
        <w:rPr>
          <w:rFonts w:cstheme="minorHAnsi"/>
          <w:b/>
          <w:sz w:val="28"/>
          <w:szCs w:val="28"/>
          <w:u w:val="single"/>
        </w:rPr>
      </w:pPr>
    </w:p>
    <w:p w14:paraId="0B99F340" w14:textId="77777777" w:rsidR="00416DF1" w:rsidRDefault="00416DF1" w:rsidP="00416DF1">
      <w:pPr>
        <w:spacing w:after="0" w:line="240" w:lineRule="auto"/>
        <w:rPr>
          <w:rFonts w:cstheme="minorHAnsi"/>
          <w:b/>
          <w:sz w:val="28"/>
          <w:szCs w:val="28"/>
          <w:u w:val="single"/>
        </w:rPr>
      </w:pPr>
      <w:r w:rsidRPr="003B7A3F">
        <w:rPr>
          <w:rFonts w:cstheme="minorHAnsi"/>
          <w:b/>
          <w:sz w:val="28"/>
          <w:szCs w:val="28"/>
          <w:u w:val="single"/>
        </w:rPr>
        <w:t xml:space="preserve">Kapitola </w:t>
      </w:r>
      <w:r>
        <w:rPr>
          <w:rFonts w:cstheme="minorHAnsi"/>
          <w:b/>
          <w:sz w:val="28"/>
          <w:szCs w:val="28"/>
          <w:u w:val="single"/>
        </w:rPr>
        <w:t>27 – Digitalizace</w:t>
      </w:r>
    </w:p>
    <w:p w14:paraId="2C1585BD" w14:textId="77777777" w:rsidR="00416DF1" w:rsidRPr="003B7A3F" w:rsidRDefault="00416DF1" w:rsidP="00416DF1">
      <w:pPr>
        <w:spacing w:after="0" w:line="240" w:lineRule="auto"/>
        <w:rPr>
          <w:rFonts w:cstheme="minorHAnsi"/>
          <w:b/>
          <w:sz w:val="28"/>
          <w:szCs w:val="28"/>
          <w:u w:val="single"/>
        </w:rPr>
      </w:pPr>
    </w:p>
    <w:p w14:paraId="50B872EF" w14:textId="77777777" w:rsidR="00416DF1" w:rsidRPr="003B7A3F" w:rsidRDefault="00416DF1" w:rsidP="00416DF1">
      <w:pPr>
        <w:spacing w:after="0" w:line="240" w:lineRule="auto"/>
        <w:rPr>
          <w:rFonts w:cstheme="minorHAnsi"/>
          <w:b/>
          <w:u w:val="single"/>
        </w:rPr>
      </w:pPr>
    </w:p>
    <w:p w14:paraId="4F1E1B68" w14:textId="77777777" w:rsidR="00416DF1" w:rsidRDefault="00416DF1" w:rsidP="00416DF1">
      <w:pPr>
        <w:spacing w:after="0" w:line="240" w:lineRule="auto"/>
        <w:jc w:val="both"/>
        <w:rPr>
          <w:rFonts w:cstheme="minorHAnsi"/>
          <w:b/>
          <w:sz w:val="24"/>
          <w:szCs w:val="24"/>
          <w:u w:val="single"/>
        </w:rPr>
      </w:pPr>
      <w:r w:rsidRPr="00BA4348">
        <w:rPr>
          <w:rFonts w:cstheme="minorHAnsi"/>
          <w:b/>
          <w:sz w:val="24"/>
          <w:szCs w:val="24"/>
          <w:u w:val="single"/>
        </w:rPr>
        <w:t xml:space="preserve">Předfinancování a kofinancování projektů spolufinancovaných z EU/EHP a ostatní související výdaje s projekty EU/EHP </w:t>
      </w:r>
    </w:p>
    <w:p w14:paraId="510E43CA" w14:textId="77777777" w:rsidR="00416DF1" w:rsidRDefault="00416DF1" w:rsidP="00416DF1">
      <w:pPr>
        <w:spacing w:after="0" w:line="240" w:lineRule="auto"/>
        <w:jc w:val="both"/>
        <w:rPr>
          <w:rFonts w:cstheme="minorHAnsi"/>
          <w:b/>
          <w:sz w:val="24"/>
          <w:szCs w:val="24"/>
          <w:u w:val="single"/>
        </w:rPr>
      </w:pPr>
    </w:p>
    <w:p w14:paraId="2B4B8283" w14:textId="5F5D711D" w:rsidR="00416DF1" w:rsidRPr="00347E51" w:rsidRDefault="00416DF1" w:rsidP="00416DF1">
      <w:pPr>
        <w:spacing w:after="0" w:line="240" w:lineRule="auto"/>
        <w:rPr>
          <w:rFonts w:cstheme="minorHAnsi"/>
          <w:b/>
          <w:bCs/>
        </w:rPr>
      </w:pPr>
      <w:r w:rsidRPr="00347E51">
        <w:rPr>
          <w:rFonts w:cstheme="minorHAnsi"/>
          <w:b/>
          <w:bCs/>
        </w:rPr>
        <w:t xml:space="preserve">§ 3636 </w:t>
      </w:r>
      <w:r w:rsidR="004F1214" w:rsidRPr="00715FC1">
        <w:rPr>
          <w:rFonts w:eastAsia="Calibri" w:cstheme="minorHAnsi"/>
          <w:b/>
          <w:bCs/>
        </w:rPr>
        <w:t>–</w:t>
      </w:r>
      <w:r w:rsidRPr="00347E51">
        <w:rPr>
          <w:rFonts w:cstheme="minorHAnsi"/>
          <w:b/>
          <w:bCs/>
        </w:rPr>
        <w:t>Pořízení a rozvoj digitální technické mapy SK</w:t>
      </w:r>
    </w:p>
    <w:p w14:paraId="00FF4AB3" w14:textId="65267822" w:rsidR="00416DF1" w:rsidRPr="000951D6" w:rsidRDefault="00416DF1" w:rsidP="00416DF1">
      <w:pPr>
        <w:pStyle w:val="Default"/>
        <w:jc w:val="both"/>
        <w:rPr>
          <w:rFonts w:ascii="Calibri" w:hAnsi="Calibri" w:cstheme="minorHAnsi"/>
          <w:color w:val="auto"/>
          <w:sz w:val="22"/>
          <w:szCs w:val="22"/>
        </w:rPr>
      </w:pPr>
      <w:r w:rsidRPr="000951D6">
        <w:rPr>
          <w:rFonts w:ascii="Calibri" w:hAnsi="Calibri" w:cstheme="minorHAnsi"/>
          <w:color w:val="auto"/>
          <w:sz w:val="22"/>
          <w:szCs w:val="22"/>
        </w:rPr>
        <w:t>Rozpočet byl upraven usnesením č.</w:t>
      </w:r>
      <w:r w:rsidRPr="000951D6">
        <w:rPr>
          <w:rFonts w:ascii="Calibri" w:hAnsi="Calibri"/>
          <w:color w:val="auto"/>
          <w:sz w:val="22"/>
          <w:szCs w:val="22"/>
        </w:rPr>
        <w:t xml:space="preserve"> </w:t>
      </w:r>
      <w:r w:rsidRPr="000951D6">
        <w:rPr>
          <w:rFonts w:ascii="Calibri" w:hAnsi="Calibri" w:cstheme="minorHAnsi"/>
          <w:color w:val="auto"/>
          <w:sz w:val="22"/>
          <w:szCs w:val="22"/>
        </w:rPr>
        <w:t>004-19/2021/RK ze dne 29.</w:t>
      </w:r>
      <w:r w:rsidR="00994F9D" w:rsidRPr="000951D6">
        <w:rPr>
          <w:rFonts w:ascii="Calibri" w:hAnsi="Calibri" w:cstheme="minorHAnsi"/>
          <w:color w:val="auto"/>
          <w:sz w:val="22"/>
          <w:szCs w:val="22"/>
        </w:rPr>
        <w:t xml:space="preserve"> </w:t>
      </w:r>
      <w:r w:rsidRPr="000951D6">
        <w:rPr>
          <w:rFonts w:ascii="Calibri" w:hAnsi="Calibri" w:cstheme="minorHAnsi"/>
          <w:color w:val="auto"/>
          <w:sz w:val="22"/>
          <w:szCs w:val="22"/>
        </w:rPr>
        <w:t>4.</w:t>
      </w:r>
      <w:r w:rsidR="00994F9D" w:rsidRPr="000951D6">
        <w:rPr>
          <w:rFonts w:ascii="Calibri" w:hAnsi="Calibri" w:cstheme="minorHAnsi"/>
          <w:color w:val="auto"/>
          <w:sz w:val="22"/>
          <w:szCs w:val="22"/>
        </w:rPr>
        <w:t xml:space="preserve"> </w:t>
      </w:r>
      <w:r w:rsidRPr="000951D6">
        <w:rPr>
          <w:rFonts w:ascii="Calibri" w:hAnsi="Calibri" w:cstheme="minorHAnsi"/>
          <w:color w:val="auto"/>
          <w:sz w:val="22"/>
          <w:szCs w:val="22"/>
        </w:rPr>
        <w:t>2021 (převod finančních prostředků z kapitoly 23 – Ostatní na předfinancování a kofinancování projektů z EU/EHP na kapitolu 27 – Digitalizace, na financování projektu „Pořízení a rozvoj digitální technické mapy (DTM) Středočeského kraje“) na částku 4 000 000,00 Kč. Finanční prostředky nebyly v roce 2021 čerpány</w:t>
      </w:r>
      <w:r w:rsidR="004F1214">
        <w:rPr>
          <w:rFonts w:ascii="Calibri" w:hAnsi="Calibri" w:cstheme="minorHAnsi"/>
          <w:color w:val="auto"/>
          <w:sz w:val="22"/>
          <w:szCs w:val="22"/>
        </w:rPr>
        <w:t xml:space="preserve">. </w:t>
      </w:r>
      <w:r w:rsidRPr="000951D6">
        <w:rPr>
          <w:rFonts w:ascii="Calibri" w:hAnsi="Calibri" w:cstheme="minorHAnsi"/>
          <w:color w:val="auto"/>
          <w:sz w:val="22"/>
          <w:szCs w:val="22"/>
        </w:rPr>
        <w:t xml:space="preserve"> </w:t>
      </w:r>
      <w:bookmarkStart w:id="76" w:name="_Hlk97883295"/>
      <w:r w:rsidRPr="009F0E1F">
        <w:rPr>
          <w:rFonts w:ascii="Calibri" w:hAnsi="Calibri" w:cstheme="minorHAnsi"/>
          <w:color w:val="auto"/>
          <w:sz w:val="22"/>
          <w:szCs w:val="22"/>
        </w:rPr>
        <w:t xml:space="preserve">V roce </w:t>
      </w:r>
      <w:r w:rsidR="004F1214">
        <w:rPr>
          <w:rFonts w:ascii="Calibri" w:hAnsi="Calibri" w:cstheme="minorHAnsi"/>
          <w:color w:val="auto"/>
          <w:sz w:val="22"/>
          <w:szCs w:val="22"/>
        </w:rPr>
        <w:t>2022 bude projekt administrovat kapitola</w:t>
      </w:r>
      <w:r w:rsidRPr="009F0E1F">
        <w:rPr>
          <w:rFonts w:ascii="Calibri" w:hAnsi="Calibri" w:cstheme="minorHAnsi"/>
          <w:color w:val="auto"/>
          <w:sz w:val="22"/>
          <w:szCs w:val="22"/>
        </w:rPr>
        <w:t xml:space="preserve"> 08 – Regionální rozvoj</w:t>
      </w:r>
      <w:r w:rsidR="004F1214">
        <w:rPr>
          <w:rFonts w:ascii="Calibri" w:hAnsi="Calibri" w:cstheme="minorHAnsi"/>
          <w:color w:val="auto"/>
          <w:sz w:val="22"/>
          <w:szCs w:val="22"/>
        </w:rPr>
        <w:t>.</w:t>
      </w:r>
      <w:r w:rsidRPr="000951D6">
        <w:rPr>
          <w:rFonts w:ascii="Calibri" w:hAnsi="Calibri" w:cstheme="minorHAnsi"/>
          <w:color w:val="auto"/>
          <w:sz w:val="22"/>
          <w:szCs w:val="22"/>
        </w:rPr>
        <w:t xml:space="preserve"> </w:t>
      </w:r>
    </w:p>
    <w:p w14:paraId="5CE173F7" w14:textId="77777777" w:rsidR="00416DF1" w:rsidRPr="00347E51" w:rsidRDefault="00416DF1" w:rsidP="00416DF1">
      <w:pPr>
        <w:spacing w:after="0" w:line="240" w:lineRule="auto"/>
        <w:jc w:val="both"/>
        <w:rPr>
          <w:rFonts w:cstheme="minorHAnsi"/>
        </w:rPr>
      </w:pPr>
    </w:p>
    <w:bookmarkEnd w:id="76"/>
    <w:p w14:paraId="502ABAC0" w14:textId="77777777" w:rsidR="00416DF1" w:rsidRPr="003B7A3F" w:rsidRDefault="00416DF1" w:rsidP="00416DF1">
      <w:pPr>
        <w:pStyle w:val="Default"/>
        <w:jc w:val="both"/>
        <w:rPr>
          <w:rFonts w:cstheme="minorHAnsi"/>
        </w:rPr>
      </w:pPr>
    </w:p>
    <w:p w14:paraId="155C1FAF" w14:textId="77777777" w:rsidR="00416DF1" w:rsidRPr="004261F9" w:rsidRDefault="00416DF1" w:rsidP="00416DF1">
      <w:pPr>
        <w:pStyle w:val="Default"/>
        <w:jc w:val="both"/>
        <w:rPr>
          <w:rFonts w:cstheme="minorHAnsi"/>
        </w:rPr>
      </w:pPr>
    </w:p>
    <w:tbl>
      <w:tblPr>
        <w:tblW w:w="12333" w:type="dxa"/>
        <w:tblLayout w:type="fixed"/>
        <w:tblCellMar>
          <w:left w:w="70" w:type="dxa"/>
          <w:right w:w="70" w:type="dxa"/>
        </w:tblCellMar>
        <w:tblLook w:val="04A0" w:firstRow="1" w:lastRow="0" w:firstColumn="1" w:lastColumn="0" w:noHBand="0" w:noVBand="1"/>
      </w:tblPr>
      <w:tblGrid>
        <w:gridCol w:w="826"/>
        <w:gridCol w:w="4136"/>
        <w:gridCol w:w="1559"/>
        <w:gridCol w:w="1701"/>
        <w:gridCol w:w="1701"/>
        <w:gridCol w:w="1701"/>
        <w:gridCol w:w="709"/>
      </w:tblGrid>
      <w:tr w:rsidR="00416DF1" w:rsidRPr="004261F9" w14:paraId="523EF00F" w14:textId="77777777" w:rsidTr="00352B92">
        <w:trPr>
          <w:trHeight w:val="300"/>
        </w:trPr>
        <w:tc>
          <w:tcPr>
            <w:tcW w:w="826" w:type="dxa"/>
            <w:tcBorders>
              <w:top w:val="nil"/>
              <w:left w:val="nil"/>
              <w:bottom w:val="nil"/>
              <w:right w:val="nil"/>
            </w:tcBorders>
            <w:shd w:val="clear" w:color="auto" w:fill="auto"/>
            <w:noWrap/>
            <w:vAlign w:val="bottom"/>
            <w:hideMark/>
          </w:tcPr>
          <w:p w14:paraId="0A38390C" w14:textId="77777777" w:rsidR="00416DF1" w:rsidRPr="004261F9" w:rsidRDefault="00416DF1" w:rsidP="00352B92">
            <w:pPr>
              <w:pStyle w:val="Default"/>
              <w:jc w:val="both"/>
              <w:rPr>
                <w:rFonts w:cstheme="minorHAnsi"/>
              </w:rPr>
            </w:pPr>
          </w:p>
        </w:tc>
        <w:tc>
          <w:tcPr>
            <w:tcW w:w="4136" w:type="dxa"/>
            <w:tcBorders>
              <w:top w:val="nil"/>
              <w:left w:val="nil"/>
              <w:bottom w:val="nil"/>
              <w:right w:val="nil"/>
            </w:tcBorders>
            <w:shd w:val="clear" w:color="auto" w:fill="auto"/>
            <w:noWrap/>
            <w:vAlign w:val="bottom"/>
            <w:hideMark/>
          </w:tcPr>
          <w:p w14:paraId="29F124E1" w14:textId="77777777" w:rsidR="00416DF1" w:rsidRPr="004261F9" w:rsidRDefault="00416DF1" w:rsidP="00352B92">
            <w:pPr>
              <w:pStyle w:val="Default"/>
              <w:jc w:val="both"/>
              <w:rPr>
                <w:rFonts w:cstheme="minorHAnsi"/>
              </w:rPr>
            </w:pPr>
          </w:p>
        </w:tc>
        <w:tc>
          <w:tcPr>
            <w:tcW w:w="1559" w:type="dxa"/>
            <w:tcBorders>
              <w:top w:val="nil"/>
              <w:left w:val="nil"/>
              <w:bottom w:val="nil"/>
              <w:right w:val="nil"/>
            </w:tcBorders>
            <w:shd w:val="clear" w:color="auto" w:fill="auto"/>
            <w:noWrap/>
            <w:vAlign w:val="bottom"/>
            <w:hideMark/>
          </w:tcPr>
          <w:p w14:paraId="232082F6" w14:textId="77777777" w:rsidR="00416DF1" w:rsidRPr="004261F9" w:rsidRDefault="00416DF1" w:rsidP="00352B92">
            <w:pPr>
              <w:pStyle w:val="Default"/>
              <w:jc w:val="both"/>
              <w:rPr>
                <w:rFonts w:cstheme="minorHAnsi"/>
              </w:rPr>
            </w:pPr>
          </w:p>
        </w:tc>
        <w:tc>
          <w:tcPr>
            <w:tcW w:w="1701" w:type="dxa"/>
            <w:tcBorders>
              <w:top w:val="nil"/>
              <w:left w:val="nil"/>
              <w:bottom w:val="nil"/>
              <w:right w:val="nil"/>
            </w:tcBorders>
          </w:tcPr>
          <w:p w14:paraId="314CEC30" w14:textId="77777777" w:rsidR="00416DF1" w:rsidRPr="004261F9" w:rsidRDefault="00416DF1" w:rsidP="00352B92">
            <w:pPr>
              <w:pStyle w:val="Default"/>
              <w:jc w:val="both"/>
              <w:rPr>
                <w:rFonts w:cstheme="minorHAnsi"/>
              </w:rPr>
            </w:pPr>
          </w:p>
        </w:tc>
        <w:tc>
          <w:tcPr>
            <w:tcW w:w="1701" w:type="dxa"/>
            <w:tcBorders>
              <w:top w:val="nil"/>
              <w:left w:val="nil"/>
              <w:bottom w:val="nil"/>
              <w:right w:val="nil"/>
            </w:tcBorders>
            <w:shd w:val="clear" w:color="auto" w:fill="auto"/>
            <w:noWrap/>
            <w:vAlign w:val="bottom"/>
            <w:hideMark/>
          </w:tcPr>
          <w:p w14:paraId="6F0DB897" w14:textId="77777777" w:rsidR="00416DF1" w:rsidRPr="004261F9" w:rsidRDefault="00416DF1" w:rsidP="00352B92">
            <w:pPr>
              <w:pStyle w:val="Default"/>
              <w:jc w:val="both"/>
              <w:rPr>
                <w:rFonts w:cstheme="minorHAnsi"/>
              </w:rPr>
            </w:pPr>
          </w:p>
        </w:tc>
        <w:tc>
          <w:tcPr>
            <w:tcW w:w="1701" w:type="dxa"/>
            <w:tcBorders>
              <w:top w:val="nil"/>
              <w:left w:val="nil"/>
              <w:bottom w:val="nil"/>
              <w:right w:val="nil"/>
            </w:tcBorders>
            <w:shd w:val="clear" w:color="auto" w:fill="auto"/>
            <w:noWrap/>
            <w:vAlign w:val="bottom"/>
            <w:hideMark/>
          </w:tcPr>
          <w:p w14:paraId="7C6F59CF" w14:textId="77777777" w:rsidR="00416DF1" w:rsidRPr="004261F9" w:rsidRDefault="00416DF1" w:rsidP="00352B92">
            <w:pPr>
              <w:pStyle w:val="Default"/>
              <w:jc w:val="both"/>
              <w:rPr>
                <w:rFonts w:cstheme="minorHAnsi"/>
              </w:rPr>
            </w:pPr>
          </w:p>
        </w:tc>
        <w:tc>
          <w:tcPr>
            <w:tcW w:w="709" w:type="dxa"/>
            <w:tcBorders>
              <w:top w:val="nil"/>
              <w:left w:val="nil"/>
              <w:bottom w:val="nil"/>
              <w:right w:val="nil"/>
            </w:tcBorders>
            <w:shd w:val="clear" w:color="auto" w:fill="auto"/>
            <w:noWrap/>
            <w:vAlign w:val="bottom"/>
            <w:hideMark/>
          </w:tcPr>
          <w:p w14:paraId="56D55C33" w14:textId="77777777" w:rsidR="00416DF1" w:rsidRPr="004261F9" w:rsidRDefault="00416DF1" w:rsidP="00352B92">
            <w:pPr>
              <w:pStyle w:val="Default"/>
              <w:jc w:val="both"/>
              <w:rPr>
                <w:rFonts w:cstheme="minorHAnsi"/>
              </w:rPr>
            </w:pPr>
          </w:p>
        </w:tc>
      </w:tr>
    </w:tbl>
    <w:p w14:paraId="538C5FFE" w14:textId="77777777" w:rsidR="00416DF1" w:rsidRPr="001B72AB" w:rsidRDefault="00416DF1" w:rsidP="00416DF1">
      <w:pPr>
        <w:spacing w:after="0" w:line="240" w:lineRule="auto"/>
        <w:rPr>
          <w:rFonts w:cstheme="minorHAnsi"/>
        </w:rPr>
      </w:pPr>
    </w:p>
    <w:p w14:paraId="16B0405E" w14:textId="77777777" w:rsidR="000B380F" w:rsidRPr="00905432" w:rsidRDefault="000B380F" w:rsidP="0013179B">
      <w:pPr>
        <w:rPr>
          <w:rFonts w:cs="Calibri"/>
        </w:rPr>
      </w:pPr>
    </w:p>
    <w:sectPr w:rsidR="000B380F" w:rsidRPr="00905432" w:rsidSect="00FA48C7">
      <w:pgSz w:w="11906" w:h="16838"/>
      <w:pgMar w:top="1134" w:right="851" w:bottom="1134"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E4FCF" w14:textId="77777777" w:rsidR="0060450D" w:rsidRDefault="0060450D" w:rsidP="00EB39A2">
      <w:pPr>
        <w:spacing w:after="0" w:line="240" w:lineRule="auto"/>
      </w:pPr>
      <w:r>
        <w:separator/>
      </w:r>
    </w:p>
  </w:endnote>
  <w:endnote w:type="continuationSeparator" w:id="0">
    <w:p w14:paraId="2B71B685" w14:textId="77777777" w:rsidR="0060450D" w:rsidRDefault="0060450D" w:rsidP="00EB39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7807005"/>
      <w:docPartObj>
        <w:docPartGallery w:val="Page Numbers (Bottom of Page)"/>
        <w:docPartUnique/>
      </w:docPartObj>
    </w:sdtPr>
    <w:sdtEndPr/>
    <w:sdtContent>
      <w:p w14:paraId="1330EBE4" w14:textId="77F71D18" w:rsidR="0026360D" w:rsidRDefault="0026360D">
        <w:pPr>
          <w:pStyle w:val="Zpat"/>
          <w:jc w:val="right"/>
        </w:pPr>
        <w:r>
          <w:fldChar w:fldCharType="begin"/>
        </w:r>
        <w:r>
          <w:instrText>PAGE   \* MERGEFORMAT</w:instrText>
        </w:r>
        <w:r>
          <w:fldChar w:fldCharType="separate"/>
        </w:r>
        <w:r>
          <w:t>2</w:t>
        </w:r>
        <w:r>
          <w:fldChar w:fldCharType="end"/>
        </w:r>
      </w:p>
    </w:sdtContent>
  </w:sdt>
  <w:p w14:paraId="3CD8532B" w14:textId="77777777" w:rsidR="0026360D" w:rsidRDefault="0026360D">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88290" w14:textId="77777777" w:rsidR="0060450D" w:rsidRDefault="0060450D" w:rsidP="00EB39A2">
      <w:pPr>
        <w:spacing w:after="0" w:line="240" w:lineRule="auto"/>
      </w:pPr>
      <w:r>
        <w:separator/>
      </w:r>
    </w:p>
  </w:footnote>
  <w:footnote w:type="continuationSeparator" w:id="0">
    <w:p w14:paraId="58518FA4" w14:textId="77777777" w:rsidR="0060450D" w:rsidRDefault="0060450D" w:rsidP="00EB39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64E6D"/>
    <w:multiLevelType w:val="hybridMultilevel"/>
    <w:tmpl w:val="A40E3F2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1E13F0C"/>
    <w:multiLevelType w:val="hybridMultilevel"/>
    <w:tmpl w:val="4B5A25F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2133018"/>
    <w:multiLevelType w:val="hybridMultilevel"/>
    <w:tmpl w:val="EB8CE23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5316AA7"/>
    <w:multiLevelType w:val="hybridMultilevel"/>
    <w:tmpl w:val="EEE0CC22"/>
    <w:lvl w:ilvl="0" w:tplc="BEAA1926">
      <w:start w:val="1"/>
      <w:numFmt w:val="lowerLetter"/>
      <w:lvlText w:val="%1)"/>
      <w:lvlJc w:val="left"/>
      <w:pPr>
        <w:ind w:left="644" w:hanging="360"/>
      </w:pPr>
      <w:rPr>
        <w:rFonts w:asciiTheme="minorHAnsi" w:eastAsiaTheme="minorHAnsi" w:hAnsiTheme="minorHAnsi" w:cstheme="minorHAnsi"/>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4" w15:restartNumberingAfterBreak="0">
    <w:nsid w:val="053500E1"/>
    <w:multiLevelType w:val="hybridMultilevel"/>
    <w:tmpl w:val="C52CBFF4"/>
    <w:lvl w:ilvl="0" w:tplc="EC72701C">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7AF0683"/>
    <w:multiLevelType w:val="hybridMultilevel"/>
    <w:tmpl w:val="600E73F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89D2408"/>
    <w:multiLevelType w:val="hybridMultilevel"/>
    <w:tmpl w:val="E06E617E"/>
    <w:lvl w:ilvl="0" w:tplc="30AEE366">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0BB97A21"/>
    <w:multiLevelType w:val="hybridMultilevel"/>
    <w:tmpl w:val="5AEED27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CEF6329"/>
    <w:multiLevelType w:val="hybridMultilevel"/>
    <w:tmpl w:val="D8A0FF40"/>
    <w:lvl w:ilvl="0" w:tplc="30AEE366">
      <w:numFmt w:val="bullet"/>
      <w:lvlText w:val="-"/>
      <w:lvlJc w:val="left"/>
      <w:pPr>
        <w:ind w:left="780" w:hanging="360"/>
      </w:pPr>
      <w:rPr>
        <w:rFonts w:ascii="Calibri" w:eastAsiaTheme="minorHAnsi" w:hAnsi="Calibri" w:cs="Calibri"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9" w15:restartNumberingAfterBreak="0">
    <w:nsid w:val="137B0E52"/>
    <w:multiLevelType w:val="hybridMultilevel"/>
    <w:tmpl w:val="DA1600E2"/>
    <w:lvl w:ilvl="0" w:tplc="3CB076B0">
      <w:start w:val="98"/>
      <w:numFmt w:val="bullet"/>
      <w:lvlText w:val="-"/>
      <w:lvlJc w:val="left"/>
      <w:pPr>
        <w:ind w:left="720" w:hanging="360"/>
      </w:pPr>
      <w:rPr>
        <w:rFonts w:ascii="Times New Roman" w:eastAsia="Times New Roman" w:hAnsi="Times New Roman" w:cs="Times New Roman"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F635BF0"/>
    <w:multiLevelType w:val="hybridMultilevel"/>
    <w:tmpl w:val="6778C152"/>
    <w:lvl w:ilvl="0" w:tplc="F314C5DA">
      <w:start w:val="1"/>
      <w:numFmt w:val="lowerLetter"/>
      <w:lvlText w:val="%1)"/>
      <w:lvlJc w:val="left"/>
      <w:pPr>
        <w:ind w:left="720" w:hanging="360"/>
      </w:pPr>
      <w:rPr>
        <w:rFonts w:asciiTheme="minorHAnsi" w:eastAsiaTheme="minorHAnsi" w:hAnsiTheme="minorHAnsi" w:cstheme="minorHAnsi"/>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2392134"/>
    <w:multiLevelType w:val="hybridMultilevel"/>
    <w:tmpl w:val="1EFE636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A860B32"/>
    <w:multiLevelType w:val="hybridMultilevel"/>
    <w:tmpl w:val="2834975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32B928A7"/>
    <w:multiLevelType w:val="hybridMultilevel"/>
    <w:tmpl w:val="D87CB57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4A2F2F6C"/>
    <w:multiLevelType w:val="hybridMultilevel"/>
    <w:tmpl w:val="A878A63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4B7F1E15"/>
    <w:multiLevelType w:val="hybridMultilevel"/>
    <w:tmpl w:val="72F6A06E"/>
    <w:lvl w:ilvl="0" w:tplc="30AEE366">
      <w:numFmt w:val="bullet"/>
      <w:lvlText w:val="-"/>
      <w:lvlJc w:val="left"/>
      <w:pPr>
        <w:ind w:left="780" w:hanging="360"/>
      </w:pPr>
      <w:rPr>
        <w:rFonts w:ascii="Calibri" w:eastAsiaTheme="minorHAnsi" w:hAnsi="Calibri" w:cs="Calibri"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16" w15:restartNumberingAfterBreak="0">
    <w:nsid w:val="4D8414BA"/>
    <w:multiLevelType w:val="hybridMultilevel"/>
    <w:tmpl w:val="941ED2C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4D8A6B16"/>
    <w:multiLevelType w:val="hybridMultilevel"/>
    <w:tmpl w:val="AA6C9F0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5EBC23AE"/>
    <w:multiLevelType w:val="hybridMultilevel"/>
    <w:tmpl w:val="D146F5CE"/>
    <w:lvl w:ilvl="0" w:tplc="60609706">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5F174754"/>
    <w:multiLevelType w:val="hybridMultilevel"/>
    <w:tmpl w:val="988A594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631F613B"/>
    <w:multiLevelType w:val="hybridMultilevel"/>
    <w:tmpl w:val="CF2C8B0C"/>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6B567FE1"/>
    <w:multiLevelType w:val="hybridMultilevel"/>
    <w:tmpl w:val="E88281EC"/>
    <w:lvl w:ilvl="0" w:tplc="3168C270">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70F36AA2"/>
    <w:multiLevelType w:val="hybridMultilevel"/>
    <w:tmpl w:val="7BC82474"/>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71551A01"/>
    <w:multiLevelType w:val="hybridMultilevel"/>
    <w:tmpl w:val="8AB816C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71DB2DAD"/>
    <w:multiLevelType w:val="hybridMultilevel"/>
    <w:tmpl w:val="86304EA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5"/>
  </w:num>
  <w:num w:numId="2">
    <w:abstractNumId w:val="9"/>
  </w:num>
  <w:num w:numId="3">
    <w:abstractNumId w:val="21"/>
  </w:num>
  <w:num w:numId="4">
    <w:abstractNumId w:val="6"/>
  </w:num>
  <w:num w:numId="5">
    <w:abstractNumId w:val="4"/>
  </w:num>
  <w:num w:numId="6">
    <w:abstractNumId w:val="8"/>
  </w:num>
  <w:num w:numId="7">
    <w:abstractNumId w:val="15"/>
  </w:num>
  <w:num w:numId="8">
    <w:abstractNumId w:val="3"/>
  </w:num>
  <w:num w:numId="9">
    <w:abstractNumId w:val="10"/>
  </w:num>
  <w:num w:numId="10">
    <w:abstractNumId w:val="7"/>
  </w:num>
  <w:num w:numId="11">
    <w:abstractNumId w:val="23"/>
  </w:num>
  <w:num w:numId="12">
    <w:abstractNumId w:val="20"/>
  </w:num>
  <w:num w:numId="13">
    <w:abstractNumId w:val="22"/>
  </w:num>
  <w:num w:numId="14">
    <w:abstractNumId w:val="12"/>
  </w:num>
  <w:num w:numId="15">
    <w:abstractNumId w:val="17"/>
  </w:num>
  <w:num w:numId="16">
    <w:abstractNumId w:val="14"/>
  </w:num>
  <w:num w:numId="17">
    <w:abstractNumId w:val="13"/>
  </w:num>
  <w:num w:numId="18">
    <w:abstractNumId w:val="11"/>
  </w:num>
  <w:num w:numId="19">
    <w:abstractNumId w:val="19"/>
  </w:num>
  <w:num w:numId="20">
    <w:abstractNumId w:val="1"/>
  </w:num>
  <w:num w:numId="21">
    <w:abstractNumId w:val="2"/>
  </w:num>
  <w:num w:numId="22">
    <w:abstractNumId w:val="0"/>
  </w:num>
  <w:num w:numId="23">
    <w:abstractNumId w:val="24"/>
  </w:num>
  <w:num w:numId="24">
    <w:abstractNumId w:val="16"/>
  </w:num>
  <w:num w:numId="25">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2A3C"/>
    <w:rsid w:val="0002153C"/>
    <w:rsid w:val="000265D7"/>
    <w:rsid w:val="00033E98"/>
    <w:rsid w:val="00034370"/>
    <w:rsid w:val="00037318"/>
    <w:rsid w:val="000374D9"/>
    <w:rsid w:val="00040C91"/>
    <w:rsid w:val="00041914"/>
    <w:rsid w:val="00050636"/>
    <w:rsid w:val="00067727"/>
    <w:rsid w:val="00073712"/>
    <w:rsid w:val="0007634D"/>
    <w:rsid w:val="000910EA"/>
    <w:rsid w:val="000951D6"/>
    <w:rsid w:val="000A78BD"/>
    <w:rsid w:val="000B3331"/>
    <w:rsid w:val="000B380F"/>
    <w:rsid w:val="000B731F"/>
    <w:rsid w:val="000C7B12"/>
    <w:rsid w:val="000D32ED"/>
    <w:rsid w:val="000D6CEE"/>
    <w:rsid w:val="000D7BC2"/>
    <w:rsid w:val="000E4DFC"/>
    <w:rsid w:val="000F305A"/>
    <w:rsid w:val="00110410"/>
    <w:rsid w:val="0013179B"/>
    <w:rsid w:val="00131A5E"/>
    <w:rsid w:val="001578AF"/>
    <w:rsid w:val="00164521"/>
    <w:rsid w:val="00165452"/>
    <w:rsid w:val="001A07E9"/>
    <w:rsid w:val="001B3D6E"/>
    <w:rsid w:val="001C29FF"/>
    <w:rsid w:val="001E5999"/>
    <w:rsid w:val="001E7506"/>
    <w:rsid w:val="001F591A"/>
    <w:rsid w:val="001F6D11"/>
    <w:rsid w:val="0020666D"/>
    <w:rsid w:val="00210CF3"/>
    <w:rsid w:val="002178E3"/>
    <w:rsid w:val="00236060"/>
    <w:rsid w:val="00241D50"/>
    <w:rsid w:val="002448A9"/>
    <w:rsid w:val="002478B0"/>
    <w:rsid w:val="00256A12"/>
    <w:rsid w:val="0026360D"/>
    <w:rsid w:val="00263A39"/>
    <w:rsid w:val="00282825"/>
    <w:rsid w:val="00285B40"/>
    <w:rsid w:val="0029594C"/>
    <w:rsid w:val="00296EE4"/>
    <w:rsid w:val="002D0868"/>
    <w:rsid w:val="002D51AA"/>
    <w:rsid w:val="002E5595"/>
    <w:rsid w:val="002F53A6"/>
    <w:rsid w:val="002F7D33"/>
    <w:rsid w:val="00312CF1"/>
    <w:rsid w:val="003277D6"/>
    <w:rsid w:val="00327C00"/>
    <w:rsid w:val="003421C2"/>
    <w:rsid w:val="00347912"/>
    <w:rsid w:val="00352B92"/>
    <w:rsid w:val="00381961"/>
    <w:rsid w:val="00382991"/>
    <w:rsid w:val="003829B2"/>
    <w:rsid w:val="003835D9"/>
    <w:rsid w:val="003A456C"/>
    <w:rsid w:val="003B391A"/>
    <w:rsid w:val="003C64F8"/>
    <w:rsid w:val="003C697A"/>
    <w:rsid w:val="003F001E"/>
    <w:rsid w:val="003F0367"/>
    <w:rsid w:val="0041246A"/>
    <w:rsid w:val="00416DF1"/>
    <w:rsid w:val="0042584A"/>
    <w:rsid w:val="00444EEB"/>
    <w:rsid w:val="00450719"/>
    <w:rsid w:val="00457EDF"/>
    <w:rsid w:val="004725D1"/>
    <w:rsid w:val="00475092"/>
    <w:rsid w:val="004C4923"/>
    <w:rsid w:val="004C57CF"/>
    <w:rsid w:val="004D206F"/>
    <w:rsid w:val="004D5F33"/>
    <w:rsid w:val="004E3C69"/>
    <w:rsid w:val="004E6F95"/>
    <w:rsid w:val="004F1214"/>
    <w:rsid w:val="004F7242"/>
    <w:rsid w:val="0050696A"/>
    <w:rsid w:val="00514A08"/>
    <w:rsid w:val="0052060D"/>
    <w:rsid w:val="00544B11"/>
    <w:rsid w:val="00553275"/>
    <w:rsid w:val="00557D26"/>
    <w:rsid w:val="00561061"/>
    <w:rsid w:val="00582393"/>
    <w:rsid w:val="00593EA0"/>
    <w:rsid w:val="00594FB0"/>
    <w:rsid w:val="005C03E7"/>
    <w:rsid w:val="005C2A52"/>
    <w:rsid w:val="005D31AE"/>
    <w:rsid w:val="005D5AC2"/>
    <w:rsid w:val="005D7E89"/>
    <w:rsid w:val="005E201B"/>
    <w:rsid w:val="005E25CF"/>
    <w:rsid w:val="005F0AB5"/>
    <w:rsid w:val="005F3E05"/>
    <w:rsid w:val="0060450D"/>
    <w:rsid w:val="00637ED1"/>
    <w:rsid w:val="006405E9"/>
    <w:rsid w:val="006504CE"/>
    <w:rsid w:val="006845AF"/>
    <w:rsid w:val="00687021"/>
    <w:rsid w:val="00693834"/>
    <w:rsid w:val="007008EC"/>
    <w:rsid w:val="00704F23"/>
    <w:rsid w:val="00711568"/>
    <w:rsid w:val="00713EB0"/>
    <w:rsid w:val="00720597"/>
    <w:rsid w:val="0072554E"/>
    <w:rsid w:val="007632F4"/>
    <w:rsid w:val="00763E65"/>
    <w:rsid w:val="00765639"/>
    <w:rsid w:val="00767169"/>
    <w:rsid w:val="00793302"/>
    <w:rsid w:val="00795CC0"/>
    <w:rsid w:val="00797F22"/>
    <w:rsid w:val="007A2A93"/>
    <w:rsid w:val="007B0EE2"/>
    <w:rsid w:val="007B422E"/>
    <w:rsid w:val="007B4EAE"/>
    <w:rsid w:val="007E0010"/>
    <w:rsid w:val="007E5F36"/>
    <w:rsid w:val="007E7613"/>
    <w:rsid w:val="00803456"/>
    <w:rsid w:val="00806351"/>
    <w:rsid w:val="00824DDB"/>
    <w:rsid w:val="00825143"/>
    <w:rsid w:val="008256C8"/>
    <w:rsid w:val="008414A1"/>
    <w:rsid w:val="00850519"/>
    <w:rsid w:val="0085496C"/>
    <w:rsid w:val="00862690"/>
    <w:rsid w:val="008652FB"/>
    <w:rsid w:val="00882FDC"/>
    <w:rsid w:val="00894A5F"/>
    <w:rsid w:val="008963DA"/>
    <w:rsid w:val="00896CFF"/>
    <w:rsid w:val="008B459E"/>
    <w:rsid w:val="008C62A3"/>
    <w:rsid w:val="008D6973"/>
    <w:rsid w:val="008E0636"/>
    <w:rsid w:val="00910C46"/>
    <w:rsid w:val="009227EF"/>
    <w:rsid w:val="00924D39"/>
    <w:rsid w:val="00955D47"/>
    <w:rsid w:val="00956DE6"/>
    <w:rsid w:val="00960E88"/>
    <w:rsid w:val="00966B8C"/>
    <w:rsid w:val="00994F9D"/>
    <w:rsid w:val="009A4B6B"/>
    <w:rsid w:val="009B1383"/>
    <w:rsid w:val="009C615C"/>
    <w:rsid w:val="009D2A3C"/>
    <w:rsid w:val="009D361C"/>
    <w:rsid w:val="009D625C"/>
    <w:rsid w:val="009E7096"/>
    <w:rsid w:val="009E7CFC"/>
    <w:rsid w:val="009F0E1F"/>
    <w:rsid w:val="00A03CC2"/>
    <w:rsid w:val="00A05FD9"/>
    <w:rsid w:val="00A137F1"/>
    <w:rsid w:val="00A16061"/>
    <w:rsid w:val="00A216BD"/>
    <w:rsid w:val="00A275CF"/>
    <w:rsid w:val="00A27FE0"/>
    <w:rsid w:val="00A35835"/>
    <w:rsid w:val="00A41CC1"/>
    <w:rsid w:val="00A55202"/>
    <w:rsid w:val="00A60813"/>
    <w:rsid w:val="00A617CD"/>
    <w:rsid w:val="00A7208A"/>
    <w:rsid w:val="00A754CF"/>
    <w:rsid w:val="00A77949"/>
    <w:rsid w:val="00A9399E"/>
    <w:rsid w:val="00A94C91"/>
    <w:rsid w:val="00A97F00"/>
    <w:rsid w:val="00AA3433"/>
    <w:rsid w:val="00AA3B97"/>
    <w:rsid w:val="00AB760C"/>
    <w:rsid w:val="00AE22CD"/>
    <w:rsid w:val="00AF5B41"/>
    <w:rsid w:val="00AF66A1"/>
    <w:rsid w:val="00B134FC"/>
    <w:rsid w:val="00B2095D"/>
    <w:rsid w:val="00B41D99"/>
    <w:rsid w:val="00B53241"/>
    <w:rsid w:val="00B67595"/>
    <w:rsid w:val="00B81C62"/>
    <w:rsid w:val="00B83477"/>
    <w:rsid w:val="00B85262"/>
    <w:rsid w:val="00B908E6"/>
    <w:rsid w:val="00BA3AD2"/>
    <w:rsid w:val="00BA69CD"/>
    <w:rsid w:val="00BB0521"/>
    <w:rsid w:val="00BC5D75"/>
    <w:rsid w:val="00BD4081"/>
    <w:rsid w:val="00BE209D"/>
    <w:rsid w:val="00C1054D"/>
    <w:rsid w:val="00C36D8D"/>
    <w:rsid w:val="00C43260"/>
    <w:rsid w:val="00C44E9D"/>
    <w:rsid w:val="00C47540"/>
    <w:rsid w:val="00C5679A"/>
    <w:rsid w:val="00C65364"/>
    <w:rsid w:val="00C94292"/>
    <w:rsid w:val="00CD2482"/>
    <w:rsid w:val="00CE7CE3"/>
    <w:rsid w:val="00CF193F"/>
    <w:rsid w:val="00D04470"/>
    <w:rsid w:val="00D05074"/>
    <w:rsid w:val="00D12B8F"/>
    <w:rsid w:val="00D13957"/>
    <w:rsid w:val="00D158B8"/>
    <w:rsid w:val="00D20744"/>
    <w:rsid w:val="00D30848"/>
    <w:rsid w:val="00D34CC5"/>
    <w:rsid w:val="00D4251C"/>
    <w:rsid w:val="00D448A7"/>
    <w:rsid w:val="00D64A49"/>
    <w:rsid w:val="00D70DBD"/>
    <w:rsid w:val="00D82B5A"/>
    <w:rsid w:val="00DA2E9A"/>
    <w:rsid w:val="00DA4AA1"/>
    <w:rsid w:val="00DA65DA"/>
    <w:rsid w:val="00DA77A7"/>
    <w:rsid w:val="00DB1D72"/>
    <w:rsid w:val="00DC493D"/>
    <w:rsid w:val="00DD4A04"/>
    <w:rsid w:val="00DE02EE"/>
    <w:rsid w:val="00DE5795"/>
    <w:rsid w:val="00E00840"/>
    <w:rsid w:val="00E01F47"/>
    <w:rsid w:val="00E07FEA"/>
    <w:rsid w:val="00E13FFB"/>
    <w:rsid w:val="00E144A7"/>
    <w:rsid w:val="00E31559"/>
    <w:rsid w:val="00E363C7"/>
    <w:rsid w:val="00E42688"/>
    <w:rsid w:val="00E44FE1"/>
    <w:rsid w:val="00E73885"/>
    <w:rsid w:val="00E85987"/>
    <w:rsid w:val="00EB1C43"/>
    <w:rsid w:val="00EB39A2"/>
    <w:rsid w:val="00EB7823"/>
    <w:rsid w:val="00EC20C1"/>
    <w:rsid w:val="00ED119C"/>
    <w:rsid w:val="00ED51F3"/>
    <w:rsid w:val="00ED6B90"/>
    <w:rsid w:val="00EE51AC"/>
    <w:rsid w:val="00EE5B1C"/>
    <w:rsid w:val="00EE5DBA"/>
    <w:rsid w:val="00F12C73"/>
    <w:rsid w:val="00F20D03"/>
    <w:rsid w:val="00F244F2"/>
    <w:rsid w:val="00F4166E"/>
    <w:rsid w:val="00F42930"/>
    <w:rsid w:val="00F63467"/>
    <w:rsid w:val="00F6476D"/>
    <w:rsid w:val="00F70CCC"/>
    <w:rsid w:val="00F912F4"/>
    <w:rsid w:val="00FA48C7"/>
    <w:rsid w:val="00FA4FAF"/>
    <w:rsid w:val="00FC5683"/>
    <w:rsid w:val="00FE4BE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2525EDB2"/>
  <w15:chartTrackingRefBased/>
  <w15:docId w15:val="{0B8A2DA5-953E-48FC-AE16-430D33473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qFormat/>
    <w:rsid w:val="00960E88"/>
    <w:pPr>
      <w:widowControl w:val="0"/>
      <w:autoSpaceDE w:val="0"/>
      <w:autoSpaceDN w:val="0"/>
      <w:adjustRightInd w:val="0"/>
      <w:spacing w:after="0" w:line="240" w:lineRule="auto"/>
      <w:outlineLvl w:val="0"/>
    </w:pPr>
    <w:rPr>
      <w:rFonts w:ascii="Times New Roman" w:eastAsia="Times New Roman" w:hAnsi="Times New Roman" w:cs="Times New Roman"/>
      <w:b/>
      <w:bCs/>
      <w:sz w:val="28"/>
      <w:szCs w:val="28"/>
      <w:lang w:val="x-none" w:eastAsia="x-none"/>
    </w:rPr>
  </w:style>
  <w:style w:type="paragraph" w:styleId="Nadpis2">
    <w:name w:val="heading 2"/>
    <w:basedOn w:val="Normln"/>
    <w:next w:val="Normln"/>
    <w:link w:val="Nadpis2Char"/>
    <w:uiPriority w:val="9"/>
    <w:semiHidden/>
    <w:unhideWhenUsed/>
    <w:qFormat/>
    <w:rsid w:val="00960E88"/>
    <w:pPr>
      <w:keepNext/>
      <w:suppressAutoHyphens/>
      <w:spacing w:before="240" w:after="60" w:line="240" w:lineRule="auto"/>
      <w:outlineLvl w:val="1"/>
    </w:pPr>
    <w:rPr>
      <w:rFonts w:ascii="Calibri Light" w:eastAsia="Times New Roman" w:hAnsi="Calibri Light" w:cs="Times New Roman"/>
      <w:b/>
      <w:bCs/>
      <w:i/>
      <w:iCs/>
      <w:sz w:val="28"/>
      <w:szCs w:val="28"/>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Prosttext">
    <w:name w:val="Plain Text"/>
    <w:basedOn w:val="Normln"/>
    <w:link w:val="ProsttextChar"/>
    <w:uiPriority w:val="99"/>
    <w:unhideWhenUsed/>
    <w:rsid w:val="00850519"/>
    <w:pPr>
      <w:spacing w:after="0" w:line="240" w:lineRule="auto"/>
    </w:pPr>
    <w:rPr>
      <w:rFonts w:ascii="Calibri" w:eastAsia="Calibri" w:hAnsi="Calibri" w:cs="Times New Roman"/>
      <w:szCs w:val="21"/>
    </w:rPr>
  </w:style>
  <w:style w:type="character" w:customStyle="1" w:styleId="ProsttextChar">
    <w:name w:val="Prostý text Char"/>
    <w:basedOn w:val="Standardnpsmoodstavce"/>
    <w:link w:val="Prosttext"/>
    <w:uiPriority w:val="99"/>
    <w:rsid w:val="00850519"/>
    <w:rPr>
      <w:rFonts w:ascii="Calibri" w:eastAsia="Calibri" w:hAnsi="Calibri" w:cs="Times New Roman"/>
      <w:szCs w:val="21"/>
    </w:rPr>
  </w:style>
  <w:style w:type="paragraph" w:customStyle="1" w:styleId="Default">
    <w:name w:val="Default"/>
    <w:rsid w:val="00850519"/>
    <w:pPr>
      <w:autoSpaceDE w:val="0"/>
      <w:autoSpaceDN w:val="0"/>
      <w:adjustRightInd w:val="0"/>
      <w:spacing w:after="0" w:line="240" w:lineRule="auto"/>
    </w:pPr>
    <w:rPr>
      <w:rFonts w:ascii="Times New Roman" w:hAnsi="Times New Roman" w:cs="Times New Roman"/>
      <w:color w:val="000000"/>
      <w:sz w:val="24"/>
      <w:szCs w:val="24"/>
    </w:rPr>
  </w:style>
  <w:style w:type="table" w:styleId="Mkatabulky">
    <w:name w:val="Table Grid"/>
    <w:basedOn w:val="Normlntabulka"/>
    <w:uiPriority w:val="39"/>
    <w:rsid w:val="00AA34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unhideWhenUsed/>
    <w:rsid w:val="00DA77A7"/>
    <w:rPr>
      <w:color w:val="0000FF"/>
      <w:u w:val="single"/>
    </w:rPr>
  </w:style>
  <w:style w:type="character" w:styleId="Sledovanodkaz">
    <w:name w:val="FollowedHyperlink"/>
    <w:basedOn w:val="Standardnpsmoodstavce"/>
    <w:uiPriority w:val="99"/>
    <w:semiHidden/>
    <w:unhideWhenUsed/>
    <w:rsid w:val="00DA77A7"/>
    <w:rPr>
      <w:color w:val="800080"/>
      <w:u w:val="single"/>
    </w:rPr>
  </w:style>
  <w:style w:type="paragraph" w:customStyle="1" w:styleId="msonormal0">
    <w:name w:val="msonormal"/>
    <w:basedOn w:val="Normln"/>
    <w:rsid w:val="00DA77A7"/>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xl85">
    <w:name w:val="xl85"/>
    <w:basedOn w:val="Normln"/>
    <w:rsid w:val="00DA77A7"/>
    <w:pPr>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86">
    <w:name w:val="xl86"/>
    <w:basedOn w:val="Normln"/>
    <w:rsid w:val="00DA77A7"/>
    <w:pPr>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87">
    <w:name w:val="xl87"/>
    <w:basedOn w:val="Normln"/>
    <w:rsid w:val="00DA77A7"/>
    <w:pPr>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88">
    <w:name w:val="xl88"/>
    <w:basedOn w:val="Normln"/>
    <w:rsid w:val="00DA77A7"/>
    <w:pPr>
      <w:spacing w:before="100" w:beforeAutospacing="1" w:after="100" w:afterAutospacing="1" w:line="240" w:lineRule="auto"/>
    </w:pPr>
    <w:rPr>
      <w:rFonts w:ascii="Calibri" w:eastAsia="Times New Roman" w:hAnsi="Calibri" w:cs="Times New Roman"/>
      <w:b/>
      <w:bCs/>
      <w:sz w:val="28"/>
      <w:szCs w:val="28"/>
      <w:lang w:eastAsia="cs-CZ"/>
    </w:rPr>
  </w:style>
  <w:style w:type="paragraph" w:customStyle="1" w:styleId="xl89">
    <w:name w:val="xl89"/>
    <w:basedOn w:val="Normln"/>
    <w:rsid w:val="00DA77A7"/>
    <w:pPr>
      <w:spacing w:before="100" w:beforeAutospacing="1" w:after="100" w:afterAutospacing="1" w:line="240" w:lineRule="auto"/>
      <w:jc w:val="right"/>
    </w:pPr>
    <w:rPr>
      <w:rFonts w:ascii="Calibri" w:eastAsia="Times New Roman" w:hAnsi="Calibri" w:cs="Times New Roman"/>
      <w:lang w:eastAsia="cs-CZ"/>
    </w:rPr>
  </w:style>
  <w:style w:type="paragraph" w:customStyle="1" w:styleId="xl90">
    <w:name w:val="xl90"/>
    <w:basedOn w:val="Normln"/>
    <w:rsid w:val="00DA77A7"/>
    <w:pPr>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91">
    <w:name w:val="xl91"/>
    <w:basedOn w:val="Normln"/>
    <w:rsid w:val="00DA77A7"/>
    <w:pPr>
      <w:spacing w:before="100" w:beforeAutospacing="1" w:after="100" w:afterAutospacing="1" w:line="240" w:lineRule="auto"/>
      <w:textAlignment w:val="center"/>
    </w:pPr>
    <w:rPr>
      <w:rFonts w:ascii="Calibri" w:eastAsia="Times New Roman" w:hAnsi="Calibri" w:cs="Times New Roman"/>
      <w:sz w:val="24"/>
      <w:szCs w:val="24"/>
      <w:lang w:eastAsia="cs-CZ"/>
    </w:rPr>
  </w:style>
  <w:style w:type="paragraph" w:customStyle="1" w:styleId="xl92">
    <w:name w:val="xl92"/>
    <w:basedOn w:val="Normln"/>
    <w:rsid w:val="00DA77A7"/>
    <w:pPr>
      <w:spacing w:before="100" w:beforeAutospacing="1" w:after="100" w:afterAutospacing="1" w:line="240" w:lineRule="auto"/>
      <w:textAlignment w:val="center"/>
    </w:pPr>
    <w:rPr>
      <w:rFonts w:ascii="Calibri" w:eastAsia="Times New Roman" w:hAnsi="Calibri" w:cs="Times New Roman"/>
      <w:b/>
      <w:bCs/>
      <w:sz w:val="24"/>
      <w:szCs w:val="24"/>
      <w:lang w:eastAsia="cs-CZ"/>
    </w:rPr>
  </w:style>
  <w:style w:type="paragraph" w:customStyle="1" w:styleId="xl93">
    <w:name w:val="xl93"/>
    <w:basedOn w:val="Normln"/>
    <w:rsid w:val="00DA77A7"/>
    <w:pPr>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94">
    <w:name w:val="xl94"/>
    <w:basedOn w:val="Normln"/>
    <w:rsid w:val="00DA77A7"/>
    <w:pPr>
      <w:spacing w:before="100" w:beforeAutospacing="1" w:after="100" w:afterAutospacing="1" w:line="240" w:lineRule="auto"/>
      <w:textAlignment w:val="center"/>
    </w:pPr>
    <w:rPr>
      <w:rFonts w:ascii="Calibri" w:eastAsia="Times New Roman" w:hAnsi="Calibri" w:cs="Times New Roman"/>
      <w:sz w:val="14"/>
      <w:szCs w:val="14"/>
      <w:lang w:eastAsia="cs-CZ"/>
    </w:rPr>
  </w:style>
  <w:style w:type="paragraph" w:customStyle="1" w:styleId="xl95">
    <w:name w:val="xl95"/>
    <w:basedOn w:val="Normln"/>
    <w:rsid w:val="00DA77A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sz w:val="24"/>
      <w:szCs w:val="24"/>
      <w:lang w:eastAsia="cs-CZ"/>
    </w:rPr>
  </w:style>
  <w:style w:type="paragraph" w:customStyle="1" w:styleId="xl96">
    <w:name w:val="xl96"/>
    <w:basedOn w:val="Normln"/>
    <w:rsid w:val="00DA77A7"/>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right"/>
    </w:pPr>
    <w:rPr>
      <w:rFonts w:ascii="Calibri" w:eastAsia="Times New Roman" w:hAnsi="Calibri" w:cs="Times New Roman"/>
      <w:b/>
      <w:bCs/>
      <w:lang w:eastAsia="cs-CZ"/>
    </w:rPr>
  </w:style>
  <w:style w:type="paragraph" w:customStyle="1" w:styleId="xl97">
    <w:name w:val="xl97"/>
    <w:basedOn w:val="Normln"/>
    <w:rsid w:val="00DA77A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Calibri" w:eastAsia="Times New Roman" w:hAnsi="Calibri" w:cs="Times New Roman"/>
      <w:sz w:val="24"/>
      <w:szCs w:val="24"/>
      <w:lang w:eastAsia="cs-CZ"/>
    </w:rPr>
  </w:style>
  <w:style w:type="paragraph" w:customStyle="1" w:styleId="xl98">
    <w:name w:val="xl98"/>
    <w:basedOn w:val="Normln"/>
    <w:rsid w:val="00DA77A7"/>
    <w:pPr>
      <w:pBdr>
        <w:top w:val="single" w:sz="4" w:space="0" w:color="auto"/>
        <w:left w:val="single" w:sz="4" w:space="0" w:color="auto"/>
        <w:right w:val="single" w:sz="8" w:space="0" w:color="auto"/>
      </w:pBdr>
      <w:spacing w:before="100" w:beforeAutospacing="1" w:after="100" w:afterAutospacing="1" w:line="240" w:lineRule="auto"/>
      <w:jc w:val="right"/>
    </w:pPr>
    <w:rPr>
      <w:rFonts w:ascii="Calibri" w:eastAsia="Times New Roman" w:hAnsi="Calibri" w:cs="Times New Roman"/>
      <w:sz w:val="24"/>
      <w:szCs w:val="24"/>
      <w:lang w:eastAsia="cs-CZ"/>
    </w:rPr>
  </w:style>
  <w:style w:type="paragraph" w:customStyle="1" w:styleId="xl99">
    <w:name w:val="xl99"/>
    <w:basedOn w:val="Normln"/>
    <w:rsid w:val="00DA77A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right"/>
    </w:pPr>
    <w:rPr>
      <w:rFonts w:ascii="Calibri" w:eastAsia="Times New Roman" w:hAnsi="Calibri" w:cs="Times New Roman"/>
      <w:sz w:val="24"/>
      <w:szCs w:val="24"/>
      <w:lang w:eastAsia="cs-CZ"/>
    </w:rPr>
  </w:style>
  <w:style w:type="paragraph" w:customStyle="1" w:styleId="xl100">
    <w:name w:val="xl100"/>
    <w:basedOn w:val="Normln"/>
    <w:rsid w:val="00DA77A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sz w:val="24"/>
      <w:szCs w:val="24"/>
      <w:lang w:eastAsia="cs-CZ"/>
    </w:rPr>
  </w:style>
  <w:style w:type="paragraph" w:customStyle="1" w:styleId="xl101">
    <w:name w:val="xl101"/>
    <w:basedOn w:val="Normln"/>
    <w:rsid w:val="00DA77A7"/>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ascii="Calibri" w:eastAsia="Times New Roman" w:hAnsi="Calibri" w:cs="Times New Roman"/>
      <w:lang w:eastAsia="cs-CZ"/>
    </w:rPr>
  </w:style>
  <w:style w:type="paragraph" w:customStyle="1" w:styleId="xl102">
    <w:name w:val="xl102"/>
    <w:basedOn w:val="Normln"/>
    <w:rsid w:val="00DA77A7"/>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Calibri" w:eastAsia="Times New Roman" w:hAnsi="Calibri" w:cs="Times New Roman"/>
      <w:lang w:eastAsia="cs-CZ"/>
    </w:rPr>
  </w:style>
  <w:style w:type="paragraph" w:customStyle="1" w:styleId="xl103">
    <w:name w:val="xl103"/>
    <w:basedOn w:val="Normln"/>
    <w:rsid w:val="00DA77A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Calibri" w:eastAsia="Times New Roman" w:hAnsi="Calibri" w:cs="Times New Roman"/>
      <w:b/>
      <w:bCs/>
      <w:lang w:eastAsia="cs-CZ"/>
    </w:rPr>
  </w:style>
  <w:style w:type="paragraph" w:customStyle="1" w:styleId="xl104">
    <w:name w:val="xl104"/>
    <w:basedOn w:val="Normln"/>
    <w:rsid w:val="00DA77A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Calibri" w:eastAsia="Times New Roman" w:hAnsi="Calibri" w:cs="Times New Roman"/>
      <w:b/>
      <w:bCs/>
      <w:lang w:eastAsia="cs-CZ"/>
    </w:rPr>
  </w:style>
  <w:style w:type="paragraph" w:customStyle="1" w:styleId="xl105">
    <w:name w:val="xl105"/>
    <w:basedOn w:val="Normln"/>
    <w:rsid w:val="00DA77A7"/>
    <w:pPr>
      <w:pBdr>
        <w:top w:val="single" w:sz="8" w:space="0" w:color="auto"/>
        <w:bottom w:val="single" w:sz="8" w:space="0" w:color="auto"/>
        <w:right w:val="single" w:sz="8" w:space="0" w:color="auto"/>
      </w:pBdr>
      <w:spacing w:before="100" w:beforeAutospacing="1" w:after="100" w:afterAutospacing="1" w:line="240" w:lineRule="auto"/>
      <w:jc w:val="right"/>
    </w:pPr>
    <w:rPr>
      <w:rFonts w:ascii="Calibri" w:eastAsia="Times New Roman" w:hAnsi="Calibri" w:cs="Times New Roman"/>
      <w:b/>
      <w:bCs/>
      <w:lang w:eastAsia="cs-CZ"/>
    </w:rPr>
  </w:style>
  <w:style w:type="paragraph" w:customStyle="1" w:styleId="xl106">
    <w:name w:val="xl106"/>
    <w:basedOn w:val="Normln"/>
    <w:rsid w:val="00DA77A7"/>
    <w:pPr>
      <w:pBdr>
        <w:top w:val="single" w:sz="8" w:space="0" w:color="auto"/>
        <w:bottom w:val="single" w:sz="8" w:space="0" w:color="auto"/>
        <w:right w:val="single" w:sz="8" w:space="0" w:color="auto"/>
      </w:pBdr>
      <w:spacing w:before="100" w:beforeAutospacing="1" w:after="100" w:afterAutospacing="1" w:line="240" w:lineRule="auto"/>
      <w:jc w:val="right"/>
    </w:pPr>
    <w:rPr>
      <w:rFonts w:ascii="Calibri" w:eastAsia="Times New Roman" w:hAnsi="Calibri" w:cs="Times New Roman"/>
      <w:b/>
      <w:bCs/>
      <w:lang w:eastAsia="cs-CZ"/>
    </w:rPr>
  </w:style>
  <w:style w:type="paragraph" w:customStyle="1" w:styleId="xl107">
    <w:name w:val="xl107"/>
    <w:basedOn w:val="Normln"/>
    <w:rsid w:val="00DA77A7"/>
    <w:pPr>
      <w:spacing w:before="100" w:beforeAutospacing="1" w:after="100" w:afterAutospacing="1" w:line="240" w:lineRule="auto"/>
      <w:jc w:val="center"/>
    </w:pPr>
    <w:rPr>
      <w:rFonts w:ascii="Calibri" w:eastAsia="Times New Roman" w:hAnsi="Calibri" w:cs="Times New Roman"/>
      <w:sz w:val="24"/>
      <w:szCs w:val="24"/>
      <w:lang w:eastAsia="cs-CZ"/>
    </w:rPr>
  </w:style>
  <w:style w:type="paragraph" w:customStyle="1" w:styleId="xl108">
    <w:name w:val="xl108"/>
    <w:basedOn w:val="Normln"/>
    <w:rsid w:val="00DA77A7"/>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Calibri" w:eastAsia="Times New Roman" w:hAnsi="Calibri" w:cs="Times New Roman"/>
      <w:sz w:val="24"/>
      <w:szCs w:val="24"/>
      <w:lang w:eastAsia="cs-CZ"/>
    </w:rPr>
  </w:style>
  <w:style w:type="paragraph" w:customStyle="1" w:styleId="xl109">
    <w:name w:val="xl109"/>
    <w:basedOn w:val="Normln"/>
    <w:rsid w:val="00DA77A7"/>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Calibri" w:eastAsia="Times New Roman" w:hAnsi="Calibri" w:cs="Times New Roman"/>
      <w:sz w:val="24"/>
      <w:szCs w:val="24"/>
      <w:lang w:eastAsia="cs-CZ"/>
    </w:rPr>
  </w:style>
  <w:style w:type="paragraph" w:customStyle="1" w:styleId="xl110">
    <w:name w:val="xl110"/>
    <w:basedOn w:val="Normln"/>
    <w:rsid w:val="00DA77A7"/>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Calibri" w:eastAsia="Times New Roman" w:hAnsi="Calibri" w:cs="Times New Roman"/>
      <w:sz w:val="24"/>
      <w:szCs w:val="24"/>
      <w:lang w:eastAsia="cs-CZ"/>
    </w:rPr>
  </w:style>
  <w:style w:type="paragraph" w:customStyle="1" w:styleId="xl111">
    <w:name w:val="xl111"/>
    <w:basedOn w:val="Normln"/>
    <w:rsid w:val="00DA77A7"/>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Calibri" w:eastAsia="Times New Roman" w:hAnsi="Calibri" w:cs="Times New Roman"/>
      <w:sz w:val="24"/>
      <w:szCs w:val="24"/>
      <w:lang w:eastAsia="cs-CZ"/>
    </w:rPr>
  </w:style>
  <w:style w:type="paragraph" w:customStyle="1" w:styleId="xl112">
    <w:name w:val="xl112"/>
    <w:basedOn w:val="Normln"/>
    <w:rsid w:val="00DA77A7"/>
    <w:pPr>
      <w:spacing w:before="100" w:beforeAutospacing="1" w:after="100" w:afterAutospacing="1" w:line="240" w:lineRule="auto"/>
      <w:jc w:val="center"/>
    </w:pPr>
    <w:rPr>
      <w:rFonts w:ascii="Calibri" w:eastAsia="Times New Roman" w:hAnsi="Calibri" w:cs="Times New Roman"/>
      <w:sz w:val="24"/>
      <w:szCs w:val="24"/>
      <w:lang w:eastAsia="cs-CZ"/>
    </w:rPr>
  </w:style>
  <w:style w:type="paragraph" w:customStyle="1" w:styleId="xl113">
    <w:name w:val="xl113"/>
    <w:basedOn w:val="Normln"/>
    <w:rsid w:val="00DA77A7"/>
    <w:pPr>
      <w:pBdr>
        <w:top w:val="single" w:sz="8" w:space="0" w:color="auto"/>
      </w:pBdr>
      <w:spacing w:before="100" w:beforeAutospacing="1" w:after="100" w:afterAutospacing="1" w:line="240" w:lineRule="auto"/>
    </w:pPr>
    <w:rPr>
      <w:rFonts w:ascii="Calibri" w:eastAsia="Times New Roman" w:hAnsi="Calibri" w:cs="Times New Roman"/>
      <w:b/>
      <w:bCs/>
      <w:lang w:eastAsia="cs-CZ"/>
    </w:rPr>
  </w:style>
  <w:style w:type="paragraph" w:customStyle="1" w:styleId="xl114">
    <w:name w:val="xl114"/>
    <w:basedOn w:val="Normln"/>
    <w:rsid w:val="00DA77A7"/>
    <w:pPr>
      <w:spacing w:before="100" w:beforeAutospacing="1" w:after="100" w:afterAutospacing="1" w:line="240" w:lineRule="auto"/>
    </w:pPr>
    <w:rPr>
      <w:rFonts w:ascii="Calibri" w:eastAsia="Times New Roman" w:hAnsi="Calibri" w:cs="Times New Roman"/>
      <w:b/>
      <w:bCs/>
      <w:sz w:val="24"/>
      <w:szCs w:val="24"/>
      <w:lang w:eastAsia="cs-CZ"/>
    </w:rPr>
  </w:style>
  <w:style w:type="paragraph" w:customStyle="1" w:styleId="xl115">
    <w:name w:val="xl115"/>
    <w:basedOn w:val="Normln"/>
    <w:rsid w:val="00DA77A7"/>
    <w:pPr>
      <w:spacing w:before="100" w:beforeAutospacing="1" w:after="100" w:afterAutospacing="1" w:line="240" w:lineRule="auto"/>
    </w:pPr>
    <w:rPr>
      <w:rFonts w:ascii="Calibri" w:eastAsia="Times New Roman" w:hAnsi="Calibri" w:cs="Times New Roman"/>
      <w:b/>
      <w:bCs/>
      <w:sz w:val="24"/>
      <w:szCs w:val="24"/>
      <w:lang w:eastAsia="cs-CZ"/>
    </w:rPr>
  </w:style>
  <w:style w:type="paragraph" w:customStyle="1" w:styleId="xl116">
    <w:name w:val="xl116"/>
    <w:basedOn w:val="Normln"/>
    <w:rsid w:val="00DA77A7"/>
    <w:pPr>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117">
    <w:name w:val="xl117"/>
    <w:basedOn w:val="Normln"/>
    <w:rsid w:val="00DA77A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Calibri" w:eastAsia="Times New Roman" w:hAnsi="Calibri" w:cs="Times New Roman"/>
      <w:sz w:val="24"/>
      <w:szCs w:val="24"/>
      <w:lang w:eastAsia="cs-CZ"/>
    </w:rPr>
  </w:style>
  <w:style w:type="paragraph" w:customStyle="1" w:styleId="xl118">
    <w:name w:val="xl118"/>
    <w:basedOn w:val="Normln"/>
    <w:rsid w:val="00DA77A7"/>
    <w:pPr>
      <w:spacing w:before="100" w:beforeAutospacing="1" w:after="100" w:afterAutospacing="1" w:line="240" w:lineRule="auto"/>
      <w:textAlignment w:val="center"/>
    </w:pPr>
    <w:rPr>
      <w:rFonts w:ascii="Calibri" w:eastAsia="Times New Roman" w:hAnsi="Calibri" w:cs="Times New Roman"/>
      <w:b/>
      <w:bCs/>
      <w:sz w:val="24"/>
      <w:szCs w:val="24"/>
      <w:lang w:eastAsia="cs-CZ"/>
    </w:rPr>
  </w:style>
  <w:style w:type="paragraph" w:customStyle="1" w:styleId="xl119">
    <w:name w:val="xl119"/>
    <w:basedOn w:val="Normln"/>
    <w:rsid w:val="00DA77A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Calibri" w:eastAsia="Times New Roman" w:hAnsi="Calibri" w:cs="Times New Roman"/>
      <w:i/>
      <w:iCs/>
      <w:sz w:val="24"/>
      <w:szCs w:val="24"/>
      <w:lang w:eastAsia="cs-CZ"/>
    </w:rPr>
  </w:style>
  <w:style w:type="paragraph" w:customStyle="1" w:styleId="xl120">
    <w:name w:val="xl120"/>
    <w:basedOn w:val="Normln"/>
    <w:rsid w:val="00DA7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i/>
      <w:iCs/>
      <w:sz w:val="24"/>
      <w:szCs w:val="24"/>
      <w:lang w:eastAsia="cs-CZ"/>
    </w:rPr>
  </w:style>
  <w:style w:type="paragraph" w:customStyle="1" w:styleId="xl121">
    <w:name w:val="xl121"/>
    <w:basedOn w:val="Normln"/>
    <w:rsid w:val="00DA77A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sz w:val="24"/>
      <w:szCs w:val="24"/>
      <w:lang w:eastAsia="cs-CZ"/>
    </w:rPr>
  </w:style>
  <w:style w:type="paragraph" w:customStyle="1" w:styleId="xl122">
    <w:name w:val="xl122"/>
    <w:basedOn w:val="Normln"/>
    <w:rsid w:val="00DA77A7"/>
    <w:pPr>
      <w:pBdr>
        <w:left w:val="single" w:sz="8"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sz w:val="24"/>
      <w:szCs w:val="24"/>
      <w:lang w:eastAsia="cs-CZ"/>
    </w:rPr>
  </w:style>
  <w:style w:type="paragraph" w:customStyle="1" w:styleId="xl123">
    <w:name w:val="xl123"/>
    <w:basedOn w:val="Normln"/>
    <w:rsid w:val="00DA77A7"/>
    <w:pPr>
      <w:spacing w:before="100" w:beforeAutospacing="1" w:after="100" w:afterAutospacing="1" w:line="240" w:lineRule="auto"/>
      <w:jc w:val="center"/>
      <w:textAlignment w:val="center"/>
    </w:pPr>
    <w:rPr>
      <w:rFonts w:ascii="Calibri" w:eastAsia="Times New Roman" w:hAnsi="Calibri" w:cs="Times New Roman"/>
      <w:lang w:eastAsia="cs-CZ"/>
    </w:rPr>
  </w:style>
  <w:style w:type="paragraph" w:customStyle="1" w:styleId="xl124">
    <w:name w:val="xl124"/>
    <w:basedOn w:val="Normln"/>
    <w:rsid w:val="00DA77A7"/>
    <w:pPr>
      <w:spacing w:before="100" w:beforeAutospacing="1" w:after="100" w:afterAutospacing="1" w:line="240" w:lineRule="auto"/>
      <w:jc w:val="center"/>
    </w:pPr>
    <w:rPr>
      <w:rFonts w:ascii="Calibri" w:eastAsia="Times New Roman" w:hAnsi="Calibri" w:cs="Times New Roman"/>
      <w:lang w:eastAsia="cs-CZ"/>
    </w:rPr>
  </w:style>
  <w:style w:type="paragraph" w:customStyle="1" w:styleId="xl125">
    <w:name w:val="xl125"/>
    <w:basedOn w:val="Normln"/>
    <w:rsid w:val="00DA77A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Calibri" w:eastAsia="Times New Roman" w:hAnsi="Calibri" w:cs="Times New Roman"/>
      <w:sz w:val="24"/>
      <w:szCs w:val="24"/>
      <w:lang w:eastAsia="cs-CZ"/>
    </w:rPr>
  </w:style>
  <w:style w:type="paragraph" w:customStyle="1" w:styleId="xl126">
    <w:name w:val="xl126"/>
    <w:basedOn w:val="Normln"/>
    <w:rsid w:val="00DA7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127">
    <w:name w:val="xl127"/>
    <w:basedOn w:val="Normln"/>
    <w:rsid w:val="00DA7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Calibri" w:eastAsia="Times New Roman" w:hAnsi="Calibri" w:cs="Times New Roman"/>
      <w:sz w:val="24"/>
      <w:szCs w:val="24"/>
      <w:lang w:eastAsia="cs-CZ"/>
    </w:rPr>
  </w:style>
  <w:style w:type="paragraph" w:customStyle="1" w:styleId="xl128">
    <w:name w:val="xl128"/>
    <w:basedOn w:val="Normln"/>
    <w:rsid w:val="00DA7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Calibri" w:eastAsia="Times New Roman" w:hAnsi="Calibri" w:cs="Times New Roman"/>
      <w:sz w:val="24"/>
      <w:szCs w:val="24"/>
      <w:lang w:eastAsia="cs-CZ"/>
    </w:rPr>
  </w:style>
  <w:style w:type="paragraph" w:customStyle="1" w:styleId="xl129">
    <w:name w:val="xl129"/>
    <w:basedOn w:val="Normln"/>
    <w:rsid w:val="00DA77A7"/>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Calibri" w:eastAsia="Times New Roman" w:hAnsi="Calibri" w:cs="Times New Roman"/>
      <w:b/>
      <w:bCs/>
      <w:lang w:eastAsia="cs-CZ"/>
    </w:rPr>
  </w:style>
  <w:style w:type="paragraph" w:customStyle="1" w:styleId="xl130">
    <w:name w:val="xl130"/>
    <w:basedOn w:val="Normln"/>
    <w:rsid w:val="00DA77A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Calibri" w:eastAsia="Times New Roman" w:hAnsi="Calibri" w:cs="Times New Roman"/>
      <w:b/>
      <w:bCs/>
      <w:lang w:eastAsia="cs-CZ"/>
    </w:rPr>
  </w:style>
  <w:style w:type="paragraph" w:customStyle="1" w:styleId="xl131">
    <w:name w:val="xl131"/>
    <w:basedOn w:val="Normln"/>
    <w:rsid w:val="00DA77A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Calibri" w:eastAsia="Times New Roman" w:hAnsi="Calibri" w:cs="Times New Roman"/>
      <w:sz w:val="24"/>
      <w:szCs w:val="24"/>
      <w:lang w:eastAsia="cs-CZ"/>
    </w:rPr>
  </w:style>
  <w:style w:type="paragraph" w:customStyle="1" w:styleId="xl132">
    <w:name w:val="xl132"/>
    <w:basedOn w:val="Normln"/>
    <w:rsid w:val="00DA77A7"/>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right"/>
    </w:pPr>
    <w:rPr>
      <w:rFonts w:ascii="Calibri" w:eastAsia="Times New Roman" w:hAnsi="Calibri" w:cs="Times New Roman"/>
      <w:b/>
      <w:bCs/>
      <w:lang w:eastAsia="cs-CZ"/>
    </w:rPr>
  </w:style>
  <w:style w:type="paragraph" w:customStyle="1" w:styleId="xl133">
    <w:name w:val="xl133"/>
    <w:basedOn w:val="Normln"/>
    <w:rsid w:val="00DA77A7"/>
    <w:pPr>
      <w:pBdr>
        <w:left w:val="single" w:sz="4" w:space="0" w:color="auto"/>
        <w:bottom w:val="single" w:sz="4" w:space="0" w:color="auto"/>
        <w:right w:val="single" w:sz="4" w:space="0" w:color="auto"/>
      </w:pBdr>
      <w:spacing w:before="100" w:beforeAutospacing="1" w:after="100" w:afterAutospacing="1" w:line="240" w:lineRule="auto"/>
      <w:jc w:val="right"/>
    </w:pPr>
    <w:rPr>
      <w:rFonts w:ascii="Calibri" w:eastAsia="Times New Roman" w:hAnsi="Calibri" w:cs="Times New Roman"/>
      <w:sz w:val="24"/>
      <w:szCs w:val="24"/>
      <w:lang w:eastAsia="cs-CZ"/>
    </w:rPr>
  </w:style>
  <w:style w:type="paragraph" w:customStyle="1" w:styleId="xl134">
    <w:name w:val="xl134"/>
    <w:basedOn w:val="Normln"/>
    <w:rsid w:val="00DA77A7"/>
    <w:pPr>
      <w:pBdr>
        <w:left w:val="single" w:sz="4" w:space="0" w:color="auto"/>
        <w:bottom w:val="single" w:sz="4" w:space="0" w:color="auto"/>
        <w:right w:val="single" w:sz="4" w:space="0" w:color="auto"/>
      </w:pBdr>
      <w:spacing w:before="100" w:beforeAutospacing="1" w:after="100" w:afterAutospacing="1" w:line="240" w:lineRule="auto"/>
      <w:jc w:val="right"/>
    </w:pPr>
    <w:rPr>
      <w:rFonts w:ascii="Calibri" w:eastAsia="Times New Roman" w:hAnsi="Calibri" w:cs="Times New Roman"/>
      <w:sz w:val="24"/>
      <w:szCs w:val="24"/>
      <w:lang w:eastAsia="cs-CZ"/>
    </w:rPr>
  </w:style>
  <w:style w:type="paragraph" w:customStyle="1" w:styleId="xl135">
    <w:name w:val="xl135"/>
    <w:basedOn w:val="Normln"/>
    <w:rsid w:val="00DA77A7"/>
    <w:pPr>
      <w:pBdr>
        <w:left w:val="single" w:sz="4" w:space="0" w:color="auto"/>
        <w:bottom w:val="single" w:sz="4" w:space="0" w:color="auto"/>
        <w:right w:val="single" w:sz="4" w:space="0" w:color="auto"/>
      </w:pBdr>
      <w:spacing w:before="100" w:beforeAutospacing="1" w:after="100" w:afterAutospacing="1" w:line="240" w:lineRule="auto"/>
      <w:jc w:val="right"/>
    </w:pPr>
    <w:rPr>
      <w:rFonts w:ascii="Calibri" w:eastAsia="Times New Roman" w:hAnsi="Calibri" w:cs="Times New Roman"/>
      <w:sz w:val="24"/>
      <w:szCs w:val="24"/>
      <w:lang w:eastAsia="cs-CZ"/>
    </w:rPr>
  </w:style>
  <w:style w:type="paragraph" w:customStyle="1" w:styleId="xl136">
    <w:name w:val="xl136"/>
    <w:basedOn w:val="Normln"/>
    <w:rsid w:val="00DA77A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Calibri" w:eastAsia="Times New Roman" w:hAnsi="Calibri" w:cs="Times New Roman"/>
      <w:sz w:val="24"/>
      <w:szCs w:val="24"/>
      <w:lang w:eastAsia="cs-CZ"/>
    </w:rPr>
  </w:style>
  <w:style w:type="paragraph" w:customStyle="1" w:styleId="xl137">
    <w:name w:val="xl137"/>
    <w:basedOn w:val="Normln"/>
    <w:rsid w:val="00DA77A7"/>
    <w:pPr>
      <w:pBdr>
        <w:left w:val="single" w:sz="4" w:space="0" w:color="auto"/>
        <w:bottom w:val="single" w:sz="4" w:space="0" w:color="auto"/>
        <w:right w:val="single" w:sz="4" w:space="0" w:color="auto"/>
      </w:pBdr>
      <w:spacing w:before="100" w:beforeAutospacing="1" w:after="100" w:afterAutospacing="1" w:line="240" w:lineRule="auto"/>
      <w:jc w:val="right"/>
    </w:pPr>
    <w:rPr>
      <w:rFonts w:ascii="Calibri" w:eastAsia="Times New Roman" w:hAnsi="Calibri" w:cs="Times New Roman"/>
      <w:sz w:val="24"/>
      <w:szCs w:val="24"/>
      <w:lang w:eastAsia="cs-CZ"/>
    </w:rPr>
  </w:style>
  <w:style w:type="paragraph" w:customStyle="1" w:styleId="xl138">
    <w:name w:val="xl138"/>
    <w:basedOn w:val="Normln"/>
    <w:rsid w:val="00DA77A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Calibri" w:eastAsia="Times New Roman" w:hAnsi="Calibri" w:cs="Times New Roman"/>
      <w:b/>
      <w:bCs/>
      <w:lang w:eastAsia="cs-CZ"/>
    </w:rPr>
  </w:style>
  <w:style w:type="paragraph" w:customStyle="1" w:styleId="xl139">
    <w:name w:val="xl139"/>
    <w:basedOn w:val="Normln"/>
    <w:rsid w:val="00DA77A7"/>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sz w:val="24"/>
      <w:szCs w:val="24"/>
      <w:lang w:eastAsia="cs-CZ"/>
    </w:rPr>
  </w:style>
  <w:style w:type="paragraph" w:customStyle="1" w:styleId="xl140">
    <w:name w:val="xl140"/>
    <w:basedOn w:val="Normln"/>
    <w:rsid w:val="00DA77A7"/>
    <w:pPr>
      <w:pBdr>
        <w:left w:val="single" w:sz="4" w:space="0" w:color="auto"/>
        <w:bottom w:val="single" w:sz="4" w:space="0" w:color="auto"/>
        <w:right w:val="single" w:sz="8" w:space="0" w:color="auto"/>
      </w:pBdr>
      <w:spacing w:before="100" w:beforeAutospacing="1" w:after="100" w:afterAutospacing="1" w:line="240" w:lineRule="auto"/>
      <w:jc w:val="right"/>
    </w:pPr>
    <w:rPr>
      <w:rFonts w:ascii="Calibri" w:eastAsia="Times New Roman" w:hAnsi="Calibri" w:cs="Times New Roman"/>
      <w:sz w:val="24"/>
      <w:szCs w:val="24"/>
      <w:lang w:eastAsia="cs-CZ"/>
    </w:rPr>
  </w:style>
  <w:style w:type="paragraph" w:customStyle="1" w:styleId="xl141">
    <w:name w:val="xl141"/>
    <w:basedOn w:val="Normln"/>
    <w:rsid w:val="00DA77A7"/>
    <w:pPr>
      <w:pBdr>
        <w:left w:val="single" w:sz="4" w:space="0" w:color="auto"/>
        <w:bottom w:val="single" w:sz="4" w:space="0" w:color="auto"/>
        <w:right w:val="single" w:sz="8" w:space="0" w:color="auto"/>
      </w:pBdr>
      <w:spacing w:before="100" w:beforeAutospacing="1" w:after="100" w:afterAutospacing="1" w:line="240" w:lineRule="auto"/>
      <w:jc w:val="right"/>
    </w:pPr>
    <w:rPr>
      <w:rFonts w:ascii="Calibri" w:eastAsia="Times New Roman" w:hAnsi="Calibri" w:cs="Times New Roman"/>
      <w:sz w:val="24"/>
      <w:szCs w:val="24"/>
      <w:lang w:eastAsia="cs-CZ"/>
    </w:rPr>
  </w:style>
  <w:style w:type="paragraph" w:customStyle="1" w:styleId="xl142">
    <w:name w:val="xl142"/>
    <w:basedOn w:val="Normln"/>
    <w:rsid w:val="00DA77A7"/>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143">
    <w:name w:val="xl143"/>
    <w:basedOn w:val="Normln"/>
    <w:rsid w:val="00DA77A7"/>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right"/>
    </w:pPr>
    <w:rPr>
      <w:rFonts w:ascii="Calibri" w:eastAsia="Times New Roman" w:hAnsi="Calibri" w:cs="Times New Roman"/>
      <w:sz w:val="24"/>
      <w:szCs w:val="24"/>
      <w:lang w:eastAsia="cs-CZ"/>
    </w:rPr>
  </w:style>
  <w:style w:type="paragraph" w:customStyle="1" w:styleId="xl144">
    <w:name w:val="xl144"/>
    <w:basedOn w:val="Normln"/>
    <w:rsid w:val="00DA77A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Calibri" w:eastAsia="Times New Roman" w:hAnsi="Calibri" w:cs="Times New Roman"/>
      <w:sz w:val="24"/>
      <w:szCs w:val="24"/>
      <w:lang w:eastAsia="cs-CZ"/>
    </w:rPr>
  </w:style>
  <w:style w:type="paragraph" w:customStyle="1" w:styleId="xl145">
    <w:name w:val="xl145"/>
    <w:basedOn w:val="Normln"/>
    <w:rsid w:val="00DA77A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Calibri" w:eastAsia="Times New Roman" w:hAnsi="Calibri" w:cs="Times New Roman"/>
      <w:sz w:val="24"/>
      <w:szCs w:val="24"/>
      <w:lang w:eastAsia="cs-CZ"/>
    </w:rPr>
  </w:style>
  <w:style w:type="paragraph" w:customStyle="1" w:styleId="xl146">
    <w:name w:val="xl146"/>
    <w:basedOn w:val="Normln"/>
    <w:rsid w:val="00DA77A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147">
    <w:name w:val="xl147"/>
    <w:basedOn w:val="Normln"/>
    <w:rsid w:val="00DA77A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148">
    <w:name w:val="xl148"/>
    <w:basedOn w:val="Normln"/>
    <w:rsid w:val="00DA77A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Calibri" w:eastAsia="Times New Roman" w:hAnsi="Calibri" w:cs="Times New Roman"/>
      <w:sz w:val="24"/>
      <w:szCs w:val="24"/>
      <w:lang w:eastAsia="cs-CZ"/>
    </w:rPr>
  </w:style>
  <w:style w:type="paragraph" w:customStyle="1" w:styleId="xl149">
    <w:name w:val="xl149"/>
    <w:basedOn w:val="Normln"/>
    <w:rsid w:val="00DA77A7"/>
    <w:pPr>
      <w:spacing w:before="100" w:beforeAutospacing="1" w:after="100" w:afterAutospacing="1" w:line="240" w:lineRule="auto"/>
    </w:pPr>
    <w:rPr>
      <w:rFonts w:ascii="Calibri" w:eastAsia="Times New Roman" w:hAnsi="Calibri" w:cs="Times New Roman"/>
      <w:b/>
      <w:bCs/>
      <w:sz w:val="24"/>
      <w:szCs w:val="24"/>
      <w:lang w:eastAsia="cs-CZ"/>
    </w:rPr>
  </w:style>
  <w:style w:type="paragraph" w:customStyle="1" w:styleId="xl150">
    <w:name w:val="xl150"/>
    <w:basedOn w:val="Normln"/>
    <w:rsid w:val="00DA77A7"/>
    <w:pPr>
      <w:pBdr>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151">
    <w:name w:val="xl151"/>
    <w:basedOn w:val="Normln"/>
    <w:rsid w:val="00DA7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152">
    <w:name w:val="xl152"/>
    <w:basedOn w:val="Normln"/>
    <w:rsid w:val="00DA77A7"/>
    <w:pPr>
      <w:pBdr>
        <w:left w:val="single" w:sz="4" w:space="0" w:color="auto"/>
        <w:right w:val="single" w:sz="4" w:space="0" w:color="auto"/>
      </w:pBdr>
      <w:spacing w:before="100" w:beforeAutospacing="1" w:after="100" w:afterAutospacing="1" w:line="240" w:lineRule="auto"/>
      <w:jc w:val="right"/>
    </w:pPr>
    <w:rPr>
      <w:rFonts w:ascii="Calibri" w:eastAsia="Times New Roman" w:hAnsi="Calibri" w:cs="Times New Roman"/>
      <w:sz w:val="24"/>
      <w:szCs w:val="24"/>
      <w:lang w:eastAsia="cs-CZ"/>
    </w:rPr>
  </w:style>
  <w:style w:type="paragraph" w:customStyle="1" w:styleId="xl153">
    <w:name w:val="xl153"/>
    <w:basedOn w:val="Normln"/>
    <w:rsid w:val="00DA77A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sz w:val="24"/>
      <w:szCs w:val="24"/>
      <w:lang w:eastAsia="cs-CZ"/>
    </w:rPr>
  </w:style>
  <w:style w:type="paragraph" w:customStyle="1" w:styleId="xl154">
    <w:name w:val="xl154"/>
    <w:basedOn w:val="Normln"/>
    <w:rsid w:val="00DA7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Calibri" w:eastAsia="Times New Roman" w:hAnsi="Calibri" w:cs="Times New Roman"/>
      <w:i/>
      <w:iCs/>
      <w:sz w:val="24"/>
      <w:szCs w:val="24"/>
      <w:lang w:eastAsia="cs-CZ"/>
    </w:rPr>
  </w:style>
  <w:style w:type="paragraph" w:customStyle="1" w:styleId="xl155">
    <w:name w:val="xl155"/>
    <w:basedOn w:val="Normln"/>
    <w:rsid w:val="00DA7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Calibri" w:eastAsia="Times New Roman" w:hAnsi="Calibri" w:cs="Times New Roman"/>
      <w:sz w:val="24"/>
      <w:szCs w:val="24"/>
      <w:lang w:eastAsia="cs-CZ"/>
    </w:rPr>
  </w:style>
  <w:style w:type="paragraph" w:customStyle="1" w:styleId="xl156">
    <w:name w:val="xl156"/>
    <w:basedOn w:val="Normln"/>
    <w:rsid w:val="00DA77A7"/>
    <w:pPr>
      <w:pBdr>
        <w:top w:val="single" w:sz="8" w:space="0" w:color="auto"/>
        <w:left w:val="single" w:sz="4" w:space="0" w:color="auto"/>
        <w:right w:val="single" w:sz="4" w:space="0" w:color="auto"/>
      </w:pBdr>
      <w:spacing w:before="100" w:beforeAutospacing="1" w:after="100" w:afterAutospacing="1" w:line="240" w:lineRule="auto"/>
      <w:jc w:val="right"/>
    </w:pPr>
    <w:rPr>
      <w:rFonts w:ascii="Calibri" w:eastAsia="Times New Roman" w:hAnsi="Calibri" w:cs="Times New Roman"/>
      <w:sz w:val="24"/>
      <w:szCs w:val="24"/>
      <w:lang w:eastAsia="cs-CZ"/>
    </w:rPr>
  </w:style>
  <w:style w:type="paragraph" w:customStyle="1" w:styleId="xl157">
    <w:name w:val="xl157"/>
    <w:basedOn w:val="Normln"/>
    <w:rsid w:val="00DA7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Times New Roman"/>
      <w:i/>
      <w:iCs/>
      <w:sz w:val="24"/>
      <w:szCs w:val="24"/>
      <w:lang w:eastAsia="cs-CZ"/>
    </w:rPr>
  </w:style>
  <w:style w:type="paragraph" w:customStyle="1" w:styleId="xl158">
    <w:name w:val="xl158"/>
    <w:basedOn w:val="Normln"/>
    <w:rsid w:val="00DA7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159">
    <w:name w:val="xl159"/>
    <w:basedOn w:val="Normln"/>
    <w:rsid w:val="00DA7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pPr>
    <w:rPr>
      <w:rFonts w:ascii="Calibri" w:eastAsia="Times New Roman" w:hAnsi="Calibri" w:cs="Times New Roman"/>
      <w:i/>
      <w:iCs/>
      <w:sz w:val="24"/>
      <w:szCs w:val="24"/>
      <w:lang w:eastAsia="cs-CZ"/>
    </w:rPr>
  </w:style>
  <w:style w:type="paragraph" w:customStyle="1" w:styleId="xl160">
    <w:name w:val="xl160"/>
    <w:basedOn w:val="Normln"/>
    <w:rsid w:val="00DA7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Calibri" w:eastAsia="Times New Roman" w:hAnsi="Calibri" w:cs="Times New Roman"/>
      <w:sz w:val="24"/>
      <w:szCs w:val="24"/>
      <w:lang w:eastAsia="cs-CZ"/>
    </w:rPr>
  </w:style>
  <w:style w:type="paragraph" w:customStyle="1" w:styleId="xl161">
    <w:name w:val="xl161"/>
    <w:basedOn w:val="Normln"/>
    <w:rsid w:val="00DA7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Calibri" w:eastAsia="Times New Roman" w:hAnsi="Calibri" w:cs="Times New Roman"/>
      <w:sz w:val="24"/>
      <w:szCs w:val="24"/>
      <w:lang w:eastAsia="cs-CZ"/>
    </w:rPr>
  </w:style>
  <w:style w:type="paragraph" w:customStyle="1" w:styleId="xl162">
    <w:name w:val="xl162"/>
    <w:basedOn w:val="Normln"/>
    <w:rsid w:val="00DA77A7"/>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163">
    <w:name w:val="xl163"/>
    <w:basedOn w:val="Normln"/>
    <w:rsid w:val="00DA77A7"/>
    <w:pPr>
      <w:pBdr>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164">
    <w:name w:val="xl164"/>
    <w:basedOn w:val="Normln"/>
    <w:rsid w:val="00DA77A7"/>
    <w:pPr>
      <w:pBdr>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165">
    <w:name w:val="xl165"/>
    <w:basedOn w:val="Normln"/>
    <w:rsid w:val="00DA77A7"/>
    <w:pPr>
      <w:pBdr>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i/>
      <w:iCs/>
      <w:sz w:val="24"/>
      <w:szCs w:val="24"/>
      <w:lang w:eastAsia="cs-CZ"/>
    </w:rPr>
  </w:style>
  <w:style w:type="paragraph" w:customStyle="1" w:styleId="xl166">
    <w:name w:val="xl166"/>
    <w:basedOn w:val="Normln"/>
    <w:rsid w:val="00DA77A7"/>
    <w:pPr>
      <w:pBdr>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i/>
      <w:iCs/>
      <w:sz w:val="24"/>
      <w:szCs w:val="24"/>
      <w:lang w:eastAsia="cs-CZ"/>
    </w:rPr>
  </w:style>
  <w:style w:type="paragraph" w:customStyle="1" w:styleId="xl167">
    <w:name w:val="xl167"/>
    <w:basedOn w:val="Normln"/>
    <w:rsid w:val="00DA7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i/>
      <w:iCs/>
      <w:sz w:val="24"/>
      <w:szCs w:val="24"/>
      <w:lang w:eastAsia="cs-CZ"/>
    </w:rPr>
  </w:style>
  <w:style w:type="paragraph" w:customStyle="1" w:styleId="xl168">
    <w:name w:val="xl168"/>
    <w:basedOn w:val="Normln"/>
    <w:rsid w:val="00DA7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i/>
      <w:iCs/>
      <w:sz w:val="24"/>
      <w:szCs w:val="24"/>
      <w:lang w:eastAsia="cs-CZ"/>
    </w:rPr>
  </w:style>
  <w:style w:type="paragraph" w:customStyle="1" w:styleId="xl169">
    <w:name w:val="xl169"/>
    <w:basedOn w:val="Normln"/>
    <w:rsid w:val="00DA7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170">
    <w:name w:val="xl170"/>
    <w:basedOn w:val="Normln"/>
    <w:rsid w:val="00DA77A7"/>
    <w:pPr>
      <w:pBdr>
        <w:top w:val="single" w:sz="4" w:space="0" w:color="auto"/>
        <w:left w:val="single" w:sz="4" w:space="0" w:color="auto"/>
        <w:right w:val="single" w:sz="4" w:space="0" w:color="auto"/>
      </w:pBdr>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171">
    <w:name w:val="xl171"/>
    <w:basedOn w:val="Normln"/>
    <w:rsid w:val="00DA77A7"/>
    <w:pPr>
      <w:pBdr>
        <w:top w:val="single" w:sz="4" w:space="0" w:color="auto"/>
        <w:left w:val="single" w:sz="4" w:space="0" w:color="auto"/>
        <w:right w:val="single" w:sz="4" w:space="0" w:color="auto"/>
      </w:pBdr>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172">
    <w:name w:val="xl172"/>
    <w:basedOn w:val="Normln"/>
    <w:rsid w:val="00DA77A7"/>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Calibri" w:eastAsia="Times New Roman" w:hAnsi="Calibri" w:cs="Times New Roman"/>
      <w:b/>
      <w:bCs/>
      <w:lang w:eastAsia="cs-CZ"/>
    </w:rPr>
  </w:style>
  <w:style w:type="paragraph" w:customStyle="1" w:styleId="xl173">
    <w:name w:val="xl173"/>
    <w:basedOn w:val="Normln"/>
    <w:rsid w:val="00DA77A7"/>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Calibri" w:eastAsia="Times New Roman" w:hAnsi="Calibri" w:cs="Times New Roman"/>
      <w:b/>
      <w:bCs/>
      <w:lang w:eastAsia="cs-CZ"/>
    </w:rPr>
  </w:style>
  <w:style w:type="paragraph" w:customStyle="1" w:styleId="xl174">
    <w:name w:val="xl174"/>
    <w:basedOn w:val="Normln"/>
    <w:rsid w:val="00DA77A7"/>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Calibri" w:eastAsia="Times New Roman" w:hAnsi="Calibri" w:cs="Times New Roman"/>
      <w:b/>
      <w:bCs/>
      <w:lang w:eastAsia="cs-CZ"/>
    </w:rPr>
  </w:style>
  <w:style w:type="paragraph" w:customStyle="1" w:styleId="xl175">
    <w:name w:val="xl175"/>
    <w:basedOn w:val="Normln"/>
    <w:rsid w:val="00DA77A7"/>
    <w:pPr>
      <w:spacing w:before="100" w:beforeAutospacing="1" w:after="100" w:afterAutospacing="1" w:line="240" w:lineRule="auto"/>
    </w:pPr>
    <w:rPr>
      <w:rFonts w:ascii="Calibri" w:eastAsia="Times New Roman" w:hAnsi="Calibri" w:cs="Times New Roman"/>
      <w:b/>
      <w:bCs/>
      <w:lang w:eastAsia="cs-CZ"/>
    </w:rPr>
  </w:style>
  <w:style w:type="paragraph" w:customStyle="1" w:styleId="xl176">
    <w:name w:val="xl176"/>
    <w:basedOn w:val="Normln"/>
    <w:rsid w:val="00DA77A7"/>
    <w:pPr>
      <w:spacing w:before="100" w:beforeAutospacing="1" w:after="100" w:afterAutospacing="1" w:line="240" w:lineRule="auto"/>
    </w:pPr>
    <w:rPr>
      <w:rFonts w:ascii="Calibri" w:eastAsia="Times New Roman" w:hAnsi="Calibri" w:cs="Times New Roman"/>
      <w:b/>
      <w:bCs/>
      <w:lang w:eastAsia="cs-CZ"/>
    </w:rPr>
  </w:style>
  <w:style w:type="paragraph" w:customStyle="1" w:styleId="xl177">
    <w:name w:val="xl177"/>
    <w:basedOn w:val="Normln"/>
    <w:rsid w:val="00DA77A7"/>
    <w:pPr>
      <w:spacing w:before="100" w:beforeAutospacing="1" w:after="100" w:afterAutospacing="1" w:line="240" w:lineRule="auto"/>
    </w:pPr>
    <w:rPr>
      <w:rFonts w:ascii="Calibri" w:eastAsia="Times New Roman" w:hAnsi="Calibri" w:cs="Times New Roman"/>
      <w:b/>
      <w:bCs/>
      <w:lang w:eastAsia="cs-CZ"/>
    </w:rPr>
  </w:style>
  <w:style w:type="paragraph" w:customStyle="1" w:styleId="xl178">
    <w:name w:val="xl178"/>
    <w:basedOn w:val="Normln"/>
    <w:rsid w:val="00DA77A7"/>
    <w:pPr>
      <w:spacing w:before="100" w:beforeAutospacing="1" w:after="100" w:afterAutospacing="1" w:line="240" w:lineRule="auto"/>
      <w:jc w:val="right"/>
    </w:pPr>
    <w:rPr>
      <w:rFonts w:ascii="Calibri" w:eastAsia="Times New Roman" w:hAnsi="Calibri" w:cs="Times New Roman"/>
      <w:b/>
      <w:bCs/>
      <w:lang w:eastAsia="cs-CZ"/>
    </w:rPr>
  </w:style>
  <w:style w:type="paragraph" w:customStyle="1" w:styleId="xl179">
    <w:name w:val="xl179"/>
    <w:basedOn w:val="Normln"/>
    <w:rsid w:val="00DA77A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Calibri" w:eastAsia="Times New Roman" w:hAnsi="Calibri" w:cs="Times New Roman"/>
      <w:sz w:val="24"/>
      <w:szCs w:val="24"/>
      <w:lang w:eastAsia="cs-CZ"/>
    </w:rPr>
  </w:style>
  <w:style w:type="paragraph" w:customStyle="1" w:styleId="xl180">
    <w:name w:val="xl180"/>
    <w:basedOn w:val="Normln"/>
    <w:rsid w:val="00DA77A7"/>
    <w:pPr>
      <w:spacing w:before="100" w:beforeAutospacing="1" w:after="100" w:afterAutospacing="1" w:line="240" w:lineRule="auto"/>
    </w:pPr>
    <w:rPr>
      <w:rFonts w:ascii="Calibri" w:eastAsia="Times New Roman" w:hAnsi="Calibri" w:cs="Times New Roman"/>
      <w:b/>
      <w:bCs/>
      <w:lang w:eastAsia="cs-CZ"/>
    </w:rPr>
  </w:style>
  <w:style w:type="paragraph" w:customStyle="1" w:styleId="xl181">
    <w:name w:val="xl181"/>
    <w:basedOn w:val="Normln"/>
    <w:rsid w:val="00DA77A7"/>
    <w:pPr>
      <w:spacing w:before="100" w:beforeAutospacing="1" w:after="100" w:afterAutospacing="1" w:line="240" w:lineRule="auto"/>
    </w:pPr>
    <w:rPr>
      <w:rFonts w:ascii="Calibri" w:eastAsia="Times New Roman" w:hAnsi="Calibri" w:cs="Times New Roman"/>
      <w:b/>
      <w:bCs/>
      <w:sz w:val="24"/>
      <w:szCs w:val="24"/>
      <w:lang w:eastAsia="cs-CZ"/>
    </w:rPr>
  </w:style>
  <w:style w:type="paragraph" w:customStyle="1" w:styleId="xl182">
    <w:name w:val="xl182"/>
    <w:basedOn w:val="Normln"/>
    <w:rsid w:val="00DA77A7"/>
    <w:pPr>
      <w:spacing w:before="100" w:beforeAutospacing="1" w:after="100" w:afterAutospacing="1" w:line="240" w:lineRule="auto"/>
    </w:pPr>
    <w:rPr>
      <w:rFonts w:ascii="Calibri" w:eastAsia="Times New Roman" w:hAnsi="Calibri" w:cs="Times New Roman"/>
      <w:b/>
      <w:bCs/>
      <w:sz w:val="24"/>
      <w:szCs w:val="24"/>
      <w:lang w:eastAsia="cs-CZ"/>
    </w:rPr>
  </w:style>
  <w:style w:type="paragraph" w:customStyle="1" w:styleId="xl183">
    <w:name w:val="xl183"/>
    <w:basedOn w:val="Normln"/>
    <w:rsid w:val="00DA77A7"/>
    <w:pPr>
      <w:spacing w:before="100" w:beforeAutospacing="1" w:after="100" w:afterAutospacing="1" w:line="240" w:lineRule="auto"/>
      <w:jc w:val="right"/>
    </w:pPr>
    <w:rPr>
      <w:rFonts w:ascii="Calibri" w:eastAsia="Times New Roman" w:hAnsi="Calibri" w:cs="Times New Roman"/>
      <w:b/>
      <w:bCs/>
      <w:lang w:eastAsia="cs-CZ"/>
    </w:rPr>
  </w:style>
  <w:style w:type="paragraph" w:customStyle="1" w:styleId="xl184">
    <w:name w:val="xl184"/>
    <w:basedOn w:val="Normln"/>
    <w:rsid w:val="00DA77A7"/>
    <w:pPr>
      <w:spacing w:before="100" w:beforeAutospacing="1" w:after="100" w:afterAutospacing="1" w:line="240" w:lineRule="auto"/>
    </w:pPr>
    <w:rPr>
      <w:rFonts w:ascii="Calibri" w:eastAsia="Times New Roman" w:hAnsi="Calibri" w:cs="Times New Roman"/>
      <w:b/>
      <w:bCs/>
      <w:lang w:eastAsia="cs-CZ"/>
    </w:rPr>
  </w:style>
  <w:style w:type="paragraph" w:customStyle="1" w:styleId="xl185">
    <w:name w:val="xl185"/>
    <w:basedOn w:val="Normln"/>
    <w:rsid w:val="00DA77A7"/>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186">
    <w:name w:val="xl186"/>
    <w:basedOn w:val="Normln"/>
    <w:rsid w:val="00DA77A7"/>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Calibri" w:eastAsia="Times New Roman" w:hAnsi="Calibri" w:cs="Times New Roman"/>
      <w:b/>
      <w:bCs/>
      <w:lang w:eastAsia="cs-CZ"/>
    </w:rPr>
  </w:style>
  <w:style w:type="paragraph" w:customStyle="1" w:styleId="xl187">
    <w:name w:val="xl187"/>
    <w:basedOn w:val="Normln"/>
    <w:rsid w:val="00DA77A7"/>
    <w:pPr>
      <w:spacing w:before="100" w:beforeAutospacing="1" w:after="100" w:afterAutospacing="1" w:line="240" w:lineRule="auto"/>
    </w:pPr>
    <w:rPr>
      <w:rFonts w:ascii="Calibri" w:eastAsia="Times New Roman" w:hAnsi="Calibri" w:cs="Times New Roman"/>
      <w:b/>
      <w:bCs/>
      <w:lang w:eastAsia="cs-CZ"/>
    </w:rPr>
  </w:style>
  <w:style w:type="paragraph" w:customStyle="1" w:styleId="xl188">
    <w:name w:val="xl188"/>
    <w:basedOn w:val="Normln"/>
    <w:rsid w:val="00DA77A7"/>
    <w:pPr>
      <w:spacing w:before="100" w:beforeAutospacing="1" w:after="100" w:afterAutospacing="1" w:line="240" w:lineRule="auto"/>
      <w:jc w:val="right"/>
    </w:pPr>
    <w:rPr>
      <w:rFonts w:ascii="Calibri" w:eastAsia="Times New Roman" w:hAnsi="Calibri" w:cs="Times New Roman"/>
      <w:b/>
      <w:bCs/>
      <w:lang w:eastAsia="cs-CZ"/>
    </w:rPr>
  </w:style>
  <w:style w:type="paragraph" w:customStyle="1" w:styleId="xl189">
    <w:name w:val="xl189"/>
    <w:basedOn w:val="Normln"/>
    <w:rsid w:val="00DA77A7"/>
    <w:pPr>
      <w:spacing w:before="100" w:beforeAutospacing="1" w:after="100" w:afterAutospacing="1" w:line="240" w:lineRule="auto"/>
      <w:jc w:val="center"/>
    </w:pPr>
    <w:rPr>
      <w:rFonts w:ascii="Calibri" w:eastAsia="Times New Roman" w:hAnsi="Calibri" w:cs="Times New Roman"/>
      <w:b/>
      <w:bCs/>
      <w:sz w:val="24"/>
      <w:szCs w:val="24"/>
      <w:lang w:eastAsia="cs-CZ"/>
    </w:rPr>
  </w:style>
  <w:style w:type="paragraph" w:customStyle="1" w:styleId="xl190">
    <w:name w:val="xl190"/>
    <w:basedOn w:val="Normln"/>
    <w:rsid w:val="00DA77A7"/>
    <w:pPr>
      <w:spacing w:before="100" w:beforeAutospacing="1" w:after="100" w:afterAutospacing="1" w:line="240" w:lineRule="auto"/>
      <w:jc w:val="right"/>
    </w:pPr>
    <w:rPr>
      <w:rFonts w:ascii="Calibri" w:eastAsia="Times New Roman" w:hAnsi="Calibri" w:cs="Times New Roman"/>
      <w:b/>
      <w:bCs/>
      <w:lang w:eastAsia="cs-CZ"/>
    </w:rPr>
  </w:style>
  <w:style w:type="paragraph" w:customStyle="1" w:styleId="xl191">
    <w:name w:val="xl191"/>
    <w:basedOn w:val="Normln"/>
    <w:rsid w:val="00DA77A7"/>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lang w:eastAsia="cs-CZ"/>
    </w:rPr>
  </w:style>
  <w:style w:type="paragraph" w:customStyle="1" w:styleId="xl192">
    <w:name w:val="xl192"/>
    <w:basedOn w:val="Normln"/>
    <w:rsid w:val="00DA77A7"/>
    <w:pPr>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193">
    <w:name w:val="xl193"/>
    <w:basedOn w:val="Normln"/>
    <w:rsid w:val="00DA77A7"/>
    <w:pPr>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194">
    <w:name w:val="xl194"/>
    <w:basedOn w:val="Normln"/>
    <w:rsid w:val="00DA77A7"/>
    <w:pPr>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195">
    <w:name w:val="xl195"/>
    <w:basedOn w:val="Normln"/>
    <w:rsid w:val="00DA77A7"/>
    <w:pPr>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196">
    <w:name w:val="xl196"/>
    <w:basedOn w:val="Normln"/>
    <w:rsid w:val="00DA77A7"/>
    <w:pPr>
      <w:pBdr>
        <w:left w:val="single" w:sz="4" w:space="0" w:color="auto"/>
        <w:right w:val="single" w:sz="4" w:space="0" w:color="auto"/>
      </w:pBdr>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197">
    <w:name w:val="xl197"/>
    <w:basedOn w:val="Normln"/>
    <w:rsid w:val="00DA77A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Calibri" w:eastAsia="Times New Roman" w:hAnsi="Calibri" w:cs="Times New Roman"/>
      <w:sz w:val="24"/>
      <w:szCs w:val="24"/>
      <w:lang w:eastAsia="cs-CZ"/>
    </w:rPr>
  </w:style>
  <w:style w:type="paragraph" w:customStyle="1" w:styleId="xl198">
    <w:name w:val="xl198"/>
    <w:basedOn w:val="Normln"/>
    <w:rsid w:val="00DA77A7"/>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Calibri" w:eastAsia="Times New Roman" w:hAnsi="Calibri" w:cs="Times New Roman"/>
      <w:b/>
      <w:bCs/>
      <w:lang w:eastAsia="cs-CZ"/>
    </w:rPr>
  </w:style>
  <w:style w:type="paragraph" w:customStyle="1" w:styleId="xl199">
    <w:name w:val="xl199"/>
    <w:basedOn w:val="Normln"/>
    <w:rsid w:val="00DA77A7"/>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200">
    <w:name w:val="xl200"/>
    <w:basedOn w:val="Normln"/>
    <w:rsid w:val="00DA7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Calibri" w:eastAsia="Times New Roman" w:hAnsi="Calibri" w:cs="Times New Roman"/>
      <w:i/>
      <w:iCs/>
      <w:sz w:val="24"/>
      <w:szCs w:val="24"/>
      <w:lang w:eastAsia="cs-CZ"/>
    </w:rPr>
  </w:style>
  <w:style w:type="paragraph" w:customStyle="1" w:styleId="xl201">
    <w:name w:val="xl201"/>
    <w:basedOn w:val="Normln"/>
    <w:rsid w:val="00DA7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Calibri" w:eastAsia="Times New Roman" w:hAnsi="Calibri" w:cs="Times New Roman"/>
      <w:i/>
      <w:iCs/>
      <w:sz w:val="24"/>
      <w:szCs w:val="24"/>
      <w:lang w:eastAsia="cs-CZ"/>
    </w:rPr>
  </w:style>
  <w:style w:type="paragraph" w:customStyle="1" w:styleId="xl202">
    <w:name w:val="xl202"/>
    <w:basedOn w:val="Normln"/>
    <w:rsid w:val="00DA77A7"/>
    <w:pPr>
      <w:pBdr>
        <w:top w:val="single" w:sz="4" w:space="0" w:color="auto"/>
        <w:left w:val="single" w:sz="4" w:space="0" w:color="auto"/>
        <w:right w:val="single" w:sz="4" w:space="0" w:color="auto"/>
      </w:pBdr>
      <w:spacing w:before="100" w:beforeAutospacing="1" w:after="100" w:afterAutospacing="1" w:line="240" w:lineRule="auto"/>
    </w:pPr>
    <w:rPr>
      <w:rFonts w:ascii="Calibri" w:eastAsia="Times New Roman" w:hAnsi="Calibri" w:cs="Times New Roman"/>
      <w:i/>
      <w:iCs/>
      <w:sz w:val="24"/>
      <w:szCs w:val="24"/>
      <w:lang w:eastAsia="cs-CZ"/>
    </w:rPr>
  </w:style>
  <w:style w:type="paragraph" w:customStyle="1" w:styleId="xl203">
    <w:name w:val="xl203"/>
    <w:basedOn w:val="Normln"/>
    <w:rsid w:val="00DA77A7"/>
    <w:pPr>
      <w:spacing w:before="100" w:beforeAutospacing="1" w:after="100" w:afterAutospacing="1" w:line="240" w:lineRule="auto"/>
      <w:jc w:val="right"/>
    </w:pPr>
    <w:rPr>
      <w:rFonts w:ascii="Calibri" w:eastAsia="Times New Roman" w:hAnsi="Calibri" w:cs="Times New Roman"/>
      <w:b/>
      <w:bCs/>
      <w:sz w:val="24"/>
      <w:szCs w:val="24"/>
      <w:lang w:eastAsia="cs-CZ"/>
    </w:rPr>
  </w:style>
  <w:style w:type="paragraph" w:customStyle="1" w:styleId="xl204">
    <w:name w:val="xl204"/>
    <w:basedOn w:val="Normln"/>
    <w:rsid w:val="00DA77A7"/>
    <w:pPr>
      <w:spacing w:before="100" w:beforeAutospacing="1" w:after="100" w:afterAutospacing="1" w:line="240" w:lineRule="auto"/>
    </w:pPr>
    <w:rPr>
      <w:rFonts w:ascii="Calibri" w:eastAsia="Times New Roman" w:hAnsi="Calibri" w:cs="Times New Roman"/>
      <w:b/>
      <w:bCs/>
      <w:sz w:val="24"/>
      <w:szCs w:val="24"/>
      <w:lang w:eastAsia="cs-CZ"/>
    </w:rPr>
  </w:style>
  <w:style w:type="paragraph" w:customStyle="1" w:styleId="xl205">
    <w:name w:val="xl205"/>
    <w:basedOn w:val="Normln"/>
    <w:rsid w:val="00DA77A7"/>
    <w:pPr>
      <w:spacing w:before="100" w:beforeAutospacing="1" w:after="100" w:afterAutospacing="1" w:line="240" w:lineRule="auto"/>
      <w:jc w:val="right"/>
    </w:pPr>
    <w:rPr>
      <w:rFonts w:ascii="Calibri" w:eastAsia="Times New Roman" w:hAnsi="Calibri" w:cs="Times New Roman"/>
      <w:b/>
      <w:bCs/>
      <w:lang w:eastAsia="cs-CZ"/>
    </w:rPr>
  </w:style>
  <w:style w:type="paragraph" w:customStyle="1" w:styleId="xl206">
    <w:name w:val="xl206"/>
    <w:basedOn w:val="Normln"/>
    <w:rsid w:val="00DA77A7"/>
    <w:pPr>
      <w:pBdr>
        <w:top w:val="single" w:sz="8" w:space="0" w:color="auto"/>
        <w:left w:val="single" w:sz="8" w:space="0" w:color="auto"/>
        <w:bottom w:val="single" w:sz="8" w:space="0" w:color="auto"/>
      </w:pBdr>
      <w:spacing w:before="100" w:beforeAutospacing="1" w:after="100" w:afterAutospacing="1" w:line="240" w:lineRule="auto"/>
    </w:pPr>
    <w:rPr>
      <w:rFonts w:ascii="Calibri" w:eastAsia="Times New Roman" w:hAnsi="Calibri" w:cs="Times New Roman"/>
      <w:b/>
      <w:bCs/>
      <w:sz w:val="24"/>
      <w:szCs w:val="24"/>
      <w:lang w:eastAsia="cs-CZ"/>
    </w:rPr>
  </w:style>
  <w:style w:type="paragraph" w:customStyle="1" w:styleId="xl207">
    <w:name w:val="xl207"/>
    <w:basedOn w:val="Normln"/>
    <w:rsid w:val="00DA77A7"/>
    <w:pPr>
      <w:pBdr>
        <w:top w:val="single" w:sz="8" w:space="0" w:color="auto"/>
        <w:bottom w:val="single" w:sz="8" w:space="0" w:color="auto"/>
        <w:right w:val="single" w:sz="8" w:space="0" w:color="000000"/>
      </w:pBdr>
      <w:spacing w:before="100" w:beforeAutospacing="1" w:after="100" w:afterAutospacing="1" w:line="240" w:lineRule="auto"/>
    </w:pPr>
    <w:rPr>
      <w:rFonts w:ascii="Calibri" w:eastAsia="Times New Roman" w:hAnsi="Calibri" w:cs="Times New Roman"/>
      <w:b/>
      <w:bCs/>
      <w:sz w:val="24"/>
      <w:szCs w:val="24"/>
      <w:lang w:eastAsia="cs-CZ"/>
    </w:rPr>
  </w:style>
  <w:style w:type="paragraph" w:customStyle="1" w:styleId="xl208">
    <w:name w:val="xl208"/>
    <w:basedOn w:val="Normln"/>
    <w:rsid w:val="00DA77A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b/>
      <w:bCs/>
      <w:i/>
      <w:iCs/>
      <w:sz w:val="24"/>
      <w:szCs w:val="24"/>
      <w:lang w:eastAsia="cs-CZ"/>
    </w:rPr>
  </w:style>
  <w:style w:type="paragraph" w:customStyle="1" w:styleId="xl209">
    <w:name w:val="xl209"/>
    <w:basedOn w:val="Normln"/>
    <w:rsid w:val="00DA77A7"/>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210">
    <w:name w:val="xl210"/>
    <w:basedOn w:val="Normln"/>
    <w:rsid w:val="00DA77A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b/>
      <w:bCs/>
      <w:i/>
      <w:iCs/>
      <w:sz w:val="24"/>
      <w:szCs w:val="24"/>
      <w:lang w:eastAsia="cs-CZ"/>
    </w:rPr>
  </w:style>
  <w:style w:type="paragraph" w:customStyle="1" w:styleId="xl211">
    <w:name w:val="xl211"/>
    <w:basedOn w:val="Normln"/>
    <w:rsid w:val="00DA77A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i/>
      <w:iCs/>
      <w:sz w:val="24"/>
      <w:szCs w:val="24"/>
      <w:lang w:eastAsia="cs-CZ"/>
    </w:rPr>
  </w:style>
  <w:style w:type="paragraph" w:customStyle="1" w:styleId="xl212">
    <w:name w:val="xl212"/>
    <w:basedOn w:val="Normln"/>
    <w:rsid w:val="00DA7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i/>
      <w:iCs/>
      <w:sz w:val="24"/>
      <w:szCs w:val="24"/>
      <w:lang w:eastAsia="cs-CZ"/>
    </w:rPr>
  </w:style>
  <w:style w:type="paragraph" w:customStyle="1" w:styleId="xl213">
    <w:name w:val="xl213"/>
    <w:basedOn w:val="Normln"/>
    <w:rsid w:val="00DA77A7"/>
    <w:pPr>
      <w:pBdr>
        <w:top w:val="single" w:sz="4" w:space="0" w:color="auto"/>
        <w:left w:val="single" w:sz="8" w:space="0" w:color="auto"/>
        <w:right w:val="single" w:sz="4" w:space="0" w:color="auto"/>
      </w:pBdr>
      <w:spacing w:before="100" w:beforeAutospacing="1" w:after="100" w:afterAutospacing="1" w:line="240" w:lineRule="auto"/>
      <w:jc w:val="center"/>
    </w:pPr>
    <w:rPr>
      <w:rFonts w:ascii="Calibri" w:eastAsia="Times New Roman" w:hAnsi="Calibri" w:cs="Times New Roman"/>
      <w:i/>
      <w:iCs/>
      <w:sz w:val="24"/>
      <w:szCs w:val="24"/>
      <w:lang w:eastAsia="cs-CZ"/>
    </w:rPr>
  </w:style>
  <w:style w:type="paragraph" w:customStyle="1" w:styleId="xl214">
    <w:name w:val="xl214"/>
    <w:basedOn w:val="Normln"/>
    <w:rsid w:val="00DA77A7"/>
    <w:pPr>
      <w:pBdr>
        <w:top w:val="single" w:sz="4" w:space="0" w:color="auto"/>
        <w:left w:val="single" w:sz="4" w:space="0" w:color="auto"/>
        <w:right w:val="single" w:sz="4" w:space="0" w:color="auto"/>
      </w:pBdr>
      <w:spacing w:before="100" w:beforeAutospacing="1" w:after="100" w:afterAutospacing="1" w:line="240" w:lineRule="auto"/>
    </w:pPr>
    <w:rPr>
      <w:rFonts w:ascii="Calibri" w:eastAsia="Times New Roman" w:hAnsi="Calibri" w:cs="Times New Roman"/>
      <w:i/>
      <w:iCs/>
      <w:sz w:val="24"/>
      <w:szCs w:val="24"/>
      <w:lang w:eastAsia="cs-CZ"/>
    </w:rPr>
  </w:style>
  <w:style w:type="paragraph" w:customStyle="1" w:styleId="xl215">
    <w:name w:val="xl215"/>
    <w:basedOn w:val="Normln"/>
    <w:rsid w:val="00DA77A7"/>
    <w:pPr>
      <w:pBdr>
        <w:top w:val="single" w:sz="4" w:space="0" w:color="auto"/>
        <w:left w:val="single" w:sz="4" w:space="0" w:color="auto"/>
        <w:right w:val="single" w:sz="8" w:space="0" w:color="auto"/>
      </w:pBdr>
      <w:spacing w:before="100" w:beforeAutospacing="1" w:after="100" w:afterAutospacing="1" w:line="240" w:lineRule="auto"/>
      <w:jc w:val="right"/>
    </w:pPr>
    <w:rPr>
      <w:rFonts w:ascii="Calibri" w:eastAsia="Times New Roman" w:hAnsi="Calibri" w:cs="Times New Roman"/>
      <w:i/>
      <w:iCs/>
      <w:sz w:val="24"/>
      <w:szCs w:val="24"/>
      <w:lang w:eastAsia="cs-CZ"/>
    </w:rPr>
  </w:style>
  <w:style w:type="paragraph" w:customStyle="1" w:styleId="xl216">
    <w:name w:val="xl216"/>
    <w:basedOn w:val="Normln"/>
    <w:rsid w:val="00DA77A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sz w:val="24"/>
      <w:szCs w:val="24"/>
      <w:lang w:eastAsia="cs-CZ"/>
    </w:rPr>
  </w:style>
  <w:style w:type="paragraph" w:customStyle="1" w:styleId="xl217">
    <w:name w:val="xl217"/>
    <w:basedOn w:val="Normln"/>
    <w:rsid w:val="00DA77A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sz w:val="24"/>
      <w:szCs w:val="24"/>
      <w:lang w:eastAsia="cs-CZ"/>
    </w:rPr>
  </w:style>
  <w:style w:type="paragraph" w:customStyle="1" w:styleId="xl218">
    <w:name w:val="xl218"/>
    <w:basedOn w:val="Normln"/>
    <w:rsid w:val="00DA7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i/>
      <w:iCs/>
      <w:sz w:val="24"/>
      <w:szCs w:val="24"/>
      <w:lang w:eastAsia="cs-CZ"/>
    </w:rPr>
  </w:style>
  <w:style w:type="paragraph" w:customStyle="1" w:styleId="xl219">
    <w:name w:val="xl219"/>
    <w:basedOn w:val="Normln"/>
    <w:rsid w:val="00DA77A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Calibri" w:eastAsia="Times New Roman" w:hAnsi="Calibri" w:cs="Times New Roman"/>
      <w:i/>
      <w:iCs/>
      <w:sz w:val="24"/>
      <w:szCs w:val="24"/>
      <w:lang w:eastAsia="cs-CZ"/>
    </w:rPr>
  </w:style>
  <w:style w:type="paragraph" w:customStyle="1" w:styleId="xl220">
    <w:name w:val="xl220"/>
    <w:basedOn w:val="Normln"/>
    <w:rsid w:val="00DA77A7"/>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Calibri" w:eastAsia="Times New Roman" w:hAnsi="Calibri" w:cs="Times New Roman"/>
      <w:i/>
      <w:iCs/>
      <w:sz w:val="24"/>
      <w:szCs w:val="24"/>
      <w:lang w:eastAsia="cs-CZ"/>
    </w:rPr>
  </w:style>
  <w:style w:type="paragraph" w:customStyle="1" w:styleId="xl221">
    <w:name w:val="xl221"/>
    <w:basedOn w:val="Normln"/>
    <w:rsid w:val="00DA77A7"/>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Calibri" w:eastAsia="Times New Roman" w:hAnsi="Calibri" w:cs="Times New Roman"/>
      <w:i/>
      <w:iCs/>
      <w:sz w:val="24"/>
      <w:szCs w:val="24"/>
      <w:lang w:eastAsia="cs-CZ"/>
    </w:rPr>
  </w:style>
  <w:style w:type="paragraph" w:customStyle="1" w:styleId="xl222">
    <w:name w:val="xl222"/>
    <w:basedOn w:val="Normln"/>
    <w:rsid w:val="00DA77A7"/>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Calibri" w:eastAsia="Times New Roman" w:hAnsi="Calibri" w:cs="Times New Roman"/>
      <w:i/>
      <w:iCs/>
      <w:sz w:val="24"/>
      <w:szCs w:val="24"/>
      <w:lang w:eastAsia="cs-CZ"/>
    </w:rPr>
  </w:style>
  <w:style w:type="paragraph" w:customStyle="1" w:styleId="xl223">
    <w:name w:val="xl223"/>
    <w:basedOn w:val="Normln"/>
    <w:rsid w:val="00DA77A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right"/>
    </w:pPr>
    <w:rPr>
      <w:rFonts w:ascii="Calibri" w:eastAsia="Times New Roman" w:hAnsi="Calibri" w:cs="Times New Roman"/>
      <w:i/>
      <w:iCs/>
      <w:sz w:val="24"/>
      <w:szCs w:val="24"/>
      <w:lang w:eastAsia="cs-CZ"/>
    </w:rPr>
  </w:style>
  <w:style w:type="paragraph" w:customStyle="1" w:styleId="xl224">
    <w:name w:val="xl224"/>
    <w:basedOn w:val="Normln"/>
    <w:rsid w:val="00DA77A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sz w:val="24"/>
      <w:szCs w:val="24"/>
      <w:lang w:eastAsia="cs-CZ"/>
    </w:rPr>
  </w:style>
  <w:style w:type="paragraph" w:customStyle="1" w:styleId="xl225">
    <w:name w:val="xl225"/>
    <w:basedOn w:val="Normln"/>
    <w:rsid w:val="00DA77A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226">
    <w:name w:val="xl226"/>
    <w:basedOn w:val="Normln"/>
    <w:rsid w:val="00DA77A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sz w:val="24"/>
      <w:szCs w:val="24"/>
      <w:lang w:eastAsia="cs-CZ"/>
    </w:rPr>
  </w:style>
  <w:style w:type="paragraph" w:customStyle="1" w:styleId="xl227">
    <w:name w:val="xl227"/>
    <w:basedOn w:val="Normln"/>
    <w:rsid w:val="00DA77A7"/>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228">
    <w:name w:val="xl228"/>
    <w:basedOn w:val="Normln"/>
    <w:rsid w:val="00DA77A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i/>
      <w:iCs/>
      <w:sz w:val="24"/>
      <w:szCs w:val="24"/>
      <w:lang w:eastAsia="cs-CZ"/>
    </w:rPr>
  </w:style>
  <w:style w:type="paragraph" w:customStyle="1" w:styleId="xl229">
    <w:name w:val="xl229"/>
    <w:basedOn w:val="Normln"/>
    <w:rsid w:val="00DA77A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Calibri" w:eastAsia="Times New Roman" w:hAnsi="Calibri" w:cs="Times New Roman"/>
      <w:i/>
      <w:iCs/>
      <w:sz w:val="24"/>
      <w:szCs w:val="24"/>
      <w:lang w:eastAsia="cs-CZ"/>
    </w:rPr>
  </w:style>
  <w:style w:type="paragraph" w:customStyle="1" w:styleId="xl230">
    <w:name w:val="xl230"/>
    <w:basedOn w:val="Normln"/>
    <w:rsid w:val="00DA77A7"/>
    <w:pPr>
      <w:pBdr>
        <w:left w:val="single" w:sz="4" w:space="0" w:color="auto"/>
        <w:right w:val="single" w:sz="4" w:space="0" w:color="auto"/>
      </w:pBdr>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231">
    <w:name w:val="xl231"/>
    <w:basedOn w:val="Normln"/>
    <w:rsid w:val="00DA77A7"/>
    <w:pPr>
      <w:pBdr>
        <w:left w:val="single" w:sz="4" w:space="0" w:color="auto"/>
        <w:right w:val="single" w:sz="4" w:space="0" w:color="auto"/>
      </w:pBdr>
      <w:spacing w:before="100" w:beforeAutospacing="1" w:after="100" w:afterAutospacing="1" w:line="240" w:lineRule="auto"/>
    </w:pPr>
    <w:rPr>
      <w:rFonts w:ascii="Calibri" w:eastAsia="Times New Roman" w:hAnsi="Calibri" w:cs="Times New Roman"/>
      <w:i/>
      <w:iCs/>
      <w:sz w:val="24"/>
      <w:szCs w:val="24"/>
      <w:lang w:eastAsia="cs-CZ"/>
    </w:rPr>
  </w:style>
  <w:style w:type="paragraph" w:customStyle="1" w:styleId="xl232">
    <w:name w:val="xl232"/>
    <w:basedOn w:val="Normln"/>
    <w:rsid w:val="00DA77A7"/>
    <w:pPr>
      <w:pBdr>
        <w:left w:val="single" w:sz="4" w:space="0" w:color="auto"/>
        <w:right w:val="single" w:sz="4" w:space="0" w:color="auto"/>
      </w:pBdr>
      <w:spacing w:before="100" w:beforeAutospacing="1" w:after="100" w:afterAutospacing="1" w:line="240" w:lineRule="auto"/>
    </w:pPr>
    <w:rPr>
      <w:rFonts w:ascii="Calibri" w:eastAsia="Times New Roman" w:hAnsi="Calibri" w:cs="Times New Roman"/>
      <w:i/>
      <w:iCs/>
      <w:sz w:val="24"/>
      <w:szCs w:val="24"/>
      <w:lang w:eastAsia="cs-CZ"/>
    </w:rPr>
  </w:style>
  <w:style w:type="paragraph" w:customStyle="1" w:styleId="xl233">
    <w:name w:val="xl233"/>
    <w:basedOn w:val="Normln"/>
    <w:rsid w:val="00DA77A7"/>
    <w:pPr>
      <w:pBdr>
        <w:top w:val="single" w:sz="4" w:space="0" w:color="auto"/>
        <w:left w:val="single" w:sz="4" w:space="0" w:color="auto"/>
        <w:right w:val="single" w:sz="4" w:space="0" w:color="auto"/>
      </w:pBdr>
      <w:spacing w:before="100" w:beforeAutospacing="1" w:after="100" w:afterAutospacing="1" w:line="240" w:lineRule="auto"/>
    </w:pPr>
    <w:rPr>
      <w:rFonts w:ascii="Calibri" w:eastAsia="Times New Roman" w:hAnsi="Calibri" w:cs="Times New Roman"/>
      <w:i/>
      <w:iCs/>
      <w:sz w:val="24"/>
      <w:szCs w:val="24"/>
      <w:lang w:eastAsia="cs-CZ"/>
    </w:rPr>
  </w:style>
  <w:style w:type="paragraph" w:customStyle="1" w:styleId="xl234">
    <w:name w:val="xl234"/>
    <w:basedOn w:val="Normln"/>
    <w:rsid w:val="00DA7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i/>
      <w:iCs/>
      <w:sz w:val="24"/>
      <w:szCs w:val="24"/>
      <w:lang w:eastAsia="cs-CZ"/>
    </w:rPr>
  </w:style>
  <w:style w:type="paragraph" w:customStyle="1" w:styleId="xl235">
    <w:name w:val="xl235"/>
    <w:basedOn w:val="Normln"/>
    <w:rsid w:val="00DA77A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Calibri" w:eastAsia="Times New Roman" w:hAnsi="Calibri" w:cs="Times New Roman"/>
      <w:i/>
      <w:iCs/>
      <w:sz w:val="24"/>
      <w:szCs w:val="24"/>
      <w:lang w:eastAsia="cs-CZ"/>
    </w:rPr>
  </w:style>
  <w:style w:type="paragraph" w:customStyle="1" w:styleId="xl236">
    <w:name w:val="xl236"/>
    <w:basedOn w:val="Normln"/>
    <w:rsid w:val="00DA77A7"/>
    <w:pPr>
      <w:pBdr>
        <w:left w:val="single" w:sz="8"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sz w:val="24"/>
      <w:szCs w:val="24"/>
      <w:lang w:eastAsia="cs-CZ"/>
    </w:rPr>
  </w:style>
  <w:style w:type="paragraph" w:customStyle="1" w:styleId="xl237">
    <w:name w:val="xl237"/>
    <w:basedOn w:val="Normln"/>
    <w:rsid w:val="00DA77A7"/>
    <w:pPr>
      <w:pBdr>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238">
    <w:name w:val="xl238"/>
    <w:basedOn w:val="Normln"/>
    <w:rsid w:val="00DA77A7"/>
    <w:pPr>
      <w:pBdr>
        <w:top w:val="single" w:sz="4" w:space="0" w:color="auto"/>
      </w:pBdr>
      <w:spacing w:before="100" w:beforeAutospacing="1" w:after="100" w:afterAutospacing="1" w:line="240" w:lineRule="auto"/>
      <w:jc w:val="right"/>
    </w:pPr>
    <w:rPr>
      <w:rFonts w:ascii="Calibri" w:eastAsia="Times New Roman" w:hAnsi="Calibri" w:cs="Times New Roman"/>
      <w:sz w:val="24"/>
      <w:szCs w:val="24"/>
      <w:lang w:eastAsia="cs-CZ"/>
    </w:rPr>
  </w:style>
  <w:style w:type="paragraph" w:customStyle="1" w:styleId="xl239">
    <w:name w:val="xl239"/>
    <w:basedOn w:val="Normln"/>
    <w:rsid w:val="00DA77A7"/>
    <w:pPr>
      <w:pBdr>
        <w:left w:val="single" w:sz="4" w:space="0" w:color="auto"/>
        <w:bottom w:val="single" w:sz="4" w:space="0" w:color="auto"/>
        <w:right w:val="single" w:sz="8" w:space="0" w:color="auto"/>
      </w:pBdr>
      <w:spacing w:before="100" w:beforeAutospacing="1" w:after="100" w:afterAutospacing="1" w:line="240" w:lineRule="auto"/>
      <w:jc w:val="right"/>
    </w:pPr>
    <w:rPr>
      <w:rFonts w:ascii="Calibri" w:eastAsia="Times New Roman" w:hAnsi="Calibri" w:cs="Times New Roman"/>
      <w:i/>
      <w:iCs/>
      <w:sz w:val="24"/>
      <w:szCs w:val="24"/>
      <w:lang w:eastAsia="cs-CZ"/>
    </w:rPr>
  </w:style>
  <w:style w:type="paragraph" w:customStyle="1" w:styleId="xl240">
    <w:name w:val="xl240"/>
    <w:basedOn w:val="Normln"/>
    <w:rsid w:val="00DA77A7"/>
    <w:pPr>
      <w:pBdr>
        <w:left w:val="single" w:sz="4" w:space="0" w:color="auto"/>
        <w:bottom w:val="single" w:sz="8" w:space="0" w:color="auto"/>
        <w:right w:val="single" w:sz="4" w:space="0" w:color="auto"/>
      </w:pBdr>
      <w:spacing w:before="100" w:beforeAutospacing="1" w:after="100" w:afterAutospacing="1" w:line="240" w:lineRule="auto"/>
    </w:pPr>
    <w:rPr>
      <w:rFonts w:ascii="Calibri" w:eastAsia="Times New Roman" w:hAnsi="Calibri" w:cs="Times New Roman"/>
      <w:i/>
      <w:iCs/>
      <w:sz w:val="24"/>
      <w:szCs w:val="24"/>
      <w:lang w:eastAsia="cs-CZ"/>
    </w:rPr>
  </w:style>
  <w:style w:type="paragraph" w:customStyle="1" w:styleId="xl241">
    <w:name w:val="xl241"/>
    <w:basedOn w:val="Normln"/>
    <w:rsid w:val="00DA77A7"/>
    <w:pPr>
      <w:pBdr>
        <w:left w:val="single" w:sz="4" w:space="0" w:color="auto"/>
        <w:bottom w:val="single" w:sz="8" w:space="0" w:color="auto"/>
        <w:right w:val="single" w:sz="8" w:space="0" w:color="auto"/>
      </w:pBdr>
      <w:spacing w:before="100" w:beforeAutospacing="1" w:after="100" w:afterAutospacing="1" w:line="240" w:lineRule="auto"/>
      <w:jc w:val="right"/>
    </w:pPr>
    <w:rPr>
      <w:rFonts w:ascii="Calibri" w:eastAsia="Times New Roman" w:hAnsi="Calibri" w:cs="Times New Roman"/>
      <w:i/>
      <w:iCs/>
      <w:sz w:val="24"/>
      <w:szCs w:val="24"/>
      <w:lang w:eastAsia="cs-CZ"/>
    </w:rPr>
  </w:style>
  <w:style w:type="paragraph" w:customStyle="1" w:styleId="xl242">
    <w:name w:val="xl242"/>
    <w:basedOn w:val="Normln"/>
    <w:rsid w:val="00DA77A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b/>
      <w:bCs/>
      <w:sz w:val="24"/>
      <w:szCs w:val="24"/>
      <w:lang w:eastAsia="cs-CZ"/>
    </w:rPr>
  </w:style>
  <w:style w:type="paragraph" w:customStyle="1" w:styleId="xl243">
    <w:name w:val="xl243"/>
    <w:basedOn w:val="Normln"/>
    <w:rsid w:val="00DA77A7"/>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244">
    <w:name w:val="xl244"/>
    <w:basedOn w:val="Normln"/>
    <w:rsid w:val="00DA77A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b/>
      <w:bCs/>
      <w:sz w:val="24"/>
      <w:szCs w:val="24"/>
      <w:lang w:eastAsia="cs-CZ"/>
    </w:rPr>
  </w:style>
  <w:style w:type="paragraph" w:customStyle="1" w:styleId="xl245">
    <w:name w:val="xl245"/>
    <w:basedOn w:val="Normln"/>
    <w:rsid w:val="00DA7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i/>
      <w:iCs/>
      <w:sz w:val="24"/>
      <w:szCs w:val="24"/>
      <w:lang w:eastAsia="cs-CZ"/>
    </w:rPr>
  </w:style>
  <w:style w:type="paragraph" w:customStyle="1" w:styleId="xl246">
    <w:name w:val="xl246"/>
    <w:basedOn w:val="Normln"/>
    <w:rsid w:val="00DA77A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i/>
      <w:iCs/>
      <w:sz w:val="24"/>
      <w:szCs w:val="24"/>
      <w:lang w:eastAsia="cs-CZ"/>
    </w:rPr>
  </w:style>
  <w:style w:type="paragraph" w:customStyle="1" w:styleId="xl247">
    <w:name w:val="xl247"/>
    <w:basedOn w:val="Normln"/>
    <w:rsid w:val="00DA7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i/>
      <w:iCs/>
      <w:sz w:val="24"/>
      <w:szCs w:val="24"/>
      <w:lang w:eastAsia="cs-CZ"/>
    </w:rPr>
  </w:style>
  <w:style w:type="paragraph" w:customStyle="1" w:styleId="xl248">
    <w:name w:val="xl248"/>
    <w:basedOn w:val="Normln"/>
    <w:rsid w:val="00DA77A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Calibri" w:eastAsia="Times New Roman" w:hAnsi="Calibri" w:cs="Times New Roman"/>
      <w:i/>
      <w:iCs/>
      <w:sz w:val="24"/>
      <w:szCs w:val="24"/>
      <w:lang w:eastAsia="cs-CZ"/>
    </w:rPr>
  </w:style>
  <w:style w:type="paragraph" w:customStyle="1" w:styleId="xl249">
    <w:name w:val="xl249"/>
    <w:basedOn w:val="Normln"/>
    <w:rsid w:val="00DA77A7"/>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Calibri" w:eastAsia="Times New Roman" w:hAnsi="Calibri" w:cs="Times New Roman"/>
      <w:i/>
      <w:iCs/>
      <w:sz w:val="24"/>
      <w:szCs w:val="24"/>
      <w:lang w:eastAsia="cs-CZ"/>
    </w:rPr>
  </w:style>
  <w:style w:type="paragraph" w:customStyle="1" w:styleId="xl250">
    <w:name w:val="xl250"/>
    <w:basedOn w:val="Normln"/>
    <w:rsid w:val="00DA77A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Calibri" w:eastAsia="Times New Roman" w:hAnsi="Calibri" w:cs="Times New Roman"/>
      <w:i/>
      <w:iCs/>
      <w:sz w:val="24"/>
      <w:szCs w:val="24"/>
      <w:lang w:eastAsia="cs-CZ"/>
    </w:rPr>
  </w:style>
  <w:style w:type="paragraph" w:customStyle="1" w:styleId="xl251">
    <w:name w:val="xl251"/>
    <w:basedOn w:val="Normln"/>
    <w:rsid w:val="00DA77A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Calibri" w:eastAsia="Times New Roman" w:hAnsi="Calibri" w:cs="Times New Roman"/>
      <w:i/>
      <w:iCs/>
      <w:sz w:val="24"/>
      <w:szCs w:val="24"/>
      <w:lang w:eastAsia="cs-CZ"/>
    </w:rPr>
  </w:style>
  <w:style w:type="paragraph" w:customStyle="1" w:styleId="xl252">
    <w:name w:val="xl252"/>
    <w:basedOn w:val="Normln"/>
    <w:rsid w:val="00DA77A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i/>
      <w:iCs/>
      <w:sz w:val="24"/>
      <w:szCs w:val="24"/>
      <w:lang w:eastAsia="cs-CZ"/>
    </w:rPr>
  </w:style>
  <w:style w:type="paragraph" w:customStyle="1" w:styleId="xl253">
    <w:name w:val="xl253"/>
    <w:basedOn w:val="Normln"/>
    <w:rsid w:val="00DA77A7"/>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i/>
      <w:iCs/>
      <w:sz w:val="24"/>
      <w:szCs w:val="24"/>
      <w:lang w:eastAsia="cs-CZ"/>
    </w:rPr>
  </w:style>
  <w:style w:type="paragraph" w:customStyle="1" w:styleId="xl254">
    <w:name w:val="xl254"/>
    <w:basedOn w:val="Normln"/>
    <w:rsid w:val="00DA77A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Calibri" w:eastAsia="Times New Roman" w:hAnsi="Calibri" w:cs="Times New Roman"/>
      <w:i/>
      <w:iCs/>
      <w:sz w:val="24"/>
      <w:szCs w:val="24"/>
      <w:lang w:eastAsia="cs-CZ"/>
    </w:rPr>
  </w:style>
  <w:style w:type="paragraph" w:customStyle="1" w:styleId="xl255">
    <w:name w:val="xl255"/>
    <w:basedOn w:val="Normln"/>
    <w:rsid w:val="00DA77A7"/>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Calibri" w:eastAsia="Times New Roman" w:hAnsi="Calibri" w:cs="Times New Roman"/>
      <w:i/>
      <w:iCs/>
      <w:sz w:val="24"/>
      <w:szCs w:val="24"/>
      <w:lang w:eastAsia="cs-CZ"/>
    </w:rPr>
  </w:style>
  <w:style w:type="paragraph" w:customStyle="1" w:styleId="xl256">
    <w:name w:val="xl256"/>
    <w:basedOn w:val="Normln"/>
    <w:rsid w:val="00DA77A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Calibri" w:eastAsia="Times New Roman" w:hAnsi="Calibri" w:cs="Times New Roman"/>
      <w:sz w:val="24"/>
      <w:szCs w:val="24"/>
      <w:lang w:eastAsia="cs-CZ"/>
    </w:rPr>
  </w:style>
  <w:style w:type="paragraph" w:customStyle="1" w:styleId="xl257">
    <w:name w:val="xl257"/>
    <w:basedOn w:val="Normln"/>
    <w:rsid w:val="00DA77A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Calibri" w:eastAsia="Times New Roman" w:hAnsi="Calibri" w:cs="Times New Roman"/>
      <w:sz w:val="24"/>
      <w:szCs w:val="24"/>
      <w:lang w:eastAsia="cs-CZ"/>
    </w:rPr>
  </w:style>
  <w:style w:type="paragraph" w:customStyle="1" w:styleId="xl258">
    <w:name w:val="xl258"/>
    <w:basedOn w:val="Normln"/>
    <w:rsid w:val="00DA77A7"/>
    <w:pPr>
      <w:pBdr>
        <w:left w:val="single" w:sz="8"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i/>
      <w:iCs/>
      <w:sz w:val="24"/>
      <w:szCs w:val="24"/>
      <w:lang w:eastAsia="cs-CZ"/>
    </w:rPr>
  </w:style>
  <w:style w:type="paragraph" w:customStyle="1" w:styleId="xl259">
    <w:name w:val="xl259"/>
    <w:basedOn w:val="Normln"/>
    <w:rsid w:val="00DA77A7"/>
    <w:pPr>
      <w:pBdr>
        <w:left w:val="single" w:sz="4" w:space="0" w:color="auto"/>
        <w:bottom w:val="single" w:sz="4" w:space="0" w:color="auto"/>
      </w:pBdr>
      <w:spacing w:before="100" w:beforeAutospacing="1" w:after="100" w:afterAutospacing="1" w:line="240" w:lineRule="auto"/>
    </w:pPr>
    <w:rPr>
      <w:rFonts w:ascii="Calibri" w:eastAsia="Times New Roman" w:hAnsi="Calibri" w:cs="Times New Roman"/>
      <w:i/>
      <w:iCs/>
      <w:sz w:val="24"/>
      <w:szCs w:val="24"/>
      <w:lang w:eastAsia="cs-CZ"/>
    </w:rPr>
  </w:style>
  <w:style w:type="paragraph" w:customStyle="1" w:styleId="xl260">
    <w:name w:val="xl260"/>
    <w:basedOn w:val="Normln"/>
    <w:rsid w:val="00DA77A7"/>
    <w:pPr>
      <w:pBdr>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i/>
      <w:iCs/>
      <w:sz w:val="24"/>
      <w:szCs w:val="24"/>
      <w:lang w:eastAsia="cs-CZ"/>
    </w:rPr>
  </w:style>
  <w:style w:type="paragraph" w:customStyle="1" w:styleId="xl261">
    <w:name w:val="xl261"/>
    <w:basedOn w:val="Normln"/>
    <w:rsid w:val="00DA77A7"/>
    <w:pPr>
      <w:pBdr>
        <w:left w:val="single" w:sz="8" w:space="0" w:color="auto"/>
        <w:bottom w:val="single" w:sz="8" w:space="0" w:color="auto"/>
        <w:right w:val="single" w:sz="4" w:space="0" w:color="auto"/>
      </w:pBdr>
      <w:spacing w:before="100" w:beforeAutospacing="1" w:after="100" w:afterAutospacing="1" w:line="240" w:lineRule="auto"/>
      <w:jc w:val="center"/>
    </w:pPr>
    <w:rPr>
      <w:rFonts w:ascii="Calibri" w:eastAsia="Times New Roman" w:hAnsi="Calibri" w:cs="Times New Roman"/>
      <w:i/>
      <w:iCs/>
      <w:sz w:val="24"/>
      <w:szCs w:val="24"/>
      <w:lang w:eastAsia="cs-CZ"/>
    </w:rPr>
  </w:style>
  <w:style w:type="paragraph" w:customStyle="1" w:styleId="xl262">
    <w:name w:val="xl262"/>
    <w:basedOn w:val="Normln"/>
    <w:rsid w:val="00DA77A7"/>
    <w:pPr>
      <w:pBdr>
        <w:left w:val="single" w:sz="4" w:space="0" w:color="auto"/>
        <w:bottom w:val="single" w:sz="8" w:space="0" w:color="auto"/>
        <w:right w:val="single" w:sz="4" w:space="0" w:color="auto"/>
      </w:pBdr>
      <w:spacing w:before="100" w:beforeAutospacing="1" w:after="100" w:afterAutospacing="1" w:line="240" w:lineRule="auto"/>
    </w:pPr>
    <w:rPr>
      <w:rFonts w:ascii="Calibri" w:eastAsia="Times New Roman" w:hAnsi="Calibri" w:cs="Times New Roman"/>
      <w:i/>
      <w:iCs/>
      <w:sz w:val="24"/>
      <w:szCs w:val="24"/>
      <w:lang w:eastAsia="cs-CZ"/>
    </w:rPr>
  </w:style>
  <w:style w:type="paragraph" w:customStyle="1" w:styleId="xl263">
    <w:name w:val="xl263"/>
    <w:basedOn w:val="Normln"/>
    <w:rsid w:val="00DA77A7"/>
    <w:pPr>
      <w:pBdr>
        <w:left w:val="single" w:sz="4" w:space="0" w:color="auto"/>
        <w:bottom w:val="single" w:sz="8" w:space="0" w:color="auto"/>
        <w:right w:val="single" w:sz="4" w:space="0" w:color="auto"/>
      </w:pBdr>
      <w:spacing w:before="100" w:beforeAutospacing="1" w:after="100" w:afterAutospacing="1" w:line="240" w:lineRule="auto"/>
    </w:pPr>
    <w:rPr>
      <w:rFonts w:ascii="Calibri" w:eastAsia="Times New Roman" w:hAnsi="Calibri" w:cs="Times New Roman"/>
      <w:i/>
      <w:iCs/>
      <w:sz w:val="24"/>
      <w:szCs w:val="24"/>
      <w:lang w:eastAsia="cs-CZ"/>
    </w:rPr>
  </w:style>
  <w:style w:type="paragraph" w:customStyle="1" w:styleId="xl264">
    <w:name w:val="xl264"/>
    <w:basedOn w:val="Normln"/>
    <w:rsid w:val="00DA77A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265">
    <w:name w:val="xl265"/>
    <w:basedOn w:val="Normln"/>
    <w:rsid w:val="00DA77A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Times New Roman"/>
      <w:i/>
      <w:iCs/>
      <w:sz w:val="24"/>
      <w:szCs w:val="24"/>
      <w:lang w:eastAsia="cs-CZ"/>
    </w:rPr>
  </w:style>
  <w:style w:type="paragraph" w:customStyle="1" w:styleId="xl266">
    <w:name w:val="xl266"/>
    <w:basedOn w:val="Normln"/>
    <w:rsid w:val="00DA7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267">
    <w:name w:val="xl267"/>
    <w:basedOn w:val="Normln"/>
    <w:rsid w:val="00DA77A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i/>
      <w:iCs/>
      <w:sz w:val="24"/>
      <w:szCs w:val="24"/>
      <w:lang w:eastAsia="cs-CZ"/>
    </w:rPr>
  </w:style>
  <w:style w:type="paragraph" w:customStyle="1" w:styleId="xl268">
    <w:name w:val="xl268"/>
    <w:basedOn w:val="Normln"/>
    <w:rsid w:val="00DA77A7"/>
    <w:pPr>
      <w:pBdr>
        <w:top w:val="single" w:sz="4" w:space="0" w:color="auto"/>
        <w:left w:val="single" w:sz="4" w:space="0" w:color="auto"/>
        <w:bottom w:val="single" w:sz="4" w:space="0" w:color="auto"/>
      </w:pBdr>
      <w:spacing w:before="100" w:beforeAutospacing="1" w:after="100" w:afterAutospacing="1" w:line="240" w:lineRule="auto"/>
    </w:pPr>
    <w:rPr>
      <w:rFonts w:ascii="Calibri" w:eastAsia="Times New Roman" w:hAnsi="Calibri" w:cs="Times New Roman"/>
      <w:i/>
      <w:iCs/>
      <w:sz w:val="24"/>
      <w:szCs w:val="24"/>
      <w:lang w:eastAsia="cs-CZ"/>
    </w:rPr>
  </w:style>
  <w:style w:type="paragraph" w:customStyle="1" w:styleId="xl269">
    <w:name w:val="xl269"/>
    <w:basedOn w:val="Normln"/>
    <w:rsid w:val="00DA77A7"/>
    <w:pPr>
      <w:pBdr>
        <w:top w:val="single" w:sz="4" w:space="0" w:color="auto"/>
        <w:left w:val="single" w:sz="8" w:space="0" w:color="auto"/>
        <w:right w:val="single" w:sz="4" w:space="0" w:color="auto"/>
      </w:pBdr>
      <w:spacing w:before="100" w:beforeAutospacing="1" w:after="100" w:afterAutospacing="1" w:line="240" w:lineRule="auto"/>
      <w:jc w:val="center"/>
    </w:pPr>
    <w:rPr>
      <w:rFonts w:ascii="Calibri" w:eastAsia="Times New Roman" w:hAnsi="Calibri" w:cs="Times New Roman"/>
      <w:i/>
      <w:iCs/>
      <w:sz w:val="24"/>
      <w:szCs w:val="24"/>
      <w:lang w:eastAsia="cs-CZ"/>
    </w:rPr>
  </w:style>
  <w:style w:type="paragraph" w:customStyle="1" w:styleId="xl270">
    <w:name w:val="xl270"/>
    <w:basedOn w:val="Normln"/>
    <w:rsid w:val="00DA77A7"/>
    <w:pPr>
      <w:pBdr>
        <w:top w:val="single" w:sz="4" w:space="0" w:color="auto"/>
        <w:left w:val="single" w:sz="4" w:space="0" w:color="auto"/>
      </w:pBdr>
      <w:spacing w:before="100" w:beforeAutospacing="1" w:after="100" w:afterAutospacing="1" w:line="240" w:lineRule="auto"/>
    </w:pPr>
    <w:rPr>
      <w:rFonts w:ascii="Calibri" w:eastAsia="Times New Roman" w:hAnsi="Calibri" w:cs="Times New Roman"/>
      <w:i/>
      <w:iCs/>
      <w:sz w:val="24"/>
      <w:szCs w:val="24"/>
      <w:lang w:eastAsia="cs-CZ"/>
    </w:rPr>
  </w:style>
  <w:style w:type="paragraph" w:customStyle="1" w:styleId="xl271">
    <w:name w:val="xl271"/>
    <w:basedOn w:val="Normln"/>
    <w:rsid w:val="00DA77A7"/>
    <w:pPr>
      <w:pBdr>
        <w:left w:val="single" w:sz="8" w:space="0" w:color="auto"/>
        <w:bottom w:val="single" w:sz="8" w:space="0" w:color="auto"/>
        <w:right w:val="single" w:sz="4" w:space="0" w:color="auto"/>
      </w:pBdr>
      <w:spacing w:before="100" w:beforeAutospacing="1" w:after="100" w:afterAutospacing="1" w:line="240" w:lineRule="auto"/>
      <w:jc w:val="center"/>
    </w:pPr>
    <w:rPr>
      <w:rFonts w:ascii="Calibri" w:eastAsia="Times New Roman" w:hAnsi="Calibri" w:cs="Times New Roman"/>
      <w:i/>
      <w:iCs/>
      <w:sz w:val="24"/>
      <w:szCs w:val="24"/>
      <w:lang w:eastAsia="cs-CZ"/>
    </w:rPr>
  </w:style>
  <w:style w:type="paragraph" w:customStyle="1" w:styleId="xl272">
    <w:name w:val="xl272"/>
    <w:basedOn w:val="Normln"/>
    <w:rsid w:val="00DA77A7"/>
    <w:pPr>
      <w:pBdr>
        <w:left w:val="single" w:sz="4" w:space="0" w:color="auto"/>
        <w:bottom w:val="single" w:sz="8" w:space="0" w:color="auto"/>
      </w:pBdr>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273">
    <w:name w:val="xl273"/>
    <w:basedOn w:val="Normln"/>
    <w:rsid w:val="00DA77A7"/>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i/>
      <w:iCs/>
      <w:sz w:val="24"/>
      <w:szCs w:val="24"/>
      <w:lang w:eastAsia="cs-CZ"/>
    </w:rPr>
  </w:style>
  <w:style w:type="paragraph" w:customStyle="1" w:styleId="xl274">
    <w:name w:val="xl274"/>
    <w:basedOn w:val="Normln"/>
    <w:rsid w:val="00DA77A7"/>
    <w:pPr>
      <w:pBdr>
        <w:left w:val="single" w:sz="8"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sz w:val="19"/>
      <w:szCs w:val="19"/>
      <w:lang w:eastAsia="cs-CZ"/>
    </w:rPr>
  </w:style>
  <w:style w:type="paragraph" w:customStyle="1" w:styleId="xl275">
    <w:name w:val="xl275"/>
    <w:basedOn w:val="Normln"/>
    <w:rsid w:val="00DA77A7"/>
    <w:pPr>
      <w:pBdr>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i/>
      <w:iCs/>
      <w:sz w:val="24"/>
      <w:szCs w:val="24"/>
      <w:lang w:eastAsia="cs-CZ"/>
    </w:rPr>
  </w:style>
  <w:style w:type="paragraph" w:customStyle="1" w:styleId="xl276">
    <w:name w:val="xl276"/>
    <w:basedOn w:val="Normln"/>
    <w:rsid w:val="00DA77A7"/>
    <w:pPr>
      <w:pBdr>
        <w:left w:val="single" w:sz="8" w:space="0" w:color="auto"/>
        <w:bottom w:val="single" w:sz="8" w:space="0" w:color="auto"/>
        <w:right w:val="single" w:sz="4" w:space="0" w:color="auto"/>
      </w:pBdr>
      <w:spacing w:before="100" w:beforeAutospacing="1" w:after="100" w:afterAutospacing="1" w:line="240" w:lineRule="auto"/>
      <w:jc w:val="center"/>
    </w:pPr>
    <w:rPr>
      <w:rFonts w:ascii="Calibri" w:eastAsia="Times New Roman" w:hAnsi="Calibri" w:cs="Times New Roman"/>
      <w:sz w:val="24"/>
      <w:szCs w:val="24"/>
      <w:lang w:eastAsia="cs-CZ"/>
    </w:rPr>
  </w:style>
  <w:style w:type="paragraph" w:customStyle="1" w:styleId="xl277">
    <w:name w:val="xl277"/>
    <w:basedOn w:val="Normln"/>
    <w:rsid w:val="00DA77A7"/>
    <w:pPr>
      <w:pBdr>
        <w:left w:val="single" w:sz="4" w:space="0" w:color="auto"/>
        <w:bottom w:val="single" w:sz="8" w:space="0" w:color="auto"/>
        <w:right w:val="single" w:sz="4" w:space="0" w:color="auto"/>
      </w:pBdr>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278">
    <w:name w:val="xl278"/>
    <w:basedOn w:val="Normln"/>
    <w:rsid w:val="00DA77A7"/>
    <w:pPr>
      <w:pBdr>
        <w:left w:val="single" w:sz="4" w:space="0" w:color="auto"/>
        <w:bottom w:val="single" w:sz="8" w:space="0" w:color="auto"/>
        <w:right w:val="single" w:sz="4" w:space="0" w:color="auto"/>
      </w:pBdr>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279">
    <w:name w:val="xl279"/>
    <w:basedOn w:val="Normln"/>
    <w:rsid w:val="00DA77A7"/>
    <w:pPr>
      <w:pBdr>
        <w:left w:val="single" w:sz="4" w:space="0" w:color="auto"/>
        <w:bottom w:val="single" w:sz="8" w:space="0" w:color="auto"/>
        <w:right w:val="single" w:sz="4" w:space="0" w:color="auto"/>
      </w:pBdr>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280">
    <w:name w:val="xl280"/>
    <w:basedOn w:val="Normln"/>
    <w:rsid w:val="00DA77A7"/>
    <w:pPr>
      <w:pBdr>
        <w:left w:val="single" w:sz="4" w:space="0" w:color="auto"/>
        <w:bottom w:val="single" w:sz="8" w:space="0" w:color="auto"/>
        <w:right w:val="single" w:sz="8" w:space="0" w:color="auto"/>
      </w:pBdr>
      <w:spacing w:before="100" w:beforeAutospacing="1" w:after="100" w:afterAutospacing="1" w:line="240" w:lineRule="auto"/>
      <w:jc w:val="right"/>
    </w:pPr>
    <w:rPr>
      <w:rFonts w:ascii="Calibri" w:eastAsia="Times New Roman" w:hAnsi="Calibri" w:cs="Times New Roman"/>
      <w:sz w:val="24"/>
      <w:szCs w:val="24"/>
      <w:lang w:eastAsia="cs-CZ"/>
    </w:rPr>
  </w:style>
  <w:style w:type="paragraph" w:customStyle="1" w:styleId="xl281">
    <w:name w:val="xl281"/>
    <w:basedOn w:val="Normln"/>
    <w:rsid w:val="00DA77A7"/>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Calibri" w:eastAsia="Times New Roman" w:hAnsi="Calibri" w:cs="Times New Roman"/>
      <w:b/>
      <w:bCs/>
      <w:sz w:val="24"/>
      <w:szCs w:val="24"/>
      <w:lang w:eastAsia="cs-CZ"/>
    </w:rPr>
  </w:style>
  <w:style w:type="paragraph" w:customStyle="1" w:styleId="xl282">
    <w:name w:val="xl282"/>
    <w:basedOn w:val="Normln"/>
    <w:rsid w:val="00DA77A7"/>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right"/>
    </w:pPr>
    <w:rPr>
      <w:rFonts w:ascii="Calibri" w:eastAsia="Times New Roman" w:hAnsi="Calibri" w:cs="Times New Roman"/>
      <w:b/>
      <w:bCs/>
      <w:lang w:eastAsia="cs-CZ"/>
    </w:rPr>
  </w:style>
  <w:style w:type="paragraph" w:customStyle="1" w:styleId="xl283">
    <w:name w:val="xl283"/>
    <w:basedOn w:val="Normln"/>
    <w:rsid w:val="00DA77A7"/>
    <w:pPr>
      <w:spacing w:before="100" w:beforeAutospacing="1" w:after="100" w:afterAutospacing="1" w:line="240" w:lineRule="auto"/>
      <w:jc w:val="right"/>
    </w:pPr>
    <w:rPr>
      <w:rFonts w:ascii="Calibri" w:eastAsia="Times New Roman" w:hAnsi="Calibri" w:cs="Times New Roman"/>
      <w:b/>
      <w:bCs/>
      <w:lang w:eastAsia="cs-CZ"/>
    </w:rPr>
  </w:style>
  <w:style w:type="paragraph" w:customStyle="1" w:styleId="xl284">
    <w:name w:val="xl284"/>
    <w:basedOn w:val="Normln"/>
    <w:rsid w:val="00DA77A7"/>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285">
    <w:name w:val="xl285"/>
    <w:basedOn w:val="Normln"/>
    <w:rsid w:val="00DA77A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Calibri" w:eastAsia="Times New Roman" w:hAnsi="Calibri" w:cs="Times New Roman"/>
      <w:sz w:val="24"/>
      <w:szCs w:val="24"/>
      <w:lang w:eastAsia="cs-CZ"/>
    </w:rPr>
  </w:style>
  <w:style w:type="paragraph" w:customStyle="1" w:styleId="xl286">
    <w:name w:val="xl286"/>
    <w:basedOn w:val="Normln"/>
    <w:rsid w:val="00DA77A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Calibri" w:eastAsia="Times New Roman" w:hAnsi="Calibri" w:cs="Times New Roman"/>
      <w:sz w:val="24"/>
      <w:szCs w:val="24"/>
      <w:lang w:eastAsia="cs-CZ"/>
    </w:rPr>
  </w:style>
  <w:style w:type="paragraph" w:customStyle="1" w:styleId="xl287">
    <w:name w:val="xl287"/>
    <w:basedOn w:val="Normln"/>
    <w:rsid w:val="00DA77A7"/>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288">
    <w:name w:val="xl288"/>
    <w:basedOn w:val="Normln"/>
    <w:rsid w:val="00DA77A7"/>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Calibri" w:eastAsia="Times New Roman" w:hAnsi="Calibri" w:cs="Times New Roman"/>
      <w:b/>
      <w:bCs/>
      <w:lang w:eastAsia="cs-CZ"/>
    </w:rPr>
  </w:style>
  <w:style w:type="paragraph" w:customStyle="1" w:styleId="xl289">
    <w:name w:val="xl289"/>
    <w:basedOn w:val="Normln"/>
    <w:rsid w:val="00DA77A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Calibri" w:eastAsia="Times New Roman" w:hAnsi="Calibri" w:cs="Times New Roman"/>
      <w:b/>
      <w:bCs/>
      <w:lang w:eastAsia="cs-CZ"/>
    </w:rPr>
  </w:style>
  <w:style w:type="paragraph" w:customStyle="1" w:styleId="xl290">
    <w:name w:val="xl290"/>
    <w:basedOn w:val="Normln"/>
    <w:rsid w:val="00DA77A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Calibri" w:eastAsia="Times New Roman" w:hAnsi="Calibri" w:cs="Times New Roman"/>
      <w:b/>
      <w:bCs/>
      <w:lang w:eastAsia="cs-CZ"/>
    </w:rPr>
  </w:style>
  <w:style w:type="paragraph" w:customStyle="1" w:styleId="xl291">
    <w:name w:val="xl291"/>
    <w:basedOn w:val="Normln"/>
    <w:rsid w:val="00DA77A7"/>
    <w:pPr>
      <w:pBdr>
        <w:top w:val="single" w:sz="8" w:space="0" w:color="auto"/>
      </w:pBdr>
      <w:spacing w:before="100" w:beforeAutospacing="1" w:after="100" w:afterAutospacing="1" w:line="240" w:lineRule="auto"/>
      <w:jc w:val="center"/>
    </w:pPr>
    <w:rPr>
      <w:rFonts w:ascii="Calibri" w:eastAsia="Times New Roman" w:hAnsi="Calibri" w:cs="Times New Roman"/>
      <w:b/>
      <w:bCs/>
      <w:sz w:val="24"/>
      <w:szCs w:val="24"/>
      <w:lang w:eastAsia="cs-CZ"/>
    </w:rPr>
  </w:style>
  <w:style w:type="paragraph" w:customStyle="1" w:styleId="xl292">
    <w:name w:val="xl292"/>
    <w:basedOn w:val="Normln"/>
    <w:rsid w:val="00DA77A7"/>
    <w:pPr>
      <w:pBdr>
        <w:top w:val="single" w:sz="8" w:space="0" w:color="auto"/>
      </w:pBdr>
      <w:spacing w:before="100" w:beforeAutospacing="1" w:after="100" w:afterAutospacing="1" w:line="240" w:lineRule="auto"/>
    </w:pPr>
    <w:rPr>
      <w:rFonts w:ascii="Calibri" w:eastAsia="Times New Roman" w:hAnsi="Calibri" w:cs="Times New Roman"/>
      <w:b/>
      <w:bCs/>
      <w:lang w:eastAsia="cs-CZ"/>
    </w:rPr>
  </w:style>
  <w:style w:type="paragraph" w:customStyle="1" w:styleId="xl293">
    <w:name w:val="xl293"/>
    <w:basedOn w:val="Normln"/>
    <w:rsid w:val="00DA77A7"/>
    <w:pPr>
      <w:pBdr>
        <w:top w:val="single" w:sz="8" w:space="0" w:color="auto"/>
      </w:pBdr>
      <w:spacing w:before="100" w:beforeAutospacing="1" w:after="100" w:afterAutospacing="1" w:line="240" w:lineRule="auto"/>
    </w:pPr>
    <w:rPr>
      <w:rFonts w:ascii="Calibri" w:eastAsia="Times New Roman" w:hAnsi="Calibri" w:cs="Times New Roman"/>
      <w:b/>
      <w:bCs/>
      <w:lang w:eastAsia="cs-CZ"/>
    </w:rPr>
  </w:style>
  <w:style w:type="paragraph" w:customStyle="1" w:styleId="xl294">
    <w:name w:val="xl294"/>
    <w:basedOn w:val="Normln"/>
    <w:rsid w:val="00DA77A7"/>
    <w:pPr>
      <w:pBdr>
        <w:top w:val="single" w:sz="8" w:space="0" w:color="auto"/>
      </w:pBdr>
      <w:spacing w:before="100" w:beforeAutospacing="1" w:after="100" w:afterAutospacing="1" w:line="240" w:lineRule="auto"/>
    </w:pPr>
    <w:rPr>
      <w:rFonts w:ascii="Calibri" w:eastAsia="Times New Roman" w:hAnsi="Calibri" w:cs="Times New Roman"/>
      <w:b/>
      <w:bCs/>
      <w:lang w:eastAsia="cs-CZ"/>
    </w:rPr>
  </w:style>
  <w:style w:type="paragraph" w:customStyle="1" w:styleId="xl295">
    <w:name w:val="xl295"/>
    <w:basedOn w:val="Normln"/>
    <w:rsid w:val="00DA77A7"/>
    <w:pPr>
      <w:pBdr>
        <w:top w:val="single" w:sz="8" w:space="0" w:color="auto"/>
      </w:pBdr>
      <w:spacing w:before="100" w:beforeAutospacing="1" w:after="100" w:afterAutospacing="1" w:line="240" w:lineRule="auto"/>
      <w:jc w:val="right"/>
    </w:pPr>
    <w:rPr>
      <w:rFonts w:ascii="Calibri" w:eastAsia="Times New Roman" w:hAnsi="Calibri" w:cs="Times New Roman"/>
      <w:b/>
      <w:bCs/>
      <w:lang w:eastAsia="cs-CZ"/>
    </w:rPr>
  </w:style>
  <w:style w:type="paragraph" w:customStyle="1" w:styleId="xl296">
    <w:name w:val="xl296"/>
    <w:basedOn w:val="Normln"/>
    <w:rsid w:val="00DA77A7"/>
    <w:pPr>
      <w:spacing w:before="100" w:beforeAutospacing="1" w:after="100" w:afterAutospacing="1" w:line="240" w:lineRule="auto"/>
    </w:pPr>
    <w:rPr>
      <w:rFonts w:ascii="Calibri" w:eastAsia="Times New Roman" w:hAnsi="Calibri" w:cs="Times New Roman"/>
      <w:b/>
      <w:bCs/>
      <w:lang w:eastAsia="cs-CZ"/>
    </w:rPr>
  </w:style>
  <w:style w:type="paragraph" w:customStyle="1" w:styleId="xl297">
    <w:name w:val="xl297"/>
    <w:basedOn w:val="Normln"/>
    <w:rsid w:val="00DA77A7"/>
    <w:pPr>
      <w:pBdr>
        <w:top w:val="single" w:sz="8" w:space="0" w:color="auto"/>
        <w:left w:val="single" w:sz="4" w:space="0" w:color="auto"/>
        <w:right w:val="single" w:sz="4" w:space="0" w:color="auto"/>
      </w:pBdr>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298">
    <w:name w:val="xl298"/>
    <w:basedOn w:val="Normln"/>
    <w:rsid w:val="00DA77A7"/>
    <w:pPr>
      <w:pBdr>
        <w:top w:val="single" w:sz="8" w:space="0" w:color="auto"/>
        <w:left w:val="single" w:sz="4" w:space="0" w:color="auto"/>
        <w:right w:val="single" w:sz="4" w:space="0" w:color="auto"/>
      </w:pBdr>
      <w:spacing w:before="100" w:beforeAutospacing="1" w:after="100" w:afterAutospacing="1" w:line="240" w:lineRule="auto"/>
      <w:jc w:val="right"/>
    </w:pPr>
    <w:rPr>
      <w:rFonts w:ascii="Calibri" w:eastAsia="Times New Roman" w:hAnsi="Calibri" w:cs="Times New Roman"/>
      <w:sz w:val="24"/>
      <w:szCs w:val="24"/>
      <w:lang w:eastAsia="cs-CZ"/>
    </w:rPr>
  </w:style>
  <w:style w:type="paragraph" w:customStyle="1" w:styleId="xl299">
    <w:name w:val="xl299"/>
    <w:basedOn w:val="Normln"/>
    <w:rsid w:val="00DA77A7"/>
    <w:pPr>
      <w:pBdr>
        <w:top w:val="single" w:sz="8" w:space="0" w:color="auto"/>
        <w:left w:val="single" w:sz="4" w:space="0" w:color="auto"/>
        <w:right w:val="single" w:sz="8" w:space="0" w:color="auto"/>
      </w:pBdr>
      <w:spacing w:before="100" w:beforeAutospacing="1" w:after="100" w:afterAutospacing="1" w:line="240" w:lineRule="auto"/>
      <w:jc w:val="right"/>
    </w:pPr>
    <w:rPr>
      <w:rFonts w:ascii="Calibri" w:eastAsia="Times New Roman" w:hAnsi="Calibri" w:cs="Times New Roman"/>
      <w:sz w:val="24"/>
      <w:szCs w:val="24"/>
      <w:lang w:eastAsia="cs-CZ"/>
    </w:rPr>
  </w:style>
  <w:style w:type="paragraph" w:customStyle="1" w:styleId="xl300">
    <w:name w:val="xl300"/>
    <w:basedOn w:val="Normln"/>
    <w:rsid w:val="00DA77A7"/>
    <w:pPr>
      <w:pBdr>
        <w:top w:val="single" w:sz="4" w:space="0" w:color="auto"/>
        <w:left w:val="single" w:sz="4" w:space="0" w:color="auto"/>
        <w:right w:val="single" w:sz="4" w:space="0" w:color="auto"/>
      </w:pBdr>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301">
    <w:name w:val="xl301"/>
    <w:basedOn w:val="Normln"/>
    <w:rsid w:val="00DA77A7"/>
    <w:pPr>
      <w:shd w:val="clear" w:color="000000" w:fill="FFFFFF"/>
      <w:spacing w:before="100" w:beforeAutospacing="1" w:after="100" w:afterAutospacing="1" w:line="240" w:lineRule="auto"/>
    </w:pPr>
    <w:rPr>
      <w:rFonts w:ascii="Calibri" w:eastAsia="Times New Roman" w:hAnsi="Calibri" w:cs="Times New Roman"/>
      <w:b/>
      <w:bCs/>
      <w:lang w:eastAsia="cs-CZ"/>
    </w:rPr>
  </w:style>
  <w:style w:type="paragraph" w:customStyle="1" w:styleId="xl302">
    <w:name w:val="xl302"/>
    <w:basedOn w:val="Normln"/>
    <w:rsid w:val="00DA77A7"/>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303">
    <w:name w:val="xl303"/>
    <w:basedOn w:val="Normln"/>
    <w:rsid w:val="00DA77A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sz w:val="19"/>
      <w:szCs w:val="19"/>
      <w:lang w:eastAsia="cs-CZ"/>
    </w:rPr>
  </w:style>
  <w:style w:type="paragraph" w:customStyle="1" w:styleId="xl304">
    <w:name w:val="xl304"/>
    <w:basedOn w:val="Normln"/>
    <w:rsid w:val="00DA7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i/>
      <w:iCs/>
      <w:sz w:val="24"/>
      <w:szCs w:val="24"/>
      <w:lang w:eastAsia="cs-CZ"/>
    </w:rPr>
  </w:style>
  <w:style w:type="paragraph" w:customStyle="1" w:styleId="xl305">
    <w:name w:val="xl305"/>
    <w:basedOn w:val="Normln"/>
    <w:rsid w:val="00DA7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Calibri" w:eastAsia="Times New Roman" w:hAnsi="Calibri" w:cs="Times New Roman"/>
      <w:i/>
      <w:iCs/>
      <w:sz w:val="24"/>
      <w:szCs w:val="24"/>
      <w:lang w:eastAsia="cs-CZ"/>
    </w:rPr>
  </w:style>
  <w:style w:type="paragraph" w:customStyle="1" w:styleId="xl306">
    <w:name w:val="xl306"/>
    <w:basedOn w:val="Normln"/>
    <w:rsid w:val="00DA7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Calibri" w:eastAsia="Times New Roman" w:hAnsi="Calibri" w:cs="Times New Roman"/>
      <w:i/>
      <w:iCs/>
      <w:sz w:val="24"/>
      <w:szCs w:val="24"/>
      <w:lang w:eastAsia="cs-CZ"/>
    </w:rPr>
  </w:style>
  <w:style w:type="paragraph" w:customStyle="1" w:styleId="xl307">
    <w:name w:val="xl307"/>
    <w:basedOn w:val="Normln"/>
    <w:rsid w:val="00DA77A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Calibri" w:eastAsia="Times New Roman" w:hAnsi="Calibri" w:cs="Times New Roman"/>
      <w:i/>
      <w:iCs/>
      <w:sz w:val="24"/>
      <w:szCs w:val="24"/>
      <w:lang w:eastAsia="cs-CZ"/>
    </w:rPr>
  </w:style>
  <w:style w:type="paragraph" w:customStyle="1" w:styleId="xl308">
    <w:name w:val="xl308"/>
    <w:basedOn w:val="Normln"/>
    <w:rsid w:val="00DA77A7"/>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Calibri" w:eastAsia="Times New Roman" w:hAnsi="Calibri" w:cs="Times New Roman"/>
      <w:i/>
      <w:iCs/>
      <w:sz w:val="24"/>
      <w:szCs w:val="24"/>
      <w:lang w:eastAsia="cs-CZ"/>
    </w:rPr>
  </w:style>
  <w:style w:type="paragraph" w:customStyle="1" w:styleId="xl309">
    <w:name w:val="xl309"/>
    <w:basedOn w:val="Normln"/>
    <w:rsid w:val="00DA77A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Calibri" w:eastAsia="Times New Roman" w:hAnsi="Calibri" w:cs="Times New Roman"/>
      <w:i/>
      <w:iCs/>
      <w:sz w:val="24"/>
      <w:szCs w:val="24"/>
      <w:lang w:eastAsia="cs-CZ"/>
    </w:rPr>
  </w:style>
  <w:style w:type="paragraph" w:customStyle="1" w:styleId="xl310">
    <w:name w:val="xl310"/>
    <w:basedOn w:val="Normln"/>
    <w:rsid w:val="00DA77A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Calibri" w:eastAsia="Times New Roman" w:hAnsi="Calibri" w:cs="Times New Roman"/>
      <w:i/>
      <w:iCs/>
      <w:sz w:val="24"/>
      <w:szCs w:val="24"/>
      <w:lang w:eastAsia="cs-CZ"/>
    </w:rPr>
  </w:style>
  <w:style w:type="paragraph" w:customStyle="1" w:styleId="xl311">
    <w:name w:val="xl311"/>
    <w:basedOn w:val="Normln"/>
    <w:rsid w:val="00DA77A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right"/>
    </w:pPr>
    <w:rPr>
      <w:rFonts w:ascii="Calibri" w:eastAsia="Times New Roman" w:hAnsi="Calibri" w:cs="Times New Roman"/>
      <w:i/>
      <w:iCs/>
      <w:sz w:val="24"/>
      <w:szCs w:val="24"/>
      <w:lang w:eastAsia="cs-CZ"/>
    </w:rPr>
  </w:style>
  <w:style w:type="paragraph" w:customStyle="1" w:styleId="xl312">
    <w:name w:val="xl312"/>
    <w:basedOn w:val="Normln"/>
    <w:rsid w:val="00DA77A7"/>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Calibri" w:eastAsia="Times New Roman" w:hAnsi="Calibri" w:cs="Times New Roman"/>
      <w:i/>
      <w:iCs/>
      <w:sz w:val="24"/>
      <w:szCs w:val="24"/>
      <w:lang w:eastAsia="cs-CZ"/>
    </w:rPr>
  </w:style>
  <w:style w:type="paragraph" w:customStyle="1" w:styleId="xl313">
    <w:name w:val="xl313"/>
    <w:basedOn w:val="Normln"/>
    <w:rsid w:val="00DA77A7"/>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Calibri" w:eastAsia="Times New Roman" w:hAnsi="Calibri" w:cs="Times New Roman"/>
      <w:i/>
      <w:iCs/>
      <w:sz w:val="24"/>
      <w:szCs w:val="24"/>
      <w:lang w:eastAsia="cs-CZ"/>
    </w:rPr>
  </w:style>
  <w:style w:type="paragraph" w:customStyle="1" w:styleId="xl314">
    <w:name w:val="xl314"/>
    <w:basedOn w:val="Normln"/>
    <w:rsid w:val="00DA77A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Calibri" w:eastAsia="Times New Roman" w:hAnsi="Calibri" w:cs="Times New Roman"/>
      <w:sz w:val="24"/>
      <w:szCs w:val="24"/>
      <w:lang w:eastAsia="cs-CZ"/>
    </w:rPr>
  </w:style>
  <w:style w:type="paragraph" w:customStyle="1" w:styleId="xl315">
    <w:name w:val="xl315"/>
    <w:basedOn w:val="Normln"/>
    <w:rsid w:val="00DA77A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Calibri" w:eastAsia="Times New Roman" w:hAnsi="Calibri" w:cs="Times New Roman"/>
      <w:sz w:val="24"/>
      <w:szCs w:val="24"/>
      <w:lang w:eastAsia="cs-CZ"/>
    </w:rPr>
  </w:style>
  <w:style w:type="paragraph" w:customStyle="1" w:styleId="xl316">
    <w:name w:val="xl316"/>
    <w:basedOn w:val="Normln"/>
    <w:rsid w:val="00DA77A7"/>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right"/>
    </w:pPr>
    <w:rPr>
      <w:rFonts w:ascii="Calibri" w:eastAsia="Times New Roman" w:hAnsi="Calibri" w:cs="Times New Roman"/>
      <w:sz w:val="24"/>
      <w:szCs w:val="24"/>
      <w:lang w:eastAsia="cs-CZ"/>
    </w:rPr>
  </w:style>
  <w:style w:type="paragraph" w:customStyle="1" w:styleId="xl317">
    <w:name w:val="xl317"/>
    <w:basedOn w:val="Normln"/>
    <w:rsid w:val="00DA77A7"/>
    <w:pPr>
      <w:pBdr>
        <w:left w:val="single" w:sz="8"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sz w:val="24"/>
      <w:szCs w:val="24"/>
      <w:lang w:eastAsia="cs-CZ"/>
    </w:rPr>
  </w:style>
  <w:style w:type="paragraph" w:customStyle="1" w:styleId="xl318">
    <w:name w:val="xl318"/>
    <w:basedOn w:val="Normln"/>
    <w:rsid w:val="00DA77A7"/>
    <w:pPr>
      <w:pBdr>
        <w:top w:val="single" w:sz="4" w:space="0" w:color="auto"/>
        <w:left w:val="single" w:sz="4" w:space="0" w:color="auto"/>
        <w:bottom w:val="single" w:sz="4" w:space="0" w:color="auto"/>
      </w:pBdr>
      <w:spacing w:before="100" w:beforeAutospacing="1" w:after="100" w:afterAutospacing="1" w:line="240" w:lineRule="auto"/>
    </w:pPr>
    <w:rPr>
      <w:rFonts w:ascii="Calibri" w:eastAsia="Times New Roman" w:hAnsi="Calibri" w:cs="Times New Roman"/>
      <w:i/>
      <w:iCs/>
      <w:sz w:val="24"/>
      <w:szCs w:val="24"/>
      <w:lang w:eastAsia="cs-CZ"/>
    </w:rPr>
  </w:style>
  <w:style w:type="paragraph" w:customStyle="1" w:styleId="xl319">
    <w:name w:val="xl319"/>
    <w:basedOn w:val="Normln"/>
    <w:rsid w:val="00DA77A7"/>
    <w:pPr>
      <w:pBdr>
        <w:top w:val="single" w:sz="4" w:space="0" w:color="auto"/>
        <w:left w:val="single" w:sz="8" w:space="0" w:color="auto"/>
        <w:right w:val="single" w:sz="4" w:space="0" w:color="auto"/>
      </w:pBdr>
      <w:spacing w:before="100" w:beforeAutospacing="1" w:after="100" w:afterAutospacing="1" w:line="240" w:lineRule="auto"/>
      <w:jc w:val="center"/>
    </w:pPr>
    <w:rPr>
      <w:rFonts w:ascii="Calibri" w:eastAsia="Times New Roman" w:hAnsi="Calibri" w:cs="Times New Roman"/>
      <w:i/>
      <w:iCs/>
      <w:sz w:val="24"/>
      <w:szCs w:val="24"/>
      <w:lang w:eastAsia="cs-CZ"/>
    </w:rPr>
  </w:style>
  <w:style w:type="paragraph" w:customStyle="1" w:styleId="xl320">
    <w:name w:val="xl320"/>
    <w:basedOn w:val="Normln"/>
    <w:rsid w:val="00DA77A7"/>
    <w:pPr>
      <w:pBdr>
        <w:top w:val="single" w:sz="4" w:space="0" w:color="auto"/>
        <w:left w:val="single" w:sz="4" w:space="0" w:color="auto"/>
        <w:right w:val="single" w:sz="4" w:space="0" w:color="auto"/>
      </w:pBdr>
      <w:spacing w:before="100" w:beforeAutospacing="1" w:after="100" w:afterAutospacing="1" w:line="240" w:lineRule="auto"/>
    </w:pPr>
    <w:rPr>
      <w:rFonts w:ascii="Calibri" w:eastAsia="Times New Roman" w:hAnsi="Calibri" w:cs="Times New Roman"/>
      <w:i/>
      <w:iCs/>
      <w:sz w:val="24"/>
      <w:szCs w:val="24"/>
      <w:lang w:eastAsia="cs-CZ"/>
    </w:rPr>
  </w:style>
  <w:style w:type="paragraph" w:customStyle="1" w:styleId="xl321">
    <w:name w:val="xl321"/>
    <w:basedOn w:val="Normln"/>
    <w:rsid w:val="00DA77A7"/>
    <w:pPr>
      <w:pBdr>
        <w:top w:val="single" w:sz="4" w:space="0" w:color="auto"/>
        <w:left w:val="single" w:sz="4" w:space="0" w:color="auto"/>
        <w:right w:val="single" w:sz="4" w:space="0" w:color="auto"/>
      </w:pBdr>
      <w:spacing w:before="100" w:beforeAutospacing="1" w:after="100" w:afterAutospacing="1" w:line="240" w:lineRule="auto"/>
      <w:jc w:val="right"/>
    </w:pPr>
    <w:rPr>
      <w:rFonts w:ascii="Calibri" w:eastAsia="Times New Roman" w:hAnsi="Calibri" w:cs="Times New Roman"/>
      <w:i/>
      <w:iCs/>
      <w:sz w:val="24"/>
      <w:szCs w:val="24"/>
      <w:lang w:eastAsia="cs-CZ"/>
    </w:rPr>
  </w:style>
  <w:style w:type="paragraph" w:customStyle="1" w:styleId="xl322">
    <w:name w:val="xl322"/>
    <w:basedOn w:val="Normln"/>
    <w:rsid w:val="00DA77A7"/>
    <w:pPr>
      <w:pBdr>
        <w:top w:val="single" w:sz="4" w:space="0" w:color="auto"/>
        <w:left w:val="single" w:sz="4" w:space="0" w:color="auto"/>
        <w:right w:val="single" w:sz="8" w:space="0" w:color="auto"/>
      </w:pBdr>
      <w:spacing w:before="100" w:beforeAutospacing="1" w:after="100" w:afterAutospacing="1" w:line="240" w:lineRule="auto"/>
      <w:jc w:val="right"/>
    </w:pPr>
    <w:rPr>
      <w:rFonts w:ascii="Calibri" w:eastAsia="Times New Roman" w:hAnsi="Calibri" w:cs="Times New Roman"/>
      <w:i/>
      <w:iCs/>
      <w:sz w:val="24"/>
      <w:szCs w:val="24"/>
      <w:lang w:eastAsia="cs-CZ"/>
    </w:rPr>
  </w:style>
  <w:style w:type="paragraph" w:customStyle="1" w:styleId="xl323">
    <w:name w:val="xl323"/>
    <w:basedOn w:val="Normln"/>
    <w:rsid w:val="00DA77A7"/>
    <w:pPr>
      <w:pBdr>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324">
    <w:name w:val="xl324"/>
    <w:basedOn w:val="Normln"/>
    <w:rsid w:val="00DA77A7"/>
    <w:pPr>
      <w:pBdr>
        <w:left w:val="single" w:sz="8" w:space="0" w:color="auto"/>
        <w:right w:val="single" w:sz="4" w:space="0" w:color="auto"/>
      </w:pBdr>
      <w:spacing w:before="100" w:beforeAutospacing="1" w:after="100" w:afterAutospacing="1" w:line="240" w:lineRule="auto"/>
      <w:jc w:val="center"/>
    </w:pPr>
    <w:rPr>
      <w:rFonts w:ascii="Calibri" w:eastAsia="Times New Roman" w:hAnsi="Calibri" w:cs="Times New Roman"/>
      <w:sz w:val="24"/>
      <w:szCs w:val="24"/>
      <w:lang w:eastAsia="cs-CZ"/>
    </w:rPr>
  </w:style>
  <w:style w:type="paragraph" w:customStyle="1" w:styleId="xl325">
    <w:name w:val="xl325"/>
    <w:basedOn w:val="Normln"/>
    <w:rsid w:val="00DA77A7"/>
    <w:pPr>
      <w:pBdr>
        <w:left w:val="single" w:sz="4" w:space="0" w:color="auto"/>
        <w:right w:val="single" w:sz="4" w:space="0" w:color="auto"/>
      </w:pBdr>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326">
    <w:name w:val="xl326"/>
    <w:basedOn w:val="Normln"/>
    <w:rsid w:val="00DA77A7"/>
    <w:pPr>
      <w:pBdr>
        <w:left w:val="single" w:sz="4" w:space="0" w:color="auto"/>
        <w:right w:val="single" w:sz="4" w:space="0" w:color="auto"/>
      </w:pBdr>
      <w:spacing w:before="100" w:beforeAutospacing="1" w:after="100" w:afterAutospacing="1" w:line="240" w:lineRule="auto"/>
      <w:jc w:val="right"/>
    </w:pPr>
    <w:rPr>
      <w:rFonts w:ascii="Calibri" w:eastAsia="Times New Roman" w:hAnsi="Calibri" w:cs="Times New Roman"/>
      <w:sz w:val="24"/>
      <w:szCs w:val="24"/>
      <w:lang w:eastAsia="cs-CZ"/>
    </w:rPr>
  </w:style>
  <w:style w:type="paragraph" w:customStyle="1" w:styleId="xl327">
    <w:name w:val="xl327"/>
    <w:basedOn w:val="Normln"/>
    <w:rsid w:val="00DA77A7"/>
    <w:pPr>
      <w:pBdr>
        <w:left w:val="single" w:sz="4" w:space="0" w:color="auto"/>
        <w:right w:val="single" w:sz="4" w:space="0" w:color="auto"/>
      </w:pBdr>
      <w:spacing w:before="100" w:beforeAutospacing="1" w:after="100" w:afterAutospacing="1" w:line="240" w:lineRule="auto"/>
      <w:jc w:val="right"/>
    </w:pPr>
    <w:rPr>
      <w:rFonts w:ascii="Calibri" w:eastAsia="Times New Roman" w:hAnsi="Calibri" w:cs="Times New Roman"/>
      <w:sz w:val="24"/>
      <w:szCs w:val="24"/>
      <w:lang w:eastAsia="cs-CZ"/>
    </w:rPr>
  </w:style>
  <w:style w:type="paragraph" w:customStyle="1" w:styleId="xl328">
    <w:name w:val="xl328"/>
    <w:basedOn w:val="Normln"/>
    <w:rsid w:val="00DA77A7"/>
    <w:pPr>
      <w:pBdr>
        <w:left w:val="single" w:sz="4" w:space="0" w:color="auto"/>
        <w:right w:val="single" w:sz="8" w:space="0" w:color="auto"/>
      </w:pBdr>
      <w:spacing w:before="100" w:beforeAutospacing="1" w:after="100" w:afterAutospacing="1" w:line="240" w:lineRule="auto"/>
      <w:jc w:val="right"/>
    </w:pPr>
    <w:rPr>
      <w:rFonts w:ascii="Calibri" w:eastAsia="Times New Roman" w:hAnsi="Calibri" w:cs="Times New Roman"/>
      <w:sz w:val="24"/>
      <w:szCs w:val="24"/>
      <w:lang w:eastAsia="cs-CZ"/>
    </w:rPr>
  </w:style>
  <w:style w:type="paragraph" w:customStyle="1" w:styleId="xl329">
    <w:name w:val="xl329"/>
    <w:basedOn w:val="Normln"/>
    <w:rsid w:val="00DA77A7"/>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330">
    <w:name w:val="xl330"/>
    <w:basedOn w:val="Normln"/>
    <w:rsid w:val="00DA77A7"/>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331">
    <w:name w:val="xl331"/>
    <w:basedOn w:val="Normln"/>
    <w:rsid w:val="00DA77A7"/>
    <w:pPr>
      <w:pBdr>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332">
    <w:name w:val="xl332"/>
    <w:basedOn w:val="Normln"/>
    <w:rsid w:val="00DA7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333">
    <w:name w:val="xl333"/>
    <w:basedOn w:val="Normln"/>
    <w:rsid w:val="00DA7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334">
    <w:name w:val="xl334"/>
    <w:basedOn w:val="Normln"/>
    <w:rsid w:val="00DA77A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right"/>
    </w:pPr>
    <w:rPr>
      <w:rFonts w:ascii="Calibri" w:eastAsia="Times New Roman" w:hAnsi="Calibri" w:cs="Times New Roman"/>
      <w:b/>
      <w:bCs/>
      <w:lang w:eastAsia="cs-CZ"/>
    </w:rPr>
  </w:style>
  <w:style w:type="paragraph" w:customStyle="1" w:styleId="xl335">
    <w:name w:val="xl335"/>
    <w:basedOn w:val="Normln"/>
    <w:rsid w:val="00DA77A7"/>
    <w:pPr>
      <w:shd w:val="clear" w:color="000000" w:fill="FFFFFF"/>
      <w:spacing w:before="100" w:beforeAutospacing="1" w:after="100" w:afterAutospacing="1" w:line="240" w:lineRule="auto"/>
    </w:pPr>
    <w:rPr>
      <w:rFonts w:ascii="Calibri" w:eastAsia="Times New Roman" w:hAnsi="Calibri" w:cs="Times New Roman"/>
      <w:b/>
      <w:bCs/>
      <w:lang w:eastAsia="cs-CZ"/>
    </w:rPr>
  </w:style>
  <w:style w:type="paragraph" w:customStyle="1" w:styleId="xl336">
    <w:name w:val="xl336"/>
    <w:basedOn w:val="Normln"/>
    <w:rsid w:val="00DA77A7"/>
    <w:pPr>
      <w:shd w:val="clear" w:color="000000" w:fill="FFFFFF"/>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337">
    <w:name w:val="xl337"/>
    <w:basedOn w:val="Normln"/>
    <w:rsid w:val="00DA77A7"/>
    <w:pPr>
      <w:shd w:val="clear" w:color="000000" w:fill="FFFFFF"/>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338">
    <w:name w:val="xl338"/>
    <w:basedOn w:val="Normln"/>
    <w:rsid w:val="00DA77A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339">
    <w:name w:val="xl339"/>
    <w:basedOn w:val="Normln"/>
    <w:rsid w:val="00DA7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340">
    <w:name w:val="xl340"/>
    <w:basedOn w:val="Normln"/>
    <w:rsid w:val="00DA7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341">
    <w:name w:val="xl341"/>
    <w:basedOn w:val="Normln"/>
    <w:rsid w:val="00DA7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342">
    <w:name w:val="xl342"/>
    <w:basedOn w:val="Normln"/>
    <w:rsid w:val="00DA7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343">
    <w:name w:val="xl343"/>
    <w:basedOn w:val="Normln"/>
    <w:rsid w:val="00DA77A7"/>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344">
    <w:name w:val="xl344"/>
    <w:basedOn w:val="Normln"/>
    <w:rsid w:val="00DA77A7"/>
    <w:pPr>
      <w:pBdr>
        <w:left w:val="single" w:sz="8" w:space="0" w:color="auto"/>
        <w:right w:val="single" w:sz="4" w:space="0" w:color="auto"/>
      </w:pBdr>
      <w:spacing w:before="100" w:beforeAutospacing="1" w:after="100" w:afterAutospacing="1" w:line="240" w:lineRule="auto"/>
      <w:jc w:val="center"/>
    </w:pPr>
    <w:rPr>
      <w:rFonts w:ascii="Calibri" w:eastAsia="Times New Roman" w:hAnsi="Calibri" w:cs="Times New Roman"/>
      <w:sz w:val="24"/>
      <w:szCs w:val="24"/>
      <w:lang w:eastAsia="cs-CZ"/>
    </w:rPr>
  </w:style>
  <w:style w:type="paragraph" w:customStyle="1" w:styleId="xl345">
    <w:name w:val="xl345"/>
    <w:basedOn w:val="Normln"/>
    <w:rsid w:val="00DA77A7"/>
    <w:pPr>
      <w:pBdr>
        <w:left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346">
    <w:name w:val="xl346"/>
    <w:basedOn w:val="Normln"/>
    <w:rsid w:val="00DA77A7"/>
    <w:pPr>
      <w:pBdr>
        <w:left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347">
    <w:name w:val="xl347"/>
    <w:basedOn w:val="Normln"/>
    <w:rsid w:val="00DA77A7"/>
    <w:pPr>
      <w:pBdr>
        <w:left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348">
    <w:name w:val="xl348"/>
    <w:basedOn w:val="Normln"/>
    <w:rsid w:val="00DA77A7"/>
    <w:pPr>
      <w:pBdr>
        <w:left w:val="single" w:sz="4" w:space="0" w:color="auto"/>
        <w:right w:val="single" w:sz="8" w:space="0" w:color="auto"/>
      </w:pBdr>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349">
    <w:name w:val="xl349"/>
    <w:basedOn w:val="Normln"/>
    <w:rsid w:val="00DA77A7"/>
    <w:pPr>
      <w:pBdr>
        <w:top w:val="single" w:sz="8" w:space="0" w:color="auto"/>
        <w:left w:val="single" w:sz="8" w:space="0" w:color="auto"/>
        <w:right w:val="single" w:sz="4" w:space="0" w:color="auto"/>
      </w:pBdr>
      <w:spacing w:before="100" w:beforeAutospacing="1" w:after="100" w:afterAutospacing="1" w:line="240" w:lineRule="auto"/>
      <w:jc w:val="center"/>
    </w:pPr>
    <w:rPr>
      <w:rFonts w:ascii="Calibri" w:eastAsia="Times New Roman" w:hAnsi="Calibri" w:cs="Times New Roman"/>
      <w:i/>
      <w:iCs/>
      <w:sz w:val="24"/>
      <w:szCs w:val="24"/>
      <w:lang w:eastAsia="cs-CZ"/>
    </w:rPr>
  </w:style>
  <w:style w:type="paragraph" w:customStyle="1" w:styleId="xl350">
    <w:name w:val="xl350"/>
    <w:basedOn w:val="Normln"/>
    <w:rsid w:val="00DA77A7"/>
    <w:pPr>
      <w:pBdr>
        <w:left w:val="single" w:sz="8"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b/>
      <w:bCs/>
      <w:sz w:val="24"/>
      <w:szCs w:val="24"/>
      <w:lang w:eastAsia="cs-CZ"/>
    </w:rPr>
  </w:style>
  <w:style w:type="paragraph" w:customStyle="1" w:styleId="xl351">
    <w:name w:val="xl351"/>
    <w:basedOn w:val="Normln"/>
    <w:rsid w:val="00DA77A7"/>
    <w:pPr>
      <w:pBdr>
        <w:top w:val="single" w:sz="4" w:space="0" w:color="auto"/>
        <w:left w:val="single" w:sz="4" w:space="0" w:color="auto"/>
        <w:bottom w:val="single" w:sz="4" w:space="0" w:color="auto"/>
      </w:pBdr>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352">
    <w:name w:val="xl352"/>
    <w:basedOn w:val="Normln"/>
    <w:rsid w:val="00DA77A7"/>
    <w:pPr>
      <w:pBdr>
        <w:top w:val="single" w:sz="4" w:space="0" w:color="auto"/>
        <w:bottom w:val="single" w:sz="4" w:space="0" w:color="auto"/>
      </w:pBdr>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353">
    <w:name w:val="xl353"/>
    <w:basedOn w:val="Normln"/>
    <w:rsid w:val="00DA77A7"/>
    <w:pPr>
      <w:pBdr>
        <w:top w:val="single" w:sz="4" w:space="0" w:color="auto"/>
        <w:bottom w:val="single" w:sz="4" w:space="0" w:color="auto"/>
        <w:right w:val="single" w:sz="8" w:space="0" w:color="auto"/>
      </w:pBdr>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354">
    <w:name w:val="xl354"/>
    <w:basedOn w:val="Normln"/>
    <w:rsid w:val="00DA77A7"/>
    <w:pPr>
      <w:spacing w:before="100" w:beforeAutospacing="1" w:after="100" w:afterAutospacing="1" w:line="240" w:lineRule="auto"/>
      <w:jc w:val="center"/>
      <w:textAlignment w:val="center"/>
    </w:pPr>
    <w:rPr>
      <w:rFonts w:ascii="Calibri" w:eastAsia="Times New Roman" w:hAnsi="Calibri" w:cs="Times New Roman"/>
      <w:b/>
      <w:bCs/>
      <w:sz w:val="28"/>
      <w:szCs w:val="28"/>
      <w:lang w:eastAsia="cs-CZ"/>
    </w:rPr>
  </w:style>
  <w:style w:type="paragraph" w:customStyle="1" w:styleId="xl355">
    <w:name w:val="xl355"/>
    <w:basedOn w:val="Normln"/>
    <w:rsid w:val="00DA77A7"/>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cs-CZ"/>
    </w:rPr>
  </w:style>
  <w:style w:type="paragraph" w:customStyle="1" w:styleId="xl356">
    <w:name w:val="xl356"/>
    <w:basedOn w:val="Normln"/>
    <w:rsid w:val="00DA77A7"/>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357">
    <w:name w:val="xl357"/>
    <w:basedOn w:val="Normln"/>
    <w:rsid w:val="00DA77A7"/>
    <w:pPr>
      <w:pBdr>
        <w:top w:val="single" w:sz="4" w:space="0" w:color="auto"/>
        <w:bottom w:val="single" w:sz="4" w:space="0" w:color="auto"/>
      </w:pBdr>
      <w:shd w:val="clear" w:color="000000" w:fill="FFFFFF"/>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358">
    <w:name w:val="xl358"/>
    <w:basedOn w:val="Normln"/>
    <w:rsid w:val="00DA77A7"/>
    <w:pPr>
      <w:pBdr>
        <w:top w:val="single" w:sz="4" w:space="0" w:color="auto"/>
        <w:bottom w:val="single" w:sz="4" w:space="0" w:color="auto"/>
        <w:right w:val="single" w:sz="8" w:space="0" w:color="auto"/>
      </w:pBdr>
      <w:shd w:val="clear" w:color="000000" w:fill="FFFFFF"/>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359">
    <w:name w:val="xl359"/>
    <w:basedOn w:val="Normln"/>
    <w:rsid w:val="00DA77A7"/>
    <w:pPr>
      <w:spacing w:before="100" w:beforeAutospacing="1" w:after="100" w:afterAutospacing="1" w:line="240" w:lineRule="auto"/>
      <w:textAlignment w:val="center"/>
    </w:pPr>
    <w:rPr>
      <w:rFonts w:ascii="Calibri" w:eastAsia="Times New Roman" w:hAnsi="Calibri" w:cs="Times New Roman"/>
      <w:b/>
      <w:bCs/>
      <w:lang w:eastAsia="cs-CZ"/>
    </w:rPr>
  </w:style>
  <w:style w:type="paragraph" w:customStyle="1" w:styleId="xl360">
    <w:name w:val="xl360"/>
    <w:basedOn w:val="Normln"/>
    <w:rsid w:val="00DA77A7"/>
    <w:pPr>
      <w:spacing w:before="100" w:beforeAutospacing="1" w:after="100" w:afterAutospacing="1" w:line="240" w:lineRule="auto"/>
      <w:textAlignment w:val="center"/>
    </w:pPr>
    <w:rPr>
      <w:rFonts w:ascii="Calibri" w:eastAsia="Times New Roman" w:hAnsi="Calibri" w:cs="Times New Roman"/>
      <w:lang w:eastAsia="cs-CZ"/>
    </w:rPr>
  </w:style>
  <w:style w:type="paragraph" w:customStyle="1" w:styleId="xl361">
    <w:name w:val="xl361"/>
    <w:basedOn w:val="Normln"/>
    <w:rsid w:val="00DA77A7"/>
    <w:pPr>
      <w:pBdr>
        <w:top w:val="single" w:sz="4" w:space="0" w:color="auto"/>
        <w:left w:val="single" w:sz="4" w:space="0" w:color="auto"/>
        <w:bottom w:val="single" w:sz="4" w:space="0" w:color="auto"/>
      </w:pBdr>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362">
    <w:name w:val="xl362"/>
    <w:basedOn w:val="Normln"/>
    <w:rsid w:val="00DA77A7"/>
    <w:pPr>
      <w:pBdr>
        <w:top w:val="single" w:sz="4" w:space="0" w:color="auto"/>
        <w:bottom w:val="single" w:sz="4" w:space="0" w:color="auto"/>
      </w:pBdr>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363">
    <w:name w:val="xl363"/>
    <w:basedOn w:val="Normln"/>
    <w:rsid w:val="00DA77A7"/>
    <w:pPr>
      <w:pBdr>
        <w:top w:val="single" w:sz="4" w:space="0" w:color="auto"/>
        <w:bottom w:val="single" w:sz="4" w:space="0" w:color="auto"/>
        <w:right w:val="single" w:sz="8" w:space="0" w:color="auto"/>
      </w:pBdr>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364">
    <w:name w:val="xl364"/>
    <w:basedOn w:val="Normln"/>
    <w:rsid w:val="00DA77A7"/>
    <w:pPr>
      <w:pBdr>
        <w:top w:val="single" w:sz="4" w:space="0" w:color="auto"/>
        <w:left w:val="single" w:sz="4" w:space="0" w:color="auto"/>
        <w:bottom w:val="single" w:sz="4" w:space="0" w:color="auto"/>
      </w:pBdr>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365">
    <w:name w:val="xl365"/>
    <w:basedOn w:val="Normln"/>
    <w:rsid w:val="00DA77A7"/>
    <w:pPr>
      <w:pBdr>
        <w:top w:val="single" w:sz="4" w:space="0" w:color="auto"/>
        <w:bottom w:val="single" w:sz="4" w:space="0" w:color="auto"/>
      </w:pBdr>
      <w:spacing w:before="100" w:beforeAutospacing="1" w:after="100" w:afterAutospacing="1" w:line="240" w:lineRule="auto"/>
    </w:pPr>
    <w:rPr>
      <w:rFonts w:ascii="Calibri" w:eastAsia="Times New Roman" w:hAnsi="Calibri" w:cs="Times New Roman"/>
      <w:sz w:val="24"/>
      <w:szCs w:val="24"/>
      <w:lang w:eastAsia="cs-CZ"/>
    </w:rPr>
  </w:style>
  <w:style w:type="paragraph" w:customStyle="1" w:styleId="xl366">
    <w:name w:val="xl366"/>
    <w:basedOn w:val="Normln"/>
    <w:rsid w:val="00DA77A7"/>
    <w:pPr>
      <w:pBdr>
        <w:top w:val="single" w:sz="4" w:space="0" w:color="auto"/>
        <w:bottom w:val="single" w:sz="4" w:space="0" w:color="auto"/>
        <w:right w:val="single" w:sz="8" w:space="0" w:color="auto"/>
      </w:pBdr>
      <w:spacing w:before="100" w:beforeAutospacing="1" w:after="100" w:afterAutospacing="1" w:line="240" w:lineRule="auto"/>
    </w:pPr>
    <w:rPr>
      <w:rFonts w:ascii="Calibri" w:eastAsia="Times New Roman" w:hAnsi="Calibri" w:cs="Times New Roman"/>
      <w:sz w:val="24"/>
      <w:szCs w:val="24"/>
      <w:lang w:eastAsia="cs-CZ"/>
    </w:rPr>
  </w:style>
  <w:style w:type="paragraph" w:styleId="Zkladntext">
    <w:name w:val="Body Text"/>
    <w:basedOn w:val="Normln"/>
    <w:link w:val="ZkladntextChar"/>
    <w:rsid w:val="00037318"/>
    <w:pPr>
      <w:suppressAutoHyphens/>
      <w:spacing w:after="120" w:line="240" w:lineRule="auto"/>
    </w:pPr>
    <w:rPr>
      <w:rFonts w:ascii="Times New Roman" w:eastAsia="Times New Roman" w:hAnsi="Times New Roman" w:cs="Times New Roman"/>
      <w:sz w:val="24"/>
      <w:szCs w:val="24"/>
      <w:lang w:eastAsia="ar-SA"/>
    </w:rPr>
  </w:style>
  <w:style w:type="character" w:customStyle="1" w:styleId="ZkladntextChar">
    <w:name w:val="Základní text Char"/>
    <w:basedOn w:val="Standardnpsmoodstavce"/>
    <w:link w:val="Zkladntext"/>
    <w:rsid w:val="00037318"/>
    <w:rPr>
      <w:rFonts w:ascii="Times New Roman" w:eastAsia="Times New Roman" w:hAnsi="Times New Roman" w:cs="Times New Roman"/>
      <w:sz w:val="24"/>
      <w:szCs w:val="24"/>
      <w:lang w:eastAsia="ar-SA"/>
    </w:rPr>
  </w:style>
  <w:style w:type="paragraph" w:styleId="Odstavecseseznamem">
    <w:name w:val="List Paragraph"/>
    <w:aliases w:val="nad 1,Odstavec_muj"/>
    <w:basedOn w:val="Normln"/>
    <w:link w:val="OdstavecseseznamemChar"/>
    <w:uiPriority w:val="99"/>
    <w:qFormat/>
    <w:rsid w:val="00ED51F3"/>
    <w:pPr>
      <w:spacing w:after="0" w:line="240" w:lineRule="auto"/>
      <w:ind w:left="708"/>
    </w:pPr>
    <w:rPr>
      <w:rFonts w:ascii="Times New Roman" w:eastAsia="Times New Roman" w:hAnsi="Times New Roman" w:cs="Times New Roman"/>
      <w:sz w:val="24"/>
      <w:szCs w:val="24"/>
      <w:lang w:eastAsia="cs-CZ"/>
    </w:rPr>
  </w:style>
  <w:style w:type="paragraph" w:customStyle="1" w:styleId="Normln1">
    <w:name w:val="Normální 1"/>
    <w:basedOn w:val="Normln"/>
    <w:uiPriority w:val="99"/>
    <w:rsid w:val="0013179B"/>
    <w:pPr>
      <w:tabs>
        <w:tab w:val="left" w:pos="1928"/>
      </w:tabs>
      <w:spacing w:after="0" w:line="340" w:lineRule="atLeast"/>
    </w:pPr>
    <w:rPr>
      <w:rFonts w:ascii="Times New Roman" w:eastAsia="Times New Roman" w:hAnsi="Times New Roman" w:cs="Times New Roman"/>
      <w:lang w:eastAsia="cs-CZ"/>
    </w:rPr>
  </w:style>
  <w:style w:type="paragraph" w:customStyle="1" w:styleId="tun">
    <w:name w:val="tučně"/>
    <w:basedOn w:val="Normln"/>
    <w:next w:val="Normln"/>
    <w:link w:val="tunChar"/>
    <w:rsid w:val="0013179B"/>
    <w:pPr>
      <w:suppressAutoHyphens/>
      <w:spacing w:after="0" w:line="340" w:lineRule="atLeast"/>
    </w:pPr>
    <w:rPr>
      <w:rFonts w:ascii="Times New Roman" w:eastAsia="Times New Roman" w:hAnsi="Times New Roman" w:cs="Times New Roman"/>
      <w:b/>
      <w:szCs w:val="24"/>
      <w:lang w:eastAsia="ar-SA"/>
    </w:rPr>
  </w:style>
  <w:style w:type="character" w:customStyle="1" w:styleId="tunChar">
    <w:name w:val="tučně Char"/>
    <w:link w:val="tun"/>
    <w:locked/>
    <w:rsid w:val="0013179B"/>
    <w:rPr>
      <w:rFonts w:ascii="Times New Roman" w:eastAsia="Times New Roman" w:hAnsi="Times New Roman" w:cs="Times New Roman"/>
      <w:b/>
      <w:szCs w:val="24"/>
      <w:lang w:eastAsia="ar-SA"/>
    </w:rPr>
  </w:style>
  <w:style w:type="paragraph" w:customStyle="1" w:styleId="CharCharCharCharCharCharChar">
    <w:name w:val="Char Char Char Char Char Char Char"/>
    <w:basedOn w:val="Normln"/>
    <w:rsid w:val="0072554E"/>
    <w:pPr>
      <w:widowControl w:val="0"/>
      <w:adjustRightInd w:val="0"/>
      <w:spacing w:line="240" w:lineRule="exact"/>
      <w:jc w:val="both"/>
      <w:textAlignment w:val="baseline"/>
    </w:pPr>
    <w:rPr>
      <w:rFonts w:ascii="Times New Roman Bold" w:eastAsia="Times New Roman" w:hAnsi="Times New Roman Bold" w:cs="Times New Roman Bold"/>
      <w:lang w:val="sk-SK"/>
    </w:rPr>
  </w:style>
  <w:style w:type="paragraph" w:customStyle="1" w:styleId="Odstavec">
    <w:name w:val="Odstavec"/>
    <w:basedOn w:val="Normln"/>
    <w:link w:val="OdstavecChar"/>
    <w:rsid w:val="0072554E"/>
    <w:pPr>
      <w:spacing w:after="0" w:line="288" w:lineRule="auto"/>
      <w:ind w:firstLine="425"/>
      <w:jc w:val="both"/>
    </w:pPr>
    <w:rPr>
      <w:rFonts w:ascii="Times New Roman" w:eastAsia="Times New Roman" w:hAnsi="Times New Roman" w:cs="Times New Roman"/>
      <w:sz w:val="24"/>
      <w:szCs w:val="24"/>
      <w:lang w:eastAsia="cs-CZ"/>
    </w:rPr>
  </w:style>
  <w:style w:type="character" w:customStyle="1" w:styleId="OdstavecChar">
    <w:name w:val="Odstavec Char"/>
    <w:link w:val="Odstavec"/>
    <w:rsid w:val="0072554E"/>
    <w:rPr>
      <w:rFonts w:ascii="Times New Roman" w:eastAsia="Times New Roman" w:hAnsi="Times New Roman" w:cs="Times New Roman"/>
      <w:sz w:val="24"/>
      <w:szCs w:val="24"/>
      <w:lang w:eastAsia="cs-CZ"/>
    </w:rPr>
  </w:style>
  <w:style w:type="paragraph" w:customStyle="1" w:styleId="Normln10">
    <w:name w:val="Normální1"/>
    <w:rsid w:val="0072554E"/>
    <w:pPr>
      <w:pBdr>
        <w:top w:val="nil"/>
        <w:left w:val="nil"/>
        <w:bottom w:val="nil"/>
        <w:right w:val="nil"/>
        <w:between w:val="nil"/>
      </w:pBdr>
      <w:spacing w:after="0" w:line="240" w:lineRule="auto"/>
    </w:pPr>
    <w:rPr>
      <w:rFonts w:ascii="Times New Roman" w:eastAsia="Times New Roman" w:hAnsi="Times New Roman" w:cs="Times New Roman"/>
      <w:color w:val="000000"/>
      <w:sz w:val="20"/>
      <w:szCs w:val="20"/>
      <w:lang w:eastAsia="cs-CZ"/>
    </w:rPr>
  </w:style>
  <w:style w:type="character" w:styleId="Odkaznakoment">
    <w:name w:val="annotation reference"/>
    <w:basedOn w:val="Standardnpsmoodstavce"/>
    <w:uiPriority w:val="99"/>
    <w:semiHidden/>
    <w:unhideWhenUsed/>
    <w:rsid w:val="0072554E"/>
    <w:rPr>
      <w:sz w:val="16"/>
      <w:szCs w:val="16"/>
    </w:rPr>
  </w:style>
  <w:style w:type="paragraph" w:styleId="Textkomente">
    <w:name w:val="annotation text"/>
    <w:basedOn w:val="Normln"/>
    <w:link w:val="TextkomenteChar"/>
    <w:uiPriority w:val="99"/>
    <w:semiHidden/>
    <w:unhideWhenUsed/>
    <w:rsid w:val="0072554E"/>
    <w:pPr>
      <w:spacing w:line="240" w:lineRule="auto"/>
    </w:pPr>
    <w:rPr>
      <w:sz w:val="20"/>
      <w:szCs w:val="20"/>
    </w:rPr>
  </w:style>
  <w:style w:type="character" w:customStyle="1" w:styleId="TextkomenteChar">
    <w:name w:val="Text komentáře Char"/>
    <w:basedOn w:val="Standardnpsmoodstavce"/>
    <w:link w:val="Textkomente"/>
    <w:uiPriority w:val="99"/>
    <w:semiHidden/>
    <w:rsid w:val="0072554E"/>
    <w:rPr>
      <w:sz w:val="20"/>
      <w:szCs w:val="20"/>
    </w:rPr>
  </w:style>
  <w:style w:type="paragraph" w:styleId="Pedmtkomente">
    <w:name w:val="annotation subject"/>
    <w:basedOn w:val="Textkomente"/>
    <w:next w:val="Textkomente"/>
    <w:link w:val="PedmtkomenteChar"/>
    <w:uiPriority w:val="99"/>
    <w:semiHidden/>
    <w:unhideWhenUsed/>
    <w:rsid w:val="0072554E"/>
    <w:rPr>
      <w:b/>
      <w:bCs/>
    </w:rPr>
  </w:style>
  <w:style w:type="character" w:customStyle="1" w:styleId="PedmtkomenteChar">
    <w:name w:val="Předmět komentáře Char"/>
    <w:basedOn w:val="TextkomenteChar"/>
    <w:link w:val="Pedmtkomente"/>
    <w:uiPriority w:val="99"/>
    <w:semiHidden/>
    <w:rsid w:val="0072554E"/>
    <w:rPr>
      <w:b/>
      <w:bCs/>
      <w:sz w:val="20"/>
      <w:szCs w:val="20"/>
    </w:rPr>
  </w:style>
  <w:style w:type="paragraph" w:styleId="Textbubliny">
    <w:name w:val="Balloon Text"/>
    <w:basedOn w:val="Normln"/>
    <w:link w:val="TextbublinyChar"/>
    <w:semiHidden/>
    <w:unhideWhenUsed/>
    <w:rsid w:val="0072554E"/>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72554E"/>
    <w:rPr>
      <w:rFonts w:ascii="Segoe UI" w:hAnsi="Segoe UI" w:cs="Segoe UI"/>
      <w:sz w:val="18"/>
      <w:szCs w:val="18"/>
    </w:rPr>
  </w:style>
  <w:style w:type="paragraph" w:styleId="Zhlav">
    <w:name w:val="header"/>
    <w:basedOn w:val="Normln"/>
    <w:link w:val="ZhlavChar"/>
    <w:unhideWhenUsed/>
    <w:rsid w:val="0072554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2554E"/>
  </w:style>
  <w:style w:type="paragraph" w:styleId="Zpat">
    <w:name w:val="footer"/>
    <w:basedOn w:val="Normln"/>
    <w:link w:val="ZpatChar"/>
    <w:uiPriority w:val="99"/>
    <w:unhideWhenUsed/>
    <w:rsid w:val="0072554E"/>
    <w:pPr>
      <w:tabs>
        <w:tab w:val="center" w:pos="4536"/>
        <w:tab w:val="right" w:pos="9072"/>
      </w:tabs>
      <w:spacing w:after="0" w:line="240" w:lineRule="auto"/>
    </w:pPr>
  </w:style>
  <w:style w:type="character" w:customStyle="1" w:styleId="ZpatChar">
    <w:name w:val="Zápatí Char"/>
    <w:basedOn w:val="Standardnpsmoodstavce"/>
    <w:link w:val="Zpat"/>
    <w:uiPriority w:val="99"/>
    <w:rsid w:val="0072554E"/>
  </w:style>
  <w:style w:type="paragraph" w:styleId="Normlnweb">
    <w:name w:val="Normal (Web)"/>
    <w:basedOn w:val="Normln"/>
    <w:uiPriority w:val="99"/>
    <w:unhideWhenUsed/>
    <w:rsid w:val="0072554E"/>
    <w:pPr>
      <w:spacing w:after="0" w:line="240" w:lineRule="auto"/>
    </w:pPr>
    <w:rPr>
      <w:rFonts w:ascii="Times New Roman" w:hAnsi="Times New Roman" w:cs="Times New Roman"/>
      <w:sz w:val="24"/>
      <w:szCs w:val="24"/>
      <w:lang w:eastAsia="cs-CZ"/>
    </w:rPr>
  </w:style>
  <w:style w:type="paragraph" w:customStyle="1" w:styleId="TableParagraph">
    <w:name w:val="Table Paragraph"/>
    <w:basedOn w:val="Normln"/>
    <w:uiPriority w:val="1"/>
    <w:qFormat/>
    <w:rsid w:val="0072554E"/>
    <w:pPr>
      <w:widowControl w:val="0"/>
      <w:autoSpaceDE w:val="0"/>
      <w:autoSpaceDN w:val="0"/>
      <w:spacing w:after="0" w:line="240" w:lineRule="auto"/>
      <w:ind w:left="200"/>
    </w:pPr>
    <w:rPr>
      <w:rFonts w:ascii="Times New Roman" w:eastAsia="Times New Roman" w:hAnsi="Times New Roman" w:cs="Times New Roman"/>
      <w:lang w:eastAsia="cs-CZ" w:bidi="cs-CZ"/>
    </w:rPr>
  </w:style>
  <w:style w:type="character" w:customStyle="1" w:styleId="Nadpis1Char">
    <w:name w:val="Nadpis 1 Char"/>
    <w:basedOn w:val="Standardnpsmoodstavce"/>
    <w:link w:val="Nadpis1"/>
    <w:rsid w:val="00960E88"/>
    <w:rPr>
      <w:rFonts w:ascii="Times New Roman" w:eastAsia="Times New Roman" w:hAnsi="Times New Roman" w:cs="Times New Roman"/>
      <w:b/>
      <w:bCs/>
      <w:sz w:val="28"/>
      <w:szCs w:val="28"/>
      <w:lang w:val="x-none" w:eastAsia="x-none"/>
    </w:rPr>
  </w:style>
  <w:style w:type="character" w:customStyle="1" w:styleId="Nadpis2Char">
    <w:name w:val="Nadpis 2 Char"/>
    <w:basedOn w:val="Standardnpsmoodstavce"/>
    <w:link w:val="Nadpis2"/>
    <w:uiPriority w:val="9"/>
    <w:semiHidden/>
    <w:rsid w:val="00960E88"/>
    <w:rPr>
      <w:rFonts w:ascii="Calibri Light" w:eastAsia="Times New Roman" w:hAnsi="Calibri Light" w:cs="Times New Roman"/>
      <w:b/>
      <w:bCs/>
      <w:i/>
      <w:iCs/>
      <w:sz w:val="28"/>
      <w:szCs w:val="28"/>
      <w:lang w:eastAsia="ar-SA"/>
    </w:rPr>
  </w:style>
  <w:style w:type="character" w:customStyle="1" w:styleId="WW-Absatz-Standardschriftart">
    <w:name w:val="WW-Absatz-Standardschriftart"/>
    <w:rsid w:val="00960E88"/>
  </w:style>
  <w:style w:type="character" w:customStyle="1" w:styleId="WW-Standardnpsmoodstavce">
    <w:name w:val="WW-Standardní písmo odstavce"/>
    <w:rsid w:val="00960E88"/>
  </w:style>
  <w:style w:type="character" w:styleId="slostrnky">
    <w:name w:val="page number"/>
    <w:basedOn w:val="WW-Standardnpsmoodstavce"/>
    <w:rsid w:val="00960E88"/>
  </w:style>
  <w:style w:type="character" w:customStyle="1" w:styleId="Symbolyproslovn">
    <w:name w:val="Symboly pro číslování"/>
    <w:rsid w:val="00960E88"/>
  </w:style>
  <w:style w:type="paragraph" w:styleId="Seznam">
    <w:name w:val="List"/>
    <w:basedOn w:val="Zkladntext"/>
    <w:rsid w:val="00960E88"/>
    <w:rPr>
      <w:rFonts w:cs="Tahoma"/>
    </w:rPr>
  </w:style>
  <w:style w:type="paragraph" w:customStyle="1" w:styleId="Popisek">
    <w:name w:val="Popisek"/>
    <w:basedOn w:val="Normln"/>
    <w:rsid w:val="00960E88"/>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Rejstk">
    <w:name w:val="Rejstřík"/>
    <w:basedOn w:val="Normln"/>
    <w:rsid w:val="00960E88"/>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WW-Popisek">
    <w:name w:val="WW-Popisek"/>
    <w:basedOn w:val="Normln"/>
    <w:rsid w:val="00960E88"/>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Rejstk">
    <w:name w:val="WW-Rejstřík"/>
    <w:basedOn w:val="Normln"/>
    <w:rsid w:val="00960E88"/>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Obsahrmce">
    <w:name w:val="Obsah rámce"/>
    <w:basedOn w:val="Zkladntext"/>
    <w:rsid w:val="00960E88"/>
  </w:style>
  <w:style w:type="paragraph" w:customStyle="1" w:styleId="WW-Obsahrmce">
    <w:name w:val="WW-Obsah rámce"/>
    <w:basedOn w:val="Zkladntext"/>
    <w:rsid w:val="00960E88"/>
  </w:style>
  <w:style w:type="paragraph" w:customStyle="1" w:styleId="CharChar">
    <w:name w:val="Char Char"/>
    <w:basedOn w:val="Normln"/>
    <w:rsid w:val="00960E88"/>
    <w:pPr>
      <w:spacing w:line="240" w:lineRule="exact"/>
    </w:pPr>
    <w:rPr>
      <w:rFonts w:ascii="Verdana" w:eastAsia="Times New Roman" w:hAnsi="Verdana" w:cs="Times New Roman"/>
      <w:sz w:val="20"/>
      <w:szCs w:val="20"/>
      <w:lang w:val="en-US"/>
    </w:rPr>
  </w:style>
  <w:style w:type="paragraph" w:customStyle="1" w:styleId="Char4CharChar">
    <w:name w:val="Char4 Char Char"/>
    <w:basedOn w:val="Normln"/>
    <w:rsid w:val="00960E88"/>
    <w:pPr>
      <w:widowControl w:val="0"/>
      <w:adjustRightInd w:val="0"/>
      <w:spacing w:line="240" w:lineRule="exact"/>
      <w:jc w:val="both"/>
      <w:textAlignment w:val="baseline"/>
    </w:pPr>
    <w:rPr>
      <w:rFonts w:ascii="Times New Roman Bold" w:eastAsia="Times New Roman" w:hAnsi="Times New Roman Bold" w:cs="Times New Roman"/>
      <w:szCs w:val="26"/>
      <w:lang w:val="sk-SK"/>
    </w:rPr>
  </w:style>
  <w:style w:type="paragraph" w:customStyle="1" w:styleId="CharChar1">
    <w:name w:val="Char Char1"/>
    <w:basedOn w:val="Normln"/>
    <w:rsid w:val="00960E88"/>
    <w:pPr>
      <w:spacing w:line="240" w:lineRule="exact"/>
    </w:pPr>
    <w:rPr>
      <w:rFonts w:ascii="Verdana" w:eastAsia="Times New Roman" w:hAnsi="Verdana" w:cs="Times New Roman"/>
      <w:sz w:val="20"/>
      <w:szCs w:val="20"/>
      <w:lang w:val="en-US"/>
    </w:rPr>
  </w:style>
  <w:style w:type="paragraph" w:customStyle="1" w:styleId="Char4CharChar0">
    <w:name w:val="Char4 Char Char"/>
    <w:basedOn w:val="Normln"/>
    <w:rsid w:val="00960E88"/>
    <w:pPr>
      <w:widowControl w:val="0"/>
      <w:adjustRightInd w:val="0"/>
      <w:spacing w:line="240" w:lineRule="exact"/>
      <w:jc w:val="both"/>
      <w:textAlignment w:val="baseline"/>
    </w:pPr>
    <w:rPr>
      <w:rFonts w:ascii="Times New Roman Bold" w:eastAsia="Times New Roman" w:hAnsi="Times New Roman Bold" w:cs="Times New Roman Bold"/>
      <w:lang w:val="sk-SK"/>
    </w:rPr>
  </w:style>
  <w:style w:type="paragraph" w:customStyle="1" w:styleId="CharChar10">
    <w:name w:val="Char Char1"/>
    <w:basedOn w:val="Normln"/>
    <w:rsid w:val="00960E88"/>
    <w:pPr>
      <w:spacing w:line="240" w:lineRule="exact"/>
    </w:pPr>
    <w:rPr>
      <w:rFonts w:ascii="Verdana" w:eastAsia="Times New Roman" w:hAnsi="Verdana" w:cs="Verdana"/>
      <w:sz w:val="20"/>
      <w:szCs w:val="20"/>
      <w:lang w:val="en-US"/>
    </w:rPr>
  </w:style>
  <w:style w:type="paragraph" w:customStyle="1" w:styleId="Normlnweb19">
    <w:name w:val="Normální (web)19"/>
    <w:basedOn w:val="Normln"/>
    <w:rsid w:val="00960E88"/>
    <w:pPr>
      <w:spacing w:after="0" w:line="240" w:lineRule="auto"/>
    </w:pPr>
    <w:rPr>
      <w:rFonts w:ascii="Times New Roman" w:eastAsia="Times New Roman" w:hAnsi="Times New Roman" w:cs="Times New Roman"/>
      <w:sz w:val="24"/>
      <w:szCs w:val="24"/>
      <w:lang w:eastAsia="cs-CZ"/>
    </w:rPr>
  </w:style>
  <w:style w:type="character" w:customStyle="1" w:styleId="Siln4">
    <w:name w:val="Silné4"/>
    <w:rsid w:val="00960E88"/>
    <w:rPr>
      <w:b/>
      <w:bCs/>
    </w:rPr>
  </w:style>
  <w:style w:type="character" w:styleId="Siln">
    <w:name w:val="Strong"/>
    <w:uiPriority w:val="22"/>
    <w:qFormat/>
    <w:rsid w:val="00960E88"/>
    <w:rPr>
      <w:b/>
      <w:bCs/>
    </w:rPr>
  </w:style>
  <w:style w:type="paragraph" w:styleId="Textpoznpodarou">
    <w:name w:val="footnote text"/>
    <w:basedOn w:val="Normln"/>
    <w:link w:val="TextpoznpodarouChar"/>
    <w:uiPriority w:val="99"/>
    <w:semiHidden/>
    <w:unhideWhenUsed/>
    <w:rsid w:val="00960E88"/>
    <w:pPr>
      <w:spacing w:after="0" w:line="360" w:lineRule="auto"/>
      <w:jc w:val="both"/>
    </w:pPr>
    <w:rPr>
      <w:rFonts w:ascii="Arial" w:eastAsia="Calibri" w:hAnsi="Arial" w:cs="Times New Roman"/>
      <w:sz w:val="20"/>
      <w:szCs w:val="20"/>
      <w:lang w:val="x-none" w:eastAsia="x-none"/>
    </w:rPr>
  </w:style>
  <w:style w:type="character" w:customStyle="1" w:styleId="TextpoznpodarouChar">
    <w:name w:val="Text pozn. pod čarou Char"/>
    <w:basedOn w:val="Standardnpsmoodstavce"/>
    <w:link w:val="Textpoznpodarou"/>
    <w:uiPriority w:val="99"/>
    <w:semiHidden/>
    <w:rsid w:val="00960E88"/>
    <w:rPr>
      <w:rFonts w:ascii="Arial" w:eastAsia="Calibri" w:hAnsi="Arial" w:cs="Times New Roman"/>
      <w:sz w:val="20"/>
      <w:szCs w:val="20"/>
      <w:lang w:val="x-none" w:eastAsia="x-none"/>
    </w:rPr>
  </w:style>
  <w:style w:type="paragraph" w:customStyle="1" w:styleId="Normaln">
    <w:name w:val="Normalní"/>
    <w:basedOn w:val="Normln"/>
    <w:rsid w:val="00960E88"/>
    <w:pPr>
      <w:spacing w:after="0" w:line="360" w:lineRule="atLeast"/>
      <w:jc w:val="both"/>
    </w:pPr>
    <w:rPr>
      <w:rFonts w:ascii="Arial" w:eastAsia="Calibri" w:hAnsi="Arial" w:cs="Arial"/>
      <w:sz w:val="24"/>
      <w:szCs w:val="24"/>
      <w:lang w:eastAsia="cs-CZ"/>
    </w:rPr>
  </w:style>
  <w:style w:type="character" w:styleId="Znakapoznpodarou">
    <w:name w:val="footnote reference"/>
    <w:uiPriority w:val="99"/>
    <w:semiHidden/>
    <w:unhideWhenUsed/>
    <w:rsid w:val="00960E88"/>
    <w:rPr>
      <w:vertAlign w:val="superscript"/>
    </w:rPr>
  </w:style>
  <w:style w:type="character" w:customStyle="1" w:styleId="footerText2">
    <w:name w:val="footer Text2"/>
    <w:uiPriority w:val="99"/>
    <w:rsid w:val="00960E88"/>
  </w:style>
  <w:style w:type="paragraph" w:customStyle="1" w:styleId="Char1Char">
    <w:name w:val="Char1 Char"/>
    <w:basedOn w:val="Normln"/>
    <w:uiPriority w:val="99"/>
    <w:rsid w:val="00B85262"/>
    <w:pPr>
      <w:widowControl w:val="0"/>
      <w:adjustRightInd w:val="0"/>
      <w:spacing w:line="240" w:lineRule="exact"/>
      <w:jc w:val="both"/>
      <w:textAlignment w:val="baseline"/>
    </w:pPr>
    <w:rPr>
      <w:rFonts w:ascii="Times New Roman Bold" w:eastAsia="Times New Roman" w:hAnsi="Times New Roman Bold" w:cs="Times New Roman Bold"/>
      <w:lang w:val="sk-SK"/>
    </w:rPr>
  </w:style>
  <w:style w:type="character" w:customStyle="1" w:styleId="OdstavecseseznamemChar">
    <w:name w:val="Odstavec se seznamem Char"/>
    <w:aliases w:val="nad 1 Char,Odstavec_muj Char"/>
    <w:link w:val="Odstavecseseznamem"/>
    <w:uiPriority w:val="99"/>
    <w:qFormat/>
    <w:locked/>
    <w:rsid w:val="000B380F"/>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7805">
      <w:bodyDiv w:val="1"/>
      <w:marLeft w:val="0"/>
      <w:marRight w:val="0"/>
      <w:marTop w:val="0"/>
      <w:marBottom w:val="0"/>
      <w:divBdr>
        <w:top w:val="none" w:sz="0" w:space="0" w:color="auto"/>
        <w:left w:val="none" w:sz="0" w:space="0" w:color="auto"/>
        <w:bottom w:val="none" w:sz="0" w:space="0" w:color="auto"/>
        <w:right w:val="none" w:sz="0" w:space="0" w:color="auto"/>
      </w:divBdr>
    </w:div>
    <w:div w:id="60715666">
      <w:bodyDiv w:val="1"/>
      <w:marLeft w:val="0"/>
      <w:marRight w:val="0"/>
      <w:marTop w:val="0"/>
      <w:marBottom w:val="0"/>
      <w:divBdr>
        <w:top w:val="none" w:sz="0" w:space="0" w:color="auto"/>
        <w:left w:val="none" w:sz="0" w:space="0" w:color="auto"/>
        <w:bottom w:val="none" w:sz="0" w:space="0" w:color="auto"/>
        <w:right w:val="none" w:sz="0" w:space="0" w:color="auto"/>
      </w:divBdr>
    </w:div>
    <w:div w:id="72437515">
      <w:bodyDiv w:val="1"/>
      <w:marLeft w:val="0"/>
      <w:marRight w:val="0"/>
      <w:marTop w:val="0"/>
      <w:marBottom w:val="0"/>
      <w:divBdr>
        <w:top w:val="none" w:sz="0" w:space="0" w:color="auto"/>
        <w:left w:val="none" w:sz="0" w:space="0" w:color="auto"/>
        <w:bottom w:val="none" w:sz="0" w:space="0" w:color="auto"/>
        <w:right w:val="none" w:sz="0" w:space="0" w:color="auto"/>
      </w:divBdr>
    </w:div>
    <w:div w:id="97919879">
      <w:bodyDiv w:val="1"/>
      <w:marLeft w:val="0"/>
      <w:marRight w:val="0"/>
      <w:marTop w:val="0"/>
      <w:marBottom w:val="0"/>
      <w:divBdr>
        <w:top w:val="none" w:sz="0" w:space="0" w:color="auto"/>
        <w:left w:val="none" w:sz="0" w:space="0" w:color="auto"/>
        <w:bottom w:val="none" w:sz="0" w:space="0" w:color="auto"/>
        <w:right w:val="none" w:sz="0" w:space="0" w:color="auto"/>
      </w:divBdr>
    </w:div>
    <w:div w:id="105539564">
      <w:bodyDiv w:val="1"/>
      <w:marLeft w:val="0"/>
      <w:marRight w:val="0"/>
      <w:marTop w:val="0"/>
      <w:marBottom w:val="0"/>
      <w:divBdr>
        <w:top w:val="none" w:sz="0" w:space="0" w:color="auto"/>
        <w:left w:val="none" w:sz="0" w:space="0" w:color="auto"/>
        <w:bottom w:val="none" w:sz="0" w:space="0" w:color="auto"/>
        <w:right w:val="none" w:sz="0" w:space="0" w:color="auto"/>
      </w:divBdr>
    </w:div>
    <w:div w:id="127893055">
      <w:bodyDiv w:val="1"/>
      <w:marLeft w:val="0"/>
      <w:marRight w:val="0"/>
      <w:marTop w:val="0"/>
      <w:marBottom w:val="0"/>
      <w:divBdr>
        <w:top w:val="none" w:sz="0" w:space="0" w:color="auto"/>
        <w:left w:val="none" w:sz="0" w:space="0" w:color="auto"/>
        <w:bottom w:val="none" w:sz="0" w:space="0" w:color="auto"/>
        <w:right w:val="none" w:sz="0" w:space="0" w:color="auto"/>
      </w:divBdr>
    </w:div>
    <w:div w:id="139081560">
      <w:bodyDiv w:val="1"/>
      <w:marLeft w:val="0"/>
      <w:marRight w:val="0"/>
      <w:marTop w:val="0"/>
      <w:marBottom w:val="0"/>
      <w:divBdr>
        <w:top w:val="none" w:sz="0" w:space="0" w:color="auto"/>
        <w:left w:val="none" w:sz="0" w:space="0" w:color="auto"/>
        <w:bottom w:val="none" w:sz="0" w:space="0" w:color="auto"/>
        <w:right w:val="none" w:sz="0" w:space="0" w:color="auto"/>
      </w:divBdr>
    </w:div>
    <w:div w:id="140538614">
      <w:bodyDiv w:val="1"/>
      <w:marLeft w:val="0"/>
      <w:marRight w:val="0"/>
      <w:marTop w:val="0"/>
      <w:marBottom w:val="0"/>
      <w:divBdr>
        <w:top w:val="none" w:sz="0" w:space="0" w:color="auto"/>
        <w:left w:val="none" w:sz="0" w:space="0" w:color="auto"/>
        <w:bottom w:val="none" w:sz="0" w:space="0" w:color="auto"/>
        <w:right w:val="none" w:sz="0" w:space="0" w:color="auto"/>
      </w:divBdr>
    </w:div>
    <w:div w:id="146627340">
      <w:bodyDiv w:val="1"/>
      <w:marLeft w:val="0"/>
      <w:marRight w:val="0"/>
      <w:marTop w:val="0"/>
      <w:marBottom w:val="0"/>
      <w:divBdr>
        <w:top w:val="none" w:sz="0" w:space="0" w:color="auto"/>
        <w:left w:val="none" w:sz="0" w:space="0" w:color="auto"/>
        <w:bottom w:val="none" w:sz="0" w:space="0" w:color="auto"/>
        <w:right w:val="none" w:sz="0" w:space="0" w:color="auto"/>
      </w:divBdr>
    </w:div>
    <w:div w:id="220333841">
      <w:bodyDiv w:val="1"/>
      <w:marLeft w:val="0"/>
      <w:marRight w:val="0"/>
      <w:marTop w:val="0"/>
      <w:marBottom w:val="0"/>
      <w:divBdr>
        <w:top w:val="none" w:sz="0" w:space="0" w:color="auto"/>
        <w:left w:val="none" w:sz="0" w:space="0" w:color="auto"/>
        <w:bottom w:val="none" w:sz="0" w:space="0" w:color="auto"/>
        <w:right w:val="none" w:sz="0" w:space="0" w:color="auto"/>
      </w:divBdr>
    </w:div>
    <w:div w:id="235673804">
      <w:bodyDiv w:val="1"/>
      <w:marLeft w:val="0"/>
      <w:marRight w:val="0"/>
      <w:marTop w:val="0"/>
      <w:marBottom w:val="0"/>
      <w:divBdr>
        <w:top w:val="none" w:sz="0" w:space="0" w:color="auto"/>
        <w:left w:val="none" w:sz="0" w:space="0" w:color="auto"/>
        <w:bottom w:val="none" w:sz="0" w:space="0" w:color="auto"/>
        <w:right w:val="none" w:sz="0" w:space="0" w:color="auto"/>
      </w:divBdr>
    </w:div>
    <w:div w:id="270166939">
      <w:bodyDiv w:val="1"/>
      <w:marLeft w:val="0"/>
      <w:marRight w:val="0"/>
      <w:marTop w:val="0"/>
      <w:marBottom w:val="0"/>
      <w:divBdr>
        <w:top w:val="none" w:sz="0" w:space="0" w:color="auto"/>
        <w:left w:val="none" w:sz="0" w:space="0" w:color="auto"/>
        <w:bottom w:val="none" w:sz="0" w:space="0" w:color="auto"/>
        <w:right w:val="none" w:sz="0" w:space="0" w:color="auto"/>
      </w:divBdr>
    </w:div>
    <w:div w:id="274483878">
      <w:bodyDiv w:val="1"/>
      <w:marLeft w:val="0"/>
      <w:marRight w:val="0"/>
      <w:marTop w:val="0"/>
      <w:marBottom w:val="0"/>
      <w:divBdr>
        <w:top w:val="none" w:sz="0" w:space="0" w:color="auto"/>
        <w:left w:val="none" w:sz="0" w:space="0" w:color="auto"/>
        <w:bottom w:val="none" w:sz="0" w:space="0" w:color="auto"/>
        <w:right w:val="none" w:sz="0" w:space="0" w:color="auto"/>
      </w:divBdr>
    </w:div>
    <w:div w:id="275527299">
      <w:bodyDiv w:val="1"/>
      <w:marLeft w:val="0"/>
      <w:marRight w:val="0"/>
      <w:marTop w:val="0"/>
      <w:marBottom w:val="0"/>
      <w:divBdr>
        <w:top w:val="none" w:sz="0" w:space="0" w:color="auto"/>
        <w:left w:val="none" w:sz="0" w:space="0" w:color="auto"/>
        <w:bottom w:val="none" w:sz="0" w:space="0" w:color="auto"/>
        <w:right w:val="none" w:sz="0" w:space="0" w:color="auto"/>
      </w:divBdr>
    </w:div>
    <w:div w:id="276302895">
      <w:bodyDiv w:val="1"/>
      <w:marLeft w:val="0"/>
      <w:marRight w:val="0"/>
      <w:marTop w:val="0"/>
      <w:marBottom w:val="0"/>
      <w:divBdr>
        <w:top w:val="none" w:sz="0" w:space="0" w:color="auto"/>
        <w:left w:val="none" w:sz="0" w:space="0" w:color="auto"/>
        <w:bottom w:val="none" w:sz="0" w:space="0" w:color="auto"/>
        <w:right w:val="none" w:sz="0" w:space="0" w:color="auto"/>
      </w:divBdr>
    </w:div>
    <w:div w:id="288323816">
      <w:bodyDiv w:val="1"/>
      <w:marLeft w:val="0"/>
      <w:marRight w:val="0"/>
      <w:marTop w:val="0"/>
      <w:marBottom w:val="0"/>
      <w:divBdr>
        <w:top w:val="none" w:sz="0" w:space="0" w:color="auto"/>
        <w:left w:val="none" w:sz="0" w:space="0" w:color="auto"/>
        <w:bottom w:val="none" w:sz="0" w:space="0" w:color="auto"/>
        <w:right w:val="none" w:sz="0" w:space="0" w:color="auto"/>
      </w:divBdr>
    </w:div>
    <w:div w:id="292516651">
      <w:bodyDiv w:val="1"/>
      <w:marLeft w:val="0"/>
      <w:marRight w:val="0"/>
      <w:marTop w:val="0"/>
      <w:marBottom w:val="0"/>
      <w:divBdr>
        <w:top w:val="none" w:sz="0" w:space="0" w:color="auto"/>
        <w:left w:val="none" w:sz="0" w:space="0" w:color="auto"/>
        <w:bottom w:val="none" w:sz="0" w:space="0" w:color="auto"/>
        <w:right w:val="none" w:sz="0" w:space="0" w:color="auto"/>
      </w:divBdr>
    </w:div>
    <w:div w:id="300767697">
      <w:bodyDiv w:val="1"/>
      <w:marLeft w:val="0"/>
      <w:marRight w:val="0"/>
      <w:marTop w:val="0"/>
      <w:marBottom w:val="0"/>
      <w:divBdr>
        <w:top w:val="none" w:sz="0" w:space="0" w:color="auto"/>
        <w:left w:val="none" w:sz="0" w:space="0" w:color="auto"/>
        <w:bottom w:val="none" w:sz="0" w:space="0" w:color="auto"/>
        <w:right w:val="none" w:sz="0" w:space="0" w:color="auto"/>
      </w:divBdr>
    </w:div>
    <w:div w:id="337775924">
      <w:bodyDiv w:val="1"/>
      <w:marLeft w:val="0"/>
      <w:marRight w:val="0"/>
      <w:marTop w:val="0"/>
      <w:marBottom w:val="0"/>
      <w:divBdr>
        <w:top w:val="none" w:sz="0" w:space="0" w:color="auto"/>
        <w:left w:val="none" w:sz="0" w:space="0" w:color="auto"/>
        <w:bottom w:val="none" w:sz="0" w:space="0" w:color="auto"/>
        <w:right w:val="none" w:sz="0" w:space="0" w:color="auto"/>
      </w:divBdr>
    </w:div>
    <w:div w:id="346174797">
      <w:bodyDiv w:val="1"/>
      <w:marLeft w:val="0"/>
      <w:marRight w:val="0"/>
      <w:marTop w:val="0"/>
      <w:marBottom w:val="0"/>
      <w:divBdr>
        <w:top w:val="none" w:sz="0" w:space="0" w:color="auto"/>
        <w:left w:val="none" w:sz="0" w:space="0" w:color="auto"/>
        <w:bottom w:val="none" w:sz="0" w:space="0" w:color="auto"/>
        <w:right w:val="none" w:sz="0" w:space="0" w:color="auto"/>
      </w:divBdr>
    </w:div>
    <w:div w:id="361826482">
      <w:bodyDiv w:val="1"/>
      <w:marLeft w:val="0"/>
      <w:marRight w:val="0"/>
      <w:marTop w:val="0"/>
      <w:marBottom w:val="0"/>
      <w:divBdr>
        <w:top w:val="none" w:sz="0" w:space="0" w:color="auto"/>
        <w:left w:val="none" w:sz="0" w:space="0" w:color="auto"/>
        <w:bottom w:val="none" w:sz="0" w:space="0" w:color="auto"/>
        <w:right w:val="none" w:sz="0" w:space="0" w:color="auto"/>
      </w:divBdr>
    </w:div>
    <w:div w:id="368728099">
      <w:bodyDiv w:val="1"/>
      <w:marLeft w:val="0"/>
      <w:marRight w:val="0"/>
      <w:marTop w:val="0"/>
      <w:marBottom w:val="0"/>
      <w:divBdr>
        <w:top w:val="none" w:sz="0" w:space="0" w:color="auto"/>
        <w:left w:val="none" w:sz="0" w:space="0" w:color="auto"/>
        <w:bottom w:val="none" w:sz="0" w:space="0" w:color="auto"/>
        <w:right w:val="none" w:sz="0" w:space="0" w:color="auto"/>
      </w:divBdr>
    </w:div>
    <w:div w:id="369644289">
      <w:bodyDiv w:val="1"/>
      <w:marLeft w:val="0"/>
      <w:marRight w:val="0"/>
      <w:marTop w:val="0"/>
      <w:marBottom w:val="0"/>
      <w:divBdr>
        <w:top w:val="none" w:sz="0" w:space="0" w:color="auto"/>
        <w:left w:val="none" w:sz="0" w:space="0" w:color="auto"/>
        <w:bottom w:val="none" w:sz="0" w:space="0" w:color="auto"/>
        <w:right w:val="none" w:sz="0" w:space="0" w:color="auto"/>
      </w:divBdr>
    </w:div>
    <w:div w:id="422070480">
      <w:bodyDiv w:val="1"/>
      <w:marLeft w:val="0"/>
      <w:marRight w:val="0"/>
      <w:marTop w:val="0"/>
      <w:marBottom w:val="0"/>
      <w:divBdr>
        <w:top w:val="none" w:sz="0" w:space="0" w:color="auto"/>
        <w:left w:val="none" w:sz="0" w:space="0" w:color="auto"/>
        <w:bottom w:val="none" w:sz="0" w:space="0" w:color="auto"/>
        <w:right w:val="none" w:sz="0" w:space="0" w:color="auto"/>
      </w:divBdr>
    </w:div>
    <w:div w:id="441993651">
      <w:bodyDiv w:val="1"/>
      <w:marLeft w:val="0"/>
      <w:marRight w:val="0"/>
      <w:marTop w:val="0"/>
      <w:marBottom w:val="0"/>
      <w:divBdr>
        <w:top w:val="none" w:sz="0" w:space="0" w:color="auto"/>
        <w:left w:val="none" w:sz="0" w:space="0" w:color="auto"/>
        <w:bottom w:val="none" w:sz="0" w:space="0" w:color="auto"/>
        <w:right w:val="none" w:sz="0" w:space="0" w:color="auto"/>
      </w:divBdr>
    </w:div>
    <w:div w:id="457139319">
      <w:bodyDiv w:val="1"/>
      <w:marLeft w:val="0"/>
      <w:marRight w:val="0"/>
      <w:marTop w:val="0"/>
      <w:marBottom w:val="0"/>
      <w:divBdr>
        <w:top w:val="none" w:sz="0" w:space="0" w:color="auto"/>
        <w:left w:val="none" w:sz="0" w:space="0" w:color="auto"/>
        <w:bottom w:val="none" w:sz="0" w:space="0" w:color="auto"/>
        <w:right w:val="none" w:sz="0" w:space="0" w:color="auto"/>
      </w:divBdr>
    </w:div>
    <w:div w:id="458764162">
      <w:bodyDiv w:val="1"/>
      <w:marLeft w:val="0"/>
      <w:marRight w:val="0"/>
      <w:marTop w:val="0"/>
      <w:marBottom w:val="0"/>
      <w:divBdr>
        <w:top w:val="none" w:sz="0" w:space="0" w:color="auto"/>
        <w:left w:val="none" w:sz="0" w:space="0" w:color="auto"/>
        <w:bottom w:val="none" w:sz="0" w:space="0" w:color="auto"/>
        <w:right w:val="none" w:sz="0" w:space="0" w:color="auto"/>
      </w:divBdr>
    </w:div>
    <w:div w:id="462577229">
      <w:bodyDiv w:val="1"/>
      <w:marLeft w:val="0"/>
      <w:marRight w:val="0"/>
      <w:marTop w:val="0"/>
      <w:marBottom w:val="0"/>
      <w:divBdr>
        <w:top w:val="none" w:sz="0" w:space="0" w:color="auto"/>
        <w:left w:val="none" w:sz="0" w:space="0" w:color="auto"/>
        <w:bottom w:val="none" w:sz="0" w:space="0" w:color="auto"/>
        <w:right w:val="none" w:sz="0" w:space="0" w:color="auto"/>
      </w:divBdr>
    </w:div>
    <w:div w:id="504788618">
      <w:bodyDiv w:val="1"/>
      <w:marLeft w:val="0"/>
      <w:marRight w:val="0"/>
      <w:marTop w:val="0"/>
      <w:marBottom w:val="0"/>
      <w:divBdr>
        <w:top w:val="none" w:sz="0" w:space="0" w:color="auto"/>
        <w:left w:val="none" w:sz="0" w:space="0" w:color="auto"/>
        <w:bottom w:val="none" w:sz="0" w:space="0" w:color="auto"/>
        <w:right w:val="none" w:sz="0" w:space="0" w:color="auto"/>
      </w:divBdr>
    </w:div>
    <w:div w:id="615450523">
      <w:bodyDiv w:val="1"/>
      <w:marLeft w:val="0"/>
      <w:marRight w:val="0"/>
      <w:marTop w:val="0"/>
      <w:marBottom w:val="0"/>
      <w:divBdr>
        <w:top w:val="none" w:sz="0" w:space="0" w:color="auto"/>
        <w:left w:val="none" w:sz="0" w:space="0" w:color="auto"/>
        <w:bottom w:val="none" w:sz="0" w:space="0" w:color="auto"/>
        <w:right w:val="none" w:sz="0" w:space="0" w:color="auto"/>
      </w:divBdr>
    </w:div>
    <w:div w:id="650671288">
      <w:bodyDiv w:val="1"/>
      <w:marLeft w:val="0"/>
      <w:marRight w:val="0"/>
      <w:marTop w:val="0"/>
      <w:marBottom w:val="0"/>
      <w:divBdr>
        <w:top w:val="none" w:sz="0" w:space="0" w:color="auto"/>
        <w:left w:val="none" w:sz="0" w:space="0" w:color="auto"/>
        <w:bottom w:val="none" w:sz="0" w:space="0" w:color="auto"/>
        <w:right w:val="none" w:sz="0" w:space="0" w:color="auto"/>
      </w:divBdr>
    </w:div>
    <w:div w:id="651715852">
      <w:bodyDiv w:val="1"/>
      <w:marLeft w:val="0"/>
      <w:marRight w:val="0"/>
      <w:marTop w:val="0"/>
      <w:marBottom w:val="0"/>
      <w:divBdr>
        <w:top w:val="none" w:sz="0" w:space="0" w:color="auto"/>
        <w:left w:val="none" w:sz="0" w:space="0" w:color="auto"/>
        <w:bottom w:val="none" w:sz="0" w:space="0" w:color="auto"/>
        <w:right w:val="none" w:sz="0" w:space="0" w:color="auto"/>
      </w:divBdr>
    </w:div>
    <w:div w:id="653070063">
      <w:bodyDiv w:val="1"/>
      <w:marLeft w:val="0"/>
      <w:marRight w:val="0"/>
      <w:marTop w:val="0"/>
      <w:marBottom w:val="0"/>
      <w:divBdr>
        <w:top w:val="none" w:sz="0" w:space="0" w:color="auto"/>
        <w:left w:val="none" w:sz="0" w:space="0" w:color="auto"/>
        <w:bottom w:val="none" w:sz="0" w:space="0" w:color="auto"/>
        <w:right w:val="none" w:sz="0" w:space="0" w:color="auto"/>
      </w:divBdr>
    </w:div>
    <w:div w:id="679509281">
      <w:bodyDiv w:val="1"/>
      <w:marLeft w:val="0"/>
      <w:marRight w:val="0"/>
      <w:marTop w:val="0"/>
      <w:marBottom w:val="0"/>
      <w:divBdr>
        <w:top w:val="none" w:sz="0" w:space="0" w:color="auto"/>
        <w:left w:val="none" w:sz="0" w:space="0" w:color="auto"/>
        <w:bottom w:val="none" w:sz="0" w:space="0" w:color="auto"/>
        <w:right w:val="none" w:sz="0" w:space="0" w:color="auto"/>
      </w:divBdr>
    </w:div>
    <w:div w:id="686757841">
      <w:bodyDiv w:val="1"/>
      <w:marLeft w:val="0"/>
      <w:marRight w:val="0"/>
      <w:marTop w:val="0"/>
      <w:marBottom w:val="0"/>
      <w:divBdr>
        <w:top w:val="none" w:sz="0" w:space="0" w:color="auto"/>
        <w:left w:val="none" w:sz="0" w:space="0" w:color="auto"/>
        <w:bottom w:val="none" w:sz="0" w:space="0" w:color="auto"/>
        <w:right w:val="none" w:sz="0" w:space="0" w:color="auto"/>
      </w:divBdr>
    </w:div>
    <w:div w:id="701202346">
      <w:bodyDiv w:val="1"/>
      <w:marLeft w:val="0"/>
      <w:marRight w:val="0"/>
      <w:marTop w:val="0"/>
      <w:marBottom w:val="0"/>
      <w:divBdr>
        <w:top w:val="none" w:sz="0" w:space="0" w:color="auto"/>
        <w:left w:val="none" w:sz="0" w:space="0" w:color="auto"/>
        <w:bottom w:val="none" w:sz="0" w:space="0" w:color="auto"/>
        <w:right w:val="none" w:sz="0" w:space="0" w:color="auto"/>
      </w:divBdr>
    </w:div>
    <w:div w:id="705300660">
      <w:bodyDiv w:val="1"/>
      <w:marLeft w:val="0"/>
      <w:marRight w:val="0"/>
      <w:marTop w:val="0"/>
      <w:marBottom w:val="0"/>
      <w:divBdr>
        <w:top w:val="none" w:sz="0" w:space="0" w:color="auto"/>
        <w:left w:val="none" w:sz="0" w:space="0" w:color="auto"/>
        <w:bottom w:val="none" w:sz="0" w:space="0" w:color="auto"/>
        <w:right w:val="none" w:sz="0" w:space="0" w:color="auto"/>
      </w:divBdr>
    </w:div>
    <w:div w:id="740560235">
      <w:bodyDiv w:val="1"/>
      <w:marLeft w:val="0"/>
      <w:marRight w:val="0"/>
      <w:marTop w:val="0"/>
      <w:marBottom w:val="0"/>
      <w:divBdr>
        <w:top w:val="none" w:sz="0" w:space="0" w:color="auto"/>
        <w:left w:val="none" w:sz="0" w:space="0" w:color="auto"/>
        <w:bottom w:val="none" w:sz="0" w:space="0" w:color="auto"/>
        <w:right w:val="none" w:sz="0" w:space="0" w:color="auto"/>
      </w:divBdr>
    </w:div>
    <w:div w:id="743145205">
      <w:bodyDiv w:val="1"/>
      <w:marLeft w:val="0"/>
      <w:marRight w:val="0"/>
      <w:marTop w:val="0"/>
      <w:marBottom w:val="0"/>
      <w:divBdr>
        <w:top w:val="none" w:sz="0" w:space="0" w:color="auto"/>
        <w:left w:val="none" w:sz="0" w:space="0" w:color="auto"/>
        <w:bottom w:val="none" w:sz="0" w:space="0" w:color="auto"/>
        <w:right w:val="none" w:sz="0" w:space="0" w:color="auto"/>
      </w:divBdr>
    </w:div>
    <w:div w:id="757797279">
      <w:bodyDiv w:val="1"/>
      <w:marLeft w:val="0"/>
      <w:marRight w:val="0"/>
      <w:marTop w:val="0"/>
      <w:marBottom w:val="0"/>
      <w:divBdr>
        <w:top w:val="none" w:sz="0" w:space="0" w:color="auto"/>
        <w:left w:val="none" w:sz="0" w:space="0" w:color="auto"/>
        <w:bottom w:val="none" w:sz="0" w:space="0" w:color="auto"/>
        <w:right w:val="none" w:sz="0" w:space="0" w:color="auto"/>
      </w:divBdr>
    </w:div>
    <w:div w:id="774711681">
      <w:bodyDiv w:val="1"/>
      <w:marLeft w:val="0"/>
      <w:marRight w:val="0"/>
      <w:marTop w:val="0"/>
      <w:marBottom w:val="0"/>
      <w:divBdr>
        <w:top w:val="none" w:sz="0" w:space="0" w:color="auto"/>
        <w:left w:val="none" w:sz="0" w:space="0" w:color="auto"/>
        <w:bottom w:val="none" w:sz="0" w:space="0" w:color="auto"/>
        <w:right w:val="none" w:sz="0" w:space="0" w:color="auto"/>
      </w:divBdr>
    </w:div>
    <w:div w:id="787284496">
      <w:bodyDiv w:val="1"/>
      <w:marLeft w:val="0"/>
      <w:marRight w:val="0"/>
      <w:marTop w:val="0"/>
      <w:marBottom w:val="0"/>
      <w:divBdr>
        <w:top w:val="none" w:sz="0" w:space="0" w:color="auto"/>
        <w:left w:val="none" w:sz="0" w:space="0" w:color="auto"/>
        <w:bottom w:val="none" w:sz="0" w:space="0" w:color="auto"/>
        <w:right w:val="none" w:sz="0" w:space="0" w:color="auto"/>
      </w:divBdr>
    </w:div>
    <w:div w:id="845175659">
      <w:bodyDiv w:val="1"/>
      <w:marLeft w:val="0"/>
      <w:marRight w:val="0"/>
      <w:marTop w:val="0"/>
      <w:marBottom w:val="0"/>
      <w:divBdr>
        <w:top w:val="none" w:sz="0" w:space="0" w:color="auto"/>
        <w:left w:val="none" w:sz="0" w:space="0" w:color="auto"/>
        <w:bottom w:val="none" w:sz="0" w:space="0" w:color="auto"/>
        <w:right w:val="none" w:sz="0" w:space="0" w:color="auto"/>
      </w:divBdr>
    </w:div>
    <w:div w:id="893808815">
      <w:bodyDiv w:val="1"/>
      <w:marLeft w:val="0"/>
      <w:marRight w:val="0"/>
      <w:marTop w:val="0"/>
      <w:marBottom w:val="0"/>
      <w:divBdr>
        <w:top w:val="none" w:sz="0" w:space="0" w:color="auto"/>
        <w:left w:val="none" w:sz="0" w:space="0" w:color="auto"/>
        <w:bottom w:val="none" w:sz="0" w:space="0" w:color="auto"/>
        <w:right w:val="none" w:sz="0" w:space="0" w:color="auto"/>
      </w:divBdr>
    </w:div>
    <w:div w:id="902789672">
      <w:bodyDiv w:val="1"/>
      <w:marLeft w:val="0"/>
      <w:marRight w:val="0"/>
      <w:marTop w:val="0"/>
      <w:marBottom w:val="0"/>
      <w:divBdr>
        <w:top w:val="none" w:sz="0" w:space="0" w:color="auto"/>
        <w:left w:val="none" w:sz="0" w:space="0" w:color="auto"/>
        <w:bottom w:val="none" w:sz="0" w:space="0" w:color="auto"/>
        <w:right w:val="none" w:sz="0" w:space="0" w:color="auto"/>
      </w:divBdr>
    </w:div>
    <w:div w:id="910777972">
      <w:bodyDiv w:val="1"/>
      <w:marLeft w:val="0"/>
      <w:marRight w:val="0"/>
      <w:marTop w:val="0"/>
      <w:marBottom w:val="0"/>
      <w:divBdr>
        <w:top w:val="none" w:sz="0" w:space="0" w:color="auto"/>
        <w:left w:val="none" w:sz="0" w:space="0" w:color="auto"/>
        <w:bottom w:val="none" w:sz="0" w:space="0" w:color="auto"/>
        <w:right w:val="none" w:sz="0" w:space="0" w:color="auto"/>
      </w:divBdr>
    </w:div>
    <w:div w:id="935939876">
      <w:bodyDiv w:val="1"/>
      <w:marLeft w:val="0"/>
      <w:marRight w:val="0"/>
      <w:marTop w:val="0"/>
      <w:marBottom w:val="0"/>
      <w:divBdr>
        <w:top w:val="none" w:sz="0" w:space="0" w:color="auto"/>
        <w:left w:val="none" w:sz="0" w:space="0" w:color="auto"/>
        <w:bottom w:val="none" w:sz="0" w:space="0" w:color="auto"/>
        <w:right w:val="none" w:sz="0" w:space="0" w:color="auto"/>
      </w:divBdr>
    </w:div>
    <w:div w:id="981931240">
      <w:bodyDiv w:val="1"/>
      <w:marLeft w:val="0"/>
      <w:marRight w:val="0"/>
      <w:marTop w:val="0"/>
      <w:marBottom w:val="0"/>
      <w:divBdr>
        <w:top w:val="none" w:sz="0" w:space="0" w:color="auto"/>
        <w:left w:val="none" w:sz="0" w:space="0" w:color="auto"/>
        <w:bottom w:val="none" w:sz="0" w:space="0" w:color="auto"/>
        <w:right w:val="none" w:sz="0" w:space="0" w:color="auto"/>
      </w:divBdr>
    </w:div>
    <w:div w:id="990252537">
      <w:bodyDiv w:val="1"/>
      <w:marLeft w:val="0"/>
      <w:marRight w:val="0"/>
      <w:marTop w:val="0"/>
      <w:marBottom w:val="0"/>
      <w:divBdr>
        <w:top w:val="none" w:sz="0" w:space="0" w:color="auto"/>
        <w:left w:val="none" w:sz="0" w:space="0" w:color="auto"/>
        <w:bottom w:val="none" w:sz="0" w:space="0" w:color="auto"/>
        <w:right w:val="none" w:sz="0" w:space="0" w:color="auto"/>
      </w:divBdr>
    </w:div>
    <w:div w:id="1039475882">
      <w:bodyDiv w:val="1"/>
      <w:marLeft w:val="0"/>
      <w:marRight w:val="0"/>
      <w:marTop w:val="0"/>
      <w:marBottom w:val="0"/>
      <w:divBdr>
        <w:top w:val="none" w:sz="0" w:space="0" w:color="auto"/>
        <w:left w:val="none" w:sz="0" w:space="0" w:color="auto"/>
        <w:bottom w:val="none" w:sz="0" w:space="0" w:color="auto"/>
        <w:right w:val="none" w:sz="0" w:space="0" w:color="auto"/>
      </w:divBdr>
    </w:div>
    <w:div w:id="1098598044">
      <w:bodyDiv w:val="1"/>
      <w:marLeft w:val="0"/>
      <w:marRight w:val="0"/>
      <w:marTop w:val="0"/>
      <w:marBottom w:val="0"/>
      <w:divBdr>
        <w:top w:val="none" w:sz="0" w:space="0" w:color="auto"/>
        <w:left w:val="none" w:sz="0" w:space="0" w:color="auto"/>
        <w:bottom w:val="none" w:sz="0" w:space="0" w:color="auto"/>
        <w:right w:val="none" w:sz="0" w:space="0" w:color="auto"/>
      </w:divBdr>
    </w:div>
    <w:div w:id="1117062076">
      <w:bodyDiv w:val="1"/>
      <w:marLeft w:val="0"/>
      <w:marRight w:val="0"/>
      <w:marTop w:val="0"/>
      <w:marBottom w:val="0"/>
      <w:divBdr>
        <w:top w:val="none" w:sz="0" w:space="0" w:color="auto"/>
        <w:left w:val="none" w:sz="0" w:space="0" w:color="auto"/>
        <w:bottom w:val="none" w:sz="0" w:space="0" w:color="auto"/>
        <w:right w:val="none" w:sz="0" w:space="0" w:color="auto"/>
      </w:divBdr>
    </w:div>
    <w:div w:id="1143546126">
      <w:bodyDiv w:val="1"/>
      <w:marLeft w:val="0"/>
      <w:marRight w:val="0"/>
      <w:marTop w:val="0"/>
      <w:marBottom w:val="0"/>
      <w:divBdr>
        <w:top w:val="none" w:sz="0" w:space="0" w:color="auto"/>
        <w:left w:val="none" w:sz="0" w:space="0" w:color="auto"/>
        <w:bottom w:val="none" w:sz="0" w:space="0" w:color="auto"/>
        <w:right w:val="none" w:sz="0" w:space="0" w:color="auto"/>
      </w:divBdr>
    </w:div>
    <w:div w:id="1153062397">
      <w:bodyDiv w:val="1"/>
      <w:marLeft w:val="0"/>
      <w:marRight w:val="0"/>
      <w:marTop w:val="0"/>
      <w:marBottom w:val="0"/>
      <w:divBdr>
        <w:top w:val="none" w:sz="0" w:space="0" w:color="auto"/>
        <w:left w:val="none" w:sz="0" w:space="0" w:color="auto"/>
        <w:bottom w:val="none" w:sz="0" w:space="0" w:color="auto"/>
        <w:right w:val="none" w:sz="0" w:space="0" w:color="auto"/>
      </w:divBdr>
    </w:div>
    <w:div w:id="1192300250">
      <w:bodyDiv w:val="1"/>
      <w:marLeft w:val="0"/>
      <w:marRight w:val="0"/>
      <w:marTop w:val="0"/>
      <w:marBottom w:val="0"/>
      <w:divBdr>
        <w:top w:val="none" w:sz="0" w:space="0" w:color="auto"/>
        <w:left w:val="none" w:sz="0" w:space="0" w:color="auto"/>
        <w:bottom w:val="none" w:sz="0" w:space="0" w:color="auto"/>
        <w:right w:val="none" w:sz="0" w:space="0" w:color="auto"/>
      </w:divBdr>
    </w:div>
    <w:div w:id="1222473589">
      <w:bodyDiv w:val="1"/>
      <w:marLeft w:val="0"/>
      <w:marRight w:val="0"/>
      <w:marTop w:val="0"/>
      <w:marBottom w:val="0"/>
      <w:divBdr>
        <w:top w:val="none" w:sz="0" w:space="0" w:color="auto"/>
        <w:left w:val="none" w:sz="0" w:space="0" w:color="auto"/>
        <w:bottom w:val="none" w:sz="0" w:space="0" w:color="auto"/>
        <w:right w:val="none" w:sz="0" w:space="0" w:color="auto"/>
      </w:divBdr>
    </w:div>
    <w:div w:id="1255744769">
      <w:bodyDiv w:val="1"/>
      <w:marLeft w:val="0"/>
      <w:marRight w:val="0"/>
      <w:marTop w:val="0"/>
      <w:marBottom w:val="0"/>
      <w:divBdr>
        <w:top w:val="none" w:sz="0" w:space="0" w:color="auto"/>
        <w:left w:val="none" w:sz="0" w:space="0" w:color="auto"/>
        <w:bottom w:val="none" w:sz="0" w:space="0" w:color="auto"/>
        <w:right w:val="none" w:sz="0" w:space="0" w:color="auto"/>
      </w:divBdr>
    </w:div>
    <w:div w:id="1256859935">
      <w:bodyDiv w:val="1"/>
      <w:marLeft w:val="0"/>
      <w:marRight w:val="0"/>
      <w:marTop w:val="0"/>
      <w:marBottom w:val="0"/>
      <w:divBdr>
        <w:top w:val="none" w:sz="0" w:space="0" w:color="auto"/>
        <w:left w:val="none" w:sz="0" w:space="0" w:color="auto"/>
        <w:bottom w:val="none" w:sz="0" w:space="0" w:color="auto"/>
        <w:right w:val="none" w:sz="0" w:space="0" w:color="auto"/>
      </w:divBdr>
    </w:div>
    <w:div w:id="1276208462">
      <w:bodyDiv w:val="1"/>
      <w:marLeft w:val="0"/>
      <w:marRight w:val="0"/>
      <w:marTop w:val="0"/>
      <w:marBottom w:val="0"/>
      <w:divBdr>
        <w:top w:val="none" w:sz="0" w:space="0" w:color="auto"/>
        <w:left w:val="none" w:sz="0" w:space="0" w:color="auto"/>
        <w:bottom w:val="none" w:sz="0" w:space="0" w:color="auto"/>
        <w:right w:val="none" w:sz="0" w:space="0" w:color="auto"/>
      </w:divBdr>
    </w:div>
    <w:div w:id="1292321255">
      <w:bodyDiv w:val="1"/>
      <w:marLeft w:val="0"/>
      <w:marRight w:val="0"/>
      <w:marTop w:val="0"/>
      <w:marBottom w:val="0"/>
      <w:divBdr>
        <w:top w:val="none" w:sz="0" w:space="0" w:color="auto"/>
        <w:left w:val="none" w:sz="0" w:space="0" w:color="auto"/>
        <w:bottom w:val="none" w:sz="0" w:space="0" w:color="auto"/>
        <w:right w:val="none" w:sz="0" w:space="0" w:color="auto"/>
      </w:divBdr>
    </w:div>
    <w:div w:id="1376925687">
      <w:bodyDiv w:val="1"/>
      <w:marLeft w:val="0"/>
      <w:marRight w:val="0"/>
      <w:marTop w:val="0"/>
      <w:marBottom w:val="0"/>
      <w:divBdr>
        <w:top w:val="none" w:sz="0" w:space="0" w:color="auto"/>
        <w:left w:val="none" w:sz="0" w:space="0" w:color="auto"/>
        <w:bottom w:val="none" w:sz="0" w:space="0" w:color="auto"/>
        <w:right w:val="none" w:sz="0" w:space="0" w:color="auto"/>
      </w:divBdr>
    </w:div>
    <w:div w:id="1393768241">
      <w:bodyDiv w:val="1"/>
      <w:marLeft w:val="0"/>
      <w:marRight w:val="0"/>
      <w:marTop w:val="0"/>
      <w:marBottom w:val="0"/>
      <w:divBdr>
        <w:top w:val="none" w:sz="0" w:space="0" w:color="auto"/>
        <w:left w:val="none" w:sz="0" w:space="0" w:color="auto"/>
        <w:bottom w:val="none" w:sz="0" w:space="0" w:color="auto"/>
        <w:right w:val="none" w:sz="0" w:space="0" w:color="auto"/>
      </w:divBdr>
    </w:div>
    <w:div w:id="1414624312">
      <w:bodyDiv w:val="1"/>
      <w:marLeft w:val="0"/>
      <w:marRight w:val="0"/>
      <w:marTop w:val="0"/>
      <w:marBottom w:val="0"/>
      <w:divBdr>
        <w:top w:val="none" w:sz="0" w:space="0" w:color="auto"/>
        <w:left w:val="none" w:sz="0" w:space="0" w:color="auto"/>
        <w:bottom w:val="none" w:sz="0" w:space="0" w:color="auto"/>
        <w:right w:val="none" w:sz="0" w:space="0" w:color="auto"/>
      </w:divBdr>
    </w:div>
    <w:div w:id="1450902702">
      <w:bodyDiv w:val="1"/>
      <w:marLeft w:val="0"/>
      <w:marRight w:val="0"/>
      <w:marTop w:val="0"/>
      <w:marBottom w:val="0"/>
      <w:divBdr>
        <w:top w:val="none" w:sz="0" w:space="0" w:color="auto"/>
        <w:left w:val="none" w:sz="0" w:space="0" w:color="auto"/>
        <w:bottom w:val="none" w:sz="0" w:space="0" w:color="auto"/>
        <w:right w:val="none" w:sz="0" w:space="0" w:color="auto"/>
      </w:divBdr>
    </w:div>
    <w:div w:id="1476754306">
      <w:bodyDiv w:val="1"/>
      <w:marLeft w:val="0"/>
      <w:marRight w:val="0"/>
      <w:marTop w:val="0"/>
      <w:marBottom w:val="0"/>
      <w:divBdr>
        <w:top w:val="none" w:sz="0" w:space="0" w:color="auto"/>
        <w:left w:val="none" w:sz="0" w:space="0" w:color="auto"/>
        <w:bottom w:val="none" w:sz="0" w:space="0" w:color="auto"/>
        <w:right w:val="none" w:sz="0" w:space="0" w:color="auto"/>
      </w:divBdr>
    </w:div>
    <w:div w:id="1499924605">
      <w:bodyDiv w:val="1"/>
      <w:marLeft w:val="0"/>
      <w:marRight w:val="0"/>
      <w:marTop w:val="0"/>
      <w:marBottom w:val="0"/>
      <w:divBdr>
        <w:top w:val="none" w:sz="0" w:space="0" w:color="auto"/>
        <w:left w:val="none" w:sz="0" w:space="0" w:color="auto"/>
        <w:bottom w:val="none" w:sz="0" w:space="0" w:color="auto"/>
        <w:right w:val="none" w:sz="0" w:space="0" w:color="auto"/>
      </w:divBdr>
    </w:div>
    <w:div w:id="1514489838">
      <w:bodyDiv w:val="1"/>
      <w:marLeft w:val="0"/>
      <w:marRight w:val="0"/>
      <w:marTop w:val="0"/>
      <w:marBottom w:val="0"/>
      <w:divBdr>
        <w:top w:val="none" w:sz="0" w:space="0" w:color="auto"/>
        <w:left w:val="none" w:sz="0" w:space="0" w:color="auto"/>
        <w:bottom w:val="none" w:sz="0" w:space="0" w:color="auto"/>
        <w:right w:val="none" w:sz="0" w:space="0" w:color="auto"/>
      </w:divBdr>
    </w:div>
    <w:div w:id="1519656963">
      <w:bodyDiv w:val="1"/>
      <w:marLeft w:val="0"/>
      <w:marRight w:val="0"/>
      <w:marTop w:val="0"/>
      <w:marBottom w:val="0"/>
      <w:divBdr>
        <w:top w:val="none" w:sz="0" w:space="0" w:color="auto"/>
        <w:left w:val="none" w:sz="0" w:space="0" w:color="auto"/>
        <w:bottom w:val="none" w:sz="0" w:space="0" w:color="auto"/>
        <w:right w:val="none" w:sz="0" w:space="0" w:color="auto"/>
      </w:divBdr>
    </w:div>
    <w:div w:id="1534537159">
      <w:bodyDiv w:val="1"/>
      <w:marLeft w:val="0"/>
      <w:marRight w:val="0"/>
      <w:marTop w:val="0"/>
      <w:marBottom w:val="0"/>
      <w:divBdr>
        <w:top w:val="none" w:sz="0" w:space="0" w:color="auto"/>
        <w:left w:val="none" w:sz="0" w:space="0" w:color="auto"/>
        <w:bottom w:val="none" w:sz="0" w:space="0" w:color="auto"/>
        <w:right w:val="none" w:sz="0" w:space="0" w:color="auto"/>
      </w:divBdr>
    </w:div>
    <w:div w:id="1541700437">
      <w:bodyDiv w:val="1"/>
      <w:marLeft w:val="0"/>
      <w:marRight w:val="0"/>
      <w:marTop w:val="0"/>
      <w:marBottom w:val="0"/>
      <w:divBdr>
        <w:top w:val="none" w:sz="0" w:space="0" w:color="auto"/>
        <w:left w:val="none" w:sz="0" w:space="0" w:color="auto"/>
        <w:bottom w:val="none" w:sz="0" w:space="0" w:color="auto"/>
        <w:right w:val="none" w:sz="0" w:space="0" w:color="auto"/>
      </w:divBdr>
    </w:div>
    <w:div w:id="1568496575">
      <w:bodyDiv w:val="1"/>
      <w:marLeft w:val="0"/>
      <w:marRight w:val="0"/>
      <w:marTop w:val="0"/>
      <w:marBottom w:val="0"/>
      <w:divBdr>
        <w:top w:val="none" w:sz="0" w:space="0" w:color="auto"/>
        <w:left w:val="none" w:sz="0" w:space="0" w:color="auto"/>
        <w:bottom w:val="none" w:sz="0" w:space="0" w:color="auto"/>
        <w:right w:val="none" w:sz="0" w:space="0" w:color="auto"/>
      </w:divBdr>
    </w:div>
    <w:div w:id="1570386757">
      <w:bodyDiv w:val="1"/>
      <w:marLeft w:val="0"/>
      <w:marRight w:val="0"/>
      <w:marTop w:val="0"/>
      <w:marBottom w:val="0"/>
      <w:divBdr>
        <w:top w:val="none" w:sz="0" w:space="0" w:color="auto"/>
        <w:left w:val="none" w:sz="0" w:space="0" w:color="auto"/>
        <w:bottom w:val="none" w:sz="0" w:space="0" w:color="auto"/>
        <w:right w:val="none" w:sz="0" w:space="0" w:color="auto"/>
      </w:divBdr>
    </w:div>
    <w:div w:id="1577280908">
      <w:bodyDiv w:val="1"/>
      <w:marLeft w:val="0"/>
      <w:marRight w:val="0"/>
      <w:marTop w:val="0"/>
      <w:marBottom w:val="0"/>
      <w:divBdr>
        <w:top w:val="none" w:sz="0" w:space="0" w:color="auto"/>
        <w:left w:val="none" w:sz="0" w:space="0" w:color="auto"/>
        <w:bottom w:val="none" w:sz="0" w:space="0" w:color="auto"/>
        <w:right w:val="none" w:sz="0" w:space="0" w:color="auto"/>
      </w:divBdr>
    </w:div>
    <w:div w:id="1618558873">
      <w:bodyDiv w:val="1"/>
      <w:marLeft w:val="0"/>
      <w:marRight w:val="0"/>
      <w:marTop w:val="0"/>
      <w:marBottom w:val="0"/>
      <w:divBdr>
        <w:top w:val="none" w:sz="0" w:space="0" w:color="auto"/>
        <w:left w:val="none" w:sz="0" w:space="0" w:color="auto"/>
        <w:bottom w:val="none" w:sz="0" w:space="0" w:color="auto"/>
        <w:right w:val="none" w:sz="0" w:space="0" w:color="auto"/>
      </w:divBdr>
    </w:div>
    <w:div w:id="1641571312">
      <w:bodyDiv w:val="1"/>
      <w:marLeft w:val="0"/>
      <w:marRight w:val="0"/>
      <w:marTop w:val="0"/>
      <w:marBottom w:val="0"/>
      <w:divBdr>
        <w:top w:val="none" w:sz="0" w:space="0" w:color="auto"/>
        <w:left w:val="none" w:sz="0" w:space="0" w:color="auto"/>
        <w:bottom w:val="none" w:sz="0" w:space="0" w:color="auto"/>
        <w:right w:val="none" w:sz="0" w:space="0" w:color="auto"/>
      </w:divBdr>
    </w:div>
    <w:div w:id="1651250150">
      <w:bodyDiv w:val="1"/>
      <w:marLeft w:val="0"/>
      <w:marRight w:val="0"/>
      <w:marTop w:val="0"/>
      <w:marBottom w:val="0"/>
      <w:divBdr>
        <w:top w:val="none" w:sz="0" w:space="0" w:color="auto"/>
        <w:left w:val="none" w:sz="0" w:space="0" w:color="auto"/>
        <w:bottom w:val="none" w:sz="0" w:space="0" w:color="auto"/>
        <w:right w:val="none" w:sz="0" w:space="0" w:color="auto"/>
      </w:divBdr>
    </w:div>
    <w:div w:id="1661425601">
      <w:bodyDiv w:val="1"/>
      <w:marLeft w:val="0"/>
      <w:marRight w:val="0"/>
      <w:marTop w:val="0"/>
      <w:marBottom w:val="0"/>
      <w:divBdr>
        <w:top w:val="none" w:sz="0" w:space="0" w:color="auto"/>
        <w:left w:val="none" w:sz="0" w:space="0" w:color="auto"/>
        <w:bottom w:val="none" w:sz="0" w:space="0" w:color="auto"/>
        <w:right w:val="none" w:sz="0" w:space="0" w:color="auto"/>
      </w:divBdr>
    </w:div>
    <w:div w:id="1682319239">
      <w:bodyDiv w:val="1"/>
      <w:marLeft w:val="0"/>
      <w:marRight w:val="0"/>
      <w:marTop w:val="0"/>
      <w:marBottom w:val="0"/>
      <w:divBdr>
        <w:top w:val="none" w:sz="0" w:space="0" w:color="auto"/>
        <w:left w:val="none" w:sz="0" w:space="0" w:color="auto"/>
        <w:bottom w:val="none" w:sz="0" w:space="0" w:color="auto"/>
        <w:right w:val="none" w:sz="0" w:space="0" w:color="auto"/>
      </w:divBdr>
    </w:div>
    <w:div w:id="1687050062">
      <w:bodyDiv w:val="1"/>
      <w:marLeft w:val="0"/>
      <w:marRight w:val="0"/>
      <w:marTop w:val="0"/>
      <w:marBottom w:val="0"/>
      <w:divBdr>
        <w:top w:val="none" w:sz="0" w:space="0" w:color="auto"/>
        <w:left w:val="none" w:sz="0" w:space="0" w:color="auto"/>
        <w:bottom w:val="none" w:sz="0" w:space="0" w:color="auto"/>
        <w:right w:val="none" w:sz="0" w:space="0" w:color="auto"/>
      </w:divBdr>
    </w:div>
    <w:div w:id="1700619730">
      <w:bodyDiv w:val="1"/>
      <w:marLeft w:val="0"/>
      <w:marRight w:val="0"/>
      <w:marTop w:val="0"/>
      <w:marBottom w:val="0"/>
      <w:divBdr>
        <w:top w:val="none" w:sz="0" w:space="0" w:color="auto"/>
        <w:left w:val="none" w:sz="0" w:space="0" w:color="auto"/>
        <w:bottom w:val="none" w:sz="0" w:space="0" w:color="auto"/>
        <w:right w:val="none" w:sz="0" w:space="0" w:color="auto"/>
      </w:divBdr>
    </w:div>
    <w:div w:id="1720930928">
      <w:bodyDiv w:val="1"/>
      <w:marLeft w:val="0"/>
      <w:marRight w:val="0"/>
      <w:marTop w:val="0"/>
      <w:marBottom w:val="0"/>
      <w:divBdr>
        <w:top w:val="none" w:sz="0" w:space="0" w:color="auto"/>
        <w:left w:val="none" w:sz="0" w:space="0" w:color="auto"/>
        <w:bottom w:val="none" w:sz="0" w:space="0" w:color="auto"/>
        <w:right w:val="none" w:sz="0" w:space="0" w:color="auto"/>
      </w:divBdr>
    </w:div>
    <w:div w:id="1740785335">
      <w:bodyDiv w:val="1"/>
      <w:marLeft w:val="0"/>
      <w:marRight w:val="0"/>
      <w:marTop w:val="0"/>
      <w:marBottom w:val="0"/>
      <w:divBdr>
        <w:top w:val="none" w:sz="0" w:space="0" w:color="auto"/>
        <w:left w:val="none" w:sz="0" w:space="0" w:color="auto"/>
        <w:bottom w:val="none" w:sz="0" w:space="0" w:color="auto"/>
        <w:right w:val="none" w:sz="0" w:space="0" w:color="auto"/>
      </w:divBdr>
    </w:div>
    <w:div w:id="1861581130">
      <w:bodyDiv w:val="1"/>
      <w:marLeft w:val="0"/>
      <w:marRight w:val="0"/>
      <w:marTop w:val="0"/>
      <w:marBottom w:val="0"/>
      <w:divBdr>
        <w:top w:val="none" w:sz="0" w:space="0" w:color="auto"/>
        <w:left w:val="none" w:sz="0" w:space="0" w:color="auto"/>
        <w:bottom w:val="none" w:sz="0" w:space="0" w:color="auto"/>
        <w:right w:val="none" w:sz="0" w:space="0" w:color="auto"/>
      </w:divBdr>
    </w:div>
    <w:div w:id="1862550418">
      <w:bodyDiv w:val="1"/>
      <w:marLeft w:val="0"/>
      <w:marRight w:val="0"/>
      <w:marTop w:val="0"/>
      <w:marBottom w:val="0"/>
      <w:divBdr>
        <w:top w:val="none" w:sz="0" w:space="0" w:color="auto"/>
        <w:left w:val="none" w:sz="0" w:space="0" w:color="auto"/>
        <w:bottom w:val="none" w:sz="0" w:space="0" w:color="auto"/>
        <w:right w:val="none" w:sz="0" w:space="0" w:color="auto"/>
      </w:divBdr>
    </w:div>
    <w:div w:id="1869292476">
      <w:bodyDiv w:val="1"/>
      <w:marLeft w:val="0"/>
      <w:marRight w:val="0"/>
      <w:marTop w:val="0"/>
      <w:marBottom w:val="0"/>
      <w:divBdr>
        <w:top w:val="none" w:sz="0" w:space="0" w:color="auto"/>
        <w:left w:val="none" w:sz="0" w:space="0" w:color="auto"/>
        <w:bottom w:val="none" w:sz="0" w:space="0" w:color="auto"/>
        <w:right w:val="none" w:sz="0" w:space="0" w:color="auto"/>
      </w:divBdr>
    </w:div>
    <w:div w:id="1901672794">
      <w:bodyDiv w:val="1"/>
      <w:marLeft w:val="0"/>
      <w:marRight w:val="0"/>
      <w:marTop w:val="0"/>
      <w:marBottom w:val="0"/>
      <w:divBdr>
        <w:top w:val="none" w:sz="0" w:space="0" w:color="auto"/>
        <w:left w:val="none" w:sz="0" w:space="0" w:color="auto"/>
        <w:bottom w:val="none" w:sz="0" w:space="0" w:color="auto"/>
        <w:right w:val="none" w:sz="0" w:space="0" w:color="auto"/>
      </w:divBdr>
    </w:div>
    <w:div w:id="1909417805">
      <w:bodyDiv w:val="1"/>
      <w:marLeft w:val="0"/>
      <w:marRight w:val="0"/>
      <w:marTop w:val="0"/>
      <w:marBottom w:val="0"/>
      <w:divBdr>
        <w:top w:val="none" w:sz="0" w:space="0" w:color="auto"/>
        <w:left w:val="none" w:sz="0" w:space="0" w:color="auto"/>
        <w:bottom w:val="none" w:sz="0" w:space="0" w:color="auto"/>
        <w:right w:val="none" w:sz="0" w:space="0" w:color="auto"/>
      </w:divBdr>
    </w:div>
    <w:div w:id="1981375320">
      <w:bodyDiv w:val="1"/>
      <w:marLeft w:val="0"/>
      <w:marRight w:val="0"/>
      <w:marTop w:val="0"/>
      <w:marBottom w:val="0"/>
      <w:divBdr>
        <w:top w:val="none" w:sz="0" w:space="0" w:color="auto"/>
        <w:left w:val="none" w:sz="0" w:space="0" w:color="auto"/>
        <w:bottom w:val="none" w:sz="0" w:space="0" w:color="auto"/>
        <w:right w:val="none" w:sz="0" w:space="0" w:color="auto"/>
      </w:divBdr>
    </w:div>
    <w:div w:id="1982225796">
      <w:bodyDiv w:val="1"/>
      <w:marLeft w:val="0"/>
      <w:marRight w:val="0"/>
      <w:marTop w:val="0"/>
      <w:marBottom w:val="0"/>
      <w:divBdr>
        <w:top w:val="none" w:sz="0" w:space="0" w:color="auto"/>
        <w:left w:val="none" w:sz="0" w:space="0" w:color="auto"/>
        <w:bottom w:val="none" w:sz="0" w:space="0" w:color="auto"/>
        <w:right w:val="none" w:sz="0" w:space="0" w:color="auto"/>
      </w:divBdr>
    </w:div>
    <w:div w:id="1998455079">
      <w:bodyDiv w:val="1"/>
      <w:marLeft w:val="0"/>
      <w:marRight w:val="0"/>
      <w:marTop w:val="0"/>
      <w:marBottom w:val="0"/>
      <w:divBdr>
        <w:top w:val="none" w:sz="0" w:space="0" w:color="auto"/>
        <w:left w:val="none" w:sz="0" w:space="0" w:color="auto"/>
        <w:bottom w:val="none" w:sz="0" w:space="0" w:color="auto"/>
        <w:right w:val="none" w:sz="0" w:space="0" w:color="auto"/>
      </w:divBdr>
    </w:div>
    <w:div w:id="2010906778">
      <w:bodyDiv w:val="1"/>
      <w:marLeft w:val="0"/>
      <w:marRight w:val="0"/>
      <w:marTop w:val="0"/>
      <w:marBottom w:val="0"/>
      <w:divBdr>
        <w:top w:val="none" w:sz="0" w:space="0" w:color="auto"/>
        <w:left w:val="none" w:sz="0" w:space="0" w:color="auto"/>
        <w:bottom w:val="none" w:sz="0" w:space="0" w:color="auto"/>
        <w:right w:val="none" w:sz="0" w:space="0" w:color="auto"/>
      </w:divBdr>
    </w:div>
    <w:div w:id="2037193722">
      <w:bodyDiv w:val="1"/>
      <w:marLeft w:val="0"/>
      <w:marRight w:val="0"/>
      <w:marTop w:val="0"/>
      <w:marBottom w:val="0"/>
      <w:divBdr>
        <w:top w:val="none" w:sz="0" w:space="0" w:color="auto"/>
        <w:left w:val="none" w:sz="0" w:space="0" w:color="auto"/>
        <w:bottom w:val="none" w:sz="0" w:space="0" w:color="auto"/>
        <w:right w:val="none" w:sz="0" w:space="0" w:color="auto"/>
      </w:divBdr>
    </w:div>
    <w:div w:id="2055890442">
      <w:bodyDiv w:val="1"/>
      <w:marLeft w:val="0"/>
      <w:marRight w:val="0"/>
      <w:marTop w:val="0"/>
      <w:marBottom w:val="0"/>
      <w:divBdr>
        <w:top w:val="none" w:sz="0" w:space="0" w:color="auto"/>
        <w:left w:val="none" w:sz="0" w:space="0" w:color="auto"/>
        <w:bottom w:val="none" w:sz="0" w:space="0" w:color="auto"/>
        <w:right w:val="none" w:sz="0" w:space="0" w:color="auto"/>
      </w:divBdr>
    </w:div>
    <w:div w:id="2098206502">
      <w:bodyDiv w:val="1"/>
      <w:marLeft w:val="0"/>
      <w:marRight w:val="0"/>
      <w:marTop w:val="0"/>
      <w:marBottom w:val="0"/>
      <w:divBdr>
        <w:top w:val="none" w:sz="0" w:space="0" w:color="auto"/>
        <w:left w:val="none" w:sz="0" w:space="0" w:color="auto"/>
        <w:bottom w:val="none" w:sz="0" w:space="0" w:color="auto"/>
        <w:right w:val="none" w:sz="0" w:space="0" w:color="auto"/>
      </w:divBdr>
    </w:div>
    <w:div w:id="2107385978">
      <w:bodyDiv w:val="1"/>
      <w:marLeft w:val="0"/>
      <w:marRight w:val="0"/>
      <w:marTop w:val="0"/>
      <w:marBottom w:val="0"/>
      <w:divBdr>
        <w:top w:val="none" w:sz="0" w:space="0" w:color="auto"/>
        <w:left w:val="none" w:sz="0" w:space="0" w:color="auto"/>
        <w:bottom w:val="none" w:sz="0" w:space="0" w:color="auto"/>
        <w:right w:val="none" w:sz="0" w:space="0" w:color="auto"/>
      </w:divBdr>
    </w:div>
    <w:div w:id="2112167555">
      <w:bodyDiv w:val="1"/>
      <w:marLeft w:val="0"/>
      <w:marRight w:val="0"/>
      <w:marTop w:val="0"/>
      <w:marBottom w:val="0"/>
      <w:divBdr>
        <w:top w:val="none" w:sz="0" w:space="0" w:color="auto"/>
        <w:left w:val="none" w:sz="0" w:space="0" w:color="auto"/>
        <w:bottom w:val="none" w:sz="0" w:space="0" w:color="auto"/>
        <w:right w:val="none" w:sz="0" w:space="0" w:color="auto"/>
      </w:divBdr>
    </w:div>
    <w:div w:id="213879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rednicechy.cz"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102</Pages>
  <Words>80230</Words>
  <Characters>473363</Characters>
  <Application>Microsoft Office Word</Application>
  <DocSecurity>0</DocSecurity>
  <Lines>3944</Lines>
  <Paragraphs>1104</Paragraphs>
  <ScaleCrop>false</ScaleCrop>
  <HeadingPairs>
    <vt:vector size="2" baseType="variant">
      <vt:variant>
        <vt:lpstr>Název</vt:lpstr>
      </vt:variant>
      <vt:variant>
        <vt:i4>1</vt:i4>
      </vt:variant>
    </vt:vector>
  </HeadingPairs>
  <TitlesOfParts>
    <vt:vector size="1" baseType="lpstr">
      <vt:lpstr/>
    </vt:vector>
  </TitlesOfParts>
  <Company>KUSK</Company>
  <LinksUpToDate>false</LinksUpToDate>
  <CharactersWithSpaces>552489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Pospíšilová Martina</dc:creator>
  <cp:keywords/>
  <dc:description/>
  <cp:lastModifiedBy>Stejskalová Simona</cp:lastModifiedBy>
  <cp:revision>2</cp:revision>
  <cp:lastPrinted>2022-03-23T14:40:00Z</cp:lastPrinted>
  <dcterms:created xsi:type="dcterms:W3CDTF">2022-05-03T07:48:00Z</dcterms:created>
  <dcterms:modified xsi:type="dcterms:W3CDTF">2022-05-03T07:48:00Z</dcterms:modified>
</cp:coreProperties>
</file>